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31B7" w:rsidRDefault="00464728" w:rsidP="008C4F55">
      <w:pPr>
        <w:pStyle w:val="a3"/>
        <w:spacing w:line="360" w:lineRule="auto"/>
        <w:jc w:val="center"/>
        <w:rPr>
          <w:rFonts w:asciiTheme="minorHAnsi" w:eastAsiaTheme="minorHAnsi" w:hAnsiTheme="minorHAnsi" w:cstheme="minorBidi"/>
          <w:b w:val="0"/>
          <w:bCs w:val="0"/>
          <w:color w:val="auto"/>
          <w:sz w:val="22"/>
          <w:szCs w:val="22"/>
          <w:lang w:val="en-US" w:eastAsia="en-US"/>
        </w:rPr>
      </w:pPr>
      <w:r>
        <w:rPr>
          <w:rFonts w:asciiTheme="minorHAnsi" w:eastAsiaTheme="minorHAnsi" w:hAnsiTheme="minorHAnsi" w:cstheme="minorBidi"/>
          <w:b w:val="0"/>
          <w:bCs w:val="0"/>
          <w:noProof/>
          <w:color w:val="auto"/>
          <w:sz w:val="22"/>
          <w:szCs w:val="22"/>
        </w:rPr>
        <w:drawing>
          <wp:anchor distT="0" distB="0" distL="114300" distR="114300" simplePos="0" relativeHeight="251658240" behindDoc="0" locked="0" layoutInCell="0" allowOverlap="0">
            <wp:simplePos x="0" y="0"/>
            <wp:positionH relativeFrom="page">
              <wp:posOffset>3123565</wp:posOffset>
            </wp:positionH>
            <wp:positionV relativeFrom="page">
              <wp:posOffset>933450</wp:posOffset>
            </wp:positionV>
            <wp:extent cx="968375" cy="914400"/>
            <wp:effectExtent l="19050" t="0" r="3175" b="0"/>
            <wp:wrapSquare wrapText="bothSides"/>
            <wp:docPr id="53" name="Εικόνα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9"/>
                    <pic:cNvPicPr>
                      <a:picLocks noChangeAspect="1" noChangeArrowheads="1"/>
                    </pic:cNvPicPr>
                  </pic:nvPicPr>
                  <pic:blipFill>
                    <a:blip r:embed="rId8" cstate="print"/>
                    <a:srcRect/>
                    <a:stretch>
                      <a:fillRect/>
                    </a:stretch>
                  </pic:blipFill>
                  <pic:spPr bwMode="auto">
                    <a:xfrm>
                      <a:off x="0" y="0"/>
                      <a:ext cx="968375" cy="914400"/>
                    </a:xfrm>
                    <a:prstGeom prst="rect">
                      <a:avLst/>
                    </a:prstGeom>
                    <a:noFill/>
                  </pic:spPr>
                </pic:pic>
              </a:graphicData>
            </a:graphic>
          </wp:anchor>
        </w:drawing>
      </w:r>
    </w:p>
    <w:p w:rsidR="00263C7B" w:rsidRDefault="00263C7B" w:rsidP="008C4F55">
      <w:pPr>
        <w:jc w:val="center"/>
        <w:rPr>
          <w:lang w:val="en-US"/>
        </w:rPr>
      </w:pPr>
    </w:p>
    <w:p w:rsidR="00263C7B" w:rsidRPr="00263C7B" w:rsidRDefault="00263C7B" w:rsidP="008C4F55">
      <w:pPr>
        <w:jc w:val="center"/>
        <w:rPr>
          <w:lang w:val="en-US"/>
        </w:rPr>
      </w:pPr>
    </w:p>
    <w:p w:rsidR="00F631B7" w:rsidRDefault="00F631B7" w:rsidP="008C4F55">
      <w:pPr>
        <w:pStyle w:val="af3"/>
        <w:rPr>
          <w:rFonts w:asciiTheme="minorHAnsi" w:hAnsiTheme="minorHAnsi"/>
          <w:bCs/>
          <w:sz w:val="28"/>
          <w:szCs w:val="28"/>
          <w:lang w:val="en-US"/>
        </w:rPr>
      </w:pPr>
    </w:p>
    <w:p w:rsidR="00263C7B" w:rsidRPr="00263C7B" w:rsidRDefault="00263C7B" w:rsidP="008C4F55">
      <w:pPr>
        <w:pStyle w:val="af3"/>
        <w:rPr>
          <w:rFonts w:asciiTheme="minorHAnsi" w:hAnsiTheme="minorHAnsi"/>
          <w:bCs/>
          <w:sz w:val="28"/>
          <w:szCs w:val="28"/>
          <w:lang w:val="en-US"/>
        </w:rPr>
      </w:pPr>
    </w:p>
    <w:tbl>
      <w:tblPr>
        <w:tblW w:w="0" w:type="auto"/>
        <w:tblLook w:val="04A0"/>
      </w:tblPr>
      <w:tblGrid>
        <w:gridCol w:w="8522"/>
      </w:tblGrid>
      <w:tr w:rsidR="008C4F55" w:rsidRPr="008C4F55" w:rsidTr="009C5F8A">
        <w:trPr>
          <w:trHeight w:val="1558"/>
        </w:trPr>
        <w:tc>
          <w:tcPr>
            <w:tcW w:w="8522" w:type="dxa"/>
          </w:tcPr>
          <w:p w:rsidR="008C4F55" w:rsidRPr="00CB5628" w:rsidRDefault="008C4F55" w:rsidP="008C4F55">
            <w:pPr>
              <w:pStyle w:val="af3"/>
              <w:rPr>
                <w:rFonts w:asciiTheme="minorHAnsi" w:hAnsiTheme="minorHAnsi"/>
                <w:bCs/>
                <w:sz w:val="28"/>
                <w:szCs w:val="28"/>
              </w:rPr>
            </w:pPr>
            <w:r w:rsidRPr="00CB5628">
              <w:rPr>
                <w:rFonts w:asciiTheme="minorHAnsi" w:hAnsiTheme="minorHAnsi"/>
                <w:bCs/>
                <w:sz w:val="28"/>
                <w:szCs w:val="28"/>
              </w:rPr>
              <w:t>ΠΑΝΕΠΙΣΤΗΜΙΟ ΠΕΛΟΠΟΝΝΗΣΟΥ</w:t>
            </w:r>
          </w:p>
          <w:p w:rsidR="008C4F55" w:rsidRPr="00CB5628" w:rsidRDefault="008C4F55" w:rsidP="008C4F55">
            <w:pPr>
              <w:pStyle w:val="af3"/>
              <w:rPr>
                <w:rFonts w:asciiTheme="minorHAnsi" w:hAnsiTheme="minorHAnsi"/>
                <w:bCs/>
                <w:sz w:val="28"/>
                <w:szCs w:val="28"/>
              </w:rPr>
            </w:pPr>
            <w:r w:rsidRPr="00CB5628">
              <w:rPr>
                <w:rFonts w:asciiTheme="minorHAnsi" w:hAnsiTheme="minorHAnsi"/>
                <w:bCs/>
                <w:sz w:val="28"/>
                <w:szCs w:val="28"/>
              </w:rPr>
              <w:t>ΣΧΟΛΗ ΕΠΙΣΤΗΜΩΝ ΑΝΘΡΩΠΙΝΗΣ ΚΙΝΗΣΗΣ ΚΑΙ ΠΟΙΟΤΗΤΑΣ ΖΩΗΣ</w:t>
            </w:r>
          </w:p>
          <w:p w:rsidR="008C4F55" w:rsidRPr="00CB5628" w:rsidRDefault="008C4F55" w:rsidP="008C4F55">
            <w:pPr>
              <w:pStyle w:val="af3"/>
              <w:rPr>
                <w:rFonts w:asciiTheme="minorHAnsi" w:hAnsiTheme="minorHAnsi"/>
                <w:bCs/>
                <w:sz w:val="28"/>
                <w:szCs w:val="28"/>
              </w:rPr>
            </w:pPr>
            <w:r w:rsidRPr="00CB5628">
              <w:rPr>
                <w:rFonts w:asciiTheme="minorHAnsi" w:hAnsiTheme="minorHAnsi"/>
                <w:bCs/>
                <w:sz w:val="28"/>
                <w:szCs w:val="28"/>
              </w:rPr>
              <w:t>ΤΜΗΜΑ ΝΟΣΗΛΕΥΤΙΚΗΣ</w:t>
            </w:r>
          </w:p>
        </w:tc>
      </w:tr>
    </w:tbl>
    <w:p w:rsidR="00F631B7" w:rsidRPr="005A464E" w:rsidRDefault="00F631B7" w:rsidP="008C4F55">
      <w:pPr>
        <w:pStyle w:val="af3"/>
        <w:rPr>
          <w:rFonts w:asciiTheme="minorHAnsi" w:hAnsiTheme="minorHAnsi"/>
          <w:bCs/>
          <w:sz w:val="28"/>
          <w:szCs w:val="28"/>
        </w:rPr>
      </w:pPr>
    </w:p>
    <w:p w:rsidR="00F631B7" w:rsidRPr="005A464E" w:rsidRDefault="00F631B7" w:rsidP="008C4F55">
      <w:pPr>
        <w:pStyle w:val="af3"/>
        <w:rPr>
          <w:rFonts w:asciiTheme="minorHAnsi" w:hAnsiTheme="minorHAnsi"/>
          <w:bCs/>
          <w:sz w:val="28"/>
          <w:szCs w:val="28"/>
        </w:rPr>
      </w:pPr>
    </w:p>
    <w:p w:rsidR="00F631B7" w:rsidRPr="008C4F55" w:rsidRDefault="00263C7B" w:rsidP="008C4F55">
      <w:pPr>
        <w:widowControl w:val="0"/>
        <w:tabs>
          <w:tab w:val="left" w:pos="4536"/>
        </w:tabs>
        <w:spacing w:line="503" w:lineRule="auto"/>
        <w:ind w:left="1708" w:right="1496"/>
        <w:jc w:val="center"/>
        <w:rPr>
          <w:rFonts w:asciiTheme="minorHAnsi" w:eastAsia="Garamond" w:hAnsiTheme="minorHAnsi" w:cs="Garamond"/>
          <w:b/>
          <w:caps/>
          <w:spacing w:val="13"/>
          <w:sz w:val="28"/>
          <w:szCs w:val="28"/>
        </w:rPr>
      </w:pPr>
      <w:r w:rsidRPr="008C4F55">
        <w:rPr>
          <w:rFonts w:asciiTheme="minorHAnsi" w:eastAsia="Garamond" w:hAnsiTheme="minorHAnsi" w:cs="Garamond"/>
          <w:b/>
          <w:caps/>
          <w:spacing w:val="13"/>
          <w:sz w:val="28"/>
          <w:szCs w:val="28"/>
        </w:rPr>
        <w:t>ΔΙΔΑΚΤΟΡΙΚΗ ΔΙΑΤΡΙΒΗ</w:t>
      </w:r>
    </w:p>
    <w:tbl>
      <w:tblPr>
        <w:tblW w:w="0" w:type="auto"/>
        <w:jc w:val="center"/>
        <w:tblLook w:val="04A0"/>
      </w:tblPr>
      <w:tblGrid>
        <w:gridCol w:w="8522"/>
      </w:tblGrid>
      <w:tr w:rsidR="008C4F55" w:rsidRPr="008C4F55" w:rsidTr="009C5F8A">
        <w:trPr>
          <w:jc w:val="center"/>
        </w:trPr>
        <w:tc>
          <w:tcPr>
            <w:tcW w:w="8522" w:type="dxa"/>
          </w:tcPr>
          <w:p w:rsidR="008C4F55" w:rsidRPr="00CB5628" w:rsidRDefault="008C4F55" w:rsidP="009C5F8A">
            <w:pPr>
              <w:pStyle w:val="af3"/>
              <w:rPr>
                <w:rFonts w:asciiTheme="minorHAnsi" w:hAnsiTheme="minorHAnsi"/>
                <w:sz w:val="28"/>
                <w:szCs w:val="28"/>
              </w:rPr>
            </w:pPr>
            <w:r w:rsidRPr="00CB5628">
              <w:rPr>
                <w:rFonts w:asciiTheme="minorHAnsi" w:hAnsiTheme="minorHAnsi"/>
                <w:sz w:val="28"/>
                <w:szCs w:val="28"/>
              </w:rPr>
              <w:t>Η</w:t>
            </w:r>
            <w:r w:rsidR="0078495A" w:rsidRPr="00CB5628">
              <w:rPr>
                <w:rFonts w:asciiTheme="minorHAnsi" w:hAnsiTheme="minorHAnsi"/>
                <w:sz w:val="28"/>
                <w:szCs w:val="28"/>
              </w:rPr>
              <w:t xml:space="preserve"> </w:t>
            </w:r>
            <w:r w:rsidRPr="00CB5628">
              <w:rPr>
                <w:rFonts w:asciiTheme="minorHAnsi" w:hAnsiTheme="minorHAnsi"/>
                <w:sz w:val="28"/>
                <w:szCs w:val="28"/>
              </w:rPr>
              <w:t>ΕΠΙΔΡΑΣΗ ΤΗΣ ΣΥΜΒΟΥΛΕΥΤΙΚΗΣ ΝΟΣΗΛΕΥΤΙΚΗΣ ΣΤΗ ΜΕΤΑΒΟΛΗ ΤΟΥ ΕΠΙΠΕΔΟΥ ΓΝΩΣΕΩΝ, ΤΗΣ ΠΟΙΟΤΗΤΑΣ ΖΩΗΣ ΚΑΙ ΣΤΗ ΣΥΜΜΟΡΦΩΣΗ ΑΣΘΕΝΩΝ ΥΠΟ ΑΙΜΟΚΑΘΑΡΣΗ ΣΤΟ ΘΕΡΑΠΕΥΤΙΚΟ ΣΧΗΜΑ</w:t>
            </w:r>
          </w:p>
        </w:tc>
      </w:tr>
    </w:tbl>
    <w:p w:rsidR="00F631B7" w:rsidRPr="005A464E" w:rsidRDefault="00F631B7" w:rsidP="008C4F55">
      <w:pPr>
        <w:spacing w:after="0" w:line="360" w:lineRule="auto"/>
        <w:jc w:val="center"/>
        <w:rPr>
          <w:b/>
          <w:sz w:val="28"/>
          <w:szCs w:val="28"/>
        </w:rPr>
      </w:pPr>
    </w:p>
    <w:p w:rsidR="008C4F55" w:rsidRPr="009C5F8A" w:rsidRDefault="008C4F55" w:rsidP="008C4F55">
      <w:pPr>
        <w:spacing w:after="0" w:line="360" w:lineRule="auto"/>
        <w:jc w:val="center"/>
        <w:rPr>
          <w:sz w:val="24"/>
          <w:szCs w:val="24"/>
        </w:rPr>
      </w:pPr>
      <w:r w:rsidRPr="009C5F8A">
        <w:rPr>
          <w:sz w:val="24"/>
          <w:szCs w:val="24"/>
        </w:rPr>
        <w:t>ΒΙΚΤΩΡΙΑ Δ. ΑΛΙΚΑΡΗ</w:t>
      </w:r>
    </w:p>
    <w:p w:rsidR="008C4F55" w:rsidRPr="009C5F8A" w:rsidRDefault="008C4F55" w:rsidP="008C4F55">
      <w:pPr>
        <w:spacing w:after="0" w:line="360" w:lineRule="auto"/>
        <w:jc w:val="center"/>
        <w:rPr>
          <w:sz w:val="24"/>
          <w:szCs w:val="24"/>
        </w:rPr>
      </w:pPr>
    </w:p>
    <w:tbl>
      <w:tblPr>
        <w:tblW w:w="0" w:type="auto"/>
        <w:tblLook w:val="04A0"/>
      </w:tblPr>
      <w:tblGrid>
        <w:gridCol w:w="8522"/>
      </w:tblGrid>
      <w:tr w:rsidR="008C4F55" w:rsidRPr="009C5F8A" w:rsidTr="00CB5628">
        <w:trPr>
          <w:trHeight w:val="2583"/>
        </w:trPr>
        <w:tc>
          <w:tcPr>
            <w:tcW w:w="8522" w:type="dxa"/>
          </w:tcPr>
          <w:p w:rsidR="008C4F55" w:rsidRPr="009C5F8A" w:rsidRDefault="008C4F55" w:rsidP="00CB5628">
            <w:pPr>
              <w:spacing w:after="0" w:line="360" w:lineRule="auto"/>
              <w:jc w:val="center"/>
              <w:rPr>
                <w:sz w:val="24"/>
                <w:szCs w:val="24"/>
              </w:rPr>
            </w:pPr>
            <w:r w:rsidRPr="009C5F8A">
              <w:rPr>
                <w:sz w:val="24"/>
                <w:szCs w:val="24"/>
              </w:rPr>
              <w:t>ΠΤΥΧΙΟΥΧΟΣ ΤΜΗΜΑΤΟΣ ΝΟΣΗΛΕΥΤΙΚΗΣ</w:t>
            </w:r>
          </w:p>
          <w:p w:rsidR="008C4F55" w:rsidRPr="009C5F8A" w:rsidRDefault="008C4F55" w:rsidP="00CB5628">
            <w:pPr>
              <w:spacing w:after="0" w:line="360" w:lineRule="auto"/>
              <w:jc w:val="center"/>
              <w:rPr>
                <w:sz w:val="24"/>
                <w:szCs w:val="24"/>
              </w:rPr>
            </w:pPr>
            <w:r w:rsidRPr="009C5F8A">
              <w:rPr>
                <w:sz w:val="24"/>
                <w:szCs w:val="24"/>
              </w:rPr>
              <w:t xml:space="preserve">ΕΘΝΙΚΟΥ </w:t>
            </w:r>
            <w:r w:rsidR="00D27186">
              <w:rPr>
                <w:sz w:val="24"/>
                <w:szCs w:val="24"/>
              </w:rPr>
              <w:t>ΚΑΙ</w:t>
            </w:r>
            <w:r w:rsidRPr="009C5F8A">
              <w:rPr>
                <w:sz w:val="24"/>
                <w:szCs w:val="24"/>
              </w:rPr>
              <w:t xml:space="preserve"> ΚΑΠΟΔΙΣΤΡΙΑΚΟΥ ΠΑΝΕΠΙΣΤΗΜΙ</w:t>
            </w:r>
            <w:r w:rsidRPr="009C5F8A">
              <w:rPr>
                <w:sz w:val="24"/>
                <w:szCs w:val="24"/>
                <w:lang w:val="en-US"/>
              </w:rPr>
              <w:t>O</w:t>
            </w:r>
            <w:r w:rsidRPr="009C5F8A">
              <w:rPr>
                <w:sz w:val="24"/>
                <w:szCs w:val="24"/>
              </w:rPr>
              <w:t>Υ ΑΘΗΝΩΝ</w:t>
            </w:r>
          </w:p>
          <w:p w:rsidR="008C4F55" w:rsidRPr="009C5F8A" w:rsidRDefault="008C4F55" w:rsidP="00CB5628">
            <w:pPr>
              <w:spacing w:line="360" w:lineRule="auto"/>
              <w:jc w:val="center"/>
              <w:rPr>
                <w:sz w:val="24"/>
                <w:szCs w:val="24"/>
              </w:rPr>
            </w:pPr>
            <w:r w:rsidRPr="009C5F8A">
              <w:rPr>
                <w:sz w:val="24"/>
                <w:szCs w:val="24"/>
              </w:rPr>
              <w:t xml:space="preserve">MSc ΣΤΗΝ «ΚΛΙΝΙΚΗ ΝΟΣΗΛΕΥΤΙΚΗ-ΠΡΟΛΗΨΗ ΚΑΙ ΕΛΕΓΧΟΣ ΛΟΙΜΩΞΕΩΝ» </w:t>
            </w:r>
            <w:r w:rsidRPr="009C5F8A">
              <w:rPr>
                <w:rFonts w:asciiTheme="minorHAnsi" w:eastAsia="Garamond" w:hAnsiTheme="minorHAnsi" w:cs="Garamond"/>
                <w:caps/>
                <w:sz w:val="24"/>
                <w:szCs w:val="24"/>
              </w:rPr>
              <w:t>ΤΜΗΜΑ</w:t>
            </w:r>
            <w:r w:rsidR="00D27186">
              <w:rPr>
                <w:rFonts w:asciiTheme="minorHAnsi" w:eastAsia="Garamond" w:hAnsiTheme="minorHAnsi" w:cs="Garamond"/>
                <w:caps/>
                <w:sz w:val="24"/>
                <w:szCs w:val="24"/>
              </w:rPr>
              <w:t>τοσ</w:t>
            </w:r>
            <w:r w:rsidRPr="009C5F8A">
              <w:rPr>
                <w:rFonts w:asciiTheme="minorHAnsi" w:eastAsia="Garamond" w:hAnsiTheme="minorHAnsi" w:cs="Garamond"/>
                <w:caps/>
                <w:sz w:val="24"/>
                <w:szCs w:val="24"/>
              </w:rPr>
              <w:t xml:space="preserve"> ΝΟΣΗΛΕΥΤΙΚΗΣ</w:t>
            </w:r>
            <w:r w:rsidRPr="009C5F8A">
              <w:rPr>
                <w:rFonts w:ascii="Book Antiqua" w:eastAsia="Garamond" w:hAnsi="Book Antiqua" w:cs="Garamond"/>
                <w:caps/>
                <w:sz w:val="24"/>
                <w:szCs w:val="24"/>
              </w:rPr>
              <w:t xml:space="preserve"> </w:t>
            </w:r>
            <w:r w:rsidRPr="009C5F8A">
              <w:rPr>
                <w:sz w:val="24"/>
                <w:szCs w:val="24"/>
              </w:rPr>
              <w:t xml:space="preserve">ΕΘΝΙΚΟΥ </w:t>
            </w:r>
            <w:r w:rsidR="00D27186">
              <w:rPr>
                <w:sz w:val="24"/>
                <w:szCs w:val="24"/>
              </w:rPr>
              <w:t>ΚΑΙ</w:t>
            </w:r>
            <w:r w:rsidRPr="009C5F8A">
              <w:rPr>
                <w:sz w:val="24"/>
                <w:szCs w:val="24"/>
              </w:rPr>
              <w:t xml:space="preserve"> ΚΑΠΟΔΙΣΤΡΙΑΚΟΥ ΠΑΝΕΠΙΣΤΗΜΙΟΥ ΑΘΗΝΩΝ</w:t>
            </w:r>
          </w:p>
          <w:p w:rsidR="008C4F55" w:rsidRPr="009C5F8A" w:rsidRDefault="008C4F55" w:rsidP="00CB5628">
            <w:pPr>
              <w:spacing w:after="0" w:line="360" w:lineRule="auto"/>
              <w:jc w:val="center"/>
              <w:rPr>
                <w:sz w:val="24"/>
                <w:szCs w:val="24"/>
              </w:rPr>
            </w:pPr>
            <w:r w:rsidRPr="009C5F8A">
              <w:rPr>
                <w:sz w:val="24"/>
                <w:szCs w:val="24"/>
              </w:rPr>
              <w:t>ΣΠΑΡΤΗ 2017</w:t>
            </w:r>
          </w:p>
          <w:p w:rsidR="008C4F55" w:rsidRPr="009C5F8A" w:rsidRDefault="008C4F55" w:rsidP="00CB5628">
            <w:pPr>
              <w:spacing w:line="360" w:lineRule="auto"/>
              <w:jc w:val="center"/>
              <w:rPr>
                <w:sz w:val="24"/>
                <w:szCs w:val="24"/>
              </w:rPr>
            </w:pPr>
          </w:p>
        </w:tc>
      </w:tr>
    </w:tbl>
    <w:p w:rsidR="00F631B7" w:rsidRDefault="00F631B7" w:rsidP="005A464E">
      <w:pPr>
        <w:spacing w:after="0" w:line="360" w:lineRule="auto"/>
        <w:jc w:val="center"/>
        <w:rPr>
          <w:b/>
          <w:sz w:val="26"/>
          <w:szCs w:val="26"/>
        </w:rPr>
      </w:pPr>
    </w:p>
    <w:p w:rsidR="008C4F55" w:rsidRDefault="008C4F55" w:rsidP="005A464E">
      <w:pPr>
        <w:spacing w:after="0" w:line="360" w:lineRule="auto"/>
        <w:jc w:val="center"/>
        <w:rPr>
          <w:b/>
          <w:sz w:val="26"/>
          <w:szCs w:val="26"/>
        </w:rPr>
      </w:pPr>
    </w:p>
    <w:p w:rsidR="008C4F55" w:rsidRDefault="008C4F55" w:rsidP="005A464E">
      <w:pPr>
        <w:spacing w:after="0" w:line="360" w:lineRule="auto"/>
        <w:jc w:val="center"/>
        <w:rPr>
          <w:b/>
          <w:sz w:val="26"/>
          <w:szCs w:val="26"/>
        </w:rPr>
      </w:pPr>
    </w:p>
    <w:p w:rsidR="008C4F55" w:rsidRDefault="008C4F55" w:rsidP="005A464E">
      <w:pPr>
        <w:spacing w:after="0" w:line="360" w:lineRule="auto"/>
        <w:jc w:val="center"/>
        <w:rPr>
          <w:b/>
          <w:sz w:val="26"/>
          <w:szCs w:val="26"/>
        </w:rPr>
      </w:pPr>
    </w:p>
    <w:p w:rsidR="008C4F55" w:rsidRDefault="008C4F55" w:rsidP="005A464E">
      <w:pPr>
        <w:spacing w:after="0" w:line="360" w:lineRule="auto"/>
        <w:jc w:val="center"/>
        <w:rPr>
          <w:b/>
          <w:sz w:val="26"/>
          <w:szCs w:val="26"/>
        </w:rPr>
      </w:pPr>
    </w:p>
    <w:p w:rsidR="008C4F55" w:rsidRDefault="008C4F55" w:rsidP="005A464E">
      <w:pPr>
        <w:spacing w:after="0" w:line="360" w:lineRule="auto"/>
        <w:jc w:val="center"/>
        <w:rPr>
          <w:b/>
          <w:sz w:val="26"/>
          <w:szCs w:val="26"/>
        </w:rPr>
      </w:pPr>
    </w:p>
    <w:p w:rsidR="008C4F55" w:rsidRDefault="008C4F55" w:rsidP="005A464E">
      <w:pPr>
        <w:spacing w:after="0" w:line="360" w:lineRule="auto"/>
        <w:jc w:val="center"/>
        <w:rPr>
          <w:b/>
          <w:sz w:val="26"/>
          <w:szCs w:val="26"/>
        </w:rPr>
      </w:pPr>
    </w:p>
    <w:p w:rsidR="008C4F55" w:rsidRDefault="008C4F55"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8C4F55" w:rsidRPr="005A464E" w:rsidRDefault="008C4F55" w:rsidP="005A464E">
      <w:pPr>
        <w:spacing w:after="0" w:line="360" w:lineRule="auto"/>
        <w:jc w:val="center"/>
        <w:rPr>
          <w:b/>
          <w:sz w:val="28"/>
          <w:szCs w:val="28"/>
        </w:rPr>
      </w:pPr>
    </w:p>
    <w:p w:rsidR="00F631B7" w:rsidRPr="005A464E" w:rsidRDefault="00F631B7" w:rsidP="005A464E">
      <w:pPr>
        <w:spacing w:after="0" w:line="360" w:lineRule="auto"/>
        <w:jc w:val="center"/>
        <w:rPr>
          <w:b/>
          <w:sz w:val="28"/>
          <w:szCs w:val="28"/>
        </w:rPr>
      </w:pPr>
    </w:p>
    <w:p w:rsidR="00F631B7" w:rsidRDefault="00F631B7" w:rsidP="005A464E">
      <w:pPr>
        <w:spacing w:after="0" w:line="360" w:lineRule="auto"/>
        <w:jc w:val="center"/>
        <w:rPr>
          <w:b/>
          <w:sz w:val="26"/>
          <w:szCs w:val="26"/>
        </w:rPr>
      </w:pPr>
    </w:p>
    <w:p w:rsidR="008C4F55" w:rsidRDefault="008C4F55" w:rsidP="005A464E">
      <w:pPr>
        <w:spacing w:after="0" w:line="360" w:lineRule="auto"/>
        <w:jc w:val="center"/>
        <w:rPr>
          <w:b/>
          <w:sz w:val="26"/>
          <w:szCs w:val="26"/>
        </w:rPr>
      </w:pPr>
    </w:p>
    <w:p w:rsidR="008C4F55" w:rsidRDefault="008C4F55" w:rsidP="005A464E">
      <w:pPr>
        <w:spacing w:after="0" w:line="360" w:lineRule="auto"/>
        <w:jc w:val="center"/>
        <w:rPr>
          <w:b/>
          <w:sz w:val="26"/>
          <w:szCs w:val="26"/>
        </w:rPr>
      </w:pPr>
    </w:p>
    <w:p w:rsidR="008C4F55" w:rsidRDefault="008C4F55"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D27186">
      <w:pPr>
        <w:spacing w:after="0" w:line="360" w:lineRule="auto"/>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9C5F8A" w:rsidRDefault="009C5F8A" w:rsidP="005A464E">
      <w:pPr>
        <w:spacing w:after="0" w:line="360" w:lineRule="auto"/>
        <w:jc w:val="center"/>
        <w:rPr>
          <w:b/>
          <w:sz w:val="26"/>
          <w:szCs w:val="26"/>
        </w:rPr>
      </w:pPr>
    </w:p>
    <w:p w:rsidR="008C4F55" w:rsidRPr="005A464E" w:rsidRDefault="008C4F55" w:rsidP="005A464E">
      <w:pPr>
        <w:spacing w:after="0" w:line="360" w:lineRule="auto"/>
        <w:jc w:val="center"/>
        <w:rPr>
          <w:b/>
          <w:sz w:val="28"/>
          <w:szCs w:val="28"/>
        </w:rPr>
      </w:pPr>
    </w:p>
    <w:p w:rsidR="00F631B7" w:rsidRPr="005A464E" w:rsidRDefault="00F631B7" w:rsidP="005A464E">
      <w:pPr>
        <w:tabs>
          <w:tab w:val="left" w:pos="7020"/>
        </w:tabs>
        <w:spacing w:line="360" w:lineRule="auto"/>
        <w:rPr>
          <w:sz w:val="24"/>
          <w:szCs w:val="24"/>
        </w:rPr>
      </w:pPr>
      <w:r w:rsidRPr="005A464E">
        <w:rPr>
          <w:sz w:val="24"/>
          <w:szCs w:val="24"/>
          <w:lang w:val="en-US"/>
        </w:rPr>
        <w:t>Copyright</w:t>
      </w:r>
      <w:r w:rsidRPr="005A464E">
        <w:rPr>
          <w:sz w:val="24"/>
          <w:szCs w:val="24"/>
        </w:rPr>
        <w:t xml:space="preserve"> </w:t>
      </w:r>
      <w:r w:rsidRPr="005A464E">
        <w:rPr>
          <w:sz w:val="24"/>
          <w:szCs w:val="24"/>
          <w:lang w:val="en-US"/>
        </w:rPr>
        <w:sym w:font="Symbol" w:char="F0D3"/>
      </w:r>
      <w:r w:rsidRPr="005A464E">
        <w:rPr>
          <w:sz w:val="24"/>
          <w:szCs w:val="24"/>
        </w:rPr>
        <w:t xml:space="preserve"> 2017</w:t>
      </w:r>
      <w:r w:rsidR="0078495A">
        <w:rPr>
          <w:sz w:val="24"/>
          <w:szCs w:val="24"/>
        </w:rPr>
        <w:t xml:space="preserve"> </w:t>
      </w:r>
      <w:r w:rsidRPr="005A464E">
        <w:rPr>
          <w:sz w:val="24"/>
          <w:szCs w:val="24"/>
        </w:rPr>
        <w:t>ΒΙΚΤΩΡΙΑ Δ. ΑΛΙΚΑΡΗ</w:t>
      </w:r>
    </w:p>
    <w:p w:rsidR="00F631B7" w:rsidRPr="005A464E" w:rsidRDefault="00F631B7" w:rsidP="005A464E">
      <w:pPr>
        <w:tabs>
          <w:tab w:val="left" w:pos="7020"/>
        </w:tabs>
        <w:spacing w:line="360" w:lineRule="auto"/>
        <w:rPr>
          <w:sz w:val="24"/>
          <w:szCs w:val="24"/>
        </w:rPr>
      </w:pPr>
      <w:r w:rsidRPr="005A464E">
        <w:rPr>
          <w:sz w:val="24"/>
          <w:szCs w:val="24"/>
        </w:rPr>
        <w:t xml:space="preserve">Με επιφύλαξη παντός δικαιώματος, </w:t>
      </w:r>
      <w:r w:rsidRPr="005A464E">
        <w:rPr>
          <w:sz w:val="24"/>
          <w:szCs w:val="24"/>
          <w:lang w:val="en-US"/>
        </w:rPr>
        <w:t>All</w:t>
      </w:r>
      <w:r w:rsidRPr="005A464E">
        <w:rPr>
          <w:sz w:val="24"/>
          <w:szCs w:val="24"/>
        </w:rPr>
        <w:t xml:space="preserve"> </w:t>
      </w:r>
      <w:r w:rsidRPr="005A464E">
        <w:rPr>
          <w:sz w:val="24"/>
          <w:szCs w:val="24"/>
          <w:lang w:val="en-US"/>
        </w:rPr>
        <w:t>rights</w:t>
      </w:r>
      <w:r w:rsidRPr="005A464E">
        <w:rPr>
          <w:sz w:val="24"/>
          <w:szCs w:val="24"/>
        </w:rPr>
        <w:t xml:space="preserve"> </w:t>
      </w:r>
      <w:r w:rsidRPr="005A464E">
        <w:rPr>
          <w:sz w:val="24"/>
          <w:szCs w:val="24"/>
          <w:lang w:val="en-US"/>
        </w:rPr>
        <w:t>reserved</w:t>
      </w:r>
    </w:p>
    <w:p w:rsidR="00F631B7" w:rsidRPr="005A464E" w:rsidRDefault="00F631B7" w:rsidP="005A464E">
      <w:pPr>
        <w:tabs>
          <w:tab w:val="left" w:pos="7020"/>
        </w:tabs>
        <w:spacing w:line="360" w:lineRule="auto"/>
        <w:jc w:val="both"/>
        <w:rPr>
          <w:sz w:val="24"/>
          <w:szCs w:val="24"/>
        </w:rPr>
      </w:pPr>
    </w:p>
    <w:p w:rsidR="00F631B7" w:rsidRPr="005A464E" w:rsidRDefault="00F631B7" w:rsidP="005A464E">
      <w:pPr>
        <w:tabs>
          <w:tab w:val="left" w:pos="7020"/>
        </w:tabs>
        <w:spacing w:line="360" w:lineRule="auto"/>
        <w:jc w:val="both"/>
        <w:rPr>
          <w:sz w:val="24"/>
          <w:szCs w:val="24"/>
        </w:rPr>
      </w:pPr>
      <w:r w:rsidRPr="005A464E">
        <w:rPr>
          <w:sz w:val="24"/>
          <w:szCs w:val="24"/>
        </w:rPr>
        <w:t>Η παρούσα εργασία εκπονήθηκε στο πλαίσ</w:t>
      </w:r>
      <w:r w:rsidR="004879B7" w:rsidRPr="005A464E">
        <w:rPr>
          <w:sz w:val="24"/>
          <w:szCs w:val="24"/>
        </w:rPr>
        <w:t>ιο της διδακτορικής διατριβής «Η ε</w:t>
      </w:r>
      <w:r w:rsidRPr="005A464E">
        <w:rPr>
          <w:sz w:val="24"/>
          <w:szCs w:val="24"/>
        </w:rPr>
        <w:t>πίδραση</w:t>
      </w:r>
      <w:r w:rsidR="004879B7" w:rsidRPr="005A464E">
        <w:rPr>
          <w:sz w:val="24"/>
          <w:szCs w:val="24"/>
        </w:rPr>
        <w:t xml:space="preserve"> της συμβουλευτικής νοσηλευτικής στη μεταβολή του επιπέδου γνώσεων, της ποιότητας ζωής και στη συμμόρφωση</w:t>
      </w:r>
      <w:r w:rsidR="0078495A">
        <w:rPr>
          <w:sz w:val="24"/>
          <w:szCs w:val="24"/>
        </w:rPr>
        <w:t xml:space="preserve"> </w:t>
      </w:r>
      <w:r w:rsidR="004879B7" w:rsidRPr="005A464E">
        <w:rPr>
          <w:sz w:val="24"/>
          <w:szCs w:val="24"/>
        </w:rPr>
        <w:t xml:space="preserve">ασθενών υπό αιμοκάθαρση στο θεραπευτικό σχήμα. </w:t>
      </w:r>
      <w:r w:rsidRPr="005A464E">
        <w:rPr>
          <w:sz w:val="24"/>
          <w:szCs w:val="24"/>
        </w:rPr>
        <w:t>Η έγκρισή της δεν υποδηλώνει απαραιτήτως και την αποδοχή των απόψεων του συγγραφέα εκ μέρους του Πανεπιστημίου Πελοποννήσου.</w:t>
      </w:r>
    </w:p>
    <w:p w:rsidR="00F631B7" w:rsidRPr="005A464E" w:rsidRDefault="00F631B7" w:rsidP="005A464E">
      <w:pPr>
        <w:spacing w:after="0" w:line="360" w:lineRule="auto"/>
        <w:jc w:val="center"/>
        <w:rPr>
          <w:b/>
          <w:sz w:val="28"/>
          <w:szCs w:val="28"/>
        </w:rPr>
      </w:pPr>
    </w:p>
    <w:p w:rsidR="00F631B7" w:rsidRPr="005A464E" w:rsidRDefault="00F631B7" w:rsidP="005A464E">
      <w:pPr>
        <w:spacing w:after="0" w:line="360" w:lineRule="auto"/>
        <w:jc w:val="center"/>
        <w:rPr>
          <w:b/>
          <w:sz w:val="28"/>
          <w:szCs w:val="28"/>
        </w:rPr>
      </w:pPr>
    </w:p>
    <w:p w:rsidR="00F631B7" w:rsidRPr="005A464E" w:rsidRDefault="00F631B7" w:rsidP="005A464E">
      <w:pPr>
        <w:spacing w:after="0" w:line="360" w:lineRule="auto"/>
        <w:jc w:val="center"/>
        <w:rPr>
          <w:b/>
          <w:sz w:val="28"/>
          <w:szCs w:val="28"/>
        </w:rPr>
      </w:pPr>
    </w:p>
    <w:p w:rsidR="004879B7" w:rsidRPr="005A464E" w:rsidRDefault="004879B7" w:rsidP="005A464E">
      <w:pPr>
        <w:spacing w:after="0" w:line="360" w:lineRule="auto"/>
        <w:jc w:val="center"/>
        <w:rPr>
          <w:b/>
          <w:sz w:val="28"/>
          <w:szCs w:val="28"/>
        </w:rPr>
      </w:pPr>
    </w:p>
    <w:p w:rsidR="004879B7" w:rsidRDefault="004879B7" w:rsidP="005A464E">
      <w:pPr>
        <w:spacing w:after="0" w:line="360" w:lineRule="auto"/>
        <w:jc w:val="center"/>
        <w:rPr>
          <w:b/>
          <w:sz w:val="28"/>
          <w:szCs w:val="28"/>
        </w:rPr>
      </w:pPr>
    </w:p>
    <w:p w:rsidR="008C4F55" w:rsidRDefault="008C4F55" w:rsidP="005A464E">
      <w:pPr>
        <w:spacing w:after="0" w:line="360" w:lineRule="auto"/>
        <w:jc w:val="center"/>
        <w:rPr>
          <w:b/>
          <w:sz w:val="28"/>
          <w:szCs w:val="28"/>
        </w:rPr>
      </w:pPr>
    </w:p>
    <w:p w:rsidR="008C4F55" w:rsidRDefault="008C4F55" w:rsidP="005A464E">
      <w:pPr>
        <w:spacing w:after="0" w:line="360" w:lineRule="auto"/>
        <w:jc w:val="center"/>
        <w:rPr>
          <w:b/>
          <w:sz w:val="28"/>
          <w:szCs w:val="28"/>
        </w:rPr>
      </w:pPr>
    </w:p>
    <w:p w:rsidR="008C4F55" w:rsidRDefault="008C4F55" w:rsidP="005A464E">
      <w:pPr>
        <w:spacing w:after="0" w:line="360" w:lineRule="auto"/>
        <w:jc w:val="center"/>
        <w:rPr>
          <w:b/>
          <w:sz w:val="28"/>
          <w:szCs w:val="28"/>
        </w:rPr>
      </w:pPr>
    </w:p>
    <w:p w:rsidR="008C4F55" w:rsidRDefault="008C4F55" w:rsidP="005A464E">
      <w:pPr>
        <w:spacing w:after="0" w:line="360" w:lineRule="auto"/>
        <w:jc w:val="center"/>
        <w:rPr>
          <w:b/>
          <w:sz w:val="28"/>
          <w:szCs w:val="28"/>
        </w:rPr>
      </w:pPr>
    </w:p>
    <w:p w:rsidR="008C4F55" w:rsidRDefault="008C4F55" w:rsidP="005A464E">
      <w:pPr>
        <w:spacing w:after="0" w:line="360" w:lineRule="auto"/>
        <w:jc w:val="center"/>
        <w:rPr>
          <w:b/>
          <w:sz w:val="28"/>
          <w:szCs w:val="28"/>
        </w:rPr>
      </w:pPr>
    </w:p>
    <w:p w:rsidR="008C4F55" w:rsidRDefault="008C4F55" w:rsidP="005A464E">
      <w:pPr>
        <w:spacing w:after="0" w:line="360" w:lineRule="auto"/>
        <w:jc w:val="center"/>
        <w:rPr>
          <w:b/>
          <w:sz w:val="28"/>
          <w:szCs w:val="28"/>
        </w:rPr>
      </w:pPr>
    </w:p>
    <w:p w:rsidR="008C4F55" w:rsidRPr="00785007" w:rsidRDefault="008C4F55" w:rsidP="00785007">
      <w:pPr>
        <w:spacing w:after="0" w:line="360" w:lineRule="auto"/>
        <w:rPr>
          <w:b/>
          <w:sz w:val="28"/>
          <w:szCs w:val="28"/>
        </w:rPr>
      </w:pPr>
    </w:p>
    <w:p w:rsidR="00785007" w:rsidRPr="00785007" w:rsidRDefault="00785007" w:rsidP="00785007">
      <w:pPr>
        <w:spacing w:after="0" w:line="360" w:lineRule="auto"/>
        <w:rPr>
          <w:b/>
          <w:sz w:val="28"/>
          <w:szCs w:val="28"/>
        </w:rPr>
      </w:pPr>
    </w:p>
    <w:p w:rsidR="00785007" w:rsidRPr="00785007" w:rsidRDefault="00785007" w:rsidP="00785007">
      <w:pPr>
        <w:spacing w:after="0" w:line="360" w:lineRule="auto"/>
        <w:rPr>
          <w:b/>
          <w:sz w:val="28"/>
          <w:szCs w:val="28"/>
        </w:rPr>
      </w:pPr>
    </w:p>
    <w:p w:rsidR="00785007" w:rsidRPr="00785007" w:rsidRDefault="00785007" w:rsidP="00785007">
      <w:pPr>
        <w:spacing w:after="0" w:line="360" w:lineRule="auto"/>
        <w:rPr>
          <w:b/>
          <w:sz w:val="28"/>
          <w:szCs w:val="28"/>
        </w:rPr>
      </w:pPr>
    </w:p>
    <w:p w:rsidR="00785007" w:rsidRPr="00785007" w:rsidRDefault="00785007" w:rsidP="00785007">
      <w:pPr>
        <w:spacing w:after="0" w:line="360" w:lineRule="auto"/>
        <w:rPr>
          <w:b/>
          <w:sz w:val="28"/>
          <w:szCs w:val="28"/>
        </w:rPr>
      </w:pPr>
    </w:p>
    <w:p w:rsidR="00785007" w:rsidRPr="00785007" w:rsidRDefault="00785007" w:rsidP="00785007">
      <w:pPr>
        <w:spacing w:after="0" w:line="360" w:lineRule="auto"/>
        <w:rPr>
          <w:b/>
          <w:sz w:val="28"/>
          <w:szCs w:val="28"/>
        </w:rPr>
      </w:pPr>
    </w:p>
    <w:p w:rsidR="00785007" w:rsidRPr="00785007" w:rsidRDefault="00785007" w:rsidP="00785007">
      <w:pPr>
        <w:spacing w:after="0" w:line="360" w:lineRule="auto"/>
        <w:rPr>
          <w:b/>
          <w:sz w:val="28"/>
          <w:szCs w:val="28"/>
        </w:rPr>
      </w:pPr>
    </w:p>
    <w:p w:rsidR="00785007" w:rsidRPr="00785007" w:rsidRDefault="00785007" w:rsidP="00785007">
      <w:pPr>
        <w:spacing w:after="0" w:line="360" w:lineRule="auto"/>
        <w:rPr>
          <w:b/>
          <w:sz w:val="28"/>
          <w:szCs w:val="28"/>
        </w:rPr>
      </w:pPr>
    </w:p>
    <w:p w:rsidR="00785007" w:rsidRPr="00785007" w:rsidRDefault="00785007" w:rsidP="00785007">
      <w:pPr>
        <w:spacing w:after="0" w:line="360" w:lineRule="auto"/>
        <w:rPr>
          <w:b/>
          <w:sz w:val="28"/>
          <w:szCs w:val="28"/>
        </w:rPr>
      </w:pPr>
    </w:p>
    <w:p w:rsidR="00785007" w:rsidRPr="00785007" w:rsidRDefault="00785007" w:rsidP="00785007">
      <w:pPr>
        <w:spacing w:after="0" w:line="360" w:lineRule="auto"/>
        <w:rPr>
          <w:b/>
          <w:sz w:val="28"/>
          <w:szCs w:val="28"/>
        </w:rPr>
      </w:pPr>
    </w:p>
    <w:p w:rsidR="00785007" w:rsidRPr="00785007" w:rsidRDefault="00785007" w:rsidP="00785007">
      <w:pPr>
        <w:spacing w:after="0" w:line="360" w:lineRule="auto"/>
        <w:rPr>
          <w:b/>
          <w:sz w:val="28"/>
          <w:szCs w:val="28"/>
        </w:rPr>
      </w:pPr>
    </w:p>
    <w:p w:rsidR="00785007" w:rsidRPr="00785007" w:rsidRDefault="00785007" w:rsidP="00785007">
      <w:pPr>
        <w:spacing w:after="0" w:line="360" w:lineRule="auto"/>
        <w:rPr>
          <w:b/>
          <w:sz w:val="28"/>
          <w:szCs w:val="28"/>
        </w:rPr>
      </w:pPr>
    </w:p>
    <w:p w:rsidR="00785007" w:rsidRPr="00785007" w:rsidRDefault="00785007" w:rsidP="00785007">
      <w:pPr>
        <w:spacing w:after="0" w:line="360" w:lineRule="auto"/>
        <w:rPr>
          <w:b/>
          <w:sz w:val="28"/>
          <w:szCs w:val="28"/>
        </w:rPr>
      </w:pPr>
    </w:p>
    <w:p w:rsidR="00785007" w:rsidRPr="00785007" w:rsidRDefault="00785007" w:rsidP="00785007">
      <w:pPr>
        <w:spacing w:after="0" w:line="360" w:lineRule="auto"/>
        <w:rPr>
          <w:b/>
          <w:sz w:val="28"/>
          <w:szCs w:val="28"/>
        </w:rPr>
      </w:pPr>
    </w:p>
    <w:p w:rsidR="00785007" w:rsidRPr="00785007" w:rsidRDefault="00785007" w:rsidP="00785007">
      <w:pPr>
        <w:spacing w:after="0" w:line="360" w:lineRule="auto"/>
        <w:rPr>
          <w:b/>
          <w:sz w:val="28"/>
          <w:szCs w:val="28"/>
        </w:rPr>
      </w:pPr>
    </w:p>
    <w:p w:rsidR="00785007" w:rsidRPr="00785007" w:rsidRDefault="00785007" w:rsidP="00785007">
      <w:pPr>
        <w:spacing w:after="0" w:line="360" w:lineRule="auto"/>
        <w:rPr>
          <w:b/>
          <w:sz w:val="28"/>
          <w:szCs w:val="28"/>
        </w:rPr>
      </w:pPr>
    </w:p>
    <w:p w:rsidR="008C4F55" w:rsidRDefault="008C4F55" w:rsidP="005A464E">
      <w:pPr>
        <w:spacing w:after="0" w:line="360" w:lineRule="auto"/>
        <w:jc w:val="center"/>
        <w:rPr>
          <w:b/>
          <w:sz w:val="28"/>
          <w:szCs w:val="28"/>
        </w:rPr>
      </w:pPr>
    </w:p>
    <w:p w:rsidR="008C4F55" w:rsidRDefault="008C4F55" w:rsidP="005A464E">
      <w:pPr>
        <w:spacing w:after="0" w:line="360" w:lineRule="auto"/>
        <w:jc w:val="center"/>
        <w:rPr>
          <w:b/>
          <w:sz w:val="28"/>
          <w:szCs w:val="28"/>
        </w:rPr>
      </w:pPr>
    </w:p>
    <w:p w:rsidR="008C4F55" w:rsidRDefault="008C4F55" w:rsidP="005A464E">
      <w:pPr>
        <w:spacing w:after="0" w:line="360" w:lineRule="auto"/>
        <w:jc w:val="center"/>
        <w:rPr>
          <w:b/>
          <w:sz w:val="28"/>
          <w:szCs w:val="28"/>
        </w:rPr>
      </w:pPr>
    </w:p>
    <w:p w:rsidR="008C4F55" w:rsidRDefault="008C4F55" w:rsidP="005A464E">
      <w:pPr>
        <w:spacing w:after="0" w:line="360" w:lineRule="auto"/>
        <w:jc w:val="center"/>
        <w:rPr>
          <w:b/>
          <w:sz w:val="28"/>
          <w:szCs w:val="28"/>
        </w:rPr>
      </w:pPr>
    </w:p>
    <w:p w:rsidR="008C4F55" w:rsidRDefault="008C4F55" w:rsidP="005A464E">
      <w:pPr>
        <w:spacing w:after="0" w:line="360" w:lineRule="auto"/>
        <w:jc w:val="center"/>
        <w:rPr>
          <w:b/>
          <w:sz w:val="28"/>
          <w:szCs w:val="28"/>
        </w:rPr>
      </w:pPr>
    </w:p>
    <w:p w:rsidR="008C4F55" w:rsidRDefault="008C4F55" w:rsidP="005A464E">
      <w:pPr>
        <w:spacing w:after="0" w:line="360" w:lineRule="auto"/>
        <w:jc w:val="center"/>
        <w:rPr>
          <w:b/>
          <w:sz w:val="28"/>
          <w:szCs w:val="28"/>
        </w:rPr>
      </w:pPr>
    </w:p>
    <w:p w:rsidR="008C4F55" w:rsidRDefault="008C4F55" w:rsidP="005A464E">
      <w:pPr>
        <w:spacing w:after="0" w:line="360" w:lineRule="auto"/>
        <w:jc w:val="center"/>
        <w:rPr>
          <w:b/>
          <w:sz w:val="28"/>
          <w:szCs w:val="28"/>
        </w:rPr>
      </w:pPr>
    </w:p>
    <w:p w:rsidR="008C4F55" w:rsidRDefault="008C4F55" w:rsidP="005A464E">
      <w:pPr>
        <w:spacing w:after="0" w:line="360" w:lineRule="auto"/>
        <w:jc w:val="center"/>
        <w:rPr>
          <w:b/>
          <w:sz w:val="28"/>
          <w:szCs w:val="28"/>
        </w:rPr>
      </w:pPr>
    </w:p>
    <w:p w:rsidR="008C4F55" w:rsidRDefault="008C4F55" w:rsidP="005A464E">
      <w:pPr>
        <w:spacing w:after="0" w:line="360" w:lineRule="auto"/>
        <w:jc w:val="center"/>
        <w:rPr>
          <w:b/>
          <w:sz w:val="28"/>
          <w:szCs w:val="28"/>
        </w:rPr>
      </w:pPr>
    </w:p>
    <w:p w:rsidR="008C4F55" w:rsidRDefault="008C4F55" w:rsidP="005A464E">
      <w:pPr>
        <w:spacing w:after="0" w:line="360" w:lineRule="auto"/>
        <w:jc w:val="center"/>
        <w:rPr>
          <w:b/>
          <w:sz w:val="28"/>
          <w:szCs w:val="28"/>
        </w:rPr>
      </w:pPr>
    </w:p>
    <w:p w:rsidR="008C4F55" w:rsidRDefault="008C4F55" w:rsidP="008C4F55">
      <w:pPr>
        <w:spacing w:after="0" w:line="360" w:lineRule="auto"/>
        <w:rPr>
          <w:b/>
          <w:sz w:val="28"/>
          <w:szCs w:val="28"/>
        </w:rPr>
      </w:pPr>
    </w:p>
    <w:p w:rsidR="008C4F55" w:rsidRDefault="008C4F55" w:rsidP="008C4F55">
      <w:pPr>
        <w:spacing w:after="0" w:line="360" w:lineRule="auto"/>
        <w:rPr>
          <w:b/>
          <w:sz w:val="28"/>
          <w:szCs w:val="28"/>
        </w:rPr>
      </w:pPr>
    </w:p>
    <w:p w:rsidR="008C4F55" w:rsidRDefault="008C4F55" w:rsidP="005A464E">
      <w:pPr>
        <w:spacing w:after="0" w:line="360" w:lineRule="auto"/>
        <w:jc w:val="center"/>
        <w:rPr>
          <w:b/>
          <w:sz w:val="28"/>
          <w:szCs w:val="28"/>
        </w:rPr>
      </w:pPr>
    </w:p>
    <w:p w:rsidR="008C4F55" w:rsidRDefault="008C4F55" w:rsidP="005A464E">
      <w:pPr>
        <w:spacing w:after="0" w:line="360" w:lineRule="auto"/>
        <w:jc w:val="center"/>
        <w:rPr>
          <w:b/>
          <w:sz w:val="28"/>
          <w:szCs w:val="28"/>
        </w:rPr>
      </w:pPr>
    </w:p>
    <w:p w:rsidR="008C4F55" w:rsidRDefault="008C4F55" w:rsidP="005A464E">
      <w:pPr>
        <w:spacing w:after="0" w:line="360" w:lineRule="auto"/>
        <w:jc w:val="center"/>
        <w:rPr>
          <w:b/>
          <w:sz w:val="28"/>
          <w:szCs w:val="28"/>
        </w:rPr>
      </w:pPr>
    </w:p>
    <w:p w:rsidR="008C4F55" w:rsidRDefault="008C4F55" w:rsidP="005A464E">
      <w:pPr>
        <w:spacing w:after="0" w:line="360" w:lineRule="auto"/>
        <w:jc w:val="center"/>
        <w:rPr>
          <w:b/>
          <w:sz w:val="28"/>
          <w:szCs w:val="28"/>
        </w:rPr>
      </w:pPr>
    </w:p>
    <w:p w:rsidR="008C4F55" w:rsidRDefault="008C4F55" w:rsidP="005A464E">
      <w:pPr>
        <w:spacing w:after="0" w:line="360" w:lineRule="auto"/>
        <w:jc w:val="center"/>
        <w:rPr>
          <w:b/>
          <w:sz w:val="28"/>
          <w:szCs w:val="28"/>
        </w:rPr>
      </w:pPr>
    </w:p>
    <w:p w:rsidR="008C4F55" w:rsidRDefault="008C4F55" w:rsidP="005A464E">
      <w:pPr>
        <w:spacing w:after="0" w:line="360" w:lineRule="auto"/>
        <w:jc w:val="center"/>
        <w:rPr>
          <w:b/>
          <w:sz w:val="28"/>
          <w:szCs w:val="28"/>
        </w:rPr>
      </w:pPr>
    </w:p>
    <w:p w:rsidR="008C4F55" w:rsidRPr="005A464E" w:rsidRDefault="008C4F55" w:rsidP="005A464E">
      <w:pPr>
        <w:spacing w:after="0" w:line="360" w:lineRule="auto"/>
        <w:jc w:val="center"/>
        <w:rPr>
          <w:b/>
          <w:sz w:val="28"/>
          <w:szCs w:val="28"/>
        </w:rPr>
      </w:pPr>
    </w:p>
    <w:p w:rsidR="009C5F8A" w:rsidRDefault="009C5F8A" w:rsidP="005A464E">
      <w:pPr>
        <w:spacing w:line="360" w:lineRule="auto"/>
        <w:jc w:val="both"/>
        <w:rPr>
          <w:sz w:val="24"/>
          <w:szCs w:val="24"/>
        </w:rPr>
      </w:pPr>
    </w:p>
    <w:p w:rsidR="009C5F8A" w:rsidRDefault="009C5F8A" w:rsidP="005A464E">
      <w:pPr>
        <w:spacing w:line="360" w:lineRule="auto"/>
        <w:jc w:val="both"/>
        <w:rPr>
          <w:sz w:val="24"/>
          <w:szCs w:val="24"/>
        </w:rPr>
      </w:pPr>
    </w:p>
    <w:p w:rsidR="004879B7" w:rsidRPr="005A464E" w:rsidRDefault="004879B7" w:rsidP="005A464E">
      <w:pPr>
        <w:spacing w:line="360" w:lineRule="auto"/>
        <w:jc w:val="both"/>
        <w:rPr>
          <w:sz w:val="24"/>
          <w:szCs w:val="24"/>
        </w:rPr>
      </w:pPr>
      <w:r w:rsidRPr="005A464E">
        <w:rPr>
          <w:sz w:val="24"/>
          <w:szCs w:val="24"/>
        </w:rPr>
        <w:t>Βεβαιώνω ότι η παρούσα εργασία είναι αποτέλεσμα δικής μου εργασίας και δεν αποτελεί προϊόν αντιγραφής. Στις δημοσιευμένες ή μη δημοσιευμένες πηγές που αναφέρω έχω χρησιμοποιήσει εισαγωγικά και όπου απαιτείται έχω παραθέσει τις πηγές τους στο τμήμα της βιβλιογραφίας.</w:t>
      </w:r>
    </w:p>
    <w:p w:rsidR="004879B7" w:rsidRPr="005A464E" w:rsidRDefault="004879B7" w:rsidP="005A464E">
      <w:pPr>
        <w:spacing w:line="360" w:lineRule="auto"/>
        <w:jc w:val="right"/>
        <w:rPr>
          <w:sz w:val="24"/>
          <w:szCs w:val="24"/>
        </w:rPr>
      </w:pPr>
    </w:p>
    <w:p w:rsidR="009C5F8A" w:rsidRDefault="004879B7" w:rsidP="009C5F8A">
      <w:pPr>
        <w:spacing w:line="360" w:lineRule="auto"/>
        <w:rPr>
          <w:sz w:val="24"/>
          <w:szCs w:val="24"/>
        </w:rPr>
      </w:pPr>
      <w:r w:rsidRPr="005A464E">
        <w:rPr>
          <w:sz w:val="24"/>
          <w:szCs w:val="24"/>
        </w:rPr>
        <w:t>Υπογραφή:</w:t>
      </w:r>
    </w:p>
    <w:p w:rsidR="008C4F55" w:rsidRPr="009C5F8A" w:rsidRDefault="008C4F55" w:rsidP="009C5F8A">
      <w:pPr>
        <w:spacing w:line="360" w:lineRule="auto"/>
        <w:rPr>
          <w:sz w:val="24"/>
          <w:szCs w:val="24"/>
        </w:rPr>
      </w:pPr>
      <w:r w:rsidRPr="008C4F55">
        <w:rPr>
          <w:rFonts w:asciiTheme="minorHAnsi" w:hAnsiTheme="minorHAnsi"/>
          <w:b/>
          <w:sz w:val="24"/>
          <w:szCs w:val="24"/>
        </w:rPr>
        <w:t>ΔΙΔΑΚΤΟΡΙΚΗ ΔΙΑΤΡΙΒΗ</w:t>
      </w:r>
    </w:p>
    <w:p w:rsidR="000729FE" w:rsidRPr="008C4F55" w:rsidRDefault="008C4F55" w:rsidP="0078495A">
      <w:pPr>
        <w:spacing w:line="360" w:lineRule="auto"/>
        <w:jc w:val="both"/>
        <w:rPr>
          <w:rFonts w:asciiTheme="minorHAnsi" w:hAnsiTheme="minorHAnsi"/>
          <w:b/>
          <w:sz w:val="24"/>
          <w:szCs w:val="24"/>
        </w:rPr>
      </w:pPr>
      <w:r w:rsidRPr="008C4F55">
        <w:rPr>
          <w:rFonts w:asciiTheme="minorHAnsi" w:hAnsiTheme="minorHAnsi"/>
          <w:sz w:val="24"/>
          <w:szCs w:val="24"/>
        </w:rPr>
        <w:t>Η</w:t>
      </w:r>
      <w:r w:rsidR="0078495A">
        <w:rPr>
          <w:rFonts w:asciiTheme="minorHAnsi" w:hAnsiTheme="minorHAnsi"/>
          <w:sz w:val="24"/>
          <w:szCs w:val="24"/>
        </w:rPr>
        <w:t xml:space="preserve"> </w:t>
      </w:r>
      <w:r w:rsidRPr="008C4F55">
        <w:rPr>
          <w:rFonts w:asciiTheme="minorHAnsi" w:hAnsiTheme="minorHAnsi"/>
          <w:sz w:val="24"/>
          <w:szCs w:val="24"/>
        </w:rPr>
        <w:t>ΕΠΙΔΡΑΣΗ ΤΗΣ ΣΥΜΒΟΥΛΕΥΤΙΚΗΣ ΝΟΣΗΛΕΥΤΙΚΗΣ ΣΤΗ ΜΕΤΑΒΟΛΗ ΤΟΥ ΕΠΙΠΕΔΟΥ ΓΝΩΣΕΩΝ, ΤΗΣ ΠΟΙΟΤΗΤΑΣ ΖΩΗΣ ΚΑΙ ΣΤΗ ΣΥΜΜΟΡΦΩΣΗ ΑΣΘΕΝΩΝ ΥΠΟ ΑΙΜΟΚΑΘΑΡΣΗ ΣΤΟ ΘΕΡΑΠΕΥΤΙΚΟ ΣΧΗΜΑ</w:t>
      </w:r>
    </w:p>
    <w:p w:rsidR="000729FE" w:rsidRDefault="008C4F55" w:rsidP="005A464E">
      <w:pPr>
        <w:spacing w:line="360" w:lineRule="auto"/>
        <w:rPr>
          <w:b/>
          <w:sz w:val="24"/>
          <w:szCs w:val="24"/>
        </w:rPr>
      </w:pPr>
      <w:r>
        <w:rPr>
          <w:b/>
          <w:sz w:val="24"/>
          <w:szCs w:val="24"/>
        </w:rPr>
        <w:t>Βικτώρια Αλικάρη</w:t>
      </w:r>
    </w:p>
    <w:p w:rsidR="008C4F55" w:rsidRPr="008C4F55" w:rsidRDefault="008C4F55" w:rsidP="008C4F55">
      <w:pPr>
        <w:tabs>
          <w:tab w:val="left" w:pos="1980"/>
        </w:tabs>
        <w:spacing w:line="360" w:lineRule="auto"/>
        <w:jc w:val="both"/>
        <w:rPr>
          <w:rFonts w:asciiTheme="minorHAnsi" w:hAnsiTheme="minorHAnsi"/>
          <w:b/>
          <w:sz w:val="24"/>
          <w:szCs w:val="24"/>
        </w:rPr>
      </w:pPr>
      <w:r w:rsidRPr="008C4F55">
        <w:rPr>
          <w:rFonts w:asciiTheme="minorHAnsi" w:hAnsiTheme="minorHAnsi"/>
          <w:b/>
          <w:sz w:val="24"/>
          <w:szCs w:val="24"/>
        </w:rPr>
        <w:t>ΕΠΙΒΛΕΠΟΥΣΑ ΚΑΘΗΓΗΤΡΙΑ</w:t>
      </w:r>
    </w:p>
    <w:p w:rsidR="008C4F55" w:rsidRPr="008C4F55" w:rsidRDefault="00A65ED9" w:rsidP="008C4F55">
      <w:pPr>
        <w:tabs>
          <w:tab w:val="left" w:pos="1980"/>
        </w:tabs>
        <w:spacing w:line="360" w:lineRule="auto"/>
        <w:jc w:val="both"/>
        <w:rPr>
          <w:rFonts w:asciiTheme="minorHAnsi" w:hAnsiTheme="minorHAnsi"/>
          <w:b/>
          <w:sz w:val="24"/>
          <w:szCs w:val="24"/>
        </w:rPr>
      </w:pPr>
      <w:r>
        <w:rPr>
          <w:rFonts w:asciiTheme="minorHAnsi" w:hAnsiTheme="minorHAnsi"/>
          <w:b/>
          <w:sz w:val="24"/>
          <w:szCs w:val="24"/>
        </w:rPr>
        <w:t>Ζυγά Σοφία</w:t>
      </w:r>
      <w:r w:rsidR="001979E4" w:rsidRPr="001979E4">
        <w:rPr>
          <w:rFonts w:asciiTheme="minorHAnsi" w:hAnsiTheme="minorHAnsi"/>
          <w:b/>
          <w:sz w:val="24"/>
          <w:szCs w:val="24"/>
        </w:rPr>
        <w:t>,</w:t>
      </w:r>
      <w:r w:rsidR="008C4F55" w:rsidRPr="008C4F55">
        <w:rPr>
          <w:rFonts w:asciiTheme="minorHAnsi" w:hAnsiTheme="minorHAnsi"/>
          <w:b/>
          <w:sz w:val="24"/>
          <w:szCs w:val="24"/>
        </w:rPr>
        <w:t xml:space="preserve"> </w:t>
      </w:r>
      <w:r w:rsidR="008C4F55" w:rsidRPr="008C4F55">
        <w:rPr>
          <w:rFonts w:asciiTheme="minorHAnsi" w:hAnsiTheme="minorHAnsi"/>
          <w:sz w:val="24"/>
          <w:szCs w:val="24"/>
        </w:rPr>
        <w:t xml:space="preserve">Αναπληρώτρια Καθηγήτρια Τμήματος Νοσηλευτικής Πανεπιστημίου Πελοποννήσου </w:t>
      </w:r>
    </w:p>
    <w:p w:rsidR="004879B7" w:rsidRPr="00B77C09" w:rsidRDefault="004879B7" w:rsidP="005A464E">
      <w:pPr>
        <w:spacing w:line="360" w:lineRule="auto"/>
        <w:rPr>
          <w:b/>
          <w:sz w:val="24"/>
          <w:szCs w:val="24"/>
        </w:rPr>
      </w:pPr>
      <w:r w:rsidRPr="005A464E">
        <w:rPr>
          <w:b/>
          <w:sz w:val="24"/>
          <w:szCs w:val="24"/>
        </w:rPr>
        <w:t>ΤΡΙΜΕΛΗΣ</w:t>
      </w:r>
      <w:r w:rsidR="0078495A">
        <w:rPr>
          <w:b/>
          <w:sz w:val="24"/>
          <w:szCs w:val="24"/>
        </w:rPr>
        <w:t xml:space="preserve"> </w:t>
      </w:r>
      <w:r w:rsidRPr="005A464E">
        <w:rPr>
          <w:b/>
          <w:sz w:val="24"/>
          <w:szCs w:val="24"/>
        </w:rPr>
        <w:t>ΣΥΜΒΟΥΛΕΥΤΙΚΗ</w:t>
      </w:r>
      <w:r w:rsidR="0078495A">
        <w:rPr>
          <w:b/>
          <w:sz w:val="24"/>
          <w:szCs w:val="24"/>
        </w:rPr>
        <w:t xml:space="preserve"> </w:t>
      </w:r>
      <w:r w:rsidRPr="005A464E">
        <w:rPr>
          <w:b/>
          <w:sz w:val="24"/>
          <w:szCs w:val="24"/>
        </w:rPr>
        <w:t>ΕΠΙΤΡΟΠΗ</w:t>
      </w:r>
    </w:p>
    <w:p w:rsidR="00E56066" w:rsidRPr="005A464E" w:rsidRDefault="004879B7" w:rsidP="005A464E">
      <w:pPr>
        <w:tabs>
          <w:tab w:val="left" w:pos="2268"/>
        </w:tabs>
        <w:spacing w:line="360" w:lineRule="auto"/>
        <w:jc w:val="both"/>
        <w:rPr>
          <w:sz w:val="24"/>
          <w:szCs w:val="24"/>
        </w:rPr>
      </w:pPr>
      <w:r w:rsidRPr="005A464E">
        <w:rPr>
          <w:b/>
          <w:sz w:val="24"/>
          <w:szCs w:val="24"/>
        </w:rPr>
        <w:t>Ζυγά Σοφία</w:t>
      </w:r>
      <w:r w:rsidR="00E56066" w:rsidRPr="005A464E">
        <w:rPr>
          <w:b/>
          <w:sz w:val="24"/>
          <w:szCs w:val="24"/>
        </w:rPr>
        <w:t>,</w:t>
      </w:r>
      <w:r w:rsidRPr="005A464E">
        <w:rPr>
          <w:b/>
          <w:sz w:val="24"/>
          <w:szCs w:val="24"/>
        </w:rPr>
        <w:t xml:space="preserve"> </w:t>
      </w:r>
      <w:r w:rsidRPr="005A464E">
        <w:rPr>
          <w:sz w:val="24"/>
          <w:szCs w:val="24"/>
        </w:rPr>
        <w:t>Αναπληρώτρια Καθηγήτρια (Επιβλέπουσα)</w:t>
      </w:r>
      <w:r w:rsidR="009D0733" w:rsidRPr="005A464E">
        <w:rPr>
          <w:sz w:val="24"/>
          <w:szCs w:val="24"/>
        </w:rPr>
        <w:t>, Τμήμα Νοσηλευτικής, Πανεπιστήμιο Πελοποννήσου</w:t>
      </w:r>
    </w:p>
    <w:p w:rsidR="004879B7" w:rsidRPr="005A464E" w:rsidRDefault="004879B7" w:rsidP="005A464E">
      <w:pPr>
        <w:tabs>
          <w:tab w:val="left" w:pos="2268"/>
        </w:tabs>
        <w:spacing w:line="360" w:lineRule="auto"/>
        <w:jc w:val="both"/>
        <w:rPr>
          <w:sz w:val="24"/>
          <w:szCs w:val="24"/>
        </w:rPr>
      </w:pPr>
      <w:r w:rsidRPr="005A464E">
        <w:rPr>
          <w:b/>
          <w:sz w:val="24"/>
          <w:szCs w:val="24"/>
        </w:rPr>
        <w:t>Τσιρώνη Μαρία</w:t>
      </w:r>
      <w:r w:rsidR="00E56066" w:rsidRPr="005A464E">
        <w:rPr>
          <w:b/>
          <w:sz w:val="24"/>
          <w:szCs w:val="24"/>
        </w:rPr>
        <w:t>,</w:t>
      </w:r>
      <w:r w:rsidR="00E31558" w:rsidRPr="005A464E">
        <w:rPr>
          <w:sz w:val="24"/>
          <w:szCs w:val="24"/>
        </w:rPr>
        <w:t xml:space="preserve"> </w:t>
      </w:r>
      <w:r w:rsidRPr="005A464E">
        <w:rPr>
          <w:sz w:val="24"/>
          <w:szCs w:val="24"/>
        </w:rPr>
        <w:t>Καθηγήτρια</w:t>
      </w:r>
      <w:r w:rsidR="009D0733" w:rsidRPr="005A464E">
        <w:rPr>
          <w:sz w:val="24"/>
          <w:szCs w:val="24"/>
        </w:rPr>
        <w:t>, Τμήμα Νοσηλευτικής,Πανεπιστήμιο Πελοποννήσου</w:t>
      </w:r>
    </w:p>
    <w:p w:rsidR="00E56066" w:rsidRPr="005A464E" w:rsidRDefault="001979E4" w:rsidP="000729FE">
      <w:pPr>
        <w:tabs>
          <w:tab w:val="left" w:pos="2268"/>
        </w:tabs>
        <w:spacing w:after="0" w:line="360" w:lineRule="auto"/>
        <w:jc w:val="both"/>
        <w:rPr>
          <w:sz w:val="24"/>
          <w:szCs w:val="24"/>
        </w:rPr>
      </w:pPr>
      <w:r>
        <w:rPr>
          <w:b/>
          <w:sz w:val="24"/>
          <w:szCs w:val="24"/>
        </w:rPr>
        <w:t>Μάτζιου Βασιλική</w:t>
      </w:r>
      <w:r w:rsidRPr="001979E4">
        <w:rPr>
          <w:b/>
          <w:sz w:val="24"/>
          <w:szCs w:val="24"/>
        </w:rPr>
        <w:t>,</w:t>
      </w:r>
      <w:r w:rsidR="00E56066" w:rsidRPr="005A464E">
        <w:rPr>
          <w:b/>
          <w:sz w:val="24"/>
          <w:szCs w:val="24"/>
        </w:rPr>
        <w:t xml:space="preserve"> </w:t>
      </w:r>
      <w:r w:rsidR="0078495A">
        <w:rPr>
          <w:sz w:val="24"/>
          <w:szCs w:val="24"/>
        </w:rPr>
        <w:t>Καθηγήτρια, Τμήμα Νοσηλευτικής</w:t>
      </w:r>
      <w:r w:rsidR="00E56066" w:rsidRPr="005A464E">
        <w:rPr>
          <w:sz w:val="24"/>
          <w:szCs w:val="24"/>
        </w:rPr>
        <w:t>, Εθνικό και Καποδιστριακό</w:t>
      </w:r>
      <w:r w:rsidR="0078495A">
        <w:rPr>
          <w:sz w:val="24"/>
          <w:szCs w:val="24"/>
        </w:rPr>
        <w:t xml:space="preserve">   </w:t>
      </w:r>
      <w:r w:rsidR="00E56066" w:rsidRPr="005A464E">
        <w:rPr>
          <w:sz w:val="24"/>
          <w:szCs w:val="24"/>
        </w:rPr>
        <w:t xml:space="preserve"> </w:t>
      </w:r>
    </w:p>
    <w:p w:rsidR="00E56066" w:rsidRPr="005A464E" w:rsidRDefault="00E56066" w:rsidP="005A464E">
      <w:pPr>
        <w:spacing w:after="0" w:line="360" w:lineRule="auto"/>
        <w:jc w:val="both"/>
        <w:rPr>
          <w:sz w:val="24"/>
          <w:szCs w:val="24"/>
        </w:rPr>
      </w:pPr>
      <w:r w:rsidRPr="005A464E">
        <w:rPr>
          <w:sz w:val="24"/>
          <w:szCs w:val="24"/>
        </w:rPr>
        <w:t>Πανεπιστήμιο Αθηνών</w:t>
      </w:r>
    </w:p>
    <w:p w:rsidR="004879B7" w:rsidRPr="005A464E" w:rsidRDefault="004879B7" w:rsidP="005A464E">
      <w:pPr>
        <w:spacing w:after="0" w:line="360" w:lineRule="auto"/>
        <w:jc w:val="both"/>
        <w:rPr>
          <w:b/>
          <w:sz w:val="24"/>
          <w:szCs w:val="24"/>
        </w:rPr>
      </w:pPr>
    </w:p>
    <w:p w:rsidR="00E56066" w:rsidRPr="005A464E" w:rsidRDefault="004879B7" w:rsidP="005A464E">
      <w:pPr>
        <w:pStyle w:val="af3"/>
        <w:jc w:val="left"/>
        <w:rPr>
          <w:rFonts w:asciiTheme="minorHAnsi" w:hAnsiTheme="minorHAnsi"/>
        </w:rPr>
      </w:pPr>
      <w:r w:rsidRPr="005A464E">
        <w:rPr>
          <w:rFonts w:asciiTheme="minorHAnsi" w:hAnsiTheme="minorHAnsi"/>
        </w:rPr>
        <w:t>ΕΠΤΑΜΕΛΗΣ ΕΞΕΤΑΣΤΙΚΗ ΕΠΙΤΡΟΠΗ</w:t>
      </w:r>
    </w:p>
    <w:p w:rsidR="00E56066" w:rsidRPr="005A464E" w:rsidRDefault="00E56066" w:rsidP="005A464E">
      <w:pPr>
        <w:pStyle w:val="af3"/>
        <w:jc w:val="left"/>
        <w:rPr>
          <w:rFonts w:asciiTheme="minorHAnsi" w:hAnsiTheme="minorHAnsi"/>
        </w:rPr>
      </w:pPr>
    </w:p>
    <w:p w:rsidR="004879B7" w:rsidRPr="005A464E" w:rsidRDefault="00E56066" w:rsidP="000729FE">
      <w:pPr>
        <w:pStyle w:val="af3"/>
        <w:jc w:val="both"/>
        <w:rPr>
          <w:rFonts w:asciiTheme="minorHAnsi" w:hAnsiTheme="minorHAnsi"/>
        </w:rPr>
      </w:pPr>
      <w:r w:rsidRPr="005A464E">
        <w:rPr>
          <w:rFonts w:asciiTheme="minorHAnsi" w:hAnsiTheme="minorHAnsi"/>
        </w:rPr>
        <w:t>Ζυγά Σοφία,</w:t>
      </w:r>
      <w:r w:rsidR="004879B7" w:rsidRPr="005A464E">
        <w:rPr>
          <w:rFonts w:asciiTheme="minorHAnsi" w:hAnsiTheme="minorHAnsi"/>
        </w:rPr>
        <w:t xml:space="preserve"> </w:t>
      </w:r>
      <w:r w:rsidR="004879B7" w:rsidRPr="005A464E">
        <w:rPr>
          <w:rFonts w:asciiTheme="minorHAnsi" w:hAnsiTheme="minorHAnsi"/>
          <w:b w:val="0"/>
        </w:rPr>
        <w:t>Αναπληρώτρια Καθηγήτρια, Τμήμα Νοσηλευτικής</w:t>
      </w:r>
      <w:r w:rsidR="009D0733" w:rsidRPr="005A464E">
        <w:rPr>
          <w:rFonts w:asciiTheme="minorHAnsi" w:hAnsiTheme="minorHAnsi"/>
          <w:b w:val="0"/>
        </w:rPr>
        <w:t xml:space="preserve">, Πανεπιστήμιο </w:t>
      </w:r>
      <w:r w:rsidRPr="005A464E">
        <w:rPr>
          <w:rFonts w:asciiTheme="minorHAnsi" w:hAnsiTheme="minorHAnsi"/>
          <w:b w:val="0"/>
        </w:rPr>
        <w:t>Πελοποννήσου</w:t>
      </w:r>
    </w:p>
    <w:p w:rsidR="009D0733" w:rsidRPr="005A464E" w:rsidRDefault="00E56066" w:rsidP="00785007">
      <w:pPr>
        <w:tabs>
          <w:tab w:val="left" w:pos="2268"/>
        </w:tabs>
        <w:spacing w:line="360" w:lineRule="auto"/>
        <w:jc w:val="both"/>
        <w:rPr>
          <w:sz w:val="24"/>
          <w:szCs w:val="24"/>
        </w:rPr>
      </w:pPr>
      <w:r w:rsidRPr="005A464E">
        <w:rPr>
          <w:b/>
          <w:sz w:val="24"/>
          <w:szCs w:val="24"/>
        </w:rPr>
        <w:t>Τσιρώνη Μαρία,</w:t>
      </w:r>
      <w:r w:rsidR="004879B7" w:rsidRPr="005A464E">
        <w:rPr>
          <w:b/>
          <w:sz w:val="24"/>
          <w:szCs w:val="24"/>
        </w:rPr>
        <w:t xml:space="preserve"> </w:t>
      </w:r>
      <w:r w:rsidR="004879B7" w:rsidRPr="005A464E">
        <w:rPr>
          <w:sz w:val="24"/>
          <w:szCs w:val="24"/>
        </w:rPr>
        <w:t>Καθηγήτρια, Τμήμα Νοσηλευτικής,</w:t>
      </w:r>
      <w:r w:rsidR="009D0733" w:rsidRPr="005A464E">
        <w:rPr>
          <w:sz w:val="24"/>
          <w:szCs w:val="24"/>
        </w:rPr>
        <w:t xml:space="preserve"> Πανεπιστήμιο Πελοποννήσου</w:t>
      </w:r>
    </w:p>
    <w:p w:rsidR="009D0733" w:rsidRPr="005A464E" w:rsidRDefault="00E56066" w:rsidP="00785007">
      <w:pPr>
        <w:tabs>
          <w:tab w:val="left" w:pos="2268"/>
        </w:tabs>
        <w:spacing w:line="240" w:lineRule="auto"/>
        <w:jc w:val="both"/>
        <w:rPr>
          <w:sz w:val="24"/>
          <w:szCs w:val="24"/>
        </w:rPr>
      </w:pPr>
      <w:r w:rsidRPr="005A464E">
        <w:rPr>
          <w:b/>
          <w:sz w:val="24"/>
          <w:szCs w:val="24"/>
        </w:rPr>
        <w:t>Μάτζιου Βασιλική,</w:t>
      </w:r>
      <w:r w:rsidR="009D0733" w:rsidRPr="005A464E">
        <w:rPr>
          <w:b/>
          <w:sz w:val="24"/>
          <w:szCs w:val="24"/>
        </w:rPr>
        <w:t xml:space="preserve"> </w:t>
      </w:r>
      <w:r w:rsidR="0078495A">
        <w:rPr>
          <w:sz w:val="24"/>
          <w:szCs w:val="24"/>
        </w:rPr>
        <w:t>Καθηγήτρια, Τμήμα Νοσηλευτικής</w:t>
      </w:r>
      <w:r w:rsidR="009D0733" w:rsidRPr="005A464E">
        <w:rPr>
          <w:sz w:val="24"/>
          <w:szCs w:val="24"/>
        </w:rPr>
        <w:t>, Εθνικό και Καποδιστριακό</w:t>
      </w:r>
      <w:r w:rsidR="0078495A">
        <w:rPr>
          <w:sz w:val="24"/>
          <w:szCs w:val="24"/>
        </w:rPr>
        <w:t xml:space="preserve">   </w:t>
      </w:r>
      <w:r w:rsidR="009D0733" w:rsidRPr="005A464E">
        <w:rPr>
          <w:sz w:val="24"/>
          <w:szCs w:val="24"/>
        </w:rPr>
        <w:t xml:space="preserve"> </w:t>
      </w:r>
    </w:p>
    <w:p w:rsidR="009D0733" w:rsidRPr="005A464E" w:rsidRDefault="009D0733" w:rsidP="00785007">
      <w:pPr>
        <w:tabs>
          <w:tab w:val="left" w:pos="2268"/>
        </w:tabs>
        <w:spacing w:line="360" w:lineRule="auto"/>
        <w:jc w:val="both"/>
        <w:rPr>
          <w:sz w:val="24"/>
          <w:szCs w:val="24"/>
        </w:rPr>
      </w:pPr>
      <w:r w:rsidRPr="005A464E">
        <w:rPr>
          <w:sz w:val="24"/>
          <w:szCs w:val="24"/>
        </w:rPr>
        <w:t>Πανεπιστήμιο Αθηνών</w:t>
      </w:r>
    </w:p>
    <w:p w:rsidR="001979E4" w:rsidRPr="001979E4" w:rsidRDefault="009D0733" w:rsidP="00785007">
      <w:pPr>
        <w:tabs>
          <w:tab w:val="left" w:pos="2268"/>
        </w:tabs>
        <w:spacing w:after="0" w:line="360" w:lineRule="auto"/>
        <w:jc w:val="both"/>
        <w:rPr>
          <w:sz w:val="24"/>
          <w:szCs w:val="24"/>
        </w:rPr>
      </w:pPr>
      <w:r w:rsidRPr="005A464E">
        <w:rPr>
          <w:b/>
          <w:sz w:val="24"/>
          <w:szCs w:val="24"/>
        </w:rPr>
        <w:t>Πρεζεράκος</w:t>
      </w:r>
      <w:r w:rsidR="001979E4" w:rsidRPr="001979E4">
        <w:rPr>
          <w:b/>
          <w:sz w:val="24"/>
          <w:szCs w:val="24"/>
        </w:rPr>
        <w:t xml:space="preserve"> </w:t>
      </w:r>
      <w:r w:rsidR="001979E4" w:rsidRPr="005A464E">
        <w:rPr>
          <w:b/>
          <w:sz w:val="24"/>
          <w:szCs w:val="24"/>
        </w:rPr>
        <w:t>Παναγιώτης</w:t>
      </w:r>
      <w:r w:rsidRPr="005A464E">
        <w:rPr>
          <w:sz w:val="24"/>
          <w:szCs w:val="24"/>
        </w:rPr>
        <w:t>, Αναπληρωτής Καθηγητής, Τμήμα Νοσηλευτικής,</w:t>
      </w:r>
      <w:r w:rsidR="001979E4" w:rsidRPr="001979E4">
        <w:rPr>
          <w:sz w:val="24"/>
          <w:szCs w:val="24"/>
        </w:rPr>
        <w:t xml:space="preserve"> </w:t>
      </w:r>
      <w:r w:rsidR="001979E4" w:rsidRPr="005A464E">
        <w:rPr>
          <w:sz w:val="24"/>
          <w:szCs w:val="24"/>
        </w:rPr>
        <w:t>Πανεπιστήμιο Πελοποννήσου</w:t>
      </w:r>
    </w:p>
    <w:p w:rsidR="009D0733" w:rsidRPr="005A464E" w:rsidRDefault="001979E4" w:rsidP="00785007">
      <w:pPr>
        <w:tabs>
          <w:tab w:val="left" w:pos="2268"/>
        </w:tabs>
        <w:spacing w:after="0" w:line="360" w:lineRule="auto"/>
        <w:jc w:val="both"/>
        <w:rPr>
          <w:sz w:val="24"/>
          <w:szCs w:val="24"/>
        </w:rPr>
      </w:pPr>
      <w:r>
        <w:rPr>
          <w:b/>
          <w:sz w:val="24"/>
          <w:szCs w:val="24"/>
        </w:rPr>
        <w:t>Σαπουντζή-</w:t>
      </w:r>
      <w:r w:rsidR="009D0733" w:rsidRPr="005A464E">
        <w:rPr>
          <w:b/>
          <w:sz w:val="24"/>
          <w:szCs w:val="24"/>
        </w:rPr>
        <w:t>Κρέπια</w:t>
      </w:r>
      <w:r w:rsidRPr="005A464E">
        <w:rPr>
          <w:sz w:val="24"/>
          <w:szCs w:val="24"/>
        </w:rPr>
        <w:t xml:space="preserve"> </w:t>
      </w:r>
      <w:r>
        <w:rPr>
          <w:b/>
          <w:sz w:val="24"/>
          <w:szCs w:val="24"/>
        </w:rPr>
        <w:t>Δέσποινα</w:t>
      </w:r>
      <w:r w:rsidR="009D0733" w:rsidRPr="005A464E">
        <w:rPr>
          <w:sz w:val="24"/>
          <w:szCs w:val="24"/>
        </w:rPr>
        <w:t xml:space="preserve">, Καθηγήτρια, Τμήμα Νοσηλευτικής, </w:t>
      </w:r>
      <w:r w:rsidR="009D0733" w:rsidRPr="005A464E">
        <w:rPr>
          <w:sz w:val="24"/>
          <w:szCs w:val="24"/>
          <w:lang w:val="en-US"/>
        </w:rPr>
        <w:t>Frederick</w:t>
      </w:r>
      <w:r w:rsidR="009D0733" w:rsidRPr="005A464E">
        <w:rPr>
          <w:sz w:val="24"/>
          <w:szCs w:val="24"/>
        </w:rPr>
        <w:t xml:space="preserve"> </w:t>
      </w:r>
      <w:r w:rsidR="009D0733" w:rsidRPr="005A464E">
        <w:rPr>
          <w:sz w:val="24"/>
          <w:szCs w:val="24"/>
          <w:lang w:val="en-US"/>
        </w:rPr>
        <w:t>University</w:t>
      </w:r>
      <w:r w:rsidR="009D0733" w:rsidRPr="005A464E">
        <w:rPr>
          <w:sz w:val="24"/>
          <w:szCs w:val="24"/>
        </w:rPr>
        <w:t xml:space="preserve"> </w:t>
      </w:r>
      <w:r w:rsidR="009D0733" w:rsidRPr="005A464E">
        <w:rPr>
          <w:sz w:val="24"/>
          <w:szCs w:val="24"/>
          <w:lang w:val="en-US"/>
        </w:rPr>
        <w:t>of</w:t>
      </w:r>
      <w:r w:rsidR="009D0733" w:rsidRPr="005A464E">
        <w:rPr>
          <w:sz w:val="24"/>
          <w:szCs w:val="24"/>
        </w:rPr>
        <w:t xml:space="preserve"> </w:t>
      </w:r>
      <w:r w:rsidR="009D0733" w:rsidRPr="005A464E">
        <w:rPr>
          <w:sz w:val="24"/>
          <w:szCs w:val="24"/>
          <w:lang w:val="en-US"/>
        </w:rPr>
        <w:t>Cyprus</w:t>
      </w:r>
      <w:r w:rsidR="009D0733" w:rsidRPr="005A464E">
        <w:rPr>
          <w:sz w:val="24"/>
          <w:szCs w:val="24"/>
        </w:rPr>
        <w:t xml:space="preserve"> </w:t>
      </w:r>
    </w:p>
    <w:p w:rsidR="009D0733" w:rsidRPr="005A464E" w:rsidRDefault="009D0733" w:rsidP="005A464E">
      <w:pPr>
        <w:autoSpaceDE w:val="0"/>
        <w:autoSpaceDN w:val="0"/>
        <w:adjustRightInd w:val="0"/>
        <w:spacing w:after="0" w:line="360" w:lineRule="auto"/>
        <w:jc w:val="both"/>
        <w:rPr>
          <w:sz w:val="24"/>
          <w:szCs w:val="24"/>
        </w:rPr>
      </w:pPr>
      <w:r w:rsidRPr="005A464E">
        <w:rPr>
          <w:b/>
          <w:sz w:val="24"/>
          <w:szCs w:val="24"/>
        </w:rPr>
        <w:t>Κούκια</w:t>
      </w:r>
      <w:r w:rsidR="001979E4" w:rsidRPr="001979E4">
        <w:rPr>
          <w:b/>
          <w:sz w:val="24"/>
          <w:szCs w:val="24"/>
        </w:rPr>
        <w:t xml:space="preserve"> </w:t>
      </w:r>
      <w:r w:rsidR="001979E4" w:rsidRPr="005A464E">
        <w:rPr>
          <w:b/>
          <w:sz w:val="24"/>
          <w:szCs w:val="24"/>
        </w:rPr>
        <w:t>Ευμορφία</w:t>
      </w:r>
      <w:r w:rsidR="00566CAA">
        <w:rPr>
          <w:sz w:val="24"/>
          <w:szCs w:val="24"/>
        </w:rPr>
        <w:t>, Αναπληρώτρια</w:t>
      </w:r>
      <w:r w:rsidRPr="005A464E">
        <w:rPr>
          <w:sz w:val="24"/>
          <w:szCs w:val="24"/>
        </w:rPr>
        <w:t xml:space="preserve"> Καθηγήτρια, Τμήμα Νοσηλευτικής, Εθνικό και Καποδιστριακό Πανεπιστήμιο Αθηνών</w:t>
      </w:r>
    </w:p>
    <w:p w:rsidR="00FD3690" w:rsidRPr="00B77C09" w:rsidRDefault="009D0733" w:rsidP="005A464E">
      <w:pPr>
        <w:autoSpaceDE w:val="0"/>
        <w:autoSpaceDN w:val="0"/>
        <w:adjustRightInd w:val="0"/>
        <w:spacing w:after="0" w:line="360" w:lineRule="auto"/>
        <w:jc w:val="both"/>
        <w:rPr>
          <w:sz w:val="24"/>
          <w:szCs w:val="24"/>
        </w:rPr>
      </w:pPr>
      <w:r w:rsidRPr="005A464E">
        <w:rPr>
          <w:b/>
          <w:sz w:val="24"/>
          <w:szCs w:val="24"/>
        </w:rPr>
        <w:t>Τζαβέλλα</w:t>
      </w:r>
      <w:r w:rsidR="001979E4" w:rsidRPr="001979E4">
        <w:rPr>
          <w:b/>
          <w:sz w:val="24"/>
          <w:szCs w:val="24"/>
        </w:rPr>
        <w:t xml:space="preserve"> </w:t>
      </w:r>
      <w:r w:rsidR="001979E4" w:rsidRPr="005A464E">
        <w:rPr>
          <w:b/>
          <w:sz w:val="24"/>
          <w:szCs w:val="24"/>
        </w:rPr>
        <w:t>Φωτεινή</w:t>
      </w:r>
      <w:r w:rsidRPr="005A464E">
        <w:rPr>
          <w:b/>
          <w:sz w:val="24"/>
          <w:szCs w:val="24"/>
        </w:rPr>
        <w:t>,</w:t>
      </w:r>
      <w:r w:rsidRPr="005A464E">
        <w:rPr>
          <w:sz w:val="24"/>
          <w:szCs w:val="24"/>
        </w:rPr>
        <w:t xml:space="preserve"> Λέκτορας, Τμήμα Νοσηλευτικής, Πανεπιστήμιο Πελοποννήσου</w:t>
      </w:r>
    </w:p>
    <w:p w:rsidR="005A464E" w:rsidRPr="00B77C09" w:rsidRDefault="005A464E" w:rsidP="005A464E">
      <w:pPr>
        <w:spacing w:after="0" w:line="360" w:lineRule="auto"/>
        <w:jc w:val="right"/>
        <w:rPr>
          <w:b/>
          <w:sz w:val="28"/>
          <w:szCs w:val="28"/>
        </w:rPr>
      </w:pPr>
    </w:p>
    <w:p w:rsidR="005A464E" w:rsidRDefault="005A464E" w:rsidP="005A464E">
      <w:pPr>
        <w:spacing w:after="0" w:line="360" w:lineRule="auto"/>
        <w:jc w:val="right"/>
        <w:rPr>
          <w:b/>
          <w:sz w:val="28"/>
          <w:szCs w:val="28"/>
        </w:rPr>
      </w:pPr>
    </w:p>
    <w:p w:rsidR="00FC1253" w:rsidRDefault="00FC1253" w:rsidP="005A464E">
      <w:pPr>
        <w:spacing w:after="0" w:line="360" w:lineRule="auto"/>
        <w:jc w:val="right"/>
        <w:rPr>
          <w:b/>
          <w:sz w:val="28"/>
          <w:szCs w:val="28"/>
        </w:rPr>
      </w:pPr>
    </w:p>
    <w:p w:rsidR="00FC1253" w:rsidRDefault="00FC1253" w:rsidP="005A464E">
      <w:pPr>
        <w:spacing w:after="0" w:line="360" w:lineRule="auto"/>
        <w:jc w:val="right"/>
        <w:rPr>
          <w:b/>
          <w:sz w:val="28"/>
          <w:szCs w:val="28"/>
        </w:rPr>
      </w:pPr>
    </w:p>
    <w:p w:rsidR="00FC1253" w:rsidRDefault="00FC1253" w:rsidP="005A464E">
      <w:pPr>
        <w:spacing w:after="0" w:line="360" w:lineRule="auto"/>
        <w:jc w:val="right"/>
        <w:rPr>
          <w:b/>
          <w:sz w:val="28"/>
          <w:szCs w:val="28"/>
        </w:rPr>
      </w:pPr>
    </w:p>
    <w:p w:rsidR="00FC1253" w:rsidRDefault="00FC1253" w:rsidP="005A464E">
      <w:pPr>
        <w:spacing w:after="0" w:line="360" w:lineRule="auto"/>
        <w:jc w:val="right"/>
        <w:rPr>
          <w:b/>
          <w:sz w:val="28"/>
          <w:szCs w:val="28"/>
        </w:rPr>
      </w:pPr>
    </w:p>
    <w:p w:rsidR="008C4F55" w:rsidRDefault="008C4F55" w:rsidP="005A464E">
      <w:pPr>
        <w:spacing w:after="0" w:line="360" w:lineRule="auto"/>
        <w:jc w:val="right"/>
        <w:rPr>
          <w:b/>
          <w:sz w:val="28"/>
          <w:szCs w:val="28"/>
        </w:rPr>
      </w:pPr>
    </w:p>
    <w:p w:rsidR="008C4F55" w:rsidRDefault="008C4F55" w:rsidP="005A464E">
      <w:pPr>
        <w:spacing w:after="0" w:line="360" w:lineRule="auto"/>
        <w:jc w:val="right"/>
        <w:rPr>
          <w:b/>
          <w:sz w:val="28"/>
          <w:szCs w:val="28"/>
        </w:rPr>
      </w:pPr>
    </w:p>
    <w:p w:rsidR="008C4F55" w:rsidRDefault="008C4F55" w:rsidP="005A464E">
      <w:pPr>
        <w:spacing w:after="0" w:line="360" w:lineRule="auto"/>
        <w:jc w:val="right"/>
        <w:rPr>
          <w:b/>
          <w:sz w:val="28"/>
          <w:szCs w:val="28"/>
        </w:rPr>
      </w:pPr>
    </w:p>
    <w:p w:rsidR="008C4F55" w:rsidRDefault="008C4F55" w:rsidP="005A464E">
      <w:pPr>
        <w:spacing w:after="0" w:line="360" w:lineRule="auto"/>
        <w:jc w:val="right"/>
        <w:rPr>
          <w:b/>
          <w:sz w:val="28"/>
          <w:szCs w:val="28"/>
        </w:rPr>
      </w:pPr>
    </w:p>
    <w:p w:rsidR="008C4F55" w:rsidRDefault="008C4F55" w:rsidP="005A464E">
      <w:pPr>
        <w:spacing w:after="0" w:line="360" w:lineRule="auto"/>
        <w:jc w:val="right"/>
        <w:rPr>
          <w:b/>
          <w:sz w:val="28"/>
          <w:szCs w:val="28"/>
        </w:rPr>
      </w:pPr>
    </w:p>
    <w:p w:rsidR="008C4F55" w:rsidRDefault="008C4F55" w:rsidP="005A464E">
      <w:pPr>
        <w:spacing w:after="0" w:line="360" w:lineRule="auto"/>
        <w:jc w:val="right"/>
        <w:rPr>
          <w:b/>
          <w:sz w:val="28"/>
          <w:szCs w:val="28"/>
        </w:rPr>
      </w:pPr>
    </w:p>
    <w:p w:rsidR="008C4F55" w:rsidRDefault="008C4F55" w:rsidP="005A464E">
      <w:pPr>
        <w:spacing w:after="0" w:line="360" w:lineRule="auto"/>
        <w:jc w:val="right"/>
        <w:rPr>
          <w:b/>
          <w:sz w:val="28"/>
          <w:szCs w:val="28"/>
        </w:rPr>
      </w:pPr>
    </w:p>
    <w:p w:rsidR="008C4F55" w:rsidRDefault="008C4F55" w:rsidP="005A464E">
      <w:pPr>
        <w:spacing w:after="0" w:line="360" w:lineRule="auto"/>
        <w:jc w:val="right"/>
        <w:rPr>
          <w:b/>
          <w:sz w:val="28"/>
          <w:szCs w:val="28"/>
        </w:rPr>
      </w:pPr>
    </w:p>
    <w:p w:rsidR="008C4F55" w:rsidRDefault="008C4F55" w:rsidP="005A464E">
      <w:pPr>
        <w:spacing w:after="0" w:line="360" w:lineRule="auto"/>
        <w:jc w:val="right"/>
        <w:rPr>
          <w:b/>
          <w:sz w:val="28"/>
          <w:szCs w:val="28"/>
        </w:rPr>
      </w:pPr>
    </w:p>
    <w:p w:rsidR="008C4F55" w:rsidRDefault="008C4F55" w:rsidP="005A464E">
      <w:pPr>
        <w:spacing w:after="0" w:line="360" w:lineRule="auto"/>
        <w:jc w:val="right"/>
        <w:rPr>
          <w:b/>
          <w:sz w:val="28"/>
          <w:szCs w:val="28"/>
        </w:rPr>
      </w:pPr>
    </w:p>
    <w:p w:rsidR="008C4F55" w:rsidRDefault="008C4F55" w:rsidP="005A464E">
      <w:pPr>
        <w:spacing w:after="0" w:line="360" w:lineRule="auto"/>
        <w:jc w:val="right"/>
        <w:rPr>
          <w:b/>
          <w:sz w:val="28"/>
          <w:szCs w:val="28"/>
        </w:rPr>
      </w:pPr>
    </w:p>
    <w:p w:rsidR="008C4F55" w:rsidRDefault="008C4F55" w:rsidP="005A464E">
      <w:pPr>
        <w:spacing w:after="0" w:line="360" w:lineRule="auto"/>
        <w:jc w:val="right"/>
        <w:rPr>
          <w:b/>
          <w:sz w:val="28"/>
          <w:szCs w:val="28"/>
        </w:rPr>
      </w:pPr>
    </w:p>
    <w:p w:rsidR="008C4F55" w:rsidRDefault="008C4F55" w:rsidP="005A464E">
      <w:pPr>
        <w:spacing w:after="0" w:line="360" w:lineRule="auto"/>
        <w:jc w:val="right"/>
        <w:rPr>
          <w:b/>
          <w:sz w:val="28"/>
          <w:szCs w:val="28"/>
        </w:rPr>
      </w:pPr>
    </w:p>
    <w:p w:rsidR="008C4F55" w:rsidRDefault="008C4F55" w:rsidP="005A464E">
      <w:pPr>
        <w:spacing w:after="0" w:line="360" w:lineRule="auto"/>
        <w:jc w:val="right"/>
        <w:rPr>
          <w:b/>
          <w:sz w:val="28"/>
          <w:szCs w:val="28"/>
        </w:rPr>
      </w:pPr>
    </w:p>
    <w:p w:rsidR="008C4F55" w:rsidRDefault="008C4F55" w:rsidP="005A464E">
      <w:pPr>
        <w:spacing w:after="0" w:line="360" w:lineRule="auto"/>
        <w:jc w:val="right"/>
        <w:rPr>
          <w:b/>
          <w:sz w:val="28"/>
          <w:szCs w:val="28"/>
        </w:rPr>
      </w:pPr>
    </w:p>
    <w:p w:rsidR="008C4F55" w:rsidRDefault="008C4F55" w:rsidP="005A464E">
      <w:pPr>
        <w:spacing w:after="0" w:line="360" w:lineRule="auto"/>
        <w:jc w:val="right"/>
        <w:rPr>
          <w:b/>
          <w:sz w:val="28"/>
          <w:szCs w:val="28"/>
        </w:rPr>
      </w:pPr>
    </w:p>
    <w:p w:rsidR="008C4F55" w:rsidRDefault="008C4F55" w:rsidP="005A464E">
      <w:pPr>
        <w:spacing w:after="0" w:line="360" w:lineRule="auto"/>
        <w:jc w:val="right"/>
        <w:rPr>
          <w:b/>
          <w:sz w:val="28"/>
          <w:szCs w:val="28"/>
        </w:rPr>
      </w:pPr>
    </w:p>
    <w:p w:rsidR="00FC1253" w:rsidRPr="00C31213" w:rsidRDefault="00FC1253" w:rsidP="000729FE">
      <w:pPr>
        <w:spacing w:after="0" w:line="360" w:lineRule="auto"/>
        <w:rPr>
          <w:b/>
          <w:sz w:val="28"/>
          <w:szCs w:val="28"/>
        </w:rPr>
      </w:pPr>
    </w:p>
    <w:p w:rsidR="000729FE" w:rsidRPr="00C31213" w:rsidRDefault="000729FE" w:rsidP="000729FE">
      <w:pPr>
        <w:spacing w:after="0" w:line="360" w:lineRule="auto"/>
        <w:rPr>
          <w:b/>
          <w:sz w:val="28"/>
          <w:szCs w:val="28"/>
        </w:rPr>
      </w:pPr>
    </w:p>
    <w:p w:rsidR="00001CDF" w:rsidRPr="00EE1E70" w:rsidRDefault="00001CDF" w:rsidP="009C5F8A">
      <w:pPr>
        <w:spacing w:after="0" w:line="360" w:lineRule="auto"/>
        <w:jc w:val="right"/>
        <w:rPr>
          <w:b/>
          <w:sz w:val="28"/>
          <w:szCs w:val="28"/>
        </w:rPr>
      </w:pPr>
    </w:p>
    <w:p w:rsidR="009C5F8A" w:rsidRPr="00C31213" w:rsidRDefault="009C5F8A" w:rsidP="009C5F8A">
      <w:pPr>
        <w:spacing w:after="0" w:line="360" w:lineRule="auto"/>
        <w:jc w:val="right"/>
        <w:rPr>
          <w:b/>
          <w:sz w:val="28"/>
          <w:szCs w:val="28"/>
        </w:rPr>
      </w:pPr>
    </w:p>
    <w:p w:rsidR="009D748F" w:rsidRPr="009C5F8A" w:rsidRDefault="009D748F" w:rsidP="005A464E">
      <w:pPr>
        <w:spacing w:after="0" w:line="360" w:lineRule="auto"/>
        <w:jc w:val="right"/>
        <w:rPr>
          <w:i/>
          <w:sz w:val="24"/>
          <w:szCs w:val="24"/>
        </w:rPr>
      </w:pPr>
      <w:r w:rsidRPr="009C5F8A">
        <w:rPr>
          <w:i/>
          <w:sz w:val="24"/>
          <w:szCs w:val="24"/>
        </w:rPr>
        <w:t>Στη μνήμη της μητέρας μου</w:t>
      </w:r>
    </w:p>
    <w:p w:rsidR="00FD3690" w:rsidRPr="009C5F8A" w:rsidRDefault="00FD3690" w:rsidP="005A464E">
      <w:pPr>
        <w:spacing w:after="0" w:line="360" w:lineRule="auto"/>
        <w:jc w:val="right"/>
        <w:rPr>
          <w:i/>
          <w:sz w:val="24"/>
          <w:szCs w:val="24"/>
        </w:rPr>
      </w:pPr>
      <w:r w:rsidRPr="009C5F8A">
        <w:rPr>
          <w:i/>
          <w:sz w:val="24"/>
          <w:szCs w:val="24"/>
        </w:rPr>
        <w:t>που βίωσε την αιμοκάθαρση</w:t>
      </w:r>
    </w:p>
    <w:p w:rsidR="00FD3690" w:rsidRPr="00E641AF" w:rsidRDefault="00FD3690" w:rsidP="005A464E">
      <w:pPr>
        <w:spacing w:after="0" w:line="360" w:lineRule="auto"/>
        <w:jc w:val="right"/>
        <w:rPr>
          <w:sz w:val="28"/>
          <w:szCs w:val="28"/>
        </w:rPr>
      </w:pPr>
    </w:p>
    <w:p w:rsidR="00FD3690" w:rsidRPr="00E641AF" w:rsidRDefault="00FD3690" w:rsidP="005A464E">
      <w:pPr>
        <w:spacing w:after="0" w:line="360" w:lineRule="auto"/>
        <w:jc w:val="right"/>
        <w:rPr>
          <w:sz w:val="28"/>
          <w:szCs w:val="28"/>
        </w:rPr>
      </w:pPr>
    </w:p>
    <w:p w:rsidR="00FD3690" w:rsidRPr="00E641AF" w:rsidRDefault="00FD3690" w:rsidP="005A464E">
      <w:pPr>
        <w:spacing w:after="0" w:line="360" w:lineRule="auto"/>
        <w:jc w:val="right"/>
        <w:rPr>
          <w:sz w:val="28"/>
          <w:szCs w:val="28"/>
        </w:rPr>
      </w:pPr>
    </w:p>
    <w:p w:rsidR="00FD3690" w:rsidRPr="00E641AF" w:rsidRDefault="00FD3690" w:rsidP="005A464E">
      <w:pPr>
        <w:spacing w:after="0" w:line="360" w:lineRule="auto"/>
        <w:jc w:val="right"/>
        <w:rPr>
          <w:sz w:val="28"/>
          <w:szCs w:val="28"/>
        </w:rPr>
      </w:pPr>
    </w:p>
    <w:p w:rsidR="00FD3690" w:rsidRPr="00E641AF" w:rsidRDefault="00FD3690" w:rsidP="005A464E">
      <w:pPr>
        <w:spacing w:after="0" w:line="360" w:lineRule="auto"/>
        <w:jc w:val="right"/>
        <w:rPr>
          <w:sz w:val="28"/>
          <w:szCs w:val="28"/>
        </w:rPr>
      </w:pPr>
    </w:p>
    <w:p w:rsidR="00FD3690" w:rsidRPr="00E641AF" w:rsidRDefault="00FD3690" w:rsidP="005A464E">
      <w:pPr>
        <w:spacing w:after="0" w:line="360" w:lineRule="auto"/>
        <w:jc w:val="right"/>
        <w:rPr>
          <w:sz w:val="28"/>
          <w:szCs w:val="28"/>
        </w:rPr>
      </w:pPr>
    </w:p>
    <w:p w:rsidR="00FD3690" w:rsidRPr="00E641AF" w:rsidRDefault="00FD3690" w:rsidP="005A464E">
      <w:pPr>
        <w:spacing w:after="0" w:line="360" w:lineRule="auto"/>
        <w:jc w:val="right"/>
        <w:rPr>
          <w:sz w:val="28"/>
          <w:szCs w:val="28"/>
        </w:rPr>
      </w:pPr>
    </w:p>
    <w:p w:rsidR="00FD3690" w:rsidRPr="00E641AF" w:rsidRDefault="00FD3690" w:rsidP="005A464E">
      <w:pPr>
        <w:spacing w:after="0" w:line="360" w:lineRule="auto"/>
        <w:jc w:val="right"/>
        <w:rPr>
          <w:sz w:val="28"/>
          <w:szCs w:val="28"/>
        </w:rPr>
      </w:pPr>
    </w:p>
    <w:p w:rsidR="00FD3690" w:rsidRPr="00E641AF" w:rsidRDefault="00FD3690" w:rsidP="005A464E">
      <w:pPr>
        <w:spacing w:after="0" w:line="360" w:lineRule="auto"/>
        <w:jc w:val="right"/>
        <w:rPr>
          <w:sz w:val="28"/>
          <w:szCs w:val="28"/>
        </w:rPr>
      </w:pPr>
    </w:p>
    <w:p w:rsidR="00FD3690" w:rsidRPr="00E641AF" w:rsidRDefault="00FD3690" w:rsidP="005A464E">
      <w:pPr>
        <w:spacing w:after="0" w:line="360" w:lineRule="auto"/>
        <w:jc w:val="right"/>
        <w:rPr>
          <w:sz w:val="28"/>
          <w:szCs w:val="28"/>
        </w:rPr>
      </w:pPr>
    </w:p>
    <w:p w:rsidR="00FD3690" w:rsidRPr="00E641AF" w:rsidRDefault="00FD3690" w:rsidP="005A464E">
      <w:pPr>
        <w:spacing w:after="0" w:line="360" w:lineRule="auto"/>
        <w:jc w:val="right"/>
        <w:rPr>
          <w:sz w:val="28"/>
          <w:szCs w:val="28"/>
        </w:rPr>
      </w:pPr>
    </w:p>
    <w:p w:rsidR="00FD3690" w:rsidRPr="00E641AF" w:rsidRDefault="00FD3690" w:rsidP="005A464E">
      <w:pPr>
        <w:spacing w:after="0" w:line="360" w:lineRule="auto"/>
        <w:jc w:val="right"/>
        <w:rPr>
          <w:sz w:val="28"/>
          <w:szCs w:val="28"/>
        </w:rPr>
      </w:pPr>
    </w:p>
    <w:p w:rsidR="00FD3690" w:rsidRPr="00E641AF" w:rsidRDefault="00FD3690" w:rsidP="005A464E">
      <w:pPr>
        <w:spacing w:after="0" w:line="360" w:lineRule="auto"/>
        <w:jc w:val="right"/>
        <w:rPr>
          <w:sz w:val="28"/>
          <w:szCs w:val="28"/>
        </w:rPr>
      </w:pPr>
    </w:p>
    <w:p w:rsidR="009D748F" w:rsidRPr="009C5F8A" w:rsidRDefault="00217B5B" w:rsidP="005A464E">
      <w:pPr>
        <w:spacing w:after="0" w:line="360" w:lineRule="auto"/>
        <w:jc w:val="right"/>
        <w:rPr>
          <w:i/>
          <w:sz w:val="24"/>
          <w:szCs w:val="24"/>
        </w:rPr>
      </w:pPr>
      <w:r w:rsidRPr="009C5F8A">
        <w:rPr>
          <w:i/>
          <w:sz w:val="24"/>
          <w:szCs w:val="24"/>
        </w:rPr>
        <w:t>Σ</w:t>
      </w:r>
      <w:r w:rsidR="009D748F" w:rsidRPr="009C5F8A">
        <w:rPr>
          <w:i/>
          <w:sz w:val="24"/>
          <w:szCs w:val="24"/>
        </w:rPr>
        <w:t>τον πατέρα μου</w:t>
      </w:r>
      <w:r w:rsidRPr="009C5F8A">
        <w:rPr>
          <w:i/>
          <w:sz w:val="24"/>
          <w:szCs w:val="24"/>
        </w:rPr>
        <w:t>,</w:t>
      </w:r>
    </w:p>
    <w:p w:rsidR="00F631B7" w:rsidRPr="00E641AF" w:rsidRDefault="009D748F" w:rsidP="005A464E">
      <w:pPr>
        <w:spacing w:after="0" w:line="360" w:lineRule="auto"/>
        <w:jc w:val="right"/>
        <w:rPr>
          <w:sz w:val="28"/>
          <w:szCs w:val="28"/>
        </w:rPr>
      </w:pPr>
      <w:r w:rsidRPr="009C5F8A">
        <w:rPr>
          <w:i/>
          <w:sz w:val="24"/>
          <w:szCs w:val="24"/>
        </w:rPr>
        <w:t xml:space="preserve">στον </w:t>
      </w:r>
      <w:r w:rsidR="000656A4">
        <w:rPr>
          <w:i/>
          <w:sz w:val="24"/>
          <w:szCs w:val="24"/>
        </w:rPr>
        <w:t xml:space="preserve">συζυγό μου </w:t>
      </w:r>
      <w:r w:rsidRPr="009C5F8A">
        <w:rPr>
          <w:i/>
          <w:sz w:val="24"/>
          <w:szCs w:val="24"/>
        </w:rPr>
        <w:t xml:space="preserve">Θοδωρή και στον </w:t>
      </w:r>
      <w:r w:rsidR="009C5F8A">
        <w:rPr>
          <w:i/>
          <w:sz w:val="24"/>
          <w:szCs w:val="24"/>
        </w:rPr>
        <w:t xml:space="preserve">γιο μου </w:t>
      </w:r>
      <w:r w:rsidRPr="009C5F8A">
        <w:rPr>
          <w:i/>
          <w:sz w:val="24"/>
          <w:szCs w:val="24"/>
        </w:rPr>
        <w:t>Δημήτρη</w:t>
      </w:r>
    </w:p>
    <w:p w:rsidR="005A464E" w:rsidRPr="00E641AF" w:rsidRDefault="005A464E" w:rsidP="005A464E">
      <w:pPr>
        <w:spacing w:after="0" w:line="360" w:lineRule="auto"/>
        <w:jc w:val="right"/>
        <w:rPr>
          <w:sz w:val="28"/>
          <w:szCs w:val="28"/>
        </w:rPr>
      </w:pPr>
    </w:p>
    <w:p w:rsidR="005A464E" w:rsidRPr="00B77C09" w:rsidRDefault="005A464E" w:rsidP="005A464E">
      <w:pPr>
        <w:spacing w:after="0" w:line="360" w:lineRule="auto"/>
        <w:jc w:val="right"/>
        <w:rPr>
          <w:b/>
          <w:sz w:val="28"/>
          <w:szCs w:val="28"/>
        </w:rPr>
      </w:pPr>
    </w:p>
    <w:p w:rsidR="005A464E" w:rsidRPr="00B77C09" w:rsidRDefault="005A464E" w:rsidP="005A464E">
      <w:pPr>
        <w:spacing w:after="0" w:line="360" w:lineRule="auto"/>
        <w:jc w:val="right"/>
        <w:rPr>
          <w:b/>
          <w:sz w:val="28"/>
          <w:szCs w:val="28"/>
        </w:rPr>
      </w:pPr>
    </w:p>
    <w:p w:rsidR="005A464E" w:rsidRPr="00C31213" w:rsidRDefault="005A464E" w:rsidP="00E641AF">
      <w:pPr>
        <w:spacing w:after="0" w:line="360" w:lineRule="auto"/>
        <w:rPr>
          <w:b/>
          <w:sz w:val="28"/>
          <w:szCs w:val="28"/>
        </w:rPr>
      </w:pPr>
    </w:p>
    <w:p w:rsidR="000729FE" w:rsidRPr="00C31213" w:rsidRDefault="000729FE" w:rsidP="00E641AF">
      <w:pPr>
        <w:spacing w:after="0" w:line="360" w:lineRule="auto"/>
        <w:rPr>
          <w:b/>
          <w:sz w:val="28"/>
          <w:szCs w:val="28"/>
        </w:rPr>
      </w:pPr>
    </w:p>
    <w:p w:rsidR="00B76F74" w:rsidRPr="00300E53" w:rsidRDefault="00B76F74" w:rsidP="005A464E">
      <w:pPr>
        <w:pStyle w:val="a3"/>
        <w:spacing w:line="360" w:lineRule="auto"/>
        <w:rPr>
          <w:rFonts w:ascii="Calibri" w:eastAsia="Calibri" w:hAnsi="Calibri"/>
          <w:bCs w:val="0"/>
          <w:color w:val="auto"/>
          <w:lang w:eastAsia="en-US"/>
        </w:rPr>
      </w:pPr>
    </w:p>
    <w:p w:rsidR="00B8771B" w:rsidRPr="00300E53" w:rsidRDefault="00B8771B" w:rsidP="00B8771B"/>
    <w:p w:rsidR="007D75B5" w:rsidRPr="00B8771B" w:rsidRDefault="008C4F55" w:rsidP="00B8771B">
      <w:pPr>
        <w:pStyle w:val="1b"/>
        <w:rPr>
          <w:b/>
        </w:rPr>
      </w:pPr>
      <w:r w:rsidRPr="00B8771B">
        <w:rPr>
          <w:b/>
        </w:rPr>
        <w:t>ΠΙΝΑΚΑΣ ΠΕΡΙΕΧΟΜΕΝΩΝ</w:t>
      </w:r>
    </w:p>
    <w:p w:rsidR="00B8771B" w:rsidRDefault="008F3609" w:rsidP="00B8771B">
      <w:pPr>
        <w:pStyle w:val="1b"/>
        <w:rPr>
          <w:rFonts w:asciiTheme="minorHAnsi" w:eastAsiaTheme="minorEastAsia" w:hAnsiTheme="minorHAnsi" w:cstheme="minorBidi"/>
          <w:noProof/>
          <w:lang w:eastAsia="el-GR"/>
        </w:rPr>
      </w:pPr>
      <w:r w:rsidRPr="008F3609">
        <w:fldChar w:fldCharType="begin"/>
      </w:r>
      <w:r w:rsidR="00B76F74" w:rsidRPr="005A464E">
        <w:instrText xml:space="preserve"> TOC \o "1-3" \h \z \u </w:instrText>
      </w:r>
      <w:r w:rsidRPr="008F3609">
        <w:fldChar w:fldCharType="separate"/>
      </w:r>
      <w:hyperlink w:anchor="_Toc495951412" w:history="1">
        <w:r w:rsidR="00B8771B" w:rsidRPr="008378DE">
          <w:rPr>
            <w:rStyle w:val="-"/>
            <w:rFonts w:cs="Calibri"/>
            <w:noProof/>
          </w:rPr>
          <w:t>ΕΥΧΑΡΙΣΤΙΕΣ</w:t>
        </w:r>
        <w:r w:rsidR="00B8771B">
          <w:rPr>
            <w:noProof/>
            <w:webHidden/>
          </w:rPr>
          <w:tab/>
        </w:r>
        <w:r>
          <w:rPr>
            <w:noProof/>
            <w:webHidden/>
          </w:rPr>
          <w:fldChar w:fldCharType="begin"/>
        </w:r>
        <w:r w:rsidR="00B8771B">
          <w:rPr>
            <w:noProof/>
            <w:webHidden/>
          </w:rPr>
          <w:instrText xml:space="preserve"> PAGEREF _Toc495951412 \h </w:instrText>
        </w:r>
        <w:r>
          <w:rPr>
            <w:noProof/>
            <w:webHidden/>
          </w:rPr>
        </w:r>
        <w:r>
          <w:rPr>
            <w:noProof/>
            <w:webHidden/>
          </w:rPr>
          <w:fldChar w:fldCharType="separate"/>
        </w:r>
        <w:r w:rsidR="00B8771B">
          <w:rPr>
            <w:noProof/>
            <w:webHidden/>
          </w:rPr>
          <w:t>13</w:t>
        </w:r>
        <w:r>
          <w:rPr>
            <w:noProof/>
            <w:webHidden/>
          </w:rPr>
          <w:fldChar w:fldCharType="end"/>
        </w:r>
      </w:hyperlink>
    </w:p>
    <w:p w:rsidR="00B8771B" w:rsidRDefault="008F3609" w:rsidP="00B8771B">
      <w:pPr>
        <w:pStyle w:val="1b"/>
        <w:rPr>
          <w:rFonts w:asciiTheme="minorHAnsi" w:eastAsiaTheme="minorEastAsia" w:hAnsiTheme="minorHAnsi" w:cstheme="minorBidi"/>
          <w:noProof/>
          <w:lang w:eastAsia="el-GR"/>
        </w:rPr>
      </w:pPr>
      <w:hyperlink w:anchor="_Toc495951413" w:history="1">
        <w:r w:rsidR="00B8771B" w:rsidRPr="008378DE">
          <w:rPr>
            <w:rStyle w:val="-"/>
            <w:noProof/>
          </w:rPr>
          <w:t>ΣΥΝΤΟΜΟΓΡΑΦΙΕΣ</w:t>
        </w:r>
        <w:r w:rsidR="00B8771B">
          <w:rPr>
            <w:noProof/>
            <w:webHidden/>
          </w:rPr>
          <w:tab/>
        </w:r>
        <w:r>
          <w:rPr>
            <w:noProof/>
            <w:webHidden/>
          </w:rPr>
          <w:fldChar w:fldCharType="begin"/>
        </w:r>
        <w:r w:rsidR="00B8771B">
          <w:rPr>
            <w:noProof/>
            <w:webHidden/>
          </w:rPr>
          <w:instrText xml:space="preserve"> PAGEREF _Toc495951413 \h </w:instrText>
        </w:r>
        <w:r>
          <w:rPr>
            <w:noProof/>
            <w:webHidden/>
          </w:rPr>
        </w:r>
        <w:r>
          <w:rPr>
            <w:noProof/>
            <w:webHidden/>
          </w:rPr>
          <w:fldChar w:fldCharType="separate"/>
        </w:r>
        <w:r w:rsidR="00B8771B">
          <w:rPr>
            <w:noProof/>
            <w:webHidden/>
          </w:rPr>
          <w:t>15</w:t>
        </w:r>
        <w:r>
          <w:rPr>
            <w:noProof/>
            <w:webHidden/>
          </w:rPr>
          <w:fldChar w:fldCharType="end"/>
        </w:r>
      </w:hyperlink>
    </w:p>
    <w:p w:rsidR="00B8771B" w:rsidRDefault="008F3609" w:rsidP="00B8771B">
      <w:pPr>
        <w:pStyle w:val="1b"/>
        <w:rPr>
          <w:rFonts w:asciiTheme="minorHAnsi" w:eastAsiaTheme="minorEastAsia" w:hAnsiTheme="minorHAnsi" w:cstheme="minorBidi"/>
          <w:noProof/>
          <w:lang w:eastAsia="el-GR"/>
        </w:rPr>
      </w:pPr>
      <w:hyperlink w:anchor="_Toc495951414" w:history="1">
        <w:r w:rsidR="00B8771B" w:rsidRPr="008378DE">
          <w:rPr>
            <w:rStyle w:val="-"/>
            <w:rFonts w:cs="Calibri"/>
            <w:noProof/>
          </w:rPr>
          <w:t>ΠΕΡΙΛΗΨΗ</w:t>
        </w:r>
        <w:r w:rsidR="00B8771B">
          <w:rPr>
            <w:noProof/>
            <w:webHidden/>
          </w:rPr>
          <w:tab/>
        </w:r>
        <w:r>
          <w:rPr>
            <w:noProof/>
            <w:webHidden/>
          </w:rPr>
          <w:fldChar w:fldCharType="begin"/>
        </w:r>
        <w:r w:rsidR="00B8771B">
          <w:rPr>
            <w:noProof/>
            <w:webHidden/>
          </w:rPr>
          <w:instrText xml:space="preserve"> PAGEREF _Toc495951414 \h </w:instrText>
        </w:r>
        <w:r>
          <w:rPr>
            <w:noProof/>
            <w:webHidden/>
          </w:rPr>
        </w:r>
        <w:r>
          <w:rPr>
            <w:noProof/>
            <w:webHidden/>
          </w:rPr>
          <w:fldChar w:fldCharType="separate"/>
        </w:r>
        <w:r w:rsidR="00B8771B">
          <w:rPr>
            <w:noProof/>
            <w:webHidden/>
          </w:rPr>
          <w:t>16</w:t>
        </w:r>
        <w:r>
          <w:rPr>
            <w:noProof/>
            <w:webHidden/>
          </w:rPr>
          <w:fldChar w:fldCharType="end"/>
        </w:r>
      </w:hyperlink>
    </w:p>
    <w:p w:rsidR="00B8771B" w:rsidRDefault="008F3609" w:rsidP="00B8771B">
      <w:pPr>
        <w:pStyle w:val="1b"/>
        <w:rPr>
          <w:rFonts w:asciiTheme="minorHAnsi" w:eastAsiaTheme="minorEastAsia" w:hAnsiTheme="minorHAnsi" w:cstheme="minorBidi"/>
          <w:noProof/>
          <w:lang w:eastAsia="el-GR"/>
        </w:rPr>
      </w:pPr>
      <w:hyperlink w:anchor="_Toc495951415" w:history="1">
        <w:r w:rsidR="00B8771B" w:rsidRPr="008378DE">
          <w:rPr>
            <w:rStyle w:val="-"/>
            <w:rFonts w:cstheme="minorHAnsi"/>
            <w:noProof/>
            <w:lang w:val="en-US"/>
          </w:rPr>
          <w:t>ABSTRACT</w:t>
        </w:r>
        <w:r w:rsidR="00B8771B">
          <w:rPr>
            <w:noProof/>
            <w:webHidden/>
          </w:rPr>
          <w:tab/>
        </w:r>
        <w:r>
          <w:rPr>
            <w:noProof/>
            <w:webHidden/>
          </w:rPr>
          <w:fldChar w:fldCharType="begin"/>
        </w:r>
        <w:r w:rsidR="00B8771B">
          <w:rPr>
            <w:noProof/>
            <w:webHidden/>
          </w:rPr>
          <w:instrText xml:space="preserve"> PAGEREF _Toc495951415 \h </w:instrText>
        </w:r>
        <w:r>
          <w:rPr>
            <w:noProof/>
            <w:webHidden/>
          </w:rPr>
        </w:r>
        <w:r>
          <w:rPr>
            <w:noProof/>
            <w:webHidden/>
          </w:rPr>
          <w:fldChar w:fldCharType="separate"/>
        </w:r>
        <w:r w:rsidR="00B8771B">
          <w:rPr>
            <w:noProof/>
            <w:webHidden/>
          </w:rPr>
          <w:t>19</w:t>
        </w:r>
        <w:r>
          <w:rPr>
            <w:noProof/>
            <w:webHidden/>
          </w:rPr>
          <w:fldChar w:fldCharType="end"/>
        </w:r>
      </w:hyperlink>
    </w:p>
    <w:p w:rsidR="00B8771B" w:rsidRDefault="008F3609" w:rsidP="00B8771B">
      <w:pPr>
        <w:pStyle w:val="1b"/>
        <w:rPr>
          <w:rFonts w:asciiTheme="minorHAnsi" w:eastAsiaTheme="minorEastAsia" w:hAnsiTheme="minorHAnsi" w:cstheme="minorBidi"/>
          <w:noProof/>
          <w:lang w:eastAsia="el-GR"/>
        </w:rPr>
      </w:pPr>
      <w:hyperlink w:anchor="_Toc495951416" w:history="1">
        <w:r w:rsidR="00B8771B" w:rsidRPr="008378DE">
          <w:rPr>
            <w:rStyle w:val="-"/>
            <w:noProof/>
          </w:rPr>
          <w:t>ΠΡΟΛΟΓΟΣ</w:t>
        </w:r>
        <w:r w:rsidR="00B8771B">
          <w:rPr>
            <w:noProof/>
            <w:webHidden/>
          </w:rPr>
          <w:tab/>
        </w:r>
        <w:r>
          <w:rPr>
            <w:noProof/>
            <w:webHidden/>
          </w:rPr>
          <w:fldChar w:fldCharType="begin"/>
        </w:r>
        <w:r w:rsidR="00B8771B">
          <w:rPr>
            <w:noProof/>
            <w:webHidden/>
          </w:rPr>
          <w:instrText xml:space="preserve"> PAGEREF _Toc495951416 \h </w:instrText>
        </w:r>
        <w:r>
          <w:rPr>
            <w:noProof/>
            <w:webHidden/>
          </w:rPr>
        </w:r>
        <w:r>
          <w:rPr>
            <w:noProof/>
            <w:webHidden/>
          </w:rPr>
          <w:fldChar w:fldCharType="separate"/>
        </w:r>
        <w:r w:rsidR="00B8771B">
          <w:rPr>
            <w:noProof/>
            <w:webHidden/>
          </w:rPr>
          <w:t>22</w:t>
        </w:r>
        <w:r>
          <w:rPr>
            <w:noProof/>
            <w:webHidden/>
          </w:rPr>
          <w:fldChar w:fldCharType="end"/>
        </w:r>
      </w:hyperlink>
    </w:p>
    <w:p w:rsidR="00B8771B" w:rsidRDefault="008F3609" w:rsidP="00B8771B">
      <w:pPr>
        <w:pStyle w:val="1b"/>
        <w:rPr>
          <w:rFonts w:asciiTheme="minorHAnsi" w:eastAsiaTheme="minorEastAsia" w:hAnsiTheme="minorHAnsi" w:cstheme="minorBidi"/>
          <w:noProof/>
          <w:lang w:eastAsia="el-GR"/>
        </w:rPr>
      </w:pPr>
      <w:hyperlink w:anchor="_Toc495951417" w:history="1">
        <w:r w:rsidR="00B8771B" w:rsidRPr="008378DE">
          <w:rPr>
            <w:rStyle w:val="-"/>
            <w:noProof/>
          </w:rPr>
          <w:t>ΓΕΝΙΚΟ ΜΕΡΟΣ</w:t>
        </w:r>
        <w:r w:rsidR="00B8771B">
          <w:rPr>
            <w:noProof/>
            <w:webHidden/>
          </w:rPr>
          <w:tab/>
        </w:r>
        <w:r>
          <w:rPr>
            <w:noProof/>
            <w:webHidden/>
          </w:rPr>
          <w:fldChar w:fldCharType="begin"/>
        </w:r>
        <w:r w:rsidR="00B8771B">
          <w:rPr>
            <w:noProof/>
            <w:webHidden/>
          </w:rPr>
          <w:instrText xml:space="preserve"> PAGEREF _Toc495951417 \h </w:instrText>
        </w:r>
        <w:r>
          <w:rPr>
            <w:noProof/>
            <w:webHidden/>
          </w:rPr>
        </w:r>
        <w:r>
          <w:rPr>
            <w:noProof/>
            <w:webHidden/>
          </w:rPr>
          <w:fldChar w:fldCharType="separate"/>
        </w:r>
        <w:r w:rsidR="00B8771B">
          <w:rPr>
            <w:noProof/>
            <w:webHidden/>
          </w:rPr>
          <w:t>26</w:t>
        </w:r>
        <w:r>
          <w:rPr>
            <w:noProof/>
            <w:webHidden/>
          </w:rPr>
          <w:fldChar w:fldCharType="end"/>
        </w:r>
      </w:hyperlink>
    </w:p>
    <w:p w:rsidR="00B8771B" w:rsidRDefault="008F3609" w:rsidP="00B8771B">
      <w:pPr>
        <w:pStyle w:val="1b"/>
        <w:rPr>
          <w:rFonts w:asciiTheme="minorHAnsi" w:eastAsiaTheme="minorEastAsia" w:hAnsiTheme="minorHAnsi" w:cstheme="minorBidi"/>
          <w:noProof/>
          <w:lang w:eastAsia="el-GR"/>
        </w:rPr>
      </w:pPr>
      <w:hyperlink w:anchor="_Toc495951418" w:history="1">
        <w:r w:rsidR="00B8771B" w:rsidRPr="008378DE">
          <w:rPr>
            <w:rStyle w:val="-"/>
            <w:rFonts w:cstheme="minorHAnsi"/>
            <w:noProof/>
          </w:rPr>
          <w:t>1</w:t>
        </w:r>
        <w:r w:rsidR="00B8771B" w:rsidRPr="008378DE">
          <w:rPr>
            <w:rStyle w:val="-"/>
            <w:rFonts w:cstheme="minorHAnsi"/>
            <w:noProof/>
            <w:vertAlign w:val="superscript"/>
            <w:lang w:val="en-US"/>
          </w:rPr>
          <w:t>o</w:t>
        </w:r>
        <w:r w:rsidR="00B8771B" w:rsidRPr="008378DE">
          <w:rPr>
            <w:rStyle w:val="-"/>
            <w:rFonts w:cstheme="minorHAnsi"/>
            <w:noProof/>
            <w:vertAlign w:val="superscript"/>
          </w:rPr>
          <w:t xml:space="preserve"> </w:t>
        </w:r>
        <w:r w:rsidR="00B8771B" w:rsidRPr="008378DE">
          <w:rPr>
            <w:rStyle w:val="-"/>
            <w:rFonts w:cstheme="minorHAnsi"/>
            <w:noProof/>
          </w:rPr>
          <w:t>ΚΕΦΑΛΑΙΟ: ΧΡΟΝΙΑ ΝΕΦΡΙΚΗ ΝΟΣΟΣ</w:t>
        </w:r>
        <w:r w:rsidR="00B8771B">
          <w:rPr>
            <w:noProof/>
            <w:webHidden/>
          </w:rPr>
          <w:tab/>
        </w:r>
        <w:r>
          <w:rPr>
            <w:noProof/>
            <w:webHidden/>
          </w:rPr>
          <w:fldChar w:fldCharType="begin"/>
        </w:r>
        <w:r w:rsidR="00B8771B">
          <w:rPr>
            <w:noProof/>
            <w:webHidden/>
          </w:rPr>
          <w:instrText xml:space="preserve"> PAGEREF _Toc495951418 \h </w:instrText>
        </w:r>
        <w:r>
          <w:rPr>
            <w:noProof/>
            <w:webHidden/>
          </w:rPr>
        </w:r>
        <w:r>
          <w:rPr>
            <w:noProof/>
            <w:webHidden/>
          </w:rPr>
          <w:fldChar w:fldCharType="separate"/>
        </w:r>
        <w:r w:rsidR="00B8771B">
          <w:rPr>
            <w:noProof/>
            <w:webHidden/>
          </w:rPr>
          <w:t>27</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19" w:history="1">
        <w:r w:rsidR="00B8771B" w:rsidRPr="008378DE">
          <w:rPr>
            <w:rStyle w:val="-"/>
            <w:noProof/>
          </w:rPr>
          <w:t>1.1.</w:t>
        </w:r>
        <w:r w:rsidR="00B8771B">
          <w:rPr>
            <w:rFonts w:asciiTheme="minorHAnsi" w:eastAsiaTheme="minorEastAsia" w:hAnsiTheme="minorHAnsi" w:cstheme="minorBidi"/>
            <w:noProof/>
          </w:rPr>
          <w:tab/>
        </w:r>
        <w:r w:rsidR="00B8771B" w:rsidRPr="008378DE">
          <w:rPr>
            <w:rStyle w:val="-"/>
            <w:noProof/>
          </w:rPr>
          <w:t>Επιδημιολογικά δεδομένα</w:t>
        </w:r>
        <w:r w:rsidR="00B8771B">
          <w:rPr>
            <w:noProof/>
            <w:webHidden/>
          </w:rPr>
          <w:tab/>
        </w:r>
        <w:r>
          <w:rPr>
            <w:noProof/>
            <w:webHidden/>
          </w:rPr>
          <w:fldChar w:fldCharType="begin"/>
        </w:r>
        <w:r w:rsidR="00B8771B">
          <w:rPr>
            <w:noProof/>
            <w:webHidden/>
          </w:rPr>
          <w:instrText xml:space="preserve"> PAGEREF _Toc495951419 \h </w:instrText>
        </w:r>
        <w:r>
          <w:rPr>
            <w:noProof/>
            <w:webHidden/>
          </w:rPr>
        </w:r>
        <w:r>
          <w:rPr>
            <w:noProof/>
            <w:webHidden/>
          </w:rPr>
          <w:fldChar w:fldCharType="separate"/>
        </w:r>
        <w:r w:rsidR="00B8771B">
          <w:rPr>
            <w:noProof/>
            <w:webHidden/>
          </w:rPr>
          <w:t>27</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20" w:history="1">
        <w:r w:rsidR="00B8771B" w:rsidRPr="008378DE">
          <w:rPr>
            <w:rStyle w:val="-"/>
            <w:noProof/>
          </w:rPr>
          <w:t>1.2.</w:t>
        </w:r>
        <w:r w:rsidR="00B8771B">
          <w:rPr>
            <w:rFonts w:asciiTheme="minorHAnsi" w:eastAsiaTheme="minorEastAsia" w:hAnsiTheme="minorHAnsi" w:cstheme="minorBidi"/>
            <w:noProof/>
          </w:rPr>
          <w:tab/>
        </w:r>
        <w:r w:rsidR="00B8771B" w:rsidRPr="008378DE">
          <w:rPr>
            <w:rStyle w:val="-"/>
            <w:noProof/>
          </w:rPr>
          <w:t>Ορισμός και σταδιοποίηση της ΧΝΝ</w:t>
        </w:r>
        <w:r w:rsidR="00B8771B">
          <w:rPr>
            <w:noProof/>
            <w:webHidden/>
          </w:rPr>
          <w:tab/>
        </w:r>
        <w:r>
          <w:rPr>
            <w:noProof/>
            <w:webHidden/>
          </w:rPr>
          <w:fldChar w:fldCharType="begin"/>
        </w:r>
        <w:r w:rsidR="00B8771B">
          <w:rPr>
            <w:noProof/>
            <w:webHidden/>
          </w:rPr>
          <w:instrText xml:space="preserve"> PAGEREF _Toc495951420 \h </w:instrText>
        </w:r>
        <w:r>
          <w:rPr>
            <w:noProof/>
            <w:webHidden/>
          </w:rPr>
        </w:r>
        <w:r>
          <w:rPr>
            <w:noProof/>
            <w:webHidden/>
          </w:rPr>
          <w:fldChar w:fldCharType="separate"/>
        </w:r>
        <w:r w:rsidR="00B8771B">
          <w:rPr>
            <w:noProof/>
            <w:webHidden/>
          </w:rPr>
          <w:t>31</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21" w:history="1">
        <w:r w:rsidR="00B8771B" w:rsidRPr="008378DE">
          <w:rPr>
            <w:rStyle w:val="-"/>
            <w:noProof/>
          </w:rPr>
          <w:t>1.3.</w:t>
        </w:r>
        <w:r w:rsidR="00B8771B">
          <w:rPr>
            <w:rFonts w:asciiTheme="minorHAnsi" w:eastAsiaTheme="minorEastAsia" w:hAnsiTheme="minorHAnsi" w:cstheme="minorBidi"/>
            <w:noProof/>
          </w:rPr>
          <w:tab/>
        </w:r>
        <w:r w:rsidR="00B8771B" w:rsidRPr="008378DE">
          <w:rPr>
            <w:rStyle w:val="-"/>
            <w:noProof/>
          </w:rPr>
          <w:t>Αίτια</w:t>
        </w:r>
        <w:r w:rsidR="00B8771B">
          <w:rPr>
            <w:noProof/>
            <w:webHidden/>
          </w:rPr>
          <w:tab/>
        </w:r>
        <w:r>
          <w:rPr>
            <w:noProof/>
            <w:webHidden/>
          </w:rPr>
          <w:fldChar w:fldCharType="begin"/>
        </w:r>
        <w:r w:rsidR="00B8771B">
          <w:rPr>
            <w:noProof/>
            <w:webHidden/>
          </w:rPr>
          <w:instrText xml:space="preserve"> PAGEREF _Toc495951421 \h </w:instrText>
        </w:r>
        <w:r>
          <w:rPr>
            <w:noProof/>
            <w:webHidden/>
          </w:rPr>
        </w:r>
        <w:r>
          <w:rPr>
            <w:noProof/>
            <w:webHidden/>
          </w:rPr>
          <w:fldChar w:fldCharType="separate"/>
        </w:r>
        <w:r w:rsidR="00B8771B">
          <w:rPr>
            <w:noProof/>
            <w:webHidden/>
          </w:rPr>
          <w:t>34</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22" w:history="1">
        <w:r w:rsidR="00B8771B" w:rsidRPr="008378DE">
          <w:rPr>
            <w:rStyle w:val="-"/>
            <w:noProof/>
          </w:rPr>
          <w:t>1.4.</w:t>
        </w:r>
        <w:r w:rsidR="00B8771B">
          <w:rPr>
            <w:rFonts w:asciiTheme="minorHAnsi" w:eastAsiaTheme="minorEastAsia" w:hAnsiTheme="minorHAnsi" w:cstheme="minorBidi"/>
            <w:noProof/>
          </w:rPr>
          <w:tab/>
        </w:r>
        <w:r w:rsidR="00B8771B" w:rsidRPr="008378DE">
          <w:rPr>
            <w:rStyle w:val="-"/>
            <w:noProof/>
          </w:rPr>
          <w:t>Πορεία της ΧΝΝ</w:t>
        </w:r>
        <w:r w:rsidR="00B8771B">
          <w:rPr>
            <w:noProof/>
            <w:webHidden/>
          </w:rPr>
          <w:tab/>
        </w:r>
        <w:r>
          <w:rPr>
            <w:noProof/>
            <w:webHidden/>
          </w:rPr>
          <w:fldChar w:fldCharType="begin"/>
        </w:r>
        <w:r w:rsidR="00B8771B">
          <w:rPr>
            <w:noProof/>
            <w:webHidden/>
          </w:rPr>
          <w:instrText xml:space="preserve"> PAGEREF _Toc495951422 \h </w:instrText>
        </w:r>
        <w:r>
          <w:rPr>
            <w:noProof/>
            <w:webHidden/>
          </w:rPr>
        </w:r>
        <w:r>
          <w:rPr>
            <w:noProof/>
            <w:webHidden/>
          </w:rPr>
          <w:fldChar w:fldCharType="separate"/>
        </w:r>
        <w:r w:rsidR="00B8771B">
          <w:rPr>
            <w:noProof/>
            <w:webHidden/>
          </w:rPr>
          <w:t>34</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23" w:history="1">
        <w:r w:rsidR="00B8771B" w:rsidRPr="008378DE">
          <w:rPr>
            <w:rStyle w:val="-"/>
            <w:noProof/>
          </w:rPr>
          <w:t>1.5.</w:t>
        </w:r>
        <w:r w:rsidR="00B8771B">
          <w:rPr>
            <w:rFonts w:asciiTheme="minorHAnsi" w:eastAsiaTheme="minorEastAsia" w:hAnsiTheme="minorHAnsi" w:cstheme="minorBidi"/>
            <w:noProof/>
          </w:rPr>
          <w:tab/>
        </w:r>
        <w:r w:rsidR="00B8771B" w:rsidRPr="008378DE">
          <w:rPr>
            <w:rStyle w:val="-"/>
            <w:noProof/>
          </w:rPr>
          <w:t>Κλινική εικόνα και επιπτώσεις της ΧΝΝ στα οργανικά συστήματα</w:t>
        </w:r>
        <w:r w:rsidR="00B8771B">
          <w:rPr>
            <w:noProof/>
            <w:webHidden/>
          </w:rPr>
          <w:tab/>
        </w:r>
        <w:r>
          <w:rPr>
            <w:noProof/>
            <w:webHidden/>
          </w:rPr>
          <w:fldChar w:fldCharType="begin"/>
        </w:r>
        <w:r w:rsidR="00B8771B">
          <w:rPr>
            <w:noProof/>
            <w:webHidden/>
          </w:rPr>
          <w:instrText xml:space="preserve"> PAGEREF _Toc495951423 \h </w:instrText>
        </w:r>
        <w:r>
          <w:rPr>
            <w:noProof/>
            <w:webHidden/>
          </w:rPr>
        </w:r>
        <w:r>
          <w:rPr>
            <w:noProof/>
            <w:webHidden/>
          </w:rPr>
          <w:fldChar w:fldCharType="separate"/>
        </w:r>
        <w:r w:rsidR="00B8771B">
          <w:rPr>
            <w:noProof/>
            <w:webHidden/>
          </w:rPr>
          <w:t>35</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24" w:history="1">
        <w:r w:rsidR="00B8771B" w:rsidRPr="008378DE">
          <w:rPr>
            <w:rStyle w:val="-"/>
            <w:noProof/>
          </w:rPr>
          <w:t>1.6.</w:t>
        </w:r>
        <w:r w:rsidR="00B8771B">
          <w:rPr>
            <w:rFonts w:asciiTheme="minorHAnsi" w:eastAsiaTheme="minorEastAsia" w:hAnsiTheme="minorHAnsi" w:cstheme="minorBidi"/>
            <w:noProof/>
          </w:rPr>
          <w:tab/>
        </w:r>
        <w:r w:rsidR="00B8771B" w:rsidRPr="008378DE">
          <w:rPr>
            <w:rStyle w:val="-"/>
            <w:noProof/>
          </w:rPr>
          <w:t>Κλινικά ευρήματα</w:t>
        </w:r>
        <w:r w:rsidR="00B8771B">
          <w:rPr>
            <w:noProof/>
            <w:webHidden/>
          </w:rPr>
          <w:tab/>
        </w:r>
        <w:r>
          <w:rPr>
            <w:noProof/>
            <w:webHidden/>
          </w:rPr>
          <w:fldChar w:fldCharType="begin"/>
        </w:r>
        <w:r w:rsidR="00B8771B">
          <w:rPr>
            <w:noProof/>
            <w:webHidden/>
          </w:rPr>
          <w:instrText xml:space="preserve"> PAGEREF _Toc495951424 \h </w:instrText>
        </w:r>
        <w:r>
          <w:rPr>
            <w:noProof/>
            <w:webHidden/>
          </w:rPr>
        </w:r>
        <w:r>
          <w:rPr>
            <w:noProof/>
            <w:webHidden/>
          </w:rPr>
          <w:fldChar w:fldCharType="separate"/>
        </w:r>
        <w:r w:rsidR="00B8771B">
          <w:rPr>
            <w:noProof/>
            <w:webHidden/>
          </w:rPr>
          <w:t>38</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25" w:history="1">
        <w:r w:rsidR="00B8771B" w:rsidRPr="008378DE">
          <w:rPr>
            <w:rStyle w:val="-"/>
            <w:noProof/>
          </w:rPr>
          <w:t>1.7.</w:t>
        </w:r>
        <w:r w:rsidR="00B8771B">
          <w:rPr>
            <w:rFonts w:asciiTheme="minorHAnsi" w:eastAsiaTheme="minorEastAsia" w:hAnsiTheme="minorHAnsi" w:cstheme="minorBidi"/>
            <w:noProof/>
          </w:rPr>
          <w:tab/>
        </w:r>
        <w:r w:rsidR="00B8771B" w:rsidRPr="008378DE">
          <w:rPr>
            <w:rStyle w:val="-"/>
            <w:noProof/>
          </w:rPr>
          <w:t>Διάγνωση της ΧΝΝ</w:t>
        </w:r>
        <w:r w:rsidR="00B8771B">
          <w:rPr>
            <w:noProof/>
            <w:webHidden/>
          </w:rPr>
          <w:tab/>
        </w:r>
        <w:r>
          <w:rPr>
            <w:noProof/>
            <w:webHidden/>
          </w:rPr>
          <w:fldChar w:fldCharType="begin"/>
        </w:r>
        <w:r w:rsidR="00B8771B">
          <w:rPr>
            <w:noProof/>
            <w:webHidden/>
          </w:rPr>
          <w:instrText xml:space="preserve"> PAGEREF _Toc495951425 \h </w:instrText>
        </w:r>
        <w:r>
          <w:rPr>
            <w:noProof/>
            <w:webHidden/>
          </w:rPr>
        </w:r>
        <w:r>
          <w:rPr>
            <w:noProof/>
            <w:webHidden/>
          </w:rPr>
          <w:fldChar w:fldCharType="separate"/>
        </w:r>
        <w:r w:rsidR="00B8771B">
          <w:rPr>
            <w:noProof/>
            <w:webHidden/>
          </w:rPr>
          <w:t>40</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26" w:history="1">
        <w:r w:rsidR="00B8771B" w:rsidRPr="008378DE">
          <w:rPr>
            <w:rStyle w:val="-"/>
            <w:noProof/>
          </w:rPr>
          <w:t>1.8.</w:t>
        </w:r>
        <w:r w:rsidR="00B8771B">
          <w:rPr>
            <w:rFonts w:asciiTheme="minorHAnsi" w:eastAsiaTheme="minorEastAsia" w:hAnsiTheme="minorHAnsi" w:cstheme="minorBidi"/>
            <w:noProof/>
          </w:rPr>
          <w:tab/>
        </w:r>
        <w:r w:rsidR="00B8771B" w:rsidRPr="008378DE">
          <w:rPr>
            <w:rStyle w:val="-"/>
            <w:noProof/>
          </w:rPr>
          <w:t>Αντιμετώπιση της ΧΝΝ</w:t>
        </w:r>
        <w:r w:rsidR="00B8771B">
          <w:rPr>
            <w:noProof/>
            <w:webHidden/>
          </w:rPr>
          <w:tab/>
        </w:r>
        <w:r>
          <w:rPr>
            <w:noProof/>
            <w:webHidden/>
          </w:rPr>
          <w:fldChar w:fldCharType="begin"/>
        </w:r>
        <w:r w:rsidR="00B8771B">
          <w:rPr>
            <w:noProof/>
            <w:webHidden/>
          </w:rPr>
          <w:instrText xml:space="preserve"> PAGEREF _Toc495951426 \h </w:instrText>
        </w:r>
        <w:r>
          <w:rPr>
            <w:noProof/>
            <w:webHidden/>
          </w:rPr>
        </w:r>
        <w:r>
          <w:rPr>
            <w:noProof/>
            <w:webHidden/>
          </w:rPr>
          <w:fldChar w:fldCharType="separate"/>
        </w:r>
        <w:r w:rsidR="00B8771B">
          <w:rPr>
            <w:noProof/>
            <w:webHidden/>
          </w:rPr>
          <w:t>41</w:t>
        </w:r>
        <w:r>
          <w:rPr>
            <w:noProof/>
            <w:webHidden/>
          </w:rPr>
          <w:fldChar w:fldCharType="end"/>
        </w:r>
      </w:hyperlink>
    </w:p>
    <w:p w:rsidR="00B8771B" w:rsidRDefault="008F3609" w:rsidP="00B8771B">
      <w:pPr>
        <w:pStyle w:val="1b"/>
        <w:rPr>
          <w:rFonts w:asciiTheme="minorHAnsi" w:eastAsiaTheme="minorEastAsia" w:hAnsiTheme="minorHAnsi" w:cstheme="minorBidi"/>
          <w:noProof/>
          <w:lang w:eastAsia="el-GR"/>
        </w:rPr>
      </w:pPr>
      <w:hyperlink w:anchor="_Toc495951427" w:history="1">
        <w:r w:rsidR="00B8771B" w:rsidRPr="008378DE">
          <w:rPr>
            <w:rStyle w:val="-"/>
            <w:rFonts w:cstheme="minorHAnsi"/>
            <w:noProof/>
          </w:rPr>
          <w:t>2</w:t>
        </w:r>
        <w:r w:rsidR="00B8771B" w:rsidRPr="008378DE">
          <w:rPr>
            <w:rStyle w:val="-"/>
            <w:rFonts w:cstheme="minorHAnsi"/>
            <w:noProof/>
            <w:vertAlign w:val="superscript"/>
            <w:lang w:val="en-US"/>
          </w:rPr>
          <w:t>o</w:t>
        </w:r>
        <w:r w:rsidR="00B8771B" w:rsidRPr="008378DE">
          <w:rPr>
            <w:rStyle w:val="-"/>
            <w:rFonts w:cstheme="minorHAnsi"/>
            <w:noProof/>
          </w:rPr>
          <w:t xml:space="preserve"> </w:t>
        </w:r>
        <w:r w:rsidR="00B8771B" w:rsidRPr="008378DE">
          <w:rPr>
            <w:rStyle w:val="-"/>
            <w:rFonts w:cstheme="minorHAnsi"/>
            <w:noProof/>
            <w:lang w:val="en-US"/>
          </w:rPr>
          <w:t>KE</w:t>
        </w:r>
        <w:r w:rsidR="00B8771B" w:rsidRPr="008378DE">
          <w:rPr>
            <w:rStyle w:val="-"/>
            <w:rFonts w:cstheme="minorHAnsi"/>
            <w:noProof/>
          </w:rPr>
          <w:t>ΦΑΛΑΙΟ: ΓΝΩΣΗ ΑΣΘΕΝΟΥΣ</w:t>
        </w:r>
        <w:r w:rsidR="00B8771B">
          <w:rPr>
            <w:noProof/>
            <w:webHidden/>
          </w:rPr>
          <w:tab/>
        </w:r>
        <w:r>
          <w:rPr>
            <w:noProof/>
            <w:webHidden/>
          </w:rPr>
          <w:fldChar w:fldCharType="begin"/>
        </w:r>
        <w:r w:rsidR="00B8771B">
          <w:rPr>
            <w:noProof/>
            <w:webHidden/>
          </w:rPr>
          <w:instrText xml:space="preserve"> PAGEREF _Toc495951427 \h </w:instrText>
        </w:r>
        <w:r>
          <w:rPr>
            <w:noProof/>
            <w:webHidden/>
          </w:rPr>
        </w:r>
        <w:r>
          <w:rPr>
            <w:noProof/>
            <w:webHidden/>
          </w:rPr>
          <w:fldChar w:fldCharType="separate"/>
        </w:r>
        <w:r w:rsidR="00B8771B">
          <w:rPr>
            <w:noProof/>
            <w:webHidden/>
          </w:rPr>
          <w:t>48</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28" w:history="1">
        <w:r w:rsidR="00B8771B" w:rsidRPr="008378DE">
          <w:rPr>
            <w:rStyle w:val="-"/>
            <w:noProof/>
          </w:rPr>
          <w:t>2.1.</w:t>
        </w:r>
        <w:r w:rsidR="00B8771B">
          <w:rPr>
            <w:rFonts w:asciiTheme="minorHAnsi" w:eastAsiaTheme="minorEastAsia" w:hAnsiTheme="minorHAnsi" w:cstheme="minorBidi"/>
            <w:noProof/>
          </w:rPr>
          <w:tab/>
        </w:r>
        <w:r w:rsidR="00B8771B" w:rsidRPr="008378DE">
          <w:rPr>
            <w:rStyle w:val="-"/>
            <w:noProof/>
          </w:rPr>
          <w:t>Ανίχνευση μαθησιακών αναγκών</w:t>
        </w:r>
        <w:r w:rsidR="00B8771B">
          <w:rPr>
            <w:noProof/>
            <w:webHidden/>
          </w:rPr>
          <w:tab/>
        </w:r>
        <w:r>
          <w:rPr>
            <w:noProof/>
            <w:webHidden/>
          </w:rPr>
          <w:fldChar w:fldCharType="begin"/>
        </w:r>
        <w:r w:rsidR="00B8771B">
          <w:rPr>
            <w:noProof/>
            <w:webHidden/>
          </w:rPr>
          <w:instrText xml:space="preserve"> PAGEREF _Toc495951428 \h </w:instrText>
        </w:r>
        <w:r>
          <w:rPr>
            <w:noProof/>
            <w:webHidden/>
          </w:rPr>
        </w:r>
        <w:r>
          <w:rPr>
            <w:noProof/>
            <w:webHidden/>
          </w:rPr>
          <w:fldChar w:fldCharType="separate"/>
        </w:r>
        <w:r w:rsidR="00B8771B">
          <w:rPr>
            <w:noProof/>
            <w:webHidden/>
          </w:rPr>
          <w:t>48</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29" w:history="1">
        <w:r w:rsidR="00B8771B" w:rsidRPr="008378DE">
          <w:rPr>
            <w:rStyle w:val="-"/>
            <w:noProof/>
          </w:rPr>
          <w:t>2.2.</w:t>
        </w:r>
        <w:r w:rsidR="00B8771B">
          <w:rPr>
            <w:rFonts w:asciiTheme="minorHAnsi" w:eastAsiaTheme="minorEastAsia" w:hAnsiTheme="minorHAnsi" w:cstheme="minorBidi"/>
            <w:noProof/>
          </w:rPr>
          <w:tab/>
        </w:r>
        <w:r w:rsidR="00B8771B" w:rsidRPr="008378DE">
          <w:rPr>
            <w:rStyle w:val="-"/>
            <w:noProof/>
          </w:rPr>
          <w:t>Σχεδίαση του εκπαιδευτικού πλάνου</w:t>
        </w:r>
        <w:r w:rsidR="00B8771B">
          <w:rPr>
            <w:noProof/>
            <w:webHidden/>
          </w:rPr>
          <w:tab/>
        </w:r>
        <w:r>
          <w:rPr>
            <w:noProof/>
            <w:webHidden/>
          </w:rPr>
          <w:fldChar w:fldCharType="begin"/>
        </w:r>
        <w:r w:rsidR="00B8771B">
          <w:rPr>
            <w:noProof/>
            <w:webHidden/>
          </w:rPr>
          <w:instrText xml:space="preserve"> PAGEREF _Toc495951429 \h </w:instrText>
        </w:r>
        <w:r>
          <w:rPr>
            <w:noProof/>
            <w:webHidden/>
          </w:rPr>
        </w:r>
        <w:r>
          <w:rPr>
            <w:noProof/>
            <w:webHidden/>
          </w:rPr>
          <w:fldChar w:fldCharType="separate"/>
        </w:r>
        <w:r w:rsidR="00B8771B">
          <w:rPr>
            <w:noProof/>
            <w:webHidden/>
          </w:rPr>
          <w:t>49</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30" w:history="1">
        <w:r w:rsidR="00B8771B" w:rsidRPr="008378DE">
          <w:rPr>
            <w:rStyle w:val="-"/>
            <w:noProof/>
          </w:rPr>
          <w:t>2.3.</w:t>
        </w:r>
        <w:r w:rsidR="00B8771B">
          <w:rPr>
            <w:rFonts w:asciiTheme="minorHAnsi" w:eastAsiaTheme="minorEastAsia" w:hAnsiTheme="minorHAnsi" w:cstheme="minorBidi"/>
            <w:noProof/>
          </w:rPr>
          <w:tab/>
        </w:r>
        <w:r w:rsidR="00B8771B" w:rsidRPr="008378DE">
          <w:rPr>
            <w:rStyle w:val="-"/>
            <w:noProof/>
          </w:rPr>
          <w:t>Εφαρμογή του εκπαιδευτικού πλάνου</w:t>
        </w:r>
        <w:r w:rsidR="00B8771B">
          <w:rPr>
            <w:noProof/>
            <w:webHidden/>
          </w:rPr>
          <w:tab/>
        </w:r>
        <w:r>
          <w:rPr>
            <w:noProof/>
            <w:webHidden/>
          </w:rPr>
          <w:fldChar w:fldCharType="begin"/>
        </w:r>
        <w:r w:rsidR="00B8771B">
          <w:rPr>
            <w:noProof/>
            <w:webHidden/>
          </w:rPr>
          <w:instrText xml:space="preserve"> PAGEREF _Toc495951430 \h </w:instrText>
        </w:r>
        <w:r>
          <w:rPr>
            <w:noProof/>
            <w:webHidden/>
          </w:rPr>
        </w:r>
        <w:r>
          <w:rPr>
            <w:noProof/>
            <w:webHidden/>
          </w:rPr>
          <w:fldChar w:fldCharType="separate"/>
        </w:r>
        <w:r w:rsidR="00B8771B">
          <w:rPr>
            <w:noProof/>
            <w:webHidden/>
          </w:rPr>
          <w:t>51</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31" w:history="1">
        <w:r w:rsidR="00B8771B" w:rsidRPr="008378DE">
          <w:rPr>
            <w:rStyle w:val="-"/>
            <w:noProof/>
          </w:rPr>
          <w:t>2.4.</w:t>
        </w:r>
        <w:r w:rsidR="00B8771B">
          <w:rPr>
            <w:rFonts w:asciiTheme="minorHAnsi" w:eastAsiaTheme="minorEastAsia" w:hAnsiTheme="minorHAnsi" w:cstheme="minorBidi"/>
            <w:noProof/>
          </w:rPr>
          <w:tab/>
        </w:r>
        <w:r w:rsidR="00B8771B" w:rsidRPr="008378DE">
          <w:rPr>
            <w:rStyle w:val="-"/>
            <w:noProof/>
          </w:rPr>
          <w:t>Αξιολόγηση του εκπαιδευτικής διαδικασίας</w:t>
        </w:r>
        <w:r w:rsidR="00B8771B">
          <w:rPr>
            <w:noProof/>
            <w:webHidden/>
          </w:rPr>
          <w:tab/>
        </w:r>
        <w:r>
          <w:rPr>
            <w:noProof/>
            <w:webHidden/>
          </w:rPr>
          <w:fldChar w:fldCharType="begin"/>
        </w:r>
        <w:r w:rsidR="00B8771B">
          <w:rPr>
            <w:noProof/>
            <w:webHidden/>
          </w:rPr>
          <w:instrText xml:space="preserve"> PAGEREF _Toc495951431 \h </w:instrText>
        </w:r>
        <w:r>
          <w:rPr>
            <w:noProof/>
            <w:webHidden/>
          </w:rPr>
        </w:r>
        <w:r>
          <w:rPr>
            <w:noProof/>
            <w:webHidden/>
          </w:rPr>
          <w:fldChar w:fldCharType="separate"/>
        </w:r>
        <w:r w:rsidR="00B8771B">
          <w:rPr>
            <w:noProof/>
            <w:webHidden/>
          </w:rPr>
          <w:t>52</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32" w:history="1">
        <w:r w:rsidR="00B8771B" w:rsidRPr="008378DE">
          <w:rPr>
            <w:rStyle w:val="-"/>
            <w:noProof/>
          </w:rPr>
          <w:t>2.5.</w:t>
        </w:r>
        <w:r w:rsidR="00B8771B">
          <w:rPr>
            <w:rFonts w:asciiTheme="minorHAnsi" w:eastAsiaTheme="minorEastAsia" w:hAnsiTheme="minorHAnsi" w:cstheme="minorBidi"/>
            <w:noProof/>
          </w:rPr>
          <w:tab/>
        </w:r>
        <w:r w:rsidR="00B8771B" w:rsidRPr="008378DE">
          <w:rPr>
            <w:rStyle w:val="-"/>
            <w:noProof/>
          </w:rPr>
          <w:t>Η συμμετοχή του ασθενούς στη λήψη κλινικών αποφάσεων</w:t>
        </w:r>
        <w:r w:rsidR="00B8771B">
          <w:rPr>
            <w:noProof/>
            <w:webHidden/>
          </w:rPr>
          <w:tab/>
        </w:r>
        <w:r>
          <w:rPr>
            <w:noProof/>
            <w:webHidden/>
          </w:rPr>
          <w:fldChar w:fldCharType="begin"/>
        </w:r>
        <w:r w:rsidR="00B8771B">
          <w:rPr>
            <w:noProof/>
            <w:webHidden/>
          </w:rPr>
          <w:instrText xml:space="preserve"> PAGEREF _Toc495951432 \h </w:instrText>
        </w:r>
        <w:r>
          <w:rPr>
            <w:noProof/>
            <w:webHidden/>
          </w:rPr>
        </w:r>
        <w:r>
          <w:rPr>
            <w:noProof/>
            <w:webHidden/>
          </w:rPr>
          <w:fldChar w:fldCharType="separate"/>
        </w:r>
        <w:r w:rsidR="00B8771B">
          <w:rPr>
            <w:noProof/>
            <w:webHidden/>
          </w:rPr>
          <w:t>52</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33" w:history="1">
        <w:r w:rsidR="00B8771B" w:rsidRPr="008378DE">
          <w:rPr>
            <w:rStyle w:val="-"/>
            <w:noProof/>
          </w:rPr>
          <w:t>2.6.</w:t>
        </w:r>
        <w:r w:rsidR="00B8771B">
          <w:rPr>
            <w:rFonts w:asciiTheme="minorHAnsi" w:eastAsiaTheme="minorEastAsia" w:hAnsiTheme="minorHAnsi" w:cstheme="minorBidi"/>
            <w:noProof/>
          </w:rPr>
          <w:tab/>
        </w:r>
        <w:r w:rsidR="00B8771B" w:rsidRPr="008378DE">
          <w:rPr>
            <w:rStyle w:val="-"/>
            <w:noProof/>
            <w:shd w:val="clear" w:color="auto" w:fill="FFFFFF"/>
          </w:rPr>
          <w:t>Εκπαιδευτικές μέθοδοι</w:t>
        </w:r>
        <w:r w:rsidR="00B8771B">
          <w:rPr>
            <w:noProof/>
            <w:webHidden/>
          </w:rPr>
          <w:tab/>
        </w:r>
        <w:r>
          <w:rPr>
            <w:noProof/>
            <w:webHidden/>
          </w:rPr>
          <w:fldChar w:fldCharType="begin"/>
        </w:r>
        <w:r w:rsidR="00B8771B">
          <w:rPr>
            <w:noProof/>
            <w:webHidden/>
          </w:rPr>
          <w:instrText xml:space="preserve"> PAGEREF _Toc495951433 \h </w:instrText>
        </w:r>
        <w:r>
          <w:rPr>
            <w:noProof/>
            <w:webHidden/>
          </w:rPr>
        </w:r>
        <w:r>
          <w:rPr>
            <w:noProof/>
            <w:webHidden/>
          </w:rPr>
          <w:fldChar w:fldCharType="separate"/>
        </w:r>
        <w:r w:rsidR="00B8771B">
          <w:rPr>
            <w:noProof/>
            <w:webHidden/>
          </w:rPr>
          <w:t>53</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34" w:history="1">
        <w:r w:rsidR="00B8771B" w:rsidRPr="008378DE">
          <w:rPr>
            <w:rStyle w:val="-"/>
            <w:noProof/>
          </w:rPr>
          <w:t>2.7.</w:t>
        </w:r>
        <w:r w:rsidR="00B8771B">
          <w:rPr>
            <w:rFonts w:asciiTheme="minorHAnsi" w:eastAsiaTheme="minorEastAsia" w:hAnsiTheme="minorHAnsi" w:cstheme="minorBidi"/>
            <w:noProof/>
          </w:rPr>
          <w:tab/>
        </w:r>
        <w:r w:rsidR="00B8771B" w:rsidRPr="008378DE">
          <w:rPr>
            <w:rStyle w:val="-"/>
            <w:noProof/>
            <w:shd w:val="clear" w:color="auto" w:fill="FFFFFF"/>
          </w:rPr>
          <w:t>Δομή του ενημερωτικού εντύπου</w:t>
        </w:r>
        <w:r w:rsidR="00B8771B">
          <w:rPr>
            <w:noProof/>
            <w:webHidden/>
          </w:rPr>
          <w:tab/>
        </w:r>
        <w:r>
          <w:rPr>
            <w:noProof/>
            <w:webHidden/>
          </w:rPr>
          <w:fldChar w:fldCharType="begin"/>
        </w:r>
        <w:r w:rsidR="00B8771B">
          <w:rPr>
            <w:noProof/>
            <w:webHidden/>
          </w:rPr>
          <w:instrText xml:space="preserve"> PAGEREF _Toc495951434 \h </w:instrText>
        </w:r>
        <w:r>
          <w:rPr>
            <w:noProof/>
            <w:webHidden/>
          </w:rPr>
        </w:r>
        <w:r>
          <w:rPr>
            <w:noProof/>
            <w:webHidden/>
          </w:rPr>
          <w:fldChar w:fldCharType="separate"/>
        </w:r>
        <w:r w:rsidR="00B8771B">
          <w:rPr>
            <w:noProof/>
            <w:webHidden/>
          </w:rPr>
          <w:t>55</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35" w:history="1">
        <w:r w:rsidR="00B8771B" w:rsidRPr="008378DE">
          <w:rPr>
            <w:rStyle w:val="-"/>
            <w:noProof/>
          </w:rPr>
          <w:t>2.8.</w:t>
        </w:r>
        <w:r w:rsidR="00B8771B">
          <w:rPr>
            <w:rFonts w:asciiTheme="minorHAnsi" w:eastAsiaTheme="minorEastAsia" w:hAnsiTheme="minorHAnsi" w:cstheme="minorBidi"/>
            <w:noProof/>
          </w:rPr>
          <w:tab/>
        </w:r>
        <w:r w:rsidR="00B8771B" w:rsidRPr="008378DE">
          <w:rPr>
            <w:rStyle w:val="-"/>
            <w:noProof/>
          </w:rPr>
          <w:t>Εργαλεία μέτρησης γνώσης των ασθενών για τη Χρόνια Νεφρική Νόσο</w:t>
        </w:r>
        <w:r w:rsidR="00B8771B">
          <w:rPr>
            <w:noProof/>
            <w:webHidden/>
          </w:rPr>
          <w:tab/>
        </w:r>
        <w:r>
          <w:rPr>
            <w:noProof/>
            <w:webHidden/>
          </w:rPr>
          <w:fldChar w:fldCharType="begin"/>
        </w:r>
        <w:r w:rsidR="00B8771B">
          <w:rPr>
            <w:noProof/>
            <w:webHidden/>
          </w:rPr>
          <w:instrText xml:space="preserve"> PAGEREF _Toc495951435 \h </w:instrText>
        </w:r>
        <w:r>
          <w:rPr>
            <w:noProof/>
            <w:webHidden/>
          </w:rPr>
        </w:r>
        <w:r>
          <w:rPr>
            <w:noProof/>
            <w:webHidden/>
          </w:rPr>
          <w:fldChar w:fldCharType="separate"/>
        </w:r>
        <w:r w:rsidR="00B8771B">
          <w:rPr>
            <w:noProof/>
            <w:webHidden/>
          </w:rPr>
          <w:t>56</w:t>
        </w:r>
        <w:r>
          <w:rPr>
            <w:noProof/>
            <w:webHidden/>
          </w:rPr>
          <w:fldChar w:fldCharType="end"/>
        </w:r>
      </w:hyperlink>
    </w:p>
    <w:p w:rsidR="00B8771B" w:rsidRDefault="008F3609" w:rsidP="00B8771B">
      <w:pPr>
        <w:pStyle w:val="1b"/>
        <w:rPr>
          <w:rFonts w:asciiTheme="minorHAnsi" w:eastAsiaTheme="minorEastAsia" w:hAnsiTheme="minorHAnsi" w:cstheme="minorBidi"/>
          <w:noProof/>
          <w:lang w:eastAsia="el-GR"/>
        </w:rPr>
      </w:pPr>
      <w:hyperlink w:anchor="_Toc495951436" w:history="1">
        <w:r w:rsidR="00B8771B" w:rsidRPr="008378DE">
          <w:rPr>
            <w:rStyle w:val="-"/>
            <w:noProof/>
          </w:rPr>
          <w:t>3</w:t>
        </w:r>
        <w:r w:rsidR="00B8771B" w:rsidRPr="008378DE">
          <w:rPr>
            <w:rStyle w:val="-"/>
            <w:noProof/>
            <w:vertAlign w:val="superscript"/>
          </w:rPr>
          <w:t>ο</w:t>
        </w:r>
        <w:r w:rsidR="00B8771B" w:rsidRPr="008378DE">
          <w:rPr>
            <w:rStyle w:val="-"/>
            <w:noProof/>
          </w:rPr>
          <w:t xml:space="preserve">  </w:t>
        </w:r>
        <w:r w:rsidR="00B8771B" w:rsidRPr="008378DE">
          <w:rPr>
            <w:rStyle w:val="-"/>
            <w:noProof/>
            <w:lang w:val="en-US"/>
          </w:rPr>
          <w:t>KE</w:t>
        </w:r>
        <w:r w:rsidR="00B8771B" w:rsidRPr="008378DE">
          <w:rPr>
            <w:rStyle w:val="-"/>
            <w:noProof/>
          </w:rPr>
          <w:t>ΦΑΛΑΙΟ: ΣΥΜΜΟΡΦΩΣΗ ΑΣΘΕΝΟΥΣ</w:t>
        </w:r>
        <w:r w:rsidR="00B8771B">
          <w:rPr>
            <w:noProof/>
            <w:webHidden/>
          </w:rPr>
          <w:tab/>
        </w:r>
        <w:r>
          <w:rPr>
            <w:noProof/>
            <w:webHidden/>
          </w:rPr>
          <w:fldChar w:fldCharType="begin"/>
        </w:r>
        <w:r w:rsidR="00B8771B">
          <w:rPr>
            <w:noProof/>
            <w:webHidden/>
          </w:rPr>
          <w:instrText xml:space="preserve"> PAGEREF _Toc495951436 \h </w:instrText>
        </w:r>
        <w:r>
          <w:rPr>
            <w:noProof/>
            <w:webHidden/>
          </w:rPr>
        </w:r>
        <w:r>
          <w:rPr>
            <w:noProof/>
            <w:webHidden/>
          </w:rPr>
          <w:fldChar w:fldCharType="separate"/>
        </w:r>
        <w:r w:rsidR="00B8771B">
          <w:rPr>
            <w:noProof/>
            <w:webHidden/>
          </w:rPr>
          <w:t>58</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37" w:history="1">
        <w:r w:rsidR="00B8771B" w:rsidRPr="008378DE">
          <w:rPr>
            <w:rStyle w:val="-"/>
            <w:noProof/>
          </w:rPr>
          <w:t>3.1.</w:t>
        </w:r>
        <w:r w:rsidR="00B8771B">
          <w:rPr>
            <w:rFonts w:asciiTheme="minorHAnsi" w:eastAsiaTheme="minorEastAsia" w:hAnsiTheme="minorHAnsi" w:cstheme="minorBidi"/>
            <w:noProof/>
          </w:rPr>
          <w:tab/>
        </w:r>
        <w:r w:rsidR="00B8771B" w:rsidRPr="008378DE">
          <w:rPr>
            <w:rStyle w:val="-"/>
            <w:noProof/>
          </w:rPr>
          <w:t>Η έκταση του προβλήματος της μη συμμόρφωσης</w:t>
        </w:r>
        <w:r w:rsidR="00B8771B">
          <w:rPr>
            <w:noProof/>
            <w:webHidden/>
          </w:rPr>
          <w:tab/>
        </w:r>
        <w:r>
          <w:rPr>
            <w:noProof/>
            <w:webHidden/>
          </w:rPr>
          <w:fldChar w:fldCharType="begin"/>
        </w:r>
        <w:r w:rsidR="00B8771B">
          <w:rPr>
            <w:noProof/>
            <w:webHidden/>
          </w:rPr>
          <w:instrText xml:space="preserve"> PAGEREF _Toc495951437 \h </w:instrText>
        </w:r>
        <w:r>
          <w:rPr>
            <w:noProof/>
            <w:webHidden/>
          </w:rPr>
        </w:r>
        <w:r>
          <w:rPr>
            <w:noProof/>
            <w:webHidden/>
          </w:rPr>
          <w:fldChar w:fldCharType="separate"/>
        </w:r>
        <w:r w:rsidR="00B8771B">
          <w:rPr>
            <w:noProof/>
            <w:webHidden/>
          </w:rPr>
          <w:t>58</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38" w:history="1">
        <w:r w:rsidR="00B8771B" w:rsidRPr="008378DE">
          <w:rPr>
            <w:rStyle w:val="-"/>
            <w:noProof/>
          </w:rPr>
          <w:t>3.2.</w:t>
        </w:r>
        <w:r w:rsidR="00B8771B">
          <w:rPr>
            <w:rFonts w:asciiTheme="minorHAnsi" w:eastAsiaTheme="minorEastAsia" w:hAnsiTheme="minorHAnsi" w:cstheme="minorBidi"/>
            <w:noProof/>
          </w:rPr>
          <w:tab/>
        </w:r>
        <w:r w:rsidR="00B8771B" w:rsidRPr="008378DE">
          <w:rPr>
            <w:rStyle w:val="-"/>
            <w:noProof/>
          </w:rPr>
          <w:t>Εννοιολογική ανάλυση της έννοιας της συμμόρφωσης του ασθενούς</w:t>
        </w:r>
        <w:r w:rsidR="00B8771B">
          <w:rPr>
            <w:noProof/>
            <w:webHidden/>
          </w:rPr>
          <w:tab/>
        </w:r>
        <w:r>
          <w:rPr>
            <w:noProof/>
            <w:webHidden/>
          </w:rPr>
          <w:fldChar w:fldCharType="begin"/>
        </w:r>
        <w:r w:rsidR="00B8771B">
          <w:rPr>
            <w:noProof/>
            <w:webHidden/>
          </w:rPr>
          <w:instrText xml:space="preserve"> PAGEREF _Toc495951438 \h </w:instrText>
        </w:r>
        <w:r>
          <w:rPr>
            <w:noProof/>
            <w:webHidden/>
          </w:rPr>
        </w:r>
        <w:r>
          <w:rPr>
            <w:noProof/>
            <w:webHidden/>
          </w:rPr>
          <w:fldChar w:fldCharType="separate"/>
        </w:r>
        <w:r w:rsidR="00B8771B">
          <w:rPr>
            <w:noProof/>
            <w:webHidden/>
          </w:rPr>
          <w:t>59</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39" w:history="1">
        <w:r w:rsidR="00B8771B" w:rsidRPr="008378DE">
          <w:rPr>
            <w:rStyle w:val="-"/>
            <w:noProof/>
          </w:rPr>
          <w:t>3.3.</w:t>
        </w:r>
        <w:r w:rsidR="00B8771B">
          <w:rPr>
            <w:rFonts w:asciiTheme="minorHAnsi" w:eastAsiaTheme="minorEastAsia" w:hAnsiTheme="minorHAnsi" w:cstheme="minorBidi"/>
            <w:noProof/>
          </w:rPr>
          <w:tab/>
        </w:r>
        <w:r w:rsidR="00B8771B" w:rsidRPr="008378DE">
          <w:rPr>
            <w:rStyle w:val="-"/>
            <w:noProof/>
          </w:rPr>
          <w:t>Η συμμόρφωση από την πλευρά της νοσηλευτικής</w:t>
        </w:r>
        <w:r w:rsidR="00B8771B">
          <w:rPr>
            <w:noProof/>
            <w:webHidden/>
          </w:rPr>
          <w:tab/>
        </w:r>
        <w:r>
          <w:rPr>
            <w:noProof/>
            <w:webHidden/>
          </w:rPr>
          <w:fldChar w:fldCharType="begin"/>
        </w:r>
        <w:r w:rsidR="00B8771B">
          <w:rPr>
            <w:noProof/>
            <w:webHidden/>
          </w:rPr>
          <w:instrText xml:space="preserve"> PAGEREF _Toc495951439 \h </w:instrText>
        </w:r>
        <w:r>
          <w:rPr>
            <w:noProof/>
            <w:webHidden/>
          </w:rPr>
        </w:r>
        <w:r>
          <w:rPr>
            <w:noProof/>
            <w:webHidden/>
          </w:rPr>
          <w:fldChar w:fldCharType="separate"/>
        </w:r>
        <w:r w:rsidR="00B8771B">
          <w:rPr>
            <w:noProof/>
            <w:webHidden/>
          </w:rPr>
          <w:t>64</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40" w:history="1">
        <w:r w:rsidR="00B8771B" w:rsidRPr="008378DE">
          <w:rPr>
            <w:rStyle w:val="-"/>
            <w:noProof/>
          </w:rPr>
          <w:t>3.4.</w:t>
        </w:r>
        <w:r w:rsidR="00B8771B">
          <w:rPr>
            <w:rFonts w:asciiTheme="minorHAnsi" w:eastAsiaTheme="minorEastAsia" w:hAnsiTheme="minorHAnsi" w:cstheme="minorBidi"/>
            <w:noProof/>
          </w:rPr>
          <w:tab/>
        </w:r>
        <w:r w:rsidR="00B8771B" w:rsidRPr="008378DE">
          <w:rPr>
            <w:rStyle w:val="-"/>
            <w:noProof/>
          </w:rPr>
          <w:t>Αλληλεπίδραση ασθενή- επαγγελματία υγείας</w:t>
        </w:r>
        <w:r w:rsidR="00B8771B">
          <w:rPr>
            <w:noProof/>
            <w:webHidden/>
          </w:rPr>
          <w:tab/>
        </w:r>
        <w:r>
          <w:rPr>
            <w:noProof/>
            <w:webHidden/>
          </w:rPr>
          <w:fldChar w:fldCharType="begin"/>
        </w:r>
        <w:r w:rsidR="00B8771B">
          <w:rPr>
            <w:noProof/>
            <w:webHidden/>
          </w:rPr>
          <w:instrText xml:space="preserve"> PAGEREF _Toc495951440 \h </w:instrText>
        </w:r>
        <w:r>
          <w:rPr>
            <w:noProof/>
            <w:webHidden/>
          </w:rPr>
        </w:r>
        <w:r>
          <w:rPr>
            <w:noProof/>
            <w:webHidden/>
          </w:rPr>
          <w:fldChar w:fldCharType="separate"/>
        </w:r>
        <w:r w:rsidR="00B8771B">
          <w:rPr>
            <w:noProof/>
            <w:webHidden/>
          </w:rPr>
          <w:t>66</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41" w:history="1">
        <w:r w:rsidR="00B8771B" w:rsidRPr="008378DE">
          <w:rPr>
            <w:rStyle w:val="-"/>
            <w:noProof/>
          </w:rPr>
          <w:t>3.5.</w:t>
        </w:r>
        <w:r w:rsidR="00B8771B">
          <w:rPr>
            <w:rFonts w:asciiTheme="minorHAnsi" w:eastAsiaTheme="minorEastAsia" w:hAnsiTheme="minorHAnsi" w:cstheme="minorBidi"/>
            <w:noProof/>
          </w:rPr>
          <w:tab/>
        </w:r>
        <w:r w:rsidR="00B8771B" w:rsidRPr="008378DE">
          <w:rPr>
            <w:rStyle w:val="-"/>
            <w:noProof/>
          </w:rPr>
          <w:t>Ο ρόλος του επαγγελματία υγείας στην αύξηση του επιπέδου συμμόρφωσης</w:t>
        </w:r>
        <w:r w:rsidR="00B8771B">
          <w:rPr>
            <w:noProof/>
            <w:webHidden/>
          </w:rPr>
          <w:tab/>
        </w:r>
        <w:r>
          <w:rPr>
            <w:noProof/>
            <w:webHidden/>
          </w:rPr>
          <w:fldChar w:fldCharType="begin"/>
        </w:r>
        <w:r w:rsidR="00B8771B">
          <w:rPr>
            <w:noProof/>
            <w:webHidden/>
          </w:rPr>
          <w:instrText xml:space="preserve"> PAGEREF _Toc495951441 \h </w:instrText>
        </w:r>
        <w:r>
          <w:rPr>
            <w:noProof/>
            <w:webHidden/>
          </w:rPr>
        </w:r>
        <w:r>
          <w:rPr>
            <w:noProof/>
            <w:webHidden/>
          </w:rPr>
          <w:fldChar w:fldCharType="separate"/>
        </w:r>
        <w:r w:rsidR="00B8771B">
          <w:rPr>
            <w:noProof/>
            <w:webHidden/>
          </w:rPr>
          <w:t>68</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42" w:history="1">
        <w:r w:rsidR="00B8771B" w:rsidRPr="008378DE">
          <w:rPr>
            <w:rStyle w:val="-"/>
            <w:noProof/>
          </w:rPr>
          <w:t>3.6.</w:t>
        </w:r>
        <w:r w:rsidR="00B8771B">
          <w:rPr>
            <w:rFonts w:asciiTheme="minorHAnsi" w:eastAsiaTheme="minorEastAsia" w:hAnsiTheme="minorHAnsi" w:cstheme="minorBidi"/>
            <w:noProof/>
          </w:rPr>
          <w:tab/>
        </w:r>
        <w:r w:rsidR="00B8771B" w:rsidRPr="008378DE">
          <w:rPr>
            <w:rStyle w:val="-"/>
            <w:noProof/>
          </w:rPr>
          <w:t>Παράγοντες μη συμμόρφωσης στην αιμοκάθαρση</w:t>
        </w:r>
        <w:r w:rsidR="00B8771B">
          <w:rPr>
            <w:noProof/>
            <w:webHidden/>
          </w:rPr>
          <w:tab/>
        </w:r>
        <w:r>
          <w:rPr>
            <w:noProof/>
            <w:webHidden/>
          </w:rPr>
          <w:fldChar w:fldCharType="begin"/>
        </w:r>
        <w:r w:rsidR="00B8771B">
          <w:rPr>
            <w:noProof/>
            <w:webHidden/>
          </w:rPr>
          <w:instrText xml:space="preserve"> PAGEREF _Toc495951442 \h </w:instrText>
        </w:r>
        <w:r>
          <w:rPr>
            <w:noProof/>
            <w:webHidden/>
          </w:rPr>
        </w:r>
        <w:r>
          <w:rPr>
            <w:noProof/>
            <w:webHidden/>
          </w:rPr>
          <w:fldChar w:fldCharType="separate"/>
        </w:r>
        <w:r w:rsidR="00B8771B">
          <w:rPr>
            <w:noProof/>
            <w:webHidden/>
          </w:rPr>
          <w:t>70</w:t>
        </w:r>
        <w:r>
          <w:rPr>
            <w:noProof/>
            <w:webHidden/>
          </w:rPr>
          <w:fldChar w:fldCharType="end"/>
        </w:r>
      </w:hyperlink>
    </w:p>
    <w:p w:rsidR="00B8771B" w:rsidRDefault="008F3609">
      <w:pPr>
        <w:pStyle w:val="31"/>
        <w:tabs>
          <w:tab w:val="left" w:pos="1873"/>
        </w:tabs>
        <w:rPr>
          <w:rFonts w:asciiTheme="minorHAnsi" w:eastAsiaTheme="minorEastAsia" w:hAnsiTheme="minorHAnsi" w:cstheme="minorBidi"/>
          <w:noProof/>
        </w:rPr>
      </w:pPr>
      <w:hyperlink w:anchor="_Toc495951443" w:history="1">
        <w:r w:rsidR="00B8771B" w:rsidRPr="008378DE">
          <w:rPr>
            <w:rStyle w:val="-"/>
            <w:noProof/>
          </w:rPr>
          <w:t>3.6.1.</w:t>
        </w:r>
        <w:r w:rsidR="00B8771B">
          <w:rPr>
            <w:rFonts w:asciiTheme="minorHAnsi" w:eastAsiaTheme="minorEastAsia" w:hAnsiTheme="minorHAnsi" w:cstheme="minorBidi"/>
            <w:noProof/>
          </w:rPr>
          <w:tab/>
        </w:r>
        <w:r w:rsidR="00B8771B" w:rsidRPr="008378DE">
          <w:rPr>
            <w:rStyle w:val="-"/>
            <w:noProof/>
          </w:rPr>
          <w:t>Παράγοντες σχετιζόμενοι με τον ασθενή</w:t>
        </w:r>
        <w:r w:rsidR="00B8771B">
          <w:rPr>
            <w:noProof/>
            <w:webHidden/>
          </w:rPr>
          <w:tab/>
        </w:r>
        <w:r>
          <w:rPr>
            <w:noProof/>
            <w:webHidden/>
          </w:rPr>
          <w:fldChar w:fldCharType="begin"/>
        </w:r>
        <w:r w:rsidR="00B8771B">
          <w:rPr>
            <w:noProof/>
            <w:webHidden/>
          </w:rPr>
          <w:instrText xml:space="preserve"> PAGEREF _Toc495951443 \h </w:instrText>
        </w:r>
        <w:r>
          <w:rPr>
            <w:noProof/>
            <w:webHidden/>
          </w:rPr>
        </w:r>
        <w:r>
          <w:rPr>
            <w:noProof/>
            <w:webHidden/>
          </w:rPr>
          <w:fldChar w:fldCharType="separate"/>
        </w:r>
        <w:r w:rsidR="00B8771B">
          <w:rPr>
            <w:noProof/>
            <w:webHidden/>
          </w:rPr>
          <w:t>70</w:t>
        </w:r>
        <w:r>
          <w:rPr>
            <w:noProof/>
            <w:webHidden/>
          </w:rPr>
          <w:fldChar w:fldCharType="end"/>
        </w:r>
      </w:hyperlink>
    </w:p>
    <w:p w:rsidR="00B8771B" w:rsidRDefault="008F3609">
      <w:pPr>
        <w:pStyle w:val="31"/>
        <w:tabs>
          <w:tab w:val="left" w:pos="1873"/>
        </w:tabs>
        <w:rPr>
          <w:rFonts w:asciiTheme="minorHAnsi" w:eastAsiaTheme="minorEastAsia" w:hAnsiTheme="minorHAnsi" w:cstheme="minorBidi"/>
          <w:noProof/>
        </w:rPr>
      </w:pPr>
      <w:hyperlink w:anchor="_Toc495951444" w:history="1">
        <w:r w:rsidR="00B8771B" w:rsidRPr="008378DE">
          <w:rPr>
            <w:rStyle w:val="-"/>
            <w:noProof/>
          </w:rPr>
          <w:t>3.6.2.</w:t>
        </w:r>
        <w:r w:rsidR="00B8771B">
          <w:rPr>
            <w:rFonts w:asciiTheme="minorHAnsi" w:eastAsiaTheme="minorEastAsia" w:hAnsiTheme="minorHAnsi" w:cstheme="minorBidi"/>
            <w:noProof/>
          </w:rPr>
          <w:tab/>
        </w:r>
        <w:r w:rsidR="00B8771B" w:rsidRPr="008378DE">
          <w:rPr>
            <w:rStyle w:val="-"/>
            <w:noProof/>
          </w:rPr>
          <w:t>Παράγοντες σχετιζόμενοι με την Τελικού Σταδίου Χρόνια Νεφρική Νόσο</w:t>
        </w:r>
        <w:r w:rsidR="00B8771B">
          <w:rPr>
            <w:noProof/>
            <w:webHidden/>
          </w:rPr>
          <w:tab/>
        </w:r>
        <w:r>
          <w:rPr>
            <w:noProof/>
            <w:webHidden/>
          </w:rPr>
          <w:fldChar w:fldCharType="begin"/>
        </w:r>
        <w:r w:rsidR="00B8771B">
          <w:rPr>
            <w:noProof/>
            <w:webHidden/>
          </w:rPr>
          <w:instrText xml:space="preserve"> PAGEREF _Toc495951444 \h </w:instrText>
        </w:r>
        <w:r>
          <w:rPr>
            <w:noProof/>
            <w:webHidden/>
          </w:rPr>
        </w:r>
        <w:r>
          <w:rPr>
            <w:noProof/>
            <w:webHidden/>
          </w:rPr>
          <w:fldChar w:fldCharType="separate"/>
        </w:r>
        <w:r w:rsidR="00B8771B">
          <w:rPr>
            <w:noProof/>
            <w:webHidden/>
          </w:rPr>
          <w:t>76</w:t>
        </w:r>
        <w:r>
          <w:rPr>
            <w:noProof/>
            <w:webHidden/>
          </w:rPr>
          <w:fldChar w:fldCharType="end"/>
        </w:r>
      </w:hyperlink>
    </w:p>
    <w:p w:rsidR="00B8771B" w:rsidRDefault="008F3609">
      <w:pPr>
        <w:pStyle w:val="31"/>
        <w:tabs>
          <w:tab w:val="left" w:pos="1873"/>
        </w:tabs>
        <w:rPr>
          <w:rFonts w:asciiTheme="minorHAnsi" w:eastAsiaTheme="minorEastAsia" w:hAnsiTheme="minorHAnsi" w:cstheme="minorBidi"/>
          <w:noProof/>
        </w:rPr>
      </w:pPr>
      <w:hyperlink w:anchor="_Toc495951445" w:history="1">
        <w:r w:rsidR="00B8771B" w:rsidRPr="008378DE">
          <w:rPr>
            <w:rStyle w:val="-"/>
            <w:noProof/>
          </w:rPr>
          <w:t>3.6.3.</w:t>
        </w:r>
        <w:r w:rsidR="00B8771B">
          <w:rPr>
            <w:rFonts w:asciiTheme="minorHAnsi" w:eastAsiaTheme="minorEastAsia" w:hAnsiTheme="minorHAnsi" w:cstheme="minorBidi"/>
            <w:noProof/>
          </w:rPr>
          <w:tab/>
        </w:r>
        <w:r w:rsidR="00B8771B" w:rsidRPr="008378DE">
          <w:rPr>
            <w:rStyle w:val="-"/>
            <w:noProof/>
          </w:rPr>
          <w:t>Ψυχοκοινωνικοί παράγοντες</w:t>
        </w:r>
        <w:r w:rsidR="00B8771B">
          <w:rPr>
            <w:noProof/>
            <w:webHidden/>
          </w:rPr>
          <w:tab/>
        </w:r>
        <w:r>
          <w:rPr>
            <w:noProof/>
            <w:webHidden/>
          </w:rPr>
          <w:fldChar w:fldCharType="begin"/>
        </w:r>
        <w:r w:rsidR="00B8771B">
          <w:rPr>
            <w:noProof/>
            <w:webHidden/>
          </w:rPr>
          <w:instrText xml:space="preserve"> PAGEREF _Toc495951445 \h </w:instrText>
        </w:r>
        <w:r>
          <w:rPr>
            <w:noProof/>
            <w:webHidden/>
          </w:rPr>
        </w:r>
        <w:r>
          <w:rPr>
            <w:noProof/>
            <w:webHidden/>
          </w:rPr>
          <w:fldChar w:fldCharType="separate"/>
        </w:r>
        <w:r w:rsidR="00B8771B">
          <w:rPr>
            <w:noProof/>
            <w:webHidden/>
          </w:rPr>
          <w:t>79</w:t>
        </w:r>
        <w:r>
          <w:rPr>
            <w:noProof/>
            <w:webHidden/>
          </w:rPr>
          <w:fldChar w:fldCharType="end"/>
        </w:r>
      </w:hyperlink>
    </w:p>
    <w:p w:rsidR="00B8771B" w:rsidRDefault="008F3609">
      <w:pPr>
        <w:pStyle w:val="31"/>
        <w:tabs>
          <w:tab w:val="left" w:pos="1873"/>
        </w:tabs>
        <w:rPr>
          <w:rFonts w:asciiTheme="minorHAnsi" w:eastAsiaTheme="minorEastAsia" w:hAnsiTheme="minorHAnsi" w:cstheme="minorBidi"/>
          <w:noProof/>
        </w:rPr>
      </w:pPr>
      <w:hyperlink w:anchor="_Toc495951446" w:history="1">
        <w:r w:rsidR="00B8771B" w:rsidRPr="008378DE">
          <w:rPr>
            <w:rStyle w:val="-"/>
            <w:noProof/>
          </w:rPr>
          <w:t>3.6.4.</w:t>
        </w:r>
        <w:r w:rsidR="00B8771B">
          <w:rPr>
            <w:rFonts w:asciiTheme="minorHAnsi" w:eastAsiaTheme="minorEastAsia" w:hAnsiTheme="minorHAnsi" w:cstheme="minorBidi"/>
            <w:noProof/>
          </w:rPr>
          <w:tab/>
        </w:r>
        <w:r w:rsidR="00B8771B" w:rsidRPr="008378DE">
          <w:rPr>
            <w:rStyle w:val="-"/>
            <w:noProof/>
          </w:rPr>
          <w:t>Παράγοντες που σχετίζονται με το σύστημα υγείας</w:t>
        </w:r>
        <w:r w:rsidR="00B8771B">
          <w:rPr>
            <w:noProof/>
            <w:webHidden/>
          </w:rPr>
          <w:tab/>
        </w:r>
        <w:r>
          <w:rPr>
            <w:noProof/>
            <w:webHidden/>
          </w:rPr>
          <w:fldChar w:fldCharType="begin"/>
        </w:r>
        <w:r w:rsidR="00B8771B">
          <w:rPr>
            <w:noProof/>
            <w:webHidden/>
          </w:rPr>
          <w:instrText xml:space="preserve"> PAGEREF _Toc495951446 \h </w:instrText>
        </w:r>
        <w:r>
          <w:rPr>
            <w:noProof/>
            <w:webHidden/>
          </w:rPr>
        </w:r>
        <w:r>
          <w:rPr>
            <w:noProof/>
            <w:webHidden/>
          </w:rPr>
          <w:fldChar w:fldCharType="separate"/>
        </w:r>
        <w:r w:rsidR="00B8771B">
          <w:rPr>
            <w:noProof/>
            <w:webHidden/>
          </w:rPr>
          <w:t>82</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47" w:history="1">
        <w:r w:rsidR="00B8771B" w:rsidRPr="008378DE">
          <w:rPr>
            <w:rStyle w:val="-"/>
            <w:noProof/>
          </w:rPr>
          <w:t>3.7.</w:t>
        </w:r>
        <w:r w:rsidR="00B8771B">
          <w:rPr>
            <w:rFonts w:asciiTheme="minorHAnsi" w:eastAsiaTheme="minorEastAsia" w:hAnsiTheme="minorHAnsi" w:cstheme="minorBidi"/>
            <w:noProof/>
          </w:rPr>
          <w:tab/>
        </w:r>
        <w:r w:rsidR="00B8771B" w:rsidRPr="008378DE">
          <w:rPr>
            <w:rStyle w:val="-"/>
            <w:noProof/>
          </w:rPr>
          <w:t>Εργαλεία μέτρησης της συμμόρφωσης του ασθενούς</w:t>
        </w:r>
        <w:r w:rsidR="00B8771B">
          <w:rPr>
            <w:noProof/>
            <w:webHidden/>
          </w:rPr>
          <w:tab/>
        </w:r>
        <w:r>
          <w:rPr>
            <w:noProof/>
            <w:webHidden/>
          </w:rPr>
          <w:fldChar w:fldCharType="begin"/>
        </w:r>
        <w:r w:rsidR="00B8771B">
          <w:rPr>
            <w:noProof/>
            <w:webHidden/>
          </w:rPr>
          <w:instrText xml:space="preserve"> PAGEREF _Toc495951447 \h </w:instrText>
        </w:r>
        <w:r>
          <w:rPr>
            <w:noProof/>
            <w:webHidden/>
          </w:rPr>
        </w:r>
        <w:r>
          <w:rPr>
            <w:noProof/>
            <w:webHidden/>
          </w:rPr>
          <w:fldChar w:fldCharType="separate"/>
        </w:r>
        <w:r w:rsidR="00B8771B">
          <w:rPr>
            <w:noProof/>
            <w:webHidden/>
          </w:rPr>
          <w:t>83</w:t>
        </w:r>
        <w:r>
          <w:rPr>
            <w:noProof/>
            <w:webHidden/>
          </w:rPr>
          <w:fldChar w:fldCharType="end"/>
        </w:r>
      </w:hyperlink>
    </w:p>
    <w:p w:rsidR="00B8771B" w:rsidRDefault="008F3609">
      <w:pPr>
        <w:pStyle w:val="31"/>
        <w:tabs>
          <w:tab w:val="left" w:pos="1873"/>
        </w:tabs>
        <w:rPr>
          <w:rFonts w:asciiTheme="minorHAnsi" w:eastAsiaTheme="minorEastAsia" w:hAnsiTheme="minorHAnsi" w:cstheme="minorBidi"/>
          <w:noProof/>
        </w:rPr>
      </w:pPr>
      <w:hyperlink w:anchor="_Toc495951448" w:history="1">
        <w:r w:rsidR="00B8771B" w:rsidRPr="008378DE">
          <w:rPr>
            <w:rStyle w:val="-"/>
            <w:noProof/>
          </w:rPr>
          <w:t>3.7.1.</w:t>
        </w:r>
        <w:r w:rsidR="00B8771B">
          <w:rPr>
            <w:rFonts w:asciiTheme="minorHAnsi" w:eastAsiaTheme="minorEastAsia" w:hAnsiTheme="minorHAnsi" w:cstheme="minorBidi"/>
            <w:noProof/>
          </w:rPr>
          <w:tab/>
        </w:r>
        <w:r w:rsidR="00B8771B" w:rsidRPr="008378DE">
          <w:rPr>
            <w:rStyle w:val="-"/>
            <w:noProof/>
          </w:rPr>
          <w:t>Αντικειμενικές μετρήσεις</w:t>
        </w:r>
        <w:r w:rsidR="00B8771B">
          <w:rPr>
            <w:noProof/>
            <w:webHidden/>
          </w:rPr>
          <w:tab/>
        </w:r>
        <w:r>
          <w:rPr>
            <w:noProof/>
            <w:webHidden/>
          </w:rPr>
          <w:fldChar w:fldCharType="begin"/>
        </w:r>
        <w:r w:rsidR="00B8771B">
          <w:rPr>
            <w:noProof/>
            <w:webHidden/>
          </w:rPr>
          <w:instrText xml:space="preserve"> PAGEREF _Toc495951448 \h </w:instrText>
        </w:r>
        <w:r>
          <w:rPr>
            <w:noProof/>
            <w:webHidden/>
          </w:rPr>
        </w:r>
        <w:r>
          <w:rPr>
            <w:noProof/>
            <w:webHidden/>
          </w:rPr>
          <w:fldChar w:fldCharType="separate"/>
        </w:r>
        <w:r w:rsidR="00B8771B">
          <w:rPr>
            <w:noProof/>
            <w:webHidden/>
          </w:rPr>
          <w:t>84</w:t>
        </w:r>
        <w:r>
          <w:rPr>
            <w:noProof/>
            <w:webHidden/>
          </w:rPr>
          <w:fldChar w:fldCharType="end"/>
        </w:r>
      </w:hyperlink>
    </w:p>
    <w:p w:rsidR="00B8771B" w:rsidRDefault="008F3609">
      <w:pPr>
        <w:pStyle w:val="31"/>
        <w:tabs>
          <w:tab w:val="left" w:pos="1873"/>
        </w:tabs>
        <w:rPr>
          <w:rFonts w:asciiTheme="minorHAnsi" w:eastAsiaTheme="minorEastAsia" w:hAnsiTheme="minorHAnsi" w:cstheme="minorBidi"/>
          <w:noProof/>
        </w:rPr>
      </w:pPr>
      <w:hyperlink w:anchor="_Toc495951449" w:history="1">
        <w:r w:rsidR="00B8771B" w:rsidRPr="008378DE">
          <w:rPr>
            <w:rStyle w:val="-"/>
            <w:noProof/>
          </w:rPr>
          <w:t>3.7.2.</w:t>
        </w:r>
        <w:r w:rsidR="00B8771B">
          <w:rPr>
            <w:rFonts w:asciiTheme="minorHAnsi" w:eastAsiaTheme="minorEastAsia" w:hAnsiTheme="minorHAnsi" w:cstheme="minorBidi"/>
            <w:noProof/>
          </w:rPr>
          <w:tab/>
        </w:r>
        <w:r w:rsidR="00B8771B" w:rsidRPr="008378DE">
          <w:rPr>
            <w:rStyle w:val="-"/>
            <w:noProof/>
          </w:rPr>
          <w:t>Υποκειμενικές μετρήσεις</w:t>
        </w:r>
        <w:r w:rsidR="00B8771B">
          <w:rPr>
            <w:noProof/>
            <w:webHidden/>
          </w:rPr>
          <w:tab/>
        </w:r>
        <w:r>
          <w:rPr>
            <w:noProof/>
            <w:webHidden/>
          </w:rPr>
          <w:fldChar w:fldCharType="begin"/>
        </w:r>
        <w:r w:rsidR="00B8771B">
          <w:rPr>
            <w:noProof/>
            <w:webHidden/>
          </w:rPr>
          <w:instrText xml:space="preserve"> PAGEREF _Toc495951449 \h </w:instrText>
        </w:r>
        <w:r>
          <w:rPr>
            <w:noProof/>
            <w:webHidden/>
          </w:rPr>
        </w:r>
        <w:r>
          <w:rPr>
            <w:noProof/>
            <w:webHidden/>
          </w:rPr>
          <w:fldChar w:fldCharType="separate"/>
        </w:r>
        <w:r w:rsidR="00B8771B">
          <w:rPr>
            <w:noProof/>
            <w:webHidden/>
          </w:rPr>
          <w:t>86</w:t>
        </w:r>
        <w:r>
          <w:rPr>
            <w:noProof/>
            <w:webHidden/>
          </w:rPr>
          <w:fldChar w:fldCharType="end"/>
        </w:r>
      </w:hyperlink>
    </w:p>
    <w:p w:rsidR="00B8771B" w:rsidRDefault="008F3609" w:rsidP="00B8771B">
      <w:pPr>
        <w:pStyle w:val="1b"/>
        <w:rPr>
          <w:rFonts w:asciiTheme="minorHAnsi" w:eastAsiaTheme="minorEastAsia" w:hAnsiTheme="minorHAnsi" w:cstheme="minorBidi"/>
          <w:noProof/>
          <w:lang w:eastAsia="el-GR"/>
        </w:rPr>
      </w:pPr>
      <w:hyperlink w:anchor="_Toc495951450" w:history="1">
        <w:r w:rsidR="00B8771B" w:rsidRPr="008378DE">
          <w:rPr>
            <w:rStyle w:val="-"/>
            <w:rFonts w:cstheme="minorHAnsi"/>
            <w:noProof/>
          </w:rPr>
          <w:t>4</w:t>
        </w:r>
        <w:r w:rsidR="00B8771B" w:rsidRPr="008378DE">
          <w:rPr>
            <w:rStyle w:val="-"/>
            <w:rFonts w:cstheme="minorHAnsi"/>
            <w:noProof/>
            <w:vertAlign w:val="superscript"/>
          </w:rPr>
          <w:t xml:space="preserve">ο </w:t>
        </w:r>
        <w:r w:rsidR="00B8771B" w:rsidRPr="008378DE">
          <w:rPr>
            <w:rStyle w:val="-"/>
            <w:rFonts w:cstheme="minorHAnsi"/>
            <w:noProof/>
          </w:rPr>
          <w:t>ΚΕΦΑΛΑΙΟ: ΠΟΙΟΤΗΤΑ ΖΩΗΣ</w:t>
        </w:r>
        <w:r w:rsidR="00B8771B">
          <w:rPr>
            <w:noProof/>
            <w:webHidden/>
          </w:rPr>
          <w:tab/>
        </w:r>
        <w:r>
          <w:rPr>
            <w:noProof/>
            <w:webHidden/>
          </w:rPr>
          <w:fldChar w:fldCharType="begin"/>
        </w:r>
        <w:r w:rsidR="00B8771B">
          <w:rPr>
            <w:noProof/>
            <w:webHidden/>
          </w:rPr>
          <w:instrText xml:space="preserve"> PAGEREF _Toc495951450 \h </w:instrText>
        </w:r>
        <w:r>
          <w:rPr>
            <w:noProof/>
            <w:webHidden/>
          </w:rPr>
        </w:r>
        <w:r>
          <w:rPr>
            <w:noProof/>
            <w:webHidden/>
          </w:rPr>
          <w:fldChar w:fldCharType="separate"/>
        </w:r>
        <w:r w:rsidR="00B8771B">
          <w:rPr>
            <w:noProof/>
            <w:webHidden/>
          </w:rPr>
          <w:t>90</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51" w:history="1">
        <w:r w:rsidR="00B8771B" w:rsidRPr="008378DE">
          <w:rPr>
            <w:rStyle w:val="-"/>
            <w:noProof/>
          </w:rPr>
          <w:t>4.1.</w:t>
        </w:r>
        <w:r w:rsidR="00B8771B">
          <w:rPr>
            <w:rFonts w:asciiTheme="minorHAnsi" w:eastAsiaTheme="minorEastAsia" w:hAnsiTheme="minorHAnsi" w:cstheme="minorBidi"/>
            <w:noProof/>
          </w:rPr>
          <w:tab/>
        </w:r>
        <w:r w:rsidR="00B8771B" w:rsidRPr="008378DE">
          <w:rPr>
            <w:rStyle w:val="-"/>
            <w:noProof/>
          </w:rPr>
          <w:t>Η έννοια της ποιότητας ζωής</w:t>
        </w:r>
        <w:r w:rsidR="00B8771B">
          <w:rPr>
            <w:noProof/>
            <w:webHidden/>
          </w:rPr>
          <w:tab/>
        </w:r>
        <w:r>
          <w:rPr>
            <w:noProof/>
            <w:webHidden/>
          </w:rPr>
          <w:fldChar w:fldCharType="begin"/>
        </w:r>
        <w:r w:rsidR="00B8771B">
          <w:rPr>
            <w:noProof/>
            <w:webHidden/>
          </w:rPr>
          <w:instrText xml:space="preserve"> PAGEREF _Toc495951451 \h </w:instrText>
        </w:r>
        <w:r>
          <w:rPr>
            <w:noProof/>
            <w:webHidden/>
          </w:rPr>
        </w:r>
        <w:r>
          <w:rPr>
            <w:noProof/>
            <w:webHidden/>
          </w:rPr>
          <w:fldChar w:fldCharType="separate"/>
        </w:r>
        <w:r w:rsidR="00B8771B">
          <w:rPr>
            <w:noProof/>
            <w:webHidden/>
          </w:rPr>
          <w:t>90</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52" w:history="1">
        <w:r w:rsidR="00B8771B" w:rsidRPr="008378DE">
          <w:rPr>
            <w:rStyle w:val="-"/>
            <w:noProof/>
          </w:rPr>
          <w:t>4.2.</w:t>
        </w:r>
        <w:r w:rsidR="00B8771B">
          <w:rPr>
            <w:rFonts w:asciiTheme="minorHAnsi" w:eastAsiaTheme="minorEastAsia" w:hAnsiTheme="minorHAnsi" w:cstheme="minorBidi"/>
            <w:noProof/>
          </w:rPr>
          <w:tab/>
        </w:r>
        <w:r w:rsidR="00B8771B" w:rsidRPr="008378DE">
          <w:rPr>
            <w:rStyle w:val="-"/>
            <w:noProof/>
          </w:rPr>
          <w:t>Σχετιζόμενη με την υγεία ποιότητα ζωής</w:t>
        </w:r>
        <w:r w:rsidR="00B8771B">
          <w:rPr>
            <w:noProof/>
            <w:webHidden/>
          </w:rPr>
          <w:tab/>
        </w:r>
        <w:r>
          <w:rPr>
            <w:noProof/>
            <w:webHidden/>
          </w:rPr>
          <w:fldChar w:fldCharType="begin"/>
        </w:r>
        <w:r w:rsidR="00B8771B">
          <w:rPr>
            <w:noProof/>
            <w:webHidden/>
          </w:rPr>
          <w:instrText xml:space="preserve"> PAGEREF _Toc495951452 \h </w:instrText>
        </w:r>
        <w:r>
          <w:rPr>
            <w:noProof/>
            <w:webHidden/>
          </w:rPr>
        </w:r>
        <w:r>
          <w:rPr>
            <w:noProof/>
            <w:webHidden/>
          </w:rPr>
          <w:fldChar w:fldCharType="separate"/>
        </w:r>
        <w:r w:rsidR="00B8771B">
          <w:rPr>
            <w:noProof/>
            <w:webHidden/>
          </w:rPr>
          <w:t>92</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53" w:history="1">
        <w:r w:rsidR="00B8771B" w:rsidRPr="008378DE">
          <w:rPr>
            <w:rStyle w:val="-"/>
            <w:noProof/>
          </w:rPr>
          <w:t>4.3.</w:t>
        </w:r>
        <w:r w:rsidR="00B8771B">
          <w:rPr>
            <w:rFonts w:asciiTheme="minorHAnsi" w:eastAsiaTheme="minorEastAsia" w:hAnsiTheme="minorHAnsi" w:cstheme="minorBidi"/>
            <w:noProof/>
          </w:rPr>
          <w:tab/>
        </w:r>
        <w:r w:rsidR="00B8771B" w:rsidRPr="008378DE">
          <w:rPr>
            <w:rStyle w:val="-"/>
            <w:noProof/>
          </w:rPr>
          <w:t>Ποιότητα ζωής στη Χρόνια Νεφρική Νόσο</w:t>
        </w:r>
        <w:r w:rsidR="00B8771B">
          <w:rPr>
            <w:noProof/>
            <w:webHidden/>
          </w:rPr>
          <w:tab/>
        </w:r>
        <w:r>
          <w:rPr>
            <w:noProof/>
            <w:webHidden/>
          </w:rPr>
          <w:fldChar w:fldCharType="begin"/>
        </w:r>
        <w:r w:rsidR="00B8771B">
          <w:rPr>
            <w:noProof/>
            <w:webHidden/>
          </w:rPr>
          <w:instrText xml:space="preserve"> PAGEREF _Toc495951453 \h </w:instrText>
        </w:r>
        <w:r>
          <w:rPr>
            <w:noProof/>
            <w:webHidden/>
          </w:rPr>
        </w:r>
        <w:r>
          <w:rPr>
            <w:noProof/>
            <w:webHidden/>
          </w:rPr>
          <w:fldChar w:fldCharType="separate"/>
        </w:r>
        <w:r w:rsidR="00B8771B">
          <w:rPr>
            <w:noProof/>
            <w:webHidden/>
          </w:rPr>
          <w:t>93</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54" w:history="1">
        <w:r w:rsidR="00B8771B" w:rsidRPr="008378DE">
          <w:rPr>
            <w:rStyle w:val="-"/>
            <w:noProof/>
          </w:rPr>
          <w:t>4.4.</w:t>
        </w:r>
        <w:r w:rsidR="00B8771B">
          <w:rPr>
            <w:rFonts w:asciiTheme="minorHAnsi" w:eastAsiaTheme="minorEastAsia" w:hAnsiTheme="minorHAnsi" w:cstheme="minorBidi"/>
            <w:noProof/>
          </w:rPr>
          <w:tab/>
        </w:r>
        <w:r w:rsidR="00B8771B" w:rsidRPr="008378DE">
          <w:rPr>
            <w:rStyle w:val="-"/>
            <w:noProof/>
          </w:rPr>
          <w:t>Παράγοντες που επηρεάζουν την ποιότητα ζωής των ασθενών υπό αιμοκάθαρση</w:t>
        </w:r>
        <w:r w:rsidR="00B8771B">
          <w:rPr>
            <w:noProof/>
            <w:webHidden/>
          </w:rPr>
          <w:tab/>
        </w:r>
        <w:r>
          <w:rPr>
            <w:noProof/>
            <w:webHidden/>
          </w:rPr>
          <w:fldChar w:fldCharType="begin"/>
        </w:r>
        <w:r w:rsidR="00B8771B">
          <w:rPr>
            <w:noProof/>
            <w:webHidden/>
          </w:rPr>
          <w:instrText xml:space="preserve"> PAGEREF _Toc495951454 \h </w:instrText>
        </w:r>
        <w:r>
          <w:rPr>
            <w:noProof/>
            <w:webHidden/>
          </w:rPr>
        </w:r>
        <w:r>
          <w:rPr>
            <w:noProof/>
            <w:webHidden/>
          </w:rPr>
          <w:fldChar w:fldCharType="separate"/>
        </w:r>
        <w:r w:rsidR="00B8771B">
          <w:rPr>
            <w:noProof/>
            <w:webHidden/>
          </w:rPr>
          <w:t>101</w:t>
        </w:r>
        <w:r>
          <w:rPr>
            <w:noProof/>
            <w:webHidden/>
          </w:rPr>
          <w:fldChar w:fldCharType="end"/>
        </w:r>
      </w:hyperlink>
    </w:p>
    <w:p w:rsidR="00B8771B" w:rsidRDefault="008F3609">
      <w:pPr>
        <w:pStyle w:val="26"/>
        <w:tabs>
          <w:tab w:val="left" w:pos="1873"/>
        </w:tabs>
        <w:rPr>
          <w:rFonts w:asciiTheme="minorHAnsi" w:eastAsiaTheme="minorEastAsia" w:hAnsiTheme="minorHAnsi" w:cstheme="minorBidi"/>
          <w:noProof/>
        </w:rPr>
      </w:pPr>
      <w:hyperlink w:anchor="_Toc495951455" w:history="1">
        <w:r w:rsidR="00B8771B" w:rsidRPr="008378DE">
          <w:rPr>
            <w:rStyle w:val="-"/>
            <w:noProof/>
          </w:rPr>
          <w:t>4.4.1.</w:t>
        </w:r>
        <w:r w:rsidR="00B8771B">
          <w:rPr>
            <w:rFonts w:asciiTheme="minorHAnsi" w:eastAsiaTheme="minorEastAsia" w:hAnsiTheme="minorHAnsi" w:cstheme="minorBidi"/>
            <w:noProof/>
          </w:rPr>
          <w:tab/>
        </w:r>
        <w:r w:rsidR="00B8771B" w:rsidRPr="008378DE">
          <w:rPr>
            <w:rStyle w:val="-"/>
            <w:noProof/>
          </w:rPr>
          <w:t>Κοινωνικοδημογραφικοί παράγοντες</w:t>
        </w:r>
        <w:r w:rsidR="00B8771B">
          <w:rPr>
            <w:noProof/>
            <w:webHidden/>
          </w:rPr>
          <w:tab/>
        </w:r>
        <w:r>
          <w:rPr>
            <w:noProof/>
            <w:webHidden/>
          </w:rPr>
          <w:fldChar w:fldCharType="begin"/>
        </w:r>
        <w:r w:rsidR="00B8771B">
          <w:rPr>
            <w:noProof/>
            <w:webHidden/>
          </w:rPr>
          <w:instrText xml:space="preserve"> PAGEREF _Toc495951455 \h </w:instrText>
        </w:r>
        <w:r>
          <w:rPr>
            <w:noProof/>
            <w:webHidden/>
          </w:rPr>
        </w:r>
        <w:r>
          <w:rPr>
            <w:noProof/>
            <w:webHidden/>
          </w:rPr>
          <w:fldChar w:fldCharType="separate"/>
        </w:r>
        <w:r w:rsidR="00B8771B">
          <w:rPr>
            <w:noProof/>
            <w:webHidden/>
          </w:rPr>
          <w:t>101</w:t>
        </w:r>
        <w:r>
          <w:rPr>
            <w:noProof/>
            <w:webHidden/>
          </w:rPr>
          <w:fldChar w:fldCharType="end"/>
        </w:r>
      </w:hyperlink>
    </w:p>
    <w:p w:rsidR="00B8771B" w:rsidRDefault="008F3609">
      <w:pPr>
        <w:pStyle w:val="31"/>
        <w:tabs>
          <w:tab w:val="left" w:pos="1873"/>
        </w:tabs>
        <w:rPr>
          <w:rFonts w:asciiTheme="minorHAnsi" w:eastAsiaTheme="minorEastAsia" w:hAnsiTheme="minorHAnsi" w:cstheme="minorBidi"/>
          <w:noProof/>
        </w:rPr>
      </w:pPr>
      <w:hyperlink w:anchor="_Toc495951456" w:history="1">
        <w:r w:rsidR="00B8771B" w:rsidRPr="008378DE">
          <w:rPr>
            <w:rStyle w:val="-"/>
            <w:noProof/>
          </w:rPr>
          <w:t>4.4.2.</w:t>
        </w:r>
        <w:r w:rsidR="00B8771B">
          <w:rPr>
            <w:rFonts w:asciiTheme="minorHAnsi" w:eastAsiaTheme="minorEastAsia" w:hAnsiTheme="minorHAnsi" w:cstheme="minorBidi"/>
            <w:noProof/>
          </w:rPr>
          <w:tab/>
        </w:r>
        <w:r w:rsidR="00B8771B" w:rsidRPr="008378DE">
          <w:rPr>
            <w:rStyle w:val="-"/>
            <w:noProof/>
          </w:rPr>
          <w:t>Κλινικές μεταβλητές που επηρεάζουν την ΠΖ των ασθενών υπό αιμοκάθαρση</w:t>
        </w:r>
        <w:r w:rsidR="00B8771B">
          <w:rPr>
            <w:noProof/>
            <w:webHidden/>
          </w:rPr>
          <w:tab/>
        </w:r>
        <w:r>
          <w:rPr>
            <w:noProof/>
            <w:webHidden/>
          </w:rPr>
          <w:fldChar w:fldCharType="begin"/>
        </w:r>
        <w:r w:rsidR="00B8771B">
          <w:rPr>
            <w:noProof/>
            <w:webHidden/>
          </w:rPr>
          <w:instrText xml:space="preserve"> PAGEREF _Toc495951456 \h </w:instrText>
        </w:r>
        <w:r>
          <w:rPr>
            <w:noProof/>
            <w:webHidden/>
          </w:rPr>
        </w:r>
        <w:r>
          <w:rPr>
            <w:noProof/>
            <w:webHidden/>
          </w:rPr>
          <w:fldChar w:fldCharType="separate"/>
        </w:r>
        <w:r w:rsidR="00B8771B">
          <w:rPr>
            <w:noProof/>
            <w:webHidden/>
          </w:rPr>
          <w:t>109</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57" w:history="1">
        <w:r w:rsidR="00B8771B" w:rsidRPr="008378DE">
          <w:rPr>
            <w:rStyle w:val="-"/>
            <w:noProof/>
          </w:rPr>
          <w:t>4.5.</w:t>
        </w:r>
        <w:r w:rsidR="00B8771B">
          <w:rPr>
            <w:rFonts w:asciiTheme="minorHAnsi" w:eastAsiaTheme="minorEastAsia" w:hAnsiTheme="minorHAnsi" w:cstheme="minorBidi"/>
            <w:noProof/>
          </w:rPr>
          <w:tab/>
        </w:r>
        <w:r w:rsidR="00B8771B" w:rsidRPr="008378DE">
          <w:rPr>
            <w:rStyle w:val="-"/>
            <w:noProof/>
          </w:rPr>
          <w:t>Μέτρηση της ποιότητας ζωής</w:t>
        </w:r>
        <w:r w:rsidR="00B8771B">
          <w:rPr>
            <w:noProof/>
            <w:webHidden/>
          </w:rPr>
          <w:tab/>
        </w:r>
        <w:r>
          <w:rPr>
            <w:noProof/>
            <w:webHidden/>
          </w:rPr>
          <w:fldChar w:fldCharType="begin"/>
        </w:r>
        <w:r w:rsidR="00B8771B">
          <w:rPr>
            <w:noProof/>
            <w:webHidden/>
          </w:rPr>
          <w:instrText xml:space="preserve"> PAGEREF _Toc495951457 \h </w:instrText>
        </w:r>
        <w:r>
          <w:rPr>
            <w:noProof/>
            <w:webHidden/>
          </w:rPr>
        </w:r>
        <w:r>
          <w:rPr>
            <w:noProof/>
            <w:webHidden/>
          </w:rPr>
          <w:fldChar w:fldCharType="separate"/>
        </w:r>
        <w:r w:rsidR="00B8771B">
          <w:rPr>
            <w:noProof/>
            <w:webHidden/>
          </w:rPr>
          <w:t>113</w:t>
        </w:r>
        <w:r>
          <w:rPr>
            <w:noProof/>
            <w:webHidden/>
          </w:rPr>
          <w:fldChar w:fldCharType="end"/>
        </w:r>
      </w:hyperlink>
    </w:p>
    <w:p w:rsidR="00B8771B" w:rsidRDefault="008F3609">
      <w:pPr>
        <w:pStyle w:val="31"/>
        <w:tabs>
          <w:tab w:val="left" w:pos="1873"/>
        </w:tabs>
        <w:rPr>
          <w:rFonts w:asciiTheme="minorHAnsi" w:eastAsiaTheme="minorEastAsia" w:hAnsiTheme="minorHAnsi" w:cstheme="minorBidi"/>
          <w:noProof/>
        </w:rPr>
      </w:pPr>
      <w:hyperlink w:anchor="_Toc495951458" w:history="1">
        <w:r w:rsidR="00B8771B" w:rsidRPr="008378DE">
          <w:rPr>
            <w:rStyle w:val="-"/>
            <w:noProof/>
          </w:rPr>
          <w:t>4.5.1.</w:t>
        </w:r>
        <w:r w:rsidR="00B8771B">
          <w:rPr>
            <w:rFonts w:asciiTheme="minorHAnsi" w:eastAsiaTheme="minorEastAsia" w:hAnsiTheme="minorHAnsi" w:cstheme="minorBidi"/>
            <w:noProof/>
          </w:rPr>
          <w:tab/>
        </w:r>
        <w:r w:rsidR="00B8771B" w:rsidRPr="008378DE">
          <w:rPr>
            <w:rStyle w:val="-"/>
            <w:noProof/>
          </w:rPr>
          <w:t>Εργαλεία μέτρησης της ποιότητας ζωής στη Χρόνια Νεφρική Νόσο</w:t>
        </w:r>
        <w:r w:rsidR="00B8771B">
          <w:rPr>
            <w:noProof/>
            <w:webHidden/>
          </w:rPr>
          <w:tab/>
        </w:r>
        <w:r>
          <w:rPr>
            <w:noProof/>
            <w:webHidden/>
          </w:rPr>
          <w:fldChar w:fldCharType="begin"/>
        </w:r>
        <w:r w:rsidR="00B8771B">
          <w:rPr>
            <w:noProof/>
            <w:webHidden/>
          </w:rPr>
          <w:instrText xml:space="preserve"> PAGEREF _Toc495951458 \h </w:instrText>
        </w:r>
        <w:r>
          <w:rPr>
            <w:noProof/>
            <w:webHidden/>
          </w:rPr>
        </w:r>
        <w:r>
          <w:rPr>
            <w:noProof/>
            <w:webHidden/>
          </w:rPr>
          <w:fldChar w:fldCharType="separate"/>
        </w:r>
        <w:r w:rsidR="00B8771B">
          <w:rPr>
            <w:noProof/>
            <w:webHidden/>
          </w:rPr>
          <w:t>118</w:t>
        </w:r>
        <w:r>
          <w:rPr>
            <w:noProof/>
            <w:webHidden/>
          </w:rPr>
          <w:fldChar w:fldCharType="end"/>
        </w:r>
      </w:hyperlink>
    </w:p>
    <w:p w:rsidR="00B8771B" w:rsidRDefault="008F3609" w:rsidP="00B8771B">
      <w:pPr>
        <w:pStyle w:val="1b"/>
        <w:rPr>
          <w:rFonts w:asciiTheme="minorHAnsi" w:eastAsiaTheme="minorEastAsia" w:hAnsiTheme="minorHAnsi" w:cstheme="minorBidi"/>
          <w:noProof/>
          <w:lang w:eastAsia="el-GR"/>
        </w:rPr>
      </w:pPr>
      <w:hyperlink w:anchor="_Toc495951459" w:history="1">
        <w:r w:rsidR="00B8771B" w:rsidRPr="008378DE">
          <w:rPr>
            <w:rStyle w:val="-"/>
            <w:noProof/>
          </w:rPr>
          <w:t>5</w:t>
        </w:r>
        <w:r w:rsidR="00B8771B" w:rsidRPr="008378DE">
          <w:rPr>
            <w:rStyle w:val="-"/>
            <w:noProof/>
            <w:vertAlign w:val="superscript"/>
          </w:rPr>
          <w:t xml:space="preserve">ο </w:t>
        </w:r>
        <w:r w:rsidR="00B8771B" w:rsidRPr="008378DE">
          <w:rPr>
            <w:rStyle w:val="-"/>
            <w:noProof/>
          </w:rPr>
          <w:t>ΚΕΦΑΛΑΙΟ: ΑΝΑΣΚΟΠΗΣΗ ΕΡΕΥΝΩΝ</w:t>
        </w:r>
        <w:r w:rsidR="00B8771B">
          <w:rPr>
            <w:noProof/>
            <w:webHidden/>
          </w:rPr>
          <w:tab/>
        </w:r>
        <w:r>
          <w:rPr>
            <w:noProof/>
            <w:webHidden/>
          </w:rPr>
          <w:fldChar w:fldCharType="begin"/>
        </w:r>
        <w:r w:rsidR="00B8771B">
          <w:rPr>
            <w:noProof/>
            <w:webHidden/>
          </w:rPr>
          <w:instrText xml:space="preserve"> PAGEREF _Toc495951459 \h </w:instrText>
        </w:r>
        <w:r>
          <w:rPr>
            <w:noProof/>
            <w:webHidden/>
          </w:rPr>
        </w:r>
        <w:r>
          <w:rPr>
            <w:noProof/>
            <w:webHidden/>
          </w:rPr>
          <w:fldChar w:fldCharType="separate"/>
        </w:r>
        <w:r w:rsidR="00B8771B">
          <w:rPr>
            <w:noProof/>
            <w:webHidden/>
          </w:rPr>
          <w:t>121</w:t>
        </w:r>
        <w:r>
          <w:rPr>
            <w:noProof/>
            <w:webHidden/>
          </w:rPr>
          <w:fldChar w:fldCharType="end"/>
        </w:r>
      </w:hyperlink>
    </w:p>
    <w:p w:rsidR="00B8771B" w:rsidRDefault="008F3609" w:rsidP="00B8771B">
      <w:pPr>
        <w:pStyle w:val="1b"/>
        <w:rPr>
          <w:rFonts w:asciiTheme="minorHAnsi" w:eastAsiaTheme="minorEastAsia" w:hAnsiTheme="minorHAnsi" w:cstheme="minorBidi"/>
          <w:noProof/>
          <w:lang w:eastAsia="el-GR"/>
        </w:rPr>
      </w:pPr>
      <w:hyperlink w:anchor="_Toc495951460" w:history="1">
        <w:r w:rsidR="00B8771B" w:rsidRPr="008378DE">
          <w:rPr>
            <w:rStyle w:val="-"/>
            <w:noProof/>
            <w:lang w:eastAsia="el-GR"/>
          </w:rPr>
          <w:t>ΕΙΔΙΚΟΜΕΡΟΣ</w:t>
        </w:r>
        <w:r w:rsidR="00B8771B">
          <w:rPr>
            <w:noProof/>
            <w:webHidden/>
          </w:rPr>
          <w:tab/>
        </w:r>
        <w:r>
          <w:rPr>
            <w:noProof/>
            <w:webHidden/>
          </w:rPr>
          <w:fldChar w:fldCharType="begin"/>
        </w:r>
        <w:r w:rsidR="00B8771B">
          <w:rPr>
            <w:noProof/>
            <w:webHidden/>
          </w:rPr>
          <w:instrText xml:space="preserve"> PAGEREF _Toc495951460 \h </w:instrText>
        </w:r>
        <w:r>
          <w:rPr>
            <w:noProof/>
            <w:webHidden/>
          </w:rPr>
        </w:r>
        <w:r>
          <w:rPr>
            <w:noProof/>
            <w:webHidden/>
          </w:rPr>
          <w:fldChar w:fldCharType="separate"/>
        </w:r>
        <w:r w:rsidR="00B8771B">
          <w:rPr>
            <w:noProof/>
            <w:webHidden/>
          </w:rPr>
          <w:t>129</w:t>
        </w:r>
        <w:r>
          <w:rPr>
            <w:noProof/>
            <w:webHidden/>
          </w:rPr>
          <w:fldChar w:fldCharType="end"/>
        </w:r>
      </w:hyperlink>
    </w:p>
    <w:p w:rsidR="00B8771B" w:rsidRDefault="008F3609" w:rsidP="00B8771B">
      <w:pPr>
        <w:pStyle w:val="1b"/>
        <w:rPr>
          <w:rFonts w:asciiTheme="minorHAnsi" w:eastAsiaTheme="minorEastAsia" w:hAnsiTheme="minorHAnsi" w:cstheme="minorBidi"/>
          <w:noProof/>
          <w:lang w:eastAsia="el-GR"/>
        </w:rPr>
      </w:pPr>
      <w:hyperlink w:anchor="_Toc495951461" w:history="1">
        <w:r w:rsidR="00B8771B" w:rsidRPr="008378DE">
          <w:rPr>
            <w:rStyle w:val="-"/>
            <w:rFonts w:cstheme="minorHAnsi"/>
            <w:noProof/>
            <w:lang w:eastAsia="el-GR"/>
          </w:rPr>
          <w:t>6</w:t>
        </w:r>
        <w:r w:rsidR="00B8771B" w:rsidRPr="008378DE">
          <w:rPr>
            <w:rStyle w:val="-"/>
            <w:rFonts w:cstheme="minorHAnsi"/>
            <w:noProof/>
            <w:vertAlign w:val="superscript"/>
            <w:lang w:eastAsia="el-GR"/>
          </w:rPr>
          <w:t>ο</w:t>
        </w:r>
        <w:r w:rsidR="00B8771B" w:rsidRPr="008378DE">
          <w:rPr>
            <w:rStyle w:val="-"/>
            <w:rFonts w:cstheme="minorHAnsi"/>
            <w:noProof/>
            <w:lang w:eastAsia="el-GR"/>
          </w:rPr>
          <w:t xml:space="preserve">  ΚΕΦΑΛΑΙΟ</w:t>
        </w:r>
        <w:r w:rsidR="00B8771B">
          <w:rPr>
            <w:noProof/>
            <w:webHidden/>
          </w:rPr>
          <w:tab/>
        </w:r>
        <w:r>
          <w:rPr>
            <w:noProof/>
            <w:webHidden/>
          </w:rPr>
          <w:fldChar w:fldCharType="begin"/>
        </w:r>
        <w:r w:rsidR="00B8771B">
          <w:rPr>
            <w:noProof/>
            <w:webHidden/>
          </w:rPr>
          <w:instrText xml:space="preserve"> PAGEREF _Toc495951461 \h </w:instrText>
        </w:r>
        <w:r>
          <w:rPr>
            <w:noProof/>
            <w:webHidden/>
          </w:rPr>
        </w:r>
        <w:r>
          <w:rPr>
            <w:noProof/>
            <w:webHidden/>
          </w:rPr>
          <w:fldChar w:fldCharType="separate"/>
        </w:r>
        <w:r w:rsidR="00B8771B">
          <w:rPr>
            <w:noProof/>
            <w:webHidden/>
          </w:rPr>
          <w:t>130</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62" w:history="1">
        <w:r w:rsidR="00B8771B" w:rsidRPr="008378DE">
          <w:rPr>
            <w:rStyle w:val="-"/>
            <w:rFonts w:cs="Calibri"/>
            <w:noProof/>
          </w:rPr>
          <w:t>6.1.</w:t>
        </w:r>
        <w:r w:rsidR="00B8771B">
          <w:rPr>
            <w:rFonts w:asciiTheme="minorHAnsi" w:eastAsiaTheme="minorEastAsia" w:hAnsiTheme="minorHAnsi" w:cstheme="minorBidi"/>
            <w:noProof/>
          </w:rPr>
          <w:tab/>
        </w:r>
        <w:r w:rsidR="00B8771B" w:rsidRPr="008378DE">
          <w:rPr>
            <w:rStyle w:val="-"/>
            <w:rFonts w:cs="Calibri"/>
            <w:noProof/>
          </w:rPr>
          <w:t>Σκοπός</w:t>
        </w:r>
        <w:r w:rsidR="00B8771B">
          <w:rPr>
            <w:noProof/>
            <w:webHidden/>
          </w:rPr>
          <w:tab/>
        </w:r>
        <w:r>
          <w:rPr>
            <w:noProof/>
            <w:webHidden/>
          </w:rPr>
          <w:fldChar w:fldCharType="begin"/>
        </w:r>
        <w:r w:rsidR="00B8771B">
          <w:rPr>
            <w:noProof/>
            <w:webHidden/>
          </w:rPr>
          <w:instrText xml:space="preserve"> PAGEREF _Toc495951462 \h </w:instrText>
        </w:r>
        <w:r>
          <w:rPr>
            <w:noProof/>
            <w:webHidden/>
          </w:rPr>
        </w:r>
        <w:r>
          <w:rPr>
            <w:noProof/>
            <w:webHidden/>
          </w:rPr>
          <w:fldChar w:fldCharType="separate"/>
        </w:r>
        <w:r w:rsidR="00B8771B">
          <w:rPr>
            <w:noProof/>
            <w:webHidden/>
          </w:rPr>
          <w:t>130</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63" w:history="1">
        <w:r w:rsidR="00B8771B" w:rsidRPr="008378DE">
          <w:rPr>
            <w:rStyle w:val="-"/>
            <w:noProof/>
          </w:rPr>
          <w:t>6.2.</w:t>
        </w:r>
        <w:r w:rsidR="00B8771B">
          <w:rPr>
            <w:rFonts w:asciiTheme="minorHAnsi" w:eastAsiaTheme="minorEastAsia" w:hAnsiTheme="minorHAnsi" w:cstheme="minorBidi"/>
            <w:noProof/>
          </w:rPr>
          <w:tab/>
        </w:r>
        <w:r w:rsidR="00B8771B" w:rsidRPr="008378DE">
          <w:rPr>
            <w:rStyle w:val="-"/>
            <w:noProof/>
          </w:rPr>
          <w:t>Μεθοδολογία</w:t>
        </w:r>
        <w:r w:rsidR="00B8771B">
          <w:rPr>
            <w:noProof/>
            <w:webHidden/>
          </w:rPr>
          <w:tab/>
        </w:r>
        <w:r>
          <w:rPr>
            <w:noProof/>
            <w:webHidden/>
          </w:rPr>
          <w:fldChar w:fldCharType="begin"/>
        </w:r>
        <w:r w:rsidR="00B8771B">
          <w:rPr>
            <w:noProof/>
            <w:webHidden/>
          </w:rPr>
          <w:instrText xml:space="preserve"> PAGEREF _Toc495951463 \h </w:instrText>
        </w:r>
        <w:r>
          <w:rPr>
            <w:noProof/>
            <w:webHidden/>
          </w:rPr>
        </w:r>
        <w:r>
          <w:rPr>
            <w:noProof/>
            <w:webHidden/>
          </w:rPr>
          <w:fldChar w:fldCharType="separate"/>
        </w:r>
        <w:r w:rsidR="00B8771B">
          <w:rPr>
            <w:noProof/>
            <w:webHidden/>
          </w:rPr>
          <w:t>132</w:t>
        </w:r>
        <w:r>
          <w:rPr>
            <w:noProof/>
            <w:webHidden/>
          </w:rPr>
          <w:fldChar w:fldCharType="end"/>
        </w:r>
      </w:hyperlink>
    </w:p>
    <w:p w:rsidR="00B8771B" w:rsidRDefault="008F3609">
      <w:pPr>
        <w:pStyle w:val="26"/>
        <w:tabs>
          <w:tab w:val="left" w:pos="1873"/>
        </w:tabs>
        <w:rPr>
          <w:rFonts w:asciiTheme="minorHAnsi" w:eastAsiaTheme="minorEastAsia" w:hAnsiTheme="minorHAnsi" w:cstheme="minorBidi"/>
          <w:noProof/>
        </w:rPr>
      </w:pPr>
      <w:hyperlink w:anchor="_Toc495951464" w:history="1">
        <w:r w:rsidR="00B8771B" w:rsidRPr="008378DE">
          <w:rPr>
            <w:rStyle w:val="-"/>
            <w:rFonts w:cs="Calibri"/>
            <w:noProof/>
          </w:rPr>
          <w:t>6.2.1.</w:t>
        </w:r>
        <w:r w:rsidR="00B8771B">
          <w:rPr>
            <w:rFonts w:asciiTheme="minorHAnsi" w:eastAsiaTheme="minorEastAsia" w:hAnsiTheme="minorHAnsi" w:cstheme="minorBidi"/>
            <w:noProof/>
          </w:rPr>
          <w:tab/>
        </w:r>
        <w:r w:rsidR="00B8771B" w:rsidRPr="008378DE">
          <w:rPr>
            <w:rStyle w:val="-"/>
            <w:rFonts w:cs="Calibri"/>
            <w:noProof/>
          </w:rPr>
          <w:t>Ερευνητικός σχεδιασμός</w:t>
        </w:r>
        <w:r w:rsidR="00B8771B">
          <w:rPr>
            <w:noProof/>
            <w:webHidden/>
          </w:rPr>
          <w:tab/>
        </w:r>
        <w:r>
          <w:rPr>
            <w:noProof/>
            <w:webHidden/>
          </w:rPr>
          <w:fldChar w:fldCharType="begin"/>
        </w:r>
        <w:r w:rsidR="00B8771B">
          <w:rPr>
            <w:noProof/>
            <w:webHidden/>
          </w:rPr>
          <w:instrText xml:space="preserve"> PAGEREF _Toc495951464 \h </w:instrText>
        </w:r>
        <w:r>
          <w:rPr>
            <w:noProof/>
            <w:webHidden/>
          </w:rPr>
        </w:r>
        <w:r>
          <w:rPr>
            <w:noProof/>
            <w:webHidden/>
          </w:rPr>
          <w:fldChar w:fldCharType="separate"/>
        </w:r>
        <w:r w:rsidR="00B8771B">
          <w:rPr>
            <w:noProof/>
            <w:webHidden/>
          </w:rPr>
          <w:t>132</w:t>
        </w:r>
        <w:r>
          <w:rPr>
            <w:noProof/>
            <w:webHidden/>
          </w:rPr>
          <w:fldChar w:fldCharType="end"/>
        </w:r>
      </w:hyperlink>
    </w:p>
    <w:p w:rsidR="00B8771B" w:rsidRDefault="008F3609">
      <w:pPr>
        <w:pStyle w:val="26"/>
        <w:tabs>
          <w:tab w:val="left" w:pos="1873"/>
        </w:tabs>
        <w:rPr>
          <w:rFonts w:asciiTheme="minorHAnsi" w:eastAsiaTheme="minorEastAsia" w:hAnsiTheme="minorHAnsi" w:cstheme="minorBidi"/>
          <w:noProof/>
        </w:rPr>
      </w:pPr>
      <w:hyperlink w:anchor="_Toc495951465" w:history="1">
        <w:r w:rsidR="00B8771B" w:rsidRPr="008378DE">
          <w:rPr>
            <w:rStyle w:val="-"/>
            <w:rFonts w:cs="Calibri"/>
            <w:noProof/>
          </w:rPr>
          <w:t>6.2.2.</w:t>
        </w:r>
        <w:r w:rsidR="00B8771B">
          <w:rPr>
            <w:rFonts w:asciiTheme="minorHAnsi" w:eastAsiaTheme="minorEastAsia" w:hAnsiTheme="minorHAnsi" w:cstheme="minorBidi"/>
            <w:noProof/>
          </w:rPr>
          <w:tab/>
        </w:r>
        <w:r w:rsidR="00B8771B" w:rsidRPr="008378DE">
          <w:rPr>
            <w:rStyle w:val="-"/>
            <w:rFonts w:cs="Calibri"/>
            <w:noProof/>
          </w:rPr>
          <w:t>Δείγμα ασθενών</w:t>
        </w:r>
        <w:r w:rsidR="00B8771B">
          <w:rPr>
            <w:noProof/>
            <w:webHidden/>
          </w:rPr>
          <w:tab/>
        </w:r>
        <w:r>
          <w:rPr>
            <w:noProof/>
            <w:webHidden/>
          </w:rPr>
          <w:fldChar w:fldCharType="begin"/>
        </w:r>
        <w:r w:rsidR="00B8771B">
          <w:rPr>
            <w:noProof/>
            <w:webHidden/>
          </w:rPr>
          <w:instrText xml:space="preserve"> PAGEREF _Toc495951465 \h </w:instrText>
        </w:r>
        <w:r>
          <w:rPr>
            <w:noProof/>
            <w:webHidden/>
          </w:rPr>
        </w:r>
        <w:r>
          <w:rPr>
            <w:noProof/>
            <w:webHidden/>
          </w:rPr>
          <w:fldChar w:fldCharType="separate"/>
        </w:r>
        <w:r w:rsidR="00B8771B">
          <w:rPr>
            <w:noProof/>
            <w:webHidden/>
          </w:rPr>
          <w:t>132</w:t>
        </w:r>
        <w:r>
          <w:rPr>
            <w:noProof/>
            <w:webHidden/>
          </w:rPr>
          <w:fldChar w:fldCharType="end"/>
        </w:r>
      </w:hyperlink>
    </w:p>
    <w:p w:rsidR="00B8771B" w:rsidRDefault="008F3609">
      <w:pPr>
        <w:pStyle w:val="26"/>
        <w:tabs>
          <w:tab w:val="left" w:pos="1873"/>
        </w:tabs>
        <w:rPr>
          <w:rFonts w:asciiTheme="minorHAnsi" w:eastAsiaTheme="minorEastAsia" w:hAnsiTheme="minorHAnsi" w:cstheme="minorBidi"/>
          <w:noProof/>
        </w:rPr>
      </w:pPr>
      <w:hyperlink w:anchor="_Toc495951466" w:history="1">
        <w:r w:rsidR="00B8771B" w:rsidRPr="008378DE">
          <w:rPr>
            <w:rStyle w:val="-"/>
            <w:rFonts w:cs="Calibri"/>
            <w:noProof/>
          </w:rPr>
          <w:t>6.2.3.</w:t>
        </w:r>
        <w:r w:rsidR="00B8771B">
          <w:rPr>
            <w:rFonts w:asciiTheme="minorHAnsi" w:eastAsiaTheme="minorEastAsia" w:hAnsiTheme="minorHAnsi" w:cstheme="minorBidi"/>
            <w:noProof/>
          </w:rPr>
          <w:tab/>
        </w:r>
        <w:r w:rsidR="00B8771B" w:rsidRPr="008378DE">
          <w:rPr>
            <w:rStyle w:val="-"/>
            <w:rFonts w:cs="Calibri"/>
            <w:noProof/>
          </w:rPr>
          <w:t>Τόπος διεξαγωγής της μελέτης</w:t>
        </w:r>
        <w:r w:rsidR="00B8771B">
          <w:rPr>
            <w:noProof/>
            <w:webHidden/>
          </w:rPr>
          <w:tab/>
        </w:r>
        <w:r>
          <w:rPr>
            <w:noProof/>
            <w:webHidden/>
          </w:rPr>
          <w:fldChar w:fldCharType="begin"/>
        </w:r>
        <w:r w:rsidR="00B8771B">
          <w:rPr>
            <w:noProof/>
            <w:webHidden/>
          </w:rPr>
          <w:instrText xml:space="preserve"> PAGEREF _Toc495951466 \h </w:instrText>
        </w:r>
        <w:r>
          <w:rPr>
            <w:noProof/>
            <w:webHidden/>
          </w:rPr>
        </w:r>
        <w:r>
          <w:rPr>
            <w:noProof/>
            <w:webHidden/>
          </w:rPr>
          <w:fldChar w:fldCharType="separate"/>
        </w:r>
        <w:r w:rsidR="00B8771B">
          <w:rPr>
            <w:noProof/>
            <w:webHidden/>
          </w:rPr>
          <w:t>132</w:t>
        </w:r>
        <w:r>
          <w:rPr>
            <w:noProof/>
            <w:webHidden/>
          </w:rPr>
          <w:fldChar w:fldCharType="end"/>
        </w:r>
      </w:hyperlink>
    </w:p>
    <w:p w:rsidR="00B8771B" w:rsidRDefault="008F3609">
      <w:pPr>
        <w:pStyle w:val="26"/>
        <w:tabs>
          <w:tab w:val="left" w:pos="1873"/>
        </w:tabs>
        <w:rPr>
          <w:rFonts w:asciiTheme="minorHAnsi" w:eastAsiaTheme="minorEastAsia" w:hAnsiTheme="minorHAnsi" w:cstheme="minorBidi"/>
          <w:noProof/>
        </w:rPr>
      </w:pPr>
      <w:hyperlink w:anchor="_Toc495951467" w:history="1">
        <w:r w:rsidR="00B8771B" w:rsidRPr="008378DE">
          <w:rPr>
            <w:rStyle w:val="-"/>
            <w:rFonts w:cs="Calibri"/>
            <w:noProof/>
          </w:rPr>
          <w:t>6.2.4.</w:t>
        </w:r>
        <w:r w:rsidR="00B8771B">
          <w:rPr>
            <w:rFonts w:asciiTheme="minorHAnsi" w:eastAsiaTheme="minorEastAsia" w:hAnsiTheme="minorHAnsi" w:cstheme="minorBidi"/>
            <w:noProof/>
          </w:rPr>
          <w:tab/>
        </w:r>
        <w:r w:rsidR="00B8771B" w:rsidRPr="008378DE">
          <w:rPr>
            <w:rStyle w:val="-"/>
            <w:rFonts w:cs="Calibri"/>
            <w:noProof/>
          </w:rPr>
          <w:t>Ηθική και Δεοντολογία</w:t>
        </w:r>
        <w:r w:rsidR="00B8771B">
          <w:rPr>
            <w:noProof/>
            <w:webHidden/>
          </w:rPr>
          <w:tab/>
        </w:r>
        <w:r>
          <w:rPr>
            <w:noProof/>
            <w:webHidden/>
          </w:rPr>
          <w:fldChar w:fldCharType="begin"/>
        </w:r>
        <w:r w:rsidR="00B8771B">
          <w:rPr>
            <w:noProof/>
            <w:webHidden/>
          </w:rPr>
          <w:instrText xml:space="preserve"> PAGEREF _Toc495951467 \h </w:instrText>
        </w:r>
        <w:r>
          <w:rPr>
            <w:noProof/>
            <w:webHidden/>
          </w:rPr>
        </w:r>
        <w:r>
          <w:rPr>
            <w:noProof/>
            <w:webHidden/>
          </w:rPr>
          <w:fldChar w:fldCharType="separate"/>
        </w:r>
        <w:r w:rsidR="00B8771B">
          <w:rPr>
            <w:noProof/>
            <w:webHidden/>
          </w:rPr>
          <w:t>132</w:t>
        </w:r>
        <w:r>
          <w:rPr>
            <w:noProof/>
            <w:webHidden/>
          </w:rPr>
          <w:fldChar w:fldCharType="end"/>
        </w:r>
      </w:hyperlink>
    </w:p>
    <w:p w:rsidR="00B8771B" w:rsidRDefault="008F3609">
      <w:pPr>
        <w:pStyle w:val="26"/>
        <w:tabs>
          <w:tab w:val="left" w:pos="1873"/>
        </w:tabs>
        <w:rPr>
          <w:rFonts w:asciiTheme="minorHAnsi" w:eastAsiaTheme="minorEastAsia" w:hAnsiTheme="minorHAnsi" w:cstheme="minorBidi"/>
          <w:noProof/>
        </w:rPr>
      </w:pPr>
      <w:hyperlink w:anchor="_Toc495951468" w:history="1">
        <w:r w:rsidR="00B8771B" w:rsidRPr="008378DE">
          <w:rPr>
            <w:rStyle w:val="-"/>
            <w:rFonts w:cstheme="minorHAnsi"/>
            <w:noProof/>
          </w:rPr>
          <w:t>6.2.5.</w:t>
        </w:r>
        <w:r w:rsidR="00B8771B">
          <w:rPr>
            <w:rFonts w:asciiTheme="minorHAnsi" w:eastAsiaTheme="minorEastAsia" w:hAnsiTheme="minorHAnsi" w:cstheme="minorBidi"/>
            <w:noProof/>
          </w:rPr>
          <w:tab/>
        </w:r>
        <w:r w:rsidR="00B8771B" w:rsidRPr="008378DE">
          <w:rPr>
            <w:rStyle w:val="-"/>
            <w:rFonts w:cstheme="minorHAnsi"/>
            <w:noProof/>
          </w:rPr>
          <w:t>Μέθοδος συλλογής δεδομένων – Εργαλεία μέτρησης</w:t>
        </w:r>
        <w:r w:rsidR="00B8771B">
          <w:rPr>
            <w:noProof/>
            <w:webHidden/>
          </w:rPr>
          <w:tab/>
        </w:r>
        <w:r>
          <w:rPr>
            <w:noProof/>
            <w:webHidden/>
          </w:rPr>
          <w:fldChar w:fldCharType="begin"/>
        </w:r>
        <w:r w:rsidR="00B8771B">
          <w:rPr>
            <w:noProof/>
            <w:webHidden/>
          </w:rPr>
          <w:instrText xml:space="preserve"> PAGEREF _Toc495951468 \h </w:instrText>
        </w:r>
        <w:r>
          <w:rPr>
            <w:noProof/>
            <w:webHidden/>
          </w:rPr>
        </w:r>
        <w:r>
          <w:rPr>
            <w:noProof/>
            <w:webHidden/>
          </w:rPr>
          <w:fldChar w:fldCharType="separate"/>
        </w:r>
        <w:r w:rsidR="00B8771B">
          <w:rPr>
            <w:noProof/>
            <w:webHidden/>
          </w:rPr>
          <w:t>132</w:t>
        </w:r>
        <w:r>
          <w:rPr>
            <w:noProof/>
            <w:webHidden/>
          </w:rPr>
          <w:fldChar w:fldCharType="end"/>
        </w:r>
      </w:hyperlink>
    </w:p>
    <w:p w:rsidR="00B8771B" w:rsidRDefault="008F3609">
      <w:pPr>
        <w:pStyle w:val="26"/>
        <w:tabs>
          <w:tab w:val="left" w:pos="1760"/>
        </w:tabs>
        <w:rPr>
          <w:rFonts w:asciiTheme="minorHAnsi" w:eastAsiaTheme="minorEastAsia" w:hAnsiTheme="minorHAnsi" w:cstheme="minorBidi"/>
          <w:noProof/>
        </w:rPr>
      </w:pPr>
      <w:hyperlink w:anchor="_Toc495951469" w:history="1">
        <w:r w:rsidR="00B8771B" w:rsidRPr="008378DE">
          <w:rPr>
            <w:rStyle w:val="-"/>
            <w:noProof/>
          </w:rPr>
          <w:t>6.3.</w:t>
        </w:r>
        <w:r w:rsidR="00B8771B">
          <w:rPr>
            <w:rFonts w:asciiTheme="minorHAnsi" w:eastAsiaTheme="minorEastAsia" w:hAnsiTheme="minorHAnsi" w:cstheme="minorBidi"/>
            <w:noProof/>
          </w:rPr>
          <w:tab/>
        </w:r>
        <w:r w:rsidR="00B8771B" w:rsidRPr="008378DE">
          <w:rPr>
            <w:rStyle w:val="-"/>
            <w:noProof/>
          </w:rPr>
          <w:t>Στατιστική Ανάλυση</w:t>
        </w:r>
        <w:r w:rsidR="00B8771B">
          <w:rPr>
            <w:noProof/>
            <w:webHidden/>
          </w:rPr>
          <w:tab/>
        </w:r>
        <w:r>
          <w:rPr>
            <w:noProof/>
            <w:webHidden/>
          </w:rPr>
          <w:fldChar w:fldCharType="begin"/>
        </w:r>
        <w:r w:rsidR="00B8771B">
          <w:rPr>
            <w:noProof/>
            <w:webHidden/>
          </w:rPr>
          <w:instrText xml:space="preserve"> PAGEREF _Toc495951469 \h </w:instrText>
        </w:r>
        <w:r>
          <w:rPr>
            <w:noProof/>
            <w:webHidden/>
          </w:rPr>
        </w:r>
        <w:r>
          <w:rPr>
            <w:noProof/>
            <w:webHidden/>
          </w:rPr>
          <w:fldChar w:fldCharType="separate"/>
        </w:r>
        <w:r w:rsidR="00B8771B">
          <w:rPr>
            <w:noProof/>
            <w:webHidden/>
          </w:rPr>
          <w:t>143</w:t>
        </w:r>
        <w:r>
          <w:rPr>
            <w:noProof/>
            <w:webHidden/>
          </w:rPr>
          <w:fldChar w:fldCharType="end"/>
        </w:r>
      </w:hyperlink>
    </w:p>
    <w:p w:rsidR="00B8771B" w:rsidRDefault="008F3609" w:rsidP="00B8771B">
      <w:pPr>
        <w:pStyle w:val="1b"/>
        <w:rPr>
          <w:rFonts w:asciiTheme="minorHAnsi" w:eastAsiaTheme="minorEastAsia" w:hAnsiTheme="minorHAnsi" w:cstheme="minorBidi"/>
          <w:noProof/>
          <w:lang w:eastAsia="el-GR"/>
        </w:rPr>
      </w:pPr>
      <w:hyperlink w:anchor="_Toc495951470" w:history="1">
        <w:r w:rsidR="00B8771B" w:rsidRPr="008378DE">
          <w:rPr>
            <w:rStyle w:val="-"/>
            <w:rFonts w:cstheme="minorHAnsi"/>
            <w:noProof/>
            <w:lang w:eastAsia="el-GR"/>
          </w:rPr>
          <w:t>7</w:t>
        </w:r>
        <w:r w:rsidR="00B8771B" w:rsidRPr="008378DE">
          <w:rPr>
            <w:rStyle w:val="-"/>
            <w:rFonts w:cstheme="minorHAnsi"/>
            <w:noProof/>
            <w:vertAlign w:val="superscript"/>
            <w:lang w:eastAsia="el-GR"/>
          </w:rPr>
          <w:t xml:space="preserve">ο   </w:t>
        </w:r>
        <w:r w:rsidR="00B8771B" w:rsidRPr="008378DE">
          <w:rPr>
            <w:rStyle w:val="-"/>
            <w:rFonts w:cstheme="minorHAnsi"/>
            <w:noProof/>
            <w:lang w:eastAsia="el-GR"/>
          </w:rPr>
          <w:t>ΚΕΦΑΛΑΙΟ: ΑΠΟΤΕΛΕΣΜΑΤΑ</w:t>
        </w:r>
        <w:r w:rsidR="00B8771B">
          <w:rPr>
            <w:noProof/>
            <w:webHidden/>
          </w:rPr>
          <w:tab/>
        </w:r>
        <w:r>
          <w:rPr>
            <w:noProof/>
            <w:webHidden/>
          </w:rPr>
          <w:fldChar w:fldCharType="begin"/>
        </w:r>
        <w:r w:rsidR="00B8771B">
          <w:rPr>
            <w:noProof/>
            <w:webHidden/>
          </w:rPr>
          <w:instrText xml:space="preserve"> PAGEREF _Toc495951470 \h </w:instrText>
        </w:r>
        <w:r>
          <w:rPr>
            <w:noProof/>
            <w:webHidden/>
          </w:rPr>
        </w:r>
        <w:r>
          <w:rPr>
            <w:noProof/>
            <w:webHidden/>
          </w:rPr>
          <w:fldChar w:fldCharType="separate"/>
        </w:r>
        <w:r w:rsidR="00B8771B">
          <w:rPr>
            <w:noProof/>
            <w:webHidden/>
          </w:rPr>
          <w:t>145</w:t>
        </w:r>
        <w:r>
          <w:rPr>
            <w:noProof/>
            <w:webHidden/>
          </w:rPr>
          <w:fldChar w:fldCharType="end"/>
        </w:r>
      </w:hyperlink>
    </w:p>
    <w:p w:rsidR="00B8771B" w:rsidRDefault="008F3609">
      <w:pPr>
        <w:pStyle w:val="31"/>
        <w:tabs>
          <w:tab w:val="left" w:pos="1760"/>
        </w:tabs>
        <w:rPr>
          <w:rFonts w:asciiTheme="minorHAnsi" w:eastAsiaTheme="minorEastAsia" w:hAnsiTheme="minorHAnsi" w:cstheme="minorBidi"/>
          <w:noProof/>
        </w:rPr>
      </w:pPr>
      <w:hyperlink w:anchor="_Toc495951471" w:history="1">
        <w:r w:rsidR="00B8771B" w:rsidRPr="008378DE">
          <w:rPr>
            <w:rStyle w:val="-"/>
            <w:noProof/>
          </w:rPr>
          <w:t>7.1.</w:t>
        </w:r>
        <w:r w:rsidR="00B8771B">
          <w:rPr>
            <w:rFonts w:asciiTheme="minorHAnsi" w:eastAsiaTheme="minorEastAsia" w:hAnsiTheme="minorHAnsi" w:cstheme="minorBidi"/>
            <w:noProof/>
          </w:rPr>
          <w:tab/>
        </w:r>
        <w:r w:rsidR="00B8771B" w:rsidRPr="008378DE">
          <w:rPr>
            <w:rStyle w:val="-"/>
            <w:noProof/>
          </w:rPr>
          <w:t>1</w:t>
        </w:r>
        <w:r w:rsidR="00B8771B" w:rsidRPr="008378DE">
          <w:rPr>
            <w:rStyle w:val="-"/>
            <w:noProof/>
            <w:vertAlign w:val="superscript"/>
          </w:rPr>
          <w:t>η</w:t>
        </w:r>
        <w:r w:rsidR="00B8771B" w:rsidRPr="008378DE">
          <w:rPr>
            <w:rStyle w:val="-"/>
            <w:noProof/>
          </w:rPr>
          <w:t xml:space="preserve"> φάση</w:t>
        </w:r>
        <w:r w:rsidR="00B8771B">
          <w:rPr>
            <w:noProof/>
            <w:webHidden/>
          </w:rPr>
          <w:tab/>
        </w:r>
        <w:r>
          <w:rPr>
            <w:noProof/>
            <w:webHidden/>
          </w:rPr>
          <w:fldChar w:fldCharType="begin"/>
        </w:r>
        <w:r w:rsidR="00B8771B">
          <w:rPr>
            <w:noProof/>
            <w:webHidden/>
          </w:rPr>
          <w:instrText xml:space="preserve"> PAGEREF _Toc495951471 \h </w:instrText>
        </w:r>
        <w:r>
          <w:rPr>
            <w:noProof/>
            <w:webHidden/>
          </w:rPr>
        </w:r>
        <w:r>
          <w:rPr>
            <w:noProof/>
            <w:webHidden/>
          </w:rPr>
          <w:fldChar w:fldCharType="separate"/>
        </w:r>
        <w:r w:rsidR="00B8771B">
          <w:rPr>
            <w:noProof/>
            <w:webHidden/>
          </w:rPr>
          <w:t>145</w:t>
        </w:r>
        <w:r>
          <w:rPr>
            <w:noProof/>
            <w:webHidden/>
          </w:rPr>
          <w:fldChar w:fldCharType="end"/>
        </w:r>
      </w:hyperlink>
    </w:p>
    <w:p w:rsidR="00B8771B" w:rsidRDefault="008F3609">
      <w:pPr>
        <w:pStyle w:val="31"/>
        <w:tabs>
          <w:tab w:val="left" w:pos="1760"/>
        </w:tabs>
        <w:rPr>
          <w:rFonts w:asciiTheme="minorHAnsi" w:eastAsiaTheme="minorEastAsia" w:hAnsiTheme="minorHAnsi" w:cstheme="minorBidi"/>
          <w:noProof/>
        </w:rPr>
      </w:pPr>
      <w:hyperlink w:anchor="_Toc495951472" w:history="1">
        <w:r w:rsidR="00B8771B" w:rsidRPr="008378DE">
          <w:rPr>
            <w:rStyle w:val="-"/>
            <w:noProof/>
          </w:rPr>
          <w:t>7.2.</w:t>
        </w:r>
        <w:r w:rsidR="00B8771B">
          <w:rPr>
            <w:rFonts w:asciiTheme="minorHAnsi" w:eastAsiaTheme="minorEastAsia" w:hAnsiTheme="minorHAnsi" w:cstheme="minorBidi"/>
            <w:noProof/>
          </w:rPr>
          <w:tab/>
        </w:r>
        <w:r w:rsidR="00B8771B" w:rsidRPr="008378DE">
          <w:rPr>
            <w:rStyle w:val="-"/>
            <w:noProof/>
          </w:rPr>
          <w:t>2</w:t>
        </w:r>
        <w:r w:rsidR="00B8771B" w:rsidRPr="008378DE">
          <w:rPr>
            <w:rStyle w:val="-"/>
            <w:noProof/>
            <w:vertAlign w:val="superscript"/>
          </w:rPr>
          <w:t>η</w:t>
        </w:r>
        <w:r w:rsidR="00B8771B" w:rsidRPr="008378DE">
          <w:rPr>
            <w:rStyle w:val="-"/>
            <w:noProof/>
          </w:rPr>
          <w:t xml:space="preserve"> φάση</w:t>
        </w:r>
        <w:r w:rsidR="00B8771B">
          <w:rPr>
            <w:noProof/>
            <w:webHidden/>
          </w:rPr>
          <w:tab/>
        </w:r>
        <w:r>
          <w:rPr>
            <w:noProof/>
            <w:webHidden/>
          </w:rPr>
          <w:fldChar w:fldCharType="begin"/>
        </w:r>
        <w:r w:rsidR="00B8771B">
          <w:rPr>
            <w:noProof/>
            <w:webHidden/>
          </w:rPr>
          <w:instrText xml:space="preserve"> PAGEREF _Toc495951472 \h </w:instrText>
        </w:r>
        <w:r>
          <w:rPr>
            <w:noProof/>
            <w:webHidden/>
          </w:rPr>
        </w:r>
        <w:r>
          <w:rPr>
            <w:noProof/>
            <w:webHidden/>
          </w:rPr>
          <w:fldChar w:fldCharType="separate"/>
        </w:r>
        <w:r w:rsidR="00B8771B">
          <w:rPr>
            <w:noProof/>
            <w:webHidden/>
          </w:rPr>
          <w:t>161</w:t>
        </w:r>
        <w:r>
          <w:rPr>
            <w:noProof/>
            <w:webHidden/>
          </w:rPr>
          <w:fldChar w:fldCharType="end"/>
        </w:r>
      </w:hyperlink>
    </w:p>
    <w:p w:rsidR="00B8771B" w:rsidRDefault="008F3609">
      <w:pPr>
        <w:pStyle w:val="31"/>
        <w:tabs>
          <w:tab w:val="left" w:pos="1760"/>
        </w:tabs>
        <w:rPr>
          <w:rFonts w:asciiTheme="minorHAnsi" w:eastAsiaTheme="minorEastAsia" w:hAnsiTheme="minorHAnsi" w:cstheme="minorBidi"/>
          <w:noProof/>
        </w:rPr>
      </w:pPr>
      <w:hyperlink w:anchor="_Toc495951473" w:history="1">
        <w:r w:rsidR="00B8771B" w:rsidRPr="008378DE">
          <w:rPr>
            <w:rStyle w:val="-"/>
            <w:noProof/>
          </w:rPr>
          <w:t>7.3.</w:t>
        </w:r>
        <w:r w:rsidR="00B8771B">
          <w:rPr>
            <w:rFonts w:asciiTheme="minorHAnsi" w:eastAsiaTheme="minorEastAsia" w:hAnsiTheme="minorHAnsi" w:cstheme="minorBidi"/>
            <w:noProof/>
          </w:rPr>
          <w:tab/>
        </w:r>
        <w:r w:rsidR="00B8771B" w:rsidRPr="008378DE">
          <w:rPr>
            <w:rStyle w:val="-"/>
            <w:noProof/>
          </w:rPr>
          <w:t>3</w:t>
        </w:r>
        <w:r w:rsidR="00B8771B" w:rsidRPr="008378DE">
          <w:rPr>
            <w:rStyle w:val="-"/>
            <w:noProof/>
            <w:vertAlign w:val="superscript"/>
          </w:rPr>
          <w:t>η</w:t>
        </w:r>
        <w:r w:rsidR="00B8771B" w:rsidRPr="008378DE">
          <w:rPr>
            <w:rStyle w:val="-"/>
            <w:noProof/>
          </w:rPr>
          <w:t xml:space="preserve"> φάση – 4</w:t>
        </w:r>
        <w:r w:rsidR="00B8771B" w:rsidRPr="008378DE">
          <w:rPr>
            <w:rStyle w:val="-"/>
            <w:noProof/>
            <w:vertAlign w:val="superscript"/>
          </w:rPr>
          <w:t>η</w:t>
        </w:r>
        <w:r w:rsidR="00B8771B" w:rsidRPr="008378DE">
          <w:rPr>
            <w:rStyle w:val="-"/>
            <w:noProof/>
          </w:rPr>
          <w:t xml:space="preserve"> φάση – 5</w:t>
        </w:r>
        <w:r w:rsidR="00B8771B" w:rsidRPr="008378DE">
          <w:rPr>
            <w:rStyle w:val="-"/>
            <w:noProof/>
            <w:vertAlign w:val="superscript"/>
          </w:rPr>
          <w:t>η</w:t>
        </w:r>
        <w:r w:rsidR="00B8771B" w:rsidRPr="008378DE">
          <w:rPr>
            <w:rStyle w:val="-"/>
            <w:noProof/>
          </w:rPr>
          <w:t xml:space="preserve"> φάση</w:t>
        </w:r>
        <w:r w:rsidR="00B8771B">
          <w:rPr>
            <w:noProof/>
            <w:webHidden/>
          </w:rPr>
          <w:tab/>
        </w:r>
        <w:r>
          <w:rPr>
            <w:noProof/>
            <w:webHidden/>
          </w:rPr>
          <w:fldChar w:fldCharType="begin"/>
        </w:r>
        <w:r w:rsidR="00B8771B">
          <w:rPr>
            <w:noProof/>
            <w:webHidden/>
          </w:rPr>
          <w:instrText xml:space="preserve"> PAGEREF _Toc495951473 \h </w:instrText>
        </w:r>
        <w:r>
          <w:rPr>
            <w:noProof/>
            <w:webHidden/>
          </w:rPr>
        </w:r>
        <w:r>
          <w:rPr>
            <w:noProof/>
            <w:webHidden/>
          </w:rPr>
          <w:fldChar w:fldCharType="separate"/>
        </w:r>
        <w:r w:rsidR="00B8771B">
          <w:rPr>
            <w:noProof/>
            <w:webHidden/>
          </w:rPr>
          <w:t>161</w:t>
        </w:r>
        <w:r>
          <w:rPr>
            <w:noProof/>
            <w:webHidden/>
          </w:rPr>
          <w:fldChar w:fldCharType="end"/>
        </w:r>
      </w:hyperlink>
    </w:p>
    <w:p w:rsidR="00B8771B" w:rsidRDefault="008F3609" w:rsidP="00B8771B">
      <w:pPr>
        <w:pStyle w:val="1b"/>
        <w:rPr>
          <w:rFonts w:asciiTheme="minorHAnsi" w:eastAsiaTheme="minorEastAsia" w:hAnsiTheme="minorHAnsi" w:cstheme="minorBidi"/>
          <w:noProof/>
          <w:lang w:eastAsia="el-GR"/>
        </w:rPr>
      </w:pPr>
      <w:hyperlink w:anchor="_Toc495951474" w:history="1">
        <w:r w:rsidR="00B8771B" w:rsidRPr="008378DE">
          <w:rPr>
            <w:rStyle w:val="-"/>
            <w:rFonts w:cstheme="minorHAnsi"/>
            <w:noProof/>
            <w:lang w:eastAsia="el-GR"/>
          </w:rPr>
          <w:t>8</w:t>
        </w:r>
        <w:r w:rsidR="00B8771B" w:rsidRPr="008378DE">
          <w:rPr>
            <w:rStyle w:val="-"/>
            <w:rFonts w:cstheme="minorHAnsi"/>
            <w:noProof/>
            <w:vertAlign w:val="superscript"/>
            <w:lang w:eastAsia="el-GR"/>
          </w:rPr>
          <w:t xml:space="preserve">ο </w:t>
        </w:r>
        <w:r w:rsidR="00B8771B" w:rsidRPr="008378DE">
          <w:rPr>
            <w:rStyle w:val="-"/>
            <w:rFonts w:cstheme="minorHAnsi"/>
            <w:noProof/>
            <w:lang w:eastAsia="el-GR"/>
          </w:rPr>
          <w:t>ΚΕΦΑΛΑΙΟ:  ΣΥΖΗΤΗΣΗ</w:t>
        </w:r>
        <w:r w:rsidR="00B8771B">
          <w:rPr>
            <w:noProof/>
            <w:webHidden/>
          </w:rPr>
          <w:tab/>
        </w:r>
        <w:r>
          <w:rPr>
            <w:noProof/>
            <w:webHidden/>
          </w:rPr>
          <w:fldChar w:fldCharType="begin"/>
        </w:r>
        <w:r w:rsidR="00B8771B">
          <w:rPr>
            <w:noProof/>
            <w:webHidden/>
          </w:rPr>
          <w:instrText xml:space="preserve"> PAGEREF _Toc495951474 \h </w:instrText>
        </w:r>
        <w:r>
          <w:rPr>
            <w:noProof/>
            <w:webHidden/>
          </w:rPr>
        </w:r>
        <w:r>
          <w:rPr>
            <w:noProof/>
            <w:webHidden/>
          </w:rPr>
          <w:fldChar w:fldCharType="separate"/>
        </w:r>
        <w:r w:rsidR="00B8771B">
          <w:rPr>
            <w:noProof/>
            <w:webHidden/>
          </w:rPr>
          <w:t>213</w:t>
        </w:r>
        <w:r>
          <w:rPr>
            <w:noProof/>
            <w:webHidden/>
          </w:rPr>
          <w:fldChar w:fldCharType="end"/>
        </w:r>
      </w:hyperlink>
    </w:p>
    <w:p w:rsidR="00B8771B" w:rsidRDefault="008F3609" w:rsidP="00B8771B">
      <w:pPr>
        <w:pStyle w:val="1b"/>
        <w:rPr>
          <w:rFonts w:asciiTheme="minorHAnsi" w:eastAsiaTheme="minorEastAsia" w:hAnsiTheme="minorHAnsi" w:cstheme="minorBidi"/>
          <w:noProof/>
          <w:lang w:eastAsia="el-GR"/>
        </w:rPr>
      </w:pPr>
      <w:hyperlink w:anchor="_Toc495951475" w:history="1">
        <w:r w:rsidR="00B8771B" w:rsidRPr="008378DE">
          <w:rPr>
            <w:rStyle w:val="-"/>
            <w:rFonts w:cstheme="minorHAnsi"/>
            <w:noProof/>
          </w:rPr>
          <w:t>9</w:t>
        </w:r>
        <w:r w:rsidR="00B8771B" w:rsidRPr="008378DE">
          <w:rPr>
            <w:rStyle w:val="-"/>
            <w:rFonts w:cstheme="minorHAnsi"/>
            <w:noProof/>
            <w:vertAlign w:val="superscript"/>
            <w:lang w:val="en-US"/>
          </w:rPr>
          <w:t>o</w:t>
        </w:r>
        <w:r w:rsidR="00B8771B" w:rsidRPr="008378DE">
          <w:rPr>
            <w:rStyle w:val="-"/>
            <w:rFonts w:cstheme="minorHAnsi"/>
            <w:noProof/>
            <w:vertAlign w:val="superscript"/>
          </w:rPr>
          <w:t xml:space="preserve">  </w:t>
        </w:r>
        <w:r w:rsidR="00B8771B" w:rsidRPr="008378DE">
          <w:rPr>
            <w:rStyle w:val="-"/>
            <w:rFonts w:cstheme="minorHAnsi"/>
            <w:noProof/>
          </w:rPr>
          <w:t xml:space="preserve">  </w:t>
        </w:r>
        <w:r w:rsidR="00B8771B" w:rsidRPr="008378DE">
          <w:rPr>
            <w:rStyle w:val="-"/>
            <w:rFonts w:cstheme="minorHAnsi"/>
            <w:noProof/>
            <w:lang w:val="en-US"/>
          </w:rPr>
          <w:t>KE</w:t>
        </w:r>
        <w:r w:rsidR="00B8771B" w:rsidRPr="008378DE">
          <w:rPr>
            <w:rStyle w:val="-"/>
            <w:rFonts w:cstheme="minorHAnsi"/>
            <w:noProof/>
          </w:rPr>
          <w:t>ΦΑΛΑΙΟ</w:t>
        </w:r>
        <w:r w:rsidR="00B8771B">
          <w:rPr>
            <w:noProof/>
            <w:webHidden/>
          </w:rPr>
          <w:tab/>
        </w:r>
        <w:r>
          <w:rPr>
            <w:noProof/>
            <w:webHidden/>
          </w:rPr>
          <w:fldChar w:fldCharType="begin"/>
        </w:r>
        <w:r w:rsidR="00B8771B">
          <w:rPr>
            <w:noProof/>
            <w:webHidden/>
          </w:rPr>
          <w:instrText xml:space="preserve"> PAGEREF _Toc495951475 \h </w:instrText>
        </w:r>
        <w:r>
          <w:rPr>
            <w:noProof/>
            <w:webHidden/>
          </w:rPr>
        </w:r>
        <w:r>
          <w:rPr>
            <w:noProof/>
            <w:webHidden/>
          </w:rPr>
          <w:fldChar w:fldCharType="separate"/>
        </w:r>
        <w:r w:rsidR="00B8771B">
          <w:rPr>
            <w:noProof/>
            <w:webHidden/>
          </w:rPr>
          <w:t>227</w:t>
        </w:r>
        <w:r>
          <w:rPr>
            <w:noProof/>
            <w:webHidden/>
          </w:rPr>
          <w:fldChar w:fldCharType="end"/>
        </w:r>
      </w:hyperlink>
    </w:p>
    <w:p w:rsidR="00B8771B" w:rsidRDefault="008F3609" w:rsidP="00B8771B">
      <w:pPr>
        <w:pStyle w:val="1b"/>
        <w:rPr>
          <w:rFonts w:asciiTheme="minorHAnsi" w:eastAsiaTheme="minorEastAsia" w:hAnsiTheme="minorHAnsi" w:cstheme="minorBidi"/>
          <w:noProof/>
          <w:lang w:eastAsia="el-GR"/>
        </w:rPr>
      </w:pPr>
      <w:hyperlink w:anchor="_Toc495951476" w:history="1">
        <w:r w:rsidR="00B8771B" w:rsidRPr="008378DE">
          <w:rPr>
            <w:rStyle w:val="-"/>
            <w:rFonts w:cstheme="minorHAnsi"/>
            <w:noProof/>
          </w:rPr>
          <w:t>Περιορισμοί της μελέτης</w:t>
        </w:r>
        <w:r w:rsidR="00B8771B">
          <w:rPr>
            <w:noProof/>
            <w:webHidden/>
          </w:rPr>
          <w:tab/>
        </w:r>
        <w:r>
          <w:rPr>
            <w:noProof/>
            <w:webHidden/>
          </w:rPr>
          <w:fldChar w:fldCharType="begin"/>
        </w:r>
        <w:r w:rsidR="00B8771B">
          <w:rPr>
            <w:noProof/>
            <w:webHidden/>
          </w:rPr>
          <w:instrText xml:space="preserve"> PAGEREF _Toc495951476 \h </w:instrText>
        </w:r>
        <w:r>
          <w:rPr>
            <w:noProof/>
            <w:webHidden/>
          </w:rPr>
        </w:r>
        <w:r>
          <w:rPr>
            <w:noProof/>
            <w:webHidden/>
          </w:rPr>
          <w:fldChar w:fldCharType="separate"/>
        </w:r>
        <w:r w:rsidR="00B8771B">
          <w:rPr>
            <w:noProof/>
            <w:webHidden/>
          </w:rPr>
          <w:t>227</w:t>
        </w:r>
        <w:r>
          <w:rPr>
            <w:noProof/>
            <w:webHidden/>
          </w:rPr>
          <w:fldChar w:fldCharType="end"/>
        </w:r>
      </w:hyperlink>
    </w:p>
    <w:p w:rsidR="00B8771B" w:rsidRDefault="008F3609" w:rsidP="00B8771B">
      <w:pPr>
        <w:pStyle w:val="1b"/>
        <w:rPr>
          <w:rFonts w:asciiTheme="minorHAnsi" w:eastAsiaTheme="minorEastAsia" w:hAnsiTheme="minorHAnsi" w:cstheme="minorBidi"/>
          <w:noProof/>
          <w:lang w:eastAsia="el-GR"/>
        </w:rPr>
      </w:pPr>
      <w:hyperlink w:anchor="_Toc495951477" w:history="1">
        <w:r w:rsidR="00B8771B" w:rsidRPr="008378DE">
          <w:rPr>
            <w:rStyle w:val="-"/>
            <w:rFonts w:cstheme="minorHAnsi"/>
            <w:noProof/>
          </w:rPr>
          <w:t>10</w:t>
        </w:r>
        <w:r w:rsidR="00B8771B" w:rsidRPr="008378DE">
          <w:rPr>
            <w:rStyle w:val="-"/>
            <w:rFonts w:cstheme="minorHAnsi"/>
            <w:noProof/>
            <w:vertAlign w:val="superscript"/>
          </w:rPr>
          <w:t xml:space="preserve">ο  </w:t>
        </w:r>
        <w:r w:rsidR="00B8771B" w:rsidRPr="008378DE">
          <w:rPr>
            <w:rStyle w:val="-"/>
            <w:rFonts w:cstheme="minorHAnsi"/>
            <w:noProof/>
          </w:rPr>
          <w:t>ΚΕΦΑΛΑΙΟ: ΓΕΝΙΚΑ ΣΥΜΠΕΡΑΣΜΑΤΑ-ΠΡΟΤΑΣΕΙΣ</w:t>
        </w:r>
        <w:r w:rsidR="00B8771B">
          <w:rPr>
            <w:noProof/>
            <w:webHidden/>
          </w:rPr>
          <w:tab/>
        </w:r>
        <w:r>
          <w:rPr>
            <w:noProof/>
            <w:webHidden/>
          </w:rPr>
          <w:fldChar w:fldCharType="begin"/>
        </w:r>
        <w:r w:rsidR="00B8771B">
          <w:rPr>
            <w:noProof/>
            <w:webHidden/>
          </w:rPr>
          <w:instrText xml:space="preserve"> PAGEREF _Toc495951477 \h </w:instrText>
        </w:r>
        <w:r>
          <w:rPr>
            <w:noProof/>
            <w:webHidden/>
          </w:rPr>
        </w:r>
        <w:r>
          <w:rPr>
            <w:noProof/>
            <w:webHidden/>
          </w:rPr>
          <w:fldChar w:fldCharType="separate"/>
        </w:r>
        <w:r w:rsidR="00B8771B">
          <w:rPr>
            <w:noProof/>
            <w:webHidden/>
          </w:rPr>
          <w:t>228</w:t>
        </w:r>
        <w:r>
          <w:rPr>
            <w:noProof/>
            <w:webHidden/>
          </w:rPr>
          <w:fldChar w:fldCharType="end"/>
        </w:r>
      </w:hyperlink>
    </w:p>
    <w:p w:rsidR="00B8771B" w:rsidRDefault="008F3609" w:rsidP="00B8771B">
      <w:pPr>
        <w:pStyle w:val="1b"/>
        <w:rPr>
          <w:rFonts w:asciiTheme="minorHAnsi" w:eastAsiaTheme="minorEastAsia" w:hAnsiTheme="minorHAnsi" w:cstheme="minorBidi"/>
          <w:noProof/>
          <w:lang w:eastAsia="el-GR"/>
        </w:rPr>
      </w:pPr>
      <w:hyperlink w:anchor="_Toc495951478" w:history="1">
        <w:r w:rsidR="00B8771B" w:rsidRPr="008378DE">
          <w:rPr>
            <w:rStyle w:val="-"/>
            <w:rFonts w:cstheme="minorHAnsi"/>
            <w:noProof/>
          </w:rPr>
          <w:t>ΑΝΤΙ ΕΠΙΛΟΓΟΥ</w:t>
        </w:r>
        <w:r w:rsidR="00B8771B">
          <w:rPr>
            <w:noProof/>
            <w:webHidden/>
          </w:rPr>
          <w:tab/>
        </w:r>
        <w:r>
          <w:rPr>
            <w:noProof/>
            <w:webHidden/>
          </w:rPr>
          <w:fldChar w:fldCharType="begin"/>
        </w:r>
        <w:r w:rsidR="00B8771B">
          <w:rPr>
            <w:noProof/>
            <w:webHidden/>
          </w:rPr>
          <w:instrText xml:space="preserve"> PAGEREF _Toc495951478 \h </w:instrText>
        </w:r>
        <w:r>
          <w:rPr>
            <w:noProof/>
            <w:webHidden/>
          </w:rPr>
        </w:r>
        <w:r>
          <w:rPr>
            <w:noProof/>
            <w:webHidden/>
          </w:rPr>
          <w:fldChar w:fldCharType="separate"/>
        </w:r>
        <w:r w:rsidR="00B8771B">
          <w:rPr>
            <w:noProof/>
            <w:webHidden/>
          </w:rPr>
          <w:t>230</w:t>
        </w:r>
        <w:r>
          <w:rPr>
            <w:noProof/>
            <w:webHidden/>
          </w:rPr>
          <w:fldChar w:fldCharType="end"/>
        </w:r>
      </w:hyperlink>
    </w:p>
    <w:p w:rsidR="00B8771B" w:rsidRDefault="008F3609" w:rsidP="00B8771B">
      <w:pPr>
        <w:pStyle w:val="1b"/>
        <w:rPr>
          <w:rFonts w:asciiTheme="minorHAnsi" w:eastAsiaTheme="minorEastAsia" w:hAnsiTheme="minorHAnsi" w:cstheme="minorBidi"/>
          <w:noProof/>
          <w:lang w:eastAsia="el-GR"/>
        </w:rPr>
      </w:pPr>
      <w:hyperlink w:anchor="_Toc495951479" w:history="1">
        <w:r w:rsidR="00B8771B" w:rsidRPr="008378DE">
          <w:rPr>
            <w:rStyle w:val="-"/>
            <w:rFonts w:cstheme="minorHAnsi"/>
            <w:noProof/>
            <w:lang w:eastAsia="el-GR"/>
          </w:rPr>
          <w:t>ΒΙΒΛΙΟΓΡΑΦΙΚΕΣ</w:t>
        </w:r>
        <w:r w:rsidR="00B8771B" w:rsidRPr="008378DE">
          <w:rPr>
            <w:rStyle w:val="-"/>
            <w:rFonts w:cstheme="minorHAnsi"/>
            <w:noProof/>
            <w:lang w:val="en-US" w:eastAsia="el-GR"/>
          </w:rPr>
          <w:t xml:space="preserve"> </w:t>
        </w:r>
        <w:r w:rsidR="00B8771B" w:rsidRPr="008378DE">
          <w:rPr>
            <w:rStyle w:val="-"/>
            <w:rFonts w:cstheme="minorHAnsi"/>
            <w:noProof/>
            <w:lang w:eastAsia="el-GR"/>
          </w:rPr>
          <w:t>ΠΗΓΕΣ</w:t>
        </w:r>
        <w:r w:rsidR="00B8771B">
          <w:rPr>
            <w:noProof/>
            <w:webHidden/>
          </w:rPr>
          <w:tab/>
        </w:r>
        <w:r>
          <w:rPr>
            <w:noProof/>
            <w:webHidden/>
          </w:rPr>
          <w:fldChar w:fldCharType="begin"/>
        </w:r>
        <w:r w:rsidR="00B8771B">
          <w:rPr>
            <w:noProof/>
            <w:webHidden/>
          </w:rPr>
          <w:instrText xml:space="preserve"> PAGEREF _Toc495951479 \h </w:instrText>
        </w:r>
        <w:r>
          <w:rPr>
            <w:noProof/>
            <w:webHidden/>
          </w:rPr>
        </w:r>
        <w:r>
          <w:rPr>
            <w:noProof/>
            <w:webHidden/>
          </w:rPr>
          <w:fldChar w:fldCharType="separate"/>
        </w:r>
        <w:r w:rsidR="00B8771B">
          <w:rPr>
            <w:noProof/>
            <w:webHidden/>
          </w:rPr>
          <w:t>231</w:t>
        </w:r>
        <w:r>
          <w:rPr>
            <w:noProof/>
            <w:webHidden/>
          </w:rPr>
          <w:fldChar w:fldCharType="end"/>
        </w:r>
      </w:hyperlink>
    </w:p>
    <w:p w:rsidR="00B8771B" w:rsidRDefault="008F3609" w:rsidP="00B8771B">
      <w:pPr>
        <w:pStyle w:val="1b"/>
        <w:rPr>
          <w:rFonts w:asciiTheme="minorHAnsi" w:eastAsiaTheme="minorEastAsia" w:hAnsiTheme="minorHAnsi" w:cstheme="minorBidi"/>
          <w:noProof/>
          <w:lang w:eastAsia="el-GR"/>
        </w:rPr>
      </w:pPr>
      <w:hyperlink w:anchor="_Toc495951480" w:history="1">
        <w:r w:rsidR="00B8771B" w:rsidRPr="008378DE">
          <w:rPr>
            <w:rStyle w:val="-"/>
            <w:noProof/>
          </w:rPr>
          <w:t>ΠΑΡΑΡΤΗΜΑ</w:t>
        </w:r>
        <w:r w:rsidR="00B8771B">
          <w:rPr>
            <w:noProof/>
            <w:webHidden/>
          </w:rPr>
          <w:tab/>
        </w:r>
        <w:r>
          <w:rPr>
            <w:noProof/>
            <w:webHidden/>
          </w:rPr>
          <w:fldChar w:fldCharType="begin"/>
        </w:r>
        <w:r w:rsidR="00B8771B">
          <w:rPr>
            <w:noProof/>
            <w:webHidden/>
          </w:rPr>
          <w:instrText xml:space="preserve"> PAGEREF _Toc495951480 \h </w:instrText>
        </w:r>
        <w:r>
          <w:rPr>
            <w:noProof/>
            <w:webHidden/>
          </w:rPr>
        </w:r>
        <w:r>
          <w:rPr>
            <w:noProof/>
            <w:webHidden/>
          </w:rPr>
          <w:fldChar w:fldCharType="separate"/>
        </w:r>
        <w:r w:rsidR="00B8771B">
          <w:rPr>
            <w:noProof/>
            <w:webHidden/>
          </w:rPr>
          <w:t>288</w:t>
        </w:r>
        <w:r>
          <w:rPr>
            <w:noProof/>
            <w:webHidden/>
          </w:rPr>
          <w:fldChar w:fldCharType="end"/>
        </w:r>
      </w:hyperlink>
    </w:p>
    <w:p w:rsidR="00B8771B" w:rsidRDefault="008F3609" w:rsidP="00B8771B">
      <w:pPr>
        <w:pStyle w:val="1b"/>
        <w:rPr>
          <w:rFonts w:asciiTheme="minorHAnsi" w:eastAsiaTheme="minorEastAsia" w:hAnsiTheme="minorHAnsi" w:cstheme="minorBidi"/>
          <w:noProof/>
          <w:lang w:eastAsia="el-GR"/>
        </w:rPr>
      </w:pPr>
      <w:hyperlink w:anchor="_Toc495951481" w:history="1">
        <w:r w:rsidR="00B8771B" w:rsidRPr="008378DE">
          <w:rPr>
            <w:rStyle w:val="-"/>
            <w:rFonts w:cstheme="minorHAnsi"/>
            <w:noProof/>
          </w:rPr>
          <w:t>ΕΝΗΜΕΡΩΤΙΚΟ ΕΝΤΥΠΟ</w:t>
        </w:r>
        <w:r w:rsidR="00B8771B">
          <w:rPr>
            <w:noProof/>
            <w:webHidden/>
          </w:rPr>
          <w:tab/>
        </w:r>
        <w:r>
          <w:rPr>
            <w:noProof/>
            <w:webHidden/>
          </w:rPr>
          <w:fldChar w:fldCharType="begin"/>
        </w:r>
        <w:r w:rsidR="00B8771B">
          <w:rPr>
            <w:noProof/>
            <w:webHidden/>
          </w:rPr>
          <w:instrText xml:space="preserve"> PAGEREF _Toc495951481 \h </w:instrText>
        </w:r>
        <w:r>
          <w:rPr>
            <w:noProof/>
            <w:webHidden/>
          </w:rPr>
        </w:r>
        <w:r>
          <w:rPr>
            <w:noProof/>
            <w:webHidden/>
          </w:rPr>
          <w:fldChar w:fldCharType="separate"/>
        </w:r>
        <w:r w:rsidR="00B8771B">
          <w:rPr>
            <w:noProof/>
            <w:webHidden/>
          </w:rPr>
          <w:t>306</w:t>
        </w:r>
        <w:r>
          <w:rPr>
            <w:noProof/>
            <w:webHidden/>
          </w:rPr>
          <w:fldChar w:fldCharType="end"/>
        </w:r>
      </w:hyperlink>
    </w:p>
    <w:p w:rsidR="00B8771B" w:rsidRDefault="008F3609" w:rsidP="00B8771B">
      <w:pPr>
        <w:pStyle w:val="1b"/>
        <w:rPr>
          <w:rFonts w:asciiTheme="minorHAnsi" w:eastAsiaTheme="minorEastAsia" w:hAnsiTheme="minorHAnsi" w:cstheme="minorBidi"/>
          <w:noProof/>
          <w:lang w:eastAsia="el-GR"/>
        </w:rPr>
      </w:pPr>
      <w:hyperlink w:anchor="_Toc495951482" w:history="1">
        <w:r w:rsidR="00B8771B" w:rsidRPr="008378DE">
          <w:rPr>
            <w:rStyle w:val="-"/>
            <w:noProof/>
          </w:rPr>
          <w:t>ΑΔΕΙΕΣ</w:t>
        </w:r>
        <w:r w:rsidR="00B8771B">
          <w:rPr>
            <w:noProof/>
            <w:webHidden/>
          </w:rPr>
          <w:tab/>
        </w:r>
        <w:r>
          <w:rPr>
            <w:noProof/>
            <w:webHidden/>
          </w:rPr>
          <w:fldChar w:fldCharType="begin"/>
        </w:r>
        <w:r w:rsidR="00B8771B">
          <w:rPr>
            <w:noProof/>
            <w:webHidden/>
          </w:rPr>
          <w:instrText xml:space="preserve"> PAGEREF _Toc495951482 \h </w:instrText>
        </w:r>
        <w:r>
          <w:rPr>
            <w:noProof/>
            <w:webHidden/>
          </w:rPr>
        </w:r>
        <w:r>
          <w:rPr>
            <w:noProof/>
            <w:webHidden/>
          </w:rPr>
          <w:fldChar w:fldCharType="separate"/>
        </w:r>
        <w:r w:rsidR="00B8771B">
          <w:rPr>
            <w:noProof/>
            <w:webHidden/>
          </w:rPr>
          <w:t>308</w:t>
        </w:r>
        <w:r>
          <w:rPr>
            <w:noProof/>
            <w:webHidden/>
          </w:rPr>
          <w:fldChar w:fldCharType="end"/>
        </w:r>
      </w:hyperlink>
    </w:p>
    <w:p w:rsidR="00C45C20" w:rsidRDefault="008F3609" w:rsidP="00B82577">
      <w:pPr>
        <w:pStyle w:val="1a"/>
        <w:jc w:val="center"/>
      </w:pPr>
      <w:r w:rsidRPr="005A464E">
        <w:fldChar w:fldCharType="end"/>
      </w:r>
    </w:p>
    <w:p w:rsidR="009C5F8A" w:rsidRDefault="009C5F8A" w:rsidP="00C45C20">
      <w:pPr>
        <w:pStyle w:val="1a"/>
        <w:spacing w:after="240"/>
        <w:jc w:val="center"/>
        <w:rPr>
          <w:rFonts w:ascii="Calibri" w:hAnsi="Calibri" w:cs="Calibri"/>
          <w:sz w:val="24"/>
          <w:szCs w:val="24"/>
        </w:rPr>
      </w:pPr>
    </w:p>
    <w:p w:rsidR="009C5F8A" w:rsidRDefault="009C5F8A" w:rsidP="00C45C20">
      <w:pPr>
        <w:pStyle w:val="1a"/>
        <w:spacing w:after="240"/>
        <w:jc w:val="center"/>
        <w:rPr>
          <w:rFonts w:ascii="Calibri" w:hAnsi="Calibri" w:cs="Calibri"/>
          <w:sz w:val="24"/>
          <w:szCs w:val="24"/>
        </w:rPr>
      </w:pPr>
    </w:p>
    <w:p w:rsidR="009C5F8A" w:rsidRDefault="009C5F8A" w:rsidP="00C45C20">
      <w:pPr>
        <w:pStyle w:val="1a"/>
        <w:spacing w:after="240"/>
        <w:jc w:val="center"/>
        <w:rPr>
          <w:rFonts w:ascii="Calibri" w:hAnsi="Calibri" w:cs="Calibri"/>
          <w:sz w:val="24"/>
          <w:szCs w:val="24"/>
        </w:rPr>
      </w:pPr>
    </w:p>
    <w:p w:rsidR="009C5F8A" w:rsidRDefault="009C5F8A" w:rsidP="00C45C20">
      <w:pPr>
        <w:pStyle w:val="1a"/>
        <w:spacing w:after="240"/>
        <w:jc w:val="center"/>
        <w:rPr>
          <w:rFonts w:ascii="Calibri" w:hAnsi="Calibri" w:cs="Calibri"/>
          <w:sz w:val="24"/>
          <w:szCs w:val="24"/>
        </w:rPr>
      </w:pPr>
    </w:p>
    <w:p w:rsidR="009C5F8A" w:rsidRDefault="009C5F8A" w:rsidP="00C45C20">
      <w:pPr>
        <w:pStyle w:val="1a"/>
        <w:spacing w:after="240"/>
        <w:jc w:val="center"/>
        <w:rPr>
          <w:rFonts w:ascii="Calibri" w:hAnsi="Calibri" w:cs="Calibri"/>
          <w:sz w:val="24"/>
          <w:szCs w:val="24"/>
        </w:rPr>
      </w:pPr>
    </w:p>
    <w:p w:rsidR="009C5F8A" w:rsidRDefault="009C5F8A" w:rsidP="00C45C20">
      <w:pPr>
        <w:pStyle w:val="1a"/>
        <w:spacing w:after="240"/>
        <w:jc w:val="center"/>
        <w:rPr>
          <w:rFonts w:ascii="Calibri" w:hAnsi="Calibri" w:cs="Calibri"/>
          <w:sz w:val="24"/>
          <w:szCs w:val="24"/>
        </w:rPr>
      </w:pPr>
    </w:p>
    <w:p w:rsidR="009C5F8A" w:rsidRDefault="009C5F8A" w:rsidP="00C45C20">
      <w:pPr>
        <w:pStyle w:val="1a"/>
        <w:spacing w:after="240"/>
        <w:jc w:val="center"/>
        <w:rPr>
          <w:rFonts w:ascii="Calibri" w:hAnsi="Calibri" w:cs="Calibri"/>
          <w:sz w:val="24"/>
          <w:szCs w:val="24"/>
        </w:rPr>
      </w:pPr>
    </w:p>
    <w:p w:rsidR="009C5F8A" w:rsidRDefault="009C5F8A" w:rsidP="00C45C20">
      <w:pPr>
        <w:pStyle w:val="1a"/>
        <w:spacing w:after="240"/>
        <w:jc w:val="center"/>
        <w:rPr>
          <w:rFonts w:ascii="Calibri" w:hAnsi="Calibri" w:cs="Calibri"/>
          <w:sz w:val="24"/>
          <w:szCs w:val="24"/>
        </w:rPr>
      </w:pPr>
    </w:p>
    <w:p w:rsidR="009C5F8A" w:rsidRDefault="009C5F8A" w:rsidP="00C45C20">
      <w:pPr>
        <w:pStyle w:val="1a"/>
        <w:spacing w:after="240"/>
        <w:jc w:val="center"/>
        <w:rPr>
          <w:rFonts w:ascii="Calibri" w:hAnsi="Calibri" w:cs="Calibri"/>
          <w:sz w:val="24"/>
          <w:szCs w:val="24"/>
        </w:rPr>
      </w:pPr>
    </w:p>
    <w:p w:rsidR="009C5F8A" w:rsidRDefault="009C5F8A" w:rsidP="00C45C20">
      <w:pPr>
        <w:pStyle w:val="1a"/>
        <w:spacing w:after="240"/>
        <w:jc w:val="center"/>
        <w:rPr>
          <w:rFonts w:ascii="Calibri" w:hAnsi="Calibri" w:cs="Calibri"/>
          <w:sz w:val="24"/>
          <w:szCs w:val="24"/>
        </w:rPr>
      </w:pPr>
    </w:p>
    <w:p w:rsidR="009C5F8A" w:rsidRDefault="009C5F8A" w:rsidP="00C45C20">
      <w:pPr>
        <w:pStyle w:val="1a"/>
        <w:spacing w:after="240"/>
        <w:jc w:val="center"/>
        <w:rPr>
          <w:rFonts w:ascii="Calibri" w:hAnsi="Calibri" w:cs="Calibri"/>
          <w:sz w:val="24"/>
          <w:szCs w:val="24"/>
        </w:rPr>
      </w:pPr>
    </w:p>
    <w:p w:rsidR="009C5F8A" w:rsidRDefault="009C5F8A" w:rsidP="00C45C20">
      <w:pPr>
        <w:pStyle w:val="1a"/>
        <w:spacing w:after="240"/>
        <w:jc w:val="center"/>
        <w:rPr>
          <w:rFonts w:ascii="Calibri" w:hAnsi="Calibri" w:cs="Calibri"/>
          <w:sz w:val="24"/>
          <w:szCs w:val="24"/>
        </w:rPr>
      </w:pPr>
    </w:p>
    <w:p w:rsidR="009C5F8A" w:rsidRDefault="009C5F8A" w:rsidP="00C45C20">
      <w:pPr>
        <w:pStyle w:val="1a"/>
        <w:spacing w:after="240"/>
        <w:jc w:val="center"/>
        <w:rPr>
          <w:rFonts w:ascii="Calibri" w:hAnsi="Calibri" w:cs="Calibri"/>
          <w:sz w:val="24"/>
          <w:szCs w:val="24"/>
        </w:rPr>
      </w:pPr>
    </w:p>
    <w:p w:rsidR="009C5F8A" w:rsidRDefault="009C5F8A" w:rsidP="00C45C20">
      <w:pPr>
        <w:pStyle w:val="1a"/>
        <w:spacing w:after="240"/>
        <w:jc w:val="center"/>
        <w:rPr>
          <w:rFonts w:ascii="Calibri" w:hAnsi="Calibri" w:cs="Calibri"/>
          <w:sz w:val="24"/>
          <w:szCs w:val="24"/>
        </w:rPr>
      </w:pPr>
    </w:p>
    <w:p w:rsidR="009C5F8A" w:rsidRDefault="009C5F8A" w:rsidP="00C45C20">
      <w:pPr>
        <w:pStyle w:val="1a"/>
        <w:spacing w:after="240"/>
        <w:jc w:val="center"/>
        <w:rPr>
          <w:rFonts w:ascii="Calibri" w:hAnsi="Calibri" w:cs="Calibri"/>
          <w:sz w:val="24"/>
          <w:szCs w:val="24"/>
        </w:rPr>
      </w:pPr>
    </w:p>
    <w:p w:rsidR="009C5F8A" w:rsidRDefault="009C5F8A" w:rsidP="00C45C20">
      <w:pPr>
        <w:pStyle w:val="1a"/>
        <w:spacing w:after="240"/>
        <w:jc w:val="center"/>
        <w:rPr>
          <w:rFonts w:ascii="Calibri" w:hAnsi="Calibri" w:cs="Calibri"/>
          <w:sz w:val="24"/>
          <w:szCs w:val="24"/>
        </w:rPr>
      </w:pPr>
    </w:p>
    <w:p w:rsidR="0081288D" w:rsidRPr="00DB6A65" w:rsidRDefault="00B82577" w:rsidP="00C45C20">
      <w:pPr>
        <w:pStyle w:val="1a"/>
        <w:spacing w:after="240"/>
        <w:jc w:val="center"/>
        <w:rPr>
          <w:rFonts w:ascii="Calibri" w:hAnsi="Calibri" w:cs="Calibri"/>
        </w:rPr>
      </w:pPr>
      <w:bookmarkStart w:id="0" w:name="_Toc495951412"/>
      <w:r w:rsidRPr="00DB6A65">
        <w:rPr>
          <w:rFonts w:ascii="Calibri" w:hAnsi="Calibri" w:cs="Calibri"/>
        </w:rPr>
        <w:t>ΕΥΧΑΡΙΣΤΙΕΣ</w:t>
      </w:r>
      <w:bookmarkEnd w:id="0"/>
    </w:p>
    <w:p w:rsidR="0081288D" w:rsidRPr="0081288D" w:rsidRDefault="0081288D" w:rsidP="0081288D">
      <w:pPr>
        <w:spacing w:line="360" w:lineRule="auto"/>
        <w:jc w:val="both"/>
        <w:rPr>
          <w:rFonts w:asciiTheme="minorHAnsi" w:hAnsiTheme="minorHAnsi" w:cstheme="minorHAnsi"/>
          <w:sz w:val="24"/>
          <w:szCs w:val="24"/>
        </w:rPr>
      </w:pPr>
      <w:r w:rsidRPr="0081288D">
        <w:rPr>
          <w:rFonts w:asciiTheme="minorHAnsi" w:hAnsiTheme="minorHAnsi" w:cstheme="minorHAnsi"/>
          <w:sz w:val="24"/>
          <w:szCs w:val="24"/>
        </w:rPr>
        <w:t>Η παρούσα διδακτορική διατριβή εκπονήθηκε στο Τμήμα Νοσηλευτικής του Πανεπιστημίου Πελοποννήσου υπό την επίβλεψη της Αναπληρώτριας Καθηγήτριας  κ. Ζυγά Σοφίας.</w:t>
      </w:r>
    </w:p>
    <w:p w:rsidR="0081288D" w:rsidRPr="00EB2F84" w:rsidRDefault="00EB2F84" w:rsidP="008F2BAF">
      <w:pPr>
        <w:spacing w:line="360" w:lineRule="auto"/>
        <w:jc w:val="both"/>
        <w:rPr>
          <w:rFonts w:asciiTheme="minorHAnsi" w:hAnsiTheme="minorHAnsi" w:cstheme="minorHAnsi"/>
          <w:sz w:val="24"/>
          <w:szCs w:val="24"/>
        </w:rPr>
      </w:pPr>
      <w:r w:rsidRPr="00EB2F84">
        <w:rPr>
          <w:rFonts w:asciiTheme="minorHAnsi" w:hAnsiTheme="minorHAnsi" w:cstheme="minorHAnsi"/>
          <w:sz w:val="24"/>
          <w:szCs w:val="24"/>
        </w:rPr>
        <w:t>Α</w:t>
      </w:r>
      <w:r w:rsidR="0081288D" w:rsidRPr="00EB2F84">
        <w:rPr>
          <w:rFonts w:asciiTheme="minorHAnsi" w:hAnsiTheme="minorHAnsi" w:cstheme="minorHAnsi"/>
          <w:sz w:val="24"/>
          <w:szCs w:val="24"/>
        </w:rPr>
        <w:t>ισθάνομαι την ανάγκη να εκφ</w:t>
      </w:r>
      <w:r w:rsidR="007B4F24">
        <w:rPr>
          <w:rFonts w:asciiTheme="minorHAnsi" w:hAnsiTheme="minorHAnsi" w:cstheme="minorHAnsi"/>
          <w:sz w:val="24"/>
          <w:szCs w:val="24"/>
        </w:rPr>
        <w:t>ράσω τη</w:t>
      </w:r>
      <w:r>
        <w:rPr>
          <w:rFonts w:asciiTheme="minorHAnsi" w:hAnsiTheme="minorHAnsi" w:cstheme="minorHAnsi"/>
          <w:sz w:val="24"/>
          <w:szCs w:val="24"/>
        </w:rPr>
        <w:t xml:space="preserve"> βαθιά μου εκτίμηση και τον σεβασμό </w:t>
      </w:r>
      <w:r w:rsidR="0081288D" w:rsidRPr="00EB2F84">
        <w:rPr>
          <w:rFonts w:asciiTheme="minorHAnsi" w:hAnsiTheme="minorHAnsi" w:cstheme="minorHAnsi"/>
          <w:sz w:val="24"/>
          <w:szCs w:val="24"/>
        </w:rPr>
        <w:t xml:space="preserve">στην επιβλέπουσά μου, Αναπληρώτρια Καθηγήτρια </w:t>
      </w:r>
      <w:r w:rsidR="00EB0830">
        <w:rPr>
          <w:rFonts w:asciiTheme="minorHAnsi" w:hAnsiTheme="minorHAnsi" w:cstheme="minorHAnsi"/>
          <w:sz w:val="24"/>
          <w:szCs w:val="24"/>
        </w:rPr>
        <w:t>του</w:t>
      </w:r>
      <w:r w:rsidR="00EB0830" w:rsidRPr="00EB0830">
        <w:rPr>
          <w:rFonts w:asciiTheme="minorHAnsi" w:hAnsiTheme="minorHAnsi" w:cstheme="minorHAnsi"/>
          <w:sz w:val="24"/>
          <w:szCs w:val="24"/>
        </w:rPr>
        <w:t xml:space="preserve"> </w:t>
      </w:r>
      <w:r w:rsidR="00EB0830" w:rsidRPr="00EB2F84">
        <w:rPr>
          <w:rFonts w:asciiTheme="minorHAnsi" w:hAnsiTheme="minorHAnsi" w:cstheme="minorHAnsi"/>
          <w:sz w:val="24"/>
          <w:szCs w:val="24"/>
        </w:rPr>
        <w:t>Τμήματος Νοσηλευτικής</w:t>
      </w:r>
      <w:r w:rsidR="00EB0830" w:rsidRPr="00EB0830">
        <w:rPr>
          <w:rFonts w:asciiTheme="minorHAnsi" w:hAnsiTheme="minorHAnsi" w:cstheme="minorHAnsi"/>
          <w:sz w:val="24"/>
          <w:szCs w:val="24"/>
        </w:rPr>
        <w:t xml:space="preserve"> </w:t>
      </w:r>
      <w:r w:rsidR="00EB0830" w:rsidRPr="00EB2F84">
        <w:rPr>
          <w:rFonts w:asciiTheme="minorHAnsi" w:hAnsiTheme="minorHAnsi" w:cstheme="minorHAnsi"/>
          <w:sz w:val="24"/>
          <w:szCs w:val="24"/>
        </w:rPr>
        <w:t>του Πανεπιστημίου Πελοποννήσου</w:t>
      </w:r>
      <w:r w:rsidR="00EB0830">
        <w:rPr>
          <w:rFonts w:asciiTheme="minorHAnsi" w:hAnsiTheme="minorHAnsi" w:cstheme="minorHAnsi"/>
          <w:sz w:val="24"/>
          <w:szCs w:val="24"/>
        </w:rPr>
        <w:t xml:space="preserve"> </w:t>
      </w:r>
      <w:r w:rsidR="0081288D" w:rsidRPr="00EB2F84">
        <w:rPr>
          <w:rFonts w:asciiTheme="minorHAnsi" w:hAnsiTheme="minorHAnsi" w:cstheme="minorHAnsi"/>
          <w:sz w:val="24"/>
          <w:szCs w:val="24"/>
        </w:rPr>
        <w:t xml:space="preserve">και </w:t>
      </w:r>
      <w:r w:rsidR="00EB0830">
        <w:rPr>
          <w:rFonts w:asciiTheme="minorHAnsi" w:hAnsiTheme="minorHAnsi" w:cstheme="minorHAnsi"/>
          <w:sz w:val="24"/>
          <w:szCs w:val="24"/>
        </w:rPr>
        <w:t xml:space="preserve">Αναπληρώτρια Πρύτανη </w:t>
      </w:r>
      <w:r w:rsidR="007B4F24">
        <w:rPr>
          <w:rFonts w:asciiTheme="minorHAnsi" w:hAnsiTheme="minorHAnsi" w:cstheme="minorHAnsi"/>
          <w:sz w:val="24"/>
          <w:szCs w:val="24"/>
        </w:rPr>
        <w:t>του Πανεπιστημίου Πελοποννήσου</w:t>
      </w:r>
      <w:r w:rsidR="0081288D" w:rsidRPr="00EB2F84">
        <w:rPr>
          <w:rFonts w:asciiTheme="minorHAnsi" w:hAnsiTheme="minorHAnsi" w:cstheme="minorHAnsi"/>
          <w:sz w:val="24"/>
          <w:szCs w:val="24"/>
        </w:rPr>
        <w:t xml:space="preserve"> κ. Ζυγά Σοφία</w:t>
      </w:r>
      <w:r>
        <w:rPr>
          <w:rFonts w:asciiTheme="minorHAnsi" w:hAnsiTheme="minorHAnsi" w:cstheme="minorHAnsi"/>
          <w:sz w:val="24"/>
          <w:szCs w:val="24"/>
        </w:rPr>
        <w:t>. Κατά τη διάρκεια της εκ</w:t>
      </w:r>
      <w:r w:rsidR="008F2BAF">
        <w:rPr>
          <w:rFonts w:asciiTheme="minorHAnsi" w:hAnsiTheme="minorHAnsi" w:cstheme="minorHAnsi"/>
          <w:sz w:val="24"/>
          <w:szCs w:val="24"/>
        </w:rPr>
        <w:t>π</w:t>
      </w:r>
      <w:r>
        <w:rPr>
          <w:rFonts w:asciiTheme="minorHAnsi" w:hAnsiTheme="minorHAnsi" w:cstheme="minorHAnsi"/>
          <w:sz w:val="24"/>
          <w:szCs w:val="24"/>
        </w:rPr>
        <w:t xml:space="preserve">όνησης αυτής της </w:t>
      </w:r>
      <w:r w:rsidR="008F2BAF">
        <w:rPr>
          <w:rFonts w:asciiTheme="minorHAnsi" w:hAnsiTheme="minorHAnsi" w:cstheme="minorHAnsi"/>
          <w:sz w:val="24"/>
          <w:szCs w:val="24"/>
        </w:rPr>
        <w:t xml:space="preserve">διδακτορικής </w:t>
      </w:r>
      <w:r>
        <w:rPr>
          <w:rFonts w:asciiTheme="minorHAnsi" w:hAnsiTheme="minorHAnsi" w:cstheme="minorHAnsi"/>
          <w:sz w:val="24"/>
          <w:szCs w:val="24"/>
        </w:rPr>
        <w:t>διατριβής με στήριξε, μ</w:t>
      </w:r>
      <w:r w:rsidR="001979E4">
        <w:rPr>
          <w:rFonts w:asciiTheme="minorHAnsi" w:hAnsiTheme="minorHAnsi" w:cstheme="minorHAnsi"/>
          <w:sz w:val="24"/>
          <w:szCs w:val="24"/>
        </w:rPr>
        <w:t>ε συμβούλεψε και με καθοδήγησε.</w:t>
      </w:r>
      <w:r w:rsidR="0081288D" w:rsidRPr="00EB2F84">
        <w:rPr>
          <w:rFonts w:asciiTheme="minorHAnsi" w:hAnsiTheme="minorHAnsi" w:cstheme="minorHAnsi"/>
          <w:sz w:val="24"/>
          <w:szCs w:val="24"/>
        </w:rPr>
        <w:t xml:space="preserve"> </w:t>
      </w:r>
      <w:r>
        <w:rPr>
          <w:rFonts w:asciiTheme="minorHAnsi" w:hAnsiTheme="minorHAnsi" w:cstheme="minorHAnsi"/>
          <w:sz w:val="24"/>
          <w:szCs w:val="24"/>
        </w:rPr>
        <w:t>Ή</w:t>
      </w:r>
      <w:r w:rsidR="0081288D" w:rsidRPr="00EB2F84">
        <w:rPr>
          <w:rFonts w:asciiTheme="minorHAnsi" w:hAnsiTheme="minorHAnsi" w:cstheme="minorHAnsi"/>
          <w:sz w:val="24"/>
          <w:szCs w:val="24"/>
        </w:rPr>
        <w:t>ταν πάντοτε εκεί όταν τη χρειαζόμουν.</w:t>
      </w:r>
      <w:r>
        <w:rPr>
          <w:rFonts w:asciiTheme="minorHAnsi" w:hAnsiTheme="minorHAnsi" w:cstheme="minorHAnsi"/>
          <w:sz w:val="24"/>
          <w:szCs w:val="24"/>
        </w:rPr>
        <w:t xml:space="preserve"> </w:t>
      </w:r>
      <w:r w:rsidR="008F2BAF">
        <w:rPr>
          <w:rFonts w:asciiTheme="minorHAnsi" w:hAnsiTheme="minorHAnsi" w:cstheme="minorHAnsi"/>
          <w:sz w:val="24"/>
          <w:szCs w:val="24"/>
        </w:rPr>
        <w:t>Το</w:t>
      </w:r>
      <w:r>
        <w:rPr>
          <w:rFonts w:asciiTheme="minorHAnsi" w:hAnsiTheme="minorHAnsi" w:cstheme="minorHAnsi"/>
          <w:sz w:val="24"/>
          <w:szCs w:val="24"/>
        </w:rPr>
        <w:t xml:space="preserve"> ακαδημαϊκ</w:t>
      </w:r>
      <w:r w:rsidR="008F2BAF">
        <w:rPr>
          <w:rFonts w:asciiTheme="minorHAnsi" w:hAnsiTheme="minorHAnsi" w:cstheme="minorHAnsi"/>
          <w:sz w:val="24"/>
          <w:szCs w:val="24"/>
        </w:rPr>
        <w:t>ό της ήθος, η επιστημονική της αναγνώριση και η επιθυμία της για το άριστο</w:t>
      </w:r>
      <w:r w:rsidR="00EB0830">
        <w:rPr>
          <w:rFonts w:asciiTheme="minorHAnsi" w:hAnsiTheme="minorHAnsi" w:cstheme="minorHAnsi"/>
          <w:sz w:val="24"/>
          <w:szCs w:val="24"/>
        </w:rPr>
        <w:t>,</w:t>
      </w:r>
      <w:r w:rsidR="008F2BAF">
        <w:rPr>
          <w:rFonts w:asciiTheme="minorHAnsi" w:hAnsiTheme="minorHAnsi" w:cstheme="minorHAnsi"/>
          <w:sz w:val="24"/>
          <w:szCs w:val="24"/>
        </w:rPr>
        <w:t xml:space="preserve"> συνέβαλαν ώστε να πετύχω το βέλτιστο αποτέλεσμα και να βγάλω τον καλύτερό μου ε</w:t>
      </w:r>
      <w:r w:rsidR="007B4F24">
        <w:rPr>
          <w:rFonts w:asciiTheme="minorHAnsi" w:hAnsiTheme="minorHAnsi" w:cstheme="minorHAnsi"/>
          <w:sz w:val="24"/>
          <w:szCs w:val="24"/>
        </w:rPr>
        <w:t>αυτό. Η συνεργασία μου με την κ.</w:t>
      </w:r>
      <w:r w:rsidR="008F2BAF">
        <w:rPr>
          <w:rFonts w:asciiTheme="minorHAnsi" w:hAnsiTheme="minorHAnsi" w:cstheme="minorHAnsi"/>
          <w:sz w:val="24"/>
          <w:szCs w:val="24"/>
        </w:rPr>
        <w:t xml:space="preserve"> Ζυγά ήταν το κίνητρο για τη συμμετοχή μου και σε άλλες συγγραφικές και ερ</w:t>
      </w:r>
      <w:r w:rsidR="007B4F24">
        <w:rPr>
          <w:rFonts w:asciiTheme="minorHAnsi" w:hAnsiTheme="minorHAnsi" w:cstheme="minorHAnsi"/>
          <w:sz w:val="24"/>
          <w:szCs w:val="24"/>
        </w:rPr>
        <w:t>ε</w:t>
      </w:r>
      <w:r w:rsidR="008F2BAF">
        <w:rPr>
          <w:rFonts w:asciiTheme="minorHAnsi" w:hAnsiTheme="minorHAnsi" w:cstheme="minorHAnsi"/>
          <w:sz w:val="24"/>
          <w:szCs w:val="24"/>
        </w:rPr>
        <w:t>υνητικές δραστηριότητες.</w:t>
      </w:r>
    </w:p>
    <w:p w:rsidR="00EB0830" w:rsidRDefault="0081288D" w:rsidP="008F2BAF">
      <w:pPr>
        <w:spacing w:line="360" w:lineRule="auto"/>
        <w:jc w:val="both"/>
        <w:rPr>
          <w:rFonts w:asciiTheme="minorHAnsi" w:hAnsiTheme="minorHAnsi" w:cstheme="minorHAnsi"/>
          <w:sz w:val="24"/>
          <w:szCs w:val="24"/>
        </w:rPr>
      </w:pPr>
      <w:r w:rsidRPr="00EB2F84">
        <w:rPr>
          <w:rFonts w:asciiTheme="minorHAnsi" w:hAnsiTheme="minorHAnsi" w:cstheme="minorHAnsi"/>
          <w:sz w:val="24"/>
          <w:szCs w:val="24"/>
        </w:rPr>
        <w:t>Θα ήθελα επίσης να ευχαριστήσω την κ. Τσιρώνη Μαρία, Καθηγήτρια του Τμήματος Νοσηλευτικής του Πα</w:t>
      </w:r>
      <w:r w:rsidR="007B4F24">
        <w:rPr>
          <w:rFonts w:asciiTheme="minorHAnsi" w:hAnsiTheme="minorHAnsi" w:cstheme="minorHAnsi"/>
          <w:sz w:val="24"/>
          <w:szCs w:val="24"/>
        </w:rPr>
        <w:t>νεπιστημίου Πελοποννήσου για τη</w:t>
      </w:r>
      <w:r w:rsidRPr="00EB2F84">
        <w:rPr>
          <w:rFonts w:asciiTheme="minorHAnsi" w:hAnsiTheme="minorHAnsi" w:cstheme="minorHAnsi"/>
          <w:sz w:val="24"/>
          <w:szCs w:val="24"/>
        </w:rPr>
        <w:t xml:space="preserve"> </w:t>
      </w:r>
      <w:r w:rsidR="007B4F24">
        <w:rPr>
          <w:rFonts w:asciiTheme="minorHAnsi" w:hAnsiTheme="minorHAnsi" w:cstheme="minorHAnsi"/>
          <w:sz w:val="24"/>
          <w:szCs w:val="24"/>
        </w:rPr>
        <w:t xml:space="preserve">συνεργασία και τη </w:t>
      </w:r>
      <w:r w:rsidR="00EB2F84" w:rsidRPr="00EB2F84">
        <w:rPr>
          <w:rFonts w:asciiTheme="minorHAnsi" w:hAnsiTheme="minorHAnsi" w:cstheme="minorHAnsi"/>
          <w:sz w:val="24"/>
          <w:szCs w:val="24"/>
        </w:rPr>
        <w:t>στήριξη κάθε φορά που χρειαζόταν</w:t>
      </w:r>
      <w:r w:rsidR="008F2BAF">
        <w:rPr>
          <w:rFonts w:asciiTheme="minorHAnsi" w:hAnsiTheme="minorHAnsi" w:cstheme="minorHAnsi"/>
          <w:sz w:val="24"/>
          <w:szCs w:val="24"/>
        </w:rPr>
        <w:t>. Ήταν ιδιαίτερη τιμή για εμένα να αποτελεί μέλος της τριμελούς επιτροπής της διατριβής μου</w:t>
      </w:r>
      <w:r w:rsidR="00EB0830">
        <w:rPr>
          <w:rFonts w:asciiTheme="minorHAnsi" w:hAnsiTheme="minorHAnsi" w:cstheme="minorHAnsi"/>
          <w:sz w:val="24"/>
          <w:szCs w:val="24"/>
        </w:rPr>
        <w:t>.</w:t>
      </w:r>
    </w:p>
    <w:p w:rsidR="00FA4B41" w:rsidRDefault="00EB0830" w:rsidP="00FA4B41">
      <w:pPr>
        <w:spacing w:line="360" w:lineRule="auto"/>
        <w:jc w:val="both"/>
        <w:rPr>
          <w:rFonts w:asciiTheme="minorHAnsi" w:hAnsiTheme="minorHAnsi" w:cstheme="minorHAnsi"/>
          <w:sz w:val="24"/>
          <w:szCs w:val="24"/>
        </w:rPr>
      </w:pPr>
      <w:r>
        <w:rPr>
          <w:rFonts w:asciiTheme="minorHAnsi" w:hAnsiTheme="minorHAnsi" w:cstheme="minorHAnsi"/>
          <w:sz w:val="24"/>
          <w:szCs w:val="24"/>
        </w:rPr>
        <w:t>Ευχαριστώ ιδιαίτερα την κ. Μάτζιου Βασιλική, Καθηγήτρια του Τμήματος</w:t>
      </w:r>
      <w:r w:rsidRPr="00EB0830">
        <w:rPr>
          <w:rFonts w:asciiTheme="minorHAnsi" w:hAnsiTheme="minorHAnsi" w:cstheme="minorHAnsi"/>
          <w:sz w:val="24"/>
          <w:szCs w:val="24"/>
        </w:rPr>
        <w:t xml:space="preserve"> </w:t>
      </w:r>
      <w:r w:rsidRPr="00EB2F84">
        <w:rPr>
          <w:rFonts w:asciiTheme="minorHAnsi" w:hAnsiTheme="minorHAnsi" w:cstheme="minorHAnsi"/>
          <w:sz w:val="24"/>
          <w:szCs w:val="24"/>
        </w:rPr>
        <w:t>Νοσηλευτικής του</w:t>
      </w:r>
      <w:r>
        <w:rPr>
          <w:rFonts w:asciiTheme="minorHAnsi" w:hAnsiTheme="minorHAnsi" w:cstheme="minorHAnsi"/>
          <w:sz w:val="24"/>
          <w:szCs w:val="24"/>
        </w:rPr>
        <w:t xml:space="preserve"> Εθνικού και Καποδιστριακού Πανεπιστημίου Αθηνών. Υπήρξε ο κατάλληλος άνθρωπος στην κατάλληλη στιγμή.</w:t>
      </w:r>
      <w:r w:rsidR="0081288D" w:rsidRPr="00EB2F84">
        <w:rPr>
          <w:rFonts w:asciiTheme="minorHAnsi" w:hAnsiTheme="minorHAnsi" w:cstheme="minorHAnsi"/>
          <w:sz w:val="24"/>
          <w:szCs w:val="24"/>
        </w:rPr>
        <w:t xml:space="preserve"> </w:t>
      </w:r>
      <w:r>
        <w:rPr>
          <w:rFonts w:asciiTheme="minorHAnsi" w:hAnsiTheme="minorHAnsi" w:cstheme="minorHAnsi"/>
          <w:sz w:val="24"/>
          <w:szCs w:val="24"/>
        </w:rPr>
        <w:t>Η εμπιστοσύνη που μου έδειξε αποτέλεσε το έναυσμα για την προσπάθεια αυτή. Ελπίζω να φάνηκα αντάξια της εμπιστοσύνης της.</w:t>
      </w:r>
    </w:p>
    <w:p w:rsidR="001979E4" w:rsidRDefault="00FA4B41" w:rsidP="00FA4B41">
      <w:pPr>
        <w:spacing w:line="360" w:lineRule="auto"/>
        <w:jc w:val="both"/>
        <w:rPr>
          <w:rFonts w:asciiTheme="minorHAnsi" w:hAnsiTheme="minorHAnsi" w:cstheme="minorHAnsi"/>
          <w:sz w:val="24"/>
          <w:szCs w:val="24"/>
        </w:rPr>
      </w:pPr>
      <w:r w:rsidRPr="00FA4B41">
        <w:rPr>
          <w:rFonts w:asciiTheme="minorHAnsi" w:hAnsiTheme="minorHAnsi" w:cstheme="minorHAnsi"/>
          <w:sz w:val="24"/>
          <w:szCs w:val="24"/>
        </w:rPr>
        <w:t>Επίσης, θα ήθελα να ευχαριστήσω τον συνάδελφο νοσηλευτή και υποψ</w:t>
      </w:r>
      <w:r>
        <w:rPr>
          <w:rFonts w:asciiTheme="minorHAnsi" w:hAnsiTheme="minorHAnsi" w:cstheme="minorHAnsi"/>
          <w:sz w:val="24"/>
          <w:szCs w:val="24"/>
        </w:rPr>
        <w:t>ήφιο διδ</w:t>
      </w:r>
      <w:r w:rsidRPr="00FA4B41">
        <w:rPr>
          <w:rFonts w:asciiTheme="minorHAnsi" w:hAnsiTheme="minorHAnsi" w:cstheme="minorHAnsi"/>
          <w:sz w:val="24"/>
          <w:szCs w:val="24"/>
        </w:rPr>
        <w:t>άκτορα του τμήματος Ευάγγελο Φραδέλο για την πολύτιμη συνεργασία του</w:t>
      </w:r>
      <w:r>
        <w:rPr>
          <w:rFonts w:asciiTheme="minorHAnsi" w:hAnsiTheme="minorHAnsi" w:cstheme="minorHAnsi"/>
          <w:sz w:val="24"/>
          <w:szCs w:val="24"/>
        </w:rPr>
        <w:t>.</w:t>
      </w:r>
      <w:r w:rsidR="001979E4">
        <w:rPr>
          <w:rFonts w:asciiTheme="minorHAnsi" w:hAnsiTheme="minorHAnsi" w:cstheme="minorHAnsi"/>
          <w:sz w:val="24"/>
          <w:szCs w:val="24"/>
        </w:rPr>
        <w:t xml:space="preserve"> </w:t>
      </w:r>
    </w:p>
    <w:p w:rsidR="00FA4B41" w:rsidRPr="001979E4" w:rsidRDefault="00FA4B41" w:rsidP="00FA4B41">
      <w:pPr>
        <w:spacing w:line="360" w:lineRule="auto"/>
        <w:jc w:val="both"/>
        <w:rPr>
          <w:rFonts w:asciiTheme="minorHAnsi" w:hAnsiTheme="minorHAnsi" w:cstheme="minorHAnsi"/>
          <w:sz w:val="24"/>
          <w:szCs w:val="24"/>
        </w:rPr>
      </w:pPr>
      <w:r w:rsidRPr="00680E68">
        <w:rPr>
          <w:rFonts w:cs="Calibri"/>
          <w:sz w:val="24"/>
          <w:szCs w:val="24"/>
        </w:rPr>
        <w:t>Τους συνάδελφους νοσηλευτές που βοήθησαν στη διανομή των ερωτηματολογίων κ.</w:t>
      </w:r>
      <w:r w:rsidR="00C45C20">
        <w:rPr>
          <w:rFonts w:cs="Calibri"/>
          <w:sz w:val="24"/>
          <w:szCs w:val="24"/>
        </w:rPr>
        <w:t>κ.</w:t>
      </w:r>
      <w:r w:rsidRPr="00680E68">
        <w:rPr>
          <w:rFonts w:cs="Calibri"/>
          <w:sz w:val="24"/>
          <w:szCs w:val="24"/>
        </w:rPr>
        <w:t xml:space="preserve"> Αδαμαντία Αρώνη, Μαργίτσα</w:t>
      </w:r>
      <w:r w:rsidR="00E42D0E">
        <w:rPr>
          <w:rFonts w:cs="Calibri"/>
          <w:sz w:val="24"/>
          <w:szCs w:val="24"/>
        </w:rPr>
        <w:t xml:space="preserve"> </w:t>
      </w:r>
      <w:r w:rsidR="00E42D0E" w:rsidRPr="00680E68">
        <w:rPr>
          <w:rFonts w:cs="Calibri"/>
          <w:sz w:val="24"/>
          <w:szCs w:val="24"/>
        </w:rPr>
        <w:t>Σκοπελίτου</w:t>
      </w:r>
      <w:r w:rsidRPr="00680E68">
        <w:rPr>
          <w:rFonts w:cs="Calibri"/>
          <w:sz w:val="24"/>
          <w:szCs w:val="24"/>
        </w:rPr>
        <w:t xml:space="preserve">, </w:t>
      </w:r>
      <w:r w:rsidR="001979E4" w:rsidRPr="00817853">
        <w:rPr>
          <w:rFonts w:cs="Calibri"/>
          <w:sz w:val="24"/>
          <w:szCs w:val="24"/>
        </w:rPr>
        <w:t xml:space="preserve">Νίκη Νικολοπούλου, </w:t>
      </w:r>
      <w:r w:rsidRPr="00817853">
        <w:rPr>
          <w:rFonts w:cs="Calibri"/>
          <w:sz w:val="24"/>
          <w:szCs w:val="24"/>
        </w:rPr>
        <w:t>Λάμπρο</w:t>
      </w:r>
      <w:r w:rsidR="00E42D0E" w:rsidRPr="00817853">
        <w:rPr>
          <w:rFonts w:cs="Calibri"/>
          <w:sz w:val="24"/>
          <w:szCs w:val="24"/>
        </w:rPr>
        <w:t xml:space="preserve"> Θεοδοσόπουλο</w:t>
      </w:r>
      <w:r w:rsidRPr="00817853">
        <w:rPr>
          <w:rFonts w:cs="Calibri"/>
          <w:sz w:val="24"/>
          <w:szCs w:val="24"/>
        </w:rPr>
        <w:t>, Ματθία Κοτζιά, Μαρία Ρ</w:t>
      </w:r>
      <w:r w:rsidR="001979E4" w:rsidRPr="00817853">
        <w:rPr>
          <w:rFonts w:cs="Calibri"/>
          <w:sz w:val="24"/>
          <w:szCs w:val="24"/>
        </w:rPr>
        <w:t>άλλη, Γιάννη Μω</w:t>
      </w:r>
      <w:r w:rsidR="007B4F24" w:rsidRPr="00817853">
        <w:rPr>
          <w:rFonts w:cs="Calibri"/>
          <w:sz w:val="24"/>
          <w:szCs w:val="24"/>
        </w:rPr>
        <w:t>ύσο</w:t>
      </w:r>
      <w:r w:rsidR="001979E4" w:rsidRPr="00817853">
        <w:rPr>
          <w:rFonts w:cs="Calibri"/>
          <w:sz w:val="24"/>
          <w:szCs w:val="24"/>
        </w:rPr>
        <w:t>γλου</w:t>
      </w:r>
      <w:r w:rsidR="001979E4">
        <w:rPr>
          <w:rFonts w:cs="Calibri"/>
          <w:sz w:val="24"/>
          <w:szCs w:val="24"/>
        </w:rPr>
        <w:t xml:space="preserve"> και </w:t>
      </w:r>
      <w:r w:rsidR="00E42D0E">
        <w:rPr>
          <w:rFonts w:cs="Calibri"/>
          <w:sz w:val="24"/>
          <w:szCs w:val="24"/>
        </w:rPr>
        <w:t>΄Ελε</w:t>
      </w:r>
      <w:r w:rsidR="001979E4">
        <w:rPr>
          <w:rFonts w:cs="Calibri"/>
          <w:sz w:val="24"/>
          <w:szCs w:val="24"/>
        </w:rPr>
        <w:t>να</w:t>
      </w:r>
      <w:r w:rsidRPr="00680E68">
        <w:rPr>
          <w:rFonts w:cs="Calibri"/>
          <w:sz w:val="24"/>
          <w:szCs w:val="24"/>
        </w:rPr>
        <w:t xml:space="preserve"> Μπακόλα.</w:t>
      </w:r>
      <w:r w:rsidR="001979E4">
        <w:rPr>
          <w:rFonts w:cs="Calibri"/>
          <w:sz w:val="24"/>
          <w:szCs w:val="24"/>
        </w:rPr>
        <w:t xml:space="preserve"> Επίσης, τη Δρ. Ψυχολογίας κα Παρασκευή </w:t>
      </w:r>
      <w:r w:rsidR="00E42D0E">
        <w:rPr>
          <w:rFonts w:cs="Calibri"/>
          <w:sz w:val="24"/>
          <w:szCs w:val="24"/>
        </w:rPr>
        <w:t xml:space="preserve">Θεοφίλου </w:t>
      </w:r>
      <w:r w:rsidR="001979E4">
        <w:rPr>
          <w:rFonts w:cs="Calibri"/>
          <w:sz w:val="24"/>
          <w:szCs w:val="24"/>
        </w:rPr>
        <w:t>για την πολύτιμη βοήθειά της.</w:t>
      </w:r>
    </w:p>
    <w:p w:rsidR="003F5283" w:rsidRDefault="0081288D" w:rsidP="003F5283">
      <w:pPr>
        <w:spacing w:line="360" w:lineRule="auto"/>
        <w:jc w:val="both"/>
        <w:rPr>
          <w:rFonts w:cs="Calibri"/>
          <w:sz w:val="24"/>
          <w:szCs w:val="24"/>
        </w:rPr>
      </w:pPr>
      <w:r w:rsidRPr="00680E68">
        <w:rPr>
          <w:rFonts w:cs="Calibri"/>
          <w:sz w:val="24"/>
          <w:szCs w:val="24"/>
        </w:rPr>
        <w:t>Επίσης, θερμές ευχαριστίες για την εγκάρδια υποδοχή τους και τη διευκόλυνση κατά τη διανομή και συμπλήρωση των ερωτηματο</w:t>
      </w:r>
      <w:r w:rsidR="007169BC">
        <w:rPr>
          <w:rFonts w:cs="Calibri"/>
          <w:sz w:val="24"/>
          <w:szCs w:val="24"/>
        </w:rPr>
        <w:t>λογίων στους Διευθυντές, Προϊστάμε</w:t>
      </w:r>
      <w:r w:rsidRPr="00680E68">
        <w:rPr>
          <w:rFonts w:cs="Calibri"/>
          <w:sz w:val="24"/>
          <w:szCs w:val="24"/>
        </w:rPr>
        <w:t xml:space="preserve">νους και στο προσωπικό των Μονάδων Τεχνητού Νεφρού, στις οποίες διεξήχθη η έρευνα. </w:t>
      </w:r>
    </w:p>
    <w:p w:rsidR="0081288D" w:rsidRPr="00680E68" w:rsidRDefault="003F5283" w:rsidP="00FA4B41">
      <w:pPr>
        <w:spacing w:line="360" w:lineRule="auto"/>
        <w:jc w:val="both"/>
        <w:rPr>
          <w:rFonts w:cs="Calibri"/>
          <w:sz w:val="24"/>
          <w:szCs w:val="24"/>
        </w:rPr>
      </w:pPr>
      <w:r>
        <w:rPr>
          <w:rFonts w:cs="Calibri"/>
          <w:sz w:val="24"/>
          <w:szCs w:val="24"/>
        </w:rPr>
        <w:t>Επίσης, ιδιαίτερες ευχαριστίες σ</w:t>
      </w:r>
      <w:r w:rsidRPr="003F5283">
        <w:rPr>
          <w:rFonts w:cs="Calibri"/>
          <w:sz w:val="24"/>
          <w:szCs w:val="24"/>
        </w:rPr>
        <w:t>την Προϊσταμένη της</w:t>
      </w:r>
      <w:r w:rsidRPr="00680E68">
        <w:rPr>
          <w:rFonts w:cs="Calibri"/>
          <w:sz w:val="24"/>
          <w:szCs w:val="24"/>
        </w:rPr>
        <w:t xml:space="preserve"> Μονάδας Χρόνιας Αιμοκάθαρσης </w:t>
      </w:r>
      <w:r w:rsidRPr="00680E68">
        <w:rPr>
          <w:rFonts w:cs="Calibri"/>
          <w:sz w:val="24"/>
          <w:szCs w:val="24"/>
          <w:lang w:val="en-US"/>
        </w:rPr>
        <w:t>MEDIFIL</w:t>
      </w:r>
      <w:r w:rsidRPr="00680E68">
        <w:rPr>
          <w:rFonts w:cs="Calibri"/>
          <w:sz w:val="24"/>
          <w:szCs w:val="24"/>
        </w:rPr>
        <w:t xml:space="preserve"> όπου διεξήχ</w:t>
      </w:r>
      <w:r>
        <w:rPr>
          <w:rFonts w:cs="Calibri"/>
          <w:sz w:val="24"/>
          <w:szCs w:val="24"/>
        </w:rPr>
        <w:t xml:space="preserve">θη μεγάλο μέρος της </w:t>
      </w:r>
      <w:r w:rsidRPr="00680E68">
        <w:rPr>
          <w:rFonts w:cs="Calibri"/>
          <w:sz w:val="24"/>
          <w:szCs w:val="24"/>
        </w:rPr>
        <w:t xml:space="preserve"> μελέτη</w:t>
      </w:r>
      <w:r>
        <w:rPr>
          <w:rFonts w:cs="Calibri"/>
          <w:sz w:val="24"/>
          <w:szCs w:val="24"/>
        </w:rPr>
        <w:t>ς, κα</w:t>
      </w:r>
      <w:r w:rsidRPr="003F5283">
        <w:rPr>
          <w:rFonts w:cs="Calibri"/>
          <w:sz w:val="24"/>
          <w:szCs w:val="24"/>
        </w:rPr>
        <w:t xml:space="preserve"> Χρυσάνθη Λιτού</w:t>
      </w:r>
      <w:r w:rsidRPr="00680E68">
        <w:rPr>
          <w:rFonts w:cs="Calibri"/>
          <w:sz w:val="24"/>
          <w:szCs w:val="24"/>
        </w:rPr>
        <w:t>.</w:t>
      </w:r>
      <w:r>
        <w:rPr>
          <w:rFonts w:cs="Calibri"/>
          <w:sz w:val="24"/>
          <w:szCs w:val="24"/>
        </w:rPr>
        <w:t xml:space="preserve"> </w:t>
      </w:r>
      <w:r w:rsidR="00680E68" w:rsidRPr="00680E68">
        <w:rPr>
          <w:rFonts w:cs="Calibri"/>
          <w:sz w:val="24"/>
          <w:szCs w:val="24"/>
        </w:rPr>
        <w:t xml:space="preserve">Ιδιαίτερες ευχαριστίες στον Διευθυντή </w:t>
      </w:r>
      <w:r>
        <w:rPr>
          <w:rFonts w:cs="Calibri"/>
          <w:sz w:val="24"/>
          <w:szCs w:val="24"/>
        </w:rPr>
        <w:t xml:space="preserve">της συγκεκριμένης Μονάδας </w:t>
      </w:r>
      <w:r w:rsidR="00680E68" w:rsidRPr="00680E68">
        <w:rPr>
          <w:rFonts w:cs="Calibri"/>
          <w:sz w:val="24"/>
          <w:szCs w:val="24"/>
        </w:rPr>
        <w:t>κ. Γιώργο Τριανταφύλλη</w:t>
      </w:r>
      <w:r>
        <w:rPr>
          <w:rFonts w:cs="Calibri"/>
          <w:sz w:val="24"/>
          <w:szCs w:val="24"/>
        </w:rPr>
        <w:t xml:space="preserve"> με τον οποίο έχω συνεργασθεί κατά τη διάρκεια της θητείας του ως ειδικευόμενος Νεφρολογίας στη Νεφρολογική Κλινική του Γ.Ν.Α. Γ.Γεννηματάς. </w:t>
      </w:r>
    </w:p>
    <w:p w:rsidR="0081288D" w:rsidRPr="00680E68" w:rsidRDefault="00680E68" w:rsidP="00680E68">
      <w:pPr>
        <w:spacing w:line="360" w:lineRule="auto"/>
        <w:jc w:val="both"/>
        <w:rPr>
          <w:rFonts w:asciiTheme="minorHAnsi" w:hAnsiTheme="minorHAnsi" w:cstheme="minorHAnsi"/>
          <w:sz w:val="24"/>
          <w:szCs w:val="24"/>
        </w:rPr>
      </w:pPr>
      <w:r>
        <w:rPr>
          <w:rFonts w:asciiTheme="minorHAnsi" w:hAnsiTheme="minorHAnsi" w:cstheme="minorHAnsi"/>
          <w:sz w:val="24"/>
          <w:szCs w:val="24"/>
        </w:rPr>
        <w:t xml:space="preserve">Επίσης, </w:t>
      </w:r>
      <w:r w:rsidR="0081288D" w:rsidRPr="00680E68">
        <w:rPr>
          <w:rFonts w:asciiTheme="minorHAnsi" w:hAnsiTheme="minorHAnsi" w:cstheme="minorHAnsi"/>
          <w:sz w:val="24"/>
          <w:szCs w:val="24"/>
        </w:rPr>
        <w:t>θα ήθελα να ευχαριστήσω όλους τους ασθενείς</w:t>
      </w:r>
      <w:r>
        <w:rPr>
          <w:rFonts w:asciiTheme="minorHAnsi" w:hAnsiTheme="minorHAnsi" w:cstheme="minorHAnsi"/>
          <w:sz w:val="24"/>
          <w:szCs w:val="24"/>
        </w:rPr>
        <w:t xml:space="preserve"> που, παρά την υποβολή τους στην επίπονη διαδικασία της αιμοκάθαρσης, δέχθηκαν να συμμετάσχουν.</w:t>
      </w:r>
    </w:p>
    <w:p w:rsidR="0081288D" w:rsidRPr="00C45C20" w:rsidRDefault="0081288D" w:rsidP="009634F3">
      <w:pPr>
        <w:spacing w:line="360" w:lineRule="auto"/>
        <w:jc w:val="both"/>
        <w:rPr>
          <w:rFonts w:asciiTheme="minorHAnsi" w:hAnsiTheme="minorHAnsi" w:cstheme="minorHAnsi"/>
          <w:sz w:val="24"/>
          <w:szCs w:val="24"/>
        </w:rPr>
      </w:pPr>
      <w:r w:rsidRPr="00C45C20">
        <w:rPr>
          <w:rFonts w:asciiTheme="minorHAnsi" w:hAnsiTheme="minorHAnsi" w:cstheme="minorHAnsi"/>
          <w:sz w:val="24"/>
          <w:szCs w:val="24"/>
        </w:rPr>
        <w:t>Τέλος,</w:t>
      </w:r>
      <w:r w:rsidR="009634F3" w:rsidRPr="00C45C20">
        <w:rPr>
          <w:rFonts w:asciiTheme="minorHAnsi" w:hAnsiTheme="minorHAnsi" w:cstheme="minorHAnsi"/>
          <w:sz w:val="24"/>
          <w:szCs w:val="24"/>
        </w:rPr>
        <w:t xml:space="preserve"> </w:t>
      </w:r>
      <w:r w:rsidRPr="00C45C20">
        <w:rPr>
          <w:rFonts w:asciiTheme="minorHAnsi" w:hAnsiTheme="minorHAnsi" w:cstheme="minorHAnsi"/>
          <w:sz w:val="24"/>
          <w:szCs w:val="24"/>
        </w:rPr>
        <w:t>αισθάνομαι την ανάγκη να</w:t>
      </w:r>
      <w:r w:rsidR="009634F3" w:rsidRPr="00C45C20">
        <w:rPr>
          <w:rFonts w:asciiTheme="minorHAnsi" w:hAnsiTheme="minorHAnsi" w:cstheme="minorHAnsi"/>
          <w:sz w:val="24"/>
          <w:szCs w:val="24"/>
        </w:rPr>
        <w:t xml:space="preserve"> ευχαριστήσω τον σύζυγό μου Θοδωρή για την υπομονή του και τον γιο μου Δημήτρη</w:t>
      </w:r>
      <w:r w:rsidR="001979E4">
        <w:rPr>
          <w:rFonts w:asciiTheme="minorHAnsi" w:hAnsiTheme="minorHAnsi" w:cstheme="minorHAnsi"/>
          <w:sz w:val="24"/>
          <w:szCs w:val="24"/>
        </w:rPr>
        <w:t xml:space="preserve"> για τις βόλτες</w:t>
      </w:r>
      <w:r w:rsidR="00C45C20">
        <w:rPr>
          <w:rFonts w:asciiTheme="minorHAnsi" w:hAnsiTheme="minorHAnsi" w:cstheme="minorHAnsi"/>
          <w:sz w:val="24"/>
          <w:szCs w:val="24"/>
        </w:rPr>
        <w:t xml:space="preserve"> που του στέρησα.</w:t>
      </w:r>
    </w:p>
    <w:p w:rsidR="0081288D" w:rsidRPr="00FB0D48" w:rsidRDefault="0081288D" w:rsidP="0081288D"/>
    <w:p w:rsidR="009949C3" w:rsidRPr="00300E53" w:rsidRDefault="009949C3" w:rsidP="009949C3"/>
    <w:p w:rsidR="009949C3" w:rsidRPr="00300E53" w:rsidRDefault="009949C3" w:rsidP="009949C3"/>
    <w:p w:rsidR="009949C3" w:rsidRPr="00300E53" w:rsidRDefault="009949C3" w:rsidP="009949C3"/>
    <w:p w:rsidR="009949C3" w:rsidRPr="00300E53" w:rsidRDefault="009949C3" w:rsidP="009949C3"/>
    <w:p w:rsidR="009949C3" w:rsidRPr="00300E53" w:rsidRDefault="009949C3" w:rsidP="009949C3"/>
    <w:p w:rsidR="009949C3" w:rsidRPr="00300E53" w:rsidRDefault="009949C3" w:rsidP="009949C3"/>
    <w:p w:rsidR="009949C3" w:rsidRPr="00300E53" w:rsidRDefault="009949C3" w:rsidP="009949C3"/>
    <w:p w:rsidR="009949C3" w:rsidRPr="00300E53" w:rsidRDefault="009949C3" w:rsidP="009949C3"/>
    <w:p w:rsidR="009949C3" w:rsidRPr="00300E53" w:rsidRDefault="009949C3" w:rsidP="009949C3"/>
    <w:p w:rsidR="009949C3" w:rsidRPr="00300E53" w:rsidRDefault="009949C3" w:rsidP="009949C3">
      <w:pPr>
        <w:pStyle w:val="1a"/>
        <w:spacing w:before="0" w:line="240" w:lineRule="auto"/>
        <w:rPr>
          <w:rFonts w:asciiTheme="minorHAnsi" w:hAnsiTheme="minorHAnsi"/>
        </w:rPr>
      </w:pPr>
      <w:bookmarkStart w:id="1" w:name="_Toc495951413"/>
    </w:p>
    <w:p w:rsidR="009949C3" w:rsidRPr="00300E53" w:rsidRDefault="009949C3" w:rsidP="009949C3">
      <w:pPr>
        <w:pStyle w:val="1a"/>
        <w:spacing w:before="0" w:line="240" w:lineRule="auto"/>
        <w:rPr>
          <w:rFonts w:asciiTheme="minorHAnsi" w:hAnsiTheme="minorHAnsi"/>
        </w:rPr>
      </w:pPr>
    </w:p>
    <w:p w:rsidR="00E42D0E" w:rsidRDefault="00727D5D" w:rsidP="009949C3">
      <w:pPr>
        <w:pStyle w:val="1a"/>
        <w:spacing w:before="0" w:line="240" w:lineRule="auto"/>
        <w:rPr>
          <w:rFonts w:asciiTheme="minorHAnsi" w:hAnsiTheme="minorHAnsi"/>
        </w:rPr>
      </w:pPr>
      <w:r w:rsidRPr="005A464E">
        <w:rPr>
          <w:rFonts w:asciiTheme="minorHAnsi" w:hAnsiTheme="minorHAnsi"/>
        </w:rPr>
        <w:t>ΣΥΝΤΟΜΟΓΡΑΦΙΕΣ</w:t>
      </w:r>
      <w:bookmarkEnd w:id="1"/>
    </w:p>
    <w:p w:rsidR="00E42D0E" w:rsidRPr="00E42D0E" w:rsidRDefault="00E42D0E" w:rsidP="00E42D0E"/>
    <w:p w:rsidR="00BC1B24" w:rsidRPr="00FB0D48" w:rsidRDefault="00BC1B24" w:rsidP="00E42D0E">
      <w:pPr>
        <w:jc w:val="both"/>
        <w:rPr>
          <w:sz w:val="24"/>
          <w:szCs w:val="24"/>
        </w:rPr>
      </w:pPr>
      <w:r w:rsidRPr="00CD5D91">
        <w:rPr>
          <w:b/>
          <w:sz w:val="24"/>
          <w:szCs w:val="24"/>
          <w:lang w:val="en-US"/>
        </w:rPr>
        <w:t>MTN</w:t>
      </w:r>
      <w:r w:rsidRPr="00CD5D91">
        <w:rPr>
          <w:sz w:val="24"/>
          <w:szCs w:val="24"/>
        </w:rPr>
        <w:t xml:space="preserve">: </w:t>
      </w:r>
      <w:r w:rsidRPr="005A464E">
        <w:rPr>
          <w:sz w:val="24"/>
          <w:szCs w:val="24"/>
        </w:rPr>
        <w:t>Μονάδα Τεχνητού Νεφρού</w:t>
      </w:r>
      <w:r w:rsidR="0004513C" w:rsidRPr="00FB0D48">
        <w:rPr>
          <w:sz w:val="24"/>
          <w:szCs w:val="24"/>
        </w:rPr>
        <w:t>.</w:t>
      </w:r>
    </w:p>
    <w:p w:rsidR="00727D5D" w:rsidRPr="00FB0D48" w:rsidRDefault="00727D5D" w:rsidP="00E42D0E">
      <w:pPr>
        <w:jc w:val="both"/>
        <w:rPr>
          <w:sz w:val="24"/>
          <w:szCs w:val="24"/>
        </w:rPr>
      </w:pPr>
      <w:r w:rsidRPr="00CD5D91">
        <w:rPr>
          <w:b/>
          <w:sz w:val="24"/>
          <w:szCs w:val="24"/>
        </w:rPr>
        <w:t>ΠΖ</w:t>
      </w:r>
      <w:r w:rsidRPr="00CD5D91">
        <w:rPr>
          <w:sz w:val="24"/>
          <w:szCs w:val="24"/>
        </w:rPr>
        <w:t xml:space="preserve">: </w:t>
      </w:r>
      <w:r w:rsidRPr="005A464E">
        <w:rPr>
          <w:sz w:val="24"/>
          <w:szCs w:val="24"/>
        </w:rPr>
        <w:t>Ποιότητα ζωής</w:t>
      </w:r>
      <w:r w:rsidR="0004513C" w:rsidRPr="00FB0D48">
        <w:rPr>
          <w:sz w:val="24"/>
          <w:szCs w:val="24"/>
        </w:rPr>
        <w:t>.</w:t>
      </w:r>
    </w:p>
    <w:p w:rsidR="00FC1253" w:rsidRPr="00FB0D48" w:rsidRDefault="00FC1253" w:rsidP="00E42D0E">
      <w:pPr>
        <w:jc w:val="both"/>
        <w:rPr>
          <w:sz w:val="24"/>
          <w:szCs w:val="24"/>
        </w:rPr>
      </w:pPr>
      <w:r w:rsidRPr="00CD5D91">
        <w:rPr>
          <w:b/>
          <w:sz w:val="24"/>
          <w:szCs w:val="24"/>
        </w:rPr>
        <w:t>ΠΚ</w:t>
      </w:r>
      <w:r>
        <w:rPr>
          <w:sz w:val="24"/>
          <w:szCs w:val="24"/>
        </w:rPr>
        <w:t>: Περιτοναϊκή Κάθαρση</w:t>
      </w:r>
      <w:r w:rsidR="0004513C" w:rsidRPr="00FB0D48">
        <w:rPr>
          <w:sz w:val="24"/>
          <w:szCs w:val="24"/>
        </w:rPr>
        <w:t>.</w:t>
      </w:r>
    </w:p>
    <w:p w:rsidR="00727D5D" w:rsidRPr="0004513C" w:rsidRDefault="00FC1253" w:rsidP="00E42D0E">
      <w:pPr>
        <w:jc w:val="both"/>
        <w:rPr>
          <w:sz w:val="24"/>
          <w:szCs w:val="24"/>
        </w:rPr>
      </w:pPr>
      <w:r w:rsidRPr="00CD5D91">
        <w:rPr>
          <w:b/>
          <w:sz w:val="24"/>
          <w:szCs w:val="24"/>
        </w:rPr>
        <w:t>ΣΥΠΖ</w:t>
      </w:r>
      <w:r>
        <w:rPr>
          <w:sz w:val="24"/>
          <w:szCs w:val="24"/>
        </w:rPr>
        <w:t>: Σχετιζόμενη με την Υγεία Ποιότητα Ζ</w:t>
      </w:r>
      <w:r w:rsidR="00727D5D" w:rsidRPr="005A464E">
        <w:rPr>
          <w:sz w:val="24"/>
          <w:szCs w:val="24"/>
        </w:rPr>
        <w:t>ωής</w:t>
      </w:r>
      <w:r w:rsidR="0004513C" w:rsidRPr="0004513C">
        <w:rPr>
          <w:sz w:val="24"/>
          <w:szCs w:val="24"/>
        </w:rPr>
        <w:t>.</w:t>
      </w:r>
    </w:p>
    <w:p w:rsidR="00AC6836" w:rsidRPr="0004513C" w:rsidRDefault="00AC6836" w:rsidP="00E42D0E">
      <w:pPr>
        <w:jc w:val="both"/>
        <w:rPr>
          <w:sz w:val="24"/>
          <w:szCs w:val="24"/>
        </w:rPr>
      </w:pPr>
      <w:r w:rsidRPr="00CD5D91">
        <w:rPr>
          <w:b/>
          <w:sz w:val="24"/>
          <w:szCs w:val="24"/>
        </w:rPr>
        <w:t>ΤΣΧΝΝ</w:t>
      </w:r>
      <w:r w:rsidRPr="005A464E">
        <w:rPr>
          <w:sz w:val="24"/>
          <w:szCs w:val="24"/>
        </w:rPr>
        <w:t>: Τελικό Στάδιο Χρόνιας Νεφρικής Νόσου</w:t>
      </w:r>
      <w:r w:rsidR="0004513C" w:rsidRPr="0004513C">
        <w:rPr>
          <w:sz w:val="24"/>
          <w:szCs w:val="24"/>
        </w:rPr>
        <w:t>.</w:t>
      </w:r>
    </w:p>
    <w:p w:rsidR="00FC1253" w:rsidRPr="00FB0D48" w:rsidRDefault="00A847E5" w:rsidP="00E42D0E">
      <w:pPr>
        <w:jc w:val="both"/>
        <w:rPr>
          <w:sz w:val="24"/>
          <w:szCs w:val="24"/>
        </w:rPr>
      </w:pPr>
      <w:r w:rsidRPr="00CD5D91">
        <w:rPr>
          <w:b/>
          <w:sz w:val="24"/>
          <w:szCs w:val="24"/>
        </w:rPr>
        <w:t>ΧΝΝ</w:t>
      </w:r>
      <w:r w:rsidR="00FC1253" w:rsidRPr="00A004D2">
        <w:rPr>
          <w:sz w:val="24"/>
          <w:szCs w:val="24"/>
        </w:rPr>
        <w:t>:</w:t>
      </w:r>
      <w:r w:rsidRPr="00A004D2">
        <w:rPr>
          <w:sz w:val="24"/>
          <w:szCs w:val="24"/>
        </w:rPr>
        <w:t xml:space="preserve"> </w:t>
      </w:r>
      <w:r w:rsidRPr="005A464E">
        <w:rPr>
          <w:sz w:val="24"/>
          <w:szCs w:val="24"/>
        </w:rPr>
        <w:t>Χρόνια</w:t>
      </w:r>
      <w:r w:rsidRPr="00A004D2">
        <w:rPr>
          <w:sz w:val="24"/>
          <w:szCs w:val="24"/>
        </w:rPr>
        <w:t xml:space="preserve"> </w:t>
      </w:r>
      <w:r w:rsidRPr="005A464E">
        <w:rPr>
          <w:sz w:val="24"/>
          <w:szCs w:val="24"/>
        </w:rPr>
        <w:t>Νεφρική</w:t>
      </w:r>
      <w:r w:rsidRPr="00A004D2">
        <w:rPr>
          <w:sz w:val="24"/>
          <w:szCs w:val="24"/>
        </w:rPr>
        <w:t xml:space="preserve"> </w:t>
      </w:r>
      <w:r w:rsidRPr="005A464E">
        <w:rPr>
          <w:sz w:val="24"/>
          <w:szCs w:val="24"/>
        </w:rPr>
        <w:t>Νόσος</w:t>
      </w:r>
      <w:r w:rsidR="0004513C" w:rsidRPr="00FB0D48">
        <w:rPr>
          <w:sz w:val="24"/>
          <w:szCs w:val="24"/>
        </w:rPr>
        <w:t>.</w:t>
      </w:r>
    </w:p>
    <w:p w:rsidR="00E641AF" w:rsidRPr="0004513C" w:rsidRDefault="00566CAA" w:rsidP="00E42D0E">
      <w:pPr>
        <w:jc w:val="both"/>
        <w:rPr>
          <w:rFonts w:cstheme="minorHAnsi"/>
          <w:sz w:val="24"/>
          <w:szCs w:val="24"/>
        </w:rPr>
      </w:pPr>
      <w:r w:rsidRPr="00CD5D91">
        <w:rPr>
          <w:rFonts w:cstheme="minorHAnsi"/>
          <w:b/>
          <w:sz w:val="24"/>
          <w:szCs w:val="24"/>
          <w:lang w:val="en-US"/>
        </w:rPr>
        <w:t>GFR</w:t>
      </w:r>
      <w:r w:rsidRPr="00A004D2">
        <w:rPr>
          <w:rFonts w:cstheme="minorHAnsi"/>
          <w:sz w:val="24"/>
          <w:szCs w:val="24"/>
        </w:rPr>
        <w:t xml:space="preserve">: </w:t>
      </w:r>
      <w:r w:rsidRPr="001D25F8">
        <w:rPr>
          <w:rFonts w:cstheme="minorHAnsi"/>
          <w:sz w:val="24"/>
          <w:szCs w:val="24"/>
          <w:lang w:val="en-US"/>
        </w:rPr>
        <w:t>Glomerular</w:t>
      </w:r>
      <w:r w:rsidRPr="00A004D2">
        <w:rPr>
          <w:rFonts w:cstheme="minorHAnsi"/>
          <w:sz w:val="24"/>
          <w:szCs w:val="24"/>
        </w:rPr>
        <w:t xml:space="preserve"> </w:t>
      </w:r>
      <w:r w:rsidRPr="001D25F8">
        <w:rPr>
          <w:rFonts w:cstheme="minorHAnsi"/>
          <w:sz w:val="24"/>
          <w:szCs w:val="24"/>
          <w:lang w:val="en-US"/>
        </w:rPr>
        <w:t>Filtration</w:t>
      </w:r>
      <w:r w:rsidRPr="00A004D2">
        <w:rPr>
          <w:rFonts w:cstheme="minorHAnsi"/>
          <w:sz w:val="24"/>
          <w:szCs w:val="24"/>
        </w:rPr>
        <w:t xml:space="preserve"> </w:t>
      </w:r>
      <w:r w:rsidRPr="001D25F8">
        <w:rPr>
          <w:rFonts w:cstheme="minorHAnsi"/>
          <w:sz w:val="24"/>
          <w:szCs w:val="24"/>
          <w:lang w:val="en-US"/>
        </w:rPr>
        <w:t>Rate</w:t>
      </w:r>
      <w:r w:rsidR="00642C67" w:rsidRPr="00A004D2">
        <w:rPr>
          <w:rFonts w:cstheme="minorHAnsi"/>
          <w:sz w:val="24"/>
          <w:szCs w:val="24"/>
        </w:rPr>
        <w:t xml:space="preserve">, </w:t>
      </w:r>
      <w:r w:rsidR="00642C67">
        <w:rPr>
          <w:rFonts w:cstheme="minorHAnsi"/>
          <w:sz w:val="24"/>
          <w:szCs w:val="24"/>
        </w:rPr>
        <w:t>Ρυθμός</w:t>
      </w:r>
      <w:r w:rsidR="00642C67" w:rsidRPr="00A004D2">
        <w:rPr>
          <w:rFonts w:cstheme="minorHAnsi"/>
          <w:sz w:val="24"/>
          <w:szCs w:val="24"/>
        </w:rPr>
        <w:t xml:space="preserve"> </w:t>
      </w:r>
      <w:r w:rsidR="00642C67">
        <w:rPr>
          <w:rFonts w:cstheme="minorHAnsi"/>
          <w:sz w:val="24"/>
          <w:szCs w:val="24"/>
        </w:rPr>
        <w:t>Σπειραματικής</w:t>
      </w:r>
      <w:r w:rsidR="00642C67" w:rsidRPr="00A004D2">
        <w:rPr>
          <w:rFonts w:cstheme="minorHAnsi"/>
          <w:sz w:val="24"/>
          <w:szCs w:val="24"/>
        </w:rPr>
        <w:t xml:space="preserve"> </w:t>
      </w:r>
      <w:r w:rsidR="00642C67">
        <w:rPr>
          <w:rFonts w:cstheme="minorHAnsi"/>
          <w:sz w:val="24"/>
          <w:szCs w:val="24"/>
        </w:rPr>
        <w:t>Διήθησης</w:t>
      </w:r>
      <w:r w:rsidR="0004513C" w:rsidRPr="0004513C">
        <w:rPr>
          <w:rFonts w:cstheme="minorHAnsi"/>
          <w:sz w:val="24"/>
          <w:szCs w:val="24"/>
        </w:rPr>
        <w:t>.</w:t>
      </w:r>
    </w:p>
    <w:p w:rsidR="00432C0D" w:rsidRPr="0004513C" w:rsidRDefault="00432C0D" w:rsidP="00E42D0E">
      <w:pPr>
        <w:jc w:val="both"/>
        <w:rPr>
          <w:rFonts w:cstheme="minorHAnsi"/>
          <w:sz w:val="24"/>
          <w:szCs w:val="24"/>
        </w:rPr>
      </w:pPr>
      <w:r w:rsidRPr="00CD5D91">
        <w:rPr>
          <w:rFonts w:cstheme="minorHAnsi"/>
          <w:b/>
          <w:sz w:val="24"/>
          <w:szCs w:val="24"/>
          <w:lang w:val="en-US"/>
        </w:rPr>
        <w:t>GR</w:t>
      </w:r>
      <w:r w:rsidRPr="00CD5D91">
        <w:rPr>
          <w:rFonts w:cstheme="minorHAnsi"/>
          <w:b/>
          <w:sz w:val="24"/>
          <w:szCs w:val="24"/>
        </w:rPr>
        <w:t>-</w:t>
      </w:r>
      <w:r w:rsidRPr="00CD5D91">
        <w:rPr>
          <w:rFonts w:cstheme="minorHAnsi"/>
          <w:b/>
          <w:sz w:val="24"/>
          <w:szCs w:val="24"/>
          <w:lang w:val="en-US"/>
        </w:rPr>
        <w:t>SMAQ</w:t>
      </w:r>
      <w:r w:rsidRPr="00CD5D91">
        <w:rPr>
          <w:rFonts w:cstheme="minorHAnsi"/>
          <w:b/>
          <w:sz w:val="24"/>
          <w:szCs w:val="24"/>
        </w:rPr>
        <w:t>-</w:t>
      </w:r>
      <w:r w:rsidRPr="00CD5D91">
        <w:rPr>
          <w:rFonts w:cstheme="minorHAnsi"/>
          <w:b/>
          <w:sz w:val="24"/>
          <w:szCs w:val="24"/>
          <w:lang w:val="en-US"/>
        </w:rPr>
        <w:t>HD</w:t>
      </w:r>
      <w:r w:rsidRPr="00A004D2">
        <w:rPr>
          <w:rFonts w:cstheme="minorHAnsi"/>
          <w:sz w:val="24"/>
          <w:szCs w:val="24"/>
        </w:rPr>
        <w:t xml:space="preserve">: </w:t>
      </w:r>
      <w:r>
        <w:rPr>
          <w:rFonts w:cstheme="minorHAnsi"/>
          <w:sz w:val="24"/>
          <w:szCs w:val="24"/>
          <w:lang w:val="en-US"/>
        </w:rPr>
        <w:t>Greek</w:t>
      </w:r>
      <w:r w:rsidRPr="00A004D2">
        <w:rPr>
          <w:rFonts w:cstheme="minorHAnsi"/>
          <w:sz w:val="24"/>
          <w:szCs w:val="24"/>
        </w:rPr>
        <w:t xml:space="preserve"> </w:t>
      </w:r>
      <w:r>
        <w:rPr>
          <w:rFonts w:cstheme="minorHAnsi"/>
          <w:sz w:val="24"/>
          <w:szCs w:val="24"/>
          <w:lang w:val="en-US"/>
        </w:rPr>
        <w:t>Simplified</w:t>
      </w:r>
      <w:r w:rsidRPr="00A004D2">
        <w:rPr>
          <w:rFonts w:cstheme="minorHAnsi"/>
          <w:sz w:val="24"/>
          <w:szCs w:val="24"/>
        </w:rPr>
        <w:t xml:space="preserve"> </w:t>
      </w:r>
      <w:r>
        <w:rPr>
          <w:rFonts w:cstheme="minorHAnsi"/>
          <w:sz w:val="24"/>
          <w:szCs w:val="24"/>
          <w:lang w:val="en-US"/>
        </w:rPr>
        <w:t>Medication</w:t>
      </w:r>
      <w:r w:rsidRPr="00A004D2">
        <w:rPr>
          <w:rFonts w:cstheme="minorHAnsi"/>
          <w:sz w:val="24"/>
          <w:szCs w:val="24"/>
        </w:rPr>
        <w:t xml:space="preserve"> </w:t>
      </w:r>
      <w:r>
        <w:rPr>
          <w:rFonts w:cstheme="minorHAnsi"/>
          <w:sz w:val="24"/>
          <w:szCs w:val="24"/>
          <w:lang w:val="en-US"/>
        </w:rPr>
        <w:t>Adherence</w:t>
      </w:r>
      <w:r w:rsidRPr="00A004D2">
        <w:rPr>
          <w:rFonts w:cstheme="minorHAnsi"/>
          <w:sz w:val="24"/>
          <w:szCs w:val="24"/>
        </w:rPr>
        <w:t xml:space="preserve"> </w:t>
      </w:r>
      <w:r>
        <w:rPr>
          <w:rFonts w:cstheme="minorHAnsi"/>
          <w:sz w:val="24"/>
          <w:szCs w:val="24"/>
          <w:lang w:val="en-US"/>
        </w:rPr>
        <w:t>Questionnaire</w:t>
      </w:r>
      <w:r w:rsidRPr="00A004D2">
        <w:rPr>
          <w:rFonts w:cstheme="minorHAnsi"/>
          <w:sz w:val="24"/>
          <w:szCs w:val="24"/>
        </w:rPr>
        <w:t xml:space="preserve"> </w:t>
      </w:r>
      <w:r>
        <w:rPr>
          <w:rFonts w:cstheme="minorHAnsi"/>
          <w:sz w:val="24"/>
          <w:szCs w:val="24"/>
          <w:lang w:val="en-US"/>
        </w:rPr>
        <w:t>for</w:t>
      </w:r>
      <w:r w:rsidRPr="00A004D2">
        <w:rPr>
          <w:rFonts w:cstheme="minorHAnsi"/>
          <w:sz w:val="24"/>
          <w:szCs w:val="24"/>
        </w:rPr>
        <w:t xml:space="preserve"> </w:t>
      </w:r>
      <w:r>
        <w:rPr>
          <w:rFonts w:cstheme="minorHAnsi"/>
          <w:sz w:val="24"/>
          <w:szCs w:val="24"/>
          <w:lang w:val="en-US"/>
        </w:rPr>
        <w:t>Hemodialysis</w:t>
      </w:r>
      <w:r w:rsidR="00A004D2" w:rsidRPr="00A004D2">
        <w:rPr>
          <w:rFonts w:cstheme="minorHAnsi"/>
          <w:sz w:val="24"/>
          <w:szCs w:val="24"/>
        </w:rPr>
        <w:t xml:space="preserve">, </w:t>
      </w:r>
      <w:r w:rsidR="00A004D2">
        <w:rPr>
          <w:rFonts w:cstheme="minorHAnsi"/>
          <w:sz w:val="24"/>
          <w:szCs w:val="24"/>
        </w:rPr>
        <w:t>Ελληνικό Απλοποιημένο</w:t>
      </w:r>
      <w:r w:rsidR="00A004D2" w:rsidRPr="00A004D2">
        <w:rPr>
          <w:rFonts w:cstheme="minorHAnsi"/>
          <w:sz w:val="24"/>
          <w:szCs w:val="24"/>
        </w:rPr>
        <w:t xml:space="preserve"> </w:t>
      </w:r>
      <w:r w:rsidR="00A004D2">
        <w:rPr>
          <w:rFonts w:cstheme="minorHAnsi"/>
          <w:sz w:val="24"/>
          <w:szCs w:val="24"/>
        </w:rPr>
        <w:t>Ερωτηματολόγιο</w:t>
      </w:r>
      <w:r w:rsidR="00A004D2" w:rsidRPr="00A004D2">
        <w:rPr>
          <w:rFonts w:cstheme="minorHAnsi"/>
          <w:sz w:val="24"/>
          <w:szCs w:val="24"/>
        </w:rPr>
        <w:t xml:space="preserve"> </w:t>
      </w:r>
      <w:r w:rsidR="00A004D2">
        <w:rPr>
          <w:rFonts w:cstheme="minorHAnsi"/>
          <w:sz w:val="24"/>
          <w:szCs w:val="24"/>
        </w:rPr>
        <w:t>Συμμόρφωσης</w:t>
      </w:r>
      <w:r w:rsidR="00A004D2" w:rsidRPr="00A004D2">
        <w:rPr>
          <w:rFonts w:cstheme="minorHAnsi"/>
          <w:sz w:val="24"/>
          <w:szCs w:val="24"/>
        </w:rPr>
        <w:t xml:space="preserve"> </w:t>
      </w:r>
      <w:r w:rsidR="00A004D2">
        <w:rPr>
          <w:rFonts w:cstheme="minorHAnsi"/>
          <w:sz w:val="24"/>
          <w:szCs w:val="24"/>
        </w:rPr>
        <w:t>στη</w:t>
      </w:r>
      <w:r w:rsidR="00A004D2" w:rsidRPr="00A004D2">
        <w:rPr>
          <w:rFonts w:cstheme="minorHAnsi"/>
          <w:sz w:val="24"/>
          <w:szCs w:val="24"/>
        </w:rPr>
        <w:t xml:space="preserve"> </w:t>
      </w:r>
      <w:r w:rsidR="00A004D2">
        <w:rPr>
          <w:rFonts w:cstheme="minorHAnsi"/>
          <w:sz w:val="24"/>
          <w:szCs w:val="24"/>
        </w:rPr>
        <w:t>Φαρμακευτική</w:t>
      </w:r>
      <w:r w:rsidR="00A004D2" w:rsidRPr="00A004D2">
        <w:rPr>
          <w:rFonts w:cstheme="minorHAnsi"/>
          <w:sz w:val="24"/>
          <w:szCs w:val="24"/>
        </w:rPr>
        <w:t xml:space="preserve"> </w:t>
      </w:r>
      <w:r w:rsidR="00A004D2">
        <w:rPr>
          <w:rFonts w:cstheme="minorHAnsi"/>
          <w:sz w:val="24"/>
          <w:szCs w:val="24"/>
        </w:rPr>
        <w:t>Αγωγή</w:t>
      </w:r>
      <w:r w:rsidR="001979E4">
        <w:rPr>
          <w:rFonts w:cstheme="minorHAnsi"/>
          <w:sz w:val="24"/>
          <w:szCs w:val="24"/>
        </w:rPr>
        <w:t xml:space="preserve"> </w:t>
      </w:r>
      <w:r w:rsidR="00A004D2">
        <w:rPr>
          <w:rFonts w:cstheme="minorHAnsi"/>
          <w:sz w:val="24"/>
          <w:szCs w:val="24"/>
        </w:rPr>
        <w:t>- Αιμοκάθαρση</w:t>
      </w:r>
      <w:r w:rsidR="0004513C" w:rsidRPr="0004513C">
        <w:rPr>
          <w:rFonts w:cstheme="minorHAnsi"/>
          <w:sz w:val="24"/>
          <w:szCs w:val="24"/>
        </w:rPr>
        <w:t>.</w:t>
      </w:r>
    </w:p>
    <w:p w:rsidR="00771520" w:rsidRPr="0004513C" w:rsidRDefault="00771520" w:rsidP="00E42D0E">
      <w:pPr>
        <w:jc w:val="both"/>
        <w:rPr>
          <w:rFonts w:cstheme="minorHAnsi"/>
          <w:sz w:val="24"/>
          <w:szCs w:val="24"/>
        </w:rPr>
      </w:pPr>
      <w:r w:rsidRPr="00CD5D91">
        <w:rPr>
          <w:rFonts w:cstheme="minorHAnsi"/>
          <w:b/>
          <w:sz w:val="24"/>
          <w:szCs w:val="24"/>
          <w:lang w:val="en-US"/>
        </w:rPr>
        <w:t>KDQ</w:t>
      </w:r>
      <w:r w:rsidRPr="00FA0C2D">
        <w:rPr>
          <w:rFonts w:cstheme="minorHAnsi"/>
          <w:sz w:val="24"/>
          <w:szCs w:val="24"/>
        </w:rPr>
        <w:t xml:space="preserve">: </w:t>
      </w:r>
      <w:r>
        <w:rPr>
          <w:rFonts w:cstheme="minorHAnsi"/>
          <w:sz w:val="24"/>
          <w:szCs w:val="24"/>
          <w:lang w:val="en-US"/>
        </w:rPr>
        <w:t>Kidney</w:t>
      </w:r>
      <w:r w:rsidRPr="00FA0C2D">
        <w:rPr>
          <w:rFonts w:cstheme="minorHAnsi"/>
          <w:sz w:val="24"/>
          <w:szCs w:val="24"/>
        </w:rPr>
        <w:t xml:space="preserve"> </w:t>
      </w:r>
      <w:r>
        <w:rPr>
          <w:rFonts w:cstheme="minorHAnsi"/>
          <w:sz w:val="24"/>
          <w:szCs w:val="24"/>
          <w:lang w:val="en-US"/>
        </w:rPr>
        <w:t>Disease</w:t>
      </w:r>
      <w:r w:rsidRPr="00FA0C2D">
        <w:rPr>
          <w:rFonts w:cstheme="minorHAnsi"/>
          <w:sz w:val="24"/>
          <w:szCs w:val="24"/>
        </w:rPr>
        <w:t xml:space="preserve"> </w:t>
      </w:r>
      <w:r>
        <w:rPr>
          <w:rFonts w:cstheme="minorHAnsi"/>
          <w:sz w:val="24"/>
          <w:szCs w:val="24"/>
          <w:lang w:val="en-US"/>
        </w:rPr>
        <w:t>Questionnaire</w:t>
      </w:r>
      <w:r w:rsidR="00642C67" w:rsidRPr="00FA0C2D">
        <w:rPr>
          <w:rFonts w:cstheme="minorHAnsi"/>
          <w:sz w:val="24"/>
          <w:szCs w:val="24"/>
        </w:rPr>
        <w:t xml:space="preserve">, </w:t>
      </w:r>
      <w:r w:rsidR="00642C67">
        <w:rPr>
          <w:rFonts w:cstheme="minorHAnsi"/>
          <w:sz w:val="24"/>
          <w:szCs w:val="24"/>
        </w:rPr>
        <w:t>Ερωτηματολόγιο</w:t>
      </w:r>
      <w:r w:rsidR="00642C67" w:rsidRPr="00FA0C2D">
        <w:rPr>
          <w:rFonts w:cstheme="minorHAnsi"/>
          <w:sz w:val="24"/>
          <w:szCs w:val="24"/>
        </w:rPr>
        <w:t xml:space="preserve"> </w:t>
      </w:r>
      <w:r w:rsidR="00642C67">
        <w:rPr>
          <w:rFonts w:cstheme="minorHAnsi"/>
          <w:sz w:val="24"/>
          <w:szCs w:val="24"/>
        </w:rPr>
        <w:t>Νεφρικής</w:t>
      </w:r>
      <w:r w:rsidR="00642C67" w:rsidRPr="00FA0C2D">
        <w:rPr>
          <w:rFonts w:cstheme="minorHAnsi"/>
          <w:sz w:val="24"/>
          <w:szCs w:val="24"/>
        </w:rPr>
        <w:t xml:space="preserve"> </w:t>
      </w:r>
      <w:r w:rsidR="00642C67">
        <w:rPr>
          <w:rFonts w:cstheme="minorHAnsi"/>
          <w:sz w:val="24"/>
          <w:szCs w:val="24"/>
        </w:rPr>
        <w:t>Νόσου</w:t>
      </w:r>
      <w:r w:rsidR="0004513C" w:rsidRPr="0004513C">
        <w:rPr>
          <w:rFonts w:cstheme="minorHAnsi"/>
          <w:sz w:val="24"/>
          <w:szCs w:val="24"/>
        </w:rPr>
        <w:t>.</w:t>
      </w:r>
    </w:p>
    <w:p w:rsidR="00771520" w:rsidRPr="001834C7" w:rsidRDefault="00771520" w:rsidP="00E42D0E">
      <w:pPr>
        <w:jc w:val="both"/>
        <w:rPr>
          <w:rFonts w:cstheme="minorHAnsi"/>
          <w:sz w:val="24"/>
          <w:szCs w:val="24"/>
          <w:lang w:val="en-US"/>
        </w:rPr>
      </w:pPr>
      <w:r w:rsidRPr="00CD5D91">
        <w:rPr>
          <w:rFonts w:cstheme="minorHAnsi"/>
          <w:b/>
          <w:sz w:val="24"/>
          <w:szCs w:val="24"/>
          <w:lang w:val="en-US"/>
        </w:rPr>
        <w:t>MVQoL</w:t>
      </w:r>
      <w:r w:rsidR="002418A9" w:rsidRPr="00CD5D91">
        <w:rPr>
          <w:rFonts w:cstheme="minorHAnsi"/>
          <w:b/>
          <w:sz w:val="24"/>
          <w:szCs w:val="24"/>
          <w:lang w:val="en-US"/>
        </w:rPr>
        <w:t>I</w:t>
      </w:r>
      <w:r w:rsidRPr="00CD5D91">
        <w:rPr>
          <w:rFonts w:cstheme="minorHAnsi"/>
          <w:b/>
          <w:sz w:val="24"/>
          <w:szCs w:val="24"/>
          <w:lang w:val="en-US"/>
        </w:rPr>
        <w:t>-15</w:t>
      </w:r>
      <w:r>
        <w:rPr>
          <w:rFonts w:cstheme="minorHAnsi"/>
          <w:sz w:val="24"/>
          <w:szCs w:val="24"/>
          <w:lang w:val="en-US"/>
        </w:rPr>
        <w:t>: Missoula Vitas Quality of Life Index</w:t>
      </w:r>
      <w:r w:rsidR="001834C7">
        <w:rPr>
          <w:rFonts w:cstheme="minorHAnsi"/>
          <w:sz w:val="24"/>
          <w:szCs w:val="24"/>
          <w:lang w:val="en-US"/>
        </w:rPr>
        <w:t xml:space="preserve">, </w:t>
      </w:r>
      <w:r w:rsidR="001834C7">
        <w:rPr>
          <w:rFonts w:cstheme="minorHAnsi"/>
          <w:sz w:val="24"/>
          <w:szCs w:val="24"/>
        </w:rPr>
        <w:t>Δείκτης</w:t>
      </w:r>
      <w:r w:rsidR="001834C7" w:rsidRPr="001834C7">
        <w:rPr>
          <w:rFonts w:cstheme="minorHAnsi"/>
          <w:sz w:val="24"/>
          <w:szCs w:val="24"/>
          <w:lang w:val="en-US"/>
        </w:rPr>
        <w:t xml:space="preserve"> </w:t>
      </w:r>
      <w:r w:rsidR="001834C7">
        <w:rPr>
          <w:rFonts w:cstheme="minorHAnsi"/>
          <w:sz w:val="24"/>
          <w:szCs w:val="24"/>
        </w:rPr>
        <w:t>Ποιότητας</w:t>
      </w:r>
      <w:r w:rsidR="001834C7" w:rsidRPr="001834C7">
        <w:rPr>
          <w:rFonts w:cstheme="minorHAnsi"/>
          <w:sz w:val="24"/>
          <w:szCs w:val="24"/>
          <w:lang w:val="en-US"/>
        </w:rPr>
        <w:t xml:space="preserve"> </w:t>
      </w:r>
      <w:r w:rsidR="001834C7">
        <w:rPr>
          <w:rFonts w:cstheme="minorHAnsi"/>
          <w:sz w:val="24"/>
          <w:szCs w:val="24"/>
        </w:rPr>
        <w:t>Ζωής</w:t>
      </w:r>
      <w:r w:rsidR="001834C7" w:rsidRPr="001834C7">
        <w:rPr>
          <w:rFonts w:cstheme="minorHAnsi"/>
          <w:sz w:val="24"/>
          <w:szCs w:val="24"/>
          <w:lang w:val="en-US"/>
        </w:rPr>
        <w:t xml:space="preserve"> </w:t>
      </w:r>
      <w:r w:rsidR="001834C7">
        <w:rPr>
          <w:rFonts w:cstheme="minorHAnsi"/>
          <w:sz w:val="24"/>
          <w:szCs w:val="24"/>
          <w:lang w:val="en-US"/>
        </w:rPr>
        <w:t>Missoula Vitas</w:t>
      </w:r>
      <w:r w:rsidR="0004513C">
        <w:rPr>
          <w:rFonts w:cstheme="minorHAnsi"/>
          <w:sz w:val="24"/>
          <w:szCs w:val="24"/>
          <w:lang w:val="en-US"/>
        </w:rPr>
        <w:t>.</w:t>
      </w:r>
    </w:p>
    <w:p w:rsidR="008D434C" w:rsidRPr="0004513C" w:rsidRDefault="008D434C" w:rsidP="00E42D0E">
      <w:pPr>
        <w:jc w:val="both"/>
        <w:rPr>
          <w:rFonts w:cstheme="minorHAnsi"/>
          <w:sz w:val="24"/>
          <w:szCs w:val="24"/>
          <w:lang w:val="en-US"/>
        </w:rPr>
      </w:pPr>
      <w:r w:rsidRPr="00CD5D91">
        <w:rPr>
          <w:rFonts w:cstheme="minorHAnsi"/>
          <w:b/>
          <w:sz w:val="24"/>
          <w:szCs w:val="24"/>
        </w:rPr>
        <w:t>Ν</w:t>
      </w:r>
      <w:r w:rsidR="00217B5B" w:rsidRPr="00CD5D91">
        <w:rPr>
          <w:rFonts w:cstheme="minorHAnsi"/>
          <w:b/>
          <w:sz w:val="24"/>
          <w:szCs w:val="24"/>
          <w:lang w:val="en-US"/>
        </w:rPr>
        <w:t>AND</w:t>
      </w:r>
      <w:r w:rsidR="001834C7" w:rsidRPr="00CD5D91">
        <w:rPr>
          <w:rFonts w:cstheme="minorHAnsi"/>
          <w:b/>
          <w:sz w:val="24"/>
          <w:szCs w:val="24"/>
          <w:lang w:val="en-US"/>
        </w:rPr>
        <w:t>A:</w:t>
      </w:r>
      <w:r w:rsidR="001834C7">
        <w:rPr>
          <w:rFonts w:cstheme="minorHAnsi"/>
          <w:sz w:val="24"/>
          <w:szCs w:val="24"/>
          <w:lang w:val="en-US"/>
        </w:rPr>
        <w:t xml:space="preserve"> North American Nursing</w:t>
      </w:r>
      <w:r>
        <w:rPr>
          <w:rFonts w:cstheme="minorHAnsi"/>
          <w:sz w:val="24"/>
          <w:szCs w:val="24"/>
          <w:lang w:val="en-US"/>
        </w:rPr>
        <w:t xml:space="preserve"> Diagnosis Associatio</w:t>
      </w:r>
      <w:r w:rsidR="001834C7">
        <w:rPr>
          <w:rFonts w:cstheme="minorHAnsi"/>
          <w:sz w:val="24"/>
          <w:szCs w:val="24"/>
          <w:lang w:val="en-US"/>
        </w:rPr>
        <w:t xml:space="preserve">n, </w:t>
      </w:r>
      <w:r w:rsidR="001834C7">
        <w:rPr>
          <w:rFonts w:cstheme="minorHAnsi"/>
          <w:sz w:val="24"/>
          <w:szCs w:val="24"/>
        </w:rPr>
        <w:t>Βορειοαμερικανική</w:t>
      </w:r>
      <w:r w:rsidR="001834C7" w:rsidRPr="001834C7">
        <w:rPr>
          <w:rFonts w:cstheme="minorHAnsi"/>
          <w:sz w:val="24"/>
          <w:szCs w:val="24"/>
          <w:lang w:val="en-US"/>
        </w:rPr>
        <w:t xml:space="preserve"> </w:t>
      </w:r>
      <w:r w:rsidR="001834C7">
        <w:rPr>
          <w:rFonts w:cstheme="minorHAnsi"/>
          <w:sz w:val="24"/>
          <w:szCs w:val="24"/>
        </w:rPr>
        <w:t>Ένωση</w:t>
      </w:r>
      <w:r w:rsidR="001834C7" w:rsidRPr="001834C7">
        <w:rPr>
          <w:rFonts w:cstheme="minorHAnsi"/>
          <w:sz w:val="24"/>
          <w:szCs w:val="24"/>
          <w:lang w:val="en-US"/>
        </w:rPr>
        <w:t xml:space="preserve"> </w:t>
      </w:r>
      <w:r w:rsidR="001834C7">
        <w:rPr>
          <w:rFonts w:cstheme="minorHAnsi"/>
          <w:sz w:val="24"/>
          <w:szCs w:val="24"/>
        </w:rPr>
        <w:t>Νοσηλευτικής</w:t>
      </w:r>
      <w:r w:rsidR="001834C7" w:rsidRPr="001834C7">
        <w:rPr>
          <w:rFonts w:cstheme="minorHAnsi"/>
          <w:sz w:val="24"/>
          <w:szCs w:val="24"/>
          <w:lang w:val="en-US"/>
        </w:rPr>
        <w:t xml:space="preserve"> </w:t>
      </w:r>
      <w:r w:rsidR="001834C7">
        <w:rPr>
          <w:rFonts w:cstheme="minorHAnsi"/>
          <w:sz w:val="24"/>
          <w:szCs w:val="24"/>
        </w:rPr>
        <w:t>Διάγνωσης</w:t>
      </w:r>
      <w:r w:rsidR="0004513C">
        <w:rPr>
          <w:rFonts w:cstheme="minorHAnsi"/>
          <w:sz w:val="24"/>
          <w:szCs w:val="24"/>
          <w:lang w:val="en-US"/>
        </w:rPr>
        <w:t>.</w:t>
      </w:r>
    </w:p>
    <w:p w:rsidR="00AE3DBC" w:rsidRPr="0004513C" w:rsidRDefault="00AE3DBC" w:rsidP="00E42D0E">
      <w:pPr>
        <w:jc w:val="both"/>
        <w:rPr>
          <w:rFonts w:cstheme="minorHAnsi"/>
          <w:sz w:val="24"/>
          <w:szCs w:val="24"/>
          <w:lang w:val="en-US"/>
        </w:rPr>
      </w:pPr>
      <w:r w:rsidRPr="00CD5D91">
        <w:rPr>
          <w:rFonts w:cstheme="minorHAnsi"/>
          <w:b/>
          <w:sz w:val="24"/>
          <w:szCs w:val="24"/>
          <w:lang w:val="en-US"/>
        </w:rPr>
        <w:t>NKF-KDOQI</w:t>
      </w:r>
      <w:r>
        <w:rPr>
          <w:rFonts w:cstheme="minorHAnsi"/>
          <w:sz w:val="24"/>
          <w:szCs w:val="24"/>
          <w:lang w:val="en-US"/>
        </w:rPr>
        <w:t>: National Kidney Foundation – Kidney Disease Outcomes Quality Initiative</w:t>
      </w:r>
      <w:r w:rsidR="002418A9" w:rsidRPr="002418A9">
        <w:rPr>
          <w:rFonts w:cstheme="minorHAnsi"/>
          <w:sz w:val="24"/>
          <w:szCs w:val="24"/>
          <w:lang w:val="en-US"/>
        </w:rPr>
        <w:t xml:space="preserve">, </w:t>
      </w:r>
      <w:r w:rsidR="002418A9">
        <w:rPr>
          <w:rFonts w:cstheme="minorHAnsi"/>
          <w:sz w:val="24"/>
          <w:szCs w:val="24"/>
        </w:rPr>
        <w:t>Εθνικό</w:t>
      </w:r>
      <w:r w:rsidR="002418A9" w:rsidRPr="002418A9">
        <w:rPr>
          <w:rFonts w:cstheme="minorHAnsi"/>
          <w:sz w:val="24"/>
          <w:szCs w:val="24"/>
          <w:lang w:val="en-US"/>
        </w:rPr>
        <w:t xml:space="preserve"> </w:t>
      </w:r>
      <w:r w:rsidR="002418A9">
        <w:rPr>
          <w:rFonts w:cstheme="minorHAnsi"/>
          <w:sz w:val="24"/>
          <w:szCs w:val="24"/>
        </w:rPr>
        <w:t>Ίδρυμα</w:t>
      </w:r>
      <w:r w:rsidR="002418A9" w:rsidRPr="002418A9">
        <w:rPr>
          <w:rFonts w:cstheme="minorHAnsi"/>
          <w:sz w:val="24"/>
          <w:szCs w:val="24"/>
          <w:lang w:val="en-US"/>
        </w:rPr>
        <w:t xml:space="preserve"> </w:t>
      </w:r>
      <w:r w:rsidR="002418A9">
        <w:rPr>
          <w:rFonts w:cstheme="minorHAnsi"/>
          <w:sz w:val="24"/>
          <w:szCs w:val="24"/>
        </w:rPr>
        <w:t>Νεφρού</w:t>
      </w:r>
      <w:r w:rsidR="002418A9" w:rsidRPr="002418A9">
        <w:rPr>
          <w:rFonts w:cstheme="minorHAnsi"/>
          <w:sz w:val="24"/>
          <w:szCs w:val="24"/>
          <w:lang w:val="en-US"/>
        </w:rPr>
        <w:t xml:space="preserve">- </w:t>
      </w:r>
      <w:r w:rsidR="002418A9">
        <w:rPr>
          <w:rFonts w:cstheme="minorHAnsi"/>
          <w:sz w:val="24"/>
          <w:szCs w:val="24"/>
        </w:rPr>
        <w:t>Πρωτοβουλία</w:t>
      </w:r>
      <w:r w:rsidR="002418A9" w:rsidRPr="002418A9">
        <w:rPr>
          <w:rFonts w:cstheme="minorHAnsi"/>
          <w:sz w:val="24"/>
          <w:szCs w:val="24"/>
          <w:lang w:val="en-US"/>
        </w:rPr>
        <w:t xml:space="preserve"> </w:t>
      </w:r>
      <w:r w:rsidR="002418A9">
        <w:rPr>
          <w:rFonts w:cstheme="minorHAnsi"/>
          <w:sz w:val="24"/>
          <w:szCs w:val="24"/>
        </w:rPr>
        <w:t>για</w:t>
      </w:r>
      <w:r w:rsidR="002418A9" w:rsidRPr="002418A9">
        <w:rPr>
          <w:rFonts w:cstheme="minorHAnsi"/>
          <w:sz w:val="24"/>
          <w:szCs w:val="24"/>
          <w:lang w:val="en-US"/>
        </w:rPr>
        <w:t xml:space="preserve"> </w:t>
      </w:r>
      <w:r w:rsidR="002418A9">
        <w:rPr>
          <w:rFonts w:cstheme="minorHAnsi"/>
          <w:sz w:val="24"/>
          <w:szCs w:val="24"/>
        </w:rPr>
        <w:t>την</w:t>
      </w:r>
      <w:r w:rsidR="002418A9" w:rsidRPr="002418A9">
        <w:rPr>
          <w:rFonts w:cstheme="minorHAnsi"/>
          <w:sz w:val="24"/>
          <w:szCs w:val="24"/>
          <w:lang w:val="en-US"/>
        </w:rPr>
        <w:t xml:space="preserve"> </w:t>
      </w:r>
      <w:r w:rsidR="002418A9">
        <w:rPr>
          <w:rFonts w:cstheme="minorHAnsi"/>
          <w:sz w:val="24"/>
          <w:szCs w:val="24"/>
        </w:rPr>
        <w:t>Ποιότητα</w:t>
      </w:r>
      <w:r w:rsidR="002418A9" w:rsidRPr="002418A9">
        <w:rPr>
          <w:rFonts w:cstheme="minorHAnsi"/>
          <w:sz w:val="24"/>
          <w:szCs w:val="24"/>
          <w:lang w:val="en-US"/>
        </w:rPr>
        <w:t xml:space="preserve"> </w:t>
      </w:r>
      <w:r w:rsidR="002418A9">
        <w:rPr>
          <w:rFonts w:cstheme="minorHAnsi"/>
          <w:sz w:val="24"/>
          <w:szCs w:val="24"/>
        </w:rPr>
        <w:t>της</w:t>
      </w:r>
      <w:r w:rsidR="002418A9" w:rsidRPr="002418A9">
        <w:rPr>
          <w:rFonts w:cstheme="minorHAnsi"/>
          <w:sz w:val="24"/>
          <w:szCs w:val="24"/>
          <w:lang w:val="en-US"/>
        </w:rPr>
        <w:t xml:space="preserve"> </w:t>
      </w:r>
      <w:r w:rsidR="002418A9">
        <w:rPr>
          <w:rFonts w:cstheme="minorHAnsi"/>
          <w:sz w:val="24"/>
          <w:szCs w:val="24"/>
        </w:rPr>
        <w:t>Έκβασης</w:t>
      </w:r>
      <w:r w:rsidR="002418A9" w:rsidRPr="002418A9">
        <w:rPr>
          <w:rFonts w:cstheme="minorHAnsi"/>
          <w:sz w:val="24"/>
          <w:szCs w:val="24"/>
          <w:lang w:val="en-US"/>
        </w:rPr>
        <w:t xml:space="preserve"> </w:t>
      </w:r>
      <w:r w:rsidR="002418A9">
        <w:rPr>
          <w:rFonts w:cstheme="minorHAnsi"/>
          <w:sz w:val="24"/>
          <w:szCs w:val="24"/>
        </w:rPr>
        <w:t>της</w:t>
      </w:r>
      <w:r w:rsidR="002418A9" w:rsidRPr="002418A9">
        <w:rPr>
          <w:rFonts w:cstheme="minorHAnsi"/>
          <w:sz w:val="24"/>
          <w:szCs w:val="24"/>
          <w:lang w:val="en-US"/>
        </w:rPr>
        <w:t xml:space="preserve"> </w:t>
      </w:r>
      <w:r w:rsidR="002418A9">
        <w:rPr>
          <w:rFonts w:cstheme="minorHAnsi"/>
          <w:sz w:val="24"/>
          <w:szCs w:val="24"/>
        </w:rPr>
        <w:t>Νεφρικής</w:t>
      </w:r>
      <w:r w:rsidR="002418A9" w:rsidRPr="002418A9">
        <w:rPr>
          <w:rFonts w:cstheme="minorHAnsi"/>
          <w:sz w:val="24"/>
          <w:szCs w:val="24"/>
          <w:lang w:val="en-US"/>
        </w:rPr>
        <w:t xml:space="preserve"> </w:t>
      </w:r>
      <w:r w:rsidR="002418A9">
        <w:rPr>
          <w:rFonts w:cstheme="minorHAnsi"/>
          <w:sz w:val="24"/>
          <w:szCs w:val="24"/>
        </w:rPr>
        <w:t>Νόσου</w:t>
      </w:r>
      <w:r w:rsidR="0004513C">
        <w:rPr>
          <w:rFonts w:cstheme="minorHAnsi"/>
          <w:sz w:val="24"/>
          <w:szCs w:val="24"/>
          <w:lang w:val="en-US"/>
        </w:rPr>
        <w:t>.</w:t>
      </w:r>
    </w:p>
    <w:p w:rsidR="00771520" w:rsidRPr="0004513C" w:rsidRDefault="00771520" w:rsidP="00E42D0E">
      <w:pPr>
        <w:jc w:val="both"/>
        <w:rPr>
          <w:rFonts w:cstheme="minorHAnsi"/>
          <w:sz w:val="24"/>
          <w:szCs w:val="24"/>
          <w:lang w:val="en-US"/>
        </w:rPr>
      </w:pPr>
      <w:r w:rsidRPr="00CD5D91">
        <w:rPr>
          <w:rFonts w:cstheme="minorHAnsi"/>
          <w:b/>
          <w:sz w:val="24"/>
          <w:szCs w:val="24"/>
          <w:lang w:val="en-US"/>
        </w:rPr>
        <w:t>SMAQ</w:t>
      </w:r>
      <w:r>
        <w:rPr>
          <w:rFonts w:cstheme="minorHAnsi"/>
          <w:sz w:val="24"/>
          <w:szCs w:val="24"/>
          <w:lang w:val="en-US"/>
        </w:rPr>
        <w:t>: Simplified Medication Adherence Questionnaire</w:t>
      </w:r>
      <w:r w:rsidR="00642C67" w:rsidRPr="00642C67">
        <w:rPr>
          <w:rFonts w:cstheme="minorHAnsi"/>
          <w:sz w:val="24"/>
          <w:szCs w:val="24"/>
          <w:lang w:val="en-US"/>
        </w:rPr>
        <w:t xml:space="preserve">, </w:t>
      </w:r>
      <w:r w:rsidR="00642C67">
        <w:rPr>
          <w:rFonts w:cstheme="minorHAnsi"/>
          <w:sz w:val="24"/>
          <w:szCs w:val="24"/>
        </w:rPr>
        <w:t>Απλοποιημένο</w:t>
      </w:r>
      <w:r w:rsidR="00642C67" w:rsidRPr="00642C67">
        <w:rPr>
          <w:rFonts w:cstheme="minorHAnsi"/>
          <w:sz w:val="24"/>
          <w:szCs w:val="24"/>
          <w:lang w:val="en-US"/>
        </w:rPr>
        <w:t xml:space="preserve"> </w:t>
      </w:r>
      <w:r w:rsidR="00642C67">
        <w:rPr>
          <w:rFonts w:cstheme="minorHAnsi"/>
          <w:sz w:val="24"/>
          <w:szCs w:val="24"/>
        </w:rPr>
        <w:t>Ερωτηματολόγιο</w:t>
      </w:r>
      <w:r w:rsidR="00642C67" w:rsidRPr="00642C67">
        <w:rPr>
          <w:rFonts w:cstheme="minorHAnsi"/>
          <w:sz w:val="24"/>
          <w:szCs w:val="24"/>
          <w:lang w:val="en-US"/>
        </w:rPr>
        <w:t xml:space="preserve"> </w:t>
      </w:r>
      <w:r w:rsidR="00642C67">
        <w:rPr>
          <w:rFonts w:cstheme="minorHAnsi"/>
          <w:sz w:val="24"/>
          <w:szCs w:val="24"/>
        </w:rPr>
        <w:t>Συμμόρφωσης</w:t>
      </w:r>
      <w:r w:rsidR="00642C67" w:rsidRPr="00642C67">
        <w:rPr>
          <w:rFonts w:cstheme="minorHAnsi"/>
          <w:sz w:val="24"/>
          <w:szCs w:val="24"/>
          <w:lang w:val="en-US"/>
        </w:rPr>
        <w:t xml:space="preserve"> </w:t>
      </w:r>
      <w:r w:rsidR="00642C67">
        <w:rPr>
          <w:rFonts w:cstheme="minorHAnsi"/>
          <w:sz w:val="24"/>
          <w:szCs w:val="24"/>
        </w:rPr>
        <w:t>στη</w:t>
      </w:r>
      <w:r w:rsidR="00642C67" w:rsidRPr="00642C67">
        <w:rPr>
          <w:rFonts w:cstheme="minorHAnsi"/>
          <w:sz w:val="24"/>
          <w:szCs w:val="24"/>
          <w:lang w:val="en-US"/>
        </w:rPr>
        <w:t xml:space="preserve"> </w:t>
      </w:r>
      <w:r w:rsidR="00642C67">
        <w:rPr>
          <w:rFonts w:cstheme="minorHAnsi"/>
          <w:sz w:val="24"/>
          <w:szCs w:val="24"/>
        </w:rPr>
        <w:t>Φαρμακευτική</w:t>
      </w:r>
      <w:r w:rsidR="00642C67" w:rsidRPr="00642C67">
        <w:rPr>
          <w:rFonts w:cstheme="minorHAnsi"/>
          <w:sz w:val="24"/>
          <w:szCs w:val="24"/>
          <w:lang w:val="en-US"/>
        </w:rPr>
        <w:t xml:space="preserve"> </w:t>
      </w:r>
      <w:r w:rsidR="00642C67">
        <w:rPr>
          <w:rFonts w:cstheme="minorHAnsi"/>
          <w:sz w:val="24"/>
          <w:szCs w:val="24"/>
        </w:rPr>
        <w:t>Αγωγή</w:t>
      </w:r>
      <w:r w:rsidR="0004513C">
        <w:rPr>
          <w:rFonts w:cstheme="minorHAnsi"/>
          <w:sz w:val="24"/>
          <w:szCs w:val="24"/>
          <w:lang w:val="en-US"/>
        </w:rPr>
        <w:t>.</w:t>
      </w:r>
    </w:p>
    <w:p w:rsidR="00432C0D" w:rsidRDefault="00432C0D" w:rsidP="009949C3">
      <w:pPr>
        <w:jc w:val="both"/>
        <w:rPr>
          <w:rFonts w:cstheme="minorHAnsi"/>
          <w:sz w:val="24"/>
          <w:szCs w:val="24"/>
          <w:lang w:val="en-US"/>
        </w:rPr>
      </w:pPr>
      <w:r w:rsidRPr="00CD5D91">
        <w:rPr>
          <w:rFonts w:cstheme="minorHAnsi"/>
          <w:b/>
          <w:sz w:val="24"/>
          <w:szCs w:val="24"/>
          <w:lang w:val="en-US"/>
        </w:rPr>
        <w:t>USRDS</w:t>
      </w:r>
      <w:r>
        <w:rPr>
          <w:rFonts w:cstheme="minorHAnsi"/>
          <w:sz w:val="24"/>
          <w:szCs w:val="24"/>
          <w:lang w:val="en-US"/>
        </w:rPr>
        <w:t>: United States Renal Data System</w:t>
      </w:r>
      <w:r w:rsidR="002418A9" w:rsidRPr="002418A9">
        <w:rPr>
          <w:rFonts w:cstheme="minorHAnsi"/>
          <w:sz w:val="24"/>
          <w:szCs w:val="24"/>
          <w:lang w:val="en-US"/>
        </w:rPr>
        <w:t xml:space="preserve">, </w:t>
      </w:r>
      <w:r w:rsidR="002418A9">
        <w:rPr>
          <w:rFonts w:cstheme="minorHAnsi"/>
          <w:sz w:val="24"/>
          <w:szCs w:val="24"/>
        </w:rPr>
        <w:t>Σύστημα</w:t>
      </w:r>
      <w:r w:rsidR="002418A9" w:rsidRPr="002418A9">
        <w:rPr>
          <w:rFonts w:cstheme="minorHAnsi"/>
          <w:sz w:val="24"/>
          <w:szCs w:val="24"/>
          <w:lang w:val="en-US"/>
        </w:rPr>
        <w:t xml:space="preserve"> </w:t>
      </w:r>
      <w:r w:rsidR="002418A9">
        <w:rPr>
          <w:rFonts w:cstheme="minorHAnsi"/>
          <w:sz w:val="24"/>
          <w:szCs w:val="24"/>
        </w:rPr>
        <w:t>Νεφρικών</w:t>
      </w:r>
      <w:r w:rsidR="002418A9" w:rsidRPr="002418A9">
        <w:rPr>
          <w:rFonts w:cstheme="minorHAnsi"/>
          <w:sz w:val="24"/>
          <w:szCs w:val="24"/>
          <w:lang w:val="en-US"/>
        </w:rPr>
        <w:t xml:space="preserve"> </w:t>
      </w:r>
      <w:r w:rsidR="002418A9">
        <w:rPr>
          <w:rFonts w:cstheme="minorHAnsi"/>
          <w:sz w:val="24"/>
          <w:szCs w:val="24"/>
        </w:rPr>
        <w:t>Δεομένων</w:t>
      </w:r>
      <w:r w:rsidR="002418A9" w:rsidRPr="002418A9">
        <w:rPr>
          <w:rFonts w:cstheme="minorHAnsi"/>
          <w:sz w:val="24"/>
          <w:szCs w:val="24"/>
          <w:lang w:val="en-US"/>
        </w:rPr>
        <w:t xml:space="preserve"> </w:t>
      </w:r>
      <w:r w:rsidR="002418A9">
        <w:rPr>
          <w:rFonts w:cstheme="minorHAnsi"/>
          <w:sz w:val="24"/>
          <w:szCs w:val="24"/>
        </w:rPr>
        <w:t>των</w:t>
      </w:r>
      <w:r w:rsidR="002418A9" w:rsidRPr="002418A9">
        <w:rPr>
          <w:rFonts w:cstheme="minorHAnsi"/>
          <w:sz w:val="24"/>
          <w:szCs w:val="24"/>
          <w:lang w:val="en-US"/>
        </w:rPr>
        <w:t xml:space="preserve"> </w:t>
      </w:r>
      <w:r w:rsidR="002418A9">
        <w:rPr>
          <w:rFonts w:cstheme="minorHAnsi"/>
          <w:sz w:val="24"/>
          <w:szCs w:val="24"/>
        </w:rPr>
        <w:t>Ηνωμένων</w:t>
      </w:r>
      <w:r w:rsidR="002418A9" w:rsidRPr="002418A9">
        <w:rPr>
          <w:rFonts w:cstheme="minorHAnsi"/>
          <w:sz w:val="24"/>
          <w:szCs w:val="24"/>
          <w:lang w:val="en-US"/>
        </w:rPr>
        <w:t xml:space="preserve"> </w:t>
      </w:r>
      <w:r w:rsidR="002418A9">
        <w:rPr>
          <w:rFonts w:cstheme="minorHAnsi"/>
          <w:sz w:val="24"/>
          <w:szCs w:val="24"/>
        </w:rPr>
        <w:t>Πολιτειών</w:t>
      </w:r>
      <w:r w:rsidR="0004513C">
        <w:rPr>
          <w:rFonts w:cstheme="minorHAnsi"/>
          <w:sz w:val="24"/>
          <w:szCs w:val="24"/>
          <w:lang w:val="en-US"/>
        </w:rPr>
        <w:t>.</w:t>
      </w:r>
    </w:p>
    <w:p w:rsidR="009949C3" w:rsidRPr="0004513C" w:rsidRDefault="009949C3" w:rsidP="00E42D0E">
      <w:pPr>
        <w:rPr>
          <w:rFonts w:cstheme="minorHAnsi"/>
          <w:sz w:val="24"/>
          <w:szCs w:val="24"/>
          <w:lang w:val="en-US"/>
        </w:rPr>
      </w:pPr>
    </w:p>
    <w:p w:rsidR="00E641AF" w:rsidRPr="00C26EFE" w:rsidRDefault="00E641AF" w:rsidP="00FC1253">
      <w:pPr>
        <w:spacing w:line="360" w:lineRule="auto"/>
        <w:rPr>
          <w:sz w:val="24"/>
          <w:szCs w:val="24"/>
          <w:lang w:val="en-US"/>
        </w:rPr>
      </w:pPr>
    </w:p>
    <w:p w:rsidR="00637A4C" w:rsidRPr="00E42D0E" w:rsidRDefault="00B82577" w:rsidP="00B82577">
      <w:pPr>
        <w:spacing w:line="360" w:lineRule="auto"/>
        <w:jc w:val="center"/>
        <w:rPr>
          <w:rFonts w:asciiTheme="minorHAnsi" w:hAnsiTheme="minorHAnsi"/>
          <w:sz w:val="28"/>
          <w:szCs w:val="28"/>
        </w:rPr>
      </w:pPr>
      <w:r w:rsidRPr="00E42D0E">
        <w:rPr>
          <w:rFonts w:asciiTheme="minorHAnsi" w:hAnsiTheme="minorHAnsi"/>
          <w:sz w:val="28"/>
          <w:szCs w:val="28"/>
        </w:rPr>
        <w:t>Η ΕΠΙΔΡΑΣΗ ΤΗΣ ΣΥΜΒΟΥΛΕΥΤΙΚΗΣ ΝΟΣΗΛΕΥΤΙΚΗΣ ΣΤΗ ΜΕΤΑΒΟΛΗ ΤΟΥ ΕΠΙΠΕΔΟΥ ΓΝΩΣΕΩΝ, ΤΗΣ ΠΟΙΟΤΗΤΑΣ ΖΩΗΣ ΚΑΙ ΣΤΗ ΣΥΜΜΟΡΦΩΣΗ ΑΣΘΕΝΩΝ ΥΠΟ ΑΙΜΟΚΑΘΑΡΣΗ ΣΤΟ ΘΕΡΑΠΕΥΤΙΚΟ ΣΧΗΜΑ</w:t>
      </w:r>
    </w:p>
    <w:p w:rsidR="00B82577" w:rsidRPr="00DB2B50" w:rsidRDefault="00B82577" w:rsidP="00B82577">
      <w:pPr>
        <w:spacing w:line="360" w:lineRule="auto"/>
        <w:jc w:val="center"/>
        <w:rPr>
          <w:b/>
          <w:sz w:val="24"/>
          <w:szCs w:val="24"/>
        </w:rPr>
      </w:pPr>
      <w:r w:rsidRPr="00DB2B50">
        <w:rPr>
          <w:rFonts w:asciiTheme="minorHAnsi" w:hAnsiTheme="minorHAnsi"/>
          <w:b/>
          <w:sz w:val="28"/>
          <w:szCs w:val="28"/>
        </w:rPr>
        <w:t>ΒΙΚΤΩΡΙΑ Δ. ΑΛΙΚΑΡΗ</w:t>
      </w:r>
    </w:p>
    <w:p w:rsidR="00637A4C" w:rsidRPr="00237BD3" w:rsidRDefault="00637A4C" w:rsidP="00B82577">
      <w:pPr>
        <w:pStyle w:val="1a"/>
        <w:spacing w:after="240"/>
        <w:rPr>
          <w:rFonts w:ascii="Calibri" w:hAnsi="Calibri" w:cs="Calibri"/>
        </w:rPr>
      </w:pPr>
      <w:bookmarkStart w:id="2" w:name="_Toc495951414"/>
      <w:r w:rsidRPr="00237BD3">
        <w:rPr>
          <w:rFonts w:ascii="Calibri" w:hAnsi="Calibri" w:cs="Calibri"/>
        </w:rPr>
        <w:t>ΠΕΡΙΛΗΨΗ</w:t>
      </w:r>
      <w:bookmarkEnd w:id="2"/>
    </w:p>
    <w:p w:rsidR="00B82577" w:rsidRPr="00237BD3" w:rsidRDefault="00B82577" w:rsidP="00237BD3">
      <w:pPr>
        <w:spacing w:line="360" w:lineRule="auto"/>
        <w:jc w:val="both"/>
        <w:rPr>
          <w:sz w:val="24"/>
          <w:szCs w:val="24"/>
        </w:rPr>
      </w:pPr>
      <w:r w:rsidRPr="00237BD3">
        <w:rPr>
          <w:b/>
          <w:sz w:val="24"/>
          <w:szCs w:val="24"/>
        </w:rPr>
        <w:t>Εισαγωγή:</w:t>
      </w:r>
      <w:r w:rsidR="00FD7042" w:rsidRPr="00237BD3">
        <w:rPr>
          <w:b/>
          <w:sz w:val="24"/>
          <w:szCs w:val="24"/>
        </w:rPr>
        <w:t xml:space="preserve"> </w:t>
      </w:r>
      <w:r w:rsidR="00B95564">
        <w:rPr>
          <w:sz w:val="24"/>
          <w:szCs w:val="24"/>
        </w:rPr>
        <w:t xml:space="preserve">Η αιμοκάθαρση αποτελεί την πιο συχνή μέθοδο αντιμετώπισης της Χρόνιας Νεφρικής Νόσου. </w:t>
      </w:r>
      <w:r w:rsidR="00EE4AF2">
        <w:rPr>
          <w:sz w:val="24"/>
          <w:szCs w:val="24"/>
        </w:rPr>
        <w:t>Η</w:t>
      </w:r>
      <w:r w:rsidR="00237BD3" w:rsidRPr="00237BD3">
        <w:rPr>
          <w:sz w:val="24"/>
          <w:szCs w:val="24"/>
        </w:rPr>
        <w:t xml:space="preserve"> συμβουλευτική παρέμβαση σε ασθενείς που υποβάλλονται σε αιμοκάθαρση θεωρείται ότι </w:t>
      </w:r>
      <w:r w:rsidR="00CB61DB">
        <w:rPr>
          <w:sz w:val="24"/>
          <w:szCs w:val="24"/>
        </w:rPr>
        <w:t>αποτελεί σημαντικό παράγοντα που σχετίζεται με</w:t>
      </w:r>
      <w:r w:rsidR="00237BD3" w:rsidRPr="00237BD3">
        <w:rPr>
          <w:sz w:val="24"/>
          <w:szCs w:val="24"/>
        </w:rPr>
        <w:t xml:space="preserve"> τη βελτίωση του επιπέδου συμμόρφωσης στο θεραπευτικό σχήμα και ποιότητας ζωής των ασθενών.</w:t>
      </w:r>
    </w:p>
    <w:p w:rsidR="003F5283" w:rsidRPr="00237BD3" w:rsidRDefault="003F5283" w:rsidP="00864F74">
      <w:pPr>
        <w:spacing w:line="360" w:lineRule="auto"/>
        <w:jc w:val="both"/>
        <w:rPr>
          <w:rFonts w:asciiTheme="minorHAnsi" w:hAnsiTheme="minorHAnsi"/>
          <w:sz w:val="24"/>
          <w:szCs w:val="24"/>
        </w:rPr>
      </w:pPr>
      <w:r w:rsidRPr="00237BD3">
        <w:rPr>
          <w:b/>
          <w:sz w:val="24"/>
          <w:szCs w:val="24"/>
        </w:rPr>
        <w:t>Σκοπός</w:t>
      </w:r>
      <w:r w:rsidR="00020156" w:rsidRPr="00237BD3">
        <w:rPr>
          <w:b/>
          <w:sz w:val="24"/>
          <w:szCs w:val="24"/>
        </w:rPr>
        <w:t>:</w:t>
      </w:r>
      <w:r w:rsidR="00864F74" w:rsidRPr="00237BD3">
        <w:rPr>
          <w:b/>
          <w:sz w:val="24"/>
          <w:szCs w:val="24"/>
        </w:rPr>
        <w:t xml:space="preserve"> </w:t>
      </w:r>
      <w:r w:rsidR="00864F74" w:rsidRPr="00237BD3">
        <w:rPr>
          <w:sz w:val="24"/>
          <w:szCs w:val="24"/>
        </w:rPr>
        <w:t>Η εκτίμηση της επίδρασης της</w:t>
      </w:r>
      <w:r w:rsidR="00864F74" w:rsidRPr="00237BD3">
        <w:rPr>
          <w:b/>
          <w:sz w:val="24"/>
          <w:szCs w:val="24"/>
        </w:rPr>
        <w:t xml:space="preserve"> </w:t>
      </w:r>
      <w:r w:rsidR="00237BD3" w:rsidRPr="00237BD3">
        <w:rPr>
          <w:rFonts w:asciiTheme="minorHAnsi" w:hAnsiTheme="minorHAnsi"/>
          <w:sz w:val="24"/>
          <w:szCs w:val="24"/>
        </w:rPr>
        <w:t>συμβουλευτικής νοσηλευτική</w:t>
      </w:r>
      <w:r w:rsidR="00864F74" w:rsidRPr="00237BD3">
        <w:rPr>
          <w:rFonts w:asciiTheme="minorHAnsi" w:hAnsiTheme="minorHAnsi"/>
          <w:sz w:val="24"/>
          <w:szCs w:val="24"/>
        </w:rPr>
        <w:t>ς στη μεταβολή του επιπέδου γνώσεων, της ποιότητας ζωής και στη συμμόρφωση ασθενών υπό αιμοκάθαρση στο θεραπευτικό σχήμα.</w:t>
      </w:r>
    </w:p>
    <w:p w:rsidR="00FD7042" w:rsidRPr="00237BD3" w:rsidRDefault="00E52E4D" w:rsidP="00FD7042">
      <w:pPr>
        <w:spacing w:line="360" w:lineRule="auto"/>
        <w:jc w:val="both"/>
        <w:rPr>
          <w:sz w:val="24"/>
          <w:szCs w:val="24"/>
        </w:rPr>
      </w:pPr>
      <w:r w:rsidRPr="00E52E4D">
        <w:rPr>
          <w:b/>
          <w:sz w:val="24"/>
          <w:szCs w:val="24"/>
        </w:rPr>
        <w:t>Μεθοδολογία</w:t>
      </w:r>
      <w:r w:rsidR="003F5283" w:rsidRPr="00E52E4D">
        <w:rPr>
          <w:b/>
          <w:sz w:val="24"/>
          <w:szCs w:val="24"/>
        </w:rPr>
        <w:t>:</w:t>
      </w:r>
      <w:r w:rsidR="001B0E6D" w:rsidRPr="00237BD3">
        <w:rPr>
          <w:b/>
          <w:sz w:val="24"/>
          <w:szCs w:val="24"/>
        </w:rPr>
        <w:t xml:space="preserve"> </w:t>
      </w:r>
      <w:r w:rsidR="00864F74" w:rsidRPr="00237BD3">
        <w:rPr>
          <w:rFonts w:asciiTheme="minorHAnsi" w:eastAsia="Arial Unicode MS" w:hAnsiTheme="minorHAnsi" w:cstheme="minorHAnsi"/>
          <w:sz w:val="24"/>
          <w:szCs w:val="24"/>
          <w:shd w:val="clear" w:color="auto" w:fill="FFFFFF"/>
        </w:rPr>
        <w:t>Πρόκειται για οιονεί πειραματική μελέτη παρέμβασης στην οποία συμμετείχαν ασθενείς Τελικού Σταδίου Χρόνιας Νεφρικής Νόσου</w:t>
      </w:r>
      <w:r w:rsidR="00864F74" w:rsidRPr="00237BD3">
        <w:rPr>
          <w:rFonts w:asciiTheme="minorHAnsi" w:eastAsia="Arial Unicode MS" w:hAnsiTheme="minorHAnsi" w:cstheme="minorHAnsi"/>
          <w:color w:val="353535"/>
          <w:sz w:val="24"/>
          <w:szCs w:val="24"/>
          <w:shd w:val="clear" w:color="auto" w:fill="FFFFFF"/>
        </w:rPr>
        <w:t xml:space="preserve"> </w:t>
      </w:r>
      <w:r w:rsidR="00864F74" w:rsidRPr="00237BD3">
        <w:rPr>
          <w:rFonts w:asciiTheme="minorHAnsi" w:eastAsia="Arial Unicode MS" w:hAnsiTheme="minorHAnsi" w:cstheme="minorHAnsi"/>
          <w:sz w:val="24"/>
          <w:szCs w:val="24"/>
          <w:shd w:val="clear" w:color="auto" w:fill="FFFFFF"/>
        </w:rPr>
        <w:t>από τον</w:t>
      </w:r>
      <w:r w:rsidR="00FD7042" w:rsidRPr="00237BD3">
        <w:rPr>
          <w:rFonts w:asciiTheme="minorHAnsi" w:eastAsia="Arial Unicode MS" w:hAnsiTheme="minorHAnsi" w:cstheme="minorHAnsi"/>
          <w:sz w:val="24"/>
          <w:szCs w:val="24"/>
          <w:shd w:val="clear" w:color="auto" w:fill="FFFFFF"/>
        </w:rPr>
        <w:t xml:space="preserve"> Νοέμβριο του  2013 έως τον Απρίλιο του 2017. </w:t>
      </w:r>
      <w:r w:rsidR="00864F74" w:rsidRPr="00237BD3">
        <w:rPr>
          <w:rFonts w:asciiTheme="minorHAnsi" w:eastAsia="Arial Unicode MS" w:hAnsiTheme="minorHAnsi" w:cstheme="minorHAnsi"/>
          <w:sz w:val="24"/>
          <w:szCs w:val="24"/>
          <w:shd w:val="clear" w:color="auto" w:fill="FFFFFF"/>
        </w:rPr>
        <w:t xml:space="preserve"> </w:t>
      </w:r>
      <w:r w:rsidR="001B0E6D" w:rsidRPr="00237BD3">
        <w:rPr>
          <w:rFonts w:asciiTheme="minorHAnsi" w:hAnsiTheme="minorHAnsi" w:cstheme="minorHAnsi"/>
          <w:sz w:val="24"/>
          <w:szCs w:val="24"/>
        </w:rPr>
        <w:t>Για</w:t>
      </w:r>
      <w:r w:rsidR="001B0E6D" w:rsidRPr="00237BD3">
        <w:rPr>
          <w:sz w:val="24"/>
          <w:szCs w:val="24"/>
        </w:rPr>
        <w:t xml:space="preserve"> τη μέτρηση του επιπέδου γνώσεων των ασθενών που υποβάλλονται σε αιμοκάθαρση χρησιμοποιήθηκε η κλίμακα </w:t>
      </w:r>
      <w:r w:rsidR="001B0E6D" w:rsidRPr="00237BD3">
        <w:rPr>
          <w:sz w:val="24"/>
          <w:szCs w:val="24"/>
          <w:lang w:val="en-US"/>
        </w:rPr>
        <w:t>Kidney</w:t>
      </w:r>
      <w:r w:rsidR="001B0E6D" w:rsidRPr="00237BD3">
        <w:rPr>
          <w:sz w:val="24"/>
          <w:szCs w:val="24"/>
        </w:rPr>
        <w:t xml:space="preserve"> </w:t>
      </w:r>
      <w:r w:rsidR="001B0E6D" w:rsidRPr="00237BD3">
        <w:rPr>
          <w:sz w:val="24"/>
          <w:szCs w:val="24"/>
          <w:lang w:val="en-US"/>
        </w:rPr>
        <w:t>Disease</w:t>
      </w:r>
      <w:r w:rsidR="001B0E6D" w:rsidRPr="00237BD3">
        <w:rPr>
          <w:sz w:val="24"/>
          <w:szCs w:val="24"/>
        </w:rPr>
        <w:t xml:space="preserve"> </w:t>
      </w:r>
      <w:r w:rsidR="001B0E6D" w:rsidRPr="00237BD3">
        <w:rPr>
          <w:sz w:val="24"/>
          <w:szCs w:val="24"/>
          <w:lang w:val="en-US"/>
        </w:rPr>
        <w:t>Questionnaire</w:t>
      </w:r>
      <w:r w:rsidR="001B0E6D" w:rsidRPr="00237BD3">
        <w:rPr>
          <w:sz w:val="24"/>
          <w:szCs w:val="24"/>
        </w:rPr>
        <w:t xml:space="preserve">, για τη μέτρηση του επιπέδου συμμόρφωσης η κλίμακα </w:t>
      </w:r>
      <w:r w:rsidR="001B0E6D" w:rsidRPr="00237BD3">
        <w:rPr>
          <w:sz w:val="24"/>
          <w:szCs w:val="24"/>
          <w:lang w:val="en-US"/>
        </w:rPr>
        <w:t>GR</w:t>
      </w:r>
      <w:r w:rsidR="001B0E6D" w:rsidRPr="00237BD3">
        <w:rPr>
          <w:sz w:val="24"/>
          <w:szCs w:val="24"/>
        </w:rPr>
        <w:t xml:space="preserve">- </w:t>
      </w:r>
      <w:r w:rsidR="001B0E6D" w:rsidRPr="00237BD3">
        <w:rPr>
          <w:sz w:val="24"/>
          <w:szCs w:val="24"/>
          <w:lang w:val="en-US"/>
        </w:rPr>
        <w:t>Simplified</w:t>
      </w:r>
      <w:r w:rsidR="001B0E6D" w:rsidRPr="00237BD3">
        <w:rPr>
          <w:sz w:val="24"/>
          <w:szCs w:val="24"/>
        </w:rPr>
        <w:t xml:space="preserve"> </w:t>
      </w:r>
      <w:r w:rsidR="001B0E6D" w:rsidRPr="00237BD3">
        <w:rPr>
          <w:sz w:val="24"/>
          <w:szCs w:val="24"/>
          <w:lang w:val="en-US"/>
        </w:rPr>
        <w:t>Medication</w:t>
      </w:r>
      <w:r w:rsidR="001B0E6D" w:rsidRPr="00237BD3">
        <w:rPr>
          <w:sz w:val="24"/>
          <w:szCs w:val="24"/>
        </w:rPr>
        <w:t xml:space="preserve"> </w:t>
      </w:r>
      <w:r w:rsidR="001B0E6D" w:rsidRPr="00237BD3">
        <w:rPr>
          <w:sz w:val="24"/>
          <w:szCs w:val="24"/>
          <w:lang w:val="en-US"/>
        </w:rPr>
        <w:t>Adherence</w:t>
      </w:r>
      <w:r w:rsidR="001B0E6D" w:rsidRPr="00237BD3">
        <w:rPr>
          <w:sz w:val="24"/>
          <w:szCs w:val="24"/>
        </w:rPr>
        <w:t xml:space="preserve"> </w:t>
      </w:r>
      <w:r w:rsidR="001B0E6D" w:rsidRPr="00237BD3">
        <w:rPr>
          <w:sz w:val="24"/>
          <w:szCs w:val="24"/>
          <w:lang w:val="en-US"/>
        </w:rPr>
        <w:t>Questionnaire</w:t>
      </w:r>
      <w:r w:rsidR="001B0E6D" w:rsidRPr="00237BD3">
        <w:rPr>
          <w:sz w:val="24"/>
          <w:szCs w:val="24"/>
        </w:rPr>
        <w:t>-</w:t>
      </w:r>
      <w:r w:rsidR="001B0E6D" w:rsidRPr="00237BD3">
        <w:rPr>
          <w:sz w:val="24"/>
          <w:szCs w:val="24"/>
          <w:lang w:val="en-US"/>
        </w:rPr>
        <w:t>HD</w:t>
      </w:r>
      <w:r w:rsidR="001B0E6D" w:rsidRPr="00237BD3">
        <w:rPr>
          <w:sz w:val="24"/>
          <w:szCs w:val="24"/>
        </w:rPr>
        <w:t xml:space="preserve"> και για τη μέτρηση του επιπέδου ποιότητας ζωής η κλίμακα </w:t>
      </w:r>
      <w:r w:rsidR="001B0E6D" w:rsidRPr="00237BD3">
        <w:rPr>
          <w:sz w:val="24"/>
          <w:szCs w:val="24"/>
          <w:lang w:val="en-US"/>
        </w:rPr>
        <w:t>Missoula</w:t>
      </w:r>
      <w:r w:rsidR="001B0E6D" w:rsidRPr="00237BD3">
        <w:rPr>
          <w:sz w:val="24"/>
          <w:szCs w:val="24"/>
        </w:rPr>
        <w:t xml:space="preserve"> </w:t>
      </w:r>
      <w:r w:rsidR="001B0E6D" w:rsidRPr="00237BD3">
        <w:rPr>
          <w:sz w:val="24"/>
          <w:szCs w:val="24"/>
          <w:lang w:val="en-US"/>
        </w:rPr>
        <w:t>Vitas</w:t>
      </w:r>
      <w:r w:rsidR="001B0E6D" w:rsidRPr="00237BD3">
        <w:rPr>
          <w:sz w:val="24"/>
          <w:szCs w:val="24"/>
        </w:rPr>
        <w:t xml:space="preserve"> </w:t>
      </w:r>
      <w:r w:rsidR="001B0E6D" w:rsidRPr="00237BD3">
        <w:rPr>
          <w:sz w:val="24"/>
          <w:szCs w:val="24"/>
          <w:lang w:val="en-US"/>
        </w:rPr>
        <w:t>Quality</w:t>
      </w:r>
      <w:r w:rsidR="001B0E6D" w:rsidRPr="00237BD3">
        <w:rPr>
          <w:sz w:val="24"/>
          <w:szCs w:val="24"/>
        </w:rPr>
        <w:t xml:space="preserve"> </w:t>
      </w:r>
      <w:r w:rsidR="001B0E6D" w:rsidRPr="00237BD3">
        <w:rPr>
          <w:sz w:val="24"/>
          <w:szCs w:val="24"/>
          <w:lang w:val="en-US"/>
        </w:rPr>
        <w:t>of</w:t>
      </w:r>
      <w:r w:rsidR="001B0E6D" w:rsidRPr="00237BD3">
        <w:rPr>
          <w:sz w:val="24"/>
          <w:szCs w:val="24"/>
        </w:rPr>
        <w:t xml:space="preserve"> </w:t>
      </w:r>
      <w:r w:rsidR="001B0E6D" w:rsidRPr="00237BD3">
        <w:rPr>
          <w:sz w:val="24"/>
          <w:szCs w:val="24"/>
          <w:lang w:val="en-US"/>
        </w:rPr>
        <w:t>Life</w:t>
      </w:r>
      <w:r w:rsidR="001B0E6D" w:rsidRPr="00237BD3">
        <w:rPr>
          <w:sz w:val="24"/>
          <w:szCs w:val="24"/>
        </w:rPr>
        <w:t xml:space="preserve"> </w:t>
      </w:r>
      <w:r w:rsidR="001B0E6D" w:rsidRPr="00237BD3">
        <w:rPr>
          <w:sz w:val="24"/>
          <w:szCs w:val="24"/>
          <w:lang w:val="en-US"/>
        </w:rPr>
        <w:t>Index</w:t>
      </w:r>
      <w:r w:rsidR="001B0E6D" w:rsidRPr="00237BD3">
        <w:rPr>
          <w:sz w:val="24"/>
          <w:szCs w:val="24"/>
        </w:rPr>
        <w:t>-15.</w:t>
      </w:r>
      <w:r w:rsidR="00FD7042" w:rsidRPr="00237BD3">
        <w:rPr>
          <w:sz w:val="24"/>
          <w:szCs w:val="24"/>
        </w:rPr>
        <w:t xml:space="preserve"> Η στατιστική ανάλυση των δεδομένων έγινε μέσω του </w:t>
      </w:r>
      <w:r w:rsidR="00FD7042" w:rsidRPr="00237BD3">
        <w:rPr>
          <w:rFonts w:cs="Calibri"/>
          <w:sz w:val="24"/>
          <w:szCs w:val="24"/>
        </w:rPr>
        <w:t xml:space="preserve">στατιστικού πρόγραμματος SPSS 19.0. </w:t>
      </w:r>
      <w:r w:rsidR="00556585">
        <w:rPr>
          <w:rFonts w:cs="Calibri"/>
          <w:sz w:val="24"/>
          <w:szCs w:val="24"/>
          <w:lang w:val="en-US"/>
        </w:rPr>
        <w:t>To</w:t>
      </w:r>
      <w:r w:rsidR="00556585" w:rsidRPr="001979E4">
        <w:rPr>
          <w:rFonts w:cs="Calibri"/>
          <w:sz w:val="24"/>
          <w:szCs w:val="24"/>
        </w:rPr>
        <w:t xml:space="preserve"> </w:t>
      </w:r>
      <w:r w:rsidR="00556585">
        <w:rPr>
          <w:rFonts w:cs="Calibri"/>
          <w:sz w:val="24"/>
          <w:szCs w:val="24"/>
        </w:rPr>
        <w:t xml:space="preserve">επίπεδο </w:t>
      </w:r>
      <w:r w:rsidR="00FD7042" w:rsidRPr="00237BD3">
        <w:rPr>
          <w:rFonts w:cs="Calibri"/>
          <w:sz w:val="24"/>
          <w:szCs w:val="24"/>
        </w:rPr>
        <w:t>στατιστική</w:t>
      </w:r>
      <w:r w:rsidR="00556585">
        <w:rPr>
          <w:rFonts w:cs="Calibri"/>
          <w:sz w:val="24"/>
          <w:szCs w:val="24"/>
        </w:rPr>
        <w:t>ς</w:t>
      </w:r>
      <w:r w:rsidR="00FD7042" w:rsidRPr="00237BD3">
        <w:rPr>
          <w:rFonts w:cs="Calibri"/>
          <w:sz w:val="24"/>
          <w:szCs w:val="24"/>
        </w:rPr>
        <w:t xml:space="preserve"> σημαντικότητα</w:t>
      </w:r>
      <w:r w:rsidR="00556585">
        <w:rPr>
          <w:rFonts w:cs="Calibri"/>
          <w:sz w:val="24"/>
          <w:szCs w:val="24"/>
        </w:rPr>
        <w:t xml:space="preserve">ς τέθηκε στο </w:t>
      </w:r>
      <w:r w:rsidR="00EF6A06">
        <w:rPr>
          <w:rFonts w:cs="Calibri"/>
          <w:sz w:val="24"/>
          <w:szCs w:val="24"/>
        </w:rPr>
        <w:t>0,</w:t>
      </w:r>
      <w:r w:rsidR="00FD7042" w:rsidRPr="00237BD3">
        <w:rPr>
          <w:rFonts w:cs="Calibri"/>
          <w:sz w:val="24"/>
          <w:szCs w:val="24"/>
        </w:rPr>
        <w:t>05.</w:t>
      </w:r>
    </w:p>
    <w:p w:rsidR="00E52E4D" w:rsidRDefault="003F5283" w:rsidP="004A6CD0">
      <w:pPr>
        <w:spacing w:line="360" w:lineRule="auto"/>
        <w:jc w:val="both"/>
        <w:rPr>
          <w:sz w:val="24"/>
          <w:szCs w:val="24"/>
        </w:rPr>
      </w:pPr>
      <w:r w:rsidRPr="00237BD3">
        <w:rPr>
          <w:b/>
          <w:sz w:val="24"/>
          <w:szCs w:val="24"/>
        </w:rPr>
        <w:t>Αποτελέσματα:</w:t>
      </w:r>
      <w:r w:rsidR="004A6CD0" w:rsidRPr="00237BD3">
        <w:rPr>
          <w:b/>
          <w:sz w:val="24"/>
          <w:szCs w:val="24"/>
        </w:rPr>
        <w:t xml:space="preserve"> </w:t>
      </w:r>
      <w:r w:rsidR="00556585">
        <w:rPr>
          <w:sz w:val="24"/>
          <w:szCs w:val="24"/>
          <w:lang w:val="en-US"/>
        </w:rPr>
        <w:t>H</w:t>
      </w:r>
      <w:r w:rsidR="00BE1706" w:rsidRPr="00237BD3">
        <w:rPr>
          <w:spacing w:val="-27"/>
          <w:sz w:val="24"/>
          <w:szCs w:val="24"/>
        </w:rPr>
        <w:t xml:space="preserve"> </w:t>
      </w:r>
      <w:r w:rsidR="00BE1706" w:rsidRPr="00237BD3">
        <w:rPr>
          <w:spacing w:val="-3"/>
          <w:sz w:val="24"/>
          <w:szCs w:val="24"/>
        </w:rPr>
        <w:t xml:space="preserve">συνολική </w:t>
      </w:r>
      <w:r w:rsidR="00BE1706" w:rsidRPr="00237BD3">
        <w:rPr>
          <w:sz w:val="24"/>
          <w:szCs w:val="24"/>
        </w:rPr>
        <w:t xml:space="preserve">αξιοπιστία των ερωτηματολογίων </w:t>
      </w:r>
      <w:r w:rsidR="00BE1706" w:rsidRPr="00237BD3">
        <w:rPr>
          <w:sz w:val="24"/>
          <w:szCs w:val="24"/>
          <w:lang w:val="en-US"/>
        </w:rPr>
        <w:t>Kidney</w:t>
      </w:r>
      <w:r w:rsidR="00BE1706" w:rsidRPr="00237BD3">
        <w:rPr>
          <w:sz w:val="24"/>
          <w:szCs w:val="24"/>
        </w:rPr>
        <w:t xml:space="preserve"> </w:t>
      </w:r>
      <w:r w:rsidR="00BE1706" w:rsidRPr="00237BD3">
        <w:rPr>
          <w:sz w:val="24"/>
          <w:szCs w:val="24"/>
          <w:lang w:val="en-US"/>
        </w:rPr>
        <w:t>Disease</w:t>
      </w:r>
      <w:r w:rsidR="00BE1706" w:rsidRPr="00237BD3">
        <w:rPr>
          <w:sz w:val="24"/>
          <w:szCs w:val="24"/>
        </w:rPr>
        <w:t xml:space="preserve"> </w:t>
      </w:r>
      <w:r w:rsidR="00BE1706" w:rsidRPr="00237BD3">
        <w:rPr>
          <w:sz w:val="24"/>
          <w:szCs w:val="24"/>
          <w:lang w:val="en-US"/>
        </w:rPr>
        <w:t>Questionnaire</w:t>
      </w:r>
      <w:r w:rsidR="00BE1706" w:rsidRPr="00237BD3">
        <w:rPr>
          <w:sz w:val="24"/>
          <w:szCs w:val="24"/>
        </w:rPr>
        <w:t xml:space="preserve"> και </w:t>
      </w:r>
      <w:r w:rsidR="00BE1706" w:rsidRPr="00237BD3">
        <w:rPr>
          <w:sz w:val="24"/>
          <w:szCs w:val="24"/>
          <w:lang w:val="en-US"/>
        </w:rPr>
        <w:t>GR</w:t>
      </w:r>
      <w:r w:rsidR="00BE1706" w:rsidRPr="00237BD3">
        <w:rPr>
          <w:sz w:val="24"/>
          <w:szCs w:val="24"/>
        </w:rPr>
        <w:t>-</w:t>
      </w:r>
      <w:r w:rsidR="00BE1706" w:rsidRPr="00237BD3">
        <w:rPr>
          <w:sz w:val="24"/>
          <w:szCs w:val="24"/>
          <w:lang w:val="en-US"/>
        </w:rPr>
        <w:t>Simplif</w:t>
      </w:r>
      <w:r w:rsidR="001B0E6D" w:rsidRPr="00237BD3">
        <w:rPr>
          <w:sz w:val="24"/>
          <w:szCs w:val="24"/>
          <w:lang w:val="en-US"/>
        </w:rPr>
        <w:t>i</w:t>
      </w:r>
      <w:r w:rsidR="00BE1706" w:rsidRPr="00237BD3">
        <w:rPr>
          <w:sz w:val="24"/>
          <w:szCs w:val="24"/>
          <w:lang w:val="en-US"/>
        </w:rPr>
        <w:t>ed</w:t>
      </w:r>
      <w:r w:rsidR="00BE1706" w:rsidRPr="00237BD3">
        <w:rPr>
          <w:sz w:val="24"/>
          <w:szCs w:val="24"/>
        </w:rPr>
        <w:t xml:space="preserve"> </w:t>
      </w:r>
      <w:r w:rsidR="00BE1706" w:rsidRPr="00237BD3">
        <w:rPr>
          <w:sz w:val="24"/>
          <w:szCs w:val="24"/>
          <w:lang w:val="en-US"/>
        </w:rPr>
        <w:t>Medication</w:t>
      </w:r>
      <w:r w:rsidR="00BE1706" w:rsidRPr="00237BD3">
        <w:rPr>
          <w:sz w:val="24"/>
          <w:szCs w:val="24"/>
        </w:rPr>
        <w:t xml:space="preserve"> </w:t>
      </w:r>
      <w:r w:rsidR="00BE1706" w:rsidRPr="00237BD3">
        <w:rPr>
          <w:sz w:val="24"/>
          <w:szCs w:val="24"/>
          <w:lang w:val="en-US"/>
        </w:rPr>
        <w:t>Adherence</w:t>
      </w:r>
      <w:r w:rsidR="00BE1706" w:rsidRPr="00237BD3">
        <w:rPr>
          <w:sz w:val="24"/>
          <w:szCs w:val="24"/>
        </w:rPr>
        <w:t xml:space="preserve"> </w:t>
      </w:r>
      <w:r w:rsidR="00BE1706" w:rsidRPr="00237BD3">
        <w:rPr>
          <w:sz w:val="24"/>
          <w:szCs w:val="24"/>
          <w:lang w:val="en-US"/>
        </w:rPr>
        <w:t>Questionnaire</w:t>
      </w:r>
      <w:r w:rsidR="00BE1706" w:rsidRPr="00237BD3">
        <w:rPr>
          <w:sz w:val="24"/>
          <w:szCs w:val="24"/>
        </w:rPr>
        <w:t>-</w:t>
      </w:r>
      <w:r w:rsidR="00BE1706" w:rsidRPr="00237BD3">
        <w:rPr>
          <w:sz w:val="24"/>
          <w:szCs w:val="24"/>
          <w:lang w:val="en-US"/>
        </w:rPr>
        <w:t>HD</w:t>
      </w:r>
      <w:r w:rsidR="00BE1706" w:rsidRPr="00237BD3">
        <w:rPr>
          <w:sz w:val="24"/>
          <w:szCs w:val="24"/>
        </w:rPr>
        <w:t xml:space="preserve"> ήταν υψηλή (συντελεστής  </w:t>
      </w:r>
      <w:r w:rsidR="00BE1706" w:rsidRPr="00237BD3">
        <w:rPr>
          <w:sz w:val="24"/>
          <w:szCs w:val="24"/>
          <w:lang w:val="en-US"/>
        </w:rPr>
        <w:t>Cronbach</w:t>
      </w:r>
      <w:r w:rsidR="00BE1706" w:rsidRPr="00237BD3">
        <w:rPr>
          <w:sz w:val="24"/>
          <w:szCs w:val="24"/>
        </w:rPr>
        <w:t>’</w:t>
      </w:r>
      <w:r w:rsidR="00BE1706" w:rsidRPr="00237BD3">
        <w:rPr>
          <w:sz w:val="24"/>
          <w:szCs w:val="24"/>
          <w:lang w:val="en-US"/>
        </w:rPr>
        <w:t>s</w:t>
      </w:r>
      <w:r w:rsidR="00822817" w:rsidRPr="00237BD3">
        <w:rPr>
          <w:sz w:val="24"/>
          <w:szCs w:val="24"/>
        </w:rPr>
        <w:t xml:space="preserve"> </w:t>
      </w:r>
      <w:r w:rsidR="00822817" w:rsidRPr="00237BD3">
        <w:rPr>
          <w:sz w:val="24"/>
          <w:szCs w:val="24"/>
          <w:lang w:val="en-US"/>
        </w:rPr>
        <w:t>Alpha</w:t>
      </w:r>
      <w:r w:rsidR="00BE1706" w:rsidRPr="00237BD3">
        <w:rPr>
          <w:sz w:val="24"/>
          <w:szCs w:val="24"/>
        </w:rPr>
        <w:t xml:space="preserve"> 0,85 και </w:t>
      </w:r>
      <w:r w:rsidR="00E86490" w:rsidRPr="00237BD3">
        <w:rPr>
          <w:sz w:val="24"/>
          <w:szCs w:val="24"/>
        </w:rPr>
        <w:t>0,71</w:t>
      </w:r>
      <w:r w:rsidR="00BE1706" w:rsidRPr="00237BD3">
        <w:rPr>
          <w:sz w:val="24"/>
          <w:szCs w:val="24"/>
        </w:rPr>
        <w:t xml:space="preserve">  αντίστοιχα).</w:t>
      </w:r>
      <w:r w:rsidR="00E86490" w:rsidRPr="00237BD3">
        <w:rPr>
          <w:sz w:val="24"/>
          <w:szCs w:val="24"/>
        </w:rPr>
        <w:t xml:space="preserve"> Η μέση ηλικία των ατό</w:t>
      </w:r>
      <w:r w:rsidR="00EE1E70">
        <w:rPr>
          <w:sz w:val="24"/>
          <w:szCs w:val="24"/>
        </w:rPr>
        <w:t>μων της ομάδας ελέγχου ήταν 49,8</w:t>
      </w:r>
      <w:r w:rsidR="00E86490" w:rsidRPr="00237BD3">
        <w:rPr>
          <w:sz w:val="24"/>
          <w:szCs w:val="24"/>
        </w:rPr>
        <w:t xml:space="preserve"> έτη (</w:t>
      </w:r>
      <w:r w:rsidR="00556585">
        <w:rPr>
          <w:sz w:val="24"/>
          <w:szCs w:val="24"/>
          <w:lang w:val="en-US"/>
        </w:rPr>
        <w:t>TA</w:t>
      </w:r>
      <w:r w:rsidR="00E86490" w:rsidRPr="00237BD3">
        <w:rPr>
          <w:sz w:val="24"/>
          <w:szCs w:val="24"/>
        </w:rPr>
        <w:t>=8,5 έτη) και τ</w:t>
      </w:r>
      <w:r w:rsidR="00EE1E70">
        <w:rPr>
          <w:sz w:val="24"/>
          <w:szCs w:val="24"/>
        </w:rPr>
        <w:t>ων ατόμων της ομάδας παρέμβασης</w:t>
      </w:r>
      <w:r w:rsidR="00E86490" w:rsidRPr="00237BD3">
        <w:rPr>
          <w:sz w:val="24"/>
          <w:szCs w:val="24"/>
        </w:rPr>
        <w:t xml:space="preserve"> 51,2 έτη (</w:t>
      </w:r>
      <w:r w:rsidR="00556585">
        <w:rPr>
          <w:sz w:val="24"/>
          <w:szCs w:val="24"/>
          <w:lang w:val="en-US"/>
        </w:rPr>
        <w:t>TA</w:t>
      </w:r>
      <w:r w:rsidR="00E86490" w:rsidRPr="00237BD3">
        <w:rPr>
          <w:sz w:val="24"/>
          <w:szCs w:val="24"/>
        </w:rPr>
        <w:t xml:space="preserve">=11,5 έτη). </w:t>
      </w:r>
    </w:p>
    <w:p w:rsidR="00E52E4D" w:rsidRDefault="00E86490" w:rsidP="004A6CD0">
      <w:pPr>
        <w:spacing w:line="360" w:lineRule="auto"/>
        <w:jc w:val="both"/>
        <w:rPr>
          <w:sz w:val="24"/>
          <w:szCs w:val="24"/>
        </w:rPr>
      </w:pPr>
      <w:r w:rsidRPr="00237BD3">
        <w:rPr>
          <w:sz w:val="24"/>
          <w:szCs w:val="24"/>
        </w:rPr>
        <w:t xml:space="preserve">Πριν την παρέμβαση οι </w:t>
      </w:r>
      <w:r w:rsidR="00BA566F">
        <w:rPr>
          <w:sz w:val="24"/>
          <w:szCs w:val="24"/>
        </w:rPr>
        <w:t>δύο</w:t>
      </w:r>
      <w:r w:rsidRPr="00237BD3">
        <w:rPr>
          <w:sz w:val="24"/>
          <w:szCs w:val="24"/>
        </w:rPr>
        <w:t xml:space="preserve"> ομάδες είχαν παρόμοιο επίπεδο γνώσης</w:t>
      </w:r>
      <w:r w:rsidR="00556585">
        <w:rPr>
          <w:sz w:val="24"/>
          <w:szCs w:val="24"/>
        </w:rPr>
        <w:t>.  Μετά την παρέμβαση</w:t>
      </w:r>
      <w:r w:rsidRPr="00237BD3">
        <w:rPr>
          <w:sz w:val="24"/>
          <w:szCs w:val="24"/>
        </w:rPr>
        <w:t xml:space="preserve"> σημειώθηκε σημαντική αύξηση και στις </w:t>
      </w:r>
      <w:r w:rsidR="00BA566F">
        <w:rPr>
          <w:sz w:val="24"/>
          <w:szCs w:val="24"/>
        </w:rPr>
        <w:t>δύο</w:t>
      </w:r>
      <w:r w:rsidRPr="00237BD3">
        <w:rPr>
          <w:sz w:val="24"/>
          <w:szCs w:val="24"/>
        </w:rPr>
        <w:t xml:space="preserve"> ομάδες,</w:t>
      </w:r>
      <w:r w:rsidR="00556585">
        <w:rPr>
          <w:sz w:val="24"/>
          <w:szCs w:val="24"/>
        </w:rPr>
        <w:t xml:space="preserve"> όμως,</w:t>
      </w:r>
      <w:r w:rsidRPr="00237BD3">
        <w:rPr>
          <w:sz w:val="24"/>
          <w:szCs w:val="24"/>
        </w:rPr>
        <w:t xml:space="preserve"> η αύξηση στην ομάδα παρέμβασης ήταν σημαντικά υψηλότερη, καταλήγοντας να έχει σημαντικά υψηλότερη βαθμολογία σε σύγκριση με την ομάδα ελέγχου μετά την παρέμβαση. Η συμμόρφωση, τόσο πριν όσο και μετά την παρέμβαση, ήταν συνολικά υψηλότερη στην ομάδα παρέμβασης σε σύγκριση με την ομάδα ελέγχου. Επίσης, σημειώθηκε σημαντική βελτίωση στη συμμόρφωση μόνο στην ομάδα παρέμβασης ενώ στην ομάδα ελέγχου παρέμεινε σε παρόμοια επίπεδα.</w:t>
      </w:r>
      <w:r w:rsidR="00146A0B" w:rsidRPr="00237BD3">
        <w:rPr>
          <w:sz w:val="24"/>
          <w:szCs w:val="24"/>
        </w:rPr>
        <w:t xml:space="preserve"> Η συνολική βαθμολογία ποιότητας ζωής πριν την παρέμβαση, δεν διέφερε σημαντικά μεταξύ των ομάδων. Μετά την παρέμβαση, όμως, τα άτομα της ομάδας παρέμβασης είχαν σημαντικά υψηλότερη βαθμολογία, δηλαδή καλύτερη ποιότητα ζωής σε σύγκριση με τα άτομα της ομάδας ελέγχου</w:t>
      </w:r>
      <w:r w:rsidR="00146A0B" w:rsidRPr="00817853">
        <w:rPr>
          <w:sz w:val="24"/>
          <w:szCs w:val="24"/>
        </w:rPr>
        <w:t xml:space="preserve">. </w:t>
      </w:r>
    </w:p>
    <w:p w:rsidR="00E52E4D" w:rsidRDefault="00146A0B" w:rsidP="004A6CD0">
      <w:pPr>
        <w:spacing w:line="360" w:lineRule="auto"/>
        <w:jc w:val="both"/>
        <w:rPr>
          <w:sz w:val="24"/>
          <w:szCs w:val="24"/>
        </w:rPr>
      </w:pPr>
      <w:r w:rsidRPr="00817853">
        <w:rPr>
          <w:sz w:val="24"/>
          <w:szCs w:val="24"/>
        </w:rPr>
        <w:t>Πριν την παρέμβαση, δεν υπήρξε σημαντική συσχέτιση μεταξύ της κλίμακας γνώσεων και των διαστάσεων της κλίμακας συμμόρφωσης ούτε και μεταξύ της κλίμακας γνώσεων και των διαστάσεων της ποιότητας ζωής. Υπήρξε, όμως, σημαντική θετική συσχέτιση της διάστασης «Συμπτώματα» με τη συνολική βαθμολογία συμμόρφωσης καθώς και με τη συμμόρφωση με την παρουσία στη συνεδρία και με τα υγρά και τη διαιτητική συμπεριφορά. Μετά την παρέμβαση δεν υπήρξε σημαντική συσχέτιση μεταξύ της μεταβολής της κλίμακας γνώσεων και των μεταβολών των διαστάσεων της κλίμακας συμμόρφωσης ούτε και μεταξύ των μεταβολών</w:t>
      </w:r>
      <w:r w:rsidRPr="00237BD3">
        <w:rPr>
          <w:sz w:val="24"/>
          <w:szCs w:val="24"/>
        </w:rPr>
        <w:t xml:space="preserve"> της κλίμακας γνώσεων και των διαστάσεων ποιότητας ζωής. Υπήρξε, όμως, σημαντική θετική συσχέτιση της μεταβολής της συνολικής βαθμολογίας ποιότητας ζωής  με τις μεταβολές στη συνολική βαθμολογία συμμόρφωσης καθώς και στη συμμόρφωση με τα υγρά και τη διαιτητική συμπεριφορά.</w:t>
      </w:r>
      <w:r w:rsidR="00DB2B50" w:rsidRPr="00237BD3">
        <w:rPr>
          <w:sz w:val="24"/>
          <w:szCs w:val="24"/>
        </w:rPr>
        <w:t xml:space="preserve"> </w:t>
      </w:r>
    </w:p>
    <w:p w:rsidR="00146A0B" w:rsidRPr="00E52E4D" w:rsidRDefault="00DB2B50" w:rsidP="004A6CD0">
      <w:pPr>
        <w:spacing w:line="360" w:lineRule="auto"/>
        <w:jc w:val="both"/>
        <w:rPr>
          <w:sz w:val="24"/>
          <w:szCs w:val="24"/>
        </w:rPr>
      </w:pPr>
      <w:r w:rsidRPr="00E52E4D">
        <w:rPr>
          <w:sz w:val="24"/>
          <w:szCs w:val="24"/>
        </w:rPr>
        <w:t>Η μεταβολή στη βαθμολογία γνώσεων βρέθηκε να σχετίζεται αρνητικά σημαντικά με τα έτη υπ</w:t>
      </w:r>
      <w:r w:rsidR="007B64BD" w:rsidRPr="00E52E4D">
        <w:rPr>
          <w:sz w:val="24"/>
          <w:szCs w:val="24"/>
        </w:rPr>
        <w:t>ο</w:t>
      </w:r>
      <w:r w:rsidRPr="00E52E4D">
        <w:rPr>
          <w:sz w:val="24"/>
          <w:szCs w:val="24"/>
        </w:rPr>
        <w:t>βολής στην αιμοκάθαρση.</w:t>
      </w:r>
      <w:r w:rsidR="007B64BD" w:rsidRPr="00E52E4D">
        <w:rPr>
          <w:sz w:val="24"/>
          <w:szCs w:val="24"/>
        </w:rPr>
        <w:t xml:space="preserve"> Πριν την παρέμβαση ήταν ενδεικτική η διαφορά στη διάσταση «Συμπτώματα» μεταξύ αντρών και γυναικών (</w:t>
      </w:r>
      <w:r w:rsidR="007B64BD" w:rsidRPr="00E52E4D">
        <w:rPr>
          <w:sz w:val="24"/>
          <w:szCs w:val="24"/>
          <w:lang w:val="en-US"/>
        </w:rPr>
        <w:t>p</w:t>
      </w:r>
      <w:r w:rsidR="007B64BD" w:rsidRPr="00E52E4D">
        <w:rPr>
          <w:sz w:val="24"/>
          <w:szCs w:val="24"/>
        </w:rPr>
        <w:t>=0,084). Ωστόσο, σημειώθηκε σημαντική αύξηση μετά την παρέμβαση μόνο στις γυναίκες (</w:t>
      </w:r>
      <w:r w:rsidR="007B64BD" w:rsidRPr="00E52E4D">
        <w:rPr>
          <w:sz w:val="24"/>
          <w:szCs w:val="24"/>
          <w:lang w:val="en-US"/>
        </w:rPr>
        <w:t>p</w:t>
      </w:r>
      <w:r w:rsidR="007B64BD" w:rsidRPr="00E52E4D">
        <w:rPr>
          <w:sz w:val="24"/>
          <w:szCs w:val="24"/>
        </w:rPr>
        <w:t>=0,004), φτάνοντας σε παρόμοια επίπεδα με τους άντρες (</w:t>
      </w:r>
      <w:r w:rsidR="007B64BD" w:rsidRPr="00E52E4D">
        <w:rPr>
          <w:sz w:val="24"/>
          <w:szCs w:val="24"/>
          <w:lang w:val="en-US"/>
        </w:rPr>
        <w:t>p</w:t>
      </w:r>
      <w:r w:rsidR="007B64BD" w:rsidRPr="00E52E4D">
        <w:rPr>
          <w:sz w:val="24"/>
          <w:szCs w:val="24"/>
        </w:rPr>
        <w:t>=0,686). Η βελτίωση στη διάσταση «Συμπτώματα» ήταν σημαντικά υψηλότερη στις γυναίκες σε σύγκριση με τους άντρες. Υπήρξε σημαντική θετική συσχέτιση της ηλικίας των συμμετεχόντων με την βελτίωση στην ποιότητα ζωής συνολικά αλλά και τη διάσταση «Πνευματικότητα».</w:t>
      </w:r>
    </w:p>
    <w:p w:rsidR="003F5283" w:rsidRDefault="003F5283" w:rsidP="00DA2981">
      <w:pPr>
        <w:pStyle w:val="nouk"/>
      </w:pPr>
      <w:r w:rsidRPr="00237BD3">
        <w:rPr>
          <w:b/>
        </w:rPr>
        <w:t>Συμπεράσματα:</w:t>
      </w:r>
      <w:r w:rsidR="00DA2981" w:rsidRPr="00237BD3">
        <w:t xml:space="preserve"> Η συμβουλευτική </w:t>
      </w:r>
      <w:r w:rsidR="00AA0B39">
        <w:t>ν</w:t>
      </w:r>
      <w:r w:rsidR="00DA116C">
        <w:t xml:space="preserve">οσηλευτική </w:t>
      </w:r>
      <w:r w:rsidR="00DA2981" w:rsidRPr="00237BD3">
        <w:t>παρέμβαση</w:t>
      </w:r>
      <w:r w:rsidR="00864F74" w:rsidRPr="00237BD3">
        <w:t xml:space="preserve"> αποτελεί μια σημαντική νοσηλευτική παρέμβαση για τη βελτίωση του επιπέδου γνώσεων, συμμόρφωσης στο θεραπευτικό σχήμα και ποιότητας ζωής των ασθενών που υποβάλλονται σε αιμοκάθαρση.</w:t>
      </w:r>
    </w:p>
    <w:p w:rsidR="00E42D0E" w:rsidRPr="002703C5" w:rsidRDefault="00E42D0E" w:rsidP="00DA2981">
      <w:pPr>
        <w:pStyle w:val="nouk"/>
      </w:pPr>
      <w:r w:rsidRPr="00C87A04">
        <w:rPr>
          <w:b/>
        </w:rPr>
        <w:t>Λ</w:t>
      </w:r>
      <w:r w:rsidR="00C87A04">
        <w:rPr>
          <w:b/>
        </w:rPr>
        <w:t xml:space="preserve">έξεις - </w:t>
      </w:r>
      <w:r w:rsidRPr="00C87A04">
        <w:rPr>
          <w:b/>
        </w:rPr>
        <w:t>κλειδιά:</w:t>
      </w:r>
      <w:r>
        <w:t xml:space="preserve"> γνώσεις ασθενών, ποιότητα ζωής, συμβουλευτική</w:t>
      </w:r>
      <w:r w:rsidR="00A6403B" w:rsidRPr="00A6403B">
        <w:t xml:space="preserve"> </w:t>
      </w:r>
      <w:r w:rsidR="00A6403B">
        <w:t>Νοσηλευτική</w:t>
      </w:r>
      <w:r w:rsidR="00C87A04">
        <w:t>,</w:t>
      </w:r>
      <w:r w:rsidR="00C87A04" w:rsidRPr="00C87A04">
        <w:t xml:space="preserve"> </w:t>
      </w:r>
      <w:r w:rsidR="00C87A04">
        <w:t>συμμόρφωση στο θεραπευτικό σχήμα,</w:t>
      </w:r>
      <w:r w:rsidR="00C87A04" w:rsidRPr="00C87A04">
        <w:t xml:space="preserve"> </w:t>
      </w:r>
      <w:r w:rsidR="00C87A04">
        <w:t>Χρόνια Νεφρική Νόσος</w:t>
      </w:r>
      <w:r w:rsidR="00C87A04" w:rsidRPr="00C87A04">
        <w:t xml:space="preserve"> </w:t>
      </w:r>
      <w:r w:rsidR="00C87A04">
        <w:t>Τελικού Σταδίου</w:t>
      </w:r>
    </w:p>
    <w:p w:rsidR="00C87A04" w:rsidRDefault="00C87A04" w:rsidP="00B82577">
      <w:pPr>
        <w:pStyle w:val="1a"/>
        <w:spacing w:after="240"/>
      </w:pPr>
    </w:p>
    <w:p w:rsidR="00C87A04" w:rsidRDefault="00C87A04" w:rsidP="00B82577">
      <w:pPr>
        <w:pStyle w:val="1a"/>
        <w:spacing w:after="240"/>
      </w:pPr>
    </w:p>
    <w:p w:rsidR="00C87A04" w:rsidRDefault="00C87A04" w:rsidP="00B82577">
      <w:pPr>
        <w:pStyle w:val="1a"/>
        <w:spacing w:after="240"/>
      </w:pPr>
    </w:p>
    <w:p w:rsidR="00C87A04" w:rsidRDefault="00C87A04" w:rsidP="00B82577">
      <w:pPr>
        <w:pStyle w:val="1a"/>
        <w:spacing w:after="240"/>
      </w:pPr>
    </w:p>
    <w:p w:rsidR="00C87A04" w:rsidRDefault="00C87A04" w:rsidP="00B82577">
      <w:pPr>
        <w:pStyle w:val="1a"/>
        <w:spacing w:after="240"/>
      </w:pPr>
    </w:p>
    <w:p w:rsidR="00C87A04" w:rsidRDefault="00C87A04" w:rsidP="00B82577">
      <w:pPr>
        <w:pStyle w:val="1a"/>
        <w:spacing w:after="240"/>
      </w:pPr>
    </w:p>
    <w:p w:rsidR="00C87A04" w:rsidRDefault="00C87A04" w:rsidP="00B82577">
      <w:pPr>
        <w:pStyle w:val="1a"/>
        <w:spacing w:after="240"/>
      </w:pPr>
    </w:p>
    <w:p w:rsidR="00C87A04" w:rsidRDefault="00C87A04" w:rsidP="00B82577">
      <w:pPr>
        <w:pStyle w:val="1a"/>
        <w:spacing w:after="240"/>
      </w:pPr>
    </w:p>
    <w:p w:rsidR="00C87A04" w:rsidRDefault="00C87A04" w:rsidP="00C87A04"/>
    <w:p w:rsidR="00C87A04" w:rsidRDefault="00C87A04" w:rsidP="00C87A04"/>
    <w:p w:rsidR="00C87A04" w:rsidRDefault="00C87A04" w:rsidP="00C87A04"/>
    <w:p w:rsidR="00C87A04" w:rsidRDefault="00C87A04" w:rsidP="00C87A04"/>
    <w:p w:rsidR="00C87A04" w:rsidRDefault="00C87A04" w:rsidP="00C87A04"/>
    <w:p w:rsidR="00C87A04" w:rsidRPr="00E739F3" w:rsidRDefault="00C87A04" w:rsidP="00C87A04">
      <w:pPr>
        <w:autoSpaceDE w:val="0"/>
        <w:autoSpaceDN w:val="0"/>
        <w:adjustRightInd w:val="0"/>
        <w:spacing w:after="0" w:line="240" w:lineRule="auto"/>
        <w:jc w:val="center"/>
        <w:rPr>
          <w:rFonts w:asciiTheme="minorHAnsi" w:hAnsiTheme="minorHAnsi" w:cstheme="minorHAnsi"/>
          <w:sz w:val="28"/>
          <w:szCs w:val="28"/>
          <w:lang w:eastAsia="el-GR"/>
        </w:rPr>
      </w:pPr>
    </w:p>
    <w:p w:rsidR="00685EF1" w:rsidRPr="00685EF1" w:rsidRDefault="00685EF1" w:rsidP="00685EF1">
      <w:pPr>
        <w:autoSpaceDE w:val="0"/>
        <w:autoSpaceDN w:val="0"/>
        <w:adjustRightInd w:val="0"/>
        <w:spacing w:after="0" w:line="360" w:lineRule="auto"/>
        <w:jc w:val="center"/>
        <w:rPr>
          <w:rFonts w:asciiTheme="minorHAnsi" w:hAnsiTheme="minorHAnsi" w:cstheme="minorHAnsi"/>
          <w:sz w:val="28"/>
          <w:szCs w:val="28"/>
          <w:lang w:val="en-US" w:eastAsia="el-GR"/>
        </w:rPr>
      </w:pPr>
      <w:r w:rsidRPr="00685EF1">
        <w:rPr>
          <w:rFonts w:asciiTheme="minorHAnsi" w:hAnsiTheme="minorHAnsi" w:cstheme="minorHAnsi"/>
          <w:sz w:val="28"/>
          <w:szCs w:val="28"/>
          <w:lang w:val="en-US" w:eastAsia="el-GR"/>
        </w:rPr>
        <w:t>THE EFFECTOF NURSING COUNSELING ON IMPROVING THE LEVEL OF KNOWLEDGE, QUALITY OF LIFE AND ADHERENCE OF PATIENTS UNDERGOING HEMODIALYSIS TO THERAPEUTIC REGIMEN</w:t>
      </w:r>
    </w:p>
    <w:p w:rsidR="00685EF1" w:rsidRDefault="00685EF1" w:rsidP="00C87A04">
      <w:pPr>
        <w:autoSpaceDE w:val="0"/>
        <w:autoSpaceDN w:val="0"/>
        <w:adjustRightInd w:val="0"/>
        <w:spacing w:after="0" w:line="240" w:lineRule="auto"/>
        <w:jc w:val="center"/>
        <w:rPr>
          <w:rFonts w:asciiTheme="minorHAnsi" w:hAnsiTheme="minorHAnsi" w:cstheme="minorHAnsi"/>
          <w:b/>
          <w:sz w:val="28"/>
          <w:szCs w:val="28"/>
          <w:lang w:val="en-US" w:eastAsia="el-GR"/>
        </w:rPr>
      </w:pPr>
      <w:r>
        <w:rPr>
          <w:rFonts w:asciiTheme="minorHAnsi" w:hAnsiTheme="minorHAnsi" w:cstheme="minorHAnsi"/>
          <w:b/>
          <w:sz w:val="28"/>
          <w:szCs w:val="28"/>
          <w:lang w:val="en-US" w:eastAsia="el-GR"/>
        </w:rPr>
        <w:t xml:space="preserve"> </w:t>
      </w:r>
    </w:p>
    <w:p w:rsidR="00C87A04" w:rsidRPr="00B8771B" w:rsidRDefault="00C87A04" w:rsidP="00C87A04">
      <w:pPr>
        <w:autoSpaceDE w:val="0"/>
        <w:autoSpaceDN w:val="0"/>
        <w:adjustRightInd w:val="0"/>
        <w:spacing w:after="0" w:line="240" w:lineRule="auto"/>
        <w:jc w:val="center"/>
        <w:rPr>
          <w:rFonts w:asciiTheme="minorHAnsi" w:hAnsiTheme="minorHAnsi" w:cstheme="minorHAnsi"/>
          <w:b/>
          <w:sz w:val="28"/>
          <w:szCs w:val="28"/>
          <w:lang w:val="en-US" w:eastAsia="el-GR"/>
        </w:rPr>
      </w:pPr>
      <w:r w:rsidRPr="00B8771B">
        <w:rPr>
          <w:rFonts w:asciiTheme="minorHAnsi" w:hAnsiTheme="minorHAnsi" w:cstheme="minorHAnsi"/>
          <w:b/>
          <w:sz w:val="28"/>
          <w:szCs w:val="28"/>
          <w:lang w:val="en-US" w:eastAsia="el-GR"/>
        </w:rPr>
        <w:t xml:space="preserve">VICTORIA </w:t>
      </w:r>
      <w:r w:rsidR="00685EF1">
        <w:rPr>
          <w:rFonts w:asciiTheme="minorHAnsi" w:hAnsiTheme="minorHAnsi" w:cstheme="minorHAnsi"/>
          <w:b/>
          <w:sz w:val="28"/>
          <w:szCs w:val="28"/>
          <w:lang w:val="en-US" w:eastAsia="el-GR"/>
        </w:rPr>
        <w:t xml:space="preserve">D. </w:t>
      </w:r>
      <w:r w:rsidRPr="00B8771B">
        <w:rPr>
          <w:rFonts w:asciiTheme="minorHAnsi" w:hAnsiTheme="minorHAnsi" w:cstheme="minorHAnsi"/>
          <w:b/>
          <w:sz w:val="28"/>
          <w:szCs w:val="28"/>
          <w:lang w:val="en-US" w:eastAsia="el-GR"/>
        </w:rPr>
        <w:t>ALIKARI</w:t>
      </w:r>
    </w:p>
    <w:p w:rsidR="00637A4C" w:rsidRPr="00817853" w:rsidRDefault="00637A4C" w:rsidP="00B82577">
      <w:pPr>
        <w:pStyle w:val="1a"/>
        <w:spacing w:after="240"/>
        <w:rPr>
          <w:rFonts w:asciiTheme="minorHAnsi" w:hAnsiTheme="minorHAnsi" w:cstheme="minorHAnsi"/>
          <w:lang w:val="en-US"/>
        </w:rPr>
      </w:pPr>
      <w:bookmarkStart w:id="3" w:name="_Toc495951415"/>
      <w:r w:rsidRPr="00817853">
        <w:rPr>
          <w:rFonts w:asciiTheme="minorHAnsi" w:hAnsiTheme="minorHAnsi" w:cstheme="minorHAnsi"/>
          <w:lang w:val="en-US"/>
        </w:rPr>
        <w:t>ABSTRACT</w:t>
      </w:r>
      <w:bookmarkEnd w:id="3"/>
    </w:p>
    <w:p w:rsidR="00B82577" w:rsidRDefault="00B82577" w:rsidP="000A45F7">
      <w:pPr>
        <w:spacing w:line="360" w:lineRule="auto"/>
        <w:jc w:val="both"/>
        <w:rPr>
          <w:sz w:val="24"/>
          <w:szCs w:val="24"/>
          <w:lang w:val="en-US"/>
        </w:rPr>
      </w:pPr>
      <w:r w:rsidRPr="00B82577">
        <w:rPr>
          <w:b/>
          <w:sz w:val="24"/>
          <w:szCs w:val="24"/>
          <w:lang w:val="en-US"/>
        </w:rPr>
        <w:t>Background</w:t>
      </w:r>
      <w:r w:rsidRPr="00CB61DB">
        <w:rPr>
          <w:b/>
          <w:sz w:val="24"/>
          <w:szCs w:val="24"/>
          <w:lang w:val="en-US"/>
        </w:rPr>
        <w:t>:</w:t>
      </w:r>
      <w:r w:rsidR="00CB61DB" w:rsidRPr="00CB61DB">
        <w:rPr>
          <w:lang w:val="en-US"/>
        </w:rPr>
        <w:t xml:space="preserve"> </w:t>
      </w:r>
      <w:r w:rsidR="00CB61DB" w:rsidRPr="00CB61DB">
        <w:rPr>
          <w:sz w:val="24"/>
          <w:szCs w:val="24"/>
          <w:lang w:val="en-US"/>
        </w:rPr>
        <w:t xml:space="preserve">Hemodialysis is the most common method for the treatment of </w:t>
      </w:r>
      <w:r w:rsidR="004A4186">
        <w:rPr>
          <w:sz w:val="24"/>
          <w:szCs w:val="24"/>
          <w:lang w:val="en-US"/>
        </w:rPr>
        <w:t>End Stage Renal Disease</w:t>
      </w:r>
      <w:r w:rsidR="00CB61DB" w:rsidRPr="00CB61DB">
        <w:rPr>
          <w:sz w:val="24"/>
          <w:szCs w:val="24"/>
          <w:lang w:val="en-US"/>
        </w:rPr>
        <w:t>.</w:t>
      </w:r>
      <w:r w:rsidR="00CB61DB" w:rsidRPr="00CB61DB">
        <w:rPr>
          <w:lang w:val="en-US"/>
        </w:rPr>
        <w:t xml:space="preserve"> </w:t>
      </w:r>
      <w:r w:rsidR="00CB61DB">
        <w:rPr>
          <w:sz w:val="24"/>
          <w:szCs w:val="24"/>
          <w:lang w:val="en-US"/>
        </w:rPr>
        <w:t>C</w:t>
      </w:r>
      <w:r w:rsidR="00CB61DB" w:rsidRPr="00CB61DB">
        <w:rPr>
          <w:sz w:val="24"/>
          <w:szCs w:val="24"/>
          <w:lang w:val="en-US"/>
        </w:rPr>
        <w:t xml:space="preserve">ounseling intervention in hemodialysis patients is considered to be an important factor </w:t>
      </w:r>
      <w:r w:rsidR="00CB61DB">
        <w:rPr>
          <w:sz w:val="24"/>
          <w:szCs w:val="24"/>
          <w:lang w:val="en-US"/>
        </w:rPr>
        <w:t>associated with improving the level of adhere</w:t>
      </w:r>
      <w:r w:rsidR="00CB61DB" w:rsidRPr="00CB61DB">
        <w:rPr>
          <w:sz w:val="24"/>
          <w:szCs w:val="24"/>
          <w:lang w:val="en-US"/>
        </w:rPr>
        <w:t>nce in the treatment regimen and the quality of life of patients.</w:t>
      </w:r>
    </w:p>
    <w:p w:rsidR="000A45F7" w:rsidRDefault="000A45F7" w:rsidP="000A45F7">
      <w:pPr>
        <w:spacing w:line="360" w:lineRule="auto"/>
        <w:jc w:val="both"/>
        <w:rPr>
          <w:sz w:val="24"/>
          <w:szCs w:val="24"/>
          <w:lang w:val="en-US"/>
        </w:rPr>
      </w:pPr>
      <w:r w:rsidRPr="000A45F7">
        <w:rPr>
          <w:b/>
          <w:sz w:val="24"/>
          <w:szCs w:val="24"/>
          <w:lang w:val="en-US"/>
        </w:rPr>
        <w:t>Aim:</w:t>
      </w:r>
      <w:r>
        <w:rPr>
          <w:sz w:val="24"/>
          <w:szCs w:val="24"/>
          <w:lang w:val="en-US"/>
        </w:rPr>
        <w:t xml:space="preserve"> </w:t>
      </w:r>
      <w:r w:rsidRPr="000A45F7">
        <w:rPr>
          <w:sz w:val="24"/>
          <w:szCs w:val="24"/>
          <w:lang w:val="en-US"/>
        </w:rPr>
        <w:t>The assessment of the impact of nursing counseling on ch</w:t>
      </w:r>
      <w:r>
        <w:rPr>
          <w:sz w:val="24"/>
          <w:szCs w:val="24"/>
          <w:lang w:val="en-US"/>
        </w:rPr>
        <w:t>anging the level of knowledge, quality of life and adhere</w:t>
      </w:r>
      <w:r w:rsidRPr="000A45F7">
        <w:rPr>
          <w:sz w:val="24"/>
          <w:szCs w:val="24"/>
          <w:lang w:val="en-US"/>
        </w:rPr>
        <w:t>nce of hemodialysis patients in the treatment regimen.</w:t>
      </w:r>
    </w:p>
    <w:p w:rsidR="000A45F7" w:rsidRPr="00556585" w:rsidRDefault="000A45F7" w:rsidP="000A45F7">
      <w:pPr>
        <w:spacing w:line="360" w:lineRule="auto"/>
        <w:jc w:val="both"/>
        <w:rPr>
          <w:sz w:val="24"/>
          <w:szCs w:val="24"/>
          <w:lang w:val="en-US"/>
        </w:rPr>
      </w:pPr>
      <w:r w:rsidRPr="000A45F7">
        <w:rPr>
          <w:b/>
          <w:sz w:val="24"/>
          <w:szCs w:val="24"/>
          <w:lang w:val="en-US"/>
        </w:rPr>
        <w:t>Method</w:t>
      </w:r>
      <w:r>
        <w:rPr>
          <w:sz w:val="24"/>
          <w:szCs w:val="24"/>
          <w:lang w:val="en-US"/>
        </w:rPr>
        <w:t xml:space="preserve">: </w:t>
      </w:r>
      <w:r w:rsidRPr="000A45F7">
        <w:rPr>
          <w:sz w:val="24"/>
          <w:szCs w:val="24"/>
          <w:lang w:val="en-US"/>
        </w:rPr>
        <w:t>This is a quasi-experimental intervention study involv</w:t>
      </w:r>
      <w:r>
        <w:rPr>
          <w:sz w:val="24"/>
          <w:szCs w:val="24"/>
          <w:lang w:val="en-US"/>
        </w:rPr>
        <w:t>ing patients with End Stage Renal</w:t>
      </w:r>
      <w:r w:rsidRPr="000A45F7">
        <w:rPr>
          <w:sz w:val="24"/>
          <w:szCs w:val="24"/>
          <w:lang w:val="en-US"/>
        </w:rPr>
        <w:t xml:space="preserve"> Disease </w:t>
      </w:r>
      <w:r>
        <w:rPr>
          <w:sz w:val="24"/>
          <w:szCs w:val="24"/>
          <w:lang w:val="en-US"/>
        </w:rPr>
        <w:t xml:space="preserve">conducted </w:t>
      </w:r>
      <w:r w:rsidRPr="000A45F7">
        <w:rPr>
          <w:sz w:val="24"/>
          <w:szCs w:val="24"/>
          <w:lang w:val="en-US"/>
        </w:rPr>
        <w:t>from November 2013 to April 2017.</w:t>
      </w:r>
      <w:r w:rsidRPr="000A45F7">
        <w:rPr>
          <w:lang w:val="en-US"/>
        </w:rPr>
        <w:t xml:space="preserve"> </w:t>
      </w:r>
      <w:r w:rsidRPr="000A45F7">
        <w:rPr>
          <w:sz w:val="24"/>
          <w:szCs w:val="24"/>
          <w:lang w:val="en-US"/>
        </w:rPr>
        <w:t>To measure the knowledge</w:t>
      </w:r>
      <w:r>
        <w:rPr>
          <w:sz w:val="24"/>
          <w:szCs w:val="24"/>
          <w:lang w:val="en-US"/>
        </w:rPr>
        <w:t>’s</w:t>
      </w:r>
      <w:r w:rsidRPr="000A45F7">
        <w:rPr>
          <w:sz w:val="24"/>
          <w:szCs w:val="24"/>
          <w:lang w:val="en-US"/>
        </w:rPr>
        <w:t xml:space="preserve"> level of patients on hemodialysis </w:t>
      </w:r>
      <w:r>
        <w:rPr>
          <w:sz w:val="24"/>
          <w:szCs w:val="24"/>
          <w:lang w:val="en-US"/>
        </w:rPr>
        <w:t xml:space="preserve">the </w:t>
      </w:r>
      <w:r w:rsidRPr="000A45F7">
        <w:rPr>
          <w:sz w:val="24"/>
          <w:szCs w:val="24"/>
          <w:lang w:val="en-US"/>
        </w:rPr>
        <w:t xml:space="preserve">scale </w:t>
      </w:r>
      <w:r w:rsidR="004A4186" w:rsidRPr="004A4186">
        <w:rPr>
          <w:sz w:val="24"/>
          <w:szCs w:val="24"/>
          <w:lang w:val="en-US"/>
        </w:rPr>
        <w:t>«</w:t>
      </w:r>
      <w:r w:rsidRPr="000A45F7">
        <w:rPr>
          <w:sz w:val="24"/>
          <w:szCs w:val="24"/>
          <w:lang w:val="en-US"/>
        </w:rPr>
        <w:t>Kidney Disease Questionnaire</w:t>
      </w:r>
      <w:r w:rsidR="004A4186" w:rsidRPr="004A4186">
        <w:rPr>
          <w:sz w:val="24"/>
          <w:szCs w:val="24"/>
          <w:lang w:val="en-US"/>
        </w:rPr>
        <w:t>»</w:t>
      </w:r>
      <w:r>
        <w:rPr>
          <w:sz w:val="24"/>
          <w:szCs w:val="24"/>
          <w:lang w:val="en-US"/>
        </w:rPr>
        <w:t xml:space="preserve"> was used</w:t>
      </w:r>
      <w:r w:rsidRPr="000A45F7">
        <w:rPr>
          <w:sz w:val="24"/>
          <w:szCs w:val="24"/>
          <w:lang w:val="en-US"/>
        </w:rPr>
        <w:t>.</w:t>
      </w:r>
      <w:r>
        <w:rPr>
          <w:sz w:val="24"/>
          <w:szCs w:val="24"/>
          <w:lang w:val="en-US"/>
        </w:rPr>
        <w:t xml:space="preserve"> </w:t>
      </w:r>
      <w:r>
        <w:rPr>
          <w:sz w:val="24"/>
          <w:szCs w:val="24"/>
        </w:rPr>
        <w:t>Τ</w:t>
      </w:r>
      <w:r>
        <w:rPr>
          <w:sz w:val="24"/>
          <w:szCs w:val="24"/>
          <w:lang w:val="en-US"/>
        </w:rPr>
        <w:t>o measure the level of adhere</w:t>
      </w:r>
      <w:r w:rsidRPr="000A45F7">
        <w:rPr>
          <w:sz w:val="24"/>
          <w:szCs w:val="24"/>
          <w:lang w:val="en-US"/>
        </w:rPr>
        <w:t>nce</w:t>
      </w:r>
      <w:r>
        <w:rPr>
          <w:sz w:val="24"/>
          <w:szCs w:val="24"/>
          <w:lang w:val="en-US"/>
        </w:rPr>
        <w:t>, the</w:t>
      </w:r>
      <w:r w:rsidRPr="000A45F7">
        <w:rPr>
          <w:sz w:val="24"/>
          <w:szCs w:val="24"/>
          <w:lang w:val="en-US"/>
        </w:rPr>
        <w:t xml:space="preserve"> scale </w:t>
      </w:r>
      <w:r w:rsidR="004A4186" w:rsidRPr="004A4186">
        <w:rPr>
          <w:sz w:val="24"/>
          <w:szCs w:val="24"/>
          <w:lang w:val="en-US"/>
        </w:rPr>
        <w:t>«</w:t>
      </w:r>
      <w:r w:rsidRPr="000A45F7">
        <w:rPr>
          <w:sz w:val="24"/>
          <w:szCs w:val="24"/>
          <w:lang w:val="en-US"/>
        </w:rPr>
        <w:t>GR- Simplified Medication Adherence Questionnaire-HD</w:t>
      </w:r>
      <w:r w:rsidR="004A4186" w:rsidRPr="004A4186">
        <w:rPr>
          <w:sz w:val="24"/>
          <w:szCs w:val="24"/>
          <w:lang w:val="en-US"/>
        </w:rPr>
        <w:t>»</w:t>
      </w:r>
      <w:r w:rsidRPr="000A45F7">
        <w:rPr>
          <w:sz w:val="24"/>
          <w:szCs w:val="24"/>
          <w:lang w:val="en-US"/>
        </w:rPr>
        <w:t xml:space="preserve"> </w:t>
      </w:r>
      <w:r>
        <w:rPr>
          <w:sz w:val="24"/>
          <w:szCs w:val="24"/>
          <w:lang w:val="en-US"/>
        </w:rPr>
        <w:t xml:space="preserve">was used while </w:t>
      </w:r>
      <w:r w:rsidRPr="000A45F7">
        <w:rPr>
          <w:sz w:val="24"/>
          <w:szCs w:val="24"/>
          <w:lang w:val="en-US"/>
        </w:rPr>
        <w:t>for measuring the quality of life</w:t>
      </w:r>
      <w:r>
        <w:rPr>
          <w:sz w:val="24"/>
          <w:szCs w:val="24"/>
          <w:lang w:val="en-US"/>
        </w:rPr>
        <w:t xml:space="preserve"> the</w:t>
      </w:r>
      <w:r w:rsidRPr="000A45F7">
        <w:rPr>
          <w:sz w:val="24"/>
          <w:szCs w:val="24"/>
          <w:lang w:val="en-US"/>
        </w:rPr>
        <w:t xml:space="preserve"> scale </w:t>
      </w:r>
      <w:r w:rsidR="004A4186" w:rsidRPr="004A4186">
        <w:rPr>
          <w:sz w:val="24"/>
          <w:szCs w:val="24"/>
          <w:lang w:val="en-US"/>
        </w:rPr>
        <w:t>«</w:t>
      </w:r>
      <w:r w:rsidRPr="000A45F7">
        <w:rPr>
          <w:sz w:val="24"/>
          <w:szCs w:val="24"/>
          <w:lang w:val="en-US"/>
        </w:rPr>
        <w:t>Missoula Vitas Quality of Life</w:t>
      </w:r>
      <w:r>
        <w:rPr>
          <w:sz w:val="24"/>
          <w:szCs w:val="24"/>
          <w:lang w:val="en-US"/>
        </w:rPr>
        <w:t xml:space="preserve"> Index – 15</w:t>
      </w:r>
      <w:r w:rsidR="004A4186" w:rsidRPr="004A4186">
        <w:rPr>
          <w:sz w:val="24"/>
          <w:szCs w:val="24"/>
          <w:lang w:val="en-US"/>
        </w:rPr>
        <w:t>»</w:t>
      </w:r>
      <w:r>
        <w:rPr>
          <w:sz w:val="24"/>
          <w:szCs w:val="24"/>
          <w:lang w:val="en-US"/>
        </w:rPr>
        <w:t xml:space="preserve"> was used.</w:t>
      </w:r>
      <w:r w:rsidRPr="000A45F7">
        <w:rPr>
          <w:lang w:val="en-US"/>
        </w:rPr>
        <w:t xml:space="preserve"> </w:t>
      </w:r>
      <w:r w:rsidRPr="000A45F7">
        <w:rPr>
          <w:sz w:val="24"/>
          <w:szCs w:val="24"/>
          <w:lang w:val="en-US"/>
        </w:rPr>
        <w:t xml:space="preserve">The statistical analysis of the data was </w:t>
      </w:r>
      <w:r>
        <w:rPr>
          <w:sz w:val="24"/>
          <w:szCs w:val="24"/>
          <w:lang w:val="en-US"/>
        </w:rPr>
        <w:t xml:space="preserve">performed </w:t>
      </w:r>
      <w:r w:rsidR="00556585">
        <w:rPr>
          <w:sz w:val="24"/>
          <w:szCs w:val="24"/>
          <w:lang w:val="en-US"/>
        </w:rPr>
        <w:t>through the S</w:t>
      </w:r>
      <w:r w:rsidRPr="000A45F7">
        <w:rPr>
          <w:sz w:val="24"/>
          <w:szCs w:val="24"/>
          <w:lang w:val="en-US"/>
        </w:rPr>
        <w:t>ta</w:t>
      </w:r>
      <w:r w:rsidR="00556585">
        <w:rPr>
          <w:sz w:val="24"/>
          <w:szCs w:val="24"/>
          <w:lang w:val="en-US"/>
        </w:rPr>
        <w:t>tistical P</w:t>
      </w:r>
      <w:r w:rsidRPr="000A45F7">
        <w:rPr>
          <w:sz w:val="24"/>
          <w:szCs w:val="24"/>
          <w:lang w:val="en-US"/>
        </w:rPr>
        <w:t xml:space="preserve">rogram SPSS </w:t>
      </w:r>
      <w:r w:rsidR="00556585">
        <w:rPr>
          <w:sz w:val="24"/>
          <w:szCs w:val="24"/>
          <w:lang w:val="en-US"/>
        </w:rPr>
        <w:t xml:space="preserve">version </w:t>
      </w:r>
      <w:r w:rsidRPr="000A45F7">
        <w:rPr>
          <w:sz w:val="24"/>
          <w:szCs w:val="24"/>
          <w:lang w:val="en-US"/>
        </w:rPr>
        <w:t xml:space="preserve">19.0. Statistical significance </w:t>
      </w:r>
      <w:r w:rsidR="00556585">
        <w:rPr>
          <w:sz w:val="24"/>
          <w:szCs w:val="24"/>
          <w:lang w:val="en-US"/>
        </w:rPr>
        <w:t xml:space="preserve">level </w:t>
      </w:r>
      <w:r w:rsidRPr="000A45F7">
        <w:rPr>
          <w:sz w:val="24"/>
          <w:szCs w:val="24"/>
          <w:lang w:val="en-US"/>
        </w:rPr>
        <w:t xml:space="preserve">was set </w:t>
      </w:r>
      <w:r w:rsidR="00556585">
        <w:rPr>
          <w:sz w:val="24"/>
          <w:szCs w:val="24"/>
          <w:lang w:val="en-US"/>
        </w:rPr>
        <w:t xml:space="preserve">up </w:t>
      </w:r>
      <w:r w:rsidRPr="000A45F7">
        <w:rPr>
          <w:sz w:val="24"/>
          <w:szCs w:val="24"/>
          <w:lang w:val="en-US"/>
        </w:rPr>
        <w:t xml:space="preserve">at </w:t>
      </w:r>
      <w:r w:rsidR="00EF6A06">
        <w:rPr>
          <w:sz w:val="24"/>
          <w:szCs w:val="24"/>
          <w:lang w:val="en-US"/>
        </w:rPr>
        <w:t>0,</w:t>
      </w:r>
      <w:r w:rsidRPr="000A45F7">
        <w:rPr>
          <w:sz w:val="24"/>
          <w:szCs w:val="24"/>
          <w:lang w:val="en-US"/>
        </w:rPr>
        <w:t>05.</w:t>
      </w:r>
    </w:p>
    <w:p w:rsidR="00E52E4D" w:rsidRPr="00995094" w:rsidRDefault="00556585" w:rsidP="000A45F7">
      <w:pPr>
        <w:spacing w:line="360" w:lineRule="auto"/>
        <w:jc w:val="both"/>
        <w:rPr>
          <w:lang w:val="en-US"/>
        </w:rPr>
      </w:pPr>
      <w:r w:rsidRPr="00556585">
        <w:rPr>
          <w:b/>
          <w:sz w:val="24"/>
          <w:szCs w:val="24"/>
          <w:lang w:val="en-US"/>
        </w:rPr>
        <w:t>Results:</w:t>
      </w:r>
      <w:r w:rsidRPr="00556585">
        <w:rPr>
          <w:lang w:val="en-US"/>
        </w:rPr>
        <w:t xml:space="preserve"> </w:t>
      </w:r>
      <w:r w:rsidRPr="00556585">
        <w:rPr>
          <w:sz w:val="24"/>
          <w:szCs w:val="24"/>
          <w:lang w:val="en-US"/>
        </w:rPr>
        <w:t xml:space="preserve">The overall reliability of the Kidney Disease Questionnaire and GR-Simplified Medication Adherence Questionnaire-HD was high (Cronbach's Alpha </w:t>
      </w:r>
      <w:r w:rsidR="00EF6A06">
        <w:rPr>
          <w:sz w:val="24"/>
          <w:szCs w:val="24"/>
          <w:lang w:val="en-US"/>
        </w:rPr>
        <w:t>0,</w:t>
      </w:r>
      <w:r w:rsidRPr="00556585">
        <w:rPr>
          <w:sz w:val="24"/>
          <w:szCs w:val="24"/>
          <w:lang w:val="en-US"/>
        </w:rPr>
        <w:t xml:space="preserve">85 and </w:t>
      </w:r>
      <w:r w:rsidR="00EF6A06">
        <w:rPr>
          <w:sz w:val="24"/>
          <w:szCs w:val="24"/>
          <w:lang w:val="en-US"/>
        </w:rPr>
        <w:t>0,</w:t>
      </w:r>
      <w:r w:rsidRPr="00556585">
        <w:rPr>
          <w:sz w:val="24"/>
          <w:szCs w:val="24"/>
          <w:lang w:val="en-US"/>
        </w:rPr>
        <w:t>71 respectively).</w:t>
      </w:r>
      <w:r w:rsidRPr="00556585">
        <w:rPr>
          <w:lang w:val="en-US"/>
        </w:rPr>
        <w:t xml:space="preserve"> </w:t>
      </w:r>
      <w:r w:rsidRPr="00556585">
        <w:rPr>
          <w:sz w:val="24"/>
          <w:szCs w:val="24"/>
          <w:lang w:val="en-US"/>
        </w:rPr>
        <w:t xml:space="preserve">The mean age of </w:t>
      </w:r>
      <w:r w:rsidR="00920B88">
        <w:rPr>
          <w:sz w:val="24"/>
          <w:szCs w:val="24"/>
          <w:lang w:val="en-US"/>
        </w:rPr>
        <w:t>the control group</w:t>
      </w:r>
      <w:r w:rsidRPr="00EE1E70">
        <w:rPr>
          <w:sz w:val="24"/>
          <w:szCs w:val="24"/>
          <w:lang w:val="en-US"/>
        </w:rPr>
        <w:t xml:space="preserve"> was 4</w:t>
      </w:r>
      <w:r w:rsidR="00EE1E70" w:rsidRPr="00EE1E70">
        <w:rPr>
          <w:sz w:val="24"/>
          <w:szCs w:val="24"/>
          <w:lang w:val="en-US"/>
        </w:rPr>
        <w:t>9,8</w:t>
      </w:r>
      <w:r w:rsidRPr="00EE1E70">
        <w:rPr>
          <w:sz w:val="24"/>
          <w:szCs w:val="24"/>
          <w:lang w:val="en-US"/>
        </w:rPr>
        <w:t xml:space="preserve"> years (SD = 8,5 years) and those of the intervention group was 51.2 years</w:t>
      </w:r>
      <w:r w:rsidRPr="00556585">
        <w:rPr>
          <w:sz w:val="24"/>
          <w:szCs w:val="24"/>
          <w:lang w:val="en-US"/>
        </w:rPr>
        <w:t xml:space="preserve"> (SD = 11,5 years).</w:t>
      </w:r>
      <w:r w:rsidRPr="00556585">
        <w:rPr>
          <w:lang w:val="en-US"/>
        </w:rPr>
        <w:t xml:space="preserve"> </w:t>
      </w:r>
    </w:p>
    <w:p w:rsidR="004A4186" w:rsidRDefault="00556585" w:rsidP="000A45F7">
      <w:pPr>
        <w:spacing w:line="360" w:lineRule="auto"/>
        <w:jc w:val="both"/>
        <w:rPr>
          <w:lang w:val="en-US"/>
        </w:rPr>
      </w:pPr>
      <w:r w:rsidRPr="00556585">
        <w:rPr>
          <w:sz w:val="24"/>
          <w:szCs w:val="24"/>
          <w:lang w:val="en-US"/>
        </w:rPr>
        <w:t>Both groups had a similar level of knowledge before the intervention.</w:t>
      </w:r>
      <w:r w:rsidRPr="00556585">
        <w:rPr>
          <w:lang w:val="en-US"/>
        </w:rPr>
        <w:t xml:space="preserve"> </w:t>
      </w:r>
      <w:r w:rsidRPr="00556585">
        <w:rPr>
          <w:sz w:val="24"/>
          <w:szCs w:val="24"/>
          <w:lang w:val="en-US"/>
        </w:rPr>
        <w:t xml:space="preserve">After </w:t>
      </w:r>
      <w:r w:rsidR="000A37D7">
        <w:rPr>
          <w:sz w:val="24"/>
          <w:szCs w:val="24"/>
          <w:lang w:val="en-US"/>
        </w:rPr>
        <w:t xml:space="preserve">the </w:t>
      </w:r>
      <w:r w:rsidRPr="00556585">
        <w:rPr>
          <w:sz w:val="24"/>
          <w:szCs w:val="24"/>
          <w:lang w:val="en-US"/>
        </w:rPr>
        <w:t xml:space="preserve">intervention, there was a significant increase in both groups, </w:t>
      </w:r>
      <w:r>
        <w:rPr>
          <w:sz w:val="24"/>
          <w:szCs w:val="24"/>
          <w:lang w:val="en-US"/>
        </w:rPr>
        <w:t xml:space="preserve">however, </w:t>
      </w:r>
      <w:r w:rsidRPr="00556585">
        <w:rPr>
          <w:sz w:val="24"/>
          <w:szCs w:val="24"/>
          <w:lang w:val="en-US"/>
        </w:rPr>
        <w:t>the increase in the intervention group was significantly higher, resulting in a significantly higher score compared to the post-intervention control group.</w:t>
      </w:r>
      <w:r w:rsidRPr="00556585">
        <w:rPr>
          <w:lang w:val="en-US"/>
        </w:rPr>
        <w:t xml:space="preserve"> </w:t>
      </w:r>
      <w:r w:rsidR="004A4186">
        <w:rPr>
          <w:sz w:val="24"/>
          <w:szCs w:val="24"/>
          <w:lang w:val="en-US"/>
        </w:rPr>
        <w:t>Adhere</w:t>
      </w:r>
      <w:r w:rsidRPr="00556585">
        <w:rPr>
          <w:sz w:val="24"/>
          <w:szCs w:val="24"/>
          <w:lang w:val="en-US"/>
        </w:rPr>
        <w:t>nce, both before and after the in</w:t>
      </w:r>
      <w:r w:rsidR="004A4186">
        <w:rPr>
          <w:sz w:val="24"/>
          <w:szCs w:val="24"/>
          <w:lang w:val="en-US"/>
        </w:rPr>
        <w:t>tervention, was</w:t>
      </w:r>
      <w:r w:rsidRPr="00556585">
        <w:rPr>
          <w:sz w:val="24"/>
          <w:szCs w:val="24"/>
          <w:lang w:val="en-US"/>
        </w:rPr>
        <w:t xml:space="preserve"> overall higher in the intervention group compared to the control group.</w:t>
      </w:r>
      <w:r w:rsidRPr="00556585">
        <w:rPr>
          <w:lang w:val="en-US"/>
        </w:rPr>
        <w:t xml:space="preserve"> </w:t>
      </w:r>
      <w:r>
        <w:rPr>
          <w:sz w:val="24"/>
          <w:szCs w:val="24"/>
          <w:lang w:val="en-US"/>
        </w:rPr>
        <w:t>In addition</w:t>
      </w:r>
      <w:r w:rsidRPr="00556585">
        <w:rPr>
          <w:sz w:val="24"/>
          <w:szCs w:val="24"/>
          <w:lang w:val="en-US"/>
        </w:rPr>
        <w:t>, there was a si</w:t>
      </w:r>
      <w:r>
        <w:rPr>
          <w:sz w:val="24"/>
          <w:szCs w:val="24"/>
          <w:lang w:val="en-US"/>
        </w:rPr>
        <w:t>gnificant improvement in adhere</w:t>
      </w:r>
      <w:r w:rsidRPr="00556585">
        <w:rPr>
          <w:sz w:val="24"/>
          <w:szCs w:val="24"/>
          <w:lang w:val="en-US"/>
        </w:rPr>
        <w:t>nce only in the intervention group while the control group remained at similar levels.</w:t>
      </w:r>
      <w:r w:rsidR="00DA116C" w:rsidRPr="00DA116C">
        <w:rPr>
          <w:lang w:val="en-US"/>
        </w:rPr>
        <w:t xml:space="preserve"> </w:t>
      </w:r>
      <w:r w:rsidR="00DA116C" w:rsidRPr="00DA116C">
        <w:rPr>
          <w:sz w:val="24"/>
          <w:szCs w:val="24"/>
          <w:lang w:val="en-US"/>
        </w:rPr>
        <w:t>The overall quality of life before the intervention did not differ significantly between groups.</w:t>
      </w:r>
      <w:r w:rsidR="00DA116C" w:rsidRPr="00DA116C">
        <w:rPr>
          <w:lang w:val="en-US"/>
        </w:rPr>
        <w:t xml:space="preserve"> </w:t>
      </w:r>
      <w:r w:rsidR="00DA116C" w:rsidRPr="00DA116C">
        <w:rPr>
          <w:sz w:val="24"/>
          <w:szCs w:val="24"/>
          <w:lang w:val="en-US"/>
        </w:rPr>
        <w:t xml:space="preserve">After </w:t>
      </w:r>
      <w:r w:rsidR="00920B88">
        <w:rPr>
          <w:sz w:val="24"/>
          <w:szCs w:val="24"/>
          <w:lang w:val="en-US"/>
        </w:rPr>
        <w:t>the</w:t>
      </w:r>
      <w:r w:rsidR="000A37D7">
        <w:rPr>
          <w:sz w:val="24"/>
          <w:szCs w:val="24"/>
          <w:lang w:val="en-US"/>
        </w:rPr>
        <w:t xml:space="preserve"> </w:t>
      </w:r>
      <w:r w:rsidR="00DA116C" w:rsidRPr="00DA116C">
        <w:rPr>
          <w:sz w:val="24"/>
          <w:szCs w:val="24"/>
          <w:lang w:val="en-US"/>
        </w:rPr>
        <w:t>intervent</w:t>
      </w:r>
      <w:r w:rsidR="00DA116C">
        <w:rPr>
          <w:sz w:val="24"/>
          <w:szCs w:val="24"/>
          <w:lang w:val="en-US"/>
        </w:rPr>
        <w:t>ion, however, the individuals of</w:t>
      </w:r>
      <w:r w:rsidR="00DA116C" w:rsidRPr="00DA116C">
        <w:rPr>
          <w:sz w:val="24"/>
          <w:szCs w:val="24"/>
          <w:lang w:val="en-US"/>
        </w:rPr>
        <w:t xml:space="preserve"> the intervention group had</w:t>
      </w:r>
      <w:r w:rsidR="002703C5">
        <w:rPr>
          <w:sz w:val="24"/>
          <w:szCs w:val="24"/>
          <w:lang w:val="en-US"/>
        </w:rPr>
        <w:t xml:space="preserve"> significantly higher scores, i.e.</w:t>
      </w:r>
      <w:r w:rsidR="00DA116C" w:rsidRPr="00DA116C">
        <w:rPr>
          <w:sz w:val="24"/>
          <w:szCs w:val="24"/>
          <w:lang w:val="en-US"/>
        </w:rPr>
        <w:t xml:space="preserve"> a better quality of life than those in the control group.</w:t>
      </w:r>
      <w:r w:rsidR="00DA116C" w:rsidRPr="00DA116C">
        <w:rPr>
          <w:lang w:val="en-US"/>
        </w:rPr>
        <w:t xml:space="preserve"> </w:t>
      </w:r>
    </w:p>
    <w:p w:rsidR="004A4186" w:rsidRDefault="00DA116C" w:rsidP="000A45F7">
      <w:pPr>
        <w:spacing w:line="360" w:lineRule="auto"/>
        <w:jc w:val="both"/>
        <w:rPr>
          <w:lang w:val="en-US"/>
        </w:rPr>
      </w:pPr>
      <w:r w:rsidRPr="00DA116C">
        <w:rPr>
          <w:sz w:val="24"/>
          <w:szCs w:val="24"/>
          <w:lang w:val="en-US"/>
        </w:rPr>
        <w:t>Prior to the intervention, there was no significant correlation between the scale of knowledge a</w:t>
      </w:r>
      <w:r>
        <w:rPr>
          <w:sz w:val="24"/>
          <w:szCs w:val="24"/>
          <w:lang w:val="en-US"/>
        </w:rPr>
        <w:t>nd the dimensions of the adhere</w:t>
      </w:r>
      <w:r w:rsidRPr="00DA116C">
        <w:rPr>
          <w:sz w:val="24"/>
          <w:szCs w:val="24"/>
          <w:lang w:val="en-US"/>
        </w:rPr>
        <w:t xml:space="preserve">nce scale nor between the scale of knowledge and the dimensions of quality of life. There was, however, a significant positive </w:t>
      </w:r>
      <w:r w:rsidR="00920B88">
        <w:rPr>
          <w:sz w:val="24"/>
          <w:szCs w:val="24"/>
          <w:lang w:val="en-US"/>
        </w:rPr>
        <w:t>correlation between</w:t>
      </w:r>
      <w:r w:rsidRPr="00DA116C">
        <w:rPr>
          <w:sz w:val="24"/>
          <w:szCs w:val="24"/>
          <w:lang w:val="en-US"/>
        </w:rPr>
        <w:t xml:space="preserve"> the</w:t>
      </w:r>
      <w:r w:rsidR="002703C5">
        <w:rPr>
          <w:sz w:val="24"/>
          <w:szCs w:val="24"/>
          <w:lang w:val="en-US"/>
        </w:rPr>
        <w:t xml:space="preserve"> </w:t>
      </w:r>
      <w:r w:rsidR="002703C5" w:rsidRPr="002703C5">
        <w:rPr>
          <w:sz w:val="24"/>
          <w:szCs w:val="24"/>
          <w:lang w:val="en-US"/>
        </w:rPr>
        <w:t>«</w:t>
      </w:r>
      <w:r w:rsidR="002703C5">
        <w:rPr>
          <w:sz w:val="24"/>
          <w:szCs w:val="24"/>
          <w:lang w:val="en-US"/>
        </w:rPr>
        <w:t>Symptoms</w:t>
      </w:r>
      <w:r w:rsidR="002703C5" w:rsidRPr="002703C5">
        <w:rPr>
          <w:sz w:val="24"/>
          <w:szCs w:val="24"/>
          <w:lang w:val="en-US"/>
        </w:rPr>
        <w:t>»</w:t>
      </w:r>
      <w:r w:rsidR="00920B88">
        <w:rPr>
          <w:sz w:val="24"/>
          <w:szCs w:val="24"/>
          <w:lang w:val="en-US"/>
        </w:rPr>
        <w:t xml:space="preserve"> dimension and</w:t>
      </w:r>
      <w:r w:rsidRPr="00DA116C">
        <w:rPr>
          <w:sz w:val="24"/>
          <w:szCs w:val="24"/>
          <w:lang w:val="en-US"/>
        </w:rPr>
        <w:t xml:space="preserve"> </w:t>
      </w:r>
      <w:r>
        <w:rPr>
          <w:sz w:val="24"/>
          <w:szCs w:val="24"/>
          <w:lang w:val="en-US"/>
        </w:rPr>
        <w:t>the overall adherence score as well as adhere</w:t>
      </w:r>
      <w:r w:rsidR="000A37D7">
        <w:rPr>
          <w:sz w:val="24"/>
          <w:szCs w:val="24"/>
          <w:lang w:val="en-US"/>
        </w:rPr>
        <w:t>nce to</w:t>
      </w:r>
      <w:r w:rsidRPr="00DA116C">
        <w:rPr>
          <w:sz w:val="24"/>
          <w:szCs w:val="24"/>
          <w:lang w:val="en-US"/>
        </w:rPr>
        <w:t xml:space="preserve"> the presence in the </w:t>
      </w:r>
      <w:r>
        <w:rPr>
          <w:sz w:val="24"/>
          <w:szCs w:val="24"/>
          <w:lang w:val="en-US"/>
        </w:rPr>
        <w:t xml:space="preserve">hemodialysis </w:t>
      </w:r>
      <w:r w:rsidRPr="00DA116C">
        <w:rPr>
          <w:sz w:val="24"/>
          <w:szCs w:val="24"/>
          <w:lang w:val="en-US"/>
        </w:rPr>
        <w:t xml:space="preserve">session and with the fluids and dietary behavior. After the intervention, there was no significant correlation between the change in the scale of knowledge and the changes </w:t>
      </w:r>
      <w:r w:rsidR="002703C5">
        <w:rPr>
          <w:sz w:val="24"/>
          <w:szCs w:val="24"/>
          <w:lang w:val="en-US"/>
        </w:rPr>
        <w:t>in the dimensions of the adhere</w:t>
      </w:r>
      <w:r w:rsidRPr="00DA116C">
        <w:rPr>
          <w:sz w:val="24"/>
          <w:szCs w:val="24"/>
          <w:lang w:val="en-US"/>
        </w:rPr>
        <w:t>nce scale nor between the changes in the knowledge scale and the quality of life dimensions. There was, however, a sig</w:t>
      </w:r>
      <w:r w:rsidR="000A37D7">
        <w:rPr>
          <w:sz w:val="24"/>
          <w:szCs w:val="24"/>
          <w:lang w:val="en-US"/>
        </w:rPr>
        <w:t>nificant positive correlation between</w:t>
      </w:r>
      <w:r w:rsidRPr="00DA116C">
        <w:rPr>
          <w:sz w:val="24"/>
          <w:szCs w:val="24"/>
          <w:lang w:val="en-US"/>
        </w:rPr>
        <w:t xml:space="preserve"> the change in the overall</w:t>
      </w:r>
      <w:r w:rsidR="000A37D7">
        <w:rPr>
          <w:sz w:val="24"/>
          <w:szCs w:val="24"/>
          <w:lang w:val="en-US"/>
        </w:rPr>
        <w:t xml:space="preserve"> quality of life and</w:t>
      </w:r>
      <w:r w:rsidRPr="00DA116C">
        <w:rPr>
          <w:sz w:val="24"/>
          <w:szCs w:val="24"/>
          <w:lang w:val="en-US"/>
        </w:rPr>
        <w:t xml:space="preserve"> th</w:t>
      </w:r>
      <w:r w:rsidR="002703C5">
        <w:rPr>
          <w:sz w:val="24"/>
          <w:szCs w:val="24"/>
          <w:lang w:val="en-US"/>
        </w:rPr>
        <w:t>e changes in the overall adherence score as well as the adhere</w:t>
      </w:r>
      <w:r w:rsidR="000A37D7">
        <w:rPr>
          <w:sz w:val="24"/>
          <w:szCs w:val="24"/>
          <w:lang w:val="en-US"/>
        </w:rPr>
        <w:t>nce to</w:t>
      </w:r>
      <w:r w:rsidRPr="00DA116C">
        <w:rPr>
          <w:sz w:val="24"/>
          <w:szCs w:val="24"/>
          <w:lang w:val="en-US"/>
        </w:rPr>
        <w:t xml:space="preserve"> the fluids and the dietary behavior.</w:t>
      </w:r>
      <w:r w:rsidRPr="00DA116C">
        <w:rPr>
          <w:lang w:val="en-US"/>
        </w:rPr>
        <w:t xml:space="preserve"> </w:t>
      </w:r>
    </w:p>
    <w:p w:rsidR="00556585" w:rsidRPr="00DA116C" w:rsidRDefault="00DA116C" w:rsidP="000A45F7">
      <w:pPr>
        <w:spacing w:line="360" w:lineRule="auto"/>
        <w:jc w:val="both"/>
        <w:rPr>
          <w:sz w:val="24"/>
          <w:szCs w:val="24"/>
          <w:lang w:val="en-US"/>
        </w:rPr>
      </w:pPr>
      <w:r w:rsidRPr="00DA116C">
        <w:rPr>
          <w:sz w:val="24"/>
          <w:szCs w:val="24"/>
          <w:lang w:val="en-US"/>
        </w:rPr>
        <w:t xml:space="preserve">The change in the knowledge score was found to be negatively related to the years of </w:t>
      </w:r>
      <w:r w:rsidR="002703C5">
        <w:rPr>
          <w:sz w:val="24"/>
          <w:szCs w:val="24"/>
          <w:lang w:val="en-US"/>
        </w:rPr>
        <w:t>hemo</w:t>
      </w:r>
      <w:r w:rsidR="000A37D7">
        <w:rPr>
          <w:sz w:val="24"/>
          <w:szCs w:val="24"/>
          <w:lang w:val="en-US"/>
        </w:rPr>
        <w:t>dialysis. Before</w:t>
      </w:r>
      <w:r w:rsidRPr="00DA116C">
        <w:rPr>
          <w:sz w:val="24"/>
          <w:szCs w:val="24"/>
          <w:lang w:val="en-US"/>
        </w:rPr>
        <w:t xml:space="preserve"> </w:t>
      </w:r>
      <w:r w:rsidR="00920B88">
        <w:rPr>
          <w:sz w:val="24"/>
          <w:szCs w:val="24"/>
          <w:lang w:val="en-US"/>
        </w:rPr>
        <w:t xml:space="preserve">the </w:t>
      </w:r>
      <w:r w:rsidRPr="00DA116C">
        <w:rPr>
          <w:sz w:val="24"/>
          <w:szCs w:val="24"/>
          <w:lang w:val="en-US"/>
        </w:rPr>
        <w:t>intervention</w:t>
      </w:r>
      <w:r w:rsidR="00920B88">
        <w:rPr>
          <w:sz w:val="24"/>
          <w:szCs w:val="24"/>
          <w:lang w:val="en-US"/>
        </w:rPr>
        <w:t>,</w:t>
      </w:r>
      <w:r w:rsidRPr="00DA116C">
        <w:rPr>
          <w:sz w:val="24"/>
          <w:szCs w:val="24"/>
          <w:lang w:val="en-US"/>
        </w:rPr>
        <w:t xml:space="preserve"> the difference in the</w:t>
      </w:r>
      <w:r w:rsidR="002703C5">
        <w:rPr>
          <w:sz w:val="24"/>
          <w:szCs w:val="24"/>
          <w:lang w:val="en-US"/>
        </w:rPr>
        <w:t xml:space="preserve"> </w:t>
      </w:r>
      <w:r w:rsidR="002703C5" w:rsidRPr="002703C5">
        <w:rPr>
          <w:sz w:val="24"/>
          <w:szCs w:val="24"/>
          <w:lang w:val="en-US"/>
        </w:rPr>
        <w:t>«</w:t>
      </w:r>
      <w:r w:rsidR="002703C5">
        <w:rPr>
          <w:sz w:val="24"/>
          <w:szCs w:val="24"/>
          <w:lang w:val="en-US"/>
        </w:rPr>
        <w:t>Symptoms</w:t>
      </w:r>
      <w:r w:rsidR="002703C5" w:rsidRPr="002703C5">
        <w:rPr>
          <w:sz w:val="24"/>
          <w:szCs w:val="24"/>
          <w:lang w:val="en-US"/>
        </w:rPr>
        <w:t>»</w:t>
      </w:r>
      <w:r w:rsidRPr="00DA116C">
        <w:rPr>
          <w:sz w:val="24"/>
          <w:szCs w:val="24"/>
          <w:lang w:val="en-US"/>
        </w:rPr>
        <w:t xml:space="preserve"> dimension between men and women was indicative (p = </w:t>
      </w:r>
      <w:r w:rsidR="00EF6A06">
        <w:rPr>
          <w:sz w:val="24"/>
          <w:szCs w:val="24"/>
          <w:lang w:val="en-US"/>
        </w:rPr>
        <w:t>0,</w:t>
      </w:r>
      <w:r w:rsidRPr="00DA116C">
        <w:rPr>
          <w:sz w:val="24"/>
          <w:szCs w:val="24"/>
          <w:lang w:val="en-US"/>
        </w:rPr>
        <w:t>084).</w:t>
      </w:r>
      <w:r w:rsidRPr="00DA116C">
        <w:rPr>
          <w:lang w:val="en-US"/>
        </w:rPr>
        <w:t xml:space="preserve"> </w:t>
      </w:r>
      <w:r w:rsidRPr="00DA116C">
        <w:rPr>
          <w:sz w:val="24"/>
          <w:szCs w:val="24"/>
          <w:lang w:val="en-US"/>
        </w:rPr>
        <w:t xml:space="preserve">However, after </w:t>
      </w:r>
      <w:r w:rsidR="008E795F">
        <w:rPr>
          <w:sz w:val="24"/>
          <w:szCs w:val="24"/>
          <w:lang w:val="en-US"/>
        </w:rPr>
        <w:t xml:space="preserve">the </w:t>
      </w:r>
      <w:r w:rsidRPr="00DA116C">
        <w:rPr>
          <w:sz w:val="24"/>
          <w:szCs w:val="24"/>
          <w:lang w:val="en-US"/>
        </w:rPr>
        <w:t xml:space="preserve">intervention there was a significant increase only in females (p = </w:t>
      </w:r>
      <w:r w:rsidR="00EF6A06">
        <w:rPr>
          <w:sz w:val="24"/>
          <w:szCs w:val="24"/>
          <w:lang w:val="en-US"/>
        </w:rPr>
        <w:t>0,</w:t>
      </w:r>
      <w:r w:rsidRPr="00DA116C">
        <w:rPr>
          <w:sz w:val="24"/>
          <w:szCs w:val="24"/>
          <w:lang w:val="en-US"/>
        </w:rPr>
        <w:t xml:space="preserve">004), reaching similar levels to males (p = </w:t>
      </w:r>
      <w:r w:rsidR="00EF6A06">
        <w:rPr>
          <w:sz w:val="24"/>
          <w:szCs w:val="24"/>
          <w:lang w:val="en-US"/>
        </w:rPr>
        <w:t>0,</w:t>
      </w:r>
      <w:r w:rsidRPr="00DA116C">
        <w:rPr>
          <w:sz w:val="24"/>
          <w:szCs w:val="24"/>
          <w:lang w:val="en-US"/>
        </w:rPr>
        <w:t>686).</w:t>
      </w:r>
      <w:r w:rsidRPr="00DA116C">
        <w:rPr>
          <w:lang w:val="en-US"/>
        </w:rPr>
        <w:t xml:space="preserve"> </w:t>
      </w:r>
      <w:r w:rsidR="002703C5">
        <w:rPr>
          <w:sz w:val="24"/>
          <w:szCs w:val="24"/>
          <w:lang w:val="en-US"/>
        </w:rPr>
        <w:t xml:space="preserve">The improvement in the </w:t>
      </w:r>
      <w:r w:rsidR="002703C5" w:rsidRPr="002703C5">
        <w:rPr>
          <w:sz w:val="24"/>
          <w:szCs w:val="24"/>
          <w:lang w:val="en-US"/>
        </w:rPr>
        <w:t>«</w:t>
      </w:r>
      <w:r w:rsidR="002703C5">
        <w:rPr>
          <w:sz w:val="24"/>
          <w:szCs w:val="24"/>
          <w:lang w:val="en-US"/>
        </w:rPr>
        <w:t>Symptoms</w:t>
      </w:r>
      <w:r w:rsidR="002703C5" w:rsidRPr="002703C5">
        <w:rPr>
          <w:sz w:val="24"/>
          <w:szCs w:val="24"/>
          <w:lang w:val="en-US"/>
        </w:rPr>
        <w:t>»</w:t>
      </w:r>
      <w:r w:rsidRPr="00DA116C">
        <w:rPr>
          <w:sz w:val="24"/>
          <w:szCs w:val="24"/>
          <w:lang w:val="en-US"/>
        </w:rPr>
        <w:t xml:space="preserve"> dimension was significantly higher in women than in men.</w:t>
      </w:r>
      <w:r w:rsidRPr="00DA116C">
        <w:rPr>
          <w:lang w:val="en-US"/>
        </w:rPr>
        <w:t xml:space="preserve"> </w:t>
      </w:r>
      <w:r w:rsidRPr="00DA116C">
        <w:rPr>
          <w:sz w:val="24"/>
          <w:szCs w:val="24"/>
          <w:lang w:val="en-US"/>
        </w:rPr>
        <w:t>There was a sig</w:t>
      </w:r>
      <w:r w:rsidR="000A37D7">
        <w:rPr>
          <w:sz w:val="24"/>
          <w:szCs w:val="24"/>
          <w:lang w:val="en-US"/>
        </w:rPr>
        <w:t>nificant positive correlation between the participants' age and</w:t>
      </w:r>
      <w:r w:rsidRPr="00DA116C">
        <w:rPr>
          <w:sz w:val="24"/>
          <w:szCs w:val="24"/>
          <w:lang w:val="en-US"/>
        </w:rPr>
        <w:t xml:space="preserve"> the improvement in </w:t>
      </w:r>
      <w:r w:rsidR="000A37D7">
        <w:rPr>
          <w:sz w:val="24"/>
          <w:szCs w:val="24"/>
          <w:lang w:val="en-US"/>
        </w:rPr>
        <w:t>the quality of life as a whole</w:t>
      </w:r>
      <w:r w:rsidR="002E2FB7">
        <w:rPr>
          <w:sz w:val="24"/>
          <w:szCs w:val="24"/>
          <w:lang w:val="en-US"/>
        </w:rPr>
        <w:t xml:space="preserve"> and</w:t>
      </w:r>
      <w:r w:rsidR="002703C5">
        <w:rPr>
          <w:sz w:val="24"/>
          <w:szCs w:val="24"/>
          <w:lang w:val="en-US"/>
        </w:rPr>
        <w:t xml:space="preserve"> the </w:t>
      </w:r>
      <w:r w:rsidR="002703C5" w:rsidRPr="002703C5">
        <w:rPr>
          <w:sz w:val="24"/>
          <w:szCs w:val="24"/>
          <w:lang w:val="en-US"/>
        </w:rPr>
        <w:t>«</w:t>
      </w:r>
      <w:r w:rsidR="002703C5">
        <w:rPr>
          <w:sz w:val="24"/>
          <w:szCs w:val="24"/>
          <w:lang w:val="en-US"/>
        </w:rPr>
        <w:t>Transcendence</w:t>
      </w:r>
      <w:r w:rsidR="002703C5" w:rsidRPr="002703C5">
        <w:rPr>
          <w:sz w:val="24"/>
          <w:szCs w:val="24"/>
          <w:lang w:val="en-US"/>
        </w:rPr>
        <w:t>»</w:t>
      </w:r>
      <w:r w:rsidR="002E2FB7">
        <w:rPr>
          <w:sz w:val="24"/>
          <w:szCs w:val="24"/>
          <w:lang w:val="en-US"/>
        </w:rPr>
        <w:t xml:space="preserve"> </w:t>
      </w:r>
      <w:r w:rsidR="002E2FB7" w:rsidRPr="00DA116C">
        <w:rPr>
          <w:sz w:val="24"/>
          <w:szCs w:val="24"/>
          <w:lang w:val="en-US"/>
        </w:rPr>
        <w:t>dimension</w:t>
      </w:r>
      <w:r w:rsidRPr="00DA116C">
        <w:rPr>
          <w:sz w:val="24"/>
          <w:szCs w:val="24"/>
          <w:lang w:val="en-US"/>
        </w:rPr>
        <w:t>.</w:t>
      </w:r>
    </w:p>
    <w:p w:rsidR="00DA116C" w:rsidRDefault="00DA116C" w:rsidP="000A45F7">
      <w:pPr>
        <w:spacing w:line="360" w:lineRule="auto"/>
        <w:jc w:val="both"/>
        <w:rPr>
          <w:sz w:val="24"/>
          <w:szCs w:val="24"/>
          <w:lang w:val="en-US"/>
        </w:rPr>
      </w:pPr>
      <w:r w:rsidRPr="00DA116C">
        <w:rPr>
          <w:b/>
          <w:sz w:val="24"/>
          <w:szCs w:val="24"/>
          <w:lang w:val="en-US"/>
        </w:rPr>
        <w:t>Conclusion</w:t>
      </w:r>
      <w:r w:rsidR="00C87A04">
        <w:rPr>
          <w:b/>
          <w:sz w:val="24"/>
          <w:szCs w:val="24"/>
          <w:lang w:val="en-US"/>
        </w:rPr>
        <w:t>s</w:t>
      </w:r>
      <w:r w:rsidRPr="00DA116C">
        <w:rPr>
          <w:b/>
          <w:sz w:val="24"/>
          <w:szCs w:val="24"/>
          <w:lang w:val="en-US"/>
        </w:rPr>
        <w:t>:</w:t>
      </w:r>
      <w:r>
        <w:rPr>
          <w:sz w:val="24"/>
          <w:szCs w:val="24"/>
          <w:lang w:val="en-US"/>
        </w:rPr>
        <w:t xml:space="preserve"> </w:t>
      </w:r>
      <w:r w:rsidRPr="00DA116C">
        <w:rPr>
          <w:sz w:val="24"/>
          <w:szCs w:val="24"/>
          <w:lang w:val="en-US"/>
        </w:rPr>
        <w:t>Counseling</w:t>
      </w:r>
      <w:r>
        <w:rPr>
          <w:sz w:val="24"/>
          <w:szCs w:val="24"/>
          <w:lang w:val="en-US"/>
        </w:rPr>
        <w:t xml:space="preserve"> nursing </w:t>
      </w:r>
      <w:r w:rsidR="004A4186">
        <w:rPr>
          <w:sz w:val="24"/>
          <w:szCs w:val="24"/>
          <w:lang w:val="en-US"/>
        </w:rPr>
        <w:t xml:space="preserve">intervention </w:t>
      </w:r>
      <w:r w:rsidRPr="00DA116C">
        <w:rPr>
          <w:sz w:val="24"/>
          <w:szCs w:val="24"/>
          <w:lang w:val="en-US"/>
        </w:rPr>
        <w:t>is a major nursing intervention to improve the level of knowledge, compliance with the healing regimen and quality of life of patients undergoing hemodialysis.</w:t>
      </w:r>
    </w:p>
    <w:p w:rsidR="00E53511" w:rsidRDefault="004A4186" w:rsidP="00E53511">
      <w:pPr>
        <w:pStyle w:val="nouk"/>
        <w:rPr>
          <w:lang w:val="en-US"/>
        </w:rPr>
      </w:pPr>
      <w:r>
        <w:rPr>
          <w:b/>
          <w:lang w:val="en-US"/>
        </w:rPr>
        <w:t>K</w:t>
      </w:r>
      <w:r w:rsidR="00C87A04" w:rsidRPr="00C87A04">
        <w:rPr>
          <w:b/>
          <w:lang w:val="en-US"/>
        </w:rPr>
        <w:t xml:space="preserve">ey-words: </w:t>
      </w:r>
      <w:r w:rsidRPr="00C87A04">
        <w:rPr>
          <w:lang w:val="en-US"/>
        </w:rPr>
        <w:t>adherence to treatment regimen</w:t>
      </w:r>
      <w:r>
        <w:rPr>
          <w:lang w:val="en-US"/>
        </w:rPr>
        <w:t xml:space="preserve">, </w:t>
      </w:r>
      <w:r w:rsidRPr="00C87A04">
        <w:rPr>
          <w:lang w:val="en-US"/>
        </w:rPr>
        <w:t>End Stage Renal Disease</w:t>
      </w:r>
      <w:r>
        <w:rPr>
          <w:lang w:val="en-US"/>
        </w:rPr>
        <w:t xml:space="preserve">, </w:t>
      </w:r>
      <w:r w:rsidRPr="00C87A04">
        <w:rPr>
          <w:lang w:val="en-US"/>
        </w:rPr>
        <w:t>nursing counseling</w:t>
      </w:r>
      <w:r>
        <w:rPr>
          <w:lang w:val="en-US"/>
        </w:rPr>
        <w:t xml:space="preserve">, </w:t>
      </w:r>
      <w:r w:rsidR="00C87A04" w:rsidRPr="00C87A04">
        <w:rPr>
          <w:lang w:val="en-US"/>
        </w:rPr>
        <w:t>pati</w:t>
      </w:r>
      <w:r>
        <w:rPr>
          <w:lang w:val="en-US"/>
        </w:rPr>
        <w:t>ent knowledge, quality of life</w:t>
      </w:r>
      <w:r w:rsidR="00C87A04" w:rsidRPr="00C87A04">
        <w:rPr>
          <w:lang w:val="en-US"/>
        </w:rPr>
        <w:t xml:space="preserve"> </w:t>
      </w:r>
      <w:bookmarkStart w:id="4" w:name="_Toc495951416"/>
    </w:p>
    <w:p w:rsidR="006D10EF" w:rsidRPr="00300E53" w:rsidRDefault="006D10EF" w:rsidP="00E53511">
      <w:pPr>
        <w:pStyle w:val="1a"/>
        <w:spacing w:after="240"/>
        <w:rPr>
          <w:rFonts w:ascii="Calibri" w:hAnsi="Calibri"/>
        </w:rPr>
      </w:pPr>
      <w:r w:rsidRPr="005A464E">
        <w:t>ΠΡΟΛΟΓΟΣ</w:t>
      </w:r>
      <w:bookmarkEnd w:id="4"/>
      <w:r w:rsidR="006B335B" w:rsidRPr="001979E4">
        <w:t xml:space="preserve"> </w:t>
      </w:r>
    </w:p>
    <w:p w:rsidR="006D10EF" w:rsidRPr="00817853" w:rsidRDefault="00BE5FD3" w:rsidP="005A464E">
      <w:pPr>
        <w:spacing w:line="360" w:lineRule="auto"/>
        <w:jc w:val="both"/>
        <w:rPr>
          <w:rFonts w:asciiTheme="minorHAnsi" w:hAnsiTheme="minorHAnsi" w:cstheme="minorHAnsi"/>
          <w:sz w:val="24"/>
          <w:szCs w:val="24"/>
        </w:rPr>
      </w:pPr>
      <w:r w:rsidRPr="005A464E">
        <w:rPr>
          <w:sz w:val="24"/>
          <w:szCs w:val="24"/>
        </w:rPr>
        <w:t>Είναι</w:t>
      </w:r>
      <w:r w:rsidR="0078495A">
        <w:rPr>
          <w:sz w:val="24"/>
          <w:szCs w:val="24"/>
        </w:rPr>
        <w:t xml:space="preserve"> </w:t>
      </w:r>
      <w:r w:rsidRPr="005A464E">
        <w:rPr>
          <w:sz w:val="24"/>
          <w:szCs w:val="24"/>
        </w:rPr>
        <w:t xml:space="preserve">γενικά αποδεκτό ότι ο ασθενής έχει το </w:t>
      </w:r>
      <w:r w:rsidR="009C0AB1" w:rsidRPr="005A464E">
        <w:rPr>
          <w:sz w:val="24"/>
          <w:szCs w:val="24"/>
        </w:rPr>
        <w:t>δικαίωμα</w:t>
      </w:r>
      <w:r w:rsidRPr="005A464E">
        <w:rPr>
          <w:sz w:val="24"/>
          <w:szCs w:val="24"/>
        </w:rPr>
        <w:t xml:space="preserve"> να </w:t>
      </w:r>
      <w:r w:rsidR="009C0AB1" w:rsidRPr="005A464E">
        <w:rPr>
          <w:sz w:val="24"/>
          <w:szCs w:val="24"/>
        </w:rPr>
        <w:t>πληροφορηθεί</w:t>
      </w:r>
      <w:r w:rsidRPr="005A464E">
        <w:rPr>
          <w:sz w:val="24"/>
          <w:szCs w:val="24"/>
        </w:rPr>
        <w:t xml:space="preserve"> και να είναι ενεργά συμμετέχων σε θέματα που σχετίζονται με την υγεία του και την φροντίδα υγείας</w:t>
      </w:r>
      <w:r w:rsidR="009C0AB1" w:rsidRPr="005A464E">
        <w:rPr>
          <w:sz w:val="24"/>
          <w:szCs w:val="24"/>
        </w:rPr>
        <w:t>. Η γενική άποψη είναι ότι ο ασθενής που είναι πληροφορημένος</w:t>
      </w:r>
      <w:r w:rsidR="00A27558">
        <w:rPr>
          <w:sz w:val="24"/>
          <w:szCs w:val="24"/>
        </w:rPr>
        <w:t>,</w:t>
      </w:r>
      <w:r w:rsidR="009C0AB1" w:rsidRPr="005A464E">
        <w:rPr>
          <w:sz w:val="24"/>
          <w:szCs w:val="24"/>
        </w:rPr>
        <w:t xml:space="preserve"> έχει τη δυνατότητα να κάνει επιλογές οι οποίες με τη σειρά τους θα βελτιώσουν την κατάσταση της υγείας του. Σήμερα, περισσότερο από ποτέ, ο ασθενής έχει</w:t>
      </w:r>
      <w:r w:rsidR="0078495A">
        <w:rPr>
          <w:sz w:val="24"/>
          <w:szCs w:val="24"/>
        </w:rPr>
        <w:t xml:space="preserve"> </w:t>
      </w:r>
      <w:r w:rsidR="009C0AB1" w:rsidRPr="005A464E">
        <w:rPr>
          <w:sz w:val="24"/>
          <w:szCs w:val="24"/>
        </w:rPr>
        <w:t>πρό</w:t>
      </w:r>
      <w:r w:rsidR="0078495A">
        <w:rPr>
          <w:sz w:val="24"/>
          <w:szCs w:val="24"/>
        </w:rPr>
        <w:t>σβαση στην πληροφορία. Εντούτοις</w:t>
      </w:r>
      <w:r w:rsidR="009C0AB1" w:rsidRPr="005A464E">
        <w:rPr>
          <w:sz w:val="24"/>
          <w:szCs w:val="24"/>
        </w:rPr>
        <w:t xml:space="preserve">, ένας μεγάλος αριθμός ασθενών συνεχίζει να αγνοεί ή να παραμελεί τις συστάσεις που </w:t>
      </w:r>
      <w:r w:rsidR="005265EA" w:rsidRPr="005A464E">
        <w:rPr>
          <w:sz w:val="24"/>
          <w:szCs w:val="24"/>
        </w:rPr>
        <w:t>θα τον βοηθήσουν να διατηρήσει,</w:t>
      </w:r>
      <w:r w:rsidR="009C0AB1" w:rsidRPr="005A464E">
        <w:rPr>
          <w:sz w:val="24"/>
          <w:szCs w:val="24"/>
        </w:rPr>
        <w:t xml:space="preserve"> να βελτιώσει την υγεία του ή να διαχειρισθεί την ασθένειά του. Παρά τις προσπάθειες, πολλοί ασθενείς παραμένουν απρόθυμοι ή α</w:t>
      </w:r>
      <w:r w:rsidR="008364EA">
        <w:rPr>
          <w:sz w:val="24"/>
          <w:szCs w:val="24"/>
        </w:rPr>
        <w:t xml:space="preserve">δυνατούν </w:t>
      </w:r>
      <w:r w:rsidR="006D10EF" w:rsidRPr="005A464E">
        <w:rPr>
          <w:sz w:val="24"/>
          <w:szCs w:val="24"/>
        </w:rPr>
        <w:t>να ακολουθήσουν τις συμβουλές ή συστάσεις που τους δίνονται</w:t>
      </w:r>
      <w:r w:rsidR="003E3F82" w:rsidRPr="003E3F82">
        <w:rPr>
          <w:sz w:val="24"/>
          <w:szCs w:val="24"/>
        </w:rPr>
        <w:t xml:space="preserve"> (</w:t>
      </w:r>
      <w:hyperlink r:id="rId9" w:history="1">
        <w:r w:rsidR="004C713C" w:rsidRPr="00817853">
          <w:rPr>
            <w:rStyle w:val="-"/>
            <w:rFonts w:asciiTheme="minorHAnsi" w:hAnsiTheme="minorHAnsi" w:cstheme="minorHAnsi"/>
            <w:color w:val="auto"/>
            <w:sz w:val="24"/>
            <w:szCs w:val="24"/>
            <w:u w:val="none"/>
            <w:shd w:val="clear" w:color="auto" w:fill="FFFFFF"/>
          </w:rPr>
          <w:t>Fowler</w:t>
        </w:r>
      </w:hyperlink>
      <w:r w:rsidR="003E3F82" w:rsidRPr="00817853">
        <w:rPr>
          <w:rFonts w:asciiTheme="minorHAnsi" w:hAnsiTheme="minorHAnsi" w:cstheme="minorHAnsi"/>
          <w:sz w:val="24"/>
          <w:szCs w:val="24"/>
          <w:shd w:val="clear" w:color="auto" w:fill="FFFFFF"/>
        </w:rPr>
        <w:t>, </w:t>
      </w:r>
      <w:hyperlink r:id="rId10" w:history="1">
        <w:r w:rsidR="003E3F82" w:rsidRPr="00817853">
          <w:rPr>
            <w:rStyle w:val="-"/>
            <w:rFonts w:asciiTheme="minorHAnsi" w:hAnsiTheme="minorHAnsi" w:cstheme="minorHAnsi"/>
            <w:color w:val="auto"/>
            <w:sz w:val="24"/>
            <w:szCs w:val="24"/>
            <w:u w:val="none"/>
            <w:shd w:val="clear" w:color="auto" w:fill="FFFFFF"/>
          </w:rPr>
          <w:t>Levin</w:t>
        </w:r>
        <w:r w:rsidR="004C713C" w:rsidRPr="00817853">
          <w:rPr>
            <w:rStyle w:val="-"/>
            <w:rFonts w:asciiTheme="minorHAnsi" w:hAnsiTheme="minorHAnsi" w:cstheme="minorHAnsi"/>
            <w:color w:val="auto"/>
            <w:sz w:val="24"/>
            <w:szCs w:val="24"/>
            <w:u w:val="none"/>
            <w:shd w:val="clear" w:color="auto" w:fill="FFFFFF"/>
          </w:rPr>
          <w:t>,</w:t>
        </w:r>
        <w:r w:rsidR="003E3F82" w:rsidRPr="00817853">
          <w:rPr>
            <w:rStyle w:val="-"/>
            <w:rFonts w:asciiTheme="minorHAnsi" w:hAnsiTheme="minorHAnsi" w:cstheme="minorHAnsi"/>
            <w:color w:val="auto"/>
            <w:sz w:val="24"/>
            <w:szCs w:val="24"/>
            <w:u w:val="none"/>
            <w:shd w:val="clear" w:color="auto" w:fill="FFFFFF"/>
          </w:rPr>
          <w:t xml:space="preserve"> </w:t>
        </w:r>
      </w:hyperlink>
      <w:r w:rsidR="004C713C" w:rsidRPr="00817853">
        <w:rPr>
          <w:rFonts w:asciiTheme="minorHAnsi" w:hAnsiTheme="minorHAnsi" w:cstheme="minorHAnsi"/>
          <w:sz w:val="24"/>
          <w:szCs w:val="24"/>
        </w:rPr>
        <w:t xml:space="preserve">&amp; </w:t>
      </w:r>
      <w:hyperlink r:id="rId11" w:history="1">
        <w:r w:rsidR="003E3F82" w:rsidRPr="00817853">
          <w:rPr>
            <w:rStyle w:val="-"/>
            <w:rFonts w:asciiTheme="minorHAnsi" w:hAnsiTheme="minorHAnsi" w:cstheme="minorHAnsi"/>
            <w:color w:val="auto"/>
            <w:sz w:val="24"/>
            <w:szCs w:val="24"/>
            <w:u w:val="none"/>
            <w:shd w:val="clear" w:color="auto" w:fill="FFFFFF"/>
          </w:rPr>
          <w:t>Sepucha</w:t>
        </w:r>
        <w:r w:rsidR="004C713C" w:rsidRPr="00817853">
          <w:rPr>
            <w:rStyle w:val="-"/>
            <w:rFonts w:asciiTheme="minorHAnsi" w:hAnsiTheme="minorHAnsi" w:cstheme="minorHAnsi"/>
            <w:color w:val="auto"/>
            <w:sz w:val="24"/>
            <w:szCs w:val="24"/>
            <w:u w:val="none"/>
            <w:shd w:val="clear" w:color="auto" w:fill="FFFFFF"/>
          </w:rPr>
          <w:t>,</w:t>
        </w:r>
        <w:r w:rsidR="003E3F82" w:rsidRPr="00817853">
          <w:rPr>
            <w:rStyle w:val="-"/>
            <w:rFonts w:asciiTheme="minorHAnsi" w:hAnsiTheme="minorHAnsi" w:cstheme="minorHAnsi"/>
            <w:color w:val="auto"/>
            <w:sz w:val="24"/>
            <w:szCs w:val="24"/>
            <w:u w:val="none"/>
            <w:shd w:val="clear" w:color="auto" w:fill="FFFFFF"/>
          </w:rPr>
          <w:t xml:space="preserve"> </w:t>
        </w:r>
      </w:hyperlink>
      <w:r w:rsidR="004C713C" w:rsidRPr="00817853">
        <w:rPr>
          <w:rFonts w:asciiTheme="minorHAnsi" w:hAnsiTheme="minorHAnsi" w:cstheme="minorHAnsi"/>
          <w:color w:val="000000"/>
          <w:sz w:val="24"/>
          <w:szCs w:val="24"/>
          <w:shd w:val="clear" w:color="auto" w:fill="FFFFFF"/>
        </w:rPr>
        <w:t>2011).</w:t>
      </w:r>
    </w:p>
    <w:p w:rsidR="009C0AB1" w:rsidRPr="0066725A" w:rsidRDefault="006D10EF" w:rsidP="005A464E">
      <w:pPr>
        <w:spacing w:line="360" w:lineRule="auto"/>
        <w:jc w:val="both"/>
        <w:rPr>
          <w:rFonts w:asciiTheme="minorHAnsi" w:hAnsiTheme="minorHAnsi" w:cstheme="minorHAnsi"/>
          <w:sz w:val="24"/>
          <w:szCs w:val="24"/>
        </w:rPr>
      </w:pPr>
      <w:r w:rsidRPr="00817853">
        <w:rPr>
          <w:sz w:val="24"/>
          <w:szCs w:val="24"/>
        </w:rPr>
        <w:t>Αν και η συμβουλευτική εκπαίδευση περιλαμβάνει την παροχή πληροφοριών στον ασθενή, η απλή παροχή της πληροφορίας δεν φαίνεται να είναι αρκετή. Προκ</w:t>
      </w:r>
      <w:r w:rsidR="00A27558" w:rsidRPr="00817853">
        <w:rPr>
          <w:sz w:val="24"/>
          <w:szCs w:val="24"/>
        </w:rPr>
        <w:t>ειμένου να είναι αποτελεσματική</w:t>
      </w:r>
      <w:r w:rsidRPr="00817853">
        <w:rPr>
          <w:sz w:val="24"/>
          <w:szCs w:val="24"/>
        </w:rPr>
        <w:t xml:space="preserve"> η</w:t>
      </w:r>
      <w:r w:rsidR="0078495A" w:rsidRPr="00817853">
        <w:rPr>
          <w:sz w:val="24"/>
          <w:szCs w:val="24"/>
        </w:rPr>
        <w:t xml:space="preserve"> </w:t>
      </w:r>
      <w:r w:rsidR="0078495A" w:rsidRPr="00817853">
        <w:rPr>
          <w:noProof/>
          <w:sz w:val="24"/>
          <w:szCs w:val="24"/>
        </w:rPr>
        <w:t>εκπαίδευση</w:t>
      </w:r>
      <w:r w:rsidR="0078495A" w:rsidRPr="00817853">
        <w:rPr>
          <w:sz w:val="24"/>
          <w:szCs w:val="24"/>
        </w:rPr>
        <w:t xml:space="preserve"> </w:t>
      </w:r>
      <w:r w:rsidR="00B0560D" w:rsidRPr="00817853">
        <w:rPr>
          <w:sz w:val="24"/>
          <w:szCs w:val="24"/>
        </w:rPr>
        <w:t>του ασθενούς</w:t>
      </w:r>
      <w:r w:rsidR="0078495A" w:rsidRPr="00817853">
        <w:rPr>
          <w:sz w:val="24"/>
          <w:szCs w:val="24"/>
        </w:rPr>
        <w:t xml:space="preserve"> πρέπει</w:t>
      </w:r>
      <w:r w:rsidRPr="00817853">
        <w:rPr>
          <w:sz w:val="24"/>
          <w:szCs w:val="24"/>
        </w:rPr>
        <w:t>,</w:t>
      </w:r>
      <w:r w:rsidR="00217B5B" w:rsidRPr="00817853">
        <w:rPr>
          <w:sz w:val="24"/>
          <w:szCs w:val="24"/>
        </w:rPr>
        <w:t xml:space="preserve"> επίσης, να περιλαμβάνει και τη</w:t>
      </w:r>
      <w:r w:rsidRPr="00817853">
        <w:rPr>
          <w:sz w:val="24"/>
          <w:szCs w:val="24"/>
        </w:rPr>
        <w:t xml:space="preserve"> διδασκ</w:t>
      </w:r>
      <w:r w:rsidR="00D8059C" w:rsidRPr="00817853">
        <w:rPr>
          <w:sz w:val="24"/>
          <w:szCs w:val="24"/>
        </w:rPr>
        <w:t xml:space="preserve">αλία </w:t>
      </w:r>
      <w:r w:rsidR="00B0560D" w:rsidRPr="00817853">
        <w:rPr>
          <w:sz w:val="24"/>
          <w:szCs w:val="24"/>
        </w:rPr>
        <w:t>του ασθενούς</w:t>
      </w:r>
      <w:r w:rsidR="00D8059C" w:rsidRPr="00817853">
        <w:rPr>
          <w:sz w:val="24"/>
          <w:szCs w:val="24"/>
        </w:rPr>
        <w:t>. Η διδασκαλία</w:t>
      </w:r>
      <w:r w:rsidRPr="00817853">
        <w:rPr>
          <w:sz w:val="24"/>
          <w:szCs w:val="24"/>
        </w:rPr>
        <w:t xml:space="preserve"> </w:t>
      </w:r>
      <w:r w:rsidR="00B0560D" w:rsidRPr="00817853">
        <w:rPr>
          <w:sz w:val="24"/>
          <w:szCs w:val="24"/>
        </w:rPr>
        <w:t>του ασθενούς</w:t>
      </w:r>
      <w:r w:rsidRPr="00817853">
        <w:rPr>
          <w:sz w:val="24"/>
          <w:szCs w:val="24"/>
        </w:rPr>
        <w:t xml:space="preserve"> είναι </w:t>
      </w:r>
      <w:r w:rsidR="00817853">
        <w:rPr>
          <w:sz w:val="24"/>
          <w:szCs w:val="24"/>
        </w:rPr>
        <w:t>μια</w:t>
      </w:r>
      <w:r w:rsidRPr="00817853">
        <w:rPr>
          <w:sz w:val="24"/>
          <w:szCs w:val="24"/>
        </w:rPr>
        <w:t xml:space="preserve"> ενεργητική διαδικασία επικοινωνίας χτισμένη στην εμπιστοσύνη και τον σεβασμό</w:t>
      </w:r>
      <w:r w:rsidR="00217B5B" w:rsidRPr="00817853">
        <w:rPr>
          <w:sz w:val="24"/>
          <w:szCs w:val="24"/>
        </w:rPr>
        <w:t>,</w:t>
      </w:r>
      <w:r w:rsidRPr="00817853">
        <w:rPr>
          <w:sz w:val="24"/>
          <w:szCs w:val="24"/>
        </w:rPr>
        <w:t xml:space="preserve"> η οποία με τη σειρά </w:t>
      </w:r>
      <w:r w:rsidR="00D8059C" w:rsidRPr="00817853">
        <w:rPr>
          <w:sz w:val="24"/>
          <w:szCs w:val="24"/>
        </w:rPr>
        <w:t xml:space="preserve">της </w:t>
      </w:r>
      <w:r w:rsidRPr="00817853">
        <w:rPr>
          <w:sz w:val="24"/>
          <w:szCs w:val="24"/>
        </w:rPr>
        <w:t>καλλιεργεί μια συνεργασία μεταξύ ασθενή και επαγγελματία υγείας. Διευκολύνει την ανοικτή ανταλλαγή της πληροφορίας</w:t>
      </w:r>
      <w:r w:rsidR="00217B5B" w:rsidRPr="00817853">
        <w:rPr>
          <w:sz w:val="24"/>
          <w:szCs w:val="24"/>
        </w:rPr>
        <w:t>,</w:t>
      </w:r>
      <w:r w:rsidRPr="00817853">
        <w:rPr>
          <w:sz w:val="24"/>
          <w:szCs w:val="24"/>
        </w:rPr>
        <w:t xml:space="preserve"> έτσι ώστε να τεθούν από κοινού οι</w:t>
      </w:r>
      <w:r w:rsidR="00A6403B" w:rsidRPr="00817853">
        <w:rPr>
          <w:sz w:val="24"/>
          <w:szCs w:val="24"/>
        </w:rPr>
        <w:t xml:space="preserve"> στόχοι και να αναγνωρισθούν</w:t>
      </w:r>
      <w:r w:rsidR="0078495A" w:rsidRPr="00817853">
        <w:rPr>
          <w:sz w:val="24"/>
          <w:szCs w:val="24"/>
        </w:rPr>
        <w:t xml:space="preserve"> </w:t>
      </w:r>
      <w:r w:rsidRPr="00817853">
        <w:rPr>
          <w:sz w:val="24"/>
          <w:szCs w:val="24"/>
        </w:rPr>
        <w:t>τα εμπόδια στις θεραπευτικές συστάσεις</w:t>
      </w:r>
      <w:r w:rsidR="006D4C51" w:rsidRPr="00817853">
        <w:rPr>
          <w:sz w:val="24"/>
          <w:szCs w:val="24"/>
        </w:rPr>
        <w:t xml:space="preserve"> </w:t>
      </w:r>
      <w:r w:rsidR="006D4C51" w:rsidRPr="00817853">
        <w:rPr>
          <w:rFonts w:asciiTheme="minorHAnsi" w:hAnsiTheme="minorHAnsi" w:cstheme="minorHAnsi"/>
          <w:sz w:val="24"/>
          <w:szCs w:val="24"/>
        </w:rPr>
        <w:t>(</w:t>
      </w:r>
      <w:r w:rsidR="006D4C51" w:rsidRPr="00817853">
        <w:rPr>
          <w:rFonts w:asciiTheme="minorHAnsi" w:hAnsiTheme="minorHAnsi" w:cstheme="minorHAnsi"/>
          <w:sz w:val="24"/>
          <w:szCs w:val="24"/>
          <w:shd w:val="clear" w:color="auto" w:fill="FFFFFF"/>
        </w:rPr>
        <w:t>Jucks</w:t>
      </w:r>
      <w:r w:rsidR="006D4C51" w:rsidRPr="00817853">
        <w:rPr>
          <w:rFonts w:asciiTheme="minorHAnsi" w:hAnsiTheme="minorHAnsi" w:cstheme="minorHAnsi"/>
          <w:color w:val="000000"/>
          <w:sz w:val="24"/>
          <w:szCs w:val="24"/>
          <w:shd w:val="clear" w:color="auto" w:fill="FFFFFF"/>
        </w:rPr>
        <w:t>, </w:t>
      </w:r>
      <w:r w:rsidR="006D4C51" w:rsidRPr="00817853">
        <w:rPr>
          <w:rFonts w:asciiTheme="minorHAnsi" w:hAnsiTheme="minorHAnsi" w:cstheme="minorHAnsi"/>
          <w:sz w:val="24"/>
          <w:szCs w:val="24"/>
          <w:shd w:val="clear" w:color="auto" w:fill="FFFFFF"/>
        </w:rPr>
        <w:t>Paus</w:t>
      </w:r>
      <w:r w:rsidR="006D4C51" w:rsidRPr="00817853">
        <w:rPr>
          <w:rFonts w:asciiTheme="minorHAnsi" w:hAnsiTheme="minorHAnsi" w:cstheme="minorHAnsi"/>
          <w:color w:val="000000"/>
          <w:sz w:val="24"/>
          <w:szCs w:val="24"/>
          <w:shd w:val="clear" w:color="auto" w:fill="FFFFFF"/>
        </w:rPr>
        <w:t xml:space="preserve">, &amp; </w:t>
      </w:r>
      <w:r w:rsidR="006D4C51" w:rsidRPr="00817853">
        <w:rPr>
          <w:rFonts w:asciiTheme="minorHAnsi" w:hAnsiTheme="minorHAnsi" w:cstheme="minorHAnsi"/>
          <w:sz w:val="24"/>
          <w:szCs w:val="24"/>
          <w:shd w:val="clear" w:color="auto" w:fill="FFFFFF"/>
        </w:rPr>
        <w:t xml:space="preserve">Bromme, </w:t>
      </w:r>
      <w:r w:rsidR="00300E53">
        <w:rPr>
          <w:rFonts w:asciiTheme="minorHAnsi" w:hAnsiTheme="minorHAnsi" w:cstheme="minorHAnsi"/>
          <w:sz w:val="24"/>
          <w:szCs w:val="24"/>
        </w:rPr>
        <w:t>201</w:t>
      </w:r>
      <w:r w:rsidR="00300E53" w:rsidRPr="00300E53">
        <w:rPr>
          <w:rFonts w:asciiTheme="minorHAnsi" w:hAnsiTheme="minorHAnsi" w:cstheme="minorHAnsi"/>
          <w:sz w:val="24"/>
          <w:szCs w:val="24"/>
        </w:rPr>
        <w:t>2</w:t>
      </w:r>
      <w:r w:rsidR="006D4C51" w:rsidRPr="00817853">
        <w:rPr>
          <w:rFonts w:asciiTheme="minorHAnsi" w:hAnsiTheme="minorHAnsi" w:cstheme="minorHAnsi"/>
          <w:sz w:val="24"/>
          <w:szCs w:val="24"/>
        </w:rPr>
        <w:t>)</w:t>
      </w:r>
      <w:r w:rsidR="0066725A" w:rsidRPr="00817853">
        <w:rPr>
          <w:rFonts w:asciiTheme="minorHAnsi" w:hAnsiTheme="minorHAnsi" w:cstheme="minorHAnsi"/>
          <w:sz w:val="24"/>
          <w:szCs w:val="24"/>
        </w:rPr>
        <w:t>.</w:t>
      </w:r>
    </w:p>
    <w:p w:rsidR="00752752" w:rsidRPr="00AE092B" w:rsidRDefault="00851026" w:rsidP="005A464E">
      <w:pPr>
        <w:spacing w:line="360" w:lineRule="auto"/>
        <w:jc w:val="both"/>
        <w:rPr>
          <w:rFonts w:asciiTheme="minorHAnsi" w:hAnsiTheme="minorHAnsi" w:cstheme="minorHAnsi"/>
          <w:sz w:val="24"/>
          <w:szCs w:val="24"/>
        </w:rPr>
      </w:pPr>
      <w:r w:rsidRPr="005A464E">
        <w:rPr>
          <w:sz w:val="24"/>
          <w:szCs w:val="24"/>
        </w:rPr>
        <w:t xml:space="preserve">Ο ασθενής εισέρχεται στο σύστημα υγείας με τις προϋπάρχουσες </w:t>
      </w:r>
      <w:r w:rsidR="00217B5B">
        <w:rPr>
          <w:sz w:val="24"/>
          <w:szCs w:val="24"/>
        </w:rPr>
        <w:t xml:space="preserve">αντιλήψεις του, στάσεις, </w:t>
      </w:r>
      <w:r w:rsidR="0078495A">
        <w:rPr>
          <w:sz w:val="24"/>
          <w:szCs w:val="24"/>
        </w:rPr>
        <w:t>φόβους</w:t>
      </w:r>
      <w:r w:rsidRPr="005A464E">
        <w:rPr>
          <w:sz w:val="24"/>
          <w:szCs w:val="24"/>
        </w:rPr>
        <w:t>,</w:t>
      </w:r>
      <w:r w:rsidR="00217B5B">
        <w:rPr>
          <w:sz w:val="24"/>
          <w:szCs w:val="24"/>
        </w:rPr>
        <w:t xml:space="preserve"> </w:t>
      </w:r>
      <w:r w:rsidRPr="005A464E">
        <w:rPr>
          <w:sz w:val="24"/>
          <w:szCs w:val="24"/>
        </w:rPr>
        <w:t>ανησυχίες, εμπειρίες και την προσωπική και οικογενειακή του ζω</w:t>
      </w:r>
      <w:r w:rsidR="0004638B">
        <w:rPr>
          <w:sz w:val="24"/>
          <w:szCs w:val="24"/>
        </w:rPr>
        <w:t>ή, παράγοντες που επηρεάζουν τη</w:t>
      </w:r>
      <w:r w:rsidRPr="005A464E">
        <w:rPr>
          <w:sz w:val="24"/>
          <w:szCs w:val="24"/>
        </w:rPr>
        <w:t xml:space="preserve"> δεκτικότητα της πληροφορίας</w:t>
      </w:r>
      <w:r w:rsidR="0078495A">
        <w:rPr>
          <w:sz w:val="24"/>
          <w:szCs w:val="24"/>
        </w:rPr>
        <w:t xml:space="preserve"> </w:t>
      </w:r>
      <w:r w:rsidRPr="005A464E">
        <w:rPr>
          <w:sz w:val="24"/>
          <w:szCs w:val="24"/>
        </w:rPr>
        <w:t xml:space="preserve">και την ικανότητα και </w:t>
      </w:r>
      <w:r w:rsidR="00217B5B">
        <w:rPr>
          <w:sz w:val="24"/>
          <w:szCs w:val="24"/>
        </w:rPr>
        <w:t xml:space="preserve">την </w:t>
      </w:r>
      <w:r w:rsidRPr="005A464E">
        <w:rPr>
          <w:sz w:val="24"/>
          <w:szCs w:val="24"/>
        </w:rPr>
        <w:t>προθυμία</w:t>
      </w:r>
      <w:r w:rsidR="0004638B">
        <w:rPr>
          <w:sz w:val="24"/>
          <w:szCs w:val="24"/>
        </w:rPr>
        <w:t xml:space="preserve"> του</w:t>
      </w:r>
      <w:r w:rsidRPr="005A464E">
        <w:rPr>
          <w:sz w:val="24"/>
          <w:szCs w:val="24"/>
        </w:rPr>
        <w:t xml:space="preserve"> να ενσωματώσει την πληροφορία στην καθημερινή του ζωή. Μόνο αναγνωρίζοντας και ενσωματώνοντας τις προσωπικές μεταβλητές </w:t>
      </w:r>
      <w:r w:rsidR="00B0560D">
        <w:rPr>
          <w:sz w:val="24"/>
          <w:szCs w:val="24"/>
        </w:rPr>
        <w:t>του ασθενούς</w:t>
      </w:r>
      <w:r w:rsidRPr="005A464E">
        <w:rPr>
          <w:sz w:val="24"/>
          <w:szCs w:val="24"/>
        </w:rPr>
        <w:t xml:space="preserve"> στη διδασκαλία </w:t>
      </w:r>
      <w:r w:rsidR="00B0560D">
        <w:rPr>
          <w:sz w:val="24"/>
          <w:szCs w:val="24"/>
        </w:rPr>
        <w:t>του ασθενούς</w:t>
      </w:r>
      <w:r w:rsidRPr="005A464E">
        <w:rPr>
          <w:sz w:val="24"/>
          <w:szCs w:val="24"/>
        </w:rPr>
        <w:t xml:space="preserve"> μπορεί ο επαγγελματίας υγείας να προσαρμόσει τη διδασκαλία ώστε να είναι κατανοητή στον ασθενή.</w:t>
      </w:r>
      <w:r w:rsidR="0078495A">
        <w:rPr>
          <w:sz w:val="24"/>
          <w:szCs w:val="24"/>
        </w:rPr>
        <w:t xml:space="preserve"> </w:t>
      </w:r>
      <w:r w:rsidRPr="005A464E">
        <w:rPr>
          <w:sz w:val="24"/>
          <w:szCs w:val="24"/>
        </w:rPr>
        <w:t xml:space="preserve">Η </w:t>
      </w:r>
      <w:r w:rsidR="0059703D" w:rsidRPr="005A464E">
        <w:rPr>
          <w:sz w:val="24"/>
          <w:szCs w:val="24"/>
        </w:rPr>
        <w:t>εκπαίδευση</w:t>
      </w:r>
      <w:r w:rsidRPr="005A464E">
        <w:rPr>
          <w:sz w:val="24"/>
          <w:szCs w:val="24"/>
        </w:rPr>
        <w:t xml:space="preserve"> </w:t>
      </w:r>
      <w:r w:rsidR="00B0560D">
        <w:rPr>
          <w:sz w:val="24"/>
          <w:szCs w:val="24"/>
        </w:rPr>
        <w:t>του ασθενούς</w:t>
      </w:r>
      <w:r w:rsidRPr="005A464E">
        <w:rPr>
          <w:sz w:val="24"/>
          <w:szCs w:val="24"/>
        </w:rPr>
        <w:t xml:space="preserve"> περιλαμβάνει την </w:t>
      </w:r>
      <w:r w:rsidR="00747363" w:rsidRPr="005A464E">
        <w:rPr>
          <w:sz w:val="24"/>
          <w:szCs w:val="24"/>
        </w:rPr>
        <w:t>βοήθεια</w:t>
      </w:r>
      <w:r w:rsidR="005265EA" w:rsidRPr="005A464E">
        <w:rPr>
          <w:sz w:val="24"/>
          <w:szCs w:val="24"/>
        </w:rPr>
        <w:t xml:space="preserve"> </w:t>
      </w:r>
      <w:r w:rsidR="00747363" w:rsidRPr="005A464E">
        <w:rPr>
          <w:sz w:val="24"/>
          <w:szCs w:val="24"/>
        </w:rPr>
        <w:t>ώστε</w:t>
      </w:r>
      <w:r w:rsidRPr="005A464E">
        <w:rPr>
          <w:sz w:val="24"/>
          <w:szCs w:val="24"/>
        </w:rPr>
        <w:t xml:space="preserve"> ο ασθενής να </w:t>
      </w:r>
      <w:r w:rsidR="00747363" w:rsidRPr="005A464E">
        <w:rPr>
          <w:sz w:val="24"/>
          <w:szCs w:val="24"/>
        </w:rPr>
        <w:t>αποκτήσει</w:t>
      </w:r>
      <w:r w:rsidRPr="005A464E">
        <w:rPr>
          <w:sz w:val="24"/>
          <w:szCs w:val="24"/>
        </w:rPr>
        <w:t xml:space="preserve"> την γνώση, τα προσόντα, να αλλάξει στάσεις ώστε να είναι ικανός</w:t>
      </w:r>
      <w:r w:rsidR="00747363" w:rsidRPr="005A464E">
        <w:rPr>
          <w:sz w:val="24"/>
          <w:szCs w:val="24"/>
        </w:rPr>
        <w:t xml:space="preserve"> να διαχειριστεί τ</w:t>
      </w:r>
      <w:r w:rsidR="00A6403B">
        <w:rPr>
          <w:sz w:val="24"/>
          <w:szCs w:val="24"/>
        </w:rPr>
        <w:t xml:space="preserve">ις εκδηλώσεις της </w:t>
      </w:r>
      <w:r w:rsidR="00A6403B" w:rsidRPr="00817853">
        <w:rPr>
          <w:sz w:val="24"/>
          <w:szCs w:val="24"/>
        </w:rPr>
        <w:t>ασθένειάς του. Έτσι, θα μπορεί</w:t>
      </w:r>
      <w:r w:rsidR="00747363" w:rsidRPr="005A464E">
        <w:rPr>
          <w:sz w:val="24"/>
          <w:szCs w:val="24"/>
        </w:rPr>
        <w:t xml:space="preserve"> να αντιμετωπίσει την συναισθηματική επίδραση</w:t>
      </w:r>
      <w:r w:rsidR="0059703D" w:rsidRPr="005A464E">
        <w:rPr>
          <w:sz w:val="24"/>
          <w:szCs w:val="24"/>
        </w:rPr>
        <w:t xml:space="preserve"> της</w:t>
      </w:r>
      <w:r w:rsidR="00747363" w:rsidRPr="005A464E">
        <w:rPr>
          <w:sz w:val="24"/>
          <w:szCs w:val="24"/>
        </w:rPr>
        <w:t xml:space="preserve"> ασθένειας ή την αλλαγή των ρόλων, να προλάβει την ασθένεια, τις επιπλοκές, ή την ανικανότητα που ίσως προκύψει,</w:t>
      </w:r>
      <w:r w:rsidR="005265EA" w:rsidRPr="005A464E">
        <w:rPr>
          <w:sz w:val="24"/>
          <w:szCs w:val="24"/>
        </w:rPr>
        <w:t xml:space="preserve"> </w:t>
      </w:r>
      <w:r w:rsidR="00747363" w:rsidRPr="005A464E">
        <w:rPr>
          <w:sz w:val="24"/>
          <w:szCs w:val="24"/>
        </w:rPr>
        <w:t xml:space="preserve">να υιοθετήσει </w:t>
      </w:r>
      <w:r w:rsidR="00747363" w:rsidRPr="00817853">
        <w:rPr>
          <w:sz w:val="24"/>
          <w:szCs w:val="24"/>
        </w:rPr>
        <w:t xml:space="preserve">αλλαγές στον τρόπο ζωής και να διαχειρισθεί τα πολύπλοκα θεραπευτικά σχήματα. </w:t>
      </w:r>
      <w:r w:rsidR="00FA30C9" w:rsidRPr="00817853">
        <w:rPr>
          <w:sz w:val="24"/>
          <w:szCs w:val="24"/>
        </w:rPr>
        <w:t xml:space="preserve">Η τοποθέτηση των αναγκών </w:t>
      </w:r>
      <w:r w:rsidR="00B0560D" w:rsidRPr="00817853">
        <w:rPr>
          <w:sz w:val="24"/>
          <w:szCs w:val="24"/>
        </w:rPr>
        <w:t>του ασθενούς</w:t>
      </w:r>
      <w:r w:rsidR="003E3F82" w:rsidRPr="00817853">
        <w:rPr>
          <w:sz w:val="24"/>
          <w:szCs w:val="24"/>
        </w:rPr>
        <w:t xml:space="preserve"> στο κέντρο της εκπαίδευσης,</w:t>
      </w:r>
      <w:r w:rsidR="00FA30C9" w:rsidRPr="00817853">
        <w:rPr>
          <w:sz w:val="24"/>
          <w:szCs w:val="24"/>
        </w:rPr>
        <w:t xml:space="preserve"> </w:t>
      </w:r>
      <w:r w:rsidR="00747363" w:rsidRPr="00817853">
        <w:rPr>
          <w:sz w:val="24"/>
          <w:szCs w:val="24"/>
        </w:rPr>
        <w:t>θα βοηθήσει τον επαγγελματία υγείας να αναγνωρίσει</w:t>
      </w:r>
      <w:r w:rsidR="005265EA" w:rsidRPr="00817853">
        <w:rPr>
          <w:sz w:val="24"/>
          <w:szCs w:val="24"/>
        </w:rPr>
        <w:t xml:space="preserve"> </w:t>
      </w:r>
      <w:r w:rsidR="00747363" w:rsidRPr="00817853">
        <w:rPr>
          <w:sz w:val="24"/>
          <w:szCs w:val="24"/>
        </w:rPr>
        <w:t>τα εμπόδια που μπορεί να</w:t>
      </w:r>
      <w:r w:rsidR="0078495A" w:rsidRPr="00817853">
        <w:rPr>
          <w:sz w:val="24"/>
          <w:szCs w:val="24"/>
        </w:rPr>
        <w:t xml:space="preserve"> </w:t>
      </w:r>
      <w:r w:rsidR="00747363" w:rsidRPr="00817853">
        <w:rPr>
          <w:sz w:val="24"/>
          <w:szCs w:val="24"/>
        </w:rPr>
        <w:t xml:space="preserve">επηρεάσουν την προθυμία και/ή την δυνατότητα </w:t>
      </w:r>
      <w:r w:rsidR="00B0560D" w:rsidRPr="00817853">
        <w:rPr>
          <w:sz w:val="24"/>
          <w:szCs w:val="24"/>
        </w:rPr>
        <w:t>του ασθενούς</w:t>
      </w:r>
      <w:r w:rsidR="00747363" w:rsidRPr="00817853">
        <w:rPr>
          <w:sz w:val="24"/>
          <w:szCs w:val="24"/>
        </w:rPr>
        <w:t xml:space="preserve"> να ενσωματώσει την πληροφορία στην καθ</w:t>
      </w:r>
      <w:r w:rsidR="0059703D" w:rsidRPr="00817853">
        <w:rPr>
          <w:sz w:val="24"/>
          <w:szCs w:val="24"/>
        </w:rPr>
        <w:t>ημερινή του ζωή. Η εκπαίδευση</w:t>
      </w:r>
      <w:r w:rsidR="00747363" w:rsidRPr="00817853">
        <w:rPr>
          <w:sz w:val="24"/>
          <w:szCs w:val="24"/>
        </w:rPr>
        <w:t xml:space="preserve"> </w:t>
      </w:r>
      <w:r w:rsidR="00B0560D" w:rsidRPr="00817853">
        <w:rPr>
          <w:sz w:val="24"/>
          <w:szCs w:val="24"/>
        </w:rPr>
        <w:t>του ασθενούς</w:t>
      </w:r>
      <w:r w:rsidR="00217B5B" w:rsidRPr="00817853">
        <w:rPr>
          <w:sz w:val="24"/>
          <w:szCs w:val="24"/>
        </w:rPr>
        <w:t xml:space="preserve"> είναι ένα οργανωμένο</w:t>
      </w:r>
      <w:r w:rsidR="00747363" w:rsidRPr="00817853">
        <w:rPr>
          <w:sz w:val="24"/>
          <w:szCs w:val="24"/>
        </w:rPr>
        <w:t>, δομημένο πρόγραμμα που</w:t>
      </w:r>
      <w:r w:rsidR="005265EA" w:rsidRPr="00817853">
        <w:rPr>
          <w:sz w:val="24"/>
          <w:szCs w:val="24"/>
        </w:rPr>
        <w:t xml:space="preserve"> </w:t>
      </w:r>
      <w:r w:rsidR="0093530B" w:rsidRPr="00817853">
        <w:rPr>
          <w:sz w:val="24"/>
          <w:szCs w:val="24"/>
        </w:rPr>
        <w:t xml:space="preserve">χρησιμοποιείται από τους επαγγελματίες υγείας </w:t>
      </w:r>
      <w:r w:rsidR="000653D3" w:rsidRPr="00817853">
        <w:rPr>
          <w:sz w:val="24"/>
          <w:szCs w:val="24"/>
        </w:rPr>
        <w:t xml:space="preserve">ως το μέσο </w:t>
      </w:r>
      <w:r w:rsidR="0093530B" w:rsidRPr="00817853">
        <w:rPr>
          <w:sz w:val="24"/>
          <w:szCs w:val="24"/>
        </w:rPr>
        <w:t>που θα μεταφέρει την πληροφορία στον ασθενή και θα διευκολύνει την μάθηση.</w:t>
      </w:r>
      <w:r w:rsidR="005265EA" w:rsidRPr="00817853">
        <w:rPr>
          <w:sz w:val="24"/>
          <w:szCs w:val="24"/>
        </w:rPr>
        <w:t xml:space="preserve"> </w:t>
      </w:r>
      <w:r w:rsidR="0093530B" w:rsidRPr="00817853">
        <w:rPr>
          <w:sz w:val="24"/>
          <w:szCs w:val="24"/>
        </w:rPr>
        <w:t>Ο</w:t>
      </w:r>
      <w:r w:rsidR="0059703D" w:rsidRPr="00817853">
        <w:rPr>
          <w:sz w:val="24"/>
          <w:szCs w:val="24"/>
        </w:rPr>
        <w:t xml:space="preserve"> στόχος της εκπαίδευση</w:t>
      </w:r>
      <w:r w:rsidR="0093530B" w:rsidRPr="00817853">
        <w:rPr>
          <w:sz w:val="24"/>
          <w:szCs w:val="24"/>
        </w:rPr>
        <w:t xml:space="preserve">ς είναι να βοηθήσει </w:t>
      </w:r>
      <w:r w:rsidR="000653D3" w:rsidRPr="00817853">
        <w:rPr>
          <w:sz w:val="24"/>
          <w:szCs w:val="24"/>
        </w:rPr>
        <w:t>τον ασθενή</w:t>
      </w:r>
      <w:r w:rsidR="0093530B" w:rsidRPr="00817853">
        <w:rPr>
          <w:sz w:val="24"/>
          <w:szCs w:val="24"/>
        </w:rPr>
        <w:t xml:space="preserve"> να</w:t>
      </w:r>
      <w:r w:rsidR="005265EA" w:rsidRPr="00817853">
        <w:rPr>
          <w:sz w:val="24"/>
          <w:szCs w:val="24"/>
        </w:rPr>
        <w:t xml:space="preserve"> </w:t>
      </w:r>
      <w:r w:rsidR="00A6403B" w:rsidRPr="00817853">
        <w:rPr>
          <w:sz w:val="24"/>
          <w:szCs w:val="24"/>
        </w:rPr>
        <w:t>κάνει</w:t>
      </w:r>
      <w:r w:rsidR="0093530B" w:rsidRPr="00817853">
        <w:rPr>
          <w:sz w:val="24"/>
          <w:szCs w:val="24"/>
        </w:rPr>
        <w:t xml:space="preserve"> επιλογές εν γνώσει </w:t>
      </w:r>
      <w:r w:rsidR="00A6403B" w:rsidRPr="00817853">
        <w:rPr>
          <w:sz w:val="24"/>
          <w:szCs w:val="24"/>
        </w:rPr>
        <w:t>του</w:t>
      </w:r>
      <w:r w:rsidR="005265EA" w:rsidRPr="00817853">
        <w:rPr>
          <w:sz w:val="24"/>
          <w:szCs w:val="24"/>
        </w:rPr>
        <w:t xml:space="preserve"> </w:t>
      </w:r>
      <w:r w:rsidR="00A6403B" w:rsidRPr="00817853">
        <w:rPr>
          <w:sz w:val="24"/>
          <w:szCs w:val="24"/>
        </w:rPr>
        <w:t>και να του</w:t>
      </w:r>
      <w:r w:rsidR="0093530B" w:rsidRPr="00817853">
        <w:rPr>
          <w:sz w:val="24"/>
          <w:szCs w:val="24"/>
        </w:rPr>
        <w:t xml:space="preserve"> παρέχει υποστήριξη ώστε να επιτευχθεί η βέλτιστη δυνατή</w:t>
      </w:r>
      <w:r w:rsidR="0078495A" w:rsidRPr="00817853">
        <w:rPr>
          <w:sz w:val="24"/>
          <w:szCs w:val="24"/>
        </w:rPr>
        <w:t xml:space="preserve"> </w:t>
      </w:r>
      <w:r w:rsidR="0093530B" w:rsidRPr="00817853">
        <w:rPr>
          <w:sz w:val="24"/>
          <w:szCs w:val="24"/>
        </w:rPr>
        <w:t>υγεία</w:t>
      </w:r>
      <w:r w:rsidR="004C713C" w:rsidRPr="00817853">
        <w:rPr>
          <w:rFonts w:asciiTheme="minorHAnsi" w:hAnsiTheme="minorHAnsi" w:cstheme="minorHAnsi"/>
          <w:sz w:val="24"/>
          <w:szCs w:val="24"/>
        </w:rPr>
        <w:t xml:space="preserve"> (</w:t>
      </w:r>
      <w:hyperlink r:id="rId12" w:history="1">
        <w:r w:rsidR="004C713C" w:rsidRPr="00817853">
          <w:rPr>
            <w:rStyle w:val="-"/>
            <w:rFonts w:asciiTheme="minorHAnsi" w:hAnsiTheme="minorHAnsi" w:cstheme="minorHAnsi"/>
            <w:color w:val="auto"/>
            <w:sz w:val="24"/>
            <w:szCs w:val="24"/>
            <w:u w:val="none"/>
            <w:shd w:val="clear" w:color="auto" w:fill="FFFFFF"/>
          </w:rPr>
          <w:t>Beauvais</w:t>
        </w:r>
      </w:hyperlink>
      <w:r w:rsidR="004C713C" w:rsidRPr="00817853">
        <w:rPr>
          <w:rFonts w:asciiTheme="minorHAnsi" w:hAnsiTheme="minorHAnsi" w:cstheme="minorHAnsi"/>
          <w:sz w:val="24"/>
          <w:szCs w:val="24"/>
        </w:rPr>
        <w:t>, 2011).</w:t>
      </w:r>
    </w:p>
    <w:p w:rsidR="007051F8" w:rsidRPr="007051F8" w:rsidRDefault="007051F8" w:rsidP="007051F8">
      <w:pPr>
        <w:pStyle w:val="Style2"/>
        <w:widowControl/>
        <w:spacing w:line="360" w:lineRule="auto"/>
        <w:ind w:right="5"/>
        <w:jc w:val="both"/>
        <w:rPr>
          <w:rFonts w:asciiTheme="minorHAnsi" w:hAnsiTheme="minorHAnsi" w:cstheme="minorHAnsi"/>
        </w:rPr>
      </w:pPr>
      <w:r w:rsidRPr="007051F8">
        <w:rPr>
          <w:rStyle w:val="FontStyle13"/>
          <w:rFonts w:asciiTheme="minorHAnsi" w:hAnsiTheme="minorHAnsi" w:cstheme="minorHAnsi"/>
          <w:i w:val="0"/>
          <w:sz w:val="24"/>
          <w:szCs w:val="24"/>
        </w:rPr>
        <w:t>Στην παρούσα διδακτορική διατριβή, μετά από μια αναλυτική μελέτη ανάλογων ερευνητικών μελετών, παρουσιάζονται τα δεδομένα ποσοτικής έρευνας που πραγματοποιήθηκε σε δείγμα ασθενών με</w:t>
      </w:r>
      <w:r w:rsidRPr="007051F8">
        <w:rPr>
          <w:rStyle w:val="FontStyle13"/>
          <w:rFonts w:asciiTheme="minorHAnsi" w:hAnsiTheme="minorHAnsi" w:cstheme="minorHAnsi"/>
        </w:rPr>
        <w:t xml:space="preserve"> </w:t>
      </w:r>
      <w:r w:rsidRPr="007051F8">
        <w:rPr>
          <w:rFonts w:asciiTheme="minorHAnsi" w:hAnsiTheme="minorHAnsi" w:cstheme="minorHAnsi"/>
        </w:rPr>
        <w:t>Χρόνια Ν</w:t>
      </w:r>
      <w:r w:rsidR="00A6403B">
        <w:rPr>
          <w:rFonts w:asciiTheme="minorHAnsi" w:hAnsiTheme="minorHAnsi" w:cstheme="minorHAnsi"/>
        </w:rPr>
        <w:t>εφρική Νόσο</w:t>
      </w:r>
      <w:r w:rsidRPr="007051F8">
        <w:rPr>
          <w:rFonts w:asciiTheme="minorHAnsi" w:hAnsiTheme="minorHAnsi" w:cstheme="minorHAnsi"/>
        </w:rPr>
        <w:t xml:space="preserve"> οι οποίοι υποβάλλονται σε θεραπεία υποκατάστασης της νεφρικής τους λειτουργίας με τη μέθοδο της αιμοκάθαρσης</w:t>
      </w:r>
      <w:r w:rsidRPr="00817853">
        <w:rPr>
          <w:rFonts w:asciiTheme="minorHAnsi" w:hAnsiTheme="minorHAnsi" w:cstheme="minorHAnsi"/>
        </w:rPr>
        <w:t xml:space="preserve">. </w:t>
      </w:r>
      <w:r w:rsidRPr="00817853">
        <w:rPr>
          <w:rStyle w:val="FontStyle13"/>
          <w:rFonts w:asciiTheme="minorHAnsi" w:hAnsiTheme="minorHAnsi" w:cstheme="minorHAnsi"/>
          <w:i w:val="0"/>
          <w:sz w:val="24"/>
          <w:szCs w:val="24"/>
        </w:rPr>
        <w:t>Α</w:t>
      </w:r>
      <w:r w:rsidRPr="00817853">
        <w:rPr>
          <w:rFonts w:asciiTheme="minorHAnsi" w:eastAsia="Calibri" w:hAnsiTheme="minorHAnsi" w:cstheme="minorHAnsi"/>
          <w:bCs/>
        </w:rPr>
        <w:t>ξιολογήθηκε η επ</w:t>
      </w:r>
      <w:r w:rsidRPr="00817853">
        <w:rPr>
          <w:rFonts w:asciiTheme="minorHAnsi" w:hAnsiTheme="minorHAnsi" w:cstheme="minorHAnsi"/>
        </w:rPr>
        <w:t xml:space="preserve">ίδραση της συμβουλευτικής </w:t>
      </w:r>
      <w:r w:rsidRPr="00817853">
        <w:rPr>
          <w:rFonts w:asciiTheme="minorHAnsi" w:hAnsiTheme="minorHAnsi"/>
        </w:rPr>
        <w:t>νοσηλευτικής στη μεταβολή του επιπέδου γνώσεων, της ποιότητας ζωής και στη συμμόρφωση ασθενών υπο αιμοκάθαρση στο θεραπευτικό σχήμα. Επιπλέον, αξιολογήθηκε η πιθανή επίδραση του επιπέδου γνώσεων του ασθενούς για τη Χρόνια Νεφρική Νόσο κ</w:t>
      </w:r>
      <w:r w:rsidR="00A6403B" w:rsidRPr="00817853">
        <w:rPr>
          <w:rFonts w:asciiTheme="minorHAnsi" w:hAnsiTheme="minorHAnsi"/>
        </w:rPr>
        <w:t>αι την αιμοκάθαρση στην μεταβολή</w:t>
      </w:r>
      <w:r w:rsidRPr="00817853">
        <w:rPr>
          <w:rFonts w:asciiTheme="minorHAnsi" w:hAnsiTheme="minorHAnsi"/>
        </w:rPr>
        <w:t xml:space="preserve"> του επιπέδου </w:t>
      </w:r>
      <w:r w:rsidR="0000347C" w:rsidRPr="00817853">
        <w:rPr>
          <w:rFonts w:asciiTheme="minorHAnsi" w:hAnsiTheme="minorHAnsi"/>
        </w:rPr>
        <w:t xml:space="preserve">συμμόρφωσης και ποιότητας ζωής </w:t>
      </w:r>
      <w:r w:rsidRPr="00817853">
        <w:rPr>
          <w:rFonts w:asciiTheme="minorHAnsi" w:hAnsiTheme="minorHAnsi"/>
        </w:rPr>
        <w:t>αλλά και η πιθανή επίδραση του επιπέδου συμμόρφωσης του ασθενούς στην ποιότητα ζωής του ασθενούς.</w:t>
      </w:r>
    </w:p>
    <w:p w:rsidR="007051F8" w:rsidRPr="00EE4AF2" w:rsidRDefault="007051F8" w:rsidP="0000347C">
      <w:pPr>
        <w:spacing w:line="360" w:lineRule="auto"/>
        <w:jc w:val="both"/>
        <w:rPr>
          <w:rFonts w:asciiTheme="minorHAnsi" w:hAnsiTheme="minorHAnsi" w:cstheme="minorHAnsi"/>
          <w:sz w:val="24"/>
          <w:szCs w:val="24"/>
        </w:rPr>
      </w:pPr>
      <w:r w:rsidRPr="00EE4AF2">
        <w:rPr>
          <w:rFonts w:asciiTheme="minorHAnsi" w:hAnsiTheme="minorHAnsi" w:cstheme="minorHAnsi"/>
          <w:sz w:val="24"/>
          <w:szCs w:val="24"/>
        </w:rPr>
        <w:t xml:space="preserve">Το γενικό μέρος της </w:t>
      </w:r>
      <w:r w:rsidR="00951A7E" w:rsidRPr="00EE4AF2">
        <w:rPr>
          <w:rFonts w:asciiTheme="minorHAnsi" w:hAnsiTheme="minorHAnsi" w:cstheme="minorHAnsi"/>
          <w:sz w:val="24"/>
          <w:szCs w:val="24"/>
        </w:rPr>
        <w:t xml:space="preserve">διδακτορικής </w:t>
      </w:r>
      <w:r w:rsidRPr="00EE4AF2">
        <w:rPr>
          <w:rFonts w:asciiTheme="minorHAnsi" w:hAnsiTheme="minorHAnsi" w:cstheme="minorHAnsi"/>
          <w:sz w:val="24"/>
          <w:szCs w:val="24"/>
        </w:rPr>
        <w:t>διατριβής</w:t>
      </w:r>
      <w:r w:rsidR="0000347C" w:rsidRPr="00EE4AF2">
        <w:rPr>
          <w:rFonts w:asciiTheme="minorHAnsi" w:hAnsiTheme="minorHAnsi" w:cstheme="minorHAnsi"/>
          <w:sz w:val="24"/>
          <w:szCs w:val="24"/>
        </w:rPr>
        <w:t xml:space="preserve"> αποτελείται από πέντε</w:t>
      </w:r>
      <w:r w:rsidRPr="00EE4AF2">
        <w:rPr>
          <w:rFonts w:asciiTheme="minorHAnsi" w:hAnsiTheme="minorHAnsi" w:cstheme="minorHAnsi"/>
          <w:sz w:val="24"/>
          <w:szCs w:val="24"/>
        </w:rPr>
        <w:t xml:space="preserve"> κεφάλαια, τα οποία εξετάζουν τα εξής:</w:t>
      </w:r>
    </w:p>
    <w:p w:rsidR="007051F8" w:rsidRPr="00EE4AF2" w:rsidRDefault="004E6070" w:rsidP="0000347C">
      <w:pPr>
        <w:spacing w:line="360" w:lineRule="auto"/>
        <w:jc w:val="both"/>
        <w:rPr>
          <w:rFonts w:asciiTheme="minorHAnsi" w:hAnsiTheme="minorHAnsi" w:cstheme="minorHAnsi"/>
          <w:sz w:val="24"/>
          <w:szCs w:val="24"/>
        </w:rPr>
      </w:pPr>
      <w:r>
        <w:rPr>
          <w:rFonts w:asciiTheme="minorHAnsi" w:hAnsiTheme="minorHAnsi" w:cstheme="minorHAnsi"/>
          <w:sz w:val="24"/>
          <w:szCs w:val="24"/>
        </w:rPr>
        <w:t>Στο πρώτο</w:t>
      </w:r>
      <w:r w:rsidR="007051F8" w:rsidRPr="00EE4AF2">
        <w:rPr>
          <w:rFonts w:asciiTheme="minorHAnsi" w:hAnsiTheme="minorHAnsi" w:cstheme="minorHAnsi"/>
          <w:sz w:val="24"/>
          <w:szCs w:val="24"/>
        </w:rPr>
        <w:t xml:space="preserve"> </w:t>
      </w:r>
      <w:r w:rsidR="002703C5">
        <w:rPr>
          <w:rFonts w:asciiTheme="minorHAnsi" w:hAnsiTheme="minorHAnsi" w:cstheme="minorHAnsi"/>
          <w:sz w:val="24"/>
          <w:szCs w:val="24"/>
        </w:rPr>
        <w:t xml:space="preserve">κεφάλαιο </w:t>
      </w:r>
      <w:r w:rsidR="007051F8" w:rsidRPr="00EE4AF2">
        <w:rPr>
          <w:rFonts w:asciiTheme="minorHAnsi" w:hAnsiTheme="minorHAnsi" w:cstheme="minorHAnsi"/>
          <w:sz w:val="24"/>
          <w:szCs w:val="24"/>
        </w:rPr>
        <w:t xml:space="preserve">γίνεται αναφορά στη </w:t>
      </w:r>
      <w:r w:rsidR="0000347C" w:rsidRPr="00EE4AF2">
        <w:rPr>
          <w:rFonts w:asciiTheme="minorHAnsi" w:hAnsiTheme="minorHAnsi" w:cstheme="minorHAnsi"/>
          <w:sz w:val="24"/>
          <w:szCs w:val="24"/>
        </w:rPr>
        <w:t>Χρόνια Νεφρική Ν</w:t>
      </w:r>
      <w:r w:rsidR="007051F8" w:rsidRPr="00EE4AF2">
        <w:rPr>
          <w:rFonts w:asciiTheme="minorHAnsi" w:hAnsiTheme="minorHAnsi" w:cstheme="minorHAnsi"/>
          <w:sz w:val="24"/>
          <w:szCs w:val="24"/>
        </w:rPr>
        <w:t xml:space="preserve">όσο και την εξωνεφρική </w:t>
      </w:r>
      <w:r w:rsidR="0000347C" w:rsidRPr="00EE4AF2">
        <w:rPr>
          <w:rFonts w:asciiTheme="minorHAnsi" w:hAnsiTheme="minorHAnsi" w:cstheme="minorHAnsi"/>
          <w:sz w:val="24"/>
          <w:szCs w:val="24"/>
        </w:rPr>
        <w:t>κάθαρση. Ειδικότερα, παρουσιάζον</w:t>
      </w:r>
      <w:r w:rsidR="007051F8" w:rsidRPr="00EE4AF2">
        <w:rPr>
          <w:rFonts w:asciiTheme="minorHAnsi" w:hAnsiTheme="minorHAnsi" w:cstheme="minorHAnsi"/>
          <w:sz w:val="24"/>
          <w:szCs w:val="24"/>
        </w:rPr>
        <w:t xml:space="preserve">αι </w:t>
      </w:r>
      <w:r w:rsidR="0000347C" w:rsidRPr="00EE4AF2">
        <w:rPr>
          <w:rFonts w:asciiTheme="minorHAnsi" w:hAnsiTheme="minorHAnsi" w:cstheme="minorHAnsi"/>
          <w:sz w:val="24"/>
          <w:szCs w:val="24"/>
        </w:rPr>
        <w:t xml:space="preserve">τα αίτια, </w:t>
      </w:r>
      <w:r w:rsidR="007051F8" w:rsidRPr="00EE4AF2">
        <w:rPr>
          <w:rFonts w:asciiTheme="minorHAnsi" w:hAnsiTheme="minorHAnsi" w:cstheme="minorHAnsi"/>
          <w:sz w:val="24"/>
          <w:szCs w:val="24"/>
        </w:rPr>
        <w:t>η</w:t>
      </w:r>
      <w:r w:rsidR="0000347C" w:rsidRPr="00EE4AF2">
        <w:rPr>
          <w:rFonts w:asciiTheme="minorHAnsi" w:hAnsiTheme="minorHAnsi" w:cstheme="minorHAnsi"/>
          <w:sz w:val="24"/>
          <w:szCs w:val="24"/>
        </w:rPr>
        <w:t xml:space="preserve"> κλινική εικόνα, τα εργαστηριακά ευρήματα και οι τρόποι αντιμετώπισης της Χρόνιας Νεφρικής Νόσου</w:t>
      </w:r>
      <w:r w:rsidR="00A6403B">
        <w:rPr>
          <w:rFonts w:asciiTheme="minorHAnsi" w:hAnsiTheme="minorHAnsi" w:cstheme="minorHAnsi"/>
          <w:sz w:val="24"/>
          <w:szCs w:val="24"/>
        </w:rPr>
        <w:t xml:space="preserve"> Τελικού Σταδίου.</w:t>
      </w:r>
    </w:p>
    <w:p w:rsidR="007051F8" w:rsidRPr="00EE4AF2" w:rsidRDefault="007051F8" w:rsidP="0000347C">
      <w:pPr>
        <w:spacing w:line="360" w:lineRule="auto"/>
        <w:jc w:val="both"/>
        <w:rPr>
          <w:rFonts w:asciiTheme="minorHAnsi" w:hAnsiTheme="minorHAnsi" w:cstheme="minorHAnsi"/>
          <w:sz w:val="24"/>
          <w:szCs w:val="24"/>
        </w:rPr>
      </w:pPr>
      <w:r w:rsidRPr="00EE4AF2">
        <w:rPr>
          <w:rFonts w:asciiTheme="minorHAnsi" w:hAnsiTheme="minorHAnsi" w:cstheme="minorHAnsi"/>
          <w:sz w:val="24"/>
          <w:szCs w:val="24"/>
        </w:rPr>
        <w:t>Στο δεύτερο</w:t>
      </w:r>
      <w:r w:rsidR="0000347C" w:rsidRPr="00EE4AF2">
        <w:rPr>
          <w:rFonts w:asciiTheme="minorHAnsi" w:hAnsiTheme="minorHAnsi" w:cstheme="minorHAnsi"/>
          <w:sz w:val="24"/>
          <w:szCs w:val="24"/>
        </w:rPr>
        <w:t xml:space="preserve"> κεφάλαιο επισημαίνεται η σημασία της ενημέρωσ</w:t>
      </w:r>
      <w:r w:rsidR="00A6403B">
        <w:rPr>
          <w:rFonts w:asciiTheme="minorHAnsi" w:hAnsiTheme="minorHAnsi" w:cstheme="minorHAnsi"/>
          <w:sz w:val="24"/>
          <w:szCs w:val="24"/>
        </w:rPr>
        <w:t xml:space="preserve">ης και διδασκαλίας του ασθενούς, </w:t>
      </w:r>
      <w:r w:rsidR="0000347C" w:rsidRPr="00EE4AF2">
        <w:rPr>
          <w:rFonts w:asciiTheme="minorHAnsi" w:hAnsiTheme="minorHAnsi" w:cstheme="minorHAnsi"/>
          <w:sz w:val="24"/>
          <w:szCs w:val="24"/>
        </w:rPr>
        <w:t>η σχεδίαση ενός εκπαιδευτικού πλ</w:t>
      </w:r>
      <w:r w:rsidR="008342E1" w:rsidRPr="00EE4AF2">
        <w:rPr>
          <w:rFonts w:asciiTheme="minorHAnsi" w:hAnsiTheme="minorHAnsi" w:cstheme="minorHAnsi"/>
          <w:sz w:val="24"/>
          <w:szCs w:val="24"/>
        </w:rPr>
        <w:t>άνου καθώς και τα εργαλεία μέτρησης του επιπέδου γνώσεων σε ασθενείς με Χρόνια Νεφρική Νόσο</w:t>
      </w:r>
      <w:r w:rsidR="00A6403B">
        <w:rPr>
          <w:rFonts w:asciiTheme="minorHAnsi" w:hAnsiTheme="minorHAnsi" w:cstheme="minorHAnsi"/>
          <w:sz w:val="24"/>
          <w:szCs w:val="24"/>
        </w:rPr>
        <w:t xml:space="preserve"> Τελικού Σταδίου.</w:t>
      </w:r>
    </w:p>
    <w:p w:rsidR="0000347C" w:rsidRPr="00EE4AF2" w:rsidRDefault="007051F8" w:rsidP="0000347C">
      <w:pPr>
        <w:spacing w:line="360" w:lineRule="auto"/>
        <w:jc w:val="both"/>
        <w:rPr>
          <w:rFonts w:asciiTheme="minorHAnsi" w:hAnsiTheme="minorHAnsi" w:cstheme="minorHAnsi"/>
          <w:sz w:val="24"/>
          <w:szCs w:val="24"/>
        </w:rPr>
      </w:pPr>
      <w:r w:rsidRPr="00EE4AF2">
        <w:rPr>
          <w:rFonts w:asciiTheme="minorHAnsi" w:hAnsiTheme="minorHAnsi" w:cstheme="minorHAnsi"/>
          <w:sz w:val="24"/>
          <w:szCs w:val="24"/>
        </w:rPr>
        <w:t xml:space="preserve">Στο </w:t>
      </w:r>
      <w:r w:rsidR="0000347C" w:rsidRPr="00EE4AF2">
        <w:rPr>
          <w:rFonts w:asciiTheme="minorHAnsi" w:hAnsiTheme="minorHAnsi" w:cstheme="minorHAnsi"/>
          <w:sz w:val="24"/>
          <w:szCs w:val="24"/>
        </w:rPr>
        <w:t>τρίτο κεφάλαιο</w:t>
      </w:r>
      <w:r w:rsidRPr="00EE4AF2">
        <w:rPr>
          <w:rFonts w:asciiTheme="minorHAnsi" w:hAnsiTheme="minorHAnsi" w:cstheme="minorHAnsi"/>
          <w:sz w:val="24"/>
          <w:szCs w:val="24"/>
        </w:rPr>
        <w:t xml:space="preserve">, </w:t>
      </w:r>
      <w:r w:rsidR="0000347C" w:rsidRPr="00EE4AF2">
        <w:rPr>
          <w:rFonts w:asciiTheme="minorHAnsi" w:hAnsiTheme="minorHAnsi" w:cstheme="minorHAnsi"/>
          <w:sz w:val="24"/>
          <w:szCs w:val="24"/>
        </w:rPr>
        <w:t>αναλύεται η έννοια της συμμόρφωσης του ασθενούς στο θεραπευτικό σχήμα, οι</w:t>
      </w:r>
      <w:r w:rsidR="008342E1" w:rsidRPr="00EE4AF2">
        <w:rPr>
          <w:rFonts w:asciiTheme="minorHAnsi" w:hAnsiTheme="minorHAnsi" w:cstheme="minorHAnsi"/>
          <w:sz w:val="24"/>
          <w:szCs w:val="24"/>
        </w:rPr>
        <w:t xml:space="preserve"> </w:t>
      </w:r>
      <w:r w:rsidR="0000347C" w:rsidRPr="00EE4AF2">
        <w:rPr>
          <w:rFonts w:asciiTheme="minorHAnsi" w:hAnsiTheme="minorHAnsi" w:cstheme="minorHAnsi"/>
          <w:sz w:val="24"/>
          <w:szCs w:val="24"/>
        </w:rPr>
        <w:t>παράγοντες που επιδρούν σε αυτήν</w:t>
      </w:r>
      <w:r w:rsidR="008342E1" w:rsidRPr="00EE4AF2">
        <w:rPr>
          <w:rFonts w:asciiTheme="minorHAnsi" w:hAnsiTheme="minorHAnsi" w:cstheme="minorHAnsi"/>
          <w:sz w:val="24"/>
          <w:szCs w:val="24"/>
        </w:rPr>
        <w:t xml:space="preserve"> καθώς και τα εργαλεία μέτρησης του επιπέδου συμμόρφωσης σε ασθενείς με Χρόνια Νεφρική Νόσο</w:t>
      </w:r>
      <w:r w:rsidR="00A6403B">
        <w:rPr>
          <w:rFonts w:asciiTheme="minorHAnsi" w:hAnsiTheme="minorHAnsi" w:cstheme="minorHAnsi"/>
          <w:sz w:val="24"/>
          <w:szCs w:val="24"/>
        </w:rPr>
        <w:t xml:space="preserve"> Τελικού Σταδίου</w:t>
      </w:r>
      <w:r w:rsidR="008342E1" w:rsidRPr="00EE4AF2">
        <w:rPr>
          <w:rFonts w:asciiTheme="minorHAnsi" w:hAnsiTheme="minorHAnsi" w:cstheme="minorHAnsi"/>
          <w:sz w:val="24"/>
          <w:szCs w:val="24"/>
        </w:rPr>
        <w:t>.</w:t>
      </w:r>
    </w:p>
    <w:p w:rsidR="008342E1" w:rsidRPr="00EE4AF2" w:rsidRDefault="008342E1" w:rsidP="0000347C">
      <w:pPr>
        <w:spacing w:line="360" w:lineRule="auto"/>
        <w:jc w:val="both"/>
        <w:rPr>
          <w:rFonts w:asciiTheme="minorHAnsi" w:hAnsiTheme="minorHAnsi" w:cstheme="minorHAnsi"/>
          <w:sz w:val="24"/>
          <w:szCs w:val="24"/>
        </w:rPr>
      </w:pPr>
      <w:r w:rsidRPr="00EE4AF2">
        <w:rPr>
          <w:rFonts w:asciiTheme="minorHAnsi" w:hAnsiTheme="minorHAnsi" w:cstheme="minorHAnsi"/>
          <w:sz w:val="24"/>
          <w:szCs w:val="24"/>
        </w:rPr>
        <w:t>Στο τέταρτο κεφάλαιο παρουσιάζεται αναλυτικά η έννοια της ποιότητας ζωής, της σχετιζόμενης με την υγεία ποιότητας ζωής, οι παράγοντες που επιδρούν στην ποιότητα ζωής ασθενών με Χρόνια Νεφρική Νόσο</w:t>
      </w:r>
      <w:r w:rsidR="00A6403B" w:rsidRPr="00A6403B">
        <w:rPr>
          <w:rFonts w:asciiTheme="minorHAnsi" w:hAnsiTheme="minorHAnsi" w:cstheme="minorHAnsi"/>
          <w:sz w:val="24"/>
          <w:szCs w:val="24"/>
        </w:rPr>
        <w:t xml:space="preserve"> </w:t>
      </w:r>
      <w:r w:rsidR="00A6403B">
        <w:rPr>
          <w:rFonts w:asciiTheme="minorHAnsi" w:hAnsiTheme="minorHAnsi" w:cstheme="minorHAnsi"/>
          <w:sz w:val="24"/>
          <w:szCs w:val="24"/>
        </w:rPr>
        <w:t>Τελικού Σταδίου</w:t>
      </w:r>
      <w:r w:rsidRPr="00EE4AF2">
        <w:rPr>
          <w:rFonts w:asciiTheme="minorHAnsi" w:hAnsiTheme="minorHAnsi" w:cstheme="minorHAnsi"/>
          <w:sz w:val="24"/>
          <w:szCs w:val="24"/>
        </w:rPr>
        <w:t xml:space="preserve"> καθώς και τα εργαλεία μέτρησης του επιπέδου ποιότητας ζωής σε ασθενείς με Χρόνια Νεφρική Νόσο</w:t>
      </w:r>
      <w:r w:rsidR="00A6403B" w:rsidRPr="00A6403B">
        <w:rPr>
          <w:rFonts w:asciiTheme="minorHAnsi" w:hAnsiTheme="minorHAnsi" w:cstheme="minorHAnsi"/>
          <w:sz w:val="24"/>
          <w:szCs w:val="24"/>
        </w:rPr>
        <w:t xml:space="preserve"> </w:t>
      </w:r>
      <w:r w:rsidR="00A6403B">
        <w:rPr>
          <w:rFonts w:asciiTheme="minorHAnsi" w:hAnsiTheme="minorHAnsi" w:cstheme="minorHAnsi"/>
          <w:sz w:val="24"/>
          <w:szCs w:val="24"/>
        </w:rPr>
        <w:t>Τελικού Σταδίου</w:t>
      </w:r>
      <w:r w:rsidRPr="00EE4AF2">
        <w:rPr>
          <w:rFonts w:asciiTheme="minorHAnsi" w:hAnsiTheme="minorHAnsi" w:cstheme="minorHAnsi"/>
          <w:sz w:val="24"/>
          <w:szCs w:val="24"/>
        </w:rPr>
        <w:t>.</w:t>
      </w:r>
    </w:p>
    <w:p w:rsidR="007051F8" w:rsidRPr="00817853" w:rsidRDefault="008342E1" w:rsidP="0000347C">
      <w:pPr>
        <w:spacing w:line="360" w:lineRule="auto"/>
        <w:jc w:val="both"/>
        <w:rPr>
          <w:rFonts w:asciiTheme="minorHAnsi" w:hAnsiTheme="minorHAnsi" w:cstheme="minorHAnsi"/>
          <w:sz w:val="24"/>
          <w:szCs w:val="24"/>
        </w:rPr>
      </w:pPr>
      <w:r w:rsidRPr="00EE4AF2">
        <w:rPr>
          <w:rFonts w:asciiTheme="minorHAnsi" w:hAnsiTheme="minorHAnsi" w:cstheme="minorHAnsi"/>
          <w:sz w:val="24"/>
          <w:szCs w:val="24"/>
        </w:rPr>
        <w:t>Στο πέμπ</w:t>
      </w:r>
      <w:r w:rsidR="007051F8" w:rsidRPr="00EE4AF2">
        <w:rPr>
          <w:rFonts w:asciiTheme="minorHAnsi" w:hAnsiTheme="minorHAnsi" w:cstheme="minorHAnsi"/>
          <w:sz w:val="24"/>
          <w:szCs w:val="24"/>
        </w:rPr>
        <w:t xml:space="preserve">το κεφάλαιο παρουσιάζεται συστηματική ανασκόπηση της βιβλιογραφίας αναφορικά με </w:t>
      </w:r>
      <w:r w:rsidR="007051F8" w:rsidRPr="00817853">
        <w:rPr>
          <w:rFonts w:asciiTheme="minorHAnsi" w:hAnsiTheme="minorHAnsi" w:cstheme="minorHAnsi"/>
          <w:sz w:val="24"/>
          <w:szCs w:val="24"/>
        </w:rPr>
        <w:t>την</w:t>
      </w:r>
      <w:r w:rsidRPr="00817853">
        <w:rPr>
          <w:rFonts w:asciiTheme="minorHAnsi" w:hAnsiTheme="minorHAnsi" w:cstheme="minorHAnsi"/>
          <w:bCs/>
          <w:sz w:val="24"/>
          <w:szCs w:val="24"/>
        </w:rPr>
        <w:t xml:space="preserve"> επ</w:t>
      </w:r>
      <w:r w:rsidRPr="00817853">
        <w:rPr>
          <w:rFonts w:asciiTheme="minorHAnsi" w:hAnsiTheme="minorHAnsi" w:cstheme="minorHAnsi"/>
          <w:sz w:val="24"/>
          <w:szCs w:val="24"/>
        </w:rPr>
        <w:t xml:space="preserve">ίδραση της συμβουλευτικής νοσηλευτικής στη μεταβολή του επιπέδου γνώσεων, της ποιότητας ζωής και στη συμμόρφωση ασθενών υπο αιμοκάθαρση στο θεραπευτικό σχήμα </w:t>
      </w:r>
      <w:r w:rsidR="007051F8" w:rsidRPr="00817853">
        <w:rPr>
          <w:rFonts w:asciiTheme="minorHAnsi" w:hAnsiTheme="minorHAnsi" w:cstheme="minorHAnsi"/>
          <w:sz w:val="24"/>
          <w:szCs w:val="24"/>
        </w:rPr>
        <w:t xml:space="preserve">. </w:t>
      </w:r>
    </w:p>
    <w:p w:rsidR="007051F8" w:rsidRPr="00817853" w:rsidRDefault="007051F8" w:rsidP="0000347C">
      <w:pPr>
        <w:spacing w:line="360" w:lineRule="auto"/>
        <w:jc w:val="both"/>
        <w:rPr>
          <w:rFonts w:asciiTheme="minorHAnsi" w:hAnsiTheme="minorHAnsi" w:cstheme="minorHAnsi"/>
          <w:sz w:val="24"/>
          <w:szCs w:val="24"/>
        </w:rPr>
      </w:pPr>
      <w:r w:rsidRPr="00817853">
        <w:rPr>
          <w:rFonts w:asciiTheme="minorHAnsi" w:hAnsiTheme="minorHAnsi" w:cstheme="minorHAnsi"/>
          <w:sz w:val="24"/>
          <w:szCs w:val="24"/>
        </w:rPr>
        <w:t xml:space="preserve">Στο ειδικό μέρος </w:t>
      </w:r>
      <w:r w:rsidR="00951A7E" w:rsidRPr="00817853">
        <w:rPr>
          <w:rFonts w:asciiTheme="minorHAnsi" w:hAnsiTheme="minorHAnsi" w:cstheme="minorHAnsi"/>
          <w:sz w:val="24"/>
          <w:szCs w:val="24"/>
        </w:rPr>
        <w:t xml:space="preserve">της παρούσας διδακτορικής διατριβής </w:t>
      </w:r>
      <w:r w:rsidRPr="00817853">
        <w:rPr>
          <w:rFonts w:asciiTheme="minorHAnsi" w:hAnsiTheme="minorHAnsi" w:cstheme="minorHAnsi"/>
          <w:sz w:val="24"/>
          <w:szCs w:val="24"/>
        </w:rPr>
        <w:t xml:space="preserve">παρουσιάζεται το ερευνητικό τμήμα (μεθοδολογία). </w:t>
      </w:r>
    </w:p>
    <w:p w:rsidR="00951A7E" w:rsidRPr="00817853" w:rsidRDefault="00951A7E" w:rsidP="0000347C">
      <w:pPr>
        <w:spacing w:line="360" w:lineRule="auto"/>
        <w:jc w:val="both"/>
        <w:rPr>
          <w:rFonts w:asciiTheme="minorHAnsi" w:hAnsiTheme="minorHAnsi" w:cstheme="minorHAnsi"/>
          <w:sz w:val="24"/>
          <w:szCs w:val="24"/>
        </w:rPr>
      </w:pPr>
      <w:r w:rsidRPr="00817853">
        <w:rPr>
          <w:rFonts w:asciiTheme="minorHAnsi" w:hAnsiTheme="minorHAnsi" w:cstheme="minorHAnsi"/>
          <w:sz w:val="24"/>
          <w:szCs w:val="24"/>
        </w:rPr>
        <w:t>Συγκεκριμένα, στο έκτο κεφάλαιο παρουσιάζεται η μεθοδολογία, τα ερευνητικά εργαλεία και η στατιστική ανάλυση.</w:t>
      </w:r>
    </w:p>
    <w:p w:rsidR="007051F8" w:rsidRPr="00817853" w:rsidRDefault="00951A7E" w:rsidP="0000347C">
      <w:pPr>
        <w:spacing w:line="360" w:lineRule="auto"/>
        <w:jc w:val="both"/>
        <w:rPr>
          <w:rFonts w:asciiTheme="minorHAnsi" w:hAnsiTheme="minorHAnsi" w:cstheme="minorHAnsi"/>
          <w:sz w:val="24"/>
          <w:szCs w:val="24"/>
        </w:rPr>
      </w:pPr>
      <w:r w:rsidRPr="00817853">
        <w:rPr>
          <w:rFonts w:asciiTheme="minorHAnsi" w:hAnsiTheme="minorHAnsi" w:cstheme="minorHAnsi"/>
          <w:sz w:val="24"/>
          <w:szCs w:val="24"/>
        </w:rPr>
        <w:t>Στο έβδομο</w:t>
      </w:r>
      <w:r w:rsidR="007051F8" w:rsidRPr="00817853">
        <w:rPr>
          <w:rFonts w:asciiTheme="minorHAnsi" w:hAnsiTheme="minorHAnsi" w:cstheme="minorHAnsi"/>
          <w:sz w:val="24"/>
          <w:szCs w:val="24"/>
        </w:rPr>
        <w:t xml:space="preserve"> κεφάλαιο παρατίθενται </w:t>
      </w:r>
      <w:r w:rsidRPr="00817853">
        <w:rPr>
          <w:rFonts w:asciiTheme="minorHAnsi" w:hAnsiTheme="minorHAnsi" w:cstheme="minorHAnsi"/>
          <w:sz w:val="24"/>
          <w:szCs w:val="24"/>
        </w:rPr>
        <w:t xml:space="preserve">και αναλύονται </w:t>
      </w:r>
      <w:r w:rsidR="007051F8" w:rsidRPr="00817853">
        <w:rPr>
          <w:rFonts w:asciiTheme="minorHAnsi" w:hAnsiTheme="minorHAnsi" w:cstheme="minorHAnsi"/>
          <w:sz w:val="24"/>
          <w:szCs w:val="24"/>
        </w:rPr>
        <w:t>τα α</w:t>
      </w:r>
      <w:r w:rsidRPr="00817853">
        <w:rPr>
          <w:rFonts w:asciiTheme="minorHAnsi" w:hAnsiTheme="minorHAnsi" w:cstheme="minorHAnsi"/>
          <w:sz w:val="24"/>
          <w:szCs w:val="24"/>
        </w:rPr>
        <w:t>ποτελέσματα</w:t>
      </w:r>
      <w:r w:rsidR="007051F8" w:rsidRPr="00817853">
        <w:rPr>
          <w:rFonts w:asciiTheme="minorHAnsi" w:hAnsiTheme="minorHAnsi" w:cstheme="minorHAnsi"/>
          <w:sz w:val="24"/>
          <w:szCs w:val="24"/>
        </w:rPr>
        <w:t>.</w:t>
      </w:r>
    </w:p>
    <w:p w:rsidR="007051F8" w:rsidRPr="00817853" w:rsidRDefault="00951A7E" w:rsidP="0000347C">
      <w:pPr>
        <w:spacing w:line="360" w:lineRule="auto"/>
        <w:jc w:val="both"/>
        <w:rPr>
          <w:rFonts w:asciiTheme="minorHAnsi" w:hAnsiTheme="minorHAnsi" w:cstheme="minorHAnsi"/>
          <w:sz w:val="24"/>
          <w:szCs w:val="24"/>
        </w:rPr>
      </w:pPr>
      <w:r w:rsidRPr="00817853">
        <w:rPr>
          <w:rFonts w:asciiTheme="minorHAnsi" w:hAnsiTheme="minorHAnsi" w:cstheme="minorHAnsi"/>
          <w:sz w:val="24"/>
          <w:szCs w:val="24"/>
        </w:rPr>
        <w:t>Στο όγδο</w:t>
      </w:r>
      <w:r w:rsidR="007051F8" w:rsidRPr="00817853">
        <w:rPr>
          <w:rFonts w:asciiTheme="minorHAnsi" w:hAnsiTheme="minorHAnsi" w:cstheme="minorHAnsi"/>
          <w:sz w:val="24"/>
          <w:szCs w:val="24"/>
        </w:rPr>
        <w:t>ο κεφάλαιο της συζήτη</w:t>
      </w:r>
      <w:r w:rsidRPr="00817853">
        <w:rPr>
          <w:rFonts w:asciiTheme="minorHAnsi" w:hAnsiTheme="minorHAnsi" w:cstheme="minorHAnsi"/>
          <w:sz w:val="24"/>
          <w:szCs w:val="24"/>
        </w:rPr>
        <w:t>σης σχολιάζονται τα</w:t>
      </w:r>
      <w:r w:rsidR="00D20165" w:rsidRPr="00817853">
        <w:rPr>
          <w:rFonts w:asciiTheme="minorHAnsi" w:hAnsiTheme="minorHAnsi" w:cstheme="minorHAnsi"/>
          <w:sz w:val="24"/>
          <w:szCs w:val="24"/>
        </w:rPr>
        <w:t xml:space="preserve"> αποτελέσμα</w:t>
      </w:r>
      <w:r w:rsidRPr="00817853">
        <w:rPr>
          <w:rFonts w:asciiTheme="minorHAnsi" w:hAnsiTheme="minorHAnsi" w:cstheme="minorHAnsi"/>
          <w:sz w:val="24"/>
          <w:szCs w:val="24"/>
        </w:rPr>
        <w:t>τα</w:t>
      </w:r>
      <w:r w:rsidR="00D20165" w:rsidRPr="00817853">
        <w:rPr>
          <w:rFonts w:asciiTheme="minorHAnsi" w:hAnsiTheme="minorHAnsi" w:cstheme="minorHAnsi"/>
          <w:sz w:val="24"/>
          <w:szCs w:val="24"/>
        </w:rPr>
        <w:t xml:space="preserve"> και</w:t>
      </w:r>
      <w:r w:rsidRPr="00817853">
        <w:rPr>
          <w:rFonts w:asciiTheme="minorHAnsi" w:hAnsiTheme="minorHAnsi" w:cstheme="minorHAnsi"/>
          <w:sz w:val="24"/>
          <w:szCs w:val="24"/>
        </w:rPr>
        <w:t xml:space="preserve"> γ</w:t>
      </w:r>
      <w:r w:rsidR="00D20165" w:rsidRPr="00817853">
        <w:rPr>
          <w:rFonts w:asciiTheme="minorHAnsi" w:hAnsiTheme="minorHAnsi" w:cstheme="minorHAnsi"/>
          <w:sz w:val="24"/>
          <w:szCs w:val="24"/>
        </w:rPr>
        <w:t>ίνεται η σύ</w:t>
      </w:r>
      <w:r w:rsidRPr="00817853">
        <w:rPr>
          <w:rFonts w:asciiTheme="minorHAnsi" w:hAnsiTheme="minorHAnsi" w:cstheme="minorHAnsi"/>
          <w:sz w:val="24"/>
          <w:szCs w:val="24"/>
        </w:rPr>
        <w:t>γκριση των αποτελεσμάτων με αυτά άλλων μελετών</w:t>
      </w:r>
      <w:r w:rsidR="007051F8" w:rsidRPr="00817853">
        <w:rPr>
          <w:rFonts w:asciiTheme="minorHAnsi" w:hAnsiTheme="minorHAnsi" w:cstheme="minorHAnsi"/>
          <w:sz w:val="24"/>
          <w:szCs w:val="24"/>
        </w:rPr>
        <w:t xml:space="preserve">. </w:t>
      </w:r>
    </w:p>
    <w:p w:rsidR="002703C5" w:rsidRDefault="00817853" w:rsidP="0000347C">
      <w:pPr>
        <w:spacing w:line="360" w:lineRule="auto"/>
        <w:jc w:val="both"/>
        <w:rPr>
          <w:rFonts w:asciiTheme="minorHAnsi" w:hAnsiTheme="minorHAnsi" w:cstheme="minorHAnsi"/>
          <w:sz w:val="24"/>
          <w:szCs w:val="24"/>
        </w:rPr>
      </w:pPr>
      <w:r w:rsidRPr="002703C5">
        <w:rPr>
          <w:rFonts w:asciiTheme="minorHAnsi" w:hAnsiTheme="minorHAnsi" w:cstheme="minorHAnsi"/>
          <w:sz w:val="24"/>
          <w:szCs w:val="24"/>
        </w:rPr>
        <w:t xml:space="preserve">Στο ένατο κεφάλαιο παρουσιάζονται </w:t>
      </w:r>
      <w:r w:rsidR="002703C5" w:rsidRPr="002703C5">
        <w:rPr>
          <w:rFonts w:asciiTheme="minorHAnsi" w:hAnsiTheme="minorHAnsi" w:cstheme="minorHAnsi"/>
          <w:sz w:val="24"/>
          <w:szCs w:val="24"/>
        </w:rPr>
        <w:t xml:space="preserve">οι αδυναμίες </w:t>
      </w:r>
      <w:r w:rsidRPr="002703C5">
        <w:rPr>
          <w:rFonts w:asciiTheme="minorHAnsi" w:hAnsiTheme="minorHAnsi" w:cstheme="minorHAnsi"/>
          <w:sz w:val="24"/>
          <w:szCs w:val="24"/>
        </w:rPr>
        <w:t>της μελέτης.</w:t>
      </w:r>
      <w:r w:rsidR="002703C5">
        <w:rPr>
          <w:rFonts w:asciiTheme="minorHAnsi" w:hAnsiTheme="minorHAnsi" w:cstheme="minorHAnsi"/>
          <w:sz w:val="24"/>
          <w:szCs w:val="24"/>
        </w:rPr>
        <w:t xml:space="preserve"> </w:t>
      </w:r>
    </w:p>
    <w:p w:rsidR="007051F8" w:rsidRPr="00EE4AF2" w:rsidRDefault="00817853" w:rsidP="0000347C">
      <w:pPr>
        <w:spacing w:line="360" w:lineRule="auto"/>
        <w:jc w:val="both"/>
        <w:rPr>
          <w:rFonts w:asciiTheme="minorHAnsi" w:hAnsiTheme="minorHAnsi" w:cstheme="minorHAnsi"/>
          <w:sz w:val="24"/>
          <w:szCs w:val="24"/>
        </w:rPr>
      </w:pPr>
      <w:r>
        <w:rPr>
          <w:rFonts w:asciiTheme="minorHAnsi" w:hAnsiTheme="minorHAnsi" w:cstheme="minorHAnsi"/>
          <w:sz w:val="24"/>
          <w:szCs w:val="24"/>
        </w:rPr>
        <w:t>Τέλος, στο δέκ</w:t>
      </w:r>
      <w:r w:rsidR="00951A7E" w:rsidRPr="00817853">
        <w:rPr>
          <w:rFonts w:asciiTheme="minorHAnsi" w:hAnsiTheme="minorHAnsi" w:cstheme="minorHAnsi"/>
          <w:sz w:val="24"/>
          <w:szCs w:val="24"/>
        </w:rPr>
        <w:t>ατ</w:t>
      </w:r>
      <w:r w:rsidR="007051F8" w:rsidRPr="00817853">
        <w:rPr>
          <w:rFonts w:asciiTheme="minorHAnsi" w:hAnsiTheme="minorHAnsi" w:cstheme="minorHAnsi"/>
          <w:sz w:val="24"/>
          <w:szCs w:val="24"/>
        </w:rPr>
        <w:t>ο κεφάλαιο αναφέρονται τα συμπεράσματα</w:t>
      </w:r>
      <w:r w:rsidR="00951A7E" w:rsidRPr="00817853">
        <w:rPr>
          <w:rFonts w:asciiTheme="minorHAnsi" w:hAnsiTheme="minorHAnsi" w:cstheme="minorHAnsi"/>
          <w:sz w:val="24"/>
          <w:szCs w:val="24"/>
        </w:rPr>
        <w:t xml:space="preserve"> και οι</w:t>
      </w:r>
      <w:r w:rsidR="007051F8" w:rsidRPr="00817853">
        <w:rPr>
          <w:rFonts w:asciiTheme="minorHAnsi" w:hAnsiTheme="minorHAnsi" w:cstheme="minorHAnsi"/>
          <w:sz w:val="24"/>
          <w:szCs w:val="24"/>
        </w:rPr>
        <w:t xml:space="preserve"> προτάσεις </w:t>
      </w:r>
      <w:r w:rsidR="00951A7E" w:rsidRPr="00817853">
        <w:rPr>
          <w:rFonts w:asciiTheme="minorHAnsi" w:hAnsiTheme="minorHAnsi" w:cstheme="minorHAnsi"/>
          <w:sz w:val="24"/>
          <w:szCs w:val="24"/>
        </w:rPr>
        <w:t>της διδακτορικής διατριβής</w:t>
      </w:r>
      <w:r w:rsidR="007051F8" w:rsidRPr="00817853">
        <w:rPr>
          <w:rFonts w:asciiTheme="minorHAnsi" w:hAnsiTheme="minorHAnsi" w:cstheme="minorHAnsi"/>
          <w:sz w:val="24"/>
          <w:szCs w:val="24"/>
        </w:rPr>
        <w:t>.</w:t>
      </w:r>
    </w:p>
    <w:p w:rsidR="007051F8" w:rsidRPr="007051F8" w:rsidRDefault="007051F8" w:rsidP="005A464E">
      <w:pPr>
        <w:spacing w:line="360" w:lineRule="auto"/>
        <w:jc w:val="both"/>
        <w:rPr>
          <w:sz w:val="24"/>
          <w:szCs w:val="24"/>
        </w:rPr>
      </w:pPr>
    </w:p>
    <w:p w:rsidR="00533E14" w:rsidRPr="005A464E" w:rsidRDefault="00533E14" w:rsidP="005A464E">
      <w:pPr>
        <w:pStyle w:val="1a"/>
        <w:spacing w:line="360" w:lineRule="auto"/>
        <w:rPr>
          <w:rFonts w:asciiTheme="minorHAnsi" w:hAnsiTheme="minorHAnsi"/>
        </w:rPr>
      </w:pPr>
    </w:p>
    <w:p w:rsidR="00533E14" w:rsidRPr="005A464E" w:rsidRDefault="00533E14" w:rsidP="005A464E">
      <w:pPr>
        <w:pStyle w:val="1a"/>
        <w:spacing w:line="360" w:lineRule="auto"/>
        <w:rPr>
          <w:rFonts w:asciiTheme="minorHAnsi" w:hAnsiTheme="minorHAnsi"/>
        </w:rPr>
      </w:pPr>
    </w:p>
    <w:p w:rsidR="00533E14" w:rsidRPr="005A464E" w:rsidRDefault="00533E14" w:rsidP="005A464E">
      <w:pPr>
        <w:pStyle w:val="1a"/>
        <w:spacing w:line="360" w:lineRule="auto"/>
        <w:rPr>
          <w:rFonts w:asciiTheme="minorHAnsi" w:hAnsiTheme="minorHAnsi"/>
        </w:rPr>
      </w:pPr>
    </w:p>
    <w:p w:rsidR="00533E14" w:rsidRPr="005A464E" w:rsidRDefault="00533E14" w:rsidP="005A464E">
      <w:pPr>
        <w:pStyle w:val="1a"/>
        <w:spacing w:line="360" w:lineRule="auto"/>
        <w:rPr>
          <w:rFonts w:asciiTheme="minorHAnsi" w:hAnsiTheme="minorHAnsi"/>
        </w:rPr>
      </w:pPr>
    </w:p>
    <w:p w:rsidR="00533E14" w:rsidRPr="005A464E" w:rsidRDefault="00533E14" w:rsidP="005A464E">
      <w:pPr>
        <w:pStyle w:val="1a"/>
        <w:spacing w:line="360" w:lineRule="auto"/>
        <w:rPr>
          <w:rFonts w:asciiTheme="minorHAnsi" w:hAnsiTheme="minorHAnsi"/>
        </w:rPr>
      </w:pPr>
    </w:p>
    <w:p w:rsidR="00FF5C3D" w:rsidRPr="005A464E" w:rsidRDefault="00FF5C3D" w:rsidP="00E53511">
      <w:pPr>
        <w:pStyle w:val="1a"/>
        <w:spacing w:line="360" w:lineRule="auto"/>
        <w:jc w:val="center"/>
        <w:rPr>
          <w:rFonts w:asciiTheme="minorHAnsi" w:hAnsiTheme="minorHAnsi"/>
        </w:rPr>
      </w:pPr>
      <w:bookmarkStart w:id="5" w:name="_Toc495951417"/>
      <w:r w:rsidRPr="005A464E">
        <w:rPr>
          <w:rFonts w:asciiTheme="minorHAnsi" w:hAnsiTheme="minorHAnsi"/>
        </w:rPr>
        <w:t>ΓΕΝΙΚΟ ΜΕΡΟΣ</w:t>
      </w:r>
      <w:bookmarkEnd w:id="5"/>
    </w:p>
    <w:p w:rsidR="00FF5C3D" w:rsidRPr="00300E53" w:rsidRDefault="00FF5C3D" w:rsidP="005A464E">
      <w:pPr>
        <w:spacing w:line="360" w:lineRule="auto"/>
      </w:pPr>
    </w:p>
    <w:p w:rsidR="00533E14" w:rsidRPr="005A464E" w:rsidRDefault="00533E14" w:rsidP="005A464E">
      <w:pPr>
        <w:spacing w:line="360" w:lineRule="auto"/>
      </w:pPr>
    </w:p>
    <w:p w:rsidR="00533E14" w:rsidRPr="005A464E" w:rsidRDefault="00533E14" w:rsidP="005A464E">
      <w:pPr>
        <w:spacing w:line="360" w:lineRule="auto"/>
      </w:pPr>
    </w:p>
    <w:p w:rsidR="00533E14" w:rsidRPr="005A464E" w:rsidRDefault="00533E14" w:rsidP="005A464E">
      <w:pPr>
        <w:spacing w:line="360" w:lineRule="auto"/>
      </w:pPr>
    </w:p>
    <w:p w:rsidR="00533E14" w:rsidRPr="005A464E" w:rsidRDefault="00533E14" w:rsidP="005A464E">
      <w:pPr>
        <w:spacing w:line="360" w:lineRule="auto"/>
      </w:pPr>
    </w:p>
    <w:p w:rsidR="00533E14" w:rsidRPr="005A464E" w:rsidRDefault="00533E14" w:rsidP="005A464E">
      <w:pPr>
        <w:spacing w:line="360" w:lineRule="auto"/>
      </w:pPr>
    </w:p>
    <w:p w:rsidR="00533E14" w:rsidRPr="005A464E" w:rsidRDefault="00533E14" w:rsidP="005A464E">
      <w:pPr>
        <w:spacing w:line="360" w:lineRule="auto"/>
      </w:pPr>
    </w:p>
    <w:p w:rsidR="00533E14" w:rsidRPr="004B5AE6" w:rsidRDefault="00533E14" w:rsidP="005A464E">
      <w:pPr>
        <w:spacing w:line="360" w:lineRule="auto"/>
      </w:pPr>
    </w:p>
    <w:p w:rsidR="00807E0D" w:rsidRDefault="00807E0D" w:rsidP="005A464E">
      <w:pPr>
        <w:spacing w:line="360" w:lineRule="auto"/>
      </w:pPr>
    </w:p>
    <w:p w:rsidR="006B335B" w:rsidRPr="006B335B" w:rsidRDefault="006B335B" w:rsidP="005A464E">
      <w:pPr>
        <w:spacing w:line="360" w:lineRule="auto"/>
      </w:pPr>
    </w:p>
    <w:p w:rsidR="00F918EC" w:rsidRPr="004B5AE6" w:rsidRDefault="00F918EC" w:rsidP="005A464E">
      <w:pPr>
        <w:spacing w:line="360" w:lineRule="auto"/>
      </w:pPr>
    </w:p>
    <w:p w:rsidR="0080790C" w:rsidRPr="00DB6A65" w:rsidRDefault="00B82577" w:rsidP="00DB6A65">
      <w:pPr>
        <w:pStyle w:val="1a"/>
        <w:spacing w:line="360" w:lineRule="auto"/>
        <w:rPr>
          <w:rFonts w:asciiTheme="minorHAnsi" w:hAnsiTheme="minorHAnsi" w:cstheme="minorHAnsi"/>
        </w:rPr>
      </w:pPr>
      <w:bookmarkStart w:id="6" w:name="_Toc495951418"/>
      <w:r w:rsidRPr="004B5AE6">
        <w:rPr>
          <w:rFonts w:asciiTheme="minorHAnsi" w:hAnsiTheme="minorHAnsi" w:cstheme="minorHAnsi"/>
        </w:rPr>
        <w:t>1</w:t>
      </w:r>
      <w:r>
        <w:rPr>
          <w:rFonts w:asciiTheme="minorHAnsi" w:hAnsiTheme="minorHAnsi" w:cstheme="minorHAnsi"/>
          <w:vertAlign w:val="superscript"/>
          <w:lang w:val="en-US"/>
        </w:rPr>
        <w:t>o</w:t>
      </w:r>
      <w:r w:rsidRPr="004B5AE6">
        <w:rPr>
          <w:rFonts w:asciiTheme="minorHAnsi" w:hAnsiTheme="minorHAnsi" w:cstheme="minorHAnsi"/>
          <w:vertAlign w:val="superscript"/>
        </w:rPr>
        <w:t xml:space="preserve"> </w:t>
      </w:r>
      <w:r w:rsidRPr="004B5AE6">
        <w:rPr>
          <w:rFonts w:asciiTheme="minorHAnsi" w:hAnsiTheme="minorHAnsi" w:cstheme="minorHAnsi"/>
        </w:rPr>
        <w:t>ΚΕΦΑΛΑΙΟ</w:t>
      </w:r>
      <w:r w:rsidRPr="004B5AE6">
        <w:rPr>
          <w:rFonts w:asciiTheme="minorHAnsi" w:hAnsiTheme="minorHAnsi" w:cstheme="minorHAnsi"/>
          <w:b w:val="0"/>
        </w:rPr>
        <w:t>:</w:t>
      </w:r>
      <w:r w:rsidR="00D50479" w:rsidRPr="006B1A9F">
        <w:rPr>
          <w:rFonts w:asciiTheme="minorHAnsi" w:hAnsiTheme="minorHAnsi" w:cstheme="minorHAnsi"/>
        </w:rPr>
        <w:t xml:space="preserve"> ΧΡΟΝΙΑ ΝΕΦΡΙΚΗ ΝΟΣΟΣ</w:t>
      </w:r>
      <w:bookmarkEnd w:id="6"/>
    </w:p>
    <w:p w:rsidR="008655D0" w:rsidRPr="0066725A" w:rsidRDefault="0080790C" w:rsidP="005A464E">
      <w:pPr>
        <w:spacing w:line="360" w:lineRule="auto"/>
        <w:jc w:val="both"/>
        <w:rPr>
          <w:sz w:val="24"/>
          <w:szCs w:val="24"/>
        </w:rPr>
      </w:pPr>
      <w:r w:rsidRPr="00DB6A65">
        <w:rPr>
          <w:sz w:val="24"/>
          <w:szCs w:val="24"/>
        </w:rPr>
        <w:t>Η Χρόνια</w:t>
      </w:r>
      <w:r w:rsidRPr="005A464E">
        <w:rPr>
          <w:sz w:val="24"/>
          <w:szCs w:val="24"/>
        </w:rPr>
        <w:t xml:space="preserve"> Νεφρική Νόσος</w:t>
      </w:r>
      <w:r w:rsidR="00105499">
        <w:rPr>
          <w:sz w:val="24"/>
          <w:szCs w:val="24"/>
        </w:rPr>
        <w:t xml:space="preserve"> (ΧΝΝ) είναι μι</w:t>
      </w:r>
      <w:r w:rsidR="00592EEE" w:rsidRPr="005A464E">
        <w:rPr>
          <w:sz w:val="24"/>
          <w:szCs w:val="24"/>
        </w:rPr>
        <w:t>α μη μεταδοτική νόσος με αυξημένη παγκόσμια επίπτωση και</w:t>
      </w:r>
      <w:r w:rsidR="0078495A">
        <w:rPr>
          <w:sz w:val="24"/>
          <w:szCs w:val="24"/>
        </w:rPr>
        <w:t xml:space="preserve"> </w:t>
      </w:r>
      <w:r w:rsidR="00592EEE" w:rsidRPr="005A464E">
        <w:rPr>
          <w:sz w:val="24"/>
          <w:szCs w:val="24"/>
        </w:rPr>
        <w:t>ε</w:t>
      </w:r>
      <w:r w:rsidR="0006164F" w:rsidRPr="005A464E">
        <w:rPr>
          <w:sz w:val="24"/>
          <w:szCs w:val="24"/>
        </w:rPr>
        <w:t>πιπολασμό τις τελευταίες δεκαετί</w:t>
      </w:r>
      <w:r w:rsidR="00592EEE" w:rsidRPr="005A464E">
        <w:rPr>
          <w:sz w:val="24"/>
          <w:szCs w:val="24"/>
        </w:rPr>
        <w:t>ες. Μέχρι πρότινος, το μεγάλο βάρος της ενημ</w:t>
      </w:r>
      <w:r w:rsidR="000653D3">
        <w:rPr>
          <w:sz w:val="24"/>
          <w:szCs w:val="24"/>
        </w:rPr>
        <w:t xml:space="preserve">έρωσης και θεραπείας </w:t>
      </w:r>
      <w:r w:rsidR="00B0560D">
        <w:rPr>
          <w:sz w:val="24"/>
          <w:szCs w:val="24"/>
        </w:rPr>
        <w:t>του ασθενούς</w:t>
      </w:r>
      <w:r w:rsidR="00592EEE" w:rsidRPr="005A464E">
        <w:rPr>
          <w:sz w:val="24"/>
          <w:szCs w:val="24"/>
        </w:rPr>
        <w:t xml:space="preserve"> με</w:t>
      </w:r>
      <w:r w:rsidR="0078495A">
        <w:rPr>
          <w:sz w:val="24"/>
          <w:szCs w:val="24"/>
        </w:rPr>
        <w:t xml:space="preserve"> </w:t>
      </w:r>
      <w:r w:rsidR="00592EEE" w:rsidRPr="005A464E">
        <w:rPr>
          <w:sz w:val="24"/>
          <w:szCs w:val="24"/>
        </w:rPr>
        <w:t xml:space="preserve">ΧΝΝ, ειδικά στον αναπτυσσόμενο κόσμο, είχε επικεντρωθεί στους ασθενείς Τελικού Σταδίου </w:t>
      </w:r>
      <w:r w:rsidR="000653D3">
        <w:rPr>
          <w:sz w:val="24"/>
          <w:szCs w:val="24"/>
        </w:rPr>
        <w:t>ΧΝΝ</w:t>
      </w:r>
      <w:r w:rsidR="00592EEE" w:rsidRPr="005A464E">
        <w:rPr>
          <w:sz w:val="24"/>
          <w:szCs w:val="24"/>
        </w:rPr>
        <w:t xml:space="preserve"> (ΤΣΧΝΝ). Πρόσφατα επιδημιολογικά δεδομένα έδειξαν ότι η προσοχή </w:t>
      </w:r>
      <w:r w:rsidR="005265EA" w:rsidRPr="005A464E">
        <w:rPr>
          <w:sz w:val="24"/>
          <w:szCs w:val="24"/>
        </w:rPr>
        <w:t>επικεντρώνεται</w:t>
      </w:r>
      <w:r w:rsidR="00592EEE" w:rsidRPr="005A464E">
        <w:rPr>
          <w:sz w:val="24"/>
          <w:szCs w:val="24"/>
        </w:rPr>
        <w:t xml:space="preserve"> περισσότερο στα πρώιμα στάδια της</w:t>
      </w:r>
      <w:r w:rsidR="0006164F" w:rsidRPr="005A464E">
        <w:rPr>
          <w:sz w:val="24"/>
          <w:szCs w:val="24"/>
        </w:rPr>
        <w:t xml:space="preserve"> νόσου, δηλ</w:t>
      </w:r>
      <w:r w:rsidR="000653D3">
        <w:rPr>
          <w:sz w:val="24"/>
          <w:szCs w:val="24"/>
        </w:rPr>
        <w:t>αδή</w:t>
      </w:r>
      <w:r w:rsidR="0006164F" w:rsidRPr="005A464E">
        <w:rPr>
          <w:sz w:val="24"/>
          <w:szCs w:val="24"/>
        </w:rPr>
        <w:t xml:space="preserve"> </w:t>
      </w:r>
      <w:r w:rsidR="000653D3">
        <w:rPr>
          <w:sz w:val="24"/>
          <w:szCs w:val="24"/>
        </w:rPr>
        <w:t>πριν το ΤΣΧΝ</w:t>
      </w:r>
      <w:r w:rsidR="0006164F" w:rsidRPr="005A464E">
        <w:rPr>
          <w:sz w:val="24"/>
          <w:szCs w:val="24"/>
        </w:rPr>
        <w:t>Ν</w:t>
      </w:r>
      <w:r w:rsidR="00441D29">
        <w:rPr>
          <w:sz w:val="24"/>
          <w:szCs w:val="24"/>
        </w:rPr>
        <w:t xml:space="preserve"> </w:t>
      </w:r>
      <w:r w:rsidR="00441D29" w:rsidRPr="0066725A">
        <w:rPr>
          <w:rFonts w:asciiTheme="minorHAnsi" w:hAnsiTheme="minorHAnsi" w:cstheme="minorHAnsi"/>
          <w:sz w:val="24"/>
          <w:szCs w:val="24"/>
        </w:rPr>
        <w:t>(</w:t>
      </w:r>
      <w:hyperlink r:id="rId13" w:history="1">
        <w:r w:rsidR="00441D29" w:rsidRPr="0066725A">
          <w:rPr>
            <w:rStyle w:val="-"/>
            <w:rFonts w:asciiTheme="minorHAnsi" w:hAnsiTheme="minorHAnsi" w:cstheme="minorHAnsi"/>
            <w:color w:val="auto"/>
            <w:sz w:val="24"/>
            <w:szCs w:val="24"/>
            <w:u w:val="none"/>
            <w:shd w:val="clear" w:color="auto" w:fill="FFFFFF"/>
          </w:rPr>
          <w:t>Perico</w:t>
        </w:r>
      </w:hyperlink>
      <w:r w:rsidR="00441D29" w:rsidRPr="0066725A">
        <w:rPr>
          <w:rFonts w:asciiTheme="minorHAnsi" w:hAnsiTheme="minorHAnsi" w:cstheme="minorHAnsi"/>
          <w:sz w:val="24"/>
          <w:szCs w:val="24"/>
          <w:shd w:val="clear" w:color="auto" w:fill="FFFFFF"/>
        </w:rPr>
        <w:t xml:space="preserve"> &amp; </w:t>
      </w:r>
      <w:hyperlink r:id="rId14" w:history="1">
        <w:r w:rsidR="00441D29" w:rsidRPr="0066725A">
          <w:rPr>
            <w:rStyle w:val="-"/>
            <w:rFonts w:asciiTheme="minorHAnsi" w:hAnsiTheme="minorHAnsi" w:cstheme="minorHAnsi"/>
            <w:color w:val="auto"/>
            <w:sz w:val="24"/>
            <w:szCs w:val="24"/>
            <w:u w:val="none"/>
            <w:shd w:val="clear" w:color="auto" w:fill="FFFFFF"/>
          </w:rPr>
          <w:t>Remuzzi, 2015)</w:t>
        </w:r>
      </w:hyperlink>
      <w:r w:rsidR="0066725A" w:rsidRPr="0066725A">
        <w:rPr>
          <w:sz w:val="24"/>
          <w:szCs w:val="24"/>
        </w:rPr>
        <w:t>.</w:t>
      </w:r>
    </w:p>
    <w:p w:rsidR="00820302" w:rsidRPr="00566CAA" w:rsidRDefault="00F83C15" w:rsidP="000566B3">
      <w:pPr>
        <w:pStyle w:val="25"/>
        <w:numPr>
          <w:ilvl w:val="1"/>
          <w:numId w:val="98"/>
        </w:numPr>
        <w:spacing w:line="360" w:lineRule="auto"/>
        <w:rPr>
          <w:rFonts w:asciiTheme="minorHAnsi" w:hAnsiTheme="minorHAnsi"/>
        </w:rPr>
      </w:pPr>
      <w:bookmarkStart w:id="7" w:name="_Toc495951419"/>
      <w:r w:rsidRPr="005A464E">
        <w:rPr>
          <w:rFonts w:asciiTheme="minorHAnsi" w:hAnsiTheme="minorHAnsi"/>
        </w:rPr>
        <w:t>Επιδημιολογικά δεδομένα</w:t>
      </w:r>
      <w:bookmarkEnd w:id="7"/>
    </w:p>
    <w:p w:rsidR="003A0A80" w:rsidRDefault="008D79C2" w:rsidP="003A0A80">
      <w:pPr>
        <w:spacing w:line="360" w:lineRule="auto"/>
        <w:jc w:val="both"/>
        <w:rPr>
          <w:sz w:val="24"/>
          <w:szCs w:val="24"/>
        </w:rPr>
      </w:pPr>
      <w:r w:rsidRPr="0066725A">
        <w:rPr>
          <w:sz w:val="24"/>
          <w:szCs w:val="24"/>
        </w:rPr>
        <w:t xml:space="preserve">Η αύξηση της συχνότητας της </w:t>
      </w:r>
      <w:r w:rsidRPr="006D0728">
        <w:rPr>
          <w:sz w:val="24"/>
          <w:szCs w:val="24"/>
        </w:rPr>
        <w:t>ΧΝΝ</w:t>
      </w:r>
      <w:r w:rsidRPr="0066725A">
        <w:rPr>
          <w:sz w:val="24"/>
          <w:szCs w:val="24"/>
        </w:rPr>
        <w:t xml:space="preserve"> σε όλο τον κόσμο πιθανότατα αντανακλά την παγκόσμια επιδημία του σακχαρώδη διαβήτη τύπου 2 και τη γήρανση του πληθυσμού στις ανεπτυγμένες χώρες, με μεγαλύτερη συχνότητα στα ηλικιωμένα άτομα.</w:t>
      </w:r>
    </w:p>
    <w:p w:rsidR="003A0A80" w:rsidRDefault="00CD4436" w:rsidP="003A0A80">
      <w:pPr>
        <w:spacing w:line="360" w:lineRule="auto"/>
        <w:jc w:val="both"/>
        <w:rPr>
          <w:rFonts w:asciiTheme="minorHAnsi" w:hAnsiTheme="minorHAnsi" w:cstheme="minorHAnsi"/>
          <w:bCs/>
          <w:sz w:val="24"/>
          <w:szCs w:val="24"/>
          <w:lang w:eastAsia="el-GR"/>
        </w:rPr>
      </w:pPr>
      <w:r w:rsidRPr="0066725A">
        <w:rPr>
          <w:sz w:val="24"/>
          <w:szCs w:val="24"/>
        </w:rPr>
        <w:t>Στις ΗΠΑ ο</w:t>
      </w:r>
      <w:r w:rsidR="00EE4AF2">
        <w:rPr>
          <w:sz w:val="24"/>
          <w:szCs w:val="24"/>
        </w:rPr>
        <w:t xml:space="preserve"> αριθμός των νέων ασθενώ</w:t>
      </w:r>
      <w:r w:rsidR="00617BA0" w:rsidRPr="0066725A">
        <w:rPr>
          <w:sz w:val="24"/>
          <w:szCs w:val="24"/>
        </w:rPr>
        <w:t xml:space="preserve">ν με ΤΣΧΝΝ το 2014 </w:t>
      </w:r>
      <w:r w:rsidR="001C3119" w:rsidRPr="0066725A">
        <w:rPr>
          <w:sz w:val="24"/>
          <w:szCs w:val="24"/>
        </w:rPr>
        <w:t>ήταν 120.688 με συχνότητα εμφάνισης 379 περιπτώσεις / 1.000.000 / έτος.</w:t>
      </w:r>
      <w:r w:rsidR="00F40768" w:rsidRPr="0066725A">
        <w:rPr>
          <w:sz w:val="24"/>
          <w:szCs w:val="24"/>
        </w:rPr>
        <w:t xml:space="preserve"> </w:t>
      </w:r>
      <w:r w:rsidRPr="0066725A">
        <w:rPr>
          <w:sz w:val="24"/>
          <w:szCs w:val="24"/>
        </w:rPr>
        <w:t>Στις 31 Δεκεμβρίου 2014, υπήρχαν συνολικ</w:t>
      </w:r>
      <w:r w:rsidR="00FE0A95" w:rsidRPr="0066725A">
        <w:rPr>
          <w:sz w:val="24"/>
          <w:szCs w:val="24"/>
        </w:rPr>
        <w:t>ά</w:t>
      </w:r>
      <w:r w:rsidRPr="0066725A">
        <w:rPr>
          <w:sz w:val="24"/>
          <w:szCs w:val="24"/>
        </w:rPr>
        <w:t xml:space="preserve"> 678.383 ασθενείς με ΤΣΧΝΝ. Σε σύγκριση με τους λευκούς, ο επιπολασμός της ΤΣΧΝΝ το 2014 ήταν περίπου 3,7 φορές μεγαλύτερος στους μαύρους, 1,4 φορές μεγαλύτερος </w:t>
      </w:r>
      <w:r w:rsidR="0066725A">
        <w:rPr>
          <w:sz w:val="24"/>
          <w:szCs w:val="24"/>
        </w:rPr>
        <w:t xml:space="preserve">στους γηγενείς </w:t>
      </w:r>
      <w:r w:rsidR="0066725A">
        <w:rPr>
          <w:sz w:val="24"/>
          <w:szCs w:val="24"/>
          <w:lang w:val="en-US"/>
        </w:rPr>
        <w:t>A</w:t>
      </w:r>
      <w:r w:rsidRPr="0066725A">
        <w:rPr>
          <w:sz w:val="24"/>
          <w:szCs w:val="24"/>
        </w:rPr>
        <w:t>μερικανούς και 1,5 φορές μεγαλύτερος στους Ασιάτες.</w:t>
      </w:r>
      <w:r w:rsidR="00D47A90" w:rsidRPr="0066725A">
        <w:rPr>
          <w:sz w:val="24"/>
          <w:szCs w:val="24"/>
        </w:rPr>
        <w:t xml:space="preserve"> Το 2014, το </w:t>
      </w:r>
      <w:r w:rsidR="00D47A90" w:rsidRPr="00BA566F">
        <w:rPr>
          <w:sz w:val="24"/>
          <w:szCs w:val="24"/>
        </w:rPr>
        <w:t>87,9</w:t>
      </w:r>
      <w:r w:rsidR="00D47A90" w:rsidRPr="0066725A">
        <w:rPr>
          <w:sz w:val="24"/>
          <w:szCs w:val="24"/>
        </w:rPr>
        <w:t xml:space="preserve">% όλων των νέων περιπτώσεων ΤΣΧΝΝ </w:t>
      </w:r>
      <w:r w:rsidR="0066725A" w:rsidRPr="0066725A">
        <w:rPr>
          <w:sz w:val="24"/>
          <w:szCs w:val="24"/>
        </w:rPr>
        <w:t>ξεκ</w:t>
      </w:r>
      <w:r w:rsidR="0066725A">
        <w:rPr>
          <w:sz w:val="24"/>
          <w:szCs w:val="24"/>
        </w:rPr>
        <w:t>ίνησε την</w:t>
      </w:r>
      <w:r w:rsidR="00D47A90" w:rsidRPr="0066725A">
        <w:rPr>
          <w:sz w:val="24"/>
          <w:szCs w:val="24"/>
        </w:rPr>
        <w:t xml:space="preserve"> υποκατάσταση της νεφρικής</w:t>
      </w:r>
      <w:r w:rsidR="0066725A">
        <w:rPr>
          <w:sz w:val="24"/>
          <w:szCs w:val="24"/>
        </w:rPr>
        <w:t xml:space="preserve"> λειτουργίας</w:t>
      </w:r>
      <w:r w:rsidR="00D47A90" w:rsidRPr="0066725A">
        <w:rPr>
          <w:sz w:val="24"/>
          <w:szCs w:val="24"/>
        </w:rPr>
        <w:t xml:space="preserve"> με αιμοκάθαρση, το 9,3% ξεκίνησε με περιτοναϊκή κάθαρση και το 2,6% υποβλήθηκε σε μεταμόσχευση νεφρού. Στις 31 Δεκεμβρίου 2014, το 63,1% όλων των ασθενών με ΤΣΧΝΝ υποβάλλονταν σε αιμοκάθαρση, το 6,9% σε περιτοναϊκή κάθαρση και το 29,6% σε μεταμόσχευση νεφρού</w:t>
      </w:r>
      <w:r w:rsidR="003A0A80">
        <w:rPr>
          <w:sz w:val="24"/>
          <w:szCs w:val="24"/>
        </w:rPr>
        <w:t xml:space="preserve"> </w:t>
      </w:r>
      <w:r w:rsidR="003A0A80" w:rsidRPr="003A0A80">
        <w:rPr>
          <w:rFonts w:asciiTheme="minorHAnsi" w:hAnsiTheme="minorHAnsi" w:cstheme="minorHAnsi"/>
          <w:sz w:val="24"/>
          <w:szCs w:val="24"/>
        </w:rPr>
        <w:t>(</w:t>
      </w:r>
      <w:r w:rsidR="003A0A80" w:rsidRPr="003A0A80">
        <w:rPr>
          <w:rFonts w:asciiTheme="minorHAnsi" w:hAnsiTheme="minorHAnsi" w:cstheme="minorHAnsi"/>
          <w:bCs/>
          <w:sz w:val="24"/>
          <w:szCs w:val="24"/>
          <w:lang w:eastAsia="el-GR"/>
        </w:rPr>
        <w:t>U</w:t>
      </w:r>
      <w:r w:rsidR="003A0A80" w:rsidRPr="003A0A80">
        <w:rPr>
          <w:rFonts w:asciiTheme="minorHAnsi" w:hAnsiTheme="minorHAnsi" w:cstheme="minorHAnsi"/>
          <w:bCs/>
          <w:sz w:val="24"/>
          <w:szCs w:val="24"/>
          <w:lang w:val="en-US" w:eastAsia="el-GR"/>
        </w:rPr>
        <w:t>nited</w:t>
      </w:r>
      <w:r w:rsidR="003A0A80" w:rsidRPr="003A0A80">
        <w:rPr>
          <w:rFonts w:asciiTheme="minorHAnsi" w:hAnsiTheme="minorHAnsi" w:cstheme="minorHAnsi"/>
          <w:bCs/>
          <w:sz w:val="24"/>
          <w:szCs w:val="24"/>
          <w:lang w:eastAsia="el-GR"/>
        </w:rPr>
        <w:t xml:space="preserve"> S</w:t>
      </w:r>
      <w:r w:rsidR="003A0A80" w:rsidRPr="003A0A80">
        <w:rPr>
          <w:rFonts w:asciiTheme="minorHAnsi" w:hAnsiTheme="minorHAnsi" w:cstheme="minorHAnsi"/>
          <w:bCs/>
          <w:sz w:val="24"/>
          <w:szCs w:val="24"/>
          <w:lang w:val="en-US" w:eastAsia="el-GR"/>
        </w:rPr>
        <w:t>tates</w:t>
      </w:r>
      <w:r w:rsidR="003A0A80" w:rsidRPr="003A0A80">
        <w:rPr>
          <w:rFonts w:asciiTheme="minorHAnsi" w:hAnsiTheme="minorHAnsi" w:cstheme="minorHAnsi"/>
          <w:bCs/>
          <w:sz w:val="24"/>
          <w:szCs w:val="24"/>
          <w:lang w:eastAsia="el-GR"/>
        </w:rPr>
        <w:t xml:space="preserve"> R</w:t>
      </w:r>
      <w:r w:rsidR="003A0A80" w:rsidRPr="003A0A80">
        <w:rPr>
          <w:rFonts w:asciiTheme="minorHAnsi" w:hAnsiTheme="minorHAnsi" w:cstheme="minorHAnsi"/>
          <w:bCs/>
          <w:sz w:val="24"/>
          <w:szCs w:val="24"/>
          <w:lang w:val="en-US" w:eastAsia="el-GR"/>
        </w:rPr>
        <w:t>enal</w:t>
      </w:r>
      <w:r w:rsidR="003A0A80" w:rsidRPr="003A0A80">
        <w:rPr>
          <w:rFonts w:asciiTheme="minorHAnsi" w:hAnsiTheme="minorHAnsi" w:cstheme="minorHAnsi"/>
          <w:bCs/>
          <w:sz w:val="24"/>
          <w:szCs w:val="24"/>
          <w:lang w:eastAsia="el-GR"/>
        </w:rPr>
        <w:t xml:space="preserve"> D</w:t>
      </w:r>
      <w:r w:rsidR="003A0A80" w:rsidRPr="003A0A80">
        <w:rPr>
          <w:rFonts w:asciiTheme="minorHAnsi" w:hAnsiTheme="minorHAnsi" w:cstheme="minorHAnsi"/>
          <w:bCs/>
          <w:sz w:val="24"/>
          <w:szCs w:val="24"/>
          <w:lang w:val="en-US" w:eastAsia="el-GR"/>
        </w:rPr>
        <w:t>ata</w:t>
      </w:r>
      <w:r w:rsidR="003A0A80" w:rsidRPr="003A0A80">
        <w:rPr>
          <w:rFonts w:asciiTheme="minorHAnsi" w:hAnsiTheme="minorHAnsi" w:cstheme="minorHAnsi"/>
          <w:bCs/>
          <w:sz w:val="24"/>
          <w:szCs w:val="24"/>
          <w:lang w:eastAsia="el-GR"/>
        </w:rPr>
        <w:t xml:space="preserve"> S</w:t>
      </w:r>
      <w:r w:rsidR="003A0A80" w:rsidRPr="003A0A80">
        <w:rPr>
          <w:rFonts w:asciiTheme="minorHAnsi" w:hAnsiTheme="minorHAnsi" w:cstheme="minorHAnsi"/>
          <w:bCs/>
          <w:sz w:val="24"/>
          <w:szCs w:val="24"/>
          <w:lang w:val="en-US" w:eastAsia="el-GR"/>
        </w:rPr>
        <w:t>ystem</w:t>
      </w:r>
      <w:r w:rsidR="003A0A80" w:rsidRPr="003A0A80">
        <w:rPr>
          <w:rFonts w:asciiTheme="minorHAnsi" w:hAnsiTheme="minorHAnsi" w:cstheme="minorHAnsi"/>
          <w:bCs/>
          <w:sz w:val="24"/>
          <w:szCs w:val="24"/>
          <w:lang w:eastAsia="el-GR"/>
        </w:rPr>
        <w:t xml:space="preserve">, </w:t>
      </w:r>
      <w:r w:rsidR="003A0A80" w:rsidRPr="003A0A80">
        <w:rPr>
          <w:rFonts w:asciiTheme="minorHAnsi" w:hAnsiTheme="minorHAnsi" w:cstheme="minorHAnsi"/>
          <w:bCs/>
          <w:sz w:val="24"/>
          <w:szCs w:val="24"/>
          <w:lang w:val="en-US" w:eastAsia="el-GR"/>
        </w:rPr>
        <w:t>USRDS</w:t>
      </w:r>
      <w:r w:rsidR="003A0A80" w:rsidRPr="003A0A80">
        <w:rPr>
          <w:rFonts w:asciiTheme="minorHAnsi" w:hAnsiTheme="minorHAnsi" w:cstheme="minorHAnsi"/>
          <w:bCs/>
          <w:sz w:val="24"/>
          <w:szCs w:val="24"/>
          <w:lang w:eastAsia="el-GR"/>
        </w:rPr>
        <w:t xml:space="preserve"> 2016).</w:t>
      </w:r>
    </w:p>
    <w:p w:rsidR="003A0A80" w:rsidRPr="003A0A80" w:rsidRDefault="00F40768" w:rsidP="003A0A80">
      <w:pPr>
        <w:spacing w:line="360" w:lineRule="auto"/>
        <w:jc w:val="both"/>
        <w:rPr>
          <w:sz w:val="24"/>
          <w:szCs w:val="24"/>
        </w:rPr>
      </w:pPr>
      <w:r>
        <w:rPr>
          <w:sz w:val="24"/>
          <w:szCs w:val="24"/>
        </w:rPr>
        <w:t>Οι ασθενείς υπό</w:t>
      </w:r>
      <w:r w:rsidRPr="00F40768">
        <w:rPr>
          <w:sz w:val="24"/>
          <w:szCs w:val="24"/>
        </w:rPr>
        <w:t xml:space="preserve"> αιμοκάθαρση εξακολουθούν να έχουν σημαντικά υψηλότερη θνησιμότητα και λιγότερα αν</w:t>
      </w:r>
      <w:r w:rsidR="00CD4436">
        <w:rPr>
          <w:sz w:val="24"/>
          <w:szCs w:val="24"/>
        </w:rPr>
        <w:t>αμενόμενα υπολειπόμενα έτη ζωής</w:t>
      </w:r>
      <w:r w:rsidRPr="00F40768">
        <w:rPr>
          <w:sz w:val="24"/>
          <w:szCs w:val="24"/>
        </w:rPr>
        <w:t xml:space="preserve"> σε σύγκριση με τον γενικό πληθυσμό και τους </w:t>
      </w:r>
      <w:r w:rsidR="00CD4436">
        <w:rPr>
          <w:sz w:val="24"/>
          <w:szCs w:val="24"/>
        </w:rPr>
        <w:t xml:space="preserve">ασθενείς </w:t>
      </w:r>
      <w:r w:rsidR="00EE4AF2">
        <w:rPr>
          <w:sz w:val="24"/>
          <w:szCs w:val="24"/>
        </w:rPr>
        <w:t xml:space="preserve">με </w:t>
      </w:r>
      <w:r w:rsidRPr="00F40768">
        <w:rPr>
          <w:sz w:val="24"/>
          <w:szCs w:val="24"/>
        </w:rPr>
        <w:t xml:space="preserve">καρκίνο, </w:t>
      </w:r>
      <w:r w:rsidR="00CD4436">
        <w:rPr>
          <w:sz w:val="24"/>
          <w:szCs w:val="24"/>
        </w:rPr>
        <w:t xml:space="preserve">σακχαρώδη </w:t>
      </w:r>
      <w:r w:rsidRPr="00F40768">
        <w:rPr>
          <w:sz w:val="24"/>
          <w:szCs w:val="24"/>
        </w:rPr>
        <w:t>διαβήτη ή καρδιαγγειακή νόσο.</w:t>
      </w:r>
      <w:r w:rsidR="00CD4436" w:rsidRPr="00CD4436">
        <w:t xml:space="preserve"> </w:t>
      </w:r>
      <w:r w:rsidR="00CD4436" w:rsidRPr="00CD4436">
        <w:rPr>
          <w:sz w:val="24"/>
          <w:szCs w:val="24"/>
        </w:rPr>
        <w:t>Ωστόσο, η σχετική πτώση της θ</w:t>
      </w:r>
      <w:r w:rsidR="00CD4436">
        <w:rPr>
          <w:sz w:val="24"/>
          <w:szCs w:val="24"/>
        </w:rPr>
        <w:t>νησιμότητας για τους ασθενείς υπό</w:t>
      </w:r>
      <w:r w:rsidR="00CD4436" w:rsidRPr="00CD4436">
        <w:rPr>
          <w:sz w:val="24"/>
          <w:szCs w:val="24"/>
        </w:rPr>
        <w:t xml:space="preserve"> αιμ</w:t>
      </w:r>
      <w:r w:rsidR="00CD4436">
        <w:rPr>
          <w:sz w:val="24"/>
          <w:szCs w:val="24"/>
        </w:rPr>
        <w:t>οκάθαρση την τελευταία 15</w:t>
      </w:r>
      <w:r w:rsidR="00CD4436" w:rsidRPr="00CD4436">
        <w:rPr>
          <w:sz w:val="24"/>
          <w:szCs w:val="24"/>
        </w:rPr>
        <w:t xml:space="preserve">ετία ήταν μεγαλύτερη από αυτή των ασθενών </w:t>
      </w:r>
      <w:r w:rsidR="00CD4436">
        <w:rPr>
          <w:sz w:val="24"/>
          <w:szCs w:val="24"/>
        </w:rPr>
        <w:t>των παραπάνω διαγνωστικών κατηγοριών</w:t>
      </w:r>
      <w:r w:rsidR="003A0A80">
        <w:rPr>
          <w:sz w:val="24"/>
          <w:szCs w:val="24"/>
        </w:rPr>
        <w:t xml:space="preserve"> </w:t>
      </w:r>
      <w:r w:rsidR="003A0A80" w:rsidRPr="003A0A80">
        <w:rPr>
          <w:rFonts w:asciiTheme="minorHAnsi" w:hAnsiTheme="minorHAnsi" w:cstheme="minorHAnsi"/>
          <w:sz w:val="24"/>
          <w:szCs w:val="24"/>
        </w:rPr>
        <w:t>(</w:t>
      </w:r>
      <w:r w:rsidR="003A0A80" w:rsidRPr="003A0A80">
        <w:rPr>
          <w:rFonts w:asciiTheme="minorHAnsi" w:hAnsiTheme="minorHAnsi" w:cstheme="minorHAnsi"/>
          <w:bCs/>
          <w:sz w:val="24"/>
          <w:szCs w:val="24"/>
          <w:lang w:eastAsia="el-GR"/>
        </w:rPr>
        <w:t>U</w:t>
      </w:r>
      <w:r w:rsidR="003A0A80" w:rsidRPr="003A0A80">
        <w:rPr>
          <w:rFonts w:asciiTheme="minorHAnsi" w:hAnsiTheme="minorHAnsi" w:cstheme="minorHAnsi"/>
          <w:bCs/>
          <w:sz w:val="24"/>
          <w:szCs w:val="24"/>
          <w:lang w:val="en-US" w:eastAsia="el-GR"/>
        </w:rPr>
        <w:t>nited</w:t>
      </w:r>
      <w:r w:rsidR="003A0A80" w:rsidRPr="003A0A80">
        <w:rPr>
          <w:rFonts w:asciiTheme="minorHAnsi" w:hAnsiTheme="minorHAnsi" w:cstheme="minorHAnsi"/>
          <w:bCs/>
          <w:sz w:val="24"/>
          <w:szCs w:val="24"/>
          <w:lang w:eastAsia="el-GR"/>
        </w:rPr>
        <w:t xml:space="preserve"> S</w:t>
      </w:r>
      <w:r w:rsidR="003A0A80" w:rsidRPr="003A0A80">
        <w:rPr>
          <w:rFonts w:asciiTheme="minorHAnsi" w:hAnsiTheme="minorHAnsi" w:cstheme="minorHAnsi"/>
          <w:bCs/>
          <w:sz w:val="24"/>
          <w:szCs w:val="24"/>
          <w:lang w:val="en-US" w:eastAsia="el-GR"/>
        </w:rPr>
        <w:t>tates</w:t>
      </w:r>
      <w:r w:rsidR="003A0A80" w:rsidRPr="003A0A80">
        <w:rPr>
          <w:rFonts w:asciiTheme="minorHAnsi" w:hAnsiTheme="minorHAnsi" w:cstheme="minorHAnsi"/>
          <w:bCs/>
          <w:sz w:val="24"/>
          <w:szCs w:val="24"/>
          <w:lang w:eastAsia="el-GR"/>
        </w:rPr>
        <w:t xml:space="preserve"> R</w:t>
      </w:r>
      <w:r w:rsidR="003A0A80" w:rsidRPr="003A0A80">
        <w:rPr>
          <w:rFonts w:asciiTheme="minorHAnsi" w:hAnsiTheme="minorHAnsi" w:cstheme="minorHAnsi"/>
          <w:bCs/>
          <w:sz w:val="24"/>
          <w:szCs w:val="24"/>
          <w:lang w:val="en-US" w:eastAsia="el-GR"/>
        </w:rPr>
        <w:t>enal</w:t>
      </w:r>
      <w:r w:rsidR="003A0A80" w:rsidRPr="003A0A80">
        <w:rPr>
          <w:rFonts w:asciiTheme="minorHAnsi" w:hAnsiTheme="minorHAnsi" w:cstheme="minorHAnsi"/>
          <w:bCs/>
          <w:sz w:val="24"/>
          <w:szCs w:val="24"/>
          <w:lang w:eastAsia="el-GR"/>
        </w:rPr>
        <w:t xml:space="preserve"> D</w:t>
      </w:r>
      <w:r w:rsidR="003A0A80" w:rsidRPr="003A0A80">
        <w:rPr>
          <w:rFonts w:asciiTheme="minorHAnsi" w:hAnsiTheme="minorHAnsi" w:cstheme="minorHAnsi"/>
          <w:bCs/>
          <w:sz w:val="24"/>
          <w:szCs w:val="24"/>
          <w:lang w:val="en-US" w:eastAsia="el-GR"/>
        </w:rPr>
        <w:t>ata</w:t>
      </w:r>
      <w:r w:rsidR="003A0A80" w:rsidRPr="003A0A80">
        <w:rPr>
          <w:rFonts w:asciiTheme="minorHAnsi" w:hAnsiTheme="minorHAnsi" w:cstheme="minorHAnsi"/>
          <w:bCs/>
          <w:sz w:val="24"/>
          <w:szCs w:val="24"/>
          <w:lang w:eastAsia="el-GR"/>
        </w:rPr>
        <w:t xml:space="preserve"> S</w:t>
      </w:r>
      <w:r w:rsidR="003A0A80" w:rsidRPr="003A0A80">
        <w:rPr>
          <w:rFonts w:asciiTheme="minorHAnsi" w:hAnsiTheme="minorHAnsi" w:cstheme="minorHAnsi"/>
          <w:bCs/>
          <w:sz w:val="24"/>
          <w:szCs w:val="24"/>
          <w:lang w:val="en-US" w:eastAsia="el-GR"/>
        </w:rPr>
        <w:t>ystem</w:t>
      </w:r>
      <w:r w:rsidR="003A0A80" w:rsidRPr="003A0A80">
        <w:rPr>
          <w:rFonts w:asciiTheme="minorHAnsi" w:hAnsiTheme="minorHAnsi" w:cstheme="minorHAnsi"/>
          <w:bCs/>
          <w:sz w:val="24"/>
          <w:szCs w:val="24"/>
          <w:lang w:eastAsia="el-GR"/>
        </w:rPr>
        <w:t xml:space="preserve">, </w:t>
      </w:r>
      <w:r w:rsidR="003A0A80" w:rsidRPr="003A0A80">
        <w:rPr>
          <w:rFonts w:asciiTheme="minorHAnsi" w:hAnsiTheme="minorHAnsi" w:cstheme="minorHAnsi"/>
          <w:bCs/>
          <w:sz w:val="24"/>
          <w:szCs w:val="24"/>
          <w:lang w:val="en-US" w:eastAsia="el-GR"/>
        </w:rPr>
        <w:t>USRDS</w:t>
      </w:r>
      <w:r w:rsidR="003A0A80" w:rsidRPr="003A0A80">
        <w:rPr>
          <w:rFonts w:asciiTheme="minorHAnsi" w:hAnsiTheme="minorHAnsi" w:cstheme="minorHAnsi"/>
          <w:bCs/>
          <w:sz w:val="24"/>
          <w:szCs w:val="24"/>
          <w:lang w:eastAsia="el-GR"/>
        </w:rPr>
        <w:t xml:space="preserve"> 2016)</w:t>
      </w:r>
      <w:r w:rsidR="00CD4436" w:rsidRPr="003A0A80">
        <w:rPr>
          <w:sz w:val="24"/>
          <w:szCs w:val="24"/>
        </w:rPr>
        <w:t>.</w:t>
      </w:r>
    </w:p>
    <w:p w:rsidR="003A0A80" w:rsidRDefault="00F40768" w:rsidP="003A0A80">
      <w:pPr>
        <w:spacing w:line="360" w:lineRule="auto"/>
        <w:jc w:val="both"/>
        <w:rPr>
          <w:sz w:val="24"/>
          <w:szCs w:val="24"/>
        </w:rPr>
      </w:pPr>
      <w:r w:rsidRPr="00F40768">
        <w:rPr>
          <w:sz w:val="24"/>
          <w:szCs w:val="24"/>
        </w:rPr>
        <w:t>Από το 1996, τα ποσοστά</w:t>
      </w:r>
      <w:r w:rsidR="0066725A">
        <w:rPr>
          <w:sz w:val="24"/>
          <w:szCs w:val="24"/>
        </w:rPr>
        <w:t xml:space="preserve"> θνησιμότητας μειώ</w:t>
      </w:r>
      <w:r>
        <w:rPr>
          <w:sz w:val="24"/>
          <w:szCs w:val="24"/>
        </w:rPr>
        <w:t>θηκαν</w:t>
      </w:r>
      <w:r w:rsidRPr="00F40768">
        <w:rPr>
          <w:sz w:val="24"/>
          <w:szCs w:val="24"/>
        </w:rPr>
        <w:t xml:space="preserve"> κατά 26% για τους ασθενείς</w:t>
      </w:r>
      <w:r>
        <w:rPr>
          <w:sz w:val="24"/>
          <w:szCs w:val="24"/>
        </w:rPr>
        <w:t xml:space="preserve"> που υποβάλλονται σε αιμοκάθαρση ενώ</w:t>
      </w:r>
      <w:r w:rsidRPr="00F40768">
        <w:rPr>
          <w:sz w:val="24"/>
          <w:szCs w:val="24"/>
        </w:rPr>
        <w:t xml:space="preserve"> κατά την ίδια περίοδο</w:t>
      </w:r>
      <w:r>
        <w:rPr>
          <w:sz w:val="24"/>
          <w:szCs w:val="24"/>
        </w:rPr>
        <w:t xml:space="preserve"> αυξήθηκαν</w:t>
      </w:r>
      <w:r w:rsidRPr="00F40768">
        <w:rPr>
          <w:sz w:val="24"/>
          <w:szCs w:val="24"/>
        </w:rPr>
        <w:t xml:space="preserve"> κατά 2% για τους </w:t>
      </w:r>
      <w:r>
        <w:rPr>
          <w:sz w:val="24"/>
          <w:szCs w:val="24"/>
        </w:rPr>
        <w:t>μεταμοσχευθέντες.</w:t>
      </w:r>
      <w:r w:rsidRPr="00F40768">
        <w:t xml:space="preserve"> </w:t>
      </w:r>
      <w:r w:rsidRPr="00F40768">
        <w:rPr>
          <w:sz w:val="24"/>
          <w:szCs w:val="24"/>
        </w:rPr>
        <w:t xml:space="preserve">Τα </w:t>
      </w:r>
      <w:r>
        <w:rPr>
          <w:sz w:val="24"/>
          <w:szCs w:val="24"/>
        </w:rPr>
        <w:t xml:space="preserve">χαρακτηριστικά της </w:t>
      </w:r>
      <w:r w:rsidRPr="00F40768">
        <w:rPr>
          <w:sz w:val="24"/>
          <w:szCs w:val="24"/>
        </w:rPr>
        <w:t>θνησιμότητας κατά τη δι</w:t>
      </w:r>
      <w:r>
        <w:rPr>
          <w:sz w:val="24"/>
          <w:szCs w:val="24"/>
        </w:rPr>
        <w:t>άρκεια του πρώτου έτους της υποκατάσταση</w:t>
      </w:r>
      <w:r w:rsidRPr="00F40768">
        <w:rPr>
          <w:sz w:val="24"/>
          <w:szCs w:val="24"/>
        </w:rPr>
        <w:t>ς</w:t>
      </w:r>
      <w:r>
        <w:rPr>
          <w:sz w:val="24"/>
          <w:szCs w:val="24"/>
        </w:rPr>
        <w:t xml:space="preserve"> της νεφρικής λειτουργίας</w:t>
      </w:r>
      <w:r w:rsidRPr="00F40768">
        <w:rPr>
          <w:sz w:val="24"/>
          <w:szCs w:val="24"/>
        </w:rPr>
        <w:t xml:space="preserve"> διαφέρουν σημαντικά </w:t>
      </w:r>
      <w:r w:rsidR="0066725A">
        <w:rPr>
          <w:sz w:val="24"/>
          <w:szCs w:val="24"/>
        </w:rPr>
        <w:t xml:space="preserve">ανάλογα με </w:t>
      </w:r>
      <w:r>
        <w:rPr>
          <w:sz w:val="24"/>
          <w:szCs w:val="24"/>
        </w:rPr>
        <w:t>τον τρόπο της υποκατάστασης της νεφρικής λειτουργίας</w:t>
      </w:r>
      <w:r w:rsidRPr="00F40768">
        <w:rPr>
          <w:sz w:val="24"/>
          <w:szCs w:val="24"/>
        </w:rPr>
        <w:t xml:space="preserve">. </w:t>
      </w:r>
      <w:r>
        <w:rPr>
          <w:sz w:val="24"/>
          <w:szCs w:val="24"/>
        </w:rPr>
        <w:t>Συγκεκριμένα, γ</w:t>
      </w:r>
      <w:r w:rsidRPr="00F40768">
        <w:rPr>
          <w:sz w:val="24"/>
          <w:szCs w:val="24"/>
        </w:rPr>
        <w:t xml:space="preserve">ια τους ασθενείς που υποβάλλονται σε αιμοκάθαρση, η αναφερθείσα θνησιμότητα είναι υψηλότερη τον </w:t>
      </w:r>
      <w:r>
        <w:rPr>
          <w:sz w:val="24"/>
          <w:szCs w:val="24"/>
        </w:rPr>
        <w:t>δεύτερο μήνα</w:t>
      </w:r>
      <w:r w:rsidR="0066725A">
        <w:rPr>
          <w:sz w:val="24"/>
          <w:szCs w:val="24"/>
        </w:rPr>
        <w:t xml:space="preserve"> από την ένταξη</w:t>
      </w:r>
      <w:r w:rsidRPr="00F40768">
        <w:rPr>
          <w:sz w:val="24"/>
          <w:szCs w:val="24"/>
        </w:rPr>
        <w:t>, αλλά μειώνεται στη συνέχεια</w:t>
      </w:r>
      <w:r>
        <w:rPr>
          <w:sz w:val="24"/>
          <w:szCs w:val="24"/>
        </w:rPr>
        <w:t>.</w:t>
      </w:r>
      <w:r w:rsidRPr="00F40768">
        <w:t xml:space="preserve"> </w:t>
      </w:r>
      <w:r w:rsidRPr="00F40768">
        <w:rPr>
          <w:sz w:val="24"/>
          <w:szCs w:val="24"/>
        </w:rPr>
        <w:t>Αυ</w:t>
      </w:r>
      <w:r>
        <w:rPr>
          <w:sz w:val="24"/>
          <w:szCs w:val="24"/>
        </w:rPr>
        <w:t>τό το φαινόμενο είναι πιο σύνηθες στους</w:t>
      </w:r>
      <w:r w:rsidRPr="00F40768">
        <w:rPr>
          <w:sz w:val="24"/>
          <w:szCs w:val="24"/>
        </w:rPr>
        <w:t xml:space="preserve"> ασθενείς ηλικίας </w:t>
      </w:r>
      <w:r>
        <w:rPr>
          <w:sz w:val="24"/>
          <w:szCs w:val="24"/>
        </w:rPr>
        <w:t xml:space="preserve">άνω των 65 ετών. Αντίθετα, για τους ασθενείς υπό </w:t>
      </w:r>
      <w:r w:rsidRPr="003A0A80">
        <w:rPr>
          <w:sz w:val="24"/>
          <w:szCs w:val="24"/>
        </w:rPr>
        <w:t xml:space="preserve">περιτοναϊκή κάθαρση, η θνησιμότητα αυξάνεται ελαφρά κατά τη διάρκεια του </w:t>
      </w:r>
      <w:r w:rsidR="0066725A" w:rsidRPr="003A0A80">
        <w:rPr>
          <w:sz w:val="24"/>
          <w:szCs w:val="24"/>
        </w:rPr>
        <w:t xml:space="preserve">πρώτου </w:t>
      </w:r>
      <w:r w:rsidRPr="003A0A80">
        <w:rPr>
          <w:sz w:val="24"/>
          <w:szCs w:val="24"/>
        </w:rPr>
        <w:t>έτους</w:t>
      </w:r>
      <w:r w:rsidR="003A0A80">
        <w:rPr>
          <w:sz w:val="24"/>
          <w:szCs w:val="24"/>
        </w:rPr>
        <w:t xml:space="preserve"> </w:t>
      </w:r>
      <w:r w:rsidR="003A0A80" w:rsidRPr="003A0A80">
        <w:rPr>
          <w:rFonts w:asciiTheme="minorHAnsi" w:hAnsiTheme="minorHAnsi" w:cstheme="minorHAnsi"/>
          <w:sz w:val="24"/>
          <w:szCs w:val="24"/>
        </w:rPr>
        <w:t>(</w:t>
      </w:r>
      <w:r w:rsidR="003A0A80" w:rsidRPr="003A0A80">
        <w:rPr>
          <w:rFonts w:asciiTheme="minorHAnsi" w:hAnsiTheme="minorHAnsi" w:cstheme="minorHAnsi"/>
          <w:bCs/>
          <w:sz w:val="24"/>
          <w:szCs w:val="24"/>
          <w:lang w:eastAsia="el-GR"/>
        </w:rPr>
        <w:t>U</w:t>
      </w:r>
      <w:r w:rsidR="003A0A80" w:rsidRPr="003A0A80">
        <w:rPr>
          <w:rFonts w:asciiTheme="minorHAnsi" w:hAnsiTheme="minorHAnsi" w:cstheme="minorHAnsi"/>
          <w:bCs/>
          <w:sz w:val="24"/>
          <w:szCs w:val="24"/>
          <w:lang w:val="en-US" w:eastAsia="el-GR"/>
        </w:rPr>
        <w:t>nited</w:t>
      </w:r>
      <w:r w:rsidR="003A0A80" w:rsidRPr="003A0A80">
        <w:rPr>
          <w:rFonts w:asciiTheme="minorHAnsi" w:hAnsiTheme="minorHAnsi" w:cstheme="minorHAnsi"/>
          <w:bCs/>
          <w:sz w:val="24"/>
          <w:szCs w:val="24"/>
          <w:lang w:eastAsia="el-GR"/>
        </w:rPr>
        <w:t xml:space="preserve"> S</w:t>
      </w:r>
      <w:r w:rsidR="003A0A80" w:rsidRPr="003A0A80">
        <w:rPr>
          <w:rFonts w:asciiTheme="minorHAnsi" w:hAnsiTheme="minorHAnsi" w:cstheme="minorHAnsi"/>
          <w:bCs/>
          <w:sz w:val="24"/>
          <w:szCs w:val="24"/>
          <w:lang w:val="en-US" w:eastAsia="el-GR"/>
        </w:rPr>
        <w:t>tates</w:t>
      </w:r>
      <w:r w:rsidR="003A0A80" w:rsidRPr="003A0A80">
        <w:rPr>
          <w:rFonts w:asciiTheme="minorHAnsi" w:hAnsiTheme="minorHAnsi" w:cstheme="minorHAnsi"/>
          <w:bCs/>
          <w:sz w:val="24"/>
          <w:szCs w:val="24"/>
          <w:lang w:eastAsia="el-GR"/>
        </w:rPr>
        <w:t xml:space="preserve"> R</w:t>
      </w:r>
      <w:r w:rsidR="003A0A80" w:rsidRPr="003A0A80">
        <w:rPr>
          <w:rFonts w:asciiTheme="minorHAnsi" w:hAnsiTheme="minorHAnsi" w:cstheme="minorHAnsi"/>
          <w:bCs/>
          <w:sz w:val="24"/>
          <w:szCs w:val="24"/>
          <w:lang w:val="en-US" w:eastAsia="el-GR"/>
        </w:rPr>
        <w:t>enal</w:t>
      </w:r>
      <w:r w:rsidR="003A0A80" w:rsidRPr="003A0A80">
        <w:rPr>
          <w:rFonts w:asciiTheme="minorHAnsi" w:hAnsiTheme="minorHAnsi" w:cstheme="minorHAnsi"/>
          <w:bCs/>
          <w:sz w:val="24"/>
          <w:szCs w:val="24"/>
          <w:lang w:eastAsia="el-GR"/>
        </w:rPr>
        <w:t xml:space="preserve"> D</w:t>
      </w:r>
      <w:r w:rsidR="003A0A80" w:rsidRPr="003A0A80">
        <w:rPr>
          <w:rFonts w:asciiTheme="minorHAnsi" w:hAnsiTheme="minorHAnsi" w:cstheme="minorHAnsi"/>
          <w:bCs/>
          <w:sz w:val="24"/>
          <w:szCs w:val="24"/>
          <w:lang w:val="en-US" w:eastAsia="el-GR"/>
        </w:rPr>
        <w:t>ata</w:t>
      </w:r>
      <w:r w:rsidR="003A0A80" w:rsidRPr="003A0A80">
        <w:rPr>
          <w:rFonts w:asciiTheme="minorHAnsi" w:hAnsiTheme="minorHAnsi" w:cstheme="minorHAnsi"/>
          <w:bCs/>
          <w:sz w:val="24"/>
          <w:szCs w:val="24"/>
          <w:lang w:eastAsia="el-GR"/>
        </w:rPr>
        <w:t xml:space="preserve"> S</w:t>
      </w:r>
      <w:r w:rsidR="003A0A80" w:rsidRPr="003A0A80">
        <w:rPr>
          <w:rFonts w:asciiTheme="minorHAnsi" w:hAnsiTheme="minorHAnsi" w:cstheme="minorHAnsi"/>
          <w:bCs/>
          <w:sz w:val="24"/>
          <w:szCs w:val="24"/>
          <w:lang w:val="en-US" w:eastAsia="el-GR"/>
        </w:rPr>
        <w:t>ystem</w:t>
      </w:r>
      <w:r w:rsidR="003A0A80" w:rsidRPr="003A0A80">
        <w:rPr>
          <w:rFonts w:asciiTheme="minorHAnsi" w:hAnsiTheme="minorHAnsi" w:cstheme="minorHAnsi"/>
          <w:bCs/>
          <w:sz w:val="24"/>
          <w:szCs w:val="24"/>
          <w:lang w:eastAsia="el-GR"/>
        </w:rPr>
        <w:t xml:space="preserve">, </w:t>
      </w:r>
      <w:r w:rsidR="003A0A80" w:rsidRPr="003A0A80">
        <w:rPr>
          <w:rFonts w:asciiTheme="minorHAnsi" w:hAnsiTheme="minorHAnsi" w:cstheme="minorHAnsi"/>
          <w:bCs/>
          <w:sz w:val="24"/>
          <w:szCs w:val="24"/>
          <w:lang w:val="en-US" w:eastAsia="el-GR"/>
        </w:rPr>
        <w:t>USRDS</w:t>
      </w:r>
      <w:r w:rsidR="003A0A80" w:rsidRPr="003A0A80">
        <w:rPr>
          <w:rFonts w:asciiTheme="minorHAnsi" w:hAnsiTheme="minorHAnsi" w:cstheme="minorHAnsi"/>
          <w:bCs/>
          <w:sz w:val="24"/>
          <w:szCs w:val="24"/>
          <w:lang w:eastAsia="el-GR"/>
        </w:rPr>
        <w:t xml:space="preserve"> 2016).</w:t>
      </w:r>
    </w:p>
    <w:p w:rsidR="003A0A80" w:rsidRPr="003A0A80" w:rsidRDefault="001C3119" w:rsidP="003A0A80">
      <w:pPr>
        <w:spacing w:line="360" w:lineRule="auto"/>
        <w:jc w:val="both"/>
        <w:rPr>
          <w:sz w:val="24"/>
          <w:szCs w:val="24"/>
        </w:rPr>
      </w:pPr>
      <w:r>
        <w:rPr>
          <w:sz w:val="24"/>
          <w:szCs w:val="24"/>
        </w:rPr>
        <w:t xml:space="preserve">Κατά μέσο όρο οι ασθενείς με ΤΣΧΝΝ </w:t>
      </w:r>
      <w:r w:rsidR="00C161E4">
        <w:rPr>
          <w:sz w:val="24"/>
          <w:szCs w:val="24"/>
        </w:rPr>
        <w:t>νοσηλεύονται σ</w:t>
      </w:r>
      <w:r>
        <w:rPr>
          <w:sz w:val="24"/>
          <w:szCs w:val="24"/>
        </w:rPr>
        <w:t xml:space="preserve">το Νοσοκομείο </w:t>
      </w:r>
      <w:r w:rsidR="00BA566F">
        <w:rPr>
          <w:sz w:val="24"/>
          <w:szCs w:val="24"/>
        </w:rPr>
        <w:t>δύο</w:t>
      </w:r>
      <w:r>
        <w:rPr>
          <w:sz w:val="24"/>
          <w:szCs w:val="24"/>
        </w:rPr>
        <w:t xml:space="preserve"> φορές/ έτος. Περίπου το 30% εξ’ αυτών επανεισάγεται</w:t>
      </w:r>
      <w:r w:rsidR="00C161E4">
        <w:rPr>
          <w:sz w:val="24"/>
          <w:szCs w:val="24"/>
        </w:rPr>
        <w:t xml:space="preserve"> μέσα σε 30 ημέρες απ</w:t>
      </w:r>
      <w:r w:rsidR="0066725A">
        <w:rPr>
          <w:sz w:val="24"/>
          <w:szCs w:val="24"/>
        </w:rPr>
        <w:t>ό την</w:t>
      </w:r>
      <w:r w:rsidR="00440296">
        <w:rPr>
          <w:sz w:val="24"/>
          <w:szCs w:val="24"/>
        </w:rPr>
        <w:t xml:space="preserve"> εξαγωγή τους από το Νοσοκομείο</w:t>
      </w:r>
      <w:r w:rsidR="00C161E4">
        <w:rPr>
          <w:sz w:val="24"/>
          <w:szCs w:val="24"/>
        </w:rPr>
        <w:t xml:space="preserve">. </w:t>
      </w:r>
      <w:r w:rsidR="00C161E4" w:rsidRPr="00C161E4">
        <w:rPr>
          <w:sz w:val="24"/>
          <w:szCs w:val="24"/>
        </w:rPr>
        <w:t xml:space="preserve">Η νοσοκομειακή περίθαλψη </w:t>
      </w:r>
      <w:r w:rsidR="00C161E4">
        <w:rPr>
          <w:sz w:val="24"/>
          <w:szCs w:val="24"/>
        </w:rPr>
        <w:t xml:space="preserve">αποτελεί </w:t>
      </w:r>
      <w:r w:rsidR="00C161E4" w:rsidRPr="00C161E4">
        <w:rPr>
          <w:sz w:val="24"/>
          <w:szCs w:val="24"/>
        </w:rPr>
        <w:t xml:space="preserve">σημαντικό κοινωνικό και οικονομικό βάρος, που </w:t>
      </w:r>
      <w:r w:rsidR="00C161E4">
        <w:rPr>
          <w:sz w:val="24"/>
          <w:szCs w:val="24"/>
        </w:rPr>
        <w:t xml:space="preserve">επιβαρύνει </w:t>
      </w:r>
      <w:r w:rsidR="00C161E4" w:rsidRPr="00C161E4">
        <w:rPr>
          <w:sz w:val="24"/>
          <w:szCs w:val="24"/>
        </w:rPr>
        <w:t>περίπου το 40% των συνολι</w:t>
      </w:r>
      <w:r w:rsidR="00C161E4">
        <w:rPr>
          <w:sz w:val="24"/>
          <w:szCs w:val="24"/>
        </w:rPr>
        <w:t>κών δαπανών για τους ασθενείς υπό</w:t>
      </w:r>
      <w:r w:rsidR="00C161E4" w:rsidRPr="00C161E4">
        <w:rPr>
          <w:sz w:val="24"/>
          <w:szCs w:val="24"/>
        </w:rPr>
        <w:t xml:space="preserve"> αιμοκάθαρση.</w:t>
      </w:r>
      <w:r w:rsidR="00C161E4" w:rsidRPr="00C161E4">
        <w:t xml:space="preserve"> </w:t>
      </w:r>
      <w:r w:rsidR="00C161E4" w:rsidRPr="00C161E4">
        <w:rPr>
          <w:sz w:val="24"/>
          <w:szCs w:val="24"/>
        </w:rPr>
        <w:t>Κατά την τελευταία δεκαετία, η συχνότητα των εισαγωγών στο νοσοκομείο που προ</w:t>
      </w:r>
      <w:r w:rsidR="00C161E4">
        <w:rPr>
          <w:sz w:val="24"/>
          <w:szCs w:val="24"/>
        </w:rPr>
        <w:t xml:space="preserve">έκυψαν για τους ασθενείς με ΤΣΧΝΝ </w:t>
      </w:r>
      <w:r w:rsidR="0066725A">
        <w:rPr>
          <w:sz w:val="24"/>
          <w:szCs w:val="24"/>
        </w:rPr>
        <w:t>μειώθηκε</w:t>
      </w:r>
      <w:r w:rsidR="00C161E4">
        <w:rPr>
          <w:sz w:val="24"/>
          <w:szCs w:val="24"/>
        </w:rPr>
        <w:t xml:space="preserve"> σταδιακά.</w:t>
      </w:r>
      <w:r w:rsidR="00C161E4" w:rsidRPr="00C161E4">
        <w:t xml:space="preserve"> </w:t>
      </w:r>
      <w:r w:rsidR="00C161E4" w:rsidRPr="00C161E4">
        <w:rPr>
          <w:sz w:val="24"/>
          <w:szCs w:val="24"/>
        </w:rPr>
        <w:t xml:space="preserve">Το 2014, ο ρυθμός </w:t>
      </w:r>
      <w:r w:rsidR="00C161E4">
        <w:rPr>
          <w:sz w:val="24"/>
          <w:szCs w:val="24"/>
        </w:rPr>
        <w:t xml:space="preserve">εισαγωγών </w:t>
      </w:r>
      <w:r w:rsidR="00C161E4" w:rsidRPr="00C161E4">
        <w:rPr>
          <w:sz w:val="24"/>
          <w:szCs w:val="24"/>
        </w:rPr>
        <w:t>μειώθηκ</w:t>
      </w:r>
      <w:r w:rsidR="00C161E4">
        <w:rPr>
          <w:sz w:val="24"/>
          <w:szCs w:val="24"/>
        </w:rPr>
        <w:t>ε σε 1,7 ημέρες ανά έτος για κάθε ασθενή</w:t>
      </w:r>
      <w:r w:rsidR="00C161E4" w:rsidRPr="00C161E4">
        <w:rPr>
          <w:sz w:val="24"/>
          <w:szCs w:val="24"/>
        </w:rPr>
        <w:t xml:space="preserve"> σε</w:t>
      </w:r>
      <w:r w:rsidR="00C161E4">
        <w:rPr>
          <w:sz w:val="24"/>
          <w:szCs w:val="24"/>
        </w:rPr>
        <w:t xml:space="preserve"> σύγκριση με 2,1 το 2005 (</w:t>
      </w:r>
      <w:r w:rsidR="00C161E4" w:rsidRPr="00C161E4">
        <w:rPr>
          <w:sz w:val="24"/>
          <w:szCs w:val="24"/>
        </w:rPr>
        <w:t>μείωση κατά 19,0%</w:t>
      </w:r>
      <w:r w:rsidR="00C161E4">
        <w:rPr>
          <w:sz w:val="24"/>
          <w:szCs w:val="24"/>
        </w:rPr>
        <w:t>)</w:t>
      </w:r>
      <w:r w:rsidR="00C161E4" w:rsidRPr="00C161E4">
        <w:rPr>
          <w:sz w:val="24"/>
          <w:szCs w:val="24"/>
        </w:rPr>
        <w:t>.</w:t>
      </w:r>
      <w:r w:rsidR="0066725A">
        <w:rPr>
          <w:sz w:val="24"/>
          <w:szCs w:val="24"/>
        </w:rPr>
        <w:t xml:space="preserve"> </w:t>
      </w:r>
      <w:r w:rsidR="00C161E4" w:rsidRPr="00C161E4">
        <w:rPr>
          <w:sz w:val="24"/>
          <w:szCs w:val="24"/>
        </w:rPr>
        <w:t>Κατά την ί</w:t>
      </w:r>
      <w:r w:rsidR="00C161E4">
        <w:rPr>
          <w:sz w:val="24"/>
          <w:szCs w:val="24"/>
        </w:rPr>
        <w:t>δια περίοδο, τα ποσοστά εισαγωγ</w:t>
      </w:r>
      <w:r w:rsidR="0066725A">
        <w:rPr>
          <w:sz w:val="24"/>
          <w:szCs w:val="24"/>
        </w:rPr>
        <w:t>ή</w:t>
      </w:r>
      <w:r w:rsidR="00C161E4" w:rsidRPr="00C161E4">
        <w:rPr>
          <w:sz w:val="24"/>
          <w:szCs w:val="24"/>
        </w:rPr>
        <w:t>ς για ασθενείς με περιτοναϊκή κ</w:t>
      </w:r>
      <w:r w:rsidR="00282B91">
        <w:rPr>
          <w:sz w:val="24"/>
          <w:szCs w:val="24"/>
        </w:rPr>
        <w:t>άθαρση μειώθηκαν στο</w:t>
      </w:r>
      <w:r w:rsidR="00C161E4" w:rsidRPr="00C161E4">
        <w:rPr>
          <w:sz w:val="24"/>
          <w:szCs w:val="24"/>
        </w:rPr>
        <w:t xml:space="preserve"> 1,6 το 2014 από 2,1 το 2005</w:t>
      </w:r>
      <w:r w:rsidR="00C161E4">
        <w:rPr>
          <w:sz w:val="24"/>
          <w:szCs w:val="24"/>
        </w:rPr>
        <w:t xml:space="preserve"> (μείωση κατά 23,8%).</w:t>
      </w:r>
      <w:r w:rsidR="00C161E4" w:rsidRPr="00C161E4">
        <w:rPr>
          <w:sz w:val="24"/>
          <w:szCs w:val="24"/>
        </w:rPr>
        <w:t xml:space="preserve"> Για του</w:t>
      </w:r>
      <w:r w:rsidR="00C161E4">
        <w:rPr>
          <w:sz w:val="24"/>
          <w:szCs w:val="24"/>
        </w:rPr>
        <w:t>ς ασθενείς με μεταμόσχευση, η συχνότητ</w:t>
      </w:r>
      <w:r w:rsidR="00440296">
        <w:rPr>
          <w:sz w:val="24"/>
          <w:szCs w:val="24"/>
        </w:rPr>
        <w:t>α αυτή</w:t>
      </w:r>
      <w:r w:rsidR="00C161E4" w:rsidRPr="00C161E4">
        <w:rPr>
          <w:sz w:val="24"/>
          <w:szCs w:val="24"/>
        </w:rPr>
        <w:t xml:space="preserve"> μειώθηκε </w:t>
      </w:r>
      <w:r w:rsidR="00440296" w:rsidRPr="00C161E4">
        <w:rPr>
          <w:sz w:val="24"/>
          <w:szCs w:val="24"/>
        </w:rPr>
        <w:t>σε 0,8 ημέρες το 2014, από 1,1 το 2005</w:t>
      </w:r>
      <w:r w:rsidR="00440296">
        <w:rPr>
          <w:sz w:val="24"/>
          <w:szCs w:val="24"/>
        </w:rPr>
        <w:t xml:space="preserve"> (μείωση </w:t>
      </w:r>
      <w:r w:rsidR="00C161E4" w:rsidRPr="00C161E4">
        <w:rPr>
          <w:sz w:val="24"/>
          <w:szCs w:val="24"/>
        </w:rPr>
        <w:t>κατά 27,2%</w:t>
      </w:r>
      <w:r w:rsidR="00440296">
        <w:rPr>
          <w:sz w:val="24"/>
          <w:szCs w:val="24"/>
        </w:rPr>
        <w:t>).</w:t>
      </w:r>
      <w:r w:rsidR="00C161E4" w:rsidRPr="00C161E4">
        <w:rPr>
          <w:sz w:val="24"/>
          <w:szCs w:val="24"/>
        </w:rPr>
        <w:t xml:space="preserve"> </w:t>
      </w:r>
      <w:r w:rsidR="00440296" w:rsidRPr="00440296">
        <w:rPr>
          <w:sz w:val="24"/>
          <w:szCs w:val="24"/>
        </w:rPr>
        <w:t>Κατά τη δι</w:t>
      </w:r>
      <w:r w:rsidR="00440296">
        <w:rPr>
          <w:sz w:val="24"/>
          <w:szCs w:val="24"/>
        </w:rPr>
        <w:t>άρκεια της ίδιας δεκαετίας, η συχνότητα νοσηλεία</w:t>
      </w:r>
      <w:r w:rsidR="00440296" w:rsidRPr="00440296">
        <w:rPr>
          <w:sz w:val="24"/>
          <w:szCs w:val="24"/>
        </w:rPr>
        <w:t>ς ασθενών λόγω καρδιαγγειακών επεισοδίω</w:t>
      </w:r>
      <w:r w:rsidR="00440296">
        <w:rPr>
          <w:sz w:val="24"/>
          <w:szCs w:val="24"/>
        </w:rPr>
        <w:t>ν ή για λοίμωξη αγγειακής προσπέλα</w:t>
      </w:r>
      <w:r w:rsidR="00322FD5">
        <w:rPr>
          <w:sz w:val="24"/>
          <w:szCs w:val="24"/>
        </w:rPr>
        <w:t>σης μειώθηκε</w:t>
      </w:r>
      <w:r w:rsidR="00440296" w:rsidRPr="00440296">
        <w:rPr>
          <w:sz w:val="24"/>
          <w:szCs w:val="24"/>
        </w:rPr>
        <w:t xml:space="preserve"> κατά 32,6% και 71,4%</w:t>
      </w:r>
      <w:r w:rsidR="00440296">
        <w:rPr>
          <w:sz w:val="24"/>
          <w:szCs w:val="24"/>
        </w:rPr>
        <w:t xml:space="preserve"> αντίστοιχα</w:t>
      </w:r>
      <w:r w:rsidR="003A0A80">
        <w:rPr>
          <w:sz w:val="24"/>
          <w:szCs w:val="24"/>
        </w:rPr>
        <w:t xml:space="preserve"> </w:t>
      </w:r>
      <w:r w:rsidR="003A0A80" w:rsidRPr="003A0A80">
        <w:rPr>
          <w:rFonts w:asciiTheme="minorHAnsi" w:hAnsiTheme="minorHAnsi" w:cstheme="minorHAnsi"/>
          <w:sz w:val="24"/>
          <w:szCs w:val="24"/>
        </w:rPr>
        <w:t>(</w:t>
      </w:r>
      <w:r w:rsidR="003A0A80" w:rsidRPr="003A0A80">
        <w:rPr>
          <w:rFonts w:asciiTheme="minorHAnsi" w:hAnsiTheme="minorHAnsi" w:cstheme="minorHAnsi"/>
          <w:bCs/>
          <w:sz w:val="24"/>
          <w:szCs w:val="24"/>
          <w:lang w:eastAsia="el-GR"/>
        </w:rPr>
        <w:t>U</w:t>
      </w:r>
      <w:r w:rsidR="003A0A80" w:rsidRPr="003A0A80">
        <w:rPr>
          <w:rFonts w:asciiTheme="minorHAnsi" w:hAnsiTheme="minorHAnsi" w:cstheme="minorHAnsi"/>
          <w:bCs/>
          <w:sz w:val="24"/>
          <w:szCs w:val="24"/>
          <w:lang w:val="en-US" w:eastAsia="el-GR"/>
        </w:rPr>
        <w:t>nited</w:t>
      </w:r>
      <w:r w:rsidR="003A0A80" w:rsidRPr="003A0A80">
        <w:rPr>
          <w:rFonts w:asciiTheme="minorHAnsi" w:hAnsiTheme="minorHAnsi" w:cstheme="minorHAnsi"/>
          <w:bCs/>
          <w:sz w:val="24"/>
          <w:szCs w:val="24"/>
          <w:lang w:eastAsia="el-GR"/>
        </w:rPr>
        <w:t xml:space="preserve"> S</w:t>
      </w:r>
      <w:r w:rsidR="003A0A80" w:rsidRPr="003A0A80">
        <w:rPr>
          <w:rFonts w:asciiTheme="minorHAnsi" w:hAnsiTheme="minorHAnsi" w:cstheme="minorHAnsi"/>
          <w:bCs/>
          <w:sz w:val="24"/>
          <w:szCs w:val="24"/>
          <w:lang w:val="en-US" w:eastAsia="el-GR"/>
        </w:rPr>
        <w:t>tates</w:t>
      </w:r>
      <w:r w:rsidR="003A0A80" w:rsidRPr="003A0A80">
        <w:rPr>
          <w:rFonts w:asciiTheme="minorHAnsi" w:hAnsiTheme="minorHAnsi" w:cstheme="minorHAnsi"/>
          <w:bCs/>
          <w:sz w:val="24"/>
          <w:szCs w:val="24"/>
          <w:lang w:eastAsia="el-GR"/>
        </w:rPr>
        <w:t xml:space="preserve"> R</w:t>
      </w:r>
      <w:r w:rsidR="003A0A80" w:rsidRPr="003A0A80">
        <w:rPr>
          <w:rFonts w:asciiTheme="minorHAnsi" w:hAnsiTheme="minorHAnsi" w:cstheme="minorHAnsi"/>
          <w:bCs/>
          <w:sz w:val="24"/>
          <w:szCs w:val="24"/>
          <w:lang w:val="en-US" w:eastAsia="el-GR"/>
        </w:rPr>
        <w:t>enal</w:t>
      </w:r>
      <w:r w:rsidR="003A0A80" w:rsidRPr="003A0A80">
        <w:rPr>
          <w:rFonts w:asciiTheme="minorHAnsi" w:hAnsiTheme="minorHAnsi" w:cstheme="minorHAnsi"/>
          <w:bCs/>
          <w:sz w:val="24"/>
          <w:szCs w:val="24"/>
          <w:lang w:eastAsia="el-GR"/>
        </w:rPr>
        <w:t xml:space="preserve"> D</w:t>
      </w:r>
      <w:r w:rsidR="003A0A80" w:rsidRPr="003A0A80">
        <w:rPr>
          <w:rFonts w:asciiTheme="minorHAnsi" w:hAnsiTheme="minorHAnsi" w:cstheme="minorHAnsi"/>
          <w:bCs/>
          <w:sz w:val="24"/>
          <w:szCs w:val="24"/>
          <w:lang w:val="en-US" w:eastAsia="el-GR"/>
        </w:rPr>
        <w:t>ata</w:t>
      </w:r>
      <w:r w:rsidR="003A0A80" w:rsidRPr="003A0A80">
        <w:rPr>
          <w:rFonts w:asciiTheme="minorHAnsi" w:hAnsiTheme="minorHAnsi" w:cstheme="minorHAnsi"/>
          <w:bCs/>
          <w:sz w:val="24"/>
          <w:szCs w:val="24"/>
          <w:lang w:eastAsia="el-GR"/>
        </w:rPr>
        <w:t xml:space="preserve"> S</w:t>
      </w:r>
      <w:r w:rsidR="003A0A80" w:rsidRPr="003A0A80">
        <w:rPr>
          <w:rFonts w:asciiTheme="minorHAnsi" w:hAnsiTheme="minorHAnsi" w:cstheme="minorHAnsi"/>
          <w:bCs/>
          <w:sz w:val="24"/>
          <w:szCs w:val="24"/>
          <w:lang w:val="en-US" w:eastAsia="el-GR"/>
        </w:rPr>
        <w:t>ystem</w:t>
      </w:r>
      <w:r w:rsidR="003A0A80" w:rsidRPr="003A0A80">
        <w:rPr>
          <w:rFonts w:asciiTheme="minorHAnsi" w:hAnsiTheme="minorHAnsi" w:cstheme="minorHAnsi"/>
          <w:bCs/>
          <w:sz w:val="24"/>
          <w:szCs w:val="24"/>
          <w:lang w:eastAsia="el-GR"/>
        </w:rPr>
        <w:t xml:space="preserve">, </w:t>
      </w:r>
      <w:r w:rsidR="003A0A80" w:rsidRPr="003A0A80">
        <w:rPr>
          <w:rFonts w:asciiTheme="minorHAnsi" w:hAnsiTheme="minorHAnsi" w:cstheme="minorHAnsi"/>
          <w:bCs/>
          <w:sz w:val="24"/>
          <w:szCs w:val="24"/>
          <w:lang w:val="en-US" w:eastAsia="el-GR"/>
        </w:rPr>
        <w:t>USRDS</w:t>
      </w:r>
      <w:r w:rsidR="003A0A80" w:rsidRPr="003A0A80">
        <w:rPr>
          <w:rFonts w:asciiTheme="minorHAnsi" w:hAnsiTheme="minorHAnsi" w:cstheme="minorHAnsi"/>
          <w:bCs/>
          <w:sz w:val="24"/>
          <w:szCs w:val="24"/>
          <w:lang w:eastAsia="el-GR"/>
        </w:rPr>
        <w:t xml:space="preserve"> 2016).</w:t>
      </w:r>
    </w:p>
    <w:p w:rsidR="003A0A80" w:rsidRDefault="00440296" w:rsidP="003A0A80">
      <w:pPr>
        <w:spacing w:line="360" w:lineRule="auto"/>
        <w:jc w:val="both"/>
      </w:pPr>
      <w:r>
        <w:rPr>
          <w:sz w:val="24"/>
          <w:szCs w:val="24"/>
        </w:rPr>
        <w:t>.</w:t>
      </w:r>
      <w:r w:rsidRPr="00440296">
        <w:t xml:space="preserve"> </w:t>
      </w:r>
    </w:p>
    <w:p w:rsidR="003A0A80" w:rsidRDefault="00440296" w:rsidP="003A0A80">
      <w:pPr>
        <w:spacing w:line="360" w:lineRule="auto"/>
        <w:jc w:val="both"/>
        <w:rPr>
          <w:sz w:val="24"/>
          <w:szCs w:val="24"/>
        </w:rPr>
      </w:pPr>
      <w:r w:rsidRPr="00440296">
        <w:rPr>
          <w:sz w:val="24"/>
          <w:szCs w:val="24"/>
        </w:rPr>
        <w:t>Το 2013-2014, ορισμένες ομάδες ασθενών εμφάνιζαν υψηλότερο κίνδυνο νοσηλείας</w:t>
      </w:r>
      <w:r>
        <w:rPr>
          <w:sz w:val="24"/>
          <w:szCs w:val="24"/>
        </w:rPr>
        <w:t>.</w:t>
      </w:r>
      <w:r w:rsidRPr="00440296">
        <w:t xml:space="preserve"> </w:t>
      </w:r>
      <w:r w:rsidR="0066725A">
        <w:t xml:space="preserve"> </w:t>
      </w:r>
      <w:r w:rsidR="0066725A" w:rsidRPr="00282B91">
        <w:rPr>
          <w:sz w:val="24"/>
          <w:szCs w:val="24"/>
        </w:rPr>
        <w:t>Πιο συγκεκριμένα,</w:t>
      </w:r>
      <w:r w:rsidR="0066725A">
        <w:t xml:space="preserve"> </w:t>
      </w:r>
      <w:r w:rsidR="0066725A">
        <w:rPr>
          <w:sz w:val="24"/>
          <w:szCs w:val="24"/>
        </w:rPr>
        <w:t>τ</w:t>
      </w:r>
      <w:r w:rsidRPr="00440296">
        <w:rPr>
          <w:sz w:val="24"/>
          <w:szCs w:val="24"/>
        </w:rPr>
        <w:t xml:space="preserve">α ποσοστά νοσηλείας ήταν 17% υψηλότερα για </w:t>
      </w:r>
      <w:r w:rsidR="00D745C2">
        <w:rPr>
          <w:sz w:val="24"/>
          <w:szCs w:val="24"/>
        </w:rPr>
        <w:t>τις γυναίκες</w:t>
      </w:r>
      <w:r w:rsidRPr="00440296">
        <w:rPr>
          <w:sz w:val="24"/>
          <w:szCs w:val="24"/>
        </w:rPr>
        <w:t>. Οι λευκοί νοσηλεύονταν</w:t>
      </w:r>
      <w:r w:rsidR="00D745C2" w:rsidRPr="00D745C2">
        <w:rPr>
          <w:sz w:val="24"/>
          <w:szCs w:val="24"/>
        </w:rPr>
        <w:t xml:space="preserve"> </w:t>
      </w:r>
      <w:r w:rsidR="00D745C2">
        <w:rPr>
          <w:sz w:val="24"/>
          <w:szCs w:val="24"/>
        </w:rPr>
        <w:t>κατά περίπου 33%</w:t>
      </w:r>
      <w:r w:rsidRPr="00440296">
        <w:rPr>
          <w:sz w:val="24"/>
          <w:szCs w:val="24"/>
        </w:rPr>
        <w:t xml:space="preserve"> συχνότερα από εκείνους άλλων φυλών </w:t>
      </w:r>
      <w:r w:rsidR="00D745C2">
        <w:rPr>
          <w:sz w:val="24"/>
          <w:szCs w:val="24"/>
        </w:rPr>
        <w:t>ενώ</w:t>
      </w:r>
      <w:r w:rsidRPr="00440296">
        <w:rPr>
          <w:sz w:val="24"/>
          <w:szCs w:val="24"/>
        </w:rPr>
        <w:t xml:space="preserve"> οι μαύροι σχεδόν κατά 31%</w:t>
      </w:r>
      <w:r w:rsidR="00D745C2">
        <w:rPr>
          <w:sz w:val="24"/>
          <w:szCs w:val="24"/>
        </w:rPr>
        <w:t xml:space="preserve"> συχνότερα.</w:t>
      </w:r>
      <w:r w:rsidR="00D745C2" w:rsidRPr="00D745C2">
        <w:t xml:space="preserve"> </w:t>
      </w:r>
      <w:r w:rsidR="00D745C2">
        <w:rPr>
          <w:sz w:val="24"/>
          <w:szCs w:val="24"/>
        </w:rPr>
        <w:t xml:space="preserve">Οι ασθενείς </w:t>
      </w:r>
      <w:r w:rsidR="00D745C2" w:rsidRPr="00D745C2">
        <w:rPr>
          <w:sz w:val="24"/>
          <w:szCs w:val="24"/>
        </w:rPr>
        <w:t xml:space="preserve">με </w:t>
      </w:r>
      <w:r w:rsidR="00D745C2">
        <w:rPr>
          <w:sz w:val="24"/>
          <w:szCs w:val="24"/>
        </w:rPr>
        <w:t xml:space="preserve">σακχαρώδη </w:t>
      </w:r>
      <w:r w:rsidR="00D745C2" w:rsidRPr="00D745C2">
        <w:rPr>
          <w:sz w:val="24"/>
          <w:szCs w:val="24"/>
        </w:rPr>
        <w:t>διαβήτη είχαν 10% περισ</w:t>
      </w:r>
      <w:r w:rsidR="00D745C2">
        <w:rPr>
          <w:sz w:val="24"/>
          <w:szCs w:val="24"/>
        </w:rPr>
        <w:t>σότερες πιθανότητες νοσηλείας στο</w:t>
      </w:r>
      <w:r w:rsidR="00D745C2" w:rsidRPr="00D745C2">
        <w:rPr>
          <w:sz w:val="24"/>
          <w:szCs w:val="24"/>
        </w:rPr>
        <w:t xml:space="preserve"> νοσοκομ</w:t>
      </w:r>
      <w:r w:rsidR="00D745C2">
        <w:rPr>
          <w:sz w:val="24"/>
          <w:szCs w:val="24"/>
        </w:rPr>
        <w:t xml:space="preserve">είο από τον συνολικό μέσο </w:t>
      </w:r>
      <w:r w:rsidR="00D745C2" w:rsidRPr="003A0A80">
        <w:rPr>
          <w:sz w:val="24"/>
          <w:szCs w:val="24"/>
        </w:rPr>
        <w:t>όρο</w:t>
      </w:r>
      <w:r w:rsidR="003A0A80" w:rsidRPr="003A0A80">
        <w:rPr>
          <w:sz w:val="24"/>
          <w:szCs w:val="24"/>
        </w:rPr>
        <w:t xml:space="preserve"> </w:t>
      </w:r>
      <w:r w:rsidR="003A0A80" w:rsidRPr="003A0A80">
        <w:rPr>
          <w:rFonts w:asciiTheme="minorHAnsi" w:hAnsiTheme="minorHAnsi" w:cstheme="minorHAnsi"/>
          <w:sz w:val="24"/>
          <w:szCs w:val="24"/>
        </w:rPr>
        <w:t>(</w:t>
      </w:r>
      <w:r w:rsidR="003A0A80" w:rsidRPr="003A0A80">
        <w:rPr>
          <w:rFonts w:asciiTheme="minorHAnsi" w:hAnsiTheme="minorHAnsi" w:cstheme="minorHAnsi"/>
          <w:bCs/>
          <w:sz w:val="24"/>
          <w:szCs w:val="24"/>
          <w:lang w:eastAsia="el-GR"/>
        </w:rPr>
        <w:t>U</w:t>
      </w:r>
      <w:r w:rsidR="003A0A80" w:rsidRPr="003A0A80">
        <w:rPr>
          <w:rFonts w:asciiTheme="minorHAnsi" w:hAnsiTheme="minorHAnsi" w:cstheme="minorHAnsi"/>
          <w:bCs/>
          <w:sz w:val="24"/>
          <w:szCs w:val="24"/>
          <w:lang w:val="en-US" w:eastAsia="el-GR"/>
        </w:rPr>
        <w:t>nited</w:t>
      </w:r>
      <w:r w:rsidR="003A0A80" w:rsidRPr="003A0A80">
        <w:rPr>
          <w:rFonts w:asciiTheme="minorHAnsi" w:hAnsiTheme="minorHAnsi" w:cstheme="minorHAnsi"/>
          <w:bCs/>
          <w:sz w:val="24"/>
          <w:szCs w:val="24"/>
          <w:lang w:eastAsia="el-GR"/>
        </w:rPr>
        <w:t xml:space="preserve"> S</w:t>
      </w:r>
      <w:r w:rsidR="003A0A80" w:rsidRPr="003A0A80">
        <w:rPr>
          <w:rFonts w:asciiTheme="minorHAnsi" w:hAnsiTheme="minorHAnsi" w:cstheme="minorHAnsi"/>
          <w:bCs/>
          <w:sz w:val="24"/>
          <w:szCs w:val="24"/>
          <w:lang w:val="en-US" w:eastAsia="el-GR"/>
        </w:rPr>
        <w:t>tates</w:t>
      </w:r>
      <w:r w:rsidR="003A0A80" w:rsidRPr="003A0A80">
        <w:rPr>
          <w:rFonts w:asciiTheme="minorHAnsi" w:hAnsiTheme="minorHAnsi" w:cstheme="minorHAnsi"/>
          <w:bCs/>
          <w:sz w:val="24"/>
          <w:szCs w:val="24"/>
          <w:lang w:eastAsia="el-GR"/>
        </w:rPr>
        <w:t xml:space="preserve"> R</w:t>
      </w:r>
      <w:r w:rsidR="003A0A80" w:rsidRPr="003A0A80">
        <w:rPr>
          <w:rFonts w:asciiTheme="minorHAnsi" w:hAnsiTheme="minorHAnsi" w:cstheme="minorHAnsi"/>
          <w:bCs/>
          <w:sz w:val="24"/>
          <w:szCs w:val="24"/>
          <w:lang w:val="en-US" w:eastAsia="el-GR"/>
        </w:rPr>
        <w:t>enal</w:t>
      </w:r>
      <w:r w:rsidR="003A0A80" w:rsidRPr="003A0A80">
        <w:rPr>
          <w:rFonts w:asciiTheme="minorHAnsi" w:hAnsiTheme="minorHAnsi" w:cstheme="minorHAnsi"/>
          <w:bCs/>
          <w:sz w:val="24"/>
          <w:szCs w:val="24"/>
          <w:lang w:eastAsia="el-GR"/>
        </w:rPr>
        <w:t xml:space="preserve"> D</w:t>
      </w:r>
      <w:r w:rsidR="003A0A80" w:rsidRPr="003A0A80">
        <w:rPr>
          <w:rFonts w:asciiTheme="minorHAnsi" w:hAnsiTheme="minorHAnsi" w:cstheme="minorHAnsi"/>
          <w:bCs/>
          <w:sz w:val="24"/>
          <w:szCs w:val="24"/>
          <w:lang w:val="en-US" w:eastAsia="el-GR"/>
        </w:rPr>
        <w:t>ata</w:t>
      </w:r>
      <w:r w:rsidR="003A0A80" w:rsidRPr="003A0A80">
        <w:rPr>
          <w:rFonts w:asciiTheme="minorHAnsi" w:hAnsiTheme="minorHAnsi" w:cstheme="minorHAnsi"/>
          <w:bCs/>
          <w:sz w:val="24"/>
          <w:szCs w:val="24"/>
          <w:lang w:eastAsia="el-GR"/>
        </w:rPr>
        <w:t xml:space="preserve"> S</w:t>
      </w:r>
      <w:r w:rsidR="003A0A80" w:rsidRPr="003A0A80">
        <w:rPr>
          <w:rFonts w:asciiTheme="minorHAnsi" w:hAnsiTheme="minorHAnsi" w:cstheme="minorHAnsi"/>
          <w:bCs/>
          <w:sz w:val="24"/>
          <w:szCs w:val="24"/>
          <w:lang w:val="en-US" w:eastAsia="el-GR"/>
        </w:rPr>
        <w:t>ystem</w:t>
      </w:r>
      <w:r w:rsidR="003A0A80" w:rsidRPr="003A0A80">
        <w:rPr>
          <w:rFonts w:asciiTheme="minorHAnsi" w:hAnsiTheme="minorHAnsi" w:cstheme="minorHAnsi"/>
          <w:bCs/>
          <w:sz w:val="24"/>
          <w:szCs w:val="24"/>
          <w:lang w:eastAsia="el-GR"/>
        </w:rPr>
        <w:t xml:space="preserve">, </w:t>
      </w:r>
      <w:r w:rsidR="003A0A80" w:rsidRPr="003A0A80">
        <w:rPr>
          <w:rFonts w:asciiTheme="minorHAnsi" w:hAnsiTheme="minorHAnsi" w:cstheme="minorHAnsi"/>
          <w:bCs/>
          <w:sz w:val="24"/>
          <w:szCs w:val="24"/>
          <w:lang w:val="en-US" w:eastAsia="el-GR"/>
        </w:rPr>
        <w:t>USRDS</w:t>
      </w:r>
      <w:r w:rsidR="003A0A80" w:rsidRPr="003A0A80">
        <w:rPr>
          <w:rFonts w:asciiTheme="minorHAnsi" w:hAnsiTheme="minorHAnsi" w:cstheme="minorHAnsi"/>
          <w:bCs/>
          <w:sz w:val="24"/>
          <w:szCs w:val="24"/>
          <w:lang w:eastAsia="el-GR"/>
        </w:rPr>
        <w:t xml:space="preserve"> 2016).</w:t>
      </w:r>
    </w:p>
    <w:p w:rsidR="003A0A80" w:rsidRDefault="0066725A" w:rsidP="003A0A80">
      <w:pPr>
        <w:spacing w:line="360" w:lineRule="auto"/>
        <w:jc w:val="both"/>
        <w:rPr>
          <w:sz w:val="24"/>
          <w:szCs w:val="24"/>
        </w:rPr>
      </w:pPr>
      <w:r>
        <w:rPr>
          <w:sz w:val="24"/>
          <w:szCs w:val="24"/>
        </w:rPr>
        <w:t>Το 2014 το 80% των ασθενών υ</w:t>
      </w:r>
      <w:r w:rsidR="00D745C2">
        <w:rPr>
          <w:sz w:val="24"/>
          <w:szCs w:val="24"/>
        </w:rPr>
        <w:t>ποβάλλονταν σε αιμοκάθαρση μέσω κεντρικού φλεβικού καθετήρα κατά την ένταξη στην αιμοκάθαρση.</w:t>
      </w:r>
      <w:r w:rsidR="00D745C2" w:rsidRPr="00D745C2">
        <w:t xml:space="preserve"> </w:t>
      </w:r>
      <w:r w:rsidR="00D745C2">
        <w:rPr>
          <w:sz w:val="24"/>
          <w:szCs w:val="24"/>
        </w:rPr>
        <w:t>Η χρήση της αρτηριοφλεβικής αναστόμωσης</w:t>
      </w:r>
      <w:r w:rsidR="00D745C2" w:rsidRPr="00D745C2">
        <w:rPr>
          <w:sz w:val="24"/>
          <w:szCs w:val="24"/>
        </w:rPr>
        <w:t xml:space="preserve"> κατά την έναρξη της αιμοκάθαρσης αυξήθηκε από 12% </w:t>
      </w:r>
      <w:r w:rsidR="00D745C2" w:rsidRPr="00BA566F">
        <w:rPr>
          <w:sz w:val="24"/>
          <w:szCs w:val="24"/>
        </w:rPr>
        <w:t>σε 16,9%</w:t>
      </w:r>
      <w:r w:rsidR="00D745C2" w:rsidRPr="00D745C2">
        <w:rPr>
          <w:sz w:val="24"/>
          <w:szCs w:val="24"/>
        </w:rPr>
        <w:t xml:space="preserve"> κατά την περίοδο 2005-2014</w:t>
      </w:r>
      <w:r w:rsidR="00D745C2">
        <w:rPr>
          <w:sz w:val="24"/>
          <w:szCs w:val="24"/>
        </w:rPr>
        <w:t>.</w:t>
      </w:r>
      <w:r w:rsidR="00D745C2" w:rsidRPr="00D745C2">
        <w:t xml:space="preserve"> </w:t>
      </w:r>
      <w:r w:rsidR="00D745C2" w:rsidRPr="00D745C2">
        <w:rPr>
          <w:sz w:val="24"/>
          <w:szCs w:val="24"/>
        </w:rPr>
        <w:t xml:space="preserve">Το ποσοστό </w:t>
      </w:r>
      <w:r>
        <w:rPr>
          <w:sz w:val="24"/>
          <w:szCs w:val="24"/>
        </w:rPr>
        <w:t>των ασθενών που χρησιμοποιού</w:t>
      </w:r>
      <w:r w:rsidR="00322FD5">
        <w:rPr>
          <w:sz w:val="24"/>
          <w:szCs w:val="24"/>
        </w:rPr>
        <w:t>σε</w:t>
      </w:r>
      <w:r w:rsidR="00AD24DA">
        <w:rPr>
          <w:sz w:val="24"/>
          <w:szCs w:val="24"/>
        </w:rPr>
        <w:t xml:space="preserve"> </w:t>
      </w:r>
      <w:r w:rsidR="00AD24DA" w:rsidRPr="00D745C2">
        <w:rPr>
          <w:sz w:val="24"/>
          <w:szCs w:val="24"/>
        </w:rPr>
        <w:t>αποκλειστικά</w:t>
      </w:r>
      <w:r w:rsidR="00D745C2" w:rsidRPr="00D745C2">
        <w:rPr>
          <w:sz w:val="24"/>
          <w:szCs w:val="24"/>
        </w:rPr>
        <w:t xml:space="preserve"> </w:t>
      </w:r>
      <w:r w:rsidR="00AD24DA">
        <w:rPr>
          <w:sz w:val="24"/>
          <w:szCs w:val="24"/>
        </w:rPr>
        <w:t>αρτηριοφλεβική αναστόμωση</w:t>
      </w:r>
      <w:r w:rsidR="00AD24DA" w:rsidRPr="00D745C2">
        <w:rPr>
          <w:sz w:val="24"/>
          <w:szCs w:val="24"/>
        </w:rPr>
        <w:t xml:space="preserve"> </w:t>
      </w:r>
      <w:r w:rsidR="00AD24DA">
        <w:rPr>
          <w:sz w:val="24"/>
          <w:szCs w:val="24"/>
        </w:rPr>
        <w:t>στο τέλος του πρώτου έτους από την ένταξη στην</w:t>
      </w:r>
      <w:r w:rsidR="00D745C2" w:rsidRPr="00D745C2">
        <w:rPr>
          <w:sz w:val="24"/>
          <w:szCs w:val="24"/>
        </w:rPr>
        <w:t xml:space="preserve"> αιμοκάθαρση ήταν 65%, από 17% κατά την έναρξη</w:t>
      </w:r>
      <w:r w:rsidR="00AD24DA">
        <w:rPr>
          <w:sz w:val="24"/>
          <w:szCs w:val="24"/>
        </w:rPr>
        <w:t>.</w:t>
      </w:r>
      <w:r w:rsidR="00AD24DA" w:rsidRPr="00AD24DA">
        <w:t xml:space="preserve"> </w:t>
      </w:r>
      <w:r w:rsidR="00AD24DA">
        <w:rPr>
          <w:sz w:val="24"/>
          <w:szCs w:val="24"/>
        </w:rPr>
        <w:t>Το ποσοστό</w:t>
      </w:r>
      <w:r w:rsidR="00AD24DA" w:rsidRPr="00AD24DA">
        <w:rPr>
          <w:sz w:val="24"/>
          <w:szCs w:val="24"/>
        </w:rPr>
        <w:t xml:space="preserve"> των ασθενών </w:t>
      </w:r>
      <w:r w:rsidR="00322FD5">
        <w:rPr>
          <w:sz w:val="24"/>
          <w:szCs w:val="24"/>
        </w:rPr>
        <w:t>που χρησιμοποιούσε</w:t>
      </w:r>
      <w:r w:rsidR="00AD24DA">
        <w:rPr>
          <w:sz w:val="24"/>
          <w:szCs w:val="24"/>
        </w:rPr>
        <w:t xml:space="preserve"> </w:t>
      </w:r>
      <w:r w:rsidR="00AD24DA" w:rsidRPr="00AD24DA">
        <w:rPr>
          <w:sz w:val="24"/>
          <w:szCs w:val="24"/>
        </w:rPr>
        <w:t xml:space="preserve">μόσχευμα </w:t>
      </w:r>
      <w:r w:rsidR="00AD24DA">
        <w:rPr>
          <w:sz w:val="24"/>
          <w:szCs w:val="24"/>
        </w:rPr>
        <w:t>για αγγειακή προσπέλα</w:t>
      </w:r>
      <w:r w:rsidR="00AD24DA" w:rsidRPr="00AD24DA">
        <w:rPr>
          <w:sz w:val="24"/>
          <w:szCs w:val="24"/>
        </w:rPr>
        <w:t>ση ήταν 3% κατά την ένα</w:t>
      </w:r>
      <w:r w:rsidR="00AD24DA">
        <w:rPr>
          <w:sz w:val="24"/>
          <w:szCs w:val="24"/>
        </w:rPr>
        <w:t>ρξη της αιμοκάθαρσης και 15% στο τέλος του πρώτου</w:t>
      </w:r>
      <w:r w:rsidR="00AD24DA" w:rsidRPr="00AD24DA">
        <w:rPr>
          <w:sz w:val="24"/>
          <w:szCs w:val="24"/>
        </w:rPr>
        <w:t xml:space="preserve"> έτο</w:t>
      </w:r>
      <w:r w:rsidR="00AD24DA">
        <w:rPr>
          <w:sz w:val="24"/>
          <w:szCs w:val="24"/>
        </w:rPr>
        <w:t>υ</w:t>
      </w:r>
      <w:r w:rsidR="00AD24DA" w:rsidRPr="00AD24DA">
        <w:rPr>
          <w:sz w:val="24"/>
          <w:szCs w:val="24"/>
        </w:rPr>
        <w:t xml:space="preserve">ς </w:t>
      </w:r>
      <w:r w:rsidR="00AD24DA">
        <w:rPr>
          <w:sz w:val="24"/>
          <w:szCs w:val="24"/>
        </w:rPr>
        <w:t>από την έντα</w:t>
      </w:r>
      <w:r w:rsidR="00AD24DA" w:rsidRPr="00AD24DA">
        <w:rPr>
          <w:sz w:val="24"/>
          <w:szCs w:val="24"/>
        </w:rPr>
        <w:t>ξη</w:t>
      </w:r>
      <w:r w:rsidR="003A0A80" w:rsidRPr="003A0A80">
        <w:rPr>
          <w:rFonts w:asciiTheme="minorHAnsi" w:hAnsiTheme="minorHAnsi" w:cstheme="minorHAnsi"/>
        </w:rPr>
        <w:t xml:space="preserve"> </w:t>
      </w:r>
      <w:r w:rsidR="003A0A80" w:rsidRPr="008D79C2">
        <w:rPr>
          <w:rFonts w:asciiTheme="minorHAnsi" w:hAnsiTheme="minorHAnsi" w:cstheme="minorHAnsi"/>
        </w:rPr>
        <w:t>(</w:t>
      </w:r>
      <w:r w:rsidR="003A0A80" w:rsidRPr="003A0A80">
        <w:rPr>
          <w:rFonts w:asciiTheme="minorHAnsi" w:hAnsiTheme="minorHAnsi" w:cstheme="minorHAnsi"/>
          <w:bCs/>
          <w:sz w:val="24"/>
          <w:szCs w:val="24"/>
          <w:lang w:eastAsia="el-GR"/>
        </w:rPr>
        <w:t>U</w:t>
      </w:r>
      <w:r w:rsidR="003A0A80" w:rsidRPr="003A0A80">
        <w:rPr>
          <w:rFonts w:asciiTheme="minorHAnsi" w:hAnsiTheme="minorHAnsi" w:cstheme="minorHAnsi"/>
          <w:bCs/>
          <w:sz w:val="24"/>
          <w:szCs w:val="24"/>
          <w:lang w:val="en-US" w:eastAsia="el-GR"/>
        </w:rPr>
        <w:t>nited</w:t>
      </w:r>
      <w:r w:rsidR="003A0A80" w:rsidRPr="003A0A80">
        <w:rPr>
          <w:rFonts w:asciiTheme="minorHAnsi" w:hAnsiTheme="minorHAnsi" w:cstheme="minorHAnsi"/>
          <w:bCs/>
          <w:sz w:val="24"/>
          <w:szCs w:val="24"/>
          <w:lang w:eastAsia="el-GR"/>
        </w:rPr>
        <w:t xml:space="preserve"> S</w:t>
      </w:r>
      <w:r w:rsidR="003A0A80" w:rsidRPr="003A0A80">
        <w:rPr>
          <w:rFonts w:asciiTheme="minorHAnsi" w:hAnsiTheme="minorHAnsi" w:cstheme="minorHAnsi"/>
          <w:bCs/>
          <w:sz w:val="24"/>
          <w:szCs w:val="24"/>
          <w:lang w:val="en-US" w:eastAsia="el-GR"/>
        </w:rPr>
        <w:t>tates</w:t>
      </w:r>
      <w:r w:rsidR="003A0A80" w:rsidRPr="003A0A80">
        <w:rPr>
          <w:rFonts w:asciiTheme="minorHAnsi" w:hAnsiTheme="minorHAnsi" w:cstheme="minorHAnsi"/>
          <w:bCs/>
          <w:sz w:val="24"/>
          <w:szCs w:val="24"/>
          <w:lang w:eastAsia="el-GR"/>
        </w:rPr>
        <w:t xml:space="preserve"> R</w:t>
      </w:r>
      <w:r w:rsidR="003A0A80" w:rsidRPr="003A0A80">
        <w:rPr>
          <w:rFonts w:asciiTheme="minorHAnsi" w:hAnsiTheme="minorHAnsi" w:cstheme="minorHAnsi"/>
          <w:bCs/>
          <w:sz w:val="24"/>
          <w:szCs w:val="24"/>
          <w:lang w:val="en-US" w:eastAsia="el-GR"/>
        </w:rPr>
        <w:t>enal</w:t>
      </w:r>
      <w:r w:rsidR="003A0A80" w:rsidRPr="003A0A80">
        <w:rPr>
          <w:rFonts w:asciiTheme="minorHAnsi" w:hAnsiTheme="minorHAnsi" w:cstheme="minorHAnsi"/>
          <w:bCs/>
          <w:sz w:val="24"/>
          <w:szCs w:val="24"/>
          <w:lang w:eastAsia="el-GR"/>
        </w:rPr>
        <w:t xml:space="preserve"> D</w:t>
      </w:r>
      <w:r w:rsidR="003A0A80" w:rsidRPr="003A0A80">
        <w:rPr>
          <w:rFonts w:asciiTheme="minorHAnsi" w:hAnsiTheme="minorHAnsi" w:cstheme="minorHAnsi"/>
          <w:bCs/>
          <w:sz w:val="24"/>
          <w:szCs w:val="24"/>
          <w:lang w:val="en-US" w:eastAsia="el-GR"/>
        </w:rPr>
        <w:t>ata</w:t>
      </w:r>
      <w:r w:rsidR="003A0A80" w:rsidRPr="003A0A80">
        <w:rPr>
          <w:rFonts w:asciiTheme="minorHAnsi" w:hAnsiTheme="minorHAnsi" w:cstheme="minorHAnsi"/>
          <w:bCs/>
          <w:sz w:val="24"/>
          <w:szCs w:val="24"/>
          <w:lang w:eastAsia="el-GR"/>
        </w:rPr>
        <w:t xml:space="preserve"> S</w:t>
      </w:r>
      <w:r w:rsidR="003A0A80" w:rsidRPr="003A0A80">
        <w:rPr>
          <w:rFonts w:asciiTheme="minorHAnsi" w:hAnsiTheme="minorHAnsi" w:cstheme="minorHAnsi"/>
          <w:bCs/>
          <w:sz w:val="24"/>
          <w:szCs w:val="24"/>
          <w:lang w:val="en-US" w:eastAsia="el-GR"/>
        </w:rPr>
        <w:t>ystem</w:t>
      </w:r>
      <w:r w:rsidR="003A0A80" w:rsidRPr="003A0A80">
        <w:rPr>
          <w:rFonts w:asciiTheme="minorHAnsi" w:hAnsiTheme="minorHAnsi" w:cstheme="minorHAnsi"/>
          <w:bCs/>
          <w:sz w:val="24"/>
          <w:szCs w:val="24"/>
          <w:lang w:eastAsia="el-GR"/>
        </w:rPr>
        <w:t xml:space="preserve">, </w:t>
      </w:r>
      <w:r w:rsidR="003A0A80" w:rsidRPr="003A0A80">
        <w:rPr>
          <w:rFonts w:asciiTheme="minorHAnsi" w:hAnsiTheme="minorHAnsi" w:cstheme="minorHAnsi"/>
          <w:bCs/>
          <w:sz w:val="24"/>
          <w:szCs w:val="24"/>
          <w:lang w:val="en-US" w:eastAsia="el-GR"/>
        </w:rPr>
        <w:t>USRDS</w:t>
      </w:r>
      <w:r w:rsidR="003A0A80" w:rsidRPr="003A0A80">
        <w:rPr>
          <w:rFonts w:asciiTheme="minorHAnsi" w:hAnsiTheme="minorHAnsi" w:cstheme="minorHAnsi"/>
          <w:bCs/>
          <w:sz w:val="24"/>
          <w:szCs w:val="24"/>
          <w:lang w:eastAsia="el-GR"/>
        </w:rPr>
        <w:t xml:space="preserve"> 2016).</w:t>
      </w:r>
    </w:p>
    <w:p w:rsidR="003A0A80" w:rsidRPr="003A0A80" w:rsidRDefault="00D47A90" w:rsidP="003A0A80">
      <w:pPr>
        <w:spacing w:line="360" w:lineRule="auto"/>
        <w:jc w:val="both"/>
        <w:rPr>
          <w:sz w:val="24"/>
          <w:szCs w:val="24"/>
        </w:rPr>
      </w:pPr>
      <w:r w:rsidRPr="00D47A90">
        <w:rPr>
          <w:sz w:val="24"/>
          <w:szCs w:val="24"/>
        </w:rPr>
        <w:t>Από το 2001</w:t>
      </w:r>
      <w:r>
        <w:rPr>
          <w:sz w:val="24"/>
          <w:szCs w:val="24"/>
        </w:rPr>
        <w:t xml:space="preserve"> έως το 2014, ο επιπολασμός της </w:t>
      </w:r>
      <w:r w:rsidR="00AF2663">
        <w:rPr>
          <w:sz w:val="24"/>
          <w:szCs w:val="24"/>
        </w:rPr>
        <w:t>ΤΣ</w:t>
      </w:r>
      <w:r>
        <w:rPr>
          <w:sz w:val="24"/>
          <w:szCs w:val="24"/>
        </w:rPr>
        <w:t xml:space="preserve">ΧΝΝ </w:t>
      </w:r>
      <w:r w:rsidRPr="00D47A90">
        <w:rPr>
          <w:sz w:val="24"/>
          <w:szCs w:val="24"/>
        </w:rPr>
        <w:t>αυξήθ</w:t>
      </w:r>
      <w:r>
        <w:rPr>
          <w:sz w:val="24"/>
          <w:szCs w:val="24"/>
        </w:rPr>
        <w:t>ηκε σταθερά σε όλες τις χώρες</w:t>
      </w:r>
      <w:r w:rsidRPr="00D47A90">
        <w:rPr>
          <w:sz w:val="24"/>
          <w:szCs w:val="24"/>
        </w:rPr>
        <w:t xml:space="preserve">. Οι μεγαλύτερες αναλογικές αυξήσεις του επιπολασμού </w:t>
      </w:r>
      <w:r>
        <w:rPr>
          <w:sz w:val="24"/>
          <w:szCs w:val="24"/>
        </w:rPr>
        <w:t xml:space="preserve">της ΤΣΧΝΝ </w:t>
      </w:r>
      <w:r w:rsidRPr="00D47A90">
        <w:rPr>
          <w:sz w:val="24"/>
          <w:szCs w:val="24"/>
        </w:rPr>
        <w:t>ήταν στις Φ</w:t>
      </w:r>
      <w:r w:rsidR="00A04766">
        <w:rPr>
          <w:sz w:val="24"/>
          <w:szCs w:val="24"/>
        </w:rPr>
        <w:t xml:space="preserve">ιλιππίνες, την Ταϊλάνδη, τη Μαλαισία, τη Δημοκρατία της Κορέας, το Μπαγκλαντές </w:t>
      </w:r>
      <w:r w:rsidRPr="00D47A90">
        <w:rPr>
          <w:sz w:val="24"/>
          <w:szCs w:val="24"/>
        </w:rPr>
        <w:t xml:space="preserve">και την περιοχή Jalisco του Μεξικού, κυμαινόμενες από 343% έως </w:t>
      </w:r>
      <w:r w:rsidRPr="003A0A80">
        <w:rPr>
          <w:sz w:val="24"/>
          <w:szCs w:val="24"/>
        </w:rPr>
        <w:t>1092</w:t>
      </w:r>
      <w:r w:rsidRPr="003A0A80">
        <w:rPr>
          <w:rFonts w:asciiTheme="minorHAnsi" w:hAnsiTheme="minorHAnsi" w:cstheme="minorHAnsi"/>
          <w:sz w:val="24"/>
          <w:szCs w:val="24"/>
        </w:rPr>
        <w:t>%</w:t>
      </w:r>
      <w:r w:rsidR="003A0A80" w:rsidRPr="003A0A80">
        <w:rPr>
          <w:rFonts w:asciiTheme="minorHAnsi" w:hAnsiTheme="minorHAnsi" w:cstheme="minorHAnsi"/>
          <w:sz w:val="24"/>
          <w:szCs w:val="24"/>
        </w:rPr>
        <w:t xml:space="preserve"> (</w:t>
      </w:r>
      <w:r w:rsidR="003A0A80" w:rsidRPr="003A0A80">
        <w:rPr>
          <w:rFonts w:asciiTheme="minorHAnsi" w:hAnsiTheme="minorHAnsi" w:cstheme="minorHAnsi"/>
          <w:bCs/>
          <w:sz w:val="24"/>
          <w:szCs w:val="24"/>
          <w:lang w:eastAsia="el-GR"/>
        </w:rPr>
        <w:t>U</w:t>
      </w:r>
      <w:r w:rsidR="003A0A80" w:rsidRPr="003A0A80">
        <w:rPr>
          <w:rFonts w:asciiTheme="minorHAnsi" w:hAnsiTheme="minorHAnsi" w:cstheme="minorHAnsi"/>
          <w:bCs/>
          <w:sz w:val="24"/>
          <w:szCs w:val="24"/>
          <w:lang w:val="en-US" w:eastAsia="el-GR"/>
        </w:rPr>
        <w:t>nited</w:t>
      </w:r>
      <w:r w:rsidR="003A0A80" w:rsidRPr="003A0A80">
        <w:rPr>
          <w:rFonts w:asciiTheme="minorHAnsi" w:hAnsiTheme="minorHAnsi" w:cstheme="minorHAnsi"/>
          <w:bCs/>
          <w:sz w:val="24"/>
          <w:szCs w:val="24"/>
          <w:lang w:eastAsia="el-GR"/>
        </w:rPr>
        <w:t xml:space="preserve"> S</w:t>
      </w:r>
      <w:r w:rsidR="003A0A80" w:rsidRPr="003A0A80">
        <w:rPr>
          <w:rFonts w:asciiTheme="minorHAnsi" w:hAnsiTheme="minorHAnsi" w:cstheme="minorHAnsi"/>
          <w:bCs/>
          <w:sz w:val="24"/>
          <w:szCs w:val="24"/>
          <w:lang w:val="en-US" w:eastAsia="el-GR"/>
        </w:rPr>
        <w:t>tates</w:t>
      </w:r>
      <w:r w:rsidR="003A0A80" w:rsidRPr="003A0A80">
        <w:rPr>
          <w:rFonts w:asciiTheme="minorHAnsi" w:hAnsiTheme="minorHAnsi" w:cstheme="minorHAnsi"/>
          <w:bCs/>
          <w:sz w:val="24"/>
          <w:szCs w:val="24"/>
          <w:lang w:eastAsia="el-GR"/>
        </w:rPr>
        <w:t xml:space="preserve"> R</w:t>
      </w:r>
      <w:r w:rsidR="003A0A80" w:rsidRPr="003A0A80">
        <w:rPr>
          <w:rFonts w:asciiTheme="minorHAnsi" w:hAnsiTheme="minorHAnsi" w:cstheme="minorHAnsi"/>
          <w:bCs/>
          <w:sz w:val="24"/>
          <w:szCs w:val="24"/>
          <w:lang w:val="en-US" w:eastAsia="el-GR"/>
        </w:rPr>
        <w:t>enal</w:t>
      </w:r>
      <w:r w:rsidR="003A0A80" w:rsidRPr="003A0A80">
        <w:rPr>
          <w:rFonts w:asciiTheme="minorHAnsi" w:hAnsiTheme="minorHAnsi" w:cstheme="minorHAnsi"/>
          <w:bCs/>
          <w:sz w:val="24"/>
          <w:szCs w:val="24"/>
          <w:lang w:eastAsia="el-GR"/>
        </w:rPr>
        <w:t xml:space="preserve"> D</w:t>
      </w:r>
      <w:r w:rsidR="003A0A80" w:rsidRPr="003A0A80">
        <w:rPr>
          <w:rFonts w:asciiTheme="minorHAnsi" w:hAnsiTheme="minorHAnsi" w:cstheme="minorHAnsi"/>
          <w:bCs/>
          <w:sz w:val="24"/>
          <w:szCs w:val="24"/>
          <w:lang w:val="en-US" w:eastAsia="el-GR"/>
        </w:rPr>
        <w:t>ata</w:t>
      </w:r>
      <w:r w:rsidR="003A0A80" w:rsidRPr="003A0A80">
        <w:rPr>
          <w:rFonts w:asciiTheme="minorHAnsi" w:hAnsiTheme="minorHAnsi" w:cstheme="minorHAnsi"/>
          <w:bCs/>
          <w:sz w:val="24"/>
          <w:szCs w:val="24"/>
          <w:lang w:eastAsia="el-GR"/>
        </w:rPr>
        <w:t xml:space="preserve"> S</w:t>
      </w:r>
      <w:r w:rsidR="003A0A80" w:rsidRPr="003A0A80">
        <w:rPr>
          <w:rFonts w:asciiTheme="minorHAnsi" w:hAnsiTheme="minorHAnsi" w:cstheme="minorHAnsi"/>
          <w:bCs/>
          <w:sz w:val="24"/>
          <w:szCs w:val="24"/>
          <w:lang w:val="en-US" w:eastAsia="el-GR"/>
        </w:rPr>
        <w:t>ystem</w:t>
      </w:r>
      <w:r w:rsidR="003A0A80" w:rsidRPr="003A0A80">
        <w:rPr>
          <w:rFonts w:asciiTheme="minorHAnsi" w:hAnsiTheme="minorHAnsi" w:cstheme="minorHAnsi"/>
          <w:bCs/>
          <w:sz w:val="24"/>
          <w:szCs w:val="24"/>
          <w:lang w:eastAsia="el-GR"/>
        </w:rPr>
        <w:t xml:space="preserve">, </w:t>
      </w:r>
      <w:r w:rsidR="003A0A80" w:rsidRPr="003A0A80">
        <w:rPr>
          <w:rFonts w:asciiTheme="minorHAnsi" w:hAnsiTheme="minorHAnsi" w:cstheme="minorHAnsi"/>
          <w:bCs/>
          <w:sz w:val="24"/>
          <w:szCs w:val="24"/>
          <w:lang w:val="en-US" w:eastAsia="el-GR"/>
        </w:rPr>
        <w:t>USRDS</w:t>
      </w:r>
      <w:r w:rsidR="003A0A80" w:rsidRPr="003A0A80">
        <w:rPr>
          <w:rFonts w:asciiTheme="minorHAnsi" w:hAnsiTheme="minorHAnsi" w:cstheme="minorHAnsi"/>
          <w:bCs/>
          <w:sz w:val="24"/>
          <w:szCs w:val="24"/>
          <w:lang w:eastAsia="el-GR"/>
        </w:rPr>
        <w:t xml:space="preserve"> 2016).</w:t>
      </w:r>
    </w:p>
    <w:p w:rsidR="00840DBA" w:rsidRPr="003A0A80" w:rsidRDefault="00A04766" w:rsidP="003A0A80">
      <w:pPr>
        <w:spacing w:line="360" w:lineRule="auto"/>
        <w:jc w:val="both"/>
        <w:rPr>
          <w:sz w:val="24"/>
          <w:szCs w:val="24"/>
        </w:rPr>
      </w:pPr>
      <w:r w:rsidRPr="00A04766">
        <w:rPr>
          <w:sz w:val="24"/>
          <w:szCs w:val="24"/>
        </w:rPr>
        <w:t xml:space="preserve">Το 2014, ο σακχαρώδης διαβήτης αναφέρθηκε ως η πρωταρχική αιτία </w:t>
      </w:r>
      <w:r>
        <w:rPr>
          <w:sz w:val="24"/>
          <w:szCs w:val="24"/>
        </w:rPr>
        <w:t xml:space="preserve">της ΤΣΧΝΝ </w:t>
      </w:r>
      <w:r w:rsidRPr="00A04766">
        <w:rPr>
          <w:sz w:val="24"/>
          <w:szCs w:val="24"/>
        </w:rPr>
        <w:t>για περισσότερο από το 50% των περιστατικών στη Σιγκαπούρη,</w:t>
      </w:r>
      <w:r w:rsidR="00322FD5">
        <w:rPr>
          <w:sz w:val="24"/>
          <w:szCs w:val="24"/>
        </w:rPr>
        <w:t xml:space="preserve"> τη Μαλαισία και την περιοχή</w:t>
      </w:r>
      <w:r w:rsidRPr="00A04766">
        <w:rPr>
          <w:sz w:val="24"/>
          <w:szCs w:val="24"/>
        </w:rPr>
        <w:t xml:space="preserve"> Jalisco στο Μεξικό</w:t>
      </w:r>
      <w:r>
        <w:rPr>
          <w:sz w:val="24"/>
          <w:szCs w:val="24"/>
        </w:rPr>
        <w:t>, αλλά για λιγότερο από το 20% σ</w:t>
      </w:r>
      <w:r w:rsidRPr="00A04766">
        <w:rPr>
          <w:sz w:val="24"/>
          <w:szCs w:val="24"/>
        </w:rPr>
        <w:t>το Βέλγιο, τη Νορβηγία, την Εσθονία, τη Ρουμανία και την Ισλανδία</w:t>
      </w:r>
      <w:r>
        <w:rPr>
          <w:sz w:val="24"/>
          <w:szCs w:val="24"/>
        </w:rPr>
        <w:t>.</w:t>
      </w:r>
      <w:r w:rsidRPr="00A04766">
        <w:t xml:space="preserve"> </w:t>
      </w:r>
      <w:r>
        <w:rPr>
          <w:sz w:val="24"/>
          <w:szCs w:val="24"/>
        </w:rPr>
        <w:t xml:space="preserve">Η μεγαλύτερη αύξηση της συχνότητας της ΤΣΧΝΝ που σχετίζεται με </w:t>
      </w:r>
      <w:r w:rsidRPr="00A04766">
        <w:rPr>
          <w:sz w:val="24"/>
          <w:szCs w:val="24"/>
        </w:rPr>
        <w:t>το</w:t>
      </w:r>
      <w:r>
        <w:rPr>
          <w:sz w:val="24"/>
          <w:szCs w:val="24"/>
        </w:rPr>
        <w:t>ν</w:t>
      </w:r>
      <w:r w:rsidRPr="00A04766">
        <w:rPr>
          <w:sz w:val="24"/>
          <w:szCs w:val="24"/>
        </w:rPr>
        <w:t xml:space="preserve"> </w:t>
      </w:r>
      <w:r>
        <w:rPr>
          <w:sz w:val="24"/>
          <w:szCs w:val="24"/>
        </w:rPr>
        <w:t xml:space="preserve">σακχαρώδη </w:t>
      </w:r>
      <w:r w:rsidRPr="00A04766">
        <w:rPr>
          <w:sz w:val="24"/>
          <w:szCs w:val="24"/>
        </w:rPr>
        <w:t>διαβήτη από το 2001/</w:t>
      </w:r>
      <w:r w:rsidR="0066725A">
        <w:rPr>
          <w:sz w:val="24"/>
          <w:szCs w:val="24"/>
        </w:rPr>
        <w:t>20</w:t>
      </w:r>
      <w:r w:rsidRPr="00A04766">
        <w:rPr>
          <w:sz w:val="24"/>
          <w:szCs w:val="24"/>
        </w:rPr>
        <w:t>02 έως το 2013/</w:t>
      </w:r>
      <w:r w:rsidR="0066725A">
        <w:rPr>
          <w:sz w:val="24"/>
          <w:szCs w:val="24"/>
        </w:rPr>
        <w:t>20</w:t>
      </w:r>
      <w:r w:rsidRPr="00A04766">
        <w:rPr>
          <w:sz w:val="24"/>
          <w:szCs w:val="24"/>
        </w:rPr>
        <w:t>14 σημε</w:t>
      </w:r>
      <w:r>
        <w:rPr>
          <w:sz w:val="24"/>
          <w:szCs w:val="24"/>
        </w:rPr>
        <w:t xml:space="preserve">ιώθηκε στην </w:t>
      </w:r>
      <w:r w:rsidRPr="00A04766">
        <w:rPr>
          <w:sz w:val="24"/>
          <w:szCs w:val="24"/>
        </w:rPr>
        <w:t xml:space="preserve">Ταϊλάνδη, </w:t>
      </w:r>
      <w:r w:rsidR="00CB0C59">
        <w:rPr>
          <w:sz w:val="24"/>
          <w:szCs w:val="24"/>
        </w:rPr>
        <w:t>σ</w:t>
      </w:r>
      <w:r w:rsidRPr="00A04766">
        <w:rPr>
          <w:sz w:val="24"/>
          <w:szCs w:val="24"/>
        </w:rPr>
        <w:t xml:space="preserve">τη Ρωσία, </w:t>
      </w:r>
      <w:r w:rsidR="00CB0C59">
        <w:rPr>
          <w:sz w:val="24"/>
          <w:szCs w:val="24"/>
        </w:rPr>
        <w:t>σ</w:t>
      </w:r>
      <w:r w:rsidRPr="00A04766">
        <w:rPr>
          <w:sz w:val="24"/>
          <w:szCs w:val="24"/>
        </w:rPr>
        <w:t xml:space="preserve">τις Φιλιππίνες, </w:t>
      </w:r>
      <w:r w:rsidR="00CB0C59">
        <w:rPr>
          <w:sz w:val="24"/>
          <w:szCs w:val="24"/>
        </w:rPr>
        <w:t>σ</w:t>
      </w:r>
      <w:r w:rsidRPr="00A04766">
        <w:rPr>
          <w:sz w:val="24"/>
          <w:szCs w:val="24"/>
        </w:rPr>
        <w:t xml:space="preserve">τη Μαλαισία, </w:t>
      </w:r>
      <w:r w:rsidR="00CB0C59">
        <w:rPr>
          <w:sz w:val="24"/>
          <w:szCs w:val="24"/>
        </w:rPr>
        <w:t>σ</w:t>
      </w:r>
      <w:r w:rsidRPr="00A04766">
        <w:rPr>
          <w:sz w:val="24"/>
          <w:szCs w:val="24"/>
        </w:rPr>
        <w:t xml:space="preserve">τη </w:t>
      </w:r>
      <w:r w:rsidRPr="008D79C2">
        <w:rPr>
          <w:rFonts w:asciiTheme="minorHAnsi" w:hAnsiTheme="minorHAnsi" w:cstheme="minorHAnsi"/>
          <w:sz w:val="24"/>
          <w:szCs w:val="24"/>
        </w:rPr>
        <w:t xml:space="preserve">Δημοκρατία της Κορέας και </w:t>
      </w:r>
      <w:r w:rsidR="00CB0C59">
        <w:rPr>
          <w:rFonts w:asciiTheme="minorHAnsi" w:hAnsiTheme="minorHAnsi" w:cstheme="minorHAnsi"/>
          <w:sz w:val="24"/>
          <w:szCs w:val="24"/>
        </w:rPr>
        <w:t>σ</w:t>
      </w:r>
      <w:r w:rsidRPr="008D79C2">
        <w:rPr>
          <w:rFonts w:asciiTheme="minorHAnsi" w:hAnsiTheme="minorHAnsi" w:cstheme="minorHAnsi"/>
          <w:sz w:val="24"/>
          <w:szCs w:val="24"/>
        </w:rPr>
        <w:t>την περιοχή Jalisco του Μεξικού, όπου η συχνότητα εμφάνισης υπερδιπλασιάστηκε σε αυτό το χρονικό διάστημα</w:t>
      </w:r>
      <w:r w:rsidR="003A0A80">
        <w:rPr>
          <w:rFonts w:asciiTheme="minorHAnsi" w:hAnsiTheme="minorHAnsi" w:cstheme="minorHAnsi"/>
          <w:sz w:val="24"/>
          <w:szCs w:val="24"/>
        </w:rPr>
        <w:t xml:space="preserve"> </w:t>
      </w:r>
      <w:r w:rsidR="003A0A80" w:rsidRPr="008D79C2">
        <w:rPr>
          <w:rFonts w:asciiTheme="minorHAnsi" w:hAnsiTheme="minorHAnsi" w:cstheme="minorHAnsi"/>
        </w:rPr>
        <w:t>(</w:t>
      </w:r>
      <w:r w:rsidR="003A0A80" w:rsidRPr="003A0A80">
        <w:rPr>
          <w:rFonts w:asciiTheme="minorHAnsi" w:hAnsiTheme="minorHAnsi" w:cstheme="minorHAnsi"/>
          <w:bCs/>
          <w:sz w:val="24"/>
          <w:szCs w:val="24"/>
          <w:lang w:eastAsia="el-GR"/>
        </w:rPr>
        <w:t>U</w:t>
      </w:r>
      <w:r w:rsidR="003A0A80" w:rsidRPr="003A0A80">
        <w:rPr>
          <w:rFonts w:asciiTheme="minorHAnsi" w:hAnsiTheme="minorHAnsi" w:cstheme="minorHAnsi"/>
          <w:bCs/>
          <w:sz w:val="24"/>
          <w:szCs w:val="24"/>
          <w:lang w:val="en-US" w:eastAsia="el-GR"/>
        </w:rPr>
        <w:t>nited</w:t>
      </w:r>
      <w:r w:rsidR="003A0A80" w:rsidRPr="003A0A80">
        <w:rPr>
          <w:rFonts w:asciiTheme="minorHAnsi" w:hAnsiTheme="minorHAnsi" w:cstheme="minorHAnsi"/>
          <w:bCs/>
          <w:sz w:val="24"/>
          <w:szCs w:val="24"/>
          <w:lang w:eastAsia="el-GR"/>
        </w:rPr>
        <w:t xml:space="preserve"> S</w:t>
      </w:r>
      <w:r w:rsidR="003A0A80" w:rsidRPr="003A0A80">
        <w:rPr>
          <w:rFonts w:asciiTheme="minorHAnsi" w:hAnsiTheme="minorHAnsi" w:cstheme="minorHAnsi"/>
          <w:bCs/>
          <w:sz w:val="24"/>
          <w:szCs w:val="24"/>
          <w:lang w:val="en-US" w:eastAsia="el-GR"/>
        </w:rPr>
        <w:t>tates</w:t>
      </w:r>
      <w:r w:rsidR="003A0A80" w:rsidRPr="003A0A80">
        <w:rPr>
          <w:rFonts w:asciiTheme="minorHAnsi" w:hAnsiTheme="minorHAnsi" w:cstheme="minorHAnsi"/>
          <w:bCs/>
          <w:sz w:val="24"/>
          <w:szCs w:val="24"/>
          <w:lang w:eastAsia="el-GR"/>
        </w:rPr>
        <w:t xml:space="preserve"> R</w:t>
      </w:r>
      <w:r w:rsidR="003A0A80" w:rsidRPr="003A0A80">
        <w:rPr>
          <w:rFonts w:asciiTheme="minorHAnsi" w:hAnsiTheme="minorHAnsi" w:cstheme="minorHAnsi"/>
          <w:bCs/>
          <w:sz w:val="24"/>
          <w:szCs w:val="24"/>
          <w:lang w:val="en-US" w:eastAsia="el-GR"/>
        </w:rPr>
        <w:t>enal</w:t>
      </w:r>
      <w:r w:rsidR="003A0A80" w:rsidRPr="003A0A80">
        <w:rPr>
          <w:rFonts w:asciiTheme="minorHAnsi" w:hAnsiTheme="minorHAnsi" w:cstheme="minorHAnsi"/>
          <w:bCs/>
          <w:sz w:val="24"/>
          <w:szCs w:val="24"/>
          <w:lang w:eastAsia="el-GR"/>
        </w:rPr>
        <w:t xml:space="preserve"> D</w:t>
      </w:r>
      <w:r w:rsidR="003A0A80" w:rsidRPr="003A0A80">
        <w:rPr>
          <w:rFonts w:asciiTheme="minorHAnsi" w:hAnsiTheme="minorHAnsi" w:cstheme="minorHAnsi"/>
          <w:bCs/>
          <w:sz w:val="24"/>
          <w:szCs w:val="24"/>
          <w:lang w:val="en-US" w:eastAsia="el-GR"/>
        </w:rPr>
        <w:t>ata</w:t>
      </w:r>
      <w:r w:rsidR="003A0A80" w:rsidRPr="003A0A80">
        <w:rPr>
          <w:rFonts w:asciiTheme="minorHAnsi" w:hAnsiTheme="minorHAnsi" w:cstheme="minorHAnsi"/>
          <w:bCs/>
          <w:sz w:val="24"/>
          <w:szCs w:val="24"/>
          <w:lang w:eastAsia="el-GR"/>
        </w:rPr>
        <w:t xml:space="preserve"> S</w:t>
      </w:r>
      <w:r w:rsidR="003A0A80" w:rsidRPr="003A0A80">
        <w:rPr>
          <w:rFonts w:asciiTheme="minorHAnsi" w:hAnsiTheme="minorHAnsi" w:cstheme="minorHAnsi"/>
          <w:bCs/>
          <w:sz w:val="24"/>
          <w:szCs w:val="24"/>
          <w:lang w:val="en-US" w:eastAsia="el-GR"/>
        </w:rPr>
        <w:t>ystem</w:t>
      </w:r>
      <w:r w:rsidR="003A0A80" w:rsidRPr="003A0A80">
        <w:rPr>
          <w:rFonts w:asciiTheme="minorHAnsi" w:hAnsiTheme="minorHAnsi" w:cstheme="minorHAnsi"/>
          <w:bCs/>
          <w:sz w:val="24"/>
          <w:szCs w:val="24"/>
          <w:lang w:eastAsia="el-GR"/>
        </w:rPr>
        <w:t xml:space="preserve">, </w:t>
      </w:r>
      <w:r w:rsidR="003A0A80" w:rsidRPr="003A0A80">
        <w:rPr>
          <w:rFonts w:asciiTheme="minorHAnsi" w:hAnsiTheme="minorHAnsi" w:cstheme="minorHAnsi"/>
          <w:bCs/>
          <w:sz w:val="24"/>
          <w:szCs w:val="24"/>
          <w:lang w:val="en-US" w:eastAsia="el-GR"/>
        </w:rPr>
        <w:t>USRDS</w:t>
      </w:r>
      <w:r w:rsidR="003A0A80" w:rsidRPr="003A0A80">
        <w:rPr>
          <w:rFonts w:asciiTheme="minorHAnsi" w:hAnsiTheme="minorHAnsi" w:cstheme="minorHAnsi"/>
          <w:bCs/>
          <w:sz w:val="24"/>
          <w:szCs w:val="24"/>
          <w:lang w:eastAsia="el-GR"/>
        </w:rPr>
        <w:t xml:space="preserve"> 2016).</w:t>
      </w:r>
    </w:p>
    <w:p w:rsidR="001E6BCD" w:rsidRDefault="00A04766" w:rsidP="00C1306D">
      <w:pPr>
        <w:pStyle w:val="Default"/>
        <w:spacing w:line="360" w:lineRule="auto"/>
        <w:jc w:val="both"/>
        <w:rPr>
          <w:rFonts w:asciiTheme="minorHAnsi" w:hAnsiTheme="minorHAnsi" w:cstheme="minorHAnsi"/>
          <w:bCs/>
          <w:lang w:eastAsia="el-GR"/>
        </w:rPr>
      </w:pPr>
      <w:r w:rsidRPr="008D79C2">
        <w:rPr>
          <w:rFonts w:asciiTheme="minorHAnsi" w:hAnsiTheme="minorHAnsi" w:cstheme="minorHAnsi"/>
        </w:rPr>
        <w:t xml:space="preserve">Η χρήση των διαφορετικών  μεθόδων υποκατάστασης της νεφρικής λειτουργίας ποικίλλει σημαντικά μεταξύ των χωρών. Η αιμοκάθαρση είναι η κυρίαρχη αντιμετώπιση </w:t>
      </w:r>
      <w:r w:rsidR="0066725A">
        <w:rPr>
          <w:rFonts w:asciiTheme="minorHAnsi" w:hAnsiTheme="minorHAnsi" w:cstheme="minorHAnsi"/>
        </w:rPr>
        <w:t>(</w:t>
      </w:r>
      <w:r w:rsidR="00FE0A95" w:rsidRPr="008D79C2">
        <w:rPr>
          <w:rFonts w:asciiTheme="minorHAnsi" w:hAnsiTheme="minorHAnsi" w:cstheme="minorHAnsi"/>
        </w:rPr>
        <w:t xml:space="preserve">σε ποσοστό 80%) </w:t>
      </w:r>
      <w:r w:rsidRPr="008D79C2">
        <w:rPr>
          <w:rFonts w:asciiTheme="minorHAnsi" w:hAnsiTheme="minorHAnsi" w:cstheme="minorHAnsi"/>
        </w:rPr>
        <w:t>της ΤΣΧΝΝ στην πλειονότητα των χωρών.</w:t>
      </w:r>
      <w:r w:rsidR="00FE0A95" w:rsidRPr="008D79C2">
        <w:rPr>
          <w:rFonts w:asciiTheme="minorHAnsi" w:hAnsiTheme="minorHAnsi" w:cstheme="minorHAnsi"/>
        </w:rPr>
        <w:t xml:space="preserve"> Τα  πιο αυξημένα ποσοστά εφαρμογής της περιτοναϊκ</w:t>
      </w:r>
      <w:r w:rsidR="003A0A80">
        <w:rPr>
          <w:rFonts w:asciiTheme="minorHAnsi" w:hAnsiTheme="minorHAnsi" w:cstheme="minorHAnsi"/>
        </w:rPr>
        <w:t>ής κάθαρσης το 2014 παρατηρήθηκαν</w:t>
      </w:r>
      <w:r w:rsidR="00FE0A95" w:rsidRPr="008D79C2">
        <w:rPr>
          <w:rFonts w:asciiTheme="minorHAnsi" w:hAnsiTheme="minorHAnsi" w:cstheme="minorHAnsi"/>
        </w:rPr>
        <w:t xml:space="preserve"> στο Χονγκ Κονγκ (72%), στην περιοχή Jalisco του Μεξικού (47%), στην Ταϊλάνδη (30%), στη Νέα Ζηλανδία (31%) και στην Κολομβία 29%). Το 2014, το ποσοστό των </w:t>
      </w:r>
      <w:r w:rsidR="00C1306D">
        <w:rPr>
          <w:rFonts w:asciiTheme="minorHAnsi" w:hAnsiTheme="minorHAnsi" w:cstheme="minorHAnsi"/>
        </w:rPr>
        <w:t xml:space="preserve">ασθενών με ΤΣΧΝΝ που </w:t>
      </w:r>
      <w:r w:rsidR="00FE0A95" w:rsidRPr="008D79C2">
        <w:rPr>
          <w:rFonts w:asciiTheme="minorHAnsi" w:hAnsiTheme="minorHAnsi" w:cstheme="minorHAnsi"/>
        </w:rPr>
        <w:t>είχαν υποβληθεί σε μεταμόσχευση νεφρού κυμάνθηκε από 10% σε ορισμένες χώρες της Ασίας και της Ανατ</w:t>
      </w:r>
      <w:r w:rsidR="00C1306D">
        <w:rPr>
          <w:rFonts w:asciiTheme="minorHAnsi" w:hAnsiTheme="minorHAnsi" w:cstheme="minorHAnsi"/>
        </w:rPr>
        <w:t>ολικής Ευρώπης έως 50-75% στις Σ</w:t>
      </w:r>
      <w:r w:rsidR="00FE0A95" w:rsidRPr="008D79C2">
        <w:rPr>
          <w:rFonts w:asciiTheme="minorHAnsi" w:hAnsiTheme="minorHAnsi" w:cstheme="minorHAnsi"/>
        </w:rPr>
        <w:t>κανδιναβικές χώρες (Δανία, Φινλανδία, Ισλανδία, Νορβηγία και Σουηδία),</w:t>
      </w:r>
      <w:r w:rsidR="00C1306D">
        <w:rPr>
          <w:rFonts w:asciiTheme="minorHAnsi" w:hAnsiTheme="minorHAnsi" w:cstheme="minorHAnsi"/>
        </w:rPr>
        <w:t xml:space="preserve"> την</w:t>
      </w:r>
      <w:r w:rsidR="00FE0A95" w:rsidRPr="008D79C2">
        <w:rPr>
          <w:rFonts w:asciiTheme="minorHAnsi" w:hAnsiTheme="minorHAnsi" w:cstheme="minorHAnsi"/>
        </w:rPr>
        <w:t xml:space="preserve"> Εσθονία, το Ηνωμένο Βασίλειο (συμπεριλαμβανομένης της Σκωτίας), την Ισπανία, την Αυστρία και το Κατάρ. Το 2014 τα υψηλότερα ποσοστά μεταμόσχευσης νεφρού ανά 1000 ασθενείς υπό αιμοκάθαρση εμφανίστηκαν στη</w:t>
      </w:r>
      <w:r w:rsidR="00C1306D">
        <w:rPr>
          <w:rFonts w:asciiTheme="minorHAnsi" w:hAnsiTheme="minorHAnsi" w:cstheme="minorHAnsi"/>
        </w:rPr>
        <w:t xml:space="preserve"> Νορβηγία (205/1000), στις Κάτω Χώρες (154/1000), στη Φινλανδία (133/</w:t>
      </w:r>
      <w:r w:rsidR="00FE0A95" w:rsidRPr="008D79C2">
        <w:rPr>
          <w:rFonts w:asciiTheme="minorHAnsi" w:hAnsiTheme="minorHAnsi" w:cstheme="minorHAnsi"/>
        </w:rPr>
        <w:t>1</w:t>
      </w:r>
      <w:r w:rsidR="00C1306D">
        <w:rPr>
          <w:rFonts w:asciiTheme="minorHAnsi" w:hAnsiTheme="minorHAnsi" w:cstheme="minorHAnsi"/>
        </w:rPr>
        <w:t>000) και στη Σκωτία (126/</w:t>
      </w:r>
      <w:r w:rsidR="00FE0A95" w:rsidRPr="008D79C2">
        <w:rPr>
          <w:rFonts w:asciiTheme="minorHAnsi" w:hAnsiTheme="minorHAnsi" w:cstheme="minorHAnsi"/>
        </w:rPr>
        <w:t>1000)</w:t>
      </w:r>
      <w:r w:rsidR="008D79C2" w:rsidRPr="008D79C2">
        <w:rPr>
          <w:rFonts w:asciiTheme="minorHAnsi" w:hAnsiTheme="minorHAnsi" w:cstheme="minorHAnsi"/>
        </w:rPr>
        <w:t xml:space="preserve"> (</w:t>
      </w:r>
      <w:r w:rsidR="008D79C2" w:rsidRPr="008D79C2">
        <w:rPr>
          <w:rFonts w:asciiTheme="minorHAnsi" w:hAnsiTheme="minorHAnsi" w:cstheme="minorHAnsi"/>
          <w:bCs/>
          <w:lang w:eastAsia="el-GR"/>
        </w:rPr>
        <w:t>U</w:t>
      </w:r>
      <w:r w:rsidR="008D79C2">
        <w:rPr>
          <w:rFonts w:asciiTheme="minorHAnsi" w:hAnsiTheme="minorHAnsi" w:cstheme="minorHAnsi"/>
          <w:bCs/>
          <w:lang w:val="en-US" w:eastAsia="el-GR"/>
        </w:rPr>
        <w:t>nited</w:t>
      </w:r>
      <w:r w:rsidR="008D79C2" w:rsidRPr="008D79C2">
        <w:rPr>
          <w:rFonts w:asciiTheme="minorHAnsi" w:hAnsiTheme="minorHAnsi" w:cstheme="minorHAnsi"/>
          <w:bCs/>
          <w:lang w:eastAsia="el-GR"/>
        </w:rPr>
        <w:t xml:space="preserve"> S</w:t>
      </w:r>
      <w:r w:rsidR="008D79C2">
        <w:rPr>
          <w:rFonts w:asciiTheme="minorHAnsi" w:hAnsiTheme="minorHAnsi" w:cstheme="minorHAnsi"/>
          <w:bCs/>
          <w:lang w:val="en-US" w:eastAsia="el-GR"/>
        </w:rPr>
        <w:t>tates</w:t>
      </w:r>
      <w:r w:rsidR="008D79C2" w:rsidRPr="008D79C2">
        <w:rPr>
          <w:rFonts w:asciiTheme="minorHAnsi" w:hAnsiTheme="minorHAnsi" w:cstheme="minorHAnsi"/>
          <w:bCs/>
          <w:lang w:eastAsia="el-GR"/>
        </w:rPr>
        <w:t xml:space="preserve"> R</w:t>
      </w:r>
      <w:r w:rsidR="008D79C2">
        <w:rPr>
          <w:rFonts w:asciiTheme="minorHAnsi" w:hAnsiTheme="minorHAnsi" w:cstheme="minorHAnsi"/>
          <w:bCs/>
          <w:lang w:val="en-US" w:eastAsia="el-GR"/>
        </w:rPr>
        <w:t>enal</w:t>
      </w:r>
      <w:r w:rsidR="008D79C2" w:rsidRPr="008D79C2">
        <w:rPr>
          <w:rFonts w:asciiTheme="minorHAnsi" w:hAnsiTheme="minorHAnsi" w:cstheme="minorHAnsi"/>
          <w:bCs/>
          <w:lang w:eastAsia="el-GR"/>
        </w:rPr>
        <w:t xml:space="preserve"> D</w:t>
      </w:r>
      <w:r w:rsidR="008D79C2">
        <w:rPr>
          <w:rFonts w:asciiTheme="minorHAnsi" w:hAnsiTheme="minorHAnsi" w:cstheme="minorHAnsi"/>
          <w:bCs/>
          <w:lang w:val="en-US" w:eastAsia="el-GR"/>
        </w:rPr>
        <w:t>ata</w:t>
      </w:r>
      <w:r w:rsidR="008D79C2" w:rsidRPr="008D79C2">
        <w:rPr>
          <w:rFonts w:asciiTheme="minorHAnsi" w:hAnsiTheme="minorHAnsi" w:cstheme="minorHAnsi"/>
          <w:bCs/>
          <w:lang w:eastAsia="el-GR"/>
        </w:rPr>
        <w:t xml:space="preserve"> S</w:t>
      </w:r>
      <w:r w:rsidR="008D79C2">
        <w:rPr>
          <w:rFonts w:asciiTheme="minorHAnsi" w:hAnsiTheme="minorHAnsi" w:cstheme="minorHAnsi"/>
          <w:bCs/>
          <w:lang w:val="en-US" w:eastAsia="el-GR"/>
        </w:rPr>
        <w:t>ystem</w:t>
      </w:r>
      <w:r w:rsidR="008D79C2" w:rsidRPr="008D79C2">
        <w:rPr>
          <w:rFonts w:asciiTheme="minorHAnsi" w:hAnsiTheme="minorHAnsi" w:cstheme="minorHAnsi"/>
          <w:bCs/>
          <w:lang w:eastAsia="el-GR"/>
        </w:rPr>
        <w:t xml:space="preserve">, </w:t>
      </w:r>
      <w:r w:rsidR="008D79C2">
        <w:rPr>
          <w:rFonts w:asciiTheme="minorHAnsi" w:hAnsiTheme="minorHAnsi" w:cstheme="minorHAnsi"/>
          <w:bCs/>
          <w:lang w:val="en-US" w:eastAsia="el-GR"/>
        </w:rPr>
        <w:t>USRDS</w:t>
      </w:r>
      <w:r w:rsidR="008D79C2" w:rsidRPr="008D79C2">
        <w:rPr>
          <w:rFonts w:asciiTheme="minorHAnsi" w:hAnsiTheme="minorHAnsi" w:cstheme="minorHAnsi"/>
          <w:bCs/>
          <w:lang w:eastAsia="el-GR"/>
        </w:rPr>
        <w:t xml:space="preserve"> 2016).</w:t>
      </w:r>
    </w:p>
    <w:p w:rsidR="00C1306D" w:rsidRPr="00C1306D" w:rsidRDefault="00C1306D" w:rsidP="00C1306D">
      <w:pPr>
        <w:pStyle w:val="Default"/>
        <w:spacing w:line="360" w:lineRule="auto"/>
        <w:jc w:val="both"/>
        <w:rPr>
          <w:rFonts w:asciiTheme="minorHAnsi" w:hAnsiTheme="minorHAnsi" w:cstheme="minorHAnsi"/>
          <w:bCs/>
          <w:lang w:eastAsia="el-GR"/>
        </w:rPr>
      </w:pPr>
    </w:p>
    <w:p w:rsidR="009B2A2B" w:rsidRPr="00282B91" w:rsidRDefault="00184087" w:rsidP="001E6BCD">
      <w:pPr>
        <w:spacing w:line="360" w:lineRule="auto"/>
        <w:jc w:val="both"/>
        <w:rPr>
          <w:rFonts w:cstheme="minorHAnsi"/>
          <w:sz w:val="24"/>
          <w:szCs w:val="24"/>
        </w:rPr>
      </w:pPr>
      <w:r w:rsidRPr="005A464E">
        <w:rPr>
          <w:rFonts w:cstheme="minorHAnsi"/>
          <w:sz w:val="24"/>
          <w:szCs w:val="24"/>
        </w:rPr>
        <w:t>Στην Ελλάδα η καταγραφή δεδομένων ασθενών με ΤΣΧΝΝ ξεκίνησε το 1973</w:t>
      </w:r>
      <w:r w:rsidR="006B335B">
        <w:rPr>
          <w:rFonts w:cstheme="minorHAnsi"/>
          <w:sz w:val="24"/>
          <w:szCs w:val="24"/>
        </w:rPr>
        <w:t>,</w:t>
      </w:r>
      <w:r w:rsidRPr="005A464E">
        <w:rPr>
          <w:rFonts w:cstheme="minorHAnsi"/>
          <w:sz w:val="24"/>
          <w:szCs w:val="24"/>
        </w:rPr>
        <w:t xml:space="preserve"> ενώ το</w:t>
      </w:r>
      <w:r w:rsidR="00BE1221" w:rsidRPr="005A464E">
        <w:rPr>
          <w:rFonts w:cstheme="minorHAnsi"/>
          <w:sz w:val="24"/>
          <w:szCs w:val="24"/>
        </w:rPr>
        <w:t xml:space="preserve"> 1985 ξεκίνησε να λειτουργεί η</w:t>
      </w:r>
      <w:r w:rsidR="0078495A">
        <w:rPr>
          <w:rFonts w:cstheme="minorHAnsi"/>
          <w:sz w:val="24"/>
          <w:szCs w:val="24"/>
        </w:rPr>
        <w:t xml:space="preserve"> </w:t>
      </w:r>
      <w:r w:rsidRPr="005A464E">
        <w:rPr>
          <w:rFonts w:cstheme="minorHAnsi"/>
          <w:sz w:val="24"/>
          <w:szCs w:val="24"/>
        </w:rPr>
        <w:t xml:space="preserve">Υπηρεσία Συντονισμού και Ελέγχου </w:t>
      </w:r>
      <w:r w:rsidR="00D9583A" w:rsidRPr="00D9583A">
        <w:rPr>
          <w:rFonts w:cstheme="minorHAnsi"/>
          <w:sz w:val="24"/>
          <w:szCs w:val="24"/>
        </w:rPr>
        <w:t>ΤΣ</w:t>
      </w:r>
      <w:r w:rsidRPr="00D9583A">
        <w:rPr>
          <w:rFonts w:cstheme="minorHAnsi"/>
          <w:sz w:val="24"/>
          <w:szCs w:val="24"/>
        </w:rPr>
        <w:t>ΧΝΝ μ</w:t>
      </w:r>
      <w:r w:rsidRPr="005A464E">
        <w:rPr>
          <w:rFonts w:cstheme="minorHAnsi"/>
          <w:sz w:val="24"/>
          <w:szCs w:val="24"/>
        </w:rPr>
        <w:t xml:space="preserve">ε στόχο την κατανομή του πληθυσμού των ασθενών με ΤΣΧΝΝ ανά μέθοδο θεραπείας, πρωτοπαθούς νόσου ή άλλων μεταβλητών, την παρακολούθηση </w:t>
      </w:r>
      <w:r w:rsidR="00CB0C59">
        <w:rPr>
          <w:rFonts w:cstheme="minorHAnsi"/>
          <w:sz w:val="24"/>
          <w:szCs w:val="24"/>
        </w:rPr>
        <w:t xml:space="preserve">του επιπολασμού </w:t>
      </w:r>
      <w:r w:rsidR="00CB0C59" w:rsidRPr="00282B91">
        <w:rPr>
          <w:rFonts w:cstheme="minorHAnsi"/>
          <w:sz w:val="24"/>
          <w:szCs w:val="24"/>
        </w:rPr>
        <w:t>και</w:t>
      </w:r>
      <w:r w:rsidR="00282B91" w:rsidRPr="00282B91">
        <w:rPr>
          <w:rFonts w:cstheme="minorHAnsi"/>
          <w:sz w:val="24"/>
          <w:szCs w:val="24"/>
        </w:rPr>
        <w:t xml:space="preserve"> της θνησιμ</w:t>
      </w:r>
      <w:r w:rsidR="005D5005" w:rsidRPr="00282B91">
        <w:rPr>
          <w:rFonts w:cstheme="minorHAnsi"/>
          <w:sz w:val="24"/>
          <w:szCs w:val="24"/>
        </w:rPr>
        <w:t>ότητας (</w:t>
      </w:r>
      <w:r w:rsidR="005D5005" w:rsidRPr="00282B91">
        <w:rPr>
          <w:rFonts w:cstheme="minorHAnsi"/>
          <w:iCs/>
          <w:sz w:val="24"/>
          <w:szCs w:val="24"/>
          <w:lang w:val="en-US"/>
        </w:rPr>
        <w:t>Papadakis</w:t>
      </w:r>
      <w:r w:rsidR="008D4BFB" w:rsidRPr="00282B91">
        <w:rPr>
          <w:rFonts w:cstheme="minorHAnsi"/>
          <w:iCs/>
          <w:sz w:val="24"/>
          <w:szCs w:val="24"/>
        </w:rPr>
        <w:t>,</w:t>
      </w:r>
      <w:r w:rsidR="005D5005" w:rsidRPr="00282B91">
        <w:rPr>
          <w:rFonts w:cstheme="minorHAnsi"/>
          <w:iCs/>
          <w:sz w:val="24"/>
          <w:szCs w:val="24"/>
        </w:rPr>
        <w:t xml:space="preserve"> 1981; Hadjiconstantinou</w:t>
      </w:r>
      <w:r w:rsidR="008D4BFB" w:rsidRPr="00282B91">
        <w:rPr>
          <w:rFonts w:cstheme="minorHAnsi"/>
          <w:iCs/>
          <w:sz w:val="24"/>
          <w:szCs w:val="24"/>
        </w:rPr>
        <w:t>,</w:t>
      </w:r>
      <w:r w:rsidR="005D5005" w:rsidRPr="00282B91">
        <w:rPr>
          <w:rFonts w:cstheme="minorHAnsi"/>
          <w:iCs/>
          <w:sz w:val="24"/>
          <w:szCs w:val="24"/>
        </w:rPr>
        <w:t xml:space="preserve"> 1995; Dombros</w:t>
      </w:r>
      <w:r w:rsidR="008D4BFB" w:rsidRPr="00282B91">
        <w:rPr>
          <w:rFonts w:cstheme="minorHAnsi"/>
          <w:iCs/>
          <w:sz w:val="24"/>
          <w:szCs w:val="24"/>
        </w:rPr>
        <w:t>,</w:t>
      </w:r>
      <w:r w:rsidR="005D5005" w:rsidRPr="00282B91">
        <w:rPr>
          <w:rFonts w:cstheme="minorHAnsi"/>
          <w:iCs/>
          <w:sz w:val="24"/>
          <w:szCs w:val="24"/>
        </w:rPr>
        <w:t xml:space="preserve"> 1995)</w:t>
      </w:r>
      <w:r w:rsidRPr="00282B91">
        <w:rPr>
          <w:rFonts w:cstheme="minorHAnsi"/>
          <w:sz w:val="24"/>
          <w:szCs w:val="24"/>
        </w:rPr>
        <w:t>.</w:t>
      </w:r>
      <w:r w:rsidR="005D5005" w:rsidRPr="00282B91">
        <w:rPr>
          <w:rFonts w:cstheme="minorHAnsi"/>
          <w:sz w:val="24"/>
          <w:szCs w:val="24"/>
        </w:rPr>
        <w:t xml:space="preserve"> </w:t>
      </w:r>
    </w:p>
    <w:p w:rsidR="001D0E84" w:rsidRPr="00282B91" w:rsidRDefault="001D0E84" w:rsidP="001E6BCD">
      <w:pPr>
        <w:spacing w:line="360" w:lineRule="auto"/>
        <w:jc w:val="both"/>
        <w:rPr>
          <w:sz w:val="24"/>
          <w:szCs w:val="24"/>
        </w:rPr>
      </w:pPr>
      <w:r w:rsidRPr="00282B91">
        <w:rPr>
          <w:rFonts w:cstheme="minorHAnsi"/>
          <w:sz w:val="24"/>
          <w:szCs w:val="24"/>
        </w:rPr>
        <w:t xml:space="preserve">Στο τέλος του 2000 οι ασθενείς με υποκατάσταση της νεφρικής λειτουργίας στην Ελλάδα ήταν 8.550 </w:t>
      </w:r>
      <w:r w:rsidR="00FC7FF3" w:rsidRPr="00282B91">
        <w:rPr>
          <w:rFonts w:cstheme="minorHAnsi"/>
          <w:sz w:val="24"/>
          <w:szCs w:val="24"/>
        </w:rPr>
        <w:t>(78</w:t>
      </w:r>
      <w:r w:rsidR="00EF6A06" w:rsidRPr="00282B91">
        <w:rPr>
          <w:rFonts w:cstheme="minorHAnsi"/>
          <w:sz w:val="24"/>
          <w:szCs w:val="24"/>
        </w:rPr>
        <w:t>3,</w:t>
      </w:r>
      <w:r w:rsidR="00FC7FF3" w:rsidRPr="00282B91">
        <w:rPr>
          <w:rFonts w:cstheme="minorHAnsi"/>
          <w:sz w:val="24"/>
          <w:szCs w:val="24"/>
        </w:rPr>
        <w:t>1/1.000.0000 πληθυσμού)</w:t>
      </w:r>
      <w:r w:rsidRPr="00282B91">
        <w:rPr>
          <w:rFonts w:cstheme="minorHAnsi"/>
          <w:sz w:val="24"/>
          <w:szCs w:val="24"/>
        </w:rPr>
        <w:t>. Από τους 8.550 ασθενείς</w:t>
      </w:r>
      <w:r w:rsidR="006B335B" w:rsidRPr="00282B91">
        <w:rPr>
          <w:rFonts w:cstheme="minorHAnsi"/>
          <w:sz w:val="24"/>
          <w:szCs w:val="24"/>
        </w:rPr>
        <w:t>,</w:t>
      </w:r>
      <w:r w:rsidRPr="00282B91">
        <w:rPr>
          <w:rFonts w:cstheme="minorHAnsi"/>
          <w:sz w:val="24"/>
          <w:szCs w:val="24"/>
        </w:rPr>
        <w:t xml:space="preserve"> οι </w:t>
      </w:r>
      <w:r w:rsidRPr="00282B91">
        <w:rPr>
          <w:rFonts w:cstheme="minorHAnsi"/>
          <w:iCs/>
          <w:sz w:val="24"/>
          <w:szCs w:val="24"/>
        </w:rPr>
        <w:t>6.256</w:t>
      </w:r>
      <w:r w:rsidRPr="00282B91">
        <w:rPr>
          <w:rFonts w:cstheme="minorHAnsi"/>
          <w:i/>
          <w:iCs/>
          <w:sz w:val="24"/>
          <w:szCs w:val="24"/>
        </w:rPr>
        <w:t xml:space="preserve"> </w:t>
      </w:r>
      <w:r w:rsidRPr="00282B91">
        <w:rPr>
          <w:rFonts w:cstheme="minorHAnsi"/>
          <w:iCs/>
          <w:sz w:val="24"/>
          <w:szCs w:val="24"/>
        </w:rPr>
        <w:t>υποβάλλονταν</w:t>
      </w:r>
      <w:r w:rsidR="0078495A" w:rsidRPr="00282B91">
        <w:rPr>
          <w:rFonts w:cstheme="minorHAnsi"/>
          <w:iCs/>
          <w:sz w:val="24"/>
          <w:szCs w:val="24"/>
        </w:rPr>
        <w:t xml:space="preserve"> </w:t>
      </w:r>
      <w:r w:rsidRPr="00282B91">
        <w:rPr>
          <w:rFonts w:cstheme="minorHAnsi"/>
          <w:iCs/>
          <w:sz w:val="24"/>
          <w:szCs w:val="24"/>
        </w:rPr>
        <w:t xml:space="preserve">σε αιμοκάθαρση, </w:t>
      </w:r>
      <w:r w:rsidR="006B335B" w:rsidRPr="00282B91">
        <w:rPr>
          <w:rFonts w:cstheme="minorHAnsi"/>
          <w:iCs/>
          <w:sz w:val="24"/>
          <w:szCs w:val="24"/>
        </w:rPr>
        <w:t xml:space="preserve">οι </w:t>
      </w:r>
      <w:r w:rsidRPr="00282B91">
        <w:rPr>
          <w:rFonts w:cstheme="minorHAnsi"/>
          <w:iCs/>
          <w:sz w:val="24"/>
          <w:szCs w:val="24"/>
        </w:rPr>
        <w:t>741 σε περιτοναϊκή κάθαρση, ενώ οι 1.553 ήταν μεταμοσχευμένοι</w:t>
      </w:r>
      <w:r w:rsidR="009B2A2B" w:rsidRPr="00282B91">
        <w:rPr>
          <w:rFonts w:cstheme="minorHAnsi"/>
          <w:iCs/>
          <w:sz w:val="24"/>
          <w:szCs w:val="24"/>
        </w:rPr>
        <w:t xml:space="preserve">. Το έτος 2000 λειτουργούσαν στην Ελλάδα 76 Μονάδες </w:t>
      </w:r>
      <w:r w:rsidR="009B2A2B" w:rsidRPr="00282B91">
        <w:rPr>
          <w:rFonts w:cstheme="minorHAnsi"/>
          <w:sz w:val="24"/>
          <w:szCs w:val="24"/>
        </w:rPr>
        <w:t xml:space="preserve">Εξωνεφρικής Κάθαρσης </w:t>
      </w:r>
      <w:r w:rsidR="009B2A2B" w:rsidRPr="00282B91">
        <w:rPr>
          <w:rFonts w:cstheme="minorHAnsi"/>
          <w:iCs/>
          <w:sz w:val="24"/>
          <w:szCs w:val="24"/>
        </w:rPr>
        <w:t>στον Δημόσιο Τομέα περιθάλποντας το 6</w:t>
      </w:r>
      <w:r w:rsidR="00EF6A06" w:rsidRPr="00282B91">
        <w:rPr>
          <w:rFonts w:cstheme="minorHAnsi"/>
          <w:iCs/>
          <w:sz w:val="24"/>
          <w:szCs w:val="24"/>
        </w:rPr>
        <w:t>1,</w:t>
      </w:r>
      <w:r w:rsidR="009B2A2B" w:rsidRPr="00282B91">
        <w:rPr>
          <w:rFonts w:cstheme="minorHAnsi"/>
          <w:iCs/>
          <w:sz w:val="24"/>
          <w:szCs w:val="24"/>
        </w:rPr>
        <w:t>5% των ασθενών και 29 Μονάδες στον ιδιωτικό τομέα περιθάλποντας το 3</w:t>
      </w:r>
      <w:r w:rsidR="00B05131" w:rsidRPr="00282B91">
        <w:rPr>
          <w:rFonts w:cstheme="minorHAnsi"/>
          <w:iCs/>
          <w:sz w:val="24"/>
          <w:szCs w:val="24"/>
        </w:rPr>
        <w:t>8,</w:t>
      </w:r>
      <w:r w:rsidR="009B2A2B" w:rsidRPr="00282B91">
        <w:rPr>
          <w:rFonts w:cstheme="minorHAnsi"/>
          <w:iCs/>
          <w:sz w:val="24"/>
          <w:szCs w:val="24"/>
        </w:rPr>
        <w:t xml:space="preserve">5% των ασθενών </w:t>
      </w:r>
      <w:r w:rsidR="008D4BFB" w:rsidRPr="00282B91">
        <w:rPr>
          <w:rFonts w:cstheme="minorHAnsi"/>
          <w:iCs/>
          <w:sz w:val="24"/>
          <w:szCs w:val="24"/>
        </w:rPr>
        <w:t xml:space="preserve"> (Ιωαννίδης &amp;</w:t>
      </w:r>
      <w:r w:rsidR="005D5005" w:rsidRPr="00282B91">
        <w:rPr>
          <w:rFonts w:cstheme="minorHAnsi"/>
          <w:iCs/>
          <w:sz w:val="24"/>
          <w:szCs w:val="24"/>
        </w:rPr>
        <w:t xml:space="preserve"> Παπαδάκη</w:t>
      </w:r>
      <w:r w:rsidR="00AB454B" w:rsidRPr="00282B91">
        <w:rPr>
          <w:rFonts w:cstheme="minorHAnsi"/>
          <w:iCs/>
          <w:sz w:val="24"/>
          <w:szCs w:val="24"/>
        </w:rPr>
        <w:t>,</w:t>
      </w:r>
      <w:r w:rsidR="005D5005" w:rsidRPr="00282B91">
        <w:rPr>
          <w:rFonts w:cstheme="minorHAnsi"/>
          <w:iCs/>
          <w:sz w:val="24"/>
          <w:szCs w:val="24"/>
        </w:rPr>
        <w:t xml:space="preserve"> 2013)</w:t>
      </w:r>
      <w:r w:rsidRPr="00282B91">
        <w:rPr>
          <w:rFonts w:cstheme="minorHAnsi"/>
          <w:iCs/>
          <w:sz w:val="24"/>
          <w:szCs w:val="24"/>
        </w:rPr>
        <w:t>.</w:t>
      </w:r>
      <w:r w:rsidR="005D5005" w:rsidRPr="00282B91">
        <w:rPr>
          <w:rFonts w:cstheme="minorHAnsi"/>
          <w:iCs/>
          <w:sz w:val="24"/>
          <w:szCs w:val="24"/>
        </w:rPr>
        <w:t xml:space="preserve"> </w:t>
      </w:r>
    </w:p>
    <w:p w:rsidR="009B2A2B" w:rsidRPr="00282B91" w:rsidRDefault="001D0E84" w:rsidP="003A0A80">
      <w:pPr>
        <w:autoSpaceDE w:val="0"/>
        <w:autoSpaceDN w:val="0"/>
        <w:adjustRightInd w:val="0"/>
        <w:spacing w:after="0" w:line="360" w:lineRule="auto"/>
        <w:jc w:val="both"/>
        <w:rPr>
          <w:rFonts w:cstheme="minorHAnsi"/>
          <w:iCs/>
          <w:sz w:val="24"/>
          <w:szCs w:val="24"/>
        </w:rPr>
      </w:pPr>
      <w:r w:rsidRPr="00282B91">
        <w:rPr>
          <w:rFonts w:cstheme="minorHAnsi"/>
          <w:sz w:val="24"/>
          <w:szCs w:val="24"/>
        </w:rPr>
        <w:t>Τ</w:t>
      </w:r>
      <w:r w:rsidR="009C6F61" w:rsidRPr="00282B91">
        <w:rPr>
          <w:rFonts w:cstheme="minorHAnsi"/>
          <w:sz w:val="24"/>
          <w:szCs w:val="24"/>
        </w:rPr>
        <w:t xml:space="preserve">ο </w:t>
      </w:r>
      <w:r w:rsidRPr="00282B91">
        <w:rPr>
          <w:rFonts w:cstheme="minorHAnsi"/>
          <w:sz w:val="24"/>
          <w:szCs w:val="24"/>
        </w:rPr>
        <w:t>2011</w:t>
      </w:r>
      <w:r w:rsidR="009C6F61" w:rsidRPr="00282B91">
        <w:rPr>
          <w:rFonts w:cstheme="minorHAnsi"/>
          <w:sz w:val="24"/>
          <w:szCs w:val="24"/>
        </w:rPr>
        <w:t xml:space="preserve">, </w:t>
      </w:r>
      <w:r w:rsidRPr="00282B91">
        <w:rPr>
          <w:rFonts w:cstheme="minorHAnsi"/>
          <w:sz w:val="24"/>
          <w:szCs w:val="24"/>
        </w:rPr>
        <w:t>ο αριθμός των Μονάδων Εξωνεφρικής Κάθαρσης αυξήθηκε σ</w:t>
      </w:r>
      <w:r w:rsidR="009C6F61" w:rsidRPr="00282B91">
        <w:rPr>
          <w:rFonts w:cstheme="minorHAnsi"/>
          <w:sz w:val="24"/>
          <w:szCs w:val="24"/>
        </w:rPr>
        <w:t>τις</w:t>
      </w:r>
      <w:r w:rsidRPr="00282B91">
        <w:rPr>
          <w:rFonts w:cstheme="minorHAnsi"/>
          <w:sz w:val="24"/>
          <w:szCs w:val="24"/>
        </w:rPr>
        <w:t xml:space="preserve"> 164</w:t>
      </w:r>
      <w:r w:rsidR="00B37748" w:rsidRPr="00282B91">
        <w:rPr>
          <w:rFonts w:cstheme="minorHAnsi"/>
          <w:sz w:val="24"/>
          <w:szCs w:val="24"/>
        </w:rPr>
        <w:t>,</w:t>
      </w:r>
      <w:r w:rsidRPr="00282B91">
        <w:rPr>
          <w:rFonts w:cstheme="minorHAnsi"/>
          <w:sz w:val="24"/>
          <w:szCs w:val="24"/>
        </w:rPr>
        <w:t xml:space="preserve"> ενώ οι ασθενείς με υποκατάσταση της ν</w:t>
      </w:r>
      <w:r w:rsidR="009C6F61" w:rsidRPr="00282B91">
        <w:rPr>
          <w:rFonts w:cstheme="minorHAnsi"/>
          <w:sz w:val="24"/>
          <w:szCs w:val="24"/>
        </w:rPr>
        <w:t>εφρικής λειτουργίας αυξήθηκαν στους</w:t>
      </w:r>
      <w:r w:rsidRPr="00282B91">
        <w:rPr>
          <w:rFonts w:cstheme="minorHAnsi"/>
          <w:sz w:val="24"/>
          <w:szCs w:val="24"/>
        </w:rPr>
        <w:t xml:space="preserve"> 12.475</w:t>
      </w:r>
      <w:r w:rsidR="00FC7FF3" w:rsidRPr="00282B91">
        <w:rPr>
          <w:rFonts w:cstheme="minorHAnsi"/>
          <w:sz w:val="24"/>
          <w:szCs w:val="24"/>
        </w:rPr>
        <w:t xml:space="preserve"> (1.104/1.000.000 πληθυσμού). Από τους 12.475 οι 9.260 υποβάλλονταν σε αιμο</w:t>
      </w:r>
      <w:r w:rsidR="00BE1221" w:rsidRPr="00282B91">
        <w:rPr>
          <w:rFonts w:cstheme="minorHAnsi"/>
          <w:sz w:val="24"/>
          <w:szCs w:val="24"/>
        </w:rPr>
        <w:t>κάθαρση, οι 723 σε περιτοναϊκή κ</w:t>
      </w:r>
      <w:r w:rsidR="00FC7FF3" w:rsidRPr="00282B91">
        <w:rPr>
          <w:rFonts w:cstheme="minorHAnsi"/>
          <w:sz w:val="24"/>
          <w:szCs w:val="24"/>
        </w:rPr>
        <w:t>άθαρση και οι 2.492 είχαν υποβληθεί σε μεταμόσχευση</w:t>
      </w:r>
      <w:r w:rsidR="00417697" w:rsidRPr="00282B91">
        <w:rPr>
          <w:rFonts w:cstheme="minorHAnsi"/>
          <w:sz w:val="24"/>
          <w:szCs w:val="24"/>
        </w:rPr>
        <w:t xml:space="preserve"> </w:t>
      </w:r>
      <w:r w:rsidR="008D4BFB" w:rsidRPr="00282B91">
        <w:rPr>
          <w:rFonts w:cstheme="minorHAnsi"/>
          <w:iCs/>
          <w:sz w:val="24"/>
          <w:szCs w:val="24"/>
        </w:rPr>
        <w:t>(Ιωαννίδης &amp;</w:t>
      </w:r>
      <w:r w:rsidR="00417697" w:rsidRPr="00282B91">
        <w:rPr>
          <w:rFonts w:cstheme="minorHAnsi"/>
          <w:iCs/>
          <w:sz w:val="24"/>
          <w:szCs w:val="24"/>
        </w:rPr>
        <w:t xml:space="preserve"> Παπαδάκη</w:t>
      </w:r>
      <w:r w:rsidR="00AB454B" w:rsidRPr="00282B91">
        <w:rPr>
          <w:rFonts w:cstheme="minorHAnsi"/>
          <w:iCs/>
          <w:sz w:val="24"/>
          <w:szCs w:val="24"/>
        </w:rPr>
        <w:t>,</w:t>
      </w:r>
      <w:r w:rsidR="008D4BFB" w:rsidRPr="00282B91">
        <w:rPr>
          <w:rFonts w:cstheme="minorHAnsi"/>
          <w:iCs/>
          <w:sz w:val="24"/>
          <w:szCs w:val="24"/>
        </w:rPr>
        <w:t xml:space="preserve"> 2013)</w:t>
      </w:r>
      <w:r w:rsidR="00FC7FF3" w:rsidRPr="00282B91">
        <w:rPr>
          <w:rFonts w:cstheme="minorHAnsi"/>
          <w:sz w:val="24"/>
          <w:szCs w:val="24"/>
        </w:rPr>
        <w:t>.</w:t>
      </w:r>
      <w:r w:rsidR="006F78EA" w:rsidRPr="00282B91">
        <w:rPr>
          <w:rFonts w:cstheme="minorHAnsi"/>
          <w:sz w:val="24"/>
          <w:szCs w:val="24"/>
        </w:rPr>
        <w:t xml:space="preserve"> </w:t>
      </w:r>
      <w:r w:rsidR="00A55BDB" w:rsidRPr="00282B91">
        <w:rPr>
          <w:rFonts w:cstheme="minorHAnsi"/>
          <w:iCs/>
          <w:sz w:val="24"/>
          <w:szCs w:val="24"/>
        </w:rPr>
        <w:t>Στο τέλος του 2011 λειτουργούσαν 92 μονάδες στον Δημόσιο Τομέα περιθάλποντας το 4</w:t>
      </w:r>
      <w:r w:rsidR="00EF6A06" w:rsidRPr="00282B91">
        <w:rPr>
          <w:rFonts w:cstheme="minorHAnsi"/>
          <w:iCs/>
          <w:sz w:val="24"/>
          <w:szCs w:val="24"/>
        </w:rPr>
        <w:t>5,</w:t>
      </w:r>
      <w:r w:rsidR="00A55BDB" w:rsidRPr="00282B91">
        <w:rPr>
          <w:rFonts w:cstheme="minorHAnsi"/>
          <w:iCs/>
          <w:sz w:val="24"/>
          <w:szCs w:val="24"/>
        </w:rPr>
        <w:t>6% των ασθενών και 72 ιδιωτικές Μονάδες περιθάλποντας το 5</w:t>
      </w:r>
      <w:r w:rsidR="00EF6A06" w:rsidRPr="00282B91">
        <w:rPr>
          <w:rFonts w:cstheme="minorHAnsi"/>
          <w:iCs/>
          <w:sz w:val="24"/>
          <w:szCs w:val="24"/>
        </w:rPr>
        <w:t>4,</w:t>
      </w:r>
      <w:r w:rsidR="00A55BDB" w:rsidRPr="00282B91">
        <w:rPr>
          <w:rFonts w:cstheme="minorHAnsi"/>
          <w:iCs/>
          <w:sz w:val="24"/>
          <w:szCs w:val="24"/>
        </w:rPr>
        <w:t>4% των ασθενών. Ως πρώτη α</w:t>
      </w:r>
      <w:r w:rsidR="00E37C9E" w:rsidRPr="00282B91">
        <w:rPr>
          <w:rFonts w:cstheme="minorHAnsi"/>
          <w:iCs/>
          <w:sz w:val="24"/>
          <w:szCs w:val="24"/>
        </w:rPr>
        <w:t>ιτία ΧΝΝ καταγράφηκε το 2011 ο σακχαρώδης δ</w:t>
      </w:r>
      <w:r w:rsidR="00A55BDB" w:rsidRPr="00282B91">
        <w:rPr>
          <w:rFonts w:cstheme="minorHAnsi"/>
          <w:iCs/>
          <w:sz w:val="24"/>
          <w:szCs w:val="24"/>
        </w:rPr>
        <w:t xml:space="preserve">ιαβήτης </w:t>
      </w:r>
      <w:r w:rsidR="008D4BFB" w:rsidRPr="00282B91">
        <w:rPr>
          <w:rFonts w:cstheme="minorHAnsi"/>
          <w:iCs/>
          <w:sz w:val="24"/>
          <w:szCs w:val="24"/>
        </w:rPr>
        <w:t>(Ιωαννίδης &amp;</w:t>
      </w:r>
      <w:r w:rsidR="00A55BDB" w:rsidRPr="00282B91">
        <w:rPr>
          <w:rFonts w:cstheme="minorHAnsi"/>
          <w:iCs/>
          <w:sz w:val="24"/>
          <w:szCs w:val="24"/>
        </w:rPr>
        <w:t xml:space="preserve"> Παπαδάκη</w:t>
      </w:r>
      <w:r w:rsidR="00AB454B" w:rsidRPr="00282B91">
        <w:rPr>
          <w:rFonts w:cstheme="minorHAnsi"/>
          <w:iCs/>
          <w:sz w:val="24"/>
          <w:szCs w:val="24"/>
        </w:rPr>
        <w:t>,</w:t>
      </w:r>
      <w:r w:rsidR="00A55BDB" w:rsidRPr="00282B91">
        <w:rPr>
          <w:rFonts w:cstheme="minorHAnsi"/>
          <w:iCs/>
          <w:sz w:val="24"/>
          <w:szCs w:val="24"/>
        </w:rPr>
        <w:t xml:space="preserve"> 2013).</w:t>
      </w:r>
      <w:r w:rsidR="003A0A80" w:rsidRPr="00282B91">
        <w:rPr>
          <w:rFonts w:cstheme="minorHAnsi"/>
          <w:iCs/>
          <w:sz w:val="24"/>
          <w:szCs w:val="24"/>
        </w:rPr>
        <w:t xml:space="preserve"> </w:t>
      </w:r>
      <w:r w:rsidR="009B2A2B" w:rsidRPr="00282B91">
        <w:rPr>
          <w:rFonts w:cstheme="minorHAnsi"/>
          <w:iCs/>
          <w:sz w:val="24"/>
          <w:szCs w:val="24"/>
        </w:rPr>
        <w:t>Στις 18/11/2016 οι ασθενείς που υποβάλλονταν σε αιμοκάθαρση στην Ελλάδα ήταν 10.325 (Πηγή: Υπηρεσία Συντονισμού και Ελέγχου προγράμματος ΤΣΧΝΝ,</w:t>
      </w:r>
      <w:r w:rsidR="006F78EA" w:rsidRPr="00282B91">
        <w:rPr>
          <w:rFonts w:cstheme="minorHAnsi"/>
          <w:iCs/>
          <w:sz w:val="24"/>
          <w:szCs w:val="24"/>
        </w:rPr>
        <w:t xml:space="preserve"> </w:t>
      </w:r>
      <w:r w:rsidR="009B2A2B" w:rsidRPr="00282B91">
        <w:rPr>
          <w:rFonts w:cstheme="minorHAnsi"/>
          <w:iCs/>
          <w:sz w:val="24"/>
          <w:szCs w:val="24"/>
        </w:rPr>
        <w:t>2016, βλ. Παράρτημα).</w:t>
      </w:r>
    </w:p>
    <w:p w:rsidR="00116F5C" w:rsidRPr="00C20FEC" w:rsidRDefault="00116F5C" w:rsidP="005A464E">
      <w:pPr>
        <w:spacing w:line="360" w:lineRule="auto"/>
        <w:jc w:val="both"/>
        <w:rPr>
          <w:sz w:val="24"/>
          <w:szCs w:val="24"/>
        </w:rPr>
      </w:pPr>
      <w:r w:rsidRPr="005A464E">
        <w:rPr>
          <w:sz w:val="24"/>
          <w:szCs w:val="24"/>
        </w:rPr>
        <w:t xml:space="preserve">Είναι απαραίτητο να εφαρμοστούν προγράμματα για την ανίχνευση της </w:t>
      </w:r>
      <w:r w:rsidR="000653D3" w:rsidRPr="006D0728">
        <w:rPr>
          <w:sz w:val="24"/>
          <w:szCs w:val="24"/>
        </w:rPr>
        <w:t>ΧΝΝ</w:t>
      </w:r>
      <w:r w:rsidRPr="006D0728">
        <w:rPr>
          <w:sz w:val="24"/>
          <w:szCs w:val="24"/>
        </w:rPr>
        <w:t>,</w:t>
      </w:r>
      <w:r w:rsidRPr="005A464E">
        <w:rPr>
          <w:sz w:val="24"/>
          <w:szCs w:val="24"/>
        </w:rPr>
        <w:t xml:space="preserve"> που συνδέονται με ολοκληρωμένες στρατηγικές για πρωτογενή και δευτερογενή πρόληψη. Επιτυχημένα παραδείγματα τέτοιων προγραμμάτων έχουν εφαρμοσθεί σε ανεπτυγμένες και </w:t>
      </w:r>
      <w:r w:rsidRPr="006D0728">
        <w:rPr>
          <w:sz w:val="24"/>
          <w:szCs w:val="24"/>
        </w:rPr>
        <w:t>αναπτυσσόμενες</w:t>
      </w:r>
      <w:r w:rsidRPr="005A464E">
        <w:rPr>
          <w:sz w:val="24"/>
          <w:szCs w:val="24"/>
        </w:rPr>
        <w:t xml:space="preserve"> χώρες. Στην Ολλανδία, με το πρόγραμμα προσυμπτωματικού ελέγχου της </w:t>
      </w:r>
      <w:r w:rsidR="00D9583A">
        <w:rPr>
          <w:sz w:val="24"/>
          <w:szCs w:val="24"/>
        </w:rPr>
        <w:t>ΧΝΝ</w:t>
      </w:r>
      <w:r w:rsidRPr="005A464E">
        <w:rPr>
          <w:sz w:val="24"/>
          <w:szCs w:val="24"/>
        </w:rPr>
        <w:t xml:space="preserve"> (PREVEND) ανιχνεύεται </w:t>
      </w:r>
      <w:r w:rsidR="00731D2A" w:rsidRPr="005A464E">
        <w:rPr>
          <w:sz w:val="24"/>
          <w:szCs w:val="24"/>
        </w:rPr>
        <w:t xml:space="preserve">η </w:t>
      </w:r>
      <w:r w:rsidRPr="005A464E">
        <w:rPr>
          <w:sz w:val="24"/>
          <w:szCs w:val="24"/>
        </w:rPr>
        <w:t xml:space="preserve">λευκωματουρία σε </w:t>
      </w:r>
      <w:r w:rsidR="00A27558">
        <w:rPr>
          <w:sz w:val="24"/>
          <w:szCs w:val="24"/>
        </w:rPr>
        <w:t xml:space="preserve">ποσοστό </w:t>
      </w:r>
      <w:r w:rsidRPr="005A464E">
        <w:rPr>
          <w:sz w:val="24"/>
          <w:szCs w:val="24"/>
        </w:rPr>
        <w:t>περίπου 6-7% του πληθυσμού της πόλης του Γκρόνινγκεν</w:t>
      </w:r>
      <w:r w:rsidR="005265EA" w:rsidRPr="005A464E">
        <w:rPr>
          <w:sz w:val="24"/>
          <w:szCs w:val="24"/>
        </w:rPr>
        <w:t xml:space="preserve"> </w:t>
      </w:r>
      <w:r w:rsidR="000750C7" w:rsidRPr="005A464E">
        <w:t>(</w:t>
      </w:r>
      <w:r w:rsidR="000750C7" w:rsidRPr="005A464E">
        <w:rPr>
          <w:sz w:val="24"/>
          <w:szCs w:val="24"/>
        </w:rPr>
        <w:t xml:space="preserve">Hillege </w:t>
      </w:r>
      <w:r w:rsidR="00566CAA">
        <w:rPr>
          <w:sz w:val="24"/>
          <w:szCs w:val="24"/>
        </w:rPr>
        <w:t>et al</w:t>
      </w:r>
      <w:r w:rsidR="008D4BFB" w:rsidRPr="008D4BFB">
        <w:rPr>
          <w:sz w:val="24"/>
          <w:szCs w:val="24"/>
        </w:rPr>
        <w:t>.</w:t>
      </w:r>
      <w:r w:rsidR="00FD229A" w:rsidRPr="00FD229A">
        <w:rPr>
          <w:sz w:val="24"/>
          <w:szCs w:val="24"/>
        </w:rPr>
        <w:t>,</w:t>
      </w:r>
      <w:r w:rsidR="00533E14" w:rsidRPr="005A464E">
        <w:rPr>
          <w:sz w:val="24"/>
          <w:szCs w:val="24"/>
        </w:rPr>
        <w:t xml:space="preserve"> </w:t>
      </w:r>
      <w:r w:rsidR="000750C7" w:rsidRPr="005A464E">
        <w:rPr>
          <w:sz w:val="24"/>
          <w:szCs w:val="24"/>
        </w:rPr>
        <w:t>2001).</w:t>
      </w:r>
      <w:r w:rsidR="00E37A5F" w:rsidRPr="005A464E">
        <w:rPr>
          <w:sz w:val="24"/>
          <w:szCs w:val="24"/>
        </w:rPr>
        <w:t xml:space="preserve"> Στην επαρχία Chennai της Ινδίας </w:t>
      </w:r>
      <w:r w:rsidR="000750C7" w:rsidRPr="005A464E">
        <w:rPr>
          <w:sz w:val="24"/>
          <w:szCs w:val="24"/>
        </w:rPr>
        <w:t>(Datta &amp; Mani</w:t>
      </w:r>
      <w:r w:rsidR="00AB454B">
        <w:rPr>
          <w:sz w:val="24"/>
          <w:szCs w:val="24"/>
        </w:rPr>
        <w:t>,</w:t>
      </w:r>
      <w:r w:rsidR="000750C7" w:rsidRPr="005A464E">
        <w:rPr>
          <w:sz w:val="24"/>
          <w:szCs w:val="24"/>
        </w:rPr>
        <w:t xml:space="preserve"> 2005)</w:t>
      </w:r>
      <w:r w:rsidR="00800193">
        <w:rPr>
          <w:sz w:val="24"/>
          <w:szCs w:val="24"/>
        </w:rPr>
        <w:t xml:space="preserve"> </w:t>
      </w:r>
      <w:r w:rsidR="00800193" w:rsidRPr="00282B91">
        <w:rPr>
          <w:sz w:val="24"/>
          <w:szCs w:val="24"/>
        </w:rPr>
        <w:t xml:space="preserve">και </w:t>
      </w:r>
      <w:r w:rsidR="00C7603C" w:rsidRPr="00282B91">
        <w:rPr>
          <w:sz w:val="24"/>
          <w:szCs w:val="24"/>
        </w:rPr>
        <w:t>στου</w:t>
      </w:r>
      <w:r w:rsidR="00800193" w:rsidRPr="00282B91">
        <w:rPr>
          <w:sz w:val="24"/>
          <w:szCs w:val="24"/>
        </w:rPr>
        <w:t>ς ιθαγενείς της Β</w:t>
      </w:r>
      <w:r w:rsidR="00E37A5F" w:rsidRPr="00282B91">
        <w:rPr>
          <w:sz w:val="24"/>
          <w:szCs w:val="24"/>
        </w:rPr>
        <w:t>όρειας Αυστραλίας</w:t>
      </w:r>
      <w:r w:rsidR="005265EA" w:rsidRPr="00282B91">
        <w:rPr>
          <w:sz w:val="24"/>
          <w:szCs w:val="24"/>
        </w:rPr>
        <w:t xml:space="preserve"> </w:t>
      </w:r>
      <w:r w:rsidR="000750C7" w:rsidRPr="00282B91">
        <w:rPr>
          <w:sz w:val="24"/>
          <w:szCs w:val="24"/>
        </w:rPr>
        <w:t xml:space="preserve">(Hoy </w:t>
      </w:r>
      <w:r w:rsidR="00566CAA" w:rsidRPr="00282B91">
        <w:rPr>
          <w:sz w:val="24"/>
          <w:szCs w:val="24"/>
        </w:rPr>
        <w:t>et al</w:t>
      </w:r>
      <w:r w:rsidR="008D4BFB" w:rsidRPr="00282B91">
        <w:rPr>
          <w:sz w:val="24"/>
          <w:szCs w:val="24"/>
        </w:rPr>
        <w:t>.</w:t>
      </w:r>
      <w:r w:rsidR="00FD229A" w:rsidRPr="00282B91">
        <w:rPr>
          <w:sz w:val="24"/>
          <w:szCs w:val="24"/>
        </w:rPr>
        <w:t>,</w:t>
      </w:r>
      <w:r w:rsidR="000750C7" w:rsidRPr="00282B91">
        <w:rPr>
          <w:sz w:val="24"/>
          <w:szCs w:val="24"/>
        </w:rPr>
        <w:t xml:space="preserve"> 2005),</w:t>
      </w:r>
      <w:r w:rsidR="00E37A5F" w:rsidRPr="00282B91">
        <w:rPr>
          <w:sz w:val="24"/>
          <w:szCs w:val="24"/>
        </w:rPr>
        <w:t xml:space="preserve"> η ανίχνευση της </w:t>
      </w:r>
      <w:r w:rsidR="000653D3" w:rsidRPr="00282B91">
        <w:rPr>
          <w:sz w:val="24"/>
          <w:szCs w:val="24"/>
        </w:rPr>
        <w:t>ΧΝΝ</w:t>
      </w:r>
      <w:r w:rsidR="00E37A5F" w:rsidRPr="00282B91">
        <w:rPr>
          <w:sz w:val="24"/>
          <w:szCs w:val="24"/>
        </w:rPr>
        <w:t xml:space="preserve"> και των προδιαθεσικών παραγόντων</w:t>
      </w:r>
      <w:r w:rsidR="00800193" w:rsidRPr="00282B91">
        <w:rPr>
          <w:sz w:val="24"/>
          <w:szCs w:val="24"/>
        </w:rPr>
        <w:t>,</w:t>
      </w:r>
      <w:r w:rsidR="00E37A5F" w:rsidRPr="00282B91">
        <w:rPr>
          <w:sz w:val="24"/>
          <w:szCs w:val="24"/>
        </w:rPr>
        <w:t xml:space="preserve"> όπως ο σακχαρώδης διαβήτης και η υπέρταση οδήγησε σε αποτελεσματικές παρεμβάσεις. Στη Σιγκαπούρη</w:t>
      </w:r>
      <w:r w:rsidR="00E37A5F" w:rsidRPr="006D0728">
        <w:rPr>
          <w:sz w:val="24"/>
          <w:szCs w:val="24"/>
        </w:rPr>
        <w:t>, το Εθνικό</w:t>
      </w:r>
      <w:r w:rsidR="005265EA" w:rsidRPr="006D0728">
        <w:rPr>
          <w:sz w:val="24"/>
          <w:szCs w:val="24"/>
        </w:rPr>
        <w:t xml:space="preserve"> </w:t>
      </w:r>
      <w:r w:rsidR="00E37A5F" w:rsidRPr="006D0728">
        <w:rPr>
          <w:sz w:val="24"/>
          <w:szCs w:val="24"/>
        </w:rPr>
        <w:t>Νεφρολογικό Ίδρυμα</w:t>
      </w:r>
      <w:r w:rsidR="005265EA" w:rsidRPr="006D0728">
        <w:rPr>
          <w:sz w:val="24"/>
          <w:szCs w:val="24"/>
        </w:rPr>
        <w:t xml:space="preserve"> έχει ξεκινήσει ένα</w:t>
      </w:r>
      <w:r w:rsidR="00E37A5F" w:rsidRPr="006D0728">
        <w:rPr>
          <w:sz w:val="24"/>
          <w:szCs w:val="24"/>
        </w:rPr>
        <w:t xml:space="preserve"> πανεθνικό ολοκληρωμένο πρόγραμμα ελέγχου και ανίχνευσης της </w:t>
      </w:r>
      <w:r w:rsidR="000653D3" w:rsidRPr="006D0728">
        <w:rPr>
          <w:sz w:val="24"/>
          <w:szCs w:val="24"/>
        </w:rPr>
        <w:t>ΧΝΝ</w:t>
      </w:r>
      <w:r w:rsidR="000750C7" w:rsidRPr="006D0728">
        <w:rPr>
          <w:sz w:val="24"/>
          <w:szCs w:val="24"/>
        </w:rPr>
        <w:t xml:space="preserve"> (</w:t>
      </w:r>
      <w:r w:rsidR="00354657" w:rsidRPr="006D0728">
        <w:rPr>
          <w:sz w:val="24"/>
          <w:szCs w:val="24"/>
        </w:rPr>
        <w:t>Ramirez</w:t>
      </w:r>
      <w:r w:rsidR="008D4BFB" w:rsidRPr="006D0728">
        <w:rPr>
          <w:sz w:val="24"/>
          <w:szCs w:val="24"/>
        </w:rPr>
        <w:t xml:space="preserve">, </w:t>
      </w:r>
      <w:hyperlink r:id="rId15" w:history="1">
        <w:r w:rsidR="008D4BFB" w:rsidRPr="006D0728">
          <w:rPr>
            <w:rStyle w:val="-"/>
            <w:rFonts w:cstheme="minorHAnsi"/>
            <w:color w:val="auto"/>
            <w:sz w:val="24"/>
            <w:szCs w:val="24"/>
            <w:u w:val="none"/>
            <w:shd w:val="clear" w:color="auto" w:fill="FFFFFF"/>
            <w:lang w:val="en-US"/>
          </w:rPr>
          <w:t>Hsu</w:t>
        </w:r>
        <w:r w:rsidR="00682CF3" w:rsidRPr="006D0728">
          <w:rPr>
            <w:rStyle w:val="-"/>
            <w:rFonts w:cstheme="minorHAnsi"/>
            <w:color w:val="auto"/>
            <w:sz w:val="24"/>
            <w:szCs w:val="24"/>
            <w:u w:val="none"/>
            <w:shd w:val="clear" w:color="auto" w:fill="FFFFFF"/>
          </w:rPr>
          <w:t>,</w:t>
        </w:r>
        <w:r w:rsidR="008D4BFB" w:rsidRPr="006D0728">
          <w:rPr>
            <w:rStyle w:val="-"/>
            <w:rFonts w:cstheme="minorHAnsi"/>
            <w:color w:val="auto"/>
            <w:sz w:val="24"/>
            <w:szCs w:val="24"/>
            <w:u w:val="none"/>
            <w:shd w:val="clear" w:color="auto" w:fill="FFFFFF"/>
          </w:rPr>
          <w:t xml:space="preserve"> </w:t>
        </w:r>
      </w:hyperlink>
      <w:r w:rsidR="008D4BFB" w:rsidRPr="006D0728">
        <w:rPr>
          <w:rStyle w:val="apple-converted-space"/>
          <w:rFonts w:cstheme="minorHAnsi"/>
          <w:sz w:val="24"/>
          <w:szCs w:val="24"/>
          <w:shd w:val="clear" w:color="auto" w:fill="FFFFFF"/>
        </w:rPr>
        <w:t xml:space="preserve">&amp; </w:t>
      </w:r>
      <w:hyperlink r:id="rId16" w:history="1">
        <w:r w:rsidR="008D4BFB" w:rsidRPr="006D0728">
          <w:rPr>
            <w:rStyle w:val="-"/>
            <w:rFonts w:cstheme="minorHAnsi"/>
            <w:color w:val="auto"/>
            <w:sz w:val="24"/>
            <w:szCs w:val="24"/>
            <w:u w:val="none"/>
            <w:shd w:val="clear" w:color="auto" w:fill="FFFFFF"/>
            <w:lang w:val="en-US"/>
          </w:rPr>
          <w:t>McClellan</w:t>
        </w:r>
      </w:hyperlink>
      <w:r w:rsidR="00AB454B" w:rsidRPr="006D0728">
        <w:rPr>
          <w:sz w:val="24"/>
          <w:szCs w:val="24"/>
        </w:rPr>
        <w:t>,</w:t>
      </w:r>
      <w:r w:rsidR="008D4BFB" w:rsidRPr="006D0728">
        <w:rPr>
          <w:sz w:val="24"/>
          <w:szCs w:val="24"/>
        </w:rPr>
        <w:t xml:space="preserve"> </w:t>
      </w:r>
      <w:r w:rsidR="000750C7" w:rsidRPr="006D0728">
        <w:rPr>
          <w:sz w:val="24"/>
          <w:szCs w:val="24"/>
        </w:rPr>
        <w:t>2003)</w:t>
      </w:r>
      <w:r w:rsidR="005265EA" w:rsidRPr="006D0728">
        <w:rPr>
          <w:sz w:val="24"/>
          <w:szCs w:val="24"/>
        </w:rPr>
        <w:t>.</w:t>
      </w:r>
    </w:p>
    <w:p w:rsidR="00E37A5F" w:rsidRPr="00890A92" w:rsidRDefault="005C023D" w:rsidP="005A464E">
      <w:pPr>
        <w:spacing w:line="360" w:lineRule="auto"/>
        <w:jc w:val="both"/>
        <w:rPr>
          <w:sz w:val="24"/>
          <w:szCs w:val="24"/>
        </w:rPr>
      </w:pPr>
      <w:r w:rsidRPr="00890A92">
        <w:rPr>
          <w:sz w:val="24"/>
          <w:szCs w:val="24"/>
        </w:rPr>
        <w:t>Ο</w:t>
      </w:r>
      <w:r w:rsidR="00463B4D" w:rsidRPr="00890A92">
        <w:rPr>
          <w:sz w:val="24"/>
          <w:szCs w:val="24"/>
        </w:rPr>
        <w:t xml:space="preserve"> μαζικός έλεγχος</w:t>
      </w:r>
      <w:r w:rsidR="00C80397" w:rsidRPr="00890A92">
        <w:rPr>
          <w:sz w:val="24"/>
          <w:szCs w:val="24"/>
        </w:rPr>
        <w:t xml:space="preserve"> του πληθυσμού για τη </w:t>
      </w:r>
      <w:r w:rsidR="00463B4D" w:rsidRPr="00890A92">
        <w:rPr>
          <w:sz w:val="24"/>
          <w:szCs w:val="24"/>
        </w:rPr>
        <w:t>ΧΝΝ με εξετάσεις</w:t>
      </w:r>
      <w:r w:rsidRPr="00890A92">
        <w:rPr>
          <w:sz w:val="24"/>
          <w:szCs w:val="24"/>
        </w:rPr>
        <w:t xml:space="preserve"> όπως η γενική εξέταση</w:t>
      </w:r>
      <w:r w:rsidR="00C80397" w:rsidRPr="00890A92">
        <w:rPr>
          <w:sz w:val="24"/>
          <w:szCs w:val="24"/>
        </w:rPr>
        <w:t xml:space="preserve"> ούρων</w:t>
      </w:r>
      <w:r w:rsidR="00463B4D" w:rsidRPr="00890A92">
        <w:rPr>
          <w:sz w:val="24"/>
          <w:szCs w:val="24"/>
        </w:rPr>
        <w:t>,</w:t>
      </w:r>
      <w:r w:rsidR="00C80397" w:rsidRPr="00890A92">
        <w:rPr>
          <w:sz w:val="24"/>
          <w:szCs w:val="24"/>
        </w:rPr>
        <w:t xml:space="preserve"> </w:t>
      </w:r>
      <w:r w:rsidR="00463B4D" w:rsidRPr="00890A92">
        <w:rPr>
          <w:sz w:val="24"/>
          <w:szCs w:val="24"/>
        </w:rPr>
        <w:t>δεν αποτελεί πρακτική και αποδοτική μέθοδο</w:t>
      </w:r>
      <w:r w:rsidRPr="00890A92">
        <w:rPr>
          <w:sz w:val="24"/>
          <w:szCs w:val="24"/>
        </w:rPr>
        <w:t>. Ωστόσο, οι περισσότερες</w:t>
      </w:r>
      <w:r w:rsidR="00C80397" w:rsidRPr="00890A92">
        <w:rPr>
          <w:sz w:val="24"/>
          <w:szCs w:val="24"/>
        </w:rPr>
        <w:t xml:space="preserve"> κατευθυντήριες οδηγίες </w:t>
      </w:r>
      <w:r w:rsidRPr="00890A92">
        <w:rPr>
          <w:sz w:val="24"/>
          <w:szCs w:val="24"/>
        </w:rPr>
        <w:t>προτείνο</w:t>
      </w:r>
      <w:r w:rsidR="0006164F" w:rsidRPr="00890A92">
        <w:rPr>
          <w:sz w:val="24"/>
          <w:szCs w:val="24"/>
        </w:rPr>
        <w:t>υ</w:t>
      </w:r>
      <w:r w:rsidRPr="00890A92">
        <w:rPr>
          <w:sz w:val="24"/>
          <w:szCs w:val="24"/>
        </w:rPr>
        <w:t>ν</w:t>
      </w:r>
      <w:r w:rsidR="00C80397" w:rsidRPr="00890A92">
        <w:rPr>
          <w:sz w:val="24"/>
          <w:szCs w:val="24"/>
        </w:rPr>
        <w:t xml:space="preserve"> τον εντοπισμό </w:t>
      </w:r>
      <w:r w:rsidR="00A27558" w:rsidRPr="00890A92">
        <w:rPr>
          <w:sz w:val="24"/>
          <w:szCs w:val="24"/>
        </w:rPr>
        <w:t xml:space="preserve">των ατόμων </w:t>
      </w:r>
      <w:r w:rsidR="00C80397" w:rsidRPr="00890A92">
        <w:rPr>
          <w:sz w:val="24"/>
          <w:szCs w:val="24"/>
        </w:rPr>
        <w:t xml:space="preserve">που </w:t>
      </w:r>
      <w:r w:rsidR="005265EA" w:rsidRPr="00890A92">
        <w:rPr>
          <w:sz w:val="24"/>
          <w:szCs w:val="24"/>
        </w:rPr>
        <w:t>βρίσκονται σε κίνδυνο</w:t>
      </w:r>
      <w:r w:rsidRPr="00890A92">
        <w:rPr>
          <w:sz w:val="24"/>
          <w:szCs w:val="24"/>
        </w:rPr>
        <w:t xml:space="preserve"> </w:t>
      </w:r>
      <w:r w:rsidR="005265EA" w:rsidRPr="00890A92">
        <w:rPr>
          <w:sz w:val="24"/>
          <w:szCs w:val="24"/>
        </w:rPr>
        <w:t>(</w:t>
      </w:r>
      <w:r w:rsidR="00C80397" w:rsidRPr="00890A92">
        <w:rPr>
          <w:sz w:val="24"/>
          <w:szCs w:val="24"/>
        </w:rPr>
        <w:t>άτομα με υπέρταση,</w:t>
      </w:r>
      <w:r w:rsidRPr="00890A92">
        <w:rPr>
          <w:sz w:val="24"/>
          <w:szCs w:val="24"/>
        </w:rPr>
        <w:t xml:space="preserve"> σακχαρώδη</w:t>
      </w:r>
      <w:r w:rsidR="0059523E" w:rsidRPr="00890A92">
        <w:rPr>
          <w:sz w:val="24"/>
          <w:szCs w:val="24"/>
        </w:rPr>
        <w:t xml:space="preserve"> διαβήτη, παχυσαρκία</w:t>
      </w:r>
      <w:r w:rsidR="00C80397" w:rsidRPr="00890A92">
        <w:rPr>
          <w:sz w:val="24"/>
          <w:szCs w:val="24"/>
        </w:rPr>
        <w:t xml:space="preserve"> και άλλες καταστάσεις που προδιαθέτουν </w:t>
      </w:r>
      <w:r w:rsidR="00463B4D" w:rsidRPr="00890A92">
        <w:rPr>
          <w:sz w:val="24"/>
          <w:szCs w:val="24"/>
        </w:rPr>
        <w:t>στη</w:t>
      </w:r>
      <w:r w:rsidR="00890A92">
        <w:rPr>
          <w:sz w:val="24"/>
          <w:szCs w:val="24"/>
        </w:rPr>
        <w:t>ν</w:t>
      </w:r>
      <w:r w:rsidR="00463B4D" w:rsidRPr="00890A92">
        <w:rPr>
          <w:sz w:val="24"/>
          <w:szCs w:val="24"/>
        </w:rPr>
        <w:t xml:space="preserve"> </w:t>
      </w:r>
      <w:r w:rsidR="00890A92">
        <w:rPr>
          <w:sz w:val="24"/>
          <w:szCs w:val="24"/>
        </w:rPr>
        <w:t>ΤΣ</w:t>
      </w:r>
      <w:r w:rsidR="00463B4D" w:rsidRPr="00890A92">
        <w:rPr>
          <w:sz w:val="24"/>
          <w:szCs w:val="24"/>
        </w:rPr>
        <w:t>ΧΝΝ</w:t>
      </w:r>
      <w:r w:rsidR="0096306B" w:rsidRPr="00890A92">
        <w:rPr>
          <w:sz w:val="24"/>
          <w:szCs w:val="24"/>
        </w:rPr>
        <w:t>)</w:t>
      </w:r>
      <w:r w:rsidR="00C80397" w:rsidRPr="00890A92">
        <w:rPr>
          <w:sz w:val="24"/>
          <w:szCs w:val="24"/>
        </w:rPr>
        <w:t xml:space="preserve">, καθώς και τους ηλικιωμένους και τους συγγενείς των ασθενών με </w:t>
      </w:r>
      <w:r w:rsidR="00890A92">
        <w:rPr>
          <w:sz w:val="24"/>
          <w:szCs w:val="24"/>
        </w:rPr>
        <w:t>ΤΣ</w:t>
      </w:r>
      <w:r w:rsidR="00463B4D" w:rsidRPr="00890A92">
        <w:rPr>
          <w:sz w:val="24"/>
          <w:szCs w:val="24"/>
        </w:rPr>
        <w:t>ΧΝΝ</w:t>
      </w:r>
      <w:r w:rsidR="000750C7" w:rsidRPr="00890A92">
        <w:rPr>
          <w:sz w:val="24"/>
          <w:szCs w:val="24"/>
        </w:rPr>
        <w:t xml:space="preserve"> (</w:t>
      </w:r>
      <w:r w:rsidR="00282B91" w:rsidRPr="00890A92">
        <w:rPr>
          <w:sz w:val="24"/>
          <w:szCs w:val="24"/>
        </w:rPr>
        <w:t xml:space="preserve">Εθνικό Ιδρύμα Νεφρού-Πρωτοβουλία για την Ποιότητα της Έκβασης της Νεφρικής Νόσου, </w:t>
      </w:r>
      <w:r w:rsidR="00873D94" w:rsidRPr="00890A92">
        <w:rPr>
          <w:sz w:val="24"/>
          <w:szCs w:val="24"/>
        </w:rPr>
        <w:t>N</w:t>
      </w:r>
      <w:r w:rsidR="00873D94" w:rsidRPr="00890A92">
        <w:rPr>
          <w:sz w:val="24"/>
          <w:szCs w:val="24"/>
          <w:lang w:val="en-US"/>
        </w:rPr>
        <w:t>ational</w:t>
      </w:r>
      <w:r w:rsidR="00873D94" w:rsidRPr="00890A92">
        <w:rPr>
          <w:sz w:val="24"/>
          <w:szCs w:val="24"/>
        </w:rPr>
        <w:t xml:space="preserve"> </w:t>
      </w:r>
      <w:r w:rsidR="00873D94" w:rsidRPr="00890A92">
        <w:rPr>
          <w:sz w:val="24"/>
          <w:szCs w:val="24"/>
          <w:lang w:val="en-US"/>
        </w:rPr>
        <w:t>Kidney</w:t>
      </w:r>
      <w:r w:rsidR="00873D94" w:rsidRPr="00890A92">
        <w:rPr>
          <w:sz w:val="24"/>
          <w:szCs w:val="24"/>
        </w:rPr>
        <w:t xml:space="preserve"> </w:t>
      </w:r>
      <w:r w:rsidR="00873D94" w:rsidRPr="00890A92">
        <w:rPr>
          <w:sz w:val="24"/>
          <w:szCs w:val="24"/>
          <w:lang w:val="en-US"/>
        </w:rPr>
        <w:t>Foundati</w:t>
      </w:r>
      <w:r w:rsidR="00EE2C89" w:rsidRPr="00890A92">
        <w:rPr>
          <w:sz w:val="24"/>
          <w:szCs w:val="24"/>
          <w:lang w:val="en-US"/>
        </w:rPr>
        <w:t>o</w:t>
      </w:r>
      <w:r w:rsidR="00873D94" w:rsidRPr="00890A92">
        <w:rPr>
          <w:sz w:val="24"/>
          <w:szCs w:val="24"/>
          <w:lang w:val="en-US"/>
        </w:rPr>
        <w:t>n</w:t>
      </w:r>
      <w:r w:rsidR="00AE092B" w:rsidRPr="00890A92">
        <w:rPr>
          <w:sz w:val="24"/>
          <w:szCs w:val="24"/>
        </w:rPr>
        <w:t xml:space="preserve"> - </w:t>
      </w:r>
      <w:r w:rsidR="00873D94" w:rsidRPr="00890A92">
        <w:rPr>
          <w:sz w:val="24"/>
          <w:szCs w:val="24"/>
          <w:lang w:val="en-US"/>
        </w:rPr>
        <w:t>K</w:t>
      </w:r>
      <w:r w:rsidR="00EE2C89" w:rsidRPr="00890A92">
        <w:rPr>
          <w:sz w:val="24"/>
          <w:szCs w:val="24"/>
          <w:lang w:val="en-US"/>
        </w:rPr>
        <w:t>idney</w:t>
      </w:r>
      <w:r w:rsidR="00EE2C89" w:rsidRPr="00890A92">
        <w:rPr>
          <w:sz w:val="24"/>
          <w:szCs w:val="24"/>
        </w:rPr>
        <w:t xml:space="preserve"> </w:t>
      </w:r>
      <w:r w:rsidR="00873D94" w:rsidRPr="00890A92">
        <w:rPr>
          <w:sz w:val="24"/>
          <w:szCs w:val="24"/>
          <w:lang w:val="en-US"/>
        </w:rPr>
        <w:t>D</w:t>
      </w:r>
      <w:r w:rsidR="00EE2C89" w:rsidRPr="00890A92">
        <w:rPr>
          <w:sz w:val="24"/>
          <w:szCs w:val="24"/>
          <w:lang w:val="en-US"/>
        </w:rPr>
        <w:t>isease</w:t>
      </w:r>
      <w:r w:rsidR="00EE2C89" w:rsidRPr="00890A92">
        <w:rPr>
          <w:sz w:val="24"/>
          <w:szCs w:val="24"/>
        </w:rPr>
        <w:t xml:space="preserve"> </w:t>
      </w:r>
      <w:r w:rsidR="00873D94" w:rsidRPr="00890A92">
        <w:rPr>
          <w:sz w:val="24"/>
          <w:szCs w:val="24"/>
          <w:lang w:val="en-US"/>
        </w:rPr>
        <w:t>O</w:t>
      </w:r>
      <w:r w:rsidR="00EE2C89" w:rsidRPr="00890A92">
        <w:rPr>
          <w:sz w:val="24"/>
          <w:szCs w:val="24"/>
          <w:lang w:val="en-US"/>
        </w:rPr>
        <w:t>utcomes</w:t>
      </w:r>
      <w:r w:rsidR="00EE2C89" w:rsidRPr="00890A92">
        <w:rPr>
          <w:sz w:val="24"/>
          <w:szCs w:val="24"/>
        </w:rPr>
        <w:t xml:space="preserve"> </w:t>
      </w:r>
      <w:r w:rsidR="00873D94" w:rsidRPr="00890A92">
        <w:rPr>
          <w:sz w:val="24"/>
          <w:szCs w:val="24"/>
          <w:lang w:val="en-US"/>
        </w:rPr>
        <w:t>Q</w:t>
      </w:r>
      <w:r w:rsidR="00EE2C89" w:rsidRPr="00890A92">
        <w:rPr>
          <w:sz w:val="24"/>
          <w:szCs w:val="24"/>
          <w:lang w:val="en-US"/>
        </w:rPr>
        <w:t>uality</w:t>
      </w:r>
      <w:r w:rsidR="00EE2C89" w:rsidRPr="00890A92">
        <w:rPr>
          <w:sz w:val="24"/>
          <w:szCs w:val="24"/>
        </w:rPr>
        <w:t xml:space="preserve"> </w:t>
      </w:r>
      <w:r w:rsidR="00873D94" w:rsidRPr="00890A92">
        <w:rPr>
          <w:sz w:val="24"/>
          <w:szCs w:val="24"/>
          <w:lang w:val="en-US"/>
        </w:rPr>
        <w:t>I</w:t>
      </w:r>
      <w:r w:rsidR="00EE2C89" w:rsidRPr="00890A92">
        <w:rPr>
          <w:sz w:val="24"/>
          <w:szCs w:val="24"/>
          <w:lang w:val="en-US"/>
        </w:rPr>
        <w:t>nitiative</w:t>
      </w:r>
      <w:r w:rsidR="00EE2C89" w:rsidRPr="00890A92">
        <w:rPr>
          <w:sz w:val="24"/>
          <w:szCs w:val="24"/>
        </w:rPr>
        <w:t xml:space="preserve"> </w:t>
      </w:r>
      <w:r w:rsidR="00EE2C89" w:rsidRPr="00890A92">
        <w:rPr>
          <w:sz w:val="24"/>
          <w:szCs w:val="24"/>
          <w:lang w:val="en-US"/>
        </w:rPr>
        <w:t>NKF</w:t>
      </w:r>
      <w:r w:rsidR="00AE092B" w:rsidRPr="00890A92">
        <w:rPr>
          <w:sz w:val="24"/>
          <w:szCs w:val="24"/>
        </w:rPr>
        <w:t xml:space="preserve"> - </w:t>
      </w:r>
      <w:r w:rsidR="00EE2C89" w:rsidRPr="00890A92">
        <w:rPr>
          <w:sz w:val="24"/>
          <w:szCs w:val="24"/>
          <w:lang w:val="en-US"/>
        </w:rPr>
        <w:t>KDOQI</w:t>
      </w:r>
      <w:r w:rsidR="00EE2C89" w:rsidRPr="00890A92">
        <w:rPr>
          <w:sz w:val="24"/>
          <w:szCs w:val="24"/>
        </w:rPr>
        <w:t>,</w:t>
      </w:r>
      <w:r w:rsidR="000750C7" w:rsidRPr="00890A92">
        <w:rPr>
          <w:sz w:val="24"/>
          <w:szCs w:val="24"/>
        </w:rPr>
        <w:t xml:space="preserve"> 2002)</w:t>
      </w:r>
      <w:r w:rsidR="008E4179" w:rsidRPr="00890A92">
        <w:rPr>
          <w:sz w:val="24"/>
          <w:szCs w:val="24"/>
        </w:rPr>
        <w:t>.</w:t>
      </w:r>
    </w:p>
    <w:p w:rsidR="00387C8D" w:rsidRPr="00890A92" w:rsidRDefault="0080790C" w:rsidP="000566B3">
      <w:pPr>
        <w:pStyle w:val="25"/>
        <w:numPr>
          <w:ilvl w:val="1"/>
          <w:numId w:val="98"/>
        </w:numPr>
        <w:spacing w:after="240" w:line="360" w:lineRule="auto"/>
        <w:rPr>
          <w:rFonts w:asciiTheme="minorHAnsi" w:hAnsiTheme="minorHAnsi"/>
        </w:rPr>
      </w:pPr>
      <w:bookmarkStart w:id="8" w:name="_Toc495951420"/>
      <w:r w:rsidRPr="00890A92">
        <w:rPr>
          <w:rFonts w:asciiTheme="minorHAnsi" w:hAnsiTheme="minorHAnsi"/>
        </w:rPr>
        <w:t>Ο</w:t>
      </w:r>
      <w:r w:rsidR="00287AEB" w:rsidRPr="00890A92">
        <w:rPr>
          <w:rFonts w:asciiTheme="minorHAnsi" w:hAnsiTheme="minorHAnsi"/>
        </w:rPr>
        <w:t xml:space="preserve">ρισμός </w:t>
      </w:r>
      <w:r w:rsidR="00AE092B" w:rsidRPr="00890A92">
        <w:rPr>
          <w:rFonts w:asciiTheme="minorHAnsi" w:hAnsiTheme="minorHAnsi"/>
        </w:rPr>
        <w:t xml:space="preserve">και σταδιοποίηση </w:t>
      </w:r>
      <w:r w:rsidR="00287AEB" w:rsidRPr="00890A92">
        <w:rPr>
          <w:rFonts w:asciiTheme="minorHAnsi" w:hAnsiTheme="minorHAnsi"/>
        </w:rPr>
        <w:t>της ΧΝΝ</w:t>
      </w:r>
      <w:bookmarkEnd w:id="8"/>
      <w:r w:rsidR="00AE092B" w:rsidRPr="00890A92">
        <w:rPr>
          <w:rFonts w:asciiTheme="minorHAnsi" w:hAnsiTheme="minorHAnsi"/>
          <w:lang w:val="en-US"/>
        </w:rPr>
        <w:t xml:space="preserve"> </w:t>
      </w:r>
    </w:p>
    <w:p w:rsidR="0080790C" w:rsidRPr="00D05EBC" w:rsidRDefault="0080790C" w:rsidP="005A464E">
      <w:pPr>
        <w:spacing w:line="360" w:lineRule="auto"/>
        <w:jc w:val="both"/>
        <w:rPr>
          <w:sz w:val="24"/>
          <w:szCs w:val="24"/>
          <w:highlight w:val="yellow"/>
        </w:rPr>
      </w:pPr>
      <w:r w:rsidRPr="006D0728">
        <w:rPr>
          <w:sz w:val="24"/>
          <w:szCs w:val="24"/>
        </w:rPr>
        <w:t xml:space="preserve">Η </w:t>
      </w:r>
      <w:r w:rsidR="000653D3" w:rsidRPr="006D0728">
        <w:rPr>
          <w:sz w:val="24"/>
          <w:szCs w:val="24"/>
        </w:rPr>
        <w:t>ΧΝΝ</w:t>
      </w:r>
      <w:r w:rsidR="000326F6" w:rsidRPr="005A464E">
        <w:rPr>
          <w:sz w:val="24"/>
          <w:szCs w:val="24"/>
        </w:rPr>
        <w:t xml:space="preserve"> είναι το κλινικό σύνδρομο</w:t>
      </w:r>
      <w:r w:rsidRPr="005A464E">
        <w:rPr>
          <w:sz w:val="24"/>
          <w:szCs w:val="24"/>
        </w:rPr>
        <w:t xml:space="preserve"> ή η περίπτωση κατά την οποία ο Ρυθμός Σπειραματικής Διήθησης (</w:t>
      </w:r>
      <w:r w:rsidRPr="005A464E">
        <w:rPr>
          <w:sz w:val="24"/>
          <w:szCs w:val="24"/>
          <w:lang w:val="en-US"/>
        </w:rPr>
        <w:t>Glomerular</w:t>
      </w:r>
      <w:r w:rsidR="00387C8D" w:rsidRPr="005A464E">
        <w:rPr>
          <w:sz w:val="24"/>
          <w:szCs w:val="24"/>
        </w:rPr>
        <w:t xml:space="preserve"> </w:t>
      </w:r>
      <w:r w:rsidRPr="005A464E">
        <w:rPr>
          <w:sz w:val="24"/>
          <w:szCs w:val="24"/>
          <w:lang w:val="en-US"/>
        </w:rPr>
        <w:t>Filtration</w:t>
      </w:r>
      <w:r w:rsidR="00387C8D" w:rsidRPr="005A464E">
        <w:rPr>
          <w:sz w:val="24"/>
          <w:szCs w:val="24"/>
        </w:rPr>
        <w:t xml:space="preserve"> </w:t>
      </w:r>
      <w:r w:rsidRPr="005A464E">
        <w:rPr>
          <w:sz w:val="24"/>
          <w:szCs w:val="24"/>
          <w:lang w:val="en-US"/>
        </w:rPr>
        <w:t>Rate</w:t>
      </w:r>
      <w:r w:rsidRPr="005A464E">
        <w:rPr>
          <w:sz w:val="24"/>
          <w:szCs w:val="24"/>
        </w:rPr>
        <w:t xml:space="preserve">, </w:t>
      </w:r>
      <w:r w:rsidRPr="005A464E">
        <w:rPr>
          <w:sz w:val="24"/>
          <w:szCs w:val="24"/>
          <w:lang w:val="en-US"/>
        </w:rPr>
        <w:t>GFR</w:t>
      </w:r>
      <w:r w:rsidRPr="005A464E">
        <w:rPr>
          <w:sz w:val="24"/>
          <w:szCs w:val="24"/>
        </w:rPr>
        <w:t>)</w:t>
      </w:r>
      <w:r w:rsidR="00D40E54">
        <w:rPr>
          <w:sz w:val="24"/>
          <w:szCs w:val="24"/>
        </w:rPr>
        <w:t xml:space="preserve"> </w:t>
      </w:r>
      <w:r w:rsidRPr="005A464E">
        <w:rPr>
          <w:sz w:val="24"/>
          <w:szCs w:val="24"/>
        </w:rPr>
        <w:t xml:space="preserve">είναι &lt;60 </w:t>
      </w:r>
      <w:r w:rsidR="004A6D43">
        <w:rPr>
          <w:sz w:val="24"/>
          <w:szCs w:val="24"/>
          <w:lang w:val="en-US"/>
        </w:rPr>
        <w:t>mL</w:t>
      </w:r>
      <w:r w:rsidRPr="005A464E">
        <w:rPr>
          <w:sz w:val="24"/>
          <w:szCs w:val="24"/>
        </w:rPr>
        <w:t>/</w:t>
      </w:r>
      <w:r w:rsidRPr="005A464E">
        <w:rPr>
          <w:sz w:val="24"/>
          <w:szCs w:val="24"/>
          <w:lang w:val="en-US"/>
        </w:rPr>
        <w:t>min</w:t>
      </w:r>
      <w:r w:rsidRPr="005A464E">
        <w:rPr>
          <w:sz w:val="24"/>
          <w:szCs w:val="24"/>
        </w:rPr>
        <w:t>/</w:t>
      </w:r>
      <w:r w:rsidR="00EF6A06">
        <w:rPr>
          <w:sz w:val="24"/>
          <w:szCs w:val="24"/>
        </w:rPr>
        <w:t>1,</w:t>
      </w:r>
      <w:r w:rsidRPr="005A464E">
        <w:rPr>
          <w:sz w:val="24"/>
          <w:szCs w:val="24"/>
        </w:rPr>
        <w:t>73</w:t>
      </w:r>
      <w:r w:rsidRPr="005A464E">
        <w:rPr>
          <w:sz w:val="24"/>
          <w:szCs w:val="24"/>
          <w:lang w:val="en-US"/>
        </w:rPr>
        <w:t>m</w:t>
      </w:r>
      <w:r w:rsidRPr="005A464E">
        <w:rPr>
          <w:sz w:val="24"/>
          <w:szCs w:val="24"/>
          <w:vertAlign w:val="superscript"/>
        </w:rPr>
        <w:t>2</w:t>
      </w:r>
      <w:r w:rsidR="0078495A">
        <w:rPr>
          <w:sz w:val="24"/>
          <w:szCs w:val="24"/>
          <w:vertAlign w:val="superscript"/>
        </w:rPr>
        <w:t xml:space="preserve"> </w:t>
      </w:r>
      <w:r w:rsidRPr="005A464E">
        <w:rPr>
          <w:sz w:val="24"/>
          <w:szCs w:val="24"/>
        </w:rPr>
        <w:t xml:space="preserve">για χρονικό διάστημα τριών μηνών ή και περισσότερο, </w:t>
      </w:r>
      <w:r w:rsidRPr="00890A92">
        <w:rPr>
          <w:sz w:val="24"/>
          <w:szCs w:val="24"/>
        </w:rPr>
        <w:t>ανεξάρτητα από την αιτία. Η νεφρική βλάβη καθορίζεται από την παρουσία</w:t>
      </w:r>
      <w:r w:rsidR="0078495A" w:rsidRPr="00890A92">
        <w:rPr>
          <w:sz w:val="24"/>
          <w:szCs w:val="24"/>
        </w:rPr>
        <w:t xml:space="preserve"> </w:t>
      </w:r>
      <w:r w:rsidR="006D0728" w:rsidRPr="00890A92">
        <w:rPr>
          <w:sz w:val="24"/>
          <w:szCs w:val="24"/>
        </w:rPr>
        <w:t>λευκωματουρίας</w:t>
      </w:r>
      <w:r w:rsidRPr="00890A92">
        <w:rPr>
          <w:sz w:val="24"/>
          <w:szCs w:val="24"/>
        </w:rPr>
        <w:t xml:space="preserve"> </w:t>
      </w:r>
      <w:r w:rsidR="00D05EBC" w:rsidRPr="00890A92">
        <w:rPr>
          <w:sz w:val="24"/>
          <w:szCs w:val="24"/>
        </w:rPr>
        <w:t>(</w:t>
      </w:r>
      <w:r w:rsidRPr="00890A92">
        <w:rPr>
          <w:sz w:val="24"/>
          <w:szCs w:val="24"/>
        </w:rPr>
        <w:t>λόγος αλβουμίνης / κρεατινίνη</w:t>
      </w:r>
      <w:r w:rsidR="006F78EA" w:rsidRPr="00890A92">
        <w:rPr>
          <w:sz w:val="24"/>
          <w:szCs w:val="24"/>
        </w:rPr>
        <w:t>ς</w:t>
      </w:r>
      <w:r w:rsidR="000F3D46" w:rsidRPr="00890A92">
        <w:rPr>
          <w:sz w:val="24"/>
          <w:szCs w:val="24"/>
        </w:rPr>
        <w:t xml:space="preserve"> </w:t>
      </w:r>
      <w:r w:rsidRPr="00890A92">
        <w:rPr>
          <w:sz w:val="24"/>
          <w:szCs w:val="24"/>
        </w:rPr>
        <w:t xml:space="preserve">&gt; 30 </w:t>
      </w:r>
      <w:r w:rsidRPr="00890A92">
        <w:rPr>
          <w:sz w:val="24"/>
          <w:szCs w:val="24"/>
          <w:lang w:val="en-US"/>
        </w:rPr>
        <w:t>mg</w:t>
      </w:r>
      <w:r w:rsidR="00A05DF7" w:rsidRPr="00890A92">
        <w:rPr>
          <w:sz w:val="24"/>
          <w:szCs w:val="24"/>
        </w:rPr>
        <w:t>/</w:t>
      </w:r>
      <w:r w:rsidRPr="00890A92">
        <w:rPr>
          <w:sz w:val="24"/>
          <w:szCs w:val="24"/>
          <w:lang w:val="en-US"/>
        </w:rPr>
        <w:t>g</w:t>
      </w:r>
      <w:r w:rsidR="00A05DF7" w:rsidRPr="00890A92">
        <w:rPr>
          <w:sz w:val="24"/>
          <w:szCs w:val="24"/>
        </w:rPr>
        <w:t xml:space="preserve"> </w:t>
      </w:r>
      <w:r w:rsidRPr="00890A92">
        <w:rPr>
          <w:sz w:val="24"/>
          <w:szCs w:val="24"/>
        </w:rPr>
        <w:t xml:space="preserve">σε </w:t>
      </w:r>
      <w:r w:rsidR="000F3D46" w:rsidRPr="00890A92">
        <w:rPr>
          <w:sz w:val="24"/>
          <w:szCs w:val="24"/>
        </w:rPr>
        <w:t>δείγμα πρωιν</w:t>
      </w:r>
      <w:r w:rsidR="00D05EBC" w:rsidRPr="00890A92">
        <w:rPr>
          <w:sz w:val="24"/>
          <w:szCs w:val="24"/>
        </w:rPr>
        <w:t xml:space="preserve">ών </w:t>
      </w:r>
      <w:r w:rsidRPr="00890A92">
        <w:rPr>
          <w:sz w:val="24"/>
          <w:szCs w:val="24"/>
        </w:rPr>
        <w:t>ούρων</w:t>
      </w:r>
      <w:r w:rsidR="006D0728" w:rsidRPr="00890A92">
        <w:rPr>
          <w:sz w:val="24"/>
          <w:szCs w:val="24"/>
        </w:rPr>
        <w:t>)</w:t>
      </w:r>
      <w:r w:rsidRPr="00890A92">
        <w:rPr>
          <w:sz w:val="24"/>
          <w:szCs w:val="24"/>
        </w:rPr>
        <w:t>.</w:t>
      </w:r>
      <w:r w:rsidR="0066333E" w:rsidRPr="00890A92">
        <w:rPr>
          <w:sz w:val="24"/>
          <w:szCs w:val="24"/>
        </w:rPr>
        <w:t xml:space="preserve"> Ο </w:t>
      </w:r>
      <w:r w:rsidR="00890A92">
        <w:rPr>
          <w:sz w:val="24"/>
          <w:szCs w:val="24"/>
          <w:lang w:val="en-US"/>
        </w:rPr>
        <w:t>GFR</w:t>
      </w:r>
      <w:r w:rsidR="00890A92" w:rsidRPr="00890A92">
        <w:rPr>
          <w:sz w:val="24"/>
          <w:szCs w:val="24"/>
        </w:rPr>
        <w:t xml:space="preserve"> </w:t>
      </w:r>
      <w:r w:rsidRPr="005A464E">
        <w:rPr>
          <w:sz w:val="24"/>
          <w:szCs w:val="24"/>
        </w:rPr>
        <w:t xml:space="preserve">υπολογίζεται από την εξίσωση </w:t>
      </w:r>
      <w:r w:rsidRPr="005A464E">
        <w:rPr>
          <w:sz w:val="24"/>
          <w:szCs w:val="24"/>
          <w:lang w:val="en-US"/>
        </w:rPr>
        <w:t>Modification</w:t>
      </w:r>
      <w:r w:rsidR="00387C8D" w:rsidRPr="005A464E">
        <w:rPr>
          <w:sz w:val="24"/>
          <w:szCs w:val="24"/>
        </w:rPr>
        <w:t xml:space="preserve"> </w:t>
      </w:r>
      <w:r w:rsidRPr="005A464E">
        <w:rPr>
          <w:sz w:val="24"/>
          <w:szCs w:val="24"/>
          <w:lang w:val="en-US"/>
        </w:rPr>
        <w:t>of</w:t>
      </w:r>
      <w:r w:rsidR="00387C8D" w:rsidRPr="005A464E">
        <w:rPr>
          <w:sz w:val="24"/>
          <w:szCs w:val="24"/>
        </w:rPr>
        <w:t xml:space="preserve"> </w:t>
      </w:r>
      <w:r w:rsidRPr="005A464E">
        <w:rPr>
          <w:sz w:val="24"/>
          <w:szCs w:val="24"/>
          <w:lang w:val="en-US"/>
        </w:rPr>
        <w:t>Diet</w:t>
      </w:r>
      <w:r w:rsidR="00387C8D" w:rsidRPr="005A464E">
        <w:rPr>
          <w:sz w:val="24"/>
          <w:szCs w:val="24"/>
        </w:rPr>
        <w:t xml:space="preserve"> </w:t>
      </w:r>
      <w:r w:rsidRPr="005A464E">
        <w:rPr>
          <w:sz w:val="24"/>
          <w:szCs w:val="24"/>
          <w:lang w:val="en-US"/>
        </w:rPr>
        <w:t>in</w:t>
      </w:r>
      <w:r w:rsidR="00387C8D" w:rsidRPr="005A464E">
        <w:rPr>
          <w:sz w:val="24"/>
          <w:szCs w:val="24"/>
        </w:rPr>
        <w:t xml:space="preserve"> </w:t>
      </w:r>
      <w:r w:rsidRPr="005A464E">
        <w:rPr>
          <w:sz w:val="24"/>
          <w:szCs w:val="24"/>
          <w:lang w:val="en-US"/>
        </w:rPr>
        <w:t>Renal</w:t>
      </w:r>
      <w:r w:rsidR="00387C8D" w:rsidRPr="005A464E">
        <w:rPr>
          <w:sz w:val="24"/>
          <w:szCs w:val="24"/>
        </w:rPr>
        <w:t xml:space="preserve"> </w:t>
      </w:r>
      <w:r w:rsidRPr="005A464E">
        <w:rPr>
          <w:sz w:val="24"/>
          <w:szCs w:val="24"/>
          <w:lang w:val="en-US"/>
        </w:rPr>
        <w:t>Disease</w:t>
      </w:r>
      <w:r w:rsidRPr="005A464E">
        <w:rPr>
          <w:sz w:val="24"/>
          <w:szCs w:val="24"/>
        </w:rPr>
        <w:t xml:space="preserve"> (</w:t>
      </w:r>
      <w:r w:rsidRPr="005A464E">
        <w:rPr>
          <w:sz w:val="24"/>
          <w:szCs w:val="24"/>
          <w:lang w:val="en-US"/>
        </w:rPr>
        <w:t>MDRD</w:t>
      </w:r>
      <w:r w:rsidRPr="005A464E">
        <w:rPr>
          <w:sz w:val="24"/>
          <w:szCs w:val="24"/>
        </w:rPr>
        <w:t xml:space="preserve">) ή την </w:t>
      </w:r>
      <w:r w:rsidRPr="005A464E">
        <w:rPr>
          <w:sz w:val="24"/>
          <w:szCs w:val="24"/>
          <w:lang w:val="en-US"/>
        </w:rPr>
        <w:t>Cockcroft</w:t>
      </w:r>
      <w:r w:rsidRPr="005A464E">
        <w:rPr>
          <w:sz w:val="24"/>
          <w:szCs w:val="24"/>
        </w:rPr>
        <w:t>-</w:t>
      </w:r>
      <w:r w:rsidRPr="005A464E">
        <w:rPr>
          <w:sz w:val="24"/>
          <w:szCs w:val="24"/>
          <w:lang w:val="en-US"/>
        </w:rPr>
        <w:t>formula</w:t>
      </w:r>
      <w:r w:rsidR="00387C8D" w:rsidRPr="005A464E">
        <w:rPr>
          <w:sz w:val="24"/>
          <w:szCs w:val="24"/>
        </w:rPr>
        <w:t xml:space="preserve"> </w:t>
      </w:r>
      <w:r w:rsidRPr="005A464E">
        <w:rPr>
          <w:sz w:val="24"/>
          <w:szCs w:val="24"/>
        </w:rPr>
        <w:t>ή την</w:t>
      </w:r>
      <w:r w:rsidR="00387C8D" w:rsidRPr="005A464E">
        <w:rPr>
          <w:sz w:val="24"/>
          <w:szCs w:val="24"/>
        </w:rPr>
        <w:t xml:space="preserve"> </w:t>
      </w:r>
      <w:r w:rsidRPr="005A464E">
        <w:rPr>
          <w:sz w:val="24"/>
          <w:szCs w:val="24"/>
          <w:shd w:val="clear" w:color="auto" w:fill="FFFFFF"/>
        </w:rPr>
        <w:t xml:space="preserve">μέτρηση της κάθαρσης της </w:t>
      </w:r>
      <w:r w:rsidRPr="006F78EA">
        <w:rPr>
          <w:rFonts w:cs="Calibri"/>
          <w:sz w:val="24"/>
          <w:szCs w:val="24"/>
          <w:shd w:val="clear" w:color="auto" w:fill="FFFFFF"/>
        </w:rPr>
        <w:t>κρεατινίνης (C</w:t>
      </w:r>
      <w:r w:rsidR="00AE3DBC" w:rsidRPr="006F78EA">
        <w:rPr>
          <w:rFonts w:cs="Calibri"/>
          <w:sz w:val="24"/>
          <w:szCs w:val="24"/>
          <w:shd w:val="clear" w:color="auto" w:fill="FFFFFF"/>
          <w:lang w:val="en-US"/>
        </w:rPr>
        <w:t>learance</w:t>
      </w:r>
      <w:r w:rsidR="00AE3DBC" w:rsidRPr="006F78EA">
        <w:rPr>
          <w:rFonts w:cs="Calibri"/>
          <w:sz w:val="24"/>
          <w:szCs w:val="24"/>
          <w:shd w:val="clear" w:color="auto" w:fill="FFFFFF"/>
        </w:rPr>
        <w:t xml:space="preserve"> </w:t>
      </w:r>
      <w:r w:rsidRPr="006F78EA">
        <w:rPr>
          <w:rFonts w:cs="Calibri"/>
          <w:sz w:val="24"/>
          <w:szCs w:val="24"/>
          <w:shd w:val="clear" w:color="auto" w:fill="FFFFFF"/>
        </w:rPr>
        <w:t>cr</w:t>
      </w:r>
      <w:r w:rsidR="00AE3DBC" w:rsidRPr="006F78EA">
        <w:rPr>
          <w:rFonts w:cs="Calibri"/>
          <w:sz w:val="24"/>
          <w:szCs w:val="24"/>
          <w:shd w:val="clear" w:color="auto" w:fill="FFFFFF"/>
          <w:lang w:val="en-US"/>
        </w:rPr>
        <w:t>eatinine</w:t>
      </w:r>
      <w:r w:rsidR="00CB0C59">
        <w:rPr>
          <w:rFonts w:cs="Calibri"/>
          <w:sz w:val="24"/>
          <w:szCs w:val="24"/>
          <w:shd w:val="clear" w:color="auto" w:fill="FFFFFF"/>
        </w:rPr>
        <w:t>) με συλλογή ούρων 24</w:t>
      </w:r>
      <w:r w:rsidRPr="006F78EA">
        <w:rPr>
          <w:rFonts w:cs="Calibri"/>
          <w:sz w:val="24"/>
          <w:szCs w:val="24"/>
          <w:shd w:val="clear" w:color="auto" w:fill="FFFFFF"/>
        </w:rPr>
        <w:t>ώρου</w:t>
      </w:r>
      <w:r w:rsidR="0066333E" w:rsidRPr="006F78EA">
        <w:rPr>
          <w:rFonts w:cs="Calibri"/>
          <w:sz w:val="24"/>
          <w:szCs w:val="24"/>
          <w:shd w:val="clear" w:color="auto" w:fill="FFFFFF"/>
        </w:rPr>
        <w:t xml:space="preserve"> (</w:t>
      </w:r>
      <w:r w:rsidR="0066333E" w:rsidRPr="006F78EA">
        <w:rPr>
          <w:rFonts w:cs="Calibri"/>
          <w:sz w:val="24"/>
          <w:szCs w:val="24"/>
          <w:shd w:val="clear" w:color="auto" w:fill="FFFFFF"/>
          <w:lang w:val="en-US"/>
        </w:rPr>
        <w:t>Ferreira</w:t>
      </w:r>
      <w:r w:rsidR="0066333E" w:rsidRPr="006F78EA">
        <w:rPr>
          <w:rFonts w:cs="Calibri"/>
          <w:sz w:val="24"/>
          <w:szCs w:val="24"/>
          <w:shd w:val="clear" w:color="auto" w:fill="FFFFFF"/>
        </w:rPr>
        <w:t>-</w:t>
      </w:r>
      <w:r w:rsidR="0066333E" w:rsidRPr="006F78EA">
        <w:rPr>
          <w:rFonts w:cs="Calibri"/>
          <w:sz w:val="24"/>
          <w:szCs w:val="24"/>
          <w:shd w:val="clear" w:color="auto" w:fill="FFFFFF"/>
          <w:lang w:val="en-US"/>
        </w:rPr>
        <w:t>Filho</w:t>
      </w:r>
      <w:r w:rsidR="0066333E" w:rsidRPr="006F78EA">
        <w:rPr>
          <w:rFonts w:cs="Calibri"/>
          <w:sz w:val="24"/>
          <w:szCs w:val="24"/>
          <w:shd w:val="clear" w:color="auto" w:fill="FFFFFF"/>
        </w:rPr>
        <w:t xml:space="preserve">, </w:t>
      </w:r>
      <w:r w:rsidR="0066333E" w:rsidRPr="006F78EA">
        <w:rPr>
          <w:rFonts w:cs="Calibri"/>
          <w:sz w:val="24"/>
          <w:szCs w:val="24"/>
          <w:shd w:val="clear" w:color="auto" w:fill="FFFFFF"/>
          <w:lang w:val="en-US"/>
        </w:rPr>
        <w:t>Cardoso</w:t>
      </w:r>
      <w:r w:rsidR="0066333E" w:rsidRPr="006F78EA">
        <w:rPr>
          <w:rFonts w:cs="Calibri"/>
          <w:sz w:val="24"/>
          <w:szCs w:val="24"/>
          <w:shd w:val="clear" w:color="auto" w:fill="FFFFFF"/>
        </w:rPr>
        <w:t xml:space="preserve">, </w:t>
      </w:r>
      <w:r w:rsidR="0066333E" w:rsidRPr="006F78EA">
        <w:rPr>
          <w:rFonts w:cs="Calibri"/>
          <w:sz w:val="24"/>
          <w:szCs w:val="24"/>
          <w:shd w:val="clear" w:color="auto" w:fill="FFFFFF"/>
          <w:lang w:val="en-US"/>
        </w:rPr>
        <w:t>de</w:t>
      </w:r>
      <w:r w:rsidR="0066333E" w:rsidRPr="006F78EA">
        <w:rPr>
          <w:rFonts w:cs="Calibri"/>
          <w:sz w:val="24"/>
          <w:szCs w:val="24"/>
          <w:shd w:val="clear" w:color="auto" w:fill="FFFFFF"/>
        </w:rPr>
        <w:t xml:space="preserve"> </w:t>
      </w:r>
      <w:r w:rsidR="0066333E" w:rsidRPr="006F78EA">
        <w:rPr>
          <w:rFonts w:cs="Calibri"/>
          <w:sz w:val="24"/>
          <w:szCs w:val="24"/>
          <w:shd w:val="clear" w:color="auto" w:fill="FFFFFF"/>
          <w:lang w:val="en-US"/>
        </w:rPr>
        <w:t>CastroL</w:t>
      </w:r>
      <w:r w:rsidR="0066333E" w:rsidRPr="006F78EA">
        <w:rPr>
          <w:rFonts w:cs="Calibri"/>
          <w:sz w:val="24"/>
          <w:szCs w:val="24"/>
          <w:shd w:val="clear" w:color="auto" w:fill="FFFFFF"/>
        </w:rPr>
        <w:t>,</w:t>
      </w:r>
      <w:r w:rsidR="006F78EA">
        <w:rPr>
          <w:rFonts w:cs="Calibri"/>
          <w:sz w:val="24"/>
          <w:szCs w:val="24"/>
          <w:shd w:val="clear" w:color="auto" w:fill="FFFFFF"/>
        </w:rPr>
        <w:t xml:space="preserve"> </w:t>
      </w:r>
      <w:r w:rsidR="0066333E" w:rsidRPr="006F78EA">
        <w:rPr>
          <w:rFonts w:cs="Calibri"/>
          <w:sz w:val="24"/>
          <w:szCs w:val="24"/>
          <w:shd w:val="clear" w:color="auto" w:fill="FFFFFF"/>
          <w:lang w:val="en-US"/>
        </w:rPr>
        <w:t>Oliveira</w:t>
      </w:r>
      <w:r w:rsidR="0066333E" w:rsidRPr="006F78EA">
        <w:rPr>
          <w:rFonts w:cs="Calibri"/>
          <w:sz w:val="24"/>
          <w:szCs w:val="24"/>
          <w:shd w:val="clear" w:color="auto" w:fill="FFFFFF"/>
        </w:rPr>
        <w:t xml:space="preserve">, &amp; </w:t>
      </w:r>
      <w:r w:rsidR="0066333E" w:rsidRPr="006F78EA">
        <w:rPr>
          <w:rFonts w:cs="Calibri"/>
          <w:sz w:val="24"/>
          <w:szCs w:val="24"/>
          <w:shd w:val="clear" w:color="auto" w:fill="FFFFFF"/>
          <w:lang w:val="en-US"/>
        </w:rPr>
        <w:t>S</w:t>
      </w:r>
      <w:r w:rsidR="0066333E" w:rsidRPr="006F78EA">
        <w:rPr>
          <w:rFonts w:cs="Calibri"/>
          <w:sz w:val="24"/>
          <w:szCs w:val="24"/>
          <w:shd w:val="clear" w:color="auto" w:fill="FFFFFF"/>
        </w:rPr>
        <w:t>á, 2011</w:t>
      </w:r>
      <w:r w:rsidR="00D26A51" w:rsidRPr="00D26A51">
        <w:rPr>
          <w:rFonts w:asciiTheme="minorHAnsi" w:hAnsiTheme="minorHAnsi" w:cstheme="minorHAnsi"/>
          <w:sz w:val="24"/>
          <w:szCs w:val="24"/>
          <w:shd w:val="clear" w:color="auto" w:fill="FFFFFF"/>
        </w:rPr>
        <w:t>; Alam, Hoque, Begum, &amp; Khan, 2016</w:t>
      </w:r>
      <w:r w:rsidR="0066333E" w:rsidRPr="006F78EA">
        <w:rPr>
          <w:rFonts w:cs="Calibri"/>
          <w:sz w:val="24"/>
          <w:szCs w:val="24"/>
          <w:shd w:val="clear" w:color="auto" w:fill="FFFFFF"/>
        </w:rPr>
        <w:t>).</w:t>
      </w:r>
    </w:p>
    <w:p w:rsidR="0006164F" w:rsidRPr="005A464E" w:rsidRDefault="008F1DC4" w:rsidP="005A464E">
      <w:pPr>
        <w:spacing w:line="360" w:lineRule="auto"/>
        <w:jc w:val="both"/>
        <w:rPr>
          <w:sz w:val="24"/>
          <w:szCs w:val="24"/>
          <w:shd w:val="clear" w:color="auto" w:fill="FFFFFF"/>
        </w:rPr>
      </w:pPr>
      <w:r w:rsidRPr="005A464E">
        <w:rPr>
          <w:sz w:val="24"/>
          <w:szCs w:val="24"/>
          <w:shd w:val="clear" w:color="auto" w:fill="FFFFFF"/>
        </w:rPr>
        <w:t>Για εκπαιδευτικούς</w:t>
      </w:r>
      <w:r w:rsidR="00387C8D" w:rsidRPr="005A464E">
        <w:rPr>
          <w:sz w:val="24"/>
          <w:szCs w:val="24"/>
          <w:shd w:val="clear" w:color="auto" w:fill="FFFFFF"/>
        </w:rPr>
        <w:t xml:space="preserve"> </w:t>
      </w:r>
      <w:r w:rsidR="000326F6" w:rsidRPr="005A464E">
        <w:rPr>
          <w:sz w:val="24"/>
          <w:szCs w:val="24"/>
          <w:shd w:val="clear" w:color="auto" w:fill="FFFFFF"/>
        </w:rPr>
        <w:t>αλλά και για θεραπευτικούς λόγους</w:t>
      </w:r>
      <w:r w:rsidR="00F66A05">
        <w:rPr>
          <w:sz w:val="24"/>
          <w:szCs w:val="24"/>
          <w:shd w:val="clear" w:color="auto" w:fill="FFFFFF"/>
        </w:rPr>
        <w:t>,</w:t>
      </w:r>
      <w:r w:rsidR="000326F6" w:rsidRPr="005A464E">
        <w:rPr>
          <w:sz w:val="24"/>
          <w:szCs w:val="24"/>
          <w:shd w:val="clear" w:color="auto" w:fill="FFFFFF"/>
        </w:rPr>
        <w:t xml:space="preserve"> η ΧΝΝ κατατάσσεται στα εξής στάδια:</w:t>
      </w:r>
    </w:p>
    <w:p w:rsidR="003B501A" w:rsidRPr="00890A92" w:rsidRDefault="00FA476D" w:rsidP="005A464E">
      <w:pPr>
        <w:spacing w:line="360" w:lineRule="auto"/>
        <w:jc w:val="both"/>
        <w:rPr>
          <w:rFonts w:cs="Arial"/>
          <w:sz w:val="24"/>
          <w:szCs w:val="24"/>
          <w:shd w:val="clear" w:color="auto" w:fill="FFFFFF"/>
        </w:rPr>
      </w:pPr>
      <w:r w:rsidRPr="005A464E">
        <w:rPr>
          <w:b/>
          <w:sz w:val="24"/>
          <w:szCs w:val="24"/>
        </w:rPr>
        <w:t>Στάδιο 1:</w:t>
      </w:r>
      <w:r w:rsidRPr="005A464E">
        <w:rPr>
          <w:sz w:val="24"/>
          <w:szCs w:val="24"/>
        </w:rPr>
        <w:t xml:space="preserve"> Το στάδιο αυτό ονομάζεται και στάδιο «ελαττωμένης νεφρικής εφεδρείας». Ο αριθμός των μη λειτουργικών νεφρώνων είναι αρκετός</w:t>
      </w:r>
      <w:r w:rsidR="006A47F7">
        <w:rPr>
          <w:sz w:val="24"/>
          <w:szCs w:val="24"/>
        </w:rPr>
        <w:t>,</w:t>
      </w:r>
      <w:r w:rsidRPr="005A464E">
        <w:rPr>
          <w:sz w:val="24"/>
          <w:szCs w:val="24"/>
        </w:rPr>
        <w:t xml:space="preserve"> όμως</w:t>
      </w:r>
      <w:r w:rsidR="0078495A">
        <w:rPr>
          <w:sz w:val="24"/>
          <w:szCs w:val="24"/>
        </w:rPr>
        <w:t xml:space="preserve"> </w:t>
      </w:r>
      <w:r w:rsidRPr="005A464E">
        <w:rPr>
          <w:sz w:val="24"/>
          <w:szCs w:val="24"/>
        </w:rPr>
        <w:t>όχι ικανός για να δημιουργήσει προβλήματα.</w:t>
      </w:r>
      <w:r w:rsidR="00387C8D" w:rsidRPr="005A464E">
        <w:rPr>
          <w:sz w:val="24"/>
          <w:szCs w:val="24"/>
        </w:rPr>
        <w:t xml:space="preserve"> </w:t>
      </w:r>
      <w:r w:rsidR="00D40E54">
        <w:rPr>
          <w:sz w:val="24"/>
          <w:szCs w:val="24"/>
        </w:rPr>
        <w:t>Στ</w:t>
      </w:r>
      <w:r w:rsidRPr="005A464E">
        <w:rPr>
          <w:sz w:val="24"/>
          <w:szCs w:val="24"/>
        </w:rPr>
        <w:t>ο στάδιο αυτό</w:t>
      </w:r>
      <w:r w:rsidR="006A47F7">
        <w:rPr>
          <w:sz w:val="24"/>
          <w:szCs w:val="24"/>
        </w:rPr>
        <w:t>,</w:t>
      </w:r>
      <w:r w:rsidR="00A14663" w:rsidRPr="005A464E">
        <w:rPr>
          <w:sz w:val="24"/>
          <w:szCs w:val="24"/>
        </w:rPr>
        <w:t xml:space="preserve"> ίσως</w:t>
      </w:r>
      <w:r w:rsidRPr="005A464E">
        <w:rPr>
          <w:sz w:val="24"/>
          <w:szCs w:val="24"/>
        </w:rPr>
        <w:t xml:space="preserve"> υπάρχει απώλεια της συμπυκνωτι</w:t>
      </w:r>
      <w:r w:rsidR="00387C8D" w:rsidRPr="005A464E">
        <w:rPr>
          <w:sz w:val="24"/>
          <w:szCs w:val="24"/>
        </w:rPr>
        <w:t>κ</w:t>
      </w:r>
      <w:r w:rsidRPr="005A464E">
        <w:rPr>
          <w:sz w:val="24"/>
          <w:szCs w:val="24"/>
        </w:rPr>
        <w:t xml:space="preserve">ής ικανότητας του νεφρού </w:t>
      </w:r>
      <w:r w:rsidRPr="00890A92">
        <w:rPr>
          <w:sz w:val="24"/>
          <w:szCs w:val="24"/>
        </w:rPr>
        <w:t xml:space="preserve">και </w:t>
      </w:r>
      <w:r w:rsidR="00A27558" w:rsidRPr="00890A92">
        <w:rPr>
          <w:sz w:val="24"/>
          <w:szCs w:val="24"/>
        </w:rPr>
        <w:t xml:space="preserve">ενώ ο </w:t>
      </w:r>
      <w:r w:rsidR="00890A92" w:rsidRPr="00890A92">
        <w:rPr>
          <w:sz w:val="24"/>
          <w:szCs w:val="24"/>
          <w:lang w:val="en-US"/>
        </w:rPr>
        <w:t>GFR</w:t>
      </w:r>
      <w:r w:rsidR="00890A92" w:rsidRPr="00890A92">
        <w:rPr>
          <w:sz w:val="24"/>
          <w:szCs w:val="24"/>
        </w:rPr>
        <w:t xml:space="preserve"> </w:t>
      </w:r>
      <w:r w:rsidR="00A27558" w:rsidRPr="00890A92">
        <w:rPr>
          <w:sz w:val="24"/>
          <w:szCs w:val="24"/>
        </w:rPr>
        <w:t>κυμαίνεται σε</w:t>
      </w:r>
      <w:r w:rsidRPr="00890A92">
        <w:rPr>
          <w:sz w:val="24"/>
          <w:szCs w:val="24"/>
        </w:rPr>
        <w:t xml:space="preserve"> επίπεδα</w:t>
      </w:r>
      <w:r w:rsidR="0078495A" w:rsidRPr="00890A92">
        <w:rPr>
          <w:sz w:val="24"/>
          <w:szCs w:val="24"/>
        </w:rPr>
        <w:t xml:space="preserve"> </w:t>
      </w:r>
      <w:r w:rsidR="00CB0C59" w:rsidRPr="00890A92">
        <w:rPr>
          <w:rFonts w:cs="Arial"/>
          <w:sz w:val="24"/>
          <w:szCs w:val="24"/>
          <w:shd w:val="clear" w:color="auto" w:fill="FFFFFF"/>
        </w:rPr>
        <w:t>&gt;</w:t>
      </w:r>
      <w:r w:rsidR="005372DC" w:rsidRPr="00890A92">
        <w:rPr>
          <w:rFonts w:cs="Arial"/>
          <w:sz w:val="24"/>
          <w:szCs w:val="24"/>
          <w:shd w:val="clear" w:color="auto" w:fill="FFFFFF"/>
        </w:rPr>
        <w:t>9</w:t>
      </w:r>
      <w:r w:rsidRPr="00890A92">
        <w:rPr>
          <w:rFonts w:cs="Arial"/>
          <w:sz w:val="24"/>
          <w:szCs w:val="24"/>
          <w:shd w:val="clear" w:color="auto" w:fill="FFFFFF"/>
        </w:rPr>
        <w:t xml:space="preserve">0 </w:t>
      </w:r>
      <w:r w:rsidR="004A6D43" w:rsidRPr="00890A92">
        <w:rPr>
          <w:rFonts w:cs="Arial"/>
          <w:sz w:val="24"/>
          <w:szCs w:val="24"/>
          <w:shd w:val="clear" w:color="auto" w:fill="FFFFFF"/>
          <w:lang w:val="en-US"/>
        </w:rPr>
        <w:t>mL</w:t>
      </w:r>
      <w:r w:rsidRPr="00890A92">
        <w:rPr>
          <w:rFonts w:cs="Arial"/>
          <w:sz w:val="24"/>
          <w:szCs w:val="24"/>
          <w:shd w:val="clear" w:color="auto" w:fill="FFFFFF"/>
        </w:rPr>
        <w:t>/</w:t>
      </w:r>
      <w:r w:rsidRPr="00890A92">
        <w:rPr>
          <w:rFonts w:cs="Arial"/>
          <w:sz w:val="24"/>
          <w:szCs w:val="24"/>
          <w:shd w:val="clear" w:color="auto" w:fill="FFFFFF"/>
          <w:lang w:val="en-US"/>
        </w:rPr>
        <w:t>min</w:t>
      </w:r>
      <w:r w:rsidR="00D40009" w:rsidRPr="00890A92">
        <w:rPr>
          <w:rFonts w:cs="Arial"/>
          <w:sz w:val="24"/>
          <w:szCs w:val="24"/>
          <w:shd w:val="clear" w:color="auto" w:fill="FFFFFF"/>
        </w:rPr>
        <w:t>/1,73</w:t>
      </w:r>
      <w:r w:rsidR="00D40009" w:rsidRPr="00890A92">
        <w:rPr>
          <w:sz w:val="24"/>
          <w:szCs w:val="24"/>
          <w:lang w:val="en-US"/>
        </w:rPr>
        <w:t>m</w:t>
      </w:r>
      <w:r w:rsidR="00D40009" w:rsidRPr="00890A92">
        <w:rPr>
          <w:sz w:val="24"/>
          <w:szCs w:val="24"/>
          <w:vertAlign w:val="superscript"/>
        </w:rPr>
        <w:t xml:space="preserve">2 </w:t>
      </w:r>
      <w:r w:rsidR="00701B9F" w:rsidRPr="00890A92">
        <w:rPr>
          <w:rFonts w:cs="Arial"/>
          <w:sz w:val="24"/>
          <w:szCs w:val="24"/>
          <w:shd w:val="clear" w:color="auto" w:fill="FFFFFF"/>
        </w:rPr>
        <w:t xml:space="preserve"> (</w:t>
      </w:r>
      <w:r w:rsidR="00701B9F" w:rsidRPr="00890A92">
        <w:rPr>
          <w:rFonts w:cs="Arial"/>
          <w:sz w:val="24"/>
          <w:szCs w:val="24"/>
          <w:shd w:val="clear" w:color="auto" w:fill="FFFFFF"/>
          <w:lang w:val="en-US"/>
        </w:rPr>
        <w:t>Lederer</w:t>
      </w:r>
      <w:r w:rsidR="00701B9F" w:rsidRPr="00890A92">
        <w:rPr>
          <w:rFonts w:cs="Arial"/>
          <w:sz w:val="24"/>
          <w:szCs w:val="24"/>
          <w:shd w:val="clear" w:color="auto" w:fill="FFFFFF"/>
        </w:rPr>
        <w:t xml:space="preserve"> &amp; </w:t>
      </w:r>
      <w:r w:rsidR="00701B9F" w:rsidRPr="00890A92">
        <w:rPr>
          <w:rFonts w:cs="Arial"/>
          <w:sz w:val="24"/>
          <w:szCs w:val="24"/>
          <w:shd w:val="clear" w:color="auto" w:fill="FFFFFF"/>
          <w:lang w:val="en-US"/>
        </w:rPr>
        <w:t>Ouseph</w:t>
      </w:r>
      <w:r w:rsidR="00701B9F" w:rsidRPr="00890A92">
        <w:rPr>
          <w:rFonts w:cs="Arial"/>
          <w:sz w:val="24"/>
          <w:szCs w:val="24"/>
          <w:shd w:val="clear" w:color="auto" w:fill="FFFFFF"/>
        </w:rPr>
        <w:t>, 2007</w:t>
      </w:r>
      <w:r w:rsidR="0059055B" w:rsidRPr="00890A92">
        <w:rPr>
          <w:rFonts w:cs="Arial"/>
          <w:sz w:val="24"/>
          <w:szCs w:val="24"/>
          <w:shd w:val="clear" w:color="auto" w:fill="FFFFFF"/>
        </w:rPr>
        <w:t xml:space="preserve">; </w:t>
      </w:r>
      <w:r w:rsidR="0059055B" w:rsidRPr="00890A92">
        <w:rPr>
          <w:rFonts w:cs="Arial"/>
          <w:sz w:val="24"/>
          <w:szCs w:val="24"/>
          <w:shd w:val="clear" w:color="auto" w:fill="FFFFFF"/>
          <w:lang w:val="en-US"/>
        </w:rPr>
        <w:t>Rocco</w:t>
      </w:r>
      <w:r w:rsidR="0059055B" w:rsidRPr="00890A92">
        <w:rPr>
          <w:rFonts w:cs="Arial"/>
          <w:sz w:val="24"/>
          <w:szCs w:val="24"/>
          <w:shd w:val="clear" w:color="auto" w:fill="FFFFFF"/>
        </w:rPr>
        <w:t xml:space="preserve"> </w:t>
      </w:r>
      <w:r w:rsidR="0059055B" w:rsidRPr="00890A92">
        <w:rPr>
          <w:rFonts w:cs="Arial"/>
          <w:sz w:val="24"/>
          <w:szCs w:val="24"/>
          <w:shd w:val="clear" w:color="auto" w:fill="FFFFFF"/>
          <w:lang w:val="en-US"/>
        </w:rPr>
        <w:t>et</w:t>
      </w:r>
      <w:r w:rsidR="0059055B" w:rsidRPr="00890A92">
        <w:rPr>
          <w:rFonts w:cs="Arial"/>
          <w:sz w:val="24"/>
          <w:szCs w:val="24"/>
          <w:shd w:val="clear" w:color="auto" w:fill="FFFFFF"/>
        </w:rPr>
        <w:t xml:space="preserve"> </w:t>
      </w:r>
      <w:r w:rsidR="0059055B" w:rsidRPr="00890A92">
        <w:rPr>
          <w:rFonts w:cs="Arial"/>
          <w:sz w:val="24"/>
          <w:szCs w:val="24"/>
          <w:shd w:val="clear" w:color="auto" w:fill="FFFFFF"/>
          <w:lang w:val="en-US"/>
        </w:rPr>
        <w:t>al</w:t>
      </w:r>
      <w:r w:rsidR="0059055B" w:rsidRPr="00890A92">
        <w:rPr>
          <w:rFonts w:cs="Arial"/>
          <w:sz w:val="24"/>
          <w:szCs w:val="24"/>
          <w:shd w:val="clear" w:color="auto" w:fill="FFFFFF"/>
        </w:rPr>
        <w:t>., 2016</w:t>
      </w:r>
      <w:r w:rsidR="00701B9F" w:rsidRPr="00890A92">
        <w:rPr>
          <w:rFonts w:cs="Arial"/>
          <w:sz w:val="24"/>
          <w:szCs w:val="24"/>
          <w:shd w:val="clear" w:color="auto" w:fill="FFFFFF"/>
        </w:rPr>
        <w:t>).</w:t>
      </w:r>
    </w:p>
    <w:p w:rsidR="003B501A" w:rsidRPr="00890A92" w:rsidRDefault="00A14663" w:rsidP="005A464E">
      <w:pPr>
        <w:spacing w:line="360" w:lineRule="auto"/>
        <w:jc w:val="both"/>
        <w:rPr>
          <w:rFonts w:cs="Arial"/>
          <w:sz w:val="24"/>
          <w:szCs w:val="24"/>
          <w:shd w:val="clear" w:color="auto" w:fill="FFFFFF"/>
        </w:rPr>
      </w:pPr>
      <w:r w:rsidRPr="00890A92">
        <w:rPr>
          <w:rFonts w:cs="Arial"/>
          <w:b/>
          <w:sz w:val="24"/>
          <w:szCs w:val="24"/>
          <w:shd w:val="clear" w:color="auto" w:fill="FFFFFF"/>
        </w:rPr>
        <w:t>Στάδιο 2:</w:t>
      </w:r>
      <w:r w:rsidR="00387C8D" w:rsidRPr="00890A92">
        <w:rPr>
          <w:rFonts w:cs="Arial"/>
          <w:b/>
          <w:sz w:val="24"/>
          <w:szCs w:val="24"/>
          <w:shd w:val="clear" w:color="auto" w:fill="FFFFFF"/>
        </w:rPr>
        <w:t xml:space="preserve"> </w:t>
      </w:r>
      <w:r w:rsidR="00863B0E" w:rsidRPr="00890A92">
        <w:rPr>
          <w:rFonts w:cs="Arial"/>
          <w:sz w:val="24"/>
          <w:szCs w:val="24"/>
          <w:shd w:val="clear" w:color="auto" w:fill="FFFFFF"/>
        </w:rPr>
        <w:t>Ε</w:t>
      </w:r>
      <w:r w:rsidRPr="00890A92">
        <w:rPr>
          <w:rFonts w:cs="Arial"/>
          <w:sz w:val="24"/>
          <w:szCs w:val="24"/>
          <w:shd w:val="clear" w:color="auto" w:fill="FFFFFF"/>
        </w:rPr>
        <w:t xml:space="preserve">ίναι το </w:t>
      </w:r>
      <w:r w:rsidR="00387C8D" w:rsidRPr="00890A92">
        <w:rPr>
          <w:rFonts w:cs="Arial"/>
          <w:sz w:val="24"/>
          <w:szCs w:val="24"/>
          <w:shd w:val="clear" w:color="auto" w:fill="FFFFFF"/>
        </w:rPr>
        <w:t>στάδιο</w:t>
      </w:r>
      <w:r w:rsidRPr="00890A92">
        <w:rPr>
          <w:rFonts w:cs="Arial"/>
          <w:sz w:val="24"/>
          <w:szCs w:val="24"/>
          <w:shd w:val="clear" w:color="auto" w:fill="FFFFFF"/>
        </w:rPr>
        <w:t xml:space="preserve"> της νεφρικής νόσου (ανεπάρκειας).</w:t>
      </w:r>
      <w:r w:rsidR="00387C8D" w:rsidRPr="00890A92">
        <w:rPr>
          <w:rFonts w:cs="Arial"/>
          <w:sz w:val="24"/>
          <w:szCs w:val="24"/>
          <w:shd w:val="clear" w:color="auto" w:fill="FFFFFF"/>
        </w:rPr>
        <w:t xml:space="preserve"> </w:t>
      </w:r>
      <w:r w:rsidRPr="00890A92">
        <w:rPr>
          <w:rFonts w:cs="Arial"/>
          <w:sz w:val="24"/>
          <w:szCs w:val="24"/>
          <w:shd w:val="clear" w:color="auto" w:fill="FFFFFF"/>
        </w:rPr>
        <w:t xml:space="preserve">Ο αριθμός των μη λειτουργικών νεφρώνων είναι &lt;50%. Ο </w:t>
      </w:r>
      <w:r w:rsidRPr="00890A92">
        <w:rPr>
          <w:rFonts w:cs="Arial"/>
          <w:sz w:val="24"/>
          <w:szCs w:val="24"/>
          <w:shd w:val="clear" w:color="auto" w:fill="FFFFFF"/>
          <w:lang w:val="en-US"/>
        </w:rPr>
        <w:t>GFR</w:t>
      </w:r>
      <w:r w:rsidR="005372DC" w:rsidRPr="00890A92">
        <w:rPr>
          <w:rFonts w:cs="Arial"/>
          <w:sz w:val="24"/>
          <w:szCs w:val="24"/>
          <w:shd w:val="clear" w:color="auto" w:fill="FFFFFF"/>
        </w:rPr>
        <w:t xml:space="preserve"> είναι</w:t>
      </w:r>
      <w:r w:rsidR="0078495A" w:rsidRPr="00890A92">
        <w:rPr>
          <w:rFonts w:cs="Arial"/>
          <w:sz w:val="24"/>
          <w:szCs w:val="24"/>
          <w:shd w:val="clear" w:color="auto" w:fill="FFFFFF"/>
        </w:rPr>
        <w:t xml:space="preserve"> </w:t>
      </w:r>
      <w:r w:rsidR="00C31EBF" w:rsidRPr="00890A92">
        <w:rPr>
          <w:rFonts w:cs="Arial"/>
          <w:sz w:val="24"/>
          <w:szCs w:val="24"/>
          <w:shd w:val="clear" w:color="auto" w:fill="FFFFFF"/>
        </w:rPr>
        <w:t xml:space="preserve">60-89 </w:t>
      </w:r>
      <w:r w:rsidR="004A6D43" w:rsidRPr="00890A92">
        <w:rPr>
          <w:rFonts w:cs="Arial"/>
          <w:sz w:val="24"/>
          <w:szCs w:val="24"/>
          <w:shd w:val="clear" w:color="auto" w:fill="FFFFFF"/>
          <w:lang w:val="en-US"/>
        </w:rPr>
        <w:t>mL</w:t>
      </w:r>
      <w:r w:rsidRPr="00890A92">
        <w:rPr>
          <w:rFonts w:cs="Arial"/>
          <w:sz w:val="24"/>
          <w:szCs w:val="24"/>
          <w:shd w:val="clear" w:color="auto" w:fill="FFFFFF"/>
        </w:rPr>
        <w:t>/</w:t>
      </w:r>
      <w:r w:rsidRPr="00890A92">
        <w:rPr>
          <w:rFonts w:cs="Arial"/>
          <w:sz w:val="24"/>
          <w:szCs w:val="24"/>
          <w:shd w:val="clear" w:color="auto" w:fill="FFFFFF"/>
          <w:lang w:val="en-US"/>
        </w:rPr>
        <w:t>min</w:t>
      </w:r>
      <w:r w:rsidR="00962CFF" w:rsidRPr="00890A92">
        <w:rPr>
          <w:rFonts w:cs="Arial"/>
          <w:sz w:val="24"/>
          <w:szCs w:val="24"/>
          <w:shd w:val="clear" w:color="auto" w:fill="FFFFFF"/>
        </w:rPr>
        <w:t>/1,73</w:t>
      </w:r>
      <w:r w:rsidR="001A3DFD" w:rsidRPr="00890A92">
        <w:rPr>
          <w:rFonts w:cs="Arial"/>
          <w:sz w:val="24"/>
          <w:szCs w:val="24"/>
          <w:shd w:val="clear" w:color="auto" w:fill="FFFFFF"/>
          <w:lang w:val="en-US"/>
        </w:rPr>
        <w:t>m</w:t>
      </w:r>
      <w:r w:rsidR="00962CFF" w:rsidRPr="00890A92">
        <w:rPr>
          <w:rFonts w:cs="Arial"/>
          <w:sz w:val="24"/>
          <w:szCs w:val="24"/>
          <w:shd w:val="clear" w:color="auto" w:fill="FFFFFF"/>
          <w:vertAlign w:val="superscript"/>
        </w:rPr>
        <w:t>2</w:t>
      </w:r>
      <w:r w:rsidRPr="00890A92">
        <w:rPr>
          <w:rFonts w:cs="Arial"/>
          <w:sz w:val="24"/>
          <w:szCs w:val="24"/>
          <w:shd w:val="clear" w:color="auto" w:fill="FFFFFF"/>
        </w:rPr>
        <w:t xml:space="preserve"> και η κρεατινίνη</w:t>
      </w:r>
      <w:r w:rsidR="00D40E54" w:rsidRPr="00890A92">
        <w:rPr>
          <w:rFonts w:cs="Arial"/>
          <w:sz w:val="24"/>
          <w:szCs w:val="24"/>
          <w:shd w:val="clear" w:color="auto" w:fill="FFFFFF"/>
        </w:rPr>
        <w:t xml:space="preserve"> </w:t>
      </w:r>
      <w:r w:rsidR="00CB0C59" w:rsidRPr="00890A92">
        <w:rPr>
          <w:rFonts w:cs="Arial"/>
          <w:sz w:val="24"/>
          <w:szCs w:val="24"/>
          <w:shd w:val="clear" w:color="auto" w:fill="FFFFFF"/>
        </w:rPr>
        <w:t>≥2</w:t>
      </w:r>
      <w:r w:rsidRPr="00890A92">
        <w:rPr>
          <w:rFonts w:cs="Arial"/>
          <w:sz w:val="24"/>
          <w:szCs w:val="24"/>
          <w:shd w:val="clear" w:color="auto" w:fill="FFFFFF"/>
          <w:lang w:val="en-US"/>
        </w:rPr>
        <w:t>mg</w:t>
      </w:r>
      <w:r w:rsidRPr="00890A92">
        <w:rPr>
          <w:rFonts w:cs="Arial"/>
          <w:sz w:val="24"/>
          <w:szCs w:val="24"/>
          <w:shd w:val="clear" w:color="auto" w:fill="FFFFFF"/>
        </w:rPr>
        <w:t xml:space="preserve">% στον ορό. Τα επίπεδα της </w:t>
      </w:r>
      <w:r w:rsidR="00EF6A06" w:rsidRPr="00890A92">
        <w:rPr>
          <w:rFonts w:cs="Arial"/>
          <w:sz w:val="24"/>
          <w:szCs w:val="24"/>
          <w:shd w:val="clear" w:color="auto" w:fill="FFFFFF"/>
        </w:rPr>
        <w:t>1,</w:t>
      </w:r>
      <w:r w:rsidRPr="00890A92">
        <w:rPr>
          <w:rFonts w:cs="Arial"/>
          <w:sz w:val="24"/>
          <w:szCs w:val="24"/>
          <w:shd w:val="clear" w:color="auto" w:fill="FFFFFF"/>
        </w:rPr>
        <w:t>25 (ΟΗ)</w:t>
      </w:r>
      <w:r w:rsidRPr="00890A92">
        <w:rPr>
          <w:rFonts w:cs="Arial"/>
          <w:sz w:val="24"/>
          <w:szCs w:val="24"/>
          <w:shd w:val="clear" w:color="auto" w:fill="FFFFFF"/>
          <w:vertAlign w:val="subscript"/>
        </w:rPr>
        <w:t>2</w:t>
      </w:r>
      <w:r w:rsidRPr="00890A92">
        <w:rPr>
          <w:rFonts w:cs="Arial"/>
          <w:sz w:val="24"/>
          <w:szCs w:val="24"/>
          <w:shd w:val="clear" w:color="auto" w:fill="FFFFFF"/>
          <w:lang w:val="en-US"/>
        </w:rPr>
        <w:t>D</w:t>
      </w:r>
      <w:r w:rsidRPr="00890A92">
        <w:rPr>
          <w:rFonts w:cs="Arial"/>
          <w:sz w:val="24"/>
          <w:szCs w:val="24"/>
          <w:shd w:val="clear" w:color="auto" w:fill="FFFFFF"/>
          <w:vertAlign w:val="subscript"/>
        </w:rPr>
        <w:t xml:space="preserve">3 </w:t>
      </w:r>
      <w:r w:rsidRPr="00890A92">
        <w:rPr>
          <w:rFonts w:cs="Arial"/>
          <w:sz w:val="24"/>
          <w:szCs w:val="24"/>
          <w:shd w:val="clear" w:color="auto" w:fill="FFFFFF"/>
        </w:rPr>
        <w:t>μειώνονται ενώ εμφανίζεται και ήπια αν</w:t>
      </w:r>
      <w:r w:rsidR="004847A7" w:rsidRPr="00890A92">
        <w:rPr>
          <w:rFonts w:cs="Arial"/>
          <w:sz w:val="24"/>
          <w:szCs w:val="24"/>
          <w:shd w:val="clear" w:color="auto" w:fill="FFFFFF"/>
        </w:rPr>
        <w:t>α</w:t>
      </w:r>
      <w:r w:rsidRPr="00890A92">
        <w:rPr>
          <w:rFonts w:cs="Arial"/>
          <w:sz w:val="24"/>
          <w:szCs w:val="24"/>
          <w:shd w:val="clear" w:color="auto" w:fill="FFFFFF"/>
        </w:rPr>
        <w:t xml:space="preserve">ιμία λόγω μειωμένης παραγωγής </w:t>
      </w:r>
      <w:r w:rsidR="00D9583A" w:rsidRPr="00890A92">
        <w:rPr>
          <w:rFonts w:cs="Arial"/>
          <w:sz w:val="24"/>
          <w:szCs w:val="24"/>
          <w:shd w:val="clear" w:color="auto" w:fill="FFFFFF"/>
        </w:rPr>
        <w:t xml:space="preserve">της </w:t>
      </w:r>
      <w:r w:rsidRPr="00890A92">
        <w:rPr>
          <w:rFonts w:cs="Arial"/>
          <w:sz w:val="24"/>
          <w:szCs w:val="24"/>
          <w:shd w:val="clear" w:color="auto" w:fill="FFFFFF"/>
        </w:rPr>
        <w:t>ερυθροποιητίνης. Τα επίπεδα του φωσφόρου στον</w:t>
      </w:r>
      <w:r w:rsidR="00387C8D" w:rsidRPr="00890A92">
        <w:rPr>
          <w:rFonts w:cs="Arial"/>
          <w:sz w:val="24"/>
          <w:szCs w:val="24"/>
          <w:shd w:val="clear" w:color="auto" w:fill="FFFFFF"/>
        </w:rPr>
        <w:t xml:space="preserve"> </w:t>
      </w:r>
      <w:r w:rsidRPr="00890A92">
        <w:rPr>
          <w:rFonts w:cs="Arial"/>
          <w:sz w:val="24"/>
          <w:szCs w:val="24"/>
          <w:shd w:val="clear" w:color="auto" w:fill="FFFFFF"/>
        </w:rPr>
        <w:t>ορό είναι φυσιολογικά λόγω της αντιρροπιστικής αύξησης της</w:t>
      </w:r>
      <w:r w:rsidR="00A935E5" w:rsidRPr="00890A92">
        <w:rPr>
          <w:rFonts w:cs="Arial"/>
          <w:sz w:val="24"/>
          <w:szCs w:val="24"/>
          <w:shd w:val="clear" w:color="auto" w:fill="FFFFFF"/>
        </w:rPr>
        <w:t xml:space="preserve"> παρ</w:t>
      </w:r>
      <w:r w:rsidRPr="00890A92">
        <w:rPr>
          <w:rFonts w:cs="Arial"/>
          <w:sz w:val="24"/>
          <w:szCs w:val="24"/>
          <w:shd w:val="clear" w:color="auto" w:fill="FFFFFF"/>
        </w:rPr>
        <w:t>αθορμόνης η οποία ελαττώνει τη σωληναριακή επαν</w:t>
      </w:r>
      <w:r w:rsidR="00387C8D" w:rsidRPr="00890A92">
        <w:rPr>
          <w:rFonts w:cs="Arial"/>
          <w:sz w:val="24"/>
          <w:szCs w:val="24"/>
          <w:shd w:val="clear" w:color="auto" w:fill="FFFFFF"/>
        </w:rPr>
        <w:t>α</w:t>
      </w:r>
      <w:r w:rsidRPr="00890A92">
        <w:rPr>
          <w:rFonts w:cs="Arial"/>
          <w:sz w:val="24"/>
          <w:szCs w:val="24"/>
          <w:shd w:val="clear" w:color="auto" w:fill="FFFFFF"/>
        </w:rPr>
        <w:t>ρρόφηση του φωσφόρου</w:t>
      </w:r>
      <w:r w:rsidR="00701B9F" w:rsidRPr="00890A92">
        <w:rPr>
          <w:rFonts w:cs="Arial"/>
          <w:sz w:val="24"/>
          <w:szCs w:val="24"/>
          <w:shd w:val="clear" w:color="auto" w:fill="FFFFFF"/>
        </w:rPr>
        <w:t xml:space="preserve"> (</w:t>
      </w:r>
      <w:r w:rsidR="00701B9F" w:rsidRPr="00890A92">
        <w:rPr>
          <w:rFonts w:cs="Arial"/>
          <w:sz w:val="24"/>
          <w:szCs w:val="24"/>
          <w:shd w:val="clear" w:color="auto" w:fill="FFFFFF"/>
          <w:lang w:val="en-US"/>
        </w:rPr>
        <w:t>Lederer</w:t>
      </w:r>
      <w:r w:rsidR="00701B9F" w:rsidRPr="00890A92">
        <w:rPr>
          <w:rFonts w:cs="Arial"/>
          <w:sz w:val="24"/>
          <w:szCs w:val="24"/>
          <w:shd w:val="clear" w:color="auto" w:fill="FFFFFF"/>
        </w:rPr>
        <w:t xml:space="preserve"> &amp; </w:t>
      </w:r>
      <w:r w:rsidR="00701B9F" w:rsidRPr="00890A92">
        <w:rPr>
          <w:rFonts w:cs="Arial"/>
          <w:sz w:val="24"/>
          <w:szCs w:val="24"/>
          <w:shd w:val="clear" w:color="auto" w:fill="FFFFFF"/>
          <w:lang w:val="en-US"/>
        </w:rPr>
        <w:t>Ouseph</w:t>
      </w:r>
      <w:r w:rsidR="00701B9F" w:rsidRPr="00890A92">
        <w:rPr>
          <w:rFonts w:cs="Arial"/>
          <w:sz w:val="24"/>
          <w:szCs w:val="24"/>
          <w:shd w:val="clear" w:color="auto" w:fill="FFFFFF"/>
        </w:rPr>
        <w:t>, 2007</w:t>
      </w:r>
      <w:r w:rsidR="0059055B" w:rsidRPr="00890A92">
        <w:rPr>
          <w:rFonts w:cs="Arial"/>
          <w:sz w:val="24"/>
          <w:szCs w:val="24"/>
          <w:shd w:val="clear" w:color="auto" w:fill="FFFFFF"/>
        </w:rPr>
        <w:t xml:space="preserve">; </w:t>
      </w:r>
      <w:r w:rsidR="0059055B" w:rsidRPr="00890A92">
        <w:rPr>
          <w:rFonts w:cs="Arial"/>
          <w:sz w:val="24"/>
          <w:szCs w:val="24"/>
          <w:shd w:val="clear" w:color="auto" w:fill="FFFFFF"/>
          <w:lang w:val="en-US"/>
        </w:rPr>
        <w:t>Rocco</w:t>
      </w:r>
      <w:r w:rsidR="0059055B" w:rsidRPr="00890A92">
        <w:rPr>
          <w:rFonts w:cs="Arial"/>
          <w:sz w:val="24"/>
          <w:szCs w:val="24"/>
          <w:shd w:val="clear" w:color="auto" w:fill="FFFFFF"/>
        </w:rPr>
        <w:t xml:space="preserve"> </w:t>
      </w:r>
      <w:r w:rsidR="0059055B" w:rsidRPr="00890A92">
        <w:rPr>
          <w:rFonts w:cs="Arial"/>
          <w:sz w:val="24"/>
          <w:szCs w:val="24"/>
          <w:shd w:val="clear" w:color="auto" w:fill="FFFFFF"/>
          <w:lang w:val="en-US"/>
        </w:rPr>
        <w:t>et</w:t>
      </w:r>
      <w:r w:rsidR="0059055B" w:rsidRPr="00890A92">
        <w:rPr>
          <w:rFonts w:cs="Arial"/>
          <w:sz w:val="24"/>
          <w:szCs w:val="24"/>
          <w:shd w:val="clear" w:color="auto" w:fill="FFFFFF"/>
        </w:rPr>
        <w:t xml:space="preserve"> </w:t>
      </w:r>
      <w:r w:rsidR="0059055B" w:rsidRPr="00890A92">
        <w:rPr>
          <w:rFonts w:cs="Arial"/>
          <w:sz w:val="24"/>
          <w:szCs w:val="24"/>
          <w:shd w:val="clear" w:color="auto" w:fill="FFFFFF"/>
          <w:lang w:val="en-US"/>
        </w:rPr>
        <w:t>al</w:t>
      </w:r>
      <w:r w:rsidR="0059055B" w:rsidRPr="00890A92">
        <w:rPr>
          <w:rFonts w:cs="Arial"/>
          <w:sz w:val="24"/>
          <w:szCs w:val="24"/>
          <w:shd w:val="clear" w:color="auto" w:fill="FFFFFF"/>
        </w:rPr>
        <w:t>., 2016</w:t>
      </w:r>
      <w:r w:rsidR="00701B9F" w:rsidRPr="00890A92">
        <w:rPr>
          <w:rFonts w:cs="Arial"/>
          <w:sz w:val="24"/>
          <w:szCs w:val="24"/>
          <w:shd w:val="clear" w:color="auto" w:fill="FFFFFF"/>
        </w:rPr>
        <w:t>).</w:t>
      </w:r>
    </w:p>
    <w:p w:rsidR="00863B0E" w:rsidRPr="00736090" w:rsidRDefault="00863B0E" w:rsidP="005A464E">
      <w:pPr>
        <w:spacing w:line="360" w:lineRule="auto"/>
        <w:jc w:val="both"/>
        <w:rPr>
          <w:rFonts w:cs="Arial"/>
          <w:sz w:val="24"/>
          <w:szCs w:val="24"/>
          <w:shd w:val="clear" w:color="auto" w:fill="FFFFFF"/>
        </w:rPr>
      </w:pPr>
      <w:r w:rsidRPr="005A464E">
        <w:rPr>
          <w:rFonts w:cs="Arial"/>
          <w:b/>
          <w:sz w:val="24"/>
          <w:szCs w:val="24"/>
          <w:shd w:val="clear" w:color="auto" w:fill="FFFFFF"/>
        </w:rPr>
        <w:t xml:space="preserve">Στάδιο 3: </w:t>
      </w:r>
      <w:r w:rsidR="00A935E5" w:rsidRPr="005A464E">
        <w:rPr>
          <w:rFonts w:cs="Arial"/>
          <w:sz w:val="24"/>
          <w:szCs w:val="24"/>
          <w:shd w:val="clear" w:color="auto" w:fill="FFFFFF"/>
        </w:rPr>
        <w:t xml:space="preserve">Καλείται και </w:t>
      </w:r>
      <w:r w:rsidR="00387C8D" w:rsidRPr="005A464E">
        <w:rPr>
          <w:rFonts w:cs="Arial"/>
          <w:sz w:val="24"/>
          <w:szCs w:val="24"/>
          <w:shd w:val="clear" w:color="auto" w:fill="FFFFFF"/>
        </w:rPr>
        <w:t>στάδιο</w:t>
      </w:r>
      <w:r w:rsidR="00A935E5" w:rsidRPr="005A464E">
        <w:rPr>
          <w:rFonts w:cs="Arial"/>
          <w:sz w:val="24"/>
          <w:szCs w:val="24"/>
          <w:shd w:val="clear" w:color="auto" w:fill="FFFFFF"/>
        </w:rPr>
        <w:t xml:space="preserve"> της «</w:t>
      </w:r>
      <w:r w:rsidR="00387C8D" w:rsidRPr="005A464E">
        <w:rPr>
          <w:rFonts w:cs="Arial"/>
          <w:sz w:val="24"/>
          <w:szCs w:val="24"/>
          <w:shd w:val="clear" w:color="auto" w:fill="FFFFFF"/>
        </w:rPr>
        <w:t>νεφρικής</w:t>
      </w:r>
      <w:r w:rsidRPr="005A464E">
        <w:rPr>
          <w:rFonts w:cs="Arial"/>
          <w:sz w:val="24"/>
          <w:szCs w:val="24"/>
          <w:shd w:val="clear" w:color="auto" w:fill="FFFFFF"/>
        </w:rPr>
        <w:t xml:space="preserve"> αποτυχίας». Οι νεφροί δεν είναι ι</w:t>
      </w:r>
      <w:r w:rsidR="00A935E5" w:rsidRPr="005A464E">
        <w:rPr>
          <w:rFonts w:cs="Arial"/>
          <w:sz w:val="24"/>
          <w:szCs w:val="24"/>
          <w:shd w:val="clear" w:color="auto" w:fill="FFFFFF"/>
        </w:rPr>
        <w:t>κ</w:t>
      </w:r>
      <w:r w:rsidR="004847A7" w:rsidRPr="005A464E">
        <w:rPr>
          <w:rFonts w:cs="Arial"/>
          <w:sz w:val="24"/>
          <w:szCs w:val="24"/>
          <w:shd w:val="clear" w:color="auto" w:fill="FFFFFF"/>
        </w:rPr>
        <w:t>ανοί να ρυθμίσο</w:t>
      </w:r>
      <w:r w:rsidRPr="005A464E">
        <w:rPr>
          <w:rFonts w:cs="Arial"/>
          <w:sz w:val="24"/>
          <w:szCs w:val="24"/>
          <w:shd w:val="clear" w:color="auto" w:fill="FFFFFF"/>
        </w:rPr>
        <w:t>υν αποτελεσματικά τον ό</w:t>
      </w:r>
      <w:r w:rsidR="004847A7" w:rsidRPr="005A464E">
        <w:rPr>
          <w:rFonts w:cs="Arial"/>
          <w:sz w:val="24"/>
          <w:szCs w:val="24"/>
          <w:shd w:val="clear" w:color="auto" w:fill="FFFFFF"/>
        </w:rPr>
        <w:t>γ</w:t>
      </w:r>
      <w:r w:rsidRPr="005A464E">
        <w:rPr>
          <w:rFonts w:cs="Arial"/>
          <w:sz w:val="24"/>
          <w:szCs w:val="24"/>
          <w:shd w:val="clear" w:color="auto" w:fill="FFFFFF"/>
        </w:rPr>
        <w:t>κο και τη σύσταση των εξωκυττάριων υ</w:t>
      </w:r>
      <w:r w:rsidR="00387C8D" w:rsidRPr="005A464E">
        <w:rPr>
          <w:rFonts w:cs="Arial"/>
          <w:sz w:val="24"/>
          <w:szCs w:val="24"/>
          <w:shd w:val="clear" w:color="auto" w:fill="FFFFFF"/>
        </w:rPr>
        <w:t>γ</w:t>
      </w:r>
      <w:r w:rsidRPr="005A464E">
        <w:rPr>
          <w:rFonts w:cs="Arial"/>
          <w:sz w:val="24"/>
          <w:szCs w:val="24"/>
          <w:shd w:val="clear" w:color="auto" w:fill="FFFFFF"/>
        </w:rPr>
        <w:t>ρών. Υπάρχει μεγαλύτερη αύξ</w:t>
      </w:r>
      <w:r w:rsidR="00AE3DBC">
        <w:rPr>
          <w:rFonts w:cs="Arial"/>
          <w:sz w:val="24"/>
          <w:szCs w:val="24"/>
          <w:shd w:val="clear" w:color="auto" w:fill="FFFFFF"/>
        </w:rPr>
        <w:t>ηση της ουρίας</w:t>
      </w:r>
      <w:r w:rsidR="00D9583A">
        <w:rPr>
          <w:rFonts w:cs="Arial"/>
          <w:sz w:val="24"/>
          <w:szCs w:val="24"/>
          <w:shd w:val="clear" w:color="auto" w:fill="FFFFFF"/>
        </w:rPr>
        <w:t xml:space="preserve"> </w:t>
      </w:r>
      <w:r w:rsidR="00D9583A" w:rsidRPr="00890A92">
        <w:rPr>
          <w:rFonts w:cs="Arial"/>
          <w:sz w:val="24"/>
          <w:szCs w:val="24"/>
          <w:shd w:val="clear" w:color="auto" w:fill="FFFFFF"/>
        </w:rPr>
        <w:t>και</w:t>
      </w:r>
      <w:r w:rsidR="00AE3DBC" w:rsidRPr="00890A92">
        <w:rPr>
          <w:rFonts w:cs="Arial"/>
          <w:sz w:val="24"/>
          <w:szCs w:val="24"/>
          <w:shd w:val="clear" w:color="auto" w:fill="FFFFFF"/>
        </w:rPr>
        <w:t xml:space="preserve"> της κρεατινίνης</w:t>
      </w:r>
      <w:r w:rsidRPr="00890A92">
        <w:rPr>
          <w:rFonts w:cs="Arial"/>
          <w:sz w:val="24"/>
          <w:szCs w:val="24"/>
          <w:shd w:val="clear" w:color="auto" w:fill="FFFFFF"/>
        </w:rPr>
        <w:t>, υπερφωσφαταιμία, υπασβεστιαιμία, αναιμία και οξέωση.</w:t>
      </w:r>
      <w:r w:rsidR="0078495A" w:rsidRPr="00890A92">
        <w:rPr>
          <w:rFonts w:cs="Arial"/>
          <w:sz w:val="24"/>
          <w:szCs w:val="24"/>
          <w:shd w:val="clear" w:color="auto" w:fill="FFFFFF"/>
        </w:rPr>
        <w:t xml:space="preserve"> </w:t>
      </w:r>
      <w:r w:rsidRPr="00890A92">
        <w:rPr>
          <w:rFonts w:cs="Arial"/>
          <w:sz w:val="24"/>
          <w:szCs w:val="24"/>
          <w:shd w:val="clear" w:color="auto" w:fill="FFFFFF"/>
        </w:rPr>
        <w:t>Ο</w:t>
      </w:r>
      <w:r w:rsidR="00A935E5" w:rsidRPr="00890A92">
        <w:rPr>
          <w:rFonts w:cs="Arial"/>
          <w:sz w:val="24"/>
          <w:szCs w:val="24"/>
          <w:shd w:val="clear" w:color="auto" w:fill="FFFFFF"/>
        </w:rPr>
        <w:t xml:space="preserve"> νεφρός έ</w:t>
      </w:r>
      <w:r w:rsidRPr="00890A92">
        <w:rPr>
          <w:rFonts w:cs="Arial"/>
          <w:sz w:val="24"/>
          <w:szCs w:val="24"/>
          <w:shd w:val="clear" w:color="auto" w:fill="FFFFFF"/>
        </w:rPr>
        <w:t xml:space="preserve">χει χάσει την συμπυκνωτική του ικανότητα και η κάθαρση του </w:t>
      </w:r>
      <w:r w:rsidR="00387C8D" w:rsidRPr="00890A92">
        <w:rPr>
          <w:rFonts w:cs="Arial"/>
          <w:sz w:val="24"/>
          <w:szCs w:val="24"/>
          <w:shd w:val="clear" w:color="auto" w:fill="FFFFFF"/>
        </w:rPr>
        <w:t>ελεύθερου</w:t>
      </w:r>
      <w:r w:rsidRPr="00890A92">
        <w:rPr>
          <w:rFonts w:cs="Arial"/>
          <w:sz w:val="24"/>
          <w:szCs w:val="24"/>
          <w:shd w:val="clear" w:color="auto" w:fill="FFFFFF"/>
        </w:rPr>
        <w:t xml:space="preserve"> ύδατος είναι ελαττωμένη. Λόγω</w:t>
      </w:r>
      <w:r w:rsidR="00A935E5" w:rsidRPr="00890A92">
        <w:rPr>
          <w:rFonts w:cs="Arial"/>
          <w:sz w:val="24"/>
          <w:szCs w:val="24"/>
          <w:shd w:val="clear" w:color="auto" w:fill="FFFFFF"/>
        </w:rPr>
        <w:t xml:space="preserve"> κατακράτησης ύδατος οι ασθενείς εμφανί</w:t>
      </w:r>
      <w:r w:rsidRPr="00890A92">
        <w:rPr>
          <w:rFonts w:cs="Arial"/>
          <w:sz w:val="24"/>
          <w:szCs w:val="24"/>
          <w:shd w:val="clear" w:color="auto" w:fill="FFFFFF"/>
        </w:rPr>
        <w:t>ζουν υ</w:t>
      </w:r>
      <w:r w:rsidR="00A935E5" w:rsidRPr="00890A92">
        <w:rPr>
          <w:rFonts w:cs="Arial"/>
          <w:sz w:val="24"/>
          <w:szCs w:val="24"/>
          <w:shd w:val="clear" w:color="auto" w:fill="FFFFFF"/>
        </w:rPr>
        <w:t>π</w:t>
      </w:r>
      <w:r w:rsidRPr="00890A92">
        <w:rPr>
          <w:rFonts w:cs="Arial"/>
          <w:sz w:val="24"/>
          <w:szCs w:val="24"/>
          <w:shd w:val="clear" w:color="auto" w:fill="FFFFFF"/>
        </w:rPr>
        <w:t>ονατριαιμία.</w:t>
      </w:r>
      <w:r w:rsidR="0078495A" w:rsidRPr="00890A92">
        <w:rPr>
          <w:rFonts w:cs="Arial"/>
          <w:sz w:val="24"/>
          <w:szCs w:val="24"/>
          <w:shd w:val="clear" w:color="auto" w:fill="FFFFFF"/>
        </w:rPr>
        <w:t xml:space="preserve"> </w:t>
      </w:r>
      <w:r w:rsidRPr="00890A92">
        <w:rPr>
          <w:rFonts w:cs="Arial"/>
          <w:sz w:val="24"/>
          <w:szCs w:val="24"/>
          <w:shd w:val="clear" w:color="auto" w:fill="FFFFFF"/>
        </w:rPr>
        <w:t xml:space="preserve">Ο </w:t>
      </w:r>
      <w:r w:rsidRPr="00890A92">
        <w:rPr>
          <w:rFonts w:cs="Arial"/>
          <w:sz w:val="24"/>
          <w:szCs w:val="24"/>
          <w:shd w:val="clear" w:color="auto" w:fill="FFFFFF"/>
          <w:lang w:val="en-US"/>
        </w:rPr>
        <w:t>GFR</w:t>
      </w:r>
      <w:r w:rsidR="00387C8D" w:rsidRPr="00890A92">
        <w:rPr>
          <w:rFonts w:cs="Arial"/>
          <w:sz w:val="24"/>
          <w:szCs w:val="24"/>
          <w:shd w:val="clear" w:color="auto" w:fill="FFFFFF"/>
        </w:rPr>
        <w:t xml:space="preserve"> </w:t>
      </w:r>
      <w:r w:rsidRPr="00890A92">
        <w:rPr>
          <w:rFonts w:cs="Arial"/>
          <w:sz w:val="24"/>
          <w:szCs w:val="24"/>
          <w:shd w:val="clear" w:color="auto" w:fill="FFFFFF"/>
        </w:rPr>
        <w:t>είν</w:t>
      </w:r>
      <w:r w:rsidR="00A935E5" w:rsidRPr="00890A92">
        <w:rPr>
          <w:rFonts w:cs="Arial"/>
          <w:sz w:val="24"/>
          <w:szCs w:val="24"/>
          <w:shd w:val="clear" w:color="auto" w:fill="FFFFFF"/>
        </w:rPr>
        <w:t>α</w:t>
      </w:r>
      <w:r w:rsidR="005372DC" w:rsidRPr="00890A92">
        <w:rPr>
          <w:rFonts w:cs="Arial"/>
          <w:sz w:val="24"/>
          <w:szCs w:val="24"/>
          <w:shd w:val="clear" w:color="auto" w:fill="FFFFFF"/>
        </w:rPr>
        <w:t>ι</w:t>
      </w:r>
      <w:r w:rsidR="005372DC" w:rsidRPr="00890A92">
        <w:rPr>
          <w:rFonts w:cs="Arial"/>
          <w:color w:val="252525"/>
          <w:sz w:val="24"/>
          <w:szCs w:val="24"/>
          <w:shd w:val="clear" w:color="auto" w:fill="FFFFFF"/>
        </w:rPr>
        <w:t xml:space="preserve"> περίπου </w:t>
      </w:r>
      <w:r w:rsidR="005372DC" w:rsidRPr="00890A92">
        <w:rPr>
          <w:rFonts w:cs="Arial"/>
          <w:sz w:val="24"/>
          <w:szCs w:val="24"/>
          <w:shd w:val="clear" w:color="auto" w:fill="FFFFFF"/>
        </w:rPr>
        <w:t>30-59</w:t>
      </w:r>
      <w:r w:rsidR="004A6D43" w:rsidRPr="00890A92">
        <w:rPr>
          <w:rFonts w:cs="Arial"/>
          <w:sz w:val="24"/>
          <w:szCs w:val="24"/>
          <w:shd w:val="clear" w:color="auto" w:fill="FFFFFF"/>
          <w:lang w:val="en-US"/>
        </w:rPr>
        <w:t>mL</w:t>
      </w:r>
      <w:r w:rsidRPr="00890A92">
        <w:rPr>
          <w:rFonts w:cs="Arial"/>
          <w:sz w:val="24"/>
          <w:szCs w:val="24"/>
          <w:shd w:val="clear" w:color="auto" w:fill="FFFFFF"/>
        </w:rPr>
        <w:t>/</w:t>
      </w:r>
      <w:r w:rsidRPr="00890A92">
        <w:rPr>
          <w:rFonts w:cs="Arial"/>
          <w:sz w:val="24"/>
          <w:szCs w:val="24"/>
          <w:shd w:val="clear" w:color="auto" w:fill="FFFFFF"/>
          <w:lang w:val="en-US"/>
        </w:rPr>
        <w:t>min</w:t>
      </w:r>
      <w:r w:rsidR="00962CFF" w:rsidRPr="00890A92">
        <w:rPr>
          <w:rFonts w:cs="Arial"/>
          <w:sz w:val="24"/>
          <w:szCs w:val="24"/>
          <w:shd w:val="clear" w:color="auto" w:fill="FFFFFF"/>
        </w:rPr>
        <w:t>/1,73</w:t>
      </w:r>
      <w:r w:rsidR="001A3DFD" w:rsidRPr="00890A92">
        <w:rPr>
          <w:rFonts w:cs="Arial"/>
          <w:sz w:val="24"/>
          <w:szCs w:val="24"/>
          <w:shd w:val="clear" w:color="auto" w:fill="FFFFFF"/>
          <w:lang w:val="en-US"/>
        </w:rPr>
        <w:t>m</w:t>
      </w:r>
      <w:r w:rsidR="00962CFF" w:rsidRPr="00890A92">
        <w:rPr>
          <w:rFonts w:cs="Arial"/>
          <w:sz w:val="24"/>
          <w:szCs w:val="24"/>
          <w:shd w:val="clear" w:color="auto" w:fill="FFFFFF"/>
          <w:vertAlign w:val="superscript"/>
        </w:rPr>
        <w:t>2</w:t>
      </w:r>
      <w:r w:rsidR="00701B9F" w:rsidRPr="00890A92">
        <w:rPr>
          <w:rFonts w:cs="Arial"/>
          <w:sz w:val="24"/>
          <w:szCs w:val="24"/>
          <w:shd w:val="clear" w:color="auto" w:fill="FFFFFF"/>
          <w:vertAlign w:val="superscript"/>
        </w:rPr>
        <w:t xml:space="preserve"> </w:t>
      </w:r>
      <w:r w:rsidR="00701B9F" w:rsidRPr="00890A92">
        <w:rPr>
          <w:rFonts w:cs="Arial"/>
          <w:color w:val="252525"/>
          <w:sz w:val="24"/>
          <w:szCs w:val="24"/>
          <w:shd w:val="clear" w:color="auto" w:fill="FFFFFF"/>
        </w:rPr>
        <w:t>(</w:t>
      </w:r>
      <w:r w:rsidR="00701B9F" w:rsidRPr="00890A92">
        <w:rPr>
          <w:rFonts w:cs="Arial"/>
          <w:color w:val="252525"/>
          <w:sz w:val="24"/>
          <w:szCs w:val="24"/>
          <w:shd w:val="clear" w:color="auto" w:fill="FFFFFF"/>
          <w:lang w:val="en-US"/>
        </w:rPr>
        <w:t>Lederer</w:t>
      </w:r>
      <w:r w:rsidR="00701B9F" w:rsidRPr="00890A92">
        <w:rPr>
          <w:rFonts w:cs="Arial"/>
          <w:color w:val="252525"/>
          <w:sz w:val="24"/>
          <w:szCs w:val="24"/>
          <w:shd w:val="clear" w:color="auto" w:fill="FFFFFF"/>
        </w:rPr>
        <w:t xml:space="preserve"> </w:t>
      </w:r>
      <w:r w:rsidR="00701B9F" w:rsidRPr="00890A92">
        <w:rPr>
          <w:rFonts w:cs="Arial"/>
          <w:sz w:val="24"/>
          <w:szCs w:val="24"/>
          <w:shd w:val="clear" w:color="auto" w:fill="FFFFFF"/>
        </w:rPr>
        <w:t xml:space="preserve">&amp; </w:t>
      </w:r>
      <w:r w:rsidR="00701B9F" w:rsidRPr="00890A92">
        <w:rPr>
          <w:rFonts w:cs="Arial"/>
          <w:sz w:val="24"/>
          <w:szCs w:val="24"/>
          <w:shd w:val="clear" w:color="auto" w:fill="FFFFFF"/>
          <w:lang w:val="en-US"/>
        </w:rPr>
        <w:t>Ouseph</w:t>
      </w:r>
      <w:r w:rsidR="00701B9F" w:rsidRPr="00890A92">
        <w:rPr>
          <w:rFonts w:cs="Arial"/>
          <w:sz w:val="24"/>
          <w:szCs w:val="24"/>
          <w:shd w:val="clear" w:color="auto" w:fill="FFFFFF"/>
        </w:rPr>
        <w:t>, 2007).</w:t>
      </w:r>
      <w:r w:rsidR="00360F5D" w:rsidRPr="00890A92">
        <w:rPr>
          <w:rFonts w:cs="Arial"/>
          <w:sz w:val="24"/>
          <w:szCs w:val="24"/>
          <w:shd w:val="clear" w:color="auto" w:fill="FFFFFF"/>
        </w:rPr>
        <w:t xml:space="preserve"> </w:t>
      </w:r>
      <w:r w:rsidR="00360F5D" w:rsidRPr="00890A92">
        <w:rPr>
          <w:rFonts w:cs="Arial"/>
          <w:sz w:val="24"/>
          <w:szCs w:val="24"/>
          <w:shd w:val="clear" w:color="auto" w:fill="FFFFFF"/>
          <w:lang w:val="en-US"/>
        </w:rPr>
        <w:t>To</w:t>
      </w:r>
      <w:r w:rsidR="00360F5D" w:rsidRPr="00890A92">
        <w:rPr>
          <w:rFonts w:ascii="Arial" w:hAnsi="Arial" w:cs="Arial"/>
          <w:shd w:val="clear" w:color="auto" w:fill="FFFFFF"/>
        </w:rPr>
        <w:t> </w:t>
      </w:r>
      <w:r w:rsidR="00360F5D" w:rsidRPr="00890A92">
        <w:rPr>
          <w:rStyle w:val="af1"/>
          <w:rFonts w:asciiTheme="minorHAnsi" w:hAnsiTheme="minorHAnsi" w:cstheme="minorHAnsi"/>
          <w:bCs/>
          <w:i w:val="0"/>
          <w:iCs w:val="0"/>
          <w:sz w:val="24"/>
          <w:szCs w:val="24"/>
          <w:shd w:val="clear" w:color="auto" w:fill="FFFFFF"/>
        </w:rPr>
        <w:t>Εθνικό Ινστιτούτο Αριστείας Υγείας</w:t>
      </w:r>
      <w:r w:rsidR="00360F5D" w:rsidRPr="00890A92">
        <w:rPr>
          <w:rFonts w:asciiTheme="minorHAnsi" w:hAnsiTheme="minorHAnsi" w:cstheme="minorHAnsi"/>
          <w:sz w:val="24"/>
          <w:szCs w:val="24"/>
          <w:shd w:val="clear" w:color="auto" w:fill="FFFFFF"/>
        </w:rPr>
        <w:t> και </w:t>
      </w:r>
      <w:r w:rsidR="00360F5D" w:rsidRPr="00890A92">
        <w:rPr>
          <w:rStyle w:val="af1"/>
          <w:rFonts w:asciiTheme="minorHAnsi" w:hAnsiTheme="minorHAnsi" w:cstheme="minorHAnsi"/>
          <w:bCs/>
          <w:i w:val="0"/>
          <w:iCs w:val="0"/>
          <w:sz w:val="24"/>
          <w:szCs w:val="24"/>
          <w:shd w:val="clear" w:color="auto" w:fill="FFFFFF"/>
        </w:rPr>
        <w:t>Φροντίδας</w:t>
      </w:r>
      <w:r w:rsidR="00360F5D" w:rsidRPr="00890A92">
        <w:rPr>
          <w:rFonts w:asciiTheme="minorHAnsi" w:hAnsiTheme="minorHAnsi" w:cstheme="minorHAnsi"/>
          <w:sz w:val="24"/>
          <w:szCs w:val="24"/>
          <w:shd w:val="clear" w:color="auto" w:fill="FFFFFF"/>
        </w:rPr>
        <w:t xml:space="preserve"> (The National Institute for Health and Care Excellence, </w:t>
      </w:r>
      <w:r w:rsidR="00360F5D" w:rsidRPr="00890A92">
        <w:rPr>
          <w:rFonts w:cs="Arial"/>
          <w:sz w:val="24"/>
          <w:szCs w:val="24"/>
          <w:shd w:val="clear" w:color="auto" w:fill="FFFFFF"/>
          <w:lang w:val="en-US"/>
        </w:rPr>
        <w:t>NICE</w:t>
      </w:r>
      <w:r w:rsidR="00360F5D" w:rsidRPr="00890A92">
        <w:rPr>
          <w:rFonts w:cs="Arial"/>
          <w:sz w:val="24"/>
          <w:szCs w:val="24"/>
          <w:shd w:val="clear" w:color="auto" w:fill="FFFFFF"/>
        </w:rPr>
        <w:t xml:space="preserve">) πρότεινε την διαίρεση του σταδίου 3 σε 3Α (αν ο </w:t>
      </w:r>
      <w:r w:rsidR="00360F5D" w:rsidRPr="00890A92">
        <w:rPr>
          <w:rFonts w:cs="Arial"/>
          <w:sz w:val="24"/>
          <w:szCs w:val="24"/>
          <w:shd w:val="clear" w:color="auto" w:fill="FFFFFF"/>
          <w:lang w:val="en-US"/>
        </w:rPr>
        <w:t>GFR</w:t>
      </w:r>
      <w:r w:rsidR="00360F5D" w:rsidRPr="00890A92">
        <w:rPr>
          <w:rFonts w:cs="Arial"/>
          <w:sz w:val="24"/>
          <w:szCs w:val="24"/>
          <w:shd w:val="clear" w:color="auto" w:fill="FFFFFF"/>
        </w:rPr>
        <w:t xml:space="preserve"> 45-59</w:t>
      </w:r>
      <w:r w:rsidR="004A6D43" w:rsidRPr="00890A92">
        <w:rPr>
          <w:rFonts w:cs="Arial"/>
          <w:sz w:val="24"/>
          <w:szCs w:val="24"/>
          <w:shd w:val="clear" w:color="auto" w:fill="FFFFFF"/>
          <w:lang w:val="en-US"/>
        </w:rPr>
        <w:t>mL</w:t>
      </w:r>
      <w:r w:rsidR="00360F5D" w:rsidRPr="00890A92">
        <w:rPr>
          <w:rFonts w:cs="Arial"/>
          <w:sz w:val="24"/>
          <w:szCs w:val="24"/>
          <w:shd w:val="clear" w:color="auto" w:fill="FFFFFF"/>
        </w:rPr>
        <w:t>/</w:t>
      </w:r>
      <w:r w:rsidR="00360F5D" w:rsidRPr="00890A92">
        <w:rPr>
          <w:rFonts w:cs="Arial"/>
          <w:sz w:val="24"/>
          <w:szCs w:val="24"/>
          <w:shd w:val="clear" w:color="auto" w:fill="FFFFFF"/>
          <w:lang w:val="en-US"/>
        </w:rPr>
        <w:t>min</w:t>
      </w:r>
      <w:r w:rsidR="00360F5D" w:rsidRPr="00890A92">
        <w:rPr>
          <w:rFonts w:cs="Arial"/>
          <w:sz w:val="24"/>
          <w:szCs w:val="24"/>
          <w:shd w:val="clear" w:color="auto" w:fill="FFFFFF"/>
        </w:rPr>
        <w:t>/</w:t>
      </w:r>
      <w:r w:rsidR="00EF6A06" w:rsidRPr="00890A92">
        <w:rPr>
          <w:rFonts w:cs="Arial"/>
          <w:sz w:val="24"/>
          <w:szCs w:val="24"/>
          <w:shd w:val="clear" w:color="auto" w:fill="FFFFFF"/>
        </w:rPr>
        <w:t>1,</w:t>
      </w:r>
      <w:r w:rsidR="00360F5D" w:rsidRPr="00890A92">
        <w:rPr>
          <w:rFonts w:cs="Arial"/>
          <w:sz w:val="24"/>
          <w:szCs w:val="24"/>
          <w:shd w:val="clear" w:color="auto" w:fill="FFFFFF"/>
        </w:rPr>
        <w:t>73</w:t>
      </w:r>
      <w:r w:rsidR="001A3DFD" w:rsidRPr="00890A92">
        <w:rPr>
          <w:rFonts w:cs="Arial"/>
          <w:sz w:val="24"/>
          <w:szCs w:val="24"/>
          <w:shd w:val="clear" w:color="auto" w:fill="FFFFFF"/>
          <w:lang w:val="en-US"/>
        </w:rPr>
        <w:t>m</w:t>
      </w:r>
      <w:r w:rsidR="00360F5D" w:rsidRPr="00890A92">
        <w:rPr>
          <w:rFonts w:cs="Arial"/>
          <w:sz w:val="24"/>
          <w:szCs w:val="24"/>
          <w:shd w:val="clear" w:color="auto" w:fill="FFFFFF"/>
          <w:vertAlign w:val="superscript"/>
        </w:rPr>
        <w:t>2</w:t>
      </w:r>
      <w:r w:rsidR="00360F5D" w:rsidRPr="00890A92">
        <w:rPr>
          <w:rFonts w:cs="Arial"/>
          <w:sz w:val="24"/>
          <w:szCs w:val="24"/>
          <w:shd w:val="clear" w:color="auto" w:fill="FFFFFF"/>
        </w:rPr>
        <w:t xml:space="preserve">) και 3Β (αν ο </w:t>
      </w:r>
      <w:r w:rsidR="00360F5D" w:rsidRPr="00890A92">
        <w:rPr>
          <w:rFonts w:cs="Arial"/>
          <w:sz w:val="24"/>
          <w:szCs w:val="24"/>
          <w:shd w:val="clear" w:color="auto" w:fill="FFFFFF"/>
          <w:lang w:val="en-US"/>
        </w:rPr>
        <w:t>GFR</w:t>
      </w:r>
      <w:r w:rsidR="00360F5D" w:rsidRPr="00890A92">
        <w:rPr>
          <w:rFonts w:cs="Arial"/>
          <w:sz w:val="24"/>
          <w:szCs w:val="24"/>
          <w:shd w:val="clear" w:color="auto" w:fill="FFFFFF"/>
        </w:rPr>
        <w:t xml:space="preserve"> 30-44</w:t>
      </w:r>
      <w:r w:rsidR="004A6D43" w:rsidRPr="00890A92">
        <w:rPr>
          <w:rFonts w:cs="Arial"/>
          <w:sz w:val="24"/>
          <w:szCs w:val="24"/>
          <w:shd w:val="clear" w:color="auto" w:fill="FFFFFF"/>
          <w:lang w:val="en-US"/>
        </w:rPr>
        <w:t>mL</w:t>
      </w:r>
      <w:r w:rsidR="00360F5D" w:rsidRPr="00890A92">
        <w:rPr>
          <w:rFonts w:cs="Arial"/>
          <w:sz w:val="24"/>
          <w:szCs w:val="24"/>
          <w:shd w:val="clear" w:color="auto" w:fill="FFFFFF"/>
        </w:rPr>
        <w:t>/</w:t>
      </w:r>
      <w:r w:rsidR="00360F5D" w:rsidRPr="00890A92">
        <w:rPr>
          <w:rFonts w:cs="Arial"/>
          <w:sz w:val="24"/>
          <w:szCs w:val="24"/>
          <w:shd w:val="clear" w:color="auto" w:fill="FFFFFF"/>
          <w:lang w:val="en-US"/>
        </w:rPr>
        <w:t>min</w:t>
      </w:r>
      <w:r w:rsidR="00360F5D" w:rsidRPr="00890A92">
        <w:rPr>
          <w:rFonts w:cs="Arial"/>
          <w:sz w:val="24"/>
          <w:szCs w:val="24"/>
          <w:shd w:val="clear" w:color="auto" w:fill="FFFFFF"/>
        </w:rPr>
        <w:t>/</w:t>
      </w:r>
      <w:r w:rsidR="00EF6A06" w:rsidRPr="00890A92">
        <w:rPr>
          <w:rFonts w:cs="Arial"/>
          <w:sz w:val="24"/>
          <w:szCs w:val="24"/>
          <w:shd w:val="clear" w:color="auto" w:fill="FFFFFF"/>
        </w:rPr>
        <w:t>1,</w:t>
      </w:r>
      <w:r w:rsidR="00360F5D" w:rsidRPr="00890A92">
        <w:rPr>
          <w:rFonts w:cs="Arial"/>
          <w:sz w:val="24"/>
          <w:szCs w:val="24"/>
          <w:shd w:val="clear" w:color="auto" w:fill="FFFFFF"/>
        </w:rPr>
        <w:t>73</w:t>
      </w:r>
      <w:r w:rsidR="001A3DFD" w:rsidRPr="00890A92">
        <w:rPr>
          <w:rFonts w:cs="Arial"/>
          <w:sz w:val="24"/>
          <w:szCs w:val="24"/>
          <w:shd w:val="clear" w:color="auto" w:fill="FFFFFF"/>
          <w:lang w:val="en-US"/>
        </w:rPr>
        <w:t>m</w:t>
      </w:r>
      <w:r w:rsidR="00360F5D" w:rsidRPr="00890A92">
        <w:rPr>
          <w:rFonts w:cs="Arial"/>
          <w:sz w:val="24"/>
          <w:szCs w:val="24"/>
          <w:shd w:val="clear" w:color="auto" w:fill="FFFFFF"/>
          <w:vertAlign w:val="superscript"/>
        </w:rPr>
        <w:t>2</w:t>
      </w:r>
      <w:r w:rsidR="00360F5D" w:rsidRPr="00890A92">
        <w:rPr>
          <w:rFonts w:cs="Arial"/>
          <w:sz w:val="24"/>
          <w:szCs w:val="24"/>
          <w:shd w:val="clear" w:color="auto" w:fill="FFFFFF"/>
        </w:rPr>
        <w:t>)</w:t>
      </w:r>
      <w:r w:rsidR="00736090" w:rsidRPr="00890A92">
        <w:rPr>
          <w:rFonts w:cs="Arial"/>
          <w:sz w:val="24"/>
          <w:szCs w:val="24"/>
          <w:shd w:val="clear" w:color="auto" w:fill="FFFFFF"/>
        </w:rPr>
        <w:t xml:space="preserve"> (</w:t>
      </w:r>
      <w:r w:rsidR="00736090" w:rsidRPr="00890A92">
        <w:rPr>
          <w:rFonts w:cs="Arial"/>
          <w:sz w:val="24"/>
          <w:szCs w:val="24"/>
          <w:shd w:val="clear" w:color="auto" w:fill="FFFFFF"/>
          <w:lang w:val="en-US"/>
        </w:rPr>
        <w:t>NICE</w:t>
      </w:r>
      <w:r w:rsidR="00736090" w:rsidRPr="00890A92">
        <w:rPr>
          <w:rFonts w:cs="Arial"/>
          <w:sz w:val="24"/>
          <w:szCs w:val="24"/>
          <w:shd w:val="clear" w:color="auto" w:fill="FFFFFF"/>
        </w:rPr>
        <w:t xml:space="preserve">, </w:t>
      </w:r>
      <w:r w:rsidR="00736090" w:rsidRPr="00890A92">
        <w:rPr>
          <w:rFonts w:cs="Calibri"/>
          <w:sz w:val="24"/>
          <w:szCs w:val="24"/>
          <w:shd w:val="clear" w:color="auto" w:fill="FFFFFF"/>
        </w:rPr>
        <w:t>2008</w:t>
      </w:r>
      <w:r w:rsidR="0059055B" w:rsidRPr="00890A92">
        <w:rPr>
          <w:rFonts w:cs="Calibri"/>
          <w:sz w:val="24"/>
          <w:szCs w:val="24"/>
          <w:shd w:val="clear" w:color="auto" w:fill="FFFFFF"/>
        </w:rPr>
        <w:t xml:space="preserve">; </w:t>
      </w:r>
      <w:r w:rsidR="0059055B" w:rsidRPr="00890A92">
        <w:rPr>
          <w:rFonts w:cs="Calibri"/>
          <w:sz w:val="24"/>
          <w:szCs w:val="24"/>
          <w:shd w:val="clear" w:color="auto" w:fill="FFFFFF"/>
          <w:lang w:val="en-US"/>
        </w:rPr>
        <w:t>Rocco</w:t>
      </w:r>
      <w:r w:rsidR="0059055B" w:rsidRPr="00890A92">
        <w:rPr>
          <w:rFonts w:cs="Calibri"/>
          <w:sz w:val="24"/>
          <w:szCs w:val="24"/>
          <w:shd w:val="clear" w:color="auto" w:fill="FFFFFF"/>
        </w:rPr>
        <w:t xml:space="preserve"> </w:t>
      </w:r>
      <w:r w:rsidR="0059055B" w:rsidRPr="00890A92">
        <w:rPr>
          <w:rFonts w:cs="Calibri"/>
          <w:sz w:val="24"/>
          <w:szCs w:val="24"/>
          <w:shd w:val="clear" w:color="auto" w:fill="FFFFFF"/>
          <w:lang w:val="en-US"/>
        </w:rPr>
        <w:t>et</w:t>
      </w:r>
      <w:r w:rsidR="0059055B" w:rsidRPr="00890A92">
        <w:rPr>
          <w:rFonts w:cs="Calibri"/>
          <w:sz w:val="24"/>
          <w:szCs w:val="24"/>
          <w:shd w:val="clear" w:color="auto" w:fill="FFFFFF"/>
        </w:rPr>
        <w:t xml:space="preserve"> </w:t>
      </w:r>
      <w:r w:rsidR="0059055B" w:rsidRPr="00890A92">
        <w:rPr>
          <w:rFonts w:cs="Calibri"/>
          <w:sz w:val="24"/>
          <w:szCs w:val="24"/>
          <w:shd w:val="clear" w:color="auto" w:fill="FFFFFF"/>
          <w:lang w:val="en-US"/>
        </w:rPr>
        <w:t>al</w:t>
      </w:r>
      <w:r w:rsidR="0059055B" w:rsidRPr="00890A92">
        <w:rPr>
          <w:rFonts w:cs="Calibri"/>
          <w:sz w:val="24"/>
          <w:szCs w:val="24"/>
          <w:shd w:val="clear" w:color="auto" w:fill="FFFFFF"/>
        </w:rPr>
        <w:t>., 2016</w:t>
      </w:r>
      <w:r w:rsidR="00736090" w:rsidRPr="00890A92">
        <w:rPr>
          <w:rFonts w:cs="Calibri"/>
          <w:sz w:val="24"/>
          <w:szCs w:val="24"/>
          <w:shd w:val="clear" w:color="auto" w:fill="FFFFFF"/>
        </w:rPr>
        <w:t>)</w:t>
      </w:r>
      <w:r w:rsidR="00360F5D" w:rsidRPr="00890A92">
        <w:rPr>
          <w:rFonts w:cs="Calibri"/>
          <w:sz w:val="24"/>
          <w:szCs w:val="24"/>
          <w:shd w:val="clear" w:color="auto" w:fill="FFFFFF"/>
        </w:rPr>
        <w:t>.</w:t>
      </w:r>
      <w:r w:rsidR="00736090" w:rsidRPr="00736090">
        <w:rPr>
          <w:rFonts w:cs="Arial"/>
          <w:sz w:val="24"/>
          <w:szCs w:val="24"/>
          <w:shd w:val="clear" w:color="auto" w:fill="FFFFFF"/>
        </w:rPr>
        <w:t xml:space="preserve"> </w:t>
      </w:r>
    </w:p>
    <w:p w:rsidR="00863B0E" w:rsidRPr="00890A92" w:rsidRDefault="00863B0E" w:rsidP="005A464E">
      <w:pPr>
        <w:spacing w:line="360" w:lineRule="auto"/>
        <w:jc w:val="both"/>
        <w:rPr>
          <w:sz w:val="24"/>
          <w:szCs w:val="24"/>
        </w:rPr>
      </w:pPr>
      <w:r w:rsidRPr="005A464E">
        <w:rPr>
          <w:b/>
          <w:sz w:val="24"/>
          <w:szCs w:val="24"/>
        </w:rPr>
        <w:t xml:space="preserve">Στάδιο 4: </w:t>
      </w:r>
      <w:r w:rsidR="00A935E5" w:rsidRPr="005A464E">
        <w:rPr>
          <w:sz w:val="24"/>
          <w:szCs w:val="24"/>
        </w:rPr>
        <w:t>Ε</w:t>
      </w:r>
      <w:r w:rsidR="001D25F8">
        <w:rPr>
          <w:sz w:val="24"/>
          <w:szCs w:val="24"/>
        </w:rPr>
        <w:t xml:space="preserve">ίναι το </w:t>
      </w:r>
      <w:r w:rsidR="001D25F8" w:rsidRPr="00890A92">
        <w:rPr>
          <w:sz w:val="24"/>
          <w:szCs w:val="24"/>
        </w:rPr>
        <w:t>στάδιο του</w:t>
      </w:r>
      <w:r w:rsidRPr="00890A92">
        <w:rPr>
          <w:sz w:val="24"/>
          <w:szCs w:val="24"/>
        </w:rPr>
        <w:t xml:space="preserve"> </w:t>
      </w:r>
      <w:r w:rsidR="001D25F8" w:rsidRPr="00890A92">
        <w:rPr>
          <w:sz w:val="24"/>
          <w:szCs w:val="24"/>
        </w:rPr>
        <w:t>ουραιμικού συνδρόμου</w:t>
      </w:r>
      <w:r w:rsidRPr="00890A92">
        <w:rPr>
          <w:sz w:val="24"/>
          <w:szCs w:val="24"/>
        </w:rPr>
        <w:t>. Οι</w:t>
      </w:r>
      <w:r w:rsidR="00A935E5" w:rsidRPr="00890A92">
        <w:rPr>
          <w:sz w:val="24"/>
          <w:szCs w:val="24"/>
        </w:rPr>
        <w:t xml:space="preserve"> ασθενείς </w:t>
      </w:r>
      <w:r w:rsidR="00387C8D" w:rsidRPr="00890A92">
        <w:rPr>
          <w:sz w:val="24"/>
          <w:szCs w:val="24"/>
        </w:rPr>
        <w:t>εμφανίζουν</w:t>
      </w:r>
      <w:r w:rsidRPr="00890A92">
        <w:rPr>
          <w:sz w:val="24"/>
          <w:szCs w:val="24"/>
        </w:rPr>
        <w:t xml:space="preserve"> συμπτώματα από όλα τα </w:t>
      </w:r>
      <w:r w:rsidR="00D9583A" w:rsidRPr="00890A92">
        <w:rPr>
          <w:sz w:val="24"/>
          <w:szCs w:val="24"/>
        </w:rPr>
        <w:t xml:space="preserve">οργανικά </w:t>
      </w:r>
      <w:r w:rsidRPr="00890A92">
        <w:rPr>
          <w:sz w:val="24"/>
          <w:szCs w:val="24"/>
        </w:rPr>
        <w:t xml:space="preserve">συστήματα. Ο </w:t>
      </w:r>
      <w:r w:rsidRPr="00890A92">
        <w:rPr>
          <w:sz w:val="24"/>
          <w:szCs w:val="24"/>
          <w:lang w:val="en-US"/>
        </w:rPr>
        <w:t>GFR</w:t>
      </w:r>
      <w:r w:rsidR="00C31EBF" w:rsidRPr="00890A92">
        <w:rPr>
          <w:sz w:val="24"/>
          <w:szCs w:val="24"/>
        </w:rPr>
        <w:t xml:space="preserve"> είναι</w:t>
      </w:r>
      <w:r w:rsidR="00C31EBF" w:rsidRPr="00890A92">
        <w:rPr>
          <w:rFonts w:cs="Arial"/>
          <w:sz w:val="24"/>
          <w:szCs w:val="24"/>
          <w:shd w:val="clear" w:color="auto" w:fill="FFFFFF"/>
        </w:rPr>
        <w:t xml:space="preserve"> 15-29</w:t>
      </w:r>
      <w:r w:rsidR="004A6D43" w:rsidRPr="00890A92">
        <w:rPr>
          <w:rFonts w:cs="Arial"/>
          <w:sz w:val="24"/>
          <w:szCs w:val="24"/>
          <w:shd w:val="clear" w:color="auto" w:fill="FFFFFF"/>
          <w:lang w:val="en-US"/>
        </w:rPr>
        <w:t>mL</w:t>
      </w:r>
      <w:r w:rsidRPr="00890A92">
        <w:rPr>
          <w:rFonts w:cs="Arial"/>
          <w:sz w:val="24"/>
          <w:szCs w:val="24"/>
          <w:shd w:val="clear" w:color="auto" w:fill="FFFFFF"/>
        </w:rPr>
        <w:t>/</w:t>
      </w:r>
      <w:r w:rsidRPr="00890A92">
        <w:rPr>
          <w:rFonts w:cs="Arial"/>
          <w:sz w:val="24"/>
          <w:szCs w:val="24"/>
          <w:shd w:val="clear" w:color="auto" w:fill="FFFFFF"/>
          <w:lang w:val="en-US"/>
        </w:rPr>
        <w:t>min</w:t>
      </w:r>
      <w:r w:rsidR="00962CFF" w:rsidRPr="00890A92">
        <w:rPr>
          <w:rFonts w:cs="Arial"/>
          <w:sz w:val="24"/>
          <w:szCs w:val="24"/>
          <w:shd w:val="clear" w:color="auto" w:fill="FFFFFF"/>
        </w:rPr>
        <w:t>/1,73</w:t>
      </w:r>
      <w:r w:rsidR="00962CFF" w:rsidRPr="00890A92">
        <w:rPr>
          <w:rFonts w:cs="Arial"/>
          <w:sz w:val="24"/>
          <w:szCs w:val="24"/>
          <w:shd w:val="clear" w:color="auto" w:fill="FFFFFF"/>
          <w:vertAlign w:val="superscript"/>
        </w:rPr>
        <w:t>2</w:t>
      </w:r>
      <w:r w:rsidR="004847A7" w:rsidRPr="00890A92">
        <w:rPr>
          <w:rFonts w:cs="Arial"/>
          <w:sz w:val="24"/>
          <w:szCs w:val="24"/>
          <w:shd w:val="clear" w:color="auto" w:fill="FFFFFF"/>
        </w:rPr>
        <w:t>. Οι ασθενείς εμφανίζουν βαριά συμπτώματα</w:t>
      </w:r>
      <w:r w:rsidR="008F0887" w:rsidRPr="00890A92">
        <w:rPr>
          <w:rFonts w:cs="Arial"/>
          <w:sz w:val="24"/>
          <w:szCs w:val="24"/>
          <w:shd w:val="clear" w:color="auto" w:fill="FFFFFF"/>
        </w:rPr>
        <w:t>,</w:t>
      </w:r>
      <w:r w:rsidR="004847A7" w:rsidRPr="00890A92">
        <w:rPr>
          <w:rFonts w:cs="Arial"/>
          <w:sz w:val="24"/>
          <w:szCs w:val="24"/>
          <w:shd w:val="clear" w:color="auto" w:fill="FFFFFF"/>
        </w:rPr>
        <w:t xml:space="preserve"> όπως αδυναμία, λήθαργο, ευερεθιστότητα, κατάργηση περιφερικών αντανακλαστικών, κινητική και αισθητική νευροπάθεια, ανορεξία,</w:t>
      </w:r>
      <w:r w:rsidR="00387C8D" w:rsidRPr="00890A92">
        <w:rPr>
          <w:rFonts w:cs="Arial"/>
          <w:sz w:val="24"/>
          <w:szCs w:val="24"/>
          <w:shd w:val="clear" w:color="auto" w:fill="FFFFFF"/>
        </w:rPr>
        <w:t xml:space="preserve"> </w:t>
      </w:r>
      <w:r w:rsidR="004847A7" w:rsidRPr="00890A92">
        <w:rPr>
          <w:rFonts w:cs="Arial"/>
          <w:sz w:val="24"/>
          <w:szCs w:val="24"/>
          <w:shd w:val="clear" w:color="auto" w:fill="FFFFFF"/>
        </w:rPr>
        <w:t>ναυτία, έμετο, δύσπνοια, ορθόπνοια, υπέρταση και οξεία καρδιακή ανεπάρκεια λόγω αύξησης του ενδαγγειακού όγκου. Η αναιμία επιδεινώνεται ενώ διαταράσσεται και η πήξη του αίματος. Εμφανίζονται νεφρική</w:t>
      </w:r>
      <w:r w:rsidR="00387C8D" w:rsidRPr="00890A92">
        <w:rPr>
          <w:rFonts w:cs="Arial"/>
          <w:sz w:val="24"/>
          <w:szCs w:val="24"/>
          <w:shd w:val="clear" w:color="auto" w:fill="FFFFFF"/>
        </w:rPr>
        <w:t xml:space="preserve"> οστεοδυστροφία και κίνδυνος καταγμάτων. Υπάρχει μείωση της</w:t>
      </w:r>
      <w:r w:rsidR="004847A7" w:rsidRPr="00890A92">
        <w:rPr>
          <w:rFonts w:cs="Arial"/>
          <w:sz w:val="24"/>
          <w:szCs w:val="24"/>
          <w:shd w:val="clear" w:color="auto" w:fill="FFFFFF"/>
        </w:rPr>
        <w:t xml:space="preserve"> γονιμότητας και στα </w:t>
      </w:r>
      <w:r w:rsidR="00D8735E" w:rsidRPr="00890A92">
        <w:rPr>
          <w:rFonts w:cs="Arial"/>
          <w:sz w:val="24"/>
          <w:szCs w:val="24"/>
          <w:shd w:val="clear" w:color="auto" w:fill="FFFFFF"/>
        </w:rPr>
        <w:t>2</w:t>
      </w:r>
      <w:r w:rsidR="004847A7" w:rsidRPr="00890A92">
        <w:rPr>
          <w:rFonts w:cs="Arial"/>
          <w:sz w:val="24"/>
          <w:szCs w:val="24"/>
          <w:shd w:val="clear" w:color="auto" w:fill="FFFFFF"/>
        </w:rPr>
        <w:t xml:space="preserve"> φύλα</w:t>
      </w:r>
      <w:r w:rsidR="00701B9F" w:rsidRPr="00890A92">
        <w:rPr>
          <w:rFonts w:cs="Arial"/>
          <w:sz w:val="24"/>
          <w:szCs w:val="24"/>
          <w:shd w:val="clear" w:color="auto" w:fill="FFFFFF"/>
        </w:rPr>
        <w:t xml:space="preserve"> (</w:t>
      </w:r>
      <w:r w:rsidR="00701B9F" w:rsidRPr="00890A92">
        <w:rPr>
          <w:rFonts w:cs="Arial"/>
          <w:sz w:val="24"/>
          <w:szCs w:val="24"/>
          <w:shd w:val="clear" w:color="auto" w:fill="FFFFFF"/>
          <w:lang w:val="en-US"/>
        </w:rPr>
        <w:t>Lederer</w:t>
      </w:r>
      <w:r w:rsidR="00701B9F" w:rsidRPr="00890A92">
        <w:rPr>
          <w:rFonts w:cs="Arial"/>
          <w:sz w:val="24"/>
          <w:szCs w:val="24"/>
          <w:shd w:val="clear" w:color="auto" w:fill="FFFFFF"/>
        </w:rPr>
        <w:t xml:space="preserve"> &amp; </w:t>
      </w:r>
      <w:r w:rsidR="00701B9F" w:rsidRPr="00890A92">
        <w:rPr>
          <w:rFonts w:cs="Arial"/>
          <w:sz w:val="24"/>
          <w:szCs w:val="24"/>
          <w:shd w:val="clear" w:color="auto" w:fill="FFFFFF"/>
          <w:lang w:val="en-US"/>
        </w:rPr>
        <w:t>Ouseph</w:t>
      </w:r>
      <w:r w:rsidR="00701B9F" w:rsidRPr="00890A92">
        <w:rPr>
          <w:rFonts w:cs="Arial"/>
          <w:sz w:val="24"/>
          <w:szCs w:val="24"/>
          <w:shd w:val="clear" w:color="auto" w:fill="FFFFFF"/>
        </w:rPr>
        <w:t>, 2007</w:t>
      </w:r>
      <w:r w:rsidR="0059055B" w:rsidRPr="00890A92">
        <w:rPr>
          <w:rFonts w:cs="Arial"/>
          <w:sz w:val="24"/>
          <w:szCs w:val="24"/>
          <w:shd w:val="clear" w:color="auto" w:fill="FFFFFF"/>
        </w:rPr>
        <w:t xml:space="preserve">; </w:t>
      </w:r>
      <w:r w:rsidR="0059055B" w:rsidRPr="00890A92">
        <w:rPr>
          <w:rFonts w:cs="Arial"/>
          <w:sz w:val="24"/>
          <w:szCs w:val="24"/>
          <w:shd w:val="clear" w:color="auto" w:fill="FFFFFF"/>
          <w:lang w:val="en-US"/>
        </w:rPr>
        <w:t>Rocco</w:t>
      </w:r>
      <w:r w:rsidR="0059055B" w:rsidRPr="00890A92">
        <w:rPr>
          <w:rFonts w:cs="Arial"/>
          <w:sz w:val="24"/>
          <w:szCs w:val="24"/>
          <w:shd w:val="clear" w:color="auto" w:fill="FFFFFF"/>
        </w:rPr>
        <w:t xml:space="preserve"> </w:t>
      </w:r>
      <w:r w:rsidR="0059055B" w:rsidRPr="00890A92">
        <w:rPr>
          <w:rFonts w:cs="Arial"/>
          <w:sz w:val="24"/>
          <w:szCs w:val="24"/>
          <w:shd w:val="clear" w:color="auto" w:fill="FFFFFF"/>
          <w:lang w:val="en-US"/>
        </w:rPr>
        <w:t>et</w:t>
      </w:r>
      <w:r w:rsidR="0059055B" w:rsidRPr="00890A92">
        <w:rPr>
          <w:rFonts w:cs="Arial"/>
          <w:sz w:val="24"/>
          <w:szCs w:val="24"/>
          <w:shd w:val="clear" w:color="auto" w:fill="FFFFFF"/>
        </w:rPr>
        <w:t xml:space="preserve"> </w:t>
      </w:r>
      <w:r w:rsidR="0059055B" w:rsidRPr="00890A92">
        <w:rPr>
          <w:rFonts w:cs="Arial"/>
          <w:sz w:val="24"/>
          <w:szCs w:val="24"/>
          <w:shd w:val="clear" w:color="auto" w:fill="FFFFFF"/>
          <w:lang w:val="en-US"/>
        </w:rPr>
        <w:t>al</w:t>
      </w:r>
      <w:r w:rsidR="0059055B" w:rsidRPr="00890A92">
        <w:rPr>
          <w:rFonts w:cs="Arial"/>
          <w:sz w:val="24"/>
          <w:szCs w:val="24"/>
          <w:shd w:val="clear" w:color="auto" w:fill="FFFFFF"/>
        </w:rPr>
        <w:t>., 2016</w:t>
      </w:r>
      <w:r w:rsidR="00701B9F" w:rsidRPr="00890A92">
        <w:rPr>
          <w:rFonts w:cs="Arial"/>
          <w:color w:val="252525"/>
          <w:sz w:val="24"/>
          <w:szCs w:val="24"/>
          <w:shd w:val="clear" w:color="auto" w:fill="FFFFFF"/>
        </w:rPr>
        <w:t>)</w:t>
      </w:r>
      <w:r w:rsidR="004847A7" w:rsidRPr="00890A92">
        <w:rPr>
          <w:rFonts w:cs="Arial"/>
          <w:color w:val="252525"/>
          <w:sz w:val="24"/>
          <w:szCs w:val="24"/>
          <w:shd w:val="clear" w:color="auto" w:fill="FFFFFF"/>
        </w:rPr>
        <w:t>.</w:t>
      </w:r>
    </w:p>
    <w:p w:rsidR="00592EEE" w:rsidRPr="00890A92" w:rsidRDefault="00A935E5" w:rsidP="005A464E">
      <w:pPr>
        <w:spacing w:line="360" w:lineRule="auto"/>
        <w:jc w:val="both"/>
        <w:rPr>
          <w:sz w:val="24"/>
          <w:szCs w:val="24"/>
        </w:rPr>
      </w:pPr>
      <w:r w:rsidRPr="00890A92">
        <w:rPr>
          <w:b/>
          <w:sz w:val="24"/>
          <w:szCs w:val="24"/>
        </w:rPr>
        <w:t xml:space="preserve">Στάδιο 5: </w:t>
      </w:r>
      <w:r w:rsidRPr="00890A92">
        <w:rPr>
          <w:sz w:val="24"/>
          <w:szCs w:val="24"/>
        </w:rPr>
        <w:t xml:space="preserve">Ο </w:t>
      </w:r>
      <w:r w:rsidRPr="00890A92">
        <w:rPr>
          <w:sz w:val="24"/>
          <w:szCs w:val="24"/>
          <w:lang w:val="en-US"/>
        </w:rPr>
        <w:t>GFR</w:t>
      </w:r>
      <w:r w:rsidR="00387C8D" w:rsidRPr="00890A92">
        <w:rPr>
          <w:sz w:val="24"/>
          <w:szCs w:val="24"/>
        </w:rPr>
        <w:t xml:space="preserve"> </w:t>
      </w:r>
      <w:r w:rsidRPr="00890A92">
        <w:rPr>
          <w:sz w:val="24"/>
          <w:szCs w:val="24"/>
        </w:rPr>
        <w:t xml:space="preserve">είναι </w:t>
      </w:r>
      <w:r w:rsidR="00C31EBF" w:rsidRPr="00890A92">
        <w:rPr>
          <w:sz w:val="24"/>
          <w:szCs w:val="24"/>
        </w:rPr>
        <w:t>&lt;</w:t>
      </w:r>
      <w:r w:rsidR="00C31EBF" w:rsidRPr="00890A92">
        <w:rPr>
          <w:rFonts w:cs="Arial"/>
          <w:color w:val="252525"/>
          <w:sz w:val="24"/>
          <w:szCs w:val="24"/>
          <w:shd w:val="clear" w:color="auto" w:fill="FFFFFF"/>
        </w:rPr>
        <w:t>15</w:t>
      </w:r>
      <w:r w:rsidR="004A6D43" w:rsidRPr="00890A92">
        <w:rPr>
          <w:rFonts w:cs="Arial"/>
          <w:color w:val="252525"/>
          <w:sz w:val="24"/>
          <w:szCs w:val="24"/>
          <w:shd w:val="clear" w:color="auto" w:fill="FFFFFF"/>
          <w:lang w:val="en-US"/>
        </w:rPr>
        <w:t>mL</w:t>
      </w:r>
      <w:r w:rsidRPr="00890A92">
        <w:rPr>
          <w:rFonts w:cs="Arial"/>
          <w:color w:val="252525"/>
          <w:sz w:val="24"/>
          <w:szCs w:val="24"/>
          <w:shd w:val="clear" w:color="auto" w:fill="FFFFFF"/>
        </w:rPr>
        <w:t>/</w:t>
      </w:r>
      <w:r w:rsidRPr="00890A92">
        <w:rPr>
          <w:rFonts w:cs="Arial"/>
          <w:color w:val="252525"/>
          <w:sz w:val="24"/>
          <w:szCs w:val="24"/>
          <w:shd w:val="clear" w:color="auto" w:fill="FFFFFF"/>
          <w:lang w:val="en-US"/>
        </w:rPr>
        <w:t>min</w:t>
      </w:r>
      <w:r w:rsidR="00962CFF" w:rsidRPr="00890A92">
        <w:rPr>
          <w:rFonts w:cs="Arial"/>
          <w:color w:val="252525"/>
          <w:sz w:val="24"/>
          <w:szCs w:val="24"/>
          <w:shd w:val="clear" w:color="auto" w:fill="FFFFFF"/>
        </w:rPr>
        <w:t>/1,</w:t>
      </w:r>
      <w:r w:rsidR="00962CFF" w:rsidRPr="00890A92">
        <w:rPr>
          <w:rFonts w:cs="Arial"/>
          <w:sz w:val="24"/>
          <w:szCs w:val="24"/>
          <w:shd w:val="clear" w:color="auto" w:fill="FFFFFF"/>
        </w:rPr>
        <w:t>73</w:t>
      </w:r>
      <w:r w:rsidR="001A3DFD" w:rsidRPr="00890A92">
        <w:rPr>
          <w:rFonts w:cs="Arial"/>
          <w:sz w:val="24"/>
          <w:szCs w:val="24"/>
          <w:shd w:val="clear" w:color="auto" w:fill="FFFFFF"/>
          <w:lang w:val="en-US"/>
        </w:rPr>
        <w:t>m</w:t>
      </w:r>
      <w:r w:rsidR="00962CFF" w:rsidRPr="00890A92">
        <w:rPr>
          <w:rFonts w:cs="Arial"/>
          <w:sz w:val="24"/>
          <w:szCs w:val="24"/>
          <w:shd w:val="clear" w:color="auto" w:fill="FFFFFF"/>
          <w:vertAlign w:val="superscript"/>
        </w:rPr>
        <w:t>2</w:t>
      </w:r>
      <w:r w:rsidRPr="00890A92">
        <w:rPr>
          <w:rFonts w:cs="Arial"/>
          <w:sz w:val="24"/>
          <w:szCs w:val="24"/>
          <w:shd w:val="clear" w:color="auto" w:fill="FFFFFF"/>
        </w:rPr>
        <w:t>.</w:t>
      </w:r>
      <w:r w:rsidR="004847A7" w:rsidRPr="00890A92">
        <w:rPr>
          <w:rFonts w:cs="Arial"/>
          <w:sz w:val="24"/>
          <w:szCs w:val="24"/>
          <w:shd w:val="clear" w:color="auto" w:fill="FFFFFF"/>
        </w:rPr>
        <w:t xml:space="preserve"> Οι ασθενε</w:t>
      </w:r>
      <w:r w:rsidRPr="00890A92">
        <w:rPr>
          <w:rFonts w:cs="Arial"/>
          <w:sz w:val="24"/>
          <w:szCs w:val="24"/>
          <w:shd w:val="clear" w:color="auto" w:fill="FFFFFF"/>
        </w:rPr>
        <w:t>ίς εμφανίζουν βαρύ ουραιμικό σύνδρομο και η ζωή τους τίθεται σε κίνδυνο</w:t>
      </w:r>
      <w:r w:rsidR="00701B9F" w:rsidRPr="00890A92">
        <w:rPr>
          <w:rFonts w:cs="Arial"/>
          <w:sz w:val="24"/>
          <w:szCs w:val="24"/>
          <w:shd w:val="clear" w:color="auto" w:fill="FFFFFF"/>
        </w:rPr>
        <w:t xml:space="preserve"> (</w:t>
      </w:r>
      <w:r w:rsidR="00701B9F" w:rsidRPr="00890A92">
        <w:rPr>
          <w:rFonts w:cs="Arial"/>
          <w:sz w:val="24"/>
          <w:szCs w:val="24"/>
          <w:shd w:val="clear" w:color="auto" w:fill="FFFFFF"/>
          <w:lang w:val="en-US"/>
        </w:rPr>
        <w:t>Lederer</w:t>
      </w:r>
      <w:r w:rsidR="00701B9F" w:rsidRPr="00890A92">
        <w:rPr>
          <w:rFonts w:cs="Arial"/>
          <w:sz w:val="24"/>
          <w:szCs w:val="24"/>
          <w:shd w:val="clear" w:color="auto" w:fill="FFFFFF"/>
        </w:rPr>
        <w:t xml:space="preserve"> &amp; </w:t>
      </w:r>
      <w:r w:rsidR="00701B9F" w:rsidRPr="00890A92">
        <w:rPr>
          <w:rFonts w:cs="Arial"/>
          <w:sz w:val="24"/>
          <w:szCs w:val="24"/>
          <w:shd w:val="clear" w:color="auto" w:fill="FFFFFF"/>
          <w:lang w:val="en-US"/>
        </w:rPr>
        <w:t>Ouseph</w:t>
      </w:r>
      <w:r w:rsidR="00701B9F" w:rsidRPr="00890A92">
        <w:rPr>
          <w:rFonts w:cs="Arial"/>
          <w:sz w:val="24"/>
          <w:szCs w:val="24"/>
          <w:shd w:val="clear" w:color="auto" w:fill="FFFFFF"/>
        </w:rPr>
        <w:t>, 2007</w:t>
      </w:r>
      <w:r w:rsidR="0059055B" w:rsidRPr="00890A92">
        <w:rPr>
          <w:rFonts w:cs="Arial"/>
          <w:sz w:val="24"/>
          <w:szCs w:val="24"/>
          <w:shd w:val="clear" w:color="auto" w:fill="FFFFFF"/>
        </w:rPr>
        <w:t xml:space="preserve">; </w:t>
      </w:r>
      <w:r w:rsidR="0059055B" w:rsidRPr="00890A92">
        <w:rPr>
          <w:rFonts w:cs="Arial"/>
          <w:sz w:val="24"/>
          <w:szCs w:val="24"/>
          <w:shd w:val="clear" w:color="auto" w:fill="FFFFFF"/>
          <w:lang w:val="en-US"/>
        </w:rPr>
        <w:t>Rocco</w:t>
      </w:r>
      <w:r w:rsidR="0059055B" w:rsidRPr="00890A92">
        <w:rPr>
          <w:rFonts w:cs="Arial"/>
          <w:sz w:val="24"/>
          <w:szCs w:val="24"/>
          <w:shd w:val="clear" w:color="auto" w:fill="FFFFFF"/>
        </w:rPr>
        <w:t xml:space="preserve"> </w:t>
      </w:r>
      <w:r w:rsidR="0059055B" w:rsidRPr="00890A92">
        <w:rPr>
          <w:rFonts w:cs="Arial"/>
          <w:sz w:val="24"/>
          <w:szCs w:val="24"/>
          <w:shd w:val="clear" w:color="auto" w:fill="FFFFFF"/>
          <w:lang w:val="en-US"/>
        </w:rPr>
        <w:t>et</w:t>
      </w:r>
      <w:r w:rsidR="0059055B" w:rsidRPr="00890A92">
        <w:rPr>
          <w:rFonts w:cs="Arial"/>
          <w:sz w:val="24"/>
          <w:szCs w:val="24"/>
          <w:shd w:val="clear" w:color="auto" w:fill="FFFFFF"/>
        </w:rPr>
        <w:t xml:space="preserve"> </w:t>
      </w:r>
      <w:r w:rsidR="0059055B" w:rsidRPr="00890A92">
        <w:rPr>
          <w:rFonts w:cs="Arial"/>
          <w:sz w:val="24"/>
          <w:szCs w:val="24"/>
          <w:shd w:val="clear" w:color="auto" w:fill="FFFFFF"/>
          <w:lang w:val="en-US"/>
        </w:rPr>
        <w:t>al</w:t>
      </w:r>
      <w:r w:rsidR="0059055B" w:rsidRPr="00890A92">
        <w:rPr>
          <w:rFonts w:cs="Arial"/>
          <w:sz w:val="24"/>
          <w:szCs w:val="24"/>
          <w:shd w:val="clear" w:color="auto" w:fill="FFFFFF"/>
        </w:rPr>
        <w:t xml:space="preserve">., 2016 </w:t>
      </w:r>
      <w:r w:rsidR="00701B9F" w:rsidRPr="00890A92">
        <w:rPr>
          <w:rFonts w:cs="Arial"/>
          <w:sz w:val="24"/>
          <w:szCs w:val="24"/>
          <w:shd w:val="clear" w:color="auto" w:fill="FFFFFF"/>
        </w:rPr>
        <w:t>)</w:t>
      </w:r>
      <w:r w:rsidRPr="00890A92">
        <w:rPr>
          <w:rFonts w:cs="Arial"/>
          <w:sz w:val="24"/>
          <w:szCs w:val="24"/>
          <w:shd w:val="clear" w:color="auto" w:fill="FFFFFF"/>
        </w:rPr>
        <w:t>.</w:t>
      </w:r>
      <w:r w:rsidR="00701B9F" w:rsidRPr="00890A92">
        <w:rPr>
          <w:rFonts w:cs="Arial"/>
          <w:sz w:val="24"/>
          <w:szCs w:val="24"/>
          <w:shd w:val="clear" w:color="auto" w:fill="FFFFFF"/>
        </w:rPr>
        <w:t xml:space="preserve"> </w:t>
      </w:r>
    </w:p>
    <w:p w:rsidR="00C31EBF" w:rsidRPr="00AE092B" w:rsidRDefault="00C31EBF" w:rsidP="005A464E">
      <w:pPr>
        <w:spacing w:line="360" w:lineRule="auto"/>
        <w:jc w:val="both"/>
        <w:rPr>
          <w:sz w:val="24"/>
          <w:szCs w:val="24"/>
        </w:rPr>
      </w:pPr>
      <w:r w:rsidRPr="00890A92">
        <w:rPr>
          <w:sz w:val="24"/>
          <w:szCs w:val="24"/>
        </w:rPr>
        <w:t xml:space="preserve">Δεν υπάρχει ομοιόμορφη ταξινόμηση των σταδίων της </w:t>
      </w:r>
      <w:r w:rsidR="000653D3" w:rsidRPr="00890A92">
        <w:rPr>
          <w:sz w:val="24"/>
          <w:szCs w:val="24"/>
        </w:rPr>
        <w:t>ΧΝΝ</w:t>
      </w:r>
      <w:r w:rsidRPr="00890A92">
        <w:rPr>
          <w:sz w:val="24"/>
          <w:szCs w:val="24"/>
        </w:rPr>
        <w:t xml:space="preserve">. </w:t>
      </w:r>
      <w:r w:rsidR="00D9583A" w:rsidRPr="00890A92">
        <w:rPr>
          <w:sz w:val="24"/>
          <w:szCs w:val="24"/>
        </w:rPr>
        <w:t xml:space="preserve">Η </w:t>
      </w:r>
      <w:r w:rsidR="00463B4D" w:rsidRPr="00890A92">
        <w:rPr>
          <w:sz w:val="24"/>
          <w:szCs w:val="24"/>
        </w:rPr>
        <w:t>α</w:t>
      </w:r>
      <w:r w:rsidRPr="00890A92">
        <w:rPr>
          <w:sz w:val="24"/>
          <w:szCs w:val="24"/>
        </w:rPr>
        <w:t xml:space="preserve">νασκόπηση της βιβλιογραφίας </w:t>
      </w:r>
      <w:r w:rsidR="003A7E8C" w:rsidRPr="00890A92">
        <w:rPr>
          <w:sz w:val="24"/>
          <w:szCs w:val="24"/>
        </w:rPr>
        <w:t>δεί</w:t>
      </w:r>
      <w:r w:rsidRPr="00890A92">
        <w:rPr>
          <w:sz w:val="24"/>
          <w:szCs w:val="24"/>
        </w:rPr>
        <w:t>χνει ξεκάθαρα την ασάφεια και επικάλυψη κατά την ορισμό</w:t>
      </w:r>
      <w:r w:rsidR="00387C8D" w:rsidRPr="00890A92">
        <w:rPr>
          <w:sz w:val="24"/>
          <w:szCs w:val="24"/>
        </w:rPr>
        <w:t xml:space="preserve"> </w:t>
      </w:r>
      <w:r w:rsidR="00890A92" w:rsidRPr="00890A92">
        <w:rPr>
          <w:sz w:val="24"/>
          <w:szCs w:val="24"/>
        </w:rPr>
        <w:t xml:space="preserve">των εννοιών. Το </w:t>
      </w:r>
      <w:r w:rsidR="00FD229A" w:rsidRPr="00890A92">
        <w:rPr>
          <w:sz w:val="24"/>
          <w:szCs w:val="24"/>
          <w:lang w:val="en-US"/>
        </w:rPr>
        <w:t>NKF</w:t>
      </w:r>
      <w:r w:rsidR="00FD229A" w:rsidRPr="00890A92">
        <w:rPr>
          <w:sz w:val="24"/>
          <w:szCs w:val="24"/>
        </w:rPr>
        <w:t>-</w:t>
      </w:r>
      <w:r w:rsidR="00FD229A" w:rsidRPr="00890A92">
        <w:rPr>
          <w:sz w:val="24"/>
          <w:szCs w:val="24"/>
          <w:lang w:val="en-US"/>
        </w:rPr>
        <w:t>KDOQI</w:t>
      </w:r>
      <w:r w:rsidRPr="00890A92">
        <w:rPr>
          <w:sz w:val="24"/>
          <w:szCs w:val="24"/>
        </w:rPr>
        <w:t xml:space="preserve"> κατέληξε στο συμπέρασμα ότι </w:t>
      </w:r>
      <w:r w:rsidR="00DE2A2C" w:rsidRPr="00890A92">
        <w:rPr>
          <w:sz w:val="24"/>
          <w:szCs w:val="24"/>
        </w:rPr>
        <w:t>οι ενιαίοι ορισμοί</w:t>
      </w:r>
      <w:r w:rsidRPr="00890A92">
        <w:rPr>
          <w:sz w:val="24"/>
          <w:szCs w:val="24"/>
        </w:rPr>
        <w:t xml:space="preserve"> των όρων και των σταδίων θα </w:t>
      </w:r>
      <w:r w:rsidR="00DE2A2C" w:rsidRPr="00890A92">
        <w:rPr>
          <w:sz w:val="24"/>
          <w:szCs w:val="24"/>
        </w:rPr>
        <w:t>μπορούσαν να βελτιώσουν</w:t>
      </w:r>
      <w:r w:rsidRPr="00890A92">
        <w:rPr>
          <w:sz w:val="24"/>
          <w:szCs w:val="24"/>
        </w:rPr>
        <w:t xml:space="preserve"> την επικοινωνία</w:t>
      </w:r>
      <w:r w:rsidRPr="005A464E">
        <w:rPr>
          <w:sz w:val="24"/>
          <w:szCs w:val="24"/>
        </w:rPr>
        <w:t xml:space="preserve"> μ</w:t>
      </w:r>
      <w:r w:rsidR="00DE2A2C" w:rsidRPr="005A464E">
        <w:rPr>
          <w:sz w:val="24"/>
          <w:szCs w:val="24"/>
        </w:rPr>
        <w:t>εταξύ των ασθενών και των επαγγελματιών υγείας</w:t>
      </w:r>
      <w:r w:rsidRPr="005A464E">
        <w:rPr>
          <w:sz w:val="24"/>
          <w:szCs w:val="24"/>
        </w:rPr>
        <w:t xml:space="preserve"> </w:t>
      </w:r>
      <w:r w:rsidR="00DE2A2C" w:rsidRPr="005A464E">
        <w:rPr>
          <w:sz w:val="24"/>
          <w:szCs w:val="24"/>
        </w:rPr>
        <w:t>και θα προωθούσαν</w:t>
      </w:r>
      <w:r w:rsidRPr="005A464E">
        <w:rPr>
          <w:sz w:val="24"/>
          <w:szCs w:val="24"/>
        </w:rPr>
        <w:t xml:space="preserve"> τη διάδοση των αποτελεσμάτων της </w:t>
      </w:r>
      <w:r w:rsidR="00DF4830">
        <w:rPr>
          <w:sz w:val="24"/>
          <w:szCs w:val="24"/>
        </w:rPr>
        <w:t>μελέτη</w:t>
      </w:r>
      <w:r w:rsidRPr="005A464E">
        <w:rPr>
          <w:sz w:val="24"/>
          <w:szCs w:val="24"/>
        </w:rPr>
        <w:t>ς</w:t>
      </w:r>
      <w:r w:rsidR="00DE2A2C" w:rsidRPr="005A464E">
        <w:rPr>
          <w:sz w:val="24"/>
          <w:szCs w:val="24"/>
        </w:rPr>
        <w:t xml:space="preserve"> (</w:t>
      </w:r>
      <w:r w:rsidR="00DE2A2C" w:rsidRPr="005A464E">
        <w:rPr>
          <w:sz w:val="24"/>
          <w:szCs w:val="24"/>
          <w:lang w:val="en-US"/>
        </w:rPr>
        <w:t>NKF</w:t>
      </w:r>
      <w:r w:rsidR="00387C8D" w:rsidRPr="005A464E">
        <w:rPr>
          <w:sz w:val="24"/>
          <w:szCs w:val="24"/>
        </w:rPr>
        <w:t>-</w:t>
      </w:r>
      <w:r w:rsidR="00DE2A2C" w:rsidRPr="005A464E">
        <w:rPr>
          <w:sz w:val="24"/>
          <w:szCs w:val="24"/>
          <w:lang w:val="en-US"/>
        </w:rPr>
        <w:t>KDOQI</w:t>
      </w:r>
      <w:r w:rsidR="00D8059C" w:rsidRPr="005A464E">
        <w:rPr>
          <w:sz w:val="24"/>
          <w:szCs w:val="24"/>
        </w:rPr>
        <w:t>,</w:t>
      </w:r>
      <w:r w:rsidR="00DE2A2C" w:rsidRPr="005A464E">
        <w:rPr>
          <w:sz w:val="24"/>
          <w:szCs w:val="24"/>
        </w:rPr>
        <w:t xml:space="preserve"> 2002</w:t>
      </w:r>
      <w:r w:rsidR="008B6BAF" w:rsidRPr="005A464E">
        <w:rPr>
          <w:sz w:val="24"/>
          <w:szCs w:val="24"/>
        </w:rPr>
        <w:t xml:space="preserve">; </w:t>
      </w:r>
      <w:r w:rsidR="008B6BAF" w:rsidRPr="005A464E">
        <w:rPr>
          <w:sz w:val="24"/>
          <w:szCs w:val="24"/>
          <w:lang w:val="en-US"/>
        </w:rPr>
        <w:t>Levy</w:t>
      </w:r>
      <w:r w:rsidR="00AE3DBC" w:rsidRPr="003128C5">
        <w:rPr>
          <w:sz w:val="24"/>
          <w:szCs w:val="24"/>
        </w:rPr>
        <w:t>,</w:t>
      </w:r>
      <w:r w:rsidR="008B6BAF" w:rsidRPr="003128C5">
        <w:rPr>
          <w:sz w:val="24"/>
          <w:szCs w:val="24"/>
        </w:rPr>
        <w:t xml:space="preserve"> </w:t>
      </w:r>
      <w:r w:rsidR="00AE3DBC" w:rsidRPr="003128C5">
        <w:rPr>
          <w:rFonts w:cstheme="minorHAnsi"/>
          <w:sz w:val="24"/>
          <w:szCs w:val="24"/>
          <w:lang w:val="en-US"/>
        </w:rPr>
        <w:t>Brown</w:t>
      </w:r>
      <w:r w:rsidR="00607E7C" w:rsidRPr="00607E7C">
        <w:rPr>
          <w:rFonts w:cstheme="minorHAnsi"/>
          <w:sz w:val="24"/>
          <w:szCs w:val="24"/>
        </w:rPr>
        <w:t>,</w:t>
      </w:r>
      <w:r w:rsidR="00AE3DBC" w:rsidRPr="003128C5">
        <w:rPr>
          <w:rFonts w:cstheme="minorHAnsi"/>
          <w:sz w:val="24"/>
          <w:szCs w:val="24"/>
        </w:rPr>
        <w:t xml:space="preserve"> &amp; </w:t>
      </w:r>
      <w:r w:rsidR="00AE3DBC" w:rsidRPr="003128C5">
        <w:rPr>
          <w:rFonts w:cstheme="minorHAnsi"/>
          <w:sz w:val="24"/>
          <w:szCs w:val="24"/>
          <w:lang w:val="en-US"/>
        </w:rPr>
        <w:t>Umw</w:t>
      </w:r>
      <w:r w:rsidR="00AB454B">
        <w:rPr>
          <w:rFonts w:cstheme="minorHAnsi"/>
          <w:sz w:val="24"/>
          <w:szCs w:val="24"/>
        </w:rPr>
        <w:t>,</w:t>
      </w:r>
      <w:r w:rsidR="00AE3DBC" w:rsidRPr="003128C5">
        <w:rPr>
          <w:sz w:val="24"/>
          <w:szCs w:val="24"/>
        </w:rPr>
        <w:t xml:space="preserve"> </w:t>
      </w:r>
      <w:r w:rsidR="008B6BAF" w:rsidRPr="003128C5">
        <w:rPr>
          <w:sz w:val="24"/>
          <w:szCs w:val="24"/>
        </w:rPr>
        <w:t>2004</w:t>
      </w:r>
      <w:r w:rsidR="00DE2A2C" w:rsidRPr="003128C5">
        <w:rPr>
          <w:sz w:val="24"/>
          <w:szCs w:val="24"/>
        </w:rPr>
        <w:t>)</w:t>
      </w:r>
      <w:r w:rsidRPr="003128C5">
        <w:rPr>
          <w:sz w:val="24"/>
          <w:szCs w:val="24"/>
        </w:rPr>
        <w:t xml:space="preserve">. </w:t>
      </w:r>
    </w:p>
    <w:p w:rsidR="00736090" w:rsidRPr="00873D94" w:rsidRDefault="00736090" w:rsidP="005A464E">
      <w:pPr>
        <w:spacing w:line="360" w:lineRule="auto"/>
        <w:jc w:val="both"/>
        <w:rPr>
          <w:sz w:val="24"/>
          <w:szCs w:val="24"/>
        </w:rPr>
      </w:pPr>
      <w:r>
        <w:rPr>
          <w:sz w:val="24"/>
          <w:szCs w:val="24"/>
        </w:rPr>
        <w:t>Συνοπτικά</w:t>
      </w:r>
      <w:r w:rsidR="001A3DFD" w:rsidRPr="001A3DFD">
        <w:rPr>
          <w:sz w:val="24"/>
          <w:szCs w:val="24"/>
        </w:rPr>
        <w:t>,</w:t>
      </w:r>
      <w:r>
        <w:rPr>
          <w:sz w:val="24"/>
          <w:szCs w:val="24"/>
        </w:rPr>
        <w:t xml:space="preserve"> η σταδιοποίηση της ΧΝΝ συμφωνα με τις οδηγίες του </w:t>
      </w:r>
      <w:r w:rsidR="00873D94">
        <w:rPr>
          <w:sz w:val="24"/>
          <w:szCs w:val="24"/>
          <w:lang w:val="en-US"/>
        </w:rPr>
        <w:t>NKF</w:t>
      </w:r>
      <w:r w:rsidR="00873D94" w:rsidRPr="00873D94">
        <w:rPr>
          <w:sz w:val="24"/>
          <w:szCs w:val="24"/>
        </w:rPr>
        <w:t>/</w:t>
      </w:r>
      <w:r w:rsidR="00873D94">
        <w:rPr>
          <w:sz w:val="24"/>
          <w:szCs w:val="24"/>
          <w:lang w:val="en-US"/>
        </w:rPr>
        <w:t>KDOQI</w:t>
      </w:r>
      <w:r w:rsidR="00873D94" w:rsidRPr="00873D94">
        <w:rPr>
          <w:sz w:val="24"/>
          <w:szCs w:val="24"/>
        </w:rPr>
        <w:t>,2002)</w:t>
      </w:r>
    </w:p>
    <w:tbl>
      <w:tblPr>
        <w:tblStyle w:val="-41"/>
        <w:tblW w:w="0" w:type="auto"/>
        <w:tblLook w:val="04A0"/>
      </w:tblPr>
      <w:tblGrid>
        <w:gridCol w:w="902"/>
        <w:gridCol w:w="2619"/>
        <w:gridCol w:w="4809"/>
      </w:tblGrid>
      <w:tr w:rsidR="00736090" w:rsidRPr="00AE092B" w:rsidTr="002703C5">
        <w:trPr>
          <w:cnfStyle w:val="100000000000"/>
        </w:trPr>
        <w:tc>
          <w:tcPr>
            <w:cnfStyle w:val="001000000000"/>
            <w:tcW w:w="0" w:type="auto"/>
            <w:vAlign w:val="center"/>
          </w:tcPr>
          <w:p w:rsidR="00736090" w:rsidRPr="00AE092B" w:rsidRDefault="00736090" w:rsidP="002703C5">
            <w:pPr>
              <w:pStyle w:val="af8"/>
              <w:spacing w:before="220"/>
              <w:ind w:right="11"/>
              <w:jc w:val="center"/>
              <w:rPr>
                <w:rFonts w:asciiTheme="minorHAnsi" w:hAnsiTheme="minorHAnsi" w:cstheme="minorHAnsi"/>
              </w:rPr>
            </w:pPr>
            <w:r w:rsidRPr="00AE092B">
              <w:rPr>
                <w:rFonts w:asciiTheme="minorHAnsi" w:hAnsiTheme="minorHAnsi" w:cstheme="minorHAnsi"/>
              </w:rPr>
              <w:t>Στάδιο</w:t>
            </w:r>
          </w:p>
        </w:tc>
        <w:tc>
          <w:tcPr>
            <w:tcW w:w="2619" w:type="dxa"/>
            <w:vAlign w:val="center"/>
          </w:tcPr>
          <w:p w:rsidR="00736090" w:rsidRPr="00AE092B" w:rsidRDefault="00736090" w:rsidP="002703C5">
            <w:pPr>
              <w:pStyle w:val="af8"/>
              <w:spacing w:before="220"/>
              <w:ind w:right="11"/>
              <w:jc w:val="center"/>
              <w:cnfStyle w:val="100000000000"/>
              <w:rPr>
                <w:rFonts w:asciiTheme="minorHAnsi" w:hAnsiTheme="minorHAnsi" w:cstheme="minorHAnsi"/>
              </w:rPr>
            </w:pPr>
            <w:r w:rsidRPr="00AE092B">
              <w:rPr>
                <w:rFonts w:asciiTheme="minorHAnsi" w:hAnsiTheme="minorHAnsi" w:cstheme="minorHAnsi"/>
                <w:lang w:val="en-US"/>
              </w:rPr>
              <w:t>GFR (</w:t>
            </w:r>
            <w:r w:rsidR="004A6D43">
              <w:rPr>
                <w:rFonts w:asciiTheme="minorHAnsi" w:hAnsiTheme="minorHAnsi" w:cstheme="minorHAnsi"/>
                <w:lang w:val="en-US"/>
              </w:rPr>
              <w:t>mL</w:t>
            </w:r>
            <w:r w:rsidRPr="00AE092B">
              <w:rPr>
                <w:rFonts w:asciiTheme="minorHAnsi" w:hAnsiTheme="minorHAnsi" w:cstheme="minorHAnsi"/>
              </w:rPr>
              <w:t>/</w:t>
            </w:r>
            <w:r w:rsidRPr="00AE092B">
              <w:rPr>
                <w:rFonts w:asciiTheme="minorHAnsi" w:hAnsiTheme="minorHAnsi" w:cstheme="minorHAnsi"/>
                <w:lang w:val="en-US"/>
              </w:rPr>
              <w:t>min</w:t>
            </w:r>
            <w:r w:rsidRPr="00AE092B">
              <w:rPr>
                <w:rFonts w:asciiTheme="minorHAnsi" w:hAnsiTheme="minorHAnsi" w:cstheme="minorHAnsi"/>
              </w:rPr>
              <w:t xml:space="preserve">/1,73 </w:t>
            </w:r>
            <w:r w:rsidRPr="00AE092B">
              <w:rPr>
                <w:rFonts w:asciiTheme="minorHAnsi" w:hAnsiTheme="minorHAnsi" w:cstheme="minorHAnsi"/>
                <w:lang w:val="en-US"/>
              </w:rPr>
              <w:t>m</w:t>
            </w:r>
            <w:r w:rsidRPr="00AE092B">
              <w:rPr>
                <w:rFonts w:asciiTheme="minorHAnsi" w:hAnsiTheme="minorHAnsi" w:cstheme="minorHAnsi"/>
                <w:vertAlign w:val="superscript"/>
              </w:rPr>
              <w:t>2</w:t>
            </w:r>
            <w:r w:rsidRPr="00AE092B">
              <w:rPr>
                <w:rFonts w:asciiTheme="minorHAnsi" w:hAnsiTheme="minorHAnsi" w:cstheme="minorHAnsi"/>
                <w:lang w:val="en-US"/>
              </w:rPr>
              <w:t>)</w:t>
            </w:r>
          </w:p>
        </w:tc>
        <w:tc>
          <w:tcPr>
            <w:tcW w:w="4809" w:type="dxa"/>
            <w:vAlign w:val="center"/>
          </w:tcPr>
          <w:p w:rsidR="00736090" w:rsidRPr="00AE092B" w:rsidRDefault="00736090" w:rsidP="002703C5">
            <w:pPr>
              <w:pStyle w:val="af8"/>
              <w:spacing w:before="220"/>
              <w:ind w:right="11"/>
              <w:jc w:val="center"/>
              <w:cnfStyle w:val="100000000000"/>
              <w:rPr>
                <w:rFonts w:asciiTheme="minorHAnsi" w:hAnsiTheme="minorHAnsi" w:cstheme="minorHAnsi"/>
              </w:rPr>
            </w:pPr>
            <w:r w:rsidRPr="00AE092B">
              <w:rPr>
                <w:rFonts w:asciiTheme="minorHAnsi" w:hAnsiTheme="minorHAnsi" w:cstheme="minorHAnsi"/>
              </w:rPr>
              <w:t>Περιγραφή</w:t>
            </w:r>
          </w:p>
        </w:tc>
      </w:tr>
      <w:tr w:rsidR="00736090" w:rsidRPr="00AE092B" w:rsidTr="002703C5">
        <w:trPr>
          <w:cnfStyle w:val="000000100000"/>
        </w:trPr>
        <w:tc>
          <w:tcPr>
            <w:cnfStyle w:val="001000000000"/>
            <w:tcW w:w="0" w:type="auto"/>
          </w:tcPr>
          <w:p w:rsidR="00736090" w:rsidRPr="00AE092B" w:rsidRDefault="00736090" w:rsidP="00AE092B">
            <w:pPr>
              <w:pStyle w:val="af8"/>
              <w:spacing w:before="220"/>
              <w:ind w:right="11"/>
              <w:jc w:val="both"/>
              <w:rPr>
                <w:rFonts w:asciiTheme="minorHAnsi" w:hAnsiTheme="minorHAnsi" w:cstheme="minorHAnsi"/>
                <w:lang w:val="en-US"/>
              </w:rPr>
            </w:pPr>
            <w:r w:rsidRPr="00AE092B">
              <w:rPr>
                <w:rFonts w:asciiTheme="minorHAnsi" w:hAnsiTheme="minorHAnsi" w:cstheme="minorHAnsi"/>
                <w:lang w:val="en-US"/>
              </w:rPr>
              <w:t>1</w:t>
            </w:r>
          </w:p>
        </w:tc>
        <w:tc>
          <w:tcPr>
            <w:tcW w:w="2619" w:type="dxa"/>
          </w:tcPr>
          <w:p w:rsidR="00736090" w:rsidRPr="00AE092B" w:rsidRDefault="00736090" w:rsidP="00AE092B">
            <w:pPr>
              <w:pStyle w:val="af8"/>
              <w:spacing w:before="220"/>
              <w:ind w:right="11"/>
              <w:jc w:val="both"/>
              <w:cnfStyle w:val="000000100000"/>
              <w:rPr>
                <w:rFonts w:asciiTheme="minorHAnsi" w:hAnsiTheme="minorHAnsi" w:cstheme="minorHAnsi"/>
                <w:lang w:val="en-US"/>
              </w:rPr>
            </w:pPr>
            <w:r w:rsidRPr="00AE092B">
              <w:rPr>
                <w:rFonts w:asciiTheme="minorHAnsi" w:hAnsiTheme="minorHAnsi" w:cstheme="minorHAnsi"/>
                <w:lang w:val="en-US"/>
              </w:rPr>
              <w:t>≥ 90</w:t>
            </w:r>
          </w:p>
        </w:tc>
        <w:tc>
          <w:tcPr>
            <w:tcW w:w="4809" w:type="dxa"/>
          </w:tcPr>
          <w:p w:rsidR="00736090" w:rsidRPr="00AE092B" w:rsidRDefault="00736090" w:rsidP="00AE092B">
            <w:pPr>
              <w:pStyle w:val="af8"/>
              <w:spacing w:before="220"/>
              <w:ind w:right="11"/>
              <w:jc w:val="both"/>
              <w:cnfStyle w:val="000000100000"/>
              <w:rPr>
                <w:rFonts w:asciiTheme="minorHAnsi" w:hAnsiTheme="minorHAnsi" w:cstheme="minorHAnsi"/>
              </w:rPr>
            </w:pPr>
            <w:r w:rsidRPr="00AE092B">
              <w:rPr>
                <w:rFonts w:asciiTheme="minorHAnsi" w:hAnsiTheme="minorHAnsi" w:cstheme="minorHAnsi"/>
              </w:rPr>
              <w:t xml:space="preserve">Νεφρική βλάβη με φυσιολογικό ή αυξημένο </w:t>
            </w:r>
            <w:r w:rsidRPr="00AE092B">
              <w:rPr>
                <w:rFonts w:asciiTheme="minorHAnsi" w:hAnsiTheme="minorHAnsi" w:cstheme="minorHAnsi"/>
                <w:lang w:val="en-US"/>
              </w:rPr>
              <w:t>GFR</w:t>
            </w:r>
          </w:p>
        </w:tc>
      </w:tr>
      <w:tr w:rsidR="00736090" w:rsidRPr="00AE092B" w:rsidTr="002703C5">
        <w:trPr>
          <w:cnfStyle w:val="000000010000"/>
        </w:trPr>
        <w:tc>
          <w:tcPr>
            <w:cnfStyle w:val="001000000000"/>
            <w:tcW w:w="0" w:type="auto"/>
          </w:tcPr>
          <w:p w:rsidR="00736090" w:rsidRPr="00AE092B" w:rsidRDefault="00736090" w:rsidP="00AE092B">
            <w:pPr>
              <w:pStyle w:val="af8"/>
              <w:spacing w:before="220"/>
              <w:ind w:right="11"/>
              <w:jc w:val="both"/>
              <w:rPr>
                <w:rFonts w:asciiTheme="minorHAnsi" w:hAnsiTheme="minorHAnsi" w:cstheme="minorHAnsi"/>
                <w:lang w:val="en-US"/>
              </w:rPr>
            </w:pPr>
            <w:r w:rsidRPr="00AE092B">
              <w:rPr>
                <w:rFonts w:asciiTheme="minorHAnsi" w:hAnsiTheme="minorHAnsi" w:cstheme="minorHAnsi"/>
                <w:lang w:val="en-US"/>
              </w:rPr>
              <w:t>2</w:t>
            </w:r>
          </w:p>
        </w:tc>
        <w:tc>
          <w:tcPr>
            <w:tcW w:w="2619" w:type="dxa"/>
          </w:tcPr>
          <w:p w:rsidR="00736090" w:rsidRPr="00AE092B" w:rsidRDefault="00736090" w:rsidP="00AE092B">
            <w:pPr>
              <w:pStyle w:val="af8"/>
              <w:spacing w:before="220"/>
              <w:ind w:right="11"/>
              <w:jc w:val="both"/>
              <w:cnfStyle w:val="000000010000"/>
              <w:rPr>
                <w:rFonts w:asciiTheme="minorHAnsi" w:hAnsiTheme="minorHAnsi" w:cstheme="minorHAnsi"/>
              </w:rPr>
            </w:pPr>
            <w:r w:rsidRPr="00AE092B">
              <w:rPr>
                <w:rFonts w:asciiTheme="minorHAnsi" w:hAnsiTheme="minorHAnsi" w:cstheme="minorHAnsi"/>
              </w:rPr>
              <w:t>60-89</w:t>
            </w:r>
          </w:p>
        </w:tc>
        <w:tc>
          <w:tcPr>
            <w:tcW w:w="4809" w:type="dxa"/>
          </w:tcPr>
          <w:p w:rsidR="00736090" w:rsidRPr="00AE092B" w:rsidRDefault="00736090" w:rsidP="00AE092B">
            <w:pPr>
              <w:pStyle w:val="af8"/>
              <w:spacing w:before="220"/>
              <w:ind w:right="11"/>
              <w:jc w:val="both"/>
              <w:cnfStyle w:val="000000010000"/>
              <w:rPr>
                <w:rFonts w:asciiTheme="minorHAnsi" w:hAnsiTheme="minorHAnsi" w:cstheme="minorHAnsi"/>
              </w:rPr>
            </w:pPr>
            <w:r w:rsidRPr="00AE092B">
              <w:rPr>
                <w:rFonts w:asciiTheme="minorHAnsi" w:hAnsiTheme="minorHAnsi" w:cstheme="minorHAnsi"/>
              </w:rPr>
              <w:t xml:space="preserve">Νεφρική βλάβη με ήπια μείωση του </w:t>
            </w:r>
            <w:r w:rsidRPr="00AE092B">
              <w:rPr>
                <w:rFonts w:asciiTheme="minorHAnsi" w:hAnsiTheme="minorHAnsi" w:cstheme="minorHAnsi"/>
                <w:lang w:val="en-US"/>
              </w:rPr>
              <w:t>GFR</w:t>
            </w:r>
          </w:p>
        </w:tc>
      </w:tr>
      <w:tr w:rsidR="00736090" w:rsidRPr="00AE092B" w:rsidTr="002703C5">
        <w:trPr>
          <w:cnfStyle w:val="000000100000"/>
        </w:trPr>
        <w:tc>
          <w:tcPr>
            <w:cnfStyle w:val="001000000000"/>
            <w:tcW w:w="0" w:type="auto"/>
          </w:tcPr>
          <w:p w:rsidR="00736090" w:rsidRPr="00AE092B" w:rsidRDefault="00D40009" w:rsidP="00AE092B">
            <w:pPr>
              <w:pStyle w:val="af8"/>
              <w:spacing w:before="220"/>
              <w:ind w:right="11"/>
              <w:jc w:val="both"/>
              <w:rPr>
                <w:rFonts w:asciiTheme="minorHAnsi" w:hAnsiTheme="minorHAnsi" w:cstheme="minorHAnsi"/>
                <w:lang w:val="en-US"/>
              </w:rPr>
            </w:pPr>
            <w:r>
              <w:rPr>
                <w:rFonts w:asciiTheme="minorHAnsi" w:hAnsiTheme="minorHAnsi" w:cstheme="minorHAnsi"/>
                <w:lang w:val="en-US"/>
              </w:rPr>
              <w:t>3</w:t>
            </w:r>
          </w:p>
        </w:tc>
        <w:tc>
          <w:tcPr>
            <w:tcW w:w="2619" w:type="dxa"/>
          </w:tcPr>
          <w:p w:rsidR="00736090" w:rsidRPr="00AE092B" w:rsidRDefault="00D40009" w:rsidP="00AE092B">
            <w:pPr>
              <w:pStyle w:val="af8"/>
              <w:spacing w:before="220"/>
              <w:ind w:right="11"/>
              <w:jc w:val="both"/>
              <w:cnfStyle w:val="000000100000"/>
              <w:rPr>
                <w:rFonts w:asciiTheme="minorHAnsi" w:hAnsiTheme="minorHAnsi" w:cstheme="minorHAnsi"/>
                <w:lang w:val="en-US"/>
              </w:rPr>
            </w:pPr>
            <w:r>
              <w:rPr>
                <w:rFonts w:asciiTheme="minorHAnsi" w:hAnsiTheme="minorHAnsi" w:cstheme="minorHAnsi"/>
                <w:lang w:val="en-US"/>
              </w:rPr>
              <w:t>30-59</w:t>
            </w:r>
          </w:p>
        </w:tc>
        <w:tc>
          <w:tcPr>
            <w:tcW w:w="4809" w:type="dxa"/>
          </w:tcPr>
          <w:p w:rsidR="00736090" w:rsidRPr="00AE092B" w:rsidRDefault="00736090" w:rsidP="00AE092B">
            <w:pPr>
              <w:pStyle w:val="af8"/>
              <w:spacing w:before="220"/>
              <w:ind w:right="11"/>
              <w:jc w:val="both"/>
              <w:cnfStyle w:val="000000100000"/>
              <w:rPr>
                <w:rFonts w:asciiTheme="minorHAnsi" w:hAnsiTheme="minorHAnsi" w:cstheme="minorHAnsi"/>
              </w:rPr>
            </w:pPr>
            <w:r w:rsidRPr="00AE092B">
              <w:rPr>
                <w:rFonts w:asciiTheme="minorHAnsi" w:hAnsiTheme="minorHAnsi" w:cstheme="minorHAnsi"/>
              </w:rPr>
              <w:t xml:space="preserve">Νεφρική βλάβη με μέτρια μείωση του </w:t>
            </w:r>
            <w:r w:rsidRPr="00AE092B">
              <w:rPr>
                <w:rFonts w:asciiTheme="minorHAnsi" w:hAnsiTheme="minorHAnsi" w:cstheme="minorHAnsi"/>
                <w:lang w:val="en-US"/>
              </w:rPr>
              <w:t>GFR</w:t>
            </w:r>
          </w:p>
        </w:tc>
      </w:tr>
      <w:tr w:rsidR="00736090" w:rsidRPr="00AE092B" w:rsidTr="002703C5">
        <w:trPr>
          <w:cnfStyle w:val="000000010000"/>
        </w:trPr>
        <w:tc>
          <w:tcPr>
            <w:cnfStyle w:val="001000000000"/>
            <w:tcW w:w="0" w:type="auto"/>
          </w:tcPr>
          <w:p w:rsidR="00736090" w:rsidRPr="00AE092B" w:rsidRDefault="00736090" w:rsidP="00AE092B">
            <w:pPr>
              <w:pStyle w:val="af8"/>
              <w:spacing w:before="220"/>
              <w:ind w:right="11"/>
              <w:jc w:val="both"/>
              <w:rPr>
                <w:rFonts w:asciiTheme="minorHAnsi" w:hAnsiTheme="minorHAnsi" w:cstheme="minorHAnsi"/>
              </w:rPr>
            </w:pPr>
            <w:r w:rsidRPr="00AE092B">
              <w:rPr>
                <w:rFonts w:asciiTheme="minorHAnsi" w:hAnsiTheme="minorHAnsi" w:cstheme="minorHAnsi"/>
              </w:rPr>
              <w:t>4</w:t>
            </w:r>
          </w:p>
        </w:tc>
        <w:tc>
          <w:tcPr>
            <w:tcW w:w="2619" w:type="dxa"/>
          </w:tcPr>
          <w:p w:rsidR="00736090" w:rsidRPr="00AE092B" w:rsidRDefault="00736090" w:rsidP="00AE092B">
            <w:pPr>
              <w:pStyle w:val="af8"/>
              <w:spacing w:before="220"/>
              <w:ind w:right="11"/>
              <w:jc w:val="both"/>
              <w:cnfStyle w:val="000000010000"/>
              <w:rPr>
                <w:rFonts w:asciiTheme="minorHAnsi" w:hAnsiTheme="minorHAnsi" w:cstheme="minorHAnsi"/>
              </w:rPr>
            </w:pPr>
            <w:r w:rsidRPr="00AE092B">
              <w:rPr>
                <w:rFonts w:asciiTheme="minorHAnsi" w:hAnsiTheme="minorHAnsi" w:cstheme="minorHAnsi"/>
              </w:rPr>
              <w:t>15-29</w:t>
            </w:r>
          </w:p>
        </w:tc>
        <w:tc>
          <w:tcPr>
            <w:tcW w:w="4809" w:type="dxa"/>
          </w:tcPr>
          <w:p w:rsidR="00736090" w:rsidRPr="00AE092B" w:rsidRDefault="00736090" w:rsidP="00AE092B">
            <w:pPr>
              <w:pStyle w:val="af8"/>
              <w:spacing w:before="220"/>
              <w:ind w:right="11"/>
              <w:jc w:val="both"/>
              <w:cnfStyle w:val="000000010000"/>
              <w:rPr>
                <w:rFonts w:asciiTheme="minorHAnsi" w:hAnsiTheme="minorHAnsi" w:cstheme="minorHAnsi"/>
              </w:rPr>
            </w:pPr>
            <w:r w:rsidRPr="00AE092B">
              <w:rPr>
                <w:rFonts w:asciiTheme="minorHAnsi" w:hAnsiTheme="minorHAnsi" w:cstheme="minorHAnsi"/>
              </w:rPr>
              <w:t xml:space="preserve">Νεφρική βλάβη με σοβαρή μείωση του </w:t>
            </w:r>
            <w:r w:rsidRPr="00AE092B">
              <w:rPr>
                <w:rFonts w:asciiTheme="minorHAnsi" w:hAnsiTheme="minorHAnsi" w:cstheme="minorHAnsi"/>
                <w:lang w:val="en-US"/>
              </w:rPr>
              <w:t>GFR</w:t>
            </w:r>
          </w:p>
        </w:tc>
      </w:tr>
      <w:tr w:rsidR="00736090" w:rsidRPr="00AE092B" w:rsidTr="002703C5">
        <w:trPr>
          <w:cnfStyle w:val="000000100000"/>
        </w:trPr>
        <w:tc>
          <w:tcPr>
            <w:cnfStyle w:val="001000000000"/>
            <w:tcW w:w="0" w:type="auto"/>
          </w:tcPr>
          <w:p w:rsidR="00736090" w:rsidRPr="00AE092B" w:rsidRDefault="00736090" w:rsidP="00AE092B">
            <w:pPr>
              <w:pStyle w:val="af8"/>
              <w:spacing w:before="220"/>
              <w:ind w:right="11"/>
              <w:jc w:val="both"/>
              <w:rPr>
                <w:rFonts w:asciiTheme="minorHAnsi" w:hAnsiTheme="minorHAnsi" w:cstheme="minorHAnsi"/>
                <w:lang w:val="en-US"/>
              </w:rPr>
            </w:pPr>
            <w:r w:rsidRPr="00AE092B">
              <w:rPr>
                <w:rFonts w:asciiTheme="minorHAnsi" w:hAnsiTheme="minorHAnsi" w:cstheme="minorHAnsi"/>
                <w:lang w:val="en-US"/>
              </w:rPr>
              <w:t>5</w:t>
            </w:r>
          </w:p>
        </w:tc>
        <w:tc>
          <w:tcPr>
            <w:tcW w:w="2619" w:type="dxa"/>
          </w:tcPr>
          <w:p w:rsidR="00736090" w:rsidRPr="00AE092B" w:rsidRDefault="00736090" w:rsidP="00AE092B">
            <w:pPr>
              <w:pStyle w:val="af8"/>
              <w:spacing w:before="220"/>
              <w:ind w:right="11"/>
              <w:jc w:val="both"/>
              <w:cnfStyle w:val="000000100000"/>
              <w:rPr>
                <w:rFonts w:asciiTheme="minorHAnsi" w:hAnsiTheme="minorHAnsi" w:cstheme="minorHAnsi"/>
              </w:rPr>
            </w:pPr>
            <w:r w:rsidRPr="00AE092B">
              <w:rPr>
                <w:rFonts w:asciiTheme="minorHAnsi" w:hAnsiTheme="minorHAnsi" w:cstheme="minorHAnsi"/>
              </w:rPr>
              <w:t>&lt;15</w:t>
            </w:r>
          </w:p>
        </w:tc>
        <w:tc>
          <w:tcPr>
            <w:tcW w:w="4809" w:type="dxa"/>
          </w:tcPr>
          <w:p w:rsidR="00736090" w:rsidRPr="00AE092B" w:rsidRDefault="00736090" w:rsidP="00AE092B">
            <w:pPr>
              <w:pStyle w:val="af8"/>
              <w:spacing w:before="220"/>
              <w:ind w:right="11"/>
              <w:jc w:val="both"/>
              <w:cnfStyle w:val="000000100000"/>
              <w:rPr>
                <w:rFonts w:asciiTheme="minorHAnsi" w:hAnsiTheme="minorHAnsi" w:cstheme="minorHAnsi"/>
              </w:rPr>
            </w:pPr>
            <w:r w:rsidRPr="00AE092B">
              <w:rPr>
                <w:rFonts w:asciiTheme="minorHAnsi" w:hAnsiTheme="minorHAnsi" w:cstheme="minorHAnsi"/>
              </w:rPr>
              <w:t xml:space="preserve">Νεφρική </w:t>
            </w:r>
            <w:r w:rsidRPr="00AE092B">
              <w:rPr>
                <w:rFonts w:asciiTheme="minorHAnsi" w:hAnsiTheme="minorHAnsi" w:cstheme="minorHAnsi"/>
                <w:lang w:val="en-US"/>
              </w:rPr>
              <w:t>N</w:t>
            </w:r>
            <w:r w:rsidRPr="00AE092B">
              <w:rPr>
                <w:rFonts w:asciiTheme="minorHAnsi" w:hAnsiTheme="minorHAnsi" w:cstheme="minorHAnsi"/>
              </w:rPr>
              <w:t>όσος</w:t>
            </w:r>
          </w:p>
        </w:tc>
      </w:tr>
    </w:tbl>
    <w:p w:rsidR="00736090" w:rsidRPr="00736090" w:rsidRDefault="00736090" w:rsidP="005A464E">
      <w:pPr>
        <w:spacing w:line="360" w:lineRule="auto"/>
        <w:jc w:val="both"/>
        <w:rPr>
          <w:sz w:val="24"/>
          <w:szCs w:val="24"/>
          <w:lang w:val="en-US"/>
        </w:rPr>
      </w:pPr>
    </w:p>
    <w:p w:rsidR="000326F6" w:rsidRPr="005A464E" w:rsidRDefault="000326F6" w:rsidP="000566B3">
      <w:pPr>
        <w:pStyle w:val="25"/>
        <w:numPr>
          <w:ilvl w:val="1"/>
          <w:numId w:val="98"/>
        </w:numPr>
        <w:spacing w:line="360" w:lineRule="auto"/>
        <w:rPr>
          <w:rFonts w:asciiTheme="minorHAnsi" w:hAnsiTheme="minorHAnsi"/>
        </w:rPr>
      </w:pPr>
      <w:bookmarkStart w:id="9" w:name="_Toc495951421"/>
      <w:r w:rsidRPr="005A464E">
        <w:rPr>
          <w:rFonts w:asciiTheme="minorHAnsi" w:hAnsiTheme="minorHAnsi"/>
        </w:rPr>
        <w:t>Αίτια</w:t>
      </w:r>
      <w:bookmarkEnd w:id="9"/>
    </w:p>
    <w:p w:rsidR="000326F6" w:rsidRPr="005A464E" w:rsidRDefault="000326F6" w:rsidP="005A464E">
      <w:pPr>
        <w:spacing w:after="0" w:line="360" w:lineRule="auto"/>
        <w:jc w:val="both"/>
        <w:rPr>
          <w:sz w:val="24"/>
          <w:szCs w:val="24"/>
        </w:rPr>
      </w:pPr>
      <w:r w:rsidRPr="005A464E">
        <w:rPr>
          <w:sz w:val="24"/>
          <w:szCs w:val="24"/>
        </w:rPr>
        <w:t>Τα κυριότερα αίτια της ΧΝΝ είναι:</w:t>
      </w:r>
    </w:p>
    <w:p w:rsidR="000326F6" w:rsidRPr="005A464E" w:rsidRDefault="000326F6" w:rsidP="005A464E">
      <w:pPr>
        <w:pStyle w:val="a5"/>
        <w:numPr>
          <w:ilvl w:val="0"/>
          <w:numId w:val="8"/>
        </w:numPr>
        <w:spacing w:line="360" w:lineRule="auto"/>
        <w:jc w:val="both"/>
        <w:rPr>
          <w:sz w:val="24"/>
          <w:szCs w:val="24"/>
        </w:rPr>
      </w:pPr>
      <w:r w:rsidRPr="005A464E">
        <w:rPr>
          <w:sz w:val="24"/>
          <w:szCs w:val="24"/>
        </w:rPr>
        <w:t>Πρωτοπαθή νεφρικά νοσήματα</w:t>
      </w:r>
      <w:r w:rsidR="00AB55FC">
        <w:rPr>
          <w:sz w:val="24"/>
          <w:szCs w:val="24"/>
        </w:rPr>
        <w:t>.</w:t>
      </w:r>
    </w:p>
    <w:p w:rsidR="000326F6" w:rsidRPr="005A464E" w:rsidRDefault="000326F6" w:rsidP="005A464E">
      <w:pPr>
        <w:pStyle w:val="a5"/>
        <w:numPr>
          <w:ilvl w:val="0"/>
          <w:numId w:val="9"/>
        </w:numPr>
        <w:spacing w:line="360" w:lineRule="auto"/>
        <w:jc w:val="both"/>
        <w:rPr>
          <w:sz w:val="24"/>
          <w:szCs w:val="24"/>
        </w:rPr>
      </w:pPr>
      <w:r w:rsidRPr="005A464E">
        <w:rPr>
          <w:sz w:val="24"/>
          <w:szCs w:val="24"/>
        </w:rPr>
        <w:t>Σπειραματοπάθειες</w:t>
      </w:r>
      <w:r w:rsidR="00AB55FC">
        <w:rPr>
          <w:sz w:val="24"/>
          <w:szCs w:val="24"/>
        </w:rPr>
        <w:t>.</w:t>
      </w:r>
    </w:p>
    <w:p w:rsidR="000326F6" w:rsidRPr="005A464E" w:rsidRDefault="000326F6" w:rsidP="005A464E">
      <w:pPr>
        <w:pStyle w:val="a5"/>
        <w:numPr>
          <w:ilvl w:val="0"/>
          <w:numId w:val="9"/>
        </w:numPr>
        <w:spacing w:line="360" w:lineRule="auto"/>
        <w:jc w:val="both"/>
        <w:rPr>
          <w:sz w:val="24"/>
          <w:szCs w:val="24"/>
        </w:rPr>
      </w:pPr>
      <w:r w:rsidRPr="005A464E">
        <w:rPr>
          <w:sz w:val="24"/>
          <w:szCs w:val="24"/>
        </w:rPr>
        <w:t>Διάμεσες σωληναριακές νεφροπάθειες</w:t>
      </w:r>
      <w:r w:rsidR="008F0887">
        <w:rPr>
          <w:sz w:val="24"/>
          <w:szCs w:val="24"/>
        </w:rPr>
        <w:t>,</w:t>
      </w:r>
      <w:r w:rsidRPr="005A464E">
        <w:rPr>
          <w:sz w:val="24"/>
          <w:szCs w:val="24"/>
        </w:rPr>
        <w:t xml:space="preserve"> όπως η χρόνια πυελονεφρίτιδα</w:t>
      </w:r>
      <w:r w:rsidR="00AB55FC">
        <w:rPr>
          <w:sz w:val="24"/>
          <w:szCs w:val="24"/>
        </w:rPr>
        <w:t>.</w:t>
      </w:r>
    </w:p>
    <w:p w:rsidR="000326F6" w:rsidRPr="005A464E" w:rsidRDefault="000326F6" w:rsidP="005A464E">
      <w:pPr>
        <w:pStyle w:val="a5"/>
        <w:numPr>
          <w:ilvl w:val="0"/>
          <w:numId w:val="8"/>
        </w:numPr>
        <w:spacing w:line="360" w:lineRule="auto"/>
        <w:jc w:val="both"/>
        <w:rPr>
          <w:sz w:val="24"/>
          <w:szCs w:val="24"/>
        </w:rPr>
      </w:pPr>
      <w:r w:rsidRPr="005A464E">
        <w:rPr>
          <w:sz w:val="24"/>
          <w:szCs w:val="24"/>
        </w:rPr>
        <w:t xml:space="preserve">Αποφρακτική </w:t>
      </w:r>
      <w:r w:rsidR="00387C8D" w:rsidRPr="005A464E">
        <w:rPr>
          <w:sz w:val="24"/>
          <w:szCs w:val="24"/>
        </w:rPr>
        <w:t>νεφροπάθεια</w:t>
      </w:r>
      <w:r w:rsidR="002338CF">
        <w:rPr>
          <w:sz w:val="24"/>
          <w:szCs w:val="24"/>
        </w:rPr>
        <w:t>.</w:t>
      </w:r>
    </w:p>
    <w:p w:rsidR="000326F6" w:rsidRPr="005A464E" w:rsidRDefault="000326F6" w:rsidP="005A464E">
      <w:pPr>
        <w:pStyle w:val="a5"/>
        <w:numPr>
          <w:ilvl w:val="0"/>
          <w:numId w:val="10"/>
        </w:numPr>
        <w:spacing w:line="360" w:lineRule="auto"/>
        <w:jc w:val="both"/>
        <w:rPr>
          <w:sz w:val="24"/>
          <w:szCs w:val="24"/>
        </w:rPr>
      </w:pPr>
      <w:r w:rsidRPr="005A464E">
        <w:rPr>
          <w:sz w:val="24"/>
          <w:szCs w:val="24"/>
        </w:rPr>
        <w:t>Απόφραξη του ανώτερου ουροποιητικού συστήματος (υδρονέφρωση)</w:t>
      </w:r>
      <w:r w:rsidR="00AB55FC">
        <w:rPr>
          <w:sz w:val="24"/>
          <w:szCs w:val="24"/>
        </w:rPr>
        <w:t>.</w:t>
      </w:r>
    </w:p>
    <w:p w:rsidR="000326F6" w:rsidRPr="005A464E" w:rsidRDefault="000326F6" w:rsidP="005A464E">
      <w:pPr>
        <w:pStyle w:val="a5"/>
        <w:numPr>
          <w:ilvl w:val="0"/>
          <w:numId w:val="10"/>
        </w:numPr>
        <w:spacing w:line="360" w:lineRule="auto"/>
        <w:jc w:val="both"/>
        <w:rPr>
          <w:sz w:val="24"/>
          <w:szCs w:val="24"/>
        </w:rPr>
      </w:pPr>
      <w:r w:rsidRPr="005A464E">
        <w:rPr>
          <w:sz w:val="24"/>
          <w:szCs w:val="24"/>
        </w:rPr>
        <w:t>Απόφραξη του κατώτερου ουροποιητικού συστήματος</w:t>
      </w:r>
      <w:r w:rsidR="0078495A">
        <w:rPr>
          <w:sz w:val="24"/>
          <w:szCs w:val="24"/>
        </w:rPr>
        <w:t xml:space="preserve"> </w:t>
      </w:r>
      <w:r w:rsidRPr="005A464E">
        <w:rPr>
          <w:sz w:val="24"/>
          <w:szCs w:val="24"/>
        </w:rPr>
        <w:t>(</w:t>
      </w:r>
      <w:r w:rsidRPr="005A464E">
        <w:rPr>
          <w:sz w:val="24"/>
          <w:szCs w:val="24"/>
          <w:lang w:val="en-US"/>
        </w:rPr>
        <w:t>Ca</w:t>
      </w:r>
      <w:r w:rsidR="00A05DF7" w:rsidRPr="005A464E">
        <w:rPr>
          <w:sz w:val="24"/>
          <w:szCs w:val="24"/>
        </w:rPr>
        <w:t xml:space="preserve"> π</w:t>
      </w:r>
      <w:r w:rsidRPr="005A464E">
        <w:rPr>
          <w:sz w:val="24"/>
          <w:szCs w:val="24"/>
        </w:rPr>
        <w:t>ροστάτη)</w:t>
      </w:r>
      <w:r w:rsidR="00AB55FC">
        <w:rPr>
          <w:sz w:val="24"/>
          <w:szCs w:val="24"/>
        </w:rPr>
        <w:t>.</w:t>
      </w:r>
    </w:p>
    <w:p w:rsidR="000326F6" w:rsidRPr="005A464E" w:rsidRDefault="000326F6" w:rsidP="005A464E">
      <w:pPr>
        <w:pStyle w:val="a5"/>
        <w:numPr>
          <w:ilvl w:val="0"/>
          <w:numId w:val="8"/>
        </w:numPr>
        <w:spacing w:line="360" w:lineRule="auto"/>
        <w:jc w:val="both"/>
        <w:rPr>
          <w:sz w:val="24"/>
          <w:szCs w:val="24"/>
        </w:rPr>
      </w:pPr>
      <w:r w:rsidRPr="005A464E">
        <w:rPr>
          <w:sz w:val="24"/>
          <w:szCs w:val="24"/>
        </w:rPr>
        <w:t>Συγγενείς ή κληρονομικές νεφρικές</w:t>
      </w:r>
      <w:r w:rsidR="0078495A">
        <w:rPr>
          <w:sz w:val="24"/>
          <w:szCs w:val="24"/>
        </w:rPr>
        <w:t xml:space="preserve"> </w:t>
      </w:r>
      <w:r w:rsidRPr="005A464E">
        <w:rPr>
          <w:sz w:val="24"/>
          <w:szCs w:val="24"/>
        </w:rPr>
        <w:t>παθήσεις</w:t>
      </w:r>
      <w:r w:rsidR="002338CF">
        <w:rPr>
          <w:sz w:val="24"/>
          <w:szCs w:val="24"/>
        </w:rPr>
        <w:t>.</w:t>
      </w:r>
    </w:p>
    <w:p w:rsidR="000326F6" w:rsidRPr="005A464E" w:rsidRDefault="000326F6" w:rsidP="005A464E">
      <w:pPr>
        <w:pStyle w:val="a5"/>
        <w:numPr>
          <w:ilvl w:val="0"/>
          <w:numId w:val="11"/>
        </w:numPr>
        <w:spacing w:line="360" w:lineRule="auto"/>
        <w:jc w:val="both"/>
        <w:rPr>
          <w:sz w:val="24"/>
          <w:szCs w:val="24"/>
        </w:rPr>
      </w:pPr>
      <w:r w:rsidRPr="005A464E">
        <w:rPr>
          <w:sz w:val="24"/>
          <w:szCs w:val="24"/>
        </w:rPr>
        <w:t>Πολυκυστική νόσος</w:t>
      </w:r>
      <w:r w:rsidR="00AB55FC">
        <w:rPr>
          <w:sz w:val="24"/>
          <w:szCs w:val="24"/>
        </w:rPr>
        <w:t>.</w:t>
      </w:r>
    </w:p>
    <w:p w:rsidR="000326F6" w:rsidRPr="005A464E" w:rsidRDefault="000326F6" w:rsidP="005A464E">
      <w:pPr>
        <w:pStyle w:val="a5"/>
        <w:numPr>
          <w:ilvl w:val="0"/>
          <w:numId w:val="11"/>
        </w:numPr>
        <w:spacing w:line="360" w:lineRule="auto"/>
        <w:jc w:val="both"/>
        <w:rPr>
          <w:sz w:val="24"/>
          <w:szCs w:val="24"/>
        </w:rPr>
      </w:pPr>
      <w:r w:rsidRPr="005A464E">
        <w:rPr>
          <w:sz w:val="24"/>
          <w:szCs w:val="24"/>
        </w:rPr>
        <w:t xml:space="preserve">Οικογενής νεφρίτιδα (σύνδρομο </w:t>
      </w:r>
      <w:r w:rsidRPr="005A464E">
        <w:rPr>
          <w:sz w:val="24"/>
          <w:szCs w:val="24"/>
          <w:lang w:val="en-US"/>
        </w:rPr>
        <w:t>Alport)</w:t>
      </w:r>
      <w:r w:rsidR="00AB55FC">
        <w:rPr>
          <w:sz w:val="24"/>
          <w:szCs w:val="24"/>
        </w:rPr>
        <w:t>.</w:t>
      </w:r>
    </w:p>
    <w:p w:rsidR="000326F6" w:rsidRPr="005A464E" w:rsidRDefault="000326F6" w:rsidP="005A464E">
      <w:pPr>
        <w:pStyle w:val="a5"/>
        <w:numPr>
          <w:ilvl w:val="0"/>
          <w:numId w:val="8"/>
        </w:numPr>
        <w:spacing w:line="360" w:lineRule="auto"/>
        <w:jc w:val="both"/>
        <w:rPr>
          <w:sz w:val="24"/>
          <w:szCs w:val="24"/>
        </w:rPr>
      </w:pPr>
      <w:r w:rsidRPr="005A464E">
        <w:rPr>
          <w:sz w:val="24"/>
          <w:szCs w:val="24"/>
        </w:rPr>
        <w:t>Συστηματικά νοσήματα</w:t>
      </w:r>
      <w:r w:rsidR="002338CF">
        <w:rPr>
          <w:sz w:val="24"/>
          <w:szCs w:val="24"/>
        </w:rPr>
        <w:t>.</w:t>
      </w:r>
    </w:p>
    <w:p w:rsidR="000326F6" w:rsidRPr="005A464E" w:rsidRDefault="000326F6" w:rsidP="00DB466F">
      <w:pPr>
        <w:pStyle w:val="a5"/>
        <w:numPr>
          <w:ilvl w:val="0"/>
          <w:numId w:val="46"/>
        </w:numPr>
        <w:spacing w:line="360" w:lineRule="auto"/>
        <w:jc w:val="both"/>
        <w:rPr>
          <w:sz w:val="24"/>
          <w:szCs w:val="24"/>
        </w:rPr>
      </w:pPr>
      <w:r w:rsidRPr="005A464E">
        <w:rPr>
          <w:sz w:val="24"/>
          <w:szCs w:val="24"/>
        </w:rPr>
        <w:t>Αρτηριακή υπέρταση</w:t>
      </w:r>
      <w:r w:rsidRPr="005A464E">
        <w:rPr>
          <w:sz w:val="24"/>
          <w:szCs w:val="24"/>
          <w:lang w:val="en-US"/>
        </w:rPr>
        <w:t xml:space="preserve"> (</w:t>
      </w:r>
      <w:r w:rsidRPr="005A464E">
        <w:rPr>
          <w:sz w:val="24"/>
          <w:szCs w:val="24"/>
        </w:rPr>
        <w:t>κακοήθης)</w:t>
      </w:r>
      <w:r w:rsidR="009F311C">
        <w:rPr>
          <w:sz w:val="24"/>
          <w:szCs w:val="24"/>
        </w:rPr>
        <w:t>.</w:t>
      </w:r>
    </w:p>
    <w:p w:rsidR="000326F6" w:rsidRPr="005A464E" w:rsidRDefault="000326F6" w:rsidP="00DB466F">
      <w:pPr>
        <w:pStyle w:val="a5"/>
        <w:numPr>
          <w:ilvl w:val="0"/>
          <w:numId w:val="46"/>
        </w:numPr>
        <w:spacing w:line="360" w:lineRule="auto"/>
        <w:jc w:val="both"/>
        <w:rPr>
          <w:sz w:val="24"/>
          <w:szCs w:val="24"/>
        </w:rPr>
      </w:pPr>
      <w:r w:rsidRPr="005A464E">
        <w:rPr>
          <w:sz w:val="24"/>
          <w:szCs w:val="24"/>
        </w:rPr>
        <w:t>Σακχαρώδης Διαβήτης</w:t>
      </w:r>
      <w:r w:rsidR="009F311C">
        <w:rPr>
          <w:sz w:val="24"/>
          <w:szCs w:val="24"/>
        </w:rPr>
        <w:t>.</w:t>
      </w:r>
    </w:p>
    <w:p w:rsidR="000326F6" w:rsidRPr="005A464E" w:rsidRDefault="000326F6" w:rsidP="00DB466F">
      <w:pPr>
        <w:pStyle w:val="a5"/>
        <w:numPr>
          <w:ilvl w:val="0"/>
          <w:numId w:val="46"/>
        </w:numPr>
        <w:spacing w:line="360" w:lineRule="auto"/>
        <w:jc w:val="both"/>
        <w:rPr>
          <w:sz w:val="24"/>
          <w:szCs w:val="24"/>
        </w:rPr>
      </w:pPr>
      <w:r w:rsidRPr="005A464E">
        <w:rPr>
          <w:sz w:val="24"/>
          <w:szCs w:val="24"/>
        </w:rPr>
        <w:t>Κολλαγονώσεις</w:t>
      </w:r>
      <w:r w:rsidR="009F311C">
        <w:rPr>
          <w:sz w:val="24"/>
          <w:szCs w:val="24"/>
        </w:rPr>
        <w:t>.</w:t>
      </w:r>
    </w:p>
    <w:p w:rsidR="000326F6" w:rsidRPr="005A464E" w:rsidRDefault="000326F6" w:rsidP="00DB466F">
      <w:pPr>
        <w:pStyle w:val="a5"/>
        <w:numPr>
          <w:ilvl w:val="0"/>
          <w:numId w:val="46"/>
        </w:numPr>
        <w:spacing w:line="360" w:lineRule="auto"/>
        <w:jc w:val="both"/>
        <w:rPr>
          <w:sz w:val="24"/>
          <w:szCs w:val="24"/>
        </w:rPr>
      </w:pPr>
      <w:r w:rsidRPr="005A464E">
        <w:rPr>
          <w:sz w:val="24"/>
          <w:szCs w:val="24"/>
        </w:rPr>
        <w:t>Αθηροσκλήρωση</w:t>
      </w:r>
      <w:r w:rsidR="009F311C">
        <w:rPr>
          <w:sz w:val="24"/>
          <w:szCs w:val="24"/>
        </w:rPr>
        <w:t>.</w:t>
      </w:r>
    </w:p>
    <w:p w:rsidR="000326F6" w:rsidRPr="005A464E" w:rsidRDefault="000326F6" w:rsidP="005A464E">
      <w:pPr>
        <w:pStyle w:val="a5"/>
        <w:numPr>
          <w:ilvl w:val="0"/>
          <w:numId w:val="8"/>
        </w:numPr>
        <w:spacing w:line="360" w:lineRule="auto"/>
        <w:jc w:val="both"/>
        <w:rPr>
          <w:sz w:val="24"/>
          <w:szCs w:val="24"/>
        </w:rPr>
      </w:pPr>
      <w:r w:rsidRPr="005A464E">
        <w:rPr>
          <w:sz w:val="24"/>
          <w:szCs w:val="24"/>
        </w:rPr>
        <w:t>Τοξικά αίτια</w:t>
      </w:r>
      <w:r w:rsidR="002338CF">
        <w:rPr>
          <w:sz w:val="24"/>
          <w:szCs w:val="24"/>
        </w:rPr>
        <w:t>.</w:t>
      </w:r>
    </w:p>
    <w:p w:rsidR="000326F6" w:rsidRPr="005A464E" w:rsidRDefault="000326F6" w:rsidP="005A464E">
      <w:pPr>
        <w:pStyle w:val="a5"/>
        <w:numPr>
          <w:ilvl w:val="0"/>
          <w:numId w:val="12"/>
        </w:numPr>
        <w:spacing w:line="360" w:lineRule="auto"/>
        <w:jc w:val="both"/>
        <w:rPr>
          <w:sz w:val="24"/>
          <w:szCs w:val="24"/>
        </w:rPr>
      </w:pPr>
      <w:r w:rsidRPr="005A464E">
        <w:rPr>
          <w:sz w:val="24"/>
          <w:szCs w:val="24"/>
        </w:rPr>
        <w:t>Νεφροπάθεια από φάρμακα</w:t>
      </w:r>
      <w:r w:rsidR="009F311C">
        <w:rPr>
          <w:sz w:val="24"/>
          <w:szCs w:val="24"/>
        </w:rPr>
        <w:t>.</w:t>
      </w:r>
    </w:p>
    <w:p w:rsidR="000326F6" w:rsidRPr="005A464E" w:rsidRDefault="000326F6" w:rsidP="005A464E">
      <w:pPr>
        <w:pStyle w:val="a5"/>
        <w:numPr>
          <w:ilvl w:val="0"/>
          <w:numId w:val="8"/>
        </w:numPr>
        <w:spacing w:line="360" w:lineRule="auto"/>
        <w:jc w:val="both"/>
        <w:rPr>
          <w:sz w:val="24"/>
          <w:szCs w:val="24"/>
        </w:rPr>
      </w:pPr>
      <w:r w:rsidRPr="005A464E">
        <w:rPr>
          <w:sz w:val="24"/>
          <w:szCs w:val="24"/>
        </w:rPr>
        <w:t>Άγνωστη αιτιολογία</w:t>
      </w:r>
      <w:r w:rsidR="004D1D89">
        <w:rPr>
          <w:sz w:val="24"/>
          <w:szCs w:val="24"/>
        </w:rPr>
        <w:t>.</w:t>
      </w:r>
    </w:p>
    <w:p w:rsidR="000326F6" w:rsidRPr="003238A7" w:rsidRDefault="000326F6" w:rsidP="005A464E">
      <w:pPr>
        <w:spacing w:line="360" w:lineRule="auto"/>
        <w:jc w:val="both"/>
        <w:rPr>
          <w:sz w:val="24"/>
          <w:szCs w:val="24"/>
        </w:rPr>
      </w:pPr>
      <w:r w:rsidRPr="005A464E">
        <w:rPr>
          <w:sz w:val="24"/>
          <w:szCs w:val="24"/>
        </w:rPr>
        <w:t>Για ένα μεγάλο ποσοστό ασθενών με ΤΣΧΝΝ</w:t>
      </w:r>
      <w:r w:rsidR="008F0887">
        <w:rPr>
          <w:sz w:val="24"/>
          <w:szCs w:val="24"/>
        </w:rPr>
        <w:t>,</w:t>
      </w:r>
      <w:r w:rsidRPr="005A464E">
        <w:rPr>
          <w:sz w:val="24"/>
          <w:szCs w:val="24"/>
        </w:rPr>
        <w:t xml:space="preserve"> η αιτία </w:t>
      </w:r>
      <w:r w:rsidR="00387C8D" w:rsidRPr="005A464E">
        <w:rPr>
          <w:sz w:val="24"/>
          <w:szCs w:val="24"/>
        </w:rPr>
        <w:t>παραμένει</w:t>
      </w:r>
      <w:r w:rsidRPr="005A464E">
        <w:rPr>
          <w:sz w:val="24"/>
          <w:szCs w:val="24"/>
        </w:rPr>
        <w:t xml:space="preserve"> άγνωστη καθώς τα εργαστηριακά </w:t>
      </w:r>
      <w:r w:rsidRPr="003238A7">
        <w:rPr>
          <w:sz w:val="24"/>
          <w:szCs w:val="24"/>
        </w:rPr>
        <w:t>ευρήματα και η ιστολογική εξέταση δεν π</w:t>
      </w:r>
      <w:r w:rsidR="008B6BAF" w:rsidRPr="003238A7">
        <w:rPr>
          <w:sz w:val="24"/>
          <w:szCs w:val="24"/>
        </w:rPr>
        <w:t>ροσδιορίζουν την πρωτοπαθή νόσο</w:t>
      </w:r>
      <w:r w:rsidR="00FF4D74" w:rsidRPr="003238A7">
        <w:rPr>
          <w:rFonts w:asciiTheme="minorHAnsi" w:hAnsiTheme="minorHAnsi" w:cstheme="minorHAnsi"/>
          <w:color w:val="303030"/>
          <w:sz w:val="24"/>
          <w:szCs w:val="24"/>
          <w:shd w:val="clear" w:color="auto" w:fill="FFFFFF"/>
        </w:rPr>
        <w:t xml:space="preserve"> </w:t>
      </w:r>
      <w:r w:rsidR="00FF4D74" w:rsidRPr="003238A7">
        <w:rPr>
          <w:rFonts w:asciiTheme="minorHAnsi" w:hAnsiTheme="minorHAnsi" w:cstheme="minorHAnsi"/>
          <w:sz w:val="24"/>
          <w:szCs w:val="24"/>
          <w:shd w:val="clear" w:color="auto" w:fill="FFFFFF"/>
        </w:rPr>
        <w:t>(</w:t>
      </w:r>
      <w:r w:rsidR="00FF4D74" w:rsidRPr="003238A7">
        <w:rPr>
          <w:rFonts w:asciiTheme="minorHAnsi" w:hAnsiTheme="minorHAnsi" w:cstheme="minorHAnsi"/>
          <w:sz w:val="24"/>
          <w:szCs w:val="24"/>
          <w:shd w:val="clear" w:color="auto" w:fill="FFFFFF"/>
          <w:lang w:val="en-US"/>
        </w:rPr>
        <w:t>Weaver</w:t>
      </w:r>
      <w:r w:rsidR="00FF4D74" w:rsidRPr="003238A7">
        <w:rPr>
          <w:rFonts w:asciiTheme="minorHAnsi" w:hAnsiTheme="minorHAnsi" w:cstheme="minorHAnsi"/>
          <w:sz w:val="24"/>
          <w:szCs w:val="24"/>
          <w:shd w:val="clear" w:color="auto" w:fill="FFFFFF"/>
        </w:rPr>
        <w:t xml:space="preserve">, </w:t>
      </w:r>
      <w:r w:rsidR="00FF4D74" w:rsidRPr="003238A7">
        <w:rPr>
          <w:rFonts w:asciiTheme="minorHAnsi" w:hAnsiTheme="minorHAnsi" w:cstheme="minorHAnsi"/>
          <w:sz w:val="24"/>
          <w:szCs w:val="24"/>
          <w:shd w:val="clear" w:color="auto" w:fill="FFFFFF"/>
          <w:lang w:val="en-US"/>
        </w:rPr>
        <w:t>Fadrowski</w:t>
      </w:r>
      <w:r w:rsidR="00FF4D74" w:rsidRPr="003238A7">
        <w:rPr>
          <w:rFonts w:asciiTheme="minorHAnsi" w:hAnsiTheme="minorHAnsi" w:cstheme="minorHAnsi"/>
          <w:sz w:val="24"/>
          <w:szCs w:val="24"/>
          <w:shd w:val="clear" w:color="auto" w:fill="FFFFFF"/>
        </w:rPr>
        <w:t xml:space="preserve">, &amp; </w:t>
      </w:r>
      <w:r w:rsidR="00FF4D74" w:rsidRPr="003238A7">
        <w:rPr>
          <w:rFonts w:asciiTheme="minorHAnsi" w:hAnsiTheme="minorHAnsi" w:cstheme="minorHAnsi"/>
          <w:sz w:val="24"/>
          <w:szCs w:val="24"/>
          <w:shd w:val="clear" w:color="auto" w:fill="FFFFFF"/>
          <w:lang w:val="en-US"/>
        </w:rPr>
        <w:t>Jaar</w:t>
      </w:r>
      <w:r w:rsidR="00FF4D74" w:rsidRPr="003238A7">
        <w:rPr>
          <w:rFonts w:asciiTheme="minorHAnsi" w:hAnsiTheme="minorHAnsi" w:cstheme="minorHAnsi"/>
          <w:sz w:val="24"/>
          <w:szCs w:val="24"/>
          <w:shd w:val="clear" w:color="auto" w:fill="FFFFFF"/>
        </w:rPr>
        <w:t>, 2015).</w:t>
      </w:r>
    </w:p>
    <w:p w:rsidR="00387C8D" w:rsidRPr="00C26EFE" w:rsidRDefault="00A935E5" w:rsidP="000566B3">
      <w:pPr>
        <w:pStyle w:val="25"/>
        <w:numPr>
          <w:ilvl w:val="1"/>
          <w:numId w:val="98"/>
        </w:numPr>
        <w:spacing w:after="240" w:line="360" w:lineRule="auto"/>
        <w:rPr>
          <w:rFonts w:asciiTheme="minorHAnsi" w:hAnsiTheme="minorHAnsi"/>
        </w:rPr>
      </w:pPr>
      <w:bookmarkStart w:id="10" w:name="_Toc495951422"/>
      <w:r w:rsidRPr="00C26EFE">
        <w:rPr>
          <w:rFonts w:asciiTheme="minorHAnsi" w:hAnsiTheme="minorHAnsi"/>
        </w:rPr>
        <w:t>Πορεία της ΧΝΝ</w:t>
      </w:r>
      <w:bookmarkEnd w:id="10"/>
    </w:p>
    <w:p w:rsidR="00D9583A" w:rsidRDefault="00A935E5" w:rsidP="005A464E">
      <w:pPr>
        <w:spacing w:line="360" w:lineRule="auto"/>
        <w:jc w:val="both"/>
        <w:rPr>
          <w:sz w:val="24"/>
          <w:szCs w:val="24"/>
        </w:rPr>
      </w:pPr>
      <w:r w:rsidRPr="005A464E">
        <w:rPr>
          <w:sz w:val="24"/>
          <w:szCs w:val="24"/>
        </w:rPr>
        <w:t>Η φυσική εξέλιξη της ΧΝΝ</w:t>
      </w:r>
      <w:r w:rsidR="0078495A">
        <w:rPr>
          <w:sz w:val="24"/>
          <w:szCs w:val="24"/>
        </w:rPr>
        <w:t xml:space="preserve"> </w:t>
      </w:r>
      <w:r w:rsidRPr="005A464E">
        <w:rPr>
          <w:sz w:val="24"/>
          <w:szCs w:val="24"/>
        </w:rPr>
        <w:t>είναι επιδεινούμενη.</w:t>
      </w:r>
      <w:r w:rsidR="0078495A">
        <w:rPr>
          <w:sz w:val="24"/>
          <w:szCs w:val="24"/>
        </w:rPr>
        <w:t xml:space="preserve"> </w:t>
      </w:r>
      <w:r w:rsidRPr="005A464E">
        <w:rPr>
          <w:sz w:val="24"/>
          <w:szCs w:val="24"/>
        </w:rPr>
        <w:t>Το χρονικό σημείο στο οποίο ο ασθενής θα φθάσει το ΤΣΧΝΝ εξαρτάται από το αίτιο που προκάλεσε τη ΧΝΝ καθώς και από παράγοντες που επιδεινώνουν τη ΧΝΝ όπως η υπέρταση, ο σα</w:t>
      </w:r>
      <w:r w:rsidR="00A05DF7" w:rsidRPr="005A464E">
        <w:rPr>
          <w:sz w:val="24"/>
          <w:szCs w:val="24"/>
        </w:rPr>
        <w:t>κχαρώδης διαβήτης, οι λοιμώξεις</w:t>
      </w:r>
      <w:r w:rsidRPr="005A464E">
        <w:rPr>
          <w:sz w:val="24"/>
          <w:szCs w:val="24"/>
        </w:rPr>
        <w:t>, η καρδιακή ανεπάρκεια και οι χειρουργικές επεμβάσεις.</w:t>
      </w:r>
      <w:r w:rsidR="00A05DF7" w:rsidRPr="005A464E">
        <w:rPr>
          <w:sz w:val="24"/>
          <w:szCs w:val="24"/>
        </w:rPr>
        <w:t xml:space="preserve"> </w:t>
      </w:r>
    </w:p>
    <w:p w:rsidR="000326F6" w:rsidRPr="003238A7" w:rsidRDefault="00A935E5" w:rsidP="005A464E">
      <w:pPr>
        <w:spacing w:line="360" w:lineRule="auto"/>
        <w:jc w:val="both"/>
        <w:rPr>
          <w:sz w:val="24"/>
          <w:szCs w:val="24"/>
        </w:rPr>
      </w:pPr>
      <w:r w:rsidRPr="005A464E">
        <w:rPr>
          <w:sz w:val="24"/>
          <w:szCs w:val="24"/>
        </w:rPr>
        <w:t xml:space="preserve">Η κρεατινίνη είναι ουσία που απεκκρίνεται από το σπείραμα χωρίς να επαναρροφάται από τα σωληνάρια ενώ η </w:t>
      </w:r>
      <w:r w:rsidR="00A05DF7" w:rsidRPr="005A464E">
        <w:rPr>
          <w:sz w:val="24"/>
          <w:szCs w:val="24"/>
        </w:rPr>
        <w:t>μέτρησή</w:t>
      </w:r>
      <w:r w:rsidRPr="005A464E">
        <w:rPr>
          <w:sz w:val="24"/>
          <w:szCs w:val="24"/>
        </w:rPr>
        <w:t xml:space="preserve"> της είναι εύκολη στο αίμα </w:t>
      </w:r>
      <w:r w:rsidR="00A05DF7" w:rsidRPr="005A464E">
        <w:rPr>
          <w:sz w:val="24"/>
          <w:szCs w:val="24"/>
        </w:rPr>
        <w:t xml:space="preserve">και στα </w:t>
      </w:r>
      <w:r w:rsidR="00A05DF7" w:rsidRPr="003238A7">
        <w:rPr>
          <w:sz w:val="24"/>
          <w:szCs w:val="24"/>
        </w:rPr>
        <w:t>ούρα. Τα επίπεδα κρεατι</w:t>
      </w:r>
      <w:r w:rsidRPr="003238A7">
        <w:rPr>
          <w:sz w:val="24"/>
          <w:szCs w:val="24"/>
        </w:rPr>
        <w:t xml:space="preserve">νίνης στο αίμα αυξάνονται ενώ παράλληλα μειώνεται η διήθησή </w:t>
      </w:r>
      <w:r w:rsidR="00D9583A" w:rsidRPr="003238A7">
        <w:rPr>
          <w:sz w:val="24"/>
          <w:szCs w:val="24"/>
        </w:rPr>
        <w:t>της στο</w:t>
      </w:r>
      <w:r w:rsidRPr="003238A7">
        <w:rPr>
          <w:sz w:val="24"/>
          <w:szCs w:val="24"/>
        </w:rPr>
        <w:t xml:space="preserve"> σπείραμα. Τα αυξημένα επίπεδα στο αίμα αντανακλούν τον αριθμό των μη λειτουργούντων σπειραμάτων</w:t>
      </w:r>
      <w:r w:rsidR="008F0887" w:rsidRPr="003238A7">
        <w:rPr>
          <w:sz w:val="24"/>
          <w:szCs w:val="24"/>
        </w:rPr>
        <w:t>,</w:t>
      </w:r>
      <w:r w:rsidRPr="003238A7">
        <w:rPr>
          <w:sz w:val="24"/>
          <w:szCs w:val="24"/>
        </w:rPr>
        <w:t xml:space="preserve"> ενώ ο ρυθμός με τον οποίο η κρεατινίνη αυξάνεται είναι ανάλογος του ρυθμ</w:t>
      </w:r>
      <w:r w:rsidR="008B6BAF" w:rsidRPr="003238A7">
        <w:rPr>
          <w:sz w:val="24"/>
          <w:szCs w:val="24"/>
        </w:rPr>
        <w:t>ού καταστροφής των σπειραμάτων (</w:t>
      </w:r>
      <w:r w:rsidR="008B6BAF" w:rsidRPr="003238A7">
        <w:rPr>
          <w:sz w:val="24"/>
          <w:szCs w:val="24"/>
          <w:lang w:val="en-US"/>
        </w:rPr>
        <w:t>Levey</w:t>
      </w:r>
      <w:r w:rsidR="00FD229A" w:rsidRPr="003238A7">
        <w:rPr>
          <w:sz w:val="24"/>
          <w:szCs w:val="24"/>
        </w:rPr>
        <w:t>,</w:t>
      </w:r>
      <w:r w:rsidR="003A1020" w:rsidRPr="003238A7">
        <w:rPr>
          <w:sz w:val="24"/>
          <w:szCs w:val="24"/>
        </w:rPr>
        <w:t xml:space="preserve"> 2012</w:t>
      </w:r>
      <w:r w:rsidR="008B6BAF" w:rsidRPr="003238A7">
        <w:rPr>
          <w:sz w:val="24"/>
          <w:szCs w:val="24"/>
        </w:rPr>
        <w:t>).</w:t>
      </w:r>
    </w:p>
    <w:p w:rsidR="002832BB" w:rsidRPr="003238A7" w:rsidRDefault="009D33E5" w:rsidP="000566B3">
      <w:pPr>
        <w:pStyle w:val="25"/>
        <w:numPr>
          <w:ilvl w:val="1"/>
          <w:numId w:val="98"/>
        </w:numPr>
        <w:spacing w:after="240" w:line="360" w:lineRule="auto"/>
        <w:rPr>
          <w:rFonts w:asciiTheme="minorHAnsi" w:hAnsiTheme="minorHAnsi"/>
        </w:rPr>
      </w:pPr>
      <w:bookmarkStart w:id="11" w:name="_Toc495951423"/>
      <w:r w:rsidRPr="003238A7">
        <w:rPr>
          <w:rFonts w:asciiTheme="minorHAnsi" w:hAnsiTheme="minorHAnsi"/>
        </w:rPr>
        <w:t>Κλινική εικόνα</w:t>
      </w:r>
      <w:r w:rsidR="00A05DF7" w:rsidRPr="003238A7">
        <w:rPr>
          <w:rFonts w:asciiTheme="minorHAnsi" w:hAnsiTheme="minorHAnsi"/>
        </w:rPr>
        <w:t xml:space="preserve"> </w:t>
      </w:r>
      <w:r w:rsidR="00A935E5" w:rsidRPr="003238A7">
        <w:rPr>
          <w:rFonts w:asciiTheme="minorHAnsi" w:hAnsiTheme="minorHAnsi"/>
        </w:rPr>
        <w:t xml:space="preserve">και επιπτώσεις </w:t>
      </w:r>
      <w:r w:rsidR="000326F6" w:rsidRPr="003238A7">
        <w:rPr>
          <w:rFonts w:asciiTheme="minorHAnsi" w:hAnsiTheme="minorHAnsi"/>
        </w:rPr>
        <w:t xml:space="preserve">της </w:t>
      </w:r>
      <w:r w:rsidR="002832BB" w:rsidRPr="003238A7">
        <w:rPr>
          <w:rFonts w:asciiTheme="minorHAnsi" w:hAnsiTheme="minorHAnsi"/>
        </w:rPr>
        <w:t>ΧΝΝ</w:t>
      </w:r>
      <w:r w:rsidR="00A935E5" w:rsidRPr="003238A7">
        <w:rPr>
          <w:rFonts w:asciiTheme="minorHAnsi" w:hAnsiTheme="minorHAnsi"/>
        </w:rPr>
        <w:t xml:space="preserve"> στα</w:t>
      </w:r>
      <w:r w:rsidR="00D9583A" w:rsidRPr="003238A7">
        <w:rPr>
          <w:rFonts w:asciiTheme="minorHAnsi" w:hAnsiTheme="minorHAnsi"/>
        </w:rPr>
        <w:t xml:space="preserve"> οργανικά</w:t>
      </w:r>
      <w:r w:rsidR="00A935E5" w:rsidRPr="003238A7">
        <w:rPr>
          <w:rFonts w:asciiTheme="minorHAnsi" w:hAnsiTheme="minorHAnsi"/>
        </w:rPr>
        <w:t xml:space="preserve"> συστήματα</w:t>
      </w:r>
      <w:bookmarkEnd w:id="11"/>
    </w:p>
    <w:p w:rsidR="002832BB" w:rsidRPr="005A464E" w:rsidRDefault="002832BB" w:rsidP="005A464E">
      <w:pPr>
        <w:spacing w:line="360" w:lineRule="auto"/>
        <w:jc w:val="both"/>
        <w:rPr>
          <w:sz w:val="24"/>
          <w:szCs w:val="24"/>
        </w:rPr>
      </w:pPr>
      <w:r w:rsidRPr="003238A7">
        <w:rPr>
          <w:sz w:val="24"/>
          <w:szCs w:val="24"/>
        </w:rPr>
        <w:t>Οι επιπτώσεις στη λειτουργία των συστημάτων εξαρτώνται από το στάδιο της ΧΝΝ και οφείλονται στην κυκλοφορία τοξικών ου</w:t>
      </w:r>
      <w:r w:rsidR="002C77B4" w:rsidRPr="003238A7">
        <w:rPr>
          <w:sz w:val="24"/>
          <w:szCs w:val="24"/>
        </w:rPr>
        <w:t>σιών όπως η ουρία, η κρεατινίνη</w:t>
      </w:r>
      <w:r w:rsidRPr="003238A7">
        <w:rPr>
          <w:sz w:val="24"/>
          <w:szCs w:val="24"/>
        </w:rPr>
        <w:t>, ο</w:t>
      </w:r>
      <w:r w:rsidR="00A05DF7" w:rsidRPr="003238A7">
        <w:rPr>
          <w:sz w:val="24"/>
          <w:szCs w:val="24"/>
        </w:rPr>
        <w:t xml:space="preserve"> </w:t>
      </w:r>
      <w:r w:rsidR="00FE3796" w:rsidRPr="003238A7">
        <w:rPr>
          <w:sz w:val="24"/>
          <w:szCs w:val="24"/>
        </w:rPr>
        <w:t>φωσφόρος</w:t>
      </w:r>
      <w:r w:rsidR="00AF13F6" w:rsidRPr="003238A7">
        <w:rPr>
          <w:sz w:val="24"/>
          <w:szCs w:val="24"/>
        </w:rPr>
        <w:t xml:space="preserve"> και</w:t>
      </w:r>
      <w:r w:rsidRPr="003238A7">
        <w:rPr>
          <w:sz w:val="24"/>
          <w:szCs w:val="24"/>
        </w:rPr>
        <w:t xml:space="preserve"> η </w:t>
      </w:r>
      <w:r w:rsidR="002B1512" w:rsidRPr="003238A7">
        <w:rPr>
          <w:sz w:val="24"/>
          <w:szCs w:val="24"/>
        </w:rPr>
        <w:t>παραθορμό</w:t>
      </w:r>
      <w:r w:rsidR="00A05DF7" w:rsidRPr="003238A7">
        <w:rPr>
          <w:sz w:val="24"/>
          <w:szCs w:val="24"/>
        </w:rPr>
        <w:t>νη</w:t>
      </w:r>
      <w:r w:rsidR="001D25F8" w:rsidRPr="003238A7">
        <w:rPr>
          <w:sz w:val="24"/>
          <w:szCs w:val="24"/>
        </w:rPr>
        <w:t>. Το</w:t>
      </w:r>
      <w:r w:rsidRPr="003238A7">
        <w:rPr>
          <w:sz w:val="24"/>
          <w:szCs w:val="24"/>
        </w:rPr>
        <w:t xml:space="preserve"> </w:t>
      </w:r>
      <w:r w:rsidR="001D25F8" w:rsidRPr="003238A7">
        <w:rPr>
          <w:sz w:val="24"/>
          <w:szCs w:val="24"/>
        </w:rPr>
        <w:t>ουραιμικό σύνδρομο</w:t>
      </w:r>
      <w:r w:rsidRPr="003238A7">
        <w:rPr>
          <w:sz w:val="24"/>
          <w:szCs w:val="24"/>
        </w:rPr>
        <w:t xml:space="preserve"> προκαλεί</w:t>
      </w:r>
      <w:r w:rsidRPr="005A464E">
        <w:rPr>
          <w:sz w:val="24"/>
          <w:szCs w:val="24"/>
        </w:rPr>
        <w:t xml:space="preserve"> βλάβες σε όλα τα συστήματα:</w:t>
      </w:r>
    </w:p>
    <w:p w:rsidR="002832BB" w:rsidRPr="005A464E" w:rsidRDefault="002832BB" w:rsidP="005A464E">
      <w:pPr>
        <w:spacing w:line="360" w:lineRule="auto"/>
        <w:jc w:val="both"/>
        <w:rPr>
          <w:b/>
          <w:sz w:val="24"/>
          <w:szCs w:val="24"/>
        </w:rPr>
      </w:pPr>
      <w:r w:rsidRPr="005A464E">
        <w:rPr>
          <w:b/>
          <w:sz w:val="24"/>
          <w:szCs w:val="24"/>
        </w:rPr>
        <w:t>Κυκλοφορικό σύστημα</w:t>
      </w:r>
    </w:p>
    <w:p w:rsidR="002832BB" w:rsidRPr="005A464E" w:rsidRDefault="004E1A68" w:rsidP="005A464E">
      <w:pPr>
        <w:spacing w:line="360" w:lineRule="auto"/>
        <w:jc w:val="both"/>
        <w:rPr>
          <w:sz w:val="24"/>
          <w:szCs w:val="24"/>
        </w:rPr>
      </w:pPr>
      <w:r w:rsidRPr="005A464E">
        <w:rPr>
          <w:i/>
          <w:sz w:val="24"/>
          <w:szCs w:val="24"/>
        </w:rPr>
        <w:t>Ρύθμιση όγκου αίματος</w:t>
      </w:r>
      <w:r w:rsidR="00630646">
        <w:rPr>
          <w:sz w:val="24"/>
          <w:szCs w:val="24"/>
        </w:rPr>
        <w:t xml:space="preserve">: </w:t>
      </w:r>
      <w:r w:rsidR="00630646">
        <w:rPr>
          <w:sz w:val="24"/>
          <w:szCs w:val="24"/>
          <w:lang w:val="en-US"/>
        </w:rPr>
        <w:t>O</w:t>
      </w:r>
      <w:r w:rsidRPr="005A464E">
        <w:rPr>
          <w:sz w:val="24"/>
          <w:szCs w:val="24"/>
        </w:rPr>
        <w:t xml:space="preserve">ταν ο </w:t>
      </w:r>
      <w:r w:rsidR="0096306B">
        <w:rPr>
          <w:sz w:val="24"/>
          <w:szCs w:val="24"/>
        </w:rPr>
        <w:t>Ρυθμός Σπειραματικής Διήθησης</w:t>
      </w:r>
      <w:r w:rsidR="0096306B" w:rsidRPr="005A464E">
        <w:rPr>
          <w:sz w:val="24"/>
          <w:szCs w:val="24"/>
        </w:rPr>
        <w:t xml:space="preserve"> </w:t>
      </w:r>
      <w:r w:rsidR="00A05DF7" w:rsidRPr="005A464E">
        <w:rPr>
          <w:sz w:val="24"/>
          <w:szCs w:val="24"/>
        </w:rPr>
        <w:t xml:space="preserve">μειώνεται </w:t>
      </w:r>
      <w:r w:rsidR="00630646">
        <w:rPr>
          <w:sz w:val="24"/>
          <w:szCs w:val="24"/>
        </w:rPr>
        <w:t>(</w:t>
      </w:r>
      <w:r w:rsidR="00630646">
        <w:rPr>
          <w:sz w:val="24"/>
          <w:szCs w:val="24"/>
          <w:lang w:val="en-US"/>
        </w:rPr>
        <w:t>GFR</w:t>
      </w:r>
      <w:r w:rsidR="00630646" w:rsidRPr="00630646">
        <w:rPr>
          <w:sz w:val="24"/>
          <w:szCs w:val="24"/>
        </w:rPr>
        <w:t xml:space="preserve"> </w:t>
      </w:r>
      <w:r w:rsidR="00A05DF7" w:rsidRPr="005A464E">
        <w:rPr>
          <w:sz w:val="24"/>
          <w:szCs w:val="24"/>
        </w:rPr>
        <w:t>&lt;</w:t>
      </w:r>
      <w:r w:rsidRPr="005A464E">
        <w:rPr>
          <w:sz w:val="24"/>
          <w:szCs w:val="24"/>
        </w:rPr>
        <w:t xml:space="preserve">10-20 </w:t>
      </w:r>
      <w:r w:rsidR="004A6D43">
        <w:rPr>
          <w:sz w:val="24"/>
          <w:szCs w:val="24"/>
          <w:lang w:val="en-US"/>
        </w:rPr>
        <w:t>mL</w:t>
      </w:r>
      <w:r w:rsidRPr="005A464E">
        <w:rPr>
          <w:sz w:val="24"/>
          <w:szCs w:val="24"/>
        </w:rPr>
        <w:t>/</w:t>
      </w:r>
      <w:r w:rsidRPr="005A464E">
        <w:rPr>
          <w:sz w:val="24"/>
          <w:szCs w:val="24"/>
          <w:lang w:val="en-US"/>
        </w:rPr>
        <w:t>min</w:t>
      </w:r>
      <w:r w:rsidR="00962CFF" w:rsidRPr="00962CFF">
        <w:rPr>
          <w:sz w:val="24"/>
          <w:szCs w:val="24"/>
        </w:rPr>
        <w:t>/1,73</w:t>
      </w:r>
      <w:r w:rsidR="00890A92">
        <w:rPr>
          <w:sz w:val="24"/>
          <w:szCs w:val="24"/>
          <w:lang w:val="en-US"/>
        </w:rPr>
        <w:t>m</w:t>
      </w:r>
      <w:r w:rsidR="00962CFF" w:rsidRPr="00962CFF">
        <w:rPr>
          <w:sz w:val="24"/>
          <w:szCs w:val="24"/>
          <w:vertAlign w:val="superscript"/>
        </w:rPr>
        <w:t>2</w:t>
      </w:r>
      <w:r w:rsidR="00A05DF7" w:rsidRPr="005A464E">
        <w:rPr>
          <w:sz w:val="24"/>
          <w:szCs w:val="24"/>
        </w:rPr>
        <w:t xml:space="preserve"> </w:t>
      </w:r>
      <w:r w:rsidR="000326F6" w:rsidRPr="005A464E">
        <w:rPr>
          <w:sz w:val="24"/>
          <w:szCs w:val="24"/>
        </w:rPr>
        <w:t>η απέ</w:t>
      </w:r>
      <w:r w:rsidRPr="005A464E">
        <w:rPr>
          <w:sz w:val="24"/>
          <w:szCs w:val="24"/>
        </w:rPr>
        <w:t xml:space="preserve">κκριση του νατρίου διαταράσσεται σημαντικά. Για να </w:t>
      </w:r>
      <w:r w:rsidR="00D40009" w:rsidRPr="005A464E">
        <w:rPr>
          <w:sz w:val="24"/>
          <w:szCs w:val="24"/>
        </w:rPr>
        <w:t>απεκκρι</w:t>
      </w:r>
      <w:r w:rsidRPr="005A464E">
        <w:rPr>
          <w:sz w:val="24"/>
          <w:szCs w:val="24"/>
        </w:rPr>
        <w:t xml:space="preserve">θεί το φορτίο του νατρίου (100-200 </w:t>
      </w:r>
      <w:r w:rsidRPr="005A464E">
        <w:rPr>
          <w:sz w:val="24"/>
          <w:szCs w:val="24"/>
          <w:lang w:val="en-US"/>
        </w:rPr>
        <w:t>mEq</w:t>
      </w:r>
      <w:r w:rsidRPr="005A464E">
        <w:rPr>
          <w:sz w:val="24"/>
          <w:szCs w:val="24"/>
        </w:rPr>
        <w:t>)</w:t>
      </w:r>
      <w:r w:rsidR="008B6BAF" w:rsidRPr="005A464E">
        <w:rPr>
          <w:sz w:val="24"/>
          <w:szCs w:val="24"/>
        </w:rPr>
        <w:t xml:space="preserve"> </w:t>
      </w:r>
      <w:r w:rsidRPr="005A464E">
        <w:rPr>
          <w:sz w:val="24"/>
          <w:szCs w:val="24"/>
        </w:rPr>
        <w:t xml:space="preserve">θα πρέπει να </w:t>
      </w:r>
      <w:r w:rsidR="000326F6" w:rsidRPr="005A464E">
        <w:rPr>
          <w:sz w:val="24"/>
          <w:szCs w:val="24"/>
        </w:rPr>
        <w:t xml:space="preserve">αυξηθεί </w:t>
      </w:r>
      <w:r w:rsidRPr="005A464E">
        <w:rPr>
          <w:sz w:val="24"/>
          <w:szCs w:val="24"/>
        </w:rPr>
        <w:t>ο όγκος των κυκλοφορούντων υγρών</w:t>
      </w:r>
      <w:r w:rsidR="009D38C3">
        <w:rPr>
          <w:sz w:val="24"/>
          <w:szCs w:val="24"/>
        </w:rPr>
        <w:t>,</w:t>
      </w:r>
      <w:r w:rsidRPr="005A464E">
        <w:rPr>
          <w:sz w:val="24"/>
          <w:szCs w:val="24"/>
        </w:rPr>
        <w:t xml:space="preserve"> γεγονός που οδηγεί σε αύξηση της αρτηριακής π</w:t>
      </w:r>
      <w:r w:rsidR="00EE65C5" w:rsidRPr="005A464E">
        <w:rPr>
          <w:sz w:val="24"/>
          <w:szCs w:val="24"/>
        </w:rPr>
        <w:t>ίεσης</w:t>
      </w:r>
      <w:r w:rsidRPr="005A464E">
        <w:rPr>
          <w:sz w:val="24"/>
          <w:szCs w:val="24"/>
        </w:rPr>
        <w:t xml:space="preserve">, εμφάνιση οιδημάτων, δύσπνοιας ή και οξέος πνευμονικού οιδήματος. </w:t>
      </w:r>
    </w:p>
    <w:p w:rsidR="002832BB" w:rsidRPr="005A464E" w:rsidRDefault="004E1A68" w:rsidP="005A464E">
      <w:pPr>
        <w:spacing w:line="360" w:lineRule="auto"/>
        <w:jc w:val="both"/>
        <w:rPr>
          <w:sz w:val="24"/>
          <w:szCs w:val="24"/>
        </w:rPr>
      </w:pPr>
      <w:r w:rsidRPr="005A464E">
        <w:rPr>
          <w:i/>
          <w:sz w:val="24"/>
          <w:szCs w:val="24"/>
        </w:rPr>
        <w:t>Υπέρταση:</w:t>
      </w:r>
      <w:r w:rsidR="009622F2">
        <w:rPr>
          <w:i/>
          <w:sz w:val="24"/>
          <w:szCs w:val="24"/>
        </w:rPr>
        <w:t xml:space="preserve"> </w:t>
      </w:r>
      <w:r w:rsidR="009622F2" w:rsidRPr="009622F2">
        <w:rPr>
          <w:sz w:val="24"/>
          <w:szCs w:val="24"/>
        </w:rPr>
        <w:t>Η</w:t>
      </w:r>
      <w:r w:rsidR="00630646" w:rsidRPr="00630646">
        <w:rPr>
          <w:i/>
          <w:sz w:val="24"/>
          <w:szCs w:val="24"/>
        </w:rPr>
        <w:t xml:space="preserve"> </w:t>
      </w:r>
      <w:r w:rsidR="000326F6" w:rsidRPr="005A464E">
        <w:rPr>
          <w:sz w:val="24"/>
          <w:szCs w:val="24"/>
        </w:rPr>
        <w:t>αρτηριακή υπ</w:t>
      </w:r>
      <w:r w:rsidRPr="005A464E">
        <w:rPr>
          <w:sz w:val="24"/>
          <w:szCs w:val="24"/>
        </w:rPr>
        <w:t>έρταση μπορεί</w:t>
      </w:r>
      <w:r w:rsidR="00A05DF7" w:rsidRPr="005A464E">
        <w:rPr>
          <w:sz w:val="24"/>
          <w:szCs w:val="24"/>
        </w:rPr>
        <w:t xml:space="preserve"> </w:t>
      </w:r>
      <w:r w:rsidRPr="005A464E">
        <w:rPr>
          <w:sz w:val="24"/>
          <w:szCs w:val="24"/>
        </w:rPr>
        <w:t>ε</w:t>
      </w:r>
      <w:r w:rsidR="00C71130" w:rsidRPr="005A464E">
        <w:rPr>
          <w:sz w:val="24"/>
          <w:szCs w:val="24"/>
        </w:rPr>
        <w:t>ίτε να προϋ</w:t>
      </w:r>
      <w:r w:rsidR="000326F6" w:rsidRPr="005A464E">
        <w:rPr>
          <w:sz w:val="24"/>
          <w:szCs w:val="24"/>
        </w:rPr>
        <w:t>πάρχει ως πρωτοπα</w:t>
      </w:r>
      <w:r w:rsidRPr="005A464E">
        <w:rPr>
          <w:sz w:val="24"/>
          <w:szCs w:val="24"/>
        </w:rPr>
        <w:t>θής νόσος</w:t>
      </w:r>
      <w:r w:rsidR="009D38C3">
        <w:rPr>
          <w:sz w:val="24"/>
          <w:szCs w:val="24"/>
        </w:rPr>
        <w:t>, είτε να οφείλεται στη</w:t>
      </w:r>
      <w:r w:rsidRPr="005A464E">
        <w:rPr>
          <w:sz w:val="24"/>
          <w:szCs w:val="24"/>
        </w:rPr>
        <w:t xml:space="preserve"> νεφρική βλάβη. Η υπέρταση οφείλεται στην ελαττωμένη πρόσληψη νατρίου (νατριοεξαρτώμενη) </w:t>
      </w:r>
      <w:r w:rsidR="00FD229A">
        <w:rPr>
          <w:sz w:val="24"/>
          <w:szCs w:val="24"/>
        </w:rPr>
        <w:t>και συν</w:t>
      </w:r>
      <w:r w:rsidRPr="005A464E">
        <w:rPr>
          <w:sz w:val="24"/>
          <w:szCs w:val="24"/>
        </w:rPr>
        <w:t>δυάζεται με χαμηλή περιφερική δραστηριότητα ρενίνης. Πιο σπάνια</w:t>
      </w:r>
      <w:r w:rsidR="009D38C3">
        <w:rPr>
          <w:sz w:val="24"/>
          <w:szCs w:val="24"/>
        </w:rPr>
        <w:t>,</w:t>
      </w:r>
      <w:r w:rsidRPr="005A464E">
        <w:rPr>
          <w:sz w:val="24"/>
          <w:szCs w:val="24"/>
        </w:rPr>
        <w:t xml:space="preserve"> μπορεί να συνοδεύεται </w:t>
      </w:r>
      <w:r w:rsidR="00C71130" w:rsidRPr="005A464E">
        <w:rPr>
          <w:sz w:val="24"/>
          <w:szCs w:val="24"/>
        </w:rPr>
        <w:t>από υψηλά επίπεδα ρενίνης (ρενινοεξαρτώμενη).</w:t>
      </w:r>
    </w:p>
    <w:p w:rsidR="00C71130" w:rsidRPr="005A464E" w:rsidRDefault="00C71130" w:rsidP="005A464E">
      <w:pPr>
        <w:spacing w:line="360" w:lineRule="auto"/>
        <w:jc w:val="both"/>
        <w:rPr>
          <w:sz w:val="24"/>
          <w:szCs w:val="24"/>
        </w:rPr>
      </w:pPr>
      <w:r w:rsidRPr="005A464E">
        <w:rPr>
          <w:i/>
          <w:sz w:val="24"/>
          <w:szCs w:val="24"/>
        </w:rPr>
        <w:t>Καρδιακή νόσος</w:t>
      </w:r>
      <w:r w:rsidRPr="005A464E">
        <w:rPr>
          <w:sz w:val="24"/>
          <w:szCs w:val="24"/>
        </w:rPr>
        <w:t>: Επιπλοκές της ΧΝΝ αποτελούν η σκ</w:t>
      </w:r>
      <w:r w:rsidR="009D38C3">
        <w:rPr>
          <w:sz w:val="24"/>
          <w:szCs w:val="24"/>
        </w:rPr>
        <w:t>λήρυνση των στεφανιαίων αγγείων και</w:t>
      </w:r>
      <w:r w:rsidRPr="005A464E">
        <w:rPr>
          <w:sz w:val="24"/>
          <w:szCs w:val="24"/>
        </w:rPr>
        <w:t xml:space="preserve"> η αποτιτάνωση των βαλβίδων της </w:t>
      </w:r>
      <w:r w:rsidRPr="003238A7">
        <w:rPr>
          <w:sz w:val="24"/>
          <w:szCs w:val="24"/>
        </w:rPr>
        <w:t>καρδιάς. Η υπέρταση και η αναιμία οδηγούν σε</w:t>
      </w:r>
      <w:r w:rsidR="0078495A" w:rsidRPr="003238A7">
        <w:rPr>
          <w:sz w:val="24"/>
          <w:szCs w:val="24"/>
        </w:rPr>
        <w:t xml:space="preserve"> </w:t>
      </w:r>
      <w:r w:rsidRPr="003238A7">
        <w:rPr>
          <w:sz w:val="24"/>
          <w:szCs w:val="24"/>
        </w:rPr>
        <w:t>υπερτροφία της αρ</w:t>
      </w:r>
      <w:r w:rsidR="009D38C3" w:rsidRPr="003238A7">
        <w:rPr>
          <w:sz w:val="24"/>
          <w:szCs w:val="24"/>
        </w:rPr>
        <w:t>ι</w:t>
      </w:r>
      <w:r w:rsidR="002A2764" w:rsidRPr="003238A7">
        <w:rPr>
          <w:sz w:val="24"/>
          <w:szCs w:val="24"/>
        </w:rPr>
        <w:t>στερής κοιλίας και</w:t>
      </w:r>
      <w:r w:rsidR="009622F2" w:rsidRPr="003238A7">
        <w:rPr>
          <w:sz w:val="24"/>
          <w:szCs w:val="24"/>
        </w:rPr>
        <w:t xml:space="preserve"> </w:t>
      </w:r>
      <w:r w:rsidRPr="003238A7">
        <w:rPr>
          <w:sz w:val="24"/>
          <w:szCs w:val="24"/>
        </w:rPr>
        <w:t>συμφορητική καρδιακή ανεπάρκεια.</w:t>
      </w:r>
      <w:r w:rsidRPr="005A464E">
        <w:rPr>
          <w:sz w:val="24"/>
          <w:szCs w:val="24"/>
        </w:rPr>
        <w:t xml:space="preserve"> </w:t>
      </w:r>
    </w:p>
    <w:p w:rsidR="00C71130" w:rsidRPr="003238A7" w:rsidRDefault="00C71130" w:rsidP="005A464E">
      <w:pPr>
        <w:spacing w:line="360" w:lineRule="auto"/>
        <w:jc w:val="both"/>
        <w:rPr>
          <w:sz w:val="24"/>
          <w:szCs w:val="24"/>
        </w:rPr>
      </w:pPr>
      <w:r w:rsidRPr="005A464E">
        <w:rPr>
          <w:i/>
          <w:sz w:val="24"/>
          <w:szCs w:val="24"/>
        </w:rPr>
        <w:t>Π</w:t>
      </w:r>
      <w:r w:rsidR="000847BF" w:rsidRPr="005A464E">
        <w:rPr>
          <w:i/>
          <w:sz w:val="24"/>
          <w:szCs w:val="24"/>
        </w:rPr>
        <w:t xml:space="preserve">ερικαρδίτιδα: </w:t>
      </w:r>
      <w:r w:rsidR="000847BF" w:rsidRPr="005A464E">
        <w:rPr>
          <w:sz w:val="24"/>
          <w:szCs w:val="24"/>
        </w:rPr>
        <w:t>Η περικαρδίτιδα στη ΧΝΝ πιθανόν να είναι ξηρή ή υγρή. Το περικαρδι</w:t>
      </w:r>
      <w:r w:rsidR="002C77B4">
        <w:rPr>
          <w:sz w:val="24"/>
          <w:szCs w:val="24"/>
        </w:rPr>
        <w:t xml:space="preserve">ακό </w:t>
      </w:r>
      <w:r w:rsidR="002C77B4" w:rsidRPr="003238A7">
        <w:rPr>
          <w:sz w:val="24"/>
          <w:szCs w:val="24"/>
        </w:rPr>
        <w:t>υγρό είναι</w:t>
      </w:r>
      <w:r w:rsidR="00A5129A" w:rsidRPr="003238A7">
        <w:rPr>
          <w:sz w:val="24"/>
          <w:szCs w:val="24"/>
        </w:rPr>
        <w:t xml:space="preserve"> αιμορραγικό και</w:t>
      </w:r>
      <w:r w:rsidR="002C77B4" w:rsidRPr="003238A7">
        <w:rPr>
          <w:sz w:val="24"/>
          <w:szCs w:val="24"/>
        </w:rPr>
        <w:t xml:space="preserve"> πλούσιο σε ινική</w:t>
      </w:r>
      <w:r w:rsidR="000847BF" w:rsidRPr="003238A7">
        <w:rPr>
          <w:sz w:val="24"/>
          <w:szCs w:val="24"/>
        </w:rPr>
        <w:t xml:space="preserve">. Εκδηλώνεται με δύσπνοια και θωρακικό άλγος που επιδεινώνεται με την κατάκλιση. Συνήθης </w:t>
      </w:r>
      <w:r w:rsidR="00A05DF7" w:rsidRPr="003238A7">
        <w:rPr>
          <w:sz w:val="24"/>
          <w:szCs w:val="24"/>
        </w:rPr>
        <w:t>είναι</w:t>
      </w:r>
      <w:r w:rsidR="000847BF" w:rsidRPr="003238A7">
        <w:rPr>
          <w:sz w:val="24"/>
          <w:szCs w:val="24"/>
        </w:rPr>
        <w:t xml:space="preserve"> και η δεκατική πυρετική κίνηση.</w:t>
      </w:r>
    </w:p>
    <w:p w:rsidR="000847BF" w:rsidRPr="0034667B" w:rsidRDefault="000847BF" w:rsidP="005A464E">
      <w:pPr>
        <w:spacing w:line="360" w:lineRule="auto"/>
        <w:jc w:val="both"/>
        <w:rPr>
          <w:rFonts w:cs="Calibri"/>
          <w:sz w:val="24"/>
          <w:szCs w:val="24"/>
        </w:rPr>
      </w:pPr>
      <w:r w:rsidRPr="003238A7">
        <w:rPr>
          <w:sz w:val="24"/>
          <w:szCs w:val="24"/>
        </w:rPr>
        <w:t xml:space="preserve">Ο καρδιακός επιπωματισμός αποτελεί επιπλοκή της </w:t>
      </w:r>
      <w:r w:rsidR="002A2764" w:rsidRPr="003238A7">
        <w:rPr>
          <w:sz w:val="24"/>
          <w:szCs w:val="24"/>
        </w:rPr>
        <w:t>περικαρδίτι</w:t>
      </w:r>
      <w:r w:rsidRPr="003238A7">
        <w:rPr>
          <w:sz w:val="24"/>
          <w:szCs w:val="24"/>
        </w:rPr>
        <w:t xml:space="preserve">δας και εκδηλώνεται με υπόταση, παράδοξο σφυγμό και διάταση τραχηλικών φλεβών. </w:t>
      </w:r>
      <w:r w:rsidR="00EB4BF6" w:rsidRPr="003238A7">
        <w:rPr>
          <w:sz w:val="24"/>
          <w:szCs w:val="24"/>
        </w:rPr>
        <w:t xml:space="preserve">Η κατάσταση αυτή </w:t>
      </w:r>
      <w:r w:rsidR="00A05DF7" w:rsidRPr="003238A7">
        <w:rPr>
          <w:sz w:val="24"/>
          <w:szCs w:val="24"/>
        </w:rPr>
        <w:t>είναι</w:t>
      </w:r>
      <w:r w:rsidR="00EB4BF6" w:rsidRPr="003238A7">
        <w:rPr>
          <w:sz w:val="24"/>
          <w:szCs w:val="24"/>
        </w:rPr>
        <w:t xml:space="preserve"> απειλητική για τη ζωή </w:t>
      </w:r>
      <w:r w:rsidR="00B0560D" w:rsidRPr="003238A7">
        <w:rPr>
          <w:sz w:val="24"/>
          <w:szCs w:val="24"/>
        </w:rPr>
        <w:t>του ασθενούς</w:t>
      </w:r>
      <w:r w:rsidR="00EB4BF6" w:rsidRPr="003238A7">
        <w:rPr>
          <w:sz w:val="24"/>
          <w:szCs w:val="24"/>
        </w:rPr>
        <w:t xml:space="preserve"> και απαιτεί άμεση</w:t>
      </w:r>
      <w:r w:rsidR="00EB4BF6" w:rsidRPr="005A464E">
        <w:rPr>
          <w:sz w:val="24"/>
          <w:szCs w:val="24"/>
        </w:rPr>
        <w:t xml:space="preserve"> αντιμετώ</w:t>
      </w:r>
      <w:r w:rsidR="00EE65C5" w:rsidRPr="005A464E">
        <w:rPr>
          <w:sz w:val="24"/>
          <w:szCs w:val="24"/>
        </w:rPr>
        <w:t>π</w:t>
      </w:r>
      <w:r w:rsidR="0034667B">
        <w:rPr>
          <w:sz w:val="24"/>
          <w:szCs w:val="24"/>
        </w:rPr>
        <w:t xml:space="preserve">ιση με παρακέντηση περικαρδίου </w:t>
      </w:r>
      <w:r w:rsidR="0034667B" w:rsidRPr="0034667B">
        <w:rPr>
          <w:sz w:val="24"/>
          <w:szCs w:val="24"/>
        </w:rPr>
        <w:t>(</w:t>
      </w:r>
      <w:r w:rsidR="0034667B" w:rsidRPr="0034667B">
        <w:rPr>
          <w:rFonts w:cs="Calibri"/>
          <w:sz w:val="24"/>
          <w:szCs w:val="24"/>
          <w:shd w:val="clear" w:color="auto" w:fill="FFFFFF"/>
          <w:lang w:val="en-US"/>
        </w:rPr>
        <w:t>Sadjadi</w:t>
      </w:r>
      <w:r w:rsidR="0034667B" w:rsidRPr="0034667B">
        <w:rPr>
          <w:rFonts w:cs="Calibri"/>
          <w:sz w:val="24"/>
          <w:szCs w:val="24"/>
          <w:shd w:val="clear" w:color="auto" w:fill="FFFFFF"/>
        </w:rPr>
        <w:t xml:space="preserve">, &amp; </w:t>
      </w:r>
      <w:r w:rsidR="0034667B" w:rsidRPr="0034667B">
        <w:rPr>
          <w:rFonts w:cs="Calibri"/>
          <w:sz w:val="24"/>
          <w:szCs w:val="24"/>
          <w:shd w:val="clear" w:color="auto" w:fill="FFFFFF"/>
          <w:lang w:val="en-US"/>
        </w:rPr>
        <w:t>Mashhadian</w:t>
      </w:r>
      <w:r w:rsidR="0034667B" w:rsidRPr="0034667B">
        <w:rPr>
          <w:rFonts w:cs="Calibri"/>
          <w:sz w:val="24"/>
          <w:szCs w:val="24"/>
          <w:shd w:val="clear" w:color="auto" w:fill="FFFFFF"/>
        </w:rPr>
        <w:t>, 2015</w:t>
      </w:r>
      <w:r w:rsidR="00666053" w:rsidRPr="00666053">
        <w:rPr>
          <w:rFonts w:cs="Calibri"/>
          <w:sz w:val="24"/>
          <w:szCs w:val="24"/>
          <w:shd w:val="clear" w:color="auto" w:fill="FFFFFF"/>
        </w:rPr>
        <w:t xml:space="preserve">; </w:t>
      </w:r>
      <w:r w:rsidR="00666053">
        <w:rPr>
          <w:rFonts w:cs="Calibri"/>
          <w:sz w:val="24"/>
          <w:szCs w:val="24"/>
          <w:shd w:val="clear" w:color="auto" w:fill="FFFFFF"/>
          <w:lang w:val="en-US"/>
        </w:rPr>
        <w:t>Momeni</w:t>
      </w:r>
      <w:r w:rsidR="00666053" w:rsidRPr="00666053">
        <w:rPr>
          <w:rFonts w:cs="Calibri"/>
          <w:sz w:val="24"/>
          <w:szCs w:val="24"/>
          <w:shd w:val="clear" w:color="auto" w:fill="FFFFFF"/>
        </w:rPr>
        <w:t>, 2016</w:t>
      </w:r>
      <w:r w:rsidR="0034667B" w:rsidRPr="0034667B">
        <w:rPr>
          <w:rFonts w:cs="Calibri"/>
          <w:sz w:val="24"/>
          <w:szCs w:val="24"/>
          <w:shd w:val="clear" w:color="auto" w:fill="FFFFFF"/>
        </w:rPr>
        <w:t>).</w:t>
      </w:r>
    </w:p>
    <w:p w:rsidR="00EB4BF6" w:rsidRPr="005A464E" w:rsidRDefault="00EB4BF6" w:rsidP="005A464E">
      <w:pPr>
        <w:spacing w:line="360" w:lineRule="auto"/>
        <w:jc w:val="both"/>
        <w:rPr>
          <w:b/>
          <w:sz w:val="24"/>
          <w:szCs w:val="24"/>
        </w:rPr>
      </w:pPr>
      <w:r w:rsidRPr="005A464E">
        <w:rPr>
          <w:b/>
          <w:sz w:val="24"/>
          <w:szCs w:val="24"/>
        </w:rPr>
        <w:t>Διαταραχές ύδατος και ηλεκτρολυτών</w:t>
      </w:r>
    </w:p>
    <w:p w:rsidR="00EB4BF6" w:rsidRPr="005A464E" w:rsidRDefault="00EB4BF6" w:rsidP="005A464E">
      <w:pPr>
        <w:spacing w:line="360" w:lineRule="auto"/>
        <w:jc w:val="both"/>
        <w:rPr>
          <w:sz w:val="24"/>
          <w:szCs w:val="24"/>
        </w:rPr>
      </w:pPr>
      <w:r w:rsidRPr="004F2506">
        <w:rPr>
          <w:i/>
          <w:sz w:val="24"/>
          <w:szCs w:val="24"/>
        </w:rPr>
        <w:t>Νάτριο</w:t>
      </w:r>
      <w:r w:rsidRPr="005A464E">
        <w:rPr>
          <w:sz w:val="24"/>
          <w:szCs w:val="24"/>
        </w:rPr>
        <w:t xml:space="preserve">: </w:t>
      </w:r>
      <w:r w:rsidR="00630646">
        <w:rPr>
          <w:sz w:val="24"/>
          <w:szCs w:val="24"/>
          <w:lang w:val="en-US"/>
        </w:rPr>
        <w:t>K</w:t>
      </w:r>
      <w:r w:rsidRPr="005A464E">
        <w:rPr>
          <w:sz w:val="24"/>
          <w:szCs w:val="24"/>
        </w:rPr>
        <w:t>ατά την</w:t>
      </w:r>
      <w:r w:rsidR="0078495A">
        <w:rPr>
          <w:sz w:val="24"/>
          <w:szCs w:val="24"/>
        </w:rPr>
        <w:t xml:space="preserve"> </w:t>
      </w:r>
      <w:r w:rsidRPr="005A464E">
        <w:rPr>
          <w:sz w:val="24"/>
          <w:szCs w:val="24"/>
        </w:rPr>
        <w:t>εξέλιξη της ΧΝΝ</w:t>
      </w:r>
      <w:r w:rsidR="009D38C3">
        <w:rPr>
          <w:sz w:val="24"/>
          <w:szCs w:val="24"/>
        </w:rPr>
        <w:t>,</w:t>
      </w:r>
      <w:r w:rsidRPr="005A464E">
        <w:rPr>
          <w:sz w:val="24"/>
          <w:szCs w:val="24"/>
        </w:rPr>
        <w:t xml:space="preserve"> το ισοζύγιο του νατρίου </w:t>
      </w:r>
      <w:r w:rsidR="00581A7E" w:rsidRPr="005A464E">
        <w:rPr>
          <w:sz w:val="24"/>
          <w:szCs w:val="24"/>
        </w:rPr>
        <w:t>επιτυγχάνεται με την αύξηση της κλασματικής απέκκρισης του νατρίου από κάθε νεφρώνα. Αν ο</w:t>
      </w:r>
      <w:r w:rsidR="00630646" w:rsidRPr="00630646">
        <w:rPr>
          <w:sz w:val="24"/>
          <w:szCs w:val="24"/>
        </w:rPr>
        <w:t xml:space="preserve"> </w:t>
      </w:r>
      <w:r w:rsidR="0096306B">
        <w:rPr>
          <w:sz w:val="24"/>
          <w:szCs w:val="24"/>
        </w:rPr>
        <w:t xml:space="preserve">Ρυθμός Σπειραματικής Διήθησης </w:t>
      </w:r>
      <w:r w:rsidR="00630646">
        <w:rPr>
          <w:sz w:val="24"/>
          <w:szCs w:val="24"/>
        </w:rPr>
        <w:t>μειωθεί</w:t>
      </w:r>
      <w:r w:rsidR="00581A7E" w:rsidRPr="005A464E">
        <w:rPr>
          <w:sz w:val="24"/>
          <w:szCs w:val="24"/>
        </w:rPr>
        <w:t xml:space="preserve"> </w:t>
      </w:r>
      <w:r w:rsidR="00630646">
        <w:rPr>
          <w:sz w:val="24"/>
          <w:szCs w:val="24"/>
        </w:rPr>
        <w:t>(</w:t>
      </w:r>
      <w:r w:rsidR="00581A7E" w:rsidRPr="005A464E">
        <w:rPr>
          <w:sz w:val="24"/>
          <w:szCs w:val="24"/>
          <w:lang w:val="en-US"/>
        </w:rPr>
        <w:t>GFR</w:t>
      </w:r>
      <w:r w:rsidR="00630646">
        <w:rPr>
          <w:sz w:val="24"/>
          <w:szCs w:val="24"/>
        </w:rPr>
        <w:t xml:space="preserve"> </w:t>
      </w:r>
      <w:r w:rsidR="00B372A7" w:rsidRPr="005A464E">
        <w:rPr>
          <w:sz w:val="24"/>
          <w:szCs w:val="24"/>
        </w:rPr>
        <w:t xml:space="preserve">&lt;5-10 </w:t>
      </w:r>
      <w:r w:rsidR="004A6D43">
        <w:rPr>
          <w:sz w:val="24"/>
          <w:szCs w:val="24"/>
          <w:lang w:val="en-US"/>
        </w:rPr>
        <w:t>mL</w:t>
      </w:r>
      <w:r w:rsidR="00B372A7" w:rsidRPr="005A464E">
        <w:rPr>
          <w:sz w:val="24"/>
          <w:szCs w:val="24"/>
        </w:rPr>
        <w:t>/</w:t>
      </w:r>
      <w:r w:rsidR="00581A7E" w:rsidRPr="005A464E">
        <w:rPr>
          <w:sz w:val="24"/>
          <w:szCs w:val="24"/>
          <w:lang w:val="en-US"/>
        </w:rPr>
        <w:t>min</w:t>
      </w:r>
      <w:r w:rsidR="00962CFF" w:rsidRPr="00962CFF">
        <w:rPr>
          <w:sz w:val="24"/>
          <w:szCs w:val="24"/>
        </w:rPr>
        <w:t>/1,73</w:t>
      </w:r>
      <w:r w:rsidR="00890A92">
        <w:rPr>
          <w:sz w:val="24"/>
          <w:szCs w:val="24"/>
          <w:lang w:val="en-US"/>
        </w:rPr>
        <w:t>m</w:t>
      </w:r>
      <w:r w:rsidR="00962CFF" w:rsidRPr="00962CFF">
        <w:rPr>
          <w:sz w:val="24"/>
          <w:szCs w:val="24"/>
          <w:vertAlign w:val="superscript"/>
        </w:rPr>
        <w:t>2</w:t>
      </w:r>
      <w:r w:rsidR="00630646">
        <w:rPr>
          <w:sz w:val="24"/>
          <w:szCs w:val="24"/>
        </w:rPr>
        <w:t>)</w:t>
      </w:r>
      <w:r w:rsidR="00B372A7" w:rsidRPr="005A464E">
        <w:rPr>
          <w:sz w:val="24"/>
          <w:szCs w:val="24"/>
        </w:rPr>
        <w:t xml:space="preserve"> </w:t>
      </w:r>
      <w:r w:rsidR="00581A7E" w:rsidRPr="005A464E">
        <w:rPr>
          <w:sz w:val="24"/>
          <w:szCs w:val="24"/>
        </w:rPr>
        <w:t>προκύπτει θετικό ισοζύγιο με αυξημένο νάτριο του οργανισμού.</w:t>
      </w:r>
    </w:p>
    <w:p w:rsidR="00581A7E" w:rsidRPr="005A464E" w:rsidRDefault="00581A7E" w:rsidP="005A464E">
      <w:pPr>
        <w:spacing w:line="360" w:lineRule="auto"/>
        <w:jc w:val="both"/>
        <w:rPr>
          <w:sz w:val="24"/>
          <w:szCs w:val="24"/>
        </w:rPr>
      </w:pPr>
      <w:r w:rsidRPr="005A464E">
        <w:rPr>
          <w:sz w:val="24"/>
          <w:szCs w:val="24"/>
        </w:rPr>
        <w:t>Πολλοί ασθεν</w:t>
      </w:r>
      <w:r w:rsidR="00D1056A" w:rsidRPr="005A464E">
        <w:rPr>
          <w:sz w:val="24"/>
          <w:szCs w:val="24"/>
        </w:rPr>
        <w:t>ε</w:t>
      </w:r>
      <w:r w:rsidRPr="005A464E">
        <w:rPr>
          <w:sz w:val="24"/>
          <w:szCs w:val="24"/>
        </w:rPr>
        <w:t xml:space="preserve">ίς με ΧΝΝ </w:t>
      </w:r>
      <w:r w:rsidR="00A05DF7" w:rsidRPr="005A464E">
        <w:rPr>
          <w:sz w:val="24"/>
          <w:szCs w:val="24"/>
        </w:rPr>
        <w:t>εμφανίζουν</w:t>
      </w:r>
      <w:r w:rsidRPr="005A464E">
        <w:rPr>
          <w:sz w:val="24"/>
          <w:szCs w:val="24"/>
        </w:rPr>
        <w:t xml:space="preserve"> μείωση της κατακράτησης του νατρίου.</w:t>
      </w:r>
      <w:r w:rsidR="00D1056A" w:rsidRPr="005A464E">
        <w:rPr>
          <w:sz w:val="24"/>
          <w:szCs w:val="24"/>
        </w:rPr>
        <w:t xml:space="preserve"> Το φαινόμενο οφείλεται στην αύξηση της ουρίας και την πρόκληση </w:t>
      </w:r>
      <w:r w:rsidR="00A05DF7" w:rsidRPr="005A464E">
        <w:rPr>
          <w:sz w:val="24"/>
          <w:szCs w:val="24"/>
        </w:rPr>
        <w:t>ωσμωτικής</w:t>
      </w:r>
      <w:r w:rsidR="00D1056A" w:rsidRPr="005A464E">
        <w:rPr>
          <w:sz w:val="24"/>
          <w:szCs w:val="24"/>
        </w:rPr>
        <w:t xml:space="preserve"> διούρησης.</w:t>
      </w:r>
    </w:p>
    <w:p w:rsidR="00F95B7D" w:rsidRPr="005A464E" w:rsidRDefault="00F95B7D" w:rsidP="005A464E">
      <w:pPr>
        <w:spacing w:line="360" w:lineRule="auto"/>
        <w:jc w:val="both"/>
        <w:rPr>
          <w:sz w:val="24"/>
          <w:szCs w:val="24"/>
        </w:rPr>
      </w:pPr>
      <w:r w:rsidRPr="004F2506">
        <w:rPr>
          <w:i/>
          <w:sz w:val="24"/>
          <w:szCs w:val="24"/>
        </w:rPr>
        <w:t>Κάλιο</w:t>
      </w:r>
      <w:r w:rsidRPr="005A464E">
        <w:rPr>
          <w:sz w:val="24"/>
          <w:szCs w:val="24"/>
        </w:rPr>
        <w:t xml:space="preserve">: Οι νεφρώνες που παραμένουν σε λειτουργία </w:t>
      </w:r>
      <w:r w:rsidR="00A05DF7" w:rsidRPr="005A464E">
        <w:rPr>
          <w:sz w:val="24"/>
          <w:szCs w:val="24"/>
        </w:rPr>
        <w:t>αυξάνουν</w:t>
      </w:r>
      <w:r w:rsidRPr="005A464E">
        <w:rPr>
          <w:sz w:val="24"/>
          <w:szCs w:val="24"/>
        </w:rPr>
        <w:t xml:space="preserve"> τον ρυθμό απέκκρισης του καλίου στο επίπεδο των αθροιστικών σωληναρίων. Επιπλέον, το γαστρεντερικό σύστημα αυξάνει την αποβολή καλίου. Έτσι</w:t>
      </w:r>
      <w:r w:rsidR="00B372A7" w:rsidRPr="005A464E">
        <w:rPr>
          <w:sz w:val="24"/>
          <w:szCs w:val="24"/>
        </w:rPr>
        <w:t>,</w:t>
      </w:r>
      <w:r w:rsidRPr="005A464E">
        <w:rPr>
          <w:sz w:val="24"/>
          <w:szCs w:val="24"/>
        </w:rPr>
        <w:t xml:space="preserve"> το ολικό κάλιο του </w:t>
      </w:r>
      <w:r w:rsidR="00B372A7" w:rsidRPr="005A464E">
        <w:rPr>
          <w:sz w:val="24"/>
          <w:szCs w:val="24"/>
        </w:rPr>
        <w:t>οργανισμού</w:t>
      </w:r>
      <w:r w:rsidRPr="005A464E">
        <w:rPr>
          <w:sz w:val="24"/>
          <w:szCs w:val="24"/>
        </w:rPr>
        <w:t xml:space="preserve"> παραμένει φυ</w:t>
      </w:r>
      <w:r w:rsidR="009D38C3">
        <w:rPr>
          <w:sz w:val="24"/>
          <w:szCs w:val="24"/>
        </w:rPr>
        <w:t>σιολογικό ή και χαμηλό. Υπάρχει</w:t>
      </w:r>
      <w:r w:rsidRPr="005A464E">
        <w:rPr>
          <w:sz w:val="24"/>
          <w:szCs w:val="24"/>
        </w:rPr>
        <w:t>, όμως, πιθανότητα οι ασθενείς να έχουν αυξημένο κάλιο στον ορό</w:t>
      </w:r>
      <w:r w:rsidR="0078495A">
        <w:rPr>
          <w:sz w:val="24"/>
          <w:szCs w:val="24"/>
        </w:rPr>
        <w:t xml:space="preserve"> </w:t>
      </w:r>
      <w:r w:rsidRPr="005A464E">
        <w:rPr>
          <w:sz w:val="24"/>
          <w:szCs w:val="24"/>
        </w:rPr>
        <w:t xml:space="preserve">είτε λόγω της αντιμετώπισης της οξέωσης (ανταλλαγή ενδοκυττάριου καλίου με </w:t>
      </w:r>
      <w:r w:rsidR="00B372A7" w:rsidRPr="005A464E">
        <w:rPr>
          <w:sz w:val="24"/>
          <w:szCs w:val="24"/>
        </w:rPr>
        <w:t>ι</w:t>
      </w:r>
      <w:r w:rsidRPr="005A464E">
        <w:rPr>
          <w:sz w:val="24"/>
          <w:szCs w:val="24"/>
        </w:rPr>
        <w:t>όντα υδρογόνου) είτε λόγω διαταραχής της παραγωγής αλδοστερόνης (σακχαρώδης διαβήτης).</w:t>
      </w:r>
    </w:p>
    <w:p w:rsidR="00F95B7D" w:rsidRPr="00295D47" w:rsidRDefault="00F95B7D" w:rsidP="005A464E">
      <w:pPr>
        <w:spacing w:line="360" w:lineRule="auto"/>
        <w:jc w:val="both"/>
        <w:rPr>
          <w:sz w:val="24"/>
          <w:szCs w:val="24"/>
        </w:rPr>
      </w:pPr>
      <w:r w:rsidRPr="004F2506">
        <w:rPr>
          <w:i/>
          <w:sz w:val="24"/>
          <w:szCs w:val="24"/>
        </w:rPr>
        <w:t xml:space="preserve">Ασβέστιο, </w:t>
      </w:r>
      <w:r w:rsidR="00FE3796" w:rsidRPr="004F2506">
        <w:rPr>
          <w:i/>
          <w:sz w:val="24"/>
          <w:szCs w:val="24"/>
        </w:rPr>
        <w:t>φωσφόρο</w:t>
      </w:r>
      <w:r w:rsidRPr="004F2506">
        <w:rPr>
          <w:i/>
          <w:sz w:val="24"/>
          <w:szCs w:val="24"/>
        </w:rPr>
        <w:t>, αργίλιο</w:t>
      </w:r>
      <w:r w:rsidRPr="005A464E">
        <w:rPr>
          <w:sz w:val="24"/>
          <w:szCs w:val="24"/>
        </w:rPr>
        <w:t>:</w:t>
      </w:r>
      <w:r w:rsidR="0078495A">
        <w:rPr>
          <w:sz w:val="24"/>
          <w:szCs w:val="24"/>
        </w:rPr>
        <w:t xml:space="preserve"> </w:t>
      </w:r>
      <w:r w:rsidR="009622F2">
        <w:rPr>
          <w:sz w:val="24"/>
          <w:szCs w:val="24"/>
        </w:rPr>
        <w:t>Η</w:t>
      </w:r>
      <w:r w:rsidR="00630646">
        <w:rPr>
          <w:rStyle w:val="a9"/>
        </w:rPr>
        <w:t xml:space="preserve"> </w:t>
      </w:r>
      <w:r w:rsidR="00630646" w:rsidRPr="00630646">
        <w:rPr>
          <w:rStyle w:val="a9"/>
          <w:sz w:val="24"/>
          <w:szCs w:val="24"/>
        </w:rPr>
        <w:t>Χ</w:t>
      </w:r>
      <w:r w:rsidRPr="00630646">
        <w:rPr>
          <w:sz w:val="24"/>
          <w:szCs w:val="24"/>
        </w:rPr>
        <w:t>ΝΝ</w:t>
      </w:r>
      <w:r w:rsidRPr="005A464E">
        <w:rPr>
          <w:sz w:val="24"/>
          <w:szCs w:val="24"/>
        </w:rPr>
        <w:t xml:space="preserve"> προκαλεί οστικές βλάβες από δευτεροπαθή υπερπαραθυρεοειδισμό και οστεομαλακ</w:t>
      </w:r>
      <w:r w:rsidR="002C77B4">
        <w:rPr>
          <w:sz w:val="24"/>
          <w:szCs w:val="24"/>
        </w:rPr>
        <w:t xml:space="preserve">ία λόγω ελάττωσης της </w:t>
      </w:r>
      <w:r w:rsidR="00EF6A06">
        <w:rPr>
          <w:sz w:val="24"/>
          <w:szCs w:val="24"/>
        </w:rPr>
        <w:t>1,</w:t>
      </w:r>
      <w:r w:rsidR="002C77B4">
        <w:rPr>
          <w:sz w:val="24"/>
          <w:szCs w:val="24"/>
        </w:rPr>
        <w:t>25(ΟΗ)</w:t>
      </w:r>
      <w:r w:rsidRPr="005A464E">
        <w:rPr>
          <w:sz w:val="24"/>
          <w:szCs w:val="24"/>
          <w:lang w:val="en-US"/>
        </w:rPr>
        <w:t>D</w:t>
      </w:r>
      <w:r w:rsidRPr="005A464E">
        <w:rPr>
          <w:sz w:val="24"/>
          <w:szCs w:val="24"/>
          <w:vertAlign w:val="subscript"/>
        </w:rPr>
        <w:t>3</w:t>
      </w:r>
      <w:r w:rsidR="00A5129A">
        <w:rPr>
          <w:sz w:val="24"/>
          <w:szCs w:val="24"/>
        </w:rPr>
        <w:t>.</w:t>
      </w:r>
      <w:r w:rsidR="00B372A7" w:rsidRPr="005A464E">
        <w:rPr>
          <w:sz w:val="24"/>
          <w:szCs w:val="24"/>
        </w:rPr>
        <w:t xml:space="preserve"> Επίσης, έ</w:t>
      </w:r>
      <w:r w:rsidRPr="005A464E">
        <w:rPr>
          <w:sz w:val="24"/>
          <w:szCs w:val="24"/>
        </w:rPr>
        <w:t xml:space="preserve">κτοπες εναποθέσεις </w:t>
      </w:r>
      <w:r w:rsidRPr="00295D47">
        <w:rPr>
          <w:rFonts w:cs="Calibri"/>
          <w:sz w:val="24"/>
          <w:szCs w:val="24"/>
        </w:rPr>
        <w:t>αλάτων ασβεστίου εμφανί</w:t>
      </w:r>
      <w:r w:rsidR="009D38C3" w:rsidRPr="00295D47">
        <w:rPr>
          <w:rFonts w:cs="Calibri"/>
          <w:sz w:val="24"/>
          <w:szCs w:val="24"/>
        </w:rPr>
        <w:t xml:space="preserve">ζονται στα αγγεία, τις αρθρώσεις, τους πνεύμονες και </w:t>
      </w:r>
      <w:r w:rsidRPr="00295D47">
        <w:rPr>
          <w:rFonts w:cs="Calibri"/>
          <w:sz w:val="24"/>
          <w:szCs w:val="24"/>
        </w:rPr>
        <w:t>τους νεφρούς</w:t>
      </w:r>
      <w:r w:rsidR="00295D47" w:rsidRPr="00295D47">
        <w:rPr>
          <w:rFonts w:cs="Calibri"/>
          <w:sz w:val="24"/>
          <w:szCs w:val="24"/>
        </w:rPr>
        <w:t xml:space="preserve"> (</w:t>
      </w:r>
      <w:r w:rsidR="00295D47" w:rsidRPr="00295D47">
        <w:rPr>
          <w:rFonts w:cs="Calibri"/>
          <w:sz w:val="24"/>
          <w:szCs w:val="24"/>
          <w:shd w:val="clear" w:color="auto" w:fill="FFFFFF"/>
        </w:rPr>
        <w:t>Dhondup &amp; Qian, 2017).</w:t>
      </w:r>
    </w:p>
    <w:p w:rsidR="004279F8" w:rsidRPr="0034667B" w:rsidRDefault="004279F8" w:rsidP="005A464E">
      <w:pPr>
        <w:spacing w:line="360" w:lineRule="auto"/>
        <w:jc w:val="both"/>
        <w:rPr>
          <w:sz w:val="24"/>
          <w:szCs w:val="24"/>
        </w:rPr>
      </w:pPr>
      <w:r w:rsidRPr="005A464E">
        <w:rPr>
          <w:b/>
          <w:sz w:val="24"/>
          <w:szCs w:val="24"/>
        </w:rPr>
        <w:t>Ρύθμιση οξέων-βάσεων</w:t>
      </w:r>
      <w:r w:rsidR="00630646">
        <w:rPr>
          <w:sz w:val="24"/>
          <w:szCs w:val="24"/>
        </w:rPr>
        <w:t>: Α</w:t>
      </w:r>
      <w:r w:rsidRPr="005A464E">
        <w:rPr>
          <w:sz w:val="24"/>
          <w:szCs w:val="24"/>
        </w:rPr>
        <w:t xml:space="preserve">ν ο </w:t>
      </w:r>
      <w:r w:rsidR="0096306B">
        <w:rPr>
          <w:sz w:val="24"/>
          <w:szCs w:val="24"/>
        </w:rPr>
        <w:t xml:space="preserve">Ρυθμός Σπειραματικής Διήθησης </w:t>
      </w:r>
      <w:r w:rsidR="00630646">
        <w:rPr>
          <w:sz w:val="24"/>
          <w:szCs w:val="24"/>
        </w:rPr>
        <w:t xml:space="preserve">κυμαίνεται στο </w:t>
      </w:r>
      <w:r w:rsidRPr="005A464E">
        <w:rPr>
          <w:sz w:val="24"/>
          <w:szCs w:val="24"/>
        </w:rPr>
        <w:t>20% του φυσιολογικού, η ελάττωση του αριθμού των λειτουργικών νεφρώνων οδηγεί σε μειωμένη απέκκριση ούρων και μεταβολική οξέωση</w:t>
      </w:r>
      <w:r w:rsidR="007928B5" w:rsidRPr="005A464E">
        <w:rPr>
          <w:sz w:val="24"/>
          <w:szCs w:val="24"/>
        </w:rPr>
        <w:t xml:space="preserve">. Αν ο </w:t>
      </w:r>
      <w:r w:rsidR="007928B5" w:rsidRPr="005A464E">
        <w:rPr>
          <w:sz w:val="24"/>
          <w:szCs w:val="24"/>
          <w:lang w:val="en-US"/>
        </w:rPr>
        <w:t>GFR</w:t>
      </w:r>
      <w:r w:rsidR="00A5129A">
        <w:rPr>
          <w:sz w:val="24"/>
          <w:szCs w:val="24"/>
        </w:rPr>
        <w:t xml:space="preserve"> είναι &lt;</w:t>
      </w:r>
      <w:r w:rsidR="007928B5" w:rsidRPr="005A464E">
        <w:rPr>
          <w:sz w:val="24"/>
          <w:szCs w:val="24"/>
        </w:rPr>
        <w:t xml:space="preserve">10 </w:t>
      </w:r>
      <w:r w:rsidR="002042AF">
        <w:rPr>
          <w:sz w:val="24"/>
          <w:szCs w:val="24"/>
          <w:lang w:val="en-US"/>
        </w:rPr>
        <w:t>mL</w:t>
      </w:r>
      <w:r w:rsidR="001C081D">
        <w:rPr>
          <w:sz w:val="24"/>
          <w:szCs w:val="24"/>
        </w:rPr>
        <w:t>/</w:t>
      </w:r>
      <w:r w:rsidR="007928B5" w:rsidRPr="005A464E">
        <w:rPr>
          <w:sz w:val="24"/>
          <w:szCs w:val="24"/>
          <w:lang w:val="en-US"/>
        </w:rPr>
        <w:t>min</w:t>
      </w:r>
      <w:r w:rsidR="00962CFF" w:rsidRPr="00962CFF">
        <w:rPr>
          <w:sz w:val="24"/>
          <w:szCs w:val="24"/>
        </w:rPr>
        <w:t>/1,73</w:t>
      </w:r>
      <w:r w:rsidR="00890A92">
        <w:rPr>
          <w:sz w:val="24"/>
          <w:szCs w:val="24"/>
          <w:lang w:val="en-US"/>
        </w:rPr>
        <w:t>m</w:t>
      </w:r>
      <w:r w:rsidR="00962CFF" w:rsidRPr="00962CFF">
        <w:rPr>
          <w:sz w:val="24"/>
          <w:szCs w:val="24"/>
          <w:vertAlign w:val="superscript"/>
        </w:rPr>
        <w:t>2</w:t>
      </w:r>
      <w:r w:rsidR="009D38C3" w:rsidRPr="004F2506">
        <w:rPr>
          <w:sz w:val="24"/>
          <w:szCs w:val="24"/>
        </w:rPr>
        <w:t>,</w:t>
      </w:r>
      <w:r w:rsidR="009D38C3" w:rsidRPr="009D38C3">
        <w:rPr>
          <w:sz w:val="24"/>
          <w:szCs w:val="24"/>
        </w:rPr>
        <w:t xml:space="preserve"> </w:t>
      </w:r>
      <w:r w:rsidR="007928B5" w:rsidRPr="005A464E">
        <w:rPr>
          <w:sz w:val="24"/>
          <w:szCs w:val="24"/>
        </w:rPr>
        <w:t>η οξέωση είναι ακόμα βαρύτερη</w:t>
      </w:r>
      <w:r w:rsidR="0034667B" w:rsidRPr="0034667B">
        <w:rPr>
          <w:sz w:val="24"/>
          <w:szCs w:val="24"/>
        </w:rPr>
        <w:t xml:space="preserve"> </w:t>
      </w:r>
      <w:r w:rsidR="0034667B" w:rsidRPr="00295D47">
        <w:rPr>
          <w:rFonts w:cs="Calibri"/>
          <w:sz w:val="24"/>
          <w:szCs w:val="24"/>
        </w:rPr>
        <w:t>(</w:t>
      </w:r>
      <w:r w:rsidR="0034667B" w:rsidRPr="00295D47">
        <w:rPr>
          <w:rFonts w:cs="Calibri"/>
          <w:sz w:val="24"/>
          <w:szCs w:val="24"/>
          <w:shd w:val="clear" w:color="auto" w:fill="FFFFFF"/>
        </w:rPr>
        <w:t>Dhondup &amp; Qian, 2017).</w:t>
      </w:r>
    </w:p>
    <w:p w:rsidR="007928B5" w:rsidRPr="003238A7" w:rsidRDefault="007928B5" w:rsidP="005A464E">
      <w:pPr>
        <w:spacing w:line="360" w:lineRule="auto"/>
        <w:jc w:val="both"/>
        <w:rPr>
          <w:sz w:val="24"/>
          <w:szCs w:val="24"/>
        </w:rPr>
      </w:pPr>
      <w:r w:rsidRPr="005A464E">
        <w:rPr>
          <w:b/>
          <w:sz w:val="24"/>
          <w:szCs w:val="24"/>
        </w:rPr>
        <w:t>Αιματολογικές διαταραχές</w:t>
      </w:r>
      <w:r w:rsidR="002215DE" w:rsidRPr="002215DE">
        <w:rPr>
          <w:sz w:val="24"/>
          <w:szCs w:val="24"/>
        </w:rPr>
        <w:t>:</w:t>
      </w:r>
      <w:r w:rsidR="00630646">
        <w:rPr>
          <w:sz w:val="24"/>
          <w:szCs w:val="24"/>
        </w:rPr>
        <w:t xml:space="preserve"> Η</w:t>
      </w:r>
      <w:r w:rsidR="002215DE">
        <w:rPr>
          <w:sz w:val="24"/>
          <w:szCs w:val="24"/>
        </w:rPr>
        <w:t xml:space="preserve"> αναιμία</w:t>
      </w:r>
      <w:r w:rsidRPr="005A464E">
        <w:rPr>
          <w:sz w:val="24"/>
          <w:szCs w:val="24"/>
        </w:rPr>
        <w:t xml:space="preserve"> </w:t>
      </w:r>
      <w:r w:rsidRPr="003238A7">
        <w:rPr>
          <w:sz w:val="24"/>
          <w:szCs w:val="24"/>
        </w:rPr>
        <w:t>οφείλεται στην αδυναμία παραγωγής ερυθροπο</w:t>
      </w:r>
      <w:r w:rsidR="00C7603C" w:rsidRPr="003238A7">
        <w:rPr>
          <w:sz w:val="24"/>
          <w:szCs w:val="24"/>
        </w:rPr>
        <w:t>ιητίνης από τους νεφρούς. Άλλες καταστάσει</w:t>
      </w:r>
      <w:r w:rsidRPr="003238A7">
        <w:rPr>
          <w:sz w:val="24"/>
          <w:szCs w:val="24"/>
        </w:rPr>
        <w:t>ς</w:t>
      </w:r>
      <w:r w:rsidR="002A2764" w:rsidRPr="003238A7">
        <w:rPr>
          <w:sz w:val="24"/>
          <w:szCs w:val="24"/>
        </w:rPr>
        <w:t xml:space="preserve"> που οδηγούν στην αναιμία</w:t>
      </w:r>
      <w:r w:rsidRPr="003238A7">
        <w:rPr>
          <w:sz w:val="24"/>
          <w:szCs w:val="24"/>
        </w:rPr>
        <w:t xml:space="preserve"> είναι η απώλεια αίματος, η έλλειψη σιδήρου και </w:t>
      </w:r>
      <w:r w:rsidR="00B84557" w:rsidRPr="003238A7">
        <w:rPr>
          <w:sz w:val="24"/>
          <w:szCs w:val="24"/>
        </w:rPr>
        <w:t>φ</w:t>
      </w:r>
      <w:r w:rsidR="00B84557" w:rsidRPr="003238A7">
        <w:rPr>
          <w:sz w:val="24"/>
          <w:szCs w:val="24"/>
          <w:lang w:val="en-US"/>
        </w:rPr>
        <w:t>o</w:t>
      </w:r>
      <w:r w:rsidRPr="003238A7">
        <w:rPr>
          <w:sz w:val="24"/>
          <w:szCs w:val="24"/>
        </w:rPr>
        <w:t>λικού οξέος</w:t>
      </w:r>
      <w:r w:rsidR="006370F2" w:rsidRPr="003238A7">
        <w:rPr>
          <w:sz w:val="24"/>
          <w:szCs w:val="24"/>
        </w:rPr>
        <w:t xml:space="preserve">. Ο βαθμός της αναιμίας ποικίλει αν ο </w:t>
      </w:r>
      <w:r w:rsidR="00B84557" w:rsidRPr="003238A7">
        <w:rPr>
          <w:sz w:val="24"/>
          <w:szCs w:val="24"/>
        </w:rPr>
        <w:t xml:space="preserve">Ρυθμός Σπειραματική Διήθησης κυμαίνεται </w:t>
      </w:r>
      <w:r w:rsidR="004F2506" w:rsidRPr="003238A7">
        <w:rPr>
          <w:sz w:val="24"/>
          <w:szCs w:val="24"/>
        </w:rPr>
        <w:t>&lt;</w:t>
      </w:r>
      <w:r w:rsidR="006370F2" w:rsidRPr="003238A7">
        <w:rPr>
          <w:sz w:val="24"/>
          <w:szCs w:val="24"/>
        </w:rPr>
        <w:t xml:space="preserve">20 </w:t>
      </w:r>
      <w:r w:rsidR="002042AF" w:rsidRPr="003238A7">
        <w:rPr>
          <w:sz w:val="24"/>
          <w:szCs w:val="24"/>
          <w:lang w:val="en-US"/>
        </w:rPr>
        <w:t>mL</w:t>
      </w:r>
      <w:r w:rsidR="004F2506" w:rsidRPr="003238A7">
        <w:rPr>
          <w:sz w:val="24"/>
          <w:szCs w:val="24"/>
        </w:rPr>
        <w:t>/</w:t>
      </w:r>
      <w:r w:rsidR="006370F2" w:rsidRPr="003238A7">
        <w:rPr>
          <w:sz w:val="24"/>
          <w:szCs w:val="24"/>
          <w:lang w:val="en-US"/>
        </w:rPr>
        <w:t>min</w:t>
      </w:r>
      <w:r w:rsidR="004F2506" w:rsidRPr="003238A7">
        <w:rPr>
          <w:sz w:val="24"/>
          <w:szCs w:val="24"/>
        </w:rPr>
        <w:t>/1,73</w:t>
      </w:r>
      <w:r w:rsidR="004F2506" w:rsidRPr="003238A7">
        <w:rPr>
          <w:sz w:val="24"/>
          <w:szCs w:val="24"/>
          <w:lang w:val="en-US"/>
        </w:rPr>
        <w:t>m</w:t>
      </w:r>
      <w:r w:rsidR="004F2506" w:rsidRPr="003238A7">
        <w:rPr>
          <w:sz w:val="24"/>
          <w:szCs w:val="24"/>
          <w:vertAlign w:val="superscript"/>
        </w:rPr>
        <w:t>2</w:t>
      </w:r>
      <w:r w:rsidR="004F2506" w:rsidRPr="003238A7">
        <w:rPr>
          <w:sz w:val="24"/>
          <w:szCs w:val="24"/>
        </w:rPr>
        <w:t xml:space="preserve"> και η κρεατινίνη &gt;</w:t>
      </w:r>
      <w:r w:rsidR="006370F2" w:rsidRPr="003238A7">
        <w:rPr>
          <w:sz w:val="24"/>
          <w:szCs w:val="24"/>
        </w:rPr>
        <w:t xml:space="preserve">5 </w:t>
      </w:r>
      <w:r w:rsidR="006370F2" w:rsidRPr="003238A7">
        <w:rPr>
          <w:sz w:val="24"/>
          <w:szCs w:val="24"/>
          <w:lang w:val="en-US"/>
        </w:rPr>
        <w:t>mg</w:t>
      </w:r>
      <w:r w:rsidR="006370F2" w:rsidRPr="003238A7">
        <w:rPr>
          <w:sz w:val="24"/>
          <w:szCs w:val="24"/>
        </w:rPr>
        <w:t xml:space="preserve">% ενώ η </w:t>
      </w:r>
      <w:r w:rsidR="00B372A7" w:rsidRPr="003238A7">
        <w:rPr>
          <w:sz w:val="24"/>
          <w:szCs w:val="24"/>
        </w:rPr>
        <w:t>αιμοσφαιρίνη</w:t>
      </w:r>
      <w:r w:rsidR="006370F2" w:rsidRPr="003238A7">
        <w:rPr>
          <w:sz w:val="24"/>
          <w:szCs w:val="24"/>
        </w:rPr>
        <w:t xml:space="preserve"> κυμαίνεται στα 8</w:t>
      </w:r>
      <w:r w:rsidR="006370F2" w:rsidRPr="003238A7">
        <w:rPr>
          <w:sz w:val="24"/>
          <w:szCs w:val="24"/>
          <w:lang w:val="en-US"/>
        </w:rPr>
        <w:t>g</w:t>
      </w:r>
      <w:r w:rsidR="006370F2" w:rsidRPr="003238A7">
        <w:rPr>
          <w:sz w:val="24"/>
          <w:szCs w:val="24"/>
        </w:rPr>
        <w:t>%</w:t>
      </w:r>
      <w:r w:rsidR="00994789" w:rsidRPr="003238A7">
        <w:rPr>
          <w:sz w:val="24"/>
          <w:szCs w:val="24"/>
        </w:rPr>
        <w:t xml:space="preserve"> </w:t>
      </w:r>
      <w:r w:rsidR="00994789" w:rsidRPr="003238A7">
        <w:rPr>
          <w:rFonts w:asciiTheme="minorHAnsi" w:hAnsiTheme="minorHAnsi" w:cstheme="minorHAnsi"/>
          <w:sz w:val="24"/>
          <w:szCs w:val="24"/>
        </w:rPr>
        <w:t>(</w:t>
      </w:r>
      <w:r w:rsidR="00994789" w:rsidRPr="003238A7">
        <w:rPr>
          <w:rFonts w:asciiTheme="minorHAnsi" w:hAnsiTheme="minorHAnsi" w:cstheme="minorHAnsi"/>
          <w:color w:val="000000"/>
          <w:sz w:val="24"/>
          <w:szCs w:val="24"/>
          <w:shd w:val="clear" w:color="auto" w:fill="FFFFFF"/>
        </w:rPr>
        <w:t>Babitt &amp; Lin, 2012</w:t>
      </w:r>
      <w:r w:rsidR="007C3D2F" w:rsidRPr="003238A7">
        <w:rPr>
          <w:rFonts w:asciiTheme="minorHAnsi" w:hAnsiTheme="minorHAnsi" w:cstheme="minorHAnsi"/>
          <w:color w:val="000000"/>
          <w:sz w:val="24"/>
          <w:szCs w:val="24"/>
          <w:shd w:val="clear" w:color="auto" w:fill="FFFFFF"/>
        </w:rPr>
        <w:t xml:space="preserve">; </w:t>
      </w:r>
      <w:r w:rsidR="007C3D2F" w:rsidRPr="003238A7">
        <w:rPr>
          <w:rFonts w:asciiTheme="minorHAnsi" w:hAnsiTheme="minorHAnsi" w:cstheme="minorHAnsi"/>
          <w:color w:val="000000"/>
          <w:sz w:val="24"/>
          <w:szCs w:val="24"/>
          <w:shd w:val="clear" w:color="auto" w:fill="FFFFFF"/>
          <w:lang w:val="en-US"/>
        </w:rPr>
        <w:t>Krishnan</w:t>
      </w:r>
      <w:r w:rsidR="007C3D2F" w:rsidRPr="003238A7">
        <w:rPr>
          <w:rFonts w:asciiTheme="minorHAnsi" w:hAnsiTheme="minorHAnsi" w:cstheme="minorHAnsi"/>
          <w:color w:val="000000"/>
          <w:sz w:val="24"/>
          <w:szCs w:val="24"/>
          <w:shd w:val="clear" w:color="auto" w:fill="FFFFFF"/>
        </w:rPr>
        <w:t>, 2017</w:t>
      </w:r>
      <w:r w:rsidR="00994789" w:rsidRPr="003238A7">
        <w:rPr>
          <w:rFonts w:asciiTheme="minorHAnsi" w:hAnsiTheme="minorHAnsi" w:cstheme="minorHAnsi"/>
          <w:color w:val="000000"/>
          <w:sz w:val="24"/>
          <w:szCs w:val="24"/>
          <w:shd w:val="clear" w:color="auto" w:fill="FFFFFF"/>
        </w:rPr>
        <w:t>)</w:t>
      </w:r>
      <w:r w:rsidR="006370F2" w:rsidRPr="003238A7">
        <w:rPr>
          <w:rFonts w:asciiTheme="minorHAnsi" w:hAnsiTheme="minorHAnsi" w:cstheme="minorHAnsi"/>
          <w:sz w:val="24"/>
          <w:szCs w:val="24"/>
        </w:rPr>
        <w:t>.</w:t>
      </w:r>
    </w:p>
    <w:p w:rsidR="006370F2" w:rsidRPr="00295D47" w:rsidRDefault="006370F2" w:rsidP="005A464E">
      <w:pPr>
        <w:spacing w:line="360" w:lineRule="auto"/>
        <w:jc w:val="both"/>
        <w:rPr>
          <w:rFonts w:asciiTheme="minorHAnsi" w:hAnsiTheme="minorHAnsi" w:cstheme="minorHAnsi"/>
          <w:sz w:val="24"/>
          <w:szCs w:val="24"/>
        </w:rPr>
      </w:pPr>
      <w:r w:rsidRPr="003238A7">
        <w:rPr>
          <w:b/>
          <w:sz w:val="24"/>
          <w:szCs w:val="24"/>
        </w:rPr>
        <w:t>Αιμορραγική διάθεση – θρομβοπενία</w:t>
      </w:r>
      <w:r w:rsidR="002C77B4" w:rsidRPr="003238A7">
        <w:rPr>
          <w:sz w:val="24"/>
          <w:szCs w:val="24"/>
        </w:rPr>
        <w:t xml:space="preserve">: </w:t>
      </w:r>
      <w:r w:rsidR="00630646" w:rsidRPr="003238A7">
        <w:rPr>
          <w:sz w:val="24"/>
          <w:szCs w:val="24"/>
        </w:rPr>
        <w:t xml:space="preserve">Ως </w:t>
      </w:r>
      <w:r w:rsidRPr="003238A7">
        <w:rPr>
          <w:sz w:val="24"/>
          <w:szCs w:val="24"/>
        </w:rPr>
        <w:t xml:space="preserve">αποτέλεσμα της θρομβοπενίας παρατηρείται </w:t>
      </w:r>
      <w:r w:rsidR="00B372A7" w:rsidRPr="003238A7">
        <w:rPr>
          <w:sz w:val="24"/>
          <w:szCs w:val="24"/>
        </w:rPr>
        <w:t>παράταση</w:t>
      </w:r>
      <w:r w:rsidRPr="003238A7">
        <w:rPr>
          <w:sz w:val="24"/>
          <w:szCs w:val="24"/>
        </w:rPr>
        <w:t xml:space="preserve"> του χρόνου ροής κατά 3-4 φορές, </w:t>
      </w:r>
      <w:r w:rsidR="00530C9C" w:rsidRPr="003238A7">
        <w:rPr>
          <w:sz w:val="24"/>
          <w:szCs w:val="24"/>
        </w:rPr>
        <w:t xml:space="preserve">παράταση </w:t>
      </w:r>
      <w:r w:rsidRPr="003238A7">
        <w:rPr>
          <w:sz w:val="24"/>
          <w:szCs w:val="24"/>
        </w:rPr>
        <w:t>του χρόνου</w:t>
      </w:r>
      <w:r w:rsidRPr="005A464E">
        <w:rPr>
          <w:sz w:val="24"/>
          <w:szCs w:val="24"/>
        </w:rPr>
        <w:t xml:space="preserve"> προθρομβίνης</w:t>
      </w:r>
      <w:r w:rsidR="00295D47">
        <w:rPr>
          <w:sz w:val="24"/>
          <w:szCs w:val="24"/>
        </w:rPr>
        <w:t xml:space="preserve"> και ελάττωση της </w:t>
      </w:r>
      <w:r w:rsidR="00295D47" w:rsidRPr="00295D47">
        <w:rPr>
          <w:rFonts w:asciiTheme="minorHAnsi" w:hAnsiTheme="minorHAnsi" w:cstheme="minorHAnsi"/>
          <w:sz w:val="24"/>
          <w:szCs w:val="24"/>
        </w:rPr>
        <w:t>αντιθρομβίνης (</w:t>
      </w:r>
      <w:r w:rsidR="00295D47" w:rsidRPr="00295D47">
        <w:rPr>
          <w:rFonts w:asciiTheme="minorHAnsi" w:hAnsiTheme="minorHAnsi" w:cstheme="minorHAnsi"/>
          <w:sz w:val="24"/>
          <w:szCs w:val="24"/>
          <w:shd w:val="clear" w:color="auto" w:fill="FFFFFF"/>
        </w:rPr>
        <w:t>Jalal</w:t>
      </w:r>
      <w:r w:rsidR="00295D47" w:rsidRPr="00295D47">
        <w:rPr>
          <w:rFonts w:asciiTheme="minorHAnsi" w:hAnsiTheme="minorHAnsi" w:cstheme="minorHAnsi"/>
          <w:color w:val="000000"/>
          <w:sz w:val="24"/>
          <w:szCs w:val="24"/>
          <w:shd w:val="clear" w:color="auto" w:fill="FFFFFF"/>
        </w:rPr>
        <w:t>, </w:t>
      </w:r>
      <w:r w:rsidR="00295D47" w:rsidRPr="00295D47">
        <w:rPr>
          <w:rFonts w:asciiTheme="minorHAnsi" w:hAnsiTheme="minorHAnsi" w:cstheme="minorHAnsi"/>
          <w:sz w:val="24"/>
          <w:szCs w:val="24"/>
          <w:shd w:val="clear" w:color="auto" w:fill="FFFFFF"/>
        </w:rPr>
        <w:t>Chonchol</w:t>
      </w:r>
      <w:r w:rsidR="00295D47" w:rsidRPr="00295D47">
        <w:rPr>
          <w:rFonts w:asciiTheme="minorHAnsi" w:hAnsiTheme="minorHAnsi" w:cstheme="minorHAnsi"/>
          <w:color w:val="000000"/>
          <w:sz w:val="24"/>
          <w:szCs w:val="24"/>
          <w:shd w:val="clear" w:color="auto" w:fill="FFFFFF"/>
        </w:rPr>
        <w:t xml:space="preserve">, &amp; </w:t>
      </w:r>
      <w:r w:rsidR="00295D47" w:rsidRPr="00295D47">
        <w:rPr>
          <w:rFonts w:asciiTheme="minorHAnsi" w:hAnsiTheme="minorHAnsi" w:cstheme="minorHAnsi"/>
          <w:sz w:val="24"/>
          <w:szCs w:val="24"/>
          <w:shd w:val="clear" w:color="auto" w:fill="FFFFFF"/>
        </w:rPr>
        <w:t>Targher, 2010).</w:t>
      </w:r>
    </w:p>
    <w:p w:rsidR="004A263F" w:rsidRPr="008D1D4D" w:rsidRDefault="004A263F" w:rsidP="005A464E">
      <w:pPr>
        <w:spacing w:line="360" w:lineRule="auto"/>
        <w:jc w:val="both"/>
        <w:rPr>
          <w:sz w:val="24"/>
          <w:szCs w:val="24"/>
        </w:rPr>
      </w:pPr>
      <w:r w:rsidRPr="005A464E">
        <w:rPr>
          <w:b/>
          <w:sz w:val="24"/>
          <w:szCs w:val="24"/>
        </w:rPr>
        <w:t>Αναπνευστικό σύστημα</w:t>
      </w:r>
      <w:r w:rsidRPr="005A464E">
        <w:rPr>
          <w:sz w:val="24"/>
          <w:szCs w:val="24"/>
        </w:rPr>
        <w:t xml:space="preserve">: </w:t>
      </w:r>
      <w:r w:rsidR="00630646">
        <w:rPr>
          <w:sz w:val="24"/>
          <w:szCs w:val="24"/>
        </w:rPr>
        <w:t>Η</w:t>
      </w:r>
      <w:r w:rsidRPr="005A464E">
        <w:rPr>
          <w:sz w:val="24"/>
          <w:szCs w:val="24"/>
        </w:rPr>
        <w:t xml:space="preserve"> μεταβολική οξέωση στη ΧΝΝ οδηγεί σε σύσπαση των αγγείων της πνευμονικής κυκλοφορίας και πνευμονικό οίδημα. </w:t>
      </w:r>
      <w:r w:rsidR="00B372A7" w:rsidRPr="005A464E">
        <w:rPr>
          <w:sz w:val="24"/>
          <w:szCs w:val="24"/>
        </w:rPr>
        <w:t>Επίσης,</w:t>
      </w:r>
      <w:r w:rsidRPr="005A464E">
        <w:rPr>
          <w:sz w:val="24"/>
          <w:szCs w:val="24"/>
        </w:rPr>
        <w:t xml:space="preserve"> παρατηρείται ελάττωση</w:t>
      </w:r>
      <w:r w:rsidR="00B372A7" w:rsidRPr="005A464E">
        <w:rPr>
          <w:sz w:val="24"/>
          <w:szCs w:val="24"/>
        </w:rPr>
        <w:t xml:space="preserve"> </w:t>
      </w:r>
      <w:r w:rsidRPr="005A464E">
        <w:rPr>
          <w:sz w:val="24"/>
          <w:szCs w:val="24"/>
        </w:rPr>
        <w:t>της ζωτικής χωρητικότητας και μείωση της διάχυση</w:t>
      </w:r>
      <w:r w:rsidR="00B372A7" w:rsidRPr="005A464E">
        <w:rPr>
          <w:sz w:val="24"/>
          <w:szCs w:val="24"/>
        </w:rPr>
        <w:t>ς</w:t>
      </w:r>
      <w:r w:rsidRPr="005A464E">
        <w:rPr>
          <w:sz w:val="24"/>
          <w:szCs w:val="24"/>
        </w:rPr>
        <w:t xml:space="preserve"> των αερίων στις κυψελιδικές μεμβράνες. Ακραία μορφή του πνευμονικού </w:t>
      </w:r>
      <w:r w:rsidR="00A01458">
        <w:rPr>
          <w:sz w:val="24"/>
          <w:szCs w:val="24"/>
        </w:rPr>
        <w:t>οιδ</w:t>
      </w:r>
      <w:r w:rsidR="00B372A7" w:rsidRPr="005A464E">
        <w:rPr>
          <w:sz w:val="24"/>
          <w:szCs w:val="24"/>
        </w:rPr>
        <w:t>ήματος</w:t>
      </w:r>
      <w:r w:rsidRPr="005A464E">
        <w:rPr>
          <w:sz w:val="24"/>
          <w:szCs w:val="24"/>
        </w:rPr>
        <w:t xml:space="preserve"> αποτελεί η ουραιμική πνευμονίτιδα όπου</w:t>
      </w:r>
      <w:r w:rsidR="00B372A7" w:rsidRPr="005A464E">
        <w:rPr>
          <w:sz w:val="24"/>
          <w:szCs w:val="24"/>
        </w:rPr>
        <w:t>,</w:t>
      </w:r>
      <w:r w:rsidRPr="005A464E">
        <w:rPr>
          <w:sz w:val="24"/>
          <w:szCs w:val="24"/>
        </w:rPr>
        <w:t xml:space="preserve"> εκτός από άθροιση υγρού στις κυψελίδες, υπάρχει και εναπόθεση ινικής</w:t>
      </w:r>
      <w:r w:rsidR="008D1D4D" w:rsidRPr="008D1D4D">
        <w:rPr>
          <w:sz w:val="24"/>
          <w:szCs w:val="24"/>
        </w:rPr>
        <w:t xml:space="preserve"> (</w:t>
      </w:r>
      <w:r w:rsidR="008D1D4D" w:rsidRPr="002042AF">
        <w:rPr>
          <w:rFonts w:asciiTheme="minorHAnsi" w:hAnsiTheme="minorHAnsi" w:cstheme="minorHAnsi"/>
          <w:sz w:val="24"/>
          <w:szCs w:val="24"/>
          <w:lang w:val="en-US"/>
        </w:rPr>
        <w:t>Halle</w:t>
      </w:r>
      <w:r w:rsidR="008D1D4D" w:rsidRPr="008D1D4D">
        <w:rPr>
          <w:rFonts w:asciiTheme="minorHAnsi" w:hAnsiTheme="minorHAnsi" w:cstheme="minorHAnsi"/>
          <w:sz w:val="24"/>
          <w:szCs w:val="24"/>
        </w:rPr>
        <w:t xml:space="preserve"> </w:t>
      </w:r>
      <w:r w:rsidR="008D1D4D">
        <w:rPr>
          <w:rFonts w:asciiTheme="minorHAnsi" w:hAnsiTheme="minorHAnsi" w:cstheme="minorHAnsi"/>
          <w:sz w:val="24"/>
          <w:szCs w:val="24"/>
          <w:lang w:val="en-US"/>
        </w:rPr>
        <w:t>et</w:t>
      </w:r>
      <w:r w:rsidR="008D1D4D" w:rsidRPr="008D1D4D">
        <w:rPr>
          <w:rFonts w:asciiTheme="minorHAnsi" w:hAnsiTheme="minorHAnsi" w:cstheme="minorHAnsi"/>
          <w:sz w:val="24"/>
          <w:szCs w:val="24"/>
        </w:rPr>
        <w:t xml:space="preserve"> </w:t>
      </w:r>
      <w:r w:rsidR="008D1D4D">
        <w:rPr>
          <w:rFonts w:asciiTheme="minorHAnsi" w:hAnsiTheme="minorHAnsi" w:cstheme="minorHAnsi"/>
          <w:sz w:val="24"/>
          <w:szCs w:val="24"/>
          <w:lang w:val="en-US"/>
        </w:rPr>
        <w:t>al</w:t>
      </w:r>
      <w:r w:rsidR="008D1D4D" w:rsidRPr="008D1D4D">
        <w:rPr>
          <w:rFonts w:asciiTheme="minorHAnsi" w:hAnsiTheme="minorHAnsi" w:cstheme="minorHAnsi"/>
          <w:sz w:val="24"/>
          <w:szCs w:val="24"/>
        </w:rPr>
        <w:t>., 2012).</w:t>
      </w:r>
    </w:p>
    <w:p w:rsidR="005B3DAB" w:rsidRPr="005A464E" w:rsidRDefault="005B3DAB" w:rsidP="005A464E">
      <w:pPr>
        <w:spacing w:line="360" w:lineRule="auto"/>
        <w:jc w:val="both"/>
        <w:rPr>
          <w:b/>
          <w:sz w:val="24"/>
          <w:szCs w:val="24"/>
        </w:rPr>
      </w:pPr>
      <w:r w:rsidRPr="005A464E">
        <w:rPr>
          <w:b/>
          <w:sz w:val="24"/>
          <w:szCs w:val="24"/>
        </w:rPr>
        <w:t>Νευρικό σύστημα</w:t>
      </w:r>
    </w:p>
    <w:p w:rsidR="005B3DAB" w:rsidRPr="000C2E9E" w:rsidRDefault="005B3DAB" w:rsidP="005A464E">
      <w:pPr>
        <w:spacing w:line="360" w:lineRule="auto"/>
        <w:jc w:val="both"/>
        <w:rPr>
          <w:sz w:val="24"/>
          <w:szCs w:val="24"/>
        </w:rPr>
      </w:pPr>
      <w:r w:rsidRPr="005A464E">
        <w:rPr>
          <w:i/>
          <w:sz w:val="24"/>
          <w:szCs w:val="24"/>
        </w:rPr>
        <w:t>Κ</w:t>
      </w:r>
      <w:r w:rsidR="00530C9C">
        <w:rPr>
          <w:i/>
          <w:sz w:val="24"/>
          <w:szCs w:val="24"/>
        </w:rPr>
        <w:t xml:space="preserve">εντρικό </w:t>
      </w:r>
      <w:r w:rsidRPr="005A464E">
        <w:rPr>
          <w:i/>
          <w:sz w:val="24"/>
          <w:szCs w:val="24"/>
        </w:rPr>
        <w:t>Ν</w:t>
      </w:r>
      <w:r w:rsidR="00530C9C">
        <w:rPr>
          <w:i/>
          <w:sz w:val="24"/>
          <w:szCs w:val="24"/>
        </w:rPr>
        <w:t xml:space="preserve">ευρικό </w:t>
      </w:r>
      <w:r w:rsidRPr="005A464E">
        <w:rPr>
          <w:i/>
          <w:sz w:val="24"/>
          <w:szCs w:val="24"/>
        </w:rPr>
        <w:t>Σ</w:t>
      </w:r>
      <w:r w:rsidR="00530C9C">
        <w:rPr>
          <w:i/>
          <w:sz w:val="24"/>
          <w:szCs w:val="24"/>
        </w:rPr>
        <w:t>ύστημα</w:t>
      </w:r>
      <w:r w:rsidRPr="000C2E9E">
        <w:rPr>
          <w:i/>
          <w:sz w:val="24"/>
          <w:szCs w:val="24"/>
        </w:rPr>
        <w:t xml:space="preserve">: </w:t>
      </w:r>
      <w:r w:rsidR="00ED3215" w:rsidRPr="000C2E9E">
        <w:rPr>
          <w:sz w:val="24"/>
          <w:szCs w:val="24"/>
        </w:rPr>
        <w:t>Ό</w:t>
      </w:r>
      <w:r w:rsidRPr="000C2E9E">
        <w:rPr>
          <w:sz w:val="24"/>
          <w:szCs w:val="24"/>
        </w:rPr>
        <w:t xml:space="preserve">ταν ο </w:t>
      </w:r>
      <w:r w:rsidR="00B84557" w:rsidRPr="000C2E9E">
        <w:rPr>
          <w:sz w:val="24"/>
          <w:szCs w:val="24"/>
        </w:rPr>
        <w:t>Ρυθμός Σπειραματικής Δ</w:t>
      </w:r>
      <w:r w:rsidR="00530C9C" w:rsidRPr="000C2E9E">
        <w:rPr>
          <w:sz w:val="24"/>
          <w:szCs w:val="24"/>
        </w:rPr>
        <w:t>ιήθησης μειωθεί (</w:t>
      </w:r>
      <w:r w:rsidRPr="000C2E9E">
        <w:rPr>
          <w:sz w:val="24"/>
          <w:szCs w:val="24"/>
          <w:lang w:val="en-US"/>
        </w:rPr>
        <w:t>GFR</w:t>
      </w:r>
      <w:r w:rsidR="00B372A7" w:rsidRPr="000C2E9E">
        <w:rPr>
          <w:sz w:val="24"/>
          <w:szCs w:val="24"/>
        </w:rPr>
        <w:t xml:space="preserve"> &lt;</w:t>
      </w:r>
      <w:r w:rsidR="004F2506" w:rsidRPr="000C2E9E">
        <w:rPr>
          <w:sz w:val="24"/>
          <w:szCs w:val="24"/>
        </w:rPr>
        <w:t>20</w:t>
      </w:r>
      <w:r w:rsidR="004A6D43" w:rsidRPr="000C2E9E">
        <w:rPr>
          <w:sz w:val="24"/>
          <w:szCs w:val="24"/>
          <w:lang w:val="en-US"/>
        </w:rPr>
        <w:t>mL</w:t>
      </w:r>
      <w:r w:rsidR="001C081D" w:rsidRPr="000C2E9E">
        <w:rPr>
          <w:sz w:val="24"/>
          <w:szCs w:val="24"/>
        </w:rPr>
        <w:t>/</w:t>
      </w:r>
      <w:r w:rsidRPr="000C2E9E">
        <w:rPr>
          <w:sz w:val="24"/>
          <w:szCs w:val="24"/>
          <w:lang w:val="en-US"/>
        </w:rPr>
        <w:t>min</w:t>
      </w:r>
      <w:r w:rsidR="00962CFF" w:rsidRPr="000C2E9E">
        <w:rPr>
          <w:sz w:val="24"/>
          <w:szCs w:val="24"/>
        </w:rPr>
        <w:t>/1,73</w:t>
      </w:r>
      <w:r w:rsidR="00AD54E2" w:rsidRPr="000C2E9E">
        <w:rPr>
          <w:sz w:val="24"/>
          <w:szCs w:val="24"/>
          <w:lang w:val="en-US"/>
        </w:rPr>
        <w:t>m</w:t>
      </w:r>
      <w:r w:rsidR="00962CFF" w:rsidRPr="000C2E9E">
        <w:rPr>
          <w:sz w:val="24"/>
          <w:szCs w:val="24"/>
          <w:vertAlign w:val="superscript"/>
        </w:rPr>
        <w:t>2</w:t>
      </w:r>
      <w:r w:rsidR="00530C9C" w:rsidRPr="000C2E9E">
        <w:rPr>
          <w:sz w:val="24"/>
          <w:szCs w:val="24"/>
        </w:rPr>
        <w:t>)</w:t>
      </w:r>
      <w:r w:rsidRPr="000C2E9E">
        <w:rPr>
          <w:sz w:val="24"/>
          <w:szCs w:val="24"/>
        </w:rPr>
        <w:t xml:space="preserve"> οι ασθε</w:t>
      </w:r>
      <w:r w:rsidR="00191D17" w:rsidRPr="000C2E9E">
        <w:rPr>
          <w:sz w:val="24"/>
          <w:szCs w:val="24"/>
        </w:rPr>
        <w:t>νείς παρουσιάζουν εύκολη κόπωση</w:t>
      </w:r>
      <w:r w:rsidRPr="000C2E9E">
        <w:rPr>
          <w:sz w:val="24"/>
          <w:szCs w:val="24"/>
        </w:rPr>
        <w:t>, αδυναμία συγκέντρωσης, καταβολή, διαταραχές ύπνου και μνήμης</w:t>
      </w:r>
      <w:r w:rsidR="00191D17" w:rsidRPr="000C2E9E">
        <w:rPr>
          <w:sz w:val="24"/>
          <w:szCs w:val="24"/>
        </w:rPr>
        <w:t>,</w:t>
      </w:r>
      <w:r w:rsidRPr="000C2E9E">
        <w:rPr>
          <w:sz w:val="24"/>
          <w:szCs w:val="24"/>
        </w:rPr>
        <w:t xml:space="preserve"> ενώ σε πιο προχωρημένο στάδιο υπάρχουν διαταραχές του προσανατολισμού, θόλωση της </w:t>
      </w:r>
      <w:r w:rsidR="00B84557" w:rsidRPr="000C2E9E">
        <w:rPr>
          <w:sz w:val="24"/>
          <w:szCs w:val="24"/>
        </w:rPr>
        <w:t>διαύγειας</w:t>
      </w:r>
      <w:r w:rsidRPr="000C2E9E">
        <w:rPr>
          <w:sz w:val="24"/>
          <w:szCs w:val="24"/>
        </w:rPr>
        <w:t>,</w:t>
      </w:r>
      <w:r w:rsidR="0078495A" w:rsidRPr="000C2E9E">
        <w:rPr>
          <w:sz w:val="24"/>
          <w:szCs w:val="24"/>
        </w:rPr>
        <w:t xml:space="preserve"> </w:t>
      </w:r>
      <w:r w:rsidRPr="000C2E9E">
        <w:rPr>
          <w:sz w:val="24"/>
          <w:szCs w:val="24"/>
        </w:rPr>
        <w:t>σύγχυση, λήθαργος, σπασμοί και τελικά κώμα.</w:t>
      </w:r>
    </w:p>
    <w:p w:rsidR="005B3DAB" w:rsidRPr="005A464E" w:rsidRDefault="00191D17" w:rsidP="005A464E">
      <w:pPr>
        <w:spacing w:line="360" w:lineRule="auto"/>
        <w:jc w:val="both"/>
        <w:rPr>
          <w:sz w:val="24"/>
          <w:szCs w:val="24"/>
        </w:rPr>
      </w:pPr>
      <w:r w:rsidRPr="000C2E9E">
        <w:rPr>
          <w:i/>
          <w:sz w:val="24"/>
          <w:szCs w:val="24"/>
        </w:rPr>
        <w:t>Περιφερικό Νευρικό Σ</w:t>
      </w:r>
      <w:r w:rsidR="005B3DAB" w:rsidRPr="000C2E9E">
        <w:rPr>
          <w:i/>
          <w:sz w:val="24"/>
          <w:szCs w:val="24"/>
        </w:rPr>
        <w:t>ύστημα</w:t>
      </w:r>
      <w:r w:rsidR="005B3DAB" w:rsidRPr="000C2E9E">
        <w:rPr>
          <w:sz w:val="24"/>
          <w:szCs w:val="24"/>
        </w:rPr>
        <w:t xml:space="preserve">: </w:t>
      </w:r>
      <w:r w:rsidR="00ED3215" w:rsidRPr="000C2E9E">
        <w:rPr>
          <w:sz w:val="24"/>
          <w:szCs w:val="24"/>
        </w:rPr>
        <w:t>Σ</w:t>
      </w:r>
      <w:r w:rsidR="00580695" w:rsidRPr="000C2E9E">
        <w:rPr>
          <w:sz w:val="24"/>
          <w:szCs w:val="24"/>
        </w:rPr>
        <w:t>τα πρώιμα στάδια εμφανίζεται το «σύνδρομο των ανήσυχων ποδιών»</w:t>
      </w:r>
      <w:r w:rsidR="0078495A" w:rsidRPr="000C2E9E">
        <w:rPr>
          <w:sz w:val="24"/>
          <w:szCs w:val="24"/>
        </w:rPr>
        <w:t xml:space="preserve"> </w:t>
      </w:r>
      <w:r w:rsidR="00580695" w:rsidRPr="000C2E9E">
        <w:rPr>
          <w:sz w:val="24"/>
          <w:szCs w:val="24"/>
        </w:rPr>
        <w:t xml:space="preserve">με κνησμό και αιμωδίες. </w:t>
      </w:r>
      <w:r w:rsidR="00B372A7" w:rsidRPr="000C2E9E">
        <w:rPr>
          <w:sz w:val="24"/>
          <w:szCs w:val="24"/>
        </w:rPr>
        <w:t>Ό</w:t>
      </w:r>
      <w:r w:rsidR="00206913" w:rsidRPr="000C2E9E">
        <w:rPr>
          <w:sz w:val="24"/>
          <w:szCs w:val="24"/>
        </w:rPr>
        <w:t xml:space="preserve">ταν ο </w:t>
      </w:r>
      <w:r w:rsidR="0096306B" w:rsidRPr="000C2E9E">
        <w:rPr>
          <w:sz w:val="24"/>
          <w:szCs w:val="24"/>
        </w:rPr>
        <w:t>Ρυθμός Σπειραματικής Διήθησης</w:t>
      </w:r>
      <w:r w:rsidR="00530C9C" w:rsidRPr="000C2E9E">
        <w:rPr>
          <w:sz w:val="24"/>
          <w:szCs w:val="24"/>
        </w:rPr>
        <w:t xml:space="preserve"> </w:t>
      </w:r>
      <w:r w:rsidR="00B84557" w:rsidRPr="000C2E9E">
        <w:rPr>
          <w:sz w:val="24"/>
          <w:szCs w:val="24"/>
        </w:rPr>
        <w:t xml:space="preserve">μειωθεί </w:t>
      </w:r>
      <w:r w:rsidR="00530C9C" w:rsidRPr="000C2E9E">
        <w:rPr>
          <w:sz w:val="24"/>
          <w:szCs w:val="24"/>
        </w:rPr>
        <w:t>(</w:t>
      </w:r>
      <w:r w:rsidR="00206913" w:rsidRPr="000C2E9E">
        <w:rPr>
          <w:sz w:val="24"/>
          <w:szCs w:val="24"/>
          <w:lang w:val="en-US"/>
        </w:rPr>
        <w:t>GFR</w:t>
      </w:r>
      <w:r w:rsidR="00206913" w:rsidRPr="000C2E9E">
        <w:rPr>
          <w:sz w:val="24"/>
          <w:szCs w:val="24"/>
        </w:rPr>
        <w:t xml:space="preserve">&lt;12 </w:t>
      </w:r>
      <w:r w:rsidR="004A6D43" w:rsidRPr="000C2E9E">
        <w:rPr>
          <w:sz w:val="24"/>
          <w:szCs w:val="24"/>
          <w:lang w:val="en-US"/>
        </w:rPr>
        <w:t>mL</w:t>
      </w:r>
      <w:r w:rsidR="00206913" w:rsidRPr="000C2E9E">
        <w:rPr>
          <w:sz w:val="24"/>
          <w:szCs w:val="24"/>
        </w:rPr>
        <w:t>/</w:t>
      </w:r>
      <w:r w:rsidR="00206913" w:rsidRPr="000C2E9E">
        <w:rPr>
          <w:sz w:val="24"/>
          <w:szCs w:val="24"/>
          <w:lang w:val="en-US"/>
        </w:rPr>
        <w:t>min</w:t>
      </w:r>
      <w:r w:rsidR="00962CFF" w:rsidRPr="000C2E9E">
        <w:rPr>
          <w:sz w:val="24"/>
          <w:szCs w:val="24"/>
        </w:rPr>
        <w:t>/1,73</w:t>
      </w:r>
      <w:r w:rsidR="00AD54E2" w:rsidRPr="000C2E9E">
        <w:rPr>
          <w:sz w:val="24"/>
          <w:szCs w:val="24"/>
          <w:lang w:val="en-US"/>
        </w:rPr>
        <w:t>m</w:t>
      </w:r>
      <w:r w:rsidR="00962CFF" w:rsidRPr="000C2E9E">
        <w:rPr>
          <w:sz w:val="24"/>
          <w:szCs w:val="24"/>
          <w:vertAlign w:val="superscript"/>
        </w:rPr>
        <w:t>2</w:t>
      </w:r>
      <w:r w:rsidR="00530C9C" w:rsidRPr="000C2E9E">
        <w:rPr>
          <w:sz w:val="24"/>
          <w:szCs w:val="24"/>
        </w:rPr>
        <w:t>)</w:t>
      </w:r>
      <w:r w:rsidR="00B372A7" w:rsidRPr="000C2E9E">
        <w:rPr>
          <w:sz w:val="24"/>
          <w:szCs w:val="24"/>
        </w:rPr>
        <w:t xml:space="preserve"> </w:t>
      </w:r>
      <w:r w:rsidR="005B3DAB" w:rsidRPr="000C2E9E">
        <w:rPr>
          <w:sz w:val="24"/>
          <w:szCs w:val="24"/>
        </w:rPr>
        <w:t>εμ</w:t>
      </w:r>
      <w:r w:rsidR="00206913" w:rsidRPr="000C2E9E">
        <w:rPr>
          <w:sz w:val="24"/>
          <w:szCs w:val="24"/>
        </w:rPr>
        <w:t>φανίζεται π</w:t>
      </w:r>
      <w:r w:rsidR="005B3DAB" w:rsidRPr="000C2E9E">
        <w:rPr>
          <w:sz w:val="24"/>
          <w:szCs w:val="24"/>
        </w:rPr>
        <w:t>εριφερικ</w:t>
      </w:r>
      <w:r w:rsidR="00206913" w:rsidRPr="000C2E9E">
        <w:rPr>
          <w:sz w:val="24"/>
          <w:szCs w:val="24"/>
        </w:rPr>
        <w:t>ή νευροπάθεια</w:t>
      </w:r>
      <w:r w:rsidR="00580695" w:rsidRPr="005A464E">
        <w:rPr>
          <w:sz w:val="24"/>
          <w:szCs w:val="24"/>
        </w:rPr>
        <w:t xml:space="preserve">, </w:t>
      </w:r>
      <w:r w:rsidR="00B372A7" w:rsidRPr="005A464E">
        <w:rPr>
          <w:sz w:val="24"/>
          <w:szCs w:val="24"/>
        </w:rPr>
        <w:t>μυϊκή κόπωση, α</w:t>
      </w:r>
      <w:r w:rsidR="00580695" w:rsidRPr="005A464E">
        <w:rPr>
          <w:sz w:val="24"/>
          <w:szCs w:val="24"/>
        </w:rPr>
        <w:t xml:space="preserve">τροφία, </w:t>
      </w:r>
      <w:r w:rsidR="00B372A7" w:rsidRPr="005A464E">
        <w:rPr>
          <w:sz w:val="24"/>
          <w:szCs w:val="24"/>
        </w:rPr>
        <w:t>μυϊκές</w:t>
      </w:r>
      <w:r w:rsidR="00580695" w:rsidRPr="005A464E">
        <w:rPr>
          <w:sz w:val="24"/>
          <w:szCs w:val="24"/>
        </w:rPr>
        <w:t xml:space="preserve"> </w:t>
      </w:r>
      <w:r w:rsidR="009B2A2B">
        <w:rPr>
          <w:sz w:val="24"/>
          <w:szCs w:val="24"/>
        </w:rPr>
        <w:t>συνολκές</w:t>
      </w:r>
      <w:r w:rsidR="00580695" w:rsidRPr="005A464E">
        <w:rPr>
          <w:sz w:val="24"/>
          <w:szCs w:val="24"/>
        </w:rPr>
        <w:t>, απώλεια του πόνου, της αφής, και της πίεσης.</w:t>
      </w:r>
    </w:p>
    <w:p w:rsidR="00580695" w:rsidRPr="000C2E9E" w:rsidRDefault="00580695" w:rsidP="005A464E">
      <w:pPr>
        <w:spacing w:line="360" w:lineRule="auto"/>
        <w:jc w:val="both"/>
        <w:rPr>
          <w:sz w:val="24"/>
          <w:szCs w:val="24"/>
        </w:rPr>
      </w:pPr>
      <w:r w:rsidRPr="000C2E9E">
        <w:rPr>
          <w:i/>
          <w:sz w:val="24"/>
          <w:szCs w:val="24"/>
        </w:rPr>
        <w:t xml:space="preserve">Αυτόνομο </w:t>
      </w:r>
      <w:r w:rsidR="00530C9C" w:rsidRPr="000C2E9E">
        <w:rPr>
          <w:i/>
          <w:sz w:val="24"/>
          <w:szCs w:val="24"/>
        </w:rPr>
        <w:t>Ν</w:t>
      </w:r>
      <w:r w:rsidRPr="000C2E9E">
        <w:rPr>
          <w:i/>
          <w:sz w:val="24"/>
          <w:szCs w:val="24"/>
        </w:rPr>
        <w:t xml:space="preserve">ευρικό </w:t>
      </w:r>
      <w:r w:rsidR="00530C9C" w:rsidRPr="000C2E9E">
        <w:rPr>
          <w:i/>
          <w:sz w:val="24"/>
          <w:szCs w:val="24"/>
        </w:rPr>
        <w:t>Σ</w:t>
      </w:r>
      <w:r w:rsidRPr="000C2E9E">
        <w:rPr>
          <w:i/>
          <w:sz w:val="24"/>
          <w:szCs w:val="24"/>
        </w:rPr>
        <w:t>ύστημα</w:t>
      </w:r>
      <w:r w:rsidRPr="000C2E9E">
        <w:rPr>
          <w:sz w:val="24"/>
          <w:szCs w:val="24"/>
        </w:rPr>
        <w:t xml:space="preserve">: </w:t>
      </w:r>
      <w:r w:rsidR="00530C9C" w:rsidRPr="000C2E9E">
        <w:rPr>
          <w:sz w:val="24"/>
          <w:szCs w:val="24"/>
        </w:rPr>
        <w:t>Μ</w:t>
      </w:r>
      <w:r w:rsidRPr="000C2E9E">
        <w:rPr>
          <w:sz w:val="24"/>
          <w:szCs w:val="24"/>
        </w:rPr>
        <w:t>είωση ικανότητας παραγωγής ιδρώτα</w:t>
      </w:r>
      <w:r w:rsidR="008D1D4D" w:rsidRPr="000C2E9E">
        <w:rPr>
          <w:sz w:val="24"/>
          <w:szCs w:val="24"/>
        </w:rPr>
        <w:t xml:space="preserve"> (</w:t>
      </w:r>
      <w:r w:rsidR="008D1D4D" w:rsidRPr="000C2E9E">
        <w:rPr>
          <w:rFonts w:asciiTheme="minorHAnsi" w:hAnsiTheme="minorHAnsi" w:cstheme="minorHAnsi"/>
          <w:sz w:val="24"/>
          <w:szCs w:val="24"/>
          <w:shd w:val="clear" w:color="auto" w:fill="FFFFFF"/>
          <w:lang w:val="en-US"/>
        </w:rPr>
        <w:t>Arnold</w:t>
      </w:r>
      <w:r w:rsidR="008D1D4D" w:rsidRPr="000C2E9E">
        <w:rPr>
          <w:rFonts w:asciiTheme="minorHAnsi" w:hAnsiTheme="minorHAnsi" w:cstheme="minorHAnsi"/>
          <w:sz w:val="24"/>
          <w:szCs w:val="24"/>
          <w:shd w:val="clear" w:color="auto" w:fill="FFFFFF"/>
        </w:rPr>
        <w:t xml:space="preserve">, </w:t>
      </w:r>
      <w:r w:rsidR="008D1D4D" w:rsidRPr="000C2E9E">
        <w:rPr>
          <w:rFonts w:asciiTheme="minorHAnsi" w:hAnsiTheme="minorHAnsi" w:cstheme="minorHAnsi"/>
          <w:sz w:val="24"/>
          <w:szCs w:val="24"/>
          <w:shd w:val="clear" w:color="auto" w:fill="FFFFFF"/>
          <w:lang w:val="en-US"/>
        </w:rPr>
        <w:t>Issar</w:t>
      </w:r>
      <w:r w:rsidR="008D1D4D" w:rsidRPr="000C2E9E">
        <w:rPr>
          <w:rFonts w:asciiTheme="minorHAnsi" w:hAnsiTheme="minorHAnsi" w:cstheme="minorHAnsi"/>
          <w:sz w:val="24"/>
          <w:szCs w:val="24"/>
          <w:shd w:val="clear" w:color="auto" w:fill="FFFFFF"/>
        </w:rPr>
        <w:t xml:space="preserve">, </w:t>
      </w:r>
      <w:r w:rsidR="008D1D4D" w:rsidRPr="000C2E9E">
        <w:rPr>
          <w:rFonts w:asciiTheme="minorHAnsi" w:hAnsiTheme="minorHAnsi" w:cstheme="minorHAnsi"/>
          <w:sz w:val="24"/>
          <w:szCs w:val="24"/>
          <w:shd w:val="clear" w:color="auto" w:fill="FFFFFF"/>
          <w:lang w:val="en-US"/>
        </w:rPr>
        <w:t>Krishnan</w:t>
      </w:r>
      <w:r w:rsidR="008D1D4D" w:rsidRPr="000C2E9E">
        <w:rPr>
          <w:rFonts w:asciiTheme="minorHAnsi" w:hAnsiTheme="minorHAnsi" w:cstheme="minorHAnsi"/>
          <w:sz w:val="24"/>
          <w:szCs w:val="24"/>
          <w:shd w:val="clear" w:color="auto" w:fill="FFFFFF"/>
        </w:rPr>
        <w:t xml:space="preserve">, &amp; </w:t>
      </w:r>
      <w:r w:rsidR="008D1D4D" w:rsidRPr="000C2E9E">
        <w:rPr>
          <w:rFonts w:asciiTheme="minorHAnsi" w:hAnsiTheme="minorHAnsi" w:cstheme="minorHAnsi"/>
          <w:sz w:val="24"/>
          <w:szCs w:val="24"/>
          <w:shd w:val="clear" w:color="auto" w:fill="FFFFFF"/>
          <w:lang w:val="en-US"/>
        </w:rPr>
        <w:t>Pussell</w:t>
      </w:r>
      <w:r w:rsidR="008D1D4D" w:rsidRPr="000C2E9E">
        <w:rPr>
          <w:rFonts w:asciiTheme="minorHAnsi" w:hAnsiTheme="minorHAnsi" w:cstheme="minorHAnsi"/>
          <w:sz w:val="24"/>
          <w:szCs w:val="24"/>
          <w:shd w:val="clear" w:color="auto" w:fill="FFFFFF"/>
        </w:rPr>
        <w:t>, 2016)</w:t>
      </w:r>
      <w:r w:rsidRPr="000C2E9E">
        <w:rPr>
          <w:sz w:val="24"/>
          <w:szCs w:val="24"/>
        </w:rPr>
        <w:t>.</w:t>
      </w:r>
    </w:p>
    <w:p w:rsidR="00580695" w:rsidRPr="000C2E9E" w:rsidRDefault="00580695" w:rsidP="005A464E">
      <w:pPr>
        <w:spacing w:line="360" w:lineRule="auto"/>
        <w:jc w:val="both"/>
        <w:rPr>
          <w:sz w:val="24"/>
          <w:szCs w:val="24"/>
        </w:rPr>
      </w:pPr>
      <w:r w:rsidRPr="000C2E9E">
        <w:rPr>
          <w:b/>
          <w:sz w:val="24"/>
          <w:szCs w:val="24"/>
        </w:rPr>
        <w:t>Γαστρεντερικό σύστημα</w:t>
      </w:r>
      <w:r w:rsidRPr="000C2E9E">
        <w:rPr>
          <w:sz w:val="24"/>
          <w:szCs w:val="24"/>
        </w:rPr>
        <w:t xml:space="preserve">: </w:t>
      </w:r>
      <w:r w:rsidR="00530C9C" w:rsidRPr="000C2E9E">
        <w:rPr>
          <w:sz w:val="24"/>
          <w:szCs w:val="24"/>
        </w:rPr>
        <w:t>Α</w:t>
      </w:r>
      <w:r w:rsidRPr="000C2E9E">
        <w:rPr>
          <w:sz w:val="24"/>
          <w:szCs w:val="24"/>
        </w:rPr>
        <w:t xml:space="preserve">νορεξία, </w:t>
      </w:r>
      <w:r w:rsidR="00B372A7" w:rsidRPr="000C2E9E">
        <w:rPr>
          <w:sz w:val="24"/>
          <w:szCs w:val="24"/>
        </w:rPr>
        <w:t>ναυτία</w:t>
      </w:r>
      <w:r w:rsidRPr="000C2E9E">
        <w:rPr>
          <w:sz w:val="24"/>
          <w:szCs w:val="24"/>
        </w:rPr>
        <w:t>, έμετος, μεταλλική γεύση, αιμορραγία από το γαστρεντερικό λόγω δυσλειτουργίας των αιμοπεταλίων είναι συχνά συμπτώματα</w:t>
      </w:r>
      <w:r w:rsidR="00BE5328" w:rsidRPr="000C2E9E">
        <w:rPr>
          <w:sz w:val="24"/>
          <w:szCs w:val="24"/>
        </w:rPr>
        <w:t xml:space="preserve"> (</w:t>
      </w:r>
      <w:r w:rsidR="00BE5328" w:rsidRPr="000C2E9E">
        <w:rPr>
          <w:sz w:val="24"/>
          <w:szCs w:val="24"/>
          <w:lang w:val="en-US"/>
        </w:rPr>
        <w:t>Thomas</w:t>
      </w:r>
      <w:r w:rsidR="00BE5328" w:rsidRPr="000C2E9E">
        <w:rPr>
          <w:sz w:val="24"/>
          <w:szCs w:val="24"/>
        </w:rPr>
        <w:t xml:space="preserve"> </w:t>
      </w:r>
      <w:r w:rsidR="00BE5328" w:rsidRPr="000C2E9E">
        <w:rPr>
          <w:sz w:val="24"/>
          <w:szCs w:val="24"/>
          <w:lang w:val="en-US"/>
        </w:rPr>
        <w:t>et</w:t>
      </w:r>
      <w:r w:rsidR="00BE5328" w:rsidRPr="000C2E9E">
        <w:rPr>
          <w:sz w:val="24"/>
          <w:szCs w:val="24"/>
        </w:rPr>
        <w:t xml:space="preserve"> </w:t>
      </w:r>
      <w:r w:rsidR="00BE5328" w:rsidRPr="000C2E9E">
        <w:rPr>
          <w:sz w:val="24"/>
          <w:szCs w:val="24"/>
          <w:lang w:val="en-US"/>
        </w:rPr>
        <w:t>al</w:t>
      </w:r>
      <w:r w:rsidRPr="000C2E9E">
        <w:rPr>
          <w:sz w:val="24"/>
          <w:szCs w:val="24"/>
        </w:rPr>
        <w:t>.</w:t>
      </w:r>
      <w:r w:rsidR="00BE5328" w:rsidRPr="000C2E9E">
        <w:rPr>
          <w:sz w:val="24"/>
          <w:szCs w:val="24"/>
        </w:rPr>
        <w:t>, 2013</w:t>
      </w:r>
      <w:r w:rsidR="00074DED" w:rsidRPr="000C2E9E">
        <w:rPr>
          <w:sz w:val="24"/>
          <w:szCs w:val="24"/>
        </w:rPr>
        <w:t>;</w:t>
      </w:r>
      <w:r w:rsidR="00074DED" w:rsidRPr="000C2E9E">
        <w:rPr>
          <w:rFonts w:ascii="Arial" w:hAnsi="Arial" w:cs="Arial"/>
          <w:color w:val="222222"/>
          <w:sz w:val="20"/>
          <w:szCs w:val="20"/>
          <w:shd w:val="clear" w:color="auto" w:fill="FFFFFF"/>
        </w:rPr>
        <w:t xml:space="preserve"> </w:t>
      </w:r>
      <w:r w:rsidR="00074DED" w:rsidRPr="000C2E9E">
        <w:rPr>
          <w:rFonts w:cs="Calibri"/>
          <w:sz w:val="24"/>
          <w:szCs w:val="24"/>
          <w:shd w:val="clear" w:color="auto" w:fill="FFFFFF"/>
        </w:rPr>
        <w:t>Pugh‐Clarke, Read, &amp; Sim, 2017</w:t>
      </w:r>
      <w:r w:rsidR="00BE5328" w:rsidRPr="000C2E9E">
        <w:rPr>
          <w:rFonts w:cs="Calibri"/>
          <w:sz w:val="24"/>
          <w:szCs w:val="24"/>
        </w:rPr>
        <w:t>).</w:t>
      </w:r>
    </w:p>
    <w:p w:rsidR="00580695" w:rsidRPr="00666053" w:rsidRDefault="00580695" w:rsidP="005A464E">
      <w:pPr>
        <w:spacing w:line="360" w:lineRule="auto"/>
        <w:jc w:val="both"/>
        <w:rPr>
          <w:rFonts w:cs="Calibri"/>
          <w:sz w:val="24"/>
          <w:szCs w:val="24"/>
        </w:rPr>
      </w:pPr>
      <w:r w:rsidRPr="000C2E9E">
        <w:rPr>
          <w:b/>
          <w:sz w:val="24"/>
          <w:szCs w:val="24"/>
        </w:rPr>
        <w:t>Δέρμα</w:t>
      </w:r>
      <w:r w:rsidRPr="000C2E9E">
        <w:rPr>
          <w:sz w:val="24"/>
          <w:szCs w:val="24"/>
        </w:rPr>
        <w:t>:</w:t>
      </w:r>
      <w:r w:rsidR="00B372A7" w:rsidRPr="000C2E9E">
        <w:rPr>
          <w:sz w:val="24"/>
          <w:szCs w:val="24"/>
        </w:rPr>
        <w:t xml:space="preserve"> </w:t>
      </w:r>
      <w:r w:rsidR="00530C9C" w:rsidRPr="000C2E9E">
        <w:rPr>
          <w:sz w:val="24"/>
          <w:szCs w:val="24"/>
        </w:rPr>
        <w:t>Ε</w:t>
      </w:r>
      <w:r w:rsidRPr="000C2E9E">
        <w:rPr>
          <w:sz w:val="24"/>
          <w:szCs w:val="24"/>
        </w:rPr>
        <w:t>ίναι συχνός ο κνησμός λόγω του δευτεροπαθούς υπερπαραθυρεοειδισμού ή του αυξ</w:t>
      </w:r>
      <w:r w:rsidR="00ED3215" w:rsidRPr="000C2E9E">
        <w:rPr>
          <w:sz w:val="24"/>
          <w:szCs w:val="24"/>
        </w:rPr>
        <w:t>ημένου φωσφόρου στο πλάσμα και της</w:t>
      </w:r>
      <w:r w:rsidRPr="000C2E9E">
        <w:rPr>
          <w:sz w:val="24"/>
          <w:szCs w:val="24"/>
        </w:rPr>
        <w:t xml:space="preserve"> εναπόθεση</w:t>
      </w:r>
      <w:r w:rsidR="00ED3215" w:rsidRPr="000C2E9E">
        <w:rPr>
          <w:sz w:val="24"/>
          <w:szCs w:val="24"/>
        </w:rPr>
        <w:t>ς</w:t>
      </w:r>
      <w:r w:rsidRPr="000C2E9E">
        <w:rPr>
          <w:sz w:val="24"/>
          <w:szCs w:val="24"/>
        </w:rPr>
        <w:t xml:space="preserve"> κρυστάλλων</w:t>
      </w:r>
      <w:r w:rsidRPr="005A464E">
        <w:rPr>
          <w:sz w:val="24"/>
          <w:szCs w:val="24"/>
        </w:rPr>
        <w:t xml:space="preserve"> του στο δέρμα. Το «γαιώδες</w:t>
      </w:r>
      <w:r w:rsidRPr="00666053">
        <w:rPr>
          <w:rFonts w:cs="Calibri"/>
          <w:sz w:val="24"/>
          <w:szCs w:val="24"/>
        </w:rPr>
        <w:t>»</w:t>
      </w:r>
      <w:r w:rsidR="00B372A7" w:rsidRPr="00666053">
        <w:rPr>
          <w:rFonts w:cs="Calibri"/>
          <w:sz w:val="24"/>
          <w:szCs w:val="24"/>
        </w:rPr>
        <w:t xml:space="preserve"> </w:t>
      </w:r>
      <w:r w:rsidRPr="00666053">
        <w:rPr>
          <w:rFonts w:cs="Calibri"/>
          <w:sz w:val="24"/>
          <w:szCs w:val="24"/>
        </w:rPr>
        <w:t xml:space="preserve">χρώμα των ασθενών με ΧΝΝ οφείλεται στην εναπόθεση κρυστάλλων </w:t>
      </w:r>
      <w:r w:rsidRPr="007C3D2F">
        <w:rPr>
          <w:rFonts w:cs="Calibri"/>
          <w:sz w:val="24"/>
          <w:szCs w:val="24"/>
        </w:rPr>
        <w:t>ουρίας</w:t>
      </w:r>
      <w:r w:rsidR="008D1D4D" w:rsidRPr="007C3D2F">
        <w:rPr>
          <w:rFonts w:cs="Calibri"/>
          <w:sz w:val="24"/>
          <w:szCs w:val="24"/>
        </w:rPr>
        <w:t xml:space="preserve"> (</w:t>
      </w:r>
      <w:r w:rsidR="008D1D4D" w:rsidRPr="007C3D2F">
        <w:rPr>
          <w:rFonts w:cs="Calibri"/>
          <w:sz w:val="24"/>
          <w:szCs w:val="24"/>
          <w:lang w:val="en-US"/>
        </w:rPr>
        <w:t>Gagnon</w:t>
      </w:r>
      <w:r w:rsidR="008D1D4D" w:rsidRPr="007C3D2F">
        <w:rPr>
          <w:rFonts w:cs="Calibri"/>
          <w:sz w:val="24"/>
          <w:szCs w:val="24"/>
        </w:rPr>
        <w:t xml:space="preserve"> &amp; </w:t>
      </w:r>
      <w:r w:rsidR="008D1D4D" w:rsidRPr="007C3D2F">
        <w:rPr>
          <w:rFonts w:cs="Calibri"/>
          <w:sz w:val="24"/>
          <w:szCs w:val="24"/>
          <w:lang w:val="en-US"/>
        </w:rPr>
        <w:t>Desai</w:t>
      </w:r>
      <w:r w:rsidR="008D1D4D" w:rsidRPr="007C3D2F">
        <w:rPr>
          <w:rFonts w:cs="Calibri"/>
          <w:sz w:val="24"/>
          <w:szCs w:val="24"/>
        </w:rPr>
        <w:t>, 2013</w:t>
      </w:r>
      <w:r w:rsidR="00666053" w:rsidRPr="007C3D2F">
        <w:rPr>
          <w:rFonts w:cs="Calibri"/>
          <w:sz w:val="24"/>
          <w:szCs w:val="24"/>
        </w:rPr>
        <w:t xml:space="preserve">; </w:t>
      </w:r>
      <w:r w:rsidR="00666053" w:rsidRPr="007C3D2F">
        <w:rPr>
          <w:rFonts w:cs="Calibri"/>
          <w:sz w:val="24"/>
          <w:szCs w:val="24"/>
          <w:shd w:val="clear" w:color="auto" w:fill="FFFFFF"/>
        </w:rPr>
        <w:t>Baghel, Awasthi, &amp; Kumar, 2017).</w:t>
      </w:r>
      <w:r w:rsidR="00666053" w:rsidRPr="00666053">
        <w:rPr>
          <w:rFonts w:cs="Calibri"/>
          <w:color w:val="222222"/>
          <w:sz w:val="24"/>
          <w:szCs w:val="24"/>
          <w:shd w:val="clear" w:color="auto" w:fill="FFFFFF"/>
        </w:rPr>
        <w:t xml:space="preserve"> </w:t>
      </w:r>
    </w:p>
    <w:p w:rsidR="00FF759C" w:rsidRPr="000C2E9E" w:rsidRDefault="00580695" w:rsidP="005A464E">
      <w:pPr>
        <w:spacing w:line="360" w:lineRule="auto"/>
        <w:jc w:val="both"/>
        <w:rPr>
          <w:rFonts w:asciiTheme="minorHAnsi" w:hAnsiTheme="minorHAnsi" w:cstheme="minorHAnsi"/>
          <w:sz w:val="24"/>
          <w:szCs w:val="24"/>
        </w:rPr>
      </w:pPr>
      <w:r w:rsidRPr="005A464E">
        <w:rPr>
          <w:b/>
          <w:sz w:val="24"/>
          <w:szCs w:val="24"/>
        </w:rPr>
        <w:t>Ενδοκρινικές διαταραχές</w:t>
      </w:r>
      <w:r w:rsidRPr="005A464E">
        <w:rPr>
          <w:sz w:val="24"/>
          <w:szCs w:val="24"/>
        </w:rPr>
        <w:t xml:space="preserve">: </w:t>
      </w:r>
      <w:r w:rsidR="00FF759C" w:rsidRPr="005A464E">
        <w:rPr>
          <w:sz w:val="24"/>
          <w:szCs w:val="24"/>
        </w:rPr>
        <w:t xml:space="preserve">Υποθυρεοειδισμός, μειωμένη </w:t>
      </w:r>
      <w:r w:rsidR="00FF759C" w:rsidRPr="005A464E">
        <w:rPr>
          <w:sz w:val="24"/>
          <w:szCs w:val="24"/>
          <w:lang w:val="en-US"/>
        </w:rPr>
        <w:t>libido</w:t>
      </w:r>
      <w:r w:rsidR="00FF759C" w:rsidRPr="005A464E">
        <w:rPr>
          <w:sz w:val="24"/>
          <w:szCs w:val="24"/>
        </w:rPr>
        <w:t>, μειωμένη παραγωγή σπέρματος, διαταραχές έμμηνου ρύσης, χαμηλά επίπεδα οιστρογόνων και προγεστερόν</w:t>
      </w:r>
      <w:r w:rsidR="00B372A7" w:rsidRPr="005A464E">
        <w:rPr>
          <w:sz w:val="24"/>
          <w:szCs w:val="24"/>
        </w:rPr>
        <w:t>ης και αυξημένα επίπεδα προλακτί</w:t>
      </w:r>
      <w:r w:rsidR="00994789">
        <w:rPr>
          <w:sz w:val="24"/>
          <w:szCs w:val="24"/>
        </w:rPr>
        <w:t>νης στον ορό</w:t>
      </w:r>
      <w:r w:rsidR="00994789" w:rsidRPr="00994789">
        <w:rPr>
          <w:sz w:val="24"/>
          <w:szCs w:val="24"/>
        </w:rPr>
        <w:t xml:space="preserve"> </w:t>
      </w:r>
      <w:r w:rsidR="00994789" w:rsidRPr="00994789">
        <w:rPr>
          <w:rFonts w:asciiTheme="minorHAnsi" w:hAnsiTheme="minorHAnsi" w:cstheme="minorHAnsi"/>
          <w:sz w:val="24"/>
          <w:szCs w:val="24"/>
        </w:rPr>
        <w:t>(</w:t>
      </w:r>
      <w:hyperlink r:id="rId17" w:history="1">
        <w:r w:rsidR="00994789">
          <w:rPr>
            <w:rStyle w:val="-"/>
            <w:rFonts w:asciiTheme="minorHAnsi" w:hAnsiTheme="minorHAnsi" w:cstheme="minorHAnsi"/>
            <w:color w:val="auto"/>
            <w:sz w:val="24"/>
            <w:szCs w:val="24"/>
            <w:u w:val="none"/>
            <w:shd w:val="clear" w:color="auto" w:fill="FFFFFF"/>
          </w:rPr>
          <w:t>Krysiak</w:t>
        </w:r>
      </w:hyperlink>
      <w:r w:rsidR="00994789" w:rsidRPr="00994789">
        <w:rPr>
          <w:rFonts w:asciiTheme="minorHAnsi" w:hAnsiTheme="minorHAnsi" w:cstheme="minorHAnsi"/>
          <w:sz w:val="24"/>
          <w:szCs w:val="24"/>
          <w:shd w:val="clear" w:color="auto" w:fill="FFFFFF"/>
        </w:rPr>
        <w:t>, </w:t>
      </w:r>
      <w:hyperlink r:id="rId18" w:history="1">
        <w:r w:rsidR="00994789" w:rsidRPr="00994789">
          <w:rPr>
            <w:rStyle w:val="-"/>
            <w:rFonts w:asciiTheme="minorHAnsi" w:hAnsiTheme="minorHAnsi" w:cstheme="minorHAnsi"/>
            <w:color w:val="auto"/>
            <w:sz w:val="24"/>
            <w:szCs w:val="24"/>
            <w:u w:val="none"/>
            <w:shd w:val="clear" w:color="auto" w:fill="FFFFFF"/>
          </w:rPr>
          <w:t xml:space="preserve">Kędzia, </w:t>
        </w:r>
      </w:hyperlink>
      <w:hyperlink r:id="rId19" w:history="1">
        <w:r w:rsidR="00994789">
          <w:rPr>
            <w:rStyle w:val="-"/>
            <w:rFonts w:asciiTheme="minorHAnsi" w:hAnsiTheme="minorHAnsi" w:cstheme="minorHAnsi"/>
            <w:color w:val="auto"/>
            <w:sz w:val="24"/>
            <w:szCs w:val="24"/>
            <w:u w:val="none"/>
            <w:shd w:val="clear" w:color="auto" w:fill="FFFFFF"/>
          </w:rPr>
          <w:t>Krupej-Kędzierska</w:t>
        </w:r>
      </w:hyperlink>
      <w:r w:rsidR="00994789" w:rsidRPr="00994789">
        <w:rPr>
          <w:rFonts w:asciiTheme="minorHAnsi" w:hAnsiTheme="minorHAnsi" w:cstheme="minorHAnsi"/>
          <w:sz w:val="24"/>
          <w:szCs w:val="24"/>
          <w:shd w:val="clear" w:color="auto" w:fill="FFFFFF"/>
        </w:rPr>
        <w:t>, </w:t>
      </w:r>
      <w:hyperlink r:id="rId20" w:history="1">
        <w:r w:rsidR="00994789">
          <w:rPr>
            <w:rStyle w:val="-"/>
            <w:rFonts w:asciiTheme="minorHAnsi" w:hAnsiTheme="minorHAnsi" w:cstheme="minorHAnsi"/>
            <w:color w:val="auto"/>
            <w:sz w:val="24"/>
            <w:szCs w:val="24"/>
            <w:u w:val="none"/>
            <w:shd w:val="clear" w:color="auto" w:fill="FFFFFF"/>
          </w:rPr>
          <w:t>Kowalska</w:t>
        </w:r>
      </w:hyperlink>
      <w:r w:rsidR="00994789" w:rsidRPr="00994789">
        <w:rPr>
          <w:rFonts w:asciiTheme="minorHAnsi" w:hAnsiTheme="minorHAnsi" w:cstheme="minorHAnsi"/>
          <w:sz w:val="24"/>
          <w:szCs w:val="24"/>
          <w:shd w:val="clear" w:color="auto" w:fill="FFFFFF"/>
        </w:rPr>
        <w:t xml:space="preserve">, &amp; </w:t>
      </w:r>
      <w:hyperlink r:id="rId21" w:history="1">
        <w:r w:rsidR="00994789" w:rsidRPr="000C2E9E">
          <w:rPr>
            <w:rStyle w:val="-"/>
            <w:rFonts w:asciiTheme="minorHAnsi" w:hAnsiTheme="minorHAnsi" w:cstheme="minorHAnsi"/>
            <w:color w:val="auto"/>
            <w:sz w:val="24"/>
            <w:szCs w:val="24"/>
            <w:u w:val="none"/>
            <w:shd w:val="clear" w:color="auto" w:fill="FFFFFF"/>
          </w:rPr>
          <w:t>Okopień,</w:t>
        </w:r>
      </w:hyperlink>
      <w:r w:rsidR="00994789" w:rsidRPr="000C2E9E">
        <w:rPr>
          <w:rFonts w:asciiTheme="minorHAnsi" w:hAnsiTheme="minorHAnsi" w:cstheme="minorHAnsi"/>
          <w:sz w:val="24"/>
          <w:szCs w:val="24"/>
        </w:rPr>
        <w:t xml:space="preserve"> 2015</w:t>
      </w:r>
      <w:r w:rsidR="00666053" w:rsidRPr="000C2E9E">
        <w:rPr>
          <w:rFonts w:asciiTheme="minorHAnsi" w:hAnsiTheme="minorHAnsi" w:cstheme="minorHAnsi"/>
          <w:sz w:val="24"/>
          <w:szCs w:val="24"/>
        </w:rPr>
        <w:t xml:space="preserve">; </w:t>
      </w:r>
      <w:r w:rsidR="00666053" w:rsidRPr="000C2E9E">
        <w:rPr>
          <w:rFonts w:asciiTheme="minorHAnsi" w:hAnsiTheme="minorHAnsi" w:cstheme="minorHAnsi"/>
          <w:sz w:val="24"/>
          <w:szCs w:val="24"/>
          <w:lang w:val="en-US"/>
        </w:rPr>
        <w:t>Momeni</w:t>
      </w:r>
      <w:r w:rsidR="00666053" w:rsidRPr="000C2E9E">
        <w:rPr>
          <w:rFonts w:asciiTheme="minorHAnsi" w:hAnsiTheme="minorHAnsi" w:cstheme="minorHAnsi"/>
          <w:sz w:val="24"/>
          <w:szCs w:val="24"/>
        </w:rPr>
        <w:t>, 2016</w:t>
      </w:r>
      <w:r w:rsidR="00994789" w:rsidRPr="000C2E9E">
        <w:rPr>
          <w:rFonts w:asciiTheme="minorHAnsi" w:hAnsiTheme="minorHAnsi" w:cstheme="minorHAnsi"/>
          <w:sz w:val="24"/>
          <w:szCs w:val="24"/>
        </w:rPr>
        <w:t>).</w:t>
      </w:r>
    </w:p>
    <w:p w:rsidR="00FF759C" w:rsidRPr="000C2E9E" w:rsidRDefault="00FF759C" w:rsidP="005A464E">
      <w:pPr>
        <w:spacing w:line="360" w:lineRule="auto"/>
        <w:jc w:val="both"/>
        <w:rPr>
          <w:sz w:val="24"/>
          <w:szCs w:val="24"/>
        </w:rPr>
      </w:pPr>
      <w:r w:rsidRPr="000C2E9E">
        <w:rPr>
          <w:b/>
          <w:sz w:val="24"/>
          <w:szCs w:val="24"/>
        </w:rPr>
        <w:t>Αναστολή της ανάπτυξης σε παιδιά</w:t>
      </w:r>
      <w:r w:rsidRPr="000C2E9E">
        <w:rPr>
          <w:sz w:val="24"/>
          <w:szCs w:val="24"/>
        </w:rPr>
        <w:t xml:space="preserve">: </w:t>
      </w:r>
      <w:r w:rsidR="00B84557" w:rsidRPr="000C2E9E">
        <w:rPr>
          <w:sz w:val="24"/>
          <w:szCs w:val="24"/>
        </w:rPr>
        <w:t>Ο</w:t>
      </w:r>
      <w:r w:rsidRPr="000C2E9E">
        <w:rPr>
          <w:sz w:val="24"/>
          <w:szCs w:val="24"/>
        </w:rPr>
        <w:t>φείλεται σε πρόωρη σύγκλιση των επιφύσεων των οστών, στην</w:t>
      </w:r>
      <w:r w:rsidR="0078495A" w:rsidRPr="000C2E9E">
        <w:rPr>
          <w:sz w:val="24"/>
          <w:szCs w:val="24"/>
        </w:rPr>
        <w:t xml:space="preserve"> </w:t>
      </w:r>
      <w:r w:rsidR="00ED3215" w:rsidRPr="000C2E9E">
        <w:rPr>
          <w:sz w:val="24"/>
          <w:szCs w:val="24"/>
        </w:rPr>
        <w:t>κακή θρέψη, στη</w:t>
      </w:r>
      <w:r w:rsidRPr="000C2E9E">
        <w:rPr>
          <w:sz w:val="24"/>
          <w:szCs w:val="24"/>
        </w:rPr>
        <w:t xml:space="preserve"> μείωση των επιπέδων της αυξητικής ορμό</w:t>
      </w:r>
      <w:r w:rsidR="00C7603C" w:rsidRPr="000C2E9E">
        <w:rPr>
          <w:sz w:val="24"/>
          <w:szCs w:val="24"/>
        </w:rPr>
        <w:t xml:space="preserve">νης και στη μεταβολική οξέωση. Επίσης, πιθανόν να οφείλεται </w:t>
      </w:r>
      <w:r w:rsidRPr="000C2E9E">
        <w:rPr>
          <w:sz w:val="24"/>
          <w:szCs w:val="24"/>
        </w:rPr>
        <w:t>και στη χρήση κορτικοστεροειδών</w:t>
      </w:r>
      <w:r w:rsidR="00AD54E2" w:rsidRPr="000C2E9E">
        <w:rPr>
          <w:sz w:val="24"/>
          <w:szCs w:val="24"/>
        </w:rPr>
        <w:t>,</w:t>
      </w:r>
      <w:r w:rsidRPr="000C2E9E">
        <w:rPr>
          <w:sz w:val="24"/>
          <w:szCs w:val="24"/>
        </w:rPr>
        <w:t xml:space="preserve"> </w:t>
      </w:r>
      <w:r w:rsidR="0025369B" w:rsidRPr="000C2E9E">
        <w:rPr>
          <w:sz w:val="24"/>
          <w:szCs w:val="24"/>
        </w:rPr>
        <w:t>τα οποία χορηγούνται είτε</w:t>
      </w:r>
      <w:r w:rsidRPr="000C2E9E">
        <w:rPr>
          <w:sz w:val="24"/>
          <w:szCs w:val="24"/>
        </w:rPr>
        <w:t xml:space="preserve"> για την αντιμετώπιση της πρωτοπαθούς νόσου είτε για την</w:t>
      </w:r>
      <w:r w:rsidR="004A263F" w:rsidRPr="000C2E9E">
        <w:rPr>
          <w:sz w:val="24"/>
          <w:szCs w:val="24"/>
        </w:rPr>
        <w:t xml:space="preserve"> πρόληψη της </w:t>
      </w:r>
      <w:r w:rsidRPr="000C2E9E">
        <w:rPr>
          <w:sz w:val="24"/>
          <w:szCs w:val="24"/>
        </w:rPr>
        <w:t>απόρριψη</w:t>
      </w:r>
      <w:r w:rsidR="004A263F" w:rsidRPr="000C2E9E">
        <w:rPr>
          <w:sz w:val="24"/>
          <w:szCs w:val="24"/>
        </w:rPr>
        <w:t>ς</w:t>
      </w:r>
      <w:r w:rsidR="00EE65C5" w:rsidRPr="000C2E9E">
        <w:rPr>
          <w:sz w:val="24"/>
          <w:szCs w:val="24"/>
        </w:rPr>
        <w:t xml:space="preserve"> του μοσχεύματος</w:t>
      </w:r>
      <w:r w:rsidR="0025369B" w:rsidRPr="000C2E9E">
        <w:rPr>
          <w:sz w:val="24"/>
          <w:szCs w:val="24"/>
        </w:rPr>
        <w:t xml:space="preserve"> σε μεταμοσχευμένους</w:t>
      </w:r>
      <w:r w:rsidR="00EE65C5" w:rsidRPr="000C2E9E">
        <w:rPr>
          <w:sz w:val="24"/>
          <w:szCs w:val="24"/>
        </w:rPr>
        <w:t xml:space="preserve"> </w:t>
      </w:r>
      <w:r w:rsidR="007C3D2F" w:rsidRPr="000C2E9E">
        <w:rPr>
          <w:sz w:val="24"/>
          <w:szCs w:val="24"/>
        </w:rPr>
        <w:t xml:space="preserve">ασθενείς </w:t>
      </w:r>
      <w:r w:rsidR="00EE65C5" w:rsidRPr="000C2E9E">
        <w:rPr>
          <w:sz w:val="24"/>
          <w:szCs w:val="24"/>
        </w:rPr>
        <w:t>(</w:t>
      </w:r>
      <w:r w:rsidR="00EE65C5" w:rsidRPr="000C2E9E">
        <w:rPr>
          <w:sz w:val="24"/>
          <w:szCs w:val="24"/>
          <w:lang w:val="en-US"/>
        </w:rPr>
        <w:t>Thomas</w:t>
      </w:r>
      <w:r w:rsidR="003128C5" w:rsidRPr="000C2E9E">
        <w:rPr>
          <w:sz w:val="24"/>
          <w:szCs w:val="24"/>
        </w:rPr>
        <w:t xml:space="preserve">, </w:t>
      </w:r>
      <w:r w:rsidR="003128C5" w:rsidRPr="000C2E9E">
        <w:rPr>
          <w:rFonts w:cstheme="minorHAnsi"/>
          <w:sz w:val="24"/>
          <w:szCs w:val="24"/>
          <w:shd w:val="clear" w:color="auto" w:fill="FFFFFF"/>
          <w:lang w:val="en-US"/>
        </w:rPr>
        <w:t>Kanso</w:t>
      </w:r>
      <w:r w:rsidR="00D75F89" w:rsidRPr="000C2E9E">
        <w:rPr>
          <w:rFonts w:cstheme="minorHAnsi"/>
          <w:sz w:val="24"/>
          <w:szCs w:val="24"/>
          <w:shd w:val="clear" w:color="auto" w:fill="FFFFFF"/>
        </w:rPr>
        <w:t>,</w:t>
      </w:r>
      <w:r w:rsidR="003128C5" w:rsidRPr="000C2E9E">
        <w:rPr>
          <w:rFonts w:cstheme="minorHAnsi"/>
          <w:sz w:val="24"/>
          <w:szCs w:val="24"/>
          <w:shd w:val="clear" w:color="auto" w:fill="FFFFFF"/>
        </w:rPr>
        <w:t xml:space="preserve"> &amp; </w:t>
      </w:r>
      <w:r w:rsidR="003128C5" w:rsidRPr="000C2E9E">
        <w:rPr>
          <w:rFonts w:cstheme="minorHAnsi"/>
          <w:sz w:val="24"/>
          <w:szCs w:val="24"/>
          <w:shd w:val="clear" w:color="auto" w:fill="FFFFFF"/>
          <w:lang w:val="en-US"/>
        </w:rPr>
        <w:t>Sedor</w:t>
      </w:r>
      <w:r w:rsidR="00AB454B" w:rsidRPr="000C2E9E">
        <w:rPr>
          <w:rFonts w:cstheme="minorHAnsi"/>
          <w:sz w:val="24"/>
          <w:szCs w:val="24"/>
          <w:shd w:val="clear" w:color="auto" w:fill="FFFFFF"/>
        </w:rPr>
        <w:t>,</w:t>
      </w:r>
      <w:r w:rsidR="003128C5" w:rsidRPr="000C2E9E">
        <w:rPr>
          <w:sz w:val="24"/>
          <w:szCs w:val="24"/>
        </w:rPr>
        <w:t xml:space="preserve"> </w:t>
      </w:r>
      <w:r w:rsidR="00EE65C5" w:rsidRPr="000C2E9E">
        <w:rPr>
          <w:sz w:val="24"/>
          <w:szCs w:val="24"/>
        </w:rPr>
        <w:t>2008</w:t>
      </w:r>
      <w:r w:rsidR="004853F5" w:rsidRPr="000C2E9E">
        <w:rPr>
          <w:sz w:val="24"/>
          <w:szCs w:val="24"/>
        </w:rPr>
        <w:t xml:space="preserve">; </w:t>
      </w:r>
      <w:r w:rsidR="004853F5" w:rsidRPr="000C2E9E">
        <w:rPr>
          <w:rFonts w:cs="Calibri"/>
          <w:sz w:val="24"/>
          <w:szCs w:val="24"/>
          <w:shd w:val="clear" w:color="auto" w:fill="FFFFFF"/>
        </w:rPr>
        <w:t>Haffner &amp; Rees, 2017</w:t>
      </w:r>
      <w:r w:rsidR="00EE65C5" w:rsidRPr="000C2E9E">
        <w:rPr>
          <w:rFonts w:cs="Calibri"/>
          <w:sz w:val="24"/>
          <w:szCs w:val="24"/>
        </w:rPr>
        <w:t>).</w:t>
      </w:r>
    </w:p>
    <w:p w:rsidR="002B4B9B" w:rsidRPr="000C2E9E" w:rsidRDefault="002B4B9B" w:rsidP="000566B3">
      <w:pPr>
        <w:pStyle w:val="25"/>
        <w:numPr>
          <w:ilvl w:val="1"/>
          <w:numId w:val="98"/>
        </w:numPr>
        <w:spacing w:after="240" w:line="360" w:lineRule="auto"/>
        <w:rPr>
          <w:rFonts w:asciiTheme="minorHAnsi" w:hAnsiTheme="minorHAnsi"/>
        </w:rPr>
      </w:pPr>
      <w:bookmarkStart w:id="12" w:name="_Toc495951424"/>
      <w:r w:rsidRPr="000C2E9E">
        <w:rPr>
          <w:rFonts w:asciiTheme="minorHAnsi" w:hAnsiTheme="minorHAnsi"/>
        </w:rPr>
        <w:t>Κλινικά ευρήματα</w:t>
      </w:r>
      <w:bookmarkEnd w:id="12"/>
    </w:p>
    <w:p w:rsidR="00321CD5" w:rsidRPr="005A464E" w:rsidRDefault="0094546D" w:rsidP="005A464E">
      <w:pPr>
        <w:spacing w:line="360" w:lineRule="auto"/>
        <w:jc w:val="both"/>
        <w:rPr>
          <w:sz w:val="24"/>
          <w:szCs w:val="24"/>
        </w:rPr>
      </w:pPr>
      <w:r w:rsidRPr="000C2E9E">
        <w:rPr>
          <w:sz w:val="24"/>
          <w:szCs w:val="24"/>
        </w:rPr>
        <w:t>Οι ασθενείς με</w:t>
      </w:r>
      <w:r w:rsidR="00321CD5" w:rsidRPr="000C2E9E">
        <w:rPr>
          <w:sz w:val="24"/>
          <w:szCs w:val="24"/>
        </w:rPr>
        <w:t xml:space="preserve"> ΧΝΝ από την π</w:t>
      </w:r>
      <w:r w:rsidRPr="000C2E9E">
        <w:rPr>
          <w:sz w:val="24"/>
          <w:szCs w:val="24"/>
        </w:rPr>
        <w:t xml:space="preserve">αιδική ηλικία </w:t>
      </w:r>
      <w:r w:rsidR="00B372A7" w:rsidRPr="000C2E9E">
        <w:rPr>
          <w:sz w:val="24"/>
          <w:szCs w:val="24"/>
        </w:rPr>
        <w:t>χαρακτηρίζονται</w:t>
      </w:r>
      <w:r w:rsidRPr="000C2E9E">
        <w:rPr>
          <w:sz w:val="24"/>
          <w:szCs w:val="24"/>
        </w:rPr>
        <w:t xml:space="preserve"> συνήθως από μικρό ύψος σώματος</w:t>
      </w:r>
      <w:r w:rsidR="0025369B" w:rsidRPr="000C2E9E">
        <w:rPr>
          <w:sz w:val="24"/>
          <w:szCs w:val="24"/>
        </w:rPr>
        <w:t xml:space="preserve">. </w:t>
      </w:r>
      <w:r w:rsidRPr="000C2E9E">
        <w:rPr>
          <w:sz w:val="24"/>
          <w:szCs w:val="24"/>
        </w:rPr>
        <w:t>Οι νεφροί, είναι συνήθως μη ψηλαφητοί στην κλινική</w:t>
      </w:r>
      <w:r w:rsidR="00A01458" w:rsidRPr="000C2E9E">
        <w:rPr>
          <w:sz w:val="24"/>
          <w:szCs w:val="24"/>
        </w:rPr>
        <w:t xml:space="preserve"> εξέταση, πιθανόν,</w:t>
      </w:r>
      <w:r w:rsidR="00321CD5" w:rsidRPr="000C2E9E">
        <w:rPr>
          <w:sz w:val="24"/>
          <w:szCs w:val="24"/>
        </w:rPr>
        <w:t xml:space="preserve"> </w:t>
      </w:r>
      <w:r w:rsidR="00A01458" w:rsidRPr="000C2E9E">
        <w:rPr>
          <w:sz w:val="24"/>
          <w:szCs w:val="24"/>
        </w:rPr>
        <w:t>όμως, να</w:t>
      </w:r>
      <w:r w:rsidR="004D1D89" w:rsidRPr="000C2E9E">
        <w:rPr>
          <w:sz w:val="24"/>
          <w:szCs w:val="24"/>
        </w:rPr>
        <w:t xml:space="preserve"> </w:t>
      </w:r>
      <w:r w:rsidR="00B84557" w:rsidRPr="000C2E9E">
        <w:rPr>
          <w:sz w:val="24"/>
          <w:szCs w:val="24"/>
        </w:rPr>
        <w:t>διογκωθούν</w:t>
      </w:r>
      <w:r w:rsidR="00A01458" w:rsidRPr="000C2E9E">
        <w:rPr>
          <w:sz w:val="24"/>
          <w:szCs w:val="24"/>
        </w:rPr>
        <w:t xml:space="preserve"> σημαντικά</w:t>
      </w:r>
      <w:r w:rsidRPr="000C2E9E">
        <w:rPr>
          <w:sz w:val="24"/>
          <w:szCs w:val="24"/>
        </w:rPr>
        <w:t xml:space="preserve"> ώστε </w:t>
      </w:r>
      <w:r w:rsidR="00A01458" w:rsidRPr="000C2E9E">
        <w:rPr>
          <w:sz w:val="24"/>
          <w:szCs w:val="24"/>
        </w:rPr>
        <w:t xml:space="preserve">να </w:t>
      </w:r>
      <w:r w:rsidRPr="000C2E9E">
        <w:rPr>
          <w:sz w:val="24"/>
          <w:szCs w:val="24"/>
        </w:rPr>
        <w:t>ψηλαφούνται</w:t>
      </w:r>
      <w:r w:rsidR="00321CD5" w:rsidRPr="000C2E9E">
        <w:rPr>
          <w:sz w:val="24"/>
          <w:szCs w:val="24"/>
        </w:rPr>
        <w:t xml:space="preserve"> σε περιπτώσεις όπως η πολυκυστική νόσος των νεφρών.</w:t>
      </w:r>
    </w:p>
    <w:p w:rsidR="0094546D" w:rsidRPr="000C2E9E" w:rsidRDefault="0094546D" w:rsidP="005A464E">
      <w:pPr>
        <w:spacing w:line="360" w:lineRule="auto"/>
        <w:jc w:val="both"/>
        <w:rPr>
          <w:sz w:val="24"/>
          <w:szCs w:val="24"/>
        </w:rPr>
      </w:pPr>
      <w:r w:rsidRPr="005A464E">
        <w:rPr>
          <w:sz w:val="24"/>
          <w:szCs w:val="24"/>
        </w:rPr>
        <w:t>Καθώς η ανεπάρκει</w:t>
      </w:r>
      <w:r w:rsidR="00ED77AE" w:rsidRPr="005A464E">
        <w:rPr>
          <w:sz w:val="24"/>
          <w:szCs w:val="24"/>
        </w:rPr>
        <w:t>α των νεφρών εξελίσσεται και οι</w:t>
      </w:r>
      <w:r w:rsidRPr="005A464E">
        <w:rPr>
          <w:sz w:val="24"/>
          <w:szCs w:val="24"/>
        </w:rPr>
        <w:t xml:space="preserve"> επιπλοκές</w:t>
      </w:r>
      <w:r w:rsidR="00A01458">
        <w:rPr>
          <w:sz w:val="24"/>
          <w:szCs w:val="24"/>
        </w:rPr>
        <w:t xml:space="preserve"> εμφανίζονται, περαιτέ</w:t>
      </w:r>
      <w:r w:rsidR="00ED77AE" w:rsidRPr="005A464E">
        <w:rPr>
          <w:sz w:val="24"/>
          <w:szCs w:val="24"/>
        </w:rPr>
        <w:t>ρω ευρήματα στην κλινική εξέταση γίνονται εμφανή. Αυτά</w:t>
      </w:r>
      <w:r w:rsidRPr="005A464E">
        <w:rPr>
          <w:sz w:val="24"/>
          <w:szCs w:val="24"/>
        </w:rPr>
        <w:t xml:space="preserve"> περιλαμβάνουν </w:t>
      </w:r>
      <w:r w:rsidR="00ED77AE" w:rsidRPr="005A464E">
        <w:rPr>
          <w:sz w:val="24"/>
          <w:szCs w:val="24"/>
        </w:rPr>
        <w:t xml:space="preserve">την </w:t>
      </w:r>
      <w:r w:rsidRPr="005A464E">
        <w:rPr>
          <w:sz w:val="24"/>
          <w:szCs w:val="24"/>
        </w:rPr>
        <w:t xml:space="preserve">ωχρότητα </w:t>
      </w:r>
      <w:r w:rsidR="0025369B">
        <w:rPr>
          <w:sz w:val="24"/>
          <w:szCs w:val="24"/>
        </w:rPr>
        <w:t>και</w:t>
      </w:r>
      <w:r w:rsidRPr="005A464E">
        <w:rPr>
          <w:sz w:val="24"/>
          <w:szCs w:val="24"/>
        </w:rPr>
        <w:t xml:space="preserve"> </w:t>
      </w:r>
      <w:r w:rsidR="00AD54E2">
        <w:rPr>
          <w:sz w:val="24"/>
          <w:szCs w:val="24"/>
        </w:rPr>
        <w:t>τον</w:t>
      </w:r>
      <w:r w:rsidR="00A01458">
        <w:rPr>
          <w:sz w:val="24"/>
          <w:szCs w:val="24"/>
        </w:rPr>
        <w:t xml:space="preserve"> κνησμό</w:t>
      </w:r>
      <w:r w:rsidR="0025369B">
        <w:rPr>
          <w:sz w:val="24"/>
          <w:szCs w:val="24"/>
        </w:rPr>
        <w:t>. Επιπλέον, πιθανόν να εμφανιστούν</w:t>
      </w:r>
      <w:r w:rsidR="00ED77AE" w:rsidRPr="005A464E">
        <w:rPr>
          <w:sz w:val="24"/>
          <w:szCs w:val="24"/>
        </w:rPr>
        <w:t xml:space="preserve"> σημεία</w:t>
      </w:r>
      <w:r w:rsidRPr="005A464E">
        <w:rPr>
          <w:sz w:val="24"/>
          <w:szCs w:val="24"/>
        </w:rPr>
        <w:t xml:space="preserve"> υπερφόρτωσης </w:t>
      </w:r>
      <w:r w:rsidR="00ED77AE" w:rsidRPr="005A464E">
        <w:rPr>
          <w:sz w:val="24"/>
          <w:szCs w:val="24"/>
        </w:rPr>
        <w:t>με υγρά είτε περιφερικά με τη μορφή του οιδή</w:t>
      </w:r>
      <w:r w:rsidRPr="005A464E">
        <w:rPr>
          <w:sz w:val="24"/>
          <w:szCs w:val="24"/>
        </w:rPr>
        <w:t>μα</w:t>
      </w:r>
      <w:r w:rsidR="00772732" w:rsidRPr="005A464E">
        <w:rPr>
          <w:sz w:val="24"/>
          <w:szCs w:val="24"/>
        </w:rPr>
        <w:t>τος κάτω άκρων ή</w:t>
      </w:r>
      <w:r w:rsidR="00ED77AE" w:rsidRPr="005A464E">
        <w:rPr>
          <w:sz w:val="24"/>
          <w:szCs w:val="24"/>
        </w:rPr>
        <w:t xml:space="preserve"> </w:t>
      </w:r>
      <w:r w:rsidR="00ED77AE" w:rsidRPr="000C2E9E">
        <w:rPr>
          <w:sz w:val="24"/>
          <w:szCs w:val="24"/>
        </w:rPr>
        <w:t>κεντρικά</w:t>
      </w:r>
      <w:r w:rsidR="00772732" w:rsidRPr="000C2E9E">
        <w:rPr>
          <w:sz w:val="24"/>
          <w:szCs w:val="24"/>
        </w:rPr>
        <w:t xml:space="preserve"> </w:t>
      </w:r>
      <w:r w:rsidR="0025369B" w:rsidRPr="000C2E9E">
        <w:rPr>
          <w:sz w:val="24"/>
          <w:szCs w:val="24"/>
        </w:rPr>
        <w:t>με</w:t>
      </w:r>
      <w:r w:rsidRPr="000C2E9E">
        <w:rPr>
          <w:sz w:val="24"/>
          <w:szCs w:val="24"/>
        </w:rPr>
        <w:t xml:space="preserve"> </w:t>
      </w:r>
      <w:r w:rsidR="00B372A7" w:rsidRPr="000C2E9E">
        <w:rPr>
          <w:sz w:val="24"/>
          <w:szCs w:val="24"/>
        </w:rPr>
        <w:t>διατεταμένες</w:t>
      </w:r>
      <w:r w:rsidR="00ED77AE" w:rsidRPr="000C2E9E">
        <w:rPr>
          <w:sz w:val="24"/>
          <w:szCs w:val="24"/>
        </w:rPr>
        <w:t xml:space="preserve"> σφαγίτιδες φλέβες</w:t>
      </w:r>
      <w:r w:rsidRPr="000C2E9E">
        <w:rPr>
          <w:sz w:val="24"/>
          <w:szCs w:val="24"/>
        </w:rPr>
        <w:t xml:space="preserve">. </w:t>
      </w:r>
      <w:r w:rsidR="00ED77AE" w:rsidRPr="000C2E9E">
        <w:rPr>
          <w:sz w:val="24"/>
          <w:szCs w:val="24"/>
        </w:rPr>
        <w:t>Η κ</w:t>
      </w:r>
      <w:r w:rsidRPr="000C2E9E">
        <w:rPr>
          <w:sz w:val="24"/>
          <w:szCs w:val="24"/>
        </w:rPr>
        <w:t>αχεξία, ως αποτέλεσμα της μειωμένης όρεξης και του υποσιτ</w:t>
      </w:r>
      <w:r w:rsidR="00ED77AE" w:rsidRPr="000C2E9E">
        <w:rPr>
          <w:sz w:val="24"/>
          <w:szCs w:val="24"/>
        </w:rPr>
        <w:t>ισμού μπορεί</w:t>
      </w:r>
      <w:r w:rsidR="00AF248A" w:rsidRPr="000C2E9E">
        <w:rPr>
          <w:sz w:val="24"/>
          <w:szCs w:val="24"/>
        </w:rPr>
        <w:t>,</w:t>
      </w:r>
      <w:r w:rsidR="00ED77AE" w:rsidRPr="000C2E9E">
        <w:rPr>
          <w:sz w:val="24"/>
          <w:szCs w:val="24"/>
        </w:rPr>
        <w:t xml:space="preserve"> </w:t>
      </w:r>
      <w:r w:rsidR="00AF248A" w:rsidRPr="000C2E9E">
        <w:rPr>
          <w:sz w:val="24"/>
          <w:szCs w:val="24"/>
        </w:rPr>
        <w:t>επίσης,</w:t>
      </w:r>
      <w:r w:rsidR="00ED77AE" w:rsidRPr="000C2E9E">
        <w:rPr>
          <w:sz w:val="24"/>
          <w:szCs w:val="24"/>
        </w:rPr>
        <w:t xml:space="preserve"> να υπάρχει</w:t>
      </w:r>
      <w:r w:rsidR="004853F5" w:rsidRPr="000C2E9E">
        <w:rPr>
          <w:sz w:val="24"/>
          <w:szCs w:val="24"/>
        </w:rPr>
        <w:t xml:space="preserve"> (</w:t>
      </w:r>
      <w:r w:rsidR="004853F5" w:rsidRPr="000C2E9E">
        <w:rPr>
          <w:sz w:val="24"/>
          <w:szCs w:val="24"/>
          <w:lang w:val="en-US"/>
        </w:rPr>
        <w:t>Zoccali</w:t>
      </w:r>
      <w:r w:rsidR="004853F5" w:rsidRPr="000C2E9E">
        <w:rPr>
          <w:sz w:val="24"/>
          <w:szCs w:val="24"/>
        </w:rPr>
        <w:t xml:space="preserve"> </w:t>
      </w:r>
      <w:r w:rsidR="004853F5" w:rsidRPr="000C2E9E">
        <w:rPr>
          <w:sz w:val="24"/>
          <w:szCs w:val="24"/>
          <w:lang w:val="en-US"/>
        </w:rPr>
        <w:t>et</w:t>
      </w:r>
      <w:r w:rsidR="004853F5" w:rsidRPr="000C2E9E">
        <w:rPr>
          <w:sz w:val="24"/>
          <w:szCs w:val="24"/>
        </w:rPr>
        <w:t xml:space="preserve"> </w:t>
      </w:r>
      <w:r w:rsidR="004853F5" w:rsidRPr="000C2E9E">
        <w:rPr>
          <w:sz w:val="24"/>
          <w:szCs w:val="24"/>
          <w:lang w:val="en-US"/>
        </w:rPr>
        <w:t>al</w:t>
      </w:r>
      <w:r w:rsidR="004853F5" w:rsidRPr="000C2E9E">
        <w:rPr>
          <w:sz w:val="24"/>
          <w:szCs w:val="24"/>
        </w:rPr>
        <w:t>., 2017)</w:t>
      </w:r>
      <w:r w:rsidR="00AF248A" w:rsidRPr="000C2E9E">
        <w:rPr>
          <w:sz w:val="24"/>
          <w:szCs w:val="24"/>
        </w:rPr>
        <w:t>.</w:t>
      </w:r>
    </w:p>
    <w:p w:rsidR="003655BF" w:rsidRPr="000C2E9E" w:rsidRDefault="003655BF" w:rsidP="005A464E">
      <w:pPr>
        <w:spacing w:line="360" w:lineRule="auto"/>
        <w:jc w:val="both"/>
        <w:rPr>
          <w:sz w:val="24"/>
          <w:szCs w:val="24"/>
        </w:rPr>
      </w:pPr>
      <w:r w:rsidRPr="000C2E9E">
        <w:rPr>
          <w:sz w:val="24"/>
          <w:szCs w:val="24"/>
        </w:rPr>
        <w:t>Μερικά από τα πιο συχνά σημε</w:t>
      </w:r>
      <w:r w:rsidR="0025369B" w:rsidRPr="000C2E9E">
        <w:rPr>
          <w:sz w:val="24"/>
          <w:szCs w:val="24"/>
        </w:rPr>
        <w:t>ία και συμπτώματα στη ΧΝΝ είναι αποτέλεσμα των ποικίλων</w:t>
      </w:r>
      <w:r w:rsidRPr="000C2E9E">
        <w:rPr>
          <w:sz w:val="24"/>
          <w:szCs w:val="24"/>
        </w:rPr>
        <w:t xml:space="preserve"> επιπλοκ</w:t>
      </w:r>
      <w:r w:rsidR="0025369B" w:rsidRPr="000C2E9E">
        <w:rPr>
          <w:sz w:val="24"/>
          <w:szCs w:val="24"/>
        </w:rPr>
        <w:t>ών</w:t>
      </w:r>
      <w:r w:rsidRPr="000C2E9E">
        <w:rPr>
          <w:sz w:val="24"/>
          <w:szCs w:val="24"/>
        </w:rPr>
        <w:t xml:space="preserve"> της ΧΝΝ.</w:t>
      </w:r>
    </w:p>
    <w:p w:rsidR="00DD495F" w:rsidRPr="005A464E" w:rsidRDefault="008D7D69" w:rsidP="005A464E">
      <w:pPr>
        <w:spacing w:line="360" w:lineRule="auto"/>
        <w:jc w:val="both"/>
        <w:rPr>
          <w:sz w:val="24"/>
          <w:szCs w:val="24"/>
        </w:rPr>
      </w:pPr>
      <w:r w:rsidRPr="000C2E9E">
        <w:rPr>
          <w:sz w:val="24"/>
          <w:szCs w:val="24"/>
        </w:rPr>
        <w:t>Η μείωση της παραγωγής ερυθροποιητίνης εί</w:t>
      </w:r>
      <w:r w:rsidR="00530C9C" w:rsidRPr="000C2E9E">
        <w:rPr>
          <w:sz w:val="24"/>
          <w:szCs w:val="24"/>
        </w:rPr>
        <w:t>ναι ο πιο σημαντικός παράγοντας</w:t>
      </w:r>
      <w:r w:rsidR="00ED3215" w:rsidRPr="000C2E9E">
        <w:rPr>
          <w:sz w:val="24"/>
          <w:szCs w:val="24"/>
        </w:rPr>
        <w:t xml:space="preserve"> αναιμίας</w:t>
      </w:r>
      <w:r w:rsidRPr="000C2E9E">
        <w:rPr>
          <w:sz w:val="24"/>
          <w:szCs w:val="24"/>
        </w:rPr>
        <w:t xml:space="preserve"> </w:t>
      </w:r>
      <w:r w:rsidR="00530C9C" w:rsidRPr="000C2E9E">
        <w:rPr>
          <w:sz w:val="24"/>
          <w:szCs w:val="24"/>
        </w:rPr>
        <w:t>ωστόσο</w:t>
      </w:r>
      <w:r w:rsidR="00AF248A" w:rsidRPr="000C2E9E">
        <w:rPr>
          <w:sz w:val="24"/>
          <w:szCs w:val="24"/>
        </w:rPr>
        <w:t>,</w:t>
      </w:r>
      <w:r w:rsidRPr="000C2E9E">
        <w:rPr>
          <w:sz w:val="24"/>
          <w:szCs w:val="24"/>
        </w:rPr>
        <w:t xml:space="preserve"> υπάρχουν κι άλλα στοιχεία που</w:t>
      </w:r>
      <w:r w:rsidR="0078495A" w:rsidRPr="000C2E9E">
        <w:rPr>
          <w:sz w:val="24"/>
          <w:szCs w:val="24"/>
        </w:rPr>
        <w:t xml:space="preserve"> </w:t>
      </w:r>
      <w:r w:rsidR="0025369B" w:rsidRPr="000C2E9E">
        <w:rPr>
          <w:sz w:val="24"/>
          <w:szCs w:val="24"/>
        </w:rPr>
        <w:t>οδηγούν στην αναιμία</w:t>
      </w:r>
      <w:r w:rsidR="00AD54E2" w:rsidRPr="000C2E9E">
        <w:rPr>
          <w:sz w:val="24"/>
          <w:szCs w:val="24"/>
        </w:rPr>
        <w:t>,</w:t>
      </w:r>
      <w:r w:rsidRPr="000C2E9E">
        <w:rPr>
          <w:sz w:val="24"/>
          <w:szCs w:val="24"/>
        </w:rPr>
        <w:t xml:space="preserve"> όπως η σημαντική απώλεια αίματος κατά την αιμοκάθαρση, η</w:t>
      </w:r>
      <w:r w:rsidR="0078495A" w:rsidRPr="000C2E9E">
        <w:rPr>
          <w:sz w:val="24"/>
          <w:szCs w:val="24"/>
        </w:rPr>
        <w:t xml:space="preserve"> </w:t>
      </w:r>
      <w:r w:rsidRPr="000C2E9E">
        <w:rPr>
          <w:sz w:val="24"/>
          <w:szCs w:val="24"/>
        </w:rPr>
        <w:t>αυξημένη καταστρ</w:t>
      </w:r>
      <w:r w:rsidR="00DD495F" w:rsidRPr="000C2E9E">
        <w:rPr>
          <w:sz w:val="24"/>
          <w:szCs w:val="24"/>
        </w:rPr>
        <w:t>οφή των ερυθρών αιμοσφαιρίων που συνδέε</w:t>
      </w:r>
      <w:r w:rsidRPr="000C2E9E">
        <w:rPr>
          <w:sz w:val="24"/>
          <w:szCs w:val="24"/>
        </w:rPr>
        <w:t>ται με τη διαδικ</w:t>
      </w:r>
      <w:r w:rsidR="004D1D89" w:rsidRPr="000C2E9E">
        <w:rPr>
          <w:sz w:val="24"/>
          <w:szCs w:val="24"/>
        </w:rPr>
        <w:t>ασία της αιμοκάθαρσης</w:t>
      </w:r>
      <w:r w:rsidRPr="000C2E9E">
        <w:rPr>
          <w:sz w:val="24"/>
          <w:szCs w:val="24"/>
        </w:rPr>
        <w:t xml:space="preserve"> και </w:t>
      </w:r>
      <w:r w:rsidR="00AF248A" w:rsidRPr="000C2E9E">
        <w:rPr>
          <w:sz w:val="24"/>
          <w:szCs w:val="24"/>
        </w:rPr>
        <w:t xml:space="preserve">η </w:t>
      </w:r>
      <w:r w:rsidRPr="000C2E9E">
        <w:rPr>
          <w:sz w:val="24"/>
          <w:szCs w:val="24"/>
        </w:rPr>
        <w:t>ίνωση του μυελού των οστών που οφείλεται σε υποπαραθυρεοειδισμό.</w:t>
      </w:r>
      <w:r w:rsidR="00DD495F" w:rsidRPr="000C2E9E">
        <w:rPr>
          <w:sz w:val="24"/>
          <w:szCs w:val="24"/>
        </w:rPr>
        <w:t xml:space="preserve"> Η αναιμία</w:t>
      </w:r>
      <w:r w:rsidR="00AF248A" w:rsidRPr="000C2E9E">
        <w:rPr>
          <w:sz w:val="24"/>
          <w:szCs w:val="24"/>
        </w:rPr>
        <w:t>,</w:t>
      </w:r>
      <w:r w:rsidR="00DD495F" w:rsidRPr="000C2E9E">
        <w:rPr>
          <w:sz w:val="24"/>
          <w:szCs w:val="24"/>
        </w:rPr>
        <w:t xml:space="preserve"> </w:t>
      </w:r>
      <w:r w:rsidR="00AF248A" w:rsidRPr="000C2E9E">
        <w:rPr>
          <w:sz w:val="24"/>
          <w:szCs w:val="24"/>
        </w:rPr>
        <w:t>επίσης,</w:t>
      </w:r>
      <w:r w:rsidR="00DD495F" w:rsidRPr="000C2E9E">
        <w:rPr>
          <w:sz w:val="24"/>
          <w:szCs w:val="24"/>
        </w:rPr>
        <w:t xml:space="preserve"> μπορεί να σχετίζεται με αιμορραγ</w:t>
      </w:r>
      <w:r w:rsidR="00AF248A" w:rsidRPr="000C2E9E">
        <w:rPr>
          <w:sz w:val="24"/>
          <w:szCs w:val="24"/>
        </w:rPr>
        <w:t>ία από το γαστρεντερικό σύστημα</w:t>
      </w:r>
      <w:r w:rsidR="00DD495F" w:rsidRPr="000C2E9E">
        <w:rPr>
          <w:sz w:val="24"/>
          <w:szCs w:val="24"/>
        </w:rPr>
        <w:t xml:space="preserve"> λόγω μειωμένου αριθμού αιμοπεταλίων</w:t>
      </w:r>
      <w:r w:rsidR="00666053" w:rsidRPr="000C2E9E">
        <w:rPr>
          <w:sz w:val="24"/>
          <w:szCs w:val="24"/>
        </w:rPr>
        <w:t xml:space="preserve"> (</w:t>
      </w:r>
      <w:r w:rsidR="00666053" w:rsidRPr="000C2E9E">
        <w:rPr>
          <w:sz w:val="24"/>
          <w:szCs w:val="24"/>
          <w:lang w:val="en-US"/>
        </w:rPr>
        <w:t>Momeni</w:t>
      </w:r>
      <w:r w:rsidR="00666053" w:rsidRPr="000C2E9E">
        <w:rPr>
          <w:sz w:val="24"/>
          <w:szCs w:val="24"/>
        </w:rPr>
        <w:t>, 2016)</w:t>
      </w:r>
      <w:r w:rsidR="00DD495F" w:rsidRPr="000C2E9E">
        <w:rPr>
          <w:sz w:val="24"/>
          <w:szCs w:val="24"/>
        </w:rPr>
        <w:t>.</w:t>
      </w:r>
      <w:r w:rsidR="002D5B03" w:rsidRPr="000C2E9E">
        <w:rPr>
          <w:sz w:val="24"/>
          <w:szCs w:val="24"/>
        </w:rPr>
        <w:t xml:space="preserve"> </w:t>
      </w:r>
      <w:r w:rsidR="00DD495F" w:rsidRPr="000C2E9E">
        <w:rPr>
          <w:sz w:val="24"/>
          <w:szCs w:val="24"/>
        </w:rPr>
        <w:t xml:space="preserve">Επιπλέον, η </w:t>
      </w:r>
      <w:r w:rsidR="00A935E5" w:rsidRPr="000C2E9E">
        <w:rPr>
          <w:sz w:val="24"/>
          <w:szCs w:val="24"/>
        </w:rPr>
        <w:t>α</w:t>
      </w:r>
      <w:r w:rsidR="00DD495F" w:rsidRPr="000C2E9E">
        <w:rPr>
          <w:sz w:val="24"/>
          <w:szCs w:val="24"/>
        </w:rPr>
        <w:t xml:space="preserve">ναιμία μπορεί να οδηγήσει σε </w:t>
      </w:r>
      <w:r w:rsidR="0025369B" w:rsidRPr="000C2E9E">
        <w:rPr>
          <w:sz w:val="24"/>
          <w:szCs w:val="24"/>
        </w:rPr>
        <w:t>περαιτέ</w:t>
      </w:r>
      <w:r w:rsidR="00DD495F" w:rsidRPr="000C2E9E">
        <w:rPr>
          <w:sz w:val="24"/>
          <w:szCs w:val="24"/>
        </w:rPr>
        <w:t>ρω επιπλοκές</w:t>
      </w:r>
      <w:r w:rsidR="0078495A" w:rsidRPr="000C2E9E">
        <w:rPr>
          <w:sz w:val="24"/>
          <w:szCs w:val="24"/>
        </w:rPr>
        <w:t xml:space="preserve"> </w:t>
      </w:r>
      <w:r w:rsidR="00DD495F" w:rsidRPr="000C2E9E">
        <w:rPr>
          <w:sz w:val="24"/>
          <w:szCs w:val="24"/>
        </w:rPr>
        <w:t>για τον ασθενή με ΧΝΝ. Η αναιμία αναγνωρίζεται</w:t>
      </w:r>
      <w:r w:rsidR="00DD495F" w:rsidRPr="005A464E">
        <w:rPr>
          <w:sz w:val="24"/>
          <w:szCs w:val="24"/>
        </w:rPr>
        <w:t xml:space="preserve"> ως ανεξάρτητος παράγοντας κινδύνου</w:t>
      </w:r>
      <w:r w:rsidR="0078495A">
        <w:rPr>
          <w:sz w:val="24"/>
          <w:szCs w:val="24"/>
        </w:rPr>
        <w:t xml:space="preserve"> </w:t>
      </w:r>
      <w:r w:rsidR="00DD495F" w:rsidRPr="005A464E">
        <w:rPr>
          <w:sz w:val="24"/>
          <w:szCs w:val="24"/>
        </w:rPr>
        <w:t>για την ανάπτυξη υπερτροφίας της αριστερής κοιλίας. Αυτό μπορεί να οδηγήσει σε επιπρόσθετα κλινικά αποτελέσματα</w:t>
      </w:r>
      <w:r w:rsidR="00FF0B32">
        <w:rPr>
          <w:sz w:val="24"/>
          <w:szCs w:val="24"/>
        </w:rPr>
        <w:t>,</w:t>
      </w:r>
      <w:r w:rsidR="00DD495F" w:rsidRPr="005A464E">
        <w:rPr>
          <w:sz w:val="24"/>
          <w:szCs w:val="24"/>
        </w:rPr>
        <w:t xml:space="preserve"> όπως καρδιακή ανεπάρκεια, αρρυθμία, αγγειακό εγκεφαλικό επεισόδιο ακόμα και </w:t>
      </w:r>
      <w:r w:rsidR="00AF248A" w:rsidRPr="005A464E">
        <w:rPr>
          <w:sz w:val="24"/>
          <w:szCs w:val="24"/>
        </w:rPr>
        <w:t>καρδιακή</w:t>
      </w:r>
      <w:r w:rsidR="00DD495F" w:rsidRPr="005A464E">
        <w:rPr>
          <w:sz w:val="24"/>
          <w:szCs w:val="24"/>
        </w:rPr>
        <w:t xml:space="preserve"> ανακοπή.</w:t>
      </w:r>
    </w:p>
    <w:p w:rsidR="00DD495F" w:rsidRPr="005A464E" w:rsidRDefault="00DD495F" w:rsidP="005A464E">
      <w:pPr>
        <w:spacing w:line="360" w:lineRule="auto"/>
        <w:jc w:val="both"/>
        <w:rPr>
          <w:sz w:val="24"/>
          <w:szCs w:val="24"/>
        </w:rPr>
      </w:pPr>
      <w:r w:rsidRPr="005A464E">
        <w:rPr>
          <w:sz w:val="24"/>
          <w:szCs w:val="24"/>
        </w:rPr>
        <w:t>Εκζεματώδεις βλάβες</w:t>
      </w:r>
      <w:r w:rsidR="00AF248A" w:rsidRPr="005A464E">
        <w:rPr>
          <w:sz w:val="24"/>
          <w:szCs w:val="24"/>
        </w:rPr>
        <w:t>,</w:t>
      </w:r>
      <w:r w:rsidRPr="005A464E">
        <w:rPr>
          <w:sz w:val="24"/>
          <w:szCs w:val="24"/>
        </w:rPr>
        <w:t xml:space="preserve"> </w:t>
      </w:r>
      <w:r w:rsidR="00AF248A" w:rsidRPr="005A464E">
        <w:rPr>
          <w:sz w:val="24"/>
          <w:szCs w:val="24"/>
        </w:rPr>
        <w:t>επίσης,</w:t>
      </w:r>
      <w:r w:rsidR="004D49C5" w:rsidRPr="005A464E">
        <w:rPr>
          <w:sz w:val="24"/>
          <w:szCs w:val="24"/>
        </w:rPr>
        <w:t xml:space="preserve"> αναφέρ</w:t>
      </w:r>
      <w:r w:rsidRPr="005A464E">
        <w:rPr>
          <w:sz w:val="24"/>
          <w:szCs w:val="24"/>
        </w:rPr>
        <w:t>ονται, συνήθως</w:t>
      </w:r>
      <w:r w:rsidR="004D49C5" w:rsidRPr="005A464E">
        <w:rPr>
          <w:sz w:val="24"/>
          <w:szCs w:val="24"/>
        </w:rPr>
        <w:t xml:space="preserve"> κοντά στο σημείο της αρτηριοφλεβικής αναστόμωσης και μπορεί να αποδοθούν στον κνησμό.</w:t>
      </w:r>
    </w:p>
    <w:p w:rsidR="004D49C5" w:rsidRPr="00D2083A" w:rsidRDefault="004A263F" w:rsidP="005A464E">
      <w:pPr>
        <w:spacing w:line="360" w:lineRule="auto"/>
        <w:jc w:val="both"/>
        <w:rPr>
          <w:rFonts w:cs="Calibri"/>
          <w:sz w:val="24"/>
          <w:szCs w:val="24"/>
        </w:rPr>
      </w:pPr>
      <w:r w:rsidRPr="005A464E">
        <w:rPr>
          <w:sz w:val="24"/>
          <w:szCs w:val="24"/>
        </w:rPr>
        <w:t>Η μεταβολική οστική</w:t>
      </w:r>
      <w:r w:rsidR="004D49C5" w:rsidRPr="005A464E">
        <w:rPr>
          <w:sz w:val="24"/>
          <w:szCs w:val="24"/>
        </w:rPr>
        <w:t xml:space="preserve"> νόσος είναι μια ακόμα επιπλοκή της ΧΝΝ με πιθανότητα να εμφανιστεί στα πρώιμα στάδια της νόσου</w:t>
      </w:r>
      <w:r w:rsidR="003874D8" w:rsidRPr="005A464E">
        <w:rPr>
          <w:sz w:val="24"/>
          <w:szCs w:val="24"/>
        </w:rPr>
        <w:t xml:space="preserve">, όμως παραμένει ασυμπτωματική μέχρι το τελικό στάδιο. Η </w:t>
      </w:r>
      <w:r w:rsidR="003A62E9">
        <w:rPr>
          <w:sz w:val="24"/>
          <w:szCs w:val="24"/>
        </w:rPr>
        <w:t xml:space="preserve">διαταραχή </w:t>
      </w:r>
      <w:r w:rsidR="002D5B03">
        <w:rPr>
          <w:sz w:val="24"/>
          <w:szCs w:val="24"/>
        </w:rPr>
        <w:t>στο</w:t>
      </w:r>
      <w:r w:rsidR="003874D8" w:rsidRPr="005A464E">
        <w:rPr>
          <w:sz w:val="24"/>
          <w:szCs w:val="24"/>
        </w:rPr>
        <w:t xml:space="preserve"> μηχανισμό ασβεστίου – φωσφόρου</w:t>
      </w:r>
      <w:r w:rsidR="0078495A">
        <w:rPr>
          <w:sz w:val="24"/>
          <w:szCs w:val="24"/>
        </w:rPr>
        <w:t xml:space="preserve"> </w:t>
      </w:r>
      <w:r w:rsidR="003874D8" w:rsidRPr="005A464E">
        <w:rPr>
          <w:sz w:val="24"/>
          <w:szCs w:val="24"/>
        </w:rPr>
        <w:t xml:space="preserve">μπορεί </w:t>
      </w:r>
      <w:r w:rsidRPr="005A464E">
        <w:rPr>
          <w:sz w:val="24"/>
          <w:szCs w:val="24"/>
        </w:rPr>
        <w:t xml:space="preserve">να </w:t>
      </w:r>
      <w:r w:rsidR="003874D8" w:rsidRPr="005A464E">
        <w:rPr>
          <w:sz w:val="24"/>
          <w:szCs w:val="24"/>
        </w:rPr>
        <w:t>οδηγήσει όχι μόνο σε οσ</w:t>
      </w:r>
      <w:r w:rsidR="00D317F2" w:rsidRPr="005A464E">
        <w:rPr>
          <w:sz w:val="24"/>
          <w:szCs w:val="24"/>
        </w:rPr>
        <w:t>τική νόσο αλλά και να επιδράσει</w:t>
      </w:r>
      <w:r w:rsidR="003874D8" w:rsidRPr="005A464E">
        <w:rPr>
          <w:sz w:val="24"/>
          <w:szCs w:val="24"/>
        </w:rPr>
        <w:t xml:space="preserve"> </w:t>
      </w:r>
      <w:r w:rsidR="001B0674" w:rsidRPr="005A464E">
        <w:rPr>
          <w:sz w:val="24"/>
          <w:szCs w:val="24"/>
        </w:rPr>
        <w:t xml:space="preserve">αρνητικά στο </w:t>
      </w:r>
      <w:r w:rsidR="00D317F2" w:rsidRPr="005A464E">
        <w:rPr>
          <w:sz w:val="24"/>
          <w:szCs w:val="24"/>
        </w:rPr>
        <w:t>φλεβικό</w:t>
      </w:r>
      <w:r w:rsidR="001B0674" w:rsidRPr="005A464E">
        <w:rPr>
          <w:sz w:val="24"/>
          <w:szCs w:val="24"/>
        </w:rPr>
        <w:t xml:space="preserve"> σύστημα. </w:t>
      </w:r>
      <w:r w:rsidR="00D317F2" w:rsidRPr="005A464E">
        <w:rPr>
          <w:sz w:val="24"/>
          <w:szCs w:val="24"/>
        </w:rPr>
        <w:t>Ένας</w:t>
      </w:r>
      <w:r w:rsidR="003874D8" w:rsidRPr="005A464E">
        <w:rPr>
          <w:sz w:val="24"/>
          <w:szCs w:val="24"/>
        </w:rPr>
        <w:t xml:space="preserve"> συνδυασμ</w:t>
      </w:r>
      <w:r w:rsidR="001B0674" w:rsidRPr="005A464E">
        <w:rPr>
          <w:sz w:val="24"/>
          <w:szCs w:val="24"/>
        </w:rPr>
        <w:t>ός παθολογικών διαταραχών οδηγε</w:t>
      </w:r>
      <w:r w:rsidR="003874D8" w:rsidRPr="005A464E">
        <w:rPr>
          <w:sz w:val="24"/>
          <w:szCs w:val="24"/>
        </w:rPr>
        <w:t xml:space="preserve">ί σε διαταραχές του ασβεστίου, </w:t>
      </w:r>
      <w:r w:rsidR="000546E4" w:rsidRPr="005A464E">
        <w:rPr>
          <w:sz w:val="24"/>
          <w:szCs w:val="24"/>
        </w:rPr>
        <w:t xml:space="preserve">του φωσφόρου, </w:t>
      </w:r>
      <w:r w:rsidR="000546E4" w:rsidRPr="000C2E9E">
        <w:rPr>
          <w:sz w:val="24"/>
          <w:szCs w:val="24"/>
        </w:rPr>
        <w:t xml:space="preserve">της </w:t>
      </w:r>
      <w:r w:rsidR="00D317F2" w:rsidRPr="000C2E9E">
        <w:rPr>
          <w:sz w:val="24"/>
          <w:szCs w:val="24"/>
        </w:rPr>
        <w:t>π</w:t>
      </w:r>
      <w:r w:rsidR="003A62E9" w:rsidRPr="000C2E9E">
        <w:rPr>
          <w:sz w:val="24"/>
          <w:szCs w:val="24"/>
        </w:rPr>
        <w:t>αραθο</w:t>
      </w:r>
      <w:r w:rsidR="002D5B03" w:rsidRPr="000C2E9E">
        <w:rPr>
          <w:sz w:val="24"/>
          <w:szCs w:val="24"/>
        </w:rPr>
        <w:t>ρμόνης,</w:t>
      </w:r>
      <w:r w:rsidR="001B0674" w:rsidRPr="000C2E9E">
        <w:rPr>
          <w:sz w:val="24"/>
          <w:szCs w:val="24"/>
        </w:rPr>
        <w:t xml:space="preserve"> του </w:t>
      </w:r>
      <w:r w:rsidR="00D317F2" w:rsidRPr="000C2E9E">
        <w:rPr>
          <w:sz w:val="24"/>
          <w:szCs w:val="24"/>
        </w:rPr>
        <w:t>μεταβολισμού</w:t>
      </w:r>
      <w:r w:rsidR="003874D8" w:rsidRPr="000C2E9E">
        <w:rPr>
          <w:sz w:val="24"/>
          <w:szCs w:val="24"/>
        </w:rPr>
        <w:t xml:space="preserve"> της βιταμίνης </w:t>
      </w:r>
      <w:r w:rsidR="003874D8" w:rsidRPr="000C2E9E">
        <w:rPr>
          <w:sz w:val="24"/>
          <w:szCs w:val="24"/>
          <w:lang w:val="en-US"/>
        </w:rPr>
        <w:t>D</w:t>
      </w:r>
      <w:r w:rsidR="00D317F2" w:rsidRPr="000C2E9E">
        <w:rPr>
          <w:sz w:val="24"/>
          <w:szCs w:val="24"/>
        </w:rPr>
        <w:t xml:space="preserve"> και </w:t>
      </w:r>
      <w:r w:rsidR="003874D8" w:rsidRPr="000C2E9E">
        <w:rPr>
          <w:sz w:val="24"/>
          <w:szCs w:val="24"/>
        </w:rPr>
        <w:t>α</w:t>
      </w:r>
      <w:r w:rsidR="003A62E9" w:rsidRPr="000C2E9E">
        <w:rPr>
          <w:sz w:val="24"/>
          <w:szCs w:val="24"/>
        </w:rPr>
        <w:t>σβεστοποίηση του αγγειακού τοιχώματος</w:t>
      </w:r>
      <w:r w:rsidR="00772732" w:rsidRPr="000C2E9E">
        <w:rPr>
          <w:sz w:val="24"/>
          <w:szCs w:val="24"/>
        </w:rPr>
        <w:t xml:space="preserve"> (</w:t>
      </w:r>
      <w:r w:rsidR="00FD229A" w:rsidRPr="000C2E9E">
        <w:rPr>
          <w:rStyle w:val="element-citation"/>
          <w:rFonts w:cstheme="minorHAnsi"/>
          <w:sz w:val="24"/>
          <w:szCs w:val="24"/>
          <w:lang w:val="en-US"/>
        </w:rPr>
        <w:t>NKF</w:t>
      </w:r>
      <w:r w:rsidR="00FD229A" w:rsidRPr="000C2E9E">
        <w:rPr>
          <w:rStyle w:val="element-citation"/>
          <w:rFonts w:cstheme="minorHAnsi"/>
          <w:sz w:val="24"/>
          <w:szCs w:val="24"/>
        </w:rPr>
        <w:t>-</w:t>
      </w:r>
      <w:r w:rsidR="00772732" w:rsidRPr="000C2E9E">
        <w:rPr>
          <w:sz w:val="24"/>
          <w:szCs w:val="24"/>
        </w:rPr>
        <w:t xml:space="preserve"> </w:t>
      </w:r>
      <w:r w:rsidR="00772732" w:rsidRPr="000C2E9E">
        <w:rPr>
          <w:sz w:val="24"/>
          <w:szCs w:val="24"/>
          <w:lang w:val="en-US"/>
        </w:rPr>
        <w:t>KDOQI</w:t>
      </w:r>
      <w:r w:rsidR="003128C5" w:rsidRPr="000C2E9E">
        <w:rPr>
          <w:sz w:val="24"/>
          <w:szCs w:val="24"/>
        </w:rPr>
        <w:t>,</w:t>
      </w:r>
      <w:r w:rsidR="00772732" w:rsidRPr="000C2E9E">
        <w:rPr>
          <w:sz w:val="24"/>
          <w:szCs w:val="24"/>
        </w:rPr>
        <w:t xml:space="preserve"> 2002</w:t>
      </w:r>
      <w:r w:rsidR="00D2083A" w:rsidRPr="000C2E9E">
        <w:rPr>
          <w:sz w:val="24"/>
          <w:szCs w:val="24"/>
        </w:rPr>
        <w:t xml:space="preserve">; </w:t>
      </w:r>
      <w:r w:rsidR="00D2083A" w:rsidRPr="000C2E9E">
        <w:rPr>
          <w:rFonts w:cs="Calibri"/>
          <w:color w:val="000000"/>
          <w:sz w:val="24"/>
          <w:szCs w:val="24"/>
          <w:shd w:val="clear" w:color="auto" w:fill="FFFFFF"/>
        </w:rPr>
        <w:t>Babayev &amp; Nickolas 2015).</w:t>
      </w:r>
    </w:p>
    <w:p w:rsidR="002B4B9B" w:rsidRPr="00C26EFE" w:rsidRDefault="004543C1" w:rsidP="000566B3">
      <w:pPr>
        <w:pStyle w:val="25"/>
        <w:numPr>
          <w:ilvl w:val="1"/>
          <w:numId w:val="98"/>
        </w:numPr>
        <w:spacing w:after="240" w:line="360" w:lineRule="auto"/>
        <w:rPr>
          <w:rFonts w:asciiTheme="minorHAnsi" w:hAnsiTheme="minorHAnsi"/>
        </w:rPr>
      </w:pPr>
      <w:bookmarkStart w:id="13" w:name="_Toc495951425"/>
      <w:r w:rsidRPr="00C26EFE">
        <w:rPr>
          <w:rFonts w:asciiTheme="minorHAnsi" w:hAnsiTheme="minorHAnsi"/>
        </w:rPr>
        <w:t>Διάγνωση της ΧΝΝ</w:t>
      </w:r>
      <w:bookmarkEnd w:id="13"/>
    </w:p>
    <w:p w:rsidR="004543C1" w:rsidRPr="005A464E" w:rsidRDefault="004543C1" w:rsidP="005A464E">
      <w:pPr>
        <w:spacing w:line="360" w:lineRule="auto"/>
        <w:jc w:val="both"/>
        <w:rPr>
          <w:sz w:val="24"/>
          <w:szCs w:val="24"/>
        </w:rPr>
      </w:pPr>
      <w:r w:rsidRPr="005A464E">
        <w:rPr>
          <w:sz w:val="24"/>
          <w:szCs w:val="24"/>
        </w:rPr>
        <w:t>Η έγκαιρη και σωστή</w:t>
      </w:r>
      <w:r w:rsidR="00D317F2" w:rsidRPr="005A464E">
        <w:rPr>
          <w:sz w:val="24"/>
          <w:szCs w:val="24"/>
        </w:rPr>
        <w:t xml:space="preserve"> </w:t>
      </w:r>
      <w:r w:rsidRPr="005A464E">
        <w:rPr>
          <w:sz w:val="24"/>
          <w:szCs w:val="24"/>
        </w:rPr>
        <w:t xml:space="preserve">διάγνωση της ΧΝΝ είναι δυνατή </w:t>
      </w:r>
      <w:r w:rsidR="001B0674" w:rsidRPr="005A464E">
        <w:rPr>
          <w:sz w:val="24"/>
          <w:szCs w:val="24"/>
        </w:rPr>
        <w:t>σε μεγάλο ποσοστό των ασθενών. Το</w:t>
      </w:r>
      <w:r w:rsidRPr="005A464E">
        <w:rPr>
          <w:sz w:val="24"/>
          <w:szCs w:val="24"/>
        </w:rPr>
        <w:t xml:space="preserve"> ιστορικό </w:t>
      </w:r>
      <w:r w:rsidR="00B0560D">
        <w:rPr>
          <w:sz w:val="24"/>
          <w:szCs w:val="24"/>
        </w:rPr>
        <w:t>του ασθενούς</w:t>
      </w:r>
      <w:r w:rsidR="0078495A">
        <w:rPr>
          <w:sz w:val="24"/>
          <w:szCs w:val="24"/>
        </w:rPr>
        <w:t xml:space="preserve"> </w:t>
      </w:r>
      <w:r w:rsidRPr="005A464E">
        <w:rPr>
          <w:sz w:val="24"/>
          <w:szCs w:val="24"/>
        </w:rPr>
        <w:t>και οι</w:t>
      </w:r>
      <w:r w:rsidR="00D317F2" w:rsidRPr="005A464E">
        <w:rPr>
          <w:sz w:val="24"/>
          <w:szCs w:val="24"/>
        </w:rPr>
        <w:t xml:space="preserve"> </w:t>
      </w:r>
      <w:r w:rsidRPr="005A464E">
        <w:rPr>
          <w:sz w:val="24"/>
          <w:szCs w:val="24"/>
        </w:rPr>
        <w:t xml:space="preserve">εργαστηριακές εξετάσεις θα βοηθήσουν </w:t>
      </w:r>
      <w:r w:rsidR="00D2083A">
        <w:rPr>
          <w:sz w:val="24"/>
          <w:szCs w:val="24"/>
        </w:rPr>
        <w:t>στην διαφορική διάγνωση μεταξύ ο</w:t>
      </w:r>
      <w:r w:rsidRPr="005A464E">
        <w:rPr>
          <w:sz w:val="24"/>
          <w:szCs w:val="24"/>
        </w:rPr>
        <w:t>ξε</w:t>
      </w:r>
      <w:r w:rsidR="00D317F2" w:rsidRPr="005A464E">
        <w:rPr>
          <w:sz w:val="24"/>
          <w:szCs w:val="24"/>
        </w:rPr>
        <w:t xml:space="preserve">ίας και </w:t>
      </w:r>
      <w:r w:rsidR="000653D3">
        <w:rPr>
          <w:sz w:val="24"/>
          <w:szCs w:val="24"/>
        </w:rPr>
        <w:t>ΧΝΝ</w:t>
      </w:r>
      <w:r w:rsidRPr="005A464E">
        <w:rPr>
          <w:sz w:val="24"/>
          <w:szCs w:val="24"/>
        </w:rPr>
        <w:t>. Η κλινική εξέταση περιλαμβάνει όλα τα συστήματα καθώς η ΧΝΝ προκαλεί επιπλοκές σε όλα σχεδόν τα συστήματα του οργανισμού.</w:t>
      </w:r>
    </w:p>
    <w:p w:rsidR="004543C1" w:rsidRPr="005A464E" w:rsidRDefault="004543C1" w:rsidP="005A464E">
      <w:pPr>
        <w:spacing w:line="360" w:lineRule="auto"/>
        <w:jc w:val="both"/>
        <w:rPr>
          <w:sz w:val="24"/>
          <w:szCs w:val="24"/>
        </w:rPr>
      </w:pPr>
      <w:r w:rsidRPr="005A464E">
        <w:rPr>
          <w:sz w:val="24"/>
          <w:szCs w:val="24"/>
        </w:rPr>
        <w:t xml:space="preserve">Η γενική εξέταση </w:t>
      </w:r>
      <w:r w:rsidR="00D317F2" w:rsidRPr="005A464E">
        <w:rPr>
          <w:sz w:val="24"/>
          <w:szCs w:val="24"/>
        </w:rPr>
        <w:t>ούρων, η γενική εξέταση αίματος</w:t>
      </w:r>
      <w:r w:rsidRPr="005A464E">
        <w:rPr>
          <w:sz w:val="24"/>
          <w:szCs w:val="24"/>
        </w:rPr>
        <w:t xml:space="preserve">, ο προσδιορισμός της κρεατινίνης και της ουρίας στο αίμα αποτελούν τις συνήθεις εργαστηριακές εξετάσεις </w:t>
      </w:r>
      <w:r w:rsidR="00557C92" w:rsidRPr="005A464E">
        <w:rPr>
          <w:sz w:val="24"/>
          <w:szCs w:val="24"/>
        </w:rPr>
        <w:t xml:space="preserve">που βοηθούν στην </w:t>
      </w:r>
      <w:r w:rsidR="00D317F2" w:rsidRPr="005A464E">
        <w:rPr>
          <w:sz w:val="24"/>
          <w:szCs w:val="24"/>
        </w:rPr>
        <w:t>αξιολόγηση</w:t>
      </w:r>
      <w:r w:rsidR="00557C92" w:rsidRPr="005A464E">
        <w:rPr>
          <w:sz w:val="24"/>
          <w:szCs w:val="24"/>
        </w:rPr>
        <w:t xml:space="preserve"> της βαρύτητας και του προσανατολισμού της αιτιολογικής διάγνωσης της ΧΝΝ.</w:t>
      </w:r>
    </w:p>
    <w:p w:rsidR="00557C92" w:rsidRPr="000C2E9E" w:rsidRDefault="00557C92" w:rsidP="005A464E">
      <w:pPr>
        <w:spacing w:line="360" w:lineRule="auto"/>
        <w:jc w:val="both"/>
        <w:rPr>
          <w:sz w:val="24"/>
          <w:szCs w:val="24"/>
        </w:rPr>
      </w:pPr>
      <w:r w:rsidRPr="005A464E">
        <w:rPr>
          <w:sz w:val="24"/>
          <w:szCs w:val="24"/>
        </w:rPr>
        <w:t>Στη ΧΝΝ</w:t>
      </w:r>
      <w:r w:rsidR="0078495A">
        <w:rPr>
          <w:sz w:val="24"/>
          <w:szCs w:val="24"/>
        </w:rPr>
        <w:t xml:space="preserve"> </w:t>
      </w:r>
      <w:r w:rsidRPr="005A464E">
        <w:rPr>
          <w:sz w:val="24"/>
          <w:szCs w:val="24"/>
        </w:rPr>
        <w:t xml:space="preserve">ο </w:t>
      </w:r>
      <w:r w:rsidR="00D317F2" w:rsidRPr="000C2E9E">
        <w:rPr>
          <w:sz w:val="24"/>
          <w:szCs w:val="24"/>
        </w:rPr>
        <w:t xml:space="preserve">ασθενής </w:t>
      </w:r>
      <w:r w:rsidR="003A62E9" w:rsidRPr="000C2E9E">
        <w:rPr>
          <w:sz w:val="24"/>
          <w:szCs w:val="24"/>
        </w:rPr>
        <w:t>αναφέρει</w:t>
      </w:r>
      <w:r w:rsidR="00D317F2" w:rsidRPr="000C2E9E">
        <w:rPr>
          <w:sz w:val="24"/>
          <w:szCs w:val="24"/>
        </w:rPr>
        <w:t xml:space="preserve"> πολυουρία,</w:t>
      </w:r>
      <w:r w:rsidRPr="000C2E9E">
        <w:rPr>
          <w:sz w:val="24"/>
          <w:szCs w:val="24"/>
        </w:rPr>
        <w:t xml:space="preserve"> νυκτουρία ε</w:t>
      </w:r>
      <w:r w:rsidR="001B0674" w:rsidRPr="000C2E9E">
        <w:rPr>
          <w:sz w:val="24"/>
          <w:szCs w:val="24"/>
        </w:rPr>
        <w:t>ν</w:t>
      </w:r>
      <w:r w:rsidRPr="000C2E9E">
        <w:rPr>
          <w:sz w:val="24"/>
          <w:szCs w:val="24"/>
        </w:rPr>
        <w:t>ώ τα ούρα είναι διαυγή. Στην</w:t>
      </w:r>
      <w:r w:rsidR="002D5B03" w:rsidRPr="000C2E9E">
        <w:rPr>
          <w:sz w:val="24"/>
          <w:szCs w:val="24"/>
        </w:rPr>
        <w:t xml:space="preserve"> ο</w:t>
      </w:r>
      <w:r w:rsidR="0059055B" w:rsidRPr="000C2E9E">
        <w:rPr>
          <w:sz w:val="24"/>
          <w:szCs w:val="24"/>
        </w:rPr>
        <w:t xml:space="preserve">ξεία </w:t>
      </w:r>
      <w:r w:rsidR="002D5B03" w:rsidRPr="000C2E9E">
        <w:rPr>
          <w:sz w:val="24"/>
          <w:szCs w:val="24"/>
        </w:rPr>
        <w:t>ν</w:t>
      </w:r>
      <w:r w:rsidR="0059055B" w:rsidRPr="000C2E9E">
        <w:rPr>
          <w:sz w:val="24"/>
          <w:szCs w:val="24"/>
        </w:rPr>
        <w:t xml:space="preserve">εφρική </w:t>
      </w:r>
      <w:r w:rsidR="002D5B03" w:rsidRPr="000C2E9E">
        <w:rPr>
          <w:sz w:val="24"/>
          <w:szCs w:val="24"/>
        </w:rPr>
        <w:t>α</w:t>
      </w:r>
      <w:r w:rsidR="0059055B" w:rsidRPr="000C2E9E">
        <w:rPr>
          <w:sz w:val="24"/>
          <w:szCs w:val="24"/>
        </w:rPr>
        <w:t>νεπάρκεια</w:t>
      </w:r>
      <w:r w:rsidR="00D317F2" w:rsidRPr="000C2E9E">
        <w:rPr>
          <w:sz w:val="24"/>
          <w:szCs w:val="24"/>
        </w:rPr>
        <w:t xml:space="preserve"> υπάρχει ολιγουρία και σκουρ</w:t>
      </w:r>
      <w:r w:rsidRPr="000C2E9E">
        <w:rPr>
          <w:sz w:val="24"/>
          <w:szCs w:val="24"/>
        </w:rPr>
        <w:t>όχρωμα ούρα. Το ειδικό βάρος των ούρων και η ωσμωτικότητα είναι χαμηλά</w:t>
      </w:r>
      <w:r w:rsidR="00A6223C" w:rsidRPr="000C2E9E">
        <w:rPr>
          <w:sz w:val="24"/>
          <w:szCs w:val="24"/>
        </w:rPr>
        <w:t xml:space="preserve"> (</w:t>
      </w:r>
      <w:r w:rsidR="00A6223C" w:rsidRPr="000C2E9E">
        <w:rPr>
          <w:sz w:val="24"/>
          <w:szCs w:val="24"/>
          <w:lang w:val="en-US"/>
        </w:rPr>
        <w:t>Eckardt</w:t>
      </w:r>
      <w:r w:rsidR="00A6223C" w:rsidRPr="000C2E9E">
        <w:rPr>
          <w:sz w:val="24"/>
          <w:szCs w:val="24"/>
        </w:rPr>
        <w:t xml:space="preserve"> </w:t>
      </w:r>
      <w:r w:rsidR="00A6223C" w:rsidRPr="000C2E9E">
        <w:rPr>
          <w:sz w:val="24"/>
          <w:szCs w:val="24"/>
          <w:lang w:val="en-US"/>
        </w:rPr>
        <w:t>et</w:t>
      </w:r>
      <w:r w:rsidR="00A6223C" w:rsidRPr="000C2E9E">
        <w:rPr>
          <w:sz w:val="24"/>
          <w:szCs w:val="24"/>
        </w:rPr>
        <w:t xml:space="preserve"> </w:t>
      </w:r>
      <w:r w:rsidR="00A6223C" w:rsidRPr="000C2E9E">
        <w:rPr>
          <w:sz w:val="24"/>
          <w:szCs w:val="24"/>
          <w:lang w:val="en-US"/>
        </w:rPr>
        <w:t>al</w:t>
      </w:r>
      <w:r w:rsidR="00A6223C" w:rsidRPr="000C2E9E">
        <w:rPr>
          <w:sz w:val="24"/>
          <w:szCs w:val="24"/>
        </w:rPr>
        <w:t>., 2016)</w:t>
      </w:r>
      <w:r w:rsidRPr="000C2E9E">
        <w:rPr>
          <w:sz w:val="24"/>
          <w:szCs w:val="24"/>
        </w:rPr>
        <w:t>.</w:t>
      </w:r>
    </w:p>
    <w:p w:rsidR="00557C92" w:rsidRPr="005A464E" w:rsidRDefault="003A62E9" w:rsidP="005A464E">
      <w:pPr>
        <w:spacing w:line="360" w:lineRule="auto"/>
        <w:jc w:val="both"/>
        <w:rPr>
          <w:sz w:val="24"/>
          <w:szCs w:val="24"/>
        </w:rPr>
      </w:pPr>
      <w:r w:rsidRPr="000C2E9E">
        <w:rPr>
          <w:sz w:val="24"/>
          <w:szCs w:val="24"/>
        </w:rPr>
        <w:t>Τα ε</w:t>
      </w:r>
      <w:r w:rsidR="00557C92" w:rsidRPr="000C2E9E">
        <w:rPr>
          <w:sz w:val="24"/>
          <w:szCs w:val="24"/>
        </w:rPr>
        <w:t>υρήματα από το αίμα</w:t>
      </w:r>
      <w:r w:rsidRPr="000C2E9E">
        <w:rPr>
          <w:sz w:val="24"/>
          <w:szCs w:val="24"/>
        </w:rPr>
        <w:t xml:space="preserve"> είναι τα εξής</w:t>
      </w:r>
      <w:r w:rsidR="00557C92" w:rsidRPr="000C2E9E">
        <w:rPr>
          <w:sz w:val="24"/>
          <w:szCs w:val="24"/>
        </w:rPr>
        <w:t>:</w:t>
      </w:r>
    </w:p>
    <w:p w:rsidR="00557C92" w:rsidRPr="005A464E" w:rsidRDefault="000414F2" w:rsidP="005A464E">
      <w:pPr>
        <w:pStyle w:val="a5"/>
        <w:numPr>
          <w:ilvl w:val="0"/>
          <w:numId w:val="13"/>
        </w:numPr>
        <w:spacing w:line="360" w:lineRule="auto"/>
        <w:jc w:val="both"/>
        <w:rPr>
          <w:sz w:val="24"/>
          <w:szCs w:val="24"/>
        </w:rPr>
      </w:pPr>
      <w:r w:rsidRPr="005A464E">
        <w:rPr>
          <w:sz w:val="24"/>
          <w:szCs w:val="24"/>
        </w:rPr>
        <w:t>Αύξηση ουρίας</w:t>
      </w:r>
      <w:r w:rsidR="00557C92" w:rsidRPr="005A464E">
        <w:rPr>
          <w:sz w:val="24"/>
          <w:szCs w:val="24"/>
        </w:rPr>
        <w:t>, κρεατινίνης</w:t>
      </w:r>
      <w:r w:rsidR="003A62E9">
        <w:rPr>
          <w:sz w:val="24"/>
          <w:szCs w:val="24"/>
        </w:rPr>
        <w:t>.</w:t>
      </w:r>
    </w:p>
    <w:p w:rsidR="00557C92" w:rsidRPr="005A464E" w:rsidRDefault="00557C92" w:rsidP="005A464E">
      <w:pPr>
        <w:pStyle w:val="a5"/>
        <w:numPr>
          <w:ilvl w:val="0"/>
          <w:numId w:val="13"/>
        </w:numPr>
        <w:spacing w:line="360" w:lineRule="auto"/>
        <w:jc w:val="both"/>
        <w:rPr>
          <w:sz w:val="24"/>
          <w:szCs w:val="24"/>
        </w:rPr>
      </w:pPr>
      <w:r w:rsidRPr="005A464E">
        <w:rPr>
          <w:sz w:val="24"/>
          <w:szCs w:val="24"/>
        </w:rPr>
        <w:t>Αύξηση ουρικού οξέος</w:t>
      </w:r>
      <w:r w:rsidR="003A62E9">
        <w:rPr>
          <w:sz w:val="24"/>
          <w:szCs w:val="24"/>
        </w:rPr>
        <w:t>.</w:t>
      </w:r>
    </w:p>
    <w:p w:rsidR="00557C92" w:rsidRPr="005A464E" w:rsidRDefault="00557C92" w:rsidP="005A464E">
      <w:pPr>
        <w:pStyle w:val="a5"/>
        <w:numPr>
          <w:ilvl w:val="0"/>
          <w:numId w:val="13"/>
        </w:numPr>
        <w:spacing w:line="360" w:lineRule="auto"/>
        <w:jc w:val="both"/>
        <w:rPr>
          <w:sz w:val="24"/>
          <w:szCs w:val="24"/>
        </w:rPr>
      </w:pPr>
      <w:r w:rsidRPr="005A464E">
        <w:rPr>
          <w:sz w:val="24"/>
          <w:szCs w:val="24"/>
        </w:rPr>
        <w:t>Αναιμία</w:t>
      </w:r>
      <w:r w:rsidR="003A62E9">
        <w:rPr>
          <w:sz w:val="24"/>
          <w:szCs w:val="24"/>
        </w:rPr>
        <w:t>.</w:t>
      </w:r>
    </w:p>
    <w:p w:rsidR="00557C92" w:rsidRPr="005A464E" w:rsidRDefault="00557C92" w:rsidP="005A464E">
      <w:pPr>
        <w:pStyle w:val="a5"/>
        <w:numPr>
          <w:ilvl w:val="0"/>
          <w:numId w:val="13"/>
        </w:numPr>
        <w:spacing w:line="360" w:lineRule="auto"/>
        <w:jc w:val="both"/>
        <w:rPr>
          <w:sz w:val="24"/>
          <w:szCs w:val="24"/>
        </w:rPr>
      </w:pPr>
      <w:r w:rsidRPr="005A464E">
        <w:rPr>
          <w:sz w:val="24"/>
          <w:szCs w:val="24"/>
        </w:rPr>
        <w:t>Υπερφωσφαταιμία</w:t>
      </w:r>
      <w:r w:rsidR="003A62E9">
        <w:rPr>
          <w:sz w:val="24"/>
          <w:szCs w:val="24"/>
        </w:rPr>
        <w:t>.</w:t>
      </w:r>
    </w:p>
    <w:p w:rsidR="00557C92" w:rsidRPr="005A464E" w:rsidRDefault="00557C92" w:rsidP="005A464E">
      <w:pPr>
        <w:pStyle w:val="a5"/>
        <w:numPr>
          <w:ilvl w:val="0"/>
          <w:numId w:val="13"/>
        </w:numPr>
        <w:spacing w:line="360" w:lineRule="auto"/>
        <w:jc w:val="both"/>
        <w:rPr>
          <w:sz w:val="24"/>
          <w:szCs w:val="24"/>
        </w:rPr>
      </w:pPr>
      <w:r w:rsidRPr="005A464E">
        <w:rPr>
          <w:sz w:val="24"/>
          <w:szCs w:val="24"/>
        </w:rPr>
        <w:t>Υπασβεστιαιμία</w:t>
      </w:r>
      <w:r w:rsidR="003A62E9">
        <w:rPr>
          <w:sz w:val="24"/>
          <w:szCs w:val="24"/>
        </w:rPr>
        <w:t>.</w:t>
      </w:r>
    </w:p>
    <w:p w:rsidR="00557C92" w:rsidRPr="003A62E9" w:rsidRDefault="00557C92" w:rsidP="003A62E9">
      <w:pPr>
        <w:pStyle w:val="a5"/>
        <w:numPr>
          <w:ilvl w:val="0"/>
          <w:numId w:val="13"/>
        </w:numPr>
        <w:spacing w:line="360" w:lineRule="auto"/>
        <w:jc w:val="both"/>
        <w:rPr>
          <w:sz w:val="24"/>
          <w:szCs w:val="24"/>
        </w:rPr>
      </w:pPr>
      <w:r w:rsidRPr="005A464E">
        <w:rPr>
          <w:sz w:val="24"/>
          <w:szCs w:val="24"/>
        </w:rPr>
        <w:t>Μεταβολική οξέωση</w:t>
      </w:r>
      <w:r w:rsidR="003A62E9">
        <w:rPr>
          <w:sz w:val="24"/>
          <w:szCs w:val="24"/>
        </w:rPr>
        <w:t>.</w:t>
      </w:r>
    </w:p>
    <w:p w:rsidR="00557C92" w:rsidRPr="003A62E9" w:rsidRDefault="003A62E9" w:rsidP="003A62E9">
      <w:pPr>
        <w:pStyle w:val="aa"/>
        <w:rPr>
          <w:sz w:val="24"/>
          <w:szCs w:val="24"/>
        </w:rPr>
      </w:pPr>
      <w:r w:rsidRPr="003A62E9">
        <w:rPr>
          <w:sz w:val="24"/>
          <w:szCs w:val="24"/>
        </w:rPr>
        <w:t>Τα ευρήματα από τα ούρα είναι τα εξής</w:t>
      </w:r>
      <w:r>
        <w:rPr>
          <w:sz w:val="24"/>
          <w:szCs w:val="24"/>
        </w:rPr>
        <w:t>:</w:t>
      </w:r>
    </w:p>
    <w:p w:rsidR="00557C92" w:rsidRPr="005A464E" w:rsidRDefault="00557C92" w:rsidP="005A464E">
      <w:pPr>
        <w:pStyle w:val="a5"/>
        <w:numPr>
          <w:ilvl w:val="0"/>
          <w:numId w:val="14"/>
        </w:numPr>
        <w:spacing w:line="360" w:lineRule="auto"/>
        <w:jc w:val="both"/>
        <w:rPr>
          <w:rStyle w:val="apple-converted-space"/>
          <w:sz w:val="24"/>
          <w:szCs w:val="24"/>
        </w:rPr>
      </w:pPr>
      <w:r w:rsidRPr="005A464E">
        <w:rPr>
          <w:sz w:val="24"/>
          <w:szCs w:val="24"/>
        </w:rPr>
        <w:t xml:space="preserve">Ειδικό βάρος </w:t>
      </w:r>
      <w:r w:rsidRPr="005A464E">
        <w:rPr>
          <w:rFonts w:cs="Arial"/>
          <w:color w:val="252525"/>
          <w:sz w:val="24"/>
          <w:szCs w:val="24"/>
          <w:shd w:val="clear" w:color="auto" w:fill="FFFFFF"/>
        </w:rPr>
        <w:t>≤</w:t>
      </w:r>
      <w:r w:rsidRPr="005A464E">
        <w:rPr>
          <w:rStyle w:val="apple-converted-space"/>
          <w:rFonts w:cs="Arial"/>
          <w:color w:val="252525"/>
          <w:sz w:val="24"/>
          <w:szCs w:val="24"/>
          <w:shd w:val="clear" w:color="auto" w:fill="FFFFFF"/>
        </w:rPr>
        <w:t>1010</w:t>
      </w:r>
      <w:r w:rsidR="003A62E9">
        <w:rPr>
          <w:rStyle w:val="apple-converted-space"/>
          <w:rFonts w:cs="Arial"/>
          <w:color w:val="252525"/>
          <w:sz w:val="24"/>
          <w:szCs w:val="24"/>
          <w:shd w:val="clear" w:color="auto" w:fill="FFFFFF"/>
        </w:rPr>
        <w:t>.</w:t>
      </w:r>
    </w:p>
    <w:p w:rsidR="00F055F7" w:rsidRPr="005A464E" w:rsidRDefault="00F055F7" w:rsidP="005A464E">
      <w:pPr>
        <w:pStyle w:val="a5"/>
        <w:numPr>
          <w:ilvl w:val="0"/>
          <w:numId w:val="14"/>
        </w:numPr>
        <w:spacing w:line="360" w:lineRule="auto"/>
        <w:jc w:val="both"/>
        <w:rPr>
          <w:rStyle w:val="apple-converted-space"/>
          <w:sz w:val="24"/>
          <w:szCs w:val="24"/>
        </w:rPr>
      </w:pPr>
      <w:r w:rsidRPr="005A464E">
        <w:rPr>
          <w:rStyle w:val="apple-converted-space"/>
          <w:rFonts w:cs="Arial"/>
          <w:color w:val="252525"/>
          <w:sz w:val="24"/>
          <w:szCs w:val="24"/>
          <w:shd w:val="clear" w:color="auto" w:fill="FFFFFF"/>
        </w:rPr>
        <w:t xml:space="preserve">Ωσμωτικότητα </w:t>
      </w:r>
      <w:r w:rsidRPr="005A464E">
        <w:rPr>
          <w:rFonts w:cs="Arial"/>
          <w:color w:val="252525"/>
          <w:sz w:val="24"/>
          <w:szCs w:val="24"/>
          <w:shd w:val="clear" w:color="auto" w:fill="FFFFFF"/>
        </w:rPr>
        <w:t>≤</w:t>
      </w:r>
      <w:r w:rsidRPr="005A464E">
        <w:rPr>
          <w:rStyle w:val="apple-converted-space"/>
          <w:rFonts w:cs="Arial"/>
          <w:color w:val="252525"/>
          <w:sz w:val="24"/>
          <w:szCs w:val="24"/>
          <w:shd w:val="clear" w:color="auto" w:fill="FFFFFF"/>
        </w:rPr>
        <w:t xml:space="preserve">300 </w:t>
      </w:r>
      <w:r w:rsidRPr="005A464E">
        <w:rPr>
          <w:rStyle w:val="apple-converted-space"/>
          <w:rFonts w:cs="Arial"/>
          <w:color w:val="252525"/>
          <w:sz w:val="24"/>
          <w:szCs w:val="24"/>
          <w:shd w:val="clear" w:color="auto" w:fill="FFFFFF"/>
          <w:lang w:val="en-US"/>
        </w:rPr>
        <w:t>mosm/L</w:t>
      </w:r>
      <w:r w:rsidR="003A62E9">
        <w:rPr>
          <w:rStyle w:val="apple-converted-space"/>
          <w:rFonts w:cs="Arial"/>
          <w:color w:val="252525"/>
          <w:sz w:val="24"/>
          <w:szCs w:val="24"/>
          <w:shd w:val="clear" w:color="auto" w:fill="FFFFFF"/>
        </w:rPr>
        <w:t>.</w:t>
      </w:r>
    </w:p>
    <w:p w:rsidR="00F055F7" w:rsidRPr="000C2E9E" w:rsidRDefault="00F055F7" w:rsidP="005A464E">
      <w:pPr>
        <w:spacing w:line="360" w:lineRule="auto"/>
        <w:jc w:val="both"/>
        <w:rPr>
          <w:sz w:val="24"/>
          <w:szCs w:val="24"/>
        </w:rPr>
      </w:pPr>
      <w:r w:rsidRPr="005A464E">
        <w:rPr>
          <w:sz w:val="24"/>
          <w:szCs w:val="24"/>
        </w:rPr>
        <w:t xml:space="preserve">Οι διαταραχές αυτές </w:t>
      </w:r>
      <w:r w:rsidR="00D317F2" w:rsidRPr="000C2E9E">
        <w:rPr>
          <w:sz w:val="24"/>
          <w:szCs w:val="24"/>
        </w:rPr>
        <w:t>εμφανίζονται</w:t>
      </w:r>
      <w:r w:rsidRPr="000C2E9E">
        <w:rPr>
          <w:sz w:val="24"/>
          <w:szCs w:val="24"/>
        </w:rPr>
        <w:t xml:space="preserve"> ό</w:t>
      </w:r>
      <w:r w:rsidR="003A62E9" w:rsidRPr="000C2E9E">
        <w:rPr>
          <w:sz w:val="24"/>
          <w:szCs w:val="24"/>
        </w:rPr>
        <w:t>ταν ο Ρυθμός Σπειραματικής Δ</w:t>
      </w:r>
      <w:r w:rsidRPr="000C2E9E">
        <w:rPr>
          <w:sz w:val="24"/>
          <w:szCs w:val="24"/>
        </w:rPr>
        <w:t xml:space="preserve">ιήθησης </w:t>
      </w:r>
      <w:r w:rsidR="00B51782" w:rsidRPr="000C2E9E">
        <w:rPr>
          <w:sz w:val="24"/>
          <w:szCs w:val="24"/>
        </w:rPr>
        <w:t>μειωθεί (</w:t>
      </w:r>
      <w:r w:rsidR="00B51782" w:rsidRPr="000C2E9E">
        <w:rPr>
          <w:sz w:val="24"/>
          <w:szCs w:val="24"/>
          <w:lang w:val="en-US"/>
        </w:rPr>
        <w:t>GFR</w:t>
      </w:r>
      <w:r w:rsidRPr="000C2E9E">
        <w:rPr>
          <w:sz w:val="24"/>
          <w:szCs w:val="24"/>
        </w:rPr>
        <w:t xml:space="preserve"> &lt; 30 </w:t>
      </w:r>
      <w:r w:rsidR="004A6D43" w:rsidRPr="000C2E9E">
        <w:rPr>
          <w:sz w:val="24"/>
          <w:szCs w:val="24"/>
          <w:lang w:val="en-US"/>
        </w:rPr>
        <w:t>mL</w:t>
      </w:r>
      <w:r w:rsidRPr="000C2E9E">
        <w:rPr>
          <w:sz w:val="24"/>
          <w:szCs w:val="24"/>
        </w:rPr>
        <w:t>/</w:t>
      </w:r>
      <w:r w:rsidRPr="000C2E9E">
        <w:rPr>
          <w:sz w:val="24"/>
          <w:szCs w:val="24"/>
          <w:lang w:val="en-US"/>
        </w:rPr>
        <w:t>min</w:t>
      </w:r>
      <w:r w:rsidR="00962CFF" w:rsidRPr="000C2E9E">
        <w:rPr>
          <w:sz w:val="24"/>
          <w:szCs w:val="24"/>
        </w:rPr>
        <w:t>/1,73</w:t>
      </w:r>
      <w:r w:rsidR="00580BE8" w:rsidRPr="000C2E9E">
        <w:rPr>
          <w:sz w:val="24"/>
          <w:szCs w:val="24"/>
          <w:lang w:val="en-US"/>
        </w:rPr>
        <w:t>m</w:t>
      </w:r>
      <w:r w:rsidR="00962CFF" w:rsidRPr="000C2E9E">
        <w:rPr>
          <w:sz w:val="24"/>
          <w:szCs w:val="24"/>
          <w:vertAlign w:val="superscript"/>
        </w:rPr>
        <w:t>2</w:t>
      </w:r>
      <w:r w:rsidR="00B51782" w:rsidRPr="000C2E9E">
        <w:rPr>
          <w:sz w:val="24"/>
          <w:szCs w:val="24"/>
        </w:rPr>
        <w:t>)</w:t>
      </w:r>
      <w:r w:rsidRPr="000C2E9E">
        <w:rPr>
          <w:sz w:val="24"/>
          <w:szCs w:val="24"/>
        </w:rPr>
        <w:t xml:space="preserve">. </w:t>
      </w:r>
    </w:p>
    <w:p w:rsidR="005008C3" w:rsidRPr="005A464E" w:rsidRDefault="00435975" w:rsidP="00C20FEC">
      <w:pPr>
        <w:spacing w:line="360" w:lineRule="auto"/>
        <w:jc w:val="both"/>
        <w:rPr>
          <w:sz w:val="24"/>
          <w:szCs w:val="24"/>
        </w:rPr>
      </w:pPr>
      <w:r w:rsidRPr="000C2E9E">
        <w:rPr>
          <w:sz w:val="24"/>
          <w:szCs w:val="24"/>
        </w:rPr>
        <w:t>Για την ειδι</w:t>
      </w:r>
      <w:r w:rsidR="00A01458" w:rsidRPr="000C2E9E">
        <w:rPr>
          <w:sz w:val="24"/>
          <w:szCs w:val="24"/>
        </w:rPr>
        <w:t>κή αιτιολογική διερεύνηση</w:t>
      </w:r>
      <w:r w:rsidRPr="000C2E9E">
        <w:rPr>
          <w:sz w:val="24"/>
          <w:szCs w:val="24"/>
        </w:rPr>
        <w:t xml:space="preserve"> της ΧΝΝ διενεργείται ακτινολογικός έλεγχος (ενδοφλέβια πυελογραφία,</w:t>
      </w:r>
      <w:r w:rsidR="00D317F2" w:rsidRPr="000C2E9E">
        <w:rPr>
          <w:sz w:val="24"/>
          <w:szCs w:val="24"/>
        </w:rPr>
        <w:t xml:space="preserve"> </w:t>
      </w:r>
      <w:r w:rsidRPr="000C2E9E">
        <w:rPr>
          <w:sz w:val="24"/>
          <w:szCs w:val="24"/>
        </w:rPr>
        <w:t>αξονική τομογραφία, υπερηχογράφημα νεφρών), ανοσο</w:t>
      </w:r>
      <w:r w:rsidR="00D317F2" w:rsidRPr="000C2E9E">
        <w:rPr>
          <w:sz w:val="24"/>
          <w:szCs w:val="24"/>
        </w:rPr>
        <w:t>λογικός έλεγχος (ηλεκτροφόρηση-</w:t>
      </w:r>
      <w:r w:rsidRPr="000C2E9E">
        <w:rPr>
          <w:sz w:val="24"/>
          <w:szCs w:val="24"/>
        </w:rPr>
        <w:t>ανοσοηλεκτροφόρηση λευκωμάτων</w:t>
      </w:r>
      <w:r w:rsidR="00D317F2" w:rsidRPr="000C2E9E">
        <w:rPr>
          <w:sz w:val="24"/>
          <w:szCs w:val="24"/>
        </w:rPr>
        <w:t>,</w:t>
      </w:r>
      <w:r w:rsidRPr="000C2E9E">
        <w:rPr>
          <w:sz w:val="24"/>
          <w:szCs w:val="24"/>
        </w:rPr>
        <w:t xml:space="preserve"> ρευματοειδής παράγοντας,</w:t>
      </w:r>
      <w:r w:rsidR="00D317F2" w:rsidRPr="000C2E9E">
        <w:rPr>
          <w:sz w:val="24"/>
          <w:szCs w:val="24"/>
        </w:rPr>
        <w:t xml:space="preserve"> </w:t>
      </w:r>
      <w:r w:rsidRPr="000C2E9E">
        <w:rPr>
          <w:sz w:val="24"/>
          <w:szCs w:val="24"/>
        </w:rPr>
        <w:t>ειδικά αντισώματα, κρυοσφαιρίνες, ανοσοσυμπλέγματα) κ</w:t>
      </w:r>
      <w:r w:rsidR="007E4DF3" w:rsidRPr="000C2E9E">
        <w:rPr>
          <w:sz w:val="24"/>
          <w:szCs w:val="24"/>
        </w:rPr>
        <w:t>αι παθολογοανατομικός έλεγχος</w:t>
      </w:r>
      <w:r w:rsidR="008F09BF" w:rsidRPr="000C2E9E">
        <w:rPr>
          <w:sz w:val="24"/>
          <w:szCs w:val="24"/>
        </w:rPr>
        <w:t xml:space="preserve"> (</w:t>
      </w:r>
      <w:hyperlink r:id="rId22" w:history="1">
        <w:r w:rsidR="008F09BF" w:rsidRPr="000C2E9E">
          <w:rPr>
            <w:rStyle w:val="-"/>
            <w:rFonts w:cstheme="minorHAnsi"/>
            <w:color w:val="auto"/>
            <w:sz w:val="24"/>
            <w:szCs w:val="24"/>
            <w:u w:val="none"/>
            <w:shd w:val="clear" w:color="auto" w:fill="FFFFFF"/>
          </w:rPr>
          <w:t>Girndt</w:t>
        </w:r>
        <w:r w:rsidR="003128C5" w:rsidRPr="000C2E9E">
          <w:rPr>
            <w:rStyle w:val="-"/>
            <w:rFonts w:cstheme="minorHAnsi"/>
            <w:color w:val="auto"/>
            <w:sz w:val="24"/>
            <w:szCs w:val="24"/>
            <w:u w:val="none"/>
            <w:shd w:val="clear" w:color="auto" w:fill="FFFFFF"/>
          </w:rPr>
          <w:t>,</w:t>
        </w:r>
        <w:r w:rsidR="008F09BF" w:rsidRPr="000C2E9E">
          <w:rPr>
            <w:rStyle w:val="apple-converted-space"/>
            <w:rFonts w:cstheme="minorHAnsi"/>
            <w:sz w:val="24"/>
            <w:szCs w:val="24"/>
            <w:shd w:val="clear" w:color="auto" w:fill="FFFFFF"/>
          </w:rPr>
          <w:t> </w:t>
        </w:r>
      </w:hyperlink>
      <w:r w:rsidR="003128C5" w:rsidRPr="000C2E9E">
        <w:rPr>
          <w:rFonts w:cstheme="minorHAnsi"/>
          <w:sz w:val="24"/>
          <w:szCs w:val="24"/>
        </w:rPr>
        <w:t>201</w:t>
      </w:r>
      <w:r w:rsidR="008F09BF" w:rsidRPr="000C2E9E">
        <w:rPr>
          <w:rFonts w:cstheme="minorHAnsi"/>
          <w:sz w:val="24"/>
          <w:szCs w:val="24"/>
        </w:rPr>
        <w:t>7)</w:t>
      </w:r>
      <w:r w:rsidR="000414F2" w:rsidRPr="000C2E9E">
        <w:rPr>
          <w:rFonts w:cstheme="minorHAnsi"/>
          <w:sz w:val="24"/>
          <w:szCs w:val="24"/>
        </w:rPr>
        <w:t>.</w:t>
      </w:r>
    </w:p>
    <w:p w:rsidR="002B4B9B" w:rsidRDefault="007551FF" w:rsidP="000566B3">
      <w:pPr>
        <w:pStyle w:val="25"/>
        <w:numPr>
          <w:ilvl w:val="1"/>
          <w:numId w:val="98"/>
        </w:numPr>
        <w:spacing w:after="240" w:line="360" w:lineRule="auto"/>
        <w:rPr>
          <w:rFonts w:asciiTheme="minorHAnsi" w:hAnsiTheme="minorHAnsi"/>
        </w:rPr>
      </w:pPr>
      <w:bookmarkStart w:id="14" w:name="_Toc495951426"/>
      <w:r w:rsidRPr="005A464E">
        <w:rPr>
          <w:rFonts w:asciiTheme="minorHAnsi" w:hAnsiTheme="minorHAnsi"/>
        </w:rPr>
        <w:t>Αντιμετώπιση</w:t>
      </w:r>
      <w:r w:rsidR="002B4B9B" w:rsidRPr="005A464E">
        <w:rPr>
          <w:rFonts w:asciiTheme="minorHAnsi" w:hAnsiTheme="minorHAnsi"/>
        </w:rPr>
        <w:t xml:space="preserve"> της ΧΝΝ</w:t>
      </w:r>
      <w:bookmarkEnd w:id="14"/>
    </w:p>
    <w:p w:rsidR="007E4DF3" w:rsidRPr="009F311C" w:rsidRDefault="009F311C" w:rsidP="007E4DF3">
      <w:pPr>
        <w:rPr>
          <w:sz w:val="24"/>
          <w:szCs w:val="24"/>
        </w:rPr>
      </w:pPr>
      <w:r w:rsidRPr="000C2E9E">
        <w:rPr>
          <w:sz w:val="24"/>
          <w:szCs w:val="24"/>
        </w:rPr>
        <w:t xml:space="preserve">Η </w:t>
      </w:r>
      <w:r w:rsidR="007E4DF3" w:rsidRPr="000C2E9E">
        <w:rPr>
          <w:sz w:val="24"/>
          <w:szCs w:val="24"/>
        </w:rPr>
        <w:t>αντιμετώπιση της</w:t>
      </w:r>
      <w:r w:rsidRPr="000C2E9E">
        <w:rPr>
          <w:sz w:val="24"/>
          <w:szCs w:val="24"/>
        </w:rPr>
        <w:t xml:space="preserve"> ΧΝΝ περιλαμβάνει</w:t>
      </w:r>
      <w:r w:rsidR="00AB55FC" w:rsidRPr="000C2E9E">
        <w:rPr>
          <w:sz w:val="24"/>
          <w:szCs w:val="24"/>
        </w:rPr>
        <w:t xml:space="preserve"> τα εξής:</w:t>
      </w:r>
    </w:p>
    <w:p w:rsidR="002B4B9B" w:rsidRPr="005A464E" w:rsidRDefault="002B4B9B" w:rsidP="00DB466F">
      <w:pPr>
        <w:pStyle w:val="a5"/>
        <w:numPr>
          <w:ilvl w:val="0"/>
          <w:numId w:val="33"/>
        </w:numPr>
        <w:spacing w:line="360" w:lineRule="auto"/>
        <w:rPr>
          <w:sz w:val="24"/>
          <w:szCs w:val="24"/>
        </w:rPr>
      </w:pPr>
      <w:r w:rsidRPr="005A464E">
        <w:rPr>
          <w:sz w:val="24"/>
          <w:szCs w:val="24"/>
        </w:rPr>
        <w:t>Διατήρηση της λειτουργίας των εναπομείναντων</w:t>
      </w:r>
      <w:r w:rsidR="0078495A">
        <w:rPr>
          <w:sz w:val="24"/>
          <w:szCs w:val="24"/>
        </w:rPr>
        <w:t xml:space="preserve"> </w:t>
      </w:r>
      <w:r w:rsidRPr="005A464E">
        <w:rPr>
          <w:sz w:val="24"/>
          <w:szCs w:val="24"/>
        </w:rPr>
        <w:t>λειτουργικών νεφρώνων</w:t>
      </w:r>
      <w:r w:rsidR="002D5B03">
        <w:rPr>
          <w:sz w:val="24"/>
          <w:szCs w:val="24"/>
        </w:rPr>
        <w:t>.</w:t>
      </w:r>
    </w:p>
    <w:p w:rsidR="002B4B9B" w:rsidRPr="005A464E" w:rsidRDefault="002B4B9B" w:rsidP="005A464E">
      <w:pPr>
        <w:pStyle w:val="a5"/>
        <w:numPr>
          <w:ilvl w:val="0"/>
          <w:numId w:val="12"/>
        </w:numPr>
        <w:spacing w:line="360" w:lineRule="auto"/>
        <w:rPr>
          <w:sz w:val="24"/>
          <w:szCs w:val="24"/>
        </w:rPr>
      </w:pPr>
      <w:r w:rsidRPr="005A464E">
        <w:rPr>
          <w:sz w:val="24"/>
          <w:szCs w:val="24"/>
        </w:rPr>
        <w:t>Αντιμετώπιση της υπέρτασης</w:t>
      </w:r>
      <w:r w:rsidR="00D30D12">
        <w:rPr>
          <w:sz w:val="24"/>
          <w:szCs w:val="24"/>
        </w:rPr>
        <w:t>.</w:t>
      </w:r>
    </w:p>
    <w:p w:rsidR="002B4B9B" w:rsidRPr="005A464E" w:rsidRDefault="002B4B9B" w:rsidP="005A464E">
      <w:pPr>
        <w:pStyle w:val="a5"/>
        <w:numPr>
          <w:ilvl w:val="0"/>
          <w:numId w:val="12"/>
        </w:numPr>
        <w:spacing w:line="360" w:lineRule="auto"/>
        <w:rPr>
          <w:sz w:val="24"/>
          <w:szCs w:val="24"/>
        </w:rPr>
      </w:pPr>
      <w:r w:rsidRPr="005A464E">
        <w:rPr>
          <w:sz w:val="24"/>
          <w:szCs w:val="24"/>
        </w:rPr>
        <w:t>Ρύθμιση του σακχαρώδη διαβήτη</w:t>
      </w:r>
      <w:r w:rsidR="003A62E9">
        <w:rPr>
          <w:sz w:val="24"/>
          <w:szCs w:val="24"/>
        </w:rPr>
        <w:t>.</w:t>
      </w:r>
    </w:p>
    <w:p w:rsidR="002B4B9B" w:rsidRPr="005A464E" w:rsidRDefault="002B4B9B" w:rsidP="005A464E">
      <w:pPr>
        <w:pStyle w:val="a5"/>
        <w:numPr>
          <w:ilvl w:val="0"/>
          <w:numId w:val="12"/>
        </w:numPr>
        <w:spacing w:line="360" w:lineRule="auto"/>
        <w:rPr>
          <w:sz w:val="24"/>
          <w:szCs w:val="24"/>
        </w:rPr>
      </w:pPr>
      <w:r w:rsidRPr="005A464E">
        <w:rPr>
          <w:sz w:val="24"/>
          <w:szCs w:val="24"/>
        </w:rPr>
        <w:t>Αποφυγή νεφροτοξικών φαρμάκων</w:t>
      </w:r>
      <w:r w:rsidR="003A62E9">
        <w:rPr>
          <w:sz w:val="24"/>
          <w:szCs w:val="24"/>
        </w:rPr>
        <w:t>.</w:t>
      </w:r>
    </w:p>
    <w:p w:rsidR="002B4B9B" w:rsidRPr="005A464E" w:rsidRDefault="002B4B9B" w:rsidP="005A464E">
      <w:pPr>
        <w:pStyle w:val="a5"/>
        <w:numPr>
          <w:ilvl w:val="0"/>
          <w:numId w:val="12"/>
        </w:numPr>
        <w:spacing w:line="360" w:lineRule="auto"/>
        <w:rPr>
          <w:sz w:val="24"/>
          <w:szCs w:val="24"/>
        </w:rPr>
      </w:pPr>
      <w:r w:rsidRPr="005A464E">
        <w:rPr>
          <w:sz w:val="24"/>
          <w:szCs w:val="24"/>
        </w:rPr>
        <w:t xml:space="preserve">Άρση του αιτίου που </w:t>
      </w:r>
      <w:r w:rsidR="00B9440B" w:rsidRPr="005A464E">
        <w:rPr>
          <w:sz w:val="24"/>
          <w:szCs w:val="24"/>
        </w:rPr>
        <w:t>προκαλεί</w:t>
      </w:r>
      <w:r w:rsidR="0078495A">
        <w:rPr>
          <w:sz w:val="24"/>
          <w:szCs w:val="24"/>
        </w:rPr>
        <w:t xml:space="preserve"> </w:t>
      </w:r>
      <w:r w:rsidRPr="005A464E">
        <w:rPr>
          <w:sz w:val="24"/>
          <w:szCs w:val="24"/>
        </w:rPr>
        <w:t>απόφραξη των ουροφόρων οδών</w:t>
      </w:r>
      <w:r w:rsidR="003A62E9">
        <w:rPr>
          <w:sz w:val="24"/>
          <w:szCs w:val="24"/>
        </w:rPr>
        <w:t>.</w:t>
      </w:r>
    </w:p>
    <w:p w:rsidR="002B4B9B" w:rsidRPr="005A464E" w:rsidRDefault="002B4B9B" w:rsidP="005A464E">
      <w:pPr>
        <w:pStyle w:val="a5"/>
        <w:numPr>
          <w:ilvl w:val="0"/>
          <w:numId w:val="12"/>
        </w:numPr>
        <w:spacing w:line="360" w:lineRule="auto"/>
        <w:rPr>
          <w:sz w:val="24"/>
          <w:szCs w:val="24"/>
        </w:rPr>
      </w:pPr>
      <w:r w:rsidRPr="005A464E">
        <w:rPr>
          <w:sz w:val="24"/>
          <w:szCs w:val="24"/>
        </w:rPr>
        <w:t>Αντιμετώπιση των ουρολοιμώξεων</w:t>
      </w:r>
      <w:r w:rsidR="003A62E9">
        <w:rPr>
          <w:sz w:val="24"/>
          <w:szCs w:val="24"/>
        </w:rPr>
        <w:t>.</w:t>
      </w:r>
    </w:p>
    <w:p w:rsidR="002B4B9B" w:rsidRPr="005A464E" w:rsidRDefault="002D5B03" w:rsidP="005A464E">
      <w:pPr>
        <w:pStyle w:val="a5"/>
        <w:numPr>
          <w:ilvl w:val="0"/>
          <w:numId w:val="12"/>
        </w:numPr>
        <w:spacing w:line="360" w:lineRule="auto"/>
        <w:rPr>
          <w:sz w:val="24"/>
          <w:szCs w:val="24"/>
        </w:rPr>
      </w:pPr>
      <w:r>
        <w:rPr>
          <w:sz w:val="24"/>
          <w:szCs w:val="24"/>
        </w:rPr>
        <w:t xml:space="preserve"> Αντιμετώπιση των</w:t>
      </w:r>
      <w:r w:rsidR="002B4B9B" w:rsidRPr="005A464E">
        <w:rPr>
          <w:sz w:val="24"/>
          <w:szCs w:val="24"/>
        </w:rPr>
        <w:t xml:space="preserve"> διαταραχών ύδατος και ηλεκτρολυτών</w:t>
      </w:r>
      <w:r w:rsidR="003A62E9">
        <w:rPr>
          <w:sz w:val="24"/>
          <w:szCs w:val="24"/>
        </w:rPr>
        <w:t>.</w:t>
      </w:r>
    </w:p>
    <w:p w:rsidR="002B4B9B" w:rsidRPr="005A464E" w:rsidRDefault="00A94DF0" w:rsidP="005A464E">
      <w:pPr>
        <w:pStyle w:val="a5"/>
        <w:numPr>
          <w:ilvl w:val="0"/>
          <w:numId w:val="12"/>
        </w:numPr>
        <w:spacing w:line="360" w:lineRule="auto"/>
        <w:rPr>
          <w:sz w:val="24"/>
          <w:szCs w:val="24"/>
        </w:rPr>
      </w:pPr>
      <w:r w:rsidRPr="005A464E">
        <w:rPr>
          <w:sz w:val="24"/>
          <w:szCs w:val="24"/>
        </w:rPr>
        <w:t>Τακτικός εργαστηριακός έλεγχος ηλεκτρολυτών και σωματικού βάρους</w:t>
      </w:r>
      <w:r w:rsidR="00F37A7C" w:rsidRPr="00F37A7C">
        <w:rPr>
          <w:sz w:val="24"/>
          <w:szCs w:val="24"/>
        </w:rPr>
        <w:t xml:space="preserve"> (</w:t>
      </w:r>
      <w:r w:rsidR="00F37A7C">
        <w:rPr>
          <w:sz w:val="24"/>
          <w:szCs w:val="24"/>
          <w:lang w:val="en-US"/>
        </w:rPr>
        <w:t>Vassalotti</w:t>
      </w:r>
      <w:r w:rsidR="00F37A7C" w:rsidRPr="00F37A7C">
        <w:rPr>
          <w:sz w:val="24"/>
          <w:szCs w:val="24"/>
        </w:rPr>
        <w:t xml:space="preserve"> </w:t>
      </w:r>
      <w:r w:rsidR="00F37A7C">
        <w:rPr>
          <w:sz w:val="24"/>
          <w:szCs w:val="24"/>
          <w:lang w:val="en-US"/>
        </w:rPr>
        <w:t>et</w:t>
      </w:r>
      <w:r w:rsidR="00F37A7C" w:rsidRPr="00F37A7C">
        <w:rPr>
          <w:sz w:val="24"/>
          <w:szCs w:val="24"/>
        </w:rPr>
        <w:t xml:space="preserve"> </w:t>
      </w:r>
      <w:r w:rsidR="00F37A7C">
        <w:rPr>
          <w:sz w:val="24"/>
          <w:szCs w:val="24"/>
          <w:lang w:val="en-US"/>
        </w:rPr>
        <w:t>al</w:t>
      </w:r>
      <w:r w:rsidR="00F37A7C" w:rsidRPr="00F37A7C">
        <w:rPr>
          <w:sz w:val="24"/>
          <w:szCs w:val="24"/>
        </w:rPr>
        <w:t>., 2017)</w:t>
      </w:r>
      <w:r w:rsidR="003A62E9">
        <w:rPr>
          <w:sz w:val="24"/>
          <w:szCs w:val="24"/>
        </w:rPr>
        <w:t>.</w:t>
      </w:r>
    </w:p>
    <w:p w:rsidR="007551FF" w:rsidRPr="005A464E" w:rsidRDefault="007551FF" w:rsidP="005A464E">
      <w:pPr>
        <w:pStyle w:val="a5"/>
        <w:spacing w:line="360" w:lineRule="auto"/>
        <w:rPr>
          <w:sz w:val="24"/>
          <w:szCs w:val="24"/>
        </w:rPr>
      </w:pPr>
    </w:p>
    <w:p w:rsidR="00A94DF0" w:rsidRPr="000C2E9E" w:rsidRDefault="00A94DF0" w:rsidP="002D5B03">
      <w:pPr>
        <w:pStyle w:val="a5"/>
        <w:numPr>
          <w:ilvl w:val="0"/>
          <w:numId w:val="33"/>
        </w:numPr>
        <w:spacing w:line="360" w:lineRule="auto"/>
        <w:rPr>
          <w:sz w:val="24"/>
          <w:szCs w:val="24"/>
        </w:rPr>
      </w:pPr>
      <w:r w:rsidRPr="005A464E">
        <w:rPr>
          <w:sz w:val="24"/>
          <w:szCs w:val="24"/>
        </w:rPr>
        <w:t>Συντηρητική αντιμετώπιση του ουραιμικού συνδρόμου</w:t>
      </w:r>
      <w:r w:rsidR="002D5B03">
        <w:rPr>
          <w:sz w:val="24"/>
          <w:szCs w:val="24"/>
        </w:rPr>
        <w:t>. Είναι απα</w:t>
      </w:r>
      <w:r w:rsidRPr="002D5B03">
        <w:rPr>
          <w:sz w:val="24"/>
          <w:szCs w:val="24"/>
        </w:rPr>
        <w:t xml:space="preserve">ραίτητη στους </w:t>
      </w:r>
      <w:r w:rsidRPr="000C2E9E">
        <w:rPr>
          <w:sz w:val="24"/>
          <w:szCs w:val="24"/>
        </w:rPr>
        <w:t>ασθενείς με ικανοποιητική νεφρική λειτουργία</w:t>
      </w:r>
      <w:r w:rsidR="002D5B03" w:rsidRPr="000C2E9E">
        <w:rPr>
          <w:sz w:val="24"/>
          <w:szCs w:val="24"/>
        </w:rPr>
        <w:t xml:space="preserve"> και περιλαμβάνει:</w:t>
      </w:r>
    </w:p>
    <w:p w:rsidR="00A94DF0" w:rsidRPr="000C2E9E" w:rsidRDefault="00A94DF0" w:rsidP="005A464E">
      <w:pPr>
        <w:pStyle w:val="a5"/>
        <w:numPr>
          <w:ilvl w:val="0"/>
          <w:numId w:val="19"/>
        </w:numPr>
        <w:spacing w:line="360" w:lineRule="auto"/>
        <w:rPr>
          <w:sz w:val="24"/>
          <w:szCs w:val="24"/>
        </w:rPr>
      </w:pPr>
      <w:r w:rsidRPr="000C2E9E">
        <w:rPr>
          <w:sz w:val="24"/>
          <w:szCs w:val="24"/>
        </w:rPr>
        <w:t>Αντιμετώπιση των αναστρέψιμων παραγόντων</w:t>
      </w:r>
      <w:r w:rsidR="007E4DF3" w:rsidRPr="000C2E9E">
        <w:rPr>
          <w:sz w:val="24"/>
          <w:szCs w:val="24"/>
        </w:rPr>
        <w:t>.</w:t>
      </w:r>
    </w:p>
    <w:p w:rsidR="00A94DF0" w:rsidRPr="000C2E9E" w:rsidRDefault="00A94DF0" w:rsidP="005A464E">
      <w:pPr>
        <w:pStyle w:val="a5"/>
        <w:numPr>
          <w:ilvl w:val="0"/>
          <w:numId w:val="19"/>
        </w:numPr>
        <w:spacing w:line="360" w:lineRule="auto"/>
        <w:rPr>
          <w:sz w:val="24"/>
          <w:szCs w:val="24"/>
        </w:rPr>
      </w:pPr>
      <w:r w:rsidRPr="000C2E9E">
        <w:rPr>
          <w:sz w:val="24"/>
          <w:szCs w:val="24"/>
        </w:rPr>
        <w:t>Ικανοποιητική θρέψη – κατάλληλη διαιτητική αγωγή για τη μείωση</w:t>
      </w:r>
      <w:r w:rsidR="009F311C" w:rsidRPr="000C2E9E">
        <w:rPr>
          <w:sz w:val="24"/>
          <w:szCs w:val="24"/>
        </w:rPr>
        <w:t xml:space="preserve"> της συγκέντρωσης</w:t>
      </w:r>
      <w:r w:rsidRPr="000C2E9E">
        <w:rPr>
          <w:sz w:val="24"/>
          <w:szCs w:val="24"/>
        </w:rPr>
        <w:t xml:space="preserve"> των τοξικών ουσιών</w:t>
      </w:r>
      <w:r w:rsidR="007E4DF3" w:rsidRPr="000C2E9E">
        <w:rPr>
          <w:sz w:val="24"/>
          <w:szCs w:val="24"/>
        </w:rPr>
        <w:t>.</w:t>
      </w:r>
    </w:p>
    <w:p w:rsidR="008C3CCB" w:rsidRPr="000C2E9E" w:rsidRDefault="00A94DF0" w:rsidP="005A464E">
      <w:pPr>
        <w:pStyle w:val="a5"/>
        <w:numPr>
          <w:ilvl w:val="0"/>
          <w:numId w:val="12"/>
        </w:numPr>
        <w:spacing w:line="360" w:lineRule="auto"/>
        <w:rPr>
          <w:rFonts w:asciiTheme="minorHAnsi" w:hAnsiTheme="minorHAnsi" w:cstheme="minorHAnsi"/>
          <w:sz w:val="24"/>
          <w:szCs w:val="24"/>
        </w:rPr>
      </w:pPr>
      <w:r w:rsidRPr="000C2E9E">
        <w:rPr>
          <w:sz w:val="24"/>
          <w:szCs w:val="24"/>
        </w:rPr>
        <w:t xml:space="preserve">Αντιμετώπιση </w:t>
      </w:r>
      <w:r w:rsidR="007E4DF3" w:rsidRPr="000C2E9E">
        <w:rPr>
          <w:sz w:val="24"/>
          <w:szCs w:val="24"/>
        </w:rPr>
        <w:t>των</w:t>
      </w:r>
      <w:r w:rsidRPr="000C2E9E">
        <w:rPr>
          <w:sz w:val="24"/>
          <w:szCs w:val="24"/>
        </w:rPr>
        <w:t xml:space="preserve"> διαταραχών ύδατος και ηλεκτρολυτών και </w:t>
      </w:r>
      <w:r w:rsidR="007E4DF3" w:rsidRPr="000C2E9E">
        <w:rPr>
          <w:sz w:val="24"/>
          <w:szCs w:val="24"/>
        </w:rPr>
        <w:t xml:space="preserve">της </w:t>
      </w:r>
      <w:r w:rsidRPr="000C2E9E">
        <w:rPr>
          <w:sz w:val="24"/>
          <w:szCs w:val="24"/>
        </w:rPr>
        <w:t>οξέωσης</w:t>
      </w:r>
      <w:r w:rsidR="00585101" w:rsidRPr="000C2E9E">
        <w:rPr>
          <w:rFonts w:ascii="Arial" w:hAnsi="Arial" w:cs="Arial"/>
          <w:color w:val="222222"/>
          <w:sz w:val="20"/>
          <w:szCs w:val="20"/>
          <w:shd w:val="clear" w:color="auto" w:fill="FFFFFF"/>
        </w:rPr>
        <w:t xml:space="preserve"> </w:t>
      </w:r>
      <w:r w:rsidR="00585101" w:rsidRPr="000C2E9E">
        <w:rPr>
          <w:rFonts w:asciiTheme="minorHAnsi" w:hAnsiTheme="minorHAnsi" w:cstheme="minorHAnsi"/>
          <w:sz w:val="24"/>
          <w:szCs w:val="24"/>
          <w:shd w:val="clear" w:color="auto" w:fill="FFFFFF"/>
        </w:rPr>
        <w:t xml:space="preserve">(Vanholder </w:t>
      </w:r>
      <w:r w:rsidR="00585101" w:rsidRPr="000C2E9E">
        <w:rPr>
          <w:rFonts w:asciiTheme="minorHAnsi" w:hAnsiTheme="minorHAnsi" w:cstheme="minorHAnsi"/>
          <w:sz w:val="24"/>
          <w:szCs w:val="24"/>
          <w:shd w:val="clear" w:color="auto" w:fill="FFFFFF"/>
          <w:lang w:val="en-US"/>
        </w:rPr>
        <w:t>et</w:t>
      </w:r>
      <w:r w:rsidR="00585101" w:rsidRPr="000C2E9E">
        <w:rPr>
          <w:rFonts w:asciiTheme="minorHAnsi" w:hAnsiTheme="minorHAnsi" w:cstheme="minorHAnsi"/>
          <w:sz w:val="24"/>
          <w:szCs w:val="24"/>
          <w:shd w:val="clear" w:color="auto" w:fill="FFFFFF"/>
        </w:rPr>
        <w:t xml:space="preserve"> </w:t>
      </w:r>
      <w:r w:rsidR="00585101" w:rsidRPr="000C2E9E">
        <w:rPr>
          <w:rFonts w:asciiTheme="minorHAnsi" w:hAnsiTheme="minorHAnsi" w:cstheme="minorHAnsi"/>
          <w:sz w:val="24"/>
          <w:szCs w:val="24"/>
          <w:shd w:val="clear" w:color="auto" w:fill="FFFFFF"/>
          <w:lang w:val="en-US"/>
        </w:rPr>
        <w:t>al</w:t>
      </w:r>
      <w:r w:rsidR="00585101" w:rsidRPr="000C2E9E">
        <w:rPr>
          <w:rFonts w:asciiTheme="minorHAnsi" w:hAnsiTheme="minorHAnsi" w:cstheme="minorHAnsi"/>
          <w:sz w:val="24"/>
          <w:szCs w:val="24"/>
          <w:shd w:val="clear" w:color="auto" w:fill="FFFFFF"/>
        </w:rPr>
        <w:t>., 2016)</w:t>
      </w:r>
      <w:r w:rsidR="007E4DF3" w:rsidRPr="000C2E9E">
        <w:rPr>
          <w:rFonts w:asciiTheme="minorHAnsi" w:hAnsiTheme="minorHAnsi" w:cstheme="minorHAnsi"/>
          <w:sz w:val="24"/>
          <w:szCs w:val="24"/>
        </w:rPr>
        <w:t>.</w:t>
      </w:r>
    </w:p>
    <w:p w:rsidR="008C3CCB" w:rsidRPr="005A464E" w:rsidRDefault="008C3CCB" w:rsidP="005A464E">
      <w:pPr>
        <w:pStyle w:val="a5"/>
        <w:spacing w:line="360" w:lineRule="auto"/>
        <w:rPr>
          <w:rStyle w:val="3Char"/>
          <w:rFonts w:asciiTheme="minorHAnsi" w:eastAsiaTheme="minorHAnsi" w:hAnsiTheme="minorHAnsi" w:cstheme="minorBidi"/>
          <w:b w:val="0"/>
          <w:bCs w:val="0"/>
          <w:color w:val="auto"/>
          <w:sz w:val="24"/>
          <w:szCs w:val="24"/>
        </w:rPr>
      </w:pPr>
    </w:p>
    <w:p w:rsidR="00F55634" w:rsidRPr="009F311C" w:rsidRDefault="00B9440B" w:rsidP="009F311C">
      <w:pPr>
        <w:pStyle w:val="a5"/>
        <w:numPr>
          <w:ilvl w:val="0"/>
          <w:numId w:val="33"/>
        </w:numPr>
        <w:spacing w:line="360" w:lineRule="auto"/>
        <w:rPr>
          <w:sz w:val="24"/>
          <w:szCs w:val="24"/>
        </w:rPr>
      </w:pPr>
      <w:r w:rsidRPr="005A464E">
        <w:rPr>
          <w:sz w:val="24"/>
          <w:szCs w:val="24"/>
        </w:rPr>
        <w:t>Υ</w:t>
      </w:r>
      <w:r w:rsidR="008302D4" w:rsidRPr="005A464E">
        <w:rPr>
          <w:sz w:val="24"/>
          <w:szCs w:val="24"/>
        </w:rPr>
        <w:t>ποκατάσταση της νεφρικής λειτουργίας</w:t>
      </w:r>
      <w:r w:rsidR="002D5B03">
        <w:rPr>
          <w:sz w:val="24"/>
          <w:szCs w:val="24"/>
        </w:rPr>
        <w:t>.</w:t>
      </w:r>
    </w:p>
    <w:p w:rsidR="008465E4" w:rsidRPr="005A464E" w:rsidRDefault="008465E4" w:rsidP="005A464E">
      <w:pPr>
        <w:spacing w:line="360" w:lineRule="auto"/>
        <w:rPr>
          <w:b/>
          <w:sz w:val="24"/>
          <w:szCs w:val="24"/>
        </w:rPr>
      </w:pPr>
      <w:r w:rsidRPr="005A464E">
        <w:rPr>
          <w:b/>
          <w:sz w:val="24"/>
          <w:szCs w:val="24"/>
        </w:rPr>
        <w:t>Αιμοκάθαρση</w:t>
      </w:r>
    </w:p>
    <w:p w:rsidR="002E0586" w:rsidRPr="005A464E" w:rsidRDefault="002E0586" w:rsidP="005A464E">
      <w:pPr>
        <w:spacing w:line="360" w:lineRule="auto"/>
        <w:rPr>
          <w:i/>
          <w:sz w:val="24"/>
          <w:szCs w:val="24"/>
        </w:rPr>
      </w:pPr>
      <w:r w:rsidRPr="005A464E">
        <w:rPr>
          <w:i/>
          <w:sz w:val="24"/>
          <w:szCs w:val="24"/>
          <w:lang w:val="en-US"/>
        </w:rPr>
        <w:t>H</w:t>
      </w:r>
      <w:r w:rsidR="001C2835" w:rsidRPr="005A464E">
        <w:rPr>
          <w:i/>
          <w:sz w:val="24"/>
          <w:szCs w:val="24"/>
        </w:rPr>
        <w:t xml:space="preserve"> ιστορία της αιμοκά</w:t>
      </w:r>
      <w:r w:rsidRPr="005A464E">
        <w:rPr>
          <w:i/>
          <w:sz w:val="24"/>
          <w:szCs w:val="24"/>
        </w:rPr>
        <w:t>θαρσης</w:t>
      </w:r>
    </w:p>
    <w:p w:rsidR="006D7A98" w:rsidRPr="000C2E9E" w:rsidRDefault="008465E4" w:rsidP="005A464E">
      <w:pPr>
        <w:autoSpaceDE w:val="0"/>
        <w:autoSpaceDN w:val="0"/>
        <w:adjustRightInd w:val="0"/>
        <w:spacing w:after="0" w:line="360" w:lineRule="auto"/>
        <w:jc w:val="both"/>
        <w:rPr>
          <w:rFonts w:cs="TimesNewRomanPS-BoldMT"/>
          <w:bCs/>
          <w:sz w:val="24"/>
          <w:szCs w:val="24"/>
        </w:rPr>
      </w:pPr>
      <w:r w:rsidRPr="005A464E">
        <w:rPr>
          <w:rFonts w:cs="TimesNewRomanPS-BoldMT"/>
          <w:bCs/>
          <w:sz w:val="24"/>
          <w:szCs w:val="24"/>
        </w:rPr>
        <w:t xml:space="preserve">Ο R. Bright, </w:t>
      </w:r>
      <w:r w:rsidR="00D94343" w:rsidRPr="005A464E">
        <w:rPr>
          <w:rFonts w:cs="TimesNewRomanPS-BoldMT"/>
          <w:bCs/>
          <w:sz w:val="24"/>
          <w:szCs w:val="24"/>
        </w:rPr>
        <w:t>Ά</w:t>
      </w:r>
      <w:r w:rsidR="00565227" w:rsidRPr="005A464E">
        <w:rPr>
          <w:rFonts w:cs="TimesNewRomanPS-BoldMT"/>
          <w:bCs/>
          <w:sz w:val="24"/>
          <w:szCs w:val="24"/>
        </w:rPr>
        <w:t xml:space="preserve">γγλος </w:t>
      </w:r>
      <w:r w:rsidR="00D94343" w:rsidRPr="005A464E">
        <w:rPr>
          <w:rFonts w:cs="TimesNewRomanPS-BoldMT"/>
          <w:bCs/>
          <w:sz w:val="24"/>
          <w:szCs w:val="24"/>
        </w:rPr>
        <w:t>ιατρός</w:t>
      </w:r>
      <w:r w:rsidRPr="005A464E">
        <w:rPr>
          <w:rFonts w:cs="TimesNewRomanPS-BoldMT"/>
          <w:bCs/>
          <w:sz w:val="24"/>
          <w:szCs w:val="24"/>
        </w:rPr>
        <w:t xml:space="preserve"> τ</w:t>
      </w:r>
      <w:r w:rsidR="004D732C" w:rsidRPr="005A464E">
        <w:rPr>
          <w:rFonts w:cs="TimesNewRomanPS-BoldMT"/>
          <w:bCs/>
          <w:sz w:val="24"/>
          <w:szCs w:val="24"/>
        </w:rPr>
        <w:t>ο 1827 για</w:t>
      </w:r>
      <w:r w:rsidRPr="005A464E">
        <w:rPr>
          <w:rFonts w:cs="TimesNewRomanPS-BoldMT"/>
          <w:bCs/>
          <w:sz w:val="24"/>
          <w:szCs w:val="24"/>
        </w:rPr>
        <w:t xml:space="preserve"> πρώτη φορά</w:t>
      </w:r>
      <w:r w:rsidR="0078495A">
        <w:rPr>
          <w:rFonts w:cs="TimesNewRomanPS-BoldMT"/>
          <w:bCs/>
          <w:sz w:val="24"/>
          <w:szCs w:val="24"/>
        </w:rPr>
        <w:t xml:space="preserve"> </w:t>
      </w:r>
      <w:r w:rsidRPr="005A464E">
        <w:rPr>
          <w:rFonts w:cs="TimesNewRomanPS-BoldMT"/>
          <w:bCs/>
          <w:sz w:val="24"/>
          <w:szCs w:val="24"/>
        </w:rPr>
        <w:t>περιέγραψε την κλινική ει</w:t>
      </w:r>
      <w:r w:rsidR="004D732C" w:rsidRPr="005A464E">
        <w:rPr>
          <w:rFonts w:cs="TimesNewRomanPS-BoldMT"/>
          <w:bCs/>
          <w:sz w:val="24"/>
          <w:szCs w:val="24"/>
        </w:rPr>
        <w:t>κ</w:t>
      </w:r>
      <w:r w:rsidR="00D317F2" w:rsidRPr="005A464E">
        <w:rPr>
          <w:rFonts w:cs="TimesNewRomanPS-BoldMT"/>
          <w:bCs/>
          <w:sz w:val="24"/>
          <w:szCs w:val="24"/>
        </w:rPr>
        <w:t>όνα της ΧΝΝ. Το 1854</w:t>
      </w:r>
      <w:r w:rsidRPr="005A464E">
        <w:rPr>
          <w:rFonts w:cs="TimesNewRomanPS-BoldMT"/>
          <w:bCs/>
          <w:sz w:val="24"/>
          <w:szCs w:val="24"/>
        </w:rPr>
        <w:t xml:space="preserve"> ο T. Graham, Σκωτσέζος</w:t>
      </w:r>
      <w:r w:rsidR="0078495A">
        <w:rPr>
          <w:rFonts w:cs="TimesNewRomanPS-BoldMT"/>
          <w:bCs/>
          <w:sz w:val="24"/>
          <w:szCs w:val="24"/>
        </w:rPr>
        <w:t xml:space="preserve"> </w:t>
      </w:r>
      <w:r w:rsidRPr="005A464E">
        <w:rPr>
          <w:rFonts w:cs="TimesNewRomanPS-BoldMT"/>
          <w:bCs/>
          <w:sz w:val="24"/>
          <w:szCs w:val="24"/>
        </w:rPr>
        <w:t>χημικός, αναφέρθηκε</w:t>
      </w:r>
      <w:r w:rsidR="0078495A">
        <w:rPr>
          <w:rFonts w:cs="TimesNewRomanPS-BoldMT"/>
          <w:bCs/>
          <w:sz w:val="24"/>
          <w:szCs w:val="24"/>
        </w:rPr>
        <w:t xml:space="preserve"> </w:t>
      </w:r>
      <w:r w:rsidRPr="005A464E">
        <w:rPr>
          <w:rFonts w:cs="TimesNewRomanPS-BoldMT"/>
          <w:bCs/>
          <w:sz w:val="24"/>
          <w:szCs w:val="24"/>
        </w:rPr>
        <w:t>στις αρχές της μετακίνησης διαλυμένων ουσιών διαμέσου ημιδιαπερατής</w:t>
      </w:r>
      <w:r w:rsidR="00CF0332" w:rsidRPr="005A464E">
        <w:rPr>
          <w:rFonts w:cs="TimesNewRomanPS-BoldMT"/>
          <w:bCs/>
          <w:sz w:val="24"/>
          <w:szCs w:val="24"/>
        </w:rPr>
        <w:t xml:space="preserve"> </w:t>
      </w:r>
      <w:r w:rsidRPr="005A464E">
        <w:rPr>
          <w:rFonts w:cs="TimesNewRomanPS-BoldMT"/>
          <w:bCs/>
          <w:sz w:val="24"/>
          <w:szCs w:val="24"/>
        </w:rPr>
        <w:t>μεμβράνης. Το 1913 ο J. Abel από τη Βαλτιμόρη των ΗΠΑ</w:t>
      </w:r>
      <w:r w:rsidR="002215DE">
        <w:rPr>
          <w:rFonts w:cs="TimesNewRomanPS-BoldMT"/>
          <w:bCs/>
          <w:sz w:val="24"/>
          <w:szCs w:val="24"/>
        </w:rPr>
        <w:t>, εφάρμοσε</w:t>
      </w:r>
      <w:r w:rsidR="0078495A">
        <w:rPr>
          <w:rFonts w:cs="TimesNewRomanPS-BoldMT"/>
          <w:bCs/>
          <w:sz w:val="24"/>
          <w:szCs w:val="24"/>
        </w:rPr>
        <w:t xml:space="preserve"> </w:t>
      </w:r>
      <w:r w:rsidR="002215DE">
        <w:rPr>
          <w:rFonts w:cs="TimesNewRomanPS-BoldMT"/>
          <w:bCs/>
          <w:sz w:val="24"/>
          <w:szCs w:val="24"/>
        </w:rPr>
        <w:t xml:space="preserve">τις πρώτες δοκιμές </w:t>
      </w:r>
      <w:r w:rsidRPr="005A464E">
        <w:rPr>
          <w:rFonts w:cs="TimesNewRomanPS-BoldMT"/>
          <w:bCs/>
          <w:sz w:val="24"/>
          <w:szCs w:val="24"/>
        </w:rPr>
        <w:t xml:space="preserve">αιμοκάθαρσης σε ζώα, χρησιμοποιώντας την ιρουδίνη ως αντιπηκτικό. Το 1924 ο G. Haas, ιατρός από την </w:t>
      </w:r>
      <w:r w:rsidR="00CF0332" w:rsidRPr="005A464E">
        <w:rPr>
          <w:rFonts w:cs="TimesNewRomanPS-BoldMT"/>
          <w:bCs/>
          <w:sz w:val="24"/>
          <w:szCs w:val="24"/>
        </w:rPr>
        <w:t>Γερμανία</w:t>
      </w:r>
      <w:r w:rsidR="00D317F2" w:rsidRPr="005A464E">
        <w:rPr>
          <w:rFonts w:cs="TimesNewRomanPS-BoldMT"/>
          <w:bCs/>
          <w:sz w:val="24"/>
          <w:szCs w:val="24"/>
        </w:rPr>
        <w:t>, δοκίμασε πρώτος</w:t>
      </w:r>
      <w:r w:rsidRPr="005A464E">
        <w:rPr>
          <w:rFonts w:cs="TimesNewRomanPS-BoldMT"/>
          <w:bCs/>
          <w:sz w:val="24"/>
          <w:szCs w:val="24"/>
        </w:rPr>
        <w:t>,</w:t>
      </w:r>
      <w:r w:rsidR="00D317F2" w:rsidRPr="005A464E">
        <w:rPr>
          <w:rFonts w:cs="TimesNewRomanPS-BoldMT"/>
          <w:bCs/>
          <w:sz w:val="24"/>
          <w:szCs w:val="24"/>
        </w:rPr>
        <w:t xml:space="preserve"> </w:t>
      </w:r>
      <w:r w:rsidR="002215DE">
        <w:rPr>
          <w:rFonts w:cs="TimesNewRomanPS-BoldMT"/>
          <w:bCs/>
          <w:sz w:val="24"/>
          <w:szCs w:val="24"/>
        </w:rPr>
        <w:t xml:space="preserve">αλλά χωρίς επιτυχία, </w:t>
      </w:r>
      <w:r w:rsidRPr="005A464E">
        <w:rPr>
          <w:rFonts w:cs="TimesNewRomanPS-BoldMT"/>
          <w:bCs/>
          <w:sz w:val="24"/>
          <w:szCs w:val="24"/>
        </w:rPr>
        <w:t>την αιμοκάθαρ</w:t>
      </w:r>
      <w:r w:rsidR="002215DE">
        <w:rPr>
          <w:rFonts w:cs="TimesNewRomanPS-BoldMT"/>
          <w:bCs/>
          <w:sz w:val="24"/>
          <w:szCs w:val="24"/>
        </w:rPr>
        <w:t xml:space="preserve">ση σε ανθρώπους. Χρησιμοποίησε </w:t>
      </w:r>
      <w:r w:rsidRPr="005A464E">
        <w:rPr>
          <w:rFonts w:cs="TimesNewRomanPS-BoldMT"/>
          <w:bCs/>
          <w:sz w:val="24"/>
          <w:szCs w:val="24"/>
        </w:rPr>
        <w:t>την ηπαρίνη ως αντιπηκτικό</w:t>
      </w:r>
      <w:r w:rsidR="0001255B" w:rsidRPr="005A464E">
        <w:rPr>
          <w:rFonts w:cs="TimesNewRomanPS-BoldMT"/>
          <w:bCs/>
          <w:sz w:val="24"/>
          <w:szCs w:val="24"/>
        </w:rPr>
        <w:t xml:space="preserve"> (</w:t>
      </w:r>
      <w:r w:rsidR="0001255B" w:rsidRPr="005A464E">
        <w:rPr>
          <w:rFonts w:cs="TimesNewRomanPS-BoldMT"/>
          <w:bCs/>
          <w:sz w:val="24"/>
          <w:szCs w:val="24"/>
          <w:lang w:val="en-US"/>
        </w:rPr>
        <w:t>Haas</w:t>
      </w:r>
      <w:r w:rsidR="003128C5" w:rsidRPr="00872FD2">
        <w:rPr>
          <w:rFonts w:cs="TimesNewRomanPS-BoldMT"/>
          <w:bCs/>
          <w:sz w:val="24"/>
          <w:szCs w:val="24"/>
        </w:rPr>
        <w:t>,</w:t>
      </w:r>
      <w:r w:rsidR="0001255B" w:rsidRPr="005A464E">
        <w:rPr>
          <w:rFonts w:cs="TimesNewRomanPS-BoldMT"/>
          <w:bCs/>
          <w:sz w:val="24"/>
          <w:szCs w:val="24"/>
        </w:rPr>
        <w:t xml:space="preserve"> 1925)</w:t>
      </w:r>
      <w:r w:rsidR="00D317F2" w:rsidRPr="005A464E">
        <w:rPr>
          <w:rFonts w:cs="TimesNewRomanPS-BoldMT"/>
          <w:bCs/>
          <w:sz w:val="24"/>
          <w:szCs w:val="24"/>
        </w:rPr>
        <w:t xml:space="preserve">. Το 1943 ο Ολλανδός </w:t>
      </w:r>
      <w:r w:rsidRPr="005A464E">
        <w:rPr>
          <w:rFonts w:cs="TimesNewRomanPS-BoldMT"/>
          <w:bCs/>
          <w:sz w:val="24"/>
          <w:szCs w:val="24"/>
        </w:rPr>
        <w:t>ιατρός</w:t>
      </w:r>
      <w:r w:rsidR="002215DE">
        <w:rPr>
          <w:rFonts w:cs="TimesNewRomanPS-BoldMT"/>
          <w:bCs/>
          <w:sz w:val="24"/>
          <w:szCs w:val="24"/>
        </w:rPr>
        <w:t xml:space="preserve"> W. Kolff </w:t>
      </w:r>
      <w:r w:rsidR="00A01458">
        <w:rPr>
          <w:rFonts w:cs="TimesNewRomanPS-BoldMT"/>
          <w:bCs/>
          <w:sz w:val="24"/>
          <w:szCs w:val="24"/>
        </w:rPr>
        <w:t>κατασκεύασ</w:t>
      </w:r>
      <w:r w:rsidRPr="005A464E">
        <w:rPr>
          <w:rFonts w:cs="TimesNewRomanPS-BoldMT"/>
          <w:bCs/>
          <w:sz w:val="24"/>
          <w:szCs w:val="24"/>
        </w:rPr>
        <w:t xml:space="preserve">ε έναν </w:t>
      </w:r>
      <w:r w:rsidR="00D94343" w:rsidRPr="005A464E">
        <w:rPr>
          <w:rFonts w:cs="TimesNewRomanPS-BoldMT"/>
          <w:bCs/>
          <w:sz w:val="24"/>
          <w:szCs w:val="24"/>
        </w:rPr>
        <w:t>αρχικό</w:t>
      </w:r>
      <w:r w:rsidRPr="005A464E">
        <w:rPr>
          <w:rFonts w:cs="TimesNewRomanPS-BoldMT"/>
          <w:bCs/>
          <w:sz w:val="24"/>
          <w:szCs w:val="24"/>
        </w:rPr>
        <w:t xml:space="preserve"> τεχνητό</w:t>
      </w:r>
      <w:r w:rsidR="00CF0332" w:rsidRPr="005A464E">
        <w:rPr>
          <w:rFonts w:cs="TimesNewRomanPS-BoldMT"/>
          <w:bCs/>
          <w:sz w:val="24"/>
          <w:szCs w:val="24"/>
        </w:rPr>
        <w:t xml:space="preserve"> </w:t>
      </w:r>
      <w:r w:rsidR="000104CB" w:rsidRPr="005A464E">
        <w:rPr>
          <w:rFonts w:cs="TimesNewRomanPS-BoldMT"/>
          <w:bCs/>
          <w:sz w:val="24"/>
          <w:szCs w:val="24"/>
        </w:rPr>
        <w:t xml:space="preserve">νεφρό. Σε </w:t>
      </w:r>
      <w:r w:rsidRPr="005A464E">
        <w:rPr>
          <w:rFonts w:cs="TimesNewRomanPS-BoldMT"/>
          <w:bCs/>
          <w:sz w:val="24"/>
          <w:szCs w:val="24"/>
        </w:rPr>
        <w:t xml:space="preserve">αυτόν </w:t>
      </w:r>
      <w:r w:rsidR="00D94343" w:rsidRPr="005A464E">
        <w:rPr>
          <w:rFonts w:cs="TimesNewRomanPS-BoldMT"/>
          <w:bCs/>
          <w:sz w:val="24"/>
          <w:szCs w:val="24"/>
        </w:rPr>
        <w:t>οφείλεται η πρώτη</w:t>
      </w:r>
      <w:r w:rsidR="00CF0332" w:rsidRPr="005A464E">
        <w:rPr>
          <w:rFonts w:cs="TimesNewRomanPS-BoldMT"/>
          <w:bCs/>
          <w:sz w:val="24"/>
          <w:szCs w:val="24"/>
        </w:rPr>
        <w:t xml:space="preserve"> </w:t>
      </w:r>
      <w:r w:rsidR="00D94343" w:rsidRPr="005A464E">
        <w:rPr>
          <w:rFonts w:cs="TimesNewRomanPS-BoldMT"/>
          <w:bCs/>
          <w:sz w:val="24"/>
          <w:szCs w:val="24"/>
        </w:rPr>
        <w:t>επιτυχής</w:t>
      </w:r>
      <w:r w:rsidR="00D317F2" w:rsidRPr="005A464E">
        <w:rPr>
          <w:rFonts w:cs="TimesNewRomanPS-BoldMT"/>
          <w:bCs/>
          <w:sz w:val="24"/>
          <w:szCs w:val="24"/>
        </w:rPr>
        <w:t xml:space="preserve"> αιμοκάθαρση</w:t>
      </w:r>
      <w:r w:rsidRPr="005A464E">
        <w:rPr>
          <w:rFonts w:cs="TimesNewRomanPS-BoldMT"/>
          <w:bCs/>
          <w:sz w:val="24"/>
          <w:szCs w:val="24"/>
        </w:rPr>
        <w:t xml:space="preserve"> σε</w:t>
      </w:r>
      <w:r w:rsidR="00C35C3C" w:rsidRPr="005A464E">
        <w:rPr>
          <w:rFonts w:cs="TimesNewRomanPS-BoldMT"/>
          <w:bCs/>
          <w:sz w:val="24"/>
          <w:szCs w:val="24"/>
        </w:rPr>
        <w:t xml:space="preserve"> άν</w:t>
      </w:r>
      <w:r w:rsidR="00D94343" w:rsidRPr="005A464E">
        <w:rPr>
          <w:rFonts w:cs="TimesNewRomanPS-BoldMT"/>
          <w:bCs/>
          <w:sz w:val="24"/>
          <w:szCs w:val="24"/>
        </w:rPr>
        <w:t xml:space="preserve">θρωπο </w:t>
      </w:r>
      <w:r w:rsidRPr="005A464E">
        <w:rPr>
          <w:rFonts w:cs="TimesNewRomanPS-BoldMT"/>
          <w:bCs/>
          <w:sz w:val="24"/>
          <w:szCs w:val="24"/>
        </w:rPr>
        <w:t xml:space="preserve">με οξεία νεφρική ανεπάρκεια. </w:t>
      </w:r>
      <w:r w:rsidR="00D94343" w:rsidRPr="005A464E">
        <w:rPr>
          <w:rFonts w:cs="TimesNewRomanPS-BoldMT"/>
          <w:bCs/>
          <w:sz w:val="24"/>
          <w:szCs w:val="24"/>
        </w:rPr>
        <w:t>Τ</w:t>
      </w:r>
      <w:r w:rsidRPr="005A464E">
        <w:rPr>
          <w:rFonts w:cs="TimesNewRomanPS-BoldMT"/>
          <w:bCs/>
          <w:sz w:val="24"/>
          <w:szCs w:val="24"/>
        </w:rPr>
        <w:t>ο</w:t>
      </w:r>
      <w:r w:rsidR="00D317F2" w:rsidRPr="005A464E">
        <w:rPr>
          <w:rFonts w:cs="TimesNewRomanPS-BoldMT"/>
          <w:bCs/>
          <w:sz w:val="24"/>
          <w:szCs w:val="24"/>
        </w:rPr>
        <w:t xml:space="preserve"> 1946</w:t>
      </w:r>
      <w:r w:rsidR="00587C62">
        <w:rPr>
          <w:rFonts w:cs="TimesNewRomanPS-BoldMT"/>
          <w:bCs/>
          <w:sz w:val="24"/>
          <w:szCs w:val="24"/>
        </w:rPr>
        <w:t>,</w:t>
      </w:r>
      <w:r w:rsidR="00D94343" w:rsidRPr="005A464E">
        <w:rPr>
          <w:rFonts w:cs="TimesNewRomanPS-BoldMT"/>
          <w:bCs/>
          <w:sz w:val="24"/>
          <w:szCs w:val="24"/>
        </w:rPr>
        <w:t xml:space="preserve"> </w:t>
      </w:r>
      <w:r w:rsidR="00D317F2" w:rsidRPr="005A464E">
        <w:rPr>
          <w:rFonts w:cs="TimesNewRomanPS-BoldMT"/>
          <w:bCs/>
          <w:sz w:val="24"/>
          <w:szCs w:val="24"/>
        </w:rPr>
        <w:t xml:space="preserve">ο Σουηδός </w:t>
      </w:r>
      <w:r w:rsidRPr="005A464E">
        <w:rPr>
          <w:rFonts w:cs="TimesNewRomanPS-BoldMT"/>
          <w:bCs/>
          <w:sz w:val="24"/>
          <w:szCs w:val="24"/>
        </w:rPr>
        <w:t>ιατρός</w:t>
      </w:r>
      <w:r w:rsidR="00D94343" w:rsidRPr="005A464E">
        <w:rPr>
          <w:rFonts w:cs="TimesNewRomanPS-BoldMT"/>
          <w:bCs/>
          <w:sz w:val="24"/>
          <w:szCs w:val="24"/>
        </w:rPr>
        <w:t xml:space="preserve"> N. Al</w:t>
      </w:r>
      <w:r w:rsidR="000104CB" w:rsidRPr="005A464E">
        <w:rPr>
          <w:rFonts w:cs="TimesNewRomanPS-BoldMT"/>
          <w:bCs/>
          <w:sz w:val="24"/>
          <w:szCs w:val="24"/>
        </w:rPr>
        <w:t xml:space="preserve">wall έδωσε τη δυνατότητα στον </w:t>
      </w:r>
      <w:r w:rsidR="00D94343" w:rsidRPr="005A464E">
        <w:rPr>
          <w:rFonts w:cs="TimesNewRomanPS-BoldMT"/>
          <w:bCs/>
          <w:sz w:val="24"/>
          <w:szCs w:val="24"/>
        </w:rPr>
        <w:t xml:space="preserve">τεχνητό </w:t>
      </w:r>
      <w:r w:rsidR="00CF0332" w:rsidRPr="005A464E">
        <w:rPr>
          <w:rFonts w:cs="TimesNewRomanPS-BoldMT"/>
          <w:bCs/>
          <w:sz w:val="24"/>
          <w:szCs w:val="24"/>
        </w:rPr>
        <w:t>νεφρό</w:t>
      </w:r>
      <w:r w:rsidR="00D94343" w:rsidRPr="005A464E">
        <w:rPr>
          <w:rFonts w:cs="TimesNewRomanPS-BoldMT"/>
          <w:bCs/>
          <w:sz w:val="24"/>
          <w:szCs w:val="24"/>
        </w:rPr>
        <w:t xml:space="preserve"> να</w:t>
      </w:r>
      <w:r w:rsidR="00CF0332" w:rsidRPr="005A464E">
        <w:rPr>
          <w:rFonts w:cs="TimesNewRomanPS-BoldMT"/>
          <w:bCs/>
          <w:sz w:val="24"/>
          <w:szCs w:val="24"/>
        </w:rPr>
        <w:t xml:space="preserve"> απομακρύνει </w:t>
      </w:r>
      <w:r w:rsidR="00D94343" w:rsidRPr="005A464E">
        <w:rPr>
          <w:rFonts w:cs="TimesNewRomanPS-BoldMT"/>
          <w:bCs/>
          <w:sz w:val="24"/>
          <w:szCs w:val="24"/>
        </w:rPr>
        <w:t xml:space="preserve">την </w:t>
      </w:r>
      <w:r w:rsidRPr="005A464E">
        <w:rPr>
          <w:rFonts w:cs="TimesNewRomanPS-BoldMT"/>
          <w:bCs/>
          <w:sz w:val="24"/>
          <w:szCs w:val="24"/>
        </w:rPr>
        <w:t>περίσσ</w:t>
      </w:r>
      <w:r w:rsidR="00D317F2" w:rsidRPr="005A464E">
        <w:rPr>
          <w:rFonts w:cs="TimesNewRomanPS-BoldMT"/>
          <w:bCs/>
          <w:sz w:val="24"/>
          <w:szCs w:val="24"/>
        </w:rPr>
        <w:t>εια</w:t>
      </w:r>
      <w:r w:rsidR="00A559EC" w:rsidRPr="005A464E">
        <w:rPr>
          <w:rFonts w:cs="TimesNewRomanPS-BoldMT"/>
          <w:bCs/>
          <w:sz w:val="24"/>
          <w:szCs w:val="24"/>
        </w:rPr>
        <w:t xml:space="preserve"> των υγρών από τον ασθενή. Τ</w:t>
      </w:r>
      <w:r w:rsidRPr="005A464E">
        <w:rPr>
          <w:rFonts w:cs="TimesNewRomanPS-BoldMT"/>
          <w:bCs/>
          <w:sz w:val="24"/>
          <w:szCs w:val="24"/>
        </w:rPr>
        <w:t>ο 1960</w:t>
      </w:r>
      <w:r w:rsidR="00C35C3C" w:rsidRPr="005A464E">
        <w:rPr>
          <w:rFonts w:cs="TimesNewRomanPS-BoldMT"/>
          <w:bCs/>
          <w:sz w:val="24"/>
          <w:szCs w:val="24"/>
        </w:rPr>
        <w:t xml:space="preserve"> ήταν το έτος σταθμός καθώς</w:t>
      </w:r>
      <w:r w:rsidR="00D317F2" w:rsidRPr="005A464E">
        <w:rPr>
          <w:rFonts w:cs="TimesNewRomanPS-BoldMT"/>
          <w:bCs/>
          <w:sz w:val="24"/>
          <w:szCs w:val="24"/>
        </w:rPr>
        <w:t xml:space="preserve"> τρεις </w:t>
      </w:r>
      <w:r w:rsidRPr="005A464E">
        <w:rPr>
          <w:rFonts w:cs="TimesNewRomanPS-BoldMT"/>
          <w:bCs/>
          <w:sz w:val="24"/>
          <w:szCs w:val="24"/>
        </w:rPr>
        <w:t xml:space="preserve">ιατροί </w:t>
      </w:r>
      <w:r w:rsidR="00A559EC" w:rsidRPr="005A464E">
        <w:rPr>
          <w:rFonts w:cs="TimesNewRomanPS-BoldMT"/>
          <w:bCs/>
          <w:sz w:val="24"/>
          <w:szCs w:val="24"/>
        </w:rPr>
        <w:t xml:space="preserve">από το </w:t>
      </w:r>
      <w:r w:rsidRPr="005A464E">
        <w:rPr>
          <w:rFonts w:cs="TimesNewRomanPS-BoldMT"/>
          <w:bCs/>
          <w:sz w:val="24"/>
          <w:szCs w:val="24"/>
        </w:rPr>
        <w:t xml:space="preserve">Σηάτλ των ΗΠΑ, </w:t>
      </w:r>
      <w:r w:rsidR="00A559EC" w:rsidRPr="005A464E">
        <w:rPr>
          <w:rFonts w:cs="TimesNewRomanPS-BoldMT"/>
          <w:bCs/>
          <w:sz w:val="24"/>
          <w:szCs w:val="24"/>
        </w:rPr>
        <w:t>δημιούργησαν την</w:t>
      </w:r>
      <w:r w:rsidR="00CF0332" w:rsidRPr="005A464E">
        <w:rPr>
          <w:rFonts w:cs="TimesNewRomanPS-BoldMT"/>
          <w:bCs/>
          <w:sz w:val="24"/>
          <w:szCs w:val="24"/>
        </w:rPr>
        <w:t xml:space="preserve"> </w:t>
      </w:r>
      <w:r w:rsidR="00A559EC" w:rsidRPr="005A464E">
        <w:rPr>
          <w:rFonts w:cs="TimesNewRomanPS-BoldMT"/>
          <w:bCs/>
          <w:sz w:val="24"/>
          <w:szCs w:val="24"/>
        </w:rPr>
        <w:t>πρώτη αγγειακή προσπέλαση για μακροχρόνια χρήση με τ</w:t>
      </w:r>
      <w:r w:rsidR="002215DE">
        <w:rPr>
          <w:rFonts w:cs="TimesNewRomanPS-BoldMT"/>
          <w:bCs/>
          <w:sz w:val="24"/>
          <w:szCs w:val="24"/>
        </w:rPr>
        <w:t>η βοήθεια</w:t>
      </w:r>
      <w:r w:rsidR="00A559EC" w:rsidRPr="005A464E">
        <w:rPr>
          <w:rFonts w:cs="TimesNewRomanPS-BoldMT"/>
          <w:bCs/>
          <w:sz w:val="24"/>
          <w:szCs w:val="24"/>
        </w:rPr>
        <w:t xml:space="preserve"> αρτηριοφλεβικού </w:t>
      </w:r>
      <w:r w:rsidRPr="005A464E">
        <w:rPr>
          <w:rFonts w:cs="TimesNewRomanPS-BoldMT"/>
          <w:bCs/>
          <w:sz w:val="24"/>
          <w:szCs w:val="24"/>
        </w:rPr>
        <w:t>shun</w:t>
      </w:r>
      <w:r w:rsidR="00D317F2" w:rsidRPr="005A464E">
        <w:rPr>
          <w:rFonts w:cs="TimesNewRomanPS-BoldMT"/>
          <w:bCs/>
          <w:sz w:val="24"/>
          <w:szCs w:val="24"/>
        </w:rPr>
        <w:t>t από πλαστικά σωληνάρ</w:t>
      </w:r>
      <w:r w:rsidR="00A01458">
        <w:rPr>
          <w:rFonts w:cs="TimesNewRomanPS-BoldMT"/>
          <w:bCs/>
          <w:sz w:val="24"/>
          <w:szCs w:val="24"/>
        </w:rPr>
        <w:t>ια.</w:t>
      </w:r>
      <w:r w:rsidR="00A559EC" w:rsidRPr="005A464E">
        <w:rPr>
          <w:rFonts w:cs="TimesNewRomanPS-BoldMT"/>
          <w:bCs/>
          <w:sz w:val="24"/>
          <w:szCs w:val="24"/>
        </w:rPr>
        <w:t xml:space="preserve"> </w:t>
      </w:r>
      <w:r w:rsidRPr="005A464E">
        <w:rPr>
          <w:rFonts w:cs="TimesNewRomanPS-BoldMT"/>
          <w:bCs/>
          <w:sz w:val="24"/>
          <w:szCs w:val="24"/>
        </w:rPr>
        <w:t>Το</w:t>
      </w:r>
      <w:r w:rsidR="00A559EC" w:rsidRPr="005A464E">
        <w:rPr>
          <w:rFonts w:cs="TimesNewRomanPS-BoldMT"/>
          <w:bCs/>
          <w:sz w:val="24"/>
          <w:szCs w:val="24"/>
        </w:rPr>
        <w:t xml:space="preserve"> 1966</w:t>
      </w:r>
      <w:r w:rsidR="00587C62">
        <w:rPr>
          <w:rFonts w:cs="TimesNewRomanPS-BoldMT"/>
          <w:bCs/>
          <w:sz w:val="24"/>
          <w:szCs w:val="24"/>
        </w:rPr>
        <w:t>,</w:t>
      </w:r>
      <w:r w:rsidR="00A559EC" w:rsidRPr="005A464E">
        <w:rPr>
          <w:rFonts w:cs="TimesNewRomanPS-BoldMT"/>
          <w:bCs/>
          <w:sz w:val="24"/>
          <w:szCs w:val="24"/>
        </w:rPr>
        <w:t xml:space="preserve"> </w:t>
      </w:r>
      <w:r w:rsidRPr="005A464E">
        <w:rPr>
          <w:rFonts w:cs="TimesNewRomanPS-BoldMT"/>
          <w:bCs/>
          <w:sz w:val="24"/>
          <w:szCs w:val="24"/>
        </w:rPr>
        <w:t>οι Cimino και</w:t>
      </w:r>
      <w:r w:rsidR="00A559EC" w:rsidRPr="005A464E">
        <w:rPr>
          <w:rFonts w:cs="TimesNewRomanPS-BoldMT"/>
          <w:bCs/>
          <w:sz w:val="24"/>
          <w:szCs w:val="24"/>
        </w:rPr>
        <w:t xml:space="preserve"> Brescia </w:t>
      </w:r>
      <w:r w:rsidR="00A559EC" w:rsidRPr="000C2E9E">
        <w:rPr>
          <w:rFonts w:cs="TimesNewRomanPS-BoldMT"/>
          <w:bCs/>
          <w:sz w:val="24"/>
          <w:szCs w:val="24"/>
        </w:rPr>
        <w:t>δημιούργησαν την πρώτη αρτηριο-φλεβική αναστόμωση γνωστή ως «φίστουλα»</w:t>
      </w:r>
      <w:r w:rsidR="0001255B" w:rsidRPr="000C2E9E">
        <w:rPr>
          <w:rFonts w:cs="TimesNewRomanPS-BoldMT"/>
          <w:bCs/>
          <w:sz w:val="24"/>
          <w:szCs w:val="24"/>
        </w:rPr>
        <w:t xml:space="preserve"> (</w:t>
      </w:r>
      <w:r w:rsidR="0001255B" w:rsidRPr="000C2E9E">
        <w:rPr>
          <w:rFonts w:cs="TimesNewRomanPS-BoldMT"/>
          <w:bCs/>
          <w:sz w:val="24"/>
          <w:szCs w:val="24"/>
          <w:lang w:val="en-US"/>
        </w:rPr>
        <w:t>Shaldon</w:t>
      </w:r>
      <w:r w:rsidR="009F311C" w:rsidRPr="000C2E9E">
        <w:rPr>
          <w:rFonts w:cs="TimesNewRomanPS-BoldMT"/>
          <w:bCs/>
          <w:sz w:val="24"/>
          <w:szCs w:val="24"/>
        </w:rPr>
        <w:t>,</w:t>
      </w:r>
      <w:r w:rsidR="0001255B" w:rsidRPr="000C2E9E">
        <w:rPr>
          <w:rFonts w:cs="TimesNewRomanPS-BoldMT"/>
          <w:bCs/>
          <w:sz w:val="24"/>
          <w:szCs w:val="24"/>
        </w:rPr>
        <w:t xml:space="preserve"> 1968)</w:t>
      </w:r>
      <w:r w:rsidR="00D317F2" w:rsidRPr="000C2E9E">
        <w:rPr>
          <w:rFonts w:cs="TimesNewRomanPS-BoldMT"/>
          <w:bCs/>
          <w:sz w:val="24"/>
          <w:szCs w:val="24"/>
        </w:rPr>
        <w:t>. Άλλα</w:t>
      </w:r>
      <w:r w:rsidR="00A559EC" w:rsidRPr="000C2E9E">
        <w:rPr>
          <w:rFonts w:cs="TimesNewRomanPS-BoldMT"/>
          <w:bCs/>
          <w:sz w:val="24"/>
          <w:szCs w:val="24"/>
        </w:rPr>
        <w:t xml:space="preserve"> σημαντικά βήματα στην εξέλιξη της αιμοκάθαρσης ήταν οι </w:t>
      </w:r>
      <w:r w:rsidR="00A01458" w:rsidRPr="000C2E9E">
        <w:rPr>
          <w:rFonts w:cs="TimesNewRomanPS-BoldMT"/>
          <w:bCs/>
          <w:sz w:val="24"/>
          <w:szCs w:val="24"/>
        </w:rPr>
        <w:t>συνθετικές μεμβράνες</w:t>
      </w:r>
      <w:r w:rsidR="00A559EC" w:rsidRPr="000C2E9E">
        <w:rPr>
          <w:rFonts w:cs="TimesNewRomanPS-BoldMT"/>
          <w:bCs/>
          <w:sz w:val="24"/>
          <w:szCs w:val="24"/>
        </w:rPr>
        <w:t>, η χρησιμοποίηση των διττανθρακικών στο διάλυμα της αιμοκάθαρσης από τη δεκαετία του 1980 και η π</w:t>
      </w:r>
      <w:r w:rsidR="00C35C3C" w:rsidRPr="000C2E9E">
        <w:rPr>
          <w:rFonts w:cs="TimesNewRomanPS-BoldMT"/>
          <w:bCs/>
          <w:sz w:val="24"/>
          <w:szCs w:val="24"/>
        </w:rPr>
        <w:t>α</w:t>
      </w:r>
      <w:r w:rsidR="00A559EC" w:rsidRPr="000C2E9E">
        <w:rPr>
          <w:rFonts w:cs="TimesNewRomanPS-BoldMT"/>
          <w:bCs/>
          <w:sz w:val="24"/>
          <w:szCs w:val="24"/>
        </w:rPr>
        <w:t>ραγωγή της ερυθροποιητίνης με τη μέθοδο του ανασυνδυασμένου DNA</w:t>
      </w:r>
      <w:r w:rsidR="00C35C3C" w:rsidRPr="000C2E9E">
        <w:rPr>
          <w:rFonts w:cs="TimesNewRomanPS-BoldMT"/>
          <w:bCs/>
          <w:sz w:val="24"/>
          <w:szCs w:val="24"/>
        </w:rPr>
        <w:t xml:space="preserve"> (</w:t>
      </w:r>
      <w:r w:rsidR="00C35C3C" w:rsidRPr="000C2E9E">
        <w:rPr>
          <w:rFonts w:cs="Arial"/>
          <w:color w:val="000000"/>
          <w:sz w:val="24"/>
          <w:szCs w:val="24"/>
          <w:shd w:val="clear" w:color="auto" w:fill="FFFFFF"/>
        </w:rPr>
        <w:t>Gottschalk &amp; Fellner</w:t>
      </w:r>
      <w:r w:rsidR="00AB454B" w:rsidRPr="000C2E9E">
        <w:rPr>
          <w:rFonts w:cs="Arial"/>
          <w:color w:val="000000"/>
          <w:sz w:val="24"/>
          <w:szCs w:val="24"/>
          <w:shd w:val="clear" w:color="auto" w:fill="FFFFFF"/>
        </w:rPr>
        <w:t>,</w:t>
      </w:r>
      <w:r w:rsidR="00C35C3C" w:rsidRPr="000C2E9E">
        <w:rPr>
          <w:rFonts w:cs="Arial"/>
          <w:color w:val="000000"/>
          <w:sz w:val="24"/>
          <w:szCs w:val="24"/>
          <w:shd w:val="clear" w:color="auto" w:fill="FFFFFF"/>
        </w:rPr>
        <w:t xml:space="preserve"> 1997).</w:t>
      </w:r>
    </w:p>
    <w:p w:rsidR="00786191" w:rsidRPr="000C2E9E" w:rsidRDefault="00786191" w:rsidP="005A464E">
      <w:pPr>
        <w:autoSpaceDE w:val="0"/>
        <w:autoSpaceDN w:val="0"/>
        <w:adjustRightInd w:val="0"/>
        <w:spacing w:after="0" w:line="360" w:lineRule="auto"/>
        <w:jc w:val="both"/>
        <w:rPr>
          <w:rFonts w:cs="TimesNewRomanPS-BoldMT"/>
          <w:b/>
          <w:bCs/>
        </w:rPr>
      </w:pPr>
    </w:p>
    <w:p w:rsidR="00786191" w:rsidRPr="005A464E" w:rsidRDefault="00C835B9" w:rsidP="005A464E">
      <w:pPr>
        <w:autoSpaceDE w:val="0"/>
        <w:autoSpaceDN w:val="0"/>
        <w:adjustRightInd w:val="0"/>
        <w:spacing w:after="0" w:line="360" w:lineRule="auto"/>
        <w:jc w:val="both"/>
        <w:rPr>
          <w:rFonts w:cs="TimesNewRomanPS-BoldMT"/>
          <w:b/>
          <w:bCs/>
          <w:sz w:val="24"/>
          <w:szCs w:val="24"/>
        </w:rPr>
      </w:pPr>
      <w:r w:rsidRPr="000C2E9E">
        <w:rPr>
          <w:rFonts w:cs="TimesNewRomanPS-BoldMT"/>
          <w:b/>
          <w:bCs/>
          <w:sz w:val="24"/>
          <w:szCs w:val="24"/>
          <w:lang w:val="en-US"/>
        </w:rPr>
        <w:t>H</w:t>
      </w:r>
      <w:r w:rsidR="00580BE8" w:rsidRPr="000C2E9E">
        <w:rPr>
          <w:rFonts w:cs="TimesNewRomanPS-BoldMT"/>
          <w:b/>
          <w:bCs/>
          <w:sz w:val="24"/>
          <w:szCs w:val="24"/>
        </w:rPr>
        <w:t xml:space="preserve"> αιμο</w:t>
      </w:r>
      <w:r w:rsidR="00786191" w:rsidRPr="000C2E9E">
        <w:rPr>
          <w:rFonts w:cs="TimesNewRomanPS-BoldMT"/>
          <w:b/>
          <w:bCs/>
          <w:sz w:val="24"/>
          <w:szCs w:val="24"/>
        </w:rPr>
        <w:t>κάθαρση</w:t>
      </w:r>
      <w:r w:rsidRPr="000C2E9E">
        <w:rPr>
          <w:rFonts w:cs="TimesNewRomanPS-BoldMT"/>
          <w:b/>
          <w:bCs/>
          <w:sz w:val="24"/>
          <w:szCs w:val="24"/>
        </w:rPr>
        <w:t xml:space="preserve"> εφαρμόζεται στις εξής περιπτώσεις:</w:t>
      </w:r>
    </w:p>
    <w:p w:rsidR="00786191" w:rsidRPr="005A464E" w:rsidRDefault="00A01458" w:rsidP="005A464E">
      <w:pPr>
        <w:pStyle w:val="a5"/>
        <w:numPr>
          <w:ilvl w:val="0"/>
          <w:numId w:val="17"/>
        </w:numPr>
        <w:autoSpaceDE w:val="0"/>
        <w:autoSpaceDN w:val="0"/>
        <w:adjustRightInd w:val="0"/>
        <w:spacing w:after="0" w:line="360" w:lineRule="auto"/>
        <w:jc w:val="both"/>
        <w:rPr>
          <w:rFonts w:cs="TimesNewRomanPS-BoldMT"/>
          <w:bCs/>
          <w:sz w:val="24"/>
          <w:szCs w:val="24"/>
        </w:rPr>
      </w:pPr>
      <w:r>
        <w:rPr>
          <w:rFonts w:cs="TimesNewRomanPS-BoldMT"/>
          <w:bCs/>
          <w:sz w:val="24"/>
          <w:szCs w:val="24"/>
        </w:rPr>
        <w:t>Οξεία νεφρική νόσος</w:t>
      </w:r>
      <w:r w:rsidR="003A62E9">
        <w:rPr>
          <w:rFonts w:cs="TimesNewRomanPS-BoldMT"/>
          <w:bCs/>
          <w:sz w:val="24"/>
          <w:szCs w:val="24"/>
        </w:rPr>
        <w:t>.</w:t>
      </w:r>
    </w:p>
    <w:p w:rsidR="00786191" w:rsidRPr="005A464E" w:rsidRDefault="000653D3" w:rsidP="005A464E">
      <w:pPr>
        <w:pStyle w:val="a5"/>
        <w:numPr>
          <w:ilvl w:val="0"/>
          <w:numId w:val="17"/>
        </w:numPr>
        <w:autoSpaceDE w:val="0"/>
        <w:autoSpaceDN w:val="0"/>
        <w:adjustRightInd w:val="0"/>
        <w:spacing w:after="0" w:line="360" w:lineRule="auto"/>
        <w:jc w:val="both"/>
        <w:rPr>
          <w:rFonts w:cs="TimesNewRomanPS-BoldMT"/>
          <w:bCs/>
          <w:sz w:val="24"/>
          <w:szCs w:val="24"/>
        </w:rPr>
      </w:pPr>
      <w:r>
        <w:rPr>
          <w:rFonts w:cs="TimesNewRomanPS-BoldMT"/>
          <w:bCs/>
          <w:sz w:val="24"/>
          <w:szCs w:val="24"/>
        </w:rPr>
        <w:t>ΧΝΝ</w:t>
      </w:r>
      <w:r w:rsidR="003A62E9">
        <w:rPr>
          <w:rFonts w:cs="TimesNewRomanPS-BoldMT"/>
          <w:bCs/>
          <w:sz w:val="24"/>
          <w:szCs w:val="24"/>
        </w:rPr>
        <w:t>.</w:t>
      </w:r>
    </w:p>
    <w:p w:rsidR="00786191" w:rsidRPr="005A464E" w:rsidRDefault="00786191" w:rsidP="005A464E">
      <w:pPr>
        <w:pStyle w:val="a5"/>
        <w:numPr>
          <w:ilvl w:val="0"/>
          <w:numId w:val="17"/>
        </w:numPr>
        <w:autoSpaceDE w:val="0"/>
        <w:autoSpaceDN w:val="0"/>
        <w:adjustRightInd w:val="0"/>
        <w:spacing w:after="0" w:line="360" w:lineRule="auto"/>
        <w:jc w:val="both"/>
        <w:rPr>
          <w:rFonts w:cs="TimesNewRomanPS-BoldMT"/>
          <w:bCs/>
          <w:sz w:val="24"/>
          <w:szCs w:val="24"/>
        </w:rPr>
      </w:pPr>
      <w:r w:rsidRPr="005A464E">
        <w:rPr>
          <w:rFonts w:cs="TimesNewRomanPS-BoldMT"/>
          <w:bCs/>
          <w:sz w:val="24"/>
          <w:szCs w:val="24"/>
        </w:rPr>
        <w:t>Δηλητηριάσεις</w:t>
      </w:r>
      <w:r w:rsidR="003A62E9">
        <w:rPr>
          <w:rFonts w:cs="TimesNewRomanPS-BoldMT"/>
          <w:bCs/>
          <w:sz w:val="24"/>
          <w:szCs w:val="24"/>
        </w:rPr>
        <w:t>.</w:t>
      </w:r>
    </w:p>
    <w:p w:rsidR="00786191" w:rsidRPr="005A464E" w:rsidRDefault="00786191" w:rsidP="005A464E">
      <w:pPr>
        <w:pStyle w:val="a5"/>
        <w:numPr>
          <w:ilvl w:val="0"/>
          <w:numId w:val="17"/>
        </w:numPr>
        <w:autoSpaceDE w:val="0"/>
        <w:autoSpaceDN w:val="0"/>
        <w:adjustRightInd w:val="0"/>
        <w:spacing w:after="0" w:line="360" w:lineRule="auto"/>
        <w:jc w:val="both"/>
        <w:rPr>
          <w:rFonts w:cs="TimesNewRomanPS-BoldMT"/>
          <w:bCs/>
          <w:sz w:val="24"/>
          <w:szCs w:val="24"/>
        </w:rPr>
      </w:pPr>
      <w:r w:rsidRPr="005A464E">
        <w:rPr>
          <w:rFonts w:cs="TimesNewRomanPS-BoldMT"/>
          <w:bCs/>
          <w:sz w:val="24"/>
          <w:szCs w:val="24"/>
        </w:rPr>
        <w:t>Υποθερμία</w:t>
      </w:r>
      <w:r w:rsidR="003A62E9">
        <w:rPr>
          <w:rFonts w:cs="TimesNewRomanPS-BoldMT"/>
          <w:bCs/>
          <w:sz w:val="24"/>
          <w:szCs w:val="24"/>
        </w:rPr>
        <w:t>.</w:t>
      </w:r>
    </w:p>
    <w:p w:rsidR="00786191" w:rsidRPr="005A464E" w:rsidRDefault="00786191" w:rsidP="005A464E">
      <w:pPr>
        <w:pStyle w:val="a5"/>
        <w:numPr>
          <w:ilvl w:val="0"/>
          <w:numId w:val="17"/>
        </w:numPr>
        <w:autoSpaceDE w:val="0"/>
        <w:autoSpaceDN w:val="0"/>
        <w:adjustRightInd w:val="0"/>
        <w:spacing w:after="0" w:line="360" w:lineRule="auto"/>
        <w:jc w:val="both"/>
        <w:rPr>
          <w:rFonts w:cs="TimesNewRomanPS-BoldMT"/>
          <w:bCs/>
          <w:sz w:val="24"/>
          <w:szCs w:val="24"/>
        </w:rPr>
      </w:pPr>
      <w:r w:rsidRPr="005A464E">
        <w:rPr>
          <w:rFonts w:cs="TimesNewRomanPS-BoldMT"/>
          <w:bCs/>
          <w:sz w:val="24"/>
          <w:szCs w:val="24"/>
        </w:rPr>
        <w:t>Υπερασβ</w:t>
      </w:r>
      <w:r w:rsidR="00D317F2" w:rsidRPr="005A464E">
        <w:rPr>
          <w:rFonts w:cs="TimesNewRomanPS-BoldMT"/>
          <w:bCs/>
          <w:sz w:val="24"/>
          <w:szCs w:val="24"/>
        </w:rPr>
        <w:t>ε</w:t>
      </w:r>
      <w:r w:rsidRPr="005A464E">
        <w:rPr>
          <w:rFonts w:cs="TimesNewRomanPS-BoldMT"/>
          <w:bCs/>
          <w:sz w:val="24"/>
          <w:szCs w:val="24"/>
        </w:rPr>
        <w:t>στιαιμία</w:t>
      </w:r>
      <w:r w:rsidR="003A62E9">
        <w:rPr>
          <w:rFonts w:cs="TimesNewRomanPS-BoldMT"/>
          <w:bCs/>
          <w:sz w:val="24"/>
          <w:szCs w:val="24"/>
        </w:rPr>
        <w:t>.</w:t>
      </w:r>
    </w:p>
    <w:p w:rsidR="00A559EC" w:rsidRPr="005A464E" w:rsidRDefault="00786191" w:rsidP="005A464E">
      <w:pPr>
        <w:pStyle w:val="a5"/>
        <w:numPr>
          <w:ilvl w:val="0"/>
          <w:numId w:val="17"/>
        </w:numPr>
        <w:autoSpaceDE w:val="0"/>
        <w:autoSpaceDN w:val="0"/>
        <w:adjustRightInd w:val="0"/>
        <w:spacing w:after="0" w:line="360" w:lineRule="auto"/>
        <w:jc w:val="both"/>
        <w:rPr>
          <w:rFonts w:cs="TimesNewRomanPS-BoldMT"/>
          <w:bCs/>
          <w:sz w:val="24"/>
          <w:szCs w:val="24"/>
        </w:rPr>
      </w:pPr>
      <w:r w:rsidRPr="005A464E">
        <w:rPr>
          <w:rFonts w:cs="TimesNewRomanPS-BoldMT"/>
          <w:bCs/>
          <w:sz w:val="24"/>
          <w:szCs w:val="24"/>
        </w:rPr>
        <w:t>Υπερουριχαιμία</w:t>
      </w:r>
      <w:r w:rsidR="003A62E9">
        <w:rPr>
          <w:rFonts w:cs="TimesNewRomanPS-BoldMT"/>
          <w:bCs/>
          <w:sz w:val="24"/>
          <w:szCs w:val="24"/>
        </w:rPr>
        <w:t>.</w:t>
      </w:r>
    </w:p>
    <w:p w:rsidR="00287271" w:rsidRPr="005A464E" w:rsidRDefault="00287271" w:rsidP="005A464E">
      <w:pPr>
        <w:pStyle w:val="a5"/>
        <w:numPr>
          <w:ilvl w:val="0"/>
          <w:numId w:val="17"/>
        </w:numPr>
        <w:autoSpaceDE w:val="0"/>
        <w:autoSpaceDN w:val="0"/>
        <w:adjustRightInd w:val="0"/>
        <w:spacing w:after="0" w:line="360" w:lineRule="auto"/>
        <w:jc w:val="both"/>
        <w:rPr>
          <w:rFonts w:cs="TimesNewRomanPS-BoldMT"/>
          <w:bCs/>
          <w:sz w:val="24"/>
          <w:szCs w:val="24"/>
        </w:rPr>
      </w:pPr>
      <w:r w:rsidRPr="005A464E">
        <w:rPr>
          <w:rFonts w:cs="TimesNewRomanPS-BoldMT"/>
          <w:bCs/>
          <w:sz w:val="24"/>
          <w:szCs w:val="24"/>
        </w:rPr>
        <w:t xml:space="preserve">Υπερκαλιαιμία </w:t>
      </w:r>
      <w:r w:rsidR="00A8453A" w:rsidRPr="005A464E">
        <w:rPr>
          <w:rFonts w:cs="TimesNewRomanPS-BoldMT"/>
          <w:bCs/>
          <w:sz w:val="24"/>
          <w:szCs w:val="24"/>
          <w:lang w:val="en-US"/>
        </w:rPr>
        <w:t xml:space="preserve">(Tattersall </w:t>
      </w:r>
      <w:r w:rsidR="00566CAA">
        <w:rPr>
          <w:rFonts w:cs="TimesNewRomanPS-BoldMT"/>
          <w:bCs/>
          <w:sz w:val="24"/>
          <w:szCs w:val="24"/>
        </w:rPr>
        <w:t>et al</w:t>
      </w:r>
      <w:r w:rsidR="003128C5">
        <w:rPr>
          <w:rFonts w:cs="TimesNewRomanPS-BoldMT"/>
          <w:bCs/>
          <w:sz w:val="24"/>
          <w:szCs w:val="24"/>
          <w:lang w:val="en-US"/>
        </w:rPr>
        <w:t>.</w:t>
      </w:r>
      <w:r w:rsidR="00FD229A">
        <w:rPr>
          <w:rFonts w:cs="TimesNewRomanPS-BoldMT"/>
          <w:bCs/>
          <w:sz w:val="24"/>
          <w:szCs w:val="24"/>
        </w:rPr>
        <w:t>,</w:t>
      </w:r>
      <w:r w:rsidR="004A37B3" w:rsidRPr="005A464E">
        <w:rPr>
          <w:rFonts w:cs="TimesNewRomanPS-BoldMT"/>
          <w:bCs/>
          <w:sz w:val="24"/>
          <w:szCs w:val="24"/>
        </w:rPr>
        <w:t xml:space="preserve"> 2011)</w:t>
      </w:r>
      <w:r w:rsidR="004D1D89">
        <w:rPr>
          <w:rFonts w:cs="TimesNewRomanPS-BoldMT"/>
          <w:bCs/>
          <w:sz w:val="24"/>
          <w:szCs w:val="24"/>
        </w:rPr>
        <w:t>.</w:t>
      </w:r>
    </w:p>
    <w:p w:rsidR="008C3CCB" w:rsidRPr="005A464E" w:rsidRDefault="008C3CCB" w:rsidP="005A464E">
      <w:pPr>
        <w:pStyle w:val="a6"/>
        <w:spacing w:line="360" w:lineRule="auto"/>
        <w:rPr>
          <w:lang w:eastAsia="el-GR"/>
        </w:rPr>
      </w:pPr>
      <w:bookmarkStart w:id="15" w:name="_Toc459368136"/>
      <w:bookmarkStart w:id="16" w:name="_Toc459711849"/>
      <w:bookmarkStart w:id="17" w:name="_Toc459838906"/>
    </w:p>
    <w:p w:rsidR="00A559EC" w:rsidRPr="005A464E" w:rsidRDefault="00A559EC" w:rsidP="005A464E">
      <w:pPr>
        <w:spacing w:line="360" w:lineRule="auto"/>
        <w:rPr>
          <w:b/>
          <w:sz w:val="24"/>
          <w:szCs w:val="24"/>
          <w:lang w:eastAsia="el-GR"/>
        </w:rPr>
      </w:pPr>
      <w:r w:rsidRPr="005A464E">
        <w:rPr>
          <w:b/>
          <w:sz w:val="24"/>
          <w:szCs w:val="24"/>
          <w:lang w:eastAsia="el-GR"/>
        </w:rPr>
        <w:t>Βασικές αρχές αιμοκάθαρσης</w:t>
      </w:r>
      <w:bookmarkEnd w:id="15"/>
      <w:bookmarkEnd w:id="16"/>
      <w:bookmarkEnd w:id="17"/>
    </w:p>
    <w:p w:rsidR="006D7A98" w:rsidRPr="006E1282" w:rsidRDefault="006D7A98" w:rsidP="005A464E">
      <w:pPr>
        <w:spacing w:line="360" w:lineRule="auto"/>
        <w:jc w:val="both"/>
        <w:rPr>
          <w:b/>
          <w:bCs/>
          <w:kern w:val="36"/>
          <w:sz w:val="24"/>
          <w:szCs w:val="24"/>
          <w:lang w:eastAsia="el-GR"/>
        </w:rPr>
      </w:pPr>
      <w:bookmarkStart w:id="18" w:name="_Toc459368137"/>
      <w:bookmarkStart w:id="19" w:name="_Toc459711850"/>
      <w:bookmarkStart w:id="20" w:name="_Toc459838907"/>
      <w:bookmarkStart w:id="21" w:name="_Toc460086934"/>
      <w:bookmarkStart w:id="22" w:name="_Toc461314915"/>
      <w:bookmarkStart w:id="23" w:name="_Toc461315065"/>
      <w:bookmarkStart w:id="24" w:name="_Toc462487830"/>
      <w:bookmarkStart w:id="25" w:name="_Toc462505090"/>
      <w:r w:rsidRPr="006E1282">
        <w:rPr>
          <w:sz w:val="24"/>
          <w:szCs w:val="24"/>
          <w:lang w:eastAsia="el-GR"/>
        </w:rPr>
        <w:t xml:space="preserve">Η μεταφορά </w:t>
      </w:r>
      <w:r w:rsidR="00A559EC" w:rsidRPr="006E1282">
        <w:rPr>
          <w:sz w:val="24"/>
          <w:szCs w:val="24"/>
          <w:lang w:eastAsia="el-GR"/>
        </w:rPr>
        <w:t xml:space="preserve">των </w:t>
      </w:r>
      <w:r w:rsidRPr="006E1282">
        <w:rPr>
          <w:sz w:val="24"/>
          <w:szCs w:val="24"/>
          <w:lang w:eastAsia="el-GR"/>
        </w:rPr>
        <w:t xml:space="preserve">ουσιών από το αίμα </w:t>
      </w:r>
      <w:r w:rsidR="00B0560D">
        <w:rPr>
          <w:sz w:val="24"/>
          <w:szCs w:val="24"/>
          <w:lang w:eastAsia="el-GR"/>
        </w:rPr>
        <w:t>του ασθενούς</w:t>
      </w:r>
      <w:r w:rsidRPr="006E1282">
        <w:rPr>
          <w:sz w:val="24"/>
          <w:szCs w:val="24"/>
          <w:lang w:eastAsia="el-GR"/>
        </w:rPr>
        <w:t xml:space="preserve"> στο διάλυμα της αιμοκάθαρσης ή αντίστροφα γίνεται με 3 βασικούς μηχανισμούς:</w:t>
      </w:r>
      <w:bookmarkEnd w:id="18"/>
      <w:bookmarkEnd w:id="19"/>
      <w:bookmarkEnd w:id="20"/>
      <w:bookmarkEnd w:id="21"/>
      <w:bookmarkEnd w:id="22"/>
      <w:bookmarkEnd w:id="23"/>
      <w:bookmarkEnd w:id="24"/>
      <w:bookmarkEnd w:id="25"/>
    </w:p>
    <w:p w:rsidR="006D7A98" w:rsidRPr="005A464E" w:rsidRDefault="006D7A98" w:rsidP="005A464E">
      <w:pPr>
        <w:pStyle w:val="a5"/>
        <w:numPr>
          <w:ilvl w:val="0"/>
          <w:numId w:val="15"/>
        </w:numPr>
        <w:spacing w:after="0" w:line="360" w:lineRule="auto"/>
        <w:jc w:val="both"/>
        <w:rPr>
          <w:rFonts w:eastAsia="Times New Roman"/>
          <w:color w:val="000000"/>
          <w:sz w:val="24"/>
          <w:szCs w:val="24"/>
          <w:lang w:eastAsia="el-GR"/>
        </w:rPr>
      </w:pPr>
      <w:r w:rsidRPr="005A464E">
        <w:rPr>
          <w:rFonts w:eastAsia="Times New Roman"/>
          <w:color w:val="000000"/>
          <w:sz w:val="24"/>
          <w:szCs w:val="24"/>
          <w:lang w:eastAsia="el-GR"/>
        </w:rPr>
        <w:t>Διάχυση (μετακίνηση διαλυτών ουσιών χωρίς μετακίνηση διαλύτη, δηλ. υγρού</w:t>
      </w:r>
      <w:r w:rsidR="00287271" w:rsidRPr="005A464E">
        <w:rPr>
          <w:rFonts w:eastAsia="Times New Roman"/>
          <w:color w:val="000000"/>
          <w:sz w:val="24"/>
          <w:szCs w:val="24"/>
          <w:lang w:eastAsia="el-GR"/>
        </w:rPr>
        <w:t>- κλασική</w:t>
      </w:r>
      <w:r w:rsidR="00791529" w:rsidRPr="005A464E">
        <w:rPr>
          <w:rFonts w:eastAsia="Times New Roman"/>
          <w:color w:val="000000"/>
          <w:sz w:val="24"/>
          <w:szCs w:val="24"/>
          <w:lang w:eastAsia="el-GR"/>
        </w:rPr>
        <w:t xml:space="preserve"> αιμοκάθαρση, </w:t>
      </w:r>
      <w:r w:rsidR="00791529" w:rsidRPr="005A464E">
        <w:rPr>
          <w:rFonts w:eastAsia="Times New Roman"/>
          <w:color w:val="000000"/>
          <w:sz w:val="24"/>
          <w:szCs w:val="24"/>
          <w:lang w:val="en-US" w:eastAsia="el-GR"/>
        </w:rPr>
        <w:t>High</w:t>
      </w:r>
      <w:r w:rsidR="00CF0332" w:rsidRPr="005A464E">
        <w:rPr>
          <w:rFonts w:eastAsia="Times New Roman"/>
          <w:color w:val="000000"/>
          <w:sz w:val="24"/>
          <w:szCs w:val="24"/>
          <w:lang w:eastAsia="el-GR"/>
        </w:rPr>
        <w:t xml:space="preserve"> </w:t>
      </w:r>
      <w:r w:rsidR="00791529" w:rsidRPr="005A464E">
        <w:rPr>
          <w:rFonts w:eastAsia="Times New Roman"/>
          <w:color w:val="000000"/>
          <w:sz w:val="24"/>
          <w:szCs w:val="24"/>
          <w:lang w:val="en-US" w:eastAsia="el-GR"/>
        </w:rPr>
        <w:t>efficiency</w:t>
      </w:r>
      <w:r w:rsidRPr="005A464E">
        <w:rPr>
          <w:rFonts w:eastAsia="Times New Roman"/>
          <w:color w:val="000000"/>
          <w:sz w:val="24"/>
          <w:szCs w:val="24"/>
          <w:lang w:eastAsia="el-GR"/>
        </w:rPr>
        <w:t>)</w:t>
      </w:r>
      <w:r w:rsidR="003A62E9">
        <w:rPr>
          <w:rFonts w:eastAsia="Times New Roman"/>
          <w:color w:val="000000"/>
          <w:sz w:val="24"/>
          <w:szCs w:val="24"/>
          <w:lang w:eastAsia="el-GR"/>
        </w:rPr>
        <w:t>.</w:t>
      </w:r>
    </w:p>
    <w:p w:rsidR="006D7A98" w:rsidRPr="005A464E" w:rsidRDefault="006D7A98" w:rsidP="005A464E">
      <w:pPr>
        <w:pStyle w:val="a5"/>
        <w:numPr>
          <w:ilvl w:val="0"/>
          <w:numId w:val="15"/>
        </w:numPr>
        <w:spacing w:after="0" w:line="360" w:lineRule="auto"/>
        <w:jc w:val="both"/>
        <w:rPr>
          <w:rFonts w:eastAsia="Times New Roman"/>
          <w:color w:val="000000"/>
          <w:sz w:val="24"/>
          <w:szCs w:val="24"/>
          <w:lang w:eastAsia="el-GR"/>
        </w:rPr>
      </w:pPr>
      <w:r w:rsidRPr="005A464E">
        <w:rPr>
          <w:rFonts w:eastAsia="Times New Roman"/>
          <w:color w:val="000000"/>
          <w:sz w:val="24"/>
          <w:szCs w:val="24"/>
          <w:lang w:eastAsia="el-GR"/>
        </w:rPr>
        <w:t>Διήθηση (ταυτόχρονη μετακίνηση διαλυτών ουσιών και διαλύτη</w:t>
      </w:r>
      <w:r w:rsidR="00D317F2" w:rsidRPr="005A464E">
        <w:rPr>
          <w:rFonts w:eastAsia="Times New Roman"/>
          <w:color w:val="000000"/>
          <w:sz w:val="24"/>
          <w:szCs w:val="24"/>
          <w:lang w:eastAsia="el-GR"/>
        </w:rPr>
        <w:t xml:space="preserve"> -</w:t>
      </w:r>
      <w:r w:rsidR="002D5B03">
        <w:rPr>
          <w:rFonts w:eastAsia="Times New Roman"/>
          <w:color w:val="000000"/>
          <w:sz w:val="24"/>
          <w:szCs w:val="24"/>
          <w:lang w:eastAsia="el-GR"/>
        </w:rPr>
        <w:t xml:space="preserve"> </w:t>
      </w:r>
      <w:r w:rsidR="00D317F2" w:rsidRPr="005A464E">
        <w:rPr>
          <w:rFonts w:eastAsia="Times New Roman"/>
          <w:color w:val="000000"/>
          <w:sz w:val="24"/>
          <w:szCs w:val="24"/>
          <w:lang w:eastAsia="el-GR"/>
        </w:rPr>
        <w:t>αιμοδιήθηση</w:t>
      </w:r>
      <w:r w:rsidR="00791529" w:rsidRPr="005A464E">
        <w:rPr>
          <w:rFonts w:eastAsia="Times New Roman"/>
          <w:color w:val="000000"/>
          <w:sz w:val="24"/>
          <w:szCs w:val="24"/>
          <w:lang w:eastAsia="el-GR"/>
        </w:rPr>
        <w:t>, αιμοδιαδιήθηση</w:t>
      </w:r>
      <w:r w:rsidRPr="005A464E">
        <w:rPr>
          <w:rFonts w:eastAsia="Times New Roman"/>
          <w:color w:val="000000"/>
          <w:sz w:val="24"/>
          <w:szCs w:val="24"/>
          <w:lang w:eastAsia="el-GR"/>
        </w:rPr>
        <w:t>)</w:t>
      </w:r>
      <w:r w:rsidR="003A62E9">
        <w:rPr>
          <w:rFonts w:eastAsia="Times New Roman"/>
          <w:color w:val="000000"/>
          <w:sz w:val="24"/>
          <w:szCs w:val="24"/>
          <w:lang w:eastAsia="el-GR"/>
        </w:rPr>
        <w:t>.</w:t>
      </w:r>
    </w:p>
    <w:p w:rsidR="00350F51" w:rsidRPr="005A464E" w:rsidRDefault="00791529" w:rsidP="005A464E">
      <w:pPr>
        <w:pStyle w:val="a5"/>
        <w:numPr>
          <w:ilvl w:val="0"/>
          <w:numId w:val="15"/>
        </w:numPr>
        <w:spacing w:after="0" w:line="360" w:lineRule="auto"/>
        <w:jc w:val="both"/>
        <w:rPr>
          <w:rFonts w:eastAsia="Times New Roman"/>
          <w:color w:val="000000"/>
          <w:sz w:val="24"/>
          <w:szCs w:val="24"/>
          <w:lang w:eastAsia="el-GR"/>
        </w:rPr>
      </w:pPr>
      <w:r w:rsidRPr="005A464E">
        <w:rPr>
          <w:rFonts w:eastAsia="Times New Roman"/>
          <w:color w:val="000000"/>
          <w:sz w:val="24"/>
          <w:szCs w:val="24"/>
          <w:lang w:eastAsia="el-GR"/>
        </w:rPr>
        <w:t>Προσρόφηση (αιμοπροσρόφηση)</w:t>
      </w:r>
      <w:r w:rsidR="004A37B3" w:rsidRPr="005A464E">
        <w:rPr>
          <w:rFonts w:eastAsia="Times New Roman"/>
          <w:color w:val="000000"/>
          <w:sz w:val="24"/>
          <w:szCs w:val="24"/>
          <w:lang w:eastAsia="el-GR"/>
        </w:rPr>
        <w:t xml:space="preserve"> (</w:t>
      </w:r>
      <w:r w:rsidR="00395B5D" w:rsidRPr="005A464E">
        <w:rPr>
          <w:rFonts w:eastAsia="Times New Roman"/>
          <w:color w:val="000000"/>
          <w:sz w:val="24"/>
          <w:szCs w:val="24"/>
          <w:lang w:val="en-US" w:eastAsia="el-GR"/>
        </w:rPr>
        <w:t>Fleming</w:t>
      </w:r>
      <w:r w:rsidR="003128C5">
        <w:rPr>
          <w:rFonts w:eastAsia="Times New Roman"/>
          <w:color w:val="000000"/>
          <w:sz w:val="24"/>
          <w:szCs w:val="24"/>
          <w:lang w:val="en-US" w:eastAsia="el-GR"/>
        </w:rPr>
        <w:t>,</w:t>
      </w:r>
      <w:r w:rsidR="00395B5D" w:rsidRPr="005A464E">
        <w:rPr>
          <w:rFonts w:eastAsia="Times New Roman"/>
          <w:color w:val="000000"/>
          <w:sz w:val="24"/>
          <w:szCs w:val="24"/>
          <w:lang w:val="en-US" w:eastAsia="el-GR"/>
        </w:rPr>
        <w:t xml:space="preserve"> 2011</w:t>
      </w:r>
      <w:r w:rsidR="004A37B3" w:rsidRPr="005A464E">
        <w:rPr>
          <w:rFonts w:eastAsia="Times New Roman"/>
          <w:color w:val="000000"/>
          <w:sz w:val="24"/>
          <w:szCs w:val="24"/>
          <w:lang w:val="en-US" w:eastAsia="el-GR"/>
        </w:rPr>
        <w:t>)</w:t>
      </w:r>
      <w:r w:rsidR="003A62E9">
        <w:rPr>
          <w:rFonts w:eastAsia="Times New Roman"/>
          <w:color w:val="000000"/>
          <w:sz w:val="24"/>
          <w:szCs w:val="24"/>
          <w:lang w:eastAsia="el-GR"/>
        </w:rPr>
        <w:t>.</w:t>
      </w:r>
    </w:p>
    <w:p w:rsidR="005C5BCF" w:rsidRPr="005A464E" w:rsidRDefault="005C5BCF" w:rsidP="005A464E">
      <w:pPr>
        <w:spacing w:after="0" w:line="360" w:lineRule="auto"/>
        <w:jc w:val="both"/>
        <w:rPr>
          <w:rFonts w:eastAsia="Times New Roman"/>
          <w:color w:val="000000"/>
          <w:sz w:val="24"/>
          <w:szCs w:val="24"/>
          <w:lang w:eastAsia="el-GR"/>
        </w:rPr>
      </w:pPr>
    </w:p>
    <w:p w:rsidR="005C5BCF" w:rsidRPr="000C2E9E" w:rsidRDefault="005C5BCF" w:rsidP="005A464E">
      <w:pPr>
        <w:spacing w:after="0" w:line="360" w:lineRule="auto"/>
        <w:jc w:val="both"/>
        <w:rPr>
          <w:rFonts w:eastAsia="Times New Roman"/>
          <w:color w:val="000000"/>
          <w:sz w:val="24"/>
          <w:szCs w:val="24"/>
          <w:lang w:eastAsia="el-GR"/>
        </w:rPr>
      </w:pPr>
      <w:r w:rsidRPr="000C2E9E">
        <w:rPr>
          <w:rFonts w:eastAsia="Times New Roman"/>
          <w:color w:val="000000"/>
          <w:sz w:val="24"/>
          <w:szCs w:val="24"/>
          <w:lang w:eastAsia="el-GR"/>
        </w:rPr>
        <w:t xml:space="preserve">Για την πραγματοποίηση μιας </w:t>
      </w:r>
      <w:r w:rsidR="008C3CCB" w:rsidRPr="000C2E9E">
        <w:rPr>
          <w:rFonts w:eastAsia="Times New Roman"/>
          <w:color w:val="000000"/>
          <w:sz w:val="24"/>
          <w:szCs w:val="24"/>
          <w:lang w:eastAsia="el-GR"/>
        </w:rPr>
        <w:t>συνεδρίας</w:t>
      </w:r>
      <w:r w:rsidRPr="000C2E9E">
        <w:rPr>
          <w:rFonts w:eastAsia="Times New Roman"/>
          <w:color w:val="000000"/>
          <w:sz w:val="24"/>
          <w:szCs w:val="24"/>
          <w:lang w:eastAsia="el-GR"/>
        </w:rPr>
        <w:t xml:space="preserve"> αιμοκάθαρσης </w:t>
      </w:r>
      <w:r w:rsidR="008C3CCB" w:rsidRPr="000C2E9E">
        <w:rPr>
          <w:rFonts w:eastAsia="Times New Roman"/>
          <w:color w:val="000000"/>
          <w:sz w:val="24"/>
          <w:szCs w:val="24"/>
          <w:lang w:eastAsia="el-GR"/>
        </w:rPr>
        <w:t>απαιτούνται</w:t>
      </w:r>
      <w:r w:rsidRPr="000C2E9E">
        <w:rPr>
          <w:rFonts w:eastAsia="Times New Roman"/>
          <w:color w:val="000000"/>
          <w:sz w:val="24"/>
          <w:szCs w:val="24"/>
          <w:lang w:eastAsia="el-GR"/>
        </w:rPr>
        <w:t>:</w:t>
      </w:r>
    </w:p>
    <w:p w:rsidR="005C5BCF" w:rsidRPr="000C2E9E" w:rsidRDefault="003A62E9" w:rsidP="005A464E">
      <w:pPr>
        <w:pStyle w:val="a5"/>
        <w:numPr>
          <w:ilvl w:val="0"/>
          <w:numId w:val="16"/>
        </w:numPr>
        <w:spacing w:after="0" w:line="360" w:lineRule="auto"/>
        <w:jc w:val="both"/>
        <w:rPr>
          <w:rFonts w:eastAsia="Times New Roman"/>
          <w:color w:val="000000"/>
          <w:sz w:val="24"/>
          <w:szCs w:val="24"/>
          <w:lang w:eastAsia="el-GR"/>
        </w:rPr>
      </w:pPr>
      <w:r w:rsidRPr="000C2E9E">
        <w:rPr>
          <w:rFonts w:eastAsia="Times New Roman"/>
          <w:color w:val="000000"/>
          <w:sz w:val="24"/>
          <w:szCs w:val="24"/>
          <w:lang w:eastAsia="el-GR"/>
        </w:rPr>
        <w:t>Το μηχάνημα</w:t>
      </w:r>
      <w:r w:rsidR="005C5BCF" w:rsidRPr="000C2E9E">
        <w:rPr>
          <w:rFonts w:eastAsia="Times New Roman"/>
          <w:color w:val="000000"/>
          <w:sz w:val="24"/>
          <w:szCs w:val="24"/>
          <w:lang w:eastAsia="el-GR"/>
        </w:rPr>
        <w:t xml:space="preserve"> του τεχνητού</w:t>
      </w:r>
      <w:r w:rsidR="00CF0332" w:rsidRPr="000C2E9E">
        <w:rPr>
          <w:rFonts w:eastAsia="Times New Roman"/>
          <w:color w:val="000000"/>
          <w:sz w:val="24"/>
          <w:szCs w:val="24"/>
          <w:lang w:eastAsia="el-GR"/>
        </w:rPr>
        <w:t xml:space="preserve"> </w:t>
      </w:r>
      <w:r w:rsidR="005C5BCF" w:rsidRPr="000C2E9E">
        <w:rPr>
          <w:rFonts w:eastAsia="Times New Roman"/>
          <w:color w:val="000000"/>
          <w:sz w:val="24"/>
          <w:szCs w:val="24"/>
          <w:lang w:eastAsia="el-GR"/>
        </w:rPr>
        <w:t>νεφρού</w:t>
      </w:r>
      <w:r w:rsidR="00587C62" w:rsidRPr="000C2E9E">
        <w:rPr>
          <w:rFonts w:eastAsia="Times New Roman"/>
          <w:color w:val="000000"/>
          <w:sz w:val="24"/>
          <w:szCs w:val="24"/>
          <w:lang w:eastAsia="el-GR"/>
        </w:rPr>
        <w:t>.</w:t>
      </w:r>
    </w:p>
    <w:p w:rsidR="005C5BCF" w:rsidRPr="000C2E9E" w:rsidRDefault="005C5BCF" w:rsidP="005A464E">
      <w:pPr>
        <w:pStyle w:val="a5"/>
        <w:numPr>
          <w:ilvl w:val="0"/>
          <w:numId w:val="16"/>
        </w:numPr>
        <w:spacing w:after="0" w:line="360" w:lineRule="auto"/>
        <w:jc w:val="both"/>
        <w:rPr>
          <w:rFonts w:eastAsia="Times New Roman"/>
          <w:color w:val="000000"/>
          <w:sz w:val="24"/>
          <w:szCs w:val="24"/>
          <w:lang w:eastAsia="el-GR"/>
        </w:rPr>
      </w:pPr>
      <w:r w:rsidRPr="000C2E9E">
        <w:rPr>
          <w:rFonts w:eastAsia="Times New Roman"/>
          <w:color w:val="000000"/>
          <w:sz w:val="24"/>
          <w:szCs w:val="24"/>
          <w:lang w:eastAsia="el-GR"/>
        </w:rPr>
        <w:t>Το διάλυμα της αιμοκάθαρσης</w:t>
      </w:r>
      <w:r w:rsidR="00587C62" w:rsidRPr="000C2E9E">
        <w:rPr>
          <w:rFonts w:eastAsia="Times New Roman"/>
          <w:color w:val="000000"/>
          <w:sz w:val="24"/>
          <w:szCs w:val="24"/>
          <w:lang w:eastAsia="el-GR"/>
        </w:rPr>
        <w:t>.</w:t>
      </w:r>
      <w:r w:rsidRPr="000C2E9E">
        <w:rPr>
          <w:rFonts w:eastAsia="Times New Roman"/>
          <w:color w:val="000000"/>
          <w:sz w:val="24"/>
          <w:szCs w:val="24"/>
          <w:lang w:eastAsia="el-GR"/>
        </w:rPr>
        <w:t xml:space="preserve"> </w:t>
      </w:r>
    </w:p>
    <w:p w:rsidR="005C5BCF" w:rsidRPr="000C2E9E" w:rsidRDefault="005C5BCF" w:rsidP="005A464E">
      <w:pPr>
        <w:pStyle w:val="a5"/>
        <w:numPr>
          <w:ilvl w:val="0"/>
          <w:numId w:val="16"/>
        </w:numPr>
        <w:spacing w:after="0" w:line="360" w:lineRule="auto"/>
        <w:jc w:val="both"/>
        <w:rPr>
          <w:rFonts w:eastAsia="Times New Roman"/>
          <w:color w:val="000000"/>
          <w:sz w:val="24"/>
          <w:szCs w:val="24"/>
          <w:lang w:eastAsia="el-GR"/>
        </w:rPr>
      </w:pPr>
      <w:r w:rsidRPr="000C2E9E">
        <w:rPr>
          <w:rFonts w:eastAsia="Times New Roman"/>
          <w:color w:val="000000"/>
          <w:sz w:val="24"/>
          <w:szCs w:val="24"/>
          <w:lang w:eastAsia="el-GR"/>
        </w:rPr>
        <w:t xml:space="preserve">Η </w:t>
      </w:r>
      <w:r w:rsidR="0046120F" w:rsidRPr="000C2E9E">
        <w:rPr>
          <w:rFonts w:eastAsia="Times New Roman"/>
          <w:color w:val="000000"/>
          <w:sz w:val="24"/>
          <w:szCs w:val="24"/>
          <w:lang w:eastAsia="el-GR"/>
        </w:rPr>
        <w:t>διηθητική μεμβράνη (φίλτρο)</w:t>
      </w:r>
      <w:r w:rsidR="00350F51" w:rsidRPr="000C2E9E">
        <w:rPr>
          <w:rFonts w:eastAsia="Times New Roman"/>
          <w:color w:val="000000"/>
          <w:sz w:val="24"/>
          <w:szCs w:val="24"/>
          <w:lang w:eastAsia="el-GR"/>
        </w:rPr>
        <w:t>.</w:t>
      </w:r>
    </w:p>
    <w:p w:rsidR="00350F51" w:rsidRPr="000C2E9E" w:rsidRDefault="00350F51" w:rsidP="005A464E">
      <w:pPr>
        <w:pStyle w:val="a5"/>
        <w:spacing w:after="0" w:line="360" w:lineRule="auto"/>
        <w:ind w:left="360"/>
        <w:jc w:val="both"/>
        <w:rPr>
          <w:rFonts w:eastAsia="Times New Roman"/>
          <w:color w:val="000000"/>
          <w:sz w:val="24"/>
          <w:szCs w:val="24"/>
          <w:lang w:eastAsia="el-GR"/>
        </w:rPr>
      </w:pPr>
    </w:p>
    <w:p w:rsidR="005C5BCF" w:rsidRPr="005A464E" w:rsidRDefault="003A62E9" w:rsidP="005A464E">
      <w:pPr>
        <w:spacing w:after="0" w:line="360" w:lineRule="auto"/>
        <w:jc w:val="both"/>
        <w:rPr>
          <w:rFonts w:eastAsia="Times New Roman"/>
          <w:color w:val="000000"/>
          <w:sz w:val="24"/>
          <w:szCs w:val="24"/>
          <w:lang w:eastAsia="el-GR"/>
        </w:rPr>
      </w:pPr>
      <w:r w:rsidRPr="000C2E9E">
        <w:rPr>
          <w:rFonts w:eastAsia="Times New Roman"/>
          <w:i/>
          <w:color w:val="000000"/>
          <w:sz w:val="24"/>
          <w:szCs w:val="24"/>
          <w:lang w:eastAsia="el-GR"/>
        </w:rPr>
        <w:t xml:space="preserve">Το μηχάνημα </w:t>
      </w:r>
      <w:r w:rsidR="005C5BCF" w:rsidRPr="000C2E9E">
        <w:rPr>
          <w:rFonts w:eastAsia="Times New Roman"/>
          <w:i/>
          <w:color w:val="000000"/>
          <w:sz w:val="24"/>
          <w:szCs w:val="24"/>
          <w:lang w:eastAsia="el-GR"/>
        </w:rPr>
        <w:t xml:space="preserve">του τεχνητού νεφρού </w:t>
      </w:r>
      <w:r w:rsidR="005C5BCF" w:rsidRPr="000C2E9E">
        <w:rPr>
          <w:rFonts w:eastAsia="Times New Roman"/>
          <w:color w:val="000000"/>
          <w:sz w:val="24"/>
          <w:szCs w:val="24"/>
          <w:lang w:eastAsia="el-GR"/>
        </w:rPr>
        <w:t>αποτελείται</w:t>
      </w:r>
      <w:r w:rsidR="00CF0332" w:rsidRPr="000C2E9E">
        <w:rPr>
          <w:rFonts w:eastAsia="Times New Roman"/>
          <w:color w:val="000000"/>
          <w:sz w:val="24"/>
          <w:szCs w:val="24"/>
          <w:lang w:eastAsia="el-GR"/>
        </w:rPr>
        <w:t xml:space="preserve"> </w:t>
      </w:r>
      <w:r w:rsidR="005C5BCF" w:rsidRPr="000C2E9E">
        <w:rPr>
          <w:rFonts w:eastAsia="Times New Roman"/>
          <w:color w:val="000000"/>
          <w:sz w:val="24"/>
          <w:szCs w:val="24"/>
          <w:lang w:eastAsia="el-GR"/>
        </w:rPr>
        <w:t>απ</w:t>
      </w:r>
      <w:r w:rsidR="000104CB" w:rsidRPr="000C2E9E">
        <w:rPr>
          <w:rFonts w:eastAsia="Times New Roman"/>
          <w:color w:val="000000"/>
          <w:sz w:val="24"/>
          <w:szCs w:val="24"/>
          <w:lang w:eastAsia="el-GR"/>
        </w:rPr>
        <w:t>ό</w:t>
      </w:r>
      <w:r w:rsidR="005C5BCF" w:rsidRPr="000C2E9E">
        <w:rPr>
          <w:rFonts w:eastAsia="Times New Roman"/>
          <w:color w:val="000000"/>
          <w:sz w:val="24"/>
          <w:szCs w:val="24"/>
          <w:lang w:eastAsia="el-GR"/>
        </w:rPr>
        <w:t xml:space="preserve"> την αντλία της </w:t>
      </w:r>
      <w:r w:rsidR="008C3CCB" w:rsidRPr="000C2E9E">
        <w:rPr>
          <w:rFonts w:eastAsia="Times New Roman"/>
          <w:color w:val="000000"/>
          <w:sz w:val="24"/>
          <w:szCs w:val="24"/>
          <w:lang w:eastAsia="el-GR"/>
        </w:rPr>
        <w:t>εξωσωματικής</w:t>
      </w:r>
      <w:r w:rsidR="005C5BCF" w:rsidRPr="000C2E9E">
        <w:rPr>
          <w:rFonts w:eastAsia="Times New Roman"/>
          <w:color w:val="000000"/>
          <w:sz w:val="24"/>
          <w:szCs w:val="24"/>
          <w:lang w:eastAsia="el-GR"/>
        </w:rPr>
        <w:t xml:space="preserve"> κυκλοφορίας </w:t>
      </w:r>
      <w:r w:rsidR="00C835B9" w:rsidRPr="000C2E9E">
        <w:rPr>
          <w:rFonts w:eastAsia="Times New Roman"/>
          <w:color w:val="000000"/>
          <w:sz w:val="24"/>
          <w:szCs w:val="24"/>
          <w:lang w:eastAsia="el-GR"/>
        </w:rPr>
        <w:t>(</w:t>
      </w:r>
      <w:r w:rsidR="005C5BCF" w:rsidRPr="000C2E9E">
        <w:rPr>
          <w:rFonts w:eastAsia="Times New Roman"/>
          <w:color w:val="000000"/>
          <w:sz w:val="24"/>
          <w:szCs w:val="24"/>
          <w:lang w:eastAsia="el-GR"/>
        </w:rPr>
        <w:t>η οποία προωθεί το αίμα</w:t>
      </w:r>
      <w:r w:rsidR="00C835B9" w:rsidRPr="000C2E9E">
        <w:rPr>
          <w:rFonts w:eastAsia="Times New Roman"/>
          <w:color w:val="000000"/>
          <w:sz w:val="24"/>
          <w:szCs w:val="24"/>
          <w:lang w:eastAsia="el-GR"/>
        </w:rPr>
        <w:t>)</w:t>
      </w:r>
      <w:r w:rsidR="005C5BCF" w:rsidRPr="000C2E9E">
        <w:rPr>
          <w:rFonts w:eastAsia="Times New Roman"/>
          <w:color w:val="000000"/>
          <w:sz w:val="24"/>
          <w:szCs w:val="24"/>
          <w:lang w:eastAsia="el-GR"/>
        </w:rPr>
        <w:t xml:space="preserve">, από τον </w:t>
      </w:r>
      <w:r w:rsidR="008C3CCB" w:rsidRPr="000C2E9E">
        <w:rPr>
          <w:rFonts w:eastAsia="Times New Roman"/>
          <w:color w:val="000000"/>
          <w:sz w:val="24"/>
          <w:szCs w:val="24"/>
          <w:lang w:eastAsia="el-GR"/>
        </w:rPr>
        <w:t>πίνακα</w:t>
      </w:r>
      <w:r w:rsidR="005C5BCF" w:rsidRPr="000C2E9E">
        <w:rPr>
          <w:rFonts w:eastAsia="Times New Roman"/>
          <w:color w:val="000000"/>
          <w:sz w:val="24"/>
          <w:szCs w:val="24"/>
          <w:lang w:eastAsia="el-GR"/>
        </w:rPr>
        <w:t xml:space="preserve"> ηλεκτρονικού ελέγχου </w:t>
      </w:r>
      <w:r w:rsidR="00C835B9" w:rsidRPr="000C2E9E">
        <w:rPr>
          <w:rFonts w:eastAsia="Times New Roman"/>
          <w:color w:val="000000"/>
          <w:sz w:val="24"/>
          <w:szCs w:val="24"/>
          <w:lang w:eastAsia="el-GR"/>
        </w:rPr>
        <w:t>(μέσω του οποίου</w:t>
      </w:r>
      <w:r w:rsidR="005C5BCF" w:rsidRPr="000C2E9E">
        <w:rPr>
          <w:rFonts w:eastAsia="Times New Roman"/>
          <w:color w:val="000000"/>
          <w:sz w:val="24"/>
          <w:szCs w:val="24"/>
          <w:lang w:eastAsia="el-GR"/>
        </w:rPr>
        <w:t xml:space="preserve"> ρυθμίζονται οι συνθήκες αιμοκάθαρσης</w:t>
      </w:r>
      <w:r w:rsidR="00D317F2" w:rsidRPr="000C2E9E">
        <w:rPr>
          <w:rFonts w:eastAsia="Times New Roman"/>
          <w:color w:val="000000"/>
          <w:sz w:val="24"/>
          <w:szCs w:val="24"/>
          <w:lang w:eastAsia="el-GR"/>
        </w:rPr>
        <w:t>,</w:t>
      </w:r>
      <w:r w:rsidR="006E1282" w:rsidRPr="000C2E9E">
        <w:rPr>
          <w:rFonts w:eastAsia="Times New Roman"/>
          <w:color w:val="000000"/>
          <w:sz w:val="24"/>
          <w:szCs w:val="24"/>
          <w:lang w:eastAsia="el-GR"/>
        </w:rPr>
        <w:t xml:space="preserve"> όπως η ροή</w:t>
      </w:r>
      <w:r w:rsidR="005C5BCF" w:rsidRPr="000C2E9E">
        <w:rPr>
          <w:rFonts w:eastAsia="Times New Roman"/>
          <w:color w:val="000000"/>
          <w:sz w:val="24"/>
          <w:szCs w:val="24"/>
          <w:lang w:eastAsia="el-GR"/>
        </w:rPr>
        <w:t xml:space="preserve"> του διαλύματος</w:t>
      </w:r>
      <w:r w:rsidR="00C835B9" w:rsidRPr="000C2E9E">
        <w:rPr>
          <w:rFonts w:eastAsia="Times New Roman"/>
          <w:color w:val="000000"/>
          <w:sz w:val="24"/>
          <w:szCs w:val="24"/>
          <w:lang w:eastAsia="el-GR"/>
        </w:rPr>
        <w:t xml:space="preserve"> και του αίματος, η θερμοκρασία και</w:t>
      </w:r>
      <w:r w:rsidR="005C5BCF" w:rsidRPr="000C2E9E">
        <w:rPr>
          <w:rFonts w:eastAsia="Times New Roman"/>
          <w:color w:val="000000"/>
          <w:sz w:val="24"/>
          <w:szCs w:val="24"/>
          <w:lang w:eastAsia="el-GR"/>
        </w:rPr>
        <w:t xml:space="preserve"> η υδροστατική πίεση</w:t>
      </w:r>
      <w:r w:rsidR="00C835B9" w:rsidRPr="000C2E9E">
        <w:rPr>
          <w:rFonts w:eastAsia="Times New Roman"/>
          <w:color w:val="000000"/>
          <w:sz w:val="24"/>
          <w:szCs w:val="24"/>
          <w:lang w:eastAsia="el-GR"/>
        </w:rPr>
        <w:t>)</w:t>
      </w:r>
      <w:r w:rsidR="005C5BCF" w:rsidRPr="000C2E9E">
        <w:rPr>
          <w:rFonts w:eastAsia="Times New Roman"/>
          <w:color w:val="000000"/>
          <w:sz w:val="24"/>
          <w:szCs w:val="24"/>
          <w:lang w:eastAsia="el-GR"/>
        </w:rPr>
        <w:t xml:space="preserve"> και από τα συστήματα προειδοποίησης.</w:t>
      </w:r>
      <w:r w:rsidR="00791529" w:rsidRPr="000C2E9E">
        <w:rPr>
          <w:rFonts w:eastAsia="Times New Roman"/>
          <w:color w:val="000000"/>
          <w:sz w:val="24"/>
          <w:szCs w:val="24"/>
          <w:lang w:eastAsia="el-GR"/>
        </w:rPr>
        <w:t xml:space="preserve"> Ένα σύγχρονο μηχάνημα αιμοκάθαρσης μπορεί να πραγματοποιήσει αιμοκάθαρση με ο</w:t>
      </w:r>
      <w:r w:rsidRPr="000C2E9E">
        <w:rPr>
          <w:rFonts w:eastAsia="Times New Roman"/>
          <w:color w:val="000000"/>
          <w:sz w:val="24"/>
          <w:szCs w:val="24"/>
          <w:lang w:eastAsia="el-GR"/>
        </w:rPr>
        <w:t>ξ</w:t>
      </w:r>
      <w:r w:rsidR="00791529" w:rsidRPr="000C2E9E">
        <w:rPr>
          <w:rFonts w:eastAsia="Times New Roman"/>
          <w:color w:val="000000"/>
          <w:sz w:val="24"/>
          <w:szCs w:val="24"/>
          <w:lang w:eastAsia="el-GR"/>
        </w:rPr>
        <w:t xml:space="preserve">ικά, διττανθρακικά, αιμοδιαδιήθηση με σάκους, αιμοδιαδιήθηση </w:t>
      </w:r>
      <w:r w:rsidR="00791529" w:rsidRPr="000C2E9E">
        <w:rPr>
          <w:rFonts w:eastAsia="Times New Roman"/>
          <w:color w:val="000000"/>
          <w:sz w:val="24"/>
          <w:szCs w:val="24"/>
          <w:lang w:val="en-US" w:eastAsia="el-GR"/>
        </w:rPr>
        <w:t>online</w:t>
      </w:r>
      <w:r w:rsidR="00394A7E" w:rsidRPr="000C2E9E">
        <w:rPr>
          <w:rFonts w:eastAsia="Times New Roman"/>
          <w:color w:val="000000"/>
          <w:sz w:val="24"/>
          <w:szCs w:val="24"/>
          <w:lang w:eastAsia="el-GR"/>
        </w:rPr>
        <w:t>.</w:t>
      </w:r>
    </w:p>
    <w:p w:rsidR="005C5BCF" w:rsidRPr="000C2E9E" w:rsidRDefault="005C5BCF" w:rsidP="005A464E">
      <w:pPr>
        <w:spacing w:after="0" w:line="360" w:lineRule="auto"/>
        <w:jc w:val="both"/>
        <w:rPr>
          <w:rFonts w:eastAsia="Times New Roman"/>
          <w:color w:val="000000"/>
          <w:sz w:val="24"/>
          <w:szCs w:val="24"/>
          <w:lang w:eastAsia="el-GR"/>
        </w:rPr>
      </w:pPr>
      <w:r w:rsidRPr="005A464E">
        <w:rPr>
          <w:rFonts w:eastAsia="Times New Roman"/>
          <w:i/>
          <w:color w:val="000000"/>
          <w:sz w:val="24"/>
          <w:szCs w:val="24"/>
          <w:lang w:eastAsia="el-GR"/>
        </w:rPr>
        <w:t>Το διάλυμα της αιμοκάθαρσης</w:t>
      </w:r>
      <w:r w:rsidR="00CF0332" w:rsidRPr="005A464E">
        <w:rPr>
          <w:rFonts w:eastAsia="Times New Roman"/>
          <w:i/>
          <w:color w:val="000000"/>
          <w:sz w:val="24"/>
          <w:szCs w:val="24"/>
          <w:lang w:eastAsia="el-GR"/>
        </w:rPr>
        <w:t xml:space="preserve"> </w:t>
      </w:r>
      <w:r w:rsidRPr="005A464E">
        <w:rPr>
          <w:rFonts w:eastAsia="Times New Roman"/>
          <w:color w:val="000000"/>
          <w:sz w:val="24"/>
          <w:szCs w:val="24"/>
          <w:lang w:eastAsia="el-GR"/>
        </w:rPr>
        <w:t>παρά</w:t>
      </w:r>
      <w:r w:rsidR="000104CB" w:rsidRPr="005A464E">
        <w:rPr>
          <w:rFonts w:eastAsia="Times New Roman"/>
          <w:color w:val="000000"/>
          <w:sz w:val="24"/>
          <w:szCs w:val="24"/>
          <w:lang w:eastAsia="el-GR"/>
        </w:rPr>
        <w:t>γ</w:t>
      </w:r>
      <w:r w:rsidRPr="005A464E">
        <w:rPr>
          <w:rFonts w:eastAsia="Times New Roman"/>
          <w:color w:val="000000"/>
          <w:sz w:val="24"/>
          <w:szCs w:val="24"/>
          <w:lang w:eastAsia="el-GR"/>
        </w:rPr>
        <w:t>ε</w:t>
      </w:r>
      <w:r w:rsidR="00CF0332" w:rsidRPr="005A464E">
        <w:rPr>
          <w:rFonts w:eastAsia="Times New Roman"/>
          <w:color w:val="000000"/>
          <w:sz w:val="24"/>
          <w:szCs w:val="24"/>
          <w:lang w:eastAsia="el-GR"/>
        </w:rPr>
        <w:t>ται με την ανάμιξη συμπυκνωμένο</w:t>
      </w:r>
      <w:r w:rsidRPr="005A464E">
        <w:rPr>
          <w:rFonts w:eastAsia="Times New Roman"/>
          <w:color w:val="000000"/>
          <w:sz w:val="24"/>
          <w:szCs w:val="24"/>
          <w:lang w:eastAsia="el-GR"/>
        </w:rPr>
        <w:t>υ διαλύματος ηλεκτρολυτών</w:t>
      </w:r>
      <w:r w:rsidR="000104CB" w:rsidRPr="005A464E">
        <w:rPr>
          <w:rFonts w:eastAsia="Times New Roman"/>
          <w:color w:val="000000"/>
          <w:sz w:val="24"/>
          <w:szCs w:val="24"/>
          <w:lang w:eastAsia="el-GR"/>
        </w:rPr>
        <w:t xml:space="preserve"> και απιονισμένου νερού πόλης. Για τη διόρθωση της οξεοβασικής ισορροπίας απαιτούνται διττανθρακικά </w:t>
      </w:r>
      <w:r w:rsidR="000104CB" w:rsidRPr="000C2E9E">
        <w:rPr>
          <w:rFonts w:eastAsia="Times New Roman"/>
          <w:color w:val="000000"/>
          <w:sz w:val="24"/>
          <w:szCs w:val="24"/>
          <w:lang w:eastAsia="el-GR"/>
        </w:rPr>
        <w:t xml:space="preserve">ή οξικά ιόντα. Η ακριβής σύσταση του διαλύματος </w:t>
      </w:r>
      <w:r w:rsidR="00CF0332" w:rsidRPr="000C2E9E">
        <w:rPr>
          <w:rFonts w:eastAsia="Times New Roman"/>
          <w:color w:val="000000"/>
          <w:sz w:val="24"/>
          <w:szCs w:val="24"/>
          <w:lang w:eastAsia="el-GR"/>
        </w:rPr>
        <w:t>ποικίλει</w:t>
      </w:r>
      <w:r w:rsidR="000104CB" w:rsidRPr="000C2E9E">
        <w:rPr>
          <w:rFonts w:eastAsia="Times New Roman"/>
          <w:color w:val="000000"/>
          <w:sz w:val="24"/>
          <w:szCs w:val="24"/>
          <w:lang w:eastAsia="el-GR"/>
        </w:rPr>
        <w:t xml:space="preserve"> </w:t>
      </w:r>
      <w:r w:rsidR="003A62E9" w:rsidRPr="000C2E9E">
        <w:rPr>
          <w:rFonts w:eastAsia="Times New Roman"/>
          <w:color w:val="000000"/>
          <w:sz w:val="24"/>
          <w:szCs w:val="24"/>
          <w:lang w:eastAsia="el-GR"/>
        </w:rPr>
        <w:t>ανάλογα</w:t>
      </w:r>
      <w:r w:rsidR="000104CB" w:rsidRPr="000C2E9E">
        <w:rPr>
          <w:rFonts w:eastAsia="Times New Roman"/>
          <w:color w:val="000000"/>
          <w:sz w:val="24"/>
          <w:szCs w:val="24"/>
          <w:lang w:eastAsia="el-GR"/>
        </w:rPr>
        <w:t xml:space="preserve"> με το κέντρο αιμοκάθαρσης.</w:t>
      </w:r>
    </w:p>
    <w:p w:rsidR="000104CB" w:rsidRPr="005A464E" w:rsidRDefault="000104CB" w:rsidP="005A464E">
      <w:pPr>
        <w:spacing w:after="0" w:line="360" w:lineRule="auto"/>
        <w:jc w:val="both"/>
        <w:rPr>
          <w:rFonts w:eastAsia="Times New Roman"/>
          <w:color w:val="000000"/>
          <w:sz w:val="24"/>
          <w:szCs w:val="24"/>
          <w:lang w:eastAsia="el-GR"/>
        </w:rPr>
      </w:pPr>
      <w:r w:rsidRPr="000C2E9E">
        <w:rPr>
          <w:rFonts w:eastAsia="Times New Roman"/>
          <w:i/>
          <w:color w:val="000000"/>
          <w:sz w:val="24"/>
          <w:szCs w:val="24"/>
          <w:lang w:eastAsia="el-GR"/>
        </w:rPr>
        <w:t>Η διηθητική μεμβράνη</w:t>
      </w:r>
      <w:r w:rsidR="00791529" w:rsidRPr="000C2E9E">
        <w:rPr>
          <w:rFonts w:eastAsia="Times New Roman"/>
          <w:i/>
          <w:color w:val="000000"/>
          <w:sz w:val="24"/>
          <w:szCs w:val="24"/>
          <w:lang w:eastAsia="el-GR"/>
        </w:rPr>
        <w:t>.</w:t>
      </w:r>
      <w:r w:rsidR="00394A7E" w:rsidRPr="000C2E9E">
        <w:rPr>
          <w:rFonts w:eastAsia="Times New Roman"/>
          <w:i/>
          <w:color w:val="000000"/>
          <w:sz w:val="24"/>
          <w:szCs w:val="24"/>
          <w:lang w:eastAsia="el-GR"/>
        </w:rPr>
        <w:t xml:space="preserve"> </w:t>
      </w:r>
      <w:r w:rsidR="00791529" w:rsidRPr="000C2E9E">
        <w:rPr>
          <w:rFonts w:eastAsia="Times New Roman"/>
          <w:color w:val="000000"/>
          <w:sz w:val="24"/>
          <w:szCs w:val="24"/>
          <w:lang w:eastAsia="el-GR"/>
        </w:rPr>
        <w:t>Στην κλασική αιμοκάθαρση χρησιμοποιούνται μεμβράνες κυτταρίνης (κουπροφάνη, αιμοφάνη)</w:t>
      </w:r>
      <w:r w:rsidR="00587C62" w:rsidRPr="000C2E9E">
        <w:rPr>
          <w:rFonts w:eastAsia="Times New Roman"/>
          <w:color w:val="000000"/>
          <w:sz w:val="24"/>
          <w:szCs w:val="24"/>
          <w:lang w:eastAsia="el-GR"/>
        </w:rPr>
        <w:t>,</w:t>
      </w:r>
      <w:r w:rsidR="00791529" w:rsidRPr="000C2E9E">
        <w:rPr>
          <w:rFonts w:eastAsia="Times New Roman"/>
          <w:color w:val="000000"/>
          <w:sz w:val="24"/>
          <w:szCs w:val="24"/>
          <w:lang w:eastAsia="el-GR"/>
        </w:rPr>
        <w:t xml:space="preserve"> οι οποίες λειτουργούν μέσω του</w:t>
      </w:r>
      <w:r w:rsidR="00791529" w:rsidRPr="005A464E">
        <w:rPr>
          <w:rFonts w:eastAsia="Times New Roman"/>
          <w:color w:val="000000"/>
          <w:sz w:val="24"/>
          <w:szCs w:val="24"/>
          <w:lang w:eastAsia="el-GR"/>
        </w:rPr>
        <w:t xml:space="preserve"> μηχανισμού της διάχυσης. Στη αιμοδιήθηση και αιμοδιαδιήθηση χρησιμοποιούνται συνθετικές μεμβράνες </w:t>
      </w:r>
      <w:r w:rsidR="00DE7FA1" w:rsidRPr="005A464E">
        <w:rPr>
          <w:rFonts w:eastAsia="Times New Roman"/>
          <w:color w:val="000000"/>
          <w:sz w:val="24"/>
          <w:szCs w:val="24"/>
          <w:lang w:eastAsia="el-GR"/>
        </w:rPr>
        <w:t>(π</w:t>
      </w:r>
      <w:r w:rsidR="00394A7E" w:rsidRPr="005A464E">
        <w:rPr>
          <w:rFonts w:eastAsia="Times New Roman"/>
          <w:color w:val="000000"/>
          <w:sz w:val="24"/>
          <w:szCs w:val="24"/>
          <w:lang w:eastAsia="el-GR"/>
        </w:rPr>
        <w:t>ολυακριλονιτρίλη, πολυσουλφόνη)</w:t>
      </w:r>
      <w:r w:rsidR="00DE7FA1" w:rsidRPr="005A464E">
        <w:rPr>
          <w:rFonts w:eastAsia="Times New Roman"/>
          <w:color w:val="000000"/>
          <w:sz w:val="24"/>
          <w:szCs w:val="24"/>
          <w:lang w:eastAsia="el-GR"/>
        </w:rPr>
        <w:t>,</w:t>
      </w:r>
      <w:r w:rsidR="00394A7E" w:rsidRPr="005A464E">
        <w:rPr>
          <w:rFonts w:eastAsia="Times New Roman"/>
          <w:color w:val="000000"/>
          <w:sz w:val="24"/>
          <w:szCs w:val="24"/>
          <w:lang w:eastAsia="el-GR"/>
        </w:rPr>
        <w:t xml:space="preserve"> </w:t>
      </w:r>
      <w:r w:rsidR="00791529" w:rsidRPr="005A464E">
        <w:rPr>
          <w:rFonts w:eastAsia="Times New Roman"/>
          <w:color w:val="000000"/>
          <w:sz w:val="24"/>
          <w:szCs w:val="24"/>
          <w:lang w:eastAsia="el-GR"/>
        </w:rPr>
        <w:t>οι οποίες λειτουργούν μέσω του μηχανισμού της διήθησης. Η απόδοση της μεμβράνης εξαρτάται από παράγοντες όπως το π</w:t>
      </w:r>
      <w:r w:rsidR="00571229" w:rsidRPr="005A464E">
        <w:rPr>
          <w:rFonts w:eastAsia="Times New Roman"/>
          <w:color w:val="000000"/>
          <w:sz w:val="24"/>
          <w:szCs w:val="24"/>
          <w:lang w:eastAsia="el-GR"/>
        </w:rPr>
        <w:t>ά</w:t>
      </w:r>
      <w:r w:rsidR="00791529" w:rsidRPr="005A464E">
        <w:rPr>
          <w:rFonts w:eastAsia="Times New Roman"/>
          <w:color w:val="000000"/>
          <w:sz w:val="24"/>
          <w:szCs w:val="24"/>
          <w:lang w:eastAsia="el-GR"/>
        </w:rPr>
        <w:t xml:space="preserve">χος </w:t>
      </w:r>
      <w:r w:rsidR="00571229" w:rsidRPr="005A464E">
        <w:rPr>
          <w:rFonts w:eastAsia="Times New Roman"/>
          <w:color w:val="000000"/>
          <w:sz w:val="24"/>
          <w:szCs w:val="24"/>
          <w:lang w:eastAsia="el-GR"/>
        </w:rPr>
        <w:t>της, το υλικό της, η έκταση της επιφάνειας διήθησης</w:t>
      </w:r>
      <w:r w:rsidR="00DE7FA1" w:rsidRPr="005A464E">
        <w:rPr>
          <w:rFonts w:eastAsia="Times New Roman"/>
          <w:color w:val="000000"/>
          <w:sz w:val="24"/>
          <w:szCs w:val="24"/>
          <w:lang w:eastAsia="el-GR"/>
        </w:rPr>
        <w:t xml:space="preserve">. Η βιοσυμβατότητα αποδίδει τον βαθμό </w:t>
      </w:r>
      <w:r w:rsidR="00CF0332" w:rsidRPr="005A464E">
        <w:rPr>
          <w:rFonts w:eastAsia="Times New Roman"/>
          <w:color w:val="000000"/>
          <w:sz w:val="24"/>
          <w:szCs w:val="24"/>
          <w:lang w:eastAsia="el-GR"/>
        </w:rPr>
        <w:t>αντίδρασης</w:t>
      </w:r>
      <w:r w:rsidR="00DE7FA1" w:rsidRPr="005A464E">
        <w:rPr>
          <w:rFonts w:eastAsia="Times New Roman"/>
          <w:color w:val="000000"/>
          <w:sz w:val="24"/>
          <w:szCs w:val="24"/>
          <w:lang w:eastAsia="el-GR"/>
        </w:rPr>
        <w:t xml:space="preserve"> ανάμεσα στο αίμα </w:t>
      </w:r>
      <w:r w:rsidR="00B0560D">
        <w:rPr>
          <w:rFonts w:eastAsia="Times New Roman"/>
          <w:color w:val="000000"/>
          <w:sz w:val="24"/>
          <w:szCs w:val="24"/>
          <w:lang w:eastAsia="el-GR"/>
        </w:rPr>
        <w:t>του ασθενούς</w:t>
      </w:r>
      <w:r w:rsidR="00DE7FA1" w:rsidRPr="005A464E">
        <w:rPr>
          <w:rFonts w:eastAsia="Times New Roman"/>
          <w:color w:val="000000"/>
          <w:sz w:val="24"/>
          <w:szCs w:val="24"/>
          <w:lang w:eastAsia="el-GR"/>
        </w:rPr>
        <w:t xml:space="preserve"> και το υλικό της μεμβράνης</w:t>
      </w:r>
      <w:r w:rsidR="00350F51" w:rsidRPr="005A464E">
        <w:rPr>
          <w:rFonts w:eastAsia="Times New Roman"/>
          <w:color w:val="000000"/>
          <w:sz w:val="24"/>
          <w:szCs w:val="24"/>
          <w:lang w:eastAsia="el-GR"/>
        </w:rPr>
        <w:t xml:space="preserve"> </w:t>
      </w:r>
      <w:r w:rsidR="00350F51" w:rsidRPr="003128C5">
        <w:rPr>
          <w:rFonts w:eastAsia="Times New Roman"/>
          <w:color w:val="000000"/>
          <w:sz w:val="24"/>
          <w:szCs w:val="24"/>
          <w:lang w:eastAsia="el-GR"/>
        </w:rPr>
        <w:t>(Clark</w:t>
      </w:r>
      <w:r w:rsidR="003128C5" w:rsidRPr="003128C5">
        <w:rPr>
          <w:rFonts w:eastAsia="Times New Roman"/>
          <w:color w:val="000000"/>
          <w:sz w:val="24"/>
          <w:szCs w:val="24"/>
          <w:lang w:eastAsia="el-GR"/>
        </w:rPr>
        <w:t>,</w:t>
      </w:r>
      <w:r w:rsidR="00350F51" w:rsidRPr="003128C5">
        <w:rPr>
          <w:rFonts w:eastAsia="Times New Roman"/>
          <w:color w:val="000000"/>
          <w:sz w:val="24"/>
          <w:szCs w:val="24"/>
          <w:lang w:eastAsia="el-GR"/>
        </w:rPr>
        <w:t xml:space="preserve"> </w:t>
      </w:r>
      <w:r w:rsidR="003128C5" w:rsidRPr="003128C5">
        <w:rPr>
          <w:rFonts w:eastAsia="Times New Roman" w:cstheme="minorHAnsi"/>
          <w:sz w:val="24"/>
          <w:szCs w:val="24"/>
          <w:lang w:val="en-US" w:eastAsia="el-GR"/>
        </w:rPr>
        <w:t>Gao</w:t>
      </w:r>
      <w:r w:rsidR="00AB358A" w:rsidRPr="00AB358A">
        <w:rPr>
          <w:rFonts w:eastAsia="Times New Roman" w:cstheme="minorHAnsi"/>
          <w:sz w:val="24"/>
          <w:szCs w:val="24"/>
          <w:lang w:eastAsia="el-GR"/>
        </w:rPr>
        <w:t>,</w:t>
      </w:r>
      <w:r w:rsidR="003128C5" w:rsidRPr="003128C5">
        <w:rPr>
          <w:rFonts w:eastAsia="Times New Roman" w:cstheme="minorHAnsi"/>
          <w:sz w:val="24"/>
          <w:szCs w:val="24"/>
          <w:lang w:eastAsia="el-GR"/>
        </w:rPr>
        <w:t xml:space="preserve"> &amp; </w:t>
      </w:r>
      <w:r w:rsidR="003128C5" w:rsidRPr="003128C5">
        <w:rPr>
          <w:rFonts w:eastAsia="Times New Roman" w:cstheme="minorHAnsi"/>
          <w:sz w:val="24"/>
          <w:szCs w:val="24"/>
          <w:lang w:val="en-US" w:eastAsia="el-GR"/>
        </w:rPr>
        <w:t>Ronco</w:t>
      </w:r>
      <w:r w:rsidR="00AB454B">
        <w:rPr>
          <w:rFonts w:eastAsia="Times New Roman" w:cstheme="minorHAnsi"/>
          <w:sz w:val="24"/>
          <w:szCs w:val="24"/>
          <w:lang w:eastAsia="el-GR"/>
        </w:rPr>
        <w:t>,</w:t>
      </w:r>
      <w:r w:rsidR="00350F51" w:rsidRPr="003128C5">
        <w:rPr>
          <w:rFonts w:eastAsia="Times New Roman"/>
          <w:color w:val="000000"/>
          <w:sz w:val="24"/>
          <w:szCs w:val="24"/>
          <w:lang w:eastAsia="el-GR"/>
        </w:rPr>
        <w:t xml:space="preserve"> 2002</w:t>
      </w:r>
      <w:r w:rsidR="00585101" w:rsidRPr="00585101">
        <w:rPr>
          <w:rFonts w:eastAsia="Times New Roman"/>
          <w:color w:val="000000"/>
          <w:sz w:val="24"/>
          <w:szCs w:val="24"/>
          <w:lang w:eastAsia="el-GR"/>
        </w:rPr>
        <w:t>;</w:t>
      </w:r>
      <w:r w:rsidR="00585101" w:rsidRPr="00585101">
        <w:rPr>
          <w:rFonts w:ascii="Arial" w:hAnsi="Arial" w:cs="Arial"/>
          <w:color w:val="222222"/>
          <w:sz w:val="20"/>
          <w:szCs w:val="20"/>
          <w:shd w:val="clear" w:color="auto" w:fill="FFFFFF"/>
        </w:rPr>
        <w:t xml:space="preserve"> </w:t>
      </w:r>
      <w:r w:rsidR="00585101" w:rsidRPr="00585101">
        <w:rPr>
          <w:rFonts w:asciiTheme="minorHAnsi" w:hAnsiTheme="minorHAnsi" w:cstheme="minorHAnsi"/>
          <w:sz w:val="24"/>
          <w:szCs w:val="24"/>
          <w:shd w:val="clear" w:color="auto" w:fill="FFFFFF"/>
        </w:rPr>
        <w:t>Mashkoor, 2016</w:t>
      </w:r>
      <w:r w:rsidR="00585101" w:rsidRPr="00585101">
        <w:rPr>
          <w:rFonts w:eastAsia="Times New Roman"/>
          <w:color w:val="000000"/>
          <w:sz w:val="24"/>
          <w:szCs w:val="24"/>
          <w:lang w:eastAsia="el-GR"/>
        </w:rPr>
        <w:t xml:space="preserve"> </w:t>
      </w:r>
      <w:r w:rsidR="00350F51" w:rsidRPr="003128C5">
        <w:rPr>
          <w:rFonts w:eastAsia="Times New Roman"/>
          <w:color w:val="000000"/>
          <w:sz w:val="24"/>
          <w:szCs w:val="24"/>
          <w:lang w:eastAsia="el-GR"/>
        </w:rPr>
        <w:t>).</w:t>
      </w:r>
    </w:p>
    <w:p w:rsidR="00287271" w:rsidRPr="005A464E" w:rsidRDefault="00287271" w:rsidP="005A464E">
      <w:pPr>
        <w:spacing w:after="0" w:line="360" w:lineRule="auto"/>
        <w:jc w:val="both"/>
        <w:rPr>
          <w:rFonts w:eastAsia="Times New Roman"/>
          <w:b/>
          <w:color w:val="000000"/>
          <w:sz w:val="24"/>
          <w:szCs w:val="24"/>
          <w:lang w:eastAsia="el-GR"/>
        </w:rPr>
      </w:pPr>
    </w:p>
    <w:p w:rsidR="00287271" w:rsidRPr="005A464E" w:rsidRDefault="00287271" w:rsidP="005A464E">
      <w:pPr>
        <w:spacing w:after="0" w:line="360" w:lineRule="auto"/>
        <w:jc w:val="both"/>
        <w:rPr>
          <w:rFonts w:eastAsia="Times New Roman"/>
          <w:b/>
          <w:color w:val="000000"/>
          <w:sz w:val="24"/>
          <w:szCs w:val="24"/>
          <w:lang w:eastAsia="el-GR"/>
        </w:rPr>
      </w:pPr>
      <w:r w:rsidRPr="005A464E">
        <w:rPr>
          <w:rFonts w:eastAsia="Times New Roman"/>
          <w:b/>
          <w:color w:val="000000"/>
          <w:sz w:val="24"/>
          <w:szCs w:val="24"/>
          <w:lang w:eastAsia="el-GR"/>
        </w:rPr>
        <w:t>Αγγειακή προσπέλαση</w:t>
      </w:r>
    </w:p>
    <w:p w:rsidR="00287271" w:rsidRPr="005A464E" w:rsidRDefault="00B84ACC" w:rsidP="005A464E">
      <w:pPr>
        <w:spacing w:after="0" w:line="360" w:lineRule="auto"/>
        <w:jc w:val="both"/>
        <w:rPr>
          <w:rFonts w:eastAsia="Times New Roman"/>
          <w:color w:val="000000"/>
          <w:sz w:val="24"/>
          <w:szCs w:val="24"/>
          <w:lang w:eastAsia="el-GR"/>
        </w:rPr>
      </w:pPr>
      <w:r w:rsidRPr="00817853">
        <w:rPr>
          <w:rFonts w:eastAsia="Times New Roman"/>
          <w:color w:val="000000"/>
          <w:sz w:val="24"/>
          <w:szCs w:val="24"/>
          <w:lang w:eastAsia="el-GR"/>
        </w:rPr>
        <w:t>Για τη διενέργεια μι</w:t>
      </w:r>
      <w:r w:rsidR="00287271" w:rsidRPr="00817853">
        <w:rPr>
          <w:rFonts w:eastAsia="Times New Roman"/>
          <w:color w:val="000000"/>
          <w:sz w:val="24"/>
          <w:szCs w:val="24"/>
          <w:lang w:eastAsia="el-GR"/>
        </w:rPr>
        <w:t xml:space="preserve">ας συνεδρίας αιμοκάθαρσης απαιτείται </w:t>
      </w:r>
      <w:r w:rsidR="008829A9" w:rsidRPr="00817853">
        <w:rPr>
          <w:rFonts w:eastAsia="Times New Roman"/>
          <w:color w:val="000000"/>
          <w:sz w:val="24"/>
          <w:szCs w:val="24"/>
          <w:lang w:eastAsia="el-GR"/>
        </w:rPr>
        <w:t>η χρήση αγγειακής προσπέλασης ώστε να επιτευχθεί η συνεχής παροχή αίματος.</w:t>
      </w:r>
      <w:r w:rsidR="00287271" w:rsidRPr="00817853">
        <w:rPr>
          <w:rFonts w:eastAsia="Times New Roman"/>
          <w:color w:val="000000"/>
          <w:sz w:val="24"/>
          <w:szCs w:val="24"/>
          <w:lang w:eastAsia="el-GR"/>
        </w:rPr>
        <w:t xml:space="preserve"> Στις</w:t>
      </w:r>
      <w:r w:rsidR="00287271" w:rsidRPr="005A464E">
        <w:rPr>
          <w:rFonts w:eastAsia="Times New Roman"/>
          <w:color w:val="000000"/>
          <w:sz w:val="24"/>
          <w:szCs w:val="24"/>
          <w:lang w:eastAsia="el-GR"/>
        </w:rPr>
        <w:t xml:space="preserve"> περιπτώσ</w:t>
      </w:r>
      <w:r w:rsidR="002215DE">
        <w:rPr>
          <w:rFonts w:eastAsia="Times New Roman"/>
          <w:color w:val="000000"/>
          <w:sz w:val="24"/>
          <w:szCs w:val="24"/>
          <w:lang w:eastAsia="el-GR"/>
        </w:rPr>
        <w:t>εις της επείγουσας αιμοκάθαρσης</w:t>
      </w:r>
      <w:r w:rsidR="00287271" w:rsidRPr="005A464E">
        <w:rPr>
          <w:rFonts w:eastAsia="Times New Roman"/>
          <w:color w:val="000000"/>
          <w:sz w:val="24"/>
          <w:szCs w:val="24"/>
          <w:lang w:eastAsia="el-GR"/>
        </w:rPr>
        <w:t xml:space="preserve"> (λόγω υπερκαλι</w:t>
      </w:r>
      <w:r w:rsidR="00394A7E" w:rsidRPr="005A464E">
        <w:rPr>
          <w:rFonts w:eastAsia="Times New Roman"/>
          <w:color w:val="000000"/>
          <w:sz w:val="24"/>
          <w:szCs w:val="24"/>
          <w:lang w:eastAsia="el-GR"/>
        </w:rPr>
        <w:t xml:space="preserve">αιμίας, </w:t>
      </w:r>
      <w:r w:rsidR="003A62E9">
        <w:rPr>
          <w:rFonts w:eastAsia="Times New Roman"/>
          <w:color w:val="000000"/>
          <w:sz w:val="24"/>
          <w:szCs w:val="24"/>
          <w:lang w:eastAsia="el-GR"/>
        </w:rPr>
        <w:t xml:space="preserve">οξέος </w:t>
      </w:r>
      <w:r w:rsidR="00394A7E" w:rsidRPr="005A464E">
        <w:rPr>
          <w:rFonts w:eastAsia="Times New Roman"/>
          <w:color w:val="000000"/>
          <w:sz w:val="24"/>
          <w:szCs w:val="24"/>
          <w:lang w:eastAsia="el-GR"/>
        </w:rPr>
        <w:t>πνευμονικού οιδήματος,</w:t>
      </w:r>
      <w:r w:rsidR="00287271" w:rsidRPr="005A464E">
        <w:rPr>
          <w:rFonts w:eastAsia="Times New Roman"/>
          <w:color w:val="000000"/>
          <w:sz w:val="24"/>
          <w:szCs w:val="24"/>
          <w:lang w:eastAsia="el-GR"/>
        </w:rPr>
        <w:t xml:space="preserve"> </w:t>
      </w:r>
      <w:r w:rsidR="00CF0332" w:rsidRPr="005A464E">
        <w:rPr>
          <w:rFonts w:eastAsia="Times New Roman"/>
          <w:color w:val="000000"/>
          <w:sz w:val="24"/>
          <w:szCs w:val="24"/>
          <w:lang w:eastAsia="el-GR"/>
        </w:rPr>
        <w:t>δηλητηριάσεων</w:t>
      </w:r>
      <w:r w:rsidR="00287271" w:rsidRPr="005A464E">
        <w:rPr>
          <w:rFonts w:eastAsia="Times New Roman"/>
          <w:color w:val="000000"/>
          <w:sz w:val="24"/>
          <w:szCs w:val="24"/>
          <w:lang w:eastAsia="el-GR"/>
        </w:rPr>
        <w:t xml:space="preserve">) </w:t>
      </w:r>
      <w:r w:rsidR="00CF0332" w:rsidRPr="005A464E">
        <w:rPr>
          <w:rFonts w:eastAsia="Times New Roman"/>
          <w:color w:val="000000"/>
          <w:sz w:val="24"/>
          <w:szCs w:val="24"/>
          <w:lang w:eastAsia="el-GR"/>
        </w:rPr>
        <w:t>παρακεντείται</w:t>
      </w:r>
      <w:r w:rsidR="00287271" w:rsidRPr="005A464E">
        <w:rPr>
          <w:rFonts w:eastAsia="Times New Roman"/>
          <w:color w:val="000000"/>
          <w:sz w:val="24"/>
          <w:szCs w:val="24"/>
          <w:lang w:eastAsia="el-GR"/>
        </w:rPr>
        <w:t xml:space="preserve"> μεγάλο φλεβικό στέλεχος (υποκλε</w:t>
      </w:r>
      <w:r w:rsidR="001C3550" w:rsidRPr="005A464E">
        <w:rPr>
          <w:rFonts w:eastAsia="Times New Roman"/>
          <w:color w:val="000000"/>
          <w:sz w:val="24"/>
          <w:szCs w:val="24"/>
          <w:lang w:eastAsia="el-GR"/>
        </w:rPr>
        <w:t>ί</w:t>
      </w:r>
      <w:r w:rsidR="00287271" w:rsidRPr="005A464E">
        <w:rPr>
          <w:rFonts w:eastAsia="Times New Roman"/>
          <w:color w:val="000000"/>
          <w:sz w:val="24"/>
          <w:szCs w:val="24"/>
          <w:lang w:eastAsia="el-GR"/>
        </w:rPr>
        <w:t>διος ή σφαγίτιδα ή μηριαία φλέβα</w:t>
      </w:r>
      <w:r w:rsidR="001C3550" w:rsidRPr="005A464E">
        <w:rPr>
          <w:rFonts w:eastAsia="Times New Roman"/>
          <w:color w:val="000000"/>
          <w:sz w:val="24"/>
          <w:szCs w:val="24"/>
          <w:lang w:eastAsia="el-GR"/>
        </w:rPr>
        <w:t>)</w:t>
      </w:r>
      <w:r w:rsidR="00287271" w:rsidRPr="005A464E">
        <w:rPr>
          <w:rFonts w:eastAsia="Times New Roman"/>
          <w:color w:val="000000"/>
          <w:sz w:val="24"/>
          <w:szCs w:val="24"/>
          <w:lang w:eastAsia="el-GR"/>
        </w:rPr>
        <w:t xml:space="preserve"> και τοποθετείται ειδικός καθετήρας. Στην περίπτωση της ένταξης σε χρόνια πρόγραμμα αιμοκάθαρσης δημιουργείται αρτηριοφλεβική αναστόμωση </w:t>
      </w:r>
      <w:r w:rsidR="001C3550" w:rsidRPr="005A464E">
        <w:rPr>
          <w:rFonts w:eastAsia="Times New Roman"/>
          <w:color w:val="000000"/>
          <w:sz w:val="24"/>
          <w:szCs w:val="24"/>
          <w:lang w:eastAsia="el-GR"/>
        </w:rPr>
        <w:t>(</w:t>
      </w:r>
      <w:r w:rsidR="00287271" w:rsidRPr="005A464E">
        <w:rPr>
          <w:rFonts w:eastAsia="Times New Roman"/>
          <w:color w:val="000000"/>
          <w:sz w:val="24"/>
          <w:szCs w:val="24"/>
          <w:lang w:val="en-US" w:eastAsia="el-GR"/>
        </w:rPr>
        <w:t>fistula</w:t>
      </w:r>
      <w:r w:rsidR="00287271" w:rsidRPr="005A464E">
        <w:rPr>
          <w:rFonts w:eastAsia="Times New Roman"/>
          <w:color w:val="000000"/>
          <w:sz w:val="24"/>
          <w:szCs w:val="24"/>
          <w:lang w:eastAsia="el-GR"/>
        </w:rPr>
        <w:t xml:space="preserve">) </w:t>
      </w:r>
      <w:r w:rsidR="00CF0332" w:rsidRPr="005A464E">
        <w:rPr>
          <w:rFonts w:eastAsia="Times New Roman"/>
          <w:color w:val="000000"/>
          <w:sz w:val="24"/>
          <w:szCs w:val="24"/>
          <w:lang w:eastAsia="el-GR"/>
        </w:rPr>
        <w:t>ή τοποθετείται</w:t>
      </w:r>
      <w:r w:rsidR="00287271" w:rsidRPr="005A464E">
        <w:rPr>
          <w:rFonts w:eastAsia="Times New Roman"/>
          <w:color w:val="000000"/>
          <w:sz w:val="24"/>
          <w:szCs w:val="24"/>
          <w:lang w:eastAsia="el-GR"/>
        </w:rPr>
        <w:t xml:space="preserve"> μόσχευμα.</w:t>
      </w:r>
    </w:p>
    <w:p w:rsidR="000104CB" w:rsidRPr="00B84ACC" w:rsidRDefault="00287271" w:rsidP="005A464E">
      <w:pPr>
        <w:spacing w:after="0" w:line="360" w:lineRule="auto"/>
        <w:jc w:val="both"/>
        <w:rPr>
          <w:rFonts w:eastAsia="Times New Roman" w:cstheme="minorHAnsi"/>
          <w:sz w:val="24"/>
          <w:szCs w:val="24"/>
          <w:lang w:eastAsia="el-GR"/>
        </w:rPr>
      </w:pPr>
      <w:r w:rsidRPr="005A464E">
        <w:rPr>
          <w:rFonts w:eastAsia="Times New Roman"/>
          <w:color w:val="000000"/>
          <w:sz w:val="24"/>
          <w:szCs w:val="24"/>
          <w:lang w:eastAsia="el-GR"/>
        </w:rPr>
        <w:t xml:space="preserve">Η δημιουργία της </w:t>
      </w:r>
      <w:r w:rsidR="001C3550" w:rsidRPr="005A464E">
        <w:rPr>
          <w:rFonts w:eastAsia="Times New Roman"/>
          <w:color w:val="000000"/>
          <w:sz w:val="24"/>
          <w:szCs w:val="24"/>
          <w:lang w:val="en-US" w:eastAsia="el-GR"/>
        </w:rPr>
        <w:t>f</w:t>
      </w:r>
      <w:r w:rsidRPr="005A464E">
        <w:rPr>
          <w:rFonts w:eastAsia="Times New Roman"/>
          <w:color w:val="000000"/>
          <w:sz w:val="24"/>
          <w:szCs w:val="24"/>
          <w:lang w:val="en-US" w:eastAsia="el-GR"/>
        </w:rPr>
        <w:t>istula</w:t>
      </w:r>
      <w:r w:rsidR="00394A7E" w:rsidRPr="005A464E">
        <w:rPr>
          <w:rFonts w:eastAsia="Times New Roman"/>
          <w:color w:val="000000"/>
          <w:sz w:val="24"/>
          <w:szCs w:val="24"/>
          <w:lang w:eastAsia="el-GR"/>
        </w:rPr>
        <w:t xml:space="preserve"> </w:t>
      </w:r>
      <w:r w:rsidRPr="005A464E">
        <w:rPr>
          <w:rFonts w:eastAsia="Times New Roman"/>
          <w:color w:val="000000"/>
          <w:sz w:val="24"/>
          <w:szCs w:val="24"/>
          <w:lang w:eastAsia="el-GR"/>
        </w:rPr>
        <w:t>πρέπει να γίνεται νωρίς, πριν την έ</w:t>
      </w:r>
      <w:r w:rsidR="001C3550" w:rsidRPr="005A464E">
        <w:rPr>
          <w:rFonts w:eastAsia="Times New Roman"/>
          <w:color w:val="000000"/>
          <w:sz w:val="24"/>
          <w:szCs w:val="24"/>
          <w:lang w:eastAsia="el-GR"/>
        </w:rPr>
        <w:t>ν</w:t>
      </w:r>
      <w:r w:rsidRPr="005A464E">
        <w:rPr>
          <w:rFonts w:eastAsia="Times New Roman"/>
          <w:color w:val="000000"/>
          <w:sz w:val="24"/>
          <w:szCs w:val="24"/>
          <w:lang w:eastAsia="el-GR"/>
        </w:rPr>
        <w:t xml:space="preserve">ταξη </w:t>
      </w:r>
      <w:r w:rsidR="00B0560D">
        <w:rPr>
          <w:rFonts w:eastAsia="Times New Roman"/>
          <w:color w:val="000000"/>
          <w:sz w:val="24"/>
          <w:szCs w:val="24"/>
          <w:lang w:eastAsia="el-GR"/>
        </w:rPr>
        <w:t>του ασθενούς</w:t>
      </w:r>
      <w:r w:rsidRPr="005A464E">
        <w:rPr>
          <w:rFonts w:eastAsia="Times New Roman"/>
          <w:color w:val="000000"/>
          <w:sz w:val="24"/>
          <w:szCs w:val="24"/>
          <w:lang w:eastAsia="el-GR"/>
        </w:rPr>
        <w:t xml:space="preserve"> σε χρόνιο πρ</w:t>
      </w:r>
      <w:r w:rsidR="001C3550" w:rsidRPr="005A464E">
        <w:rPr>
          <w:rFonts w:eastAsia="Times New Roman"/>
          <w:color w:val="000000"/>
          <w:sz w:val="24"/>
          <w:szCs w:val="24"/>
          <w:lang w:eastAsia="el-GR"/>
        </w:rPr>
        <w:t>ό</w:t>
      </w:r>
      <w:r w:rsidRPr="005A464E">
        <w:rPr>
          <w:rFonts w:eastAsia="Times New Roman"/>
          <w:color w:val="000000"/>
          <w:sz w:val="24"/>
          <w:szCs w:val="24"/>
          <w:lang w:eastAsia="el-GR"/>
        </w:rPr>
        <w:t>γραμμα αιμοκάθαρσης καθώς θα πρέπει να μεσολαβήσει ο απαραίτητος</w:t>
      </w:r>
      <w:r w:rsidR="0078495A">
        <w:rPr>
          <w:rFonts w:eastAsia="Times New Roman"/>
          <w:color w:val="000000"/>
          <w:sz w:val="24"/>
          <w:szCs w:val="24"/>
          <w:lang w:eastAsia="el-GR"/>
        </w:rPr>
        <w:t xml:space="preserve"> </w:t>
      </w:r>
      <w:r w:rsidRPr="005A464E">
        <w:rPr>
          <w:rFonts w:eastAsia="Times New Roman"/>
          <w:color w:val="000000"/>
          <w:sz w:val="24"/>
          <w:szCs w:val="24"/>
          <w:lang w:eastAsia="el-GR"/>
        </w:rPr>
        <w:t>χρόνος (3-4 εβδομάδες) ώστε να αρτηριοποιηθεί το φλεβικό δίκτυο</w:t>
      </w:r>
      <w:r w:rsidR="006948D3" w:rsidRPr="005A464E">
        <w:rPr>
          <w:rFonts w:eastAsia="Times New Roman"/>
          <w:color w:val="000000"/>
          <w:sz w:val="24"/>
          <w:szCs w:val="24"/>
          <w:lang w:eastAsia="el-GR"/>
        </w:rPr>
        <w:t xml:space="preserve"> (</w:t>
      </w:r>
      <w:hyperlink r:id="rId23" w:history="1">
        <w:r w:rsidR="00B84ACC" w:rsidRPr="00B84ACC">
          <w:rPr>
            <w:rStyle w:val="-"/>
            <w:rFonts w:asciiTheme="minorHAnsi" w:hAnsiTheme="minorHAnsi" w:cstheme="minorHAnsi"/>
            <w:color w:val="auto"/>
            <w:sz w:val="24"/>
            <w:szCs w:val="24"/>
            <w:u w:val="none"/>
            <w:shd w:val="clear" w:color="auto" w:fill="FFFFFF"/>
          </w:rPr>
          <w:t>Rajan</w:t>
        </w:r>
      </w:hyperlink>
      <w:r w:rsidR="00B84ACC" w:rsidRPr="00B84ACC">
        <w:rPr>
          <w:rFonts w:asciiTheme="minorHAnsi" w:hAnsiTheme="minorHAnsi" w:cstheme="minorHAnsi"/>
          <w:sz w:val="24"/>
          <w:szCs w:val="24"/>
          <w:shd w:val="clear" w:color="auto" w:fill="FFFFFF"/>
        </w:rPr>
        <w:t>, 2016).</w:t>
      </w:r>
    </w:p>
    <w:p w:rsidR="00287271" w:rsidRPr="005A464E" w:rsidRDefault="00287271" w:rsidP="005A464E">
      <w:pPr>
        <w:spacing w:after="0" w:line="360" w:lineRule="auto"/>
        <w:jc w:val="both"/>
        <w:rPr>
          <w:rFonts w:eastAsia="Times New Roman"/>
          <w:color w:val="000000"/>
          <w:sz w:val="24"/>
          <w:szCs w:val="24"/>
          <w:lang w:eastAsia="el-GR"/>
        </w:rPr>
      </w:pPr>
    </w:p>
    <w:p w:rsidR="005C5BCF" w:rsidRPr="005A464E" w:rsidRDefault="00786191" w:rsidP="005A464E">
      <w:pPr>
        <w:spacing w:after="0" w:line="360" w:lineRule="auto"/>
        <w:jc w:val="both"/>
        <w:rPr>
          <w:rFonts w:eastAsia="Times New Roman"/>
          <w:b/>
          <w:color w:val="000000"/>
          <w:sz w:val="24"/>
          <w:szCs w:val="24"/>
          <w:lang w:eastAsia="el-GR"/>
        </w:rPr>
      </w:pPr>
      <w:r w:rsidRPr="005A464E">
        <w:rPr>
          <w:rFonts w:eastAsia="Times New Roman"/>
          <w:b/>
          <w:color w:val="000000"/>
          <w:sz w:val="24"/>
          <w:szCs w:val="24"/>
          <w:lang w:eastAsia="el-GR"/>
        </w:rPr>
        <w:t>Συμβάματα</w:t>
      </w:r>
      <w:r w:rsidR="00287271" w:rsidRPr="005A464E">
        <w:rPr>
          <w:rFonts w:eastAsia="Times New Roman"/>
          <w:b/>
          <w:color w:val="000000"/>
          <w:sz w:val="24"/>
          <w:szCs w:val="24"/>
          <w:lang w:eastAsia="el-GR"/>
        </w:rPr>
        <w:t xml:space="preserve"> κατά την αιμο</w:t>
      </w:r>
      <w:r w:rsidRPr="005A464E">
        <w:rPr>
          <w:rFonts w:eastAsia="Times New Roman"/>
          <w:b/>
          <w:color w:val="000000"/>
          <w:sz w:val="24"/>
          <w:szCs w:val="24"/>
          <w:lang w:eastAsia="el-GR"/>
        </w:rPr>
        <w:t>κάθαρση</w:t>
      </w:r>
    </w:p>
    <w:p w:rsidR="006D7A98" w:rsidRPr="005A464E" w:rsidRDefault="006D7A98" w:rsidP="005A464E">
      <w:pPr>
        <w:spacing w:after="0" w:line="360" w:lineRule="auto"/>
        <w:jc w:val="both"/>
        <w:rPr>
          <w:rFonts w:eastAsia="Times New Roman"/>
          <w:color w:val="000000"/>
          <w:sz w:val="24"/>
          <w:szCs w:val="24"/>
          <w:lang w:eastAsia="el-GR"/>
        </w:rPr>
      </w:pPr>
      <w:r w:rsidRPr="005A464E">
        <w:rPr>
          <w:rFonts w:eastAsia="Times New Roman"/>
          <w:color w:val="000000"/>
          <w:sz w:val="24"/>
          <w:szCs w:val="24"/>
          <w:lang w:val="en-US" w:eastAsia="el-GR"/>
        </w:rPr>
        <w:t> </w:t>
      </w:r>
    </w:p>
    <w:p w:rsidR="00786191" w:rsidRPr="005A464E" w:rsidRDefault="00786191" w:rsidP="005A464E">
      <w:pPr>
        <w:spacing w:after="0" w:line="360" w:lineRule="auto"/>
        <w:jc w:val="both"/>
        <w:rPr>
          <w:rFonts w:eastAsia="Times New Roman"/>
          <w:color w:val="000000"/>
          <w:sz w:val="24"/>
          <w:szCs w:val="24"/>
          <w:lang w:eastAsia="el-GR"/>
        </w:rPr>
      </w:pPr>
      <w:r w:rsidRPr="005A464E">
        <w:rPr>
          <w:rFonts w:eastAsia="Times New Roman"/>
          <w:color w:val="000000"/>
          <w:sz w:val="24"/>
          <w:szCs w:val="24"/>
          <w:lang w:eastAsia="el-GR"/>
        </w:rPr>
        <w:t>Κατά τη διάρκ</w:t>
      </w:r>
      <w:r w:rsidR="002215DE">
        <w:rPr>
          <w:rFonts w:eastAsia="Times New Roman"/>
          <w:color w:val="000000"/>
          <w:sz w:val="24"/>
          <w:szCs w:val="24"/>
          <w:lang w:eastAsia="el-GR"/>
        </w:rPr>
        <w:t xml:space="preserve">εια </w:t>
      </w:r>
      <w:r w:rsidR="00817853">
        <w:rPr>
          <w:rFonts w:eastAsia="Times New Roman"/>
          <w:color w:val="000000"/>
          <w:sz w:val="24"/>
          <w:szCs w:val="24"/>
          <w:lang w:eastAsia="el-GR"/>
        </w:rPr>
        <w:t>μια</w:t>
      </w:r>
      <w:r w:rsidR="002215DE">
        <w:rPr>
          <w:rFonts w:eastAsia="Times New Roman"/>
          <w:color w:val="000000"/>
          <w:sz w:val="24"/>
          <w:szCs w:val="24"/>
          <w:lang w:eastAsia="el-GR"/>
        </w:rPr>
        <w:t>ς συνεδρίας αιμοκάθαρσης</w:t>
      </w:r>
      <w:r w:rsidRPr="005A464E">
        <w:rPr>
          <w:rFonts w:eastAsia="Times New Roman"/>
          <w:color w:val="000000"/>
          <w:sz w:val="24"/>
          <w:szCs w:val="24"/>
          <w:lang w:eastAsia="el-GR"/>
        </w:rPr>
        <w:t xml:space="preserve"> είναι δυνατό να εμφανισθούν οξέα συμβάματα</w:t>
      </w:r>
      <w:r w:rsidR="00FB69F9" w:rsidRPr="00FB69F9">
        <w:rPr>
          <w:rFonts w:eastAsia="Times New Roman"/>
          <w:color w:val="000000"/>
          <w:sz w:val="24"/>
          <w:szCs w:val="24"/>
          <w:lang w:eastAsia="el-GR"/>
        </w:rPr>
        <w:t>,</w:t>
      </w:r>
      <w:r w:rsidRPr="005A464E">
        <w:rPr>
          <w:rFonts w:eastAsia="Times New Roman"/>
          <w:color w:val="000000"/>
          <w:sz w:val="24"/>
          <w:szCs w:val="24"/>
          <w:lang w:eastAsia="el-GR"/>
        </w:rPr>
        <w:t xml:space="preserve"> όπως:</w:t>
      </w:r>
    </w:p>
    <w:p w:rsidR="00786191" w:rsidRPr="005A464E" w:rsidRDefault="00364E5A" w:rsidP="005A464E">
      <w:pPr>
        <w:pStyle w:val="a5"/>
        <w:numPr>
          <w:ilvl w:val="0"/>
          <w:numId w:val="18"/>
        </w:numPr>
        <w:spacing w:after="0" w:line="360" w:lineRule="auto"/>
        <w:jc w:val="both"/>
        <w:rPr>
          <w:rFonts w:eastAsia="Times New Roman"/>
          <w:color w:val="000000"/>
          <w:sz w:val="24"/>
          <w:szCs w:val="24"/>
          <w:lang w:eastAsia="el-GR"/>
        </w:rPr>
      </w:pPr>
      <w:r w:rsidRPr="005A464E">
        <w:rPr>
          <w:rFonts w:eastAsia="Times New Roman"/>
          <w:color w:val="000000"/>
          <w:sz w:val="24"/>
          <w:szCs w:val="24"/>
          <w:lang w:eastAsia="el-GR"/>
        </w:rPr>
        <w:t>Υποτασικά ε</w:t>
      </w:r>
      <w:r w:rsidR="006E1282">
        <w:rPr>
          <w:rFonts w:eastAsia="Times New Roman"/>
          <w:color w:val="000000"/>
          <w:sz w:val="24"/>
          <w:szCs w:val="24"/>
          <w:lang w:eastAsia="el-GR"/>
        </w:rPr>
        <w:t>πεισόδια λόγω οξείας αφυδάτωσης</w:t>
      </w:r>
      <w:r w:rsidRPr="005A464E">
        <w:rPr>
          <w:rFonts w:eastAsia="Times New Roman"/>
          <w:color w:val="000000"/>
          <w:sz w:val="24"/>
          <w:szCs w:val="24"/>
          <w:lang w:eastAsia="el-GR"/>
        </w:rPr>
        <w:t>, καρδιολογικών προβλημάτων ή κατάχρησης φαρμάκων</w:t>
      </w:r>
      <w:r w:rsidR="0034172F">
        <w:rPr>
          <w:rFonts w:eastAsia="Times New Roman"/>
          <w:color w:val="000000"/>
          <w:sz w:val="24"/>
          <w:szCs w:val="24"/>
          <w:lang w:eastAsia="el-GR"/>
        </w:rPr>
        <w:t>.</w:t>
      </w:r>
    </w:p>
    <w:p w:rsidR="00364E5A" w:rsidRPr="005A464E" w:rsidRDefault="00CF0332" w:rsidP="005A464E">
      <w:pPr>
        <w:pStyle w:val="a5"/>
        <w:numPr>
          <w:ilvl w:val="0"/>
          <w:numId w:val="18"/>
        </w:numPr>
        <w:spacing w:after="0" w:line="360" w:lineRule="auto"/>
        <w:jc w:val="both"/>
        <w:rPr>
          <w:rFonts w:eastAsia="Times New Roman"/>
          <w:color w:val="000000"/>
          <w:sz w:val="24"/>
          <w:szCs w:val="24"/>
          <w:lang w:eastAsia="el-GR"/>
        </w:rPr>
      </w:pPr>
      <w:r w:rsidRPr="000C2E9E">
        <w:rPr>
          <w:rFonts w:eastAsia="Times New Roman"/>
          <w:color w:val="000000"/>
          <w:sz w:val="24"/>
          <w:szCs w:val="24"/>
          <w:lang w:eastAsia="el-GR"/>
        </w:rPr>
        <w:t>Μυϊκές</w:t>
      </w:r>
      <w:r w:rsidR="00364E5A" w:rsidRPr="000C2E9E">
        <w:rPr>
          <w:rFonts w:eastAsia="Times New Roman"/>
          <w:color w:val="000000"/>
          <w:sz w:val="24"/>
          <w:szCs w:val="24"/>
          <w:lang w:eastAsia="el-GR"/>
        </w:rPr>
        <w:t xml:space="preserve"> </w:t>
      </w:r>
      <w:r w:rsidR="009B2A2B" w:rsidRPr="000C2E9E">
        <w:rPr>
          <w:rFonts w:eastAsia="Times New Roman"/>
          <w:color w:val="000000"/>
          <w:sz w:val="24"/>
          <w:szCs w:val="24"/>
          <w:lang w:eastAsia="el-GR"/>
        </w:rPr>
        <w:t>συνολκέ</w:t>
      </w:r>
      <w:r w:rsidR="00364E5A" w:rsidRPr="000C2E9E">
        <w:rPr>
          <w:rFonts w:eastAsia="Times New Roman"/>
          <w:color w:val="000000"/>
          <w:sz w:val="24"/>
          <w:szCs w:val="24"/>
          <w:lang w:eastAsia="el-GR"/>
        </w:rPr>
        <w:t>ς (λόγω</w:t>
      </w:r>
      <w:r w:rsidR="00364E5A" w:rsidRPr="005A464E">
        <w:rPr>
          <w:rFonts w:eastAsia="Times New Roman"/>
          <w:color w:val="000000"/>
          <w:sz w:val="24"/>
          <w:szCs w:val="24"/>
          <w:lang w:eastAsia="el-GR"/>
        </w:rPr>
        <w:t xml:space="preserve"> οξείας απώλειας νατρίου)</w:t>
      </w:r>
      <w:r w:rsidR="0034172F">
        <w:rPr>
          <w:rFonts w:eastAsia="Times New Roman"/>
          <w:color w:val="000000"/>
          <w:sz w:val="24"/>
          <w:szCs w:val="24"/>
          <w:lang w:eastAsia="el-GR"/>
        </w:rPr>
        <w:t>.</w:t>
      </w:r>
    </w:p>
    <w:p w:rsidR="00364E5A" w:rsidRPr="005A464E" w:rsidRDefault="00364E5A" w:rsidP="005A464E">
      <w:pPr>
        <w:pStyle w:val="a5"/>
        <w:numPr>
          <w:ilvl w:val="0"/>
          <w:numId w:val="18"/>
        </w:numPr>
        <w:spacing w:after="0" w:line="360" w:lineRule="auto"/>
        <w:jc w:val="both"/>
        <w:rPr>
          <w:rFonts w:eastAsia="Times New Roman"/>
          <w:color w:val="000000"/>
          <w:sz w:val="24"/>
          <w:szCs w:val="24"/>
          <w:lang w:eastAsia="el-GR"/>
        </w:rPr>
      </w:pPr>
      <w:r w:rsidRPr="005A464E">
        <w:rPr>
          <w:rFonts w:eastAsia="Times New Roman"/>
          <w:color w:val="000000"/>
          <w:sz w:val="24"/>
          <w:szCs w:val="24"/>
          <w:lang w:eastAsia="el-GR"/>
        </w:rPr>
        <w:t>Έμετ</w:t>
      </w:r>
      <w:r w:rsidR="006E1282">
        <w:rPr>
          <w:rFonts w:eastAsia="Times New Roman"/>
          <w:color w:val="000000"/>
          <w:sz w:val="24"/>
          <w:szCs w:val="24"/>
          <w:lang w:eastAsia="el-GR"/>
        </w:rPr>
        <w:t>οι (</w:t>
      </w:r>
      <w:r w:rsidRPr="005A464E">
        <w:rPr>
          <w:rFonts w:eastAsia="Times New Roman"/>
          <w:color w:val="000000"/>
          <w:sz w:val="24"/>
          <w:szCs w:val="24"/>
          <w:lang w:eastAsia="el-GR"/>
        </w:rPr>
        <w:t xml:space="preserve">λόγω ρήξης της ωσμωτικής ισορροπίας ή </w:t>
      </w:r>
      <w:r w:rsidR="008C3CCB" w:rsidRPr="005A464E">
        <w:rPr>
          <w:rFonts w:eastAsia="Times New Roman"/>
          <w:color w:val="000000"/>
          <w:sz w:val="24"/>
          <w:szCs w:val="24"/>
          <w:lang w:eastAsia="el-GR"/>
        </w:rPr>
        <w:t>υπέρτασης</w:t>
      </w:r>
      <w:r w:rsidRPr="005A464E">
        <w:rPr>
          <w:rFonts w:eastAsia="Times New Roman"/>
          <w:color w:val="000000"/>
          <w:sz w:val="24"/>
          <w:szCs w:val="24"/>
          <w:lang w:eastAsia="el-GR"/>
        </w:rPr>
        <w:t>)</w:t>
      </w:r>
      <w:r w:rsidR="0034172F">
        <w:rPr>
          <w:rFonts w:eastAsia="Times New Roman"/>
          <w:color w:val="000000"/>
          <w:sz w:val="24"/>
          <w:szCs w:val="24"/>
          <w:lang w:eastAsia="el-GR"/>
        </w:rPr>
        <w:t>.</w:t>
      </w:r>
    </w:p>
    <w:p w:rsidR="00364E5A" w:rsidRPr="005A464E" w:rsidRDefault="00364E5A" w:rsidP="005A464E">
      <w:pPr>
        <w:pStyle w:val="a5"/>
        <w:numPr>
          <w:ilvl w:val="0"/>
          <w:numId w:val="18"/>
        </w:numPr>
        <w:spacing w:after="0" w:line="360" w:lineRule="auto"/>
        <w:jc w:val="both"/>
        <w:rPr>
          <w:rFonts w:eastAsia="Times New Roman"/>
          <w:color w:val="000000"/>
          <w:sz w:val="24"/>
          <w:szCs w:val="24"/>
          <w:lang w:eastAsia="el-GR"/>
        </w:rPr>
      </w:pPr>
      <w:r w:rsidRPr="005A464E">
        <w:rPr>
          <w:rFonts w:eastAsia="Times New Roman"/>
          <w:color w:val="000000"/>
          <w:sz w:val="24"/>
          <w:szCs w:val="24"/>
          <w:lang w:eastAsia="el-GR"/>
        </w:rPr>
        <w:t xml:space="preserve">Κεφαλαλγίες (λόγω </w:t>
      </w:r>
      <w:r w:rsidR="008C3CCB" w:rsidRPr="005A464E">
        <w:rPr>
          <w:rFonts w:eastAsia="Times New Roman"/>
          <w:color w:val="000000"/>
          <w:sz w:val="24"/>
          <w:szCs w:val="24"/>
          <w:lang w:eastAsia="el-GR"/>
        </w:rPr>
        <w:t>υπέρτασης</w:t>
      </w:r>
      <w:r w:rsidRPr="005A464E">
        <w:rPr>
          <w:rFonts w:eastAsia="Times New Roman"/>
          <w:color w:val="000000"/>
          <w:sz w:val="24"/>
          <w:szCs w:val="24"/>
          <w:lang w:eastAsia="el-GR"/>
        </w:rPr>
        <w:t xml:space="preserve"> ή αιμόλυσης)</w:t>
      </w:r>
      <w:r w:rsidR="0034172F">
        <w:rPr>
          <w:rFonts w:eastAsia="Times New Roman"/>
          <w:color w:val="000000"/>
          <w:sz w:val="24"/>
          <w:szCs w:val="24"/>
          <w:lang w:eastAsia="el-GR"/>
        </w:rPr>
        <w:t>.</w:t>
      </w:r>
    </w:p>
    <w:p w:rsidR="00364E5A" w:rsidRPr="005A464E" w:rsidRDefault="00364E5A" w:rsidP="005A464E">
      <w:pPr>
        <w:pStyle w:val="a5"/>
        <w:numPr>
          <w:ilvl w:val="0"/>
          <w:numId w:val="18"/>
        </w:numPr>
        <w:spacing w:after="0" w:line="360" w:lineRule="auto"/>
        <w:jc w:val="both"/>
        <w:rPr>
          <w:rFonts w:eastAsia="Times New Roman"/>
          <w:color w:val="000000"/>
          <w:sz w:val="24"/>
          <w:szCs w:val="24"/>
          <w:lang w:eastAsia="el-GR"/>
        </w:rPr>
      </w:pPr>
      <w:r w:rsidRPr="005A464E">
        <w:rPr>
          <w:rFonts w:eastAsia="Times New Roman"/>
          <w:color w:val="000000"/>
          <w:sz w:val="24"/>
          <w:szCs w:val="24"/>
          <w:lang w:eastAsia="el-GR"/>
        </w:rPr>
        <w:t>Προκάρδιο άλγος (λόγω στεφανιαίου επεισοδίου)</w:t>
      </w:r>
      <w:r w:rsidR="0034172F">
        <w:rPr>
          <w:rFonts w:eastAsia="Times New Roman"/>
          <w:color w:val="000000"/>
          <w:sz w:val="24"/>
          <w:szCs w:val="24"/>
          <w:lang w:eastAsia="el-GR"/>
        </w:rPr>
        <w:t>.</w:t>
      </w:r>
    </w:p>
    <w:p w:rsidR="00364E5A" w:rsidRPr="005A464E" w:rsidRDefault="00364E5A" w:rsidP="005A464E">
      <w:pPr>
        <w:pStyle w:val="a5"/>
        <w:numPr>
          <w:ilvl w:val="0"/>
          <w:numId w:val="18"/>
        </w:numPr>
        <w:spacing w:after="0" w:line="360" w:lineRule="auto"/>
        <w:jc w:val="both"/>
        <w:rPr>
          <w:rFonts w:eastAsia="Times New Roman"/>
          <w:color w:val="000000"/>
          <w:sz w:val="24"/>
          <w:szCs w:val="24"/>
          <w:lang w:eastAsia="el-GR"/>
        </w:rPr>
      </w:pPr>
      <w:r w:rsidRPr="005A464E">
        <w:rPr>
          <w:rFonts w:eastAsia="Times New Roman"/>
          <w:color w:val="000000"/>
          <w:sz w:val="24"/>
          <w:szCs w:val="24"/>
          <w:lang w:eastAsia="el-GR"/>
        </w:rPr>
        <w:t>Διαταραχές καρδιακού ρυθμού (λόγω υποκαλιαιμίας)</w:t>
      </w:r>
      <w:r w:rsidR="0034172F">
        <w:rPr>
          <w:rFonts w:eastAsia="Times New Roman"/>
          <w:color w:val="000000"/>
          <w:sz w:val="24"/>
          <w:szCs w:val="24"/>
          <w:lang w:eastAsia="el-GR"/>
        </w:rPr>
        <w:t>.</w:t>
      </w:r>
    </w:p>
    <w:p w:rsidR="00364E5A" w:rsidRPr="005A464E" w:rsidRDefault="00364E5A" w:rsidP="005A464E">
      <w:pPr>
        <w:pStyle w:val="a5"/>
        <w:numPr>
          <w:ilvl w:val="0"/>
          <w:numId w:val="18"/>
        </w:numPr>
        <w:spacing w:after="0" w:line="360" w:lineRule="auto"/>
        <w:jc w:val="both"/>
        <w:rPr>
          <w:rFonts w:eastAsia="Times New Roman"/>
          <w:color w:val="000000"/>
          <w:sz w:val="24"/>
          <w:szCs w:val="24"/>
          <w:lang w:eastAsia="el-GR"/>
        </w:rPr>
      </w:pPr>
      <w:r w:rsidRPr="005A464E">
        <w:rPr>
          <w:rFonts w:eastAsia="Times New Roman"/>
          <w:color w:val="000000"/>
          <w:sz w:val="24"/>
          <w:szCs w:val="24"/>
          <w:lang w:eastAsia="el-GR"/>
        </w:rPr>
        <w:t xml:space="preserve">Αιμάτωμα της αρτηριοφλεβικής αναστόμωσης (λόγω κακής </w:t>
      </w:r>
      <w:r w:rsidR="006E1282">
        <w:rPr>
          <w:rFonts w:eastAsia="Times New Roman"/>
          <w:color w:val="000000"/>
          <w:sz w:val="24"/>
          <w:szCs w:val="24"/>
          <w:lang w:eastAsia="el-GR"/>
        </w:rPr>
        <w:t xml:space="preserve">τεχνικής </w:t>
      </w:r>
      <w:r w:rsidRPr="005A464E">
        <w:rPr>
          <w:rFonts w:eastAsia="Times New Roman"/>
          <w:color w:val="000000"/>
          <w:sz w:val="24"/>
          <w:szCs w:val="24"/>
          <w:lang w:eastAsia="el-GR"/>
        </w:rPr>
        <w:t>παρακέντησης)</w:t>
      </w:r>
      <w:r w:rsidR="0034172F">
        <w:rPr>
          <w:rFonts w:eastAsia="Times New Roman"/>
          <w:color w:val="000000"/>
          <w:sz w:val="24"/>
          <w:szCs w:val="24"/>
          <w:lang w:eastAsia="el-GR"/>
        </w:rPr>
        <w:t>.</w:t>
      </w:r>
    </w:p>
    <w:p w:rsidR="00364E5A" w:rsidRPr="004F3A28" w:rsidRDefault="00364E5A" w:rsidP="005A464E">
      <w:pPr>
        <w:pStyle w:val="a5"/>
        <w:numPr>
          <w:ilvl w:val="0"/>
          <w:numId w:val="18"/>
        </w:numPr>
        <w:spacing w:after="0" w:line="360" w:lineRule="auto"/>
        <w:jc w:val="both"/>
        <w:rPr>
          <w:rFonts w:eastAsia="Times New Roman"/>
          <w:color w:val="000000"/>
          <w:sz w:val="24"/>
          <w:szCs w:val="24"/>
          <w:lang w:eastAsia="el-GR"/>
        </w:rPr>
      </w:pPr>
      <w:r w:rsidRPr="004F3A28">
        <w:rPr>
          <w:rFonts w:eastAsia="Times New Roman"/>
          <w:color w:val="000000"/>
          <w:sz w:val="24"/>
          <w:szCs w:val="24"/>
          <w:lang w:eastAsia="el-GR"/>
        </w:rPr>
        <w:t>Πήξη του</w:t>
      </w:r>
      <w:r w:rsidR="00995094" w:rsidRPr="004F3A28">
        <w:rPr>
          <w:rFonts w:eastAsia="Times New Roman"/>
          <w:color w:val="000000"/>
          <w:sz w:val="24"/>
          <w:szCs w:val="24"/>
          <w:lang w:eastAsia="el-GR"/>
        </w:rPr>
        <w:t xml:space="preserve"> αίματος μέσα στο φίλτρο</w:t>
      </w:r>
      <w:r w:rsidRPr="004F3A28">
        <w:rPr>
          <w:rFonts w:eastAsia="Times New Roman"/>
          <w:color w:val="000000"/>
          <w:sz w:val="24"/>
          <w:szCs w:val="24"/>
          <w:lang w:eastAsia="el-GR"/>
        </w:rPr>
        <w:t xml:space="preserve"> (λόγω ανεπαρκούς ηπαρινισμού)</w:t>
      </w:r>
      <w:r w:rsidR="0034172F" w:rsidRPr="004F3A28">
        <w:rPr>
          <w:rFonts w:eastAsia="Times New Roman"/>
          <w:color w:val="000000"/>
          <w:sz w:val="24"/>
          <w:szCs w:val="24"/>
          <w:lang w:eastAsia="el-GR"/>
        </w:rPr>
        <w:t>.</w:t>
      </w:r>
    </w:p>
    <w:p w:rsidR="00EF4DBD" w:rsidRPr="00B84ACC" w:rsidRDefault="00364E5A" w:rsidP="005A464E">
      <w:pPr>
        <w:pStyle w:val="a5"/>
        <w:numPr>
          <w:ilvl w:val="0"/>
          <w:numId w:val="18"/>
        </w:numPr>
        <w:spacing w:after="0" w:line="360" w:lineRule="auto"/>
        <w:jc w:val="both"/>
        <w:rPr>
          <w:rFonts w:asciiTheme="minorHAnsi" w:eastAsia="Times New Roman" w:hAnsiTheme="minorHAnsi" w:cstheme="minorHAnsi"/>
          <w:sz w:val="24"/>
          <w:szCs w:val="24"/>
          <w:lang w:eastAsia="el-GR"/>
        </w:rPr>
      </w:pPr>
      <w:r w:rsidRPr="004F3A28">
        <w:rPr>
          <w:rFonts w:eastAsia="Times New Roman"/>
          <w:color w:val="000000"/>
          <w:sz w:val="24"/>
          <w:szCs w:val="24"/>
          <w:lang w:eastAsia="el-GR"/>
        </w:rPr>
        <w:t>Πυρ</w:t>
      </w:r>
      <w:r w:rsidR="00EF4DBD" w:rsidRPr="004F3A28">
        <w:rPr>
          <w:rFonts w:eastAsia="Times New Roman"/>
          <w:color w:val="000000"/>
          <w:sz w:val="24"/>
          <w:szCs w:val="24"/>
          <w:lang w:eastAsia="el-GR"/>
        </w:rPr>
        <w:t>ετός (διάφορα μικροβιακά αίτια)</w:t>
      </w:r>
      <w:r w:rsidR="00395B5D" w:rsidRPr="004F3A28">
        <w:rPr>
          <w:rFonts w:eastAsia="Times New Roman"/>
          <w:color w:val="000000"/>
          <w:sz w:val="24"/>
          <w:szCs w:val="24"/>
          <w:lang w:eastAsia="el-GR"/>
        </w:rPr>
        <w:t xml:space="preserve"> </w:t>
      </w:r>
      <w:r w:rsidR="00B84ACC" w:rsidRPr="004F3A28">
        <w:rPr>
          <w:rFonts w:asciiTheme="minorHAnsi" w:hAnsiTheme="minorHAnsi" w:cstheme="minorHAnsi"/>
          <w:sz w:val="24"/>
          <w:szCs w:val="24"/>
        </w:rPr>
        <w:t>(</w:t>
      </w:r>
      <w:hyperlink r:id="rId24" w:history="1">
        <w:r w:rsidR="00B84ACC" w:rsidRPr="004F3A28">
          <w:rPr>
            <w:rStyle w:val="-"/>
            <w:rFonts w:asciiTheme="minorHAnsi" w:hAnsiTheme="minorHAnsi" w:cstheme="minorHAnsi"/>
            <w:color w:val="auto"/>
            <w:sz w:val="24"/>
            <w:szCs w:val="24"/>
            <w:u w:val="none"/>
            <w:shd w:val="clear" w:color="auto" w:fill="FFFFFF"/>
          </w:rPr>
          <w:t>Zumrutdal, </w:t>
        </w:r>
      </w:hyperlink>
      <w:r w:rsidR="00B84ACC" w:rsidRPr="004F3A28">
        <w:rPr>
          <w:rFonts w:asciiTheme="minorHAnsi" w:hAnsiTheme="minorHAnsi" w:cstheme="minorHAnsi"/>
          <w:sz w:val="24"/>
          <w:szCs w:val="24"/>
        </w:rPr>
        <w:t xml:space="preserve"> 2013</w:t>
      </w:r>
      <w:r w:rsidR="00585101" w:rsidRPr="004F3A28">
        <w:rPr>
          <w:rFonts w:asciiTheme="minorHAnsi" w:hAnsiTheme="minorHAnsi" w:cstheme="minorHAnsi"/>
          <w:sz w:val="24"/>
          <w:szCs w:val="24"/>
        </w:rPr>
        <w:t>;</w:t>
      </w:r>
      <w:r w:rsidR="00585101" w:rsidRPr="00585101">
        <w:rPr>
          <w:rFonts w:asciiTheme="minorHAnsi" w:hAnsiTheme="minorHAnsi" w:cstheme="minorHAnsi"/>
          <w:sz w:val="24"/>
          <w:szCs w:val="24"/>
        </w:rPr>
        <w:t xml:space="preserve"> </w:t>
      </w:r>
      <w:r w:rsidR="00585101">
        <w:rPr>
          <w:rFonts w:asciiTheme="minorHAnsi" w:hAnsiTheme="minorHAnsi" w:cstheme="minorHAnsi"/>
          <w:sz w:val="24"/>
          <w:szCs w:val="24"/>
          <w:lang w:val="en-US"/>
        </w:rPr>
        <w:t>Misra</w:t>
      </w:r>
      <w:r w:rsidR="00585101" w:rsidRPr="00585101">
        <w:rPr>
          <w:rFonts w:asciiTheme="minorHAnsi" w:hAnsiTheme="minorHAnsi" w:cstheme="minorHAnsi"/>
          <w:sz w:val="24"/>
          <w:szCs w:val="24"/>
        </w:rPr>
        <w:t>, 2016</w:t>
      </w:r>
      <w:r w:rsidR="00B84ACC" w:rsidRPr="00B84ACC">
        <w:rPr>
          <w:rFonts w:asciiTheme="minorHAnsi" w:hAnsiTheme="minorHAnsi" w:cstheme="minorHAnsi"/>
          <w:sz w:val="24"/>
          <w:szCs w:val="24"/>
        </w:rPr>
        <w:t>).</w:t>
      </w:r>
    </w:p>
    <w:p w:rsidR="00EF4DBD" w:rsidRPr="005A464E" w:rsidRDefault="00EF4DBD" w:rsidP="005A464E">
      <w:pPr>
        <w:spacing w:after="0" w:line="360" w:lineRule="auto"/>
        <w:jc w:val="both"/>
        <w:rPr>
          <w:rFonts w:eastAsia="Times New Roman"/>
          <w:color w:val="000000"/>
          <w:sz w:val="24"/>
          <w:szCs w:val="24"/>
          <w:lang w:eastAsia="el-GR"/>
        </w:rPr>
      </w:pPr>
    </w:p>
    <w:p w:rsidR="00F03C53" w:rsidRPr="006E1282" w:rsidRDefault="00F03C53" w:rsidP="005A464E">
      <w:pPr>
        <w:spacing w:line="360" w:lineRule="auto"/>
        <w:rPr>
          <w:rFonts w:eastAsia="Times New Roman"/>
          <w:b/>
          <w:color w:val="000000"/>
          <w:sz w:val="24"/>
          <w:szCs w:val="24"/>
          <w:lang w:eastAsia="el-GR"/>
        </w:rPr>
      </w:pPr>
      <w:r w:rsidRPr="006E1282">
        <w:rPr>
          <w:b/>
          <w:sz w:val="24"/>
          <w:szCs w:val="24"/>
        </w:rPr>
        <w:t>Η περιτοναϊκή κάθαρση</w:t>
      </w:r>
    </w:p>
    <w:p w:rsidR="007B29FB" w:rsidRPr="005A464E" w:rsidRDefault="0068695E" w:rsidP="005A464E">
      <w:pPr>
        <w:spacing w:line="360" w:lineRule="auto"/>
        <w:jc w:val="both"/>
      </w:pPr>
      <w:r w:rsidRPr="005A464E">
        <w:rPr>
          <w:sz w:val="24"/>
          <w:szCs w:val="24"/>
        </w:rPr>
        <w:t>Η έννοια της συνεχούς φορητής</w:t>
      </w:r>
      <w:r w:rsidR="007B29FB" w:rsidRPr="005A464E">
        <w:rPr>
          <w:sz w:val="24"/>
          <w:szCs w:val="24"/>
        </w:rPr>
        <w:t xml:space="preserve"> περιτοναϊκής κάθαρσης εισήχθη</w:t>
      </w:r>
      <w:r w:rsidR="00D60706">
        <w:rPr>
          <w:sz w:val="24"/>
          <w:szCs w:val="24"/>
        </w:rPr>
        <w:t xml:space="preserve"> από τον</w:t>
      </w:r>
      <w:r w:rsidRPr="005A464E">
        <w:rPr>
          <w:sz w:val="24"/>
          <w:szCs w:val="24"/>
        </w:rPr>
        <w:t xml:space="preserve"> </w:t>
      </w:r>
      <w:r w:rsidRPr="005A464E">
        <w:rPr>
          <w:sz w:val="24"/>
          <w:szCs w:val="24"/>
          <w:lang w:val="en-US"/>
        </w:rPr>
        <w:t>Popovich</w:t>
      </w:r>
      <w:r w:rsidR="00CF0332" w:rsidRPr="005A464E">
        <w:rPr>
          <w:sz w:val="24"/>
          <w:szCs w:val="24"/>
        </w:rPr>
        <w:t xml:space="preserve"> </w:t>
      </w:r>
      <w:r w:rsidR="009368E9" w:rsidRPr="005A464E">
        <w:rPr>
          <w:sz w:val="24"/>
          <w:szCs w:val="24"/>
        </w:rPr>
        <w:t>(1978</w:t>
      </w:r>
      <w:r w:rsidR="006948D3" w:rsidRPr="005A464E">
        <w:rPr>
          <w:sz w:val="24"/>
          <w:szCs w:val="24"/>
        </w:rPr>
        <w:t xml:space="preserve">) </w:t>
      </w:r>
      <w:r w:rsidR="002215DE">
        <w:rPr>
          <w:sz w:val="24"/>
          <w:szCs w:val="24"/>
        </w:rPr>
        <w:t>ενώ η</w:t>
      </w:r>
      <w:r w:rsidRPr="005A464E">
        <w:rPr>
          <w:sz w:val="24"/>
          <w:szCs w:val="24"/>
        </w:rPr>
        <w:t xml:space="preserve"> ολοκλήρωση και η τελειοποίηση της τεχνικής έγινε στο </w:t>
      </w:r>
      <w:r w:rsidRPr="005A464E">
        <w:rPr>
          <w:sz w:val="24"/>
          <w:szCs w:val="24"/>
          <w:lang w:val="en-US"/>
        </w:rPr>
        <w:t>Toronto</w:t>
      </w:r>
      <w:r w:rsidR="00CF0332" w:rsidRPr="005A464E">
        <w:rPr>
          <w:sz w:val="24"/>
          <w:szCs w:val="24"/>
        </w:rPr>
        <w:t xml:space="preserve"> </w:t>
      </w:r>
      <w:r w:rsidRPr="005A464E">
        <w:rPr>
          <w:sz w:val="24"/>
          <w:szCs w:val="24"/>
          <w:lang w:val="en-US"/>
        </w:rPr>
        <w:t>Western</w:t>
      </w:r>
      <w:r w:rsidR="00CF0332" w:rsidRPr="005A464E">
        <w:rPr>
          <w:sz w:val="24"/>
          <w:szCs w:val="24"/>
        </w:rPr>
        <w:t xml:space="preserve"> </w:t>
      </w:r>
      <w:r w:rsidRPr="005A464E">
        <w:rPr>
          <w:sz w:val="24"/>
          <w:szCs w:val="24"/>
          <w:lang w:val="en-US"/>
        </w:rPr>
        <w:t>Hospital</w:t>
      </w:r>
      <w:r w:rsidR="00D60706">
        <w:rPr>
          <w:sz w:val="24"/>
          <w:szCs w:val="24"/>
        </w:rPr>
        <w:t xml:space="preserve"> από τον</w:t>
      </w:r>
      <w:r w:rsidRPr="005A464E">
        <w:rPr>
          <w:sz w:val="24"/>
          <w:szCs w:val="24"/>
        </w:rPr>
        <w:t xml:space="preserve"> </w:t>
      </w:r>
      <w:r w:rsidRPr="005A464E">
        <w:rPr>
          <w:sz w:val="24"/>
          <w:szCs w:val="24"/>
          <w:lang w:val="en-US"/>
        </w:rPr>
        <w:t>Oreopoulos</w:t>
      </w:r>
      <w:r w:rsidR="006948D3" w:rsidRPr="005A464E">
        <w:rPr>
          <w:sz w:val="24"/>
          <w:szCs w:val="24"/>
        </w:rPr>
        <w:t xml:space="preserve"> (2006)</w:t>
      </w:r>
      <w:r w:rsidRPr="005A464E">
        <w:rPr>
          <w:sz w:val="24"/>
          <w:szCs w:val="24"/>
        </w:rPr>
        <w:t>.</w:t>
      </w:r>
    </w:p>
    <w:p w:rsidR="007B29FB" w:rsidRPr="005A464E" w:rsidRDefault="0089472A" w:rsidP="005A464E">
      <w:pPr>
        <w:spacing w:line="360" w:lineRule="auto"/>
        <w:jc w:val="both"/>
        <w:rPr>
          <w:rFonts w:eastAsia="Times New Roman" w:cs="Tahoma"/>
          <w:color w:val="333333"/>
          <w:sz w:val="20"/>
          <w:szCs w:val="20"/>
          <w:lang w:eastAsia="el-GR"/>
        </w:rPr>
      </w:pPr>
      <w:r w:rsidRPr="005A464E">
        <w:rPr>
          <w:sz w:val="24"/>
          <w:szCs w:val="24"/>
        </w:rPr>
        <w:t xml:space="preserve">Σε αντίθεση με την κλασική μέθοδο </w:t>
      </w:r>
      <w:r w:rsidRPr="000C2E9E">
        <w:rPr>
          <w:sz w:val="24"/>
          <w:szCs w:val="24"/>
        </w:rPr>
        <w:t>αιμοκάθαρσης</w:t>
      </w:r>
      <w:r w:rsidR="00580BE8" w:rsidRPr="000C2E9E">
        <w:rPr>
          <w:sz w:val="24"/>
          <w:szCs w:val="24"/>
        </w:rPr>
        <w:t>,</w:t>
      </w:r>
      <w:r w:rsidRPr="000C2E9E">
        <w:rPr>
          <w:sz w:val="24"/>
          <w:szCs w:val="24"/>
        </w:rPr>
        <w:t xml:space="preserve"> </w:t>
      </w:r>
      <w:r w:rsidR="008829A9" w:rsidRPr="000C2E9E">
        <w:rPr>
          <w:sz w:val="24"/>
          <w:szCs w:val="24"/>
        </w:rPr>
        <w:t>κατά την οποία</w:t>
      </w:r>
      <w:r w:rsidRPr="000C2E9E">
        <w:rPr>
          <w:sz w:val="24"/>
          <w:szCs w:val="24"/>
        </w:rPr>
        <w:t xml:space="preserve"> η κάθαρση του αίματος γίνεται «έξω από το σώμα» (εξωσωματική κυκλοφορία), στην</w:t>
      </w:r>
      <w:r w:rsidRPr="005A464E">
        <w:rPr>
          <w:sz w:val="24"/>
          <w:szCs w:val="24"/>
        </w:rPr>
        <w:t xml:space="preserve"> περιτοναϊκή κάθαρση η κά</w:t>
      </w:r>
      <w:r w:rsidR="00394A7E" w:rsidRPr="005A464E">
        <w:rPr>
          <w:sz w:val="24"/>
          <w:szCs w:val="24"/>
        </w:rPr>
        <w:t>θαρση του αίματος γίνεται «μέσα</w:t>
      </w:r>
      <w:r w:rsidRPr="005A464E">
        <w:rPr>
          <w:sz w:val="24"/>
          <w:szCs w:val="24"/>
        </w:rPr>
        <w:t xml:space="preserve"> στο σώμα» χρησιμοποιώντας τ</w:t>
      </w:r>
      <w:r w:rsidR="00020D6F">
        <w:rPr>
          <w:sz w:val="24"/>
          <w:szCs w:val="24"/>
        </w:rPr>
        <w:t xml:space="preserve">ο περιτόναιο </w:t>
      </w:r>
      <w:r w:rsidRPr="005A464E">
        <w:rPr>
          <w:sz w:val="24"/>
          <w:szCs w:val="24"/>
        </w:rPr>
        <w:t>ως ημιδιαπερατό φράγμα μέσα από το οποίο φιλτράρεται το αίμα.</w:t>
      </w:r>
      <w:r w:rsidR="007B29FB" w:rsidRPr="005A464E">
        <w:rPr>
          <w:sz w:val="24"/>
          <w:szCs w:val="24"/>
        </w:rPr>
        <w:t xml:space="preserve"> Συγκεκριμένα,</w:t>
      </w:r>
      <w:r w:rsidR="00CF0332" w:rsidRPr="005A464E">
        <w:rPr>
          <w:sz w:val="24"/>
          <w:szCs w:val="24"/>
        </w:rPr>
        <w:t xml:space="preserve"> </w:t>
      </w:r>
      <w:r w:rsidR="007B29FB" w:rsidRPr="005A464E">
        <w:rPr>
          <w:sz w:val="24"/>
          <w:szCs w:val="24"/>
        </w:rPr>
        <w:t>η μεταφορά των ουσιών γίνεται μεταξύ του αίματος των τριχοειδών αγγείων του περιτοναίου και ενός διαλύματος που εγχύεται στην περιτοναϊκή κοιλότητα μέσω ενός καθετήρα.</w:t>
      </w:r>
      <w:r w:rsidR="00CF0332" w:rsidRPr="005A464E">
        <w:rPr>
          <w:sz w:val="24"/>
          <w:szCs w:val="24"/>
        </w:rPr>
        <w:t xml:space="preserve"> </w:t>
      </w:r>
      <w:r w:rsidR="00020D6F">
        <w:rPr>
          <w:sz w:val="24"/>
          <w:szCs w:val="24"/>
          <w:shd w:val="clear" w:color="auto" w:fill="FFFFFF"/>
        </w:rPr>
        <w:t xml:space="preserve">Το περιτόναιο </w:t>
      </w:r>
      <w:r w:rsidR="007B29FB" w:rsidRPr="005A464E">
        <w:rPr>
          <w:sz w:val="24"/>
          <w:szCs w:val="24"/>
          <w:shd w:val="clear" w:color="auto" w:fill="FFFFFF"/>
        </w:rPr>
        <w:t>λειτουργεί ως ημιδιαπερατή μεμβράνη που</w:t>
      </w:r>
      <w:r w:rsidR="0078495A">
        <w:rPr>
          <w:sz w:val="24"/>
          <w:szCs w:val="24"/>
          <w:shd w:val="clear" w:color="auto" w:fill="FFFFFF"/>
        </w:rPr>
        <w:t xml:space="preserve"> </w:t>
      </w:r>
      <w:r w:rsidR="007B29FB" w:rsidRPr="005A464E">
        <w:rPr>
          <w:sz w:val="24"/>
          <w:szCs w:val="24"/>
          <w:shd w:val="clear" w:color="auto" w:fill="FFFFFF"/>
        </w:rPr>
        <w:t>επιτρέπει την μετακίνηση των ουσιών</w:t>
      </w:r>
      <w:r w:rsidR="00CF0332" w:rsidRPr="005A464E">
        <w:rPr>
          <w:sz w:val="24"/>
          <w:szCs w:val="24"/>
          <w:shd w:val="clear" w:color="auto" w:fill="FFFFFF"/>
        </w:rPr>
        <w:t xml:space="preserve"> </w:t>
      </w:r>
      <w:r w:rsidR="007B29FB" w:rsidRPr="005A464E">
        <w:rPr>
          <w:sz w:val="24"/>
          <w:szCs w:val="24"/>
        </w:rPr>
        <w:t>από τα τριχοειδή αγγεία στην περιτοναϊκή κοιλότητα.</w:t>
      </w:r>
    </w:p>
    <w:p w:rsidR="007B29FB" w:rsidRPr="000C2E9E" w:rsidRDefault="007B29FB" w:rsidP="005A464E">
      <w:pPr>
        <w:spacing w:line="360" w:lineRule="auto"/>
        <w:jc w:val="both"/>
        <w:rPr>
          <w:sz w:val="24"/>
          <w:szCs w:val="24"/>
        </w:rPr>
      </w:pPr>
      <w:r w:rsidRPr="005A464E">
        <w:rPr>
          <w:sz w:val="24"/>
          <w:szCs w:val="24"/>
        </w:rPr>
        <w:t xml:space="preserve">Η μέθοδος εκτελείται στο σπίτι </w:t>
      </w:r>
      <w:r w:rsidR="00B0560D">
        <w:rPr>
          <w:sz w:val="24"/>
          <w:szCs w:val="24"/>
        </w:rPr>
        <w:t>του ασθενούς</w:t>
      </w:r>
      <w:r w:rsidRPr="005A464E">
        <w:rPr>
          <w:sz w:val="24"/>
          <w:szCs w:val="24"/>
        </w:rPr>
        <w:t xml:space="preserve"> από τον ίδιο τον ασθενή ή συγγενικό του πρόσωπο. Προϋποθέτει ικανοποιητικό νοητικό επίπεδο και δεξιότητες όχι μόνο για την εκτέλεση των περιτοναϊκών αλλαγών αλλά </w:t>
      </w:r>
      <w:r w:rsidRPr="000C2E9E">
        <w:rPr>
          <w:sz w:val="24"/>
          <w:szCs w:val="24"/>
        </w:rPr>
        <w:t xml:space="preserve">και για την αξιολόγηση </w:t>
      </w:r>
      <w:r w:rsidR="00020D6F" w:rsidRPr="000C2E9E">
        <w:rPr>
          <w:sz w:val="24"/>
          <w:szCs w:val="24"/>
        </w:rPr>
        <w:t>τω</w:t>
      </w:r>
      <w:r w:rsidRPr="000C2E9E">
        <w:rPr>
          <w:sz w:val="24"/>
          <w:szCs w:val="24"/>
        </w:rPr>
        <w:t>ν</w:t>
      </w:r>
      <w:r w:rsidR="00020D6F" w:rsidRPr="000C2E9E">
        <w:rPr>
          <w:sz w:val="24"/>
          <w:szCs w:val="24"/>
        </w:rPr>
        <w:t xml:space="preserve"> ενδεχόμενων </w:t>
      </w:r>
      <w:r w:rsidRPr="000C2E9E">
        <w:rPr>
          <w:sz w:val="24"/>
          <w:szCs w:val="24"/>
        </w:rPr>
        <w:t xml:space="preserve"> προβλημάτων</w:t>
      </w:r>
      <w:r w:rsidR="00580BE8" w:rsidRPr="000C2E9E">
        <w:rPr>
          <w:sz w:val="24"/>
          <w:szCs w:val="24"/>
        </w:rPr>
        <w:t>- επιπλοκών</w:t>
      </w:r>
      <w:r w:rsidRPr="000C2E9E">
        <w:rPr>
          <w:sz w:val="24"/>
          <w:szCs w:val="24"/>
        </w:rPr>
        <w:t xml:space="preserve"> που προκ</w:t>
      </w:r>
      <w:r w:rsidR="00350F51" w:rsidRPr="000C2E9E">
        <w:rPr>
          <w:sz w:val="24"/>
          <w:szCs w:val="24"/>
        </w:rPr>
        <w:t>ύπτουν (</w:t>
      </w:r>
      <w:r w:rsidR="00350F51" w:rsidRPr="000C2E9E">
        <w:rPr>
          <w:sz w:val="24"/>
          <w:szCs w:val="24"/>
          <w:lang w:val="en-US"/>
        </w:rPr>
        <w:t>Popovich</w:t>
      </w:r>
      <w:r w:rsidR="006E1282" w:rsidRPr="000C2E9E">
        <w:rPr>
          <w:sz w:val="24"/>
          <w:szCs w:val="24"/>
        </w:rPr>
        <w:t>,</w:t>
      </w:r>
      <w:r w:rsidR="009368E9" w:rsidRPr="000C2E9E">
        <w:rPr>
          <w:sz w:val="24"/>
          <w:szCs w:val="24"/>
        </w:rPr>
        <w:t xml:space="preserve"> 1978</w:t>
      </w:r>
      <w:r w:rsidR="00350F51" w:rsidRPr="000C2E9E">
        <w:rPr>
          <w:sz w:val="24"/>
          <w:szCs w:val="24"/>
        </w:rPr>
        <w:t>)</w:t>
      </w:r>
      <w:r w:rsidR="00394A7E" w:rsidRPr="000C2E9E">
        <w:rPr>
          <w:sz w:val="24"/>
          <w:szCs w:val="24"/>
        </w:rPr>
        <w:t>.</w:t>
      </w:r>
    </w:p>
    <w:p w:rsidR="0089472A" w:rsidRPr="005A464E" w:rsidRDefault="00A27558" w:rsidP="005A464E">
      <w:pPr>
        <w:spacing w:line="360" w:lineRule="auto"/>
        <w:jc w:val="both"/>
        <w:rPr>
          <w:rFonts w:eastAsia="Times New Roman" w:cs="Tahoma"/>
          <w:color w:val="333333"/>
          <w:sz w:val="20"/>
          <w:szCs w:val="20"/>
          <w:lang w:eastAsia="el-GR"/>
        </w:rPr>
      </w:pPr>
      <w:r w:rsidRPr="000C2E9E">
        <w:rPr>
          <w:sz w:val="24"/>
          <w:szCs w:val="24"/>
        </w:rPr>
        <w:t>Παγκοσμίως, το 10</w:t>
      </w:r>
      <w:r w:rsidR="0089472A" w:rsidRPr="000C2E9E">
        <w:rPr>
          <w:sz w:val="24"/>
          <w:szCs w:val="24"/>
        </w:rPr>
        <w:t xml:space="preserve">-15% των ασθενών με ΤΣΧΝΝ </w:t>
      </w:r>
      <w:r w:rsidR="00CF0332" w:rsidRPr="000C2E9E">
        <w:rPr>
          <w:sz w:val="24"/>
          <w:szCs w:val="24"/>
        </w:rPr>
        <w:t>υποβάλλεται</w:t>
      </w:r>
      <w:r w:rsidR="0089472A" w:rsidRPr="000C2E9E">
        <w:rPr>
          <w:sz w:val="24"/>
          <w:szCs w:val="24"/>
        </w:rPr>
        <w:t xml:space="preserve"> σε περιτοναϊκή κάθαρση. Το ποσοστό αυτό διαφέρει από χώρα σε χώρα. Στο Χονγκ Κονγκ</w:t>
      </w:r>
      <w:r w:rsidR="002D5B03" w:rsidRPr="000C2E9E">
        <w:rPr>
          <w:sz w:val="24"/>
          <w:szCs w:val="24"/>
        </w:rPr>
        <w:t xml:space="preserve"> και στο Μεξικό είναι ενταγμένο</w:t>
      </w:r>
      <w:r w:rsidR="0089472A" w:rsidRPr="000C2E9E">
        <w:rPr>
          <w:sz w:val="24"/>
          <w:szCs w:val="24"/>
        </w:rPr>
        <w:t xml:space="preserve"> το 80% των ασθενών με ΤΣΧΝΝ, στη Ν.</w:t>
      </w:r>
      <w:r w:rsidR="00CF0332" w:rsidRPr="000C2E9E">
        <w:rPr>
          <w:sz w:val="24"/>
          <w:szCs w:val="24"/>
        </w:rPr>
        <w:t xml:space="preserve"> Ζηλανδία</w:t>
      </w:r>
      <w:r w:rsidR="0089472A" w:rsidRPr="000C2E9E">
        <w:rPr>
          <w:sz w:val="24"/>
          <w:szCs w:val="24"/>
        </w:rPr>
        <w:t xml:space="preserve"> το 45% ενώ στις ΗΠΑ, στη Γερμανία και την Ιαπωνία το 10% (</w:t>
      </w:r>
      <w:r w:rsidR="0089472A" w:rsidRPr="000C2E9E">
        <w:rPr>
          <w:sz w:val="24"/>
          <w:szCs w:val="24"/>
          <w:lang w:val="en-US"/>
        </w:rPr>
        <w:t>Oreopoulos</w:t>
      </w:r>
      <w:r w:rsidR="006E1282" w:rsidRPr="000C2E9E">
        <w:rPr>
          <w:sz w:val="24"/>
          <w:szCs w:val="24"/>
        </w:rPr>
        <w:t>,</w:t>
      </w:r>
      <w:r w:rsidR="0089472A" w:rsidRPr="000C2E9E">
        <w:rPr>
          <w:sz w:val="24"/>
          <w:szCs w:val="24"/>
        </w:rPr>
        <w:t xml:space="preserve"> 2006</w:t>
      </w:r>
      <w:r w:rsidR="0089472A" w:rsidRPr="005A464E">
        <w:rPr>
          <w:sz w:val="24"/>
          <w:szCs w:val="24"/>
        </w:rPr>
        <w:t>).</w:t>
      </w:r>
    </w:p>
    <w:p w:rsidR="00B77679" w:rsidRPr="005A464E" w:rsidRDefault="00B77679" w:rsidP="005A464E">
      <w:pPr>
        <w:spacing w:line="360" w:lineRule="auto"/>
        <w:jc w:val="both"/>
        <w:rPr>
          <w:sz w:val="24"/>
          <w:szCs w:val="24"/>
        </w:rPr>
      </w:pPr>
      <w:r w:rsidRPr="005A464E">
        <w:rPr>
          <w:rFonts w:eastAsia="Times New Roman" w:cs="Tahoma"/>
          <w:sz w:val="24"/>
          <w:szCs w:val="24"/>
          <w:lang w:eastAsia="el-GR"/>
        </w:rPr>
        <w:t xml:space="preserve">Υπάρχουν </w:t>
      </w:r>
      <w:r w:rsidR="00BA566F">
        <w:rPr>
          <w:rFonts w:eastAsia="Times New Roman" w:cs="Tahoma"/>
          <w:sz w:val="24"/>
          <w:szCs w:val="24"/>
          <w:lang w:eastAsia="el-GR"/>
        </w:rPr>
        <w:t>δύο</w:t>
      </w:r>
      <w:r w:rsidRPr="005A464E">
        <w:rPr>
          <w:rFonts w:eastAsia="Times New Roman" w:cs="Tahoma"/>
          <w:sz w:val="24"/>
          <w:szCs w:val="24"/>
          <w:lang w:eastAsia="el-GR"/>
        </w:rPr>
        <w:t xml:space="preserve"> μέθο</w:t>
      </w:r>
      <w:r w:rsidR="007B29FB" w:rsidRPr="005A464E">
        <w:rPr>
          <w:rFonts w:eastAsia="Times New Roman" w:cs="Tahoma"/>
          <w:sz w:val="24"/>
          <w:szCs w:val="24"/>
          <w:lang w:eastAsia="el-GR"/>
        </w:rPr>
        <w:t>δ</w:t>
      </w:r>
      <w:r w:rsidRPr="005A464E">
        <w:rPr>
          <w:rFonts w:eastAsia="Times New Roman" w:cs="Tahoma"/>
          <w:sz w:val="24"/>
          <w:szCs w:val="24"/>
          <w:lang w:eastAsia="el-GR"/>
        </w:rPr>
        <w:t>οι περιτοναϊκής κάθαρσης ανάλογα</w:t>
      </w:r>
      <w:r w:rsidR="00CF0332" w:rsidRPr="005A464E">
        <w:rPr>
          <w:rFonts w:eastAsia="Times New Roman" w:cs="Tahoma"/>
          <w:sz w:val="24"/>
          <w:szCs w:val="24"/>
          <w:lang w:eastAsia="el-GR"/>
        </w:rPr>
        <w:t xml:space="preserve"> </w:t>
      </w:r>
      <w:r w:rsidR="006E1282">
        <w:rPr>
          <w:rFonts w:eastAsia="Times New Roman" w:cs="Tahoma"/>
          <w:sz w:val="24"/>
          <w:szCs w:val="24"/>
          <w:lang w:eastAsia="el-GR"/>
        </w:rPr>
        <w:t>με τον</w:t>
      </w:r>
      <w:r w:rsidRPr="005A464E">
        <w:rPr>
          <w:sz w:val="24"/>
          <w:szCs w:val="24"/>
        </w:rPr>
        <w:t xml:space="preserve"> τρόπο, τη συχνότητα ανανέωσης του περιτοναϊκού διαλύματος αλλά και τον χρόνο παραμονής του διαλύματος στην περιτοναϊκή κοιλότητα:</w:t>
      </w:r>
    </w:p>
    <w:p w:rsidR="00B77679" w:rsidRPr="005A464E" w:rsidRDefault="00B77679" w:rsidP="005A464E">
      <w:pPr>
        <w:pStyle w:val="a5"/>
        <w:numPr>
          <w:ilvl w:val="0"/>
          <w:numId w:val="20"/>
        </w:numPr>
        <w:spacing w:line="360" w:lineRule="auto"/>
        <w:jc w:val="both"/>
        <w:rPr>
          <w:sz w:val="24"/>
          <w:szCs w:val="24"/>
        </w:rPr>
      </w:pPr>
      <w:r w:rsidRPr="00D3752D">
        <w:rPr>
          <w:i/>
          <w:sz w:val="24"/>
          <w:szCs w:val="24"/>
        </w:rPr>
        <w:t xml:space="preserve">Η </w:t>
      </w:r>
      <w:r w:rsidR="00394A7E" w:rsidRPr="00D3752D">
        <w:rPr>
          <w:i/>
          <w:sz w:val="24"/>
          <w:szCs w:val="24"/>
        </w:rPr>
        <w:t>Συνεχής Φορητή Περιτοναϊκή Κάθαρση</w:t>
      </w:r>
      <w:r w:rsidR="00394A7E" w:rsidRPr="005A464E">
        <w:rPr>
          <w:sz w:val="24"/>
          <w:szCs w:val="24"/>
        </w:rPr>
        <w:t xml:space="preserve"> </w:t>
      </w:r>
      <w:r w:rsidRPr="005A464E">
        <w:rPr>
          <w:sz w:val="24"/>
          <w:szCs w:val="24"/>
        </w:rPr>
        <w:t>(ΣΦΠΚ) με 6ωρες αλλαγές του διαλύματος</w:t>
      </w:r>
      <w:r w:rsidR="00A32560">
        <w:rPr>
          <w:sz w:val="24"/>
          <w:szCs w:val="24"/>
        </w:rPr>
        <w:t>.</w:t>
      </w:r>
    </w:p>
    <w:p w:rsidR="00F03C53" w:rsidRPr="005A464E" w:rsidRDefault="00B77679" w:rsidP="005A464E">
      <w:pPr>
        <w:pStyle w:val="a5"/>
        <w:numPr>
          <w:ilvl w:val="0"/>
          <w:numId w:val="20"/>
        </w:numPr>
        <w:spacing w:line="360" w:lineRule="auto"/>
        <w:jc w:val="both"/>
        <w:rPr>
          <w:sz w:val="24"/>
          <w:szCs w:val="24"/>
        </w:rPr>
      </w:pPr>
      <w:r w:rsidRPr="00D3752D">
        <w:rPr>
          <w:i/>
          <w:sz w:val="24"/>
          <w:szCs w:val="24"/>
        </w:rPr>
        <w:t xml:space="preserve">Η </w:t>
      </w:r>
      <w:r w:rsidR="00394A7E" w:rsidRPr="00D3752D">
        <w:rPr>
          <w:i/>
          <w:sz w:val="24"/>
          <w:szCs w:val="24"/>
        </w:rPr>
        <w:t>Αυτοματοποιημένη - Συνεχής Κυκλική Περιτοναϊκή Κάθαρση</w:t>
      </w:r>
      <w:r w:rsidRPr="005A464E">
        <w:rPr>
          <w:sz w:val="24"/>
          <w:szCs w:val="24"/>
        </w:rPr>
        <w:t>: οι αλλαγές του διαλύματος γίνονται μέσω μηχανήματος με το οποίο συνδέεται ο ασθενής</w:t>
      </w:r>
      <w:r w:rsidR="0078495A">
        <w:rPr>
          <w:sz w:val="24"/>
          <w:szCs w:val="24"/>
        </w:rPr>
        <w:t xml:space="preserve"> </w:t>
      </w:r>
      <w:r w:rsidR="00350F51" w:rsidRPr="005A464E">
        <w:rPr>
          <w:sz w:val="24"/>
          <w:szCs w:val="24"/>
        </w:rPr>
        <w:t>για 10-12 ώρες</w:t>
      </w:r>
      <w:r w:rsidR="0034172F">
        <w:rPr>
          <w:sz w:val="24"/>
          <w:szCs w:val="24"/>
        </w:rPr>
        <w:t>, συνήθως τη νύχτα</w:t>
      </w:r>
      <w:r w:rsidR="00350F51" w:rsidRPr="005A464E">
        <w:rPr>
          <w:sz w:val="24"/>
          <w:szCs w:val="24"/>
        </w:rPr>
        <w:t xml:space="preserve"> (</w:t>
      </w:r>
      <w:r w:rsidR="00350F51" w:rsidRPr="005A464E">
        <w:rPr>
          <w:sz w:val="24"/>
          <w:szCs w:val="24"/>
          <w:lang w:val="en-US"/>
        </w:rPr>
        <w:t>Negoi</w:t>
      </w:r>
      <w:r w:rsidR="00350F51" w:rsidRPr="005A464E">
        <w:rPr>
          <w:sz w:val="24"/>
          <w:szCs w:val="24"/>
        </w:rPr>
        <w:t xml:space="preserve"> </w:t>
      </w:r>
      <w:r w:rsidR="009368E9" w:rsidRPr="005A464E">
        <w:rPr>
          <w:rStyle w:val="element-citation"/>
          <w:rFonts w:cstheme="minorHAnsi"/>
          <w:sz w:val="24"/>
          <w:szCs w:val="24"/>
        </w:rPr>
        <w:t xml:space="preserve">&amp; </w:t>
      </w:r>
      <w:r w:rsidR="009368E9" w:rsidRPr="005A464E">
        <w:rPr>
          <w:rStyle w:val="element-citation"/>
          <w:rFonts w:cstheme="minorHAnsi"/>
          <w:sz w:val="24"/>
          <w:szCs w:val="24"/>
          <w:lang w:val="en-US"/>
        </w:rPr>
        <w:t>Nolph</w:t>
      </w:r>
      <w:r w:rsidR="00AB454B">
        <w:rPr>
          <w:rStyle w:val="element-citation"/>
          <w:rFonts w:cstheme="minorHAnsi"/>
          <w:sz w:val="24"/>
          <w:szCs w:val="24"/>
        </w:rPr>
        <w:t>,</w:t>
      </w:r>
      <w:r w:rsidR="009368E9" w:rsidRPr="005A464E">
        <w:rPr>
          <w:sz w:val="24"/>
          <w:szCs w:val="24"/>
        </w:rPr>
        <w:t xml:space="preserve"> </w:t>
      </w:r>
      <w:r w:rsidR="00350F51" w:rsidRPr="005A464E">
        <w:rPr>
          <w:sz w:val="24"/>
          <w:szCs w:val="24"/>
        </w:rPr>
        <w:t>2006)</w:t>
      </w:r>
      <w:r w:rsidR="00394A7E" w:rsidRPr="005A464E">
        <w:rPr>
          <w:sz w:val="24"/>
          <w:szCs w:val="24"/>
        </w:rPr>
        <w:t>.</w:t>
      </w:r>
    </w:p>
    <w:p w:rsidR="0068695E" w:rsidRPr="005A464E" w:rsidRDefault="0068695E" w:rsidP="005A464E">
      <w:pPr>
        <w:spacing w:line="360" w:lineRule="auto"/>
        <w:jc w:val="both"/>
        <w:rPr>
          <w:i/>
          <w:sz w:val="24"/>
          <w:szCs w:val="24"/>
        </w:rPr>
      </w:pPr>
      <w:r w:rsidRPr="005A464E">
        <w:rPr>
          <w:i/>
          <w:sz w:val="24"/>
          <w:szCs w:val="24"/>
        </w:rPr>
        <w:t>Βασικές αρχές της περιτοναϊκής κάθαρσης</w:t>
      </w:r>
    </w:p>
    <w:p w:rsidR="0068695E" w:rsidRPr="005A464E" w:rsidRDefault="0068695E" w:rsidP="005A464E">
      <w:pPr>
        <w:spacing w:line="360" w:lineRule="auto"/>
        <w:jc w:val="both"/>
        <w:rPr>
          <w:sz w:val="24"/>
          <w:szCs w:val="24"/>
        </w:rPr>
      </w:pPr>
      <w:r w:rsidRPr="005A464E">
        <w:rPr>
          <w:sz w:val="24"/>
          <w:szCs w:val="24"/>
        </w:rPr>
        <w:t xml:space="preserve">Η μεταφορά των ουσιών από την κυκλοφορία του αίματος στην περιτοναϊκή κοιλότητα γίνεται με: </w:t>
      </w:r>
    </w:p>
    <w:p w:rsidR="0068695E" w:rsidRPr="005A464E" w:rsidRDefault="0068695E" w:rsidP="005A464E">
      <w:pPr>
        <w:spacing w:line="360" w:lineRule="auto"/>
        <w:jc w:val="both"/>
        <w:rPr>
          <w:sz w:val="24"/>
          <w:szCs w:val="24"/>
        </w:rPr>
      </w:pPr>
      <w:r w:rsidRPr="005A464E">
        <w:rPr>
          <w:sz w:val="24"/>
          <w:szCs w:val="24"/>
        </w:rPr>
        <w:t>α) διάχυση (diffusion)</w:t>
      </w:r>
      <w:r w:rsidR="00D3752D">
        <w:rPr>
          <w:sz w:val="24"/>
          <w:szCs w:val="24"/>
        </w:rPr>
        <w:t>.</w:t>
      </w:r>
    </w:p>
    <w:p w:rsidR="0068695E" w:rsidRPr="005A464E" w:rsidRDefault="0068695E" w:rsidP="005A464E">
      <w:pPr>
        <w:spacing w:line="360" w:lineRule="auto"/>
        <w:jc w:val="both"/>
        <w:rPr>
          <w:sz w:val="24"/>
          <w:szCs w:val="24"/>
        </w:rPr>
      </w:pPr>
      <w:r w:rsidRPr="005A464E">
        <w:rPr>
          <w:sz w:val="24"/>
          <w:szCs w:val="24"/>
        </w:rPr>
        <w:t>β) υπερδιήθηση (ultrafiltration-convection)</w:t>
      </w:r>
      <w:r w:rsidR="0034172F">
        <w:rPr>
          <w:sz w:val="24"/>
          <w:szCs w:val="24"/>
        </w:rPr>
        <w:t xml:space="preserve"> και</w:t>
      </w:r>
    </w:p>
    <w:p w:rsidR="0068695E" w:rsidRPr="005A464E" w:rsidRDefault="0068695E" w:rsidP="005A464E">
      <w:pPr>
        <w:spacing w:line="360" w:lineRule="auto"/>
        <w:jc w:val="both"/>
        <w:rPr>
          <w:sz w:val="24"/>
          <w:szCs w:val="24"/>
        </w:rPr>
      </w:pPr>
      <w:r w:rsidRPr="005A464E">
        <w:rPr>
          <w:sz w:val="24"/>
          <w:szCs w:val="24"/>
        </w:rPr>
        <w:t>γ) όσμωση (osmosis)</w:t>
      </w:r>
      <w:r w:rsidR="0034172F">
        <w:rPr>
          <w:sz w:val="24"/>
          <w:szCs w:val="24"/>
        </w:rPr>
        <w:t>.</w:t>
      </w:r>
    </w:p>
    <w:p w:rsidR="0068695E" w:rsidRPr="005A464E" w:rsidRDefault="0068695E" w:rsidP="005A464E">
      <w:pPr>
        <w:spacing w:line="360" w:lineRule="auto"/>
        <w:jc w:val="both"/>
        <w:rPr>
          <w:sz w:val="24"/>
          <w:szCs w:val="24"/>
          <w:u w:val="single"/>
        </w:rPr>
      </w:pPr>
      <w:r w:rsidRPr="004F3A28">
        <w:rPr>
          <w:i/>
          <w:sz w:val="24"/>
          <w:szCs w:val="24"/>
        </w:rPr>
        <w:t>Διάχυση</w:t>
      </w:r>
      <w:r w:rsidRPr="005A464E">
        <w:rPr>
          <w:sz w:val="24"/>
          <w:szCs w:val="24"/>
        </w:rPr>
        <w:t xml:space="preserve">: Είναι η μεταφορά και διακίνηση των μικρομοριακών ουσιών. Οφείλεται στη διαφορά συγκέντρωσης της ουσίας στους </w:t>
      </w:r>
      <w:r w:rsidR="00BA566F">
        <w:rPr>
          <w:sz w:val="24"/>
          <w:szCs w:val="24"/>
        </w:rPr>
        <w:t xml:space="preserve">δύο </w:t>
      </w:r>
      <w:r w:rsidRPr="005A464E">
        <w:rPr>
          <w:sz w:val="24"/>
          <w:szCs w:val="24"/>
        </w:rPr>
        <w:t xml:space="preserve">χώρους και γίνεται προς την κατεύθυνση της ύπαρξης ηλεκτροχημικής διαφοράς (gradient). Το καθαρό ποσό διάχυσης της ουσίας είναι ανάλογο προς τη διαφορά συγκέντρωσης της ουσίας στους </w:t>
      </w:r>
      <w:r w:rsidR="00BA566F">
        <w:rPr>
          <w:sz w:val="24"/>
          <w:szCs w:val="24"/>
        </w:rPr>
        <w:t xml:space="preserve">δύο </w:t>
      </w:r>
      <w:r w:rsidRPr="005A464E">
        <w:rPr>
          <w:sz w:val="24"/>
          <w:szCs w:val="24"/>
        </w:rPr>
        <w:t>χώρους.</w:t>
      </w:r>
    </w:p>
    <w:p w:rsidR="0068695E" w:rsidRPr="005A464E" w:rsidRDefault="0068695E" w:rsidP="005A464E">
      <w:pPr>
        <w:spacing w:line="360" w:lineRule="auto"/>
        <w:jc w:val="both"/>
        <w:rPr>
          <w:sz w:val="24"/>
          <w:szCs w:val="24"/>
          <w:u w:val="single"/>
        </w:rPr>
      </w:pPr>
      <w:r w:rsidRPr="004F3A28">
        <w:rPr>
          <w:i/>
          <w:sz w:val="24"/>
          <w:szCs w:val="24"/>
        </w:rPr>
        <w:t>Υπερδιήθηση</w:t>
      </w:r>
      <w:r w:rsidRPr="005A464E">
        <w:rPr>
          <w:sz w:val="24"/>
          <w:szCs w:val="24"/>
        </w:rPr>
        <w:t>: Είναι η μεταφορά διαλύματος μέσω βιολογικών μεμβρανών λόγω ύπαρξης διαφοράς πιέσεων. Με τον τρόπο αυτό</w:t>
      </w:r>
      <w:r w:rsidR="00A32560">
        <w:rPr>
          <w:sz w:val="24"/>
          <w:szCs w:val="24"/>
        </w:rPr>
        <w:t>,</w:t>
      </w:r>
      <w:r w:rsidRPr="005A464E">
        <w:rPr>
          <w:sz w:val="24"/>
          <w:szCs w:val="24"/>
        </w:rPr>
        <w:t xml:space="preserve"> επιτυγχάνεται ταχεία μεταφορά νερού και μεγαλομοριακών ουσιών από τα τριχοειδή της περιτοναϊκής μεμβράνης στην περιτοναϊκή κοιλότητα ενώ στη διάρκεια της κλινικής εφαρ</w:t>
      </w:r>
      <w:r w:rsidR="00394A7E" w:rsidRPr="005A464E">
        <w:rPr>
          <w:sz w:val="24"/>
          <w:szCs w:val="24"/>
        </w:rPr>
        <w:t>μογής της περιτοναϊκής κάθαρσης</w:t>
      </w:r>
      <w:r w:rsidRPr="005A464E">
        <w:rPr>
          <w:sz w:val="24"/>
          <w:szCs w:val="24"/>
        </w:rPr>
        <w:t>, οι οσμωτικές δυνάμεις που αναπτύσσονται στην περιτοναϊκή κοιλότητα, προκαλούν σχεδόν το σύνολο της υπερδιήθησης. Προς το παρόν δεν είναι ξεκάθαρο ποια οδός (μέσω λεμφαγγείων ή τριχοειδών)</w:t>
      </w:r>
      <w:r w:rsidR="00CF0332" w:rsidRPr="005A464E">
        <w:rPr>
          <w:sz w:val="24"/>
          <w:szCs w:val="24"/>
        </w:rPr>
        <w:t xml:space="preserve"> </w:t>
      </w:r>
      <w:r w:rsidRPr="005A464E">
        <w:rPr>
          <w:sz w:val="24"/>
          <w:szCs w:val="24"/>
        </w:rPr>
        <w:t>είναι η κυρίως υπεύθυνη για την επαναρρόφηση του μεγαλύτερου όγκου από τον περιτοναϊκό χώρο. Πιθανόν</w:t>
      </w:r>
      <w:r w:rsidR="00394A7E" w:rsidRPr="005A464E">
        <w:rPr>
          <w:sz w:val="24"/>
          <w:szCs w:val="24"/>
        </w:rPr>
        <w:t>,</w:t>
      </w:r>
      <w:r w:rsidRPr="005A464E">
        <w:rPr>
          <w:sz w:val="24"/>
          <w:szCs w:val="24"/>
        </w:rPr>
        <w:t xml:space="preserve"> οι μικρομοριακές ουσίες διαχέονται μέσω των τριχοειδών ενώ οι μεγαλομοριακές, (όπως τα λ</w:t>
      </w:r>
      <w:r w:rsidR="00350F51" w:rsidRPr="005A464E">
        <w:rPr>
          <w:sz w:val="24"/>
          <w:szCs w:val="24"/>
        </w:rPr>
        <w:t>ευκώματα) μέσω των λεμφαγγείων.</w:t>
      </w:r>
    </w:p>
    <w:p w:rsidR="00350F51" w:rsidRPr="00F15364" w:rsidRDefault="0068695E" w:rsidP="005A464E">
      <w:pPr>
        <w:spacing w:line="360" w:lineRule="auto"/>
        <w:jc w:val="both"/>
        <w:rPr>
          <w:rFonts w:asciiTheme="minorHAnsi" w:hAnsiTheme="minorHAnsi" w:cstheme="minorHAnsi"/>
          <w:sz w:val="24"/>
          <w:szCs w:val="24"/>
        </w:rPr>
      </w:pPr>
      <w:r w:rsidRPr="004F3A28">
        <w:rPr>
          <w:i/>
          <w:sz w:val="24"/>
          <w:szCs w:val="24"/>
        </w:rPr>
        <w:t>Όσμωση</w:t>
      </w:r>
      <w:r w:rsidRPr="005A464E">
        <w:rPr>
          <w:sz w:val="24"/>
          <w:szCs w:val="24"/>
        </w:rPr>
        <w:t>: Οι Pfeiffer το 1887 και</w:t>
      </w:r>
      <w:r w:rsidR="0078495A">
        <w:rPr>
          <w:sz w:val="24"/>
          <w:szCs w:val="24"/>
        </w:rPr>
        <w:t xml:space="preserve"> </w:t>
      </w:r>
      <w:r w:rsidRPr="005A464E">
        <w:rPr>
          <w:sz w:val="24"/>
          <w:szCs w:val="24"/>
        </w:rPr>
        <w:t xml:space="preserve">Van’t Hoff το 1889 περιέγραψαν </w:t>
      </w:r>
      <w:r w:rsidR="00817853">
        <w:rPr>
          <w:sz w:val="24"/>
          <w:szCs w:val="24"/>
        </w:rPr>
        <w:t>μια</w:t>
      </w:r>
      <w:r w:rsidRPr="005A464E">
        <w:rPr>
          <w:sz w:val="24"/>
          <w:szCs w:val="24"/>
        </w:rPr>
        <w:t xml:space="preserve"> μαθηματική σχέση που διαχωρίζει </w:t>
      </w:r>
      <w:r w:rsidR="00BA566F">
        <w:rPr>
          <w:sz w:val="24"/>
          <w:szCs w:val="24"/>
        </w:rPr>
        <w:t xml:space="preserve">δύο </w:t>
      </w:r>
      <w:r w:rsidRPr="005A464E">
        <w:rPr>
          <w:sz w:val="24"/>
          <w:szCs w:val="24"/>
        </w:rPr>
        <w:t xml:space="preserve">διαλύματα διαφορετικής πυκνότητας ουσιών. Η ικανότητα </w:t>
      </w:r>
      <w:r w:rsidR="00817853">
        <w:rPr>
          <w:sz w:val="24"/>
          <w:szCs w:val="24"/>
        </w:rPr>
        <w:t>μια</w:t>
      </w:r>
      <w:r w:rsidRPr="005A464E">
        <w:rPr>
          <w:sz w:val="24"/>
          <w:szCs w:val="24"/>
        </w:rPr>
        <w:t>ς ουσίας να διαπερνά διαβατές ή ημιδιαβατές, όπως το περιτόναιο, μεμβράνες, καθορίζεται από τα φυσικοχημικά χαρακτηριστικά της κάθε ου</w:t>
      </w:r>
      <w:r w:rsidR="00394A7E" w:rsidRPr="005A464E">
        <w:rPr>
          <w:sz w:val="24"/>
          <w:szCs w:val="24"/>
        </w:rPr>
        <w:t>σίας</w:t>
      </w:r>
      <w:r w:rsidR="0078495A">
        <w:rPr>
          <w:sz w:val="24"/>
          <w:szCs w:val="24"/>
        </w:rPr>
        <w:t xml:space="preserve"> </w:t>
      </w:r>
      <w:r w:rsidR="00394A7E" w:rsidRPr="005A464E">
        <w:rPr>
          <w:sz w:val="24"/>
          <w:szCs w:val="24"/>
        </w:rPr>
        <w:t xml:space="preserve">όπως είναι το μέγεθος, </w:t>
      </w:r>
      <w:r w:rsidRPr="005A464E">
        <w:rPr>
          <w:sz w:val="24"/>
          <w:szCs w:val="24"/>
        </w:rPr>
        <w:t>το σχήμα του μορίου και η πυκνότητα των επιφανειακών ηλεκτρικών φορτίων. Το φαινόμενο της όσμωσης είναι υπεύθυνο για τη συμπλήρωση της υπερδιήθησ</w:t>
      </w:r>
      <w:r w:rsidR="00394A7E" w:rsidRPr="005A464E">
        <w:rPr>
          <w:sz w:val="24"/>
          <w:szCs w:val="24"/>
        </w:rPr>
        <w:t>ης στην περιτοναϊκή κάθαρση. Ο ω</w:t>
      </w:r>
      <w:r w:rsidRPr="005A464E">
        <w:rPr>
          <w:sz w:val="24"/>
          <w:szCs w:val="24"/>
        </w:rPr>
        <w:t>σμωτικός παράγοντας που χρησιμοποιείται παγκοσμίως είναι η γλυκόζη σε διαλύματα δια</w:t>
      </w:r>
      <w:r w:rsidR="00394A7E" w:rsidRPr="005A464E">
        <w:rPr>
          <w:sz w:val="24"/>
          <w:szCs w:val="24"/>
        </w:rPr>
        <w:t>φόρων πυκνοτήτων. Η ένταση της ώ</w:t>
      </w:r>
      <w:r w:rsidRPr="005A464E">
        <w:rPr>
          <w:sz w:val="24"/>
          <w:szCs w:val="24"/>
        </w:rPr>
        <w:t>σμωσης είναι μεγάλη με την έναρξη της ενδοπεριτ</w:t>
      </w:r>
      <w:r w:rsidR="006E1282">
        <w:rPr>
          <w:sz w:val="24"/>
          <w:szCs w:val="24"/>
        </w:rPr>
        <w:t>οναϊκής έγχυσης ισότονου</w:t>
      </w:r>
      <w:r w:rsidRPr="005A464E">
        <w:rPr>
          <w:sz w:val="24"/>
          <w:szCs w:val="24"/>
        </w:rPr>
        <w:t xml:space="preserve"> ή υπέρτονου διαλύματος γλυκόζης. Ο ρυθμός υπερδιήθησης μπορεί να αυξηθεί σε 9,27 </w:t>
      </w:r>
      <w:r w:rsidR="004A6D43">
        <w:rPr>
          <w:sz w:val="24"/>
          <w:szCs w:val="24"/>
        </w:rPr>
        <w:t>mL</w:t>
      </w:r>
      <w:r w:rsidRPr="005A464E">
        <w:rPr>
          <w:sz w:val="24"/>
          <w:szCs w:val="24"/>
        </w:rPr>
        <w:t xml:space="preserve">/min με τη χρήση </w:t>
      </w:r>
      <w:r w:rsidR="006E1282">
        <w:rPr>
          <w:sz w:val="24"/>
          <w:szCs w:val="24"/>
        </w:rPr>
        <w:t xml:space="preserve">ισότονου διαλύματος γλυκόζης </w:t>
      </w:r>
      <w:r w:rsidRPr="005A464E">
        <w:rPr>
          <w:sz w:val="24"/>
          <w:szCs w:val="24"/>
        </w:rPr>
        <w:t xml:space="preserve">και σε 21,0 </w:t>
      </w:r>
      <w:r w:rsidR="004A6D43">
        <w:rPr>
          <w:sz w:val="24"/>
          <w:szCs w:val="24"/>
        </w:rPr>
        <w:t>mL</w:t>
      </w:r>
      <w:r w:rsidRPr="005A464E">
        <w:rPr>
          <w:sz w:val="24"/>
          <w:szCs w:val="24"/>
        </w:rPr>
        <w:t>/mi</w:t>
      </w:r>
      <w:r w:rsidR="00DB32E7" w:rsidRPr="005A464E">
        <w:rPr>
          <w:sz w:val="24"/>
          <w:szCs w:val="24"/>
        </w:rPr>
        <w:t xml:space="preserve">n με τη χρήση </w:t>
      </w:r>
      <w:r w:rsidR="006E1282">
        <w:rPr>
          <w:sz w:val="24"/>
          <w:szCs w:val="24"/>
        </w:rPr>
        <w:t xml:space="preserve">υπέρτονου </w:t>
      </w:r>
      <w:r w:rsidR="00DB32E7" w:rsidRPr="005A464E">
        <w:rPr>
          <w:sz w:val="24"/>
          <w:szCs w:val="24"/>
        </w:rPr>
        <w:t>διαλύματος (</w:t>
      </w:r>
      <w:r w:rsidR="006948D3" w:rsidRPr="005A464E">
        <w:rPr>
          <w:sz w:val="24"/>
          <w:szCs w:val="24"/>
          <w:lang w:val="en-US"/>
        </w:rPr>
        <w:t>Kelley</w:t>
      </w:r>
      <w:r w:rsidR="00D60706">
        <w:rPr>
          <w:sz w:val="24"/>
          <w:szCs w:val="24"/>
        </w:rPr>
        <w:t>,</w:t>
      </w:r>
      <w:r w:rsidR="006948D3" w:rsidRPr="005A464E">
        <w:rPr>
          <w:sz w:val="24"/>
          <w:szCs w:val="24"/>
        </w:rPr>
        <w:t xml:space="preserve"> 2004</w:t>
      </w:r>
      <w:r w:rsidR="00F15364" w:rsidRPr="00F15364">
        <w:rPr>
          <w:sz w:val="24"/>
          <w:szCs w:val="24"/>
        </w:rPr>
        <w:t xml:space="preserve">; </w:t>
      </w:r>
      <w:r w:rsidR="00F15364" w:rsidRPr="00F15364">
        <w:rPr>
          <w:rFonts w:asciiTheme="minorHAnsi" w:hAnsiTheme="minorHAnsi" w:cstheme="minorHAnsi"/>
          <w:sz w:val="24"/>
          <w:szCs w:val="24"/>
          <w:shd w:val="clear" w:color="auto" w:fill="FFFFFF"/>
        </w:rPr>
        <w:t>N</w:t>
      </w:r>
      <w:r w:rsidR="00F15364">
        <w:rPr>
          <w:rFonts w:asciiTheme="minorHAnsi" w:hAnsiTheme="minorHAnsi" w:cstheme="minorHAnsi"/>
          <w:sz w:val="24"/>
          <w:szCs w:val="24"/>
          <w:shd w:val="clear" w:color="auto" w:fill="FFFFFF"/>
        </w:rPr>
        <w:t>issenson</w:t>
      </w:r>
      <w:r w:rsidR="00F15364" w:rsidRPr="00F15364">
        <w:rPr>
          <w:rFonts w:asciiTheme="minorHAnsi" w:hAnsiTheme="minorHAnsi" w:cstheme="minorHAnsi"/>
          <w:sz w:val="24"/>
          <w:szCs w:val="24"/>
          <w:shd w:val="clear" w:color="auto" w:fill="FFFFFF"/>
        </w:rPr>
        <w:t xml:space="preserve"> </w:t>
      </w:r>
      <w:r w:rsidR="00F15364">
        <w:rPr>
          <w:rFonts w:asciiTheme="minorHAnsi" w:hAnsiTheme="minorHAnsi" w:cstheme="minorHAnsi"/>
          <w:sz w:val="24"/>
          <w:szCs w:val="24"/>
          <w:shd w:val="clear" w:color="auto" w:fill="FFFFFF"/>
        </w:rPr>
        <w:t>&amp; Fine,</w:t>
      </w:r>
      <w:r w:rsidR="00F15364" w:rsidRPr="00F15364">
        <w:rPr>
          <w:rFonts w:asciiTheme="minorHAnsi" w:hAnsiTheme="minorHAnsi" w:cstheme="minorHAnsi"/>
          <w:sz w:val="24"/>
          <w:szCs w:val="24"/>
          <w:shd w:val="clear" w:color="auto" w:fill="FFFFFF"/>
        </w:rPr>
        <w:t xml:space="preserve"> 2016</w:t>
      </w:r>
      <w:r w:rsidR="00DB32E7" w:rsidRPr="00F15364">
        <w:rPr>
          <w:rFonts w:asciiTheme="minorHAnsi" w:hAnsiTheme="minorHAnsi" w:cstheme="minorHAnsi"/>
          <w:sz w:val="24"/>
          <w:szCs w:val="24"/>
        </w:rPr>
        <w:t>).</w:t>
      </w:r>
    </w:p>
    <w:p w:rsidR="004F3A28" w:rsidRDefault="004F3A28" w:rsidP="005A464E">
      <w:pPr>
        <w:spacing w:line="360" w:lineRule="auto"/>
        <w:rPr>
          <w:b/>
          <w:sz w:val="24"/>
          <w:szCs w:val="24"/>
        </w:rPr>
      </w:pPr>
    </w:p>
    <w:p w:rsidR="00350F51" w:rsidRPr="006E1282" w:rsidRDefault="00350F51" w:rsidP="005A464E">
      <w:pPr>
        <w:spacing w:line="360" w:lineRule="auto"/>
        <w:rPr>
          <w:b/>
          <w:sz w:val="24"/>
          <w:szCs w:val="24"/>
        </w:rPr>
      </w:pPr>
      <w:r w:rsidRPr="006E1282">
        <w:rPr>
          <w:b/>
          <w:sz w:val="24"/>
          <w:szCs w:val="24"/>
        </w:rPr>
        <w:t>Μεταμόσχευση νεφρού</w:t>
      </w:r>
    </w:p>
    <w:p w:rsidR="00D3752D" w:rsidRDefault="00435B50" w:rsidP="005A464E">
      <w:pPr>
        <w:spacing w:line="360" w:lineRule="auto"/>
        <w:jc w:val="both"/>
        <w:rPr>
          <w:sz w:val="24"/>
          <w:szCs w:val="24"/>
        </w:rPr>
      </w:pPr>
      <w:r w:rsidRPr="005A464E">
        <w:rPr>
          <w:sz w:val="24"/>
          <w:szCs w:val="24"/>
        </w:rPr>
        <w:t>Η μεταμόσχευση νεφρού είναι η θεραπεία επιλογής για μια μειοψηφία των ασθενών με ΤΣΧΝΝ. Οι περισσότεροι ενήλικες ασθενείς με νεφρική νόσο τελικού σταδίου</w:t>
      </w:r>
      <w:r w:rsidR="00E95191" w:rsidRPr="005A464E">
        <w:rPr>
          <w:sz w:val="24"/>
          <w:szCs w:val="24"/>
        </w:rPr>
        <w:t xml:space="preserve"> δεν </w:t>
      </w:r>
      <w:r w:rsidR="00CF0332" w:rsidRPr="005A464E">
        <w:rPr>
          <w:sz w:val="24"/>
          <w:szCs w:val="24"/>
        </w:rPr>
        <w:t>εισάγονται</w:t>
      </w:r>
      <w:r w:rsidR="00E95191" w:rsidRPr="005A464E">
        <w:rPr>
          <w:sz w:val="24"/>
          <w:szCs w:val="24"/>
        </w:rPr>
        <w:t xml:space="preserve"> ποτέ στη λίστα υποψηφίων ληπτών μοσχεύματος</w:t>
      </w:r>
      <w:r w:rsidRPr="005A464E">
        <w:rPr>
          <w:sz w:val="24"/>
          <w:szCs w:val="24"/>
        </w:rPr>
        <w:t xml:space="preserve">. </w:t>
      </w:r>
      <w:r w:rsidR="00E95191" w:rsidRPr="005A464E">
        <w:rPr>
          <w:sz w:val="24"/>
          <w:szCs w:val="24"/>
        </w:rPr>
        <w:t>Οι σ</w:t>
      </w:r>
      <w:r w:rsidR="00D3752D">
        <w:rPr>
          <w:sz w:val="24"/>
          <w:szCs w:val="24"/>
        </w:rPr>
        <w:t xml:space="preserve">ημαντικές βελτιώσεις στην </w:t>
      </w:r>
      <w:r w:rsidRPr="005A464E">
        <w:rPr>
          <w:sz w:val="24"/>
          <w:szCs w:val="24"/>
        </w:rPr>
        <w:t xml:space="preserve">επιβίωση του μοσχεύματος και τη </w:t>
      </w:r>
      <w:r w:rsidR="00E95191" w:rsidRPr="005A464E">
        <w:rPr>
          <w:sz w:val="24"/>
          <w:szCs w:val="24"/>
        </w:rPr>
        <w:t xml:space="preserve">μακροπρόθεσμη </w:t>
      </w:r>
      <w:r w:rsidRPr="005A464E">
        <w:rPr>
          <w:sz w:val="24"/>
          <w:szCs w:val="24"/>
        </w:rPr>
        <w:t xml:space="preserve">λειτουργία </w:t>
      </w:r>
      <w:r w:rsidR="00E95191" w:rsidRPr="005A464E">
        <w:rPr>
          <w:sz w:val="24"/>
          <w:szCs w:val="24"/>
        </w:rPr>
        <w:t xml:space="preserve">του </w:t>
      </w:r>
      <w:r w:rsidRPr="005A464E">
        <w:rPr>
          <w:sz w:val="24"/>
          <w:szCs w:val="24"/>
        </w:rPr>
        <w:t xml:space="preserve">έχουν κάνει </w:t>
      </w:r>
      <w:r w:rsidR="00E95191" w:rsidRPr="005A464E">
        <w:rPr>
          <w:sz w:val="24"/>
          <w:szCs w:val="24"/>
        </w:rPr>
        <w:t xml:space="preserve">τη </w:t>
      </w:r>
      <w:r w:rsidRPr="005A464E">
        <w:rPr>
          <w:sz w:val="24"/>
          <w:szCs w:val="24"/>
        </w:rPr>
        <w:t>μεταμόσχευση νεφρού μια π</w:t>
      </w:r>
      <w:r w:rsidR="00E95191" w:rsidRPr="005A464E">
        <w:rPr>
          <w:sz w:val="24"/>
          <w:szCs w:val="24"/>
        </w:rPr>
        <w:t>ιο αποδοτική εναλλακτική λύση της</w:t>
      </w:r>
      <w:r w:rsidRPr="005A464E">
        <w:rPr>
          <w:sz w:val="24"/>
          <w:szCs w:val="24"/>
        </w:rPr>
        <w:t xml:space="preserve"> αιμοκάθαρση</w:t>
      </w:r>
      <w:r w:rsidR="00E95191" w:rsidRPr="005A464E">
        <w:rPr>
          <w:sz w:val="24"/>
          <w:szCs w:val="24"/>
        </w:rPr>
        <w:t xml:space="preserve">ς. </w:t>
      </w:r>
    </w:p>
    <w:p w:rsidR="00350F51" w:rsidRPr="00D60706" w:rsidRDefault="0034172F" w:rsidP="005A464E">
      <w:pPr>
        <w:spacing w:line="360" w:lineRule="auto"/>
        <w:jc w:val="both"/>
        <w:rPr>
          <w:sz w:val="24"/>
          <w:szCs w:val="24"/>
        </w:rPr>
      </w:pPr>
      <w:r w:rsidRPr="000C2E9E">
        <w:rPr>
          <w:sz w:val="24"/>
          <w:szCs w:val="24"/>
        </w:rPr>
        <w:t>Πριν τεθεί σε εφαρμογή η ανοσοκαταστολή</w:t>
      </w:r>
      <w:r w:rsidR="00435B50" w:rsidRPr="000C2E9E">
        <w:rPr>
          <w:sz w:val="24"/>
          <w:szCs w:val="24"/>
        </w:rPr>
        <w:t>,</w:t>
      </w:r>
      <w:r w:rsidR="00CF0332" w:rsidRPr="000C2E9E">
        <w:rPr>
          <w:sz w:val="24"/>
          <w:szCs w:val="24"/>
        </w:rPr>
        <w:t xml:space="preserve"> </w:t>
      </w:r>
      <w:r w:rsidR="00390973" w:rsidRPr="000C2E9E">
        <w:rPr>
          <w:sz w:val="24"/>
          <w:szCs w:val="24"/>
        </w:rPr>
        <w:t>η μεταμόσχευση</w:t>
      </w:r>
      <w:r w:rsidR="00435B50" w:rsidRPr="000C2E9E">
        <w:rPr>
          <w:sz w:val="24"/>
          <w:szCs w:val="24"/>
        </w:rPr>
        <w:t xml:space="preserve"> </w:t>
      </w:r>
      <w:r w:rsidR="00020D6F" w:rsidRPr="000C2E9E">
        <w:rPr>
          <w:sz w:val="24"/>
          <w:szCs w:val="24"/>
        </w:rPr>
        <w:t xml:space="preserve"> νεφρού </w:t>
      </w:r>
      <w:r w:rsidRPr="000C2E9E">
        <w:rPr>
          <w:sz w:val="24"/>
          <w:szCs w:val="24"/>
        </w:rPr>
        <w:t>περιοριζόταν</w:t>
      </w:r>
      <w:r w:rsidR="00435B50" w:rsidRPr="000C2E9E">
        <w:rPr>
          <w:sz w:val="24"/>
          <w:szCs w:val="24"/>
        </w:rPr>
        <w:t xml:space="preserve"> σε πανομοιότυπα </w:t>
      </w:r>
      <w:r w:rsidR="00390973" w:rsidRPr="000C2E9E">
        <w:rPr>
          <w:sz w:val="24"/>
          <w:szCs w:val="24"/>
        </w:rPr>
        <w:t xml:space="preserve">μεταξύ διδύμων χωρίς να </w:t>
      </w:r>
      <w:r w:rsidR="00CF0332" w:rsidRPr="000C2E9E">
        <w:rPr>
          <w:sz w:val="24"/>
          <w:szCs w:val="24"/>
        </w:rPr>
        <w:t>εφαρμοστεί</w:t>
      </w:r>
      <w:r w:rsidR="00394A7E" w:rsidRPr="000C2E9E">
        <w:rPr>
          <w:sz w:val="24"/>
          <w:szCs w:val="24"/>
        </w:rPr>
        <w:t xml:space="preserve"> </w:t>
      </w:r>
      <w:r w:rsidR="00390973" w:rsidRPr="000C2E9E">
        <w:rPr>
          <w:sz w:val="24"/>
          <w:szCs w:val="24"/>
        </w:rPr>
        <w:t>σ</w:t>
      </w:r>
      <w:r w:rsidR="00435B50" w:rsidRPr="000C2E9E">
        <w:rPr>
          <w:sz w:val="24"/>
          <w:szCs w:val="24"/>
        </w:rPr>
        <w:t xml:space="preserve">τη συντριπτική πλειοψηφία των ασθενών με νεφρική νόσο τελικού σταδίου. Η εισαγωγή της </w:t>
      </w:r>
      <w:r w:rsidR="00390973" w:rsidRPr="000C2E9E">
        <w:rPr>
          <w:sz w:val="24"/>
          <w:szCs w:val="24"/>
        </w:rPr>
        <w:t>θεραπείας με</w:t>
      </w:r>
      <w:r w:rsidR="00CF0332" w:rsidRPr="000C2E9E">
        <w:rPr>
          <w:sz w:val="24"/>
          <w:szCs w:val="24"/>
        </w:rPr>
        <w:t xml:space="preserve"> </w:t>
      </w:r>
      <w:r w:rsidR="00390973" w:rsidRPr="000C2E9E">
        <w:rPr>
          <w:sz w:val="24"/>
          <w:szCs w:val="24"/>
        </w:rPr>
        <w:t>συνδυασμό αζαθειοπρίνη</w:t>
      </w:r>
      <w:r w:rsidR="00CF0332" w:rsidRPr="000C2E9E">
        <w:rPr>
          <w:sz w:val="24"/>
          <w:szCs w:val="24"/>
        </w:rPr>
        <w:t>ς</w:t>
      </w:r>
      <w:r w:rsidR="00390973" w:rsidRPr="000C2E9E">
        <w:rPr>
          <w:sz w:val="24"/>
          <w:szCs w:val="24"/>
        </w:rPr>
        <w:t xml:space="preserve"> και στεροειδών</w:t>
      </w:r>
      <w:r w:rsidR="00435B50" w:rsidRPr="000C2E9E">
        <w:rPr>
          <w:sz w:val="24"/>
          <w:szCs w:val="24"/>
        </w:rPr>
        <w:t xml:space="preserve"> το 1963 </w:t>
      </w:r>
      <w:r w:rsidR="00AB5FB1" w:rsidRPr="000C2E9E">
        <w:rPr>
          <w:sz w:val="24"/>
          <w:szCs w:val="24"/>
        </w:rPr>
        <w:t xml:space="preserve">οδήγησε σε </w:t>
      </w:r>
      <w:r w:rsidR="00435B50" w:rsidRPr="000C2E9E">
        <w:rPr>
          <w:sz w:val="24"/>
          <w:szCs w:val="24"/>
        </w:rPr>
        <w:t>ενθα</w:t>
      </w:r>
      <w:r w:rsidR="00AB5FB1" w:rsidRPr="000C2E9E">
        <w:rPr>
          <w:sz w:val="24"/>
          <w:szCs w:val="24"/>
        </w:rPr>
        <w:t>ρρυντικά αποτελέσματα</w:t>
      </w:r>
      <w:r w:rsidR="00435B50" w:rsidRPr="000C2E9E">
        <w:rPr>
          <w:sz w:val="24"/>
          <w:szCs w:val="24"/>
        </w:rPr>
        <w:t xml:space="preserve">. Αν και </w:t>
      </w:r>
      <w:r w:rsidR="00AB5FB1" w:rsidRPr="000C2E9E">
        <w:rPr>
          <w:sz w:val="24"/>
          <w:szCs w:val="24"/>
        </w:rPr>
        <w:t>αυτός ο τρόπος αντιμετώπισης</w:t>
      </w:r>
      <w:r w:rsidR="00435B50" w:rsidRPr="000C2E9E">
        <w:rPr>
          <w:sz w:val="24"/>
          <w:szCs w:val="24"/>
        </w:rPr>
        <w:t xml:space="preserve"> βελτίωσε τα αποτελέσματα της μεταμόσχευσης, </w:t>
      </w:r>
      <w:r w:rsidR="00390973" w:rsidRPr="000C2E9E">
        <w:rPr>
          <w:sz w:val="24"/>
          <w:szCs w:val="24"/>
        </w:rPr>
        <w:t xml:space="preserve">η </w:t>
      </w:r>
      <w:r w:rsidR="00435B50" w:rsidRPr="000C2E9E">
        <w:rPr>
          <w:sz w:val="24"/>
          <w:szCs w:val="24"/>
        </w:rPr>
        <w:t xml:space="preserve">οξεία απόρριψη και </w:t>
      </w:r>
      <w:r w:rsidR="00390973" w:rsidRPr="000C2E9E">
        <w:rPr>
          <w:sz w:val="24"/>
          <w:szCs w:val="24"/>
        </w:rPr>
        <w:t xml:space="preserve">οι </w:t>
      </w:r>
      <w:r w:rsidR="00435B50" w:rsidRPr="000C2E9E">
        <w:rPr>
          <w:sz w:val="24"/>
          <w:szCs w:val="24"/>
        </w:rPr>
        <w:t>επιπλοκές που</w:t>
      </w:r>
      <w:r w:rsidR="00435B50" w:rsidRPr="005A464E">
        <w:rPr>
          <w:sz w:val="24"/>
          <w:szCs w:val="24"/>
        </w:rPr>
        <w:t xml:space="preserve"> σχετίζονται με</w:t>
      </w:r>
      <w:r w:rsidR="00390973" w:rsidRPr="005A464E">
        <w:rPr>
          <w:sz w:val="24"/>
          <w:szCs w:val="24"/>
        </w:rPr>
        <w:t xml:space="preserve"> τη</w:t>
      </w:r>
      <w:r w:rsidR="00435B50" w:rsidRPr="005A464E">
        <w:rPr>
          <w:sz w:val="24"/>
          <w:szCs w:val="24"/>
        </w:rPr>
        <w:t xml:space="preserve"> θ</w:t>
      </w:r>
      <w:r w:rsidR="00390973" w:rsidRPr="005A464E">
        <w:rPr>
          <w:sz w:val="24"/>
          <w:szCs w:val="24"/>
        </w:rPr>
        <w:t>εραπεία με στεροειδή δεν έπαψαν να εμφανίζονται</w:t>
      </w:r>
      <w:r w:rsidR="00710CCA" w:rsidRPr="005A464E">
        <w:rPr>
          <w:sz w:val="24"/>
          <w:szCs w:val="24"/>
        </w:rPr>
        <w:t xml:space="preserve"> (</w:t>
      </w:r>
      <w:r w:rsidR="00D3752D" w:rsidRPr="00D60706">
        <w:rPr>
          <w:sz w:val="24"/>
          <w:szCs w:val="24"/>
          <w:lang w:val="en-US"/>
        </w:rPr>
        <w:t>Matas</w:t>
      </w:r>
      <w:r w:rsidR="00D3752D" w:rsidRPr="00D60706">
        <w:rPr>
          <w:sz w:val="24"/>
          <w:szCs w:val="24"/>
        </w:rPr>
        <w:t xml:space="preserve"> </w:t>
      </w:r>
      <w:r w:rsidR="00D3752D" w:rsidRPr="00D60706">
        <w:rPr>
          <w:sz w:val="24"/>
          <w:szCs w:val="24"/>
          <w:lang w:val="en-US"/>
        </w:rPr>
        <w:t>et</w:t>
      </w:r>
      <w:r w:rsidR="00D3752D" w:rsidRPr="00D60706">
        <w:rPr>
          <w:sz w:val="24"/>
          <w:szCs w:val="24"/>
        </w:rPr>
        <w:t xml:space="preserve"> </w:t>
      </w:r>
      <w:r w:rsidR="00D3752D" w:rsidRPr="00D60706">
        <w:rPr>
          <w:sz w:val="24"/>
          <w:szCs w:val="24"/>
          <w:lang w:val="en-US"/>
        </w:rPr>
        <w:t>al</w:t>
      </w:r>
      <w:r w:rsidR="00D3752D" w:rsidRPr="00D60706">
        <w:rPr>
          <w:sz w:val="24"/>
          <w:szCs w:val="24"/>
        </w:rPr>
        <w:t>.</w:t>
      </w:r>
      <w:r w:rsidR="00D3752D">
        <w:rPr>
          <w:sz w:val="24"/>
          <w:szCs w:val="24"/>
        </w:rPr>
        <w:t>,</w:t>
      </w:r>
      <w:r w:rsidR="00D3752D" w:rsidRPr="00D60706">
        <w:rPr>
          <w:sz w:val="24"/>
          <w:szCs w:val="24"/>
        </w:rPr>
        <w:t xml:space="preserve"> 2014</w:t>
      </w:r>
      <w:r w:rsidR="00D3752D">
        <w:rPr>
          <w:sz w:val="24"/>
          <w:szCs w:val="24"/>
        </w:rPr>
        <w:t xml:space="preserve">; </w:t>
      </w:r>
      <w:r w:rsidR="00D60706" w:rsidRPr="00D60706">
        <w:rPr>
          <w:rFonts w:cstheme="minorHAnsi"/>
          <w:sz w:val="24"/>
          <w:szCs w:val="24"/>
          <w:lang w:val="en-US"/>
        </w:rPr>
        <w:t>United</w:t>
      </w:r>
      <w:r w:rsidR="00D60706" w:rsidRPr="00D60706">
        <w:rPr>
          <w:rFonts w:cstheme="minorHAnsi"/>
          <w:sz w:val="24"/>
          <w:szCs w:val="24"/>
        </w:rPr>
        <w:t xml:space="preserve"> </w:t>
      </w:r>
      <w:r w:rsidR="00D60706" w:rsidRPr="00D60706">
        <w:rPr>
          <w:rFonts w:cstheme="minorHAnsi"/>
          <w:sz w:val="24"/>
          <w:szCs w:val="24"/>
          <w:lang w:val="en-US"/>
        </w:rPr>
        <w:t>Network</w:t>
      </w:r>
      <w:r w:rsidR="00D60706" w:rsidRPr="00D60706">
        <w:rPr>
          <w:rFonts w:cstheme="minorHAnsi"/>
          <w:sz w:val="24"/>
          <w:szCs w:val="24"/>
        </w:rPr>
        <w:t xml:space="preserve"> </w:t>
      </w:r>
      <w:r w:rsidR="00D60706" w:rsidRPr="00D60706">
        <w:rPr>
          <w:rFonts w:cstheme="minorHAnsi"/>
          <w:sz w:val="24"/>
          <w:szCs w:val="24"/>
          <w:lang w:val="en-US"/>
        </w:rPr>
        <w:t>for</w:t>
      </w:r>
      <w:r w:rsidR="00D60706" w:rsidRPr="00D60706">
        <w:rPr>
          <w:rFonts w:cstheme="minorHAnsi"/>
          <w:sz w:val="24"/>
          <w:szCs w:val="24"/>
        </w:rPr>
        <w:t xml:space="preserve"> </w:t>
      </w:r>
      <w:r w:rsidR="00D60706" w:rsidRPr="00D60706">
        <w:rPr>
          <w:rFonts w:cstheme="minorHAnsi"/>
          <w:sz w:val="24"/>
          <w:szCs w:val="24"/>
          <w:lang w:val="en-US"/>
        </w:rPr>
        <w:t>Organ</w:t>
      </w:r>
      <w:r w:rsidR="00D60706" w:rsidRPr="00D60706">
        <w:rPr>
          <w:rFonts w:cstheme="minorHAnsi"/>
          <w:sz w:val="24"/>
          <w:szCs w:val="24"/>
        </w:rPr>
        <w:t xml:space="preserve"> </w:t>
      </w:r>
      <w:r w:rsidR="00D60706" w:rsidRPr="00D60706">
        <w:rPr>
          <w:rFonts w:cstheme="minorHAnsi"/>
          <w:sz w:val="24"/>
          <w:szCs w:val="24"/>
          <w:lang w:val="en-US"/>
        </w:rPr>
        <w:t>Sharing</w:t>
      </w:r>
      <w:r w:rsidR="00D60706" w:rsidRPr="00D60706">
        <w:rPr>
          <w:rFonts w:cstheme="minorHAnsi"/>
          <w:sz w:val="24"/>
          <w:szCs w:val="24"/>
        </w:rPr>
        <w:t>,</w:t>
      </w:r>
      <w:r w:rsidR="006E1282" w:rsidRPr="00D60706">
        <w:rPr>
          <w:sz w:val="24"/>
          <w:szCs w:val="24"/>
        </w:rPr>
        <w:t xml:space="preserve"> </w:t>
      </w:r>
      <w:r w:rsidR="00710CCA" w:rsidRPr="00D60706">
        <w:rPr>
          <w:sz w:val="24"/>
          <w:szCs w:val="24"/>
        </w:rPr>
        <w:t>2015).</w:t>
      </w:r>
    </w:p>
    <w:p w:rsidR="00995094" w:rsidRDefault="00995094" w:rsidP="00DB6A65">
      <w:pPr>
        <w:pStyle w:val="1a"/>
        <w:spacing w:after="240"/>
        <w:rPr>
          <w:rFonts w:asciiTheme="minorHAnsi" w:hAnsiTheme="minorHAnsi" w:cstheme="minorHAnsi"/>
        </w:rPr>
      </w:pPr>
    </w:p>
    <w:p w:rsidR="00995094" w:rsidRDefault="00995094" w:rsidP="00DB6A65">
      <w:pPr>
        <w:pStyle w:val="1a"/>
        <w:spacing w:after="240"/>
        <w:rPr>
          <w:rFonts w:asciiTheme="minorHAnsi" w:hAnsiTheme="minorHAnsi" w:cstheme="minorHAnsi"/>
        </w:rPr>
      </w:pPr>
    </w:p>
    <w:p w:rsidR="00995094" w:rsidRDefault="00995094" w:rsidP="00DB6A65">
      <w:pPr>
        <w:pStyle w:val="1a"/>
        <w:spacing w:after="240"/>
        <w:rPr>
          <w:rFonts w:asciiTheme="minorHAnsi" w:hAnsiTheme="minorHAnsi" w:cstheme="minorHAnsi"/>
        </w:rPr>
      </w:pPr>
    </w:p>
    <w:p w:rsidR="00995094" w:rsidRDefault="00995094" w:rsidP="00DB6A65">
      <w:pPr>
        <w:pStyle w:val="1a"/>
        <w:spacing w:after="240"/>
        <w:rPr>
          <w:rFonts w:asciiTheme="minorHAnsi" w:hAnsiTheme="minorHAnsi" w:cstheme="minorHAnsi"/>
        </w:rPr>
      </w:pPr>
    </w:p>
    <w:p w:rsidR="00995094" w:rsidRDefault="00995094" w:rsidP="00DB6A65">
      <w:pPr>
        <w:pStyle w:val="1a"/>
        <w:spacing w:after="240"/>
        <w:rPr>
          <w:rFonts w:asciiTheme="minorHAnsi" w:hAnsiTheme="minorHAnsi" w:cstheme="minorHAnsi"/>
        </w:rPr>
      </w:pPr>
    </w:p>
    <w:p w:rsidR="00995094" w:rsidRDefault="00995094" w:rsidP="00DB6A65">
      <w:pPr>
        <w:pStyle w:val="1a"/>
        <w:spacing w:after="240"/>
        <w:rPr>
          <w:rFonts w:asciiTheme="minorHAnsi" w:hAnsiTheme="minorHAnsi" w:cstheme="minorHAnsi"/>
        </w:rPr>
      </w:pPr>
    </w:p>
    <w:p w:rsidR="00995094" w:rsidRPr="00995094" w:rsidRDefault="00995094" w:rsidP="00995094"/>
    <w:p w:rsidR="00D50479" w:rsidRPr="00DB6A65" w:rsidRDefault="004B5AE6" w:rsidP="00DB6A65">
      <w:pPr>
        <w:pStyle w:val="1a"/>
        <w:spacing w:after="240"/>
        <w:rPr>
          <w:rFonts w:asciiTheme="minorHAnsi" w:hAnsiTheme="minorHAnsi" w:cstheme="minorHAnsi"/>
        </w:rPr>
      </w:pPr>
      <w:bookmarkStart w:id="26" w:name="_Toc495951427"/>
      <w:r w:rsidRPr="00DB6A65">
        <w:rPr>
          <w:rFonts w:asciiTheme="minorHAnsi" w:hAnsiTheme="minorHAnsi" w:cstheme="minorHAnsi"/>
        </w:rPr>
        <w:t>2</w:t>
      </w:r>
      <w:r w:rsidR="00D859E0">
        <w:rPr>
          <w:rFonts w:asciiTheme="minorHAnsi" w:hAnsiTheme="minorHAnsi" w:cstheme="minorHAnsi"/>
          <w:vertAlign w:val="superscript"/>
          <w:lang w:val="en-US"/>
        </w:rPr>
        <w:t>o</w:t>
      </w:r>
      <w:r w:rsidRPr="00DB6A65">
        <w:rPr>
          <w:rFonts w:asciiTheme="minorHAnsi" w:hAnsiTheme="minorHAnsi" w:cstheme="minorHAnsi"/>
        </w:rPr>
        <w:t xml:space="preserve"> </w:t>
      </w:r>
      <w:r w:rsidRPr="00DB6A65">
        <w:rPr>
          <w:rFonts w:asciiTheme="minorHAnsi" w:hAnsiTheme="minorHAnsi" w:cstheme="minorHAnsi"/>
          <w:lang w:val="en-US"/>
        </w:rPr>
        <w:t>KE</w:t>
      </w:r>
      <w:r w:rsidRPr="00DB6A65">
        <w:rPr>
          <w:rFonts w:asciiTheme="minorHAnsi" w:hAnsiTheme="minorHAnsi" w:cstheme="minorHAnsi"/>
        </w:rPr>
        <w:t xml:space="preserve">ΦΑΛΑΙΟ: </w:t>
      </w:r>
      <w:r w:rsidR="007A3D8B" w:rsidRPr="00DB6A65">
        <w:rPr>
          <w:rFonts w:asciiTheme="minorHAnsi" w:hAnsiTheme="minorHAnsi" w:cstheme="minorHAnsi"/>
        </w:rPr>
        <w:t>ΓΝΩΣΗ ΑΣΘΕΝΟΥΣ</w:t>
      </w:r>
      <w:bookmarkEnd w:id="26"/>
    </w:p>
    <w:p w:rsidR="00C24A9C" w:rsidRPr="005A464E" w:rsidRDefault="00D83B9A" w:rsidP="005A464E">
      <w:pPr>
        <w:spacing w:line="360" w:lineRule="auto"/>
        <w:jc w:val="both"/>
        <w:rPr>
          <w:sz w:val="24"/>
          <w:szCs w:val="24"/>
        </w:rPr>
      </w:pPr>
      <w:r w:rsidRPr="005A464E">
        <w:rPr>
          <w:sz w:val="24"/>
          <w:szCs w:val="24"/>
        </w:rPr>
        <w:t>Στο παρελθόν, η ποσότητα</w:t>
      </w:r>
      <w:r w:rsidR="00F86FA2">
        <w:rPr>
          <w:sz w:val="24"/>
          <w:szCs w:val="24"/>
        </w:rPr>
        <w:t xml:space="preserve"> και το είδος</w:t>
      </w:r>
      <w:r w:rsidRPr="005A464E">
        <w:rPr>
          <w:sz w:val="24"/>
          <w:szCs w:val="24"/>
        </w:rPr>
        <w:t xml:space="preserve"> της </w:t>
      </w:r>
      <w:r w:rsidR="00F86FA2">
        <w:rPr>
          <w:sz w:val="24"/>
          <w:szCs w:val="24"/>
        </w:rPr>
        <w:t xml:space="preserve">παρεχόμενης </w:t>
      </w:r>
      <w:r w:rsidRPr="005A464E">
        <w:rPr>
          <w:sz w:val="24"/>
          <w:szCs w:val="24"/>
        </w:rPr>
        <w:t xml:space="preserve">πληροφορίας </w:t>
      </w:r>
      <w:r w:rsidR="00020D6F">
        <w:rPr>
          <w:sz w:val="24"/>
          <w:szCs w:val="24"/>
        </w:rPr>
        <w:t>στον ασθενή από τον επαγγελματία</w:t>
      </w:r>
      <w:r w:rsidRPr="005A464E">
        <w:rPr>
          <w:sz w:val="24"/>
          <w:szCs w:val="24"/>
        </w:rPr>
        <w:t xml:space="preserve"> υγείας βασίζονταν κυρίως στα σημεία, συμπτώματα καθώς και στη συγκεκ</w:t>
      </w:r>
      <w:r w:rsidR="00581298" w:rsidRPr="005A464E">
        <w:rPr>
          <w:sz w:val="24"/>
          <w:szCs w:val="24"/>
        </w:rPr>
        <w:t>ριμένη ιατρική διάγνωση και όχι</w:t>
      </w:r>
      <w:r w:rsidRPr="005A464E">
        <w:rPr>
          <w:sz w:val="24"/>
          <w:szCs w:val="24"/>
        </w:rPr>
        <w:t xml:space="preserve"> στα ειδικά ψυχοκοινωνικά και πολιτιστικά θέματα που πιθανόν επηρέαζαν την ποιότητα ζωής </w:t>
      </w:r>
      <w:r w:rsidR="00B0560D">
        <w:rPr>
          <w:sz w:val="24"/>
          <w:szCs w:val="24"/>
        </w:rPr>
        <w:t>του ασθενούς</w:t>
      </w:r>
      <w:r w:rsidRPr="005A464E">
        <w:rPr>
          <w:sz w:val="24"/>
          <w:szCs w:val="24"/>
        </w:rPr>
        <w:t xml:space="preserve">. Η διδασκαλία </w:t>
      </w:r>
      <w:r w:rsidR="00B0560D">
        <w:rPr>
          <w:sz w:val="24"/>
          <w:szCs w:val="24"/>
        </w:rPr>
        <w:t>του ασθενούς</w:t>
      </w:r>
      <w:r w:rsidRPr="005A464E">
        <w:rPr>
          <w:sz w:val="24"/>
          <w:szCs w:val="24"/>
        </w:rPr>
        <w:t xml:space="preserve"> εστιαζόταν περ</w:t>
      </w:r>
      <w:r w:rsidR="00D3752D">
        <w:rPr>
          <w:sz w:val="24"/>
          <w:szCs w:val="24"/>
        </w:rPr>
        <w:t>ισ</w:t>
      </w:r>
      <w:r w:rsidRPr="005A464E">
        <w:rPr>
          <w:sz w:val="24"/>
          <w:szCs w:val="24"/>
        </w:rPr>
        <w:t>σότερο στην πληροφορία την οποία ο επαγγελματίας υγείας θεωρούσε ότι είναι σημαντική παρά στην πληροφορία που ο ασθενής θα επι</w:t>
      </w:r>
      <w:r w:rsidR="00581298" w:rsidRPr="005A464E">
        <w:rPr>
          <w:sz w:val="24"/>
          <w:szCs w:val="24"/>
        </w:rPr>
        <w:t>θυμούσε ή ήταν απαραίτητο</w:t>
      </w:r>
      <w:r w:rsidRPr="005A464E">
        <w:rPr>
          <w:sz w:val="24"/>
          <w:szCs w:val="24"/>
        </w:rPr>
        <w:t xml:space="preserve"> να μάθει. Επιπλέον, πολλοί επαγγελματίες υγεί</w:t>
      </w:r>
      <w:r w:rsidR="00020D6F">
        <w:rPr>
          <w:sz w:val="24"/>
          <w:szCs w:val="24"/>
        </w:rPr>
        <w:t>ας πίστευαν ότι ο ασθενής δεν έχει</w:t>
      </w:r>
      <w:r w:rsidRPr="005A464E">
        <w:rPr>
          <w:sz w:val="24"/>
          <w:szCs w:val="24"/>
        </w:rPr>
        <w:t xml:space="preserve"> το απαρα</w:t>
      </w:r>
      <w:r w:rsidR="00370575" w:rsidRPr="005A464E">
        <w:rPr>
          <w:sz w:val="24"/>
          <w:szCs w:val="24"/>
        </w:rPr>
        <w:t>ίτητο νοητικό</w:t>
      </w:r>
      <w:r w:rsidRPr="005A464E">
        <w:rPr>
          <w:sz w:val="24"/>
          <w:szCs w:val="24"/>
        </w:rPr>
        <w:t xml:space="preserve"> υπόβαθρο </w:t>
      </w:r>
      <w:r w:rsidR="00020D6F">
        <w:rPr>
          <w:sz w:val="24"/>
          <w:szCs w:val="24"/>
        </w:rPr>
        <w:t>ώστε να κατανοήσει</w:t>
      </w:r>
      <w:r w:rsidR="00370575" w:rsidRPr="005A464E">
        <w:rPr>
          <w:sz w:val="24"/>
          <w:szCs w:val="24"/>
        </w:rPr>
        <w:t xml:space="preserve"> πλήρως την πληροφορία ούτε και το ενδιαφέρον για απόκτηση πληροφοριών σχετικά με</w:t>
      </w:r>
      <w:r w:rsidR="0078495A">
        <w:rPr>
          <w:sz w:val="24"/>
          <w:szCs w:val="24"/>
        </w:rPr>
        <w:t xml:space="preserve"> </w:t>
      </w:r>
      <w:r w:rsidR="00020D6F">
        <w:rPr>
          <w:sz w:val="24"/>
          <w:szCs w:val="24"/>
        </w:rPr>
        <w:t>την κατάσταση της υγείας του. Κατά συνέπεια, ο επαγγελματίας υγείας καθόριζε</w:t>
      </w:r>
      <w:r w:rsidR="00370575" w:rsidRPr="005A464E">
        <w:rPr>
          <w:sz w:val="24"/>
          <w:szCs w:val="24"/>
        </w:rPr>
        <w:t xml:space="preserve"> την πλ</w:t>
      </w:r>
      <w:r w:rsidR="00020D6F">
        <w:rPr>
          <w:sz w:val="24"/>
          <w:szCs w:val="24"/>
        </w:rPr>
        <w:t>ηροφορία που θα ελάμβανε ο ασθενή</w:t>
      </w:r>
      <w:r w:rsidR="00370575" w:rsidRPr="005A464E">
        <w:rPr>
          <w:sz w:val="24"/>
          <w:szCs w:val="24"/>
        </w:rPr>
        <w:t>ς με αποτέλεσμα</w:t>
      </w:r>
      <w:r w:rsidR="00A32560">
        <w:rPr>
          <w:sz w:val="24"/>
          <w:szCs w:val="24"/>
        </w:rPr>
        <w:t>,</w:t>
      </w:r>
      <w:r w:rsidR="00370575" w:rsidRPr="005A464E">
        <w:rPr>
          <w:sz w:val="24"/>
          <w:szCs w:val="24"/>
        </w:rPr>
        <w:t xml:space="preserve"> το είδος και η ποσότητα της πληροφορίας να είναι συχνά περιορισμέν</w:t>
      </w:r>
      <w:r w:rsidR="00CD2E69" w:rsidRPr="005A464E">
        <w:rPr>
          <w:sz w:val="24"/>
          <w:szCs w:val="24"/>
        </w:rPr>
        <w:t>α (</w:t>
      </w:r>
      <w:r w:rsidR="00CD2E69" w:rsidRPr="005A464E">
        <w:rPr>
          <w:sz w:val="24"/>
          <w:szCs w:val="24"/>
          <w:lang w:val="en-US"/>
        </w:rPr>
        <w:t>Goldstein</w:t>
      </w:r>
      <w:r w:rsidR="00D60706" w:rsidRPr="00D60706">
        <w:rPr>
          <w:sz w:val="24"/>
          <w:szCs w:val="24"/>
        </w:rPr>
        <w:t xml:space="preserve"> </w:t>
      </w:r>
      <w:r w:rsidR="00D60706">
        <w:rPr>
          <w:sz w:val="24"/>
          <w:szCs w:val="24"/>
          <w:lang w:val="en-US"/>
        </w:rPr>
        <w:t>et</w:t>
      </w:r>
      <w:r w:rsidR="00D60706" w:rsidRPr="00D60706">
        <w:rPr>
          <w:sz w:val="24"/>
          <w:szCs w:val="24"/>
        </w:rPr>
        <w:t xml:space="preserve"> </w:t>
      </w:r>
      <w:r w:rsidR="00D60706">
        <w:rPr>
          <w:sz w:val="24"/>
          <w:szCs w:val="24"/>
          <w:lang w:val="en-US"/>
        </w:rPr>
        <w:t>al</w:t>
      </w:r>
      <w:r w:rsidR="00D60706" w:rsidRPr="00D60706">
        <w:rPr>
          <w:sz w:val="24"/>
          <w:szCs w:val="24"/>
        </w:rPr>
        <w:t>.</w:t>
      </w:r>
      <w:r w:rsidR="00FD229A">
        <w:rPr>
          <w:sz w:val="24"/>
          <w:szCs w:val="24"/>
        </w:rPr>
        <w:t>,</w:t>
      </w:r>
      <w:r w:rsidR="00CD2E69" w:rsidRPr="005A464E">
        <w:rPr>
          <w:sz w:val="24"/>
          <w:szCs w:val="24"/>
        </w:rPr>
        <w:t xml:space="preserve"> 1998).</w:t>
      </w:r>
    </w:p>
    <w:p w:rsidR="003A6F80" w:rsidRPr="005A464E" w:rsidRDefault="003A6F80" w:rsidP="005A464E">
      <w:pPr>
        <w:spacing w:line="360" w:lineRule="auto"/>
        <w:jc w:val="both"/>
        <w:rPr>
          <w:i/>
          <w:sz w:val="24"/>
          <w:szCs w:val="24"/>
        </w:rPr>
      </w:pPr>
      <w:r w:rsidRPr="005A464E">
        <w:rPr>
          <w:sz w:val="24"/>
          <w:szCs w:val="24"/>
        </w:rPr>
        <w:t xml:space="preserve">Αυτή η προσέγγιση στην παροχή </w:t>
      </w:r>
      <w:r w:rsidRPr="000C2E9E">
        <w:rPr>
          <w:sz w:val="24"/>
          <w:szCs w:val="24"/>
        </w:rPr>
        <w:t xml:space="preserve">πληροφοριών στον ασθενή έχει αλλάξει. Αν και πολλοί πολιτικοί και κοινωνικοί παράγοντες έχουν </w:t>
      </w:r>
      <w:r w:rsidR="00B51782" w:rsidRPr="000C2E9E">
        <w:rPr>
          <w:sz w:val="24"/>
          <w:szCs w:val="24"/>
        </w:rPr>
        <w:t>βοηθήσει</w:t>
      </w:r>
      <w:r w:rsidRPr="000C2E9E">
        <w:rPr>
          <w:sz w:val="24"/>
          <w:szCs w:val="24"/>
        </w:rPr>
        <w:t xml:space="preserve"> σε αυτό, ένας σημαντικός παράγοντας </w:t>
      </w:r>
      <w:r w:rsidR="00B51782" w:rsidRPr="000C2E9E">
        <w:rPr>
          <w:sz w:val="24"/>
          <w:szCs w:val="24"/>
        </w:rPr>
        <w:t xml:space="preserve">που έπαιξε σημαντικό ρόλο </w:t>
      </w:r>
      <w:r w:rsidRPr="000C2E9E">
        <w:rPr>
          <w:sz w:val="24"/>
          <w:szCs w:val="24"/>
        </w:rPr>
        <w:t>στην αλλαγή ήταν η δημοσίευση του «</w:t>
      </w:r>
      <w:r w:rsidRPr="000C2E9E">
        <w:rPr>
          <w:sz w:val="24"/>
          <w:szCs w:val="24"/>
          <w:lang w:val="en-US"/>
        </w:rPr>
        <w:t>Patients</w:t>
      </w:r>
      <w:r w:rsidRPr="000C2E9E">
        <w:rPr>
          <w:sz w:val="24"/>
          <w:szCs w:val="24"/>
        </w:rPr>
        <w:t xml:space="preserve">’ </w:t>
      </w:r>
      <w:r w:rsidRPr="000C2E9E">
        <w:rPr>
          <w:sz w:val="24"/>
          <w:szCs w:val="24"/>
          <w:lang w:val="en-US"/>
        </w:rPr>
        <w:t>Bill</w:t>
      </w:r>
      <w:r w:rsidR="00D72703" w:rsidRPr="000C2E9E">
        <w:rPr>
          <w:sz w:val="24"/>
          <w:szCs w:val="24"/>
        </w:rPr>
        <w:t xml:space="preserve"> </w:t>
      </w:r>
      <w:r w:rsidRPr="000C2E9E">
        <w:rPr>
          <w:sz w:val="24"/>
          <w:szCs w:val="24"/>
          <w:lang w:val="en-US"/>
        </w:rPr>
        <w:t>of</w:t>
      </w:r>
      <w:r w:rsidR="00CF0332" w:rsidRPr="000C2E9E">
        <w:rPr>
          <w:sz w:val="24"/>
          <w:szCs w:val="24"/>
        </w:rPr>
        <w:t xml:space="preserve"> </w:t>
      </w:r>
      <w:r w:rsidRPr="000C2E9E">
        <w:rPr>
          <w:sz w:val="24"/>
          <w:szCs w:val="24"/>
          <w:lang w:val="en-US"/>
        </w:rPr>
        <w:t>Rights</w:t>
      </w:r>
      <w:r w:rsidRPr="000C2E9E">
        <w:rPr>
          <w:sz w:val="24"/>
          <w:szCs w:val="24"/>
        </w:rPr>
        <w:t xml:space="preserve">» το 1975. Αυτό το αρχείο βασιζόταν όχι μόνο στο δικαίωμα </w:t>
      </w:r>
      <w:r w:rsidR="00B0560D" w:rsidRPr="000C2E9E">
        <w:rPr>
          <w:sz w:val="24"/>
          <w:szCs w:val="24"/>
        </w:rPr>
        <w:t>του ασθενούς</w:t>
      </w:r>
      <w:r w:rsidRPr="000C2E9E">
        <w:rPr>
          <w:sz w:val="24"/>
          <w:szCs w:val="24"/>
        </w:rPr>
        <w:t xml:space="preserve"> για αξιοπρεπή φροντίδα αλλά</w:t>
      </w:r>
      <w:r w:rsidRPr="005A464E">
        <w:rPr>
          <w:sz w:val="24"/>
          <w:szCs w:val="24"/>
        </w:rPr>
        <w:t xml:space="preserve"> και στο δικαίωμά του για παροχή πληροφοριών σχετικά με τη διάγνωση</w:t>
      </w:r>
      <w:r w:rsidR="009A4DEF">
        <w:rPr>
          <w:sz w:val="24"/>
          <w:szCs w:val="24"/>
        </w:rPr>
        <w:t>,</w:t>
      </w:r>
      <w:r w:rsidR="0078495A">
        <w:rPr>
          <w:sz w:val="24"/>
          <w:szCs w:val="24"/>
        </w:rPr>
        <w:t xml:space="preserve"> </w:t>
      </w:r>
      <w:r w:rsidRPr="005A464E">
        <w:rPr>
          <w:sz w:val="24"/>
          <w:szCs w:val="24"/>
        </w:rPr>
        <w:t>τη θεραπεία, την πρόγνωση αλλά και την παροχή πληροφοριών σε κατανοητούς όρους που θα μπορούσε να κάνει</w:t>
      </w:r>
      <w:r w:rsidR="00C24A9C" w:rsidRPr="005A464E">
        <w:rPr>
          <w:sz w:val="24"/>
          <w:szCs w:val="24"/>
        </w:rPr>
        <w:t xml:space="preserve"> τον ασθενή</w:t>
      </w:r>
      <w:r w:rsidR="0078495A">
        <w:rPr>
          <w:sz w:val="24"/>
          <w:szCs w:val="24"/>
        </w:rPr>
        <w:t xml:space="preserve"> </w:t>
      </w:r>
      <w:r w:rsidR="00C24A9C" w:rsidRPr="005A464E">
        <w:rPr>
          <w:sz w:val="24"/>
          <w:szCs w:val="24"/>
        </w:rPr>
        <w:t>ικανό</w:t>
      </w:r>
      <w:r w:rsidRPr="005A464E">
        <w:rPr>
          <w:sz w:val="24"/>
          <w:szCs w:val="24"/>
        </w:rPr>
        <w:t xml:space="preserve"> να </w:t>
      </w:r>
      <w:r w:rsidR="00C24A9C" w:rsidRPr="005A464E">
        <w:rPr>
          <w:sz w:val="24"/>
          <w:szCs w:val="24"/>
        </w:rPr>
        <w:t>λάβει</w:t>
      </w:r>
      <w:r w:rsidRPr="005A464E">
        <w:rPr>
          <w:sz w:val="24"/>
          <w:szCs w:val="24"/>
        </w:rPr>
        <w:t xml:space="preserve"> αποφάσεις σχετικά με τη συνιστώμενη θεραπεία και </w:t>
      </w:r>
      <w:r w:rsidR="00CD2E69" w:rsidRPr="005A464E">
        <w:rPr>
          <w:sz w:val="24"/>
          <w:szCs w:val="24"/>
        </w:rPr>
        <w:t>διαδικασία (</w:t>
      </w:r>
      <w:r w:rsidR="00CD2E69" w:rsidRPr="005A464E">
        <w:rPr>
          <w:sz w:val="24"/>
          <w:szCs w:val="24"/>
          <w:lang w:val="en-US"/>
        </w:rPr>
        <w:t>American</w:t>
      </w:r>
      <w:r w:rsidR="00CF0332" w:rsidRPr="005A464E">
        <w:rPr>
          <w:sz w:val="24"/>
          <w:szCs w:val="24"/>
        </w:rPr>
        <w:t xml:space="preserve"> </w:t>
      </w:r>
      <w:r w:rsidR="00CD2E69" w:rsidRPr="005A464E">
        <w:rPr>
          <w:sz w:val="24"/>
          <w:szCs w:val="24"/>
          <w:lang w:val="en-US"/>
        </w:rPr>
        <w:t>Hospital</w:t>
      </w:r>
      <w:r w:rsidR="00CF0332" w:rsidRPr="005A464E">
        <w:rPr>
          <w:sz w:val="24"/>
          <w:szCs w:val="24"/>
        </w:rPr>
        <w:t xml:space="preserve"> </w:t>
      </w:r>
      <w:r w:rsidR="00CD2E69" w:rsidRPr="005A464E">
        <w:rPr>
          <w:sz w:val="24"/>
          <w:szCs w:val="24"/>
          <w:lang w:val="en-US"/>
        </w:rPr>
        <w:t>Association</w:t>
      </w:r>
      <w:r w:rsidR="009A4DEF">
        <w:rPr>
          <w:sz w:val="24"/>
          <w:szCs w:val="24"/>
        </w:rPr>
        <w:t>,</w:t>
      </w:r>
      <w:r w:rsidR="00CD2E69" w:rsidRPr="005A464E">
        <w:rPr>
          <w:sz w:val="24"/>
          <w:szCs w:val="24"/>
        </w:rPr>
        <w:t xml:space="preserve"> 197</w:t>
      </w:r>
      <w:r w:rsidR="005D3BC8">
        <w:rPr>
          <w:sz w:val="24"/>
          <w:szCs w:val="24"/>
        </w:rPr>
        <w:t>5)</w:t>
      </w:r>
      <w:r w:rsidR="00C24A9C" w:rsidRPr="005A464E">
        <w:rPr>
          <w:i/>
          <w:sz w:val="24"/>
          <w:szCs w:val="24"/>
        </w:rPr>
        <w:t>.</w:t>
      </w:r>
    </w:p>
    <w:p w:rsidR="0063117A" w:rsidRPr="005A464E" w:rsidRDefault="0063117A" w:rsidP="0066526D">
      <w:pPr>
        <w:pStyle w:val="25"/>
        <w:numPr>
          <w:ilvl w:val="1"/>
          <w:numId w:val="102"/>
        </w:numPr>
        <w:spacing w:line="360" w:lineRule="auto"/>
        <w:rPr>
          <w:rFonts w:asciiTheme="minorHAnsi" w:hAnsiTheme="minorHAnsi"/>
          <w:lang w:eastAsia="el-GR"/>
        </w:rPr>
      </w:pPr>
      <w:bookmarkStart w:id="27" w:name="_Toc495951428"/>
      <w:r w:rsidRPr="005A464E">
        <w:rPr>
          <w:rFonts w:asciiTheme="minorHAnsi" w:hAnsiTheme="minorHAnsi"/>
          <w:lang w:eastAsia="el-GR"/>
        </w:rPr>
        <w:t>Ανίχνευση μαθησιακών αναγκών</w:t>
      </w:r>
      <w:bookmarkEnd w:id="27"/>
    </w:p>
    <w:p w:rsidR="0063117A" w:rsidRPr="005A464E" w:rsidRDefault="0063117A" w:rsidP="005A464E">
      <w:pPr>
        <w:spacing w:after="240" w:line="360" w:lineRule="auto"/>
        <w:jc w:val="both"/>
        <w:rPr>
          <w:sz w:val="24"/>
          <w:szCs w:val="24"/>
          <w:lang w:eastAsia="el-GR"/>
        </w:rPr>
      </w:pPr>
      <w:r w:rsidRPr="005A464E">
        <w:rPr>
          <w:sz w:val="24"/>
          <w:szCs w:val="24"/>
          <w:lang w:eastAsia="el-GR"/>
        </w:rPr>
        <w:t xml:space="preserve"> Ο στ</w:t>
      </w:r>
      <w:r w:rsidR="00020D6F">
        <w:rPr>
          <w:sz w:val="24"/>
          <w:szCs w:val="24"/>
          <w:lang w:eastAsia="el-GR"/>
        </w:rPr>
        <w:t xml:space="preserve">όχος στη διδασκαλία </w:t>
      </w:r>
      <w:r w:rsidR="00B0560D">
        <w:rPr>
          <w:sz w:val="24"/>
          <w:szCs w:val="24"/>
          <w:lang w:eastAsia="el-GR"/>
        </w:rPr>
        <w:t>του ασθενούς</w:t>
      </w:r>
      <w:r w:rsidR="00020D6F">
        <w:rPr>
          <w:sz w:val="24"/>
          <w:szCs w:val="24"/>
          <w:lang w:eastAsia="el-GR"/>
        </w:rPr>
        <w:t xml:space="preserve"> είναι να βοηθηθεί ο ασθενής ώστε να αποκτήσει</w:t>
      </w:r>
      <w:r w:rsidRPr="005A464E">
        <w:rPr>
          <w:sz w:val="24"/>
          <w:szCs w:val="24"/>
          <w:lang w:eastAsia="el-GR"/>
        </w:rPr>
        <w:t xml:space="preserve"> γνώσεις, δεξιότητε</w:t>
      </w:r>
      <w:r w:rsidR="0034172F">
        <w:rPr>
          <w:sz w:val="24"/>
          <w:szCs w:val="24"/>
          <w:lang w:eastAsia="el-GR"/>
        </w:rPr>
        <w:t>ς και αντιλήψεις που θα αυξήσουν</w:t>
      </w:r>
      <w:r w:rsidRPr="005A464E">
        <w:rPr>
          <w:sz w:val="24"/>
          <w:szCs w:val="24"/>
          <w:lang w:eastAsia="el-GR"/>
        </w:rPr>
        <w:t xml:space="preserve"> την πιθανότητα για θετικά αποτελέσματα υγείας. Η άποψη για τα «θετικά α</w:t>
      </w:r>
      <w:r w:rsidR="00020D6F">
        <w:rPr>
          <w:sz w:val="24"/>
          <w:szCs w:val="24"/>
          <w:lang w:eastAsia="el-GR"/>
        </w:rPr>
        <w:t>ποτελέσματα» υγείας ποικίλει. Ο</w:t>
      </w:r>
      <w:r w:rsidRPr="005A464E">
        <w:rPr>
          <w:sz w:val="24"/>
          <w:szCs w:val="24"/>
          <w:lang w:eastAsia="el-GR"/>
        </w:rPr>
        <w:t xml:space="preserve"> επα</w:t>
      </w:r>
      <w:r w:rsidR="00020D6F">
        <w:rPr>
          <w:sz w:val="24"/>
          <w:szCs w:val="24"/>
          <w:lang w:eastAsia="el-GR"/>
        </w:rPr>
        <w:t>γγελματίας υγείας και οι ασθενή</w:t>
      </w:r>
      <w:r w:rsidRPr="005A464E">
        <w:rPr>
          <w:sz w:val="24"/>
          <w:szCs w:val="24"/>
          <w:lang w:eastAsia="el-GR"/>
        </w:rPr>
        <w:t>ς ίσως έχουν</w:t>
      </w:r>
      <w:r w:rsidR="00020D6F">
        <w:rPr>
          <w:sz w:val="24"/>
          <w:szCs w:val="24"/>
          <w:lang w:eastAsia="el-GR"/>
        </w:rPr>
        <w:t xml:space="preserve"> διαφορετικές απόψεις και εάν ο επαγγελματίας υγείας δεν γνωρίζει τις απόψεις και αντιλήψεις </w:t>
      </w:r>
      <w:r w:rsidR="00B0560D">
        <w:rPr>
          <w:sz w:val="24"/>
          <w:szCs w:val="24"/>
          <w:lang w:eastAsia="el-GR"/>
        </w:rPr>
        <w:t>του ασθενούς</w:t>
      </w:r>
      <w:r w:rsidRPr="005A464E">
        <w:rPr>
          <w:sz w:val="24"/>
          <w:szCs w:val="24"/>
          <w:lang w:eastAsia="el-GR"/>
        </w:rPr>
        <w:t xml:space="preserve">, η εκπαίδευση με επίκεντρο τον ασθενή παρεμποδίζεται. </w:t>
      </w:r>
    </w:p>
    <w:p w:rsidR="0063117A" w:rsidRPr="005A464E" w:rsidRDefault="0063117A" w:rsidP="005A464E">
      <w:pPr>
        <w:spacing w:line="360" w:lineRule="auto"/>
        <w:jc w:val="both"/>
        <w:rPr>
          <w:sz w:val="24"/>
          <w:szCs w:val="24"/>
          <w:lang w:eastAsia="el-GR"/>
        </w:rPr>
      </w:pPr>
      <w:r w:rsidRPr="005A464E">
        <w:rPr>
          <w:sz w:val="24"/>
          <w:szCs w:val="24"/>
          <w:lang w:eastAsia="el-GR"/>
        </w:rPr>
        <w:t>Η παροχή πληροφοριών γίνεται συνήθως με τρόπο</w:t>
      </w:r>
      <w:r w:rsidR="0034172F">
        <w:rPr>
          <w:sz w:val="24"/>
          <w:szCs w:val="24"/>
          <w:lang w:eastAsia="el-GR"/>
        </w:rPr>
        <w:t xml:space="preserve"> «αγχώδη» από τον επαγγελματία</w:t>
      </w:r>
      <w:r w:rsidRPr="005A464E">
        <w:rPr>
          <w:sz w:val="24"/>
          <w:szCs w:val="24"/>
          <w:lang w:eastAsia="el-GR"/>
        </w:rPr>
        <w:t xml:space="preserve"> υγείας</w:t>
      </w:r>
      <w:r w:rsidR="0034172F">
        <w:rPr>
          <w:sz w:val="24"/>
          <w:szCs w:val="24"/>
          <w:lang w:eastAsia="el-GR"/>
        </w:rPr>
        <w:t xml:space="preserve"> με αποτέλεσμα οι αντιλήψεις </w:t>
      </w:r>
      <w:r w:rsidR="00B0560D">
        <w:rPr>
          <w:sz w:val="24"/>
          <w:szCs w:val="24"/>
          <w:lang w:eastAsia="el-GR"/>
        </w:rPr>
        <w:t>του ασθενούς</w:t>
      </w:r>
      <w:r w:rsidRPr="005A464E">
        <w:rPr>
          <w:sz w:val="24"/>
          <w:szCs w:val="24"/>
          <w:lang w:eastAsia="el-GR"/>
        </w:rPr>
        <w:t xml:space="preserve"> να αγνοούνται. Πριν την παροχή των πληροφοριών, ο </w:t>
      </w:r>
      <w:r w:rsidR="00AB5FB1">
        <w:rPr>
          <w:sz w:val="24"/>
          <w:szCs w:val="24"/>
          <w:lang w:eastAsia="el-GR"/>
        </w:rPr>
        <w:t xml:space="preserve">επαγγελματίας υγείας </w:t>
      </w:r>
      <w:r w:rsidRPr="005A464E">
        <w:rPr>
          <w:sz w:val="24"/>
          <w:szCs w:val="24"/>
          <w:lang w:eastAsia="el-GR"/>
        </w:rPr>
        <w:t>θα πρέπει να συγκεντρώσει την πληροφορία</w:t>
      </w:r>
      <w:r w:rsidR="0078495A">
        <w:rPr>
          <w:sz w:val="24"/>
          <w:szCs w:val="24"/>
          <w:lang w:eastAsia="el-GR"/>
        </w:rPr>
        <w:t xml:space="preserve"> </w:t>
      </w:r>
      <w:r w:rsidRPr="005A464E">
        <w:rPr>
          <w:sz w:val="24"/>
          <w:szCs w:val="24"/>
          <w:lang w:eastAsia="el-GR"/>
        </w:rPr>
        <w:t xml:space="preserve">από τον ασθενή που μπορεί να ενισχύσει τη διδασκαλία του αλλά και τη </w:t>
      </w:r>
      <w:r w:rsidRPr="000C2E9E">
        <w:rPr>
          <w:sz w:val="24"/>
          <w:szCs w:val="24"/>
          <w:lang w:eastAsia="el-GR"/>
        </w:rPr>
        <w:t>δυνατότητα να διατυπώσει τ</w:t>
      </w:r>
      <w:r w:rsidR="00D3752D" w:rsidRPr="000C2E9E">
        <w:rPr>
          <w:sz w:val="24"/>
          <w:szCs w:val="24"/>
          <w:lang w:eastAsia="el-GR"/>
        </w:rPr>
        <w:t>ις στρατηγικές που θα επιτρέπουν</w:t>
      </w:r>
      <w:r w:rsidR="00AB5FB1" w:rsidRPr="000C2E9E">
        <w:rPr>
          <w:sz w:val="24"/>
          <w:szCs w:val="24"/>
          <w:lang w:eastAsia="el-GR"/>
        </w:rPr>
        <w:t xml:space="preserve"> στον ασθενή να επιτύχει</w:t>
      </w:r>
      <w:r w:rsidRPr="000C2E9E">
        <w:rPr>
          <w:sz w:val="24"/>
          <w:szCs w:val="24"/>
          <w:lang w:eastAsia="el-GR"/>
        </w:rPr>
        <w:t xml:space="preserve"> </w:t>
      </w:r>
      <w:r w:rsidR="0034172F" w:rsidRPr="000C2E9E">
        <w:rPr>
          <w:sz w:val="24"/>
          <w:szCs w:val="24"/>
          <w:lang w:eastAsia="el-GR"/>
        </w:rPr>
        <w:t>αμοιβαία</w:t>
      </w:r>
      <w:r w:rsidRPr="000C2E9E">
        <w:rPr>
          <w:sz w:val="24"/>
          <w:szCs w:val="24"/>
          <w:lang w:eastAsia="el-GR"/>
        </w:rPr>
        <w:t xml:space="preserve"> αποδεκτούς</w:t>
      </w:r>
      <w:r w:rsidRPr="005A464E">
        <w:rPr>
          <w:sz w:val="24"/>
          <w:szCs w:val="24"/>
          <w:lang w:eastAsia="el-GR"/>
        </w:rPr>
        <w:t xml:space="preserve"> στόχους. </w:t>
      </w:r>
      <w:r w:rsidR="00817853">
        <w:rPr>
          <w:sz w:val="24"/>
          <w:szCs w:val="24"/>
          <w:lang w:eastAsia="el-GR"/>
        </w:rPr>
        <w:t>Μια</w:t>
      </w:r>
      <w:r w:rsidRPr="005A464E">
        <w:rPr>
          <w:sz w:val="24"/>
          <w:szCs w:val="24"/>
          <w:lang w:eastAsia="el-GR"/>
        </w:rPr>
        <w:t xml:space="preserve"> τέτοια διαδικασία περιλαμβάνει και τους αναγνωριστικούς παράγοντες που έχουν επίδραση στη συμπερι</w:t>
      </w:r>
      <w:r w:rsidR="00AB5FB1">
        <w:rPr>
          <w:sz w:val="24"/>
          <w:szCs w:val="24"/>
          <w:lang w:eastAsia="el-GR"/>
        </w:rPr>
        <w:t xml:space="preserve">φορά και τα κίνητρα </w:t>
      </w:r>
      <w:r w:rsidR="00B0560D">
        <w:rPr>
          <w:sz w:val="24"/>
          <w:szCs w:val="24"/>
          <w:lang w:eastAsia="el-GR"/>
        </w:rPr>
        <w:t>του ασθενούς</w:t>
      </w:r>
      <w:r w:rsidR="00AB5FB1">
        <w:rPr>
          <w:sz w:val="24"/>
          <w:szCs w:val="24"/>
          <w:lang w:eastAsia="el-GR"/>
        </w:rPr>
        <w:t>. Αυτό βοηθά τον</w:t>
      </w:r>
      <w:r w:rsidRPr="005A464E">
        <w:rPr>
          <w:sz w:val="24"/>
          <w:szCs w:val="24"/>
          <w:lang w:eastAsia="el-GR"/>
        </w:rPr>
        <w:t xml:space="preserve"> </w:t>
      </w:r>
      <w:r w:rsidR="00AB5FB1">
        <w:rPr>
          <w:sz w:val="24"/>
          <w:szCs w:val="24"/>
          <w:lang w:eastAsia="el-GR"/>
        </w:rPr>
        <w:t>επαγγελματία υγείας να εργασθεί με τον ασθενή, να προσδιορίσει</w:t>
      </w:r>
      <w:r w:rsidRPr="005A464E">
        <w:rPr>
          <w:sz w:val="24"/>
          <w:szCs w:val="24"/>
          <w:lang w:eastAsia="el-GR"/>
        </w:rPr>
        <w:t xml:space="preserve"> στρατηγικές μέσα στο πλαίσιο αναφοράς </w:t>
      </w:r>
      <w:r w:rsidR="00B0560D">
        <w:rPr>
          <w:sz w:val="24"/>
          <w:szCs w:val="24"/>
          <w:lang w:eastAsia="el-GR"/>
        </w:rPr>
        <w:t>του ασθενούς</w:t>
      </w:r>
      <w:r w:rsidRPr="005A464E">
        <w:rPr>
          <w:sz w:val="24"/>
          <w:szCs w:val="24"/>
          <w:lang w:eastAsia="el-GR"/>
        </w:rPr>
        <w:t xml:space="preserve"> οι οποίες θα βοηθήσουν την ικανότητα </w:t>
      </w:r>
      <w:r w:rsidR="00B0560D">
        <w:rPr>
          <w:sz w:val="24"/>
          <w:szCs w:val="24"/>
          <w:lang w:eastAsia="el-GR"/>
        </w:rPr>
        <w:t>του ασθενούς</w:t>
      </w:r>
      <w:r w:rsidRPr="005A464E">
        <w:rPr>
          <w:sz w:val="24"/>
          <w:szCs w:val="24"/>
          <w:lang w:eastAsia="el-GR"/>
        </w:rPr>
        <w:t xml:space="preserve"> να εφαρμόσει τις συστάσεις.</w:t>
      </w:r>
    </w:p>
    <w:p w:rsidR="0063117A" w:rsidRPr="00A600AE" w:rsidRDefault="00AB5FB1" w:rsidP="005A464E">
      <w:pPr>
        <w:spacing w:line="360" w:lineRule="auto"/>
        <w:jc w:val="both"/>
        <w:rPr>
          <w:sz w:val="24"/>
          <w:szCs w:val="24"/>
          <w:lang w:eastAsia="el-GR"/>
        </w:rPr>
      </w:pPr>
      <w:r>
        <w:rPr>
          <w:sz w:val="24"/>
          <w:szCs w:val="24"/>
          <w:lang w:eastAsia="el-GR"/>
        </w:rPr>
        <w:t>Οι ανάγκες ενός ασθενή</w:t>
      </w:r>
      <w:r w:rsidR="0063117A" w:rsidRPr="005A464E">
        <w:rPr>
          <w:sz w:val="24"/>
          <w:szCs w:val="24"/>
          <w:lang w:eastAsia="el-GR"/>
        </w:rPr>
        <w:t xml:space="preserve"> μπορεί να αναφέρονται στην άμεση εκπαιδευτική κατάσταση. Για παράδειγμα, στην κατάστασ</w:t>
      </w:r>
      <w:r>
        <w:rPr>
          <w:sz w:val="24"/>
          <w:szCs w:val="24"/>
          <w:lang w:eastAsia="el-GR"/>
        </w:rPr>
        <w:t>η</w:t>
      </w:r>
      <w:r w:rsidR="0063117A" w:rsidRPr="005A464E">
        <w:rPr>
          <w:sz w:val="24"/>
          <w:szCs w:val="24"/>
          <w:lang w:eastAsia="el-GR"/>
        </w:rPr>
        <w:t xml:space="preserve"> </w:t>
      </w:r>
      <w:r>
        <w:rPr>
          <w:sz w:val="24"/>
          <w:szCs w:val="24"/>
          <w:lang w:eastAsia="el-GR"/>
        </w:rPr>
        <w:t xml:space="preserve">κατά τη διάρκεια της οποίας </w:t>
      </w:r>
      <w:r w:rsidR="0063117A" w:rsidRPr="005A464E">
        <w:rPr>
          <w:sz w:val="24"/>
          <w:szCs w:val="24"/>
          <w:lang w:eastAsia="el-GR"/>
        </w:rPr>
        <w:t xml:space="preserve">ο ασθενής νιώθει πόνο, βιώνει άγχος ή γενικά δεν είναι σε θέση να λάβει πληροφορία τη συγκεκριμένη στιγμή, οι εκπαιδευτικές προσπάθειες είναι πιθανό να μην είναι αποτελεσματικές. Κάτω από αυτές τις καταστάσεις, ανεξάρτητα από το πόσο κρίσιμη μπορεί να </w:t>
      </w:r>
      <w:r w:rsidR="00385993">
        <w:rPr>
          <w:sz w:val="24"/>
          <w:szCs w:val="24"/>
          <w:lang w:eastAsia="el-GR"/>
        </w:rPr>
        <w:t xml:space="preserve">είναι η διδασκαλία </w:t>
      </w:r>
      <w:r w:rsidR="00B0560D">
        <w:rPr>
          <w:sz w:val="24"/>
          <w:szCs w:val="24"/>
          <w:lang w:eastAsia="el-GR"/>
        </w:rPr>
        <w:t>του ασθενούς</w:t>
      </w:r>
      <w:r w:rsidR="00385993">
        <w:rPr>
          <w:sz w:val="24"/>
          <w:szCs w:val="24"/>
          <w:lang w:eastAsia="el-GR"/>
        </w:rPr>
        <w:t>,</w:t>
      </w:r>
      <w:r w:rsidR="0063117A" w:rsidRPr="005A464E">
        <w:rPr>
          <w:sz w:val="24"/>
          <w:szCs w:val="24"/>
          <w:lang w:eastAsia="el-GR"/>
        </w:rPr>
        <w:t xml:space="preserve"> η διεξαγωγή της διδασκαλίας θα οδηγήσει σε λιγότερο ικανοποιητικά αποτε</w:t>
      </w:r>
      <w:r w:rsidR="00385993">
        <w:rPr>
          <w:sz w:val="24"/>
          <w:szCs w:val="24"/>
          <w:lang w:eastAsia="el-GR"/>
        </w:rPr>
        <w:t xml:space="preserve">λέσματα. Οι ανάγκες </w:t>
      </w:r>
      <w:r w:rsidR="00B0560D">
        <w:rPr>
          <w:sz w:val="24"/>
          <w:szCs w:val="24"/>
          <w:lang w:eastAsia="el-GR"/>
        </w:rPr>
        <w:t>του ασθενούς</w:t>
      </w:r>
      <w:r w:rsidR="0063117A" w:rsidRPr="005A464E">
        <w:rPr>
          <w:sz w:val="24"/>
          <w:szCs w:val="24"/>
          <w:lang w:eastAsia="el-GR"/>
        </w:rPr>
        <w:t xml:space="preserve"> μπορεί, επίσης, να ενισ</w:t>
      </w:r>
      <w:r w:rsidR="00385993">
        <w:rPr>
          <w:sz w:val="24"/>
          <w:szCs w:val="24"/>
          <w:lang w:eastAsia="el-GR"/>
        </w:rPr>
        <w:t xml:space="preserve">χύουν την ικανότητα </w:t>
      </w:r>
      <w:r w:rsidR="00B0560D">
        <w:rPr>
          <w:sz w:val="24"/>
          <w:szCs w:val="24"/>
          <w:lang w:eastAsia="el-GR"/>
        </w:rPr>
        <w:t>του ασθενούς</w:t>
      </w:r>
      <w:r w:rsidR="0063117A" w:rsidRPr="005A464E">
        <w:rPr>
          <w:sz w:val="24"/>
          <w:szCs w:val="24"/>
          <w:lang w:eastAsia="el-GR"/>
        </w:rPr>
        <w:t xml:space="preserve"> να εκτελέσεις τις οδηγίες ή να αποτελούν εμπόδια στην εκτέλεση των οδηγιών. Φυσικά, ψυχολογικά, κοινωνικά ή πολιτιστικά εμπόδια μπορεί να παρεμβαίνουν στην δεκτικ</w:t>
      </w:r>
      <w:r w:rsidR="00385993">
        <w:rPr>
          <w:sz w:val="24"/>
          <w:szCs w:val="24"/>
          <w:lang w:eastAsia="el-GR"/>
        </w:rPr>
        <w:t xml:space="preserve">ότητα και ικανότητα </w:t>
      </w:r>
      <w:r w:rsidR="00B0560D">
        <w:rPr>
          <w:sz w:val="24"/>
          <w:szCs w:val="24"/>
          <w:lang w:eastAsia="el-GR"/>
        </w:rPr>
        <w:t>του ασθενούς</w:t>
      </w:r>
      <w:r w:rsidR="0063117A" w:rsidRPr="005A464E">
        <w:rPr>
          <w:sz w:val="24"/>
          <w:szCs w:val="24"/>
          <w:lang w:eastAsia="el-GR"/>
        </w:rPr>
        <w:t xml:space="preserve"> να μάθει ή να εκτελέσει τις οδηγίες</w:t>
      </w:r>
      <w:r w:rsidR="00D72703" w:rsidRPr="005A464E">
        <w:rPr>
          <w:sz w:val="24"/>
          <w:szCs w:val="24"/>
          <w:lang w:eastAsia="el-GR"/>
        </w:rPr>
        <w:t xml:space="preserve"> (</w:t>
      </w:r>
      <w:r w:rsidR="00D3752D" w:rsidRPr="005A464E">
        <w:rPr>
          <w:sz w:val="24"/>
          <w:szCs w:val="24"/>
          <w:lang w:val="en-US" w:eastAsia="el-GR"/>
        </w:rPr>
        <w:t>Falvo</w:t>
      </w:r>
      <w:r w:rsidR="00D3752D" w:rsidRPr="00D60706">
        <w:rPr>
          <w:sz w:val="24"/>
          <w:szCs w:val="24"/>
          <w:lang w:eastAsia="el-GR"/>
        </w:rPr>
        <w:t>,</w:t>
      </w:r>
      <w:r w:rsidR="00D3752D" w:rsidRPr="005A464E">
        <w:rPr>
          <w:sz w:val="24"/>
          <w:szCs w:val="24"/>
          <w:lang w:eastAsia="el-GR"/>
        </w:rPr>
        <w:t xml:space="preserve"> 2010; </w:t>
      </w:r>
      <w:r w:rsidR="00D3752D" w:rsidRPr="005A464E">
        <w:rPr>
          <w:sz w:val="24"/>
          <w:szCs w:val="24"/>
          <w:lang w:val="en-US" w:eastAsia="el-GR"/>
        </w:rPr>
        <w:t>Polat</w:t>
      </w:r>
      <w:r w:rsidR="00D3752D" w:rsidRPr="00A600AE">
        <w:rPr>
          <w:sz w:val="24"/>
          <w:szCs w:val="24"/>
          <w:lang w:eastAsia="el-GR"/>
        </w:rPr>
        <w:t xml:space="preserve">, </w:t>
      </w:r>
      <w:r w:rsidR="00D3752D" w:rsidRPr="00A600AE">
        <w:rPr>
          <w:rFonts w:asciiTheme="minorHAnsi" w:hAnsiTheme="minorHAnsi" w:cs="Arial"/>
          <w:sz w:val="24"/>
          <w:szCs w:val="24"/>
          <w:shd w:val="clear" w:color="auto" w:fill="FFFFFF"/>
          <w:lang w:val="en-US"/>
        </w:rPr>
        <w:t>Celik</w:t>
      </w:r>
      <w:r w:rsidR="00D3752D" w:rsidRPr="00A600AE">
        <w:rPr>
          <w:rFonts w:asciiTheme="minorHAnsi" w:hAnsiTheme="minorHAnsi" w:cs="Arial"/>
          <w:sz w:val="24"/>
          <w:szCs w:val="24"/>
          <w:shd w:val="clear" w:color="auto" w:fill="FFFFFF"/>
        </w:rPr>
        <w:t xml:space="preserve">, </w:t>
      </w:r>
      <w:r w:rsidR="00D3752D" w:rsidRPr="00A600AE">
        <w:rPr>
          <w:rFonts w:asciiTheme="minorHAnsi" w:hAnsiTheme="minorHAnsi" w:cs="Arial"/>
          <w:sz w:val="24"/>
          <w:szCs w:val="24"/>
          <w:shd w:val="clear" w:color="auto" w:fill="FFFFFF"/>
          <w:lang w:val="en-US"/>
        </w:rPr>
        <w:t>Erkan</w:t>
      </w:r>
      <w:r w:rsidR="00D3752D" w:rsidRPr="00A600AE">
        <w:rPr>
          <w:rFonts w:asciiTheme="minorHAnsi" w:hAnsiTheme="minorHAnsi" w:cs="Arial"/>
          <w:sz w:val="24"/>
          <w:szCs w:val="24"/>
          <w:shd w:val="clear" w:color="auto" w:fill="FFFFFF"/>
        </w:rPr>
        <w:t xml:space="preserve">, &amp; </w:t>
      </w:r>
      <w:r w:rsidR="00D3752D" w:rsidRPr="00A600AE">
        <w:rPr>
          <w:rFonts w:asciiTheme="minorHAnsi" w:hAnsiTheme="minorHAnsi" w:cs="Arial"/>
          <w:sz w:val="24"/>
          <w:szCs w:val="24"/>
          <w:shd w:val="clear" w:color="auto" w:fill="FFFFFF"/>
          <w:lang w:val="en-US"/>
        </w:rPr>
        <w:t>Kasali</w:t>
      </w:r>
      <w:r w:rsidR="00D3752D" w:rsidRPr="00A600AE">
        <w:rPr>
          <w:rFonts w:asciiTheme="minorHAnsi" w:hAnsiTheme="minorHAnsi" w:cs="Arial"/>
          <w:sz w:val="24"/>
          <w:szCs w:val="24"/>
          <w:shd w:val="clear" w:color="auto" w:fill="FFFFFF"/>
        </w:rPr>
        <w:t>,</w:t>
      </w:r>
      <w:r w:rsidR="00D3752D" w:rsidRPr="00A600AE">
        <w:rPr>
          <w:sz w:val="24"/>
          <w:szCs w:val="24"/>
          <w:lang w:eastAsia="el-GR"/>
        </w:rPr>
        <w:t xml:space="preserve"> 2014</w:t>
      </w:r>
      <w:r w:rsidR="00D3752D">
        <w:rPr>
          <w:sz w:val="24"/>
          <w:szCs w:val="24"/>
          <w:lang w:eastAsia="el-GR"/>
        </w:rPr>
        <w:t xml:space="preserve">; </w:t>
      </w:r>
      <w:r w:rsidR="0020380A" w:rsidRPr="005A464E">
        <w:rPr>
          <w:sz w:val="24"/>
          <w:szCs w:val="24"/>
          <w:lang w:val="en-US" w:eastAsia="el-GR"/>
        </w:rPr>
        <w:t>Akkuzu</w:t>
      </w:r>
      <w:r w:rsidR="0020380A" w:rsidRPr="005A464E">
        <w:rPr>
          <w:sz w:val="24"/>
          <w:szCs w:val="24"/>
          <w:lang w:eastAsia="el-GR"/>
        </w:rPr>
        <w:t xml:space="preserve"> </w:t>
      </w:r>
      <w:r w:rsidR="00566CAA">
        <w:rPr>
          <w:sz w:val="24"/>
          <w:szCs w:val="24"/>
          <w:lang w:eastAsia="el-GR"/>
        </w:rPr>
        <w:t>et al</w:t>
      </w:r>
      <w:r w:rsidR="00D60706" w:rsidRPr="00D60706">
        <w:rPr>
          <w:sz w:val="24"/>
          <w:szCs w:val="24"/>
          <w:lang w:eastAsia="el-GR"/>
        </w:rPr>
        <w:t>.</w:t>
      </w:r>
      <w:r w:rsidR="00FD229A">
        <w:rPr>
          <w:sz w:val="24"/>
          <w:szCs w:val="24"/>
          <w:lang w:eastAsia="el-GR"/>
        </w:rPr>
        <w:t>,</w:t>
      </w:r>
      <w:r w:rsidR="00D3752D">
        <w:rPr>
          <w:sz w:val="24"/>
          <w:szCs w:val="24"/>
          <w:lang w:eastAsia="el-GR"/>
        </w:rPr>
        <w:t xml:space="preserve"> 2016</w:t>
      </w:r>
      <w:r w:rsidR="00D72703" w:rsidRPr="00A600AE">
        <w:rPr>
          <w:sz w:val="24"/>
          <w:szCs w:val="24"/>
          <w:lang w:eastAsia="el-GR"/>
        </w:rPr>
        <w:t>)</w:t>
      </w:r>
      <w:r w:rsidR="0063117A" w:rsidRPr="00A600AE">
        <w:rPr>
          <w:sz w:val="24"/>
          <w:szCs w:val="24"/>
          <w:lang w:eastAsia="el-GR"/>
        </w:rPr>
        <w:t>.</w:t>
      </w:r>
    </w:p>
    <w:p w:rsidR="0063117A" w:rsidRPr="005A464E" w:rsidRDefault="0063117A" w:rsidP="0066526D">
      <w:pPr>
        <w:pStyle w:val="25"/>
        <w:numPr>
          <w:ilvl w:val="1"/>
          <w:numId w:val="103"/>
        </w:numPr>
        <w:spacing w:after="240" w:line="360" w:lineRule="auto"/>
        <w:rPr>
          <w:rFonts w:asciiTheme="minorHAnsi" w:hAnsiTheme="minorHAnsi"/>
          <w:lang w:eastAsia="el-GR"/>
        </w:rPr>
      </w:pPr>
      <w:bookmarkStart w:id="28" w:name="_Toc495951429"/>
      <w:r w:rsidRPr="005A464E">
        <w:rPr>
          <w:rFonts w:asciiTheme="minorHAnsi" w:hAnsiTheme="minorHAnsi"/>
          <w:lang w:eastAsia="el-GR"/>
        </w:rPr>
        <w:t>Σχεδίαση του εκπαιδευτικού πλάνου</w:t>
      </w:r>
      <w:bookmarkEnd w:id="28"/>
    </w:p>
    <w:p w:rsidR="0063117A" w:rsidRPr="005A464E" w:rsidRDefault="0063117A" w:rsidP="005A464E">
      <w:pPr>
        <w:spacing w:after="240" w:line="360" w:lineRule="auto"/>
        <w:jc w:val="both"/>
        <w:rPr>
          <w:sz w:val="24"/>
          <w:szCs w:val="24"/>
          <w:lang w:eastAsia="el-GR"/>
        </w:rPr>
      </w:pPr>
      <w:r w:rsidRPr="005A464E">
        <w:rPr>
          <w:sz w:val="24"/>
          <w:szCs w:val="24"/>
          <w:lang w:eastAsia="el-GR"/>
        </w:rPr>
        <w:t>Το γνωστικό επίπε</w:t>
      </w:r>
      <w:r w:rsidR="00DD5852" w:rsidRPr="005A464E">
        <w:rPr>
          <w:sz w:val="24"/>
          <w:szCs w:val="24"/>
          <w:lang w:eastAsia="el-GR"/>
        </w:rPr>
        <w:t>δο</w:t>
      </w:r>
      <w:r w:rsidR="0078495A">
        <w:rPr>
          <w:sz w:val="24"/>
          <w:szCs w:val="24"/>
          <w:lang w:eastAsia="el-GR"/>
        </w:rPr>
        <w:t xml:space="preserve"> </w:t>
      </w:r>
      <w:r w:rsidR="00B0560D">
        <w:rPr>
          <w:sz w:val="24"/>
          <w:szCs w:val="24"/>
          <w:lang w:eastAsia="el-GR"/>
        </w:rPr>
        <w:t>του ασθενούς</w:t>
      </w:r>
      <w:r w:rsidR="00DD5852" w:rsidRPr="005A464E">
        <w:rPr>
          <w:sz w:val="24"/>
          <w:szCs w:val="24"/>
          <w:lang w:eastAsia="el-GR"/>
        </w:rPr>
        <w:t xml:space="preserve"> πρέπει, επίσης</w:t>
      </w:r>
      <w:r w:rsidRPr="005A464E">
        <w:rPr>
          <w:sz w:val="24"/>
          <w:szCs w:val="24"/>
          <w:lang w:eastAsia="el-GR"/>
        </w:rPr>
        <w:t xml:space="preserve">, να </w:t>
      </w:r>
      <w:r w:rsidRPr="000C2E9E">
        <w:rPr>
          <w:sz w:val="24"/>
          <w:szCs w:val="24"/>
          <w:lang w:eastAsia="el-GR"/>
        </w:rPr>
        <w:t>λαμβάνεται υπ</w:t>
      </w:r>
      <w:r w:rsidR="00385993" w:rsidRPr="000C2E9E">
        <w:rPr>
          <w:sz w:val="24"/>
          <w:szCs w:val="24"/>
          <w:lang w:eastAsia="el-GR"/>
        </w:rPr>
        <w:t xml:space="preserve">’ </w:t>
      </w:r>
      <w:r w:rsidRPr="000C2E9E">
        <w:rPr>
          <w:sz w:val="24"/>
          <w:szCs w:val="24"/>
          <w:lang w:eastAsia="el-GR"/>
        </w:rPr>
        <w:t>όψιν.</w:t>
      </w:r>
      <w:r w:rsidR="00D34568" w:rsidRPr="000C2E9E">
        <w:rPr>
          <w:sz w:val="24"/>
          <w:szCs w:val="24"/>
          <w:lang w:eastAsia="el-GR"/>
        </w:rPr>
        <w:t xml:space="preserve"> Η σχεδίαση του εκαπιδευτικού πλάνου περιλαμβάνει ενδεικτικά τα ακόλουθα ερωτήματα:</w:t>
      </w:r>
      <w:r w:rsidRPr="000C2E9E">
        <w:rPr>
          <w:sz w:val="24"/>
          <w:szCs w:val="24"/>
          <w:lang w:eastAsia="el-GR"/>
        </w:rPr>
        <w:t xml:space="preserve"> Έχει ο ασθενής την επαρκή γνώση ώστε να εκτελέσει τις οδηγίες; Κατανοεί τον λόγο για τον οποίο οι οδηγίες είναι σημαντικές; Μήπως οι οδηγίες θα πρέπει να παρουσιαστούν με διαφορετικό τρόπο ώστε να είναι κατανοητές; Μήπως η πληροφορία θα πρέπει να διαχωριστεί σε μικρότερα μέρ</w:t>
      </w:r>
      <w:r w:rsidR="00581298" w:rsidRPr="000C2E9E">
        <w:rPr>
          <w:sz w:val="24"/>
          <w:szCs w:val="24"/>
          <w:lang w:eastAsia="el-GR"/>
        </w:rPr>
        <w:t>η ώστε ο ασθενής να την αφομοιώ</w:t>
      </w:r>
      <w:r w:rsidRPr="000C2E9E">
        <w:rPr>
          <w:sz w:val="24"/>
          <w:szCs w:val="24"/>
          <w:lang w:eastAsia="el-GR"/>
        </w:rPr>
        <w:t xml:space="preserve">σει καλύτερα; </w:t>
      </w:r>
      <w:r w:rsidR="00B51782" w:rsidRPr="000C2E9E">
        <w:rPr>
          <w:sz w:val="24"/>
          <w:szCs w:val="24"/>
          <w:lang w:eastAsia="el-GR"/>
        </w:rPr>
        <w:t>Οι αντιλήψεις για την ασθένεια</w:t>
      </w:r>
      <w:r w:rsidRPr="000C2E9E">
        <w:rPr>
          <w:sz w:val="24"/>
          <w:szCs w:val="24"/>
          <w:lang w:eastAsia="el-GR"/>
        </w:rPr>
        <w:t xml:space="preserve">, η αποδοχή της νόσου, κοινωνικοί παράγοντες </w:t>
      </w:r>
      <w:r w:rsidR="00B51782" w:rsidRPr="000C2E9E">
        <w:rPr>
          <w:sz w:val="24"/>
          <w:szCs w:val="24"/>
          <w:lang w:eastAsia="el-GR"/>
        </w:rPr>
        <w:t>(</w:t>
      </w:r>
      <w:r w:rsidRPr="000C2E9E">
        <w:rPr>
          <w:sz w:val="24"/>
          <w:szCs w:val="24"/>
          <w:lang w:eastAsia="el-GR"/>
        </w:rPr>
        <w:t>κοινωνική στήριξη από την οικογένεια και τους φίλους</w:t>
      </w:r>
      <w:r w:rsidR="00B51782" w:rsidRPr="000C2E9E">
        <w:rPr>
          <w:sz w:val="24"/>
          <w:szCs w:val="24"/>
          <w:lang w:eastAsia="el-GR"/>
        </w:rPr>
        <w:t>)</w:t>
      </w:r>
      <w:r w:rsidRPr="000C2E9E">
        <w:rPr>
          <w:sz w:val="24"/>
          <w:szCs w:val="24"/>
          <w:lang w:eastAsia="el-GR"/>
        </w:rPr>
        <w:t xml:space="preserve">, </w:t>
      </w:r>
      <w:r w:rsidR="00D3752D" w:rsidRPr="000C2E9E">
        <w:rPr>
          <w:sz w:val="24"/>
          <w:szCs w:val="24"/>
          <w:lang w:eastAsia="el-GR"/>
        </w:rPr>
        <w:t xml:space="preserve">το </w:t>
      </w:r>
      <w:r w:rsidRPr="000C2E9E">
        <w:rPr>
          <w:sz w:val="24"/>
          <w:szCs w:val="24"/>
          <w:lang w:eastAsia="el-GR"/>
        </w:rPr>
        <w:t>πολιτιστι</w:t>
      </w:r>
      <w:r w:rsidR="00440531" w:rsidRPr="000C2E9E">
        <w:rPr>
          <w:sz w:val="24"/>
          <w:szCs w:val="24"/>
          <w:lang w:eastAsia="el-GR"/>
        </w:rPr>
        <w:t xml:space="preserve">κό επίπεδο, </w:t>
      </w:r>
      <w:r w:rsidR="00D3752D" w:rsidRPr="000C2E9E">
        <w:rPr>
          <w:sz w:val="24"/>
          <w:szCs w:val="24"/>
          <w:lang w:eastAsia="el-GR"/>
        </w:rPr>
        <w:t xml:space="preserve">οι </w:t>
      </w:r>
      <w:r w:rsidR="00440531" w:rsidRPr="000C2E9E">
        <w:rPr>
          <w:sz w:val="24"/>
          <w:szCs w:val="24"/>
          <w:lang w:eastAsia="el-GR"/>
        </w:rPr>
        <w:t>θρησκευτικές αξίες και</w:t>
      </w:r>
      <w:r w:rsidR="00B51782" w:rsidRPr="000C2E9E">
        <w:rPr>
          <w:sz w:val="24"/>
          <w:szCs w:val="24"/>
          <w:lang w:eastAsia="el-GR"/>
        </w:rPr>
        <w:t xml:space="preserve"> το</w:t>
      </w:r>
      <w:r w:rsidR="00440531" w:rsidRPr="000C2E9E">
        <w:rPr>
          <w:sz w:val="24"/>
          <w:szCs w:val="24"/>
          <w:lang w:eastAsia="el-GR"/>
        </w:rPr>
        <w:t xml:space="preserve"> </w:t>
      </w:r>
      <w:r w:rsidRPr="000C2E9E">
        <w:rPr>
          <w:sz w:val="24"/>
          <w:szCs w:val="24"/>
          <w:lang w:eastAsia="el-GR"/>
        </w:rPr>
        <w:t>εκπαιδευτικό περιβάλλον μπορεί να επηρεάσουν τη μάθηση. Η αναγ</w:t>
      </w:r>
      <w:r w:rsidR="00DD5852" w:rsidRPr="000C2E9E">
        <w:rPr>
          <w:sz w:val="24"/>
          <w:szCs w:val="24"/>
          <w:lang w:eastAsia="el-GR"/>
        </w:rPr>
        <w:t>νώριση των ατομικών, κοινωνικών</w:t>
      </w:r>
      <w:r w:rsidRPr="005A464E">
        <w:rPr>
          <w:sz w:val="24"/>
          <w:szCs w:val="24"/>
          <w:lang w:eastAsia="el-GR"/>
        </w:rPr>
        <w:t xml:space="preserve">, περιβαλλοντικών και κλινικών παραγόντων για τον κάθε ασθενή παρέχει την πληροφορία που θα προσδιορίσει την κατάλληλη εκπαιδευτική προσέγγιση ώστε να ενισχυθεί η ικανότητα </w:t>
      </w:r>
      <w:r w:rsidR="00B0560D">
        <w:rPr>
          <w:sz w:val="24"/>
          <w:szCs w:val="24"/>
          <w:lang w:eastAsia="el-GR"/>
        </w:rPr>
        <w:t>του ασθενούς</w:t>
      </w:r>
      <w:r w:rsidRPr="005A464E">
        <w:rPr>
          <w:sz w:val="24"/>
          <w:szCs w:val="24"/>
          <w:lang w:eastAsia="el-GR"/>
        </w:rPr>
        <w:t xml:space="preserve"> να ακολουθήσει τις συστάσεις. Η αναγνώριση των πιθανών εμποδίων θα βοηθήσει τον </w:t>
      </w:r>
      <w:r w:rsidR="00385993">
        <w:rPr>
          <w:sz w:val="24"/>
          <w:szCs w:val="24"/>
          <w:lang w:eastAsia="el-GR"/>
        </w:rPr>
        <w:t>επαγγελματία υγείας</w:t>
      </w:r>
      <w:r w:rsidRPr="005A464E">
        <w:rPr>
          <w:sz w:val="24"/>
          <w:szCs w:val="24"/>
          <w:lang w:eastAsia="el-GR"/>
        </w:rPr>
        <w:t xml:space="preserve"> να </w:t>
      </w:r>
      <w:r w:rsidR="00385993">
        <w:rPr>
          <w:sz w:val="24"/>
          <w:szCs w:val="24"/>
          <w:lang w:eastAsia="el-GR"/>
        </w:rPr>
        <w:t>ξεκινήσει</w:t>
      </w:r>
      <w:r w:rsidRPr="005A464E">
        <w:rPr>
          <w:sz w:val="24"/>
          <w:szCs w:val="24"/>
          <w:lang w:eastAsia="el-GR"/>
        </w:rPr>
        <w:t xml:space="preserve"> έναν διάλογο για την επίλυση του προβλήματος. Μέσα από την ανοιχτή συζήτηση μπορούν να βρεθούν εναλλακτικές λύσεις για θετικά αποτελέσματα υγείας</w:t>
      </w:r>
      <w:r w:rsidR="00846659" w:rsidRPr="00846659">
        <w:rPr>
          <w:sz w:val="24"/>
          <w:szCs w:val="24"/>
          <w:lang w:eastAsia="el-GR"/>
        </w:rPr>
        <w:t xml:space="preserve"> </w:t>
      </w:r>
      <w:r w:rsidR="00846659">
        <w:rPr>
          <w:sz w:val="24"/>
          <w:szCs w:val="24"/>
          <w:lang w:eastAsia="el-GR"/>
        </w:rPr>
        <w:t>(</w:t>
      </w:r>
      <w:r w:rsidR="00846659" w:rsidRPr="005A464E">
        <w:rPr>
          <w:sz w:val="24"/>
          <w:szCs w:val="24"/>
          <w:lang w:val="en-US" w:eastAsia="el-GR"/>
        </w:rPr>
        <w:t>Falvo</w:t>
      </w:r>
      <w:r w:rsidR="00846659" w:rsidRPr="00D60706">
        <w:rPr>
          <w:sz w:val="24"/>
          <w:szCs w:val="24"/>
          <w:lang w:eastAsia="el-GR"/>
        </w:rPr>
        <w:t>,</w:t>
      </w:r>
      <w:r w:rsidR="00846659" w:rsidRPr="005A464E">
        <w:rPr>
          <w:sz w:val="24"/>
          <w:szCs w:val="24"/>
          <w:lang w:eastAsia="el-GR"/>
        </w:rPr>
        <w:t xml:space="preserve"> 2010</w:t>
      </w:r>
      <w:r w:rsidR="00846659">
        <w:rPr>
          <w:sz w:val="24"/>
          <w:szCs w:val="24"/>
          <w:lang w:eastAsia="el-GR"/>
        </w:rPr>
        <w:t>)</w:t>
      </w:r>
      <w:r w:rsidRPr="005A464E">
        <w:rPr>
          <w:sz w:val="24"/>
          <w:szCs w:val="24"/>
          <w:lang w:eastAsia="el-GR"/>
        </w:rPr>
        <w:t>.</w:t>
      </w:r>
    </w:p>
    <w:p w:rsidR="0063117A" w:rsidRPr="005A464E" w:rsidRDefault="0063117A" w:rsidP="005A464E">
      <w:pPr>
        <w:spacing w:line="360" w:lineRule="auto"/>
        <w:jc w:val="both"/>
        <w:rPr>
          <w:sz w:val="24"/>
          <w:szCs w:val="24"/>
          <w:lang w:eastAsia="el-GR"/>
        </w:rPr>
      </w:pPr>
      <w:r w:rsidRPr="005A464E">
        <w:rPr>
          <w:sz w:val="24"/>
          <w:szCs w:val="24"/>
          <w:lang w:eastAsia="el-GR"/>
        </w:rPr>
        <w:t xml:space="preserve">Η αξιολόγηση των δυνατών και αδύνατων σημείων </w:t>
      </w:r>
      <w:r w:rsidR="00B0560D">
        <w:rPr>
          <w:sz w:val="24"/>
          <w:szCs w:val="24"/>
          <w:lang w:eastAsia="el-GR"/>
        </w:rPr>
        <w:t>του ασθενούς</w:t>
      </w:r>
      <w:r w:rsidRPr="005A464E">
        <w:rPr>
          <w:sz w:val="24"/>
          <w:szCs w:val="24"/>
          <w:lang w:eastAsia="el-GR"/>
        </w:rPr>
        <w:t xml:space="preserve"> θα επηρεάσει την επιλογή των λέξεων που θα χρησιμοποιήσει</w:t>
      </w:r>
      <w:r w:rsidR="00846659">
        <w:rPr>
          <w:sz w:val="24"/>
          <w:szCs w:val="24"/>
          <w:lang w:eastAsia="el-GR"/>
        </w:rPr>
        <w:t xml:space="preserve"> ο επαγγελματίας υγείας</w:t>
      </w:r>
      <w:r w:rsidRPr="005A464E">
        <w:rPr>
          <w:sz w:val="24"/>
          <w:szCs w:val="24"/>
          <w:lang w:eastAsia="el-GR"/>
        </w:rPr>
        <w:t>, το βάθος της πληροφορίας που θα δοθεί και τον τύπο της εκπαιδευτικής παρέμβασης</w:t>
      </w:r>
      <w:r w:rsidR="00846659">
        <w:rPr>
          <w:sz w:val="24"/>
          <w:szCs w:val="24"/>
          <w:lang w:eastAsia="el-GR"/>
        </w:rPr>
        <w:t xml:space="preserve"> (</w:t>
      </w:r>
      <w:r w:rsidR="00846659" w:rsidRPr="005A464E">
        <w:rPr>
          <w:sz w:val="24"/>
          <w:szCs w:val="24"/>
          <w:lang w:val="en-US" w:eastAsia="el-GR"/>
        </w:rPr>
        <w:t>Falvo</w:t>
      </w:r>
      <w:r w:rsidR="00846659" w:rsidRPr="00D60706">
        <w:rPr>
          <w:sz w:val="24"/>
          <w:szCs w:val="24"/>
          <w:lang w:eastAsia="el-GR"/>
        </w:rPr>
        <w:t>,</w:t>
      </w:r>
      <w:r w:rsidR="00846659" w:rsidRPr="005A464E">
        <w:rPr>
          <w:sz w:val="24"/>
          <w:szCs w:val="24"/>
          <w:lang w:eastAsia="el-GR"/>
        </w:rPr>
        <w:t xml:space="preserve"> 2010</w:t>
      </w:r>
      <w:r w:rsidR="00846659">
        <w:rPr>
          <w:sz w:val="24"/>
          <w:szCs w:val="24"/>
          <w:lang w:eastAsia="el-GR"/>
        </w:rPr>
        <w:t>)</w:t>
      </w:r>
      <w:r w:rsidRPr="005A464E">
        <w:rPr>
          <w:sz w:val="24"/>
          <w:szCs w:val="24"/>
          <w:lang w:eastAsia="el-GR"/>
        </w:rPr>
        <w:t>.</w:t>
      </w:r>
    </w:p>
    <w:p w:rsidR="00846659" w:rsidRDefault="00CF127E" w:rsidP="005A464E">
      <w:pPr>
        <w:spacing w:line="360" w:lineRule="auto"/>
        <w:jc w:val="both"/>
        <w:rPr>
          <w:sz w:val="24"/>
          <w:szCs w:val="24"/>
          <w:lang w:eastAsia="el-GR"/>
        </w:rPr>
      </w:pPr>
      <w:r w:rsidRPr="005A464E">
        <w:rPr>
          <w:sz w:val="24"/>
          <w:szCs w:val="24"/>
          <w:lang w:eastAsia="el-GR"/>
        </w:rPr>
        <w:t>Η αποτελεσματική ασθενο</w:t>
      </w:r>
      <w:r w:rsidR="00CF0332" w:rsidRPr="005A464E">
        <w:rPr>
          <w:sz w:val="24"/>
          <w:szCs w:val="24"/>
          <w:lang w:eastAsia="el-GR"/>
        </w:rPr>
        <w:t>-</w:t>
      </w:r>
      <w:r w:rsidR="0063117A" w:rsidRPr="005A464E">
        <w:rPr>
          <w:sz w:val="24"/>
          <w:szCs w:val="24"/>
          <w:lang w:eastAsia="el-GR"/>
        </w:rPr>
        <w:t xml:space="preserve">κεντρική διδασκαλία περικλείει </w:t>
      </w:r>
      <w:r w:rsidR="00817853">
        <w:rPr>
          <w:sz w:val="24"/>
          <w:szCs w:val="24"/>
          <w:lang w:eastAsia="el-GR"/>
        </w:rPr>
        <w:t>μια</w:t>
      </w:r>
      <w:r w:rsidR="0063117A" w:rsidRPr="005A464E">
        <w:rPr>
          <w:sz w:val="24"/>
          <w:szCs w:val="24"/>
          <w:lang w:eastAsia="el-GR"/>
        </w:rPr>
        <w:t xml:space="preserve"> σκόπιμη προσέγγιση για την επίλυση του προβλήματος. Η διαδικα</w:t>
      </w:r>
      <w:r w:rsidR="00385993">
        <w:rPr>
          <w:sz w:val="24"/>
          <w:szCs w:val="24"/>
          <w:lang w:eastAsia="el-GR"/>
        </w:rPr>
        <w:t xml:space="preserve">σία της εκπαίδευσης </w:t>
      </w:r>
      <w:r w:rsidR="00B0560D">
        <w:rPr>
          <w:sz w:val="24"/>
          <w:szCs w:val="24"/>
          <w:lang w:eastAsia="el-GR"/>
        </w:rPr>
        <w:t>του ασθενούς</w:t>
      </w:r>
      <w:r w:rsidR="0063117A" w:rsidRPr="005A464E">
        <w:rPr>
          <w:sz w:val="24"/>
          <w:szCs w:val="24"/>
          <w:lang w:eastAsia="el-GR"/>
        </w:rPr>
        <w:t xml:space="preserve"> περιλαμβάνει </w:t>
      </w:r>
      <w:r w:rsidR="00817853">
        <w:rPr>
          <w:sz w:val="24"/>
          <w:szCs w:val="24"/>
          <w:lang w:eastAsia="el-GR"/>
        </w:rPr>
        <w:t>μια</w:t>
      </w:r>
      <w:r w:rsidR="0063117A" w:rsidRPr="005A464E">
        <w:rPr>
          <w:sz w:val="24"/>
          <w:szCs w:val="24"/>
          <w:lang w:eastAsia="el-GR"/>
        </w:rPr>
        <w:t xml:space="preserve"> σειρά από βήματα όπως η συγκέντρωση της πληροφορίας, η αξιολόγηση και η ενσωμάτωσή της σε ένα εκπαιδευτικό πλάνο. Αυτό το πλάνο βοηθά τον ασθενή να εφαρμόσει την πληροφορία στην καθημερινή του ζωή αλλά και την βραχυπρόθεσμη και μακροπρόθεσμη αποτελεσματικότητά του</w:t>
      </w:r>
      <w:r w:rsidR="00846659">
        <w:rPr>
          <w:sz w:val="24"/>
          <w:szCs w:val="24"/>
          <w:lang w:eastAsia="el-GR"/>
        </w:rPr>
        <w:t xml:space="preserve"> (</w:t>
      </w:r>
      <w:r w:rsidR="00846659" w:rsidRPr="005A464E">
        <w:rPr>
          <w:sz w:val="24"/>
          <w:szCs w:val="24"/>
          <w:lang w:val="en-US" w:eastAsia="el-GR"/>
        </w:rPr>
        <w:t>Falvo</w:t>
      </w:r>
      <w:r w:rsidR="00846659" w:rsidRPr="00D60706">
        <w:rPr>
          <w:sz w:val="24"/>
          <w:szCs w:val="24"/>
          <w:lang w:eastAsia="el-GR"/>
        </w:rPr>
        <w:t>,</w:t>
      </w:r>
      <w:r w:rsidR="00846659" w:rsidRPr="005A464E">
        <w:rPr>
          <w:sz w:val="24"/>
          <w:szCs w:val="24"/>
          <w:lang w:eastAsia="el-GR"/>
        </w:rPr>
        <w:t xml:space="preserve"> 2010</w:t>
      </w:r>
      <w:r w:rsidR="00846659">
        <w:rPr>
          <w:sz w:val="24"/>
          <w:szCs w:val="24"/>
          <w:lang w:eastAsia="el-GR"/>
        </w:rPr>
        <w:t>)</w:t>
      </w:r>
      <w:r w:rsidR="0063117A" w:rsidRPr="005A464E">
        <w:rPr>
          <w:sz w:val="24"/>
          <w:szCs w:val="24"/>
          <w:lang w:eastAsia="el-GR"/>
        </w:rPr>
        <w:t xml:space="preserve">. </w:t>
      </w:r>
    </w:p>
    <w:p w:rsidR="0063117A" w:rsidRPr="005A464E" w:rsidRDefault="0063117A" w:rsidP="005A464E">
      <w:pPr>
        <w:spacing w:line="360" w:lineRule="auto"/>
        <w:jc w:val="both"/>
        <w:rPr>
          <w:sz w:val="24"/>
          <w:szCs w:val="24"/>
          <w:lang w:eastAsia="el-GR"/>
        </w:rPr>
      </w:pPr>
      <w:r w:rsidRPr="005A464E">
        <w:rPr>
          <w:sz w:val="24"/>
          <w:szCs w:val="24"/>
          <w:lang w:eastAsia="el-GR"/>
        </w:rPr>
        <w:t xml:space="preserve">Στον σχεδιασμό του εκπαιδευτικού πλάνου ο </w:t>
      </w:r>
      <w:r w:rsidR="00846659">
        <w:rPr>
          <w:sz w:val="24"/>
          <w:szCs w:val="24"/>
          <w:lang w:eastAsia="el-GR"/>
        </w:rPr>
        <w:t>επαγγελμα</w:t>
      </w:r>
      <w:r w:rsidR="00385993">
        <w:rPr>
          <w:sz w:val="24"/>
          <w:szCs w:val="24"/>
          <w:lang w:eastAsia="el-GR"/>
        </w:rPr>
        <w:t>τίας υγείας</w:t>
      </w:r>
      <w:r w:rsidRPr="005A464E">
        <w:rPr>
          <w:sz w:val="24"/>
          <w:szCs w:val="24"/>
          <w:lang w:eastAsia="el-GR"/>
        </w:rPr>
        <w:t xml:space="preserve"> θα πρέπει να απαντήσει στα εξής:</w:t>
      </w:r>
    </w:p>
    <w:p w:rsidR="00D87CED" w:rsidRPr="005A464E" w:rsidRDefault="0034172F" w:rsidP="00DB466F">
      <w:pPr>
        <w:pStyle w:val="a5"/>
        <w:numPr>
          <w:ilvl w:val="0"/>
          <w:numId w:val="43"/>
        </w:numPr>
        <w:spacing w:line="360" w:lineRule="auto"/>
        <w:jc w:val="both"/>
        <w:rPr>
          <w:sz w:val="24"/>
          <w:szCs w:val="24"/>
          <w:lang w:eastAsia="el-GR"/>
        </w:rPr>
      </w:pPr>
      <w:r>
        <w:rPr>
          <w:sz w:val="24"/>
          <w:szCs w:val="24"/>
          <w:lang w:eastAsia="el-GR"/>
        </w:rPr>
        <w:t>Ποιος είναι ο τύπος της</w:t>
      </w:r>
      <w:r w:rsidR="0063117A" w:rsidRPr="005A464E">
        <w:rPr>
          <w:sz w:val="24"/>
          <w:szCs w:val="24"/>
          <w:lang w:eastAsia="el-GR"/>
        </w:rPr>
        <w:t xml:space="preserve"> πληροφορία</w:t>
      </w:r>
      <w:r>
        <w:rPr>
          <w:sz w:val="24"/>
          <w:szCs w:val="24"/>
          <w:lang w:eastAsia="el-GR"/>
        </w:rPr>
        <w:t>ς</w:t>
      </w:r>
      <w:r w:rsidR="0063117A" w:rsidRPr="005A464E">
        <w:rPr>
          <w:sz w:val="24"/>
          <w:szCs w:val="24"/>
          <w:lang w:eastAsia="el-GR"/>
        </w:rPr>
        <w:t xml:space="preserve"> και υποστήριξη</w:t>
      </w:r>
      <w:r>
        <w:rPr>
          <w:sz w:val="24"/>
          <w:szCs w:val="24"/>
          <w:lang w:eastAsia="el-GR"/>
        </w:rPr>
        <w:t>ς που</w:t>
      </w:r>
      <w:r w:rsidR="0063117A" w:rsidRPr="005A464E">
        <w:rPr>
          <w:sz w:val="24"/>
          <w:szCs w:val="24"/>
          <w:lang w:eastAsia="el-GR"/>
        </w:rPr>
        <w:t xml:space="preserve"> χρειάζεται</w:t>
      </w:r>
      <w:r w:rsidR="0078495A">
        <w:rPr>
          <w:sz w:val="24"/>
          <w:szCs w:val="24"/>
          <w:lang w:eastAsia="el-GR"/>
        </w:rPr>
        <w:t xml:space="preserve"> </w:t>
      </w:r>
      <w:r w:rsidR="0063117A" w:rsidRPr="005A464E">
        <w:rPr>
          <w:sz w:val="24"/>
          <w:szCs w:val="24"/>
          <w:lang w:eastAsia="el-GR"/>
        </w:rPr>
        <w:t xml:space="preserve">ο ασθενής για να </w:t>
      </w:r>
      <w:r w:rsidR="00CF127E" w:rsidRPr="005A464E">
        <w:rPr>
          <w:sz w:val="24"/>
          <w:szCs w:val="24"/>
          <w:lang w:eastAsia="el-GR"/>
        </w:rPr>
        <w:t>διαχειρισθεί</w:t>
      </w:r>
      <w:r w:rsidR="0063117A" w:rsidRPr="005A464E">
        <w:rPr>
          <w:sz w:val="24"/>
          <w:szCs w:val="24"/>
          <w:lang w:eastAsia="el-GR"/>
        </w:rPr>
        <w:t xml:space="preserve"> αποτελεσματικά την νόσο;</w:t>
      </w:r>
    </w:p>
    <w:p w:rsidR="00D87CED" w:rsidRPr="005A464E" w:rsidRDefault="0034172F" w:rsidP="00DB466F">
      <w:pPr>
        <w:pStyle w:val="a5"/>
        <w:numPr>
          <w:ilvl w:val="0"/>
          <w:numId w:val="43"/>
        </w:numPr>
        <w:spacing w:line="360" w:lineRule="auto"/>
        <w:jc w:val="both"/>
        <w:rPr>
          <w:sz w:val="24"/>
          <w:szCs w:val="24"/>
          <w:lang w:eastAsia="el-GR"/>
        </w:rPr>
      </w:pPr>
      <w:r>
        <w:rPr>
          <w:sz w:val="24"/>
          <w:szCs w:val="24"/>
          <w:lang w:eastAsia="el-GR"/>
        </w:rPr>
        <w:t>Ποι</w:t>
      </w:r>
      <w:r w:rsidR="009A3119">
        <w:rPr>
          <w:sz w:val="24"/>
          <w:szCs w:val="24"/>
          <w:lang w:eastAsia="el-GR"/>
        </w:rPr>
        <w:t>ο</w:t>
      </w:r>
      <w:r>
        <w:rPr>
          <w:sz w:val="24"/>
          <w:szCs w:val="24"/>
          <w:lang w:eastAsia="el-GR"/>
        </w:rPr>
        <w:t>ς είναι ο τύπος</w:t>
      </w:r>
      <w:r w:rsidR="0063117A" w:rsidRPr="005A464E">
        <w:rPr>
          <w:sz w:val="24"/>
          <w:szCs w:val="24"/>
          <w:lang w:eastAsia="el-GR"/>
        </w:rPr>
        <w:t xml:space="preserve"> πληροφορία</w:t>
      </w:r>
      <w:r>
        <w:rPr>
          <w:sz w:val="24"/>
          <w:szCs w:val="24"/>
          <w:lang w:eastAsia="el-GR"/>
        </w:rPr>
        <w:t>ς που</w:t>
      </w:r>
      <w:r w:rsidR="0063117A" w:rsidRPr="005A464E">
        <w:rPr>
          <w:sz w:val="24"/>
          <w:szCs w:val="24"/>
          <w:lang w:eastAsia="el-GR"/>
        </w:rPr>
        <w:t xml:space="preserve"> θέλει ο ασθενής;</w:t>
      </w:r>
    </w:p>
    <w:p w:rsidR="00D87CED" w:rsidRPr="005A464E" w:rsidRDefault="0063117A" w:rsidP="00DB466F">
      <w:pPr>
        <w:pStyle w:val="a5"/>
        <w:numPr>
          <w:ilvl w:val="0"/>
          <w:numId w:val="43"/>
        </w:numPr>
        <w:spacing w:line="360" w:lineRule="auto"/>
        <w:jc w:val="both"/>
        <w:rPr>
          <w:sz w:val="24"/>
          <w:szCs w:val="24"/>
          <w:lang w:eastAsia="el-GR"/>
        </w:rPr>
      </w:pPr>
      <w:r w:rsidRPr="005A464E">
        <w:rPr>
          <w:sz w:val="24"/>
          <w:szCs w:val="24"/>
          <w:lang w:eastAsia="el-GR"/>
        </w:rPr>
        <w:t>Ποια είναι τα πιο σημαντικά θέματα για τον ασθενή;</w:t>
      </w:r>
    </w:p>
    <w:p w:rsidR="00D87CED" w:rsidRPr="005A464E" w:rsidRDefault="00DD5852" w:rsidP="00DB466F">
      <w:pPr>
        <w:pStyle w:val="a5"/>
        <w:numPr>
          <w:ilvl w:val="0"/>
          <w:numId w:val="43"/>
        </w:numPr>
        <w:spacing w:line="360" w:lineRule="auto"/>
        <w:jc w:val="both"/>
        <w:rPr>
          <w:sz w:val="24"/>
          <w:szCs w:val="24"/>
          <w:lang w:eastAsia="el-GR"/>
        </w:rPr>
      </w:pPr>
      <w:r w:rsidRPr="005A464E">
        <w:rPr>
          <w:sz w:val="24"/>
          <w:szCs w:val="24"/>
          <w:lang w:eastAsia="el-GR"/>
        </w:rPr>
        <w:t>Ποιο</w:t>
      </w:r>
      <w:r w:rsidR="009A3119">
        <w:rPr>
          <w:sz w:val="24"/>
          <w:szCs w:val="24"/>
          <w:lang w:eastAsia="el-GR"/>
        </w:rPr>
        <w:t>ι</w:t>
      </w:r>
      <w:r w:rsidR="0063117A" w:rsidRPr="005A464E">
        <w:rPr>
          <w:sz w:val="24"/>
          <w:szCs w:val="24"/>
          <w:lang w:eastAsia="el-GR"/>
        </w:rPr>
        <w:t xml:space="preserve"> παράγοντες θα μπορούσαν να αποτελέσουν εμπόδια που θα απαγόρευαν στον ασθενή να μάθει ή να ακολουθήσει τις συστάσεις;</w:t>
      </w:r>
    </w:p>
    <w:p w:rsidR="0063117A" w:rsidRPr="005A464E" w:rsidRDefault="0063117A" w:rsidP="00DB466F">
      <w:pPr>
        <w:pStyle w:val="a5"/>
        <w:numPr>
          <w:ilvl w:val="0"/>
          <w:numId w:val="43"/>
        </w:numPr>
        <w:spacing w:line="360" w:lineRule="auto"/>
        <w:jc w:val="both"/>
        <w:rPr>
          <w:sz w:val="24"/>
          <w:szCs w:val="24"/>
          <w:lang w:eastAsia="el-GR"/>
        </w:rPr>
      </w:pPr>
      <w:r w:rsidRPr="005A464E">
        <w:rPr>
          <w:sz w:val="24"/>
          <w:szCs w:val="24"/>
          <w:lang w:eastAsia="el-GR"/>
        </w:rPr>
        <w:t>Ποιες είναι οι πιθανές εναλλακτικές λύσεις;</w:t>
      </w:r>
    </w:p>
    <w:p w:rsidR="0063117A" w:rsidRPr="005A464E" w:rsidRDefault="0063117A" w:rsidP="005A464E">
      <w:pPr>
        <w:spacing w:line="360" w:lineRule="auto"/>
        <w:jc w:val="both"/>
        <w:rPr>
          <w:sz w:val="24"/>
          <w:szCs w:val="24"/>
          <w:lang w:eastAsia="el-GR"/>
        </w:rPr>
      </w:pPr>
      <w:r w:rsidRPr="005A464E">
        <w:rPr>
          <w:sz w:val="24"/>
          <w:szCs w:val="24"/>
          <w:lang w:eastAsia="el-GR"/>
        </w:rPr>
        <w:t>Η σημασία της τοποθέτησης των ρεαλιστικών στόχων δεν πρέπει να παραλείπεται. Ακόμα και η πιο περιεκτική διδασκαλία δεν μπορεί να είναι αποτελεσματική αν δεν υπολογίζο</w:t>
      </w:r>
      <w:r w:rsidR="00385993">
        <w:rPr>
          <w:sz w:val="24"/>
          <w:szCs w:val="24"/>
          <w:lang w:eastAsia="el-GR"/>
        </w:rPr>
        <w:t xml:space="preserve">νται οι ανάγκες </w:t>
      </w:r>
      <w:r w:rsidR="00B0560D">
        <w:rPr>
          <w:sz w:val="24"/>
          <w:szCs w:val="24"/>
          <w:lang w:eastAsia="el-GR"/>
        </w:rPr>
        <w:t>του ασθενούς</w:t>
      </w:r>
      <w:r w:rsidRPr="005A464E">
        <w:rPr>
          <w:sz w:val="24"/>
          <w:szCs w:val="24"/>
          <w:lang w:eastAsia="el-GR"/>
        </w:rPr>
        <w:t xml:space="preserve"> και αν οι στόχοι δεν είναι ρεαλιστικοί. Η ανάλυση και η σύνθεση της πληροφορίας πρέπει να </w:t>
      </w:r>
      <w:r w:rsidR="003A4A7E" w:rsidRPr="005A464E">
        <w:rPr>
          <w:sz w:val="24"/>
          <w:szCs w:val="24"/>
          <w:lang w:eastAsia="el-GR"/>
        </w:rPr>
        <w:t>γ</w:t>
      </w:r>
      <w:r w:rsidRPr="005A464E">
        <w:rPr>
          <w:sz w:val="24"/>
          <w:szCs w:val="24"/>
          <w:lang w:eastAsia="el-GR"/>
        </w:rPr>
        <w:t>ίνεται μέσα από την αλληλεπίδραση με τον ασθενή</w:t>
      </w:r>
      <w:r w:rsidR="00846659">
        <w:rPr>
          <w:sz w:val="24"/>
          <w:szCs w:val="24"/>
          <w:lang w:eastAsia="el-GR"/>
        </w:rPr>
        <w:t xml:space="preserve"> (</w:t>
      </w:r>
      <w:r w:rsidR="00846659" w:rsidRPr="005A464E">
        <w:rPr>
          <w:sz w:val="24"/>
          <w:szCs w:val="24"/>
          <w:lang w:val="en-US" w:eastAsia="el-GR"/>
        </w:rPr>
        <w:t>Kumar</w:t>
      </w:r>
      <w:r w:rsidR="00846659" w:rsidRPr="00D60706">
        <w:rPr>
          <w:sz w:val="24"/>
          <w:szCs w:val="24"/>
          <w:lang w:eastAsia="el-GR"/>
        </w:rPr>
        <w:t>,</w:t>
      </w:r>
      <w:r w:rsidR="00846659" w:rsidRPr="005A464E">
        <w:rPr>
          <w:sz w:val="24"/>
          <w:szCs w:val="24"/>
          <w:lang w:eastAsia="el-GR"/>
        </w:rPr>
        <w:t xml:space="preserve"> 2007</w:t>
      </w:r>
      <w:r w:rsidR="00846659">
        <w:rPr>
          <w:sz w:val="24"/>
          <w:szCs w:val="24"/>
          <w:lang w:eastAsia="el-GR"/>
        </w:rPr>
        <w:t>)</w:t>
      </w:r>
      <w:r w:rsidRPr="005A464E">
        <w:rPr>
          <w:sz w:val="24"/>
          <w:szCs w:val="24"/>
          <w:lang w:eastAsia="el-GR"/>
        </w:rPr>
        <w:t>.</w:t>
      </w:r>
    </w:p>
    <w:p w:rsidR="0063117A" w:rsidRPr="005A464E" w:rsidRDefault="0063117A" w:rsidP="005A464E">
      <w:pPr>
        <w:spacing w:line="360" w:lineRule="auto"/>
        <w:jc w:val="both"/>
        <w:rPr>
          <w:sz w:val="24"/>
          <w:szCs w:val="24"/>
          <w:lang w:eastAsia="el-GR"/>
        </w:rPr>
      </w:pPr>
      <w:r w:rsidRPr="005A464E">
        <w:rPr>
          <w:sz w:val="24"/>
          <w:szCs w:val="24"/>
          <w:lang w:eastAsia="el-GR"/>
        </w:rPr>
        <w:t xml:space="preserve">Υπάρχουν πολλά επίπεδα στην εκπαίδευση </w:t>
      </w:r>
      <w:r w:rsidR="00B0560D">
        <w:rPr>
          <w:sz w:val="24"/>
          <w:szCs w:val="24"/>
          <w:lang w:eastAsia="el-GR"/>
        </w:rPr>
        <w:t>του ασθενούς</w:t>
      </w:r>
      <w:r w:rsidRPr="005A464E">
        <w:rPr>
          <w:sz w:val="24"/>
          <w:szCs w:val="24"/>
          <w:lang w:eastAsia="el-GR"/>
        </w:rPr>
        <w:t>. Αν και η ακριβής προσέγγιση μπορεί να διαφέρει ανάλογα με το</w:t>
      </w:r>
      <w:r w:rsidR="00DC4C17">
        <w:rPr>
          <w:sz w:val="24"/>
          <w:szCs w:val="24"/>
          <w:lang w:eastAsia="el-GR"/>
        </w:rPr>
        <w:t>ν</w:t>
      </w:r>
      <w:r w:rsidRPr="005A464E">
        <w:rPr>
          <w:sz w:val="24"/>
          <w:szCs w:val="24"/>
          <w:lang w:eastAsia="el-GR"/>
        </w:rPr>
        <w:t xml:space="preserve"> τ</w:t>
      </w:r>
      <w:r w:rsidR="00DC4C17">
        <w:rPr>
          <w:sz w:val="24"/>
          <w:szCs w:val="24"/>
          <w:lang w:eastAsia="el-GR"/>
        </w:rPr>
        <w:t xml:space="preserve">ύπο </w:t>
      </w:r>
      <w:r w:rsidR="00B0560D">
        <w:rPr>
          <w:sz w:val="24"/>
          <w:szCs w:val="24"/>
          <w:lang w:eastAsia="el-GR"/>
        </w:rPr>
        <w:t>του ασθενούς</w:t>
      </w:r>
      <w:r w:rsidR="00DC4C17">
        <w:rPr>
          <w:sz w:val="24"/>
          <w:szCs w:val="24"/>
          <w:lang w:eastAsia="el-GR"/>
        </w:rPr>
        <w:t xml:space="preserve"> και την κατάστασή</w:t>
      </w:r>
      <w:r w:rsidRPr="005A464E">
        <w:rPr>
          <w:sz w:val="24"/>
          <w:szCs w:val="24"/>
          <w:lang w:eastAsia="el-GR"/>
        </w:rPr>
        <w:t xml:space="preserve"> του, πολλές γενικές αρχές παραμένο</w:t>
      </w:r>
      <w:r w:rsidR="00385993">
        <w:rPr>
          <w:sz w:val="24"/>
          <w:szCs w:val="24"/>
          <w:lang w:eastAsia="el-GR"/>
        </w:rPr>
        <w:t>υν ίδιες. Με αυτόν τον τρόπο, ο</w:t>
      </w:r>
      <w:r w:rsidRPr="005A464E">
        <w:rPr>
          <w:sz w:val="24"/>
          <w:szCs w:val="24"/>
          <w:lang w:eastAsia="el-GR"/>
        </w:rPr>
        <w:t xml:space="preserve"> </w:t>
      </w:r>
      <w:r w:rsidR="00385993">
        <w:rPr>
          <w:sz w:val="24"/>
          <w:szCs w:val="24"/>
          <w:lang w:eastAsia="el-GR"/>
        </w:rPr>
        <w:t xml:space="preserve">επαγγελματίας υγείας θα είναι ικανός να ανιχνεύσει τις ανάγκες πληροφόρησης </w:t>
      </w:r>
      <w:r w:rsidR="00B0560D">
        <w:rPr>
          <w:sz w:val="24"/>
          <w:szCs w:val="24"/>
          <w:lang w:eastAsia="el-GR"/>
        </w:rPr>
        <w:t>του ασθενούς</w:t>
      </w:r>
      <w:r w:rsidRPr="005A464E">
        <w:rPr>
          <w:sz w:val="24"/>
          <w:szCs w:val="24"/>
          <w:lang w:eastAsia="el-GR"/>
        </w:rPr>
        <w:t xml:space="preserve"> και να πετ</w:t>
      </w:r>
      <w:r w:rsidR="00385993">
        <w:rPr>
          <w:sz w:val="24"/>
          <w:szCs w:val="24"/>
          <w:lang w:eastAsia="el-GR"/>
        </w:rPr>
        <w:t>ύχει</w:t>
      </w:r>
      <w:r w:rsidR="00D72703" w:rsidRPr="005A464E">
        <w:rPr>
          <w:sz w:val="24"/>
          <w:szCs w:val="24"/>
          <w:lang w:eastAsia="el-GR"/>
        </w:rPr>
        <w:t xml:space="preserve"> τα επιθυμητά αποτελέσματα (</w:t>
      </w:r>
      <w:r w:rsidR="007A583D" w:rsidRPr="005A464E">
        <w:rPr>
          <w:sz w:val="24"/>
          <w:szCs w:val="24"/>
          <w:lang w:val="en-US" w:eastAsia="el-GR"/>
        </w:rPr>
        <w:t>Kumar</w:t>
      </w:r>
      <w:r w:rsidR="00D60706" w:rsidRPr="00D60706">
        <w:rPr>
          <w:sz w:val="24"/>
          <w:szCs w:val="24"/>
          <w:lang w:eastAsia="el-GR"/>
        </w:rPr>
        <w:t>,</w:t>
      </w:r>
      <w:r w:rsidR="00EB28B9">
        <w:rPr>
          <w:sz w:val="24"/>
          <w:szCs w:val="24"/>
          <w:lang w:eastAsia="el-GR"/>
        </w:rPr>
        <w:t xml:space="preserve"> </w:t>
      </w:r>
      <w:r w:rsidR="007A583D" w:rsidRPr="005A464E">
        <w:rPr>
          <w:sz w:val="24"/>
          <w:szCs w:val="24"/>
          <w:lang w:eastAsia="el-GR"/>
        </w:rPr>
        <w:t xml:space="preserve">2007; </w:t>
      </w:r>
      <w:r w:rsidR="00D72703" w:rsidRPr="005A464E">
        <w:rPr>
          <w:sz w:val="24"/>
          <w:szCs w:val="24"/>
          <w:lang w:val="en-US" w:eastAsia="el-GR"/>
        </w:rPr>
        <w:t>Simmons</w:t>
      </w:r>
      <w:r w:rsidR="00D60706" w:rsidRPr="00D60706">
        <w:rPr>
          <w:sz w:val="24"/>
          <w:szCs w:val="24"/>
          <w:lang w:eastAsia="el-GR"/>
        </w:rPr>
        <w:t>,</w:t>
      </w:r>
      <w:r w:rsidR="00D72703" w:rsidRPr="005A464E">
        <w:rPr>
          <w:sz w:val="24"/>
          <w:szCs w:val="24"/>
          <w:lang w:eastAsia="el-GR"/>
        </w:rPr>
        <w:t xml:space="preserve"> 2009; </w:t>
      </w:r>
      <w:r w:rsidR="00D72703" w:rsidRPr="005A464E">
        <w:rPr>
          <w:sz w:val="24"/>
          <w:szCs w:val="24"/>
          <w:lang w:val="en-US" w:eastAsia="el-GR"/>
        </w:rPr>
        <w:t>Falvo</w:t>
      </w:r>
      <w:r w:rsidR="00D60706" w:rsidRPr="00D60706">
        <w:rPr>
          <w:sz w:val="24"/>
          <w:szCs w:val="24"/>
          <w:lang w:eastAsia="el-GR"/>
        </w:rPr>
        <w:t>,</w:t>
      </w:r>
      <w:r w:rsidR="00D93EF3" w:rsidRPr="005A464E">
        <w:rPr>
          <w:sz w:val="24"/>
          <w:szCs w:val="24"/>
          <w:lang w:eastAsia="el-GR"/>
        </w:rPr>
        <w:t xml:space="preserve"> 2010</w:t>
      </w:r>
      <w:r w:rsidR="00D72703" w:rsidRPr="005A464E">
        <w:rPr>
          <w:sz w:val="24"/>
          <w:szCs w:val="24"/>
          <w:lang w:eastAsia="el-GR"/>
        </w:rPr>
        <w:t>).</w:t>
      </w:r>
    </w:p>
    <w:p w:rsidR="0063117A" w:rsidRPr="005A464E" w:rsidRDefault="0063117A" w:rsidP="0066526D">
      <w:pPr>
        <w:pStyle w:val="25"/>
        <w:numPr>
          <w:ilvl w:val="1"/>
          <w:numId w:val="104"/>
        </w:numPr>
        <w:spacing w:line="360" w:lineRule="auto"/>
        <w:rPr>
          <w:rFonts w:asciiTheme="minorHAnsi" w:hAnsiTheme="minorHAnsi"/>
          <w:lang w:eastAsia="el-GR"/>
        </w:rPr>
      </w:pPr>
      <w:bookmarkStart w:id="29" w:name="_Toc495951430"/>
      <w:r w:rsidRPr="005A464E">
        <w:rPr>
          <w:rFonts w:asciiTheme="minorHAnsi" w:hAnsiTheme="minorHAnsi"/>
          <w:lang w:eastAsia="el-GR"/>
        </w:rPr>
        <w:t>Εφαρμογή του εκπαιδευτικού πλάνου</w:t>
      </w:r>
      <w:bookmarkEnd w:id="29"/>
    </w:p>
    <w:p w:rsidR="0063117A" w:rsidRPr="005A464E" w:rsidRDefault="0063117A" w:rsidP="005A464E">
      <w:pPr>
        <w:spacing w:line="360" w:lineRule="auto"/>
        <w:jc w:val="both"/>
        <w:rPr>
          <w:sz w:val="24"/>
          <w:szCs w:val="24"/>
          <w:lang w:eastAsia="el-GR"/>
        </w:rPr>
      </w:pPr>
      <w:r w:rsidRPr="005A464E">
        <w:rPr>
          <w:sz w:val="24"/>
          <w:szCs w:val="24"/>
          <w:lang w:eastAsia="el-GR"/>
        </w:rPr>
        <w:t>Η εφαρμογή περιλαμβάνει την εκτέλεση του εκπαιδευτικού πλάνου που έχει αναπτυχθεί βασισμένο στην πληροφορία που έχει συγκεντρωθεί. Εννοείται ότι ακόμα και το πιο προσεκτικά σχεδιασμένο πλάνο δεν έχει αξία αν δεν εφαρμοσθε</w:t>
      </w:r>
      <w:r w:rsidR="00DC4C17">
        <w:rPr>
          <w:sz w:val="24"/>
          <w:szCs w:val="24"/>
          <w:lang w:eastAsia="el-GR"/>
        </w:rPr>
        <w:t>ί. Όταν περισσότεροι από ένας επαγγελματίες υγείας</w:t>
      </w:r>
      <w:r w:rsidRPr="005A464E">
        <w:rPr>
          <w:sz w:val="24"/>
          <w:szCs w:val="24"/>
          <w:lang w:eastAsia="el-GR"/>
        </w:rPr>
        <w:t xml:space="preserve"> περιλαμβάνον</w:t>
      </w:r>
      <w:r w:rsidR="00DC4C17">
        <w:rPr>
          <w:sz w:val="24"/>
          <w:szCs w:val="24"/>
          <w:lang w:eastAsia="el-GR"/>
        </w:rPr>
        <w:t xml:space="preserve">ται στην εκπαίδευση </w:t>
      </w:r>
      <w:r w:rsidR="00B0560D">
        <w:rPr>
          <w:sz w:val="24"/>
          <w:szCs w:val="24"/>
          <w:lang w:eastAsia="el-GR"/>
        </w:rPr>
        <w:t>του ασθενούς</w:t>
      </w:r>
      <w:r w:rsidRPr="005A464E">
        <w:rPr>
          <w:sz w:val="24"/>
          <w:szCs w:val="24"/>
          <w:lang w:eastAsia="el-GR"/>
        </w:rPr>
        <w:t>, η προσέγγιση για την εφαρμογή του εκπαιδευτικού πλάνου θα πρέπει να είναι αποδεκτή από όλους. Αν και το ιδανι</w:t>
      </w:r>
      <w:r w:rsidR="00DC4C17">
        <w:rPr>
          <w:sz w:val="24"/>
          <w:szCs w:val="24"/>
          <w:lang w:eastAsia="el-GR"/>
        </w:rPr>
        <w:t>κό θα ήταν η ύπαρξη ενός μόνο επαγγλματία υγείας</w:t>
      </w:r>
      <w:r w:rsidRPr="005A464E">
        <w:rPr>
          <w:sz w:val="24"/>
          <w:szCs w:val="24"/>
          <w:lang w:eastAsia="el-GR"/>
        </w:rPr>
        <w:t xml:space="preserve"> που θα εμπλέκε</w:t>
      </w:r>
      <w:r w:rsidR="00DC4C17">
        <w:rPr>
          <w:sz w:val="24"/>
          <w:szCs w:val="24"/>
          <w:lang w:eastAsia="el-GR"/>
        </w:rPr>
        <w:t xml:space="preserve">ται στην εκπαίδευση </w:t>
      </w:r>
      <w:r w:rsidR="00B0560D">
        <w:rPr>
          <w:sz w:val="24"/>
          <w:szCs w:val="24"/>
          <w:lang w:eastAsia="el-GR"/>
        </w:rPr>
        <w:t>του ασθενούς</w:t>
      </w:r>
      <w:r w:rsidRPr="005A464E">
        <w:rPr>
          <w:sz w:val="24"/>
          <w:szCs w:val="24"/>
          <w:lang w:eastAsia="el-GR"/>
        </w:rPr>
        <w:t xml:space="preserve">, αυτό δεν είναι πάντα δυνατό καθώς ένας αριθμός </w:t>
      </w:r>
      <w:r w:rsidR="00DC4C17">
        <w:rPr>
          <w:sz w:val="24"/>
          <w:szCs w:val="24"/>
          <w:lang w:eastAsia="el-GR"/>
        </w:rPr>
        <w:t>επαγγελματιών υγείας</w:t>
      </w:r>
      <w:r w:rsidRPr="005A464E">
        <w:rPr>
          <w:sz w:val="24"/>
          <w:szCs w:val="24"/>
          <w:lang w:eastAsia="el-GR"/>
        </w:rPr>
        <w:t xml:space="preserve"> </w:t>
      </w:r>
      <w:r w:rsidR="003A4A7E" w:rsidRPr="005A464E">
        <w:rPr>
          <w:sz w:val="24"/>
          <w:szCs w:val="24"/>
          <w:lang w:eastAsia="el-GR"/>
        </w:rPr>
        <w:t xml:space="preserve">που </w:t>
      </w:r>
      <w:r w:rsidRPr="005A464E">
        <w:rPr>
          <w:sz w:val="24"/>
          <w:szCs w:val="24"/>
          <w:lang w:eastAsia="el-GR"/>
        </w:rPr>
        <w:t>εμπλέκονται στη φροντίδα</w:t>
      </w:r>
      <w:r w:rsidR="0078495A">
        <w:rPr>
          <w:sz w:val="24"/>
          <w:szCs w:val="24"/>
          <w:lang w:eastAsia="el-GR"/>
        </w:rPr>
        <w:t xml:space="preserve"> </w:t>
      </w:r>
      <w:r w:rsidRPr="005A464E">
        <w:rPr>
          <w:sz w:val="24"/>
          <w:szCs w:val="24"/>
          <w:lang w:eastAsia="el-GR"/>
        </w:rPr>
        <w:t>είναι υπεύθυνοι για την παροχή της πληροφορίας. Στην περίπτωση αυτή, κάθε μέλος της ομάδας</w:t>
      </w:r>
      <w:r w:rsidR="00657457" w:rsidRPr="005A464E">
        <w:rPr>
          <w:sz w:val="24"/>
          <w:szCs w:val="24"/>
          <w:lang w:eastAsia="el-GR"/>
        </w:rPr>
        <w:t xml:space="preserve"> θα πρέπει να είναι ενημερωμένο</w:t>
      </w:r>
      <w:r w:rsidR="00DC4C17">
        <w:rPr>
          <w:sz w:val="24"/>
          <w:szCs w:val="24"/>
          <w:lang w:eastAsia="el-GR"/>
        </w:rPr>
        <w:t xml:space="preserve"> για το τί</w:t>
      </w:r>
      <w:r w:rsidRPr="005A464E">
        <w:rPr>
          <w:sz w:val="24"/>
          <w:szCs w:val="24"/>
          <w:lang w:eastAsia="el-GR"/>
        </w:rPr>
        <w:t xml:space="preserve"> έχει διδαχθεί ο ασθενής και </w:t>
      </w:r>
      <w:r w:rsidR="009A4DEF">
        <w:rPr>
          <w:sz w:val="24"/>
          <w:szCs w:val="24"/>
          <w:lang w:eastAsia="el-GR"/>
        </w:rPr>
        <w:t xml:space="preserve">για </w:t>
      </w:r>
      <w:r w:rsidRPr="005A464E">
        <w:rPr>
          <w:sz w:val="24"/>
          <w:szCs w:val="24"/>
          <w:lang w:eastAsia="el-GR"/>
        </w:rPr>
        <w:t>κάθε επιπρόσθετη μαθησιακή ανάγκη που έχει ανιχνευθεί. Αν ανιχνευθούν επιπρόσθετα εμπ</w:t>
      </w:r>
      <w:r w:rsidR="00DC4C17">
        <w:rPr>
          <w:sz w:val="24"/>
          <w:szCs w:val="24"/>
          <w:lang w:eastAsia="el-GR"/>
        </w:rPr>
        <w:t xml:space="preserve">όδια στη διδασκαλία </w:t>
      </w:r>
      <w:r w:rsidR="00B0560D">
        <w:rPr>
          <w:sz w:val="24"/>
          <w:szCs w:val="24"/>
          <w:lang w:eastAsia="el-GR"/>
        </w:rPr>
        <w:t>του ασθενούς</w:t>
      </w:r>
      <w:r w:rsidRPr="005A464E">
        <w:rPr>
          <w:sz w:val="24"/>
          <w:szCs w:val="24"/>
          <w:lang w:eastAsia="el-GR"/>
        </w:rPr>
        <w:t>, το εκπαιδευτικό πλάνο ίσως χρειασθεί να αλλάξει. Εάν</w:t>
      </w:r>
      <w:r w:rsidR="0078495A">
        <w:rPr>
          <w:sz w:val="24"/>
          <w:szCs w:val="24"/>
          <w:lang w:eastAsia="el-GR"/>
        </w:rPr>
        <w:t xml:space="preserve"> </w:t>
      </w:r>
      <w:r w:rsidRPr="005A464E">
        <w:rPr>
          <w:sz w:val="24"/>
          <w:szCs w:val="24"/>
          <w:lang w:eastAsia="el-GR"/>
        </w:rPr>
        <w:t>ο ασθενής είναι ανήσυχος για την πρόσφατη συνειδητοποίηση των επιπτώσεων της κλινικής του</w:t>
      </w:r>
      <w:r w:rsidR="0078495A">
        <w:rPr>
          <w:sz w:val="24"/>
          <w:szCs w:val="24"/>
          <w:lang w:eastAsia="el-GR"/>
        </w:rPr>
        <w:t xml:space="preserve"> </w:t>
      </w:r>
      <w:r w:rsidRPr="005A464E">
        <w:rPr>
          <w:sz w:val="24"/>
          <w:szCs w:val="24"/>
          <w:lang w:eastAsia="el-GR"/>
        </w:rPr>
        <w:t>κατάστασης, το εκπαιδευτικό πλ</w:t>
      </w:r>
      <w:r w:rsidR="009A4DEF">
        <w:rPr>
          <w:sz w:val="24"/>
          <w:szCs w:val="24"/>
          <w:lang w:eastAsia="el-GR"/>
        </w:rPr>
        <w:t xml:space="preserve">άνο, επίσης, </w:t>
      </w:r>
      <w:r w:rsidRPr="005A464E">
        <w:rPr>
          <w:sz w:val="24"/>
          <w:szCs w:val="24"/>
          <w:lang w:eastAsia="el-GR"/>
        </w:rPr>
        <w:t>ίσως χρειασθεί να αλλάξει. Για να είναι αποτελεσματικό, το</w:t>
      </w:r>
      <w:r w:rsidR="00DC4C17">
        <w:rPr>
          <w:sz w:val="24"/>
          <w:szCs w:val="24"/>
          <w:lang w:eastAsia="el-GR"/>
        </w:rPr>
        <w:t xml:space="preserve"> εκπαιδευτικό πλάνο </w:t>
      </w:r>
      <w:r w:rsidR="00B0560D">
        <w:rPr>
          <w:sz w:val="24"/>
          <w:szCs w:val="24"/>
          <w:lang w:eastAsia="el-GR"/>
        </w:rPr>
        <w:t>του ασθενούς</w:t>
      </w:r>
      <w:r w:rsidRPr="005A464E">
        <w:rPr>
          <w:sz w:val="24"/>
          <w:szCs w:val="24"/>
          <w:lang w:eastAsia="el-GR"/>
        </w:rPr>
        <w:t xml:space="preserve"> πρέπει να είναι ευέλικτο. Σε ορισμένες περιπτώσεις μπορεί να χρειασθεί να γίνει αλλαγή </w:t>
      </w:r>
      <w:r w:rsidR="00D72703" w:rsidRPr="005A464E">
        <w:rPr>
          <w:sz w:val="24"/>
          <w:szCs w:val="24"/>
          <w:lang w:eastAsia="el-GR"/>
        </w:rPr>
        <w:t>του αρχικού θεραπευτικού πλάνου (</w:t>
      </w:r>
      <w:r w:rsidR="00D72703" w:rsidRPr="005A464E">
        <w:rPr>
          <w:sz w:val="24"/>
          <w:szCs w:val="24"/>
          <w:lang w:val="en-US" w:eastAsia="el-GR"/>
        </w:rPr>
        <w:t>Wingard</w:t>
      </w:r>
      <w:r w:rsidR="00D60706" w:rsidRPr="00D60706">
        <w:rPr>
          <w:sz w:val="24"/>
          <w:szCs w:val="24"/>
          <w:lang w:eastAsia="el-GR"/>
        </w:rPr>
        <w:t>,</w:t>
      </w:r>
      <w:r w:rsidR="00D72703" w:rsidRPr="005A464E">
        <w:rPr>
          <w:sz w:val="24"/>
          <w:szCs w:val="24"/>
          <w:lang w:eastAsia="el-GR"/>
        </w:rPr>
        <w:t xml:space="preserve"> 2005; </w:t>
      </w:r>
      <w:r w:rsidR="00D72703" w:rsidRPr="005A464E">
        <w:rPr>
          <w:sz w:val="24"/>
          <w:szCs w:val="24"/>
          <w:lang w:val="en-US" w:eastAsia="el-GR"/>
        </w:rPr>
        <w:t>Falvo</w:t>
      </w:r>
      <w:r w:rsidR="00D60706" w:rsidRPr="00D60706">
        <w:rPr>
          <w:sz w:val="24"/>
          <w:szCs w:val="24"/>
          <w:lang w:eastAsia="el-GR"/>
        </w:rPr>
        <w:t>,</w:t>
      </w:r>
      <w:r w:rsidR="00D72703" w:rsidRPr="005A464E">
        <w:rPr>
          <w:sz w:val="24"/>
          <w:szCs w:val="24"/>
          <w:lang w:eastAsia="el-GR"/>
        </w:rPr>
        <w:t xml:space="preserve"> </w:t>
      </w:r>
      <w:r w:rsidR="00D93EF3" w:rsidRPr="005A464E">
        <w:rPr>
          <w:sz w:val="24"/>
          <w:szCs w:val="24"/>
          <w:lang w:eastAsia="el-GR"/>
        </w:rPr>
        <w:t>2010</w:t>
      </w:r>
      <w:r w:rsidR="00D72703" w:rsidRPr="005A464E">
        <w:rPr>
          <w:sz w:val="24"/>
          <w:szCs w:val="24"/>
          <w:lang w:eastAsia="el-GR"/>
        </w:rPr>
        <w:t>).</w:t>
      </w:r>
    </w:p>
    <w:p w:rsidR="0063117A" w:rsidRPr="005A464E" w:rsidRDefault="0063117A" w:rsidP="00846659">
      <w:pPr>
        <w:pStyle w:val="25"/>
        <w:numPr>
          <w:ilvl w:val="1"/>
          <w:numId w:val="105"/>
        </w:numPr>
        <w:spacing w:after="240" w:line="360" w:lineRule="auto"/>
        <w:rPr>
          <w:rFonts w:asciiTheme="minorHAnsi" w:hAnsiTheme="minorHAnsi"/>
          <w:lang w:eastAsia="el-GR"/>
        </w:rPr>
      </w:pPr>
      <w:bookmarkStart w:id="30" w:name="_Toc495951431"/>
      <w:r w:rsidRPr="005A464E">
        <w:rPr>
          <w:rFonts w:asciiTheme="minorHAnsi" w:hAnsiTheme="minorHAnsi"/>
          <w:lang w:eastAsia="el-GR"/>
        </w:rPr>
        <w:t>Αξιολόγηση του εκπαιδευτικής διαδικασίας</w:t>
      </w:r>
      <w:bookmarkEnd w:id="30"/>
    </w:p>
    <w:p w:rsidR="0063117A" w:rsidRPr="005A464E" w:rsidRDefault="00DC4C17" w:rsidP="005A464E">
      <w:pPr>
        <w:spacing w:line="360" w:lineRule="auto"/>
        <w:jc w:val="both"/>
        <w:rPr>
          <w:sz w:val="24"/>
          <w:szCs w:val="24"/>
          <w:lang w:eastAsia="el-GR"/>
        </w:rPr>
      </w:pPr>
      <w:r>
        <w:rPr>
          <w:sz w:val="24"/>
          <w:szCs w:val="24"/>
          <w:lang w:eastAsia="el-GR"/>
        </w:rPr>
        <w:t xml:space="preserve">Η εκπαίδευση </w:t>
      </w:r>
      <w:r w:rsidR="00B0560D">
        <w:rPr>
          <w:sz w:val="24"/>
          <w:szCs w:val="24"/>
          <w:lang w:eastAsia="el-GR"/>
        </w:rPr>
        <w:t>του ασθενούς</w:t>
      </w:r>
      <w:r w:rsidR="0063117A" w:rsidRPr="005A464E">
        <w:rPr>
          <w:sz w:val="24"/>
          <w:szCs w:val="24"/>
          <w:lang w:eastAsia="el-GR"/>
        </w:rPr>
        <w:t xml:space="preserve"> είναι αποτελεσματική μόνο αν επιτυγχάνει τον στόχο της. Ως μέρος της διαδικασίας, οι στόχοι ή τα επιθυμη</w:t>
      </w:r>
      <w:r w:rsidR="003A4A7E" w:rsidRPr="005A464E">
        <w:rPr>
          <w:sz w:val="24"/>
          <w:szCs w:val="24"/>
          <w:lang w:eastAsia="el-GR"/>
        </w:rPr>
        <w:t>τά αποτελέσματα πρέπει να</w:t>
      </w:r>
      <w:r w:rsidR="0063117A" w:rsidRPr="005A464E">
        <w:rPr>
          <w:sz w:val="24"/>
          <w:szCs w:val="24"/>
          <w:lang w:eastAsia="el-GR"/>
        </w:rPr>
        <w:t xml:space="preserve"> αξιολογηθούν. Αν δεν λάβει χώρα η αξιολόγηση, δεν θα γίνει γνω</w:t>
      </w:r>
      <w:r>
        <w:rPr>
          <w:sz w:val="24"/>
          <w:szCs w:val="24"/>
          <w:lang w:eastAsia="el-GR"/>
        </w:rPr>
        <w:t xml:space="preserve">στό αν η εκπαίδευση </w:t>
      </w:r>
      <w:r w:rsidR="00B0560D">
        <w:rPr>
          <w:sz w:val="24"/>
          <w:szCs w:val="24"/>
          <w:lang w:eastAsia="el-GR"/>
        </w:rPr>
        <w:t>του ασθενούς</w:t>
      </w:r>
      <w:r w:rsidR="0063117A" w:rsidRPr="005A464E">
        <w:rPr>
          <w:sz w:val="24"/>
          <w:szCs w:val="24"/>
          <w:lang w:eastAsia="el-GR"/>
        </w:rPr>
        <w:t xml:space="preserve"> ήταν επιτυχής ή όχι. </w:t>
      </w:r>
    </w:p>
    <w:p w:rsidR="00851042" w:rsidRPr="00637A4C" w:rsidRDefault="0063117A" w:rsidP="00846659">
      <w:pPr>
        <w:spacing w:line="360" w:lineRule="auto"/>
        <w:jc w:val="both"/>
        <w:rPr>
          <w:sz w:val="24"/>
          <w:szCs w:val="24"/>
          <w:lang w:eastAsia="el-GR"/>
        </w:rPr>
      </w:pPr>
      <w:r w:rsidRPr="005A464E">
        <w:rPr>
          <w:sz w:val="24"/>
          <w:szCs w:val="24"/>
          <w:lang w:eastAsia="el-GR"/>
        </w:rPr>
        <w:t>Η αξιολόγηση μπορεί να γίνει σε μακροπρόθεσμη ή βραχυπρόθεσμη βάση. Η βραχυπρόθεσμη αξιολόγηση αφορά τη μέτρηση μόνο της αποτελεσματικότητας της άμεσης αλληλεπίδρασης στην επίτευξη των στόχων. Για παράδειγμα</w:t>
      </w:r>
      <w:r w:rsidR="003A4A7E" w:rsidRPr="005A464E">
        <w:rPr>
          <w:sz w:val="24"/>
          <w:szCs w:val="24"/>
          <w:lang w:eastAsia="el-GR"/>
        </w:rPr>
        <w:t>,</w:t>
      </w:r>
      <w:r w:rsidRPr="005A464E">
        <w:rPr>
          <w:sz w:val="24"/>
          <w:szCs w:val="24"/>
          <w:lang w:eastAsia="el-GR"/>
        </w:rPr>
        <w:t xml:space="preserve"> αν η εκπαίδευση είναι αφιερωμένη στη διδασκαλία ενός ασθενή</w:t>
      </w:r>
      <w:r w:rsidR="0078495A">
        <w:rPr>
          <w:sz w:val="24"/>
          <w:szCs w:val="24"/>
          <w:lang w:eastAsia="el-GR"/>
        </w:rPr>
        <w:t xml:space="preserve"> </w:t>
      </w:r>
      <w:r w:rsidRPr="005A464E">
        <w:rPr>
          <w:sz w:val="24"/>
          <w:szCs w:val="24"/>
          <w:lang w:eastAsia="el-GR"/>
        </w:rPr>
        <w:t>με διάγνωσ</w:t>
      </w:r>
      <w:r w:rsidR="003A4A7E" w:rsidRPr="005A464E">
        <w:rPr>
          <w:sz w:val="24"/>
          <w:szCs w:val="24"/>
          <w:lang w:eastAsia="el-GR"/>
        </w:rPr>
        <w:t xml:space="preserve">η </w:t>
      </w:r>
      <w:r w:rsidR="006B4FA7" w:rsidRPr="000C2E9E">
        <w:rPr>
          <w:sz w:val="24"/>
          <w:szCs w:val="24"/>
          <w:lang w:eastAsia="el-GR"/>
        </w:rPr>
        <w:t xml:space="preserve">σακχαρώδη </w:t>
      </w:r>
      <w:r w:rsidR="003A4A7E" w:rsidRPr="000C2E9E">
        <w:rPr>
          <w:sz w:val="24"/>
          <w:szCs w:val="24"/>
          <w:lang w:eastAsia="el-GR"/>
        </w:rPr>
        <w:t>διαβήτη τύπου</w:t>
      </w:r>
      <w:r w:rsidR="003A4A7E" w:rsidRPr="005A464E">
        <w:rPr>
          <w:sz w:val="24"/>
          <w:szCs w:val="24"/>
          <w:lang w:eastAsia="el-GR"/>
        </w:rPr>
        <w:t xml:space="preserve"> </w:t>
      </w:r>
      <w:r w:rsidR="00D34568">
        <w:rPr>
          <w:sz w:val="24"/>
          <w:szCs w:val="24"/>
          <w:lang w:eastAsia="el-GR"/>
        </w:rPr>
        <w:t>1</w:t>
      </w:r>
      <w:r w:rsidR="003A4A7E" w:rsidRPr="005A464E">
        <w:rPr>
          <w:sz w:val="24"/>
          <w:szCs w:val="24"/>
          <w:lang w:eastAsia="el-GR"/>
        </w:rPr>
        <w:t xml:space="preserve"> και συγκεκριμ</w:t>
      </w:r>
      <w:r w:rsidRPr="005A464E">
        <w:rPr>
          <w:sz w:val="24"/>
          <w:szCs w:val="24"/>
          <w:lang w:eastAsia="el-GR"/>
        </w:rPr>
        <w:t>ένα στην εκτέλεση της ένεσης ινσουλίνης, ο στόχος θα είναι η εκτέλεση της υποδόριας ένεσης από τον ασθενή. Αυτό δεν σημαίνει ότι ο ασθενής θα συνεχίζει να εκτελεί την ένεση και στο σπίτι του ή θα είναι ικανός να προσδιορίζει αν χρειάζεται επιπλέον δόση ινσουλίνης. Η αποτελεσματική ασθενο-κεντρική διδασκαλία δεν εστιάζει μόνο στου</w:t>
      </w:r>
      <w:r w:rsidR="003A4A7E" w:rsidRPr="005A464E">
        <w:rPr>
          <w:sz w:val="24"/>
          <w:szCs w:val="24"/>
          <w:lang w:eastAsia="el-GR"/>
        </w:rPr>
        <w:t>ς βραχυπρόθεσμους</w:t>
      </w:r>
      <w:r w:rsidR="00657457" w:rsidRPr="005A464E">
        <w:rPr>
          <w:sz w:val="24"/>
          <w:szCs w:val="24"/>
          <w:lang w:eastAsia="el-GR"/>
        </w:rPr>
        <w:t xml:space="preserve"> στόχους</w:t>
      </w:r>
      <w:r w:rsidR="003A4A7E" w:rsidRPr="005A464E">
        <w:rPr>
          <w:sz w:val="24"/>
          <w:szCs w:val="24"/>
          <w:lang w:eastAsia="el-GR"/>
        </w:rPr>
        <w:t>.</w:t>
      </w:r>
      <w:r w:rsidRPr="005A464E">
        <w:rPr>
          <w:sz w:val="24"/>
          <w:szCs w:val="24"/>
          <w:lang w:eastAsia="el-GR"/>
        </w:rPr>
        <w:t xml:space="preserve"> Ο τελικός στό</w:t>
      </w:r>
      <w:r w:rsidR="006B4FA7">
        <w:rPr>
          <w:sz w:val="24"/>
          <w:szCs w:val="24"/>
          <w:lang w:eastAsia="el-GR"/>
        </w:rPr>
        <w:t xml:space="preserve">χος στην εκπαίδευση </w:t>
      </w:r>
      <w:r w:rsidR="00B0560D">
        <w:rPr>
          <w:sz w:val="24"/>
          <w:szCs w:val="24"/>
          <w:lang w:eastAsia="el-GR"/>
        </w:rPr>
        <w:t>του ασθενούς</w:t>
      </w:r>
      <w:r w:rsidRPr="005A464E">
        <w:rPr>
          <w:sz w:val="24"/>
          <w:szCs w:val="24"/>
          <w:lang w:eastAsia="el-GR"/>
        </w:rPr>
        <w:t xml:space="preserve"> δεν είναι απλώς να καταστήσει τον ασθενή ικανό να εκτελέσει ή να επαναλάβει</w:t>
      </w:r>
      <w:r w:rsidR="006B4FA7">
        <w:rPr>
          <w:sz w:val="24"/>
          <w:szCs w:val="24"/>
          <w:lang w:eastAsia="el-GR"/>
        </w:rPr>
        <w:t xml:space="preserve"> την πληροφορία παρουσία ενός επαγγελματία υγείας</w:t>
      </w:r>
      <w:r w:rsidRPr="005A464E">
        <w:rPr>
          <w:sz w:val="24"/>
          <w:szCs w:val="24"/>
          <w:lang w:eastAsia="el-GR"/>
        </w:rPr>
        <w:t xml:space="preserve">. Ο τελικός στόχος είναι να καταστήσει τον ασθενή ικανό να εκτελέσει τις θεραπευτικές συστάσεις και στο οικιακό περιβάλλον όπου δεν τελεί υπό την </w:t>
      </w:r>
      <w:r w:rsidRPr="006B4FA7">
        <w:rPr>
          <w:sz w:val="24"/>
          <w:szCs w:val="24"/>
          <w:lang w:eastAsia="el-GR"/>
        </w:rPr>
        <w:t xml:space="preserve">επίβλεψη του </w:t>
      </w:r>
      <w:r w:rsidR="006B4FA7" w:rsidRPr="006B4FA7">
        <w:rPr>
          <w:sz w:val="24"/>
          <w:szCs w:val="24"/>
          <w:lang w:eastAsia="el-GR"/>
        </w:rPr>
        <w:t>επαγγελματία υγείας</w:t>
      </w:r>
      <w:r w:rsidRPr="006B4FA7">
        <w:rPr>
          <w:sz w:val="24"/>
          <w:szCs w:val="24"/>
          <w:lang w:eastAsia="el-GR"/>
        </w:rPr>
        <w:t>.</w:t>
      </w:r>
      <w:r w:rsidR="0078495A">
        <w:rPr>
          <w:sz w:val="24"/>
          <w:szCs w:val="24"/>
          <w:lang w:eastAsia="el-GR"/>
        </w:rPr>
        <w:t xml:space="preserve"> </w:t>
      </w:r>
      <w:r w:rsidRPr="005A464E">
        <w:rPr>
          <w:sz w:val="24"/>
          <w:szCs w:val="24"/>
          <w:lang w:eastAsia="el-GR"/>
        </w:rPr>
        <w:t>Η μακροχρόνια αξιολόγηση της αποτελεσματικότητας του εκπαιδευτικού πλάνου είναι ο βαθμός στον οπ</w:t>
      </w:r>
      <w:r w:rsidR="006B4FA7">
        <w:rPr>
          <w:sz w:val="24"/>
          <w:szCs w:val="24"/>
          <w:lang w:eastAsia="el-GR"/>
        </w:rPr>
        <w:t xml:space="preserve">οίο ο ασθενής είναι ικανός να </w:t>
      </w:r>
      <w:r w:rsidRPr="005A464E">
        <w:rPr>
          <w:sz w:val="24"/>
          <w:szCs w:val="24"/>
          <w:lang w:eastAsia="el-GR"/>
        </w:rPr>
        <w:t xml:space="preserve">ακολουθήσει τις συστάσεις που δίνονται σύμφωνα </w:t>
      </w:r>
      <w:r w:rsidR="00B261A5" w:rsidRPr="005A464E">
        <w:rPr>
          <w:sz w:val="24"/>
          <w:szCs w:val="24"/>
          <w:lang w:eastAsia="el-GR"/>
        </w:rPr>
        <w:t>με το εκπαιδευτικό πλάνο (</w:t>
      </w:r>
      <w:r w:rsidRPr="005A464E">
        <w:rPr>
          <w:sz w:val="24"/>
          <w:szCs w:val="24"/>
          <w:lang w:eastAsia="el-GR"/>
        </w:rPr>
        <w:t>Falvo</w:t>
      </w:r>
      <w:r w:rsidR="00D60706" w:rsidRPr="00D60706">
        <w:rPr>
          <w:sz w:val="24"/>
          <w:szCs w:val="24"/>
          <w:lang w:eastAsia="el-GR"/>
        </w:rPr>
        <w:t>,</w:t>
      </w:r>
      <w:r w:rsidR="00D93EF3" w:rsidRPr="005A464E">
        <w:rPr>
          <w:sz w:val="24"/>
          <w:szCs w:val="24"/>
          <w:lang w:eastAsia="el-GR"/>
        </w:rPr>
        <w:t xml:space="preserve"> 2010</w:t>
      </w:r>
      <w:r w:rsidR="00481E8D" w:rsidRPr="005A464E">
        <w:rPr>
          <w:sz w:val="24"/>
          <w:szCs w:val="24"/>
          <w:lang w:eastAsia="el-GR"/>
        </w:rPr>
        <w:t xml:space="preserve">; </w:t>
      </w:r>
      <w:r w:rsidR="00481E8D" w:rsidRPr="005A464E">
        <w:rPr>
          <w:sz w:val="24"/>
          <w:szCs w:val="24"/>
          <w:lang w:val="en-US" w:eastAsia="el-GR"/>
        </w:rPr>
        <w:t>Henke</w:t>
      </w:r>
      <w:r w:rsidR="00481E8D" w:rsidRPr="005A464E">
        <w:rPr>
          <w:sz w:val="24"/>
          <w:szCs w:val="24"/>
          <w:lang w:eastAsia="el-GR"/>
        </w:rPr>
        <w:t xml:space="preserve"> </w:t>
      </w:r>
      <w:r w:rsidR="00566CAA">
        <w:rPr>
          <w:sz w:val="24"/>
          <w:szCs w:val="24"/>
          <w:lang w:eastAsia="el-GR"/>
        </w:rPr>
        <w:t>et al</w:t>
      </w:r>
      <w:r w:rsidR="00D60706" w:rsidRPr="00D60706">
        <w:rPr>
          <w:sz w:val="24"/>
          <w:szCs w:val="24"/>
          <w:lang w:eastAsia="el-GR"/>
        </w:rPr>
        <w:t>.</w:t>
      </w:r>
      <w:r w:rsidR="00992F7C">
        <w:rPr>
          <w:sz w:val="24"/>
          <w:szCs w:val="24"/>
          <w:lang w:eastAsia="el-GR"/>
        </w:rPr>
        <w:t>,</w:t>
      </w:r>
      <w:r w:rsidR="00481E8D" w:rsidRPr="005A464E">
        <w:rPr>
          <w:sz w:val="24"/>
          <w:szCs w:val="24"/>
          <w:lang w:eastAsia="el-GR"/>
        </w:rPr>
        <w:t xml:space="preserve"> 2016</w:t>
      </w:r>
      <w:r w:rsidRPr="005A464E">
        <w:rPr>
          <w:sz w:val="24"/>
          <w:szCs w:val="24"/>
          <w:lang w:eastAsia="el-GR"/>
        </w:rPr>
        <w:t>).</w:t>
      </w:r>
    </w:p>
    <w:p w:rsidR="0063117A" w:rsidRPr="00846659" w:rsidRDefault="0063117A" w:rsidP="00846659">
      <w:pPr>
        <w:pStyle w:val="25"/>
        <w:numPr>
          <w:ilvl w:val="1"/>
          <w:numId w:val="105"/>
        </w:numPr>
        <w:spacing w:before="0" w:after="240"/>
        <w:rPr>
          <w:rFonts w:asciiTheme="minorHAnsi" w:hAnsiTheme="minorHAnsi"/>
          <w:lang w:eastAsia="el-GR"/>
        </w:rPr>
      </w:pPr>
      <w:bookmarkStart w:id="31" w:name="_Toc495951432"/>
      <w:r w:rsidRPr="005A464E">
        <w:rPr>
          <w:rFonts w:asciiTheme="minorHAnsi" w:hAnsiTheme="minorHAnsi"/>
          <w:lang w:eastAsia="el-GR"/>
        </w:rPr>
        <w:t xml:space="preserve">Η συμμετοχή </w:t>
      </w:r>
      <w:r w:rsidR="00B0560D">
        <w:rPr>
          <w:rFonts w:asciiTheme="minorHAnsi" w:hAnsiTheme="minorHAnsi"/>
          <w:lang w:eastAsia="el-GR"/>
        </w:rPr>
        <w:t>του ασθενούς</w:t>
      </w:r>
      <w:r w:rsidRPr="005A464E">
        <w:rPr>
          <w:rFonts w:asciiTheme="minorHAnsi" w:hAnsiTheme="minorHAnsi"/>
          <w:lang w:eastAsia="el-GR"/>
        </w:rPr>
        <w:t xml:space="preserve"> στη λήψη κλινικών αποφάσεων</w:t>
      </w:r>
      <w:bookmarkEnd w:id="31"/>
    </w:p>
    <w:p w:rsidR="0063117A" w:rsidRPr="000C2E9E" w:rsidRDefault="006B4FA7" w:rsidP="005A464E">
      <w:pPr>
        <w:spacing w:after="0" w:line="360" w:lineRule="auto"/>
        <w:jc w:val="both"/>
        <w:rPr>
          <w:sz w:val="24"/>
          <w:szCs w:val="24"/>
          <w:lang w:eastAsia="el-GR"/>
        </w:rPr>
      </w:pPr>
      <w:r>
        <w:rPr>
          <w:sz w:val="24"/>
          <w:szCs w:val="24"/>
          <w:lang w:eastAsia="el-GR"/>
        </w:rPr>
        <w:t xml:space="preserve">Η συμμετοχή </w:t>
      </w:r>
      <w:r w:rsidR="00B0560D">
        <w:rPr>
          <w:sz w:val="24"/>
          <w:szCs w:val="24"/>
          <w:lang w:eastAsia="el-GR"/>
        </w:rPr>
        <w:t>του ασθενούς</w:t>
      </w:r>
      <w:r w:rsidR="0063117A" w:rsidRPr="005A464E">
        <w:rPr>
          <w:sz w:val="24"/>
          <w:szCs w:val="24"/>
          <w:lang w:eastAsia="el-GR"/>
        </w:rPr>
        <w:t xml:space="preserve"> στη λήψη κλινικών αποφάσ</w:t>
      </w:r>
      <w:r>
        <w:rPr>
          <w:sz w:val="24"/>
          <w:szCs w:val="24"/>
          <w:lang w:eastAsia="el-GR"/>
        </w:rPr>
        <w:t xml:space="preserve">εων στοχεύει στην υποστήριξη </w:t>
      </w:r>
      <w:r w:rsidR="00B0560D">
        <w:rPr>
          <w:sz w:val="24"/>
          <w:szCs w:val="24"/>
          <w:lang w:eastAsia="el-GR"/>
        </w:rPr>
        <w:t>του ασθενούς</w:t>
      </w:r>
      <w:r w:rsidR="0063117A" w:rsidRPr="005A464E">
        <w:rPr>
          <w:sz w:val="24"/>
          <w:szCs w:val="24"/>
          <w:lang w:eastAsia="el-GR"/>
        </w:rPr>
        <w:t xml:space="preserve"> να διατυπών</w:t>
      </w:r>
      <w:r>
        <w:rPr>
          <w:sz w:val="24"/>
          <w:szCs w:val="24"/>
          <w:lang w:eastAsia="el-GR"/>
        </w:rPr>
        <w:t>ει</w:t>
      </w:r>
      <w:r w:rsidR="0078495A">
        <w:rPr>
          <w:sz w:val="24"/>
          <w:szCs w:val="24"/>
          <w:lang w:eastAsia="el-GR"/>
        </w:rPr>
        <w:t xml:space="preserve"> </w:t>
      </w:r>
      <w:r w:rsidR="009A4DEF">
        <w:rPr>
          <w:sz w:val="24"/>
          <w:szCs w:val="24"/>
          <w:lang w:eastAsia="el-GR"/>
        </w:rPr>
        <w:t xml:space="preserve">το πρόβλημα καθώς </w:t>
      </w:r>
      <w:r w:rsidR="009A4DEF" w:rsidRPr="000C2E9E">
        <w:rPr>
          <w:sz w:val="24"/>
          <w:szCs w:val="24"/>
          <w:lang w:eastAsia="el-GR"/>
        </w:rPr>
        <w:t xml:space="preserve">και το </w:t>
      </w:r>
      <w:r w:rsidR="009A3119" w:rsidRPr="000C2E9E">
        <w:rPr>
          <w:sz w:val="24"/>
          <w:szCs w:val="24"/>
          <w:lang w:eastAsia="el-GR"/>
        </w:rPr>
        <w:t>τ</w:t>
      </w:r>
      <w:r w:rsidR="00846659" w:rsidRPr="000C2E9E">
        <w:rPr>
          <w:sz w:val="24"/>
          <w:szCs w:val="24"/>
          <w:lang w:eastAsia="el-GR"/>
        </w:rPr>
        <w:t>ί</w:t>
      </w:r>
      <w:r w:rsidRPr="000C2E9E">
        <w:rPr>
          <w:sz w:val="24"/>
          <w:szCs w:val="24"/>
          <w:lang w:eastAsia="el-GR"/>
        </w:rPr>
        <w:t xml:space="preserve"> επιθυμεί</w:t>
      </w:r>
      <w:r w:rsidR="0063117A" w:rsidRPr="000C2E9E">
        <w:rPr>
          <w:sz w:val="24"/>
          <w:szCs w:val="24"/>
          <w:lang w:eastAsia="el-GR"/>
        </w:rPr>
        <w:t xml:space="preserve"> ν</w:t>
      </w:r>
      <w:r w:rsidRPr="000C2E9E">
        <w:rPr>
          <w:sz w:val="24"/>
          <w:szCs w:val="24"/>
          <w:lang w:eastAsia="el-GR"/>
        </w:rPr>
        <w:t>α επιτύχει μέσα από τη θεραπεία. Επιπροσθέτως, ο ασθενής θα πληροφορηθεί</w:t>
      </w:r>
      <w:r w:rsidR="0063117A" w:rsidRPr="000C2E9E">
        <w:rPr>
          <w:sz w:val="24"/>
          <w:szCs w:val="24"/>
          <w:lang w:eastAsia="el-GR"/>
        </w:rPr>
        <w:t xml:space="preserve"> σχετικά με τα πλεονεκτήματα και μειονεκτήματα των διαθέσιμων θεραπ</w:t>
      </w:r>
      <w:r w:rsidRPr="000C2E9E">
        <w:rPr>
          <w:sz w:val="24"/>
          <w:szCs w:val="24"/>
          <w:lang w:eastAsia="el-GR"/>
        </w:rPr>
        <w:t>ευτικών επιλογών</w:t>
      </w:r>
      <w:r w:rsidR="0063117A" w:rsidRPr="000C2E9E">
        <w:rPr>
          <w:sz w:val="24"/>
          <w:szCs w:val="24"/>
          <w:lang w:eastAsia="el-GR"/>
        </w:rPr>
        <w:t xml:space="preserve"> (Elwyn</w:t>
      </w:r>
      <w:r w:rsidR="006744A0" w:rsidRPr="000C2E9E">
        <w:rPr>
          <w:sz w:val="24"/>
          <w:szCs w:val="24"/>
          <w:lang w:eastAsia="el-GR"/>
        </w:rPr>
        <w:t xml:space="preserve"> &amp; </w:t>
      </w:r>
      <w:r w:rsidR="006744A0" w:rsidRPr="000C2E9E">
        <w:rPr>
          <w:sz w:val="24"/>
          <w:szCs w:val="24"/>
          <w:lang w:val="en-US" w:eastAsia="el-GR"/>
        </w:rPr>
        <w:t>Edwards</w:t>
      </w:r>
      <w:r w:rsidR="00AB454B" w:rsidRPr="000C2E9E">
        <w:rPr>
          <w:sz w:val="24"/>
          <w:szCs w:val="24"/>
          <w:lang w:eastAsia="el-GR"/>
        </w:rPr>
        <w:t>,</w:t>
      </w:r>
      <w:r w:rsidR="0063117A" w:rsidRPr="000C2E9E">
        <w:rPr>
          <w:sz w:val="24"/>
          <w:szCs w:val="24"/>
          <w:lang w:eastAsia="el-GR"/>
        </w:rPr>
        <w:t xml:space="preserve"> 2009).</w:t>
      </w:r>
    </w:p>
    <w:p w:rsidR="0063117A" w:rsidRPr="000C2E9E" w:rsidRDefault="0063117A" w:rsidP="005A464E">
      <w:pPr>
        <w:spacing w:line="360" w:lineRule="auto"/>
        <w:jc w:val="both"/>
        <w:rPr>
          <w:sz w:val="24"/>
          <w:szCs w:val="24"/>
          <w:lang w:eastAsia="el-GR"/>
        </w:rPr>
      </w:pPr>
      <w:r w:rsidRPr="000C2E9E">
        <w:rPr>
          <w:sz w:val="24"/>
          <w:szCs w:val="24"/>
          <w:lang w:eastAsia="el-GR"/>
        </w:rPr>
        <w:t>Σύμφωνα με τους ερευνητές, ο ασθενής επιθυμεί να νιώθει σεβασμό, να ακούγεται, να του δίνεται η αληθής πληροφορία και να μοιράζεται τις</w:t>
      </w:r>
      <w:r w:rsidR="00481E8D" w:rsidRPr="000C2E9E">
        <w:rPr>
          <w:sz w:val="24"/>
          <w:szCs w:val="24"/>
          <w:lang w:eastAsia="el-GR"/>
        </w:rPr>
        <w:t xml:space="preserve"> αποφάσεις γύρω</w:t>
      </w:r>
      <w:r w:rsidR="00481E8D" w:rsidRPr="005A464E">
        <w:rPr>
          <w:sz w:val="24"/>
          <w:szCs w:val="24"/>
          <w:lang w:eastAsia="el-GR"/>
        </w:rPr>
        <w:t xml:space="preserve"> από τη </w:t>
      </w:r>
      <w:r w:rsidR="00481E8D" w:rsidRPr="000C2E9E">
        <w:rPr>
          <w:sz w:val="24"/>
          <w:szCs w:val="24"/>
          <w:lang w:eastAsia="el-GR"/>
        </w:rPr>
        <w:t>φροντίδα</w:t>
      </w:r>
      <w:r w:rsidR="0062205E" w:rsidRPr="000C2E9E">
        <w:rPr>
          <w:sz w:val="24"/>
          <w:szCs w:val="24"/>
          <w:lang w:eastAsia="el-GR"/>
        </w:rPr>
        <w:t xml:space="preserve"> (Charalambous,</w:t>
      </w:r>
      <w:r w:rsidRPr="000C2E9E">
        <w:rPr>
          <w:sz w:val="24"/>
          <w:szCs w:val="24"/>
          <w:lang w:eastAsia="el-GR"/>
        </w:rPr>
        <w:t xml:space="preserve"> </w:t>
      </w:r>
      <w:r w:rsidR="0062205E" w:rsidRPr="000C2E9E">
        <w:rPr>
          <w:rFonts w:asciiTheme="minorHAnsi" w:hAnsiTheme="minorHAnsi" w:cstheme="minorHAnsi"/>
          <w:sz w:val="24"/>
          <w:szCs w:val="24"/>
          <w:lang w:val="en-US"/>
        </w:rPr>
        <w:t>Papadopoulos</w:t>
      </w:r>
      <w:r w:rsidR="0062205E" w:rsidRPr="000C2E9E">
        <w:rPr>
          <w:rFonts w:asciiTheme="minorHAnsi" w:hAnsiTheme="minorHAnsi" w:cstheme="minorHAnsi"/>
          <w:sz w:val="24"/>
          <w:szCs w:val="24"/>
        </w:rPr>
        <w:t xml:space="preserve">, &amp; </w:t>
      </w:r>
      <w:r w:rsidR="0062205E" w:rsidRPr="000C2E9E">
        <w:rPr>
          <w:rFonts w:asciiTheme="minorHAnsi" w:hAnsiTheme="minorHAnsi" w:cstheme="minorHAnsi"/>
          <w:sz w:val="24"/>
          <w:szCs w:val="24"/>
          <w:lang w:val="en-US"/>
        </w:rPr>
        <w:t>Beadsmoore</w:t>
      </w:r>
      <w:r w:rsidR="0062205E" w:rsidRPr="000C2E9E">
        <w:rPr>
          <w:rFonts w:asciiTheme="minorHAnsi" w:hAnsiTheme="minorHAnsi" w:cstheme="minorHAnsi"/>
          <w:sz w:val="24"/>
          <w:szCs w:val="24"/>
        </w:rPr>
        <w:t>,</w:t>
      </w:r>
      <w:r w:rsidR="0062205E" w:rsidRPr="000C2E9E">
        <w:rPr>
          <w:sz w:val="24"/>
          <w:szCs w:val="24"/>
          <w:lang w:eastAsia="el-GR"/>
        </w:rPr>
        <w:t xml:space="preserve"> </w:t>
      </w:r>
      <w:r w:rsidRPr="000C2E9E">
        <w:rPr>
          <w:sz w:val="24"/>
          <w:szCs w:val="24"/>
          <w:lang w:eastAsia="el-GR"/>
        </w:rPr>
        <w:t>2008</w:t>
      </w:r>
      <w:r w:rsidR="00846659" w:rsidRPr="000C2E9E">
        <w:rPr>
          <w:sz w:val="24"/>
          <w:szCs w:val="24"/>
          <w:lang w:eastAsia="el-GR"/>
        </w:rPr>
        <w:t>; Von Roenn, 2013</w:t>
      </w:r>
      <w:r w:rsidRPr="000C2E9E">
        <w:rPr>
          <w:sz w:val="24"/>
          <w:szCs w:val="24"/>
          <w:lang w:eastAsia="el-GR"/>
        </w:rPr>
        <w:t xml:space="preserve">). </w:t>
      </w:r>
      <w:r w:rsidR="006B4FA7" w:rsidRPr="000C2E9E">
        <w:rPr>
          <w:sz w:val="24"/>
          <w:szCs w:val="24"/>
          <w:lang w:eastAsia="el-GR"/>
        </w:rPr>
        <w:t>Ωστόσο</w:t>
      </w:r>
      <w:r w:rsidRPr="000C2E9E">
        <w:rPr>
          <w:sz w:val="24"/>
          <w:szCs w:val="24"/>
          <w:lang w:eastAsia="el-GR"/>
        </w:rPr>
        <w:t>, δεν δίνεται πάντα η ευκ</w:t>
      </w:r>
      <w:r w:rsidR="006B4FA7" w:rsidRPr="000C2E9E">
        <w:rPr>
          <w:sz w:val="24"/>
          <w:szCs w:val="24"/>
          <w:lang w:eastAsia="el-GR"/>
        </w:rPr>
        <w:t>αιρία στον ασθενή για συμμετοχή στον βαθμό που επιθυμεί</w:t>
      </w:r>
      <w:r w:rsidRPr="000C2E9E">
        <w:rPr>
          <w:sz w:val="24"/>
          <w:szCs w:val="24"/>
          <w:lang w:eastAsia="el-GR"/>
        </w:rPr>
        <w:t xml:space="preserve"> στη λήψη </w:t>
      </w:r>
      <w:r w:rsidR="007B503D" w:rsidRPr="000C2E9E">
        <w:rPr>
          <w:sz w:val="24"/>
          <w:szCs w:val="24"/>
          <w:lang w:eastAsia="el-GR"/>
        </w:rPr>
        <w:t xml:space="preserve">της απόφασης (Kremer, </w:t>
      </w:r>
      <w:r w:rsidR="007B503D" w:rsidRPr="000C2E9E">
        <w:rPr>
          <w:rFonts w:asciiTheme="minorHAnsi" w:hAnsiTheme="minorHAnsi" w:cstheme="minorHAnsi"/>
          <w:sz w:val="24"/>
          <w:szCs w:val="24"/>
          <w:lang w:val="en-US"/>
        </w:rPr>
        <w:t>Ironson</w:t>
      </w:r>
      <w:r w:rsidR="007B503D" w:rsidRPr="000C2E9E">
        <w:rPr>
          <w:rFonts w:asciiTheme="minorHAnsi" w:hAnsiTheme="minorHAnsi" w:cstheme="minorHAnsi"/>
          <w:sz w:val="24"/>
          <w:szCs w:val="24"/>
        </w:rPr>
        <w:t xml:space="preserve">, </w:t>
      </w:r>
      <w:r w:rsidR="007B503D" w:rsidRPr="000C2E9E">
        <w:rPr>
          <w:rFonts w:asciiTheme="minorHAnsi" w:hAnsiTheme="minorHAnsi" w:cstheme="minorHAnsi"/>
          <w:sz w:val="24"/>
          <w:szCs w:val="24"/>
          <w:lang w:val="en-US"/>
        </w:rPr>
        <w:t>Schneiderman</w:t>
      </w:r>
      <w:r w:rsidR="007B503D" w:rsidRPr="000C2E9E">
        <w:rPr>
          <w:rFonts w:asciiTheme="minorHAnsi" w:hAnsiTheme="minorHAnsi" w:cstheme="minorHAnsi"/>
          <w:sz w:val="24"/>
          <w:szCs w:val="24"/>
        </w:rPr>
        <w:t xml:space="preserve">, &amp; </w:t>
      </w:r>
      <w:r w:rsidR="007B503D" w:rsidRPr="000C2E9E">
        <w:rPr>
          <w:rFonts w:asciiTheme="minorHAnsi" w:hAnsiTheme="minorHAnsi" w:cstheme="minorHAnsi"/>
          <w:sz w:val="24"/>
          <w:szCs w:val="24"/>
          <w:lang w:val="en-US"/>
        </w:rPr>
        <w:t>Hautzinger</w:t>
      </w:r>
      <w:r w:rsidR="007B503D" w:rsidRPr="000C2E9E">
        <w:rPr>
          <w:rFonts w:asciiTheme="minorHAnsi" w:hAnsiTheme="minorHAnsi" w:cstheme="minorHAnsi"/>
          <w:sz w:val="24"/>
          <w:szCs w:val="24"/>
        </w:rPr>
        <w:t>,</w:t>
      </w:r>
      <w:r w:rsidR="007B503D" w:rsidRPr="000C2E9E">
        <w:rPr>
          <w:sz w:val="24"/>
          <w:szCs w:val="24"/>
          <w:lang w:eastAsia="el-GR"/>
        </w:rPr>
        <w:t xml:space="preserve"> </w:t>
      </w:r>
      <w:r w:rsidRPr="000C2E9E">
        <w:rPr>
          <w:sz w:val="24"/>
          <w:szCs w:val="24"/>
          <w:lang w:eastAsia="el-GR"/>
        </w:rPr>
        <w:t>2007; Vogel</w:t>
      </w:r>
      <w:r w:rsidR="006744A0" w:rsidRPr="000C2E9E">
        <w:rPr>
          <w:sz w:val="24"/>
          <w:szCs w:val="24"/>
          <w:lang w:eastAsia="el-GR"/>
        </w:rPr>
        <w:t xml:space="preserve">, </w:t>
      </w:r>
      <w:r w:rsidR="006744A0" w:rsidRPr="000C2E9E">
        <w:rPr>
          <w:rFonts w:cstheme="minorHAnsi"/>
          <w:sz w:val="24"/>
          <w:szCs w:val="24"/>
          <w:lang w:val="en-US"/>
        </w:rPr>
        <w:t>Helmes</w:t>
      </w:r>
      <w:r w:rsidR="006744A0" w:rsidRPr="000C2E9E">
        <w:rPr>
          <w:rFonts w:cstheme="minorHAnsi"/>
          <w:sz w:val="24"/>
          <w:szCs w:val="24"/>
        </w:rPr>
        <w:t xml:space="preserve">, &amp; </w:t>
      </w:r>
      <w:r w:rsidR="006744A0" w:rsidRPr="000C2E9E">
        <w:rPr>
          <w:rFonts w:cstheme="minorHAnsi"/>
          <w:sz w:val="24"/>
          <w:szCs w:val="24"/>
          <w:lang w:val="en-US"/>
        </w:rPr>
        <w:t>Hasenburg</w:t>
      </w:r>
      <w:r w:rsidR="007B503D" w:rsidRPr="000C2E9E">
        <w:rPr>
          <w:rFonts w:cstheme="minorHAnsi"/>
          <w:sz w:val="24"/>
          <w:szCs w:val="24"/>
        </w:rPr>
        <w:t>,</w:t>
      </w:r>
      <w:r w:rsidRPr="000C2E9E">
        <w:rPr>
          <w:sz w:val="24"/>
          <w:szCs w:val="24"/>
          <w:lang w:eastAsia="el-GR"/>
        </w:rPr>
        <w:t xml:space="preserve"> 2008).</w:t>
      </w:r>
    </w:p>
    <w:p w:rsidR="0063117A" w:rsidRPr="00846659" w:rsidRDefault="00657457" w:rsidP="005A464E">
      <w:pPr>
        <w:spacing w:line="360" w:lineRule="auto"/>
        <w:jc w:val="both"/>
        <w:rPr>
          <w:sz w:val="24"/>
          <w:szCs w:val="24"/>
          <w:lang w:eastAsia="el-GR"/>
        </w:rPr>
      </w:pPr>
      <w:r w:rsidRPr="000C2E9E">
        <w:rPr>
          <w:sz w:val="24"/>
          <w:szCs w:val="24"/>
          <w:lang w:eastAsia="el-GR"/>
        </w:rPr>
        <w:t>Η αλλαγή των ρόλων τ</w:t>
      </w:r>
      <w:r w:rsidR="006B4FA7" w:rsidRPr="000C2E9E">
        <w:rPr>
          <w:sz w:val="24"/>
          <w:szCs w:val="24"/>
          <w:lang w:eastAsia="el-GR"/>
        </w:rPr>
        <w:t xml:space="preserve">ου επαγγελματία υγείας και </w:t>
      </w:r>
      <w:r w:rsidR="00B0560D" w:rsidRPr="000C2E9E">
        <w:rPr>
          <w:sz w:val="24"/>
          <w:szCs w:val="24"/>
          <w:lang w:eastAsia="el-GR"/>
        </w:rPr>
        <w:t>του ασθενούς</w:t>
      </w:r>
      <w:r w:rsidR="0063117A" w:rsidRPr="000C2E9E">
        <w:rPr>
          <w:sz w:val="24"/>
          <w:szCs w:val="24"/>
          <w:lang w:eastAsia="el-GR"/>
        </w:rPr>
        <w:t xml:space="preserve"> μπορεί να έχει σημαντική επίδραση στον βαθμό κατά τ</w:t>
      </w:r>
      <w:r w:rsidR="009A3119" w:rsidRPr="000C2E9E">
        <w:rPr>
          <w:sz w:val="24"/>
          <w:szCs w:val="24"/>
          <w:lang w:eastAsia="el-GR"/>
        </w:rPr>
        <w:t xml:space="preserve">ον οποίο η </w:t>
      </w:r>
      <w:r w:rsidR="009F64BD" w:rsidRPr="000C2E9E">
        <w:rPr>
          <w:sz w:val="24"/>
          <w:szCs w:val="24"/>
          <w:lang w:eastAsia="el-GR"/>
        </w:rPr>
        <w:t>απόφαση λαμβάνεται από κοινού</w:t>
      </w:r>
      <w:r w:rsidR="006B4FA7" w:rsidRPr="000C2E9E">
        <w:rPr>
          <w:sz w:val="24"/>
          <w:szCs w:val="24"/>
          <w:lang w:eastAsia="el-GR"/>
        </w:rPr>
        <w:t>. Ο επαγγελματίας υγείας</w:t>
      </w:r>
      <w:r w:rsidR="0063117A" w:rsidRPr="000C2E9E">
        <w:rPr>
          <w:sz w:val="24"/>
          <w:szCs w:val="24"/>
          <w:lang w:eastAsia="el-GR"/>
        </w:rPr>
        <w:t xml:space="preserve"> μπο</w:t>
      </w:r>
      <w:r w:rsidR="006B4FA7" w:rsidRPr="000C2E9E">
        <w:rPr>
          <w:sz w:val="24"/>
          <w:szCs w:val="24"/>
          <w:lang w:eastAsia="el-GR"/>
        </w:rPr>
        <w:t>ρεί να χρειασθεί να μετακινηθεί</w:t>
      </w:r>
      <w:r w:rsidR="0078495A" w:rsidRPr="000C2E9E">
        <w:rPr>
          <w:sz w:val="24"/>
          <w:szCs w:val="24"/>
          <w:lang w:eastAsia="el-GR"/>
        </w:rPr>
        <w:t xml:space="preserve"> </w:t>
      </w:r>
      <w:r w:rsidR="006B4FA7" w:rsidRPr="000C2E9E">
        <w:rPr>
          <w:sz w:val="24"/>
          <w:szCs w:val="24"/>
          <w:lang w:eastAsia="el-GR"/>
        </w:rPr>
        <w:t>από τ</w:t>
      </w:r>
      <w:r w:rsidR="009A3119" w:rsidRPr="000C2E9E">
        <w:rPr>
          <w:sz w:val="24"/>
          <w:szCs w:val="24"/>
          <w:lang w:eastAsia="el-GR"/>
        </w:rPr>
        <w:t>η θέση του «ειδικού που φροντίζ</w:t>
      </w:r>
      <w:r w:rsidR="006B4FA7" w:rsidRPr="000C2E9E">
        <w:rPr>
          <w:sz w:val="24"/>
          <w:szCs w:val="24"/>
          <w:lang w:eastAsia="el-GR"/>
        </w:rPr>
        <w:t>ει» σε «ικανό</w:t>
      </w:r>
      <w:r w:rsidRPr="000C2E9E">
        <w:rPr>
          <w:sz w:val="24"/>
          <w:szCs w:val="24"/>
          <w:lang w:eastAsia="el-GR"/>
        </w:rPr>
        <w:t>»</w:t>
      </w:r>
      <w:r w:rsidR="006B4FA7" w:rsidRPr="000C2E9E">
        <w:rPr>
          <w:sz w:val="24"/>
          <w:szCs w:val="24"/>
          <w:lang w:eastAsia="el-GR"/>
        </w:rPr>
        <w:t xml:space="preserve"> που βοηθά τον</w:t>
      </w:r>
      <w:r w:rsidR="0063117A" w:rsidRPr="000C2E9E">
        <w:rPr>
          <w:sz w:val="24"/>
          <w:szCs w:val="24"/>
          <w:lang w:eastAsia="el-GR"/>
        </w:rPr>
        <w:t xml:space="preserve"> ασθ</w:t>
      </w:r>
      <w:r w:rsidR="006B4FA7" w:rsidRPr="000C2E9E">
        <w:rPr>
          <w:sz w:val="24"/>
          <w:szCs w:val="24"/>
          <w:lang w:eastAsia="el-GR"/>
        </w:rPr>
        <w:t>ενή να έχει</w:t>
      </w:r>
      <w:r w:rsidR="0063117A" w:rsidRPr="000C2E9E">
        <w:rPr>
          <w:sz w:val="24"/>
          <w:szCs w:val="24"/>
          <w:lang w:eastAsia="el-GR"/>
        </w:rPr>
        <w:t xml:space="preserve"> τη βέλτ</w:t>
      </w:r>
      <w:r w:rsidR="006B4FA7" w:rsidRPr="000C2E9E">
        <w:rPr>
          <w:sz w:val="24"/>
          <w:szCs w:val="24"/>
          <w:lang w:eastAsia="el-GR"/>
        </w:rPr>
        <w:t>ιστη υγεία. Επιπλέον, ο ασθενή</w:t>
      </w:r>
      <w:r w:rsidR="0063117A" w:rsidRPr="000C2E9E">
        <w:rPr>
          <w:sz w:val="24"/>
          <w:szCs w:val="24"/>
          <w:lang w:eastAsia="el-GR"/>
        </w:rPr>
        <w:t>ς μπο</w:t>
      </w:r>
      <w:r w:rsidR="006B4FA7" w:rsidRPr="000C2E9E">
        <w:rPr>
          <w:sz w:val="24"/>
          <w:szCs w:val="24"/>
          <w:lang w:eastAsia="el-GR"/>
        </w:rPr>
        <w:t>ρεί να χρειασθεί να μετακινηθεί</w:t>
      </w:r>
      <w:r w:rsidR="00127016" w:rsidRPr="000C2E9E">
        <w:rPr>
          <w:sz w:val="24"/>
          <w:szCs w:val="24"/>
          <w:lang w:eastAsia="el-GR"/>
        </w:rPr>
        <w:t xml:space="preserve"> από τη θέση του «παθητικού» λήπτη φροντίδας σε υπεύθυνο</w:t>
      </w:r>
      <w:r w:rsidR="0063117A" w:rsidRPr="000C2E9E">
        <w:rPr>
          <w:sz w:val="24"/>
          <w:szCs w:val="24"/>
          <w:lang w:eastAsia="el-GR"/>
        </w:rPr>
        <w:t xml:space="preserve"> για την υγεία και τη</w:t>
      </w:r>
      <w:r w:rsidR="00127016" w:rsidRPr="000C2E9E">
        <w:rPr>
          <w:sz w:val="24"/>
          <w:szCs w:val="24"/>
          <w:lang w:eastAsia="el-GR"/>
        </w:rPr>
        <w:t xml:space="preserve"> φροντίδα του</w:t>
      </w:r>
      <w:r w:rsidR="0063117A" w:rsidRPr="000C2E9E">
        <w:rPr>
          <w:sz w:val="24"/>
          <w:szCs w:val="24"/>
          <w:lang w:eastAsia="el-GR"/>
        </w:rPr>
        <w:t xml:space="preserve">. Το σημαντικότερο σημείο είναι </w:t>
      </w:r>
      <w:r w:rsidR="009A3119" w:rsidRPr="000C2E9E">
        <w:rPr>
          <w:sz w:val="24"/>
          <w:szCs w:val="24"/>
          <w:lang w:eastAsia="el-GR"/>
        </w:rPr>
        <w:t xml:space="preserve">ότι </w:t>
      </w:r>
      <w:r w:rsidR="009F64BD" w:rsidRPr="000C2E9E">
        <w:rPr>
          <w:sz w:val="24"/>
          <w:szCs w:val="24"/>
          <w:lang w:eastAsia="el-GR"/>
        </w:rPr>
        <w:t xml:space="preserve"> η λήψη </w:t>
      </w:r>
      <w:r w:rsidR="009A3119" w:rsidRPr="000C2E9E">
        <w:rPr>
          <w:sz w:val="24"/>
          <w:szCs w:val="24"/>
          <w:lang w:eastAsia="el-GR"/>
        </w:rPr>
        <w:t>της</w:t>
      </w:r>
      <w:r w:rsidR="0063117A" w:rsidRPr="000C2E9E">
        <w:rPr>
          <w:sz w:val="24"/>
          <w:szCs w:val="24"/>
          <w:lang w:eastAsia="el-GR"/>
        </w:rPr>
        <w:t xml:space="preserve"> απόφ</w:t>
      </w:r>
      <w:r w:rsidR="0063117A" w:rsidRPr="005A464E">
        <w:rPr>
          <w:sz w:val="24"/>
          <w:szCs w:val="24"/>
          <w:lang w:eastAsia="el-GR"/>
        </w:rPr>
        <w:t>αση</w:t>
      </w:r>
      <w:r w:rsidR="009A3119">
        <w:rPr>
          <w:sz w:val="24"/>
          <w:szCs w:val="24"/>
          <w:lang w:eastAsia="el-GR"/>
        </w:rPr>
        <w:t>ς</w:t>
      </w:r>
      <w:r w:rsidR="0063117A" w:rsidRPr="005A464E">
        <w:rPr>
          <w:sz w:val="24"/>
          <w:szCs w:val="24"/>
          <w:lang w:eastAsia="el-GR"/>
        </w:rPr>
        <w:t xml:space="preserve"> απαιτεί την αλλαγή και από τις δύο πλευρές και αυτό είναι πιο βασικό από </w:t>
      </w:r>
      <w:r w:rsidR="00846659">
        <w:rPr>
          <w:sz w:val="24"/>
          <w:szCs w:val="24"/>
          <w:lang w:eastAsia="el-GR"/>
        </w:rPr>
        <w:t>την απλή παροχή της πληροφορίας</w:t>
      </w:r>
      <w:r w:rsidR="00846659" w:rsidRPr="00846659">
        <w:rPr>
          <w:sz w:val="24"/>
          <w:szCs w:val="24"/>
          <w:lang w:eastAsia="el-GR"/>
        </w:rPr>
        <w:t xml:space="preserve"> </w:t>
      </w:r>
      <w:r w:rsidR="00846659">
        <w:rPr>
          <w:sz w:val="24"/>
          <w:szCs w:val="24"/>
          <w:lang w:eastAsia="el-GR"/>
        </w:rPr>
        <w:t>(</w:t>
      </w:r>
      <w:r w:rsidR="00846659" w:rsidRPr="007B503D">
        <w:rPr>
          <w:sz w:val="24"/>
          <w:szCs w:val="24"/>
          <w:lang w:val="en-US" w:eastAsia="el-GR"/>
        </w:rPr>
        <w:t>White</w:t>
      </w:r>
      <w:r w:rsidR="00846659" w:rsidRPr="00846659">
        <w:rPr>
          <w:sz w:val="24"/>
          <w:szCs w:val="24"/>
          <w:lang w:eastAsia="el-GR"/>
        </w:rPr>
        <w:t xml:space="preserve">, </w:t>
      </w:r>
      <w:r w:rsidR="00846659">
        <w:rPr>
          <w:rFonts w:asciiTheme="minorHAnsi" w:eastAsia="Times New Roman" w:hAnsiTheme="minorHAnsi" w:cstheme="minorHAnsi"/>
          <w:iCs/>
          <w:sz w:val="24"/>
          <w:szCs w:val="24"/>
          <w:lang w:val="en-US" w:eastAsia="el-GR"/>
        </w:rPr>
        <w:t>Braddock</w:t>
      </w:r>
      <w:r w:rsidR="00846659" w:rsidRPr="00846659">
        <w:rPr>
          <w:rFonts w:asciiTheme="minorHAnsi" w:eastAsia="Times New Roman" w:hAnsiTheme="minorHAnsi" w:cstheme="minorHAnsi"/>
          <w:iCs/>
          <w:sz w:val="24"/>
          <w:szCs w:val="24"/>
          <w:lang w:eastAsia="el-GR"/>
        </w:rPr>
        <w:t xml:space="preserve"> 3</w:t>
      </w:r>
      <w:r w:rsidR="00846659">
        <w:rPr>
          <w:rFonts w:asciiTheme="minorHAnsi" w:eastAsia="Times New Roman" w:hAnsiTheme="minorHAnsi" w:cstheme="minorHAnsi"/>
          <w:iCs/>
          <w:sz w:val="24"/>
          <w:szCs w:val="24"/>
          <w:lang w:val="en-US" w:eastAsia="el-GR"/>
        </w:rPr>
        <w:t>rd</w:t>
      </w:r>
      <w:r w:rsidR="00846659" w:rsidRPr="00846659">
        <w:rPr>
          <w:rFonts w:asciiTheme="minorHAnsi" w:eastAsia="Times New Roman" w:hAnsiTheme="minorHAnsi" w:cstheme="minorHAnsi"/>
          <w:iCs/>
          <w:sz w:val="24"/>
          <w:szCs w:val="24"/>
          <w:lang w:eastAsia="el-GR"/>
        </w:rPr>
        <w:t xml:space="preserve">, </w:t>
      </w:r>
      <w:r w:rsidR="00846659">
        <w:rPr>
          <w:rFonts w:asciiTheme="minorHAnsi" w:eastAsia="Times New Roman" w:hAnsiTheme="minorHAnsi" w:cstheme="minorHAnsi"/>
          <w:iCs/>
          <w:sz w:val="24"/>
          <w:szCs w:val="24"/>
          <w:lang w:val="en-US" w:eastAsia="el-GR"/>
        </w:rPr>
        <w:t>Bereknyei</w:t>
      </w:r>
      <w:r w:rsidR="00846659" w:rsidRPr="00846659">
        <w:rPr>
          <w:rFonts w:asciiTheme="minorHAnsi" w:eastAsia="Times New Roman" w:hAnsiTheme="minorHAnsi" w:cstheme="minorHAnsi"/>
          <w:iCs/>
          <w:sz w:val="24"/>
          <w:szCs w:val="24"/>
          <w:lang w:eastAsia="el-GR"/>
        </w:rPr>
        <w:t xml:space="preserve">, &amp; </w:t>
      </w:r>
      <w:r w:rsidR="00846659" w:rsidRPr="00D31BD9">
        <w:rPr>
          <w:rFonts w:asciiTheme="minorHAnsi" w:eastAsia="Times New Roman" w:hAnsiTheme="minorHAnsi" w:cstheme="minorHAnsi"/>
          <w:iCs/>
          <w:sz w:val="24"/>
          <w:szCs w:val="24"/>
          <w:lang w:val="en-US" w:eastAsia="el-GR"/>
        </w:rPr>
        <w:t>Curtis</w:t>
      </w:r>
      <w:r w:rsidR="00846659" w:rsidRPr="00846659">
        <w:rPr>
          <w:rFonts w:asciiTheme="minorHAnsi" w:eastAsia="Times New Roman" w:hAnsiTheme="minorHAnsi" w:cstheme="minorHAnsi"/>
          <w:iCs/>
          <w:sz w:val="24"/>
          <w:szCs w:val="24"/>
          <w:lang w:eastAsia="el-GR"/>
        </w:rPr>
        <w:t>,</w:t>
      </w:r>
      <w:r w:rsidR="00846659" w:rsidRPr="00846659">
        <w:rPr>
          <w:sz w:val="24"/>
          <w:szCs w:val="24"/>
          <w:lang w:eastAsia="el-GR"/>
        </w:rPr>
        <w:t xml:space="preserve"> 2007</w:t>
      </w:r>
      <w:r w:rsidR="00846659">
        <w:rPr>
          <w:sz w:val="24"/>
          <w:szCs w:val="24"/>
          <w:lang w:eastAsia="el-GR"/>
        </w:rPr>
        <w:t xml:space="preserve">; </w:t>
      </w:r>
      <w:r w:rsidR="00846659" w:rsidRPr="007B503D">
        <w:rPr>
          <w:sz w:val="24"/>
          <w:szCs w:val="24"/>
          <w:lang w:val="en-US" w:eastAsia="el-GR"/>
        </w:rPr>
        <w:t>Knopf</w:t>
      </w:r>
      <w:r w:rsidR="00846659" w:rsidRPr="00846659">
        <w:rPr>
          <w:sz w:val="24"/>
          <w:szCs w:val="24"/>
          <w:lang w:eastAsia="el-GR"/>
        </w:rPr>
        <w:t xml:space="preserve">, </w:t>
      </w:r>
      <w:r w:rsidR="00846659">
        <w:rPr>
          <w:rFonts w:asciiTheme="minorHAnsi" w:hAnsiTheme="minorHAnsi" w:cstheme="minorHAnsi"/>
          <w:sz w:val="24"/>
          <w:szCs w:val="24"/>
          <w:lang w:val="en-US"/>
        </w:rPr>
        <w:t>Hornung</w:t>
      </w:r>
      <w:r w:rsidR="00846659" w:rsidRPr="00846659">
        <w:rPr>
          <w:rFonts w:asciiTheme="minorHAnsi" w:hAnsiTheme="minorHAnsi" w:cstheme="minorHAnsi"/>
          <w:sz w:val="24"/>
          <w:szCs w:val="24"/>
        </w:rPr>
        <w:t xml:space="preserve">, </w:t>
      </w:r>
      <w:r w:rsidR="00846659">
        <w:rPr>
          <w:rFonts w:asciiTheme="minorHAnsi" w:hAnsiTheme="minorHAnsi" w:cstheme="minorHAnsi"/>
          <w:sz w:val="24"/>
          <w:szCs w:val="24"/>
          <w:lang w:val="en-US"/>
        </w:rPr>
        <w:t>Slap</w:t>
      </w:r>
      <w:r w:rsidR="00846659" w:rsidRPr="00846659">
        <w:rPr>
          <w:rFonts w:asciiTheme="minorHAnsi" w:hAnsiTheme="minorHAnsi" w:cstheme="minorHAnsi"/>
          <w:sz w:val="24"/>
          <w:szCs w:val="24"/>
        </w:rPr>
        <w:t xml:space="preserve">, </w:t>
      </w:r>
      <w:r w:rsidR="00846659" w:rsidRPr="007B503D">
        <w:rPr>
          <w:rFonts w:asciiTheme="minorHAnsi" w:hAnsiTheme="minorHAnsi" w:cstheme="minorHAnsi"/>
          <w:sz w:val="24"/>
          <w:szCs w:val="24"/>
          <w:lang w:val="en-US"/>
        </w:rPr>
        <w:t>DeVellis</w:t>
      </w:r>
      <w:r w:rsidR="00846659" w:rsidRPr="00846659">
        <w:rPr>
          <w:rFonts w:asciiTheme="minorHAnsi" w:hAnsiTheme="minorHAnsi" w:cstheme="minorHAnsi"/>
          <w:sz w:val="24"/>
          <w:szCs w:val="24"/>
        </w:rPr>
        <w:t xml:space="preserve">, &amp; </w:t>
      </w:r>
      <w:r w:rsidR="00846659" w:rsidRPr="007B503D">
        <w:rPr>
          <w:rFonts w:asciiTheme="minorHAnsi" w:hAnsiTheme="minorHAnsi" w:cstheme="minorHAnsi"/>
          <w:sz w:val="24"/>
          <w:szCs w:val="24"/>
          <w:lang w:val="en-US"/>
        </w:rPr>
        <w:t>Britto</w:t>
      </w:r>
      <w:r w:rsidR="00846659" w:rsidRPr="00846659">
        <w:rPr>
          <w:sz w:val="24"/>
          <w:szCs w:val="24"/>
          <w:lang w:eastAsia="el-GR"/>
        </w:rPr>
        <w:t xml:space="preserve"> </w:t>
      </w:r>
      <w:r w:rsidR="00846659">
        <w:rPr>
          <w:sz w:val="24"/>
          <w:szCs w:val="24"/>
          <w:lang w:eastAsia="el-GR"/>
        </w:rPr>
        <w:t>2008)</w:t>
      </w:r>
    </w:p>
    <w:p w:rsidR="0063117A" w:rsidRPr="005A464E" w:rsidRDefault="0063117A" w:rsidP="005A464E">
      <w:pPr>
        <w:spacing w:line="360" w:lineRule="auto"/>
        <w:jc w:val="both"/>
        <w:rPr>
          <w:b/>
          <w:sz w:val="24"/>
          <w:szCs w:val="24"/>
          <w:lang w:eastAsia="el-GR"/>
        </w:rPr>
      </w:pPr>
      <w:r w:rsidRPr="005A464E">
        <w:rPr>
          <w:b/>
          <w:sz w:val="24"/>
          <w:szCs w:val="24"/>
          <w:lang w:eastAsia="el-GR"/>
        </w:rPr>
        <w:t>Οι βασικές αρχές που πρέπει να τηρούνται στη λήψη των κλινικών αποφάσεων είναι:</w:t>
      </w:r>
    </w:p>
    <w:p w:rsidR="0063117A" w:rsidRPr="005A464E" w:rsidRDefault="0063117A" w:rsidP="00846659">
      <w:pPr>
        <w:numPr>
          <w:ilvl w:val="0"/>
          <w:numId w:val="119"/>
        </w:numPr>
        <w:spacing w:line="360" w:lineRule="auto"/>
        <w:jc w:val="both"/>
        <w:rPr>
          <w:sz w:val="24"/>
          <w:szCs w:val="24"/>
          <w:lang w:eastAsia="el-GR"/>
        </w:rPr>
      </w:pPr>
      <w:r w:rsidRPr="005A464E">
        <w:rPr>
          <w:sz w:val="24"/>
          <w:szCs w:val="24"/>
          <w:lang w:eastAsia="el-GR"/>
        </w:rPr>
        <w:t xml:space="preserve">Ενεργός υποστήριξη </w:t>
      </w:r>
      <w:r w:rsidR="00B0560D">
        <w:rPr>
          <w:sz w:val="24"/>
          <w:szCs w:val="24"/>
          <w:lang w:eastAsia="el-GR"/>
        </w:rPr>
        <w:t>του ασθενούς</w:t>
      </w:r>
      <w:r w:rsidR="0078495A">
        <w:rPr>
          <w:sz w:val="24"/>
          <w:szCs w:val="24"/>
          <w:lang w:eastAsia="el-GR"/>
        </w:rPr>
        <w:t xml:space="preserve"> </w:t>
      </w:r>
      <w:r w:rsidRPr="005A464E">
        <w:rPr>
          <w:sz w:val="24"/>
          <w:szCs w:val="24"/>
          <w:lang w:eastAsia="el-GR"/>
        </w:rPr>
        <w:t>να συμμετέχει στις αποφάσεις</w:t>
      </w:r>
      <w:r w:rsidR="00127016">
        <w:rPr>
          <w:sz w:val="24"/>
          <w:szCs w:val="24"/>
          <w:lang w:eastAsia="el-GR"/>
        </w:rPr>
        <w:t>.</w:t>
      </w:r>
    </w:p>
    <w:p w:rsidR="0063117A" w:rsidRPr="005A464E" w:rsidRDefault="0063117A" w:rsidP="00846659">
      <w:pPr>
        <w:numPr>
          <w:ilvl w:val="0"/>
          <w:numId w:val="119"/>
        </w:numPr>
        <w:spacing w:line="360" w:lineRule="auto"/>
        <w:jc w:val="both"/>
        <w:rPr>
          <w:sz w:val="24"/>
          <w:szCs w:val="24"/>
          <w:lang w:eastAsia="el-GR"/>
        </w:rPr>
      </w:pPr>
      <w:r w:rsidRPr="005A464E">
        <w:rPr>
          <w:sz w:val="24"/>
          <w:szCs w:val="24"/>
          <w:lang w:eastAsia="el-GR"/>
        </w:rPr>
        <w:t>Επισήμανση των προοπτικών λύσης του προβλήματος</w:t>
      </w:r>
      <w:r w:rsidR="00127016">
        <w:rPr>
          <w:sz w:val="24"/>
          <w:szCs w:val="24"/>
          <w:lang w:eastAsia="el-GR"/>
        </w:rPr>
        <w:t>.</w:t>
      </w:r>
    </w:p>
    <w:p w:rsidR="0063117A" w:rsidRPr="005A464E" w:rsidRDefault="0063117A" w:rsidP="00846659">
      <w:pPr>
        <w:numPr>
          <w:ilvl w:val="0"/>
          <w:numId w:val="119"/>
        </w:numPr>
        <w:spacing w:line="360" w:lineRule="auto"/>
        <w:jc w:val="both"/>
        <w:rPr>
          <w:sz w:val="24"/>
          <w:szCs w:val="24"/>
          <w:lang w:eastAsia="el-GR"/>
        </w:rPr>
      </w:pPr>
      <w:r w:rsidRPr="005A464E">
        <w:rPr>
          <w:sz w:val="24"/>
          <w:szCs w:val="24"/>
          <w:lang w:eastAsia="el-GR"/>
        </w:rPr>
        <w:t xml:space="preserve">Ρόλος </w:t>
      </w:r>
      <w:r w:rsidR="00B0560D">
        <w:rPr>
          <w:sz w:val="24"/>
          <w:szCs w:val="24"/>
          <w:lang w:eastAsia="el-GR"/>
        </w:rPr>
        <w:t>του ασθενούς</w:t>
      </w:r>
      <w:r w:rsidRPr="005A464E">
        <w:rPr>
          <w:sz w:val="24"/>
          <w:szCs w:val="24"/>
          <w:lang w:eastAsia="el-GR"/>
        </w:rPr>
        <w:t xml:space="preserve"> ως</w:t>
      </w:r>
      <w:r w:rsidR="0078495A">
        <w:rPr>
          <w:sz w:val="24"/>
          <w:szCs w:val="24"/>
          <w:lang w:eastAsia="el-GR"/>
        </w:rPr>
        <w:t xml:space="preserve"> </w:t>
      </w:r>
      <w:r w:rsidRPr="005A464E">
        <w:rPr>
          <w:sz w:val="24"/>
          <w:szCs w:val="24"/>
          <w:lang w:eastAsia="el-GR"/>
        </w:rPr>
        <w:t>συνεργάτη στην ανάπτυξη πλάνων φροντίδας</w:t>
      </w:r>
      <w:r w:rsidR="00127016">
        <w:rPr>
          <w:sz w:val="24"/>
          <w:szCs w:val="24"/>
          <w:lang w:eastAsia="el-GR"/>
        </w:rPr>
        <w:t>.</w:t>
      </w:r>
    </w:p>
    <w:p w:rsidR="0063117A" w:rsidRPr="005A464E" w:rsidRDefault="0063117A" w:rsidP="00846659">
      <w:pPr>
        <w:numPr>
          <w:ilvl w:val="0"/>
          <w:numId w:val="119"/>
        </w:numPr>
        <w:spacing w:line="360" w:lineRule="auto"/>
        <w:jc w:val="both"/>
        <w:rPr>
          <w:sz w:val="24"/>
          <w:szCs w:val="24"/>
          <w:lang w:eastAsia="el-GR"/>
        </w:rPr>
      </w:pPr>
      <w:r w:rsidRPr="005A464E">
        <w:rPr>
          <w:sz w:val="24"/>
          <w:szCs w:val="24"/>
          <w:lang w:eastAsia="el-GR"/>
        </w:rPr>
        <w:t xml:space="preserve">Θέσπιση </w:t>
      </w:r>
      <w:r w:rsidR="009C322F" w:rsidRPr="005A464E">
        <w:rPr>
          <w:sz w:val="24"/>
          <w:szCs w:val="24"/>
          <w:lang w:eastAsia="el-GR"/>
        </w:rPr>
        <w:t>ρεαλιστικών στόχων (</w:t>
      </w:r>
      <w:r w:rsidR="00197BA9">
        <w:rPr>
          <w:sz w:val="24"/>
          <w:szCs w:val="24"/>
          <w:lang w:eastAsia="el-GR"/>
        </w:rPr>
        <w:t>Fiks,</w:t>
      </w:r>
      <w:r w:rsidR="00197BA9" w:rsidRPr="00197BA9">
        <w:rPr>
          <w:rFonts w:asciiTheme="minorHAnsi" w:eastAsia="Times New Roman" w:hAnsiTheme="minorHAnsi" w:cstheme="minorHAnsi"/>
          <w:lang w:eastAsia="el-GR"/>
        </w:rPr>
        <w:t xml:space="preserve"> </w:t>
      </w:r>
      <w:r w:rsidR="00197BA9" w:rsidRPr="00197BA9">
        <w:rPr>
          <w:rFonts w:asciiTheme="minorHAnsi" w:eastAsia="Times New Roman" w:hAnsiTheme="minorHAnsi" w:cstheme="minorHAnsi"/>
          <w:sz w:val="24"/>
          <w:szCs w:val="24"/>
          <w:lang w:val="en-US" w:eastAsia="el-GR"/>
        </w:rPr>
        <w:t>Localio</w:t>
      </w:r>
      <w:r w:rsidR="00197BA9" w:rsidRPr="00197BA9">
        <w:rPr>
          <w:rFonts w:asciiTheme="minorHAnsi" w:eastAsia="Times New Roman" w:hAnsiTheme="minorHAnsi" w:cstheme="minorHAnsi"/>
          <w:sz w:val="24"/>
          <w:szCs w:val="24"/>
          <w:lang w:eastAsia="el-GR"/>
        </w:rPr>
        <w:t xml:space="preserve">, </w:t>
      </w:r>
      <w:r w:rsidR="00197BA9" w:rsidRPr="00197BA9">
        <w:rPr>
          <w:rFonts w:asciiTheme="minorHAnsi" w:eastAsia="Times New Roman" w:hAnsiTheme="minorHAnsi" w:cstheme="minorHAnsi"/>
          <w:sz w:val="24"/>
          <w:szCs w:val="24"/>
          <w:lang w:val="en-US" w:eastAsia="el-GR"/>
        </w:rPr>
        <w:t>Alessandrini</w:t>
      </w:r>
      <w:r w:rsidR="00197BA9" w:rsidRPr="00197BA9">
        <w:rPr>
          <w:rFonts w:asciiTheme="minorHAnsi" w:eastAsia="Times New Roman" w:hAnsiTheme="minorHAnsi" w:cstheme="minorHAnsi"/>
          <w:sz w:val="24"/>
          <w:szCs w:val="24"/>
          <w:lang w:eastAsia="el-GR"/>
        </w:rPr>
        <w:t xml:space="preserve">, </w:t>
      </w:r>
      <w:r w:rsidR="00197BA9" w:rsidRPr="00197BA9">
        <w:rPr>
          <w:rFonts w:asciiTheme="minorHAnsi" w:eastAsia="Times New Roman" w:hAnsiTheme="minorHAnsi" w:cstheme="minorHAnsi"/>
          <w:sz w:val="24"/>
          <w:szCs w:val="24"/>
          <w:lang w:val="en-US" w:eastAsia="el-GR"/>
        </w:rPr>
        <w:t>Asch</w:t>
      </w:r>
      <w:r w:rsidR="00197BA9">
        <w:rPr>
          <w:rFonts w:asciiTheme="minorHAnsi" w:eastAsia="Times New Roman" w:hAnsiTheme="minorHAnsi" w:cstheme="minorHAnsi"/>
          <w:sz w:val="24"/>
          <w:szCs w:val="24"/>
          <w:lang w:eastAsia="el-GR"/>
        </w:rPr>
        <w:t>,</w:t>
      </w:r>
      <w:r w:rsidR="00197BA9" w:rsidRPr="00197BA9">
        <w:rPr>
          <w:rFonts w:asciiTheme="minorHAnsi" w:eastAsia="Times New Roman" w:hAnsiTheme="minorHAnsi" w:cstheme="minorHAnsi"/>
          <w:sz w:val="24"/>
          <w:szCs w:val="24"/>
          <w:lang w:eastAsia="el-GR"/>
        </w:rPr>
        <w:t xml:space="preserve"> &amp; </w:t>
      </w:r>
      <w:r w:rsidR="00197BA9" w:rsidRPr="00197BA9">
        <w:rPr>
          <w:rFonts w:asciiTheme="minorHAnsi" w:eastAsia="Times New Roman" w:hAnsiTheme="minorHAnsi" w:cstheme="minorHAnsi"/>
          <w:sz w:val="24"/>
          <w:szCs w:val="24"/>
          <w:lang w:val="en-US" w:eastAsia="el-GR"/>
        </w:rPr>
        <w:t>Guevara</w:t>
      </w:r>
      <w:r w:rsidR="00197BA9">
        <w:rPr>
          <w:rFonts w:asciiTheme="minorHAnsi" w:eastAsia="Times New Roman" w:hAnsiTheme="minorHAnsi" w:cstheme="minorHAnsi"/>
          <w:sz w:val="24"/>
          <w:szCs w:val="24"/>
          <w:lang w:eastAsia="el-GR"/>
        </w:rPr>
        <w:t>,</w:t>
      </w:r>
      <w:r w:rsidRPr="00197BA9">
        <w:rPr>
          <w:sz w:val="24"/>
          <w:szCs w:val="24"/>
          <w:lang w:eastAsia="el-GR"/>
        </w:rPr>
        <w:t xml:space="preserve"> 2010</w:t>
      </w:r>
      <w:r w:rsidR="00846659">
        <w:rPr>
          <w:sz w:val="24"/>
          <w:szCs w:val="24"/>
          <w:lang w:eastAsia="el-GR"/>
        </w:rPr>
        <w:t xml:space="preserve">; </w:t>
      </w:r>
      <w:r w:rsidR="00846659" w:rsidRPr="005A464E">
        <w:rPr>
          <w:sz w:val="24"/>
          <w:szCs w:val="24"/>
          <w:lang w:eastAsia="el-GR"/>
        </w:rPr>
        <w:t>Coulter</w:t>
      </w:r>
      <w:r w:rsidR="00846659" w:rsidRPr="006744A0">
        <w:rPr>
          <w:sz w:val="24"/>
          <w:szCs w:val="24"/>
          <w:lang w:eastAsia="el-GR"/>
        </w:rPr>
        <w:t>,</w:t>
      </w:r>
      <w:r w:rsidR="00846659" w:rsidRPr="00C81D8C">
        <w:rPr>
          <w:rFonts w:asciiTheme="minorHAnsi" w:eastAsia="Times New Roman" w:hAnsiTheme="minorHAnsi" w:cstheme="minorHAnsi"/>
          <w:lang w:eastAsia="el-GR"/>
        </w:rPr>
        <w:t xml:space="preserve"> </w:t>
      </w:r>
      <w:r w:rsidR="00846659" w:rsidRPr="00C81D8C">
        <w:rPr>
          <w:rFonts w:asciiTheme="minorHAnsi" w:eastAsia="Times New Roman" w:hAnsiTheme="minorHAnsi" w:cstheme="minorHAnsi"/>
          <w:sz w:val="24"/>
          <w:szCs w:val="24"/>
          <w:lang w:val="en-US" w:eastAsia="el-GR"/>
        </w:rPr>
        <w:t>Edwards</w:t>
      </w:r>
      <w:r w:rsidR="00846659">
        <w:rPr>
          <w:rFonts w:asciiTheme="minorHAnsi" w:eastAsia="Times New Roman" w:hAnsiTheme="minorHAnsi" w:cstheme="minorHAnsi"/>
          <w:sz w:val="24"/>
          <w:szCs w:val="24"/>
          <w:lang w:eastAsia="el-GR"/>
        </w:rPr>
        <w:t>,</w:t>
      </w:r>
      <w:r w:rsidR="00846659" w:rsidRPr="00C81D8C">
        <w:rPr>
          <w:rFonts w:asciiTheme="minorHAnsi" w:eastAsia="Times New Roman" w:hAnsiTheme="minorHAnsi" w:cstheme="minorHAnsi"/>
          <w:sz w:val="24"/>
          <w:szCs w:val="24"/>
          <w:lang w:eastAsia="el-GR"/>
        </w:rPr>
        <w:t xml:space="preserve"> </w:t>
      </w:r>
      <w:r w:rsidR="00846659" w:rsidRPr="00C81D8C">
        <w:rPr>
          <w:rFonts w:asciiTheme="minorHAnsi" w:eastAsia="Times New Roman" w:hAnsiTheme="minorHAnsi" w:cstheme="minorHAnsi"/>
          <w:sz w:val="24"/>
          <w:szCs w:val="24"/>
          <w:lang w:val="en-US" w:eastAsia="el-GR"/>
        </w:rPr>
        <w:t>Elwyn</w:t>
      </w:r>
      <w:r w:rsidR="00846659">
        <w:rPr>
          <w:rFonts w:asciiTheme="minorHAnsi" w:eastAsia="Times New Roman" w:hAnsiTheme="minorHAnsi" w:cstheme="minorHAnsi"/>
          <w:sz w:val="24"/>
          <w:szCs w:val="24"/>
          <w:lang w:eastAsia="el-GR"/>
        </w:rPr>
        <w:t>,</w:t>
      </w:r>
      <w:r w:rsidR="00846659" w:rsidRPr="00C81D8C">
        <w:rPr>
          <w:rFonts w:asciiTheme="minorHAnsi" w:eastAsia="Times New Roman" w:hAnsiTheme="minorHAnsi" w:cstheme="minorHAnsi"/>
          <w:sz w:val="24"/>
          <w:szCs w:val="24"/>
          <w:lang w:eastAsia="el-GR"/>
        </w:rPr>
        <w:t xml:space="preserve"> &amp; </w:t>
      </w:r>
      <w:r w:rsidR="00846659" w:rsidRPr="00C81D8C">
        <w:rPr>
          <w:rFonts w:asciiTheme="minorHAnsi" w:eastAsia="Times New Roman" w:hAnsiTheme="minorHAnsi" w:cstheme="minorHAnsi"/>
          <w:sz w:val="24"/>
          <w:szCs w:val="24"/>
          <w:lang w:val="en-US" w:eastAsia="el-GR"/>
        </w:rPr>
        <w:t>Thomson</w:t>
      </w:r>
      <w:r w:rsidR="00846659" w:rsidRPr="00C81D8C">
        <w:rPr>
          <w:rFonts w:asciiTheme="minorHAnsi" w:eastAsia="Times New Roman" w:hAnsiTheme="minorHAnsi" w:cstheme="minorHAnsi"/>
          <w:sz w:val="24"/>
          <w:szCs w:val="24"/>
          <w:lang w:eastAsia="el-GR"/>
        </w:rPr>
        <w:t>,</w:t>
      </w:r>
      <w:r w:rsidR="00846659" w:rsidRPr="00C81D8C">
        <w:rPr>
          <w:sz w:val="24"/>
          <w:szCs w:val="24"/>
          <w:lang w:eastAsia="el-GR"/>
        </w:rPr>
        <w:t xml:space="preserve"> 2011</w:t>
      </w:r>
      <w:r w:rsidRPr="005A464E">
        <w:rPr>
          <w:sz w:val="24"/>
          <w:szCs w:val="24"/>
          <w:lang w:eastAsia="el-GR"/>
        </w:rPr>
        <w:t>)</w:t>
      </w:r>
      <w:r w:rsidR="00B261A5" w:rsidRPr="005A464E">
        <w:rPr>
          <w:sz w:val="24"/>
          <w:szCs w:val="24"/>
          <w:lang w:eastAsia="el-GR"/>
        </w:rPr>
        <w:t>.</w:t>
      </w:r>
    </w:p>
    <w:p w:rsidR="0063117A" w:rsidRPr="00D50479" w:rsidRDefault="0063117A" w:rsidP="00846659">
      <w:pPr>
        <w:pStyle w:val="25"/>
        <w:numPr>
          <w:ilvl w:val="1"/>
          <w:numId w:val="105"/>
        </w:numPr>
        <w:spacing w:after="240" w:line="360" w:lineRule="auto"/>
        <w:rPr>
          <w:rFonts w:asciiTheme="minorHAnsi" w:hAnsiTheme="minorHAnsi"/>
          <w:shd w:val="clear" w:color="auto" w:fill="FFFFFF"/>
        </w:rPr>
      </w:pPr>
      <w:bookmarkStart w:id="32" w:name="_Toc495951433"/>
      <w:r w:rsidRPr="00D50479">
        <w:rPr>
          <w:rFonts w:asciiTheme="minorHAnsi" w:hAnsiTheme="minorHAnsi"/>
          <w:shd w:val="clear" w:color="auto" w:fill="FFFFFF"/>
        </w:rPr>
        <w:t>Εκπαιδευτικές μέθοδοι</w:t>
      </w:r>
      <w:bookmarkEnd w:id="32"/>
    </w:p>
    <w:p w:rsidR="0063117A" w:rsidRPr="00995094" w:rsidRDefault="00127016" w:rsidP="005A464E">
      <w:pPr>
        <w:spacing w:line="360" w:lineRule="auto"/>
        <w:jc w:val="both"/>
        <w:rPr>
          <w:rFonts w:cs="Arial"/>
          <w:sz w:val="24"/>
          <w:szCs w:val="24"/>
          <w:shd w:val="clear" w:color="auto" w:fill="FFFFFF"/>
        </w:rPr>
      </w:pPr>
      <w:r>
        <w:rPr>
          <w:rFonts w:cs="Arial"/>
          <w:sz w:val="24"/>
          <w:szCs w:val="24"/>
          <w:shd w:val="clear" w:color="auto" w:fill="FFFFFF"/>
        </w:rPr>
        <w:t>Ποικίλες εκπαιδευτικές</w:t>
      </w:r>
      <w:r w:rsidR="0063117A" w:rsidRPr="005A464E">
        <w:rPr>
          <w:rFonts w:cs="Arial"/>
          <w:sz w:val="24"/>
          <w:szCs w:val="24"/>
          <w:shd w:val="clear" w:color="auto" w:fill="FFFFFF"/>
        </w:rPr>
        <w:t xml:space="preserve"> μέθοδοι υπάρχο</w:t>
      </w:r>
      <w:r>
        <w:rPr>
          <w:rFonts w:cs="Arial"/>
          <w:sz w:val="24"/>
          <w:szCs w:val="24"/>
          <w:shd w:val="clear" w:color="auto" w:fill="FFFFFF"/>
        </w:rPr>
        <w:t>υν προκειμένου να βοηθήσουν τον ασθενή να υιοθετήσει</w:t>
      </w:r>
      <w:r w:rsidR="0063117A" w:rsidRPr="005A464E">
        <w:rPr>
          <w:rFonts w:cs="Arial"/>
          <w:sz w:val="24"/>
          <w:szCs w:val="24"/>
          <w:shd w:val="clear" w:color="auto" w:fill="FFFFFF"/>
        </w:rPr>
        <w:t xml:space="preserve"> συμπεριφορές συμμόρφωσης (Κ</w:t>
      </w:r>
      <w:r w:rsidR="0063117A" w:rsidRPr="005A464E">
        <w:rPr>
          <w:rFonts w:cs="Arial"/>
          <w:sz w:val="24"/>
          <w:szCs w:val="24"/>
          <w:shd w:val="clear" w:color="auto" w:fill="FFFFFF"/>
          <w:lang w:val="en-US"/>
        </w:rPr>
        <w:t>ugler</w:t>
      </w:r>
      <w:r w:rsidR="00F071A2" w:rsidRPr="005A464E">
        <w:rPr>
          <w:rFonts w:cs="Arial"/>
          <w:sz w:val="24"/>
          <w:szCs w:val="24"/>
          <w:shd w:val="clear" w:color="auto" w:fill="FFFFFF"/>
        </w:rPr>
        <w:t xml:space="preserve"> </w:t>
      </w:r>
      <w:r w:rsidR="00566CAA">
        <w:rPr>
          <w:rFonts w:cs="Arial"/>
          <w:sz w:val="24"/>
          <w:szCs w:val="24"/>
          <w:shd w:val="clear" w:color="auto" w:fill="FFFFFF"/>
        </w:rPr>
        <w:t>et al</w:t>
      </w:r>
      <w:r w:rsidR="006744A0" w:rsidRPr="006744A0">
        <w:rPr>
          <w:rFonts w:cs="Arial"/>
          <w:sz w:val="24"/>
          <w:szCs w:val="24"/>
          <w:shd w:val="clear" w:color="auto" w:fill="FFFFFF"/>
        </w:rPr>
        <w:t>.</w:t>
      </w:r>
      <w:r w:rsidR="00992F7C">
        <w:rPr>
          <w:rFonts w:cs="Arial"/>
          <w:sz w:val="24"/>
          <w:szCs w:val="24"/>
          <w:shd w:val="clear" w:color="auto" w:fill="FFFFFF"/>
        </w:rPr>
        <w:t>,</w:t>
      </w:r>
      <w:r w:rsidR="00F071A2" w:rsidRPr="005A464E">
        <w:rPr>
          <w:rFonts w:cs="Arial"/>
          <w:sz w:val="24"/>
          <w:szCs w:val="24"/>
          <w:shd w:val="clear" w:color="auto" w:fill="FFFFFF"/>
        </w:rPr>
        <w:t xml:space="preserve"> 2005)</w:t>
      </w:r>
      <w:r w:rsidR="0063117A" w:rsidRPr="005A464E">
        <w:rPr>
          <w:rFonts w:cs="Arial"/>
          <w:sz w:val="24"/>
          <w:szCs w:val="24"/>
          <w:shd w:val="clear" w:color="auto" w:fill="FFFFFF"/>
        </w:rPr>
        <w:t>.</w:t>
      </w:r>
      <w:r w:rsidR="00F071A2" w:rsidRPr="005A464E">
        <w:rPr>
          <w:rFonts w:cs="Arial"/>
          <w:sz w:val="24"/>
          <w:szCs w:val="24"/>
          <w:shd w:val="clear" w:color="auto" w:fill="FFFFFF"/>
        </w:rPr>
        <w:t xml:space="preserve"> </w:t>
      </w:r>
      <w:r w:rsidR="0063117A" w:rsidRPr="003B1BE3">
        <w:rPr>
          <w:rFonts w:cs="Arial"/>
          <w:sz w:val="24"/>
          <w:szCs w:val="24"/>
          <w:shd w:val="clear" w:color="auto" w:fill="FFFFFF"/>
        </w:rPr>
        <w:t xml:space="preserve">Η </w:t>
      </w:r>
      <w:r w:rsidR="00685EF1">
        <w:rPr>
          <w:rFonts w:cs="Arial"/>
          <w:sz w:val="24"/>
          <w:szCs w:val="24"/>
          <w:shd w:val="clear" w:color="auto" w:fill="FFFFFF"/>
        </w:rPr>
        <w:t>«</w:t>
      </w:r>
      <w:r w:rsidR="003B1BE3" w:rsidRPr="003B1BE3">
        <w:rPr>
          <w:rFonts w:cs="Arial"/>
          <w:sz w:val="24"/>
          <w:szCs w:val="24"/>
          <w:shd w:val="clear" w:color="auto" w:fill="FFFFFF"/>
        </w:rPr>
        <w:t>δια</w:t>
      </w:r>
      <w:r w:rsidR="00464728" w:rsidRPr="00464728">
        <w:rPr>
          <w:rFonts w:cs="Arial"/>
          <w:sz w:val="24"/>
          <w:szCs w:val="24"/>
          <w:shd w:val="clear" w:color="auto" w:fill="FFFFFF"/>
        </w:rPr>
        <w:t xml:space="preserve"> </w:t>
      </w:r>
      <w:r w:rsidR="003B1BE3" w:rsidRPr="003B1BE3">
        <w:rPr>
          <w:rFonts w:cs="Arial"/>
          <w:sz w:val="24"/>
          <w:szCs w:val="24"/>
          <w:shd w:val="clear" w:color="auto" w:fill="FFFFFF"/>
        </w:rPr>
        <w:t>ζώσης</w:t>
      </w:r>
      <w:r w:rsidR="00685EF1">
        <w:rPr>
          <w:rFonts w:cs="Arial"/>
          <w:sz w:val="24"/>
          <w:szCs w:val="24"/>
          <w:shd w:val="clear" w:color="auto" w:fill="FFFFFF"/>
        </w:rPr>
        <w:t>»</w:t>
      </w:r>
      <w:r w:rsidR="0063117A" w:rsidRPr="003B1BE3">
        <w:rPr>
          <w:rFonts w:cs="Arial"/>
          <w:sz w:val="24"/>
          <w:szCs w:val="24"/>
          <w:shd w:val="clear" w:color="auto" w:fill="FFFFFF"/>
        </w:rPr>
        <w:t xml:space="preserve"> εκπαίδευση</w:t>
      </w:r>
      <w:r w:rsidR="0063117A" w:rsidRPr="005A464E">
        <w:rPr>
          <w:rFonts w:cs="Arial"/>
          <w:sz w:val="24"/>
          <w:szCs w:val="24"/>
          <w:shd w:val="clear" w:color="auto" w:fill="FFFFFF"/>
        </w:rPr>
        <w:t xml:space="preserve"> είναι </w:t>
      </w:r>
      <w:r w:rsidR="00817853">
        <w:rPr>
          <w:rFonts w:cs="Arial"/>
          <w:sz w:val="24"/>
          <w:szCs w:val="24"/>
          <w:shd w:val="clear" w:color="auto" w:fill="FFFFFF"/>
        </w:rPr>
        <w:t>μια</w:t>
      </w:r>
      <w:r w:rsidR="0063117A" w:rsidRPr="005A464E">
        <w:rPr>
          <w:rFonts w:cs="Arial"/>
          <w:sz w:val="24"/>
          <w:szCs w:val="24"/>
          <w:shd w:val="clear" w:color="auto" w:fill="FFFFFF"/>
        </w:rPr>
        <w:t xml:space="preserve"> από τις πιο κοινές μεθόδους εκπαίδευσης στο σύστημα </w:t>
      </w:r>
      <w:r w:rsidR="009E3FA8">
        <w:rPr>
          <w:rFonts w:cs="Arial"/>
          <w:sz w:val="24"/>
          <w:szCs w:val="24"/>
          <w:shd w:val="clear" w:color="auto" w:fill="FFFFFF"/>
        </w:rPr>
        <w:t>φροντίδα</w:t>
      </w:r>
      <w:r w:rsidR="0063117A" w:rsidRPr="005A464E">
        <w:rPr>
          <w:rFonts w:cs="Arial"/>
          <w:sz w:val="24"/>
          <w:szCs w:val="24"/>
          <w:shd w:val="clear" w:color="auto" w:fill="FFFFFF"/>
        </w:rPr>
        <w:t>ς</w:t>
      </w:r>
      <w:r w:rsidR="000C2E9E">
        <w:rPr>
          <w:rFonts w:cs="Arial"/>
          <w:sz w:val="24"/>
          <w:szCs w:val="24"/>
          <w:shd w:val="clear" w:color="auto" w:fill="FFFFFF"/>
        </w:rPr>
        <w:t xml:space="preserve"> υγείας</w:t>
      </w:r>
      <w:r w:rsidR="0063117A" w:rsidRPr="000C2E9E">
        <w:rPr>
          <w:rFonts w:cs="Arial"/>
          <w:sz w:val="24"/>
          <w:szCs w:val="24"/>
          <w:shd w:val="clear" w:color="auto" w:fill="FFFFFF"/>
        </w:rPr>
        <w:t xml:space="preserve">. Η </w:t>
      </w:r>
      <w:r w:rsidR="00685EF1">
        <w:rPr>
          <w:rFonts w:cs="Arial"/>
          <w:sz w:val="24"/>
          <w:szCs w:val="24"/>
          <w:shd w:val="clear" w:color="auto" w:fill="FFFFFF"/>
        </w:rPr>
        <w:t>«</w:t>
      </w:r>
      <w:r w:rsidR="000C2E9E" w:rsidRPr="000C2E9E">
        <w:rPr>
          <w:rFonts w:cs="Arial"/>
          <w:sz w:val="24"/>
          <w:szCs w:val="24"/>
          <w:shd w:val="clear" w:color="auto" w:fill="FFFFFF"/>
        </w:rPr>
        <w:t>διά ζώσης</w:t>
      </w:r>
      <w:r w:rsidR="00685EF1">
        <w:rPr>
          <w:rFonts w:cs="Arial"/>
          <w:sz w:val="24"/>
          <w:szCs w:val="24"/>
          <w:shd w:val="clear" w:color="auto" w:fill="FFFFFF"/>
        </w:rPr>
        <w:t>»</w:t>
      </w:r>
      <w:r w:rsidR="00CF0332" w:rsidRPr="000C2E9E">
        <w:rPr>
          <w:rFonts w:cs="Arial"/>
          <w:sz w:val="24"/>
          <w:szCs w:val="24"/>
          <w:shd w:val="clear" w:color="auto" w:fill="FFFFFF"/>
        </w:rPr>
        <w:t xml:space="preserve"> </w:t>
      </w:r>
      <w:r w:rsidRPr="000C2E9E">
        <w:rPr>
          <w:rFonts w:cs="Arial"/>
          <w:sz w:val="24"/>
          <w:szCs w:val="24"/>
          <w:shd w:val="clear" w:color="auto" w:fill="FFFFFF"/>
        </w:rPr>
        <w:t>εκπαίδευση</w:t>
      </w:r>
      <w:r>
        <w:rPr>
          <w:rFonts w:cs="Arial"/>
          <w:sz w:val="24"/>
          <w:szCs w:val="24"/>
          <w:shd w:val="clear" w:color="auto" w:fill="FFFFFF"/>
        </w:rPr>
        <w:t xml:space="preserve"> βοηθά τον ασθενή να διαχειρίζεται τα προβλήματά του</w:t>
      </w:r>
      <w:r w:rsidR="0063117A" w:rsidRPr="005A464E">
        <w:rPr>
          <w:rFonts w:cs="Arial"/>
          <w:sz w:val="24"/>
          <w:szCs w:val="24"/>
          <w:shd w:val="clear" w:color="auto" w:fill="FFFFFF"/>
        </w:rPr>
        <w:t>. Δίδει, επίσης, την ευκαιρία στον ασθενή να υποβάλ</w:t>
      </w:r>
      <w:r>
        <w:rPr>
          <w:rFonts w:cs="Arial"/>
          <w:sz w:val="24"/>
          <w:szCs w:val="24"/>
          <w:shd w:val="clear" w:color="auto" w:fill="FFFFFF"/>
        </w:rPr>
        <w:t>ει ερωτήσεις, να συζητήσει με το</w:t>
      </w:r>
      <w:r w:rsidR="000C2E9E">
        <w:rPr>
          <w:rFonts w:cs="Arial"/>
          <w:sz w:val="24"/>
          <w:szCs w:val="24"/>
          <w:shd w:val="clear" w:color="auto" w:fill="FFFFFF"/>
        </w:rPr>
        <w:t>ν νοσηλευτή ο</w:t>
      </w:r>
      <w:r w:rsidR="0063117A" w:rsidRPr="005A464E">
        <w:rPr>
          <w:rFonts w:cs="Arial"/>
          <w:sz w:val="24"/>
          <w:szCs w:val="24"/>
          <w:shd w:val="clear" w:color="auto" w:fill="FFFFFF"/>
        </w:rPr>
        <w:t>ποιοδήποτε θέμα τον απασχολεί αλλά και να τροποποιήσει τις αντιλήψεις του</w:t>
      </w:r>
      <w:r w:rsidR="0078495A">
        <w:rPr>
          <w:rFonts w:cs="Arial"/>
          <w:sz w:val="24"/>
          <w:szCs w:val="24"/>
          <w:shd w:val="clear" w:color="auto" w:fill="FFFFFF"/>
        </w:rPr>
        <w:t xml:space="preserve"> </w:t>
      </w:r>
      <w:r w:rsidR="0063117A" w:rsidRPr="005A464E">
        <w:rPr>
          <w:rFonts w:cs="Arial"/>
          <w:sz w:val="24"/>
          <w:szCs w:val="24"/>
          <w:shd w:val="clear" w:color="auto" w:fill="FFFFFF"/>
        </w:rPr>
        <w:t xml:space="preserve">και τις πληροφορίες. Από την άλλη πλευρά, </w:t>
      </w:r>
      <w:r w:rsidRPr="00127016">
        <w:rPr>
          <w:rFonts w:cs="Arial"/>
          <w:sz w:val="24"/>
          <w:szCs w:val="24"/>
          <w:shd w:val="clear" w:color="auto" w:fill="FFFFFF"/>
        </w:rPr>
        <w:t xml:space="preserve">ο </w:t>
      </w:r>
      <w:r w:rsidR="000C2E9E">
        <w:rPr>
          <w:rFonts w:cs="Arial"/>
          <w:sz w:val="24"/>
          <w:szCs w:val="24"/>
          <w:shd w:val="clear" w:color="auto" w:fill="FFFFFF"/>
        </w:rPr>
        <w:t xml:space="preserve">νοσηλευτής </w:t>
      </w:r>
      <w:r w:rsidR="0063117A" w:rsidRPr="005A464E">
        <w:rPr>
          <w:rFonts w:cs="Arial"/>
          <w:sz w:val="24"/>
          <w:szCs w:val="24"/>
          <w:shd w:val="clear" w:color="auto" w:fill="FFFFFF"/>
        </w:rPr>
        <w:t>είναι βέβαιος για την κατανόηση των πληροφοριών από τον ασθενή και μια δυναμική σχέση δημιουργείτα</w:t>
      </w:r>
      <w:r>
        <w:rPr>
          <w:rFonts w:cs="Arial"/>
          <w:sz w:val="24"/>
          <w:szCs w:val="24"/>
          <w:shd w:val="clear" w:color="auto" w:fill="FFFFFF"/>
        </w:rPr>
        <w:t>ι μεταξ</w:t>
      </w:r>
      <w:r w:rsidR="000C2E9E">
        <w:rPr>
          <w:rFonts w:cs="Arial"/>
          <w:sz w:val="24"/>
          <w:szCs w:val="24"/>
          <w:shd w:val="clear" w:color="auto" w:fill="FFFFFF"/>
        </w:rPr>
        <w:t>ύ ασθενή και νοσηλευτή</w:t>
      </w:r>
      <w:r w:rsidR="00657457" w:rsidRPr="005A464E">
        <w:rPr>
          <w:rFonts w:cs="Arial"/>
          <w:sz w:val="24"/>
          <w:szCs w:val="24"/>
          <w:shd w:val="clear" w:color="auto" w:fill="FFFFFF"/>
        </w:rPr>
        <w:t xml:space="preserve"> (</w:t>
      </w:r>
      <w:r w:rsidR="0063117A" w:rsidRPr="005A464E">
        <w:rPr>
          <w:rFonts w:cs="Arial"/>
          <w:sz w:val="24"/>
          <w:szCs w:val="24"/>
          <w:shd w:val="clear" w:color="auto" w:fill="FFFFFF"/>
        </w:rPr>
        <w:t>Saberian</w:t>
      </w:r>
      <w:r w:rsidR="006744A0" w:rsidRPr="006744A0">
        <w:rPr>
          <w:rFonts w:cs="Arial"/>
          <w:sz w:val="24"/>
          <w:szCs w:val="24"/>
          <w:shd w:val="clear" w:color="auto" w:fill="FFFFFF"/>
        </w:rPr>
        <w:t>,</w:t>
      </w:r>
      <w:r w:rsidR="0063117A" w:rsidRPr="005A464E">
        <w:rPr>
          <w:rFonts w:cs="Arial"/>
          <w:sz w:val="24"/>
          <w:szCs w:val="24"/>
          <w:shd w:val="clear" w:color="auto" w:fill="FFFFFF"/>
        </w:rPr>
        <w:t xml:space="preserve"> 2006). Η μέθοδος αυτή απαιτεί χρόνο</w:t>
      </w:r>
      <w:r w:rsidR="001C324A">
        <w:rPr>
          <w:rFonts w:cs="Arial"/>
          <w:sz w:val="24"/>
          <w:szCs w:val="24"/>
          <w:shd w:val="clear" w:color="auto" w:fill="FFFFFF"/>
        </w:rPr>
        <w:t>,</w:t>
      </w:r>
      <w:r w:rsidR="0063117A" w:rsidRPr="005A464E">
        <w:rPr>
          <w:rFonts w:cs="Arial"/>
          <w:sz w:val="24"/>
          <w:szCs w:val="24"/>
          <w:shd w:val="clear" w:color="auto" w:fill="FFFFFF"/>
        </w:rPr>
        <w:t xml:space="preserve"> ο οποίος πρέπει να αφιερωθεί για την εκπαιδευτική διαδικασία. Ένα από τα μειονεκτήματα αυτής της μεθόδου στους ασθενείς που υποβάλλονται σε αιμοκάθαρση είναι η εφαρμογή κατά τη διάρκεια της συνεδρίας αιμοκάθαρσης </w:t>
      </w:r>
      <w:r w:rsidR="0063117A" w:rsidRPr="00995094">
        <w:rPr>
          <w:rFonts w:cs="Arial"/>
          <w:sz w:val="24"/>
          <w:szCs w:val="24"/>
          <w:shd w:val="clear" w:color="auto" w:fill="FFFFFF"/>
        </w:rPr>
        <w:t xml:space="preserve">και η </w:t>
      </w:r>
      <w:r w:rsidR="000C2E9E" w:rsidRPr="00995094">
        <w:rPr>
          <w:rFonts w:cs="Arial"/>
          <w:sz w:val="24"/>
          <w:szCs w:val="24"/>
          <w:shd w:val="clear" w:color="auto" w:fill="FFFFFF"/>
        </w:rPr>
        <w:t xml:space="preserve">ανάγκη </w:t>
      </w:r>
      <w:r w:rsidR="00995094" w:rsidRPr="00995094">
        <w:rPr>
          <w:rFonts w:cs="Arial"/>
          <w:sz w:val="24"/>
          <w:szCs w:val="24"/>
          <w:shd w:val="clear" w:color="auto" w:fill="FFFFFF"/>
        </w:rPr>
        <w:t>εκπαί</w:t>
      </w:r>
      <w:r w:rsidR="004E6070" w:rsidRPr="00995094">
        <w:rPr>
          <w:rFonts w:cs="Arial"/>
          <w:sz w:val="24"/>
          <w:szCs w:val="24"/>
          <w:shd w:val="clear" w:color="auto" w:fill="FFFFFF"/>
        </w:rPr>
        <w:t>δευσης</w:t>
      </w:r>
      <w:r w:rsidR="0063117A" w:rsidRPr="00995094">
        <w:rPr>
          <w:rFonts w:cs="Arial"/>
          <w:sz w:val="24"/>
          <w:szCs w:val="24"/>
          <w:shd w:val="clear" w:color="auto" w:fill="FFFFFF"/>
        </w:rPr>
        <w:t xml:space="preserve"> </w:t>
      </w:r>
      <w:r w:rsidR="00B0560D" w:rsidRPr="00995094">
        <w:rPr>
          <w:rFonts w:cs="Arial"/>
          <w:sz w:val="24"/>
          <w:szCs w:val="24"/>
          <w:shd w:val="clear" w:color="auto" w:fill="FFFFFF"/>
        </w:rPr>
        <w:t>του ασθενούς</w:t>
      </w:r>
      <w:r w:rsidR="0063117A" w:rsidRPr="00995094">
        <w:rPr>
          <w:rFonts w:cs="Arial"/>
          <w:sz w:val="24"/>
          <w:szCs w:val="24"/>
          <w:shd w:val="clear" w:color="auto" w:fill="FFFFFF"/>
        </w:rPr>
        <w:t xml:space="preserve"> </w:t>
      </w:r>
      <w:r w:rsidR="004E6070" w:rsidRPr="00995094">
        <w:rPr>
          <w:rFonts w:cs="Arial"/>
          <w:sz w:val="24"/>
          <w:szCs w:val="24"/>
          <w:shd w:val="clear" w:color="auto" w:fill="FFFFFF"/>
        </w:rPr>
        <w:t>εκτός του</w:t>
      </w:r>
      <w:r w:rsidR="00995094" w:rsidRPr="00995094">
        <w:rPr>
          <w:rFonts w:cs="Arial"/>
          <w:sz w:val="24"/>
          <w:szCs w:val="24"/>
          <w:shd w:val="clear" w:color="auto" w:fill="FFFFFF"/>
        </w:rPr>
        <w:t xml:space="preserve"> προγγράμ</w:t>
      </w:r>
      <w:r w:rsidR="004E6070" w:rsidRPr="00995094">
        <w:rPr>
          <w:rFonts w:cs="Arial"/>
          <w:sz w:val="24"/>
          <w:szCs w:val="24"/>
          <w:shd w:val="clear" w:color="auto" w:fill="FFFFFF"/>
        </w:rPr>
        <w:t xml:space="preserve">ματος </w:t>
      </w:r>
      <w:r w:rsidR="0063117A" w:rsidRPr="00995094">
        <w:rPr>
          <w:rFonts w:cs="Arial"/>
          <w:sz w:val="24"/>
          <w:szCs w:val="24"/>
          <w:shd w:val="clear" w:color="auto" w:fill="FFFFFF"/>
        </w:rPr>
        <w:t>αιμοκάθαρσης (</w:t>
      </w:r>
      <w:r w:rsidR="0063117A" w:rsidRPr="00995094">
        <w:rPr>
          <w:rFonts w:cs="Arial"/>
          <w:sz w:val="24"/>
          <w:szCs w:val="24"/>
          <w:shd w:val="clear" w:color="auto" w:fill="FFFFFF"/>
          <w:lang w:val="en-US"/>
        </w:rPr>
        <w:t>Kara</w:t>
      </w:r>
      <w:r w:rsidR="006744A0" w:rsidRPr="00995094">
        <w:rPr>
          <w:rFonts w:cs="Arial"/>
          <w:sz w:val="24"/>
          <w:szCs w:val="24"/>
          <w:shd w:val="clear" w:color="auto" w:fill="FFFFFF"/>
        </w:rPr>
        <w:t xml:space="preserve">, </w:t>
      </w:r>
      <w:r w:rsidR="006744A0" w:rsidRPr="00995094">
        <w:rPr>
          <w:rFonts w:cstheme="minorHAnsi"/>
          <w:sz w:val="24"/>
          <w:szCs w:val="24"/>
          <w:lang w:val="en-US"/>
        </w:rPr>
        <w:t>Caglar</w:t>
      </w:r>
      <w:r w:rsidR="007B503D" w:rsidRPr="00995094">
        <w:rPr>
          <w:rFonts w:cstheme="minorHAnsi"/>
          <w:sz w:val="24"/>
          <w:szCs w:val="24"/>
        </w:rPr>
        <w:t>,</w:t>
      </w:r>
      <w:r w:rsidR="006744A0" w:rsidRPr="00995094">
        <w:rPr>
          <w:rFonts w:cstheme="minorHAnsi"/>
          <w:sz w:val="24"/>
          <w:szCs w:val="24"/>
        </w:rPr>
        <w:t xml:space="preserve"> &amp; </w:t>
      </w:r>
      <w:r w:rsidR="006744A0" w:rsidRPr="00995094">
        <w:rPr>
          <w:rFonts w:cstheme="minorHAnsi"/>
          <w:sz w:val="24"/>
          <w:szCs w:val="24"/>
          <w:lang w:val="en-US"/>
        </w:rPr>
        <w:t>Kilic</w:t>
      </w:r>
      <w:r w:rsidR="007B503D" w:rsidRPr="00995094">
        <w:rPr>
          <w:rFonts w:cstheme="minorHAnsi"/>
          <w:sz w:val="24"/>
          <w:szCs w:val="24"/>
        </w:rPr>
        <w:t>,</w:t>
      </w:r>
      <w:r w:rsidR="0063117A" w:rsidRPr="00995094">
        <w:rPr>
          <w:rFonts w:cs="Arial"/>
          <w:sz w:val="24"/>
          <w:szCs w:val="24"/>
          <w:shd w:val="clear" w:color="auto" w:fill="FFFFFF"/>
        </w:rPr>
        <w:t xml:space="preserve"> 2007).</w:t>
      </w:r>
    </w:p>
    <w:p w:rsidR="0063117A" w:rsidRPr="00D75F89" w:rsidRDefault="0063117A" w:rsidP="005A464E">
      <w:pPr>
        <w:spacing w:line="360" w:lineRule="auto"/>
        <w:jc w:val="both"/>
        <w:rPr>
          <w:rFonts w:cs="Arial"/>
          <w:iCs/>
          <w:sz w:val="24"/>
          <w:szCs w:val="24"/>
          <w:shd w:val="clear" w:color="auto" w:fill="FFFFFF"/>
        </w:rPr>
      </w:pPr>
      <w:r w:rsidRPr="00995094">
        <w:rPr>
          <w:rFonts w:cs="Arial"/>
          <w:sz w:val="24"/>
          <w:szCs w:val="24"/>
          <w:shd w:val="clear" w:color="auto" w:fill="FFFFFF"/>
        </w:rPr>
        <w:t>Επομένως,</w:t>
      </w:r>
      <w:r w:rsidR="0078495A" w:rsidRPr="00995094">
        <w:rPr>
          <w:rFonts w:cs="Arial"/>
          <w:sz w:val="24"/>
          <w:szCs w:val="24"/>
          <w:shd w:val="clear" w:color="auto" w:fill="FFFFFF"/>
        </w:rPr>
        <w:t xml:space="preserve"> </w:t>
      </w:r>
      <w:r w:rsidRPr="00995094">
        <w:rPr>
          <w:rFonts w:cs="Arial"/>
          <w:sz w:val="24"/>
          <w:szCs w:val="24"/>
          <w:shd w:val="clear" w:color="auto" w:fill="FFFFFF"/>
        </w:rPr>
        <w:t>η εξεύρεση αποτελεσματικών</w:t>
      </w:r>
      <w:r w:rsidRPr="005A464E">
        <w:rPr>
          <w:rFonts w:cs="Arial"/>
          <w:sz w:val="24"/>
          <w:szCs w:val="24"/>
          <w:shd w:val="clear" w:color="auto" w:fill="FFFFFF"/>
        </w:rPr>
        <w:t xml:space="preserve"> εκπαιδευτικών μεθόδων</w:t>
      </w:r>
      <w:r w:rsidR="000D6C62">
        <w:rPr>
          <w:rFonts w:cs="Arial"/>
          <w:sz w:val="24"/>
          <w:szCs w:val="24"/>
          <w:shd w:val="clear" w:color="auto" w:fill="FFFFFF"/>
        </w:rPr>
        <w:t>,</w:t>
      </w:r>
      <w:r w:rsidRPr="005A464E">
        <w:rPr>
          <w:rFonts w:cs="Arial"/>
          <w:sz w:val="24"/>
          <w:szCs w:val="24"/>
          <w:shd w:val="clear" w:color="auto" w:fill="FFFFFF"/>
        </w:rPr>
        <w:t xml:space="preserve"> οι οποίες μπορούν να οδηγήσουν σε λύση του προβλήματος και που μπορούν να χρησιμοποιηθούν στην αιμοκάθαρση είναι απαραίτητη (Safavi &amp; Borzooei</w:t>
      </w:r>
      <w:r w:rsidR="00AB454B">
        <w:rPr>
          <w:rFonts w:cs="Arial"/>
          <w:sz w:val="24"/>
          <w:szCs w:val="24"/>
          <w:shd w:val="clear" w:color="auto" w:fill="FFFFFF"/>
        </w:rPr>
        <w:t>,</w:t>
      </w:r>
      <w:r w:rsidR="00D8241D">
        <w:rPr>
          <w:rFonts w:cs="Arial"/>
          <w:sz w:val="24"/>
          <w:szCs w:val="24"/>
          <w:shd w:val="clear" w:color="auto" w:fill="FFFFFF"/>
        </w:rPr>
        <w:t xml:space="preserve"> 2006)</w:t>
      </w:r>
      <w:r w:rsidRPr="005A464E">
        <w:rPr>
          <w:rFonts w:cs="Arial"/>
          <w:sz w:val="24"/>
          <w:szCs w:val="24"/>
          <w:shd w:val="clear" w:color="auto" w:fill="FFFFFF"/>
        </w:rPr>
        <w:t>. Η πρόοδος στην τεχνολογία και την επικοινωνία έχει δώσει τη δυνατότητα της χρήσης εκπαιδευτικών βίντεο. Τα πλεονεκτήματα της εκπαίδευσης μέσω βίντεο είναι η ικανότητα να αποθηκεύσουν το βίντεο και να συνεχίσουν να έχουν πρόσβαση στην πληροφορία ενώ από την άλλη είναι εύκολο στη χρήση και αποτελεσματικό από άποψη κόστους. Εκτός, όμω</w:t>
      </w:r>
      <w:r w:rsidR="00D8241D">
        <w:rPr>
          <w:rFonts w:cs="Arial"/>
          <w:sz w:val="24"/>
          <w:szCs w:val="24"/>
          <w:shd w:val="clear" w:color="auto" w:fill="FFFFFF"/>
        </w:rPr>
        <w:t>ς, από αυτά τα πλεονεκτήματα, μι</w:t>
      </w:r>
      <w:r w:rsidRPr="005A464E">
        <w:rPr>
          <w:rFonts w:cs="Arial"/>
          <w:sz w:val="24"/>
          <w:szCs w:val="24"/>
          <w:shd w:val="clear" w:color="auto" w:fill="FFFFFF"/>
        </w:rPr>
        <w:t>α από τις πιο σημαντικές αδυναμίες είναι η έλλειψη ενός ενεργού και αληθινού εκπαιδευτή κατά την εφαρμογή της διαδικασίας. Η ενεργός επικοινωνία και η πραγματικότητα παίζουν αδιαμφισβήτητο ρόλο στην επίτευξη του στόχου της διδασκαλίας.</w:t>
      </w:r>
      <w:r w:rsidR="00CF0332" w:rsidRPr="005A464E">
        <w:rPr>
          <w:rFonts w:cs="Arial"/>
          <w:sz w:val="24"/>
          <w:szCs w:val="24"/>
          <w:shd w:val="clear" w:color="auto" w:fill="FFFFFF"/>
        </w:rPr>
        <w:t xml:space="preserve"> </w:t>
      </w:r>
      <w:r w:rsidRPr="005A464E">
        <w:rPr>
          <w:rFonts w:cs="Arial"/>
          <w:sz w:val="24"/>
          <w:szCs w:val="24"/>
          <w:shd w:val="clear" w:color="auto" w:fill="FFFFFF"/>
        </w:rPr>
        <w:t xml:space="preserve">Σήμερα, με τις τεράστιες προόδους που έχουν σημειωθεί στην προετοιμασία των </w:t>
      </w:r>
      <w:r w:rsidR="00127016">
        <w:rPr>
          <w:rFonts w:cs="Arial"/>
          <w:sz w:val="24"/>
          <w:szCs w:val="24"/>
          <w:shd w:val="clear" w:color="auto" w:fill="FFFFFF"/>
        </w:rPr>
        <w:t xml:space="preserve">εκπαιδευτικών ταινιών, </w:t>
      </w:r>
      <w:r w:rsidR="003B1BE3">
        <w:rPr>
          <w:rFonts w:cs="Arial"/>
          <w:sz w:val="24"/>
          <w:szCs w:val="24"/>
          <w:shd w:val="clear" w:color="auto" w:fill="FFFFFF"/>
        </w:rPr>
        <w:t>αυτές οι αδυναμίες</w:t>
      </w:r>
      <w:r w:rsidRPr="005A464E">
        <w:rPr>
          <w:rFonts w:cs="Arial"/>
          <w:sz w:val="24"/>
          <w:szCs w:val="24"/>
          <w:shd w:val="clear" w:color="auto" w:fill="FFFFFF"/>
        </w:rPr>
        <w:t xml:space="preserve"> μειώνονται (</w:t>
      </w:r>
      <w:r w:rsidR="00657457" w:rsidRPr="005A464E">
        <w:rPr>
          <w:rFonts w:cs="Arial"/>
          <w:iCs/>
          <w:sz w:val="24"/>
          <w:szCs w:val="24"/>
          <w:shd w:val="clear" w:color="auto" w:fill="FFFFFF"/>
        </w:rPr>
        <w:t>Johnson &amp; Mighten</w:t>
      </w:r>
      <w:r w:rsidR="00AB454B">
        <w:rPr>
          <w:rFonts w:cs="Arial"/>
          <w:iCs/>
          <w:sz w:val="24"/>
          <w:szCs w:val="24"/>
          <w:shd w:val="clear" w:color="auto" w:fill="FFFFFF"/>
        </w:rPr>
        <w:t>,</w:t>
      </w:r>
      <w:r w:rsidRPr="005A464E">
        <w:rPr>
          <w:rFonts w:cs="Arial"/>
          <w:iCs/>
          <w:sz w:val="24"/>
          <w:szCs w:val="24"/>
          <w:shd w:val="clear" w:color="auto" w:fill="FFFFFF"/>
        </w:rPr>
        <w:t xml:space="preserve"> 2005). Πολλές μελέτες έχουν διεξαχθεί με στόχο τη βελτίωση της ποιότητας ζωής με τη χρήση τέτοιων </w:t>
      </w:r>
      <w:r w:rsidRPr="00D75F89">
        <w:rPr>
          <w:rFonts w:cs="Arial"/>
          <w:iCs/>
          <w:sz w:val="24"/>
          <w:szCs w:val="24"/>
          <w:shd w:val="clear" w:color="auto" w:fill="FFFFFF"/>
        </w:rPr>
        <w:t>μεθόδων (</w:t>
      </w:r>
      <w:r w:rsidRPr="005A464E">
        <w:rPr>
          <w:rFonts w:cs="Arial"/>
          <w:iCs/>
          <w:sz w:val="24"/>
          <w:szCs w:val="24"/>
          <w:shd w:val="clear" w:color="auto" w:fill="FFFFFF"/>
          <w:lang w:val="en-US"/>
        </w:rPr>
        <w:t>Kammerer</w:t>
      </w:r>
      <w:r w:rsidR="00AC5B2C" w:rsidRPr="00D75F89">
        <w:rPr>
          <w:rFonts w:cs="Arial"/>
          <w:iCs/>
          <w:sz w:val="24"/>
          <w:szCs w:val="24"/>
          <w:shd w:val="clear" w:color="auto" w:fill="FFFFFF"/>
        </w:rPr>
        <w:t>,</w:t>
      </w:r>
      <w:r w:rsidR="00AC5B2C" w:rsidRPr="00D75F89">
        <w:rPr>
          <w:rFonts w:asciiTheme="minorHAnsi" w:eastAsia="Times New Roman" w:hAnsiTheme="minorHAnsi" w:cstheme="minorHAnsi"/>
          <w:iCs/>
          <w:sz w:val="24"/>
          <w:szCs w:val="24"/>
          <w:lang w:eastAsia="el-GR"/>
        </w:rPr>
        <w:t xml:space="preserve"> </w:t>
      </w:r>
      <w:r w:rsidR="00AC5B2C" w:rsidRPr="00AC5B2C">
        <w:rPr>
          <w:rFonts w:asciiTheme="minorHAnsi" w:eastAsia="Times New Roman" w:hAnsiTheme="minorHAnsi" w:cstheme="minorHAnsi"/>
          <w:iCs/>
          <w:sz w:val="24"/>
          <w:szCs w:val="24"/>
          <w:lang w:val="en-US" w:eastAsia="el-GR"/>
        </w:rPr>
        <w:t>Garry</w:t>
      </w:r>
      <w:r w:rsidR="00AC5B2C" w:rsidRPr="00D75F89">
        <w:rPr>
          <w:rFonts w:asciiTheme="minorHAnsi" w:eastAsia="Times New Roman" w:hAnsiTheme="minorHAnsi" w:cstheme="minorHAnsi"/>
          <w:iCs/>
          <w:sz w:val="24"/>
          <w:szCs w:val="24"/>
          <w:lang w:eastAsia="el-GR"/>
        </w:rPr>
        <w:t xml:space="preserve">, </w:t>
      </w:r>
      <w:r w:rsidR="00AC5B2C" w:rsidRPr="00AC5B2C">
        <w:rPr>
          <w:rFonts w:asciiTheme="minorHAnsi" w:eastAsia="Times New Roman" w:hAnsiTheme="minorHAnsi" w:cstheme="minorHAnsi"/>
          <w:iCs/>
          <w:sz w:val="24"/>
          <w:szCs w:val="24"/>
          <w:lang w:val="en-US" w:eastAsia="el-GR"/>
        </w:rPr>
        <w:t>Hartigan</w:t>
      </w:r>
      <w:r w:rsidR="00AC5B2C" w:rsidRPr="00D75F89">
        <w:rPr>
          <w:rFonts w:asciiTheme="minorHAnsi" w:eastAsia="Times New Roman" w:hAnsiTheme="minorHAnsi" w:cstheme="minorHAnsi"/>
          <w:iCs/>
          <w:sz w:val="24"/>
          <w:szCs w:val="24"/>
          <w:lang w:eastAsia="el-GR"/>
        </w:rPr>
        <w:t xml:space="preserve">, </w:t>
      </w:r>
      <w:r w:rsidR="00AC5B2C" w:rsidRPr="00AC5B2C">
        <w:rPr>
          <w:rFonts w:asciiTheme="minorHAnsi" w:eastAsia="Times New Roman" w:hAnsiTheme="minorHAnsi" w:cstheme="minorHAnsi"/>
          <w:iCs/>
          <w:sz w:val="24"/>
          <w:szCs w:val="24"/>
          <w:lang w:val="en-US" w:eastAsia="el-GR"/>
        </w:rPr>
        <w:t>Carter</w:t>
      </w:r>
      <w:r w:rsidR="00AC5B2C" w:rsidRPr="00D75F89">
        <w:rPr>
          <w:rFonts w:asciiTheme="minorHAnsi" w:eastAsia="Times New Roman" w:hAnsiTheme="minorHAnsi" w:cstheme="minorHAnsi"/>
          <w:iCs/>
          <w:sz w:val="24"/>
          <w:szCs w:val="24"/>
          <w:lang w:eastAsia="el-GR"/>
        </w:rPr>
        <w:t xml:space="preserve">, &amp; </w:t>
      </w:r>
      <w:r w:rsidR="00AC5B2C" w:rsidRPr="00AC5B2C">
        <w:rPr>
          <w:rFonts w:asciiTheme="minorHAnsi" w:eastAsia="Times New Roman" w:hAnsiTheme="minorHAnsi" w:cstheme="minorHAnsi"/>
          <w:iCs/>
          <w:sz w:val="24"/>
          <w:szCs w:val="24"/>
          <w:lang w:val="en-US" w:eastAsia="el-GR"/>
        </w:rPr>
        <w:t>Erlich</w:t>
      </w:r>
      <w:r w:rsidR="00AC5B2C" w:rsidRPr="00D75F89">
        <w:rPr>
          <w:rFonts w:asciiTheme="minorHAnsi" w:eastAsia="Times New Roman" w:hAnsiTheme="minorHAnsi" w:cstheme="minorHAnsi"/>
          <w:iCs/>
          <w:sz w:val="24"/>
          <w:szCs w:val="24"/>
          <w:lang w:eastAsia="el-GR"/>
        </w:rPr>
        <w:t>,</w:t>
      </w:r>
      <w:r w:rsidR="00AC5B2C" w:rsidRPr="00D75F89">
        <w:rPr>
          <w:rFonts w:cs="Arial"/>
          <w:iCs/>
          <w:sz w:val="24"/>
          <w:szCs w:val="24"/>
          <w:shd w:val="clear" w:color="auto" w:fill="FFFFFF"/>
        </w:rPr>
        <w:t xml:space="preserve"> </w:t>
      </w:r>
      <w:r w:rsidRPr="00D75F89">
        <w:rPr>
          <w:rFonts w:cs="Arial"/>
          <w:iCs/>
          <w:sz w:val="24"/>
          <w:szCs w:val="24"/>
          <w:shd w:val="clear" w:color="auto" w:fill="FFFFFF"/>
        </w:rPr>
        <w:t>2007</w:t>
      </w:r>
      <w:r w:rsidR="00D8241D">
        <w:rPr>
          <w:rFonts w:cs="Arial"/>
          <w:iCs/>
          <w:sz w:val="24"/>
          <w:szCs w:val="24"/>
          <w:shd w:val="clear" w:color="auto" w:fill="FFFFFF"/>
        </w:rPr>
        <w:t xml:space="preserve">; </w:t>
      </w:r>
      <w:r w:rsidR="00D8241D" w:rsidRPr="00D75F89">
        <w:rPr>
          <w:rFonts w:cs="Arial"/>
          <w:iCs/>
          <w:sz w:val="24"/>
          <w:szCs w:val="24"/>
          <w:shd w:val="clear" w:color="auto" w:fill="FFFFFF"/>
        </w:rPr>
        <w:t xml:space="preserve">Thomas, </w:t>
      </w:r>
      <w:r w:rsidR="00D8241D" w:rsidRPr="00D75F89">
        <w:rPr>
          <w:rFonts w:asciiTheme="minorHAnsi" w:eastAsia="Times New Roman" w:hAnsiTheme="minorHAnsi" w:cstheme="minorHAnsi"/>
          <w:sz w:val="24"/>
          <w:szCs w:val="24"/>
          <w:shd w:val="clear" w:color="auto" w:fill="FFFFFF"/>
          <w:lang w:val="en-US" w:eastAsia="el-GR"/>
        </w:rPr>
        <w:t>Joseph</w:t>
      </w:r>
      <w:r w:rsidR="00D8241D" w:rsidRPr="00D75F89">
        <w:rPr>
          <w:rFonts w:asciiTheme="minorHAnsi" w:eastAsia="Times New Roman" w:hAnsiTheme="minorHAnsi" w:cstheme="minorHAnsi"/>
          <w:sz w:val="24"/>
          <w:szCs w:val="24"/>
          <w:shd w:val="clear" w:color="auto" w:fill="FFFFFF"/>
          <w:lang w:eastAsia="el-GR"/>
        </w:rPr>
        <w:t xml:space="preserve">, </w:t>
      </w:r>
      <w:r w:rsidR="00D8241D" w:rsidRPr="00D75F89">
        <w:rPr>
          <w:rFonts w:asciiTheme="minorHAnsi" w:eastAsia="Times New Roman" w:hAnsiTheme="minorHAnsi" w:cstheme="minorHAnsi"/>
          <w:sz w:val="24"/>
          <w:szCs w:val="24"/>
          <w:shd w:val="clear" w:color="auto" w:fill="FFFFFF"/>
          <w:lang w:val="en-US" w:eastAsia="el-GR"/>
        </w:rPr>
        <w:t>Francis</w:t>
      </w:r>
      <w:r w:rsidR="00D8241D" w:rsidRPr="00D75F89">
        <w:rPr>
          <w:rFonts w:asciiTheme="minorHAnsi" w:eastAsia="Times New Roman" w:hAnsiTheme="minorHAnsi" w:cstheme="minorHAnsi"/>
          <w:sz w:val="24"/>
          <w:szCs w:val="24"/>
          <w:shd w:val="clear" w:color="auto" w:fill="FFFFFF"/>
          <w:lang w:eastAsia="el-GR"/>
        </w:rPr>
        <w:t xml:space="preserve">, &amp; </w:t>
      </w:r>
      <w:r w:rsidR="00D8241D" w:rsidRPr="00D75F89">
        <w:rPr>
          <w:rFonts w:asciiTheme="minorHAnsi" w:eastAsia="Times New Roman" w:hAnsiTheme="minorHAnsi" w:cstheme="minorHAnsi"/>
          <w:sz w:val="24"/>
          <w:szCs w:val="24"/>
          <w:shd w:val="clear" w:color="auto" w:fill="FFFFFF"/>
          <w:lang w:val="en-US" w:eastAsia="el-GR"/>
        </w:rPr>
        <w:t>Mohanta</w:t>
      </w:r>
      <w:r w:rsidR="00D8241D" w:rsidRPr="00D75F89">
        <w:rPr>
          <w:rFonts w:asciiTheme="minorHAnsi" w:eastAsia="Times New Roman" w:hAnsiTheme="minorHAnsi" w:cstheme="minorHAnsi"/>
          <w:sz w:val="24"/>
          <w:szCs w:val="24"/>
          <w:shd w:val="clear" w:color="auto" w:fill="FFFFFF"/>
          <w:lang w:eastAsia="el-GR"/>
        </w:rPr>
        <w:t xml:space="preserve">, </w:t>
      </w:r>
      <w:r w:rsidR="00D8241D">
        <w:rPr>
          <w:rFonts w:cs="Arial"/>
          <w:iCs/>
          <w:sz w:val="24"/>
          <w:szCs w:val="24"/>
          <w:shd w:val="clear" w:color="auto" w:fill="FFFFFF"/>
        </w:rPr>
        <w:t>2009</w:t>
      </w:r>
      <w:r w:rsidRPr="00D75F89">
        <w:rPr>
          <w:rFonts w:cs="Arial"/>
          <w:iCs/>
          <w:sz w:val="24"/>
          <w:szCs w:val="24"/>
          <w:shd w:val="clear" w:color="auto" w:fill="FFFFFF"/>
        </w:rPr>
        <w:t>).</w:t>
      </w:r>
    </w:p>
    <w:p w:rsidR="0063117A" w:rsidRPr="003355F5" w:rsidRDefault="0063117A" w:rsidP="00D8241D">
      <w:pPr>
        <w:pStyle w:val="25"/>
        <w:numPr>
          <w:ilvl w:val="1"/>
          <w:numId w:val="105"/>
        </w:numPr>
        <w:spacing w:before="0" w:after="240" w:line="360" w:lineRule="auto"/>
        <w:jc w:val="both"/>
        <w:rPr>
          <w:rFonts w:asciiTheme="minorHAnsi" w:hAnsiTheme="minorHAnsi"/>
          <w:shd w:val="clear" w:color="auto" w:fill="FFFFFF"/>
        </w:rPr>
      </w:pPr>
      <w:bookmarkStart w:id="33" w:name="_Toc495951434"/>
      <w:r w:rsidRPr="003355F5">
        <w:rPr>
          <w:rFonts w:asciiTheme="minorHAnsi" w:hAnsiTheme="minorHAnsi"/>
          <w:shd w:val="clear" w:color="auto" w:fill="FFFFFF"/>
        </w:rPr>
        <w:t>Δομή του ενημερωτικού εντύπου</w:t>
      </w:r>
      <w:bookmarkEnd w:id="33"/>
    </w:p>
    <w:p w:rsidR="0063117A" w:rsidRPr="005A464E" w:rsidRDefault="0063117A" w:rsidP="005A464E">
      <w:pPr>
        <w:spacing w:after="240" w:line="360" w:lineRule="auto"/>
        <w:jc w:val="both"/>
        <w:rPr>
          <w:rFonts w:cs="Arial"/>
          <w:iCs/>
          <w:sz w:val="24"/>
          <w:szCs w:val="24"/>
          <w:shd w:val="clear" w:color="auto" w:fill="FFFFFF"/>
        </w:rPr>
      </w:pPr>
      <w:r w:rsidRPr="005A464E">
        <w:rPr>
          <w:rFonts w:cs="Arial"/>
          <w:iCs/>
          <w:sz w:val="24"/>
          <w:szCs w:val="24"/>
          <w:shd w:val="clear" w:color="auto" w:fill="FFFFFF"/>
        </w:rPr>
        <w:t>Το μεγαλύτερο μέρος της επι</w:t>
      </w:r>
      <w:r w:rsidR="00127016">
        <w:rPr>
          <w:rFonts w:cs="Arial"/>
          <w:iCs/>
          <w:sz w:val="24"/>
          <w:szCs w:val="24"/>
          <w:shd w:val="clear" w:color="auto" w:fill="FFFFFF"/>
        </w:rPr>
        <w:t>κοινωνίας ανάμεσα στον ασθενή</w:t>
      </w:r>
      <w:r w:rsidRPr="005A464E">
        <w:rPr>
          <w:rFonts w:cs="Arial"/>
          <w:iCs/>
          <w:sz w:val="24"/>
          <w:szCs w:val="24"/>
          <w:shd w:val="clear" w:color="auto" w:fill="FFFFFF"/>
        </w:rPr>
        <w:t xml:space="preserve"> </w:t>
      </w:r>
      <w:r w:rsidRPr="00E94504">
        <w:rPr>
          <w:rFonts w:cs="Arial"/>
          <w:iCs/>
          <w:sz w:val="24"/>
          <w:szCs w:val="24"/>
          <w:shd w:val="clear" w:color="auto" w:fill="FFFFFF"/>
        </w:rPr>
        <w:t xml:space="preserve">υπό </w:t>
      </w:r>
      <w:r w:rsidR="00127016" w:rsidRPr="00E94504">
        <w:rPr>
          <w:rFonts w:cs="Arial"/>
          <w:iCs/>
          <w:sz w:val="24"/>
          <w:szCs w:val="24"/>
          <w:shd w:val="clear" w:color="auto" w:fill="FFFFFF"/>
        </w:rPr>
        <w:t xml:space="preserve">αιμοκάθαρση και </w:t>
      </w:r>
      <w:r w:rsidR="00127016" w:rsidRPr="00995094">
        <w:rPr>
          <w:rFonts w:cs="Arial"/>
          <w:iCs/>
          <w:sz w:val="24"/>
          <w:szCs w:val="24"/>
          <w:shd w:val="clear" w:color="auto" w:fill="FFFFFF"/>
        </w:rPr>
        <w:t xml:space="preserve">στον </w:t>
      </w:r>
      <w:r w:rsidR="00E94504" w:rsidRPr="00995094">
        <w:rPr>
          <w:rFonts w:cs="Arial"/>
          <w:iCs/>
          <w:sz w:val="24"/>
          <w:szCs w:val="24"/>
          <w:shd w:val="clear" w:color="auto" w:fill="FFFFFF"/>
        </w:rPr>
        <w:t xml:space="preserve">νοσηλευτή </w:t>
      </w:r>
      <w:r w:rsidRPr="00995094">
        <w:rPr>
          <w:rFonts w:cs="Arial"/>
          <w:iCs/>
          <w:sz w:val="24"/>
          <w:szCs w:val="24"/>
          <w:shd w:val="clear" w:color="auto" w:fill="FFFFFF"/>
        </w:rPr>
        <w:t>της Μ</w:t>
      </w:r>
      <w:r w:rsidR="00332804" w:rsidRPr="00995094">
        <w:rPr>
          <w:rFonts w:cs="Arial"/>
          <w:iCs/>
          <w:sz w:val="24"/>
          <w:szCs w:val="24"/>
          <w:shd w:val="clear" w:color="auto" w:fill="FFFFFF"/>
        </w:rPr>
        <w:t>ονάδας Τεχνητού Νεφρού (Μ</w:t>
      </w:r>
      <w:r w:rsidR="00C710BF" w:rsidRPr="00995094">
        <w:rPr>
          <w:rFonts w:cs="Arial"/>
          <w:iCs/>
          <w:sz w:val="24"/>
          <w:szCs w:val="24"/>
          <w:shd w:val="clear" w:color="auto" w:fill="FFFFFF"/>
        </w:rPr>
        <w:t>ΤΝ</w:t>
      </w:r>
      <w:r w:rsidR="00332804" w:rsidRPr="00995094">
        <w:rPr>
          <w:rFonts w:cs="Arial"/>
          <w:iCs/>
          <w:sz w:val="24"/>
          <w:szCs w:val="24"/>
          <w:shd w:val="clear" w:color="auto" w:fill="FFFFFF"/>
        </w:rPr>
        <w:t>)</w:t>
      </w:r>
      <w:r w:rsidRPr="00995094">
        <w:rPr>
          <w:rFonts w:cs="Arial"/>
          <w:iCs/>
          <w:sz w:val="24"/>
          <w:szCs w:val="24"/>
          <w:shd w:val="clear" w:color="auto" w:fill="FFFFFF"/>
        </w:rPr>
        <w:t xml:space="preserve"> γίνεται προφορικά α</w:t>
      </w:r>
      <w:r w:rsidR="00332804" w:rsidRPr="00995094">
        <w:rPr>
          <w:rFonts w:cs="Arial"/>
          <w:iCs/>
          <w:sz w:val="24"/>
          <w:szCs w:val="24"/>
          <w:shd w:val="clear" w:color="auto" w:fill="FFFFFF"/>
        </w:rPr>
        <w:t>λ</w:t>
      </w:r>
      <w:r w:rsidRPr="00995094">
        <w:rPr>
          <w:rFonts w:cs="Arial"/>
          <w:iCs/>
          <w:sz w:val="24"/>
          <w:szCs w:val="24"/>
          <w:shd w:val="clear" w:color="auto" w:fill="FFFFFF"/>
        </w:rPr>
        <w:t xml:space="preserve">λά συχνά </w:t>
      </w:r>
      <w:r w:rsidR="00332804" w:rsidRPr="00995094">
        <w:rPr>
          <w:rFonts w:cs="Arial"/>
          <w:iCs/>
          <w:sz w:val="24"/>
          <w:szCs w:val="24"/>
          <w:shd w:val="clear" w:color="auto" w:fill="FFFFFF"/>
        </w:rPr>
        <w:t>χρησιμοποιείται και</w:t>
      </w:r>
      <w:r w:rsidRPr="00995094">
        <w:rPr>
          <w:rFonts w:cs="Arial"/>
          <w:iCs/>
          <w:sz w:val="24"/>
          <w:szCs w:val="24"/>
          <w:shd w:val="clear" w:color="auto" w:fill="FFFFFF"/>
        </w:rPr>
        <w:t xml:space="preserve"> γραπτό υλικό ώστε να αυξήσει και να ενισχύσει </w:t>
      </w:r>
      <w:r w:rsidR="00332804" w:rsidRPr="00995094">
        <w:rPr>
          <w:rFonts w:cs="Arial"/>
          <w:iCs/>
          <w:sz w:val="24"/>
          <w:szCs w:val="24"/>
          <w:shd w:val="clear" w:color="auto" w:fill="FFFFFF"/>
        </w:rPr>
        <w:t xml:space="preserve">τις </w:t>
      </w:r>
      <w:r w:rsidR="00127016" w:rsidRPr="00995094">
        <w:rPr>
          <w:rFonts w:cs="Arial"/>
          <w:iCs/>
          <w:sz w:val="24"/>
          <w:szCs w:val="24"/>
          <w:shd w:val="clear" w:color="auto" w:fill="FFFFFF"/>
        </w:rPr>
        <w:t>προφορικές οδηγίες. Ο ασθενή</w:t>
      </w:r>
      <w:r w:rsidRPr="00995094">
        <w:rPr>
          <w:rFonts w:cs="Arial"/>
          <w:iCs/>
          <w:sz w:val="24"/>
          <w:szCs w:val="24"/>
          <w:shd w:val="clear" w:color="auto" w:fill="FFFFFF"/>
        </w:rPr>
        <w:t>ς</w:t>
      </w:r>
      <w:r w:rsidRPr="00E94504">
        <w:rPr>
          <w:rFonts w:cs="Arial"/>
          <w:iCs/>
          <w:sz w:val="24"/>
          <w:szCs w:val="24"/>
          <w:shd w:val="clear" w:color="auto" w:fill="FFFFFF"/>
        </w:rPr>
        <w:t xml:space="preserve"> υπ</w:t>
      </w:r>
      <w:r w:rsidR="00127016" w:rsidRPr="00E94504">
        <w:rPr>
          <w:rFonts w:cs="Arial"/>
          <w:iCs/>
          <w:sz w:val="24"/>
          <w:szCs w:val="24"/>
          <w:shd w:val="clear" w:color="auto" w:fill="FFFFFF"/>
        </w:rPr>
        <w:t>ό αιμοκάθαρση χρειάζε</w:t>
      </w:r>
      <w:r w:rsidRPr="00E94504">
        <w:rPr>
          <w:rFonts w:cs="Arial"/>
          <w:iCs/>
          <w:sz w:val="24"/>
          <w:szCs w:val="24"/>
          <w:shd w:val="clear" w:color="auto" w:fill="FFFFFF"/>
        </w:rPr>
        <w:t xml:space="preserve">ται έντυπο υλικό που παρέχει οδηγίες σχετικά με τη δοσολογία των φαρμάκων, </w:t>
      </w:r>
      <w:r w:rsidR="00127016" w:rsidRPr="00E94504">
        <w:rPr>
          <w:rFonts w:cs="Arial"/>
          <w:iCs/>
          <w:sz w:val="24"/>
          <w:szCs w:val="24"/>
          <w:shd w:val="clear" w:color="auto" w:fill="FFFFFF"/>
        </w:rPr>
        <w:t>τη διατροφή</w:t>
      </w:r>
      <w:r w:rsidRPr="00E94504">
        <w:rPr>
          <w:rFonts w:cs="Arial"/>
          <w:iCs/>
          <w:sz w:val="24"/>
          <w:szCs w:val="24"/>
          <w:shd w:val="clear" w:color="auto" w:fill="FFFFFF"/>
        </w:rPr>
        <w:t>, τη διαχείριση υγρών και</w:t>
      </w:r>
      <w:r w:rsidRPr="00E94504">
        <w:rPr>
          <w:rFonts w:cs="Arial"/>
          <w:iCs/>
          <w:color w:val="303030"/>
          <w:sz w:val="24"/>
          <w:szCs w:val="24"/>
          <w:shd w:val="clear" w:color="auto" w:fill="FFFFFF"/>
        </w:rPr>
        <w:t xml:space="preserve"> </w:t>
      </w:r>
      <w:r w:rsidRPr="00E94504">
        <w:rPr>
          <w:rFonts w:cs="Arial"/>
          <w:iCs/>
          <w:sz w:val="24"/>
          <w:szCs w:val="24"/>
          <w:shd w:val="clear" w:color="auto" w:fill="FFFFFF"/>
        </w:rPr>
        <w:t>το χρονοδιάγραμμα της</w:t>
      </w:r>
      <w:r w:rsidR="0078495A" w:rsidRPr="00E94504">
        <w:rPr>
          <w:rFonts w:cs="Arial"/>
          <w:iCs/>
          <w:sz w:val="24"/>
          <w:szCs w:val="24"/>
          <w:shd w:val="clear" w:color="auto" w:fill="FFFFFF"/>
        </w:rPr>
        <w:t xml:space="preserve"> </w:t>
      </w:r>
      <w:r w:rsidR="00127016" w:rsidRPr="00E94504">
        <w:rPr>
          <w:rFonts w:cs="Arial"/>
          <w:iCs/>
          <w:sz w:val="24"/>
          <w:szCs w:val="24"/>
          <w:shd w:val="clear" w:color="auto" w:fill="FFFFFF"/>
        </w:rPr>
        <w:t>θεραπείας. Ο ασθενή</w:t>
      </w:r>
      <w:r w:rsidRPr="00E94504">
        <w:rPr>
          <w:rFonts w:cs="Arial"/>
          <w:iCs/>
          <w:sz w:val="24"/>
          <w:szCs w:val="24"/>
          <w:shd w:val="clear" w:color="auto" w:fill="FFFFFF"/>
        </w:rPr>
        <w:t>ς</w:t>
      </w:r>
      <w:r w:rsidRPr="005A464E">
        <w:rPr>
          <w:rFonts w:cs="Arial"/>
          <w:iCs/>
          <w:sz w:val="24"/>
          <w:szCs w:val="24"/>
          <w:shd w:val="clear" w:color="auto" w:fill="FFFFFF"/>
        </w:rPr>
        <w:t xml:space="preserve"> πρέπει να είναι σε θέση τόσο </w:t>
      </w:r>
      <w:r w:rsidR="00332804" w:rsidRPr="005A464E">
        <w:rPr>
          <w:rFonts w:cs="Arial"/>
          <w:iCs/>
          <w:sz w:val="24"/>
          <w:szCs w:val="24"/>
          <w:shd w:val="clear" w:color="auto" w:fill="FFFFFF"/>
        </w:rPr>
        <w:t xml:space="preserve">να </w:t>
      </w:r>
      <w:r w:rsidR="00127016">
        <w:rPr>
          <w:rFonts w:cs="Arial"/>
          <w:iCs/>
          <w:sz w:val="24"/>
          <w:szCs w:val="24"/>
          <w:shd w:val="clear" w:color="auto" w:fill="FFFFFF"/>
        </w:rPr>
        <w:t>διαβάζει όσο και να κατανοεί</w:t>
      </w:r>
      <w:r w:rsidRPr="005A464E">
        <w:rPr>
          <w:rFonts w:cs="Arial"/>
          <w:iCs/>
          <w:sz w:val="24"/>
          <w:szCs w:val="24"/>
          <w:shd w:val="clear" w:color="auto" w:fill="FFFFFF"/>
        </w:rPr>
        <w:t xml:space="preserve"> αυτό το υλικό.</w:t>
      </w:r>
    </w:p>
    <w:p w:rsidR="0063117A" w:rsidRPr="005A464E" w:rsidRDefault="0063117A" w:rsidP="005A464E">
      <w:pPr>
        <w:spacing w:line="360" w:lineRule="auto"/>
        <w:jc w:val="both"/>
        <w:rPr>
          <w:rFonts w:cs="Arial"/>
          <w:iCs/>
          <w:sz w:val="24"/>
          <w:szCs w:val="24"/>
          <w:shd w:val="clear" w:color="auto" w:fill="FFFFFF"/>
        </w:rPr>
      </w:pPr>
      <w:r w:rsidRPr="005A464E">
        <w:rPr>
          <w:rFonts w:cs="Arial"/>
          <w:iCs/>
          <w:sz w:val="24"/>
          <w:szCs w:val="24"/>
          <w:shd w:val="clear" w:color="auto" w:fill="FFFFFF"/>
        </w:rPr>
        <w:t xml:space="preserve">Τα επίπεδα του αλφαβητισμού μεταξύ των ασθενών υπό </w:t>
      </w:r>
      <w:r w:rsidR="00C710BF">
        <w:rPr>
          <w:rFonts w:cs="Arial"/>
          <w:iCs/>
          <w:sz w:val="24"/>
          <w:szCs w:val="24"/>
          <w:shd w:val="clear" w:color="auto" w:fill="FFFFFF"/>
        </w:rPr>
        <w:t>αιμο</w:t>
      </w:r>
      <w:r w:rsidR="00D8241D">
        <w:rPr>
          <w:rFonts w:cs="Arial"/>
          <w:iCs/>
          <w:sz w:val="24"/>
          <w:szCs w:val="24"/>
          <w:shd w:val="clear" w:color="auto" w:fill="FFFFFF"/>
        </w:rPr>
        <w:t>κ</w:t>
      </w:r>
      <w:r w:rsidR="00C710BF">
        <w:rPr>
          <w:rFonts w:cs="Arial"/>
          <w:iCs/>
          <w:sz w:val="24"/>
          <w:szCs w:val="24"/>
          <w:shd w:val="clear" w:color="auto" w:fill="FFFFFF"/>
        </w:rPr>
        <w:t>άθαρση</w:t>
      </w:r>
      <w:r w:rsidRPr="005A464E">
        <w:rPr>
          <w:rFonts w:cs="Arial"/>
          <w:iCs/>
          <w:sz w:val="24"/>
          <w:szCs w:val="24"/>
          <w:shd w:val="clear" w:color="auto" w:fill="FFFFFF"/>
        </w:rPr>
        <w:t xml:space="preserve"> δεν έχουν ακόμα περιγραφεί στη βιβλιογραφία. Τα άτομα με χαμηλή κοινωνικοοικονομική κατάσταση,</w:t>
      </w:r>
      <w:r w:rsidR="0078495A">
        <w:rPr>
          <w:rFonts w:cs="Arial"/>
          <w:iCs/>
          <w:sz w:val="24"/>
          <w:szCs w:val="24"/>
          <w:shd w:val="clear" w:color="auto" w:fill="FFFFFF"/>
        </w:rPr>
        <w:t xml:space="preserve"> </w:t>
      </w:r>
      <w:r w:rsidRPr="005A464E">
        <w:rPr>
          <w:rFonts w:cs="Arial"/>
          <w:iCs/>
          <w:sz w:val="24"/>
          <w:szCs w:val="24"/>
          <w:shd w:val="clear" w:color="auto" w:fill="FFFFFF"/>
        </w:rPr>
        <w:t>οι μετανάστες, τα άτομα που εγκαταλείπουν πρόωρα το σχολείο και οι άνεργοι έχουν υψηλότερα ποσοστά αναλφαβητισμού από το μέσο όρο των ενηλίκων (Quirk, 2000). Σύμφωνα με μια κυβερνητική έκθεση του 1993, οι πολιτείες της Λουιζιάνα, του Μισισιπή και του Τέξας έχουν τα υψηλότερα ποσοστά λειτουργ</w:t>
      </w:r>
      <w:r w:rsidR="00992F7C">
        <w:rPr>
          <w:rFonts w:cs="Arial"/>
          <w:iCs/>
          <w:sz w:val="24"/>
          <w:szCs w:val="24"/>
          <w:shd w:val="clear" w:color="auto" w:fill="FFFFFF"/>
        </w:rPr>
        <w:t>ικού αναλφαβητισμού στις ΗΠΑ (U</w:t>
      </w:r>
      <w:r w:rsidR="00992F7C">
        <w:rPr>
          <w:rFonts w:cs="Arial"/>
          <w:iCs/>
          <w:sz w:val="24"/>
          <w:szCs w:val="24"/>
          <w:shd w:val="clear" w:color="auto" w:fill="FFFFFF"/>
          <w:lang w:val="en-US"/>
        </w:rPr>
        <w:t>nited</w:t>
      </w:r>
      <w:r w:rsidR="00992F7C" w:rsidRPr="00992F7C">
        <w:rPr>
          <w:rFonts w:cs="Arial"/>
          <w:iCs/>
          <w:sz w:val="24"/>
          <w:szCs w:val="24"/>
          <w:shd w:val="clear" w:color="auto" w:fill="FFFFFF"/>
        </w:rPr>
        <w:t xml:space="preserve"> </w:t>
      </w:r>
      <w:r w:rsidR="00992F7C">
        <w:rPr>
          <w:rFonts w:cs="Arial"/>
          <w:iCs/>
          <w:sz w:val="24"/>
          <w:szCs w:val="24"/>
          <w:shd w:val="clear" w:color="auto" w:fill="FFFFFF"/>
        </w:rPr>
        <w:t>S</w:t>
      </w:r>
      <w:r w:rsidR="00992F7C">
        <w:rPr>
          <w:rFonts w:cs="Arial"/>
          <w:iCs/>
          <w:sz w:val="24"/>
          <w:szCs w:val="24"/>
          <w:shd w:val="clear" w:color="auto" w:fill="FFFFFF"/>
          <w:lang w:val="en-US"/>
        </w:rPr>
        <w:t>tates</w:t>
      </w:r>
      <w:r w:rsidR="00B261A5" w:rsidRPr="005A464E">
        <w:rPr>
          <w:rFonts w:cs="Arial"/>
          <w:iCs/>
          <w:sz w:val="24"/>
          <w:szCs w:val="24"/>
          <w:shd w:val="clear" w:color="auto" w:fill="FFFFFF"/>
        </w:rPr>
        <w:t xml:space="preserve"> </w:t>
      </w:r>
      <w:r w:rsidR="00691B76">
        <w:rPr>
          <w:rFonts w:cs="Arial"/>
          <w:iCs/>
          <w:sz w:val="24"/>
          <w:szCs w:val="24"/>
          <w:shd w:val="clear" w:color="auto" w:fill="FFFFFF"/>
        </w:rPr>
        <w:t>Congress</w:t>
      </w:r>
      <w:r w:rsidRPr="005A464E">
        <w:rPr>
          <w:rFonts w:cs="Arial"/>
          <w:iCs/>
          <w:sz w:val="24"/>
          <w:szCs w:val="24"/>
          <w:shd w:val="clear" w:color="auto" w:fill="FFFFFF"/>
        </w:rPr>
        <w:t xml:space="preserve"> Office of Technology Assessment,1993). </w:t>
      </w:r>
    </w:p>
    <w:p w:rsidR="00332804" w:rsidRPr="005A464E" w:rsidRDefault="00127016" w:rsidP="005A464E">
      <w:pPr>
        <w:spacing w:line="360" w:lineRule="auto"/>
        <w:jc w:val="both"/>
        <w:rPr>
          <w:rFonts w:cs="Arial"/>
          <w:iCs/>
          <w:sz w:val="24"/>
          <w:szCs w:val="24"/>
          <w:shd w:val="clear" w:color="auto" w:fill="FFFFFF"/>
        </w:rPr>
      </w:pPr>
      <w:r>
        <w:rPr>
          <w:rFonts w:cs="Arial"/>
          <w:iCs/>
          <w:sz w:val="24"/>
          <w:szCs w:val="24"/>
          <w:shd w:val="clear" w:color="auto" w:fill="FFFFFF"/>
        </w:rPr>
        <w:t>Λόγω ντροπής και αμηχανίας, ο ασθενής σπάνια παραδέχε</w:t>
      </w:r>
      <w:r w:rsidR="0063117A" w:rsidRPr="005A464E">
        <w:rPr>
          <w:rFonts w:cs="Arial"/>
          <w:iCs/>
          <w:sz w:val="24"/>
          <w:szCs w:val="24"/>
          <w:shd w:val="clear" w:color="auto" w:fill="FFFFFF"/>
        </w:rPr>
        <w:t>ται ότι είναι λ</w:t>
      </w:r>
      <w:r>
        <w:rPr>
          <w:rFonts w:cs="Arial"/>
          <w:iCs/>
          <w:sz w:val="24"/>
          <w:szCs w:val="24"/>
          <w:shd w:val="clear" w:color="auto" w:fill="FFFFFF"/>
        </w:rPr>
        <w:t>ειτουργικά αναλφάβητος</w:t>
      </w:r>
      <w:r w:rsidR="00332804" w:rsidRPr="005A464E">
        <w:rPr>
          <w:rFonts w:cs="Arial"/>
          <w:iCs/>
          <w:sz w:val="24"/>
          <w:szCs w:val="24"/>
          <w:shd w:val="clear" w:color="auto" w:fill="FFFFFF"/>
        </w:rPr>
        <w:t xml:space="preserve"> (Winslow</w:t>
      </w:r>
      <w:r w:rsidR="00691B76" w:rsidRPr="00691B76">
        <w:rPr>
          <w:rFonts w:cs="Arial"/>
          <w:iCs/>
          <w:sz w:val="24"/>
          <w:szCs w:val="24"/>
          <w:shd w:val="clear" w:color="auto" w:fill="FFFFFF"/>
        </w:rPr>
        <w:t>,</w:t>
      </w:r>
      <w:r>
        <w:rPr>
          <w:rFonts w:cs="Arial"/>
          <w:iCs/>
          <w:sz w:val="24"/>
          <w:szCs w:val="24"/>
          <w:shd w:val="clear" w:color="auto" w:fill="FFFFFF"/>
        </w:rPr>
        <w:t xml:space="preserve"> 2001). Αντίθετα, κάνει προσπάθειες να κρύψει</w:t>
      </w:r>
      <w:r w:rsidR="0063117A" w:rsidRPr="005A464E">
        <w:rPr>
          <w:rFonts w:cs="Arial"/>
          <w:iCs/>
          <w:sz w:val="24"/>
          <w:szCs w:val="24"/>
          <w:shd w:val="clear" w:color="auto" w:fill="FFFFFF"/>
        </w:rPr>
        <w:t xml:space="preserve"> το πρόβλημα στην ανάγνωση δηλώνοντας ότι κάποιος φίλος ή μέλος της οικογένειας θ</w:t>
      </w:r>
      <w:r>
        <w:rPr>
          <w:rFonts w:cs="Arial"/>
          <w:iCs/>
          <w:sz w:val="24"/>
          <w:szCs w:val="24"/>
          <w:shd w:val="clear" w:color="auto" w:fill="FFFFFF"/>
        </w:rPr>
        <w:t>α διαβάσει τα έγγραφα ή δηλώνει ότι ξέχασε τα γυαλιά του</w:t>
      </w:r>
      <w:r w:rsidR="0063117A" w:rsidRPr="005A464E">
        <w:rPr>
          <w:rFonts w:cs="Arial"/>
          <w:iCs/>
          <w:sz w:val="24"/>
          <w:szCs w:val="24"/>
          <w:shd w:val="clear" w:color="auto" w:fill="FFFFFF"/>
        </w:rPr>
        <w:t>, ή ότι θα</w:t>
      </w:r>
      <w:r>
        <w:rPr>
          <w:rFonts w:cs="Arial"/>
          <w:iCs/>
          <w:sz w:val="24"/>
          <w:szCs w:val="24"/>
          <w:shd w:val="clear" w:color="auto" w:fill="FFFFFF"/>
        </w:rPr>
        <w:t xml:space="preserve"> διαβάσει το έγγραφο όταν φτάσει</w:t>
      </w:r>
      <w:r w:rsidR="00B261A5" w:rsidRPr="005A464E">
        <w:rPr>
          <w:rFonts w:cs="Arial"/>
          <w:iCs/>
          <w:sz w:val="24"/>
          <w:szCs w:val="24"/>
          <w:shd w:val="clear" w:color="auto" w:fill="FFFFFF"/>
        </w:rPr>
        <w:t xml:space="preserve"> στο σπίτι (Smith</w:t>
      </w:r>
      <w:r w:rsidR="00691B76" w:rsidRPr="00691B76">
        <w:rPr>
          <w:rFonts w:cs="Arial"/>
          <w:iCs/>
          <w:sz w:val="24"/>
          <w:szCs w:val="24"/>
          <w:shd w:val="clear" w:color="auto" w:fill="FFFFFF"/>
        </w:rPr>
        <w:t>,</w:t>
      </w:r>
      <w:r w:rsidR="0063117A" w:rsidRPr="005A464E">
        <w:rPr>
          <w:rFonts w:cs="Arial"/>
          <w:iCs/>
          <w:sz w:val="24"/>
          <w:szCs w:val="24"/>
          <w:shd w:val="clear" w:color="auto" w:fill="FFFFFF"/>
        </w:rPr>
        <w:t xml:space="preserve"> 2003). Ωστόσο, αυτά τα ερωτήματα παραμέ</w:t>
      </w:r>
      <w:r w:rsidR="00347FAD">
        <w:rPr>
          <w:rFonts w:cs="Arial"/>
          <w:iCs/>
          <w:sz w:val="24"/>
          <w:szCs w:val="24"/>
          <w:shd w:val="clear" w:color="auto" w:fill="FFFFFF"/>
        </w:rPr>
        <w:t xml:space="preserve">νουν συνήθως αναπάντητα από τον </w:t>
      </w:r>
      <w:r w:rsidR="00C710BF">
        <w:rPr>
          <w:rFonts w:cs="Arial"/>
          <w:iCs/>
          <w:sz w:val="24"/>
          <w:szCs w:val="24"/>
          <w:shd w:val="clear" w:color="auto" w:fill="FFFFFF"/>
        </w:rPr>
        <w:t xml:space="preserve">επαγγελματία υγείας καθώς </w:t>
      </w:r>
      <w:r w:rsidR="00347FAD">
        <w:rPr>
          <w:rFonts w:cs="Arial"/>
          <w:iCs/>
          <w:sz w:val="24"/>
          <w:szCs w:val="24"/>
          <w:shd w:val="clear" w:color="auto" w:fill="FFFFFF"/>
        </w:rPr>
        <w:t>ο</w:t>
      </w:r>
      <w:r w:rsidR="0063117A" w:rsidRPr="005A464E">
        <w:rPr>
          <w:rFonts w:cs="Arial"/>
          <w:iCs/>
          <w:sz w:val="24"/>
          <w:szCs w:val="24"/>
          <w:shd w:val="clear" w:color="auto" w:fill="FFFFFF"/>
        </w:rPr>
        <w:t xml:space="preserve"> α</w:t>
      </w:r>
      <w:r w:rsidR="00347FAD">
        <w:rPr>
          <w:rFonts w:cs="Arial"/>
          <w:iCs/>
          <w:sz w:val="24"/>
          <w:szCs w:val="24"/>
          <w:shd w:val="clear" w:color="auto" w:fill="FFFFFF"/>
        </w:rPr>
        <w:t>σθενής είναι συνήθως πιο ικανός</w:t>
      </w:r>
      <w:r w:rsidR="0063117A" w:rsidRPr="005A464E">
        <w:rPr>
          <w:rFonts w:cs="Arial"/>
          <w:iCs/>
          <w:sz w:val="24"/>
          <w:szCs w:val="24"/>
          <w:shd w:val="clear" w:color="auto" w:fill="FFFFFF"/>
        </w:rPr>
        <w:t xml:space="preserve"> να απ</w:t>
      </w:r>
      <w:r w:rsidR="00347FAD">
        <w:rPr>
          <w:rFonts w:cs="Arial"/>
          <w:iCs/>
          <w:sz w:val="24"/>
          <w:szCs w:val="24"/>
          <w:shd w:val="clear" w:color="auto" w:fill="FFFFFF"/>
        </w:rPr>
        <w:t>οκρύπτει</w:t>
      </w:r>
      <w:r w:rsidR="0078495A">
        <w:rPr>
          <w:rFonts w:cs="Arial"/>
          <w:iCs/>
          <w:sz w:val="24"/>
          <w:szCs w:val="24"/>
          <w:shd w:val="clear" w:color="auto" w:fill="FFFFFF"/>
        </w:rPr>
        <w:t xml:space="preserve"> </w:t>
      </w:r>
      <w:r w:rsidR="00347FAD">
        <w:rPr>
          <w:rFonts w:cs="Arial"/>
          <w:iCs/>
          <w:sz w:val="24"/>
          <w:szCs w:val="24"/>
          <w:shd w:val="clear" w:color="auto" w:fill="FFFFFF"/>
        </w:rPr>
        <w:t>τις αδυναμίες του</w:t>
      </w:r>
      <w:r w:rsidR="0063117A" w:rsidRPr="005A464E">
        <w:rPr>
          <w:rFonts w:cs="Arial"/>
          <w:iCs/>
          <w:sz w:val="24"/>
          <w:szCs w:val="24"/>
          <w:shd w:val="clear" w:color="auto" w:fill="FFFFFF"/>
        </w:rPr>
        <w:t>. Πολλοί συγγραφείς συστήνουν το εκπαιδευτικό υλικό να είναι γραμμένο στο πέμπτο ή έκτο</w:t>
      </w:r>
      <w:r w:rsidR="00691B76">
        <w:rPr>
          <w:rFonts w:cs="Arial"/>
          <w:iCs/>
          <w:sz w:val="24"/>
          <w:szCs w:val="24"/>
          <w:shd w:val="clear" w:color="auto" w:fill="FFFFFF"/>
        </w:rPr>
        <w:t xml:space="preserve"> αναγνωστικό επίπεδο (Doa</w:t>
      </w:r>
      <w:r w:rsidR="00691B76">
        <w:rPr>
          <w:rFonts w:cs="Arial"/>
          <w:iCs/>
          <w:sz w:val="24"/>
          <w:szCs w:val="24"/>
          <w:shd w:val="clear" w:color="auto" w:fill="FFFFFF"/>
          <w:lang w:val="en-US"/>
        </w:rPr>
        <w:t>k</w:t>
      </w:r>
      <w:r w:rsidR="00691B76" w:rsidRPr="00691B76">
        <w:rPr>
          <w:rFonts w:cs="Arial"/>
          <w:iCs/>
          <w:sz w:val="24"/>
          <w:szCs w:val="24"/>
          <w:shd w:val="clear" w:color="auto" w:fill="FFFFFF"/>
        </w:rPr>
        <w:t xml:space="preserve"> </w:t>
      </w:r>
      <w:r w:rsidR="00691B76">
        <w:rPr>
          <w:rFonts w:cs="Arial"/>
          <w:iCs/>
          <w:sz w:val="24"/>
          <w:szCs w:val="24"/>
          <w:shd w:val="clear" w:color="auto" w:fill="FFFFFF"/>
          <w:lang w:val="en-US"/>
        </w:rPr>
        <w:t>C</w:t>
      </w:r>
      <w:r w:rsidR="00691B76" w:rsidRPr="00691B76">
        <w:rPr>
          <w:rFonts w:cs="Arial"/>
          <w:iCs/>
          <w:sz w:val="24"/>
          <w:szCs w:val="24"/>
          <w:shd w:val="clear" w:color="auto" w:fill="FFFFFF"/>
        </w:rPr>
        <w:t>,</w:t>
      </w:r>
      <w:r w:rsidR="00332804" w:rsidRPr="00691B76">
        <w:rPr>
          <w:rFonts w:cs="Arial"/>
          <w:iCs/>
          <w:sz w:val="24"/>
          <w:szCs w:val="24"/>
          <w:shd w:val="clear" w:color="auto" w:fill="FFFFFF"/>
        </w:rPr>
        <w:t xml:space="preserve"> </w:t>
      </w:r>
      <w:r w:rsidR="00691B76" w:rsidRPr="00691B76">
        <w:rPr>
          <w:rFonts w:cstheme="minorHAnsi"/>
          <w:sz w:val="24"/>
          <w:szCs w:val="24"/>
          <w:lang w:val="en-US"/>
        </w:rPr>
        <w:t>Doak</w:t>
      </w:r>
      <w:r w:rsidR="00691B76" w:rsidRPr="00691B76">
        <w:rPr>
          <w:rFonts w:cstheme="minorHAnsi"/>
          <w:sz w:val="24"/>
          <w:szCs w:val="24"/>
        </w:rPr>
        <w:t xml:space="preserve"> </w:t>
      </w:r>
      <w:r w:rsidR="00691B76" w:rsidRPr="00691B76">
        <w:rPr>
          <w:rFonts w:cstheme="minorHAnsi"/>
          <w:sz w:val="24"/>
          <w:szCs w:val="24"/>
          <w:lang w:val="en-US"/>
        </w:rPr>
        <w:t>G</w:t>
      </w:r>
      <w:r w:rsidR="001C2D3A">
        <w:rPr>
          <w:rFonts w:cstheme="minorHAnsi"/>
          <w:sz w:val="24"/>
          <w:szCs w:val="24"/>
        </w:rPr>
        <w:t>,</w:t>
      </w:r>
      <w:r w:rsidR="00691B76" w:rsidRPr="00691B76">
        <w:rPr>
          <w:rFonts w:cstheme="minorHAnsi"/>
          <w:sz w:val="24"/>
          <w:szCs w:val="24"/>
        </w:rPr>
        <w:t xml:space="preserve"> &amp; </w:t>
      </w:r>
      <w:r w:rsidR="00691B76" w:rsidRPr="00691B76">
        <w:rPr>
          <w:rFonts w:cstheme="minorHAnsi"/>
          <w:sz w:val="24"/>
          <w:szCs w:val="24"/>
          <w:lang w:val="en-US"/>
        </w:rPr>
        <w:t>Root</w:t>
      </w:r>
      <w:r w:rsidR="001C2D3A">
        <w:rPr>
          <w:rFonts w:cstheme="minorHAnsi"/>
          <w:sz w:val="24"/>
          <w:szCs w:val="24"/>
        </w:rPr>
        <w:t>,</w:t>
      </w:r>
      <w:r w:rsidR="00691B76" w:rsidRPr="00691B76">
        <w:rPr>
          <w:rFonts w:cs="Arial"/>
          <w:iCs/>
          <w:sz w:val="24"/>
          <w:szCs w:val="24"/>
          <w:shd w:val="clear" w:color="auto" w:fill="FFFFFF"/>
        </w:rPr>
        <w:t xml:space="preserve"> </w:t>
      </w:r>
      <w:r w:rsidR="00332804" w:rsidRPr="00691B76">
        <w:rPr>
          <w:rFonts w:cs="Arial"/>
          <w:iCs/>
          <w:sz w:val="24"/>
          <w:szCs w:val="24"/>
          <w:shd w:val="clear" w:color="auto" w:fill="FFFFFF"/>
        </w:rPr>
        <w:t>1996</w:t>
      </w:r>
      <w:r w:rsidR="00332804" w:rsidRPr="005A464E">
        <w:rPr>
          <w:rFonts w:cs="Arial"/>
          <w:iCs/>
          <w:sz w:val="24"/>
          <w:szCs w:val="24"/>
          <w:shd w:val="clear" w:color="auto" w:fill="FFFFFF"/>
        </w:rPr>
        <w:t>;</w:t>
      </w:r>
      <w:r w:rsidR="00D8241D" w:rsidRPr="00D8241D">
        <w:rPr>
          <w:rFonts w:cs="Arial"/>
          <w:iCs/>
          <w:sz w:val="24"/>
          <w:szCs w:val="24"/>
          <w:shd w:val="clear" w:color="auto" w:fill="FFFFFF"/>
        </w:rPr>
        <w:t xml:space="preserve"> </w:t>
      </w:r>
      <w:r w:rsidR="00D8241D" w:rsidRPr="005A464E">
        <w:rPr>
          <w:rFonts w:cs="Arial"/>
          <w:iCs/>
          <w:sz w:val="24"/>
          <w:szCs w:val="24"/>
          <w:shd w:val="clear" w:color="auto" w:fill="FFFFFF"/>
        </w:rPr>
        <w:t>Winslow</w:t>
      </w:r>
      <w:r w:rsidR="00D8241D" w:rsidRPr="00691B76">
        <w:rPr>
          <w:rFonts w:cs="Arial"/>
          <w:iCs/>
          <w:sz w:val="24"/>
          <w:szCs w:val="24"/>
          <w:shd w:val="clear" w:color="auto" w:fill="FFFFFF"/>
        </w:rPr>
        <w:t>,</w:t>
      </w:r>
      <w:r w:rsidR="00D8241D" w:rsidRPr="005A464E">
        <w:rPr>
          <w:rFonts w:cs="Arial"/>
          <w:iCs/>
          <w:sz w:val="24"/>
          <w:szCs w:val="24"/>
          <w:shd w:val="clear" w:color="auto" w:fill="FFFFFF"/>
        </w:rPr>
        <w:t xml:space="preserve"> 2001</w:t>
      </w:r>
      <w:r w:rsidR="00D8241D">
        <w:rPr>
          <w:rFonts w:cs="Arial"/>
          <w:iCs/>
          <w:sz w:val="24"/>
          <w:szCs w:val="24"/>
          <w:shd w:val="clear" w:color="auto" w:fill="FFFFFF"/>
        </w:rPr>
        <w:t>;</w:t>
      </w:r>
      <w:r w:rsidR="00332804" w:rsidRPr="005A464E">
        <w:rPr>
          <w:rFonts w:cs="Arial"/>
          <w:iCs/>
          <w:sz w:val="24"/>
          <w:szCs w:val="24"/>
          <w:shd w:val="clear" w:color="auto" w:fill="FFFFFF"/>
        </w:rPr>
        <w:t xml:space="preserve"> Monsivais &amp; Reynolds</w:t>
      </w:r>
      <w:r w:rsidR="00AB454B">
        <w:rPr>
          <w:rFonts w:cs="Arial"/>
          <w:iCs/>
          <w:sz w:val="24"/>
          <w:szCs w:val="24"/>
          <w:shd w:val="clear" w:color="auto" w:fill="FFFFFF"/>
        </w:rPr>
        <w:t>,</w:t>
      </w:r>
      <w:r w:rsidR="00D8241D">
        <w:rPr>
          <w:rFonts w:cs="Arial"/>
          <w:iCs/>
          <w:sz w:val="24"/>
          <w:szCs w:val="24"/>
          <w:shd w:val="clear" w:color="auto" w:fill="FFFFFF"/>
        </w:rPr>
        <w:t xml:space="preserve"> 2003</w:t>
      </w:r>
      <w:r w:rsidR="0063117A" w:rsidRPr="005A464E">
        <w:rPr>
          <w:rFonts w:cs="Arial"/>
          <w:iCs/>
          <w:sz w:val="24"/>
          <w:szCs w:val="24"/>
          <w:shd w:val="clear" w:color="auto" w:fill="FFFFFF"/>
        </w:rPr>
        <w:t xml:space="preserve">). </w:t>
      </w:r>
      <w:r w:rsidR="00347FAD">
        <w:rPr>
          <w:rFonts w:cs="Arial"/>
          <w:iCs/>
          <w:sz w:val="24"/>
          <w:szCs w:val="24"/>
          <w:shd w:val="clear" w:color="auto" w:fill="FFFFFF"/>
        </w:rPr>
        <w:t>Ωστόσο</w:t>
      </w:r>
      <w:r w:rsidR="0063117A" w:rsidRPr="005A464E">
        <w:rPr>
          <w:rFonts w:cs="Arial"/>
          <w:iCs/>
          <w:sz w:val="24"/>
          <w:szCs w:val="24"/>
          <w:shd w:val="clear" w:color="auto" w:fill="FFFFFF"/>
        </w:rPr>
        <w:t>, η πλειοψηφία των εκπαιδευτικών υλικών γράφονται στο αναγνωστικό επίπεδο το</w:t>
      </w:r>
      <w:r w:rsidR="00332804" w:rsidRPr="005A464E">
        <w:rPr>
          <w:rFonts w:cs="Arial"/>
          <w:iCs/>
          <w:sz w:val="24"/>
          <w:szCs w:val="24"/>
          <w:shd w:val="clear" w:color="auto" w:fill="FFFFFF"/>
        </w:rPr>
        <w:t>υ Λυκείου ή του Πανεπιστημίου (Brownson</w:t>
      </w:r>
      <w:r w:rsidR="00691B76" w:rsidRPr="00691B76">
        <w:rPr>
          <w:rFonts w:cs="Arial"/>
          <w:iCs/>
          <w:sz w:val="24"/>
          <w:szCs w:val="24"/>
          <w:shd w:val="clear" w:color="auto" w:fill="FFFFFF"/>
        </w:rPr>
        <w:t>,</w:t>
      </w:r>
      <w:r w:rsidR="00332804" w:rsidRPr="005A464E">
        <w:rPr>
          <w:rFonts w:cs="Arial"/>
          <w:iCs/>
          <w:sz w:val="24"/>
          <w:szCs w:val="24"/>
          <w:shd w:val="clear" w:color="auto" w:fill="FFFFFF"/>
        </w:rPr>
        <w:t xml:space="preserve"> 1998; Winslow</w:t>
      </w:r>
      <w:r w:rsidR="00691B76" w:rsidRPr="00691B76">
        <w:rPr>
          <w:rFonts w:cs="Arial"/>
          <w:iCs/>
          <w:sz w:val="24"/>
          <w:szCs w:val="24"/>
          <w:shd w:val="clear" w:color="auto" w:fill="FFFFFF"/>
        </w:rPr>
        <w:t>,</w:t>
      </w:r>
      <w:r w:rsidR="0063117A" w:rsidRPr="005A464E">
        <w:rPr>
          <w:rFonts w:cs="Arial"/>
          <w:iCs/>
          <w:sz w:val="24"/>
          <w:szCs w:val="24"/>
          <w:shd w:val="clear" w:color="auto" w:fill="FFFFFF"/>
        </w:rPr>
        <w:t xml:space="preserve"> 200</w:t>
      </w:r>
      <w:r w:rsidR="0063117A" w:rsidRPr="0046079C">
        <w:rPr>
          <w:rFonts w:cs="Arial"/>
          <w:iCs/>
          <w:sz w:val="24"/>
          <w:szCs w:val="24"/>
          <w:shd w:val="clear" w:color="auto" w:fill="FFFFFF"/>
        </w:rPr>
        <w:t>1</w:t>
      </w:r>
      <w:r w:rsidR="0063117A" w:rsidRPr="00E94504">
        <w:rPr>
          <w:rFonts w:cs="Arial"/>
          <w:iCs/>
          <w:sz w:val="24"/>
          <w:szCs w:val="24"/>
          <w:shd w:val="clear" w:color="auto" w:fill="FFFFFF"/>
        </w:rPr>
        <w:t xml:space="preserve">). Οι Doak </w:t>
      </w:r>
      <w:r w:rsidR="001C2D3A" w:rsidRPr="00E94504">
        <w:rPr>
          <w:rFonts w:cs="Arial"/>
          <w:iCs/>
          <w:sz w:val="24"/>
          <w:szCs w:val="24"/>
          <w:shd w:val="clear" w:color="auto" w:fill="FFFFFF"/>
          <w:lang w:val="en-US"/>
        </w:rPr>
        <w:t>et</w:t>
      </w:r>
      <w:r w:rsidR="001C2D3A" w:rsidRPr="00E94504">
        <w:rPr>
          <w:rFonts w:cs="Arial"/>
          <w:iCs/>
          <w:sz w:val="24"/>
          <w:szCs w:val="24"/>
          <w:shd w:val="clear" w:color="auto" w:fill="FFFFFF"/>
        </w:rPr>
        <w:t xml:space="preserve"> </w:t>
      </w:r>
      <w:r w:rsidR="001C2D3A" w:rsidRPr="00E94504">
        <w:rPr>
          <w:rFonts w:cs="Arial"/>
          <w:iCs/>
          <w:sz w:val="24"/>
          <w:szCs w:val="24"/>
          <w:shd w:val="clear" w:color="auto" w:fill="FFFFFF"/>
          <w:lang w:val="en-US"/>
        </w:rPr>
        <w:t>al</w:t>
      </w:r>
      <w:r w:rsidR="001C2D3A" w:rsidRPr="00E94504">
        <w:rPr>
          <w:rFonts w:cs="Arial"/>
          <w:iCs/>
          <w:sz w:val="24"/>
          <w:szCs w:val="24"/>
          <w:shd w:val="clear" w:color="auto" w:fill="FFFFFF"/>
        </w:rPr>
        <w:t xml:space="preserve">. </w:t>
      </w:r>
      <w:r w:rsidR="0063117A" w:rsidRPr="00E94504">
        <w:rPr>
          <w:rFonts w:cs="Arial"/>
          <w:iCs/>
          <w:sz w:val="24"/>
          <w:szCs w:val="24"/>
          <w:shd w:val="clear" w:color="auto" w:fill="FFFFFF"/>
        </w:rPr>
        <w:t>(1996)</w:t>
      </w:r>
      <w:r w:rsidR="0063117A" w:rsidRPr="005A464E">
        <w:rPr>
          <w:rFonts w:cs="Arial"/>
          <w:iCs/>
          <w:sz w:val="24"/>
          <w:szCs w:val="24"/>
          <w:shd w:val="clear" w:color="auto" w:fill="FFFFFF"/>
        </w:rPr>
        <w:t xml:space="preserve"> σημειώ</w:t>
      </w:r>
      <w:r w:rsidR="00332804" w:rsidRPr="005A464E">
        <w:rPr>
          <w:rFonts w:cs="Arial"/>
          <w:iCs/>
          <w:sz w:val="24"/>
          <w:szCs w:val="24"/>
          <w:shd w:val="clear" w:color="auto" w:fill="FFFFFF"/>
        </w:rPr>
        <w:t>νουν ότι η κατανόηση των οδηγιών</w:t>
      </w:r>
      <w:r w:rsidR="0063117A" w:rsidRPr="005A464E">
        <w:rPr>
          <w:rFonts w:cs="Arial"/>
          <w:iCs/>
          <w:sz w:val="24"/>
          <w:szCs w:val="24"/>
          <w:shd w:val="clear" w:color="auto" w:fill="FFFFFF"/>
        </w:rPr>
        <w:t xml:space="preserve"> που εμπεριέχονται στα φάρμακα απαιτεί το δέκατο αναγνωστικό επίπεδο. Υπάρχει σαφώς ένα χάσμα μεταξύ της</w:t>
      </w:r>
      <w:r w:rsidR="0078495A">
        <w:rPr>
          <w:rFonts w:cs="Arial"/>
          <w:iCs/>
          <w:sz w:val="24"/>
          <w:szCs w:val="24"/>
          <w:shd w:val="clear" w:color="auto" w:fill="FFFFFF"/>
        </w:rPr>
        <w:t xml:space="preserve"> </w:t>
      </w:r>
      <w:r w:rsidR="0063117A" w:rsidRPr="005A464E">
        <w:rPr>
          <w:rFonts w:cs="Arial"/>
          <w:iCs/>
          <w:sz w:val="24"/>
          <w:szCs w:val="24"/>
          <w:shd w:val="clear" w:color="auto" w:fill="FFFFFF"/>
        </w:rPr>
        <w:t>ικανότητας ανάγνωσης του μέσου ατόμου και του επίπεδου ανάγνωσης</w:t>
      </w:r>
      <w:r w:rsidR="0078495A">
        <w:rPr>
          <w:rFonts w:cs="Arial"/>
          <w:iCs/>
          <w:sz w:val="24"/>
          <w:szCs w:val="24"/>
          <w:shd w:val="clear" w:color="auto" w:fill="FFFFFF"/>
        </w:rPr>
        <w:t xml:space="preserve"> </w:t>
      </w:r>
      <w:r w:rsidR="0063117A" w:rsidRPr="005A464E">
        <w:rPr>
          <w:rFonts w:cs="Arial"/>
          <w:iCs/>
          <w:sz w:val="24"/>
          <w:szCs w:val="24"/>
          <w:shd w:val="clear" w:color="auto" w:fill="FFFFFF"/>
        </w:rPr>
        <w:t>πολλών οδηγιών και εγγράφων. Οι Μ</w:t>
      </w:r>
      <w:r w:rsidR="00C710BF">
        <w:rPr>
          <w:rFonts w:cs="Arial"/>
          <w:iCs/>
          <w:sz w:val="24"/>
          <w:szCs w:val="24"/>
          <w:shd w:val="clear" w:color="auto" w:fill="FFFFFF"/>
        </w:rPr>
        <w:t>ΤΝ</w:t>
      </w:r>
      <w:r w:rsidR="0063117A" w:rsidRPr="005A464E">
        <w:rPr>
          <w:rFonts w:cs="Arial"/>
          <w:iCs/>
          <w:sz w:val="24"/>
          <w:szCs w:val="24"/>
          <w:shd w:val="clear" w:color="auto" w:fill="FFFFFF"/>
        </w:rPr>
        <w:t xml:space="preserve"> έχουν σημαντικό αριθμό ασθενών που είναι</w:t>
      </w:r>
      <w:r w:rsidR="00347FAD">
        <w:rPr>
          <w:rFonts w:cs="Arial"/>
          <w:iCs/>
          <w:sz w:val="24"/>
          <w:szCs w:val="24"/>
          <w:shd w:val="clear" w:color="auto" w:fill="FFFFFF"/>
        </w:rPr>
        <w:t xml:space="preserve"> λειτουργικά αναλφάβητοι. Είναι, επίσης, πιθανό</w:t>
      </w:r>
      <w:r w:rsidR="0063117A" w:rsidRPr="005A464E">
        <w:rPr>
          <w:rFonts w:cs="Arial"/>
          <w:iCs/>
          <w:sz w:val="24"/>
          <w:szCs w:val="24"/>
          <w:shd w:val="clear" w:color="auto" w:fill="FFFFFF"/>
        </w:rPr>
        <w:t xml:space="preserve"> ότι κατά μέσο </w:t>
      </w:r>
      <w:r w:rsidR="00C710BF">
        <w:rPr>
          <w:rFonts w:cs="Arial"/>
          <w:iCs/>
          <w:sz w:val="24"/>
          <w:szCs w:val="24"/>
          <w:shd w:val="clear" w:color="auto" w:fill="FFFFFF"/>
        </w:rPr>
        <w:t>όρο τα εκπαιδευτικά υλικά στις ΜΤΝ</w:t>
      </w:r>
      <w:r w:rsidR="0063117A" w:rsidRPr="005A464E">
        <w:rPr>
          <w:rFonts w:cs="Arial"/>
          <w:iCs/>
          <w:sz w:val="24"/>
          <w:szCs w:val="24"/>
          <w:shd w:val="clear" w:color="auto" w:fill="FFFFFF"/>
        </w:rPr>
        <w:t xml:space="preserve"> δεν είναι αναγνώσιμα από πολλούς ασθενείς. </w:t>
      </w:r>
    </w:p>
    <w:p w:rsidR="0063117A" w:rsidRPr="005A464E" w:rsidRDefault="0063117A" w:rsidP="005A464E">
      <w:pPr>
        <w:spacing w:line="360" w:lineRule="auto"/>
        <w:jc w:val="both"/>
        <w:rPr>
          <w:rFonts w:cs="Arial"/>
          <w:iCs/>
          <w:sz w:val="24"/>
          <w:szCs w:val="24"/>
          <w:shd w:val="clear" w:color="auto" w:fill="FFFFFF"/>
        </w:rPr>
      </w:pPr>
      <w:r w:rsidRPr="005A464E">
        <w:rPr>
          <w:rFonts w:cs="Arial"/>
          <w:iCs/>
          <w:sz w:val="24"/>
          <w:szCs w:val="24"/>
          <w:shd w:val="clear" w:color="auto" w:fill="FFFFFF"/>
        </w:rPr>
        <w:t>Η έννοια της αναγνωσιμότητας δεν είναι νέ</w:t>
      </w:r>
      <w:r w:rsidR="00CF127E" w:rsidRPr="005A464E">
        <w:rPr>
          <w:rFonts w:cs="Arial"/>
          <w:iCs/>
          <w:sz w:val="24"/>
          <w:szCs w:val="24"/>
          <w:shd w:val="clear" w:color="auto" w:fill="FFFFFF"/>
        </w:rPr>
        <w:t>α και μπορεί να περιγραφεί ως «</w:t>
      </w:r>
      <w:r w:rsidRPr="005A464E">
        <w:rPr>
          <w:rFonts w:cs="Arial"/>
          <w:iCs/>
          <w:sz w:val="24"/>
          <w:szCs w:val="24"/>
          <w:shd w:val="clear" w:color="auto" w:fill="FFFFFF"/>
        </w:rPr>
        <w:t>τα χαρακτηριστικά ενός γραπτού υλικού που το καθιστούν «εύκολο» ή</w:t>
      </w:r>
      <w:r w:rsidR="0078495A">
        <w:rPr>
          <w:rFonts w:cs="Arial"/>
          <w:iCs/>
          <w:sz w:val="24"/>
          <w:szCs w:val="24"/>
          <w:shd w:val="clear" w:color="auto" w:fill="FFFFFF"/>
        </w:rPr>
        <w:t xml:space="preserve"> </w:t>
      </w:r>
      <w:r w:rsidRPr="005A464E">
        <w:rPr>
          <w:rFonts w:cs="Arial"/>
          <w:iCs/>
          <w:sz w:val="24"/>
          <w:szCs w:val="24"/>
          <w:shd w:val="clear" w:color="auto" w:fill="FFFFFF"/>
        </w:rPr>
        <w:t>«δύσκολο» ν</w:t>
      </w:r>
      <w:r w:rsidR="00332804" w:rsidRPr="005A464E">
        <w:rPr>
          <w:rFonts w:cs="Arial"/>
          <w:iCs/>
          <w:sz w:val="24"/>
          <w:szCs w:val="24"/>
          <w:shd w:val="clear" w:color="auto" w:fill="FFFFFF"/>
        </w:rPr>
        <w:t>α αναγνωσθεί (Kahn &amp; Pannbacker</w:t>
      </w:r>
      <w:r w:rsidR="00AB454B">
        <w:rPr>
          <w:rFonts w:cs="Arial"/>
          <w:iCs/>
          <w:sz w:val="24"/>
          <w:szCs w:val="24"/>
          <w:shd w:val="clear" w:color="auto" w:fill="FFFFFF"/>
        </w:rPr>
        <w:t>,</w:t>
      </w:r>
      <w:r w:rsidRPr="005A464E">
        <w:rPr>
          <w:rFonts w:cs="Arial"/>
          <w:iCs/>
          <w:sz w:val="24"/>
          <w:szCs w:val="24"/>
          <w:shd w:val="clear" w:color="auto" w:fill="FFFFFF"/>
        </w:rPr>
        <w:t xml:space="preserve"> 2000).</w:t>
      </w:r>
    </w:p>
    <w:p w:rsidR="00D8241D" w:rsidRDefault="0063117A" w:rsidP="005A464E">
      <w:pPr>
        <w:spacing w:line="360" w:lineRule="auto"/>
        <w:jc w:val="both"/>
        <w:rPr>
          <w:rFonts w:cs="Arial"/>
          <w:iCs/>
          <w:sz w:val="24"/>
          <w:szCs w:val="24"/>
          <w:shd w:val="clear" w:color="auto" w:fill="FFFFFF"/>
        </w:rPr>
      </w:pPr>
      <w:r w:rsidRPr="005A464E">
        <w:rPr>
          <w:rFonts w:cs="Arial"/>
          <w:iCs/>
          <w:sz w:val="24"/>
          <w:szCs w:val="24"/>
          <w:shd w:val="clear" w:color="auto" w:fill="FFFFFF"/>
        </w:rPr>
        <w:t>Στρατηγικές που μπορούν να χρησιμοποιηθούν κατά τον σχεδιασμό ενός έντυπου εκπαιδευτικού υλικού είναι:</w:t>
      </w:r>
    </w:p>
    <w:p w:rsidR="0063117A" w:rsidRPr="005A464E" w:rsidRDefault="0063117A" w:rsidP="00D8241D">
      <w:pPr>
        <w:numPr>
          <w:ilvl w:val="0"/>
          <w:numId w:val="120"/>
        </w:numPr>
        <w:spacing w:line="360" w:lineRule="auto"/>
        <w:jc w:val="both"/>
        <w:rPr>
          <w:rFonts w:cs="Arial"/>
          <w:iCs/>
          <w:sz w:val="24"/>
          <w:szCs w:val="24"/>
          <w:shd w:val="clear" w:color="auto" w:fill="FFFFFF"/>
        </w:rPr>
      </w:pPr>
      <w:r w:rsidRPr="005A464E">
        <w:rPr>
          <w:rFonts w:cs="Arial"/>
          <w:iCs/>
          <w:sz w:val="24"/>
          <w:szCs w:val="24"/>
          <w:shd w:val="clear" w:color="auto" w:fill="FFFFFF"/>
        </w:rPr>
        <w:t>Χρήση έντονων ή πλάγιων γραμμάτων για να τονιστούν οι</w:t>
      </w:r>
      <w:r w:rsidR="0078495A">
        <w:rPr>
          <w:rFonts w:cs="Arial"/>
          <w:iCs/>
          <w:sz w:val="24"/>
          <w:szCs w:val="24"/>
          <w:shd w:val="clear" w:color="auto" w:fill="FFFFFF"/>
        </w:rPr>
        <w:t xml:space="preserve"> </w:t>
      </w:r>
      <w:r w:rsidRPr="005A464E">
        <w:rPr>
          <w:rFonts w:cs="Arial"/>
          <w:iCs/>
          <w:sz w:val="24"/>
          <w:szCs w:val="24"/>
          <w:shd w:val="clear" w:color="auto" w:fill="FFFFFF"/>
        </w:rPr>
        <w:t>λέξεις κλειδιά</w:t>
      </w:r>
      <w:r w:rsidR="00347FAD">
        <w:rPr>
          <w:rFonts w:cs="Arial"/>
          <w:iCs/>
          <w:sz w:val="24"/>
          <w:szCs w:val="24"/>
          <w:shd w:val="clear" w:color="auto" w:fill="FFFFFF"/>
        </w:rPr>
        <w:t>.</w:t>
      </w:r>
    </w:p>
    <w:p w:rsidR="00D8241D" w:rsidRDefault="0063117A" w:rsidP="00D8241D">
      <w:pPr>
        <w:numPr>
          <w:ilvl w:val="0"/>
          <w:numId w:val="120"/>
        </w:numPr>
        <w:spacing w:line="360" w:lineRule="auto"/>
        <w:jc w:val="both"/>
        <w:rPr>
          <w:rFonts w:cs="Arial"/>
          <w:iCs/>
          <w:sz w:val="24"/>
          <w:szCs w:val="24"/>
          <w:shd w:val="clear" w:color="auto" w:fill="FFFFFF"/>
        </w:rPr>
      </w:pPr>
      <w:r w:rsidRPr="005A464E">
        <w:rPr>
          <w:rFonts w:cs="Arial"/>
          <w:iCs/>
          <w:sz w:val="24"/>
          <w:szCs w:val="24"/>
          <w:shd w:val="clear" w:color="auto" w:fill="FFFFFF"/>
        </w:rPr>
        <w:t>Χρήση μαύρων γραμμάτων σε λευκό χαρτί</w:t>
      </w:r>
      <w:r w:rsidR="00347FAD">
        <w:rPr>
          <w:rFonts w:cs="Arial"/>
          <w:iCs/>
          <w:sz w:val="24"/>
          <w:szCs w:val="24"/>
          <w:shd w:val="clear" w:color="auto" w:fill="FFFFFF"/>
        </w:rPr>
        <w:t>.</w:t>
      </w:r>
    </w:p>
    <w:p w:rsidR="00D8241D" w:rsidRDefault="0063117A" w:rsidP="00D8241D">
      <w:pPr>
        <w:numPr>
          <w:ilvl w:val="0"/>
          <w:numId w:val="120"/>
        </w:numPr>
        <w:spacing w:line="360" w:lineRule="auto"/>
        <w:jc w:val="both"/>
        <w:rPr>
          <w:rFonts w:cs="Arial"/>
          <w:iCs/>
          <w:sz w:val="24"/>
          <w:szCs w:val="24"/>
          <w:shd w:val="clear" w:color="auto" w:fill="FFFFFF"/>
        </w:rPr>
      </w:pPr>
      <w:r w:rsidRPr="00D8241D">
        <w:rPr>
          <w:rFonts w:cs="Arial"/>
          <w:iCs/>
          <w:sz w:val="24"/>
          <w:szCs w:val="24"/>
          <w:shd w:val="clear" w:color="auto" w:fill="FFFFFF"/>
        </w:rPr>
        <w:t>Μέγεθος γραμματοσειράς τουλάχιστον 12</w:t>
      </w:r>
      <w:r w:rsidR="00347FAD" w:rsidRPr="00D8241D">
        <w:rPr>
          <w:rFonts w:cs="Arial"/>
          <w:iCs/>
          <w:sz w:val="24"/>
          <w:szCs w:val="24"/>
          <w:shd w:val="clear" w:color="auto" w:fill="FFFFFF"/>
        </w:rPr>
        <w:t>.</w:t>
      </w:r>
    </w:p>
    <w:p w:rsidR="00D8241D" w:rsidRDefault="0063117A" w:rsidP="00D8241D">
      <w:pPr>
        <w:numPr>
          <w:ilvl w:val="0"/>
          <w:numId w:val="120"/>
        </w:numPr>
        <w:spacing w:line="360" w:lineRule="auto"/>
        <w:jc w:val="both"/>
        <w:rPr>
          <w:rFonts w:cs="Arial"/>
          <w:iCs/>
          <w:sz w:val="24"/>
          <w:szCs w:val="24"/>
          <w:shd w:val="clear" w:color="auto" w:fill="FFFFFF"/>
        </w:rPr>
      </w:pPr>
      <w:r w:rsidRPr="00D8241D">
        <w:rPr>
          <w:rFonts w:cs="Arial"/>
          <w:iCs/>
          <w:sz w:val="24"/>
          <w:szCs w:val="24"/>
          <w:shd w:val="clear" w:color="auto" w:fill="FFFFFF"/>
        </w:rPr>
        <w:t>Αποφυγή χρήσης πολλών γραμματοσειρών καθώς αποσπάται η προσοχή των ασθενών</w:t>
      </w:r>
      <w:r w:rsidR="00347FAD" w:rsidRPr="00D8241D">
        <w:rPr>
          <w:rFonts w:cs="Arial"/>
          <w:iCs/>
          <w:sz w:val="24"/>
          <w:szCs w:val="24"/>
          <w:shd w:val="clear" w:color="auto" w:fill="FFFFFF"/>
        </w:rPr>
        <w:t>.</w:t>
      </w:r>
    </w:p>
    <w:p w:rsidR="00D8241D" w:rsidRDefault="0063117A" w:rsidP="00D8241D">
      <w:pPr>
        <w:numPr>
          <w:ilvl w:val="0"/>
          <w:numId w:val="120"/>
        </w:numPr>
        <w:spacing w:line="360" w:lineRule="auto"/>
        <w:jc w:val="both"/>
        <w:rPr>
          <w:rFonts w:cs="Arial"/>
          <w:iCs/>
          <w:sz w:val="24"/>
          <w:szCs w:val="24"/>
          <w:shd w:val="clear" w:color="auto" w:fill="FFFFFF"/>
        </w:rPr>
      </w:pPr>
      <w:r w:rsidRPr="00D8241D">
        <w:rPr>
          <w:rFonts w:cs="Arial"/>
          <w:iCs/>
          <w:sz w:val="24"/>
          <w:szCs w:val="24"/>
          <w:shd w:val="clear" w:color="auto" w:fill="FFFFFF"/>
        </w:rPr>
        <w:t xml:space="preserve">Χρήση εικόνων ή σχεδίων που θα απεικονίζουν τις έννοιες και </w:t>
      </w:r>
      <w:r w:rsidR="004010EA" w:rsidRPr="00D8241D">
        <w:rPr>
          <w:rFonts w:cs="Arial"/>
          <w:iCs/>
          <w:sz w:val="24"/>
          <w:szCs w:val="24"/>
          <w:shd w:val="clear" w:color="auto" w:fill="FFFFFF"/>
        </w:rPr>
        <w:t xml:space="preserve">τις </w:t>
      </w:r>
      <w:r w:rsidRPr="00D8241D">
        <w:rPr>
          <w:rFonts w:cs="Arial"/>
          <w:iCs/>
          <w:sz w:val="24"/>
          <w:szCs w:val="24"/>
          <w:shd w:val="clear" w:color="auto" w:fill="FFFFFF"/>
        </w:rPr>
        <w:t>διαδικασίες</w:t>
      </w:r>
      <w:r w:rsidR="00347FAD" w:rsidRPr="00D8241D">
        <w:rPr>
          <w:rFonts w:cs="Arial"/>
          <w:iCs/>
          <w:sz w:val="24"/>
          <w:szCs w:val="24"/>
          <w:shd w:val="clear" w:color="auto" w:fill="FFFFFF"/>
        </w:rPr>
        <w:t>.</w:t>
      </w:r>
    </w:p>
    <w:p w:rsidR="00D8241D" w:rsidRDefault="0063117A" w:rsidP="00D8241D">
      <w:pPr>
        <w:numPr>
          <w:ilvl w:val="0"/>
          <w:numId w:val="120"/>
        </w:numPr>
        <w:spacing w:line="360" w:lineRule="auto"/>
        <w:jc w:val="both"/>
        <w:rPr>
          <w:rFonts w:cs="Arial"/>
          <w:iCs/>
          <w:sz w:val="24"/>
          <w:szCs w:val="24"/>
          <w:shd w:val="clear" w:color="auto" w:fill="FFFFFF"/>
        </w:rPr>
      </w:pPr>
      <w:r w:rsidRPr="00D8241D">
        <w:rPr>
          <w:rFonts w:cs="Arial"/>
          <w:iCs/>
          <w:sz w:val="24"/>
          <w:szCs w:val="24"/>
          <w:shd w:val="clear" w:color="auto" w:fill="FFFFFF"/>
        </w:rPr>
        <w:t>Όχι κεφαλαία γράμματα - είναι δύσκολο να αναγνωσθούν</w:t>
      </w:r>
      <w:r w:rsidR="00347FAD" w:rsidRPr="00D8241D">
        <w:rPr>
          <w:rFonts w:cs="Arial"/>
          <w:iCs/>
          <w:sz w:val="24"/>
          <w:szCs w:val="24"/>
          <w:shd w:val="clear" w:color="auto" w:fill="FFFFFF"/>
        </w:rPr>
        <w:t>.</w:t>
      </w:r>
    </w:p>
    <w:p w:rsidR="00D8241D" w:rsidRDefault="0063117A" w:rsidP="00D8241D">
      <w:pPr>
        <w:numPr>
          <w:ilvl w:val="0"/>
          <w:numId w:val="120"/>
        </w:numPr>
        <w:spacing w:line="360" w:lineRule="auto"/>
        <w:jc w:val="both"/>
        <w:rPr>
          <w:rFonts w:cs="Arial"/>
          <w:iCs/>
          <w:sz w:val="24"/>
          <w:szCs w:val="24"/>
          <w:shd w:val="clear" w:color="auto" w:fill="FFFFFF"/>
        </w:rPr>
      </w:pPr>
      <w:r w:rsidRPr="00D8241D">
        <w:rPr>
          <w:rFonts w:cs="Arial"/>
          <w:iCs/>
          <w:sz w:val="24"/>
          <w:szCs w:val="24"/>
          <w:shd w:val="clear" w:color="auto" w:fill="FFFFFF"/>
        </w:rPr>
        <w:t>Στοίχιση του κειμένου από την αριστερή πλευρά</w:t>
      </w:r>
      <w:r w:rsidR="00347FAD" w:rsidRPr="00D8241D">
        <w:rPr>
          <w:rFonts w:cs="Arial"/>
          <w:iCs/>
          <w:sz w:val="24"/>
          <w:szCs w:val="24"/>
          <w:shd w:val="clear" w:color="auto" w:fill="FFFFFF"/>
        </w:rPr>
        <w:t>.</w:t>
      </w:r>
    </w:p>
    <w:p w:rsidR="00D8241D" w:rsidRDefault="0063117A" w:rsidP="00D8241D">
      <w:pPr>
        <w:numPr>
          <w:ilvl w:val="0"/>
          <w:numId w:val="120"/>
        </w:numPr>
        <w:spacing w:line="360" w:lineRule="auto"/>
        <w:jc w:val="both"/>
        <w:rPr>
          <w:rFonts w:cs="Arial"/>
          <w:iCs/>
          <w:sz w:val="24"/>
          <w:szCs w:val="24"/>
          <w:shd w:val="clear" w:color="auto" w:fill="FFFFFF"/>
        </w:rPr>
      </w:pPr>
      <w:r w:rsidRPr="00D8241D">
        <w:rPr>
          <w:rFonts w:cs="Arial"/>
          <w:iCs/>
          <w:sz w:val="24"/>
          <w:szCs w:val="24"/>
          <w:shd w:val="clear" w:color="auto" w:fill="FFFFFF"/>
        </w:rPr>
        <w:t>Χρήση παραγράφων και υποπαραγράφων</w:t>
      </w:r>
      <w:r w:rsidR="00347FAD" w:rsidRPr="00D8241D">
        <w:rPr>
          <w:rFonts w:cs="Arial"/>
          <w:iCs/>
          <w:sz w:val="24"/>
          <w:szCs w:val="24"/>
          <w:shd w:val="clear" w:color="auto" w:fill="FFFFFF"/>
        </w:rPr>
        <w:t>.</w:t>
      </w:r>
    </w:p>
    <w:p w:rsidR="00D8241D" w:rsidRDefault="0063117A" w:rsidP="00D8241D">
      <w:pPr>
        <w:numPr>
          <w:ilvl w:val="0"/>
          <w:numId w:val="120"/>
        </w:numPr>
        <w:spacing w:line="360" w:lineRule="auto"/>
        <w:jc w:val="both"/>
        <w:rPr>
          <w:rFonts w:cs="Arial"/>
          <w:iCs/>
          <w:sz w:val="24"/>
          <w:szCs w:val="24"/>
          <w:shd w:val="clear" w:color="auto" w:fill="FFFFFF"/>
        </w:rPr>
      </w:pPr>
      <w:r w:rsidRPr="00D8241D">
        <w:rPr>
          <w:rFonts w:cs="Arial"/>
          <w:iCs/>
          <w:sz w:val="24"/>
          <w:szCs w:val="24"/>
          <w:shd w:val="clear" w:color="auto" w:fill="FFFFFF"/>
        </w:rPr>
        <w:t>Να υπάρχει αρκετό λευκό διάστημα στη σελίδα</w:t>
      </w:r>
      <w:r w:rsidR="00347FAD" w:rsidRPr="00D8241D">
        <w:rPr>
          <w:rFonts w:cs="Arial"/>
          <w:iCs/>
          <w:sz w:val="24"/>
          <w:szCs w:val="24"/>
          <w:shd w:val="clear" w:color="auto" w:fill="FFFFFF"/>
        </w:rPr>
        <w:t>.</w:t>
      </w:r>
    </w:p>
    <w:p w:rsidR="00D8241D" w:rsidRPr="00D8241D" w:rsidRDefault="0063117A" w:rsidP="00D8241D">
      <w:pPr>
        <w:numPr>
          <w:ilvl w:val="0"/>
          <w:numId w:val="120"/>
        </w:numPr>
        <w:spacing w:line="360" w:lineRule="auto"/>
        <w:jc w:val="both"/>
        <w:rPr>
          <w:rFonts w:cs="Arial"/>
          <w:iCs/>
          <w:sz w:val="24"/>
          <w:szCs w:val="24"/>
          <w:shd w:val="clear" w:color="auto" w:fill="FFFFFF"/>
        </w:rPr>
      </w:pPr>
      <w:r w:rsidRPr="00D8241D">
        <w:rPr>
          <w:rFonts w:cs="Arial"/>
          <w:iCs/>
          <w:sz w:val="24"/>
          <w:szCs w:val="24"/>
          <w:shd w:val="clear" w:color="auto" w:fill="FFFFFF"/>
        </w:rPr>
        <w:t>Οι κουκίδες βοηθούν τον αναγνώστη</w:t>
      </w:r>
      <w:r w:rsidR="00594D23" w:rsidRPr="00D8241D">
        <w:rPr>
          <w:rFonts w:cs="Arial"/>
          <w:iCs/>
          <w:sz w:val="24"/>
          <w:szCs w:val="24"/>
          <w:shd w:val="clear" w:color="auto" w:fill="FFFFFF"/>
        </w:rPr>
        <w:t xml:space="preserve"> να ακολουθήσει τις πληροφορίες (Kahn</w:t>
      </w:r>
      <w:r w:rsidR="0078495A" w:rsidRPr="00D8241D">
        <w:rPr>
          <w:rFonts w:cs="Arial"/>
          <w:iCs/>
          <w:sz w:val="24"/>
          <w:szCs w:val="24"/>
          <w:shd w:val="clear" w:color="auto" w:fill="FFFFFF"/>
        </w:rPr>
        <w:t xml:space="preserve"> </w:t>
      </w:r>
      <w:r w:rsidR="00594D23" w:rsidRPr="00D8241D">
        <w:rPr>
          <w:rFonts w:cs="Arial"/>
          <w:iCs/>
          <w:sz w:val="24"/>
          <w:szCs w:val="24"/>
          <w:shd w:val="clear" w:color="auto" w:fill="FFFFFF"/>
        </w:rPr>
        <w:t xml:space="preserve"> &amp; Pannbacker</w:t>
      </w:r>
      <w:r w:rsidR="00AB454B" w:rsidRPr="00D8241D">
        <w:rPr>
          <w:rFonts w:cs="Arial"/>
          <w:iCs/>
          <w:sz w:val="24"/>
          <w:szCs w:val="24"/>
          <w:shd w:val="clear" w:color="auto" w:fill="FFFFFF"/>
        </w:rPr>
        <w:t>,</w:t>
      </w:r>
      <w:r w:rsidR="00594D23" w:rsidRPr="00D8241D">
        <w:rPr>
          <w:rFonts w:cs="Arial"/>
          <w:iCs/>
          <w:sz w:val="24"/>
          <w:szCs w:val="24"/>
          <w:shd w:val="clear" w:color="auto" w:fill="FFFFFF"/>
        </w:rPr>
        <w:t xml:space="preserve"> 2000).</w:t>
      </w:r>
    </w:p>
    <w:p w:rsidR="003355F5" w:rsidRPr="00D8241D" w:rsidRDefault="00CF127E" w:rsidP="00D8241D">
      <w:pPr>
        <w:pStyle w:val="25"/>
        <w:numPr>
          <w:ilvl w:val="1"/>
          <w:numId w:val="105"/>
        </w:numPr>
        <w:spacing w:after="240" w:line="360" w:lineRule="auto"/>
        <w:jc w:val="both"/>
        <w:rPr>
          <w:rFonts w:asciiTheme="minorHAnsi" w:hAnsiTheme="minorHAnsi"/>
        </w:rPr>
      </w:pPr>
      <w:bookmarkStart w:id="34" w:name="_Toc495951435"/>
      <w:r w:rsidRPr="005A464E">
        <w:rPr>
          <w:rFonts w:asciiTheme="minorHAnsi" w:hAnsiTheme="minorHAnsi"/>
        </w:rPr>
        <w:t>Εργαλεία μέτρηση</w:t>
      </w:r>
      <w:r w:rsidR="00A17C54" w:rsidRPr="005A464E">
        <w:rPr>
          <w:rFonts w:asciiTheme="minorHAnsi" w:hAnsiTheme="minorHAnsi"/>
        </w:rPr>
        <w:t>ς γνώσης των ασθενών για τη Χ</w:t>
      </w:r>
      <w:r w:rsidR="00851042">
        <w:rPr>
          <w:rFonts w:asciiTheme="minorHAnsi" w:hAnsiTheme="minorHAnsi"/>
        </w:rPr>
        <w:t>ρόνια Νεφρική Νόσο</w:t>
      </w:r>
      <w:bookmarkEnd w:id="34"/>
    </w:p>
    <w:p w:rsidR="00EE37D4" w:rsidRPr="004A7CDC" w:rsidRDefault="004372FC" w:rsidP="005A464E">
      <w:pPr>
        <w:spacing w:line="360" w:lineRule="auto"/>
        <w:jc w:val="both"/>
        <w:rPr>
          <w:sz w:val="24"/>
          <w:szCs w:val="24"/>
          <w:highlight w:val="lightGray"/>
        </w:rPr>
      </w:pPr>
      <w:r w:rsidRPr="005A464E">
        <w:rPr>
          <w:sz w:val="24"/>
          <w:szCs w:val="24"/>
        </w:rPr>
        <w:t>Η κλίμακα</w:t>
      </w:r>
      <w:r w:rsidR="00CF0332" w:rsidRPr="005A464E">
        <w:rPr>
          <w:sz w:val="24"/>
          <w:szCs w:val="24"/>
        </w:rPr>
        <w:t xml:space="preserve"> </w:t>
      </w:r>
      <w:r w:rsidR="009D2CCD" w:rsidRPr="005A464E">
        <w:rPr>
          <w:sz w:val="24"/>
          <w:szCs w:val="24"/>
          <w:lang w:val="en-US"/>
        </w:rPr>
        <w:t>Kidney</w:t>
      </w:r>
      <w:r w:rsidR="00CF0332" w:rsidRPr="005A464E">
        <w:rPr>
          <w:sz w:val="24"/>
          <w:szCs w:val="24"/>
        </w:rPr>
        <w:t xml:space="preserve"> </w:t>
      </w:r>
      <w:r w:rsidR="009D2CCD" w:rsidRPr="005A464E">
        <w:rPr>
          <w:sz w:val="24"/>
          <w:szCs w:val="24"/>
          <w:lang w:val="en-US"/>
        </w:rPr>
        <w:t>Disease</w:t>
      </w:r>
      <w:r w:rsidR="00CF0332" w:rsidRPr="005A464E">
        <w:rPr>
          <w:sz w:val="24"/>
          <w:szCs w:val="24"/>
        </w:rPr>
        <w:t xml:space="preserve"> </w:t>
      </w:r>
      <w:r w:rsidR="009D2CCD" w:rsidRPr="005A464E">
        <w:rPr>
          <w:sz w:val="24"/>
          <w:szCs w:val="24"/>
          <w:lang w:val="en-US"/>
        </w:rPr>
        <w:t>Knowledge</w:t>
      </w:r>
      <w:r w:rsidR="00CF0332" w:rsidRPr="005A464E">
        <w:rPr>
          <w:sz w:val="24"/>
          <w:szCs w:val="24"/>
        </w:rPr>
        <w:t xml:space="preserve"> </w:t>
      </w:r>
      <w:r w:rsidR="009D2CCD" w:rsidRPr="005A464E">
        <w:rPr>
          <w:sz w:val="24"/>
          <w:szCs w:val="24"/>
          <w:lang w:val="en-US"/>
        </w:rPr>
        <w:t>Survey</w:t>
      </w:r>
      <w:r w:rsidR="009D2CCD" w:rsidRPr="005A464E">
        <w:rPr>
          <w:sz w:val="24"/>
          <w:szCs w:val="24"/>
        </w:rPr>
        <w:t xml:space="preserve"> (</w:t>
      </w:r>
      <w:r w:rsidR="009D2CCD" w:rsidRPr="005A464E">
        <w:rPr>
          <w:sz w:val="24"/>
          <w:szCs w:val="24"/>
          <w:lang w:val="en-US"/>
        </w:rPr>
        <w:t>KiKS</w:t>
      </w:r>
      <w:r w:rsidR="009D2CCD" w:rsidRPr="005A464E">
        <w:rPr>
          <w:sz w:val="24"/>
          <w:szCs w:val="24"/>
        </w:rPr>
        <w:t xml:space="preserve">) </w:t>
      </w:r>
      <w:r w:rsidRPr="005A464E">
        <w:rPr>
          <w:sz w:val="24"/>
          <w:szCs w:val="24"/>
        </w:rPr>
        <w:t>είναι ένα αυτοσυμπληρούμενο ερωτηματολόγιο που αξιολογεί τη γνώση ασθενών με ΧΝΝ (στάδια ΧΝΝ 1-5) σχετικά με τη ΧΝΝ, τη νεφρική λειτουργία, τις επιλογές υποκατάστασης της νεφρικής λειτουργίας, σημεία και συμπτώματα εξέλιξης της ΧΝΝ, αρτηριακή υπέρταση. Αποτελείται από 28 ερωτήσεις (5 πολλαπλής επιλογής και 23 διχοτόμες ΝΑΙ/ΟΧΙ</w:t>
      </w:r>
      <w:r w:rsidR="00956FF5" w:rsidRPr="005A464E">
        <w:rPr>
          <w:sz w:val="24"/>
          <w:szCs w:val="24"/>
        </w:rPr>
        <w:t>). Οι ερωτήσεις δεν εντάσσονται σε συγκεκριμένες ενότητες. Κάθε σωστή απάντηση βαθμολογείται με 1 και κάθε λάθος απάντηση με 0. Το</w:t>
      </w:r>
      <w:r w:rsidR="00CF0332" w:rsidRPr="005A464E">
        <w:rPr>
          <w:sz w:val="24"/>
          <w:szCs w:val="24"/>
        </w:rPr>
        <w:t xml:space="preserve"> </w:t>
      </w:r>
      <w:r w:rsidR="00956FF5" w:rsidRPr="005A464E">
        <w:rPr>
          <w:sz w:val="24"/>
          <w:szCs w:val="24"/>
        </w:rPr>
        <w:t>συνολικό</w:t>
      </w:r>
      <w:r w:rsidR="00CF0332" w:rsidRPr="005A464E">
        <w:rPr>
          <w:sz w:val="24"/>
          <w:szCs w:val="24"/>
        </w:rPr>
        <w:t xml:space="preserve"> </w:t>
      </w:r>
      <w:r w:rsidR="00956FF5" w:rsidRPr="005A464E">
        <w:rPr>
          <w:sz w:val="24"/>
          <w:szCs w:val="24"/>
        </w:rPr>
        <w:t>σκορ</w:t>
      </w:r>
      <w:r w:rsidR="00CF0332" w:rsidRPr="005A464E">
        <w:rPr>
          <w:sz w:val="24"/>
          <w:szCs w:val="24"/>
        </w:rPr>
        <w:t xml:space="preserve"> </w:t>
      </w:r>
      <w:r w:rsidR="00956FF5" w:rsidRPr="005A464E">
        <w:rPr>
          <w:sz w:val="24"/>
          <w:szCs w:val="24"/>
        </w:rPr>
        <w:t>προέρχεται</w:t>
      </w:r>
      <w:r w:rsidR="00CF0332" w:rsidRPr="005A464E">
        <w:rPr>
          <w:sz w:val="24"/>
          <w:szCs w:val="24"/>
        </w:rPr>
        <w:t xml:space="preserve"> </w:t>
      </w:r>
      <w:r w:rsidR="00956FF5" w:rsidRPr="005A464E">
        <w:rPr>
          <w:sz w:val="24"/>
          <w:szCs w:val="24"/>
        </w:rPr>
        <w:t>από</w:t>
      </w:r>
      <w:r w:rsidR="00CF0332" w:rsidRPr="005A464E">
        <w:rPr>
          <w:sz w:val="24"/>
          <w:szCs w:val="24"/>
        </w:rPr>
        <w:t xml:space="preserve"> </w:t>
      </w:r>
      <w:r w:rsidR="00956FF5" w:rsidRPr="005A464E">
        <w:rPr>
          <w:sz w:val="24"/>
          <w:szCs w:val="24"/>
        </w:rPr>
        <w:t>το</w:t>
      </w:r>
      <w:r w:rsidR="00CF0332" w:rsidRPr="005A464E">
        <w:rPr>
          <w:sz w:val="24"/>
          <w:szCs w:val="24"/>
        </w:rPr>
        <w:t xml:space="preserve"> </w:t>
      </w:r>
      <w:r w:rsidR="00956FF5" w:rsidRPr="005A464E">
        <w:rPr>
          <w:sz w:val="24"/>
          <w:szCs w:val="24"/>
        </w:rPr>
        <w:t>άθροισμα</w:t>
      </w:r>
      <w:r w:rsidR="00CF0332" w:rsidRPr="005A464E">
        <w:rPr>
          <w:sz w:val="24"/>
          <w:szCs w:val="24"/>
        </w:rPr>
        <w:t xml:space="preserve"> </w:t>
      </w:r>
      <w:r w:rsidR="00956FF5" w:rsidRPr="005A464E">
        <w:rPr>
          <w:sz w:val="24"/>
          <w:szCs w:val="24"/>
        </w:rPr>
        <w:t>των</w:t>
      </w:r>
      <w:r w:rsidR="00CF0332" w:rsidRPr="005A464E">
        <w:rPr>
          <w:sz w:val="24"/>
          <w:szCs w:val="24"/>
        </w:rPr>
        <w:t xml:space="preserve"> </w:t>
      </w:r>
      <w:r w:rsidR="00956FF5" w:rsidRPr="005A464E">
        <w:rPr>
          <w:sz w:val="24"/>
          <w:szCs w:val="24"/>
        </w:rPr>
        <w:t>σωστών</w:t>
      </w:r>
      <w:r w:rsidR="00CF0332" w:rsidRPr="005A464E">
        <w:rPr>
          <w:sz w:val="24"/>
          <w:szCs w:val="24"/>
        </w:rPr>
        <w:t xml:space="preserve"> </w:t>
      </w:r>
      <w:r w:rsidR="00956FF5" w:rsidRPr="005A464E">
        <w:rPr>
          <w:sz w:val="24"/>
          <w:szCs w:val="24"/>
        </w:rPr>
        <w:t>απαντήσεων</w:t>
      </w:r>
      <w:r w:rsidR="00EF4525" w:rsidRPr="005A464E">
        <w:rPr>
          <w:sz w:val="24"/>
          <w:szCs w:val="24"/>
        </w:rPr>
        <w:t xml:space="preserve"> (</w:t>
      </w:r>
      <w:r w:rsidR="00EF4525" w:rsidRPr="005A464E">
        <w:rPr>
          <w:sz w:val="24"/>
          <w:szCs w:val="24"/>
          <w:lang w:val="en-US"/>
        </w:rPr>
        <w:t>Mota</w:t>
      </w:r>
      <w:r w:rsidR="00EF4525" w:rsidRPr="005A464E">
        <w:rPr>
          <w:sz w:val="24"/>
          <w:szCs w:val="24"/>
        </w:rPr>
        <w:t>-</w:t>
      </w:r>
      <w:r w:rsidR="00EF4525" w:rsidRPr="005A464E">
        <w:rPr>
          <w:sz w:val="24"/>
          <w:szCs w:val="24"/>
          <w:lang w:val="en-US"/>
        </w:rPr>
        <w:t>Anaya</w:t>
      </w:r>
      <w:r w:rsidR="004A7CDC" w:rsidRPr="004A7CDC">
        <w:rPr>
          <w:sz w:val="24"/>
          <w:szCs w:val="24"/>
        </w:rPr>
        <w:t xml:space="preserve">, </w:t>
      </w:r>
      <w:r w:rsidR="004A7CDC" w:rsidRPr="004A7CDC">
        <w:rPr>
          <w:rFonts w:asciiTheme="minorHAnsi" w:hAnsiTheme="minorHAnsi" w:cstheme="minorHAnsi"/>
          <w:color w:val="000000"/>
          <w:sz w:val="24"/>
          <w:szCs w:val="24"/>
          <w:lang w:val="en-US"/>
        </w:rPr>
        <w:t>Yumpo</w:t>
      </w:r>
      <w:r w:rsidR="004A7CDC" w:rsidRPr="004A7CDC">
        <w:rPr>
          <w:rFonts w:asciiTheme="minorHAnsi" w:hAnsiTheme="minorHAnsi" w:cstheme="minorHAnsi"/>
          <w:color w:val="000000"/>
          <w:sz w:val="24"/>
          <w:szCs w:val="24"/>
        </w:rPr>
        <w:t>-</w:t>
      </w:r>
      <w:r w:rsidR="004A7CDC" w:rsidRPr="004A7CDC">
        <w:rPr>
          <w:rFonts w:asciiTheme="minorHAnsi" w:hAnsiTheme="minorHAnsi" w:cstheme="minorHAnsi"/>
          <w:color w:val="000000"/>
          <w:sz w:val="24"/>
          <w:szCs w:val="24"/>
          <w:lang w:val="en-US"/>
        </w:rPr>
        <w:t>C</w:t>
      </w:r>
      <w:r w:rsidR="004A7CDC" w:rsidRPr="004A7CDC">
        <w:rPr>
          <w:rFonts w:asciiTheme="minorHAnsi" w:hAnsiTheme="minorHAnsi" w:cstheme="minorHAnsi"/>
          <w:color w:val="000000"/>
          <w:sz w:val="24"/>
          <w:szCs w:val="24"/>
        </w:rPr>
        <w:t>á</w:t>
      </w:r>
      <w:r w:rsidR="004A7CDC" w:rsidRPr="004A7CDC">
        <w:rPr>
          <w:rFonts w:asciiTheme="minorHAnsi" w:hAnsiTheme="minorHAnsi" w:cstheme="minorHAnsi"/>
          <w:color w:val="000000"/>
          <w:sz w:val="24"/>
          <w:szCs w:val="24"/>
          <w:lang w:val="en-US"/>
        </w:rPr>
        <w:t>rdenas</w:t>
      </w:r>
      <w:r w:rsidR="004A7CDC" w:rsidRPr="004A7CDC">
        <w:rPr>
          <w:rFonts w:asciiTheme="minorHAnsi" w:hAnsiTheme="minorHAnsi" w:cstheme="minorHAnsi"/>
          <w:color w:val="000000"/>
          <w:sz w:val="24"/>
          <w:szCs w:val="24"/>
        </w:rPr>
        <w:t xml:space="preserve">, </w:t>
      </w:r>
      <w:r w:rsidR="004A7CDC" w:rsidRPr="004A7CDC">
        <w:rPr>
          <w:rFonts w:asciiTheme="minorHAnsi" w:hAnsiTheme="minorHAnsi" w:cstheme="minorHAnsi"/>
          <w:color w:val="000000"/>
          <w:sz w:val="24"/>
          <w:szCs w:val="24"/>
          <w:lang w:val="en-US"/>
        </w:rPr>
        <w:t>Alva</w:t>
      </w:r>
      <w:r w:rsidR="004A7CDC" w:rsidRPr="004A7CDC">
        <w:rPr>
          <w:rFonts w:asciiTheme="minorHAnsi" w:hAnsiTheme="minorHAnsi" w:cstheme="minorHAnsi"/>
          <w:color w:val="000000"/>
          <w:sz w:val="24"/>
          <w:szCs w:val="24"/>
        </w:rPr>
        <w:t>-</w:t>
      </w:r>
      <w:r w:rsidR="004A7CDC" w:rsidRPr="004A7CDC">
        <w:rPr>
          <w:rFonts w:asciiTheme="minorHAnsi" w:hAnsiTheme="minorHAnsi" w:cstheme="minorHAnsi"/>
          <w:color w:val="000000"/>
          <w:sz w:val="24"/>
          <w:szCs w:val="24"/>
          <w:lang w:val="en-US"/>
        </w:rPr>
        <w:t>Bravo</w:t>
      </w:r>
      <w:r w:rsidR="004A7CDC" w:rsidRPr="004A7CDC">
        <w:rPr>
          <w:rFonts w:asciiTheme="minorHAnsi" w:hAnsiTheme="minorHAnsi" w:cstheme="minorHAnsi"/>
          <w:color w:val="000000"/>
          <w:sz w:val="24"/>
          <w:szCs w:val="24"/>
        </w:rPr>
        <w:t xml:space="preserve">, </w:t>
      </w:r>
      <w:r w:rsidR="004A7CDC" w:rsidRPr="004A7CDC">
        <w:rPr>
          <w:rFonts w:asciiTheme="minorHAnsi" w:hAnsiTheme="minorHAnsi" w:cstheme="minorHAnsi"/>
          <w:color w:val="000000"/>
          <w:sz w:val="24"/>
          <w:szCs w:val="24"/>
          <w:lang w:val="en-US"/>
        </w:rPr>
        <w:t>Wright</w:t>
      </w:r>
      <w:r w:rsidR="004A7CDC" w:rsidRPr="004A7CDC">
        <w:rPr>
          <w:rFonts w:asciiTheme="minorHAnsi" w:hAnsiTheme="minorHAnsi" w:cstheme="minorHAnsi"/>
          <w:color w:val="000000"/>
          <w:sz w:val="24"/>
          <w:szCs w:val="24"/>
        </w:rPr>
        <w:t>-</w:t>
      </w:r>
      <w:r w:rsidR="004A7CDC" w:rsidRPr="004A7CDC">
        <w:rPr>
          <w:rFonts w:asciiTheme="minorHAnsi" w:hAnsiTheme="minorHAnsi" w:cstheme="minorHAnsi"/>
          <w:color w:val="000000"/>
          <w:sz w:val="24"/>
          <w:szCs w:val="24"/>
          <w:lang w:val="en-US"/>
        </w:rPr>
        <w:t>Nunes</w:t>
      </w:r>
      <w:r w:rsidR="004A7CDC" w:rsidRPr="004A7CDC">
        <w:rPr>
          <w:rFonts w:asciiTheme="minorHAnsi" w:hAnsiTheme="minorHAnsi" w:cstheme="minorHAnsi"/>
          <w:color w:val="000000"/>
          <w:sz w:val="24"/>
          <w:szCs w:val="24"/>
        </w:rPr>
        <w:t xml:space="preserve">, &amp; </w:t>
      </w:r>
      <w:r w:rsidR="004A7CDC" w:rsidRPr="004A7CDC">
        <w:rPr>
          <w:rFonts w:asciiTheme="minorHAnsi" w:hAnsiTheme="minorHAnsi" w:cstheme="minorHAnsi"/>
          <w:color w:val="000000"/>
          <w:sz w:val="24"/>
          <w:szCs w:val="24"/>
          <w:lang w:val="en-US"/>
        </w:rPr>
        <w:t>Mayta</w:t>
      </w:r>
      <w:r w:rsidR="004A7CDC" w:rsidRPr="004A7CDC">
        <w:rPr>
          <w:rFonts w:asciiTheme="minorHAnsi" w:hAnsiTheme="minorHAnsi" w:cstheme="minorHAnsi"/>
          <w:color w:val="000000"/>
          <w:sz w:val="24"/>
          <w:szCs w:val="24"/>
        </w:rPr>
        <w:t>-</w:t>
      </w:r>
      <w:r w:rsidR="004A7CDC" w:rsidRPr="004A7CDC">
        <w:rPr>
          <w:rFonts w:asciiTheme="minorHAnsi" w:hAnsiTheme="minorHAnsi" w:cstheme="minorHAnsi"/>
          <w:color w:val="000000"/>
          <w:sz w:val="24"/>
          <w:szCs w:val="24"/>
          <w:lang w:val="en-US"/>
        </w:rPr>
        <w:t>Trist</w:t>
      </w:r>
      <w:r w:rsidR="004A7CDC" w:rsidRPr="004A7CDC">
        <w:rPr>
          <w:rFonts w:asciiTheme="minorHAnsi" w:hAnsiTheme="minorHAnsi" w:cstheme="minorHAnsi"/>
          <w:color w:val="000000"/>
          <w:sz w:val="24"/>
          <w:szCs w:val="24"/>
        </w:rPr>
        <w:t>á</w:t>
      </w:r>
      <w:r w:rsidR="004A7CDC" w:rsidRPr="004A7CDC">
        <w:rPr>
          <w:rFonts w:asciiTheme="minorHAnsi" w:hAnsiTheme="minorHAnsi" w:cstheme="minorHAnsi"/>
          <w:color w:val="000000"/>
          <w:sz w:val="24"/>
          <w:szCs w:val="24"/>
          <w:lang w:val="en-US"/>
        </w:rPr>
        <w:t>n</w:t>
      </w:r>
      <w:r w:rsidR="004A7CDC" w:rsidRPr="004A7CDC">
        <w:rPr>
          <w:rFonts w:asciiTheme="minorHAnsi" w:hAnsiTheme="minorHAnsi" w:cstheme="minorHAnsi"/>
          <w:color w:val="000000"/>
          <w:sz w:val="24"/>
          <w:szCs w:val="24"/>
        </w:rPr>
        <w:t>,</w:t>
      </w:r>
      <w:r w:rsidR="00EF4525" w:rsidRPr="004A7CDC">
        <w:rPr>
          <w:sz w:val="24"/>
          <w:szCs w:val="24"/>
        </w:rPr>
        <w:t xml:space="preserve"> 2016).</w:t>
      </w:r>
      <w:r w:rsidR="00F071A2" w:rsidRPr="004A7CDC">
        <w:rPr>
          <w:sz w:val="24"/>
          <w:szCs w:val="24"/>
          <w:highlight w:val="yellow"/>
        </w:rPr>
        <w:t xml:space="preserve"> </w:t>
      </w:r>
    </w:p>
    <w:p w:rsidR="00DC72E8" w:rsidRPr="00992F7C" w:rsidRDefault="0054320A" w:rsidP="005A464E">
      <w:pPr>
        <w:spacing w:line="360" w:lineRule="auto"/>
        <w:jc w:val="both"/>
        <w:rPr>
          <w:sz w:val="24"/>
          <w:szCs w:val="24"/>
        </w:rPr>
      </w:pPr>
      <w:r w:rsidRPr="005A464E">
        <w:rPr>
          <w:sz w:val="24"/>
          <w:szCs w:val="24"/>
        </w:rPr>
        <w:t xml:space="preserve">Η κλίμακα </w:t>
      </w:r>
      <w:r w:rsidRPr="005A464E">
        <w:rPr>
          <w:rFonts w:cs="Arial"/>
          <w:sz w:val="24"/>
          <w:szCs w:val="24"/>
          <w:shd w:val="clear" w:color="auto" w:fill="FFFFFF"/>
          <w:lang w:val="en-US"/>
        </w:rPr>
        <w:t>Chronic</w:t>
      </w:r>
      <w:r w:rsidR="00CF0332" w:rsidRPr="005A464E">
        <w:rPr>
          <w:rFonts w:cs="Arial"/>
          <w:sz w:val="24"/>
          <w:szCs w:val="24"/>
          <w:shd w:val="clear" w:color="auto" w:fill="FFFFFF"/>
        </w:rPr>
        <w:t xml:space="preserve"> </w:t>
      </w:r>
      <w:r w:rsidRPr="005A464E">
        <w:rPr>
          <w:rFonts w:cs="Arial"/>
          <w:sz w:val="24"/>
          <w:szCs w:val="24"/>
          <w:shd w:val="clear" w:color="auto" w:fill="FFFFFF"/>
          <w:lang w:val="en-US"/>
        </w:rPr>
        <w:t>Kidney</w:t>
      </w:r>
      <w:r w:rsidR="00CF0332" w:rsidRPr="005A464E">
        <w:rPr>
          <w:rFonts w:cs="Arial"/>
          <w:sz w:val="24"/>
          <w:szCs w:val="24"/>
          <w:shd w:val="clear" w:color="auto" w:fill="FFFFFF"/>
        </w:rPr>
        <w:t xml:space="preserve"> </w:t>
      </w:r>
      <w:r w:rsidRPr="005A464E">
        <w:rPr>
          <w:rFonts w:cs="Arial"/>
          <w:sz w:val="24"/>
          <w:szCs w:val="24"/>
          <w:shd w:val="clear" w:color="auto" w:fill="FFFFFF"/>
          <w:lang w:val="en-US"/>
        </w:rPr>
        <w:t>Disease</w:t>
      </w:r>
      <w:r w:rsidR="00CF0332" w:rsidRPr="005A464E">
        <w:rPr>
          <w:rFonts w:cs="Arial"/>
          <w:sz w:val="24"/>
          <w:szCs w:val="24"/>
          <w:shd w:val="clear" w:color="auto" w:fill="FFFFFF"/>
        </w:rPr>
        <w:t xml:space="preserve"> </w:t>
      </w:r>
      <w:r w:rsidRPr="005A464E">
        <w:rPr>
          <w:rFonts w:cs="Arial"/>
          <w:sz w:val="24"/>
          <w:szCs w:val="24"/>
          <w:shd w:val="clear" w:color="auto" w:fill="FFFFFF"/>
          <w:lang w:val="en-US"/>
        </w:rPr>
        <w:t>Knowledge</w:t>
      </w:r>
      <w:r w:rsidR="00CF0332" w:rsidRPr="005A464E">
        <w:rPr>
          <w:rFonts w:cs="Arial"/>
          <w:sz w:val="24"/>
          <w:szCs w:val="24"/>
          <w:shd w:val="clear" w:color="auto" w:fill="FFFFFF"/>
        </w:rPr>
        <w:t xml:space="preserve"> </w:t>
      </w:r>
      <w:r w:rsidRPr="005A464E">
        <w:rPr>
          <w:rFonts w:cs="Arial"/>
          <w:sz w:val="24"/>
          <w:szCs w:val="24"/>
          <w:shd w:val="clear" w:color="auto" w:fill="FFFFFF"/>
          <w:lang w:val="en-US"/>
        </w:rPr>
        <w:t>Assessment</w:t>
      </w:r>
      <w:r w:rsidR="00CF0332" w:rsidRPr="005A464E">
        <w:rPr>
          <w:rFonts w:cs="Arial"/>
          <w:sz w:val="24"/>
          <w:szCs w:val="24"/>
          <w:shd w:val="clear" w:color="auto" w:fill="FFFFFF"/>
        </w:rPr>
        <w:t xml:space="preserve"> </w:t>
      </w:r>
      <w:r w:rsidRPr="005A464E">
        <w:rPr>
          <w:rFonts w:cs="Arial"/>
          <w:sz w:val="24"/>
          <w:szCs w:val="24"/>
          <w:shd w:val="clear" w:color="auto" w:fill="FFFFFF"/>
          <w:lang w:val="en-US"/>
        </w:rPr>
        <w:t>Tool</w:t>
      </w:r>
      <w:r w:rsidR="00CF0332" w:rsidRPr="005A464E">
        <w:rPr>
          <w:rFonts w:cs="Arial"/>
          <w:sz w:val="24"/>
          <w:szCs w:val="24"/>
          <w:shd w:val="clear" w:color="auto" w:fill="FFFFFF"/>
        </w:rPr>
        <w:t xml:space="preserve"> </w:t>
      </w:r>
      <w:r w:rsidRPr="005A464E">
        <w:rPr>
          <w:rFonts w:cs="Arial"/>
          <w:sz w:val="24"/>
          <w:szCs w:val="24"/>
          <w:shd w:val="clear" w:color="auto" w:fill="FFFFFF"/>
          <w:lang w:val="en-US"/>
        </w:rPr>
        <w:t>for</w:t>
      </w:r>
      <w:r w:rsidR="00CF0332" w:rsidRPr="005A464E">
        <w:rPr>
          <w:rFonts w:cs="Arial"/>
          <w:sz w:val="24"/>
          <w:szCs w:val="24"/>
          <w:shd w:val="clear" w:color="auto" w:fill="FFFFFF"/>
        </w:rPr>
        <w:t xml:space="preserve"> </w:t>
      </w:r>
      <w:r w:rsidRPr="005A464E">
        <w:rPr>
          <w:rFonts w:cs="Arial"/>
          <w:sz w:val="24"/>
          <w:szCs w:val="24"/>
          <w:shd w:val="clear" w:color="auto" w:fill="FFFFFF"/>
          <w:lang w:val="en-US"/>
        </w:rPr>
        <w:t>Nutrition</w:t>
      </w:r>
      <w:r w:rsidR="0078495A" w:rsidRPr="0078495A">
        <w:rPr>
          <w:rStyle w:val="apple-converted-space"/>
          <w:rFonts w:cs="Arial"/>
          <w:color w:val="545454"/>
          <w:sz w:val="24"/>
          <w:szCs w:val="24"/>
          <w:shd w:val="clear" w:color="auto" w:fill="FFFFFF"/>
        </w:rPr>
        <w:t xml:space="preserve"> </w:t>
      </w:r>
      <w:r w:rsidRPr="005A464E">
        <w:rPr>
          <w:sz w:val="24"/>
          <w:szCs w:val="24"/>
        </w:rPr>
        <w:t>(</w:t>
      </w:r>
      <w:r w:rsidR="00DC72E8" w:rsidRPr="005A464E">
        <w:rPr>
          <w:sz w:val="24"/>
          <w:szCs w:val="24"/>
          <w:lang w:val="en-US"/>
        </w:rPr>
        <w:t>CKDKAT</w:t>
      </w:r>
      <w:r w:rsidR="00DC72E8" w:rsidRPr="005A464E">
        <w:rPr>
          <w:sz w:val="24"/>
          <w:szCs w:val="24"/>
        </w:rPr>
        <w:t>-</w:t>
      </w:r>
      <w:r w:rsidR="00DC72E8" w:rsidRPr="005A464E">
        <w:rPr>
          <w:sz w:val="24"/>
          <w:szCs w:val="24"/>
          <w:lang w:val="en-US"/>
        </w:rPr>
        <w:t>N</w:t>
      </w:r>
      <w:r w:rsidRPr="005A464E">
        <w:rPr>
          <w:sz w:val="24"/>
          <w:szCs w:val="24"/>
        </w:rPr>
        <w:t>)</w:t>
      </w:r>
      <w:r w:rsidR="00EF4525" w:rsidRPr="005A464E">
        <w:rPr>
          <w:sz w:val="24"/>
          <w:szCs w:val="24"/>
        </w:rPr>
        <w:t xml:space="preserve"> </w:t>
      </w:r>
      <w:r w:rsidR="00F92726" w:rsidRPr="005A464E">
        <w:rPr>
          <w:sz w:val="24"/>
          <w:szCs w:val="24"/>
        </w:rPr>
        <w:t>α</w:t>
      </w:r>
      <w:r w:rsidRPr="005A464E">
        <w:rPr>
          <w:sz w:val="24"/>
          <w:szCs w:val="24"/>
        </w:rPr>
        <w:t>ποτελείται από 25 ερωτήσεις επιλογής</w:t>
      </w:r>
      <w:r w:rsidR="00347FAD">
        <w:rPr>
          <w:sz w:val="24"/>
          <w:szCs w:val="24"/>
        </w:rPr>
        <w:t xml:space="preserve"> της ορθής απάντησης</w:t>
      </w:r>
      <w:r w:rsidRPr="005A464E">
        <w:rPr>
          <w:sz w:val="24"/>
          <w:szCs w:val="24"/>
        </w:rPr>
        <w:t xml:space="preserve"> που μελετούν τα επίπε</w:t>
      </w:r>
      <w:r w:rsidR="00347FAD">
        <w:rPr>
          <w:sz w:val="24"/>
          <w:szCs w:val="24"/>
        </w:rPr>
        <w:t xml:space="preserve">δα γνώσης </w:t>
      </w:r>
      <w:r w:rsidR="00B0560D">
        <w:rPr>
          <w:sz w:val="24"/>
          <w:szCs w:val="24"/>
        </w:rPr>
        <w:t>του ασθενούς</w:t>
      </w:r>
      <w:r w:rsidR="00347FAD">
        <w:rPr>
          <w:sz w:val="24"/>
          <w:szCs w:val="24"/>
        </w:rPr>
        <w:t xml:space="preserve"> υπό αιμοκάθαρση</w:t>
      </w:r>
      <w:r w:rsidRPr="005A464E">
        <w:rPr>
          <w:sz w:val="24"/>
          <w:szCs w:val="24"/>
        </w:rPr>
        <w:t xml:space="preserve"> σχετικ</w:t>
      </w:r>
      <w:r w:rsidR="00EF4525" w:rsidRPr="005A464E">
        <w:rPr>
          <w:sz w:val="24"/>
          <w:szCs w:val="24"/>
        </w:rPr>
        <w:t xml:space="preserve">ά με </w:t>
      </w:r>
      <w:r w:rsidR="00D8241D">
        <w:rPr>
          <w:sz w:val="24"/>
          <w:szCs w:val="24"/>
        </w:rPr>
        <w:t>τον φωσφό</w:t>
      </w:r>
      <w:r w:rsidR="00EF4525" w:rsidRPr="005A464E">
        <w:rPr>
          <w:sz w:val="24"/>
          <w:szCs w:val="24"/>
        </w:rPr>
        <w:t>ρο (15 ερωτήσεις)</w:t>
      </w:r>
      <w:r w:rsidRPr="005A464E">
        <w:rPr>
          <w:sz w:val="24"/>
          <w:szCs w:val="24"/>
        </w:rPr>
        <w:t>, το νάτριο, τις πρωτεΐνες και το κάλιο. Οι</w:t>
      </w:r>
      <w:r w:rsidR="00CF0332" w:rsidRPr="00992F7C">
        <w:rPr>
          <w:sz w:val="24"/>
          <w:szCs w:val="24"/>
        </w:rPr>
        <w:t xml:space="preserve"> </w:t>
      </w:r>
      <w:r w:rsidRPr="005A464E">
        <w:rPr>
          <w:sz w:val="24"/>
          <w:szCs w:val="24"/>
        </w:rPr>
        <w:t>ερωτήσεις</w:t>
      </w:r>
      <w:r w:rsidR="00CF0332" w:rsidRPr="00992F7C">
        <w:rPr>
          <w:sz w:val="24"/>
          <w:szCs w:val="24"/>
        </w:rPr>
        <w:t xml:space="preserve"> </w:t>
      </w:r>
      <w:r w:rsidRPr="005A464E">
        <w:rPr>
          <w:sz w:val="24"/>
          <w:szCs w:val="24"/>
        </w:rPr>
        <w:t>βασίζονται</w:t>
      </w:r>
      <w:r w:rsidR="00CF0332" w:rsidRPr="00992F7C">
        <w:rPr>
          <w:sz w:val="24"/>
          <w:szCs w:val="24"/>
        </w:rPr>
        <w:t xml:space="preserve"> </w:t>
      </w:r>
      <w:r w:rsidRPr="005A464E">
        <w:rPr>
          <w:sz w:val="24"/>
          <w:szCs w:val="24"/>
        </w:rPr>
        <w:t>στις</w:t>
      </w:r>
      <w:r w:rsidR="00CF0332" w:rsidRPr="00992F7C">
        <w:rPr>
          <w:sz w:val="24"/>
          <w:szCs w:val="24"/>
        </w:rPr>
        <w:t xml:space="preserve"> </w:t>
      </w:r>
      <w:r w:rsidRPr="005A464E">
        <w:rPr>
          <w:sz w:val="24"/>
          <w:szCs w:val="24"/>
        </w:rPr>
        <w:t>κατευθυντήριες</w:t>
      </w:r>
      <w:r w:rsidR="00CF0332" w:rsidRPr="00992F7C">
        <w:rPr>
          <w:sz w:val="24"/>
          <w:szCs w:val="24"/>
        </w:rPr>
        <w:t xml:space="preserve"> </w:t>
      </w:r>
      <w:r w:rsidRPr="005A464E">
        <w:rPr>
          <w:sz w:val="24"/>
          <w:szCs w:val="24"/>
        </w:rPr>
        <w:t>ερωτήσεις</w:t>
      </w:r>
      <w:r w:rsidR="00CF0332" w:rsidRPr="00992F7C">
        <w:rPr>
          <w:sz w:val="24"/>
          <w:szCs w:val="24"/>
        </w:rPr>
        <w:t xml:space="preserve"> </w:t>
      </w:r>
      <w:r w:rsidRPr="005A464E">
        <w:rPr>
          <w:sz w:val="24"/>
          <w:szCs w:val="24"/>
        </w:rPr>
        <w:t>του</w:t>
      </w:r>
      <w:r w:rsidR="00992F7C" w:rsidRPr="00992F7C">
        <w:rPr>
          <w:sz w:val="24"/>
          <w:szCs w:val="24"/>
        </w:rPr>
        <w:t xml:space="preserve"> </w:t>
      </w:r>
      <w:r w:rsidR="00992F7C">
        <w:rPr>
          <w:sz w:val="24"/>
          <w:szCs w:val="24"/>
          <w:lang w:val="en-US"/>
        </w:rPr>
        <w:t>NKF</w:t>
      </w:r>
      <w:r w:rsidR="00992F7C" w:rsidRPr="00992F7C">
        <w:rPr>
          <w:sz w:val="24"/>
          <w:szCs w:val="24"/>
        </w:rPr>
        <w:t>-</w:t>
      </w:r>
      <w:r w:rsidR="00992F7C">
        <w:rPr>
          <w:sz w:val="24"/>
          <w:szCs w:val="24"/>
          <w:lang w:val="en-US"/>
        </w:rPr>
        <w:t>KDOQI</w:t>
      </w:r>
      <w:r w:rsidR="00992F7C" w:rsidRPr="00992F7C">
        <w:rPr>
          <w:sz w:val="24"/>
          <w:szCs w:val="24"/>
        </w:rPr>
        <w:t xml:space="preserve"> </w:t>
      </w:r>
      <w:r w:rsidR="00EF4525" w:rsidRPr="00992F7C">
        <w:rPr>
          <w:sz w:val="24"/>
          <w:szCs w:val="24"/>
        </w:rPr>
        <w:t>(</w:t>
      </w:r>
      <w:r w:rsidR="00EF4525" w:rsidRPr="005A464E">
        <w:rPr>
          <w:sz w:val="24"/>
          <w:szCs w:val="24"/>
          <w:lang w:val="en-US"/>
        </w:rPr>
        <w:t>Pollock</w:t>
      </w:r>
      <w:r w:rsidR="00691B76" w:rsidRPr="00992F7C">
        <w:rPr>
          <w:rFonts w:cstheme="minorHAnsi"/>
          <w:color w:val="000000"/>
        </w:rPr>
        <w:t xml:space="preserve"> &amp; </w:t>
      </w:r>
      <w:r w:rsidR="00691B76" w:rsidRPr="005A464E">
        <w:rPr>
          <w:rFonts w:cstheme="minorHAnsi"/>
          <w:color w:val="000000"/>
          <w:lang w:val="en-US"/>
        </w:rPr>
        <w:t>Jaffery</w:t>
      </w:r>
      <w:r w:rsidR="00AB454B" w:rsidRPr="00992F7C">
        <w:rPr>
          <w:rFonts w:cstheme="minorHAnsi"/>
          <w:color w:val="000000"/>
        </w:rPr>
        <w:t>,</w:t>
      </w:r>
      <w:r w:rsidR="00691B76" w:rsidRPr="00992F7C">
        <w:rPr>
          <w:sz w:val="24"/>
          <w:szCs w:val="24"/>
        </w:rPr>
        <w:t xml:space="preserve"> </w:t>
      </w:r>
      <w:r w:rsidR="00EF4525" w:rsidRPr="00992F7C">
        <w:rPr>
          <w:sz w:val="24"/>
          <w:szCs w:val="24"/>
        </w:rPr>
        <w:t>2007).</w:t>
      </w:r>
    </w:p>
    <w:p w:rsidR="000C7DA9" w:rsidRPr="005A464E" w:rsidRDefault="0081654D" w:rsidP="005A464E">
      <w:pPr>
        <w:spacing w:line="360" w:lineRule="auto"/>
        <w:jc w:val="both"/>
        <w:rPr>
          <w:sz w:val="24"/>
          <w:szCs w:val="24"/>
        </w:rPr>
      </w:pPr>
      <w:r w:rsidRPr="005A464E">
        <w:rPr>
          <w:sz w:val="24"/>
          <w:szCs w:val="24"/>
        </w:rPr>
        <w:t>Η</w:t>
      </w:r>
      <w:r w:rsidR="00CF0332" w:rsidRPr="005A464E">
        <w:rPr>
          <w:sz w:val="24"/>
          <w:szCs w:val="24"/>
          <w:lang w:val="en-US"/>
        </w:rPr>
        <w:t xml:space="preserve"> </w:t>
      </w:r>
      <w:r w:rsidRPr="005A464E">
        <w:rPr>
          <w:sz w:val="24"/>
          <w:szCs w:val="24"/>
        </w:rPr>
        <w:t>κλίμακα</w:t>
      </w:r>
      <w:r w:rsidR="00EF4525" w:rsidRPr="005A464E">
        <w:rPr>
          <w:sz w:val="24"/>
          <w:szCs w:val="24"/>
          <w:lang w:val="en-US"/>
        </w:rPr>
        <w:t xml:space="preserve"> </w:t>
      </w:r>
      <w:r w:rsidRPr="005A464E">
        <w:rPr>
          <w:sz w:val="24"/>
          <w:szCs w:val="24"/>
          <w:lang w:val="en-US"/>
        </w:rPr>
        <w:t>The Life Options Hemodialysis</w:t>
      </w:r>
      <w:r w:rsidR="00CF0332" w:rsidRPr="005A464E">
        <w:rPr>
          <w:sz w:val="24"/>
          <w:szCs w:val="24"/>
          <w:lang w:val="en-US"/>
        </w:rPr>
        <w:t xml:space="preserve"> </w:t>
      </w:r>
      <w:r w:rsidR="00DC72E8" w:rsidRPr="005A464E">
        <w:rPr>
          <w:sz w:val="24"/>
          <w:szCs w:val="24"/>
          <w:lang w:val="en-US"/>
        </w:rPr>
        <w:t>K</w:t>
      </w:r>
      <w:r w:rsidRPr="005A464E">
        <w:rPr>
          <w:sz w:val="24"/>
          <w:szCs w:val="24"/>
          <w:lang w:val="en-US"/>
        </w:rPr>
        <w:t xml:space="preserve">nowledge Test </w:t>
      </w:r>
      <w:r w:rsidRPr="005A464E">
        <w:rPr>
          <w:sz w:val="24"/>
          <w:szCs w:val="24"/>
        </w:rPr>
        <w:t>αναπτύχθηκε</w:t>
      </w:r>
      <w:r w:rsidR="00CF0332" w:rsidRPr="005A464E">
        <w:rPr>
          <w:sz w:val="24"/>
          <w:szCs w:val="24"/>
          <w:lang w:val="en-US"/>
        </w:rPr>
        <w:t xml:space="preserve"> </w:t>
      </w:r>
      <w:r w:rsidR="00CF0332" w:rsidRPr="005A464E">
        <w:rPr>
          <w:sz w:val="24"/>
          <w:szCs w:val="24"/>
        </w:rPr>
        <w:t>από</w:t>
      </w:r>
      <w:r w:rsidR="00CF0332" w:rsidRPr="005A464E">
        <w:rPr>
          <w:sz w:val="24"/>
          <w:szCs w:val="24"/>
          <w:lang w:val="en-US"/>
        </w:rPr>
        <w:t xml:space="preserve"> </w:t>
      </w:r>
      <w:r w:rsidR="00CF0332" w:rsidRPr="005A464E">
        <w:rPr>
          <w:sz w:val="24"/>
          <w:szCs w:val="24"/>
        </w:rPr>
        <w:t>το</w:t>
      </w:r>
      <w:r w:rsidR="00CF0332" w:rsidRPr="005A464E">
        <w:rPr>
          <w:sz w:val="24"/>
          <w:szCs w:val="24"/>
          <w:lang w:val="en-US"/>
        </w:rPr>
        <w:t xml:space="preserve"> </w:t>
      </w:r>
      <w:r w:rsidR="00DC72E8" w:rsidRPr="005A464E">
        <w:rPr>
          <w:sz w:val="24"/>
          <w:szCs w:val="24"/>
          <w:lang w:val="en-US"/>
        </w:rPr>
        <w:t>Me</w:t>
      </w:r>
      <w:r w:rsidRPr="005A464E">
        <w:rPr>
          <w:sz w:val="24"/>
          <w:szCs w:val="24"/>
          <w:lang w:val="en-US"/>
        </w:rPr>
        <w:t>dical Education Institute, Inc.</w:t>
      </w:r>
      <w:r w:rsidR="00992F7C">
        <w:rPr>
          <w:sz w:val="24"/>
          <w:szCs w:val="24"/>
          <w:lang w:val="en-US"/>
        </w:rPr>
        <w:t xml:space="preserve"> </w:t>
      </w:r>
      <w:r w:rsidRPr="005A464E">
        <w:rPr>
          <w:sz w:val="24"/>
          <w:szCs w:val="24"/>
        </w:rPr>
        <w:t>το</w:t>
      </w:r>
      <w:r w:rsidRPr="005A464E">
        <w:rPr>
          <w:sz w:val="24"/>
          <w:szCs w:val="24"/>
          <w:lang w:val="en-US"/>
        </w:rPr>
        <w:t xml:space="preserve"> 2004. </w:t>
      </w:r>
      <w:r w:rsidRPr="005A464E">
        <w:rPr>
          <w:sz w:val="24"/>
          <w:szCs w:val="24"/>
        </w:rPr>
        <w:t xml:space="preserve">Το ερωτηματολόγιο αποτελείται από 25 ερωτήσεις </w:t>
      </w:r>
      <w:r w:rsidRPr="00995094">
        <w:rPr>
          <w:sz w:val="24"/>
          <w:szCs w:val="24"/>
        </w:rPr>
        <w:t>κατανεμημένες σε</w:t>
      </w:r>
      <w:r w:rsidR="0078495A" w:rsidRPr="00995094">
        <w:rPr>
          <w:sz w:val="24"/>
          <w:szCs w:val="24"/>
        </w:rPr>
        <w:t xml:space="preserve"> </w:t>
      </w:r>
      <w:r w:rsidR="00E94504" w:rsidRPr="00995094">
        <w:rPr>
          <w:sz w:val="24"/>
          <w:szCs w:val="24"/>
        </w:rPr>
        <w:t>5</w:t>
      </w:r>
      <w:r w:rsidRPr="00995094">
        <w:rPr>
          <w:sz w:val="24"/>
          <w:szCs w:val="24"/>
        </w:rPr>
        <w:t xml:space="preserve"> θεματικές</w:t>
      </w:r>
      <w:r w:rsidRPr="005A464E">
        <w:rPr>
          <w:sz w:val="24"/>
          <w:szCs w:val="24"/>
        </w:rPr>
        <w:t xml:space="preserve"> περιοχές που σχετίζονται με την αιμοκάθαρση, την αναιμία, τη διατροφή, τη φαρμακευτική αγωγή, τη νεφρική λειτουργία, τη θεραπεία και την αποκατάσταση</w:t>
      </w:r>
      <w:r w:rsidR="00DC72E8" w:rsidRPr="005A464E">
        <w:rPr>
          <w:sz w:val="24"/>
          <w:szCs w:val="24"/>
        </w:rPr>
        <w:t xml:space="preserve"> (</w:t>
      </w:r>
      <w:r w:rsidR="00CF0332" w:rsidRPr="001C2D3A">
        <w:rPr>
          <w:sz w:val="24"/>
          <w:szCs w:val="24"/>
          <w:lang w:val="en-US"/>
        </w:rPr>
        <w:t>Curtin</w:t>
      </w:r>
      <w:r w:rsidR="001C2D3A" w:rsidRPr="001C2D3A">
        <w:rPr>
          <w:sz w:val="24"/>
          <w:szCs w:val="24"/>
        </w:rPr>
        <w:t xml:space="preserve">, </w:t>
      </w:r>
      <w:r w:rsidR="001C2D3A" w:rsidRPr="001C2D3A">
        <w:rPr>
          <w:rStyle w:val="mixed-citation"/>
          <w:rFonts w:asciiTheme="minorHAnsi" w:hAnsiTheme="minorHAnsi" w:cstheme="minorHAnsi"/>
          <w:sz w:val="24"/>
          <w:szCs w:val="24"/>
          <w:lang w:val="en-US"/>
        </w:rPr>
        <w:t>Sitter</w:t>
      </w:r>
      <w:r w:rsidR="001C2D3A" w:rsidRPr="001C2D3A">
        <w:rPr>
          <w:rStyle w:val="mixed-citation"/>
          <w:rFonts w:asciiTheme="minorHAnsi" w:hAnsiTheme="minorHAnsi" w:cstheme="minorHAnsi"/>
          <w:sz w:val="24"/>
          <w:szCs w:val="24"/>
        </w:rPr>
        <w:t xml:space="preserve">, </w:t>
      </w:r>
      <w:r w:rsidR="001C2D3A" w:rsidRPr="001C2D3A">
        <w:rPr>
          <w:rStyle w:val="mixed-citation"/>
          <w:rFonts w:asciiTheme="minorHAnsi" w:hAnsiTheme="minorHAnsi" w:cstheme="minorHAnsi"/>
          <w:sz w:val="24"/>
          <w:szCs w:val="24"/>
          <w:lang w:val="en-US"/>
        </w:rPr>
        <w:t>Schatell</w:t>
      </w:r>
      <w:r w:rsidR="001C2D3A" w:rsidRPr="001C2D3A">
        <w:rPr>
          <w:rStyle w:val="mixed-citation"/>
          <w:rFonts w:asciiTheme="minorHAnsi" w:hAnsiTheme="minorHAnsi" w:cstheme="minorHAnsi"/>
          <w:sz w:val="24"/>
          <w:szCs w:val="24"/>
        </w:rPr>
        <w:t xml:space="preserve">, &amp; </w:t>
      </w:r>
      <w:r w:rsidR="001C2D3A" w:rsidRPr="001C2D3A">
        <w:rPr>
          <w:rStyle w:val="mixed-citation"/>
          <w:rFonts w:asciiTheme="minorHAnsi" w:hAnsiTheme="minorHAnsi" w:cstheme="minorHAnsi"/>
          <w:sz w:val="24"/>
          <w:szCs w:val="24"/>
          <w:lang w:val="en-US"/>
        </w:rPr>
        <w:t>Chewning</w:t>
      </w:r>
      <w:r w:rsidR="001C2D3A" w:rsidRPr="001C2D3A">
        <w:rPr>
          <w:rStyle w:val="mixed-citation"/>
          <w:rFonts w:asciiTheme="minorHAnsi" w:hAnsiTheme="minorHAnsi" w:cstheme="minorHAnsi"/>
          <w:sz w:val="24"/>
          <w:szCs w:val="24"/>
        </w:rPr>
        <w:t>,</w:t>
      </w:r>
      <w:r w:rsidR="00DC72E8" w:rsidRPr="001C2D3A">
        <w:rPr>
          <w:sz w:val="24"/>
          <w:szCs w:val="24"/>
        </w:rPr>
        <w:t xml:space="preserve"> 2004). </w:t>
      </w:r>
      <w:r w:rsidRPr="001C2D3A">
        <w:rPr>
          <w:sz w:val="24"/>
          <w:szCs w:val="24"/>
        </w:rPr>
        <w:t>Οι απαντήσεις βαθμολογούνται ως σωστές ή λανθασμένες. Υψηλότερες</w:t>
      </w:r>
      <w:r w:rsidR="00CF0332" w:rsidRPr="005A464E">
        <w:rPr>
          <w:sz w:val="24"/>
          <w:szCs w:val="24"/>
        </w:rPr>
        <w:t xml:space="preserve"> </w:t>
      </w:r>
      <w:r w:rsidRPr="005A464E">
        <w:rPr>
          <w:sz w:val="24"/>
          <w:szCs w:val="24"/>
        </w:rPr>
        <w:t>βαθμολογίες</w:t>
      </w:r>
      <w:r w:rsidR="00CF0332" w:rsidRPr="005A464E">
        <w:rPr>
          <w:sz w:val="24"/>
          <w:szCs w:val="24"/>
        </w:rPr>
        <w:t xml:space="preserve"> </w:t>
      </w:r>
      <w:r w:rsidRPr="005A464E">
        <w:rPr>
          <w:sz w:val="24"/>
          <w:szCs w:val="24"/>
        </w:rPr>
        <w:t>συνδέονται</w:t>
      </w:r>
      <w:r w:rsidR="00CF0332" w:rsidRPr="005A464E">
        <w:rPr>
          <w:sz w:val="24"/>
          <w:szCs w:val="24"/>
        </w:rPr>
        <w:t xml:space="preserve"> </w:t>
      </w:r>
      <w:r w:rsidRPr="005A464E">
        <w:rPr>
          <w:sz w:val="24"/>
          <w:szCs w:val="24"/>
        </w:rPr>
        <w:t>με</w:t>
      </w:r>
      <w:r w:rsidR="00CF0332" w:rsidRPr="005A464E">
        <w:rPr>
          <w:sz w:val="24"/>
          <w:szCs w:val="24"/>
        </w:rPr>
        <w:t xml:space="preserve"> υψηλότερο επίπεδο γνώσης</w:t>
      </w:r>
      <w:r w:rsidR="00DC72E8" w:rsidRPr="005A464E">
        <w:rPr>
          <w:sz w:val="24"/>
          <w:szCs w:val="24"/>
        </w:rPr>
        <w:t xml:space="preserve">. </w:t>
      </w:r>
      <w:r w:rsidRPr="005A464E">
        <w:rPr>
          <w:sz w:val="24"/>
          <w:szCs w:val="24"/>
        </w:rPr>
        <w:t>Ο</w:t>
      </w:r>
      <w:r w:rsidR="00CF0332" w:rsidRPr="005A464E">
        <w:rPr>
          <w:sz w:val="24"/>
          <w:szCs w:val="24"/>
        </w:rPr>
        <w:t xml:space="preserve"> </w:t>
      </w:r>
      <w:r w:rsidRPr="005A464E">
        <w:rPr>
          <w:sz w:val="24"/>
          <w:szCs w:val="24"/>
        </w:rPr>
        <w:t>δείκτης</w:t>
      </w:r>
      <w:r w:rsidR="00EF4525" w:rsidRPr="005A464E">
        <w:rPr>
          <w:sz w:val="24"/>
          <w:szCs w:val="24"/>
        </w:rPr>
        <w:t xml:space="preserve"> </w:t>
      </w:r>
      <w:r w:rsidR="00DC72E8" w:rsidRPr="005A464E">
        <w:rPr>
          <w:sz w:val="24"/>
          <w:szCs w:val="24"/>
          <w:lang w:val="en-US"/>
        </w:rPr>
        <w:t>Cronbach</w:t>
      </w:r>
      <w:r w:rsidR="00DC72E8" w:rsidRPr="005A464E">
        <w:rPr>
          <w:sz w:val="24"/>
          <w:szCs w:val="24"/>
        </w:rPr>
        <w:t>’</w:t>
      </w:r>
      <w:r w:rsidR="00DC72E8" w:rsidRPr="005A464E">
        <w:rPr>
          <w:sz w:val="24"/>
          <w:szCs w:val="24"/>
          <w:lang w:val="en-US"/>
        </w:rPr>
        <w:t>s</w:t>
      </w:r>
      <w:r w:rsidR="00CF0332" w:rsidRPr="005A464E">
        <w:rPr>
          <w:sz w:val="24"/>
          <w:szCs w:val="24"/>
        </w:rPr>
        <w:t xml:space="preserve"> </w:t>
      </w:r>
      <w:r w:rsidR="00D8241D">
        <w:rPr>
          <w:sz w:val="24"/>
          <w:szCs w:val="24"/>
        </w:rPr>
        <w:t>Α</w:t>
      </w:r>
      <w:r w:rsidR="00DC72E8" w:rsidRPr="005A464E">
        <w:rPr>
          <w:sz w:val="24"/>
          <w:szCs w:val="24"/>
          <w:lang w:val="en-US"/>
        </w:rPr>
        <w:t>lpha</w:t>
      </w:r>
      <w:r w:rsidR="00CF0332" w:rsidRPr="005A464E">
        <w:rPr>
          <w:sz w:val="24"/>
          <w:szCs w:val="24"/>
        </w:rPr>
        <w:t xml:space="preserve"> </w:t>
      </w:r>
      <w:r w:rsidRPr="005A464E">
        <w:rPr>
          <w:sz w:val="24"/>
          <w:szCs w:val="24"/>
        </w:rPr>
        <w:t>του ερωτηματολογίου είναι</w:t>
      </w:r>
      <w:r w:rsidR="000C7DA9" w:rsidRPr="005A464E">
        <w:rPr>
          <w:sz w:val="24"/>
          <w:szCs w:val="24"/>
        </w:rPr>
        <w:t xml:space="preserve"> </w:t>
      </w:r>
      <w:r w:rsidR="00EF6A06">
        <w:rPr>
          <w:sz w:val="24"/>
          <w:szCs w:val="24"/>
        </w:rPr>
        <w:t>0,</w:t>
      </w:r>
      <w:r w:rsidR="000C7DA9" w:rsidRPr="005A464E">
        <w:rPr>
          <w:sz w:val="24"/>
          <w:szCs w:val="24"/>
        </w:rPr>
        <w:t>76 (</w:t>
      </w:r>
      <w:r w:rsidR="000C7DA9" w:rsidRPr="005A464E">
        <w:rPr>
          <w:sz w:val="24"/>
          <w:szCs w:val="24"/>
          <w:lang w:val="en-US"/>
        </w:rPr>
        <w:t>Wells</w:t>
      </w:r>
      <w:r w:rsidR="00A07F2D" w:rsidRPr="005A464E">
        <w:rPr>
          <w:sz w:val="24"/>
          <w:szCs w:val="24"/>
        </w:rPr>
        <w:t>,</w:t>
      </w:r>
      <w:r w:rsidR="000C7DA9" w:rsidRPr="005A464E">
        <w:rPr>
          <w:sz w:val="24"/>
          <w:szCs w:val="24"/>
        </w:rPr>
        <w:t xml:space="preserve"> 2011).</w:t>
      </w:r>
      <w:r w:rsidR="00DC72E8" w:rsidRPr="005A464E">
        <w:rPr>
          <w:sz w:val="24"/>
          <w:szCs w:val="24"/>
        </w:rPr>
        <w:t xml:space="preserve"> </w:t>
      </w:r>
    </w:p>
    <w:p w:rsidR="00DC72E8" w:rsidRPr="005A464E" w:rsidRDefault="00EE37D4" w:rsidP="005A464E">
      <w:pPr>
        <w:spacing w:line="360" w:lineRule="auto"/>
        <w:jc w:val="both"/>
        <w:rPr>
          <w:sz w:val="24"/>
          <w:szCs w:val="24"/>
        </w:rPr>
      </w:pPr>
      <w:r w:rsidRPr="005A464E">
        <w:rPr>
          <w:sz w:val="24"/>
          <w:szCs w:val="24"/>
        </w:rPr>
        <w:t>Η</w:t>
      </w:r>
      <w:r w:rsidR="00CF0332" w:rsidRPr="005A464E">
        <w:rPr>
          <w:sz w:val="24"/>
          <w:szCs w:val="24"/>
        </w:rPr>
        <w:t xml:space="preserve"> </w:t>
      </w:r>
      <w:r w:rsidRPr="005A464E">
        <w:rPr>
          <w:sz w:val="24"/>
          <w:szCs w:val="24"/>
        </w:rPr>
        <w:t>κλίμακα</w:t>
      </w:r>
      <w:r w:rsidR="00CF0332" w:rsidRPr="005A464E">
        <w:rPr>
          <w:sz w:val="24"/>
          <w:szCs w:val="24"/>
        </w:rPr>
        <w:t xml:space="preserve"> </w:t>
      </w:r>
      <w:r w:rsidR="00D50548" w:rsidRPr="005A464E">
        <w:rPr>
          <w:sz w:val="24"/>
          <w:szCs w:val="24"/>
          <w:lang w:val="en-US"/>
        </w:rPr>
        <w:t>Chronic</w:t>
      </w:r>
      <w:r w:rsidR="00CF0332" w:rsidRPr="005A464E">
        <w:rPr>
          <w:sz w:val="24"/>
          <w:szCs w:val="24"/>
        </w:rPr>
        <w:t xml:space="preserve"> </w:t>
      </w:r>
      <w:r w:rsidR="00D50548" w:rsidRPr="005A464E">
        <w:rPr>
          <w:sz w:val="24"/>
          <w:szCs w:val="24"/>
          <w:lang w:val="en-US"/>
        </w:rPr>
        <w:t>Hemodialysis</w:t>
      </w:r>
      <w:r w:rsidR="00CF0332" w:rsidRPr="005A464E">
        <w:rPr>
          <w:sz w:val="24"/>
          <w:szCs w:val="24"/>
        </w:rPr>
        <w:t xml:space="preserve"> </w:t>
      </w:r>
      <w:r w:rsidR="00D50548" w:rsidRPr="005A464E">
        <w:rPr>
          <w:sz w:val="24"/>
          <w:szCs w:val="24"/>
          <w:lang w:val="en-US"/>
        </w:rPr>
        <w:t>Knowledge</w:t>
      </w:r>
      <w:r w:rsidR="00CF0332" w:rsidRPr="005A464E">
        <w:rPr>
          <w:sz w:val="24"/>
          <w:szCs w:val="24"/>
        </w:rPr>
        <w:t xml:space="preserve"> </w:t>
      </w:r>
      <w:r w:rsidR="00D50548" w:rsidRPr="005A464E">
        <w:rPr>
          <w:sz w:val="24"/>
          <w:szCs w:val="24"/>
          <w:lang w:val="en-US"/>
        </w:rPr>
        <w:t>Survey</w:t>
      </w:r>
      <w:r w:rsidR="00D50548" w:rsidRPr="005A464E">
        <w:rPr>
          <w:sz w:val="24"/>
          <w:szCs w:val="24"/>
        </w:rPr>
        <w:t xml:space="preserve"> (</w:t>
      </w:r>
      <w:r w:rsidR="00D50548" w:rsidRPr="005A464E">
        <w:rPr>
          <w:sz w:val="24"/>
          <w:szCs w:val="24"/>
          <w:lang w:val="en-US"/>
        </w:rPr>
        <w:t>CHeKS</w:t>
      </w:r>
      <w:r w:rsidR="00D50548" w:rsidRPr="005A464E">
        <w:rPr>
          <w:sz w:val="24"/>
          <w:szCs w:val="24"/>
        </w:rPr>
        <w:t xml:space="preserve">) </w:t>
      </w:r>
      <w:r w:rsidRPr="005A464E">
        <w:rPr>
          <w:sz w:val="24"/>
          <w:szCs w:val="24"/>
        </w:rPr>
        <w:t>αναπτύχθηκε</w:t>
      </w:r>
      <w:r w:rsidR="000C7DA9" w:rsidRPr="005A464E">
        <w:rPr>
          <w:sz w:val="24"/>
          <w:szCs w:val="24"/>
        </w:rPr>
        <w:t xml:space="preserve"> </w:t>
      </w:r>
      <w:r w:rsidRPr="005A464E">
        <w:rPr>
          <w:sz w:val="24"/>
          <w:szCs w:val="24"/>
        </w:rPr>
        <w:t>με</w:t>
      </w:r>
      <w:r w:rsidR="000C7DA9" w:rsidRPr="005A464E">
        <w:rPr>
          <w:sz w:val="24"/>
          <w:szCs w:val="24"/>
        </w:rPr>
        <w:t xml:space="preserve"> </w:t>
      </w:r>
      <w:r w:rsidRPr="005A464E">
        <w:rPr>
          <w:sz w:val="24"/>
          <w:szCs w:val="24"/>
        </w:rPr>
        <w:t>σκοπό</w:t>
      </w:r>
      <w:r w:rsidR="000C7DA9" w:rsidRPr="005A464E">
        <w:rPr>
          <w:sz w:val="24"/>
          <w:szCs w:val="24"/>
        </w:rPr>
        <w:t xml:space="preserve"> </w:t>
      </w:r>
      <w:r w:rsidRPr="005A464E">
        <w:rPr>
          <w:sz w:val="24"/>
          <w:szCs w:val="24"/>
        </w:rPr>
        <w:t>να</w:t>
      </w:r>
      <w:r w:rsidR="000C7DA9" w:rsidRPr="005A464E">
        <w:rPr>
          <w:sz w:val="24"/>
          <w:szCs w:val="24"/>
        </w:rPr>
        <w:t xml:space="preserve"> </w:t>
      </w:r>
      <w:r w:rsidRPr="005A464E">
        <w:rPr>
          <w:sz w:val="24"/>
          <w:szCs w:val="24"/>
        </w:rPr>
        <w:t>αξιολογήσει</w:t>
      </w:r>
      <w:r w:rsidR="000C7DA9" w:rsidRPr="005A464E">
        <w:rPr>
          <w:sz w:val="24"/>
          <w:szCs w:val="24"/>
        </w:rPr>
        <w:t xml:space="preserve"> </w:t>
      </w:r>
      <w:r w:rsidRPr="005A464E">
        <w:rPr>
          <w:sz w:val="24"/>
          <w:szCs w:val="24"/>
        </w:rPr>
        <w:t>τη</w:t>
      </w:r>
      <w:r w:rsidR="000C7DA9" w:rsidRPr="005A464E">
        <w:rPr>
          <w:sz w:val="24"/>
          <w:szCs w:val="24"/>
        </w:rPr>
        <w:t xml:space="preserve"> </w:t>
      </w:r>
      <w:r w:rsidRPr="005A464E">
        <w:rPr>
          <w:sz w:val="24"/>
          <w:szCs w:val="24"/>
        </w:rPr>
        <w:t>γνώση</w:t>
      </w:r>
      <w:r w:rsidR="000C7DA9" w:rsidRPr="005A464E">
        <w:rPr>
          <w:sz w:val="24"/>
          <w:szCs w:val="24"/>
        </w:rPr>
        <w:t xml:space="preserve"> </w:t>
      </w:r>
      <w:r w:rsidRPr="005A464E">
        <w:rPr>
          <w:sz w:val="24"/>
          <w:szCs w:val="24"/>
        </w:rPr>
        <w:t>των</w:t>
      </w:r>
      <w:r w:rsidR="000C7DA9" w:rsidRPr="005A464E">
        <w:rPr>
          <w:sz w:val="24"/>
          <w:szCs w:val="24"/>
        </w:rPr>
        <w:t xml:space="preserve"> </w:t>
      </w:r>
      <w:r w:rsidRPr="005A464E">
        <w:rPr>
          <w:sz w:val="24"/>
          <w:szCs w:val="24"/>
        </w:rPr>
        <w:t>ασθενών</w:t>
      </w:r>
      <w:r w:rsidR="000C7DA9" w:rsidRPr="005A464E">
        <w:rPr>
          <w:sz w:val="24"/>
          <w:szCs w:val="24"/>
        </w:rPr>
        <w:t xml:space="preserve"> </w:t>
      </w:r>
      <w:r w:rsidRPr="005A464E">
        <w:rPr>
          <w:sz w:val="24"/>
          <w:szCs w:val="24"/>
        </w:rPr>
        <w:t>σχετικά</w:t>
      </w:r>
      <w:r w:rsidR="000C7DA9" w:rsidRPr="005A464E">
        <w:rPr>
          <w:sz w:val="24"/>
          <w:szCs w:val="24"/>
        </w:rPr>
        <w:t xml:space="preserve"> </w:t>
      </w:r>
      <w:r w:rsidRPr="005A464E">
        <w:rPr>
          <w:sz w:val="24"/>
          <w:szCs w:val="24"/>
        </w:rPr>
        <w:t>με</w:t>
      </w:r>
      <w:r w:rsidR="000C7DA9" w:rsidRPr="005A464E">
        <w:rPr>
          <w:sz w:val="24"/>
          <w:szCs w:val="24"/>
        </w:rPr>
        <w:t xml:space="preserve"> </w:t>
      </w:r>
      <w:r w:rsidRPr="005A464E">
        <w:rPr>
          <w:sz w:val="24"/>
          <w:szCs w:val="24"/>
        </w:rPr>
        <w:t>θέματα</w:t>
      </w:r>
      <w:r w:rsidR="000C7DA9" w:rsidRPr="005A464E">
        <w:rPr>
          <w:sz w:val="24"/>
          <w:szCs w:val="24"/>
        </w:rPr>
        <w:t xml:space="preserve"> </w:t>
      </w:r>
      <w:r w:rsidRPr="005A464E">
        <w:rPr>
          <w:sz w:val="24"/>
          <w:szCs w:val="24"/>
        </w:rPr>
        <w:t>που</w:t>
      </w:r>
      <w:r w:rsidR="000C7DA9" w:rsidRPr="005A464E">
        <w:rPr>
          <w:sz w:val="24"/>
          <w:szCs w:val="24"/>
        </w:rPr>
        <w:t xml:space="preserve"> </w:t>
      </w:r>
      <w:r w:rsidRPr="005A464E">
        <w:rPr>
          <w:sz w:val="24"/>
          <w:szCs w:val="24"/>
        </w:rPr>
        <w:t>αφορούν</w:t>
      </w:r>
      <w:r w:rsidR="000C7DA9" w:rsidRPr="005A464E">
        <w:rPr>
          <w:sz w:val="24"/>
          <w:szCs w:val="24"/>
        </w:rPr>
        <w:t xml:space="preserve"> </w:t>
      </w:r>
      <w:r w:rsidRPr="005A464E">
        <w:rPr>
          <w:sz w:val="24"/>
          <w:szCs w:val="24"/>
        </w:rPr>
        <w:t>την</w:t>
      </w:r>
      <w:r w:rsidR="000C7DA9" w:rsidRPr="005A464E">
        <w:rPr>
          <w:sz w:val="24"/>
          <w:szCs w:val="24"/>
        </w:rPr>
        <w:t xml:space="preserve"> </w:t>
      </w:r>
      <w:r w:rsidRPr="005A464E">
        <w:rPr>
          <w:sz w:val="24"/>
          <w:szCs w:val="24"/>
        </w:rPr>
        <w:t>αιμοκάθαρση</w:t>
      </w:r>
      <w:r w:rsidR="000C7DA9" w:rsidRPr="005A464E">
        <w:rPr>
          <w:sz w:val="24"/>
          <w:szCs w:val="24"/>
        </w:rPr>
        <w:t xml:space="preserve"> όπως </w:t>
      </w:r>
      <w:r w:rsidRPr="005A464E">
        <w:rPr>
          <w:sz w:val="24"/>
          <w:szCs w:val="24"/>
        </w:rPr>
        <w:t>η</w:t>
      </w:r>
      <w:r w:rsidR="000C7DA9" w:rsidRPr="005A464E">
        <w:rPr>
          <w:sz w:val="24"/>
          <w:szCs w:val="24"/>
        </w:rPr>
        <w:t xml:space="preserve"> </w:t>
      </w:r>
      <w:r w:rsidRPr="005A464E">
        <w:rPr>
          <w:sz w:val="24"/>
          <w:szCs w:val="24"/>
        </w:rPr>
        <w:t>επάρκεια</w:t>
      </w:r>
      <w:r w:rsidR="000C7DA9" w:rsidRPr="005A464E">
        <w:rPr>
          <w:sz w:val="24"/>
          <w:szCs w:val="24"/>
        </w:rPr>
        <w:t xml:space="preserve"> </w:t>
      </w:r>
      <w:r w:rsidRPr="005A464E">
        <w:rPr>
          <w:sz w:val="24"/>
          <w:szCs w:val="24"/>
        </w:rPr>
        <w:t>της</w:t>
      </w:r>
      <w:r w:rsidR="000C7DA9" w:rsidRPr="005A464E">
        <w:rPr>
          <w:sz w:val="24"/>
          <w:szCs w:val="24"/>
        </w:rPr>
        <w:t xml:space="preserve"> </w:t>
      </w:r>
      <w:r w:rsidRPr="005A464E">
        <w:rPr>
          <w:sz w:val="24"/>
          <w:szCs w:val="24"/>
        </w:rPr>
        <w:t>αιμοκάθαρσης, η</w:t>
      </w:r>
      <w:r w:rsidR="00CF0332" w:rsidRPr="005A464E">
        <w:rPr>
          <w:sz w:val="24"/>
          <w:szCs w:val="24"/>
        </w:rPr>
        <w:t xml:space="preserve"> </w:t>
      </w:r>
      <w:r w:rsidRPr="005A464E">
        <w:rPr>
          <w:sz w:val="24"/>
          <w:szCs w:val="24"/>
        </w:rPr>
        <w:t>διατροφή, η</w:t>
      </w:r>
      <w:r w:rsidR="00CF0332" w:rsidRPr="005A464E">
        <w:rPr>
          <w:sz w:val="24"/>
          <w:szCs w:val="24"/>
        </w:rPr>
        <w:t xml:space="preserve"> </w:t>
      </w:r>
      <w:r w:rsidRPr="005A464E">
        <w:rPr>
          <w:sz w:val="24"/>
          <w:szCs w:val="24"/>
        </w:rPr>
        <w:t>αναιμία, η</w:t>
      </w:r>
      <w:r w:rsidR="00CF0332" w:rsidRPr="005A464E">
        <w:rPr>
          <w:sz w:val="24"/>
          <w:szCs w:val="24"/>
        </w:rPr>
        <w:t xml:space="preserve"> </w:t>
      </w:r>
      <w:r w:rsidRPr="005A464E">
        <w:rPr>
          <w:sz w:val="24"/>
          <w:szCs w:val="24"/>
        </w:rPr>
        <w:t>αγγειακή</w:t>
      </w:r>
      <w:r w:rsidR="00CF0332" w:rsidRPr="005A464E">
        <w:rPr>
          <w:sz w:val="24"/>
          <w:szCs w:val="24"/>
        </w:rPr>
        <w:t xml:space="preserve"> </w:t>
      </w:r>
      <w:r w:rsidRPr="005A464E">
        <w:rPr>
          <w:sz w:val="24"/>
          <w:szCs w:val="24"/>
        </w:rPr>
        <w:t>προσπέλαση, η φαρμακευτική αγωγή και η ασφάλεια. Το</w:t>
      </w:r>
      <w:r w:rsidR="000C7DA9" w:rsidRPr="005A464E">
        <w:rPr>
          <w:sz w:val="24"/>
          <w:szCs w:val="24"/>
        </w:rPr>
        <w:t xml:space="preserve"> </w:t>
      </w:r>
      <w:r w:rsidRPr="005A464E">
        <w:rPr>
          <w:sz w:val="24"/>
          <w:szCs w:val="24"/>
        </w:rPr>
        <w:t>περιεχόμενο</w:t>
      </w:r>
      <w:r w:rsidR="000C7DA9" w:rsidRPr="005A464E">
        <w:rPr>
          <w:sz w:val="24"/>
          <w:szCs w:val="24"/>
        </w:rPr>
        <w:t xml:space="preserve"> </w:t>
      </w:r>
      <w:r w:rsidRPr="005A464E">
        <w:rPr>
          <w:sz w:val="24"/>
          <w:szCs w:val="24"/>
        </w:rPr>
        <w:t>των</w:t>
      </w:r>
      <w:r w:rsidR="000C7DA9" w:rsidRPr="005A464E">
        <w:rPr>
          <w:sz w:val="24"/>
          <w:szCs w:val="24"/>
        </w:rPr>
        <w:t xml:space="preserve"> </w:t>
      </w:r>
      <w:r w:rsidRPr="005A464E">
        <w:rPr>
          <w:sz w:val="24"/>
          <w:szCs w:val="24"/>
        </w:rPr>
        <w:t>ερωτήσεων</w:t>
      </w:r>
      <w:r w:rsidR="000C7DA9" w:rsidRPr="005A464E">
        <w:rPr>
          <w:sz w:val="24"/>
          <w:szCs w:val="24"/>
        </w:rPr>
        <w:t xml:space="preserve"> </w:t>
      </w:r>
      <w:r w:rsidRPr="005A464E">
        <w:rPr>
          <w:sz w:val="24"/>
          <w:szCs w:val="24"/>
        </w:rPr>
        <w:t>συντάχθηκε</w:t>
      </w:r>
      <w:r w:rsidR="000C7DA9" w:rsidRPr="005A464E">
        <w:rPr>
          <w:sz w:val="24"/>
          <w:szCs w:val="24"/>
        </w:rPr>
        <w:t xml:space="preserve"> </w:t>
      </w:r>
      <w:r w:rsidRPr="005A464E">
        <w:rPr>
          <w:sz w:val="24"/>
          <w:szCs w:val="24"/>
        </w:rPr>
        <w:t>από</w:t>
      </w:r>
      <w:r w:rsidR="000C7DA9" w:rsidRPr="005A464E">
        <w:rPr>
          <w:sz w:val="24"/>
          <w:szCs w:val="24"/>
        </w:rPr>
        <w:t xml:space="preserve"> </w:t>
      </w:r>
      <w:r w:rsidRPr="005A464E">
        <w:rPr>
          <w:sz w:val="24"/>
          <w:szCs w:val="24"/>
        </w:rPr>
        <w:t>διεπιστημονική</w:t>
      </w:r>
      <w:r w:rsidR="000C7DA9" w:rsidRPr="005A464E">
        <w:rPr>
          <w:sz w:val="24"/>
          <w:szCs w:val="24"/>
        </w:rPr>
        <w:t xml:space="preserve"> </w:t>
      </w:r>
      <w:r w:rsidRPr="005A464E">
        <w:rPr>
          <w:sz w:val="24"/>
          <w:szCs w:val="24"/>
        </w:rPr>
        <w:t>ομάδα</w:t>
      </w:r>
      <w:r w:rsidR="000C7DA9" w:rsidRPr="005A464E">
        <w:rPr>
          <w:sz w:val="24"/>
          <w:szCs w:val="24"/>
        </w:rPr>
        <w:t xml:space="preserve"> </w:t>
      </w:r>
      <w:r w:rsidRPr="005A464E">
        <w:rPr>
          <w:sz w:val="24"/>
          <w:szCs w:val="24"/>
        </w:rPr>
        <w:t>αποτελούμενη</w:t>
      </w:r>
      <w:r w:rsidR="000C7DA9" w:rsidRPr="005A464E">
        <w:rPr>
          <w:sz w:val="24"/>
          <w:szCs w:val="24"/>
        </w:rPr>
        <w:t xml:space="preserve"> </w:t>
      </w:r>
      <w:r w:rsidRPr="005A464E">
        <w:rPr>
          <w:sz w:val="24"/>
          <w:szCs w:val="24"/>
        </w:rPr>
        <w:t>από</w:t>
      </w:r>
      <w:r w:rsidR="000C7DA9" w:rsidRPr="005A464E">
        <w:rPr>
          <w:sz w:val="24"/>
          <w:szCs w:val="24"/>
        </w:rPr>
        <w:t xml:space="preserve"> νεφρολόγους</w:t>
      </w:r>
      <w:r w:rsidRPr="005A464E">
        <w:rPr>
          <w:sz w:val="24"/>
          <w:szCs w:val="24"/>
        </w:rPr>
        <w:t xml:space="preserve">, νοσηλευτές νεφρολογίας, κοινωνικούς λειτουργούς, διαιτολόγους και ασθενείς υπό </w:t>
      </w:r>
      <w:r w:rsidR="00C710BF">
        <w:rPr>
          <w:sz w:val="24"/>
          <w:szCs w:val="24"/>
        </w:rPr>
        <w:t>αιμοκάθαρση</w:t>
      </w:r>
      <w:r w:rsidRPr="005A464E">
        <w:rPr>
          <w:sz w:val="24"/>
          <w:szCs w:val="24"/>
        </w:rPr>
        <w:t>.</w:t>
      </w:r>
      <w:r w:rsidR="00CF0332" w:rsidRPr="005A464E">
        <w:rPr>
          <w:sz w:val="24"/>
          <w:szCs w:val="24"/>
        </w:rPr>
        <w:t xml:space="preserve"> </w:t>
      </w:r>
      <w:r w:rsidRPr="005A464E">
        <w:rPr>
          <w:sz w:val="24"/>
          <w:szCs w:val="24"/>
        </w:rPr>
        <w:t>Αποτελείται</w:t>
      </w:r>
      <w:r w:rsidR="00CF0332" w:rsidRPr="005A464E">
        <w:rPr>
          <w:sz w:val="24"/>
          <w:szCs w:val="24"/>
        </w:rPr>
        <w:t xml:space="preserve"> </w:t>
      </w:r>
      <w:r w:rsidRPr="005A464E">
        <w:rPr>
          <w:sz w:val="24"/>
          <w:szCs w:val="24"/>
        </w:rPr>
        <w:t>από 23 ερωτήσεις</w:t>
      </w:r>
      <w:r w:rsidR="00CF0332" w:rsidRPr="005A464E">
        <w:rPr>
          <w:sz w:val="24"/>
          <w:szCs w:val="24"/>
        </w:rPr>
        <w:t xml:space="preserve"> </w:t>
      </w:r>
      <w:r w:rsidRPr="005A464E">
        <w:rPr>
          <w:sz w:val="24"/>
          <w:szCs w:val="24"/>
        </w:rPr>
        <w:t>επιλογής</w:t>
      </w:r>
      <w:r w:rsidR="00C710BF">
        <w:rPr>
          <w:sz w:val="24"/>
          <w:szCs w:val="24"/>
        </w:rPr>
        <w:t xml:space="preserve"> της ορθής απάντησης</w:t>
      </w:r>
      <w:r w:rsidR="00CF0332" w:rsidRPr="005A464E">
        <w:rPr>
          <w:sz w:val="24"/>
          <w:szCs w:val="24"/>
        </w:rPr>
        <w:t xml:space="preserve"> </w:t>
      </w:r>
      <w:r w:rsidRPr="005A464E">
        <w:rPr>
          <w:sz w:val="24"/>
          <w:szCs w:val="24"/>
        </w:rPr>
        <w:t>με</w:t>
      </w:r>
      <w:r w:rsidR="00CF0332" w:rsidRPr="005A464E">
        <w:rPr>
          <w:sz w:val="24"/>
          <w:szCs w:val="24"/>
        </w:rPr>
        <w:t xml:space="preserve"> </w:t>
      </w:r>
      <w:r w:rsidR="00817853">
        <w:rPr>
          <w:sz w:val="24"/>
          <w:szCs w:val="24"/>
        </w:rPr>
        <w:t>μια</w:t>
      </w:r>
      <w:r w:rsidRPr="005A464E">
        <w:rPr>
          <w:sz w:val="24"/>
          <w:szCs w:val="24"/>
        </w:rPr>
        <w:t xml:space="preserve"> μόνο</w:t>
      </w:r>
      <w:r w:rsidR="00CF0332" w:rsidRPr="005A464E">
        <w:rPr>
          <w:sz w:val="24"/>
          <w:szCs w:val="24"/>
        </w:rPr>
        <w:t xml:space="preserve"> </w:t>
      </w:r>
      <w:r w:rsidRPr="005A464E">
        <w:rPr>
          <w:sz w:val="24"/>
          <w:szCs w:val="24"/>
        </w:rPr>
        <w:t>σωστή</w:t>
      </w:r>
      <w:r w:rsidR="00CF0332" w:rsidRPr="005A464E">
        <w:rPr>
          <w:sz w:val="24"/>
          <w:szCs w:val="24"/>
        </w:rPr>
        <w:t xml:space="preserve"> </w:t>
      </w:r>
      <w:r w:rsidRPr="005A464E">
        <w:rPr>
          <w:rFonts w:cstheme="minorHAnsi"/>
          <w:sz w:val="24"/>
          <w:szCs w:val="24"/>
        </w:rPr>
        <w:t>απάντηση</w:t>
      </w:r>
      <w:r w:rsidR="000C7DA9" w:rsidRPr="005A464E">
        <w:rPr>
          <w:rFonts w:cstheme="minorHAnsi"/>
          <w:sz w:val="24"/>
          <w:szCs w:val="24"/>
        </w:rPr>
        <w:t xml:space="preserve"> (</w:t>
      </w:r>
      <w:hyperlink r:id="rId25" w:history="1">
        <w:r w:rsidR="000C7DA9" w:rsidRPr="005A464E">
          <w:rPr>
            <w:rStyle w:val="-"/>
            <w:rFonts w:cstheme="minorHAnsi"/>
            <w:color w:val="auto"/>
            <w:sz w:val="24"/>
            <w:szCs w:val="24"/>
            <w:u w:val="none"/>
            <w:shd w:val="clear" w:color="auto" w:fill="FFFFFF"/>
          </w:rPr>
          <w:t>Cavanaugh</w:t>
        </w:r>
      </w:hyperlink>
      <w:r w:rsidR="0062205E">
        <w:rPr>
          <w:rFonts w:cstheme="minorHAnsi"/>
          <w:sz w:val="24"/>
          <w:szCs w:val="24"/>
        </w:rPr>
        <w:t xml:space="preserve">, </w:t>
      </w:r>
      <w:r w:rsidR="0062205E" w:rsidRPr="0062205E">
        <w:rPr>
          <w:rFonts w:asciiTheme="minorHAnsi" w:hAnsiTheme="minorHAnsi" w:cstheme="minorHAnsi"/>
          <w:sz w:val="24"/>
          <w:szCs w:val="24"/>
          <w:lang w:val="en-US"/>
        </w:rPr>
        <w:t>Wingard</w:t>
      </w:r>
      <w:r w:rsidR="0062205E" w:rsidRPr="0062205E">
        <w:rPr>
          <w:rFonts w:asciiTheme="minorHAnsi" w:hAnsiTheme="minorHAnsi" w:cstheme="minorHAnsi"/>
          <w:sz w:val="24"/>
          <w:szCs w:val="24"/>
        </w:rPr>
        <w:t>,</w:t>
      </w:r>
      <w:r w:rsidR="00992F7C" w:rsidRPr="00992F7C">
        <w:rPr>
          <w:rFonts w:asciiTheme="minorHAnsi" w:hAnsiTheme="minorHAnsi" w:cstheme="minorHAnsi"/>
          <w:sz w:val="24"/>
          <w:szCs w:val="24"/>
        </w:rPr>
        <w:t xml:space="preserve"> </w:t>
      </w:r>
      <w:r w:rsidR="0062205E" w:rsidRPr="0062205E">
        <w:rPr>
          <w:rFonts w:asciiTheme="minorHAnsi" w:hAnsiTheme="minorHAnsi" w:cstheme="minorHAnsi"/>
          <w:sz w:val="24"/>
          <w:szCs w:val="24"/>
          <w:lang w:val="en-US"/>
        </w:rPr>
        <w:t>Hakim</w:t>
      </w:r>
      <w:r w:rsidR="0062205E" w:rsidRPr="0062205E">
        <w:rPr>
          <w:rFonts w:asciiTheme="minorHAnsi" w:hAnsiTheme="minorHAnsi" w:cstheme="minorHAnsi"/>
          <w:sz w:val="24"/>
          <w:szCs w:val="24"/>
        </w:rPr>
        <w:t xml:space="preserve">, </w:t>
      </w:r>
      <w:r w:rsidR="0062205E" w:rsidRPr="0062205E">
        <w:rPr>
          <w:rFonts w:asciiTheme="minorHAnsi" w:hAnsiTheme="minorHAnsi" w:cstheme="minorHAnsi"/>
          <w:sz w:val="24"/>
          <w:szCs w:val="24"/>
          <w:lang w:val="en-US"/>
        </w:rPr>
        <w:t>Elasy</w:t>
      </w:r>
      <w:r w:rsidR="0062205E" w:rsidRPr="0062205E">
        <w:rPr>
          <w:rFonts w:asciiTheme="minorHAnsi" w:hAnsiTheme="minorHAnsi" w:cstheme="minorHAnsi"/>
          <w:sz w:val="24"/>
          <w:szCs w:val="24"/>
        </w:rPr>
        <w:t xml:space="preserve">, &amp; </w:t>
      </w:r>
      <w:r w:rsidR="0062205E" w:rsidRPr="0062205E">
        <w:rPr>
          <w:rFonts w:asciiTheme="minorHAnsi" w:hAnsiTheme="minorHAnsi" w:cstheme="minorHAnsi"/>
          <w:sz w:val="24"/>
          <w:szCs w:val="24"/>
          <w:lang w:val="en-US"/>
        </w:rPr>
        <w:t>Ikizler</w:t>
      </w:r>
      <w:r w:rsidR="0062205E">
        <w:rPr>
          <w:rFonts w:asciiTheme="minorHAnsi" w:hAnsiTheme="minorHAnsi" w:cstheme="minorHAnsi"/>
          <w:sz w:val="24"/>
          <w:szCs w:val="24"/>
        </w:rPr>
        <w:t>,</w:t>
      </w:r>
      <w:r w:rsidR="0062205E" w:rsidRPr="0062205E">
        <w:rPr>
          <w:rFonts w:asciiTheme="minorHAnsi" w:hAnsiTheme="minorHAnsi" w:cstheme="minorHAnsi"/>
          <w:sz w:val="24"/>
          <w:szCs w:val="24"/>
        </w:rPr>
        <w:t xml:space="preserve"> </w:t>
      </w:r>
      <w:r w:rsidR="000C7DA9" w:rsidRPr="0062205E">
        <w:rPr>
          <w:rFonts w:cstheme="minorHAnsi"/>
          <w:sz w:val="24"/>
          <w:szCs w:val="24"/>
        </w:rPr>
        <w:t>2009</w:t>
      </w:r>
      <w:r w:rsidR="000C7DA9" w:rsidRPr="005A464E">
        <w:rPr>
          <w:rFonts w:cstheme="minorHAnsi"/>
          <w:sz w:val="24"/>
          <w:szCs w:val="24"/>
        </w:rPr>
        <w:t>)</w:t>
      </w:r>
      <w:r w:rsidR="00D50548" w:rsidRPr="005A464E">
        <w:rPr>
          <w:rFonts w:cstheme="minorHAnsi"/>
          <w:sz w:val="24"/>
          <w:szCs w:val="24"/>
        </w:rPr>
        <w:t>.</w:t>
      </w:r>
      <w:r w:rsidR="00D50548" w:rsidRPr="005A464E">
        <w:rPr>
          <w:sz w:val="24"/>
          <w:szCs w:val="24"/>
        </w:rPr>
        <w:t xml:space="preserve"> </w:t>
      </w:r>
    </w:p>
    <w:p w:rsidR="008302D4" w:rsidRPr="00DB6A65" w:rsidRDefault="00207C6D" w:rsidP="00207C6D">
      <w:pPr>
        <w:pStyle w:val="1a"/>
        <w:spacing w:line="360" w:lineRule="auto"/>
        <w:rPr>
          <w:rFonts w:asciiTheme="minorHAnsi" w:hAnsiTheme="minorHAnsi"/>
        </w:rPr>
      </w:pPr>
      <w:bookmarkStart w:id="35" w:name="_Toc495951436"/>
      <w:r w:rsidRPr="00DB6A65">
        <w:rPr>
          <w:rFonts w:asciiTheme="minorHAnsi" w:hAnsiTheme="minorHAnsi"/>
        </w:rPr>
        <w:t>3</w:t>
      </w:r>
      <w:r w:rsidRPr="00DB6A65">
        <w:rPr>
          <w:rFonts w:asciiTheme="minorHAnsi" w:hAnsiTheme="minorHAnsi"/>
          <w:vertAlign w:val="superscript"/>
        </w:rPr>
        <w:t>ο</w:t>
      </w:r>
      <w:r w:rsidRPr="00DB6A65">
        <w:rPr>
          <w:rFonts w:asciiTheme="minorHAnsi" w:hAnsiTheme="minorHAnsi"/>
        </w:rPr>
        <w:t xml:space="preserve">  </w:t>
      </w:r>
      <w:r w:rsidRPr="00DB6A65">
        <w:rPr>
          <w:rFonts w:asciiTheme="minorHAnsi" w:hAnsiTheme="minorHAnsi"/>
          <w:lang w:val="en-US"/>
        </w:rPr>
        <w:t>KE</w:t>
      </w:r>
      <w:r w:rsidRPr="00DB6A65">
        <w:rPr>
          <w:rFonts w:asciiTheme="minorHAnsi" w:hAnsiTheme="minorHAnsi"/>
        </w:rPr>
        <w:t xml:space="preserve">ΦΑΛΑΙΟ: </w:t>
      </w:r>
      <w:r w:rsidR="008302D4" w:rsidRPr="00DB6A65">
        <w:rPr>
          <w:rFonts w:asciiTheme="minorHAnsi" w:hAnsiTheme="minorHAnsi"/>
        </w:rPr>
        <w:t>ΣΥΜΜΟΡΦΩΣΗ</w:t>
      </w:r>
      <w:r w:rsidR="004E2C1F" w:rsidRPr="00DB6A65">
        <w:rPr>
          <w:rFonts w:asciiTheme="minorHAnsi" w:hAnsiTheme="minorHAnsi"/>
        </w:rPr>
        <w:t xml:space="preserve"> </w:t>
      </w:r>
      <w:r w:rsidR="008302D4" w:rsidRPr="00DB6A65">
        <w:rPr>
          <w:rFonts w:asciiTheme="minorHAnsi" w:hAnsiTheme="minorHAnsi"/>
        </w:rPr>
        <w:t>ΑΣΘΕΝΟΥΣ</w:t>
      </w:r>
      <w:bookmarkEnd w:id="35"/>
    </w:p>
    <w:p w:rsidR="002B06E7" w:rsidRPr="003355F5" w:rsidRDefault="00752752" w:rsidP="00D8241D">
      <w:pPr>
        <w:pStyle w:val="25"/>
        <w:numPr>
          <w:ilvl w:val="1"/>
          <w:numId w:val="106"/>
        </w:numPr>
        <w:spacing w:after="240" w:line="360" w:lineRule="auto"/>
        <w:rPr>
          <w:rFonts w:asciiTheme="minorHAnsi" w:hAnsiTheme="minorHAnsi"/>
        </w:rPr>
      </w:pPr>
      <w:bookmarkStart w:id="36" w:name="_Toc495951437"/>
      <w:r w:rsidRPr="003355F5">
        <w:rPr>
          <w:rFonts w:asciiTheme="minorHAnsi" w:hAnsiTheme="minorHAnsi"/>
        </w:rPr>
        <w:t xml:space="preserve">Η </w:t>
      </w:r>
      <w:r w:rsidR="00B12B81" w:rsidRPr="003355F5">
        <w:rPr>
          <w:rFonts w:asciiTheme="minorHAnsi" w:hAnsiTheme="minorHAnsi"/>
        </w:rPr>
        <w:t>έκταση του προβλήματος</w:t>
      </w:r>
      <w:r w:rsidR="008302D4" w:rsidRPr="003355F5">
        <w:rPr>
          <w:rFonts w:asciiTheme="minorHAnsi" w:hAnsiTheme="minorHAnsi"/>
        </w:rPr>
        <w:t xml:space="preserve"> της μη συμμόρφωσης</w:t>
      </w:r>
      <w:bookmarkStart w:id="37" w:name="_Toc455075129"/>
      <w:bookmarkStart w:id="38" w:name="_Toc455075210"/>
      <w:bookmarkStart w:id="39" w:name="_Toc455075281"/>
      <w:bookmarkStart w:id="40" w:name="_Toc455075914"/>
      <w:bookmarkStart w:id="41" w:name="_Toc455088073"/>
      <w:bookmarkEnd w:id="36"/>
    </w:p>
    <w:p w:rsidR="006712F5" w:rsidRPr="00E94504" w:rsidRDefault="0046079C" w:rsidP="005A464E">
      <w:pPr>
        <w:spacing w:line="360" w:lineRule="auto"/>
        <w:jc w:val="both"/>
        <w:rPr>
          <w:sz w:val="24"/>
          <w:szCs w:val="24"/>
          <w:lang w:eastAsia="el-GR"/>
        </w:rPr>
      </w:pPr>
      <w:r>
        <w:rPr>
          <w:sz w:val="24"/>
          <w:szCs w:val="24"/>
        </w:rPr>
        <w:t>Στις μέρες μας</w:t>
      </w:r>
      <w:r w:rsidR="00752752" w:rsidRPr="005A464E">
        <w:rPr>
          <w:sz w:val="24"/>
          <w:szCs w:val="24"/>
        </w:rPr>
        <w:t xml:space="preserve"> ο ασθενής έχει πρόσβαση σ</w:t>
      </w:r>
      <w:r>
        <w:rPr>
          <w:sz w:val="24"/>
          <w:szCs w:val="24"/>
        </w:rPr>
        <w:t xml:space="preserve">την πληροφορία </w:t>
      </w:r>
      <w:r w:rsidRPr="00E94504">
        <w:rPr>
          <w:sz w:val="24"/>
          <w:szCs w:val="24"/>
        </w:rPr>
        <w:t xml:space="preserve">περισσότερο από κάθε άλλη φορά. </w:t>
      </w:r>
      <w:r w:rsidR="00D96689" w:rsidRPr="00E94504">
        <w:rPr>
          <w:sz w:val="24"/>
          <w:szCs w:val="24"/>
        </w:rPr>
        <w:t xml:space="preserve"> </w:t>
      </w:r>
      <w:r w:rsidRPr="00E94504">
        <w:rPr>
          <w:sz w:val="24"/>
          <w:szCs w:val="24"/>
        </w:rPr>
        <w:t>Ωστόσο,</w:t>
      </w:r>
      <w:r w:rsidR="00D96689" w:rsidRPr="00E94504">
        <w:rPr>
          <w:sz w:val="24"/>
          <w:szCs w:val="24"/>
        </w:rPr>
        <w:t>ο</w:t>
      </w:r>
      <w:r w:rsidR="00752752" w:rsidRPr="00E94504">
        <w:rPr>
          <w:sz w:val="24"/>
          <w:szCs w:val="24"/>
        </w:rPr>
        <w:t xml:space="preserve"> ασθενής συνεχίζει </w:t>
      </w:r>
      <w:r w:rsidR="006B5B97" w:rsidRPr="00E94504">
        <w:rPr>
          <w:sz w:val="24"/>
          <w:szCs w:val="24"/>
        </w:rPr>
        <w:t>να βιώνει</w:t>
      </w:r>
      <w:r w:rsidR="00752752" w:rsidRPr="00E94504">
        <w:rPr>
          <w:sz w:val="24"/>
          <w:szCs w:val="24"/>
        </w:rPr>
        <w:t xml:space="preserve"> καταστάσεις που θα μπορούσαν να προληφθούν ή να αντιμετωπισθούν αποτελεσματικά. Σε μερικές περιπτώσεις</w:t>
      </w:r>
      <w:r w:rsidR="00752752" w:rsidRPr="005A464E">
        <w:rPr>
          <w:sz w:val="24"/>
          <w:szCs w:val="24"/>
        </w:rPr>
        <w:t xml:space="preserve">, η αποτυχία στη θεραπεία ή </w:t>
      </w:r>
      <w:r w:rsidR="00D96689">
        <w:rPr>
          <w:sz w:val="24"/>
          <w:szCs w:val="24"/>
        </w:rPr>
        <w:t>οι επιπλοκές</w:t>
      </w:r>
      <w:r w:rsidR="0078495A">
        <w:rPr>
          <w:sz w:val="24"/>
          <w:szCs w:val="24"/>
        </w:rPr>
        <w:t xml:space="preserve"> </w:t>
      </w:r>
      <w:r w:rsidR="00752752" w:rsidRPr="005A464E">
        <w:rPr>
          <w:sz w:val="24"/>
          <w:szCs w:val="24"/>
        </w:rPr>
        <w:t xml:space="preserve">παίζουν ρόλο στην αύξηση της </w:t>
      </w:r>
      <w:r w:rsidR="00BE2DA1">
        <w:rPr>
          <w:sz w:val="24"/>
          <w:szCs w:val="24"/>
        </w:rPr>
        <w:t>θνησιμ</w:t>
      </w:r>
      <w:r w:rsidR="002332BF" w:rsidRPr="005A464E">
        <w:rPr>
          <w:sz w:val="24"/>
          <w:szCs w:val="24"/>
        </w:rPr>
        <w:t>ότητας</w:t>
      </w:r>
      <w:r w:rsidR="00752752" w:rsidRPr="005A464E">
        <w:rPr>
          <w:sz w:val="24"/>
          <w:szCs w:val="24"/>
        </w:rPr>
        <w:t xml:space="preserve">. </w:t>
      </w:r>
      <w:r w:rsidR="00C710BF">
        <w:rPr>
          <w:sz w:val="24"/>
          <w:szCs w:val="24"/>
        </w:rPr>
        <w:t>Ωστόσο</w:t>
      </w:r>
      <w:r w:rsidR="00752752" w:rsidRPr="005A464E">
        <w:rPr>
          <w:sz w:val="24"/>
          <w:szCs w:val="24"/>
        </w:rPr>
        <w:t>, οι μελέτες δείχνουν πως</w:t>
      </w:r>
      <w:r w:rsidR="002332BF" w:rsidRPr="005A464E">
        <w:rPr>
          <w:sz w:val="24"/>
          <w:szCs w:val="24"/>
        </w:rPr>
        <w:t xml:space="preserve"> σε έναν μεγάλο αριθμό περιπτώσεων, η αιτία της αποτυχίας της θεραπείας είναι απλά η μη συμμόρφωση των ασθενών στις θεραπευτικές συστάσεις.</w:t>
      </w:r>
      <w:bookmarkEnd w:id="37"/>
      <w:bookmarkEnd w:id="38"/>
      <w:bookmarkEnd w:id="39"/>
      <w:bookmarkEnd w:id="40"/>
      <w:bookmarkEnd w:id="41"/>
      <w:r w:rsidR="006712F5" w:rsidRPr="005A464E">
        <w:rPr>
          <w:sz w:val="24"/>
          <w:szCs w:val="24"/>
          <w:lang w:eastAsia="el-GR"/>
        </w:rPr>
        <w:t xml:space="preserve"> Υπάρχει </w:t>
      </w:r>
      <w:r w:rsidR="00817853">
        <w:rPr>
          <w:sz w:val="24"/>
          <w:szCs w:val="24"/>
          <w:lang w:eastAsia="el-GR"/>
        </w:rPr>
        <w:t>μια</w:t>
      </w:r>
      <w:r w:rsidR="006712F5" w:rsidRPr="005A464E">
        <w:rPr>
          <w:sz w:val="24"/>
          <w:szCs w:val="24"/>
          <w:lang w:eastAsia="el-GR"/>
        </w:rPr>
        <w:t xml:space="preserve"> ποικιλία αιτιών της αποτυχίας </w:t>
      </w:r>
      <w:r w:rsidR="00B0560D">
        <w:rPr>
          <w:sz w:val="24"/>
          <w:szCs w:val="24"/>
          <w:lang w:eastAsia="el-GR"/>
        </w:rPr>
        <w:t>του ασθενούς</w:t>
      </w:r>
      <w:r w:rsidR="006712F5" w:rsidRPr="005A464E">
        <w:rPr>
          <w:sz w:val="24"/>
          <w:szCs w:val="24"/>
          <w:lang w:eastAsia="el-GR"/>
        </w:rPr>
        <w:t xml:space="preserve"> να ακολουθήσει τις συστάσεις συμπεριλαμβανομένου του κόστους, της πολυπλοκότητας του σχήματος και της διάρκειας της</w:t>
      </w:r>
      <w:r w:rsidR="00D23563" w:rsidRPr="005A464E">
        <w:rPr>
          <w:sz w:val="24"/>
          <w:szCs w:val="24"/>
          <w:lang w:eastAsia="el-GR"/>
        </w:rPr>
        <w:t xml:space="preserve"> θεραπείας. Από την άλλη πλευρά</w:t>
      </w:r>
      <w:r w:rsidR="006712F5" w:rsidRPr="005A464E">
        <w:rPr>
          <w:sz w:val="24"/>
          <w:szCs w:val="24"/>
          <w:lang w:eastAsia="el-GR"/>
        </w:rPr>
        <w:t xml:space="preserve">, η μη </w:t>
      </w:r>
      <w:r w:rsidR="006511E2" w:rsidRPr="005A464E">
        <w:rPr>
          <w:sz w:val="24"/>
          <w:szCs w:val="24"/>
          <w:lang w:eastAsia="el-GR"/>
        </w:rPr>
        <w:t>συμμόρφωση</w:t>
      </w:r>
      <w:r w:rsidR="006712F5" w:rsidRPr="005A464E">
        <w:rPr>
          <w:sz w:val="24"/>
          <w:szCs w:val="24"/>
          <w:lang w:eastAsia="el-GR"/>
        </w:rPr>
        <w:t xml:space="preserve"> αποτελεί την επιλογή </w:t>
      </w:r>
      <w:r w:rsidR="00B0560D">
        <w:rPr>
          <w:sz w:val="24"/>
          <w:szCs w:val="24"/>
          <w:lang w:eastAsia="el-GR"/>
        </w:rPr>
        <w:t>του ασθενούς</w:t>
      </w:r>
      <w:r w:rsidR="006712F5" w:rsidRPr="005A464E">
        <w:rPr>
          <w:sz w:val="24"/>
          <w:szCs w:val="24"/>
          <w:lang w:eastAsia="el-GR"/>
        </w:rPr>
        <w:t xml:space="preserve"> να μην ακολουθήσει τις συστάσεις αν αισθάνεται ότι αυτές θέτουν σε κί</w:t>
      </w:r>
      <w:r w:rsidR="002B06E7" w:rsidRPr="005A464E">
        <w:rPr>
          <w:sz w:val="24"/>
          <w:szCs w:val="24"/>
          <w:lang w:eastAsia="el-GR"/>
        </w:rPr>
        <w:t>νδυνο την ποιότητα της ζωής του</w:t>
      </w:r>
      <w:r w:rsidR="006712F5" w:rsidRPr="005A464E">
        <w:rPr>
          <w:sz w:val="24"/>
          <w:szCs w:val="24"/>
          <w:lang w:eastAsia="el-GR"/>
        </w:rPr>
        <w:t xml:space="preserve">, </w:t>
      </w:r>
      <w:r w:rsidR="006B5B97" w:rsidRPr="00E94504">
        <w:rPr>
          <w:sz w:val="24"/>
          <w:szCs w:val="24"/>
          <w:lang w:eastAsia="el-GR"/>
        </w:rPr>
        <w:t>παρεμ</w:t>
      </w:r>
      <w:r w:rsidR="002B06E7" w:rsidRPr="00E94504">
        <w:rPr>
          <w:sz w:val="24"/>
          <w:szCs w:val="24"/>
          <w:lang w:eastAsia="el-GR"/>
        </w:rPr>
        <w:t>βαίνουν στους προσωπικούς του</w:t>
      </w:r>
      <w:r w:rsidR="006712F5" w:rsidRPr="00E94504">
        <w:rPr>
          <w:sz w:val="24"/>
          <w:szCs w:val="24"/>
          <w:lang w:eastAsia="el-GR"/>
        </w:rPr>
        <w:t xml:space="preserve"> στόχους ή </w:t>
      </w:r>
      <w:r w:rsidR="002B06E7" w:rsidRPr="00E94504">
        <w:rPr>
          <w:sz w:val="24"/>
          <w:szCs w:val="24"/>
          <w:lang w:eastAsia="el-GR"/>
        </w:rPr>
        <w:t>αν θεωρεί</w:t>
      </w:r>
      <w:r w:rsidR="006712F5" w:rsidRPr="00E94504">
        <w:rPr>
          <w:sz w:val="24"/>
          <w:szCs w:val="24"/>
          <w:lang w:eastAsia="el-GR"/>
        </w:rPr>
        <w:t xml:space="preserve"> τη μη συμμόρ</w:t>
      </w:r>
      <w:r w:rsidR="002B06E7" w:rsidRPr="00E94504">
        <w:rPr>
          <w:sz w:val="24"/>
          <w:szCs w:val="24"/>
          <w:lang w:eastAsia="el-GR"/>
        </w:rPr>
        <w:t>φωση ως έναν τρόπο να διατηρήσει</w:t>
      </w:r>
      <w:r w:rsidR="00287AEB" w:rsidRPr="00E94504">
        <w:rPr>
          <w:sz w:val="24"/>
          <w:szCs w:val="24"/>
          <w:lang w:eastAsia="el-GR"/>
        </w:rPr>
        <w:t xml:space="preserve"> τον έλεγχο και την αυτονομία</w:t>
      </w:r>
      <w:r w:rsidR="00302494" w:rsidRPr="00E94504">
        <w:rPr>
          <w:sz w:val="24"/>
          <w:szCs w:val="24"/>
          <w:lang w:eastAsia="el-GR"/>
        </w:rPr>
        <w:t xml:space="preserve"> (</w:t>
      </w:r>
      <w:r w:rsidR="00A07F2D" w:rsidRPr="00E94504">
        <w:rPr>
          <w:sz w:val="24"/>
          <w:szCs w:val="24"/>
          <w:lang w:val="en-US" w:eastAsia="el-GR"/>
        </w:rPr>
        <w:t>Brown</w:t>
      </w:r>
      <w:r w:rsidR="00A07F2D" w:rsidRPr="00E94504">
        <w:rPr>
          <w:sz w:val="24"/>
          <w:szCs w:val="24"/>
          <w:lang w:eastAsia="el-GR"/>
        </w:rPr>
        <w:t xml:space="preserve"> &amp; </w:t>
      </w:r>
      <w:r w:rsidR="00A07F2D" w:rsidRPr="00E94504">
        <w:rPr>
          <w:sz w:val="24"/>
          <w:szCs w:val="24"/>
          <w:lang w:val="en-US" w:eastAsia="el-GR"/>
        </w:rPr>
        <w:t>Bussell</w:t>
      </w:r>
      <w:r w:rsidR="00AB454B" w:rsidRPr="00E94504">
        <w:rPr>
          <w:sz w:val="24"/>
          <w:szCs w:val="24"/>
          <w:lang w:eastAsia="el-GR"/>
        </w:rPr>
        <w:t>,</w:t>
      </w:r>
      <w:r w:rsidR="00A07F2D" w:rsidRPr="00E94504">
        <w:rPr>
          <w:sz w:val="24"/>
          <w:szCs w:val="24"/>
          <w:lang w:eastAsia="el-GR"/>
        </w:rPr>
        <w:t xml:space="preserve"> 2011; </w:t>
      </w:r>
      <w:r w:rsidR="00302494" w:rsidRPr="00E94504">
        <w:rPr>
          <w:sz w:val="24"/>
          <w:szCs w:val="24"/>
          <w:lang w:val="en-US" w:eastAsia="el-GR"/>
        </w:rPr>
        <w:t>Hugtenburg</w:t>
      </w:r>
      <w:r w:rsidR="00992F7C" w:rsidRPr="00E94504">
        <w:rPr>
          <w:sz w:val="24"/>
          <w:szCs w:val="24"/>
          <w:lang w:eastAsia="el-GR"/>
        </w:rPr>
        <w:t>,</w:t>
      </w:r>
      <w:r w:rsidR="00A07F2D" w:rsidRPr="00E94504">
        <w:rPr>
          <w:sz w:val="24"/>
          <w:szCs w:val="24"/>
          <w:lang w:eastAsia="el-GR"/>
        </w:rPr>
        <w:t xml:space="preserve"> </w:t>
      </w:r>
      <w:r w:rsidR="000E03F0" w:rsidRPr="00E94504">
        <w:rPr>
          <w:rStyle w:val="element-citation"/>
          <w:rFonts w:asciiTheme="minorHAnsi" w:hAnsiTheme="minorHAnsi" w:cstheme="minorHAnsi"/>
          <w:sz w:val="24"/>
          <w:szCs w:val="24"/>
          <w:lang w:val="en-US"/>
        </w:rPr>
        <w:t>Timmers</w:t>
      </w:r>
      <w:r w:rsidR="000E03F0" w:rsidRPr="00E94504">
        <w:rPr>
          <w:rStyle w:val="element-citation"/>
          <w:rFonts w:asciiTheme="minorHAnsi" w:hAnsiTheme="minorHAnsi" w:cstheme="minorHAnsi"/>
          <w:sz w:val="24"/>
          <w:szCs w:val="24"/>
        </w:rPr>
        <w:t xml:space="preserve">, </w:t>
      </w:r>
      <w:r w:rsidR="000E03F0" w:rsidRPr="00E94504">
        <w:rPr>
          <w:rStyle w:val="element-citation"/>
          <w:rFonts w:asciiTheme="minorHAnsi" w:hAnsiTheme="minorHAnsi" w:cstheme="minorHAnsi"/>
          <w:sz w:val="24"/>
          <w:szCs w:val="24"/>
          <w:lang w:val="en-US"/>
        </w:rPr>
        <w:t>Elders</w:t>
      </w:r>
      <w:r w:rsidR="00992F7C" w:rsidRPr="00E94504">
        <w:rPr>
          <w:rStyle w:val="element-citation"/>
          <w:rFonts w:asciiTheme="minorHAnsi" w:hAnsiTheme="minorHAnsi" w:cstheme="minorHAnsi"/>
          <w:sz w:val="24"/>
          <w:szCs w:val="24"/>
        </w:rPr>
        <w:t>,</w:t>
      </w:r>
      <w:r w:rsidR="000E03F0" w:rsidRPr="00E94504">
        <w:rPr>
          <w:rStyle w:val="element-citation"/>
          <w:rFonts w:asciiTheme="minorHAnsi" w:hAnsiTheme="minorHAnsi" w:cstheme="minorHAnsi"/>
          <w:sz w:val="24"/>
          <w:szCs w:val="24"/>
        </w:rPr>
        <w:t xml:space="preserve"> </w:t>
      </w:r>
      <w:r w:rsidR="000E03F0" w:rsidRPr="00E94504">
        <w:rPr>
          <w:rStyle w:val="element-citation"/>
          <w:rFonts w:asciiTheme="minorHAnsi" w:hAnsiTheme="minorHAnsi" w:cstheme="minorHAnsi"/>
          <w:sz w:val="24"/>
          <w:szCs w:val="24"/>
          <w:lang w:val="en-US"/>
        </w:rPr>
        <w:t>Vervloet</w:t>
      </w:r>
      <w:r w:rsidR="000E03F0" w:rsidRPr="00E94504">
        <w:rPr>
          <w:rStyle w:val="element-citation"/>
          <w:rFonts w:asciiTheme="minorHAnsi" w:hAnsiTheme="minorHAnsi" w:cstheme="minorHAnsi"/>
          <w:sz w:val="24"/>
          <w:szCs w:val="24"/>
        </w:rPr>
        <w:t xml:space="preserve">, &amp; </w:t>
      </w:r>
      <w:r w:rsidR="000E03F0" w:rsidRPr="00E94504">
        <w:rPr>
          <w:rStyle w:val="element-citation"/>
          <w:rFonts w:asciiTheme="minorHAnsi" w:hAnsiTheme="minorHAnsi" w:cstheme="minorHAnsi"/>
          <w:sz w:val="24"/>
          <w:szCs w:val="24"/>
          <w:lang w:val="en-US"/>
        </w:rPr>
        <w:t>van</w:t>
      </w:r>
      <w:r w:rsidR="000E03F0" w:rsidRPr="00E94504">
        <w:rPr>
          <w:rStyle w:val="element-citation"/>
          <w:rFonts w:asciiTheme="minorHAnsi" w:hAnsiTheme="minorHAnsi" w:cstheme="minorHAnsi"/>
          <w:sz w:val="24"/>
          <w:szCs w:val="24"/>
        </w:rPr>
        <w:t xml:space="preserve"> </w:t>
      </w:r>
      <w:r w:rsidR="000E03F0" w:rsidRPr="00E94504">
        <w:rPr>
          <w:rStyle w:val="element-citation"/>
          <w:rFonts w:asciiTheme="minorHAnsi" w:hAnsiTheme="minorHAnsi" w:cstheme="minorHAnsi"/>
          <w:sz w:val="24"/>
          <w:szCs w:val="24"/>
          <w:lang w:val="en-US"/>
        </w:rPr>
        <w:t>Dijk</w:t>
      </w:r>
      <w:r w:rsidR="000E03F0" w:rsidRPr="00E94504">
        <w:rPr>
          <w:sz w:val="24"/>
          <w:szCs w:val="24"/>
          <w:lang w:eastAsia="el-GR"/>
        </w:rPr>
        <w:t xml:space="preserve">, </w:t>
      </w:r>
      <w:r w:rsidR="00A07F2D" w:rsidRPr="00E94504">
        <w:rPr>
          <w:sz w:val="24"/>
          <w:szCs w:val="24"/>
          <w:lang w:eastAsia="el-GR"/>
        </w:rPr>
        <w:t>2013</w:t>
      </w:r>
      <w:r w:rsidR="00302494" w:rsidRPr="00E94504">
        <w:rPr>
          <w:sz w:val="24"/>
          <w:szCs w:val="24"/>
          <w:lang w:eastAsia="el-GR"/>
        </w:rPr>
        <w:t>)</w:t>
      </w:r>
      <w:r w:rsidR="00287AEB" w:rsidRPr="00E94504">
        <w:rPr>
          <w:sz w:val="24"/>
          <w:szCs w:val="24"/>
          <w:lang w:eastAsia="el-GR"/>
        </w:rPr>
        <w:t>.</w:t>
      </w:r>
    </w:p>
    <w:p w:rsidR="00C4224F" w:rsidRPr="005A464E" w:rsidRDefault="002332BF" w:rsidP="005A464E">
      <w:pPr>
        <w:spacing w:line="360" w:lineRule="auto"/>
        <w:jc w:val="both"/>
        <w:rPr>
          <w:sz w:val="24"/>
          <w:szCs w:val="24"/>
        </w:rPr>
      </w:pPr>
      <w:r w:rsidRPr="00E94504">
        <w:rPr>
          <w:sz w:val="24"/>
          <w:szCs w:val="24"/>
        </w:rPr>
        <w:t xml:space="preserve">Σε μελέτη σχετικά με τις αιτίες των επισκέψεων </w:t>
      </w:r>
      <w:r w:rsidR="006B5B97" w:rsidRPr="00E94504">
        <w:rPr>
          <w:sz w:val="24"/>
          <w:szCs w:val="24"/>
        </w:rPr>
        <w:t>στο Τμήμα Επε</w:t>
      </w:r>
      <w:r w:rsidR="00BE2DA1" w:rsidRPr="00E94504">
        <w:rPr>
          <w:sz w:val="24"/>
          <w:szCs w:val="24"/>
        </w:rPr>
        <w:t>ι</w:t>
      </w:r>
      <w:r w:rsidR="006B5B97" w:rsidRPr="00E94504">
        <w:rPr>
          <w:sz w:val="24"/>
          <w:szCs w:val="24"/>
        </w:rPr>
        <w:t>γόντων Περιστατικών</w:t>
      </w:r>
      <w:r w:rsidRPr="00E94504">
        <w:rPr>
          <w:sz w:val="24"/>
          <w:szCs w:val="24"/>
        </w:rPr>
        <w:t>, ο υψηλός αριθμός των επισκέψεων ήταν αποτέλεσμα της</w:t>
      </w:r>
      <w:r w:rsidR="0078495A" w:rsidRPr="00E94504">
        <w:rPr>
          <w:sz w:val="24"/>
          <w:szCs w:val="24"/>
        </w:rPr>
        <w:t xml:space="preserve"> </w:t>
      </w:r>
      <w:r w:rsidR="00BF443D" w:rsidRPr="00E94504">
        <w:rPr>
          <w:sz w:val="24"/>
          <w:szCs w:val="24"/>
        </w:rPr>
        <w:t>υπερβολικής χρήσης</w:t>
      </w:r>
      <w:r w:rsidR="00BF443D" w:rsidRPr="005A464E">
        <w:rPr>
          <w:sz w:val="24"/>
          <w:szCs w:val="24"/>
        </w:rPr>
        <w:t xml:space="preserve"> ή μειωμένης χρήσης των φαρμάκων (</w:t>
      </w:r>
      <w:r w:rsidR="00BF443D" w:rsidRPr="005A464E">
        <w:rPr>
          <w:sz w:val="24"/>
          <w:szCs w:val="24"/>
          <w:lang w:val="en-US"/>
        </w:rPr>
        <w:t>Schneitman</w:t>
      </w:r>
      <w:r w:rsidR="00E34137" w:rsidRPr="005A464E">
        <w:rPr>
          <w:sz w:val="24"/>
          <w:szCs w:val="24"/>
        </w:rPr>
        <w:t>-</w:t>
      </w:r>
      <w:r w:rsidR="00E34137" w:rsidRPr="005A464E">
        <w:rPr>
          <w:sz w:val="24"/>
          <w:szCs w:val="24"/>
          <w:lang w:val="en-US"/>
        </w:rPr>
        <w:t>McIntyre</w:t>
      </w:r>
      <w:r w:rsidR="00675208" w:rsidRPr="008D6216">
        <w:rPr>
          <w:sz w:val="24"/>
          <w:szCs w:val="24"/>
        </w:rPr>
        <w:t>,</w:t>
      </w:r>
      <w:r w:rsidR="00BF443D" w:rsidRPr="005A464E">
        <w:rPr>
          <w:sz w:val="24"/>
          <w:szCs w:val="24"/>
        </w:rPr>
        <w:t xml:space="preserve"> 1996). </w:t>
      </w:r>
      <w:r w:rsidR="00696272">
        <w:rPr>
          <w:sz w:val="24"/>
          <w:szCs w:val="24"/>
        </w:rPr>
        <w:t xml:space="preserve">Ο βαθμός </w:t>
      </w:r>
      <w:r w:rsidR="00BF443D" w:rsidRPr="005A464E">
        <w:rPr>
          <w:sz w:val="24"/>
          <w:szCs w:val="24"/>
        </w:rPr>
        <w:t xml:space="preserve">συμμόρφωσης ποικίλει </w:t>
      </w:r>
      <w:r w:rsidR="00696272">
        <w:rPr>
          <w:sz w:val="24"/>
          <w:szCs w:val="24"/>
        </w:rPr>
        <w:t xml:space="preserve">ανάλογα με </w:t>
      </w:r>
      <w:r w:rsidR="00BF443D" w:rsidRPr="005A464E">
        <w:rPr>
          <w:sz w:val="24"/>
          <w:szCs w:val="24"/>
        </w:rPr>
        <w:t xml:space="preserve"> </w:t>
      </w:r>
      <w:r w:rsidR="00696272">
        <w:rPr>
          <w:sz w:val="24"/>
          <w:szCs w:val="24"/>
        </w:rPr>
        <w:t>το είδος της ασθένειας και τον τρόπο μέτρησης ή υπολογισμού του.</w:t>
      </w:r>
      <w:r w:rsidR="00BF443D" w:rsidRPr="005A464E">
        <w:rPr>
          <w:sz w:val="24"/>
          <w:szCs w:val="24"/>
        </w:rPr>
        <w:t xml:space="preserve">Ανεξάρτητα από την ερευνητική προσέγγιση που θα χρησιμοποιηθεί, την ασθένεια που θα μελετηθεί ή τις μετρήσεις που θα χρησιμοποιηθούν, είναι γενικά παραδεκτό ότι η μη συμμόρφωση στη θεραπευτική αγωγή είναι και </w:t>
      </w:r>
      <w:r w:rsidR="00842B6D" w:rsidRPr="005A464E">
        <w:rPr>
          <w:sz w:val="24"/>
          <w:szCs w:val="24"/>
        </w:rPr>
        <w:t>παραμένει</w:t>
      </w:r>
      <w:r w:rsidR="00EF09BE" w:rsidRPr="005A464E">
        <w:rPr>
          <w:sz w:val="24"/>
          <w:szCs w:val="24"/>
        </w:rPr>
        <w:t xml:space="preserve"> υψηλή</w:t>
      </w:r>
      <w:r w:rsidR="0050683C" w:rsidRPr="005A464E">
        <w:rPr>
          <w:sz w:val="24"/>
          <w:szCs w:val="24"/>
        </w:rPr>
        <w:t xml:space="preserve"> (</w:t>
      </w:r>
      <w:r w:rsidR="0050683C" w:rsidRPr="00867822">
        <w:rPr>
          <w:sz w:val="24"/>
          <w:szCs w:val="24"/>
          <w:lang w:val="en-US"/>
        </w:rPr>
        <w:t>Martin</w:t>
      </w:r>
      <w:r w:rsidR="00867822" w:rsidRPr="00867822">
        <w:rPr>
          <w:sz w:val="24"/>
          <w:szCs w:val="24"/>
        </w:rPr>
        <w:t xml:space="preserve">, </w:t>
      </w:r>
      <w:r w:rsidR="00867822" w:rsidRPr="00867822">
        <w:rPr>
          <w:rFonts w:asciiTheme="minorHAnsi" w:eastAsia="Times New Roman" w:hAnsiTheme="minorHAnsi" w:cstheme="minorHAnsi"/>
          <w:sz w:val="24"/>
          <w:szCs w:val="24"/>
          <w:lang w:val="en-US" w:eastAsia="el-GR"/>
        </w:rPr>
        <w:t>Williams</w:t>
      </w:r>
      <w:r w:rsidR="00867822" w:rsidRPr="00867822">
        <w:rPr>
          <w:rFonts w:asciiTheme="minorHAnsi" w:eastAsia="Times New Roman" w:hAnsiTheme="minorHAnsi" w:cstheme="minorHAnsi"/>
          <w:sz w:val="24"/>
          <w:szCs w:val="24"/>
          <w:lang w:eastAsia="el-GR"/>
        </w:rPr>
        <w:t xml:space="preserve">, </w:t>
      </w:r>
      <w:r w:rsidR="00867822" w:rsidRPr="00867822">
        <w:rPr>
          <w:rFonts w:asciiTheme="minorHAnsi" w:eastAsia="Times New Roman" w:hAnsiTheme="minorHAnsi" w:cstheme="minorHAnsi"/>
          <w:sz w:val="24"/>
          <w:szCs w:val="24"/>
          <w:lang w:val="en-US" w:eastAsia="el-GR"/>
        </w:rPr>
        <w:t>Haskard</w:t>
      </w:r>
      <w:r w:rsidR="00867822" w:rsidRPr="00867822">
        <w:rPr>
          <w:rFonts w:asciiTheme="minorHAnsi" w:eastAsia="Times New Roman" w:hAnsiTheme="minorHAnsi" w:cstheme="minorHAnsi"/>
          <w:sz w:val="24"/>
          <w:szCs w:val="24"/>
          <w:lang w:eastAsia="el-GR"/>
        </w:rPr>
        <w:t xml:space="preserve">, &amp; </w:t>
      </w:r>
      <w:r w:rsidR="00867822" w:rsidRPr="00867822">
        <w:rPr>
          <w:rFonts w:asciiTheme="minorHAnsi" w:eastAsia="Times New Roman" w:hAnsiTheme="minorHAnsi" w:cstheme="minorHAnsi"/>
          <w:sz w:val="24"/>
          <w:szCs w:val="24"/>
          <w:lang w:val="en-US" w:eastAsia="el-GR"/>
        </w:rPr>
        <w:t>Dimatteo</w:t>
      </w:r>
      <w:r w:rsidR="00867822" w:rsidRPr="00867822">
        <w:rPr>
          <w:rFonts w:asciiTheme="minorHAnsi" w:eastAsia="Times New Roman" w:hAnsiTheme="minorHAnsi" w:cstheme="minorHAnsi"/>
          <w:sz w:val="24"/>
          <w:szCs w:val="24"/>
          <w:lang w:eastAsia="el-GR"/>
        </w:rPr>
        <w:t>,</w:t>
      </w:r>
      <w:r w:rsidR="00867822" w:rsidRPr="00867822">
        <w:rPr>
          <w:sz w:val="24"/>
          <w:szCs w:val="24"/>
        </w:rPr>
        <w:t xml:space="preserve"> </w:t>
      </w:r>
      <w:r w:rsidR="0050683C" w:rsidRPr="00867822">
        <w:rPr>
          <w:sz w:val="24"/>
          <w:szCs w:val="24"/>
        </w:rPr>
        <w:t>2005)</w:t>
      </w:r>
      <w:r w:rsidR="00EF09BE" w:rsidRPr="00867822">
        <w:rPr>
          <w:sz w:val="24"/>
          <w:szCs w:val="24"/>
        </w:rPr>
        <w:t>. Η συχνότητα της μ</w:t>
      </w:r>
      <w:r w:rsidR="00BF443D" w:rsidRPr="00867822">
        <w:rPr>
          <w:sz w:val="24"/>
          <w:szCs w:val="24"/>
        </w:rPr>
        <w:t>η συμμόρφωσης κυμαίνεται</w:t>
      </w:r>
      <w:r w:rsidR="00A27558">
        <w:rPr>
          <w:sz w:val="24"/>
          <w:szCs w:val="24"/>
        </w:rPr>
        <w:t xml:space="preserve"> από 15</w:t>
      </w:r>
      <w:r w:rsidR="00BF443D" w:rsidRPr="005A464E">
        <w:rPr>
          <w:sz w:val="24"/>
          <w:szCs w:val="24"/>
        </w:rPr>
        <w:t>-93%, εξαρτώμενη από</w:t>
      </w:r>
      <w:r w:rsidR="00331193" w:rsidRPr="005A464E">
        <w:rPr>
          <w:sz w:val="24"/>
          <w:szCs w:val="24"/>
        </w:rPr>
        <w:t xml:space="preserve"> τη νόσο που μελετείται και τη </w:t>
      </w:r>
      <w:r w:rsidR="00BF443D" w:rsidRPr="005A464E">
        <w:rPr>
          <w:sz w:val="24"/>
          <w:szCs w:val="24"/>
        </w:rPr>
        <w:t>μέθοδο</w:t>
      </w:r>
      <w:r w:rsidR="00C76733" w:rsidRPr="005A464E">
        <w:rPr>
          <w:sz w:val="24"/>
          <w:szCs w:val="24"/>
        </w:rPr>
        <w:t xml:space="preserve"> (</w:t>
      </w:r>
      <w:r w:rsidR="00C76733" w:rsidRPr="005A464E">
        <w:rPr>
          <w:sz w:val="24"/>
          <w:szCs w:val="24"/>
          <w:lang w:val="en-US"/>
        </w:rPr>
        <w:t>Balkrishnan</w:t>
      </w:r>
      <w:r w:rsidR="00675208" w:rsidRPr="00675208">
        <w:rPr>
          <w:sz w:val="24"/>
          <w:szCs w:val="24"/>
        </w:rPr>
        <w:t>,</w:t>
      </w:r>
      <w:r w:rsidR="00C76733" w:rsidRPr="005A464E">
        <w:rPr>
          <w:sz w:val="24"/>
          <w:szCs w:val="24"/>
        </w:rPr>
        <w:t xml:space="preserve"> 2005)</w:t>
      </w:r>
      <w:r w:rsidR="00BF443D" w:rsidRPr="005A464E">
        <w:rPr>
          <w:sz w:val="24"/>
          <w:szCs w:val="24"/>
        </w:rPr>
        <w:t>.</w:t>
      </w:r>
      <w:r w:rsidR="00435D04" w:rsidRPr="005A464E">
        <w:rPr>
          <w:sz w:val="24"/>
          <w:szCs w:val="24"/>
        </w:rPr>
        <w:t xml:space="preserve"> Παρά τις διαφορε</w:t>
      </w:r>
      <w:r w:rsidR="00292DC3" w:rsidRPr="005A464E">
        <w:rPr>
          <w:sz w:val="24"/>
          <w:szCs w:val="24"/>
        </w:rPr>
        <w:t>τικές συχνότητες μη συμμόρφωσης</w:t>
      </w:r>
      <w:r w:rsidR="00435D04" w:rsidRPr="005A464E">
        <w:rPr>
          <w:sz w:val="24"/>
          <w:szCs w:val="24"/>
        </w:rPr>
        <w:t>, η μη συμμόρφωση φαίνεται ότι είναι εκτεταμένη και κυμαίνεται κατά μέσο όρο στο 25%</w:t>
      </w:r>
      <w:r w:rsidR="00C76733" w:rsidRPr="005A464E">
        <w:rPr>
          <w:sz w:val="24"/>
          <w:szCs w:val="24"/>
        </w:rPr>
        <w:t xml:space="preserve"> (</w:t>
      </w:r>
      <w:r w:rsidR="00C76733" w:rsidRPr="005A464E">
        <w:rPr>
          <w:sz w:val="24"/>
          <w:szCs w:val="24"/>
          <w:lang w:val="en-US"/>
        </w:rPr>
        <w:t>DiMatteo</w:t>
      </w:r>
      <w:r w:rsidR="00675208" w:rsidRPr="00675208">
        <w:rPr>
          <w:sz w:val="24"/>
          <w:szCs w:val="24"/>
        </w:rPr>
        <w:t>,</w:t>
      </w:r>
      <w:r w:rsidR="00C76733" w:rsidRPr="005A464E">
        <w:rPr>
          <w:sz w:val="24"/>
          <w:szCs w:val="24"/>
        </w:rPr>
        <w:t xml:space="preserve"> 2004)</w:t>
      </w:r>
      <w:r w:rsidR="00435D04" w:rsidRPr="005A464E">
        <w:rPr>
          <w:sz w:val="24"/>
          <w:szCs w:val="24"/>
        </w:rPr>
        <w:t>. Γενικά,</w:t>
      </w:r>
      <w:r w:rsidR="0078495A">
        <w:rPr>
          <w:sz w:val="24"/>
          <w:szCs w:val="24"/>
        </w:rPr>
        <w:t xml:space="preserve"> </w:t>
      </w:r>
      <w:r w:rsidR="00435D04" w:rsidRPr="005A464E">
        <w:rPr>
          <w:sz w:val="24"/>
          <w:szCs w:val="24"/>
        </w:rPr>
        <w:t>οι συχνότη</w:t>
      </w:r>
      <w:r w:rsidR="00292DC3" w:rsidRPr="005A464E">
        <w:rPr>
          <w:sz w:val="24"/>
          <w:szCs w:val="24"/>
        </w:rPr>
        <w:t>τες συμμόρφωσης που αναφέρονται</w:t>
      </w:r>
      <w:r w:rsidR="00435D04" w:rsidRPr="005A464E">
        <w:rPr>
          <w:sz w:val="24"/>
          <w:szCs w:val="24"/>
        </w:rPr>
        <w:t xml:space="preserve"> ως μέρος κλι</w:t>
      </w:r>
      <w:r w:rsidR="00EF09BE" w:rsidRPr="005A464E">
        <w:rPr>
          <w:sz w:val="24"/>
          <w:szCs w:val="24"/>
        </w:rPr>
        <w:t>νικών δοκιμών παρουσιάζουν υψηλότερα</w:t>
      </w:r>
      <w:r w:rsidR="00435D04" w:rsidRPr="005A464E">
        <w:rPr>
          <w:sz w:val="24"/>
          <w:szCs w:val="24"/>
        </w:rPr>
        <w:t xml:space="preserve"> επίπεδα απ’ ό,τι σε άλλους ασθενείς αλλά ακόμη και τότε οι συχνότητες τη</w:t>
      </w:r>
      <w:r w:rsidR="006B5B97">
        <w:rPr>
          <w:sz w:val="24"/>
          <w:szCs w:val="24"/>
        </w:rPr>
        <w:t>ς</w:t>
      </w:r>
      <w:r w:rsidR="00435D04" w:rsidRPr="005A464E">
        <w:rPr>
          <w:sz w:val="24"/>
          <w:szCs w:val="24"/>
        </w:rPr>
        <w:t xml:space="preserve"> συμμόρφωσης κυμαίνονται έως και 43%</w:t>
      </w:r>
      <w:r w:rsidR="00302494" w:rsidRPr="005A464E">
        <w:rPr>
          <w:sz w:val="24"/>
          <w:szCs w:val="24"/>
        </w:rPr>
        <w:t xml:space="preserve"> (</w:t>
      </w:r>
      <w:r w:rsidR="00302494" w:rsidRPr="005A464E">
        <w:rPr>
          <w:sz w:val="24"/>
          <w:szCs w:val="24"/>
          <w:lang w:val="en-US"/>
        </w:rPr>
        <w:t>Claxton</w:t>
      </w:r>
      <w:r w:rsidR="00675208" w:rsidRPr="00675208">
        <w:rPr>
          <w:sz w:val="24"/>
          <w:szCs w:val="24"/>
        </w:rPr>
        <w:t>,</w:t>
      </w:r>
      <w:r w:rsidR="00302494" w:rsidRPr="005A464E">
        <w:rPr>
          <w:sz w:val="24"/>
          <w:szCs w:val="24"/>
        </w:rPr>
        <w:t xml:space="preserve"> </w:t>
      </w:r>
      <w:r w:rsidR="00675208" w:rsidRPr="00992F7C">
        <w:rPr>
          <w:rFonts w:eastAsia="Times New Roman" w:cstheme="minorHAnsi"/>
          <w:sz w:val="24"/>
          <w:szCs w:val="24"/>
          <w:lang w:val="en-US" w:eastAsia="el-GR"/>
        </w:rPr>
        <w:t>Cramer</w:t>
      </w:r>
      <w:r w:rsidR="00675208" w:rsidRPr="00992F7C">
        <w:rPr>
          <w:rFonts w:eastAsia="Times New Roman" w:cstheme="minorHAnsi"/>
          <w:sz w:val="24"/>
          <w:szCs w:val="24"/>
          <w:lang w:eastAsia="el-GR"/>
        </w:rPr>
        <w:t xml:space="preserve"> &amp; </w:t>
      </w:r>
      <w:r w:rsidR="00675208" w:rsidRPr="00992F7C">
        <w:rPr>
          <w:rFonts w:eastAsia="Times New Roman" w:cstheme="minorHAnsi"/>
          <w:sz w:val="24"/>
          <w:szCs w:val="24"/>
          <w:lang w:val="en-US" w:eastAsia="el-GR"/>
        </w:rPr>
        <w:t>Pierce</w:t>
      </w:r>
      <w:r w:rsidR="00AB454B" w:rsidRPr="00992F7C">
        <w:rPr>
          <w:rFonts w:eastAsia="Times New Roman" w:cstheme="minorHAnsi"/>
          <w:sz w:val="24"/>
          <w:szCs w:val="24"/>
          <w:lang w:eastAsia="el-GR"/>
        </w:rPr>
        <w:t>,</w:t>
      </w:r>
      <w:r w:rsidR="00302494" w:rsidRPr="00992F7C">
        <w:rPr>
          <w:sz w:val="24"/>
          <w:szCs w:val="24"/>
        </w:rPr>
        <w:t xml:space="preserve"> 2001</w:t>
      </w:r>
      <w:r w:rsidR="00302494" w:rsidRPr="005A464E">
        <w:rPr>
          <w:sz w:val="24"/>
          <w:szCs w:val="24"/>
        </w:rPr>
        <w:t>)</w:t>
      </w:r>
      <w:r w:rsidR="00435D04" w:rsidRPr="005A464E">
        <w:rPr>
          <w:sz w:val="24"/>
          <w:szCs w:val="24"/>
        </w:rPr>
        <w:t xml:space="preserve">. Τα ευρήματα αυτά δείχνουν ότι ένα σημαντικό ποσοστό </w:t>
      </w:r>
      <w:r w:rsidR="00302494" w:rsidRPr="005A464E">
        <w:rPr>
          <w:sz w:val="24"/>
          <w:szCs w:val="24"/>
        </w:rPr>
        <w:t>τ</w:t>
      </w:r>
      <w:r w:rsidR="00435D04" w:rsidRPr="005A464E">
        <w:rPr>
          <w:sz w:val="24"/>
          <w:szCs w:val="24"/>
        </w:rPr>
        <w:t xml:space="preserve">ων ατόμων που ζητούν θεραπεία αποτυγχάνουν να έχουν τα μέγιστα θεραπευτικά αποτελέσματα λόγω της μη συμμόρφωσης στις συστάσεις. </w:t>
      </w:r>
    </w:p>
    <w:p w:rsidR="009B082F" w:rsidRPr="003355F5" w:rsidRDefault="008302D4" w:rsidP="0066526D">
      <w:pPr>
        <w:pStyle w:val="25"/>
        <w:numPr>
          <w:ilvl w:val="1"/>
          <w:numId w:val="117"/>
        </w:numPr>
        <w:spacing w:after="240" w:line="360" w:lineRule="auto"/>
        <w:rPr>
          <w:rFonts w:asciiTheme="minorHAnsi" w:hAnsiTheme="minorHAnsi"/>
        </w:rPr>
      </w:pPr>
      <w:bookmarkStart w:id="42" w:name="_Toc495951438"/>
      <w:r w:rsidRPr="003355F5">
        <w:rPr>
          <w:rFonts w:asciiTheme="minorHAnsi" w:hAnsiTheme="minorHAnsi"/>
        </w:rPr>
        <w:t xml:space="preserve">Εννοιολογική ανάλυση της έννοιας της συμμόρφωσης </w:t>
      </w:r>
      <w:r w:rsidR="00B0560D">
        <w:rPr>
          <w:rFonts w:asciiTheme="minorHAnsi" w:hAnsiTheme="minorHAnsi"/>
        </w:rPr>
        <w:t>του ασθενούς</w:t>
      </w:r>
      <w:bookmarkEnd w:id="42"/>
    </w:p>
    <w:p w:rsidR="00991841" w:rsidRPr="005A464E" w:rsidRDefault="009B082F" w:rsidP="005A464E">
      <w:pPr>
        <w:spacing w:line="360" w:lineRule="auto"/>
        <w:jc w:val="both"/>
        <w:rPr>
          <w:sz w:val="24"/>
          <w:szCs w:val="24"/>
        </w:rPr>
      </w:pPr>
      <w:r w:rsidRPr="005A464E">
        <w:rPr>
          <w:sz w:val="24"/>
          <w:szCs w:val="24"/>
        </w:rPr>
        <w:t>Είναι ευρέως αποδεκτό ότι μια χρόνια ασθένεια</w:t>
      </w:r>
      <w:r w:rsidR="0078495A">
        <w:rPr>
          <w:sz w:val="24"/>
          <w:szCs w:val="24"/>
        </w:rPr>
        <w:t xml:space="preserve"> </w:t>
      </w:r>
      <w:r w:rsidRPr="005A464E">
        <w:rPr>
          <w:sz w:val="24"/>
          <w:szCs w:val="24"/>
        </w:rPr>
        <w:t>συνεπάγετα</w:t>
      </w:r>
      <w:r w:rsidR="006B5B97">
        <w:rPr>
          <w:sz w:val="24"/>
          <w:szCs w:val="24"/>
        </w:rPr>
        <w:t xml:space="preserve">ι σημαντικές αλλαγές στη ζωή </w:t>
      </w:r>
      <w:r w:rsidR="00B0560D">
        <w:rPr>
          <w:sz w:val="24"/>
          <w:szCs w:val="24"/>
        </w:rPr>
        <w:t>του ασθενούς</w:t>
      </w:r>
      <w:r w:rsidR="006B5B97">
        <w:rPr>
          <w:sz w:val="24"/>
          <w:szCs w:val="24"/>
        </w:rPr>
        <w:t xml:space="preserve"> και, επιπλέον, ο ασθενής βιώνει πολλές αλλαγέ</w:t>
      </w:r>
      <w:r w:rsidRPr="005A464E">
        <w:rPr>
          <w:sz w:val="24"/>
          <w:szCs w:val="24"/>
        </w:rPr>
        <w:t>ς που επηρεάζουν την έκβαση της νόσ</w:t>
      </w:r>
      <w:r w:rsidR="006B5B97">
        <w:rPr>
          <w:sz w:val="24"/>
          <w:szCs w:val="24"/>
        </w:rPr>
        <w:t xml:space="preserve">ου. Η αξιολόγηση των αναγκών </w:t>
      </w:r>
      <w:r w:rsidR="00B0560D">
        <w:rPr>
          <w:sz w:val="24"/>
          <w:szCs w:val="24"/>
        </w:rPr>
        <w:t>του ασθενούς</w:t>
      </w:r>
      <w:r w:rsidRPr="005A464E">
        <w:rPr>
          <w:sz w:val="24"/>
          <w:szCs w:val="24"/>
        </w:rPr>
        <w:t xml:space="preserve"> πρέπει να αποτελεί αναπόσπαστο μέρος της θεραπείας. Πιο αναλυτικά, η συμμόρφωση </w:t>
      </w:r>
      <w:r w:rsidR="00B0560D">
        <w:rPr>
          <w:sz w:val="24"/>
          <w:szCs w:val="24"/>
        </w:rPr>
        <w:t>του ασθενούς</w:t>
      </w:r>
      <w:r w:rsidRPr="005A464E">
        <w:rPr>
          <w:sz w:val="24"/>
          <w:szCs w:val="24"/>
        </w:rPr>
        <w:t xml:space="preserve"> στη θεραπευτική αγωγή αποτελεί μια σ</w:t>
      </w:r>
      <w:r w:rsidR="00331193" w:rsidRPr="005A464E">
        <w:rPr>
          <w:sz w:val="24"/>
          <w:szCs w:val="24"/>
        </w:rPr>
        <w:t>ημαντική ανάγκη καθώς</w:t>
      </w:r>
      <w:r w:rsidRPr="005A464E">
        <w:rPr>
          <w:sz w:val="24"/>
          <w:szCs w:val="24"/>
        </w:rPr>
        <w:t xml:space="preserve"> έχει ευεργετική επίδραση στη διαχείριση της νόσου. Τα οφέλη της φαρμακευτικής θερα</w:t>
      </w:r>
      <w:r w:rsidR="00CE1859">
        <w:rPr>
          <w:sz w:val="24"/>
          <w:szCs w:val="24"/>
        </w:rPr>
        <w:t>πείας θα επιτευχθούν μόνο εάν ο ασθενής συμμορφωθεί</w:t>
      </w:r>
      <w:r w:rsidRPr="005A464E">
        <w:rPr>
          <w:sz w:val="24"/>
          <w:szCs w:val="24"/>
        </w:rPr>
        <w:t xml:space="preserve"> προς τις πρ</w:t>
      </w:r>
      <w:r w:rsidR="00991841" w:rsidRPr="005A464E">
        <w:rPr>
          <w:sz w:val="24"/>
          <w:szCs w:val="24"/>
        </w:rPr>
        <w:t>οβλεπόμε</w:t>
      </w:r>
      <w:r w:rsidR="008D6216">
        <w:rPr>
          <w:sz w:val="24"/>
          <w:szCs w:val="24"/>
        </w:rPr>
        <w:t>νες θεραπευτικές αγωγές (Kyngäs</w:t>
      </w:r>
      <w:r w:rsidR="008D6216" w:rsidRPr="008D6216">
        <w:rPr>
          <w:sz w:val="24"/>
          <w:szCs w:val="24"/>
        </w:rPr>
        <w:t xml:space="preserve">, </w:t>
      </w:r>
      <w:r w:rsidR="008D6216" w:rsidRPr="008D6216">
        <w:rPr>
          <w:rFonts w:cstheme="minorHAnsi"/>
          <w:sz w:val="24"/>
          <w:szCs w:val="24"/>
          <w:lang w:val="en-US"/>
        </w:rPr>
        <w:t>Duffy</w:t>
      </w:r>
      <w:r w:rsidR="00992F7C" w:rsidRPr="00992F7C">
        <w:rPr>
          <w:rFonts w:cstheme="minorHAnsi"/>
          <w:sz w:val="24"/>
          <w:szCs w:val="24"/>
        </w:rPr>
        <w:t>,</w:t>
      </w:r>
      <w:r w:rsidR="008D6216" w:rsidRPr="008D6216">
        <w:rPr>
          <w:rFonts w:cstheme="minorHAnsi"/>
          <w:sz w:val="24"/>
          <w:szCs w:val="24"/>
        </w:rPr>
        <w:t xml:space="preserve"> &amp; </w:t>
      </w:r>
      <w:r w:rsidR="008D6216" w:rsidRPr="008D6216">
        <w:rPr>
          <w:rFonts w:cstheme="minorHAnsi"/>
          <w:sz w:val="24"/>
          <w:szCs w:val="24"/>
          <w:lang w:val="en-US"/>
        </w:rPr>
        <w:t>Kroll</w:t>
      </w:r>
      <w:r w:rsidR="00992F7C" w:rsidRPr="00992F7C">
        <w:rPr>
          <w:rFonts w:cstheme="minorHAnsi"/>
          <w:sz w:val="24"/>
          <w:szCs w:val="24"/>
        </w:rPr>
        <w:t>,</w:t>
      </w:r>
      <w:r w:rsidR="008D6216" w:rsidRPr="005A464E">
        <w:rPr>
          <w:sz w:val="24"/>
          <w:szCs w:val="24"/>
        </w:rPr>
        <w:t xml:space="preserve"> </w:t>
      </w:r>
      <w:r w:rsidR="00991841" w:rsidRPr="005A464E">
        <w:rPr>
          <w:sz w:val="24"/>
          <w:szCs w:val="24"/>
        </w:rPr>
        <w:t>2000; Bissonnette</w:t>
      </w:r>
      <w:r w:rsidR="00A07F2D" w:rsidRPr="005A464E">
        <w:rPr>
          <w:sz w:val="24"/>
          <w:szCs w:val="24"/>
        </w:rPr>
        <w:t>,</w:t>
      </w:r>
      <w:r w:rsidR="00991841" w:rsidRPr="005A464E">
        <w:rPr>
          <w:sz w:val="24"/>
          <w:szCs w:val="24"/>
        </w:rPr>
        <w:t xml:space="preserve"> 2008</w:t>
      </w:r>
      <w:r w:rsidR="00711BB9">
        <w:rPr>
          <w:sz w:val="24"/>
          <w:szCs w:val="24"/>
        </w:rPr>
        <w:t xml:space="preserve">; </w:t>
      </w:r>
      <w:r w:rsidR="00711BB9">
        <w:rPr>
          <w:sz w:val="24"/>
          <w:szCs w:val="24"/>
          <w:lang w:val="en-US"/>
        </w:rPr>
        <w:t>Alikari</w:t>
      </w:r>
      <w:r w:rsidR="00711BB9" w:rsidRPr="00711BB9">
        <w:rPr>
          <w:sz w:val="24"/>
          <w:szCs w:val="24"/>
        </w:rPr>
        <w:t xml:space="preserve"> &amp; </w:t>
      </w:r>
      <w:r w:rsidR="00711BB9">
        <w:rPr>
          <w:sz w:val="24"/>
          <w:szCs w:val="24"/>
          <w:lang w:val="en-US"/>
        </w:rPr>
        <w:t>Zyga</w:t>
      </w:r>
      <w:r w:rsidR="00711BB9" w:rsidRPr="00711BB9">
        <w:rPr>
          <w:sz w:val="24"/>
          <w:szCs w:val="24"/>
        </w:rPr>
        <w:t>, 2014</w:t>
      </w:r>
      <w:r w:rsidR="00991841" w:rsidRPr="005A464E">
        <w:rPr>
          <w:sz w:val="24"/>
          <w:szCs w:val="24"/>
        </w:rPr>
        <w:t>).</w:t>
      </w:r>
    </w:p>
    <w:p w:rsidR="009B082F" w:rsidRPr="005A464E" w:rsidRDefault="009B082F" w:rsidP="005A464E">
      <w:pPr>
        <w:spacing w:line="360" w:lineRule="auto"/>
        <w:jc w:val="both"/>
        <w:rPr>
          <w:sz w:val="24"/>
          <w:szCs w:val="24"/>
        </w:rPr>
      </w:pPr>
      <w:r w:rsidRPr="005A464E">
        <w:rPr>
          <w:sz w:val="24"/>
          <w:szCs w:val="24"/>
        </w:rPr>
        <w:t xml:space="preserve">Αν και η συμμόρφωση στη θεραπεία </w:t>
      </w:r>
      <w:r w:rsidRPr="00696272">
        <w:rPr>
          <w:sz w:val="24"/>
          <w:szCs w:val="24"/>
        </w:rPr>
        <w:t>έ</w:t>
      </w:r>
      <w:r w:rsidR="00CE1859" w:rsidRPr="00696272">
        <w:rPr>
          <w:sz w:val="24"/>
          <w:szCs w:val="24"/>
        </w:rPr>
        <w:t xml:space="preserve">χει απασχολήσει ιδιαίτερα τη διεθνή </w:t>
      </w:r>
      <w:r w:rsidR="00696272" w:rsidRPr="00696272">
        <w:rPr>
          <w:sz w:val="24"/>
          <w:szCs w:val="24"/>
        </w:rPr>
        <w:t>επιστημονική κοινότητα</w:t>
      </w:r>
      <w:r w:rsidRPr="00696272">
        <w:rPr>
          <w:sz w:val="24"/>
          <w:szCs w:val="24"/>
        </w:rPr>
        <w:t>,</w:t>
      </w:r>
      <w:r w:rsidRPr="005A464E">
        <w:rPr>
          <w:sz w:val="24"/>
          <w:szCs w:val="24"/>
        </w:rPr>
        <w:t xml:space="preserve"> ωστόσο, η βαθιά κατανόηση του όρου δεν έχει επιτευχθεί πλήρως. </w:t>
      </w:r>
      <w:r w:rsidR="00CE1859">
        <w:rPr>
          <w:sz w:val="24"/>
          <w:szCs w:val="24"/>
        </w:rPr>
        <w:t>Είναι ενδιαφέρον ότι</w:t>
      </w:r>
      <w:r w:rsidR="00BE2DA1">
        <w:rPr>
          <w:sz w:val="24"/>
          <w:szCs w:val="24"/>
        </w:rPr>
        <w:t xml:space="preserve"> ο όρος «</w:t>
      </w:r>
      <w:r w:rsidRPr="005A464E">
        <w:rPr>
          <w:sz w:val="24"/>
          <w:szCs w:val="24"/>
        </w:rPr>
        <w:t>συμμόρφωση» είναι μια πολυδιάστατη έννοια</w:t>
      </w:r>
      <w:r w:rsidR="00E06E3C" w:rsidRPr="003168D4">
        <w:rPr>
          <w:sz w:val="24"/>
          <w:szCs w:val="24"/>
        </w:rPr>
        <w:t>,</w:t>
      </w:r>
      <w:r w:rsidRPr="005A464E">
        <w:rPr>
          <w:sz w:val="24"/>
          <w:szCs w:val="24"/>
        </w:rPr>
        <w:t xml:space="preserve"> η οποία είναι διαφορετική μεταξ</w:t>
      </w:r>
      <w:r w:rsidR="00CE1859">
        <w:rPr>
          <w:sz w:val="24"/>
          <w:szCs w:val="24"/>
        </w:rPr>
        <w:t>ύ του επαγγελματία υγείας</w:t>
      </w:r>
      <w:r w:rsidR="00991841" w:rsidRPr="005A464E">
        <w:rPr>
          <w:sz w:val="24"/>
          <w:szCs w:val="24"/>
        </w:rPr>
        <w:t xml:space="preserve"> και </w:t>
      </w:r>
      <w:r w:rsidR="00B0560D">
        <w:rPr>
          <w:sz w:val="24"/>
          <w:szCs w:val="24"/>
        </w:rPr>
        <w:t>του ασθενούς</w:t>
      </w:r>
      <w:r w:rsidR="00991841" w:rsidRPr="005A464E">
        <w:rPr>
          <w:sz w:val="24"/>
          <w:szCs w:val="24"/>
        </w:rPr>
        <w:t xml:space="preserve"> (Kyngäs</w:t>
      </w:r>
      <w:r w:rsidR="00607E7C" w:rsidRPr="00607E7C">
        <w:rPr>
          <w:sz w:val="24"/>
          <w:szCs w:val="24"/>
        </w:rPr>
        <w:t xml:space="preserve"> </w:t>
      </w:r>
      <w:r w:rsidR="00607E7C">
        <w:rPr>
          <w:sz w:val="24"/>
          <w:szCs w:val="24"/>
          <w:lang w:val="en-US"/>
        </w:rPr>
        <w:t>et</w:t>
      </w:r>
      <w:r w:rsidR="00607E7C" w:rsidRPr="00607E7C">
        <w:rPr>
          <w:sz w:val="24"/>
          <w:szCs w:val="24"/>
        </w:rPr>
        <w:t xml:space="preserve"> </w:t>
      </w:r>
      <w:r w:rsidR="00607E7C">
        <w:rPr>
          <w:sz w:val="24"/>
          <w:szCs w:val="24"/>
          <w:lang w:val="en-US"/>
        </w:rPr>
        <w:t>al</w:t>
      </w:r>
      <w:r w:rsidR="00607E7C" w:rsidRPr="00607E7C">
        <w:rPr>
          <w:sz w:val="24"/>
          <w:szCs w:val="24"/>
        </w:rPr>
        <w:t>.,</w:t>
      </w:r>
      <w:r w:rsidR="00991841" w:rsidRPr="005A464E">
        <w:rPr>
          <w:sz w:val="24"/>
          <w:szCs w:val="24"/>
        </w:rPr>
        <w:t xml:space="preserve"> 2000).</w:t>
      </w:r>
      <w:r w:rsidRPr="005A464E">
        <w:rPr>
          <w:sz w:val="24"/>
          <w:szCs w:val="24"/>
        </w:rPr>
        <w:t xml:space="preserve"> Για παράδειγμα, πολλοί επιστήμονες υποστηρίζουν ότι «συμμόρφωση» σημαίνει υπακοή στην εξουσία των γιατρών. Ωστόσο, κατά τη διάρκεια των τελευταίων δεκαετιών παρατηρήθηκε μια μετατόπιση από τον πατερναλισμό</w:t>
      </w:r>
      <w:r w:rsidR="0078495A">
        <w:rPr>
          <w:sz w:val="24"/>
          <w:szCs w:val="24"/>
        </w:rPr>
        <w:t xml:space="preserve"> </w:t>
      </w:r>
      <w:r w:rsidRPr="005A464E">
        <w:rPr>
          <w:sz w:val="24"/>
          <w:szCs w:val="24"/>
        </w:rPr>
        <w:t>στην αυτονομία των ασθενών και τη συμμετοχή τους</w:t>
      </w:r>
      <w:r w:rsidR="0078495A">
        <w:rPr>
          <w:sz w:val="24"/>
          <w:szCs w:val="24"/>
        </w:rPr>
        <w:t xml:space="preserve"> </w:t>
      </w:r>
      <w:r w:rsidRPr="005A464E">
        <w:rPr>
          <w:sz w:val="24"/>
          <w:szCs w:val="24"/>
        </w:rPr>
        <w:t>σε αποφάσεις σχετικά με θ</w:t>
      </w:r>
      <w:r w:rsidR="00991841" w:rsidRPr="005A464E">
        <w:rPr>
          <w:sz w:val="24"/>
          <w:szCs w:val="24"/>
        </w:rPr>
        <w:t>εραπευτική αγωγή τους</w:t>
      </w:r>
      <w:r w:rsidRPr="005A464E">
        <w:rPr>
          <w:sz w:val="24"/>
          <w:szCs w:val="24"/>
        </w:rPr>
        <w:t>. Έτσι</w:t>
      </w:r>
      <w:r w:rsidR="00292DC3" w:rsidRPr="005A464E">
        <w:rPr>
          <w:sz w:val="24"/>
          <w:szCs w:val="24"/>
        </w:rPr>
        <w:t>,</w:t>
      </w:r>
      <w:r w:rsidR="0078495A">
        <w:rPr>
          <w:sz w:val="24"/>
          <w:szCs w:val="24"/>
        </w:rPr>
        <w:t xml:space="preserve"> </w:t>
      </w:r>
      <w:r w:rsidRPr="005A464E">
        <w:rPr>
          <w:sz w:val="24"/>
          <w:szCs w:val="24"/>
        </w:rPr>
        <w:t>ο όρος «συμμόρφωση» αναφέρεται και στην «τήρηση της θερα</w:t>
      </w:r>
      <w:r w:rsidR="00AB0363">
        <w:rPr>
          <w:sz w:val="24"/>
          <w:szCs w:val="24"/>
        </w:rPr>
        <w:t>πείας»</w:t>
      </w:r>
      <w:r w:rsidR="00BE2DA1">
        <w:rPr>
          <w:sz w:val="24"/>
          <w:szCs w:val="24"/>
        </w:rPr>
        <w:t>,</w:t>
      </w:r>
      <w:r w:rsidR="00AB0363">
        <w:rPr>
          <w:sz w:val="24"/>
          <w:szCs w:val="24"/>
        </w:rPr>
        <w:t xml:space="preserve"> τη «θεραπευτική συμμαχία</w:t>
      </w:r>
      <w:r w:rsidRPr="005A464E">
        <w:rPr>
          <w:sz w:val="24"/>
          <w:szCs w:val="24"/>
        </w:rPr>
        <w:t>», ή τη «συμφωνία»</w:t>
      </w:r>
      <w:r w:rsidR="008D6216">
        <w:rPr>
          <w:sz w:val="24"/>
          <w:szCs w:val="24"/>
        </w:rPr>
        <w:t xml:space="preserve"> (Kyngäs</w:t>
      </w:r>
      <w:r w:rsidR="00607E7C" w:rsidRPr="00607E7C">
        <w:rPr>
          <w:sz w:val="24"/>
          <w:szCs w:val="24"/>
        </w:rPr>
        <w:t xml:space="preserve"> </w:t>
      </w:r>
      <w:r w:rsidR="00607E7C">
        <w:rPr>
          <w:sz w:val="24"/>
          <w:szCs w:val="24"/>
          <w:lang w:val="en-US"/>
        </w:rPr>
        <w:t>et</w:t>
      </w:r>
      <w:r w:rsidR="00607E7C" w:rsidRPr="00607E7C">
        <w:rPr>
          <w:sz w:val="24"/>
          <w:szCs w:val="24"/>
        </w:rPr>
        <w:t xml:space="preserve"> </w:t>
      </w:r>
      <w:r w:rsidR="00607E7C">
        <w:rPr>
          <w:sz w:val="24"/>
          <w:szCs w:val="24"/>
          <w:lang w:val="en-US"/>
        </w:rPr>
        <w:t>al</w:t>
      </w:r>
      <w:r w:rsidR="00607E7C" w:rsidRPr="00607E7C">
        <w:rPr>
          <w:sz w:val="24"/>
          <w:szCs w:val="24"/>
        </w:rPr>
        <w:t xml:space="preserve">., </w:t>
      </w:r>
      <w:r w:rsidR="00991841" w:rsidRPr="005A464E">
        <w:rPr>
          <w:sz w:val="24"/>
          <w:szCs w:val="24"/>
        </w:rPr>
        <w:t>2000; Bissonnette</w:t>
      </w:r>
      <w:r w:rsidR="008D6216" w:rsidRPr="008D6216">
        <w:rPr>
          <w:sz w:val="24"/>
          <w:szCs w:val="24"/>
        </w:rPr>
        <w:t>,</w:t>
      </w:r>
      <w:r w:rsidR="00991841" w:rsidRPr="005A464E">
        <w:rPr>
          <w:sz w:val="24"/>
          <w:szCs w:val="24"/>
        </w:rPr>
        <w:t xml:space="preserve"> 2008).</w:t>
      </w:r>
      <w:r w:rsidRPr="005A464E">
        <w:rPr>
          <w:sz w:val="24"/>
          <w:szCs w:val="24"/>
        </w:rPr>
        <w:t xml:space="preserve"> Αυτοί οι ορισμ</w:t>
      </w:r>
      <w:r w:rsidR="00CE1859">
        <w:rPr>
          <w:sz w:val="24"/>
          <w:szCs w:val="24"/>
        </w:rPr>
        <w:t xml:space="preserve">οί δίνουν έμφαση στην ευθύνη </w:t>
      </w:r>
      <w:r w:rsidR="00B0560D">
        <w:rPr>
          <w:sz w:val="24"/>
          <w:szCs w:val="24"/>
        </w:rPr>
        <w:t>του ασθενούς</w:t>
      </w:r>
      <w:r w:rsidRPr="005A464E">
        <w:rPr>
          <w:sz w:val="24"/>
          <w:szCs w:val="24"/>
        </w:rPr>
        <w:t xml:space="preserve"> στη διαχείριση της νόσου σε </w:t>
      </w:r>
      <w:r w:rsidR="00CE1859">
        <w:rPr>
          <w:sz w:val="24"/>
          <w:szCs w:val="24"/>
        </w:rPr>
        <w:t>συνεργασία με τον επαγγελματία</w:t>
      </w:r>
      <w:r w:rsidRPr="005A464E">
        <w:rPr>
          <w:sz w:val="24"/>
          <w:szCs w:val="24"/>
        </w:rPr>
        <w:t xml:space="preserve"> υγείας</w:t>
      </w:r>
      <w:r w:rsidR="00CE1859">
        <w:rPr>
          <w:sz w:val="24"/>
          <w:szCs w:val="24"/>
        </w:rPr>
        <w:t xml:space="preserve"> και την ενεργό συμμετοχή του</w:t>
      </w:r>
      <w:r w:rsidRPr="005A464E">
        <w:rPr>
          <w:sz w:val="24"/>
          <w:szCs w:val="24"/>
        </w:rPr>
        <w:t xml:space="preserve"> σ</w:t>
      </w:r>
      <w:r w:rsidR="003641A7" w:rsidRPr="005A464E">
        <w:rPr>
          <w:sz w:val="24"/>
          <w:szCs w:val="24"/>
        </w:rPr>
        <w:t xml:space="preserve">το θεραπευτικό σχήμα </w:t>
      </w:r>
      <w:r w:rsidR="008D6216">
        <w:rPr>
          <w:sz w:val="24"/>
          <w:szCs w:val="24"/>
        </w:rPr>
        <w:t>(Kyngäs</w:t>
      </w:r>
      <w:r w:rsidR="00607E7C" w:rsidRPr="00607E7C">
        <w:rPr>
          <w:sz w:val="24"/>
          <w:szCs w:val="24"/>
        </w:rPr>
        <w:t xml:space="preserve"> </w:t>
      </w:r>
      <w:r w:rsidR="00607E7C">
        <w:rPr>
          <w:sz w:val="24"/>
          <w:szCs w:val="24"/>
          <w:lang w:val="en-US"/>
        </w:rPr>
        <w:t>et</w:t>
      </w:r>
      <w:r w:rsidR="00607E7C" w:rsidRPr="00607E7C">
        <w:rPr>
          <w:sz w:val="24"/>
          <w:szCs w:val="24"/>
        </w:rPr>
        <w:t xml:space="preserve"> </w:t>
      </w:r>
      <w:r w:rsidR="00607E7C">
        <w:rPr>
          <w:sz w:val="24"/>
          <w:szCs w:val="24"/>
          <w:lang w:val="en-US"/>
        </w:rPr>
        <w:t>al</w:t>
      </w:r>
      <w:r w:rsidR="00607E7C" w:rsidRPr="00607E7C">
        <w:rPr>
          <w:sz w:val="24"/>
          <w:szCs w:val="24"/>
        </w:rPr>
        <w:t xml:space="preserve">., </w:t>
      </w:r>
      <w:r w:rsidR="00991841" w:rsidRPr="005A464E">
        <w:rPr>
          <w:sz w:val="24"/>
          <w:szCs w:val="24"/>
        </w:rPr>
        <w:t>2000; Bissonnette</w:t>
      </w:r>
      <w:r w:rsidR="008D6216" w:rsidRPr="008D6216">
        <w:rPr>
          <w:sz w:val="24"/>
          <w:szCs w:val="24"/>
        </w:rPr>
        <w:t>,</w:t>
      </w:r>
      <w:r w:rsidR="00991841" w:rsidRPr="005A464E">
        <w:rPr>
          <w:sz w:val="24"/>
          <w:szCs w:val="24"/>
        </w:rPr>
        <w:t xml:space="preserve"> 2008).</w:t>
      </w:r>
    </w:p>
    <w:p w:rsidR="009B082F" w:rsidRPr="005A464E" w:rsidRDefault="009B082F" w:rsidP="005A464E">
      <w:pPr>
        <w:spacing w:line="360" w:lineRule="auto"/>
        <w:jc w:val="both"/>
        <w:rPr>
          <w:sz w:val="24"/>
          <w:szCs w:val="24"/>
        </w:rPr>
      </w:pPr>
      <w:r w:rsidRPr="005A464E">
        <w:rPr>
          <w:sz w:val="24"/>
          <w:szCs w:val="24"/>
        </w:rPr>
        <w:t>Οι όροι «συμμό</w:t>
      </w:r>
      <w:r w:rsidR="00F15760" w:rsidRPr="005A464E">
        <w:rPr>
          <w:sz w:val="24"/>
          <w:szCs w:val="24"/>
        </w:rPr>
        <w:t>ρφωση» (compliance) και «προσκόλλη</w:t>
      </w:r>
      <w:r w:rsidRPr="005A464E">
        <w:rPr>
          <w:sz w:val="24"/>
          <w:szCs w:val="24"/>
        </w:rPr>
        <w:t>ση» (adherence) νοούνται ως συνώνυμοι από τους νοσηλευτές. Οι περισσότεροι νοσηλευτές χρησιμο</w:t>
      </w:r>
      <w:r w:rsidR="00991841" w:rsidRPr="005A464E">
        <w:rPr>
          <w:sz w:val="24"/>
          <w:szCs w:val="24"/>
        </w:rPr>
        <w:t>π</w:t>
      </w:r>
      <w:r w:rsidR="008D6216">
        <w:rPr>
          <w:sz w:val="24"/>
          <w:szCs w:val="24"/>
        </w:rPr>
        <w:t xml:space="preserve">οιούν τους ορισμούς των </w:t>
      </w:r>
      <w:r w:rsidR="00991841" w:rsidRPr="00764A28">
        <w:rPr>
          <w:sz w:val="24"/>
          <w:szCs w:val="24"/>
        </w:rPr>
        <w:t>Haynes</w:t>
      </w:r>
      <w:r w:rsidR="008D6216" w:rsidRPr="00764A28">
        <w:rPr>
          <w:sz w:val="24"/>
          <w:szCs w:val="24"/>
        </w:rPr>
        <w:t>,</w:t>
      </w:r>
      <w:r w:rsidR="00991841" w:rsidRPr="00764A28">
        <w:rPr>
          <w:sz w:val="24"/>
          <w:szCs w:val="24"/>
        </w:rPr>
        <w:t xml:space="preserve"> </w:t>
      </w:r>
      <w:r w:rsidR="008D6216" w:rsidRPr="00764A28">
        <w:rPr>
          <w:rFonts w:cstheme="minorHAnsi"/>
          <w:sz w:val="24"/>
          <w:szCs w:val="24"/>
          <w:lang w:val="en-US"/>
        </w:rPr>
        <w:t>Taylor</w:t>
      </w:r>
      <w:r w:rsidR="008D6216" w:rsidRPr="00764A28">
        <w:rPr>
          <w:rFonts w:cstheme="minorHAnsi"/>
          <w:sz w:val="24"/>
          <w:szCs w:val="24"/>
        </w:rPr>
        <w:t xml:space="preserve"> </w:t>
      </w:r>
      <w:r w:rsidR="00516D72">
        <w:rPr>
          <w:rFonts w:cstheme="minorHAnsi"/>
          <w:sz w:val="24"/>
          <w:szCs w:val="24"/>
        </w:rPr>
        <w:t xml:space="preserve">&amp; </w:t>
      </w:r>
      <w:r w:rsidR="008D6216" w:rsidRPr="00764A28">
        <w:rPr>
          <w:rFonts w:cstheme="minorHAnsi"/>
          <w:sz w:val="24"/>
          <w:szCs w:val="24"/>
          <w:lang w:val="en-US"/>
        </w:rPr>
        <w:t>Sackett</w:t>
      </w:r>
      <w:r w:rsidR="008D6216" w:rsidRPr="00764A28">
        <w:rPr>
          <w:sz w:val="24"/>
          <w:szCs w:val="24"/>
        </w:rPr>
        <w:t xml:space="preserve"> (</w:t>
      </w:r>
      <w:r w:rsidR="00991841" w:rsidRPr="00764A28">
        <w:rPr>
          <w:sz w:val="24"/>
          <w:szCs w:val="24"/>
        </w:rPr>
        <w:t>1979</w:t>
      </w:r>
      <w:r w:rsidR="00991841" w:rsidRPr="005A464E">
        <w:rPr>
          <w:sz w:val="24"/>
          <w:szCs w:val="24"/>
        </w:rPr>
        <w:t xml:space="preserve">) </w:t>
      </w:r>
      <w:r w:rsidRPr="005A464E">
        <w:rPr>
          <w:sz w:val="24"/>
          <w:szCs w:val="24"/>
        </w:rPr>
        <w:t xml:space="preserve">και του Παγκόσμιου Οργανισμού Υγείας (ΠΟΥ) </w:t>
      </w:r>
      <w:r w:rsidR="00991841" w:rsidRPr="005A464E">
        <w:rPr>
          <w:sz w:val="24"/>
          <w:szCs w:val="24"/>
        </w:rPr>
        <w:t>(Sabaté</w:t>
      </w:r>
      <w:r w:rsidR="00764A28">
        <w:rPr>
          <w:sz w:val="24"/>
          <w:szCs w:val="24"/>
        </w:rPr>
        <w:t>,</w:t>
      </w:r>
      <w:r w:rsidR="00991841" w:rsidRPr="005A464E">
        <w:rPr>
          <w:sz w:val="24"/>
          <w:szCs w:val="24"/>
        </w:rPr>
        <w:t xml:space="preserve"> 2003)</w:t>
      </w:r>
      <w:r w:rsidRPr="005A464E">
        <w:rPr>
          <w:sz w:val="24"/>
          <w:szCs w:val="24"/>
        </w:rPr>
        <w:t xml:space="preserve"> για να περιγράψουν τους όρους «συμμόρφωση </w:t>
      </w:r>
      <w:r w:rsidR="00B0560D">
        <w:rPr>
          <w:sz w:val="24"/>
          <w:szCs w:val="24"/>
        </w:rPr>
        <w:t>του ασθενούς</w:t>
      </w:r>
      <w:r w:rsidRPr="005A464E">
        <w:rPr>
          <w:sz w:val="24"/>
          <w:szCs w:val="24"/>
        </w:rPr>
        <w:t>» και «προσήλωση</w:t>
      </w:r>
      <w:r w:rsidR="00CE1859">
        <w:rPr>
          <w:sz w:val="24"/>
          <w:szCs w:val="24"/>
        </w:rPr>
        <w:t xml:space="preserve"> </w:t>
      </w:r>
      <w:r w:rsidR="00B0560D">
        <w:rPr>
          <w:sz w:val="24"/>
          <w:szCs w:val="24"/>
        </w:rPr>
        <w:t>του ασθενούς</w:t>
      </w:r>
      <w:r w:rsidRPr="005A464E">
        <w:rPr>
          <w:sz w:val="24"/>
          <w:szCs w:val="24"/>
        </w:rPr>
        <w:t>», αντίστοιχα.</w:t>
      </w:r>
    </w:p>
    <w:p w:rsidR="009B082F" w:rsidRPr="005A464E" w:rsidRDefault="009B082F" w:rsidP="005A464E">
      <w:pPr>
        <w:spacing w:line="360" w:lineRule="auto"/>
        <w:jc w:val="both"/>
        <w:rPr>
          <w:sz w:val="24"/>
          <w:szCs w:val="24"/>
        </w:rPr>
      </w:pPr>
      <w:r w:rsidRPr="005A464E">
        <w:rPr>
          <w:sz w:val="24"/>
          <w:szCs w:val="24"/>
        </w:rPr>
        <w:t>Η αναζήτηση της βιβλιογραφίας ανέδειξε πλήθος άρθρων από τα πεδία της Νοσηλευτικής Επιστήμης, της Ψυχικής</w:t>
      </w:r>
      <w:r w:rsidR="0078495A">
        <w:rPr>
          <w:sz w:val="24"/>
          <w:szCs w:val="24"/>
        </w:rPr>
        <w:t xml:space="preserve"> </w:t>
      </w:r>
      <w:r w:rsidRPr="005A464E">
        <w:rPr>
          <w:sz w:val="24"/>
          <w:szCs w:val="24"/>
        </w:rPr>
        <w:t xml:space="preserve">Υγείας, της Ιατρικής και της Φαρμακευτικής. Η ανασκόπηση της βιβλιογραφίας αναδεικνύει τη σημασία της συμμόρφωσης και τα οφέλη αυτής. Η </w:t>
      </w:r>
      <w:r w:rsidR="003168D4">
        <w:rPr>
          <w:sz w:val="24"/>
          <w:szCs w:val="24"/>
        </w:rPr>
        <w:t>αδυναμία</w:t>
      </w:r>
      <w:r w:rsidRPr="005A464E">
        <w:rPr>
          <w:sz w:val="24"/>
          <w:szCs w:val="24"/>
        </w:rPr>
        <w:t xml:space="preserve"> </w:t>
      </w:r>
      <w:r w:rsidR="003168D4">
        <w:rPr>
          <w:sz w:val="24"/>
          <w:szCs w:val="24"/>
        </w:rPr>
        <w:t>συμμόρφωσης στη θεραπευτική αγωγή</w:t>
      </w:r>
      <w:r w:rsidRPr="005A464E">
        <w:rPr>
          <w:sz w:val="24"/>
          <w:szCs w:val="24"/>
        </w:rPr>
        <w:t xml:space="preserve"> συνδέεται στενά </w:t>
      </w:r>
      <w:r w:rsidR="003168D4" w:rsidRPr="003E57F9">
        <w:rPr>
          <w:sz w:val="24"/>
          <w:szCs w:val="24"/>
        </w:rPr>
        <w:t>με επαναλαμβανόμενες νοσηλείες</w:t>
      </w:r>
      <w:r w:rsidRPr="003E57F9">
        <w:rPr>
          <w:sz w:val="24"/>
          <w:szCs w:val="24"/>
        </w:rPr>
        <w:t>,</w:t>
      </w:r>
      <w:r w:rsidRPr="005A464E">
        <w:rPr>
          <w:sz w:val="24"/>
          <w:szCs w:val="24"/>
        </w:rPr>
        <w:t xml:space="preserve"> νοσηρότητα, θνησιμότητα, επιδείνωση της γενικής </w:t>
      </w:r>
      <w:r w:rsidR="003168D4">
        <w:rPr>
          <w:sz w:val="24"/>
          <w:szCs w:val="24"/>
        </w:rPr>
        <w:t>κατάστασης</w:t>
      </w:r>
      <w:r w:rsidRPr="005A464E">
        <w:rPr>
          <w:sz w:val="24"/>
          <w:szCs w:val="24"/>
        </w:rPr>
        <w:t xml:space="preserve"> των ασθενών και αύξηση των δαπανών. Για </w:t>
      </w:r>
      <w:r w:rsidR="00292DC3" w:rsidRPr="005A464E">
        <w:rPr>
          <w:sz w:val="24"/>
          <w:szCs w:val="24"/>
        </w:rPr>
        <w:t xml:space="preserve">τη </w:t>
      </w:r>
      <w:r w:rsidRPr="005A464E">
        <w:rPr>
          <w:sz w:val="24"/>
          <w:szCs w:val="24"/>
        </w:rPr>
        <w:t>διαχείριση των χρόνιων ασθενειών</w:t>
      </w:r>
      <w:r w:rsidR="00AB0363">
        <w:rPr>
          <w:sz w:val="24"/>
          <w:szCs w:val="24"/>
        </w:rPr>
        <w:t>,</w:t>
      </w:r>
      <w:r w:rsidRPr="005A464E">
        <w:rPr>
          <w:sz w:val="24"/>
          <w:szCs w:val="24"/>
        </w:rPr>
        <w:t xml:space="preserve"> όπως ο σακχαρώδης διαβήτης, η καρδιακή</w:t>
      </w:r>
      <w:r w:rsidR="003168D4">
        <w:rPr>
          <w:sz w:val="24"/>
          <w:szCs w:val="24"/>
        </w:rPr>
        <w:t xml:space="preserve"> ανεπάρκεια</w:t>
      </w:r>
      <w:r w:rsidRPr="005A464E">
        <w:rPr>
          <w:sz w:val="24"/>
          <w:szCs w:val="24"/>
        </w:rPr>
        <w:t xml:space="preserve"> ή </w:t>
      </w:r>
      <w:r w:rsidR="003168D4">
        <w:rPr>
          <w:sz w:val="24"/>
          <w:szCs w:val="24"/>
        </w:rPr>
        <w:t xml:space="preserve">η </w:t>
      </w:r>
      <w:r w:rsidRPr="005A464E">
        <w:rPr>
          <w:sz w:val="24"/>
          <w:szCs w:val="24"/>
        </w:rPr>
        <w:t xml:space="preserve">νεφρική </w:t>
      </w:r>
      <w:r w:rsidR="00CE1859">
        <w:rPr>
          <w:sz w:val="24"/>
          <w:szCs w:val="24"/>
        </w:rPr>
        <w:t>νόσος</w:t>
      </w:r>
      <w:r w:rsidR="003168D4">
        <w:rPr>
          <w:sz w:val="24"/>
          <w:szCs w:val="24"/>
        </w:rPr>
        <w:t>,</w:t>
      </w:r>
      <w:r w:rsidRPr="005A464E">
        <w:rPr>
          <w:sz w:val="24"/>
          <w:szCs w:val="24"/>
        </w:rPr>
        <w:t xml:space="preserve"> η συμμόρφωση μπορεί να μειώσει τη </w:t>
      </w:r>
      <w:r w:rsidR="003168D4">
        <w:rPr>
          <w:sz w:val="24"/>
          <w:szCs w:val="24"/>
        </w:rPr>
        <w:t>θνησιμότητα</w:t>
      </w:r>
      <w:r w:rsidR="00991841" w:rsidRPr="005A464E">
        <w:rPr>
          <w:sz w:val="24"/>
          <w:szCs w:val="24"/>
        </w:rPr>
        <w:t xml:space="preserve"> (Evangelista &amp; Dracup</w:t>
      </w:r>
      <w:r w:rsidR="00AB454B">
        <w:rPr>
          <w:sz w:val="24"/>
          <w:szCs w:val="24"/>
        </w:rPr>
        <w:t>,</w:t>
      </w:r>
      <w:r w:rsidR="00991841" w:rsidRPr="005A464E">
        <w:rPr>
          <w:sz w:val="24"/>
          <w:szCs w:val="24"/>
        </w:rPr>
        <w:t xml:space="preserve"> 2000). </w:t>
      </w:r>
      <w:r w:rsidRPr="005A464E">
        <w:rPr>
          <w:sz w:val="24"/>
          <w:szCs w:val="24"/>
        </w:rPr>
        <w:t>Η αποτυχία στη συμμόρφωση έχει άμεσες και έμμεσες επιπτώσεις</w:t>
      </w:r>
      <w:r w:rsidR="00AB0363">
        <w:rPr>
          <w:sz w:val="24"/>
          <w:szCs w:val="24"/>
        </w:rPr>
        <w:t>,</w:t>
      </w:r>
      <w:r w:rsidRPr="005A464E">
        <w:rPr>
          <w:sz w:val="24"/>
          <w:szCs w:val="24"/>
        </w:rPr>
        <w:t xml:space="preserve"> τόσο στο άτομο </w:t>
      </w:r>
      <w:r w:rsidR="00CE1859">
        <w:rPr>
          <w:sz w:val="24"/>
          <w:szCs w:val="24"/>
        </w:rPr>
        <w:t xml:space="preserve">όσο </w:t>
      </w:r>
      <w:r w:rsidRPr="005A464E">
        <w:rPr>
          <w:sz w:val="24"/>
          <w:szCs w:val="24"/>
        </w:rPr>
        <w:t>και την κοινωνία. Συγκεκριμένα, η μη συμμόρφωση, αυξάνει τη θνησιμότητα ή τη χρήση των υπηρεσιών υγείας, οδηγώντας έτσι σε μείωση της παραγωγικότητας, απώλεια ωρών εργασίας και αύξησ</w:t>
      </w:r>
      <w:r w:rsidR="00991841" w:rsidRPr="005A464E">
        <w:rPr>
          <w:sz w:val="24"/>
          <w:szCs w:val="24"/>
        </w:rPr>
        <w:t>η του κόστους υπηρεσιών υγείας (Feldman</w:t>
      </w:r>
      <w:r w:rsidR="00764A28">
        <w:rPr>
          <w:sz w:val="24"/>
          <w:szCs w:val="24"/>
        </w:rPr>
        <w:t>,</w:t>
      </w:r>
      <w:r w:rsidR="00991841" w:rsidRPr="005A464E">
        <w:rPr>
          <w:sz w:val="24"/>
          <w:szCs w:val="24"/>
        </w:rPr>
        <w:t xml:space="preserve"> 1982).</w:t>
      </w:r>
    </w:p>
    <w:p w:rsidR="009B082F" w:rsidRPr="005A464E" w:rsidRDefault="009B082F" w:rsidP="005A464E">
      <w:pPr>
        <w:spacing w:line="360" w:lineRule="auto"/>
        <w:rPr>
          <w:b/>
          <w:sz w:val="24"/>
          <w:szCs w:val="24"/>
        </w:rPr>
      </w:pPr>
      <w:r w:rsidRPr="005A464E">
        <w:rPr>
          <w:b/>
          <w:sz w:val="24"/>
          <w:szCs w:val="24"/>
        </w:rPr>
        <w:t xml:space="preserve">Εξέλιξη της </w:t>
      </w:r>
      <w:r w:rsidRPr="00995094">
        <w:rPr>
          <w:b/>
          <w:sz w:val="24"/>
          <w:szCs w:val="24"/>
        </w:rPr>
        <w:t xml:space="preserve">ορολογίας </w:t>
      </w:r>
      <w:r w:rsidR="00E94504" w:rsidRPr="00995094">
        <w:rPr>
          <w:b/>
          <w:sz w:val="24"/>
          <w:szCs w:val="24"/>
        </w:rPr>
        <w:t xml:space="preserve">της </w:t>
      </w:r>
      <w:r w:rsidRPr="00995094">
        <w:rPr>
          <w:b/>
          <w:sz w:val="24"/>
          <w:szCs w:val="24"/>
        </w:rPr>
        <w:t>συμμόρφωσης</w:t>
      </w:r>
    </w:p>
    <w:p w:rsidR="009B082F" w:rsidRPr="005A464E" w:rsidRDefault="009B082F" w:rsidP="005A464E">
      <w:pPr>
        <w:spacing w:line="360" w:lineRule="auto"/>
        <w:jc w:val="both"/>
        <w:rPr>
          <w:sz w:val="24"/>
          <w:szCs w:val="24"/>
        </w:rPr>
      </w:pPr>
      <w:r w:rsidRPr="005A464E">
        <w:rPr>
          <w:sz w:val="24"/>
          <w:szCs w:val="24"/>
        </w:rPr>
        <w:t>Η προσπάθεια να δοθεί ένας ορισμό</w:t>
      </w:r>
      <w:r w:rsidR="00292DC3" w:rsidRPr="005A464E">
        <w:rPr>
          <w:sz w:val="24"/>
          <w:szCs w:val="24"/>
        </w:rPr>
        <w:t>ς</w:t>
      </w:r>
      <w:r w:rsidRPr="005A464E">
        <w:rPr>
          <w:sz w:val="24"/>
          <w:szCs w:val="24"/>
        </w:rPr>
        <w:t xml:space="preserve"> του όρου </w:t>
      </w:r>
      <w:r w:rsidR="00292DC3" w:rsidRPr="005A464E">
        <w:rPr>
          <w:sz w:val="24"/>
          <w:szCs w:val="24"/>
        </w:rPr>
        <w:t xml:space="preserve">της </w:t>
      </w:r>
      <w:r w:rsidRPr="005A464E">
        <w:rPr>
          <w:sz w:val="24"/>
          <w:szCs w:val="24"/>
        </w:rPr>
        <w:t>συμμόρφωσης έχει ξεκινήσ</w:t>
      </w:r>
      <w:r w:rsidR="00292DC3" w:rsidRPr="005A464E">
        <w:rPr>
          <w:sz w:val="24"/>
          <w:szCs w:val="24"/>
        </w:rPr>
        <w:t xml:space="preserve">ει από τους </w:t>
      </w:r>
      <w:r w:rsidR="00BD4990" w:rsidRPr="005A464E">
        <w:rPr>
          <w:sz w:val="24"/>
          <w:szCs w:val="24"/>
        </w:rPr>
        <w:t>ιατρούς Sackett &amp;</w:t>
      </w:r>
      <w:r w:rsidRPr="005A464E">
        <w:rPr>
          <w:sz w:val="24"/>
          <w:szCs w:val="24"/>
        </w:rPr>
        <w:t xml:space="preserve"> Haynes στα τέλη της δεκαετίας του 1970. Οι ερευνητές ανασκόπησαν τη σχετική βιβλιογραφία και σε ένα συμπόσιο </w:t>
      </w:r>
      <w:r w:rsidRPr="003E57F9">
        <w:rPr>
          <w:sz w:val="24"/>
          <w:szCs w:val="24"/>
        </w:rPr>
        <w:t>που έλαβε χώρα</w:t>
      </w:r>
      <w:r w:rsidR="00044CC4" w:rsidRPr="003E57F9">
        <w:rPr>
          <w:sz w:val="24"/>
          <w:szCs w:val="24"/>
        </w:rPr>
        <w:t xml:space="preserve"> στον Καναδά το 1974</w:t>
      </w:r>
      <w:r w:rsidRPr="003E57F9">
        <w:rPr>
          <w:sz w:val="24"/>
          <w:szCs w:val="24"/>
        </w:rPr>
        <w:t xml:space="preserve"> πολλές διαφωνίες εκφράστηκαν σ</w:t>
      </w:r>
      <w:r w:rsidR="00991841" w:rsidRPr="003E57F9">
        <w:rPr>
          <w:sz w:val="24"/>
          <w:szCs w:val="24"/>
        </w:rPr>
        <w:t>χετικά με τον ορισμό του όρου (Sackett &amp; Haynes</w:t>
      </w:r>
      <w:r w:rsidR="00AB454B" w:rsidRPr="003E57F9">
        <w:rPr>
          <w:sz w:val="24"/>
          <w:szCs w:val="24"/>
        </w:rPr>
        <w:t>,</w:t>
      </w:r>
      <w:r w:rsidR="00991841" w:rsidRPr="003E57F9">
        <w:rPr>
          <w:sz w:val="24"/>
          <w:szCs w:val="24"/>
        </w:rPr>
        <w:t xml:space="preserve"> 1976).</w:t>
      </w:r>
    </w:p>
    <w:p w:rsidR="009B082F" w:rsidRPr="003E57F9" w:rsidRDefault="00BD4990" w:rsidP="005A464E">
      <w:pPr>
        <w:spacing w:line="360" w:lineRule="auto"/>
        <w:jc w:val="both"/>
        <w:rPr>
          <w:sz w:val="24"/>
          <w:szCs w:val="24"/>
        </w:rPr>
      </w:pPr>
      <w:r w:rsidRPr="005A464E">
        <w:rPr>
          <w:sz w:val="24"/>
          <w:szCs w:val="24"/>
        </w:rPr>
        <w:t xml:space="preserve">Αν και οι ερευνητές αυτοί </w:t>
      </w:r>
      <w:r w:rsidR="009B082F" w:rsidRPr="005A464E">
        <w:rPr>
          <w:sz w:val="24"/>
          <w:szCs w:val="24"/>
        </w:rPr>
        <w:t>πρότειναν τους</w:t>
      </w:r>
      <w:r w:rsidR="0078495A">
        <w:rPr>
          <w:sz w:val="24"/>
          <w:szCs w:val="24"/>
        </w:rPr>
        <w:t xml:space="preserve"> </w:t>
      </w:r>
      <w:r w:rsidR="009B082F" w:rsidRPr="005A464E">
        <w:rPr>
          <w:sz w:val="24"/>
          <w:szCs w:val="24"/>
        </w:rPr>
        <w:t>όρους «προσήλωση» και «θεραπευτική συμμαχία», ωστόσο αυτοί οι όροι δεν εγκρίθηκαν και οι συμμετέχοντες αποδέχθηκαν τον όρο «συμμόρφωση», η οποία θα μπορούσε να οριστεί ως: «</w:t>
      </w:r>
      <w:r w:rsidR="009B082F" w:rsidRPr="00BE2DA1">
        <w:rPr>
          <w:i/>
          <w:sz w:val="24"/>
          <w:szCs w:val="24"/>
        </w:rPr>
        <w:t xml:space="preserve">ο βαθμός στον οποίο η συμπεριφορά </w:t>
      </w:r>
      <w:r w:rsidR="00B0560D" w:rsidRPr="00BE2DA1">
        <w:rPr>
          <w:i/>
          <w:sz w:val="24"/>
          <w:szCs w:val="24"/>
        </w:rPr>
        <w:t>του ασθενούς</w:t>
      </w:r>
      <w:r w:rsidR="009B082F" w:rsidRPr="00BE2DA1">
        <w:rPr>
          <w:i/>
          <w:sz w:val="24"/>
          <w:szCs w:val="24"/>
        </w:rPr>
        <w:t xml:space="preserve"> (σε σχέση με τη λήψη φαρμάκων, τη </w:t>
      </w:r>
      <w:r w:rsidR="009B082F" w:rsidRPr="00E94504">
        <w:rPr>
          <w:i/>
          <w:sz w:val="24"/>
          <w:szCs w:val="24"/>
        </w:rPr>
        <w:t>δίαιτα, ή τις αλλαγές στον τρόπο ζωής) συμπίπτει με την ιατρική συμβουλή</w:t>
      </w:r>
      <w:r w:rsidR="00BE2DA1" w:rsidRPr="00E94504">
        <w:rPr>
          <w:i/>
          <w:sz w:val="24"/>
          <w:szCs w:val="24"/>
        </w:rPr>
        <w:t>»</w:t>
      </w:r>
      <w:r w:rsidR="00BE2DA1" w:rsidRPr="00E94504">
        <w:rPr>
          <w:sz w:val="24"/>
          <w:szCs w:val="24"/>
        </w:rPr>
        <w:t xml:space="preserve"> (Sackett και </w:t>
      </w:r>
      <w:r w:rsidR="00BE2DA1" w:rsidRPr="00E94504">
        <w:rPr>
          <w:sz w:val="24"/>
          <w:szCs w:val="24"/>
          <w:lang w:val="en-US"/>
        </w:rPr>
        <w:t>Haynes</w:t>
      </w:r>
      <w:r w:rsidR="00BE2DA1" w:rsidRPr="00E94504">
        <w:rPr>
          <w:sz w:val="24"/>
          <w:szCs w:val="24"/>
        </w:rPr>
        <w:t>, 1976)</w:t>
      </w:r>
      <w:r w:rsidR="009B082F" w:rsidRPr="00E94504">
        <w:rPr>
          <w:sz w:val="24"/>
          <w:szCs w:val="24"/>
        </w:rPr>
        <w:t xml:space="preserve">. Ο ορισμός αυτός συνέχισε να κυριαρχεί για περίπου </w:t>
      </w:r>
      <w:r w:rsidR="00BA566F" w:rsidRPr="00E94504">
        <w:rPr>
          <w:sz w:val="24"/>
          <w:szCs w:val="24"/>
        </w:rPr>
        <w:t xml:space="preserve">δύο </w:t>
      </w:r>
      <w:r w:rsidR="00440531" w:rsidRPr="00E94504">
        <w:rPr>
          <w:sz w:val="24"/>
          <w:szCs w:val="24"/>
        </w:rPr>
        <w:t>δεκαετίες αργότερα. Όπως εξήγησαν</w:t>
      </w:r>
      <w:r w:rsidR="009B082F" w:rsidRPr="005A464E">
        <w:rPr>
          <w:sz w:val="24"/>
          <w:szCs w:val="24"/>
        </w:rPr>
        <w:t xml:space="preserve"> ο</w:t>
      </w:r>
      <w:r w:rsidR="00440531">
        <w:rPr>
          <w:sz w:val="24"/>
          <w:szCs w:val="24"/>
        </w:rPr>
        <w:t>ι</w:t>
      </w:r>
      <w:r w:rsidR="009B082F" w:rsidRPr="005A464E">
        <w:rPr>
          <w:sz w:val="24"/>
          <w:szCs w:val="24"/>
        </w:rPr>
        <w:t xml:space="preserve"> Sackett</w:t>
      </w:r>
      <w:r w:rsidR="00440531">
        <w:rPr>
          <w:sz w:val="24"/>
          <w:szCs w:val="24"/>
        </w:rPr>
        <w:t xml:space="preserve"> και </w:t>
      </w:r>
      <w:r w:rsidR="00440531">
        <w:rPr>
          <w:sz w:val="24"/>
          <w:szCs w:val="24"/>
          <w:lang w:val="en-US"/>
        </w:rPr>
        <w:t>Haynes</w:t>
      </w:r>
      <w:r w:rsidR="00440531" w:rsidRPr="00440531">
        <w:rPr>
          <w:sz w:val="24"/>
          <w:szCs w:val="24"/>
        </w:rPr>
        <w:t xml:space="preserve"> (1976)</w:t>
      </w:r>
      <w:r w:rsidR="009B082F" w:rsidRPr="005A464E">
        <w:rPr>
          <w:sz w:val="24"/>
          <w:szCs w:val="24"/>
        </w:rPr>
        <w:t>: «</w:t>
      </w:r>
      <w:r w:rsidR="009B082F" w:rsidRPr="00044CC4">
        <w:rPr>
          <w:i/>
          <w:sz w:val="24"/>
          <w:szCs w:val="24"/>
        </w:rPr>
        <w:t>ο όρος ταιριάζει και περιγράφει εκτενώς τον βαθμό στον οποίο ο ασθενής</w:t>
      </w:r>
      <w:r w:rsidR="0078495A" w:rsidRPr="00044CC4">
        <w:rPr>
          <w:i/>
          <w:sz w:val="24"/>
          <w:szCs w:val="24"/>
        </w:rPr>
        <w:t xml:space="preserve"> </w:t>
      </w:r>
      <w:r w:rsidR="009B082F" w:rsidRPr="00044CC4">
        <w:rPr>
          <w:i/>
          <w:sz w:val="24"/>
          <w:szCs w:val="24"/>
        </w:rPr>
        <w:t>εφαρμόζει τις οδηγίες σχετικά με την υγεία και την παροχή συμβουλών, είτε αυτές προέρχονται από έναν</w:t>
      </w:r>
      <w:r w:rsidR="009B082F" w:rsidRPr="00044CC4">
        <w:rPr>
          <w:i/>
          <w:sz w:val="24"/>
          <w:szCs w:val="24"/>
          <w:highlight w:val="cyan"/>
        </w:rPr>
        <w:t xml:space="preserve"> </w:t>
      </w:r>
      <w:r w:rsidR="009B082F" w:rsidRPr="003E57F9">
        <w:rPr>
          <w:i/>
          <w:sz w:val="24"/>
          <w:szCs w:val="24"/>
        </w:rPr>
        <w:t xml:space="preserve">ηγέτη, αυταρχικό </w:t>
      </w:r>
      <w:r w:rsidR="00440531" w:rsidRPr="003E57F9">
        <w:rPr>
          <w:i/>
          <w:sz w:val="24"/>
          <w:szCs w:val="24"/>
        </w:rPr>
        <w:t>επαγγελματία υγείας</w:t>
      </w:r>
      <w:r w:rsidR="009B082F" w:rsidRPr="003E57F9">
        <w:rPr>
          <w:i/>
          <w:sz w:val="24"/>
          <w:szCs w:val="24"/>
        </w:rPr>
        <w:t xml:space="preserve"> είτε αναπτύσσονται μέσα από τη μέσω διαπραγματεύσεων</w:t>
      </w:r>
      <w:r w:rsidR="00660D2D" w:rsidRPr="003E57F9">
        <w:rPr>
          <w:i/>
          <w:sz w:val="24"/>
          <w:szCs w:val="24"/>
        </w:rPr>
        <w:t xml:space="preserve"> σχέση</w:t>
      </w:r>
      <w:r w:rsidR="009B082F" w:rsidRPr="003E57F9">
        <w:rPr>
          <w:i/>
          <w:sz w:val="24"/>
          <w:szCs w:val="24"/>
        </w:rPr>
        <w:t xml:space="preserve"> μεταξύ ενός επαγγελματία υγείας και ενός πολίτη</w:t>
      </w:r>
      <w:r w:rsidR="009B082F" w:rsidRPr="003E57F9">
        <w:rPr>
          <w:sz w:val="24"/>
          <w:szCs w:val="24"/>
        </w:rPr>
        <w:t>» .</w:t>
      </w:r>
    </w:p>
    <w:p w:rsidR="00660D2D" w:rsidRPr="005A464E" w:rsidRDefault="00992F7C" w:rsidP="005A464E">
      <w:pPr>
        <w:spacing w:line="360" w:lineRule="auto"/>
        <w:jc w:val="both"/>
        <w:rPr>
          <w:sz w:val="24"/>
          <w:szCs w:val="24"/>
        </w:rPr>
      </w:pPr>
      <w:r w:rsidRPr="003E57F9">
        <w:rPr>
          <w:sz w:val="24"/>
          <w:szCs w:val="24"/>
        </w:rPr>
        <w:t xml:space="preserve">Οι </w:t>
      </w:r>
      <w:r w:rsidR="009B082F" w:rsidRPr="003E57F9">
        <w:rPr>
          <w:sz w:val="24"/>
          <w:szCs w:val="24"/>
        </w:rPr>
        <w:t>Lu</w:t>
      </w:r>
      <w:r w:rsidR="00873745" w:rsidRPr="003E57F9">
        <w:rPr>
          <w:sz w:val="24"/>
          <w:szCs w:val="24"/>
        </w:rPr>
        <w:t>scher,</w:t>
      </w:r>
      <w:r w:rsidR="00873745" w:rsidRPr="003E57F9">
        <w:rPr>
          <w:rFonts w:asciiTheme="minorHAnsi" w:hAnsiTheme="minorHAnsi" w:cstheme="minorHAnsi"/>
        </w:rPr>
        <w:t xml:space="preserve"> </w:t>
      </w:r>
      <w:r w:rsidR="00873745" w:rsidRPr="003E57F9">
        <w:rPr>
          <w:rFonts w:asciiTheme="minorHAnsi" w:hAnsiTheme="minorHAnsi" w:cstheme="minorHAnsi"/>
          <w:sz w:val="24"/>
          <w:szCs w:val="24"/>
          <w:lang w:val="en-US"/>
        </w:rPr>
        <w:t>Vetter</w:t>
      </w:r>
      <w:r w:rsidR="00873745" w:rsidRPr="003E57F9">
        <w:rPr>
          <w:rFonts w:asciiTheme="minorHAnsi" w:hAnsiTheme="minorHAnsi" w:cstheme="minorHAnsi"/>
          <w:sz w:val="24"/>
          <w:szCs w:val="24"/>
        </w:rPr>
        <w:t xml:space="preserve">, </w:t>
      </w:r>
      <w:r w:rsidR="00873745" w:rsidRPr="003E57F9">
        <w:rPr>
          <w:rFonts w:asciiTheme="minorHAnsi" w:hAnsiTheme="minorHAnsi" w:cstheme="minorHAnsi"/>
          <w:sz w:val="24"/>
          <w:szCs w:val="24"/>
          <w:lang w:val="en-US"/>
        </w:rPr>
        <w:t>Siegenthaler</w:t>
      </w:r>
      <w:r w:rsidR="00FC750F" w:rsidRPr="003E57F9">
        <w:rPr>
          <w:rFonts w:asciiTheme="minorHAnsi" w:hAnsiTheme="minorHAnsi" w:cstheme="minorHAnsi"/>
          <w:sz w:val="24"/>
          <w:szCs w:val="24"/>
        </w:rPr>
        <w:t xml:space="preserve"> και</w:t>
      </w:r>
      <w:r w:rsidR="00873745" w:rsidRPr="003E57F9">
        <w:rPr>
          <w:rFonts w:asciiTheme="minorHAnsi" w:hAnsiTheme="minorHAnsi" w:cstheme="minorHAnsi"/>
          <w:sz w:val="24"/>
          <w:szCs w:val="24"/>
        </w:rPr>
        <w:t xml:space="preserve"> </w:t>
      </w:r>
      <w:r w:rsidR="00873745" w:rsidRPr="003E57F9">
        <w:rPr>
          <w:rFonts w:asciiTheme="minorHAnsi" w:hAnsiTheme="minorHAnsi" w:cstheme="minorHAnsi"/>
          <w:sz w:val="24"/>
          <w:szCs w:val="24"/>
          <w:lang w:val="en-US"/>
        </w:rPr>
        <w:t>Vetter</w:t>
      </w:r>
      <w:r w:rsidR="00873745" w:rsidRPr="003E57F9">
        <w:rPr>
          <w:sz w:val="24"/>
          <w:szCs w:val="24"/>
        </w:rPr>
        <w:t xml:space="preserve"> </w:t>
      </w:r>
      <w:r w:rsidR="00991841" w:rsidRPr="003E57F9">
        <w:rPr>
          <w:sz w:val="24"/>
          <w:szCs w:val="24"/>
        </w:rPr>
        <w:t>(1985)</w:t>
      </w:r>
      <w:r w:rsidR="009B082F" w:rsidRPr="003E57F9">
        <w:rPr>
          <w:sz w:val="24"/>
          <w:szCs w:val="24"/>
        </w:rPr>
        <w:t xml:space="preserve"> ανέφεραν ότι συμμόρφω</w:t>
      </w:r>
      <w:r w:rsidR="00991841" w:rsidRPr="003E57F9">
        <w:rPr>
          <w:sz w:val="24"/>
          <w:szCs w:val="24"/>
        </w:rPr>
        <w:t>ση στο επίπεδο του 80% στα αντιϋ</w:t>
      </w:r>
      <w:r w:rsidR="009B082F" w:rsidRPr="003E57F9">
        <w:rPr>
          <w:sz w:val="24"/>
          <w:szCs w:val="24"/>
        </w:rPr>
        <w:t xml:space="preserve">περτασικά φάρμακα σχετίστηκε με </w:t>
      </w:r>
      <w:r w:rsidR="00660D2D" w:rsidRPr="003E57F9">
        <w:rPr>
          <w:sz w:val="24"/>
          <w:szCs w:val="24"/>
        </w:rPr>
        <w:t>μείωση</w:t>
      </w:r>
      <w:r w:rsidR="009B082F" w:rsidRPr="003E57F9">
        <w:rPr>
          <w:sz w:val="24"/>
          <w:szCs w:val="24"/>
        </w:rPr>
        <w:t xml:space="preserve"> της αρτηριακής πίεσης στα φυσιολογικά επίπεδα ενώ η συμμόρφωση του 50% ή λιγότερο δεν σχετίστηκε με μειώσεις στην αρτηριακή πίεση. Επιπλέον, η συμμόρφωση ορίζεται με βά</w:t>
      </w:r>
      <w:r w:rsidR="00991841" w:rsidRPr="003E57F9">
        <w:rPr>
          <w:sz w:val="24"/>
          <w:szCs w:val="24"/>
        </w:rPr>
        <w:t>ση τα αποτελέσματα.</w:t>
      </w:r>
      <w:r w:rsidR="00991841" w:rsidRPr="005A464E">
        <w:rPr>
          <w:sz w:val="24"/>
          <w:szCs w:val="24"/>
        </w:rPr>
        <w:t xml:space="preserve"> </w:t>
      </w:r>
    </w:p>
    <w:p w:rsidR="009B082F" w:rsidRPr="005A464E" w:rsidRDefault="009B082F" w:rsidP="005A464E">
      <w:pPr>
        <w:spacing w:line="360" w:lineRule="auto"/>
        <w:jc w:val="both"/>
        <w:rPr>
          <w:sz w:val="24"/>
          <w:szCs w:val="24"/>
        </w:rPr>
      </w:pPr>
      <w:r w:rsidRPr="003E57F9">
        <w:rPr>
          <w:sz w:val="24"/>
          <w:szCs w:val="24"/>
        </w:rPr>
        <w:t>Συμμόρφωση σημαίνει ότι ο ασθενής πρέπει να ακολο</w:t>
      </w:r>
      <w:r w:rsidR="00FC750F" w:rsidRPr="003E57F9">
        <w:rPr>
          <w:sz w:val="24"/>
          <w:szCs w:val="24"/>
        </w:rPr>
        <w:t>υθήσει τις οδηγίες του επαγγελματία υγείας</w:t>
      </w:r>
      <w:r w:rsidR="003E57F9" w:rsidRPr="003E57F9">
        <w:rPr>
          <w:sz w:val="24"/>
          <w:szCs w:val="24"/>
        </w:rPr>
        <w:t>,</w:t>
      </w:r>
      <w:r w:rsidRPr="003E57F9">
        <w:rPr>
          <w:sz w:val="24"/>
          <w:szCs w:val="24"/>
        </w:rPr>
        <w:t xml:space="preserve"> κάτι που δείχνει ότι υπ</w:t>
      </w:r>
      <w:r w:rsidR="00FC750F" w:rsidRPr="003E57F9">
        <w:rPr>
          <w:sz w:val="24"/>
          <w:szCs w:val="24"/>
        </w:rPr>
        <w:t xml:space="preserve">άρχει </w:t>
      </w:r>
      <w:r w:rsidR="00817853">
        <w:rPr>
          <w:sz w:val="24"/>
          <w:szCs w:val="24"/>
        </w:rPr>
        <w:t>μια</w:t>
      </w:r>
      <w:r w:rsidR="00FC750F" w:rsidRPr="003E57F9">
        <w:rPr>
          <w:sz w:val="24"/>
          <w:szCs w:val="24"/>
        </w:rPr>
        <w:t xml:space="preserve"> σχέση μεταξύ επαγγελματία υγείας</w:t>
      </w:r>
      <w:r w:rsidR="00BE2DA1" w:rsidRPr="003E57F9">
        <w:rPr>
          <w:sz w:val="24"/>
          <w:szCs w:val="24"/>
        </w:rPr>
        <w:t>-</w:t>
      </w:r>
      <w:r w:rsidRPr="003E57F9">
        <w:rPr>
          <w:sz w:val="24"/>
          <w:szCs w:val="24"/>
        </w:rPr>
        <w:t>ασθενή</w:t>
      </w:r>
      <w:r w:rsidR="003E57F9" w:rsidRPr="003E57F9">
        <w:rPr>
          <w:sz w:val="24"/>
          <w:szCs w:val="24"/>
        </w:rPr>
        <w:t>,</w:t>
      </w:r>
      <w:r w:rsidRPr="003E57F9">
        <w:rPr>
          <w:sz w:val="24"/>
          <w:szCs w:val="24"/>
        </w:rPr>
        <w:t xml:space="preserve"> </w:t>
      </w:r>
      <w:r w:rsidR="003E57F9" w:rsidRPr="003E57F9">
        <w:rPr>
          <w:sz w:val="24"/>
          <w:szCs w:val="24"/>
        </w:rPr>
        <w:t>κατά την οποία</w:t>
      </w:r>
      <w:r w:rsidRPr="003E57F9">
        <w:rPr>
          <w:sz w:val="24"/>
          <w:szCs w:val="24"/>
        </w:rPr>
        <w:t xml:space="preserve"> ο ασθενής είναι ο δέκτης των οδηγιών</w:t>
      </w:r>
      <w:r w:rsidR="00991841" w:rsidRPr="003E57F9">
        <w:rPr>
          <w:sz w:val="24"/>
          <w:szCs w:val="24"/>
        </w:rPr>
        <w:t xml:space="preserve"> (</w:t>
      </w:r>
      <w:r w:rsidR="00BE2DA1" w:rsidRPr="003E57F9">
        <w:rPr>
          <w:sz w:val="24"/>
          <w:szCs w:val="24"/>
          <w:lang w:val="en-US"/>
        </w:rPr>
        <w:t>Delamater</w:t>
      </w:r>
      <w:r w:rsidR="00BE2DA1" w:rsidRPr="003E57F9">
        <w:rPr>
          <w:sz w:val="24"/>
          <w:szCs w:val="24"/>
        </w:rPr>
        <w:t xml:space="preserve">, 2006; </w:t>
      </w:r>
      <w:r w:rsidR="00991841" w:rsidRPr="003E57F9">
        <w:rPr>
          <w:sz w:val="24"/>
          <w:szCs w:val="24"/>
        </w:rPr>
        <w:t>Ιngram</w:t>
      </w:r>
      <w:r w:rsidR="00764A28" w:rsidRPr="003E57F9">
        <w:rPr>
          <w:sz w:val="24"/>
          <w:szCs w:val="24"/>
        </w:rPr>
        <w:t>,</w:t>
      </w:r>
      <w:r w:rsidR="00BE2DA1" w:rsidRPr="003E57F9">
        <w:rPr>
          <w:sz w:val="24"/>
          <w:szCs w:val="24"/>
        </w:rPr>
        <w:t xml:space="preserve"> 2009</w:t>
      </w:r>
      <w:r w:rsidR="00991841" w:rsidRPr="003E57F9">
        <w:rPr>
          <w:sz w:val="24"/>
          <w:szCs w:val="24"/>
        </w:rPr>
        <w:t>). Ο Anon (1997)</w:t>
      </w:r>
      <w:r w:rsidRPr="003E57F9">
        <w:rPr>
          <w:sz w:val="24"/>
          <w:szCs w:val="24"/>
        </w:rPr>
        <w:t xml:space="preserve"> υποστηρίζει ότι αυτό περιλαμβάνει, επίσης, την αίσθηση της</w:t>
      </w:r>
      <w:r w:rsidR="00FC750F" w:rsidRPr="003E57F9">
        <w:rPr>
          <w:sz w:val="24"/>
          <w:szCs w:val="24"/>
        </w:rPr>
        <w:t xml:space="preserve"> «τιμωρίας». Η μη συμμόρφωση σ</w:t>
      </w:r>
      <w:r w:rsidRPr="003E57F9">
        <w:rPr>
          <w:sz w:val="24"/>
          <w:szCs w:val="24"/>
        </w:rPr>
        <w:t>τη</w:t>
      </w:r>
      <w:r w:rsidRPr="005A464E">
        <w:rPr>
          <w:sz w:val="24"/>
          <w:szCs w:val="24"/>
        </w:rPr>
        <w:t xml:space="preserve"> θεραπευτική αγωγή μπορεί να θεωρηθεί ως «ανυπακοή» </w:t>
      </w:r>
      <w:r w:rsidR="00B0560D">
        <w:rPr>
          <w:sz w:val="24"/>
          <w:szCs w:val="24"/>
        </w:rPr>
        <w:t>του ασθενούς</w:t>
      </w:r>
      <w:r w:rsidR="00991841" w:rsidRPr="005A464E">
        <w:rPr>
          <w:sz w:val="24"/>
          <w:szCs w:val="24"/>
        </w:rPr>
        <w:t xml:space="preserve"> (Vermeire</w:t>
      </w:r>
      <w:r w:rsidR="00D75F89">
        <w:rPr>
          <w:sz w:val="24"/>
          <w:szCs w:val="24"/>
        </w:rPr>
        <w:t>,</w:t>
      </w:r>
      <w:r w:rsidR="00D75F89" w:rsidRPr="00D75F89">
        <w:rPr>
          <w:rFonts w:asciiTheme="minorHAnsi" w:hAnsiTheme="minorHAnsi" w:cstheme="minorHAnsi"/>
        </w:rPr>
        <w:t xml:space="preserve"> </w:t>
      </w:r>
      <w:r w:rsidR="00D75F89" w:rsidRPr="00D75F89">
        <w:rPr>
          <w:rFonts w:asciiTheme="minorHAnsi" w:hAnsiTheme="minorHAnsi" w:cstheme="minorHAnsi"/>
          <w:sz w:val="24"/>
          <w:szCs w:val="24"/>
          <w:lang w:val="en-US"/>
        </w:rPr>
        <w:t>Hearnshaw</w:t>
      </w:r>
      <w:r w:rsidR="00D75F89">
        <w:rPr>
          <w:rFonts w:asciiTheme="minorHAnsi" w:hAnsiTheme="minorHAnsi" w:cstheme="minorHAnsi"/>
          <w:sz w:val="24"/>
          <w:szCs w:val="24"/>
        </w:rPr>
        <w:t>,</w:t>
      </w:r>
      <w:r w:rsidR="00D75F89" w:rsidRPr="00D75F89">
        <w:rPr>
          <w:rFonts w:asciiTheme="minorHAnsi" w:hAnsiTheme="minorHAnsi" w:cstheme="minorHAnsi"/>
          <w:sz w:val="24"/>
          <w:szCs w:val="24"/>
        </w:rPr>
        <w:t xml:space="preserve"> </w:t>
      </w:r>
      <w:r w:rsidR="00D75F89" w:rsidRPr="00D75F89">
        <w:rPr>
          <w:rFonts w:asciiTheme="minorHAnsi" w:hAnsiTheme="minorHAnsi" w:cstheme="minorHAnsi"/>
          <w:sz w:val="24"/>
          <w:szCs w:val="24"/>
          <w:lang w:val="en-US"/>
        </w:rPr>
        <w:t>Van</w:t>
      </w:r>
      <w:r w:rsidR="00D75F89" w:rsidRPr="00D75F89">
        <w:rPr>
          <w:rFonts w:asciiTheme="minorHAnsi" w:hAnsiTheme="minorHAnsi" w:cstheme="minorHAnsi"/>
          <w:sz w:val="24"/>
          <w:szCs w:val="24"/>
        </w:rPr>
        <w:t xml:space="preserve"> </w:t>
      </w:r>
      <w:r w:rsidR="00D75F89" w:rsidRPr="00D75F89">
        <w:rPr>
          <w:rFonts w:asciiTheme="minorHAnsi" w:hAnsiTheme="minorHAnsi" w:cstheme="minorHAnsi"/>
          <w:sz w:val="24"/>
          <w:szCs w:val="24"/>
          <w:lang w:val="en-US"/>
        </w:rPr>
        <w:t>Royen</w:t>
      </w:r>
      <w:r w:rsidR="00D75F89">
        <w:rPr>
          <w:rFonts w:asciiTheme="minorHAnsi" w:hAnsiTheme="minorHAnsi" w:cstheme="minorHAnsi"/>
          <w:sz w:val="24"/>
          <w:szCs w:val="24"/>
        </w:rPr>
        <w:t>,</w:t>
      </w:r>
      <w:r w:rsidR="00D75F89" w:rsidRPr="00D75F89">
        <w:rPr>
          <w:rFonts w:asciiTheme="minorHAnsi" w:hAnsiTheme="minorHAnsi" w:cstheme="minorHAnsi"/>
          <w:sz w:val="24"/>
          <w:szCs w:val="24"/>
        </w:rPr>
        <w:t xml:space="preserve"> </w:t>
      </w:r>
      <w:r w:rsidR="00D75F89" w:rsidRPr="00D75F89">
        <w:rPr>
          <w:rFonts w:asciiTheme="minorHAnsi" w:hAnsiTheme="minorHAnsi" w:cstheme="minorHAnsi"/>
          <w:sz w:val="24"/>
          <w:szCs w:val="24"/>
          <w:lang w:val="en-US"/>
        </w:rPr>
        <w:t>Denekens</w:t>
      </w:r>
      <w:r w:rsidR="00D75F89">
        <w:rPr>
          <w:rFonts w:asciiTheme="minorHAnsi" w:hAnsiTheme="minorHAnsi" w:cstheme="minorHAnsi"/>
          <w:sz w:val="24"/>
          <w:szCs w:val="24"/>
        </w:rPr>
        <w:t>,</w:t>
      </w:r>
      <w:r w:rsidR="00D75F89" w:rsidRPr="00D75F89">
        <w:rPr>
          <w:sz w:val="24"/>
          <w:szCs w:val="24"/>
        </w:rPr>
        <w:t xml:space="preserve"> </w:t>
      </w:r>
      <w:r w:rsidR="00991841" w:rsidRPr="00D75F89">
        <w:rPr>
          <w:sz w:val="24"/>
          <w:szCs w:val="24"/>
        </w:rPr>
        <w:t>2001).</w:t>
      </w:r>
      <w:r w:rsidR="00991841" w:rsidRPr="005A464E">
        <w:rPr>
          <w:sz w:val="24"/>
          <w:szCs w:val="24"/>
        </w:rPr>
        <w:t xml:space="preserve"> </w:t>
      </w:r>
      <w:r w:rsidR="00EC1604" w:rsidRPr="005A464E">
        <w:rPr>
          <w:sz w:val="24"/>
          <w:szCs w:val="24"/>
        </w:rPr>
        <w:t>Σύμφωνα με τον</w:t>
      </w:r>
      <w:r w:rsidRPr="005A464E">
        <w:rPr>
          <w:sz w:val="24"/>
          <w:szCs w:val="24"/>
        </w:rPr>
        <w:t xml:space="preserve"> Delamater</w:t>
      </w:r>
      <w:r w:rsidR="00991841" w:rsidRPr="005A464E">
        <w:rPr>
          <w:sz w:val="24"/>
          <w:szCs w:val="24"/>
        </w:rPr>
        <w:t xml:space="preserve"> (2006), </w:t>
      </w:r>
      <w:r w:rsidRPr="005A464E">
        <w:rPr>
          <w:sz w:val="24"/>
          <w:szCs w:val="24"/>
        </w:rPr>
        <w:t xml:space="preserve">η μη συμμόρφωση σημαίνει ότι ο ασθενής παρακούει τις συμβουλές των επαγγελματιών υγείας. Ο όρος της «συμμόρφωσης» έχει κριθεί </w:t>
      </w:r>
      <w:r w:rsidR="003E57F9">
        <w:rPr>
          <w:sz w:val="24"/>
          <w:szCs w:val="24"/>
        </w:rPr>
        <w:t>αρνητικά</w:t>
      </w:r>
      <w:r w:rsidRPr="005A464E">
        <w:rPr>
          <w:sz w:val="24"/>
          <w:szCs w:val="24"/>
        </w:rPr>
        <w:t xml:space="preserve"> </w:t>
      </w:r>
      <w:r w:rsidR="00FC750F">
        <w:rPr>
          <w:sz w:val="24"/>
          <w:szCs w:val="24"/>
        </w:rPr>
        <w:t xml:space="preserve">στη </w:t>
      </w:r>
      <w:r w:rsidR="00FC750F" w:rsidRPr="003E57F9">
        <w:rPr>
          <w:sz w:val="24"/>
          <w:szCs w:val="24"/>
        </w:rPr>
        <w:t>σχέση επαγγελματία υγείας</w:t>
      </w:r>
      <w:r w:rsidR="00991841" w:rsidRPr="003E57F9">
        <w:rPr>
          <w:sz w:val="24"/>
          <w:szCs w:val="24"/>
        </w:rPr>
        <w:t>-ασθενή (Bissonnette</w:t>
      </w:r>
      <w:r w:rsidR="008D6216" w:rsidRPr="003E57F9">
        <w:rPr>
          <w:sz w:val="24"/>
          <w:szCs w:val="24"/>
        </w:rPr>
        <w:t>,</w:t>
      </w:r>
      <w:r w:rsidR="00991841" w:rsidRPr="003E57F9">
        <w:rPr>
          <w:sz w:val="24"/>
          <w:szCs w:val="24"/>
        </w:rPr>
        <w:t xml:space="preserve"> 2008).</w:t>
      </w:r>
    </w:p>
    <w:p w:rsidR="009B082F" w:rsidRPr="005A464E" w:rsidRDefault="009D7271" w:rsidP="005A464E">
      <w:pPr>
        <w:spacing w:line="360" w:lineRule="auto"/>
        <w:jc w:val="both"/>
        <w:rPr>
          <w:sz w:val="24"/>
          <w:szCs w:val="24"/>
        </w:rPr>
      </w:pPr>
      <w:r>
        <w:rPr>
          <w:sz w:val="24"/>
          <w:szCs w:val="24"/>
        </w:rPr>
        <w:t>Στη μη</w:t>
      </w:r>
      <w:r w:rsidR="009B082F" w:rsidRPr="005A464E">
        <w:rPr>
          <w:sz w:val="24"/>
          <w:szCs w:val="24"/>
        </w:rPr>
        <w:t xml:space="preserve"> συμμόρφωση </w:t>
      </w:r>
      <w:r>
        <w:rPr>
          <w:sz w:val="24"/>
          <w:szCs w:val="24"/>
        </w:rPr>
        <w:t>εμπλέκονται</w:t>
      </w:r>
      <w:r w:rsidR="009B082F" w:rsidRPr="005A464E">
        <w:rPr>
          <w:sz w:val="24"/>
          <w:szCs w:val="24"/>
        </w:rPr>
        <w:t xml:space="preserve"> προσωπικά χαρακτηριστικά,</w:t>
      </w:r>
      <w:r>
        <w:rPr>
          <w:sz w:val="24"/>
          <w:szCs w:val="24"/>
        </w:rPr>
        <w:t xml:space="preserve"> χαρακτηριστικά προσωπικότητας,</w:t>
      </w:r>
      <w:r w:rsidR="009B082F" w:rsidRPr="005A464E">
        <w:rPr>
          <w:sz w:val="24"/>
          <w:szCs w:val="24"/>
        </w:rPr>
        <w:t xml:space="preserve"> </w:t>
      </w:r>
      <w:r w:rsidR="00FC750F">
        <w:rPr>
          <w:sz w:val="24"/>
          <w:szCs w:val="24"/>
        </w:rPr>
        <w:t>η</w:t>
      </w:r>
      <w:r w:rsidR="009B082F" w:rsidRPr="005A464E">
        <w:rPr>
          <w:sz w:val="24"/>
          <w:szCs w:val="24"/>
        </w:rPr>
        <w:t xml:space="preserve"> </w:t>
      </w:r>
      <w:r w:rsidR="00FC750F" w:rsidRPr="009D7271">
        <w:rPr>
          <w:sz w:val="24"/>
          <w:szCs w:val="24"/>
        </w:rPr>
        <w:t>άνοια</w:t>
      </w:r>
      <w:r w:rsidR="009B082F" w:rsidRPr="009D7271">
        <w:rPr>
          <w:sz w:val="24"/>
          <w:szCs w:val="24"/>
        </w:rPr>
        <w:t>,</w:t>
      </w:r>
      <w:r w:rsidR="00FC750F" w:rsidRPr="009D7271">
        <w:rPr>
          <w:sz w:val="24"/>
          <w:szCs w:val="24"/>
        </w:rPr>
        <w:t xml:space="preserve"> η έλλειψη</w:t>
      </w:r>
      <w:r w:rsidR="009B082F" w:rsidRPr="009D7271">
        <w:rPr>
          <w:sz w:val="24"/>
          <w:szCs w:val="24"/>
        </w:rPr>
        <w:t xml:space="preserve"> προθυμίας</w:t>
      </w:r>
      <w:r w:rsidRPr="009D7271">
        <w:rPr>
          <w:sz w:val="24"/>
          <w:szCs w:val="24"/>
        </w:rPr>
        <w:t xml:space="preserve"> ή </w:t>
      </w:r>
      <w:r w:rsidR="008741A3" w:rsidRPr="009D7271">
        <w:rPr>
          <w:sz w:val="24"/>
          <w:szCs w:val="24"/>
        </w:rPr>
        <w:t>το</w:t>
      </w:r>
      <w:r w:rsidR="009B082F" w:rsidRPr="009D7271">
        <w:rPr>
          <w:sz w:val="24"/>
          <w:szCs w:val="24"/>
        </w:rPr>
        <w:t xml:space="preserve"> χαμηλό </w:t>
      </w:r>
      <w:r w:rsidR="000D053B" w:rsidRPr="009D7271">
        <w:rPr>
          <w:sz w:val="24"/>
          <w:szCs w:val="24"/>
        </w:rPr>
        <w:t>εκπαιδευτικό</w:t>
      </w:r>
      <w:r w:rsidR="0006764E" w:rsidRPr="009D7271">
        <w:rPr>
          <w:sz w:val="24"/>
          <w:szCs w:val="24"/>
        </w:rPr>
        <w:t xml:space="preserve"> επίπεδο. Ο Kleinsinger (2003)</w:t>
      </w:r>
      <w:r w:rsidR="009B082F" w:rsidRPr="009D7271">
        <w:rPr>
          <w:sz w:val="24"/>
          <w:szCs w:val="24"/>
        </w:rPr>
        <w:t xml:space="preserve"> σημειώνει ότι η μη συμμόρφωση περιλαμβάνει </w:t>
      </w:r>
      <w:r w:rsidR="00817853">
        <w:rPr>
          <w:sz w:val="24"/>
          <w:szCs w:val="24"/>
        </w:rPr>
        <w:t>μια</w:t>
      </w:r>
      <w:r w:rsidR="009B082F" w:rsidRPr="009D7271">
        <w:rPr>
          <w:sz w:val="24"/>
          <w:szCs w:val="24"/>
        </w:rPr>
        <w:t xml:space="preserve"> σειρά συμπεριφορών</w:t>
      </w:r>
      <w:r w:rsidR="00660D2D" w:rsidRPr="009D7271">
        <w:rPr>
          <w:sz w:val="24"/>
          <w:szCs w:val="24"/>
        </w:rPr>
        <w:t xml:space="preserve"> που </w:t>
      </w:r>
      <w:r w:rsidRPr="009D7271">
        <w:rPr>
          <w:sz w:val="24"/>
          <w:szCs w:val="24"/>
        </w:rPr>
        <w:t xml:space="preserve"> ανάλογα με την βαρύτητά τους μπορούν να έχουν από ασήμαντες μέχρι κααστροφικές για την υγεία επιπτώσεις</w:t>
      </w:r>
      <w:r w:rsidR="009B082F" w:rsidRPr="005A464E">
        <w:rPr>
          <w:sz w:val="24"/>
          <w:szCs w:val="24"/>
        </w:rPr>
        <w:t>. Λόγω της πολυπλοκότητας της έννοια</w:t>
      </w:r>
      <w:r w:rsidR="00A45BC1" w:rsidRPr="005A464E">
        <w:rPr>
          <w:sz w:val="24"/>
          <w:szCs w:val="24"/>
        </w:rPr>
        <w:t>ς</w:t>
      </w:r>
      <w:r w:rsidR="009B082F" w:rsidRPr="005A464E">
        <w:rPr>
          <w:sz w:val="24"/>
          <w:szCs w:val="24"/>
        </w:rPr>
        <w:t xml:space="preserve"> της «μη συμμόρφ</w:t>
      </w:r>
      <w:r w:rsidR="00660D2D" w:rsidRPr="005A464E">
        <w:rPr>
          <w:sz w:val="24"/>
          <w:szCs w:val="24"/>
        </w:rPr>
        <w:t>ωσης», είναι δύσκολο να ορισθεί</w:t>
      </w:r>
      <w:r w:rsidR="009B082F" w:rsidRPr="005A464E">
        <w:rPr>
          <w:sz w:val="24"/>
          <w:szCs w:val="24"/>
        </w:rPr>
        <w:t xml:space="preserve"> ένας ασθενής ως «μη συμμορφωμένος» ή όχι</w:t>
      </w:r>
      <w:r w:rsidR="0006764E" w:rsidRPr="005A464E">
        <w:rPr>
          <w:sz w:val="24"/>
          <w:szCs w:val="24"/>
        </w:rPr>
        <w:t xml:space="preserve"> (Bissonnette</w:t>
      </w:r>
      <w:r w:rsidR="008D6216" w:rsidRPr="008D6216">
        <w:rPr>
          <w:sz w:val="24"/>
          <w:szCs w:val="24"/>
        </w:rPr>
        <w:t>,</w:t>
      </w:r>
      <w:r w:rsidR="0006764E" w:rsidRPr="005A464E">
        <w:rPr>
          <w:sz w:val="24"/>
          <w:szCs w:val="24"/>
        </w:rPr>
        <w:t xml:space="preserve"> 2008; Ιngram</w:t>
      </w:r>
      <w:r w:rsidR="00E8447F" w:rsidRPr="00E8447F">
        <w:rPr>
          <w:sz w:val="24"/>
          <w:szCs w:val="24"/>
        </w:rPr>
        <w:t>,</w:t>
      </w:r>
      <w:r w:rsidR="0006764E" w:rsidRPr="005A464E">
        <w:rPr>
          <w:sz w:val="24"/>
          <w:szCs w:val="24"/>
        </w:rPr>
        <w:t xml:space="preserve"> 2009).</w:t>
      </w:r>
    </w:p>
    <w:p w:rsidR="009B082F" w:rsidRPr="005A464E" w:rsidRDefault="009B082F" w:rsidP="005A464E">
      <w:pPr>
        <w:spacing w:line="360" w:lineRule="auto"/>
        <w:jc w:val="both"/>
        <w:rPr>
          <w:sz w:val="24"/>
          <w:szCs w:val="24"/>
        </w:rPr>
      </w:pPr>
      <w:r w:rsidRPr="005A464E">
        <w:rPr>
          <w:sz w:val="24"/>
          <w:szCs w:val="24"/>
        </w:rPr>
        <w:t xml:space="preserve">Προσπαθώντας να τονίσει την έννοια της συμμόρφωσης, ο </w:t>
      </w:r>
      <w:r w:rsidRPr="005A464E">
        <w:rPr>
          <w:sz w:val="24"/>
          <w:szCs w:val="24"/>
          <w:lang w:val="en-US"/>
        </w:rPr>
        <w:t>Ingram</w:t>
      </w:r>
      <w:r w:rsidR="00BD4990" w:rsidRPr="005A464E">
        <w:rPr>
          <w:sz w:val="24"/>
          <w:szCs w:val="24"/>
        </w:rPr>
        <w:t xml:space="preserve"> (2009)</w:t>
      </w:r>
      <w:r w:rsidRPr="005A464E">
        <w:rPr>
          <w:sz w:val="24"/>
          <w:szCs w:val="24"/>
        </w:rPr>
        <w:t xml:space="preserve"> παραθέτει κάπ</w:t>
      </w:r>
      <w:r w:rsidR="00FC750F">
        <w:rPr>
          <w:sz w:val="24"/>
          <w:szCs w:val="24"/>
        </w:rPr>
        <w:t xml:space="preserve">οια παραδείγματα αντιδράσεων </w:t>
      </w:r>
      <w:r w:rsidR="00B0560D">
        <w:rPr>
          <w:sz w:val="24"/>
          <w:szCs w:val="24"/>
        </w:rPr>
        <w:t>του ασθενούς</w:t>
      </w:r>
      <w:r w:rsidRPr="005A464E">
        <w:rPr>
          <w:sz w:val="24"/>
          <w:szCs w:val="24"/>
        </w:rPr>
        <w:t xml:space="preserve"> στις συστάσεις που σχετίζοντ</w:t>
      </w:r>
      <w:r w:rsidR="00E23C11">
        <w:rPr>
          <w:sz w:val="24"/>
          <w:szCs w:val="24"/>
        </w:rPr>
        <w:t>αι με τη δίαιτα, την άσκηση, τη</w:t>
      </w:r>
      <w:r w:rsidRPr="005A464E">
        <w:rPr>
          <w:sz w:val="24"/>
          <w:szCs w:val="24"/>
        </w:rPr>
        <w:t xml:space="preserve"> φαρμακευτική αγωγή και τα ραντεβού με τον ιατρό:</w:t>
      </w:r>
    </w:p>
    <w:p w:rsidR="009B082F" w:rsidRPr="005A464E" w:rsidRDefault="00E23C11" w:rsidP="008741A3">
      <w:pPr>
        <w:numPr>
          <w:ilvl w:val="0"/>
          <w:numId w:val="1"/>
        </w:numPr>
        <w:spacing w:line="360" w:lineRule="auto"/>
        <w:contextualSpacing/>
        <w:jc w:val="both"/>
        <w:rPr>
          <w:sz w:val="24"/>
          <w:szCs w:val="24"/>
        </w:rPr>
      </w:pPr>
      <w:r>
        <w:rPr>
          <w:sz w:val="24"/>
          <w:szCs w:val="24"/>
        </w:rPr>
        <w:t>Exemplar case</w:t>
      </w:r>
      <w:r w:rsidR="009B082F" w:rsidRPr="005A464E">
        <w:rPr>
          <w:sz w:val="24"/>
          <w:szCs w:val="24"/>
        </w:rPr>
        <w:t>:</w:t>
      </w:r>
      <w:r w:rsidR="0078495A">
        <w:rPr>
          <w:sz w:val="24"/>
          <w:szCs w:val="24"/>
        </w:rPr>
        <w:t xml:space="preserve"> </w:t>
      </w:r>
      <w:r w:rsidR="008741A3">
        <w:rPr>
          <w:sz w:val="24"/>
          <w:szCs w:val="24"/>
        </w:rPr>
        <w:t>«</w:t>
      </w:r>
      <w:r w:rsidR="009B082F" w:rsidRPr="008741A3">
        <w:rPr>
          <w:i/>
          <w:sz w:val="24"/>
          <w:szCs w:val="24"/>
        </w:rPr>
        <w:t>Πραγματικά πρέπει να κάνω όλα αυτά τα πράγματα που αναφέρονται σε αυτό το έγγραφο κάθε μέρα;»</w:t>
      </w:r>
      <w:r w:rsidR="009B082F" w:rsidRPr="005A464E">
        <w:rPr>
          <w:sz w:val="24"/>
          <w:szCs w:val="24"/>
        </w:rPr>
        <w:t xml:space="preserve"> Στην περίπτωση αυτή</w:t>
      </w:r>
      <w:r w:rsidR="0078495A">
        <w:rPr>
          <w:sz w:val="24"/>
          <w:szCs w:val="24"/>
        </w:rPr>
        <w:t xml:space="preserve"> </w:t>
      </w:r>
      <w:r w:rsidR="009B082F" w:rsidRPr="005A464E">
        <w:rPr>
          <w:sz w:val="24"/>
          <w:szCs w:val="24"/>
        </w:rPr>
        <w:t xml:space="preserve">τονίζεται ο παθητικός ρόλος </w:t>
      </w:r>
      <w:r w:rsidR="00B0560D">
        <w:rPr>
          <w:sz w:val="24"/>
          <w:szCs w:val="24"/>
        </w:rPr>
        <w:t>του ασθενούς</w:t>
      </w:r>
      <w:r w:rsidR="009B082F" w:rsidRPr="005A464E">
        <w:rPr>
          <w:sz w:val="24"/>
          <w:szCs w:val="24"/>
        </w:rPr>
        <w:t>, αλλά, επίσης, εκφράζονται και οι ανησυχίες του.</w:t>
      </w:r>
    </w:p>
    <w:p w:rsidR="009B082F" w:rsidRPr="005A464E" w:rsidRDefault="00F231CB" w:rsidP="008741A3">
      <w:pPr>
        <w:numPr>
          <w:ilvl w:val="0"/>
          <w:numId w:val="1"/>
        </w:numPr>
        <w:spacing w:line="360" w:lineRule="auto"/>
        <w:contextualSpacing/>
        <w:jc w:val="both"/>
        <w:rPr>
          <w:sz w:val="24"/>
          <w:szCs w:val="24"/>
        </w:rPr>
      </w:pPr>
      <w:r w:rsidRPr="005A464E">
        <w:rPr>
          <w:sz w:val="24"/>
          <w:szCs w:val="24"/>
          <w:lang w:val="en-US"/>
        </w:rPr>
        <w:t>Con</w:t>
      </w:r>
      <w:r w:rsidR="009B082F" w:rsidRPr="005A464E">
        <w:rPr>
          <w:sz w:val="24"/>
          <w:szCs w:val="24"/>
          <w:lang w:val="en-US"/>
        </w:rPr>
        <w:t>trary</w:t>
      </w:r>
      <w:r w:rsidR="00660D2D" w:rsidRPr="005A464E">
        <w:rPr>
          <w:sz w:val="24"/>
          <w:szCs w:val="24"/>
        </w:rPr>
        <w:t xml:space="preserve"> </w:t>
      </w:r>
      <w:r w:rsidR="009B082F" w:rsidRPr="005A464E">
        <w:rPr>
          <w:sz w:val="24"/>
          <w:szCs w:val="24"/>
          <w:lang w:val="en-US"/>
        </w:rPr>
        <w:t>case</w:t>
      </w:r>
      <w:r w:rsidRPr="005A464E">
        <w:rPr>
          <w:sz w:val="24"/>
          <w:szCs w:val="24"/>
        </w:rPr>
        <w:t>: «</w:t>
      </w:r>
      <w:r w:rsidR="0076549D" w:rsidRPr="008741A3">
        <w:rPr>
          <w:i/>
          <w:sz w:val="24"/>
          <w:szCs w:val="24"/>
        </w:rPr>
        <w:t>Ε</w:t>
      </w:r>
      <w:r w:rsidR="00660D2D" w:rsidRPr="008741A3">
        <w:rPr>
          <w:i/>
          <w:sz w:val="24"/>
          <w:szCs w:val="24"/>
        </w:rPr>
        <w:t>ίσαι</w:t>
      </w:r>
      <w:r w:rsidR="003D548C" w:rsidRPr="008741A3">
        <w:rPr>
          <w:i/>
          <w:sz w:val="24"/>
          <w:szCs w:val="24"/>
        </w:rPr>
        <w:t xml:space="preserve"> τρελός αν </w:t>
      </w:r>
      <w:r w:rsidR="009B082F" w:rsidRPr="008741A3">
        <w:rPr>
          <w:i/>
          <w:sz w:val="24"/>
          <w:szCs w:val="24"/>
        </w:rPr>
        <w:t xml:space="preserve">νομίζεις ότι θα </w:t>
      </w:r>
      <w:r w:rsidR="00BD4990" w:rsidRPr="008741A3">
        <w:rPr>
          <w:i/>
          <w:sz w:val="24"/>
          <w:szCs w:val="24"/>
        </w:rPr>
        <w:t>σηκωθώ</w:t>
      </w:r>
      <w:r w:rsidR="008741A3" w:rsidRPr="008741A3">
        <w:rPr>
          <w:i/>
          <w:sz w:val="24"/>
          <w:szCs w:val="24"/>
        </w:rPr>
        <w:t xml:space="preserve"> από το κρεβάτι μου μι</w:t>
      </w:r>
      <w:r w:rsidR="009B082F" w:rsidRPr="008741A3">
        <w:rPr>
          <w:i/>
          <w:sz w:val="24"/>
          <w:szCs w:val="24"/>
        </w:rPr>
        <w:t>α ώρα νωρίτερα για να ασκηθώ και να χρησιμοποιήσω όλη μου τη</w:t>
      </w:r>
      <w:r w:rsidR="00660D2D" w:rsidRPr="008741A3">
        <w:rPr>
          <w:i/>
          <w:sz w:val="24"/>
          <w:szCs w:val="24"/>
        </w:rPr>
        <w:t xml:space="preserve"> ενέργεια</w:t>
      </w:r>
      <w:r w:rsidR="00660D2D" w:rsidRPr="005A464E">
        <w:rPr>
          <w:sz w:val="24"/>
          <w:szCs w:val="24"/>
        </w:rPr>
        <w:t>»</w:t>
      </w:r>
      <w:r w:rsidRPr="005A464E">
        <w:rPr>
          <w:sz w:val="24"/>
          <w:szCs w:val="24"/>
        </w:rPr>
        <w:t>.</w:t>
      </w:r>
      <w:r w:rsidR="00660D2D" w:rsidRPr="005A464E">
        <w:rPr>
          <w:sz w:val="24"/>
          <w:szCs w:val="24"/>
        </w:rPr>
        <w:t xml:space="preserve"> Στην περίπτωση αυτή </w:t>
      </w:r>
      <w:r w:rsidR="009B082F" w:rsidRPr="005A464E">
        <w:rPr>
          <w:sz w:val="24"/>
          <w:szCs w:val="24"/>
        </w:rPr>
        <w:t>δεν υπάρχει κανένα από τα χαρακτηριστικά της συμμόρφωσης.</w:t>
      </w:r>
    </w:p>
    <w:p w:rsidR="009B082F" w:rsidRPr="005A464E" w:rsidRDefault="009B082F" w:rsidP="008741A3">
      <w:pPr>
        <w:numPr>
          <w:ilvl w:val="0"/>
          <w:numId w:val="1"/>
        </w:numPr>
        <w:spacing w:line="360" w:lineRule="auto"/>
        <w:contextualSpacing/>
        <w:jc w:val="both"/>
        <w:rPr>
          <w:sz w:val="24"/>
          <w:szCs w:val="24"/>
        </w:rPr>
      </w:pPr>
      <w:r w:rsidRPr="005A464E">
        <w:rPr>
          <w:sz w:val="24"/>
          <w:szCs w:val="24"/>
          <w:lang w:val="en-US"/>
        </w:rPr>
        <w:t>Borderline</w:t>
      </w:r>
      <w:r w:rsidR="00660D2D" w:rsidRPr="005A464E">
        <w:rPr>
          <w:sz w:val="24"/>
          <w:szCs w:val="24"/>
        </w:rPr>
        <w:t xml:space="preserve"> </w:t>
      </w:r>
      <w:r w:rsidRPr="005A464E">
        <w:rPr>
          <w:sz w:val="24"/>
          <w:szCs w:val="24"/>
          <w:lang w:val="en-US"/>
        </w:rPr>
        <w:t>case</w:t>
      </w:r>
      <w:r w:rsidR="00BD4990" w:rsidRPr="005A464E">
        <w:rPr>
          <w:sz w:val="24"/>
          <w:szCs w:val="24"/>
        </w:rPr>
        <w:t>: Ο</w:t>
      </w:r>
      <w:r w:rsidRPr="005A464E">
        <w:rPr>
          <w:sz w:val="24"/>
          <w:szCs w:val="24"/>
        </w:rPr>
        <w:t xml:space="preserve"> </w:t>
      </w:r>
      <w:r w:rsidR="00FC750F">
        <w:rPr>
          <w:sz w:val="24"/>
          <w:szCs w:val="24"/>
        </w:rPr>
        <w:t>ασθενής ευχαριστεί τον επαγγελματία υγείας, υπόσχεται</w:t>
      </w:r>
      <w:r w:rsidRPr="005A464E">
        <w:rPr>
          <w:sz w:val="24"/>
          <w:szCs w:val="24"/>
        </w:rPr>
        <w:t xml:space="preserve"> να συμμορφωθεί στην φαρμακευτική αγωγή, αλλά όχι στο πρόγραμμα διατροφής και άσκησης. </w:t>
      </w:r>
      <w:r w:rsidR="00F231CB" w:rsidRPr="005A464E">
        <w:rPr>
          <w:sz w:val="24"/>
          <w:szCs w:val="24"/>
        </w:rPr>
        <w:t>Ο α</w:t>
      </w:r>
      <w:r w:rsidR="00FC750F">
        <w:rPr>
          <w:sz w:val="24"/>
          <w:szCs w:val="24"/>
        </w:rPr>
        <w:t>σθενής συμμορφώνεται</w:t>
      </w:r>
      <w:r w:rsidRPr="005A464E">
        <w:rPr>
          <w:sz w:val="24"/>
          <w:szCs w:val="24"/>
        </w:rPr>
        <w:t xml:space="preserve"> με ένα μέρος της θεραπείας.</w:t>
      </w:r>
    </w:p>
    <w:p w:rsidR="009B082F" w:rsidRPr="003355F5" w:rsidRDefault="0076549D" w:rsidP="008741A3">
      <w:pPr>
        <w:numPr>
          <w:ilvl w:val="0"/>
          <w:numId w:val="1"/>
        </w:numPr>
        <w:spacing w:line="360" w:lineRule="auto"/>
        <w:contextualSpacing/>
        <w:jc w:val="both"/>
        <w:rPr>
          <w:sz w:val="24"/>
          <w:szCs w:val="24"/>
        </w:rPr>
      </w:pPr>
      <w:r>
        <w:rPr>
          <w:sz w:val="24"/>
          <w:szCs w:val="24"/>
        </w:rPr>
        <w:t>Related case: Ο</w:t>
      </w:r>
      <w:r w:rsidR="00FC750F">
        <w:rPr>
          <w:sz w:val="24"/>
          <w:szCs w:val="24"/>
        </w:rPr>
        <w:t xml:space="preserve"> επαγγελματίας υγείας</w:t>
      </w:r>
      <w:r w:rsidR="009B082F" w:rsidRPr="005A464E">
        <w:rPr>
          <w:sz w:val="24"/>
          <w:szCs w:val="24"/>
        </w:rPr>
        <w:t xml:space="preserve"> συζητά με τον ασθενή σχετικά με τη σημασία του θεραπευτικού σχήματος και ζητά να συναντηθεί με ένα μέλος της οικογένειας, προκειμένου να εργαστούν ως ομάδα. Ο ασθενής συμφωνεί να πάρει τα φάρμακά του, αλλά δεν είναι σίγουρος αν το μέλος της οικογένειας μπορεί να συναντηθεί </w:t>
      </w:r>
      <w:r w:rsidR="00E23C11">
        <w:rPr>
          <w:sz w:val="24"/>
          <w:szCs w:val="24"/>
        </w:rPr>
        <w:t>με τον ασθενή και το γιατρό</w:t>
      </w:r>
      <w:r w:rsidR="009B082F" w:rsidRPr="005A464E">
        <w:rPr>
          <w:sz w:val="24"/>
          <w:szCs w:val="24"/>
        </w:rPr>
        <w:t xml:space="preserve"> εξαιτίας φόρτου εργασίας. Η «σχετική υπόθεση» υπογραμμίζει τον ενεργό ασθενή και τη συνεργασία μεταξύ των </w:t>
      </w:r>
      <w:r w:rsidR="00BA566F">
        <w:rPr>
          <w:sz w:val="24"/>
          <w:szCs w:val="24"/>
        </w:rPr>
        <w:t xml:space="preserve">δύο </w:t>
      </w:r>
      <w:r w:rsidR="009B082F" w:rsidRPr="005A464E">
        <w:rPr>
          <w:sz w:val="24"/>
          <w:szCs w:val="24"/>
        </w:rPr>
        <w:t>μερών</w:t>
      </w:r>
      <w:r w:rsidR="00A45BC1" w:rsidRPr="005A464E">
        <w:rPr>
          <w:sz w:val="24"/>
          <w:szCs w:val="24"/>
        </w:rPr>
        <w:t xml:space="preserve"> (</w:t>
      </w:r>
      <w:r w:rsidR="00A45BC1" w:rsidRPr="005A464E">
        <w:rPr>
          <w:sz w:val="24"/>
          <w:szCs w:val="24"/>
          <w:lang w:val="en-US"/>
        </w:rPr>
        <w:t>Ingram</w:t>
      </w:r>
      <w:r w:rsidR="00E8447F" w:rsidRPr="00E8447F">
        <w:rPr>
          <w:sz w:val="24"/>
          <w:szCs w:val="24"/>
        </w:rPr>
        <w:t>,</w:t>
      </w:r>
      <w:r w:rsidR="00A45BC1" w:rsidRPr="005A464E">
        <w:rPr>
          <w:sz w:val="24"/>
          <w:szCs w:val="24"/>
        </w:rPr>
        <w:t xml:space="preserve"> 2009)</w:t>
      </w:r>
      <w:r w:rsidR="009B082F" w:rsidRPr="005A464E">
        <w:rPr>
          <w:sz w:val="24"/>
          <w:szCs w:val="24"/>
        </w:rPr>
        <w:t>.</w:t>
      </w:r>
    </w:p>
    <w:p w:rsidR="003355F5" w:rsidRPr="005A464E" w:rsidRDefault="003355F5" w:rsidP="008741A3">
      <w:pPr>
        <w:spacing w:line="360" w:lineRule="auto"/>
        <w:ind w:left="360"/>
        <w:contextualSpacing/>
        <w:jc w:val="both"/>
        <w:rPr>
          <w:sz w:val="24"/>
          <w:szCs w:val="24"/>
        </w:rPr>
      </w:pPr>
    </w:p>
    <w:p w:rsidR="009B082F" w:rsidRPr="005A464E" w:rsidRDefault="001078B1" w:rsidP="005A464E">
      <w:pPr>
        <w:spacing w:line="360" w:lineRule="auto"/>
        <w:rPr>
          <w:b/>
          <w:sz w:val="24"/>
          <w:szCs w:val="24"/>
        </w:rPr>
      </w:pPr>
      <w:r w:rsidRPr="005A464E">
        <w:rPr>
          <w:b/>
          <w:sz w:val="24"/>
          <w:szCs w:val="24"/>
        </w:rPr>
        <w:t>Προσκόλλη</w:t>
      </w:r>
      <w:r w:rsidR="009B082F" w:rsidRPr="005A464E">
        <w:rPr>
          <w:b/>
          <w:sz w:val="24"/>
          <w:szCs w:val="24"/>
        </w:rPr>
        <w:t>ση</w:t>
      </w:r>
      <w:r w:rsidR="0078495A">
        <w:rPr>
          <w:b/>
          <w:sz w:val="24"/>
          <w:szCs w:val="24"/>
        </w:rPr>
        <w:t xml:space="preserve"> </w:t>
      </w:r>
      <w:r w:rsidR="009B082F" w:rsidRPr="005A464E">
        <w:rPr>
          <w:b/>
          <w:sz w:val="24"/>
          <w:szCs w:val="24"/>
        </w:rPr>
        <w:t>(</w:t>
      </w:r>
      <w:r w:rsidR="009B082F" w:rsidRPr="005A464E">
        <w:rPr>
          <w:b/>
          <w:sz w:val="24"/>
          <w:szCs w:val="24"/>
          <w:lang w:val="en-US"/>
        </w:rPr>
        <w:t>Adherence</w:t>
      </w:r>
      <w:r w:rsidR="009B082F" w:rsidRPr="005A464E">
        <w:rPr>
          <w:b/>
          <w:sz w:val="24"/>
          <w:szCs w:val="24"/>
        </w:rPr>
        <w:t>)</w:t>
      </w:r>
    </w:p>
    <w:p w:rsidR="009B082F" w:rsidRPr="000E03F0" w:rsidRDefault="001078B1" w:rsidP="005A464E">
      <w:pPr>
        <w:spacing w:line="360" w:lineRule="auto"/>
        <w:jc w:val="both"/>
        <w:rPr>
          <w:sz w:val="24"/>
          <w:szCs w:val="24"/>
        </w:rPr>
      </w:pPr>
      <w:r w:rsidRPr="005A464E">
        <w:rPr>
          <w:sz w:val="24"/>
          <w:szCs w:val="24"/>
        </w:rPr>
        <w:t>Ο ορισμός του όρου «</w:t>
      </w:r>
      <w:r w:rsidR="00A45BC1" w:rsidRPr="005A464E">
        <w:rPr>
          <w:sz w:val="24"/>
          <w:szCs w:val="24"/>
        </w:rPr>
        <w:t>προσκόλληση</w:t>
      </w:r>
      <w:r w:rsidR="009B082F" w:rsidRPr="005A464E">
        <w:rPr>
          <w:sz w:val="24"/>
          <w:szCs w:val="24"/>
        </w:rPr>
        <w:t xml:space="preserve">» περιλαμβάνει τον ορισμό της «συμμόρφωσης», τονίζοντας την ανάγκη συμφωνίας για τον ασθενή </w:t>
      </w:r>
      <w:r w:rsidR="00A45BC1" w:rsidRPr="005A464E">
        <w:rPr>
          <w:sz w:val="24"/>
          <w:szCs w:val="24"/>
        </w:rPr>
        <w:t>(Bissonnette</w:t>
      </w:r>
      <w:r w:rsidR="00CA3D52" w:rsidRPr="005A464E">
        <w:rPr>
          <w:sz w:val="24"/>
          <w:szCs w:val="24"/>
        </w:rPr>
        <w:t>,</w:t>
      </w:r>
      <w:r w:rsidR="00A45BC1" w:rsidRPr="005A464E">
        <w:rPr>
          <w:sz w:val="24"/>
          <w:szCs w:val="24"/>
        </w:rPr>
        <w:t xml:space="preserve"> 2008</w:t>
      </w:r>
      <w:r w:rsidR="00A45BC1" w:rsidRPr="00E23C11">
        <w:rPr>
          <w:sz w:val="24"/>
          <w:szCs w:val="24"/>
        </w:rPr>
        <w:t>). Οι Kyng</w:t>
      </w:r>
      <w:r w:rsidR="00A45BC1" w:rsidRPr="00E23C11">
        <w:rPr>
          <w:rFonts w:cstheme="minorHAnsi"/>
          <w:sz w:val="24"/>
          <w:szCs w:val="24"/>
        </w:rPr>
        <w:t>ä</w:t>
      </w:r>
      <w:r w:rsidR="008D6216" w:rsidRPr="00E23C11">
        <w:rPr>
          <w:sz w:val="24"/>
          <w:szCs w:val="24"/>
        </w:rPr>
        <w:t>s</w:t>
      </w:r>
      <w:r w:rsidR="00607E7C" w:rsidRPr="00E23C11">
        <w:rPr>
          <w:sz w:val="24"/>
          <w:szCs w:val="24"/>
        </w:rPr>
        <w:t xml:space="preserve"> </w:t>
      </w:r>
      <w:r w:rsidR="00607E7C" w:rsidRPr="00E23C11">
        <w:rPr>
          <w:sz w:val="24"/>
          <w:szCs w:val="24"/>
          <w:lang w:val="en-US"/>
        </w:rPr>
        <w:t>et</w:t>
      </w:r>
      <w:r w:rsidR="00607E7C" w:rsidRPr="00E23C11">
        <w:rPr>
          <w:sz w:val="24"/>
          <w:szCs w:val="24"/>
        </w:rPr>
        <w:t xml:space="preserve"> </w:t>
      </w:r>
      <w:r w:rsidR="00607E7C" w:rsidRPr="00E23C11">
        <w:rPr>
          <w:sz w:val="24"/>
          <w:szCs w:val="24"/>
          <w:lang w:val="en-US"/>
        </w:rPr>
        <w:t>al</w:t>
      </w:r>
      <w:r w:rsidR="00607E7C" w:rsidRPr="00E23C11">
        <w:rPr>
          <w:sz w:val="24"/>
          <w:szCs w:val="24"/>
        </w:rPr>
        <w:t>.</w:t>
      </w:r>
      <w:r w:rsidR="00607E7C" w:rsidRPr="00607E7C">
        <w:rPr>
          <w:sz w:val="24"/>
          <w:szCs w:val="24"/>
        </w:rPr>
        <w:t xml:space="preserve"> </w:t>
      </w:r>
      <w:r w:rsidR="00A45BC1" w:rsidRPr="005A464E">
        <w:rPr>
          <w:sz w:val="24"/>
          <w:szCs w:val="24"/>
        </w:rPr>
        <w:t>(</w:t>
      </w:r>
      <w:r w:rsidR="0006764E" w:rsidRPr="005A464E">
        <w:rPr>
          <w:sz w:val="24"/>
          <w:szCs w:val="24"/>
        </w:rPr>
        <w:t>2000)</w:t>
      </w:r>
      <w:r w:rsidRPr="005A464E">
        <w:rPr>
          <w:sz w:val="24"/>
          <w:szCs w:val="24"/>
        </w:rPr>
        <w:t xml:space="preserve"> υποστήριξαν</w:t>
      </w:r>
      <w:r w:rsidR="009B082F" w:rsidRPr="005A464E">
        <w:rPr>
          <w:sz w:val="24"/>
          <w:szCs w:val="24"/>
        </w:rPr>
        <w:t xml:space="preserve"> ότι ο όρος «προσήλωση» προσφέρει μεγαλύτερη ευθύνη στον </w:t>
      </w:r>
      <w:r w:rsidR="0076549D">
        <w:rPr>
          <w:sz w:val="24"/>
          <w:szCs w:val="24"/>
        </w:rPr>
        <w:t>επαγγελματία υγείας</w:t>
      </w:r>
      <w:r w:rsidR="009B082F" w:rsidRPr="005A464E">
        <w:rPr>
          <w:sz w:val="24"/>
          <w:szCs w:val="24"/>
        </w:rPr>
        <w:t xml:space="preserve"> προκειμένου να οικοδομηθεί μια σχέση εμπιστοσύνης</w:t>
      </w:r>
      <w:r w:rsidR="0078495A">
        <w:rPr>
          <w:sz w:val="24"/>
          <w:szCs w:val="24"/>
        </w:rPr>
        <w:t xml:space="preserve"> </w:t>
      </w:r>
      <w:r w:rsidR="0076549D">
        <w:rPr>
          <w:sz w:val="24"/>
          <w:szCs w:val="24"/>
        </w:rPr>
        <w:t>μεταξύ επαγγελματία υγείας</w:t>
      </w:r>
      <w:r w:rsidR="009B082F" w:rsidRPr="005A464E">
        <w:rPr>
          <w:sz w:val="24"/>
          <w:szCs w:val="24"/>
        </w:rPr>
        <w:t xml:space="preserve"> και ασθενή. Ο όρος «προσήλωση» σέβεται τις πεποιθήσεις </w:t>
      </w:r>
      <w:r w:rsidR="00B0560D">
        <w:rPr>
          <w:sz w:val="24"/>
          <w:szCs w:val="24"/>
        </w:rPr>
        <w:t>του ασθενούς</w:t>
      </w:r>
      <w:r w:rsidR="009B082F" w:rsidRPr="005A464E">
        <w:rPr>
          <w:sz w:val="24"/>
          <w:szCs w:val="24"/>
        </w:rPr>
        <w:t xml:space="preserve"> και αντικατοπτρίζει το γεγονός ότι η λήψη</w:t>
      </w:r>
      <w:r w:rsidR="0078495A">
        <w:rPr>
          <w:sz w:val="24"/>
          <w:szCs w:val="24"/>
        </w:rPr>
        <w:t xml:space="preserve"> </w:t>
      </w:r>
      <w:r w:rsidR="009B082F" w:rsidRPr="005A464E">
        <w:rPr>
          <w:sz w:val="24"/>
          <w:szCs w:val="24"/>
        </w:rPr>
        <w:t>της φαρμακευτικής αγωγής δεν είναι πάντα ωφέλιμη</w:t>
      </w:r>
      <w:r w:rsidR="0006764E" w:rsidRPr="005A464E">
        <w:rPr>
          <w:sz w:val="24"/>
          <w:szCs w:val="24"/>
        </w:rPr>
        <w:t xml:space="preserve"> (Vermeire</w:t>
      </w:r>
      <w:r w:rsidR="00E8447F" w:rsidRPr="00E8447F">
        <w:rPr>
          <w:sz w:val="24"/>
          <w:szCs w:val="24"/>
        </w:rPr>
        <w:t xml:space="preserve"> </w:t>
      </w:r>
      <w:r w:rsidR="00E8447F">
        <w:rPr>
          <w:sz w:val="24"/>
          <w:szCs w:val="24"/>
          <w:lang w:val="en-US"/>
        </w:rPr>
        <w:t>et</w:t>
      </w:r>
      <w:r w:rsidR="00E8447F" w:rsidRPr="00E8447F">
        <w:rPr>
          <w:sz w:val="24"/>
          <w:szCs w:val="24"/>
        </w:rPr>
        <w:t xml:space="preserve"> </w:t>
      </w:r>
      <w:r w:rsidR="00E8447F">
        <w:rPr>
          <w:sz w:val="24"/>
          <w:szCs w:val="24"/>
          <w:lang w:val="en-US"/>
        </w:rPr>
        <w:t>al</w:t>
      </w:r>
      <w:r w:rsidR="00E8447F" w:rsidRPr="00E8447F">
        <w:rPr>
          <w:sz w:val="24"/>
          <w:szCs w:val="24"/>
        </w:rPr>
        <w:t>.</w:t>
      </w:r>
      <w:r w:rsidR="00D75F89">
        <w:rPr>
          <w:sz w:val="24"/>
          <w:szCs w:val="24"/>
        </w:rPr>
        <w:t>,</w:t>
      </w:r>
      <w:r w:rsidR="0006764E" w:rsidRPr="005A464E">
        <w:rPr>
          <w:sz w:val="24"/>
          <w:szCs w:val="24"/>
        </w:rPr>
        <w:t xml:space="preserve"> 2001)</w:t>
      </w:r>
      <w:r w:rsidR="009B082F" w:rsidRPr="005A464E">
        <w:rPr>
          <w:sz w:val="24"/>
          <w:szCs w:val="24"/>
        </w:rPr>
        <w:t>. Επιπλέον, η προσή</w:t>
      </w:r>
      <w:r w:rsidR="0076549D">
        <w:rPr>
          <w:sz w:val="24"/>
          <w:szCs w:val="24"/>
        </w:rPr>
        <w:t xml:space="preserve">λωση προϋποθέτει ενεργό ρόλο </w:t>
      </w:r>
      <w:r w:rsidR="00B0560D">
        <w:rPr>
          <w:sz w:val="24"/>
          <w:szCs w:val="24"/>
        </w:rPr>
        <w:t>του ασθενούς</w:t>
      </w:r>
      <w:r w:rsidR="0076549D">
        <w:rPr>
          <w:sz w:val="24"/>
          <w:szCs w:val="24"/>
        </w:rPr>
        <w:t xml:space="preserve"> ο οποίος κατασκευάζει μια θεραπευτική σχέση με τον επαγγελματία</w:t>
      </w:r>
      <w:r w:rsidR="009B082F" w:rsidRPr="005A464E">
        <w:rPr>
          <w:sz w:val="24"/>
          <w:szCs w:val="24"/>
        </w:rPr>
        <w:t xml:space="preserve"> υγείας. Είναι ενδιαφέρ</w:t>
      </w:r>
      <w:r w:rsidR="008741A3">
        <w:rPr>
          <w:sz w:val="24"/>
          <w:szCs w:val="24"/>
        </w:rPr>
        <w:t>ον ότι</w:t>
      </w:r>
      <w:r w:rsidRPr="005A464E">
        <w:rPr>
          <w:sz w:val="24"/>
          <w:szCs w:val="24"/>
        </w:rPr>
        <w:t xml:space="preserve"> η αποτυχία να «προσκολλη</w:t>
      </w:r>
      <w:r w:rsidR="009B082F" w:rsidRPr="005A464E">
        <w:rPr>
          <w:sz w:val="24"/>
          <w:szCs w:val="24"/>
        </w:rPr>
        <w:t>θεί» δεν πρέπει να αποτελεί δικαιολογία για να κατηγορηθεί</w:t>
      </w:r>
      <w:r w:rsidR="0078495A">
        <w:rPr>
          <w:sz w:val="24"/>
          <w:szCs w:val="24"/>
        </w:rPr>
        <w:t xml:space="preserve"> </w:t>
      </w:r>
      <w:r w:rsidR="009B082F" w:rsidRPr="005A464E">
        <w:rPr>
          <w:sz w:val="24"/>
          <w:szCs w:val="24"/>
        </w:rPr>
        <w:t>μόνο ο ασθενής</w:t>
      </w:r>
      <w:r w:rsidR="0006764E" w:rsidRPr="005A464E">
        <w:rPr>
          <w:sz w:val="24"/>
          <w:szCs w:val="24"/>
        </w:rPr>
        <w:t xml:space="preserve"> (</w:t>
      </w:r>
      <w:r w:rsidR="00CA3D52" w:rsidRPr="005A464E">
        <w:rPr>
          <w:sz w:val="24"/>
          <w:szCs w:val="24"/>
        </w:rPr>
        <w:t>Chisholm</w:t>
      </w:r>
      <w:r w:rsidR="00E8447F" w:rsidRPr="00E8447F">
        <w:rPr>
          <w:sz w:val="24"/>
          <w:szCs w:val="24"/>
        </w:rPr>
        <w:t>,</w:t>
      </w:r>
      <w:r w:rsidR="00CA3D52" w:rsidRPr="005A464E">
        <w:rPr>
          <w:sz w:val="24"/>
          <w:szCs w:val="24"/>
        </w:rPr>
        <w:t xml:space="preserve"> 2000;</w:t>
      </w:r>
      <w:r w:rsidR="008E7ECD">
        <w:rPr>
          <w:sz w:val="24"/>
          <w:szCs w:val="24"/>
        </w:rPr>
        <w:t xml:space="preserve"> Akerblad,</w:t>
      </w:r>
      <w:r w:rsidR="008E7ECD" w:rsidRPr="008E7ECD">
        <w:rPr>
          <w:rFonts w:asciiTheme="minorHAnsi" w:hAnsiTheme="minorHAnsi" w:cstheme="minorHAnsi"/>
        </w:rPr>
        <w:t xml:space="preserve"> </w:t>
      </w:r>
      <w:r w:rsidR="008E7ECD" w:rsidRPr="008E7ECD">
        <w:rPr>
          <w:rFonts w:asciiTheme="minorHAnsi" w:hAnsiTheme="minorHAnsi" w:cstheme="minorHAnsi"/>
          <w:sz w:val="24"/>
          <w:szCs w:val="24"/>
          <w:lang w:val="en-US"/>
        </w:rPr>
        <w:t>Bengtsson</w:t>
      </w:r>
      <w:r w:rsidR="008E7ECD">
        <w:rPr>
          <w:rFonts w:asciiTheme="minorHAnsi" w:hAnsiTheme="minorHAnsi" w:cstheme="minorHAnsi"/>
          <w:sz w:val="24"/>
          <w:szCs w:val="24"/>
        </w:rPr>
        <w:t>,</w:t>
      </w:r>
      <w:r w:rsidR="008E7ECD" w:rsidRPr="008E7ECD">
        <w:rPr>
          <w:rFonts w:asciiTheme="minorHAnsi" w:hAnsiTheme="minorHAnsi" w:cstheme="minorHAnsi"/>
          <w:sz w:val="24"/>
          <w:szCs w:val="24"/>
        </w:rPr>
        <w:t xml:space="preserve"> </w:t>
      </w:r>
      <w:r w:rsidR="008E7ECD" w:rsidRPr="008E7ECD">
        <w:rPr>
          <w:rFonts w:asciiTheme="minorHAnsi" w:hAnsiTheme="minorHAnsi" w:cstheme="minorHAnsi"/>
          <w:sz w:val="24"/>
          <w:szCs w:val="24"/>
          <w:lang w:val="en-US"/>
        </w:rPr>
        <w:t>Ekselius</w:t>
      </w:r>
      <w:r w:rsidR="008E7ECD">
        <w:rPr>
          <w:rFonts w:asciiTheme="minorHAnsi" w:hAnsiTheme="minorHAnsi" w:cstheme="minorHAnsi"/>
          <w:sz w:val="24"/>
          <w:szCs w:val="24"/>
        </w:rPr>
        <w:t>,</w:t>
      </w:r>
      <w:r w:rsidR="008E7ECD" w:rsidRPr="008E7ECD">
        <w:rPr>
          <w:rFonts w:asciiTheme="minorHAnsi" w:hAnsiTheme="minorHAnsi" w:cstheme="minorHAnsi"/>
          <w:sz w:val="24"/>
          <w:szCs w:val="24"/>
        </w:rPr>
        <w:t xml:space="preserve"> &amp; </w:t>
      </w:r>
      <w:r w:rsidR="008E7ECD" w:rsidRPr="008E7ECD">
        <w:rPr>
          <w:rFonts w:asciiTheme="minorHAnsi" w:hAnsiTheme="minorHAnsi" w:cstheme="minorHAnsi"/>
          <w:sz w:val="24"/>
          <w:szCs w:val="24"/>
          <w:lang w:val="en-US"/>
        </w:rPr>
        <w:t>von</w:t>
      </w:r>
      <w:r w:rsidR="008E7ECD" w:rsidRPr="008E7ECD">
        <w:rPr>
          <w:rFonts w:asciiTheme="minorHAnsi" w:hAnsiTheme="minorHAnsi" w:cstheme="minorHAnsi"/>
          <w:sz w:val="24"/>
          <w:szCs w:val="24"/>
        </w:rPr>
        <w:t xml:space="preserve"> </w:t>
      </w:r>
      <w:r w:rsidR="008E7ECD" w:rsidRPr="008E7ECD">
        <w:rPr>
          <w:rFonts w:asciiTheme="minorHAnsi" w:hAnsiTheme="minorHAnsi" w:cstheme="minorHAnsi"/>
          <w:sz w:val="24"/>
          <w:szCs w:val="24"/>
          <w:lang w:val="en-US"/>
        </w:rPr>
        <w:t>Knorring</w:t>
      </w:r>
      <w:r w:rsidR="00E8447F" w:rsidRPr="008E7ECD">
        <w:rPr>
          <w:sz w:val="24"/>
          <w:szCs w:val="24"/>
        </w:rPr>
        <w:t xml:space="preserve"> </w:t>
      </w:r>
      <w:r w:rsidR="0006764E" w:rsidRPr="008E7ECD">
        <w:rPr>
          <w:sz w:val="24"/>
          <w:szCs w:val="24"/>
        </w:rPr>
        <w:t>2003</w:t>
      </w:r>
      <w:r w:rsidR="0006764E" w:rsidRPr="005A464E">
        <w:rPr>
          <w:sz w:val="24"/>
          <w:szCs w:val="24"/>
        </w:rPr>
        <w:t>;</w:t>
      </w:r>
      <w:r w:rsidR="00E8447F" w:rsidRPr="00E8447F">
        <w:rPr>
          <w:sz w:val="24"/>
          <w:szCs w:val="24"/>
        </w:rPr>
        <w:t xml:space="preserve"> </w:t>
      </w:r>
      <w:r w:rsidR="0006764E" w:rsidRPr="005A464E">
        <w:rPr>
          <w:sz w:val="24"/>
          <w:szCs w:val="24"/>
        </w:rPr>
        <w:t>Horn</w:t>
      </w:r>
      <w:r w:rsidR="000E03F0">
        <w:rPr>
          <w:sz w:val="24"/>
          <w:szCs w:val="24"/>
        </w:rPr>
        <w:t xml:space="preserve">e, </w:t>
      </w:r>
      <w:r w:rsidR="000E03F0" w:rsidRPr="000E03F0">
        <w:rPr>
          <w:rStyle w:val="element-citation"/>
          <w:rFonts w:asciiTheme="minorHAnsi" w:hAnsiTheme="minorHAnsi" w:cstheme="minorHAnsi"/>
          <w:sz w:val="24"/>
          <w:szCs w:val="24"/>
          <w:lang w:val="en-US"/>
        </w:rPr>
        <w:t>Weinman</w:t>
      </w:r>
      <w:r w:rsidR="000E03F0" w:rsidRPr="000E03F0">
        <w:rPr>
          <w:rStyle w:val="element-citation"/>
          <w:rFonts w:asciiTheme="minorHAnsi" w:hAnsiTheme="minorHAnsi" w:cstheme="minorHAnsi"/>
          <w:sz w:val="24"/>
          <w:szCs w:val="24"/>
        </w:rPr>
        <w:t xml:space="preserve">, </w:t>
      </w:r>
      <w:r w:rsidR="000E03F0" w:rsidRPr="000E03F0">
        <w:rPr>
          <w:rStyle w:val="element-citation"/>
          <w:rFonts w:asciiTheme="minorHAnsi" w:hAnsiTheme="minorHAnsi" w:cstheme="minorHAnsi"/>
          <w:sz w:val="24"/>
          <w:szCs w:val="24"/>
          <w:lang w:val="en-US"/>
        </w:rPr>
        <w:t>Barber</w:t>
      </w:r>
      <w:r w:rsidR="000E03F0" w:rsidRPr="000E03F0">
        <w:rPr>
          <w:rStyle w:val="element-citation"/>
          <w:rFonts w:asciiTheme="minorHAnsi" w:hAnsiTheme="minorHAnsi" w:cstheme="minorHAnsi"/>
          <w:sz w:val="24"/>
          <w:szCs w:val="24"/>
        </w:rPr>
        <w:t xml:space="preserve">, </w:t>
      </w:r>
      <w:r w:rsidR="000E03F0" w:rsidRPr="000E03F0">
        <w:rPr>
          <w:rStyle w:val="element-citation"/>
          <w:rFonts w:asciiTheme="minorHAnsi" w:hAnsiTheme="minorHAnsi" w:cstheme="minorHAnsi"/>
          <w:sz w:val="24"/>
          <w:szCs w:val="24"/>
          <w:lang w:val="en-US"/>
        </w:rPr>
        <w:t>Elliot</w:t>
      </w:r>
      <w:r w:rsidR="000E03F0">
        <w:rPr>
          <w:rStyle w:val="element-citation"/>
          <w:rFonts w:asciiTheme="minorHAnsi" w:hAnsiTheme="minorHAnsi" w:cstheme="minorHAnsi"/>
          <w:sz w:val="24"/>
          <w:szCs w:val="24"/>
        </w:rPr>
        <w:t>,</w:t>
      </w:r>
      <w:r w:rsidR="000E03F0" w:rsidRPr="000E03F0">
        <w:rPr>
          <w:rStyle w:val="element-citation"/>
          <w:rFonts w:asciiTheme="minorHAnsi" w:hAnsiTheme="minorHAnsi" w:cstheme="minorHAnsi"/>
          <w:sz w:val="24"/>
          <w:szCs w:val="24"/>
        </w:rPr>
        <w:t xml:space="preserve"> &amp; </w:t>
      </w:r>
      <w:r w:rsidR="000E03F0" w:rsidRPr="000E03F0">
        <w:rPr>
          <w:rStyle w:val="element-citation"/>
          <w:rFonts w:asciiTheme="minorHAnsi" w:hAnsiTheme="minorHAnsi" w:cstheme="minorHAnsi"/>
          <w:sz w:val="24"/>
          <w:szCs w:val="24"/>
          <w:lang w:val="en-US"/>
        </w:rPr>
        <w:t>Morgan</w:t>
      </w:r>
      <w:r w:rsidR="000E03F0">
        <w:rPr>
          <w:rStyle w:val="element-citation"/>
          <w:rFonts w:asciiTheme="minorHAnsi" w:hAnsiTheme="minorHAnsi" w:cstheme="minorHAnsi"/>
          <w:sz w:val="24"/>
          <w:szCs w:val="24"/>
        </w:rPr>
        <w:t>,</w:t>
      </w:r>
      <w:r w:rsidR="000E03F0" w:rsidRPr="000E03F0">
        <w:rPr>
          <w:sz w:val="24"/>
          <w:szCs w:val="24"/>
        </w:rPr>
        <w:t xml:space="preserve"> </w:t>
      </w:r>
      <w:r w:rsidR="00CA3D52" w:rsidRPr="000E03F0">
        <w:rPr>
          <w:sz w:val="24"/>
          <w:szCs w:val="24"/>
        </w:rPr>
        <w:t>2005</w:t>
      </w:r>
      <w:r w:rsidR="0006764E" w:rsidRPr="000E03F0">
        <w:rPr>
          <w:sz w:val="24"/>
          <w:szCs w:val="24"/>
        </w:rPr>
        <w:t>)</w:t>
      </w:r>
      <w:r w:rsidR="00CA3D52" w:rsidRPr="000E03F0">
        <w:rPr>
          <w:sz w:val="24"/>
          <w:szCs w:val="24"/>
        </w:rPr>
        <w:t>.</w:t>
      </w:r>
    </w:p>
    <w:p w:rsidR="009B082F" w:rsidRPr="005A464E" w:rsidRDefault="009B082F" w:rsidP="005A464E">
      <w:pPr>
        <w:spacing w:line="360" w:lineRule="auto"/>
        <w:jc w:val="both"/>
        <w:rPr>
          <w:sz w:val="24"/>
          <w:szCs w:val="24"/>
        </w:rPr>
      </w:pPr>
      <w:r w:rsidRPr="000E03F0">
        <w:rPr>
          <w:sz w:val="24"/>
          <w:szCs w:val="24"/>
        </w:rPr>
        <w:t xml:space="preserve">Σύμφωνα με </w:t>
      </w:r>
      <w:r w:rsidRPr="00E94504">
        <w:rPr>
          <w:sz w:val="24"/>
          <w:szCs w:val="24"/>
        </w:rPr>
        <w:t>τον ΠΟ</w:t>
      </w:r>
      <w:r w:rsidR="0076549D" w:rsidRPr="00E94504">
        <w:rPr>
          <w:sz w:val="24"/>
          <w:szCs w:val="24"/>
        </w:rPr>
        <w:t>Υ</w:t>
      </w:r>
      <w:r w:rsidRPr="00E94504">
        <w:rPr>
          <w:sz w:val="24"/>
          <w:szCs w:val="24"/>
        </w:rPr>
        <w:t xml:space="preserve"> </w:t>
      </w:r>
      <w:r w:rsidR="0006764E" w:rsidRPr="00E94504">
        <w:rPr>
          <w:sz w:val="24"/>
          <w:szCs w:val="24"/>
        </w:rPr>
        <w:t>(Sabaté</w:t>
      </w:r>
      <w:r w:rsidR="00764A28" w:rsidRPr="000E03F0">
        <w:rPr>
          <w:sz w:val="24"/>
          <w:szCs w:val="24"/>
        </w:rPr>
        <w:t xml:space="preserve">, </w:t>
      </w:r>
      <w:r w:rsidR="0006764E" w:rsidRPr="000E03F0">
        <w:rPr>
          <w:sz w:val="24"/>
          <w:szCs w:val="24"/>
        </w:rPr>
        <w:t>2003)</w:t>
      </w:r>
      <w:r w:rsidR="001078B1" w:rsidRPr="000E03F0">
        <w:rPr>
          <w:sz w:val="24"/>
          <w:szCs w:val="24"/>
        </w:rPr>
        <w:t xml:space="preserve"> </w:t>
      </w:r>
      <w:r w:rsidRPr="000E03F0">
        <w:rPr>
          <w:sz w:val="24"/>
          <w:szCs w:val="24"/>
        </w:rPr>
        <w:t>«προσκόλληση</w:t>
      </w:r>
      <w:r w:rsidRPr="005A464E">
        <w:rPr>
          <w:sz w:val="24"/>
          <w:szCs w:val="24"/>
        </w:rPr>
        <w:t xml:space="preserve">» είναι: </w:t>
      </w:r>
      <w:r w:rsidR="004E489C">
        <w:rPr>
          <w:sz w:val="24"/>
          <w:szCs w:val="24"/>
        </w:rPr>
        <w:t>«</w:t>
      </w:r>
      <w:r w:rsidRPr="0048163E">
        <w:rPr>
          <w:i/>
          <w:sz w:val="24"/>
          <w:szCs w:val="24"/>
        </w:rPr>
        <w:t>ο βαθμός στον οποίο η συμπεριφορά ενός ατόμου (λήψη φαρμάκων, τήρηση της συνιστώμενης δίαιτας και / ή την αλλαγή του τρόπου ζωής) αντιστοιχεί με τις συμφωνηθείσες συστάσει</w:t>
      </w:r>
      <w:r w:rsidR="0076549D" w:rsidRPr="0048163E">
        <w:rPr>
          <w:i/>
          <w:sz w:val="24"/>
          <w:szCs w:val="24"/>
        </w:rPr>
        <w:t>ς των επαγγελματιών υγείας</w:t>
      </w:r>
      <w:r w:rsidR="004E489C">
        <w:rPr>
          <w:sz w:val="24"/>
          <w:szCs w:val="24"/>
        </w:rPr>
        <w:t>»</w:t>
      </w:r>
      <w:r w:rsidR="0076549D">
        <w:rPr>
          <w:sz w:val="24"/>
          <w:szCs w:val="24"/>
        </w:rPr>
        <w:t>. Παρ</w:t>
      </w:r>
      <w:r w:rsidRPr="005A464E">
        <w:rPr>
          <w:sz w:val="24"/>
          <w:szCs w:val="24"/>
        </w:rPr>
        <w:t>'</w:t>
      </w:r>
      <w:r w:rsidR="0076549D">
        <w:rPr>
          <w:sz w:val="24"/>
          <w:szCs w:val="24"/>
        </w:rPr>
        <w:t xml:space="preserve"> </w:t>
      </w:r>
      <w:r w:rsidRPr="005A464E">
        <w:rPr>
          <w:sz w:val="24"/>
          <w:szCs w:val="24"/>
        </w:rPr>
        <w:t>όλα αυτά, η βιβλιογραφία δεν αναφέρει πώς μπορεί να επιτευχθεί σ</w:t>
      </w:r>
      <w:r w:rsidR="0006764E" w:rsidRPr="005A464E">
        <w:rPr>
          <w:sz w:val="24"/>
          <w:szCs w:val="24"/>
        </w:rPr>
        <w:t xml:space="preserve">υμφωνία και από τις </w:t>
      </w:r>
      <w:r w:rsidR="00BA566F">
        <w:rPr>
          <w:sz w:val="24"/>
          <w:szCs w:val="24"/>
        </w:rPr>
        <w:t xml:space="preserve">δύο </w:t>
      </w:r>
      <w:r w:rsidR="0006764E" w:rsidRPr="005A464E">
        <w:rPr>
          <w:sz w:val="24"/>
          <w:szCs w:val="24"/>
        </w:rPr>
        <w:t>πλευρές (Bissonnette</w:t>
      </w:r>
      <w:r w:rsidR="008D6216" w:rsidRPr="008D6216">
        <w:rPr>
          <w:sz w:val="24"/>
          <w:szCs w:val="24"/>
        </w:rPr>
        <w:t>,</w:t>
      </w:r>
      <w:r w:rsidR="0006764E" w:rsidRPr="005A464E">
        <w:rPr>
          <w:sz w:val="24"/>
          <w:szCs w:val="24"/>
        </w:rPr>
        <w:t xml:space="preserve"> 2008).</w:t>
      </w:r>
      <w:r w:rsidRPr="005A464E">
        <w:rPr>
          <w:sz w:val="24"/>
          <w:szCs w:val="24"/>
        </w:rPr>
        <w:t xml:space="preserve"> Άλλοι ορισμοί που παρατίθενται στη βιβλιογραφία είναι: «</w:t>
      </w:r>
      <w:r w:rsidRPr="0048163E">
        <w:rPr>
          <w:i/>
          <w:sz w:val="24"/>
          <w:szCs w:val="24"/>
        </w:rPr>
        <w:t>ο βαθμός στον οποίο οι ασθενείς ακολουθούν τις οδηγίες</w:t>
      </w:r>
      <w:r w:rsidRPr="005A464E">
        <w:rPr>
          <w:sz w:val="24"/>
          <w:szCs w:val="24"/>
        </w:rPr>
        <w:t xml:space="preserve">» </w:t>
      </w:r>
      <w:r w:rsidR="0006764E" w:rsidRPr="005A464E">
        <w:rPr>
          <w:sz w:val="24"/>
          <w:szCs w:val="24"/>
        </w:rPr>
        <w:t>(Haynes</w:t>
      </w:r>
      <w:r w:rsidR="00CA3D52" w:rsidRPr="005A464E">
        <w:rPr>
          <w:sz w:val="24"/>
          <w:szCs w:val="24"/>
        </w:rPr>
        <w:t xml:space="preserve"> </w:t>
      </w:r>
      <w:r w:rsidR="00566CAA">
        <w:rPr>
          <w:sz w:val="24"/>
          <w:szCs w:val="24"/>
        </w:rPr>
        <w:t>et al</w:t>
      </w:r>
      <w:r w:rsidR="00E8447F" w:rsidRPr="00E8447F">
        <w:rPr>
          <w:sz w:val="24"/>
          <w:szCs w:val="24"/>
        </w:rPr>
        <w:t>.</w:t>
      </w:r>
      <w:r w:rsidR="00992F7C" w:rsidRPr="00992F7C">
        <w:rPr>
          <w:sz w:val="24"/>
          <w:szCs w:val="24"/>
        </w:rPr>
        <w:t>,</w:t>
      </w:r>
      <w:r w:rsidR="0006764E" w:rsidRPr="005A464E">
        <w:rPr>
          <w:sz w:val="24"/>
          <w:szCs w:val="24"/>
        </w:rPr>
        <w:t xml:space="preserve"> 2005)</w:t>
      </w:r>
      <w:r w:rsidRPr="005A464E">
        <w:rPr>
          <w:sz w:val="24"/>
          <w:szCs w:val="24"/>
        </w:rPr>
        <w:t>, «</w:t>
      </w:r>
      <w:r w:rsidRPr="0048163E">
        <w:rPr>
          <w:i/>
          <w:sz w:val="24"/>
          <w:szCs w:val="24"/>
        </w:rPr>
        <w:t>ο βαθμός στον οποίο η δράση ή η συμπεριφορά ενός ατόμου συμπίπτει με τις συμβουλές ή τις οδηγίες</w:t>
      </w:r>
      <w:r w:rsidR="0006764E" w:rsidRPr="005A464E">
        <w:rPr>
          <w:sz w:val="24"/>
          <w:szCs w:val="24"/>
        </w:rPr>
        <w:t>» (Christensen</w:t>
      </w:r>
      <w:r w:rsidR="00E8447F" w:rsidRPr="00E8447F">
        <w:rPr>
          <w:sz w:val="24"/>
          <w:szCs w:val="24"/>
        </w:rPr>
        <w:t xml:space="preserve">, </w:t>
      </w:r>
      <w:r w:rsidR="0006764E" w:rsidRPr="005A464E">
        <w:rPr>
          <w:sz w:val="24"/>
          <w:szCs w:val="24"/>
        </w:rPr>
        <w:t>2004).</w:t>
      </w:r>
    </w:p>
    <w:p w:rsidR="009B082F" w:rsidRPr="005A464E" w:rsidRDefault="009B082F" w:rsidP="005A464E">
      <w:pPr>
        <w:spacing w:line="360" w:lineRule="auto"/>
        <w:jc w:val="both"/>
        <w:rPr>
          <w:sz w:val="24"/>
          <w:szCs w:val="24"/>
        </w:rPr>
      </w:pPr>
      <w:r w:rsidRPr="005A464E">
        <w:rPr>
          <w:sz w:val="24"/>
          <w:szCs w:val="24"/>
        </w:rPr>
        <w:t xml:space="preserve">Ο </w:t>
      </w:r>
      <w:r w:rsidR="0006764E" w:rsidRPr="005A464E">
        <w:rPr>
          <w:sz w:val="24"/>
          <w:szCs w:val="24"/>
        </w:rPr>
        <w:t>Reach (2008)</w:t>
      </w:r>
      <w:r w:rsidRPr="005A464E">
        <w:rPr>
          <w:sz w:val="24"/>
          <w:szCs w:val="24"/>
        </w:rPr>
        <w:t xml:space="preserve"> περιγράφει την μη προσκόλληση ως «διαταραχή» και συγκεκριμένα ως εκδήλωση του συνδρόμου της «αδυναμίας της βούλησης». Ο</w:t>
      </w:r>
      <w:r w:rsidR="00992F7C">
        <w:rPr>
          <w:sz w:val="24"/>
          <w:szCs w:val="24"/>
        </w:rPr>
        <w:t>ι</w:t>
      </w:r>
      <w:r w:rsidRPr="005A464E">
        <w:rPr>
          <w:sz w:val="24"/>
          <w:szCs w:val="24"/>
        </w:rPr>
        <w:t xml:space="preserve"> </w:t>
      </w:r>
      <w:r w:rsidR="00A45BC1" w:rsidRPr="005A464E">
        <w:rPr>
          <w:sz w:val="24"/>
          <w:szCs w:val="24"/>
          <w:lang w:val="en-US"/>
        </w:rPr>
        <w:t>Nos</w:t>
      </w:r>
      <w:r w:rsidR="00A45BC1" w:rsidRPr="005A464E">
        <w:rPr>
          <w:rFonts w:cstheme="minorHAnsi"/>
          <w:sz w:val="24"/>
          <w:szCs w:val="24"/>
        </w:rPr>
        <w:t>é</w:t>
      </w:r>
      <w:r w:rsidR="00992F7C">
        <w:rPr>
          <w:sz w:val="24"/>
          <w:szCs w:val="24"/>
        </w:rPr>
        <w:t xml:space="preserve">, </w:t>
      </w:r>
      <w:r w:rsidR="00992F7C" w:rsidRPr="00992F7C">
        <w:rPr>
          <w:rFonts w:asciiTheme="minorHAnsi" w:hAnsiTheme="minorHAnsi" w:cstheme="minorHAnsi"/>
          <w:color w:val="000000"/>
          <w:sz w:val="24"/>
          <w:szCs w:val="24"/>
          <w:lang w:val="en-US"/>
        </w:rPr>
        <w:t>Barbui</w:t>
      </w:r>
      <w:r w:rsidR="00992F7C" w:rsidRPr="00992F7C">
        <w:rPr>
          <w:rFonts w:asciiTheme="minorHAnsi" w:hAnsiTheme="minorHAnsi" w:cstheme="minorHAnsi"/>
          <w:color w:val="000000"/>
          <w:sz w:val="24"/>
          <w:szCs w:val="24"/>
        </w:rPr>
        <w:t xml:space="preserve">, </w:t>
      </w:r>
      <w:r w:rsidR="00992F7C" w:rsidRPr="00992F7C">
        <w:rPr>
          <w:rFonts w:asciiTheme="minorHAnsi" w:hAnsiTheme="minorHAnsi" w:cstheme="minorHAnsi"/>
          <w:color w:val="000000"/>
          <w:sz w:val="24"/>
          <w:szCs w:val="24"/>
          <w:lang w:val="en-US"/>
        </w:rPr>
        <w:t>Gray</w:t>
      </w:r>
      <w:r w:rsidR="00992F7C" w:rsidRPr="00992F7C">
        <w:rPr>
          <w:rFonts w:asciiTheme="minorHAnsi" w:hAnsiTheme="minorHAnsi" w:cstheme="minorHAnsi"/>
          <w:color w:val="000000"/>
          <w:sz w:val="24"/>
          <w:szCs w:val="24"/>
        </w:rPr>
        <w:t xml:space="preserve"> &amp; </w:t>
      </w:r>
      <w:r w:rsidR="00992F7C" w:rsidRPr="00992F7C">
        <w:rPr>
          <w:rFonts w:asciiTheme="minorHAnsi" w:hAnsiTheme="minorHAnsi" w:cstheme="minorHAnsi"/>
          <w:color w:val="000000"/>
          <w:sz w:val="24"/>
          <w:szCs w:val="24"/>
          <w:lang w:val="en-US"/>
        </w:rPr>
        <w:t>Tansella</w:t>
      </w:r>
      <w:r w:rsidR="00992F7C">
        <w:rPr>
          <w:rFonts w:asciiTheme="minorHAnsi" w:hAnsiTheme="minorHAnsi" w:cstheme="minorHAnsi"/>
          <w:color w:val="000000"/>
          <w:sz w:val="24"/>
          <w:szCs w:val="24"/>
        </w:rPr>
        <w:t xml:space="preserve"> (</w:t>
      </w:r>
      <w:r w:rsidR="0006764E" w:rsidRPr="00992F7C">
        <w:rPr>
          <w:sz w:val="24"/>
          <w:szCs w:val="24"/>
        </w:rPr>
        <w:t>2003)</w:t>
      </w:r>
      <w:r w:rsidR="008741A3">
        <w:rPr>
          <w:sz w:val="24"/>
          <w:szCs w:val="24"/>
        </w:rPr>
        <w:t xml:space="preserve"> όρισαν</w:t>
      </w:r>
      <w:r w:rsidRPr="00992F7C">
        <w:rPr>
          <w:sz w:val="24"/>
          <w:szCs w:val="24"/>
        </w:rPr>
        <w:t xml:space="preserve"> τη</w:t>
      </w:r>
      <w:r w:rsidR="0078495A">
        <w:rPr>
          <w:sz w:val="24"/>
          <w:szCs w:val="24"/>
        </w:rPr>
        <w:t xml:space="preserve"> </w:t>
      </w:r>
      <w:r w:rsidRPr="00992F7C">
        <w:rPr>
          <w:sz w:val="24"/>
          <w:szCs w:val="24"/>
        </w:rPr>
        <w:t>μη προσκόλληση ως την αποτυχ</w:t>
      </w:r>
      <w:r w:rsidRPr="005A464E">
        <w:rPr>
          <w:sz w:val="24"/>
          <w:szCs w:val="24"/>
        </w:rPr>
        <w:t>ία να ακολουθήσει μια θεραπευτική αγωγή, την πρ</w:t>
      </w:r>
      <w:r w:rsidR="0076549D">
        <w:rPr>
          <w:sz w:val="24"/>
          <w:szCs w:val="24"/>
        </w:rPr>
        <w:t xml:space="preserve">όωρη λήξη της θεραπείας και τη </w:t>
      </w:r>
      <w:r w:rsidR="0076549D" w:rsidRPr="002B4013">
        <w:rPr>
          <w:sz w:val="24"/>
          <w:szCs w:val="24"/>
        </w:rPr>
        <w:t>λανθασμένη</w:t>
      </w:r>
      <w:r w:rsidRPr="002B4013">
        <w:rPr>
          <w:sz w:val="24"/>
          <w:szCs w:val="24"/>
        </w:rPr>
        <w:t xml:space="preserve"> εφαρμογή των οδηγιών, ενώ ο</w:t>
      </w:r>
      <w:r w:rsidR="00CA3D52" w:rsidRPr="002B4013">
        <w:rPr>
          <w:sz w:val="24"/>
          <w:szCs w:val="24"/>
        </w:rPr>
        <w:t>ι</w:t>
      </w:r>
      <w:r w:rsidRPr="002B4013">
        <w:rPr>
          <w:sz w:val="24"/>
          <w:szCs w:val="24"/>
        </w:rPr>
        <w:t xml:space="preserve"> Nichols-English</w:t>
      </w:r>
      <w:r w:rsidR="0006764E" w:rsidRPr="002B4013">
        <w:rPr>
          <w:sz w:val="24"/>
          <w:szCs w:val="24"/>
        </w:rPr>
        <w:t xml:space="preserve"> </w:t>
      </w:r>
      <w:r w:rsidR="00CA3D52" w:rsidRPr="002B4013">
        <w:rPr>
          <w:sz w:val="24"/>
          <w:szCs w:val="24"/>
        </w:rPr>
        <w:t>&amp;</w:t>
      </w:r>
      <w:r w:rsidR="00CA3D52" w:rsidRPr="002B4013">
        <w:rPr>
          <w:rFonts w:cstheme="minorHAnsi"/>
        </w:rPr>
        <w:t xml:space="preserve"> </w:t>
      </w:r>
      <w:r w:rsidR="00CA3D52" w:rsidRPr="002B4013">
        <w:rPr>
          <w:rFonts w:cstheme="minorHAnsi"/>
          <w:sz w:val="24"/>
          <w:szCs w:val="24"/>
          <w:lang w:val="en-US"/>
        </w:rPr>
        <w:t>Poirier</w:t>
      </w:r>
      <w:r w:rsidR="00CA3D52" w:rsidRPr="002B4013">
        <w:rPr>
          <w:sz w:val="24"/>
          <w:szCs w:val="24"/>
        </w:rPr>
        <w:t xml:space="preserve"> </w:t>
      </w:r>
      <w:r w:rsidR="0006764E" w:rsidRPr="002B4013">
        <w:rPr>
          <w:sz w:val="24"/>
          <w:szCs w:val="24"/>
        </w:rPr>
        <w:t>(2000)</w:t>
      </w:r>
      <w:r w:rsidRPr="002B4013">
        <w:rPr>
          <w:sz w:val="24"/>
          <w:szCs w:val="24"/>
        </w:rPr>
        <w:t xml:space="preserve"> </w:t>
      </w:r>
      <w:r w:rsidR="00CA3D52" w:rsidRPr="002B4013">
        <w:rPr>
          <w:sz w:val="24"/>
          <w:szCs w:val="24"/>
        </w:rPr>
        <w:t>σημείωσαν</w:t>
      </w:r>
      <w:r w:rsidR="00C33065" w:rsidRPr="002B4013">
        <w:rPr>
          <w:sz w:val="24"/>
          <w:szCs w:val="24"/>
        </w:rPr>
        <w:t xml:space="preserve"> ότι η μη προσκόλληση</w:t>
      </w:r>
      <w:r w:rsidRPr="002B4013">
        <w:rPr>
          <w:sz w:val="24"/>
          <w:szCs w:val="24"/>
        </w:rPr>
        <w:t xml:space="preserve"> μπορεί να υπάρχει σε διάφορες μορφές, όπως το να μην έχει μια συνταγή, να μην λάβ</w:t>
      </w:r>
      <w:r w:rsidR="008741A3" w:rsidRPr="002B4013">
        <w:rPr>
          <w:sz w:val="24"/>
          <w:szCs w:val="24"/>
        </w:rPr>
        <w:t>ει τη σωστή δ</w:t>
      </w:r>
      <w:r w:rsidR="002B4013" w:rsidRPr="002B4013">
        <w:rPr>
          <w:sz w:val="24"/>
          <w:szCs w:val="24"/>
        </w:rPr>
        <w:t>οσολογία</w:t>
      </w:r>
      <w:r w:rsidR="002B4013">
        <w:rPr>
          <w:sz w:val="24"/>
          <w:szCs w:val="24"/>
        </w:rPr>
        <w:t xml:space="preserve"> ή</w:t>
      </w:r>
      <w:r w:rsidR="00992F7C" w:rsidRPr="002B4013">
        <w:rPr>
          <w:sz w:val="24"/>
          <w:szCs w:val="24"/>
        </w:rPr>
        <w:t xml:space="preserve"> τη λήψη της σε λ</w:t>
      </w:r>
      <w:r w:rsidR="00C5305C" w:rsidRPr="002B4013">
        <w:rPr>
          <w:sz w:val="24"/>
          <w:szCs w:val="24"/>
        </w:rPr>
        <w:t>ανθασμένη</w:t>
      </w:r>
      <w:r w:rsidR="00992F7C" w:rsidRPr="002B4013">
        <w:rPr>
          <w:sz w:val="24"/>
          <w:szCs w:val="24"/>
        </w:rPr>
        <w:t xml:space="preserve"> χρονική στιγμή</w:t>
      </w:r>
      <w:r w:rsidR="002B4013">
        <w:rPr>
          <w:sz w:val="24"/>
          <w:szCs w:val="24"/>
        </w:rPr>
        <w:t>.</w:t>
      </w:r>
    </w:p>
    <w:p w:rsidR="009B082F" w:rsidRPr="005A464E" w:rsidRDefault="009B082F" w:rsidP="005A464E">
      <w:pPr>
        <w:spacing w:line="360" w:lineRule="auto"/>
        <w:rPr>
          <w:b/>
          <w:sz w:val="24"/>
          <w:szCs w:val="24"/>
        </w:rPr>
      </w:pPr>
      <w:r w:rsidRPr="005A464E">
        <w:rPr>
          <w:b/>
          <w:sz w:val="24"/>
          <w:szCs w:val="24"/>
        </w:rPr>
        <w:t>Συμφωνία (</w:t>
      </w:r>
      <w:r w:rsidRPr="005A464E">
        <w:rPr>
          <w:b/>
          <w:sz w:val="24"/>
          <w:szCs w:val="24"/>
          <w:lang w:val="en-US"/>
        </w:rPr>
        <w:t>Concordance</w:t>
      </w:r>
      <w:r w:rsidRPr="005A464E">
        <w:rPr>
          <w:b/>
          <w:sz w:val="24"/>
          <w:szCs w:val="24"/>
        </w:rPr>
        <w:t>)</w:t>
      </w:r>
    </w:p>
    <w:p w:rsidR="009B082F" w:rsidRPr="005A464E" w:rsidRDefault="009B082F" w:rsidP="005A464E">
      <w:pPr>
        <w:spacing w:line="360" w:lineRule="auto"/>
        <w:jc w:val="both"/>
        <w:rPr>
          <w:sz w:val="24"/>
          <w:szCs w:val="24"/>
        </w:rPr>
      </w:pPr>
      <w:r w:rsidRPr="005A464E">
        <w:rPr>
          <w:sz w:val="24"/>
          <w:szCs w:val="24"/>
        </w:rPr>
        <w:t>Ο</w:t>
      </w:r>
      <w:r w:rsidR="00C33065" w:rsidRPr="005A464E">
        <w:rPr>
          <w:sz w:val="24"/>
          <w:szCs w:val="24"/>
        </w:rPr>
        <w:t xml:space="preserve"> όρος «συμφωνία» σημαίνει ότι ο ασθενή</w:t>
      </w:r>
      <w:r w:rsidRPr="005A464E">
        <w:rPr>
          <w:sz w:val="24"/>
          <w:szCs w:val="24"/>
        </w:rPr>
        <w:t xml:space="preserve">ς θα πρέπει να αναλάβει περισσότερες ευθύνες, ακόμη και αν κανένας δεν είναι διατεθειμένος να το κάνει αυτό. </w:t>
      </w:r>
      <w:r w:rsidR="002B4013">
        <w:rPr>
          <w:sz w:val="24"/>
          <w:szCs w:val="24"/>
        </w:rPr>
        <w:t>Κατά τους</w:t>
      </w:r>
      <w:r w:rsidRPr="005A464E">
        <w:rPr>
          <w:sz w:val="24"/>
          <w:szCs w:val="24"/>
        </w:rPr>
        <w:t xml:space="preserve"> </w:t>
      </w:r>
      <w:r w:rsidRPr="005A464E">
        <w:rPr>
          <w:sz w:val="24"/>
          <w:szCs w:val="24"/>
          <w:lang w:val="en-US"/>
        </w:rPr>
        <w:t>Marinker</w:t>
      </w:r>
      <w:r w:rsidR="00C33065" w:rsidRPr="005A464E">
        <w:rPr>
          <w:sz w:val="24"/>
          <w:szCs w:val="24"/>
        </w:rPr>
        <w:t xml:space="preserve"> </w:t>
      </w:r>
      <w:r w:rsidR="00566CAA">
        <w:rPr>
          <w:sz w:val="24"/>
          <w:szCs w:val="24"/>
        </w:rPr>
        <w:t>et al</w:t>
      </w:r>
      <w:r w:rsidR="00E8447F" w:rsidRPr="00E8447F">
        <w:rPr>
          <w:sz w:val="24"/>
          <w:szCs w:val="24"/>
        </w:rPr>
        <w:t>.</w:t>
      </w:r>
      <w:r w:rsidR="00CA3D52" w:rsidRPr="005A464E">
        <w:rPr>
          <w:sz w:val="24"/>
          <w:szCs w:val="24"/>
        </w:rPr>
        <w:t xml:space="preserve"> </w:t>
      </w:r>
      <w:r w:rsidR="0006764E" w:rsidRPr="005A464E">
        <w:rPr>
          <w:sz w:val="24"/>
          <w:szCs w:val="24"/>
        </w:rPr>
        <w:t>(1997)</w:t>
      </w:r>
      <w:r w:rsidRPr="005A464E">
        <w:rPr>
          <w:sz w:val="24"/>
          <w:szCs w:val="24"/>
        </w:rPr>
        <w:t xml:space="preserve"> </w:t>
      </w:r>
      <w:r w:rsidR="00C33065" w:rsidRPr="005A464E">
        <w:rPr>
          <w:sz w:val="24"/>
          <w:szCs w:val="24"/>
        </w:rPr>
        <w:t xml:space="preserve">«συμφωνία» </w:t>
      </w:r>
      <w:r w:rsidR="002B4013">
        <w:rPr>
          <w:sz w:val="24"/>
          <w:szCs w:val="24"/>
        </w:rPr>
        <w:t xml:space="preserve">ορίζεται </w:t>
      </w:r>
      <w:r w:rsidRPr="005A464E">
        <w:rPr>
          <w:sz w:val="24"/>
          <w:szCs w:val="24"/>
        </w:rPr>
        <w:t>«</w:t>
      </w:r>
      <w:r w:rsidRPr="0048163E">
        <w:rPr>
          <w:i/>
          <w:sz w:val="24"/>
          <w:szCs w:val="24"/>
        </w:rPr>
        <w:t>μια νέα προσέγγιση για τη συνταγογράφηση και τη λήψη των φαρμάκων</w:t>
      </w:r>
      <w:r w:rsidR="0048163E">
        <w:rPr>
          <w:i/>
          <w:sz w:val="24"/>
          <w:szCs w:val="24"/>
        </w:rPr>
        <w:t>»</w:t>
      </w:r>
      <w:r w:rsidRPr="005A464E">
        <w:rPr>
          <w:sz w:val="24"/>
          <w:szCs w:val="24"/>
        </w:rPr>
        <w:t xml:space="preserve">. Πρόκειται για μια συμφωνία που επιτεύχθηκε μετά από διαπραγματεύσεις μεταξύ </w:t>
      </w:r>
      <w:r w:rsidR="00B0560D">
        <w:rPr>
          <w:sz w:val="24"/>
          <w:szCs w:val="24"/>
        </w:rPr>
        <w:t>του ασθενούς</w:t>
      </w:r>
      <w:r w:rsidRPr="005A464E">
        <w:rPr>
          <w:sz w:val="24"/>
          <w:szCs w:val="24"/>
        </w:rPr>
        <w:t xml:space="preserve"> και </w:t>
      </w:r>
      <w:r w:rsidR="008741A3" w:rsidRPr="002B4013">
        <w:rPr>
          <w:sz w:val="24"/>
          <w:szCs w:val="24"/>
        </w:rPr>
        <w:t xml:space="preserve">του </w:t>
      </w:r>
      <w:r w:rsidRPr="002B4013">
        <w:rPr>
          <w:sz w:val="24"/>
          <w:szCs w:val="24"/>
        </w:rPr>
        <w:t xml:space="preserve">επαγγελματία υγείας που σέβεται τις πεποιθήσεις και τις επιθυμίες </w:t>
      </w:r>
      <w:r w:rsidR="00B0560D" w:rsidRPr="002B4013">
        <w:rPr>
          <w:sz w:val="24"/>
          <w:szCs w:val="24"/>
        </w:rPr>
        <w:t>του ασθενούς</w:t>
      </w:r>
      <w:r w:rsidRPr="002B4013">
        <w:rPr>
          <w:sz w:val="24"/>
          <w:szCs w:val="24"/>
        </w:rPr>
        <w:t xml:space="preserve"> προκειμένου να προσδιοριστεί αν, πότε και πώς πρέπει να λαμβάνονται τα φάρμακα. Πρόκειται για μια </w:t>
      </w:r>
      <w:r w:rsidR="00C5305C" w:rsidRPr="002B4013">
        <w:rPr>
          <w:sz w:val="24"/>
          <w:szCs w:val="24"/>
        </w:rPr>
        <w:t>«</w:t>
      </w:r>
      <w:r w:rsidRPr="002B4013">
        <w:rPr>
          <w:sz w:val="24"/>
          <w:szCs w:val="24"/>
        </w:rPr>
        <w:t>συμμαχία</w:t>
      </w:r>
      <w:r w:rsidR="00C5305C" w:rsidRPr="002B4013">
        <w:rPr>
          <w:sz w:val="24"/>
          <w:szCs w:val="24"/>
        </w:rPr>
        <w:t>» στην οποία ο επαγγελματία</w:t>
      </w:r>
      <w:r w:rsidRPr="002B4013">
        <w:rPr>
          <w:sz w:val="24"/>
          <w:szCs w:val="24"/>
        </w:rPr>
        <w:t xml:space="preserve">ς υγείας </w:t>
      </w:r>
      <w:r w:rsidR="00C33065" w:rsidRPr="002B4013">
        <w:rPr>
          <w:sz w:val="24"/>
          <w:szCs w:val="24"/>
        </w:rPr>
        <w:t xml:space="preserve">πρέπει </w:t>
      </w:r>
      <w:r w:rsidRPr="002B4013">
        <w:rPr>
          <w:sz w:val="24"/>
          <w:szCs w:val="24"/>
        </w:rPr>
        <w:t>να</w:t>
      </w:r>
      <w:r w:rsidR="00C5305C" w:rsidRPr="002B4013">
        <w:rPr>
          <w:sz w:val="24"/>
          <w:szCs w:val="24"/>
        </w:rPr>
        <w:t xml:space="preserve"> αναγνωρίσει</w:t>
      </w:r>
      <w:r w:rsidRPr="002B4013">
        <w:rPr>
          <w:sz w:val="24"/>
          <w:szCs w:val="24"/>
        </w:rPr>
        <w:t xml:space="preserve"> την προτεραιότητα των αποφάσεων </w:t>
      </w:r>
      <w:r w:rsidR="00B0560D" w:rsidRPr="002B4013">
        <w:rPr>
          <w:sz w:val="24"/>
          <w:szCs w:val="24"/>
        </w:rPr>
        <w:t>του ασθενούς</w:t>
      </w:r>
      <w:r w:rsidRPr="002B4013">
        <w:rPr>
          <w:sz w:val="24"/>
          <w:szCs w:val="24"/>
        </w:rPr>
        <w:t xml:space="preserve"> για τη λήψη της συνιστώμενης αγωγής</w:t>
      </w:r>
      <w:r w:rsidR="0006764E" w:rsidRPr="002B4013">
        <w:rPr>
          <w:sz w:val="24"/>
          <w:szCs w:val="24"/>
        </w:rPr>
        <w:t xml:space="preserve"> </w:t>
      </w:r>
      <w:r w:rsidR="00C33065" w:rsidRPr="002B4013">
        <w:rPr>
          <w:sz w:val="24"/>
          <w:szCs w:val="24"/>
        </w:rPr>
        <w:t>(</w:t>
      </w:r>
      <w:r w:rsidR="0006764E" w:rsidRPr="002B4013">
        <w:rPr>
          <w:sz w:val="24"/>
          <w:szCs w:val="24"/>
        </w:rPr>
        <w:t xml:space="preserve">Nichols-English </w:t>
      </w:r>
      <w:r w:rsidR="00CA3D52" w:rsidRPr="002B4013">
        <w:rPr>
          <w:sz w:val="24"/>
          <w:szCs w:val="24"/>
        </w:rPr>
        <w:t xml:space="preserve">&amp; </w:t>
      </w:r>
      <w:r w:rsidR="00CA3D52" w:rsidRPr="002B4013">
        <w:rPr>
          <w:rFonts w:cstheme="minorHAnsi"/>
          <w:sz w:val="24"/>
          <w:szCs w:val="24"/>
          <w:lang w:val="en-US"/>
        </w:rPr>
        <w:t>Poirier</w:t>
      </w:r>
      <w:r w:rsidR="00AB454B" w:rsidRPr="002B4013">
        <w:rPr>
          <w:rFonts w:cstheme="minorHAnsi"/>
          <w:sz w:val="24"/>
          <w:szCs w:val="24"/>
        </w:rPr>
        <w:t>,</w:t>
      </w:r>
      <w:r w:rsidR="00CA3D52" w:rsidRPr="002B4013">
        <w:rPr>
          <w:sz w:val="24"/>
          <w:szCs w:val="24"/>
        </w:rPr>
        <w:t xml:space="preserve"> </w:t>
      </w:r>
      <w:r w:rsidR="0006764E" w:rsidRPr="002B4013">
        <w:rPr>
          <w:sz w:val="24"/>
          <w:szCs w:val="24"/>
        </w:rPr>
        <w:t>2000)</w:t>
      </w:r>
      <w:r w:rsidRPr="002B4013">
        <w:rPr>
          <w:sz w:val="24"/>
          <w:szCs w:val="24"/>
        </w:rPr>
        <w:t xml:space="preserve">. Η συμφωνία ενδέχεται να προκύψει μετά από </w:t>
      </w:r>
      <w:r w:rsidR="00817853">
        <w:rPr>
          <w:sz w:val="24"/>
          <w:szCs w:val="24"/>
        </w:rPr>
        <w:t>μια</w:t>
      </w:r>
      <w:r w:rsidRPr="002B4013">
        <w:rPr>
          <w:sz w:val="24"/>
          <w:szCs w:val="24"/>
        </w:rPr>
        <w:t xml:space="preserve"> διαδικασία </w:t>
      </w:r>
      <w:r w:rsidR="0006764E" w:rsidRPr="002B4013">
        <w:rPr>
          <w:sz w:val="24"/>
          <w:szCs w:val="24"/>
        </w:rPr>
        <w:t>αλληλεπίδρασης (</w:t>
      </w:r>
      <w:r w:rsidR="00EA2A9F" w:rsidRPr="002B4013">
        <w:rPr>
          <w:sz w:val="24"/>
          <w:szCs w:val="24"/>
        </w:rPr>
        <w:t xml:space="preserve">Gray, </w:t>
      </w:r>
      <w:r w:rsidR="00E8447F" w:rsidRPr="002B4013">
        <w:rPr>
          <w:rFonts w:cstheme="minorHAnsi"/>
          <w:sz w:val="24"/>
          <w:szCs w:val="24"/>
          <w:lang w:val="en-US"/>
        </w:rPr>
        <w:t>Wykes</w:t>
      </w:r>
      <w:r w:rsidR="00516D72" w:rsidRPr="002B4013">
        <w:rPr>
          <w:rFonts w:cstheme="minorHAnsi"/>
          <w:sz w:val="24"/>
          <w:szCs w:val="24"/>
        </w:rPr>
        <w:t>,</w:t>
      </w:r>
      <w:r w:rsidR="00E8447F" w:rsidRPr="002B4013">
        <w:rPr>
          <w:rFonts w:cstheme="minorHAnsi"/>
          <w:sz w:val="24"/>
          <w:szCs w:val="24"/>
        </w:rPr>
        <w:t xml:space="preserve"> &amp; </w:t>
      </w:r>
      <w:r w:rsidR="00E8447F" w:rsidRPr="002B4013">
        <w:rPr>
          <w:rFonts w:cstheme="minorHAnsi"/>
          <w:sz w:val="24"/>
          <w:szCs w:val="24"/>
          <w:lang w:val="en-US"/>
        </w:rPr>
        <w:t>Gournay</w:t>
      </w:r>
      <w:r w:rsidR="00516D72" w:rsidRPr="002B4013">
        <w:rPr>
          <w:rFonts w:cstheme="minorHAnsi"/>
          <w:sz w:val="24"/>
          <w:szCs w:val="24"/>
        </w:rPr>
        <w:t>,</w:t>
      </w:r>
      <w:r w:rsidR="00E8447F" w:rsidRPr="002B4013">
        <w:rPr>
          <w:sz w:val="24"/>
          <w:szCs w:val="24"/>
        </w:rPr>
        <w:t xml:space="preserve"> </w:t>
      </w:r>
      <w:r w:rsidR="00EA2A9F" w:rsidRPr="002B4013">
        <w:rPr>
          <w:sz w:val="24"/>
          <w:szCs w:val="24"/>
        </w:rPr>
        <w:t xml:space="preserve">2002; </w:t>
      </w:r>
      <w:r w:rsidR="0006764E" w:rsidRPr="002B4013">
        <w:rPr>
          <w:sz w:val="24"/>
          <w:szCs w:val="24"/>
        </w:rPr>
        <w:t>Jones</w:t>
      </w:r>
      <w:r w:rsidR="00EA2A9F" w:rsidRPr="002B4013">
        <w:rPr>
          <w:sz w:val="24"/>
          <w:szCs w:val="24"/>
        </w:rPr>
        <w:t>,</w:t>
      </w:r>
      <w:r w:rsidR="00E8447F" w:rsidRPr="002B4013">
        <w:rPr>
          <w:sz w:val="24"/>
          <w:szCs w:val="24"/>
        </w:rPr>
        <w:t xml:space="preserve"> 2003</w:t>
      </w:r>
      <w:r w:rsidR="0006764E" w:rsidRPr="002B4013">
        <w:rPr>
          <w:sz w:val="24"/>
          <w:szCs w:val="24"/>
        </w:rPr>
        <w:t>)</w:t>
      </w:r>
      <w:r w:rsidR="00E8447F" w:rsidRPr="002B4013">
        <w:rPr>
          <w:sz w:val="24"/>
          <w:szCs w:val="24"/>
        </w:rPr>
        <w:t xml:space="preserve">. </w:t>
      </w:r>
      <w:r w:rsidR="00C5305C" w:rsidRPr="002B4013">
        <w:rPr>
          <w:sz w:val="24"/>
          <w:szCs w:val="24"/>
        </w:rPr>
        <w:t>Ωστόσο</w:t>
      </w:r>
      <w:r w:rsidRPr="002B4013">
        <w:rPr>
          <w:sz w:val="24"/>
          <w:szCs w:val="24"/>
        </w:rPr>
        <w:t>, κανείς</w:t>
      </w:r>
      <w:r w:rsidR="00C33065" w:rsidRPr="002B4013">
        <w:rPr>
          <w:sz w:val="24"/>
          <w:szCs w:val="24"/>
        </w:rPr>
        <w:t xml:space="preserve"> δεν θα μπορούσε να γνωρίζει αν</w:t>
      </w:r>
      <w:r w:rsidR="00C5305C">
        <w:rPr>
          <w:sz w:val="24"/>
          <w:szCs w:val="24"/>
        </w:rPr>
        <w:t xml:space="preserve"> επιθυμεί ο ασθενής να λάβει</w:t>
      </w:r>
      <w:r w:rsidRPr="005A464E">
        <w:rPr>
          <w:sz w:val="24"/>
          <w:szCs w:val="24"/>
        </w:rPr>
        <w:t xml:space="preserve"> μέρος σε αυτή την αλληλεπίδραση και αν αυτό θα μπορούσε να ο</w:t>
      </w:r>
      <w:r w:rsidR="0006764E" w:rsidRPr="005A464E">
        <w:rPr>
          <w:sz w:val="24"/>
          <w:szCs w:val="24"/>
        </w:rPr>
        <w:t xml:space="preserve">δηγήσει σε χρήσιμα αποτελέσματα (Marinker </w:t>
      </w:r>
      <w:r w:rsidR="00566CAA">
        <w:rPr>
          <w:sz w:val="24"/>
          <w:szCs w:val="24"/>
        </w:rPr>
        <w:t>et al</w:t>
      </w:r>
      <w:r w:rsidR="00E8447F" w:rsidRPr="00E8447F">
        <w:rPr>
          <w:sz w:val="24"/>
          <w:szCs w:val="24"/>
        </w:rPr>
        <w:t>.</w:t>
      </w:r>
      <w:r w:rsidR="00992F7C">
        <w:rPr>
          <w:sz w:val="24"/>
          <w:szCs w:val="24"/>
        </w:rPr>
        <w:t>,</w:t>
      </w:r>
      <w:r w:rsidR="00EA2A9F" w:rsidRPr="005A464E">
        <w:rPr>
          <w:sz w:val="24"/>
          <w:szCs w:val="24"/>
        </w:rPr>
        <w:t xml:space="preserve"> </w:t>
      </w:r>
      <w:r w:rsidR="0006764E" w:rsidRPr="005A464E">
        <w:rPr>
          <w:sz w:val="24"/>
          <w:szCs w:val="24"/>
        </w:rPr>
        <w:t>1997).</w:t>
      </w:r>
    </w:p>
    <w:p w:rsidR="009B082F" w:rsidRPr="005A464E" w:rsidRDefault="009B082F" w:rsidP="005A464E">
      <w:pPr>
        <w:spacing w:line="360" w:lineRule="auto"/>
        <w:jc w:val="both"/>
        <w:rPr>
          <w:sz w:val="24"/>
          <w:szCs w:val="24"/>
        </w:rPr>
      </w:pPr>
      <w:r w:rsidRPr="005A464E">
        <w:rPr>
          <w:sz w:val="24"/>
          <w:szCs w:val="24"/>
        </w:rPr>
        <w:t xml:space="preserve">Στη βιβλιογραφία των επιστημών υγείας, αναφέρεται, ότι ο όρος «συμφωνία» είναι περιορισμένος, ενώ δεν είναι σαφές </w:t>
      </w:r>
      <w:r w:rsidR="004E489C" w:rsidRPr="002B4013">
        <w:rPr>
          <w:sz w:val="24"/>
          <w:szCs w:val="24"/>
        </w:rPr>
        <w:t>αν</w:t>
      </w:r>
      <w:r w:rsidRPr="002B4013">
        <w:rPr>
          <w:sz w:val="24"/>
          <w:szCs w:val="24"/>
        </w:rPr>
        <w:t xml:space="preserve"> η συμφωνία </w:t>
      </w:r>
      <w:r w:rsidR="00B0560D" w:rsidRPr="002B4013">
        <w:rPr>
          <w:sz w:val="24"/>
          <w:szCs w:val="24"/>
        </w:rPr>
        <w:t>του ασθενούς</w:t>
      </w:r>
      <w:r w:rsidRPr="002B4013">
        <w:rPr>
          <w:sz w:val="24"/>
          <w:szCs w:val="24"/>
        </w:rPr>
        <w:t xml:space="preserve"> ή η κοινή διαδικασία λήψης αποφάσεω</w:t>
      </w:r>
      <w:r w:rsidR="0006764E" w:rsidRPr="002B4013">
        <w:rPr>
          <w:sz w:val="24"/>
          <w:szCs w:val="24"/>
        </w:rPr>
        <w:t>ν οδηγεί σε συμπεριφορά</w:t>
      </w:r>
      <w:r w:rsidR="0006764E" w:rsidRPr="005A464E">
        <w:rPr>
          <w:sz w:val="24"/>
          <w:szCs w:val="24"/>
        </w:rPr>
        <w:t xml:space="preserve"> αλλαγής (</w:t>
      </w:r>
      <w:r w:rsidR="0006764E" w:rsidRPr="005A464E">
        <w:rPr>
          <w:sz w:val="24"/>
          <w:szCs w:val="24"/>
          <w:lang w:val="en-US"/>
        </w:rPr>
        <w:t>Bissonnette</w:t>
      </w:r>
      <w:r w:rsidR="00EA2A9F" w:rsidRPr="005A464E">
        <w:rPr>
          <w:sz w:val="24"/>
          <w:szCs w:val="24"/>
        </w:rPr>
        <w:t>,</w:t>
      </w:r>
      <w:r w:rsidR="0006764E" w:rsidRPr="005A464E">
        <w:rPr>
          <w:sz w:val="24"/>
          <w:szCs w:val="24"/>
        </w:rPr>
        <w:t xml:space="preserve"> 2008).</w:t>
      </w:r>
      <w:r w:rsidRPr="005A464E">
        <w:rPr>
          <w:sz w:val="24"/>
          <w:szCs w:val="24"/>
        </w:rPr>
        <w:t xml:space="preserve"> Ο όρος «</w:t>
      </w:r>
      <w:r w:rsidR="00C33065" w:rsidRPr="005A464E">
        <w:rPr>
          <w:sz w:val="24"/>
          <w:szCs w:val="24"/>
        </w:rPr>
        <w:t>συμφωνία» δεν λαμβάνει υπόψη τις</w:t>
      </w:r>
      <w:r w:rsidRPr="005A464E">
        <w:rPr>
          <w:sz w:val="24"/>
          <w:szCs w:val="24"/>
        </w:rPr>
        <w:t xml:space="preserve"> περιπτώσεις </w:t>
      </w:r>
      <w:r w:rsidR="004E489C">
        <w:rPr>
          <w:sz w:val="24"/>
          <w:szCs w:val="24"/>
        </w:rPr>
        <w:t>κατά τις οποίες ο ασθενής αρνεί</w:t>
      </w:r>
      <w:r w:rsidRPr="005A464E">
        <w:rPr>
          <w:sz w:val="24"/>
          <w:szCs w:val="24"/>
        </w:rPr>
        <w:t>ται τη θερ</w:t>
      </w:r>
      <w:r w:rsidR="004E489C">
        <w:rPr>
          <w:sz w:val="24"/>
          <w:szCs w:val="24"/>
        </w:rPr>
        <w:t>απεία, είτε επειδή δεν γνωρίζει</w:t>
      </w:r>
      <w:r w:rsidRPr="005A464E">
        <w:rPr>
          <w:sz w:val="24"/>
          <w:szCs w:val="24"/>
        </w:rPr>
        <w:t xml:space="preserve"> σχετικά με το κόστος κα</w:t>
      </w:r>
      <w:r w:rsidR="004E489C">
        <w:rPr>
          <w:sz w:val="24"/>
          <w:szCs w:val="24"/>
        </w:rPr>
        <w:t>ι τα οφέλη ή προτιμά</w:t>
      </w:r>
      <w:r w:rsidR="0006764E" w:rsidRPr="005A464E">
        <w:rPr>
          <w:sz w:val="24"/>
          <w:szCs w:val="24"/>
        </w:rPr>
        <w:t xml:space="preserve"> να μην θ</w:t>
      </w:r>
      <w:r w:rsidR="004E489C">
        <w:rPr>
          <w:sz w:val="24"/>
          <w:szCs w:val="24"/>
        </w:rPr>
        <w:t>εραπευθεί</w:t>
      </w:r>
      <w:r w:rsidR="0006764E" w:rsidRPr="005A464E">
        <w:rPr>
          <w:sz w:val="24"/>
          <w:szCs w:val="24"/>
        </w:rPr>
        <w:t xml:space="preserve"> (Horne </w:t>
      </w:r>
      <w:r w:rsidR="00F62872" w:rsidRPr="005A464E">
        <w:rPr>
          <w:sz w:val="24"/>
          <w:szCs w:val="24"/>
        </w:rPr>
        <w:t xml:space="preserve">&amp; </w:t>
      </w:r>
      <w:r w:rsidR="00F62872" w:rsidRPr="005A464E">
        <w:rPr>
          <w:rStyle w:val="element-citation"/>
          <w:rFonts w:cs="Arial"/>
          <w:sz w:val="24"/>
          <w:szCs w:val="24"/>
          <w:lang w:val="en-US"/>
        </w:rPr>
        <w:t>Weinman</w:t>
      </w:r>
      <w:r w:rsidR="00AB454B">
        <w:rPr>
          <w:sz w:val="24"/>
          <w:szCs w:val="24"/>
        </w:rPr>
        <w:t xml:space="preserve">, </w:t>
      </w:r>
      <w:r w:rsidR="0006764E" w:rsidRPr="005A464E">
        <w:rPr>
          <w:sz w:val="24"/>
          <w:szCs w:val="24"/>
        </w:rPr>
        <w:t>2004)</w:t>
      </w:r>
      <w:r w:rsidRPr="005A464E">
        <w:rPr>
          <w:sz w:val="24"/>
          <w:szCs w:val="24"/>
        </w:rPr>
        <w:t xml:space="preserve">. Οι Horne </w:t>
      </w:r>
      <w:r w:rsidR="00F62872" w:rsidRPr="005A464E">
        <w:rPr>
          <w:sz w:val="24"/>
          <w:szCs w:val="24"/>
        </w:rPr>
        <w:t xml:space="preserve">&amp; </w:t>
      </w:r>
      <w:r w:rsidR="00F62872" w:rsidRPr="005A464E">
        <w:rPr>
          <w:rStyle w:val="element-citation"/>
          <w:rFonts w:cs="Arial"/>
          <w:sz w:val="24"/>
          <w:szCs w:val="24"/>
          <w:lang w:val="en-US"/>
        </w:rPr>
        <w:t>Weinman</w:t>
      </w:r>
      <w:r w:rsidR="00F62872" w:rsidRPr="005A464E">
        <w:rPr>
          <w:sz w:val="24"/>
          <w:szCs w:val="24"/>
        </w:rPr>
        <w:t xml:space="preserve"> </w:t>
      </w:r>
      <w:r w:rsidR="00E2001F" w:rsidRPr="005A464E">
        <w:rPr>
          <w:sz w:val="24"/>
          <w:szCs w:val="24"/>
        </w:rPr>
        <w:t>(</w:t>
      </w:r>
      <w:r w:rsidR="0006764E" w:rsidRPr="005A464E">
        <w:rPr>
          <w:sz w:val="24"/>
          <w:szCs w:val="24"/>
        </w:rPr>
        <w:t xml:space="preserve">2004) </w:t>
      </w:r>
      <w:r w:rsidRPr="005A464E">
        <w:rPr>
          <w:sz w:val="24"/>
          <w:szCs w:val="24"/>
        </w:rPr>
        <w:t>υποστηρίζουν</w:t>
      </w:r>
      <w:r w:rsidR="00C33065" w:rsidRPr="005A464E">
        <w:rPr>
          <w:sz w:val="24"/>
          <w:szCs w:val="24"/>
        </w:rPr>
        <w:t xml:space="preserve"> ότι η «συμμόρφωση» και «προσκόλλη</w:t>
      </w:r>
      <w:r w:rsidRPr="005A464E">
        <w:rPr>
          <w:sz w:val="24"/>
          <w:szCs w:val="24"/>
        </w:rPr>
        <w:t>ση» δείχνουν τη συμπεριφορά των ασθενών, ενώ ο όρος «συμφωνία» δεν συνδέεται με τη συμπεριφορά.</w:t>
      </w:r>
    </w:p>
    <w:p w:rsidR="009B082F" w:rsidRPr="005A464E" w:rsidRDefault="00995094" w:rsidP="008741A3">
      <w:pPr>
        <w:pStyle w:val="25"/>
        <w:numPr>
          <w:ilvl w:val="1"/>
          <w:numId w:val="117"/>
        </w:numPr>
        <w:spacing w:after="240" w:line="360" w:lineRule="auto"/>
        <w:rPr>
          <w:rFonts w:asciiTheme="minorHAnsi" w:hAnsiTheme="minorHAnsi"/>
        </w:rPr>
      </w:pPr>
      <w:r>
        <w:rPr>
          <w:rFonts w:asciiTheme="minorHAnsi" w:hAnsiTheme="minorHAnsi"/>
        </w:rPr>
        <w:t xml:space="preserve"> </w:t>
      </w:r>
      <w:bookmarkStart w:id="43" w:name="_Toc495951439"/>
      <w:r w:rsidR="009B082F" w:rsidRPr="005A464E">
        <w:rPr>
          <w:rFonts w:asciiTheme="minorHAnsi" w:hAnsiTheme="minorHAnsi"/>
        </w:rPr>
        <w:t>Η συμμόρφωση από την πλευρά της νοσηλευτικής</w:t>
      </w:r>
      <w:bookmarkEnd w:id="43"/>
    </w:p>
    <w:p w:rsidR="009B082F" w:rsidRPr="005A464E" w:rsidRDefault="009B082F" w:rsidP="005A464E">
      <w:pPr>
        <w:spacing w:line="360" w:lineRule="auto"/>
        <w:jc w:val="both"/>
        <w:rPr>
          <w:sz w:val="24"/>
          <w:szCs w:val="24"/>
        </w:rPr>
      </w:pPr>
      <w:r w:rsidRPr="005A464E">
        <w:rPr>
          <w:sz w:val="24"/>
          <w:szCs w:val="24"/>
        </w:rPr>
        <w:t>Η Marston ήταν η πρώτη νοσηλεύτρια που έθεσε στο προσκήνιο την έννοια της συμμόρφωσης, δημοσιεύοντας μια ανασκόπ</w:t>
      </w:r>
      <w:r w:rsidR="004E489C">
        <w:rPr>
          <w:sz w:val="24"/>
          <w:szCs w:val="24"/>
        </w:rPr>
        <w:t xml:space="preserve">ηση σχετικά με τη συμμόρφωση </w:t>
      </w:r>
      <w:r w:rsidR="00B0560D">
        <w:rPr>
          <w:sz w:val="24"/>
          <w:szCs w:val="24"/>
        </w:rPr>
        <w:t>του ασθενούς</w:t>
      </w:r>
      <w:r w:rsidRPr="005A464E">
        <w:rPr>
          <w:sz w:val="24"/>
          <w:szCs w:val="24"/>
        </w:rPr>
        <w:t xml:space="preserve"> στη θεραπευτική αγωγή. Η Marston</w:t>
      </w:r>
      <w:r w:rsidR="0006764E" w:rsidRPr="005A464E">
        <w:rPr>
          <w:sz w:val="24"/>
          <w:szCs w:val="24"/>
        </w:rPr>
        <w:t xml:space="preserve"> (1970)</w:t>
      </w:r>
      <w:r w:rsidRPr="005A464E">
        <w:rPr>
          <w:sz w:val="24"/>
          <w:szCs w:val="24"/>
        </w:rPr>
        <w:t xml:space="preserve"> τόνισε ότι το νοσηλευτικό προσωπικό θα πρέπει να υιοθετήσει μια συνολική άποψη της συμμόρφωσης και υποστήριξε ότι υπάρχουν ακόμη πολλά που πρέπει να μάθουν οι νοσηλευτές</w:t>
      </w:r>
      <w:r w:rsidR="0078495A">
        <w:rPr>
          <w:sz w:val="24"/>
          <w:szCs w:val="24"/>
        </w:rPr>
        <w:t xml:space="preserve"> </w:t>
      </w:r>
      <w:r w:rsidR="004E489C">
        <w:rPr>
          <w:sz w:val="24"/>
          <w:szCs w:val="24"/>
        </w:rPr>
        <w:t>για να βοηθήσουν τον ασθενή</w:t>
      </w:r>
      <w:r w:rsidRPr="005A464E">
        <w:rPr>
          <w:sz w:val="24"/>
          <w:szCs w:val="24"/>
        </w:rPr>
        <w:t xml:space="preserve"> ώστε</w:t>
      </w:r>
      <w:r w:rsidR="0078495A">
        <w:rPr>
          <w:sz w:val="24"/>
          <w:szCs w:val="24"/>
        </w:rPr>
        <w:t xml:space="preserve"> </w:t>
      </w:r>
      <w:r w:rsidR="004E489C">
        <w:rPr>
          <w:sz w:val="24"/>
          <w:szCs w:val="24"/>
        </w:rPr>
        <w:t>να αναλάβει</w:t>
      </w:r>
      <w:r w:rsidRPr="005A464E">
        <w:rPr>
          <w:sz w:val="24"/>
          <w:szCs w:val="24"/>
        </w:rPr>
        <w:t xml:space="preserve"> τη φροντίδα</w:t>
      </w:r>
      <w:r w:rsidR="004E489C">
        <w:rPr>
          <w:sz w:val="24"/>
          <w:szCs w:val="24"/>
        </w:rPr>
        <w:t xml:space="preserve"> της υγείας του</w:t>
      </w:r>
      <w:r w:rsidRPr="005A464E">
        <w:rPr>
          <w:sz w:val="24"/>
          <w:szCs w:val="24"/>
        </w:rPr>
        <w:t xml:space="preserve"> όταν δεν εί</w:t>
      </w:r>
      <w:r w:rsidR="00C33065" w:rsidRPr="005A464E">
        <w:rPr>
          <w:sz w:val="24"/>
          <w:szCs w:val="24"/>
        </w:rPr>
        <w:t xml:space="preserve">ναι υπό την άμεση επίβλεψη των </w:t>
      </w:r>
      <w:r w:rsidRPr="005A464E">
        <w:rPr>
          <w:sz w:val="24"/>
          <w:szCs w:val="24"/>
        </w:rPr>
        <w:t xml:space="preserve">ιατρών ή των </w:t>
      </w:r>
      <w:r w:rsidRPr="002B4013">
        <w:rPr>
          <w:sz w:val="24"/>
          <w:szCs w:val="24"/>
        </w:rPr>
        <w:t>νοσηλευτών.</w:t>
      </w:r>
      <w:r w:rsidRPr="005A464E">
        <w:rPr>
          <w:sz w:val="24"/>
          <w:szCs w:val="24"/>
        </w:rPr>
        <w:t xml:space="preserve"> Η Marston </w:t>
      </w:r>
      <w:r w:rsidR="00CD580A" w:rsidRPr="005A464E">
        <w:rPr>
          <w:sz w:val="24"/>
          <w:szCs w:val="24"/>
        </w:rPr>
        <w:t>(1970)</w:t>
      </w:r>
      <w:r w:rsidRPr="005A464E">
        <w:rPr>
          <w:sz w:val="24"/>
          <w:szCs w:val="24"/>
        </w:rPr>
        <w:t xml:space="preserve"> υποστήριξε ότι είναι δύσκολο να μελετηθεί η συμμόρφωση ως μετρήσιμη μεταβλητή, διότι δεν υπάρχει δυνατότητα για αντικειμενικές μετρήσεις.</w:t>
      </w:r>
    </w:p>
    <w:p w:rsidR="009B082F" w:rsidRPr="004E489C" w:rsidRDefault="009B082F" w:rsidP="005A464E">
      <w:pPr>
        <w:spacing w:line="360" w:lineRule="auto"/>
        <w:jc w:val="both"/>
        <w:rPr>
          <w:i/>
          <w:sz w:val="24"/>
          <w:szCs w:val="24"/>
        </w:rPr>
      </w:pPr>
      <w:r w:rsidRPr="005A464E">
        <w:rPr>
          <w:sz w:val="24"/>
          <w:szCs w:val="24"/>
        </w:rPr>
        <w:t>Το 1973</w:t>
      </w:r>
      <w:r w:rsidR="00112CB9">
        <w:rPr>
          <w:sz w:val="24"/>
          <w:szCs w:val="24"/>
        </w:rPr>
        <w:t>,</w:t>
      </w:r>
      <w:r w:rsidRPr="005A464E">
        <w:rPr>
          <w:sz w:val="24"/>
          <w:szCs w:val="24"/>
        </w:rPr>
        <w:t xml:space="preserve"> η </w:t>
      </w:r>
      <w:r w:rsidR="001E3B98">
        <w:rPr>
          <w:sz w:val="24"/>
          <w:szCs w:val="24"/>
        </w:rPr>
        <w:t xml:space="preserve">Βορειοαμερικανική Ένωση </w:t>
      </w:r>
      <w:r w:rsidR="001E3B98" w:rsidRPr="00E94504">
        <w:rPr>
          <w:sz w:val="24"/>
          <w:szCs w:val="24"/>
        </w:rPr>
        <w:t>Νοσηλευτικής Διάγνωσης (</w:t>
      </w:r>
      <w:r w:rsidR="008D434C" w:rsidRPr="00E94504">
        <w:rPr>
          <w:rFonts w:cstheme="minorHAnsi"/>
          <w:sz w:val="24"/>
          <w:szCs w:val="24"/>
          <w:lang w:val="en-US"/>
        </w:rPr>
        <w:t>North</w:t>
      </w:r>
      <w:r w:rsidR="008D434C" w:rsidRPr="00E94504">
        <w:rPr>
          <w:rFonts w:cstheme="minorHAnsi"/>
          <w:sz w:val="24"/>
          <w:szCs w:val="24"/>
        </w:rPr>
        <w:t xml:space="preserve"> </w:t>
      </w:r>
      <w:r w:rsidR="008D434C" w:rsidRPr="00E94504">
        <w:rPr>
          <w:rFonts w:cstheme="minorHAnsi"/>
          <w:sz w:val="24"/>
          <w:szCs w:val="24"/>
          <w:lang w:val="en-US"/>
        </w:rPr>
        <w:t>American</w:t>
      </w:r>
      <w:r w:rsidR="008D434C" w:rsidRPr="00E94504">
        <w:rPr>
          <w:rFonts w:cstheme="minorHAnsi"/>
          <w:sz w:val="24"/>
          <w:szCs w:val="24"/>
        </w:rPr>
        <w:t xml:space="preserve"> </w:t>
      </w:r>
      <w:r w:rsidR="00AB3D30" w:rsidRPr="00E94504">
        <w:rPr>
          <w:rFonts w:cstheme="minorHAnsi"/>
          <w:sz w:val="24"/>
          <w:szCs w:val="24"/>
          <w:lang w:val="en-US"/>
        </w:rPr>
        <w:t>Nursing</w:t>
      </w:r>
      <w:r w:rsidR="008D434C" w:rsidRPr="00E94504">
        <w:rPr>
          <w:rFonts w:cstheme="minorHAnsi"/>
          <w:sz w:val="24"/>
          <w:szCs w:val="24"/>
        </w:rPr>
        <w:t xml:space="preserve"> </w:t>
      </w:r>
      <w:r w:rsidR="008D434C" w:rsidRPr="00E94504">
        <w:rPr>
          <w:rFonts w:cstheme="minorHAnsi"/>
          <w:sz w:val="24"/>
          <w:szCs w:val="24"/>
          <w:lang w:val="en-US"/>
        </w:rPr>
        <w:t>Diagnosis</w:t>
      </w:r>
      <w:r w:rsidR="008D434C" w:rsidRPr="00E94504">
        <w:rPr>
          <w:rFonts w:cstheme="minorHAnsi"/>
          <w:sz w:val="24"/>
          <w:szCs w:val="24"/>
        </w:rPr>
        <w:t xml:space="preserve"> </w:t>
      </w:r>
      <w:r w:rsidR="008D434C" w:rsidRPr="00E94504">
        <w:rPr>
          <w:rFonts w:cstheme="minorHAnsi"/>
          <w:sz w:val="24"/>
          <w:szCs w:val="24"/>
          <w:lang w:val="en-US"/>
        </w:rPr>
        <w:t>Association</w:t>
      </w:r>
      <w:r w:rsidR="001E3B98" w:rsidRPr="00E94504">
        <w:rPr>
          <w:sz w:val="24"/>
          <w:szCs w:val="24"/>
        </w:rPr>
        <w:t xml:space="preserve">, </w:t>
      </w:r>
      <w:r w:rsidRPr="00E94504">
        <w:rPr>
          <w:sz w:val="24"/>
          <w:szCs w:val="24"/>
        </w:rPr>
        <w:t>NANDA</w:t>
      </w:r>
      <w:r w:rsidR="008D434C" w:rsidRPr="00E94504">
        <w:rPr>
          <w:sz w:val="24"/>
          <w:szCs w:val="24"/>
        </w:rPr>
        <w:t>)</w:t>
      </w:r>
      <w:r w:rsidRPr="00E94504">
        <w:rPr>
          <w:sz w:val="24"/>
          <w:szCs w:val="24"/>
        </w:rPr>
        <w:t xml:space="preserve"> κ</w:t>
      </w:r>
      <w:r w:rsidR="00AB3D30" w:rsidRPr="00E94504">
        <w:rPr>
          <w:sz w:val="24"/>
          <w:szCs w:val="24"/>
        </w:rPr>
        <w:t>ατέταξε το</w:t>
      </w:r>
      <w:r w:rsidRPr="00E94504">
        <w:rPr>
          <w:sz w:val="24"/>
          <w:szCs w:val="24"/>
        </w:rPr>
        <w:t>ν</w:t>
      </w:r>
      <w:r w:rsidR="00AB3D30" w:rsidRPr="00E94504">
        <w:rPr>
          <w:sz w:val="24"/>
          <w:szCs w:val="24"/>
        </w:rPr>
        <w:t xml:space="preserve"> όρο</w:t>
      </w:r>
      <w:r w:rsidRPr="00E94504">
        <w:rPr>
          <w:sz w:val="24"/>
          <w:szCs w:val="24"/>
        </w:rPr>
        <w:t xml:space="preserve"> </w:t>
      </w:r>
      <w:r w:rsidR="00AB3D30" w:rsidRPr="00E94504">
        <w:rPr>
          <w:sz w:val="24"/>
          <w:szCs w:val="24"/>
        </w:rPr>
        <w:t>«</w:t>
      </w:r>
      <w:r w:rsidRPr="00E94504">
        <w:rPr>
          <w:sz w:val="24"/>
          <w:szCs w:val="24"/>
        </w:rPr>
        <w:t>μη συμμόρφωση</w:t>
      </w:r>
      <w:r w:rsidR="00AB3D30" w:rsidRPr="00E94504">
        <w:rPr>
          <w:sz w:val="24"/>
          <w:szCs w:val="24"/>
        </w:rPr>
        <w:t>»</w:t>
      </w:r>
      <w:r w:rsidRPr="00E94504">
        <w:rPr>
          <w:sz w:val="24"/>
          <w:szCs w:val="24"/>
        </w:rPr>
        <w:t xml:space="preserve"> στις νοσηλευτικές διαγνώσεις. Από το 1973 και μετά, τα μέλη της </w:t>
      </w:r>
      <w:r w:rsidR="00AB3D30" w:rsidRPr="00E94504">
        <w:rPr>
          <w:sz w:val="24"/>
          <w:szCs w:val="24"/>
        </w:rPr>
        <w:t xml:space="preserve">Βορειοαμερικανικής Ένωσης Νοσηλευτικής Διάγνωσης </w:t>
      </w:r>
      <w:r w:rsidRPr="00E94504">
        <w:rPr>
          <w:sz w:val="24"/>
          <w:szCs w:val="24"/>
        </w:rPr>
        <w:t xml:space="preserve">αφαίρεσαν </w:t>
      </w:r>
      <w:r w:rsidR="00AB3D30" w:rsidRPr="00E94504">
        <w:rPr>
          <w:sz w:val="24"/>
          <w:szCs w:val="24"/>
        </w:rPr>
        <w:t>τον όρο</w:t>
      </w:r>
      <w:r w:rsidRPr="00E94504">
        <w:rPr>
          <w:sz w:val="24"/>
          <w:szCs w:val="24"/>
        </w:rPr>
        <w:t xml:space="preserve"> </w:t>
      </w:r>
      <w:r w:rsidR="004E489C" w:rsidRPr="00E94504">
        <w:rPr>
          <w:sz w:val="24"/>
          <w:szCs w:val="24"/>
        </w:rPr>
        <w:t>«</w:t>
      </w:r>
      <w:r w:rsidRPr="00E94504">
        <w:rPr>
          <w:sz w:val="24"/>
          <w:szCs w:val="24"/>
        </w:rPr>
        <w:t>μη συμμόρφωση</w:t>
      </w:r>
      <w:r w:rsidR="004E489C" w:rsidRPr="00E94504">
        <w:rPr>
          <w:sz w:val="24"/>
          <w:szCs w:val="24"/>
        </w:rPr>
        <w:t>»</w:t>
      </w:r>
      <w:r w:rsidRPr="00E94504">
        <w:rPr>
          <w:sz w:val="24"/>
          <w:szCs w:val="24"/>
        </w:rPr>
        <w:t xml:space="preserve"> από</w:t>
      </w:r>
      <w:r w:rsidRPr="005A464E">
        <w:rPr>
          <w:sz w:val="24"/>
          <w:szCs w:val="24"/>
        </w:rPr>
        <w:t xml:space="preserve"> τον κατάλογο των νοσηλευτικών διαγνώσεων </w:t>
      </w:r>
      <w:r w:rsidR="00CD580A" w:rsidRPr="005A464E">
        <w:rPr>
          <w:sz w:val="24"/>
          <w:szCs w:val="24"/>
        </w:rPr>
        <w:t>υποστηρίζοντας</w:t>
      </w:r>
      <w:r w:rsidR="004E489C">
        <w:rPr>
          <w:sz w:val="24"/>
          <w:szCs w:val="24"/>
        </w:rPr>
        <w:t xml:space="preserve"> ότι ο ασθενή</w:t>
      </w:r>
      <w:r w:rsidRPr="005A464E">
        <w:rPr>
          <w:sz w:val="24"/>
          <w:szCs w:val="24"/>
        </w:rPr>
        <w:t>ς δεν</w:t>
      </w:r>
      <w:r w:rsidR="004E489C">
        <w:rPr>
          <w:sz w:val="24"/>
          <w:szCs w:val="24"/>
        </w:rPr>
        <w:t xml:space="preserve"> θα πρέπει να είναι συνεργάτη</w:t>
      </w:r>
      <w:r w:rsidRPr="005A464E">
        <w:rPr>
          <w:sz w:val="24"/>
          <w:szCs w:val="24"/>
        </w:rPr>
        <w:t>ς</w:t>
      </w:r>
      <w:r w:rsidR="0078495A">
        <w:rPr>
          <w:sz w:val="24"/>
          <w:szCs w:val="24"/>
        </w:rPr>
        <w:t xml:space="preserve"> </w:t>
      </w:r>
      <w:r w:rsidR="004E489C">
        <w:rPr>
          <w:sz w:val="24"/>
          <w:szCs w:val="24"/>
        </w:rPr>
        <w:t>αλλά να έχει</w:t>
      </w:r>
      <w:r w:rsidRPr="005A464E">
        <w:rPr>
          <w:sz w:val="24"/>
          <w:szCs w:val="24"/>
        </w:rPr>
        <w:t xml:space="preserve"> τυφλή υπακοή στις οδηγίες </w:t>
      </w:r>
      <w:r w:rsidR="00E2001F" w:rsidRPr="005A464E">
        <w:rPr>
          <w:sz w:val="24"/>
          <w:szCs w:val="24"/>
        </w:rPr>
        <w:t>(</w:t>
      </w:r>
      <w:r w:rsidR="00CD580A" w:rsidRPr="005A464E">
        <w:rPr>
          <w:sz w:val="24"/>
          <w:szCs w:val="24"/>
        </w:rPr>
        <w:t>Kim</w:t>
      </w:r>
      <w:r w:rsidR="00EA2A9F" w:rsidRPr="005A464E">
        <w:rPr>
          <w:sz w:val="24"/>
          <w:szCs w:val="24"/>
        </w:rPr>
        <w:t xml:space="preserve"> &amp; </w:t>
      </w:r>
      <w:r w:rsidR="00EA2A9F" w:rsidRPr="005A464E">
        <w:rPr>
          <w:sz w:val="24"/>
          <w:szCs w:val="24"/>
          <w:lang w:val="en-US"/>
        </w:rPr>
        <w:t>Moritz</w:t>
      </w:r>
      <w:r w:rsidR="00AB454B">
        <w:rPr>
          <w:sz w:val="24"/>
          <w:szCs w:val="24"/>
        </w:rPr>
        <w:t>,</w:t>
      </w:r>
      <w:r w:rsidR="00CD580A" w:rsidRPr="005A464E">
        <w:rPr>
          <w:sz w:val="24"/>
          <w:szCs w:val="24"/>
        </w:rPr>
        <w:t xml:space="preserve"> 1982)</w:t>
      </w:r>
      <w:r w:rsidRPr="005A464E">
        <w:rPr>
          <w:sz w:val="24"/>
          <w:szCs w:val="24"/>
        </w:rPr>
        <w:t>. Σύμφων</w:t>
      </w:r>
      <w:r w:rsidR="00CD580A" w:rsidRPr="005A464E">
        <w:rPr>
          <w:sz w:val="24"/>
          <w:szCs w:val="24"/>
        </w:rPr>
        <w:t>α με</w:t>
      </w:r>
      <w:r w:rsidR="00EA2A9F" w:rsidRPr="005A464E">
        <w:rPr>
          <w:sz w:val="24"/>
          <w:szCs w:val="24"/>
        </w:rPr>
        <w:t xml:space="preserve"> τον ορισμό των Hentinen &amp; </w:t>
      </w:r>
      <w:r w:rsidR="00EA2A9F" w:rsidRPr="005A464E">
        <w:rPr>
          <w:sz w:val="24"/>
          <w:szCs w:val="24"/>
          <w:lang w:val="en-US"/>
        </w:rPr>
        <w:t>Kyng</w:t>
      </w:r>
      <w:r w:rsidR="00EA2A9F" w:rsidRPr="005A464E">
        <w:rPr>
          <w:sz w:val="24"/>
          <w:szCs w:val="24"/>
        </w:rPr>
        <w:t>ä</w:t>
      </w:r>
      <w:r w:rsidR="00EA2A9F" w:rsidRPr="005A464E">
        <w:rPr>
          <w:sz w:val="24"/>
          <w:szCs w:val="24"/>
          <w:lang w:val="en-US"/>
        </w:rPr>
        <w:t>s</w:t>
      </w:r>
      <w:r w:rsidR="00CD580A" w:rsidRPr="005A464E">
        <w:rPr>
          <w:sz w:val="24"/>
          <w:szCs w:val="24"/>
        </w:rPr>
        <w:t xml:space="preserve"> </w:t>
      </w:r>
      <w:r w:rsidR="00E2001F" w:rsidRPr="005A464E">
        <w:rPr>
          <w:sz w:val="24"/>
          <w:szCs w:val="24"/>
        </w:rPr>
        <w:t>(</w:t>
      </w:r>
      <w:r w:rsidR="00CD580A" w:rsidRPr="005A464E">
        <w:rPr>
          <w:sz w:val="24"/>
          <w:szCs w:val="24"/>
        </w:rPr>
        <w:t>1996)</w:t>
      </w:r>
      <w:r w:rsidRPr="005A464E">
        <w:rPr>
          <w:sz w:val="24"/>
          <w:szCs w:val="24"/>
        </w:rPr>
        <w:t xml:space="preserve"> </w:t>
      </w:r>
      <w:r w:rsidR="004E489C">
        <w:rPr>
          <w:sz w:val="24"/>
          <w:szCs w:val="24"/>
        </w:rPr>
        <w:t>«</w:t>
      </w:r>
      <w:r w:rsidRPr="004E489C">
        <w:rPr>
          <w:i/>
          <w:sz w:val="24"/>
          <w:szCs w:val="24"/>
        </w:rPr>
        <w:t xml:space="preserve">συμμόρφωση είναι </w:t>
      </w:r>
      <w:r w:rsidR="00817853">
        <w:rPr>
          <w:i/>
          <w:sz w:val="24"/>
          <w:szCs w:val="24"/>
        </w:rPr>
        <w:t>μια</w:t>
      </w:r>
      <w:r w:rsidRPr="004E489C">
        <w:rPr>
          <w:i/>
          <w:sz w:val="24"/>
          <w:szCs w:val="24"/>
        </w:rPr>
        <w:t xml:space="preserve"> ενεργό</w:t>
      </w:r>
      <w:r w:rsidR="00486DBB" w:rsidRPr="004E489C">
        <w:rPr>
          <w:i/>
          <w:sz w:val="24"/>
          <w:szCs w:val="24"/>
        </w:rPr>
        <w:t>ς</w:t>
      </w:r>
      <w:r w:rsidRPr="004E489C">
        <w:rPr>
          <w:i/>
          <w:sz w:val="24"/>
          <w:szCs w:val="24"/>
        </w:rPr>
        <w:t>, υπεύθυνη διαδικασία της φροντίδας, στην οποία το άτομο προσπαθεί να διατηρήσει</w:t>
      </w:r>
      <w:r w:rsidRPr="005A464E">
        <w:rPr>
          <w:sz w:val="24"/>
          <w:szCs w:val="24"/>
        </w:rPr>
        <w:t xml:space="preserve"> </w:t>
      </w:r>
      <w:r w:rsidRPr="004E489C">
        <w:rPr>
          <w:i/>
          <w:sz w:val="24"/>
          <w:szCs w:val="24"/>
        </w:rPr>
        <w:t xml:space="preserve">την υγεία του σε στενή συνεργασία με το προσωπικό της υγειονομικής </w:t>
      </w:r>
      <w:r w:rsidR="009E3FA8">
        <w:rPr>
          <w:i/>
          <w:sz w:val="24"/>
          <w:szCs w:val="24"/>
        </w:rPr>
        <w:t>φροντίδα</w:t>
      </w:r>
      <w:r w:rsidRPr="004E489C">
        <w:rPr>
          <w:i/>
          <w:sz w:val="24"/>
          <w:szCs w:val="24"/>
        </w:rPr>
        <w:t>ς</w:t>
      </w:r>
      <w:r w:rsidR="004E489C" w:rsidRPr="004E489C">
        <w:rPr>
          <w:i/>
          <w:sz w:val="24"/>
          <w:szCs w:val="24"/>
        </w:rPr>
        <w:t>»</w:t>
      </w:r>
      <w:r w:rsidRPr="004E489C">
        <w:rPr>
          <w:i/>
          <w:sz w:val="24"/>
          <w:szCs w:val="24"/>
        </w:rPr>
        <w:t>.</w:t>
      </w:r>
    </w:p>
    <w:p w:rsidR="009B082F" w:rsidRPr="003B7DE9" w:rsidRDefault="009B082F" w:rsidP="005A464E">
      <w:pPr>
        <w:spacing w:line="360" w:lineRule="auto"/>
        <w:jc w:val="both"/>
        <w:rPr>
          <w:sz w:val="24"/>
          <w:szCs w:val="24"/>
        </w:rPr>
      </w:pPr>
      <w:r w:rsidRPr="003B7DE9">
        <w:rPr>
          <w:sz w:val="24"/>
          <w:szCs w:val="24"/>
        </w:rPr>
        <w:t xml:space="preserve">Οι Brown </w:t>
      </w:r>
      <w:r w:rsidR="00012A10" w:rsidRPr="003B7DE9">
        <w:rPr>
          <w:sz w:val="24"/>
          <w:szCs w:val="24"/>
        </w:rPr>
        <w:t>και</w:t>
      </w:r>
      <w:r w:rsidR="00CD580A" w:rsidRPr="003B7DE9">
        <w:rPr>
          <w:sz w:val="24"/>
          <w:szCs w:val="24"/>
        </w:rPr>
        <w:t xml:space="preserve"> Grimes </w:t>
      </w:r>
      <w:r w:rsidR="00E2001F" w:rsidRPr="003B7DE9">
        <w:rPr>
          <w:sz w:val="24"/>
          <w:szCs w:val="24"/>
        </w:rPr>
        <w:t>(</w:t>
      </w:r>
      <w:r w:rsidR="00CD580A" w:rsidRPr="003B7DE9">
        <w:rPr>
          <w:sz w:val="24"/>
          <w:szCs w:val="24"/>
        </w:rPr>
        <w:t>1995)</w:t>
      </w:r>
      <w:r w:rsidRPr="003B7DE9">
        <w:rPr>
          <w:sz w:val="24"/>
          <w:szCs w:val="24"/>
        </w:rPr>
        <w:t xml:space="preserve"> εξέτασαν το ζήτημα από μια διαφορετική οπτική γωνία: «</w:t>
      </w:r>
      <w:r w:rsidRPr="003B7DE9">
        <w:rPr>
          <w:i/>
          <w:sz w:val="24"/>
          <w:szCs w:val="24"/>
        </w:rPr>
        <w:t>σωστή χρήση των φαρμάκων, η τήρηση του ραντεβού με τον θεραπευτή</w:t>
      </w:r>
      <w:r w:rsidRPr="003B7DE9">
        <w:rPr>
          <w:sz w:val="24"/>
          <w:szCs w:val="24"/>
        </w:rPr>
        <w:t xml:space="preserve">». Ο Edel </w:t>
      </w:r>
      <w:r w:rsidR="00CD580A" w:rsidRPr="003B7DE9">
        <w:rPr>
          <w:sz w:val="24"/>
          <w:szCs w:val="24"/>
        </w:rPr>
        <w:t>(1985)</w:t>
      </w:r>
      <w:r w:rsidRPr="003B7DE9">
        <w:rPr>
          <w:sz w:val="24"/>
          <w:szCs w:val="24"/>
        </w:rPr>
        <w:t xml:space="preserve"> σημειώνει για την συμμόρφωση: «</w:t>
      </w:r>
      <w:r w:rsidRPr="003B7DE9">
        <w:rPr>
          <w:i/>
          <w:sz w:val="24"/>
          <w:szCs w:val="24"/>
        </w:rPr>
        <w:t>το βασικό στοιχείο της σχέσης μεταξύ εκείνων που έχουν εξουσία κι εκείνων πάνω στους οποίους εξασκείται η εξουσία</w:t>
      </w:r>
      <w:r w:rsidR="00C33065" w:rsidRPr="003B7DE9">
        <w:rPr>
          <w:sz w:val="24"/>
          <w:szCs w:val="24"/>
        </w:rPr>
        <w:t>»</w:t>
      </w:r>
      <w:r w:rsidRPr="003B7DE9">
        <w:rPr>
          <w:sz w:val="24"/>
          <w:szCs w:val="24"/>
        </w:rPr>
        <w:t>.</w:t>
      </w:r>
    </w:p>
    <w:p w:rsidR="009B082F" w:rsidRPr="005A464E" w:rsidRDefault="009B082F" w:rsidP="005A464E">
      <w:pPr>
        <w:spacing w:line="360" w:lineRule="auto"/>
        <w:jc w:val="both"/>
        <w:rPr>
          <w:sz w:val="24"/>
          <w:szCs w:val="24"/>
        </w:rPr>
      </w:pPr>
      <w:r w:rsidRPr="003B7DE9">
        <w:rPr>
          <w:sz w:val="24"/>
          <w:szCs w:val="24"/>
        </w:rPr>
        <w:t>Οι Dracup και Meleis</w:t>
      </w:r>
      <w:r w:rsidR="00CD580A" w:rsidRPr="003B7DE9">
        <w:rPr>
          <w:sz w:val="24"/>
          <w:szCs w:val="24"/>
        </w:rPr>
        <w:t xml:space="preserve"> (1982)</w:t>
      </w:r>
      <w:r w:rsidRPr="003B7DE9">
        <w:rPr>
          <w:sz w:val="24"/>
          <w:szCs w:val="24"/>
        </w:rPr>
        <w:t xml:space="preserve"> όρισαν τη συμμόρφωση ως </w:t>
      </w:r>
      <w:r w:rsidR="00AB05A5" w:rsidRPr="003B7DE9">
        <w:rPr>
          <w:sz w:val="24"/>
          <w:szCs w:val="24"/>
        </w:rPr>
        <w:t>«</w:t>
      </w:r>
      <w:r w:rsidRPr="003B7DE9">
        <w:rPr>
          <w:i/>
          <w:sz w:val="24"/>
          <w:szCs w:val="24"/>
        </w:rPr>
        <w:t xml:space="preserve">το βαθμό στον οποίο ένα άτομο επιλέγει συμπεριφορές που συμπίπτουν με </w:t>
      </w:r>
      <w:r w:rsidR="004E489C" w:rsidRPr="003B7DE9">
        <w:rPr>
          <w:i/>
          <w:sz w:val="24"/>
          <w:szCs w:val="24"/>
        </w:rPr>
        <w:t>την ιατρική</w:t>
      </w:r>
      <w:r w:rsidRPr="003B7DE9">
        <w:rPr>
          <w:i/>
          <w:sz w:val="24"/>
          <w:szCs w:val="24"/>
        </w:rPr>
        <w:t xml:space="preserve"> συνταγή</w:t>
      </w:r>
      <w:r w:rsidR="00AB05A5" w:rsidRPr="003B7DE9">
        <w:rPr>
          <w:sz w:val="24"/>
          <w:szCs w:val="24"/>
        </w:rPr>
        <w:t>»</w:t>
      </w:r>
      <w:r w:rsidRPr="003B7DE9">
        <w:rPr>
          <w:sz w:val="24"/>
          <w:szCs w:val="24"/>
        </w:rPr>
        <w:t>. Η θεραπευτική</w:t>
      </w:r>
      <w:r w:rsidR="0078495A" w:rsidRPr="003B7DE9">
        <w:rPr>
          <w:sz w:val="24"/>
          <w:szCs w:val="24"/>
        </w:rPr>
        <w:t xml:space="preserve"> </w:t>
      </w:r>
      <w:r w:rsidRPr="003B7DE9">
        <w:rPr>
          <w:sz w:val="24"/>
          <w:szCs w:val="24"/>
        </w:rPr>
        <w:t xml:space="preserve">αγωγή πρέπει να είναι συναινετική, δηλαδή, </w:t>
      </w:r>
      <w:r w:rsidR="008741A3" w:rsidRPr="003B7DE9">
        <w:rPr>
          <w:sz w:val="24"/>
          <w:szCs w:val="24"/>
        </w:rPr>
        <w:t xml:space="preserve">να </w:t>
      </w:r>
      <w:r w:rsidRPr="003B7DE9">
        <w:rPr>
          <w:sz w:val="24"/>
          <w:szCs w:val="24"/>
        </w:rPr>
        <w:t xml:space="preserve">επιτυγχάνεται </w:t>
      </w:r>
      <w:r w:rsidR="00AB05A5" w:rsidRPr="003B7DE9">
        <w:rPr>
          <w:sz w:val="24"/>
          <w:szCs w:val="24"/>
        </w:rPr>
        <w:t>μέσω διαπραγματεύσεων μεταξύ του</w:t>
      </w:r>
      <w:r w:rsidRPr="003B7DE9">
        <w:rPr>
          <w:sz w:val="24"/>
          <w:szCs w:val="24"/>
        </w:rPr>
        <w:t xml:space="preserve"> επαγγελμα</w:t>
      </w:r>
      <w:r w:rsidR="00AB05A5" w:rsidRPr="003B7DE9">
        <w:rPr>
          <w:sz w:val="24"/>
          <w:szCs w:val="24"/>
        </w:rPr>
        <w:t>τία</w:t>
      </w:r>
      <w:r w:rsidR="000425E7" w:rsidRPr="003B7DE9">
        <w:rPr>
          <w:sz w:val="24"/>
          <w:szCs w:val="24"/>
        </w:rPr>
        <w:t xml:space="preserve"> υγείας και</w:t>
      </w:r>
      <w:r w:rsidR="000425E7" w:rsidRPr="005A464E">
        <w:rPr>
          <w:sz w:val="24"/>
          <w:szCs w:val="24"/>
        </w:rPr>
        <w:t xml:space="preserve"> </w:t>
      </w:r>
      <w:r w:rsidR="00B0560D">
        <w:rPr>
          <w:sz w:val="24"/>
          <w:szCs w:val="24"/>
        </w:rPr>
        <w:t>του ασθενούς</w:t>
      </w:r>
      <w:r w:rsidR="000425E7" w:rsidRPr="005A464E">
        <w:rPr>
          <w:sz w:val="24"/>
          <w:szCs w:val="24"/>
        </w:rPr>
        <w:t>. Ο</w:t>
      </w:r>
      <w:r w:rsidRPr="005A464E">
        <w:rPr>
          <w:sz w:val="24"/>
          <w:szCs w:val="24"/>
        </w:rPr>
        <w:t xml:space="preserve"> Burckhardt</w:t>
      </w:r>
      <w:r w:rsidR="00CD580A" w:rsidRPr="005A464E">
        <w:rPr>
          <w:sz w:val="24"/>
          <w:szCs w:val="24"/>
        </w:rPr>
        <w:t xml:space="preserve"> (1986)</w:t>
      </w:r>
      <w:r w:rsidRPr="005A464E">
        <w:rPr>
          <w:sz w:val="24"/>
          <w:szCs w:val="24"/>
        </w:rPr>
        <w:t xml:space="preserve"> </w:t>
      </w:r>
      <w:r w:rsidRPr="008D434C">
        <w:rPr>
          <w:rFonts w:asciiTheme="minorHAnsi" w:hAnsiTheme="minorHAnsi"/>
          <w:sz w:val="24"/>
          <w:szCs w:val="24"/>
        </w:rPr>
        <w:t xml:space="preserve">και </w:t>
      </w:r>
      <w:r w:rsidR="000425E7" w:rsidRPr="008D434C">
        <w:rPr>
          <w:rFonts w:asciiTheme="minorHAnsi" w:hAnsiTheme="minorHAnsi"/>
          <w:sz w:val="24"/>
          <w:szCs w:val="24"/>
          <w:lang w:val="en-US"/>
        </w:rPr>
        <w:t>o</w:t>
      </w:r>
      <w:r w:rsidR="000425E7" w:rsidRPr="008D434C">
        <w:rPr>
          <w:rFonts w:asciiTheme="minorHAnsi" w:hAnsiTheme="minorHAnsi"/>
          <w:sz w:val="24"/>
          <w:szCs w:val="24"/>
        </w:rPr>
        <w:t xml:space="preserve"> </w:t>
      </w:r>
      <w:r w:rsidRPr="008D434C">
        <w:rPr>
          <w:rFonts w:asciiTheme="minorHAnsi" w:hAnsiTheme="minorHAnsi"/>
          <w:sz w:val="24"/>
          <w:szCs w:val="24"/>
        </w:rPr>
        <w:t>Hess</w:t>
      </w:r>
      <w:r w:rsidR="00CD580A" w:rsidRPr="008D434C">
        <w:rPr>
          <w:rFonts w:asciiTheme="minorHAnsi" w:hAnsiTheme="minorHAnsi"/>
          <w:sz w:val="24"/>
          <w:szCs w:val="24"/>
        </w:rPr>
        <w:t xml:space="preserve"> (1996</w:t>
      </w:r>
      <w:r w:rsidR="00CD580A" w:rsidRPr="005A464E">
        <w:rPr>
          <w:sz w:val="24"/>
          <w:szCs w:val="24"/>
        </w:rPr>
        <w:t>)</w:t>
      </w:r>
      <w:r w:rsidR="008741A3">
        <w:rPr>
          <w:sz w:val="24"/>
          <w:szCs w:val="24"/>
        </w:rPr>
        <w:t xml:space="preserve"> χρησιμοποίησαν τον ορισμό</w:t>
      </w:r>
      <w:r w:rsidRPr="005A464E">
        <w:rPr>
          <w:sz w:val="24"/>
          <w:szCs w:val="24"/>
        </w:rPr>
        <w:t xml:space="preserve"> του Webster που ορίζει τη συμμόρφωση ως: «</w:t>
      </w:r>
      <w:r w:rsidRPr="00AB05A5">
        <w:rPr>
          <w:i/>
          <w:sz w:val="24"/>
          <w:szCs w:val="24"/>
        </w:rPr>
        <w:t>η πράξη ή διαδικασία συμμόρφωσης</w:t>
      </w:r>
      <w:r w:rsidR="0078495A" w:rsidRPr="00AB05A5">
        <w:rPr>
          <w:i/>
          <w:sz w:val="24"/>
          <w:szCs w:val="24"/>
        </w:rPr>
        <w:t xml:space="preserve"> </w:t>
      </w:r>
      <w:r w:rsidR="008741A3">
        <w:rPr>
          <w:i/>
          <w:sz w:val="24"/>
          <w:szCs w:val="24"/>
        </w:rPr>
        <w:t>σε μι</w:t>
      </w:r>
      <w:r w:rsidRPr="00AB05A5">
        <w:rPr>
          <w:i/>
          <w:sz w:val="24"/>
          <w:szCs w:val="24"/>
        </w:rPr>
        <w:t>α επιθυμία,</w:t>
      </w:r>
      <w:r w:rsidR="0078495A" w:rsidRPr="00AB05A5">
        <w:rPr>
          <w:i/>
          <w:sz w:val="24"/>
          <w:szCs w:val="24"/>
        </w:rPr>
        <w:t xml:space="preserve"> </w:t>
      </w:r>
      <w:r w:rsidRPr="00AB05A5">
        <w:rPr>
          <w:i/>
          <w:sz w:val="24"/>
          <w:szCs w:val="24"/>
        </w:rPr>
        <w:t>ζήτηση, πρόταση</w:t>
      </w:r>
      <w:r w:rsidR="008741A3">
        <w:rPr>
          <w:i/>
          <w:sz w:val="24"/>
          <w:szCs w:val="24"/>
        </w:rPr>
        <w:t xml:space="preserve"> ή εξαναγκασμό</w:t>
      </w:r>
      <w:r w:rsidRPr="00AB05A5">
        <w:rPr>
          <w:i/>
          <w:sz w:val="24"/>
          <w:szCs w:val="24"/>
        </w:rPr>
        <w:t xml:space="preserve"> προσαρμόζοντας τις πράξεις του ενός στις επιθυμίες του άλλου, σε έναν κανόνα, ή σε </w:t>
      </w:r>
      <w:r w:rsidR="00817853">
        <w:rPr>
          <w:i/>
          <w:sz w:val="24"/>
          <w:szCs w:val="24"/>
        </w:rPr>
        <w:t>μια</w:t>
      </w:r>
      <w:r w:rsidRPr="00AB05A5">
        <w:rPr>
          <w:i/>
          <w:sz w:val="24"/>
          <w:szCs w:val="24"/>
        </w:rPr>
        <w:t xml:space="preserve"> ανάγκη</w:t>
      </w:r>
      <w:r w:rsidRPr="005A464E">
        <w:rPr>
          <w:sz w:val="24"/>
          <w:szCs w:val="24"/>
        </w:rPr>
        <w:t>».</w:t>
      </w:r>
    </w:p>
    <w:p w:rsidR="009B082F" w:rsidRPr="00E94504" w:rsidRDefault="00CD580A" w:rsidP="005A464E">
      <w:pPr>
        <w:spacing w:line="360" w:lineRule="auto"/>
        <w:jc w:val="both"/>
        <w:rPr>
          <w:sz w:val="24"/>
          <w:szCs w:val="24"/>
        </w:rPr>
      </w:pPr>
      <w:r w:rsidRPr="005A464E">
        <w:rPr>
          <w:sz w:val="24"/>
          <w:szCs w:val="24"/>
        </w:rPr>
        <w:t>Ο Hess (1996)</w:t>
      </w:r>
      <w:r w:rsidR="009B082F" w:rsidRPr="005A464E">
        <w:rPr>
          <w:sz w:val="24"/>
          <w:szCs w:val="24"/>
        </w:rPr>
        <w:t xml:space="preserve"> υποστήριξε, επίσης, ότι ο ασθενής πρέπει να δώσει προσοχή στη θεραπευτική αγωγή και να συνεργάζεται μ</w:t>
      </w:r>
      <w:r w:rsidR="00AB05A5">
        <w:rPr>
          <w:sz w:val="24"/>
          <w:szCs w:val="24"/>
        </w:rPr>
        <w:t>ε τον επαγγελματία υγεία</w:t>
      </w:r>
      <w:r w:rsidR="00B84879">
        <w:rPr>
          <w:sz w:val="24"/>
          <w:szCs w:val="24"/>
        </w:rPr>
        <w:t>ς. Οι Hussey και</w:t>
      </w:r>
      <w:r w:rsidR="009B082F" w:rsidRPr="005A464E">
        <w:rPr>
          <w:sz w:val="24"/>
          <w:szCs w:val="24"/>
        </w:rPr>
        <w:t xml:space="preserve"> </w:t>
      </w:r>
      <w:r w:rsidRPr="005A464E">
        <w:rPr>
          <w:sz w:val="24"/>
          <w:szCs w:val="24"/>
        </w:rPr>
        <w:t>Gilliland (1989)</w:t>
      </w:r>
      <w:r w:rsidR="00F15760" w:rsidRPr="005A464E">
        <w:rPr>
          <w:sz w:val="24"/>
          <w:szCs w:val="24"/>
        </w:rPr>
        <w:t xml:space="preserve"> όρισαν τη</w:t>
      </w:r>
      <w:r w:rsidR="009B082F" w:rsidRPr="005A464E">
        <w:rPr>
          <w:sz w:val="24"/>
          <w:szCs w:val="24"/>
        </w:rPr>
        <w:t xml:space="preserve"> συμμόρφωση ως</w:t>
      </w:r>
      <w:r w:rsidR="00AB05A5">
        <w:rPr>
          <w:sz w:val="24"/>
          <w:szCs w:val="24"/>
        </w:rPr>
        <w:t xml:space="preserve"> εξής</w:t>
      </w:r>
      <w:r w:rsidR="009B082F" w:rsidRPr="005A464E">
        <w:rPr>
          <w:sz w:val="24"/>
          <w:szCs w:val="24"/>
        </w:rPr>
        <w:t>: «</w:t>
      </w:r>
      <w:r w:rsidR="009B082F" w:rsidRPr="00AB05A5">
        <w:rPr>
          <w:i/>
          <w:sz w:val="24"/>
          <w:szCs w:val="24"/>
        </w:rPr>
        <w:t xml:space="preserve">η θετική συμπεριφορά που οι ασθενείς εμφανίζουν όταν κινούνται προς την κατεύθυνση των θεραπευτικών στόχων». </w:t>
      </w:r>
      <w:r w:rsidR="009B082F" w:rsidRPr="005A464E">
        <w:rPr>
          <w:sz w:val="24"/>
          <w:szCs w:val="24"/>
        </w:rPr>
        <w:t xml:space="preserve">Ο McGann </w:t>
      </w:r>
      <w:r w:rsidRPr="005A464E">
        <w:rPr>
          <w:sz w:val="24"/>
          <w:szCs w:val="24"/>
        </w:rPr>
        <w:t>(1999)</w:t>
      </w:r>
      <w:r w:rsidR="009B082F" w:rsidRPr="005A464E">
        <w:rPr>
          <w:sz w:val="24"/>
          <w:szCs w:val="24"/>
        </w:rPr>
        <w:t xml:space="preserve"> σχολίασε ότι: «</w:t>
      </w:r>
      <w:r w:rsidR="008741A3">
        <w:rPr>
          <w:i/>
          <w:sz w:val="24"/>
          <w:szCs w:val="24"/>
        </w:rPr>
        <w:t>ο</w:t>
      </w:r>
      <w:r w:rsidR="009B082F" w:rsidRPr="00AB05A5">
        <w:rPr>
          <w:i/>
          <w:sz w:val="24"/>
          <w:szCs w:val="24"/>
        </w:rPr>
        <w:t xml:space="preserve"> ορισμός αυτός δεν λαμβάνει υπόψη τους τρόπους με τους οποίους ένα προκαθορισμένο θεραπευτικό σχήμα επηρεάζει τη ζωή ενός ατόμου και αναθέτει στον επαγγελματία υγείας το ρόλο του</w:t>
      </w:r>
      <w:r w:rsidR="00C33065" w:rsidRPr="00AB05A5">
        <w:rPr>
          <w:i/>
          <w:sz w:val="24"/>
          <w:szCs w:val="24"/>
        </w:rPr>
        <w:t xml:space="preserve"> «</w:t>
      </w:r>
      <w:r w:rsidR="009B082F" w:rsidRPr="00AB05A5">
        <w:rPr>
          <w:i/>
          <w:sz w:val="24"/>
          <w:szCs w:val="24"/>
        </w:rPr>
        <w:t>εμπειρογνώμονα».</w:t>
      </w:r>
      <w:r w:rsidR="009B082F" w:rsidRPr="005A464E">
        <w:rPr>
          <w:sz w:val="24"/>
          <w:szCs w:val="24"/>
        </w:rPr>
        <w:t xml:space="preserve"> Η Vivian </w:t>
      </w:r>
      <w:r w:rsidRPr="005A464E">
        <w:rPr>
          <w:sz w:val="24"/>
          <w:szCs w:val="24"/>
        </w:rPr>
        <w:t>(1996)</w:t>
      </w:r>
      <w:r w:rsidR="009B082F" w:rsidRPr="005A464E">
        <w:rPr>
          <w:sz w:val="24"/>
          <w:szCs w:val="24"/>
        </w:rPr>
        <w:t xml:space="preserve"> ισχυρίστηκε ότι μεταξύ νοσηλευτή-ασθενή υπάρχει μι</w:t>
      </w:r>
      <w:r w:rsidR="00AB05A5">
        <w:rPr>
          <w:sz w:val="24"/>
          <w:szCs w:val="24"/>
        </w:rPr>
        <w:t>α αμοιβαία υποστηρικτική σχέση κατά την οποία ο νοσηλευτής θα πρέπει να βοηθά τον ασθενή</w:t>
      </w:r>
      <w:r w:rsidR="009B082F" w:rsidRPr="005A464E">
        <w:rPr>
          <w:sz w:val="24"/>
          <w:szCs w:val="24"/>
        </w:rPr>
        <w:t xml:space="preserve"> για την </w:t>
      </w:r>
      <w:r w:rsidR="00AB05A5">
        <w:rPr>
          <w:sz w:val="24"/>
          <w:szCs w:val="24"/>
        </w:rPr>
        <w:t>προώθηση της συμμόρφωσης, ενώ ο ασθενή</w:t>
      </w:r>
      <w:r w:rsidR="009B082F" w:rsidRPr="005A464E">
        <w:rPr>
          <w:sz w:val="24"/>
          <w:szCs w:val="24"/>
        </w:rPr>
        <w:t xml:space="preserve">ς θα </w:t>
      </w:r>
      <w:r w:rsidR="009B082F" w:rsidRPr="00E94504">
        <w:rPr>
          <w:sz w:val="24"/>
          <w:szCs w:val="24"/>
        </w:rPr>
        <w:t xml:space="preserve">πρέπει </w:t>
      </w:r>
      <w:r w:rsidR="00AB05A5" w:rsidRPr="00E94504">
        <w:rPr>
          <w:sz w:val="24"/>
          <w:szCs w:val="24"/>
        </w:rPr>
        <w:t>να συμμετέχει</w:t>
      </w:r>
      <w:r w:rsidR="009B082F" w:rsidRPr="00E94504">
        <w:rPr>
          <w:sz w:val="24"/>
          <w:szCs w:val="24"/>
        </w:rPr>
        <w:t xml:space="preserve"> στη διαδικασία.</w:t>
      </w:r>
    </w:p>
    <w:p w:rsidR="003B7DE9" w:rsidRDefault="00B84879" w:rsidP="005A464E">
      <w:pPr>
        <w:spacing w:line="360" w:lineRule="auto"/>
        <w:jc w:val="both"/>
        <w:rPr>
          <w:sz w:val="24"/>
          <w:szCs w:val="24"/>
        </w:rPr>
      </w:pPr>
      <w:r w:rsidRPr="00E94504">
        <w:rPr>
          <w:sz w:val="24"/>
          <w:szCs w:val="24"/>
        </w:rPr>
        <w:t>Οι Murphy και</w:t>
      </w:r>
      <w:r w:rsidR="00CD580A" w:rsidRPr="00E94504">
        <w:rPr>
          <w:sz w:val="24"/>
          <w:szCs w:val="24"/>
        </w:rPr>
        <w:t xml:space="preserve"> Canales (2001</w:t>
      </w:r>
      <w:r w:rsidR="00CD580A" w:rsidRPr="005A464E">
        <w:rPr>
          <w:sz w:val="24"/>
          <w:szCs w:val="24"/>
        </w:rPr>
        <w:t>)</w:t>
      </w:r>
      <w:r w:rsidR="009B082F" w:rsidRPr="005A464E">
        <w:rPr>
          <w:sz w:val="24"/>
          <w:szCs w:val="24"/>
        </w:rPr>
        <w:t xml:space="preserve"> έδ</w:t>
      </w:r>
      <w:r w:rsidR="00C33065" w:rsidRPr="005A464E">
        <w:rPr>
          <w:sz w:val="24"/>
          <w:szCs w:val="24"/>
        </w:rPr>
        <w:t>ειξαν</w:t>
      </w:r>
      <w:r w:rsidR="009B082F" w:rsidRPr="005A464E">
        <w:rPr>
          <w:sz w:val="24"/>
          <w:szCs w:val="24"/>
        </w:rPr>
        <w:t xml:space="preserve"> ότι οι νοσηλευτές- συγγραφείς βλέπουν την έννοια από τρεις διαφορετικές οπτικές γωνίες: </w:t>
      </w:r>
    </w:p>
    <w:p w:rsidR="003B7DE9" w:rsidRDefault="009B082F" w:rsidP="005A464E">
      <w:pPr>
        <w:spacing w:line="360" w:lineRule="auto"/>
        <w:jc w:val="both"/>
        <w:rPr>
          <w:sz w:val="24"/>
          <w:szCs w:val="24"/>
        </w:rPr>
      </w:pPr>
      <w:r w:rsidRPr="00224420">
        <w:rPr>
          <w:i/>
          <w:sz w:val="24"/>
          <w:szCs w:val="24"/>
        </w:rPr>
        <w:t>α</w:t>
      </w:r>
      <w:r w:rsidR="003B7DE9">
        <w:rPr>
          <w:i/>
          <w:sz w:val="24"/>
          <w:szCs w:val="24"/>
        </w:rPr>
        <w:t xml:space="preserve">) </w:t>
      </w:r>
      <w:r w:rsidRPr="005A464E">
        <w:rPr>
          <w:sz w:val="24"/>
          <w:szCs w:val="24"/>
        </w:rPr>
        <w:t>αξιολόγηση: οι συγγραφείς ενδιαφέρονται για τα ζητήματα που προκύπτουν από τη «συμμόρφωση»</w:t>
      </w:r>
      <w:r w:rsidR="00A80C79">
        <w:rPr>
          <w:sz w:val="24"/>
          <w:szCs w:val="24"/>
        </w:rPr>
        <w:t>,</w:t>
      </w:r>
      <w:r w:rsidRPr="005A464E">
        <w:rPr>
          <w:sz w:val="24"/>
          <w:szCs w:val="24"/>
        </w:rPr>
        <w:t xml:space="preserve"> όπως «πατερναλισμός» και «συναίνεση». Καταλήγουν στο συμπέρασμα ότι ο όρος δεν ταιριάζει με το νοσηλ</w:t>
      </w:r>
      <w:r w:rsidR="00C33065" w:rsidRPr="005A464E">
        <w:rPr>
          <w:sz w:val="24"/>
          <w:szCs w:val="24"/>
        </w:rPr>
        <w:t xml:space="preserve">ευτικό επάγγελμα </w:t>
      </w:r>
    </w:p>
    <w:p w:rsidR="003B7DE9" w:rsidRDefault="00C33065" w:rsidP="005A464E">
      <w:pPr>
        <w:spacing w:line="360" w:lineRule="auto"/>
        <w:jc w:val="both"/>
        <w:rPr>
          <w:sz w:val="24"/>
          <w:szCs w:val="24"/>
        </w:rPr>
      </w:pPr>
      <w:r w:rsidRPr="00224420">
        <w:rPr>
          <w:i/>
          <w:sz w:val="24"/>
          <w:szCs w:val="24"/>
        </w:rPr>
        <w:t>β)</w:t>
      </w:r>
      <w:r w:rsidRPr="005A464E">
        <w:rPr>
          <w:sz w:val="24"/>
          <w:szCs w:val="24"/>
        </w:rPr>
        <w:t xml:space="preserve"> εκλογίκευση: ο</w:t>
      </w:r>
      <w:r w:rsidR="009B082F" w:rsidRPr="005A464E">
        <w:rPr>
          <w:sz w:val="24"/>
          <w:szCs w:val="24"/>
        </w:rPr>
        <w:t>ι συγγραφείς αναγνωρίζουν το ζήτημα της</w:t>
      </w:r>
      <w:r w:rsidR="0078495A">
        <w:rPr>
          <w:sz w:val="24"/>
          <w:szCs w:val="24"/>
        </w:rPr>
        <w:t xml:space="preserve"> </w:t>
      </w:r>
      <w:r w:rsidR="009B082F" w:rsidRPr="005A464E">
        <w:rPr>
          <w:sz w:val="24"/>
          <w:szCs w:val="24"/>
        </w:rPr>
        <w:t>ασάφειας</w:t>
      </w:r>
      <w:r w:rsidR="0078495A">
        <w:rPr>
          <w:sz w:val="24"/>
          <w:szCs w:val="24"/>
        </w:rPr>
        <w:t xml:space="preserve"> </w:t>
      </w:r>
      <w:r w:rsidR="009B082F" w:rsidRPr="005A464E">
        <w:rPr>
          <w:sz w:val="24"/>
          <w:szCs w:val="24"/>
        </w:rPr>
        <w:t xml:space="preserve">του όρου. Ωστόσο, συνέχισαν να χρησιμοποιούν τον όρο κατά περίπτωση </w:t>
      </w:r>
    </w:p>
    <w:p w:rsidR="009B082F" w:rsidRPr="005A464E" w:rsidRDefault="009B082F" w:rsidP="005A464E">
      <w:pPr>
        <w:spacing w:line="360" w:lineRule="auto"/>
        <w:jc w:val="both"/>
        <w:rPr>
          <w:sz w:val="24"/>
          <w:szCs w:val="24"/>
        </w:rPr>
      </w:pPr>
      <w:r w:rsidRPr="00224420">
        <w:rPr>
          <w:i/>
          <w:sz w:val="24"/>
          <w:szCs w:val="24"/>
        </w:rPr>
        <w:t>γ</w:t>
      </w:r>
      <w:r w:rsidR="003B7DE9">
        <w:rPr>
          <w:i/>
          <w:sz w:val="24"/>
          <w:szCs w:val="24"/>
        </w:rPr>
        <w:t>)</w:t>
      </w:r>
      <w:r w:rsidR="00AB05A5">
        <w:rPr>
          <w:sz w:val="24"/>
          <w:szCs w:val="24"/>
        </w:rPr>
        <w:t xml:space="preserve"> αποδοχή: ο</w:t>
      </w:r>
      <w:r w:rsidRPr="005A464E">
        <w:rPr>
          <w:sz w:val="24"/>
          <w:szCs w:val="24"/>
        </w:rPr>
        <w:t>ι νοσηλευτές-συγγραφείς χρησιμοποιούν τη λέξη «συμμόρφωση» χωρίς κανένα σχόλιο σ</w:t>
      </w:r>
      <w:r w:rsidR="00E2001F" w:rsidRPr="005A464E">
        <w:rPr>
          <w:sz w:val="24"/>
          <w:szCs w:val="24"/>
        </w:rPr>
        <w:t xml:space="preserve">χετικά με την αντιπαράθεση που </w:t>
      </w:r>
      <w:r w:rsidRPr="005A464E">
        <w:rPr>
          <w:sz w:val="24"/>
          <w:szCs w:val="24"/>
        </w:rPr>
        <w:t>υπάρχει.</w:t>
      </w:r>
    </w:p>
    <w:p w:rsidR="009B082F" w:rsidRPr="005A464E" w:rsidRDefault="009B082F" w:rsidP="00224420">
      <w:pPr>
        <w:pStyle w:val="25"/>
        <w:numPr>
          <w:ilvl w:val="1"/>
          <w:numId w:val="117"/>
        </w:numPr>
        <w:spacing w:after="240" w:line="360" w:lineRule="auto"/>
        <w:rPr>
          <w:rFonts w:asciiTheme="minorHAnsi" w:hAnsiTheme="minorHAnsi"/>
        </w:rPr>
      </w:pPr>
      <w:bookmarkStart w:id="44" w:name="_Toc495951440"/>
      <w:r w:rsidRPr="005A464E">
        <w:rPr>
          <w:rFonts w:asciiTheme="minorHAnsi" w:hAnsiTheme="minorHAnsi"/>
        </w:rPr>
        <w:t xml:space="preserve">Αλληλεπίδραση ασθενή- </w:t>
      </w:r>
      <w:r w:rsidR="00224420">
        <w:rPr>
          <w:rFonts w:asciiTheme="minorHAnsi" w:hAnsiTheme="minorHAnsi"/>
        </w:rPr>
        <w:t>επαγγελματία υγείας</w:t>
      </w:r>
      <w:bookmarkEnd w:id="44"/>
    </w:p>
    <w:p w:rsidR="009B082F" w:rsidRPr="005A464E" w:rsidRDefault="009B082F" w:rsidP="005A464E">
      <w:pPr>
        <w:spacing w:line="360" w:lineRule="auto"/>
        <w:jc w:val="both"/>
        <w:rPr>
          <w:sz w:val="24"/>
          <w:szCs w:val="24"/>
        </w:rPr>
      </w:pPr>
      <w:r w:rsidRPr="005A464E">
        <w:rPr>
          <w:sz w:val="24"/>
          <w:szCs w:val="24"/>
        </w:rPr>
        <w:t>Μέχρι πρόσφατα</w:t>
      </w:r>
      <w:r w:rsidR="00BC1B24" w:rsidRPr="005A464E">
        <w:rPr>
          <w:sz w:val="24"/>
          <w:szCs w:val="24"/>
        </w:rPr>
        <w:t xml:space="preserve">, </w:t>
      </w:r>
      <w:r w:rsidR="003B7DE9">
        <w:rPr>
          <w:sz w:val="24"/>
          <w:szCs w:val="24"/>
        </w:rPr>
        <w:t>η φροντίδα υγείας</w:t>
      </w:r>
      <w:r w:rsidR="00BC1B24" w:rsidRPr="005A464E">
        <w:rPr>
          <w:sz w:val="24"/>
          <w:szCs w:val="24"/>
        </w:rPr>
        <w:t xml:space="preserve"> </w:t>
      </w:r>
      <w:r w:rsidR="003B7DE9">
        <w:rPr>
          <w:sz w:val="24"/>
          <w:szCs w:val="24"/>
        </w:rPr>
        <w:t xml:space="preserve">αφορούσε το </w:t>
      </w:r>
      <w:r w:rsidRPr="005A464E">
        <w:rPr>
          <w:sz w:val="24"/>
          <w:szCs w:val="24"/>
        </w:rPr>
        <w:t xml:space="preserve"> «μοντέλο με επίκεντρο τη νόσο»</w:t>
      </w:r>
      <w:r w:rsidR="00A80C79">
        <w:rPr>
          <w:sz w:val="24"/>
          <w:szCs w:val="24"/>
        </w:rPr>
        <w:t>,</w:t>
      </w:r>
      <w:r w:rsidRPr="005A464E">
        <w:rPr>
          <w:sz w:val="24"/>
          <w:szCs w:val="24"/>
        </w:rPr>
        <w:t xml:space="preserve"> σύμφωνα με την οποία οι αποφ</w:t>
      </w:r>
      <w:r w:rsidR="00AB05A5">
        <w:rPr>
          <w:sz w:val="24"/>
          <w:szCs w:val="24"/>
        </w:rPr>
        <w:t xml:space="preserve">άσεις σχετικά με τη θεραπεία </w:t>
      </w:r>
      <w:r w:rsidR="00B0560D">
        <w:rPr>
          <w:sz w:val="24"/>
          <w:szCs w:val="24"/>
        </w:rPr>
        <w:t>του ασθενούς</w:t>
      </w:r>
      <w:r w:rsidR="00AB05A5">
        <w:rPr>
          <w:sz w:val="24"/>
          <w:szCs w:val="24"/>
        </w:rPr>
        <w:t xml:space="preserve"> λαμβάνονταν από τον</w:t>
      </w:r>
      <w:r w:rsidRPr="005A464E">
        <w:rPr>
          <w:sz w:val="24"/>
          <w:szCs w:val="24"/>
        </w:rPr>
        <w:t xml:space="preserve"> επαγγελματ</w:t>
      </w:r>
      <w:r w:rsidR="00AB05A5">
        <w:rPr>
          <w:sz w:val="24"/>
          <w:szCs w:val="24"/>
        </w:rPr>
        <w:t>ία</w:t>
      </w:r>
      <w:r w:rsidRPr="005A464E">
        <w:rPr>
          <w:sz w:val="24"/>
          <w:szCs w:val="24"/>
        </w:rPr>
        <w:t xml:space="preserve"> υγείας</w:t>
      </w:r>
      <w:r w:rsidR="00E2001F" w:rsidRPr="005A464E">
        <w:rPr>
          <w:sz w:val="24"/>
          <w:szCs w:val="24"/>
        </w:rPr>
        <w:t xml:space="preserve"> με μικρή συμμετοχή </w:t>
      </w:r>
      <w:r w:rsidR="00B0560D">
        <w:rPr>
          <w:sz w:val="24"/>
          <w:szCs w:val="24"/>
        </w:rPr>
        <w:t>του ασθενούς</w:t>
      </w:r>
      <w:r w:rsidR="00E2001F" w:rsidRPr="005A464E">
        <w:rPr>
          <w:sz w:val="24"/>
          <w:szCs w:val="24"/>
        </w:rPr>
        <w:t xml:space="preserve"> </w:t>
      </w:r>
      <w:r w:rsidR="00955460" w:rsidRPr="005A464E">
        <w:rPr>
          <w:sz w:val="24"/>
          <w:szCs w:val="24"/>
        </w:rPr>
        <w:t>(Stanton</w:t>
      </w:r>
      <w:r w:rsidR="00EA2A9F" w:rsidRPr="005A464E">
        <w:rPr>
          <w:sz w:val="24"/>
          <w:szCs w:val="24"/>
        </w:rPr>
        <w:t>,</w:t>
      </w:r>
      <w:r w:rsidR="00955460" w:rsidRPr="005A464E">
        <w:rPr>
          <w:sz w:val="24"/>
          <w:szCs w:val="24"/>
        </w:rPr>
        <w:t xml:space="preserve"> 2002</w:t>
      </w:r>
      <w:r w:rsidR="00CD580A" w:rsidRPr="005A464E">
        <w:rPr>
          <w:sz w:val="24"/>
          <w:szCs w:val="24"/>
        </w:rPr>
        <w:t xml:space="preserve">). </w:t>
      </w:r>
      <w:r w:rsidRPr="005A464E">
        <w:rPr>
          <w:sz w:val="24"/>
          <w:szCs w:val="24"/>
        </w:rPr>
        <w:t>Σύμφωνα με το μοντέλο αυτό</w:t>
      </w:r>
      <w:r w:rsidR="00A80C79">
        <w:rPr>
          <w:sz w:val="24"/>
          <w:szCs w:val="24"/>
        </w:rPr>
        <w:t>,</w:t>
      </w:r>
      <w:r w:rsidRPr="005A464E">
        <w:rPr>
          <w:sz w:val="24"/>
          <w:szCs w:val="24"/>
        </w:rPr>
        <w:t xml:space="preserve"> το ενδιαφέρον εστιάζεται περισσότερο στην ασθένεια ξεχωριστά και όχι στον ασθενή ως ολότητα</w:t>
      </w:r>
      <w:r w:rsidR="00CD580A" w:rsidRPr="005A464E">
        <w:rPr>
          <w:sz w:val="24"/>
          <w:szCs w:val="24"/>
        </w:rPr>
        <w:t xml:space="preserve"> </w:t>
      </w:r>
      <w:r w:rsidR="00BC1B24" w:rsidRPr="005A464E">
        <w:rPr>
          <w:sz w:val="24"/>
          <w:szCs w:val="24"/>
        </w:rPr>
        <w:t>(</w:t>
      </w:r>
      <w:r w:rsidR="00CD580A" w:rsidRPr="005A464E">
        <w:rPr>
          <w:sz w:val="24"/>
          <w:szCs w:val="24"/>
        </w:rPr>
        <w:t>Steckel</w:t>
      </w:r>
      <w:r w:rsidR="00EA2A9F" w:rsidRPr="005A464E">
        <w:rPr>
          <w:sz w:val="24"/>
          <w:szCs w:val="24"/>
        </w:rPr>
        <w:t>,</w:t>
      </w:r>
      <w:r w:rsidR="00CD580A" w:rsidRPr="005A464E">
        <w:rPr>
          <w:sz w:val="24"/>
          <w:szCs w:val="24"/>
        </w:rPr>
        <w:t xml:space="preserve"> 1974). </w:t>
      </w:r>
      <w:r w:rsidR="00AB05A5">
        <w:rPr>
          <w:sz w:val="24"/>
          <w:szCs w:val="24"/>
        </w:rPr>
        <w:t>Υπήρχε η αντίληψη ότι ο ασθενής που ζητά</w:t>
      </w:r>
      <w:r w:rsidRPr="005A464E">
        <w:rPr>
          <w:sz w:val="24"/>
          <w:szCs w:val="24"/>
        </w:rPr>
        <w:t xml:space="preserve"> συμβουλές υγείας θα ακολουθή</w:t>
      </w:r>
      <w:r w:rsidR="00AB05A5">
        <w:rPr>
          <w:sz w:val="24"/>
          <w:szCs w:val="24"/>
        </w:rPr>
        <w:t>σει ή πρόκειται να συμμορφωθεί</w:t>
      </w:r>
      <w:r w:rsidRPr="005A464E">
        <w:rPr>
          <w:sz w:val="24"/>
          <w:szCs w:val="24"/>
        </w:rPr>
        <w:t xml:space="preserve"> με τις συστάσεις. </w:t>
      </w:r>
    </w:p>
    <w:p w:rsidR="009B082F" w:rsidRPr="00C71CA6" w:rsidRDefault="009B082F" w:rsidP="005A464E">
      <w:pPr>
        <w:spacing w:line="360" w:lineRule="auto"/>
        <w:jc w:val="both"/>
        <w:rPr>
          <w:sz w:val="24"/>
          <w:szCs w:val="24"/>
        </w:rPr>
      </w:pPr>
      <w:r w:rsidRPr="005A464E">
        <w:rPr>
          <w:sz w:val="24"/>
          <w:szCs w:val="24"/>
        </w:rPr>
        <w:t>Με την εξέλιξη στην ορολογία</w:t>
      </w:r>
      <w:r w:rsidR="00C33065" w:rsidRPr="005A464E">
        <w:rPr>
          <w:sz w:val="24"/>
          <w:szCs w:val="24"/>
        </w:rPr>
        <w:t xml:space="preserve"> και τη χρήση του όρου «προσκόλλησ</w:t>
      </w:r>
      <w:r w:rsidR="00F95540">
        <w:rPr>
          <w:sz w:val="24"/>
          <w:szCs w:val="24"/>
        </w:rPr>
        <w:t>η» παρατηρήθηκε</w:t>
      </w:r>
      <w:r w:rsidRPr="005A464E">
        <w:rPr>
          <w:sz w:val="24"/>
          <w:szCs w:val="24"/>
        </w:rPr>
        <w:t xml:space="preserve"> μια αλλαγή ως προς την προσέγγιση</w:t>
      </w:r>
      <w:r w:rsidR="0078495A">
        <w:rPr>
          <w:sz w:val="24"/>
          <w:szCs w:val="24"/>
        </w:rPr>
        <w:t xml:space="preserve"> </w:t>
      </w:r>
      <w:r w:rsidRPr="005A464E">
        <w:rPr>
          <w:sz w:val="24"/>
          <w:szCs w:val="24"/>
        </w:rPr>
        <w:t xml:space="preserve">της φροντίδας </w:t>
      </w:r>
      <w:r w:rsidR="00B0560D">
        <w:rPr>
          <w:sz w:val="24"/>
          <w:szCs w:val="24"/>
        </w:rPr>
        <w:t>του ασθενούς</w:t>
      </w:r>
      <w:r w:rsidRPr="005A464E">
        <w:rPr>
          <w:sz w:val="24"/>
          <w:szCs w:val="24"/>
        </w:rPr>
        <w:t xml:space="preserve"> (με </w:t>
      </w:r>
      <w:r w:rsidR="00BE71E6" w:rsidRPr="005A464E">
        <w:rPr>
          <w:sz w:val="24"/>
          <w:szCs w:val="24"/>
        </w:rPr>
        <w:t>επίκεντρο τον ασθενή-</w:t>
      </w:r>
      <w:r w:rsidR="00F95540">
        <w:rPr>
          <w:sz w:val="24"/>
          <w:szCs w:val="24"/>
        </w:rPr>
        <w:t>ασθενοκεντρική). Ο ασθενής έχει το δικαίωμα να εκφράσει</w:t>
      </w:r>
      <w:r w:rsidRPr="005A464E">
        <w:rPr>
          <w:sz w:val="24"/>
          <w:szCs w:val="24"/>
        </w:rPr>
        <w:t xml:space="preserve"> μια διαφορετική άποψη σχετικά με τη διάγνωση και τη θεραπευτική αγωγή.</w:t>
      </w:r>
      <w:r w:rsidR="00EA2A9F" w:rsidRPr="005A464E">
        <w:rPr>
          <w:sz w:val="24"/>
          <w:szCs w:val="24"/>
        </w:rPr>
        <w:t xml:space="preserve"> Σύμφωνα με </w:t>
      </w:r>
      <w:r w:rsidR="00EA2A9F" w:rsidRPr="0047044F">
        <w:rPr>
          <w:sz w:val="24"/>
          <w:szCs w:val="24"/>
        </w:rPr>
        <w:t>τους</w:t>
      </w:r>
      <w:r w:rsidR="00EA2A9F" w:rsidRPr="005A464E">
        <w:rPr>
          <w:sz w:val="24"/>
          <w:szCs w:val="24"/>
        </w:rPr>
        <w:t xml:space="preserve"> Playle &amp; </w:t>
      </w:r>
      <w:r w:rsidR="00EA2A9F" w:rsidRPr="005A464E">
        <w:rPr>
          <w:sz w:val="24"/>
          <w:szCs w:val="24"/>
          <w:lang w:val="en-US"/>
        </w:rPr>
        <w:t>Keeley</w:t>
      </w:r>
      <w:r w:rsidR="00CD580A" w:rsidRPr="005A464E">
        <w:rPr>
          <w:sz w:val="24"/>
          <w:szCs w:val="24"/>
        </w:rPr>
        <w:t xml:space="preserve"> (1998)</w:t>
      </w:r>
      <w:r w:rsidRPr="005A464E">
        <w:rPr>
          <w:sz w:val="24"/>
          <w:szCs w:val="24"/>
        </w:rPr>
        <w:t xml:space="preserve"> </w:t>
      </w:r>
      <w:r w:rsidR="00F95540">
        <w:rPr>
          <w:sz w:val="24"/>
          <w:szCs w:val="24"/>
        </w:rPr>
        <w:t>ο</w:t>
      </w:r>
      <w:r w:rsidR="00486DBB" w:rsidRPr="005A464E">
        <w:rPr>
          <w:sz w:val="24"/>
          <w:szCs w:val="24"/>
        </w:rPr>
        <w:t xml:space="preserve"> </w:t>
      </w:r>
      <w:r w:rsidR="00F95540">
        <w:rPr>
          <w:sz w:val="24"/>
          <w:szCs w:val="24"/>
        </w:rPr>
        <w:t>ασθενής αξιολογεί</w:t>
      </w:r>
      <w:r w:rsidRPr="005A464E">
        <w:rPr>
          <w:sz w:val="24"/>
          <w:szCs w:val="24"/>
        </w:rPr>
        <w:t xml:space="preserve"> τις οδηγίες σχετι</w:t>
      </w:r>
      <w:r w:rsidR="00F95540">
        <w:rPr>
          <w:sz w:val="24"/>
          <w:szCs w:val="24"/>
        </w:rPr>
        <w:t>κά με τη θεραπεία και αποφασίζει αφού ενημερωθεί</w:t>
      </w:r>
      <w:r w:rsidRPr="005A464E">
        <w:rPr>
          <w:sz w:val="24"/>
          <w:szCs w:val="24"/>
        </w:rPr>
        <w:t>. Το</w:t>
      </w:r>
      <w:r w:rsidR="00BC1B24" w:rsidRPr="005A464E">
        <w:rPr>
          <w:sz w:val="24"/>
          <w:szCs w:val="24"/>
        </w:rPr>
        <w:t xml:space="preserve"> ασθενοκεντρικό μοντέλο έχει δειχθεί</w:t>
      </w:r>
      <w:r w:rsidRPr="005A464E">
        <w:rPr>
          <w:sz w:val="24"/>
          <w:szCs w:val="24"/>
        </w:rPr>
        <w:t xml:space="preserve"> ότι π</w:t>
      </w:r>
      <w:r w:rsidR="00BC1B24" w:rsidRPr="005A464E">
        <w:rPr>
          <w:sz w:val="24"/>
          <w:szCs w:val="24"/>
        </w:rPr>
        <w:t>ροσφέρει μεγαλύτερη ικανοποίηση</w:t>
      </w:r>
      <w:r w:rsidRPr="005A464E">
        <w:rPr>
          <w:sz w:val="24"/>
          <w:szCs w:val="24"/>
        </w:rPr>
        <w:t xml:space="preserve"> στον ασθενή και</w:t>
      </w:r>
      <w:r w:rsidR="0078495A">
        <w:rPr>
          <w:sz w:val="24"/>
          <w:szCs w:val="24"/>
        </w:rPr>
        <w:t xml:space="preserve"> </w:t>
      </w:r>
      <w:r w:rsidRPr="005A464E">
        <w:rPr>
          <w:sz w:val="24"/>
          <w:szCs w:val="24"/>
        </w:rPr>
        <w:t>δίνει καλύτερα αποτελέσματα. Σύ</w:t>
      </w:r>
      <w:r w:rsidR="00F95540">
        <w:rPr>
          <w:sz w:val="24"/>
          <w:szCs w:val="24"/>
        </w:rPr>
        <w:t xml:space="preserve">μφωνα με την προσέγγιση αυτή, ο ασθενής αντιμετωπίζεται ως συνεργάτης, είναι καλά </w:t>
      </w:r>
      <w:r w:rsidR="00F95540" w:rsidRPr="00E94504">
        <w:rPr>
          <w:sz w:val="24"/>
          <w:szCs w:val="24"/>
        </w:rPr>
        <w:t xml:space="preserve">ενημερωμένος για </w:t>
      </w:r>
      <w:r w:rsidR="00224420" w:rsidRPr="00E94504">
        <w:rPr>
          <w:sz w:val="24"/>
          <w:szCs w:val="24"/>
        </w:rPr>
        <w:t xml:space="preserve">τα </w:t>
      </w:r>
      <w:r w:rsidR="00F95540" w:rsidRPr="00E94504">
        <w:rPr>
          <w:sz w:val="24"/>
          <w:szCs w:val="24"/>
        </w:rPr>
        <w:t>θέματα</w:t>
      </w:r>
      <w:r w:rsidR="00F95540">
        <w:rPr>
          <w:sz w:val="24"/>
          <w:szCs w:val="24"/>
        </w:rPr>
        <w:t xml:space="preserve"> της υγείας του, συμμετέχει</w:t>
      </w:r>
      <w:r w:rsidRPr="005A464E">
        <w:rPr>
          <w:sz w:val="24"/>
          <w:szCs w:val="24"/>
        </w:rPr>
        <w:t xml:space="preserve"> περισσότερο στον προγραμματισμό και </w:t>
      </w:r>
      <w:r w:rsidR="00F95540">
        <w:rPr>
          <w:sz w:val="24"/>
          <w:szCs w:val="24"/>
        </w:rPr>
        <w:t>τη λήψη αποφάσεων και ενθαρρύνε</w:t>
      </w:r>
      <w:r w:rsidRPr="005A464E">
        <w:rPr>
          <w:sz w:val="24"/>
          <w:szCs w:val="24"/>
        </w:rPr>
        <w:t>ται ν</w:t>
      </w:r>
      <w:r w:rsidR="00F95540">
        <w:rPr>
          <w:sz w:val="24"/>
          <w:szCs w:val="24"/>
        </w:rPr>
        <w:t>α αναλάβει</w:t>
      </w:r>
      <w:r w:rsidRPr="005A464E">
        <w:rPr>
          <w:sz w:val="24"/>
          <w:szCs w:val="24"/>
        </w:rPr>
        <w:t xml:space="preserve"> την ευθύνη</w:t>
      </w:r>
      <w:r w:rsidR="00F95540">
        <w:rPr>
          <w:sz w:val="24"/>
          <w:szCs w:val="24"/>
        </w:rPr>
        <w:t xml:space="preserve"> για τη φροντίδα της υγείας του</w:t>
      </w:r>
      <w:r w:rsidRPr="005A464E">
        <w:rPr>
          <w:sz w:val="24"/>
          <w:szCs w:val="24"/>
        </w:rPr>
        <w:t xml:space="preserve">. Επιπλέον, η προσέγγιση «με επίκεντρο τον ασθενή» διευκολύνει την αλληλεπίδραση </w:t>
      </w:r>
      <w:r w:rsidR="00C710BF">
        <w:rPr>
          <w:sz w:val="24"/>
          <w:szCs w:val="24"/>
        </w:rPr>
        <w:t>ασθενή</w:t>
      </w:r>
      <w:r w:rsidR="00F95540">
        <w:rPr>
          <w:sz w:val="24"/>
          <w:szCs w:val="24"/>
        </w:rPr>
        <w:t>-επαγγελματία υγείας</w:t>
      </w:r>
      <w:r w:rsidRPr="005A464E">
        <w:rPr>
          <w:sz w:val="24"/>
          <w:szCs w:val="24"/>
        </w:rPr>
        <w:t xml:space="preserve"> και βοηθά τον ασθενή να είναι </w:t>
      </w:r>
      <w:r w:rsidR="00CD580A" w:rsidRPr="005A464E">
        <w:rPr>
          <w:sz w:val="24"/>
          <w:szCs w:val="24"/>
        </w:rPr>
        <w:t>ενήμερος</w:t>
      </w:r>
      <w:r w:rsidR="00486DBB" w:rsidRPr="005A464E">
        <w:rPr>
          <w:sz w:val="24"/>
          <w:szCs w:val="24"/>
        </w:rPr>
        <w:t xml:space="preserve"> </w:t>
      </w:r>
      <w:r w:rsidR="00CD580A" w:rsidRPr="005A464E">
        <w:rPr>
          <w:sz w:val="24"/>
          <w:szCs w:val="24"/>
        </w:rPr>
        <w:t>σχετικά με το θεραπευτικό σχήμα (DiMatteo</w:t>
      </w:r>
      <w:r w:rsidR="001C2D3A" w:rsidRPr="001C2D3A">
        <w:rPr>
          <w:sz w:val="24"/>
          <w:szCs w:val="24"/>
        </w:rPr>
        <w:t xml:space="preserve">, </w:t>
      </w:r>
      <w:r w:rsidR="001C2D3A" w:rsidRPr="001C2D3A">
        <w:rPr>
          <w:rFonts w:asciiTheme="minorHAnsi" w:hAnsiTheme="minorHAnsi" w:cstheme="minorHAnsi"/>
          <w:sz w:val="24"/>
          <w:szCs w:val="24"/>
          <w:lang w:val="en-US"/>
        </w:rPr>
        <w:t>Giordani</w:t>
      </w:r>
      <w:r w:rsidR="001C2D3A" w:rsidRPr="001C2D3A">
        <w:rPr>
          <w:rFonts w:asciiTheme="minorHAnsi" w:hAnsiTheme="minorHAnsi" w:cstheme="minorHAnsi"/>
          <w:sz w:val="24"/>
          <w:szCs w:val="24"/>
        </w:rPr>
        <w:t xml:space="preserve">, </w:t>
      </w:r>
      <w:r w:rsidR="001C2D3A" w:rsidRPr="001C2D3A">
        <w:rPr>
          <w:rFonts w:asciiTheme="minorHAnsi" w:hAnsiTheme="minorHAnsi" w:cstheme="minorHAnsi"/>
          <w:sz w:val="24"/>
          <w:szCs w:val="24"/>
          <w:lang w:val="en-US"/>
        </w:rPr>
        <w:t>Lepper</w:t>
      </w:r>
      <w:r w:rsidR="001C2D3A" w:rsidRPr="001C2D3A">
        <w:rPr>
          <w:rFonts w:asciiTheme="minorHAnsi" w:hAnsiTheme="minorHAnsi" w:cstheme="minorHAnsi"/>
          <w:sz w:val="24"/>
          <w:szCs w:val="24"/>
        </w:rPr>
        <w:t xml:space="preserve">, </w:t>
      </w:r>
      <w:r w:rsidR="001C2D3A" w:rsidRPr="001C2D3A">
        <w:rPr>
          <w:rFonts w:asciiTheme="minorHAnsi" w:hAnsiTheme="minorHAnsi" w:cstheme="minorHAnsi"/>
          <w:sz w:val="24"/>
          <w:szCs w:val="24"/>
          <w:lang w:val="en-US"/>
        </w:rPr>
        <w:t>Croghan</w:t>
      </w:r>
      <w:r w:rsidR="001C2D3A">
        <w:rPr>
          <w:rFonts w:asciiTheme="minorHAnsi" w:hAnsiTheme="minorHAnsi" w:cstheme="minorHAnsi"/>
          <w:sz w:val="24"/>
          <w:szCs w:val="24"/>
        </w:rPr>
        <w:t>,</w:t>
      </w:r>
      <w:r w:rsidR="001C2D3A" w:rsidRPr="005A464E">
        <w:rPr>
          <w:sz w:val="24"/>
          <w:szCs w:val="24"/>
        </w:rPr>
        <w:t xml:space="preserve"> </w:t>
      </w:r>
      <w:r w:rsidR="00CD580A" w:rsidRPr="005A464E">
        <w:rPr>
          <w:sz w:val="24"/>
          <w:szCs w:val="24"/>
        </w:rPr>
        <w:t>2002; Balkrishnan</w:t>
      </w:r>
      <w:r w:rsidR="00675208" w:rsidRPr="00675208">
        <w:rPr>
          <w:sz w:val="24"/>
          <w:szCs w:val="24"/>
        </w:rPr>
        <w:t>,</w:t>
      </w:r>
      <w:r w:rsidR="00C71CA6">
        <w:rPr>
          <w:sz w:val="24"/>
          <w:szCs w:val="24"/>
        </w:rPr>
        <w:t xml:space="preserve"> 2005; Sokol</w:t>
      </w:r>
      <w:r w:rsidR="00C71CA6" w:rsidRPr="00C71CA6">
        <w:rPr>
          <w:sz w:val="24"/>
          <w:szCs w:val="24"/>
        </w:rPr>
        <w:t>,</w:t>
      </w:r>
      <w:r w:rsidR="0078495A">
        <w:rPr>
          <w:sz w:val="24"/>
          <w:szCs w:val="24"/>
        </w:rPr>
        <w:t xml:space="preserve"> </w:t>
      </w:r>
      <w:r w:rsidR="00C71CA6" w:rsidRPr="00C71CA6">
        <w:rPr>
          <w:rFonts w:asciiTheme="minorHAnsi" w:eastAsia="Times New Roman" w:hAnsiTheme="minorHAnsi" w:cstheme="minorHAnsi"/>
          <w:sz w:val="24"/>
          <w:szCs w:val="24"/>
          <w:lang w:val="en-US" w:eastAsia="el-GR"/>
        </w:rPr>
        <w:t>McGuigan</w:t>
      </w:r>
      <w:r w:rsidR="00C71CA6" w:rsidRPr="00C71CA6">
        <w:rPr>
          <w:rFonts w:asciiTheme="minorHAnsi" w:eastAsia="Times New Roman" w:hAnsiTheme="minorHAnsi" w:cstheme="minorHAnsi"/>
          <w:sz w:val="24"/>
          <w:szCs w:val="24"/>
          <w:lang w:eastAsia="el-GR"/>
        </w:rPr>
        <w:t xml:space="preserve">, </w:t>
      </w:r>
      <w:r w:rsidR="00C71CA6" w:rsidRPr="00C71CA6">
        <w:rPr>
          <w:rFonts w:asciiTheme="minorHAnsi" w:eastAsia="Times New Roman" w:hAnsiTheme="minorHAnsi" w:cstheme="minorHAnsi"/>
          <w:sz w:val="24"/>
          <w:szCs w:val="24"/>
          <w:lang w:val="en-US" w:eastAsia="el-GR"/>
        </w:rPr>
        <w:t>Verbrugge</w:t>
      </w:r>
      <w:r w:rsidR="00C71CA6" w:rsidRPr="00C71CA6">
        <w:rPr>
          <w:rFonts w:asciiTheme="minorHAnsi" w:eastAsia="Times New Roman" w:hAnsiTheme="minorHAnsi" w:cstheme="minorHAnsi"/>
          <w:sz w:val="24"/>
          <w:szCs w:val="24"/>
          <w:lang w:eastAsia="el-GR"/>
        </w:rPr>
        <w:t xml:space="preserve">, &amp; </w:t>
      </w:r>
      <w:r w:rsidR="00C71CA6" w:rsidRPr="00C71CA6">
        <w:rPr>
          <w:rFonts w:asciiTheme="minorHAnsi" w:eastAsia="Times New Roman" w:hAnsiTheme="minorHAnsi" w:cstheme="minorHAnsi"/>
          <w:sz w:val="24"/>
          <w:szCs w:val="24"/>
          <w:lang w:val="en-US" w:eastAsia="el-GR"/>
        </w:rPr>
        <w:t>Epstein</w:t>
      </w:r>
      <w:r w:rsidR="00C71CA6" w:rsidRPr="00C71CA6">
        <w:rPr>
          <w:rFonts w:asciiTheme="minorHAnsi" w:eastAsia="Times New Roman" w:hAnsiTheme="minorHAnsi" w:cstheme="minorHAnsi"/>
          <w:sz w:val="24"/>
          <w:szCs w:val="24"/>
          <w:lang w:eastAsia="el-GR"/>
        </w:rPr>
        <w:t>,</w:t>
      </w:r>
      <w:r w:rsidR="00C71CA6" w:rsidRPr="00C71CA6">
        <w:rPr>
          <w:sz w:val="24"/>
          <w:szCs w:val="24"/>
        </w:rPr>
        <w:t xml:space="preserve"> </w:t>
      </w:r>
      <w:r w:rsidR="00CD580A" w:rsidRPr="00C71CA6">
        <w:rPr>
          <w:sz w:val="24"/>
          <w:szCs w:val="24"/>
        </w:rPr>
        <w:t>2005)</w:t>
      </w:r>
      <w:r w:rsidR="00F95540">
        <w:rPr>
          <w:sz w:val="24"/>
          <w:szCs w:val="24"/>
        </w:rPr>
        <w:t>.</w:t>
      </w:r>
    </w:p>
    <w:p w:rsidR="009B082F" w:rsidRPr="005A464E" w:rsidRDefault="009B082F" w:rsidP="005A464E">
      <w:pPr>
        <w:spacing w:line="360" w:lineRule="auto"/>
        <w:jc w:val="both"/>
        <w:rPr>
          <w:sz w:val="24"/>
          <w:szCs w:val="24"/>
        </w:rPr>
      </w:pPr>
      <w:r w:rsidRPr="005A464E">
        <w:rPr>
          <w:sz w:val="24"/>
          <w:szCs w:val="24"/>
        </w:rPr>
        <w:t>Με δεδομένη την ευεργετική επίδραση της ασθενοκεντρικής προσέγγισης στην φροντίδα υγείας θα περίμενε κανείς ότι η μη συμμόρφωση ε</w:t>
      </w:r>
      <w:r w:rsidR="00BE71E6" w:rsidRPr="005A464E">
        <w:rPr>
          <w:sz w:val="24"/>
          <w:szCs w:val="24"/>
        </w:rPr>
        <w:t xml:space="preserve">ίναι ένα σπάνιο φαινόμενο. </w:t>
      </w:r>
      <w:r w:rsidR="00F95540">
        <w:rPr>
          <w:sz w:val="24"/>
          <w:szCs w:val="24"/>
        </w:rPr>
        <w:t>Ωστόσο</w:t>
      </w:r>
      <w:r w:rsidRPr="005A464E">
        <w:rPr>
          <w:sz w:val="24"/>
          <w:szCs w:val="24"/>
        </w:rPr>
        <w:t>, η μη συμμόρφωση είναι ένα σύνθετο και πολυδιάστατο πρόβλημα που περιλαμβάνει μια σειρά από δυναμικές συμπεριφορές και περιστάσεις.</w:t>
      </w:r>
    </w:p>
    <w:p w:rsidR="009B082F" w:rsidRPr="00224420" w:rsidRDefault="009B082F" w:rsidP="005A464E">
      <w:pPr>
        <w:spacing w:line="360" w:lineRule="auto"/>
        <w:jc w:val="both"/>
        <w:rPr>
          <w:i/>
          <w:sz w:val="24"/>
          <w:szCs w:val="24"/>
        </w:rPr>
      </w:pPr>
      <w:r w:rsidRPr="005A464E">
        <w:rPr>
          <w:sz w:val="24"/>
          <w:szCs w:val="24"/>
        </w:rPr>
        <w:t>Επομένως</w:t>
      </w:r>
      <w:r w:rsidR="00CE01B5" w:rsidRPr="00CE01B5">
        <w:rPr>
          <w:sz w:val="24"/>
          <w:szCs w:val="24"/>
        </w:rPr>
        <w:t>,</w:t>
      </w:r>
      <w:r w:rsidRPr="005A464E">
        <w:rPr>
          <w:sz w:val="24"/>
          <w:szCs w:val="24"/>
        </w:rPr>
        <w:t xml:space="preserve"> η «συμμόρφωση» αποτελεί </w:t>
      </w:r>
      <w:r w:rsidR="00817853">
        <w:rPr>
          <w:sz w:val="24"/>
          <w:szCs w:val="24"/>
        </w:rPr>
        <w:t>μια</w:t>
      </w:r>
      <w:r w:rsidRPr="005A464E">
        <w:rPr>
          <w:sz w:val="24"/>
          <w:szCs w:val="24"/>
        </w:rPr>
        <w:t xml:space="preserve"> ακούσια πράξη υποταγής στην εξουσία, ενώ η «προσκόλληση</w:t>
      </w:r>
      <w:r w:rsidR="00F95540">
        <w:rPr>
          <w:sz w:val="24"/>
          <w:szCs w:val="24"/>
        </w:rPr>
        <w:t>»</w:t>
      </w:r>
      <w:r w:rsidRPr="005A464E">
        <w:rPr>
          <w:sz w:val="24"/>
          <w:szCs w:val="24"/>
        </w:rPr>
        <w:t xml:space="preserve"> σχετίζεται με </w:t>
      </w:r>
      <w:r w:rsidR="00817853">
        <w:rPr>
          <w:sz w:val="24"/>
          <w:szCs w:val="24"/>
        </w:rPr>
        <w:t>μια</w:t>
      </w:r>
      <w:r w:rsidRPr="005A464E">
        <w:rPr>
          <w:sz w:val="24"/>
          <w:szCs w:val="24"/>
        </w:rPr>
        <w:t xml:space="preserve"> σκόπιμη πράξη συνεισφοράς</w:t>
      </w:r>
      <w:r w:rsidR="0078495A">
        <w:rPr>
          <w:sz w:val="24"/>
          <w:szCs w:val="24"/>
        </w:rPr>
        <w:t xml:space="preserve"> </w:t>
      </w:r>
      <w:r w:rsidRPr="005A464E">
        <w:rPr>
          <w:sz w:val="24"/>
          <w:szCs w:val="24"/>
        </w:rPr>
        <w:t>σε μια άποψη. Η «συμμόρφωση» έγινε μη δημοφιλής εξαιτίας της πολυπλοκότητάς της. Έτσι, α</w:t>
      </w:r>
      <w:r w:rsidR="00012A10">
        <w:rPr>
          <w:sz w:val="24"/>
          <w:szCs w:val="24"/>
        </w:rPr>
        <w:t xml:space="preserve">ναζητήθηκαν εναλλακτικοί όροι. </w:t>
      </w:r>
      <w:r w:rsidRPr="005A464E">
        <w:rPr>
          <w:sz w:val="24"/>
          <w:szCs w:val="24"/>
        </w:rPr>
        <w:t xml:space="preserve">Η </w:t>
      </w:r>
      <w:r w:rsidR="00012A10">
        <w:rPr>
          <w:sz w:val="24"/>
          <w:szCs w:val="24"/>
        </w:rPr>
        <w:t>«</w:t>
      </w:r>
      <w:r w:rsidRPr="005A464E">
        <w:rPr>
          <w:sz w:val="24"/>
          <w:szCs w:val="24"/>
        </w:rPr>
        <w:t>προσκόλληση» εισήχθη και χρησιμοποιήθηκε ως εναλλακτική λύση στην «συμμόρφωση». Οι όροι «μη συμμόρφ</w:t>
      </w:r>
      <w:r w:rsidR="00F95540">
        <w:rPr>
          <w:sz w:val="24"/>
          <w:szCs w:val="24"/>
        </w:rPr>
        <w:t xml:space="preserve">ωση» και «μη-προσκόλληση» δε διακρίνουν </w:t>
      </w:r>
      <w:r w:rsidRPr="005A464E">
        <w:rPr>
          <w:sz w:val="24"/>
          <w:szCs w:val="24"/>
        </w:rPr>
        <w:t>ανάμεσα σε κάποιον που τηρεί μερικώς ή καθόλου τη συνταγογραφούμενη θεραπεία του. Η</w:t>
      </w:r>
      <w:r w:rsidR="0078495A">
        <w:rPr>
          <w:sz w:val="24"/>
          <w:szCs w:val="24"/>
        </w:rPr>
        <w:t xml:space="preserve"> </w:t>
      </w:r>
      <w:r w:rsidRPr="005A464E">
        <w:rPr>
          <w:sz w:val="24"/>
          <w:szCs w:val="24"/>
        </w:rPr>
        <w:t xml:space="preserve">«συμφωνία» σημαίνει μια κοινή ευθύνη μεταξύ των </w:t>
      </w:r>
      <w:r w:rsidR="00BA566F">
        <w:rPr>
          <w:sz w:val="24"/>
          <w:szCs w:val="24"/>
        </w:rPr>
        <w:t xml:space="preserve">δύο </w:t>
      </w:r>
      <w:r w:rsidRPr="005A464E">
        <w:rPr>
          <w:sz w:val="24"/>
          <w:szCs w:val="24"/>
        </w:rPr>
        <w:t>μερών. Η διαφορά δεν είναι μόνο σημασιολογική αλλά αντανακλά</w:t>
      </w:r>
      <w:r w:rsidR="00F95540">
        <w:rPr>
          <w:sz w:val="24"/>
          <w:szCs w:val="24"/>
        </w:rPr>
        <w:t>,</w:t>
      </w:r>
      <w:r w:rsidRPr="005A464E">
        <w:rPr>
          <w:sz w:val="24"/>
          <w:szCs w:val="24"/>
        </w:rPr>
        <w:t xml:space="preserve"> </w:t>
      </w:r>
      <w:r w:rsidR="00F95540">
        <w:rPr>
          <w:sz w:val="24"/>
          <w:szCs w:val="24"/>
        </w:rPr>
        <w:t>επίσης,</w:t>
      </w:r>
      <w:r w:rsidR="00224420">
        <w:rPr>
          <w:sz w:val="24"/>
          <w:szCs w:val="24"/>
        </w:rPr>
        <w:t xml:space="preserve"> τη σχέση μεταξύ του επαγγελματί</w:t>
      </w:r>
      <w:r w:rsidR="00F95540">
        <w:rPr>
          <w:sz w:val="24"/>
          <w:szCs w:val="24"/>
        </w:rPr>
        <w:t>α</w:t>
      </w:r>
      <w:r w:rsidRPr="005A464E">
        <w:rPr>
          <w:sz w:val="24"/>
          <w:szCs w:val="24"/>
        </w:rPr>
        <w:t xml:space="preserve"> υγ</w:t>
      </w:r>
      <w:r w:rsidR="00CD580A" w:rsidRPr="005A464E">
        <w:rPr>
          <w:sz w:val="24"/>
          <w:szCs w:val="24"/>
        </w:rPr>
        <w:t>εί</w:t>
      </w:r>
      <w:r w:rsidR="00F95540">
        <w:rPr>
          <w:sz w:val="24"/>
          <w:szCs w:val="24"/>
        </w:rPr>
        <w:t xml:space="preserve">ας και </w:t>
      </w:r>
      <w:r w:rsidR="00B0560D">
        <w:rPr>
          <w:sz w:val="24"/>
          <w:szCs w:val="24"/>
        </w:rPr>
        <w:t>του ασθενούς</w:t>
      </w:r>
      <w:r w:rsidR="00CD580A" w:rsidRPr="005A464E">
        <w:rPr>
          <w:sz w:val="24"/>
          <w:szCs w:val="24"/>
        </w:rPr>
        <w:t>. Ο Fraser (2010)</w:t>
      </w:r>
      <w:r w:rsidRPr="005A464E">
        <w:rPr>
          <w:sz w:val="24"/>
          <w:szCs w:val="24"/>
        </w:rPr>
        <w:t xml:space="preserve"> υποστηρίζει ότι </w:t>
      </w:r>
      <w:r w:rsidRPr="00224420">
        <w:rPr>
          <w:i/>
          <w:sz w:val="24"/>
          <w:szCs w:val="24"/>
        </w:rPr>
        <w:t xml:space="preserve">«δεν έχει </w:t>
      </w:r>
      <w:r w:rsidR="00BE71E6" w:rsidRPr="00224420">
        <w:rPr>
          <w:i/>
          <w:sz w:val="24"/>
          <w:szCs w:val="24"/>
        </w:rPr>
        <w:t>σημασία πώς θα το αποκαλούμε ε</w:t>
      </w:r>
      <w:r w:rsidR="00F95540" w:rsidRPr="00224420">
        <w:rPr>
          <w:i/>
          <w:sz w:val="24"/>
          <w:szCs w:val="24"/>
        </w:rPr>
        <w:t>φ</w:t>
      </w:r>
      <w:r w:rsidRPr="00224420">
        <w:rPr>
          <w:i/>
          <w:sz w:val="24"/>
          <w:szCs w:val="24"/>
        </w:rPr>
        <w:t>όσον ο ασθενής λαμβάνει το σωστό φάρμακο στη σωστή στιγμή και στη σωστή δόση».</w:t>
      </w:r>
    </w:p>
    <w:p w:rsidR="009B082F" w:rsidRPr="005A464E" w:rsidRDefault="007537C7" w:rsidP="005A464E">
      <w:pPr>
        <w:spacing w:line="360" w:lineRule="auto"/>
        <w:jc w:val="both"/>
        <w:rPr>
          <w:sz w:val="24"/>
          <w:szCs w:val="24"/>
        </w:rPr>
      </w:pPr>
      <w:r w:rsidRPr="005A464E">
        <w:rPr>
          <w:sz w:val="24"/>
          <w:szCs w:val="24"/>
        </w:rPr>
        <w:t>Οι νοσηλευτές</w:t>
      </w:r>
      <w:r w:rsidR="009B082F" w:rsidRPr="005A464E">
        <w:rPr>
          <w:sz w:val="24"/>
          <w:szCs w:val="24"/>
        </w:rPr>
        <w:t xml:space="preserve"> παρά τις προσπάθειές τους να εφαρμόσουν την προσέγγιση με επίκεντρο τον ασθενή, ίσως δεν έχουν ακόμα κατανοήσει την πολυπλοκότητα της συμμόρφωσης και ως εκ τούτου δεν είναι σε θέση να αναπτύξουν σ</w:t>
      </w:r>
      <w:r w:rsidR="00F95540">
        <w:rPr>
          <w:sz w:val="24"/>
          <w:szCs w:val="24"/>
        </w:rPr>
        <w:t>τρατηγικές που θα βοηθήσουν τον ασθενή να επιτύχει</w:t>
      </w:r>
      <w:r w:rsidR="009B082F" w:rsidRPr="005A464E">
        <w:rPr>
          <w:sz w:val="24"/>
          <w:szCs w:val="24"/>
        </w:rPr>
        <w:t xml:space="preserve"> καλύτερα αποτελέσματ</w:t>
      </w:r>
      <w:r w:rsidR="00607E7C">
        <w:rPr>
          <w:sz w:val="24"/>
          <w:szCs w:val="24"/>
        </w:rPr>
        <w:t>α. Σύμφωνα με τους</w:t>
      </w:r>
      <w:r w:rsidR="00CD580A" w:rsidRPr="005A464E">
        <w:rPr>
          <w:sz w:val="24"/>
          <w:szCs w:val="24"/>
        </w:rPr>
        <w:t xml:space="preserve"> Kyng</w:t>
      </w:r>
      <w:r w:rsidR="00C10B2A" w:rsidRPr="005A464E">
        <w:rPr>
          <w:rFonts w:cstheme="minorHAnsi"/>
          <w:sz w:val="24"/>
          <w:szCs w:val="24"/>
        </w:rPr>
        <w:t>ä</w:t>
      </w:r>
      <w:r w:rsidR="00CD580A" w:rsidRPr="005A464E">
        <w:rPr>
          <w:sz w:val="24"/>
          <w:szCs w:val="24"/>
        </w:rPr>
        <w:t>s</w:t>
      </w:r>
      <w:r w:rsidR="00607E7C" w:rsidRPr="00607E7C">
        <w:rPr>
          <w:sz w:val="24"/>
          <w:szCs w:val="24"/>
        </w:rPr>
        <w:t xml:space="preserve"> </w:t>
      </w:r>
      <w:r w:rsidR="00607E7C">
        <w:rPr>
          <w:sz w:val="24"/>
          <w:szCs w:val="24"/>
          <w:lang w:val="en-US"/>
        </w:rPr>
        <w:t>et</w:t>
      </w:r>
      <w:r w:rsidR="00607E7C" w:rsidRPr="00607E7C">
        <w:rPr>
          <w:sz w:val="24"/>
          <w:szCs w:val="24"/>
        </w:rPr>
        <w:t xml:space="preserve"> </w:t>
      </w:r>
      <w:r w:rsidR="00607E7C">
        <w:rPr>
          <w:sz w:val="24"/>
          <w:szCs w:val="24"/>
          <w:lang w:val="en-US"/>
        </w:rPr>
        <w:t>al</w:t>
      </w:r>
      <w:r w:rsidR="00607E7C">
        <w:rPr>
          <w:sz w:val="24"/>
          <w:szCs w:val="24"/>
        </w:rPr>
        <w:t>.</w:t>
      </w:r>
      <w:r w:rsidR="00CD580A" w:rsidRPr="005A464E">
        <w:rPr>
          <w:sz w:val="24"/>
          <w:szCs w:val="24"/>
        </w:rPr>
        <w:t xml:space="preserve"> (2000) </w:t>
      </w:r>
      <w:r w:rsidR="009B082F" w:rsidRPr="005A464E">
        <w:rPr>
          <w:sz w:val="24"/>
          <w:szCs w:val="24"/>
        </w:rPr>
        <w:t>η έννοια της συμμόρφωσης μπορεί να οριστεί χρησιμοπ</w:t>
      </w:r>
      <w:r w:rsidR="00BD4990" w:rsidRPr="005A464E">
        <w:rPr>
          <w:sz w:val="24"/>
          <w:szCs w:val="24"/>
        </w:rPr>
        <w:t xml:space="preserve">οιώντας τέσσερα </w:t>
      </w:r>
      <w:r w:rsidR="00BD4990" w:rsidRPr="00E94504">
        <w:rPr>
          <w:sz w:val="24"/>
          <w:szCs w:val="24"/>
        </w:rPr>
        <w:t>χαρακτηριστικά:</w:t>
      </w:r>
      <w:r w:rsidR="00224420" w:rsidRPr="00E94504">
        <w:rPr>
          <w:sz w:val="24"/>
          <w:szCs w:val="24"/>
        </w:rPr>
        <w:t xml:space="preserve"> σ</w:t>
      </w:r>
      <w:r w:rsidR="00CE01B5" w:rsidRPr="00E94504">
        <w:rPr>
          <w:sz w:val="24"/>
          <w:szCs w:val="24"/>
        </w:rPr>
        <w:t>υμπεριφορά</w:t>
      </w:r>
      <w:r w:rsidR="00CE01B5">
        <w:rPr>
          <w:sz w:val="24"/>
          <w:szCs w:val="24"/>
        </w:rPr>
        <w:t xml:space="preserve"> </w:t>
      </w:r>
      <w:r w:rsidR="009B082F" w:rsidRPr="005A464E">
        <w:rPr>
          <w:sz w:val="24"/>
          <w:szCs w:val="24"/>
        </w:rPr>
        <w:t>αυτοφροντίδας,</w:t>
      </w:r>
      <w:r w:rsidR="0078495A">
        <w:rPr>
          <w:sz w:val="24"/>
          <w:szCs w:val="24"/>
        </w:rPr>
        <w:t xml:space="preserve"> </w:t>
      </w:r>
      <w:r w:rsidR="009B082F" w:rsidRPr="005A464E">
        <w:rPr>
          <w:sz w:val="24"/>
          <w:szCs w:val="24"/>
        </w:rPr>
        <w:t xml:space="preserve">συνεργασία, ενεργός και υπεύθυνος ρόλος των </w:t>
      </w:r>
      <w:r w:rsidR="00CD580A" w:rsidRPr="005A464E">
        <w:rPr>
          <w:sz w:val="24"/>
          <w:szCs w:val="24"/>
        </w:rPr>
        <w:t>νοσηλευτών</w:t>
      </w:r>
      <w:r w:rsidR="009B082F" w:rsidRPr="005A464E">
        <w:rPr>
          <w:sz w:val="24"/>
          <w:szCs w:val="24"/>
        </w:rPr>
        <w:t xml:space="preserve">. Οι νοσηλευτές μπορεί να </w:t>
      </w:r>
      <w:r w:rsidR="00F95540">
        <w:rPr>
          <w:sz w:val="24"/>
          <w:szCs w:val="24"/>
        </w:rPr>
        <w:t>είναι σε θέση να επηρεάσουν τον ασθενή</w:t>
      </w:r>
      <w:r w:rsidR="009B082F" w:rsidRPr="005A464E">
        <w:rPr>
          <w:sz w:val="24"/>
          <w:szCs w:val="24"/>
        </w:rPr>
        <w:t xml:space="preserve"> ώστε</w:t>
      </w:r>
      <w:r w:rsidR="0078495A">
        <w:rPr>
          <w:sz w:val="24"/>
          <w:szCs w:val="24"/>
        </w:rPr>
        <w:t xml:space="preserve"> </w:t>
      </w:r>
      <w:r w:rsidR="00F95540">
        <w:rPr>
          <w:sz w:val="24"/>
          <w:szCs w:val="24"/>
        </w:rPr>
        <w:t>να συμμορφωθεί</w:t>
      </w:r>
      <w:r w:rsidR="009B082F" w:rsidRPr="005A464E">
        <w:rPr>
          <w:sz w:val="24"/>
          <w:szCs w:val="24"/>
        </w:rPr>
        <w:t xml:space="preserve"> στη θεραπευτική αγωγή ενώ πρέπει να χρησιμοποιήσουν αποτελεσματικά αυτή την εξουσία για την αλλαγή συμπεριφορών υγείας και την προώθηση της θεραπείας.</w:t>
      </w:r>
    </w:p>
    <w:p w:rsidR="00BC1B24" w:rsidRPr="005A464E" w:rsidRDefault="00BC1B24" w:rsidP="005A464E">
      <w:pPr>
        <w:spacing w:line="360" w:lineRule="auto"/>
        <w:jc w:val="both"/>
        <w:rPr>
          <w:sz w:val="24"/>
          <w:szCs w:val="24"/>
          <w:lang w:eastAsia="el-GR"/>
        </w:rPr>
      </w:pPr>
      <w:r w:rsidRPr="005A464E">
        <w:rPr>
          <w:sz w:val="24"/>
          <w:szCs w:val="24"/>
          <w:lang w:eastAsia="el-GR"/>
        </w:rPr>
        <w:t xml:space="preserve">Δεν υπάρχει χρυσός κανόνας για τη διδασκαλία </w:t>
      </w:r>
      <w:r w:rsidR="00B0560D">
        <w:rPr>
          <w:sz w:val="24"/>
          <w:szCs w:val="24"/>
          <w:lang w:eastAsia="el-GR"/>
        </w:rPr>
        <w:t>του ασθενούς</w:t>
      </w:r>
      <w:r w:rsidRPr="005A464E">
        <w:rPr>
          <w:sz w:val="24"/>
          <w:szCs w:val="24"/>
          <w:lang w:eastAsia="el-GR"/>
        </w:rPr>
        <w:t xml:space="preserve"> ή τις παρεμβάσεις που θα αυξήσουν τη συμμόρφωση σε όλους τους ασθενείς και σε όλες</w:t>
      </w:r>
      <w:r w:rsidR="00F95540">
        <w:rPr>
          <w:sz w:val="24"/>
          <w:szCs w:val="24"/>
          <w:lang w:eastAsia="el-GR"/>
        </w:rPr>
        <w:t xml:space="preserve"> τις ασθένειες. Παρέχοντας στον ασθενή</w:t>
      </w:r>
      <w:r w:rsidRPr="005A464E">
        <w:rPr>
          <w:sz w:val="24"/>
          <w:szCs w:val="24"/>
          <w:lang w:eastAsia="el-GR"/>
        </w:rPr>
        <w:t xml:space="preserve"> σαφείς και πραγματικές πληροφορίες, αναγνωρίζοντας τις ανησυχίες, τους προβληματισμούς </w:t>
      </w:r>
      <w:r w:rsidR="00B0560D">
        <w:rPr>
          <w:sz w:val="24"/>
          <w:szCs w:val="24"/>
          <w:lang w:eastAsia="el-GR"/>
        </w:rPr>
        <w:t>του ασθενούς</w:t>
      </w:r>
      <w:r w:rsidRPr="005A464E">
        <w:rPr>
          <w:sz w:val="24"/>
          <w:szCs w:val="24"/>
          <w:lang w:eastAsia="el-GR"/>
        </w:rPr>
        <w:t>, παρέχοντας εναλλακτικά θεραπευτικά σχήματα και διεξάγοντας αξιολόγηση και παρακολούθηση (</w:t>
      </w:r>
      <w:r w:rsidRPr="005A464E">
        <w:rPr>
          <w:sz w:val="24"/>
          <w:szCs w:val="24"/>
          <w:lang w:val="en-US" w:eastAsia="el-GR"/>
        </w:rPr>
        <w:t>follow</w:t>
      </w:r>
      <w:r w:rsidRPr="005A464E">
        <w:rPr>
          <w:sz w:val="24"/>
          <w:szCs w:val="24"/>
          <w:lang w:eastAsia="el-GR"/>
        </w:rPr>
        <w:t>-</w:t>
      </w:r>
      <w:r w:rsidRPr="005A464E">
        <w:rPr>
          <w:sz w:val="24"/>
          <w:szCs w:val="24"/>
          <w:lang w:val="en-US" w:eastAsia="el-GR"/>
        </w:rPr>
        <w:t>up</w:t>
      </w:r>
      <w:r w:rsidRPr="005A464E">
        <w:rPr>
          <w:sz w:val="24"/>
          <w:szCs w:val="24"/>
          <w:lang w:eastAsia="el-GR"/>
        </w:rPr>
        <w:t>) η αύξηση της συμμόρφωσης είναι πιο πιθανή (</w:t>
      </w:r>
      <w:r w:rsidR="00A30A32" w:rsidRPr="005A464E">
        <w:rPr>
          <w:sz w:val="24"/>
          <w:szCs w:val="24"/>
          <w:lang w:val="en-US" w:eastAsia="el-GR"/>
        </w:rPr>
        <w:t>Sokol</w:t>
      </w:r>
      <w:r w:rsidR="00A30A32" w:rsidRPr="005A464E">
        <w:rPr>
          <w:sz w:val="24"/>
          <w:szCs w:val="24"/>
          <w:lang w:eastAsia="el-GR"/>
        </w:rPr>
        <w:t xml:space="preserve"> </w:t>
      </w:r>
      <w:r w:rsidR="00566CAA">
        <w:rPr>
          <w:sz w:val="24"/>
          <w:szCs w:val="24"/>
          <w:lang w:eastAsia="el-GR"/>
        </w:rPr>
        <w:t>et al</w:t>
      </w:r>
      <w:r w:rsidR="00B84879">
        <w:rPr>
          <w:sz w:val="24"/>
          <w:szCs w:val="24"/>
          <w:lang w:eastAsia="el-GR"/>
        </w:rPr>
        <w:t>.</w:t>
      </w:r>
      <w:r w:rsidR="00C71CA6" w:rsidRPr="00C71CA6">
        <w:rPr>
          <w:sz w:val="24"/>
          <w:szCs w:val="24"/>
          <w:lang w:eastAsia="el-GR"/>
        </w:rPr>
        <w:t>,</w:t>
      </w:r>
      <w:r w:rsidR="00B84879">
        <w:rPr>
          <w:sz w:val="24"/>
          <w:szCs w:val="24"/>
          <w:lang w:eastAsia="el-GR"/>
        </w:rPr>
        <w:t xml:space="preserve"> 2005</w:t>
      </w:r>
      <w:r w:rsidR="00B84879" w:rsidRPr="00682CF3">
        <w:rPr>
          <w:sz w:val="24"/>
          <w:szCs w:val="24"/>
          <w:lang w:eastAsia="el-GR"/>
        </w:rPr>
        <w:t>;</w:t>
      </w:r>
      <w:r w:rsidR="00A30A32" w:rsidRPr="00682CF3">
        <w:rPr>
          <w:sz w:val="24"/>
          <w:szCs w:val="24"/>
          <w:lang w:eastAsia="el-GR"/>
        </w:rPr>
        <w:t xml:space="preserve"> </w:t>
      </w:r>
      <w:r w:rsidR="00A30A32" w:rsidRPr="00682CF3">
        <w:rPr>
          <w:sz w:val="24"/>
          <w:szCs w:val="24"/>
          <w:lang w:val="en-US" w:eastAsia="el-GR"/>
        </w:rPr>
        <w:t>Robinson</w:t>
      </w:r>
      <w:r w:rsidR="00682CF3" w:rsidRPr="00682CF3">
        <w:rPr>
          <w:sz w:val="24"/>
          <w:szCs w:val="24"/>
          <w:lang w:eastAsia="el-GR"/>
        </w:rPr>
        <w:t>,</w:t>
      </w:r>
      <w:r w:rsidR="00A30A32" w:rsidRPr="00682CF3">
        <w:rPr>
          <w:sz w:val="24"/>
          <w:szCs w:val="24"/>
          <w:lang w:eastAsia="el-GR"/>
        </w:rPr>
        <w:t xml:space="preserve"> </w:t>
      </w:r>
      <w:hyperlink r:id="rId26" w:history="1">
        <w:r w:rsidR="00682CF3" w:rsidRPr="00682CF3">
          <w:rPr>
            <w:rStyle w:val="-"/>
            <w:rFonts w:asciiTheme="minorHAnsi" w:hAnsiTheme="minorHAnsi" w:cstheme="minorHAnsi"/>
            <w:color w:val="auto"/>
            <w:sz w:val="24"/>
            <w:szCs w:val="24"/>
            <w:u w:val="none"/>
            <w:shd w:val="clear" w:color="auto" w:fill="FFFFFF"/>
            <w:lang w:val="en-US"/>
          </w:rPr>
          <w:t>Callister</w:t>
        </w:r>
        <w:r w:rsidR="00682CF3" w:rsidRPr="00682CF3">
          <w:rPr>
            <w:rStyle w:val="-"/>
            <w:rFonts w:asciiTheme="minorHAnsi" w:hAnsiTheme="minorHAnsi" w:cstheme="minorHAnsi"/>
            <w:color w:val="auto"/>
            <w:sz w:val="24"/>
            <w:szCs w:val="24"/>
            <w:u w:val="none"/>
            <w:shd w:val="clear" w:color="auto" w:fill="FFFFFF"/>
          </w:rPr>
          <w:t xml:space="preserve">, </w:t>
        </w:r>
      </w:hyperlink>
      <w:hyperlink r:id="rId27" w:history="1">
        <w:r w:rsidR="00682CF3" w:rsidRPr="00682CF3">
          <w:rPr>
            <w:rStyle w:val="-"/>
            <w:rFonts w:asciiTheme="minorHAnsi" w:hAnsiTheme="minorHAnsi" w:cstheme="minorHAnsi"/>
            <w:color w:val="auto"/>
            <w:sz w:val="24"/>
            <w:szCs w:val="24"/>
            <w:u w:val="none"/>
            <w:shd w:val="clear" w:color="auto" w:fill="FFFFFF"/>
            <w:lang w:val="en-US"/>
          </w:rPr>
          <w:t>Berry</w:t>
        </w:r>
        <w:r w:rsidR="00682CF3" w:rsidRPr="00682CF3">
          <w:rPr>
            <w:rStyle w:val="-"/>
            <w:rFonts w:asciiTheme="minorHAnsi" w:hAnsiTheme="minorHAnsi" w:cstheme="minorHAnsi"/>
            <w:color w:val="auto"/>
            <w:sz w:val="24"/>
            <w:szCs w:val="24"/>
            <w:u w:val="none"/>
            <w:shd w:val="clear" w:color="auto" w:fill="FFFFFF"/>
          </w:rPr>
          <w:t>,</w:t>
        </w:r>
      </w:hyperlink>
      <w:r w:rsidR="00682CF3" w:rsidRPr="00682CF3">
        <w:rPr>
          <w:rFonts w:asciiTheme="minorHAnsi" w:hAnsiTheme="minorHAnsi" w:cstheme="minorHAnsi"/>
          <w:sz w:val="24"/>
          <w:szCs w:val="24"/>
          <w:shd w:val="clear" w:color="auto" w:fill="FFFFFF"/>
        </w:rPr>
        <w:t xml:space="preserve"> &amp;</w:t>
      </w:r>
      <w:r w:rsidR="00682CF3" w:rsidRPr="00682CF3">
        <w:rPr>
          <w:rStyle w:val="apple-converted-space"/>
          <w:rFonts w:asciiTheme="minorHAnsi" w:hAnsiTheme="minorHAnsi" w:cstheme="minorHAnsi"/>
          <w:sz w:val="24"/>
          <w:szCs w:val="24"/>
          <w:shd w:val="clear" w:color="auto" w:fill="FFFFFF"/>
          <w:lang w:val="en-US"/>
        </w:rPr>
        <w:t> </w:t>
      </w:r>
      <w:hyperlink r:id="rId28" w:history="1">
        <w:r w:rsidR="00682CF3" w:rsidRPr="00682CF3">
          <w:rPr>
            <w:rStyle w:val="-"/>
            <w:rFonts w:asciiTheme="minorHAnsi" w:hAnsiTheme="minorHAnsi" w:cstheme="minorHAnsi"/>
            <w:color w:val="auto"/>
            <w:sz w:val="24"/>
            <w:szCs w:val="24"/>
            <w:u w:val="none"/>
            <w:shd w:val="clear" w:color="auto" w:fill="FFFFFF"/>
            <w:lang w:val="en-US"/>
          </w:rPr>
          <w:t>Dearing</w:t>
        </w:r>
        <w:r w:rsidR="00682CF3" w:rsidRPr="00682CF3">
          <w:rPr>
            <w:rStyle w:val="-"/>
            <w:rFonts w:asciiTheme="minorHAnsi" w:hAnsiTheme="minorHAnsi" w:cstheme="minorHAnsi"/>
            <w:color w:val="auto"/>
            <w:sz w:val="24"/>
            <w:szCs w:val="24"/>
            <w:u w:val="none"/>
            <w:shd w:val="clear" w:color="auto" w:fill="FFFFFF"/>
          </w:rPr>
          <w:t xml:space="preserve">, </w:t>
        </w:r>
      </w:hyperlink>
      <w:r w:rsidR="00A30A32" w:rsidRPr="00682CF3">
        <w:rPr>
          <w:sz w:val="24"/>
          <w:szCs w:val="24"/>
          <w:lang w:eastAsia="el-GR"/>
        </w:rPr>
        <w:t xml:space="preserve">2008; </w:t>
      </w:r>
      <w:r w:rsidRPr="00682CF3">
        <w:rPr>
          <w:sz w:val="24"/>
          <w:szCs w:val="24"/>
          <w:lang w:val="en-US" w:eastAsia="el-GR"/>
        </w:rPr>
        <w:t>Street</w:t>
      </w:r>
      <w:r w:rsidR="00C71CA6" w:rsidRPr="00682CF3">
        <w:rPr>
          <w:sz w:val="24"/>
          <w:szCs w:val="24"/>
          <w:lang w:eastAsia="el-GR"/>
        </w:rPr>
        <w:t>,</w:t>
      </w:r>
      <w:r w:rsidR="00C71CA6" w:rsidRPr="00682CF3">
        <w:rPr>
          <w:rFonts w:asciiTheme="minorHAnsi" w:eastAsia="Times New Roman" w:hAnsiTheme="minorHAnsi" w:cstheme="minorHAnsi"/>
          <w:sz w:val="24"/>
          <w:szCs w:val="24"/>
          <w:lang w:eastAsia="el-GR"/>
        </w:rPr>
        <w:t xml:space="preserve"> </w:t>
      </w:r>
      <w:r w:rsidR="00C71CA6" w:rsidRPr="00682CF3">
        <w:rPr>
          <w:rFonts w:asciiTheme="minorHAnsi" w:eastAsia="Times New Roman" w:hAnsiTheme="minorHAnsi" w:cstheme="minorHAnsi"/>
          <w:sz w:val="24"/>
          <w:szCs w:val="24"/>
          <w:lang w:val="en-US" w:eastAsia="el-GR"/>
        </w:rPr>
        <w:t>Makoul</w:t>
      </w:r>
      <w:r w:rsidR="00C71CA6" w:rsidRPr="00682CF3">
        <w:rPr>
          <w:rFonts w:asciiTheme="minorHAnsi" w:eastAsia="Times New Roman" w:hAnsiTheme="minorHAnsi" w:cstheme="minorHAnsi"/>
          <w:sz w:val="24"/>
          <w:szCs w:val="24"/>
          <w:lang w:eastAsia="el-GR"/>
        </w:rPr>
        <w:t xml:space="preserve">, </w:t>
      </w:r>
      <w:r w:rsidR="00C71CA6" w:rsidRPr="00682CF3">
        <w:rPr>
          <w:rFonts w:asciiTheme="minorHAnsi" w:eastAsia="Times New Roman" w:hAnsiTheme="minorHAnsi" w:cstheme="minorHAnsi"/>
          <w:sz w:val="24"/>
          <w:szCs w:val="24"/>
          <w:lang w:val="en-US" w:eastAsia="el-GR"/>
        </w:rPr>
        <w:t>Arora</w:t>
      </w:r>
      <w:r w:rsidR="00C71CA6" w:rsidRPr="00682CF3">
        <w:rPr>
          <w:rFonts w:asciiTheme="minorHAnsi" w:eastAsia="Times New Roman" w:hAnsiTheme="minorHAnsi" w:cstheme="minorHAnsi"/>
          <w:sz w:val="24"/>
          <w:szCs w:val="24"/>
          <w:lang w:eastAsia="el-GR"/>
        </w:rPr>
        <w:t xml:space="preserve">, &amp; </w:t>
      </w:r>
      <w:r w:rsidR="00C71CA6" w:rsidRPr="00682CF3">
        <w:rPr>
          <w:rFonts w:asciiTheme="minorHAnsi" w:eastAsia="Times New Roman" w:hAnsiTheme="minorHAnsi" w:cstheme="minorHAnsi"/>
          <w:sz w:val="24"/>
          <w:szCs w:val="24"/>
          <w:lang w:val="en-US" w:eastAsia="el-GR"/>
        </w:rPr>
        <w:t>Epstein</w:t>
      </w:r>
      <w:r w:rsidR="00C71CA6" w:rsidRPr="00682CF3">
        <w:rPr>
          <w:rFonts w:asciiTheme="minorHAnsi" w:eastAsia="Times New Roman" w:hAnsiTheme="minorHAnsi" w:cstheme="minorHAnsi"/>
          <w:sz w:val="24"/>
          <w:szCs w:val="24"/>
          <w:lang w:eastAsia="el-GR"/>
        </w:rPr>
        <w:t>,</w:t>
      </w:r>
      <w:r w:rsidR="00C71CA6" w:rsidRPr="00682CF3">
        <w:rPr>
          <w:sz w:val="24"/>
          <w:szCs w:val="24"/>
          <w:lang w:eastAsia="el-GR"/>
        </w:rPr>
        <w:t xml:space="preserve"> </w:t>
      </w:r>
      <w:r w:rsidRPr="00682CF3">
        <w:rPr>
          <w:sz w:val="24"/>
          <w:szCs w:val="24"/>
          <w:lang w:eastAsia="el-GR"/>
        </w:rPr>
        <w:t>2009</w:t>
      </w:r>
      <w:r w:rsidRPr="00C71CA6">
        <w:rPr>
          <w:sz w:val="24"/>
          <w:szCs w:val="24"/>
          <w:lang w:eastAsia="el-GR"/>
        </w:rPr>
        <w:t>; Epstein &amp;</w:t>
      </w:r>
      <w:r w:rsidRPr="005A464E">
        <w:rPr>
          <w:sz w:val="24"/>
          <w:szCs w:val="24"/>
          <w:lang w:eastAsia="el-GR"/>
        </w:rPr>
        <w:t xml:space="preserve"> Street</w:t>
      </w:r>
      <w:r w:rsidR="00AB454B">
        <w:rPr>
          <w:sz w:val="24"/>
          <w:szCs w:val="24"/>
          <w:lang w:eastAsia="el-GR"/>
        </w:rPr>
        <w:t>,</w:t>
      </w:r>
      <w:r w:rsidRPr="005A464E">
        <w:rPr>
          <w:sz w:val="24"/>
          <w:szCs w:val="24"/>
          <w:lang w:eastAsia="el-GR"/>
        </w:rPr>
        <w:t xml:space="preserve"> 2011).</w:t>
      </w:r>
    </w:p>
    <w:p w:rsidR="0063117A" w:rsidRPr="00224420" w:rsidRDefault="00207C6D" w:rsidP="00224420">
      <w:pPr>
        <w:pStyle w:val="25"/>
        <w:numPr>
          <w:ilvl w:val="1"/>
          <w:numId w:val="117"/>
        </w:numPr>
        <w:spacing w:after="240" w:line="360" w:lineRule="auto"/>
        <w:jc w:val="both"/>
        <w:rPr>
          <w:rFonts w:asciiTheme="minorHAnsi" w:hAnsiTheme="minorHAnsi"/>
          <w:lang w:eastAsia="el-GR"/>
        </w:rPr>
      </w:pPr>
      <w:bookmarkStart w:id="45" w:name="_Toc495951441"/>
      <w:r>
        <w:rPr>
          <w:rFonts w:asciiTheme="minorHAnsi" w:hAnsiTheme="minorHAnsi"/>
          <w:lang w:eastAsia="el-GR"/>
        </w:rPr>
        <w:t>Ο ρόλος του επαγγελματί</w:t>
      </w:r>
      <w:r w:rsidR="00F95540">
        <w:rPr>
          <w:rFonts w:asciiTheme="minorHAnsi" w:hAnsiTheme="minorHAnsi"/>
          <w:lang w:eastAsia="el-GR"/>
        </w:rPr>
        <w:t>α</w:t>
      </w:r>
      <w:r w:rsidR="0063117A" w:rsidRPr="005A464E">
        <w:rPr>
          <w:rFonts w:asciiTheme="minorHAnsi" w:hAnsiTheme="minorHAnsi"/>
          <w:lang w:eastAsia="el-GR"/>
        </w:rPr>
        <w:t xml:space="preserve"> υγείας στην αύξηση του επιπέδου συμμόρφωσης</w:t>
      </w:r>
      <w:bookmarkEnd w:id="45"/>
    </w:p>
    <w:p w:rsidR="0063117A" w:rsidRPr="00E94504" w:rsidRDefault="0063117A" w:rsidP="005A464E">
      <w:pPr>
        <w:spacing w:after="0" w:line="360" w:lineRule="auto"/>
        <w:jc w:val="both"/>
        <w:rPr>
          <w:sz w:val="24"/>
          <w:szCs w:val="24"/>
          <w:lang w:eastAsia="el-GR"/>
        </w:rPr>
      </w:pPr>
      <w:r w:rsidRPr="005A464E">
        <w:rPr>
          <w:sz w:val="24"/>
          <w:szCs w:val="24"/>
          <w:lang w:eastAsia="el-GR"/>
        </w:rPr>
        <w:t>Μια μεταβλητή</w:t>
      </w:r>
      <w:r w:rsidR="001A4267">
        <w:rPr>
          <w:sz w:val="24"/>
          <w:szCs w:val="24"/>
          <w:lang w:eastAsia="el-GR"/>
        </w:rPr>
        <w:t>,</w:t>
      </w:r>
      <w:r w:rsidR="0078495A">
        <w:rPr>
          <w:sz w:val="24"/>
          <w:szCs w:val="24"/>
          <w:lang w:eastAsia="el-GR"/>
        </w:rPr>
        <w:t xml:space="preserve"> </w:t>
      </w:r>
      <w:r w:rsidRPr="005A464E">
        <w:rPr>
          <w:sz w:val="24"/>
          <w:szCs w:val="24"/>
          <w:lang w:eastAsia="el-GR"/>
        </w:rPr>
        <w:t>η οποία έχει μελετηθεί με αυξημ</w:t>
      </w:r>
      <w:r w:rsidR="00F95540">
        <w:rPr>
          <w:sz w:val="24"/>
          <w:szCs w:val="24"/>
          <w:lang w:eastAsia="el-GR"/>
        </w:rPr>
        <w:t>ένο ενδιαφέρον είναι ο ρόλος του επαγγελματία</w:t>
      </w:r>
      <w:r w:rsidRPr="005A464E">
        <w:rPr>
          <w:sz w:val="24"/>
          <w:szCs w:val="24"/>
          <w:lang w:eastAsia="el-GR"/>
        </w:rPr>
        <w:t xml:space="preserve"> υγείας</w:t>
      </w:r>
      <w:r w:rsidR="00CF127E" w:rsidRPr="005A464E">
        <w:rPr>
          <w:sz w:val="24"/>
          <w:szCs w:val="24"/>
          <w:lang w:eastAsia="el-GR"/>
        </w:rPr>
        <w:t xml:space="preserve">. </w:t>
      </w:r>
      <w:r w:rsidR="00CF127E" w:rsidRPr="00E94504">
        <w:rPr>
          <w:sz w:val="24"/>
          <w:szCs w:val="24"/>
          <w:lang w:eastAsia="el-GR"/>
        </w:rPr>
        <w:t xml:space="preserve">Η </w:t>
      </w:r>
      <w:r w:rsidR="00F95540" w:rsidRPr="00E94504">
        <w:rPr>
          <w:sz w:val="24"/>
          <w:szCs w:val="24"/>
          <w:lang w:eastAsia="el-GR"/>
        </w:rPr>
        <w:t xml:space="preserve">ελλιπής επικοινωνία </w:t>
      </w:r>
      <w:r w:rsidR="00224420" w:rsidRPr="00E94504">
        <w:rPr>
          <w:sz w:val="24"/>
          <w:szCs w:val="24"/>
          <w:lang w:eastAsia="el-GR"/>
        </w:rPr>
        <w:t xml:space="preserve">μεταξύ </w:t>
      </w:r>
      <w:r w:rsidR="00F95540" w:rsidRPr="00E94504">
        <w:rPr>
          <w:sz w:val="24"/>
          <w:szCs w:val="24"/>
          <w:lang w:eastAsia="el-GR"/>
        </w:rPr>
        <w:t>επαγγελματία υγείας</w:t>
      </w:r>
      <w:r w:rsidR="00224420" w:rsidRPr="00E94504">
        <w:rPr>
          <w:sz w:val="24"/>
          <w:szCs w:val="24"/>
          <w:lang w:eastAsia="el-GR"/>
        </w:rPr>
        <w:t xml:space="preserve"> και </w:t>
      </w:r>
      <w:r w:rsidR="00BC1B24" w:rsidRPr="00E94504">
        <w:rPr>
          <w:sz w:val="24"/>
          <w:szCs w:val="24"/>
          <w:lang w:eastAsia="el-GR"/>
        </w:rPr>
        <w:t>ασθενή</w:t>
      </w:r>
      <w:r w:rsidRPr="00E94504">
        <w:rPr>
          <w:sz w:val="24"/>
          <w:szCs w:val="24"/>
          <w:lang w:eastAsia="el-GR"/>
        </w:rPr>
        <w:t xml:space="preserve"> είναι ένας από τους σημαντικότερους παράγοντες στον προσδιορισμό της έκτασης στην</w:t>
      </w:r>
      <w:r w:rsidR="00F95540" w:rsidRPr="00E94504">
        <w:rPr>
          <w:sz w:val="24"/>
          <w:szCs w:val="24"/>
          <w:lang w:eastAsia="el-GR"/>
        </w:rPr>
        <w:t xml:space="preserve"> οποία συμμορφώνεται ο ασθενή</w:t>
      </w:r>
      <w:r w:rsidR="00224420" w:rsidRPr="00E94504">
        <w:rPr>
          <w:sz w:val="24"/>
          <w:szCs w:val="24"/>
          <w:lang w:eastAsia="el-GR"/>
        </w:rPr>
        <w:t>ς στις συστάσεις. Μι</w:t>
      </w:r>
      <w:r w:rsidRPr="00E94504">
        <w:rPr>
          <w:sz w:val="24"/>
          <w:szCs w:val="24"/>
          <w:lang w:eastAsia="el-GR"/>
        </w:rPr>
        <w:t xml:space="preserve">α θετική επίδραση στη συμμόρφωση </w:t>
      </w:r>
      <w:r w:rsidR="00B0560D" w:rsidRPr="00E94504">
        <w:rPr>
          <w:sz w:val="24"/>
          <w:szCs w:val="24"/>
          <w:lang w:eastAsia="el-GR"/>
        </w:rPr>
        <w:t>του ασθενούς</w:t>
      </w:r>
      <w:r w:rsidRPr="00E94504">
        <w:rPr>
          <w:sz w:val="24"/>
          <w:szCs w:val="24"/>
          <w:lang w:eastAsia="el-GR"/>
        </w:rPr>
        <w:t xml:space="preserve"> που φαίνεται ότι σχετίζεται αρκετά είναι τα προσόντα</w:t>
      </w:r>
      <w:r w:rsidR="0078495A" w:rsidRPr="00E94504">
        <w:rPr>
          <w:sz w:val="24"/>
          <w:szCs w:val="24"/>
          <w:lang w:eastAsia="el-GR"/>
        </w:rPr>
        <w:t xml:space="preserve"> </w:t>
      </w:r>
      <w:r w:rsidR="00F95540" w:rsidRPr="00E94504">
        <w:rPr>
          <w:sz w:val="24"/>
          <w:szCs w:val="24"/>
          <w:lang w:eastAsia="el-GR"/>
        </w:rPr>
        <w:t>του επαγγελματία</w:t>
      </w:r>
      <w:r w:rsidRPr="00E94504">
        <w:rPr>
          <w:sz w:val="24"/>
          <w:szCs w:val="24"/>
          <w:lang w:eastAsia="el-GR"/>
        </w:rPr>
        <w:t xml:space="preserve"> υγείας</w:t>
      </w:r>
      <w:r w:rsidR="00BC1B24" w:rsidRPr="00E94504">
        <w:rPr>
          <w:sz w:val="24"/>
          <w:szCs w:val="24"/>
          <w:lang w:eastAsia="el-GR"/>
        </w:rPr>
        <w:t>,</w:t>
      </w:r>
      <w:r w:rsidRPr="00E94504">
        <w:rPr>
          <w:sz w:val="24"/>
          <w:szCs w:val="24"/>
          <w:lang w:eastAsia="el-GR"/>
        </w:rPr>
        <w:t xml:space="preserve"> όπως η επικοινωνία. Στο πλαίσιο αυτό</w:t>
      </w:r>
      <w:r w:rsidR="00BC1B24" w:rsidRPr="00E94504">
        <w:rPr>
          <w:i/>
          <w:sz w:val="24"/>
          <w:szCs w:val="24"/>
          <w:lang w:eastAsia="el-GR"/>
        </w:rPr>
        <w:t>,</w:t>
      </w:r>
      <w:r w:rsidRPr="00E94504">
        <w:rPr>
          <w:i/>
          <w:sz w:val="24"/>
          <w:szCs w:val="24"/>
          <w:lang w:eastAsia="el-GR"/>
        </w:rPr>
        <w:t xml:space="preserve"> </w:t>
      </w:r>
      <w:r w:rsidR="00F95540" w:rsidRPr="00E94504">
        <w:rPr>
          <w:i/>
          <w:sz w:val="24"/>
          <w:szCs w:val="24"/>
          <w:lang w:eastAsia="el-GR"/>
        </w:rPr>
        <w:t>«</w:t>
      </w:r>
      <w:r w:rsidRPr="00E94504">
        <w:rPr>
          <w:i/>
          <w:sz w:val="24"/>
          <w:szCs w:val="24"/>
          <w:lang w:eastAsia="el-GR"/>
        </w:rPr>
        <w:t>επικοινωνία είναι η προφορική ανταλλαγή πληροφοριών μ</w:t>
      </w:r>
      <w:r w:rsidR="00F95540" w:rsidRPr="00E94504">
        <w:rPr>
          <w:i/>
          <w:sz w:val="24"/>
          <w:szCs w:val="24"/>
          <w:lang w:eastAsia="el-GR"/>
        </w:rPr>
        <w:t>έσα από τη στενή σχέση επαγγελματία υγείας</w:t>
      </w:r>
      <w:r w:rsidRPr="00E94504">
        <w:rPr>
          <w:i/>
          <w:sz w:val="24"/>
          <w:szCs w:val="24"/>
          <w:lang w:eastAsia="el-GR"/>
        </w:rPr>
        <w:t>-ασθενή</w:t>
      </w:r>
      <w:r w:rsidR="00F95540" w:rsidRPr="00E94504">
        <w:rPr>
          <w:i/>
          <w:sz w:val="24"/>
          <w:szCs w:val="24"/>
          <w:lang w:eastAsia="el-GR"/>
        </w:rPr>
        <w:t>»</w:t>
      </w:r>
      <w:r w:rsidRPr="00E94504">
        <w:rPr>
          <w:i/>
          <w:sz w:val="24"/>
          <w:szCs w:val="24"/>
          <w:lang w:eastAsia="el-GR"/>
        </w:rPr>
        <w:t xml:space="preserve"> </w:t>
      </w:r>
      <w:r w:rsidRPr="00E94504">
        <w:rPr>
          <w:sz w:val="24"/>
          <w:szCs w:val="24"/>
          <w:lang w:eastAsia="el-GR"/>
        </w:rPr>
        <w:t>(Ha</w:t>
      </w:r>
      <w:r w:rsidR="007537C7" w:rsidRPr="00E94504">
        <w:rPr>
          <w:sz w:val="24"/>
          <w:szCs w:val="24"/>
          <w:lang w:eastAsia="el-GR"/>
        </w:rPr>
        <w:t>skard</w:t>
      </w:r>
      <w:r w:rsidR="0078495A" w:rsidRPr="00E94504">
        <w:rPr>
          <w:sz w:val="24"/>
          <w:szCs w:val="24"/>
          <w:lang w:eastAsia="el-GR"/>
        </w:rPr>
        <w:t xml:space="preserve"> </w:t>
      </w:r>
      <w:r w:rsidR="00566CAA" w:rsidRPr="00E94504">
        <w:rPr>
          <w:sz w:val="24"/>
          <w:szCs w:val="24"/>
          <w:lang w:eastAsia="el-GR"/>
        </w:rPr>
        <w:t>et al</w:t>
      </w:r>
      <w:r w:rsidR="00B84879" w:rsidRPr="00E94504">
        <w:rPr>
          <w:sz w:val="24"/>
          <w:szCs w:val="24"/>
          <w:lang w:eastAsia="el-GR"/>
        </w:rPr>
        <w:t>.</w:t>
      </w:r>
      <w:r w:rsidR="00CE01B5" w:rsidRPr="00E94504">
        <w:rPr>
          <w:sz w:val="24"/>
          <w:szCs w:val="24"/>
          <w:lang w:eastAsia="el-GR"/>
        </w:rPr>
        <w:t>,</w:t>
      </w:r>
      <w:r w:rsidR="00A30A32" w:rsidRPr="00E94504">
        <w:rPr>
          <w:sz w:val="24"/>
          <w:szCs w:val="24"/>
          <w:lang w:eastAsia="el-GR"/>
        </w:rPr>
        <w:t xml:space="preserve"> 2008</w:t>
      </w:r>
      <w:r w:rsidRPr="00E94504">
        <w:rPr>
          <w:sz w:val="24"/>
          <w:szCs w:val="24"/>
          <w:lang w:eastAsia="el-GR"/>
        </w:rPr>
        <w:t>).</w:t>
      </w:r>
    </w:p>
    <w:p w:rsidR="0063117A" w:rsidRPr="005A464E" w:rsidRDefault="0063117A" w:rsidP="005A464E">
      <w:pPr>
        <w:spacing w:line="360" w:lineRule="auto"/>
        <w:jc w:val="both"/>
        <w:rPr>
          <w:sz w:val="24"/>
          <w:szCs w:val="24"/>
          <w:lang w:eastAsia="el-GR"/>
        </w:rPr>
      </w:pPr>
      <w:r w:rsidRPr="00E94504">
        <w:rPr>
          <w:sz w:val="24"/>
          <w:szCs w:val="24"/>
          <w:lang w:eastAsia="el-GR"/>
        </w:rPr>
        <w:t xml:space="preserve">Ο τρόπος επικοινωνίας και η ικανοποίηση </w:t>
      </w:r>
      <w:r w:rsidR="00B0560D" w:rsidRPr="00E94504">
        <w:rPr>
          <w:sz w:val="24"/>
          <w:szCs w:val="24"/>
          <w:lang w:eastAsia="el-GR"/>
        </w:rPr>
        <w:t>του ασθενούς</w:t>
      </w:r>
      <w:r w:rsidRPr="00E94504">
        <w:rPr>
          <w:sz w:val="24"/>
          <w:szCs w:val="24"/>
          <w:lang w:eastAsia="el-GR"/>
        </w:rPr>
        <w:t xml:space="preserve"> με τη φροντίδα συνδέονται με υψηλά επίπεδα συμμόρφωσης στις συστάσεις. Η επικοινωνία αποτελεί βασικό στοιχείο για την αύξηση της συμμόρφωσης, ειδικά όταν από αυτή προκύπτ</w:t>
      </w:r>
      <w:r w:rsidR="001030B0" w:rsidRPr="00E94504">
        <w:rPr>
          <w:sz w:val="24"/>
          <w:szCs w:val="24"/>
          <w:lang w:eastAsia="el-GR"/>
        </w:rPr>
        <w:t>ει η συνεργασία μεταξύ επαγγελματία υγείας</w:t>
      </w:r>
      <w:r w:rsidR="00224420" w:rsidRPr="00E94504">
        <w:rPr>
          <w:sz w:val="24"/>
          <w:szCs w:val="24"/>
          <w:lang w:eastAsia="el-GR"/>
        </w:rPr>
        <w:t xml:space="preserve">  και </w:t>
      </w:r>
      <w:r w:rsidRPr="00E94504">
        <w:rPr>
          <w:sz w:val="24"/>
          <w:szCs w:val="24"/>
          <w:lang w:eastAsia="el-GR"/>
        </w:rPr>
        <w:t>ασθενή και</w:t>
      </w:r>
      <w:r w:rsidRPr="005A464E">
        <w:rPr>
          <w:sz w:val="24"/>
          <w:szCs w:val="24"/>
          <w:lang w:eastAsia="el-GR"/>
        </w:rPr>
        <w:t xml:space="preserve"> καθιστά τον ασθενή ικανό να επιλέγει μετά από πληροφ</w:t>
      </w:r>
      <w:r w:rsidR="001030B0">
        <w:rPr>
          <w:sz w:val="24"/>
          <w:szCs w:val="24"/>
          <w:lang w:eastAsia="el-GR"/>
        </w:rPr>
        <w:t>όρηση. Η ικανότητα του επαγγελματία υγείας</w:t>
      </w:r>
      <w:r w:rsidRPr="005A464E">
        <w:rPr>
          <w:sz w:val="24"/>
          <w:szCs w:val="24"/>
          <w:lang w:eastAsia="el-GR"/>
        </w:rPr>
        <w:t xml:space="preserve"> να επιδεικνύει ζεστασιά και ενδια</w:t>
      </w:r>
      <w:r w:rsidR="00224420">
        <w:rPr>
          <w:sz w:val="24"/>
          <w:szCs w:val="24"/>
          <w:lang w:eastAsia="el-GR"/>
        </w:rPr>
        <w:t xml:space="preserve">φέρον </w:t>
      </w:r>
      <w:r w:rsidR="00224420" w:rsidRPr="00E94504">
        <w:rPr>
          <w:sz w:val="24"/>
          <w:szCs w:val="24"/>
          <w:lang w:eastAsia="el-GR"/>
        </w:rPr>
        <w:t>για τον ασθενή</w:t>
      </w:r>
      <w:r w:rsidRPr="00E94504">
        <w:rPr>
          <w:sz w:val="24"/>
          <w:szCs w:val="24"/>
          <w:lang w:eastAsia="el-GR"/>
        </w:rPr>
        <w:t>, εμπιστοσύνη, ενσυναίσθηση δημιουργώντας</w:t>
      </w:r>
      <w:r w:rsidR="0078495A" w:rsidRPr="00E94504">
        <w:rPr>
          <w:sz w:val="24"/>
          <w:szCs w:val="24"/>
          <w:lang w:eastAsia="el-GR"/>
        </w:rPr>
        <w:t xml:space="preserve"> </w:t>
      </w:r>
      <w:r w:rsidRPr="00E94504">
        <w:rPr>
          <w:sz w:val="24"/>
          <w:szCs w:val="24"/>
          <w:lang w:eastAsia="el-GR"/>
        </w:rPr>
        <w:t>ένα</w:t>
      </w:r>
      <w:r w:rsidR="0078495A" w:rsidRPr="00E94504">
        <w:rPr>
          <w:sz w:val="24"/>
          <w:szCs w:val="24"/>
          <w:lang w:eastAsia="el-GR"/>
        </w:rPr>
        <w:t xml:space="preserve"> </w:t>
      </w:r>
      <w:r w:rsidRPr="00E94504">
        <w:rPr>
          <w:sz w:val="24"/>
          <w:szCs w:val="24"/>
          <w:lang w:eastAsia="el-GR"/>
        </w:rPr>
        <w:t>συνεργατικό περιβάλλον</w:t>
      </w:r>
      <w:r w:rsidR="001030B0" w:rsidRPr="00E94504">
        <w:rPr>
          <w:sz w:val="24"/>
          <w:szCs w:val="24"/>
          <w:lang w:eastAsia="el-GR"/>
        </w:rPr>
        <w:t xml:space="preserve"> </w:t>
      </w:r>
      <w:r w:rsidRPr="00E94504">
        <w:rPr>
          <w:sz w:val="24"/>
          <w:szCs w:val="24"/>
          <w:lang w:eastAsia="el-GR"/>
        </w:rPr>
        <w:t>φαίνεται ότι</w:t>
      </w:r>
      <w:r w:rsidR="0078495A" w:rsidRPr="00E94504">
        <w:rPr>
          <w:sz w:val="24"/>
          <w:szCs w:val="24"/>
          <w:lang w:eastAsia="el-GR"/>
        </w:rPr>
        <w:t xml:space="preserve"> </w:t>
      </w:r>
      <w:r w:rsidRPr="00E94504">
        <w:rPr>
          <w:sz w:val="24"/>
          <w:szCs w:val="24"/>
          <w:lang w:eastAsia="el-GR"/>
        </w:rPr>
        <w:t>είναι βασικό στοιχείο για την διευκόλυνση της συμμόρφωσης.</w:t>
      </w:r>
      <w:r w:rsidR="0078495A" w:rsidRPr="00E94504">
        <w:rPr>
          <w:sz w:val="24"/>
          <w:szCs w:val="24"/>
          <w:lang w:eastAsia="el-GR"/>
        </w:rPr>
        <w:t xml:space="preserve"> </w:t>
      </w:r>
      <w:r w:rsidRPr="00E94504">
        <w:rPr>
          <w:sz w:val="24"/>
          <w:szCs w:val="24"/>
          <w:lang w:eastAsia="el-GR"/>
        </w:rPr>
        <w:t>Αυτ</w:t>
      </w:r>
      <w:r w:rsidR="001030B0" w:rsidRPr="00E94504">
        <w:rPr>
          <w:sz w:val="24"/>
          <w:szCs w:val="24"/>
          <w:lang w:eastAsia="el-GR"/>
        </w:rPr>
        <w:t>ός ο τύπος της σχέσης βοηθά τον ασθενή να αισθανθεί</w:t>
      </w:r>
      <w:r w:rsidRPr="00E94504">
        <w:rPr>
          <w:sz w:val="24"/>
          <w:szCs w:val="24"/>
          <w:lang w:eastAsia="el-GR"/>
        </w:rPr>
        <w:t xml:space="preserve"> ότι ο επαγγελματίας υγείας ακούει και καταλαβαίνει τα συναισθήματά του, τις ανησυχίες του και τους περιορισμούς χωρίς να τον κατακρίνει (</w:t>
      </w:r>
      <w:r w:rsidRPr="00E94504">
        <w:rPr>
          <w:sz w:val="24"/>
          <w:szCs w:val="24"/>
          <w:lang w:val="en-US" w:eastAsia="el-GR"/>
        </w:rPr>
        <w:t>Weiner</w:t>
      </w:r>
      <w:r w:rsidR="00D31BD9" w:rsidRPr="00E94504">
        <w:rPr>
          <w:sz w:val="24"/>
          <w:szCs w:val="24"/>
          <w:lang w:eastAsia="el-GR"/>
        </w:rPr>
        <w:t>,</w:t>
      </w:r>
      <w:r w:rsidRPr="00E94504">
        <w:rPr>
          <w:sz w:val="24"/>
          <w:szCs w:val="24"/>
          <w:lang w:eastAsia="el-GR"/>
        </w:rPr>
        <w:t xml:space="preserve"> </w:t>
      </w:r>
      <w:r w:rsidR="00D31BD9" w:rsidRPr="00E94504">
        <w:rPr>
          <w:rFonts w:asciiTheme="minorHAnsi" w:hAnsiTheme="minorHAnsi" w:cstheme="minorHAnsi"/>
          <w:sz w:val="24"/>
          <w:szCs w:val="24"/>
          <w:lang w:val="en-US"/>
        </w:rPr>
        <w:t>King</w:t>
      </w:r>
      <w:r w:rsidR="00D31BD9" w:rsidRPr="00E94504">
        <w:rPr>
          <w:rFonts w:asciiTheme="minorHAnsi" w:hAnsiTheme="minorHAnsi" w:cstheme="minorHAnsi"/>
          <w:sz w:val="24"/>
          <w:szCs w:val="24"/>
        </w:rPr>
        <w:t xml:space="preserve">, &amp; </w:t>
      </w:r>
      <w:r w:rsidR="00D31BD9" w:rsidRPr="00E94504">
        <w:rPr>
          <w:rFonts w:asciiTheme="minorHAnsi" w:hAnsiTheme="minorHAnsi" w:cstheme="minorHAnsi"/>
          <w:sz w:val="24"/>
          <w:szCs w:val="24"/>
          <w:lang w:val="en-US"/>
        </w:rPr>
        <w:t>Chen</w:t>
      </w:r>
      <w:r w:rsidR="00D31BD9" w:rsidRPr="00E94504">
        <w:rPr>
          <w:sz w:val="24"/>
          <w:szCs w:val="24"/>
          <w:lang w:eastAsia="el-GR"/>
        </w:rPr>
        <w:t xml:space="preserve">, </w:t>
      </w:r>
      <w:r w:rsidRPr="00E94504">
        <w:rPr>
          <w:sz w:val="24"/>
          <w:szCs w:val="24"/>
          <w:lang w:eastAsia="el-GR"/>
        </w:rPr>
        <w:t>2005</w:t>
      </w:r>
      <w:r w:rsidR="001030B0" w:rsidRPr="00E94504">
        <w:rPr>
          <w:sz w:val="24"/>
          <w:szCs w:val="24"/>
          <w:lang w:eastAsia="el-GR"/>
        </w:rPr>
        <w:t>). Ο επαγγελματίας υγείας που διαθέτει</w:t>
      </w:r>
      <w:r w:rsidRPr="00E94504">
        <w:rPr>
          <w:sz w:val="24"/>
          <w:szCs w:val="24"/>
          <w:lang w:eastAsia="el-GR"/>
        </w:rPr>
        <w:t xml:space="preserve"> χρόνο ώστε να</w:t>
      </w:r>
      <w:r w:rsidR="0078495A" w:rsidRPr="00E94504">
        <w:rPr>
          <w:sz w:val="24"/>
          <w:szCs w:val="24"/>
          <w:lang w:eastAsia="el-GR"/>
        </w:rPr>
        <w:t xml:space="preserve"> </w:t>
      </w:r>
      <w:r w:rsidR="001030B0" w:rsidRPr="00E94504">
        <w:rPr>
          <w:sz w:val="24"/>
          <w:szCs w:val="24"/>
          <w:lang w:eastAsia="el-GR"/>
        </w:rPr>
        <w:t>εξηγήσει</w:t>
      </w:r>
      <w:r w:rsidRPr="00E94504">
        <w:rPr>
          <w:sz w:val="24"/>
          <w:szCs w:val="24"/>
          <w:lang w:eastAsia="el-GR"/>
        </w:rPr>
        <w:t xml:space="preserve"> στον ασθενή στοιχεία της θεραπείας</w:t>
      </w:r>
      <w:r w:rsidR="00E91B7C" w:rsidRPr="00E94504">
        <w:rPr>
          <w:sz w:val="24"/>
          <w:szCs w:val="24"/>
          <w:lang w:eastAsia="el-GR"/>
        </w:rPr>
        <w:t>,</w:t>
      </w:r>
      <w:r w:rsidRPr="00E94504">
        <w:rPr>
          <w:sz w:val="24"/>
          <w:szCs w:val="24"/>
          <w:lang w:eastAsia="el-GR"/>
        </w:rPr>
        <w:t xml:space="preserve"> είναι ένας μη απειλητικός τρόπος ενθάρρυνσης της συμμετοχής </w:t>
      </w:r>
      <w:r w:rsidR="00B0560D" w:rsidRPr="00E94504">
        <w:rPr>
          <w:sz w:val="24"/>
          <w:szCs w:val="24"/>
          <w:lang w:eastAsia="el-GR"/>
        </w:rPr>
        <w:t>του ασθενούς</w:t>
      </w:r>
      <w:r w:rsidRPr="00E94504">
        <w:rPr>
          <w:sz w:val="24"/>
          <w:szCs w:val="24"/>
          <w:lang w:eastAsia="el-GR"/>
        </w:rPr>
        <w:t xml:space="preserve"> και της αύξησης της πιθανότητας </w:t>
      </w:r>
      <w:r w:rsidR="00224420" w:rsidRPr="00E94504">
        <w:rPr>
          <w:sz w:val="24"/>
          <w:szCs w:val="24"/>
          <w:lang w:eastAsia="el-GR"/>
        </w:rPr>
        <w:t>συμμόρφωσης στις συστάσεις. Μι</w:t>
      </w:r>
      <w:r w:rsidR="001030B0" w:rsidRPr="00E94504">
        <w:rPr>
          <w:sz w:val="24"/>
          <w:szCs w:val="24"/>
          <w:lang w:eastAsia="el-GR"/>
        </w:rPr>
        <w:t>α ανοιχτή</w:t>
      </w:r>
      <w:r w:rsidR="001030B0">
        <w:rPr>
          <w:sz w:val="24"/>
          <w:szCs w:val="24"/>
          <w:lang w:eastAsia="el-GR"/>
        </w:rPr>
        <w:t xml:space="preserve"> σχέση επαγγελματία υγείας-ασθενή</w:t>
      </w:r>
      <w:r w:rsidRPr="005A464E">
        <w:rPr>
          <w:sz w:val="24"/>
          <w:szCs w:val="24"/>
          <w:lang w:eastAsia="el-GR"/>
        </w:rPr>
        <w:t xml:space="preserve"> είναι ο μεγαλύτερος παράγοντας για την προώθηση της συ</w:t>
      </w:r>
      <w:r w:rsidR="00B84879">
        <w:rPr>
          <w:sz w:val="24"/>
          <w:szCs w:val="24"/>
          <w:lang w:eastAsia="el-GR"/>
        </w:rPr>
        <w:t>μμόρφωσης (Ha &amp; Longnecker</w:t>
      </w:r>
      <w:r w:rsidR="00AB454B">
        <w:rPr>
          <w:sz w:val="24"/>
          <w:szCs w:val="24"/>
          <w:lang w:eastAsia="el-GR"/>
        </w:rPr>
        <w:t>,</w:t>
      </w:r>
      <w:r w:rsidR="00B84879">
        <w:rPr>
          <w:sz w:val="24"/>
          <w:szCs w:val="24"/>
          <w:lang w:eastAsia="el-GR"/>
        </w:rPr>
        <w:t xml:space="preserve"> 2010;</w:t>
      </w:r>
      <w:r w:rsidRPr="005A464E">
        <w:rPr>
          <w:sz w:val="24"/>
          <w:szCs w:val="24"/>
          <w:lang w:eastAsia="el-GR"/>
        </w:rPr>
        <w:t xml:space="preserve"> </w:t>
      </w:r>
      <w:r w:rsidRPr="005A464E">
        <w:rPr>
          <w:sz w:val="24"/>
          <w:szCs w:val="24"/>
          <w:lang w:val="en-US" w:eastAsia="el-GR"/>
        </w:rPr>
        <w:t>Radtke</w:t>
      </w:r>
      <w:r w:rsidR="00A30A32" w:rsidRPr="005A464E">
        <w:rPr>
          <w:sz w:val="24"/>
          <w:szCs w:val="24"/>
          <w:lang w:eastAsia="el-GR"/>
        </w:rPr>
        <w:t>,</w:t>
      </w:r>
      <w:r w:rsidRPr="005A464E">
        <w:rPr>
          <w:sz w:val="24"/>
          <w:szCs w:val="24"/>
          <w:lang w:eastAsia="el-GR"/>
        </w:rPr>
        <w:t xml:space="preserve"> 2013).</w:t>
      </w:r>
    </w:p>
    <w:p w:rsidR="0063117A" w:rsidRPr="005A464E" w:rsidRDefault="0063117A" w:rsidP="005A464E">
      <w:pPr>
        <w:spacing w:line="360" w:lineRule="auto"/>
        <w:jc w:val="both"/>
        <w:rPr>
          <w:sz w:val="24"/>
          <w:szCs w:val="24"/>
          <w:lang w:eastAsia="el-GR"/>
        </w:rPr>
      </w:pPr>
      <w:r w:rsidRPr="005A464E">
        <w:rPr>
          <w:sz w:val="24"/>
          <w:szCs w:val="24"/>
          <w:lang w:eastAsia="el-GR"/>
        </w:rPr>
        <w:t>Η απόκτηση γνώσης και η κατανόηση της ασθένειας από μόνες τους δεν αποτελούν ισχυρό προγνωστικό δείκτη αύξησης της συμμόρφωσης. Ίσως μια από τις δυσκολίες είναι η εξίσωση της εκπαίδευσης με τη διδασκ</w:t>
      </w:r>
      <w:r w:rsidR="00A004D2">
        <w:rPr>
          <w:sz w:val="24"/>
          <w:szCs w:val="24"/>
          <w:lang w:eastAsia="el-GR"/>
        </w:rPr>
        <w:t>αλία. Η παροχή πληροφοριών στον ασθενή</w:t>
      </w:r>
      <w:r w:rsidRPr="005A464E">
        <w:rPr>
          <w:sz w:val="24"/>
          <w:szCs w:val="24"/>
          <w:lang w:eastAsia="el-GR"/>
        </w:rPr>
        <w:t xml:space="preserve"> δεν αποτελεί διδασκαλία και</w:t>
      </w:r>
      <w:r w:rsidR="00A004D2">
        <w:rPr>
          <w:sz w:val="24"/>
          <w:szCs w:val="24"/>
          <w:lang w:eastAsia="el-GR"/>
        </w:rPr>
        <w:t xml:space="preserve"> η απόκτηση πληροφοριών από τον ασθενή</w:t>
      </w:r>
      <w:r w:rsidRPr="005A464E">
        <w:rPr>
          <w:sz w:val="24"/>
          <w:szCs w:val="24"/>
          <w:lang w:eastAsia="el-GR"/>
        </w:rPr>
        <w:t xml:space="preserve"> δεν είναι </w:t>
      </w:r>
      <w:r w:rsidR="00197BA9">
        <w:rPr>
          <w:sz w:val="24"/>
          <w:szCs w:val="24"/>
          <w:lang w:eastAsia="el-GR"/>
        </w:rPr>
        <w:t>απαραίτητα εκπαίδευση (Ghembaza,</w:t>
      </w:r>
      <w:r w:rsidR="00197BA9" w:rsidRPr="00197BA9">
        <w:rPr>
          <w:sz w:val="24"/>
          <w:szCs w:val="24"/>
          <w:lang w:eastAsia="el-GR"/>
        </w:rPr>
        <w:t xml:space="preserve"> </w:t>
      </w:r>
      <w:r w:rsidR="00197BA9" w:rsidRPr="00197BA9">
        <w:rPr>
          <w:rFonts w:asciiTheme="minorHAnsi" w:hAnsiTheme="minorHAnsi" w:cstheme="minorHAnsi"/>
          <w:sz w:val="24"/>
          <w:szCs w:val="24"/>
          <w:lang w:val="en-US"/>
        </w:rPr>
        <w:t>Senoussaoui</w:t>
      </w:r>
      <w:r w:rsidR="00197BA9">
        <w:rPr>
          <w:rFonts w:asciiTheme="minorHAnsi" w:hAnsiTheme="minorHAnsi" w:cstheme="minorHAnsi"/>
          <w:sz w:val="24"/>
          <w:szCs w:val="24"/>
        </w:rPr>
        <w:t>,</w:t>
      </w:r>
      <w:r w:rsidR="00197BA9" w:rsidRPr="00197BA9">
        <w:rPr>
          <w:rFonts w:asciiTheme="minorHAnsi" w:hAnsiTheme="minorHAnsi" w:cstheme="minorHAnsi"/>
          <w:sz w:val="24"/>
          <w:szCs w:val="24"/>
        </w:rPr>
        <w:t xml:space="preserve"> </w:t>
      </w:r>
      <w:r w:rsidR="00197BA9" w:rsidRPr="00197BA9">
        <w:rPr>
          <w:rFonts w:asciiTheme="minorHAnsi" w:hAnsiTheme="minorHAnsi" w:cstheme="minorHAnsi"/>
          <w:sz w:val="24"/>
          <w:szCs w:val="24"/>
          <w:lang w:val="en-US"/>
        </w:rPr>
        <w:t>Tani</w:t>
      </w:r>
      <w:r w:rsidR="00197BA9">
        <w:rPr>
          <w:rFonts w:asciiTheme="minorHAnsi" w:hAnsiTheme="minorHAnsi" w:cstheme="minorHAnsi"/>
          <w:sz w:val="24"/>
          <w:szCs w:val="24"/>
        </w:rPr>
        <w:t>,</w:t>
      </w:r>
      <w:r w:rsidR="00197BA9" w:rsidRPr="00197BA9">
        <w:rPr>
          <w:rFonts w:asciiTheme="minorHAnsi" w:hAnsiTheme="minorHAnsi" w:cstheme="minorHAnsi"/>
          <w:sz w:val="24"/>
          <w:szCs w:val="24"/>
        </w:rPr>
        <w:t xml:space="preserve"> &amp; </w:t>
      </w:r>
      <w:r w:rsidR="00197BA9" w:rsidRPr="00197BA9">
        <w:rPr>
          <w:rFonts w:asciiTheme="minorHAnsi" w:hAnsiTheme="minorHAnsi" w:cstheme="minorHAnsi"/>
          <w:sz w:val="24"/>
          <w:szCs w:val="24"/>
          <w:lang w:val="en-US"/>
        </w:rPr>
        <w:t>Meguenni</w:t>
      </w:r>
      <w:r w:rsidR="00197BA9" w:rsidRPr="00197BA9">
        <w:rPr>
          <w:rFonts w:asciiTheme="minorHAnsi" w:hAnsiTheme="minorHAnsi" w:cstheme="minorHAnsi"/>
          <w:sz w:val="24"/>
          <w:szCs w:val="24"/>
        </w:rPr>
        <w:t>,</w:t>
      </w:r>
      <w:r w:rsidR="00197BA9" w:rsidRPr="00197BA9">
        <w:rPr>
          <w:sz w:val="24"/>
          <w:szCs w:val="24"/>
          <w:lang w:eastAsia="el-GR"/>
        </w:rPr>
        <w:t xml:space="preserve"> </w:t>
      </w:r>
      <w:r w:rsidR="00224420">
        <w:rPr>
          <w:sz w:val="24"/>
          <w:szCs w:val="24"/>
          <w:lang w:eastAsia="el-GR"/>
        </w:rPr>
        <w:t>2014). Η εκπαίδευση είναι μι</w:t>
      </w:r>
      <w:r w:rsidRPr="00197BA9">
        <w:rPr>
          <w:sz w:val="24"/>
          <w:szCs w:val="24"/>
          <w:lang w:eastAsia="el-GR"/>
        </w:rPr>
        <w:t>α έννοια</w:t>
      </w:r>
      <w:r w:rsidR="0078495A">
        <w:rPr>
          <w:sz w:val="24"/>
          <w:szCs w:val="24"/>
          <w:lang w:eastAsia="el-GR"/>
        </w:rPr>
        <w:t xml:space="preserve"> </w:t>
      </w:r>
      <w:r w:rsidRPr="00197BA9">
        <w:rPr>
          <w:sz w:val="24"/>
          <w:szCs w:val="24"/>
          <w:lang w:eastAsia="el-GR"/>
        </w:rPr>
        <w:t>που π</w:t>
      </w:r>
      <w:r w:rsidRPr="005A464E">
        <w:rPr>
          <w:sz w:val="24"/>
          <w:szCs w:val="24"/>
          <w:lang w:eastAsia="el-GR"/>
        </w:rPr>
        <w:t xml:space="preserve">εριγράφεται ως </w:t>
      </w:r>
      <w:r w:rsidR="001030B0">
        <w:rPr>
          <w:sz w:val="24"/>
          <w:szCs w:val="24"/>
          <w:lang w:eastAsia="el-GR"/>
        </w:rPr>
        <w:t>«</w:t>
      </w:r>
      <w:r w:rsidRPr="001030B0">
        <w:rPr>
          <w:i/>
          <w:sz w:val="24"/>
          <w:szCs w:val="24"/>
          <w:lang w:eastAsia="el-GR"/>
        </w:rPr>
        <w:t>μια οργανωμένη και δομημένη διαδικασία ή πρόγραμμα με στόχο τη μετάδοση της πληροφορίας για τη διευκόλυνση της μάθησης</w:t>
      </w:r>
      <w:r w:rsidR="001030B0">
        <w:rPr>
          <w:i/>
          <w:sz w:val="24"/>
          <w:szCs w:val="24"/>
          <w:lang w:eastAsia="el-GR"/>
        </w:rPr>
        <w:t>»</w:t>
      </w:r>
      <w:r w:rsidRPr="005A464E">
        <w:rPr>
          <w:sz w:val="24"/>
          <w:szCs w:val="24"/>
          <w:lang w:eastAsia="el-GR"/>
        </w:rPr>
        <w:t xml:space="preserve">. </w:t>
      </w:r>
      <w:r w:rsidR="001030B0">
        <w:rPr>
          <w:sz w:val="24"/>
          <w:szCs w:val="24"/>
          <w:lang w:eastAsia="el-GR"/>
        </w:rPr>
        <w:t>«</w:t>
      </w:r>
      <w:r w:rsidRPr="001030B0">
        <w:rPr>
          <w:i/>
          <w:sz w:val="24"/>
          <w:szCs w:val="24"/>
          <w:lang w:eastAsia="el-GR"/>
        </w:rPr>
        <w:t>Διδασκαλία είναι η ενεργητική διαδικασία της διευκόλυνσης και προώθησης της ικανότητας του ατόμου να εφαρμόσει αυτό που έχει μάθει</w:t>
      </w:r>
      <w:r w:rsidR="001030B0">
        <w:rPr>
          <w:i/>
          <w:sz w:val="24"/>
          <w:szCs w:val="24"/>
          <w:lang w:eastAsia="el-GR"/>
        </w:rPr>
        <w:t>»</w:t>
      </w:r>
      <w:r w:rsidRPr="005A464E">
        <w:rPr>
          <w:sz w:val="24"/>
          <w:szCs w:val="24"/>
          <w:lang w:eastAsia="el-GR"/>
        </w:rPr>
        <w:t>. Στην εποχή</w:t>
      </w:r>
      <w:r w:rsidR="00EA2B4F" w:rsidRPr="005A464E">
        <w:rPr>
          <w:sz w:val="24"/>
          <w:szCs w:val="24"/>
          <w:lang w:eastAsia="el-GR"/>
        </w:rPr>
        <w:t>,</w:t>
      </w:r>
      <w:r w:rsidRPr="005A464E">
        <w:rPr>
          <w:sz w:val="24"/>
          <w:szCs w:val="24"/>
          <w:lang w:eastAsia="el-GR"/>
        </w:rPr>
        <w:t xml:space="preserve"> όπου τόσες πηγές πληροφόρησης είναι διαθέσιμες</w:t>
      </w:r>
      <w:r w:rsidR="00EA2B4F" w:rsidRPr="005A464E">
        <w:rPr>
          <w:sz w:val="24"/>
          <w:szCs w:val="24"/>
          <w:lang w:eastAsia="el-GR"/>
        </w:rPr>
        <w:t>,</w:t>
      </w:r>
      <w:r w:rsidRPr="005A464E">
        <w:rPr>
          <w:sz w:val="24"/>
          <w:szCs w:val="24"/>
          <w:lang w:eastAsia="el-GR"/>
        </w:rPr>
        <w:t xml:space="preserve"> δεν αποτελεί έκπληξη ότι πολλοί σκέπτονται την εκπαίδευση </w:t>
      </w:r>
      <w:r w:rsidR="00B0560D">
        <w:rPr>
          <w:sz w:val="24"/>
          <w:szCs w:val="24"/>
          <w:lang w:eastAsia="el-GR"/>
        </w:rPr>
        <w:t>του ασθενούς</w:t>
      </w:r>
      <w:r w:rsidRPr="005A464E">
        <w:rPr>
          <w:sz w:val="24"/>
          <w:szCs w:val="24"/>
          <w:lang w:eastAsia="el-GR"/>
        </w:rPr>
        <w:t xml:space="preserve"> ως μεταφορά της πληροφορίας χωρίς να λαμβάνουν υπόψη ότι ο πραγματικός στόχος είναι η διδασκαλία </w:t>
      </w:r>
      <w:r w:rsidR="00B0560D">
        <w:rPr>
          <w:sz w:val="24"/>
          <w:szCs w:val="24"/>
          <w:lang w:eastAsia="el-GR"/>
        </w:rPr>
        <w:t>του ασθενούς</w:t>
      </w:r>
      <w:r w:rsidR="00EA2B4F" w:rsidRPr="005A464E">
        <w:rPr>
          <w:sz w:val="24"/>
          <w:szCs w:val="24"/>
          <w:lang w:eastAsia="el-GR"/>
        </w:rPr>
        <w:t>,</w:t>
      </w:r>
      <w:r w:rsidR="001030B0">
        <w:rPr>
          <w:sz w:val="24"/>
          <w:szCs w:val="24"/>
          <w:lang w:eastAsia="el-GR"/>
        </w:rPr>
        <w:t xml:space="preserve"> κατά την οποία</w:t>
      </w:r>
      <w:r w:rsidRPr="005A464E">
        <w:rPr>
          <w:sz w:val="24"/>
          <w:szCs w:val="24"/>
          <w:lang w:eastAsia="el-GR"/>
        </w:rPr>
        <w:t xml:space="preserve"> </w:t>
      </w:r>
      <w:r w:rsidR="001030B0">
        <w:rPr>
          <w:sz w:val="24"/>
          <w:szCs w:val="24"/>
          <w:lang w:eastAsia="el-GR"/>
        </w:rPr>
        <w:t>γίνεται προσπάθεια ο ασθενής να ενσωματώσει</w:t>
      </w:r>
      <w:r w:rsidRPr="005A464E">
        <w:rPr>
          <w:sz w:val="24"/>
          <w:szCs w:val="24"/>
          <w:lang w:eastAsia="el-GR"/>
        </w:rPr>
        <w:t xml:space="preserve"> την</w:t>
      </w:r>
      <w:r w:rsidR="001030B0">
        <w:rPr>
          <w:sz w:val="24"/>
          <w:szCs w:val="24"/>
          <w:lang w:eastAsia="el-GR"/>
        </w:rPr>
        <w:t xml:space="preserve"> πληροφορία στην καθημερινή του</w:t>
      </w:r>
      <w:r w:rsidRPr="005A464E">
        <w:rPr>
          <w:sz w:val="24"/>
          <w:szCs w:val="24"/>
          <w:lang w:eastAsia="el-GR"/>
        </w:rPr>
        <w:t xml:space="preserve"> ζωή. Οι στόχοι της διδασκαλίας αποτελούνται γενικά από τις τεχνικές </w:t>
      </w:r>
      <w:r w:rsidR="001030B0">
        <w:rPr>
          <w:sz w:val="24"/>
          <w:szCs w:val="24"/>
          <w:lang w:eastAsia="el-GR"/>
        </w:rPr>
        <w:t>και στρατηγικές που βοηθούν τον ασθενή να αποκτήσει</w:t>
      </w:r>
      <w:r w:rsidRPr="005A464E">
        <w:rPr>
          <w:sz w:val="24"/>
          <w:szCs w:val="24"/>
          <w:lang w:eastAsia="el-GR"/>
        </w:rPr>
        <w:t xml:space="preserve"> τη γνώση, τα προσ</w:t>
      </w:r>
      <w:r w:rsidR="001030B0">
        <w:rPr>
          <w:sz w:val="24"/>
          <w:szCs w:val="24"/>
          <w:lang w:eastAsia="el-GR"/>
        </w:rPr>
        <w:t>όντα και τις στάσεις που θα τον κάνουν ικανό</w:t>
      </w:r>
      <w:r w:rsidRPr="005A464E">
        <w:rPr>
          <w:sz w:val="24"/>
          <w:szCs w:val="24"/>
          <w:lang w:eastAsia="el-GR"/>
        </w:rPr>
        <w:t xml:space="preserve"> να τα </w:t>
      </w:r>
      <w:r w:rsidR="001030B0">
        <w:rPr>
          <w:sz w:val="24"/>
          <w:szCs w:val="24"/>
          <w:lang w:eastAsia="el-GR"/>
        </w:rPr>
        <w:t>υιοθετήσει στην καθημερινή του</w:t>
      </w:r>
      <w:r w:rsidRPr="005A464E">
        <w:rPr>
          <w:sz w:val="24"/>
          <w:szCs w:val="24"/>
          <w:lang w:eastAsia="el-GR"/>
        </w:rPr>
        <w:t xml:space="preserve"> ζωή. Οι στόχοι της</w:t>
      </w:r>
      <w:r w:rsidR="0078495A">
        <w:rPr>
          <w:sz w:val="24"/>
          <w:szCs w:val="24"/>
          <w:lang w:eastAsia="el-GR"/>
        </w:rPr>
        <w:t xml:space="preserve"> </w:t>
      </w:r>
      <w:r w:rsidRPr="005A464E">
        <w:rPr>
          <w:sz w:val="24"/>
          <w:szCs w:val="24"/>
          <w:lang w:eastAsia="el-GR"/>
        </w:rPr>
        <w:t xml:space="preserve">διδασκαλίας </w:t>
      </w:r>
      <w:r w:rsidR="00B0560D">
        <w:rPr>
          <w:sz w:val="24"/>
          <w:szCs w:val="24"/>
          <w:lang w:eastAsia="el-GR"/>
        </w:rPr>
        <w:t>του ασθενούς</w:t>
      </w:r>
      <w:r w:rsidR="00224420">
        <w:rPr>
          <w:sz w:val="24"/>
          <w:szCs w:val="24"/>
          <w:lang w:eastAsia="el-GR"/>
        </w:rPr>
        <w:t xml:space="preserve"> είναι περισσότερο από μι</w:t>
      </w:r>
      <w:r w:rsidRPr="005A464E">
        <w:rPr>
          <w:sz w:val="24"/>
          <w:szCs w:val="24"/>
          <w:lang w:eastAsia="el-GR"/>
        </w:rPr>
        <w:t xml:space="preserve">α επανάληψη των οδηγιών ή την παράδοση έντυπου υλικού. Ο στόχος της </w:t>
      </w:r>
      <w:r w:rsidR="001030B0">
        <w:rPr>
          <w:sz w:val="24"/>
          <w:szCs w:val="24"/>
          <w:lang w:eastAsia="el-GR"/>
        </w:rPr>
        <w:t>διδασκαλίας είναι να καταστήσει</w:t>
      </w:r>
      <w:r w:rsidRPr="005A464E">
        <w:rPr>
          <w:sz w:val="24"/>
          <w:szCs w:val="24"/>
          <w:lang w:eastAsia="el-GR"/>
        </w:rPr>
        <w:t xml:space="preserve"> τον ασθεν</w:t>
      </w:r>
      <w:r w:rsidR="001030B0">
        <w:rPr>
          <w:sz w:val="24"/>
          <w:szCs w:val="24"/>
          <w:lang w:eastAsia="el-GR"/>
        </w:rPr>
        <w:t>ή ικανό να αντιμετωπίσει</w:t>
      </w:r>
      <w:r w:rsidRPr="005A464E">
        <w:rPr>
          <w:sz w:val="24"/>
          <w:szCs w:val="24"/>
          <w:lang w:eastAsia="el-GR"/>
        </w:rPr>
        <w:t xml:space="preserve"> την ασθένει</w:t>
      </w:r>
      <w:r w:rsidR="001030B0">
        <w:rPr>
          <w:sz w:val="24"/>
          <w:szCs w:val="24"/>
          <w:lang w:eastAsia="el-GR"/>
        </w:rPr>
        <w:t>α και τη θεραπεία ή να προλάβει</w:t>
      </w:r>
      <w:r w:rsidRPr="005A464E">
        <w:rPr>
          <w:sz w:val="24"/>
          <w:szCs w:val="24"/>
          <w:lang w:eastAsia="el-GR"/>
        </w:rPr>
        <w:t xml:space="preserve"> τη νόσο, την ανικανότητα ή τις επιπλοκές που θα προκύψουν. Η διδασκαλία </w:t>
      </w:r>
      <w:r w:rsidR="00B0560D">
        <w:rPr>
          <w:sz w:val="24"/>
          <w:szCs w:val="24"/>
          <w:lang w:eastAsia="el-GR"/>
        </w:rPr>
        <w:t>του ασθενούς</w:t>
      </w:r>
      <w:r w:rsidRPr="005A464E">
        <w:rPr>
          <w:sz w:val="24"/>
          <w:szCs w:val="24"/>
          <w:lang w:eastAsia="el-GR"/>
        </w:rPr>
        <w:t xml:space="preserve"> μπορεί να διαρκέσει λίγα λεπτά ή ώρες, λίγες εβδομάδες ή χρόνια ανάλογα με τις ανάγκες </w:t>
      </w:r>
      <w:r w:rsidR="00B0560D">
        <w:rPr>
          <w:sz w:val="24"/>
          <w:szCs w:val="24"/>
          <w:lang w:eastAsia="el-GR"/>
        </w:rPr>
        <w:t>του ασθενούς</w:t>
      </w:r>
      <w:r w:rsidRPr="005A464E">
        <w:rPr>
          <w:sz w:val="24"/>
          <w:szCs w:val="24"/>
          <w:lang w:eastAsia="el-GR"/>
        </w:rPr>
        <w:t xml:space="preserve"> και την κατάστασή του (Κ</w:t>
      </w:r>
      <w:r w:rsidRPr="005A464E">
        <w:rPr>
          <w:sz w:val="24"/>
          <w:szCs w:val="24"/>
          <w:lang w:val="en-US" w:eastAsia="el-GR"/>
        </w:rPr>
        <w:t>ammerer</w:t>
      </w:r>
      <w:r w:rsidRPr="005A464E">
        <w:rPr>
          <w:sz w:val="24"/>
          <w:szCs w:val="24"/>
          <w:lang w:eastAsia="el-GR"/>
        </w:rPr>
        <w:t xml:space="preserve"> </w:t>
      </w:r>
      <w:r w:rsidR="00566CAA">
        <w:rPr>
          <w:sz w:val="24"/>
          <w:szCs w:val="24"/>
          <w:lang w:eastAsia="el-GR"/>
        </w:rPr>
        <w:t>et al</w:t>
      </w:r>
      <w:r w:rsidR="00B84879">
        <w:rPr>
          <w:sz w:val="24"/>
          <w:szCs w:val="24"/>
          <w:lang w:eastAsia="el-GR"/>
        </w:rPr>
        <w:t>.</w:t>
      </w:r>
      <w:r w:rsidR="00CE01B5" w:rsidRPr="00CE01B5">
        <w:rPr>
          <w:sz w:val="24"/>
          <w:szCs w:val="24"/>
          <w:lang w:eastAsia="el-GR"/>
        </w:rPr>
        <w:t>,</w:t>
      </w:r>
      <w:r w:rsidR="00A30A32" w:rsidRPr="005A464E">
        <w:rPr>
          <w:sz w:val="24"/>
          <w:szCs w:val="24"/>
          <w:lang w:eastAsia="el-GR"/>
        </w:rPr>
        <w:t xml:space="preserve"> 2007; </w:t>
      </w:r>
      <w:r w:rsidR="00A30A32" w:rsidRPr="005A464E">
        <w:rPr>
          <w:sz w:val="24"/>
          <w:szCs w:val="24"/>
          <w:lang w:val="en-US" w:eastAsia="el-GR"/>
        </w:rPr>
        <w:t>Falvo</w:t>
      </w:r>
      <w:r w:rsidR="00B84879">
        <w:rPr>
          <w:sz w:val="24"/>
          <w:szCs w:val="24"/>
          <w:lang w:eastAsia="el-GR"/>
        </w:rPr>
        <w:t>,</w:t>
      </w:r>
      <w:r w:rsidR="00A30A32" w:rsidRPr="005A464E">
        <w:rPr>
          <w:sz w:val="24"/>
          <w:szCs w:val="24"/>
          <w:lang w:eastAsia="el-GR"/>
        </w:rPr>
        <w:t xml:space="preserve"> 2010;</w:t>
      </w:r>
      <w:r w:rsidR="0078495A">
        <w:rPr>
          <w:sz w:val="24"/>
          <w:szCs w:val="24"/>
          <w:lang w:eastAsia="el-GR"/>
        </w:rPr>
        <w:t xml:space="preserve"> </w:t>
      </w:r>
      <w:r w:rsidRPr="005A464E">
        <w:rPr>
          <w:sz w:val="24"/>
          <w:szCs w:val="24"/>
          <w:lang w:eastAsia="el-GR"/>
        </w:rPr>
        <w:t>Behrend</w:t>
      </w:r>
      <w:r w:rsidR="00A30A32" w:rsidRPr="005A464E">
        <w:rPr>
          <w:sz w:val="24"/>
          <w:szCs w:val="24"/>
          <w:lang w:eastAsia="el-GR"/>
        </w:rPr>
        <w:t>,</w:t>
      </w:r>
      <w:r w:rsidRPr="005A464E">
        <w:rPr>
          <w:sz w:val="24"/>
          <w:szCs w:val="24"/>
          <w:lang w:eastAsia="el-GR"/>
        </w:rPr>
        <w:t xml:space="preserve"> 2014).</w:t>
      </w:r>
    </w:p>
    <w:p w:rsidR="00AD5F6D" w:rsidRPr="005A464E" w:rsidRDefault="008302D4" w:rsidP="0066526D">
      <w:pPr>
        <w:pStyle w:val="25"/>
        <w:numPr>
          <w:ilvl w:val="1"/>
          <w:numId w:val="117"/>
        </w:numPr>
        <w:spacing w:after="240" w:line="360" w:lineRule="auto"/>
        <w:rPr>
          <w:rFonts w:asciiTheme="minorHAnsi" w:hAnsiTheme="minorHAnsi"/>
        </w:rPr>
      </w:pPr>
      <w:bookmarkStart w:id="46" w:name="_Toc495951442"/>
      <w:r w:rsidRPr="005A464E">
        <w:rPr>
          <w:rFonts w:asciiTheme="minorHAnsi" w:hAnsiTheme="minorHAnsi"/>
        </w:rPr>
        <w:t>Παράγοντες μη συμμόρφωσης στην αιμοκάθαρση</w:t>
      </w:r>
      <w:bookmarkEnd w:id="46"/>
    </w:p>
    <w:p w:rsidR="00AD5F6D" w:rsidRPr="00E94504" w:rsidRDefault="00AD5F6D" w:rsidP="005A464E">
      <w:pPr>
        <w:spacing w:line="360" w:lineRule="auto"/>
        <w:jc w:val="both"/>
        <w:rPr>
          <w:i/>
          <w:sz w:val="24"/>
          <w:szCs w:val="24"/>
        </w:rPr>
      </w:pPr>
      <w:r w:rsidRPr="005A464E">
        <w:rPr>
          <w:sz w:val="24"/>
          <w:szCs w:val="24"/>
        </w:rPr>
        <w:t xml:space="preserve">Σύμφωνα με το </w:t>
      </w:r>
      <w:r w:rsidR="00A004D2" w:rsidRPr="00E94504">
        <w:rPr>
          <w:sz w:val="24"/>
          <w:szCs w:val="24"/>
          <w:lang w:val="en-US"/>
        </w:rPr>
        <w:t>NK</w:t>
      </w:r>
      <w:r w:rsidR="00012A10" w:rsidRPr="00E94504">
        <w:rPr>
          <w:sz w:val="24"/>
          <w:szCs w:val="24"/>
          <w:lang w:val="en-US"/>
        </w:rPr>
        <w:t>F</w:t>
      </w:r>
      <w:r w:rsidR="009F1197" w:rsidRPr="00E94504">
        <w:rPr>
          <w:sz w:val="24"/>
          <w:szCs w:val="24"/>
        </w:rPr>
        <w:t>-Κ</w:t>
      </w:r>
      <w:r w:rsidR="00CE01B5" w:rsidRPr="00E94504">
        <w:rPr>
          <w:sz w:val="24"/>
          <w:szCs w:val="24"/>
          <w:lang w:val="en-US"/>
        </w:rPr>
        <w:t>DOQI</w:t>
      </w:r>
      <w:r w:rsidR="00CE01B5" w:rsidRPr="00E94504">
        <w:rPr>
          <w:sz w:val="24"/>
          <w:szCs w:val="24"/>
        </w:rPr>
        <w:t xml:space="preserve"> </w:t>
      </w:r>
      <w:r w:rsidRPr="00E94504">
        <w:rPr>
          <w:sz w:val="24"/>
          <w:szCs w:val="24"/>
        </w:rPr>
        <w:t>(</w:t>
      </w:r>
      <w:r w:rsidR="005950F2" w:rsidRPr="005A464E">
        <w:rPr>
          <w:sz w:val="24"/>
          <w:szCs w:val="24"/>
          <w:lang w:val="en-US"/>
        </w:rPr>
        <w:t>Estrella</w:t>
      </w:r>
      <w:r w:rsidR="005950F2" w:rsidRPr="005A464E">
        <w:rPr>
          <w:sz w:val="24"/>
          <w:szCs w:val="24"/>
        </w:rPr>
        <w:t xml:space="preserve"> </w:t>
      </w:r>
      <w:r w:rsidR="00566CAA">
        <w:rPr>
          <w:sz w:val="24"/>
          <w:szCs w:val="24"/>
        </w:rPr>
        <w:t>et al</w:t>
      </w:r>
      <w:r w:rsidR="00B84879">
        <w:rPr>
          <w:sz w:val="24"/>
          <w:szCs w:val="24"/>
        </w:rPr>
        <w:t>.</w:t>
      </w:r>
      <w:r w:rsidR="00CE01B5" w:rsidRPr="00CE01B5">
        <w:rPr>
          <w:sz w:val="24"/>
          <w:szCs w:val="24"/>
        </w:rPr>
        <w:t>,</w:t>
      </w:r>
      <w:r w:rsidR="005950F2" w:rsidRPr="005A464E">
        <w:rPr>
          <w:sz w:val="24"/>
          <w:szCs w:val="24"/>
        </w:rPr>
        <w:t xml:space="preserve"> 2013</w:t>
      </w:r>
      <w:r w:rsidR="00A004D2">
        <w:rPr>
          <w:sz w:val="24"/>
          <w:szCs w:val="24"/>
        </w:rPr>
        <w:t>) η μη συμμόρφωση στον ασθενή</w:t>
      </w:r>
      <w:r w:rsidRPr="005A464E">
        <w:rPr>
          <w:sz w:val="24"/>
          <w:szCs w:val="24"/>
        </w:rPr>
        <w:t xml:space="preserve"> </w:t>
      </w:r>
      <w:r w:rsidRPr="00E94504">
        <w:rPr>
          <w:sz w:val="24"/>
          <w:szCs w:val="24"/>
        </w:rPr>
        <w:t xml:space="preserve">υπό </w:t>
      </w:r>
      <w:r w:rsidR="001030B0" w:rsidRPr="00E94504">
        <w:rPr>
          <w:sz w:val="24"/>
          <w:szCs w:val="24"/>
        </w:rPr>
        <w:t xml:space="preserve">αιμοκάθαρση </w:t>
      </w:r>
      <w:r w:rsidRPr="00E94504">
        <w:rPr>
          <w:sz w:val="24"/>
          <w:szCs w:val="24"/>
        </w:rPr>
        <w:t xml:space="preserve">περιλαμβάνει: </w:t>
      </w:r>
      <w:r w:rsidR="00E94504" w:rsidRPr="00E94504">
        <w:rPr>
          <w:sz w:val="24"/>
          <w:szCs w:val="24"/>
        </w:rPr>
        <w:t>(</w:t>
      </w:r>
      <w:r w:rsidR="001030B0" w:rsidRPr="00E94504">
        <w:rPr>
          <w:i/>
          <w:sz w:val="24"/>
          <w:szCs w:val="24"/>
        </w:rPr>
        <w:t>α</w:t>
      </w:r>
      <w:r w:rsidR="00E94504" w:rsidRPr="00E94504">
        <w:rPr>
          <w:sz w:val="24"/>
          <w:szCs w:val="24"/>
        </w:rPr>
        <w:t>)</w:t>
      </w:r>
      <w:r w:rsidR="001030B0" w:rsidRPr="00E94504">
        <w:rPr>
          <w:sz w:val="24"/>
          <w:szCs w:val="24"/>
        </w:rPr>
        <w:t xml:space="preserve"> </w:t>
      </w:r>
      <w:r w:rsidR="00A004D2" w:rsidRPr="00E94504">
        <w:rPr>
          <w:sz w:val="24"/>
          <w:szCs w:val="24"/>
        </w:rPr>
        <w:t>παράλειψη ή βράχυνση του χρόνου</w:t>
      </w:r>
      <w:r w:rsidRPr="00E94504">
        <w:rPr>
          <w:sz w:val="24"/>
          <w:szCs w:val="24"/>
        </w:rPr>
        <w:t xml:space="preserve"> της συνεδρίας </w:t>
      </w:r>
      <w:r w:rsidR="001030B0" w:rsidRPr="00E94504">
        <w:rPr>
          <w:sz w:val="24"/>
          <w:szCs w:val="24"/>
        </w:rPr>
        <w:t>(</w:t>
      </w:r>
      <w:r w:rsidRPr="00E94504">
        <w:rPr>
          <w:i/>
          <w:sz w:val="24"/>
          <w:szCs w:val="24"/>
        </w:rPr>
        <w:t>β</w:t>
      </w:r>
      <w:r w:rsidR="00E94504" w:rsidRPr="00E94504">
        <w:rPr>
          <w:sz w:val="24"/>
          <w:szCs w:val="24"/>
        </w:rPr>
        <w:t>)</w:t>
      </w:r>
      <w:r w:rsidRPr="00E94504">
        <w:rPr>
          <w:sz w:val="24"/>
          <w:szCs w:val="24"/>
        </w:rPr>
        <w:t xml:space="preserve"> υπερβολική πρόσληψη υγρών και τροφών που περιέχουν κάλιο και φώσφορο και </w:t>
      </w:r>
      <w:r w:rsidR="00E94504" w:rsidRPr="00E94504">
        <w:rPr>
          <w:sz w:val="24"/>
          <w:szCs w:val="24"/>
        </w:rPr>
        <w:t>(</w:t>
      </w:r>
      <w:r w:rsidRPr="00E94504">
        <w:rPr>
          <w:i/>
          <w:sz w:val="24"/>
          <w:szCs w:val="24"/>
        </w:rPr>
        <w:t>γ</w:t>
      </w:r>
      <w:r w:rsidR="00E94504" w:rsidRPr="00E94504">
        <w:rPr>
          <w:sz w:val="24"/>
          <w:szCs w:val="24"/>
        </w:rPr>
        <w:t>)</w:t>
      </w:r>
      <w:r w:rsidRPr="00E94504">
        <w:rPr>
          <w:sz w:val="24"/>
          <w:szCs w:val="24"/>
        </w:rPr>
        <w:t xml:space="preserve"> μη συμμόρφωση στη φαρμακευτική θεραπεία. Υπολογίζεται ότι περίπου 50% των ασθενών υπό </w:t>
      </w:r>
      <w:r w:rsidR="001030B0" w:rsidRPr="00E94504">
        <w:rPr>
          <w:sz w:val="24"/>
          <w:szCs w:val="24"/>
        </w:rPr>
        <w:t xml:space="preserve">αιμοκάθαρση </w:t>
      </w:r>
      <w:r w:rsidRPr="00E94504">
        <w:rPr>
          <w:sz w:val="24"/>
          <w:szCs w:val="24"/>
        </w:rPr>
        <w:t xml:space="preserve">παρουσιάζει </w:t>
      </w:r>
      <w:r w:rsidR="001030B0" w:rsidRPr="00E94504">
        <w:rPr>
          <w:sz w:val="24"/>
          <w:szCs w:val="24"/>
        </w:rPr>
        <w:t>ελλιπ</w:t>
      </w:r>
      <w:r w:rsidRPr="00E94504">
        <w:rPr>
          <w:sz w:val="24"/>
          <w:szCs w:val="24"/>
        </w:rPr>
        <w:t>ή συμμόρφωση στο θεραπευτικό σχήμα</w:t>
      </w:r>
      <w:r w:rsidR="005950F2" w:rsidRPr="00E94504">
        <w:rPr>
          <w:i/>
          <w:sz w:val="24"/>
          <w:szCs w:val="24"/>
        </w:rPr>
        <w:t>.</w:t>
      </w:r>
    </w:p>
    <w:p w:rsidR="00AD5F6D" w:rsidRPr="005A464E" w:rsidRDefault="00AD5F6D" w:rsidP="005A464E">
      <w:pPr>
        <w:spacing w:line="360" w:lineRule="auto"/>
        <w:jc w:val="both"/>
        <w:rPr>
          <w:sz w:val="24"/>
          <w:szCs w:val="24"/>
        </w:rPr>
      </w:pPr>
      <w:r w:rsidRPr="00E94504">
        <w:rPr>
          <w:sz w:val="24"/>
          <w:szCs w:val="24"/>
        </w:rPr>
        <w:t xml:space="preserve">Σύμφωνα με μελέτες, οι παράγοντες που επηρεάζουν τη συμμόρφωση </w:t>
      </w:r>
      <w:r w:rsidR="00B0560D" w:rsidRPr="00E94504">
        <w:rPr>
          <w:sz w:val="24"/>
          <w:szCs w:val="24"/>
        </w:rPr>
        <w:t>του</w:t>
      </w:r>
      <w:r w:rsidR="00B0560D">
        <w:rPr>
          <w:sz w:val="24"/>
          <w:szCs w:val="24"/>
        </w:rPr>
        <w:t xml:space="preserve"> ασθενούς</w:t>
      </w:r>
      <w:r w:rsidRPr="005A464E">
        <w:rPr>
          <w:sz w:val="24"/>
          <w:szCs w:val="24"/>
        </w:rPr>
        <w:t>, ποικίλουν (</w:t>
      </w:r>
      <w:r w:rsidRPr="005A464E">
        <w:rPr>
          <w:rFonts w:cs="TimesNewRoman"/>
          <w:sz w:val="24"/>
          <w:szCs w:val="24"/>
        </w:rPr>
        <w:t>Ginieri-Coc</w:t>
      </w:r>
      <w:r w:rsidR="00516D72">
        <w:rPr>
          <w:rFonts w:cs="TimesNewRoman"/>
          <w:sz w:val="24"/>
          <w:szCs w:val="24"/>
        </w:rPr>
        <w:t>cossis,</w:t>
      </w:r>
      <w:r w:rsidR="00E91B7C" w:rsidRPr="005A464E">
        <w:rPr>
          <w:rFonts w:cs="TimesNewRoman"/>
          <w:sz w:val="24"/>
          <w:szCs w:val="24"/>
        </w:rPr>
        <w:t xml:space="preserve"> </w:t>
      </w:r>
      <w:r w:rsidR="00516D72" w:rsidRPr="00516D72">
        <w:rPr>
          <w:rFonts w:asciiTheme="minorHAnsi" w:eastAsia="Times New Roman" w:hAnsiTheme="minorHAnsi" w:cstheme="minorHAnsi"/>
          <w:sz w:val="24"/>
          <w:szCs w:val="24"/>
          <w:lang w:val="en-US" w:eastAsia="el-GR"/>
        </w:rPr>
        <w:t>Theofilou</w:t>
      </w:r>
      <w:r w:rsidR="00516D72">
        <w:rPr>
          <w:rFonts w:asciiTheme="minorHAnsi" w:eastAsia="Times New Roman" w:hAnsiTheme="minorHAnsi" w:cstheme="minorHAnsi"/>
          <w:sz w:val="24"/>
          <w:szCs w:val="24"/>
          <w:lang w:eastAsia="el-GR"/>
        </w:rPr>
        <w:t xml:space="preserve">, </w:t>
      </w:r>
      <w:r w:rsidR="00516D72" w:rsidRPr="00516D72">
        <w:rPr>
          <w:rFonts w:asciiTheme="minorHAnsi" w:eastAsia="Times New Roman" w:hAnsiTheme="minorHAnsi" w:cstheme="minorHAnsi"/>
          <w:sz w:val="24"/>
          <w:szCs w:val="24"/>
          <w:lang w:val="en-US" w:eastAsia="el-GR"/>
        </w:rPr>
        <w:t>Synodinou</w:t>
      </w:r>
      <w:r w:rsidR="00516D72">
        <w:rPr>
          <w:rFonts w:asciiTheme="minorHAnsi" w:eastAsia="Times New Roman" w:hAnsiTheme="minorHAnsi" w:cstheme="minorHAnsi"/>
          <w:sz w:val="24"/>
          <w:szCs w:val="24"/>
          <w:lang w:eastAsia="el-GR"/>
        </w:rPr>
        <w:t>,</w:t>
      </w:r>
      <w:r w:rsidR="00516D72" w:rsidRPr="00516D72">
        <w:rPr>
          <w:rFonts w:asciiTheme="minorHAnsi" w:eastAsia="Times New Roman" w:hAnsiTheme="minorHAnsi" w:cstheme="minorHAnsi"/>
          <w:sz w:val="24"/>
          <w:szCs w:val="24"/>
          <w:lang w:eastAsia="el-GR"/>
        </w:rPr>
        <w:t xml:space="preserve"> </w:t>
      </w:r>
      <w:r w:rsidR="00516D72" w:rsidRPr="00516D72">
        <w:rPr>
          <w:rFonts w:asciiTheme="minorHAnsi" w:eastAsia="Times New Roman" w:hAnsiTheme="minorHAnsi" w:cstheme="minorHAnsi"/>
          <w:sz w:val="24"/>
          <w:szCs w:val="24"/>
          <w:lang w:val="en-US" w:eastAsia="el-GR"/>
        </w:rPr>
        <w:t>Tomaras</w:t>
      </w:r>
      <w:r w:rsidR="00516D72">
        <w:rPr>
          <w:rFonts w:asciiTheme="minorHAnsi" w:eastAsia="Times New Roman" w:hAnsiTheme="minorHAnsi" w:cstheme="minorHAnsi"/>
          <w:sz w:val="24"/>
          <w:szCs w:val="24"/>
          <w:lang w:eastAsia="el-GR"/>
        </w:rPr>
        <w:t>,</w:t>
      </w:r>
      <w:r w:rsidR="00516D72" w:rsidRPr="00516D72">
        <w:rPr>
          <w:rFonts w:asciiTheme="minorHAnsi" w:eastAsia="Times New Roman" w:hAnsiTheme="minorHAnsi" w:cstheme="minorHAnsi"/>
          <w:sz w:val="24"/>
          <w:szCs w:val="24"/>
          <w:lang w:eastAsia="el-GR"/>
        </w:rPr>
        <w:t xml:space="preserve"> </w:t>
      </w:r>
      <w:r w:rsidR="00516D72" w:rsidRPr="00516D72">
        <w:rPr>
          <w:rFonts w:asciiTheme="minorHAnsi" w:eastAsia="Times New Roman" w:hAnsiTheme="minorHAnsi" w:cstheme="minorHAnsi"/>
          <w:sz w:val="24"/>
          <w:szCs w:val="24"/>
          <w:lang w:val="en-US" w:eastAsia="el-GR"/>
        </w:rPr>
        <w:t>Soldatos</w:t>
      </w:r>
      <w:r w:rsidR="00516D72">
        <w:rPr>
          <w:rFonts w:asciiTheme="minorHAnsi" w:eastAsia="Times New Roman" w:hAnsiTheme="minorHAnsi" w:cstheme="minorHAnsi"/>
          <w:sz w:val="24"/>
          <w:szCs w:val="24"/>
          <w:lang w:eastAsia="el-GR"/>
        </w:rPr>
        <w:t>,</w:t>
      </w:r>
      <w:r w:rsidR="00516D72" w:rsidRPr="00516D72">
        <w:rPr>
          <w:rFonts w:cs="TimesNewRoman"/>
          <w:sz w:val="24"/>
          <w:szCs w:val="24"/>
        </w:rPr>
        <w:t xml:space="preserve"> </w:t>
      </w:r>
      <w:r w:rsidRPr="00516D72">
        <w:rPr>
          <w:rFonts w:cs="TimesNewRoman"/>
          <w:sz w:val="24"/>
          <w:szCs w:val="24"/>
        </w:rPr>
        <w:t>2008</w:t>
      </w:r>
      <w:r w:rsidRPr="005A464E">
        <w:rPr>
          <w:rFonts w:cs="TimesNewRoman"/>
          <w:sz w:val="24"/>
          <w:szCs w:val="24"/>
        </w:rPr>
        <w:t>).</w:t>
      </w:r>
      <w:r w:rsidR="00B84879">
        <w:rPr>
          <w:sz w:val="24"/>
          <w:szCs w:val="24"/>
        </w:rPr>
        <w:t xml:space="preserve"> Ο </w:t>
      </w:r>
      <w:r w:rsidR="005950F2" w:rsidRPr="005A464E">
        <w:rPr>
          <w:sz w:val="24"/>
          <w:szCs w:val="24"/>
          <w:lang w:val="en-US"/>
        </w:rPr>
        <w:t>Sabat</w:t>
      </w:r>
      <w:r w:rsidR="005950F2" w:rsidRPr="005A464E">
        <w:rPr>
          <w:sz w:val="24"/>
          <w:szCs w:val="24"/>
        </w:rPr>
        <w:t xml:space="preserve">é </w:t>
      </w:r>
      <w:r w:rsidR="00B84879">
        <w:rPr>
          <w:sz w:val="24"/>
          <w:szCs w:val="24"/>
        </w:rPr>
        <w:t>(</w:t>
      </w:r>
      <w:r w:rsidR="005950F2" w:rsidRPr="005A464E">
        <w:rPr>
          <w:sz w:val="24"/>
          <w:szCs w:val="24"/>
        </w:rPr>
        <w:t>2003</w:t>
      </w:r>
      <w:r w:rsidR="00470EE6" w:rsidRPr="005A464E">
        <w:rPr>
          <w:sz w:val="24"/>
          <w:szCs w:val="24"/>
        </w:rPr>
        <w:t>)</w:t>
      </w:r>
      <w:r w:rsidRPr="005A464E">
        <w:rPr>
          <w:sz w:val="24"/>
          <w:szCs w:val="24"/>
        </w:rPr>
        <w:t xml:space="preserve"> έχει κατατάξει τους πιθανούς παράγοντες μη συμμόρφωσης σε 5 κατηγορίες: σχετιζόμενους με τη θεραπεία, σχετιζόμενους με την κατάσταση, την ομάδα υγείας, το σύ</w:t>
      </w:r>
      <w:r w:rsidR="00521C45">
        <w:rPr>
          <w:sz w:val="24"/>
          <w:szCs w:val="24"/>
        </w:rPr>
        <w:t>στημα και τέλος, σε κοινωνικούς/</w:t>
      </w:r>
      <w:r w:rsidRPr="005A464E">
        <w:rPr>
          <w:sz w:val="24"/>
          <w:szCs w:val="24"/>
        </w:rPr>
        <w:t>οικονομικούς. Αναλυτικότερα, στη διεθνή βιβλιογραφία οι αιτίες της μη συμμόρφωσης μπ</w:t>
      </w:r>
      <w:r w:rsidR="00A004D2">
        <w:rPr>
          <w:sz w:val="24"/>
          <w:szCs w:val="24"/>
        </w:rPr>
        <w:t xml:space="preserve">ορεί να είναι οι πεποιθήσεις </w:t>
      </w:r>
      <w:r w:rsidR="00B0560D">
        <w:rPr>
          <w:sz w:val="24"/>
          <w:szCs w:val="24"/>
        </w:rPr>
        <w:t>του ασθενούς</w:t>
      </w:r>
      <w:r w:rsidRPr="005A464E">
        <w:rPr>
          <w:sz w:val="24"/>
          <w:szCs w:val="24"/>
        </w:rPr>
        <w:t xml:space="preserve"> (</w:t>
      </w:r>
      <w:r w:rsidRPr="005A464E">
        <w:rPr>
          <w:rFonts w:eastAsia="Times New Roman"/>
          <w:sz w:val="24"/>
          <w:szCs w:val="24"/>
          <w:lang w:val="en-US" w:eastAsia="el-GR"/>
        </w:rPr>
        <w:t>Covic</w:t>
      </w:r>
      <w:r w:rsidR="00E91B7C" w:rsidRPr="005A464E">
        <w:rPr>
          <w:rFonts w:eastAsia="Times New Roman"/>
          <w:sz w:val="24"/>
          <w:szCs w:val="24"/>
          <w:lang w:eastAsia="el-GR"/>
        </w:rPr>
        <w:t xml:space="preserve"> </w:t>
      </w:r>
      <w:r w:rsidR="00470EE6" w:rsidRPr="005A464E">
        <w:rPr>
          <w:rFonts w:eastAsia="Times New Roman"/>
          <w:sz w:val="24"/>
          <w:szCs w:val="24"/>
          <w:lang w:eastAsia="el-GR"/>
        </w:rPr>
        <w:t>&amp;</w:t>
      </w:r>
      <w:r w:rsidR="00E91B7C" w:rsidRPr="005A464E">
        <w:rPr>
          <w:rFonts w:eastAsia="Times New Roman"/>
          <w:sz w:val="24"/>
          <w:szCs w:val="24"/>
          <w:lang w:eastAsia="el-GR"/>
        </w:rPr>
        <w:t xml:space="preserve"> </w:t>
      </w:r>
      <w:r w:rsidRPr="005A464E">
        <w:rPr>
          <w:rFonts w:eastAsia="Times New Roman"/>
          <w:sz w:val="24"/>
          <w:szCs w:val="24"/>
          <w:lang w:val="en-US" w:eastAsia="el-GR"/>
        </w:rPr>
        <w:t>Rastogi</w:t>
      </w:r>
      <w:r w:rsidR="00AB454B">
        <w:rPr>
          <w:rFonts w:eastAsia="Times New Roman"/>
          <w:sz w:val="24"/>
          <w:szCs w:val="24"/>
          <w:lang w:eastAsia="el-GR"/>
        </w:rPr>
        <w:t>,</w:t>
      </w:r>
      <w:r w:rsidR="00C10B2A" w:rsidRPr="005A464E">
        <w:rPr>
          <w:sz w:val="24"/>
          <w:szCs w:val="24"/>
        </w:rPr>
        <w:t xml:space="preserve"> 2013)</w:t>
      </w:r>
      <w:r w:rsidRPr="005A464E">
        <w:rPr>
          <w:sz w:val="24"/>
          <w:szCs w:val="24"/>
        </w:rPr>
        <w:t>, η πολυπλοκότητα του θεραπευτικού σχήματος (Chow &amp; Wong</w:t>
      </w:r>
      <w:r w:rsidR="00AB454B">
        <w:rPr>
          <w:sz w:val="24"/>
          <w:szCs w:val="24"/>
        </w:rPr>
        <w:t>,</w:t>
      </w:r>
      <w:r w:rsidRPr="005A464E">
        <w:rPr>
          <w:sz w:val="24"/>
          <w:szCs w:val="24"/>
        </w:rPr>
        <w:t xml:space="preserve"> 2010), η κ</w:t>
      </w:r>
      <w:r w:rsidR="007846F0">
        <w:rPr>
          <w:sz w:val="24"/>
          <w:szCs w:val="24"/>
        </w:rPr>
        <w:t>ακή σχέση μεταξύ επαγγελματία υγείας</w:t>
      </w:r>
      <w:r w:rsidR="00E91B7C" w:rsidRPr="005A464E">
        <w:rPr>
          <w:sz w:val="24"/>
          <w:szCs w:val="24"/>
        </w:rPr>
        <w:t xml:space="preserve"> και ασθενή</w:t>
      </w:r>
      <w:r w:rsidRPr="005A464E">
        <w:rPr>
          <w:sz w:val="24"/>
          <w:szCs w:val="24"/>
        </w:rPr>
        <w:t xml:space="preserve"> (</w:t>
      </w:r>
      <w:r w:rsidRPr="005A464E">
        <w:rPr>
          <w:sz w:val="24"/>
          <w:szCs w:val="24"/>
          <w:lang w:val="en-US"/>
        </w:rPr>
        <w:t>Martins</w:t>
      </w:r>
      <w:r w:rsidR="00470EE6" w:rsidRPr="005A464E">
        <w:rPr>
          <w:sz w:val="24"/>
          <w:szCs w:val="24"/>
        </w:rPr>
        <w:t xml:space="preserve"> </w:t>
      </w:r>
      <w:r w:rsidR="00566CAA">
        <w:rPr>
          <w:sz w:val="24"/>
          <w:szCs w:val="24"/>
        </w:rPr>
        <w:t>et al</w:t>
      </w:r>
      <w:r w:rsidR="00B84879">
        <w:rPr>
          <w:sz w:val="24"/>
          <w:szCs w:val="24"/>
        </w:rPr>
        <w:t>.</w:t>
      </w:r>
      <w:r w:rsidR="00CE01B5" w:rsidRPr="00CE01B5">
        <w:rPr>
          <w:sz w:val="24"/>
          <w:szCs w:val="24"/>
        </w:rPr>
        <w:t>,</w:t>
      </w:r>
      <w:r w:rsidRPr="005A464E">
        <w:rPr>
          <w:sz w:val="24"/>
          <w:szCs w:val="24"/>
        </w:rPr>
        <w:t xml:space="preserve"> 2013)</w:t>
      </w:r>
      <w:r w:rsidR="00E91B7C" w:rsidRPr="005A464E">
        <w:rPr>
          <w:sz w:val="24"/>
          <w:szCs w:val="24"/>
        </w:rPr>
        <w:t>,</w:t>
      </w:r>
      <w:r w:rsidR="00577BCB" w:rsidRPr="005A464E">
        <w:rPr>
          <w:sz w:val="24"/>
          <w:szCs w:val="24"/>
        </w:rPr>
        <w:t xml:space="preserve"> οι παρενέργειες, </w:t>
      </w:r>
      <w:r w:rsidR="00470EE6" w:rsidRPr="005A464E">
        <w:rPr>
          <w:sz w:val="24"/>
          <w:szCs w:val="24"/>
        </w:rPr>
        <w:t xml:space="preserve">η έλλειψη κοινωνικής </w:t>
      </w:r>
      <w:r w:rsidRPr="005A464E">
        <w:rPr>
          <w:sz w:val="24"/>
          <w:szCs w:val="24"/>
        </w:rPr>
        <w:t>στήριξης (</w:t>
      </w:r>
      <w:r w:rsidRPr="005A464E">
        <w:rPr>
          <w:sz w:val="24"/>
          <w:szCs w:val="24"/>
          <w:lang w:val="en-US"/>
        </w:rPr>
        <w:t>Wiebe</w:t>
      </w:r>
      <w:r w:rsidR="00F15760" w:rsidRPr="005A464E">
        <w:rPr>
          <w:sz w:val="24"/>
          <w:szCs w:val="24"/>
        </w:rPr>
        <w:t xml:space="preserve"> </w:t>
      </w:r>
      <w:r w:rsidR="00577BCB" w:rsidRPr="005A464E">
        <w:rPr>
          <w:sz w:val="24"/>
          <w:szCs w:val="24"/>
        </w:rPr>
        <w:t>&amp; Christensen</w:t>
      </w:r>
      <w:r w:rsidR="00AB454B">
        <w:rPr>
          <w:sz w:val="24"/>
          <w:szCs w:val="24"/>
        </w:rPr>
        <w:t>,</w:t>
      </w:r>
      <w:r w:rsidR="00577BCB" w:rsidRPr="005A464E">
        <w:rPr>
          <w:sz w:val="24"/>
          <w:szCs w:val="24"/>
        </w:rPr>
        <w:t xml:space="preserve"> </w:t>
      </w:r>
      <w:r w:rsidR="00F15760" w:rsidRPr="005A464E">
        <w:rPr>
          <w:sz w:val="24"/>
          <w:szCs w:val="24"/>
        </w:rPr>
        <w:t>1997</w:t>
      </w:r>
      <w:r w:rsidRPr="005A464E">
        <w:rPr>
          <w:sz w:val="24"/>
          <w:szCs w:val="24"/>
        </w:rPr>
        <w:t xml:space="preserve">), η προσωπικότητα </w:t>
      </w:r>
      <w:r w:rsidR="00B0560D">
        <w:rPr>
          <w:sz w:val="24"/>
          <w:szCs w:val="24"/>
        </w:rPr>
        <w:t>του ασθενούς</w:t>
      </w:r>
      <w:r w:rsidRPr="005A464E">
        <w:rPr>
          <w:sz w:val="24"/>
          <w:szCs w:val="24"/>
        </w:rPr>
        <w:t xml:space="preserve"> (</w:t>
      </w:r>
      <w:r w:rsidRPr="005A464E">
        <w:rPr>
          <w:sz w:val="24"/>
          <w:szCs w:val="24"/>
          <w:lang w:val="en-US"/>
        </w:rPr>
        <w:t>Theofilou</w:t>
      </w:r>
      <w:r w:rsidR="003041EB">
        <w:rPr>
          <w:sz w:val="24"/>
          <w:szCs w:val="24"/>
        </w:rPr>
        <w:t>,</w:t>
      </w:r>
      <w:r w:rsidRPr="005A464E">
        <w:rPr>
          <w:sz w:val="24"/>
          <w:szCs w:val="24"/>
        </w:rPr>
        <w:t xml:space="preserve"> 2012</w:t>
      </w:r>
      <w:r w:rsidR="0076403B" w:rsidRPr="005A464E">
        <w:rPr>
          <w:sz w:val="24"/>
          <w:szCs w:val="24"/>
          <w:lang w:val="en-US"/>
        </w:rPr>
        <w:t>b</w:t>
      </w:r>
      <w:r w:rsidRPr="005A464E">
        <w:rPr>
          <w:sz w:val="24"/>
          <w:szCs w:val="24"/>
        </w:rPr>
        <w:t xml:space="preserve">), το </w:t>
      </w:r>
      <w:r w:rsidR="000D053B">
        <w:rPr>
          <w:sz w:val="24"/>
          <w:szCs w:val="24"/>
        </w:rPr>
        <w:t>εκπαιδευτικό</w:t>
      </w:r>
      <w:r w:rsidRPr="005A464E">
        <w:rPr>
          <w:sz w:val="24"/>
          <w:szCs w:val="24"/>
        </w:rPr>
        <w:t xml:space="preserve"> επίπεδο ή οικονομικοί λόγοι (Kauric-Klein</w:t>
      </w:r>
      <w:r w:rsidR="003041EB">
        <w:rPr>
          <w:sz w:val="24"/>
          <w:szCs w:val="24"/>
        </w:rPr>
        <w:t>,</w:t>
      </w:r>
      <w:r w:rsidRPr="005A464E">
        <w:rPr>
          <w:sz w:val="24"/>
          <w:szCs w:val="24"/>
        </w:rPr>
        <w:t xml:space="preserve"> 2013). Οι περισσότερες από αυτές τις μελέτες συμφωνούν ότι όλοι οι δυνητικοί καθοριστικοί παράγοντες πρέπει να εξετάζονται, προκειμέ</w:t>
      </w:r>
      <w:r w:rsidR="00B91D64" w:rsidRPr="005A464E">
        <w:rPr>
          <w:sz w:val="24"/>
          <w:szCs w:val="24"/>
        </w:rPr>
        <w:t xml:space="preserve">νου να βελτιωθεί η ικανότητα </w:t>
      </w:r>
      <w:r w:rsidR="00B0560D">
        <w:rPr>
          <w:sz w:val="24"/>
          <w:szCs w:val="24"/>
        </w:rPr>
        <w:t>του ασθενούς</w:t>
      </w:r>
      <w:r w:rsidRPr="005A464E">
        <w:rPr>
          <w:sz w:val="24"/>
          <w:szCs w:val="24"/>
        </w:rPr>
        <w:t xml:space="preserve"> </w:t>
      </w:r>
      <w:r w:rsidRPr="00E94504">
        <w:rPr>
          <w:sz w:val="24"/>
          <w:szCs w:val="24"/>
        </w:rPr>
        <w:t>υπ</w:t>
      </w:r>
      <w:r w:rsidR="00B91D64" w:rsidRPr="00E94504">
        <w:rPr>
          <w:sz w:val="24"/>
          <w:szCs w:val="24"/>
        </w:rPr>
        <w:t xml:space="preserve">ό </w:t>
      </w:r>
      <w:r w:rsidR="00347FAD" w:rsidRPr="00E94504">
        <w:rPr>
          <w:sz w:val="24"/>
          <w:szCs w:val="24"/>
        </w:rPr>
        <w:t xml:space="preserve">αιμοκάθαρση </w:t>
      </w:r>
      <w:r w:rsidR="00B91D64" w:rsidRPr="00E94504">
        <w:rPr>
          <w:sz w:val="24"/>
          <w:szCs w:val="24"/>
        </w:rPr>
        <w:t>να</w:t>
      </w:r>
      <w:r w:rsidR="00B91D64" w:rsidRPr="005A464E">
        <w:rPr>
          <w:sz w:val="24"/>
          <w:szCs w:val="24"/>
        </w:rPr>
        <w:t xml:space="preserve"> ακολουθήσει το θεραπευτικό σχήμα</w:t>
      </w:r>
      <w:r w:rsidRPr="005A464E">
        <w:rPr>
          <w:sz w:val="24"/>
          <w:szCs w:val="24"/>
        </w:rPr>
        <w:t xml:space="preserve"> (</w:t>
      </w:r>
      <w:r w:rsidRPr="005A464E">
        <w:rPr>
          <w:sz w:val="24"/>
          <w:szCs w:val="24"/>
          <w:lang w:val="en-US"/>
        </w:rPr>
        <w:t>Reach</w:t>
      </w:r>
      <w:r w:rsidR="003041EB">
        <w:rPr>
          <w:sz w:val="24"/>
          <w:szCs w:val="24"/>
        </w:rPr>
        <w:t>,</w:t>
      </w:r>
      <w:r w:rsidRPr="005A464E">
        <w:rPr>
          <w:sz w:val="24"/>
          <w:szCs w:val="24"/>
        </w:rPr>
        <w:t xml:space="preserve"> 2008).</w:t>
      </w:r>
    </w:p>
    <w:p w:rsidR="008302D4" w:rsidRPr="005A464E" w:rsidRDefault="00AD5F6D" w:rsidP="0066526D">
      <w:pPr>
        <w:pStyle w:val="30"/>
        <w:numPr>
          <w:ilvl w:val="2"/>
          <w:numId w:val="117"/>
        </w:numPr>
        <w:spacing w:line="360" w:lineRule="auto"/>
        <w:rPr>
          <w:rFonts w:asciiTheme="minorHAnsi" w:hAnsiTheme="minorHAnsi"/>
        </w:rPr>
      </w:pPr>
      <w:bookmarkStart w:id="47" w:name="_Toc495951443"/>
      <w:r w:rsidRPr="005A464E">
        <w:rPr>
          <w:rFonts w:asciiTheme="minorHAnsi" w:hAnsiTheme="minorHAnsi"/>
        </w:rPr>
        <w:t>Παράγοντες σχετιζόμενοι με τον ασθενή</w:t>
      </w:r>
      <w:bookmarkEnd w:id="47"/>
    </w:p>
    <w:p w:rsidR="008302D4" w:rsidRPr="004E0AB7" w:rsidRDefault="008302D4" w:rsidP="004E0AB7">
      <w:pPr>
        <w:pStyle w:val="a5"/>
        <w:numPr>
          <w:ilvl w:val="0"/>
          <w:numId w:val="121"/>
        </w:numPr>
        <w:spacing w:line="360" w:lineRule="auto"/>
        <w:rPr>
          <w:i/>
          <w:sz w:val="24"/>
          <w:szCs w:val="24"/>
        </w:rPr>
      </w:pPr>
      <w:r w:rsidRPr="004E0AB7">
        <w:rPr>
          <w:i/>
          <w:sz w:val="24"/>
          <w:szCs w:val="24"/>
        </w:rPr>
        <w:t>Δημογραφικοί παράγοντες</w:t>
      </w:r>
    </w:p>
    <w:p w:rsidR="00AD5F6D" w:rsidRPr="005A464E" w:rsidRDefault="00AD5F6D" w:rsidP="005A464E">
      <w:pPr>
        <w:spacing w:line="360" w:lineRule="auto"/>
        <w:jc w:val="both"/>
        <w:rPr>
          <w:sz w:val="24"/>
          <w:szCs w:val="24"/>
        </w:rPr>
      </w:pPr>
      <w:r w:rsidRPr="005A464E">
        <w:rPr>
          <w:sz w:val="24"/>
          <w:szCs w:val="24"/>
        </w:rPr>
        <w:t>Πολλοί καθορισ</w:t>
      </w:r>
      <w:r w:rsidR="00A004D2">
        <w:rPr>
          <w:sz w:val="24"/>
          <w:szCs w:val="24"/>
        </w:rPr>
        <w:t>τικοί παράγοντες έχει βρεθεί πως</w:t>
      </w:r>
      <w:r w:rsidRPr="005A464E">
        <w:rPr>
          <w:sz w:val="24"/>
          <w:szCs w:val="24"/>
        </w:rPr>
        <w:t xml:space="preserve"> σχετίζονται με </w:t>
      </w:r>
      <w:r w:rsidR="00331193" w:rsidRPr="005A464E">
        <w:rPr>
          <w:sz w:val="24"/>
          <w:szCs w:val="24"/>
        </w:rPr>
        <w:t xml:space="preserve">την μη συμμόρφωση </w:t>
      </w:r>
      <w:r w:rsidR="00347FAD" w:rsidRPr="00E94504">
        <w:rPr>
          <w:sz w:val="24"/>
          <w:szCs w:val="24"/>
        </w:rPr>
        <w:t>στην αιμοκάθαρση</w:t>
      </w:r>
      <w:r w:rsidR="00331193" w:rsidRPr="00E94504">
        <w:rPr>
          <w:sz w:val="24"/>
          <w:szCs w:val="24"/>
        </w:rPr>
        <w:t>. Μερικοί από</w:t>
      </w:r>
      <w:r w:rsidR="00331193" w:rsidRPr="005A464E">
        <w:rPr>
          <w:sz w:val="24"/>
          <w:szCs w:val="24"/>
        </w:rPr>
        <w:t xml:space="preserve"> αυτούς</w:t>
      </w:r>
      <w:r w:rsidRPr="005A464E">
        <w:rPr>
          <w:sz w:val="24"/>
          <w:szCs w:val="24"/>
        </w:rPr>
        <w:t xml:space="preserve"> είναι η ηλικία (</w:t>
      </w:r>
      <w:r w:rsidRPr="005A464E">
        <w:rPr>
          <w:sz w:val="24"/>
          <w:szCs w:val="24"/>
          <w:lang w:val="en-US"/>
        </w:rPr>
        <w:t>Saran</w:t>
      </w:r>
      <w:r w:rsidR="00B91D64" w:rsidRPr="005A464E">
        <w:rPr>
          <w:sz w:val="24"/>
          <w:szCs w:val="24"/>
        </w:rPr>
        <w:t xml:space="preserve"> </w:t>
      </w:r>
      <w:r w:rsidR="00566CAA">
        <w:rPr>
          <w:sz w:val="24"/>
          <w:szCs w:val="24"/>
        </w:rPr>
        <w:t>et al</w:t>
      </w:r>
      <w:r w:rsidR="003041EB">
        <w:rPr>
          <w:sz w:val="24"/>
          <w:szCs w:val="24"/>
        </w:rPr>
        <w:t>.</w:t>
      </w:r>
      <w:r w:rsidR="00CE01B5" w:rsidRPr="00CE01B5">
        <w:rPr>
          <w:sz w:val="24"/>
          <w:szCs w:val="24"/>
        </w:rPr>
        <w:t>,</w:t>
      </w:r>
      <w:r w:rsidRPr="005A464E">
        <w:rPr>
          <w:sz w:val="24"/>
          <w:szCs w:val="24"/>
        </w:rPr>
        <w:t xml:space="preserve"> 2003; </w:t>
      </w:r>
      <w:r w:rsidRPr="005A464E">
        <w:rPr>
          <w:sz w:val="24"/>
          <w:szCs w:val="24"/>
          <w:lang w:val="en-US"/>
        </w:rPr>
        <w:t>Unruh</w:t>
      </w:r>
      <w:r w:rsidR="00D75F89" w:rsidRPr="00D75F89">
        <w:rPr>
          <w:sz w:val="24"/>
          <w:szCs w:val="24"/>
        </w:rPr>
        <w:t>,</w:t>
      </w:r>
      <w:r w:rsidR="00B91D64" w:rsidRPr="005A464E">
        <w:rPr>
          <w:sz w:val="24"/>
          <w:szCs w:val="24"/>
        </w:rPr>
        <w:t xml:space="preserve"> </w:t>
      </w:r>
      <w:r w:rsidR="00D75F89" w:rsidRPr="00D75F89">
        <w:rPr>
          <w:rFonts w:asciiTheme="minorHAnsi" w:hAnsiTheme="minorHAnsi" w:cstheme="minorHAnsi"/>
          <w:sz w:val="24"/>
          <w:szCs w:val="24"/>
          <w:lang w:val="en-US"/>
        </w:rPr>
        <w:t>Evans</w:t>
      </w:r>
      <w:r w:rsidR="00D75F89" w:rsidRPr="00D75F89">
        <w:rPr>
          <w:rFonts w:asciiTheme="minorHAnsi" w:hAnsiTheme="minorHAnsi" w:cstheme="minorHAnsi"/>
          <w:sz w:val="24"/>
          <w:szCs w:val="24"/>
        </w:rPr>
        <w:t xml:space="preserve">, </w:t>
      </w:r>
      <w:r w:rsidR="00D75F89" w:rsidRPr="00D75F89">
        <w:rPr>
          <w:rFonts w:asciiTheme="minorHAnsi" w:hAnsiTheme="minorHAnsi" w:cstheme="minorHAnsi"/>
          <w:sz w:val="24"/>
          <w:szCs w:val="24"/>
          <w:lang w:val="en-US"/>
        </w:rPr>
        <w:t>Fink</w:t>
      </w:r>
      <w:r w:rsidR="00D75F89" w:rsidRPr="00D75F89">
        <w:rPr>
          <w:rFonts w:asciiTheme="minorHAnsi" w:hAnsiTheme="minorHAnsi" w:cstheme="minorHAnsi"/>
          <w:sz w:val="24"/>
          <w:szCs w:val="24"/>
        </w:rPr>
        <w:t xml:space="preserve">, &amp; </w:t>
      </w:r>
      <w:r w:rsidR="00D75F89" w:rsidRPr="00D75F89">
        <w:rPr>
          <w:rFonts w:asciiTheme="minorHAnsi" w:hAnsiTheme="minorHAnsi" w:cstheme="minorHAnsi"/>
          <w:sz w:val="24"/>
          <w:szCs w:val="24"/>
          <w:lang w:val="en-US"/>
        </w:rPr>
        <w:t>Powe</w:t>
      </w:r>
      <w:r w:rsidR="00D75F89" w:rsidRPr="00D75F89">
        <w:rPr>
          <w:rFonts w:asciiTheme="minorHAnsi" w:hAnsiTheme="minorHAnsi" w:cstheme="minorHAnsi"/>
          <w:sz w:val="24"/>
          <w:szCs w:val="24"/>
        </w:rPr>
        <w:t xml:space="preserve">, </w:t>
      </w:r>
      <w:r w:rsidRPr="00D75F89">
        <w:rPr>
          <w:sz w:val="24"/>
          <w:szCs w:val="24"/>
        </w:rPr>
        <w:t>2005</w:t>
      </w:r>
      <w:r w:rsidRPr="005A464E">
        <w:rPr>
          <w:sz w:val="24"/>
          <w:szCs w:val="24"/>
        </w:rPr>
        <w:t xml:space="preserve">; </w:t>
      </w:r>
      <w:r w:rsidRPr="005A464E">
        <w:rPr>
          <w:sz w:val="24"/>
          <w:szCs w:val="24"/>
          <w:lang w:val="en-US"/>
        </w:rPr>
        <w:t>Tentori</w:t>
      </w:r>
      <w:r w:rsidR="00B91D64" w:rsidRPr="005A464E">
        <w:rPr>
          <w:sz w:val="24"/>
          <w:szCs w:val="24"/>
        </w:rPr>
        <w:t xml:space="preserve"> </w:t>
      </w:r>
      <w:r w:rsidR="00566CAA">
        <w:rPr>
          <w:sz w:val="24"/>
          <w:szCs w:val="24"/>
        </w:rPr>
        <w:t>et al</w:t>
      </w:r>
      <w:r w:rsidR="003041EB" w:rsidRPr="003041EB">
        <w:rPr>
          <w:sz w:val="24"/>
          <w:szCs w:val="24"/>
        </w:rPr>
        <w:t>.</w:t>
      </w:r>
      <w:r w:rsidR="00CE01B5" w:rsidRPr="00CE01B5">
        <w:rPr>
          <w:sz w:val="24"/>
          <w:szCs w:val="24"/>
        </w:rPr>
        <w:t>,</w:t>
      </w:r>
      <w:r w:rsidRPr="005A464E">
        <w:rPr>
          <w:sz w:val="24"/>
          <w:szCs w:val="24"/>
        </w:rPr>
        <w:t xml:space="preserve"> 2007; </w:t>
      </w:r>
      <w:r w:rsidR="00A004D2" w:rsidRPr="005A464E">
        <w:rPr>
          <w:sz w:val="24"/>
          <w:szCs w:val="24"/>
          <w:lang w:val="en-US"/>
        </w:rPr>
        <w:t>Kara</w:t>
      </w:r>
      <w:r w:rsidR="00A004D2" w:rsidRPr="007B503D">
        <w:rPr>
          <w:sz w:val="24"/>
          <w:szCs w:val="24"/>
        </w:rPr>
        <w:t xml:space="preserve"> </w:t>
      </w:r>
      <w:r w:rsidR="00A004D2">
        <w:rPr>
          <w:sz w:val="24"/>
          <w:szCs w:val="24"/>
          <w:lang w:val="en-US"/>
        </w:rPr>
        <w:t>et</w:t>
      </w:r>
      <w:r w:rsidR="00A004D2" w:rsidRPr="007B503D">
        <w:rPr>
          <w:sz w:val="24"/>
          <w:szCs w:val="24"/>
        </w:rPr>
        <w:t xml:space="preserve"> </w:t>
      </w:r>
      <w:r w:rsidR="00A004D2">
        <w:rPr>
          <w:sz w:val="24"/>
          <w:szCs w:val="24"/>
          <w:lang w:val="en-US"/>
        </w:rPr>
        <w:t>al</w:t>
      </w:r>
      <w:r w:rsidR="00A004D2" w:rsidRPr="007B503D">
        <w:rPr>
          <w:sz w:val="24"/>
          <w:szCs w:val="24"/>
        </w:rPr>
        <w:t>.,</w:t>
      </w:r>
      <w:r w:rsidR="00A004D2" w:rsidRPr="006744A0">
        <w:rPr>
          <w:rFonts w:cs="Arial"/>
          <w:sz w:val="24"/>
          <w:szCs w:val="24"/>
          <w:shd w:val="clear" w:color="auto" w:fill="FFFFFF"/>
        </w:rPr>
        <w:t xml:space="preserve"> </w:t>
      </w:r>
      <w:r w:rsidR="00A004D2" w:rsidRPr="005A464E">
        <w:rPr>
          <w:sz w:val="24"/>
          <w:szCs w:val="24"/>
        </w:rPr>
        <w:t>2007</w:t>
      </w:r>
      <w:r w:rsidR="00A004D2">
        <w:rPr>
          <w:sz w:val="24"/>
          <w:szCs w:val="24"/>
        </w:rPr>
        <w:t xml:space="preserve">; </w:t>
      </w:r>
      <w:r w:rsidRPr="005A464E">
        <w:rPr>
          <w:sz w:val="24"/>
          <w:szCs w:val="24"/>
          <w:lang w:val="en-US"/>
        </w:rPr>
        <w:t>Hain</w:t>
      </w:r>
      <w:r w:rsidR="00737AC6" w:rsidRPr="005A464E">
        <w:rPr>
          <w:sz w:val="24"/>
          <w:szCs w:val="24"/>
        </w:rPr>
        <w:t>,</w:t>
      </w:r>
      <w:r w:rsidRPr="005A464E">
        <w:rPr>
          <w:sz w:val="24"/>
          <w:szCs w:val="24"/>
        </w:rPr>
        <w:t xml:space="preserve"> 2008; </w:t>
      </w:r>
      <w:r w:rsidRPr="005A464E">
        <w:rPr>
          <w:sz w:val="24"/>
          <w:szCs w:val="24"/>
          <w:lang w:val="en-US"/>
        </w:rPr>
        <w:t>Bland</w:t>
      </w:r>
      <w:r w:rsidR="003041EB" w:rsidRPr="003041EB">
        <w:rPr>
          <w:sz w:val="24"/>
          <w:szCs w:val="24"/>
        </w:rPr>
        <w:t>,</w:t>
      </w:r>
      <w:r w:rsidR="00B91D64" w:rsidRPr="005A464E">
        <w:rPr>
          <w:sz w:val="24"/>
          <w:szCs w:val="24"/>
        </w:rPr>
        <w:t xml:space="preserve"> </w:t>
      </w:r>
      <w:r w:rsidR="003041EB" w:rsidRPr="003041EB">
        <w:rPr>
          <w:rFonts w:eastAsia="Times New Roman" w:cstheme="minorHAnsi"/>
          <w:sz w:val="24"/>
          <w:szCs w:val="24"/>
          <w:lang w:val="en-US" w:eastAsia="el-GR"/>
        </w:rPr>
        <w:t>Cottrell</w:t>
      </w:r>
      <w:r w:rsidR="003041EB" w:rsidRPr="003041EB">
        <w:rPr>
          <w:rFonts w:eastAsia="Times New Roman" w:cstheme="minorHAnsi"/>
          <w:sz w:val="24"/>
          <w:szCs w:val="24"/>
          <w:lang w:eastAsia="el-GR"/>
        </w:rPr>
        <w:t xml:space="preserve"> &amp; </w:t>
      </w:r>
      <w:r w:rsidR="003041EB" w:rsidRPr="003041EB">
        <w:rPr>
          <w:rFonts w:eastAsia="Times New Roman" w:cstheme="minorHAnsi"/>
          <w:sz w:val="24"/>
          <w:szCs w:val="24"/>
          <w:lang w:val="en-US" w:eastAsia="el-GR"/>
        </w:rPr>
        <w:t>Guyler</w:t>
      </w:r>
      <w:r w:rsidR="003041EB" w:rsidRPr="003041EB">
        <w:rPr>
          <w:sz w:val="24"/>
          <w:szCs w:val="24"/>
        </w:rPr>
        <w:t xml:space="preserve"> </w:t>
      </w:r>
      <w:r w:rsidRPr="005A464E">
        <w:rPr>
          <w:sz w:val="24"/>
          <w:szCs w:val="24"/>
        </w:rPr>
        <w:t xml:space="preserve">2008; </w:t>
      </w:r>
      <w:r w:rsidRPr="005A464E">
        <w:rPr>
          <w:sz w:val="24"/>
          <w:szCs w:val="24"/>
          <w:lang w:val="en-US"/>
        </w:rPr>
        <w:t>Murray</w:t>
      </w:r>
      <w:r w:rsidR="003041EB">
        <w:rPr>
          <w:sz w:val="24"/>
          <w:szCs w:val="24"/>
        </w:rPr>
        <w:t>,</w:t>
      </w:r>
      <w:r w:rsidRPr="005A464E">
        <w:rPr>
          <w:sz w:val="24"/>
          <w:szCs w:val="24"/>
        </w:rPr>
        <w:t xml:space="preserve"> 2008; </w:t>
      </w:r>
      <w:r w:rsidR="00A004D2" w:rsidRPr="005A464E">
        <w:rPr>
          <w:sz w:val="24"/>
          <w:szCs w:val="24"/>
          <w:lang w:val="en-US"/>
        </w:rPr>
        <w:t>Gimenes</w:t>
      </w:r>
      <w:r w:rsidR="00A004D2">
        <w:rPr>
          <w:sz w:val="24"/>
          <w:szCs w:val="24"/>
        </w:rPr>
        <w:t>,</w:t>
      </w:r>
      <w:r w:rsidR="00A004D2" w:rsidRPr="006460B8">
        <w:rPr>
          <w:rFonts w:cstheme="minorHAnsi"/>
        </w:rPr>
        <w:t xml:space="preserve"> </w:t>
      </w:r>
      <w:r w:rsidR="00A004D2" w:rsidRPr="006460B8">
        <w:rPr>
          <w:rFonts w:cstheme="minorHAnsi"/>
          <w:sz w:val="24"/>
          <w:szCs w:val="24"/>
          <w:lang w:val="en-US"/>
        </w:rPr>
        <w:t>Zanetti</w:t>
      </w:r>
      <w:r w:rsidR="00A004D2">
        <w:rPr>
          <w:rFonts w:cstheme="minorHAnsi"/>
          <w:sz w:val="24"/>
          <w:szCs w:val="24"/>
        </w:rPr>
        <w:t>, &amp;</w:t>
      </w:r>
      <w:r w:rsidR="00A004D2" w:rsidRPr="006460B8">
        <w:rPr>
          <w:rFonts w:cstheme="minorHAnsi"/>
          <w:sz w:val="24"/>
          <w:szCs w:val="24"/>
        </w:rPr>
        <w:t xml:space="preserve"> </w:t>
      </w:r>
      <w:r w:rsidR="00A004D2" w:rsidRPr="006460B8">
        <w:rPr>
          <w:rFonts w:cstheme="minorHAnsi"/>
          <w:sz w:val="24"/>
          <w:szCs w:val="24"/>
          <w:lang w:val="en-US"/>
        </w:rPr>
        <w:t>Haas</w:t>
      </w:r>
      <w:r w:rsidR="00A004D2">
        <w:rPr>
          <w:rFonts w:cstheme="minorHAnsi"/>
          <w:sz w:val="24"/>
          <w:szCs w:val="24"/>
        </w:rPr>
        <w:t>,</w:t>
      </w:r>
      <w:r w:rsidR="00A004D2" w:rsidRPr="006460B8">
        <w:rPr>
          <w:sz w:val="24"/>
          <w:szCs w:val="24"/>
        </w:rPr>
        <w:t xml:space="preserve"> 2009</w:t>
      </w:r>
      <w:r w:rsidR="00A004D2" w:rsidRPr="005A464E">
        <w:rPr>
          <w:sz w:val="24"/>
          <w:szCs w:val="24"/>
        </w:rPr>
        <w:t>;</w:t>
      </w:r>
      <w:r w:rsidR="00A004D2">
        <w:rPr>
          <w:sz w:val="24"/>
          <w:szCs w:val="24"/>
        </w:rPr>
        <w:t xml:space="preserve"> </w:t>
      </w:r>
      <w:r w:rsidR="00AF10FE">
        <w:rPr>
          <w:sz w:val="24"/>
          <w:szCs w:val="24"/>
          <w:lang w:val="en-US"/>
        </w:rPr>
        <w:t>Baraz</w:t>
      </w:r>
      <w:r w:rsidR="00AF10FE" w:rsidRPr="00AF10FE">
        <w:rPr>
          <w:sz w:val="24"/>
          <w:szCs w:val="24"/>
        </w:rPr>
        <w:t>,</w:t>
      </w:r>
      <w:r w:rsidR="00930038" w:rsidRPr="005A464E">
        <w:rPr>
          <w:sz w:val="24"/>
          <w:szCs w:val="24"/>
        </w:rPr>
        <w:t xml:space="preserve"> </w:t>
      </w:r>
      <w:r w:rsidR="00AF10FE" w:rsidRPr="00AF10FE">
        <w:rPr>
          <w:rFonts w:asciiTheme="minorHAnsi" w:hAnsiTheme="minorHAnsi" w:cstheme="minorHAnsi"/>
          <w:sz w:val="24"/>
          <w:szCs w:val="24"/>
          <w:lang w:val="en-US"/>
        </w:rPr>
        <w:t>Parvardeh</w:t>
      </w:r>
      <w:r w:rsidR="00AF10FE">
        <w:rPr>
          <w:rFonts w:asciiTheme="minorHAnsi" w:hAnsiTheme="minorHAnsi" w:cstheme="minorHAnsi"/>
          <w:sz w:val="24"/>
          <w:szCs w:val="24"/>
        </w:rPr>
        <w:t>,</w:t>
      </w:r>
      <w:r w:rsidR="00AF10FE" w:rsidRPr="00AF10FE">
        <w:rPr>
          <w:rFonts w:asciiTheme="minorHAnsi" w:hAnsiTheme="minorHAnsi" w:cstheme="minorHAnsi"/>
          <w:sz w:val="24"/>
          <w:szCs w:val="24"/>
        </w:rPr>
        <w:t xml:space="preserve"> </w:t>
      </w:r>
      <w:r w:rsidR="00AF10FE" w:rsidRPr="00AF10FE">
        <w:rPr>
          <w:rFonts w:asciiTheme="minorHAnsi" w:hAnsiTheme="minorHAnsi" w:cstheme="minorHAnsi"/>
          <w:sz w:val="24"/>
          <w:szCs w:val="24"/>
          <w:lang w:val="en-US"/>
        </w:rPr>
        <w:t>Mohammadi</w:t>
      </w:r>
      <w:r w:rsidR="00AF10FE">
        <w:rPr>
          <w:rFonts w:asciiTheme="minorHAnsi" w:hAnsiTheme="minorHAnsi" w:cstheme="minorHAnsi"/>
          <w:sz w:val="24"/>
          <w:szCs w:val="24"/>
        </w:rPr>
        <w:t>, &amp;</w:t>
      </w:r>
      <w:r w:rsidR="00AF10FE" w:rsidRPr="00AF10FE">
        <w:rPr>
          <w:rFonts w:asciiTheme="minorHAnsi" w:hAnsiTheme="minorHAnsi" w:cstheme="minorHAnsi"/>
          <w:sz w:val="24"/>
          <w:szCs w:val="24"/>
        </w:rPr>
        <w:t xml:space="preserve"> </w:t>
      </w:r>
      <w:r w:rsidR="00AF10FE" w:rsidRPr="00AF10FE">
        <w:rPr>
          <w:rFonts w:asciiTheme="minorHAnsi" w:hAnsiTheme="minorHAnsi" w:cstheme="minorHAnsi"/>
          <w:sz w:val="24"/>
          <w:szCs w:val="24"/>
          <w:lang w:val="en-US"/>
        </w:rPr>
        <w:t>Broumand</w:t>
      </w:r>
      <w:r w:rsidR="00AF10FE" w:rsidRPr="00AF10FE">
        <w:rPr>
          <w:rFonts w:asciiTheme="minorHAnsi" w:hAnsiTheme="minorHAnsi" w:cstheme="minorHAnsi"/>
          <w:sz w:val="24"/>
          <w:szCs w:val="24"/>
        </w:rPr>
        <w:t>,</w:t>
      </w:r>
      <w:r w:rsidR="00AF10FE" w:rsidRPr="00AF10FE">
        <w:rPr>
          <w:sz w:val="24"/>
          <w:szCs w:val="24"/>
        </w:rPr>
        <w:t xml:space="preserve"> </w:t>
      </w:r>
      <w:r w:rsidRPr="00AF10FE">
        <w:rPr>
          <w:sz w:val="24"/>
          <w:szCs w:val="24"/>
        </w:rPr>
        <w:t>2010</w:t>
      </w:r>
      <w:r w:rsidRPr="005A464E">
        <w:rPr>
          <w:sz w:val="24"/>
          <w:szCs w:val="24"/>
        </w:rPr>
        <w:t xml:space="preserve">; </w:t>
      </w:r>
      <w:r w:rsidRPr="005A464E">
        <w:rPr>
          <w:sz w:val="24"/>
          <w:szCs w:val="24"/>
          <w:lang w:val="en-US"/>
        </w:rPr>
        <w:t>Chan</w:t>
      </w:r>
      <w:r w:rsidR="006460B8">
        <w:rPr>
          <w:sz w:val="24"/>
          <w:szCs w:val="24"/>
        </w:rPr>
        <w:t xml:space="preserve">, </w:t>
      </w:r>
      <w:r w:rsidR="006460B8" w:rsidRPr="006460B8">
        <w:rPr>
          <w:rFonts w:cstheme="minorHAnsi"/>
          <w:sz w:val="24"/>
          <w:szCs w:val="24"/>
          <w:lang w:val="en-US"/>
        </w:rPr>
        <w:t>Zalilah</w:t>
      </w:r>
      <w:r w:rsidR="0062205E">
        <w:rPr>
          <w:rFonts w:cstheme="minorHAnsi"/>
          <w:sz w:val="24"/>
          <w:szCs w:val="24"/>
        </w:rPr>
        <w:t>,</w:t>
      </w:r>
      <w:r w:rsidR="006460B8" w:rsidRPr="006460B8">
        <w:rPr>
          <w:rFonts w:cstheme="minorHAnsi"/>
          <w:sz w:val="24"/>
          <w:szCs w:val="24"/>
        </w:rPr>
        <w:t xml:space="preserve"> &amp; </w:t>
      </w:r>
      <w:r w:rsidR="006460B8" w:rsidRPr="006460B8">
        <w:rPr>
          <w:rFonts w:cstheme="minorHAnsi"/>
          <w:sz w:val="24"/>
          <w:szCs w:val="24"/>
          <w:lang w:val="en-US"/>
        </w:rPr>
        <w:t>Hii</w:t>
      </w:r>
      <w:r w:rsidR="0062205E">
        <w:rPr>
          <w:rFonts w:cstheme="minorHAnsi"/>
          <w:sz w:val="24"/>
          <w:szCs w:val="24"/>
        </w:rPr>
        <w:t>,</w:t>
      </w:r>
      <w:r w:rsidR="006460B8" w:rsidRPr="006460B8">
        <w:rPr>
          <w:sz w:val="24"/>
          <w:szCs w:val="24"/>
        </w:rPr>
        <w:t xml:space="preserve"> </w:t>
      </w:r>
      <w:r w:rsidR="00930038" w:rsidRPr="006460B8">
        <w:rPr>
          <w:sz w:val="24"/>
          <w:szCs w:val="24"/>
        </w:rPr>
        <w:t>2012</w:t>
      </w:r>
      <w:r w:rsidRPr="005A464E">
        <w:rPr>
          <w:sz w:val="24"/>
          <w:szCs w:val="24"/>
        </w:rPr>
        <w:t xml:space="preserve">; </w:t>
      </w:r>
      <w:r w:rsidRPr="005A464E">
        <w:rPr>
          <w:sz w:val="24"/>
          <w:szCs w:val="24"/>
          <w:lang w:val="en-US"/>
        </w:rPr>
        <w:t>Theofilou</w:t>
      </w:r>
      <w:r w:rsidR="006460B8">
        <w:rPr>
          <w:sz w:val="24"/>
          <w:szCs w:val="24"/>
        </w:rPr>
        <w:t>,</w:t>
      </w:r>
      <w:r w:rsidRPr="005A464E">
        <w:rPr>
          <w:sz w:val="24"/>
          <w:szCs w:val="24"/>
        </w:rPr>
        <w:t xml:space="preserve"> 2013), η φυλή </w:t>
      </w:r>
      <w:r w:rsidR="00E05163">
        <w:rPr>
          <w:sz w:val="24"/>
          <w:szCs w:val="24"/>
        </w:rPr>
        <w:t>(</w:t>
      </w:r>
      <w:r w:rsidR="00E05163" w:rsidRPr="00682CF3">
        <w:rPr>
          <w:rFonts w:asciiTheme="minorHAnsi" w:hAnsiTheme="minorHAnsi"/>
          <w:sz w:val="24"/>
          <w:szCs w:val="24"/>
          <w:lang w:val="en-US"/>
        </w:rPr>
        <w:t>Safdar</w:t>
      </w:r>
      <w:r w:rsidR="00E05163" w:rsidRPr="00682CF3">
        <w:rPr>
          <w:rFonts w:asciiTheme="minorHAnsi" w:hAnsiTheme="minorHAnsi"/>
          <w:sz w:val="24"/>
          <w:szCs w:val="24"/>
        </w:rPr>
        <w:t xml:space="preserve">, </w:t>
      </w:r>
      <w:r w:rsidR="00E05163" w:rsidRPr="00682CF3">
        <w:rPr>
          <w:rFonts w:asciiTheme="minorHAnsi" w:eastAsia="Times New Roman" w:hAnsiTheme="minorHAnsi" w:cstheme="minorHAnsi"/>
          <w:sz w:val="24"/>
          <w:szCs w:val="24"/>
          <w:lang w:val="en-US" w:eastAsia="el-GR"/>
        </w:rPr>
        <w:t>Baakza</w:t>
      </w:r>
      <w:r w:rsidR="00E05163" w:rsidRPr="00682CF3">
        <w:rPr>
          <w:rFonts w:asciiTheme="minorHAnsi" w:eastAsia="Times New Roman" w:hAnsiTheme="minorHAnsi" w:cstheme="minorHAnsi"/>
          <w:sz w:val="24"/>
          <w:szCs w:val="24"/>
          <w:lang w:eastAsia="el-GR"/>
        </w:rPr>
        <w:t xml:space="preserve">, </w:t>
      </w:r>
      <w:r w:rsidR="00E05163" w:rsidRPr="00682CF3">
        <w:rPr>
          <w:rFonts w:asciiTheme="minorHAnsi" w:eastAsia="Times New Roman" w:hAnsiTheme="minorHAnsi" w:cstheme="minorHAnsi"/>
          <w:sz w:val="24"/>
          <w:szCs w:val="24"/>
          <w:lang w:val="en-US" w:eastAsia="el-GR"/>
        </w:rPr>
        <w:t>Kumar</w:t>
      </w:r>
      <w:r w:rsidR="00E05163" w:rsidRPr="00682CF3">
        <w:rPr>
          <w:rFonts w:asciiTheme="minorHAnsi" w:eastAsia="Times New Roman" w:hAnsiTheme="minorHAnsi" w:cstheme="minorHAnsi"/>
          <w:sz w:val="24"/>
          <w:szCs w:val="24"/>
          <w:lang w:eastAsia="el-GR"/>
        </w:rPr>
        <w:t xml:space="preserve">, &amp; </w:t>
      </w:r>
      <w:r w:rsidR="00E05163" w:rsidRPr="00682CF3">
        <w:rPr>
          <w:rFonts w:asciiTheme="minorHAnsi" w:eastAsia="Times New Roman" w:hAnsiTheme="minorHAnsi" w:cstheme="minorHAnsi"/>
          <w:sz w:val="24"/>
          <w:szCs w:val="24"/>
          <w:lang w:val="en-US" w:eastAsia="el-GR"/>
        </w:rPr>
        <w:t>Naqvi</w:t>
      </w:r>
      <w:r w:rsidR="00E05163" w:rsidRPr="00682CF3">
        <w:rPr>
          <w:rFonts w:asciiTheme="minorHAnsi" w:eastAsia="Times New Roman" w:hAnsiTheme="minorHAnsi" w:cstheme="minorHAnsi"/>
          <w:sz w:val="24"/>
          <w:szCs w:val="24"/>
          <w:lang w:eastAsia="el-GR"/>
        </w:rPr>
        <w:t xml:space="preserve">, </w:t>
      </w:r>
      <w:r w:rsidR="00E05163" w:rsidRPr="00682CF3">
        <w:rPr>
          <w:rFonts w:asciiTheme="minorHAnsi" w:hAnsiTheme="minorHAnsi"/>
          <w:sz w:val="24"/>
          <w:szCs w:val="24"/>
        </w:rPr>
        <w:t>1995</w:t>
      </w:r>
      <w:r w:rsidR="00E05163">
        <w:rPr>
          <w:sz w:val="24"/>
          <w:szCs w:val="24"/>
        </w:rPr>
        <w:t xml:space="preserve">; </w:t>
      </w:r>
      <w:r w:rsidRPr="005A464E">
        <w:rPr>
          <w:sz w:val="24"/>
          <w:szCs w:val="24"/>
          <w:lang w:val="en-US"/>
        </w:rPr>
        <w:t>Saran</w:t>
      </w:r>
      <w:r w:rsidR="00B91D64" w:rsidRPr="005A464E">
        <w:rPr>
          <w:sz w:val="24"/>
          <w:szCs w:val="24"/>
        </w:rPr>
        <w:t xml:space="preserve"> </w:t>
      </w:r>
      <w:r w:rsidR="00566CAA">
        <w:rPr>
          <w:sz w:val="24"/>
          <w:szCs w:val="24"/>
        </w:rPr>
        <w:t>et al</w:t>
      </w:r>
      <w:r w:rsidR="003041EB">
        <w:rPr>
          <w:sz w:val="24"/>
          <w:szCs w:val="24"/>
        </w:rPr>
        <w:t>.</w:t>
      </w:r>
      <w:r w:rsidR="00E05163">
        <w:rPr>
          <w:sz w:val="24"/>
          <w:szCs w:val="24"/>
        </w:rPr>
        <w:t>,</w:t>
      </w:r>
      <w:r w:rsidR="00452E0E" w:rsidRPr="005A464E">
        <w:rPr>
          <w:sz w:val="24"/>
          <w:szCs w:val="24"/>
        </w:rPr>
        <w:t xml:space="preserve"> </w:t>
      </w:r>
      <w:r w:rsidRPr="005A464E">
        <w:rPr>
          <w:sz w:val="24"/>
          <w:szCs w:val="24"/>
        </w:rPr>
        <w:t xml:space="preserve">2003; </w:t>
      </w:r>
      <w:r w:rsidRPr="005A464E">
        <w:rPr>
          <w:sz w:val="24"/>
          <w:szCs w:val="24"/>
          <w:lang w:val="en-US"/>
        </w:rPr>
        <w:t>Unruh</w:t>
      </w:r>
      <w:r w:rsidR="00255F29" w:rsidRPr="005A464E">
        <w:rPr>
          <w:sz w:val="24"/>
          <w:szCs w:val="24"/>
        </w:rPr>
        <w:t xml:space="preserve"> </w:t>
      </w:r>
      <w:r w:rsidR="00566CAA">
        <w:rPr>
          <w:sz w:val="24"/>
          <w:szCs w:val="24"/>
        </w:rPr>
        <w:t>et al</w:t>
      </w:r>
      <w:r w:rsidR="003041EB">
        <w:rPr>
          <w:sz w:val="24"/>
          <w:szCs w:val="24"/>
        </w:rPr>
        <w:t>.</w:t>
      </w:r>
      <w:r w:rsidR="00CE01B5" w:rsidRPr="00CE01B5">
        <w:rPr>
          <w:sz w:val="24"/>
          <w:szCs w:val="24"/>
        </w:rPr>
        <w:t>,</w:t>
      </w:r>
      <w:r w:rsidRPr="005A464E">
        <w:rPr>
          <w:sz w:val="24"/>
          <w:szCs w:val="24"/>
        </w:rPr>
        <w:t xml:space="preserve"> 2005; </w:t>
      </w:r>
      <w:r w:rsidRPr="005A464E">
        <w:rPr>
          <w:sz w:val="24"/>
          <w:szCs w:val="24"/>
          <w:lang w:val="en-US"/>
        </w:rPr>
        <w:t>Tentori</w:t>
      </w:r>
      <w:r w:rsidR="00B91D64" w:rsidRPr="005A464E">
        <w:rPr>
          <w:sz w:val="24"/>
          <w:szCs w:val="24"/>
        </w:rPr>
        <w:t xml:space="preserve"> </w:t>
      </w:r>
      <w:r w:rsidR="00566CAA">
        <w:rPr>
          <w:sz w:val="24"/>
          <w:szCs w:val="24"/>
        </w:rPr>
        <w:t>et al</w:t>
      </w:r>
      <w:r w:rsidR="003041EB" w:rsidRPr="003041EB">
        <w:rPr>
          <w:sz w:val="24"/>
          <w:szCs w:val="24"/>
        </w:rPr>
        <w:t>.</w:t>
      </w:r>
      <w:r w:rsidR="00CE01B5" w:rsidRPr="00CE01B5">
        <w:rPr>
          <w:sz w:val="24"/>
          <w:szCs w:val="24"/>
        </w:rPr>
        <w:t>,</w:t>
      </w:r>
      <w:r w:rsidRPr="005A464E">
        <w:rPr>
          <w:sz w:val="24"/>
          <w:szCs w:val="24"/>
        </w:rPr>
        <w:t xml:space="preserve"> 2007; </w:t>
      </w:r>
      <w:r w:rsidRPr="005A464E">
        <w:rPr>
          <w:sz w:val="24"/>
          <w:szCs w:val="24"/>
          <w:lang w:val="en-US"/>
        </w:rPr>
        <w:t>Hain</w:t>
      </w:r>
      <w:r w:rsidR="003041EB" w:rsidRPr="003041EB">
        <w:rPr>
          <w:sz w:val="24"/>
          <w:szCs w:val="24"/>
        </w:rPr>
        <w:t>,</w:t>
      </w:r>
      <w:r w:rsidRPr="005A464E">
        <w:rPr>
          <w:sz w:val="24"/>
          <w:szCs w:val="24"/>
        </w:rPr>
        <w:t xml:space="preserve"> 2008</w:t>
      </w:r>
      <w:r w:rsidRPr="00682CF3">
        <w:rPr>
          <w:rFonts w:asciiTheme="minorHAnsi" w:hAnsiTheme="minorHAnsi"/>
          <w:sz w:val="24"/>
          <w:szCs w:val="24"/>
        </w:rPr>
        <w:t>)</w:t>
      </w:r>
      <w:r w:rsidR="00452E0E" w:rsidRPr="00682CF3">
        <w:rPr>
          <w:rFonts w:asciiTheme="minorHAnsi" w:hAnsiTheme="minorHAnsi"/>
          <w:sz w:val="24"/>
          <w:szCs w:val="24"/>
        </w:rPr>
        <w:t>,</w:t>
      </w:r>
      <w:r w:rsidRPr="00682CF3">
        <w:rPr>
          <w:rFonts w:asciiTheme="minorHAnsi" w:hAnsiTheme="minorHAnsi"/>
          <w:sz w:val="24"/>
          <w:szCs w:val="24"/>
        </w:rPr>
        <w:t xml:space="preserve"> το</w:t>
      </w:r>
      <w:r w:rsidRPr="005A464E">
        <w:rPr>
          <w:sz w:val="24"/>
          <w:szCs w:val="24"/>
        </w:rPr>
        <w:t xml:space="preserve"> φύλο (</w:t>
      </w:r>
      <w:r w:rsidRPr="005A464E">
        <w:rPr>
          <w:sz w:val="24"/>
          <w:szCs w:val="24"/>
          <w:lang w:val="en-US"/>
        </w:rPr>
        <w:t>Saran</w:t>
      </w:r>
      <w:r w:rsidR="00B91D64" w:rsidRPr="005A464E">
        <w:rPr>
          <w:sz w:val="24"/>
          <w:szCs w:val="24"/>
        </w:rPr>
        <w:t xml:space="preserve"> </w:t>
      </w:r>
      <w:r w:rsidR="00566CAA">
        <w:rPr>
          <w:sz w:val="24"/>
          <w:szCs w:val="24"/>
        </w:rPr>
        <w:t>et al</w:t>
      </w:r>
      <w:r w:rsidR="003041EB">
        <w:rPr>
          <w:sz w:val="24"/>
          <w:szCs w:val="24"/>
        </w:rPr>
        <w:t>.</w:t>
      </w:r>
      <w:r w:rsidR="00CE01B5" w:rsidRPr="00CE01B5">
        <w:rPr>
          <w:sz w:val="24"/>
          <w:szCs w:val="24"/>
        </w:rPr>
        <w:t>,</w:t>
      </w:r>
      <w:r w:rsidRPr="005A464E">
        <w:rPr>
          <w:sz w:val="24"/>
          <w:szCs w:val="24"/>
        </w:rPr>
        <w:t xml:space="preserve"> 2003; </w:t>
      </w:r>
      <w:r w:rsidRPr="005A464E">
        <w:rPr>
          <w:sz w:val="24"/>
          <w:szCs w:val="24"/>
          <w:lang w:val="en-US"/>
        </w:rPr>
        <w:t>Tentori</w:t>
      </w:r>
      <w:r w:rsidR="00B91D64" w:rsidRPr="005A464E">
        <w:rPr>
          <w:sz w:val="24"/>
          <w:szCs w:val="24"/>
        </w:rPr>
        <w:t xml:space="preserve"> </w:t>
      </w:r>
      <w:r w:rsidR="00566CAA">
        <w:rPr>
          <w:sz w:val="24"/>
          <w:szCs w:val="24"/>
        </w:rPr>
        <w:t>et al</w:t>
      </w:r>
      <w:r w:rsidR="003041EB" w:rsidRPr="003041EB">
        <w:rPr>
          <w:sz w:val="24"/>
          <w:szCs w:val="24"/>
        </w:rPr>
        <w:t>.</w:t>
      </w:r>
      <w:r w:rsidR="00CE01B5" w:rsidRPr="00CE01B5">
        <w:rPr>
          <w:sz w:val="24"/>
          <w:szCs w:val="24"/>
        </w:rPr>
        <w:t>,</w:t>
      </w:r>
      <w:r w:rsidRPr="005A464E">
        <w:rPr>
          <w:sz w:val="24"/>
          <w:szCs w:val="24"/>
        </w:rPr>
        <w:t xml:space="preserve"> 2007; </w:t>
      </w:r>
      <w:r w:rsidRPr="005A464E">
        <w:rPr>
          <w:sz w:val="24"/>
          <w:szCs w:val="24"/>
          <w:lang w:val="en-US"/>
        </w:rPr>
        <w:t>Bland</w:t>
      </w:r>
      <w:r w:rsidR="003041EB" w:rsidRPr="003041EB">
        <w:rPr>
          <w:sz w:val="24"/>
          <w:szCs w:val="24"/>
        </w:rPr>
        <w:t>,</w:t>
      </w:r>
      <w:r w:rsidR="00B91D64" w:rsidRPr="005A464E">
        <w:rPr>
          <w:sz w:val="24"/>
          <w:szCs w:val="24"/>
        </w:rPr>
        <w:t xml:space="preserve"> </w:t>
      </w:r>
      <w:r w:rsidR="003041EB" w:rsidRPr="003041EB">
        <w:rPr>
          <w:rFonts w:eastAsia="Times New Roman" w:cstheme="minorHAnsi"/>
          <w:sz w:val="24"/>
          <w:szCs w:val="24"/>
          <w:lang w:val="en-US" w:eastAsia="el-GR"/>
        </w:rPr>
        <w:t>Cottrell</w:t>
      </w:r>
      <w:r w:rsidR="003041EB" w:rsidRPr="003041EB">
        <w:rPr>
          <w:rFonts w:eastAsia="Times New Roman" w:cstheme="minorHAnsi"/>
          <w:sz w:val="24"/>
          <w:szCs w:val="24"/>
          <w:lang w:eastAsia="el-GR"/>
        </w:rPr>
        <w:t xml:space="preserve"> &amp; </w:t>
      </w:r>
      <w:r w:rsidR="003041EB" w:rsidRPr="003041EB">
        <w:rPr>
          <w:rFonts w:eastAsia="Times New Roman" w:cstheme="minorHAnsi"/>
          <w:sz w:val="24"/>
          <w:szCs w:val="24"/>
          <w:lang w:val="en-US" w:eastAsia="el-GR"/>
        </w:rPr>
        <w:t>Guyler</w:t>
      </w:r>
      <w:r w:rsidR="00CE01B5" w:rsidRPr="00CE01B5">
        <w:rPr>
          <w:rFonts w:eastAsia="Times New Roman" w:cstheme="minorHAnsi"/>
          <w:sz w:val="24"/>
          <w:szCs w:val="24"/>
          <w:lang w:eastAsia="el-GR"/>
        </w:rPr>
        <w:t>,</w:t>
      </w:r>
      <w:r w:rsidR="003041EB" w:rsidRPr="003041EB">
        <w:rPr>
          <w:sz w:val="24"/>
          <w:szCs w:val="24"/>
        </w:rPr>
        <w:t xml:space="preserve"> </w:t>
      </w:r>
      <w:r w:rsidRPr="005A464E">
        <w:rPr>
          <w:sz w:val="24"/>
          <w:szCs w:val="24"/>
        </w:rPr>
        <w:t xml:space="preserve">2008; </w:t>
      </w:r>
      <w:r w:rsidRPr="005A464E">
        <w:rPr>
          <w:sz w:val="24"/>
          <w:szCs w:val="24"/>
          <w:lang w:val="en-US"/>
        </w:rPr>
        <w:t>Chan</w:t>
      </w:r>
      <w:r w:rsidR="0062205E">
        <w:rPr>
          <w:sz w:val="24"/>
          <w:szCs w:val="24"/>
        </w:rPr>
        <w:t xml:space="preserve"> </w:t>
      </w:r>
      <w:r w:rsidR="0062205E">
        <w:rPr>
          <w:sz w:val="24"/>
          <w:szCs w:val="24"/>
          <w:lang w:val="en-US"/>
        </w:rPr>
        <w:t>et</w:t>
      </w:r>
      <w:r w:rsidR="0062205E" w:rsidRPr="0062205E">
        <w:rPr>
          <w:sz w:val="24"/>
          <w:szCs w:val="24"/>
        </w:rPr>
        <w:t xml:space="preserve"> </w:t>
      </w:r>
      <w:r w:rsidR="0062205E">
        <w:rPr>
          <w:sz w:val="24"/>
          <w:szCs w:val="24"/>
          <w:lang w:val="en-US"/>
        </w:rPr>
        <w:t>al</w:t>
      </w:r>
      <w:r w:rsidR="0062205E" w:rsidRPr="0062205E">
        <w:rPr>
          <w:sz w:val="24"/>
          <w:szCs w:val="24"/>
        </w:rPr>
        <w:t xml:space="preserve">., </w:t>
      </w:r>
      <w:r w:rsidR="006460B8">
        <w:rPr>
          <w:sz w:val="24"/>
          <w:szCs w:val="24"/>
        </w:rPr>
        <w:t>2012</w:t>
      </w:r>
      <w:r w:rsidRPr="005A464E">
        <w:rPr>
          <w:sz w:val="24"/>
          <w:szCs w:val="24"/>
        </w:rPr>
        <w:t xml:space="preserve">; </w:t>
      </w:r>
      <w:r w:rsidRPr="005A464E">
        <w:rPr>
          <w:sz w:val="24"/>
          <w:szCs w:val="24"/>
          <w:lang w:val="en-US"/>
        </w:rPr>
        <w:t>Theofilou</w:t>
      </w:r>
      <w:r w:rsidR="006460B8" w:rsidRPr="006460B8">
        <w:rPr>
          <w:sz w:val="24"/>
          <w:szCs w:val="24"/>
        </w:rPr>
        <w:t>,</w:t>
      </w:r>
      <w:r w:rsidR="00452E0E" w:rsidRPr="005A464E">
        <w:rPr>
          <w:sz w:val="24"/>
          <w:szCs w:val="24"/>
        </w:rPr>
        <w:t xml:space="preserve"> 2012</w:t>
      </w:r>
      <w:r w:rsidR="0076403B" w:rsidRPr="005A464E">
        <w:rPr>
          <w:sz w:val="24"/>
          <w:szCs w:val="24"/>
          <w:lang w:val="en-US"/>
        </w:rPr>
        <w:t>b</w:t>
      </w:r>
      <w:r w:rsidRPr="005A464E">
        <w:rPr>
          <w:sz w:val="24"/>
          <w:szCs w:val="24"/>
        </w:rPr>
        <w:t>)</w:t>
      </w:r>
      <w:r w:rsidR="00452E0E" w:rsidRPr="005A464E">
        <w:rPr>
          <w:sz w:val="24"/>
          <w:szCs w:val="24"/>
        </w:rPr>
        <w:t>,</w:t>
      </w:r>
      <w:r w:rsidRPr="005A464E">
        <w:rPr>
          <w:sz w:val="24"/>
          <w:szCs w:val="24"/>
        </w:rPr>
        <w:t xml:space="preserve"> το </w:t>
      </w:r>
      <w:r w:rsidR="000D053B">
        <w:rPr>
          <w:sz w:val="24"/>
          <w:szCs w:val="24"/>
        </w:rPr>
        <w:t>εκπαιδευτικό</w:t>
      </w:r>
      <w:r w:rsidRPr="005A464E">
        <w:rPr>
          <w:sz w:val="24"/>
          <w:szCs w:val="24"/>
        </w:rPr>
        <w:t xml:space="preserve"> επίπεδο (</w:t>
      </w:r>
      <w:r w:rsidR="00E05163" w:rsidRPr="003041EB">
        <w:rPr>
          <w:sz w:val="24"/>
          <w:szCs w:val="24"/>
          <w:lang w:val="en-US"/>
        </w:rPr>
        <w:t>Safdar</w:t>
      </w:r>
      <w:r w:rsidR="00E05163" w:rsidRPr="005A464E">
        <w:rPr>
          <w:sz w:val="24"/>
          <w:szCs w:val="24"/>
        </w:rPr>
        <w:t xml:space="preserve"> </w:t>
      </w:r>
      <w:r w:rsidR="00E05163">
        <w:rPr>
          <w:sz w:val="24"/>
          <w:szCs w:val="24"/>
        </w:rPr>
        <w:t>et al.</w:t>
      </w:r>
      <w:r w:rsidR="00E05163" w:rsidRPr="00682CF3">
        <w:rPr>
          <w:sz w:val="24"/>
          <w:szCs w:val="24"/>
        </w:rPr>
        <w:t>,</w:t>
      </w:r>
      <w:r w:rsidR="00E05163" w:rsidRPr="005A464E">
        <w:rPr>
          <w:sz w:val="24"/>
          <w:szCs w:val="24"/>
        </w:rPr>
        <w:t xml:space="preserve"> 1995</w:t>
      </w:r>
      <w:r w:rsidR="00E05163">
        <w:rPr>
          <w:sz w:val="24"/>
          <w:szCs w:val="24"/>
        </w:rPr>
        <w:t xml:space="preserve">; </w:t>
      </w:r>
      <w:r w:rsidRPr="005A464E">
        <w:rPr>
          <w:sz w:val="24"/>
          <w:szCs w:val="24"/>
          <w:lang w:val="en-US"/>
        </w:rPr>
        <w:t>Unruh</w:t>
      </w:r>
      <w:r w:rsidR="00B91D64" w:rsidRPr="005A464E">
        <w:rPr>
          <w:sz w:val="24"/>
          <w:szCs w:val="24"/>
        </w:rPr>
        <w:t xml:space="preserve"> </w:t>
      </w:r>
      <w:r w:rsidR="00566CAA">
        <w:rPr>
          <w:sz w:val="24"/>
          <w:szCs w:val="24"/>
        </w:rPr>
        <w:t>et al</w:t>
      </w:r>
      <w:r w:rsidR="003041EB">
        <w:rPr>
          <w:sz w:val="24"/>
          <w:szCs w:val="24"/>
        </w:rPr>
        <w:t>.</w:t>
      </w:r>
      <w:r w:rsidR="00D75F89" w:rsidRPr="00D75F89">
        <w:rPr>
          <w:sz w:val="24"/>
          <w:szCs w:val="24"/>
        </w:rPr>
        <w:t>,</w:t>
      </w:r>
      <w:r w:rsidRPr="005A464E">
        <w:rPr>
          <w:sz w:val="24"/>
          <w:szCs w:val="24"/>
        </w:rPr>
        <w:t xml:space="preserve"> 2005</w:t>
      </w:r>
      <w:r w:rsidRPr="003041EB">
        <w:rPr>
          <w:sz w:val="24"/>
          <w:szCs w:val="24"/>
        </w:rPr>
        <w:t xml:space="preserve">; </w:t>
      </w:r>
      <w:r w:rsidRPr="003041EB">
        <w:rPr>
          <w:sz w:val="24"/>
          <w:szCs w:val="24"/>
          <w:lang w:val="en-US"/>
        </w:rPr>
        <w:t>Bland</w:t>
      </w:r>
      <w:r w:rsidR="003041EB" w:rsidRPr="003041EB">
        <w:rPr>
          <w:sz w:val="24"/>
          <w:szCs w:val="24"/>
        </w:rPr>
        <w:t xml:space="preserve">, </w:t>
      </w:r>
      <w:r w:rsidR="003041EB" w:rsidRPr="003041EB">
        <w:rPr>
          <w:rFonts w:eastAsia="Times New Roman" w:cstheme="minorHAnsi"/>
          <w:sz w:val="24"/>
          <w:szCs w:val="24"/>
          <w:lang w:val="en-US" w:eastAsia="el-GR"/>
        </w:rPr>
        <w:t>Cottrell</w:t>
      </w:r>
      <w:r w:rsidR="003041EB" w:rsidRPr="003041EB">
        <w:rPr>
          <w:rFonts w:eastAsia="Times New Roman" w:cstheme="minorHAnsi"/>
          <w:sz w:val="24"/>
          <w:szCs w:val="24"/>
          <w:lang w:eastAsia="el-GR"/>
        </w:rPr>
        <w:t xml:space="preserve"> &amp; </w:t>
      </w:r>
      <w:r w:rsidR="003041EB" w:rsidRPr="003041EB">
        <w:rPr>
          <w:rFonts w:eastAsia="Times New Roman" w:cstheme="minorHAnsi"/>
          <w:sz w:val="24"/>
          <w:szCs w:val="24"/>
          <w:lang w:val="en-US" w:eastAsia="el-GR"/>
        </w:rPr>
        <w:t>Guyler</w:t>
      </w:r>
      <w:r w:rsidR="00E05163">
        <w:rPr>
          <w:sz w:val="24"/>
          <w:szCs w:val="24"/>
        </w:rPr>
        <w:t xml:space="preserve"> 2008</w:t>
      </w:r>
      <w:r w:rsidRPr="005A464E">
        <w:rPr>
          <w:sz w:val="24"/>
          <w:szCs w:val="24"/>
        </w:rPr>
        <w:t>)</w:t>
      </w:r>
      <w:r w:rsidR="00452E0E" w:rsidRPr="005A464E">
        <w:rPr>
          <w:sz w:val="24"/>
          <w:szCs w:val="24"/>
        </w:rPr>
        <w:t>,</w:t>
      </w:r>
      <w:r w:rsidRPr="005A464E">
        <w:rPr>
          <w:sz w:val="24"/>
          <w:szCs w:val="24"/>
        </w:rPr>
        <w:t xml:space="preserve"> η εργασία (</w:t>
      </w:r>
      <w:r w:rsidRPr="005A464E">
        <w:rPr>
          <w:sz w:val="24"/>
          <w:szCs w:val="24"/>
          <w:lang w:val="en-US"/>
        </w:rPr>
        <w:t>Kugler</w:t>
      </w:r>
      <w:r w:rsidR="007B503D" w:rsidRPr="007B503D">
        <w:rPr>
          <w:sz w:val="24"/>
          <w:szCs w:val="24"/>
        </w:rPr>
        <w:t xml:space="preserve">, </w:t>
      </w:r>
      <w:r w:rsidR="007B503D" w:rsidRPr="007B503D">
        <w:rPr>
          <w:rFonts w:asciiTheme="minorHAnsi" w:hAnsiTheme="minorHAnsi" w:cstheme="minorHAnsi"/>
          <w:sz w:val="24"/>
          <w:szCs w:val="24"/>
          <w:lang w:val="en-US"/>
        </w:rPr>
        <w:t>Vlaminck</w:t>
      </w:r>
      <w:r w:rsidR="007B503D" w:rsidRPr="007B503D">
        <w:rPr>
          <w:rFonts w:asciiTheme="minorHAnsi" w:hAnsiTheme="minorHAnsi" w:cstheme="minorHAnsi"/>
          <w:sz w:val="24"/>
          <w:szCs w:val="24"/>
        </w:rPr>
        <w:t xml:space="preserve">, </w:t>
      </w:r>
      <w:r w:rsidR="007B503D" w:rsidRPr="007B503D">
        <w:rPr>
          <w:rFonts w:asciiTheme="minorHAnsi" w:hAnsiTheme="minorHAnsi" w:cstheme="minorHAnsi"/>
          <w:sz w:val="24"/>
          <w:szCs w:val="24"/>
          <w:lang w:val="en-US"/>
        </w:rPr>
        <w:t>Haverich</w:t>
      </w:r>
      <w:r w:rsidR="007B503D" w:rsidRPr="007B503D">
        <w:rPr>
          <w:rFonts w:asciiTheme="minorHAnsi" w:hAnsiTheme="minorHAnsi" w:cstheme="minorHAnsi"/>
          <w:sz w:val="24"/>
          <w:szCs w:val="24"/>
        </w:rPr>
        <w:t xml:space="preserve">, &amp; </w:t>
      </w:r>
      <w:r w:rsidR="007B503D" w:rsidRPr="007B503D">
        <w:rPr>
          <w:rFonts w:asciiTheme="minorHAnsi" w:hAnsiTheme="minorHAnsi" w:cstheme="minorHAnsi"/>
          <w:sz w:val="24"/>
          <w:szCs w:val="24"/>
          <w:lang w:val="en-US"/>
        </w:rPr>
        <w:t>Maes</w:t>
      </w:r>
      <w:r w:rsidR="007B503D" w:rsidRPr="007B503D">
        <w:rPr>
          <w:rFonts w:asciiTheme="minorHAnsi" w:hAnsiTheme="minorHAnsi" w:cstheme="minorHAnsi"/>
          <w:sz w:val="24"/>
          <w:szCs w:val="24"/>
        </w:rPr>
        <w:t>,</w:t>
      </w:r>
      <w:r w:rsidR="007B503D" w:rsidRPr="007B503D">
        <w:rPr>
          <w:sz w:val="24"/>
          <w:szCs w:val="24"/>
        </w:rPr>
        <w:t xml:space="preserve"> </w:t>
      </w:r>
      <w:r w:rsidRPr="007B503D">
        <w:rPr>
          <w:sz w:val="24"/>
          <w:szCs w:val="24"/>
        </w:rPr>
        <w:t>2005</w:t>
      </w:r>
      <w:r w:rsidR="00E05163">
        <w:rPr>
          <w:sz w:val="24"/>
          <w:szCs w:val="24"/>
        </w:rPr>
        <w:t>;</w:t>
      </w:r>
      <w:r w:rsidR="00E05163" w:rsidRPr="00E05163">
        <w:rPr>
          <w:sz w:val="24"/>
          <w:szCs w:val="24"/>
        </w:rPr>
        <w:t xml:space="preserve"> </w:t>
      </w:r>
      <w:r w:rsidR="00E05163" w:rsidRPr="005A464E">
        <w:rPr>
          <w:sz w:val="24"/>
          <w:szCs w:val="24"/>
          <w:lang w:val="en-US"/>
        </w:rPr>
        <w:t>Theofilou</w:t>
      </w:r>
      <w:r w:rsidR="00E05163">
        <w:rPr>
          <w:sz w:val="24"/>
          <w:szCs w:val="24"/>
        </w:rPr>
        <w:t>, 2013</w:t>
      </w:r>
      <w:r w:rsidRPr="007B503D">
        <w:rPr>
          <w:sz w:val="24"/>
          <w:szCs w:val="24"/>
        </w:rPr>
        <w:t>),</w:t>
      </w:r>
      <w:r w:rsidR="00672A72" w:rsidRPr="005A464E">
        <w:rPr>
          <w:sz w:val="24"/>
          <w:szCs w:val="24"/>
        </w:rPr>
        <w:t xml:space="preserve"> </w:t>
      </w:r>
      <w:r w:rsidRPr="005A464E">
        <w:rPr>
          <w:sz w:val="24"/>
          <w:szCs w:val="24"/>
        </w:rPr>
        <w:t>η οικογενειακή κατάσταση (</w:t>
      </w:r>
      <w:r w:rsidR="00FA0C2D" w:rsidRPr="00C71CA6">
        <w:rPr>
          <w:sz w:val="24"/>
          <w:szCs w:val="24"/>
          <w:lang w:val="en-US"/>
        </w:rPr>
        <w:t>Kugler</w:t>
      </w:r>
      <w:r w:rsidR="00FA0C2D" w:rsidRPr="005A464E">
        <w:rPr>
          <w:sz w:val="24"/>
          <w:szCs w:val="24"/>
        </w:rPr>
        <w:t xml:space="preserve"> </w:t>
      </w:r>
      <w:r w:rsidR="00FA0C2D">
        <w:rPr>
          <w:sz w:val="24"/>
          <w:szCs w:val="24"/>
        </w:rPr>
        <w:t>et al.</w:t>
      </w:r>
      <w:r w:rsidR="00FA0C2D" w:rsidRPr="007B503D">
        <w:rPr>
          <w:sz w:val="24"/>
          <w:szCs w:val="24"/>
        </w:rPr>
        <w:t>,</w:t>
      </w:r>
      <w:r w:rsidR="00FA0C2D" w:rsidRPr="005A464E">
        <w:rPr>
          <w:sz w:val="24"/>
          <w:szCs w:val="24"/>
        </w:rPr>
        <w:t xml:space="preserve"> 2005; </w:t>
      </w:r>
      <w:r w:rsidR="00FA0C2D" w:rsidRPr="005A464E">
        <w:rPr>
          <w:sz w:val="24"/>
          <w:szCs w:val="24"/>
          <w:lang w:val="en-US"/>
        </w:rPr>
        <w:t>Kara</w:t>
      </w:r>
      <w:r w:rsidR="00FA0C2D" w:rsidRPr="007B503D">
        <w:rPr>
          <w:sz w:val="24"/>
          <w:szCs w:val="24"/>
        </w:rPr>
        <w:t xml:space="preserve"> </w:t>
      </w:r>
      <w:r w:rsidR="00FA0C2D">
        <w:rPr>
          <w:sz w:val="24"/>
          <w:szCs w:val="24"/>
          <w:lang w:val="en-US"/>
        </w:rPr>
        <w:t>et</w:t>
      </w:r>
      <w:r w:rsidR="00FA0C2D" w:rsidRPr="007B503D">
        <w:rPr>
          <w:sz w:val="24"/>
          <w:szCs w:val="24"/>
        </w:rPr>
        <w:t xml:space="preserve"> </w:t>
      </w:r>
      <w:r w:rsidR="00FA0C2D">
        <w:rPr>
          <w:sz w:val="24"/>
          <w:szCs w:val="24"/>
          <w:lang w:val="en-US"/>
        </w:rPr>
        <w:t>al</w:t>
      </w:r>
      <w:r w:rsidR="00FA0C2D" w:rsidRPr="007B503D">
        <w:rPr>
          <w:sz w:val="24"/>
          <w:szCs w:val="24"/>
        </w:rPr>
        <w:t xml:space="preserve">., </w:t>
      </w:r>
      <w:r w:rsidR="00FA0C2D" w:rsidRPr="005A464E">
        <w:rPr>
          <w:sz w:val="24"/>
          <w:szCs w:val="24"/>
        </w:rPr>
        <w:t>2007</w:t>
      </w:r>
      <w:r w:rsidR="00FA0C2D">
        <w:rPr>
          <w:sz w:val="24"/>
          <w:szCs w:val="24"/>
        </w:rPr>
        <w:t xml:space="preserve">; </w:t>
      </w:r>
      <w:r w:rsidRPr="005A464E">
        <w:rPr>
          <w:sz w:val="24"/>
          <w:szCs w:val="24"/>
          <w:lang w:val="en-US"/>
        </w:rPr>
        <w:t>Smith</w:t>
      </w:r>
      <w:r w:rsidR="00C71CA6" w:rsidRPr="00C71CA6">
        <w:rPr>
          <w:sz w:val="24"/>
          <w:szCs w:val="24"/>
        </w:rPr>
        <w:t>,</w:t>
      </w:r>
      <w:r w:rsidRPr="00C71CA6">
        <w:rPr>
          <w:sz w:val="24"/>
          <w:szCs w:val="24"/>
        </w:rPr>
        <w:t xml:space="preserve"> </w:t>
      </w:r>
      <w:r w:rsidR="00C71CA6" w:rsidRPr="00C71CA6">
        <w:rPr>
          <w:rFonts w:asciiTheme="minorHAnsi" w:eastAsia="Times New Roman" w:hAnsiTheme="minorHAnsi" w:cstheme="minorHAnsi"/>
          <w:sz w:val="24"/>
          <w:szCs w:val="24"/>
          <w:lang w:val="en-US" w:eastAsia="el-GR"/>
        </w:rPr>
        <w:t>Coston</w:t>
      </w:r>
      <w:r w:rsidR="00C71CA6" w:rsidRPr="00C71CA6">
        <w:rPr>
          <w:rFonts w:asciiTheme="minorHAnsi" w:eastAsia="Times New Roman" w:hAnsiTheme="minorHAnsi" w:cstheme="minorHAnsi"/>
          <w:sz w:val="24"/>
          <w:szCs w:val="24"/>
          <w:lang w:eastAsia="el-GR"/>
        </w:rPr>
        <w:t xml:space="preserve">, </w:t>
      </w:r>
      <w:r w:rsidR="00C71CA6" w:rsidRPr="00C71CA6">
        <w:rPr>
          <w:rFonts w:asciiTheme="minorHAnsi" w:eastAsia="Times New Roman" w:hAnsiTheme="minorHAnsi" w:cstheme="minorHAnsi"/>
          <w:sz w:val="24"/>
          <w:szCs w:val="24"/>
          <w:lang w:val="en-US" w:eastAsia="el-GR"/>
        </w:rPr>
        <w:t>Glock</w:t>
      </w:r>
      <w:r w:rsidR="00C71CA6" w:rsidRPr="00C71CA6">
        <w:rPr>
          <w:rFonts w:asciiTheme="minorHAnsi" w:eastAsia="Times New Roman" w:hAnsiTheme="minorHAnsi" w:cstheme="minorHAnsi"/>
          <w:sz w:val="24"/>
          <w:szCs w:val="24"/>
          <w:lang w:eastAsia="el-GR"/>
        </w:rPr>
        <w:t xml:space="preserve">, </w:t>
      </w:r>
      <w:r w:rsidR="00C71CA6" w:rsidRPr="00C71CA6">
        <w:rPr>
          <w:rFonts w:asciiTheme="minorHAnsi" w:eastAsia="Times New Roman" w:hAnsiTheme="minorHAnsi" w:cstheme="minorHAnsi"/>
          <w:sz w:val="24"/>
          <w:szCs w:val="24"/>
          <w:lang w:val="en-US" w:eastAsia="el-GR"/>
        </w:rPr>
        <w:t>Elasy</w:t>
      </w:r>
      <w:r w:rsidR="00C71CA6" w:rsidRPr="00C71CA6">
        <w:rPr>
          <w:rFonts w:asciiTheme="minorHAnsi" w:eastAsia="Times New Roman" w:hAnsiTheme="minorHAnsi" w:cstheme="minorHAnsi"/>
          <w:sz w:val="24"/>
          <w:szCs w:val="24"/>
          <w:lang w:eastAsia="el-GR"/>
        </w:rPr>
        <w:t xml:space="preserve">, &amp; </w:t>
      </w:r>
      <w:r w:rsidR="00C71CA6" w:rsidRPr="00C71CA6">
        <w:rPr>
          <w:rFonts w:asciiTheme="minorHAnsi" w:eastAsia="Times New Roman" w:hAnsiTheme="minorHAnsi" w:cstheme="minorHAnsi"/>
          <w:sz w:val="24"/>
          <w:szCs w:val="24"/>
          <w:lang w:val="en-US" w:eastAsia="el-GR"/>
        </w:rPr>
        <w:t>Wallston</w:t>
      </w:r>
      <w:r w:rsidR="00C71CA6" w:rsidRPr="00C71CA6">
        <w:rPr>
          <w:sz w:val="24"/>
          <w:szCs w:val="24"/>
        </w:rPr>
        <w:t>,</w:t>
      </w:r>
      <w:r w:rsidR="006460B8" w:rsidRPr="00C71CA6">
        <w:rPr>
          <w:sz w:val="24"/>
          <w:szCs w:val="24"/>
        </w:rPr>
        <w:t xml:space="preserve"> </w:t>
      </w:r>
      <w:r w:rsidR="00FA0C2D">
        <w:rPr>
          <w:sz w:val="24"/>
          <w:szCs w:val="24"/>
        </w:rPr>
        <w:t>2010;</w:t>
      </w:r>
      <w:r w:rsidR="00FA0C2D" w:rsidRPr="00FA0C2D">
        <w:rPr>
          <w:sz w:val="24"/>
          <w:szCs w:val="24"/>
        </w:rPr>
        <w:t xml:space="preserve"> </w:t>
      </w:r>
      <w:r w:rsidR="00FA0C2D" w:rsidRPr="005A464E">
        <w:rPr>
          <w:sz w:val="24"/>
          <w:szCs w:val="24"/>
        </w:rPr>
        <w:t>Kauric-Klein</w:t>
      </w:r>
      <w:r w:rsidR="00FA0C2D">
        <w:rPr>
          <w:sz w:val="24"/>
          <w:szCs w:val="24"/>
        </w:rPr>
        <w:t>, 2013</w:t>
      </w:r>
      <w:r w:rsidRPr="005A464E">
        <w:rPr>
          <w:sz w:val="24"/>
          <w:szCs w:val="24"/>
        </w:rPr>
        <w:t>)</w:t>
      </w:r>
      <w:r w:rsidR="00331193" w:rsidRPr="005A464E">
        <w:rPr>
          <w:sz w:val="24"/>
          <w:szCs w:val="24"/>
        </w:rPr>
        <w:t>.</w:t>
      </w:r>
    </w:p>
    <w:p w:rsidR="00AD5F6D" w:rsidRPr="005A464E" w:rsidRDefault="00AD5F6D" w:rsidP="005A464E">
      <w:pPr>
        <w:spacing w:line="360" w:lineRule="auto"/>
        <w:jc w:val="both"/>
        <w:rPr>
          <w:sz w:val="24"/>
          <w:szCs w:val="24"/>
        </w:rPr>
      </w:pPr>
      <w:r w:rsidRPr="005A464E">
        <w:rPr>
          <w:sz w:val="24"/>
          <w:szCs w:val="24"/>
          <w:lang w:val="en-US"/>
        </w:rPr>
        <w:t>O</w:t>
      </w:r>
      <w:r w:rsidR="00452E0E" w:rsidRPr="005A464E">
        <w:rPr>
          <w:sz w:val="24"/>
          <w:szCs w:val="24"/>
        </w:rPr>
        <w:t>ι</w:t>
      </w:r>
      <w:r w:rsidR="00331193" w:rsidRPr="005A464E">
        <w:rPr>
          <w:sz w:val="24"/>
          <w:szCs w:val="24"/>
        </w:rPr>
        <w:t xml:space="preserve"> μελέτες που έχουν αναλύσει</w:t>
      </w:r>
      <w:r w:rsidRPr="005A464E">
        <w:rPr>
          <w:sz w:val="24"/>
          <w:szCs w:val="24"/>
        </w:rPr>
        <w:t xml:space="preserve"> τα δημογραφικά χαρακτηριστικά </w:t>
      </w:r>
      <w:r w:rsidR="00FA0C2D">
        <w:rPr>
          <w:sz w:val="24"/>
          <w:szCs w:val="24"/>
        </w:rPr>
        <w:t xml:space="preserve">ως παράγοντες μη συμμόρφωσης </w:t>
      </w:r>
      <w:r w:rsidR="00B0560D">
        <w:rPr>
          <w:sz w:val="24"/>
          <w:szCs w:val="24"/>
        </w:rPr>
        <w:t>του ασθενούς</w:t>
      </w:r>
      <w:r w:rsidRPr="005A464E">
        <w:rPr>
          <w:sz w:val="24"/>
          <w:szCs w:val="24"/>
        </w:rPr>
        <w:t xml:space="preserve"> συνοψίζονται παρακάτω.</w:t>
      </w:r>
    </w:p>
    <w:tbl>
      <w:tblPr>
        <w:tblStyle w:val="-41"/>
        <w:tblW w:w="5000" w:type="pct"/>
        <w:tblLook w:val="06A0"/>
      </w:tblPr>
      <w:tblGrid>
        <w:gridCol w:w="2130"/>
        <w:gridCol w:w="2130"/>
        <w:gridCol w:w="2131"/>
        <w:gridCol w:w="2131"/>
      </w:tblGrid>
      <w:tr w:rsidR="00AD5F6D" w:rsidRPr="00872FD2" w:rsidTr="00995094">
        <w:trPr>
          <w:cnfStyle w:val="100000000000"/>
        </w:trPr>
        <w:tc>
          <w:tcPr>
            <w:cnfStyle w:val="001000000000"/>
            <w:tcW w:w="1250" w:type="pct"/>
          </w:tcPr>
          <w:p w:rsidR="00AD5F6D" w:rsidRPr="00FA0C2D" w:rsidRDefault="00FA0C2D" w:rsidP="00FA0C2D">
            <w:pPr>
              <w:spacing w:after="0" w:line="360" w:lineRule="auto"/>
              <w:rPr>
                <w:rFonts w:asciiTheme="minorHAnsi" w:hAnsiTheme="minorHAnsi"/>
                <w:b w:val="0"/>
                <w:bCs w:val="0"/>
                <w:color w:val="000000"/>
              </w:rPr>
            </w:pPr>
            <w:r>
              <w:rPr>
                <w:rFonts w:asciiTheme="minorHAnsi" w:hAnsiTheme="minorHAnsi"/>
                <w:color w:val="000000"/>
              </w:rPr>
              <w:t>Συγγραφέας</w:t>
            </w:r>
          </w:p>
        </w:tc>
        <w:tc>
          <w:tcPr>
            <w:tcW w:w="1250" w:type="pct"/>
          </w:tcPr>
          <w:p w:rsidR="00AD5F6D" w:rsidRPr="00FA0C2D" w:rsidRDefault="00FA0C2D" w:rsidP="00FA0C2D">
            <w:pPr>
              <w:spacing w:after="0" w:line="360" w:lineRule="auto"/>
              <w:cnfStyle w:val="100000000000"/>
              <w:rPr>
                <w:rFonts w:asciiTheme="minorHAnsi" w:hAnsiTheme="minorHAnsi"/>
                <w:b w:val="0"/>
                <w:bCs w:val="0"/>
                <w:color w:val="000000"/>
              </w:rPr>
            </w:pPr>
            <w:r>
              <w:rPr>
                <w:rFonts w:asciiTheme="minorHAnsi" w:hAnsiTheme="minorHAnsi"/>
                <w:color w:val="000000"/>
              </w:rPr>
              <w:t>Θετική επίδραση</w:t>
            </w:r>
          </w:p>
        </w:tc>
        <w:tc>
          <w:tcPr>
            <w:tcW w:w="1250" w:type="pct"/>
          </w:tcPr>
          <w:p w:rsidR="00AD5F6D" w:rsidRPr="00FA0C2D" w:rsidRDefault="00FA0C2D" w:rsidP="00FA0C2D">
            <w:pPr>
              <w:spacing w:after="0" w:line="360" w:lineRule="auto"/>
              <w:cnfStyle w:val="100000000000"/>
              <w:rPr>
                <w:rFonts w:asciiTheme="minorHAnsi" w:hAnsiTheme="minorHAnsi"/>
                <w:b w:val="0"/>
                <w:bCs w:val="0"/>
                <w:color w:val="000000"/>
              </w:rPr>
            </w:pPr>
            <w:r>
              <w:rPr>
                <w:rFonts w:asciiTheme="minorHAnsi" w:hAnsiTheme="minorHAnsi"/>
                <w:color w:val="000000"/>
              </w:rPr>
              <w:t>Αρνητική επίδραση</w:t>
            </w:r>
          </w:p>
        </w:tc>
        <w:tc>
          <w:tcPr>
            <w:tcW w:w="1250" w:type="pct"/>
          </w:tcPr>
          <w:p w:rsidR="00AD5F6D" w:rsidRPr="00FA0C2D" w:rsidRDefault="00FA0C2D" w:rsidP="00FA0C2D">
            <w:pPr>
              <w:spacing w:after="0" w:line="360" w:lineRule="auto"/>
              <w:cnfStyle w:val="100000000000"/>
              <w:rPr>
                <w:rFonts w:asciiTheme="minorHAnsi" w:hAnsiTheme="minorHAnsi"/>
                <w:b w:val="0"/>
                <w:bCs w:val="0"/>
                <w:color w:val="000000"/>
              </w:rPr>
            </w:pPr>
            <w:r>
              <w:rPr>
                <w:rFonts w:asciiTheme="minorHAnsi" w:hAnsiTheme="minorHAnsi"/>
                <w:color w:val="000000"/>
              </w:rPr>
              <w:t>Ουδέτερη επίδραση</w:t>
            </w:r>
          </w:p>
        </w:tc>
      </w:tr>
      <w:tr w:rsidR="00AD5F6D" w:rsidRPr="00872FD2" w:rsidTr="00995094">
        <w:trPr>
          <w:trHeight w:val="831"/>
        </w:trPr>
        <w:tc>
          <w:tcPr>
            <w:cnfStyle w:val="001000000000"/>
            <w:tcW w:w="1250" w:type="pct"/>
          </w:tcPr>
          <w:p w:rsidR="00AD5F6D" w:rsidRPr="00872FD2" w:rsidRDefault="00AD5F6D" w:rsidP="00872FD2">
            <w:pPr>
              <w:spacing w:after="0" w:line="360" w:lineRule="auto"/>
              <w:jc w:val="both"/>
              <w:rPr>
                <w:rFonts w:asciiTheme="minorHAnsi" w:hAnsiTheme="minorHAnsi"/>
                <w:color w:val="000000"/>
                <w:lang w:val="en-US"/>
              </w:rPr>
            </w:pPr>
            <w:r w:rsidRPr="00872FD2">
              <w:rPr>
                <w:rFonts w:asciiTheme="minorHAnsi" w:hAnsiTheme="minorHAnsi"/>
                <w:color w:val="000000"/>
                <w:lang w:val="en-US"/>
              </w:rPr>
              <w:t>Kauric-Klein</w:t>
            </w:r>
            <w:r w:rsidR="003041EB" w:rsidRPr="00872FD2">
              <w:rPr>
                <w:rFonts w:asciiTheme="minorHAnsi" w:hAnsiTheme="minorHAnsi"/>
                <w:color w:val="000000"/>
              </w:rPr>
              <w:t>,</w:t>
            </w:r>
            <w:r w:rsidRPr="00872FD2">
              <w:rPr>
                <w:rFonts w:asciiTheme="minorHAnsi" w:hAnsiTheme="minorHAnsi"/>
                <w:color w:val="000000"/>
                <w:lang w:val="en-US"/>
              </w:rPr>
              <w:t xml:space="preserve"> 2013</w:t>
            </w:r>
          </w:p>
        </w:tc>
        <w:tc>
          <w:tcPr>
            <w:tcW w:w="1250" w:type="pct"/>
          </w:tcPr>
          <w:p w:rsidR="00AD5F6D" w:rsidRPr="00872FD2" w:rsidRDefault="005A0289" w:rsidP="00872FD2">
            <w:pPr>
              <w:spacing w:after="0" w:line="360" w:lineRule="auto"/>
              <w:cnfStyle w:val="000000000000"/>
              <w:rPr>
                <w:rFonts w:asciiTheme="minorHAnsi" w:hAnsiTheme="minorHAnsi"/>
                <w:color w:val="000000"/>
              </w:rPr>
            </w:pPr>
            <w:r w:rsidRPr="00872FD2">
              <w:rPr>
                <w:rFonts w:asciiTheme="minorHAnsi" w:eastAsia="SimSun" w:hAnsiTheme="minorHAnsi"/>
                <w:color w:val="000000"/>
              </w:rPr>
              <w:t>Γυναικείο φύλο</w:t>
            </w:r>
          </w:p>
          <w:p w:rsidR="00AD5F6D" w:rsidRPr="00872FD2" w:rsidRDefault="005A0289" w:rsidP="00872FD2">
            <w:pPr>
              <w:spacing w:after="0" w:line="360" w:lineRule="auto"/>
              <w:cnfStyle w:val="000000000000"/>
              <w:rPr>
                <w:rFonts w:asciiTheme="minorHAnsi" w:hAnsiTheme="minorHAnsi"/>
                <w:color w:val="000000"/>
              </w:rPr>
            </w:pPr>
            <w:r w:rsidRPr="00872FD2">
              <w:rPr>
                <w:rFonts w:asciiTheme="minorHAnsi" w:hAnsiTheme="minorHAnsi"/>
                <w:color w:val="000000"/>
              </w:rPr>
              <w:t xml:space="preserve">Ηλικιωμένοι </w:t>
            </w:r>
          </w:p>
        </w:tc>
        <w:tc>
          <w:tcPr>
            <w:tcW w:w="1250" w:type="pct"/>
          </w:tcPr>
          <w:p w:rsidR="00AD5F6D" w:rsidRPr="00872FD2" w:rsidRDefault="005A0289" w:rsidP="00872FD2">
            <w:pPr>
              <w:spacing w:after="0" w:line="360" w:lineRule="auto"/>
              <w:cnfStyle w:val="000000000000"/>
              <w:rPr>
                <w:rFonts w:asciiTheme="minorHAnsi" w:hAnsiTheme="minorHAnsi"/>
                <w:color w:val="000000"/>
              </w:rPr>
            </w:pPr>
            <w:r w:rsidRPr="00872FD2">
              <w:rPr>
                <w:rFonts w:asciiTheme="minorHAnsi" w:eastAsia="SimSun" w:hAnsiTheme="minorHAnsi"/>
                <w:color w:val="000000"/>
              </w:rPr>
              <w:t>Νέοι, μαύρη φυλή</w:t>
            </w:r>
          </w:p>
        </w:tc>
        <w:tc>
          <w:tcPr>
            <w:tcW w:w="1250" w:type="pct"/>
          </w:tcPr>
          <w:p w:rsidR="00AD5F6D" w:rsidRPr="00872FD2" w:rsidRDefault="005A0289" w:rsidP="00872FD2">
            <w:pPr>
              <w:spacing w:after="0" w:line="360" w:lineRule="auto"/>
              <w:jc w:val="both"/>
              <w:cnfStyle w:val="000000000000"/>
              <w:rPr>
                <w:rFonts w:asciiTheme="minorHAnsi" w:hAnsiTheme="minorHAnsi"/>
                <w:b/>
                <w:color w:val="000000"/>
              </w:rPr>
            </w:pPr>
            <w:r w:rsidRPr="00872FD2">
              <w:rPr>
                <w:rFonts w:asciiTheme="minorHAnsi" w:hAnsiTheme="minorHAnsi"/>
                <w:color w:val="000000"/>
              </w:rPr>
              <w:t>Υψηλό εκπαιδευτικό επίπεδο</w:t>
            </w:r>
          </w:p>
        </w:tc>
      </w:tr>
      <w:tr w:rsidR="00AD5F6D" w:rsidRPr="00872FD2" w:rsidTr="00995094">
        <w:tc>
          <w:tcPr>
            <w:cnfStyle w:val="001000000000"/>
            <w:tcW w:w="1250" w:type="pct"/>
          </w:tcPr>
          <w:p w:rsidR="00AD5F6D" w:rsidRPr="00872FD2" w:rsidRDefault="00255F29" w:rsidP="00872FD2">
            <w:pPr>
              <w:spacing w:after="0" w:line="360" w:lineRule="auto"/>
              <w:jc w:val="both"/>
              <w:rPr>
                <w:rFonts w:asciiTheme="minorHAnsi" w:hAnsiTheme="minorHAnsi"/>
                <w:color w:val="000000"/>
                <w:lang w:val="en-US"/>
              </w:rPr>
            </w:pPr>
            <w:r w:rsidRPr="00872FD2">
              <w:rPr>
                <w:rFonts w:asciiTheme="minorHAnsi" w:hAnsiTheme="minorHAnsi"/>
                <w:color w:val="000000"/>
                <w:lang w:val="en-US"/>
              </w:rPr>
              <w:t>Hain</w:t>
            </w:r>
            <w:r w:rsidR="003041EB" w:rsidRPr="00872FD2">
              <w:rPr>
                <w:rFonts w:asciiTheme="minorHAnsi" w:hAnsiTheme="minorHAnsi"/>
                <w:color w:val="000000"/>
                <w:lang w:val="en-US"/>
              </w:rPr>
              <w:t>,</w:t>
            </w:r>
            <w:r w:rsidR="00AD5F6D" w:rsidRPr="00872FD2">
              <w:rPr>
                <w:rFonts w:asciiTheme="minorHAnsi" w:hAnsiTheme="minorHAnsi"/>
                <w:color w:val="000000"/>
                <w:lang w:val="en-US"/>
              </w:rPr>
              <w:t xml:space="preserve"> 2008</w:t>
            </w:r>
          </w:p>
        </w:tc>
        <w:tc>
          <w:tcPr>
            <w:tcW w:w="1250" w:type="pct"/>
          </w:tcPr>
          <w:p w:rsidR="00AD5F6D" w:rsidRPr="00872FD2" w:rsidRDefault="00AD5F6D" w:rsidP="00872FD2">
            <w:pPr>
              <w:spacing w:after="0" w:line="360" w:lineRule="auto"/>
              <w:cnfStyle w:val="000000000000"/>
              <w:rPr>
                <w:rFonts w:asciiTheme="minorHAnsi" w:hAnsiTheme="minorHAnsi"/>
                <w:color w:val="000000"/>
                <w:lang w:val="en-US"/>
              </w:rPr>
            </w:pPr>
          </w:p>
        </w:tc>
        <w:tc>
          <w:tcPr>
            <w:tcW w:w="1250" w:type="pct"/>
          </w:tcPr>
          <w:p w:rsidR="00AD5F6D" w:rsidRPr="00872FD2" w:rsidRDefault="005A0289" w:rsidP="00872FD2">
            <w:pPr>
              <w:spacing w:after="0" w:line="360" w:lineRule="auto"/>
              <w:cnfStyle w:val="000000000000"/>
              <w:rPr>
                <w:rFonts w:asciiTheme="minorHAnsi" w:hAnsiTheme="minorHAnsi"/>
                <w:color w:val="000000"/>
              </w:rPr>
            </w:pPr>
            <w:r w:rsidRPr="00872FD2">
              <w:rPr>
                <w:rFonts w:asciiTheme="minorHAnsi" w:hAnsiTheme="minorHAnsi"/>
                <w:color w:val="000000"/>
              </w:rPr>
              <w:t>Νέοι</w:t>
            </w:r>
          </w:p>
        </w:tc>
        <w:tc>
          <w:tcPr>
            <w:tcW w:w="1250" w:type="pct"/>
          </w:tcPr>
          <w:p w:rsidR="00AD5F6D" w:rsidRPr="00872FD2" w:rsidRDefault="00AD5F6D" w:rsidP="00872FD2">
            <w:pPr>
              <w:spacing w:after="0" w:line="360" w:lineRule="auto"/>
              <w:cnfStyle w:val="000000000000"/>
              <w:rPr>
                <w:rFonts w:asciiTheme="minorHAnsi" w:hAnsiTheme="minorHAnsi"/>
                <w:color w:val="000000"/>
                <w:lang w:val="en-US"/>
              </w:rPr>
            </w:pPr>
          </w:p>
        </w:tc>
      </w:tr>
      <w:tr w:rsidR="00AD5F6D" w:rsidRPr="00872FD2" w:rsidTr="00995094">
        <w:tc>
          <w:tcPr>
            <w:cnfStyle w:val="001000000000"/>
            <w:tcW w:w="1250" w:type="pct"/>
          </w:tcPr>
          <w:p w:rsidR="00AD5F6D" w:rsidRPr="00872FD2" w:rsidRDefault="00AD5F6D" w:rsidP="00872FD2">
            <w:pPr>
              <w:spacing w:after="0" w:line="360" w:lineRule="auto"/>
              <w:jc w:val="both"/>
              <w:rPr>
                <w:rFonts w:asciiTheme="minorHAnsi" w:hAnsiTheme="minorHAnsi"/>
                <w:color w:val="000000"/>
                <w:lang w:val="en-US"/>
              </w:rPr>
            </w:pPr>
            <w:r w:rsidRPr="00872FD2">
              <w:rPr>
                <w:rFonts w:asciiTheme="minorHAnsi" w:hAnsiTheme="minorHAnsi"/>
                <w:color w:val="000000"/>
                <w:lang w:val="en-US"/>
              </w:rPr>
              <w:t>Murray</w:t>
            </w:r>
            <w:r w:rsidR="003041EB" w:rsidRPr="00872FD2">
              <w:rPr>
                <w:rFonts w:asciiTheme="minorHAnsi" w:hAnsiTheme="minorHAnsi"/>
                <w:color w:val="000000"/>
              </w:rPr>
              <w:t>,</w:t>
            </w:r>
            <w:r w:rsidR="0078495A">
              <w:rPr>
                <w:rFonts w:asciiTheme="minorHAnsi" w:hAnsiTheme="minorHAnsi"/>
                <w:color w:val="000000"/>
                <w:lang w:val="en-US"/>
              </w:rPr>
              <w:t xml:space="preserve"> </w:t>
            </w:r>
            <w:r w:rsidRPr="00872FD2">
              <w:rPr>
                <w:rFonts w:asciiTheme="minorHAnsi" w:hAnsiTheme="minorHAnsi"/>
                <w:color w:val="000000"/>
                <w:lang w:val="en-US"/>
              </w:rPr>
              <w:t>2008</w:t>
            </w:r>
          </w:p>
        </w:tc>
        <w:tc>
          <w:tcPr>
            <w:tcW w:w="1250" w:type="pct"/>
          </w:tcPr>
          <w:p w:rsidR="00AD5F6D" w:rsidRPr="00872FD2" w:rsidRDefault="00AD5F6D" w:rsidP="00872FD2">
            <w:pPr>
              <w:spacing w:after="0" w:line="360" w:lineRule="auto"/>
              <w:cnfStyle w:val="000000000000"/>
              <w:rPr>
                <w:rFonts w:asciiTheme="minorHAnsi" w:hAnsiTheme="minorHAnsi"/>
                <w:color w:val="000000"/>
                <w:lang w:val="en-US"/>
              </w:rPr>
            </w:pPr>
          </w:p>
        </w:tc>
        <w:tc>
          <w:tcPr>
            <w:tcW w:w="1250" w:type="pct"/>
          </w:tcPr>
          <w:p w:rsidR="00AD5F6D" w:rsidRPr="00872FD2" w:rsidRDefault="005A0289" w:rsidP="00872FD2">
            <w:pPr>
              <w:spacing w:after="0" w:line="360" w:lineRule="auto"/>
              <w:cnfStyle w:val="000000000000"/>
              <w:rPr>
                <w:rFonts w:asciiTheme="minorHAnsi" w:hAnsiTheme="minorHAnsi"/>
                <w:color w:val="000000"/>
              </w:rPr>
            </w:pPr>
            <w:r w:rsidRPr="00872FD2">
              <w:rPr>
                <w:rFonts w:asciiTheme="minorHAnsi" w:hAnsiTheme="minorHAnsi"/>
                <w:color w:val="000000"/>
              </w:rPr>
              <w:t>Νέοι</w:t>
            </w:r>
          </w:p>
        </w:tc>
        <w:tc>
          <w:tcPr>
            <w:tcW w:w="1250" w:type="pct"/>
          </w:tcPr>
          <w:p w:rsidR="00AD5F6D" w:rsidRPr="00872FD2" w:rsidRDefault="00AD5F6D" w:rsidP="00872FD2">
            <w:pPr>
              <w:spacing w:after="0" w:line="360" w:lineRule="auto"/>
              <w:cnfStyle w:val="000000000000"/>
              <w:rPr>
                <w:rFonts w:asciiTheme="minorHAnsi" w:hAnsiTheme="minorHAnsi"/>
                <w:color w:val="000000"/>
                <w:lang w:val="en-US"/>
              </w:rPr>
            </w:pPr>
          </w:p>
        </w:tc>
      </w:tr>
      <w:tr w:rsidR="00AD5F6D" w:rsidRPr="00872FD2" w:rsidTr="00995094">
        <w:trPr>
          <w:trHeight w:val="972"/>
        </w:trPr>
        <w:tc>
          <w:tcPr>
            <w:cnfStyle w:val="001000000000"/>
            <w:tcW w:w="1250" w:type="pct"/>
          </w:tcPr>
          <w:p w:rsidR="00AD5F6D" w:rsidRPr="00872FD2" w:rsidRDefault="00AD5F6D" w:rsidP="00872FD2">
            <w:pPr>
              <w:spacing w:after="0" w:line="360" w:lineRule="auto"/>
              <w:jc w:val="both"/>
              <w:rPr>
                <w:rFonts w:asciiTheme="minorHAnsi" w:hAnsiTheme="minorHAnsi"/>
                <w:color w:val="000000"/>
                <w:lang w:val="en-US"/>
              </w:rPr>
            </w:pPr>
            <w:r w:rsidRPr="00872FD2">
              <w:rPr>
                <w:rFonts w:asciiTheme="minorHAnsi" w:hAnsiTheme="minorHAnsi"/>
                <w:color w:val="000000"/>
                <w:lang w:val="en-US"/>
              </w:rPr>
              <w:t xml:space="preserve">Baraz </w:t>
            </w:r>
            <w:r w:rsidR="00566CAA" w:rsidRPr="00872FD2">
              <w:rPr>
                <w:rFonts w:asciiTheme="minorHAnsi" w:eastAsia="SimSun" w:hAnsiTheme="minorHAnsi"/>
                <w:color w:val="000000"/>
              </w:rPr>
              <w:t>et al</w:t>
            </w:r>
            <w:r w:rsidR="004577BE" w:rsidRPr="00872FD2">
              <w:rPr>
                <w:rFonts w:asciiTheme="minorHAnsi" w:eastAsia="SimSun" w:hAnsiTheme="minorHAnsi"/>
                <w:color w:val="000000"/>
                <w:lang w:val="en-US"/>
              </w:rPr>
              <w:t>.</w:t>
            </w:r>
            <w:r w:rsidR="00CE01B5">
              <w:rPr>
                <w:rFonts w:asciiTheme="minorHAnsi" w:eastAsia="SimSun" w:hAnsiTheme="minorHAnsi"/>
                <w:color w:val="000000"/>
                <w:lang w:val="en-US"/>
              </w:rPr>
              <w:t>,</w:t>
            </w:r>
            <w:r w:rsidRPr="00872FD2">
              <w:rPr>
                <w:rFonts w:asciiTheme="minorHAnsi" w:eastAsia="SimSun" w:hAnsiTheme="minorHAnsi"/>
                <w:color w:val="000000"/>
                <w:lang w:val="en-US"/>
              </w:rPr>
              <w:t xml:space="preserve"> </w:t>
            </w:r>
            <w:r w:rsidRPr="00872FD2">
              <w:rPr>
                <w:rFonts w:asciiTheme="minorHAnsi" w:hAnsiTheme="minorHAnsi"/>
                <w:color w:val="000000"/>
                <w:lang w:val="en-US"/>
              </w:rPr>
              <w:t>2010</w:t>
            </w:r>
          </w:p>
        </w:tc>
        <w:tc>
          <w:tcPr>
            <w:tcW w:w="1250" w:type="pct"/>
          </w:tcPr>
          <w:p w:rsidR="005A0289" w:rsidRPr="00872FD2" w:rsidRDefault="005A0289" w:rsidP="00872FD2">
            <w:pPr>
              <w:spacing w:after="0" w:line="360" w:lineRule="auto"/>
              <w:cnfStyle w:val="000000000000"/>
              <w:rPr>
                <w:rFonts w:asciiTheme="minorHAnsi" w:hAnsiTheme="minorHAnsi"/>
                <w:color w:val="000000"/>
              </w:rPr>
            </w:pPr>
            <w:r w:rsidRPr="00872FD2">
              <w:rPr>
                <w:rFonts w:asciiTheme="minorHAnsi" w:hAnsiTheme="minorHAnsi"/>
                <w:color w:val="000000"/>
              </w:rPr>
              <w:t xml:space="preserve">Νέοι </w:t>
            </w:r>
            <w:r w:rsidR="00AD5F6D" w:rsidRPr="00872FD2">
              <w:rPr>
                <w:rFonts w:asciiTheme="minorHAnsi" w:hAnsiTheme="minorHAnsi"/>
                <w:color w:val="000000"/>
              </w:rPr>
              <w:t>,</w:t>
            </w:r>
            <w:r w:rsidRPr="00872FD2">
              <w:rPr>
                <w:rFonts w:asciiTheme="minorHAnsi" w:hAnsiTheme="minorHAnsi"/>
                <w:color w:val="000000"/>
              </w:rPr>
              <w:t>υψηλό εκπαιδευτικό επίπεδο</w:t>
            </w:r>
          </w:p>
        </w:tc>
        <w:tc>
          <w:tcPr>
            <w:tcW w:w="1250" w:type="pct"/>
          </w:tcPr>
          <w:p w:rsidR="00AD5F6D" w:rsidRPr="00872FD2" w:rsidRDefault="00AD5F6D" w:rsidP="00872FD2">
            <w:pPr>
              <w:spacing w:after="0" w:line="360" w:lineRule="auto"/>
              <w:cnfStyle w:val="000000000000"/>
              <w:rPr>
                <w:rFonts w:asciiTheme="minorHAnsi" w:hAnsiTheme="minorHAnsi"/>
                <w:color w:val="000000"/>
              </w:rPr>
            </w:pPr>
          </w:p>
        </w:tc>
        <w:tc>
          <w:tcPr>
            <w:tcW w:w="1250" w:type="pct"/>
          </w:tcPr>
          <w:p w:rsidR="00AD5F6D" w:rsidRPr="00872FD2" w:rsidRDefault="005A0289" w:rsidP="00872FD2">
            <w:pPr>
              <w:spacing w:after="0" w:line="360" w:lineRule="auto"/>
              <w:cnfStyle w:val="000000000000"/>
              <w:rPr>
                <w:rFonts w:asciiTheme="minorHAnsi" w:hAnsiTheme="minorHAnsi"/>
                <w:b/>
                <w:color w:val="000000"/>
              </w:rPr>
            </w:pPr>
            <w:r w:rsidRPr="00872FD2">
              <w:rPr>
                <w:rFonts w:asciiTheme="minorHAnsi" w:hAnsiTheme="minorHAnsi"/>
                <w:color w:val="000000"/>
              </w:rPr>
              <w:t>Οικογενειακή κατάσταση</w:t>
            </w:r>
            <w:r w:rsidR="00AD5F6D" w:rsidRPr="00872FD2">
              <w:rPr>
                <w:rFonts w:asciiTheme="minorHAnsi" w:hAnsiTheme="minorHAnsi"/>
                <w:color w:val="000000"/>
                <w:lang w:val="en-US"/>
              </w:rPr>
              <w:t xml:space="preserve">, </w:t>
            </w:r>
            <w:r w:rsidRPr="00872FD2">
              <w:rPr>
                <w:rFonts w:asciiTheme="minorHAnsi" w:hAnsiTheme="minorHAnsi"/>
                <w:color w:val="000000"/>
              </w:rPr>
              <w:t>γένος</w:t>
            </w:r>
          </w:p>
        </w:tc>
      </w:tr>
      <w:tr w:rsidR="00AD5F6D" w:rsidRPr="00872FD2" w:rsidTr="00995094">
        <w:trPr>
          <w:trHeight w:val="1669"/>
        </w:trPr>
        <w:tc>
          <w:tcPr>
            <w:cnfStyle w:val="001000000000"/>
            <w:tcW w:w="1250" w:type="pct"/>
          </w:tcPr>
          <w:p w:rsidR="00AD5F6D" w:rsidRPr="00872FD2" w:rsidRDefault="00AD5F6D" w:rsidP="00872FD2">
            <w:pPr>
              <w:spacing w:after="0" w:line="360" w:lineRule="auto"/>
              <w:jc w:val="both"/>
              <w:rPr>
                <w:rFonts w:asciiTheme="minorHAnsi" w:hAnsiTheme="minorHAnsi"/>
                <w:color w:val="000000"/>
                <w:lang w:val="en-US"/>
              </w:rPr>
            </w:pPr>
            <w:r w:rsidRPr="00872FD2">
              <w:rPr>
                <w:rFonts w:asciiTheme="minorHAnsi" w:hAnsiTheme="minorHAnsi"/>
                <w:color w:val="000000"/>
                <w:lang w:val="en-US"/>
              </w:rPr>
              <w:t xml:space="preserve">Saran </w:t>
            </w:r>
            <w:r w:rsidR="00566CAA" w:rsidRPr="00872FD2">
              <w:rPr>
                <w:rFonts w:asciiTheme="minorHAnsi" w:eastAsia="SimSun" w:hAnsiTheme="minorHAnsi"/>
                <w:color w:val="000000"/>
              </w:rPr>
              <w:t>et al</w:t>
            </w:r>
            <w:r w:rsidR="003041EB" w:rsidRPr="00872FD2">
              <w:rPr>
                <w:rFonts w:asciiTheme="minorHAnsi" w:eastAsia="SimSun" w:hAnsiTheme="minorHAnsi"/>
                <w:color w:val="000000"/>
              </w:rPr>
              <w:t>.</w:t>
            </w:r>
            <w:r w:rsidR="00CE01B5">
              <w:rPr>
                <w:rFonts w:asciiTheme="minorHAnsi" w:eastAsia="SimSun" w:hAnsiTheme="minorHAnsi"/>
                <w:color w:val="000000"/>
                <w:lang w:val="en-US"/>
              </w:rPr>
              <w:t>,</w:t>
            </w:r>
            <w:r w:rsidRPr="00872FD2">
              <w:rPr>
                <w:rFonts w:asciiTheme="minorHAnsi" w:eastAsia="SimSun" w:hAnsiTheme="minorHAnsi"/>
                <w:color w:val="000000"/>
                <w:lang w:val="en-US"/>
              </w:rPr>
              <w:t xml:space="preserve"> </w:t>
            </w:r>
            <w:r w:rsidRPr="00872FD2">
              <w:rPr>
                <w:rFonts w:asciiTheme="minorHAnsi" w:hAnsiTheme="minorHAnsi"/>
                <w:color w:val="000000"/>
                <w:lang w:val="en-US"/>
              </w:rPr>
              <w:t>2003</w:t>
            </w:r>
          </w:p>
        </w:tc>
        <w:tc>
          <w:tcPr>
            <w:tcW w:w="1250" w:type="pct"/>
          </w:tcPr>
          <w:p w:rsidR="00AD5F6D" w:rsidRPr="00872FD2" w:rsidRDefault="00AD5F6D" w:rsidP="00872FD2">
            <w:pPr>
              <w:spacing w:after="0" w:line="360" w:lineRule="auto"/>
              <w:cnfStyle w:val="000000000000"/>
              <w:rPr>
                <w:rFonts w:asciiTheme="minorHAnsi" w:hAnsiTheme="minorHAnsi"/>
                <w:color w:val="000000"/>
                <w:lang w:val="en-US"/>
              </w:rPr>
            </w:pPr>
          </w:p>
        </w:tc>
        <w:tc>
          <w:tcPr>
            <w:tcW w:w="1250" w:type="pct"/>
          </w:tcPr>
          <w:p w:rsidR="00AD5F6D" w:rsidRPr="00872FD2" w:rsidRDefault="00BC19A9" w:rsidP="00872FD2">
            <w:pPr>
              <w:spacing w:after="0" w:line="360" w:lineRule="auto"/>
              <w:cnfStyle w:val="000000000000"/>
              <w:rPr>
                <w:rFonts w:asciiTheme="minorHAnsi" w:hAnsiTheme="minorHAnsi"/>
                <w:color w:val="000000"/>
              </w:rPr>
            </w:pPr>
            <w:r>
              <w:rPr>
                <w:rFonts w:asciiTheme="minorHAnsi" w:hAnsiTheme="minorHAnsi"/>
                <w:color w:val="000000"/>
              </w:rPr>
              <w:t>Νέοι</w:t>
            </w:r>
            <w:r w:rsidR="005A0289" w:rsidRPr="00872FD2">
              <w:rPr>
                <w:rFonts w:asciiTheme="minorHAnsi" w:hAnsiTheme="minorHAnsi"/>
                <w:color w:val="000000"/>
              </w:rPr>
              <w:t xml:space="preserve">, </w:t>
            </w:r>
            <w:r w:rsidR="005A0289" w:rsidRPr="00872FD2">
              <w:rPr>
                <w:rFonts w:asciiTheme="minorHAnsi" w:hAnsiTheme="minorHAnsi"/>
                <w:color w:val="000000"/>
                <w:lang w:val="en-US"/>
              </w:rPr>
              <w:t>A</w:t>
            </w:r>
            <w:r>
              <w:rPr>
                <w:rFonts w:asciiTheme="minorHAnsi" w:hAnsiTheme="minorHAnsi"/>
                <w:color w:val="000000"/>
              </w:rPr>
              <w:t>φροαμερικανοί</w:t>
            </w:r>
            <w:r w:rsidR="005A0289" w:rsidRPr="00872FD2">
              <w:rPr>
                <w:rFonts w:asciiTheme="minorHAnsi" w:hAnsiTheme="minorHAnsi"/>
                <w:color w:val="000000"/>
              </w:rPr>
              <w:t xml:space="preserve">, </w:t>
            </w:r>
            <w:r w:rsidR="007846F0">
              <w:rPr>
                <w:rFonts w:asciiTheme="minorHAnsi" w:eastAsia="SimSun" w:hAnsiTheme="minorHAnsi"/>
                <w:color w:val="000000"/>
              </w:rPr>
              <w:t>γ</w:t>
            </w:r>
            <w:r w:rsidR="005A0289" w:rsidRPr="00872FD2">
              <w:rPr>
                <w:rFonts w:asciiTheme="minorHAnsi" w:eastAsia="SimSun" w:hAnsiTheme="minorHAnsi"/>
                <w:color w:val="000000"/>
              </w:rPr>
              <w:t>υναικείο φύλο</w:t>
            </w:r>
            <w:r w:rsidR="00AD5F6D" w:rsidRPr="00872FD2">
              <w:rPr>
                <w:rFonts w:asciiTheme="minorHAnsi" w:hAnsiTheme="minorHAnsi"/>
                <w:color w:val="000000"/>
              </w:rPr>
              <w:t xml:space="preserve">, </w:t>
            </w:r>
            <w:r w:rsidR="007846F0">
              <w:rPr>
                <w:rFonts w:asciiTheme="minorHAnsi" w:hAnsiTheme="minorHAnsi"/>
                <w:color w:val="000000"/>
              </w:rPr>
              <w:t>ε</w:t>
            </w:r>
            <w:r w:rsidR="005A0289" w:rsidRPr="00872FD2">
              <w:rPr>
                <w:rFonts w:asciiTheme="minorHAnsi" w:hAnsiTheme="minorHAnsi"/>
                <w:color w:val="000000"/>
              </w:rPr>
              <w:t>ργασία</w:t>
            </w:r>
          </w:p>
        </w:tc>
        <w:tc>
          <w:tcPr>
            <w:tcW w:w="1250" w:type="pct"/>
          </w:tcPr>
          <w:p w:rsidR="00AD5F6D" w:rsidRPr="00872FD2" w:rsidRDefault="005A0289" w:rsidP="00872FD2">
            <w:pPr>
              <w:spacing w:after="0" w:line="360" w:lineRule="auto"/>
              <w:cnfStyle w:val="000000000000"/>
              <w:rPr>
                <w:rFonts w:asciiTheme="minorHAnsi" w:hAnsiTheme="minorHAnsi"/>
                <w:b/>
                <w:color w:val="000000"/>
              </w:rPr>
            </w:pPr>
            <w:r w:rsidRPr="00872FD2">
              <w:rPr>
                <w:rFonts w:asciiTheme="minorHAnsi" w:eastAsia="SimSun" w:hAnsiTheme="minorHAnsi"/>
                <w:color w:val="000000"/>
              </w:rPr>
              <w:t>Εκπαιδευτικό επίπεδο</w:t>
            </w:r>
          </w:p>
        </w:tc>
      </w:tr>
      <w:tr w:rsidR="00AD5F6D" w:rsidRPr="00872FD2" w:rsidTr="00995094">
        <w:trPr>
          <w:trHeight w:val="618"/>
        </w:trPr>
        <w:tc>
          <w:tcPr>
            <w:cnfStyle w:val="001000000000"/>
            <w:tcW w:w="1250" w:type="pct"/>
          </w:tcPr>
          <w:p w:rsidR="00AD5F6D" w:rsidRPr="00872FD2" w:rsidRDefault="003041EB" w:rsidP="00872FD2">
            <w:pPr>
              <w:spacing w:after="0" w:line="360" w:lineRule="auto"/>
              <w:jc w:val="both"/>
              <w:rPr>
                <w:rFonts w:asciiTheme="minorHAnsi" w:hAnsiTheme="minorHAnsi"/>
                <w:color w:val="000000"/>
                <w:lang w:val="en-US"/>
              </w:rPr>
            </w:pPr>
            <w:r w:rsidRPr="00872FD2">
              <w:rPr>
                <w:rFonts w:asciiTheme="minorHAnsi" w:hAnsiTheme="minorHAnsi"/>
                <w:color w:val="000000"/>
                <w:lang w:val="en-US"/>
              </w:rPr>
              <w:t>Bland</w:t>
            </w:r>
            <w:r w:rsidRPr="00872FD2">
              <w:rPr>
                <w:rFonts w:asciiTheme="minorHAnsi" w:eastAsia="SimSun" w:hAnsiTheme="minorHAnsi"/>
                <w:color w:val="000000"/>
                <w:lang w:val="en-US"/>
              </w:rPr>
              <w:t>,</w:t>
            </w:r>
            <w:r w:rsidR="00AD5F6D" w:rsidRPr="00872FD2">
              <w:rPr>
                <w:rFonts w:asciiTheme="minorHAnsi" w:eastAsia="SimSun" w:hAnsiTheme="minorHAnsi"/>
                <w:color w:val="000000"/>
                <w:lang w:val="en-US"/>
              </w:rPr>
              <w:t xml:space="preserve"> </w:t>
            </w:r>
            <w:r w:rsidRPr="00872FD2">
              <w:rPr>
                <w:rFonts w:asciiTheme="minorHAnsi" w:eastAsia="Times New Roman" w:hAnsiTheme="minorHAnsi" w:cstheme="minorHAnsi"/>
                <w:color w:val="000000"/>
                <w:lang w:val="en-US" w:eastAsia="el-GR"/>
              </w:rPr>
              <w:t>Cottrell &amp;</w:t>
            </w:r>
            <w:r w:rsidR="0078495A">
              <w:rPr>
                <w:rFonts w:asciiTheme="minorHAnsi" w:eastAsia="Times New Roman" w:hAnsiTheme="minorHAnsi" w:cstheme="minorHAnsi"/>
                <w:color w:val="000000"/>
                <w:lang w:val="en-US" w:eastAsia="el-GR"/>
              </w:rPr>
              <w:t xml:space="preserve"> </w:t>
            </w:r>
            <w:r w:rsidRPr="00872FD2">
              <w:rPr>
                <w:rFonts w:asciiTheme="minorHAnsi" w:eastAsia="Times New Roman" w:hAnsiTheme="minorHAnsi" w:cstheme="minorHAnsi"/>
                <w:color w:val="000000"/>
                <w:lang w:val="en-US" w:eastAsia="el-GR"/>
              </w:rPr>
              <w:t>Guyler</w:t>
            </w:r>
            <w:r w:rsidR="00CE01B5">
              <w:rPr>
                <w:rFonts w:asciiTheme="minorHAnsi" w:eastAsia="Times New Roman" w:hAnsiTheme="minorHAnsi" w:cstheme="minorHAnsi"/>
                <w:color w:val="000000"/>
                <w:lang w:val="en-US" w:eastAsia="el-GR"/>
              </w:rPr>
              <w:t>,</w:t>
            </w:r>
            <w:r w:rsidRPr="00872FD2">
              <w:rPr>
                <w:rFonts w:asciiTheme="minorHAnsi" w:hAnsiTheme="minorHAnsi"/>
                <w:color w:val="000000"/>
                <w:lang w:val="en-US"/>
              </w:rPr>
              <w:t xml:space="preserve"> </w:t>
            </w:r>
            <w:r w:rsidR="00AD5F6D" w:rsidRPr="00872FD2">
              <w:rPr>
                <w:rFonts w:asciiTheme="minorHAnsi" w:hAnsiTheme="minorHAnsi"/>
                <w:color w:val="000000"/>
                <w:lang w:val="en-US"/>
              </w:rPr>
              <w:t>2008</w:t>
            </w:r>
          </w:p>
        </w:tc>
        <w:tc>
          <w:tcPr>
            <w:tcW w:w="1250" w:type="pct"/>
          </w:tcPr>
          <w:p w:rsidR="00AD5F6D" w:rsidRPr="00872FD2" w:rsidRDefault="005A0289" w:rsidP="00872FD2">
            <w:pPr>
              <w:spacing w:after="0" w:line="360" w:lineRule="auto"/>
              <w:cnfStyle w:val="000000000000"/>
              <w:rPr>
                <w:rFonts w:asciiTheme="minorHAnsi" w:hAnsiTheme="minorHAnsi"/>
                <w:color w:val="000000"/>
              </w:rPr>
            </w:pPr>
            <w:r w:rsidRPr="00872FD2">
              <w:rPr>
                <w:rFonts w:asciiTheme="minorHAnsi" w:hAnsiTheme="minorHAnsi"/>
                <w:color w:val="000000"/>
              </w:rPr>
              <w:t>Υψηλό εκπαιδευτικό επίπεδο</w:t>
            </w:r>
          </w:p>
        </w:tc>
        <w:tc>
          <w:tcPr>
            <w:tcW w:w="1250" w:type="pct"/>
          </w:tcPr>
          <w:p w:rsidR="00AD5F6D" w:rsidRPr="00872FD2" w:rsidRDefault="007846F0" w:rsidP="00872FD2">
            <w:pPr>
              <w:spacing w:after="0" w:line="360" w:lineRule="auto"/>
              <w:cnfStyle w:val="000000000000"/>
              <w:rPr>
                <w:rFonts w:asciiTheme="minorHAnsi" w:hAnsiTheme="minorHAnsi"/>
                <w:color w:val="000000"/>
              </w:rPr>
            </w:pPr>
            <w:r>
              <w:rPr>
                <w:rFonts w:asciiTheme="minorHAnsi" w:eastAsia="SimSun" w:hAnsiTheme="minorHAnsi"/>
                <w:color w:val="000000"/>
              </w:rPr>
              <w:t>Μ</w:t>
            </w:r>
            <w:r w:rsidR="005A0289" w:rsidRPr="00872FD2">
              <w:rPr>
                <w:rFonts w:asciiTheme="minorHAnsi" w:eastAsia="SimSun" w:hAnsiTheme="minorHAnsi"/>
                <w:color w:val="000000"/>
              </w:rPr>
              <w:t>αύρη φυλή</w:t>
            </w:r>
          </w:p>
        </w:tc>
        <w:tc>
          <w:tcPr>
            <w:tcW w:w="1250" w:type="pct"/>
          </w:tcPr>
          <w:p w:rsidR="00AD5F6D" w:rsidRPr="00872FD2" w:rsidRDefault="00AD5F6D" w:rsidP="00872FD2">
            <w:pPr>
              <w:spacing w:after="0" w:line="360" w:lineRule="auto"/>
              <w:cnfStyle w:val="000000000000"/>
              <w:rPr>
                <w:rFonts w:asciiTheme="minorHAnsi" w:hAnsiTheme="minorHAnsi"/>
                <w:color w:val="000000"/>
                <w:lang w:val="en-US"/>
              </w:rPr>
            </w:pPr>
          </w:p>
        </w:tc>
      </w:tr>
      <w:tr w:rsidR="00AD5F6D" w:rsidRPr="00872FD2" w:rsidTr="00995094">
        <w:trPr>
          <w:trHeight w:val="614"/>
        </w:trPr>
        <w:tc>
          <w:tcPr>
            <w:cnfStyle w:val="001000000000"/>
            <w:tcW w:w="1250" w:type="pct"/>
          </w:tcPr>
          <w:p w:rsidR="00AD5F6D" w:rsidRPr="00872FD2" w:rsidRDefault="00AD5F6D" w:rsidP="00872FD2">
            <w:pPr>
              <w:spacing w:after="0" w:line="360" w:lineRule="auto"/>
              <w:jc w:val="both"/>
              <w:rPr>
                <w:rFonts w:asciiTheme="minorHAnsi" w:hAnsiTheme="minorHAnsi"/>
                <w:color w:val="000000"/>
                <w:lang w:val="en-US"/>
              </w:rPr>
            </w:pPr>
            <w:r w:rsidRPr="00872FD2">
              <w:rPr>
                <w:rFonts w:asciiTheme="minorHAnsi" w:hAnsiTheme="minorHAnsi"/>
                <w:color w:val="000000"/>
                <w:lang w:val="en-US"/>
              </w:rPr>
              <w:t xml:space="preserve">Barnett </w:t>
            </w:r>
            <w:r w:rsidR="00566CAA" w:rsidRPr="00872FD2">
              <w:rPr>
                <w:rFonts w:asciiTheme="minorHAnsi" w:eastAsia="SimSun" w:hAnsiTheme="minorHAnsi"/>
                <w:color w:val="000000"/>
              </w:rPr>
              <w:t>et al</w:t>
            </w:r>
            <w:r w:rsidR="004577BE" w:rsidRPr="00872FD2">
              <w:rPr>
                <w:rFonts w:asciiTheme="minorHAnsi" w:eastAsia="SimSun" w:hAnsiTheme="minorHAnsi"/>
                <w:color w:val="000000"/>
                <w:lang w:val="en-US"/>
              </w:rPr>
              <w:t>.</w:t>
            </w:r>
            <w:r w:rsidR="00CE01B5">
              <w:rPr>
                <w:rFonts w:asciiTheme="minorHAnsi" w:eastAsia="SimSun" w:hAnsiTheme="minorHAnsi"/>
                <w:color w:val="000000"/>
                <w:lang w:val="en-US"/>
              </w:rPr>
              <w:t>,</w:t>
            </w:r>
            <w:r w:rsidRPr="00872FD2">
              <w:rPr>
                <w:rFonts w:asciiTheme="minorHAnsi" w:hAnsiTheme="minorHAnsi"/>
                <w:color w:val="000000"/>
                <w:lang w:val="en-US"/>
              </w:rPr>
              <w:t xml:space="preserve"> 2008</w:t>
            </w:r>
          </w:p>
        </w:tc>
        <w:tc>
          <w:tcPr>
            <w:tcW w:w="1250" w:type="pct"/>
          </w:tcPr>
          <w:p w:rsidR="00AD5F6D" w:rsidRPr="00872FD2" w:rsidRDefault="00AD5F6D" w:rsidP="00872FD2">
            <w:pPr>
              <w:spacing w:after="0" w:line="360" w:lineRule="auto"/>
              <w:cnfStyle w:val="000000000000"/>
              <w:rPr>
                <w:rFonts w:asciiTheme="minorHAnsi" w:hAnsiTheme="minorHAnsi"/>
                <w:color w:val="000000"/>
                <w:lang w:val="en-US"/>
              </w:rPr>
            </w:pPr>
          </w:p>
        </w:tc>
        <w:tc>
          <w:tcPr>
            <w:tcW w:w="1250" w:type="pct"/>
          </w:tcPr>
          <w:p w:rsidR="00AD5F6D" w:rsidRPr="00872FD2" w:rsidRDefault="005A0289" w:rsidP="00872FD2">
            <w:pPr>
              <w:spacing w:after="0" w:line="360" w:lineRule="auto"/>
              <w:cnfStyle w:val="000000000000"/>
              <w:rPr>
                <w:rFonts w:asciiTheme="minorHAnsi" w:hAnsiTheme="minorHAnsi"/>
                <w:color w:val="000000"/>
              </w:rPr>
            </w:pPr>
            <w:r w:rsidRPr="00872FD2">
              <w:rPr>
                <w:rFonts w:asciiTheme="minorHAnsi" w:eastAsia="SimSun" w:hAnsiTheme="minorHAnsi"/>
                <w:color w:val="000000"/>
              </w:rPr>
              <w:t>Γυναικείο φύλο</w:t>
            </w:r>
          </w:p>
        </w:tc>
        <w:tc>
          <w:tcPr>
            <w:tcW w:w="1250" w:type="pct"/>
          </w:tcPr>
          <w:p w:rsidR="00AD5F6D" w:rsidRPr="00872FD2" w:rsidRDefault="00AD5F6D" w:rsidP="00872FD2">
            <w:pPr>
              <w:spacing w:after="0" w:line="360" w:lineRule="auto"/>
              <w:cnfStyle w:val="000000000000"/>
              <w:rPr>
                <w:rFonts w:asciiTheme="minorHAnsi" w:hAnsiTheme="minorHAnsi"/>
                <w:color w:val="000000"/>
                <w:lang w:val="en-US"/>
              </w:rPr>
            </w:pPr>
          </w:p>
        </w:tc>
      </w:tr>
      <w:tr w:rsidR="00AD5F6D" w:rsidRPr="00872FD2" w:rsidTr="00995094">
        <w:tc>
          <w:tcPr>
            <w:cnfStyle w:val="001000000000"/>
            <w:tcW w:w="1250" w:type="pct"/>
          </w:tcPr>
          <w:p w:rsidR="00AD5F6D" w:rsidRPr="0062205E" w:rsidRDefault="006460B8" w:rsidP="00872FD2">
            <w:pPr>
              <w:spacing w:after="0" w:line="360" w:lineRule="auto"/>
              <w:jc w:val="both"/>
              <w:rPr>
                <w:rFonts w:asciiTheme="minorHAnsi" w:hAnsiTheme="minorHAnsi"/>
                <w:color w:val="000000"/>
              </w:rPr>
            </w:pPr>
            <w:r w:rsidRPr="00872FD2">
              <w:rPr>
                <w:rFonts w:asciiTheme="minorHAnsi" w:hAnsiTheme="minorHAnsi"/>
                <w:color w:val="000000"/>
                <w:lang w:val="en-US"/>
              </w:rPr>
              <w:t>Chan</w:t>
            </w:r>
            <w:r w:rsidR="0062205E" w:rsidRPr="0062205E">
              <w:rPr>
                <w:rFonts w:asciiTheme="minorHAnsi" w:hAnsiTheme="minorHAnsi"/>
                <w:color w:val="000000"/>
              </w:rPr>
              <w:t xml:space="preserve"> </w:t>
            </w:r>
            <w:r w:rsidR="0062205E">
              <w:rPr>
                <w:rFonts w:asciiTheme="minorHAnsi" w:hAnsiTheme="minorHAnsi"/>
                <w:color w:val="000000"/>
                <w:lang w:val="en-US"/>
              </w:rPr>
              <w:t>et</w:t>
            </w:r>
            <w:r w:rsidR="0062205E" w:rsidRPr="0062205E">
              <w:rPr>
                <w:rFonts w:asciiTheme="minorHAnsi" w:hAnsiTheme="minorHAnsi"/>
                <w:color w:val="000000"/>
              </w:rPr>
              <w:t xml:space="preserve"> </w:t>
            </w:r>
            <w:r w:rsidR="0062205E">
              <w:rPr>
                <w:rFonts w:asciiTheme="minorHAnsi" w:hAnsiTheme="minorHAnsi"/>
                <w:color w:val="000000"/>
                <w:lang w:val="en-US"/>
              </w:rPr>
              <w:t>al</w:t>
            </w:r>
            <w:r w:rsidR="0062205E" w:rsidRPr="0062205E">
              <w:rPr>
                <w:rFonts w:asciiTheme="minorHAnsi" w:hAnsiTheme="minorHAnsi"/>
                <w:color w:val="000000"/>
              </w:rPr>
              <w:t>.</w:t>
            </w:r>
            <w:r w:rsidR="0062205E">
              <w:rPr>
                <w:rFonts w:asciiTheme="minorHAnsi" w:hAnsiTheme="minorHAnsi"/>
                <w:color w:val="000000"/>
                <w:lang w:val="en-US"/>
              </w:rPr>
              <w:t>,</w:t>
            </w:r>
            <w:r w:rsidRPr="00872FD2">
              <w:rPr>
                <w:rFonts w:asciiTheme="minorHAnsi" w:eastAsiaTheme="minorHAnsi" w:hAnsiTheme="minorHAnsi" w:cstheme="minorBidi"/>
                <w:color w:val="000000"/>
              </w:rPr>
              <w:t xml:space="preserve"> </w:t>
            </w:r>
            <w:r w:rsidR="00AD5F6D" w:rsidRPr="0062205E">
              <w:rPr>
                <w:rFonts w:asciiTheme="minorHAnsi" w:hAnsiTheme="minorHAnsi"/>
                <w:color w:val="000000"/>
              </w:rPr>
              <w:t>2012</w:t>
            </w:r>
          </w:p>
        </w:tc>
        <w:tc>
          <w:tcPr>
            <w:tcW w:w="1250" w:type="pct"/>
          </w:tcPr>
          <w:p w:rsidR="00AD5F6D" w:rsidRPr="00872FD2" w:rsidRDefault="005A0289" w:rsidP="00872FD2">
            <w:pPr>
              <w:spacing w:after="0" w:line="360" w:lineRule="auto"/>
              <w:cnfStyle w:val="000000000000"/>
              <w:rPr>
                <w:rFonts w:asciiTheme="minorHAnsi" w:hAnsiTheme="minorHAnsi"/>
                <w:color w:val="000000"/>
              </w:rPr>
            </w:pPr>
            <w:r w:rsidRPr="00872FD2">
              <w:rPr>
                <w:rFonts w:asciiTheme="minorHAnsi" w:eastAsia="SimSun" w:hAnsiTheme="minorHAnsi"/>
                <w:color w:val="000000"/>
              </w:rPr>
              <w:t>Γυναικείο φύλο</w:t>
            </w:r>
          </w:p>
        </w:tc>
        <w:tc>
          <w:tcPr>
            <w:tcW w:w="1250" w:type="pct"/>
          </w:tcPr>
          <w:p w:rsidR="00AD5F6D" w:rsidRPr="00872FD2" w:rsidRDefault="005A0289" w:rsidP="00872FD2">
            <w:pPr>
              <w:spacing w:after="0" w:line="360" w:lineRule="auto"/>
              <w:cnfStyle w:val="000000000000"/>
              <w:rPr>
                <w:rFonts w:asciiTheme="minorHAnsi" w:hAnsiTheme="minorHAnsi"/>
                <w:color w:val="000000"/>
              </w:rPr>
            </w:pPr>
            <w:r w:rsidRPr="00872FD2">
              <w:rPr>
                <w:rFonts w:asciiTheme="minorHAnsi" w:hAnsiTheme="minorHAnsi"/>
                <w:color w:val="000000"/>
              </w:rPr>
              <w:t>Νέοι</w:t>
            </w:r>
            <w:r w:rsidR="00AD5F6D" w:rsidRPr="0062205E">
              <w:rPr>
                <w:rFonts w:asciiTheme="minorHAnsi" w:hAnsiTheme="minorHAnsi"/>
                <w:color w:val="000000"/>
              </w:rPr>
              <w:t>,</w:t>
            </w:r>
            <w:r w:rsidR="00B91D64" w:rsidRPr="00872FD2">
              <w:rPr>
                <w:rFonts w:asciiTheme="minorHAnsi" w:hAnsiTheme="minorHAnsi"/>
                <w:color w:val="000000"/>
              </w:rPr>
              <w:t xml:space="preserve"> </w:t>
            </w:r>
            <w:r w:rsidRPr="00872FD2">
              <w:rPr>
                <w:rFonts w:asciiTheme="minorHAnsi" w:hAnsiTheme="minorHAnsi"/>
                <w:color w:val="000000"/>
              </w:rPr>
              <w:t>εργασία</w:t>
            </w:r>
          </w:p>
        </w:tc>
        <w:tc>
          <w:tcPr>
            <w:tcW w:w="1250" w:type="pct"/>
          </w:tcPr>
          <w:p w:rsidR="00AD5F6D" w:rsidRPr="0062205E" w:rsidRDefault="00AD5F6D" w:rsidP="00872FD2">
            <w:pPr>
              <w:spacing w:after="0" w:line="360" w:lineRule="auto"/>
              <w:cnfStyle w:val="000000000000"/>
              <w:rPr>
                <w:rFonts w:asciiTheme="minorHAnsi" w:hAnsiTheme="minorHAnsi"/>
                <w:color w:val="000000"/>
              </w:rPr>
            </w:pPr>
          </w:p>
        </w:tc>
      </w:tr>
      <w:tr w:rsidR="00AD5F6D" w:rsidRPr="00872FD2" w:rsidTr="00995094">
        <w:trPr>
          <w:trHeight w:val="1058"/>
        </w:trPr>
        <w:tc>
          <w:tcPr>
            <w:cnfStyle w:val="001000000000"/>
            <w:tcW w:w="1250" w:type="pct"/>
          </w:tcPr>
          <w:p w:rsidR="00AD5F6D" w:rsidRPr="00872FD2" w:rsidRDefault="004577BE" w:rsidP="00872FD2">
            <w:pPr>
              <w:spacing w:after="0" w:line="360" w:lineRule="auto"/>
              <w:jc w:val="both"/>
              <w:rPr>
                <w:rFonts w:asciiTheme="minorHAnsi" w:hAnsiTheme="minorHAnsi"/>
                <w:color w:val="000000"/>
                <w:lang w:val="en-US"/>
              </w:rPr>
            </w:pPr>
            <w:r w:rsidRPr="00872FD2">
              <w:rPr>
                <w:rFonts w:asciiTheme="minorHAnsi" w:eastAsia="SimSun" w:hAnsiTheme="minorHAnsi"/>
                <w:color w:val="000000"/>
                <w:lang w:val="en-US"/>
              </w:rPr>
              <w:t>Kugler</w:t>
            </w:r>
            <w:r w:rsidRPr="0062205E">
              <w:rPr>
                <w:rFonts w:asciiTheme="minorHAnsi" w:eastAsia="SimSun" w:hAnsiTheme="minorHAnsi"/>
                <w:color w:val="000000"/>
              </w:rPr>
              <w:t>,</w:t>
            </w:r>
            <w:hyperlink r:id="rId29" w:history="1">
              <w:r w:rsidRPr="00872FD2">
                <w:rPr>
                  <w:rStyle w:val="-"/>
                  <w:rFonts w:asciiTheme="minorHAnsi" w:eastAsiaTheme="minorHAnsi" w:hAnsiTheme="minorHAnsi" w:cstheme="minorHAnsi"/>
                  <w:color w:val="auto"/>
                  <w:u w:val="none"/>
                  <w:lang w:val="en-US"/>
                </w:rPr>
                <w:t>Maeding</w:t>
              </w:r>
              <w:r w:rsidR="007B503D">
                <w:rPr>
                  <w:rStyle w:val="-"/>
                  <w:rFonts w:asciiTheme="minorHAnsi" w:eastAsiaTheme="minorHAnsi" w:hAnsiTheme="minorHAnsi" w:cstheme="minorHAnsi"/>
                  <w:color w:val="auto"/>
                  <w:u w:val="none"/>
                  <w:lang w:val="en-US"/>
                </w:rPr>
                <w:t>,</w:t>
              </w:r>
              <w:r w:rsidRPr="00872FD2">
                <w:rPr>
                  <w:rStyle w:val="-"/>
                  <w:rFonts w:asciiTheme="minorHAnsi" w:eastAsiaTheme="minorHAnsi" w:hAnsiTheme="minorHAnsi" w:cstheme="minorHAnsi"/>
                  <w:color w:val="auto"/>
                  <w:u w:val="none"/>
                  <w:lang w:val="en-US"/>
                </w:rPr>
                <w:t xml:space="preserve"> </w:t>
              </w:r>
            </w:hyperlink>
            <w:r w:rsidRPr="00872FD2">
              <w:rPr>
                <w:rFonts w:asciiTheme="minorHAnsi" w:eastAsiaTheme="minorHAnsi" w:hAnsiTheme="minorHAnsi" w:cstheme="minorHAnsi"/>
                <w:color w:val="000000"/>
                <w:lang w:val="en-US"/>
              </w:rPr>
              <w:t>&amp;</w:t>
            </w:r>
            <w:r w:rsidRPr="00872FD2">
              <w:rPr>
                <w:rStyle w:val="apple-converted-space"/>
                <w:rFonts w:asciiTheme="minorHAnsi" w:eastAsiaTheme="minorHAnsi" w:hAnsiTheme="minorHAnsi" w:cstheme="minorHAnsi"/>
                <w:color w:val="000000"/>
                <w:lang w:val="en-US"/>
              </w:rPr>
              <w:t> </w:t>
            </w:r>
            <w:hyperlink r:id="rId30" w:history="1">
              <w:r w:rsidRPr="00872FD2">
                <w:rPr>
                  <w:rStyle w:val="-"/>
                  <w:rFonts w:asciiTheme="minorHAnsi" w:eastAsiaTheme="minorHAnsi" w:hAnsiTheme="minorHAnsi" w:cstheme="minorHAnsi"/>
                  <w:color w:val="auto"/>
                  <w:u w:val="none"/>
                  <w:lang w:val="en-US"/>
                </w:rPr>
                <w:t>Russell</w:t>
              </w:r>
              <w:r w:rsidR="007B503D">
                <w:rPr>
                  <w:rStyle w:val="-"/>
                  <w:rFonts w:asciiTheme="minorHAnsi" w:eastAsiaTheme="minorHAnsi" w:hAnsiTheme="minorHAnsi" w:cstheme="minorHAnsi"/>
                  <w:color w:val="auto"/>
                  <w:u w:val="none"/>
                  <w:lang w:val="en-US"/>
                </w:rPr>
                <w:t>,</w:t>
              </w:r>
              <w:r w:rsidRPr="00872FD2">
                <w:rPr>
                  <w:rStyle w:val="-"/>
                  <w:rFonts w:asciiTheme="minorHAnsi" w:eastAsiaTheme="minorHAnsi" w:hAnsiTheme="minorHAnsi" w:cstheme="minorHAnsi"/>
                  <w:color w:val="auto"/>
                  <w:u w:val="none"/>
                  <w:lang w:val="en-US"/>
                </w:rPr>
                <w:t xml:space="preserve"> </w:t>
              </w:r>
            </w:hyperlink>
            <w:r w:rsidR="00AD5F6D" w:rsidRPr="00872FD2">
              <w:rPr>
                <w:rFonts w:asciiTheme="minorHAnsi" w:hAnsiTheme="minorHAnsi"/>
                <w:color w:val="000000"/>
                <w:lang w:val="en-US"/>
              </w:rPr>
              <w:t>2011</w:t>
            </w:r>
          </w:p>
        </w:tc>
        <w:tc>
          <w:tcPr>
            <w:tcW w:w="1250" w:type="pct"/>
          </w:tcPr>
          <w:p w:rsidR="005A0289" w:rsidRPr="00872FD2" w:rsidRDefault="005A0289" w:rsidP="00872FD2">
            <w:pPr>
              <w:spacing w:after="0" w:line="360" w:lineRule="auto"/>
              <w:cnfStyle w:val="000000000000"/>
              <w:rPr>
                <w:rFonts w:asciiTheme="minorHAnsi" w:hAnsiTheme="minorHAnsi"/>
                <w:color w:val="000000"/>
              </w:rPr>
            </w:pPr>
            <w:r w:rsidRPr="00872FD2">
              <w:rPr>
                <w:rFonts w:asciiTheme="minorHAnsi" w:hAnsiTheme="minorHAnsi"/>
                <w:color w:val="000000"/>
              </w:rPr>
              <w:t xml:space="preserve"> </w:t>
            </w:r>
            <w:r w:rsidRPr="00872FD2">
              <w:rPr>
                <w:rFonts w:asciiTheme="minorHAnsi" w:eastAsia="SimSun" w:hAnsiTheme="minorHAnsi"/>
                <w:color w:val="000000"/>
              </w:rPr>
              <w:t>Γυναικείο φύλο,</w:t>
            </w:r>
          </w:p>
          <w:p w:rsidR="00AD5F6D" w:rsidRPr="00872FD2" w:rsidRDefault="007846F0" w:rsidP="00872FD2">
            <w:pPr>
              <w:spacing w:after="0" w:line="360" w:lineRule="auto"/>
              <w:cnfStyle w:val="000000000000"/>
              <w:rPr>
                <w:rFonts w:asciiTheme="minorHAnsi" w:hAnsiTheme="minorHAnsi"/>
                <w:color w:val="000000"/>
              </w:rPr>
            </w:pPr>
            <w:r>
              <w:rPr>
                <w:rFonts w:asciiTheme="minorHAnsi" w:hAnsiTheme="minorHAnsi"/>
                <w:color w:val="000000"/>
              </w:rPr>
              <w:t>Υ</w:t>
            </w:r>
            <w:r w:rsidR="005A0289" w:rsidRPr="00872FD2">
              <w:rPr>
                <w:rFonts w:asciiTheme="minorHAnsi" w:hAnsiTheme="minorHAnsi"/>
                <w:color w:val="000000"/>
              </w:rPr>
              <w:t>ψηλό εκπαιδευτικό επίπεδο</w:t>
            </w:r>
            <w:r w:rsidR="00AD5F6D" w:rsidRPr="00872FD2">
              <w:rPr>
                <w:rFonts w:asciiTheme="minorHAnsi" w:hAnsiTheme="minorHAnsi"/>
                <w:color w:val="000000"/>
              </w:rPr>
              <w:t xml:space="preserve"> </w:t>
            </w:r>
          </w:p>
        </w:tc>
        <w:tc>
          <w:tcPr>
            <w:tcW w:w="1250" w:type="pct"/>
          </w:tcPr>
          <w:p w:rsidR="00AD5F6D" w:rsidRPr="00872FD2" w:rsidRDefault="005A0289" w:rsidP="00872FD2">
            <w:pPr>
              <w:spacing w:after="0" w:line="360" w:lineRule="auto"/>
              <w:cnfStyle w:val="000000000000"/>
              <w:rPr>
                <w:rFonts w:asciiTheme="minorHAnsi" w:hAnsiTheme="minorHAnsi"/>
                <w:color w:val="000000"/>
              </w:rPr>
            </w:pPr>
            <w:r w:rsidRPr="00872FD2">
              <w:rPr>
                <w:rFonts w:asciiTheme="minorHAnsi" w:hAnsiTheme="minorHAnsi"/>
                <w:color w:val="000000"/>
              </w:rPr>
              <w:t>Νέοι</w:t>
            </w:r>
          </w:p>
        </w:tc>
        <w:tc>
          <w:tcPr>
            <w:tcW w:w="1250" w:type="pct"/>
          </w:tcPr>
          <w:p w:rsidR="00AD5F6D" w:rsidRPr="00872FD2" w:rsidRDefault="00AD5F6D" w:rsidP="00872FD2">
            <w:pPr>
              <w:spacing w:after="0" w:line="360" w:lineRule="auto"/>
              <w:cnfStyle w:val="000000000000"/>
              <w:rPr>
                <w:rFonts w:asciiTheme="minorHAnsi" w:hAnsiTheme="minorHAnsi"/>
                <w:color w:val="000000"/>
                <w:lang w:val="en-US"/>
              </w:rPr>
            </w:pPr>
          </w:p>
        </w:tc>
      </w:tr>
      <w:tr w:rsidR="00AD5F6D" w:rsidRPr="00872FD2" w:rsidTr="00995094">
        <w:tc>
          <w:tcPr>
            <w:cnfStyle w:val="001000000000"/>
            <w:tcW w:w="1250" w:type="pct"/>
          </w:tcPr>
          <w:p w:rsidR="00AD5F6D" w:rsidRPr="00872FD2" w:rsidRDefault="002C20FF" w:rsidP="00872FD2">
            <w:pPr>
              <w:spacing w:after="0" w:line="360" w:lineRule="auto"/>
              <w:jc w:val="both"/>
              <w:rPr>
                <w:rFonts w:asciiTheme="minorHAnsi" w:hAnsiTheme="minorHAnsi"/>
                <w:color w:val="000000"/>
                <w:lang w:val="en-US"/>
              </w:rPr>
            </w:pPr>
            <w:r w:rsidRPr="00872FD2">
              <w:rPr>
                <w:rFonts w:asciiTheme="minorHAnsi" w:hAnsiTheme="minorHAnsi"/>
                <w:color w:val="000000"/>
                <w:lang w:val="en-US"/>
              </w:rPr>
              <w:t xml:space="preserve">Unruh </w:t>
            </w:r>
            <w:r w:rsidR="003041EB" w:rsidRPr="00872FD2">
              <w:rPr>
                <w:rFonts w:asciiTheme="minorHAnsi" w:hAnsiTheme="minorHAnsi"/>
                <w:color w:val="000000"/>
                <w:lang w:val="en-US"/>
              </w:rPr>
              <w:t>et al.</w:t>
            </w:r>
            <w:r w:rsidR="00D75F89">
              <w:rPr>
                <w:rFonts w:asciiTheme="minorHAnsi" w:hAnsiTheme="minorHAnsi"/>
                <w:color w:val="000000"/>
                <w:lang w:val="en-US"/>
              </w:rPr>
              <w:t>,</w:t>
            </w:r>
            <w:r w:rsidR="00AD5F6D" w:rsidRPr="00872FD2">
              <w:rPr>
                <w:rFonts w:asciiTheme="minorHAnsi" w:hAnsiTheme="minorHAnsi"/>
                <w:color w:val="000000"/>
                <w:lang w:val="en-US"/>
              </w:rPr>
              <w:t xml:space="preserve"> 2005</w:t>
            </w:r>
          </w:p>
        </w:tc>
        <w:tc>
          <w:tcPr>
            <w:tcW w:w="1250" w:type="pct"/>
          </w:tcPr>
          <w:p w:rsidR="00AD5F6D" w:rsidRPr="00872FD2" w:rsidRDefault="00AD5F6D" w:rsidP="00872FD2">
            <w:pPr>
              <w:spacing w:after="0" w:line="360" w:lineRule="auto"/>
              <w:cnfStyle w:val="000000000000"/>
              <w:rPr>
                <w:rFonts w:asciiTheme="minorHAnsi" w:hAnsiTheme="minorHAnsi"/>
                <w:color w:val="000000"/>
                <w:lang w:val="en-US"/>
              </w:rPr>
            </w:pPr>
          </w:p>
        </w:tc>
        <w:tc>
          <w:tcPr>
            <w:tcW w:w="1250" w:type="pct"/>
          </w:tcPr>
          <w:p w:rsidR="00AD5F6D" w:rsidRPr="00872FD2" w:rsidRDefault="005A0289" w:rsidP="00872FD2">
            <w:pPr>
              <w:spacing w:after="0" w:line="360" w:lineRule="auto"/>
              <w:cnfStyle w:val="000000000000"/>
              <w:rPr>
                <w:rFonts w:asciiTheme="minorHAnsi" w:hAnsiTheme="minorHAnsi"/>
                <w:color w:val="000000"/>
              </w:rPr>
            </w:pPr>
            <w:r w:rsidRPr="00872FD2">
              <w:rPr>
                <w:rFonts w:asciiTheme="minorHAnsi" w:hAnsiTheme="minorHAnsi"/>
                <w:color w:val="000000"/>
              </w:rPr>
              <w:t>Νέοι</w:t>
            </w:r>
            <w:r w:rsidR="00AD5F6D" w:rsidRPr="00872FD2">
              <w:rPr>
                <w:rFonts w:asciiTheme="minorHAnsi" w:hAnsiTheme="minorHAnsi"/>
                <w:color w:val="000000"/>
                <w:lang w:val="en-US"/>
              </w:rPr>
              <w:t>,</w:t>
            </w:r>
            <w:r w:rsidR="00B91D64" w:rsidRPr="00872FD2">
              <w:rPr>
                <w:rFonts w:asciiTheme="minorHAnsi" w:hAnsiTheme="minorHAnsi"/>
                <w:color w:val="000000"/>
              </w:rPr>
              <w:t xml:space="preserve"> </w:t>
            </w:r>
            <w:r w:rsidRPr="00872FD2">
              <w:rPr>
                <w:rFonts w:asciiTheme="minorHAnsi" w:eastAsia="SimSun" w:hAnsiTheme="minorHAnsi"/>
                <w:color w:val="000000"/>
              </w:rPr>
              <w:t>μαύρη φυλή</w:t>
            </w:r>
          </w:p>
        </w:tc>
        <w:tc>
          <w:tcPr>
            <w:tcW w:w="1250" w:type="pct"/>
          </w:tcPr>
          <w:p w:rsidR="00AD5F6D" w:rsidRPr="00872FD2" w:rsidRDefault="00AD5F6D" w:rsidP="00872FD2">
            <w:pPr>
              <w:spacing w:after="0" w:line="360" w:lineRule="auto"/>
              <w:cnfStyle w:val="000000000000"/>
              <w:rPr>
                <w:rFonts w:asciiTheme="minorHAnsi" w:hAnsiTheme="minorHAnsi"/>
                <w:color w:val="000000"/>
                <w:lang w:val="en-US"/>
              </w:rPr>
            </w:pPr>
          </w:p>
        </w:tc>
      </w:tr>
      <w:tr w:rsidR="00AD5F6D" w:rsidRPr="00872FD2" w:rsidTr="00995094">
        <w:tc>
          <w:tcPr>
            <w:cnfStyle w:val="001000000000"/>
            <w:tcW w:w="1250" w:type="pct"/>
          </w:tcPr>
          <w:p w:rsidR="00AD5F6D" w:rsidRPr="00872FD2" w:rsidRDefault="00AD5F6D" w:rsidP="00872FD2">
            <w:pPr>
              <w:spacing w:after="0" w:line="360" w:lineRule="auto"/>
              <w:jc w:val="both"/>
              <w:rPr>
                <w:rFonts w:asciiTheme="minorHAnsi" w:hAnsiTheme="minorHAnsi"/>
                <w:color w:val="000000"/>
                <w:lang w:val="en-US"/>
              </w:rPr>
            </w:pPr>
            <w:r w:rsidRPr="00872FD2">
              <w:rPr>
                <w:rFonts w:asciiTheme="minorHAnsi" w:hAnsiTheme="minorHAnsi"/>
                <w:color w:val="000000"/>
                <w:lang w:val="en-US"/>
              </w:rPr>
              <w:t>Theofilo</w:t>
            </w:r>
            <w:r w:rsidR="002C20FF" w:rsidRPr="00872FD2">
              <w:rPr>
                <w:rFonts w:asciiTheme="minorHAnsi" w:hAnsiTheme="minorHAnsi"/>
                <w:color w:val="000000"/>
                <w:lang w:val="en-US"/>
              </w:rPr>
              <w:t>u</w:t>
            </w:r>
            <w:r w:rsidR="004577BE" w:rsidRPr="00872FD2">
              <w:rPr>
                <w:rFonts w:asciiTheme="minorHAnsi" w:hAnsiTheme="minorHAnsi"/>
                <w:color w:val="000000"/>
                <w:lang w:val="en-US"/>
              </w:rPr>
              <w:t>,</w:t>
            </w:r>
            <w:r w:rsidRPr="00872FD2">
              <w:rPr>
                <w:rFonts w:asciiTheme="minorHAnsi" w:hAnsiTheme="minorHAnsi"/>
                <w:color w:val="000000"/>
                <w:lang w:val="en-US"/>
              </w:rPr>
              <w:t xml:space="preserve"> 2012</w:t>
            </w:r>
            <w:r w:rsidR="0076403B" w:rsidRPr="00872FD2">
              <w:rPr>
                <w:rFonts w:asciiTheme="minorHAnsi" w:hAnsiTheme="minorHAnsi"/>
                <w:color w:val="000000"/>
                <w:lang w:val="en-US"/>
              </w:rPr>
              <w:t>b</w:t>
            </w:r>
          </w:p>
        </w:tc>
        <w:tc>
          <w:tcPr>
            <w:tcW w:w="1250" w:type="pct"/>
          </w:tcPr>
          <w:p w:rsidR="00AD5F6D" w:rsidRPr="00872FD2" w:rsidRDefault="005A0289" w:rsidP="00872FD2">
            <w:pPr>
              <w:spacing w:after="0" w:line="360" w:lineRule="auto"/>
              <w:cnfStyle w:val="000000000000"/>
              <w:rPr>
                <w:rFonts w:asciiTheme="minorHAnsi" w:hAnsiTheme="minorHAnsi"/>
                <w:color w:val="000000"/>
              </w:rPr>
            </w:pPr>
            <w:r w:rsidRPr="00872FD2">
              <w:rPr>
                <w:rFonts w:asciiTheme="minorHAnsi" w:hAnsiTheme="minorHAnsi"/>
                <w:color w:val="000000"/>
              </w:rPr>
              <w:t>Ανδρικό φύλο</w:t>
            </w:r>
          </w:p>
        </w:tc>
        <w:tc>
          <w:tcPr>
            <w:tcW w:w="1250" w:type="pct"/>
          </w:tcPr>
          <w:p w:rsidR="00AD5F6D" w:rsidRPr="00872FD2" w:rsidRDefault="005A0289" w:rsidP="00872FD2">
            <w:pPr>
              <w:spacing w:after="0" w:line="360" w:lineRule="auto"/>
              <w:cnfStyle w:val="000000000000"/>
              <w:rPr>
                <w:rFonts w:asciiTheme="minorHAnsi" w:hAnsiTheme="minorHAnsi"/>
                <w:color w:val="000000"/>
              </w:rPr>
            </w:pPr>
            <w:r w:rsidRPr="00872FD2">
              <w:rPr>
                <w:rFonts w:asciiTheme="minorHAnsi" w:hAnsiTheme="minorHAnsi"/>
                <w:color w:val="000000"/>
              </w:rPr>
              <w:t>Νέοι</w:t>
            </w:r>
          </w:p>
        </w:tc>
        <w:tc>
          <w:tcPr>
            <w:tcW w:w="1250" w:type="pct"/>
          </w:tcPr>
          <w:p w:rsidR="00AD5F6D" w:rsidRPr="00872FD2" w:rsidRDefault="00AD5F6D" w:rsidP="00872FD2">
            <w:pPr>
              <w:spacing w:after="0" w:line="360" w:lineRule="auto"/>
              <w:cnfStyle w:val="000000000000"/>
              <w:rPr>
                <w:rFonts w:asciiTheme="minorHAnsi" w:hAnsiTheme="minorHAnsi"/>
                <w:color w:val="000000"/>
                <w:lang w:val="en-US"/>
              </w:rPr>
            </w:pPr>
          </w:p>
        </w:tc>
      </w:tr>
      <w:tr w:rsidR="00AD5F6D" w:rsidRPr="00872FD2" w:rsidTr="00995094">
        <w:tc>
          <w:tcPr>
            <w:cnfStyle w:val="001000000000"/>
            <w:tcW w:w="1250" w:type="pct"/>
          </w:tcPr>
          <w:p w:rsidR="00AD5F6D" w:rsidRPr="00872FD2" w:rsidRDefault="00AD5F6D" w:rsidP="00872FD2">
            <w:pPr>
              <w:spacing w:after="0" w:line="360" w:lineRule="auto"/>
              <w:jc w:val="both"/>
              <w:rPr>
                <w:rFonts w:asciiTheme="minorHAnsi" w:hAnsiTheme="minorHAnsi"/>
                <w:color w:val="000000"/>
                <w:lang w:val="en-US"/>
              </w:rPr>
            </w:pPr>
            <w:r w:rsidRPr="00872FD2">
              <w:rPr>
                <w:rFonts w:asciiTheme="minorHAnsi" w:hAnsiTheme="minorHAnsi"/>
                <w:color w:val="000000"/>
                <w:lang w:val="en-US"/>
              </w:rPr>
              <w:t xml:space="preserve">Zrinyi </w:t>
            </w:r>
            <w:r w:rsidR="00566CAA" w:rsidRPr="00872FD2">
              <w:rPr>
                <w:rFonts w:asciiTheme="minorHAnsi" w:eastAsia="SimSun" w:hAnsiTheme="minorHAnsi"/>
                <w:color w:val="000000"/>
              </w:rPr>
              <w:t>et al</w:t>
            </w:r>
            <w:r w:rsidR="004577BE" w:rsidRPr="00872FD2">
              <w:rPr>
                <w:rFonts w:asciiTheme="minorHAnsi" w:eastAsia="SimSun" w:hAnsiTheme="minorHAnsi"/>
                <w:color w:val="000000"/>
                <w:lang w:val="en-US"/>
              </w:rPr>
              <w:t>.</w:t>
            </w:r>
            <w:r w:rsidR="00CE01B5">
              <w:rPr>
                <w:rFonts w:asciiTheme="minorHAnsi" w:eastAsia="SimSun" w:hAnsiTheme="minorHAnsi"/>
                <w:color w:val="000000"/>
                <w:lang w:val="en-US"/>
              </w:rPr>
              <w:t>,</w:t>
            </w:r>
            <w:r w:rsidRPr="00872FD2">
              <w:rPr>
                <w:rFonts w:asciiTheme="minorHAnsi" w:eastAsia="SimSun" w:hAnsiTheme="minorHAnsi"/>
                <w:color w:val="000000"/>
                <w:lang w:val="en-US"/>
              </w:rPr>
              <w:t xml:space="preserve"> </w:t>
            </w:r>
            <w:r w:rsidRPr="00872FD2">
              <w:rPr>
                <w:rFonts w:asciiTheme="minorHAnsi" w:hAnsiTheme="minorHAnsi"/>
                <w:color w:val="000000"/>
                <w:lang w:val="en-US"/>
              </w:rPr>
              <w:t>2003</w:t>
            </w:r>
          </w:p>
        </w:tc>
        <w:tc>
          <w:tcPr>
            <w:tcW w:w="1250" w:type="pct"/>
          </w:tcPr>
          <w:p w:rsidR="00AD5F6D" w:rsidRPr="00872FD2" w:rsidRDefault="005A0289" w:rsidP="00872FD2">
            <w:pPr>
              <w:spacing w:after="0" w:line="360" w:lineRule="auto"/>
              <w:cnfStyle w:val="000000000000"/>
              <w:rPr>
                <w:rFonts w:asciiTheme="minorHAnsi" w:hAnsiTheme="minorHAnsi"/>
                <w:color w:val="000000"/>
              </w:rPr>
            </w:pPr>
            <w:r w:rsidRPr="00872FD2">
              <w:rPr>
                <w:rFonts w:asciiTheme="minorHAnsi" w:hAnsiTheme="minorHAnsi"/>
                <w:color w:val="000000"/>
              </w:rPr>
              <w:t>Οικογε</w:t>
            </w:r>
            <w:r w:rsidR="007846F0">
              <w:rPr>
                <w:rFonts w:asciiTheme="minorHAnsi" w:hAnsiTheme="minorHAnsi"/>
                <w:color w:val="000000"/>
              </w:rPr>
              <w:t>ν</w:t>
            </w:r>
            <w:r w:rsidRPr="00872FD2">
              <w:rPr>
                <w:rFonts w:asciiTheme="minorHAnsi" w:hAnsiTheme="minorHAnsi"/>
                <w:color w:val="000000"/>
              </w:rPr>
              <w:t>ειακή στήριξη</w:t>
            </w:r>
          </w:p>
        </w:tc>
        <w:tc>
          <w:tcPr>
            <w:tcW w:w="1250" w:type="pct"/>
          </w:tcPr>
          <w:p w:rsidR="00AD5F6D" w:rsidRPr="00872FD2" w:rsidRDefault="00AD5F6D" w:rsidP="00872FD2">
            <w:pPr>
              <w:spacing w:after="0" w:line="360" w:lineRule="auto"/>
              <w:cnfStyle w:val="000000000000"/>
              <w:rPr>
                <w:rFonts w:asciiTheme="minorHAnsi" w:hAnsiTheme="minorHAnsi"/>
                <w:color w:val="000000"/>
                <w:lang w:val="en-US"/>
              </w:rPr>
            </w:pPr>
          </w:p>
        </w:tc>
        <w:tc>
          <w:tcPr>
            <w:tcW w:w="1250" w:type="pct"/>
          </w:tcPr>
          <w:p w:rsidR="00AD5F6D" w:rsidRPr="00872FD2" w:rsidRDefault="00AD5F6D" w:rsidP="00872FD2">
            <w:pPr>
              <w:spacing w:after="0" w:line="360" w:lineRule="auto"/>
              <w:cnfStyle w:val="000000000000"/>
              <w:rPr>
                <w:rFonts w:asciiTheme="minorHAnsi" w:hAnsiTheme="minorHAnsi"/>
                <w:color w:val="000000"/>
                <w:lang w:val="en-US"/>
              </w:rPr>
            </w:pPr>
          </w:p>
        </w:tc>
      </w:tr>
      <w:tr w:rsidR="00AD5F6D" w:rsidRPr="00872FD2" w:rsidTr="00995094">
        <w:tc>
          <w:tcPr>
            <w:cnfStyle w:val="001000000000"/>
            <w:tcW w:w="1250" w:type="pct"/>
          </w:tcPr>
          <w:p w:rsidR="00AD5F6D" w:rsidRPr="00872FD2" w:rsidRDefault="00AD5F6D" w:rsidP="00872FD2">
            <w:pPr>
              <w:spacing w:after="0" w:line="360" w:lineRule="auto"/>
              <w:jc w:val="both"/>
              <w:rPr>
                <w:rFonts w:asciiTheme="minorHAnsi" w:hAnsiTheme="minorHAnsi"/>
                <w:color w:val="000000"/>
                <w:lang w:val="en-US"/>
              </w:rPr>
            </w:pPr>
            <w:r w:rsidRPr="00872FD2">
              <w:rPr>
                <w:rFonts w:asciiTheme="minorHAnsi" w:hAnsiTheme="minorHAnsi"/>
                <w:color w:val="000000"/>
                <w:lang w:val="en-US"/>
              </w:rPr>
              <w:t xml:space="preserve">Smith </w:t>
            </w:r>
            <w:r w:rsidR="00566CAA" w:rsidRPr="00872FD2">
              <w:rPr>
                <w:rFonts w:asciiTheme="minorHAnsi" w:eastAsia="SimSun" w:hAnsiTheme="minorHAnsi"/>
                <w:color w:val="000000"/>
              </w:rPr>
              <w:t>et al</w:t>
            </w:r>
            <w:r w:rsidR="006460B8" w:rsidRPr="00872FD2">
              <w:rPr>
                <w:rFonts w:asciiTheme="minorHAnsi" w:eastAsia="SimSun" w:hAnsiTheme="minorHAnsi"/>
                <w:color w:val="000000"/>
                <w:lang w:val="en-US"/>
              </w:rPr>
              <w:t>.</w:t>
            </w:r>
            <w:r w:rsidR="00C71CA6">
              <w:rPr>
                <w:rFonts w:asciiTheme="minorHAnsi" w:eastAsia="SimSun" w:hAnsiTheme="minorHAnsi"/>
                <w:color w:val="000000"/>
                <w:lang w:val="en-US"/>
              </w:rPr>
              <w:t>,</w:t>
            </w:r>
            <w:r w:rsidRPr="00872FD2">
              <w:rPr>
                <w:rFonts w:asciiTheme="minorHAnsi" w:eastAsia="SimSun" w:hAnsiTheme="minorHAnsi"/>
                <w:color w:val="000000"/>
                <w:lang w:val="en-US"/>
              </w:rPr>
              <w:t xml:space="preserve"> </w:t>
            </w:r>
            <w:r w:rsidRPr="00872FD2">
              <w:rPr>
                <w:rFonts w:asciiTheme="minorHAnsi" w:hAnsiTheme="minorHAnsi"/>
                <w:color w:val="000000"/>
                <w:lang w:val="en-US"/>
              </w:rPr>
              <w:t>2010</w:t>
            </w:r>
          </w:p>
        </w:tc>
        <w:tc>
          <w:tcPr>
            <w:tcW w:w="1250" w:type="pct"/>
          </w:tcPr>
          <w:p w:rsidR="00AD5F6D" w:rsidRPr="00872FD2" w:rsidRDefault="00AD5F6D" w:rsidP="00872FD2">
            <w:pPr>
              <w:spacing w:after="0" w:line="360" w:lineRule="auto"/>
              <w:cnfStyle w:val="000000000000"/>
              <w:rPr>
                <w:rFonts w:asciiTheme="minorHAnsi" w:hAnsiTheme="minorHAnsi"/>
                <w:color w:val="000000"/>
                <w:lang w:val="en-US"/>
              </w:rPr>
            </w:pPr>
          </w:p>
        </w:tc>
        <w:tc>
          <w:tcPr>
            <w:tcW w:w="1250" w:type="pct"/>
          </w:tcPr>
          <w:p w:rsidR="00AD5F6D" w:rsidRPr="00872FD2" w:rsidRDefault="007846F0" w:rsidP="00872FD2">
            <w:pPr>
              <w:spacing w:after="0" w:line="360" w:lineRule="auto"/>
              <w:cnfStyle w:val="000000000000"/>
              <w:rPr>
                <w:rFonts w:asciiTheme="minorHAnsi" w:hAnsiTheme="minorHAnsi"/>
                <w:color w:val="000000"/>
              </w:rPr>
            </w:pPr>
            <w:r>
              <w:rPr>
                <w:rFonts w:asciiTheme="minorHAnsi" w:hAnsiTheme="minorHAnsi"/>
                <w:color w:val="000000"/>
              </w:rPr>
              <w:t>Ε</w:t>
            </w:r>
            <w:r w:rsidR="005A0289" w:rsidRPr="00872FD2">
              <w:rPr>
                <w:rFonts w:asciiTheme="minorHAnsi" w:hAnsiTheme="minorHAnsi"/>
                <w:color w:val="000000"/>
              </w:rPr>
              <w:t>ργασία</w:t>
            </w:r>
            <w:r w:rsidR="00AD5F6D" w:rsidRPr="00872FD2">
              <w:rPr>
                <w:rFonts w:asciiTheme="minorHAnsi" w:hAnsiTheme="minorHAnsi"/>
                <w:color w:val="000000"/>
              </w:rPr>
              <w:t>,</w:t>
            </w:r>
            <w:r w:rsidR="005A0289" w:rsidRPr="00872FD2">
              <w:rPr>
                <w:rFonts w:asciiTheme="minorHAnsi" w:hAnsiTheme="minorHAnsi"/>
                <w:color w:val="000000"/>
              </w:rPr>
              <w:t xml:space="preserve"> έλλειψη οικογενειακής στήριξης</w:t>
            </w:r>
          </w:p>
        </w:tc>
        <w:tc>
          <w:tcPr>
            <w:tcW w:w="1250" w:type="pct"/>
          </w:tcPr>
          <w:p w:rsidR="00AD5F6D" w:rsidRPr="00872FD2" w:rsidRDefault="00AD5F6D" w:rsidP="00872FD2">
            <w:pPr>
              <w:spacing w:after="0" w:line="360" w:lineRule="auto"/>
              <w:cnfStyle w:val="000000000000"/>
              <w:rPr>
                <w:rFonts w:asciiTheme="minorHAnsi" w:hAnsiTheme="minorHAnsi"/>
                <w:color w:val="000000"/>
              </w:rPr>
            </w:pPr>
          </w:p>
        </w:tc>
      </w:tr>
      <w:tr w:rsidR="00AD5F6D" w:rsidRPr="00872FD2" w:rsidTr="00995094">
        <w:tc>
          <w:tcPr>
            <w:cnfStyle w:val="001000000000"/>
            <w:tcW w:w="1250" w:type="pct"/>
          </w:tcPr>
          <w:p w:rsidR="00AD5F6D" w:rsidRPr="00872FD2" w:rsidRDefault="00AD5F6D" w:rsidP="00872FD2">
            <w:pPr>
              <w:spacing w:after="0" w:line="360" w:lineRule="auto"/>
              <w:jc w:val="both"/>
              <w:rPr>
                <w:rFonts w:asciiTheme="minorHAnsi" w:hAnsiTheme="minorHAnsi"/>
                <w:color w:val="000000"/>
                <w:lang w:val="en-US"/>
              </w:rPr>
            </w:pPr>
            <w:r w:rsidRPr="00872FD2">
              <w:rPr>
                <w:rFonts w:asciiTheme="minorHAnsi" w:eastAsia="SimSun" w:hAnsiTheme="minorHAnsi"/>
                <w:color w:val="000000"/>
                <w:lang w:val="en-US"/>
              </w:rPr>
              <w:t>Theofilou</w:t>
            </w:r>
            <w:r w:rsidR="004577BE" w:rsidRPr="00872FD2">
              <w:rPr>
                <w:rFonts w:asciiTheme="minorHAnsi" w:eastAsia="SimSun" w:hAnsiTheme="minorHAnsi"/>
                <w:color w:val="000000"/>
                <w:lang w:val="en-US"/>
              </w:rPr>
              <w:t>,</w:t>
            </w:r>
            <w:r w:rsidR="004577BE" w:rsidRPr="00872FD2">
              <w:rPr>
                <w:rFonts w:asciiTheme="minorHAnsi" w:hAnsiTheme="minorHAnsi"/>
                <w:color w:val="000000"/>
                <w:lang w:val="en-US"/>
              </w:rPr>
              <w:t xml:space="preserve"> 2012b</w:t>
            </w:r>
          </w:p>
        </w:tc>
        <w:tc>
          <w:tcPr>
            <w:tcW w:w="1250" w:type="pct"/>
          </w:tcPr>
          <w:p w:rsidR="00AD5F6D" w:rsidRPr="00872FD2" w:rsidRDefault="005A0289" w:rsidP="00872FD2">
            <w:pPr>
              <w:spacing w:after="0" w:line="360" w:lineRule="auto"/>
              <w:cnfStyle w:val="000000000000"/>
              <w:rPr>
                <w:rFonts w:asciiTheme="minorHAnsi" w:hAnsiTheme="minorHAnsi"/>
                <w:color w:val="000000"/>
              </w:rPr>
            </w:pPr>
            <w:r w:rsidRPr="00872FD2">
              <w:rPr>
                <w:rFonts w:asciiTheme="minorHAnsi" w:hAnsiTheme="minorHAnsi"/>
                <w:color w:val="000000"/>
              </w:rPr>
              <w:t>Οικογε</w:t>
            </w:r>
            <w:r w:rsidR="007846F0">
              <w:rPr>
                <w:rFonts w:asciiTheme="minorHAnsi" w:hAnsiTheme="minorHAnsi"/>
                <w:color w:val="000000"/>
              </w:rPr>
              <w:t>ν</w:t>
            </w:r>
            <w:r w:rsidRPr="00872FD2">
              <w:rPr>
                <w:rFonts w:asciiTheme="minorHAnsi" w:hAnsiTheme="minorHAnsi"/>
                <w:color w:val="000000"/>
              </w:rPr>
              <w:t>ειακή στήριξη</w:t>
            </w:r>
          </w:p>
        </w:tc>
        <w:tc>
          <w:tcPr>
            <w:tcW w:w="1250" w:type="pct"/>
          </w:tcPr>
          <w:p w:rsidR="00AD5F6D" w:rsidRPr="00872FD2" w:rsidRDefault="00AD5F6D" w:rsidP="00872FD2">
            <w:pPr>
              <w:spacing w:after="0" w:line="360" w:lineRule="auto"/>
              <w:cnfStyle w:val="000000000000"/>
              <w:rPr>
                <w:rFonts w:asciiTheme="minorHAnsi" w:hAnsiTheme="minorHAnsi"/>
                <w:color w:val="000000"/>
                <w:lang w:val="en-US"/>
              </w:rPr>
            </w:pPr>
          </w:p>
        </w:tc>
        <w:tc>
          <w:tcPr>
            <w:tcW w:w="1250" w:type="pct"/>
          </w:tcPr>
          <w:p w:rsidR="00AD5F6D" w:rsidRPr="00872FD2" w:rsidRDefault="00AD5F6D" w:rsidP="00872FD2">
            <w:pPr>
              <w:spacing w:after="0" w:line="360" w:lineRule="auto"/>
              <w:cnfStyle w:val="000000000000"/>
              <w:rPr>
                <w:rFonts w:asciiTheme="minorHAnsi" w:hAnsiTheme="minorHAnsi"/>
                <w:color w:val="000000"/>
                <w:lang w:val="en-US"/>
              </w:rPr>
            </w:pPr>
          </w:p>
        </w:tc>
      </w:tr>
      <w:tr w:rsidR="00AD5F6D" w:rsidRPr="00872FD2" w:rsidTr="00995094">
        <w:tc>
          <w:tcPr>
            <w:cnfStyle w:val="001000000000"/>
            <w:tcW w:w="1250" w:type="pct"/>
          </w:tcPr>
          <w:p w:rsidR="00AD5F6D" w:rsidRPr="00872FD2" w:rsidRDefault="00AD5F6D" w:rsidP="00872FD2">
            <w:pPr>
              <w:spacing w:after="0" w:line="360" w:lineRule="auto"/>
              <w:jc w:val="both"/>
              <w:rPr>
                <w:rFonts w:asciiTheme="minorHAnsi" w:hAnsiTheme="minorHAnsi"/>
                <w:color w:val="000000"/>
                <w:lang w:val="en-US"/>
              </w:rPr>
            </w:pPr>
            <w:r w:rsidRPr="00872FD2">
              <w:rPr>
                <w:rFonts w:asciiTheme="minorHAnsi" w:hAnsiTheme="minorHAnsi"/>
                <w:color w:val="000000"/>
                <w:lang w:val="en-US"/>
              </w:rPr>
              <w:t xml:space="preserve">Kugler </w:t>
            </w:r>
            <w:r w:rsidR="00566CAA" w:rsidRPr="00872FD2">
              <w:rPr>
                <w:rFonts w:asciiTheme="minorHAnsi" w:eastAsia="SimSun" w:hAnsiTheme="minorHAnsi"/>
                <w:color w:val="000000"/>
              </w:rPr>
              <w:t>et al</w:t>
            </w:r>
            <w:r w:rsidR="006460B8" w:rsidRPr="00872FD2">
              <w:rPr>
                <w:rFonts w:asciiTheme="minorHAnsi" w:eastAsia="SimSun" w:hAnsiTheme="minorHAnsi"/>
                <w:color w:val="000000"/>
              </w:rPr>
              <w:t>.</w:t>
            </w:r>
            <w:r w:rsidR="007B503D">
              <w:rPr>
                <w:rFonts w:asciiTheme="minorHAnsi" w:eastAsia="SimSun" w:hAnsiTheme="minorHAnsi"/>
                <w:color w:val="000000"/>
                <w:lang w:val="en-US"/>
              </w:rPr>
              <w:t>,</w:t>
            </w:r>
            <w:r w:rsidRPr="00872FD2">
              <w:rPr>
                <w:rFonts w:asciiTheme="minorHAnsi" w:eastAsia="SimSun" w:hAnsiTheme="minorHAnsi"/>
                <w:color w:val="000000"/>
                <w:lang w:val="en-US"/>
              </w:rPr>
              <w:t xml:space="preserve"> </w:t>
            </w:r>
            <w:r w:rsidRPr="00872FD2">
              <w:rPr>
                <w:rFonts w:asciiTheme="minorHAnsi" w:hAnsiTheme="minorHAnsi"/>
                <w:color w:val="000000"/>
                <w:lang w:val="en-US"/>
              </w:rPr>
              <w:t>2005</w:t>
            </w:r>
          </w:p>
        </w:tc>
        <w:tc>
          <w:tcPr>
            <w:tcW w:w="1250" w:type="pct"/>
          </w:tcPr>
          <w:p w:rsidR="00AD5F6D" w:rsidRPr="00872FD2" w:rsidRDefault="00AD5F6D" w:rsidP="00872FD2">
            <w:pPr>
              <w:spacing w:after="0" w:line="360" w:lineRule="auto"/>
              <w:cnfStyle w:val="000000000000"/>
              <w:rPr>
                <w:rFonts w:asciiTheme="minorHAnsi" w:hAnsiTheme="minorHAnsi"/>
                <w:color w:val="000000"/>
                <w:lang w:val="en-US"/>
              </w:rPr>
            </w:pPr>
          </w:p>
        </w:tc>
        <w:tc>
          <w:tcPr>
            <w:tcW w:w="1250" w:type="pct"/>
          </w:tcPr>
          <w:p w:rsidR="00AD5F6D" w:rsidRPr="00872FD2" w:rsidRDefault="00AD5F6D" w:rsidP="00872FD2">
            <w:pPr>
              <w:spacing w:after="0" w:line="360" w:lineRule="auto"/>
              <w:cnfStyle w:val="000000000000"/>
              <w:rPr>
                <w:rFonts w:asciiTheme="minorHAnsi" w:hAnsiTheme="minorHAnsi"/>
                <w:color w:val="000000"/>
                <w:lang w:val="en-US"/>
              </w:rPr>
            </w:pPr>
          </w:p>
        </w:tc>
        <w:tc>
          <w:tcPr>
            <w:tcW w:w="1250" w:type="pct"/>
          </w:tcPr>
          <w:p w:rsidR="00AD5F6D" w:rsidRPr="00872FD2" w:rsidRDefault="005A0289" w:rsidP="00872FD2">
            <w:pPr>
              <w:spacing w:after="0" w:line="360" w:lineRule="auto"/>
              <w:cnfStyle w:val="000000000000"/>
              <w:rPr>
                <w:rFonts w:asciiTheme="minorHAnsi" w:hAnsiTheme="minorHAnsi"/>
                <w:b/>
                <w:color w:val="000000"/>
                <w:lang w:val="en-US"/>
              </w:rPr>
            </w:pPr>
            <w:r w:rsidRPr="00872FD2">
              <w:rPr>
                <w:rFonts w:asciiTheme="minorHAnsi" w:hAnsiTheme="minorHAnsi"/>
                <w:color w:val="000000"/>
              </w:rPr>
              <w:t>Οικογεκειακή στήριξη</w:t>
            </w:r>
          </w:p>
        </w:tc>
      </w:tr>
      <w:tr w:rsidR="00AD5F6D" w:rsidRPr="00872FD2" w:rsidTr="00995094">
        <w:tc>
          <w:tcPr>
            <w:cnfStyle w:val="001000000000"/>
            <w:tcW w:w="1250" w:type="pct"/>
          </w:tcPr>
          <w:p w:rsidR="00AD5F6D" w:rsidRPr="00872FD2" w:rsidRDefault="00AD5F6D" w:rsidP="00872FD2">
            <w:pPr>
              <w:spacing w:after="0" w:line="360" w:lineRule="auto"/>
              <w:jc w:val="both"/>
              <w:rPr>
                <w:rFonts w:asciiTheme="minorHAnsi" w:hAnsiTheme="minorHAnsi"/>
                <w:color w:val="000000"/>
                <w:lang w:val="en-US"/>
              </w:rPr>
            </w:pPr>
            <w:r w:rsidRPr="00872FD2">
              <w:rPr>
                <w:rFonts w:asciiTheme="minorHAnsi" w:hAnsiTheme="minorHAnsi"/>
                <w:color w:val="000000"/>
                <w:lang w:val="en-US"/>
              </w:rPr>
              <w:t>Untas</w:t>
            </w:r>
            <w:r w:rsidR="00B91D64" w:rsidRPr="00872FD2">
              <w:rPr>
                <w:rFonts w:asciiTheme="minorHAnsi" w:eastAsia="SimSun" w:hAnsiTheme="minorHAnsi"/>
                <w:color w:val="000000"/>
                <w:lang w:val="en-US"/>
              </w:rPr>
              <w:t xml:space="preserve"> </w:t>
            </w:r>
            <w:r w:rsidR="00566CAA" w:rsidRPr="00872FD2">
              <w:rPr>
                <w:rFonts w:asciiTheme="minorHAnsi" w:eastAsia="SimSun" w:hAnsiTheme="minorHAnsi"/>
                <w:color w:val="000000"/>
              </w:rPr>
              <w:t>et al</w:t>
            </w:r>
            <w:r w:rsidR="004577BE" w:rsidRPr="00872FD2">
              <w:rPr>
                <w:rFonts w:asciiTheme="minorHAnsi" w:eastAsia="SimSun" w:hAnsiTheme="minorHAnsi"/>
                <w:color w:val="000000"/>
                <w:lang w:val="en-US"/>
              </w:rPr>
              <w:t>.</w:t>
            </w:r>
            <w:r w:rsidR="00CE01B5">
              <w:rPr>
                <w:rFonts w:asciiTheme="minorHAnsi" w:eastAsia="SimSun" w:hAnsiTheme="minorHAnsi"/>
                <w:color w:val="000000"/>
                <w:lang w:val="en-US"/>
              </w:rPr>
              <w:t>,</w:t>
            </w:r>
            <w:r w:rsidRPr="00872FD2">
              <w:rPr>
                <w:rFonts w:asciiTheme="minorHAnsi" w:hAnsiTheme="minorHAnsi"/>
                <w:color w:val="000000"/>
                <w:lang w:val="en-US"/>
              </w:rPr>
              <w:t xml:space="preserve"> 2011</w:t>
            </w:r>
          </w:p>
        </w:tc>
        <w:tc>
          <w:tcPr>
            <w:tcW w:w="1250" w:type="pct"/>
          </w:tcPr>
          <w:p w:rsidR="00AD5F6D" w:rsidRPr="00872FD2" w:rsidRDefault="00AD5F6D" w:rsidP="00872FD2">
            <w:pPr>
              <w:spacing w:after="0" w:line="360" w:lineRule="auto"/>
              <w:cnfStyle w:val="000000000000"/>
              <w:rPr>
                <w:rFonts w:asciiTheme="minorHAnsi" w:hAnsiTheme="minorHAnsi"/>
                <w:color w:val="000000"/>
                <w:lang w:val="en-US"/>
              </w:rPr>
            </w:pPr>
          </w:p>
        </w:tc>
        <w:tc>
          <w:tcPr>
            <w:tcW w:w="1250" w:type="pct"/>
          </w:tcPr>
          <w:p w:rsidR="00AD5F6D" w:rsidRPr="00872FD2" w:rsidRDefault="005A0289" w:rsidP="00872FD2">
            <w:pPr>
              <w:spacing w:after="0" w:line="360" w:lineRule="auto"/>
              <w:cnfStyle w:val="000000000000"/>
              <w:rPr>
                <w:rFonts w:asciiTheme="minorHAnsi" w:hAnsiTheme="minorHAnsi"/>
                <w:color w:val="000000"/>
              </w:rPr>
            </w:pPr>
            <w:r w:rsidRPr="00872FD2">
              <w:rPr>
                <w:rFonts w:asciiTheme="minorHAnsi" w:hAnsiTheme="minorHAnsi"/>
                <w:color w:val="000000"/>
              </w:rPr>
              <w:t>Έλλειψη</w:t>
            </w:r>
            <w:r w:rsidR="0078495A">
              <w:rPr>
                <w:rFonts w:asciiTheme="minorHAnsi" w:hAnsiTheme="minorHAnsi"/>
                <w:color w:val="000000"/>
              </w:rPr>
              <w:t xml:space="preserve"> </w:t>
            </w:r>
            <w:r w:rsidRPr="00872FD2">
              <w:rPr>
                <w:rFonts w:asciiTheme="minorHAnsi" w:hAnsiTheme="minorHAnsi"/>
                <w:color w:val="000000"/>
              </w:rPr>
              <w:t>οικογενειακής στήριξης</w:t>
            </w:r>
          </w:p>
        </w:tc>
        <w:tc>
          <w:tcPr>
            <w:tcW w:w="1250" w:type="pct"/>
          </w:tcPr>
          <w:p w:rsidR="00AD5F6D" w:rsidRPr="00872FD2" w:rsidRDefault="00AD5F6D" w:rsidP="00872FD2">
            <w:pPr>
              <w:spacing w:after="0" w:line="360" w:lineRule="auto"/>
              <w:cnfStyle w:val="000000000000"/>
              <w:rPr>
                <w:rFonts w:asciiTheme="minorHAnsi" w:hAnsiTheme="minorHAnsi"/>
                <w:b/>
                <w:color w:val="000000"/>
                <w:lang w:val="en-US"/>
              </w:rPr>
            </w:pPr>
          </w:p>
        </w:tc>
      </w:tr>
    </w:tbl>
    <w:p w:rsidR="00AD5F6D" w:rsidRPr="005A464E" w:rsidRDefault="00AD5F6D" w:rsidP="005A464E">
      <w:pPr>
        <w:spacing w:line="360" w:lineRule="auto"/>
        <w:jc w:val="both"/>
        <w:rPr>
          <w:sz w:val="24"/>
          <w:szCs w:val="24"/>
        </w:rPr>
      </w:pPr>
    </w:p>
    <w:p w:rsidR="00AD5F6D" w:rsidRPr="005A464E" w:rsidRDefault="00AD5F6D" w:rsidP="005A464E">
      <w:pPr>
        <w:tabs>
          <w:tab w:val="left" w:pos="3294"/>
        </w:tabs>
        <w:spacing w:line="360" w:lineRule="auto"/>
        <w:jc w:val="both"/>
        <w:rPr>
          <w:sz w:val="24"/>
          <w:szCs w:val="24"/>
        </w:rPr>
      </w:pPr>
      <w:r w:rsidRPr="005A464E">
        <w:rPr>
          <w:sz w:val="24"/>
          <w:szCs w:val="24"/>
        </w:rPr>
        <w:t>Αν και οι μελέτες δεν υποδεικνύουν σαφή σχέση μεταξύ μη συμμόρφωσης κ</w:t>
      </w:r>
      <w:r w:rsidR="00EA2B4F" w:rsidRPr="005A464E">
        <w:rPr>
          <w:sz w:val="24"/>
          <w:szCs w:val="24"/>
        </w:rPr>
        <w:t>αι δημογραφικών χαρακτηριστικών</w:t>
      </w:r>
      <w:r w:rsidR="007846F0">
        <w:rPr>
          <w:sz w:val="24"/>
          <w:szCs w:val="24"/>
        </w:rPr>
        <w:t xml:space="preserve"> </w:t>
      </w:r>
      <w:r w:rsidR="00B0560D">
        <w:rPr>
          <w:sz w:val="24"/>
          <w:szCs w:val="24"/>
        </w:rPr>
        <w:t>του ασθενούς</w:t>
      </w:r>
      <w:r w:rsidRPr="005A464E">
        <w:rPr>
          <w:sz w:val="24"/>
          <w:szCs w:val="24"/>
        </w:rPr>
        <w:t xml:space="preserve"> </w:t>
      </w:r>
      <w:r w:rsidRPr="007846F0">
        <w:rPr>
          <w:sz w:val="24"/>
          <w:szCs w:val="24"/>
        </w:rPr>
        <w:t xml:space="preserve">υπό </w:t>
      </w:r>
      <w:r w:rsidR="007846F0" w:rsidRPr="009F1197">
        <w:rPr>
          <w:sz w:val="24"/>
          <w:szCs w:val="24"/>
        </w:rPr>
        <w:t>αιμοκάθαρση</w:t>
      </w:r>
      <w:r w:rsidRPr="009F1197">
        <w:rPr>
          <w:sz w:val="24"/>
          <w:szCs w:val="24"/>
        </w:rPr>
        <w:t>,</w:t>
      </w:r>
      <w:r w:rsidRPr="005A464E">
        <w:rPr>
          <w:sz w:val="24"/>
          <w:szCs w:val="24"/>
        </w:rPr>
        <w:t xml:space="preserve"> ορισμένοι παράγοντες φαίνεται να σχετίζονται με την μη τήρηση ενός θεραπευτικού σχήματος.</w:t>
      </w:r>
      <w:r w:rsidRPr="005A464E">
        <w:rPr>
          <w:sz w:val="24"/>
          <w:szCs w:val="24"/>
        </w:rPr>
        <w:tab/>
      </w:r>
    </w:p>
    <w:p w:rsidR="00AD5F6D" w:rsidRPr="00B4478C" w:rsidRDefault="00AD5F6D" w:rsidP="005A464E">
      <w:pPr>
        <w:tabs>
          <w:tab w:val="left" w:pos="3294"/>
        </w:tabs>
        <w:spacing w:line="360" w:lineRule="auto"/>
        <w:jc w:val="both"/>
        <w:rPr>
          <w:sz w:val="24"/>
          <w:szCs w:val="24"/>
        </w:rPr>
      </w:pPr>
      <w:r w:rsidRPr="005A464E">
        <w:rPr>
          <w:sz w:val="24"/>
          <w:szCs w:val="24"/>
        </w:rPr>
        <w:t>Η βιβλιογραφία δείχνει ότι οι</w:t>
      </w:r>
      <w:r w:rsidR="007846F0">
        <w:rPr>
          <w:sz w:val="24"/>
          <w:szCs w:val="24"/>
        </w:rPr>
        <w:t xml:space="preserve"> νέοι μπορεί να εμφανίσουν χαμηλότερα</w:t>
      </w:r>
      <w:r w:rsidRPr="005A464E">
        <w:rPr>
          <w:sz w:val="24"/>
          <w:szCs w:val="24"/>
        </w:rPr>
        <w:t xml:space="preserve"> επίπεδα συμ</w:t>
      </w:r>
      <w:r w:rsidR="003041EB">
        <w:rPr>
          <w:sz w:val="24"/>
          <w:szCs w:val="24"/>
        </w:rPr>
        <w:t xml:space="preserve">μόρφωσης </w:t>
      </w:r>
      <w:r w:rsidR="003041EB" w:rsidRPr="004E0AB7">
        <w:rPr>
          <w:sz w:val="24"/>
          <w:szCs w:val="24"/>
        </w:rPr>
        <w:t xml:space="preserve">από </w:t>
      </w:r>
      <w:r w:rsidR="001A4267" w:rsidRPr="004E0AB7">
        <w:rPr>
          <w:sz w:val="24"/>
          <w:szCs w:val="24"/>
        </w:rPr>
        <w:t xml:space="preserve">τους </w:t>
      </w:r>
      <w:r w:rsidR="003041EB" w:rsidRPr="004E0AB7">
        <w:rPr>
          <w:sz w:val="24"/>
          <w:szCs w:val="24"/>
        </w:rPr>
        <w:t>μεγαλύτερους</w:t>
      </w:r>
      <w:r w:rsidR="003041EB">
        <w:rPr>
          <w:sz w:val="24"/>
          <w:szCs w:val="24"/>
        </w:rPr>
        <w:t>. Ο</w:t>
      </w:r>
      <w:r w:rsidRPr="005A464E">
        <w:rPr>
          <w:sz w:val="24"/>
          <w:szCs w:val="24"/>
        </w:rPr>
        <w:t xml:space="preserve"> Kauric-Klein (2013) βρήκε μια σημαντική αρνητική συσχέτιση μεταξύ των νέων και της μη συμμόρφωσης στα αντιϋπερτασικά</w:t>
      </w:r>
      <w:r w:rsidR="007846F0">
        <w:rPr>
          <w:sz w:val="24"/>
          <w:szCs w:val="24"/>
        </w:rPr>
        <w:t xml:space="preserve"> φάρμακα</w:t>
      </w:r>
      <w:r w:rsidRPr="005A464E">
        <w:rPr>
          <w:sz w:val="24"/>
          <w:szCs w:val="24"/>
        </w:rPr>
        <w:t xml:space="preserve"> και στον περιορισμό υγρών. Οι ενήλικες ήταν περισσότερο συμμορφωμένοι στην φαρμακευτική αγωγή </w:t>
      </w:r>
      <w:r w:rsidRPr="004E0AB7">
        <w:rPr>
          <w:sz w:val="24"/>
          <w:szCs w:val="24"/>
        </w:rPr>
        <w:t>και σ</w:t>
      </w:r>
      <w:r w:rsidR="007846F0" w:rsidRPr="004E0AB7">
        <w:rPr>
          <w:sz w:val="24"/>
          <w:szCs w:val="24"/>
        </w:rPr>
        <w:t xml:space="preserve">την παρουσία κατά </w:t>
      </w:r>
      <w:r w:rsidRPr="004E0AB7">
        <w:rPr>
          <w:sz w:val="24"/>
          <w:szCs w:val="24"/>
        </w:rPr>
        <w:t xml:space="preserve">τη συνεδρία </w:t>
      </w:r>
      <w:r w:rsidR="007846F0" w:rsidRPr="004E0AB7">
        <w:rPr>
          <w:sz w:val="24"/>
          <w:szCs w:val="24"/>
        </w:rPr>
        <w:t xml:space="preserve">της </w:t>
      </w:r>
      <w:r w:rsidRPr="004E0AB7">
        <w:rPr>
          <w:sz w:val="24"/>
          <w:szCs w:val="24"/>
        </w:rPr>
        <w:t xml:space="preserve">αιμοκάθαρσης, η μαύρη φυλή ήταν προγνωστικός δείκτης για παράλειψη συνεδρίας, ενώ οι γυναίκες ήταν </w:t>
      </w:r>
      <w:r w:rsidR="007846F0" w:rsidRPr="004E0AB7">
        <w:rPr>
          <w:sz w:val="24"/>
          <w:szCs w:val="24"/>
        </w:rPr>
        <w:t>περισσότερο</w:t>
      </w:r>
      <w:r w:rsidRPr="004E0AB7">
        <w:rPr>
          <w:sz w:val="24"/>
          <w:szCs w:val="24"/>
        </w:rPr>
        <w:t xml:space="preserve"> συμμορφωμένες στον περιορισμό των υγρών. Καμία σχέση δεν βρέθηκε μεταξύ </w:t>
      </w:r>
      <w:r w:rsidR="000D053B" w:rsidRPr="004E0AB7">
        <w:rPr>
          <w:sz w:val="24"/>
          <w:szCs w:val="24"/>
        </w:rPr>
        <w:t>εκπαιδευτικού</w:t>
      </w:r>
      <w:r w:rsidRPr="004E0AB7">
        <w:rPr>
          <w:sz w:val="24"/>
          <w:szCs w:val="24"/>
        </w:rPr>
        <w:t xml:space="preserve"> επιπέδου και συμμόρφωσης στα</w:t>
      </w:r>
      <w:r w:rsidR="0078495A" w:rsidRPr="004E0AB7">
        <w:rPr>
          <w:sz w:val="24"/>
          <w:szCs w:val="24"/>
        </w:rPr>
        <w:t xml:space="preserve"> </w:t>
      </w:r>
      <w:r w:rsidR="00AA0C84" w:rsidRPr="004E0AB7">
        <w:rPr>
          <w:sz w:val="24"/>
          <w:szCs w:val="24"/>
        </w:rPr>
        <w:t>αντιϋπερτασικά</w:t>
      </w:r>
      <w:r w:rsidR="007846F0" w:rsidRPr="004E0AB7">
        <w:rPr>
          <w:sz w:val="24"/>
          <w:szCs w:val="24"/>
        </w:rPr>
        <w:t xml:space="preserve"> φάρμακα</w:t>
      </w:r>
      <w:r w:rsidR="002C20FF" w:rsidRPr="004E0AB7">
        <w:rPr>
          <w:sz w:val="24"/>
          <w:szCs w:val="24"/>
        </w:rPr>
        <w:t>.</w:t>
      </w:r>
      <w:r w:rsidRPr="004E0AB7">
        <w:rPr>
          <w:sz w:val="24"/>
          <w:szCs w:val="24"/>
        </w:rPr>
        <w:t xml:space="preserve"> Πα</w:t>
      </w:r>
      <w:r w:rsidR="00516D72" w:rsidRPr="004E0AB7">
        <w:rPr>
          <w:sz w:val="24"/>
          <w:szCs w:val="24"/>
        </w:rPr>
        <w:t>ρόμοια</w:t>
      </w:r>
      <w:r w:rsidR="00516D72">
        <w:rPr>
          <w:sz w:val="24"/>
          <w:szCs w:val="24"/>
        </w:rPr>
        <w:t xml:space="preserve"> </w:t>
      </w:r>
      <w:r w:rsidR="007846F0">
        <w:rPr>
          <w:sz w:val="24"/>
          <w:szCs w:val="24"/>
        </w:rPr>
        <w:t>ήταν τ</w:t>
      </w:r>
      <w:r w:rsidR="00516D72">
        <w:rPr>
          <w:sz w:val="24"/>
          <w:szCs w:val="24"/>
        </w:rPr>
        <w:t>α αποτελέσματα των</w:t>
      </w:r>
      <w:r w:rsidRPr="005A464E">
        <w:rPr>
          <w:sz w:val="24"/>
          <w:szCs w:val="24"/>
        </w:rPr>
        <w:t xml:space="preserve"> </w:t>
      </w:r>
      <w:r w:rsidRPr="005A464E">
        <w:rPr>
          <w:sz w:val="24"/>
          <w:szCs w:val="24"/>
          <w:lang w:val="en-US"/>
        </w:rPr>
        <w:t>Hain</w:t>
      </w:r>
      <w:r w:rsidR="002C20FF" w:rsidRPr="005A464E">
        <w:rPr>
          <w:sz w:val="24"/>
          <w:szCs w:val="24"/>
        </w:rPr>
        <w:t xml:space="preserve"> (2008)</w:t>
      </w:r>
      <w:r w:rsidR="0078495A">
        <w:rPr>
          <w:sz w:val="24"/>
          <w:szCs w:val="24"/>
        </w:rPr>
        <w:t xml:space="preserve"> </w:t>
      </w:r>
      <w:r w:rsidRPr="005A464E">
        <w:rPr>
          <w:sz w:val="24"/>
          <w:szCs w:val="24"/>
        </w:rPr>
        <w:t xml:space="preserve">και </w:t>
      </w:r>
      <w:r w:rsidRPr="005A464E">
        <w:rPr>
          <w:sz w:val="24"/>
          <w:szCs w:val="24"/>
          <w:lang w:val="en-US"/>
        </w:rPr>
        <w:t>Murray</w:t>
      </w:r>
      <w:r w:rsidR="00B941FE" w:rsidRPr="005A464E">
        <w:rPr>
          <w:sz w:val="24"/>
          <w:szCs w:val="24"/>
        </w:rPr>
        <w:t xml:space="preserve"> </w:t>
      </w:r>
      <w:r w:rsidR="002C20FF" w:rsidRPr="005A464E">
        <w:rPr>
          <w:sz w:val="24"/>
          <w:szCs w:val="24"/>
        </w:rPr>
        <w:t>(2008) ως προς την ηλικία</w:t>
      </w:r>
      <w:r w:rsidRPr="004E0AB7">
        <w:rPr>
          <w:sz w:val="24"/>
          <w:szCs w:val="24"/>
        </w:rPr>
        <w:t>. Αντίθετα είναι τα αποτελέσματα</w:t>
      </w:r>
      <w:r w:rsidR="007846F0" w:rsidRPr="004E0AB7">
        <w:rPr>
          <w:sz w:val="24"/>
          <w:szCs w:val="24"/>
        </w:rPr>
        <w:t xml:space="preserve"> της μελέτης</w:t>
      </w:r>
      <w:r w:rsidR="007846F0" w:rsidRPr="004E0AB7">
        <w:rPr>
          <w:rStyle w:val="a9"/>
        </w:rPr>
        <w:t xml:space="preserve"> </w:t>
      </w:r>
      <w:r w:rsidR="007846F0" w:rsidRPr="004E0AB7">
        <w:rPr>
          <w:rStyle w:val="a9"/>
          <w:sz w:val="24"/>
          <w:szCs w:val="24"/>
        </w:rPr>
        <w:t>τω</w:t>
      </w:r>
      <w:r w:rsidRPr="004E0AB7">
        <w:rPr>
          <w:sz w:val="24"/>
          <w:szCs w:val="24"/>
        </w:rPr>
        <w:t xml:space="preserve">ν </w:t>
      </w:r>
      <w:r w:rsidRPr="004E0AB7">
        <w:rPr>
          <w:sz w:val="24"/>
          <w:szCs w:val="24"/>
          <w:lang w:val="en-US"/>
        </w:rPr>
        <w:t>Baraz</w:t>
      </w:r>
      <w:r w:rsidRPr="004E0AB7">
        <w:rPr>
          <w:sz w:val="24"/>
          <w:szCs w:val="24"/>
        </w:rPr>
        <w:t xml:space="preserve"> </w:t>
      </w:r>
      <w:r w:rsidR="00566CAA" w:rsidRPr="004E0AB7">
        <w:rPr>
          <w:sz w:val="24"/>
          <w:szCs w:val="24"/>
        </w:rPr>
        <w:t>et al</w:t>
      </w:r>
      <w:r w:rsidR="004577BE" w:rsidRPr="004E0AB7">
        <w:rPr>
          <w:sz w:val="24"/>
          <w:szCs w:val="24"/>
        </w:rPr>
        <w:t>.</w:t>
      </w:r>
      <w:r w:rsidRPr="004E0AB7">
        <w:rPr>
          <w:sz w:val="24"/>
          <w:szCs w:val="24"/>
        </w:rPr>
        <w:t xml:space="preserve"> </w:t>
      </w:r>
      <w:r w:rsidR="004577BE" w:rsidRPr="004E0AB7">
        <w:rPr>
          <w:sz w:val="24"/>
          <w:szCs w:val="24"/>
        </w:rPr>
        <w:t xml:space="preserve">(2010) </w:t>
      </w:r>
      <w:r w:rsidR="00AA0C84" w:rsidRPr="004E0AB7">
        <w:rPr>
          <w:sz w:val="24"/>
          <w:szCs w:val="24"/>
        </w:rPr>
        <w:t>σύμφωνα με τα οποία</w:t>
      </w:r>
      <w:r w:rsidRPr="004E0AB7">
        <w:rPr>
          <w:sz w:val="24"/>
          <w:szCs w:val="24"/>
        </w:rPr>
        <w:t xml:space="preserve"> οι νέοι βρέθηκαν </w:t>
      </w:r>
      <w:r w:rsidR="007846F0" w:rsidRPr="004E0AB7">
        <w:rPr>
          <w:sz w:val="24"/>
          <w:szCs w:val="24"/>
        </w:rPr>
        <w:t>περισσότερο</w:t>
      </w:r>
      <w:r w:rsidRPr="004E0AB7">
        <w:rPr>
          <w:sz w:val="24"/>
          <w:szCs w:val="24"/>
        </w:rPr>
        <w:t xml:space="preserve"> συμμορφωμένοι από τους μεγαλύτερους μετά από εκπαιδευτική παρέμβαση ενώ το υψηλό εκπαιδευτικό επί</w:t>
      </w:r>
      <w:r w:rsidR="004577BE" w:rsidRPr="004E0AB7">
        <w:rPr>
          <w:sz w:val="24"/>
          <w:szCs w:val="24"/>
        </w:rPr>
        <w:t>πεδο ήταν δείκτης</w:t>
      </w:r>
      <w:r w:rsidR="004577BE">
        <w:rPr>
          <w:sz w:val="24"/>
          <w:szCs w:val="24"/>
        </w:rPr>
        <w:t xml:space="preserve"> συμμόρφωσης</w:t>
      </w:r>
      <w:r w:rsidRPr="005A464E">
        <w:rPr>
          <w:sz w:val="24"/>
          <w:szCs w:val="24"/>
        </w:rPr>
        <w:t>.</w:t>
      </w:r>
    </w:p>
    <w:p w:rsidR="00AD5F6D" w:rsidRPr="005A464E" w:rsidRDefault="00AD5F6D" w:rsidP="005A464E">
      <w:pPr>
        <w:tabs>
          <w:tab w:val="left" w:pos="3294"/>
        </w:tabs>
        <w:spacing w:line="360" w:lineRule="auto"/>
        <w:jc w:val="both"/>
        <w:rPr>
          <w:sz w:val="24"/>
          <w:szCs w:val="24"/>
        </w:rPr>
      </w:pPr>
      <w:r w:rsidRPr="005A464E">
        <w:rPr>
          <w:sz w:val="24"/>
          <w:szCs w:val="24"/>
        </w:rPr>
        <w:t xml:space="preserve">Οι Saran </w:t>
      </w:r>
      <w:r w:rsidR="00566CAA">
        <w:rPr>
          <w:sz w:val="24"/>
          <w:szCs w:val="24"/>
        </w:rPr>
        <w:t>et al</w:t>
      </w:r>
      <w:r w:rsidR="003041EB">
        <w:rPr>
          <w:sz w:val="24"/>
          <w:szCs w:val="24"/>
        </w:rPr>
        <w:t>.</w:t>
      </w:r>
      <w:r w:rsidRPr="005A464E">
        <w:rPr>
          <w:sz w:val="24"/>
          <w:szCs w:val="24"/>
        </w:rPr>
        <w:t xml:space="preserve"> (2003)</w:t>
      </w:r>
      <w:r w:rsidR="0078495A">
        <w:rPr>
          <w:sz w:val="24"/>
          <w:szCs w:val="24"/>
        </w:rPr>
        <w:t xml:space="preserve"> </w:t>
      </w:r>
      <w:r w:rsidRPr="005A464E">
        <w:rPr>
          <w:sz w:val="24"/>
          <w:szCs w:val="24"/>
        </w:rPr>
        <w:t xml:space="preserve">μελέτησαν τα επίπεδα συμμόρφωσης σε μια διεθνή μελέτη χρησιμοποιώντας δεδομένα από </w:t>
      </w:r>
      <w:r w:rsidR="00AB3D30" w:rsidRPr="0069147B">
        <w:rPr>
          <w:sz w:val="24"/>
          <w:szCs w:val="24"/>
        </w:rPr>
        <w:t>την Μελέτη Έκβασης της Αιμοκάθαρσης και Προτύπων Πρακτικής (</w:t>
      </w:r>
      <w:r w:rsidRPr="0069147B">
        <w:rPr>
          <w:sz w:val="24"/>
          <w:szCs w:val="24"/>
        </w:rPr>
        <w:t>Dialysis Outcomes and Practice Patterns Study</w:t>
      </w:r>
      <w:r w:rsidR="00AB3D30" w:rsidRPr="0069147B">
        <w:rPr>
          <w:sz w:val="24"/>
          <w:szCs w:val="24"/>
        </w:rPr>
        <w:t>,</w:t>
      </w:r>
      <w:r w:rsidRPr="0069147B">
        <w:rPr>
          <w:sz w:val="24"/>
          <w:szCs w:val="24"/>
        </w:rPr>
        <w:t>DOPPS). Προσδιοριστικοί παράγοντες των υψηλών ποσοστών μη συμμόρφωσης ήταν το νεαρό της ηλικίας (</w:t>
      </w:r>
      <w:r w:rsidR="007846F0" w:rsidRPr="0069147B">
        <w:rPr>
          <w:sz w:val="24"/>
          <w:szCs w:val="24"/>
        </w:rPr>
        <w:t xml:space="preserve">και συγκεκριμένα για τη συσχέτιση με </w:t>
      </w:r>
      <w:r w:rsidRPr="0069147B">
        <w:rPr>
          <w:sz w:val="24"/>
          <w:szCs w:val="24"/>
        </w:rPr>
        <w:t>την υπερφωσφαταιμία, την</w:t>
      </w:r>
      <w:r w:rsidR="0078495A" w:rsidRPr="0069147B">
        <w:rPr>
          <w:sz w:val="24"/>
          <w:szCs w:val="24"/>
        </w:rPr>
        <w:t xml:space="preserve"> </w:t>
      </w:r>
      <w:r w:rsidRPr="0069147B">
        <w:rPr>
          <w:sz w:val="24"/>
          <w:szCs w:val="24"/>
        </w:rPr>
        <w:t>υπε</w:t>
      </w:r>
      <w:r w:rsidR="00542C2D" w:rsidRPr="0069147B">
        <w:rPr>
          <w:sz w:val="24"/>
          <w:szCs w:val="24"/>
        </w:rPr>
        <w:t>ρφόρτωση με υγρά, την βράχυνση του χρόνου</w:t>
      </w:r>
      <w:r w:rsidRPr="0069147B">
        <w:rPr>
          <w:sz w:val="24"/>
          <w:szCs w:val="24"/>
        </w:rPr>
        <w:t xml:space="preserve"> </w:t>
      </w:r>
      <w:r w:rsidR="00542C2D" w:rsidRPr="0069147B">
        <w:rPr>
          <w:sz w:val="24"/>
          <w:szCs w:val="24"/>
        </w:rPr>
        <w:t>της</w:t>
      </w:r>
      <w:r w:rsidR="00542C2D">
        <w:rPr>
          <w:sz w:val="24"/>
          <w:szCs w:val="24"/>
        </w:rPr>
        <w:t xml:space="preserve"> συνεδρίας </w:t>
      </w:r>
      <w:r w:rsidRPr="005A464E">
        <w:rPr>
          <w:sz w:val="24"/>
          <w:szCs w:val="24"/>
        </w:rPr>
        <w:t xml:space="preserve">ή </w:t>
      </w:r>
      <w:r w:rsidR="00542C2D">
        <w:rPr>
          <w:sz w:val="24"/>
          <w:szCs w:val="24"/>
        </w:rPr>
        <w:t xml:space="preserve">την </w:t>
      </w:r>
      <w:r w:rsidRPr="005A464E">
        <w:rPr>
          <w:sz w:val="24"/>
          <w:szCs w:val="24"/>
        </w:rPr>
        <w:t>παράλειψη συνεδρίας), η Αφροαμερικανική φυλή</w:t>
      </w:r>
      <w:r w:rsidR="0078495A">
        <w:rPr>
          <w:sz w:val="24"/>
          <w:szCs w:val="24"/>
        </w:rPr>
        <w:t xml:space="preserve"> </w:t>
      </w:r>
      <w:r w:rsidRPr="005A464E">
        <w:rPr>
          <w:sz w:val="24"/>
          <w:szCs w:val="24"/>
        </w:rPr>
        <w:t xml:space="preserve">(για την </w:t>
      </w:r>
      <w:r w:rsidR="007846F0">
        <w:rPr>
          <w:sz w:val="24"/>
          <w:szCs w:val="24"/>
        </w:rPr>
        <w:t xml:space="preserve">συσχέτιση με την </w:t>
      </w:r>
      <w:r w:rsidRPr="005A464E">
        <w:rPr>
          <w:sz w:val="24"/>
          <w:szCs w:val="24"/>
        </w:rPr>
        <w:t>παράλειψη</w:t>
      </w:r>
      <w:r w:rsidR="0078495A">
        <w:rPr>
          <w:sz w:val="24"/>
          <w:szCs w:val="24"/>
        </w:rPr>
        <w:t xml:space="preserve"> </w:t>
      </w:r>
      <w:r w:rsidRPr="005A464E">
        <w:rPr>
          <w:sz w:val="24"/>
          <w:szCs w:val="24"/>
        </w:rPr>
        <w:t xml:space="preserve">και τη </w:t>
      </w:r>
      <w:r w:rsidR="00542C2D">
        <w:rPr>
          <w:sz w:val="24"/>
          <w:szCs w:val="24"/>
        </w:rPr>
        <w:t>βράχυνση του χρόνου της</w:t>
      </w:r>
      <w:r w:rsidR="009460D7">
        <w:rPr>
          <w:sz w:val="24"/>
          <w:szCs w:val="24"/>
        </w:rPr>
        <w:t xml:space="preserve"> συνεδρίας)</w:t>
      </w:r>
      <w:r w:rsidRPr="005A464E">
        <w:rPr>
          <w:sz w:val="24"/>
          <w:szCs w:val="24"/>
        </w:rPr>
        <w:t xml:space="preserve">, το γυναικείο φύλο (για την </w:t>
      </w:r>
      <w:r w:rsidR="00542C2D">
        <w:rPr>
          <w:sz w:val="24"/>
          <w:szCs w:val="24"/>
        </w:rPr>
        <w:t xml:space="preserve">συσχέτιση με την </w:t>
      </w:r>
      <w:r w:rsidRPr="005A464E">
        <w:rPr>
          <w:sz w:val="24"/>
          <w:szCs w:val="24"/>
        </w:rPr>
        <w:t>αύξηση του</w:t>
      </w:r>
      <w:r w:rsidR="00542C2D">
        <w:rPr>
          <w:sz w:val="24"/>
          <w:szCs w:val="24"/>
        </w:rPr>
        <w:t xml:space="preserve"> σωματικού</w:t>
      </w:r>
      <w:r w:rsidR="0078495A">
        <w:rPr>
          <w:sz w:val="24"/>
          <w:szCs w:val="24"/>
        </w:rPr>
        <w:t xml:space="preserve"> </w:t>
      </w:r>
      <w:r w:rsidRPr="005A464E">
        <w:rPr>
          <w:sz w:val="24"/>
          <w:szCs w:val="24"/>
        </w:rPr>
        <w:t xml:space="preserve">βάρους) και η απασχόληση (για την </w:t>
      </w:r>
      <w:r w:rsidR="00542C2D">
        <w:rPr>
          <w:sz w:val="24"/>
          <w:szCs w:val="24"/>
        </w:rPr>
        <w:t xml:space="preserve">συσχέτιση με την </w:t>
      </w:r>
      <w:r w:rsidRPr="005A464E">
        <w:rPr>
          <w:sz w:val="24"/>
          <w:szCs w:val="24"/>
        </w:rPr>
        <w:t>υπερφωσφαταιμία). Ουδέτερη συσχέτιση βρέθηκε μεταξύ εκείνων με υψηλό εκπαιδευτικό επίπεδο (απόφοιτοι Κολεγίου) και της συμμόρφωσης στο θεραπευτικό σχήμα.</w:t>
      </w:r>
    </w:p>
    <w:p w:rsidR="00AD5F6D" w:rsidRPr="005A464E" w:rsidRDefault="00AD5F6D" w:rsidP="005A464E">
      <w:pPr>
        <w:tabs>
          <w:tab w:val="left" w:pos="3294"/>
        </w:tabs>
        <w:spacing w:line="360" w:lineRule="auto"/>
        <w:jc w:val="both"/>
        <w:rPr>
          <w:sz w:val="24"/>
          <w:szCs w:val="24"/>
        </w:rPr>
      </w:pPr>
      <w:r w:rsidRPr="005A464E">
        <w:rPr>
          <w:sz w:val="24"/>
          <w:szCs w:val="24"/>
        </w:rPr>
        <w:t>Οι Bland</w:t>
      </w:r>
      <w:r w:rsidR="003041EB" w:rsidRPr="003041EB">
        <w:rPr>
          <w:sz w:val="24"/>
          <w:szCs w:val="24"/>
        </w:rPr>
        <w:t>,</w:t>
      </w:r>
      <w:r w:rsidRPr="005A464E">
        <w:rPr>
          <w:sz w:val="24"/>
          <w:szCs w:val="24"/>
        </w:rPr>
        <w:t xml:space="preserve"> </w:t>
      </w:r>
      <w:r w:rsidR="003041EB" w:rsidRPr="003041EB">
        <w:rPr>
          <w:rFonts w:eastAsia="Times New Roman" w:cstheme="minorHAnsi"/>
          <w:sz w:val="24"/>
          <w:szCs w:val="24"/>
          <w:lang w:val="en-US" w:eastAsia="el-GR"/>
        </w:rPr>
        <w:t>Cottrell</w:t>
      </w:r>
      <w:r w:rsidR="003041EB">
        <w:rPr>
          <w:rFonts w:eastAsia="Times New Roman" w:cstheme="minorHAnsi"/>
          <w:sz w:val="24"/>
          <w:szCs w:val="24"/>
          <w:lang w:eastAsia="el-GR"/>
        </w:rPr>
        <w:t xml:space="preserve"> και</w:t>
      </w:r>
      <w:r w:rsidR="003041EB" w:rsidRPr="003041EB">
        <w:rPr>
          <w:rFonts w:eastAsia="Times New Roman" w:cstheme="minorHAnsi"/>
          <w:sz w:val="24"/>
          <w:szCs w:val="24"/>
          <w:lang w:eastAsia="el-GR"/>
        </w:rPr>
        <w:t xml:space="preserve"> </w:t>
      </w:r>
      <w:r w:rsidR="003041EB" w:rsidRPr="003041EB">
        <w:rPr>
          <w:rFonts w:eastAsia="Times New Roman" w:cstheme="minorHAnsi"/>
          <w:sz w:val="24"/>
          <w:szCs w:val="24"/>
          <w:lang w:val="en-US" w:eastAsia="el-GR"/>
        </w:rPr>
        <w:t>Guyler</w:t>
      </w:r>
      <w:r w:rsidR="003041EB">
        <w:rPr>
          <w:sz w:val="24"/>
          <w:szCs w:val="24"/>
        </w:rPr>
        <w:t xml:space="preserve"> </w:t>
      </w:r>
      <w:r w:rsidR="00AA0C84">
        <w:rPr>
          <w:sz w:val="24"/>
          <w:szCs w:val="24"/>
        </w:rPr>
        <w:t>(2008) έδειξαν ότι η</w:t>
      </w:r>
      <w:r w:rsidRPr="005A464E">
        <w:rPr>
          <w:sz w:val="24"/>
          <w:szCs w:val="24"/>
        </w:rPr>
        <w:t xml:space="preserve"> μαύρη φυλή αποτελεί προγνωστικό </w:t>
      </w:r>
      <w:r w:rsidRPr="004E0AB7">
        <w:rPr>
          <w:sz w:val="24"/>
          <w:szCs w:val="24"/>
        </w:rPr>
        <w:t>δείκτη της μη συμμόρφωσης στη</w:t>
      </w:r>
      <w:r w:rsidR="0078495A" w:rsidRPr="004E0AB7">
        <w:rPr>
          <w:sz w:val="24"/>
          <w:szCs w:val="24"/>
        </w:rPr>
        <w:t xml:space="preserve"> </w:t>
      </w:r>
      <w:r w:rsidRPr="004E0AB7">
        <w:rPr>
          <w:sz w:val="24"/>
          <w:szCs w:val="24"/>
        </w:rPr>
        <w:t xml:space="preserve">φαρμακευτική αγωγή ασθενών υπό </w:t>
      </w:r>
      <w:r w:rsidR="00542C2D" w:rsidRPr="004E0AB7">
        <w:rPr>
          <w:sz w:val="24"/>
          <w:szCs w:val="24"/>
        </w:rPr>
        <w:t>αιμοκάθαρση</w:t>
      </w:r>
      <w:r w:rsidRPr="004E0AB7">
        <w:rPr>
          <w:sz w:val="24"/>
          <w:szCs w:val="24"/>
        </w:rPr>
        <w:t xml:space="preserve">. Οι ασθενείς υπό </w:t>
      </w:r>
      <w:r w:rsidR="00542C2D" w:rsidRPr="004E0AB7">
        <w:rPr>
          <w:sz w:val="24"/>
          <w:szCs w:val="24"/>
        </w:rPr>
        <w:t xml:space="preserve">αιμοκάθαρση </w:t>
      </w:r>
      <w:r w:rsidRPr="004E0AB7">
        <w:rPr>
          <w:sz w:val="24"/>
          <w:szCs w:val="24"/>
        </w:rPr>
        <w:t>με υψηλό επίπεδο εκπαίδευσης ήταν περισσότερο ενημερωμένοι σχετικά με</w:t>
      </w:r>
      <w:r w:rsidRPr="005A464E">
        <w:rPr>
          <w:sz w:val="24"/>
          <w:szCs w:val="24"/>
        </w:rPr>
        <w:t xml:space="preserve"> την κατάστασή τους και, συνεπώς, </w:t>
      </w:r>
      <w:r w:rsidR="00542C2D" w:rsidRPr="00542C2D">
        <w:rPr>
          <w:sz w:val="24"/>
          <w:szCs w:val="24"/>
        </w:rPr>
        <w:t>πε</w:t>
      </w:r>
      <w:r w:rsidR="00542C2D">
        <w:rPr>
          <w:sz w:val="24"/>
          <w:szCs w:val="24"/>
        </w:rPr>
        <w:t xml:space="preserve">ρισσότερο </w:t>
      </w:r>
      <w:r w:rsidRPr="005A464E">
        <w:rPr>
          <w:sz w:val="24"/>
          <w:szCs w:val="24"/>
        </w:rPr>
        <w:t>συμμορφωμένοι.</w:t>
      </w:r>
    </w:p>
    <w:p w:rsidR="001C3835" w:rsidRPr="005A464E" w:rsidRDefault="001C3835" w:rsidP="005A464E">
      <w:pPr>
        <w:tabs>
          <w:tab w:val="left" w:pos="3294"/>
        </w:tabs>
        <w:spacing w:line="360" w:lineRule="auto"/>
        <w:jc w:val="both"/>
        <w:rPr>
          <w:sz w:val="24"/>
          <w:szCs w:val="24"/>
        </w:rPr>
      </w:pPr>
      <w:r w:rsidRPr="005A464E">
        <w:rPr>
          <w:sz w:val="24"/>
          <w:szCs w:val="24"/>
        </w:rPr>
        <w:t xml:space="preserve">Σύμφωνα με τους </w:t>
      </w:r>
      <w:r w:rsidRPr="005A464E">
        <w:rPr>
          <w:sz w:val="24"/>
          <w:szCs w:val="24"/>
          <w:lang w:val="en-US"/>
        </w:rPr>
        <w:t>Freedman</w:t>
      </w:r>
      <w:r w:rsidR="004577BE" w:rsidRPr="004577BE">
        <w:rPr>
          <w:sz w:val="24"/>
          <w:szCs w:val="24"/>
        </w:rPr>
        <w:t xml:space="preserve">, </w:t>
      </w:r>
      <w:r w:rsidR="004577BE" w:rsidRPr="004577BE">
        <w:rPr>
          <w:rFonts w:eastAsia="Times New Roman" w:cstheme="minorHAnsi"/>
          <w:sz w:val="24"/>
          <w:szCs w:val="24"/>
          <w:lang w:val="en-US" w:eastAsia="el-GR"/>
        </w:rPr>
        <w:t>Iskandar</w:t>
      </w:r>
      <w:r w:rsidR="004577BE" w:rsidRPr="004577BE">
        <w:rPr>
          <w:rFonts w:eastAsia="Times New Roman" w:cstheme="minorHAnsi"/>
          <w:sz w:val="24"/>
          <w:szCs w:val="24"/>
          <w:lang w:eastAsia="el-GR"/>
        </w:rPr>
        <w:t xml:space="preserve"> </w:t>
      </w:r>
      <w:r w:rsidR="00197BA9">
        <w:rPr>
          <w:rFonts w:eastAsia="Times New Roman" w:cstheme="minorHAnsi"/>
          <w:sz w:val="24"/>
          <w:szCs w:val="24"/>
          <w:lang w:eastAsia="el-GR"/>
        </w:rPr>
        <w:t xml:space="preserve">και </w:t>
      </w:r>
      <w:r w:rsidR="004577BE" w:rsidRPr="004577BE">
        <w:rPr>
          <w:rFonts w:eastAsia="Times New Roman" w:cstheme="minorHAnsi"/>
          <w:sz w:val="24"/>
          <w:szCs w:val="24"/>
          <w:lang w:val="en-US" w:eastAsia="el-GR"/>
        </w:rPr>
        <w:t>Appel</w:t>
      </w:r>
      <w:r w:rsidR="004577BE" w:rsidRPr="004577BE">
        <w:rPr>
          <w:rFonts w:eastAsia="Times New Roman" w:cstheme="minorHAnsi"/>
          <w:lang w:eastAsia="el-GR"/>
        </w:rPr>
        <w:t xml:space="preserve"> </w:t>
      </w:r>
      <w:r w:rsidR="00722A39" w:rsidRPr="005A464E">
        <w:rPr>
          <w:sz w:val="24"/>
          <w:szCs w:val="24"/>
        </w:rPr>
        <w:t>(1995</w:t>
      </w:r>
      <w:r w:rsidRPr="005A464E">
        <w:rPr>
          <w:sz w:val="24"/>
          <w:szCs w:val="24"/>
        </w:rPr>
        <w:t xml:space="preserve">) </w:t>
      </w:r>
      <w:r w:rsidRPr="005A464E">
        <w:rPr>
          <w:sz w:val="24"/>
          <w:szCs w:val="24"/>
          <w:lang w:val="en-US"/>
        </w:rPr>
        <w:t>o</w:t>
      </w:r>
      <w:r w:rsidRPr="005A464E">
        <w:rPr>
          <w:sz w:val="24"/>
          <w:szCs w:val="24"/>
        </w:rPr>
        <w:t xml:space="preserve">ι Αφροαμερικάνοι ασθενείς εμφανίζουν υπέρταση 10 χρόνια νωρίτερα και έχουν 7 φορές μεγαλύτερη πιθανότητα να έχουν σοβαρές αυξομειώσεις της αρτηριακής πίεσης σε σύγκριση με τη λευκή φυλή. Ο πληθυσμός των ασθενών υπό αιμοκάθαρση στις ΗΠΑ αποτελείται κυρίως από </w:t>
      </w:r>
      <w:r w:rsidR="0039477A">
        <w:rPr>
          <w:sz w:val="24"/>
          <w:szCs w:val="24"/>
        </w:rPr>
        <w:t>ασθενείς με σακχαρώδη διαβήτη και υπέρταση</w:t>
      </w:r>
      <w:r w:rsidRPr="005A464E">
        <w:rPr>
          <w:sz w:val="24"/>
          <w:szCs w:val="24"/>
        </w:rPr>
        <w:t xml:space="preserve"> (</w:t>
      </w:r>
      <w:r w:rsidR="004A485F" w:rsidRPr="005A464E">
        <w:rPr>
          <w:sz w:val="24"/>
          <w:szCs w:val="24"/>
          <w:lang w:val="en-US"/>
        </w:rPr>
        <w:t>Reikes</w:t>
      </w:r>
      <w:r w:rsidR="00737AC6" w:rsidRPr="005A464E">
        <w:rPr>
          <w:sz w:val="24"/>
          <w:szCs w:val="24"/>
        </w:rPr>
        <w:t>,</w:t>
      </w:r>
      <w:r w:rsidR="004A485F" w:rsidRPr="005A464E">
        <w:rPr>
          <w:sz w:val="24"/>
          <w:szCs w:val="24"/>
        </w:rPr>
        <w:t xml:space="preserve"> 2000). Σύμφωνα με τον </w:t>
      </w:r>
      <w:r w:rsidR="004A485F" w:rsidRPr="005A464E">
        <w:rPr>
          <w:sz w:val="24"/>
          <w:szCs w:val="24"/>
          <w:lang w:val="en-US"/>
        </w:rPr>
        <w:t>Aday</w:t>
      </w:r>
      <w:r w:rsidR="004A485F" w:rsidRPr="005A464E">
        <w:rPr>
          <w:sz w:val="24"/>
          <w:szCs w:val="24"/>
        </w:rPr>
        <w:t xml:space="preserve"> </w:t>
      </w:r>
      <w:r w:rsidR="00AA0C84">
        <w:rPr>
          <w:sz w:val="24"/>
          <w:szCs w:val="24"/>
        </w:rPr>
        <w:t>(</w:t>
      </w:r>
      <w:r w:rsidR="00FA0C2D">
        <w:rPr>
          <w:sz w:val="24"/>
          <w:szCs w:val="24"/>
        </w:rPr>
        <w:t>2001) οι μειονότητες εμφανίζ</w:t>
      </w:r>
      <w:r w:rsidR="004A485F" w:rsidRPr="005A464E">
        <w:rPr>
          <w:sz w:val="24"/>
          <w:szCs w:val="24"/>
        </w:rPr>
        <w:t xml:space="preserve">ουν </w:t>
      </w:r>
      <w:r w:rsidR="0069147B">
        <w:rPr>
          <w:sz w:val="24"/>
          <w:szCs w:val="24"/>
        </w:rPr>
        <w:t>χαμηλότερο επίπεδο υγείας δεδομένων των περιορισμένων οικονομικών πόρων τους</w:t>
      </w:r>
      <w:r w:rsidR="004A485F" w:rsidRPr="005A464E">
        <w:rPr>
          <w:sz w:val="24"/>
          <w:szCs w:val="24"/>
        </w:rPr>
        <w:t xml:space="preserve"> και</w:t>
      </w:r>
      <w:r w:rsidR="0069147B">
        <w:rPr>
          <w:sz w:val="24"/>
          <w:szCs w:val="24"/>
        </w:rPr>
        <w:t xml:space="preserve"> τις δυνατότητες για</w:t>
      </w:r>
      <w:r w:rsidR="004A485F" w:rsidRPr="005A464E">
        <w:rPr>
          <w:sz w:val="24"/>
          <w:szCs w:val="24"/>
        </w:rPr>
        <w:t xml:space="preserve"> εκπαιδευτικές ευκαιρίες και δυσανάλογη έκθεση σε περιβαλλοντικούς κινδύνους.</w:t>
      </w:r>
    </w:p>
    <w:p w:rsidR="00AD5F6D" w:rsidRPr="0069147B" w:rsidRDefault="00AF10FE" w:rsidP="005A464E">
      <w:pPr>
        <w:tabs>
          <w:tab w:val="left" w:pos="3294"/>
        </w:tabs>
        <w:spacing w:line="360" w:lineRule="auto"/>
        <w:jc w:val="both"/>
        <w:rPr>
          <w:sz w:val="24"/>
          <w:szCs w:val="24"/>
        </w:rPr>
      </w:pPr>
      <w:r w:rsidRPr="0069147B">
        <w:rPr>
          <w:sz w:val="24"/>
          <w:szCs w:val="24"/>
        </w:rPr>
        <w:t>Οι Barnett,</w:t>
      </w:r>
      <w:r w:rsidRPr="0069147B">
        <w:rPr>
          <w:rStyle w:val="mixed-citation"/>
          <w:rFonts w:asciiTheme="minorHAnsi" w:hAnsiTheme="minorHAnsi" w:cstheme="minorHAnsi"/>
        </w:rPr>
        <w:t xml:space="preserve"> </w:t>
      </w:r>
      <w:r w:rsidRPr="0069147B">
        <w:rPr>
          <w:rStyle w:val="mixed-citation"/>
          <w:rFonts w:asciiTheme="minorHAnsi" w:hAnsiTheme="minorHAnsi" w:cstheme="minorHAnsi"/>
          <w:sz w:val="24"/>
          <w:szCs w:val="24"/>
          <w:lang w:val="en-US"/>
        </w:rPr>
        <w:t>Li</w:t>
      </w:r>
      <w:r w:rsidRPr="0069147B">
        <w:rPr>
          <w:rStyle w:val="mixed-citation"/>
          <w:rFonts w:asciiTheme="minorHAnsi" w:hAnsiTheme="minorHAnsi" w:cstheme="minorHAnsi"/>
          <w:sz w:val="24"/>
          <w:szCs w:val="24"/>
        </w:rPr>
        <w:t xml:space="preserve"> </w:t>
      </w:r>
      <w:r w:rsidRPr="0069147B">
        <w:rPr>
          <w:rStyle w:val="mixed-citation"/>
          <w:rFonts w:asciiTheme="minorHAnsi" w:hAnsiTheme="minorHAnsi" w:cstheme="minorHAnsi"/>
          <w:sz w:val="24"/>
          <w:szCs w:val="24"/>
          <w:lang w:val="en-US"/>
        </w:rPr>
        <w:t>Yoong</w:t>
      </w:r>
      <w:r w:rsidRPr="0069147B">
        <w:rPr>
          <w:rStyle w:val="mixed-citation"/>
          <w:rFonts w:asciiTheme="minorHAnsi" w:hAnsiTheme="minorHAnsi" w:cstheme="minorHAnsi"/>
          <w:sz w:val="24"/>
          <w:szCs w:val="24"/>
        </w:rPr>
        <w:t xml:space="preserve">, </w:t>
      </w:r>
      <w:r w:rsidRPr="0069147B">
        <w:rPr>
          <w:rStyle w:val="mixed-citation"/>
          <w:rFonts w:asciiTheme="minorHAnsi" w:hAnsiTheme="minorHAnsi" w:cstheme="minorHAnsi"/>
          <w:sz w:val="24"/>
          <w:szCs w:val="24"/>
          <w:lang w:val="en-US"/>
        </w:rPr>
        <w:t>Pinikahana</w:t>
      </w:r>
      <w:r w:rsidRPr="0069147B">
        <w:rPr>
          <w:rStyle w:val="mixed-citation"/>
          <w:rFonts w:asciiTheme="minorHAnsi" w:hAnsiTheme="minorHAnsi" w:cstheme="minorHAnsi"/>
          <w:sz w:val="24"/>
          <w:szCs w:val="24"/>
        </w:rPr>
        <w:t xml:space="preserve">, </w:t>
      </w:r>
      <w:r w:rsidR="00A92ABA" w:rsidRPr="0069147B">
        <w:rPr>
          <w:rStyle w:val="mixed-citation"/>
          <w:rFonts w:asciiTheme="minorHAnsi" w:hAnsiTheme="minorHAnsi" w:cstheme="minorHAnsi"/>
          <w:sz w:val="24"/>
          <w:szCs w:val="24"/>
        </w:rPr>
        <w:t>και</w:t>
      </w:r>
      <w:r w:rsidRPr="0069147B">
        <w:rPr>
          <w:rStyle w:val="mixed-citation"/>
          <w:rFonts w:asciiTheme="minorHAnsi" w:hAnsiTheme="minorHAnsi" w:cstheme="minorHAnsi"/>
          <w:sz w:val="24"/>
          <w:szCs w:val="24"/>
        </w:rPr>
        <w:t xml:space="preserve"> </w:t>
      </w:r>
      <w:r w:rsidRPr="0069147B">
        <w:rPr>
          <w:rStyle w:val="mixed-citation"/>
          <w:rFonts w:asciiTheme="minorHAnsi" w:hAnsiTheme="minorHAnsi" w:cstheme="minorHAnsi"/>
          <w:sz w:val="24"/>
          <w:szCs w:val="24"/>
          <w:lang w:val="en-US"/>
        </w:rPr>
        <w:t>Si</w:t>
      </w:r>
      <w:r w:rsidRPr="0069147B">
        <w:rPr>
          <w:rStyle w:val="mixed-citation"/>
          <w:rFonts w:asciiTheme="minorHAnsi" w:hAnsiTheme="minorHAnsi" w:cstheme="minorHAnsi"/>
          <w:sz w:val="24"/>
          <w:szCs w:val="24"/>
        </w:rPr>
        <w:t>-</w:t>
      </w:r>
      <w:r w:rsidRPr="0069147B">
        <w:rPr>
          <w:rStyle w:val="mixed-citation"/>
          <w:rFonts w:asciiTheme="minorHAnsi" w:hAnsiTheme="minorHAnsi" w:cstheme="minorHAnsi"/>
          <w:sz w:val="24"/>
          <w:szCs w:val="24"/>
          <w:lang w:val="en-US"/>
        </w:rPr>
        <w:t>Yen</w:t>
      </w:r>
      <w:r w:rsidR="00AD5F6D" w:rsidRPr="0069147B">
        <w:rPr>
          <w:sz w:val="24"/>
          <w:szCs w:val="24"/>
        </w:rPr>
        <w:t xml:space="preserve"> (2008) μελετώντας την αποτελεσματικότητα ενός εκπαιδευτικού προγράμματος</w:t>
      </w:r>
      <w:r w:rsidR="0078495A" w:rsidRPr="0069147B">
        <w:rPr>
          <w:sz w:val="24"/>
          <w:szCs w:val="24"/>
        </w:rPr>
        <w:t xml:space="preserve"> </w:t>
      </w:r>
      <w:r w:rsidR="00AD5F6D" w:rsidRPr="0069147B">
        <w:rPr>
          <w:sz w:val="24"/>
          <w:szCs w:val="24"/>
        </w:rPr>
        <w:t>στην συμμόρφωση στο περιορισμό των υγρών</w:t>
      </w:r>
      <w:r w:rsidR="00FA0C2D" w:rsidRPr="0069147B">
        <w:rPr>
          <w:sz w:val="24"/>
          <w:szCs w:val="24"/>
        </w:rPr>
        <w:t>,</w:t>
      </w:r>
      <w:r w:rsidR="00AD5F6D" w:rsidRPr="0069147B">
        <w:rPr>
          <w:sz w:val="24"/>
          <w:szCs w:val="24"/>
        </w:rPr>
        <w:t xml:space="preserve"> δ</w:t>
      </w:r>
      <w:r w:rsidR="009460D7" w:rsidRPr="0069147B">
        <w:rPr>
          <w:sz w:val="24"/>
          <w:szCs w:val="24"/>
        </w:rPr>
        <w:t>ιαπίστωσαν ότι οι γυναίκες παρουσίασαν</w:t>
      </w:r>
      <w:r w:rsidR="0078495A" w:rsidRPr="0069147B">
        <w:rPr>
          <w:sz w:val="24"/>
          <w:szCs w:val="24"/>
        </w:rPr>
        <w:t xml:space="preserve"> </w:t>
      </w:r>
      <w:r w:rsidR="00AD5F6D" w:rsidRPr="0069147B">
        <w:rPr>
          <w:sz w:val="24"/>
          <w:szCs w:val="24"/>
        </w:rPr>
        <w:t>μια σημαντική μείωση στην κατανάλωση υγρών ενώ καμία άλλη</w:t>
      </w:r>
      <w:r w:rsidR="0078495A" w:rsidRPr="0069147B">
        <w:rPr>
          <w:sz w:val="24"/>
          <w:szCs w:val="24"/>
        </w:rPr>
        <w:t xml:space="preserve"> </w:t>
      </w:r>
      <w:r w:rsidR="00AD5F6D" w:rsidRPr="0069147B">
        <w:rPr>
          <w:sz w:val="24"/>
          <w:szCs w:val="24"/>
        </w:rPr>
        <w:t>συσχέτιση δεν βρέθηκε μεταξύ της συμμόρφωσης και άλλων δημογραφικών χαρακτηριστικών.</w:t>
      </w:r>
    </w:p>
    <w:p w:rsidR="00AD5F6D" w:rsidRPr="0069147B" w:rsidRDefault="0062205E" w:rsidP="005A464E">
      <w:pPr>
        <w:tabs>
          <w:tab w:val="left" w:pos="3294"/>
        </w:tabs>
        <w:spacing w:line="360" w:lineRule="auto"/>
        <w:jc w:val="both"/>
        <w:rPr>
          <w:sz w:val="24"/>
          <w:szCs w:val="24"/>
        </w:rPr>
      </w:pPr>
      <w:r w:rsidRPr="0069147B">
        <w:rPr>
          <w:sz w:val="24"/>
          <w:szCs w:val="24"/>
        </w:rPr>
        <w:t xml:space="preserve">Οι Chan </w:t>
      </w:r>
      <w:r w:rsidRPr="0069147B">
        <w:rPr>
          <w:sz w:val="24"/>
          <w:szCs w:val="24"/>
          <w:lang w:val="en-US"/>
        </w:rPr>
        <w:t>et</w:t>
      </w:r>
      <w:r w:rsidRPr="0069147B">
        <w:rPr>
          <w:sz w:val="24"/>
          <w:szCs w:val="24"/>
        </w:rPr>
        <w:t xml:space="preserve"> </w:t>
      </w:r>
      <w:r w:rsidRPr="0069147B">
        <w:rPr>
          <w:sz w:val="24"/>
          <w:szCs w:val="24"/>
          <w:lang w:val="en-US"/>
        </w:rPr>
        <w:t>al</w:t>
      </w:r>
      <w:r w:rsidRPr="0069147B">
        <w:rPr>
          <w:sz w:val="24"/>
          <w:szCs w:val="24"/>
        </w:rPr>
        <w:t>.</w:t>
      </w:r>
      <w:r w:rsidR="006460B8" w:rsidRPr="0069147B">
        <w:rPr>
          <w:sz w:val="24"/>
          <w:szCs w:val="24"/>
        </w:rPr>
        <w:t xml:space="preserve"> </w:t>
      </w:r>
      <w:r w:rsidR="00AD5F6D" w:rsidRPr="0069147B">
        <w:rPr>
          <w:sz w:val="24"/>
          <w:szCs w:val="24"/>
        </w:rPr>
        <w:t xml:space="preserve">(2012) μελέτησαν τα επίπεδα συμμόρφωσης με τη χρήση μεθόδων </w:t>
      </w:r>
      <w:r w:rsidR="009460D7" w:rsidRPr="0069147B">
        <w:rPr>
          <w:sz w:val="24"/>
          <w:szCs w:val="24"/>
        </w:rPr>
        <w:t>αυτο</w:t>
      </w:r>
      <w:r w:rsidR="00AD5F6D" w:rsidRPr="0069147B">
        <w:rPr>
          <w:sz w:val="24"/>
          <w:szCs w:val="24"/>
        </w:rPr>
        <w:t>αναφοράς και βιοχημικών παραμέτρων μεταξύ 188 ασθενών από 14 διαφορετικά κέντρα αιμοκάθαρσης στη Μαλαισία. Οι νεαρότεροι ασθενείς ήταν λιγότερο συμμορφωμένοι στην θεραπευτική αγωγή σε σύγκριση με την μεγαλύτερους. Οι γυναίκες</w:t>
      </w:r>
      <w:r w:rsidR="0078495A" w:rsidRPr="0069147B">
        <w:rPr>
          <w:sz w:val="24"/>
          <w:szCs w:val="24"/>
        </w:rPr>
        <w:t xml:space="preserve"> </w:t>
      </w:r>
      <w:r w:rsidR="00AD5F6D" w:rsidRPr="0069147B">
        <w:rPr>
          <w:sz w:val="24"/>
          <w:szCs w:val="24"/>
        </w:rPr>
        <w:t>ήταν στατιστικά περισσότερο συμμορφωμένες στη διαιτητική αγωγή και στον περιορισμό των υγρών. Οι ερευνητές δεν διαπίστωσαν</w:t>
      </w:r>
      <w:r w:rsidR="0078495A" w:rsidRPr="0069147B">
        <w:rPr>
          <w:sz w:val="24"/>
          <w:szCs w:val="24"/>
        </w:rPr>
        <w:t xml:space="preserve"> </w:t>
      </w:r>
      <w:r w:rsidR="00AD5F6D" w:rsidRPr="0069147B">
        <w:rPr>
          <w:sz w:val="24"/>
          <w:szCs w:val="24"/>
        </w:rPr>
        <w:t>διαφορά μεταξύ ανδρών και γυναικών στη συμμόρφωση στη</w:t>
      </w:r>
      <w:r w:rsidR="0078495A" w:rsidRPr="0069147B">
        <w:rPr>
          <w:sz w:val="24"/>
          <w:szCs w:val="24"/>
        </w:rPr>
        <w:t xml:space="preserve"> </w:t>
      </w:r>
      <w:r w:rsidR="00AD5F6D" w:rsidRPr="0069147B">
        <w:rPr>
          <w:sz w:val="24"/>
          <w:szCs w:val="24"/>
        </w:rPr>
        <w:t>φαρμακευτική αγωγή</w:t>
      </w:r>
      <w:r w:rsidR="00BA2265" w:rsidRPr="0069147B">
        <w:rPr>
          <w:sz w:val="24"/>
          <w:szCs w:val="24"/>
        </w:rPr>
        <w:t>.</w:t>
      </w:r>
      <w:r w:rsidR="0078495A" w:rsidRPr="0069147B">
        <w:rPr>
          <w:sz w:val="24"/>
          <w:szCs w:val="24"/>
        </w:rPr>
        <w:t xml:space="preserve"> </w:t>
      </w:r>
      <w:r w:rsidR="00AD5F6D" w:rsidRPr="0069147B">
        <w:rPr>
          <w:sz w:val="24"/>
          <w:szCs w:val="24"/>
        </w:rPr>
        <w:t>Οι ασθενείς οι οποίοι εργάζονταν</w:t>
      </w:r>
      <w:r w:rsidR="0078495A" w:rsidRPr="0069147B">
        <w:rPr>
          <w:sz w:val="24"/>
          <w:szCs w:val="24"/>
        </w:rPr>
        <w:t xml:space="preserve"> </w:t>
      </w:r>
      <w:r w:rsidR="00AD5F6D" w:rsidRPr="0069147B">
        <w:rPr>
          <w:sz w:val="24"/>
          <w:szCs w:val="24"/>
        </w:rPr>
        <w:t xml:space="preserve">ήταν πιο πιθανό </w:t>
      </w:r>
      <w:r w:rsidR="00EA2B4F" w:rsidRPr="0069147B">
        <w:rPr>
          <w:sz w:val="24"/>
          <w:szCs w:val="24"/>
        </w:rPr>
        <w:t>να είναι λιγότερο συμμορφωμένοι</w:t>
      </w:r>
      <w:r w:rsidR="00AD5F6D" w:rsidRPr="0069147B">
        <w:rPr>
          <w:sz w:val="24"/>
          <w:szCs w:val="24"/>
        </w:rPr>
        <w:t xml:space="preserve"> στη</w:t>
      </w:r>
      <w:r w:rsidR="0078495A" w:rsidRPr="0069147B">
        <w:rPr>
          <w:sz w:val="24"/>
          <w:szCs w:val="24"/>
        </w:rPr>
        <w:t xml:space="preserve"> </w:t>
      </w:r>
      <w:r w:rsidR="00AD5F6D" w:rsidRPr="0069147B">
        <w:rPr>
          <w:sz w:val="24"/>
          <w:szCs w:val="24"/>
        </w:rPr>
        <w:t xml:space="preserve">δίαιτα και τον περιορισμό των υγρών. Αυτή η μελέτη έρχεται σε συμφωνία με τη μελέτη των </w:t>
      </w:r>
      <w:r w:rsidR="00AD5F6D" w:rsidRPr="0069147B">
        <w:rPr>
          <w:sz w:val="24"/>
          <w:szCs w:val="24"/>
          <w:lang w:val="en-US"/>
        </w:rPr>
        <w:t>Kugler</w:t>
      </w:r>
      <w:r w:rsidR="00AD5F6D" w:rsidRPr="0069147B">
        <w:rPr>
          <w:sz w:val="24"/>
          <w:szCs w:val="24"/>
        </w:rPr>
        <w:t xml:space="preserve"> </w:t>
      </w:r>
      <w:r w:rsidR="00566CAA" w:rsidRPr="0069147B">
        <w:rPr>
          <w:sz w:val="24"/>
          <w:szCs w:val="24"/>
        </w:rPr>
        <w:t>et al</w:t>
      </w:r>
      <w:r w:rsidR="006460B8" w:rsidRPr="0069147B">
        <w:rPr>
          <w:sz w:val="24"/>
          <w:szCs w:val="24"/>
        </w:rPr>
        <w:t>.</w:t>
      </w:r>
      <w:r w:rsidR="00AD5F6D" w:rsidRPr="0069147B">
        <w:rPr>
          <w:sz w:val="24"/>
          <w:szCs w:val="24"/>
        </w:rPr>
        <w:t xml:space="preserve"> (2005) ως προς την ηλικία και το φύλο.</w:t>
      </w:r>
    </w:p>
    <w:p w:rsidR="00AD5F6D" w:rsidRPr="005A464E" w:rsidRDefault="00AD5F6D" w:rsidP="005A464E">
      <w:pPr>
        <w:tabs>
          <w:tab w:val="left" w:pos="3294"/>
        </w:tabs>
        <w:spacing w:line="360" w:lineRule="auto"/>
        <w:jc w:val="both"/>
        <w:rPr>
          <w:sz w:val="24"/>
          <w:szCs w:val="24"/>
        </w:rPr>
      </w:pPr>
      <w:r w:rsidRPr="0069147B">
        <w:rPr>
          <w:sz w:val="24"/>
          <w:szCs w:val="24"/>
        </w:rPr>
        <w:t>Σε διεθνή συγκριτική μελέτη</w:t>
      </w:r>
      <w:r w:rsidR="0078495A" w:rsidRPr="0069147B">
        <w:rPr>
          <w:sz w:val="24"/>
          <w:szCs w:val="24"/>
        </w:rPr>
        <w:t xml:space="preserve"> </w:t>
      </w:r>
      <w:r w:rsidRPr="0069147B">
        <w:rPr>
          <w:sz w:val="24"/>
          <w:szCs w:val="24"/>
        </w:rPr>
        <w:t xml:space="preserve">μεταξύ 456 ασθενών υπό </w:t>
      </w:r>
      <w:r w:rsidR="00542C2D" w:rsidRPr="0069147B">
        <w:rPr>
          <w:sz w:val="24"/>
          <w:szCs w:val="24"/>
        </w:rPr>
        <w:t>αιμοκάθαρση</w:t>
      </w:r>
      <w:r w:rsidRPr="0069147B">
        <w:rPr>
          <w:sz w:val="24"/>
          <w:szCs w:val="24"/>
        </w:rPr>
        <w:t>, οι</w:t>
      </w:r>
      <w:r w:rsidR="0078495A" w:rsidRPr="0069147B">
        <w:rPr>
          <w:sz w:val="24"/>
          <w:szCs w:val="24"/>
        </w:rPr>
        <w:t xml:space="preserve"> </w:t>
      </w:r>
      <w:r w:rsidRPr="0069147B">
        <w:rPr>
          <w:sz w:val="24"/>
          <w:szCs w:val="24"/>
        </w:rPr>
        <w:t>ερευνητές χρησιμοποιώντας την κλίμακα</w:t>
      </w:r>
      <w:r w:rsidR="0078495A" w:rsidRPr="0069147B">
        <w:rPr>
          <w:sz w:val="24"/>
          <w:szCs w:val="24"/>
        </w:rPr>
        <w:t xml:space="preserve"> </w:t>
      </w:r>
      <w:r w:rsidRPr="0069147B">
        <w:rPr>
          <w:sz w:val="24"/>
          <w:szCs w:val="24"/>
        </w:rPr>
        <w:t xml:space="preserve">Dialysis Diet and Fluid Non-adherence Questionnaire (DDFQ) βρήκαν ότι το υψηλό </w:t>
      </w:r>
      <w:r w:rsidR="000D053B" w:rsidRPr="0069147B">
        <w:rPr>
          <w:sz w:val="24"/>
          <w:szCs w:val="24"/>
        </w:rPr>
        <w:t>εκπαιδευτικό</w:t>
      </w:r>
      <w:r w:rsidRPr="0069147B">
        <w:rPr>
          <w:sz w:val="24"/>
          <w:szCs w:val="24"/>
        </w:rPr>
        <w:t xml:space="preserve"> επίπεδο μεταξύ τη</w:t>
      </w:r>
      <w:r w:rsidR="009460D7" w:rsidRPr="0069147B">
        <w:rPr>
          <w:sz w:val="24"/>
          <w:szCs w:val="24"/>
        </w:rPr>
        <w:t>ς ομάδας των Αμερικανών ασθενών συνδέθηκε</w:t>
      </w:r>
      <w:r w:rsidRPr="0069147B">
        <w:rPr>
          <w:sz w:val="24"/>
          <w:szCs w:val="24"/>
        </w:rPr>
        <w:t xml:space="preserve"> με το υψηλό επίπεδο της συμμόρφωσης στη δίαιτα, ενώ μεταξύ της ομάδας Γερμανών ασθενών χαμηλού </w:t>
      </w:r>
      <w:r w:rsidR="000D053B" w:rsidRPr="0069147B">
        <w:rPr>
          <w:sz w:val="24"/>
          <w:szCs w:val="24"/>
        </w:rPr>
        <w:t>εκπαιδευτικού</w:t>
      </w:r>
      <w:r w:rsidRPr="0069147B">
        <w:rPr>
          <w:sz w:val="24"/>
          <w:szCs w:val="24"/>
        </w:rPr>
        <w:t xml:space="preserve"> επιπέδου συσχετίστηκε με υψηλό ποσοστό μη συμμόρφωσης στη διαιτητική αγωγή. Η μαύρη φυλή και το νεαρό της ηλικίας σχετίστηκαν με παράλειψη συνεδρίας αιμοκάθαρσης </w:t>
      </w:r>
      <w:r w:rsidR="00AA0C84" w:rsidRPr="0069147B">
        <w:rPr>
          <w:sz w:val="24"/>
          <w:szCs w:val="24"/>
        </w:rPr>
        <w:t>(</w:t>
      </w:r>
      <w:r w:rsidRPr="0069147B">
        <w:rPr>
          <w:sz w:val="24"/>
          <w:szCs w:val="24"/>
        </w:rPr>
        <w:t xml:space="preserve">Unruh </w:t>
      </w:r>
      <w:r w:rsidR="00566CAA" w:rsidRPr="0069147B">
        <w:rPr>
          <w:sz w:val="24"/>
          <w:szCs w:val="24"/>
        </w:rPr>
        <w:t>et al</w:t>
      </w:r>
      <w:r w:rsidR="003041EB" w:rsidRPr="0069147B">
        <w:rPr>
          <w:sz w:val="24"/>
          <w:szCs w:val="24"/>
        </w:rPr>
        <w:t>.</w:t>
      </w:r>
      <w:r w:rsidR="00AA0C84" w:rsidRPr="0069147B">
        <w:rPr>
          <w:sz w:val="24"/>
          <w:szCs w:val="24"/>
        </w:rPr>
        <w:t xml:space="preserve">, </w:t>
      </w:r>
      <w:r w:rsidRPr="0069147B">
        <w:rPr>
          <w:sz w:val="24"/>
          <w:szCs w:val="24"/>
        </w:rPr>
        <w:t>2005).</w:t>
      </w:r>
      <w:r w:rsidRPr="005A464E">
        <w:rPr>
          <w:sz w:val="24"/>
          <w:szCs w:val="24"/>
        </w:rPr>
        <w:t xml:space="preserve"> </w:t>
      </w:r>
    </w:p>
    <w:p w:rsidR="00AD5F6D" w:rsidRPr="005A464E" w:rsidRDefault="00AD5F6D" w:rsidP="005A464E">
      <w:pPr>
        <w:tabs>
          <w:tab w:val="left" w:pos="3294"/>
        </w:tabs>
        <w:spacing w:line="360" w:lineRule="auto"/>
        <w:jc w:val="both"/>
        <w:rPr>
          <w:sz w:val="24"/>
          <w:szCs w:val="24"/>
        </w:rPr>
      </w:pPr>
      <w:r w:rsidRPr="005A464E">
        <w:rPr>
          <w:sz w:val="24"/>
          <w:szCs w:val="24"/>
        </w:rPr>
        <w:t>Άλλοι ερευνητές δεν βρήκαν καμία συσχέτιση μεταξύ της ηλικίας, του φύλου ή της ο</w:t>
      </w:r>
      <w:r w:rsidR="00D31BD9">
        <w:rPr>
          <w:sz w:val="24"/>
          <w:szCs w:val="24"/>
        </w:rPr>
        <w:t>ικογενειακής κατάστασης (Zrinyi</w:t>
      </w:r>
      <w:r w:rsidR="00D31BD9" w:rsidRPr="00D31BD9">
        <w:rPr>
          <w:sz w:val="24"/>
          <w:szCs w:val="24"/>
        </w:rPr>
        <w:t xml:space="preserve">, </w:t>
      </w:r>
      <w:r w:rsidR="00D31BD9" w:rsidRPr="00D31BD9">
        <w:rPr>
          <w:rFonts w:asciiTheme="minorHAnsi" w:eastAsia="Times New Roman" w:hAnsiTheme="minorHAnsi" w:cstheme="minorHAnsi"/>
          <w:sz w:val="24"/>
          <w:szCs w:val="24"/>
          <w:lang w:val="en-US" w:eastAsia="el-GR"/>
        </w:rPr>
        <w:t>Juhasz</w:t>
      </w:r>
      <w:r w:rsidR="00D31BD9">
        <w:rPr>
          <w:rFonts w:asciiTheme="minorHAnsi" w:eastAsia="Times New Roman" w:hAnsiTheme="minorHAnsi" w:cstheme="minorHAnsi"/>
          <w:sz w:val="24"/>
          <w:szCs w:val="24"/>
          <w:lang w:eastAsia="el-GR"/>
        </w:rPr>
        <w:t>,</w:t>
      </w:r>
      <w:r w:rsidR="0078495A">
        <w:rPr>
          <w:rFonts w:asciiTheme="minorHAnsi" w:eastAsia="Times New Roman" w:hAnsiTheme="minorHAnsi" w:cstheme="minorHAnsi"/>
          <w:sz w:val="24"/>
          <w:szCs w:val="24"/>
          <w:lang w:eastAsia="el-GR"/>
        </w:rPr>
        <w:t xml:space="preserve"> </w:t>
      </w:r>
      <w:r w:rsidR="00D31BD9" w:rsidRPr="00D31BD9">
        <w:rPr>
          <w:rFonts w:asciiTheme="minorHAnsi" w:eastAsia="Times New Roman" w:hAnsiTheme="minorHAnsi" w:cstheme="minorHAnsi"/>
          <w:sz w:val="24"/>
          <w:szCs w:val="24"/>
          <w:lang w:val="en-US" w:eastAsia="el-GR"/>
        </w:rPr>
        <w:t>Balla</w:t>
      </w:r>
      <w:r w:rsidR="00D31BD9" w:rsidRPr="00D31BD9">
        <w:rPr>
          <w:rFonts w:asciiTheme="minorHAnsi" w:eastAsia="Times New Roman" w:hAnsiTheme="minorHAnsi" w:cstheme="minorHAnsi"/>
          <w:sz w:val="24"/>
          <w:szCs w:val="24"/>
          <w:lang w:eastAsia="el-GR"/>
        </w:rPr>
        <w:t xml:space="preserve">, </w:t>
      </w:r>
      <w:r w:rsidR="00D31BD9" w:rsidRPr="00D31BD9">
        <w:rPr>
          <w:rFonts w:asciiTheme="minorHAnsi" w:eastAsia="Times New Roman" w:hAnsiTheme="minorHAnsi" w:cstheme="minorHAnsi"/>
          <w:sz w:val="24"/>
          <w:szCs w:val="24"/>
          <w:lang w:val="en-US" w:eastAsia="el-GR"/>
        </w:rPr>
        <w:t>Katona</w:t>
      </w:r>
      <w:r w:rsidR="00D31BD9" w:rsidRPr="00D31BD9">
        <w:rPr>
          <w:rFonts w:asciiTheme="minorHAnsi" w:eastAsia="Times New Roman" w:hAnsiTheme="minorHAnsi" w:cstheme="minorHAnsi"/>
          <w:sz w:val="24"/>
          <w:szCs w:val="24"/>
          <w:lang w:eastAsia="el-GR"/>
        </w:rPr>
        <w:t xml:space="preserve">, &amp; </w:t>
      </w:r>
      <w:r w:rsidR="00D31BD9" w:rsidRPr="00D31BD9">
        <w:rPr>
          <w:rFonts w:asciiTheme="minorHAnsi" w:eastAsia="Times New Roman" w:hAnsiTheme="minorHAnsi" w:cstheme="minorHAnsi"/>
          <w:sz w:val="24"/>
          <w:szCs w:val="24"/>
          <w:lang w:val="en-US" w:eastAsia="el-GR"/>
        </w:rPr>
        <w:t>Ben</w:t>
      </w:r>
      <w:r w:rsidR="00FA0C2D">
        <w:rPr>
          <w:rFonts w:asciiTheme="minorHAnsi" w:eastAsia="Times New Roman" w:hAnsiTheme="minorHAnsi" w:cstheme="minorHAnsi"/>
          <w:sz w:val="24"/>
          <w:szCs w:val="24"/>
          <w:lang w:eastAsia="el-GR"/>
        </w:rPr>
        <w:t>,</w:t>
      </w:r>
      <w:r w:rsidR="00D31BD9" w:rsidRPr="00D31BD9">
        <w:rPr>
          <w:sz w:val="24"/>
          <w:szCs w:val="24"/>
        </w:rPr>
        <w:t xml:space="preserve"> </w:t>
      </w:r>
      <w:r w:rsidRPr="00D31BD9">
        <w:rPr>
          <w:sz w:val="24"/>
          <w:szCs w:val="24"/>
        </w:rPr>
        <w:t>2003).</w:t>
      </w:r>
      <w:r w:rsidRPr="005A464E">
        <w:rPr>
          <w:sz w:val="24"/>
          <w:szCs w:val="24"/>
        </w:rPr>
        <w:t xml:space="preserve"> Διφορούμενα είναι τα ευρήματα σχετικά με την επίδραση της απασχόλησης στην συμμόρφωση των ασθενών. </w:t>
      </w:r>
      <w:r w:rsidR="009460D7">
        <w:rPr>
          <w:sz w:val="24"/>
          <w:szCs w:val="24"/>
        </w:rPr>
        <w:t xml:space="preserve">Οι </w:t>
      </w:r>
      <w:r w:rsidR="009460D7" w:rsidRPr="005A464E">
        <w:rPr>
          <w:sz w:val="24"/>
          <w:szCs w:val="24"/>
        </w:rPr>
        <w:t xml:space="preserve">Zrinyi </w:t>
      </w:r>
      <w:r w:rsidR="009460D7">
        <w:rPr>
          <w:sz w:val="24"/>
          <w:szCs w:val="24"/>
        </w:rPr>
        <w:t>et al</w:t>
      </w:r>
      <w:r w:rsidR="009460D7" w:rsidRPr="004577BE">
        <w:rPr>
          <w:sz w:val="24"/>
          <w:szCs w:val="24"/>
        </w:rPr>
        <w:t>.</w:t>
      </w:r>
      <w:r w:rsidR="009460D7" w:rsidRPr="005A464E">
        <w:rPr>
          <w:sz w:val="24"/>
          <w:szCs w:val="24"/>
        </w:rPr>
        <w:t xml:space="preserve"> (2003) </w:t>
      </w:r>
      <w:r w:rsidR="009460D7">
        <w:rPr>
          <w:sz w:val="24"/>
          <w:szCs w:val="24"/>
        </w:rPr>
        <w:t>έδειξαν ότι η απασχόληση</w:t>
      </w:r>
      <w:r w:rsidRPr="005A464E">
        <w:rPr>
          <w:sz w:val="24"/>
          <w:szCs w:val="24"/>
        </w:rPr>
        <w:t xml:space="preserve"> δεν σχετίζεται με τα επίπεδα συμμόρφωσης στη διαιτ</w:t>
      </w:r>
      <w:r w:rsidR="009460D7">
        <w:rPr>
          <w:sz w:val="24"/>
          <w:szCs w:val="24"/>
        </w:rPr>
        <w:t>ητική αγωγή</w:t>
      </w:r>
      <w:r w:rsidRPr="005A464E">
        <w:rPr>
          <w:sz w:val="24"/>
          <w:szCs w:val="24"/>
        </w:rPr>
        <w:t xml:space="preserve"> σε</w:t>
      </w:r>
      <w:r w:rsidR="009460D7">
        <w:rPr>
          <w:sz w:val="24"/>
          <w:szCs w:val="24"/>
        </w:rPr>
        <w:t xml:space="preserve"> αντίθεση με τα αποτελέσματα των</w:t>
      </w:r>
      <w:r w:rsidRPr="005A464E">
        <w:rPr>
          <w:sz w:val="24"/>
          <w:szCs w:val="24"/>
        </w:rPr>
        <w:t xml:space="preserve"> Chan </w:t>
      </w:r>
      <w:r w:rsidR="00566CAA">
        <w:rPr>
          <w:sz w:val="24"/>
          <w:szCs w:val="24"/>
        </w:rPr>
        <w:t>et al</w:t>
      </w:r>
      <w:r w:rsidR="006460B8">
        <w:rPr>
          <w:sz w:val="24"/>
          <w:szCs w:val="24"/>
        </w:rPr>
        <w:t>.</w:t>
      </w:r>
      <w:r w:rsidRPr="005A464E">
        <w:rPr>
          <w:sz w:val="24"/>
          <w:szCs w:val="24"/>
        </w:rPr>
        <w:t xml:space="preserve"> (2012). Οι Smith </w:t>
      </w:r>
      <w:r w:rsidR="00566CAA">
        <w:rPr>
          <w:sz w:val="24"/>
          <w:szCs w:val="24"/>
        </w:rPr>
        <w:t>et al</w:t>
      </w:r>
      <w:r w:rsidR="006460B8" w:rsidRPr="00872FD2">
        <w:rPr>
          <w:sz w:val="24"/>
          <w:szCs w:val="24"/>
        </w:rPr>
        <w:t>.</w:t>
      </w:r>
      <w:r w:rsidRPr="005A464E">
        <w:rPr>
          <w:sz w:val="24"/>
          <w:szCs w:val="24"/>
        </w:rPr>
        <w:t xml:space="preserve"> (2010)</w:t>
      </w:r>
      <w:r w:rsidR="0078495A">
        <w:rPr>
          <w:sz w:val="24"/>
          <w:szCs w:val="24"/>
        </w:rPr>
        <w:t xml:space="preserve"> </w:t>
      </w:r>
      <w:r w:rsidR="009460D7">
        <w:rPr>
          <w:sz w:val="24"/>
          <w:szCs w:val="24"/>
        </w:rPr>
        <w:t>ανέφεραν</w:t>
      </w:r>
      <w:r w:rsidRPr="005A464E">
        <w:rPr>
          <w:sz w:val="24"/>
          <w:szCs w:val="24"/>
        </w:rPr>
        <w:t xml:space="preserve"> την απασχόληση ως κοινωνικό εμπόδιο στη συμμόρφωση.</w:t>
      </w:r>
    </w:p>
    <w:p w:rsidR="00AD5F6D" w:rsidRPr="005A464E" w:rsidRDefault="00AD5F6D" w:rsidP="005A464E">
      <w:pPr>
        <w:tabs>
          <w:tab w:val="left" w:pos="3294"/>
        </w:tabs>
        <w:spacing w:line="360" w:lineRule="auto"/>
        <w:jc w:val="both"/>
        <w:rPr>
          <w:sz w:val="24"/>
          <w:szCs w:val="24"/>
        </w:rPr>
      </w:pPr>
      <w:r w:rsidRPr="005A464E">
        <w:rPr>
          <w:sz w:val="24"/>
          <w:szCs w:val="24"/>
        </w:rPr>
        <w:t xml:space="preserve">Στη μελέτη της </w:t>
      </w:r>
      <w:r w:rsidRPr="005A464E">
        <w:rPr>
          <w:sz w:val="24"/>
          <w:szCs w:val="24"/>
          <w:lang w:val="en-US"/>
        </w:rPr>
        <w:t>Theofilou</w:t>
      </w:r>
      <w:r w:rsidRPr="005A464E">
        <w:rPr>
          <w:sz w:val="24"/>
          <w:szCs w:val="24"/>
        </w:rPr>
        <w:t xml:space="preserve"> (2013), η οποία διεξήχθη σε </w:t>
      </w:r>
      <w:r w:rsidR="005F478F">
        <w:rPr>
          <w:sz w:val="24"/>
          <w:szCs w:val="24"/>
        </w:rPr>
        <w:t>6</w:t>
      </w:r>
      <w:r w:rsidRPr="005A464E">
        <w:rPr>
          <w:sz w:val="24"/>
          <w:szCs w:val="24"/>
        </w:rPr>
        <w:t xml:space="preserve"> γενικά νοσοκομεία στην Αθήνα μεταξύ 168 </w:t>
      </w:r>
      <w:r w:rsidRPr="00542C2D">
        <w:rPr>
          <w:sz w:val="24"/>
          <w:szCs w:val="24"/>
        </w:rPr>
        <w:t xml:space="preserve">ασθενών υπό </w:t>
      </w:r>
      <w:r w:rsidR="00542C2D" w:rsidRPr="000A1632">
        <w:rPr>
          <w:sz w:val="24"/>
          <w:szCs w:val="24"/>
        </w:rPr>
        <w:t>αιμοκάθαρση</w:t>
      </w:r>
      <w:r w:rsidRPr="005A464E">
        <w:rPr>
          <w:sz w:val="24"/>
          <w:szCs w:val="24"/>
        </w:rPr>
        <w:t xml:space="preserve">, οι ασθενείς συμπλήρωσαν ερωτηματολόγια σχετικά με </w:t>
      </w:r>
      <w:r w:rsidR="005A3D1D" w:rsidRPr="005A464E">
        <w:rPr>
          <w:sz w:val="24"/>
          <w:szCs w:val="24"/>
        </w:rPr>
        <w:t xml:space="preserve">τη </w:t>
      </w:r>
      <w:r w:rsidRPr="005A464E">
        <w:rPr>
          <w:sz w:val="24"/>
          <w:szCs w:val="24"/>
        </w:rPr>
        <w:t>συμμόρφωση στη φαρμακευτική αγωγή</w:t>
      </w:r>
      <w:r w:rsidR="005A3D1D" w:rsidRPr="005A464E">
        <w:rPr>
          <w:sz w:val="24"/>
          <w:szCs w:val="24"/>
        </w:rPr>
        <w:t xml:space="preserve"> και</w:t>
      </w:r>
      <w:r w:rsidRPr="005A464E">
        <w:rPr>
          <w:sz w:val="24"/>
          <w:szCs w:val="24"/>
        </w:rPr>
        <w:t xml:space="preserve"> τις πεποιθήσεις για την</w:t>
      </w:r>
      <w:r w:rsidR="0078495A">
        <w:rPr>
          <w:sz w:val="24"/>
          <w:szCs w:val="24"/>
        </w:rPr>
        <w:t xml:space="preserve"> </w:t>
      </w:r>
      <w:r w:rsidRPr="005A464E">
        <w:rPr>
          <w:sz w:val="24"/>
          <w:szCs w:val="24"/>
        </w:rPr>
        <w:t xml:space="preserve">αγωγή. Η </w:t>
      </w:r>
      <w:r w:rsidRPr="005A464E">
        <w:rPr>
          <w:sz w:val="24"/>
          <w:szCs w:val="24"/>
          <w:lang w:val="en-US"/>
        </w:rPr>
        <w:t>Theofilou</w:t>
      </w:r>
      <w:r w:rsidRPr="005A464E">
        <w:rPr>
          <w:sz w:val="24"/>
          <w:szCs w:val="24"/>
        </w:rPr>
        <w:t xml:space="preserve"> (</w:t>
      </w:r>
      <w:r w:rsidRPr="000A1632">
        <w:rPr>
          <w:sz w:val="24"/>
          <w:szCs w:val="24"/>
        </w:rPr>
        <w:t>2013)</w:t>
      </w:r>
      <w:r w:rsidR="000A1632">
        <w:rPr>
          <w:sz w:val="24"/>
          <w:szCs w:val="24"/>
        </w:rPr>
        <w:t xml:space="preserve"> </w:t>
      </w:r>
      <w:r w:rsidR="0069147B" w:rsidRPr="000A1632">
        <w:rPr>
          <w:sz w:val="24"/>
          <w:szCs w:val="24"/>
        </w:rPr>
        <w:t>διαπίστωσε</w:t>
      </w:r>
      <w:r w:rsidR="005A3D1D" w:rsidRPr="005A464E">
        <w:rPr>
          <w:sz w:val="24"/>
          <w:szCs w:val="24"/>
        </w:rPr>
        <w:t xml:space="preserve"> ότι ο αριθμός των δισκίω</w:t>
      </w:r>
      <w:r w:rsidRPr="005A464E">
        <w:rPr>
          <w:sz w:val="24"/>
          <w:szCs w:val="24"/>
        </w:rPr>
        <w:t>ν που καταναλώνουν οι ηλικι</w:t>
      </w:r>
      <w:r w:rsidR="00B5378E" w:rsidRPr="005A464E">
        <w:rPr>
          <w:sz w:val="24"/>
          <w:szCs w:val="24"/>
        </w:rPr>
        <w:t>ωμένοι είναι μεγαλύτερος από ό,</w:t>
      </w:r>
      <w:r w:rsidRPr="005A464E">
        <w:rPr>
          <w:sz w:val="24"/>
          <w:szCs w:val="24"/>
        </w:rPr>
        <w:t>τι σε νεαρούς ασθενείς κάτ</w:t>
      </w:r>
      <w:r w:rsidR="00210189">
        <w:rPr>
          <w:sz w:val="24"/>
          <w:szCs w:val="24"/>
        </w:rPr>
        <w:t>ι που οδηγεί σε μη συμμόρφωση</w:t>
      </w:r>
      <w:r w:rsidRPr="005A464E">
        <w:rPr>
          <w:sz w:val="24"/>
          <w:szCs w:val="24"/>
        </w:rPr>
        <w:t>.</w:t>
      </w:r>
    </w:p>
    <w:p w:rsidR="00AD5F6D" w:rsidRPr="004E0AB7" w:rsidRDefault="00AD5F6D" w:rsidP="004E0AB7">
      <w:pPr>
        <w:pStyle w:val="a5"/>
        <w:numPr>
          <w:ilvl w:val="0"/>
          <w:numId w:val="121"/>
        </w:numPr>
        <w:spacing w:line="360" w:lineRule="auto"/>
        <w:rPr>
          <w:i/>
          <w:sz w:val="24"/>
          <w:szCs w:val="24"/>
        </w:rPr>
      </w:pPr>
      <w:r w:rsidRPr="004E0AB7">
        <w:rPr>
          <w:i/>
          <w:sz w:val="24"/>
          <w:szCs w:val="24"/>
        </w:rPr>
        <w:t xml:space="preserve">Πεποιθήσεις </w:t>
      </w:r>
      <w:r w:rsidR="00B0560D" w:rsidRPr="004E0AB7">
        <w:rPr>
          <w:i/>
          <w:sz w:val="24"/>
          <w:szCs w:val="24"/>
        </w:rPr>
        <w:t>του ασθενούς</w:t>
      </w:r>
      <w:r w:rsidRPr="004E0AB7">
        <w:rPr>
          <w:i/>
          <w:sz w:val="24"/>
          <w:szCs w:val="24"/>
        </w:rPr>
        <w:t xml:space="preserve"> για την ασθένεια </w:t>
      </w:r>
    </w:p>
    <w:p w:rsidR="00AD5F6D" w:rsidRPr="005A464E" w:rsidRDefault="00AD5F6D" w:rsidP="005A464E">
      <w:pPr>
        <w:tabs>
          <w:tab w:val="left" w:pos="3294"/>
        </w:tabs>
        <w:spacing w:line="360" w:lineRule="auto"/>
        <w:jc w:val="both"/>
        <w:rPr>
          <w:sz w:val="24"/>
          <w:szCs w:val="24"/>
        </w:rPr>
      </w:pPr>
      <w:r w:rsidRPr="005A464E">
        <w:rPr>
          <w:sz w:val="24"/>
          <w:szCs w:val="24"/>
        </w:rPr>
        <w:t xml:space="preserve">Ο ρόλος των αντιλήψεων για </w:t>
      </w:r>
      <w:r w:rsidR="00542C2D">
        <w:rPr>
          <w:sz w:val="24"/>
          <w:szCs w:val="24"/>
        </w:rPr>
        <w:t xml:space="preserve">την ασθένεια στην συμμόρφωση </w:t>
      </w:r>
      <w:r w:rsidR="00B0560D">
        <w:rPr>
          <w:sz w:val="24"/>
          <w:szCs w:val="24"/>
        </w:rPr>
        <w:t>του ασθενούς</w:t>
      </w:r>
      <w:r w:rsidRPr="005A464E">
        <w:rPr>
          <w:sz w:val="24"/>
          <w:szCs w:val="24"/>
        </w:rPr>
        <w:t xml:space="preserve"> με νεφρική νόσο τελικού σταδίου στη φαρμακευτική αγωγή, τη διατροφή κα</w:t>
      </w:r>
      <w:r w:rsidR="002B123E">
        <w:rPr>
          <w:sz w:val="24"/>
          <w:szCs w:val="24"/>
        </w:rPr>
        <w:t>ι την πρόσληψη υγρών</w:t>
      </w:r>
      <w:r w:rsidRPr="005A464E">
        <w:rPr>
          <w:sz w:val="24"/>
          <w:szCs w:val="24"/>
        </w:rPr>
        <w:t xml:space="preserve"> είναι καλά αναγνωρισμένος. Ο</w:t>
      </w:r>
      <w:r w:rsidR="00542C2D">
        <w:rPr>
          <w:sz w:val="24"/>
          <w:szCs w:val="24"/>
        </w:rPr>
        <w:t xml:space="preserve">ι αντιλήψεις </w:t>
      </w:r>
      <w:r w:rsidR="00B0560D">
        <w:rPr>
          <w:sz w:val="24"/>
          <w:szCs w:val="24"/>
        </w:rPr>
        <w:t>του ασθενούς</w:t>
      </w:r>
      <w:r w:rsidRPr="005A464E">
        <w:rPr>
          <w:sz w:val="24"/>
          <w:szCs w:val="24"/>
        </w:rPr>
        <w:t xml:space="preserve"> για την ασθένεια περιλαμβάνουν τις πεποιθήσεις σχετικά με τα συμπτώματα, τα αίτια και την πρόγνωση της ασθένειας, τις συνέπειες της ασθένειας και τις δυνατότητες ελέγχου (</w:t>
      </w:r>
      <w:r w:rsidRPr="005A464E">
        <w:rPr>
          <w:sz w:val="24"/>
          <w:szCs w:val="24"/>
          <w:lang w:val="en-US"/>
        </w:rPr>
        <w:t>Petrie</w:t>
      </w:r>
      <w:r w:rsidR="00210189" w:rsidRPr="00210189">
        <w:rPr>
          <w:sz w:val="24"/>
          <w:szCs w:val="24"/>
        </w:rPr>
        <w:t xml:space="preserve">, </w:t>
      </w:r>
      <w:r w:rsidR="00210189" w:rsidRPr="00210189">
        <w:rPr>
          <w:rFonts w:cstheme="minorHAnsi"/>
          <w:sz w:val="24"/>
          <w:szCs w:val="24"/>
          <w:shd w:val="clear" w:color="auto" w:fill="FFFFFF"/>
          <w:lang w:val="en-US"/>
        </w:rPr>
        <w:t>Jago</w:t>
      </w:r>
      <w:r w:rsidR="00A600AE" w:rsidRPr="00A600AE">
        <w:rPr>
          <w:rFonts w:cstheme="minorHAnsi"/>
          <w:sz w:val="24"/>
          <w:szCs w:val="24"/>
          <w:shd w:val="clear" w:color="auto" w:fill="FFFFFF"/>
        </w:rPr>
        <w:t>,</w:t>
      </w:r>
      <w:r w:rsidR="00210189" w:rsidRPr="00210189">
        <w:rPr>
          <w:rFonts w:cstheme="minorHAnsi"/>
          <w:sz w:val="24"/>
          <w:szCs w:val="24"/>
          <w:shd w:val="clear" w:color="auto" w:fill="FFFFFF"/>
        </w:rPr>
        <w:t xml:space="preserve"> &amp; </w:t>
      </w:r>
      <w:r w:rsidR="00210189" w:rsidRPr="00210189">
        <w:rPr>
          <w:rFonts w:cstheme="minorHAnsi"/>
          <w:sz w:val="24"/>
          <w:szCs w:val="24"/>
          <w:shd w:val="clear" w:color="auto" w:fill="FFFFFF"/>
          <w:lang w:val="en-US"/>
        </w:rPr>
        <w:t>Devcich</w:t>
      </w:r>
      <w:r w:rsidR="00A600AE" w:rsidRPr="00A600AE">
        <w:rPr>
          <w:rFonts w:cstheme="minorHAnsi"/>
          <w:sz w:val="24"/>
          <w:szCs w:val="24"/>
          <w:shd w:val="clear" w:color="auto" w:fill="FFFFFF"/>
        </w:rPr>
        <w:t>,</w:t>
      </w:r>
      <w:r w:rsidRPr="00210189">
        <w:rPr>
          <w:sz w:val="24"/>
          <w:szCs w:val="24"/>
        </w:rPr>
        <w:t xml:space="preserve"> 2007</w:t>
      </w:r>
      <w:r w:rsidR="00542C2D">
        <w:rPr>
          <w:sz w:val="24"/>
          <w:szCs w:val="24"/>
        </w:rPr>
        <w:t xml:space="preserve">). Οι απόψεις </w:t>
      </w:r>
      <w:r w:rsidR="00B0560D">
        <w:rPr>
          <w:sz w:val="24"/>
          <w:szCs w:val="24"/>
        </w:rPr>
        <w:t>του ασθενούς</w:t>
      </w:r>
      <w:r w:rsidRPr="005A464E">
        <w:rPr>
          <w:sz w:val="24"/>
          <w:szCs w:val="24"/>
        </w:rPr>
        <w:t xml:space="preserve"> σχετι</w:t>
      </w:r>
      <w:r w:rsidR="00542C2D">
        <w:rPr>
          <w:sz w:val="24"/>
          <w:szCs w:val="24"/>
        </w:rPr>
        <w:t>κά με την ασθένειά του</w:t>
      </w:r>
      <w:r w:rsidRPr="005A464E">
        <w:rPr>
          <w:sz w:val="24"/>
          <w:szCs w:val="24"/>
        </w:rPr>
        <w:t xml:space="preserve"> καθορίζουν τον τ</w:t>
      </w:r>
      <w:r w:rsidR="00542C2D">
        <w:rPr>
          <w:sz w:val="24"/>
          <w:szCs w:val="24"/>
        </w:rPr>
        <w:t>ρόπο με τον οποίο θα αντιδράσει</w:t>
      </w:r>
      <w:r w:rsidRPr="005A464E">
        <w:rPr>
          <w:sz w:val="24"/>
          <w:szCs w:val="24"/>
        </w:rPr>
        <w:t xml:space="preserve"> σε συμπεριφορικό </w:t>
      </w:r>
      <w:r w:rsidR="00785007">
        <w:rPr>
          <w:sz w:val="24"/>
          <w:szCs w:val="24"/>
        </w:rPr>
        <w:t>και συν</w:t>
      </w:r>
      <w:r w:rsidRPr="005A464E">
        <w:rPr>
          <w:sz w:val="24"/>
          <w:szCs w:val="24"/>
        </w:rPr>
        <w:t>αισθηματικό επίπεδο</w:t>
      </w:r>
      <w:r w:rsidRPr="005A464E">
        <w:rPr>
          <w:rFonts w:eastAsia="Times New Roman"/>
          <w:sz w:val="24"/>
          <w:szCs w:val="24"/>
          <w:lang w:eastAsia="el-GR"/>
        </w:rPr>
        <w:t xml:space="preserve"> (</w:t>
      </w:r>
      <w:r w:rsidRPr="005A464E">
        <w:rPr>
          <w:rFonts w:eastAsia="Times New Roman"/>
          <w:sz w:val="24"/>
          <w:szCs w:val="24"/>
          <w:lang w:val="en-US" w:eastAsia="el-GR"/>
        </w:rPr>
        <w:t>Jansen</w:t>
      </w:r>
      <w:r w:rsidR="00AC5B2C" w:rsidRPr="00AC5B2C">
        <w:rPr>
          <w:rFonts w:eastAsia="Times New Roman"/>
          <w:sz w:val="24"/>
          <w:szCs w:val="24"/>
          <w:lang w:eastAsia="el-GR"/>
        </w:rPr>
        <w:t xml:space="preserve">, </w:t>
      </w:r>
      <w:r w:rsidR="00AC5B2C" w:rsidRPr="00AC5B2C">
        <w:rPr>
          <w:rFonts w:asciiTheme="minorHAnsi" w:hAnsiTheme="minorHAnsi" w:cstheme="minorHAnsi"/>
          <w:sz w:val="24"/>
          <w:szCs w:val="24"/>
          <w:lang w:val="en-US"/>
        </w:rPr>
        <w:t>Rijken</w:t>
      </w:r>
      <w:r w:rsidR="00AC5B2C">
        <w:rPr>
          <w:rFonts w:asciiTheme="minorHAnsi" w:hAnsiTheme="minorHAnsi" w:cstheme="minorHAnsi"/>
          <w:sz w:val="24"/>
          <w:szCs w:val="24"/>
        </w:rPr>
        <w:t>,</w:t>
      </w:r>
      <w:r w:rsidR="00AC5B2C" w:rsidRPr="00AC5B2C">
        <w:rPr>
          <w:rFonts w:asciiTheme="minorHAnsi" w:hAnsiTheme="minorHAnsi" w:cstheme="minorHAnsi"/>
          <w:sz w:val="24"/>
          <w:szCs w:val="24"/>
        </w:rPr>
        <w:t xml:space="preserve"> </w:t>
      </w:r>
      <w:r w:rsidR="00AC5B2C" w:rsidRPr="00AC5B2C">
        <w:rPr>
          <w:rFonts w:asciiTheme="minorHAnsi" w:hAnsiTheme="minorHAnsi" w:cstheme="minorHAnsi"/>
          <w:sz w:val="24"/>
          <w:szCs w:val="24"/>
          <w:lang w:val="en-US"/>
        </w:rPr>
        <w:t>Heijmans</w:t>
      </w:r>
      <w:r w:rsidR="00AC5B2C" w:rsidRPr="00AC5B2C">
        <w:rPr>
          <w:rFonts w:asciiTheme="minorHAnsi" w:hAnsiTheme="minorHAnsi" w:cstheme="minorHAnsi"/>
          <w:sz w:val="24"/>
          <w:szCs w:val="24"/>
        </w:rPr>
        <w:t xml:space="preserve">, &amp; </w:t>
      </w:r>
      <w:r w:rsidR="00AC5B2C" w:rsidRPr="00AC5B2C">
        <w:rPr>
          <w:rFonts w:asciiTheme="minorHAnsi" w:hAnsiTheme="minorHAnsi" w:cstheme="minorHAnsi"/>
          <w:sz w:val="24"/>
          <w:szCs w:val="24"/>
          <w:lang w:val="en-US"/>
        </w:rPr>
        <w:t>Boeschoten</w:t>
      </w:r>
      <w:r w:rsidR="00AC5B2C" w:rsidRPr="00AC5B2C">
        <w:rPr>
          <w:rFonts w:asciiTheme="minorHAnsi" w:hAnsiTheme="minorHAnsi" w:cstheme="minorHAnsi"/>
          <w:sz w:val="24"/>
          <w:szCs w:val="24"/>
        </w:rPr>
        <w:t>,</w:t>
      </w:r>
      <w:r w:rsidR="00AC5B2C" w:rsidRPr="00AC5B2C">
        <w:rPr>
          <w:rFonts w:eastAsia="Times New Roman"/>
          <w:sz w:val="24"/>
          <w:szCs w:val="24"/>
          <w:lang w:eastAsia="el-GR"/>
        </w:rPr>
        <w:t xml:space="preserve"> </w:t>
      </w:r>
      <w:r w:rsidRPr="00AC5B2C">
        <w:rPr>
          <w:rFonts w:eastAsia="Times New Roman"/>
          <w:sz w:val="24"/>
          <w:szCs w:val="24"/>
          <w:lang w:eastAsia="el-GR"/>
        </w:rPr>
        <w:t>2010)</w:t>
      </w:r>
      <w:r w:rsidRPr="00AC5B2C">
        <w:rPr>
          <w:sz w:val="24"/>
          <w:szCs w:val="24"/>
        </w:rPr>
        <w:t>. Οι αρνητικές αντιλήψεις για την ασθένεια</w:t>
      </w:r>
      <w:r w:rsidRPr="005A464E">
        <w:rPr>
          <w:sz w:val="24"/>
          <w:szCs w:val="24"/>
        </w:rPr>
        <w:t xml:space="preserve"> έχουν συσχετιστεί με αυξημένη νοσηρότητα και θνησιμότητα, μειωμένη ποιότητα ζωής και τα χαμηλότερα ποσοστά συμμόρφωσης στις θεραπευτικ</w:t>
      </w:r>
      <w:r w:rsidR="005A3D1D" w:rsidRPr="005A464E">
        <w:rPr>
          <w:sz w:val="24"/>
          <w:szCs w:val="24"/>
        </w:rPr>
        <w:t>ές συστάσεις (</w:t>
      </w:r>
      <w:r w:rsidRPr="005A464E">
        <w:rPr>
          <w:sz w:val="24"/>
          <w:szCs w:val="24"/>
        </w:rPr>
        <w:t xml:space="preserve">van Dijk </w:t>
      </w:r>
      <w:r w:rsidR="00566CAA">
        <w:rPr>
          <w:sz w:val="24"/>
          <w:szCs w:val="24"/>
        </w:rPr>
        <w:t>et al</w:t>
      </w:r>
      <w:r w:rsidR="00210189" w:rsidRPr="00210189">
        <w:rPr>
          <w:sz w:val="24"/>
          <w:szCs w:val="24"/>
        </w:rPr>
        <w:t>.</w:t>
      </w:r>
      <w:r w:rsidR="00AA0C84">
        <w:rPr>
          <w:sz w:val="24"/>
          <w:szCs w:val="24"/>
        </w:rPr>
        <w:t>,</w:t>
      </w:r>
      <w:r w:rsidRPr="005A464E">
        <w:rPr>
          <w:sz w:val="24"/>
          <w:szCs w:val="24"/>
        </w:rPr>
        <w:t xml:space="preserve"> 2009</w:t>
      </w:r>
      <w:r w:rsidR="009460D7">
        <w:rPr>
          <w:sz w:val="24"/>
          <w:szCs w:val="24"/>
        </w:rPr>
        <w:t xml:space="preserve">; </w:t>
      </w:r>
      <w:r w:rsidR="009460D7" w:rsidRPr="005A464E">
        <w:rPr>
          <w:sz w:val="24"/>
          <w:szCs w:val="24"/>
        </w:rPr>
        <w:t>Kim</w:t>
      </w:r>
      <w:r w:rsidR="009460D7" w:rsidRPr="00210189">
        <w:rPr>
          <w:sz w:val="24"/>
          <w:szCs w:val="24"/>
        </w:rPr>
        <w:t xml:space="preserve"> &amp; </w:t>
      </w:r>
      <w:r w:rsidR="009460D7" w:rsidRPr="00210189">
        <w:rPr>
          <w:rFonts w:eastAsia="Times New Roman" w:cstheme="minorHAnsi"/>
          <w:sz w:val="24"/>
          <w:szCs w:val="24"/>
          <w:lang w:val="en-US" w:eastAsia="el-GR"/>
        </w:rPr>
        <w:t>Evangelista</w:t>
      </w:r>
      <w:r w:rsidR="009460D7">
        <w:rPr>
          <w:rFonts w:eastAsia="Times New Roman" w:cstheme="minorHAnsi"/>
          <w:sz w:val="24"/>
          <w:szCs w:val="24"/>
          <w:lang w:eastAsia="el-GR"/>
        </w:rPr>
        <w:t>,</w:t>
      </w:r>
      <w:r w:rsidR="009460D7" w:rsidRPr="00210189">
        <w:rPr>
          <w:sz w:val="24"/>
          <w:szCs w:val="24"/>
        </w:rPr>
        <w:t xml:space="preserve"> 2010</w:t>
      </w:r>
      <w:r w:rsidRPr="005A464E">
        <w:rPr>
          <w:sz w:val="24"/>
          <w:szCs w:val="24"/>
        </w:rPr>
        <w:t>).</w:t>
      </w:r>
    </w:p>
    <w:p w:rsidR="00AD5F6D" w:rsidRPr="005A464E" w:rsidRDefault="00AD5F6D" w:rsidP="005A464E">
      <w:pPr>
        <w:tabs>
          <w:tab w:val="left" w:pos="3294"/>
        </w:tabs>
        <w:spacing w:line="360" w:lineRule="auto"/>
        <w:jc w:val="both"/>
        <w:rPr>
          <w:sz w:val="24"/>
          <w:szCs w:val="24"/>
        </w:rPr>
      </w:pPr>
      <w:r w:rsidRPr="005A464E">
        <w:rPr>
          <w:sz w:val="24"/>
          <w:szCs w:val="24"/>
        </w:rPr>
        <w:t>Σε ένα από τα πρώτα ερευνητικά προγράμματα σχετικά με τη</w:t>
      </w:r>
      <w:r w:rsidR="00C53339" w:rsidRPr="005A464E">
        <w:rPr>
          <w:sz w:val="24"/>
          <w:szCs w:val="24"/>
        </w:rPr>
        <w:t xml:space="preserve"> συμμόρφωση στην πρόσληψη υγρών</w:t>
      </w:r>
      <w:r w:rsidRPr="005A464E">
        <w:rPr>
          <w:sz w:val="24"/>
          <w:szCs w:val="24"/>
        </w:rPr>
        <w:t xml:space="preserve"> στους ασθενείς υπό αιμοκάθαρση</w:t>
      </w:r>
      <w:r w:rsidR="00C53339" w:rsidRPr="005A464E">
        <w:rPr>
          <w:sz w:val="24"/>
          <w:szCs w:val="24"/>
        </w:rPr>
        <w:t>,</w:t>
      </w:r>
      <w:r w:rsidR="001C2D3A">
        <w:rPr>
          <w:sz w:val="24"/>
          <w:szCs w:val="24"/>
        </w:rPr>
        <w:t xml:space="preserve"> οι Cummings</w:t>
      </w:r>
      <w:r w:rsidR="001C2D3A" w:rsidRPr="001C2D3A">
        <w:rPr>
          <w:sz w:val="24"/>
          <w:szCs w:val="24"/>
        </w:rPr>
        <w:t>,</w:t>
      </w:r>
      <w:r w:rsidR="001C2D3A" w:rsidRPr="001C2D3A">
        <w:rPr>
          <w:rFonts w:asciiTheme="minorHAnsi" w:eastAsia="Times New Roman" w:hAnsiTheme="minorHAnsi" w:cstheme="minorHAnsi"/>
          <w:lang w:eastAsia="el-GR"/>
        </w:rPr>
        <w:t xml:space="preserve"> </w:t>
      </w:r>
      <w:r w:rsidR="001C2D3A" w:rsidRPr="001C2D3A">
        <w:rPr>
          <w:rFonts w:asciiTheme="minorHAnsi" w:eastAsia="Times New Roman" w:hAnsiTheme="minorHAnsi" w:cstheme="minorHAnsi"/>
          <w:sz w:val="24"/>
          <w:szCs w:val="24"/>
          <w:lang w:val="en-US" w:eastAsia="el-GR"/>
        </w:rPr>
        <w:t>Becker</w:t>
      </w:r>
      <w:r w:rsidR="001C2D3A" w:rsidRPr="001C2D3A">
        <w:rPr>
          <w:rFonts w:asciiTheme="minorHAnsi" w:eastAsia="Times New Roman" w:hAnsiTheme="minorHAnsi" w:cstheme="minorHAnsi"/>
          <w:sz w:val="24"/>
          <w:szCs w:val="24"/>
          <w:lang w:eastAsia="el-GR"/>
        </w:rPr>
        <w:t xml:space="preserve">, </w:t>
      </w:r>
      <w:r w:rsidR="001C2D3A" w:rsidRPr="001C2D3A">
        <w:rPr>
          <w:rFonts w:asciiTheme="minorHAnsi" w:eastAsia="Times New Roman" w:hAnsiTheme="minorHAnsi" w:cstheme="minorHAnsi"/>
          <w:sz w:val="24"/>
          <w:szCs w:val="24"/>
          <w:lang w:val="en-US" w:eastAsia="el-GR"/>
        </w:rPr>
        <w:t>Kirscht</w:t>
      </w:r>
      <w:r w:rsidR="002B123E">
        <w:rPr>
          <w:rFonts w:asciiTheme="minorHAnsi" w:eastAsia="Times New Roman" w:hAnsiTheme="minorHAnsi" w:cstheme="minorHAnsi"/>
          <w:sz w:val="24"/>
          <w:szCs w:val="24"/>
          <w:lang w:eastAsia="el-GR"/>
        </w:rPr>
        <w:t>, και</w:t>
      </w:r>
      <w:r w:rsidR="001C2D3A" w:rsidRPr="001C2D3A">
        <w:rPr>
          <w:rFonts w:asciiTheme="minorHAnsi" w:eastAsia="Times New Roman" w:hAnsiTheme="minorHAnsi" w:cstheme="minorHAnsi"/>
          <w:sz w:val="24"/>
          <w:szCs w:val="24"/>
          <w:lang w:eastAsia="el-GR"/>
        </w:rPr>
        <w:t xml:space="preserve"> </w:t>
      </w:r>
      <w:r w:rsidR="001C2D3A" w:rsidRPr="001C2D3A">
        <w:rPr>
          <w:rFonts w:asciiTheme="minorHAnsi" w:eastAsia="Times New Roman" w:hAnsiTheme="minorHAnsi" w:cstheme="minorHAnsi"/>
          <w:sz w:val="24"/>
          <w:szCs w:val="24"/>
          <w:lang w:val="en-US" w:eastAsia="el-GR"/>
        </w:rPr>
        <w:t>Levin</w:t>
      </w:r>
      <w:r w:rsidRPr="001C2D3A">
        <w:rPr>
          <w:sz w:val="24"/>
          <w:szCs w:val="24"/>
        </w:rPr>
        <w:t xml:space="preserve"> (1982) μελέτησαν τις γνώσεις</w:t>
      </w:r>
      <w:r w:rsidR="0078495A">
        <w:rPr>
          <w:sz w:val="24"/>
          <w:szCs w:val="24"/>
        </w:rPr>
        <w:t xml:space="preserve"> </w:t>
      </w:r>
      <w:r w:rsidRPr="001C2D3A">
        <w:rPr>
          <w:sz w:val="24"/>
          <w:szCs w:val="24"/>
        </w:rPr>
        <w:t>για τη θεραπεία, τις πεποιθήσεις για</w:t>
      </w:r>
      <w:r w:rsidR="00785007">
        <w:rPr>
          <w:sz w:val="24"/>
          <w:szCs w:val="24"/>
        </w:rPr>
        <w:t xml:space="preserve"> την υγεία, το ιστορικό</w:t>
      </w:r>
      <w:r w:rsidRPr="005A464E">
        <w:rPr>
          <w:sz w:val="24"/>
          <w:szCs w:val="24"/>
        </w:rPr>
        <w:t xml:space="preserve"> της </w:t>
      </w:r>
      <w:r w:rsidR="00483031" w:rsidRPr="005A464E">
        <w:rPr>
          <w:sz w:val="24"/>
          <w:szCs w:val="24"/>
        </w:rPr>
        <w:t>θεραπείας</w:t>
      </w:r>
      <w:r w:rsidRPr="005A464E">
        <w:rPr>
          <w:sz w:val="24"/>
          <w:szCs w:val="24"/>
        </w:rPr>
        <w:t xml:space="preserve">, την κοινωνική υποστήριξη, τα προσωπικά χαρακτηριστικά και την συμμόρφωση 116 </w:t>
      </w:r>
      <w:r w:rsidRPr="00542C2D">
        <w:rPr>
          <w:sz w:val="24"/>
          <w:szCs w:val="24"/>
        </w:rPr>
        <w:t>ασθε</w:t>
      </w:r>
      <w:r w:rsidR="00483031" w:rsidRPr="00542C2D">
        <w:rPr>
          <w:sz w:val="24"/>
          <w:szCs w:val="24"/>
        </w:rPr>
        <w:t xml:space="preserve">νών υπό </w:t>
      </w:r>
      <w:r w:rsidR="00542C2D" w:rsidRPr="000A1632">
        <w:rPr>
          <w:sz w:val="24"/>
          <w:szCs w:val="24"/>
        </w:rPr>
        <w:t>αιμοκάθαρση</w:t>
      </w:r>
      <w:r w:rsidRPr="000A1632">
        <w:rPr>
          <w:sz w:val="24"/>
          <w:szCs w:val="24"/>
        </w:rPr>
        <w:t>. Τα αποτελέσματα έδειξαν ότι οι αντιλήψεις των ασθενών για τ</w:t>
      </w:r>
      <w:r w:rsidR="002B123E" w:rsidRPr="000A1632">
        <w:rPr>
          <w:sz w:val="24"/>
          <w:szCs w:val="24"/>
        </w:rPr>
        <w:t>ις επιπτώσεις της ασθένειας</w:t>
      </w:r>
      <w:r w:rsidRPr="000A1632">
        <w:rPr>
          <w:sz w:val="24"/>
          <w:szCs w:val="24"/>
        </w:rPr>
        <w:t xml:space="preserve"> στις οικογένειές τους σχετίζονταν σημαντικά με </w:t>
      </w:r>
      <w:r w:rsidR="00C53339" w:rsidRPr="000A1632">
        <w:rPr>
          <w:sz w:val="24"/>
          <w:szCs w:val="24"/>
        </w:rPr>
        <w:t xml:space="preserve">το </w:t>
      </w:r>
      <w:r w:rsidRPr="000A1632">
        <w:rPr>
          <w:sz w:val="24"/>
          <w:szCs w:val="24"/>
        </w:rPr>
        <w:t xml:space="preserve">σωματικό τους βάρος, γεγονός που υποδηλώνει ότι όσο </w:t>
      </w:r>
      <w:r w:rsidR="00542C2D" w:rsidRPr="000A1632">
        <w:rPr>
          <w:sz w:val="24"/>
          <w:szCs w:val="24"/>
        </w:rPr>
        <w:t>πιο επιβαρυντ</w:t>
      </w:r>
      <w:r w:rsidRPr="000A1632">
        <w:rPr>
          <w:sz w:val="24"/>
          <w:szCs w:val="24"/>
        </w:rPr>
        <w:t xml:space="preserve">ικές </w:t>
      </w:r>
      <w:r w:rsidR="002B123E" w:rsidRPr="000A1632">
        <w:rPr>
          <w:sz w:val="24"/>
          <w:szCs w:val="24"/>
        </w:rPr>
        <w:t>ήταν οι επιπτώσεις της ασθένειας</w:t>
      </w:r>
      <w:r w:rsidRPr="000A1632">
        <w:rPr>
          <w:sz w:val="24"/>
          <w:szCs w:val="24"/>
        </w:rPr>
        <w:t xml:space="preserve"> στην οικογένειά τους, τόσο λιγότερο πιθανό ήταν να συμμορφώνονται στον περιορισμό των υγρών.</w:t>
      </w:r>
    </w:p>
    <w:p w:rsidR="00AD5F6D" w:rsidRPr="005A464E" w:rsidRDefault="000A1632" w:rsidP="005A464E">
      <w:pPr>
        <w:tabs>
          <w:tab w:val="left" w:pos="3294"/>
        </w:tabs>
        <w:spacing w:line="360" w:lineRule="auto"/>
        <w:jc w:val="both"/>
        <w:rPr>
          <w:sz w:val="24"/>
          <w:szCs w:val="24"/>
        </w:rPr>
      </w:pPr>
      <w:r>
        <w:rPr>
          <w:sz w:val="24"/>
          <w:szCs w:val="24"/>
        </w:rPr>
        <w:t xml:space="preserve">Οι  </w:t>
      </w:r>
      <w:r w:rsidR="00AA0C84">
        <w:rPr>
          <w:sz w:val="24"/>
          <w:szCs w:val="24"/>
        </w:rPr>
        <w:t xml:space="preserve"> Rosenbaum και</w:t>
      </w:r>
      <w:r>
        <w:rPr>
          <w:sz w:val="24"/>
          <w:szCs w:val="24"/>
        </w:rPr>
        <w:t xml:space="preserve"> Ben-Ari Smira (1986)</w:t>
      </w:r>
      <w:r w:rsidR="00AD5F6D" w:rsidRPr="005A464E">
        <w:rPr>
          <w:sz w:val="24"/>
          <w:szCs w:val="24"/>
        </w:rPr>
        <w:t xml:space="preserve"> μελέτησαν τους </w:t>
      </w:r>
      <w:r w:rsidR="00AD5F6D" w:rsidRPr="000A1632">
        <w:rPr>
          <w:sz w:val="24"/>
          <w:szCs w:val="24"/>
        </w:rPr>
        <w:t>γ</w:t>
      </w:r>
      <w:r w:rsidR="00766B79" w:rsidRPr="000A1632">
        <w:rPr>
          <w:sz w:val="24"/>
          <w:szCs w:val="24"/>
        </w:rPr>
        <w:t>νωσ</w:t>
      </w:r>
      <w:r w:rsidR="00AD5F6D" w:rsidRPr="000A1632">
        <w:rPr>
          <w:sz w:val="24"/>
          <w:szCs w:val="24"/>
        </w:rPr>
        <w:t>ι</w:t>
      </w:r>
      <w:r w:rsidR="00766B79" w:rsidRPr="000A1632">
        <w:rPr>
          <w:sz w:val="24"/>
          <w:szCs w:val="24"/>
        </w:rPr>
        <w:t>α</w:t>
      </w:r>
      <w:r w:rsidR="00AD5F6D" w:rsidRPr="000A1632">
        <w:rPr>
          <w:sz w:val="24"/>
          <w:szCs w:val="24"/>
        </w:rPr>
        <w:t>κούς παράγοντε</w:t>
      </w:r>
      <w:r w:rsidR="00766B79" w:rsidRPr="000A1632">
        <w:rPr>
          <w:sz w:val="24"/>
          <w:szCs w:val="24"/>
        </w:rPr>
        <w:t>ς και την προσωπικότητα τους</w:t>
      </w:r>
      <w:r w:rsidR="00AD5F6D" w:rsidRPr="000A1632">
        <w:rPr>
          <w:sz w:val="24"/>
          <w:szCs w:val="24"/>
        </w:rPr>
        <w:t xml:space="preserve"> ασθενών υπό αιμοκάθαρση.</w:t>
      </w:r>
      <w:r w:rsidR="00483031" w:rsidRPr="000A1632">
        <w:rPr>
          <w:sz w:val="24"/>
          <w:szCs w:val="24"/>
        </w:rPr>
        <w:t xml:space="preserve"> </w:t>
      </w:r>
      <w:r w:rsidR="00AD5F6D" w:rsidRPr="000A1632">
        <w:rPr>
          <w:sz w:val="24"/>
          <w:szCs w:val="24"/>
        </w:rPr>
        <w:t>Οι ερευνητές διαπίστωσαν ότι οι ασθενείς οι οποίοι επέδειξαν υψηλότερη</w:t>
      </w:r>
      <w:r w:rsidR="00B25207" w:rsidRPr="000A1632">
        <w:rPr>
          <w:sz w:val="24"/>
          <w:szCs w:val="24"/>
        </w:rPr>
        <w:t xml:space="preserve"> αυτοαποτελεσματικότητα</w:t>
      </w:r>
      <w:r w:rsidR="00AD5F6D" w:rsidRPr="000A1632">
        <w:rPr>
          <w:sz w:val="24"/>
          <w:szCs w:val="24"/>
        </w:rPr>
        <w:t xml:space="preserve"> ήταν σε θέση να μειώσουν το σωματικό τους βάρος μεταξύ των συνεδριών αιμοκάθαρσης.</w:t>
      </w:r>
    </w:p>
    <w:p w:rsidR="00AD5F6D" w:rsidRPr="005A464E" w:rsidRDefault="00210189" w:rsidP="005A464E">
      <w:pPr>
        <w:tabs>
          <w:tab w:val="left" w:pos="3294"/>
        </w:tabs>
        <w:spacing w:line="360" w:lineRule="auto"/>
        <w:jc w:val="both"/>
        <w:rPr>
          <w:sz w:val="24"/>
          <w:szCs w:val="24"/>
        </w:rPr>
      </w:pPr>
      <w:r>
        <w:rPr>
          <w:sz w:val="24"/>
          <w:szCs w:val="24"/>
        </w:rPr>
        <w:t>Οι Kim και</w:t>
      </w:r>
      <w:r w:rsidR="00737AC6" w:rsidRPr="005A464E">
        <w:rPr>
          <w:sz w:val="24"/>
          <w:szCs w:val="24"/>
        </w:rPr>
        <w:t xml:space="preserve"> Evangelista</w:t>
      </w:r>
      <w:r w:rsidR="00AD5F6D" w:rsidRPr="005A464E">
        <w:rPr>
          <w:sz w:val="24"/>
          <w:szCs w:val="24"/>
        </w:rPr>
        <w:t xml:space="preserve"> (2010) σε μια μελ</w:t>
      </w:r>
      <w:r w:rsidR="00C53339" w:rsidRPr="005A464E">
        <w:rPr>
          <w:sz w:val="24"/>
          <w:szCs w:val="24"/>
        </w:rPr>
        <w:t>έτη 151 ασθενών που υποβάλλονταν</w:t>
      </w:r>
      <w:r w:rsidR="00AD5F6D" w:rsidRPr="005A464E">
        <w:rPr>
          <w:sz w:val="24"/>
          <w:szCs w:val="24"/>
        </w:rPr>
        <w:t xml:space="preserve"> σε αιμοκάθαρση, διαπίστωσαν ότι οι αντιλήψεις για την ασθένεια είχαν αρνητική συσχέτιση με την συμμόρφωση στη διαιτητική αγωγή. Οι ασθενείς</w:t>
      </w:r>
      <w:r w:rsidR="000A1632">
        <w:rPr>
          <w:sz w:val="24"/>
          <w:szCs w:val="24"/>
        </w:rPr>
        <w:t>,</w:t>
      </w:r>
      <w:r w:rsidR="00AD5F6D" w:rsidRPr="005A464E">
        <w:rPr>
          <w:sz w:val="24"/>
          <w:szCs w:val="24"/>
        </w:rPr>
        <w:t xml:space="preserve"> οι οποίοι ανέφεραν ισχυρότερες αρνητικές αντιλήψεις σχετικά με την ασθένειά τους ήταν λιγότερο συμμορφωμένοι στους διατροφικούς</w:t>
      </w:r>
      <w:r>
        <w:rPr>
          <w:sz w:val="24"/>
          <w:szCs w:val="24"/>
        </w:rPr>
        <w:t xml:space="preserve"> περιορισμούς</w:t>
      </w:r>
      <w:r w:rsidR="00483031" w:rsidRPr="005A464E">
        <w:rPr>
          <w:sz w:val="24"/>
          <w:szCs w:val="24"/>
        </w:rPr>
        <w:t>.</w:t>
      </w:r>
    </w:p>
    <w:p w:rsidR="00AD5F6D" w:rsidRPr="005A464E" w:rsidRDefault="00210189" w:rsidP="005A464E">
      <w:pPr>
        <w:tabs>
          <w:tab w:val="left" w:pos="3294"/>
        </w:tabs>
        <w:spacing w:line="360" w:lineRule="auto"/>
        <w:jc w:val="both"/>
        <w:rPr>
          <w:sz w:val="24"/>
          <w:szCs w:val="24"/>
        </w:rPr>
      </w:pPr>
      <w:r>
        <w:rPr>
          <w:sz w:val="24"/>
          <w:szCs w:val="24"/>
        </w:rPr>
        <w:t>Ο McManus (2011) εξέτασε</w:t>
      </w:r>
      <w:r w:rsidR="00AD5F6D" w:rsidRPr="005A464E">
        <w:rPr>
          <w:sz w:val="24"/>
          <w:szCs w:val="24"/>
        </w:rPr>
        <w:t xml:space="preserve"> τις</w:t>
      </w:r>
      <w:r w:rsidR="0078495A">
        <w:rPr>
          <w:sz w:val="24"/>
          <w:szCs w:val="24"/>
        </w:rPr>
        <w:t xml:space="preserve"> </w:t>
      </w:r>
      <w:r w:rsidR="00AD5F6D" w:rsidRPr="005A464E">
        <w:rPr>
          <w:sz w:val="24"/>
          <w:szCs w:val="24"/>
        </w:rPr>
        <w:t>αντιλήψεις για την ασθένεια και την τήρηση της φαρμακοθεραπείας σε 92 β</w:t>
      </w:r>
      <w:r>
        <w:rPr>
          <w:sz w:val="24"/>
          <w:szCs w:val="24"/>
        </w:rPr>
        <w:t>ετεράνους με ΧΝΝ σταδίου ΙΙΙ. Ο συγγραφέας δεν ανέφερε</w:t>
      </w:r>
      <w:r w:rsidR="00AD5F6D" w:rsidRPr="005A464E">
        <w:rPr>
          <w:sz w:val="24"/>
          <w:szCs w:val="24"/>
        </w:rPr>
        <w:t xml:space="preserve"> καμία σημαντική σχέση μεταξύ αντιλήψεων για την ασθένεια και της τήρησης της φ</w:t>
      </w:r>
      <w:r w:rsidR="00766B79">
        <w:rPr>
          <w:sz w:val="24"/>
          <w:szCs w:val="24"/>
        </w:rPr>
        <w:t xml:space="preserve">αρμακευτικής αγωγής. </w:t>
      </w:r>
      <w:r w:rsidR="00AD5F6D" w:rsidRPr="005A464E">
        <w:rPr>
          <w:sz w:val="24"/>
          <w:szCs w:val="24"/>
        </w:rPr>
        <w:t>Ωστόσο, το δείγμα αποτελούνταν</w:t>
      </w:r>
      <w:r w:rsidR="00C53339" w:rsidRPr="005A464E">
        <w:rPr>
          <w:sz w:val="24"/>
          <w:szCs w:val="24"/>
        </w:rPr>
        <w:t xml:space="preserve"> κυρίως</w:t>
      </w:r>
      <w:r w:rsidR="00BA2265">
        <w:rPr>
          <w:sz w:val="24"/>
          <w:szCs w:val="24"/>
        </w:rPr>
        <w:t xml:space="preserve"> από άνδρες</w:t>
      </w:r>
      <w:r w:rsidR="00AD5F6D" w:rsidRPr="005A464E">
        <w:rPr>
          <w:sz w:val="24"/>
          <w:szCs w:val="24"/>
        </w:rPr>
        <w:t xml:space="preserve"> </w:t>
      </w:r>
      <w:r w:rsidR="00D82F3D">
        <w:rPr>
          <w:sz w:val="24"/>
          <w:szCs w:val="24"/>
        </w:rPr>
        <w:t xml:space="preserve">που </w:t>
      </w:r>
      <w:r w:rsidR="006643A6">
        <w:rPr>
          <w:sz w:val="24"/>
          <w:szCs w:val="24"/>
        </w:rPr>
        <w:t>νοσηλεύονταν σε</w:t>
      </w:r>
      <w:r w:rsidR="00AD5F6D" w:rsidRPr="005A464E">
        <w:rPr>
          <w:sz w:val="24"/>
          <w:szCs w:val="24"/>
        </w:rPr>
        <w:t xml:space="preserve"> </w:t>
      </w:r>
      <w:r w:rsidR="00AD5F6D" w:rsidRPr="004E0AB7">
        <w:rPr>
          <w:sz w:val="24"/>
          <w:szCs w:val="24"/>
        </w:rPr>
        <w:t xml:space="preserve">ένα </w:t>
      </w:r>
      <w:r w:rsidR="00D82F3D" w:rsidRPr="004E0AB7">
        <w:rPr>
          <w:sz w:val="24"/>
          <w:szCs w:val="24"/>
        </w:rPr>
        <w:t xml:space="preserve">νοσηλευτικό </w:t>
      </w:r>
      <w:r w:rsidR="00AD5F6D" w:rsidRPr="004E0AB7">
        <w:rPr>
          <w:sz w:val="24"/>
          <w:szCs w:val="24"/>
        </w:rPr>
        <w:t>κέντρο. Ως</w:t>
      </w:r>
      <w:r w:rsidR="00AD5F6D" w:rsidRPr="005A464E">
        <w:rPr>
          <w:sz w:val="24"/>
          <w:szCs w:val="24"/>
        </w:rPr>
        <w:t xml:space="preserve"> εκ τούτου, δεν είναι σαφές αν αυτή η μελέτη είναι αντιπροσωπευτική ενός ευρύτερου πληθυσμού ασθενών με ΧΝΝ. Η διαπίστωση αυτή διαφέρει</w:t>
      </w:r>
      <w:r w:rsidR="00C53339" w:rsidRPr="005A464E">
        <w:rPr>
          <w:sz w:val="24"/>
          <w:szCs w:val="24"/>
        </w:rPr>
        <w:t>,</w:t>
      </w:r>
      <w:r w:rsidR="00AD5F6D" w:rsidRPr="005A464E">
        <w:rPr>
          <w:sz w:val="24"/>
          <w:szCs w:val="24"/>
        </w:rPr>
        <w:t xml:space="preserve"> </w:t>
      </w:r>
      <w:r w:rsidR="00C53339" w:rsidRPr="005A464E">
        <w:rPr>
          <w:sz w:val="24"/>
          <w:szCs w:val="24"/>
        </w:rPr>
        <w:t>επίσης,</w:t>
      </w:r>
      <w:r w:rsidR="00AD5F6D" w:rsidRPr="005A464E">
        <w:rPr>
          <w:sz w:val="24"/>
          <w:szCs w:val="24"/>
        </w:rPr>
        <w:t xml:space="preserve"> από μια ποιοτική μελέτη που διεξήχθη από τους Rifkin </w:t>
      </w:r>
      <w:r w:rsidR="00566CAA">
        <w:rPr>
          <w:sz w:val="24"/>
          <w:szCs w:val="24"/>
        </w:rPr>
        <w:t>et al</w:t>
      </w:r>
      <w:r>
        <w:rPr>
          <w:sz w:val="24"/>
          <w:szCs w:val="24"/>
        </w:rPr>
        <w:t>.</w:t>
      </w:r>
      <w:r w:rsidR="00AD5F6D" w:rsidRPr="005A464E">
        <w:rPr>
          <w:sz w:val="24"/>
          <w:szCs w:val="24"/>
        </w:rPr>
        <w:t xml:space="preserve"> (2010) που είχε ως στόχο να διερευνήσει τη συμμόρφωση στην φαρμακευτική αγωγή μεταξύ των συμμετεχόντων με ΧΝΝ </w:t>
      </w:r>
      <w:r w:rsidR="00AD5F6D" w:rsidRPr="00995094">
        <w:rPr>
          <w:sz w:val="24"/>
          <w:szCs w:val="24"/>
        </w:rPr>
        <w:t xml:space="preserve">σταδίου </w:t>
      </w:r>
      <w:r w:rsidR="004E0AB7" w:rsidRPr="00995094">
        <w:rPr>
          <w:sz w:val="24"/>
          <w:szCs w:val="24"/>
        </w:rPr>
        <w:t>3</w:t>
      </w:r>
      <w:r w:rsidR="00766B79" w:rsidRPr="00995094">
        <w:rPr>
          <w:sz w:val="24"/>
          <w:szCs w:val="24"/>
        </w:rPr>
        <w:t>-</w:t>
      </w:r>
      <w:r w:rsidR="004E0AB7" w:rsidRPr="00995094">
        <w:rPr>
          <w:sz w:val="24"/>
          <w:szCs w:val="24"/>
        </w:rPr>
        <w:t>5</w:t>
      </w:r>
      <w:r w:rsidR="00766B79" w:rsidRPr="00995094">
        <w:rPr>
          <w:sz w:val="24"/>
          <w:szCs w:val="24"/>
        </w:rPr>
        <w:t>.</w:t>
      </w:r>
      <w:r w:rsidR="00AD5F6D" w:rsidRPr="00995094">
        <w:rPr>
          <w:sz w:val="24"/>
          <w:szCs w:val="24"/>
        </w:rPr>
        <w:t xml:space="preserve"> Οι πεποιθήσεις που οι συμμετέχοντες είχαν για τα φάρμακά τους δεν ήταν αντίστοιχες της συμβατικής ιατρικής γνώμης. Αντίθετα, οι συμμετέχοντες ιεραρχούσαν τα φάρμακα</w:t>
      </w:r>
      <w:r w:rsidR="00AD5F6D" w:rsidRPr="005A464E">
        <w:rPr>
          <w:sz w:val="24"/>
          <w:szCs w:val="24"/>
        </w:rPr>
        <w:t xml:space="preserve"> με βάση την ανακούφιση από τα συμπτώματα. </w:t>
      </w:r>
    </w:p>
    <w:p w:rsidR="002A52DD" w:rsidRPr="005A464E" w:rsidRDefault="008655D0" w:rsidP="0066526D">
      <w:pPr>
        <w:pStyle w:val="30"/>
        <w:numPr>
          <w:ilvl w:val="2"/>
          <w:numId w:val="117"/>
        </w:numPr>
        <w:spacing w:after="240" w:line="360" w:lineRule="auto"/>
        <w:rPr>
          <w:rStyle w:val="4Char"/>
          <w:rFonts w:asciiTheme="minorHAnsi" w:hAnsiTheme="minorHAnsi"/>
          <w:b/>
          <w:bCs/>
          <w:i w:val="0"/>
          <w:iCs w:val="0"/>
          <w:sz w:val="24"/>
          <w:szCs w:val="24"/>
        </w:rPr>
      </w:pPr>
      <w:bookmarkStart w:id="48" w:name="_Toc495951444"/>
      <w:r w:rsidRPr="005A464E">
        <w:rPr>
          <w:rFonts w:asciiTheme="minorHAnsi" w:hAnsiTheme="minorHAnsi"/>
          <w:sz w:val="24"/>
          <w:szCs w:val="24"/>
        </w:rPr>
        <w:t xml:space="preserve">Παράγοντες σχετιζόμενοι με την </w:t>
      </w:r>
      <w:r w:rsidR="00FE7D36" w:rsidRPr="005A464E">
        <w:rPr>
          <w:rFonts w:asciiTheme="minorHAnsi" w:hAnsiTheme="minorHAnsi"/>
          <w:sz w:val="24"/>
          <w:szCs w:val="24"/>
        </w:rPr>
        <w:t>Τ</w:t>
      </w:r>
      <w:r w:rsidR="00785007">
        <w:rPr>
          <w:rFonts w:asciiTheme="minorHAnsi" w:hAnsiTheme="minorHAnsi"/>
          <w:sz w:val="24"/>
          <w:szCs w:val="24"/>
        </w:rPr>
        <w:t xml:space="preserve">ελικού Σταδίου </w:t>
      </w:r>
      <w:r w:rsidR="00FE7D36" w:rsidRPr="005A464E">
        <w:rPr>
          <w:rFonts w:asciiTheme="minorHAnsi" w:hAnsiTheme="minorHAnsi"/>
          <w:sz w:val="24"/>
          <w:szCs w:val="24"/>
        </w:rPr>
        <w:t>Χ</w:t>
      </w:r>
      <w:r w:rsidR="00785007">
        <w:rPr>
          <w:rFonts w:asciiTheme="minorHAnsi" w:hAnsiTheme="minorHAnsi"/>
          <w:sz w:val="24"/>
          <w:szCs w:val="24"/>
        </w:rPr>
        <w:t xml:space="preserve">ρόνια </w:t>
      </w:r>
      <w:r w:rsidR="00FE7D36" w:rsidRPr="005A464E">
        <w:rPr>
          <w:rFonts w:asciiTheme="minorHAnsi" w:hAnsiTheme="minorHAnsi"/>
          <w:sz w:val="24"/>
          <w:szCs w:val="24"/>
        </w:rPr>
        <w:t>Ν</w:t>
      </w:r>
      <w:r w:rsidR="00785007">
        <w:rPr>
          <w:rFonts w:asciiTheme="minorHAnsi" w:hAnsiTheme="minorHAnsi"/>
          <w:sz w:val="24"/>
          <w:szCs w:val="24"/>
        </w:rPr>
        <w:t xml:space="preserve">εφρική </w:t>
      </w:r>
      <w:r w:rsidR="00FE7D36" w:rsidRPr="005A464E">
        <w:rPr>
          <w:rFonts w:asciiTheme="minorHAnsi" w:hAnsiTheme="minorHAnsi"/>
          <w:sz w:val="24"/>
          <w:szCs w:val="24"/>
        </w:rPr>
        <w:t>Ν</w:t>
      </w:r>
      <w:r w:rsidR="00785007">
        <w:rPr>
          <w:rFonts w:asciiTheme="minorHAnsi" w:hAnsiTheme="minorHAnsi"/>
          <w:sz w:val="24"/>
          <w:szCs w:val="24"/>
        </w:rPr>
        <w:t>όσο</w:t>
      </w:r>
      <w:bookmarkEnd w:id="48"/>
    </w:p>
    <w:p w:rsidR="00054C3C" w:rsidRPr="004E0AB7" w:rsidRDefault="004E0AB7" w:rsidP="004E0AB7">
      <w:pPr>
        <w:pStyle w:val="a5"/>
        <w:numPr>
          <w:ilvl w:val="0"/>
          <w:numId w:val="121"/>
        </w:numPr>
        <w:spacing w:line="360" w:lineRule="auto"/>
        <w:rPr>
          <w:i/>
          <w:sz w:val="24"/>
          <w:szCs w:val="24"/>
        </w:rPr>
      </w:pPr>
      <w:r w:rsidRPr="004E0AB7">
        <w:rPr>
          <w:rStyle w:val="4Char"/>
          <w:rFonts w:asciiTheme="minorHAnsi" w:eastAsia="Calibri" w:hAnsiTheme="minorHAnsi"/>
          <w:b w:val="0"/>
          <w:color w:val="auto"/>
          <w:sz w:val="24"/>
          <w:szCs w:val="24"/>
        </w:rPr>
        <w:t>Π</w:t>
      </w:r>
      <w:r w:rsidR="006F601A" w:rsidRPr="004E0AB7">
        <w:rPr>
          <w:i/>
          <w:sz w:val="24"/>
          <w:szCs w:val="24"/>
        </w:rPr>
        <w:t>ολυφαρμακία</w:t>
      </w:r>
    </w:p>
    <w:p w:rsidR="00AD5F6D" w:rsidRPr="005A464E" w:rsidRDefault="00B05724" w:rsidP="005A464E">
      <w:pPr>
        <w:spacing w:line="360" w:lineRule="auto"/>
        <w:jc w:val="both"/>
        <w:rPr>
          <w:sz w:val="24"/>
          <w:szCs w:val="24"/>
        </w:rPr>
      </w:pPr>
      <w:r w:rsidRPr="005A464E">
        <w:rPr>
          <w:sz w:val="24"/>
          <w:szCs w:val="24"/>
          <w:lang w:val="en-US"/>
        </w:rPr>
        <w:t>O</w:t>
      </w:r>
      <w:r w:rsidR="00B66FF2" w:rsidRPr="005A464E">
        <w:rPr>
          <w:sz w:val="24"/>
          <w:szCs w:val="24"/>
        </w:rPr>
        <w:t xml:space="preserve"> </w:t>
      </w:r>
      <w:r w:rsidR="00054C3C" w:rsidRPr="005A464E">
        <w:rPr>
          <w:sz w:val="24"/>
          <w:szCs w:val="24"/>
        </w:rPr>
        <w:t xml:space="preserve">όρος </w:t>
      </w:r>
      <w:r w:rsidR="00C53339" w:rsidRPr="005A464E">
        <w:rPr>
          <w:sz w:val="24"/>
          <w:szCs w:val="24"/>
        </w:rPr>
        <w:t>«</w:t>
      </w:r>
      <w:r w:rsidR="00054C3C" w:rsidRPr="005A464E">
        <w:rPr>
          <w:sz w:val="24"/>
          <w:szCs w:val="24"/>
        </w:rPr>
        <w:t>πολυφαρμακία</w:t>
      </w:r>
      <w:r w:rsidR="00C53339" w:rsidRPr="005A464E">
        <w:rPr>
          <w:sz w:val="24"/>
          <w:szCs w:val="24"/>
        </w:rPr>
        <w:t>»</w:t>
      </w:r>
      <w:r w:rsidR="00054C3C" w:rsidRPr="005A464E">
        <w:rPr>
          <w:sz w:val="24"/>
          <w:szCs w:val="24"/>
        </w:rPr>
        <w:t xml:space="preserve"> δεν έχει μόνο έναν ορισμό, όμως γενικά χρησιμοποιεί</w:t>
      </w:r>
      <w:r w:rsidR="00EA46D4">
        <w:rPr>
          <w:sz w:val="24"/>
          <w:szCs w:val="24"/>
        </w:rPr>
        <w:t>ται για να αναφερθεί στη χρήση τεσσάρων</w:t>
      </w:r>
      <w:r w:rsidR="00054C3C" w:rsidRPr="005A464E">
        <w:rPr>
          <w:sz w:val="24"/>
          <w:szCs w:val="24"/>
        </w:rPr>
        <w:t xml:space="preserve"> ή περισσότερων φαρμακευτικών σκευασμάτων από ενήλικες ασθενείς ή στην μη αναγκαιότητα της θεραπε</w:t>
      </w:r>
      <w:r w:rsidR="00210189">
        <w:rPr>
          <w:sz w:val="24"/>
          <w:szCs w:val="24"/>
        </w:rPr>
        <w:t>ίας (Hajjar,</w:t>
      </w:r>
      <w:r w:rsidR="00210189" w:rsidRPr="00210189">
        <w:rPr>
          <w:rFonts w:cstheme="minorHAnsi"/>
        </w:rPr>
        <w:t xml:space="preserve"> </w:t>
      </w:r>
      <w:r w:rsidR="00210189" w:rsidRPr="00210189">
        <w:rPr>
          <w:rFonts w:cstheme="minorHAnsi"/>
          <w:sz w:val="24"/>
          <w:szCs w:val="24"/>
          <w:lang w:val="en-US"/>
        </w:rPr>
        <w:t>Cafiero</w:t>
      </w:r>
      <w:r w:rsidR="00516D72">
        <w:rPr>
          <w:rFonts w:cstheme="minorHAnsi"/>
          <w:sz w:val="24"/>
          <w:szCs w:val="24"/>
        </w:rPr>
        <w:t>,</w:t>
      </w:r>
      <w:r w:rsidR="00210189" w:rsidRPr="00210189">
        <w:rPr>
          <w:rFonts w:cstheme="minorHAnsi"/>
          <w:sz w:val="24"/>
          <w:szCs w:val="24"/>
        </w:rPr>
        <w:t xml:space="preserve"> &amp; </w:t>
      </w:r>
      <w:r w:rsidR="00210189" w:rsidRPr="00210189">
        <w:rPr>
          <w:rFonts w:cstheme="minorHAnsi"/>
          <w:sz w:val="24"/>
          <w:szCs w:val="24"/>
          <w:lang w:val="en-US"/>
        </w:rPr>
        <w:t>Hanlon</w:t>
      </w:r>
      <w:r w:rsidR="00516D72">
        <w:rPr>
          <w:rFonts w:cstheme="minorHAnsi"/>
          <w:sz w:val="24"/>
          <w:szCs w:val="24"/>
        </w:rPr>
        <w:t>,</w:t>
      </w:r>
      <w:r w:rsidR="00CE3654" w:rsidRPr="005A464E">
        <w:rPr>
          <w:sz w:val="24"/>
          <w:szCs w:val="24"/>
        </w:rPr>
        <w:t xml:space="preserve"> 2007;</w:t>
      </w:r>
      <w:r w:rsidR="00483031" w:rsidRPr="005A464E">
        <w:rPr>
          <w:sz w:val="24"/>
          <w:szCs w:val="24"/>
        </w:rPr>
        <w:t xml:space="preserve"> </w:t>
      </w:r>
      <w:r w:rsidR="00CE3654" w:rsidRPr="005A464E">
        <w:rPr>
          <w:sz w:val="24"/>
          <w:szCs w:val="24"/>
        </w:rPr>
        <w:t>Wise</w:t>
      </w:r>
      <w:r w:rsidR="00737AC6" w:rsidRPr="005A464E">
        <w:rPr>
          <w:sz w:val="24"/>
          <w:szCs w:val="24"/>
        </w:rPr>
        <w:t>,</w:t>
      </w:r>
      <w:r w:rsidR="00CE3654" w:rsidRPr="005A464E">
        <w:rPr>
          <w:sz w:val="24"/>
          <w:szCs w:val="24"/>
        </w:rPr>
        <w:t xml:space="preserve"> 2013). </w:t>
      </w:r>
      <w:r w:rsidR="00766B79" w:rsidRPr="000A1632">
        <w:rPr>
          <w:sz w:val="24"/>
          <w:szCs w:val="24"/>
        </w:rPr>
        <w:t>Ο επαγγελματίας υγείας κατανοεί</w:t>
      </w:r>
      <w:r w:rsidR="00054C3C" w:rsidRPr="000A1632">
        <w:rPr>
          <w:sz w:val="24"/>
          <w:szCs w:val="24"/>
        </w:rPr>
        <w:t xml:space="preserve"> ότι </w:t>
      </w:r>
      <w:r w:rsidR="000A1632">
        <w:rPr>
          <w:sz w:val="24"/>
          <w:szCs w:val="24"/>
        </w:rPr>
        <w:t>στους περισσότερους</w:t>
      </w:r>
      <w:r w:rsidR="00054C3C" w:rsidRPr="000A1632">
        <w:rPr>
          <w:sz w:val="24"/>
          <w:szCs w:val="24"/>
        </w:rPr>
        <w:t xml:space="preserve"> ασθενείς υπό </w:t>
      </w:r>
      <w:r w:rsidR="001674AE" w:rsidRPr="000A1632">
        <w:rPr>
          <w:sz w:val="24"/>
          <w:szCs w:val="24"/>
        </w:rPr>
        <w:t>αιμοκάθαρση</w:t>
      </w:r>
      <w:r w:rsidR="00D82F3D" w:rsidRPr="000A1632">
        <w:rPr>
          <w:sz w:val="24"/>
          <w:szCs w:val="24"/>
        </w:rPr>
        <w:t xml:space="preserve"> εμφανίζο</w:t>
      </w:r>
      <w:r w:rsidR="000A1632">
        <w:rPr>
          <w:sz w:val="24"/>
          <w:szCs w:val="24"/>
        </w:rPr>
        <w:t>νται</w:t>
      </w:r>
      <w:r w:rsidR="00054C3C" w:rsidRPr="000A1632">
        <w:rPr>
          <w:sz w:val="24"/>
          <w:szCs w:val="24"/>
        </w:rPr>
        <w:t xml:space="preserve"> και άλλα </w:t>
      </w:r>
      <w:r w:rsidR="001674AE" w:rsidRPr="000A1632">
        <w:rPr>
          <w:sz w:val="24"/>
          <w:szCs w:val="24"/>
        </w:rPr>
        <w:t xml:space="preserve">χρόνια </w:t>
      </w:r>
      <w:r w:rsidR="00054C3C" w:rsidRPr="000A1632">
        <w:rPr>
          <w:sz w:val="24"/>
          <w:szCs w:val="24"/>
        </w:rPr>
        <w:t>νοσήματα</w:t>
      </w:r>
      <w:r w:rsidR="00483031" w:rsidRPr="000A1632">
        <w:rPr>
          <w:sz w:val="24"/>
          <w:szCs w:val="24"/>
        </w:rPr>
        <w:t xml:space="preserve"> </w:t>
      </w:r>
      <w:r w:rsidR="001674AE" w:rsidRPr="000A1632">
        <w:rPr>
          <w:sz w:val="24"/>
          <w:szCs w:val="24"/>
        </w:rPr>
        <w:t>εκτός από την</w:t>
      </w:r>
      <w:r w:rsidR="00FE7D36" w:rsidRPr="000A1632">
        <w:rPr>
          <w:sz w:val="24"/>
          <w:szCs w:val="24"/>
        </w:rPr>
        <w:t xml:space="preserve"> ΤΣΧΝΝ</w:t>
      </w:r>
      <w:r w:rsidR="001674AE" w:rsidRPr="000A1632">
        <w:rPr>
          <w:sz w:val="24"/>
          <w:szCs w:val="24"/>
        </w:rPr>
        <w:t>, συμπεριλαμβανομένων της υπέρταση</w:t>
      </w:r>
      <w:r w:rsidR="00FE7D36" w:rsidRPr="000A1632">
        <w:rPr>
          <w:sz w:val="24"/>
          <w:szCs w:val="24"/>
        </w:rPr>
        <w:t>ς</w:t>
      </w:r>
      <w:r w:rsidR="001674AE" w:rsidRPr="000A1632">
        <w:rPr>
          <w:sz w:val="24"/>
          <w:szCs w:val="24"/>
        </w:rPr>
        <w:t xml:space="preserve">, του σακχαρώδη διαβήτη, της καρδιαγγειακής νόσου, </w:t>
      </w:r>
      <w:r w:rsidR="00B20F7E" w:rsidRPr="000A1632">
        <w:rPr>
          <w:sz w:val="24"/>
          <w:szCs w:val="24"/>
        </w:rPr>
        <w:t xml:space="preserve">της </w:t>
      </w:r>
      <w:r w:rsidR="001674AE" w:rsidRPr="000A1632">
        <w:rPr>
          <w:sz w:val="24"/>
          <w:szCs w:val="24"/>
        </w:rPr>
        <w:t>οστεοδυστροφίας τα οποία απαιτούν μακροχρόνια</w:t>
      </w:r>
      <w:r w:rsidR="0078495A" w:rsidRPr="000A1632">
        <w:rPr>
          <w:sz w:val="24"/>
          <w:szCs w:val="24"/>
        </w:rPr>
        <w:t xml:space="preserve"> </w:t>
      </w:r>
      <w:r w:rsidR="00CE3654" w:rsidRPr="000A1632">
        <w:rPr>
          <w:sz w:val="24"/>
          <w:szCs w:val="24"/>
        </w:rPr>
        <w:t>φαρμακευτική αγωγή (</w:t>
      </w:r>
      <w:r w:rsidR="00CE3654" w:rsidRPr="000A1632">
        <w:rPr>
          <w:sz w:val="24"/>
          <w:szCs w:val="24"/>
          <w:lang w:val="en-US"/>
        </w:rPr>
        <w:t>St</w:t>
      </w:r>
      <w:r w:rsidR="00EA24B0" w:rsidRPr="000A1632">
        <w:rPr>
          <w:sz w:val="24"/>
          <w:szCs w:val="24"/>
        </w:rPr>
        <w:t xml:space="preserve"> </w:t>
      </w:r>
      <w:r w:rsidR="00CE3654" w:rsidRPr="000A1632">
        <w:rPr>
          <w:sz w:val="24"/>
          <w:szCs w:val="24"/>
          <w:lang w:val="en-US"/>
        </w:rPr>
        <w:t>Peter</w:t>
      </w:r>
      <w:r w:rsidR="00A97F58" w:rsidRPr="000A1632">
        <w:rPr>
          <w:sz w:val="24"/>
          <w:szCs w:val="24"/>
        </w:rPr>
        <w:t>,</w:t>
      </w:r>
      <w:r w:rsidR="00CE3654" w:rsidRPr="000A1632">
        <w:rPr>
          <w:sz w:val="24"/>
          <w:szCs w:val="24"/>
        </w:rPr>
        <w:t xml:space="preserve"> 2015). </w:t>
      </w:r>
      <w:r w:rsidR="001674AE" w:rsidRPr="000A1632">
        <w:rPr>
          <w:sz w:val="24"/>
          <w:szCs w:val="24"/>
        </w:rPr>
        <w:t>Ο μέσος ό</w:t>
      </w:r>
      <w:r w:rsidR="00766B79" w:rsidRPr="000A1632">
        <w:rPr>
          <w:sz w:val="24"/>
          <w:szCs w:val="24"/>
        </w:rPr>
        <w:t>ρος των συνταγογραφούμενων φαρμα</w:t>
      </w:r>
      <w:r w:rsidR="00AD0A89" w:rsidRPr="000A1632">
        <w:rPr>
          <w:sz w:val="24"/>
          <w:szCs w:val="24"/>
        </w:rPr>
        <w:t>κ</w:t>
      </w:r>
      <w:r w:rsidR="00766B79" w:rsidRPr="000A1632">
        <w:rPr>
          <w:sz w:val="24"/>
          <w:szCs w:val="24"/>
        </w:rPr>
        <w:t>ευτικών σκευασμάτων που λαμβάνει ένας ασθενή</w:t>
      </w:r>
      <w:r w:rsidR="00AD0A89" w:rsidRPr="000A1632">
        <w:rPr>
          <w:sz w:val="24"/>
          <w:szCs w:val="24"/>
        </w:rPr>
        <w:t>ς υπό</w:t>
      </w:r>
      <w:r w:rsidR="001674AE" w:rsidRPr="000A1632">
        <w:rPr>
          <w:sz w:val="24"/>
          <w:szCs w:val="24"/>
        </w:rPr>
        <w:t xml:space="preserve"> αιμοκάθαρση είναι 10-12 </w:t>
      </w:r>
      <w:r w:rsidR="001F1B3C" w:rsidRPr="000A1632">
        <w:rPr>
          <w:sz w:val="24"/>
          <w:szCs w:val="24"/>
        </w:rPr>
        <w:t>(</w:t>
      </w:r>
      <w:r w:rsidR="00AC5B2C" w:rsidRPr="000A1632">
        <w:rPr>
          <w:sz w:val="24"/>
          <w:szCs w:val="24"/>
        </w:rPr>
        <w:t>Kaplan,</w:t>
      </w:r>
      <w:r w:rsidR="00CE3654" w:rsidRPr="000A1632">
        <w:rPr>
          <w:sz w:val="24"/>
          <w:szCs w:val="24"/>
        </w:rPr>
        <w:t xml:space="preserve"> </w:t>
      </w:r>
      <w:r w:rsidR="00AC5B2C" w:rsidRPr="000A1632">
        <w:rPr>
          <w:rFonts w:asciiTheme="minorHAnsi" w:hAnsiTheme="minorHAnsi" w:cstheme="minorHAnsi"/>
          <w:sz w:val="24"/>
          <w:szCs w:val="24"/>
          <w:lang w:val="en-US"/>
        </w:rPr>
        <w:t>Mason</w:t>
      </w:r>
      <w:r w:rsidR="00AC5B2C" w:rsidRPr="000A1632">
        <w:rPr>
          <w:rFonts w:asciiTheme="minorHAnsi" w:hAnsiTheme="minorHAnsi" w:cstheme="minorHAnsi"/>
          <w:sz w:val="24"/>
          <w:szCs w:val="24"/>
        </w:rPr>
        <w:t xml:space="preserve">, </w:t>
      </w:r>
      <w:r w:rsidR="00AC5B2C" w:rsidRPr="000A1632">
        <w:rPr>
          <w:rFonts w:asciiTheme="minorHAnsi" w:hAnsiTheme="minorHAnsi" w:cstheme="minorHAnsi"/>
          <w:sz w:val="24"/>
          <w:szCs w:val="24"/>
          <w:lang w:val="en-US"/>
        </w:rPr>
        <w:t>Shimp</w:t>
      </w:r>
      <w:r w:rsidR="00AC5B2C" w:rsidRPr="000A1632">
        <w:rPr>
          <w:rFonts w:asciiTheme="minorHAnsi" w:hAnsiTheme="minorHAnsi" w:cstheme="minorHAnsi"/>
          <w:sz w:val="24"/>
          <w:szCs w:val="24"/>
        </w:rPr>
        <w:t xml:space="preserve">, &amp; </w:t>
      </w:r>
      <w:r w:rsidR="00AC5B2C" w:rsidRPr="000A1632">
        <w:rPr>
          <w:rFonts w:asciiTheme="minorHAnsi" w:hAnsiTheme="minorHAnsi" w:cstheme="minorHAnsi"/>
          <w:sz w:val="24"/>
          <w:szCs w:val="24"/>
          <w:lang w:val="en-US"/>
        </w:rPr>
        <w:t>Ascione</w:t>
      </w:r>
      <w:r w:rsidR="00AC5B2C" w:rsidRPr="000A1632">
        <w:rPr>
          <w:rFonts w:asciiTheme="minorHAnsi" w:hAnsiTheme="minorHAnsi" w:cstheme="minorHAnsi"/>
          <w:sz w:val="24"/>
          <w:szCs w:val="24"/>
        </w:rPr>
        <w:t>,</w:t>
      </w:r>
      <w:r w:rsidR="00AC5B2C" w:rsidRPr="000A1632">
        <w:rPr>
          <w:sz w:val="24"/>
          <w:szCs w:val="24"/>
        </w:rPr>
        <w:t xml:space="preserve"> </w:t>
      </w:r>
      <w:r w:rsidR="00CE3654" w:rsidRPr="000A1632">
        <w:rPr>
          <w:sz w:val="24"/>
          <w:szCs w:val="24"/>
        </w:rPr>
        <w:t>1994; Μ</w:t>
      </w:r>
      <w:r w:rsidR="00CE3654" w:rsidRPr="000A1632">
        <w:rPr>
          <w:sz w:val="24"/>
          <w:szCs w:val="24"/>
          <w:lang w:val="en-US"/>
        </w:rPr>
        <w:t>anley</w:t>
      </w:r>
      <w:r w:rsidR="00A97F58" w:rsidRPr="000A1632">
        <w:rPr>
          <w:sz w:val="24"/>
          <w:szCs w:val="24"/>
        </w:rPr>
        <w:t xml:space="preserve"> </w:t>
      </w:r>
      <w:r w:rsidR="00566CAA" w:rsidRPr="000A1632">
        <w:rPr>
          <w:sz w:val="24"/>
          <w:szCs w:val="24"/>
        </w:rPr>
        <w:t>et al</w:t>
      </w:r>
      <w:r w:rsidR="002F68C8" w:rsidRPr="000A1632">
        <w:rPr>
          <w:sz w:val="24"/>
          <w:szCs w:val="24"/>
        </w:rPr>
        <w:t>.</w:t>
      </w:r>
      <w:r w:rsidR="00594807" w:rsidRPr="000A1632">
        <w:rPr>
          <w:sz w:val="24"/>
          <w:szCs w:val="24"/>
        </w:rPr>
        <w:t>,</w:t>
      </w:r>
      <w:r w:rsidR="00CE3654" w:rsidRPr="000A1632">
        <w:rPr>
          <w:sz w:val="24"/>
          <w:szCs w:val="24"/>
        </w:rPr>
        <w:t xml:space="preserve"> 2003),</w:t>
      </w:r>
      <w:r w:rsidR="001F1B3C" w:rsidRPr="000A1632">
        <w:rPr>
          <w:sz w:val="24"/>
          <w:szCs w:val="24"/>
        </w:rPr>
        <w:t xml:space="preserve"> ενώ</w:t>
      </w:r>
      <w:r w:rsidR="001674AE" w:rsidRPr="000A1632">
        <w:rPr>
          <w:sz w:val="24"/>
          <w:szCs w:val="24"/>
        </w:rPr>
        <w:t xml:space="preserve"> ο μέσος αριθμός τω</w:t>
      </w:r>
      <w:r w:rsidR="00CE3654" w:rsidRPr="000A1632">
        <w:rPr>
          <w:sz w:val="24"/>
          <w:szCs w:val="24"/>
        </w:rPr>
        <w:t xml:space="preserve">ν </w:t>
      </w:r>
      <w:r w:rsidR="00766B79" w:rsidRPr="000A1632">
        <w:rPr>
          <w:sz w:val="24"/>
          <w:szCs w:val="24"/>
        </w:rPr>
        <w:t>δισκίω</w:t>
      </w:r>
      <w:r w:rsidR="00CE3654" w:rsidRPr="000A1632">
        <w:rPr>
          <w:sz w:val="24"/>
          <w:szCs w:val="24"/>
        </w:rPr>
        <w:t>ν ανά ημέρα είναι 19 (Chiu</w:t>
      </w:r>
      <w:r w:rsidR="00EA24B0" w:rsidRPr="000A1632">
        <w:rPr>
          <w:sz w:val="24"/>
          <w:szCs w:val="24"/>
        </w:rPr>
        <w:t xml:space="preserve"> </w:t>
      </w:r>
      <w:r w:rsidR="00566CAA" w:rsidRPr="000A1632">
        <w:rPr>
          <w:sz w:val="24"/>
          <w:szCs w:val="24"/>
        </w:rPr>
        <w:t>et al</w:t>
      </w:r>
      <w:r w:rsidR="00210189" w:rsidRPr="000A1632">
        <w:rPr>
          <w:sz w:val="24"/>
          <w:szCs w:val="24"/>
        </w:rPr>
        <w:t>.</w:t>
      </w:r>
      <w:r w:rsidR="002706FB" w:rsidRPr="000A1632">
        <w:rPr>
          <w:sz w:val="24"/>
          <w:szCs w:val="24"/>
        </w:rPr>
        <w:t>,</w:t>
      </w:r>
      <w:r w:rsidR="00CE3654" w:rsidRPr="000A1632">
        <w:rPr>
          <w:sz w:val="24"/>
          <w:szCs w:val="24"/>
        </w:rPr>
        <w:t xml:space="preserve"> 2009).</w:t>
      </w:r>
      <w:r w:rsidR="00014E51" w:rsidRPr="000A1632">
        <w:rPr>
          <w:sz w:val="24"/>
          <w:szCs w:val="24"/>
        </w:rPr>
        <w:t xml:space="preserve"> Ως αποτέλεσμα, δεν είναι έκπληξη το γεγονός ότι</w:t>
      </w:r>
      <w:r w:rsidR="00AD0A89" w:rsidRPr="000A1632">
        <w:rPr>
          <w:sz w:val="24"/>
          <w:szCs w:val="24"/>
        </w:rPr>
        <w:t xml:space="preserve"> η μη συμμόρφωση </w:t>
      </w:r>
      <w:r w:rsidR="00B0560D" w:rsidRPr="000A1632">
        <w:rPr>
          <w:sz w:val="24"/>
          <w:szCs w:val="24"/>
        </w:rPr>
        <w:t>του ασθενούς</w:t>
      </w:r>
      <w:r w:rsidR="00AD0A89" w:rsidRPr="000A1632">
        <w:rPr>
          <w:sz w:val="24"/>
          <w:szCs w:val="24"/>
        </w:rPr>
        <w:t xml:space="preserve"> στα</w:t>
      </w:r>
      <w:r w:rsidR="00014E51" w:rsidRPr="000A1632">
        <w:rPr>
          <w:sz w:val="24"/>
          <w:szCs w:val="24"/>
        </w:rPr>
        <w:t xml:space="preserve"> συνταγογραφούμενα φάρμακα </w:t>
      </w:r>
      <w:r w:rsidR="00AD0A89" w:rsidRPr="000A1632">
        <w:rPr>
          <w:sz w:val="24"/>
          <w:szCs w:val="24"/>
        </w:rPr>
        <w:t xml:space="preserve">είναι αρκετά </w:t>
      </w:r>
      <w:r w:rsidR="00DC4ADC" w:rsidRPr="000A1632">
        <w:rPr>
          <w:sz w:val="24"/>
          <w:szCs w:val="24"/>
        </w:rPr>
        <w:t>υψηλή</w:t>
      </w:r>
      <w:r w:rsidR="00014E51" w:rsidRPr="000A1632">
        <w:rPr>
          <w:sz w:val="24"/>
          <w:szCs w:val="24"/>
        </w:rPr>
        <w:t>.</w:t>
      </w:r>
      <w:r w:rsidR="00014E51" w:rsidRPr="005A464E">
        <w:rPr>
          <w:sz w:val="24"/>
          <w:szCs w:val="24"/>
        </w:rPr>
        <w:t xml:space="preserve"> Ακόμα κι αν κάποιος χρησιμοποιεί έναν μάλλον πιο</w:t>
      </w:r>
      <w:r w:rsidR="0078495A">
        <w:rPr>
          <w:sz w:val="24"/>
          <w:szCs w:val="24"/>
        </w:rPr>
        <w:t xml:space="preserve"> </w:t>
      </w:r>
      <w:r w:rsidR="00014E51" w:rsidRPr="005A464E">
        <w:rPr>
          <w:sz w:val="24"/>
          <w:szCs w:val="24"/>
        </w:rPr>
        <w:t>φιλελεύθερο ορισμό της συμμόρφωσης (κατάποση τουλάχιστον το 80% της συνιστώμενης δόσης), η μη συμμόρφωση εξακολουθεί να π</w:t>
      </w:r>
      <w:r w:rsidR="00AD0A89" w:rsidRPr="005A464E">
        <w:rPr>
          <w:sz w:val="24"/>
          <w:szCs w:val="24"/>
        </w:rPr>
        <w:t>αρατηρείται στο 38% των ασθενών</w:t>
      </w:r>
      <w:r w:rsidR="00014E51" w:rsidRPr="005A464E">
        <w:rPr>
          <w:sz w:val="24"/>
          <w:szCs w:val="24"/>
        </w:rPr>
        <w:t xml:space="preserve"> με αποτέλεσμα την παράλειψη του 16% του συνόλου των καθορισμένων δόσεω</w:t>
      </w:r>
      <w:r w:rsidR="00B20F7E" w:rsidRPr="005A464E">
        <w:rPr>
          <w:sz w:val="24"/>
          <w:szCs w:val="24"/>
        </w:rPr>
        <w:t>ν.</w:t>
      </w:r>
      <w:r w:rsidR="00014E51" w:rsidRPr="005A464E">
        <w:rPr>
          <w:sz w:val="24"/>
          <w:szCs w:val="24"/>
        </w:rPr>
        <w:t xml:space="preserve"> Επειδή αυτά τα δεδομένα προέρχονται από αυτοαναφορές των ασθενών, η πραγματική έκταση του προβλήματος μπορεί να είναι μεγαλύτερη (</w:t>
      </w:r>
      <w:r w:rsidR="00014E51" w:rsidRPr="005A464E">
        <w:rPr>
          <w:sz w:val="24"/>
          <w:szCs w:val="24"/>
          <w:lang w:val="en-US"/>
        </w:rPr>
        <w:t>Tomasello</w:t>
      </w:r>
      <w:r w:rsidR="002F68C8" w:rsidRPr="002F68C8">
        <w:rPr>
          <w:sz w:val="24"/>
          <w:szCs w:val="24"/>
        </w:rPr>
        <w:t>,</w:t>
      </w:r>
      <w:r w:rsidR="00014E51" w:rsidRPr="005A464E">
        <w:rPr>
          <w:sz w:val="24"/>
          <w:szCs w:val="24"/>
        </w:rPr>
        <w:t xml:space="preserve"> </w:t>
      </w:r>
      <w:r w:rsidR="002F68C8" w:rsidRPr="002F68C8">
        <w:rPr>
          <w:rFonts w:eastAsia="Times New Roman" w:cstheme="minorHAnsi"/>
          <w:iCs/>
          <w:sz w:val="24"/>
          <w:szCs w:val="24"/>
          <w:lang w:val="en-US" w:eastAsia="el-GR"/>
        </w:rPr>
        <w:t>Dhupar</w:t>
      </w:r>
      <w:r w:rsidR="00D75F89" w:rsidRPr="00D75F89">
        <w:rPr>
          <w:rFonts w:eastAsia="Times New Roman" w:cstheme="minorHAnsi"/>
          <w:iCs/>
          <w:sz w:val="24"/>
          <w:szCs w:val="24"/>
          <w:lang w:eastAsia="el-GR"/>
        </w:rPr>
        <w:t>,</w:t>
      </w:r>
      <w:r w:rsidR="002F68C8" w:rsidRPr="002F68C8">
        <w:rPr>
          <w:rFonts w:eastAsia="Times New Roman" w:cstheme="minorHAnsi"/>
          <w:iCs/>
          <w:sz w:val="24"/>
          <w:szCs w:val="24"/>
          <w:lang w:eastAsia="el-GR"/>
        </w:rPr>
        <w:t xml:space="preserve"> &amp; </w:t>
      </w:r>
      <w:r w:rsidR="002F68C8" w:rsidRPr="002F68C8">
        <w:rPr>
          <w:rFonts w:eastAsia="Times New Roman" w:cstheme="minorHAnsi"/>
          <w:iCs/>
          <w:sz w:val="24"/>
          <w:szCs w:val="24"/>
          <w:lang w:val="en-US" w:eastAsia="el-GR"/>
        </w:rPr>
        <w:t>Sherman</w:t>
      </w:r>
      <w:r w:rsidR="00D75F89" w:rsidRPr="00D75F89">
        <w:rPr>
          <w:rFonts w:eastAsia="Times New Roman" w:cstheme="minorHAnsi"/>
          <w:iCs/>
          <w:sz w:val="24"/>
          <w:szCs w:val="24"/>
          <w:lang w:eastAsia="el-GR"/>
        </w:rPr>
        <w:t>,</w:t>
      </w:r>
      <w:r w:rsidR="002F68C8" w:rsidRPr="005A464E">
        <w:rPr>
          <w:sz w:val="24"/>
          <w:szCs w:val="24"/>
        </w:rPr>
        <w:t xml:space="preserve"> </w:t>
      </w:r>
      <w:r w:rsidR="00014E51" w:rsidRPr="005A464E">
        <w:rPr>
          <w:sz w:val="24"/>
          <w:szCs w:val="24"/>
        </w:rPr>
        <w:t>2004).</w:t>
      </w:r>
    </w:p>
    <w:p w:rsidR="00AD5F6D" w:rsidRPr="006643A6" w:rsidRDefault="00014E51" w:rsidP="005A464E">
      <w:pPr>
        <w:spacing w:line="360" w:lineRule="auto"/>
        <w:jc w:val="both"/>
        <w:rPr>
          <w:rFonts w:eastAsia="Times New Roman"/>
          <w:sz w:val="24"/>
          <w:szCs w:val="24"/>
          <w:lang w:eastAsia="el-GR"/>
        </w:rPr>
      </w:pPr>
      <w:r w:rsidRPr="006643A6">
        <w:rPr>
          <w:rFonts w:eastAsia="Times New Roman"/>
          <w:sz w:val="24"/>
          <w:szCs w:val="24"/>
          <w:lang w:eastAsia="el-GR"/>
        </w:rPr>
        <w:t xml:space="preserve">Ο όρος </w:t>
      </w:r>
      <w:r w:rsidR="004F5901">
        <w:rPr>
          <w:rFonts w:eastAsia="Times New Roman"/>
          <w:i/>
          <w:sz w:val="24"/>
          <w:szCs w:val="24"/>
          <w:lang w:eastAsia="el-GR"/>
        </w:rPr>
        <w:t>βάρος δισκίων</w:t>
      </w:r>
      <w:r w:rsidRPr="006643A6">
        <w:rPr>
          <w:rFonts w:eastAsia="Times New Roman"/>
          <w:sz w:val="24"/>
          <w:szCs w:val="24"/>
          <w:lang w:eastAsia="el-GR"/>
        </w:rPr>
        <w:t xml:space="preserve"> </w:t>
      </w:r>
      <w:r w:rsidR="00577BCB" w:rsidRPr="006643A6">
        <w:rPr>
          <w:rFonts w:eastAsia="Times New Roman"/>
          <w:sz w:val="24"/>
          <w:szCs w:val="24"/>
          <w:lang w:eastAsia="el-GR"/>
        </w:rPr>
        <w:t>(</w:t>
      </w:r>
      <w:r w:rsidR="00577BCB" w:rsidRPr="006643A6">
        <w:rPr>
          <w:rFonts w:eastAsia="Times New Roman"/>
          <w:sz w:val="24"/>
          <w:szCs w:val="24"/>
          <w:lang w:val="en-US" w:eastAsia="el-GR"/>
        </w:rPr>
        <w:t>pill</w:t>
      </w:r>
      <w:r w:rsidR="00577BCB" w:rsidRPr="006643A6">
        <w:rPr>
          <w:rFonts w:eastAsia="Times New Roman"/>
          <w:sz w:val="24"/>
          <w:szCs w:val="24"/>
          <w:lang w:eastAsia="el-GR"/>
        </w:rPr>
        <w:t xml:space="preserve"> </w:t>
      </w:r>
      <w:r w:rsidR="00577BCB" w:rsidRPr="006643A6">
        <w:rPr>
          <w:rFonts w:eastAsia="Times New Roman"/>
          <w:sz w:val="24"/>
          <w:szCs w:val="24"/>
          <w:lang w:val="en-US" w:eastAsia="el-GR"/>
        </w:rPr>
        <w:t>burden</w:t>
      </w:r>
      <w:r w:rsidR="00577BCB" w:rsidRPr="006643A6">
        <w:rPr>
          <w:rFonts w:eastAsia="Times New Roman"/>
          <w:sz w:val="24"/>
          <w:szCs w:val="24"/>
          <w:lang w:eastAsia="el-GR"/>
        </w:rPr>
        <w:t xml:space="preserve">) </w:t>
      </w:r>
      <w:r w:rsidRPr="006643A6">
        <w:rPr>
          <w:rFonts w:eastAsia="Times New Roman"/>
          <w:sz w:val="24"/>
          <w:szCs w:val="24"/>
          <w:lang w:eastAsia="el-GR"/>
        </w:rPr>
        <w:t>αναφέρεται γενικά σε συνάρτηση με τον</w:t>
      </w:r>
      <w:r w:rsidR="00E968B7" w:rsidRPr="006643A6">
        <w:rPr>
          <w:rFonts w:eastAsia="Times New Roman"/>
          <w:sz w:val="24"/>
          <w:szCs w:val="24"/>
          <w:lang w:eastAsia="el-GR"/>
        </w:rPr>
        <w:t xml:space="preserve"> αριθμό</w:t>
      </w:r>
      <w:r w:rsidRPr="006643A6">
        <w:rPr>
          <w:rFonts w:eastAsia="Times New Roman"/>
          <w:sz w:val="24"/>
          <w:szCs w:val="24"/>
          <w:lang w:eastAsia="el-GR"/>
        </w:rPr>
        <w:t xml:space="preserve"> των </w:t>
      </w:r>
      <w:r w:rsidR="00C5158A" w:rsidRPr="006643A6">
        <w:rPr>
          <w:rFonts w:eastAsia="Times New Roman"/>
          <w:sz w:val="24"/>
          <w:szCs w:val="24"/>
          <w:lang w:eastAsia="el-GR"/>
        </w:rPr>
        <w:t>δισκίω</w:t>
      </w:r>
      <w:r w:rsidRPr="006643A6">
        <w:rPr>
          <w:rFonts w:eastAsia="Times New Roman"/>
          <w:sz w:val="24"/>
          <w:szCs w:val="24"/>
          <w:lang w:eastAsia="el-GR"/>
        </w:rPr>
        <w:t xml:space="preserve">ν που απαιτείται για τη θεραπεία. Ωστόσο, η επιβάρυνση για τον ασθενή </w:t>
      </w:r>
      <w:r w:rsidR="007E4A90" w:rsidRPr="006643A6">
        <w:rPr>
          <w:rFonts w:eastAsia="Times New Roman"/>
          <w:sz w:val="24"/>
          <w:szCs w:val="24"/>
          <w:lang w:eastAsia="el-GR"/>
        </w:rPr>
        <w:t xml:space="preserve">οφείλεται και </w:t>
      </w:r>
      <w:r w:rsidRPr="006643A6">
        <w:rPr>
          <w:rFonts w:eastAsia="Times New Roman"/>
          <w:sz w:val="24"/>
          <w:szCs w:val="24"/>
          <w:lang w:eastAsia="el-GR"/>
        </w:rPr>
        <w:t xml:space="preserve">σε άλλους παράγοντες, όπως το μέγεθος </w:t>
      </w:r>
      <w:r w:rsidR="00C5158A" w:rsidRPr="006643A6">
        <w:rPr>
          <w:rFonts w:eastAsia="Times New Roman"/>
          <w:sz w:val="24"/>
          <w:szCs w:val="24"/>
          <w:lang w:eastAsia="el-GR"/>
        </w:rPr>
        <w:t>του δισκίου</w:t>
      </w:r>
      <w:r w:rsidRPr="006643A6">
        <w:rPr>
          <w:rFonts w:eastAsia="Times New Roman"/>
          <w:sz w:val="24"/>
          <w:szCs w:val="24"/>
          <w:lang w:eastAsia="el-GR"/>
        </w:rPr>
        <w:t xml:space="preserve">, </w:t>
      </w:r>
      <w:r w:rsidR="007E4A90" w:rsidRPr="006643A6">
        <w:rPr>
          <w:rFonts w:eastAsia="Times New Roman"/>
          <w:sz w:val="24"/>
          <w:szCs w:val="24"/>
          <w:lang w:eastAsia="el-GR"/>
        </w:rPr>
        <w:t xml:space="preserve">η </w:t>
      </w:r>
      <w:r w:rsidRPr="006643A6">
        <w:rPr>
          <w:rFonts w:eastAsia="Times New Roman"/>
          <w:sz w:val="24"/>
          <w:szCs w:val="24"/>
          <w:lang w:eastAsia="el-GR"/>
        </w:rPr>
        <w:t xml:space="preserve">μορφή </w:t>
      </w:r>
      <w:r w:rsidR="00C5158A" w:rsidRPr="006643A6">
        <w:rPr>
          <w:rFonts w:eastAsia="Times New Roman"/>
          <w:sz w:val="24"/>
          <w:szCs w:val="24"/>
          <w:lang w:eastAsia="el-GR"/>
        </w:rPr>
        <w:t>του</w:t>
      </w:r>
      <w:r w:rsidRPr="006643A6">
        <w:rPr>
          <w:rFonts w:eastAsia="Times New Roman"/>
          <w:sz w:val="24"/>
          <w:szCs w:val="24"/>
          <w:lang w:eastAsia="el-GR"/>
        </w:rPr>
        <w:t xml:space="preserve"> </w:t>
      </w:r>
      <w:r w:rsidR="00AD0A89" w:rsidRPr="006643A6">
        <w:rPr>
          <w:rFonts w:eastAsia="Times New Roman"/>
          <w:sz w:val="24"/>
          <w:szCs w:val="24"/>
          <w:lang w:eastAsia="el-GR"/>
        </w:rPr>
        <w:t>(κάψουλα ή</w:t>
      </w:r>
      <w:r w:rsidRPr="006643A6">
        <w:rPr>
          <w:rFonts w:eastAsia="Times New Roman"/>
          <w:sz w:val="24"/>
          <w:szCs w:val="24"/>
          <w:lang w:eastAsia="el-GR"/>
        </w:rPr>
        <w:t xml:space="preserve"> δισκίο), και η</w:t>
      </w:r>
      <w:r w:rsidR="00DC4ADC" w:rsidRPr="006643A6">
        <w:rPr>
          <w:rFonts w:eastAsia="Times New Roman"/>
          <w:sz w:val="24"/>
          <w:szCs w:val="24"/>
          <w:lang w:eastAsia="el-GR"/>
        </w:rPr>
        <w:t xml:space="preserve"> μέθοδος της λήψ</w:t>
      </w:r>
      <w:r w:rsidR="007E4A90" w:rsidRPr="006643A6">
        <w:rPr>
          <w:rFonts w:eastAsia="Times New Roman"/>
          <w:sz w:val="24"/>
          <w:szCs w:val="24"/>
          <w:lang w:eastAsia="el-GR"/>
        </w:rPr>
        <w:t>ης (κατάποση</w:t>
      </w:r>
      <w:r w:rsidR="00AD0A89" w:rsidRPr="006643A6">
        <w:rPr>
          <w:rFonts w:eastAsia="Times New Roman"/>
          <w:sz w:val="24"/>
          <w:szCs w:val="24"/>
          <w:lang w:eastAsia="el-GR"/>
        </w:rPr>
        <w:t xml:space="preserve"> ή </w:t>
      </w:r>
      <w:r w:rsidRPr="006643A6">
        <w:rPr>
          <w:rFonts w:eastAsia="Times New Roman"/>
          <w:sz w:val="24"/>
          <w:szCs w:val="24"/>
          <w:lang w:eastAsia="el-GR"/>
        </w:rPr>
        <w:t>μάσηση</w:t>
      </w:r>
      <w:r w:rsidR="00AD0A89" w:rsidRPr="006643A6">
        <w:rPr>
          <w:rFonts w:eastAsia="Times New Roman"/>
          <w:sz w:val="24"/>
          <w:szCs w:val="24"/>
          <w:lang w:eastAsia="el-GR"/>
        </w:rPr>
        <w:t>)</w:t>
      </w:r>
      <w:r w:rsidRPr="006643A6">
        <w:rPr>
          <w:rFonts w:eastAsia="Times New Roman"/>
          <w:sz w:val="24"/>
          <w:szCs w:val="24"/>
          <w:lang w:eastAsia="el-GR"/>
        </w:rPr>
        <w:t xml:space="preserve">. </w:t>
      </w:r>
      <w:r w:rsidR="00AD0A89" w:rsidRPr="006643A6">
        <w:rPr>
          <w:rFonts w:eastAsia="Times New Roman"/>
          <w:sz w:val="24"/>
          <w:szCs w:val="24"/>
          <w:lang w:eastAsia="el-GR"/>
        </w:rPr>
        <w:t>Σε μια μελέτη των προτιμήσεων μεταξύ 20 ασθενών υπό αιμοκάθαρση</w:t>
      </w:r>
      <w:r w:rsidR="00DC4ADC" w:rsidRPr="006643A6">
        <w:rPr>
          <w:rFonts w:eastAsia="Times New Roman"/>
          <w:sz w:val="24"/>
          <w:szCs w:val="24"/>
          <w:lang w:eastAsia="el-GR"/>
        </w:rPr>
        <w:t>,</w:t>
      </w:r>
      <w:r w:rsidR="00AD0A89" w:rsidRPr="006643A6">
        <w:rPr>
          <w:rFonts w:eastAsia="Times New Roman"/>
          <w:sz w:val="24"/>
          <w:szCs w:val="24"/>
          <w:lang w:eastAsia="el-GR"/>
        </w:rPr>
        <w:t xml:space="preserve"> το</w:t>
      </w:r>
      <w:r w:rsidR="000C680D" w:rsidRPr="006643A6">
        <w:rPr>
          <w:rFonts w:eastAsia="Times New Roman"/>
          <w:sz w:val="24"/>
          <w:szCs w:val="24"/>
          <w:lang w:eastAsia="el-GR"/>
        </w:rPr>
        <w:t xml:space="preserve"> 90% των ασθενών θεώρησε πιο εύκολο να</w:t>
      </w:r>
      <w:r w:rsidR="007E4A90" w:rsidRPr="006643A6">
        <w:rPr>
          <w:rFonts w:eastAsia="Times New Roman"/>
          <w:sz w:val="24"/>
          <w:szCs w:val="24"/>
          <w:lang w:eastAsia="el-GR"/>
        </w:rPr>
        <w:t xml:space="preserve"> καταπιούν</w:t>
      </w:r>
      <w:r w:rsidR="000C680D" w:rsidRPr="006643A6">
        <w:rPr>
          <w:rFonts w:eastAsia="Times New Roman"/>
          <w:sz w:val="24"/>
          <w:szCs w:val="24"/>
          <w:lang w:eastAsia="el-GR"/>
        </w:rPr>
        <w:t xml:space="preserve"> το ανθρακικό ασβέστιο</w:t>
      </w:r>
      <w:r w:rsidR="00483031" w:rsidRPr="006643A6">
        <w:rPr>
          <w:rFonts w:eastAsia="Times New Roman"/>
          <w:sz w:val="24"/>
          <w:szCs w:val="24"/>
          <w:lang w:eastAsia="el-GR"/>
        </w:rPr>
        <w:t xml:space="preserve"> </w:t>
      </w:r>
      <w:r w:rsidR="00AD0A89" w:rsidRPr="006643A6">
        <w:rPr>
          <w:rFonts w:eastAsia="Times New Roman"/>
          <w:sz w:val="24"/>
          <w:szCs w:val="24"/>
          <w:lang w:eastAsia="el-GR"/>
        </w:rPr>
        <w:t xml:space="preserve">σαν κάψουλα ζελατίνης </w:t>
      </w:r>
      <w:r w:rsidR="007E4A90" w:rsidRPr="006643A6">
        <w:rPr>
          <w:rFonts w:eastAsia="Times New Roman"/>
          <w:sz w:val="24"/>
          <w:szCs w:val="24"/>
          <w:lang w:eastAsia="el-GR"/>
        </w:rPr>
        <w:t>σε σύγκριση με τη</w:t>
      </w:r>
      <w:r w:rsidR="0078495A" w:rsidRPr="006643A6">
        <w:rPr>
          <w:rFonts w:eastAsia="Times New Roman"/>
          <w:sz w:val="24"/>
          <w:szCs w:val="24"/>
          <w:lang w:eastAsia="el-GR"/>
        </w:rPr>
        <w:t xml:space="preserve"> </w:t>
      </w:r>
      <w:r w:rsidRPr="006643A6">
        <w:rPr>
          <w:rFonts w:eastAsia="Times New Roman"/>
          <w:sz w:val="24"/>
          <w:szCs w:val="24"/>
          <w:lang w:eastAsia="el-GR"/>
        </w:rPr>
        <w:t xml:space="preserve">μορφή </w:t>
      </w:r>
      <w:r w:rsidR="007E4A90" w:rsidRPr="006643A6">
        <w:rPr>
          <w:rFonts w:eastAsia="Times New Roman"/>
          <w:sz w:val="24"/>
          <w:szCs w:val="24"/>
          <w:lang w:eastAsia="el-GR"/>
        </w:rPr>
        <w:t>του δισκίου. Πέρα από αυτή την αναφορά</w:t>
      </w:r>
      <w:r w:rsidR="00C5158A" w:rsidRPr="006643A6">
        <w:rPr>
          <w:rFonts w:eastAsia="Times New Roman"/>
          <w:sz w:val="24"/>
          <w:szCs w:val="24"/>
          <w:lang w:eastAsia="el-GR"/>
        </w:rPr>
        <w:t>, οι σκέψεις αυτές δεν έχουν μελετηθεί ευρέως</w:t>
      </w:r>
      <w:r w:rsidR="007E4A90" w:rsidRPr="006643A6">
        <w:rPr>
          <w:rFonts w:eastAsia="Times New Roman"/>
          <w:sz w:val="24"/>
          <w:szCs w:val="24"/>
          <w:lang w:eastAsia="el-GR"/>
        </w:rPr>
        <w:t xml:space="preserve"> στη βιβλιογραφία (</w:t>
      </w:r>
      <w:r w:rsidR="007E4A90" w:rsidRPr="006643A6">
        <w:rPr>
          <w:rFonts w:eastAsia="Times New Roman"/>
          <w:sz w:val="24"/>
          <w:szCs w:val="24"/>
          <w:lang w:val="en-US" w:eastAsia="el-GR"/>
        </w:rPr>
        <w:t>Kaplan</w:t>
      </w:r>
      <w:r w:rsidR="00AC5B2C" w:rsidRPr="006643A6">
        <w:rPr>
          <w:rFonts w:eastAsia="Times New Roman"/>
          <w:sz w:val="24"/>
          <w:szCs w:val="24"/>
          <w:lang w:eastAsia="el-GR"/>
        </w:rPr>
        <w:t>,</w:t>
      </w:r>
      <w:r w:rsidR="007E4A90" w:rsidRPr="006643A6">
        <w:rPr>
          <w:rFonts w:eastAsia="Times New Roman"/>
          <w:sz w:val="24"/>
          <w:szCs w:val="24"/>
          <w:lang w:eastAsia="el-GR"/>
        </w:rPr>
        <w:t xml:space="preserve"> </w:t>
      </w:r>
      <w:r w:rsidR="00AC5B2C" w:rsidRPr="006643A6">
        <w:rPr>
          <w:rFonts w:asciiTheme="minorHAnsi" w:hAnsiTheme="minorHAnsi" w:cstheme="minorHAnsi"/>
          <w:sz w:val="24"/>
          <w:szCs w:val="24"/>
          <w:lang w:val="en-US"/>
        </w:rPr>
        <w:t>Stashenko</w:t>
      </w:r>
      <w:r w:rsidR="00AC5B2C" w:rsidRPr="006643A6">
        <w:rPr>
          <w:rFonts w:asciiTheme="minorHAnsi" w:hAnsiTheme="minorHAnsi" w:cstheme="minorHAnsi"/>
          <w:sz w:val="24"/>
          <w:szCs w:val="24"/>
        </w:rPr>
        <w:t xml:space="preserve">, </w:t>
      </w:r>
      <w:r w:rsidR="00AC5B2C" w:rsidRPr="006643A6">
        <w:rPr>
          <w:rFonts w:asciiTheme="minorHAnsi" w:hAnsiTheme="minorHAnsi" w:cstheme="minorHAnsi"/>
          <w:sz w:val="24"/>
          <w:szCs w:val="24"/>
          <w:lang w:val="en-US"/>
        </w:rPr>
        <w:t>Bledsoe</w:t>
      </w:r>
      <w:r w:rsidR="00AC5B2C" w:rsidRPr="006643A6">
        <w:rPr>
          <w:rFonts w:asciiTheme="minorHAnsi" w:hAnsiTheme="minorHAnsi" w:cstheme="minorHAnsi"/>
          <w:sz w:val="24"/>
          <w:szCs w:val="24"/>
        </w:rPr>
        <w:t xml:space="preserve">, &amp; </w:t>
      </w:r>
      <w:r w:rsidR="00AC5B2C" w:rsidRPr="006643A6">
        <w:rPr>
          <w:rFonts w:asciiTheme="minorHAnsi" w:hAnsiTheme="minorHAnsi" w:cstheme="minorHAnsi"/>
          <w:sz w:val="24"/>
          <w:szCs w:val="24"/>
          <w:lang w:val="en-US"/>
        </w:rPr>
        <w:t>McGowan</w:t>
      </w:r>
      <w:r w:rsidR="00AC5B2C" w:rsidRPr="006643A6">
        <w:rPr>
          <w:rFonts w:asciiTheme="minorHAnsi" w:hAnsiTheme="minorHAnsi" w:cstheme="minorHAnsi"/>
          <w:sz w:val="24"/>
          <w:szCs w:val="24"/>
        </w:rPr>
        <w:t>,</w:t>
      </w:r>
      <w:r w:rsidR="00AC5B2C" w:rsidRPr="006643A6">
        <w:rPr>
          <w:rFonts w:eastAsia="Times New Roman"/>
          <w:sz w:val="24"/>
          <w:szCs w:val="24"/>
          <w:lang w:eastAsia="el-GR"/>
        </w:rPr>
        <w:t xml:space="preserve"> </w:t>
      </w:r>
      <w:r w:rsidR="007E4A90" w:rsidRPr="006643A6">
        <w:rPr>
          <w:rFonts w:eastAsia="Times New Roman"/>
          <w:sz w:val="24"/>
          <w:szCs w:val="24"/>
          <w:lang w:eastAsia="el-GR"/>
        </w:rPr>
        <w:t>2002).</w:t>
      </w:r>
    </w:p>
    <w:p w:rsidR="00AD5F6D" w:rsidRPr="006643A6" w:rsidRDefault="00AD5F6D" w:rsidP="005A464E">
      <w:pPr>
        <w:spacing w:line="360" w:lineRule="auto"/>
        <w:jc w:val="both"/>
        <w:rPr>
          <w:sz w:val="24"/>
          <w:szCs w:val="24"/>
        </w:rPr>
      </w:pPr>
      <w:r w:rsidRPr="006643A6">
        <w:rPr>
          <w:sz w:val="24"/>
          <w:szCs w:val="24"/>
        </w:rPr>
        <w:t xml:space="preserve">Όσον αφορά την πρόσληψη </w:t>
      </w:r>
      <w:r w:rsidR="00E968B7" w:rsidRPr="006643A6">
        <w:rPr>
          <w:sz w:val="24"/>
          <w:szCs w:val="24"/>
        </w:rPr>
        <w:t xml:space="preserve">δεσμευτικών του </w:t>
      </w:r>
      <w:r w:rsidRPr="006643A6">
        <w:rPr>
          <w:sz w:val="24"/>
          <w:szCs w:val="24"/>
        </w:rPr>
        <w:t>φωσφόρου</w:t>
      </w:r>
      <w:r w:rsidR="00C53339" w:rsidRPr="006643A6">
        <w:rPr>
          <w:sz w:val="24"/>
          <w:szCs w:val="24"/>
        </w:rPr>
        <w:t>,</w:t>
      </w:r>
      <w:r w:rsidR="008044B4" w:rsidRPr="006643A6">
        <w:rPr>
          <w:b/>
          <w:sz w:val="24"/>
          <w:szCs w:val="24"/>
        </w:rPr>
        <w:t xml:space="preserve"> </w:t>
      </w:r>
      <w:r w:rsidRPr="006643A6">
        <w:rPr>
          <w:sz w:val="24"/>
          <w:szCs w:val="24"/>
        </w:rPr>
        <w:t xml:space="preserve">παρά τη χρήση βελτιστοποιημένων θεραπειών υποκατάστασης </w:t>
      </w:r>
      <w:r w:rsidR="00E968B7" w:rsidRPr="006643A6">
        <w:rPr>
          <w:sz w:val="24"/>
          <w:szCs w:val="24"/>
        </w:rPr>
        <w:t>της νεφρικής λειτουργίας και της</w:t>
      </w:r>
      <w:r w:rsidRPr="006643A6">
        <w:rPr>
          <w:sz w:val="24"/>
          <w:szCs w:val="24"/>
        </w:rPr>
        <w:t xml:space="preserve"> μειωμένης διαιτητικής πρόσληψης του φωσφόρου, οι περισσότεροι ασθενείς πρέπει</w:t>
      </w:r>
      <w:r w:rsidR="002706FB" w:rsidRPr="006643A6">
        <w:rPr>
          <w:sz w:val="24"/>
          <w:szCs w:val="24"/>
        </w:rPr>
        <w:t xml:space="preserve"> να λαμβάνουν φωσφοροδεσμευτικά</w:t>
      </w:r>
      <w:r w:rsidRPr="006643A6">
        <w:rPr>
          <w:sz w:val="24"/>
          <w:szCs w:val="24"/>
        </w:rPr>
        <w:t xml:space="preserve"> για τον έλεγχ</w:t>
      </w:r>
      <w:r w:rsidR="00C53339" w:rsidRPr="006643A6">
        <w:rPr>
          <w:sz w:val="24"/>
          <w:szCs w:val="24"/>
        </w:rPr>
        <w:t>ο των επιπέδων του φωσφόρου</w:t>
      </w:r>
      <w:r w:rsidRPr="006643A6">
        <w:rPr>
          <w:sz w:val="24"/>
          <w:szCs w:val="24"/>
        </w:rPr>
        <w:t xml:space="preserve"> </w:t>
      </w:r>
      <w:r w:rsidR="00577BCB" w:rsidRPr="006643A6">
        <w:rPr>
          <w:sz w:val="24"/>
          <w:szCs w:val="24"/>
        </w:rPr>
        <w:t>(</w:t>
      </w:r>
      <w:hyperlink r:id="rId31" w:history="1">
        <w:r w:rsidR="00577BCB" w:rsidRPr="006643A6">
          <w:rPr>
            <w:rStyle w:val="-"/>
            <w:rFonts w:cstheme="minorHAnsi"/>
            <w:color w:val="auto"/>
            <w:sz w:val="24"/>
            <w:szCs w:val="24"/>
            <w:u w:val="none"/>
            <w:shd w:val="clear" w:color="auto" w:fill="FFFFFF"/>
          </w:rPr>
          <w:t>Uhlig</w:t>
        </w:r>
      </w:hyperlink>
      <w:r w:rsidR="00577BCB" w:rsidRPr="006643A6">
        <w:rPr>
          <w:rFonts w:cstheme="minorHAnsi"/>
          <w:sz w:val="24"/>
          <w:szCs w:val="24"/>
        </w:rPr>
        <w:t xml:space="preserve"> </w:t>
      </w:r>
      <w:r w:rsidR="00566CAA" w:rsidRPr="006643A6">
        <w:rPr>
          <w:rFonts w:cstheme="minorHAnsi"/>
          <w:sz w:val="24"/>
          <w:szCs w:val="24"/>
        </w:rPr>
        <w:t>et al</w:t>
      </w:r>
      <w:r w:rsidR="002F68C8" w:rsidRPr="006643A6">
        <w:rPr>
          <w:rFonts w:cstheme="minorHAnsi"/>
          <w:sz w:val="24"/>
          <w:szCs w:val="24"/>
        </w:rPr>
        <w:t>.</w:t>
      </w:r>
      <w:r w:rsidR="00594807" w:rsidRPr="006643A6">
        <w:rPr>
          <w:rFonts w:cstheme="minorHAnsi"/>
          <w:sz w:val="24"/>
          <w:szCs w:val="24"/>
        </w:rPr>
        <w:t>,</w:t>
      </w:r>
      <w:r w:rsidR="00577BCB" w:rsidRPr="006643A6">
        <w:rPr>
          <w:rFonts w:cstheme="minorHAnsi"/>
          <w:sz w:val="24"/>
          <w:szCs w:val="24"/>
        </w:rPr>
        <w:t xml:space="preserve"> 2010)</w:t>
      </w:r>
      <w:r w:rsidRPr="006643A6">
        <w:rPr>
          <w:sz w:val="24"/>
          <w:szCs w:val="24"/>
        </w:rPr>
        <w:t>. Η χρήση μιας δ</w:t>
      </w:r>
      <w:r w:rsidR="00E968B7" w:rsidRPr="006643A6">
        <w:rPr>
          <w:sz w:val="24"/>
          <w:szCs w:val="24"/>
        </w:rPr>
        <w:t>ί</w:t>
      </w:r>
      <w:r w:rsidR="00EA46D4" w:rsidRPr="006643A6">
        <w:rPr>
          <w:sz w:val="24"/>
          <w:szCs w:val="24"/>
        </w:rPr>
        <w:t>αιτας περιορισμένης σε φωσφό</w:t>
      </w:r>
      <w:r w:rsidR="00E968B7" w:rsidRPr="006643A6">
        <w:rPr>
          <w:sz w:val="24"/>
          <w:szCs w:val="24"/>
        </w:rPr>
        <w:t>ρο</w:t>
      </w:r>
      <w:r w:rsidRPr="006643A6">
        <w:rPr>
          <w:sz w:val="24"/>
          <w:szCs w:val="24"/>
        </w:rPr>
        <w:t>, σε συνδυασμό με από του στόματος φωσφοροδεσμ</w:t>
      </w:r>
      <w:r w:rsidR="00C5158A" w:rsidRPr="006643A6">
        <w:rPr>
          <w:sz w:val="24"/>
          <w:szCs w:val="24"/>
        </w:rPr>
        <w:t>ευτικό παράγοντα είναι συνήθης</w:t>
      </w:r>
      <w:r w:rsidRPr="006643A6">
        <w:rPr>
          <w:sz w:val="24"/>
          <w:szCs w:val="24"/>
        </w:rPr>
        <w:t xml:space="preserve"> στη διαχείριση των ασθενών υπό αιμοκάθαρση, αν και δεν υπάρχει ακόμη συναίνεση μεταξύ των εμπειρογνωμόνων σχετικά με αυτό (</w:t>
      </w:r>
      <w:r w:rsidRPr="006643A6">
        <w:rPr>
          <w:sz w:val="24"/>
          <w:szCs w:val="24"/>
          <w:lang w:val="en-US"/>
        </w:rPr>
        <w:t>Lopes</w:t>
      </w:r>
      <w:r w:rsidRPr="006643A6">
        <w:rPr>
          <w:sz w:val="24"/>
          <w:szCs w:val="24"/>
        </w:rPr>
        <w:t xml:space="preserve"> </w:t>
      </w:r>
      <w:r w:rsidR="00566CAA" w:rsidRPr="006643A6">
        <w:rPr>
          <w:sz w:val="24"/>
          <w:szCs w:val="24"/>
        </w:rPr>
        <w:t>et al</w:t>
      </w:r>
      <w:r w:rsidR="002F68C8" w:rsidRPr="006643A6">
        <w:rPr>
          <w:sz w:val="24"/>
          <w:szCs w:val="24"/>
        </w:rPr>
        <w:t>.</w:t>
      </w:r>
      <w:r w:rsidR="00594807" w:rsidRPr="006643A6">
        <w:rPr>
          <w:sz w:val="24"/>
          <w:szCs w:val="24"/>
        </w:rPr>
        <w:t>,</w:t>
      </w:r>
      <w:r w:rsidRPr="006643A6">
        <w:rPr>
          <w:sz w:val="24"/>
          <w:szCs w:val="24"/>
        </w:rPr>
        <w:t xml:space="preserve"> 2012).</w:t>
      </w:r>
    </w:p>
    <w:p w:rsidR="00AD5F6D" w:rsidRPr="005A464E" w:rsidRDefault="00AD5F6D" w:rsidP="005A464E">
      <w:pPr>
        <w:spacing w:line="360" w:lineRule="auto"/>
        <w:jc w:val="both"/>
        <w:rPr>
          <w:sz w:val="24"/>
          <w:szCs w:val="24"/>
        </w:rPr>
      </w:pPr>
      <w:r w:rsidRPr="006643A6">
        <w:rPr>
          <w:sz w:val="24"/>
          <w:szCs w:val="24"/>
        </w:rPr>
        <w:t>Αν και η χρήση των φωσφορ</w:t>
      </w:r>
      <w:r w:rsidR="007A73F0" w:rsidRPr="006643A6">
        <w:rPr>
          <w:sz w:val="24"/>
          <w:szCs w:val="24"/>
          <w:lang w:val="en-US"/>
        </w:rPr>
        <w:t>o</w:t>
      </w:r>
      <w:r w:rsidR="007A73F0" w:rsidRPr="006643A6">
        <w:rPr>
          <w:sz w:val="24"/>
          <w:szCs w:val="24"/>
        </w:rPr>
        <w:t>δεσμευτικών</w:t>
      </w:r>
      <w:r w:rsidRPr="006643A6">
        <w:rPr>
          <w:sz w:val="24"/>
          <w:szCs w:val="24"/>
        </w:rPr>
        <w:t xml:space="preserve"> εφαρμόζεται εκτενώς, πολλοί ασθενε</w:t>
      </w:r>
      <w:r w:rsidR="00C5158A" w:rsidRPr="006643A6">
        <w:rPr>
          <w:sz w:val="24"/>
          <w:szCs w:val="24"/>
        </w:rPr>
        <w:t>ίς που υποβάλλονται σε αιμοκάθαρ</w:t>
      </w:r>
      <w:r w:rsidRPr="006643A6">
        <w:rPr>
          <w:sz w:val="24"/>
          <w:szCs w:val="24"/>
        </w:rPr>
        <w:t>ση δεν λαμβάνουν αυτά τα φάρμακα έτσι όπως προβλέπεται. Ως εκ τούτου, θα πρέπει να λαμβάνονται σοβαρά υπόψη τα εμπόδια της μη πρόσληψης αυτών.</w:t>
      </w:r>
      <w:r w:rsidR="002706FB" w:rsidRPr="006643A6">
        <w:rPr>
          <w:sz w:val="24"/>
          <w:szCs w:val="24"/>
        </w:rPr>
        <w:t xml:space="preserve"> Η χρήση των φωσφοροδεσμευτικών</w:t>
      </w:r>
      <w:r w:rsidRPr="006643A6">
        <w:rPr>
          <w:sz w:val="24"/>
          <w:szCs w:val="24"/>
        </w:rPr>
        <w:t xml:space="preserve"> συνδέεται με παρενέργειες, πιο συχνά από το γαστρεντερικό </w:t>
      </w:r>
      <w:r w:rsidR="002706FB" w:rsidRPr="006643A6">
        <w:rPr>
          <w:sz w:val="24"/>
          <w:szCs w:val="24"/>
        </w:rPr>
        <w:t xml:space="preserve">σύστημα </w:t>
      </w:r>
      <w:r w:rsidRPr="006643A6">
        <w:rPr>
          <w:sz w:val="24"/>
          <w:szCs w:val="24"/>
        </w:rPr>
        <w:t>(Wileman</w:t>
      </w:r>
      <w:r w:rsidR="002F68C8" w:rsidRPr="006643A6">
        <w:rPr>
          <w:sz w:val="24"/>
          <w:szCs w:val="24"/>
        </w:rPr>
        <w:t xml:space="preserve"> </w:t>
      </w:r>
      <w:r w:rsidR="002F68C8" w:rsidRPr="006643A6">
        <w:rPr>
          <w:sz w:val="24"/>
          <w:szCs w:val="24"/>
          <w:lang w:val="en-US"/>
        </w:rPr>
        <w:t>et</w:t>
      </w:r>
      <w:r w:rsidR="002F68C8" w:rsidRPr="006643A6">
        <w:rPr>
          <w:sz w:val="24"/>
          <w:szCs w:val="24"/>
        </w:rPr>
        <w:t xml:space="preserve"> </w:t>
      </w:r>
      <w:r w:rsidR="002F68C8" w:rsidRPr="006643A6">
        <w:rPr>
          <w:sz w:val="24"/>
          <w:szCs w:val="24"/>
          <w:lang w:val="en-US"/>
        </w:rPr>
        <w:t>al</w:t>
      </w:r>
      <w:r w:rsidR="002F68C8" w:rsidRPr="006643A6">
        <w:rPr>
          <w:sz w:val="24"/>
          <w:szCs w:val="24"/>
        </w:rPr>
        <w:t>.</w:t>
      </w:r>
      <w:r w:rsidR="00594807" w:rsidRPr="006643A6">
        <w:rPr>
          <w:sz w:val="24"/>
          <w:szCs w:val="24"/>
        </w:rPr>
        <w:t>,</w:t>
      </w:r>
      <w:r w:rsidRPr="006643A6">
        <w:rPr>
          <w:sz w:val="24"/>
          <w:szCs w:val="24"/>
        </w:rPr>
        <w:t xml:space="preserve"> 2015). Αυτές οι παρενέργειες μπορούν ν</w:t>
      </w:r>
      <w:r w:rsidR="002706FB" w:rsidRPr="006643A6">
        <w:rPr>
          <w:sz w:val="24"/>
          <w:szCs w:val="24"/>
        </w:rPr>
        <w:t>α επηρεάσουν την κοινωνική αλλά</w:t>
      </w:r>
      <w:r w:rsidR="00D82F3D">
        <w:rPr>
          <w:sz w:val="24"/>
          <w:szCs w:val="24"/>
        </w:rPr>
        <w:t xml:space="preserve"> και την προσωπική </w:t>
      </w:r>
      <w:r w:rsidR="00D82F3D" w:rsidRPr="006643A6">
        <w:rPr>
          <w:sz w:val="24"/>
          <w:szCs w:val="24"/>
        </w:rPr>
        <w:t>ζωή</w:t>
      </w:r>
      <w:r w:rsidR="00B25207" w:rsidRPr="006643A6">
        <w:rPr>
          <w:sz w:val="24"/>
          <w:szCs w:val="24"/>
        </w:rPr>
        <w:t xml:space="preserve">. </w:t>
      </w:r>
      <w:r w:rsidR="00D82F3D" w:rsidRPr="006643A6">
        <w:rPr>
          <w:sz w:val="24"/>
          <w:szCs w:val="24"/>
        </w:rPr>
        <w:t>Ε</w:t>
      </w:r>
      <w:r w:rsidRPr="006643A6">
        <w:rPr>
          <w:sz w:val="24"/>
          <w:szCs w:val="24"/>
        </w:rPr>
        <w:t>πιπλέον</w:t>
      </w:r>
      <w:r w:rsidR="00D82F3D" w:rsidRPr="006643A6">
        <w:rPr>
          <w:sz w:val="24"/>
          <w:szCs w:val="24"/>
        </w:rPr>
        <w:t>,</w:t>
      </w:r>
      <w:r w:rsidRPr="005A464E">
        <w:rPr>
          <w:sz w:val="24"/>
          <w:szCs w:val="24"/>
        </w:rPr>
        <w:t xml:space="preserve"> η χρήση των φωσφοροδεσμευτικών αυξάνει το καθημερινό βάρος των </w:t>
      </w:r>
      <w:r w:rsidR="00B0098B">
        <w:rPr>
          <w:sz w:val="24"/>
          <w:szCs w:val="24"/>
        </w:rPr>
        <w:t>δισκίων</w:t>
      </w:r>
      <w:r w:rsidRPr="005A464E">
        <w:rPr>
          <w:sz w:val="24"/>
          <w:szCs w:val="24"/>
        </w:rPr>
        <w:t xml:space="preserve"> και το κόστος θεραπείας (Α</w:t>
      </w:r>
      <w:r w:rsidRPr="005A464E">
        <w:rPr>
          <w:sz w:val="24"/>
          <w:szCs w:val="24"/>
          <w:lang w:val="en-US"/>
        </w:rPr>
        <w:t>renas</w:t>
      </w:r>
      <w:r w:rsidRPr="005A464E">
        <w:rPr>
          <w:sz w:val="24"/>
          <w:szCs w:val="24"/>
        </w:rPr>
        <w:t xml:space="preserve"> </w:t>
      </w:r>
      <w:r w:rsidR="00566CAA">
        <w:rPr>
          <w:sz w:val="24"/>
          <w:szCs w:val="24"/>
        </w:rPr>
        <w:t>et al</w:t>
      </w:r>
      <w:r w:rsidR="002F68C8" w:rsidRPr="002F68C8">
        <w:rPr>
          <w:sz w:val="24"/>
          <w:szCs w:val="24"/>
        </w:rPr>
        <w:t>.</w:t>
      </w:r>
      <w:r w:rsidR="00594807">
        <w:rPr>
          <w:sz w:val="24"/>
          <w:szCs w:val="24"/>
        </w:rPr>
        <w:t>,</w:t>
      </w:r>
      <w:r w:rsidRPr="005A464E">
        <w:rPr>
          <w:sz w:val="24"/>
          <w:szCs w:val="24"/>
        </w:rPr>
        <w:t xml:space="preserve"> 2010</w:t>
      </w:r>
      <w:r w:rsidRPr="005A464E">
        <w:rPr>
          <w:sz w:val="24"/>
          <w:szCs w:val="24"/>
          <w:lang w:val="en-US"/>
        </w:rPr>
        <w:t>a</w:t>
      </w:r>
      <w:r w:rsidRPr="005A464E">
        <w:rPr>
          <w:sz w:val="24"/>
          <w:szCs w:val="24"/>
        </w:rPr>
        <w:t>)</w:t>
      </w:r>
      <w:r w:rsidR="00E968B7" w:rsidRPr="005A464E">
        <w:rPr>
          <w:sz w:val="24"/>
          <w:szCs w:val="24"/>
        </w:rPr>
        <w:t>.</w:t>
      </w:r>
    </w:p>
    <w:p w:rsidR="00AD5F6D" w:rsidRPr="005A464E" w:rsidRDefault="00AD5F6D" w:rsidP="005A464E">
      <w:pPr>
        <w:spacing w:line="360" w:lineRule="auto"/>
        <w:jc w:val="both"/>
        <w:rPr>
          <w:sz w:val="24"/>
          <w:szCs w:val="24"/>
        </w:rPr>
      </w:pPr>
      <w:r w:rsidRPr="005A464E">
        <w:rPr>
          <w:sz w:val="24"/>
          <w:szCs w:val="24"/>
        </w:rPr>
        <w:t xml:space="preserve">Στη </w:t>
      </w:r>
      <w:r w:rsidR="00DC4ADC" w:rsidRPr="005A464E">
        <w:rPr>
          <w:sz w:val="24"/>
          <w:szCs w:val="24"/>
        </w:rPr>
        <w:t>συστηματική ανασκόπηση</w:t>
      </w:r>
      <w:r w:rsidRPr="005A464E">
        <w:rPr>
          <w:sz w:val="24"/>
          <w:szCs w:val="24"/>
        </w:rPr>
        <w:t xml:space="preserve"> των </w:t>
      </w:r>
      <w:r w:rsidRPr="005A464E">
        <w:rPr>
          <w:sz w:val="24"/>
          <w:szCs w:val="24"/>
          <w:lang w:val="en-US"/>
        </w:rPr>
        <w:t>Karamanidou</w:t>
      </w:r>
      <w:r w:rsidR="007B503D" w:rsidRPr="007B503D">
        <w:rPr>
          <w:sz w:val="24"/>
          <w:szCs w:val="24"/>
        </w:rPr>
        <w:t>,</w:t>
      </w:r>
      <w:r w:rsidR="007B503D" w:rsidRPr="007B503D">
        <w:rPr>
          <w:rFonts w:asciiTheme="minorHAnsi" w:hAnsiTheme="minorHAnsi" w:cstheme="minorHAnsi"/>
          <w:sz w:val="24"/>
          <w:szCs w:val="24"/>
        </w:rPr>
        <w:t xml:space="preserve"> </w:t>
      </w:r>
      <w:r w:rsidR="007B503D" w:rsidRPr="007B503D">
        <w:rPr>
          <w:rFonts w:asciiTheme="minorHAnsi" w:hAnsiTheme="minorHAnsi" w:cstheme="minorHAnsi"/>
          <w:sz w:val="24"/>
          <w:szCs w:val="24"/>
          <w:lang w:val="en-US"/>
        </w:rPr>
        <w:t>Clatworthy</w:t>
      </w:r>
      <w:r w:rsidR="007B503D" w:rsidRPr="007B503D">
        <w:rPr>
          <w:rFonts w:asciiTheme="minorHAnsi" w:hAnsiTheme="minorHAnsi" w:cstheme="minorHAnsi"/>
          <w:sz w:val="24"/>
          <w:szCs w:val="24"/>
        </w:rPr>
        <w:t xml:space="preserve">, </w:t>
      </w:r>
      <w:r w:rsidR="007B503D" w:rsidRPr="007B503D">
        <w:rPr>
          <w:rFonts w:asciiTheme="minorHAnsi" w:hAnsiTheme="minorHAnsi" w:cstheme="minorHAnsi"/>
          <w:sz w:val="24"/>
          <w:szCs w:val="24"/>
          <w:lang w:val="en-US"/>
        </w:rPr>
        <w:t>Weinman</w:t>
      </w:r>
      <w:r w:rsidR="00D82F3D">
        <w:rPr>
          <w:rFonts w:asciiTheme="minorHAnsi" w:hAnsiTheme="minorHAnsi" w:cstheme="minorHAnsi"/>
          <w:sz w:val="24"/>
          <w:szCs w:val="24"/>
        </w:rPr>
        <w:t>, και</w:t>
      </w:r>
      <w:r w:rsidR="007B503D" w:rsidRPr="007B503D">
        <w:rPr>
          <w:rFonts w:asciiTheme="minorHAnsi" w:hAnsiTheme="minorHAnsi" w:cstheme="minorHAnsi"/>
          <w:sz w:val="24"/>
          <w:szCs w:val="24"/>
        </w:rPr>
        <w:t xml:space="preserve"> </w:t>
      </w:r>
      <w:r w:rsidR="007B503D" w:rsidRPr="007B503D">
        <w:rPr>
          <w:rFonts w:asciiTheme="minorHAnsi" w:hAnsiTheme="minorHAnsi" w:cstheme="minorHAnsi"/>
          <w:sz w:val="24"/>
          <w:szCs w:val="24"/>
          <w:lang w:val="en-US"/>
        </w:rPr>
        <w:t>Horne</w:t>
      </w:r>
      <w:r w:rsidR="007B503D" w:rsidRPr="007B503D">
        <w:rPr>
          <w:sz w:val="24"/>
          <w:szCs w:val="24"/>
        </w:rPr>
        <w:t xml:space="preserve"> </w:t>
      </w:r>
      <w:r w:rsidRPr="005A464E">
        <w:rPr>
          <w:sz w:val="24"/>
          <w:szCs w:val="24"/>
        </w:rPr>
        <w:t>(2008) ο επιπολασμός της μη συ</w:t>
      </w:r>
      <w:r w:rsidR="00C53339" w:rsidRPr="005A464E">
        <w:rPr>
          <w:sz w:val="24"/>
          <w:szCs w:val="24"/>
        </w:rPr>
        <w:t>μμόρφωσης στα φωσφοροδεσμευτικά</w:t>
      </w:r>
      <w:r w:rsidR="002706FB">
        <w:rPr>
          <w:sz w:val="24"/>
          <w:szCs w:val="24"/>
        </w:rPr>
        <w:t xml:space="preserve"> κυμάνθηκε</w:t>
      </w:r>
      <w:r w:rsidRPr="005A464E">
        <w:rPr>
          <w:sz w:val="24"/>
          <w:szCs w:val="24"/>
        </w:rPr>
        <w:t xml:space="preserve"> από 22% έως 74%. Είναι σημαντικό να σημειωθεί ότι αυτή η μεγάλη μεταβλητότητα μπορεί να εξηγηθεί από τις διαφορετικές μεθοδολογίες που χρησιμοποιούνται για τη μέτρηση της συμμόρφωσης σε αυτές τις μελέτες και από τους διαφορετικούς ορισμούς της συμμόρφωσης. Επιπλέον, αυτή η συστηματική ανασκόπηση έδειξε</w:t>
      </w:r>
      <w:r w:rsidR="002706FB">
        <w:rPr>
          <w:sz w:val="24"/>
          <w:szCs w:val="24"/>
        </w:rPr>
        <w:t>,</w:t>
      </w:r>
      <w:r w:rsidRPr="005A464E">
        <w:rPr>
          <w:sz w:val="24"/>
          <w:szCs w:val="24"/>
        </w:rPr>
        <w:t xml:space="preserve"> </w:t>
      </w:r>
      <w:r w:rsidR="002706FB">
        <w:rPr>
          <w:sz w:val="24"/>
          <w:szCs w:val="24"/>
        </w:rPr>
        <w:t>επίσης, πως</w:t>
      </w:r>
      <w:r w:rsidR="00E968B7" w:rsidRPr="005A464E">
        <w:rPr>
          <w:sz w:val="24"/>
          <w:szCs w:val="24"/>
        </w:rPr>
        <w:t xml:space="preserve"> όταν η συμμόρφωση εκτιμήθηκε</w:t>
      </w:r>
      <w:r w:rsidRPr="005A464E">
        <w:rPr>
          <w:sz w:val="24"/>
          <w:szCs w:val="24"/>
        </w:rPr>
        <w:t xml:space="preserve"> χρησιμοποιώντας το επίπεδο φωσφόρου στον ορό, το πο</w:t>
      </w:r>
      <w:r w:rsidR="00E968B7" w:rsidRPr="005A464E">
        <w:rPr>
          <w:sz w:val="24"/>
          <w:szCs w:val="24"/>
        </w:rPr>
        <w:t>σ</w:t>
      </w:r>
      <w:r w:rsidR="002706FB">
        <w:rPr>
          <w:sz w:val="24"/>
          <w:szCs w:val="24"/>
        </w:rPr>
        <w:t>οστό των ασθενών που θεωρούνταν</w:t>
      </w:r>
      <w:r w:rsidRPr="005A464E">
        <w:rPr>
          <w:sz w:val="24"/>
          <w:szCs w:val="24"/>
        </w:rPr>
        <w:t xml:space="preserve"> μη συμμορφωμένοι ήταν 58%, αλλά όταν η συμμόρφωση εκτιμήθηκε με τη μέθοδο της αυτοαναφοράς τ</w:t>
      </w:r>
      <w:r w:rsidR="00E968B7" w:rsidRPr="005A464E">
        <w:rPr>
          <w:sz w:val="24"/>
          <w:szCs w:val="24"/>
        </w:rPr>
        <w:t>ο ποσοστό ήταν 31%</w:t>
      </w:r>
      <w:r w:rsidRPr="005A464E">
        <w:rPr>
          <w:sz w:val="24"/>
          <w:szCs w:val="24"/>
        </w:rPr>
        <w:t xml:space="preserve">. </w:t>
      </w:r>
    </w:p>
    <w:p w:rsidR="00E968B7" w:rsidRPr="006643A6" w:rsidRDefault="00A97F58" w:rsidP="005A464E">
      <w:pPr>
        <w:spacing w:line="360" w:lineRule="auto"/>
        <w:jc w:val="both"/>
        <w:rPr>
          <w:sz w:val="24"/>
          <w:szCs w:val="24"/>
        </w:rPr>
      </w:pPr>
      <w:r w:rsidRPr="006643A6">
        <w:rPr>
          <w:sz w:val="24"/>
          <w:szCs w:val="24"/>
        </w:rPr>
        <w:t xml:space="preserve">Oι Kaplan </w:t>
      </w:r>
      <w:r w:rsidR="00566CAA" w:rsidRPr="006643A6">
        <w:rPr>
          <w:sz w:val="24"/>
          <w:szCs w:val="24"/>
        </w:rPr>
        <w:t>et al</w:t>
      </w:r>
      <w:r w:rsidR="00210189" w:rsidRPr="006643A6">
        <w:rPr>
          <w:sz w:val="24"/>
          <w:szCs w:val="24"/>
        </w:rPr>
        <w:t>.</w:t>
      </w:r>
      <w:r w:rsidRPr="006643A6">
        <w:rPr>
          <w:sz w:val="24"/>
          <w:szCs w:val="24"/>
        </w:rPr>
        <w:t xml:space="preserve"> (1994</w:t>
      </w:r>
      <w:r w:rsidR="00D82F3D" w:rsidRPr="006643A6">
        <w:rPr>
          <w:sz w:val="24"/>
          <w:szCs w:val="24"/>
        </w:rPr>
        <w:t>) τόνισα</w:t>
      </w:r>
      <w:r w:rsidR="00E968B7" w:rsidRPr="006643A6">
        <w:rPr>
          <w:sz w:val="24"/>
          <w:szCs w:val="24"/>
        </w:rPr>
        <w:t xml:space="preserve">ν ότι σημαντικός παράγοντας της μη συμμόρφωσης είναι το μέγεθος και η γεύση των φωσφοροδεσμευτικών </w:t>
      </w:r>
      <w:r w:rsidR="00B0098B">
        <w:rPr>
          <w:sz w:val="24"/>
          <w:szCs w:val="24"/>
        </w:rPr>
        <w:t>δισκίων</w:t>
      </w:r>
      <w:r w:rsidR="00E968B7" w:rsidRPr="006643A6">
        <w:rPr>
          <w:sz w:val="24"/>
          <w:szCs w:val="24"/>
        </w:rPr>
        <w:t xml:space="preserve">, ενώ οι Neri </w:t>
      </w:r>
      <w:r w:rsidR="00566CAA" w:rsidRPr="006643A6">
        <w:rPr>
          <w:sz w:val="24"/>
          <w:szCs w:val="24"/>
        </w:rPr>
        <w:t>et al</w:t>
      </w:r>
      <w:r w:rsidR="00594807" w:rsidRPr="006643A6">
        <w:rPr>
          <w:sz w:val="24"/>
          <w:szCs w:val="24"/>
        </w:rPr>
        <w:t>.</w:t>
      </w:r>
      <w:r w:rsidR="00E968B7" w:rsidRPr="006643A6">
        <w:rPr>
          <w:sz w:val="24"/>
          <w:szCs w:val="24"/>
        </w:rPr>
        <w:t xml:space="preserve"> </w:t>
      </w:r>
      <w:r w:rsidR="00DC4ADC" w:rsidRPr="006643A6">
        <w:rPr>
          <w:sz w:val="24"/>
          <w:szCs w:val="24"/>
        </w:rPr>
        <w:t>(2011)</w:t>
      </w:r>
      <w:r w:rsidR="00E968B7" w:rsidRPr="006643A6">
        <w:rPr>
          <w:sz w:val="24"/>
          <w:szCs w:val="24"/>
        </w:rPr>
        <w:t xml:space="preserve"> σε μια μελέτη που διεξήχθη στην Ιταλία με τη</w:t>
      </w:r>
      <w:r w:rsidR="00D82F3D" w:rsidRPr="006643A6">
        <w:rPr>
          <w:sz w:val="24"/>
          <w:szCs w:val="24"/>
        </w:rPr>
        <w:t xml:space="preserve"> χρήση ερωτηματολογίων σημείωσα</w:t>
      </w:r>
      <w:r w:rsidR="00E968B7" w:rsidRPr="006643A6">
        <w:rPr>
          <w:sz w:val="24"/>
          <w:szCs w:val="24"/>
        </w:rPr>
        <w:t>ν ότι όσο</w:t>
      </w:r>
      <w:r w:rsidR="00C5158A" w:rsidRPr="006643A6">
        <w:rPr>
          <w:sz w:val="24"/>
          <w:szCs w:val="24"/>
        </w:rPr>
        <w:t xml:space="preserve"> μεγαλύτερος ο αριθμός των δισκίω</w:t>
      </w:r>
      <w:r w:rsidR="00E968B7" w:rsidRPr="006643A6">
        <w:rPr>
          <w:sz w:val="24"/>
          <w:szCs w:val="24"/>
        </w:rPr>
        <w:t>ν τόσο χαμηλότερο το επίπεδο συμμόρφωσης.</w:t>
      </w:r>
    </w:p>
    <w:p w:rsidR="00313E02" w:rsidRPr="005A464E" w:rsidRDefault="00313E02" w:rsidP="005A464E">
      <w:pPr>
        <w:spacing w:line="360" w:lineRule="auto"/>
        <w:jc w:val="both"/>
        <w:rPr>
          <w:sz w:val="24"/>
          <w:szCs w:val="24"/>
        </w:rPr>
      </w:pPr>
      <w:r w:rsidRPr="006643A6">
        <w:rPr>
          <w:sz w:val="24"/>
          <w:szCs w:val="24"/>
        </w:rPr>
        <w:t xml:space="preserve">Οι Arenas </w:t>
      </w:r>
      <w:r w:rsidR="00566CAA" w:rsidRPr="006643A6">
        <w:rPr>
          <w:sz w:val="24"/>
          <w:szCs w:val="24"/>
        </w:rPr>
        <w:t>et al</w:t>
      </w:r>
      <w:r w:rsidR="002F68C8" w:rsidRPr="006643A6">
        <w:rPr>
          <w:sz w:val="24"/>
          <w:szCs w:val="24"/>
        </w:rPr>
        <w:t>.</w:t>
      </w:r>
      <w:r w:rsidRPr="006643A6">
        <w:rPr>
          <w:sz w:val="24"/>
          <w:szCs w:val="24"/>
        </w:rPr>
        <w:t xml:space="preserve"> (2010b) στη μελέτη τους</w:t>
      </w:r>
      <w:r w:rsidR="002F68C8" w:rsidRPr="006643A6">
        <w:rPr>
          <w:sz w:val="24"/>
          <w:szCs w:val="24"/>
        </w:rPr>
        <w:t xml:space="preserve"> χρησιμοποιώντας την κλίμακα</w:t>
      </w:r>
      <w:r w:rsidR="0078495A" w:rsidRPr="006643A6">
        <w:rPr>
          <w:sz w:val="24"/>
          <w:szCs w:val="24"/>
        </w:rPr>
        <w:t xml:space="preserve"> </w:t>
      </w:r>
      <w:r w:rsidR="002F68C8" w:rsidRPr="006643A6">
        <w:rPr>
          <w:sz w:val="24"/>
          <w:szCs w:val="24"/>
        </w:rPr>
        <w:t>«</w:t>
      </w:r>
      <w:r w:rsidRPr="006643A6">
        <w:rPr>
          <w:sz w:val="24"/>
          <w:szCs w:val="24"/>
        </w:rPr>
        <w:t>Simplified Med</w:t>
      </w:r>
      <w:r w:rsidR="002F68C8" w:rsidRPr="006643A6">
        <w:rPr>
          <w:sz w:val="24"/>
          <w:szCs w:val="24"/>
        </w:rPr>
        <w:t>ication Adherence Questionnaire»</w:t>
      </w:r>
      <w:r w:rsidRPr="006643A6">
        <w:rPr>
          <w:sz w:val="24"/>
          <w:szCs w:val="24"/>
        </w:rPr>
        <w:t xml:space="preserve"> ανέφεραν ότι από τους 165 ασθενεί</w:t>
      </w:r>
      <w:r w:rsidR="00DC4ADC" w:rsidRPr="006643A6">
        <w:rPr>
          <w:sz w:val="24"/>
          <w:szCs w:val="24"/>
        </w:rPr>
        <w:t xml:space="preserve">ς υπό </w:t>
      </w:r>
      <w:r w:rsidR="00C5158A" w:rsidRPr="006643A6">
        <w:rPr>
          <w:sz w:val="24"/>
          <w:szCs w:val="24"/>
        </w:rPr>
        <w:t>αιμοκάθαρση</w:t>
      </w:r>
      <w:r w:rsidR="00D82F3D" w:rsidRPr="006643A6">
        <w:rPr>
          <w:sz w:val="24"/>
          <w:szCs w:val="24"/>
        </w:rPr>
        <w:t>, το 40%</w:t>
      </w:r>
      <w:r w:rsidR="002706FB" w:rsidRPr="006643A6">
        <w:rPr>
          <w:sz w:val="24"/>
          <w:szCs w:val="24"/>
        </w:rPr>
        <w:t xml:space="preserve"> παρουσίασε</w:t>
      </w:r>
      <w:r w:rsidRPr="006643A6">
        <w:rPr>
          <w:sz w:val="24"/>
          <w:szCs w:val="24"/>
        </w:rPr>
        <w:t xml:space="preserve"> χαμηλή συμμόρφωση στη φαρμακευτική αγωγή (21% στα φωσφοροδεσμευτικά</w:t>
      </w:r>
      <w:r w:rsidR="00C53339" w:rsidRPr="006643A6">
        <w:rPr>
          <w:sz w:val="24"/>
          <w:szCs w:val="24"/>
        </w:rPr>
        <w:t xml:space="preserve"> και 13% στους αντιϋπερτασικούς</w:t>
      </w:r>
      <w:r w:rsidRPr="006643A6">
        <w:rPr>
          <w:sz w:val="24"/>
          <w:szCs w:val="24"/>
        </w:rPr>
        <w:t xml:space="preserve"> </w:t>
      </w:r>
      <w:r w:rsidR="00C53339" w:rsidRPr="006643A6">
        <w:rPr>
          <w:sz w:val="24"/>
          <w:szCs w:val="24"/>
        </w:rPr>
        <w:t>παράγοντες</w:t>
      </w:r>
      <w:r w:rsidR="00D82F3D" w:rsidRPr="006643A6">
        <w:rPr>
          <w:sz w:val="24"/>
          <w:szCs w:val="24"/>
        </w:rPr>
        <w:t>). Οι ασθενείς παρουσίασ</w:t>
      </w:r>
      <w:r w:rsidR="00C5158A" w:rsidRPr="006643A6">
        <w:rPr>
          <w:sz w:val="24"/>
          <w:szCs w:val="24"/>
        </w:rPr>
        <w:t>αν</w:t>
      </w:r>
      <w:r w:rsidRPr="006643A6">
        <w:rPr>
          <w:sz w:val="24"/>
          <w:szCs w:val="24"/>
        </w:rPr>
        <w:t xml:space="preserve"> επιλεκτική μη συμμόρφωση στα δεσμευτικά του φωσφόρου, καθώς </w:t>
      </w:r>
      <w:r w:rsidR="00D82F3D" w:rsidRPr="006643A6">
        <w:rPr>
          <w:sz w:val="24"/>
          <w:szCs w:val="24"/>
        </w:rPr>
        <w:t xml:space="preserve">αυτά </w:t>
      </w:r>
      <w:r w:rsidRPr="006643A6">
        <w:rPr>
          <w:sz w:val="24"/>
          <w:szCs w:val="24"/>
        </w:rPr>
        <w:t xml:space="preserve">πρέπει να λαμβάνονται κατά τη διάρκεια των </w:t>
      </w:r>
      <w:r w:rsidR="00DC4ADC" w:rsidRPr="006643A6">
        <w:rPr>
          <w:sz w:val="24"/>
          <w:szCs w:val="24"/>
        </w:rPr>
        <w:t>γευμάτων, τουλάχιστον 3 φορές</w:t>
      </w:r>
      <w:r w:rsidR="0078495A" w:rsidRPr="006643A6">
        <w:rPr>
          <w:sz w:val="24"/>
          <w:szCs w:val="24"/>
        </w:rPr>
        <w:t xml:space="preserve"> </w:t>
      </w:r>
      <w:r w:rsidR="00DC4ADC" w:rsidRPr="006643A6">
        <w:rPr>
          <w:sz w:val="24"/>
          <w:szCs w:val="24"/>
        </w:rPr>
        <w:t>ημερησίως</w:t>
      </w:r>
      <w:r w:rsidRPr="006643A6">
        <w:rPr>
          <w:sz w:val="24"/>
          <w:szCs w:val="24"/>
        </w:rPr>
        <w:t>. Ως εκ τούτου, συμπίπτουν με τις ώρες εργασίας ή την κοινωνική ζωή των ασθενών, ιδιαίτερα των νέων.</w:t>
      </w:r>
    </w:p>
    <w:p w:rsidR="00AD5F6D" w:rsidRPr="005A464E" w:rsidRDefault="00CE76BE" w:rsidP="005A464E">
      <w:pPr>
        <w:spacing w:line="360" w:lineRule="auto"/>
        <w:jc w:val="both"/>
        <w:rPr>
          <w:sz w:val="24"/>
          <w:szCs w:val="24"/>
        </w:rPr>
      </w:pPr>
      <w:r w:rsidRPr="006643A6">
        <w:rPr>
          <w:sz w:val="24"/>
          <w:szCs w:val="24"/>
        </w:rPr>
        <w:t xml:space="preserve">Oι Gordon, </w:t>
      </w:r>
      <w:r w:rsidRPr="006643A6">
        <w:rPr>
          <w:rFonts w:eastAsia="Times New Roman" w:cstheme="minorHAnsi"/>
          <w:sz w:val="24"/>
          <w:szCs w:val="24"/>
          <w:lang w:val="en-US" w:eastAsia="el-GR"/>
        </w:rPr>
        <w:t>Leon</w:t>
      </w:r>
      <w:r w:rsidR="00D82F3D" w:rsidRPr="006643A6">
        <w:rPr>
          <w:rFonts w:eastAsia="Times New Roman" w:cstheme="minorHAnsi"/>
          <w:sz w:val="24"/>
          <w:szCs w:val="24"/>
          <w:lang w:eastAsia="el-GR"/>
        </w:rPr>
        <w:t>, και</w:t>
      </w:r>
      <w:r w:rsidRPr="006643A6">
        <w:rPr>
          <w:rFonts w:eastAsia="Times New Roman" w:cstheme="minorHAnsi"/>
          <w:sz w:val="24"/>
          <w:szCs w:val="24"/>
          <w:lang w:eastAsia="el-GR"/>
        </w:rPr>
        <w:t xml:space="preserve"> </w:t>
      </w:r>
      <w:r w:rsidRPr="006643A6">
        <w:rPr>
          <w:rFonts w:eastAsia="Times New Roman" w:cstheme="minorHAnsi"/>
          <w:sz w:val="24"/>
          <w:szCs w:val="24"/>
          <w:lang w:val="en-US" w:eastAsia="el-GR"/>
        </w:rPr>
        <w:t>Sehgal</w:t>
      </w:r>
      <w:r w:rsidR="00AD5F6D" w:rsidRPr="006643A6">
        <w:rPr>
          <w:sz w:val="24"/>
          <w:szCs w:val="24"/>
        </w:rPr>
        <w:t xml:space="preserve"> (2003) μελέτ</w:t>
      </w:r>
      <w:r w:rsidR="008A51C4" w:rsidRPr="006643A6">
        <w:rPr>
          <w:sz w:val="24"/>
          <w:szCs w:val="24"/>
        </w:rPr>
        <w:t>ησαν τους παράγοντες βράχυνσης του χρόνου</w:t>
      </w:r>
      <w:r w:rsidR="00AD5F6D" w:rsidRPr="006643A6">
        <w:rPr>
          <w:sz w:val="24"/>
          <w:szCs w:val="24"/>
        </w:rPr>
        <w:t xml:space="preserve"> ή παράλειψης </w:t>
      </w:r>
      <w:r w:rsidR="00817853">
        <w:rPr>
          <w:sz w:val="24"/>
          <w:szCs w:val="24"/>
        </w:rPr>
        <w:t>μια</w:t>
      </w:r>
      <w:r w:rsidR="00AD5F6D" w:rsidRPr="006643A6">
        <w:rPr>
          <w:sz w:val="24"/>
          <w:szCs w:val="24"/>
        </w:rPr>
        <w:t xml:space="preserve">ς συνεδρίας </w:t>
      </w:r>
      <w:r w:rsidR="008A51C4" w:rsidRPr="006643A6">
        <w:rPr>
          <w:sz w:val="24"/>
          <w:szCs w:val="24"/>
        </w:rPr>
        <w:t xml:space="preserve">αιμοκάθαρσης </w:t>
      </w:r>
      <w:r w:rsidR="00AD5F6D" w:rsidRPr="006643A6">
        <w:rPr>
          <w:sz w:val="24"/>
          <w:szCs w:val="24"/>
        </w:rPr>
        <w:t>σε 168 ασθενείς χρησιμοποιώντας ημιδομημένες συ</w:t>
      </w:r>
      <w:r w:rsidRPr="006643A6">
        <w:rPr>
          <w:sz w:val="24"/>
          <w:szCs w:val="24"/>
        </w:rPr>
        <w:t>νεντεύξεις.</w:t>
      </w:r>
      <w:r w:rsidR="00C53339" w:rsidRPr="006643A6">
        <w:rPr>
          <w:sz w:val="24"/>
          <w:szCs w:val="24"/>
        </w:rPr>
        <w:t xml:space="preserve"> </w:t>
      </w:r>
      <w:r w:rsidRPr="006643A6">
        <w:rPr>
          <w:sz w:val="24"/>
          <w:szCs w:val="24"/>
        </w:rPr>
        <w:t>Τ</w:t>
      </w:r>
      <w:r w:rsidR="00AD5F6D" w:rsidRPr="006643A6">
        <w:rPr>
          <w:sz w:val="24"/>
          <w:szCs w:val="24"/>
        </w:rPr>
        <w:t xml:space="preserve">αξινόμησαν </w:t>
      </w:r>
      <w:r w:rsidR="00EA46D4" w:rsidRPr="006643A6">
        <w:rPr>
          <w:sz w:val="24"/>
          <w:szCs w:val="24"/>
        </w:rPr>
        <w:t>τους παράγοντες σε πέντε κατηγορίες</w:t>
      </w:r>
      <w:r w:rsidR="00AD5F6D" w:rsidRPr="006643A6">
        <w:rPr>
          <w:sz w:val="24"/>
          <w:szCs w:val="24"/>
        </w:rPr>
        <w:t xml:space="preserve">: ιατρικά προβλήματα, τεχνικά προβλήματα, καθημερινές υποχρεώσεις </w:t>
      </w:r>
      <w:r w:rsidR="00B0560D" w:rsidRPr="006643A6">
        <w:rPr>
          <w:sz w:val="24"/>
          <w:szCs w:val="24"/>
        </w:rPr>
        <w:t>του ασθενούς</w:t>
      </w:r>
      <w:r w:rsidR="00A52A49" w:rsidRPr="006643A6">
        <w:rPr>
          <w:sz w:val="24"/>
          <w:szCs w:val="24"/>
        </w:rPr>
        <w:t>, θέματα μετακίνηση</w:t>
      </w:r>
      <w:r w:rsidR="00AD5F6D" w:rsidRPr="006643A6">
        <w:rPr>
          <w:sz w:val="24"/>
          <w:szCs w:val="24"/>
        </w:rPr>
        <w:t xml:space="preserve">ς και αποφάσεις </w:t>
      </w:r>
      <w:r w:rsidR="00B0560D" w:rsidRPr="006643A6">
        <w:rPr>
          <w:sz w:val="24"/>
          <w:szCs w:val="24"/>
        </w:rPr>
        <w:t>του ασθενούς</w:t>
      </w:r>
      <w:r w:rsidR="00AD5F6D" w:rsidRPr="005A464E">
        <w:rPr>
          <w:sz w:val="24"/>
          <w:szCs w:val="24"/>
        </w:rPr>
        <w:t>. Η π</w:t>
      </w:r>
      <w:r w:rsidR="00A52A49">
        <w:rPr>
          <w:sz w:val="24"/>
          <w:szCs w:val="24"/>
        </w:rPr>
        <w:t>ιο συνηθισμένη αιτία βράχυνσης του χρόνου</w:t>
      </w:r>
      <w:r w:rsidR="00AD5F6D" w:rsidRPr="005A464E">
        <w:rPr>
          <w:sz w:val="24"/>
          <w:szCs w:val="24"/>
        </w:rPr>
        <w:t xml:space="preserve"> της συνεδρίας ήταν τα ιατρικά προβλήματα (υπόταση, ναυτία, μυϊκές </w:t>
      </w:r>
      <w:r w:rsidR="006643A6">
        <w:rPr>
          <w:sz w:val="24"/>
          <w:szCs w:val="24"/>
        </w:rPr>
        <w:t>συνολκές</w:t>
      </w:r>
      <w:r w:rsidR="00E968B7" w:rsidRPr="005A464E">
        <w:rPr>
          <w:sz w:val="24"/>
          <w:szCs w:val="24"/>
        </w:rPr>
        <w:t>) σε ποσοστό 38% και ακολούθησα</w:t>
      </w:r>
      <w:r w:rsidR="00AD5F6D" w:rsidRPr="005A464E">
        <w:rPr>
          <w:sz w:val="24"/>
          <w:szCs w:val="24"/>
        </w:rPr>
        <w:t xml:space="preserve">ν τα τεχνικά προβλήματα (θρόμβωση αγγειακής προσπέλασης, αιμορραγία, κακή ροή του αίματος) σε ποσοστό </w:t>
      </w:r>
      <w:r w:rsidR="00E968B7" w:rsidRPr="005A464E">
        <w:rPr>
          <w:sz w:val="24"/>
          <w:szCs w:val="24"/>
        </w:rPr>
        <w:t>19%, οι καθημερινές υποχρεώσεις</w:t>
      </w:r>
      <w:r w:rsidR="0078495A">
        <w:rPr>
          <w:sz w:val="24"/>
          <w:szCs w:val="24"/>
        </w:rPr>
        <w:t xml:space="preserve"> </w:t>
      </w:r>
      <w:r w:rsidR="00E968B7" w:rsidRPr="005A464E">
        <w:rPr>
          <w:sz w:val="24"/>
          <w:szCs w:val="24"/>
        </w:rPr>
        <w:t>(</w:t>
      </w:r>
      <w:r w:rsidR="00AD5F6D" w:rsidRPr="005A464E">
        <w:rPr>
          <w:sz w:val="24"/>
          <w:szCs w:val="24"/>
        </w:rPr>
        <w:t xml:space="preserve">προσωπικές υποχρεώσεις, ραντεβού με ιατρούς) σε ποσοστό 21%, οι αποφάσεις </w:t>
      </w:r>
      <w:r w:rsidR="00B0560D">
        <w:rPr>
          <w:sz w:val="24"/>
          <w:szCs w:val="24"/>
        </w:rPr>
        <w:t>του ασθενούς</w:t>
      </w:r>
      <w:r w:rsidR="00AD5F6D" w:rsidRPr="005A464E">
        <w:rPr>
          <w:sz w:val="24"/>
          <w:szCs w:val="24"/>
        </w:rPr>
        <w:t xml:space="preserve"> (μη συμφωνία με τη δια</w:t>
      </w:r>
      <w:r w:rsidR="00E968B7" w:rsidRPr="005A464E">
        <w:rPr>
          <w:sz w:val="24"/>
          <w:szCs w:val="24"/>
        </w:rPr>
        <w:t>δικασία της συνεδρίας) κατά 19% και</w:t>
      </w:r>
      <w:r w:rsidR="00AD5F6D" w:rsidRPr="005A464E">
        <w:rPr>
          <w:sz w:val="24"/>
          <w:szCs w:val="24"/>
        </w:rPr>
        <w:t xml:space="preserve"> </w:t>
      </w:r>
      <w:r w:rsidR="00A52A49">
        <w:rPr>
          <w:sz w:val="24"/>
          <w:szCs w:val="24"/>
        </w:rPr>
        <w:t>τα προβλήματα μετακίνηση</w:t>
      </w:r>
      <w:r w:rsidR="00AD5F6D" w:rsidRPr="005A464E">
        <w:rPr>
          <w:sz w:val="24"/>
          <w:szCs w:val="24"/>
        </w:rPr>
        <w:t>ς (10%)</w:t>
      </w:r>
      <w:r w:rsidR="00E968B7" w:rsidRPr="005A464E">
        <w:rPr>
          <w:sz w:val="24"/>
          <w:szCs w:val="24"/>
        </w:rPr>
        <w:t>.</w:t>
      </w:r>
    </w:p>
    <w:p w:rsidR="004E0AB7" w:rsidRPr="004E0AB7" w:rsidRDefault="00924A12" w:rsidP="004E0AB7">
      <w:pPr>
        <w:pStyle w:val="30"/>
        <w:numPr>
          <w:ilvl w:val="2"/>
          <w:numId w:val="117"/>
        </w:numPr>
        <w:spacing w:after="240" w:line="360" w:lineRule="auto"/>
        <w:rPr>
          <w:rFonts w:asciiTheme="minorHAnsi" w:hAnsiTheme="minorHAnsi"/>
          <w:sz w:val="24"/>
          <w:szCs w:val="24"/>
        </w:rPr>
      </w:pPr>
      <w:bookmarkStart w:id="49" w:name="_Toc495951445"/>
      <w:r w:rsidRPr="005A464E">
        <w:rPr>
          <w:rFonts w:asciiTheme="minorHAnsi" w:hAnsiTheme="minorHAnsi"/>
          <w:sz w:val="24"/>
          <w:szCs w:val="24"/>
        </w:rPr>
        <w:t>Ψυχοκοινωνικοί παράγοντες</w:t>
      </w:r>
      <w:bookmarkEnd w:id="49"/>
    </w:p>
    <w:p w:rsidR="00AD5F6D" w:rsidRPr="004E0AB7" w:rsidRDefault="00AD5F6D" w:rsidP="004E0AB7">
      <w:pPr>
        <w:pStyle w:val="a5"/>
        <w:numPr>
          <w:ilvl w:val="0"/>
          <w:numId w:val="121"/>
        </w:numPr>
        <w:spacing w:line="360" w:lineRule="auto"/>
        <w:rPr>
          <w:i/>
          <w:sz w:val="24"/>
          <w:szCs w:val="24"/>
          <w:lang w:eastAsia="el-GR"/>
        </w:rPr>
      </w:pPr>
      <w:r w:rsidRPr="004E0AB7">
        <w:rPr>
          <w:i/>
          <w:sz w:val="24"/>
          <w:szCs w:val="24"/>
          <w:lang w:eastAsia="el-GR"/>
        </w:rPr>
        <w:t>Κατάθλιψη</w:t>
      </w:r>
    </w:p>
    <w:p w:rsidR="00AD5F6D" w:rsidRPr="00FE7892" w:rsidRDefault="00AD5F6D" w:rsidP="005A464E">
      <w:pPr>
        <w:spacing w:line="360" w:lineRule="auto"/>
        <w:jc w:val="both"/>
        <w:rPr>
          <w:rFonts w:asciiTheme="minorHAnsi" w:eastAsia="Times New Roman" w:hAnsiTheme="minorHAnsi" w:cstheme="minorHAnsi"/>
          <w:sz w:val="24"/>
          <w:szCs w:val="24"/>
          <w:lang w:eastAsia="el-GR"/>
        </w:rPr>
      </w:pPr>
      <w:r w:rsidRPr="005A464E">
        <w:rPr>
          <w:rFonts w:eastAsia="Times New Roman"/>
          <w:sz w:val="24"/>
          <w:szCs w:val="24"/>
          <w:lang w:eastAsia="el-GR"/>
        </w:rPr>
        <w:t xml:space="preserve">Η κατάθλιψη και τα συμπτώματα κατάθλιψης είναι η πιο κοινή ψυχιατρική επιπλοκή σε ασθενείς </w:t>
      </w:r>
      <w:r w:rsidR="00D9583A">
        <w:rPr>
          <w:rFonts w:eastAsia="Times New Roman"/>
          <w:sz w:val="24"/>
          <w:szCs w:val="24"/>
          <w:lang w:eastAsia="el-GR"/>
        </w:rPr>
        <w:t xml:space="preserve">ΤΣΧΝΝ </w:t>
      </w:r>
      <w:r w:rsidRPr="005A464E">
        <w:rPr>
          <w:rFonts w:eastAsia="Times New Roman"/>
          <w:sz w:val="24"/>
          <w:szCs w:val="24"/>
          <w:lang w:eastAsia="el-GR"/>
        </w:rPr>
        <w:t>που υποβάλλονται σε αιμοκάθαρση με επιπολασμό που κυμαίνεται από 20% έως 90% (</w:t>
      </w:r>
      <w:r w:rsidRPr="005A464E">
        <w:rPr>
          <w:rFonts w:eastAsia="Times New Roman"/>
          <w:sz w:val="24"/>
          <w:szCs w:val="24"/>
          <w:lang w:val="en-US" w:eastAsia="el-GR"/>
        </w:rPr>
        <w:t>Koo</w:t>
      </w:r>
      <w:r w:rsidRPr="005A464E">
        <w:rPr>
          <w:rFonts w:eastAsia="Times New Roman"/>
          <w:sz w:val="24"/>
          <w:szCs w:val="24"/>
          <w:lang w:eastAsia="el-GR"/>
        </w:rPr>
        <w:t xml:space="preserve"> </w:t>
      </w:r>
      <w:r w:rsidR="00566CAA">
        <w:rPr>
          <w:rFonts w:eastAsia="Times New Roman"/>
          <w:sz w:val="24"/>
          <w:szCs w:val="24"/>
          <w:lang w:eastAsia="el-GR"/>
        </w:rPr>
        <w:t>et al</w:t>
      </w:r>
      <w:r w:rsidR="00CE76BE">
        <w:rPr>
          <w:rFonts w:eastAsia="Times New Roman"/>
          <w:sz w:val="24"/>
          <w:szCs w:val="24"/>
          <w:lang w:eastAsia="el-GR"/>
        </w:rPr>
        <w:t>.</w:t>
      </w:r>
      <w:r w:rsidR="00594807">
        <w:rPr>
          <w:rFonts w:eastAsia="Times New Roman"/>
          <w:sz w:val="24"/>
          <w:szCs w:val="24"/>
          <w:lang w:eastAsia="el-GR"/>
        </w:rPr>
        <w:t>,</w:t>
      </w:r>
      <w:r w:rsidRPr="005A464E">
        <w:rPr>
          <w:rFonts w:eastAsia="Times New Roman"/>
          <w:sz w:val="24"/>
          <w:szCs w:val="24"/>
          <w:lang w:eastAsia="el-GR"/>
        </w:rPr>
        <w:t xml:space="preserve"> 2003; Taskapan </w:t>
      </w:r>
      <w:r w:rsidR="00566CAA">
        <w:rPr>
          <w:rFonts w:eastAsia="Times New Roman"/>
          <w:sz w:val="24"/>
          <w:szCs w:val="24"/>
          <w:lang w:eastAsia="el-GR"/>
        </w:rPr>
        <w:t>et al</w:t>
      </w:r>
      <w:r w:rsidR="00CE76BE">
        <w:rPr>
          <w:rFonts w:eastAsia="Times New Roman"/>
          <w:sz w:val="24"/>
          <w:szCs w:val="24"/>
          <w:lang w:eastAsia="el-GR"/>
        </w:rPr>
        <w:t>.</w:t>
      </w:r>
      <w:r w:rsidR="00594807">
        <w:rPr>
          <w:rFonts w:eastAsia="Times New Roman"/>
          <w:sz w:val="24"/>
          <w:szCs w:val="24"/>
          <w:lang w:eastAsia="el-GR"/>
        </w:rPr>
        <w:t>,</w:t>
      </w:r>
      <w:r w:rsidRPr="005A464E">
        <w:rPr>
          <w:rFonts w:eastAsia="Times New Roman"/>
          <w:sz w:val="24"/>
          <w:szCs w:val="24"/>
          <w:lang w:eastAsia="el-GR"/>
        </w:rPr>
        <w:t xml:space="preserve"> 2005).</w:t>
      </w:r>
      <w:r w:rsidR="002F2128" w:rsidRPr="002F2128">
        <w:rPr>
          <w:rFonts w:eastAsia="Times New Roman"/>
          <w:sz w:val="24"/>
          <w:szCs w:val="24"/>
          <w:lang w:eastAsia="el-GR"/>
        </w:rPr>
        <w:t xml:space="preserve"> </w:t>
      </w:r>
      <w:r w:rsidR="002F2128" w:rsidRPr="005A464E">
        <w:rPr>
          <w:rFonts w:eastAsia="Times New Roman"/>
          <w:sz w:val="24"/>
          <w:szCs w:val="24"/>
          <w:lang w:eastAsia="el-GR"/>
        </w:rPr>
        <w:t xml:space="preserve">Οι ασθενείς με καταθλιπτικά συμπτώματα αναφέρουν </w:t>
      </w:r>
      <w:r w:rsidR="006643A6">
        <w:rPr>
          <w:rFonts w:eastAsia="Times New Roman"/>
          <w:sz w:val="24"/>
          <w:szCs w:val="24"/>
          <w:lang w:eastAsia="el-GR"/>
        </w:rPr>
        <w:t>περισσότερη απελπισία</w:t>
      </w:r>
      <w:r w:rsidR="002F2128" w:rsidRPr="005A464E">
        <w:rPr>
          <w:rFonts w:eastAsia="Times New Roman"/>
          <w:sz w:val="24"/>
          <w:szCs w:val="24"/>
          <w:lang w:eastAsia="el-GR"/>
        </w:rPr>
        <w:t xml:space="preserve"> και θέτουν σε κίνδυνο τις γνωστικές τους ικανότητες</w:t>
      </w:r>
      <w:r w:rsidR="000E43D4">
        <w:rPr>
          <w:rFonts w:eastAsia="Times New Roman"/>
          <w:sz w:val="24"/>
          <w:szCs w:val="24"/>
          <w:lang w:eastAsia="el-GR"/>
        </w:rPr>
        <w:t xml:space="preserve"> (Ζ</w:t>
      </w:r>
      <w:r w:rsidR="000E43D4">
        <w:rPr>
          <w:rFonts w:eastAsia="Times New Roman"/>
          <w:sz w:val="24"/>
          <w:szCs w:val="24"/>
          <w:lang w:val="en-US" w:eastAsia="el-GR"/>
        </w:rPr>
        <w:t>yga</w:t>
      </w:r>
      <w:r w:rsidR="000E43D4" w:rsidRPr="000E43D4">
        <w:rPr>
          <w:rFonts w:eastAsia="Times New Roman"/>
          <w:sz w:val="24"/>
          <w:szCs w:val="24"/>
          <w:lang w:eastAsia="el-GR"/>
        </w:rPr>
        <w:t xml:space="preserve"> </w:t>
      </w:r>
      <w:r w:rsidR="000E43D4">
        <w:rPr>
          <w:rFonts w:eastAsia="Times New Roman"/>
          <w:sz w:val="24"/>
          <w:szCs w:val="24"/>
          <w:lang w:val="en-US" w:eastAsia="el-GR"/>
        </w:rPr>
        <w:t>et</w:t>
      </w:r>
      <w:r w:rsidR="000E43D4" w:rsidRPr="000E43D4">
        <w:rPr>
          <w:rFonts w:eastAsia="Times New Roman"/>
          <w:sz w:val="24"/>
          <w:szCs w:val="24"/>
          <w:lang w:eastAsia="el-GR"/>
        </w:rPr>
        <w:t xml:space="preserve"> </w:t>
      </w:r>
      <w:r w:rsidR="000E43D4">
        <w:rPr>
          <w:rFonts w:eastAsia="Times New Roman"/>
          <w:sz w:val="24"/>
          <w:szCs w:val="24"/>
          <w:lang w:val="en-US" w:eastAsia="el-GR"/>
        </w:rPr>
        <w:t>al</w:t>
      </w:r>
      <w:r w:rsidR="000E43D4" w:rsidRPr="000E43D4">
        <w:rPr>
          <w:rFonts w:eastAsia="Times New Roman"/>
          <w:sz w:val="24"/>
          <w:szCs w:val="24"/>
          <w:lang w:eastAsia="el-GR"/>
        </w:rPr>
        <w:t>., 2015)</w:t>
      </w:r>
      <w:r w:rsidR="002F2128" w:rsidRPr="005A464E">
        <w:rPr>
          <w:rFonts w:eastAsia="Times New Roman"/>
          <w:sz w:val="24"/>
          <w:szCs w:val="24"/>
          <w:lang w:eastAsia="el-GR"/>
        </w:rPr>
        <w:t>. Η κόπωση (σωματική και ψυχική) προκαλεί</w:t>
      </w:r>
      <w:r w:rsidR="002F2128">
        <w:rPr>
          <w:rFonts w:eastAsia="Times New Roman"/>
          <w:sz w:val="24"/>
          <w:szCs w:val="24"/>
          <w:lang w:eastAsia="el-GR"/>
        </w:rPr>
        <w:t xml:space="preserve"> </w:t>
      </w:r>
      <w:r w:rsidR="002F2128" w:rsidRPr="005A464E">
        <w:rPr>
          <w:rFonts w:eastAsia="Times New Roman"/>
          <w:sz w:val="24"/>
          <w:szCs w:val="24"/>
          <w:lang w:eastAsia="el-GR"/>
        </w:rPr>
        <w:t>αρνη</w:t>
      </w:r>
      <w:r w:rsidR="002F2128">
        <w:rPr>
          <w:rFonts w:eastAsia="Times New Roman"/>
          <w:sz w:val="24"/>
          <w:szCs w:val="24"/>
          <w:lang w:eastAsia="el-GR"/>
        </w:rPr>
        <w:t>τικές προσδοκίες για το μέλλον,</w:t>
      </w:r>
      <w:r w:rsidR="002F2128" w:rsidRPr="005A464E">
        <w:rPr>
          <w:rFonts w:eastAsia="Times New Roman"/>
          <w:sz w:val="24"/>
          <w:szCs w:val="24"/>
          <w:lang w:eastAsia="el-GR"/>
        </w:rPr>
        <w:t xml:space="preserve"> μπορεί να επηρεάσει την ατομική ικανότητα να πραγματοποιήσει την προβλεπόμενη θεραπεία και να οδηγήσει σε ανεπαρκή έλεγχο των</w:t>
      </w:r>
      <w:r w:rsidR="002F2128">
        <w:rPr>
          <w:rFonts w:eastAsia="Times New Roman"/>
          <w:sz w:val="24"/>
          <w:szCs w:val="24"/>
          <w:lang w:eastAsia="el-GR"/>
        </w:rPr>
        <w:t xml:space="preserve"> </w:t>
      </w:r>
      <w:r w:rsidR="002F2128" w:rsidRPr="005A464E">
        <w:rPr>
          <w:rFonts w:eastAsia="Times New Roman"/>
          <w:sz w:val="24"/>
          <w:szCs w:val="24"/>
          <w:lang w:eastAsia="el-GR"/>
        </w:rPr>
        <w:t>προσλαμβανομέ</w:t>
      </w:r>
      <w:r w:rsidR="002F2128">
        <w:rPr>
          <w:rFonts w:eastAsia="Times New Roman"/>
          <w:sz w:val="24"/>
          <w:szCs w:val="24"/>
          <w:lang w:eastAsia="el-GR"/>
        </w:rPr>
        <w:t>νων υγρών (Christensen &amp; Ehlers, 2002</w:t>
      </w:r>
      <w:r w:rsidR="00FE7892">
        <w:rPr>
          <w:rFonts w:eastAsia="Times New Roman"/>
          <w:sz w:val="24"/>
          <w:szCs w:val="24"/>
          <w:lang w:eastAsia="el-GR"/>
        </w:rPr>
        <w:t xml:space="preserve">; </w:t>
      </w:r>
      <w:r w:rsidR="00FE7892">
        <w:rPr>
          <w:rFonts w:asciiTheme="minorHAnsi" w:hAnsiTheme="minorHAnsi" w:cstheme="minorHAnsi"/>
          <w:color w:val="222222"/>
          <w:sz w:val="24"/>
          <w:szCs w:val="24"/>
          <w:shd w:val="clear" w:color="auto" w:fill="FFFFFF"/>
        </w:rPr>
        <w:t>Tsiamis, Alikari, Fradelos, Papapetrou</w:t>
      </w:r>
      <w:r w:rsidR="00FE7892" w:rsidRPr="00FE7892">
        <w:rPr>
          <w:rFonts w:asciiTheme="minorHAnsi" w:hAnsiTheme="minorHAnsi" w:cstheme="minorHAnsi"/>
          <w:color w:val="222222"/>
          <w:sz w:val="24"/>
          <w:szCs w:val="24"/>
          <w:shd w:val="clear" w:color="auto" w:fill="FFFFFF"/>
        </w:rPr>
        <w:t xml:space="preserve">, </w:t>
      </w:r>
      <w:r w:rsidR="00F909ED">
        <w:rPr>
          <w:rFonts w:asciiTheme="minorHAnsi" w:hAnsiTheme="minorHAnsi" w:cstheme="minorHAnsi"/>
          <w:color w:val="222222"/>
          <w:sz w:val="24"/>
          <w:szCs w:val="24"/>
          <w:shd w:val="clear" w:color="auto" w:fill="FFFFFF"/>
        </w:rPr>
        <w:t xml:space="preserve">&amp; </w:t>
      </w:r>
      <w:r w:rsidR="00FE7892" w:rsidRPr="00FE7892">
        <w:rPr>
          <w:rFonts w:asciiTheme="minorHAnsi" w:hAnsiTheme="minorHAnsi" w:cstheme="minorHAnsi"/>
          <w:color w:val="222222"/>
          <w:sz w:val="24"/>
          <w:szCs w:val="24"/>
          <w:shd w:val="clear" w:color="auto" w:fill="FFFFFF"/>
        </w:rPr>
        <w:t xml:space="preserve">Zyga </w:t>
      </w:r>
      <w:r w:rsidR="00FE7892">
        <w:rPr>
          <w:rFonts w:asciiTheme="minorHAnsi" w:hAnsiTheme="minorHAnsi" w:cstheme="minorHAnsi"/>
          <w:color w:val="222222"/>
          <w:sz w:val="24"/>
          <w:szCs w:val="24"/>
          <w:shd w:val="clear" w:color="auto" w:fill="FFFFFF"/>
        </w:rPr>
        <w:t>2015</w:t>
      </w:r>
      <w:r w:rsidR="002F2128" w:rsidRPr="00FE7892">
        <w:rPr>
          <w:rFonts w:asciiTheme="minorHAnsi" w:eastAsia="Times New Roman" w:hAnsiTheme="minorHAnsi" w:cstheme="minorHAnsi"/>
          <w:sz w:val="24"/>
          <w:szCs w:val="24"/>
          <w:lang w:eastAsia="el-GR"/>
        </w:rPr>
        <w:t>).</w:t>
      </w:r>
      <w:r w:rsidRPr="00FE7892">
        <w:rPr>
          <w:rFonts w:asciiTheme="minorHAnsi" w:eastAsia="Times New Roman" w:hAnsiTheme="minorHAnsi" w:cstheme="minorHAnsi"/>
          <w:sz w:val="24"/>
          <w:szCs w:val="24"/>
          <w:lang w:eastAsia="el-GR"/>
        </w:rPr>
        <w:t xml:space="preserve"> </w:t>
      </w:r>
    </w:p>
    <w:p w:rsidR="00AD5F6D" w:rsidRPr="005A464E" w:rsidRDefault="0008565B" w:rsidP="005A464E">
      <w:pPr>
        <w:spacing w:line="360" w:lineRule="auto"/>
        <w:jc w:val="both"/>
        <w:rPr>
          <w:color w:val="000000"/>
          <w:sz w:val="24"/>
          <w:szCs w:val="24"/>
          <w:shd w:val="clear" w:color="auto" w:fill="FFFFFF"/>
        </w:rPr>
      </w:pPr>
      <w:r w:rsidRPr="005A464E">
        <w:rPr>
          <w:color w:val="000000"/>
          <w:sz w:val="24"/>
          <w:szCs w:val="24"/>
          <w:shd w:val="clear" w:color="auto" w:fill="FFFFFF"/>
        </w:rPr>
        <w:t>Οι</w:t>
      </w:r>
      <w:r w:rsidR="00C53339" w:rsidRPr="005A464E">
        <w:rPr>
          <w:color w:val="000000"/>
          <w:sz w:val="24"/>
          <w:szCs w:val="24"/>
          <w:shd w:val="clear" w:color="auto" w:fill="FFFFFF"/>
        </w:rPr>
        <w:t xml:space="preserve"> </w:t>
      </w:r>
      <w:r w:rsidR="001462BA" w:rsidRPr="001462BA">
        <w:rPr>
          <w:color w:val="000000"/>
          <w:sz w:val="24"/>
          <w:szCs w:val="24"/>
          <w:shd w:val="clear" w:color="auto" w:fill="FFFFFF"/>
        </w:rPr>
        <w:t xml:space="preserve">Páez, </w:t>
      </w:r>
      <w:r w:rsidR="001462BA" w:rsidRPr="001462BA">
        <w:rPr>
          <w:rFonts w:asciiTheme="minorHAnsi" w:eastAsia="Times New Roman" w:hAnsiTheme="minorHAnsi" w:cstheme="minorHAnsi"/>
          <w:sz w:val="24"/>
          <w:szCs w:val="24"/>
          <w:lang w:val="en-US" w:eastAsia="el-GR"/>
        </w:rPr>
        <w:t>Jofr</w:t>
      </w:r>
      <w:r w:rsidR="001462BA" w:rsidRPr="001462BA">
        <w:rPr>
          <w:rFonts w:asciiTheme="minorHAnsi" w:eastAsia="Times New Roman" w:hAnsiTheme="minorHAnsi" w:cstheme="minorHAnsi"/>
          <w:sz w:val="24"/>
          <w:szCs w:val="24"/>
          <w:lang w:eastAsia="el-GR"/>
        </w:rPr>
        <w:t xml:space="preserve">é, </w:t>
      </w:r>
      <w:r w:rsidR="001462BA" w:rsidRPr="001462BA">
        <w:rPr>
          <w:rFonts w:asciiTheme="minorHAnsi" w:eastAsia="Times New Roman" w:hAnsiTheme="minorHAnsi" w:cstheme="minorHAnsi"/>
          <w:sz w:val="24"/>
          <w:szCs w:val="24"/>
          <w:lang w:val="en-US" w:eastAsia="el-GR"/>
        </w:rPr>
        <w:t>Azpiroz</w:t>
      </w:r>
      <w:r w:rsidR="001462BA" w:rsidRPr="001462BA">
        <w:rPr>
          <w:rFonts w:asciiTheme="minorHAnsi" w:eastAsia="Times New Roman" w:hAnsiTheme="minorHAnsi" w:cstheme="minorHAnsi"/>
          <w:sz w:val="24"/>
          <w:szCs w:val="24"/>
          <w:lang w:eastAsia="el-GR"/>
        </w:rPr>
        <w:t xml:space="preserve">, &amp; </w:t>
      </w:r>
      <w:r w:rsidR="001462BA" w:rsidRPr="001462BA">
        <w:rPr>
          <w:rFonts w:asciiTheme="minorHAnsi" w:eastAsia="Times New Roman" w:hAnsiTheme="minorHAnsi" w:cstheme="minorHAnsi"/>
          <w:sz w:val="24"/>
          <w:szCs w:val="24"/>
          <w:lang w:val="en-US" w:eastAsia="el-GR"/>
        </w:rPr>
        <w:t>De</w:t>
      </w:r>
      <w:r w:rsidR="001462BA" w:rsidRPr="001462BA">
        <w:rPr>
          <w:rFonts w:asciiTheme="minorHAnsi" w:eastAsia="Times New Roman" w:hAnsiTheme="minorHAnsi" w:cstheme="minorHAnsi"/>
          <w:sz w:val="24"/>
          <w:szCs w:val="24"/>
          <w:lang w:eastAsia="el-GR"/>
        </w:rPr>
        <w:t xml:space="preserve"> </w:t>
      </w:r>
      <w:r w:rsidR="001462BA" w:rsidRPr="001462BA">
        <w:rPr>
          <w:rFonts w:asciiTheme="minorHAnsi" w:eastAsia="Times New Roman" w:hAnsiTheme="minorHAnsi" w:cstheme="minorHAnsi"/>
          <w:sz w:val="24"/>
          <w:szCs w:val="24"/>
          <w:lang w:val="en-US" w:eastAsia="el-GR"/>
        </w:rPr>
        <w:t>Bortoli</w:t>
      </w:r>
      <w:r w:rsidR="001462BA" w:rsidRPr="001462BA">
        <w:rPr>
          <w:color w:val="000000"/>
          <w:sz w:val="24"/>
          <w:szCs w:val="24"/>
          <w:shd w:val="clear" w:color="auto" w:fill="FFFFFF"/>
        </w:rPr>
        <w:t xml:space="preserve"> </w:t>
      </w:r>
      <w:r w:rsidRPr="001462BA">
        <w:rPr>
          <w:color w:val="000000"/>
          <w:sz w:val="24"/>
          <w:szCs w:val="24"/>
          <w:shd w:val="clear" w:color="auto" w:fill="FFFFFF"/>
        </w:rPr>
        <w:t>(2009</w:t>
      </w:r>
      <w:r w:rsidR="00A52A49">
        <w:rPr>
          <w:color w:val="000000"/>
          <w:sz w:val="24"/>
          <w:szCs w:val="24"/>
          <w:shd w:val="clear" w:color="auto" w:fill="FFFFFF"/>
        </w:rPr>
        <w:t>) ανέφερα</w:t>
      </w:r>
      <w:r w:rsidR="00B5378E" w:rsidRPr="001462BA">
        <w:rPr>
          <w:color w:val="000000"/>
          <w:sz w:val="24"/>
          <w:szCs w:val="24"/>
          <w:shd w:val="clear" w:color="auto" w:fill="FFFFFF"/>
        </w:rPr>
        <w:t>ν</w:t>
      </w:r>
      <w:r w:rsidR="00AD5F6D" w:rsidRPr="005A464E">
        <w:rPr>
          <w:color w:val="000000"/>
          <w:sz w:val="24"/>
          <w:szCs w:val="24"/>
          <w:shd w:val="clear" w:color="auto" w:fill="FFFFFF"/>
        </w:rPr>
        <w:t xml:space="preserve"> ότι η κατάθλιψη και το άγχος είναι </w:t>
      </w:r>
      <w:r w:rsidR="00BA566F">
        <w:rPr>
          <w:color w:val="000000"/>
          <w:sz w:val="24"/>
          <w:szCs w:val="24"/>
          <w:shd w:val="clear" w:color="auto" w:fill="FFFFFF"/>
        </w:rPr>
        <w:t xml:space="preserve">δύο </w:t>
      </w:r>
      <w:r w:rsidR="00AD5F6D" w:rsidRPr="005A464E">
        <w:rPr>
          <w:color w:val="000000"/>
          <w:sz w:val="24"/>
          <w:szCs w:val="24"/>
          <w:shd w:val="clear" w:color="auto" w:fill="FFFFFF"/>
        </w:rPr>
        <w:t>από τις</w:t>
      </w:r>
      <w:r w:rsidR="00DC4ADC" w:rsidRPr="005A464E">
        <w:rPr>
          <w:color w:val="000000"/>
          <w:sz w:val="24"/>
          <w:szCs w:val="24"/>
          <w:shd w:val="clear" w:color="auto" w:fill="FFFFFF"/>
        </w:rPr>
        <w:t xml:space="preserve"> πιο συχνές ψυχολογικές διαταραχές</w:t>
      </w:r>
      <w:r w:rsidR="00AD5F6D" w:rsidRPr="005A464E">
        <w:rPr>
          <w:color w:val="000000"/>
          <w:sz w:val="24"/>
          <w:szCs w:val="24"/>
          <w:shd w:val="clear" w:color="auto" w:fill="FFFFFF"/>
        </w:rPr>
        <w:t xml:space="preserve"> σε ασθενείς μ</w:t>
      </w:r>
      <w:r w:rsidR="00EA46D4">
        <w:rPr>
          <w:color w:val="000000"/>
          <w:sz w:val="24"/>
          <w:szCs w:val="24"/>
          <w:shd w:val="clear" w:color="auto" w:fill="FFFFFF"/>
        </w:rPr>
        <w:t>ε νεφρική νόσο, οι οποίες αυξάνουν</w:t>
      </w:r>
      <w:r w:rsidR="00AD5F6D" w:rsidRPr="005A464E">
        <w:rPr>
          <w:color w:val="000000"/>
          <w:sz w:val="24"/>
          <w:szCs w:val="24"/>
          <w:shd w:val="clear" w:color="auto" w:fill="FFFFFF"/>
        </w:rPr>
        <w:t xml:space="preserve"> τη μη συμμόρφωση σ</w:t>
      </w:r>
      <w:r w:rsidRPr="005A464E">
        <w:rPr>
          <w:color w:val="000000"/>
          <w:sz w:val="24"/>
          <w:szCs w:val="24"/>
          <w:shd w:val="clear" w:color="auto" w:fill="FFFFFF"/>
        </w:rPr>
        <w:t>τους διατροφικούς περιορισμούς</w:t>
      </w:r>
      <w:r w:rsidR="00313E02" w:rsidRPr="005A464E">
        <w:rPr>
          <w:color w:val="000000"/>
          <w:sz w:val="24"/>
          <w:szCs w:val="24"/>
          <w:shd w:val="clear" w:color="auto" w:fill="FFFFFF"/>
        </w:rPr>
        <w:t>.</w:t>
      </w:r>
    </w:p>
    <w:p w:rsidR="00AD5F6D" w:rsidRPr="005A464E" w:rsidRDefault="00AD5F6D" w:rsidP="005A464E">
      <w:pPr>
        <w:spacing w:line="360" w:lineRule="auto"/>
        <w:jc w:val="both"/>
        <w:rPr>
          <w:rFonts w:eastAsia="Times New Roman"/>
          <w:sz w:val="24"/>
          <w:szCs w:val="24"/>
          <w:lang w:eastAsia="el-GR"/>
        </w:rPr>
      </w:pPr>
      <w:r w:rsidRPr="005A464E">
        <w:rPr>
          <w:rFonts w:eastAsia="Times New Roman"/>
          <w:sz w:val="24"/>
          <w:szCs w:val="24"/>
          <w:lang w:eastAsia="el-GR"/>
        </w:rPr>
        <w:t>Οι</w:t>
      </w:r>
      <w:r w:rsidR="0078495A">
        <w:rPr>
          <w:rFonts w:eastAsia="Times New Roman"/>
          <w:sz w:val="24"/>
          <w:szCs w:val="24"/>
          <w:lang w:eastAsia="el-GR"/>
        </w:rPr>
        <w:t xml:space="preserve"> </w:t>
      </w:r>
      <w:r w:rsidRPr="005A464E">
        <w:rPr>
          <w:rFonts w:eastAsia="Times New Roman"/>
          <w:sz w:val="24"/>
          <w:szCs w:val="24"/>
          <w:lang w:eastAsia="el-GR"/>
        </w:rPr>
        <w:t xml:space="preserve">Drayer </w:t>
      </w:r>
      <w:r w:rsidR="00566CAA">
        <w:rPr>
          <w:rFonts w:eastAsia="Times New Roman"/>
          <w:sz w:val="24"/>
          <w:szCs w:val="24"/>
          <w:lang w:eastAsia="el-GR"/>
        </w:rPr>
        <w:t>et al</w:t>
      </w:r>
      <w:r w:rsidR="00CE76BE">
        <w:rPr>
          <w:rFonts w:eastAsia="Times New Roman"/>
          <w:sz w:val="24"/>
          <w:szCs w:val="24"/>
          <w:lang w:eastAsia="el-GR"/>
        </w:rPr>
        <w:t>.</w:t>
      </w:r>
      <w:r w:rsidRPr="005A464E">
        <w:rPr>
          <w:rFonts w:eastAsia="Times New Roman"/>
          <w:sz w:val="24"/>
          <w:szCs w:val="24"/>
          <w:lang w:eastAsia="el-GR"/>
        </w:rPr>
        <w:t xml:space="preserve"> (2006)</w:t>
      </w:r>
      <w:r w:rsidR="0078495A">
        <w:rPr>
          <w:rFonts w:eastAsia="Times New Roman"/>
          <w:sz w:val="24"/>
          <w:szCs w:val="24"/>
          <w:lang w:eastAsia="el-GR"/>
        </w:rPr>
        <w:t xml:space="preserve"> </w:t>
      </w:r>
      <w:r w:rsidRPr="005A464E">
        <w:rPr>
          <w:rFonts w:eastAsia="Times New Roman"/>
          <w:sz w:val="24"/>
          <w:szCs w:val="24"/>
          <w:lang w:eastAsia="el-GR"/>
        </w:rPr>
        <w:t>διαπίστωσαν ότι οι</w:t>
      </w:r>
      <w:r w:rsidR="00A52A49">
        <w:rPr>
          <w:rFonts w:eastAsia="Times New Roman"/>
          <w:sz w:val="24"/>
          <w:szCs w:val="24"/>
          <w:lang w:eastAsia="el-GR"/>
        </w:rPr>
        <w:t xml:space="preserve"> ασθενείς με ΧΝΝ και κατάθλιψη είχα</w:t>
      </w:r>
      <w:r w:rsidRPr="005A464E">
        <w:rPr>
          <w:rFonts w:eastAsia="Times New Roman"/>
          <w:sz w:val="24"/>
          <w:szCs w:val="24"/>
          <w:lang w:eastAsia="el-GR"/>
        </w:rPr>
        <w:t>ν τεραπλάσιο ποσοστό</w:t>
      </w:r>
      <w:r w:rsidR="0078495A">
        <w:rPr>
          <w:rFonts w:eastAsia="Times New Roman"/>
          <w:sz w:val="24"/>
          <w:szCs w:val="24"/>
          <w:lang w:eastAsia="el-GR"/>
        </w:rPr>
        <w:t xml:space="preserve"> </w:t>
      </w:r>
      <w:r w:rsidRPr="005A464E">
        <w:rPr>
          <w:rFonts w:eastAsia="Times New Roman"/>
          <w:sz w:val="24"/>
          <w:szCs w:val="24"/>
          <w:lang w:eastAsia="el-GR"/>
        </w:rPr>
        <w:t>θνησιμότητας</w:t>
      </w:r>
      <w:r w:rsidR="0078495A">
        <w:rPr>
          <w:rFonts w:eastAsia="Times New Roman"/>
          <w:sz w:val="24"/>
          <w:szCs w:val="24"/>
          <w:lang w:eastAsia="el-GR"/>
        </w:rPr>
        <w:t xml:space="preserve"> </w:t>
      </w:r>
      <w:r w:rsidRPr="005A464E">
        <w:rPr>
          <w:rFonts w:eastAsia="Times New Roman"/>
          <w:sz w:val="24"/>
          <w:szCs w:val="24"/>
          <w:lang w:eastAsia="el-GR"/>
        </w:rPr>
        <w:t>σε σχέση με τ</w:t>
      </w:r>
      <w:r w:rsidR="00A52A49">
        <w:rPr>
          <w:rFonts w:eastAsia="Times New Roman"/>
          <w:sz w:val="24"/>
          <w:szCs w:val="24"/>
          <w:lang w:eastAsia="el-GR"/>
        </w:rPr>
        <w:t>ους ασθενείς με ΧΝΝ που δεν είχα</w:t>
      </w:r>
      <w:r w:rsidRPr="005A464E">
        <w:rPr>
          <w:rFonts w:eastAsia="Times New Roman"/>
          <w:sz w:val="24"/>
          <w:szCs w:val="24"/>
          <w:lang w:eastAsia="el-GR"/>
        </w:rPr>
        <w:t>ν κατάθλιψη.</w:t>
      </w:r>
    </w:p>
    <w:p w:rsidR="00AD5F6D" w:rsidRPr="005A464E" w:rsidRDefault="002F68C8" w:rsidP="005A464E">
      <w:pPr>
        <w:spacing w:line="360" w:lineRule="auto"/>
        <w:jc w:val="both"/>
        <w:rPr>
          <w:rFonts w:eastAsia="Times New Roman"/>
          <w:sz w:val="24"/>
          <w:szCs w:val="24"/>
          <w:lang w:eastAsia="el-GR"/>
        </w:rPr>
      </w:pPr>
      <w:r w:rsidRPr="006643A6">
        <w:rPr>
          <w:rFonts w:eastAsia="Times New Roman"/>
          <w:sz w:val="24"/>
          <w:szCs w:val="24"/>
          <w:lang w:eastAsia="el-GR"/>
        </w:rPr>
        <w:t xml:space="preserve">Οι Lopes </w:t>
      </w:r>
      <w:r w:rsidRPr="006643A6">
        <w:rPr>
          <w:rFonts w:eastAsia="Times New Roman"/>
          <w:sz w:val="24"/>
          <w:szCs w:val="24"/>
          <w:lang w:val="en-US" w:eastAsia="el-GR"/>
        </w:rPr>
        <w:t>et</w:t>
      </w:r>
      <w:r w:rsidRPr="006643A6">
        <w:rPr>
          <w:rFonts w:eastAsia="Times New Roman"/>
          <w:sz w:val="24"/>
          <w:szCs w:val="24"/>
          <w:lang w:eastAsia="el-GR"/>
        </w:rPr>
        <w:t xml:space="preserve"> </w:t>
      </w:r>
      <w:r w:rsidRPr="006643A6">
        <w:rPr>
          <w:rFonts w:eastAsia="Times New Roman"/>
          <w:sz w:val="24"/>
          <w:szCs w:val="24"/>
          <w:lang w:val="en-US" w:eastAsia="el-GR"/>
        </w:rPr>
        <w:t>al</w:t>
      </w:r>
      <w:r w:rsidRPr="006643A6">
        <w:rPr>
          <w:rFonts w:eastAsia="Times New Roman"/>
          <w:sz w:val="24"/>
          <w:szCs w:val="24"/>
          <w:lang w:eastAsia="el-GR"/>
        </w:rPr>
        <w:t>.</w:t>
      </w:r>
      <w:r w:rsidR="00AD5F6D" w:rsidRPr="006643A6">
        <w:rPr>
          <w:rFonts w:eastAsia="Times New Roman"/>
          <w:sz w:val="24"/>
          <w:szCs w:val="24"/>
          <w:lang w:eastAsia="el-GR"/>
        </w:rPr>
        <w:t xml:space="preserve"> (2002) διαπίστωσαν ένα υψηλότερο ποσ</w:t>
      </w:r>
      <w:r w:rsidR="00A52A49" w:rsidRPr="006643A6">
        <w:rPr>
          <w:rFonts w:eastAsia="Times New Roman"/>
          <w:sz w:val="24"/>
          <w:szCs w:val="24"/>
          <w:lang w:eastAsia="el-GR"/>
        </w:rPr>
        <w:t xml:space="preserve">οστό βράχυνσης </w:t>
      </w:r>
      <w:r w:rsidR="006643A6" w:rsidRPr="006643A6">
        <w:rPr>
          <w:rFonts w:eastAsia="Times New Roman"/>
          <w:sz w:val="24"/>
          <w:szCs w:val="24"/>
          <w:lang w:eastAsia="el-GR"/>
        </w:rPr>
        <w:t>της διάρκειας</w:t>
      </w:r>
      <w:r w:rsidR="0078495A" w:rsidRPr="006643A6">
        <w:rPr>
          <w:rFonts w:eastAsia="Times New Roman"/>
          <w:sz w:val="24"/>
          <w:szCs w:val="24"/>
          <w:lang w:eastAsia="el-GR"/>
        </w:rPr>
        <w:t xml:space="preserve"> </w:t>
      </w:r>
      <w:r w:rsidR="009539AC" w:rsidRPr="006643A6">
        <w:rPr>
          <w:rFonts w:eastAsia="Times New Roman"/>
          <w:sz w:val="24"/>
          <w:szCs w:val="24"/>
          <w:lang w:eastAsia="el-GR"/>
        </w:rPr>
        <w:t>της συνεδρίας</w:t>
      </w:r>
      <w:r w:rsidR="00AE19D0" w:rsidRPr="006643A6">
        <w:rPr>
          <w:rFonts w:eastAsia="Times New Roman"/>
          <w:sz w:val="24"/>
          <w:szCs w:val="24"/>
          <w:lang w:eastAsia="el-GR"/>
        </w:rPr>
        <w:t xml:space="preserve"> </w:t>
      </w:r>
      <w:r w:rsidR="00AD5F6D" w:rsidRPr="006643A6">
        <w:rPr>
          <w:rFonts w:eastAsia="Times New Roman"/>
          <w:sz w:val="24"/>
          <w:szCs w:val="24"/>
          <w:lang w:eastAsia="el-GR"/>
        </w:rPr>
        <w:t>σε ασθενείς που ανέ</w:t>
      </w:r>
      <w:r w:rsidR="00AE19D0" w:rsidRPr="006643A6">
        <w:rPr>
          <w:rFonts w:eastAsia="Times New Roman"/>
          <w:sz w:val="24"/>
          <w:szCs w:val="24"/>
          <w:lang w:eastAsia="el-GR"/>
        </w:rPr>
        <w:t>πτυξαν κατάθλιψη σε σύγκριση με</w:t>
      </w:r>
      <w:r w:rsidR="00AD5F6D" w:rsidRPr="006643A6">
        <w:rPr>
          <w:rFonts w:eastAsia="Times New Roman"/>
          <w:sz w:val="24"/>
          <w:szCs w:val="24"/>
          <w:lang w:eastAsia="el-GR"/>
        </w:rPr>
        <w:t xml:space="preserve"> εκεί</w:t>
      </w:r>
      <w:r w:rsidR="0008565B" w:rsidRPr="006643A6">
        <w:rPr>
          <w:rFonts w:eastAsia="Times New Roman"/>
          <w:sz w:val="24"/>
          <w:szCs w:val="24"/>
          <w:lang w:eastAsia="el-GR"/>
        </w:rPr>
        <w:t>νο</w:t>
      </w:r>
      <w:r w:rsidR="00A52A49" w:rsidRPr="006643A6">
        <w:rPr>
          <w:rFonts w:eastAsia="Times New Roman"/>
          <w:sz w:val="24"/>
          <w:szCs w:val="24"/>
          <w:lang w:eastAsia="el-GR"/>
        </w:rPr>
        <w:t>υς τους ασθενείς που δεν εμφάνισ</w:t>
      </w:r>
      <w:r w:rsidR="0008565B" w:rsidRPr="006643A6">
        <w:rPr>
          <w:rFonts w:eastAsia="Times New Roman"/>
          <w:sz w:val="24"/>
          <w:szCs w:val="24"/>
          <w:lang w:eastAsia="el-GR"/>
        </w:rPr>
        <w:t>αν</w:t>
      </w:r>
      <w:r w:rsidR="00AD5F6D" w:rsidRPr="006643A6">
        <w:rPr>
          <w:rFonts w:eastAsia="Times New Roman"/>
          <w:sz w:val="24"/>
          <w:szCs w:val="24"/>
          <w:lang w:eastAsia="el-GR"/>
        </w:rPr>
        <w:t xml:space="preserve"> κατά</w:t>
      </w:r>
      <w:r w:rsidR="0008565B" w:rsidRPr="006643A6">
        <w:rPr>
          <w:rFonts w:eastAsia="Times New Roman"/>
          <w:sz w:val="24"/>
          <w:szCs w:val="24"/>
          <w:lang w:eastAsia="el-GR"/>
        </w:rPr>
        <w:t xml:space="preserve">θλιψη αλλά και </w:t>
      </w:r>
      <w:r w:rsidR="00AD5F6D" w:rsidRPr="006643A6">
        <w:rPr>
          <w:rFonts w:eastAsia="Times New Roman"/>
          <w:sz w:val="24"/>
          <w:szCs w:val="24"/>
          <w:lang w:eastAsia="el-GR"/>
        </w:rPr>
        <w:t>υψηλότερο κίνδυνο θνησιμό</w:t>
      </w:r>
      <w:r w:rsidR="00AE19D0" w:rsidRPr="006643A6">
        <w:rPr>
          <w:rFonts w:eastAsia="Times New Roman"/>
          <w:sz w:val="24"/>
          <w:szCs w:val="24"/>
          <w:lang w:eastAsia="el-GR"/>
        </w:rPr>
        <w:t>τητας και νοσηλείας που σχετίζε</w:t>
      </w:r>
      <w:r w:rsidR="00AD5F6D" w:rsidRPr="006643A6">
        <w:rPr>
          <w:rFonts w:eastAsia="Times New Roman"/>
          <w:sz w:val="24"/>
          <w:szCs w:val="24"/>
          <w:lang w:eastAsia="el-GR"/>
        </w:rPr>
        <w:t>ται με την κατάθλιψη.</w:t>
      </w:r>
    </w:p>
    <w:p w:rsidR="00AD5F6D" w:rsidRPr="005A464E" w:rsidRDefault="00AD5F6D" w:rsidP="005A464E">
      <w:pPr>
        <w:spacing w:line="360" w:lineRule="auto"/>
        <w:jc w:val="both"/>
        <w:rPr>
          <w:rFonts w:eastAsia="Times New Roman"/>
          <w:sz w:val="24"/>
          <w:szCs w:val="24"/>
          <w:lang w:eastAsia="el-GR"/>
        </w:rPr>
      </w:pPr>
      <w:r w:rsidRPr="005A464E">
        <w:rPr>
          <w:rFonts w:eastAsia="Times New Roman"/>
          <w:sz w:val="24"/>
          <w:szCs w:val="24"/>
          <w:lang w:eastAsia="el-GR"/>
        </w:rPr>
        <w:t xml:space="preserve">Οι </w:t>
      </w:r>
      <w:r w:rsidRPr="005A464E">
        <w:rPr>
          <w:rFonts w:eastAsia="Times New Roman"/>
          <w:sz w:val="24"/>
          <w:szCs w:val="24"/>
          <w:lang w:val="en-US" w:eastAsia="el-GR"/>
        </w:rPr>
        <w:t>Einwohner</w:t>
      </w:r>
      <w:r w:rsidR="00197BA9">
        <w:rPr>
          <w:rFonts w:eastAsia="Times New Roman"/>
          <w:sz w:val="24"/>
          <w:szCs w:val="24"/>
          <w:lang w:eastAsia="el-GR"/>
        </w:rPr>
        <w:t>,</w:t>
      </w:r>
      <w:r w:rsidRPr="005A464E">
        <w:rPr>
          <w:rFonts w:eastAsia="Times New Roman"/>
          <w:sz w:val="24"/>
          <w:szCs w:val="24"/>
          <w:lang w:eastAsia="el-GR"/>
        </w:rPr>
        <w:t xml:space="preserve"> </w:t>
      </w:r>
      <w:r w:rsidR="00197BA9" w:rsidRPr="00197BA9">
        <w:rPr>
          <w:rFonts w:asciiTheme="minorHAnsi" w:eastAsia="Times New Roman" w:hAnsiTheme="minorHAnsi" w:cstheme="minorHAnsi"/>
          <w:sz w:val="24"/>
          <w:szCs w:val="24"/>
          <w:lang w:val="en-US" w:eastAsia="el-GR"/>
        </w:rPr>
        <w:t>Bernardini</w:t>
      </w:r>
      <w:r w:rsidR="00197BA9" w:rsidRPr="00197BA9">
        <w:rPr>
          <w:rFonts w:asciiTheme="minorHAnsi" w:eastAsia="Times New Roman" w:hAnsiTheme="minorHAnsi" w:cstheme="minorHAnsi"/>
          <w:sz w:val="24"/>
          <w:szCs w:val="24"/>
          <w:lang w:eastAsia="el-GR"/>
        </w:rPr>
        <w:t xml:space="preserve">, </w:t>
      </w:r>
      <w:r w:rsidR="00197BA9" w:rsidRPr="00197BA9">
        <w:rPr>
          <w:rFonts w:asciiTheme="minorHAnsi" w:eastAsia="Times New Roman" w:hAnsiTheme="minorHAnsi" w:cstheme="minorHAnsi"/>
          <w:sz w:val="24"/>
          <w:szCs w:val="24"/>
          <w:lang w:val="en-US" w:eastAsia="el-GR"/>
        </w:rPr>
        <w:t>Fried</w:t>
      </w:r>
      <w:r w:rsidR="00197BA9" w:rsidRPr="00197BA9">
        <w:rPr>
          <w:rFonts w:asciiTheme="minorHAnsi" w:eastAsia="Times New Roman" w:hAnsiTheme="minorHAnsi" w:cstheme="minorHAnsi"/>
          <w:sz w:val="24"/>
          <w:szCs w:val="24"/>
          <w:lang w:eastAsia="el-GR"/>
        </w:rPr>
        <w:t xml:space="preserve">, </w:t>
      </w:r>
      <w:r w:rsidR="00A52A49">
        <w:rPr>
          <w:rFonts w:asciiTheme="minorHAnsi" w:eastAsia="Times New Roman" w:hAnsiTheme="minorHAnsi" w:cstheme="minorHAnsi"/>
          <w:sz w:val="24"/>
          <w:szCs w:val="24"/>
          <w:lang w:eastAsia="el-GR"/>
        </w:rPr>
        <w:t>και</w:t>
      </w:r>
      <w:r w:rsidR="00197BA9" w:rsidRPr="00197BA9">
        <w:rPr>
          <w:rFonts w:asciiTheme="minorHAnsi" w:eastAsia="Times New Roman" w:hAnsiTheme="minorHAnsi" w:cstheme="minorHAnsi"/>
          <w:sz w:val="24"/>
          <w:szCs w:val="24"/>
          <w:lang w:eastAsia="el-GR"/>
        </w:rPr>
        <w:t xml:space="preserve"> </w:t>
      </w:r>
      <w:r w:rsidR="00197BA9" w:rsidRPr="00197BA9">
        <w:rPr>
          <w:rFonts w:asciiTheme="minorHAnsi" w:eastAsia="Times New Roman" w:hAnsiTheme="minorHAnsi" w:cstheme="minorHAnsi"/>
          <w:sz w:val="24"/>
          <w:szCs w:val="24"/>
          <w:lang w:val="en-US" w:eastAsia="el-GR"/>
        </w:rPr>
        <w:t>Piraino</w:t>
      </w:r>
      <w:r w:rsidR="00197BA9" w:rsidRPr="005A464E">
        <w:rPr>
          <w:rFonts w:eastAsia="Times New Roman"/>
          <w:sz w:val="24"/>
          <w:szCs w:val="24"/>
          <w:lang w:eastAsia="el-GR"/>
        </w:rPr>
        <w:t xml:space="preserve"> </w:t>
      </w:r>
      <w:r w:rsidRPr="005A464E">
        <w:rPr>
          <w:rFonts w:eastAsia="Times New Roman"/>
          <w:sz w:val="24"/>
          <w:szCs w:val="24"/>
          <w:lang w:eastAsia="el-GR"/>
        </w:rPr>
        <w:t>(2004) έδειξαν παρόμοια αυξημένο κίνδυνο νοσηρότητας και θνησιμότητας σε ασθενείς με κατάθλιψη που υποβάλλονταν σε πε</w:t>
      </w:r>
      <w:r w:rsidR="00AE19D0">
        <w:rPr>
          <w:rFonts w:eastAsia="Times New Roman"/>
          <w:sz w:val="24"/>
          <w:szCs w:val="24"/>
          <w:lang w:eastAsia="el-GR"/>
        </w:rPr>
        <w:t>ριτοναϊκή κάθαρση ενώ οι</w:t>
      </w:r>
      <w:r w:rsidR="00C81D8C">
        <w:rPr>
          <w:rFonts w:eastAsia="Times New Roman"/>
          <w:sz w:val="24"/>
          <w:szCs w:val="24"/>
          <w:lang w:eastAsia="el-GR"/>
        </w:rPr>
        <w:t xml:space="preserve"> </w:t>
      </w:r>
      <w:r w:rsidR="00C81D8C" w:rsidRPr="00C81D8C">
        <w:rPr>
          <w:rFonts w:eastAsia="Times New Roman"/>
          <w:sz w:val="24"/>
          <w:szCs w:val="24"/>
          <w:lang w:eastAsia="el-GR"/>
        </w:rPr>
        <w:t>Cukor</w:t>
      </w:r>
      <w:r w:rsidR="00C81D8C">
        <w:rPr>
          <w:rFonts w:eastAsia="Times New Roman"/>
          <w:sz w:val="24"/>
          <w:szCs w:val="24"/>
          <w:lang w:eastAsia="el-GR"/>
        </w:rPr>
        <w:t xml:space="preserve"> </w:t>
      </w:r>
      <w:r w:rsidR="00C81D8C">
        <w:rPr>
          <w:rFonts w:eastAsia="Times New Roman"/>
          <w:sz w:val="24"/>
          <w:szCs w:val="24"/>
          <w:lang w:val="en-US" w:eastAsia="el-GR"/>
        </w:rPr>
        <w:t>et</w:t>
      </w:r>
      <w:r w:rsidR="00C81D8C" w:rsidRPr="00C81D8C">
        <w:rPr>
          <w:rFonts w:eastAsia="Times New Roman"/>
          <w:sz w:val="24"/>
          <w:szCs w:val="24"/>
          <w:lang w:eastAsia="el-GR"/>
        </w:rPr>
        <w:t xml:space="preserve"> </w:t>
      </w:r>
      <w:r w:rsidR="00C81D8C">
        <w:rPr>
          <w:rFonts w:eastAsia="Times New Roman"/>
          <w:sz w:val="24"/>
          <w:szCs w:val="24"/>
          <w:lang w:val="en-US" w:eastAsia="el-GR"/>
        </w:rPr>
        <w:t>al</w:t>
      </w:r>
      <w:r w:rsidR="00C81D8C" w:rsidRPr="00C81D8C">
        <w:rPr>
          <w:rFonts w:eastAsia="Times New Roman"/>
          <w:sz w:val="24"/>
          <w:szCs w:val="24"/>
          <w:lang w:eastAsia="el-GR"/>
        </w:rPr>
        <w:t>.</w:t>
      </w:r>
      <w:r w:rsidRPr="00C81D8C">
        <w:rPr>
          <w:rFonts w:eastAsia="Times New Roman"/>
          <w:sz w:val="24"/>
          <w:szCs w:val="24"/>
          <w:lang w:eastAsia="el-GR"/>
        </w:rPr>
        <w:t xml:space="preserve"> (</w:t>
      </w:r>
      <w:r w:rsidRPr="005A464E">
        <w:rPr>
          <w:rFonts w:eastAsia="Times New Roman"/>
          <w:sz w:val="24"/>
          <w:szCs w:val="24"/>
          <w:lang w:eastAsia="el-GR"/>
        </w:rPr>
        <w:t>2009)</w:t>
      </w:r>
      <w:r w:rsidR="009539AC" w:rsidRPr="005A464E">
        <w:rPr>
          <w:rFonts w:eastAsia="Times New Roman"/>
          <w:sz w:val="24"/>
          <w:szCs w:val="24"/>
          <w:lang w:eastAsia="el-GR"/>
        </w:rPr>
        <w:t xml:space="preserve"> </w:t>
      </w:r>
      <w:r w:rsidRPr="005A464E">
        <w:rPr>
          <w:rFonts w:eastAsia="Times New Roman"/>
          <w:sz w:val="24"/>
          <w:szCs w:val="24"/>
          <w:lang w:eastAsia="el-GR"/>
        </w:rPr>
        <w:t>ανέφεραν την κατάθλιψη ως ανεξάρτητο παράγοντα μη συμμόρφωση</w:t>
      </w:r>
      <w:r w:rsidR="00AE19D0">
        <w:rPr>
          <w:rFonts w:eastAsia="Times New Roman"/>
          <w:sz w:val="24"/>
          <w:szCs w:val="24"/>
          <w:lang w:eastAsia="el-GR"/>
        </w:rPr>
        <w:t>ς</w:t>
      </w:r>
      <w:r w:rsidRPr="005A464E">
        <w:rPr>
          <w:rFonts w:eastAsia="Times New Roman"/>
          <w:sz w:val="24"/>
          <w:szCs w:val="24"/>
          <w:lang w:eastAsia="el-GR"/>
        </w:rPr>
        <w:t xml:space="preserve"> σε ασθενείς που υποβάλλονται σε αιμοκάθαρση</w:t>
      </w:r>
      <w:r w:rsidR="004D0DF2" w:rsidRPr="005A464E">
        <w:rPr>
          <w:rFonts w:eastAsia="Times New Roman"/>
          <w:sz w:val="24"/>
          <w:szCs w:val="24"/>
          <w:lang w:eastAsia="el-GR"/>
        </w:rPr>
        <w:t>.</w:t>
      </w:r>
    </w:p>
    <w:p w:rsidR="00AD5F6D" w:rsidRPr="005A464E" w:rsidRDefault="000E325B" w:rsidP="005A464E">
      <w:pPr>
        <w:spacing w:line="360" w:lineRule="auto"/>
        <w:jc w:val="both"/>
        <w:rPr>
          <w:rFonts w:eastAsia="Times New Roman"/>
          <w:sz w:val="24"/>
          <w:szCs w:val="24"/>
          <w:lang w:eastAsia="el-GR"/>
        </w:rPr>
      </w:pPr>
      <w:r w:rsidRPr="005A464E">
        <w:rPr>
          <w:rFonts w:eastAsia="Times New Roman"/>
          <w:sz w:val="24"/>
          <w:szCs w:val="24"/>
          <w:lang w:eastAsia="el-GR"/>
        </w:rPr>
        <w:t>Α</w:t>
      </w:r>
      <w:r w:rsidR="00AD5F6D" w:rsidRPr="005A464E">
        <w:rPr>
          <w:rFonts w:eastAsia="Times New Roman"/>
          <w:sz w:val="24"/>
          <w:szCs w:val="24"/>
          <w:lang w:eastAsia="el-GR"/>
        </w:rPr>
        <w:t>ντιφατικά</w:t>
      </w:r>
      <w:r w:rsidRPr="005A464E">
        <w:rPr>
          <w:rFonts w:eastAsia="Times New Roman"/>
          <w:sz w:val="24"/>
          <w:szCs w:val="24"/>
          <w:lang w:eastAsia="el-GR"/>
        </w:rPr>
        <w:t xml:space="preserve"> είναι τα</w:t>
      </w:r>
      <w:r w:rsidR="00AD5F6D" w:rsidRPr="005A464E">
        <w:rPr>
          <w:rFonts w:eastAsia="Times New Roman"/>
          <w:sz w:val="24"/>
          <w:szCs w:val="24"/>
          <w:lang w:eastAsia="el-GR"/>
        </w:rPr>
        <w:t xml:space="preserve"> ευρήματα για τη σχέση μεταξύ καταθλιπτικών συμπτωμάτων και συμμόρφωσης στη</w:t>
      </w:r>
      <w:r w:rsidRPr="005A464E">
        <w:rPr>
          <w:rFonts w:eastAsia="Times New Roman"/>
          <w:sz w:val="24"/>
          <w:szCs w:val="24"/>
          <w:lang w:eastAsia="el-GR"/>
        </w:rPr>
        <w:t xml:space="preserve"> δίαιτα κα</w:t>
      </w:r>
      <w:r w:rsidR="00AD5F6D" w:rsidRPr="005A464E">
        <w:rPr>
          <w:rFonts w:eastAsia="Times New Roman"/>
          <w:sz w:val="24"/>
          <w:szCs w:val="24"/>
          <w:lang w:eastAsia="el-GR"/>
        </w:rPr>
        <w:t>ι</w:t>
      </w:r>
      <w:r w:rsidRPr="005A464E">
        <w:rPr>
          <w:rFonts w:eastAsia="Times New Roman"/>
          <w:sz w:val="24"/>
          <w:szCs w:val="24"/>
          <w:lang w:eastAsia="el-GR"/>
        </w:rPr>
        <w:t xml:space="preserve"> τον</w:t>
      </w:r>
      <w:r w:rsidR="00AD5F6D" w:rsidRPr="005A464E">
        <w:rPr>
          <w:rFonts w:eastAsia="Times New Roman"/>
          <w:sz w:val="24"/>
          <w:szCs w:val="24"/>
          <w:lang w:eastAsia="el-GR"/>
        </w:rPr>
        <w:t xml:space="preserve"> περιορισμό των υγρών σε ασθενείς με νεφρική νόσο τε</w:t>
      </w:r>
      <w:r w:rsidR="00CE76BE">
        <w:rPr>
          <w:rFonts w:eastAsia="Times New Roman"/>
          <w:sz w:val="24"/>
          <w:szCs w:val="24"/>
          <w:lang w:eastAsia="el-GR"/>
        </w:rPr>
        <w:t xml:space="preserve">λικού σταδίου. Οι Sensky, </w:t>
      </w:r>
      <w:r w:rsidR="00CE76BE" w:rsidRPr="00CE76BE">
        <w:rPr>
          <w:rFonts w:cstheme="minorHAnsi"/>
          <w:sz w:val="24"/>
          <w:szCs w:val="24"/>
          <w:shd w:val="clear" w:color="auto" w:fill="FFFFFF"/>
          <w:lang w:val="en-US"/>
        </w:rPr>
        <w:t>Leger</w:t>
      </w:r>
      <w:r w:rsidR="00A52A49">
        <w:rPr>
          <w:rFonts w:cstheme="minorHAnsi"/>
          <w:sz w:val="24"/>
          <w:szCs w:val="24"/>
          <w:shd w:val="clear" w:color="auto" w:fill="FFFFFF"/>
        </w:rPr>
        <w:t>, και</w:t>
      </w:r>
      <w:r w:rsidR="00CE76BE" w:rsidRPr="00CE76BE">
        <w:rPr>
          <w:rFonts w:cstheme="minorHAnsi"/>
          <w:sz w:val="24"/>
          <w:szCs w:val="24"/>
          <w:shd w:val="clear" w:color="auto" w:fill="FFFFFF"/>
        </w:rPr>
        <w:t xml:space="preserve"> </w:t>
      </w:r>
      <w:r w:rsidR="00CE76BE" w:rsidRPr="00CE76BE">
        <w:rPr>
          <w:rFonts w:cstheme="minorHAnsi"/>
          <w:sz w:val="24"/>
          <w:szCs w:val="24"/>
          <w:shd w:val="clear" w:color="auto" w:fill="FFFFFF"/>
          <w:lang w:val="en-US"/>
        </w:rPr>
        <w:t>Gilmour</w:t>
      </w:r>
      <w:r w:rsidR="00CE76BE" w:rsidRPr="00CE76BE">
        <w:rPr>
          <w:rFonts w:eastAsia="Times New Roman"/>
          <w:sz w:val="24"/>
          <w:szCs w:val="24"/>
          <w:lang w:eastAsia="el-GR"/>
        </w:rPr>
        <w:t xml:space="preserve"> </w:t>
      </w:r>
      <w:r w:rsidR="00AD5F6D" w:rsidRPr="00CE76BE">
        <w:rPr>
          <w:rFonts w:eastAsia="Times New Roman"/>
          <w:sz w:val="24"/>
          <w:szCs w:val="24"/>
          <w:lang w:eastAsia="el-GR"/>
        </w:rPr>
        <w:t>(1996</w:t>
      </w:r>
      <w:r w:rsidR="00AD5F6D" w:rsidRPr="005A464E">
        <w:rPr>
          <w:rFonts w:eastAsia="Times New Roman"/>
          <w:sz w:val="24"/>
          <w:szCs w:val="24"/>
          <w:lang w:eastAsia="el-GR"/>
        </w:rPr>
        <w:t xml:space="preserve">) διαπίστωσαν ότι οι νεότεροι ασθενείς με κατάθλιψη είχαν υψηλότερα επίπεδα καλίου στον ορό </w:t>
      </w:r>
      <w:r w:rsidR="00EA46D4" w:rsidRPr="00BE4BB4">
        <w:rPr>
          <w:rFonts w:eastAsia="Times New Roman"/>
          <w:sz w:val="24"/>
          <w:szCs w:val="24"/>
          <w:lang w:eastAsia="el-GR"/>
        </w:rPr>
        <w:t xml:space="preserve">πριν τη συνεδρία της </w:t>
      </w:r>
      <w:r w:rsidR="00AD5F6D" w:rsidRPr="00BE4BB4">
        <w:rPr>
          <w:rFonts w:eastAsia="Times New Roman"/>
          <w:sz w:val="24"/>
          <w:szCs w:val="24"/>
          <w:lang w:eastAsia="el-GR"/>
        </w:rPr>
        <w:t>αιμοκάθαρσης. Οι</w:t>
      </w:r>
      <w:r w:rsidR="00AD5F6D" w:rsidRPr="005A464E">
        <w:rPr>
          <w:rFonts w:eastAsia="Times New Roman"/>
          <w:sz w:val="24"/>
          <w:szCs w:val="24"/>
          <w:lang w:eastAsia="el-GR"/>
        </w:rPr>
        <w:t xml:space="preserve"> </w:t>
      </w:r>
      <w:r w:rsidR="00AD5F6D" w:rsidRPr="005A464E">
        <w:rPr>
          <w:rFonts w:eastAsia="Times New Roman"/>
          <w:sz w:val="24"/>
          <w:szCs w:val="24"/>
          <w:lang w:val="en-US" w:eastAsia="el-GR"/>
        </w:rPr>
        <w:t>Akman</w:t>
      </w:r>
      <w:r w:rsidR="00AD5F6D" w:rsidRPr="005A464E">
        <w:rPr>
          <w:rFonts w:eastAsia="Times New Roman"/>
          <w:sz w:val="24"/>
          <w:szCs w:val="24"/>
          <w:lang w:eastAsia="el-GR"/>
        </w:rPr>
        <w:t xml:space="preserve"> </w:t>
      </w:r>
      <w:r w:rsidR="00566CAA">
        <w:rPr>
          <w:rFonts w:eastAsia="Times New Roman"/>
          <w:sz w:val="24"/>
          <w:szCs w:val="24"/>
          <w:lang w:eastAsia="el-GR"/>
        </w:rPr>
        <w:t>et al</w:t>
      </w:r>
      <w:r w:rsidR="00CE76BE">
        <w:rPr>
          <w:rFonts w:eastAsia="Times New Roman"/>
          <w:sz w:val="24"/>
          <w:szCs w:val="24"/>
          <w:lang w:eastAsia="el-GR"/>
        </w:rPr>
        <w:t>.</w:t>
      </w:r>
      <w:r w:rsidR="00AD5F6D" w:rsidRPr="005A464E">
        <w:rPr>
          <w:rFonts w:eastAsia="Times New Roman"/>
          <w:sz w:val="24"/>
          <w:szCs w:val="24"/>
          <w:lang w:eastAsia="el-GR"/>
        </w:rPr>
        <w:t xml:space="preserve"> (2007) βρήκαν διπλάσια πιθανότητα μη συμμόρφωσης στη δίαιτα σε καταθλιπτικούς ασθενείς υπό </w:t>
      </w:r>
      <w:r w:rsidR="00A52A49">
        <w:rPr>
          <w:rFonts w:eastAsia="Times New Roman"/>
          <w:sz w:val="24"/>
          <w:szCs w:val="24"/>
          <w:lang w:eastAsia="el-GR"/>
        </w:rPr>
        <w:t>αιμοκάθαρση</w:t>
      </w:r>
      <w:r w:rsidR="00A52A49" w:rsidRPr="005A464E">
        <w:rPr>
          <w:rFonts w:eastAsia="Times New Roman"/>
          <w:sz w:val="24"/>
          <w:szCs w:val="24"/>
          <w:lang w:eastAsia="el-GR"/>
        </w:rPr>
        <w:t xml:space="preserve"> </w:t>
      </w:r>
      <w:r w:rsidR="00AD5F6D" w:rsidRPr="005A464E">
        <w:rPr>
          <w:rFonts w:eastAsia="Times New Roman"/>
          <w:sz w:val="24"/>
          <w:szCs w:val="24"/>
          <w:lang w:eastAsia="el-GR"/>
        </w:rPr>
        <w:t xml:space="preserve">σε σύγκριση με ασθενείς χωρίς κατάθλιψη. Ωστόσο, οι </w:t>
      </w:r>
      <w:r w:rsidR="00AD5F6D" w:rsidRPr="005A464E">
        <w:rPr>
          <w:rFonts w:eastAsia="Times New Roman"/>
          <w:sz w:val="24"/>
          <w:szCs w:val="24"/>
          <w:lang w:val="en-US" w:eastAsia="el-GR"/>
        </w:rPr>
        <w:t>Pang</w:t>
      </w:r>
      <w:r w:rsidR="00CE76BE" w:rsidRPr="00CE76BE">
        <w:rPr>
          <w:rFonts w:eastAsia="Times New Roman"/>
          <w:sz w:val="24"/>
          <w:szCs w:val="24"/>
          <w:lang w:eastAsia="el-GR"/>
        </w:rPr>
        <w:t>,</w:t>
      </w:r>
      <w:r w:rsidR="00CE76BE" w:rsidRPr="00CE76BE">
        <w:rPr>
          <w:rFonts w:cstheme="minorHAnsi"/>
          <w:color w:val="000000"/>
          <w:sz w:val="24"/>
          <w:szCs w:val="24"/>
        </w:rPr>
        <w:t xml:space="preserve"> </w:t>
      </w:r>
      <w:r w:rsidR="00CE76BE" w:rsidRPr="00CE76BE">
        <w:rPr>
          <w:rFonts w:cstheme="minorHAnsi"/>
          <w:color w:val="000000"/>
          <w:sz w:val="24"/>
          <w:szCs w:val="24"/>
          <w:lang w:val="en-US"/>
        </w:rPr>
        <w:t>Ip</w:t>
      </w:r>
      <w:r w:rsidR="001462BA" w:rsidRPr="001462BA">
        <w:rPr>
          <w:rFonts w:cstheme="minorHAnsi"/>
          <w:color w:val="000000"/>
          <w:sz w:val="24"/>
          <w:szCs w:val="24"/>
        </w:rPr>
        <w:t>,</w:t>
      </w:r>
      <w:r w:rsidR="00A52A49">
        <w:rPr>
          <w:rFonts w:cstheme="minorHAnsi"/>
          <w:color w:val="000000"/>
          <w:sz w:val="24"/>
          <w:szCs w:val="24"/>
        </w:rPr>
        <w:t xml:space="preserve"> και</w:t>
      </w:r>
      <w:r w:rsidR="00CE76BE" w:rsidRPr="00CE76BE">
        <w:rPr>
          <w:rFonts w:cstheme="minorHAnsi"/>
          <w:color w:val="000000"/>
          <w:sz w:val="24"/>
          <w:szCs w:val="24"/>
        </w:rPr>
        <w:t xml:space="preserve"> </w:t>
      </w:r>
      <w:r w:rsidR="00CE76BE" w:rsidRPr="00CE76BE">
        <w:rPr>
          <w:rFonts w:cstheme="minorHAnsi"/>
          <w:color w:val="000000"/>
          <w:sz w:val="24"/>
          <w:szCs w:val="24"/>
          <w:lang w:val="en-US"/>
        </w:rPr>
        <w:t>Chang</w:t>
      </w:r>
      <w:r w:rsidR="00CE76BE">
        <w:rPr>
          <w:rFonts w:eastAsia="Times New Roman"/>
          <w:sz w:val="24"/>
          <w:szCs w:val="24"/>
          <w:lang w:eastAsia="el-GR"/>
        </w:rPr>
        <w:t xml:space="preserve"> </w:t>
      </w:r>
      <w:r w:rsidR="00AD5F6D" w:rsidRPr="005A464E">
        <w:rPr>
          <w:rFonts w:eastAsia="Times New Roman"/>
          <w:sz w:val="24"/>
          <w:szCs w:val="24"/>
          <w:lang w:eastAsia="el-GR"/>
        </w:rPr>
        <w:t>(2001)</w:t>
      </w:r>
      <w:r w:rsidR="00AD5F6D" w:rsidRPr="005A464E">
        <w:rPr>
          <w:rStyle w:val="apple-converted-space"/>
          <w:color w:val="000000"/>
          <w:sz w:val="24"/>
          <w:szCs w:val="24"/>
          <w:shd w:val="clear" w:color="auto" w:fill="FFFFFF"/>
        </w:rPr>
        <w:t> </w:t>
      </w:r>
      <w:r w:rsidR="00AD5F6D" w:rsidRPr="005A464E">
        <w:rPr>
          <w:rFonts w:eastAsia="Times New Roman"/>
          <w:sz w:val="24"/>
          <w:szCs w:val="24"/>
          <w:lang w:eastAsia="el-GR"/>
        </w:rPr>
        <w:t>δεν βρήκαν καμία συσχέτιση μεταξύ τω</w:t>
      </w:r>
      <w:r w:rsidR="00AE19D0">
        <w:rPr>
          <w:rFonts w:eastAsia="Times New Roman"/>
          <w:sz w:val="24"/>
          <w:szCs w:val="24"/>
          <w:lang w:eastAsia="el-GR"/>
        </w:rPr>
        <w:t>ν καταθλιπτικών συμπτωμάτων και</w:t>
      </w:r>
      <w:r w:rsidR="00AD5F6D" w:rsidRPr="005A464E">
        <w:rPr>
          <w:rFonts w:eastAsia="Times New Roman"/>
          <w:sz w:val="24"/>
          <w:szCs w:val="24"/>
          <w:lang w:eastAsia="el-GR"/>
        </w:rPr>
        <w:t xml:space="preserve"> αύξηση</w:t>
      </w:r>
      <w:r w:rsidR="0008565B" w:rsidRPr="005A464E">
        <w:rPr>
          <w:rFonts w:eastAsia="Times New Roman"/>
          <w:sz w:val="24"/>
          <w:szCs w:val="24"/>
          <w:lang w:eastAsia="el-GR"/>
        </w:rPr>
        <w:t>ς</w:t>
      </w:r>
      <w:r w:rsidR="00AD5F6D" w:rsidRPr="005A464E">
        <w:rPr>
          <w:rFonts w:eastAsia="Times New Roman"/>
          <w:sz w:val="24"/>
          <w:szCs w:val="24"/>
          <w:lang w:eastAsia="el-GR"/>
        </w:rPr>
        <w:t xml:space="preserve"> του σωματικού βάρους σε μια ομάδα Κινέζων ασθενών υπό αιμοκάθαρση. Αυ</w:t>
      </w:r>
      <w:r w:rsidR="0008565B" w:rsidRPr="005A464E">
        <w:rPr>
          <w:rFonts w:eastAsia="Times New Roman"/>
          <w:sz w:val="24"/>
          <w:szCs w:val="24"/>
          <w:lang w:eastAsia="el-GR"/>
        </w:rPr>
        <w:t>τά τα αντίθετα αποτελέσματα</w:t>
      </w:r>
      <w:r w:rsidR="00AD5F6D" w:rsidRPr="005A464E">
        <w:rPr>
          <w:rFonts w:eastAsia="Times New Roman"/>
          <w:sz w:val="24"/>
          <w:szCs w:val="24"/>
          <w:lang w:eastAsia="el-GR"/>
        </w:rPr>
        <w:t xml:space="preserve"> πιθανόν να οφείλονται σε παράγοντες όπως το γεγονός ότι ο</w:t>
      </w:r>
      <w:r w:rsidR="00AE19D0">
        <w:rPr>
          <w:rFonts w:eastAsia="Times New Roman"/>
          <w:sz w:val="24"/>
          <w:szCs w:val="24"/>
          <w:lang w:eastAsia="el-GR"/>
        </w:rPr>
        <w:t>ι στάσεις για την κατάθλιψη και</w:t>
      </w:r>
      <w:r w:rsidR="00AD5F6D" w:rsidRPr="005A464E">
        <w:rPr>
          <w:rFonts w:eastAsia="Times New Roman"/>
          <w:sz w:val="24"/>
          <w:szCs w:val="24"/>
          <w:lang w:eastAsia="el-GR"/>
        </w:rPr>
        <w:t xml:space="preserve"> τις διαταραχές της διάθεσης μπορεί να διαφέρουν ανάλογα με τον πολιτισμό και ιδιαίτερα όταν η κατάθλιψη είναι μια ασθένεια που</w:t>
      </w:r>
      <w:r w:rsidR="0078495A">
        <w:rPr>
          <w:rFonts w:eastAsia="Times New Roman"/>
          <w:sz w:val="24"/>
          <w:szCs w:val="24"/>
          <w:lang w:eastAsia="el-GR"/>
        </w:rPr>
        <w:t xml:space="preserve"> </w:t>
      </w:r>
      <w:r w:rsidR="00AD5F6D" w:rsidRPr="005A464E">
        <w:rPr>
          <w:rFonts w:eastAsia="Times New Roman"/>
          <w:sz w:val="24"/>
          <w:szCs w:val="24"/>
          <w:lang w:eastAsia="el-GR"/>
        </w:rPr>
        <w:t xml:space="preserve">στιγματίζει </w:t>
      </w:r>
      <w:r w:rsidR="004D0DF2" w:rsidRPr="005A464E">
        <w:rPr>
          <w:rFonts w:eastAsia="Times New Roman"/>
          <w:sz w:val="24"/>
          <w:szCs w:val="24"/>
          <w:lang w:eastAsia="el-GR"/>
        </w:rPr>
        <w:t>(</w:t>
      </w:r>
      <w:r w:rsidR="00097280" w:rsidRPr="005A464E">
        <w:rPr>
          <w:rFonts w:eastAsia="Times New Roman"/>
          <w:sz w:val="24"/>
          <w:szCs w:val="24"/>
          <w:lang w:val="en-US" w:eastAsia="el-GR"/>
        </w:rPr>
        <w:t>V</w:t>
      </w:r>
      <w:r w:rsidR="00097280" w:rsidRPr="005A464E">
        <w:rPr>
          <w:rFonts w:eastAsia="Times New Roman"/>
          <w:sz w:val="24"/>
          <w:szCs w:val="24"/>
          <w:lang w:eastAsia="el-GR"/>
        </w:rPr>
        <w:t>á</w:t>
      </w:r>
      <w:r w:rsidR="00097280" w:rsidRPr="005A464E">
        <w:rPr>
          <w:rFonts w:eastAsia="Times New Roman"/>
          <w:sz w:val="24"/>
          <w:szCs w:val="24"/>
          <w:lang w:val="en-US" w:eastAsia="el-GR"/>
        </w:rPr>
        <w:t>zquez</w:t>
      </w:r>
      <w:r w:rsidR="00C918F5" w:rsidRPr="005A464E">
        <w:rPr>
          <w:rFonts w:eastAsia="Times New Roman"/>
          <w:sz w:val="24"/>
          <w:szCs w:val="24"/>
          <w:lang w:eastAsia="el-GR"/>
        </w:rPr>
        <w:t xml:space="preserve"> </w:t>
      </w:r>
      <w:r w:rsidR="00566CAA">
        <w:rPr>
          <w:rFonts w:eastAsia="Times New Roman"/>
          <w:sz w:val="24"/>
          <w:szCs w:val="24"/>
          <w:lang w:eastAsia="el-GR"/>
        </w:rPr>
        <w:t>et al</w:t>
      </w:r>
      <w:r w:rsidR="00CE76BE">
        <w:rPr>
          <w:rFonts w:eastAsia="Times New Roman"/>
          <w:sz w:val="24"/>
          <w:szCs w:val="24"/>
          <w:lang w:eastAsia="el-GR"/>
        </w:rPr>
        <w:t>.</w:t>
      </w:r>
      <w:r w:rsidR="00594807">
        <w:rPr>
          <w:rFonts w:eastAsia="Times New Roman"/>
          <w:sz w:val="24"/>
          <w:szCs w:val="24"/>
          <w:lang w:eastAsia="el-GR"/>
        </w:rPr>
        <w:t>,</w:t>
      </w:r>
      <w:r w:rsidR="00AD5F6D" w:rsidRPr="005A464E">
        <w:rPr>
          <w:rFonts w:eastAsia="Times New Roman"/>
          <w:sz w:val="24"/>
          <w:szCs w:val="24"/>
          <w:lang w:eastAsia="el-GR"/>
        </w:rPr>
        <w:t xml:space="preserve"> 2005</w:t>
      </w:r>
      <w:r w:rsidR="00097280" w:rsidRPr="005A464E">
        <w:rPr>
          <w:rFonts w:eastAsia="Times New Roman"/>
          <w:sz w:val="24"/>
          <w:szCs w:val="24"/>
          <w:lang w:eastAsia="el-GR"/>
        </w:rPr>
        <w:t>)</w:t>
      </w:r>
      <w:r w:rsidR="00AD5F6D" w:rsidRPr="005A464E">
        <w:rPr>
          <w:rFonts w:eastAsia="Times New Roman"/>
          <w:sz w:val="24"/>
          <w:szCs w:val="24"/>
          <w:lang w:eastAsia="el-GR"/>
        </w:rPr>
        <w:t>.</w:t>
      </w:r>
    </w:p>
    <w:p w:rsidR="00AD5F6D" w:rsidRPr="004E0AB7" w:rsidRDefault="00AD5F6D" w:rsidP="004E0AB7">
      <w:pPr>
        <w:pStyle w:val="a5"/>
        <w:numPr>
          <w:ilvl w:val="0"/>
          <w:numId w:val="121"/>
        </w:numPr>
        <w:spacing w:line="360" w:lineRule="auto"/>
        <w:rPr>
          <w:i/>
          <w:sz w:val="24"/>
          <w:szCs w:val="24"/>
        </w:rPr>
      </w:pPr>
      <w:r w:rsidRPr="004E0AB7">
        <w:rPr>
          <w:i/>
          <w:sz w:val="24"/>
          <w:szCs w:val="24"/>
        </w:rPr>
        <w:t>Η κοινωνική στήριξη</w:t>
      </w:r>
    </w:p>
    <w:p w:rsidR="00AD5F6D" w:rsidRPr="005A464E" w:rsidRDefault="00AD5F6D" w:rsidP="005A464E">
      <w:pPr>
        <w:tabs>
          <w:tab w:val="left" w:pos="3294"/>
        </w:tabs>
        <w:spacing w:line="360" w:lineRule="auto"/>
        <w:jc w:val="both"/>
        <w:rPr>
          <w:sz w:val="24"/>
          <w:szCs w:val="24"/>
        </w:rPr>
      </w:pPr>
      <w:r w:rsidRPr="005A464E">
        <w:rPr>
          <w:sz w:val="24"/>
          <w:szCs w:val="24"/>
        </w:rPr>
        <w:t>Στη μελέτη της Τ</w:t>
      </w:r>
      <w:r w:rsidRPr="005A464E">
        <w:rPr>
          <w:sz w:val="24"/>
          <w:szCs w:val="24"/>
          <w:lang w:val="en-US"/>
        </w:rPr>
        <w:t>heofilou</w:t>
      </w:r>
      <w:r w:rsidRPr="005A464E">
        <w:rPr>
          <w:sz w:val="24"/>
          <w:szCs w:val="24"/>
        </w:rPr>
        <w:t xml:space="preserve"> (2012) που διεξήχθη</w:t>
      </w:r>
      <w:r w:rsidR="0078495A">
        <w:rPr>
          <w:sz w:val="24"/>
          <w:szCs w:val="24"/>
        </w:rPr>
        <w:t xml:space="preserve"> </w:t>
      </w:r>
      <w:r w:rsidRPr="005A464E">
        <w:rPr>
          <w:sz w:val="24"/>
          <w:szCs w:val="24"/>
        </w:rPr>
        <w:t xml:space="preserve">σε </w:t>
      </w:r>
      <w:r w:rsidR="005F478F">
        <w:rPr>
          <w:sz w:val="24"/>
          <w:szCs w:val="24"/>
        </w:rPr>
        <w:t>6</w:t>
      </w:r>
      <w:r w:rsidRPr="005A464E">
        <w:rPr>
          <w:sz w:val="24"/>
          <w:szCs w:val="24"/>
        </w:rPr>
        <w:t xml:space="preserve"> γενικά νοσοκομεία στην </w:t>
      </w:r>
      <w:r w:rsidR="00307750" w:rsidRPr="005A464E">
        <w:rPr>
          <w:sz w:val="24"/>
          <w:szCs w:val="24"/>
        </w:rPr>
        <w:t xml:space="preserve">Αθήνα μεταξύ 168 ασθενών υπό </w:t>
      </w:r>
      <w:r w:rsidR="00A52A49">
        <w:rPr>
          <w:sz w:val="24"/>
          <w:szCs w:val="24"/>
        </w:rPr>
        <w:t>αιμοκάθαρση</w:t>
      </w:r>
      <w:r w:rsidRPr="005A464E">
        <w:rPr>
          <w:sz w:val="24"/>
          <w:szCs w:val="24"/>
        </w:rPr>
        <w:t>, τα επίπεδα συμμόρφωσης των ασθενών συσχετίστηκαν</w:t>
      </w:r>
      <w:r w:rsidR="0078495A">
        <w:rPr>
          <w:sz w:val="24"/>
          <w:szCs w:val="24"/>
        </w:rPr>
        <w:t xml:space="preserve"> </w:t>
      </w:r>
      <w:r w:rsidRPr="005A464E">
        <w:rPr>
          <w:sz w:val="24"/>
          <w:szCs w:val="24"/>
        </w:rPr>
        <w:t>με την οικογενειακή στήριξη. Οι παντρεμένοι ασ</w:t>
      </w:r>
      <w:r w:rsidR="00AE19D0">
        <w:rPr>
          <w:sz w:val="24"/>
          <w:szCs w:val="24"/>
        </w:rPr>
        <w:t>θενείς, λόγω της στήριξης που είχα</w:t>
      </w:r>
      <w:r w:rsidRPr="005A464E">
        <w:rPr>
          <w:sz w:val="24"/>
          <w:szCs w:val="24"/>
        </w:rPr>
        <w:t xml:space="preserve">ν από </w:t>
      </w:r>
      <w:r w:rsidR="009539AC" w:rsidRPr="005A464E">
        <w:rPr>
          <w:sz w:val="24"/>
          <w:szCs w:val="24"/>
        </w:rPr>
        <w:t>τους/τις συζύγους</w:t>
      </w:r>
      <w:r w:rsidR="00307750" w:rsidRPr="005A464E">
        <w:rPr>
          <w:sz w:val="24"/>
          <w:szCs w:val="24"/>
        </w:rPr>
        <w:t>/</w:t>
      </w:r>
      <w:r w:rsidRPr="005A464E">
        <w:rPr>
          <w:sz w:val="24"/>
          <w:szCs w:val="24"/>
        </w:rPr>
        <w:t xml:space="preserve">συντρόφους, έδειξαν καλύτερα επίπεδα συμμόρφωσης από </w:t>
      </w:r>
      <w:r w:rsidR="00307750" w:rsidRPr="005A464E">
        <w:rPr>
          <w:sz w:val="24"/>
          <w:szCs w:val="24"/>
        </w:rPr>
        <w:t>τους/τις</w:t>
      </w:r>
      <w:r w:rsidRPr="005A464E">
        <w:rPr>
          <w:sz w:val="24"/>
          <w:szCs w:val="24"/>
        </w:rPr>
        <w:t xml:space="preserve"> άγαμο</w:t>
      </w:r>
      <w:r w:rsidR="00307750" w:rsidRPr="005A464E">
        <w:rPr>
          <w:sz w:val="24"/>
          <w:szCs w:val="24"/>
        </w:rPr>
        <w:t>υ</w:t>
      </w:r>
      <w:r w:rsidRPr="005A464E">
        <w:rPr>
          <w:sz w:val="24"/>
          <w:szCs w:val="24"/>
        </w:rPr>
        <w:t>ς</w:t>
      </w:r>
      <w:r w:rsidR="009539AC" w:rsidRPr="005A464E">
        <w:rPr>
          <w:sz w:val="24"/>
          <w:szCs w:val="24"/>
        </w:rPr>
        <w:t>/ες, χήρου</w:t>
      </w:r>
      <w:r w:rsidR="00307750" w:rsidRPr="005A464E">
        <w:rPr>
          <w:sz w:val="24"/>
          <w:szCs w:val="24"/>
        </w:rPr>
        <w:t>ς/</w:t>
      </w:r>
      <w:r w:rsidR="009539AC" w:rsidRPr="005A464E">
        <w:rPr>
          <w:sz w:val="24"/>
          <w:szCs w:val="24"/>
        </w:rPr>
        <w:t>χήρε</w:t>
      </w:r>
      <w:r w:rsidRPr="005A464E">
        <w:rPr>
          <w:sz w:val="24"/>
          <w:szCs w:val="24"/>
        </w:rPr>
        <w:t>ς και διαζευγμένους</w:t>
      </w:r>
      <w:r w:rsidR="00307750" w:rsidRPr="005A464E">
        <w:rPr>
          <w:sz w:val="24"/>
          <w:szCs w:val="24"/>
        </w:rPr>
        <w:t>/ες</w:t>
      </w:r>
      <w:r w:rsidRPr="005A464E">
        <w:rPr>
          <w:sz w:val="24"/>
          <w:szCs w:val="24"/>
        </w:rPr>
        <w:t xml:space="preserve">, καθώς και καλύτερη ψυχική και φυσική υγεία. </w:t>
      </w:r>
    </w:p>
    <w:p w:rsidR="00AD5F6D" w:rsidRPr="005A464E" w:rsidRDefault="00AD5F6D" w:rsidP="005A464E">
      <w:pPr>
        <w:tabs>
          <w:tab w:val="left" w:pos="3294"/>
        </w:tabs>
        <w:spacing w:line="360" w:lineRule="auto"/>
        <w:jc w:val="both"/>
        <w:rPr>
          <w:sz w:val="24"/>
          <w:szCs w:val="24"/>
        </w:rPr>
      </w:pPr>
      <w:r w:rsidRPr="005A464E">
        <w:rPr>
          <w:sz w:val="24"/>
          <w:szCs w:val="24"/>
        </w:rPr>
        <w:t xml:space="preserve">Ομοίως, οι Smith </w:t>
      </w:r>
      <w:r w:rsidR="00566CAA">
        <w:rPr>
          <w:sz w:val="24"/>
          <w:szCs w:val="24"/>
        </w:rPr>
        <w:t>et al</w:t>
      </w:r>
      <w:r w:rsidR="006460B8" w:rsidRPr="006460B8">
        <w:rPr>
          <w:sz w:val="24"/>
          <w:szCs w:val="24"/>
        </w:rPr>
        <w:t>.</w:t>
      </w:r>
      <w:r w:rsidRPr="005A464E">
        <w:rPr>
          <w:sz w:val="24"/>
          <w:szCs w:val="24"/>
        </w:rPr>
        <w:t xml:space="preserve"> (2010) μελετώντας τις απόψεις ασθενών ως προς τη διαχείριση των υγρών διαπίστωσαν ότι οι ασθενείς δεν συμμορφώνονται με τους περιορισμούς στα υγρά λόγω της έλλειψης στήριξης από την οικογένεια. Ωστόσο, οι Kugler </w:t>
      </w:r>
      <w:r w:rsidR="00566CAA">
        <w:rPr>
          <w:sz w:val="24"/>
          <w:szCs w:val="24"/>
        </w:rPr>
        <w:t>et al</w:t>
      </w:r>
      <w:r w:rsidR="006460B8">
        <w:rPr>
          <w:sz w:val="24"/>
          <w:szCs w:val="24"/>
        </w:rPr>
        <w:t>.</w:t>
      </w:r>
      <w:r w:rsidRPr="005A464E">
        <w:rPr>
          <w:sz w:val="24"/>
          <w:szCs w:val="24"/>
        </w:rPr>
        <w:t xml:space="preserve"> (2005) δεν βρήκαν καμία συσχέτιση μεταξύ της συμπεριφοράς συμμόρφωσης και της στήριξη</w:t>
      </w:r>
      <w:r w:rsidR="00307750" w:rsidRPr="005A464E">
        <w:rPr>
          <w:sz w:val="24"/>
          <w:szCs w:val="24"/>
        </w:rPr>
        <w:t>ς</w:t>
      </w:r>
      <w:r w:rsidRPr="005A464E">
        <w:rPr>
          <w:sz w:val="24"/>
          <w:szCs w:val="24"/>
        </w:rPr>
        <w:t xml:space="preserve"> της οικογένειας, ενώ σύμφωνα με τους Zrinyi </w:t>
      </w:r>
      <w:r w:rsidR="00566CAA">
        <w:rPr>
          <w:sz w:val="24"/>
          <w:szCs w:val="24"/>
        </w:rPr>
        <w:t>et al</w:t>
      </w:r>
      <w:r w:rsidR="004577BE" w:rsidRPr="004577BE">
        <w:rPr>
          <w:sz w:val="24"/>
          <w:szCs w:val="24"/>
        </w:rPr>
        <w:t>.</w:t>
      </w:r>
      <w:r w:rsidRPr="005A464E">
        <w:rPr>
          <w:sz w:val="24"/>
          <w:szCs w:val="24"/>
        </w:rPr>
        <w:t xml:space="preserve"> (2003) όσο μεγαλύτερη είναι </w:t>
      </w:r>
      <w:r w:rsidR="00817853">
        <w:rPr>
          <w:sz w:val="24"/>
          <w:szCs w:val="24"/>
        </w:rPr>
        <w:t>μια</w:t>
      </w:r>
      <w:r w:rsidR="00AE19D0">
        <w:rPr>
          <w:sz w:val="24"/>
          <w:szCs w:val="24"/>
        </w:rPr>
        <w:t xml:space="preserve"> οικογένεια, τόσο χαμηλότερο το επίπεδο συμμόρφωσης </w:t>
      </w:r>
      <w:r w:rsidRPr="005A464E">
        <w:rPr>
          <w:sz w:val="24"/>
          <w:szCs w:val="24"/>
        </w:rPr>
        <w:t>στους περιορισμούς στα υγρά.</w:t>
      </w:r>
    </w:p>
    <w:p w:rsidR="00AD5F6D" w:rsidRPr="005A464E" w:rsidRDefault="00AD5F6D" w:rsidP="005A464E">
      <w:pPr>
        <w:tabs>
          <w:tab w:val="left" w:pos="3294"/>
        </w:tabs>
        <w:spacing w:line="360" w:lineRule="auto"/>
        <w:jc w:val="both"/>
        <w:rPr>
          <w:sz w:val="24"/>
          <w:szCs w:val="24"/>
        </w:rPr>
      </w:pPr>
      <w:r w:rsidRPr="005A464E">
        <w:rPr>
          <w:sz w:val="24"/>
          <w:szCs w:val="24"/>
        </w:rPr>
        <w:t xml:space="preserve">Οι Untas </w:t>
      </w:r>
      <w:r w:rsidR="00566CAA">
        <w:rPr>
          <w:sz w:val="24"/>
          <w:szCs w:val="24"/>
        </w:rPr>
        <w:t>et al</w:t>
      </w:r>
      <w:r w:rsidR="004577BE" w:rsidRPr="00872FD2">
        <w:rPr>
          <w:sz w:val="24"/>
          <w:szCs w:val="24"/>
        </w:rPr>
        <w:t>.</w:t>
      </w:r>
      <w:r w:rsidRPr="005A464E">
        <w:rPr>
          <w:sz w:val="24"/>
          <w:szCs w:val="24"/>
        </w:rPr>
        <w:t xml:space="preserve"> (2011) σε μια μελέτη μεταξύ 32.</w:t>
      </w:r>
      <w:r w:rsidR="00A92154" w:rsidRPr="005A464E">
        <w:rPr>
          <w:sz w:val="24"/>
          <w:szCs w:val="24"/>
        </w:rPr>
        <w:t>332 ασθενών σε 12 χώρες κατέληξαν</w:t>
      </w:r>
      <w:r w:rsidRPr="005A464E">
        <w:rPr>
          <w:sz w:val="24"/>
          <w:szCs w:val="24"/>
        </w:rPr>
        <w:t xml:space="preserve"> στο συ</w:t>
      </w:r>
      <w:r w:rsidR="00A92154" w:rsidRPr="005A464E">
        <w:rPr>
          <w:sz w:val="24"/>
          <w:szCs w:val="24"/>
        </w:rPr>
        <w:t>μπέρασμα ότι στη Βόρεια Αμερική</w:t>
      </w:r>
      <w:r w:rsidRPr="005A464E">
        <w:rPr>
          <w:sz w:val="24"/>
          <w:szCs w:val="24"/>
        </w:rPr>
        <w:t xml:space="preserve"> οι ασθενείς χωρίς την υποστήριξη της οικογένειας</w:t>
      </w:r>
      <w:r w:rsidR="00AE19D0">
        <w:rPr>
          <w:sz w:val="24"/>
          <w:szCs w:val="24"/>
        </w:rPr>
        <w:t xml:space="preserve"> ήταν πιο πιθανό να παραλείψουν</w:t>
      </w:r>
      <w:r w:rsidR="002F2128">
        <w:rPr>
          <w:sz w:val="24"/>
          <w:szCs w:val="24"/>
        </w:rPr>
        <w:t xml:space="preserve"> ή να </w:t>
      </w:r>
      <w:r w:rsidR="002F2128" w:rsidRPr="00BE4BB4">
        <w:rPr>
          <w:sz w:val="24"/>
          <w:szCs w:val="24"/>
        </w:rPr>
        <w:t xml:space="preserve">βραχύνουν </w:t>
      </w:r>
      <w:r w:rsidR="00BE4BB4" w:rsidRPr="00BE4BB4">
        <w:rPr>
          <w:sz w:val="24"/>
          <w:szCs w:val="24"/>
        </w:rPr>
        <w:t>τη διάρκεια</w:t>
      </w:r>
      <w:r w:rsidR="002F2128" w:rsidRPr="00BE4BB4">
        <w:rPr>
          <w:sz w:val="24"/>
          <w:szCs w:val="24"/>
        </w:rPr>
        <w:t xml:space="preserve"> μι</w:t>
      </w:r>
      <w:r w:rsidRPr="00BE4BB4">
        <w:rPr>
          <w:sz w:val="24"/>
          <w:szCs w:val="24"/>
        </w:rPr>
        <w:t>α</w:t>
      </w:r>
      <w:r w:rsidR="002F2128" w:rsidRPr="00BE4BB4">
        <w:rPr>
          <w:sz w:val="24"/>
          <w:szCs w:val="24"/>
        </w:rPr>
        <w:t>ς</w:t>
      </w:r>
      <w:r w:rsidRPr="00BE4BB4">
        <w:rPr>
          <w:sz w:val="24"/>
          <w:szCs w:val="24"/>
        </w:rPr>
        <w:t xml:space="preserve"> συνεδρία</w:t>
      </w:r>
      <w:r w:rsidR="002F2128" w:rsidRPr="00BE4BB4">
        <w:rPr>
          <w:sz w:val="24"/>
          <w:szCs w:val="24"/>
        </w:rPr>
        <w:t>ς</w:t>
      </w:r>
      <w:r w:rsidRPr="00BE4BB4">
        <w:rPr>
          <w:sz w:val="24"/>
          <w:szCs w:val="24"/>
        </w:rPr>
        <w:t xml:space="preserve"> </w:t>
      </w:r>
      <w:r w:rsidR="00A52A49" w:rsidRPr="00BE4BB4">
        <w:rPr>
          <w:sz w:val="24"/>
          <w:szCs w:val="24"/>
        </w:rPr>
        <w:t>αιμοκάθαρσης</w:t>
      </w:r>
      <w:r w:rsidR="00EA46D4" w:rsidRPr="00BE4BB4">
        <w:rPr>
          <w:sz w:val="24"/>
          <w:szCs w:val="24"/>
        </w:rPr>
        <w:t>. Στην Ευρώπη-Αυστραλία/</w:t>
      </w:r>
      <w:r w:rsidRPr="00BE4BB4">
        <w:rPr>
          <w:sz w:val="24"/>
          <w:szCs w:val="24"/>
        </w:rPr>
        <w:t xml:space="preserve">Νέα Ζηλανδία, οι ασθενείς οι οποίοι είχαν την αίσθηση </w:t>
      </w:r>
      <w:r w:rsidR="00307750" w:rsidRPr="00BE4BB4">
        <w:rPr>
          <w:sz w:val="24"/>
          <w:szCs w:val="24"/>
        </w:rPr>
        <w:t xml:space="preserve">ότι αποτελούν βάρος για </w:t>
      </w:r>
      <w:r w:rsidRPr="00BE4BB4">
        <w:rPr>
          <w:sz w:val="24"/>
          <w:szCs w:val="24"/>
        </w:rPr>
        <w:t>την οικογένεια είχαν μεγα</w:t>
      </w:r>
      <w:r w:rsidR="002F2128" w:rsidRPr="00BE4BB4">
        <w:rPr>
          <w:sz w:val="24"/>
          <w:szCs w:val="24"/>
        </w:rPr>
        <w:t>λύτερες πιθανότητες να βραχύνου</w:t>
      </w:r>
      <w:r w:rsidR="00307750" w:rsidRPr="00BE4BB4">
        <w:rPr>
          <w:sz w:val="24"/>
          <w:szCs w:val="24"/>
        </w:rPr>
        <w:t>ν</w:t>
      </w:r>
      <w:r w:rsidR="002F2128" w:rsidRPr="00BE4BB4">
        <w:rPr>
          <w:sz w:val="24"/>
          <w:szCs w:val="24"/>
        </w:rPr>
        <w:t xml:space="preserve"> </w:t>
      </w:r>
      <w:r w:rsidR="00BE4BB4" w:rsidRPr="00BE4BB4">
        <w:rPr>
          <w:sz w:val="24"/>
          <w:szCs w:val="24"/>
        </w:rPr>
        <w:t>τη διάρκεια</w:t>
      </w:r>
      <w:r w:rsidR="00307750" w:rsidRPr="00BE4BB4">
        <w:rPr>
          <w:sz w:val="24"/>
          <w:szCs w:val="24"/>
        </w:rPr>
        <w:t xml:space="preserve"> μια</w:t>
      </w:r>
      <w:r w:rsidR="002F2128" w:rsidRPr="00BE4BB4">
        <w:rPr>
          <w:sz w:val="24"/>
          <w:szCs w:val="24"/>
        </w:rPr>
        <w:t xml:space="preserve">ς </w:t>
      </w:r>
      <w:r w:rsidR="00307750" w:rsidRPr="00BE4BB4">
        <w:rPr>
          <w:sz w:val="24"/>
          <w:szCs w:val="24"/>
        </w:rPr>
        <w:t>συνεδρία</w:t>
      </w:r>
      <w:r w:rsidR="002F2128" w:rsidRPr="00BE4BB4">
        <w:rPr>
          <w:sz w:val="24"/>
          <w:szCs w:val="24"/>
        </w:rPr>
        <w:t>ς</w:t>
      </w:r>
      <w:r w:rsidR="00307750" w:rsidRPr="00BE4BB4">
        <w:rPr>
          <w:sz w:val="24"/>
          <w:szCs w:val="24"/>
        </w:rPr>
        <w:t xml:space="preserve"> </w:t>
      </w:r>
      <w:r w:rsidR="002F2128" w:rsidRPr="00BE4BB4">
        <w:rPr>
          <w:sz w:val="24"/>
          <w:szCs w:val="24"/>
        </w:rPr>
        <w:t xml:space="preserve">αιμοκάθαρσης </w:t>
      </w:r>
      <w:r w:rsidR="00307750" w:rsidRPr="00BE4BB4">
        <w:rPr>
          <w:sz w:val="24"/>
          <w:szCs w:val="24"/>
        </w:rPr>
        <w:t>και να εμφανίσουν</w:t>
      </w:r>
      <w:r w:rsidRPr="00BE4BB4">
        <w:rPr>
          <w:sz w:val="24"/>
          <w:szCs w:val="24"/>
        </w:rPr>
        <w:t xml:space="preserve"> υπερκαλιαιμία. Είναι χρήσιμο να τονισθεί</w:t>
      </w:r>
      <w:r w:rsidRPr="005A464E">
        <w:rPr>
          <w:sz w:val="24"/>
          <w:szCs w:val="24"/>
        </w:rPr>
        <w:t xml:space="preserve"> ότι οι ασθενείς από την Ιαπωνία είχαν τα χαμηλότερα ποσοστά παράλειψης της συνεδρίας. Οι ερευνητές συνδέουν αυτό το εύρημα με την οικογενειακή κατάσταση και το καθεστώς απασχόλησης, καθώς οι περισσότεροι από τους ασθενείς ήταν παντρεμένοι ή ζούσαν με την οικογένεια ή απασχολούνταν.</w:t>
      </w:r>
    </w:p>
    <w:p w:rsidR="00AD5F6D" w:rsidRPr="005A464E" w:rsidRDefault="00EA46D4" w:rsidP="005A464E">
      <w:pPr>
        <w:tabs>
          <w:tab w:val="left" w:pos="3294"/>
        </w:tabs>
        <w:spacing w:line="360" w:lineRule="auto"/>
        <w:jc w:val="both"/>
        <w:rPr>
          <w:sz w:val="24"/>
          <w:szCs w:val="24"/>
        </w:rPr>
      </w:pPr>
      <w:r>
        <w:rPr>
          <w:sz w:val="24"/>
          <w:szCs w:val="24"/>
        </w:rPr>
        <w:t>Ο</w:t>
      </w:r>
      <w:r w:rsidR="00AD5F6D" w:rsidRPr="005A464E">
        <w:rPr>
          <w:sz w:val="24"/>
          <w:szCs w:val="24"/>
        </w:rPr>
        <w:t>ι ηλικιωμένο</w:t>
      </w:r>
      <w:r w:rsidR="00307750" w:rsidRPr="005A464E">
        <w:rPr>
          <w:sz w:val="24"/>
          <w:szCs w:val="24"/>
        </w:rPr>
        <w:t xml:space="preserve">ι ασθενείς υπό </w:t>
      </w:r>
      <w:r w:rsidR="002F2128">
        <w:rPr>
          <w:sz w:val="24"/>
          <w:szCs w:val="24"/>
        </w:rPr>
        <w:t>αιμοκάθαρση</w:t>
      </w:r>
      <w:r w:rsidR="002F2128" w:rsidRPr="005A464E">
        <w:rPr>
          <w:sz w:val="24"/>
          <w:szCs w:val="24"/>
        </w:rPr>
        <w:t xml:space="preserve"> </w:t>
      </w:r>
      <w:r w:rsidR="00307750" w:rsidRPr="005A464E">
        <w:rPr>
          <w:sz w:val="24"/>
          <w:szCs w:val="24"/>
        </w:rPr>
        <w:t>συνήθως χρειάζονται</w:t>
      </w:r>
      <w:r w:rsidR="00AD5F6D" w:rsidRPr="005A464E">
        <w:rPr>
          <w:sz w:val="24"/>
          <w:szCs w:val="24"/>
        </w:rPr>
        <w:t xml:space="preserve"> βοήθεια και υποστήριξη για τη μετα</w:t>
      </w:r>
      <w:r w:rsidR="008A51C4">
        <w:rPr>
          <w:sz w:val="24"/>
          <w:szCs w:val="24"/>
        </w:rPr>
        <w:t xml:space="preserve">κίνηση </w:t>
      </w:r>
      <w:r w:rsidR="002F2128">
        <w:rPr>
          <w:sz w:val="24"/>
          <w:szCs w:val="24"/>
        </w:rPr>
        <w:t>π</w:t>
      </w:r>
      <w:r w:rsidR="00375117" w:rsidRPr="005A464E">
        <w:rPr>
          <w:sz w:val="24"/>
          <w:szCs w:val="24"/>
        </w:rPr>
        <w:t xml:space="preserve">ρος και από </w:t>
      </w:r>
      <w:r w:rsidR="00307750" w:rsidRPr="005A464E">
        <w:rPr>
          <w:sz w:val="24"/>
          <w:szCs w:val="24"/>
        </w:rPr>
        <w:t>την Μονάδα</w:t>
      </w:r>
      <w:r w:rsidR="00AD5F6D" w:rsidRPr="005A464E">
        <w:rPr>
          <w:sz w:val="24"/>
          <w:szCs w:val="24"/>
        </w:rPr>
        <w:t xml:space="preserve"> ή </w:t>
      </w:r>
      <w:r w:rsidR="00375117" w:rsidRPr="005A464E">
        <w:rPr>
          <w:sz w:val="24"/>
          <w:szCs w:val="24"/>
        </w:rPr>
        <w:t>για την κατανάλωση</w:t>
      </w:r>
      <w:r w:rsidR="00AD5F6D" w:rsidRPr="005A464E">
        <w:rPr>
          <w:sz w:val="24"/>
          <w:szCs w:val="24"/>
        </w:rPr>
        <w:t xml:space="preserve"> του </w:t>
      </w:r>
      <w:r w:rsidR="00AE19D0">
        <w:rPr>
          <w:sz w:val="24"/>
          <w:szCs w:val="24"/>
        </w:rPr>
        <w:t>γεύματος. Η ανησυχία μεταξύ των</w:t>
      </w:r>
      <w:r w:rsidR="00AD5F6D" w:rsidRPr="005A464E">
        <w:rPr>
          <w:sz w:val="24"/>
          <w:szCs w:val="24"/>
        </w:rPr>
        <w:t xml:space="preserve"> ηλικιωμένων υπό </w:t>
      </w:r>
      <w:r w:rsidR="002F2128">
        <w:rPr>
          <w:sz w:val="24"/>
          <w:szCs w:val="24"/>
        </w:rPr>
        <w:t>αιμοκάθαρση</w:t>
      </w:r>
      <w:r w:rsidR="002F2128" w:rsidRPr="005A464E">
        <w:rPr>
          <w:sz w:val="24"/>
          <w:szCs w:val="24"/>
        </w:rPr>
        <w:t xml:space="preserve"> </w:t>
      </w:r>
      <w:r w:rsidR="00AD5F6D" w:rsidRPr="005A464E">
        <w:rPr>
          <w:sz w:val="24"/>
          <w:szCs w:val="24"/>
        </w:rPr>
        <w:t>είναι ο φόβος να χάσουν την αγάπη και την αποδοχή της οικογένειας. Η σημασία της οικογένειας</w:t>
      </w:r>
      <w:r w:rsidR="0078495A">
        <w:rPr>
          <w:sz w:val="24"/>
          <w:szCs w:val="24"/>
        </w:rPr>
        <w:t xml:space="preserve"> </w:t>
      </w:r>
      <w:r w:rsidR="00AD5F6D" w:rsidRPr="005A464E">
        <w:rPr>
          <w:sz w:val="24"/>
          <w:szCs w:val="24"/>
        </w:rPr>
        <w:t>σχετίζεται με τον πολιτιστικό χαρακτήρα της χώρας όπως έδειξαν</w:t>
      </w:r>
      <w:r w:rsidR="0078495A">
        <w:rPr>
          <w:sz w:val="24"/>
          <w:szCs w:val="24"/>
        </w:rPr>
        <w:t xml:space="preserve"> </w:t>
      </w:r>
      <w:r w:rsidR="00BA566F">
        <w:rPr>
          <w:sz w:val="24"/>
          <w:szCs w:val="24"/>
        </w:rPr>
        <w:t xml:space="preserve">δύο </w:t>
      </w:r>
      <w:r w:rsidR="00AD5F6D" w:rsidRPr="005A464E">
        <w:rPr>
          <w:sz w:val="24"/>
          <w:szCs w:val="24"/>
        </w:rPr>
        <w:t>μελέτες (</w:t>
      </w:r>
      <w:r w:rsidR="00CE76BE">
        <w:rPr>
          <w:sz w:val="24"/>
          <w:szCs w:val="24"/>
        </w:rPr>
        <w:t xml:space="preserve">Tezel, </w:t>
      </w:r>
      <w:r w:rsidR="00CE76BE" w:rsidRPr="00CE76BE">
        <w:rPr>
          <w:rFonts w:eastAsia="Times New Roman" w:cstheme="minorHAnsi"/>
          <w:sz w:val="24"/>
          <w:szCs w:val="24"/>
          <w:lang w:val="en-US" w:eastAsia="el-GR"/>
        </w:rPr>
        <w:t>Karabulutlu</w:t>
      </w:r>
      <w:r w:rsidR="00D75F89" w:rsidRPr="00D75F89">
        <w:rPr>
          <w:rFonts w:eastAsia="Times New Roman" w:cstheme="minorHAnsi"/>
          <w:sz w:val="24"/>
          <w:szCs w:val="24"/>
          <w:lang w:eastAsia="el-GR"/>
        </w:rPr>
        <w:t>,</w:t>
      </w:r>
      <w:r w:rsidR="00CE76BE" w:rsidRPr="00CE76BE">
        <w:rPr>
          <w:rFonts w:eastAsia="Times New Roman" w:cstheme="minorHAnsi"/>
          <w:sz w:val="24"/>
          <w:szCs w:val="24"/>
          <w:lang w:eastAsia="el-GR"/>
        </w:rPr>
        <w:t xml:space="preserve"> &amp; </w:t>
      </w:r>
      <w:r w:rsidR="00CE76BE" w:rsidRPr="00CE76BE">
        <w:rPr>
          <w:rFonts w:eastAsia="Times New Roman" w:cstheme="minorHAnsi"/>
          <w:sz w:val="24"/>
          <w:szCs w:val="24"/>
          <w:lang w:val="en-US" w:eastAsia="el-GR"/>
        </w:rPr>
        <w:t>Sahin</w:t>
      </w:r>
      <w:r w:rsidR="00D75F89" w:rsidRPr="00D75F89">
        <w:rPr>
          <w:rFonts w:eastAsia="Times New Roman" w:cstheme="minorHAnsi"/>
          <w:sz w:val="24"/>
          <w:szCs w:val="24"/>
          <w:lang w:eastAsia="el-GR"/>
        </w:rPr>
        <w:t>,</w:t>
      </w:r>
      <w:r w:rsidR="00307750" w:rsidRPr="00CE76BE">
        <w:rPr>
          <w:sz w:val="24"/>
          <w:szCs w:val="24"/>
        </w:rPr>
        <w:t xml:space="preserve"> 2011</w:t>
      </w:r>
      <w:r w:rsidR="002F2128">
        <w:rPr>
          <w:sz w:val="24"/>
          <w:szCs w:val="24"/>
        </w:rPr>
        <w:t>;</w:t>
      </w:r>
      <w:r w:rsidR="002F2128" w:rsidRPr="002F2128">
        <w:rPr>
          <w:sz w:val="24"/>
          <w:szCs w:val="24"/>
        </w:rPr>
        <w:t xml:space="preserve"> </w:t>
      </w:r>
      <w:r w:rsidR="002F2128" w:rsidRPr="005A464E">
        <w:rPr>
          <w:sz w:val="24"/>
          <w:szCs w:val="24"/>
          <w:lang w:val="en-US"/>
        </w:rPr>
        <w:t>Theofilou</w:t>
      </w:r>
      <w:r w:rsidR="002F2128" w:rsidRPr="005A464E">
        <w:rPr>
          <w:sz w:val="24"/>
          <w:szCs w:val="24"/>
        </w:rPr>
        <w:t xml:space="preserve">, </w:t>
      </w:r>
      <w:r w:rsidR="002F2128">
        <w:rPr>
          <w:sz w:val="24"/>
          <w:szCs w:val="24"/>
        </w:rPr>
        <w:t>2013</w:t>
      </w:r>
      <w:r w:rsidR="00307750" w:rsidRPr="005A464E">
        <w:rPr>
          <w:sz w:val="24"/>
          <w:szCs w:val="24"/>
        </w:rPr>
        <w:t>)</w:t>
      </w:r>
      <w:r w:rsidR="00AD5F6D" w:rsidRPr="005A464E">
        <w:rPr>
          <w:sz w:val="24"/>
          <w:szCs w:val="24"/>
        </w:rPr>
        <w:t>.</w:t>
      </w:r>
      <w:r w:rsidR="00A92154" w:rsidRPr="005A464E">
        <w:rPr>
          <w:sz w:val="24"/>
          <w:szCs w:val="24"/>
        </w:rPr>
        <w:t xml:space="preserve"> </w:t>
      </w:r>
      <w:r w:rsidR="00855531">
        <w:rPr>
          <w:sz w:val="24"/>
          <w:szCs w:val="24"/>
        </w:rPr>
        <w:t>Σύμφωνα με τους Tezel</w:t>
      </w:r>
      <w:r w:rsidR="00855531" w:rsidRPr="00855531">
        <w:rPr>
          <w:sz w:val="24"/>
          <w:szCs w:val="24"/>
        </w:rPr>
        <w:t xml:space="preserve"> </w:t>
      </w:r>
      <w:r w:rsidR="00855531">
        <w:rPr>
          <w:sz w:val="24"/>
          <w:szCs w:val="24"/>
          <w:lang w:val="en-US"/>
        </w:rPr>
        <w:t>et</w:t>
      </w:r>
      <w:r w:rsidR="00855531" w:rsidRPr="00855531">
        <w:rPr>
          <w:sz w:val="24"/>
          <w:szCs w:val="24"/>
        </w:rPr>
        <w:t xml:space="preserve"> </w:t>
      </w:r>
      <w:r w:rsidR="00855531">
        <w:rPr>
          <w:sz w:val="24"/>
          <w:szCs w:val="24"/>
          <w:lang w:val="en-US"/>
        </w:rPr>
        <w:t>al</w:t>
      </w:r>
      <w:r w:rsidR="00855531" w:rsidRPr="00855531">
        <w:rPr>
          <w:sz w:val="24"/>
          <w:szCs w:val="24"/>
        </w:rPr>
        <w:t>.</w:t>
      </w:r>
      <w:r w:rsidR="00874841">
        <w:rPr>
          <w:sz w:val="24"/>
          <w:szCs w:val="24"/>
        </w:rPr>
        <w:t xml:space="preserve"> (2011)</w:t>
      </w:r>
      <w:r w:rsidR="00334693">
        <w:rPr>
          <w:sz w:val="24"/>
          <w:szCs w:val="24"/>
        </w:rPr>
        <w:t>,</w:t>
      </w:r>
      <w:r w:rsidR="00874841">
        <w:rPr>
          <w:sz w:val="24"/>
          <w:szCs w:val="24"/>
        </w:rPr>
        <w:t xml:space="preserve"> η βοήθεια</w:t>
      </w:r>
      <w:r w:rsidR="00AD5F6D" w:rsidRPr="005A464E">
        <w:rPr>
          <w:sz w:val="24"/>
          <w:szCs w:val="24"/>
        </w:rPr>
        <w:t xml:space="preserve"> που προέρχεται από την οικογένεια μπορεί να είναι συναισθηματική (βελτίωση της ποιότητας ζωής) ή πρακτική (μεταφορές, προετοιμασία</w:t>
      </w:r>
      <w:r w:rsidR="00375117" w:rsidRPr="005A464E">
        <w:rPr>
          <w:sz w:val="24"/>
          <w:szCs w:val="24"/>
        </w:rPr>
        <w:t xml:space="preserve"> </w:t>
      </w:r>
      <w:r w:rsidR="00A92154" w:rsidRPr="005A464E">
        <w:rPr>
          <w:sz w:val="24"/>
          <w:szCs w:val="24"/>
        </w:rPr>
        <w:t>γεύματος</w:t>
      </w:r>
      <w:r w:rsidR="00AD5F6D" w:rsidRPr="005A464E">
        <w:rPr>
          <w:sz w:val="24"/>
          <w:szCs w:val="24"/>
        </w:rPr>
        <w:t>, οικονομική). Οι φίλοι και η οικογένεια προσφέρο</w:t>
      </w:r>
      <w:r w:rsidR="00375117" w:rsidRPr="005A464E">
        <w:rPr>
          <w:sz w:val="24"/>
          <w:szCs w:val="24"/>
        </w:rPr>
        <w:t>υν ένα κίνητρο για μάθηση και</w:t>
      </w:r>
      <w:r w:rsidR="00AD5F6D" w:rsidRPr="005A464E">
        <w:rPr>
          <w:sz w:val="24"/>
          <w:szCs w:val="24"/>
        </w:rPr>
        <w:t xml:space="preserve"> συμμόρφωση με τις αλλαγές του τρόπου της ζωής. Ωστόσο, η κοινωνική υποστήριξη επηρεάζει τα θε</w:t>
      </w:r>
      <w:r w:rsidR="00AE19D0">
        <w:rPr>
          <w:sz w:val="24"/>
          <w:szCs w:val="24"/>
        </w:rPr>
        <w:t>τικά αποτελέσματα και αποτελεί έναν σύνδεσμο</w:t>
      </w:r>
      <w:r w:rsidR="00AD5F6D" w:rsidRPr="005A464E">
        <w:rPr>
          <w:sz w:val="24"/>
          <w:szCs w:val="24"/>
        </w:rPr>
        <w:t xml:space="preserve"> μεταξύ των ασθενών υπό </w:t>
      </w:r>
      <w:r w:rsidR="002F2128">
        <w:rPr>
          <w:sz w:val="24"/>
          <w:szCs w:val="24"/>
        </w:rPr>
        <w:t>αιμοκάθαρση</w:t>
      </w:r>
      <w:r w:rsidR="002F2128" w:rsidRPr="005A464E">
        <w:rPr>
          <w:sz w:val="24"/>
          <w:szCs w:val="24"/>
        </w:rPr>
        <w:t xml:space="preserve"> </w:t>
      </w:r>
      <w:r w:rsidR="00C24DFC">
        <w:rPr>
          <w:sz w:val="24"/>
          <w:szCs w:val="24"/>
        </w:rPr>
        <w:t>και της συμμόρφωσης στη</w:t>
      </w:r>
      <w:r w:rsidR="00AD5F6D" w:rsidRPr="005A464E">
        <w:rPr>
          <w:sz w:val="24"/>
          <w:szCs w:val="24"/>
        </w:rPr>
        <w:t xml:space="preserve"> θεραπευτική αγωγή</w:t>
      </w:r>
      <w:r w:rsidR="00910F10">
        <w:rPr>
          <w:sz w:val="24"/>
          <w:szCs w:val="24"/>
        </w:rPr>
        <w:t xml:space="preserve"> (</w:t>
      </w:r>
      <w:r w:rsidR="00910F10">
        <w:rPr>
          <w:sz w:val="24"/>
          <w:szCs w:val="24"/>
          <w:lang w:val="en-US"/>
        </w:rPr>
        <w:t>Theofilou</w:t>
      </w:r>
      <w:r w:rsidR="00910F10" w:rsidRPr="00910F10">
        <w:rPr>
          <w:sz w:val="24"/>
          <w:szCs w:val="24"/>
        </w:rPr>
        <w:t xml:space="preserve">, </w:t>
      </w:r>
      <w:r w:rsidR="00910F10">
        <w:rPr>
          <w:sz w:val="24"/>
          <w:szCs w:val="24"/>
          <w:lang w:val="en-US"/>
        </w:rPr>
        <w:t>Zyga</w:t>
      </w:r>
      <w:r w:rsidR="00910F10" w:rsidRPr="00910F10">
        <w:rPr>
          <w:sz w:val="24"/>
          <w:szCs w:val="24"/>
        </w:rPr>
        <w:t xml:space="preserve">, </w:t>
      </w:r>
      <w:r w:rsidR="00910F10">
        <w:rPr>
          <w:sz w:val="24"/>
          <w:szCs w:val="24"/>
          <w:lang w:val="en-US"/>
        </w:rPr>
        <w:t>Tzitzikos</w:t>
      </w:r>
      <w:r w:rsidR="00910F10" w:rsidRPr="00910F10">
        <w:rPr>
          <w:sz w:val="24"/>
          <w:szCs w:val="24"/>
        </w:rPr>
        <w:t xml:space="preserve">, </w:t>
      </w:r>
      <w:r w:rsidR="00910F10">
        <w:rPr>
          <w:sz w:val="24"/>
          <w:szCs w:val="24"/>
          <w:lang w:val="en-US"/>
        </w:rPr>
        <w:t>Malindretos</w:t>
      </w:r>
      <w:r w:rsidR="00910F10" w:rsidRPr="00910F10">
        <w:rPr>
          <w:sz w:val="24"/>
          <w:szCs w:val="24"/>
        </w:rPr>
        <w:t xml:space="preserve">, &amp; </w:t>
      </w:r>
      <w:r w:rsidR="00910F10">
        <w:rPr>
          <w:sz w:val="24"/>
          <w:szCs w:val="24"/>
          <w:lang w:val="en-US"/>
        </w:rPr>
        <w:t>Kotrotriou</w:t>
      </w:r>
      <w:r w:rsidR="00910F10" w:rsidRPr="00910F10">
        <w:rPr>
          <w:sz w:val="24"/>
          <w:szCs w:val="24"/>
        </w:rPr>
        <w:t>, 2014</w:t>
      </w:r>
      <w:r w:rsidR="00D67E62">
        <w:rPr>
          <w:sz w:val="24"/>
          <w:szCs w:val="24"/>
        </w:rPr>
        <w:t xml:space="preserve">; </w:t>
      </w:r>
      <w:r w:rsidR="00D67E62" w:rsidRPr="00D67E62">
        <w:rPr>
          <w:rFonts w:asciiTheme="minorHAnsi" w:hAnsiTheme="minorHAnsi" w:cstheme="minorHAnsi"/>
          <w:color w:val="222222"/>
          <w:sz w:val="24"/>
          <w:szCs w:val="24"/>
          <w:shd w:val="clear" w:color="auto" w:fill="FFFFFF"/>
        </w:rPr>
        <w:t>Alikari, Fradelos, &amp; Zyga 2015</w:t>
      </w:r>
      <w:r w:rsidR="00910F10" w:rsidRPr="00D67E62">
        <w:rPr>
          <w:rFonts w:asciiTheme="minorHAnsi" w:hAnsiTheme="minorHAnsi" w:cstheme="minorHAnsi"/>
          <w:sz w:val="24"/>
          <w:szCs w:val="24"/>
        </w:rPr>
        <w:t>)</w:t>
      </w:r>
      <w:r w:rsidR="00AD5F6D" w:rsidRPr="00D67E62">
        <w:rPr>
          <w:rFonts w:asciiTheme="minorHAnsi" w:hAnsiTheme="minorHAnsi" w:cstheme="minorHAnsi"/>
          <w:sz w:val="24"/>
          <w:szCs w:val="24"/>
        </w:rPr>
        <w:t>.</w:t>
      </w:r>
    </w:p>
    <w:p w:rsidR="00313E02" w:rsidRPr="004E0AB7" w:rsidRDefault="00313E02" w:rsidP="004E0AB7">
      <w:pPr>
        <w:pStyle w:val="a5"/>
        <w:numPr>
          <w:ilvl w:val="0"/>
          <w:numId w:val="121"/>
        </w:numPr>
        <w:tabs>
          <w:tab w:val="left" w:pos="3294"/>
        </w:tabs>
        <w:spacing w:line="360" w:lineRule="auto"/>
        <w:jc w:val="both"/>
        <w:rPr>
          <w:i/>
          <w:sz w:val="24"/>
          <w:szCs w:val="24"/>
        </w:rPr>
      </w:pPr>
      <w:r w:rsidRPr="004E0AB7">
        <w:rPr>
          <w:i/>
          <w:sz w:val="24"/>
          <w:szCs w:val="24"/>
        </w:rPr>
        <w:t xml:space="preserve">Απασχόληση </w:t>
      </w:r>
    </w:p>
    <w:p w:rsidR="00AD5F6D" w:rsidRPr="003041EB" w:rsidRDefault="00711779" w:rsidP="005A464E">
      <w:pPr>
        <w:tabs>
          <w:tab w:val="left" w:pos="3294"/>
        </w:tabs>
        <w:spacing w:line="360" w:lineRule="auto"/>
        <w:jc w:val="both"/>
        <w:rPr>
          <w:sz w:val="24"/>
          <w:szCs w:val="24"/>
        </w:rPr>
      </w:pPr>
      <w:r w:rsidRPr="005A464E">
        <w:rPr>
          <w:sz w:val="24"/>
          <w:szCs w:val="24"/>
        </w:rPr>
        <w:t>Σε ό,</w:t>
      </w:r>
      <w:r w:rsidR="00AD5F6D" w:rsidRPr="005A464E">
        <w:rPr>
          <w:sz w:val="24"/>
          <w:szCs w:val="24"/>
        </w:rPr>
        <w:t xml:space="preserve">τι αφορά την απασχόληση </w:t>
      </w:r>
      <w:r w:rsidR="00C24DFC">
        <w:rPr>
          <w:sz w:val="24"/>
          <w:szCs w:val="24"/>
        </w:rPr>
        <w:t xml:space="preserve">φαίνεται ότι </w:t>
      </w:r>
      <w:r w:rsidR="00AD5F6D" w:rsidRPr="005A464E">
        <w:rPr>
          <w:sz w:val="24"/>
          <w:szCs w:val="24"/>
        </w:rPr>
        <w:t>είναι ένας προγνωστικός μη συμμόρφωσης. Οι ασθενείς οι οποίοι εργάζονται</w:t>
      </w:r>
      <w:r w:rsidR="00C24DFC">
        <w:rPr>
          <w:sz w:val="24"/>
          <w:szCs w:val="24"/>
        </w:rPr>
        <w:t>,</w:t>
      </w:r>
      <w:r w:rsidR="00AD5F6D" w:rsidRPr="005A464E">
        <w:rPr>
          <w:sz w:val="24"/>
          <w:szCs w:val="24"/>
        </w:rPr>
        <w:t xml:space="preserve"> έχουν δυσκολίες στους περιορισμούς της</w:t>
      </w:r>
      <w:r w:rsidR="0078495A">
        <w:rPr>
          <w:sz w:val="24"/>
          <w:szCs w:val="24"/>
        </w:rPr>
        <w:t xml:space="preserve"> </w:t>
      </w:r>
      <w:r w:rsidR="00AD5F6D" w:rsidRPr="005A464E">
        <w:rPr>
          <w:sz w:val="24"/>
          <w:szCs w:val="24"/>
        </w:rPr>
        <w:t>διαιτητικής αγωγής που οδηγεί σε ανεξέλεγκτη πρόσληψη βάρους.</w:t>
      </w:r>
      <w:r w:rsidR="0078495A">
        <w:rPr>
          <w:sz w:val="24"/>
          <w:szCs w:val="24"/>
        </w:rPr>
        <w:t xml:space="preserve"> </w:t>
      </w:r>
      <w:r w:rsidR="00AD5F6D" w:rsidRPr="005A464E">
        <w:rPr>
          <w:sz w:val="24"/>
          <w:szCs w:val="24"/>
        </w:rPr>
        <w:t>Επίσης, οι εργαζόμενοι</w:t>
      </w:r>
      <w:r w:rsidR="0078495A">
        <w:rPr>
          <w:sz w:val="24"/>
          <w:szCs w:val="24"/>
        </w:rPr>
        <w:t xml:space="preserve"> </w:t>
      </w:r>
      <w:r w:rsidR="00AD5F6D" w:rsidRPr="005A464E">
        <w:rPr>
          <w:sz w:val="24"/>
          <w:szCs w:val="24"/>
        </w:rPr>
        <w:t>ασθενείς μπορούν να κατ</w:t>
      </w:r>
      <w:r w:rsidR="00AE19D0">
        <w:rPr>
          <w:sz w:val="24"/>
          <w:szCs w:val="24"/>
        </w:rPr>
        <w:t>αναλώσουν</w:t>
      </w:r>
      <w:r w:rsidR="00375117" w:rsidRPr="005A464E">
        <w:rPr>
          <w:sz w:val="24"/>
          <w:szCs w:val="24"/>
        </w:rPr>
        <w:t xml:space="preserve"> ως επί το πλείστον, «</w:t>
      </w:r>
      <w:r w:rsidR="00AD5F6D" w:rsidRPr="005A464E">
        <w:rPr>
          <w:sz w:val="24"/>
          <w:szCs w:val="24"/>
        </w:rPr>
        <w:t xml:space="preserve">fast τρόφιμα». Αυτά τα </w:t>
      </w:r>
      <w:r w:rsidR="00AE19D0">
        <w:rPr>
          <w:sz w:val="24"/>
          <w:szCs w:val="24"/>
        </w:rPr>
        <w:t>τρόφιμα μπορούν να περιέχουν</w:t>
      </w:r>
      <w:r w:rsidR="00AD5F6D" w:rsidRPr="005A464E">
        <w:rPr>
          <w:sz w:val="24"/>
          <w:szCs w:val="24"/>
        </w:rPr>
        <w:t xml:space="preserve"> υψηλή ποσότητα νατρίου ή καλίου. Είναι, επίσης, </w:t>
      </w:r>
      <w:r w:rsidR="00375117" w:rsidRPr="005A464E">
        <w:rPr>
          <w:sz w:val="24"/>
          <w:szCs w:val="24"/>
        </w:rPr>
        <w:t>πιθανό</w:t>
      </w:r>
      <w:r w:rsidR="00AD5F6D" w:rsidRPr="005A464E">
        <w:rPr>
          <w:sz w:val="24"/>
          <w:szCs w:val="24"/>
        </w:rPr>
        <w:t xml:space="preserve"> ο τρόπος ζωής των εργαζομένων </w:t>
      </w:r>
      <w:r w:rsidR="00375117" w:rsidRPr="005A464E">
        <w:rPr>
          <w:sz w:val="24"/>
          <w:szCs w:val="24"/>
        </w:rPr>
        <w:t xml:space="preserve">να </w:t>
      </w:r>
      <w:r w:rsidR="00AD5F6D" w:rsidRPr="005A464E">
        <w:rPr>
          <w:sz w:val="24"/>
          <w:szCs w:val="24"/>
        </w:rPr>
        <w:t>συνδέεται με χαμηλά ποσοστά συμμόρφωσης στα φωσφ</w:t>
      </w:r>
      <w:r w:rsidR="00375117" w:rsidRPr="005A464E">
        <w:rPr>
          <w:sz w:val="24"/>
          <w:szCs w:val="24"/>
        </w:rPr>
        <w:t>οροδεσμευτικά</w:t>
      </w:r>
      <w:r w:rsidR="00AD5F6D" w:rsidRPr="005A464E">
        <w:rPr>
          <w:sz w:val="24"/>
          <w:szCs w:val="24"/>
        </w:rPr>
        <w:t xml:space="preserve"> φάρμακα καθώς αυτά πρέπει να λαμβάνονται</w:t>
      </w:r>
      <w:r w:rsidR="00375117" w:rsidRPr="005A464E">
        <w:rPr>
          <w:sz w:val="24"/>
          <w:szCs w:val="24"/>
        </w:rPr>
        <w:t xml:space="preserve"> κατά τη διάρκεια των γευμάτων</w:t>
      </w:r>
      <w:r w:rsidR="00D93EF3" w:rsidRPr="005A464E">
        <w:rPr>
          <w:sz w:val="24"/>
          <w:szCs w:val="24"/>
        </w:rPr>
        <w:t xml:space="preserve"> (</w:t>
      </w:r>
      <w:r w:rsidR="00D93EF3" w:rsidRPr="003041EB">
        <w:rPr>
          <w:sz w:val="24"/>
          <w:szCs w:val="24"/>
        </w:rPr>
        <w:t>Bland</w:t>
      </w:r>
      <w:r w:rsidR="00D4220E" w:rsidRPr="003041EB">
        <w:rPr>
          <w:sz w:val="24"/>
          <w:szCs w:val="24"/>
        </w:rPr>
        <w:t>,</w:t>
      </w:r>
      <w:r w:rsidR="003041EB" w:rsidRPr="003041EB">
        <w:rPr>
          <w:sz w:val="24"/>
          <w:szCs w:val="24"/>
        </w:rPr>
        <w:t xml:space="preserve"> </w:t>
      </w:r>
      <w:r w:rsidR="003041EB" w:rsidRPr="003041EB">
        <w:rPr>
          <w:rFonts w:eastAsia="Times New Roman" w:cstheme="minorHAnsi"/>
          <w:sz w:val="24"/>
          <w:szCs w:val="24"/>
          <w:lang w:val="en-US" w:eastAsia="el-GR"/>
        </w:rPr>
        <w:t>Cottrell</w:t>
      </w:r>
      <w:r w:rsidR="002F2128">
        <w:rPr>
          <w:rFonts w:eastAsia="Times New Roman" w:cstheme="minorHAnsi"/>
          <w:sz w:val="24"/>
          <w:szCs w:val="24"/>
          <w:lang w:eastAsia="el-GR"/>
        </w:rPr>
        <w:t>,</w:t>
      </w:r>
      <w:r w:rsidR="003041EB" w:rsidRPr="003041EB">
        <w:rPr>
          <w:rFonts w:eastAsia="Times New Roman" w:cstheme="minorHAnsi"/>
          <w:sz w:val="24"/>
          <w:szCs w:val="24"/>
          <w:lang w:eastAsia="el-GR"/>
        </w:rPr>
        <w:t xml:space="preserve"> &amp;</w:t>
      </w:r>
      <w:r w:rsidR="0078495A">
        <w:rPr>
          <w:rFonts w:eastAsia="Times New Roman" w:cstheme="minorHAnsi"/>
          <w:sz w:val="24"/>
          <w:szCs w:val="24"/>
          <w:lang w:eastAsia="el-GR"/>
        </w:rPr>
        <w:t xml:space="preserve"> </w:t>
      </w:r>
      <w:r w:rsidR="003041EB" w:rsidRPr="003041EB">
        <w:rPr>
          <w:rFonts w:eastAsia="Times New Roman" w:cstheme="minorHAnsi"/>
          <w:sz w:val="24"/>
          <w:szCs w:val="24"/>
          <w:lang w:val="en-US" w:eastAsia="el-GR"/>
        </w:rPr>
        <w:t>Guyler</w:t>
      </w:r>
      <w:r w:rsidR="002F2128">
        <w:rPr>
          <w:rFonts w:eastAsia="Times New Roman" w:cstheme="minorHAnsi"/>
          <w:sz w:val="24"/>
          <w:szCs w:val="24"/>
          <w:lang w:eastAsia="el-GR"/>
        </w:rPr>
        <w:t>,</w:t>
      </w:r>
      <w:r w:rsidR="003041EB" w:rsidRPr="003041EB">
        <w:rPr>
          <w:sz w:val="24"/>
          <w:szCs w:val="24"/>
        </w:rPr>
        <w:t xml:space="preserve"> 2008</w:t>
      </w:r>
      <w:r w:rsidR="00AD5F6D" w:rsidRPr="003041EB">
        <w:rPr>
          <w:sz w:val="24"/>
          <w:szCs w:val="24"/>
        </w:rPr>
        <w:t>)</w:t>
      </w:r>
      <w:r w:rsidR="00375117" w:rsidRPr="003041EB">
        <w:rPr>
          <w:sz w:val="24"/>
          <w:szCs w:val="24"/>
        </w:rPr>
        <w:t>.</w:t>
      </w:r>
    </w:p>
    <w:p w:rsidR="00313E02" w:rsidRPr="004E0AB7" w:rsidRDefault="00924A12" w:rsidP="0066526D">
      <w:pPr>
        <w:pStyle w:val="30"/>
        <w:numPr>
          <w:ilvl w:val="2"/>
          <w:numId w:val="117"/>
        </w:numPr>
        <w:spacing w:after="240" w:line="360" w:lineRule="auto"/>
        <w:rPr>
          <w:rFonts w:asciiTheme="minorHAnsi" w:hAnsiTheme="minorHAnsi"/>
          <w:lang w:eastAsia="el-GR"/>
        </w:rPr>
      </w:pPr>
      <w:bookmarkStart w:id="50" w:name="_Toc495951446"/>
      <w:r w:rsidRPr="004E0AB7">
        <w:rPr>
          <w:rFonts w:asciiTheme="minorHAnsi" w:hAnsiTheme="minorHAnsi"/>
          <w:lang w:eastAsia="el-GR"/>
        </w:rPr>
        <w:t>Παράγοντες που σχετίζονται με το σύστημα υγείας</w:t>
      </w:r>
      <w:bookmarkEnd w:id="50"/>
    </w:p>
    <w:p w:rsidR="00AD5F6D" w:rsidRPr="00995094" w:rsidRDefault="004E0AB7" w:rsidP="004E0AB7">
      <w:pPr>
        <w:pStyle w:val="a5"/>
        <w:numPr>
          <w:ilvl w:val="0"/>
          <w:numId w:val="121"/>
        </w:numPr>
        <w:spacing w:line="360" w:lineRule="auto"/>
        <w:rPr>
          <w:i/>
        </w:rPr>
      </w:pPr>
      <w:r w:rsidRPr="00995094">
        <w:rPr>
          <w:i/>
        </w:rPr>
        <w:t>Σχέση επαγγελματία υγείας</w:t>
      </w:r>
      <w:r w:rsidR="00AD5F6D" w:rsidRPr="00995094">
        <w:rPr>
          <w:i/>
        </w:rPr>
        <w:t xml:space="preserve"> - ασθενή</w:t>
      </w:r>
    </w:p>
    <w:p w:rsidR="00AD5F6D" w:rsidRPr="005A464E" w:rsidRDefault="00AD5F6D" w:rsidP="005A464E">
      <w:pPr>
        <w:spacing w:line="360" w:lineRule="auto"/>
        <w:jc w:val="both"/>
        <w:rPr>
          <w:sz w:val="24"/>
          <w:szCs w:val="24"/>
        </w:rPr>
      </w:pPr>
      <w:r w:rsidRPr="005A464E">
        <w:rPr>
          <w:sz w:val="24"/>
          <w:szCs w:val="24"/>
        </w:rPr>
        <w:t>Η σχέση μεταξύ του προσωπικού των μονάδων αιμοκάθαρσης και των ασθενών υπό αιμοκάθαρση αποτελεί βασικό παρ</w:t>
      </w:r>
      <w:r w:rsidR="00874841">
        <w:rPr>
          <w:sz w:val="24"/>
          <w:szCs w:val="24"/>
        </w:rPr>
        <w:t xml:space="preserve">άγοντα της συμμόρφωσης (Krueger, </w:t>
      </w:r>
      <w:r w:rsidR="00874841" w:rsidRPr="00874841">
        <w:rPr>
          <w:rFonts w:cstheme="minorHAnsi"/>
          <w:sz w:val="24"/>
          <w:szCs w:val="24"/>
          <w:lang w:val="en-US"/>
        </w:rPr>
        <w:t>Berger</w:t>
      </w:r>
      <w:r w:rsidR="007B503D" w:rsidRPr="007B503D">
        <w:rPr>
          <w:rFonts w:cstheme="minorHAnsi"/>
          <w:sz w:val="24"/>
          <w:szCs w:val="24"/>
        </w:rPr>
        <w:t>,</w:t>
      </w:r>
      <w:r w:rsidR="00874841" w:rsidRPr="00874841">
        <w:rPr>
          <w:rFonts w:cstheme="minorHAnsi"/>
          <w:sz w:val="24"/>
          <w:szCs w:val="24"/>
        </w:rPr>
        <w:t xml:space="preserve"> &amp; </w:t>
      </w:r>
      <w:r w:rsidR="00874841" w:rsidRPr="00874841">
        <w:rPr>
          <w:rFonts w:cstheme="minorHAnsi"/>
          <w:sz w:val="24"/>
          <w:szCs w:val="24"/>
          <w:lang w:val="en-US"/>
        </w:rPr>
        <w:t>Felkey</w:t>
      </w:r>
      <w:r w:rsidR="007B503D" w:rsidRPr="007B503D">
        <w:rPr>
          <w:rFonts w:cstheme="minorHAnsi"/>
          <w:sz w:val="24"/>
          <w:szCs w:val="24"/>
        </w:rPr>
        <w:t>,</w:t>
      </w:r>
      <w:r w:rsidRPr="00874841">
        <w:rPr>
          <w:sz w:val="24"/>
          <w:szCs w:val="24"/>
        </w:rPr>
        <w:t xml:space="preserve"> </w:t>
      </w:r>
      <w:r w:rsidRPr="005A464E">
        <w:rPr>
          <w:sz w:val="24"/>
          <w:szCs w:val="24"/>
        </w:rPr>
        <w:t>2005).</w:t>
      </w:r>
    </w:p>
    <w:p w:rsidR="00AD5F6D" w:rsidRPr="005A464E" w:rsidRDefault="00E412AC" w:rsidP="005A464E">
      <w:pPr>
        <w:spacing w:line="360" w:lineRule="auto"/>
        <w:jc w:val="both"/>
        <w:rPr>
          <w:sz w:val="24"/>
          <w:szCs w:val="24"/>
        </w:rPr>
      </w:pPr>
      <w:r w:rsidRPr="005A464E">
        <w:rPr>
          <w:sz w:val="24"/>
          <w:szCs w:val="24"/>
        </w:rPr>
        <w:t>Ο</w:t>
      </w:r>
      <w:r w:rsidR="00AD5F6D" w:rsidRPr="005A464E">
        <w:rPr>
          <w:sz w:val="24"/>
          <w:szCs w:val="24"/>
        </w:rPr>
        <w:t xml:space="preserve"> Plantinga </w:t>
      </w:r>
      <w:r w:rsidR="00332783" w:rsidRPr="005A464E">
        <w:rPr>
          <w:sz w:val="24"/>
          <w:szCs w:val="24"/>
        </w:rPr>
        <w:t>(2005)</w:t>
      </w:r>
      <w:r w:rsidRPr="005A464E">
        <w:rPr>
          <w:sz w:val="24"/>
          <w:szCs w:val="24"/>
        </w:rPr>
        <w:t xml:space="preserve"> μελέτησε</w:t>
      </w:r>
      <w:r w:rsidR="00AD5F6D" w:rsidRPr="005A464E">
        <w:rPr>
          <w:sz w:val="24"/>
          <w:szCs w:val="24"/>
        </w:rPr>
        <w:t xml:space="preserve"> το επίπεδο συμμόρφωσης των ασθενών υπό </w:t>
      </w:r>
      <w:r w:rsidR="002F2128">
        <w:rPr>
          <w:sz w:val="24"/>
          <w:szCs w:val="24"/>
        </w:rPr>
        <w:t>αιμοκάθαρση</w:t>
      </w:r>
      <w:r w:rsidR="002F2128" w:rsidRPr="005A464E">
        <w:rPr>
          <w:sz w:val="24"/>
          <w:szCs w:val="24"/>
        </w:rPr>
        <w:t xml:space="preserve"> </w:t>
      </w:r>
      <w:r w:rsidR="00AD5F6D" w:rsidRPr="005A464E">
        <w:rPr>
          <w:sz w:val="24"/>
          <w:szCs w:val="24"/>
        </w:rPr>
        <w:t>με βάση τη συχνό</w:t>
      </w:r>
      <w:r w:rsidR="002F2128">
        <w:rPr>
          <w:sz w:val="24"/>
          <w:szCs w:val="24"/>
        </w:rPr>
        <w:t>τητα της επαφής με τον επαγγελματία υγείας</w:t>
      </w:r>
      <w:r w:rsidR="00AD5F6D" w:rsidRPr="005A464E">
        <w:rPr>
          <w:sz w:val="24"/>
          <w:szCs w:val="24"/>
        </w:rPr>
        <w:t>. Οι ασθενείς με χαμηλή συχνότητα επαφής έδειξαν υψηλά ποσοστά μη συμμόρφωσης στην αγωγή (14%) σε σύγκριση με τους ασθενείς με υψηλή σ</w:t>
      </w:r>
      <w:r w:rsidR="00C24DFC">
        <w:rPr>
          <w:sz w:val="24"/>
          <w:szCs w:val="24"/>
        </w:rPr>
        <w:t xml:space="preserve">υχνότητα επαφής με </w:t>
      </w:r>
      <w:r w:rsidR="00C24DFC" w:rsidRPr="004E0AB7">
        <w:rPr>
          <w:sz w:val="24"/>
          <w:szCs w:val="24"/>
        </w:rPr>
        <w:t>τον επαγγελματία υγείας</w:t>
      </w:r>
      <w:r w:rsidR="00AD5F6D" w:rsidRPr="004E0AB7">
        <w:rPr>
          <w:sz w:val="24"/>
          <w:szCs w:val="24"/>
        </w:rPr>
        <w:t xml:space="preserve"> (6%).</w:t>
      </w:r>
      <w:r w:rsidR="00AD5F6D" w:rsidRPr="005A464E">
        <w:rPr>
          <w:sz w:val="24"/>
          <w:szCs w:val="24"/>
        </w:rPr>
        <w:t xml:space="preserve"> </w:t>
      </w:r>
    </w:p>
    <w:p w:rsidR="00AD5F6D" w:rsidRPr="005A464E" w:rsidRDefault="00AD5F6D" w:rsidP="005A464E">
      <w:pPr>
        <w:spacing w:line="360" w:lineRule="auto"/>
        <w:jc w:val="both"/>
        <w:rPr>
          <w:sz w:val="24"/>
          <w:szCs w:val="24"/>
        </w:rPr>
      </w:pPr>
      <w:r w:rsidRPr="005A464E">
        <w:rPr>
          <w:sz w:val="24"/>
          <w:szCs w:val="24"/>
        </w:rPr>
        <w:t>Σε μια παρ</w:t>
      </w:r>
      <w:r w:rsidR="00B9599E" w:rsidRPr="005A464E">
        <w:rPr>
          <w:sz w:val="24"/>
          <w:szCs w:val="24"/>
        </w:rPr>
        <w:t>όμοια μελέτη οι Kerse</w:t>
      </w:r>
      <w:r w:rsidRPr="005A464E">
        <w:rPr>
          <w:sz w:val="24"/>
          <w:szCs w:val="24"/>
        </w:rPr>
        <w:t xml:space="preserve"> </w:t>
      </w:r>
      <w:r w:rsidR="00566CAA">
        <w:rPr>
          <w:sz w:val="24"/>
          <w:szCs w:val="24"/>
        </w:rPr>
        <w:t>et al</w:t>
      </w:r>
      <w:r w:rsidR="00874841">
        <w:rPr>
          <w:sz w:val="24"/>
          <w:szCs w:val="24"/>
        </w:rPr>
        <w:t>.</w:t>
      </w:r>
      <w:r w:rsidR="00B9599E" w:rsidRPr="005A464E">
        <w:rPr>
          <w:sz w:val="24"/>
          <w:szCs w:val="24"/>
        </w:rPr>
        <w:t xml:space="preserve"> (2004)</w:t>
      </w:r>
      <w:r w:rsidR="00FA6A7E">
        <w:rPr>
          <w:sz w:val="24"/>
          <w:szCs w:val="24"/>
        </w:rPr>
        <w:t xml:space="preserve"> </w:t>
      </w:r>
      <w:r w:rsidR="00997BA9" w:rsidRPr="00997BA9">
        <w:rPr>
          <w:sz w:val="24"/>
          <w:szCs w:val="24"/>
        </w:rPr>
        <w:t>κατ</w:t>
      </w:r>
      <w:r w:rsidR="00FA6A7E" w:rsidRPr="00997BA9">
        <w:rPr>
          <w:sz w:val="24"/>
          <w:szCs w:val="24"/>
        </w:rPr>
        <w:t>έδειξαν πως</w:t>
      </w:r>
      <w:r w:rsidRPr="005A464E">
        <w:rPr>
          <w:sz w:val="24"/>
          <w:szCs w:val="24"/>
        </w:rPr>
        <w:t xml:space="preserve"> οι ασθενείς που είχαν υψηλά επίπ</w:t>
      </w:r>
      <w:r w:rsidR="00FA6A7E">
        <w:rPr>
          <w:sz w:val="24"/>
          <w:szCs w:val="24"/>
        </w:rPr>
        <w:t>εδα συμφωνίας με τους επαγγελματίες υγείας,</w:t>
      </w:r>
      <w:r w:rsidRPr="005A464E">
        <w:rPr>
          <w:sz w:val="24"/>
          <w:szCs w:val="24"/>
        </w:rPr>
        <w:t xml:space="preserve"> ήταν πιο πιθανό να συμμορφωθούν στην φαρμακευτική αγωγή τους.</w:t>
      </w:r>
    </w:p>
    <w:p w:rsidR="00AD5F6D" w:rsidRPr="005A464E" w:rsidRDefault="00375117" w:rsidP="005A464E">
      <w:pPr>
        <w:spacing w:line="360" w:lineRule="auto"/>
        <w:jc w:val="both"/>
        <w:rPr>
          <w:sz w:val="24"/>
          <w:szCs w:val="24"/>
        </w:rPr>
      </w:pPr>
      <w:r w:rsidRPr="005A464E">
        <w:rPr>
          <w:sz w:val="24"/>
          <w:szCs w:val="24"/>
        </w:rPr>
        <w:t xml:space="preserve">Οι </w:t>
      </w:r>
      <w:r w:rsidRPr="005A464E">
        <w:rPr>
          <w:sz w:val="24"/>
          <w:szCs w:val="24"/>
          <w:lang w:val="en-US"/>
        </w:rPr>
        <w:t>Saran</w:t>
      </w:r>
      <w:r w:rsidRPr="005A464E">
        <w:rPr>
          <w:sz w:val="24"/>
          <w:szCs w:val="24"/>
        </w:rPr>
        <w:t xml:space="preserve"> </w:t>
      </w:r>
      <w:r w:rsidR="00566CAA">
        <w:rPr>
          <w:sz w:val="24"/>
          <w:szCs w:val="24"/>
        </w:rPr>
        <w:t>et al</w:t>
      </w:r>
      <w:r w:rsidR="003041EB">
        <w:rPr>
          <w:sz w:val="24"/>
          <w:szCs w:val="24"/>
        </w:rPr>
        <w:t>.</w:t>
      </w:r>
      <w:r w:rsidRPr="005A464E">
        <w:rPr>
          <w:sz w:val="24"/>
          <w:szCs w:val="24"/>
        </w:rPr>
        <w:t xml:space="preserve"> (2003) έδειξαν</w:t>
      </w:r>
      <w:r w:rsidR="00AD5F6D" w:rsidRPr="005A464E">
        <w:rPr>
          <w:sz w:val="24"/>
          <w:szCs w:val="24"/>
        </w:rPr>
        <w:t xml:space="preserve"> ότι υπάρχει σύνδεση μεταξύ της παρουσίας ενό</w:t>
      </w:r>
      <w:r w:rsidR="00FA6A7E">
        <w:rPr>
          <w:sz w:val="24"/>
          <w:szCs w:val="24"/>
        </w:rPr>
        <w:t>ς διαιτολόγου στην ΜΤΝ</w:t>
      </w:r>
      <w:r w:rsidR="00AD5F6D" w:rsidRPr="005A464E">
        <w:rPr>
          <w:sz w:val="24"/>
          <w:szCs w:val="24"/>
        </w:rPr>
        <w:t xml:space="preserve"> και της χαμηλότερης πιθανότητας μη συμμόρφωσης στην πρόσληψη </w:t>
      </w:r>
      <w:r w:rsidR="00FA6A7E">
        <w:rPr>
          <w:sz w:val="24"/>
          <w:szCs w:val="24"/>
        </w:rPr>
        <w:t>των υγρών</w:t>
      </w:r>
      <w:r w:rsidR="00AD5F6D" w:rsidRPr="005A464E">
        <w:rPr>
          <w:sz w:val="24"/>
          <w:szCs w:val="24"/>
        </w:rPr>
        <w:t>. Τα αποτε</w:t>
      </w:r>
      <w:r w:rsidR="00FA6A7E">
        <w:rPr>
          <w:sz w:val="24"/>
          <w:szCs w:val="24"/>
        </w:rPr>
        <w:t xml:space="preserve">λέσματα της </w:t>
      </w:r>
      <w:r w:rsidR="00DF4830">
        <w:rPr>
          <w:sz w:val="24"/>
          <w:szCs w:val="24"/>
        </w:rPr>
        <w:t>μελέτη</w:t>
      </w:r>
      <w:r w:rsidR="00FA6A7E">
        <w:rPr>
          <w:sz w:val="24"/>
          <w:szCs w:val="24"/>
        </w:rPr>
        <w:t xml:space="preserve">ς </w:t>
      </w:r>
      <w:r w:rsidR="00997BA9">
        <w:rPr>
          <w:sz w:val="24"/>
          <w:szCs w:val="24"/>
        </w:rPr>
        <w:t>ανέδειξαν</w:t>
      </w:r>
      <w:r w:rsidR="00AD5F6D" w:rsidRPr="005A464E">
        <w:rPr>
          <w:sz w:val="24"/>
          <w:szCs w:val="24"/>
        </w:rPr>
        <w:t xml:space="preserve"> την πιθανή σημασία της άμεσης φροντίδας των ασθενών από προσωπικό που είναι άριστα εκπαιδευμένο. Για κάθε αύξηση 10% στις ώρες εργασίας του άρτια εκπαιδευμένου προσωπικού</w:t>
      </w:r>
      <w:r w:rsidR="0078495A">
        <w:rPr>
          <w:sz w:val="24"/>
          <w:szCs w:val="24"/>
        </w:rPr>
        <w:t xml:space="preserve"> </w:t>
      </w:r>
      <w:r w:rsidR="00AD5F6D" w:rsidRPr="005A464E">
        <w:rPr>
          <w:sz w:val="24"/>
          <w:szCs w:val="24"/>
        </w:rPr>
        <w:t>υπήρξε μια μείωση στην πιθανότητα</w:t>
      </w:r>
      <w:r w:rsidR="00FA6A7E">
        <w:rPr>
          <w:sz w:val="24"/>
          <w:szCs w:val="24"/>
        </w:rPr>
        <w:t xml:space="preserve"> παράλειψης της συνεδρίας</w:t>
      </w:r>
      <w:r w:rsidR="00AD5F6D" w:rsidRPr="005A464E">
        <w:rPr>
          <w:sz w:val="24"/>
          <w:szCs w:val="24"/>
        </w:rPr>
        <w:t xml:space="preserve">. Οι πιθανότητες παράλειψης ήταν 11% χαμηλότερες για κάθε </w:t>
      </w:r>
      <w:r w:rsidR="00032C8D" w:rsidRPr="005A464E">
        <w:rPr>
          <w:sz w:val="24"/>
          <w:szCs w:val="24"/>
        </w:rPr>
        <w:t>10%</w:t>
      </w:r>
      <w:r w:rsidR="00032C8D">
        <w:rPr>
          <w:sz w:val="24"/>
          <w:szCs w:val="24"/>
        </w:rPr>
        <w:t xml:space="preserve"> αύξηση </w:t>
      </w:r>
      <w:r w:rsidR="00AD5F6D" w:rsidRPr="005A464E">
        <w:rPr>
          <w:sz w:val="24"/>
          <w:szCs w:val="24"/>
        </w:rPr>
        <w:t>στο άρτια εκπαιδευμένο προσωπικό τ</w:t>
      </w:r>
      <w:r w:rsidR="00FA6A7E">
        <w:rPr>
          <w:sz w:val="24"/>
          <w:szCs w:val="24"/>
        </w:rPr>
        <w:t>ης μονάδας</w:t>
      </w:r>
      <w:r w:rsidRPr="005A464E">
        <w:rPr>
          <w:sz w:val="24"/>
          <w:szCs w:val="24"/>
        </w:rPr>
        <w:t>.</w:t>
      </w:r>
      <w:r w:rsidR="00AD5F6D" w:rsidRPr="005A464E">
        <w:rPr>
          <w:sz w:val="24"/>
          <w:szCs w:val="24"/>
        </w:rPr>
        <w:t xml:space="preserve"> Επομένω</w:t>
      </w:r>
      <w:r w:rsidR="00505634" w:rsidRPr="005A464E">
        <w:rPr>
          <w:sz w:val="24"/>
          <w:szCs w:val="24"/>
        </w:rPr>
        <w:t>ς, τόσο το ποσοστό των ωρών του</w:t>
      </w:r>
      <w:r w:rsidR="00AD5F6D" w:rsidRPr="005A464E">
        <w:rPr>
          <w:sz w:val="24"/>
          <w:szCs w:val="24"/>
        </w:rPr>
        <w:t xml:space="preserve"> άρτια εκπαιδευμένου προσωπικού όσο και του αριθμού των άρτια εκπαιδευμένων μελών του προσωπικ</w:t>
      </w:r>
      <w:r w:rsidR="00FA6A7E">
        <w:rPr>
          <w:sz w:val="24"/>
          <w:szCs w:val="24"/>
        </w:rPr>
        <w:t>ού σε μια ΜΤΝ</w:t>
      </w:r>
      <w:r w:rsidR="00AD5F6D" w:rsidRPr="005A464E">
        <w:rPr>
          <w:sz w:val="24"/>
          <w:szCs w:val="24"/>
        </w:rPr>
        <w:t xml:space="preserve"> φαίνεται να έχει επίδραση στην συμπεριφορά των ασθενών. Ο χρόνος συμβουλευτικής που αφιερώνεται από διαιτολόγους</w:t>
      </w:r>
      <w:r w:rsidR="0078495A">
        <w:rPr>
          <w:sz w:val="24"/>
          <w:szCs w:val="24"/>
        </w:rPr>
        <w:t xml:space="preserve"> </w:t>
      </w:r>
      <w:r w:rsidR="00AD5F6D" w:rsidRPr="005A464E">
        <w:rPr>
          <w:sz w:val="24"/>
          <w:szCs w:val="24"/>
        </w:rPr>
        <w:t>στους ασθενείς</w:t>
      </w:r>
      <w:r w:rsidR="0078495A">
        <w:rPr>
          <w:sz w:val="24"/>
          <w:szCs w:val="24"/>
        </w:rPr>
        <w:t xml:space="preserve"> </w:t>
      </w:r>
      <w:r w:rsidR="00AD5F6D" w:rsidRPr="005A464E">
        <w:rPr>
          <w:sz w:val="24"/>
          <w:szCs w:val="24"/>
        </w:rPr>
        <w:t>είναι ευεργετικός για τη βελτίωση της συμμόρφωσης (</w:t>
      </w:r>
      <w:r w:rsidR="00AD5F6D" w:rsidRPr="005A464E">
        <w:rPr>
          <w:sz w:val="24"/>
          <w:szCs w:val="24"/>
          <w:lang w:val="en-US"/>
        </w:rPr>
        <w:t>Saran</w:t>
      </w:r>
      <w:r w:rsidR="00A92154" w:rsidRPr="005A464E">
        <w:rPr>
          <w:sz w:val="24"/>
          <w:szCs w:val="24"/>
        </w:rPr>
        <w:t xml:space="preserve"> </w:t>
      </w:r>
      <w:r w:rsidR="00566CAA">
        <w:rPr>
          <w:sz w:val="24"/>
          <w:szCs w:val="24"/>
        </w:rPr>
        <w:t>et al</w:t>
      </w:r>
      <w:r w:rsidR="003041EB">
        <w:rPr>
          <w:sz w:val="24"/>
          <w:szCs w:val="24"/>
        </w:rPr>
        <w:t>.</w:t>
      </w:r>
      <w:r w:rsidR="00032C8D">
        <w:rPr>
          <w:sz w:val="24"/>
          <w:szCs w:val="24"/>
        </w:rPr>
        <w:t>,</w:t>
      </w:r>
      <w:r w:rsidR="00505634" w:rsidRPr="005A464E">
        <w:rPr>
          <w:sz w:val="24"/>
          <w:szCs w:val="24"/>
        </w:rPr>
        <w:t xml:space="preserve"> 2003).</w:t>
      </w:r>
    </w:p>
    <w:p w:rsidR="00AD5F6D" w:rsidRPr="004E0AB7" w:rsidRDefault="00997BA9" w:rsidP="004E0AB7">
      <w:pPr>
        <w:pStyle w:val="a5"/>
        <w:numPr>
          <w:ilvl w:val="0"/>
          <w:numId w:val="121"/>
        </w:numPr>
        <w:spacing w:line="360" w:lineRule="auto"/>
        <w:rPr>
          <w:i/>
          <w:lang w:eastAsia="el-GR"/>
        </w:rPr>
      </w:pPr>
      <w:r w:rsidRPr="004E0AB7">
        <w:rPr>
          <w:i/>
          <w:lang w:eastAsia="el-GR"/>
        </w:rPr>
        <w:t>Μέγεθος και χαρακτηριστικά ΜΤΝ</w:t>
      </w:r>
    </w:p>
    <w:p w:rsidR="00AD5F6D" w:rsidRPr="005A464E" w:rsidRDefault="00AD5F6D" w:rsidP="005A464E">
      <w:pPr>
        <w:spacing w:line="360" w:lineRule="auto"/>
        <w:jc w:val="both"/>
        <w:rPr>
          <w:rFonts w:eastAsia="Times New Roman"/>
          <w:sz w:val="24"/>
          <w:szCs w:val="24"/>
          <w:lang w:eastAsia="el-GR"/>
        </w:rPr>
      </w:pPr>
      <w:r w:rsidRPr="005A464E">
        <w:rPr>
          <w:rFonts w:eastAsia="Times New Roman"/>
          <w:sz w:val="24"/>
          <w:szCs w:val="24"/>
          <w:lang w:eastAsia="el-GR"/>
        </w:rPr>
        <w:t>Το μέγε</w:t>
      </w:r>
      <w:r w:rsidR="001819FC">
        <w:rPr>
          <w:rFonts w:eastAsia="Times New Roman"/>
          <w:sz w:val="24"/>
          <w:szCs w:val="24"/>
          <w:lang w:eastAsia="el-GR"/>
        </w:rPr>
        <w:t xml:space="preserve">θος </w:t>
      </w:r>
      <w:r w:rsidR="001819FC" w:rsidRPr="004E0AB7">
        <w:rPr>
          <w:rFonts w:eastAsia="Times New Roman"/>
          <w:sz w:val="24"/>
          <w:szCs w:val="24"/>
          <w:lang w:eastAsia="el-GR"/>
        </w:rPr>
        <w:t>της ΜΤΝ</w:t>
      </w:r>
      <w:r w:rsidRPr="004E0AB7">
        <w:rPr>
          <w:rFonts w:eastAsia="Times New Roman"/>
          <w:sz w:val="24"/>
          <w:szCs w:val="24"/>
          <w:lang w:eastAsia="el-GR"/>
        </w:rPr>
        <w:t xml:space="preserve"> μπορεί να σχετίζεται με μη συμμόρφωση. </w:t>
      </w:r>
      <w:r w:rsidR="00A92154" w:rsidRPr="004E0AB7">
        <w:rPr>
          <w:rFonts w:eastAsia="Times New Roman"/>
          <w:sz w:val="24"/>
          <w:szCs w:val="24"/>
          <w:lang w:eastAsia="el-GR"/>
        </w:rPr>
        <w:t xml:space="preserve">Σύμφωνα με τους </w:t>
      </w:r>
      <w:r w:rsidR="00A92154" w:rsidRPr="004E0AB7">
        <w:rPr>
          <w:rFonts w:eastAsia="Times New Roman"/>
          <w:sz w:val="24"/>
          <w:szCs w:val="24"/>
          <w:lang w:val="en-US" w:eastAsia="el-GR"/>
        </w:rPr>
        <w:t>Saran</w:t>
      </w:r>
      <w:r w:rsidR="00A92154" w:rsidRPr="004E0AB7">
        <w:rPr>
          <w:rFonts w:eastAsia="Times New Roman"/>
          <w:sz w:val="24"/>
          <w:szCs w:val="24"/>
          <w:lang w:eastAsia="el-GR"/>
        </w:rPr>
        <w:t xml:space="preserve"> </w:t>
      </w:r>
      <w:r w:rsidR="00566CAA" w:rsidRPr="004E0AB7">
        <w:rPr>
          <w:rFonts w:eastAsia="Times New Roman"/>
          <w:sz w:val="24"/>
          <w:szCs w:val="24"/>
          <w:lang w:eastAsia="el-GR"/>
        </w:rPr>
        <w:t>et al</w:t>
      </w:r>
      <w:r w:rsidR="003041EB" w:rsidRPr="004E0AB7">
        <w:rPr>
          <w:rFonts w:eastAsia="Times New Roman"/>
          <w:sz w:val="24"/>
          <w:szCs w:val="24"/>
          <w:lang w:eastAsia="el-GR"/>
        </w:rPr>
        <w:t>.</w:t>
      </w:r>
      <w:r w:rsidR="00A92154" w:rsidRPr="004E0AB7">
        <w:rPr>
          <w:rFonts w:eastAsia="Times New Roman"/>
          <w:sz w:val="24"/>
          <w:szCs w:val="24"/>
          <w:lang w:eastAsia="el-GR"/>
        </w:rPr>
        <w:t xml:space="preserve"> (2003) ο</w:t>
      </w:r>
      <w:r w:rsidRPr="004E0AB7">
        <w:rPr>
          <w:rFonts w:eastAsia="Times New Roman"/>
          <w:sz w:val="24"/>
          <w:szCs w:val="24"/>
          <w:lang w:eastAsia="el-GR"/>
        </w:rPr>
        <w:t xml:space="preserve">ι </w:t>
      </w:r>
      <w:r w:rsidR="001376A8" w:rsidRPr="004E0AB7">
        <w:rPr>
          <w:rFonts w:eastAsia="Times New Roman"/>
          <w:sz w:val="24"/>
          <w:szCs w:val="24"/>
          <w:lang w:eastAsia="el-GR"/>
        </w:rPr>
        <w:t xml:space="preserve">μονάδες </w:t>
      </w:r>
      <w:r w:rsidR="00A92154" w:rsidRPr="004E0AB7">
        <w:rPr>
          <w:rFonts w:eastAsia="Times New Roman"/>
          <w:sz w:val="24"/>
          <w:szCs w:val="24"/>
          <w:lang w:eastAsia="el-GR"/>
        </w:rPr>
        <w:t>μεγαλύτερου μεγέθους</w:t>
      </w:r>
      <w:r w:rsidR="001376A8" w:rsidRPr="004E0AB7">
        <w:rPr>
          <w:rFonts w:eastAsia="Times New Roman"/>
          <w:sz w:val="24"/>
          <w:szCs w:val="24"/>
          <w:lang w:eastAsia="el-GR"/>
        </w:rPr>
        <w:t xml:space="preserve"> (10 ή περισσότεροι</w:t>
      </w:r>
      <w:r w:rsidRPr="004E0AB7">
        <w:rPr>
          <w:rFonts w:eastAsia="Times New Roman"/>
          <w:sz w:val="24"/>
          <w:szCs w:val="24"/>
          <w:lang w:eastAsia="el-GR"/>
        </w:rPr>
        <w:t xml:space="preserve"> ασθενείς υπό </w:t>
      </w:r>
      <w:r w:rsidR="001819FC" w:rsidRPr="004E0AB7">
        <w:rPr>
          <w:rFonts w:eastAsia="Times New Roman"/>
          <w:sz w:val="24"/>
          <w:szCs w:val="24"/>
          <w:lang w:eastAsia="el-GR"/>
        </w:rPr>
        <w:t>αιμοκάθαρση</w:t>
      </w:r>
      <w:r w:rsidRPr="004E0AB7">
        <w:rPr>
          <w:rFonts w:eastAsia="Times New Roman"/>
          <w:sz w:val="24"/>
          <w:szCs w:val="24"/>
          <w:lang w:eastAsia="el-GR"/>
        </w:rPr>
        <w:t>) συσχετίζονται με μια αυξημένη πιθανότητα παρά</w:t>
      </w:r>
      <w:r w:rsidR="001819FC" w:rsidRPr="004E0AB7">
        <w:rPr>
          <w:rFonts w:eastAsia="Times New Roman"/>
          <w:sz w:val="24"/>
          <w:szCs w:val="24"/>
          <w:lang w:eastAsia="el-GR"/>
        </w:rPr>
        <w:t>λειψης της συνεδρίας, βράχυνση</w:t>
      </w:r>
      <w:r w:rsidRPr="004E0AB7">
        <w:rPr>
          <w:rFonts w:eastAsia="Times New Roman"/>
          <w:sz w:val="24"/>
          <w:szCs w:val="24"/>
          <w:lang w:eastAsia="el-GR"/>
        </w:rPr>
        <w:t>ς</w:t>
      </w:r>
      <w:r w:rsidR="001819FC" w:rsidRPr="004E0AB7">
        <w:rPr>
          <w:rFonts w:eastAsia="Times New Roman"/>
          <w:sz w:val="24"/>
          <w:szCs w:val="24"/>
          <w:lang w:eastAsia="el-GR"/>
        </w:rPr>
        <w:t xml:space="preserve"> του χρόνου</w:t>
      </w:r>
      <w:r w:rsidRPr="004E0AB7">
        <w:rPr>
          <w:rFonts w:eastAsia="Times New Roman"/>
          <w:sz w:val="24"/>
          <w:szCs w:val="24"/>
          <w:lang w:eastAsia="el-GR"/>
        </w:rPr>
        <w:t xml:space="preserve"> </w:t>
      </w:r>
      <w:r w:rsidR="001376A8" w:rsidRPr="004E0AB7">
        <w:rPr>
          <w:rFonts w:eastAsia="Times New Roman"/>
          <w:sz w:val="24"/>
          <w:szCs w:val="24"/>
          <w:lang w:eastAsia="el-GR"/>
        </w:rPr>
        <w:t>της συνεδρίας και</w:t>
      </w:r>
      <w:r w:rsidRPr="004E0AB7">
        <w:rPr>
          <w:rFonts w:eastAsia="Times New Roman"/>
          <w:sz w:val="24"/>
          <w:szCs w:val="24"/>
          <w:lang w:eastAsia="el-GR"/>
        </w:rPr>
        <w:t xml:space="preserve"> υπερβολικού βάρους. </w:t>
      </w:r>
      <w:r w:rsidR="00A92154" w:rsidRPr="004E0AB7">
        <w:rPr>
          <w:rFonts w:eastAsia="Times New Roman"/>
          <w:sz w:val="24"/>
          <w:szCs w:val="24"/>
          <w:lang w:eastAsia="el-GR"/>
        </w:rPr>
        <w:t>Επίσης,</w:t>
      </w:r>
      <w:r w:rsidR="001819FC" w:rsidRPr="004E0AB7">
        <w:rPr>
          <w:rFonts w:eastAsia="Times New Roman"/>
          <w:sz w:val="24"/>
          <w:szCs w:val="24"/>
          <w:lang w:eastAsia="el-GR"/>
        </w:rPr>
        <w:t xml:space="preserve"> σε ΜΤΝ</w:t>
      </w:r>
      <w:r w:rsidR="0078495A" w:rsidRPr="004E0AB7">
        <w:rPr>
          <w:rFonts w:eastAsia="Times New Roman"/>
          <w:sz w:val="24"/>
          <w:szCs w:val="24"/>
          <w:lang w:eastAsia="el-GR"/>
        </w:rPr>
        <w:t xml:space="preserve"> </w:t>
      </w:r>
      <w:r w:rsidRPr="004E0AB7">
        <w:rPr>
          <w:rFonts w:eastAsia="Times New Roman"/>
          <w:sz w:val="24"/>
          <w:szCs w:val="24"/>
          <w:lang w:eastAsia="el-GR"/>
        </w:rPr>
        <w:t xml:space="preserve">με περισσότερους από 60 ασθενείς ο κίνδυνος </w:t>
      </w:r>
      <w:r w:rsidR="00997BA9" w:rsidRPr="004E0AB7">
        <w:rPr>
          <w:rFonts w:eastAsia="Times New Roman"/>
          <w:sz w:val="24"/>
          <w:szCs w:val="24"/>
          <w:lang w:eastAsia="el-GR"/>
        </w:rPr>
        <w:t>απουσίας από τη συνεδρία</w:t>
      </w:r>
      <w:r w:rsidRPr="004E0AB7">
        <w:rPr>
          <w:rFonts w:eastAsia="Times New Roman"/>
          <w:sz w:val="24"/>
          <w:szCs w:val="24"/>
          <w:lang w:eastAsia="el-GR"/>
        </w:rPr>
        <w:t xml:space="preserve"> </w:t>
      </w:r>
      <w:r w:rsidR="001819FC" w:rsidRPr="004E0AB7">
        <w:rPr>
          <w:rFonts w:eastAsia="Times New Roman"/>
          <w:sz w:val="24"/>
          <w:szCs w:val="24"/>
          <w:lang w:eastAsia="el-GR"/>
        </w:rPr>
        <w:t>αυξάνεται</w:t>
      </w:r>
      <w:r w:rsidR="00C24DFC" w:rsidRPr="004E0AB7">
        <w:rPr>
          <w:rFonts w:eastAsia="Times New Roman"/>
          <w:sz w:val="24"/>
          <w:szCs w:val="24"/>
          <w:lang w:eastAsia="el-GR"/>
        </w:rPr>
        <w:t xml:space="preserve"> κατά 77%</w:t>
      </w:r>
      <w:r w:rsidRPr="004E0AB7">
        <w:rPr>
          <w:rFonts w:eastAsia="Times New Roman"/>
          <w:sz w:val="24"/>
          <w:szCs w:val="24"/>
          <w:lang w:eastAsia="el-GR"/>
        </w:rPr>
        <w:t>.</w:t>
      </w:r>
      <w:r w:rsidRPr="005A464E">
        <w:rPr>
          <w:rFonts w:eastAsia="Times New Roman"/>
          <w:sz w:val="24"/>
          <w:szCs w:val="24"/>
          <w:lang w:eastAsia="el-GR"/>
        </w:rPr>
        <w:t xml:space="preserve"> Σε μονάδες με περισσότερους από 75 ασθενείς, η πιθανότητα τους να συντ</w:t>
      </w:r>
      <w:r w:rsidR="00032C8D">
        <w:rPr>
          <w:rFonts w:eastAsia="Times New Roman"/>
          <w:sz w:val="24"/>
          <w:szCs w:val="24"/>
          <w:lang w:eastAsia="el-GR"/>
        </w:rPr>
        <w:t xml:space="preserve">ομεύσουν </w:t>
      </w:r>
      <w:r w:rsidR="00C24DFC">
        <w:rPr>
          <w:rFonts w:eastAsia="Times New Roman"/>
          <w:sz w:val="24"/>
          <w:szCs w:val="24"/>
          <w:lang w:eastAsia="el-GR"/>
        </w:rPr>
        <w:t xml:space="preserve">τη συνεδρία αυξήθηκε κατά 57% </w:t>
      </w:r>
      <w:r w:rsidRPr="005A464E">
        <w:rPr>
          <w:rFonts w:eastAsia="Times New Roman"/>
          <w:sz w:val="24"/>
          <w:szCs w:val="24"/>
          <w:lang w:eastAsia="el-GR"/>
        </w:rPr>
        <w:t>ενώ σε μονάδες με περισ</w:t>
      </w:r>
      <w:r w:rsidR="001819FC">
        <w:rPr>
          <w:rFonts w:eastAsia="Times New Roman"/>
          <w:sz w:val="24"/>
          <w:szCs w:val="24"/>
          <w:lang w:eastAsia="el-GR"/>
        </w:rPr>
        <w:t>σότερο από 125 ασθενείς συνδέ</w:t>
      </w:r>
      <w:r w:rsidRPr="005A464E">
        <w:rPr>
          <w:rFonts w:eastAsia="Times New Roman"/>
          <w:sz w:val="24"/>
          <w:szCs w:val="24"/>
          <w:lang w:eastAsia="el-GR"/>
        </w:rPr>
        <w:t>ε</w:t>
      </w:r>
      <w:r w:rsidR="001819FC">
        <w:rPr>
          <w:rFonts w:eastAsia="Times New Roman"/>
          <w:sz w:val="24"/>
          <w:szCs w:val="24"/>
          <w:lang w:eastAsia="el-GR"/>
        </w:rPr>
        <w:t>ται</w:t>
      </w:r>
      <w:r w:rsidRPr="005A464E">
        <w:rPr>
          <w:rFonts w:eastAsia="Times New Roman"/>
          <w:sz w:val="24"/>
          <w:szCs w:val="24"/>
          <w:lang w:eastAsia="el-GR"/>
        </w:rPr>
        <w:t xml:space="preserve"> με μεγαλύτερες πιθανότητες για την υπερβολική πρόσ</w:t>
      </w:r>
      <w:r w:rsidR="00C24DFC">
        <w:rPr>
          <w:rFonts w:eastAsia="Times New Roman"/>
          <w:sz w:val="24"/>
          <w:szCs w:val="24"/>
          <w:lang w:eastAsia="el-GR"/>
        </w:rPr>
        <w:t>ληψη σωματικού βάρους</w:t>
      </w:r>
      <w:r w:rsidRPr="005A464E">
        <w:rPr>
          <w:rFonts w:eastAsia="Times New Roman"/>
          <w:sz w:val="24"/>
          <w:szCs w:val="24"/>
          <w:lang w:eastAsia="el-GR"/>
        </w:rPr>
        <w:t>.</w:t>
      </w:r>
      <w:r w:rsidR="00C24DFC">
        <w:rPr>
          <w:rFonts w:eastAsia="Times New Roman"/>
          <w:sz w:val="24"/>
          <w:szCs w:val="24"/>
          <w:lang w:eastAsia="el-GR"/>
        </w:rPr>
        <w:t xml:space="preserve"> </w:t>
      </w:r>
      <w:r w:rsidRPr="005A464E">
        <w:rPr>
          <w:sz w:val="24"/>
          <w:szCs w:val="24"/>
        </w:rPr>
        <w:t xml:space="preserve">Η </w:t>
      </w:r>
      <w:r w:rsidRPr="005A464E">
        <w:rPr>
          <w:rFonts w:eastAsia="Times New Roman"/>
          <w:sz w:val="24"/>
          <w:szCs w:val="24"/>
          <w:lang w:eastAsia="el-GR"/>
        </w:rPr>
        <w:t>πίεση χρ</w:t>
      </w:r>
      <w:r w:rsidR="001819FC">
        <w:rPr>
          <w:rFonts w:eastAsia="Times New Roman"/>
          <w:sz w:val="24"/>
          <w:szCs w:val="24"/>
          <w:lang w:eastAsia="el-GR"/>
        </w:rPr>
        <w:t>όνου στη ΜΤΝ</w:t>
      </w:r>
      <w:r w:rsidR="0078495A">
        <w:rPr>
          <w:rFonts w:eastAsia="Times New Roman"/>
          <w:sz w:val="24"/>
          <w:szCs w:val="24"/>
          <w:lang w:eastAsia="el-GR"/>
        </w:rPr>
        <w:t xml:space="preserve"> </w:t>
      </w:r>
      <w:r w:rsidRPr="005A464E">
        <w:rPr>
          <w:rFonts w:eastAsia="Times New Roman"/>
          <w:sz w:val="24"/>
          <w:szCs w:val="24"/>
          <w:lang w:eastAsia="el-GR"/>
        </w:rPr>
        <w:t xml:space="preserve">είναι ένα σημαντικό εμπόδιο για την κατανόηση ή βελτίωση της μη συμμόρφωσης. Καθώς η επικοινωνία με </w:t>
      </w:r>
      <w:r w:rsidR="001819FC">
        <w:rPr>
          <w:rFonts w:eastAsia="Times New Roman"/>
          <w:sz w:val="24"/>
          <w:szCs w:val="24"/>
          <w:lang w:eastAsia="el-GR"/>
        </w:rPr>
        <w:t xml:space="preserve">τους </w:t>
      </w:r>
      <w:r w:rsidRPr="005A464E">
        <w:rPr>
          <w:rFonts w:eastAsia="Times New Roman"/>
          <w:sz w:val="24"/>
          <w:szCs w:val="24"/>
          <w:lang w:eastAsia="el-GR"/>
        </w:rPr>
        <w:t>ασθενείς είναι ένα κρίσιμο στοιχείο της φροντίδας, οι επαγγελματίες υγείας πρέπει να αφιερώσουν επαρκή χ</w:t>
      </w:r>
      <w:r w:rsidR="001376A8" w:rsidRPr="005A464E">
        <w:rPr>
          <w:rFonts w:eastAsia="Times New Roman"/>
          <w:sz w:val="24"/>
          <w:szCs w:val="24"/>
          <w:lang w:eastAsia="el-GR"/>
        </w:rPr>
        <w:t>ρόνο για να χρησιμοποιήσουν τη «γλώσσα»</w:t>
      </w:r>
      <w:r w:rsidRPr="005A464E">
        <w:rPr>
          <w:rFonts w:eastAsia="Times New Roman"/>
          <w:sz w:val="24"/>
          <w:szCs w:val="24"/>
          <w:lang w:eastAsia="el-GR"/>
        </w:rPr>
        <w:t xml:space="preserve"> στις πρακτικές τους (Steiner &amp; Earnest</w:t>
      </w:r>
      <w:r w:rsidR="00AB454B">
        <w:rPr>
          <w:rFonts w:eastAsia="Times New Roman"/>
          <w:sz w:val="24"/>
          <w:szCs w:val="24"/>
          <w:lang w:eastAsia="el-GR"/>
        </w:rPr>
        <w:t>,</w:t>
      </w:r>
      <w:r w:rsidRPr="005A464E">
        <w:rPr>
          <w:rFonts w:eastAsia="Times New Roman"/>
          <w:sz w:val="24"/>
          <w:szCs w:val="24"/>
          <w:lang w:eastAsia="el-GR"/>
        </w:rPr>
        <w:t xml:space="preserve"> 2000). </w:t>
      </w:r>
      <w:r w:rsidR="001376A8" w:rsidRPr="005A464E">
        <w:rPr>
          <w:sz w:val="24"/>
          <w:szCs w:val="24"/>
        </w:rPr>
        <w:t>Η</w:t>
      </w:r>
      <w:r w:rsidR="00A92154" w:rsidRPr="005A464E">
        <w:rPr>
          <w:sz w:val="24"/>
          <w:szCs w:val="24"/>
        </w:rPr>
        <w:t xml:space="preserve"> </w:t>
      </w:r>
      <w:r w:rsidR="001376A8" w:rsidRPr="005A464E">
        <w:rPr>
          <w:rFonts w:eastAsia="Times New Roman"/>
          <w:sz w:val="24"/>
          <w:szCs w:val="24"/>
          <w:lang w:eastAsia="el-GR"/>
        </w:rPr>
        <w:t>συμπεριφορά</w:t>
      </w:r>
      <w:r w:rsidR="00A92154" w:rsidRPr="005A464E">
        <w:rPr>
          <w:rFonts w:eastAsia="Times New Roman"/>
          <w:sz w:val="24"/>
          <w:szCs w:val="24"/>
          <w:lang w:eastAsia="el-GR"/>
        </w:rPr>
        <w:t xml:space="preserve"> υγείας και</w:t>
      </w:r>
      <w:r w:rsidRPr="005A464E">
        <w:rPr>
          <w:rFonts w:eastAsia="Times New Roman"/>
          <w:sz w:val="24"/>
          <w:szCs w:val="24"/>
          <w:lang w:eastAsia="el-GR"/>
        </w:rPr>
        <w:t xml:space="preserve"> η συμμόρφωση </w:t>
      </w:r>
      <w:r w:rsidR="001376A8" w:rsidRPr="005A464E">
        <w:rPr>
          <w:rFonts w:eastAsia="Times New Roman"/>
          <w:sz w:val="24"/>
          <w:szCs w:val="24"/>
          <w:lang w:eastAsia="el-GR"/>
        </w:rPr>
        <w:t>ενισχύον</w:t>
      </w:r>
      <w:r w:rsidRPr="005A464E">
        <w:rPr>
          <w:rFonts w:eastAsia="Times New Roman"/>
          <w:sz w:val="24"/>
          <w:szCs w:val="24"/>
          <w:lang w:eastAsia="el-GR"/>
        </w:rPr>
        <w:t>ται όταν ο ασθενής λαμβάνει ατομική προσοχή (</w:t>
      </w:r>
      <w:r w:rsidRPr="005A464E">
        <w:rPr>
          <w:rFonts w:eastAsia="Times New Roman"/>
          <w:sz w:val="24"/>
          <w:szCs w:val="24"/>
          <w:lang w:val="en-US" w:eastAsia="el-GR"/>
        </w:rPr>
        <w:t>Morgan</w:t>
      </w:r>
      <w:r w:rsidR="00032C8D">
        <w:rPr>
          <w:rFonts w:eastAsia="Times New Roman"/>
          <w:sz w:val="24"/>
          <w:szCs w:val="24"/>
          <w:lang w:eastAsia="el-GR"/>
        </w:rPr>
        <w:t>,</w:t>
      </w:r>
      <w:r w:rsidRPr="005A464E">
        <w:rPr>
          <w:rFonts w:eastAsia="Times New Roman"/>
          <w:sz w:val="24"/>
          <w:szCs w:val="24"/>
          <w:lang w:eastAsia="el-GR"/>
        </w:rPr>
        <w:t xml:space="preserve"> 2000). Μεγάλες μονάδες αιμοκάθαρσης με πολλαπλές βάρδιες και γρήγορη εναλλαγή των ασθενών μπορεί να καταστήσουν πιο δύσκολη την παρεχόμενη εξατομικευμένη φροντίδα. Παρ</w:t>
      </w:r>
      <w:r w:rsidR="001819FC">
        <w:rPr>
          <w:rFonts w:eastAsia="Times New Roman"/>
          <w:sz w:val="24"/>
          <w:szCs w:val="24"/>
          <w:lang w:eastAsia="el-GR"/>
        </w:rPr>
        <w:t xml:space="preserve">ά το γεγονός ότι η συμμετοχή </w:t>
      </w:r>
      <w:r w:rsidR="00B0560D">
        <w:rPr>
          <w:rFonts w:eastAsia="Times New Roman"/>
          <w:sz w:val="24"/>
          <w:szCs w:val="24"/>
          <w:lang w:eastAsia="el-GR"/>
        </w:rPr>
        <w:t>του ασθενούς</w:t>
      </w:r>
      <w:r w:rsidRPr="005A464E">
        <w:rPr>
          <w:rFonts w:eastAsia="Times New Roman"/>
          <w:sz w:val="24"/>
          <w:szCs w:val="24"/>
          <w:lang w:eastAsia="el-GR"/>
        </w:rPr>
        <w:t xml:space="preserve"> σ</w:t>
      </w:r>
      <w:r w:rsidR="00032C8D">
        <w:rPr>
          <w:rFonts w:eastAsia="Times New Roman"/>
          <w:sz w:val="24"/>
          <w:szCs w:val="24"/>
          <w:lang w:eastAsia="el-GR"/>
        </w:rPr>
        <w:t>την φροντίδα υγείας θεωρείται ότι</w:t>
      </w:r>
      <w:r w:rsidRPr="005A464E">
        <w:rPr>
          <w:rFonts w:eastAsia="Times New Roman"/>
          <w:sz w:val="24"/>
          <w:szCs w:val="24"/>
          <w:lang w:eastAsia="el-GR"/>
        </w:rPr>
        <w:t xml:space="preserve"> υποστηρίζεται από το σύστημα υγειονομικής </w:t>
      </w:r>
      <w:r w:rsidR="009E3FA8">
        <w:rPr>
          <w:rFonts w:eastAsia="Times New Roman"/>
          <w:sz w:val="24"/>
          <w:szCs w:val="24"/>
          <w:lang w:eastAsia="el-GR"/>
        </w:rPr>
        <w:t>φροντίδα</w:t>
      </w:r>
      <w:r w:rsidRPr="005A464E">
        <w:rPr>
          <w:rFonts w:eastAsia="Times New Roman"/>
          <w:sz w:val="24"/>
          <w:szCs w:val="24"/>
          <w:lang w:eastAsia="el-GR"/>
        </w:rPr>
        <w:t>ς γενικότερα, είναι δύσκολο να εκτιμηθεί σε ποιο βαθμό μια τέτοια ενθάρρυνση πραγματικά συμβαίνει στην πράξη.</w:t>
      </w:r>
      <w:r w:rsidR="00A92154" w:rsidRPr="005A464E">
        <w:rPr>
          <w:rFonts w:eastAsia="Times New Roman"/>
          <w:sz w:val="24"/>
          <w:szCs w:val="24"/>
          <w:lang w:eastAsia="el-GR"/>
        </w:rPr>
        <w:t xml:space="preserve"> </w:t>
      </w:r>
      <w:r w:rsidRPr="005A464E">
        <w:rPr>
          <w:rFonts w:eastAsia="Times New Roman"/>
          <w:sz w:val="24"/>
          <w:szCs w:val="24"/>
          <w:lang w:eastAsia="el-GR"/>
        </w:rPr>
        <w:t>Φαίνεται ότι πολλές φορές το ίδιο το σύστημα υγείας είναι η πιο τρομερή πρόκληση για την ικανό</w:t>
      </w:r>
      <w:r w:rsidR="00032C8D">
        <w:rPr>
          <w:rFonts w:eastAsia="Times New Roman"/>
          <w:sz w:val="24"/>
          <w:szCs w:val="24"/>
          <w:lang w:eastAsia="el-GR"/>
        </w:rPr>
        <w:t xml:space="preserve">τητα </w:t>
      </w:r>
      <w:r w:rsidR="00B0560D">
        <w:rPr>
          <w:rFonts w:eastAsia="Times New Roman"/>
          <w:sz w:val="24"/>
          <w:szCs w:val="24"/>
          <w:lang w:eastAsia="el-GR"/>
        </w:rPr>
        <w:t>του ασθενούς</w:t>
      </w:r>
      <w:r w:rsidR="00032C8D">
        <w:rPr>
          <w:rFonts w:eastAsia="Times New Roman"/>
          <w:sz w:val="24"/>
          <w:szCs w:val="24"/>
          <w:lang w:eastAsia="el-GR"/>
        </w:rPr>
        <w:t xml:space="preserve"> να συμμετέχει αποτελεσματικά στη δική του</w:t>
      </w:r>
      <w:r w:rsidRPr="005A464E">
        <w:rPr>
          <w:rFonts w:eastAsia="Times New Roman"/>
          <w:sz w:val="24"/>
          <w:szCs w:val="24"/>
          <w:lang w:eastAsia="el-GR"/>
        </w:rPr>
        <w:t xml:space="preserve"> φροντίδα και θεραπεία (</w:t>
      </w:r>
      <w:r w:rsidRPr="005A464E">
        <w:rPr>
          <w:rFonts w:eastAsia="Times New Roman"/>
          <w:sz w:val="24"/>
          <w:szCs w:val="24"/>
          <w:lang w:val="en-US" w:eastAsia="el-GR"/>
        </w:rPr>
        <w:t>Curtin</w:t>
      </w:r>
      <w:r w:rsidR="00A92154" w:rsidRPr="005A464E">
        <w:rPr>
          <w:rFonts w:eastAsia="Times New Roman"/>
          <w:sz w:val="24"/>
          <w:szCs w:val="24"/>
          <w:lang w:eastAsia="el-GR"/>
        </w:rPr>
        <w:t xml:space="preserve"> </w:t>
      </w:r>
      <w:r w:rsidRPr="005A464E">
        <w:rPr>
          <w:rFonts w:eastAsia="Times New Roman"/>
          <w:sz w:val="24"/>
          <w:szCs w:val="24"/>
          <w:lang w:eastAsia="el-GR"/>
        </w:rPr>
        <w:t>&amp;</w:t>
      </w:r>
      <w:r w:rsidR="00A92154" w:rsidRPr="005A464E">
        <w:rPr>
          <w:rFonts w:eastAsia="Times New Roman"/>
          <w:sz w:val="24"/>
          <w:szCs w:val="24"/>
          <w:lang w:eastAsia="el-GR"/>
        </w:rPr>
        <w:t xml:space="preserve"> </w:t>
      </w:r>
      <w:r w:rsidRPr="005A464E">
        <w:rPr>
          <w:rFonts w:eastAsia="Times New Roman"/>
          <w:sz w:val="24"/>
          <w:szCs w:val="24"/>
          <w:lang w:val="en-US" w:eastAsia="el-GR"/>
        </w:rPr>
        <w:t>Mapes</w:t>
      </w:r>
      <w:r w:rsidR="00AB454B">
        <w:rPr>
          <w:rFonts w:eastAsia="Times New Roman"/>
          <w:sz w:val="24"/>
          <w:szCs w:val="24"/>
          <w:lang w:eastAsia="el-GR"/>
        </w:rPr>
        <w:t>,</w:t>
      </w:r>
      <w:r w:rsidRPr="005A464E">
        <w:rPr>
          <w:rFonts w:eastAsia="Times New Roman"/>
          <w:sz w:val="24"/>
          <w:szCs w:val="24"/>
          <w:lang w:eastAsia="el-GR"/>
        </w:rPr>
        <w:t xml:space="preserve"> 2001). </w:t>
      </w:r>
    </w:p>
    <w:p w:rsidR="00AD5F6D" w:rsidRPr="005A464E" w:rsidRDefault="00924A12" w:rsidP="0066526D">
      <w:pPr>
        <w:pStyle w:val="25"/>
        <w:numPr>
          <w:ilvl w:val="1"/>
          <w:numId w:val="117"/>
        </w:numPr>
        <w:spacing w:after="240" w:line="360" w:lineRule="auto"/>
        <w:rPr>
          <w:rFonts w:asciiTheme="minorHAnsi" w:hAnsiTheme="minorHAnsi"/>
        </w:rPr>
      </w:pPr>
      <w:bookmarkStart w:id="51" w:name="_Toc495951447"/>
      <w:r w:rsidRPr="005A464E">
        <w:rPr>
          <w:rFonts w:asciiTheme="minorHAnsi" w:hAnsiTheme="minorHAnsi"/>
        </w:rPr>
        <w:t xml:space="preserve">Εργαλεία μέτρησης της συμμόρφωσης </w:t>
      </w:r>
      <w:r w:rsidR="00B0560D">
        <w:rPr>
          <w:rFonts w:asciiTheme="minorHAnsi" w:hAnsiTheme="minorHAnsi"/>
        </w:rPr>
        <w:t>του ασθενούς</w:t>
      </w:r>
      <w:bookmarkEnd w:id="51"/>
    </w:p>
    <w:p w:rsidR="00AD5F6D" w:rsidRPr="005A464E" w:rsidRDefault="001C2824" w:rsidP="005A464E">
      <w:pPr>
        <w:spacing w:line="360" w:lineRule="auto"/>
        <w:jc w:val="both"/>
        <w:rPr>
          <w:sz w:val="24"/>
          <w:szCs w:val="24"/>
        </w:rPr>
      </w:pPr>
      <w:r w:rsidRPr="005A464E">
        <w:rPr>
          <w:sz w:val="24"/>
          <w:szCs w:val="24"/>
        </w:rPr>
        <w:t>Η συμμόρφωση μετράται με ποικίλους τρόπ</w:t>
      </w:r>
      <w:r w:rsidR="0051328E" w:rsidRPr="005A464E">
        <w:rPr>
          <w:sz w:val="24"/>
          <w:szCs w:val="24"/>
        </w:rPr>
        <w:t>ους στην κλινική πρακτική. Οι μέ</w:t>
      </w:r>
      <w:r w:rsidRPr="005A464E">
        <w:rPr>
          <w:sz w:val="24"/>
          <w:szCs w:val="24"/>
        </w:rPr>
        <w:t>θοδοι</w:t>
      </w:r>
      <w:r w:rsidR="00032C8D">
        <w:rPr>
          <w:sz w:val="24"/>
          <w:szCs w:val="24"/>
        </w:rPr>
        <w:t xml:space="preserve"> μέτρησης</w:t>
      </w:r>
      <w:r w:rsidRPr="005A464E">
        <w:rPr>
          <w:sz w:val="24"/>
          <w:szCs w:val="24"/>
        </w:rPr>
        <w:t xml:space="preserve"> που</w:t>
      </w:r>
      <w:r w:rsidR="00B15C06" w:rsidRPr="005A464E">
        <w:rPr>
          <w:sz w:val="24"/>
          <w:szCs w:val="24"/>
        </w:rPr>
        <w:t xml:space="preserve"> χρη</w:t>
      </w:r>
      <w:r w:rsidR="00ED5C22" w:rsidRPr="005A464E">
        <w:rPr>
          <w:sz w:val="24"/>
          <w:szCs w:val="24"/>
        </w:rPr>
        <w:t>σιμοποιού</w:t>
      </w:r>
      <w:r w:rsidRPr="005A464E">
        <w:rPr>
          <w:sz w:val="24"/>
          <w:szCs w:val="24"/>
        </w:rPr>
        <w:t xml:space="preserve">νται </w:t>
      </w:r>
      <w:r w:rsidR="0051328E" w:rsidRPr="005A464E">
        <w:rPr>
          <w:sz w:val="24"/>
          <w:szCs w:val="24"/>
        </w:rPr>
        <w:t xml:space="preserve">μπορεί να είναι </w:t>
      </w:r>
      <w:r w:rsidR="0051328E" w:rsidRPr="00032C8D">
        <w:rPr>
          <w:sz w:val="24"/>
          <w:szCs w:val="24"/>
        </w:rPr>
        <w:t>αντικειμενικές ή υποκειμενικές</w:t>
      </w:r>
      <w:r w:rsidR="0051328E" w:rsidRPr="00032C8D">
        <w:rPr>
          <w:b/>
          <w:i/>
          <w:sz w:val="24"/>
          <w:szCs w:val="24"/>
        </w:rPr>
        <w:t>.</w:t>
      </w:r>
      <w:r w:rsidR="00A92154" w:rsidRPr="005A464E">
        <w:rPr>
          <w:sz w:val="24"/>
          <w:szCs w:val="24"/>
        </w:rPr>
        <w:t xml:space="preserve"> Στις αντικειμενικές</w:t>
      </w:r>
      <w:r w:rsidR="0051328E" w:rsidRPr="005A464E">
        <w:rPr>
          <w:sz w:val="24"/>
          <w:szCs w:val="24"/>
        </w:rPr>
        <w:t xml:space="preserve"> περιλαμβάνονται</w:t>
      </w:r>
      <w:r w:rsidR="0037651A" w:rsidRPr="005A464E">
        <w:rPr>
          <w:sz w:val="24"/>
          <w:szCs w:val="24"/>
        </w:rPr>
        <w:t xml:space="preserve"> η απ’ ευθείας παρατήρηση, </w:t>
      </w:r>
      <w:r w:rsidR="00047F2F" w:rsidRPr="005A464E">
        <w:rPr>
          <w:sz w:val="24"/>
          <w:szCs w:val="24"/>
        </w:rPr>
        <w:t>η</w:t>
      </w:r>
      <w:r w:rsidR="00A44148" w:rsidRPr="005A464E">
        <w:rPr>
          <w:sz w:val="24"/>
          <w:szCs w:val="24"/>
        </w:rPr>
        <w:t xml:space="preserve"> μ</w:t>
      </w:r>
      <w:r w:rsidR="00047F2F" w:rsidRPr="005A464E">
        <w:rPr>
          <w:sz w:val="24"/>
          <w:szCs w:val="24"/>
        </w:rPr>
        <w:t xml:space="preserve">έτρηση </w:t>
      </w:r>
      <w:r w:rsidR="004E0AB7">
        <w:rPr>
          <w:sz w:val="24"/>
          <w:szCs w:val="24"/>
        </w:rPr>
        <w:t xml:space="preserve">των </w:t>
      </w:r>
      <w:r w:rsidR="004E0AB7" w:rsidRPr="004E0AB7">
        <w:rPr>
          <w:sz w:val="24"/>
          <w:szCs w:val="24"/>
        </w:rPr>
        <w:t>δισκίω</w:t>
      </w:r>
      <w:r w:rsidR="00047F2F" w:rsidRPr="004E0AB7">
        <w:rPr>
          <w:sz w:val="24"/>
          <w:szCs w:val="24"/>
        </w:rPr>
        <w:t>ν, οι</w:t>
      </w:r>
      <w:r w:rsidRPr="005A464E">
        <w:rPr>
          <w:sz w:val="24"/>
          <w:szCs w:val="24"/>
        </w:rPr>
        <w:t xml:space="preserve"> ηλεκτρονικ</w:t>
      </w:r>
      <w:r w:rsidR="00A44148" w:rsidRPr="005A464E">
        <w:rPr>
          <w:sz w:val="24"/>
          <w:szCs w:val="24"/>
        </w:rPr>
        <w:t>ές με</w:t>
      </w:r>
      <w:r w:rsidR="00ED5C22" w:rsidRPr="005A464E">
        <w:rPr>
          <w:sz w:val="24"/>
          <w:szCs w:val="24"/>
        </w:rPr>
        <w:t>τρή</w:t>
      </w:r>
      <w:r w:rsidRPr="005A464E">
        <w:rPr>
          <w:sz w:val="24"/>
          <w:szCs w:val="24"/>
        </w:rPr>
        <w:t xml:space="preserve">σεις όπως </w:t>
      </w:r>
      <w:r w:rsidR="00A44148" w:rsidRPr="005A464E">
        <w:rPr>
          <w:sz w:val="24"/>
          <w:szCs w:val="24"/>
        </w:rPr>
        <w:t xml:space="preserve">οι δοσομετρικές συσκευές εισπνοής, οι ηλεκτρονικές συσκευές καταγραφής, οι </w:t>
      </w:r>
      <w:r w:rsidR="0037651A" w:rsidRPr="005A464E">
        <w:rPr>
          <w:sz w:val="24"/>
          <w:szCs w:val="24"/>
        </w:rPr>
        <w:t>εξετάσεις</w:t>
      </w:r>
      <w:r w:rsidR="00A44148" w:rsidRPr="005A464E">
        <w:rPr>
          <w:sz w:val="24"/>
          <w:szCs w:val="24"/>
        </w:rPr>
        <w:t xml:space="preserve"> αίματος και ούρων</w:t>
      </w:r>
      <w:r w:rsidR="0051328E" w:rsidRPr="005A464E">
        <w:rPr>
          <w:sz w:val="24"/>
          <w:szCs w:val="24"/>
        </w:rPr>
        <w:t>,</w:t>
      </w:r>
      <w:r w:rsidR="00A44148" w:rsidRPr="005A464E">
        <w:rPr>
          <w:sz w:val="24"/>
          <w:szCs w:val="24"/>
        </w:rPr>
        <w:t xml:space="preserve"> οι συνταγές των φαρμάκων (</w:t>
      </w:r>
      <w:r w:rsidR="00A44148" w:rsidRPr="005A464E">
        <w:rPr>
          <w:sz w:val="24"/>
          <w:szCs w:val="24"/>
          <w:lang w:val="en-US"/>
        </w:rPr>
        <w:t>Farmer</w:t>
      </w:r>
      <w:r w:rsidR="00874841">
        <w:rPr>
          <w:sz w:val="24"/>
          <w:szCs w:val="24"/>
        </w:rPr>
        <w:t>,</w:t>
      </w:r>
      <w:r w:rsidR="00A44148" w:rsidRPr="005A464E">
        <w:rPr>
          <w:sz w:val="24"/>
          <w:szCs w:val="24"/>
        </w:rPr>
        <w:t xml:space="preserve"> 1999). </w:t>
      </w:r>
      <w:r w:rsidR="00ED5C22" w:rsidRPr="005A464E">
        <w:rPr>
          <w:sz w:val="24"/>
          <w:szCs w:val="24"/>
        </w:rPr>
        <w:t>Η κάθε μέθοδος έχει πλεονεκτή</w:t>
      </w:r>
      <w:r w:rsidR="00A44148" w:rsidRPr="005A464E">
        <w:rPr>
          <w:sz w:val="24"/>
          <w:szCs w:val="24"/>
        </w:rPr>
        <w:t xml:space="preserve">ματα και μειονεκτήματα ενώ κάποιες μέθοδοι είναι πιο χρήσιμες για </w:t>
      </w:r>
      <w:r w:rsidR="00ED5C22" w:rsidRPr="005A464E">
        <w:rPr>
          <w:sz w:val="24"/>
          <w:szCs w:val="24"/>
        </w:rPr>
        <w:t>κάποιους τύπους θεραπευτικών συ</w:t>
      </w:r>
      <w:r w:rsidR="00A44148" w:rsidRPr="005A464E">
        <w:rPr>
          <w:sz w:val="24"/>
          <w:szCs w:val="24"/>
        </w:rPr>
        <w:t>σ</w:t>
      </w:r>
      <w:r w:rsidR="00ED5C22" w:rsidRPr="005A464E">
        <w:rPr>
          <w:sz w:val="24"/>
          <w:szCs w:val="24"/>
        </w:rPr>
        <w:t>τ</w:t>
      </w:r>
      <w:r w:rsidR="00A44148" w:rsidRPr="005A464E">
        <w:rPr>
          <w:sz w:val="24"/>
          <w:szCs w:val="24"/>
        </w:rPr>
        <w:t>ά</w:t>
      </w:r>
      <w:r w:rsidR="00ED5C22" w:rsidRPr="005A464E">
        <w:rPr>
          <w:sz w:val="24"/>
          <w:szCs w:val="24"/>
        </w:rPr>
        <w:t>σε</w:t>
      </w:r>
      <w:r w:rsidR="00A44148" w:rsidRPr="005A464E">
        <w:rPr>
          <w:sz w:val="24"/>
          <w:szCs w:val="24"/>
        </w:rPr>
        <w:t>ω</w:t>
      </w:r>
      <w:r w:rsidR="00ED5C22" w:rsidRPr="005A464E">
        <w:rPr>
          <w:sz w:val="24"/>
          <w:szCs w:val="24"/>
        </w:rPr>
        <w:t>ν</w:t>
      </w:r>
      <w:r w:rsidR="00A44148" w:rsidRPr="005A464E">
        <w:rPr>
          <w:sz w:val="24"/>
          <w:szCs w:val="24"/>
        </w:rPr>
        <w:t xml:space="preserve"> από άλλες. </w:t>
      </w:r>
      <w:r w:rsidR="001819FC" w:rsidRPr="00997BA9">
        <w:rPr>
          <w:sz w:val="24"/>
          <w:szCs w:val="24"/>
        </w:rPr>
        <w:t>Ωστόσο</w:t>
      </w:r>
      <w:r w:rsidR="00A44148" w:rsidRPr="00997BA9">
        <w:rPr>
          <w:sz w:val="24"/>
          <w:szCs w:val="24"/>
        </w:rPr>
        <w:t>, δ</w:t>
      </w:r>
      <w:r w:rsidR="00AD5F6D" w:rsidRPr="00997BA9">
        <w:rPr>
          <w:sz w:val="24"/>
          <w:szCs w:val="24"/>
        </w:rPr>
        <w:t xml:space="preserve">εν υπάρχει </w:t>
      </w:r>
      <w:r w:rsidR="00817853">
        <w:rPr>
          <w:sz w:val="24"/>
          <w:szCs w:val="24"/>
        </w:rPr>
        <w:t>μια</w:t>
      </w:r>
      <w:r w:rsidR="00AD5F6D" w:rsidRPr="00997BA9">
        <w:rPr>
          <w:sz w:val="24"/>
          <w:szCs w:val="24"/>
        </w:rPr>
        <w:t xml:space="preserve"> «χρυσή συνταγή» για τη μέτρηση της συμμόρφωσης και κανένα εργαλείο το οποίο να ανιχνεύει όλου</w:t>
      </w:r>
      <w:r w:rsidR="00C24DFC" w:rsidRPr="00997BA9">
        <w:rPr>
          <w:sz w:val="24"/>
          <w:szCs w:val="24"/>
        </w:rPr>
        <w:t xml:space="preserve">ς τους τύπους τη μη </w:t>
      </w:r>
      <w:r w:rsidR="00A44148" w:rsidRPr="00997BA9">
        <w:rPr>
          <w:sz w:val="24"/>
          <w:szCs w:val="24"/>
        </w:rPr>
        <w:t>συμμόρφωσης</w:t>
      </w:r>
      <w:r w:rsidR="001819FC" w:rsidRPr="00997BA9">
        <w:rPr>
          <w:sz w:val="24"/>
          <w:szCs w:val="24"/>
        </w:rPr>
        <w:t xml:space="preserve"> (</w:t>
      </w:r>
      <w:r w:rsidR="001819FC" w:rsidRPr="00997BA9">
        <w:rPr>
          <w:sz w:val="24"/>
          <w:szCs w:val="24"/>
          <w:lang w:val="en-US"/>
        </w:rPr>
        <w:t>Wagner</w:t>
      </w:r>
      <w:r w:rsidR="001819FC" w:rsidRPr="00997BA9">
        <w:rPr>
          <w:sz w:val="24"/>
          <w:szCs w:val="24"/>
        </w:rPr>
        <w:t xml:space="preserve"> et al., 2001; </w:t>
      </w:r>
      <w:r w:rsidR="00A44148" w:rsidRPr="00997BA9">
        <w:rPr>
          <w:sz w:val="24"/>
          <w:szCs w:val="24"/>
          <w:lang w:val="en-US"/>
        </w:rPr>
        <w:t>Alcoba</w:t>
      </w:r>
      <w:r w:rsidR="00A92154" w:rsidRPr="00997BA9">
        <w:rPr>
          <w:sz w:val="24"/>
          <w:szCs w:val="24"/>
        </w:rPr>
        <w:t xml:space="preserve"> </w:t>
      </w:r>
      <w:r w:rsidR="00566CAA" w:rsidRPr="00997BA9">
        <w:rPr>
          <w:sz w:val="24"/>
          <w:szCs w:val="24"/>
        </w:rPr>
        <w:t>et al</w:t>
      </w:r>
      <w:r w:rsidR="00874841" w:rsidRPr="00997BA9">
        <w:rPr>
          <w:sz w:val="24"/>
          <w:szCs w:val="24"/>
        </w:rPr>
        <w:t>.</w:t>
      </w:r>
      <w:r w:rsidR="00032C8D" w:rsidRPr="00997BA9">
        <w:rPr>
          <w:sz w:val="24"/>
          <w:szCs w:val="24"/>
        </w:rPr>
        <w:t>,</w:t>
      </w:r>
      <w:r w:rsidR="001819FC" w:rsidRPr="00997BA9">
        <w:rPr>
          <w:sz w:val="24"/>
          <w:szCs w:val="24"/>
        </w:rPr>
        <w:t xml:space="preserve"> 2003</w:t>
      </w:r>
      <w:r w:rsidR="00A44148" w:rsidRPr="00997BA9">
        <w:rPr>
          <w:sz w:val="24"/>
          <w:szCs w:val="24"/>
        </w:rPr>
        <w:t>).</w:t>
      </w:r>
    </w:p>
    <w:p w:rsidR="0051328E" w:rsidRPr="003355F5" w:rsidRDefault="0051328E" w:rsidP="0066526D">
      <w:pPr>
        <w:pStyle w:val="30"/>
        <w:numPr>
          <w:ilvl w:val="2"/>
          <w:numId w:val="117"/>
        </w:numPr>
        <w:spacing w:after="240"/>
      </w:pPr>
      <w:bookmarkStart w:id="52" w:name="_Toc495951448"/>
      <w:r w:rsidRPr="003355F5">
        <w:t>Αντικειμενικές μετρήσεις</w:t>
      </w:r>
      <w:bookmarkEnd w:id="52"/>
    </w:p>
    <w:p w:rsidR="00F518F3" w:rsidRPr="004E0AB7" w:rsidRDefault="001819FC" w:rsidP="005A464E">
      <w:pPr>
        <w:spacing w:line="360" w:lineRule="auto"/>
        <w:jc w:val="both"/>
        <w:rPr>
          <w:sz w:val="24"/>
          <w:szCs w:val="24"/>
        </w:rPr>
      </w:pPr>
      <w:r>
        <w:rPr>
          <w:sz w:val="24"/>
          <w:szCs w:val="24"/>
        </w:rPr>
        <w:t>Στην κλινική πρακτική, μι</w:t>
      </w:r>
      <w:r w:rsidR="00F518F3" w:rsidRPr="005A464E">
        <w:rPr>
          <w:sz w:val="24"/>
          <w:szCs w:val="24"/>
        </w:rPr>
        <w:t>α ευρ</w:t>
      </w:r>
      <w:r w:rsidR="00B15C06" w:rsidRPr="005A464E">
        <w:rPr>
          <w:sz w:val="24"/>
          <w:szCs w:val="24"/>
        </w:rPr>
        <w:t>έ</w:t>
      </w:r>
      <w:r w:rsidR="00F518F3" w:rsidRPr="005A464E">
        <w:rPr>
          <w:sz w:val="24"/>
          <w:szCs w:val="24"/>
        </w:rPr>
        <w:t xml:space="preserve">ως χρησιμοποιούμενη μέθοδος μέτρησης </w:t>
      </w:r>
      <w:r w:rsidR="00032C8D">
        <w:rPr>
          <w:sz w:val="24"/>
          <w:szCs w:val="24"/>
        </w:rPr>
        <w:t xml:space="preserve">της </w:t>
      </w:r>
      <w:r w:rsidR="00F518F3" w:rsidRPr="005A464E">
        <w:rPr>
          <w:sz w:val="24"/>
          <w:szCs w:val="24"/>
        </w:rPr>
        <w:t xml:space="preserve">συμμόρφωσης είναι </w:t>
      </w:r>
      <w:r w:rsidR="00ED5C22" w:rsidRPr="00874841">
        <w:rPr>
          <w:sz w:val="24"/>
          <w:szCs w:val="24"/>
        </w:rPr>
        <w:t xml:space="preserve">η </w:t>
      </w:r>
      <w:r w:rsidR="00ED5C22" w:rsidRPr="00252A5D">
        <w:rPr>
          <w:i/>
          <w:sz w:val="24"/>
          <w:szCs w:val="24"/>
        </w:rPr>
        <w:t>απλή ερώτηση στον</w:t>
      </w:r>
      <w:r w:rsidR="00F518F3" w:rsidRPr="00252A5D">
        <w:rPr>
          <w:i/>
          <w:sz w:val="24"/>
          <w:szCs w:val="24"/>
        </w:rPr>
        <w:t xml:space="preserve"> ασθενή</w:t>
      </w:r>
      <w:r w:rsidR="00B15C06" w:rsidRPr="00874841">
        <w:rPr>
          <w:sz w:val="24"/>
          <w:szCs w:val="24"/>
        </w:rPr>
        <w:t xml:space="preserve"> (</w:t>
      </w:r>
      <w:r w:rsidR="00B15C06" w:rsidRPr="00874841">
        <w:rPr>
          <w:sz w:val="24"/>
          <w:szCs w:val="24"/>
          <w:lang w:val="en-US"/>
        </w:rPr>
        <w:t>Osterberg</w:t>
      </w:r>
      <w:r w:rsidR="00A92154" w:rsidRPr="00874841">
        <w:rPr>
          <w:sz w:val="24"/>
          <w:szCs w:val="24"/>
        </w:rPr>
        <w:t xml:space="preserve"> </w:t>
      </w:r>
      <w:r w:rsidR="00B15C06" w:rsidRPr="00874841">
        <w:rPr>
          <w:sz w:val="24"/>
          <w:szCs w:val="24"/>
        </w:rPr>
        <w:t>&amp;</w:t>
      </w:r>
      <w:r w:rsidR="007C1E7D" w:rsidRPr="00874841">
        <w:rPr>
          <w:sz w:val="24"/>
          <w:szCs w:val="24"/>
        </w:rPr>
        <w:t xml:space="preserve"> </w:t>
      </w:r>
      <w:r w:rsidR="00B15C06" w:rsidRPr="00874841">
        <w:rPr>
          <w:sz w:val="24"/>
          <w:szCs w:val="24"/>
          <w:lang w:val="en-US"/>
        </w:rPr>
        <w:t>Blaschke</w:t>
      </w:r>
      <w:r w:rsidR="00AB454B">
        <w:rPr>
          <w:sz w:val="24"/>
          <w:szCs w:val="24"/>
        </w:rPr>
        <w:t>,</w:t>
      </w:r>
      <w:r w:rsidR="00B15C06" w:rsidRPr="00874841">
        <w:rPr>
          <w:sz w:val="24"/>
          <w:szCs w:val="24"/>
        </w:rPr>
        <w:t xml:space="preserve"> 2005)</w:t>
      </w:r>
      <w:r w:rsidR="00F518F3" w:rsidRPr="00874841">
        <w:rPr>
          <w:sz w:val="24"/>
          <w:szCs w:val="24"/>
        </w:rPr>
        <w:t xml:space="preserve">. Η μέθοδος αυτή, αν και </w:t>
      </w:r>
      <w:r w:rsidR="00ED5C22" w:rsidRPr="00874841">
        <w:rPr>
          <w:sz w:val="24"/>
          <w:szCs w:val="24"/>
        </w:rPr>
        <w:t>είναι φθηνή και απλή, δεν οδηγεί</w:t>
      </w:r>
      <w:r w:rsidR="00F518F3" w:rsidRPr="00874841">
        <w:rPr>
          <w:sz w:val="24"/>
          <w:szCs w:val="24"/>
        </w:rPr>
        <w:t xml:space="preserve"> σε ακριβή αποτελέσματα. Οι ασθενείς υπερεκτιμούν ή παραποιούν τον βαθμό στον οποίο ακολουθούν τις συστάσεις είτε γιατί </w:t>
      </w:r>
      <w:r>
        <w:rPr>
          <w:sz w:val="24"/>
          <w:szCs w:val="24"/>
        </w:rPr>
        <w:t>θέλουν να ευχαριστήσουν τον επαγγελματία υγείας</w:t>
      </w:r>
      <w:r w:rsidR="00B15C06" w:rsidRPr="00874841">
        <w:rPr>
          <w:sz w:val="24"/>
          <w:szCs w:val="24"/>
        </w:rPr>
        <w:t xml:space="preserve"> είτε γιατί φοβούνται την </w:t>
      </w:r>
      <w:r w:rsidR="00B15C06" w:rsidRPr="004E0AB7">
        <w:rPr>
          <w:sz w:val="24"/>
          <w:szCs w:val="24"/>
        </w:rPr>
        <w:t xml:space="preserve">επίπληξη. </w:t>
      </w:r>
      <w:r w:rsidRPr="004E0AB7">
        <w:rPr>
          <w:sz w:val="24"/>
          <w:szCs w:val="24"/>
        </w:rPr>
        <w:t>Ωστόσο</w:t>
      </w:r>
      <w:r w:rsidR="00ED5C22" w:rsidRPr="004E0AB7">
        <w:rPr>
          <w:sz w:val="24"/>
          <w:szCs w:val="24"/>
        </w:rPr>
        <w:t>, οι μελέτες δείχνουν ότι η ερώ</w:t>
      </w:r>
      <w:r w:rsidR="00B15C06" w:rsidRPr="004E0AB7">
        <w:rPr>
          <w:sz w:val="24"/>
          <w:szCs w:val="24"/>
        </w:rPr>
        <w:t>τηση προς τον ασθενή είναι ένας ανοιχτός και μη επικριτικός τρόπο</w:t>
      </w:r>
      <w:r w:rsidR="00ED5C22" w:rsidRPr="004E0AB7">
        <w:rPr>
          <w:sz w:val="24"/>
          <w:szCs w:val="24"/>
        </w:rPr>
        <w:t>ς που μπορεί να αυξήσει την ακρί</w:t>
      </w:r>
      <w:r w:rsidR="00904447" w:rsidRPr="004E0AB7">
        <w:rPr>
          <w:sz w:val="24"/>
          <w:szCs w:val="24"/>
        </w:rPr>
        <w:t>βεια στην αυτοαναφορ</w:t>
      </w:r>
      <w:r w:rsidR="00032C8D" w:rsidRPr="004E0AB7">
        <w:rPr>
          <w:sz w:val="24"/>
          <w:szCs w:val="24"/>
        </w:rPr>
        <w:t>ά</w:t>
      </w:r>
      <w:r w:rsidR="00B15C06" w:rsidRPr="004E0AB7">
        <w:rPr>
          <w:sz w:val="24"/>
          <w:szCs w:val="24"/>
        </w:rPr>
        <w:t xml:space="preserve"> της συμμόρφωσης (</w:t>
      </w:r>
      <w:r w:rsidR="00B15C06" w:rsidRPr="004E0AB7">
        <w:rPr>
          <w:sz w:val="24"/>
          <w:szCs w:val="24"/>
          <w:lang w:val="en-US"/>
        </w:rPr>
        <w:t>Schoenthaler</w:t>
      </w:r>
      <w:r w:rsidR="00A92154" w:rsidRPr="004E0AB7">
        <w:rPr>
          <w:sz w:val="24"/>
          <w:szCs w:val="24"/>
        </w:rPr>
        <w:t xml:space="preserve"> </w:t>
      </w:r>
      <w:r w:rsidR="00566CAA" w:rsidRPr="004E0AB7">
        <w:rPr>
          <w:sz w:val="24"/>
          <w:szCs w:val="24"/>
        </w:rPr>
        <w:t>et al</w:t>
      </w:r>
      <w:r w:rsidR="00874841" w:rsidRPr="004E0AB7">
        <w:rPr>
          <w:sz w:val="24"/>
          <w:szCs w:val="24"/>
        </w:rPr>
        <w:t>.</w:t>
      </w:r>
      <w:r w:rsidR="00032C8D" w:rsidRPr="004E0AB7">
        <w:rPr>
          <w:sz w:val="24"/>
          <w:szCs w:val="24"/>
        </w:rPr>
        <w:t>,</w:t>
      </w:r>
      <w:r w:rsidR="00B15C06" w:rsidRPr="004E0AB7">
        <w:rPr>
          <w:sz w:val="24"/>
          <w:szCs w:val="24"/>
        </w:rPr>
        <w:t xml:space="preserve"> 2009).</w:t>
      </w:r>
    </w:p>
    <w:p w:rsidR="00ED5C22" w:rsidRPr="005A464E" w:rsidRDefault="00585289" w:rsidP="005A464E">
      <w:pPr>
        <w:spacing w:line="360" w:lineRule="auto"/>
        <w:jc w:val="both"/>
        <w:rPr>
          <w:sz w:val="24"/>
          <w:szCs w:val="24"/>
        </w:rPr>
      </w:pPr>
      <w:r w:rsidRPr="004E0AB7">
        <w:rPr>
          <w:sz w:val="24"/>
          <w:szCs w:val="24"/>
        </w:rPr>
        <w:t xml:space="preserve">Η </w:t>
      </w:r>
      <w:r w:rsidRPr="004E0AB7">
        <w:rPr>
          <w:i/>
          <w:sz w:val="24"/>
          <w:szCs w:val="24"/>
        </w:rPr>
        <w:t>μέτρηση των δισκίω</w:t>
      </w:r>
      <w:r w:rsidR="00B15C06" w:rsidRPr="004E0AB7">
        <w:rPr>
          <w:i/>
          <w:sz w:val="24"/>
          <w:szCs w:val="24"/>
        </w:rPr>
        <w:t>ν</w:t>
      </w:r>
      <w:r w:rsidR="00B15C06" w:rsidRPr="004E0AB7">
        <w:rPr>
          <w:sz w:val="24"/>
          <w:szCs w:val="24"/>
        </w:rPr>
        <w:t xml:space="preserve"> </w:t>
      </w:r>
      <w:r w:rsidR="00ED5C22" w:rsidRPr="004E0AB7">
        <w:rPr>
          <w:sz w:val="24"/>
          <w:szCs w:val="24"/>
        </w:rPr>
        <w:t>γίνεται συνήθως</w:t>
      </w:r>
      <w:r w:rsidR="00ED5C22" w:rsidRPr="005A464E">
        <w:rPr>
          <w:sz w:val="24"/>
          <w:szCs w:val="24"/>
        </w:rPr>
        <w:t xml:space="preserve"> στο σπί</w:t>
      </w:r>
      <w:r w:rsidR="00A92154" w:rsidRPr="005A464E">
        <w:rPr>
          <w:sz w:val="24"/>
          <w:szCs w:val="24"/>
        </w:rPr>
        <w:t xml:space="preserve">τι </w:t>
      </w:r>
      <w:r w:rsidR="00B0560D">
        <w:rPr>
          <w:sz w:val="24"/>
          <w:szCs w:val="24"/>
        </w:rPr>
        <w:t>του ασθενούς</w:t>
      </w:r>
      <w:r w:rsidR="00ED5C22" w:rsidRPr="005A464E">
        <w:rPr>
          <w:sz w:val="24"/>
          <w:szCs w:val="24"/>
        </w:rPr>
        <w:t xml:space="preserve"> ή </w:t>
      </w:r>
      <w:r w:rsidR="00B15C06" w:rsidRPr="005A464E">
        <w:rPr>
          <w:sz w:val="24"/>
          <w:szCs w:val="24"/>
        </w:rPr>
        <w:t>στην επίσκεψη</w:t>
      </w:r>
      <w:r w:rsidR="00A92154" w:rsidRPr="005A464E">
        <w:rPr>
          <w:sz w:val="24"/>
          <w:szCs w:val="24"/>
        </w:rPr>
        <w:t xml:space="preserve"> </w:t>
      </w:r>
      <w:r w:rsidR="00B0560D">
        <w:rPr>
          <w:sz w:val="24"/>
          <w:szCs w:val="24"/>
        </w:rPr>
        <w:t>του ασθενούς</w:t>
      </w:r>
      <w:r w:rsidR="00ED5C22" w:rsidRPr="005A464E">
        <w:rPr>
          <w:sz w:val="24"/>
          <w:szCs w:val="24"/>
        </w:rPr>
        <w:t xml:space="preserve"> στο ιατρείο</w:t>
      </w:r>
      <w:r w:rsidR="004E0AB7">
        <w:rPr>
          <w:sz w:val="24"/>
          <w:szCs w:val="24"/>
        </w:rPr>
        <w:t xml:space="preserve">. </w:t>
      </w:r>
      <w:r w:rsidR="004E0AB7" w:rsidRPr="00995094">
        <w:rPr>
          <w:sz w:val="24"/>
          <w:szCs w:val="24"/>
        </w:rPr>
        <w:t>Τα δισκί</w:t>
      </w:r>
      <w:r w:rsidR="00B15C06" w:rsidRPr="00995094">
        <w:rPr>
          <w:sz w:val="24"/>
          <w:szCs w:val="24"/>
        </w:rPr>
        <w:t xml:space="preserve">α μετρώνται στο τέλος της επίσκεψης ώστε να υπολογιστεί η συχνότητα της συμμόρφωσης </w:t>
      </w:r>
      <w:r w:rsidR="00B0560D" w:rsidRPr="00995094">
        <w:rPr>
          <w:sz w:val="24"/>
          <w:szCs w:val="24"/>
        </w:rPr>
        <w:t>του ασθενούς</w:t>
      </w:r>
      <w:r w:rsidR="004E0AB7" w:rsidRPr="00995094">
        <w:rPr>
          <w:sz w:val="24"/>
          <w:szCs w:val="24"/>
        </w:rPr>
        <w:t>. Η μέτρηση των δισκίω</w:t>
      </w:r>
      <w:r w:rsidR="00B15C06" w:rsidRPr="00995094">
        <w:rPr>
          <w:sz w:val="24"/>
          <w:szCs w:val="24"/>
        </w:rPr>
        <w:t>ν δεν οδηγεί πάντα σε ακριβή υπολογισμό της</w:t>
      </w:r>
      <w:r w:rsidR="00B15C06" w:rsidRPr="005A464E">
        <w:rPr>
          <w:sz w:val="24"/>
          <w:szCs w:val="24"/>
        </w:rPr>
        <w:t xml:space="preserve"> συμμόρφωσης καθώς δεν μπορεί να </w:t>
      </w:r>
      <w:r>
        <w:rPr>
          <w:sz w:val="24"/>
          <w:szCs w:val="24"/>
        </w:rPr>
        <w:t>καθορίσει την απόρριψη των δισκίω</w:t>
      </w:r>
      <w:r w:rsidR="00B15C06" w:rsidRPr="005A464E">
        <w:rPr>
          <w:sz w:val="24"/>
          <w:szCs w:val="24"/>
        </w:rPr>
        <w:t>ν ή τη συσσώρευση αυτών ή την μετακίνησή τους σε άλλο περιέκτ</w:t>
      </w:r>
      <w:r>
        <w:rPr>
          <w:sz w:val="24"/>
          <w:szCs w:val="24"/>
        </w:rPr>
        <w:t>η. Επιπλέον, η μέτρηση των δισκίω</w:t>
      </w:r>
      <w:r w:rsidR="00B15C06" w:rsidRPr="005A464E">
        <w:rPr>
          <w:sz w:val="24"/>
          <w:szCs w:val="24"/>
        </w:rPr>
        <w:t xml:space="preserve">ν δεν δίνει πληροφορίες σχετικά με τις συνήθειες </w:t>
      </w:r>
      <w:r w:rsidR="00B0560D">
        <w:rPr>
          <w:sz w:val="24"/>
          <w:szCs w:val="24"/>
        </w:rPr>
        <w:t>του ασθενούς</w:t>
      </w:r>
      <w:r w:rsidR="00B15C06" w:rsidRPr="005A464E">
        <w:rPr>
          <w:sz w:val="24"/>
          <w:szCs w:val="24"/>
        </w:rPr>
        <w:t xml:space="preserve"> </w:t>
      </w:r>
      <w:r w:rsidR="00032C8D">
        <w:rPr>
          <w:sz w:val="24"/>
          <w:szCs w:val="24"/>
        </w:rPr>
        <w:t xml:space="preserve">ως προς </w:t>
      </w:r>
      <w:r w:rsidR="00B15C06" w:rsidRPr="005A464E">
        <w:rPr>
          <w:sz w:val="24"/>
          <w:szCs w:val="24"/>
        </w:rPr>
        <w:t>την λήψη φαρμάκων</w:t>
      </w:r>
      <w:r w:rsidR="00DD4738">
        <w:rPr>
          <w:sz w:val="24"/>
          <w:szCs w:val="24"/>
        </w:rPr>
        <w:t xml:space="preserve"> όπως τη</w:t>
      </w:r>
      <w:r w:rsidR="00A92154" w:rsidRPr="005A464E">
        <w:rPr>
          <w:sz w:val="24"/>
          <w:szCs w:val="24"/>
        </w:rPr>
        <w:t xml:space="preserve"> σωστή ώρα λήψης αυτών </w:t>
      </w:r>
      <w:r w:rsidR="00092610" w:rsidRPr="005A464E">
        <w:rPr>
          <w:sz w:val="24"/>
          <w:szCs w:val="24"/>
        </w:rPr>
        <w:t>(</w:t>
      </w:r>
      <w:r w:rsidR="00092610" w:rsidRPr="005A464E">
        <w:rPr>
          <w:sz w:val="24"/>
          <w:szCs w:val="24"/>
          <w:lang w:val="en-US"/>
        </w:rPr>
        <w:t>Farmer</w:t>
      </w:r>
      <w:r w:rsidR="00874841">
        <w:rPr>
          <w:sz w:val="24"/>
          <w:szCs w:val="24"/>
        </w:rPr>
        <w:t>,</w:t>
      </w:r>
      <w:r w:rsidR="00092610" w:rsidRPr="005A464E">
        <w:rPr>
          <w:sz w:val="24"/>
          <w:szCs w:val="24"/>
        </w:rPr>
        <w:t xml:space="preserve"> 1999; </w:t>
      </w:r>
      <w:r w:rsidR="00092610" w:rsidRPr="005A464E">
        <w:rPr>
          <w:sz w:val="24"/>
          <w:szCs w:val="24"/>
          <w:lang w:val="en-US"/>
        </w:rPr>
        <w:t>Vik</w:t>
      </w:r>
      <w:r w:rsidR="00874841" w:rsidRPr="00874841">
        <w:rPr>
          <w:sz w:val="24"/>
          <w:szCs w:val="24"/>
        </w:rPr>
        <w:t xml:space="preserve">, </w:t>
      </w:r>
      <w:r w:rsidR="00874841" w:rsidRPr="00874841">
        <w:rPr>
          <w:rFonts w:cstheme="minorHAnsi"/>
          <w:sz w:val="24"/>
          <w:szCs w:val="24"/>
          <w:lang w:val="en-US"/>
        </w:rPr>
        <w:t>Maxwell</w:t>
      </w:r>
      <w:r w:rsidR="00D75F89">
        <w:rPr>
          <w:rFonts w:cstheme="minorHAnsi"/>
          <w:sz w:val="24"/>
          <w:szCs w:val="24"/>
        </w:rPr>
        <w:t>,</w:t>
      </w:r>
      <w:r w:rsidR="00874841" w:rsidRPr="00874841">
        <w:rPr>
          <w:rFonts w:cstheme="minorHAnsi"/>
          <w:sz w:val="24"/>
          <w:szCs w:val="24"/>
        </w:rPr>
        <w:t xml:space="preserve"> &amp; </w:t>
      </w:r>
      <w:r w:rsidR="00874841" w:rsidRPr="00874841">
        <w:rPr>
          <w:rFonts w:cstheme="minorHAnsi"/>
          <w:sz w:val="24"/>
          <w:szCs w:val="24"/>
          <w:lang w:val="en-US"/>
        </w:rPr>
        <w:t>Hogan</w:t>
      </w:r>
      <w:r w:rsidR="00D75F89">
        <w:rPr>
          <w:rFonts w:cstheme="minorHAnsi"/>
          <w:sz w:val="24"/>
          <w:szCs w:val="24"/>
        </w:rPr>
        <w:t>,</w:t>
      </w:r>
      <w:r w:rsidR="00874841" w:rsidRPr="00874841">
        <w:rPr>
          <w:sz w:val="24"/>
          <w:szCs w:val="24"/>
        </w:rPr>
        <w:t xml:space="preserve"> </w:t>
      </w:r>
      <w:r w:rsidR="00092610" w:rsidRPr="00874841">
        <w:rPr>
          <w:sz w:val="24"/>
          <w:szCs w:val="24"/>
        </w:rPr>
        <w:t>2004).</w:t>
      </w:r>
    </w:p>
    <w:p w:rsidR="00874ADD" w:rsidRPr="005A464E" w:rsidRDefault="00B0730A" w:rsidP="005A464E">
      <w:pPr>
        <w:spacing w:line="360" w:lineRule="auto"/>
        <w:jc w:val="both"/>
        <w:rPr>
          <w:sz w:val="24"/>
          <w:szCs w:val="24"/>
        </w:rPr>
      </w:pPr>
      <w:r w:rsidRPr="005A464E">
        <w:rPr>
          <w:sz w:val="24"/>
          <w:szCs w:val="24"/>
        </w:rPr>
        <w:t xml:space="preserve">Η </w:t>
      </w:r>
      <w:r w:rsidRPr="00252A5D">
        <w:rPr>
          <w:i/>
          <w:sz w:val="24"/>
          <w:szCs w:val="24"/>
        </w:rPr>
        <w:t>μέτρηση των συνταγών από το φαρμακείο</w:t>
      </w:r>
      <w:r w:rsidRPr="005A464E">
        <w:rPr>
          <w:sz w:val="24"/>
          <w:szCs w:val="24"/>
        </w:rPr>
        <w:t xml:space="preserve"> ή ο</w:t>
      </w:r>
      <w:r w:rsidR="00DD4738">
        <w:rPr>
          <w:sz w:val="24"/>
          <w:szCs w:val="24"/>
        </w:rPr>
        <w:t>ι συνταγές που ανανεώνονται στη</w:t>
      </w:r>
      <w:r w:rsidRPr="005A464E">
        <w:rPr>
          <w:sz w:val="24"/>
          <w:szCs w:val="24"/>
        </w:rPr>
        <w:t xml:space="preserve"> σωστή χρονική στιγμή παρέχουν πληροφο</w:t>
      </w:r>
      <w:r w:rsidR="00ED5C22" w:rsidRPr="005A464E">
        <w:rPr>
          <w:sz w:val="24"/>
          <w:szCs w:val="24"/>
        </w:rPr>
        <w:t>ρ</w:t>
      </w:r>
      <w:r w:rsidRPr="005A464E">
        <w:rPr>
          <w:sz w:val="24"/>
          <w:szCs w:val="24"/>
        </w:rPr>
        <w:t>ίες ως προς τη συ</w:t>
      </w:r>
      <w:r w:rsidR="00ED5C22" w:rsidRPr="005A464E">
        <w:rPr>
          <w:sz w:val="24"/>
          <w:szCs w:val="24"/>
        </w:rPr>
        <w:t>μμόρφωση</w:t>
      </w:r>
      <w:r w:rsidR="00DD4738">
        <w:rPr>
          <w:sz w:val="24"/>
          <w:szCs w:val="24"/>
        </w:rPr>
        <w:t>,</w:t>
      </w:r>
      <w:r w:rsidR="00ED5C22" w:rsidRPr="005A464E">
        <w:rPr>
          <w:sz w:val="24"/>
          <w:szCs w:val="24"/>
        </w:rPr>
        <w:t xml:space="preserve"> όμως δεν δίνουν πληροφ</w:t>
      </w:r>
      <w:r w:rsidRPr="005A464E">
        <w:rPr>
          <w:sz w:val="24"/>
          <w:szCs w:val="24"/>
        </w:rPr>
        <w:t xml:space="preserve">ορίες αν ο ασθενής όντως </w:t>
      </w:r>
      <w:r w:rsidR="00ED5C22" w:rsidRPr="005A464E">
        <w:rPr>
          <w:sz w:val="24"/>
          <w:szCs w:val="24"/>
        </w:rPr>
        <w:t xml:space="preserve">λαμβάνει τα φάρμακά του ενώ </w:t>
      </w:r>
      <w:r w:rsidRPr="005A464E">
        <w:rPr>
          <w:sz w:val="24"/>
          <w:szCs w:val="24"/>
        </w:rPr>
        <w:t>δεν πληροφορούν καθόλου ως προς τους άλλους τύπους συμμόρφωσης που μπορεί να α</w:t>
      </w:r>
      <w:r w:rsidR="00ED5C22" w:rsidRPr="005A464E">
        <w:rPr>
          <w:sz w:val="24"/>
          <w:szCs w:val="24"/>
        </w:rPr>
        <w:t>π</w:t>
      </w:r>
      <w:r w:rsidRPr="005A464E">
        <w:rPr>
          <w:sz w:val="24"/>
          <w:szCs w:val="24"/>
        </w:rPr>
        <w:t>οτ</w:t>
      </w:r>
      <w:r w:rsidR="00ED5C22" w:rsidRPr="005A464E">
        <w:rPr>
          <w:sz w:val="24"/>
          <w:szCs w:val="24"/>
        </w:rPr>
        <w:t>ε</w:t>
      </w:r>
      <w:r w:rsidRPr="005A464E">
        <w:rPr>
          <w:sz w:val="24"/>
          <w:szCs w:val="24"/>
        </w:rPr>
        <w:t>λούν μέρος της αγωγ</w:t>
      </w:r>
      <w:r w:rsidR="00874ADD" w:rsidRPr="005A464E">
        <w:rPr>
          <w:sz w:val="24"/>
          <w:szCs w:val="24"/>
        </w:rPr>
        <w:t>ής (</w:t>
      </w:r>
      <w:r w:rsidR="00874ADD" w:rsidRPr="005A464E">
        <w:rPr>
          <w:sz w:val="24"/>
          <w:szCs w:val="24"/>
          <w:lang w:val="en-US"/>
        </w:rPr>
        <w:t>Achieng</w:t>
      </w:r>
      <w:r w:rsidR="005A363E" w:rsidRPr="005A464E">
        <w:rPr>
          <w:sz w:val="24"/>
          <w:szCs w:val="24"/>
        </w:rPr>
        <w:t xml:space="preserve"> </w:t>
      </w:r>
      <w:r w:rsidR="00566CAA">
        <w:rPr>
          <w:sz w:val="24"/>
          <w:szCs w:val="24"/>
        </w:rPr>
        <w:t>et al</w:t>
      </w:r>
      <w:r w:rsidR="00874841">
        <w:rPr>
          <w:sz w:val="24"/>
          <w:szCs w:val="24"/>
        </w:rPr>
        <w:t>.</w:t>
      </w:r>
      <w:r w:rsidR="00032C8D">
        <w:rPr>
          <w:sz w:val="24"/>
          <w:szCs w:val="24"/>
        </w:rPr>
        <w:t>,</w:t>
      </w:r>
      <w:r w:rsidR="00874ADD" w:rsidRPr="005A464E">
        <w:rPr>
          <w:sz w:val="24"/>
          <w:szCs w:val="24"/>
        </w:rPr>
        <w:t xml:space="preserve"> 2013).</w:t>
      </w:r>
    </w:p>
    <w:p w:rsidR="00D17577" w:rsidRPr="00874841" w:rsidRDefault="00B0730A" w:rsidP="005A464E">
      <w:pPr>
        <w:spacing w:line="360" w:lineRule="auto"/>
        <w:jc w:val="both"/>
        <w:rPr>
          <w:sz w:val="24"/>
          <w:szCs w:val="24"/>
        </w:rPr>
      </w:pPr>
      <w:r w:rsidRPr="00874841">
        <w:rPr>
          <w:sz w:val="24"/>
          <w:szCs w:val="24"/>
        </w:rPr>
        <w:t xml:space="preserve">Η </w:t>
      </w:r>
      <w:r w:rsidR="002958F2">
        <w:rPr>
          <w:i/>
          <w:sz w:val="24"/>
          <w:szCs w:val="24"/>
        </w:rPr>
        <w:t>φυσική</w:t>
      </w:r>
      <w:r w:rsidRPr="00252A5D">
        <w:rPr>
          <w:i/>
          <w:sz w:val="24"/>
          <w:szCs w:val="24"/>
        </w:rPr>
        <w:t xml:space="preserve"> παρατήρηση</w:t>
      </w:r>
      <w:r w:rsidRPr="00874841">
        <w:rPr>
          <w:sz w:val="24"/>
          <w:szCs w:val="24"/>
        </w:rPr>
        <w:t xml:space="preserve"> μπορεί να φαίνεται πιο ακριβής </w:t>
      </w:r>
      <w:r w:rsidR="00904447" w:rsidRPr="00874841">
        <w:rPr>
          <w:sz w:val="24"/>
          <w:szCs w:val="24"/>
        </w:rPr>
        <w:t>μέθοδος</w:t>
      </w:r>
      <w:r w:rsidRPr="00874841">
        <w:rPr>
          <w:sz w:val="24"/>
          <w:szCs w:val="24"/>
        </w:rPr>
        <w:t xml:space="preserve"> όμως η </w:t>
      </w:r>
      <w:r w:rsidR="002958F2">
        <w:rPr>
          <w:sz w:val="24"/>
          <w:szCs w:val="24"/>
        </w:rPr>
        <w:t xml:space="preserve">γενικευμένη </w:t>
      </w:r>
      <w:r w:rsidRPr="00874841">
        <w:rPr>
          <w:sz w:val="24"/>
          <w:szCs w:val="24"/>
        </w:rPr>
        <w:t>χρήση της δεν είναι εφικτή για τ</w:t>
      </w:r>
      <w:r w:rsidR="00904447" w:rsidRPr="00874841">
        <w:rPr>
          <w:sz w:val="24"/>
          <w:szCs w:val="24"/>
          <w:lang w:val="en-US"/>
        </w:rPr>
        <w:t>o</w:t>
      </w:r>
      <w:r w:rsidRPr="00874841">
        <w:rPr>
          <w:sz w:val="24"/>
          <w:szCs w:val="24"/>
        </w:rPr>
        <w:t xml:space="preserve">υς </w:t>
      </w:r>
      <w:r w:rsidR="00904447" w:rsidRPr="00874841">
        <w:rPr>
          <w:sz w:val="24"/>
          <w:szCs w:val="24"/>
        </w:rPr>
        <w:t>περισσότερους ασθενείς. Οι ασ</w:t>
      </w:r>
      <w:r w:rsidRPr="00874841">
        <w:rPr>
          <w:sz w:val="24"/>
          <w:szCs w:val="24"/>
        </w:rPr>
        <w:t>θε</w:t>
      </w:r>
      <w:r w:rsidR="00904447" w:rsidRPr="00874841">
        <w:rPr>
          <w:sz w:val="24"/>
          <w:szCs w:val="24"/>
        </w:rPr>
        <w:t xml:space="preserve">νείς μπορεί </w:t>
      </w:r>
      <w:r w:rsidR="00904447" w:rsidRPr="004E0AB7">
        <w:rPr>
          <w:sz w:val="24"/>
          <w:szCs w:val="24"/>
        </w:rPr>
        <w:t xml:space="preserve">να </w:t>
      </w:r>
      <w:r w:rsidR="002958F2" w:rsidRPr="004E0AB7">
        <w:rPr>
          <w:sz w:val="24"/>
          <w:szCs w:val="24"/>
        </w:rPr>
        <w:t xml:space="preserve">κρατούν </w:t>
      </w:r>
      <w:r w:rsidR="00904447" w:rsidRPr="004E0AB7">
        <w:rPr>
          <w:sz w:val="24"/>
          <w:szCs w:val="24"/>
        </w:rPr>
        <w:t>τα</w:t>
      </w:r>
      <w:r w:rsidR="00904447" w:rsidRPr="00874841">
        <w:rPr>
          <w:sz w:val="24"/>
          <w:szCs w:val="24"/>
        </w:rPr>
        <w:t xml:space="preserve"> φάρμακά</w:t>
      </w:r>
      <w:r w:rsidRPr="00874841">
        <w:rPr>
          <w:sz w:val="24"/>
          <w:szCs w:val="24"/>
        </w:rPr>
        <w:t xml:space="preserve"> τους μέσα </w:t>
      </w:r>
      <w:r w:rsidR="002958F2">
        <w:rPr>
          <w:sz w:val="24"/>
          <w:szCs w:val="24"/>
        </w:rPr>
        <w:t>στη στοματική τους κοιλότητα</w:t>
      </w:r>
      <w:r w:rsidRPr="00874841">
        <w:rPr>
          <w:sz w:val="24"/>
          <w:szCs w:val="24"/>
        </w:rPr>
        <w:t xml:space="preserve"> και να τα απορρίπτουν όταν δεν γίν</w:t>
      </w:r>
      <w:r w:rsidR="00904447" w:rsidRPr="00874841">
        <w:rPr>
          <w:sz w:val="24"/>
          <w:szCs w:val="24"/>
        </w:rPr>
        <w:t xml:space="preserve">ονται αντιληπτοί. Η μέθοδος </w:t>
      </w:r>
      <w:r w:rsidR="002958F2">
        <w:rPr>
          <w:sz w:val="24"/>
          <w:szCs w:val="24"/>
        </w:rPr>
        <w:t>της φυσικής</w:t>
      </w:r>
      <w:r w:rsidR="00904447" w:rsidRPr="00874841">
        <w:rPr>
          <w:sz w:val="24"/>
          <w:szCs w:val="24"/>
        </w:rPr>
        <w:t xml:space="preserve"> </w:t>
      </w:r>
      <w:r w:rsidRPr="00874841">
        <w:rPr>
          <w:sz w:val="24"/>
          <w:szCs w:val="24"/>
        </w:rPr>
        <w:t xml:space="preserve">παρατήρησης είναι </w:t>
      </w:r>
      <w:r w:rsidR="002958F2">
        <w:rPr>
          <w:sz w:val="24"/>
          <w:szCs w:val="24"/>
        </w:rPr>
        <w:t xml:space="preserve">ιδιαίτερα </w:t>
      </w:r>
      <w:r w:rsidRPr="00874841">
        <w:rPr>
          <w:sz w:val="24"/>
          <w:szCs w:val="24"/>
        </w:rPr>
        <w:t>χρήσιμη σ</w:t>
      </w:r>
      <w:r w:rsidR="00240F56" w:rsidRPr="00874841">
        <w:rPr>
          <w:sz w:val="24"/>
          <w:szCs w:val="24"/>
        </w:rPr>
        <w:t xml:space="preserve">τη μέτρηση </w:t>
      </w:r>
      <w:r w:rsidR="002958F2">
        <w:rPr>
          <w:sz w:val="24"/>
          <w:szCs w:val="24"/>
        </w:rPr>
        <w:t xml:space="preserve">της </w:t>
      </w:r>
      <w:r w:rsidR="006549B1">
        <w:rPr>
          <w:sz w:val="24"/>
          <w:szCs w:val="24"/>
        </w:rPr>
        <w:t xml:space="preserve">συνέπειας </w:t>
      </w:r>
      <w:r w:rsidR="00585289">
        <w:rPr>
          <w:sz w:val="24"/>
          <w:szCs w:val="24"/>
        </w:rPr>
        <w:t>στο ραντεβού με τον επαγγελματία υγείας</w:t>
      </w:r>
      <w:r w:rsidR="00D17577" w:rsidRPr="00874841">
        <w:rPr>
          <w:sz w:val="24"/>
          <w:szCs w:val="24"/>
        </w:rPr>
        <w:t xml:space="preserve"> </w:t>
      </w:r>
      <w:r w:rsidR="00D17577" w:rsidRPr="00874841">
        <w:t>(</w:t>
      </w:r>
      <w:r w:rsidR="00D17577" w:rsidRPr="00874841">
        <w:rPr>
          <w:sz w:val="24"/>
          <w:szCs w:val="24"/>
          <w:lang w:val="en-US"/>
        </w:rPr>
        <w:t>Jimmy</w:t>
      </w:r>
      <w:r w:rsidR="005A363E" w:rsidRPr="00874841">
        <w:rPr>
          <w:sz w:val="24"/>
          <w:szCs w:val="24"/>
        </w:rPr>
        <w:t xml:space="preserve"> </w:t>
      </w:r>
      <w:r w:rsidR="00D93EF3" w:rsidRPr="00874841">
        <w:rPr>
          <w:sz w:val="24"/>
          <w:szCs w:val="24"/>
        </w:rPr>
        <w:t xml:space="preserve">&amp; </w:t>
      </w:r>
      <w:r w:rsidR="00D93EF3" w:rsidRPr="00874841">
        <w:rPr>
          <w:sz w:val="24"/>
          <w:szCs w:val="24"/>
          <w:lang w:val="en-US"/>
        </w:rPr>
        <w:t>Jose</w:t>
      </w:r>
      <w:r w:rsidR="00AB454B">
        <w:rPr>
          <w:sz w:val="24"/>
          <w:szCs w:val="24"/>
        </w:rPr>
        <w:t>,</w:t>
      </w:r>
      <w:r w:rsidR="007C1E7D" w:rsidRPr="00874841">
        <w:rPr>
          <w:sz w:val="24"/>
          <w:szCs w:val="24"/>
        </w:rPr>
        <w:t xml:space="preserve"> 2011</w:t>
      </w:r>
      <w:r w:rsidR="00D17577" w:rsidRPr="00874841">
        <w:rPr>
          <w:sz w:val="24"/>
          <w:szCs w:val="24"/>
        </w:rPr>
        <w:t>).</w:t>
      </w:r>
    </w:p>
    <w:p w:rsidR="00AD5F6D" w:rsidRPr="00874841" w:rsidRDefault="00252A5D" w:rsidP="005A464E">
      <w:pPr>
        <w:spacing w:line="360" w:lineRule="auto"/>
        <w:jc w:val="both"/>
        <w:rPr>
          <w:sz w:val="24"/>
          <w:szCs w:val="24"/>
        </w:rPr>
      </w:pPr>
      <w:r>
        <w:rPr>
          <w:sz w:val="24"/>
          <w:szCs w:val="24"/>
        </w:rPr>
        <w:t>Μι</w:t>
      </w:r>
      <w:r w:rsidR="00240F56" w:rsidRPr="00874841">
        <w:rPr>
          <w:sz w:val="24"/>
          <w:szCs w:val="24"/>
        </w:rPr>
        <w:t xml:space="preserve">α πιο ακριβής </w:t>
      </w:r>
      <w:r w:rsidR="005A363E" w:rsidRPr="00874841">
        <w:rPr>
          <w:sz w:val="24"/>
          <w:szCs w:val="24"/>
        </w:rPr>
        <w:t>μέθοδος</w:t>
      </w:r>
      <w:r w:rsidR="00AD5F6D" w:rsidRPr="00874841">
        <w:rPr>
          <w:sz w:val="24"/>
          <w:szCs w:val="24"/>
        </w:rPr>
        <w:t xml:space="preserve"> είναι </w:t>
      </w:r>
      <w:r w:rsidR="00ED5C22" w:rsidRPr="00874841">
        <w:rPr>
          <w:sz w:val="24"/>
          <w:szCs w:val="24"/>
        </w:rPr>
        <w:t xml:space="preserve">οι </w:t>
      </w:r>
      <w:r w:rsidR="00ED5C22" w:rsidRPr="00252A5D">
        <w:rPr>
          <w:i/>
          <w:sz w:val="24"/>
          <w:szCs w:val="24"/>
        </w:rPr>
        <w:t>μεταβολικοί ή βιολογικοί δείκτες</w:t>
      </w:r>
      <w:r w:rsidR="00ED5C22" w:rsidRPr="00874841">
        <w:rPr>
          <w:sz w:val="24"/>
          <w:szCs w:val="24"/>
        </w:rPr>
        <w:t xml:space="preserve"> (</w:t>
      </w:r>
      <w:r w:rsidR="00AD5F6D" w:rsidRPr="00874841">
        <w:rPr>
          <w:sz w:val="24"/>
          <w:szCs w:val="24"/>
        </w:rPr>
        <w:t>δείγμα αίματος ή ούρων</w:t>
      </w:r>
      <w:r w:rsidR="00032C8D">
        <w:rPr>
          <w:sz w:val="24"/>
          <w:szCs w:val="24"/>
        </w:rPr>
        <w:t>) μέσω των οποίων</w:t>
      </w:r>
      <w:r w:rsidR="00ED5C22" w:rsidRPr="00874841">
        <w:rPr>
          <w:sz w:val="24"/>
          <w:szCs w:val="24"/>
        </w:rPr>
        <w:t xml:space="preserve"> </w:t>
      </w:r>
      <w:r w:rsidR="006549B1">
        <w:rPr>
          <w:sz w:val="24"/>
          <w:szCs w:val="24"/>
        </w:rPr>
        <w:t>υπολογίζονται</w:t>
      </w:r>
      <w:r w:rsidR="00ED5C22" w:rsidRPr="00874841">
        <w:rPr>
          <w:sz w:val="24"/>
          <w:szCs w:val="24"/>
        </w:rPr>
        <w:t xml:space="preserve"> τα επίπεδα του </w:t>
      </w:r>
      <w:r w:rsidR="00ED5C22" w:rsidRPr="004E0AB7">
        <w:rPr>
          <w:sz w:val="24"/>
          <w:szCs w:val="24"/>
        </w:rPr>
        <w:t>φαρμάκου</w:t>
      </w:r>
      <w:r w:rsidR="00AD5F6D" w:rsidRPr="004E0AB7">
        <w:rPr>
          <w:sz w:val="24"/>
          <w:szCs w:val="24"/>
        </w:rPr>
        <w:t xml:space="preserve">. </w:t>
      </w:r>
      <w:r w:rsidR="00585289" w:rsidRPr="006549B1">
        <w:rPr>
          <w:sz w:val="24"/>
          <w:szCs w:val="24"/>
        </w:rPr>
        <w:t>Ωστόσο</w:t>
      </w:r>
      <w:r w:rsidR="005A363E" w:rsidRPr="006549B1">
        <w:rPr>
          <w:sz w:val="24"/>
          <w:szCs w:val="24"/>
        </w:rPr>
        <w:t>,</w:t>
      </w:r>
      <w:r w:rsidR="00AD5F6D" w:rsidRPr="006549B1">
        <w:rPr>
          <w:sz w:val="24"/>
          <w:szCs w:val="24"/>
        </w:rPr>
        <w:t xml:space="preserve"> οι μέθοδοι αυτές είναι δαπανηρές και μη πρακτικές </w:t>
      </w:r>
      <w:r w:rsidR="00585289" w:rsidRPr="006549B1">
        <w:rPr>
          <w:sz w:val="24"/>
          <w:szCs w:val="24"/>
        </w:rPr>
        <w:t>για συχνή χρήση</w:t>
      </w:r>
      <w:r w:rsidR="00ED5C22" w:rsidRPr="006549B1">
        <w:rPr>
          <w:sz w:val="24"/>
          <w:szCs w:val="24"/>
        </w:rPr>
        <w:t>. Επομένως</w:t>
      </w:r>
      <w:r w:rsidR="00AD5F6D" w:rsidRPr="006549B1">
        <w:rPr>
          <w:sz w:val="24"/>
          <w:szCs w:val="24"/>
        </w:rPr>
        <w:t xml:space="preserve">, οι επαγγελματίες υγείας θα πρέπει να βασιστούν σε λιγότερο </w:t>
      </w:r>
      <w:r w:rsidR="006549B1" w:rsidRPr="006549B1">
        <w:rPr>
          <w:sz w:val="24"/>
          <w:szCs w:val="24"/>
        </w:rPr>
        <w:t>αντικειμενικές</w:t>
      </w:r>
      <w:r w:rsidR="00711779" w:rsidRPr="006549B1">
        <w:rPr>
          <w:sz w:val="24"/>
          <w:szCs w:val="24"/>
        </w:rPr>
        <w:t xml:space="preserve"> μεθόδους</w:t>
      </w:r>
      <w:r w:rsidR="00711779" w:rsidRPr="00874841">
        <w:rPr>
          <w:sz w:val="24"/>
          <w:szCs w:val="24"/>
        </w:rPr>
        <w:t xml:space="preserve"> (</w:t>
      </w:r>
      <w:r w:rsidR="00711779" w:rsidRPr="00874841">
        <w:rPr>
          <w:sz w:val="24"/>
          <w:szCs w:val="24"/>
          <w:lang w:val="en-US"/>
        </w:rPr>
        <w:t>Farmer</w:t>
      </w:r>
      <w:r w:rsidR="00874841" w:rsidRPr="00874841">
        <w:rPr>
          <w:sz w:val="24"/>
          <w:szCs w:val="24"/>
        </w:rPr>
        <w:t>,</w:t>
      </w:r>
      <w:r w:rsidR="00711779" w:rsidRPr="00874841">
        <w:rPr>
          <w:sz w:val="24"/>
          <w:szCs w:val="24"/>
        </w:rPr>
        <w:t xml:space="preserve"> 1999)</w:t>
      </w:r>
      <w:r w:rsidR="005A363E" w:rsidRPr="00874841">
        <w:rPr>
          <w:sz w:val="24"/>
          <w:szCs w:val="24"/>
        </w:rPr>
        <w:t>.</w:t>
      </w:r>
    </w:p>
    <w:p w:rsidR="0051328E" w:rsidRPr="00874841" w:rsidRDefault="0051328E" w:rsidP="005A464E">
      <w:pPr>
        <w:spacing w:line="360" w:lineRule="auto"/>
        <w:jc w:val="both"/>
        <w:rPr>
          <w:sz w:val="24"/>
          <w:szCs w:val="24"/>
        </w:rPr>
      </w:pPr>
      <w:r w:rsidRPr="00874841">
        <w:rPr>
          <w:sz w:val="24"/>
          <w:szCs w:val="24"/>
        </w:rPr>
        <w:t xml:space="preserve">Οι </w:t>
      </w:r>
      <w:r w:rsidRPr="00252A5D">
        <w:rPr>
          <w:i/>
          <w:sz w:val="24"/>
          <w:szCs w:val="24"/>
        </w:rPr>
        <w:t>ηλεκτρονικέ</w:t>
      </w:r>
      <w:r w:rsidR="00240F56" w:rsidRPr="00252A5D">
        <w:rPr>
          <w:i/>
          <w:sz w:val="24"/>
          <w:szCs w:val="24"/>
        </w:rPr>
        <w:t>ς συσκ</w:t>
      </w:r>
      <w:r w:rsidRPr="00252A5D">
        <w:rPr>
          <w:i/>
          <w:sz w:val="24"/>
          <w:szCs w:val="24"/>
        </w:rPr>
        <w:t>ε</w:t>
      </w:r>
      <w:r w:rsidR="00240F56" w:rsidRPr="00252A5D">
        <w:rPr>
          <w:i/>
          <w:sz w:val="24"/>
          <w:szCs w:val="24"/>
        </w:rPr>
        <w:t>υές</w:t>
      </w:r>
      <w:r w:rsidR="00240F56" w:rsidRPr="00874841">
        <w:rPr>
          <w:sz w:val="24"/>
          <w:szCs w:val="24"/>
        </w:rPr>
        <w:t xml:space="preserve"> εί</w:t>
      </w:r>
      <w:r w:rsidR="00ED5C22" w:rsidRPr="00874841">
        <w:rPr>
          <w:sz w:val="24"/>
          <w:szCs w:val="24"/>
        </w:rPr>
        <w:t>ναι ακριβές και απαιτού</w:t>
      </w:r>
      <w:r w:rsidR="00240F56" w:rsidRPr="00874841">
        <w:rPr>
          <w:sz w:val="24"/>
          <w:szCs w:val="24"/>
        </w:rPr>
        <w:t>ν έναν βαθμό συνεργασίας</w:t>
      </w:r>
      <w:r w:rsidR="00ED5C22" w:rsidRPr="00874841">
        <w:rPr>
          <w:sz w:val="24"/>
          <w:szCs w:val="24"/>
        </w:rPr>
        <w:t xml:space="preserve"> </w:t>
      </w:r>
      <w:r w:rsidR="00B0560D">
        <w:rPr>
          <w:sz w:val="24"/>
          <w:szCs w:val="24"/>
        </w:rPr>
        <w:t>του ασθενούς</w:t>
      </w:r>
      <w:r w:rsidR="00ED5C22" w:rsidRPr="00874841">
        <w:rPr>
          <w:sz w:val="24"/>
          <w:szCs w:val="24"/>
        </w:rPr>
        <w:t>. Επιπλέον,</w:t>
      </w:r>
      <w:r w:rsidR="005A363E" w:rsidRPr="00874841">
        <w:rPr>
          <w:sz w:val="24"/>
          <w:szCs w:val="24"/>
        </w:rPr>
        <w:t xml:space="preserve"> </w:t>
      </w:r>
      <w:r w:rsidR="00ED5C22" w:rsidRPr="00874841">
        <w:rPr>
          <w:sz w:val="24"/>
          <w:szCs w:val="24"/>
        </w:rPr>
        <w:t>αν και εί</w:t>
      </w:r>
      <w:r w:rsidR="00240F56" w:rsidRPr="00874841">
        <w:rPr>
          <w:sz w:val="24"/>
          <w:szCs w:val="24"/>
        </w:rPr>
        <w:t>ν</w:t>
      </w:r>
      <w:r w:rsidR="00ED5C22" w:rsidRPr="00874841">
        <w:rPr>
          <w:sz w:val="24"/>
          <w:szCs w:val="24"/>
        </w:rPr>
        <w:t>α</w:t>
      </w:r>
      <w:r w:rsidR="00240F56" w:rsidRPr="00874841">
        <w:rPr>
          <w:sz w:val="24"/>
          <w:szCs w:val="24"/>
        </w:rPr>
        <w:t>ι χρήσιμες για ορισμένους τύπους συμμόρφωσης,</w:t>
      </w:r>
      <w:r w:rsidR="00ED5C22" w:rsidRPr="00874841">
        <w:rPr>
          <w:sz w:val="24"/>
          <w:szCs w:val="24"/>
        </w:rPr>
        <w:t xml:space="preserve"> δεν είναι κατάλληλες για τη μέτρηση της συμμόρφωσης σε όλους τους τύπους των θεραπευτικών</w:t>
      </w:r>
      <w:r w:rsidR="00240F56" w:rsidRPr="00874841">
        <w:rPr>
          <w:sz w:val="24"/>
          <w:szCs w:val="24"/>
        </w:rPr>
        <w:t xml:space="preserve"> συστ</w:t>
      </w:r>
      <w:r w:rsidR="005A363E" w:rsidRPr="00874841">
        <w:rPr>
          <w:sz w:val="24"/>
          <w:szCs w:val="24"/>
        </w:rPr>
        <w:t>άσεων</w:t>
      </w:r>
      <w:r w:rsidR="00D17577" w:rsidRPr="00874841">
        <w:rPr>
          <w:sz w:val="24"/>
          <w:szCs w:val="24"/>
        </w:rPr>
        <w:t xml:space="preserve"> (</w:t>
      </w:r>
      <w:r w:rsidR="00D17577" w:rsidRPr="00874841">
        <w:rPr>
          <w:sz w:val="24"/>
          <w:szCs w:val="24"/>
          <w:lang w:val="en-US"/>
        </w:rPr>
        <w:t>Lam</w:t>
      </w:r>
      <w:r w:rsidR="005A363E" w:rsidRPr="00874841">
        <w:rPr>
          <w:sz w:val="24"/>
          <w:szCs w:val="24"/>
        </w:rPr>
        <w:t xml:space="preserve"> </w:t>
      </w:r>
      <w:r w:rsidR="00D17577" w:rsidRPr="00874841">
        <w:rPr>
          <w:sz w:val="24"/>
          <w:szCs w:val="24"/>
        </w:rPr>
        <w:t>&amp;</w:t>
      </w:r>
      <w:r w:rsidR="00D93EF3" w:rsidRPr="00874841">
        <w:rPr>
          <w:sz w:val="24"/>
          <w:szCs w:val="24"/>
        </w:rPr>
        <w:t xml:space="preserve"> </w:t>
      </w:r>
      <w:r w:rsidR="00D17577" w:rsidRPr="00874841">
        <w:rPr>
          <w:sz w:val="24"/>
          <w:szCs w:val="24"/>
          <w:lang w:val="en-US"/>
        </w:rPr>
        <w:t>Fresco</w:t>
      </w:r>
      <w:r w:rsidR="00AB454B">
        <w:rPr>
          <w:sz w:val="24"/>
          <w:szCs w:val="24"/>
        </w:rPr>
        <w:t>,</w:t>
      </w:r>
      <w:r w:rsidR="00D17577" w:rsidRPr="00874841">
        <w:rPr>
          <w:sz w:val="24"/>
          <w:szCs w:val="24"/>
        </w:rPr>
        <w:t xml:space="preserve"> 2015)</w:t>
      </w:r>
      <w:r w:rsidR="00ED5C22" w:rsidRPr="00874841">
        <w:rPr>
          <w:sz w:val="24"/>
          <w:szCs w:val="24"/>
        </w:rPr>
        <w:t>.</w:t>
      </w:r>
    </w:p>
    <w:p w:rsidR="00240F56" w:rsidRPr="00252A5D" w:rsidRDefault="0051328E" w:rsidP="005A464E">
      <w:pPr>
        <w:pStyle w:val="a5"/>
        <w:spacing w:line="360" w:lineRule="auto"/>
        <w:ind w:left="0"/>
        <w:jc w:val="both"/>
        <w:rPr>
          <w:i/>
          <w:sz w:val="24"/>
          <w:szCs w:val="24"/>
        </w:rPr>
      </w:pPr>
      <w:r w:rsidRPr="005A464E">
        <w:rPr>
          <w:sz w:val="24"/>
          <w:szCs w:val="24"/>
        </w:rPr>
        <w:t xml:space="preserve">Το </w:t>
      </w:r>
      <w:r w:rsidR="00252A5D">
        <w:rPr>
          <w:i/>
          <w:sz w:val="24"/>
          <w:szCs w:val="24"/>
        </w:rPr>
        <w:t>σ</w:t>
      </w:r>
      <w:r w:rsidR="00252A5D" w:rsidRPr="00874841">
        <w:rPr>
          <w:i/>
          <w:sz w:val="24"/>
          <w:szCs w:val="24"/>
        </w:rPr>
        <w:t>ύστημα</w:t>
      </w:r>
      <w:r w:rsidR="00252A5D" w:rsidRPr="00252A5D">
        <w:rPr>
          <w:i/>
          <w:sz w:val="24"/>
          <w:szCs w:val="24"/>
        </w:rPr>
        <w:t xml:space="preserve"> </w:t>
      </w:r>
      <w:r w:rsidR="00EE1D58">
        <w:rPr>
          <w:i/>
          <w:sz w:val="24"/>
          <w:szCs w:val="24"/>
        </w:rPr>
        <w:t>επιτήρησης λήψης της φαρμακευτικής αγωγής</w:t>
      </w:r>
      <w:r w:rsidR="00252A5D" w:rsidRPr="00252A5D">
        <w:rPr>
          <w:i/>
          <w:sz w:val="24"/>
          <w:szCs w:val="24"/>
        </w:rPr>
        <w:t xml:space="preserve"> (</w:t>
      </w:r>
      <w:r w:rsidR="00252A5D" w:rsidRPr="00874841">
        <w:rPr>
          <w:i/>
          <w:sz w:val="24"/>
          <w:szCs w:val="24"/>
          <w:lang w:val="en-US"/>
        </w:rPr>
        <w:t>Medication</w:t>
      </w:r>
      <w:r w:rsidR="00252A5D" w:rsidRPr="00252A5D">
        <w:rPr>
          <w:i/>
          <w:sz w:val="24"/>
          <w:szCs w:val="24"/>
        </w:rPr>
        <w:t xml:space="preserve"> </w:t>
      </w:r>
      <w:r w:rsidR="00252A5D" w:rsidRPr="005A464E">
        <w:rPr>
          <w:i/>
          <w:sz w:val="24"/>
          <w:szCs w:val="24"/>
          <w:lang w:val="en-US"/>
        </w:rPr>
        <w:t>Events</w:t>
      </w:r>
      <w:r w:rsidR="00252A5D" w:rsidRPr="00252A5D">
        <w:rPr>
          <w:i/>
          <w:sz w:val="24"/>
          <w:szCs w:val="24"/>
        </w:rPr>
        <w:t xml:space="preserve"> </w:t>
      </w:r>
      <w:r w:rsidR="00252A5D" w:rsidRPr="005A464E">
        <w:rPr>
          <w:i/>
          <w:sz w:val="24"/>
          <w:szCs w:val="24"/>
          <w:lang w:val="en-US"/>
        </w:rPr>
        <w:t>Monitoring</w:t>
      </w:r>
      <w:r w:rsidR="00252A5D" w:rsidRPr="00252A5D">
        <w:rPr>
          <w:i/>
          <w:sz w:val="24"/>
          <w:szCs w:val="24"/>
        </w:rPr>
        <w:t xml:space="preserve"> </w:t>
      </w:r>
      <w:r w:rsidR="00252A5D" w:rsidRPr="005A464E">
        <w:rPr>
          <w:i/>
          <w:sz w:val="24"/>
          <w:szCs w:val="24"/>
          <w:lang w:val="en-US"/>
        </w:rPr>
        <w:t>System</w:t>
      </w:r>
      <w:r w:rsidR="00252A5D" w:rsidRPr="00252A5D">
        <w:rPr>
          <w:i/>
          <w:sz w:val="24"/>
          <w:szCs w:val="24"/>
        </w:rPr>
        <w:t xml:space="preserve">, </w:t>
      </w:r>
      <w:r w:rsidR="00252A5D" w:rsidRPr="005A464E">
        <w:rPr>
          <w:i/>
          <w:sz w:val="24"/>
          <w:szCs w:val="24"/>
          <w:lang w:val="en-US"/>
        </w:rPr>
        <w:t>MEMS</w:t>
      </w:r>
      <w:r w:rsidR="00252A5D" w:rsidRPr="00252A5D">
        <w:rPr>
          <w:i/>
          <w:sz w:val="24"/>
          <w:szCs w:val="24"/>
        </w:rPr>
        <w:t>)</w:t>
      </w:r>
      <w:r w:rsidR="00252A5D">
        <w:rPr>
          <w:i/>
          <w:sz w:val="24"/>
          <w:szCs w:val="24"/>
        </w:rPr>
        <w:t xml:space="preserve"> </w:t>
      </w:r>
      <w:r w:rsidRPr="005A464E">
        <w:rPr>
          <w:sz w:val="24"/>
          <w:szCs w:val="24"/>
        </w:rPr>
        <w:t>είναι ένας περιέκτης με έναν μικροεπεξεργαστή</w:t>
      </w:r>
      <w:r w:rsidR="006549B1">
        <w:rPr>
          <w:sz w:val="24"/>
          <w:szCs w:val="24"/>
        </w:rPr>
        <w:t>,</w:t>
      </w:r>
      <w:r w:rsidRPr="005A464E">
        <w:rPr>
          <w:sz w:val="24"/>
          <w:szCs w:val="24"/>
        </w:rPr>
        <w:t xml:space="preserve"> ο οποίος καταγράφει την ημερομηνία και την ώρα ανοίγματος </w:t>
      </w:r>
      <w:r w:rsidR="00EE1D58">
        <w:rPr>
          <w:sz w:val="24"/>
          <w:szCs w:val="24"/>
        </w:rPr>
        <w:t>του περιέκτη</w:t>
      </w:r>
      <w:r w:rsidR="00DD4738">
        <w:rPr>
          <w:sz w:val="24"/>
          <w:szCs w:val="24"/>
        </w:rPr>
        <w:t>,</w:t>
      </w:r>
      <w:r w:rsidR="00252A5D">
        <w:rPr>
          <w:sz w:val="24"/>
          <w:szCs w:val="24"/>
        </w:rPr>
        <w:t xml:space="preserve"> δημιουργώντας μι</w:t>
      </w:r>
      <w:r w:rsidRPr="005A464E">
        <w:rPr>
          <w:sz w:val="24"/>
          <w:szCs w:val="24"/>
        </w:rPr>
        <w:t xml:space="preserve">α ευαίσθητη και </w:t>
      </w:r>
      <w:r w:rsidR="006549B1">
        <w:rPr>
          <w:sz w:val="24"/>
          <w:szCs w:val="24"/>
        </w:rPr>
        <w:t>αντικειμενική</w:t>
      </w:r>
      <w:r w:rsidRPr="005A464E">
        <w:rPr>
          <w:sz w:val="24"/>
          <w:szCs w:val="24"/>
        </w:rPr>
        <w:t xml:space="preserve"> κα</w:t>
      </w:r>
      <w:r w:rsidR="0044764F">
        <w:rPr>
          <w:sz w:val="24"/>
          <w:szCs w:val="24"/>
        </w:rPr>
        <w:t>ταγραφή</w:t>
      </w:r>
      <w:r w:rsidR="005A363E" w:rsidRPr="005A464E">
        <w:rPr>
          <w:sz w:val="24"/>
          <w:szCs w:val="24"/>
        </w:rPr>
        <w:t xml:space="preserve"> της συμμόρφωσης στην φαρμακευτική αγωγή</w:t>
      </w:r>
      <w:r w:rsidRPr="005A464E">
        <w:rPr>
          <w:sz w:val="24"/>
          <w:szCs w:val="24"/>
        </w:rPr>
        <w:t>. Το εργαλείο αυτό δεν μπορεί να μ</w:t>
      </w:r>
      <w:r w:rsidR="00585289">
        <w:rPr>
          <w:sz w:val="24"/>
          <w:szCs w:val="24"/>
        </w:rPr>
        <w:t>ετρήσει την κατανάλωση των δισκίω</w:t>
      </w:r>
      <w:r w:rsidRPr="005A464E">
        <w:rPr>
          <w:sz w:val="24"/>
          <w:szCs w:val="24"/>
        </w:rPr>
        <w:t>ν απλά και μ</w:t>
      </w:r>
      <w:r w:rsidR="005A363E" w:rsidRPr="005A464E">
        <w:rPr>
          <w:sz w:val="24"/>
          <w:szCs w:val="24"/>
        </w:rPr>
        <w:t xml:space="preserve">όνο με το άνοιγμα του περιέκτη </w:t>
      </w:r>
      <w:r w:rsidR="00921FE0" w:rsidRPr="005A464E">
        <w:rPr>
          <w:sz w:val="24"/>
          <w:szCs w:val="24"/>
        </w:rPr>
        <w:t>(</w:t>
      </w:r>
      <w:r w:rsidR="00585289" w:rsidRPr="005A464E">
        <w:rPr>
          <w:sz w:val="24"/>
          <w:szCs w:val="24"/>
          <w:lang w:val="en-US"/>
        </w:rPr>
        <w:t>Farmer</w:t>
      </w:r>
      <w:r w:rsidR="00585289">
        <w:rPr>
          <w:sz w:val="24"/>
          <w:szCs w:val="24"/>
        </w:rPr>
        <w:t>,</w:t>
      </w:r>
      <w:r w:rsidR="00585289" w:rsidRPr="005A464E">
        <w:rPr>
          <w:sz w:val="24"/>
          <w:szCs w:val="24"/>
        </w:rPr>
        <w:t xml:space="preserve"> 1999</w:t>
      </w:r>
      <w:r w:rsidR="00585289">
        <w:rPr>
          <w:sz w:val="24"/>
          <w:szCs w:val="24"/>
        </w:rPr>
        <w:t xml:space="preserve">; </w:t>
      </w:r>
      <w:r w:rsidR="008032BE" w:rsidRPr="005A464E">
        <w:rPr>
          <w:sz w:val="24"/>
          <w:szCs w:val="24"/>
          <w:lang w:val="en-US"/>
        </w:rPr>
        <w:t>Diaz</w:t>
      </w:r>
      <w:r w:rsidR="008032BE" w:rsidRPr="005A464E">
        <w:rPr>
          <w:sz w:val="24"/>
          <w:szCs w:val="24"/>
        </w:rPr>
        <w:t xml:space="preserve"> </w:t>
      </w:r>
      <w:r w:rsidR="00874841">
        <w:rPr>
          <w:sz w:val="24"/>
          <w:szCs w:val="24"/>
          <w:lang w:val="en-US"/>
        </w:rPr>
        <w:t>et</w:t>
      </w:r>
      <w:r w:rsidR="00874841" w:rsidRPr="00874841">
        <w:rPr>
          <w:sz w:val="24"/>
          <w:szCs w:val="24"/>
        </w:rPr>
        <w:t xml:space="preserve"> </w:t>
      </w:r>
      <w:r w:rsidR="00874841">
        <w:rPr>
          <w:sz w:val="24"/>
          <w:szCs w:val="24"/>
          <w:lang w:val="en-US"/>
        </w:rPr>
        <w:t>al</w:t>
      </w:r>
      <w:r w:rsidR="00874841" w:rsidRPr="00874841">
        <w:rPr>
          <w:sz w:val="24"/>
          <w:szCs w:val="24"/>
        </w:rPr>
        <w:t>.</w:t>
      </w:r>
      <w:r w:rsidR="0044764F">
        <w:rPr>
          <w:sz w:val="24"/>
          <w:szCs w:val="24"/>
        </w:rPr>
        <w:t>,</w:t>
      </w:r>
      <w:r w:rsidR="00874841" w:rsidRPr="00874841">
        <w:rPr>
          <w:sz w:val="24"/>
          <w:szCs w:val="24"/>
        </w:rPr>
        <w:t xml:space="preserve"> </w:t>
      </w:r>
      <w:r w:rsidR="00585289">
        <w:rPr>
          <w:sz w:val="24"/>
          <w:szCs w:val="24"/>
        </w:rPr>
        <w:t>2001</w:t>
      </w:r>
      <w:r w:rsidR="00921FE0" w:rsidRPr="005A464E">
        <w:rPr>
          <w:sz w:val="24"/>
          <w:szCs w:val="24"/>
        </w:rPr>
        <w:t>).</w:t>
      </w:r>
    </w:p>
    <w:p w:rsidR="00924A12" w:rsidRPr="005A464E" w:rsidRDefault="00240F56" w:rsidP="005A464E">
      <w:pPr>
        <w:spacing w:line="360" w:lineRule="auto"/>
        <w:jc w:val="both"/>
        <w:rPr>
          <w:sz w:val="24"/>
          <w:szCs w:val="24"/>
        </w:rPr>
      </w:pPr>
      <w:r w:rsidRPr="005A464E">
        <w:rPr>
          <w:sz w:val="24"/>
          <w:szCs w:val="24"/>
        </w:rPr>
        <w:t xml:space="preserve">Το τελευταίο εργαλείο μέτρησης της συμμόρφωσης θα μπορούσε να </w:t>
      </w:r>
      <w:r w:rsidRPr="00874841">
        <w:rPr>
          <w:sz w:val="24"/>
          <w:szCs w:val="24"/>
        </w:rPr>
        <w:t>είναι τα θετικά θεραπευτικά αποτελέσματα.</w:t>
      </w:r>
      <w:r w:rsidR="006D55EE" w:rsidRPr="00874841">
        <w:rPr>
          <w:sz w:val="24"/>
          <w:szCs w:val="24"/>
        </w:rPr>
        <w:t xml:space="preserve"> </w:t>
      </w:r>
      <w:r w:rsidRPr="00874841">
        <w:t xml:space="preserve">Όμως, </w:t>
      </w:r>
      <w:r w:rsidRPr="00874841">
        <w:rPr>
          <w:sz w:val="24"/>
          <w:szCs w:val="24"/>
        </w:rPr>
        <w:t>αυτό δεν συμβαίνει πάντα. Σε κάποιες περιπτώσεις, τα θετικά αποτελέσματα</w:t>
      </w:r>
      <w:r w:rsidR="0051328E" w:rsidRPr="00874841">
        <w:rPr>
          <w:sz w:val="24"/>
          <w:szCs w:val="24"/>
        </w:rPr>
        <w:t xml:space="preserve"> που καθορίζονται από τον αρχικ</w:t>
      </w:r>
      <w:r w:rsidRPr="00874841">
        <w:rPr>
          <w:sz w:val="24"/>
          <w:szCs w:val="24"/>
        </w:rPr>
        <w:t xml:space="preserve">ό θεραπευτικό στόχο μπορεί να μην </w:t>
      </w:r>
      <w:r w:rsidR="0037651A" w:rsidRPr="00874841">
        <w:rPr>
          <w:sz w:val="24"/>
          <w:szCs w:val="24"/>
        </w:rPr>
        <w:t>συνδέονται</w:t>
      </w:r>
      <w:r w:rsidRPr="00874841">
        <w:rPr>
          <w:sz w:val="24"/>
          <w:szCs w:val="24"/>
        </w:rPr>
        <w:t xml:space="preserve"> με τη συμμόρφωση. Για παράδει</w:t>
      </w:r>
      <w:r w:rsidR="0051328E" w:rsidRPr="00874841">
        <w:rPr>
          <w:sz w:val="24"/>
          <w:szCs w:val="24"/>
        </w:rPr>
        <w:t>γμα</w:t>
      </w:r>
      <w:r w:rsidR="0051328E" w:rsidRPr="005A464E">
        <w:rPr>
          <w:sz w:val="24"/>
          <w:szCs w:val="24"/>
        </w:rPr>
        <w:t>, ένας ασθενής που έχει τεθεί</w:t>
      </w:r>
      <w:r w:rsidRPr="005A464E">
        <w:rPr>
          <w:sz w:val="24"/>
          <w:szCs w:val="24"/>
        </w:rPr>
        <w:t xml:space="preserve"> σε διατρ</w:t>
      </w:r>
      <w:r w:rsidR="00FD07A0">
        <w:rPr>
          <w:sz w:val="24"/>
          <w:szCs w:val="24"/>
        </w:rPr>
        <w:t xml:space="preserve">οφή και άσκηση για απώλεια </w:t>
      </w:r>
      <w:r w:rsidR="00FD07A0" w:rsidRPr="00EE1D58">
        <w:rPr>
          <w:sz w:val="24"/>
          <w:szCs w:val="24"/>
        </w:rPr>
        <w:t>σωματικού βάρους</w:t>
      </w:r>
      <w:r w:rsidR="0051328E" w:rsidRPr="00EE1D58">
        <w:rPr>
          <w:sz w:val="24"/>
          <w:szCs w:val="24"/>
        </w:rPr>
        <w:t>, πιθανόν να καταφεύ</w:t>
      </w:r>
      <w:r w:rsidR="00F22A0B" w:rsidRPr="00EE1D58">
        <w:rPr>
          <w:sz w:val="24"/>
          <w:szCs w:val="24"/>
        </w:rPr>
        <w:t>γει σε</w:t>
      </w:r>
      <w:r w:rsidR="00FD07A0" w:rsidRPr="00EE1D58">
        <w:rPr>
          <w:sz w:val="24"/>
          <w:szCs w:val="24"/>
        </w:rPr>
        <w:t xml:space="preserve"> φαρμακευτικά συμπληρώματα</w:t>
      </w:r>
      <w:r w:rsidR="00F22A0B" w:rsidRPr="00EE1D58">
        <w:rPr>
          <w:sz w:val="24"/>
          <w:szCs w:val="24"/>
        </w:rPr>
        <w:t>. Γι’ αυτό, στην περίπτωση αυτή, η</w:t>
      </w:r>
      <w:r w:rsidR="0051328E" w:rsidRPr="00EE1D58">
        <w:rPr>
          <w:sz w:val="24"/>
          <w:szCs w:val="24"/>
        </w:rPr>
        <w:t xml:space="preserve"> απ’ ευθείας μέτρηση της απώλει</w:t>
      </w:r>
      <w:r w:rsidR="00F22A0B" w:rsidRPr="00EE1D58">
        <w:rPr>
          <w:sz w:val="24"/>
          <w:szCs w:val="24"/>
        </w:rPr>
        <w:t xml:space="preserve">ας </w:t>
      </w:r>
      <w:r w:rsidR="00585289" w:rsidRPr="00EE1D58">
        <w:rPr>
          <w:sz w:val="24"/>
          <w:szCs w:val="24"/>
        </w:rPr>
        <w:t>σωματικού βάρους</w:t>
      </w:r>
      <w:r w:rsidR="00F22A0B" w:rsidRPr="00EE1D58">
        <w:rPr>
          <w:sz w:val="24"/>
          <w:szCs w:val="24"/>
        </w:rPr>
        <w:t>, θα</w:t>
      </w:r>
      <w:r w:rsidR="00F22A0B" w:rsidRPr="005A464E">
        <w:rPr>
          <w:sz w:val="24"/>
          <w:szCs w:val="24"/>
        </w:rPr>
        <w:t xml:space="preserve"> ήταν η ακριβής μέτρηση του βαθμού στον οποίο ένας ασθενής ακολουθά τις θεραπευτικές συστάσεις (</w:t>
      </w:r>
      <w:r w:rsidR="00F22A0B" w:rsidRPr="005A464E">
        <w:rPr>
          <w:sz w:val="24"/>
          <w:szCs w:val="24"/>
          <w:lang w:val="en-US"/>
        </w:rPr>
        <w:t>Falvo</w:t>
      </w:r>
      <w:r w:rsidR="00874841" w:rsidRPr="00874841">
        <w:rPr>
          <w:sz w:val="24"/>
          <w:szCs w:val="24"/>
        </w:rPr>
        <w:t>,</w:t>
      </w:r>
      <w:r w:rsidR="00874ADD" w:rsidRPr="005A464E">
        <w:rPr>
          <w:sz w:val="24"/>
          <w:szCs w:val="24"/>
        </w:rPr>
        <w:t xml:space="preserve"> 2010).</w:t>
      </w:r>
    </w:p>
    <w:p w:rsidR="00AD5F6D" w:rsidRPr="006B1A9F" w:rsidRDefault="00AD5F6D" w:rsidP="0066526D">
      <w:pPr>
        <w:pStyle w:val="30"/>
        <w:numPr>
          <w:ilvl w:val="2"/>
          <w:numId w:val="117"/>
        </w:numPr>
        <w:spacing w:after="240"/>
      </w:pPr>
      <w:bookmarkStart w:id="53" w:name="_Toc495951449"/>
      <w:r w:rsidRPr="006B1A9F">
        <w:t>Υποκειμενικές μετρήσεις</w:t>
      </w:r>
      <w:bookmarkEnd w:id="53"/>
    </w:p>
    <w:p w:rsidR="003F742B" w:rsidRPr="005A464E" w:rsidRDefault="00800ED4" w:rsidP="005A464E">
      <w:pPr>
        <w:pStyle w:val="a5"/>
        <w:spacing w:line="360" w:lineRule="auto"/>
        <w:ind w:left="0"/>
        <w:jc w:val="both"/>
        <w:rPr>
          <w:rFonts w:eastAsia="Times New Roman"/>
          <w:sz w:val="24"/>
          <w:szCs w:val="24"/>
          <w:lang w:eastAsia="el-GR"/>
        </w:rPr>
      </w:pPr>
      <w:r w:rsidRPr="005A464E">
        <w:rPr>
          <w:sz w:val="24"/>
          <w:szCs w:val="24"/>
        </w:rPr>
        <w:t>Οι συνεντεύξεις και</w:t>
      </w:r>
      <w:r w:rsidR="00AD5F6D" w:rsidRPr="005A464E">
        <w:rPr>
          <w:sz w:val="24"/>
          <w:szCs w:val="24"/>
        </w:rPr>
        <w:t xml:space="preserve"> τα ερωτηματολόγια είναι ευέλικτες και πρακτικές μέθοδοι λήψης πληροφοριών σχετικά με την συμμόρφωση στη</w:t>
      </w:r>
      <w:r w:rsidRPr="005A464E">
        <w:rPr>
          <w:sz w:val="24"/>
          <w:szCs w:val="24"/>
        </w:rPr>
        <w:t>ν αγωγή</w:t>
      </w:r>
      <w:r w:rsidR="00AD5F6D" w:rsidRPr="005A464E">
        <w:rPr>
          <w:sz w:val="24"/>
          <w:szCs w:val="24"/>
        </w:rPr>
        <w:t>, τις ανησυχίες σχετικά με τα φάρμακα καθώς και την κατανόηση τ</w:t>
      </w:r>
      <w:r w:rsidR="0080010D" w:rsidRPr="005A464E">
        <w:rPr>
          <w:sz w:val="24"/>
          <w:szCs w:val="24"/>
        </w:rPr>
        <w:t xml:space="preserve">ης σοβαρότητας της κατάστασης. </w:t>
      </w:r>
      <w:r w:rsidR="0080010D" w:rsidRPr="005A464E">
        <w:rPr>
          <w:rFonts w:eastAsia="Times New Roman"/>
          <w:sz w:val="24"/>
          <w:szCs w:val="24"/>
          <w:lang w:eastAsia="el-GR"/>
        </w:rPr>
        <w:t>Αυτές οι υποκειμε</w:t>
      </w:r>
      <w:r w:rsidR="005A363E" w:rsidRPr="005A464E">
        <w:rPr>
          <w:rFonts w:eastAsia="Times New Roman"/>
          <w:sz w:val="24"/>
          <w:szCs w:val="24"/>
          <w:lang w:eastAsia="el-GR"/>
        </w:rPr>
        <w:t>νικές προσεγγίσεις σχεδιάστηκαν</w:t>
      </w:r>
      <w:r w:rsidR="0080010D" w:rsidRPr="005A464E">
        <w:rPr>
          <w:rFonts w:eastAsia="Times New Roman"/>
          <w:sz w:val="24"/>
          <w:szCs w:val="24"/>
          <w:lang w:eastAsia="el-GR"/>
        </w:rPr>
        <w:t xml:space="preserve"> για να ελαχιστοποιήσουν τους περι</w:t>
      </w:r>
      <w:r w:rsidR="00252A5D">
        <w:rPr>
          <w:rFonts w:eastAsia="Times New Roman"/>
          <w:sz w:val="24"/>
          <w:szCs w:val="24"/>
          <w:lang w:eastAsia="el-GR"/>
        </w:rPr>
        <w:t>ορισμούς των άλλων μεθόδων αυτο</w:t>
      </w:r>
      <w:r w:rsidR="0080010D" w:rsidRPr="005A464E">
        <w:rPr>
          <w:rFonts w:eastAsia="Times New Roman"/>
          <w:sz w:val="24"/>
          <w:szCs w:val="24"/>
          <w:lang w:eastAsia="el-GR"/>
        </w:rPr>
        <w:t>αναφοράς καθιστώντας τη μέτρηση της συμμόρφωσης σε ένα ειδικό θεραπευτικό σχήμα. Τα ερωτηματολόγια γενικά είναι περισσότερο αξιόπιστα έναντι άλλων μετρήσεων, τόσο υποκειμενικών</w:t>
      </w:r>
      <w:r w:rsidR="005A363E" w:rsidRPr="005A464E">
        <w:rPr>
          <w:rFonts w:eastAsia="Times New Roman"/>
          <w:sz w:val="24"/>
          <w:szCs w:val="24"/>
          <w:lang w:eastAsia="el-GR"/>
        </w:rPr>
        <w:t xml:space="preserve"> όσο και αντικειμενικών</w:t>
      </w:r>
      <w:r w:rsidR="0080010D" w:rsidRPr="005A464E">
        <w:rPr>
          <w:rFonts w:eastAsia="Times New Roman"/>
          <w:sz w:val="24"/>
          <w:szCs w:val="24"/>
          <w:lang w:eastAsia="el-GR"/>
        </w:rPr>
        <w:t xml:space="preserve"> και είναι δυνατό να προσαρμοστούν σε ποικίλους πληθυσμούς, γλώσσες και ασθένειες.</w:t>
      </w:r>
      <w:r w:rsidR="00E83CD3" w:rsidRPr="005A464E">
        <w:rPr>
          <w:rFonts w:eastAsia="Times New Roman"/>
          <w:sz w:val="24"/>
          <w:szCs w:val="24"/>
          <w:lang w:eastAsia="el-GR"/>
        </w:rPr>
        <w:t xml:space="preserve"> </w:t>
      </w:r>
      <w:r w:rsidR="00AD5F6D" w:rsidRPr="005A464E">
        <w:rPr>
          <w:sz w:val="24"/>
          <w:szCs w:val="24"/>
        </w:rPr>
        <w:t xml:space="preserve">Αυτές οι μέθοδοι είναι εύκολες στη χρήση είτε στον νοσοκομειακό χώρο είτε στο σπίτι </w:t>
      </w:r>
      <w:r w:rsidR="00B0560D">
        <w:rPr>
          <w:sz w:val="24"/>
          <w:szCs w:val="24"/>
        </w:rPr>
        <w:t>του ασθενούς</w:t>
      </w:r>
      <w:r w:rsidR="00AD5F6D" w:rsidRPr="005A464E">
        <w:rPr>
          <w:sz w:val="24"/>
          <w:szCs w:val="24"/>
        </w:rPr>
        <w:t xml:space="preserve"> (τηλεφωνικές συνεντεύ</w:t>
      </w:r>
      <w:r w:rsidR="0080010D" w:rsidRPr="005A464E">
        <w:rPr>
          <w:sz w:val="24"/>
          <w:szCs w:val="24"/>
        </w:rPr>
        <w:t xml:space="preserve">ξεις ή συνεντεύξεις στο σπίτι). </w:t>
      </w:r>
      <w:r w:rsidR="0080010D" w:rsidRPr="005A464E">
        <w:rPr>
          <w:rFonts w:eastAsia="Times New Roman"/>
          <w:sz w:val="24"/>
          <w:szCs w:val="24"/>
          <w:lang w:eastAsia="el-GR"/>
        </w:rPr>
        <w:t>Ωστόσο, τα ερωτηματολόγια μπορεί να είναι δύ</w:t>
      </w:r>
      <w:r w:rsidR="00252A5D">
        <w:rPr>
          <w:rFonts w:eastAsia="Times New Roman"/>
          <w:sz w:val="24"/>
          <w:szCs w:val="24"/>
          <w:lang w:eastAsia="el-GR"/>
        </w:rPr>
        <w:t>σκολα στη χρήση τους</w:t>
      </w:r>
      <w:r w:rsidR="0080010D" w:rsidRPr="005A464E">
        <w:rPr>
          <w:rFonts w:eastAsia="Times New Roman"/>
          <w:sz w:val="24"/>
          <w:szCs w:val="24"/>
          <w:lang w:eastAsia="el-GR"/>
        </w:rPr>
        <w:t xml:space="preserve"> για τους ασθενείς με </w:t>
      </w:r>
      <w:r w:rsidR="00921FE0" w:rsidRPr="005A464E">
        <w:rPr>
          <w:rFonts w:eastAsia="Times New Roman"/>
          <w:sz w:val="24"/>
          <w:szCs w:val="24"/>
          <w:lang w:eastAsia="el-GR"/>
        </w:rPr>
        <w:t>χαμηλά επίπεδα αλφαβητισμού (</w:t>
      </w:r>
      <w:r w:rsidR="00921FE0" w:rsidRPr="00874841">
        <w:rPr>
          <w:rFonts w:eastAsia="Times New Roman"/>
          <w:sz w:val="24"/>
          <w:szCs w:val="24"/>
          <w:lang w:val="en-US" w:eastAsia="el-GR"/>
        </w:rPr>
        <w:t>Tan</w:t>
      </w:r>
      <w:r w:rsidR="00874841" w:rsidRPr="00874841">
        <w:rPr>
          <w:rFonts w:eastAsia="Times New Roman"/>
          <w:sz w:val="24"/>
          <w:szCs w:val="24"/>
          <w:lang w:eastAsia="el-GR"/>
        </w:rPr>
        <w:t>,</w:t>
      </w:r>
      <w:r w:rsidR="005A363E" w:rsidRPr="00874841">
        <w:rPr>
          <w:rFonts w:eastAsia="Times New Roman"/>
          <w:sz w:val="24"/>
          <w:szCs w:val="24"/>
          <w:lang w:eastAsia="el-GR"/>
        </w:rPr>
        <w:t xml:space="preserve"> </w:t>
      </w:r>
      <w:r w:rsidR="00874841" w:rsidRPr="00874841">
        <w:rPr>
          <w:rFonts w:cstheme="minorHAnsi"/>
          <w:sz w:val="24"/>
          <w:szCs w:val="24"/>
          <w:shd w:val="clear" w:color="auto" w:fill="FFFFFF"/>
          <w:lang w:val="en-US"/>
        </w:rPr>
        <w:t>Patel</w:t>
      </w:r>
      <w:r w:rsidR="00855531" w:rsidRPr="00855531">
        <w:rPr>
          <w:rFonts w:cstheme="minorHAnsi"/>
          <w:sz w:val="24"/>
          <w:szCs w:val="24"/>
          <w:shd w:val="clear" w:color="auto" w:fill="FFFFFF"/>
        </w:rPr>
        <w:t>,</w:t>
      </w:r>
      <w:r w:rsidR="00874841" w:rsidRPr="00874841">
        <w:rPr>
          <w:rFonts w:cstheme="minorHAnsi"/>
          <w:sz w:val="24"/>
          <w:szCs w:val="24"/>
          <w:shd w:val="clear" w:color="auto" w:fill="FFFFFF"/>
        </w:rPr>
        <w:t xml:space="preserve"> &amp; </w:t>
      </w:r>
      <w:r w:rsidR="00874841" w:rsidRPr="00874841">
        <w:rPr>
          <w:rFonts w:cstheme="minorHAnsi"/>
          <w:sz w:val="24"/>
          <w:szCs w:val="24"/>
          <w:shd w:val="clear" w:color="auto" w:fill="FFFFFF"/>
          <w:lang w:val="en-US"/>
        </w:rPr>
        <w:t>Chang</w:t>
      </w:r>
      <w:r w:rsidR="00855531" w:rsidRPr="00855531">
        <w:rPr>
          <w:rFonts w:cstheme="minorHAnsi"/>
          <w:sz w:val="24"/>
          <w:szCs w:val="24"/>
          <w:shd w:val="clear" w:color="auto" w:fill="FFFFFF"/>
        </w:rPr>
        <w:t>,</w:t>
      </w:r>
      <w:r w:rsidR="00874841" w:rsidRPr="00874841">
        <w:rPr>
          <w:rFonts w:eastAsia="Times New Roman"/>
          <w:sz w:val="24"/>
          <w:szCs w:val="24"/>
          <w:lang w:eastAsia="el-GR"/>
        </w:rPr>
        <w:t xml:space="preserve"> </w:t>
      </w:r>
      <w:r w:rsidR="00921FE0" w:rsidRPr="00874841">
        <w:rPr>
          <w:rFonts w:eastAsia="Times New Roman"/>
          <w:sz w:val="24"/>
          <w:szCs w:val="24"/>
          <w:lang w:eastAsia="el-GR"/>
        </w:rPr>
        <w:t>20</w:t>
      </w:r>
      <w:r w:rsidR="00921FE0" w:rsidRPr="005A464E">
        <w:rPr>
          <w:rFonts w:eastAsia="Times New Roman"/>
          <w:sz w:val="24"/>
          <w:szCs w:val="24"/>
          <w:lang w:eastAsia="el-GR"/>
        </w:rPr>
        <w:t>14).</w:t>
      </w:r>
      <w:r w:rsidR="005A363E" w:rsidRPr="005A464E">
        <w:rPr>
          <w:rFonts w:eastAsia="Times New Roman"/>
          <w:sz w:val="24"/>
          <w:szCs w:val="24"/>
          <w:lang w:eastAsia="el-GR"/>
        </w:rPr>
        <w:t xml:space="preserve"> </w:t>
      </w:r>
      <w:r w:rsidR="00AD5F6D" w:rsidRPr="005A464E">
        <w:rPr>
          <w:sz w:val="24"/>
          <w:szCs w:val="24"/>
        </w:rPr>
        <w:t>Η μέθοδ</w:t>
      </w:r>
      <w:r w:rsidRPr="005A464E">
        <w:rPr>
          <w:sz w:val="24"/>
          <w:szCs w:val="24"/>
        </w:rPr>
        <w:t xml:space="preserve">ος της </w:t>
      </w:r>
      <w:r w:rsidRPr="00EE1D58">
        <w:rPr>
          <w:sz w:val="24"/>
          <w:szCs w:val="24"/>
        </w:rPr>
        <w:t>αυτο</w:t>
      </w:r>
      <w:r w:rsidR="00AD5F6D" w:rsidRPr="00EE1D58">
        <w:rPr>
          <w:sz w:val="24"/>
          <w:szCs w:val="24"/>
        </w:rPr>
        <w:t>αναφοράς δεν είναι απόλυτα ευα</w:t>
      </w:r>
      <w:r w:rsidRPr="00EE1D58">
        <w:rPr>
          <w:sz w:val="24"/>
          <w:szCs w:val="24"/>
        </w:rPr>
        <w:t>ίσθητη στη μη συμμόρφωση στην αγωγή</w:t>
      </w:r>
      <w:r w:rsidR="00AD5F6D" w:rsidRPr="00EE1D58">
        <w:rPr>
          <w:sz w:val="24"/>
          <w:szCs w:val="24"/>
        </w:rPr>
        <w:t xml:space="preserve"> είτε λόγω της αδυναμίας ανάκλησης </w:t>
      </w:r>
      <w:r w:rsidR="00B0560D" w:rsidRPr="00EE1D58">
        <w:rPr>
          <w:sz w:val="24"/>
          <w:szCs w:val="24"/>
        </w:rPr>
        <w:t>του ασθενούς</w:t>
      </w:r>
      <w:r w:rsidR="00AD5F6D" w:rsidRPr="00EE1D58">
        <w:rPr>
          <w:sz w:val="24"/>
          <w:szCs w:val="24"/>
        </w:rPr>
        <w:t xml:space="preserve"> είτε λόγω της επιθυμίας </w:t>
      </w:r>
      <w:r w:rsidR="00B0560D" w:rsidRPr="00EE1D58">
        <w:rPr>
          <w:sz w:val="24"/>
          <w:szCs w:val="24"/>
        </w:rPr>
        <w:t>του ασθενούς</w:t>
      </w:r>
      <w:r w:rsidR="005A363E" w:rsidRPr="00EE1D58">
        <w:rPr>
          <w:sz w:val="24"/>
          <w:szCs w:val="24"/>
        </w:rPr>
        <w:t xml:space="preserve"> να φαίνεται ότι</w:t>
      </w:r>
      <w:r w:rsidR="00924A12" w:rsidRPr="00EE1D58">
        <w:rPr>
          <w:sz w:val="24"/>
          <w:szCs w:val="24"/>
        </w:rPr>
        <w:t xml:space="preserve"> συμμορφώνε</w:t>
      </w:r>
      <w:r w:rsidR="00AD5F6D" w:rsidRPr="00EE1D58">
        <w:rPr>
          <w:sz w:val="24"/>
          <w:szCs w:val="24"/>
        </w:rPr>
        <w:t>τ</w:t>
      </w:r>
      <w:r w:rsidR="00FD07A0" w:rsidRPr="00EE1D58">
        <w:rPr>
          <w:sz w:val="24"/>
          <w:szCs w:val="24"/>
        </w:rPr>
        <w:t>αι με την προβλεπόμενη αγωγή. Ο ασθενής ίσως προτιμά να «καλύψει</w:t>
      </w:r>
      <w:r w:rsidR="00AD5F6D" w:rsidRPr="00EE1D58">
        <w:rPr>
          <w:sz w:val="24"/>
          <w:szCs w:val="24"/>
        </w:rPr>
        <w:t xml:space="preserve"> το πρόσωπό</w:t>
      </w:r>
      <w:r w:rsidR="0078495A" w:rsidRPr="00EE1D58">
        <w:rPr>
          <w:sz w:val="24"/>
          <w:szCs w:val="24"/>
        </w:rPr>
        <w:t xml:space="preserve"> </w:t>
      </w:r>
      <w:r w:rsidR="00FD07A0" w:rsidRPr="00EE1D58">
        <w:rPr>
          <w:sz w:val="24"/>
          <w:szCs w:val="24"/>
        </w:rPr>
        <w:t>του</w:t>
      </w:r>
      <w:r w:rsidR="00AD5F6D" w:rsidRPr="00EE1D58">
        <w:rPr>
          <w:sz w:val="24"/>
          <w:szCs w:val="24"/>
        </w:rPr>
        <w:t xml:space="preserve">» από το να </w:t>
      </w:r>
      <w:r w:rsidR="00FD07A0" w:rsidRPr="00EE1D58">
        <w:rPr>
          <w:sz w:val="24"/>
          <w:szCs w:val="24"/>
        </w:rPr>
        <w:t>δηλώσει</w:t>
      </w:r>
      <w:r w:rsidR="00AD5F6D" w:rsidRPr="00EE1D58">
        <w:rPr>
          <w:sz w:val="24"/>
          <w:szCs w:val="24"/>
        </w:rPr>
        <w:t xml:space="preserve"> στον επαγγελμα</w:t>
      </w:r>
      <w:r w:rsidR="00FD07A0" w:rsidRPr="00EE1D58">
        <w:rPr>
          <w:sz w:val="24"/>
          <w:szCs w:val="24"/>
        </w:rPr>
        <w:t>τία υγείας ότι δεν συμμορφώθηκε</w:t>
      </w:r>
      <w:r w:rsidR="00AD5F6D" w:rsidRPr="00EE1D58">
        <w:rPr>
          <w:sz w:val="24"/>
          <w:szCs w:val="24"/>
        </w:rPr>
        <w:t>.</w:t>
      </w:r>
      <w:r w:rsidR="003F742B" w:rsidRPr="00EE1D58">
        <w:rPr>
          <w:sz w:val="24"/>
          <w:szCs w:val="24"/>
        </w:rPr>
        <w:t xml:space="preserve"> Γενικά</w:t>
      </w:r>
      <w:r w:rsidR="005A363E" w:rsidRPr="00EE1D58">
        <w:rPr>
          <w:sz w:val="24"/>
          <w:szCs w:val="24"/>
        </w:rPr>
        <w:t>,</w:t>
      </w:r>
      <w:r w:rsidR="003F742B" w:rsidRPr="00EE1D58">
        <w:rPr>
          <w:sz w:val="24"/>
          <w:szCs w:val="24"/>
        </w:rPr>
        <w:t xml:space="preserve"> μερικές κλίμακες όπως η κλίμακα </w:t>
      </w:r>
      <w:r w:rsidR="003F742B" w:rsidRPr="00EE1D58">
        <w:rPr>
          <w:sz w:val="24"/>
          <w:szCs w:val="24"/>
          <w:shd w:val="clear" w:color="auto" w:fill="FFFFFF"/>
          <w:lang w:val="en-US"/>
        </w:rPr>
        <w:t>Medication</w:t>
      </w:r>
      <w:r w:rsidR="00E83CD3" w:rsidRPr="00EE1D58">
        <w:rPr>
          <w:sz w:val="24"/>
          <w:szCs w:val="24"/>
          <w:shd w:val="clear" w:color="auto" w:fill="FFFFFF"/>
        </w:rPr>
        <w:t xml:space="preserve"> </w:t>
      </w:r>
      <w:r w:rsidR="003F742B" w:rsidRPr="00EE1D58">
        <w:rPr>
          <w:sz w:val="24"/>
          <w:szCs w:val="24"/>
          <w:shd w:val="clear" w:color="auto" w:fill="FFFFFF"/>
          <w:lang w:val="en-US"/>
        </w:rPr>
        <w:t>Adherence</w:t>
      </w:r>
      <w:r w:rsidR="00E83CD3" w:rsidRPr="00EE1D58">
        <w:rPr>
          <w:sz w:val="24"/>
          <w:szCs w:val="24"/>
          <w:shd w:val="clear" w:color="auto" w:fill="FFFFFF"/>
        </w:rPr>
        <w:t xml:space="preserve"> </w:t>
      </w:r>
      <w:r w:rsidR="003F742B" w:rsidRPr="00EE1D58">
        <w:rPr>
          <w:sz w:val="24"/>
          <w:szCs w:val="24"/>
          <w:shd w:val="clear" w:color="auto" w:fill="FFFFFF"/>
          <w:lang w:val="en-US"/>
        </w:rPr>
        <w:t>Questionnaire</w:t>
      </w:r>
      <w:r w:rsidR="003F742B" w:rsidRPr="00EE1D58">
        <w:rPr>
          <w:sz w:val="24"/>
          <w:szCs w:val="24"/>
          <w:shd w:val="clear" w:color="auto" w:fill="FFFFFF"/>
        </w:rPr>
        <w:t xml:space="preserve"> (</w:t>
      </w:r>
      <w:r w:rsidR="003F742B" w:rsidRPr="00EE1D58">
        <w:rPr>
          <w:sz w:val="24"/>
          <w:szCs w:val="24"/>
          <w:shd w:val="clear" w:color="auto" w:fill="FFFFFF"/>
          <w:lang w:val="en-US"/>
        </w:rPr>
        <w:t>MAQ</w:t>
      </w:r>
      <w:r w:rsidR="003F742B" w:rsidRPr="00EE1D58">
        <w:rPr>
          <w:sz w:val="24"/>
          <w:szCs w:val="24"/>
          <w:shd w:val="clear" w:color="auto" w:fill="FFFFFF"/>
        </w:rPr>
        <w:t>), η κλίμακα</w:t>
      </w:r>
      <w:r w:rsidR="0078495A" w:rsidRPr="00EE1D58">
        <w:rPr>
          <w:sz w:val="24"/>
          <w:szCs w:val="24"/>
          <w:shd w:val="clear" w:color="auto" w:fill="FFFFFF"/>
        </w:rPr>
        <w:t xml:space="preserve"> </w:t>
      </w:r>
      <w:r w:rsidR="003F742B" w:rsidRPr="00EE1D58">
        <w:rPr>
          <w:sz w:val="24"/>
          <w:szCs w:val="24"/>
          <w:shd w:val="clear" w:color="auto" w:fill="FFFFFF"/>
        </w:rPr>
        <w:t>8-</w:t>
      </w:r>
      <w:r w:rsidR="003F742B" w:rsidRPr="00EE1D58">
        <w:rPr>
          <w:sz w:val="24"/>
          <w:szCs w:val="24"/>
          <w:shd w:val="clear" w:color="auto" w:fill="FFFFFF"/>
          <w:lang w:val="en-US"/>
        </w:rPr>
        <w:t>item</w:t>
      </w:r>
      <w:r w:rsidR="00E83CD3" w:rsidRPr="00EE1D58">
        <w:rPr>
          <w:sz w:val="24"/>
          <w:szCs w:val="24"/>
          <w:shd w:val="clear" w:color="auto" w:fill="FFFFFF"/>
        </w:rPr>
        <w:t xml:space="preserve"> </w:t>
      </w:r>
      <w:r w:rsidR="003F742B" w:rsidRPr="00EE1D58">
        <w:rPr>
          <w:sz w:val="24"/>
          <w:szCs w:val="24"/>
          <w:shd w:val="clear" w:color="auto" w:fill="FFFFFF"/>
          <w:lang w:val="en-US"/>
        </w:rPr>
        <w:t>Morisky</w:t>
      </w:r>
      <w:r w:rsidR="00E83CD3" w:rsidRPr="00EE1D58">
        <w:rPr>
          <w:sz w:val="24"/>
          <w:szCs w:val="24"/>
          <w:shd w:val="clear" w:color="auto" w:fill="FFFFFF"/>
        </w:rPr>
        <w:t xml:space="preserve"> </w:t>
      </w:r>
      <w:r w:rsidR="003F742B" w:rsidRPr="00EE1D58">
        <w:rPr>
          <w:sz w:val="24"/>
          <w:szCs w:val="24"/>
          <w:shd w:val="clear" w:color="auto" w:fill="FFFFFF"/>
          <w:lang w:val="en-US"/>
        </w:rPr>
        <w:t>Medication</w:t>
      </w:r>
      <w:r w:rsidR="00E83CD3" w:rsidRPr="00EE1D58">
        <w:rPr>
          <w:sz w:val="24"/>
          <w:szCs w:val="24"/>
          <w:shd w:val="clear" w:color="auto" w:fill="FFFFFF"/>
        </w:rPr>
        <w:t xml:space="preserve"> </w:t>
      </w:r>
      <w:r w:rsidR="003F742B" w:rsidRPr="00EE1D58">
        <w:rPr>
          <w:sz w:val="24"/>
          <w:szCs w:val="24"/>
          <w:shd w:val="clear" w:color="auto" w:fill="FFFFFF"/>
          <w:lang w:val="en-US"/>
        </w:rPr>
        <w:t>Adherence</w:t>
      </w:r>
      <w:r w:rsidR="00E83CD3" w:rsidRPr="00EE1D58">
        <w:rPr>
          <w:sz w:val="24"/>
          <w:szCs w:val="24"/>
          <w:shd w:val="clear" w:color="auto" w:fill="FFFFFF"/>
        </w:rPr>
        <w:t xml:space="preserve"> </w:t>
      </w:r>
      <w:r w:rsidR="003F742B" w:rsidRPr="00EE1D58">
        <w:rPr>
          <w:sz w:val="24"/>
          <w:szCs w:val="24"/>
          <w:shd w:val="clear" w:color="auto" w:fill="FFFFFF"/>
          <w:lang w:val="en-US"/>
        </w:rPr>
        <w:t>Scale</w:t>
      </w:r>
      <w:r w:rsidR="003F742B" w:rsidRPr="00EE1D58">
        <w:rPr>
          <w:sz w:val="24"/>
          <w:szCs w:val="24"/>
          <w:shd w:val="clear" w:color="auto" w:fill="FFFFFF"/>
        </w:rPr>
        <w:t xml:space="preserve"> (</w:t>
      </w:r>
      <w:r w:rsidR="003F742B" w:rsidRPr="00EE1D58">
        <w:rPr>
          <w:sz w:val="24"/>
          <w:szCs w:val="24"/>
          <w:shd w:val="clear" w:color="auto" w:fill="FFFFFF"/>
          <w:lang w:val="en-US"/>
        </w:rPr>
        <w:t>MMAS</w:t>
      </w:r>
      <w:r w:rsidR="0044764F" w:rsidRPr="00EE1D58">
        <w:rPr>
          <w:sz w:val="24"/>
          <w:szCs w:val="24"/>
          <w:shd w:val="clear" w:color="auto" w:fill="FFFFFF"/>
        </w:rPr>
        <w:t>), και η κλίμακα Τ</w:t>
      </w:r>
      <w:r w:rsidR="003F742B" w:rsidRPr="00EE1D58">
        <w:rPr>
          <w:sz w:val="24"/>
          <w:szCs w:val="24"/>
          <w:shd w:val="clear" w:color="auto" w:fill="FFFFFF"/>
          <w:lang w:val="en-US"/>
        </w:rPr>
        <w:t>he</w:t>
      </w:r>
      <w:r w:rsidR="00E83CD3" w:rsidRPr="00EE1D58">
        <w:rPr>
          <w:sz w:val="24"/>
          <w:szCs w:val="24"/>
          <w:shd w:val="clear" w:color="auto" w:fill="FFFFFF"/>
        </w:rPr>
        <w:t xml:space="preserve"> </w:t>
      </w:r>
      <w:r w:rsidR="003F742B" w:rsidRPr="00EE1D58">
        <w:rPr>
          <w:sz w:val="24"/>
          <w:szCs w:val="24"/>
          <w:shd w:val="clear" w:color="auto" w:fill="FFFFFF"/>
          <w:lang w:val="en-US"/>
        </w:rPr>
        <w:t>Brief</w:t>
      </w:r>
      <w:r w:rsidR="00E83CD3" w:rsidRPr="00EE1D58">
        <w:rPr>
          <w:sz w:val="24"/>
          <w:szCs w:val="24"/>
          <w:shd w:val="clear" w:color="auto" w:fill="FFFFFF"/>
        </w:rPr>
        <w:t xml:space="preserve"> </w:t>
      </w:r>
      <w:r w:rsidR="003F742B" w:rsidRPr="00EE1D58">
        <w:rPr>
          <w:sz w:val="24"/>
          <w:szCs w:val="24"/>
          <w:shd w:val="clear" w:color="auto" w:fill="FFFFFF"/>
          <w:lang w:val="en-US"/>
        </w:rPr>
        <w:t>Medication</w:t>
      </w:r>
      <w:r w:rsidR="00E83CD3" w:rsidRPr="00EE1D58">
        <w:rPr>
          <w:sz w:val="24"/>
          <w:szCs w:val="24"/>
          <w:shd w:val="clear" w:color="auto" w:fill="FFFFFF"/>
        </w:rPr>
        <w:t xml:space="preserve"> </w:t>
      </w:r>
      <w:r w:rsidR="003F742B" w:rsidRPr="00EE1D58">
        <w:rPr>
          <w:sz w:val="24"/>
          <w:szCs w:val="24"/>
          <w:shd w:val="clear" w:color="auto" w:fill="FFFFFF"/>
          <w:lang w:val="en-US"/>
        </w:rPr>
        <w:t>Questionnaire</w:t>
      </w:r>
      <w:r w:rsidR="003F742B" w:rsidRPr="00EE1D58">
        <w:rPr>
          <w:sz w:val="24"/>
          <w:szCs w:val="24"/>
          <w:shd w:val="clear" w:color="auto" w:fill="FFFFFF"/>
        </w:rPr>
        <w:t xml:space="preserve">, </w:t>
      </w:r>
      <w:r w:rsidR="003F742B" w:rsidRPr="00EE1D58">
        <w:rPr>
          <w:rFonts w:eastAsia="Times New Roman"/>
          <w:sz w:val="24"/>
          <w:szCs w:val="24"/>
          <w:lang w:eastAsia="el-GR"/>
        </w:rPr>
        <w:t>κατατάσσουν το βαθμό</w:t>
      </w:r>
      <w:r w:rsidR="0080010D" w:rsidRPr="00EE1D58">
        <w:rPr>
          <w:rFonts w:eastAsia="Times New Roman"/>
          <w:sz w:val="24"/>
          <w:szCs w:val="24"/>
          <w:lang w:eastAsia="el-GR"/>
        </w:rPr>
        <w:t xml:space="preserve"> συμμόρφωσης αντί για τον καθορισμό</w:t>
      </w:r>
      <w:r w:rsidR="003F742B" w:rsidRPr="00EE1D58">
        <w:rPr>
          <w:rFonts w:eastAsia="Times New Roman"/>
          <w:sz w:val="24"/>
          <w:szCs w:val="24"/>
          <w:lang w:eastAsia="el-GR"/>
        </w:rPr>
        <w:t xml:space="preserve"> της απόλυτης </w:t>
      </w:r>
      <w:r w:rsidR="00FD07A0" w:rsidRPr="00EE1D58">
        <w:rPr>
          <w:rFonts w:eastAsia="Times New Roman"/>
          <w:sz w:val="24"/>
          <w:szCs w:val="24"/>
          <w:lang w:eastAsia="el-GR"/>
        </w:rPr>
        <w:t xml:space="preserve">μη </w:t>
      </w:r>
      <w:r w:rsidR="00E83CD3" w:rsidRPr="00EE1D58">
        <w:rPr>
          <w:rFonts w:eastAsia="Times New Roman"/>
          <w:sz w:val="24"/>
          <w:szCs w:val="24"/>
          <w:lang w:eastAsia="el-GR"/>
        </w:rPr>
        <w:t>συμμόρφωση</w:t>
      </w:r>
      <w:r w:rsidR="00FD07A0" w:rsidRPr="00EE1D58">
        <w:rPr>
          <w:rFonts w:eastAsia="Times New Roman"/>
          <w:sz w:val="24"/>
          <w:szCs w:val="24"/>
          <w:lang w:eastAsia="el-GR"/>
        </w:rPr>
        <w:t>ς</w:t>
      </w:r>
      <w:r w:rsidR="005A363E" w:rsidRPr="00EE1D58">
        <w:rPr>
          <w:rFonts w:eastAsia="Times New Roman"/>
          <w:sz w:val="24"/>
          <w:szCs w:val="24"/>
          <w:lang w:eastAsia="el-GR"/>
        </w:rPr>
        <w:t xml:space="preserve">- </w:t>
      </w:r>
      <w:r w:rsidR="0080010D" w:rsidRPr="00EE1D58">
        <w:rPr>
          <w:rFonts w:eastAsia="Times New Roman"/>
          <w:sz w:val="24"/>
          <w:szCs w:val="24"/>
          <w:lang w:eastAsia="el-GR"/>
        </w:rPr>
        <w:t>προσκόλληση</w:t>
      </w:r>
      <w:r w:rsidR="00FD07A0" w:rsidRPr="00EE1D58">
        <w:rPr>
          <w:rFonts w:eastAsia="Times New Roman"/>
          <w:sz w:val="24"/>
          <w:szCs w:val="24"/>
          <w:lang w:eastAsia="el-GR"/>
        </w:rPr>
        <w:t>ς</w:t>
      </w:r>
      <w:r w:rsidR="00020DAB" w:rsidRPr="00EE1D58">
        <w:rPr>
          <w:rFonts w:eastAsia="Times New Roman"/>
          <w:sz w:val="24"/>
          <w:szCs w:val="24"/>
          <w:lang w:eastAsia="el-GR"/>
        </w:rPr>
        <w:t xml:space="preserve"> (</w:t>
      </w:r>
      <w:r w:rsidR="00020DAB" w:rsidRPr="00EE1D58">
        <w:rPr>
          <w:rFonts w:eastAsia="Times New Roman"/>
          <w:sz w:val="24"/>
          <w:szCs w:val="24"/>
          <w:lang w:val="en-US" w:eastAsia="el-GR"/>
        </w:rPr>
        <w:t>Lam</w:t>
      </w:r>
      <w:r w:rsidR="00D93EF3" w:rsidRPr="00EE1D58">
        <w:rPr>
          <w:rFonts w:eastAsia="Times New Roman"/>
          <w:sz w:val="24"/>
          <w:szCs w:val="24"/>
          <w:lang w:eastAsia="el-GR"/>
        </w:rPr>
        <w:t xml:space="preserve"> </w:t>
      </w:r>
      <w:r w:rsidR="00020DAB" w:rsidRPr="00EE1D58">
        <w:rPr>
          <w:rFonts w:eastAsia="Times New Roman"/>
          <w:sz w:val="24"/>
          <w:szCs w:val="24"/>
          <w:lang w:eastAsia="el-GR"/>
        </w:rPr>
        <w:t>&amp;</w:t>
      </w:r>
      <w:r w:rsidR="00D93EF3" w:rsidRPr="00EE1D58">
        <w:rPr>
          <w:rFonts w:eastAsia="Times New Roman"/>
          <w:sz w:val="24"/>
          <w:szCs w:val="24"/>
          <w:lang w:eastAsia="el-GR"/>
        </w:rPr>
        <w:t xml:space="preserve"> </w:t>
      </w:r>
      <w:r w:rsidR="00020DAB" w:rsidRPr="00EE1D58">
        <w:rPr>
          <w:rFonts w:eastAsia="Times New Roman"/>
          <w:sz w:val="24"/>
          <w:szCs w:val="24"/>
          <w:lang w:val="en-US" w:eastAsia="el-GR"/>
        </w:rPr>
        <w:t>Fresco</w:t>
      </w:r>
      <w:r w:rsidR="00AB454B" w:rsidRPr="00EE1D58">
        <w:rPr>
          <w:rFonts w:eastAsia="Times New Roman"/>
          <w:sz w:val="24"/>
          <w:szCs w:val="24"/>
          <w:lang w:eastAsia="el-GR"/>
        </w:rPr>
        <w:t>,</w:t>
      </w:r>
      <w:r w:rsidR="00020DAB" w:rsidRPr="00EE1D58">
        <w:rPr>
          <w:rFonts w:eastAsia="Times New Roman"/>
          <w:sz w:val="24"/>
          <w:szCs w:val="24"/>
          <w:lang w:eastAsia="el-GR"/>
        </w:rPr>
        <w:t xml:space="preserve"> 2015)</w:t>
      </w:r>
      <w:r w:rsidR="0080010D" w:rsidRPr="00EE1D58">
        <w:rPr>
          <w:rFonts w:eastAsia="Times New Roman"/>
          <w:sz w:val="24"/>
          <w:szCs w:val="24"/>
          <w:lang w:eastAsia="el-GR"/>
        </w:rPr>
        <w:t>.</w:t>
      </w:r>
      <w:r w:rsidR="0080010D" w:rsidRPr="005A464E">
        <w:rPr>
          <w:rFonts w:eastAsia="Times New Roman"/>
          <w:sz w:val="24"/>
          <w:szCs w:val="24"/>
          <w:lang w:eastAsia="el-GR"/>
        </w:rPr>
        <w:t xml:space="preserve"> </w:t>
      </w:r>
    </w:p>
    <w:p w:rsidR="003F742B" w:rsidRPr="005A464E" w:rsidRDefault="003F742B" w:rsidP="005A464E">
      <w:pPr>
        <w:pStyle w:val="a5"/>
        <w:spacing w:line="360" w:lineRule="auto"/>
        <w:ind w:left="0"/>
        <w:jc w:val="both"/>
        <w:rPr>
          <w:rFonts w:eastAsia="Times New Roman"/>
          <w:color w:val="999999"/>
          <w:lang w:eastAsia="el-GR"/>
        </w:rPr>
      </w:pPr>
    </w:p>
    <w:p w:rsidR="00D119C5" w:rsidRPr="00EE1D58" w:rsidRDefault="00147973" w:rsidP="005A464E">
      <w:pPr>
        <w:pStyle w:val="a5"/>
        <w:spacing w:line="360" w:lineRule="auto"/>
        <w:ind w:left="0"/>
        <w:jc w:val="both"/>
        <w:rPr>
          <w:rFonts w:eastAsia="Times New Roman"/>
          <w:color w:val="000000"/>
          <w:sz w:val="24"/>
          <w:szCs w:val="24"/>
          <w:lang w:val="en-US" w:eastAsia="el-GR"/>
        </w:rPr>
      </w:pPr>
      <w:r w:rsidRPr="00EE1D58">
        <w:rPr>
          <w:b/>
          <w:sz w:val="24"/>
          <w:szCs w:val="24"/>
          <w:shd w:val="clear" w:color="auto" w:fill="FFFFFF"/>
          <w:lang w:val="en-US"/>
        </w:rPr>
        <w:t>Hill-Bone Compliance Scale (Hill-Bone)</w:t>
      </w:r>
    </w:p>
    <w:p w:rsidR="00147973" w:rsidRPr="00EE1D58" w:rsidRDefault="00D119C5" w:rsidP="005A464E">
      <w:pPr>
        <w:pStyle w:val="a5"/>
        <w:spacing w:line="360" w:lineRule="auto"/>
        <w:ind w:left="0"/>
        <w:jc w:val="both"/>
        <w:rPr>
          <w:rFonts w:eastAsia="Times New Roman"/>
          <w:color w:val="000000"/>
          <w:sz w:val="24"/>
          <w:szCs w:val="24"/>
          <w:lang w:eastAsia="el-GR"/>
        </w:rPr>
      </w:pPr>
      <w:r w:rsidRPr="00EE1D58">
        <w:rPr>
          <w:rFonts w:eastAsia="Times New Roman"/>
          <w:color w:val="000000"/>
          <w:sz w:val="24"/>
          <w:szCs w:val="24"/>
          <w:lang w:eastAsia="el-GR"/>
        </w:rPr>
        <w:t>Ως εργαλείο μέτρησης της συμπεριφοράς λήψης φαρμάκων και εμποδίων στη συμμόρφωση, η κλίμακα</w:t>
      </w:r>
      <w:r w:rsidR="00E83CD3" w:rsidRPr="00EE1D58">
        <w:rPr>
          <w:rFonts w:eastAsia="Times New Roman"/>
          <w:color w:val="000000"/>
          <w:sz w:val="24"/>
          <w:szCs w:val="24"/>
          <w:lang w:eastAsia="el-GR"/>
        </w:rPr>
        <w:t xml:space="preserve"> </w:t>
      </w:r>
      <w:r w:rsidR="00147973" w:rsidRPr="00EE1D58">
        <w:rPr>
          <w:rFonts w:eastAsia="Times New Roman"/>
          <w:color w:val="000000"/>
          <w:sz w:val="24"/>
          <w:szCs w:val="24"/>
          <w:lang w:val="en-US" w:eastAsia="el-GR"/>
        </w:rPr>
        <w:t>Hill</w:t>
      </w:r>
      <w:r w:rsidR="00147973" w:rsidRPr="00EE1D58">
        <w:rPr>
          <w:rFonts w:eastAsia="Times New Roman"/>
          <w:color w:val="000000"/>
          <w:sz w:val="24"/>
          <w:szCs w:val="24"/>
          <w:lang w:eastAsia="el-GR"/>
        </w:rPr>
        <w:t>-</w:t>
      </w:r>
      <w:r w:rsidR="00147973" w:rsidRPr="00EE1D58">
        <w:rPr>
          <w:rFonts w:eastAsia="Times New Roman"/>
          <w:color w:val="000000"/>
          <w:sz w:val="24"/>
          <w:szCs w:val="24"/>
          <w:lang w:val="en-US" w:eastAsia="el-GR"/>
        </w:rPr>
        <w:t>Bone</w:t>
      </w:r>
      <w:r w:rsidR="00E83CD3" w:rsidRPr="00EE1D58">
        <w:rPr>
          <w:rFonts w:eastAsia="Times New Roman"/>
          <w:color w:val="000000"/>
          <w:sz w:val="24"/>
          <w:szCs w:val="24"/>
          <w:lang w:eastAsia="el-GR"/>
        </w:rPr>
        <w:t xml:space="preserve"> </w:t>
      </w:r>
      <w:r w:rsidRPr="00EE1D58">
        <w:rPr>
          <w:rFonts w:eastAsia="Times New Roman"/>
          <w:color w:val="000000"/>
          <w:sz w:val="24"/>
          <w:szCs w:val="24"/>
          <w:lang w:eastAsia="el-GR"/>
        </w:rPr>
        <w:t>έχει περιορισμένη γενικευσιμότητα καθώς στοχεύει μόνο σε ασθενείς που λαμβάνουν αντιϋπερτασικούς παράγοντες</w:t>
      </w:r>
      <w:r w:rsidR="00147973" w:rsidRPr="00EE1D58">
        <w:rPr>
          <w:rFonts w:eastAsia="Times New Roman"/>
          <w:color w:val="000000"/>
          <w:sz w:val="24"/>
          <w:szCs w:val="24"/>
          <w:lang w:eastAsia="el-GR"/>
        </w:rPr>
        <w:t xml:space="preserve">. </w:t>
      </w:r>
      <w:r w:rsidRPr="00EE1D58">
        <w:rPr>
          <w:rFonts w:eastAsia="Times New Roman"/>
          <w:color w:val="000000"/>
          <w:sz w:val="24"/>
          <w:szCs w:val="24"/>
          <w:lang w:eastAsia="el-GR"/>
        </w:rPr>
        <w:t>Αποτελείται από τρεις υποκλίμακες (συμπεριφορά λήψης φαρμάκων, ικανότητα προσέλευσης στο ραντεβού, λήψης νατρ</w:t>
      </w:r>
      <w:r w:rsidR="002F06FC" w:rsidRPr="00EE1D58">
        <w:rPr>
          <w:rFonts w:eastAsia="Times New Roman"/>
          <w:color w:val="000000"/>
          <w:sz w:val="24"/>
          <w:szCs w:val="24"/>
          <w:lang w:eastAsia="el-GR"/>
        </w:rPr>
        <w:t xml:space="preserve">ίου) και βαθμολογείται σε </w:t>
      </w:r>
      <w:r w:rsidR="00817853">
        <w:rPr>
          <w:rFonts w:eastAsia="Times New Roman"/>
          <w:color w:val="000000"/>
          <w:sz w:val="24"/>
          <w:szCs w:val="24"/>
          <w:lang w:eastAsia="el-GR"/>
        </w:rPr>
        <w:t>μια</w:t>
      </w:r>
      <w:r w:rsidRPr="00EE1D58">
        <w:rPr>
          <w:rFonts w:eastAsia="Times New Roman"/>
          <w:color w:val="000000"/>
          <w:sz w:val="24"/>
          <w:szCs w:val="24"/>
          <w:lang w:eastAsia="el-GR"/>
        </w:rPr>
        <w:t xml:space="preserve"> </w:t>
      </w:r>
      <w:r w:rsidRPr="004E0AB7">
        <w:rPr>
          <w:rFonts w:eastAsia="Times New Roman"/>
          <w:color w:val="000000"/>
          <w:sz w:val="24"/>
          <w:szCs w:val="24"/>
          <w:lang w:eastAsia="el-GR"/>
        </w:rPr>
        <w:t xml:space="preserve">κλίμακα </w:t>
      </w:r>
      <w:r w:rsidR="002F06FC" w:rsidRPr="004E0AB7">
        <w:rPr>
          <w:rFonts w:eastAsia="Times New Roman"/>
          <w:color w:val="000000"/>
          <w:sz w:val="24"/>
          <w:szCs w:val="24"/>
          <w:lang w:eastAsia="el-GR"/>
        </w:rPr>
        <w:t>4</w:t>
      </w:r>
      <w:r w:rsidR="002F06FC" w:rsidRPr="00EE1D58">
        <w:rPr>
          <w:rFonts w:eastAsia="Times New Roman"/>
          <w:color w:val="000000"/>
          <w:sz w:val="24"/>
          <w:szCs w:val="24"/>
          <w:lang w:eastAsia="el-GR"/>
        </w:rPr>
        <w:t xml:space="preserve"> σημείων </w:t>
      </w:r>
      <w:r w:rsidR="0044764F" w:rsidRPr="00EE1D58">
        <w:rPr>
          <w:rFonts w:eastAsia="Times New Roman"/>
          <w:color w:val="000000"/>
          <w:sz w:val="24"/>
          <w:szCs w:val="24"/>
          <w:lang w:eastAsia="el-GR"/>
        </w:rPr>
        <w:t xml:space="preserve">τύπου </w:t>
      </w:r>
      <w:r w:rsidRPr="00EE1D58">
        <w:rPr>
          <w:rFonts w:eastAsia="Times New Roman"/>
          <w:color w:val="000000"/>
          <w:sz w:val="24"/>
          <w:szCs w:val="24"/>
          <w:lang w:val="en-US" w:eastAsia="el-GR"/>
        </w:rPr>
        <w:t>Likert</w:t>
      </w:r>
      <w:r w:rsidRPr="00EE1D58">
        <w:rPr>
          <w:rFonts w:eastAsia="Times New Roman"/>
          <w:color w:val="000000"/>
          <w:sz w:val="24"/>
          <w:szCs w:val="24"/>
          <w:lang w:eastAsia="el-GR"/>
        </w:rPr>
        <w:t xml:space="preserve">. </w:t>
      </w:r>
      <w:r w:rsidR="00252A5D" w:rsidRPr="00EE1D58">
        <w:rPr>
          <w:rFonts w:eastAsia="Times New Roman"/>
          <w:color w:val="000000"/>
          <w:sz w:val="24"/>
          <w:szCs w:val="24"/>
          <w:lang w:eastAsia="el-GR"/>
        </w:rPr>
        <w:t>Λόγω της υψηλής της</w:t>
      </w:r>
      <w:r w:rsidR="00802F7C" w:rsidRPr="00EE1D58">
        <w:rPr>
          <w:rFonts w:eastAsia="Times New Roman"/>
          <w:color w:val="000000"/>
          <w:sz w:val="24"/>
          <w:szCs w:val="24"/>
          <w:lang w:eastAsia="el-GR"/>
        </w:rPr>
        <w:t xml:space="preserve"> αξιοπιστίας σε πληθυσμο</w:t>
      </w:r>
      <w:r w:rsidR="00252A5D" w:rsidRPr="00EE1D58">
        <w:rPr>
          <w:rFonts w:eastAsia="Times New Roman"/>
          <w:color w:val="000000"/>
          <w:sz w:val="24"/>
          <w:szCs w:val="24"/>
          <w:lang w:eastAsia="el-GR"/>
        </w:rPr>
        <w:t>ύς της μαύρης φυλής, η χρήση της</w:t>
      </w:r>
      <w:r w:rsidR="00802F7C" w:rsidRPr="00EE1D58">
        <w:rPr>
          <w:rFonts w:eastAsia="Times New Roman"/>
          <w:color w:val="000000"/>
          <w:sz w:val="24"/>
          <w:szCs w:val="24"/>
          <w:lang w:eastAsia="el-GR"/>
        </w:rPr>
        <w:t xml:space="preserve"> προτείνεται για μελέτες ειδικά σε</w:t>
      </w:r>
      <w:r w:rsidR="0078495A" w:rsidRPr="00EE1D58">
        <w:rPr>
          <w:rFonts w:eastAsia="Times New Roman"/>
          <w:color w:val="000000"/>
          <w:sz w:val="24"/>
          <w:szCs w:val="24"/>
          <w:lang w:eastAsia="el-GR"/>
        </w:rPr>
        <w:t xml:space="preserve"> </w:t>
      </w:r>
      <w:r w:rsidR="00802F7C" w:rsidRPr="00EE1D58">
        <w:rPr>
          <w:rFonts w:eastAsia="Times New Roman"/>
          <w:color w:val="000000"/>
          <w:sz w:val="24"/>
          <w:szCs w:val="24"/>
          <w:lang w:eastAsia="el-GR"/>
        </w:rPr>
        <w:t>αυτούς τους πληθυσμούς</w:t>
      </w:r>
      <w:r w:rsidR="00020DAB" w:rsidRPr="00EE1D58">
        <w:rPr>
          <w:rFonts w:eastAsia="Times New Roman"/>
          <w:color w:val="000000"/>
          <w:sz w:val="24"/>
          <w:szCs w:val="24"/>
          <w:lang w:eastAsia="el-GR"/>
        </w:rPr>
        <w:t xml:space="preserve"> (</w:t>
      </w:r>
      <w:r w:rsidR="00F01540" w:rsidRPr="00EE1D58">
        <w:rPr>
          <w:rFonts w:eastAsia="Times New Roman"/>
          <w:color w:val="000000"/>
          <w:sz w:val="24"/>
          <w:szCs w:val="24"/>
          <w:lang w:val="en-US" w:eastAsia="el-GR"/>
        </w:rPr>
        <w:t>Kim</w:t>
      </w:r>
      <w:r w:rsidR="00F01540" w:rsidRPr="00EE1D58">
        <w:rPr>
          <w:rFonts w:eastAsia="Times New Roman"/>
          <w:color w:val="000000"/>
          <w:sz w:val="24"/>
          <w:szCs w:val="24"/>
          <w:lang w:eastAsia="el-GR"/>
        </w:rPr>
        <w:t>,</w:t>
      </w:r>
      <w:r w:rsidR="00F01540" w:rsidRPr="00EE1D58">
        <w:rPr>
          <w:rFonts w:asciiTheme="minorHAnsi" w:hAnsiTheme="minorHAnsi" w:cstheme="minorHAnsi"/>
          <w:sz w:val="24"/>
          <w:szCs w:val="24"/>
        </w:rPr>
        <w:t xml:space="preserve"> </w:t>
      </w:r>
      <w:r w:rsidR="00F01540" w:rsidRPr="00EE1D58">
        <w:rPr>
          <w:rFonts w:asciiTheme="minorHAnsi" w:hAnsiTheme="minorHAnsi" w:cstheme="minorHAnsi"/>
          <w:sz w:val="24"/>
          <w:szCs w:val="24"/>
          <w:lang w:val="en-US"/>
        </w:rPr>
        <w:t>Hill</w:t>
      </w:r>
      <w:r w:rsidR="00F01540" w:rsidRPr="00EE1D58">
        <w:rPr>
          <w:rFonts w:asciiTheme="minorHAnsi" w:hAnsiTheme="minorHAnsi" w:cstheme="minorHAnsi"/>
          <w:sz w:val="24"/>
          <w:szCs w:val="24"/>
        </w:rPr>
        <w:t xml:space="preserve">, </w:t>
      </w:r>
      <w:r w:rsidR="00F01540" w:rsidRPr="00EE1D58">
        <w:rPr>
          <w:rFonts w:asciiTheme="minorHAnsi" w:hAnsiTheme="minorHAnsi" w:cstheme="minorHAnsi"/>
          <w:sz w:val="24"/>
          <w:szCs w:val="24"/>
          <w:lang w:val="en-US"/>
        </w:rPr>
        <w:t>Bone</w:t>
      </w:r>
      <w:r w:rsidR="00F01540" w:rsidRPr="00EE1D58">
        <w:rPr>
          <w:rFonts w:asciiTheme="minorHAnsi" w:hAnsiTheme="minorHAnsi" w:cstheme="minorHAnsi"/>
          <w:sz w:val="24"/>
          <w:szCs w:val="24"/>
        </w:rPr>
        <w:t xml:space="preserve">, &amp; </w:t>
      </w:r>
      <w:r w:rsidR="00F01540" w:rsidRPr="00EE1D58">
        <w:rPr>
          <w:rFonts w:asciiTheme="minorHAnsi" w:hAnsiTheme="minorHAnsi" w:cstheme="minorHAnsi"/>
          <w:sz w:val="24"/>
          <w:szCs w:val="24"/>
          <w:lang w:val="en-US"/>
        </w:rPr>
        <w:t>Levine</w:t>
      </w:r>
      <w:r w:rsidR="00F01540" w:rsidRPr="00EE1D58">
        <w:rPr>
          <w:rFonts w:asciiTheme="minorHAnsi" w:hAnsiTheme="minorHAnsi" w:cstheme="minorHAnsi"/>
          <w:sz w:val="24"/>
          <w:szCs w:val="24"/>
        </w:rPr>
        <w:t>,</w:t>
      </w:r>
      <w:r w:rsidR="00F01540" w:rsidRPr="00EE1D58">
        <w:rPr>
          <w:rFonts w:eastAsia="Times New Roman"/>
          <w:color w:val="000000"/>
          <w:sz w:val="24"/>
          <w:szCs w:val="24"/>
          <w:lang w:eastAsia="el-GR"/>
        </w:rPr>
        <w:t xml:space="preserve"> 2000; </w:t>
      </w:r>
      <w:r w:rsidR="00020DAB" w:rsidRPr="00EE1D58">
        <w:rPr>
          <w:rFonts w:eastAsia="Times New Roman"/>
          <w:color w:val="000000"/>
          <w:sz w:val="24"/>
          <w:szCs w:val="24"/>
          <w:lang w:eastAsia="el-GR"/>
        </w:rPr>
        <w:t xml:space="preserve">Krousel-Wood </w:t>
      </w:r>
      <w:r w:rsidR="00566CAA" w:rsidRPr="00EE1D58">
        <w:rPr>
          <w:rFonts w:eastAsia="Times New Roman"/>
          <w:color w:val="000000"/>
          <w:sz w:val="24"/>
          <w:szCs w:val="24"/>
          <w:lang w:eastAsia="el-GR"/>
        </w:rPr>
        <w:t>et al</w:t>
      </w:r>
      <w:r w:rsidR="00874841" w:rsidRPr="00EE1D58">
        <w:rPr>
          <w:rFonts w:eastAsia="Times New Roman"/>
          <w:color w:val="000000"/>
          <w:sz w:val="24"/>
          <w:szCs w:val="24"/>
          <w:lang w:eastAsia="el-GR"/>
        </w:rPr>
        <w:t>.</w:t>
      </w:r>
      <w:r w:rsidR="0044764F" w:rsidRPr="00EE1D58">
        <w:rPr>
          <w:rFonts w:eastAsia="Times New Roman"/>
          <w:color w:val="000000"/>
          <w:sz w:val="24"/>
          <w:szCs w:val="24"/>
          <w:lang w:eastAsia="el-GR"/>
        </w:rPr>
        <w:t>,</w:t>
      </w:r>
      <w:r w:rsidR="00020DAB" w:rsidRPr="00EE1D58">
        <w:rPr>
          <w:rFonts w:eastAsia="Times New Roman"/>
          <w:color w:val="000000"/>
          <w:sz w:val="24"/>
          <w:szCs w:val="24"/>
          <w:lang w:eastAsia="el-GR"/>
        </w:rPr>
        <w:t xml:space="preserve"> 2013)</w:t>
      </w:r>
      <w:r w:rsidR="00802F7C" w:rsidRPr="00EE1D58">
        <w:rPr>
          <w:rFonts w:eastAsia="Times New Roman"/>
          <w:color w:val="000000"/>
          <w:sz w:val="24"/>
          <w:szCs w:val="24"/>
          <w:lang w:eastAsia="el-GR"/>
        </w:rPr>
        <w:t>.</w:t>
      </w:r>
    </w:p>
    <w:p w:rsidR="00AD5F6D" w:rsidRPr="00EE1D58" w:rsidRDefault="00AD5F6D" w:rsidP="00851042">
      <w:pPr>
        <w:spacing w:after="0" w:line="360" w:lineRule="auto"/>
        <w:jc w:val="both"/>
        <w:rPr>
          <w:b/>
          <w:sz w:val="24"/>
          <w:szCs w:val="24"/>
        </w:rPr>
      </w:pPr>
      <w:r w:rsidRPr="00EE1D58">
        <w:rPr>
          <w:b/>
          <w:sz w:val="24"/>
          <w:szCs w:val="24"/>
          <w:lang w:val="en-US"/>
        </w:rPr>
        <w:t>Brief</w:t>
      </w:r>
      <w:r w:rsidR="006D55EE" w:rsidRPr="00EE1D58">
        <w:rPr>
          <w:b/>
          <w:sz w:val="24"/>
          <w:szCs w:val="24"/>
        </w:rPr>
        <w:t xml:space="preserve"> </w:t>
      </w:r>
      <w:r w:rsidRPr="00EE1D58">
        <w:rPr>
          <w:b/>
          <w:sz w:val="24"/>
          <w:szCs w:val="24"/>
          <w:lang w:val="en-US"/>
        </w:rPr>
        <w:t>Medication</w:t>
      </w:r>
      <w:r w:rsidR="006D55EE" w:rsidRPr="00EE1D58">
        <w:rPr>
          <w:b/>
          <w:sz w:val="24"/>
          <w:szCs w:val="24"/>
        </w:rPr>
        <w:t xml:space="preserve"> </w:t>
      </w:r>
      <w:r w:rsidRPr="00EE1D58">
        <w:rPr>
          <w:b/>
          <w:sz w:val="24"/>
          <w:szCs w:val="24"/>
          <w:lang w:val="en-US"/>
        </w:rPr>
        <w:t>Questionnaire</w:t>
      </w:r>
      <w:r w:rsidR="0044764F" w:rsidRPr="00EE1D58">
        <w:rPr>
          <w:b/>
          <w:sz w:val="24"/>
          <w:szCs w:val="24"/>
        </w:rPr>
        <w:t xml:space="preserve"> (</w:t>
      </w:r>
      <w:r w:rsidR="0044764F" w:rsidRPr="00EE1D58">
        <w:rPr>
          <w:b/>
          <w:sz w:val="24"/>
          <w:szCs w:val="24"/>
          <w:lang w:val="en-US"/>
        </w:rPr>
        <w:t>BMQ</w:t>
      </w:r>
      <w:r w:rsidR="0044764F" w:rsidRPr="00EE1D58">
        <w:rPr>
          <w:b/>
          <w:sz w:val="24"/>
          <w:szCs w:val="24"/>
        </w:rPr>
        <w:t>)</w:t>
      </w:r>
    </w:p>
    <w:p w:rsidR="00D119C5" w:rsidRPr="00995094" w:rsidRDefault="00AD5F6D" w:rsidP="005A464E">
      <w:pPr>
        <w:spacing w:line="360" w:lineRule="auto"/>
        <w:jc w:val="both"/>
        <w:rPr>
          <w:color w:val="000000"/>
          <w:sz w:val="24"/>
          <w:szCs w:val="24"/>
          <w:shd w:val="clear" w:color="auto" w:fill="FFFFFF"/>
        </w:rPr>
      </w:pPr>
      <w:r w:rsidRPr="00EE1D58">
        <w:rPr>
          <w:sz w:val="24"/>
          <w:szCs w:val="24"/>
          <w:lang w:val="en-US"/>
        </w:rPr>
        <w:t>E</w:t>
      </w:r>
      <w:r w:rsidR="00D93EF3" w:rsidRPr="00EE1D58">
        <w:rPr>
          <w:sz w:val="24"/>
          <w:szCs w:val="24"/>
        </w:rPr>
        <w:t xml:space="preserve">ίναι ένα εύκολο και </w:t>
      </w:r>
      <w:r w:rsidRPr="00EE1D58">
        <w:rPr>
          <w:sz w:val="24"/>
          <w:szCs w:val="24"/>
        </w:rPr>
        <w:t xml:space="preserve">σύντομο ερωτηματολόγιο που μπορεί να ανιχνεύσει διαφορετικούς τύπους μη συμμόρφωσης στην </w:t>
      </w:r>
      <w:r w:rsidRPr="00995094">
        <w:rPr>
          <w:sz w:val="24"/>
          <w:szCs w:val="24"/>
        </w:rPr>
        <w:t>αγωγή (επαναλαμβανόμενη ή σποραδική) καθώς και εμπόδια</w:t>
      </w:r>
      <w:r w:rsidR="00F01540" w:rsidRPr="00995094">
        <w:rPr>
          <w:sz w:val="24"/>
          <w:szCs w:val="24"/>
        </w:rPr>
        <w:t xml:space="preserve"> στη</w:t>
      </w:r>
      <w:r w:rsidR="006F4A0F" w:rsidRPr="00995094">
        <w:rPr>
          <w:sz w:val="24"/>
          <w:szCs w:val="24"/>
        </w:rPr>
        <w:t xml:space="preserve"> συμμόρφωση. Περιλαμβάνει</w:t>
      </w:r>
      <w:r w:rsidR="004E0AB7" w:rsidRPr="00995094">
        <w:rPr>
          <w:sz w:val="24"/>
          <w:szCs w:val="24"/>
        </w:rPr>
        <w:t xml:space="preserve"> 5</w:t>
      </w:r>
      <w:r w:rsidRPr="00995094">
        <w:rPr>
          <w:sz w:val="24"/>
          <w:szCs w:val="24"/>
        </w:rPr>
        <w:t xml:space="preserve"> ερωτήσεις σχετικά με τον πώς έλαβαν τα φάρμακά τους οι ασθενείς την προηγούμενη εβδομάδα, </w:t>
      </w:r>
      <w:r w:rsidR="006F4A0F" w:rsidRPr="00995094">
        <w:rPr>
          <w:sz w:val="24"/>
          <w:szCs w:val="24"/>
        </w:rPr>
        <w:t>2</w:t>
      </w:r>
      <w:r w:rsidR="00BA566F" w:rsidRPr="00995094">
        <w:rPr>
          <w:sz w:val="24"/>
          <w:szCs w:val="24"/>
        </w:rPr>
        <w:t xml:space="preserve"> </w:t>
      </w:r>
      <w:r w:rsidRPr="00995094">
        <w:rPr>
          <w:sz w:val="24"/>
          <w:szCs w:val="24"/>
        </w:rPr>
        <w:t>ερωτήσεις σχετικά με τις</w:t>
      </w:r>
      <w:r w:rsidR="00800ED4" w:rsidRPr="00995094">
        <w:rPr>
          <w:sz w:val="24"/>
          <w:szCs w:val="24"/>
        </w:rPr>
        <w:t xml:space="preserve"> παρενέργειες των φαρμάκων και </w:t>
      </w:r>
      <w:r w:rsidR="006F4A0F" w:rsidRPr="00995094">
        <w:rPr>
          <w:sz w:val="24"/>
          <w:szCs w:val="24"/>
        </w:rPr>
        <w:t xml:space="preserve">2 </w:t>
      </w:r>
      <w:r w:rsidRPr="00995094">
        <w:rPr>
          <w:sz w:val="24"/>
          <w:szCs w:val="24"/>
        </w:rPr>
        <w:t>ερωτήσεις που εξετάζουν τις πιθανές δυσκολίες στη</w:t>
      </w:r>
      <w:r w:rsidR="00800ED4" w:rsidRPr="00995094">
        <w:rPr>
          <w:sz w:val="24"/>
          <w:szCs w:val="24"/>
        </w:rPr>
        <w:t>ν υπενθύμιση της λήψης φαρμάκων (</w:t>
      </w:r>
      <w:r w:rsidR="00800ED4" w:rsidRPr="00995094">
        <w:rPr>
          <w:sz w:val="24"/>
          <w:szCs w:val="24"/>
          <w:lang w:val="en-US"/>
        </w:rPr>
        <w:t>Svarstad</w:t>
      </w:r>
      <w:r w:rsidR="00C71CA6" w:rsidRPr="00995094">
        <w:rPr>
          <w:sz w:val="24"/>
          <w:szCs w:val="24"/>
        </w:rPr>
        <w:t>,</w:t>
      </w:r>
      <w:r w:rsidR="00C71CA6" w:rsidRPr="00995094">
        <w:rPr>
          <w:rFonts w:asciiTheme="minorHAnsi" w:eastAsia="Times New Roman" w:hAnsiTheme="minorHAnsi" w:cstheme="minorHAnsi"/>
          <w:sz w:val="24"/>
          <w:szCs w:val="24"/>
          <w:lang w:eastAsia="el-GR"/>
        </w:rPr>
        <w:t xml:space="preserve"> </w:t>
      </w:r>
      <w:r w:rsidR="00C71CA6" w:rsidRPr="00995094">
        <w:rPr>
          <w:rFonts w:asciiTheme="minorHAnsi" w:eastAsia="Times New Roman" w:hAnsiTheme="minorHAnsi" w:cstheme="minorHAnsi"/>
          <w:sz w:val="24"/>
          <w:szCs w:val="24"/>
          <w:lang w:val="en-US" w:eastAsia="el-GR"/>
        </w:rPr>
        <w:t>C</w:t>
      </w:r>
      <w:hyperlink r:id="rId32" w:history="1">
        <w:r w:rsidR="00C71CA6" w:rsidRPr="00995094">
          <w:rPr>
            <w:rFonts w:asciiTheme="minorHAnsi" w:eastAsia="Times New Roman" w:hAnsiTheme="minorHAnsi" w:cstheme="minorHAnsi"/>
            <w:sz w:val="24"/>
            <w:szCs w:val="24"/>
            <w:lang w:val="en-US" w:eastAsia="el-GR"/>
          </w:rPr>
          <w:t>hewning</w:t>
        </w:r>
      </w:hyperlink>
      <w:r w:rsidR="00C71CA6" w:rsidRPr="00995094">
        <w:rPr>
          <w:rFonts w:asciiTheme="minorHAnsi" w:eastAsia="Times New Roman" w:hAnsiTheme="minorHAnsi" w:cstheme="minorHAnsi"/>
          <w:sz w:val="24"/>
          <w:szCs w:val="24"/>
          <w:lang w:eastAsia="el-GR"/>
        </w:rPr>
        <w:t>,</w:t>
      </w:r>
      <w:r w:rsidR="00C71CA6" w:rsidRPr="00995094">
        <w:rPr>
          <w:rFonts w:asciiTheme="minorHAnsi" w:eastAsia="Times New Roman" w:hAnsiTheme="minorHAnsi" w:cstheme="minorHAnsi"/>
          <w:sz w:val="24"/>
          <w:szCs w:val="24"/>
          <w:lang w:val="en-US" w:eastAsia="el-GR"/>
        </w:rPr>
        <w:t> </w:t>
      </w:r>
      <w:hyperlink r:id="rId33" w:history="1">
        <w:r w:rsidR="00C71CA6" w:rsidRPr="00995094">
          <w:rPr>
            <w:rFonts w:asciiTheme="minorHAnsi" w:eastAsia="Times New Roman" w:hAnsiTheme="minorHAnsi" w:cstheme="minorHAnsi"/>
            <w:sz w:val="24"/>
            <w:szCs w:val="24"/>
            <w:lang w:val="en-US" w:eastAsia="el-GR"/>
          </w:rPr>
          <w:t>Sleath</w:t>
        </w:r>
        <w:r w:rsidR="00C71CA6" w:rsidRPr="00995094">
          <w:rPr>
            <w:rFonts w:asciiTheme="minorHAnsi" w:eastAsia="Times New Roman" w:hAnsiTheme="minorHAnsi" w:cstheme="minorHAnsi"/>
            <w:sz w:val="24"/>
            <w:szCs w:val="24"/>
            <w:lang w:eastAsia="el-GR"/>
          </w:rPr>
          <w:t>,</w:t>
        </w:r>
      </w:hyperlink>
      <w:r w:rsidR="00C71CA6" w:rsidRPr="00995094">
        <w:rPr>
          <w:rFonts w:asciiTheme="minorHAnsi" w:eastAsia="Times New Roman" w:hAnsiTheme="minorHAnsi" w:cstheme="minorHAnsi"/>
          <w:sz w:val="24"/>
          <w:szCs w:val="24"/>
          <w:lang w:eastAsia="el-GR"/>
        </w:rPr>
        <w:t xml:space="preserve"> &amp;</w:t>
      </w:r>
      <w:r w:rsidR="00C71CA6" w:rsidRPr="00995094">
        <w:rPr>
          <w:rFonts w:asciiTheme="minorHAnsi" w:eastAsia="Times New Roman" w:hAnsiTheme="minorHAnsi" w:cstheme="minorHAnsi"/>
          <w:sz w:val="24"/>
          <w:szCs w:val="24"/>
          <w:lang w:val="en-US" w:eastAsia="el-GR"/>
        </w:rPr>
        <w:t> </w:t>
      </w:r>
      <w:hyperlink r:id="rId34" w:history="1">
        <w:r w:rsidR="00C71CA6" w:rsidRPr="00995094">
          <w:rPr>
            <w:rFonts w:asciiTheme="minorHAnsi" w:eastAsia="Times New Roman" w:hAnsiTheme="minorHAnsi" w:cstheme="minorHAnsi"/>
            <w:sz w:val="24"/>
            <w:szCs w:val="24"/>
            <w:lang w:val="en-US" w:eastAsia="el-GR"/>
          </w:rPr>
          <w:t>Claesson</w:t>
        </w:r>
        <w:r w:rsidR="00C71CA6" w:rsidRPr="00995094">
          <w:rPr>
            <w:rFonts w:asciiTheme="minorHAnsi" w:eastAsia="Times New Roman" w:hAnsiTheme="minorHAnsi" w:cstheme="minorHAnsi"/>
            <w:sz w:val="24"/>
            <w:szCs w:val="24"/>
            <w:lang w:eastAsia="el-GR"/>
          </w:rPr>
          <w:t xml:space="preserve">, </w:t>
        </w:r>
      </w:hyperlink>
      <w:r w:rsidR="00800ED4" w:rsidRPr="00995094">
        <w:rPr>
          <w:sz w:val="24"/>
          <w:szCs w:val="24"/>
        </w:rPr>
        <w:t>1999).</w:t>
      </w:r>
    </w:p>
    <w:p w:rsidR="00147973" w:rsidRPr="00995094" w:rsidRDefault="004A7DB0" w:rsidP="00851042">
      <w:pPr>
        <w:spacing w:after="0" w:line="360" w:lineRule="auto"/>
        <w:jc w:val="both"/>
        <w:rPr>
          <w:b/>
          <w:sz w:val="24"/>
          <w:szCs w:val="24"/>
          <w:lang w:val="en-US"/>
        </w:rPr>
      </w:pPr>
      <w:r w:rsidRPr="00995094">
        <w:rPr>
          <w:b/>
          <w:sz w:val="24"/>
          <w:szCs w:val="24"/>
          <w:lang w:val="en-US"/>
        </w:rPr>
        <w:t>Medication</w:t>
      </w:r>
      <w:r w:rsidR="006D55EE" w:rsidRPr="00995094">
        <w:rPr>
          <w:b/>
          <w:sz w:val="24"/>
          <w:szCs w:val="24"/>
          <w:lang w:val="en-US"/>
        </w:rPr>
        <w:t xml:space="preserve"> </w:t>
      </w:r>
      <w:r w:rsidRPr="00995094">
        <w:rPr>
          <w:b/>
          <w:sz w:val="24"/>
          <w:szCs w:val="24"/>
          <w:lang w:val="en-US"/>
        </w:rPr>
        <w:t>Adherence</w:t>
      </w:r>
      <w:r w:rsidR="006D55EE" w:rsidRPr="00995094">
        <w:rPr>
          <w:b/>
          <w:sz w:val="24"/>
          <w:szCs w:val="24"/>
          <w:lang w:val="en-US"/>
        </w:rPr>
        <w:t xml:space="preserve"> </w:t>
      </w:r>
      <w:r w:rsidRPr="00995094">
        <w:rPr>
          <w:b/>
          <w:sz w:val="24"/>
          <w:szCs w:val="24"/>
          <w:lang w:val="en-US"/>
        </w:rPr>
        <w:t>Questionnaire</w:t>
      </w:r>
      <w:r w:rsidR="0044764F" w:rsidRPr="00995094">
        <w:rPr>
          <w:b/>
          <w:sz w:val="24"/>
          <w:szCs w:val="24"/>
          <w:lang w:val="en-US"/>
        </w:rPr>
        <w:t xml:space="preserve"> (MAQ)</w:t>
      </w:r>
    </w:p>
    <w:p w:rsidR="00147973" w:rsidRPr="00995094" w:rsidRDefault="00147973" w:rsidP="005A464E">
      <w:pPr>
        <w:spacing w:line="360" w:lineRule="auto"/>
        <w:jc w:val="both"/>
        <w:rPr>
          <w:sz w:val="24"/>
          <w:szCs w:val="24"/>
        </w:rPr>
      </w:pPr>
      <w:r w:rsidRPr="00995094">
        <w:rPr>
          <w:sz w:val="24"/>
          <w:szCs w:val="24"/>
        </w:rPr>
        <w:t>Η</w:t>
      </w:r>
      <w:r w:rsidR="006D55EE" w:rsidRPr="00995094">
        <w:rPr>
          <w:sz w:val="24"/>
          <w:szCs w:val="24"/>
          <w:lang w:val="en-US"/>
        </w:rPr>
        <w:t xml:space="preserve"> </w:t>
      </w:r>
      <w:r w:rsidRPr="00995094">
        <w:rPr>
          <w:sz w:val="24"/>
          <w:szCs w:val="24"/>
          <w:lang w:val="en-US"/>
        </w:rPr>
        <w:t>MAQ</w:t>
      </w:r>
      <w:r w:rsidR="006D55EE" w:rsidRPr="00995094">
        <w:rPr>
          <w:sz w:val="24"/>
          <w:szCs w:val="24"/>
          <w:lang w:val="en-US"/>
        </w:rPr>
        <w:t xml:space="preserve"> </w:t>
      </w:r>
      <w:r w:rsidRPr="00995094">
        <w:rPr>
          <w:sz w:val="24"/>
          <w:szCs w:val="24"/>
        </w:rPr>
        <w:t>είναι</w:t>
      </w:r>
      <w:r w:rsidR="006D55EE" w:rsidRPr="00995094">
        <w:rPr>
          <w:sz w:val="24"/>
          <w:szCs w:val="24"/>
          <w:lang w:val="en-US"/>
        </w:rPr>
        <w:t xml:space="preserve"> </w:t>
      </w:r>
      <w:r w:rsidRPr="00995094">
        <w:rPr>
          <w:sz w:val="24"/>
          <w:szCs w:val="24"/>
        </w:rPr>
        <w:t>επίσης</w:t>
      </w:r>
      <w:r w:rsidR="006D55EE" w:rsidRPr="00995094">
        <w:rPr>
          <w:sz w:val="24"/>
          <w:szCs w:val="24"/>
          <w:lang w:val="en-US"/>
        </w:rPr>
        <w:t xml:space="preserve"> </w:t>
      </w:r>
      <w:r w:rsidRPr="00995094">
        <w:rPr>
          <w:sz w:val="24"/>
          <w:szCs w:val="24"/>
        </w:rPr>
        <w:t>γνωστή</w:t>
      </w:r>
      <w:r w:rsidR="006D55EE" w:rsidRPr="00995094">
        <w:rPr>
          <w:sz w:val="24"/>
          <w:szCs w:val="24"/>
          <w:lang w:val="en-US"/>
        </w:rPr>
        <w:t xml:space="preserve"> </w:t>
      </w:r>
      <w:r w:rsidR="004A7DB0" w:rsidRPr="00995094">
        <w:rPr>
          <w:sz w:val="24"/>
          <w:szCs w:val="24"/>
        </w:rPr>
        <w:t>και</w:t>
      </w:r>
      <w:r w:rsidR="006D55EE" w:rsidRPr="00995094">
        <w:rPr>
          <w:sz w:val="24"/>
          <w:szCs w:val="24"/>
          <w:lang w:val="en-US"/>
        </w:rPr>
        <w:t xml:space="preserve"> </w:t>
      </w:r>
      <w:r w:rsidR="004A7DB0" w:rsidRPr="00995094">
        <w:rPr>
          <w:sz w:val="24"/>
          <w:szCs w:val="24"/>
        </w:rPr>
        <w:t>ως</w:t>
      </w:r>
      <w:r w:rsidR="004A7DB0" w:rsidRPr="00995094">
        <w:rPr>
          <w:sz w:val="24"/>
          <w:szCs w:val="24"/>
          <w:lang w:val="en-US"/>
        </w:rPr>
        <w:t xml:space="preserve"> 4-</w:t>
      </w:r>
      <w:r w:rsidRPr="00995094">
        <w:rPr>
          <w:sz w:val="24"/>
          <w:szCs w:val="24"/>
          <w:lang w:val="en-US"/>
        </w:rPr>
        <w:t>Morisky</w:t>
      </w:r>
      <w:r w:rsidR="00E83CD3" w:rsidRPr="00995094">
        <w:rPr>
          <w:sz w:val="24"/>
          <w:szCs w:val="24"/>
          <w:lang w:val="en-US"/>
        </w:rPr>
        <w:t xml:space="preserve"> </w:t>
      </w:r>
      <w:r w:rsidR="004A7DB0" w:rsidRPr="00995094">
        <w:rPr>
          <w:sz w:val="24"/>
          <w:szCs w:val="24"/>
          <w:lang w:val="en-US"/>
        </w:rPr>
        <w:t>Medication</w:t>
      </w:r>
      <w:r w:rsidR="00E83CD3" w:rsidRPr="00995094">
        <w:rPr>
          <w:sz w:val="24"/>
          <w:szCs w:val="24"/>
          <w:lang w:val="en-US"/>
        </w:rPr>
        <w:t xml:space="preserve"> </w:t>
      </w:r>
      <w:r w:rsidR="004A7DB0" w:rsidRPr="00995094">
        <w:rPr>
          <w:sz w:val="24"/>
          <w:szCs w:val="24"/>
          <w:lang w:val="en-US"/>
        </w:rPr>
        <w:t>Adherence</w:t>
      </w:r>
      <w:r w:rsidR="00E83CD3" w:rsidRPr="00995094">
        <w:rPr>
          <w:sz w:val="24"/>
          <w:szCs w:val="24"/>
          <w:lang w:val="en-US"/>
        </w:rPr>
        <w:t xml:space="preserve"> </w:t>
      </w:r>
      <w:r w:rsidRPr="00995094">
        <w:rPr>
          <w:sz w:val="24"/>
          <w:szCs w:val="24"/>
          <w:lang w:val="en-US"/>
        </w:rPr>
        <w:t>Scale (</w:t>
      </w:r>
      <w:r w:rsidR="004A7DB0" w:rsidRPr="00995094">
        <w:rPr>
          <w:sz w:val="24"/>
          <w:szCs w:val="24"/>
          <w:lang w:val="en-US"/>
        </w:rPr>
        <w:t xml:space="preserve">MMAS) </w:t>
      </w:r>
      <w:r w:rsidRPr="00995094">
        <w:rPr>
          <w:sz w:val="24"/>
          <w:szCs w:val="24"/>
        </w:rPr>
        <w:t>και</w:t>
      </w:r>
      <w:r w:rsidR="006D55EE" w:rsidRPr="00995094">
        <w:rPr>
          <w:sz w:val="24"/>
          <w:szCs w:val="24"/>
          <w:lang w:val="en-US"/>
        </w:rPr>
        <w:t xml:space="preserve"> </w:t>
      </w:r>
      <w:r w:rsidR="004A7DB0" w:rsidRPr="00995094">
        <w:rPr>
          <w:sz w:val="24"/>
          <w:szCs w:val="24"/>
          <w:lang w:val="en-US"/>
        </w:rPr>
        <w:t>Morisky</w:t>
      </w:r>
      <w:r w:rsidR="006D55EE" w:rsidRPr="00995094">
        <w:rPr>
          <w:sz w:val="24"/>
          <w:szCs w:val="24"/>
          <w:lang w:val="en-US"/>
        </w:rPr>
        <w:t xml:space="preserve"> </w:t>
      </w:r>
      <w:r w:rsidR="004A7DB0" w:rsidRPr="00995094">
        <w:rPr>
          <w:sz w:val="24"/>
          <w:szCs w:val="24"/>
          <w:lang w:val="en-US"/>
        </w:rPr>
        <w:t>Scale</w:t>
      </w:r>
      <w:r w:rsidRPr="00995094">
        <w:rPr>
          <w:sz w:val="24"/>
          <w:szCs w:val="24"/>
          <w:lang w:val="en-US"/>
        </w:rPr>
        <w:t xml:space="preserve">. </w:t>
      </w:r>
      <w:r w:rsidRPr="00995094">
        <w:rPr>
          <w:sz w:val="24"/>
          <w:szCs w:val="24"/>
        </w:rPr>
        <w:t xml:space="preserve">Το </w:t>
      </w:r>
      <w:r w:rsidR="004A7DB0" w:rsidRPr="00995094">
        <w:rPr>
          <w:sz w:val="24"/>
          <w:szCs w:val="24"/>
        </w:rPr>
        <w:t>ερωτηματολόγιο αυτό λόγω του μεγέθους του είναι γρήγορο στη συμπλήρωσή του και στην έκδοση της βαθμολογίας.</w:t>
      </w:r>
      <w:r w:rsidR="0078495A" w:rsidRPr="00995094">
        <w:rPr>
          <w:sz w:val="24"/>
          <w:szCs w:val="24"/>
        </w:rPr>
        <w:t xml:space="preserve"> </w:t>
      </w:r>
      <w:r w:rsidR="004A7DB0" w:rsidRPr="00995094">
        <w:rPr>
          <w:sz w:val="24"/>
          <w:szCs w:val="24"/>
        </w:rPr>
        <w:t>Προσδιορίζει</w:t>
      </w:r>
      <w:r w:rsidR="0078495A" w:rsidRPr="00995094">
        <w:rPr>
          <w:sz w:val="24"/>
          <w:szCs w:val="24"/>
        </w:rPr>
        <w:t xml:space="preserve"> </w:t>
      </w:r>
      <w:r w:rsidR="004A7DB0" w:rsidRPr="00995094">
        <w:rPr>
          <w:sz w:val="24"/>
          <w:szCs w:val="24"/>
        </w:rPr>
        <w:t>τα εμπόδια</w:t>
      </w:r>
      <w:r w:rsidR="006D55EE" w:rsidRPr="00995094">
        <w:rPr>
          <w:sz w:val="24"/>
          <w:szCs w:val="24"/>
        </w:rPr>
        <w:t xml:space="preserve"> </w:t>
      </w:r>
      <w:r w:rsidR="00315729" w:rsidRPr="00995094">
        <w:rPr>
          <w:sz w:val="24"/>
          <w:szCs w:val="24"/>
        </w:rPr>
        <w:t>στη συμμόρφωση (</w:t>
      </w:r>
      <w:r w:rsidR="00315729" w:rsidRPr="00995094">
        <w:rPr>
          <w:sz w:val="24"/>
          <w:szCs w:val="24"/>
          <w:lang w:val="en-US"/>
        </w:rPr>
        <w:t>Lavsa</w:t>
      </w:r>
      <w:r w:rsidR="002A10EB" w:rsidRPr="00995094">
        <w:rPr>
          <w:sz w:val="24"/>
          <w:szCs w:val="24"/>
        </w:rPr>
        <w:t>,</w:t>
      </w:r>
      <w:r w:rsidR="002A10EB" w:rsidRPr="00995094">
        <w:rPr>
          <w:rFonts w:cstheme="minorHAnsi"/>
        </w:rPr>
        <w:t xml:space="preserve"> </w:t>
      </w:r>
      <w:r w:rsidR="002A10EB" w:rsidRPr="00995094">
        <w:rPr>
          <w:rFonts w:cstheme="minorHAnsi"/>
          <w:sz w:val="24"/>
          <w:szCs w:val="24"/>
          <w:lang w:val="en-US"/>
        </w:rPr>
        <w:t>Holzworth</w:t>
      </w:r>
      <w:r w:rsidR="00607E7C" w:rsidRPr="00995094">
        <w:rPr>
          <w:rFonts w:cstheme="minorHAnsi"/>
          <w:sz w:val="24"/>
          <w:szCs w:val="24"/>
        </w:rPr>
        <w:t>,</w:t>
      </w:r>
      <w:r w:rsidR="002A10EB" w:rsidRPr="00995094">
        <w:rPr>
          <w:rFonts w:cstheme="minorHAnsi"/>
          <w:sz w:val="24"/>
          <w:szCs w:val="24"/>
        </w:rPr>
        <w:t xml:space="preserve"> &amp; </w:t>
      </w:r>
      <w:r w:rsidR="002A10EB" w:rsidRPr="00995094">
        <w:rPr>
          <w:rFonts w:cstheme="minorHAnsi"/>
          <w:sz w:val="24"/>
          <w:szCs w:val="24"/>
          <w:lang w:val="en-US"/>
        </w:rPr>
        <w:t>Ansani</w:t>
      </w:r>
      <w:r w:rsidR="00607E7C" w:rsidRPr="00995094">
        <w:rPr>
          <w:rFonts w:cstheme="minorHAnsi"/>
          <w:sz w:val="24"/>
          <w:szCs w:val="24"/>
        </w:rPr>
        <w:t>,</w:t>
      </w:r>
      <w:r w:rsidR="002A10EB" w:rsidRPr="00995094">
        <w:rPr>
          <w:sz w:val="24"/>
          <w:szCs w:val="24"/>
        </w:rPr>
        <w:t xml:space="preserve"> </w:t>
      </w:r>
      <w:r w:rsidR="00315729" w:rsidRPr="00995094">
        <w:rPr>
          <w:sz w:val="24"/>
          <w:szCs w:val="24"/>
        </w:rPr>
        <w:t>2011)</w:t>
      </w:r>
      <w:r w:rsidRPr="00995094">
        <w:rPr>
          <w:sz w:val="24"/>
          <w:szCs w:val="24"/>
        </w:rPr>
        <w:t xml:space="preserve">. Η κλειστή μορφή </w:t>
      </w:r>
      <w:r w:rsidR="004A7DB0" w:rsidRPr="00995094">
        <w:rPr>
          <w:sz w:val="24"/>
          <w:szCs w:val="24"/>
        </w:rPr>
        <w:t>των ερωτήσεων</w:t>
      </w:r>
      <w:r w:rsidR="0078495A" w:rsidRPr="00995094">
        <w:rPr>
          <w:sz w:val="24"/>
          <w:szCs w:val="24"/>
        </w:rPr>
        <w:t xml:space="preserve"> </w:t>
      </w:r>
      <w:r w:rsidRPr="00995094">
        <w:rPr>
          <w:sz w:val="24"/>
          <w:szCs w:val="24"/>
        </w:rPr>
        <w:t>«ναι-</w:t>
      </w:r>
      <w:r w:rsidR="00E71E60" w:rsidRPr="00995094">
        <w:rPr>
          <w:sz w:val="24"/>
          <w:szCs w:val="24"/>
        </w:rPr>
        <w:t>όχι</w:t>
      </w:r>
      <w:r w:rsidR="004A7DB0" w:rsidRPr="00995094">
        <w:rPr>
          <w:sz w:val="24"/>
          <w:szCs w:val="24"/>
        </w:rPr>
        <w:t>»</w:t>
      </w:r>
      <w:r w:rsidRPr="00995094">
        <w:rPr>
          <w:sz w:val="24"/>
          <w:szCs w:val="24"/>
        </w:rPr>
        <w:t xml:space="preserve"> επιτρέπει </w:t>
      </w:r>
      <w:r w:rsidR="004A7DB0" w:rsidRPr="00995094">
        <w:rPr>
          <w:sz w:val="24"/>
          <w:szCs w:val="24"/>
        </w:rPr>
        <w:t xml:space="preserve">την </w:t>
      </w:r>
      <w:r w:rsidR="006F4A0F" w:rsidRPr="00995094">
        <w:rPr>
          <w:sz w:val="24"/>
          <w:szCs w:val="24"/>
        </w:rPr>
        <w:t xml:space="preserve">ένδειξη </w:t>
      </w:r>
      <w:r w:rsidR="004A7DB0" w:rsidRPr="00995094">
        <w:rPr>
          <w:sz w:val="24"/>
          <w:szCs w:val="24"/>
        </w:rPr>
        <w:t>της μη συμμόρφω</w:t>
      </w:r>
      <w:r w:rsidR="00223478" w:rsidRPr="00995094">
        <w:rPr>
          <w:sz w:val="24"/>
          <w:szCs w:val="24"/>
        </w:rPr>
        <w:t>σης (</w:t>
      </w:r>
      <w:r w:rsidR="00223478" w:rsidRPr="00995094">
        <w:rPr>
          <w:sz w:val="24"/>
          <w:szCs w:val="24"/>
          <w:lang w:val="en-US"/>
        </w:rPr>
        <w:t>Tan</w:t>
      </w:r>
      <w:r w:rsidR="00855531" w:rsidRPr="00995094">
        <w:rPr>
          <w:sz w:val="24"/>
          <w:szCs w:val="24"/>
        </w:rPr>
        <w:t xml:space="preserve"> </w:t>
      </w:r>
      <w:r w:rsidR="00855531" w:rsidRPr="00995094">
        <w:rPr>
          <w:sz w:val="24"/>
          <w:szCs w:val="24"/>
          <w:lang w:val="en-US"/>
        </w:rPr>
        <w:t>et</w:t>
      </w:r>
      <w:r w:rsidR="00855531" w:rsidRPr="00995094">
        <w:rPr>
          <w:sz w:val="24"/>
          <w:szCs w:val="24"/>
        </w:rPr>
        <w:t xml:space="preserve"> </w:t>
      </w:r>
      <w:r w:rsidR="00855531" w:rsidRPr="00995094">
        <w:rPr>
          <w:sz w:val="24"/>
          <w:szCs w:val="24"/>
          <w:lang w:val="en-US"/>
        </w:rPr>
        <w:t>al</w:t>
      </w:r>
      <w:r w:rsidR="00855531" w:rsidRPr="00995094">
        <w:rPr>
          <w:sz w:val="24"/>
          <w:szCs w:val="24"/>
        </w:rPr>
        <w:t xml:space="preserve">., </w:t>
      </w:r>
      <w:r w:rsidR="00223478" w:rsidRPr="00995094">
        <w:rPr>
          <w:sz w:val="24"/>
          <w:szCs w:val="24"/>
        </w:rPr>
        <w:t>2014)</w:t>
      </w:r>
      <w:r w:rsidR="004A7DB0" w:rsidRPr="00995094">
        <w:rPr>
          <w:sz w:val="24"/>
          <w:szCs w:val="24"/>
        </w:rPr>
        <w:t>. Δεδομένου ότι έχει χρησιμοποιηθεί σε ένα ευρύ φάσμα</w:t>
      </w:r>
      <w:r w:rsidRPr="00995094">
        <w:rPr>
          <w:sz w:val="24"/>
          <w:szCs w:val="24"/>
        </w:rPr>
        <w:t xml:space="preserve"> ασθ</w:t>
      </w:r>
      <w:r w:rsidR="004A7DB0" w:rsidRPr="00995094">
        <w:rPr>
          <w:sz w:val="24"/>
          <w:szCs w:val="24"/>
        </w:rPr>
        <w:t>ενειών και σε ασθεν</w:t>
      </w:r>
      <w:r w:rsidR="0044764F" w:rsidRPr="00995094">
        <w:rPr>
          <w:sz w:val="24"/>
          <w:szCs w:val="24"/>
        </w:rPr>
        <w:t xml:space="preserve">είς με χαμηλό </w:t>
      </w:r>
      <w:r w:rsidR="000D053B" w:rsidRPr="00995094">
        <w:rPr>
          <w:sz w:val="24"/>
          <w:szCs w:val="24"/>
        </w:rPr>
        <w:t>εκπαιδευτικό</w:t>
      </w:r>
      <w:r w:rsidR="0044764F" w:rsidRPr="00995094">
        <w:rPr>
          <w:sz w:val="24"/>
          <w:szCs w:val="24"/>
        </w:rPr>
        <w:t xml:space="preserve"> επίπεδο</w:t>
      </w:r>
      <w:r w:rsidRPr="00995094">
        <w:rPr>
          <w:sz w:val="24"/>
          <w:szCs w:val="24"/>
        </w:rPr>
        <w:t>, είναι η πιο ευρέως χρησιμοποιούμε</w:t>
      </w:r>
      <w:r w:rsidR="004A7DB0" w:rsidRPr="00995094">
        <w:rPr>
          <w:sz w:val="24"/>
          <w:szCs w:val="24"/>
        </w:rPr>
        <w:t>νη κλίμακα</w:t>
      </w:r>
      <w:r w:rsidR="00223478" w:rsidRPr="00995094">
        <w:rPr>
          <w:sz w:val="24"/>
          <w:szCs w:val="24"/>
        </w:rPr>
        <w:t xml:space="preserve"> (</w:t>
      </w:r>
      <w:r w:rsidR="00223478" w:rsidRPr="00995094">
        <w:rPr>
          <w:sz w:val="24"/>
          <w:szCs w:val="24"/>
          <w:lang w:val="en-US"/>
        </w:rPr>
        <w:t>Culig</w:t>
      </w:r>
      <w:r w:rsidR="006D55EE" w:rsidRPr="00995094">
        <w:rPr>
          <w:sz w:val="24"/>
          <w:szCs w:val="24"/>
        </w:rPr>
        <w:t xml:space="preserve"> &amp; Lepp</w:t>
      </w:r>
      <w:r w:rsidR="00223478" w:rsidRPr="00995094">
        <w:rPr>
          <w:sz w:val="24"/>
          <w:szCs w:val="24"/>
        </w:rPr>
        <w:t>ee</w:t>
      </w:r>
      <w:r w:rsidR="0044764F" w:rsidRPr="00995094">
        <w:rPr>
          <w:sz w:val="24"/>
          <w:szCs w:val="24"/>
        </w:rPr>
        <w:t>,</w:t>
      </w:r>
      <w:r w:rsidR="00223478" w:rsidRPr="00995094">
        <w:rPr>
          <w:sz w:val="24"/>
          <w:szCs w:val="24"/>
        </w:rPr>
        <w:t xml:space="preserve"> 2014)</w:t>
      </w:r>
      <w:r w:rsidR="0055289A" w:rsidRPr="00995094">
        <w:rPr>
          <w:sz w:val="24"/>
          <w:szCs w:val="24"/>
        </w:rPr>
        <w:t>.</w:t>
      </w:r>
    </w:p>
    <w:p w:rsidR="00147973" w:rsidRPr="00995094" w:rsidRDefault="00147973" w:rsidP="005A464E">
      <w:pPr>
        <w:spacing w:line="360" w:lineRule="auto"/>
        <w:jc w:val="both"/>
        <w:rPr>
          <w:sz w:val="24"/>
          <w:szCs w:val="24"/>
        </w:rPr>
      </w:pPr>
      <w:r w:rsidRPr="00995094">
        <w:rPr>
          <w:sz w:val="24"/>
          <w:szCs w:val="24"/>
        </w:rPr>
        <w:t>Σε μια μελέτη σχετικά με τη δ</w:t>
      </w:r>
      <w:r w:rsidR="004A7DB0" w:rsidRPr="00995094">
        <w:rPr>
          <w:sz w:val="24"/>
          <w:szCs w:val="24"/>
        </w:rPr>
        <w:t>ομική εγκυρότητα του MAQ σε καπνιστές</w:t>
      </w:r>
      <w:r w:rsidRPr="00995094">
        <w:rPr>
          <w:sz w:val="24"/>
          <w:szCs w:val="24"/>
        </w:rPr>
        <w:t xml:space="preserve">, αναφέρθηκε ότι η αξιοπιστία </w:t>
      </w:r>
      <w:r w:rsidR="00D119C5" w:rsidRPr="00995094">
        <w:rPr>
          <w:sz w:val="24"/>
          <w:szCs w:val="24"/>
        </w:rPr>
        <w:t xml:space="preserve">μέσω του δείκτη </w:t>
      </w:r>
      <w:r w:rsidR="00D119C5" w:rsidRPr="00995094">
        <w:rPr>
          <w:sz w:val="24"/>
          <w:szCs w:val="24"/>
          <w:lang w:val="en-US"/>
        </w:rPr>
        <w:t>Cronbach</w:t>
      </w:r>
      <w:r w:rsidR="00D119C5" w:rsidRPr="00995094">
        <w:rPr>
          <w:sz w:val="24"/>
          <w:szCs w:val="24"/>
        </w:rPr>
        <w:t>’</w:t>
      </w:r>
      <w:r w:rsidR="00D119C5" w:rsidRPr="00995094">
        <w:rPr>
          <w:sz w:val="24"/>
          <w:szCs w:val="24"/>
          <w:lang w:val="en-US"/>
        </w:rPr>
        <w:t>s</w:t>
      </w:r>
      <w:r w:rsidR="00E83CD3" w:rsidRPr="00995094">
        <w:rPr>
          <w:sz w:val="24"/>
          <w:szCs w:val="24"/>
        </w:rPr>
        <w:t xml:space="preserve"> </w:t>
      </w:r>
      <w:r w:rsidR="00252A5D" w:rsidRPr="00995094">
        <w:rPr>
          <w:sz w:val="24"/>
          <w:szCs w:val="24"/>
        </w:rPr>
        <w:t>Α</w:t>
      </w:r>
      <w:r w:rsidR="00D119C5" w:rsidRPr="00995094">
        <w:rPr>
          <w:sz w:val="24"/>
          <w:szCs w:val="24"/>
          <w:lang w:val="en-US"/>
        </w:rPr>
        <w:t>lpha</w:t>
      </w:r>
      <w:r w:rsidR="0078495A" w:rsidRPr="00995094">
        <w:rPr>
          <w:sz w:val="24"/>
          <w:szCs w:val="24"/>
        </w:rPr>
        <w:t xml:space="preserve"> </w:t>
      </w:r>
      <w:r w:rsidR="00D119C5" w:rsidRPr="00995094">
        <w:rPr>
          <w:sz w:val="24"/>
          <w:szCs w:val="24"/>
        </w:rPr>
        <w:t>διέφερε μεταξύ των μελετών</w:t>
      </w:r>
      <w:r w:rsidRPr="00995094">
        <w:rPr>
          <w:sz w:val="24"/>
          <w:szCs w:val="24"/>
        </w:rPr>
        <w:t xml:space="preserve">. Σε σύγκριση με </w:t>
      </w:r>
      <w:r w:rsidR="0044764F" w:rsidRPr="00995094">
        <w:rPr>
          <w:sz w:val="24"/>
          <w:szCs w:val="24"/>
        </w:rPr>
        <w:t>την κλίμακα</w:t>
      </w:r>
      <w:r w:rsidR="00D119C5" w:rsidRPr="00995094">
        <w:rPr>
          <w:sz w:val="24"/>
          <w:szCs w:val="24"/>
        </w:rPr>
        <w:t xml:space="preserve"> MMASS-8 </w:t>
      </w:r>
      <w:r w:rsidRPr="00995094">
        <w:rPr>
          <w:sz w:val="24"/>
          <w:szCs w:val="24"/>
        </w:rPr>
        <w:t xml:space="preserve">έχει φτωχότερες ψυχομετρικές </w:t>
      </w:r>
      <w:r w:rsidR="0044764F" w:rsidRPr="00995094">
        <w:rPr>
          <w:sz w:val="24"/>
          <w:szCs w:val="24"/>
        </w:rPr>
        <w:t>ιδιότητες. Ως αποτέλεσμα, η</w:t>
      </w:r>
      <w:r w:rsidRPr="00995094">
        <w:rPr>
          <w:sz w:val="24"/>
          <w:szCs w:val="24"/>
        </w:rPr>
        <w:t xml:space="preserve"> MMASS-8 έχ</w:t>
      </w:r>
      <w:r w:rsidR="00D119C5" w:rsidRPr="00995094">
        <w:rPr>
          <w:sz w:val="24"/>
          <w:szCs w:val="24"/>
        </w:rPr>
        <w:t>ει γίνει πιο δημοφιλής από την</w:t>
      </w:r>
      <w:r w:rsidR="00315729" w:rsidRPr="00995094">
        <w:rPr>
          <w:sz w:val="24"/>
          <w:szCs w:val="24"/>
        </w:rPr>
        <w:t xml:space="preserve"> MAQ (</w:t>
      </w:r>
      <w:r w:rsidR="00315729" w:rsidRPr="00995094">
        <w:rPr>
          <w:sz w:val="24"/>
          <w:szCs w:val="24"/>
          <w:lang w:val="en-US"/>
        </w:rPr>
        <w:t>Toll</w:t>
      </w:r>
      <w:r w:rsidR="00D75F89" w:rsidRPr="00995094">
        <w:rPr>
          <w:sz w:val="24"/>
          <w:szCs w:val="24"/>
        </w:rPr>
        <w:t xml:space="preserve">, </w:t>
      </w:r>
      <w:r w:rsidR="00D75F89" w:rsidRPr="00995094">
        <w:rPr>
          <w:rFonts w:asciiTheme="minorHAnsi" w:hAnsiTheme="minorHAnsi" w:cstheme="minorHAnsi"/>
          <w:sz w:val="24"/>
          <w:szCs w:val="24"/>
          <w:lang w:val="en-US"/>
        </w:rPr>
        <w:t>McKee</w:t>
      </w:r>
      <w:r w:rsidR="00D75F89" w:rsidRPr="00995094">
        <w:rPr>
          <w:rFonts w:asciiTheme="minorHAnsi" w:hAnsiTheme="minorHAnsi" w:cstheme="minorHAnsi"/>
          <w:sz w:val="24"/>
          <w:szCs w:val="24"/>
        </w:rPr>
        <w:t xml:space="preserve">, </w:t>
      </w:r>
      <w:r w:rsidR="00D75F89" w:rsidRPr="00995094">
        <w:rPr>
          <w:rFonts w:asciiTheme="minorHAnsi" w:hAnsiTheme="minorHAnsi" w:cstheme="minorHAnsi"/>
          <w:sz w:val="24"/>
          <w:szCs w:val="24"/>
          <w:lang w:val="en-US"/>
        </w:rPr>
        <w:t>Martin</w:t>
      </w:r>
      <w:r w:rsidR="00D75F89" w:rsidRPr="00995094">
        <w:rPr>
          <w:rFonts w:asciiTheme="minorHAnsi" w:hAnsiTheme="minorHAnsi" w:cstheme="minorHAnsi"/>
          <w:sz w:val="24"/>
          <w:szCs w:val="24"/>
        </w:rPr>
        <w:t xml:space="preserve">, </w:t>
      </w:r>
      <w:r w:rsidR="00D75F89" w:rsidRPr="00995094">
        <w:rPr>
          <w:rFonts w:asciiTheme="minorHAnsi" w:hAnsiTheme="minorHAnsi" w:cstheme="minorHAnsi"/>
          <w:sz w:val="24"/>
          <w:szCs w:val="24"/>
          <w:lang w:val="en-US"/>
        </w:rPr>
        <w:t>Jatlow</w:t>
      </w:r>
      <w:r w:rsidR="00D75F89" w:rsidRPr="00995094">
        <w:rPr>
          <w:rFonts w:asciiTheme="minorHAnsi" w:hAnsiTheme="minorHAnsi" w:cstheme="minorHAnsi"/>
          <w:sz w:val="24"/>
          <w:szCs w:val="24"/>
        </w:rPr>
        <w:t xml:space="preserve">, &amp; </w:t>
      </w:r>
      <w:r w:rsidR="00D75F89" w:rsidRPr="00995094">
        <w:rPr>
          <w:rFonts w:asciiTheme="minorHAnsi" w:hAnsiTheme="minorHAnsi" w:cstheme="minorHAnsi"/>
          <w:sz w:val="24"/>
          <w:szCs w:val="24"/>
          <w:lang w:val="en-US"/>
        </w:rPr>
        <w:t>O</w:t>
      </w:r>
      <w:r w:rsidR="00D75F89" w:rsidRPr="00995094">
        <w:rPr>
          <w:rFonts w:asciiTheme="minorHAnsi" w:hAnsiTheme="minorHAnsi" w:cstheme="minorHAnsi"/>
          <w:sz w:val="24"/>
          <w:szCs w:val="24"/>
        </w:rPr>
        <w:t>'</w:t>
      </w:r>
      <w:r w:rsidR="00D75F89" w:rsidRPr="00995094">
        <w:rPr>
          <w:rFonts w:asciiTheme="minorHAnsi" w:hAnsiTheme="minorHAnsi" w:cstheme="minorHAnsi"/>
          <w:sz w:val="24"/>
          <w:szCs w:val="24"/>
          <w:lang w:val="en-US"/>
        </w:rPr>
        <w:t>Malley</w:t>
      </w:r>
      <w:r w:rsidR="00D75F89" w:rsidRPr="00995094">
        <w:rPr>
          <w:rFonts w:asciiTheme="minorHAnsi" w:hAnsiTheme="minorHAnsi" w:cstheme="minorHAnsi"/>
          <w:sz w:val="24"/>
          <w:szCs w:val="24"/>
        </w:rPr>
        <w:t>,</w:t>
      </w:r>
      <w:r w:rsidR="00D75F89" w:rsidRPr="00995094">
        <w:rPr>
          <w:sz w:val="24"/>
          <w:szCs w:val="24"/>
        </w:rPr>
        <w:t xml:space="preserve"> </w:t>
      </w:r>
      <w:r w:rsidR="00315729" w:rsidRPr="00995094">
        <w:rPr>
          <w:sz w:val="24"/>
          <w:szCs w:val="24"/>
        </w:rPr>
        <w:t>2007).</w:t>
      </w:r>
    </w:p>
    <w:p w:rsidR="00147973" w:rsidRPr="00995094" w:rsidRDefault="00147973" w:rsidP="00851042">
      <w:pPr>
        <w:shd w:val="clear" w:color="auto" w:fill="FFFFFF"/>
        <w:spacing w:after="0" w:line="360" w:lineRule="auto"/>
        <w:outlineLvl w:val="5"/>
        <w:rPr>
          <w:rFonts w:eastAsia="Times New Roman"/>
          <w:b/>
          <w:sz w:val="24"/>
          <w:szCs w:val="24"/>
          <w:lang w:val="en-US" w:eastAsia="el-GR"/>
        </w:rPr>
      </w:pPr>
      <w:r w:rsidRPr="00995094">
        <w:rPr>
          <w:rFonts w:eastAsia="Times New Roman"/>
          <w:b/>
          <w:sz w:val="24"/>
          <w:szCs w:val="24"/>
          <w:lang w:val="en-US" w:eastAsia="el-GR"/>
        </w:rPr>
        <w:t> Eight-Item Morisky Medication Adherence Scale (MMAS-8)</w:t>
      </w:r>
    </w:p>
    <w:p w:rsidR="00147973" w:rsidRPr="00995094" w:rsidRDefault="00A379E3" w:rsidP="005A464E">
      <w:pPr>
        <w:shd w:val="clear" w:color="auto" w:fill="FFFFFF"/>
        <w:spacing w:after="0" w:line="360" w:lineRule="auto"/>
        <w:jc w:val="both"/>
        <w:rPr>
          <w:rFonts w:eastAsia="Times New Roman"/>
          <w:sz w:val="24"/>
          <w:szCs w:val="24"/>
          <w:lang w:eastAsia="el-GR"/>
        </w:rPr>
      </w:pPr>
      <w:r w:rsidRPr="00995094">
        <w:rPr>
          <w:rFonts w:eastAsia="Times New Roman"/>
          <w:sz w:val="24"/>
          <w:szCs w:val="24"/>
          <w:lang w:eastAsia="el-GR"/>
        </w:rPr>
        <w:t>Βασισμένοι</w:t>
      </w:r>
      <w:r w:rsidR="006D55EE" w:rsidRPr="00995094">
        <w:rPr>
          <w:rFonts w:eastAsia="Times New Roman"/>
          <w:sz w:val="24"/>
          <w:szCs w:val="24"/>
          <w:lang w:val="en-US" w:eastAsia="el-GR"/>
        </w:rPr>
        <w:t xml:space="preserve"> </w:t>
      </w:r>
      <w:r w:rsidRPr="00995094">
        <w:rPr>
          <w:rFonts w:eastAsia="Times New Roman"/>
          <w:sz w:val="24"/>
          <w:szCs w:val="24"/>
          <w:lang w:eastAsia="el-GR"/>
        </w:rPr>
        <w:t>στην</w:t>
      </w:r>
      <w:r w:rsidR="006D55EE" w:rsidRPr="00995094">
        <w:rPr>
          <w:rFonts w:eastAsia="Times New Roman"/>
          <w:sz w:val="24"/>
          <w:szCs w:val="24"/>
          <w:lang w:val="en-US" w:eastAsia="el-GR"/>
        </w:rPr>
        <w:t xml:space="preserve"> </w:t>
      </w:r>
      <w:r w:rsidRPr="00995094">
        <w:rPr>
          <w:rFonts w:eastAsia="Times New Roman"/>
          <w:sz w:val="24"/>
          <w:szCs w:val="24"/>
          <w:lang w:eastAsia="el-GR"/>
        </w:rPr>
        <w:t>κλίμακα</w:t>
      </w:r>
      <w:r w:rsidR="006D55EE" w:rsidRPr="00995094">
        <w:rPr>
          <w:rFonts w:eastAsia="Times New Roman"/>
          <w:sz w:val="24"/>
          <w:szCs w:val="24"/>
          <w:lang w:val="en-US" w:eastAsia="el-GR"/>
        </w:rPr>
        <w:t xml:space="preserve"> </w:t>
      </w:r>
      <w:r w:rsidR="00147973" w:rsidRPr="00995094">
        <w:rPr>
          <w:rFonts w:eastAsia="Times New Roman"/>
          <w:sz w:val="24"/>
          <w:szCs w:val="24"/>
          <w:lang w:val="en-US" w:eastAsia="el-GR"/>
        </w:rPr>
        <w:t>MAQ,</w:t>
      </w:r>
      <w:r w:rsidR="006D55EE" w:rsidRPr="00995094">
        <w:rPr>
          <w:rFonts w:eastAsia="Times New Roman"/>
          <w:sz w:val="24"/>
          <w:szCs w:val="24"/>
          <w:lang w:val="en-US" w:eastAsia="el-GR"/>
        </w:rPr>
        <w:t xml:space="preserve"> </w:t>
      </w:r>
      <w:r w:rsidRPr="00995094">
        <w:rPr>
          <w:rFonts w:eastAsia="Times New Roman"/>
          <w:sz w:val="24"/>
          <w:szCs w:val="24"/>
          <w:lang w:eastAsia="el-GR"/>
        </w:rPr>
        <w:t>οι</w:t>
      </w:r>
      <w:r w:rsidR="006D55EE" w:rsidRPr="00995094">
        <w:rPr>
          <w:rFonts w:eastAsia="Times New Roman"/>
          <w:sz w:val="24"/>
          <w:szCs w:val="24"/>
          <w:lang w:val="en-US" w:eastAsia="el-GR"/>
        </w:rPr>
        <w:t xml:space="preserve"> </w:t>
      </w:r>
      <w:r w:rsidR="00147973" w:rsidRPr="00995094">
        <w:rPr>
          <w:rFonts w:eastAsia="Times New Roman"/>
          <w:sz w:val="24"/>
          <w:szCs w:val="24"/>
          <w:lang w:val="en-US" w:eastAsia="el-GR"/>
        </w:rPr>
        <w:t>Morisky</w:t>
      </w:r>
      <w:r w:rsidR="002A10EB" w:rsidRPr="00995094">
        <w:rPr>
          <w:rFonts w:eastAsia="Times New Roman"/>
          <w:sz w:val="24"/>
          <w:szCs w:val="24"/>
          <w:lang w:val="en-US" w:eastAsia="el-GR"/>
        </w:rPr>
        <w:t xml:space="preserve">, </w:t>
      </w:r>
      <w:r w:rsidR="004A7CDC" w:rsidRPr="00995094">
        <w:rPr>
          <w:rFonts w:eastAsia="Times New Roman"/>
          <w:sz w:val="24"/>
          <w:szCs w:val="24"/>
          <w:lang w:val="en-US" w:eastAsia="el-GR"/>
        </w:rPr>
        <w:t xml:space="preserve">Ang, </w:t>
      </w:r>
      <w:r w:rsidR="00AB454B" w:rsidRPr="00995094">
        <w:rPr>
          <w:rFonts w:cstheme="minorHAnsi"/>
          <w:color w:val="000000"/>
          <w:sz w:val="24"/>
          <w:szCs w:val="24"/>
          <w:lang w:val="en-US"/>
        </w:rPr>
        <w:t>Krousel-Wood</w:t>
      </w:r>
      <w:r w:rsidR="004A7CDC" w:rsidRPr="00995094">
        <w:rPr>
          <w:rFonts w:cstheme="minorHAnsi"/>
          <w:color w:val="000000"/>
          <w:sz w:val="24"/>
          <w:szCs w:val="24"/>
          <w:lang w:val="en-US"/>
        </w:rPr>
        <w:t>,</w:t>
      </w:r>
      <w:r w:rsidR="00AB454B" w:rsidRPr="00995094">
        <w:rPr>
          <w:rFonts w:cstheme="minorHAnsi"/>
          <w:color w:val="000000"/>
          <w:sz w:val="24"/>
          <w:szCs w:val="24"/>
          <w:lang w:val="en-US"/>
        </w:rPr>
        <w:t xml:space="preserve"> </w:t>
      </w:r>
      <w:r w:rsidR="00A40E19" w:rsidRPr="00995094">
        <w:rPr>
          <w:rFonts w:cstheme="minorHAnsi"/>
          <w:color w:val="000000"/>
          <w:sz w:val="24"/>
          <w:szCs w:val="24"/>
        </w:rPr>
        <w:t>και</w:t>
      </w:r>
      <w:r w:rsidR="002A10EB" w:rsidRPr="00995094">
        <w:rPr>
          <w:rFonts w:cstheme="minorHAnsi"/>
          <w:color w:val="000000"/>
          <w:sz w:val="24"/>
          <w:szCs w:val="24"/>
          <w:lang w:val="en-US"/>
        </w:rPr>
        <w:t xml:space="preserve"> Ward</w:t>
      </w:r>
      <w:r w:rsidR="002A10EB" w:rsidRPr="00995094">
        <w:rPr>
          <w:rFonts w:eastAsia="Times New Roman"/>
          <w:sz w:val="24"/>
          <w:szCs w:val="24"/>
          <w:lang w:val="en-US" w:eastAsia="el-GR"/>
        </w:rPr>
        <w:t xml:space="preserve"> (2008) </w:t>
      </w:r>
      <w:r w:rsidRPr="00995094">
        <w:rPr>
          <w:rFonts w:eastAsia="Times New Roman"/>
          <w:sz w:val="24"/>
          <w:szCs w:val="24"/>
          <w:lang w:eastAsia="el-GR"/>
        </w:rPr>
        <w:t>ανέπτυξαν</w:t>
      </w:r>
      <w:r w:rsidR="006D55EE" w:rsidRPr="00995094">
        <w:rPr>
          <w:rFonts w:eastAsia="Times New Roman"/>
          <w:sz w:val="24"/>
          <w:szCs w:val="24"/>
          <w:lang w:val="en-US" w:eastAsia="el-GR"/>
        </w:rPr>
        <w:t xml:space="preserve"> </w:t>
      </w:r>
      <w:r w:rsidRPr="00995094">
        <w:rPr>
          <w:rFonts w:eastAsia="Times New Roman"/>
          <w:sz w:val="24"/>
          <w:szCs w:val="24"/>
          <w:lang w:eastAsia="el-GR"/>
        </w:rPr>
        <w:t>την</w:t>
      </w:r>
      <w:r w:rsidR="006D55EE" w:rsidRPr="00995094">
        <w:rPr>
          <w:rFonts w:eastAsia="Times New Roman"/>
          <w:sz w:val="24"/>
          <w:szCs w:val="24"/>
          <w:lang w:val="en-US" w:eastAsia="el-GR"/>
        </w:rPr>
        <w:t xml:space="preserve"> </w:t>
      </w:r>
      <w:r w:rsidRPr="00995094">
        <w:rPr>
          <w:rFonts w:eastAsia="Times New Roman"/>
          <w:sz w:val="24"/>
          <w:szCs w:val="24"/>
          <w:lang w:eastAsia="el-GR"/>
        </w:rPr>
        <w:t>κλίμακα</w:t>
      </w:r>
      <w:r w:rsidR="006D55EE" w:rsidRPr="00995094">
        <w:rPr>
          <w:rFonts w:eastAsia="Times New Roman"/>
          <w:sz w:val="24"/>
          <w:szCs w:val="24"/>
          <w:lang w:val="en-US" w:eastAsia="el-GR"/>
        </w:rPr>
        <w:t xml:space="preserve"> </w:t>
      </w:r>
      <w:r w:rsidRPr="00995094">
        <w:rPr>
          <w:rFonts w:eastAsia="Times New Roman"/>
          <w:sz w:val="24"/>
          <w:szCs w:val="24"/>
          <w:lang w:val="en-US" w:eastAsia="el-GR"/>
        </w:rPr>
        <w:t xml:space="preserve">MMAS (MMAS-8) </w:t>
      </w:r>
      <w:r w:rsidRPr="00995094">
        <w:rPr>
          <w:rFonts w:eastAsia="Times New Roman"/>
          <w:sz w:val="24"/>
          <w:szCs w:val="24"/>
          <w:lang w:eastAsia="el-GR"/>
        </w:rPr>
        <w:t>το</w:t>
      </w:r>
      <w:r w:rsidR="00147973" w:rsidRPr="00995094">
        <w:rPr>
          <w:rFonts w:eastAsia="Times New Roman"/>
          <w:sz w:val="24"/>
          <w:szCs w:val="24"/>
          <w:lang w:val="en-US" w:eastAsia="el-GR"/>
        </w:rPr>
        <w:t xml:space="preserve"> 2008. </w:t>
      </w:r>
      <w:r w:rsidRPr="00995094">
        <w:rPr>
          <w:rFonts w:eastAsia="Times New Roman"/>
          <w:sz w:val="24"/>
          <w:szCs w:val="24"/>
          <w:lang w:eastAsia="el-GR"/>
        </w:rPr>
        <w:t>Οι</w:t>
      </w:r>
      <w:r w:rsidR="00E83CD3" w:rsidRPr="00995094">
        <w:rPr>
          <w:rFonts w:eastAsia="Times New Roman"/>
          <w:sz w:val="24"/>
          <w:szCs w:val="24"/>
          <w:lang w:eastAsia="el-GR"/>
        </w:rPr>
        <w:t xml:space="preserve"> </w:t>
      </w:r>
      <w:r w:rsidRPr="00995094">
        <w:rPr>
          <w:rFonts w:eastAsia="Times New Roman"/>
          <w:sz w:val="24"/>
          <w:szCs w:val="24"/>
          <w:lang w:eastAsia="el-GR"/>
        </w:rPr>
        <w:t>πρώτες 7 ερωτήσεις</w:t>
      </w:r>
      <w:r w:rsidR="006D55EE" w:rsidRPr="00995094">
        <w:rPr>
          <w:rFonts w:eastAsia="Times New Roman"/>
          <w:sz w:val="24"/>
          <w:szCs w:val="24"/>
          <w:lang w:eastAsia="el-GR"/>
        </w:rPr>
        <w:t xml:space="preserve"> </w:t>
      </w:r>
      <w:r w:rsidRPr="00995094">
        <w:rPr>
          <w:rFonts w:eastAsia="Times New Roman"/>
          <w:sz w:val="24"/>
          <w:szCs w:val="24"/>
          <w:lang w:eastAsia="el-GR"/>
        </w:rPr>
        <w:t>είναι</w:t>
      </w:r>
      <w:r w:rsidR="006D55EE" w:rsidRPr="00995094">
        <w:rPr>
          <w:rFonts w:eastAsia="Times New Roman"/>
          <w:sz w:val="24"/>
          <w:szCs w:val="24"/>
          <w:lang w:eastAsia="el-GR"/>
        </w:rPr>
        <w:t xml:space="preserve"> </w:t>
      </w:r>
      <w:r w:rsidRPr="00995094">
        <w:rPr>
          <w:rFonts w:eastAsia="Times New Roman"/>
          <w:sz w:val="24"/>
          <w:szCs w:val="24"/>
          <w:lang w:eastAsia="el-GR"/>
        </w:rPr>
        <w:t>διχοτόμες (ΝΑΙ/ΟΧΙ) ενώ</w:t>
      </w:r>
      <w:r w:rsidR="006D55EE" w:rsidRPr="00995094">
        <w:rPr>
          <w:rFonts w:eastAsia="Times New Roman"/>
          <w:sz w:val="24"/>
          <w:szCs w:val="24"/>
          <w:lang w:eastAsia="el-GR"/>
        </w:rPr>
        <w:t xml:space="preserve"> </w:t>
      </w:r>
      <w:r w:rsidRPr="00995094">
        <w:rPr>
          <w:rFonts w:eastAsia="Times New Roman"/>
          <w:sz w:val="24"/>
          <w:szCs w:val="24"/>
          <w:lang w:eastAsia="el-GR"/>
        </w:rPr>
        <w:t>η</w:t>
      </w:r>
      <w:r w:rsidR="006D55EE" w:rsidRPr="00995094">
        <w:rPr>
          <w:rFonts w:eastAsia="Times New Roman"/>
          <w:sz w:val="24"/>
          <w:szCs w:val="24"/>
          <w:lang w:eastAsia="el-GR"/>
        </w:rPr>
        <w:t xml:space="preserve"> τελευταία </w:t>
      </w:r>
      <w:r w:rsidRPr="00995094">
        <w:rPr>
          <w:rFonts w:eastAsia="Times New Roman"/>
          <w:sz w:val="24"/>
          <w:szCs w:val="24"/>
          <w:lang w:eastAsia="el-GR"/>
        </w:rPr>
        <w:t>απαντά</w:t>
      </w:r>
      <w:r w:rsidR="006D55EE" w:rsidRPr="00995094">
        <w:rPr>
          <w:rFonts w:eastAsia="Times New Roman"/>
          <w:sz w:val="24"/>
          <w:szCs w:val="24"/>
          <w:lang w:eastAsia="el-GR"/>
        </w:rPr>
        <w:t xml:space="preserve"> </w:t>
      </w:r>
      <w:r w:rsidRPr="00995094">
        <w:rPr>
          <w:rFonts w:eastAsia="Times New Roman"/>
          <w:sz w:val="24"/>
          <w:szCs w:val="24"/>
          <w:lang w:eastAsia="el-GR"/>
        </w:rPr>
        <w:t>σε</w:t>
      </w:r>
      <w:r w:rsidR="006D55EE" w:rsidRPr="00995094">
        <w:rPr>
          <w:rFonts w:eastAsia="Times New Roman"/>
          <w:sz w:val="24"/>
          <w:szCs w:val="24"/>
          <w:lang w:eastAsia="el-GR"/>
        </w:rPr>
        <w:t xml:space="preserve"> </w:t>
      </w:r>
      <w:r w:rsidR="00817853" w:rsidRPr="00995094">
        <w:rPr>
          <w:rFonts w:eastAsia="Times New Roman"/>
          <w:sz w:val="24"/>
          <w:szCs w:val="24"/>
          <w:lang w:eastAsia="el-GR"/>
        </w:rPr>
        <w:t>μια</w:t>
      </w:r>
      <w:r w:rsidR="002F06FC" w:rsidRPr="00995094">
        <w:rPr>
          <w:rFonts w:eastAsia="Times New Roman"/>
          <w:sz w:val="24"/>
          <w:szCs w:val="24"/>
          <w:lang w:eastAsia="el-GR"/>
        </w:rPr>
        <w:t xml:space="preserve"> </w:t>
      </w:r>
      <w:r w:rsidRPr="00995094">
        <w:rPr>
          <w:rFonts w:eastAsia="Times New Roman"/>
          <w:sz w:val="24"/>
          <w:szCs w:val="24"/>
          <w:lang w:eastAsia="el-GR"/>
        </w:rPr>
        <w:t>κλίμακα</w:t>
      </w:r>
      <w:r w:rsidR="0044764F" w:rsidRPr="00995094">
        <w:rPr>
          <w:rFonts w:eastAsia="Times New Roman"/>
          <w:sz w:val="24"/>
          <w:szCs w:val="24"/>
          <w:lang w:eastAsia="el-GR"/>
        </w:rPr>
        <w:t xml:space="preserve"> </w:t>
      </w:r>
      <w:r w:rsidR="00252A5D" w:rsidRPr="00995094">
        <w:rPr>
          <w:rFonts w:eastAsia="Times New Roman"/>
          <w:sz w:val="24"/>
          <w:szCs w:val="24"/>
          <w:lang w:eastAsia="el-GR"/>
        </w:rPr>
        <w:t>πέντε</w:t>
      </w:r>
      <w:r w:rsidR="002F06FC" w:rsidRPr="00995094">
        <w:rPr>
          <w:rFonts w:eastAsia="Times New Roman"/>
          <w:sz w:val="24"/>
          <w:szCs w:val="24"/>
          <w:lang w:eastAsia="el-GR"/>
        </w:rPr>
        <w:t xml:space="preserve"> σημείων </w:t>
      </w:r>
      <w:r w:rsidR="0044764F" w:rsidRPr="00995094">
        <w:rPr>
          <w:rFonts w:eastAsia="Times New Roman"/>
          <w:sz w:val="24"/>
          <w:szCs w:val="24"/>
          <w:lang w:eastAsia="el-GR"/>
        </w:rPr>
        <w:t>τύπου</w:t>
      </w:r>
      <w:r w:rsidR="006D55EE" w:rsidRPr="00995094">
        <w:rPr>
          <w:rFonts w:eastAsia="Times New Roman"/>
          <w:sz w:val="24"/>
          <w:szCs w:val="24"/>
          <w:lang w:eastAsia="el-GR"/>
        </w:rPr>
        <w:t xml:space="preserve"> </w:t>
      </w:r>
      <w:r w:rsidRPr="00995094">
        <w:rPr>
          <w:rFonts w:eastAsia="Times New Roman"/>
          <w:sz w:val="24"/>
          <w:szCs w:val="24"/>
          <w:lang w:val="en-US" w:eastAsia="el-GR"/>
        </w:rPr>
        <w:t>Likert</w:t>
      </w:r>
      <w:r w:rsidR="001872C0" w:rsidRPr="00995094">
        <w:rPr>
          <w:rFonts w:eastAsia="Times New Roman"/>
          <w:sz w:val="24"/>
          <w:szCs w:val="24"/>
          <w:lang w:eastAsia="el-GR"/>
        </w:rPr>
        <w:t xml:space="preserve">. </w:t>
      </w:r>
      <w:r w:rsidRPr="00995094">
        <w:rPr>
          <w:rFonts w:eastAsia="Times New Roman"/>
          <w:sz w:val="24"/>
          <w:szCs w:val="24"/>
          <w:lang w:val="en-US" w:eastAsia="el-GR"/>
        </w:rPr>
        <w:t>E</w:t>
      </w:r>
      <w:r w:rsidRPr="00995094">
        <w:rPr>
          <w:rFonts w:eastAsia="Times New Roman"/>
          <w:sz w:val="24"/>
          <w:szCs w:val="24"/>
          <w:lang w:eastAsia="el-GR"/>
        </w:rPr>
        <w:t>στιάζει</w:t>
      </w:r>
      <w:r w:rsidR="006D55EE" w:rsidRPr="00995094">
        <w:rPr>
          <w:rFonts w:eastAsia="Times New Roman"/>
          <w:sz w:val="24"/>
          <w:szCs w:val="24"/>
          <w:lang w:eastAsia="el-GR"/>
        </w:rPr>
        <w:t xml:space="preserve"> </w:t>
      </w:r>
      <w:r w:rsidRPr="00995094">
        <w:rPr>
          <w:rFonts w:eastAsia="Times New Roman"/>
          <w:sz w:val="24"/>
          <w:szCs w:val="24"/>
          <w:lang w:eastAsia="el-GR"/>
        </w:rPr>
        <w:t>στη</w:t>
      </w:r>
      <w:r w:rsidR="006D55EE" w:rsidRPr="00995094">
        <w:rPr>
          <w:rFonts w:eastAsia="Times New Roman"/>
          <w:sz w:val="24"/>
          <w:szCs w:val="24"/>
          <w:lang w:eastAsia="el-GR"/>
        </w:rPr>
        <w:t xml:space="preserve"> </w:t>
      </w:r>
      <w:r w:rsidRPr="00995094">
        <w:rPr>
          <w:rFonts w:eastAsia="Times New Roman"/>
          <w:sz w:val="24"/>
          <w:szCs w:val="24"/>
          <w:lang w:eastAsia="el-GR"/>
        </w:rPr>
        <w:t>συμπεριφορά</w:t>
      </w:r>
      <w:r w:rsidR="006D55EE" w:rsidRPr="00995094">
        <w:rPr>
          <w:rFonts w:eastAsia="Times New Roman"/>
          <w:sz w:val="24"/>
          <w:szCs w:val="24"/>
          <w:lang w:eastAsia="el-GR"/>
        </w:rPr>
        <w:t xml:space="preserve"> </w:t>
      </w:r>
      <w:r w:rsidRPr="00995094">
        <w:rPr>
          <w:rFonts w:eastAsia="Times New Roman"/>
          <w:sz w:val="24"/>
          <w:szCs w:val="24"/>
          <w:lang w:eastAsia="el-GR"/>
        </w:rPr>
        <w:t>λήψης</w:t>
      </w:r>
      <w:r w:rsidR="006D55EE" w:rsidRPr="00995094">
        <w:rPr>
          <w:rFonts w:eastAsia="Times New Roman"/>
          <w:sz w:val="24"/>
          <w:szCs w:val="24"/>
          <w:lang w:eastAsia="el-GR"/>
        </w:rPr>
        <w:t xml:space="preserve"> </w:t>
      </w:r>
      <w:r w:rsidRPr="00995094">
        <w:rPr>
          <w:rFonts w:eastAsia="Times New Roman"/>
          <w:sz w:val="24"/>
          <w:szCs w:val="24"/>
          <w:lang w:eastAsia="el-GR"/>
        </w:rPr>
        <w:t>φαρμάκων</w:t>
      </w:r>
      <w:r w:rsidR="006D55EE" w:rsidRPr="00995094">
        <w:rPr>
          <w:rFonts w:eastAsia="Times New Roman"/>
          <w:sz w:val="24"/>
          <w:szCs w:val="24"/>
          <w:lang w:eastAsia="el-GR"/>
        </w:rPr>
        <w:t xml:space="preserve"> </w:t>
      </w:r>
      <w:r w:rsidRPr="00995094">
        <w:rPr>
          <w:rFonts w:eastAsia="Times New Roman"/>
          <w:sz w:val="24"/>
          <w:szCs w:val="24"/>
          <w:lang w:eastAsia="el-GR"/>
        </w:rPr>
        <w:t>και</w:t>
      </w:r>
      <w:r w:rsidR="006D55EE" w:rsidRPr="00995094">
        <w:rPr>
          <w:rFonts w:eastAsia="Times New Roman"/>
          <w:sz w:val="24"/>
          <w:szCs w:val="24"/>
          <w:lang w:eastAsia="el-GR"/>
        </w:rPr>
        <w:t xml:space="preserve"> </w:t>
      </w:r>
      <w:r w:rsidRPr="00995094">
        <w:rPr>
          <w:rFonts w:eastAsia="Times New Roman"/>
          <w:sz w:val="24"/>
          <w:szCs w:val="24"/>
          <w:lang w:eastAsia="el-GR"/>
        </w:rPr>
        <w:t>ειδικότερα</w:t>
      </w:r>
      <w:r w:rsidR="006D55EE" w:rsidRPr="00995094">
        <w:rPr>
          <w:rFonts w:eastAsia="Times New Roman"/>
          <w:sz w:val="24"/>
          <w:szCs w:val="24"/>
          <w:lang w:eastAsia="el-GR"/>
        </w:rPr>
        <w:t xml:space="preserve"> </w:t>
      </w:r>
      <w:r w:rsidRPr="00995094">
        <w:rPr>
          <w:rFonts w:eastAsia="Times New Roman"/>
          <w:sz w:val="24"/>
          <w:szCs w:val="24"/>
          <w:lang w:eastAsia="el-GR"/>
        </w:rPr>
        <w:t>στην</w:t>
      </w:r>
      <w:r w:rsidR="006D55EE" w:rsidRPr="00995094">
        <w:rPr>
          <w:rFonts w:eastAsia="Times New Roman"/>
          <w:sz w:val="24"/>
          <w:szCs w:val="24"/>
          <w:lang w:eastAsia="el-GR"/>
        </w:rPr>
        <w:t xml:space="preserve"> </w:t>
      </w:r>
      <w:r w:rsidRPr="00995094">
        <w:rPr>
          <w:rFonts w:eastAsia="Times New Roman"/>
          <w:sz w:val="24"/>
          <w:szCs w:val="24"/>
          <w:lang w:eastAsia="el-GR"/>
        </w:rPr>
        <w:t>μειωμένη</w:t>
      </w:r>
      <w:r w:rsidR="006D55EE" w:rsidRPr="00995094">
        <w:rPr>
          <w:rFonts w:eastAsia="Times New Roman"/>
          <w:sz w:val="24"/>
          <w:szCs w:val="24"/>
          <w:lang w:eastAsia="el-GR"/>
        </w:rPr>
        <w:t xml:space="preserve"> </w:t>
      </w:r>
      <w:r w:rsidRPr="00995094">
        <w:rPr>
          <w:rFonts w:eastAsia="Times New Roman"/>
          <w:sz w:val="24"/>
          <w:szCs w:val="24"/>
          <w:lang w:eastAsia="el-GR"/>
        </w:rPr>
        <w:t>χρήση και</w:t>
      </w:r>
      <w:r w:rsidR="006D55EE" w:rsidRPr="00995094">
        <w:rPr>
          <w:rFonts w:eastAsia="Times New Roman"/>
          <w:sz w:val="24"/>
          <w:szCs w:val="24"/>
          <w:lang w:eastAsia="el-GR"/>
        </w:rPr>
        <w:t xml:space="preserve"> </w:t>
      </w:r>
      <w:r w:rsidRPr="00995094">
        <w:rPr>
          <w:rFonts w:eastAsia="Times New Roman"/>
          <w:sz w:val="24"/>
          <w:szCs w:val="24"/>
          <w:lang w:eastAsia="el-GR"/>
        </w:rPr>
        <w:t>την</w:t>
      </w:r>
      <w:r w:rsidR="006D55EE" w:rsidRPr="00995094">
        <w:rPr>
          <w:rFonts w:eastAsia="Times New Roman"/>
          <w:sz w:val="24"/>
          <w:szCs w:val="24"/>
          <w:lang w:eastAsia="el-GR"/>
        </w:rPr>
        <w:t xml:space="preserve"> </w:t>
      </w:r>
      <w:r w:rsidRPr="00995094">
        <w:rPr>
          <w:rFonts w:eastAsia="Times New Roman"/>
          <w:sz w:val="24"/>
          <w:szCs w:val="24"/>
          <w:lang w:eastAsia="el-GR"/>
        </w:rPr>
        <w:t>αμέλεια</w:t>
      </w:r>
      <w:r w:rsidR="006D55EE" w:rsidRPr="00995094">
        <w:rPr>
          <w:rFonts w:eastAsia="Times New Roman"/>
          <w:sz w:val="24"/>
          <w:szCs w:val="24"/>
          <w:lang w:eastAsia="el-GR"/>
        </w:rPr>
        <w:t xml:space="preserve"> </w:t>
      </w:r>
      <w:r w:rsidRPr="00995094">
        <w:rPr>
          <w:rFonts w:eastAsia="Times New Roman"/>
          <w:sz w:val="24"/>
          <w:szCs w:val="24"/>
          <w:lang w:eastAsia="el-GR"/>
        </w:rPr>
        <w:t>λήψης</w:t>
      </w:r>
      <w:r w:rsidR="006D55EE" w:rsidRPr="00995094">
        <w:rPr>
          <w:rFonts w:eastAsia="Times New Roman"/>
          <w:sz w:val="24"/>
          <w:szCs w:val="24"/>
          <w:lang w:eastAsia="el-GR"/>
        </w:rPr>
        <w:t xml:space="preserve"> </w:t>
      </w:r>
      <w:r w:rsidRPr="00995094">
        <w:rPr>
          <w:rFonts w:eastAsia="Times New Roman"/>
          <w:sz w:val="24"/>
          <w:szCs w:val="24"/>
          <w:lang w:eastAsia="el-GR"/>
        </w:rPr>
        <w:t xml:space="preserve">των </w:t>
      </w:r>
      <w:r w:rsidR="008032BE" w:rsidRPr="00995094">
        <w:rPr>
          <w:rFonts w:eastAsia="Times New Roman"/>
          <w:sz w:val="24"/>
          <w:szCs w:val="24"/>
          <w:lang w:eastAsia="el-GR"/>
        </w:rPr>
        <w:t>φαρμάκων</w:t>
      </w:r>
      <w:r w:rsidR="005D06A3" w:rsidRPr="00995094">
        <w:rPr>
          <w:rFonts w:eastAsia="Times New Roman"/>
          <w:sz w:val="24"/>
          <w:szCs w:val="24"/>
          <w:lang w:eastAsia="el-GR"/>
        </w:rPr>
        <w:t xml:space="preserve"> (Τ</w:t>
      </w:r>
      <w:r w:rsidR="005D06A3" w:rsidRPr="00995094">
        <w:rPr>
          <w:rFonts w:eastAsia="Times New Roman"/>
          <w:sz w:val="24"/>
          <w:szCs w:val="24"/>
          <w:lang w:val="en-US" w:eastAsia="el-GR"/>
        </w:rPr>
        <w:t>an</w:t>
      </w:r>
      <w:r w:rsidR="005D06A3" w:rsidRPr="00995094">
        <w:rPr>
          <w:rFonts w:eastAsia="Times New Roman"/>
          <w:sz w:val="24"/>
          <w:szCs w:val="24"/>
          <w:lang w:eastAsia="el-GR"/>
        </w:rPr>
        <w:t xml:space="preserve"> </w:t>
      </w:r>
      <w:r w:rsidR="00566CAA" w:rsidRPr="00995094">
        <w:rPr>
          <w:rFonts w:eastAsia="Times New Roman"/>
          <w:sz w:val="24"/>
          <w:szCs w:val="24"/>
          <w:lang w:eastAsia="el-GR"/>
        </w:rPr>
        <w:t>et al</w:t>
      </w:r>
      <w:r w:rsidR="000143B4" w:rsidRPr="00995094">
        <w:rPr>
          <w:rFonts w:eastAsia="Times New Roman"/>
          <w:sz w:val="24"/>
          <w:szCs w:val="24"/>
          <w:lang w:eastAsia="el-GR"/>
        </w:rPr>
        <w:t>.</w:t>
      </w:r>
      <w:r w:rsidR="0044764F" w:rsidRPr="00995094">
        <w:rPr>
          <w:rFonts w:eastAsia="Times New Roman"/>
          <w:sz w:val="24"/>
          <w:szCs w:val="24"/>
          <w:lang w:eastAsia="el-GR"/>
        </w:rPr>
        <w:t>,</w:t>
      </w:r>
      <w:r w:rsidR="005D06A3" w:rsidRPr="00995094">
        <w:rPr>
          <w:rFonts w:eastAsia="Times New Roman"/>
          <w:sz w:val="24"/>
          <w:szCs w:val="24"/>
          <w:lang w:eastAsia="el-GR"/>
        </w:rPr>
        <w:t xml:space="preserve"> 2014)</w:t>
      </w:r>
      <w:r w:rsidR="00835EC3" w:rsidRPr="00995094">
        <w:rPr>
          <w:rFonts w:eastAsia="Times New Roman"/>
          <w:sz w:val="24"/>
          <w:szCs w:val="24"/>
          <w:lang w:eastAsia="el-GR"/>
        </w:rPr>
        <w:t>.</w:t>
      </w:r>
      <w:r w:rsidR="008032BE" w:rsidRPr="00995094">
        <w:rPr>
          <w:rFonts w:eastAsia="Times New Roman"/>
          <w:sz w:val="24"/>
          <w:szCs w:val="24"/>
          <w:lang w:eastAsia="el-GR"/>
        </w:rPr>
        <w:t xml:space="preserve"> </w:t>
      </w:r>
      <w:r w:rsidRPr="00995094">
        <w:rPr>
          <w:rFonts w:eastAsia="Times New Roman"/>
          <w:sz w:val="24"/>
          <w:szCs w:val="24"/>
          <w:lang w:eastAsia="el-GR"/>
        </w:rPr>
        <w:t>Έχει χρησιμοποιηθεί σε ασθενείς με υπέρταση και άλλες</w:t>
      </w:r>
      <w:r w:rsidR="004577ED" w:rsidRPr="00995094">
        <w:rPr>
          <w:rFonts w:eastAsia="Times New Roman"/>
          <w:sz w:val="24"/>
          <w:szCs w:val="24"/>
          <w:lang w:eastAsia="el-GR"/>
        </w:rPr>
        <w:t xml:space="preserve"> χρόνιες ασθένειες. Είναι πιθανώ</w:t>
      </w:r>
      <w:r w:rsidRPr="00995094">
        <w:rPr>
          <w:rFonts w:eastAsia="Times New Roman"/>
          <w:sz w:val="24"/>
          <w:szCs w:val="24"/>
          <w:lang w:eastAsia="el-GR"/>
        </w:rPr>
        <w:t>ς το πιο αποδεκτό εργαλείο αυτοαναφοράς για την μέτρηση της συμμ</w:t>
      </w:r>
      <w:r w:rsidR="008032BE" w:rsidRPr="00995094">
        <w:rPr>
          <w:rFonts w:eastAsia="Times New Roman"/>
          <w:sz w:val="24"/>
          <w:szCs w:val="24"/>
          <w:lang w:eastAsia="el-GR"/>
        </w:rPr>
        <w:t>όρφωσης στην φαρμακευτική αγωγή.</w:t>
      </w:r>
    </w:p>
    <w:p w:rsidR="006B1A9F" w:rsidRPr="00995094" w:rsidRDefault="006B1A9F" w:rsidP="005A464E">
      <w:pPr>
        <w:shd w:val="clear" w:color="auto" w:fill="FFFFFF"/>
        <w:spacing w:after="0" w:line="360" w:lineRule="auto"/>
        <w:jc w:val="both"/>
        <w:rPr>
          <w:rFonts w:eastAsia="Times New Roman"/>
          <w:sz w:val="24"/>
          <w:szCs w:val="24"/>
          <w:lang w:eastAsia="el-GR"/>
        </w:rPr>
      </w:pPr>
    </w:p>
    <w:p w:rsidR="00AD5F6D" w:rsidRPr="00995094" w:rsidRDefault="00AD5F6D" w:rsidP="00851042">
      <w:pPr>
        <w:spacing w:after="0" w:line="360" w:lineRule="auto"/>
        <w:jc w:val="both"/>
        <w:rPr>
          <w:b/>
          <w:sz w:val="24"/>
          <w:szCs w:val="24"/>
          <w:lang w:val="en-US"/>
        </w:rPr>
      </w:pPr>
      <w:r w:rsidRPr="00995094">
        <w:rPr>
          <w:b/>
          <w:sz w:val="24"/>
          <w:szCs w:val="24"/>
          <w:lang w:val="en-US"/>
        </w:rPr>
        <w:t>Medication</w:t>
      </w:r>
      <w:r w:rsidR="00B66FF2" w:rsidRPr="00995094">
        <w:rPr>
          <w:b/>
          <w:sz w:val="24"/>
          <w:szCs w:val="24"/>
          <w:lang w:val="en-US"/>
        </w:rPr>
        <w:t xml:space="preserve"> </w:t>
      </w:r>
      <w:r w:rsidRPr="00995094">
        <w:rPr>
          <w:b/>
          <w:sz w:val="24"/>
          <w:szCs w:val="24"/>
          <w:lang w:val="en-US"/>
        </w:rPr>
        <w:t>Adherence</w:t>
      </w:r>
      <w:r w:rsidR="006D55EE" w:rsidRPr="00995094">
        <w:rPr>
          <w:b/>
          <w:sz w:val="24"/>
          <w:szCs w:val="24"/>
          <w:lang w:val="en-US"/>
        </w:rPr>
        <w:t xml:space="preserve"> </w:t>
      </w:r>
      <w:r w:rsidRPr="00995094">
        <w:rPr>
          <w:b/>
          <w:sz w:val="24"/>
          <w:szCs w:val="24"/>
          <w:lang w:val="en-US"/>
        </w:rPr>
        <w:t>Report</w:t>
      </w:r>
      <w:r w:rsidR="00B66FF2" w:rsidRPr="00995094">
        <w:rPr>
          <w:b/>
          <w:sz w:val="24"/>
          <w:szCs w:val="24"/>
          <w:lang w:val="en-US"/>
        </w:rPr>
        <w:t xml:space="preserve"> </w:t>
      </w:r>
      <w:r w:rsidRPr="00995094">
        <w:rPr>
          <w:b/>
          <w:sz w:val="24"/>
          <w:szCs w:val="24"/>
          <w:lang w:val="en-US"/>
        </w:rPr>
        <w:t>Scale</w:t>
      </w:r>
      <w:r w:rsidR="00802F7C" w:rsidRPr="00995094">
        <w:rPr>
          <w:b/>
          <w:sz w:val="24"/>
          <w:szCs w:val="24"/>
          <w:lang w:val="en-US"/>
        </w:rPr>
        <w:t xml:space="preserve"> (MARS)</w:t>
      </w:r>
    </w:p>
    <w:p w:rsidR="00494811" w:rsidRPr="00995094" w:rsidRDefault="00802F7C" w:rsidP="005A464E">
      <w:pPr>
        <w:spacing w:line="360" w:lineRule="auto"/>
        <w:jc w:val="both"/>
        <w:rPr>
          <w:sz w:val="24"/>
          <w:szCs w:val="24"/>
        </w:rPr>
      </w:pPr>
      <w:r w:rsidRPr="00995094">
        <w:rPr>
          <w:sz w:val="24"/>
          <w:szCs w:val="24"/>
        </w:rPr>
        <w:t>Η κλίμακα</w:t>
      </w:r>
      <w:r w:rsidR="00E83CD3" w:rsidRPr="00995094">
        <w:rPr>
          <w:sz w:val="24"/>
          <w:szCs w:val="24"/>
        </w:rPr>
        <w:t xml:space="preserve"> </w:t>
      </w:r>
      <w:r w:rsidRPr="00995094">
        <w:rPr>
          <w:sz w:val="24"/>
          <w:szCs w:val="24"/>
          <w:lang w:val="en-US"/>
        </w:rPr>
        <w:t>MARS</w:t>
      </w:r>
      <w:r w:rsidR="00E83CD3" w:rsidRPr="00995094">
        <w:rPr>
          <w:sz w:val="24"/>
          <w:szCs w:val="24"/>
        </w:rPr>
        <w:t xml:space="preserve"> </w:t>
      </w:r>
      <w:r w:rsidRPr="00995094">
        <w:rPr>
          <w:sz w:val="24"/>
          <w:szCs w:val="24"/>
        </w:rPr>
        <w:t xml:space="preserve">εστιάζει στις πεποιθήσεις </w:t>
      </w:r>
      <w:r w:rsidR="00AD5F6D" w:rsidRPr="00995094">
        <w:rPr>
          <w:sz w:val="24"/>
          <w:szCs w:val="24"/>
        </w:rPr>
        <w:t xml:space="preserve">και </w:t>
      </w:r>
      <w:r w:rsidRPr="00995094">
        <w:rPr>
          <w:sz w:val="24"/>
          <w:szCs w:val="24"/>
        </w:rPr>
        <w:t>στα εμπόδια της</w:t>
      </w:r>
      <w:r w:rsidR="00AD5F6D" w:rsidRPr="00995094">
        <w:rPr>
          <w:sz w:val="24"/>
          <w:szCs w:val="24"/>
        </w:rPr>
        <w:t xml:space="preserve"> συμμόρφωση</w:t>
      </w:r>
      <w:r w:rsidRPr="00995094">
        <w:rPr>
          <w:sz w:val="24"/>
          <w:szCs w:val="24"/>
        </w:rPr>
        <w:t>ς</w:t>
      </w:r>
      <w:r w:rsidR="00B66FF2" w:rsidRPr="00995094">
        <w:rPr>
          <w:sz w:val="24"/>
          <w:szCs w:val="24"/>
        </w:rPr>
        <w:t xml:space="preserve"> </w:t>
      </w:r>
      <w:r w:rsidR="00A50579" w:rsidRPr="00995094">
        <w:t>(</w:t>
      </w:r>
      <w:r w:rsidR="00A50579" w:rsidRPr="00995094">
        <w:rPr>
          <w:sz w:val="24"/>
          <w:szCs w:val="24"/>
        </w:rPr>
        <w:t>Nguyen</w:t>
      </w:r>
      <w:r w:rsidR="002A10EB" w:rsidRPr="00995094">
        <w:rPr>
          <w:sz w:val="24"/>
          <w:szCs w:val="24"/>
        </w:rPr>
        <w:t>,</w:t>
      </w:r>
      <w:r w:rsidR="002A10EB" w:rsidRPr="00995094">
        <w:rPr>
          <w:rFonts w:cstheme="minorHAnsi"/>
          <w:color w:val="000000"/>
        </w:rPr>
        <w:t xml:space="preserve"> </w:t>
      </w:r>
      <w:r w:rsidR="002A10EB" w:rsidRPr="00995094">
        <w:rPr>
          <w:rFonts w:cstheme="minorHAnsi"/>
          <w:color w:val="000000"/>
          <w:sz w:val="24"/>
          <w:szCs w:val="24"/>
          <w:lang w:val="en-US"/>
        </w:rPr>
        <w:t>Caze</w:t>
      </w:r>
      <w:r w:rsidR="004A7CDC" w:rsidRPr="00995094">
        <w:rPr>
          <w:rFonts w:cstheme="minorHAnsi"/>
          <w:color w:val="000000"/>
          <w:sz w:val="24"/>
          <w:szCs w:val="24"/>
        </w:rPr>
        <w:t>,</w:t>
      </w:r>
      <w:r w:rsidR="002A10EB" w:rsidRPr="00995094">
        <w:rPr>
          <w:rFonts w:cstheme="minorHAnsi"/>
          <w:color w:val="000000"/>
          <w:sz w:val="24"/>
          <w:szCs w:val="24"/>
        </w:rPr>
        <w:t xml:space="preserve"> &amp; </w:t>
      </w:r>
      <w:r w:rsidR="002A10EB" w:rsidRPr="00995094">
        <w:rPr>
          <w:rFonts w:cstheme="minorHAnsi"/>
          <w:color w:val="000000"/>
          <w:sz w:val="24"/>
          <w:szCs w:val="24"/>
          <w:lang w:val="en-US"/>
        </w:rPr>
        <w:t>Cottrell</w:t>
      </w:r>
      <w:r w:rsidR="004A7CDC" w:rsidRPr="00995094">
        <w:rPr>
          <w:rFonts w:cstheme="minorHAnsi"/>
          <w:color w:val="000000"/>
          <w:sz w:val="24"/>
          <w:szCs w:val="24"/>
        </w:rPr>
        <w:t>,</w:t>
      </w:r>
      <w:r w:rsidR="002A10EB" w:rsidRPr="00995094">
        <w:rPr>
          <w:rFonts w:cstheme="minorHAnsi"/>
          <w:color w:val="000000"/>
          <w:sz w:val="24"/>
          <w:szCs w:val="24"/>
        </w:rPr>
        <w:t xml:space="preserve"> </w:t>
      </w:r>
      <w:r w:rsidR="00A50579" w:rsidRPr="00995094">
        <w:rPr>
          <w:sz w:val="24"/>
          <w:szCs w:val="24"/>
        </w:rPr>
        <w:t>2014)</w:t>
      </w:r>
      <w:r w:rsidR="00AD5F6D" w:rsidRPr="00995094">
        <w:rPr>
          <w:sz w:val="24"/>
          <w:szCs w:val="24"/>
        </w:rPr>
        <w:t xml:space="preserve">. </w:t>
      </w:r>
      <w:r w:rsidR="00147973" w:rsidRPr="00995094">
        <w:rPr>
          <w:sz w:val="24"/>
          <w:szCs w:val="24"/>
        </w:rPr>
        <w:t xml:space="preserve">Βασίζεται στην </w:t>
      </w:r>
      <w:r w:rsidRPr="00995094">
        <w:rPr>
          <w:sz w:val="24"/>
          <w:szCs w:val="24"/>
        </w:rPr>
        <w:t>κλίμακα</w:t>
      </w:r>
      <w:r w:rsidR="00B66FF2" w:rsidRPr="00995094">
        <w:rPr>
          <w:sz w:val="24"/>
          <w:szCs w:val="24"/>
        </w:rPr>
        <w:t xml:space="preserve"> </w:t>
      </w:r>
      <w:r w:rsidRPr="00995094">
        <w:rPr>
          <w:color w:val="000000"/>
          <w:sz w:val="24"/>
          <w:szCs w:val="24"/>
          <w:shd w:val="clear" w:color="auto" w:fill="FFFFFF"/>
        </w:rPr>
        <w:t>Drug Attitude Inventory (DAI)</w:t>
      </w:r>
      <w:r w:rsidR="00147973" w:rsidRPr="00995094">
        <w:rPr>
          <w:sz w:val="24"/>
          <w:szCs w:val="24"/>
        </w:rPr>
        <w:t xml:space="preserve">. Με την ενσωμάτωση των </w:t>
      </w:r>
      <w:r w:rsidR="005A363E" w:rsidRPr="00995094">
        <w:rPr>
          <w:sz w:val="24"/>
          <w:szCs w:val="24"/>
        </w:rPr>
        <w:t>ερωτήσεων</w:t>
      </w:r>
      <w:r w:rsidR="00147973" w:rsidRPr="00995094">
        <w:rPr>
          <w:sz w:val="24"/>
          <w:szCs w:val="24"/>
        </w:rPr>
        <w:t xml:space="preserve"> από </w:t>
      </w:r>
      <w:r w:rsidRPr="00995094">
        <w:rPr>
          <w:sz w:val="24"/>
          <w:szCs w:val="24"/>
        </w:rPr>
        <w:t xml:space="preserve">την </w:t>
      </w:r>
      <w:r w:rsidR="00147973" w:rsidRPr="00995094">
        <w:rPr>
          <w:sz w:val="24"/>
          <w:szCs w:val="24"/>
        </w:rPr>
        <w:t xml:space="preserve">MAQ, στοχεύει να μειώσει τις ανεπάρκειες της </w:t>
      </w:r>
      <w:r w:rsidRPr="00995094">
        <w:rPr>
          <w:sz w:val="24"/>
          <w:szCs w:val="24"/>
        </w:rPr>
        <w:t xml:space="preserve">κλίμακας </w:t>
      </w:r>
      <w:r w:rsidR="00147973" w:rsidRPr="00995094">
        <w:rPr>
          <w:sz w:val="24"/>
          <w:szCs w:val="24"/>
        </w:rPr>
        <w:t>DAI. Ως εκ τούτ</w:t>
      </w:r>
      <w:r w:rsidRPr="00995094">
        <w:rPr>
          <w:sz w:val="24"/>
          <w:szCs w:val="24"/>
        </w:rPr>
        <w:t>ου, είναι σε θέση να εξετάσει τη</w:t>
      </w:r>
      <w:r w:rsidR="004577ED" w:rsidRPr="00995094">
        <w:rPr>
          <w:sz w:val="24"/>
          <w:szCs w:val="24"/>
        </w:rPr>
        <w:t xml:space="preserve"> </w:t>
      </w:r>
      <w:r w:rsidRPr="00995094">
        <w:rPr>
          <w:sz w:val="24"/>
          <w:szCs w:val="24"/>
        </w:rPr>
        <w:t>συμπεριφορά λήψης φαρμάκων</w:t>
      </w:r>
      <w:r w:rsidR="004577ED" w:rsidRPr="00995094">
        <w:rPr>
          <w:sz w:val="24"/>
          <w:szCs w:val="24"/>
        </w:rPr>
        <w:t xml:space="preserve"> </w:t>
      </w:r>
      <w:r w:rsidRPr="00995094">
        <w:rPr>
          <w:sz w:val="24"/>
          <w:szCs w:val="24"/>
        </w:rPr>
        <w:t xml:space="preserve">και τις </w:t>
      </w:r>
      <w:r w:rsidR="00147973" w:rsidRPr="00995094">
        <w:rPr>
          <w:sz w:val="24"/>
          <w:szCs w:val="24"/>
        </w:rPr>
        <w:t xml:space="preserve">στάσεις απέναντι </w:t>
      </w:r>
      <w:r w:rsidRPr="00995094">
        <w:rPr>
          <w:sz w:val="24"/>
          <w:szCs w:val="24"/>
        </w:rPr>
        <w:t>στην φαρμακευτική αγωγή</w:t>
      </w:r>
      <w:r w:rsidR="0078495A" w:rsidRPr="00995094">
        <w:rPr>
          <w:sz w:val="24"/>
          <w:szCs w:val="24"/>
        </w:rPr>
        <w:t xml:space="preserve"> </w:t>
      </w:r>
      <w:r w:rsidR="00147973" w:rsidRPr="00995094">
        <w:rPr>
          <w:sz w:val="24"/>
          <w:szCs w:val="24"/>
        </w:rPr>
        <w:t>με υψηλότερες τιμές εγκυρότητας και αξιοπιστίας.</w:t>
      </w:r>
      <w:r w:rsidRPr="00995094">
        <w:rPr>
          <w:sz w:val="24"/>
          <w:szCs w:val="24"/>
        </w:rPr>
        <w:t xml:space="preserve"> Αποτελείται</w:t>
      </w:r>
      <w:r w:rsidR="004577ED" w:rsidRPr="00995094">
        <w:rPr>
          <w:sz w:val="24"/>
          <w:szCs w:val="24"/>
        </w:rPr>
        <w:t xml:space="preserve"> </w:t>
      </w:r>
      <w:r w:rsidR="00252A5D" w:rsidRPr="00995094">
        <w:rPr>
          <w:sz w:val="24"/>
          <w:szCs w:val="24"/>
        </w:rPr>
        <w:t xml:space="preserve">από </w:t>
      </w:r>
      <w:r w:rsidR="005F478F" w:rsidRPr="00995094">
        <w:rPr>
          <w:sz w:val="24"/>
          <w:szCs w:val="24"/>
        </w:rPr>
        <w:t>10</w:t>
      </w:r>
      <w:r w:rsidRPr="00995094">
        <w:rPr>
          <w:sz w:val="24"/>
          <w:szCs w:val="24"/>
        </w:rPr>
        <w:t xml:space="preserve"> ερωτήσεις</w:t>
      </w:r>
      <w:r w:rsidR="004577ED" w:rsidRPr="00995094">
        <w:rPr>
          <w:sz w:val="24"/>
          <w:szCs w:val="24"/>
        </w:rPr>
        <w:t xml:space="preserve"> </w:t>
      </w:r>
      <w:r w:rsidR="00494811" w:rsidRPr="00995094">
        <w:rPr>
          <w:sz w:val="24"/>
          <w:szCs w:val="24"/>
        </w:rPr>
        <w:t>και</w:t>
      </w:r>
      <w:r w:rsidR="004577ED" w:rsidRPr="00995094">
        <w:rPr>
          <w:sz w:val="24"/>
          <w:szCs w:val="24"/>
        </w:rPr>
        <w:t xml:space="preserve"> </w:t>
      </w:r>
      <w:r w:rsidR="00147973" w:rsidRPr="00995094">
        <w:rPr>
          <w:sz w:val="24"/>
          <w:szCs w:val="24"/>
        </w:rPr>
        <w:t>ένα</w:t>
      </w:r>
      <w:r w:rsidRPr="00995094">
        <w:rPr>
          <w:sz w:val="24"/>
          <w:szCs w:val="24"/>
        </w:rPr>
        <w:t>ν</w:t>
      </w:r>
      <w:r w:rsidR="004577ED" w:rsidRPr="00995094">
        <w:rPr>
          <w:sz w:val="24"/>
          <w:szCs w:val="24"/>
        </w:rPr>
        <w:t xml:space="preserve"> </w:t>
      </w:r>
      <w:r w:rsidR="00147973" w:rsidRPr="00995094">
        <w:rPr>
          <w:sz w:val="24"/>
          <w:szCs w:val="24"/>
        </w:rPr>
        <w:t>απλό</w:t>
      </w:r>
      <w:r w:rsidR="004577ED" w:rsidRPr="00995094">
        <w:rPr>
          <w:sz w:val="24"/>
          <w:szCs w:val="24"/>
        </w:rPr>
        <w:t xml:space="preserve"> </w:t>
      </w:r>
      <w:r w:rsidR="00494811" w:rsidRPr="00995094">
        <w:rPr>
          <w:sz w:val="24"/>
          <w:szCs w:val="24"/>
        </w:rPr>
        <w:t>τρόπο</w:t>
      </w:r>
      <w:r w:rsidR="004577ED" w:rsidRPr="00995094">
        <w:rPr>
          <w:sz w:val="24"/>
          <w:szCs w:val="24"/>
        </w:rPr>
        <w:t xml:space="preserve"> </w:t>
      </w:r>
      <w:r w:rsidR="00147973" w:rsidRPr="00995094">
        <w:rPr>
          <w:sz w:val="24"/>
          <w:szCs w:val="24"/>
        </w:rPr>
        <w:t>βαθμολόγησης</w:t>
      </w:r>
      <w:r w:rsidR="00A50579" w:rsidRPr="00995094">
        <w:rPr>
          <w:sz w:val="24"/>
          <w:szCs w:val="24"/>
        </w:rPr>
        <w:t xml:space="preserve"> (</w:t>
      </w:r>
      <w:r w:rsidR="00A50579" w:rsidRPr="00995094">
        <w:rPr>
          <w:sz w:val="24"/>
          <w:szCs w:val="24"/>
          <w:lang w:val="en-US"/>
        </w:rPr>
        <w:t>Thompson</w:t>
      </w:r>
      <w:r w:rsidR="002A10EB" w:rsidRPr="00995094">
        <w:rPr>
          <w:sz w:val="24"/>
          <w:szCs w:val="24"/>
        </w:rPr>
        <w:t xml:space="preserve">, </w:t>
      </w:r>
      <w:r w:rsidR="002A10EB" w:rsidRPr="00995094">
        <w:rPr>
          <w:rFonts w:cstheme="minorHAnsi"/>
          <w:iCs/>
          <w:sz w:val="24"/>
          <w:szCs w:val="24"/>
          <w:lang w:val="en-US"/>
        </w:rPr>
        <w:t>Kulkarni</w:t>
      </w:r>
      <w:r w:rsidR="00D75F89" w:rsidRPr="00995094">
        <w:rPr>
          <w:rFonts w:cstheme="minorHAnsi"/>
          <w:iCs/>
          <w:sz w:val="24"/>
          <w:szCs w:val="24"/>
        </w:rPr>
        <w:t>,</w:t>
      </w:r>
      <w:r w:rsidR="002A10EB" w:rsidRPr="00995094">
        <w:rPr>
          <w:rFonts w:cstheme="minorHAnsi"/>
          <w:iCs/>
          <w:sz w:val="24"/>
          <w:szCs w:val="24"/>
        </w:rPr>
        <w:t xml:space="preserve"> &amp; </w:t>
      </w:r>
      <w:r w:rsidR="002A10EB" w:rsidRPr="00995094">
        <w:rPr>
          <w:rFonts w:cstheme="minorHAnsi"/>
          <w:iCs/>
          <w:sz w:val="24"/>
          <w:szCs w:val="24"/>
          <w:lang w:val="en-US"/>
        </w:rPr>
        <w:t>Sergejew</w:t>
      </w:r>
      <w:r w:rsidR="00D75F89" w:rsidRPr="00995094">
        <w:rPr>
          <w:rFonts w:cstheme="minorHAnsi"/>
          <w:iCs/>
          <w:sz w:val="24"/>
          <w:szCs w:val="24"/>
        </w:rPr>
        <w:t>,</w:t>
      </w:r>
      <w:r w:rsidR="00A50579" w:rsidRPr="00995094">
        <w:rPr>
          <w:sz w:val="24"/>
          <w:szCs w:val="24"/>
        </w:rPr>
        <w:t xml:space="preserve"> 2000).</w:t>
      </w:r>
    </w:p>
    <w:p w:rsidR="0055289A" w:rsidRPr="00995094" w:rsidRDefault="0055289A" w:rsidP="006B1A9F">
      <w:pPr>
        <w:spacing w:line="360" w:lineRule="auto"/>
        <w:jc w:val="both"/>
        <w:rPr>
          <w:rFonts w:eastAsia="Times New Roman"/>
          <w:b/>
          <w:sz w:val="24"/>
          <w:szCs w:val="24"/>
          <w:lang w:val="en-US" w:eastAsia="el-GR"/>
        </w:rPr>
      </w:pPr>
      <w:r w:rsidRPr="00995094">
        <w:rPr>
          <w:rFonts w:eastAsia="Times New Roman"/>
          <w:b/>
          <w:sz w:val="24"/>
          <w:szCs w:val="24"/>
          <w:lang w:val="en-US" w:eastAsia="el-GR"/>
        </w:rPr>
        <w:t>The Self-Efficacy for Appropriate Medication Use Scale (SEAMS)</w:t>
      </w:r>
    </w:p>
    <w:p w:rsidR="002A10EB" w:rsidRPr="00872FD2" w:rsidRDefault="00494811" w:rsidP="005A464E">
      <w:pPr>
        <w:shd w:val="clear" w:color="auto" w:fill="FFFFFF"/>
        <w:spacing w:after="0" w:line="360" w:lineRule="auto"/>
        <w:jc w:val="both"/>
        <w:rPr>
          <w:rFonts w:eastAsia="Times New Roman"/>
          <w:color w:val="000000"/>
          <w:sz w:val="24"/>
          <w:szCs w:val="24"/>
          <w:lang w:eastAsia="el-GR"/>
        </w:rPr>
      </w:pPr>
      <w:r w:rsidRPr="00995094">
        <w:rPr>
          <w:rFonts w:eastAsia="Times New Roman"/>
          <w:color w:val="000000"/>
          <w:sz w:val="24"/>
          <w:szCs w:val="24"/>
          <w:lang w:eastAsia="el-GR"/>
        </w:rPr>
        <w:t>Αποτελείται από 13 ερωτήσεις κλίμακας</w:t>
      </w:r>
      <w:r w:rsidR="00F737D0" w:rsidRPr="00995094">
        <w:rPr>
          <w:rFonts w:eastAsia="Times New Roman"/>
          <w:color w:val="000000"/>
          <w:sz w:val="24"/>
          <w:szCs w:val="24"/>
          <w:lang w:eastAsia="el-GR"/>
        </w:rPr>
        <w:t xml:space="preserve"> 3</w:t>
      </w:r>
      <w:r w:rsidR="002F06FC" w:rsidRPr="00995094">
        <w:rPr>
          <w:rFonts w:eastAsia="Times New Roman"/>
          <w:color w:val="000000"/>
          <w:sz w:val="24"/>
          <w:szCs w:val="24"/>
          <w:lang w:eastAsia="el-GR"/>
        </w:rPr>
        <w:t xml:space="preserve"> σημείων</w:t>
      </w:r>
      <w:r w:rsidRPr="00995094">
        <w:rPr>
          <w:rFonts w:eastAsia="Times New Roman"/>
          <w:color w:val="000000"/>
          <w:sz w:val="24"/>
          <w:szCs w:val="24"/>
          <w:lang w:eastAsia="el-GR"/>
        </w:rPr>
        <w:t xml:space="preserve"> τύπου </w:t>
      </w:r>
      <w:r w:rsidRPr="00995094">
        <w:rPr>
          <w:rFonts w:eastAsia="Times New Roman"/>
          <w:color w:val="000000"/>
          <w:sz w:val="24"/>
          <w:szCs w:val="24"/>
          <w:lang w:val="en-US" w:eastAsia="el-GR"/>
        </w:rPr>
        <w:t>Likert</w:t>
      </w:r>
      <w:r w:rsidRPr="00995094">
        <w:rPr>
          <w:rFonts w:eastAsia="Times New Roman"/>
          <w:color w:val="000000"/>
          <w:sz w:val="24"/>
          <w:szCs w:val="24"/>
          <w:lang w:eastAsia="el-GR"/>
        </w:rPr>
        <w:t xml:space="preserve"> και</w:t>
      </w:r>
      <w:r w:rsidRPr="005A464E">
        <w:rPr>
          <w:rFonts w:eastAsia="Times New Roman"/>
          <w:color w:val="000000"/>
          <w:sz w:val="24"/>
          <w:szCs w:val="24"/>
          <w:lang w:eastAsia="el-GR"/>
        </w:rPr>
        <w:t xml:space="preserve"> εστιάζει στην αυτοαποτελεσματικότητα κατά τη διαχείριση της χρόνιας νόσου και στα εμπόδια στη συμμόρφωση</w:t>
      </w:r>
      <w:r w:rsidR="0055289A" w:rsidRPr="005A464E">
        <w:rPr>
          <w:rFonts w:eastAsia="Times New Roman"/>
          <w:color w:val="000000"/>
          <w:sz w:val="24"/>
          <w:szCs w:val="24"/>
          <w:lang w:eastAsia="el-GR"/>
        </w:rPr>
        <w:t xml:space="preserve">. </w:t>
      </w:r>
      <w:r w:rsidRPr="005A464E">
        <w:rPr>
          <w:rFonts w:eastAsia="Times New Roman"/>
          <w:color w:val="000000"/>
          <w:sz w:val="24"/>
          <w:szCs w:val="24"/>
          <w:lang w:eastAsia="el-GR"/>
        </w:rPr>
        <w:t>Έχει</w:t>
      </w:r>
      <w:r w:rsidR="004577ED" w:rsidRPr="005A464E">
        <w:rPr>
          <w:rFonts w:eastAsia="Times New Roman"/>
          <w:color w:val="000000"/>
          <w:sz w:val="24"/>
          <w:szCs w:val="24"/>
          <w:lang w:eastAsia="el-GR"/>
        </w:rPr>
        <w:t xml:space="preserve"> </w:t>
      </w:r>
      <w:r w:rsidRPr="005A464E">
        <w:rPr>
          <w:rFonts w:eastAsia="Times New Roman"/>
          <w:color w:val="000000"/>
          <w:sz w:val="24"/>
          <w:szCs w:val="24"/>
          <w:lang w:eastAsia="el-GR"/>
        </w:rPr>
        <w:t>χρησιμοποιηθεί</w:t>
      </w:r>
      <w:r w:rsidR="004577ED" w:rsidRPr="005A464E">
        <w:rPr>
          <w:rFonts w:eastAsia="Times New Roman"/>
          <w:color w:val="000000"/>
          <w:sz w:val="24"/>
          <w:szCs w:val="24"/>
          <w:lang w:eastAsia="el-GR"/>
        </w:rPr>
        <w:t xml:space="preserve"> </w:t>
      </w:r>
      <w:r w:rsidRPr="005A464E">
        <w:rPr>
          <w:rFonts w:eastAsia="Times New Roman"/>
          <w:color w:val="000000"/>
          <w:sz w:val="24"/>
          <w:szCs w:val="24"/>
          <w:lang w:eastAsia="el-GR"/>
        </w:rPr>
        <w:t>σε</w:t>
      </w:r>
      <w:r w:rsidR="004577ED" w:rsidRPr="005A464E">
        <w:rPr>
          <w:rFonts w:eastAsia="Times New Roman"/>
          <w:color w:val="000000"/>
          <w:sz w:val="24"/>
          <w:szCs w:val="24"/>
          <w:lang w:eastAsia="el-GR"/>
        </w:rPr>
        <w:t xml:space="preserve"> </w:t>
      </w:r>
      <w:r w:rsidRPr="005A464E">
        <w:rPr>
          <w:rFonts w:eastAsia="Times New Roman"/>
          <w:color w:val="000000"/>
          <w:sz w:val="24"/>
          <w:szCs w:val="24"/>
          <w:lang w:eastAsia="el-GR"/>
        </w:rPr>
        <w:t>ποικίλες</w:t>
      </w:r>
      <w:r w:rsidR="004577ED" w:rsidRPr="005A464E">
        <w:rPr>
          <w:rFonts w:eastAsia="Times New Roman"/>
          <w:color w:val="000000"/>
          <w:sz w:val="24"/>
          <w:szCs w:val="24"/>
          <w:lang w:eastAsia="el-GR"/>
        </w:rPr>
        <w:t xml:space="preserve"> </w:t>
      </w:r>
      <w:r w:rsidRPr="005A464E">
        <w:rPr>
          <w:rFonts w:eastAsia="Times New Roman"/>
          <w:color w:val="000000"/>
          <w:sz w:val="24"/>
          <w:szCs w:val="24"/>
          <w:lang w:eastAsia="el-GR"/>
        </w:rPr>
        <w:t>χρόνιες</w:t>
      </w:r>
      <w:r w:rsidR="004577ED" w:rsidRPr="005A464E">
        <w:rPr>
          <w:rFonts w:eastAsia="Times New Roman"/>
          <w:color w:val="000000"/>
          <w:sz w:val="24"/>
          <w:szCs w:val="24"/>
          <w:lang w:eastAsia="el-GR"/>
        </w:rPr>
        <w:t xml:space="preserve"> </w:t>
      </w:r>
      <w:r w:rsidRPr="005A464E">
        <w:rPr>
          <w:rFonts w:eastAsia="Times New Roman"/>
          <w:color w:val="000000"/>
          <w:sz w:val="24"/>
          <w:szCs w:val="24"/>
          <w:lang w:eastAsia="el-GR"/>
        </w:rPr>
        <w:t>καταστάσεις</w:t>
      </w:r>
      <w:r w:rsidR="004577ED" w:rsidRPr="005A464E">
        <w:rPr>
          <w:rFonts w:eastAsia="Times New Roman"/>
          <w:color w:val="000000"/>
          <w:sz w:val="24"/>
          <w:szCs w:val="24"/>
          <w:lang w:eastAsia="el-GR"/>
        </w:rPr>
        <w:t xml:space="preserve"> </w:t>
      </w:r>
      <w:r w:rsidR="00A50579" w:rsidRPr="005A464E">
        <w:rPr>
          <w:rFonts w:eastAsia="Times New Roman"/>
          <w:color w:val="000000"/>
          <w:sz w:val="24"/>
          <w:szCs w:val="24"/>
          <w:lang w:eastAsia="el-GR"/>
        </w:rPr>
        <w:t>(</w:t>
      </w:r>
      <w:r w:rsidR="00A50579" w:rsidRPr="005A464E">
        <w:rPr>
          <w:rFonts w:eastAsia="Times New Roman"/>
          <w:color w:val="000000"/>
          <w:sz w:val="24"/>
          <w:szCs w:val="24"/>
          <w:lang w:val="en-US" w:eastAsia="el-GR"/>
        </w:rPr>
        <w:t>Lavsa</w:t>
      </w:r>
      <w:r w:rsidR="00607E7C">
        <w:rPr>
          <w:rFonts w:eastAsia="Times New Roman"/>
          <w:color w:val="000000"/>
          <w:sz w:val="24"/>
          <w:szCs w:val="24"/>
          <w:lang w:eastAsia="el-GR"/>
        </w:rPr>
        <w:t xml:space="preserve"> </w:t>
      </w:r>
      <w:r w:rsidR="00607E7C">
        <w:rPr>
          <w:rFonts w:eastAsia="Times New Roman"/>
          <w:color w:val="000000"/>
          <w:sz w:val="24"/>
          <w:szCs w:val="24"/>
          <w:lang w:val="en-US" w:eastAsia="el-GR"/>
        </w:rPr>
        <w:t>et</w:t>
      </w:r>
      <w:r w:rsidR="00607E7C" w:rsidRPr="00607E7C">
        <w:rPr>
          <w:rFonts w:eastAsia="Times New Roman"/>
          <w:color w:val="000000"/>
          <w:sz w:val="24"/>
          <w:szCs w:val="24"/>
          <w:lang w:eastAsia="el-GR"/>
        </w:rPr>
        <w:t xml:space="preserve"> </w:t>
      </w:r>
      <w:r w:rsidR="00607E7C">
        <w:rPr>
          <w:rFonts w:eastAsia="Times New Roman"/>
          <w:color w:val="000000"/>
          <w:sz w:val="24"/>
          <w:szCs w:val="24"/>
          <w:lang w:val="en-US" w:eastAsia="el-GR"/>
        </w:rPr>
        <w:t>al</w:t>
      </w:r>
      <w:r w:rsidR="00607E7C" w:rsidRPr="00607E7C">
        <w:rPr>
          <w:rFonts w:eastAsia="Times New Roman"/>
          <w:color w:val="000000"/>
          <w:sz w:val="24"/>
          <w:szCs w:val="24"/>
          <w:lang w:eastAsia="el-GR"/>
        </w:rPr>
        <w:t xml:space="preserve">., </w:t>
      </w:r>
      <w:r w:rsidR="00A50579" w:rsidRPr="005A464E">
        <w:rPr>
          <w:rFonts w:eastAsia="Times New Roman"/>
          <w:color w:val="000000"/>
          <w:sz w:val="24"/>
          <w:szCs w:val="24"/>
          <w:lang w:eastAsia="el-GR"/>
        </w:rPr>
        <w:t>2011</w:t>
      </w:r>
      <w:r w:rsidR="00A50579" w:rsidRPr="002A10EB">
        <w:rPr>
          <w:rFonts w:eastAsia="Times New Roman"/>
          <w:color w:val="000000"/>
          <w:sz w:val="24"/>
          <w:szCs w:val="24"/>
          <w:lang w:eastAsia="el-GR"/>
        </w:rPr>
        <w:t>;</w:t>
      </w:r>
      <w:r w:rsidR="0078495A">
        <w:rPr>
          <w:rFonts w:eastAsia="Times New Roman"/>
          <w:color w:val="000000"/>
          <w:sz w:val="24"/>
          <w:szCs w:val="24"/>
          <w:lang w:eastAsia="el-GR"/>
        </w:rPr>
        <w:t xml:space="preserve"> </w:t>
      </w:r>
      <w:r w:rsidR="00A50579" w:rsidRPr="002A10EB">
        <w:rPr>
          <w:sz w:val="24"/>
          <w:szCs w:val="24"/>
          <w:lang w:val="en-US"/>
        </w:rPr>
        <w:t>Culig</w:t>
      </w:r>
      <w:r w:rsidR="00A77BF0" w:rsidRPr="002A10EB">
        <w:rPr>
          <w:sz w:val="24"/>
          <w:szCs w:val="24"/>
        </w:rPr>
        <w:t xml:space="preserve"> </w:t>
      </w:r>
      <w:r w:rsidR="00A50579" w:rsidRPr="002A10EB">
        <w:rPr>
          <w:sz w:val="24"/>
          <w:szCs w:val="24"/>
        </w:rPr>
        <w:t>&amp;</w:t>
      </w:r>
      <w:r w:rsidR="00A77BF0" w:rsidRPr="002A10EB">
        <w:rPr>
          <w:sz w:val="24"/>
          <w:szCs w:val="24"/>
        </w:rPr>
        <w:t xml:space="preserve"> </w:t>
      </w:r>
      <w:r w:rsidR="00A50579" w:rsidRPr="002A10EB">
        <w:rPr>
          <w:sz w:val="24"/>
          <w:szCs w:val="24"/>
          <w:lang w:val="en-US"/>
        </w:rPr>
        <w:t>Leppee</w:t>
      </w:r>
      <w:r w:rsidR="00AB454B">
        <w:rPr>
          <w:sz w:val="24"/>
          <w:szCs w:val="24"/>
        </w:rPr>
        <w:t>,</w:t>
      </w:r>
      <w:r w:rsidR="00A50579" w:rsidRPr="002A10EB">
        <w:rPr>
          <w:sz w:val="24"/>
          <w:szCs w:val="24"/>
        </w:rPr>
        <w:t xml:space="preserve"> 2014)</w:t>
      </w:r>
      <w:r w:rsidR="0055289A" w:rsidRPr="002A10EB">
        <w:rPr>
          <w:rFonts w:eastAsia="Times New Roman"/>
          <w:color w:val="000000"/>
          <w:sz w:val="24"/>
          <w:szCs w:val="24"/>
          <w:lang w:eastAsia="el-GR"/>
        </w:rPr>
        <w:t>.</w:t>
      </w:r>
      <w:r w:rsidR="005A363E" w:rsidRPr="005A464E">
        <w:rPr>
          <w:rFonts w:eastAsia="Times New Roman"/>
          <w:color w:val="000000"/>
          <w:sz w:val="24"/>
          <w:szCs w:val="24"/>
          <w:lang w:eastAsia="el-GR"/>
        </w:rPr>
        <w:t xml:space="preserve"> </w:t>
      </w:r>
      <w:r w:rsidRPr="005A464E">
        <w:rPr>
          <w:rFonts w:eastAsia="Times New Roman"/>
          <w:color w:val="000000"/>
          <w:sz w:val="24"/>
          <w:szCs w:val="24"/>
          <w:lang w:eastAsia="el-GR"/>
        </w:rPr>
        <w:t xml:space="preserve">Η αξιοπιστία της </w:t>
      </w:r>
      <w:r w:rsidR="00E71E60" w:rsidRPr="005A464E">
        <w:rPr>
          <w:rFonts w:eastAsia="Times New Roman"/>
          <w:color w:val="000000"/>
          <w:sz w:val="24"/>
          <w:szCs w:val="24"/>
          <w:lang w:eastAsia="el-GR"/>
        </w:rPr>
        <w:t>κλίμακας</w:t>
      </w:r>
      <w:r w:rsidRPr="005A464E">
        <w:rPr>
          <w:rFonts w:eastAsia="Times New Roman"/>
          <w:color w:val="000000"/>
          <w:sz w:val="24"/>
          <w:szCs w:val="24"/>
          <w:lang w:eastAsia="el-GR"/>
        </w:rPr>
        <w:t xml:space="preserve"> έχει μετρηθεί μέσω της εσωτερικής εγκυρότητας. Με</w:t>
      </w:r>
      <w:r w:rsidR="004577ED" w:rsidRPr="005A464E">
        <w:rPr>
          <w:rFonts w:eastAsia="Times New Roman"/>
          <w:color w:val="000000"/>
          <w:sz w:val="24"/>
          <w:szCs w:val="24"/>
          <w:lang w:eastAsia="el-GR"/>
        </w:rPr>
        <w:t xml:space="preserve"> </w:t>
      </w:r>
      <w:r w:rsidRPr="005A464E">
        <w:rPr>
          <w:rFonts w:eastAsia="Times New Roman"/>
          <w:color w:val="000000"/>
          <w:sz w:val="24"/>
          <w:szCs w:val="24"/>
          <w:lang w:eastAsia="el-GR"/>
        </w:rPr>
        <w:t xml:space="preserve">δείκτη </w:t>
      </w:r>
      <w:r w:rsidRPr="005A464E">
        <w:rPr>
          <w:rFonts w:eastAsia="Times New Roman"/>
          <w:color w:val="000000"/>
          <w:sz w:val="24"/>
          <w:szCs w:val="24"/>
          <w:lang w:val="en-US" w:eastAsia="el-GR"/>
        </w:rPr>
        <w:t>Cronbach</w:t>
      </w:r>
      <w:r w:rsidRPr="005A464E">
        <w:rPr>
          <w:rFonts w:eastAsia="Times New Roman"/>
          <w:color w:val="000000"/>
          <w:sz w:val="24"/>
          <w:szCs w:val="24"/>
          <w:lang w:eastAsia="el-GR"/>
        </w:rPr>
        <w:t>’</w:t>
      </w:r>
      <w:r w:rsidRPr="005A464E">
        <w:rPr>
          <w:rFonts w:eastAsia="Times New Roman"/>
          <w:color w:val="000000"/>
          <w:sz w:val="24"/>
          <w:szCs w:val="24"/>
          <w:lang w:val="en-US" w:eastAsia="el-GR"/>
        </w:rPr>
        <w:t>s</w:t>
      </w:r>
      <w:r w:rsidR="00A77BF0" w:rsidRPr="005A464E">
        <w:rPr>
          <w:rFonts w:eastAsia="Times New Roman"/>
          <w:color w:val="000000"/>
          <w:sz w:val="24"/>
          <w:szCs w:val="24"/>
          <w:lang w:eastAsia="el-GR"/>
        </w:rPr>
        <w:t xml:space="preserve"> </w:t>
      </w:r>
      <w:r w:rsidR="00252A5D">
        <w:rPr>
          <w:rFonts w:eastAsia="Times New Roman"/>
          <w:color w:val="000000"/>
          <w:sz w:val="24"/>
          <w:szCs w:val="24"/>
          <w:lang w:eastAsia="el-GR"/>
        </w:rPr>
        <w:t>Α</w:t>
      </w:r>
      <w:r w:rsidRPr="005A464E">
        <w:rPr>
          <w:rFonts w:eastAsia="Times New Roman"/>
          <w:color w:val="000000"/>
          <w:sz w:val="24"/>
          <w:szCs w:val="24"/>
          <w:lang w:val="en-US" w:eastAsia="el-GR"/>
        </w:rPr>
        <w:t>lpha</w:t>
      </w:r>
      <w:r w:rsidR="0078495A">
        <w:rPr>
          <w:rFonts w:eastAsia="Times New Roman"/>
          <w:color w:val="000000"/>
          <w:sz w:val="24"/>
          <w:szCs w:val="24"/>
          <w:lang w:eastAsia="el-GR"/>
        </w:rPr>
        <w:t xml:space="preserve"> </w:t>
      </w:r>
      <w:r w:rsidR="00EF6A06">
        <w:rPr>
          <w:rFonts w:eastAsia="Times New Roman"/>
          <w:color w:val="000000"/>
          <w:sz w:val="24"/>
          <w:szCs w:val="24"/>
          <w:lang w:eastAsia="el-GR"/>
        </w:rPr>
        <w:t>0,</w:t>
      </w:r>
      <w:r w:rsidRPr="005A464E">
        <w:rPr>
          <w:rFonts w:eastAsia="Times New Roman"/>
          <w:color w:val="000000"/>
          <w:sz w:val="24"/>
          <w:szCs w:val="24"/>
          <w:lang w:eastAsia="el-GR"/>
        </w:rPr>
        <w:t xml:space="preserve">89 και </w:t>
      </w:r>
      <w:r w:rsidR="00EF6A06">
        <w:rPr>
          <w:rFonts w:eastAsia="Times New Roman"/>
          <w:color w:val="000000"/>
          <w:sz w:val="24"/>
          <w:szCs w:val="24"/>
          <w:lang w:eastAsia="el-GR"/>
        </w:rPr>
        <w:t>0,</w:t>
      </w:r>
      <w:r w:rsidRPr="005A464E">
        <w:rPr>
          <w:rFonts w:eastAsia="Times New Roman"/>
          <w:color w:val="000000"/>
          <w:sz w:val="24"/>
          <w:szCs w:val="24"/>
          <w:lang w:eastAsia="el-GR"/>
        </w:rPr>
        <w:t>88</w:t>
      </w:r>
      <w:r w:rsidR="005A363E" w:rsidRPr="005A464E">
        <w:rPr>
          <w:rFonts w:eastAsia="Times New Roman"/>
          <w:color w:val="000000"/>
          <w:sz w:val="24"/>
          <w:szCs w:val="24"/>
          <w:lang w:eastAsia="el-GR"/>
        </w:rPr>
        <w:t xml:space="preserve"> </w:t>
      </w:r>
      <w:r w:rsidRPr="005A464E">
        <w:rPr>
          <w:rFonts w:eastAsia="Times New Roman"/>
          <w:color w:val="000000"/>
          <w:sz w:val="24"/>
          <w:szCs w:val="24"/>
          <w:lang w:eastAsia="el-GR"/>
        </w:rPr>
        <w:t>σε πληθυσμούς με χαμηλό</w:t>
      </w:r>
      <w:r w:rsidR="004577ED" w:rsidRPr="005A464E">
        <w:rPr>
          <w:rFonts w:eastAsia="Times New Roman"/>
          <w:color w:val="000000"/>
          <w:sz w:val="24"/>
          <w:szCs w:val="24"/>
          <w:lang w:eastAsia="el-GR"/>
        </w:rPr>
        <w:t xml:space="preserve"> </w:t>
      </w:r>
      <w:r w:rsidRPr="005A464E">
        <w:rPr>
          <w:rFonts w:eastAsia="Times New Roman"/>
          <w:color w:val="000000"/>
          <w:sz w:val="24"/>
          <w:szCs w:val="24"/>
          <w:lang w:eastAsia="el-GR"/>
        </w:rPr>
        <w:t>και υψηλό αλφαβητικό επίπεδο</w:t>
      </w:r>
      <w:r w:rsidR="004577ED" w:rsidRPr="005A464E">
        <w:rPr>
          <w:rFonts w:eastAsia="Times New Roman"/>
          <w:color w:val="000000"/>
          <w:sz w:val="24"/>
          <w:szCs w:val="24"/>
          <w:lang w:eastAsia="el-GR"/>
        </w:rPr>
        <w:t xml:space="preserve"> </w:t>
      </w:r>
      <w:r w:rsidRPr="005A464E">
        <w:rPr>
          <w:rFonts w:eastAsia="Times New Roman"/>
          <w:color w:val="000000"/>
          <w:sz w:val="24"/>
          <w:szCs w:val="24"/>
          <w:lang w:eastAsia="el-GR"/>
        </w:rPr>
        <w:t xml:space="preserve">αντίστοιχα </w:t>
      </w:r>
      <w:r w:rsidR="00A50579" w:rsidRPr="005A464E">
        <w:rPr>
          <w:rFonts w:eastAsia="Times New Roman"/>
          <w:color w:val="000000"/>
          <w:sz w:val="24"/>
          <w:szCs w:val="24"/>
          <w:lang w:eastAsia="el-GR"/>
        </w:rPr>
        <w:t>(</w:t>
      </w:r>
      <w:r w:rsidR="00A50579" w:rsidRPr="005A464E">
        <w:rPr>
          <w:rFonts w:eastAsia="Times New Roman"/>
          <w:color w:val="000000"/>
          <w:sz w:val="24"/>
          <w:szCs w:val="24"/>
          <w:lang w:val="en-US" w:eastAsia="el-GR"/>
        </w:rPr>
        <w:t>Lavsa</w:t>
      </w:r>
      <w:r w:rsidR="00607E7C" w:rsidRPr="00607E7C">
        <w:rPr>
          <w:rFonts w:eastAsia="Times New Roman"/>
          <w:color w:val="000000"/>
          <w:sz w:val="24"/>
          <w:szCs w:val="24"/>
          <w:lang w:eastAsia="el-GR"/>
        </w:rPr>
        <w:t xml:space="preserve"> </w:t>
      </w:r>
      <w:r w:rsidR="00607E7C">
        <w:rPr>
          <w:rFonts w:eastAsia="Times New Roman"/>
          <w:color w:val="000000"/>
          <w:sz w:val="24"/>
          <w:szCs w:val="24"/>
          <w:lang w:val="en-US" w:eastAsia="el-GR"/>
        </w:rPr>
        <w:t>et</w:t>
      </w:r>
      <w:r w:rsidR="00607E7C" w:rsidRPr="00607E7C">
        <w:rPr>
          <w:rFonts w:eastAsia="Times New Roman"/>
          <w:color w:val="000000"/>
          <w:sz w:val="24"/>
          <w:szCs w:val="24"/>
          <w:lang w:eastAsia="el-GR"/>
        </w:rPr>
        <w:t xml:space="preserve"> </w:t>
      </w:r>
      <w:r w:rsidR="00607E7C">
        <w:rPr>
          <w:rFonts w:eastAsia="Times New Roman"/>
          <w:color w:val="000000"/>
          <w:sz w:val="24"/>
          <w:szCs w:val="24"/>
          <w:lang w:val="en-US" w:eastAsia="el-GR"/>
        </w:rPr>
        <w:t>al</w:t>
      </w:r>
      <w:r w:rsidR="00607E7C" w:rsidRPr="00607E7C">
        <w:rPr>
          <w:rFonts w:eastAsia="Times New Roman"/>
          <w:color w:val="000000"/>
          <w:sz w:val="24"/>
          <w:szCs w:val="24"/>
          <w:lang w:eastAsia="el-GR"/>
        </w:rPr>
        <w:t xml:space="preserve">., </w:t>
      </w:r>
      <w:r w:rsidR="00A50579" w:rsidRPr="002A10EB">
        <w:rPr>
          <w:rFonts w:eastAsia="Times New Roman"/>
          <w:color w:val="000000"/>
          <w:sz w:val="24"/>
          <w:szCs w:val="24"/>
          <w:lang w:eastAsia="el-GR"/>
        </w:rPr>
        <w:t>2011</w:t>
      </w:r>
      <w:r w:rsidR="00A50579" w:rsidRPr="005A464E">
        <w:rPr>
          <w:rFonts w:eastAsia="Times New Roman"/>
          <w:color w:val="000000"/>
          <w:sz w:val="24"/>
          <w:szCs w:val="24"/>
          <w:lang w:eastAsia="el-GR"/>
        </w:rPr>
        <w:t>)</w:t>
      </w:r>
      <w:r w:rsidRPr="005A464E">
        <w:rPr>
          <w:rFonts w:eastAsia="Times New Roman"/>
          <w:color w:val="000000"/>
          <w:sz w:val="24"/>
          <w:szCs w:val="24"/>
          <w:lang w:eastAsia="el-GR"/>
        </w:rPr>
        <w:t xml:space="preserve">, η </w:t>
      </w:r>
      <w:r w:rsidRPr="005A464E">
        <w:rPr>
          <w:rFonts w:eastAsia="Times New Roman"/>
          <w:color w:val="000000"/>
          <w:sz w:val="24"/>
          <w:szCs w:val="24"/>
          <w:lang w:val="en-US" w:eastAsia="el-GR"/>
        </w:rPr>
        <w:t>SEAMS</w:t>
      </w:r>
      <w:r w:rsidRPr="005A464E">
        <w:rPr>
          <w:rFonts w:eastAsia="Times New Roman"/>
          <w:color w:val="000000"/>
          <w:sz w:val="24"/>
          <w:szCs w:val="24"/>
          <w:lang w:eastAsia="el-GR"/>
        </w:rPr>
        <w:t xml:space="preserve"> θεωρείται ένα εξαιρετικό εργαλείο αυτοαναφοράς της συμμόρφωσης στα χρόνια νοσήματα.</w:t>
      </w:r>
    </w:p>
    <w:p w:rsidR="00376173" w:rsidRPr="005A464E" w:rsidRDefault="00494811" w:rsidP="005A464E">
      <w:pPr>
        <w:shd w:val="clear" w:color="auto" w:fill="FFFFFF"/>
        <w:spacing w:after="0" w:line="360" w:lineRule="auto"/>
        <w:jc w:val="both"/>
        <w:rPr>
          <w:rFonts w:eastAsia="Times New Roman"/>
          <w:color w:val="000000"/>
          <w:sz w:val="24"/>
          <w:szCs w:val="24"/>
          <w:lang w:eastAsia="el-GR"/>
        </w:rPr>
      </w:pPr>
      <w:r w:rsidRPr="005A464E">
        <w:rPr>
          <w:rFonts w:eastAsia="Times New Roman"/>
          <w:color w:val="000000"/>
          <w:sz w:val="24"/>
          <w:szCs w:val="24"/>
          <w:lang w:eastAsia="el-GR"/>
        </w:rPr>
        <w:t xml:space="preserve"> </w:t>
      </w:r>
    </w:p>
    <w:p w:rsidR="006B1A9F" w:rsidRPr="00851042" w:rsidRDefault="00FB72D4" w:rsidP="006B1A9F">
      <w:pPr>
        <w:shd w:val="clear" w:color="auto" w:fill="FFFFFF"/>
        <w:spacing w:line="360" w:lineRule="auto"/>
        <w:jc w:val="both"/>
        <w:rPr>
          <w:sz w:val="24"/>
          <w:szCs w:val="24"/>
          <w:shd w:val="clear" w:color="auto" w:fill="FFFFFF"/>
          <w:lang w:val="en-US"/>
        </w:rPr>
      </w:pPr>
      <w:r w:rsidRPr="005A464E">
        <w:rPr>
          <w:b/>
          <w:sz w:val="24"/>
          <w:szCs w:val="24"/>
          <w:shd w:val="clear" w:color="auto" w:fill="FFFFFF"/>
        </w:rPr>
        <w:t>Η</w:t>
      </w:r>
      <w:r w:rsidRPr="005A464E">
        <w:rPr>
          <w:b/>
          <w:sz w:val="24"/>
          <w:szCs w:val="24"/>
          <w:shd w:val="clear" w:color="auto" w:fill="FFFFFF"/>
          <w:lang w:val="en-US"/>
        </w:rPr>
        <w:t xml:space="preserve"> </w:t>
      </w:r>
      <w:r w:rsidRPr="005A464E">
        <w:rPr>
          <w:b/>
          <w:sz w:val="24"/>
          <w:szCs w:val="24"/>
          <w:shd w:val="clear" w:color="auto" w:fill="FFFFFF"/>
        </w:rPr>
        <w:t>κλίμακα</w:t>
      </w:r>
      <w:r w:rsidR="0078495A">
        <w:rPr>
          <w:b/>
          <w:sz w:val="24"/>
          <w:szCs w:val="24"/>
          <w:shd w:val="clear" w:color="auto" w:fill="FFFFFF"/>
          <w:lang w:val="en-US"/>
        </w:rPr>
        <w:t xml:space="preserve"> </w:t>
      </w:r>
      <w:r w:rsidR="00E71E60" w:rsidRPr="005A464E">
        <w:rPr>
          <w:b/>
          <w:sz w:val="24"/>
          <w:szCs w:val="24"/>
          <w:shd w:val="clear" w:color="auto" w:fill="FFFFFF"/>
          <w:lang w:val="en-US"/>
        </w:rPr>
        <w:t>Dialysis Diet and Fluid Non-Adherence Questionnaire (DDFQ</w:t>
      </w:r>
      <w:r w:rsidR="006B1A9F">
        <w:rPr>
          <w:sz w:val="24"/>
          <w:szCs w:val="24"/>
          <w:shd w:val="clear" w:color="auto" w:fill="FFFFFF"/>
          <w:lang w:val="en-US"/>
        </w:rPr>
        <w:t>)</w:t>
      </w:r>
    </w:p>
    <w:p w:rsidR="00E71E60" w:rsidRPr="005A464E" w:rsidRDefault="00F737D0" w:rsidP="005A464E">
      <w:pPr>
        <w:shd w:val="clear" w:color="auto" w:fill="FFFFFF"/>
        <w:spacing w:line="360" w:lineRule="auto"/>
        <w:jc w:val="both"/>
        <w:rPr>
          <w:color w:val="000000"/>
          <w:sz w:val="24"/>
          <w:szCs w:val="24"/>
          <w:shd w:val="clear" w:color="auto" w:fill="FFFFFF"/>
        </w:rPr>
      </w:pPr>
      <w:r>
        <w:rPr>
          <w:color w:val="000000"/>
          <w:sz w:val="24"/>
          <w:szCs w:val="24"/>
          <w:shd w:val="clear" w:color="auto" w:fill="FFFFFF"/>
        </w:rPr>
        <w:t xml:space="preserve">Αποτελείται </w:t>
      </w:r>
      <w:r w:rsidRPr="00995094">
        <w:rPr>
          <w:color w:val="000000"/>
          <w:sz w:val="24"/>
          <w:szCs w:val="24"/>
          <w:shd w:val="clear" w:color="auto" w:fill="FFFFFF"/>
        </w:rPr>
        <w:t>από 4</w:t>
      </w:r>
      <w:r w:rsidR="00FB72D4" w:rsidRPr="00995094">
        <w:rPr>
          <w:color w:val="000000"/>
          <w:sz w:val="24"/>
          <w:szCs w:val="24"/>
          <w:shd w:val="clear" w:color="auto" w:fill="FFFFFF"/>
        </w:rPr>
        <w:t xml:space="preserve"> ερωτήσεις που μελετούν τη συχνότητα και τον βαθμό συμμόρφωσης στον περιορισμό των υγρών και τις διαιτητικές συστάσεις</w:t>
      </w:r>
      <w:r w:rsidR="0078495A" w:rsidRPr="00995094">
        <w:rPr>
          <w:color w:val="000000"/>
          <w:sz w:val="24"/>
          <w:szCs w:val="24"/>
          <w:shd w:val="clear" w:color="auto" w:fill="FFFFFF"/>
        </w:rPr>
        <w:t xml:space="preserve"> </w:t>
      </w:r>
      <w:r w:rsidR="00FB72D4" w:rsidRPr="00995094">
        <w:rPr>
          <w:color w:val="000000"/>
          <w:sz w:val="24"/>
          <w:szCs w:val="24"/>
          <w:shd w:val="clear" w:color="auto" w:fill="FFFFFF"/>
        </w:rPr>
        <w:t xml:space="preserve">για τις 14 τελευταίες ημέρες. </w:t>
      </w:r>
      <w:r w:rsidR="001D515F" w:rsidRPr="00995094">
        <w:rPr>
          <w:color w:val="000000"/>
          <w:sz w:val="24"/>
          <w:szCs w:val="24"/>
          <w:shd w:val="clear" w:color="auto" w:fill="FFFFFF"/>
        </w:rPr>
        <w:t>Ωστόσο</w:t>
      </w:r>
      <w:r w:rsidR="00FB72D4" w:rsidRPr="00995094">
        <w:rPr>
          <w:color w:val="000000"/>
          <w:sz w:val="24"/>
          <w:szCs w:val="24"/>
          <w:shd w:val="clear" w:color="auto" w:fill="FFFFFF"/>
        </w:rPr>
        <w:t>,</w:t>
      </w:r>
      <w:r w:rsidR="0078495A" w:rsidRPr="00995094">
        <w:rPr>
          <w:color w:val="000000"/>
          <w:sz w:val="24"/>
          <w:szCs w:val="24"/>
          <w:shd w:val="clear" w:color="auto" w:fill="FFFFFF"/>
        </w:rPr>
        <w:t xml:space="preserve"> </w:t>
      </w:r>
      <w:r w:rsidR="00FB72D4" w:rsidRPr="00995094">
        <w:rPr>
          <w:color w:val="000000"/>
          <w:sz w:val="24"/>
          <w:szCs w:val="24"/>
          <w:shd w:val="clear" w:color="auto" w:fill="FFFFFF"/>
        </w:rPr>
        <w:t>δεν μελετά την παρουσία στη συνεδρία και τη συμμόρφωση στην φαρμακευτική</w:t>
      </w:r>
      <w:r w:rsidR="003554BE" w:rsidRPr="00995094">
        <w:rPr>
          <w:color w:val="000000"/>
          <w:sz w:val="24"/>
          <w:szCs w:val="24"/>
          <w:shd w:val="clear" w:color="auto" w:fill="FFFFFF"/>
        </w:rPr>
        <w:t xml:space="preserve"> αγωγή</w:t>
      </w:r>
      <w:r w:rsidR="00376173" w:rsidRPr="00995094">
        <w:rPr>
          <w:color w:val="000000"/>
          <w:sz w:val="24"/>
          <w:szCs w:val="24"/>
          <w:shd w:val="clear" w:color="auto" w:fill="FFFFFF"/>
        </w:rPr>
        <w:t xml:space="preserve"> (</w:t>
      </w:r>
      <w:r w:rsidR="00376173" w:rsidRPr="00995094">
        <w:rPr>
          <w:sz w:val="24"/>
          <w:szCs w:val="24"/>
          <w:lang w:val="en-US"/>
        </w:rPr>
        <w:t>Vlaminck</w:t>
      </w:r>
      <w:r w:rsidR="00D31BD9" w:rsidRPr="00995094">
        <w:rPr>
          <w:sz w:val="24"/>
          <w:szCs w:val="24"/>
        </w:rPr>
        <w:t>,</w:t>
      </w:r>
      <w:r w:rsidR="00376173" w:rsidRPr="00995094">
        <w:rPr>
          <w:sz w:val="24"/>
          <w:szCs w:val="24"/>
        </w:rPr>
        <w:t xml:space="preserve"> </w:t>
      </w:r>
      <w:r w:rsidR="00D31BD9" w:rsidRPr="00995094">
        <w:rPr>
          <w:rStyle w:val="citation"/>
          <w:rFonts w:asciiTheme="minorHAnsi" w:hAnsiTheme="minorHAnsi" w:cstheme="minorHAnsi"/>
          <w:sz w:val="24"/>
          <w:szCs w:val="24"/>
          <w:lang w:val="en-US"/>
        </w:rPr>
        <w:t>Maes</w:t>
      </w:r>
      <w:r w:rsidR="00D31BD9" w:rsidRPr="00995094">
        <w:rPr>
          <w:rStyle w:val="citation"/>
          <w:rFonts w:asciiTheme="minorHAnsi" w:hAnsiTheme="minorHAnsi" w:cstheme="minorHAnsi"/>
          <w:sz w:val="24"/>
          <w:szCs w:val="24"/>
        </w:rPr>
        <w:t xml:space="preserve">, </w:t>
      </w:r>
      <w:r w:rsidR="00D31BD9" w:rsidRPr="00995094">
        <w:rPr>
          <w:rStyle w:val="citation"/>
          <w:rFonts w:asciiTheme="minorHAnsi" w:hAnsiTheme="minorHAnsi" w:cstheme="minorHAnsi"/>
          <w:sz w:val="24"/>
          <w:szCs w:val="24"/>
          <w:lang w:val="en-US"/>
        </w:rPr>
        <w:t>Jacobs</w:t>
      </w:r>
      <w:r w:rsidR="00D31BD9" w:rsidRPr="00995094">
        <w:rPr>
          <w:rStyle w:val="citation"/>
          <w:rFonts w:asciiTheme="minorHAnsi" w:hAnsiTheme="minorHAnsi" w:cstheme="minorHAnsi"/>
          <w:sz w:val="24"/>
          <w:szCs w:val="24"/>
        </w:rPr>
        <w:t xml:space="preserve">, </w:t>
      </w:r>
      <w:r w:rsidR="00D31BD9" w:rsidRPr="00995094">
        <w:rPr>
          <w:rStyle w:val="citation"/>
          <w:rFonts w:asciiTheme="minorHAnsi" w:hAnsiTheme="minorHAnsi" w:cstheme="minorHAnsi"/>
          <w:sz w:val="24"/>
          <w:szCs w:val="24"/>
          <w:lang w:val="en-US"/>
        </w:rPr>
        <w:t>Reyntjen</w:t>
      </w:r>
      <w:r w:rsidR="00D75F89" w:rsidRPr="00995094">
        <w:rPr>
          <w:rStyle w:val="citation"/>
          <w:rFonts w:asciiTheme="minorHAnsi" w:hAnsiTheme="minorHAnsi" w:cstheme="minorHAnsi"/>
          <w:sz w:val="24"/>
          <w:szCs w:val="24"/>
        </w:rPr>
        <w:t xml:space="preserve"> &amp; </w:t>
      </w:r>
      <w:r w:rsidR="00D31BD9" w:rsidRPr="00995094">
        <w:rPr>
          <w:rStyle w:val="citation"/>
          <w:rFonts w:asciiTheme="minorHAnsi" w:hAnsiTheme="minorHAnsi" w:cstheme="minorHAnsi"/>
          <w:sz w:val="24"/>
          <w:szCs w:val="24"/>
          <w:lang w:val="en-US"/>
        </w:rPr>
        <w:t>Evers</w:t>
      </w:r>
      <w:r w:rsidR="00D31BD9" w:rsidRPr="00995094">
        <w:rPr>
          <w:sz w:val="24"/>
          <w:szCs w:val="24"/>
        </w:rPr>
        <w:t xml:space="preserve">, </w:t>
      </w:r>
      <w:r w:rsidR="00376173" w:rsidRPr="00995094">
        <w:rPr>
          <w:sz w:val="24"/>
          <w:szCs w:val="24"/>
        </w:rPr>
        <w:t>2001</w:t>
      </w:r>
      <w:r w:rsidR="00376173" w:rsidRPr="00995094">
        <w:rPr>
          <w:color w:val="000000"/>
          <w:sz w:val="24"/>
          <w:szCs w:val="24"/>
          <w:shd w:val="clear" w:color="auto" w:fill="FFFFFF"/>
        </w:rPr>
        <w:t>).</w:t>
      </w:r>
    </w:p>
    <w:p w:rsidR="00376173" w:rsidRPr="005A464E" w:rsidRDefault="00FB72D4" w:rsidP="00851042">
      <w:pPr>
        <w:spacing w:after="0" w:line="360" w:lineRule="auto"/>
        <w:jc w:val="both"/>
        <w:rPr>
          <w:rFonts w:cstheme="minorHAnsi"/>
          <w:b/>
          <w:color w:val="000000"/>
          <w:sz w:val="24"/>
          <w:szCs w:val="24"/>
          <w:shd w:val="clear" w:color="auto" w:fill="FFFFFF"/>
          <w:lang w:val="en-US"/>
        </w:rPr>
      </w:pPr>
      <w:r w:rsidRPr="005A464E">
        <w:rPr>
          <w:rFonts w:cstheme="minorHAnsi"/>
          <w:b/>
          <w:color w:val="000000"/>
          <w:sz w:val="24"/>
          <w:szCs w:val="24"/>
          <w:shd w:val="clear" w:color="auto" w:fill="FFFFFF"/>
        </w:rPr>
        <w:t>Η</w:t>
      </w:r>
      <w:r w:rsidR="0078495A">
        <w:rPr>
          <w:rFonts w:cstheme="minorHAnsi"/>
          <w:b/>
          <w:color w:val="000000"/>
          <w:sz w:val="24"/>
          <w:szCs w:val="24"/>
          <w:shd w:val="clear" w:color="auto" w:fill="FFFFFF"/>
          <w:lang w:val="en-US"/>
        </w:rPr>
        <w:t xml:space="preserve"> </w:t>
      </w:r>
      <w:r w:rsidRPr="005A464E">
        <w:rPr>
          <w:rFonts w:cstheme="minorHAnsi"/>
          <w:b/>
          <w:color w:val="000000"/>
          <w:sz w:val="24"/>
          <w:szCs w:val="24"/>
          <w:shd w:val="clear" w:color="auto" w:fill="FFFFFF"/>
        </w:rPr>
        <w:t>κλίμακα</w:t>
      </w:r>
      <w:r w:rsidR="0078495A">
        <w:rPr>
          <w:rFonts w:cstheme="minorHAnsi"/>
          <w:b/>
          <w:color w:val="000000"/>
          <w:sz w:val="24"/>
          <w:szCs w:val="24"/>
          <w:shd w:val="clear" w:color="auto" w:fill="FFFFFF"/>
          <w:lang w:val="en-US"/>
        </w:rPr>
        <w:t xml:space="preserve"> </w:t>
      </w:r>
      <w:r w:rsidR="00E71E60" w:rsidRPr="005A464E">
        <w:rPr>
          <w:rFonts w:cstheme="minorHAnsi"/>
          <w:b/>
          <w:color w:val="000000"/>
          <w:sz w:val="24"/>
          <w:szCs w:val="24"/>
          <w:shd w:val="clear" w:color="auto" w:fill="FFFFFF"/>
          <w:lang w:val="en-US"/>
        </w:rPr>
        <w:t>Renal Adherence Attitudes Questionnaire (RAAQ)</w:t>
      </w:r>
    </w:p>
    <w:p w:rsidR="00E71E60" w:rsidRDefault="00376173" w:rsidP="000143B4">
      <w:pPr>
        <w:spacing w:line="360" w:lineRule="auto"/>
        <w:jc w:val="both"/>
        <w:rPr>
          <w:rFonts w:cstheme="minorHAnsi"/>
          <w:color w:val="000000"/>
          <w:sz w:val="24"/>
          <w:szCs w:val="24"/>
          <w:shd w:val="clear" w:color="auto" w:fill="FFFFFF"/>
        </w:rPr>
      </w:pPr>
      <w:r w:rsidRPr="005A464E">
        <w:rPr>
          <w:rFonts w:cstheme="minorHAnsi"/>
          <w:color w:val="000000"/>
          <w:sz w:val="24"/>
          <w:szCs w:val="24"/>
          <w:shd w:val="clear" w:color="auto" w:fill="FFFFFF"/>
        </w:rPr>
        <w:t>Α</w:t>
      </w:r>
      <w:r w:rsidR="00FB72D4" w:rsidRPr="005A464E">
        <w:rPr>
          <w:rFonts w:cstheme="minorHAnsi"/>
          <w:color w:val="000000"/>
          <w:sz w:val="24"/>
          <w:szCs w:val="24"/>
          <w:shd w:val="clear" w:color="auto" w:fill="FFFFFF"/>
        </w:rPr>
        <w:t>ποτελείται από 26 ερωτήσεις και μελετά τις απόψεις για τη συμμόρφωση ενώ η κλίμακα</w:t>
      </w:r>
      <w:r w:rsidR="00E71E60" w:rsidRPr="005A464E">
        <w:rPr>
          <w:rFonts w:cstheme="minorHAnsi"/>
          <w:color w:val="000000"/>
          <w:sz w:val="24"/>
          <w:szCs w:val="24"/>
          <w:shd w:val="clear" w:color="auto" w:fill="FFFFFF"/>
        </w:rPr>
        <w:t xml:space="preserve"> </w:t>
      </w:r>
      <w:r w:rsidR="00E71E60" w:rsidRPr="005A464E">
        <w:rPr>
          <w:rFonts w:cstheme="minorHAnsi"/>
          <w:color w:val="000000"/>
          <w:sz w:val="24"/>
          <w:szCs w:val="24"/>
          <w:shd w:val="clear" w:color="auto" w:fill="FFFFFF"/>
          <w:lang w:val="en-US"/>
        </w:rPr>
        <w:t>Renal</w:t>
      </w:r>
      <w:r w:rsidR="00E71E60" w:rsidRPr="005A464E">
        <w:rPr>
          <w:rFonts w:cstheme="minorHAnsi"/>
          <w:color w:val="000000"/>
          <w:sz w:val="24"/>
          <w:szCs w:val="24"/>
          <w:shd w:val="clear" w:color="auto" w:fill="FFFFFF"/>
        </w:rPr>
        <w:t xml:space="preserve"> </w:t>
      </w:r>
      <w:r w:rsidR="00E71E60" w:rsidRPr="005A464E">
        <w:rPr>
          <w:rFonts w:cstheme="minorHAnsi"/>
          <w:color w:val="000000"/>
          <w:sz w:val="24"/>
          <w:szCs w:val="24"/>
          <w:shd w:val="clear" w:color="auto" w:fill="FFFFFF"/>
          <w:lang w:val="en-US"/>
        </w:rPr>
        <w:t>Adherence</w:t>
      </w:r>
      <w:r w:rsidR="00E71E60" w:rsidRPr="005A464E">
        <w:rPr>
          <w:rFonts w:cstheme="minorHAnsi"/>
          <w:color w:val="000000"/>
          <w:sz w:val="24"/>
          <w:szCs w:val="24"/>
          <w:shd w:val="clear" w:color="auto" w:fill="FFFFFF"/>
        </w:rPr>
        <w:t xml:space="preserve"> </w:t>
      </w:r>
      <w:r w:rsidR="00E71E60" w:rsidRPr="005A464E">
        <w:rPr>
          <w:rFonts w:cstheme="minorHAnsi"/>
          <w:color w:val="000000"/>
          <w:sz w:val="24"/>
          <w:szCs w:val="24"/>
          <w:shd w:val="clear" w:color="auto" w:fill="FFFFFF"/>
          <w:lang w:val="en-US"/>
        </w:rPr>
        <w:t>Behaviour</w:t>
      </w:r>
      <w:r w:rsidR="00E71E60" w:rsidRPr="005A464E">
        <w:rPr>
          <w:rFonts w:cstheme="minorHAnsi"/>
          <w:color w:val="000000"/>
          <w:sz w:val="24"/>
          <w:szCs w:val="24"/>
          <w:shd w:val="clear" w:color="auto" w:fill="FFFFFF"/>
        </w:rPr>
        <w:t xml:space="preserve"> </w:t>
      </w:r>
      <w:r w:rsidR="00E71E60" w:rsidRPr="005A464E">
        <w:rPr>
          <w:rFonts w:cstheme="minorHAnsi"/>
          <w:color w:val="000000"/>
          <w:sz w:val="24"/>
          <w:szCs w:val="24"/>
          <w:shd w:val="clear" w:color="auto" w:fill="FFFFFF"/>
          <w:lang w:val="en-US"/>
        </w:rPr>
        <w:t>Questionnaire</w:t>
      </w:r>
      <w:r w:rsidR="00E71E60" w:rsidRPr="005A464E">
        <w:rPr>
          <w:rFonts w:cstheme="minorHAnsi"/>
          <w:color w:val="000000"/>
          <w:sz w:val="24"/>
          <w:szCs w:val="24"/>
          <w:shd w:val="clear" w:color="auto" w:fill="FFFFFF"/>
        </w:rPr>
        <w:t xml:space="preserve"> (</w:t>
      </w:r>
      <w:r w:rsidR="00E71E60" w:rsidRPr="005A464E">
        <w:rPr>
          <w:rFonts w:cstheme="minorHAnsi"/>
          <w:color w:val="000000"/>
          <w:sz w:val="24"/>
          <w:szCs w:val="24"/>
          <w:shd w:val="clear" w:color="auto" w:fill="FFFFFF"/>
          <w:lang w:val="en-US"/>
        </w:rPr>
        <w:t>RABQ</w:t>
      </w:r>
      <w:r w:rsidR="00E71E60" w:rsidRPr="005A464E">
        <w:rPr>
          <w:rFonts w:cstheme="minorHAnsi"/>
          <w:color w:val="000000"/>
          <w:sz w:val="24"/>
          <w:szCs w:val="24"/>
          <w:shd w:val="clear" w:color="auto" w:fill="FFFFFF"/>
        </w:rPr>
        <w:t>),</w:t>
      </w:r>
      <w:r w:rsidR="00B04F87" w:rsidRPr="005A464E">
        <w:rPr>
          <w:rFonts w:cstheme="minorHAnsi"/>
          <w:color w:val="000000"/>
          <w:sz w:val="24"/>
          <w:szCs w:val="24"/>
          <w:shd w:val="clear" w:color="auto" w:fill="FFFFFF"/>
        </w:rPr>
        <w:t xml:space="preserve"> αποτελείται από 25 ερωτήσεις</w:t>
      </w:r>
      <w:r w:rsidR="00E71E60" w:rsidRPr="005A464E">
        <w:rPr>
          <w:rFonts w:cstheme="minorHAnsi"/>
          <w:color w:val="000000"/>
          <w:sz w:val="24"/>
          <w:szCs w:val="24"/>
          <w:shd w:val="clear" w:color="auto" w:fill="FFFFFF"/>
        </w:rPr>
        <w:t xml:space="preserve"> </w:t>
      </w:r>
      <w:r w:rsidR="00B04F87" w:rsidRPr="005A464E">
        <w:rPr>
          <w:rFonts w:cstheme="minorHAnsi"/>
          <w:color w:val="000000"/>
          <w:sz w:val="24"/>
          <w:szCs w:val="24"/>
          <w:shd w:val="clear" w:color="auto" w:fill="FFFFFF"/>
        </w:rPr>
        <w:t xml:space="preserve">που μελετούν την αυτοαναφερόμενη συμμόρφωση στη διαιτητική αγωγή και τον περιορισμό στα υγρά </w:t>
      </w:r>
      <w:r w:rsidRPr="005A464E">
        <w:rPr>
          <w:rFonts w:cstheme="minorHAnsi"/>
          <w:color w:val="000000"/>
          <w:sz w:val="24"/>
          <w:szCs w:val="24"/>
          <w:shd w:val="clear" w:color="auto" w:fill="FFFFFF"/>
        </w:rPr>
        <w:t>(</w:t>
      </w:r>
      <w:r w:rsidRPr="005A464E">
        <w:rPr>
          <w:rFonts w:cstheme="minorHAnsi"/>
          <w:color w:val="000000"/>
          <w:sz w:val="24"/>
          <w:szCs w:val="24"/>
          <w:shd w:val="clear" w:color="auto" w:fill="FFFFFF"/>
          <w:lang w:val="en-US"/>
        </w:rPr>
        <w:t>Rushe</w:t>
      </w:r>
      <w:r w:rsidRPr="005A464E">
        <w:rPr>
          <w:rFonts w:cstheme="minorHAnsi"/>
          <w:color w:val="000000"/>
          <w:sz w:val="24"/>
          <w:szCs w:val="24"/>
          <w:shd w:val="clear" w:color="auto" w:fill="FFFFFF"/>
        </w:rPr>
        <w:t xml:space="preserve"> &amp; McGee</w:t>
      </w:r>
      <w:r w:rsidR="00AB454B">
        <w:rPr>
          <w:rFonts w:cstheme="minorHAnsi"/>
          <w:color w:val="000000"/>
          <w:sz w:val="24"/>
          <w:szCs w:val="24"/>
          <w:shd w:val="clear" w:color="auto" w:fill="FFFFFF"/>
        </w:rPr>
        <w:t>,</w:t>
      </w:r>
      <w:r w:rsidRPr="005A464E">
        <w:rPr>
          <w:rFonts w:cstheme="minorHAnsi"/>
          <w:color w:val="000000"/>
          <w:sz w:val="24"/>
          <w:szCs w:val="24"/>
          <w:shd w:val="clear" w:color="auto" w:fill="FFFFFF"/>
        </w:rPr>
        <w:t xml:space="preserve"> 1998).</w:t>
      </w:r>
    </w:p>
    <w:p w:rsidR="00252A5D" w:rsidRDefault="00252A5D" w:rsidP="000143B4">
      <w:pPr>
        <w:spacing w:line="360" w:lineRule="auto"/>
        <w:jc w:val="both"/>
        <w:rPr>
          <w:rFonts w:cstheme="minorHAnsi"/>
          <w:color w:val="000000"/>
          <w:sz w:val="24"/>
          <w:szCs w:val="24"/>
          <w:shd w:val="clear" w:color="auto" w:fill="FFFFFF"/>
        </w:rPr>
      </w:pPr>
    </w:p>
    <w:p w:rsidR="00252A5D" w:rsidRDefault="00252A5D" w:rsidP="000143B4">
      <w:pPr>
        <w:spacing w:line="360" w:lineRule="auto"/>
        <w:jc w:val="both"/>
        <w:rPr>
          <w:rFonts w:cstheme="minorHAnsi"/>
          <w:b/>
          <w:color w:val="000000"/>
          <w:sz w:val="24"/>
          <w:szCs w:val="24"/>
          <w:shd w:val="clear" w:color="auto" w:fill="FFFFFF"/>
        </w:rPr>
      </w:pPr>
    </w:p>
    <w:p w:rsidR="00F737D0" w:rsidRDefault="00F737D0" w:rsidP="000143B4">
      <w:pPr>
        <w:spacing w:line="360" w:lineRule="auto"/>
        <w:jc w:val="both"/>
        <w:rPr>
          <w:rFonts w:cstheme="minorHAnsi"/>
          <w:b/>
          <w:color w:val="000000"/>
          <w:sz w:val="24"/>
          <w:szCs w:val="24"/>
          <w:shd w:val="clear" w:color="auto" w:fill="FFFFFF"/>
        </w:rPr>
      </w:pPr>
    </w:p>
    <w:p w:rsidR="00F737D0" w:rsidRDefault="00F737D0" w:rsidP="000143B4">
      <w:pPr>
        <w:spacing w:line="360" w:lineRule="auto"/>
        <w:jc w:val="both"/>
        <w:rPr>
          <w:rFonts w:cstheme="minorHAnsi"/>
          <w:b/>
          <w:color w:val="000000"/>
          <w:sz w:val="24"/>
          <w:szCs w:val="24"/>
          <w:shd w:val="clear" w:color="auto" w:fill="FFFFFF"/>
        </w:rPr>
      </w:pPr>
    </w:p>
    <w:p w:rsidR="00F737D0" w:rsidRDefault="00F737D0" w:rsidP="000143B4">
      <w:pPr>
        <w:spacing w:line="360" w:lineRule="auto"/>
        <w:jc w:val="both"/>
        <w:rPr>
          <w:rFonts w:cstheme="minorHAnsi"/>
          <w:b/>
          <w:color w:val="000000"/>
          <w:sz w:val="24"/>
          <w:szCs w:val="24"/>
          <w:shd w:val="clear" w:color="auto" w:fill="FFFFFF"/>
        </w:rPr>
      </w:pPr>
    </w:p>
    <w:p w:rsidR="00F737D0" w:rsidRDefault="00F737D0" w:rsidP="000143B4">
      <w:pPr>
        <w:spacing w:line="360" w:lineRule="auto"/>
        <w:jc w:val="both"/>
        <w:rPr>
          <w:rFonts w:cstheme="minorHAnsi"/>
          <w:b/>
          <w:color w:val="000000"/>
          <w:sz w:val="24"/>
          <w:szCs w:val="24"/>
          <w:shd w:val="clear" w:color="auto" w:fill="FFFFFF"/>
        </w:rPr>
      </w:pPr>
    </w:p>
    <w:p w:rsidR="00F737D0" w:rsidRDefault="00F737D0" w:rsidP="000143B4">
      <w:pPr>
        <w:spacing w:line="360" w:lineRule="auto"/>
        <w:jc w:val="both"/>
        <w:rPr>
          <w:rFonts w:cstheme="minorHAnsi"/>
          <w:b/>
          <w:color w:val="000000"/>
          <w:sz w:val="24"/>
          <w:szCs w:val="24"/>
          <w:shd w:val="clear" w:color="auto" w:fill="FFFFFF"/>
        </w:rPr>
      </w:pPr>
    </w:p>
    <w:p w:rsidR="00F737D0" w:rsidRDefault="00F737D0" w:rsidP="000143B4">
      <w:pPr>
        <w:spacing w:line="360" w:lineRule="auto"/>
        <w:jc w:val="both"/>
        <w:rPr>
          <w:rFonts w:cstheme="minorHAnsi"/>
          <w:b/>
          <w:color w:val="000000"/>
          <w:sz w:val="24"/>
          <w:szCs w:val="24"/>
          <w:shd w:val="clear" w:color="auto" w:fill="FFFFFF"/>
        </w:rPr>
      </w:pPr>
    </w:p>
    <w:p w:rsidR="00F737D0" w:rsidRDefault="00F737D0" w:rsidP="000143B4">
      <w:pPr>
        <w:spacing w:line="360" w:lineRule="auto"/>
        <w:jc w:val="both"/>
        <w:rPr>
          <w:rFonts w:cstheme="minorHAnsi"/>
          <w:b/>
          <w:color w:val="000000"/>
          <w:sz w:val="24"/>
          <w:szCs w:val="24"/>
          <w:shd w:val="clear" w:color="auto" w:fill="FFFFFF"/>
        </w:rPr>
      </w:pPr>
    </w:p>
    <w:p w:rsidR="00F737D0" w:rsidRDefault="00F737D0" w:rsidP="000143B4">
      <w:pPr>
        <w:spacing w:line="360" w:lineRule="auto"/>
        <w:jc w:val="both"/>
        <w:rPr>
          <w:rFonts w:cstheme="minorHAnsi"/>
          <w:b/>
          <w:color w:val="000000"/>
          <w:sz w:val="24"/>
          <w:szCs w:val="24"/>
          <w:shd w:val="clear" w:color="auto" w:fill="FFFFFF"/>
        </w:rPr>
      </w:pPr>
    </w:p>
    <w:p w:rsidR="00995094" w:rsidRDefault="00995094" w:rsidP="000143B4">
      <w:pPr>
        <w:spacing w:line="360" w:lineRule="auto"/>
        <w:jc w:val="both"/>
        <w:rPr>
          <w:rFonts w:cstheme="minorHAnsi"/>
          <w:b/>
          <w:color w:val="000000"/>
          <w:sz w:val="24"/>
          <w:szCs w:val="24"/>
          <w:shd w:val="clear" w:color="auto" w:fill="FFFFFF"/>
        </w:rPr>
      </w:pPr>
    </w:p>
    <w:p w:rsidR="00995094" w:rsidRDefault="00995094" w:rsidP="000143B4">
      <w:pPr>
        <w:spacing w:line="360" w:lineRule="auto"/>
        <w:jc w:val="both"/>
        <w:rPr>
          <w:rFonts w:cstheme="minorHAnsi"/>
          <w:b/>
          <w:color w:val="000000"/>
          <w:sz w:val="24"/>
          <w:szCs w:val="24"/>
          <w:shd w:val="clear" w:color="auto" w:fill="FFFFFF"/>
        </w:rPr>
      </w:pPr>
    </w:p>
    <w:p w:rsidR="00995094" w:rsidRDefault="00995094" w:rsidP="000143B4">
      <w:pPr>
        <w:spacing w:line="360" w:lineRule="auto"/>
        <w:jc w:val="both"/>
        <w:rPr>
          <w:rFonts w:cstheme="minorHAnsi"/>
          <w:b/>
          <w:color w:val="000000"/>
          <w:sz w:val="24"/>
          <w:szCs w:val="24"/>
          <w:shd w:val="clear" w:color="auto" w:fill="FFFFFF"/>
        </w:rPr>
      </w:pPr>
    </w:p>
    <w:p w:rsidR="00995094" w:rsidRDefault="00995094" w:rsidP="000143B4">
      <w:pPr>
        <w:spacing w:line="360" w:lineRule="auto"/>
        <w:jc w:val="both"/>
        <w:rPr>
          <w:rFonts w:cstheme="minorHAnsi"/>
          <w:b/>
          <w:color w:val="000000"/>
          <w:sz w:val="24"/>
          <w:szCs w:val="24"/>
          <w:shd w:val="clear" w:color="auto" w:fill="FFFFFF"/>
        </w:rPr>
      </w:pPr>
    </w:p>
    <w:p w:rsidR="00995094" w:rsidRDefault="00995094" w:rsidP="000143B4">
      <w:pPr>
        <w:spacing w:line="360" w:lineRule="auto"/>
        <w:jc w:val="both"/>
        <w:rPr>
          <w:rFonts w:cstheme="minorHAnsi"/>
          <w:b/>
          <w:color w:val="000000"/>
          <w:sz w:val="24"/>
          <w:szCs w:val="24"/>
          <w:shd w:val="clear" w:color="auto" w:fill="FFFFFF"/>
        </w:rPr>
      </w:pPr>
    </w:p>
    <w:p w:rsidR="00F737D0" w:rsidRPr="00872FD2" w:rsidRDefault="00F737D0" w:rsidP="000143B4">
      <w:pPr>
        <w:spacing w:line="360" w:lineRule="auto"/>
        <w:jc w:val="both"/>
        <w:rPr>
          <w:rFonts w:cstheme="minorHAnsi"/>
          <w:b/>
          <w:color w:val="000000"/>
          <w:sz w:val="24"/>
          <w:szCs w:val="24"/>
          <w:shd w:val="clear" w:color="auto" w:fill="FFFFFF"/>
        </w:rPr>
      </w:pPr>
    </w:p>
    <w:p w:rsidR="00A14A46" w:rsidRPr="00DB6A65" w:rsidRDefault="00207C6D" w:rsidP="00DB6A65">
      <w:pPr>
        <w:pStyle w:val="1a"/>
        <w:spacing w:after="240"/>
        <w:rPr>
          <w:rFonts w:asciiTheme="minorHAnsi" w:hAnsiTheme="minorHAnsi" w:cstheme="minorHAnsi"/>
        </w:rPr>
      </w:pPr>
      <w:bookmarkStart w:id="54" w:name="_Toc495951450"/>
      <w:r>
        <w:rPr>
          <w:rFonts w:asciiTheme="minorHAnsi" w:hAnsiTheme="minorHAnsi" w:cstheme="minorHAnsi"/>
        </w:rPr>
        <w:t>4</w:t>
      </w:r>
      <w:r>
        <w:rPr>
          <w:rFonts w:asciiTheme="minorHAnsi" w:hAnsiTheme="minorHAnsi" w:cstheme="minorHAnsi"/>
          <w:vertAlign w:val="superscript"/>
        </w:rPr>
        <w:t xml:space="preserve">ο </w:t>
      </w:r>
      <w:r>
        <w:rPr>
          <w:rFonts w:asciiTheme="minorHAnsi" w:hAnsiTheme="minorHAnsi" w:cstheme="minorHAnsi"/>
        </w:rPr>
        <w:t xml:space="preserve">ΚΕΦΑΛΑΙΟ: </w:t>
      </w:r>
      <w:r w:rsidR="00E029B6" w:rsidRPr="006B1A9F">
        <w:rPr>
          <w:rFonts w:asciiTheme="minorHAnsi" w:hAnsiTheme="minorHAnsi" w:cstheme="minorHAnsi"/>
        </w:rPr>
        <w:t>ΠΟΙΟΤΗΤΑ</w:t>
      </w:r>
      <w:r w:rsidR="005A363E" w:rsidRPr="006B1A9F">
        <w:rPr>
          <w:rFonts w:asciiTheme="minorHAnsi" w:hAnsiTheme="minorHAnsi" w:cstheme="minorHAnsi"/>
        </w:rPr>
        <w:t xml:space="preserve"> </w:t>
      </w:r>
      <w:r w:rsidR="00E029B6" w:rsidRPr="006B1A9F">
        <w:rPr>
          <w:rFonts w:asciiTheme="minorHAnsi" w:hAnsiTheme="minorHAnsi" w:cstheme="minorHAnsi"/>
        </w:rPr>
        <w:t>ΖΩΗΣ</w:t>
      </w:r>
      <w:bookmarkEnd w:id="54"/>
    </w:p>
    <w:p w:rsidR="00A14A46" w:rsidRPr="005A464E" w:rsidRDefault="007B154F" w:rsidP="005A464E">
      <w:pPr>
        <w:spacing w:line="360" w:lineRule="auto"/>
        <w:jc w:val="both"/>
        <w:rPr>
          <w:sz w:val="24"/>
          <w:szCs w:val="24"/>
        </w:rPr>
      </w:pPr>
      <w:r w:rsidRPr="005A464E">
        <w:rPr>
          <w:sz w:val="24"/>
          <w:szCs w:val="24"/>
        </w:rPr>
        <w:t xml:space="preserve">Η </w:t>
      </w:r>
      <w:r w:rsidR="00A14A46" w:rsidRPr="005A464E">
        <w:rPr>
          <w:sz w:val="24"/>
          <w:szCs w:val="24"/>
        </w:rPr>
        <w:t>Ποιότητα ζωής (ΠΖ</w:t>
      </w:r>
      <w:r w:rsidR="00A14A46" w:rsidRPr="00426378">
        <w:rPr>
          <w:sz w:val="24"/>
          <w:szCs w:val="24"/>
        </w:rPr>
        <w:t xml:space="preserve">) είναι μια σημαντική παράμετρος που πρέπει να ληφθεί υπόψη κατά την αξιολόγηση της εμπειρίας και την </w:t>
      </w:r>
      <w:r w:rsidR="0048163E" w:rsidRPr="00426378">
        <w:rPr>
          <w:sz w:val="24"/>
          <w:szCs w:val="24"/>
        </w:rPr>
        <w:t xml:space="preserve">έκβαση </w:t>
      </w:r>
      <w:r w:rsidR="00B0560D" w:rsidRPr="00426378">
        <w:rPr>
          <w:sz w:val="24"/>
          <w:szCs w:val="24"/>
        </w:rPr>
        <w:t>του ασθενούς</w:t>
      </w:r>
      <w:r w:rsidR="0048163E" w:rsidRPr="00426378">
        <w:rPr>
          <w:sz w:val="24"/>
          <w:szCs w:val="24"/>
        </w:rPr>
        <w:t xml:space="preserve"> που λαμβάνει</w:t>
      </w:r>
      <w:r w:rsidR="00A14A46" w:rsidRPr="00426378">
        <w:rPr>
          <w:sz w:val="24"/>
          <w:szCs w:val="24"/>
        </w:rPr>
        <w:t xml:space="preserve"> υγειονομική</w:t>
      </w:r>
      <w:r w:rsidR="009E3FA8" w:rsidRPr="00426378">
        <w:rPr>
          <w:sz w:val="24"/>
          <w:szCs w:val="24"/>
        </w:rPr>
        <w:t xml:space="preserve"> φροντίδα</w:t>
      </w:r>
      <w:r w:rsidR="00A14A46" w:rsidRPr="00426378">
        <w:rPr>
          <w:sz w:val="24"/>
          <w:szCs w:val="24"/>
        </w:rPr>
        <w:t xml:space="preserve">. Αυτό συμβαίνει ιδιαίτερα </w:t>
      </w:r>
      <w:r w:rsidR="0048163E" w:rsidRPr="00426378">
        <w:rPr>
          <w:sz w:val="24"/>
          <w:szCs w:val="24"/>
        </w:rPr>
        <w:t xml:space="preserve">για τους </w:t>
      </w:r>
      <w:r w:rsidR="00293FEE" w:rsidRPr="00426378">
        <w:rPr>
          <w:sz w:val="24"/>
          <w:szCs w:val="24"/>
        </w:rPr>
        <w:t>ασθενείς</w:t>
      </w:r>
      <w:r w:rsidRPr="00426378">
        <w:rPr>
          <w:sz w:val="24"/>
          <w:szCs w:val="24"/>
        </w:rPr>
        <w:t xml:space="preserve"> με μακροχρόνιες</w:t>
      </w:r>
      <w:r w:rsidR="00A14A46" w:rsidRPr="00426378">
        <w:rPr>
          <w:sz w:val="24"/>
          <w:szCs w:val="24"/>
        </w:rPr>
        <w:t xml:space="preserve"> ασθέ</w:t>
      </w:r>
      <w:r w:rsidR="00293FEE" w:rsidRPr="00426378">
        <w:rPr>
          <w:sz w:val="24"/>
          <w:szCs w:val="24"/>
        </w:rPr>
        <w:t>νειες</w:t>
      </w:r>
      <w:r w:rsidR="008032BE" w:rsidRPr="00426378">
        <w:rPr>
          <w:sz w:val="24"/>
          <w:szCs w:val="24"/>
        </w:rPr>
        <w:t xml:space="preserve"> (Macduff</w:t>
      </w:r>
      <w:r w:rsidR="002A10EB" w:rsidRPr="00426378">
        <w:rPr>
          <w:sz w:val="24"/>
          <w:szCs w:val="24"/>
        </w:rPr>
        <w:t>,</w:t>
      </w:r>
      <w:r w:rsidRPr="00426378">
        <w:rPr>
          <w:sz w:val="24"/>
          <w:szCs w:val="24"/>
        </w:rPr>
        <w:t xml:space="preserve"> 2000). </w:t>
      </w:r>
      <w:r w:rsidR="00A14A46" w:rsidRPr="00426378">
        <w:rPr>
          <w:sz w:val="24"/>
          <w:szCs w:val="24"/>
        </w:rPr>
        <w:t>Εκτός από τη</w:t>
      </w:r>
      <w:r w:rsidRPr="00426378">
        <w:rPr>
          <w:sz w:val="24"/>
          <w:szCs w:val="24"/>
        </w:rPr>
        <w:t xml:space="preserve"> θνησιμότητα και νοσηρότητα που αποτελούν </w:t>
      </w:r>
      <w:r w:rsidR="00344A59" w:rsidRPr="00426378">
        <w:rPr>
          <w:sz w:val="24"/>
          <w:szCs w:val="24"/>
        </w:rPr>
        <w:t>βασικούς</w:t>
      </w:r>
      <w:r w:rsidRPr="00426378">
        <w:rPr>
          <w:sz w:val="24"/>
          <w:szCs w:val="24"/>
        </w:rPr>
        <w:t xml:space="preserve"> δείκτες</w:t>
      </w:r>
      <w:r w:rsidR="00A14A46" w:rsidRPr="00426378">
        <w:rPr>
          <w:sz w:val="24"/>
          <w:szCs w:val="24"/>
        </w:rPr>
        <w:t xml:space="preserve">, </w:t>
      </w:r>
      <w:r w:rsidRPr="00426378">
        <w:rPr>
          <w:sz w:val="24"/>
          <w:szCs w:val="24"/>
        </w:rPr>
        <w:t xml:space="preserve">η </w:t>
      </w:r>
      <w:r w:rsidR="00A14A46" w:rsidRPr="00426378">
        <w:rPr>
          <w:sz w:val="24"/>
          <w:szCs w:val="24"/>
        </w:rPr>
        <w:t>ποιότητα ζωής έχει αναγνωριστεί ως σημαντικός παράγοντας για την αξιολόγηση της ποιότητας και των αποτελεσμ</w:t>
      </w:r>
      <w:r w:rsidR="009E3FA8" w:rsidRPr="00426378">
        <w:rPr>
          <w:sz w:val="24"/>
          <w:szCs w:val="24"/>
        </w:rPr>
        <w:t>άτων της υγειονομικής φροντίδας</w:t>
      </w:r>
      <w:r w:rsidR="0048163E" w:rsidRPr="00426378">
        <w:rPr>
          <w:sz w:val="24"/>
          <w:szCs w:val="24"/>
        </w:rPr>
        <w:t xml:space="preserve"> για τους ασ</w:t>
      </w:r>
      <w:r w:rsidR="00293FEE" w:rsidRPr="00426378">
        <w:rPr>
          <w:sz w:val="24"/>
          <w:szCs w:val="24"/>
        </w:rPr>
        <w:t>θενείς</w:t>
      </w:r>
      <w:r w:rsidR="00A14A46" w:rsidRPr="00426378">
        <w:rPr>
          <w:sz w:val="24"/>
          <w:szCs w:val="24"/>
        </w:rPr>
        <w:t xml:space="preserve"> με χρόνιες ασθένειες, όπως η σκλήρυνση κατά πλάκας, το άσθμα</w:t>
      </w:r>
      <w:r w:rsidRPr="00426378">
        <w:rPr>
          <w:sz w:val="24"/>
          <w:szCs w:val="24"/>
        </w:rPr>
        <w:t xml:space="preserve"> και η </w:t>
      </w:r>
      <w:r w:rsidR="000653D3" w:rsidRPr="00426378">
        <w:rPr>
          <w:sz w:val="24"/>
          <w:szCs w:val="24"/>
        </w:rPr>
        <w:t>ΧΝΝ</w:t>
      </w:r>
      <w:r w:rsidRPr="00426378">
        <w:rPr>
          <w:sz w:val="24"/>
          <w:szCs w:val="24"/>
        </w:rPr>
        <w:t xml:space="preserve">. Η αναγνώριση ότι οι επιπτώσεις της </w:t>
      </w:r>
      <w:r w:rsidR="000653D3" w:rsidRPr="00426378">
        <w:rPr>
          <w:sz w:val="24"/>
          <w:szCs w:val="24"/>
        </w:rPr>
        <w:t>ΧΝΝ</w:t>
      </w:r>
      <w:r w:rsidR="0039457E" w:rsidRPr="00426378">
        <w:rPr>
          <w:sz w:val="24"/>
          <w:szCs w:val="24"/>
        </w:rPr>
        <w:t xml:space="preserve"> </w:t>
      </w:r>
      <w:r w:rsidRPr="00426378">
        <w:rPr>
          <w:sz w:val="24"/>
          <w:szCs w:val="24"/>
        </w:rPr>
        <w:t>επεκτείνονται και πέρα από</w:t>
      </w:r>
      <w:r w:rsidR="002A10EB" w:rsidRPr="00426378">
        <w:rPr>
          <w:sz w:val="24"/>
          <w:szCs w:val="24"/>
        </w:rPr>
        <w:t xml:space="preserve"> </w:t>
      </w:r>
      <w:r w:rsidR="0048163E" w:rsidRPr="00426378">
        <w:rPr>
          <w:sz w:val="24"/>
          <w:szCs w:val="24"/>
        </w:rPr>
        <w:t xml:space="preserve">τις βιολογικές λειτουργίες </w:t>
      </w:r>
      <w:r w:rsidR="00B0560D" w:rsidRPr="00426378">
        <w:rPr>
          <w:sz w:val="24"/>
          <w:szCs w:val="24"/>
        </w:rPr>
        <w:t xml:space="preserve">του </w:t>
      </w:r>
      <w:r w:rsidR="00B0560D" w:rsidRPr="00995094">
        <w:rPr>
          <w:sz w:val="24"/>
          <w:szCs w:val="24"/>
        </w:rPr>
        <w:t>ασθενούς</w:t>
      </w:r>
      <w:r w:rsidR="002A10EB" w:rsidRPr="00995094">
        <w:rPr>
          <w:sz w:val="24"/>
          <w:szCs w:val="24"/>
        </w:rPr>
        <w:t>,</w:t>
      </w:r>
      <w:r w:rsidR="00A14A46" w:rsidRPr="00995094">
        <w:rPr>
          <w:sz w:val="24"/>
          <w:szCs w:val="24"/>
        </w:rPr>
        <w:t xml:space="preserve"> αντανακλάται</w:t>
      </w:r>
      <w:r w:rsidR="00A14A46" w:rsidRPr="005A464E">
        <w:rPr>
          <w:sz w:val="24"/>
          <w:szCs w:val="24"/>
        </w:rPr>
        <w:t xml:space="preserve"> σε πρωτοβουλίες από το</w:t>
      </w:r>
      <w:r w:rsidR="0091671C" w:rsidRPr="005A464E">
        <w:rPr>
          <w:sz w:val="24"/>
          <w:szCs w:val="24"/>
        </w:rPr>
        <w:t xml:space="preserve"> </w:t>
      </w:r>
      <w:r w:rsidR="0096306B">
        <w:rPr>
          <w:sz w:val="24"/>
          <w:szCs w:val="24"/>
          <w:lang w:val="en-US"/>
        </w:rPr>
        <w:t>NKF</w:t>
      </w:r>
      <w:r w:rsidR="0096306B" w:rsidRPr="0096306B">
        <w:rPr>
          <w:sz w:val="24"/>
          <w:szCs w:val="24"/>
        </w:rPr>
        <w:t>-</w:t>
      </w:r>
      <w:r w:rsidR="0096306B">
        <w:rPr>
          <w:sz w:val="24"/>
          <w:szCs w:val="24"/>
          <w:lang w:val="en-US"/>
        </w:rPr>
        <w:t>KDOQI</w:t>
      </w:r>
      <w:r w:rsidR="0091671C" w:rsidRPr="005A464E">
        <w:rPr>
          <w:sz w:val="24"/>
          <w:szCs w:val="24"/>
        </w:rPr>
        <w:t xml:space="preserve"> </w:t>
      </w:r>
      <w:r w:rsidR="0048163E">
        <w:rPr>
          <w:sz w:val="24"/>
          <w:szCs w:val="24"/>
        </w:rPr>
        <w:t>των Ηνωμένων</w:t>
      </w:r>
      <w:r w:rsidRPr="005A464E">
        <w:rPr>
          <w:sz w:val="24"/>
          <w:szCs w:val="24"/>
        </w:rPr>
        <w:t xml:space="preserve"> </w:t>
      </w:r>
      <w:r w:rsidR="00344A59" w:rsidRPr="005A464E">
        <w:rPr>
          <w:sz w:val="24"/>
          <w:szCs w:val="24"/>
        </w:rPr>
        <w:t>Πολιτειών</w:t>
      </w:r>
      <w:r w:rsidRPr="005A464E">
        <w:rPr>
          <w:sz w:val="24"/>
          <w:szCs w:val="24"/>
        </w:rPr>
        <w:t xml:space="preserve"> της Αμερικής (ΗΠΑ) </w:t>
      </w:r>
      <w:r w:rsidR="00344A59" w:rsidRPr="005A464E">
        <w:rPr>
          <w:sz w:val="24"/>
          <w:szCs w:val="24"/>
        </w:rPr>
        <w:t xml:space="preserve">για τη </w:t>
      </w:r>
      <w:r w:rsidR="00A14A46" w:rsidRPr="005A464E">
        <w:rPr>
          <w:sz w:val="24"/>
          <w:szCs w:val="24"/>
        </w:rPr>
        <w:t>βελτίωση της ποιότητα</w:t>
      </w:r>
      <w:r w:rsidR="00344A59" w:rsidRPr="005A464E">
        <w:rPr>
          <w:sz w:val="24"/>
          <w:szCs w:val="24"/>
        </w:rPr>
        <w:t>ς</w:t>
      </w:r>
      <w:r w:rsidR="00A14A46" w:rsidRPr="005A464E">
        <w:rPr>
          <w:sz w:val="24"/>
          <w:szCs w:val="24"/>
        </w:rPr>
        <w:t xml:space="preserve"> ζωής σ</w:t>
      </w:r>
      <w:r w:rsidR="00344A59" w:rsidRPr="005A464E">
        <w:rPr>
          <w:sz w:val="24"/>
          <w:szCs w:val="24"/>
        </w:rPr>
        <w:t>ε ασθενείς με νεφρική νό</w:t>
      </w:r>
      <w:r w:rsidR="0091671C" w:rsidRPr="005A464E">
        <w:rPr>
          <w:sz w:val="24"/>
          <w:szCs w:val="24"/>
        </w:rPr>
        <w:t>σ</w:t>
      </w:r>
      <w:r w:rsidR="00344A59" w:rsidRPr="005A464E">
        <w:rPr>
          <w:sz w:val="24"/>
          <w:szCs w:val="24"/>
        </w:rPr>
        <w:t>ο</w:t>
      </w:r>
      <w:r w:rsidR="00A14A46" w:rsidRPr="005A464E">
        <w:rPr>
          <w:sz w:val="24"/>
          <w:szCs w:val="24"/>
        </w:rPr>
        <w:t xml:space="preserve"> (</w:t>
      </w:r>
      <w:r w:rsidR="00E15AA2" w:rsidRPr="005A464E">
        <w:rPr>
          <w:sz w:val="24"/>
          <w:szCs w:val="24"/>
          <w:lang w:val="en-US"/>
        </w:rPr>
        <w:t>NKF</w:t>
      </w:r>
      <w:r w:rsidR="00E15AA2" w:rsidRPr="005A464E">
        <w:rPr>
          <w:sz w:val="24"/>
          <w:szCs w:val="24"/>
        </w:rPr>
        <w:t>/Κ</w:t>
      </w:r>
      <w:r w:rsidR="008032BE" w:rsidRPr="005A464E">
        <w:rPr>
          <w:sz w:val="24"/>
          <w:szCs w:val="24"/>
        </w:rPr>
        <w:t>DOQI</w:t>
      </w:r>
      <w:r w:rsidR="00880A22" w:rsidRPr="00880A22">
        <w:rPr>
          <w:sz w:val="24"/>
          <w:szCs w:val="24"/>
        </w:rPr>
        <w:t>,</w:t>
      </w:r>
      <w:r w:rsidR="00A14A46" w:rsidRPr="005A464E">
        <w:rPr>
          <w:sz w:val="24"/>
          <w:szCs w:val="24"/>
        </w:rPr>
        <w:t xml:space="preserve"> 2002).</w:t>
      </w:r>
    </w:p>
    <w:p w:rsidR="00F5754A" w:rsidRPr="006B1A9F" w:rsidRDefault="00E527AE" w:rsidP="0066526D">
      <w:pPr>
        <w:pStyle w:val="25"/>
        <w:numPr>
          <w:ilvl w:val="1"/>
          <w:numId w:val="109"/>
        </w:numPr>
        <w:spacing w:after="240"/>
      </w:pPr>
      <w:r>
        <w:t xml:space="preserve"> </w:t>
      </w:r>
      <w:bookmarkStart w:id="55" w:name="_Toc495951451"/>
      <w:r w:rsidR="00727D5D" w:rsidRPr="006B1A9F">
        <w:t>Η έννοια της ποιότητας ζωής</w:t>
      </w:r>
      <w:bookmarkEnd w:id="55"/>
    </w:p>
    <w:p w:rsidR="00F5754A" w:rsidRPr="005A464E" w:rsidRDefault="00F5754A" w:rsidP="005A464E">
      <w:pPr>
        <w:spacing w:line="360" w:lineRule="auto"/>
        <w:jc w:val="both"/>
        <w:rPr>
          <w:sz w:val="24"/>
          <w:szCs w:val="24"/>
        </w:rPr>
      </w:pPr>
      <w:r w:rsidRPr="005A464E">
        <w:rPr>
          <w:sz w:val="24"/>
          <w:szCs w:val="24"/>
        </w:rPr>
        <w:t>Στη βιβλιογραφία</w:t>
      </w:r>
      <w:r w:rsidR="0078495A">
        <w:rPr>
          <w:sz w:val="24"/>
          <w:szCs w:val="24"/>
        </w:rPr>
        <w:t xml:space="preserve"> </w:t>
      </w:r>
      <w:r w:rsidRPr="005A464E">
        <w:rPr>
          <w:sz w:val="24"/>
          <w:szCs w:val="24"/>
        </w:rPr>
        <w:t>δεν υπάρχει ομοφωνία σχετικά με τον ορισμό της ΠΖ. Ορισμένοι υποστηρίζουν ότι υπάρχει μεγαλύτερη διαφωνία σχετικά με το τ</w:t>
      </w:r>
      <w:r w:rsidR="0039457E">
        <w:rPr>
          <w:sz w:val="24"/>
          <w:szCs w:val="24"/>
        </w:rPr>
        <w:t>ί</w:t>
      </w:r>
      <w:r w:rsidR="001B08AB" w:rsidRPr="005A464E">
        <w:rPr>
          <w:sz w:val="24"/>
          <w:szCs w:val="24"/>
        </w:rPr>
        <w:t xml:space="preserve"> σημαίνει ποιότητα ζωής από ό,</w:t>
      </w:r>
      <w:r w:rsidRPr="005A464E">
        <w:rPr>
          <w:sz w:val="24"/>
          <w:szCs w:val="24"/>
        </w:rPr>
        <w:t>τι σε οποιαδ</w:t>
      </w:r>
      <w:r w:rsidR="00C73FD1" w:rsidRPr="005A464E">
        <w:rPr>
          <w:sz w:val="24"/>
          <w:szCs w:val="24"/>
        </w:rPr>
        <w:t xml:space="preserve">ήποτε άλλη έννοια στη νοσηλευτική, </w:t>
      </w:r>
      <w:r w:rsidRPr="005A464E">
        <w:rPr>
          <w:sz w:val="24"/>
          <w:szCs w:val="24"/>
        </w:rPr>
        <w:t xml:space="preserve">κοινωνική και ψυχολογική </w:t>
      </w:r>
      <w:r w:rsidR="00DF4830">
        <w:rPr>
          <w:sz w:val="24"/>
          <w:szCs w:val="24"/>
        </w:rPr>
        <w:t>μελέτη</w:t>
      </w:r>
      <w:r w:rsidRPr="005A464E">
        <w:rPr>
          <w:sz w:val="24"/>
          <w:szCs w:val="24"/>
        </w:rPr>
        <w:t xml:space="preserve"> (</w:t>
      </w:r>
      <w:r w:rsidRPr="005A464E">
        <w:rPr>
          <w:sz w:val="24"/>
          <w:szCs w:val="24"/>
          <w:lang w:val="en-US"/>
        </w:rPr>
        <w:t>Dijkers</w:t>
      </w:r>
      <w:r w:rsidR="002A10EB" w:rsidRPr="002A10EB">
        <w:rPr>
          <w:sz w:val="24"/>
          <w:szCs w:val="24"/>
        </w:rPr>
        <w:t>,</w:t>
      </w:r>
      <w:r w:rsidR="00C73FD1" w:rsidRPr="005A464E">
        <w:rPr>
          <w:sz w:val="24"/>
          <w:szCs w:val="24"/>
        </w:rPr>
        <w:t xml:space="preserve"> 2005;</w:t>
      </w:r>
      <w:r w:rsidR="001B08AB" w:rsidRPr="005A464E">
        <w:rPr>
          <w:sz w:val="24"/>
          <w:szCs w:val="24"/>
        </w:rPr>
        <w:t xml:space="preserve"> </w:t>
      </w:r>
      <w:r w:rsidRPr="005A464E">
        <w:rPr>
          <w:sz w:val="24"/>
          <w:szCs w:val="24"/>
          <w:lang w:val="en-US"/>
        </w:rPr>
        <w:t>Veenhoven</w:t>
      </w:r>
      <w:r w:rsidR="002A10EB" w:rsidRPr="002A10EB">
        <w:rPr>
          <w:sz w:val="24"/>
          <w:szCs w:val="24"/>
        </w:rPr>
        <w:t>,</w:t>
      </w:r>
      <w:r w:rsidRPr="005A464E">
        <w:rPr>
          <w:sz w:val="24"/>
          <w:szCs w:val="24"/>
        </w:rPr>
        <w:t xml:space="preserve"> 2000). Παρά τη</w:t>
      </w:r>
      <w:r w:rsidR="001B08AB" w:rsidRPr="005A464E">
        <w:rPr>
          <w:sz w:val="24"/>
          <w:szCs w:val="24"/>
        </w:rPr>
        <w:t>ν πλούσια</w:t>
      </w:r>
      <w:r w:rsidRPr="005A464E">
        <w:rPr>
          <w:sz w:val="24"/>
          <w:szCs w:val="24"/>
        </w:rPr>
        <w:t xml:space="preserve"> βιβλιογραφία που έχει αφιερωθεί στη μέτρηση της </w:t>
      </w:r>
      <w:r w:rsidR="00C73FD1" w:rsidRPr="005A464E">
        <w:rPr>
          <w:sz w:val="24"/>
          <w:szCs w:val="24"/>
        </w:rPr>
        <w:t xml:space="preserve">ΠΖ, δεν υπάρχει, επίσης, </w:t>
      </w:r>
      <w:r w:rsidRPr="005A464E">
        <w:rPr>
          <w:sz w:val="24"/>
          <w:szCs w:val="24"/>
        </w:rPr>
        <w:t>ένας τρόπος κατασκευής και μέτρησης</w:t>
      </w:r>
      <w:r w:rsidR="00C73FD1" w:rsidRPr="005A464E">
        <w:rPr>
          <w:sz w:val="24"/>
          <w:szCs w:val="24"/>
        </w:rPr>
        <w:t xml:space="preserve"> της</w:t>
      </w:r>
      <w:r w:rsidRPr="005A464E">
        <w:rPr>
          <w:sz w:val="24"/>
          <w:szCs w:val="24"/>
        </w:rPr>
        <w:t xml:space="preserve"> ΠΖ (</w:t>
      </w:r>
      <w:r w:rsidRPr="00C71CA6">
        <w:rPr>
          <w:sz w:val="24"/>
          <w:szCs w:val="24"/>
          <w:lang w:val="en-US"/>
        </w:rPr>
        <w:t>Sijtsma</w:t>
      </w:r>
      <w:r w:rsidR="00C71CA6" w:rsidRPr="00C71CA6">
        <w:rPr>
          <w:sz w:val="24"/>
          <w:szCs w:val="24"/>
        </w:rPr>
        <w:t>,</w:t>
      </w:r>
      <w:r w:rsidR="00C73FD1" w:rsidRPr="00C71CA6">
        <w:rPr>
          <w:sz w:val="24"/>
          <w:szCs w:val="24"/>
        </w:rPr>
        <w:t xml:space="preserve"> </w:t>
      </w:r>
      <w:r w:rsidR="00C71CA6" w:rsidRPr="00C71CA6">
        <w:rPr>
          <w:rFonts w:asciiTheme="minorHAnsi" w:hAnsiTheme="minorHAnsi" w:cstheme="minorHAnsi"/>
          <w:sz w:val="24"/>
          <w:szCs w:val="24"/>
          <w:lang w:val="en-US"/>
        </w:rPr>
        <w:t>Emons</w:t>
      </w:r>
      <w:r w:rsidR="00C71CA6">
        <w:rPr>
          <w:rFonts w:asciiTheme="minorHAnsi" w:hAnsiTheme="minorHAnsi" w:cstheme="minorHAnsi"/>
          <w:sz w:val="24"/>
          <w:szCs w:val="24"/>
        </w:rPr>
        <w:t>,</w:t>
      </w:r>
      <w:r w:rsidR="00C71CA6" w:rsidRPr="00C71CA6">
        <w:rPr>
          <w:rFonts w:asciiTheme="minorHAnsi" w:hAnsiTheme="minorHAnsi" w:cstheme="minorHAnsi"/>
          <w:sz w:val="24"/>
          <w:szCs w:val="24"/>
        </w:rPr>
        <w:t xml:space="preserve"> </w:t>
      </w:r>
      <w:r w:rsidR="00C71CA6" w:rsidRPr="00C71CA6">
        <w:rPr>
          <w:rFonts w:asciiTheme="minorHAnsi" w:hAnsiTheme="minorHAnsi" w:cstheme="minorHAnsi"/>
          <w:sz w:val="24"/>
          <w:szCs w:val="24"/>
          <w:lang w:val="en-US"/>
        </w:rPr>
        <w:t>Bouwmeester</w:t>
      </w:r>
      <w:r w:rsidR="00C71CA6">
        <w:rPr>
          <w:rFonts w:asciiTheme="minorHAnsi" w:hAnsiTheme="minorHAnsi" w:cstheme="minorHAnsi"/>
          <w:sz w:val="24"/>
          <w:szCs w:val="24"/>
        </w:rPr>
        <w:t>,</w:t>
      </w:r>
      <w:r w:rsidR="00C71CA6" w:rsidRPr="00C71CA6">
        <w:rPr>
          <w:rFonts w:asciiTheme="minorHAnsi" w:hAnsiTheme="minorHAnsi" w:cstheme="minorHAnsi"/>
          <w:sz w:val="24"/>
          <w:szCs w:val="24"/>
        </w:rPr>
        <w:t xml:space="preserve"> </w:t>
      </w:r>
      <w:r w:rsidR="00C71CA6" w:rsidRPr="00C71CA6">
        <w:rPr>
          <w:rFonts w:asciiTheme="minorHAnsi" w:hAnsiTheme="minorHAnsi" w:cstheme="minorHAnsi"/>
          <w:sz w:val="24"/>
          <w:szCs w:val="24"/>
          <w:lang w:val="en-US"/>
        </w:rPr>
        <w:t>Nykl</w:t>
      </w:r>
      <w:r w:rsidR="00C71CA6" w:rsidRPr="00C71CA6">
        <w:rPr>
          <w:rFonts w:asciiTheme="minorHAnsi" w:hAnsiTheme="minorHAnsi" w:cstheme="minorHAnsi"/>
          <w:sz w:val="24"/>
          <w:szCs w:val="24"/>
        </w:rPr>
        <w:t>íč</w:t>
      </w:r>
      <w:r w:rsidR="00C71CA6" w:rsidRPr="00C71CA6">
        <w:rPr>
          <w:rFonts w:asciiTheme="minorHAnsi" w:hAnsiTheme="minorHAnsi" w:cstheme="minorHAnsi"/>
          <w:sz w:val="24"/>
          <w:szCs w:val="24"/>
          <w:lang w:val="en-US"/>
        </w:rPr>
        <w:t>ek</w:t>
      </w:r>
      <w:r w:rsidR="00C71CA6">
        <w:rPr>
          <w:rFonts w:asciiTheme="minorHAnsi" w:hAnsiTheme="minorHAnsi" w:cstheme="minorHAnsi"/>
          <w:sz w:val="24"/>
          <w:szCs w:val="24"/>
        </w:rPr>
        <w:t>,</w:t>
      </w:r>
      <w:r w:rsidR="00C71CA6" w:rsidRPr="00C71CA6">
        <w:rPr>
          <w:rFonts w:asciiTheme="minorHAnsi" w:hAnsiTheme="minorHAnsi" w:cstheme="minorHAnsi"/>
          <w:sz w:val="24"/>
          <w:szCs w:val="24"/>
        </w:rPr>
        <w:t xml:space="preserve"> &amp; </w:t>
      </w:r>
      <w:r w:rsidR="00C71CA6" w:rsidRPr="00C71CA6">
        <w:rPr>
          <w:rFonts w:asciiTheme="minorHAnsi" w:hAnsiTheme="minorHAnsi" w:cstheme="minorHAnsi"/>
          <w:sz w:val="24"/>
          <w:szCs w:val="24"/>
          <w:lang w:val="en-US"/>
        </w:rPr>
        <w:t>Roord</w:t>
      </w:r>
      <w:r w:rsidR="00C71CA6" w:rsidRPr="00C71CA6">
        <w:rPr>
          <w:rFonts w:asciiTheme="minorHAnsi" w:hAnsiTheme="minorHAnsi" w:cstheme="minorHAnsi"/>
          <w:sz w:val="24"/>
          <w:szCs w:val="24"/>
        </w:rPr>
        <w:t>,</w:t>
      </w:r>
      <w:r w:rsidR="00C71CA6" w:rsidRPr="00C71CA6">
        <w:rPr>
          <w:sz w:val="24"/>
          <w:szCs w:val="24"/>
        </w:rPr>
        <w:t xml:space="preserve"> </w:t>
      </w:r>
      <w:r w:rsidRPr="00C71CA6">
        <w:rPr>
          <w:sz w:val="24"/>
          <w:szCs w:val="24"/>
        </w:rPr>
        <w:t xml:space="preserve">2008). </w:t>
      </w:r>
      <w:r w:rsidR="00C73FD1" w:rsidRPr="00C71CA6">
        <w:rPr>
          <w:sz w:val="24"/>
          <w:szCs w:val="24"/>
        </w:rPr>
        <w:t xml:space="preserve">Οι </w:t>
      </w:r>
      <w:r w:rsidRPr="00C71CA6">
        <w:rPr>
          <w:sz w:val="24"/>
          <w:szCs w:val="24"/>
          <w:lang w:val="en-US"/>
        </w:rPr>
        <w:t>Gill</w:t>
      </w:r>
      <w:r w:rsidR="00AB454B" w:rsidRPr="00C71CA6">
        <w:rPr>
          <w:sz w:val="24"/>
          <w:szCs w:val="24"/>
        </w:rPr>
        <w:t xml:space="preserve"> και</w:t>
      </w:r>
      <w:r w:rsidRPr="00C71CA6">
        <w:rPr>
          <w:sz w:val="24"/>
          <w:szCs w:val="24"/>
        </w:rPr>
        <w:t xml:space="preserve"> </w:t>
      </w:r>
      <w:r w:rsidRPr="00C71CA6">
        <w:rPr>
          <w:sz w:val="24"/>
          <w:szCs w:val="24"/>
          <w:lang w:val="en-US"/>
        </w:rPr>
        <w:t>Feinstein</w:t>
      </w:r>
      <w:r w:rsidR="00C40EE8" w:rsidRPr="00C71CA6">
        <w:rPr>
          <w:sz w:val="24"/>
          <w:szCs w:val="24"/>
        </w:rPr>
        <w:t xml:space="preserve"> (1994)</w:t>
      </w:r>
      <w:r w:rsidR="00C73FD1" w:rsidRPr="005A464E">
        <w:rPr>
          <w:sz w:val="24"/>
          <w:szCs w:val="24"/>
        </w:rPr>
        <w:t xml:space="preserve"> μελέτησαν </w:t>
      </w:r>
      <w:r w:rsidRPr="005A464E">
        <w:rPr>
          <w:sz w:val="24"/>
          <w:szCs w:val="24"/>
        </w:rPr>
        <w:t xml:space="preserve">75 άρθρα </w:t>
      </w:r>
      <w:r w:rsidR="00C73FD1" w:rsidRPr="005A464E">
        <w:rPr>
          <w:sz w:val="24"/>
          <w:szCs w:val="24"/>
        </w:rPr>
        <w:t>που περιγράφουν τη χρήση των εργαλείων ποιότητα</w:t>
      </w:r>
      <w:r w:rsidR="00D0674D" w:rsidRPr="005A464E">
        <w:rPr>
          <w:sz w:val="24"/>
          <w:szCs w:val="24"/>
        </w:rPr>
        <w:t>ς</w:t>
      </w:r>
      <w:r w:rsidR="00C73FD1" w:rsidRPr="005A464E">
        <w:rPr>
          <w:sz w:val="24"/>
          <w:szCs w:val="24"/>
        </w:rPr>
        <w:t xml:space="preserve"> ζωής και διαπίστωσαν</w:t>
      </w:r>
      <w:r w:rsidRPr="005A464E">
        <w:rPr>
          <w:sz w:val="24"/>
          <w:szCs w:val="24"/>
        </w:rPr>
        <w:t xml:space="preserve"> ότι μόνο το 15% των άρθρων προσπάθησαν να ορίσουν</w:t>
      </w:r>
      <w:r w:rsidR="001B08AB" w:rsidRPr="005A464E">
        <w:rPr>
          <w:sz w:val="24"/>
          <w:szCs w:val="24"/>
        </w:rPr>
        <w:t xml:space="preserve"> τί</w:t>
      </w:r>
      <w:r w:rsidR="00C73FD1" w:rsidRPr="005A464E">
        <w:rPr>
          <w:sz w:val="24"/>
          <w:szCs w:val="24"/>
        </w:rPr>
        <w:t xml:space="preserve"> σημαίνει ποιότητα ζωής ή</w:t>
      </w:r>
      <w:r w:rsidRPr="005A464E">
        <w:rPr>
          <w:sz w:val="24"/>
          <w:szCs w:val="24"/>
        </w:rPr>
        <w:t xml:space="preserve"> να </w:t>
      </w:r>
      <w:r w:rsidR="00426378">
        <w:rPr>
          <w:sz w:val="24"/>
          <w:szCs w:val="24"/>
        </w:rPr>
        <w:t>αιτιολογήσουν</w:t>
      </w:r>
      <w:r w:rsidR="00C73FD1" w:rsidRPr="005A464E">
        <w:rPr>
          <w:sz w:val="24"/>
          <w:szCs w:val="24"/>
        </w:rPr>
        <w:t xml:space="preserve"> την επιλογή των εργαλεί</w:t>
      </w:r>
      <w:r w:rsidRPr="005A464E">
        <w:rPr>
          <w:sz w:val="24"/>
          <w:szCs w:val="24"/>
        </w:rPr>
        <w:t>ων ΠΖ.</w:t>
      </w:r>
      <w:r w:rsidR="001B08AB" w:rsidRPr="005A464E">
        <w:rPr>
          <w:sz w:val="24"/>
          <w:szCs w:val="24"/>
        </w:rPr>
        <w:t xml:space="preserve"> </w:t>
      </w:r>
      <w:r w:rsidR="00C73FD1" w:rsidRPr="005A464E">
        <w:rPr>
          <w:sz w:val="24"/>
          <w:szCs w:val="24"/>
        </w:rPr>
        <w:t>Κανένα από</w:t>
      </w:r>
      <w:r w:rsidR="0048163E">
        <w:rPr>
          <w:sz w:val="24"/>
          <w:szCs w:val="24"/>
        </w:rPr>
        <w:t xml:space="preserve"> αυτά τα άρθρα δεν διασαφηνίζει</w:t>
      </w:r>
      <w:r w:rsidR="00C73FD1" w:rsidRPr="005A464E">
        <w:rPr>
          <w:sz w:val="24"/>
          <w:szCs w:val="24"/>
        </w:rPr>
        <w:t xml:space="preserve"> ακριβώς</w:t>
      </w:r>
      <w:r w:rsidR="001B08AB" w:rsidRPr="005A464E">
        <w:rPr>
          <w:sz w:val="24"/>
          <w:szCs w:val="24"/>
        </w:rPr>
        <w:t xml:space="preserve"> τί</w:t>
      </w:r>
      <w:r w:rsidR="00C73FD1" w:rsidRPr="005A464E">
        <w:rPr>
          <w:sz w:val="24"/>
          <w:szCs w:val="24"/>
        </w:rPr>
        <w:t xml:space="preserve"> σημαίνει ΠΖ, σχετιζόμενη με την υγεία ποιότητα ζωής και υποκειμενική ευημερία.</w:t>
      </w:r>
    </w:p>
    <w:p w:rsidR="00C40EE8" w:rsidRPr="005A464E" w:rsidRDefault="00C40EE8" w:rsidP="005A464E">
      <w:pPr>
        <w:spacing w:line="360" w:lineRule="auto"/>
        <w:jc w:val="both"/>
        <w:rPr>
          <w:sz w:val="24"/>
          <w:szCs w:val="24"/>
        </w:rPr>
      </w:pPr>
      <w:r w:rsidRPr="00426378">
        <w:rPr>
          <w:sz w:val="24"/>
          <w:szCs w:val="24"/>
        </w:rPr>
        <w:t xml:space="preserve">Εννοιολογικά, οι περισσότεροι ερευνητές συμφωνούν ότι η ΠΖ είναι </w:t>
      </w:r>
      <w:r w:rsidR="00817853">
        <w:rPr>
          <w:sz w:val="24"/>
          <w:szCs w:val="24"/>
        </w:rPr>
        <w:t>μια</w:t>
      </w:r>
      <w:r w:rsidRPr="00426378">
        <w:rPr>
          <w:sz w:val="24"/>
          <w:szCs w:val="24"/>
        </w:rPr>
        <w:t xml:space="preserve"> έννοια πολυδιάστατη </w:t>
      </w:r>
      <w:r w:rsidR="0039457E" w:rsidRPr="00426378">
        <w:rPr>
          <w:sz w:val="24"/>
          <w:szCs w:val="24"/>
        </w:rPr>
        <w:t>που αποτελείται από έναν αριθμό</w:t>
      </w:r>
      <w:r w:rsidRPr="00426378">
        <w:rPr>
          <w:sz w:val="24"/>
          <w:szCs w:val="24"/>
        </w:rPr>
        <w:t xml:space="preserve"> υποκειμενικών και αντικειμενικών διαστάσεων</w:t>
      </w:r>
      <w:r w:rsidR="001B08AB" w:rsidRPr="00426378">
        <w:rPr>
          <w:sz w:val="24"/>
          <w:szCs w:val="24"/>
        </w:rPr>
        <w:t xml:space="preserve"> (Ferrans</w:t>
      </w:r>
      <w:r w:rsidR="002A10EB" w:rsidRPr="00426378">
        <w:rPr>
          <w:sz w:val="24"/>
          <w:szCs w:val="24"/>
        </w:rPr>
        <w:t>,</w:t>
      </w:r>
      <w:r w:rsidR="003D09CE" w:rsidRPr="00426378">
        <w:rPr>
          <w:sz w:val="24"/>
          <w:szCs w:val="24"/>
        </w:rPr>
        <w:t xml:space="preserve"> 1990; </w:t>
      </w:r>
      <w:r w:rsidR="0048163E" w:rsidRPr="00426378">
        <w:rPr>
          <w:sz w:val="24"/>
          <w:szCs w:val="24"/>
        </w:rPr>
        <w:t xml:space="preserve">Zhan, 1992; </w:t>
      </w:r>
      <w:r w:rsidR="003D09CE" w:rsidRPr="00426378">
        <w:rPr>
          <w:sz w:val="24"/>
          <w:szCs w:val="24"/>
        </w:rPr>
        <w:t>Meeberg</w:t>
      </w:r>
      <w:r w:rsidR="00880A22" w:rsidRPr="00426378">
        <w:rPr>
          <w:sz w:val="24"/>
          <w:szCs w:val="24"/>
        </w:rPr>
        <w:t>,</w:t>
      </w:r>
      <w:r w:rsidR="003D09CE" w:rsidRPr="00426378">
        <w:rPr>
          <w:sz w:val="24"/>
          <w:szCs w:val="24"/>
        </w:rPr>
        <w:t xml:space="preserve"> 1993; Peplau</w:t>
      </w:r>
      <w:r w:rsidR="002A10EB" w:rsidRPr="00426378">
        <w:rPr>
          <w:sz w:val="24"/>
          <w:szCs w:val="24"/>
        </w:rPr>
        <w:t>,</w:t>
      </w:r>
      <w:r w:rsidR="0048163E" w:rsidRPr="00426378">
        <w:rPr>
          <w:sz w:val="24"/>
          <w:szCs w:val="24"/>
        </w:rPr>
        <w:t xml:space="preserve"> 1994</w:t>
      </w:r>
      <w:r w:rsidR="004A7CDC" w:rsidRPr="00426378">
        <w:rPr>
          <w:sz w:val="24"/>
          <w:szCs w:val="24"/>
        </w:rPr>
        <w:t xml:space="preserve">). Οι Muldoon, </w:t>
      </w:r>
      <w:r w:rsidR="004A7CDC" w:rsidRPr="00426378">
        <w:rPr>
          <w:rFonts w:asciiTheme="minorHAnsi" w:hAnsiTheme="minorHAnsi" w:cstheme="minorHAnsi"/>
          <w:color w:val="000000"/>
          <w:sz w:val="24"/>
          <w:szCs w:val="24"/>
          <w:lang w:val="en-US"/>
        </w:rPr>
        <w:t>Barger</w:t>
      </w:r>
      <w:r w:rsidR="004A7CDC" w:rsidRPr="00426378">
        <w:rPr>
          <w:rFonts w:asciiTheme="minorHAnsi" w:hAnsiTheme="minorHAnsi" w:cstheme="minorHAnsi"/>
          <w:color w:val="000000"/>
          <w:sz w:val="24"/>
          <w:szCs w:val="24"/>
        </w:rPr>
        <w:t xml:space="preserve">, </w:t>
      </w:r>
      <w:r w:rsidR="004A7CDC" w:rsidRPr="00426378">
        <w:rPr>
          <w:rFonts w:asciiTheme="minorHAnsi" w:hAnsiTheme="minorHAnsi" w:cstheme="minorHAnsi"/>
          <w:color w:val="000000"/>
          <w:sz w:val="24"/>
          <w:szCs w:val="24"/>
          <w:lang w:val="en-US"/>
        </w:rPr>
        <w:t>Flory</w:t>
      </w:r>
      <w:r w:rsidR="0048163E" w:rsidRPr="00426378">
        <w:rPr>
          <w:rFonts w:asciiTheme="minorHAnsi" w:hAnsiTheme="minorHAnsi" w:cstheme="minorHAnsi"/>
          <w:color w:val="000000"/>
          <w:sz w:val="24"/>
          <w:szCs w:val="24"/>
        </w:rPr>
        <w:t>, και</w:t>
      </w:r>
      <w:r w:rsidR="004A7CDC" w:rsidRPr="00426378">
        <w:rPr>
          <w:rFonts w:asciiTheme="minorHAnsi" w:hAnsiTheme="minorHAnsi" w:cstheme="minorHAnsi"/>
          <w:color w:val="000000"/>
          <w:sz w:val="24"/>
          <w:szCs w:val="24"/>
        </w:rPr>
        <w:t xml:space="preserve"> </w:t>
      </w:r>
      <w:r w:rsidR="004A7CDC" w:rsidRPr="00426378">
        <w:rPr>
          <w:rFonts w:asciiTheme="minorHAnsi" w:hAnsiTheme="minorHAnsi" w:cstheme="minorHAnsi"/>
          <w:color w:val="000000"/>
          <w:sz w:val="24"/>
          <w:szCs w:val="24"/>
          <w:lang w:val="en-US"/>
        </w:rPr>
        <w:t>Manuck</w:t>
      </w:r>
      <w:r w:rsidR="004A7CDC" w:rsidRPr="00426378">
        <w:rPr>
          <w:sz w:val="24"/>
          <w:szCs w:val="24"/>
        </w:rPr>
        <w:t xml:space="preserve"> </w:t>
      </w:r>
      <w:r w:rsidRPr="00426378">
        <w:rPr>
          <w:sz w:val="24"/>
          <w:szCs w:val="24"/>
        </w:rPr>
        <w:t>(1998) πιστεύουν ότι η μέτρηση των υποκειμενικ</w:t>
      </w:r>
      <w:r w:rsidR="003D09CE" w:rsidRPr="00426378">
        <w:rPr>
          <w:sz w:val="24"/>
          <w:szCs w:val="24"/>
        </w:rPr>
        <w:t>ών κ</w:t>
      </w:r>
      <w:r w:rsidRPr="00426378">
        <w:rPr>
          <w:sz w:val="24"/>
          <w:szCs w:val="24"/>
        </w:rPr>
        <w:t>ι αντικειμενικών διαστάσεων της ποιότητα</w:t>
      </w:r>
      <w:r w:rsidR="00D0674D" w:rsidRPr="00426378">
        <w:rPr>
          <w:sz w:val="24"/>
          <w:szCs w:val="24"/>
        </w:rPr>
        <w:t>ς</w:t>
      </w:r>
      <w:r w:rsidRPr="00426378">
        <w:rPr>
          <w:sz w:val="24"/>
          <w:szCs w:val="24"/>
        </w:rPr>
        <w:t xml:space="preserve"> ζωής θα καταστήσει τον ορισμό σαφέστερο και ακριβέστερο επειδή κάθε διάσταση συμβάλλει σε μια συνολική εκτίμηση της ΠΖ. Ο Dijkers (2005) πρότεινε ένα ολοκληρωμένο ορισμό, όταν </w:t>
      </w:r>
      <w:r w:rsidR="00293FEE" w:rsidRPr="00426378">
        <w:rPr>
          <w:sz w:val="24"/>
          <w:szCs w:val="24"/>
        </w:rPr>
        <w:t>θεώρησε ότι κάθε άτομο έχει βιοψυχοκοινωνικο</w:t>
      </w:r>
      <w:r w:rsidRPr="00426378">
        <w:rPr>
          <w:sz w:val="24"/>
          <w:szCs w:val="24"/>
        </w:rPr>
        <w:t xml:space="preserve">πολιτιστικές ανάγκες, επιθυμίες, προτεραιότητες και πρότυπα. Όταν αυτές οι ανάγκες, </w:t>
      </w:r>
      <w:r w:rsidR="006571ED" w:rsidRPr="00426378">
        <w:rPr>
          <w:sz w:val="24"/>
          <w:szCs w:val="24"/>
        </w:rPr>
        <w:t xml:space="preserve">οι </w:t>
      </w:r>
      <w:r w:rsidRPr="00426378">
        <w:rPr>
          <w:sz w:val="24"/>
          <w:szCs w:val="24"/>
        </w:rPr>
        <w:t>επιθυμίες και οι προτεραιότητες συγκρίνονται</w:t>
      </w:r>
      <w:r w:rsidR="001B08AB" w:rsidRPr="00426378">
        <w:rPr>
          <w:sz w:val="24"/>
          <w:szCs w:val="24"/>
        </w:rPr>
        <w:t xml:space="preserve"> </w:t>
      </w:r>
      <w:r w:rsidRPr="00426378">
        <w:rPr>
          <w:sz w:val="24"/>
          <w:szCs w:val="24"/>
        </w:rPr>
        <w:t>με την προσωπική</w:t>
      </w:r>
      <w:r w:rsidR="0078495A" w:rsidRPr="00426378">
        <w:rPr>
          <w:sz w:val="24"/>
          <w:szCs w:val="24"/>
        </w:rPr>
        <w:t xml:space="preserve"> </w:t>
      </w:r>
      <w:r w:rsidRPr="00426378">
        <w:rPr>
          <w:sz w:val="24"/>
          <w:szCs w:val="24"/>
        </w:rPr>
        <w:t>κατάσταση του κάθε ανθρώπου, οι αντιδράσεις μπορεί να κυμαίνονται από θετικές ως αρνητικές και να α</w:t>
      </w:r>
      <w:r w:rsidR="001B08AB" w:rsidRPr="00426378">
        <w:rPr>
          <w:sz w:val="24"/>
          <w:szCs w:val="24"/>
        </w:rPr>
        <w:t>ντικατοπτρίζουν το φρόνημά τους</w:t>
      </w:r>
      <w:r w:rsidRPr="00426378">
        <w:rPr>
          <w:sz w:val="24"/>
          <w:szCs w:val="24"/>
        </w:rPr>
        <w:t xml:space="preserve"> και την ικανοποίηση από τη ζωή. Οι αντιδράσεις αυτές περιλαμβάνουν ένα</w:t>
      </w:r>
      <w:r w:rsidR="001B08AB" w:rsidRPr="00426378">
        <w:rPr>
          <w:sz w:val="24"/>
          <w:szCs w:val="24"/>
        </w:rPr>
        <w:t>ν (ίσως τον πιο πλήρη</w:t>
      </w:r>
      <w:r w:rsidR="00D0674D" w:rsidRPr="00426378">
        <w:rPr>
          <w:sz w:val="24"/>
          <w:szCs w:val="24"/>
        </w:rPr>
        <w:t>) ορισμό</w:t>
      </w:r>
      <w:r w:rsidRPr="00426378">
        <w:rPr>
          <w:sz w:val="24"/>
          <w:szCs w:val="24"/>
        </w:rPr>
        <w:t xml:space="preserve"> της ΠΖ: «</w:t>
      </w:r>
      <w:r w:rsidRPr="00426378">
        <w:rPr>
          <w:i/>
          <w:sz w:val="24"/>
          <w:szCs w:val="24"/>
        </w:rPr>
        <w:t xml:space="preserve">το σύνολο των γνωσιακών </w:t>
      </w:r>
      <w:r w:rsidR="006571ED" w:rsidRPr="00426378">
        <w:rPr>
          <w:i/>
          <w:sz w:val="24"/>
          <w:szCs w:val="24"/>
        </w:rPr>
        <w:t>και συν</w:t>
      </w:r>
      <w:r w:rsidRPr="00426378">
        <w:rPr>
          <w:i/>
          <w:sz w:val="24"/>
          <w:szCs w:val="24"/>
        </w:rPr>
        <w:t>αισθηματικών αντιδράσεων που βιώνουν οι άνθρωποι όταν συγκρίνουν αυτό που έχουν και</w:t>
      </w:r>
      <w:r w:rsidR="0078495A" w:rsidRPr="00426378">
        <w:rPr>
          <w:i/>
          <w:sz w:val="24"/>
          <w:szCs w:val="24"/>
        </w:rPr>
        <w:t xml:space="preserve"> </w:t>
      </w:r>
      <w:r w:rsidRPr="00426378">
        <w:rPr>
          <w:i/>
          <w:sz w:val="24"/>
          <w:szCs w:val="24"/>
        </w:rPr>
        <w:t>κάνουν στη ζωή με τις προσδοκίες τους, τις ανάγκες κα</w:t>
      </w:r>
      <w:r w:rsidR="00FC330D" w:rsidRPr="00426378">
        <w:rPr>
          <w:i/>
          <w:sz w:val="24"/>
          <w:szCs w:val="24"/>
        </w:rPr>
        <w:t>ι τις άλλες προσδοκίες</w:t>
      </w:r>
      <w:r w:rsidR="006571ED" w:rsidRPr="00426378">
        <w:rPr>
          <w:sz w:val="24"/>
          <w:szCs w:val="24"/>
        </w:rPr>
        <w:t>»</w:t>
      </w:r>
      <w:r w:rsidRPr="00426378">
        <w:rPr>
          <w:sz w:val="24"/>
          <w:szCs w:val="24"/>
        </w:rPr>
        <w:t xml:space="preserve"> (Caiman</w:t>
      </w:r>
      <w:r w:rsidR="00880A22" w:rsidRPr="00426378">
        <w:rPr>
          <w:sz w:val="24"/>
          <w:szCs w:val="24"/>
        </w:rPr>
        <w:t>,</w:t>
      </w:r>
      <w:r w:rsidRPr="00426378">
        <w:rPr>
          <w:sz w:val="24"/>
          <w:szCs w:val="24"/>
        </w:rPr>
        <w:t xml:space="preserve"> 1984).</w:t>
      </w:r>
    </w:p>
    <w:p w:rsidR="003D09CE" w:rsidRPr="005A464E" w:rsidRDefault="003D09CE" w:rsidP="005A464E">
      <w:pPr>
        <w:spacing w:line="360" w:lineRule="auto"/>
        <w:jc w:val="both"/>
        <w:rPr>
          <w:sz w:val="24"/>
          <w:szCs w:val="24"/>
        </w:rPr>
      </w:pPr>
      <w:r w:rsidRPr="005A464E">
        <w:rPr>
          <w:sz w:val="24"/>
          <w:szCs w:val="24"/>
        </w:rPr>
        <w:t>Ο καθορισμός της ΠΖ από την άποψη της ικανοποίησης από τη ζωή είναι ο πλέον κατάλληλος. Αντικατοπτρίζει το βαθμό στον οποίο ένα άτομο αξιολογεί θετικά τις συνολικές υποκειμενικές και αντικειμενικές συνιστώσες της ζωής του. Επιπλέον, η ΠΖ αναφέρεται στο επίπεδο της απόλαυσης και ικανοποίησης από τη ζωή</w:t>
      </w:r>
      <w:r w:rsidR="00F460CC" w:rsidRPr="005A464E">
        <w:rPr>
          <w:sz w:val="24"/>
          <w:szCs w:val="24"/>
        </w:rPr>
        <w:t>. Ως εκ τούτου, της</w:t>
      </w:r>
      <w:r w:rsidRPr="005A464E">
        <w:rPr>
          <w:sz w:val="24"/>
          <w:szCs w:val="24"/>
        </w:rPr>
        <w:t xml:space="preserve"> αξιολόγηση</w:t>
      </w:r>
      <w:r w:rsidR="00F460CC" w:rsidRPr="005A464E">
        <w:rPr>
          <w:sz w:val="24"/>
          <w:szCs w:val="24"/>
        </w:rPr>
        <w:t>ς</w:t>
      </w:r>
      <w:r w:rsidRPr="005A464E">
        <w:rPr>
          <w:sz w:val="24"/>
          <w:szCs w:val="24"/>
        </w:rPr>
        <w:t xml:space="preserve"> τ</w:t>
      </w:r>
      <w:r w:rsidR="00F460CC" w:rsidRPr="005A464E">
        <w:rPr>
          <w:sz w:val="24"/>
          <w:szCs w:val="24"/>
        </w:rPr>
        <w:t>ης ικανοποίησης από τη ζωή προηγε</w:t>
      </w:r>
      <w:r w:rsidRPr="005A464E">
        <w:rPr>
          <w:sz w:val="24"/>
          <w:szCs w:val="24"/>
        </w:rPr>
        <w:t>ί</w:t>
      </w:r>
      <w:r w:rsidR="00F460CC" w:rsidRPr="005A464E">
        <w:rPr>
          <w:sz w:val="24"/>
          <w:szCs w:val="24"/>
        </w:rPr>
        <w:t>ται</w:t>
      </w:r>
      <w:r w:rsidRPr="005A464E">
        <w:rPr>
          <w:sz w:val="24"/>
          <w:szCs w:val="24"/>
        </w:rPr>
        <w:t xml:space="preserve"> μια γνωστική αξιολόγηση των προσω</w:t>
      </w:r>
      <w:r w:rsidR="00F460CC" w:rsidRPr="005A464E">
        <w:rPr>
          <w:sz w:val="24"/>
          <w:szCs w:val="24"/>
        </w:rPr>
        <w:t xml:space="preserve">πικών συνθηκών </w:t>
      </w:r>
      <w:r w:rsidR="00293FEE">
        <w:rPr>
          <w:sz w:val="24"/>
          <w:szCs w:val="24"/>
        </w:rPr>
        <w:t xml:space="preserve">της </w:t>
      </w:r>
      <w:r w:rsidR="00F460CC" w:rsidRPr="005A464E">
        <w:rPr>
          <w:sz w:val="24"/>
          <w:szCs w:val="24"/>
        </w:rPr>
        <w:t>ζωής ενός ατόμου.</w:t>
      </w:r>
      <w:r w:rsidR="001B08AB" w:rsidRPr="005A464E">
        <w:rPr>
          <w:sz w:val="24"/>
          <w:szCs w:val="24"/>
        </w:rPr>
        <w:t xml:space="preserve"> </w:t>
      </w:r>
      <w:r w:rsidR="00FC330D" w:rsidRPr="005A464E">
        <w:rPr>
          <w:sz w:val="24"/>
          <w:szCs w:val="24"/>
        </w:rPr>
        <w:t>Η ΠΖ</w:t>
      </w:r>
      <w:r w:rsidRPr="005A464E">
        <w:rPr>
          <w:sz w:val="24"/>
          <w:szCs w:val="24"/>
        </w:rPr>
        <w:t xml:space="preserve"> έχει αναπτυχθεί ως μια καθολική έννοια που επηρεάζεται από πολλούς παράγοντες. Κατά συνέπεια, θεωρείται ότι τα άτομα είναι</w:t>
      </w:r>
      <w:r w:rsidR="00FC330D" w:rsidRPr="005A464E">
        <w:rPr>
          <w:sz w:val="24"/>
          <w:szCs w:val="24"/>
        </w:rPr>
        <w:t xml:space="preserve"> οι μόνοι που μπορούν να υπολογίσουν</w:t>
      </w:r>
      <w:r w:rsidR="001B08AB" w:rsidRPr="005A464E">
        <w:rPr>
          <w:sz w:val="24"/>
          <w:szCs w:val="24"/>
        </w:rPr>
        <w:t xml:space="preserve"> βάσιμα τη δική</w:t>
      </w:r>
      <w:r w:rsidRPr="005A464E">
        <w:rPr>
          <w:sz w:val="24"/>
          <w:szCs w:val="24"/>
        </w:rPr>
        <w:t xml:space="preserve"> τους ΠΖ (Ferrans</w:t>
      </w:r>
      <w:r w:rsidR="002A10EB" w:rsidRPr="002A10EB">
        <w:rPr>
          <w:sz w:val="24"/>
          <w:szCs w:val="24"/>
        </w:rPr>
        <w:t>,</w:t>
      </w:r>
      <w:r w:rsidRPr="005A464E">
        <w:rPr>
          <w:sz w:val="24"/>
          <w:szCs w:val="24"/>
        </w:rPr>
        <w:t xml:space="preserve"> 1996).</w:t>
      </w:r>
    </w:p>
    <w:p w:rsidR="00053F6B" w:rsidRPr="005A464E" w:rsidRDefault="00583A66" w:rsidP="005A464E">
      <w:pPr>
        <w:spacing w:line="360" w:lineRule="auto"/>
        <w:jc w:val="both"/>
        <w:rPr>
          <w:sz w:val="24"/>
          <w:szCs w:val="24"/>
        </w:rPr>
      </w:pPr>
      <w:r w:rsidRPr="005A464E">
        <w:rPr>
          <w:sz w:val="24"/>
          <w:szCs w:val="24"/>
        </w:rPr>
        <w:t>Ορισμοί</w:t>
      </w:r>
      <w:r w:rsidR="005860E7" w:rsidRPr="005A464E">
        <w:rPr>
          <w:sz w:val="24"/>
          <w:szCs w:val="24"/>
        </w:rPr>
        <w:t xml:space="preserve"> της ΠΖ που </w:t>
      </w:r>
      <w:r w:rsidRPr="005A464E">
        <w:rPr>
          <w:sz w:val="24"/>
          <w:szCs w:val="24"/>
        </w:rPr>
        <w:t>έχουν δο</w:t>
      </w:r>
      <w:r w:rsidR="005860E7" w:rsidRPr="005A464E">
        <w:rPr>
          <w:sz w:val="24"/>
          <w:szCs w:val="24"/>
        </w:rPr>
        <w:t xml:space="preserve">θεί στη διεθνή βιβλιογραφία παρατίθενται συνοπτικά στον παρακάτω </w:t>
      </w:r>
      <w:r w:rsidRPr="005A464E">
        <w:rPr>
          <w:sz w:val="24"/>
          <w:szCs w:val="24"/>
        </w:rPr>
        <w:t>πίνακα.</w:t>
      </w:r>
    </w:p>
    <w:tbl>
      <w:tblPr>
        <w:tblStyle w:val="-41"/>
        <w:tblW w:w="0" w:type="auto"/>
        <w:tblLayout w:type="fixed"/>
        <w:tblLook w:val="0620"/>
      </w:tblPr>
      <w:tblGrid>
        <w:gridCol w:w="4252"/>
        <w:gridCol w:w="4253"/>
      </w:tblGrid>
      <w:tr w:rsidR="00583A66" w:rsidRPr="00872FD2" w:rsidTr="00995094">
        <w:trPr>
          <w:cnfStyle w:val="100000000000"/>
          <w:trHeight w:val="94"/>
        </w:trPr>
        <w:tc>
          <w:tcPr>
            <w:tcW w:w="4252" w:type="dxa"/>
          </w:tcPr>
          <w:p w:rsidR="00583A66" w:rsidRPr="00872FD2" w:rsidRDefault="00583A66" w:rsidP="00872FD2">
            <w:pPr>
              <w:spacing w:after="0" w:line="360" w:lineRule="auto"/>
              <w:jc w:val="center"/>
              <w:rPr>
                <w:rFonts w:asciiTheme="minorHAnsi" w:eastAsiaTheme="minorHAnsi" w:hAnsiTheme="minorHAnsi" w:cstheme="minorBidi"/>
                <w:b w:val="0"/>
                <w:bCs w:val="0"/>
                <w:color w:val="000000"/>
                <w:sz w:val="20"/>
                <w:szCs w:val="20"/>
              </w:rPr>
            </w:pPr>
            <w:r w:rsidRPr="00872FD2">
              <w:rPr>
                <w:rFonts w:asciiTheme="minorHAnsi" w:eastAsiaTheme="minorHAnsi" w:hAnsiTheme="minorHAnsi" w:cstheme="minorBidi"/>
                <w:b w:val="0"/>
                <w:bCs w:val="0"/>
                <w:color w:val="000000"/>
                <w:sz w:val="20"/>
                <w:szCs w:val="20"/>
              </w:rPr>
              <w:t>Ορισμός</w:t>
            </w:r>
          </w:p>
        </w:tc>
        <w:tc>
          <w:tcPr>
            <w:tcW w:w="4253" w:type="dxa"/>
          </w:tcPr>
          <w:p w:rsidR="00583A66" w:rsidRPr="00872FD2" w:rsidRDefault="00583A66" w:rsidP="00872FD2">
            <w:pPr>
              <w:spacing w:after="0" w:line="360" w:lineRule="auto"/>
              <w:jc w:val="center"/>
              <w:rPr>
                <w:rFonts w:asciiTheme="minorHAnsi" w:eastAsiaTheme="minorHAnsi" w:hAnsiTheme="minorHAnsi" w:cstheme="minorBidi"/>
                <w:b w:val="0"/>
                <w:bCs w:val="0"/>
                <w:color w:val="000000"/>
                <w:sz w:val="20"/>
                <w:szCs w:val="20"/>
              </w:rPr>
            </w:pPr>
            <w:r w:rsidRPr="00872FD2">
              <w:rPr>
                <w:rFonts w:asciiTheme="minorHAnsi" w:eastAsiaTheme="minorHAnsi" w:hAnsiTheme="minorHAnsi" w:cstheme="minorBidi"/>
                <w:b w:val="0"/>
                <w:bCs w:val="0"/>
                <w:color w:val="000000"/>
                <w:sz w:val="20"/>
                <w:szCs w:val="20"/>
              </w:rPr>
              <w:t>Πηγή</w:t>
            </w:r>
          </w:p>
        </w:tc>
      </w:tr>
      <w:tr w:rsidR="00053F6B" w:rsidRPr="00872FD2" w:rsidTr="00995094">
        <w:trPr>
          <w:trHeight w:val="207"/>
        </w:trPr>
        <w:tc>
          <w:tcPr>
            <w:tcW w:w="4252" w:type="dxa"/>
          </w:tcPr>
          <w:p w:rsidR="00053F6B" w:rsidRPr="006571ED" w:rsidRDefault="006571ED" w:rsidP="00872FD2">
            <w:pPr>
              <w:spacing w:after="0" w:line="360" w:lineRule="auto"/>
              <w:jc w:val="both"/>
              <w:rPr>
                <w:rFonts w:asciiTheme="minorHAnsi" w:eastAsiaTheme="minorHAnsi" w:hAnsiTheme="minorHAnsi" w:cstheme="minorBidi"/>
                <w:i/>
                <w:color w:val="000000"/>
                <w:sz w:val="20"/>
                <w:szCs w:val="20"/>
              </w:rPr>
            </w:pPr>
            <w:r w:rsidRPr="006571ED">
              <w:rPr>
                <w:rFonts w:asciiTheme="minorHAnsi" w:eastAsiaTheme="minorHAnsi" w:hAnsiTheme="minorHAnsi" w:cstheme="minorBidi"/>
                <w:i/>
                <w:color w:val="000000"/>
                <w:sz w:val="20"/>
                <w:szCs w:val="20"/>
              </w:rPr>
              <w:t>«</w:t>
            </w:r>
            <w:r w:rsidR="00053F6B" w:rsidRPr="006571ED">
              <w:rPr>
                <w:rFonts w:asciiTheme="minorHAnsi" w:eastAsiaTheme="minorHAnsi" w:hAnsiTheme="minorHAnsi" w:cstheme="minorBidi"/>
                <w:i/>
                <w:color w:val="000000"/>
                <w:sz w:val="20"/>
                <w:szCs w:val="20"/>
              </w:rPr>
              <w:t xml:space="preserve">Η </w:t>
            </w:r>
            <w:r w:rsidR="00F25658" w:rsidRPr="006571ED">
              <w:rPr>
                <w:rFonts w:asciiTheme="minorHAnsi" w:eastAsiaTheme="minorHAnsi" w:hAnsiTheme="minorHAnsi" w:cstheme="minorBidi"/>
                <w:i/>
                <w:color w:val="000000"/>
                <w:sz w:val="20"/>
                <w:szCs w:val="20"/>
              </w:rPr>
              <w:t>ικανότητα</w:t>
            </w:r>
            <w:r w:rsidR="001B08AB" w:rsidRPr="006571ED">
              <w:rPr>
                <w:rFonts w:asciiTheme="minorHAnsi" w:eastAsiaTheme="minorHAnsi" w:hAnsiTheme="minorHAnsi" w:cstheme="minorBidi"/>
                <w:i/>
                <w:color w:val="000000"/>
                <w:sz w:val="20"/>
                <w:szCs w:val="20"/>
              </w:rPr>
              <w:t xml:space="preserve"> </w:t>
            </w:r>
            <w:r w:rsidR="00F25658" w:rsidRPr="006571ED">
              <w:rPr>
                <w:rFonts w:asciiTheme="minorHAnsi" w:eastAsiaTheme="minorHAnsi" w:hAnsiTheme="minorHAnsi" w:cstheme="minorBidi"/>
                <w:i/>
                <w:color w:val="000000"/>
                <w:sz w:val="20"/>
                <w:szCs w:val="20"/>
              </w:rPr>
              <w:t>του</w:t>
            </w:r>
            <w:r w:rsidR="001B08AB" w:rsidRPr="006571ED">
              <w:rPr>
                <w:rFonts w:asciiTheme="minorHAnsi" w:eastAsiaTheme="minorHAnsi" w:hAnsiTheme="minorHAnsi" w:cstheme="minorBidi"/>
                <w:i/>
                <w:color w:val="000000"/>
                <w:sz w:val="20"/>
                <w:szCs w:val="20"/>
              </w:rPr>
              <w:t xml:space="preserve"> </w:t>
            </w:r>
            <w:r w:rsidR="00F25658" w:rsidRPr="006571ED">
              <w:rPr>
                <w:rFonts w:asciiTheme="minorHAnsi" w:eastAsiaTheme="minorHAnsi" w:hAnsiTheme="minorHAnsi" w:cstheme="minorBidi"/>
                <w:i/>
                <w:color w:val="000000"/>
                <w:sz w:val="20"/>
                <w:szCs w:val="20"/>
              </w:rPr>
              <w:t>ατόμου</w:t>
            </w:r>
            <w:r w:rsidR="001B08AB" w:rsidRPr="006571ED">
              <w:rPr>
                <w:rFonts w:asciiTheme="minorHAnsi" w:eastAsiaTheme="minorHAnsi" w:hAnsiTheme="minorHAnsi" w:cstheme="minorBidi"/>
                <w:i/>
                <w:color w:val="000000"/>
                <w:sz w:val="20"/>
                <w:szCs w:val="20"/>
              </w:rPr>
              <w:t xml:space="preserve"> </w:t>
            </w:r>
            <w:r w:rsidR="00F25658" w:rsidRPr="006571ED">
              <w:rPr>
                <w:rFonts w:asciiTheme="minorHAnsi" w:eastAsiaTheme="minorHAnsi" w:hAnsiTheme="minorHAnsi" w:cstheme="minorBidi"/>
                <w:i/>
                <w:color w:val="000000"/>
                <w:sz w:val="20"/>
                <w:szCs w:val="20"/>
              </w:rPr>
              <w:t>να</w:t>
            </w:r>
            <w:r w:rsidR="001B08AB" w:rsidRPr="006571ED">
              <w:rPr>
                <w:rFonts w:asciiTheme="minorHAnsi" w:eastAsiaTheme="minorHAnsi" w:hAnsiTheme="minorHAnsi" w:cstheme="minorBidi"/>
                <w:i/>
                <w:color w:val="000000"/>
                <w:sz w:val="20"/>
                <w:szCs w:val="20"/>
              </w:rPr>
              <w:t xml:space="preserve"> </w:t>
            </w:r>
            <w:r w:rsidR="00F25658" w:rsidRPr="006571ED">
              <w:rPr>
                <w:rFonts w:asciiTheme="minorHAnsi" w:eastAsiaTheme="minorHAnsi" w:hAnsiTheme="minorHAnsi" w:cstheme="minorBidi"/>
                <w:i/>
                <w:color w:val="000000"/>
                <w:sz w:val="20"/>
                <w:szCs w:val="20"/>
              </w:rPr>
              <w:t xml:space="preserve">έχει </w:t>
            </w:r>
            <w:r w:rsidR="00053F6B" w:rsidRPr="006571ED">
              <w:rPr>
                <w:rFonts w:asciiTheme="minorHAnsi" w:eastAsiaTheme="minorHAnsi" w:hAnsiTheme="minorHAnsi" w:cstheme="minorBidi"/>
                <w:i/>
                <w:color w:val="000000"/>
                <w:sz w:val="20"/>
                <w:szCs w:val="20"/>
              </w:rPr>
              <w:t>μια κοινωνικά «χρήσιμη» ζωή</w:t>
            </w:r>
            <w:r w:rsidRPr="006571ED">
              <w:rPr>
                <w:rFonts w:asciiTheme="minorHAnsi" w:eastAsiaTheme="minorHAnsi" w:hAnsiTheme="minorHAnsi" w:cstheme="minorBidi"/>
                <w:i/>
                <w:color w:val="000000"/>
                <w:sz w:val="20"/>
                <w:szCs w:val="20"/>
              </w:rPr>
              <w:t>»</w:t>
            </w:r>
            <w:r>
              <w:rPr>
                <w:rFonts w:asciiTheme="minorHAnsi" w:eastAsiaTheme="minorHAnsi" w:hAnsiTheme="minorHAnsi" w:cstheme="minorBidi"/>
                <w:i/>
                <w:color w:val="000000"/>
                <w:sz w:val="20"/>
                <w:szCs w:val="20"/>
              </w:rPr>
              <w:t>.</w:t>
            </w:r>
          </w:p>
        </w:tc>
        <w:tc>
          <w:tcPr>
            <w:tcW w:w="4253" w:type="dxa"/>
            <w:vAlign w:val="center"/>
          </w:tcPr>
          <w:p w:rsidR="00053F6B" w:rsidRPr="00872FD2" w:rsidRDefault="00053F6B" w:rsidP="00995094">
            <w:pPr>
              <w:spacing w:after="0" w:line="360" w:lineRule="auto"/>
              <w:jc w:val="center"/>
              <w:rPr>
                <w:rFonts w:asciiTheme="minorHAnsi" w:eastAsiaTheme="minorHAnsi" w:hAnsiTheme="minorHAnsi" w:cstheme="minorBidi"/>
                <w:color w:val="000000"/>
                <w:sz w:val="20"/>
                <w:szCs w:val="20"/>
              </w:rPr>
            </w:pPr>
            <w:r w:rsidRPr="00872FD2">
              <w:rPr>
                <w:rFonts w:asciiTheme="minorHAnsi" w:eastAsiaTheme="minorHAnsi" w:hAnsiTheme="minorHAnsi" w:cstheme="minorBidi"/>
                <w:color w:val="000000"/>
                <w:sz w:val="20"/>
                <w:szCs w:val="20"/>
              </w:rPr>
              <w:t>Edlund &amp; Tancredi (1985</w:t>
            </w:r>
            <w:r w:rsidR="005801DB" w:rsidRPr="00872FD2">
              <w:rPr>
                <w:rFonts w:asciiTheme="minorHAnsi" w:eastAsiaTheme="minorHAnsi" w:hAnsiTheme="minorHAnsi" w:cstheme="minorBidi"/>
                <w:bCs/>
                <w:color w:val="000000"/>
                <w:sz w:val="20"/>
                <w:szCs w:val="20"/>
              </w:rPr>
              <w:t>)</w:t>
            </w:r>
          </w:p>
        </w:tc>
      </w:tr>
      <w:tr w:rsidR="00053F6B" w:rsidRPr="00872FD2" w:rsidTr="00995094">
        <w:trPr>
          <w:trHeight w:val="209"/>
        </w:trPr>
        <w:tc>
          <w:tcPr>
            <w:tcW w:w="4252" w:type="dxa"/>
          </w:tcPr>
          <w:p w:rsidR="00053F6B" w:rsidRPr="006571ED" w:rsidRDefault="006571ED" w:rsidP="00872FD2">
            <w:pPr>
              <w:spacing w:after="0" w:line="360" w:lineRule="auto"/>
              <w:jc w:val="both"/>
              <w:rPr>
                <w:rFonts w:asciiTheme="minorHAnsi" w:eastAsiaTheme="minorHAnsi" w:hAnsiTheme="minorHAnsi" w:cstheme="minorBidi"/>
                <w:i/>
                <w:color w:val="000000"/>
                <w:sz w:val="20"/>
                <w:szCs w:val="20"/>
              </w:rPr>
            </w:pPr>
            <w:r>
              <w:rPr>
                <w:rFonts w:asciiTheme="minorHAnsi" w:eastAsiaTheme="minorHAnsi" w:hAnsiTheme="minorHAnsi" w:cstheme="minorBidi"/>
                <w:i/>
                <w:color w:val="000000"/>
                <w:sz w:val="20"/>
                <w:szCs w:val="20"/>
              </w:rPr>
              <w:t>«</w:t>
            </w:r>
            <w:r w:rsidR="00F53EDB" w:rsidRPr="006571ED">
              <w:rPr>
                <w:rFonts w:asciiTheme="minorHAnsi" w:eastAsiaTheme="minorHAnsi" w:hAnsiTheme="minorHAnsi" w:cstheme="minorBidi"/>
                <w:i/>
                <w:color w:val="000000"/>
                <w:sz w:val="20"/>
                <w:szCs w:val="20"/>
              </w:rPr>
              <w:t>Η</w:t>
            </w:r>
            <w:r w:rsidR="00053F6B" w:rsidRPr="006571ED">
              <w:rPr>
                <w:rFonts w:asciiTheme="minorHAnsi" w:eastAsiaTheme="minorHAnsi" w:hAnsiTheme="minorHAnsi" w:cstheme="minorBidi"/>
                <w:i/>
                <w:color w:val="000000"/>
                <w:sz w:val="20"/>
                <w:szCs w:val="20"/>
              </w:rPr>
              <w:t xml:space="preserve"> ισορροπία μεταξύ θετικών</w:t>
            </w:r>
            <w:r w:rsidR="00F53EDB" w:rsidRPr="006571ED">
              <w:rPr>
                <w:rFonts w:asciiTheme="minorHAnsi" w:eastAsiaTheme="minorHAnsi" w:hAnsiTheme="minorHAnsi" w:cstheme="minorBidi"/>
                <w:i/>
                <w:color w:val="000000"/>
                <w:sz w:val="20"/>
                <w:szCs w:val="20"/>
              </w:rPr>
              <w:t xml:space="preserve"> (χαρά)</w:t>
            </w:r>
            <w:r w:rsidR="00053F6B" w:rsidRPr="006571ED">
              <w:rPr>
                <w:rFonts w:asciiTheme="minorHAnsi" w:eastAsiaTheme="minorHAnsi" w:hAnsiTheme="minorHAnsi" w:cstheme="minorBidi"/>
                <w:i/>
                <w:color w:val="000000"/>
                <w:sz w:val="20"/>
                <w:szCs w:val="20"/>
              </w:rPr>
              <w:t xml:space="preserve"> και αρνητικών συναισθημάτων</w:t>
            </w:r>
            <w:r w:rsidR="00F53EDB" w:rsidRPr="006571ED">
              <w:rPr>
                <w:rFonts w:asciiTheme="minorHAnsi" w:eastAsiaTheme="minorHAnsi" w:hAnsiTheme="minorHAnsi" w:cstheme="minorBidi"/>
                <w:i/>
                <w:color w:val="000000"/>
                <w:sz w:val="20"/>
                <w:szCs w:val="20"/>
              </w:rPr>
              <w:t xml:space="preserve"> (κατάθλιψη)</w:t>
            </w:r>
            <w:r>
              <w:rPr>
                <w:rFonts w:asciiTheme="minorHAnsi" w:eastAsiaTheme="minorHAnsi" w:hAnsiTheme="minorHAnsi" w:cstheme="minorBidi"/>
                <w:i/>
                <w:color w:val="000000"/>
                <w:sz w:val="20"/>
                <w:szCs w:val="20"/>
              </w:rPr>
              <w:t>».</w:t>
            </w:r>
          </w:p>
        </w:tc>
        <w:tc>
          <w:tcPr>
            <w:tcW w:w="4253" w:type="dxa"/>
            <w:vAlign w:val="center"/>
          </w:tcPr>
          <w:p w:rsidR="00053F6B" w:rsidRPr="00872FD2" w:rsidRDefault="00053F6B" w:rsidP="00995094">
            <w:pPr>
              <w:spacing w:after="0" w:line="360" w:lineRule="auto"/>
              <w:jc w:val="center"/>
              <w:rPr>
                <w:rFonts w:asciiTheme="minorHAnsi" w:eastAsiaTheme="minorHAnsi" w:hAnsiTheme="minorHAnsi" w:cstheme="minorBidi"/>
                <w:color w:val="000000"/>
                <w:sz w:val="20"/>
                <w:szCs w:val="20"/>
              </w:rPr>
            </w:pPr>
            <w:r w:rsidRPr="00872FD2">
              <w:rPr>
                <w:rFonts w:asciiTheme="minorHAnsi" w:eastAsiaTheme="minorHAnsi" w:hAnsiTheme="minorHAnsi" w:cstheme="minorBidi"/>
                <w:color w:val="000000"/>
                <w:sz w:val="20"/>
                <w:szCs w:val="20"/>
              </w:rPr>
              <w:t>Ferrans</w:t>
            </w:r>
            <w:r w:rsidR="00BE05F0" w:rsidRPr="00872FD2">
              <w:rPr>
                <w:rFonts w:asciiTheme="minorHAnsi" w:eastAsiaTheme="minorHAnsi" w:hAnsiTheme="minorHAnsi" w:cstheme="minorBidi"/>
                <w:color w:val="000000"/>
                <w:sz w:val="20"/>
                <w:szCs w:val="20"/>
                <w:lang w:val="en-US"/>
              </w:rPr>
              <w:t xml:space="preserve"> &amp; Powers</w:t>
            </w:r>
            <w:r w:rsidRPr="00872FD2">
              <w:rPr>
                <w:rFonts w:asciiTheme="minorHAnsi" w:eastAsiaTheme="minorHAnsi" w:hAnsiTheme="minorHAnsi" w:cstheme="minorBidi"/>
                <w:color w:val="000000"/>
                <w:sz w:val="20"/>
                <w:szCs w:val="20"/>
              </w:rPr>
              <w:t xml:space="preserve"> (1992)</w:t>
            </w:r>
          </w:p>
        </w:tc>
      </w:tr>
      <w:tr w:rsidR="00053F6B" w:rsidRPr="00D842D4" w:rsidTr="00995094">
        <w:trPr>
          <w:trHeight w:val="324"/>
        </w:trPr>
        <w:tc>
          <w:tcPr>
            <w:tcW w:w="4252" w:type="dxa"/>
          </w:tcPr>
          <w:p w:rsidR="00053F6B" w:rsidRPr="006571ED" w:rsidRDefault="006571ED" w:rsidP="00872FD2">
            <w:pPr>
              <w:spacing w:after="0" w:line="360" w:lineRule="auto"/>
              <w:jc w:val="both"/>
              <w:rPr>
                <w:rFonts w:asciiTheme="minorHAnsi" w:eastAsiaTheme="minorHAnsi" w:hAnsiTheme="minorHAnsi" w:cstheme="minorBidi"/>
                <w:i/>
                <w:color w:val="000000"/>
                <w:sz w:val="20"/>
                <w:szCs w:val="20"/>
              </w:rPr>
            </w:pPr>
            <w:r>
              <w:rPr>
                <w:rFonts w:asciiTheme="minorHAnsi" w:eastAsiaTheme="minorHAnsi" w:hAnsiTheme="minorHAnsi" w:cstheme="minorBidi"/>
                <w:i/>
                <w:color w:val="000000"/>
                <w:sz w:val="20"/>
                <w:szCs w:val="20"/>
              </w:rPr>
              <w:t>«</w:t>
            </w:r>
            <w:r w:rsidR="00817853">
              <w:rPr>
                <w:rFonts w:asciiTheme="minorHAnsi" w:eastAsiaTheme="minorHAnsi" w:hAnsiTheme="minorHAnsi" w:cstheme="minorBidi"/>
                <w:i/>
                <w:color w:val="000000"/>
                <w:sz w:val="20"/>
                <w:szCs w:val="20"/>
              </w:rPr>
              <w:t>Μια</w:t>
            </w:r>
            <w:r w:rsidR="001B08AB" w:rsidRPr="006571ED">
              <w:rPr>
                <w:rFonts w:asciiTheme="minorHAnsi" w:eastAsiaTheme="minorHAnsi" w:hAnsiTheme="minorHAnsi" w:cstheme="minorBidi"/>
                <w:i/>
                <w:color w:val="000000"/>
                <w:sz w:val="20"/>
                <w:szCs w:val="20"/>
              </w:rPr>
              <w:t xml:space="preserve"> </w:t>
            </w:r>
            <w:r w:rsidR="00F53EDB" w:rsidRPr="006571ED">
              <w:rPr>
                <w:rFonts w:asciiTheme="minorHAnsi" w:eastAsiaTheme="minorHAnsi" w:hAnsiTheme="minorHAnsi" w:cstheme="minorBidi"/>
                <w:i/>
                <w:color w:val="000000"/>
                <w:sz w:val="20"/>
                <w:szCs w:val="20"/>
              </w:rPr>
              <w:t>υποκειμενική</w:t>
            </w:r>
            <w:r w:rsidR="001B08AB" w:rsidRPr="006571ED">
              <w:rPr>
                <w:rFonts w:asciiTheme="minorHAnsi" w:eastAsiaTheme="minorHAnsi" w:hAnsiTheme="minorHAnsi" w:cstheme="minorBidi"/>
                <w:i/>
                <w:color w:val="000000"/>
                <w:sz w:val="20"/>
                <w:szCs w:val="20"/>
              </w:rPr>
              <w:t xml:space="preserve"> </w:t>
            </w:r>
            <w:r w:rsidR="00F53EDB" w:rsidRPr="006571ED">
              <w:rPr>
                <w:rFonts w:asciiTheme="minorHAnsi" w:eastAsiaTheme="minorHAnsi" w:hAnsiTheme="minorHAnsi" w:cstheme="minorBidi"/>
                <w:i/>
                <w:color w:val="000000"/>
                <w:sz w:val="20"/>
                <w:szCs w:val="20"/>
              </w:rPr>
              <w:t>ευεξία. Η αναγνώριση</w:t>
            </w:r>
            <w:r w:rsidR="001B08AB" w:rsidRPr="006571ED">
              <w:rPr>
                <w:rFonts w:asciiTheme="minorHAnsi" w:eastAsiaTheme="minorHAnsi" w:hAnsiTheme="minorHAnsi" w:cstheme="minorBidi"/>
                <w:i/>
                <w:color w:val="000000"/>
                <w:sz w:val="20"/>
                <w:szCs w:val="20"/>
              </w:rPr>
              <w:t xml:space="preserve"> </w:t>
            </w:r>
            <w:r w:rsidR="00F53EDB" w:rsidRPr="006571ED">
              <w:rPr>
                <w:rFonts w:asciiTheme="minorHAnsi" w:eastAsiaTheme="minorHAnsi" w:hAnsiTheme="minorHAnsi" w:cstheme="minorBidi"/>
                <w:i/>
                <w:color w:val="000000"/>
                <w:sz w:val="20"/>
                <w:szCs w:val="20"/>
              </w:rPr>
              <w:t xml:space="preserve">της </w:t>
            </w:r>
            <w:r w:rsidR="001B08AB" w:rsidRPr="006571ED">
              <w:rPr>
                <w:rFonts w:asciiTheme="minorHAnsi" w:eastAsiaTheme="minorHAnsi" w:hAnsiTheme="minorHAnsi" w:cstheme="minorBidi"/>
                <w:i/>
                <w:color w:val="000000"/>
                <w:sz w:val="20"/>
                <w:szCs w:val="20"/>
              </w:rPr>
              <w:t>υποκειμενικότητας</w:t>
            </w:r>
            <w:r w:rsidR="00F53EDB" w:rsidRPr="006571ED">
              <w:rPr>
                <w:rFonts w:asciiTheme="minorHAnsi" w:eastAsiaTheme="minorHAnsi" w:hAnsiTheme="minorHAnsi" w:cstheme="minorBidi"/>
                <w:i/>
                <w:color w:val="000000"/>
                <w:sz w:val="20"/>
                <w:szCs w:val="20"/>
              </w:rPr>
              <w:t xml:space="preserve"> της ΠΖ είνα</w:t>
            </w:r>
            <w:r w:rsidR="001B08AB" w:rsidRPr="006571ED">
              <w:rPr>
                <w:rFonts w:asciiTheme="minorHAnsi" w:eastAsiaTheme="minorHAnsi" w:hAnsiTheme="minorHAnsi" w:cstheme="minorBidi"/>
                <w:i/>
                <w:color w:val="000000"/>
                <w:sz w:val="20"/>
                <w:szCs w:val="20"/>
              </w:rPr>
              <w:t>ι το κλειδί για την κατανόηση τ</w:t>
            </w:r>
            <w:r w:rsidR="00F53EDB" w:rsidRPr="006571ED">
              <w:rPr>
                <w:rFonts w:asciiTheme="minorHAnsi" w:eastAsiaTheme="minorHAnsi" w:hAnsiTheme="minorHAnsi" w:cstheme="minorBidi"/>
                <w:i/>
                <w:color w:val="000000"/>
                <w:sz w:val="20"/>
                <w:szCs w:val="20"/>
              </w:rPr>
              <w:t>ης δομής της</w:t>
            </w:r>
            <w:r w:rsidR="00053F6B" w:rsidRPr="006571ED">
              <w:rPr>
                <w:rFonts w:asciiTheme="minorHAnsi" w:eastAsiaTheme="minorHAnsi" w:hAnsiTheme="minorHAnsi" w:cstheme="minorBidi"/>
                <w:i/>
                <w:color w:val="000000"/>
                <w:sz w:val="20"/>
                <w:szCs w:val="20"/>
              </w:rPr>
              <w:t xml:space="preserve">. </w:t>
            </w:r>
            <w:r w:rsidR="00F53EDB" w:rsidRPr="006571ED">
              <w:rPr>
                <w:rFonts w:asciiTheme="minorHAnsi" w:eastAsiaTheme="minorHAnsi" w:hAnsiTheme="minorHAnsi" w:cstheme="minorBidi"/>
                <w:i/>
                <w:color w:val="000000"/>
                <w:sz w:val="20"/>
                <w:szCs w:val="20"/>
              </w:rPr>
              <w:t>Η ΠΖ αντανακλά τη διαφορά ανάμεσα στις ελπίδες και</w:t>
            </w:r>
            <w:r w:rsidR="0078495A" w:rsidRPr="006571ED">
              <w:rPr>
                <w:rFonts w:asciiTheme="minorHAnsi" w:eastAsiaTheme="minorHAnsi" w:hAnsiTheme="minorHAnsi" w:cstheme="minorBidi"/>
                <w:i/>
                <w:color w:val="000000"/>
                <w:sz w:val="20"/>
                <w:szCs w:val="20"/>
              </w:rPr>
              <w:t xml:space="preserve"> </w:t>
            </w:r>
            <w:r w:rsidR="00F53EDB" w:rsidRPr="006571ED">
              <w:rPr>
                <w:rFonts w:asciiTheme="minorHAnsi" w:eastAsiaTheme="minorHAnsi" w:hAnsiTheme="minorHAnsi" w:cstheme="minorBidi"/>
                <w:i/>
                <w:color w:val="000000"/>
                <w:sz w:val="20"/>
                <w:szCs w:val="20"/>
              </w:rPr>
              <w:t>στις προσδοκίες ενός προσώπου και την παρούσα εμπειρία του</w:t>
            </w:r>
            <w:r>
              <w:rPr>
                <w:rFonts w:asciiTheme="minorHAnsi" w:eastAsiaTheme="minorHAnsi" w:hAnsiTheme="minorHAnsi" w:cstheme="minorBidi"/>
                <w:i/>
                <w:color w:val="000000"/>
                <w:sz w:val="20"/>
                <w:szCs w:val="20"/>
              </w:rPr>
              <w:t>».</w:t>
            </w:r>
          </w:p>
        </w:tc>
        <w:tc>
          <w:tcPr>
            <w:tcW w:w="4253" w:type="dxa"/>
            <w:vAlign w:val="center"/>
          </w:tcPr>
          <w:p w:rsidR="00053F6B" w:rsidRPr="00872FD2" w:rsidRDefault="00053F6B" w:rsidP="00995094">
            <w:pPr>
              <w:spacing w:after="0" w:line="360" w:lineRule="auto"/>
              <w:jc w:val="center"/>
              <w:rPr>
                <w:rFonts w:asciiTheme="minorHAnsi" w:eastAsiaTheme="minorHAnsi" w:hAnsiTheme="minorHAnsi" w:cstheme="minorBidi"/>
                <w:color w:val="000000"/>
                <w:sz w:val="20"/>
                <w:szCs w:val="20"/>
                <w:lang w:val="en-US"/>
              </w:rPr>
            </w:pPr>
            <w:r w:rsidRPr="00872FD2">
              <w:rPr>
                <w:rFonts w:asciiTheme="minorHAnsi" w:eastAsiaTheme="minorHAnsi" w:hAnsiTheme="minorHAnsi" w:cstheme="minorBidi"/>
                <w:color w:val="000000"/>
                <w:sz w:val="20"/>
                <w:szCs w:val="20"/>
                <w:lang w:val="en-US"/>
              </w:rPr>
              <w:t>Janssen Quality-of-life Studies (2006)</w:t>
            </w:r>
          </w:p>
        </w:tc>
      </w:tr>
      <w:tr w:rsidR="00053F6B" w:rsidRPr="00D842D4" w:rsidTr="00995094">
        <w:trPr>
          <w:trHeight w:val="437"/>
        </w:trPr>
        <w:tc>
          <w:tcPr>
            <w:tcW w:w="4252" w:type="dxa"/>
          </w:tcPr>
          <w:p w:rsidR="00053F6B" w:rsidRPr="006571ED" w:rsidRDefault="006571ED" w:rsidP="00872FD2">
            <w:pPr>
              <w:spacing w:after="0" w:line="360" w:lineRule="auto"/>
              <w:jc w:val="both"/>
              <w:rPr>
                <w:rFonts w:asciiTheme="minorHAnsi" w:eastAsiaTheme="minorHAnsi" w:hAnsiTheme="minorHAnsi" w:cstheme="minorBidi"/>
                <w:i/>
                <w:color w:val="000000"/>
                <w:sz w:val="20"/>
                <w:szCs w:val="20"/>
              </w:rPr>
            </w:pPr>
            <w:r>
              <w:rPr>
                <w:rFonts w:asciiTheme="minorHAnsi" w:eastAsiaTheme="minorHAnsi" w:hAnsiTheme="minorHAnsi" w:cstheme="minorBidi"/>
                <w:i/>
                <w:color w:val="000000"/>
                <w:sz w:val="20"/>
                <w:szCs w:val="20"/>
              </w:rPr>
              <w:t>«</w:t>
            </w:r>
            <w:r w:rsidR="00F53EDB" w:rsidRPr="006571ED">
              <w:rPr>
                <w:rFonts w:asciiTheme="minorHAnsi" w:eastAsiaTheme="minorHAnsi" w:hAnsiTheme="minorHAnsi" w:cstheme="minorBidi"/>
                <w:i/>
                <w:color w:val="000000"/>
                <w:sz w:val="20"/>
                <w:szCs w:val="20"/>
              </w:rPr>
              <w:t>Ο βαθμός στον οποίο ένα άτομο απολαμβάνει τις σημα</w:t>
            </w:r>
            <w:r w:rsidR="000A0664" w:rsidRPr="006571ED">
              <w:rPr>
                <w:rFonts w:asciiTheme="minorHAnsi" w:eastAsiaTheme="minorHAnsi" w:hAnsiTheme="minorHAnsi" w:cstheme="minorBidi"/>
                <w:i/>
                <w:color w:val="000000"/>
                <w:sz w:val="20"/>
                <w:szCs w:val="20"/>
              </w:rPr>
              <w:t>ντικές δυνατότητες της ζωής του/</w:t>
            </w:r>
            <w:r w:rsidR="00F53EDB" w:rsidRPr="006571ED">
              <w:rPr>
                <w:rFonts w:asciiTheme="minorHAnsi" w:eastAsiaTheme="minorHAnsi" w:hAnsiTheme="minorHAnsi" w:cstheme="minorBidi"/>
                <w:i/>
                <w:color w:val="000000"/>
                <w:sz w:val="20"/>
                <w:szCs w:val="20"/>
              </w:rPr>
              <w:t>της. Οι δυνατότητες προκύπτουν από τις δυνατότητες και τους περιορισμούς που κάθε</w:t>
            </w:r>
            <w:r w:rsidR="000A0664" w:rsidRPr="006571ED">
              <w:rPr>
                <w:rFonts w:asciiTheme="minorHAnsi" w:eastAsiaTheme="minorHAnsi" w:hAnsiTheme="minorHAnsi" w:cstheme="minorBidi"/>
                <w:i/>
                <w:color w:val="000000"/>
                <w:sz w:val="20"/>
                <w:szCs w:val="20"/>
              </w:rPr>
              <w:t xml:space="preserve"> πρόσωπο που έχει στη ζωή του/</w:t>
            </w:r>
            <w:r w:rsidR="00F53EDB" w:rsidRPr="006571ED">
              <w:rPr>
                <w:rFonts w:asciiTheme="minorHAnsi" w:eastAsiaTheme="minorHAnsi" w:hAnsiTheme="minorHAnsi" w:cstheme="minorBidi"/>
                <w:i/>
                <w:color w:val="000000"/>
                <w:sz w:val="20"/>
                <w:szCs w:val="20"/>
              </w:rPr>
              <w:t>της και αντανακλούν την αλληλεπίδραση των προσωπικών και περιβαλλοντικών παραγόντων</w:t>
            </w:r>
            <w:r>
              <w:rPr>
                <w:rFonts w:asciiTheme="minorHAnsi" w:eastAsiaTheme="minorHAnsi" w:hAnsiTheme="minorHAnsi" w:cstheme="minorBidi"/>
                <w:i/>
                <w:color w:val="000000"/>
                <w:sz w:val="20"/>
                <w:szCs w:val="20"/>
              </w:rPr>
              <w:t>»</w:t>
            </w:r>
            <w:r w:rsidR="00F53EDB" w:rsidRPr="006571ED">
              <w:rPr>
                <w:rFonts w:asciiTheme="minorHAnsi" w:eastAsiaTheme="minorHAnsi" w:hAnsiTheme="minorHAnsi" w:cstheme="minorBidi"/>
                <w:i/>
                <w:color w:val="000000"/>
                <w:sz w:val="20"/>
                <w:szCs w:val="20"/>
              </w:rPr>
              <w:t>.</w:t>
            </w:r>
          </w:p>
        </w:tc>
        <w:tc>
          <w:tcPr>
            <w:tcW w:w="4253" w:type="dxa"/>
            <w:vAlign w:val="center"/>
          </w:tcPr>
          <w:p w:rsidR="00053F6B" w:rsidRPr="00872FD2" w:rsidRDefault="00053F6B" w:rsidP="00995094">
            <w:pPr>
              <w:spacing w:after="0" w:line="360" w:lineRule="auto"/>
              <w:jc w:val="center"/>
              <w:rPr>
                <w:rFonts w:asciiTheme="minorHAnsi" w:eastAsiaTheme="minorHAnsi" w:hAnsiTheme="minorHAnsi" w:cstheme="minorBidi"/>
                <w:color w:val="000000"/>
                <w:sz w:val="20"/>
                <w:szCs w:val="20"/>
                <w:lang w:val="en-US"/>
              </w:rPr>
            </w:pPr>
            <w:r w:rsidRPr="00872FD2">
              <w:rPr>
                <w:rFonts w:asciiTheme="minorHAnsi" w:eastAsiaTheme="minorHAnsi" w:hAnsiTheme="minorHAnsi" w:cstheme="minorBidi"/>
                <w:color w:val="000000"/>
                <w:sz w:val="20"/>
                <w:szCs w:val="20"/>
                <w:lang w:val="en-US"/>
              </w:rPr>
              <w:t>QOL Research Unit, University of Toronto (2006)</w:t>
            </w:r>
          </w:p>
        </w:tc>
      </w:tr>
      <w:tr w:rsidR="00053F6B" w:rsidRPr="00D842D4" w:rsidTr="00995094">
        <w:trPr>
          <w:trHeight w:val="324"/>
        </w:trPr>
        <w:tc>
          <w:tcPr>
            <w:tcW w:w="4252" w:type="dxa"/>
          </w:tcPr>
          <w:p w:rsidR="000A0664" w:rsidRPr="006571ED" w:rsidRDefault="006571ED" w:rsidP="00872FD2">
            <w:pPr>
              <w:spacing w:after="0" w:line="360" w:lineRule="auto"/>
              <w:jc w:val="both"/>
              <w:rPr>
                <w:rFonts w:asciiTheme="minorHAnsi" w:eastAsiaTheme="minorHAnsi" w:hAnsiTheme="minorHAnsi" w:cstheme="minorBidi"/>
                <w:i/>
                <w:color w:val="000000"/>
                <w:sz w:val="20"/>
                <w:szCs w:val="20"/>
              </w:rPr>
            </w:pPr>
            <w:r>
              <w:rPr>
                <w:rFonts w:asciiTheme="minorHAnsi" w:eastAsiaTheme="minorHAnsi" w:hAnsiTheme="minorHAnsi" w:cstheme="minorBidi"/>
                <w:i/>
                <w:color w:val="000000"/>
                <w:sz w:val="20"/>
                <w:szCs w:val="20"/>
              </w:rPr>
              <w:t>«</w:t>
            </w:r>
            <w:r w:rsidR="00F53EDB" w:rsidRPr="006571ED">
              <w:rPr>
                <w:rFonts w:asciiTheme="minorHAnsi" w:eastAsiaTheme="minorHAnsi" w:hAnsiTheme="minorHAnsi" w:cstheme="minorBidi"/>
                <w:i/>
                <w:color w:val="000000"/>
                <w:sz w:val="20"/>
                <w:szCs w:val="20"/>
              </w:rPr>
              <w:t>Υποκειμενική ποιότητα ζωής είναι γενικ</w:t>
            </w:r>
            <w:r w:rsidR="001B08AB" w:rsidRPr="006571ED">
              <w:rPr>
                <w:rFonts w:asciiTheme="minorHAnsi" w:eastAsiaTheme="minorHAnsi" w:hAnsiTheme="minorHAnsi" w:cstheme="minorBidi"/>
                <w:i/>
                <w:color w:val="000000"/>
                <w:sz w:val="20"/>
                <w:szCs w:val="20"/>
              </w:rPr>
              <w:t>ά το να αισθάνεται κάποιος καλά</w:t>
            </w:r>
            <w:r w:rsidR="00F53EDB" w:rsidRPr="006571ED">
              <w:rPr>
                <w:rFonts w:asciiTheme="minorHAnsi" w:eastAsiaTheme="minorHAnsi" w:hAnsiTheme="minorHAnsi" w:cstheme="minorBidi"/>
                <w:i/>
                <w:color w:val="000000"/>
                <w:sz w:val="20"/>
                <w:szCs w:val="20"/>
              </w:rPr>
              <w:t xml:space="preserve"> και το να είναι ικανοποιημένος με τα πράγματα</w:t>
            </w:r>
            <w:r>
              <w:rPr>
                <w:rFonts w:asciiTheme="minorHAnsi" w:eastAsiaTheme="minorHAnsi" w:hAnsiTheme="minorHAnsi" w:cstheme="minorBidi"/>
                <w:i/>
                <w:color w:val="000000"/>
                <w:sz w:val="20"/>
                <w:szCs w:val="20"/>
              </w:rPr>
              <w:t>»</w:t>
            </w:r>
            <w:r w:rsidR="00F53EDB" w:rsidRPr="006571ED">
              <w:rPr>
                <w:rFonts w:asciiTheme="minorHAnsi" w:eastAsiaTheme="minorHAnsi" w:hAnsiTheme="minorHAnsi" w:cstheme="minorBidi"/>
                <w:i/>
                <w:color w:val="000000"/>
                <w:sz w:val="20"/>
                <w:szCs w:val="20"/>
              </w:rPr>
              <w:t>.</w:t>
            </w:r>
          </w:p>
          <w:p w:rsidR="00053F6B" w:rsidRPr="006571ED" w:rsidRDefault="006571ED" w:rsidP="00872FD2">
            <w:pPr>
              <w:spacing w:after="0" w:line="360" w:lineRule="auto"/>
              <w:jc w:val="both"/>
              <w:rPr>
                <w:rFonts w:asciiTheme="minorHAnsi" w:eastAsiaTheme="minorHAnsi" w:hAnsiTheme="minorHAnsi" w:cstheme="minorBidi"/>
                <w:i/>
                <w:color w:val="000000"/>
                <w:sz w:val="20"/>
                <w:szCs w:val="20"/>
              </w:rPr>
            </w:pPr>
            <w:r>
              <w:rPr>
                <w:rFonts w:asciiTheme="minorHAnsi" w:eastAsiaTheme="minorHAnsi" w:hAnsiTheme="minorHAnsi" w:cstheme="minorBidi"/>
                <w:i/>
                <w:color w:val="000000"/>
                <w:sz w:val="20"/>
                <w:szCs w:val="20"/>
              </w:rPr>
              <w:t>«</w:t>
            </w:r>
            <w:r w:rsidR="00F53EDB" w:rsidRPr="006571ED">
              <w:rPr>
                <w:rFonts w:asciiTheme="minorHAnsi" w:eastAsiaTheme="minorHAnsi" w:hAnsiTheme="minorHAnsi" w:cstheme="minorBidi"/>
                <w:i/>
                <w:color w:val="000000"/>
                <w:sz w:val="20"/>
                <w:szCs w:val="20"/>
              </w:rPr>
              <w:t>Αντικειμενική</w:t>
            </w:r>
            <w:r w:rsidR="0078495A" w:rsidRPr="006571ED">
              <w:rPr>
                <w:rFonts w:asciiTheme="minorHAnsi" w:eastAsiaTheme="minorHAnsi" w:hAnsiTheme="minorHAnsi" w:cstheme="minorBidi"/>
                <w:i/>
                <w:color w:val="000000"/>
                <w:sz w:val="20"/>
                <w:szCs w:val="20"/>
              </w:rPr>
              <w:t xml:space="preserve"> </w:t>
            </w:r>
            <w:r w:rsidR="00293FEE">
              <w:rPr>
                <w:rFonts w:asciiTheme="minorHAnsi" w:eastAsiaTheme="minorHAnsi" w:hAnsiTheme="minorHAnsi" w:cstheme="minorBidi"/>
                <w:i/>
                <w:color w:val="000000"/>
                <w:sz w:val="20"/>
                <w:szCs w:val="20"/>
              </w:rPr>
              <w:t>ΠΖ είναι</w:t>
            </w:r>
            <w:r w:rsidR="00F53EDB" w:rsidRPr="006571ED">
              <w:rPr>
                <w:rFonts w:asciiTheme="minorHAnsi" w:eastAsiaTheme="minorHAnsi" w:hAnsiTheme="minorHAnsi" w:cstheme="minorBidi"/>
                <w:i/>
                <w:color w:val="000000"/>
                <w:sz w:val="20"/>
                <w:szCs w:val="20"/>
              </w:rPr>
              <w:t xml:space="preserve"> η εκπλήρωση των κοινων</w:t>
            </w:r>
            <w:r w:rsidR="00293FEE">
              <w:rPr>
                <w:rFonts w:asciiTheme="minorHAnsi" w:eastAsiaTheme="minorHAnsi" w:hAnsiTheme="minorHAnsi" w:cstheme="minorBidi"/>
                <w:i/>
                <w:color w:val="000000"/>
                <w:sz w:val="20"/>
                <w:szCs w:val="20"/>
              </w:rPr>
              <w:t>ικών και πολιτιστικών απαιτήσεων</w:t>
            </w:r>
            <w:r w:rsidR="00F53EDB" w:rsidRPr="006571ED">
              <w:rPr>
                <w:rFonts w:asciiTheme="minorHAnsi" w:eastAsiaTheme="minorHAnsi" w:hAnsiTheme="minorHAnsi" w:cstheme="minorBidi"/>
                <w:i/>
                <w:color w:val="000000"/>
                <w:sz w:val="20"/>
                <w:szCs w:val="20"/>
              </w:rPr>
              <w:t xml:space="preserve"> για υλικό πλούτο, κοινωνική θέση και σωματική ευεξία</w:t>
            </w:r>
            <w:r>
              <w:rPr>
                <w:rFonts w:asciiTheme="minorHAnsi" w:eastAsiaTheme="minorHAnsi" w:hAnsiTheme="minorHAnsi" w:cstheme="minorBidi"/>
                <w:i/>
                <w:color w:val="000000"/>
                <w:sz w:val="20"/>
                <w:szCs w:val="20"/>
              </w:rPr>
              <w:t>»</w:t>
            </w:r>
            <w:r w:rsidR="00F53EDB" w:rsidRPr="006571ED">
              <w:rPr>
                <w:rFonts w:asciiTheme="minorHAnsi" w:eastAsiaTheme="minorHAnsi" w:hAnsiTheme="minorHAnsi" w:cstheme="minorBidi"/>
                <w:i/>
                <w:color w:val="000000"/>
                <w:sz w:val="20"/>
                <w:szCs w:val="20"/>
              </w:rPr>
              <w:t>.</w:t>
            </w:r>
          </w:p>
        </w:tc>
        <w:tc>
          <w:tcPr>
            <w:tcW w:w="4253" w:type="dxa"/>
            <w:vAlign w:val="center"/>
          </w:tcPr>
          <w:p w:rsidR="00053F6B" w:rsidRPr="00872FD2" w:rsidRDefault="00053F6B" w:rsidP="00995094">
            <w:pPr>
              <w:spacing w:after="0" w:line="360" w:lineRule="auto"/>
              <w:jc w:val="center"/>
              <w:rPr>
                <w:rFonts w:asciiTheme="minorHAnsi" w:eastAsiaTheme="minorHAnsi" w:hAnsiTheme="minorHAnsi" w:cstheme="minorBidi"/>
                <w:color w:val="000000"/>
                <w:sz w:val="20"/>
                <w:szCs w:val="20"/>
                <w:lang w:val="en-US"/>
              </w:rPr>
            </w:pPr>
            <w:r w:rsidRPr="00872FD2">
              <w:rPr>
                <w:rFonts w:asciiTheme="minorHAnsi" w:eastAsiaTheme="minorHAnsi" w:hAnsiTheme="minorHAnsi" w:cstheme="minorBidi"/>
                <w:color w:val="000000"/>
                <w:sz w:val="20"/>
                <w:szCs w:val="20"/>
                <w:lang w:val="en-US"/>
              </w:rPr>
              <w:t>Quality-of-Life Research Center, Denmark (2006)</w:t>
            </w:r>
          </w:p>
        </w:tc>
      </w:tr>
      <w:tr w:rsidR="00053F6B" w:rsidRPr="00872FD2" w:rsidTr="00995094">
        <w:trPr>
          <w:trHeight w:val="94"/>
        </w:trPr>
        <w:tc>
          <w:tcPr>
            <w:tcW w:w="4252" w:type="dxa"/>
          </w:tcPr>
          <w:p w:rsidR="00053F6B" w:rsidRPr="006571ED" w:rsidRDefault="006571ED" w:rsidP="00872FD2">
            <w:pPr>
              <w:spacing w:after="0" w:line="360" w:lineRule="auto"/>
              <w:jc w:val="both"/>
              <w:rPr>
                <w:rFonts w:asciiTheme="minorHAnsi" w:eastAsiaTheme="minorHAnsi" w:hAnsiTheme="minorHAnsi" w:cstheme="minorBidi"/>
                <w:i/>
                <w:color w:val="000000"/>
                <w:sz w:val="20"/>
                <w:szCs w:val="20"/>
              </w:rPr>
            </w:pPr>
            <w:r w:rsidRPr="006571ED">
              <w:rPr>
                <w:rFonts w:asciiTheme="minorHAnsi" w:eastAsiaTheme="minorHAnsi" w:hAnsiTheme="minorHAnsi" w:cstheme="minorBidi"/>
                <w:i/>
                <w:color w:val="000000"/>
                <w:sz w:val="20"/>
                <w:szCs w:val="20"/>
              </w:rPr>
              <w:t>«</w:t>
            </w:r>
            <w:r w:rsidR="00F53EDB" w:rsidRPr="006571ED">
              <w:rPr>
                <w:rFonts w:asciiTheme="minorHAnsi" w:eastAsiaTheme="minorHAnsi" w:hAnsiTheme="minorHAnsi" w:cstheme="minorBidi"/>
                <w:i/>
                <w:color w:val="000000"/>
                <w:sz w:val="20"/>
                <w:szCs w:val="20"/>
              </w:rPr>
              <w:t>Η ικανότητα παροχής των βασικών αναγκών και η διατήρηση της υγείας και της ευεξίας</w:t>
            </w:r>
            <w:r w:rsidRPr="006571ED">
              <w:rPr>
                <w:rFonts w:asciiTheme="minorHAnsi" w:eastAsiaTheme="minorHAnsi" w:hAnsiTheme="minorHAnsi" w:cstheme="minorBidi"/>
                <w:i/>
                <w:color w:val="000000"/>
                <w:sz w:val="20"/>
                <w:szCs w:val="20"/>
              </w:rPr>
              <w:t>».</w:t>
            </w:r>
          </w:p>
        </w:tc>
        <w:tc>
          <w:tcPr>
            <w:tcW w:w="4253" w:type="dxa"/>
            <w:vAlign w:val="center"/>
          </w:tcPr>
          <w:p w:rsidR="00053F6B" w:rsidRPr="00872FD2" w:rsidRDefault="00053F6B" w:rsidP="00995094">
            <w:pPr>
              <w:spacing w:after="0" w:line="360" w:lineRule="auto"/>
              <w:jc w:val="center"/>
              <w:rPr>
                <w:rFonts w:asciiTheme="minorHAnsi" w:eastAsiaTheme="minorHAnsi" w:hAnsiTheme="minorHAnsi" w:cstheme="minorBidi"/>
                <w:color w:val="000000"/>
                <w:sz w:val="20"/>
                <w:szCs w:val="20"/>
              </w:rPr>
            </w:pPr>
            <w:r w:rsidRPr="00872FD2">
              <w:rPr>
                <w:rFonts w:asciiTheme="minorHAnsi" w:eastAsiaTheme="minorHAnsi" w:hAnsiTheme="minorHAnsi" w:cstheme="minorBidi"/>
                <w:color w:val="000000"/>
                <w:sz w:val="20"/>
                <w:szCs w:val="20"/>
              </w:rPr>
              <w:t>Leidy (1994)</w:t>
            </w:r>
          </w:p>
        </w:tc>
      </w:tr>
      <w:tr w:rsidR="00053F6B" w:rsidRPr="00872FD2" w:rsidTr="00995094">
        <w:trPr>
          <w:trHeight w:val="209"/>
        </w:trPr>
        <w:tc>
          <w:tcPr>
            <w:tcW w:w="4252" w:type="dxa"/>
          </w:tcPr>
          <w:p w:rsidR="00053F6B" w:rsidRPr="006571ED" w:rsidRDefault="006571ED" w:rsidP="00872FD2">
            <w:pPr>
              <w:spacing w:after="0" w:line="360" w:lineRule="auto"/>
              <w:jc w:val="both"/>
              <w:rPr>
                <w:rFonts w:asciiTheme="minorHAnsi" w:eastAsiaTheme="minorHAnsi" w:hAnsiTheme="minorHAnsi" w:cstheme="minorBidi"/>
                <w:i/>
                <w:color w:val="000000"/>
                <w:sz w:val="20"/>
                <w:szCs w:val="20"/>
              </w:rPr>
            </w:pPr>
            <w:r w:rsidRPr="006571ED">
              <w:rPr>
                <w:rFonts w:asciiTheme="minorHAnsi" w:eastAsiaTheme="minorHAnsi" w:hAnsiTheme="minorHAnsi" w:cstheme="minorBidi"/>
                <w:i/>
                <w:color w:val="000000"/>
                <w:sz w:val="20"/>
                <w:szCs w:val="20"/>
              </w:rPr>
              <w:t>«</w:t>
            </w:r>
            <w:r w:rsidR="00F53EDB" w:rsidRPr="006571ED">
              <w:rPr>
                <w:rFonts w:asciiTheme="minorHAnsi" w:eastAsiaTheme="minorHAnsi" w:hAnsiTheme="minorHAnsi" w:cstheme="minorBidi"/>
                <w:i/>
                <w:color w:val="000000"/>
                <w:sz w:val="20"/>
                <w:szCs w:val="20"/>
              </w:rPr>
              <w:t>ΠΖ είναι μια αντίληψη που περικλείει την επικρατούσα άποψη της ζωής ενός ατόμου σε μια συγκεκριμένη χρονική στιγμή</w:t>
            </w:r>
            <w:r w:rsidRPr="006571ED">
              <w:rPr>
                <w:rFonts w:asciiTheme="minorHAnsi" w:eastAsiaTheme="minorHAnsi" w:hAnsiTheme="minorHAnsi" w:cstheme="minorBidi"/>
                <w:i/>
                <w:color w:val="000000"/>
                <w:sz w:val="20"/>
                <w:szCs w:val="20"/>
              </w:rPr>
              <w:t>».</w:t>
            </w:r>
          </w:p>
        </w:tc>
        <w:tc>
          <w:tcPr>
            <w:tcW w:w="4253" w:type="dxa"/>
            <w:vAlign w:val="center"/>
          </w:tcPr>
          <w:p w:rsidR="00053F6B" w:rsidRPr="00872FD2" w:rsidRDefault="00053F6B" w:rsidP="00995094">
            <w:pPr>
              <w:spacing w:after="0" w:line="360" w:lineRule="auto"/>
              <w:jc w:val="center"/>
              <w:rPr>
                <w:rFonts w:asciiTheme="minorHAnsi" w:eastAsiaTheme="minorHAnsi" w:hAnsiTheme="minorHAnsi" w:cstheme="minorBidi"/>
                <w:color w:val="000000"/>
                <w:sz w:val="20"/>
                <w:szCs w:val="20"/>
              </w:rPr>
            </w:pPr>
            <w:r w:rsidRPr="00872FD2">
              <w:rPr>
                <w:rFonts w:asciiTheme="minorHAnsi" w:eastAsiaTheme="minorHAnsi" w:hAnsiTheme="minorHAnsi" w:cstheme="minorBidi"/>
                <w:color w:val="000000"/>
                <w:sz w:val="20"/>
                <w:szCs w:val="20"/>
              </w:rPr>
              <w:t>Peplau (1994)</w:t>
            </w:r>
          </w:p>
        </w:tc>
      </w:tr>
      <w:tr w:rsidR="00053F6B" w:rsidRPr="00D842D4" w:rsidTr="00995094">
        <w:trPr>
          <w:trHeight w:val="2479"/>
        </w:trPr>
        <w:tc>
          <w:tcPr>
            <w:tcW w:w="4252" w:type="dxa"/>
          </w:tcPr>
          <w:p w:rsidR="00053F6B" w:rsidRPr="006571ED" w:rsidRDefault="006571ED" w:rsidP="00872FD2">
            <w:pPr>
              <w:spacing w:after="0" w:line="360" w:lineRule="auto"/>
              <w:jc w:val="both"/>
              <w:rPr>
                <w:rFonts w:asciiTheme="minorHAnsi" w:eastAsiaTheme="minorHAnsi" w:hAnsiTheme="minorHAnsi" w:cstheme="minorBidi"/>
                <w:i/>
                <w:color w:val="000000"/>
                <w:sz w:val="20"/>
                <w:szCs w:val="20"/>
              </w:rPr>
            </w:pPr>
            <w:r w:rsidRPr="006571ED">
              <w:rPr>
                <w:rFonts w:asciiTheme="minorHAnsi" w:eastAsiaTheme="minorHAnsi" w:hAnsiTheme="minorHAnsi" w:cstheme="minorBidi"/>
                <w:i/>
                <w:color w:val="000000"/>
                <w:sz w:val="20"/>
                <w:szCs w:val="20"/>
              </w:rPr>
              <w:t>«</w:t>
            </w:r>
            <w:r w:rsidR="00583A66" w:rsidRPr="006571ED">
              <w:rPr>
                <w:rFonts w:asciiTheme="minorHAnsi" w:eastAsiaTheme="minorHAnsi" w:hAnsiTheme="minorHAnsi" w:cstheme="minorBidi"/>
                <w:i/>
                <w:color w:val="000000"/>
                <w:sz w:val="20"/>
                <w:szCs w:val="20"/>
              </w:rPr>
              <w:t>Η</w:t>
            </w:r>
            <w:r w:rsidR="005801DB" w:rsidRPr="006571ED">
              <w:rPr>
                <w:rFonts w:asciiTheme="minorHAnsi" w:eastAsiaTheme="minorHAnsi" w:hAnsiTheme="minorHAnsi" w:cstheme="minorBidi"/>
                <w:i/>
                <w:color w:val="000000"/>
                <w:sz w:val="20"/>
                <w:szCs w:val="20"/>
              </w:rPr>
              <w:t xml:space="preserve"> αντίληψη ενός ατόμου για τη ζωή, στο πλαίσιο του συστήματος του πολιτισμού και των αξιών στο οποίο ζουν και σε σχέση με τους στόχους, τις προσδοκίες</w:t>
            </w:r>
            <w:r w:rsidR="00293FEE">
              <w:rPr>
                <w:rFonts w:asciiTheme="minorHAnsi" w:eastAsiaTheme="minorHAnsi" w:hAnsiTheme="minorHAnsi" w:cstheme="minorBidi"/>
                <w:i/>
                <w:color w:val="000000"/>
                <w:sz w:val="20"/>
                <w:szCs w:val="20"/>
              </w:rPr>
              <w:t>,</w:t>
            </w:r>
            <w:r w:rsidR="005801DB" w:rsidRPr="006571ED">
              <w:rPr>
                <w:rFonts w:asciiTheme="minorHAnsi" w:eastAsiaTheme="minorHAnsi" w:hAnsiTheme="minorHAnsi" w:cstheme="minorBidi"/>
                <w:i/>
                <w:color w:val="000000"/>
                <w:sz w:val="20"/>
                <w:szCs w:val="20"/>
              </w:rPr>
              <w:t xml:space="preserve"> τα πρότυπά τους και τις ανησυχίες.</w:t>
            </w:r>
            <w:r w:rsidR="001B08AB" w:rsidRPr="006571ED">
              <w:rPr>
                <w:rFonts w:asciiTheme="minorHAnsi" w:eastAsiaTheme="minorHAnsi" w:hAnsiTheme="minorHAnsi" w:cstheme="minorBidi"/>
                <w:i/>
                <w:color w:val="000000"/>
                <w:sz w:val="20"/>
                <w:szCs w:val="20"/>
              </w:rPr>
              <w:t xml:space="preserve"> </w:t>
            </w:r>
            <w:r w:rsidR="005801DB" w:rsidRPr="006571ED">
              <w:rPr>
                <w:rFonts w:asciiTheme="minorHAnsi" w:eastAsiaTheme="minorHAnsi" w:hAnsiTheme="minorHAnsi" w:cstheme="minorBidi"/>
                <w:i/>
                <w:color w:val="000000"/>
                <w:sz w:val="20"/>
                <w:szCs w:val="20"/>
              </w:rPr>
              <w:t>Πρόκειται για μια ευρείας έκτασης έννοια που επηρεάζεται κατά έναν πολύπλοκο τρόπο από τη σωματική υγεία του ατ</w:t>
            </w:r>
            <w:r w:rsidR="001B08AB" w:rsidRPr="006571ED">
              <w:rPr>
                <w:rFonts w:asciiTheme="minorHAnsi" w:eastAsiaTheme="minorHAnsi" w:hAnsiTheme="minorHAnsi" w:cstheme="minorBidi"/>
                <w:i/>
                <w:color w:val="000000"/>
                <w:sz w:val="20"/>
                <w:szCs w:val="20"/>
              </w:rPr>
              <w:t>όμου, την ψυχολογική κατάσταση,</w:t>
            </w:r>
            <w:r w:rsidR="005801DB" w:rsidRPr="006571ED">
              <w:rPr>
                <w:rFonts w:asciiTheme="minorHAnsi" w:eastAsiaTheme="minorHAnsi" w:hAnsiTheme="minorHAnsi" w:cstheme="minorBidi"/>
                <w:i/>
                <w:color w:val="000000"/>
                <w:sz w:val="20"/>
                <w:szCs w:val="20"/>
              </w:rPr>
              <w:t xml:space="preserve"> το επίπεδο ανεξαρτησίας, τις κοινωνικές σχέσεις και τη σχέση</w:t>
            </w:r>
            <w:r w:rsidR="0078495A" w:rsidRPr="006571ED">
              <w:rPr>
                <w:rFonts w:asciiTheme="minorHAnsi" w:eastAsiaTheme="minorHAnsi" w:hAnsiTheme="minorHAnsi" w:cstheme="minorBidi"/>
                <w:i/>
                <w:color w:val="000000"/>
                <w:sz w:val="20"/>
                <w:szCs w:val="20"/>
              </w:rPr>
              <w:t xml:space="preserve"> </w:t>
            </w:r>
            <w:r w:rsidR="005801DB" w:rsidRPr="006571ED">
              <w:rPr>
                <w:rFonts w:asciiTheme="minorHAnsi" w:eastAsiaTheme="minorHAnsi" w:hAnsiTheme="minorHAnsi" w:cstheme="minorBidi"/>
                <w:i/>
                <w:color w:val="000000"/>
                <w:sz w:val="20"/>
                <w:szCs w:val="20"/>
              </w:rPr>
              <w:t>με το περιβάλλον</w:t>
            </w:r>
            <w:r w:rsidRPr="006571ED">
              <w:rPr>
                <w:rFonts w:asciiTheme="minorHAnsi" w:eastAsiaTheme="minorHAnsi" w:hAnsiTheme="minorHAnsi" w:cstheme="minorBidi"/>
                <w:i/>
                <w:color w:val="000000"/>
                <w:sz w:val="20"/>
                <w:szCs w:val="20"/>
              </w:rPr>
              <w:t>»</w:t>
            </w:r>
            <w:r w:rsidR="005801DB" w:rsidRPr="006571ED">
              <w:rPr>
                <w:rFonts w:asciiTheme="minorHAnsi" w:eastAsiaTheme="minorHAnsi" w:hAnsiTheme="minorHAnsi" w:cstheme="minorBidi"/>
                <w:i/>
                <w:color w:val="000000"/>
                <w:sz w:val="20"/>
                <w:szCs w:val="20"/>
              </w:rPr>
              <w:t>.</w:t>
            </w:r>
          </w:p>
        </w:tc>
        <w:tc>
          <w:tcPr>
            <w:tcW w:w="4253" w:type="dxa"/>
            <w:vAlign w:val="center"/>
          </w:tcPr>
          <w:p w:rsidR="00053F6B" w:rsidRPr="00872FD2" w:rsidRDefault="00053F6B" w:rsidP="00995094">
            <w:pPr>
              <w:spacing w:after="0" w:line="360" w:lineRule="auto"/>
              <w:jc w:val="center"/>
              <w:rPr>
                <w:rFonts w:asciiTheme="minorHAnsi" w:eastAsiaTheme="minorHAnsi" w:hAnsiTheme="minorHAnsi" w:cstheme="minorBidi"/>
                <w:color w:val="000000"/>
                <w:sz w:val="20"/>
                <w:szCs w:val="20"/>
                <w:lang w:val="en-US"/>
              </w:rPr>
            </w:pPr>
            <w:r w:rsidRPr="00872FD2">
              <w:rPr>
                <w:rFonts w:asciiTheme="minorHAnsi" w:eastAsiaTheme="minorHAnsi" w:hAnsiTheme="minorHAnsi" w:cstheme="minorBidi"/>
                <w:color w:val="000000"/>
                <w:sz w:val="20"/>
                <w:szCs w:val="20"/>
                <w:lang w:val="en-US"/>
              </w:rPr>
              <w:t>WHO Quality of life-BREF (2006)</w:t>
            </w:r>
          </w:p>
        </w:tc>
      </w:tr>
    </w:tbl>
    <w:p w:rsidR="00C73FD1" w:rsidRPr="005A464E" w:rsidRDefault="00C73FD1" w:rsidP="005A464E">
      <w:pPr>
        <w:spacing w:line="360" w:lineRule="auto"/>
        <w:jc w:val="both"/>
        <w:rPr>
          <w:sz w:val="24"/>
          <w:szCs w:val="24"/>
          <w:lang w:val="en-US"/>
        </w:rPr>
      </w:pPr>
    </w:p>
    <w:p w:rsidR="00B64B46" w:rsidRPr="00957692" w:rsidRDefault="00E527AE" w:rsidP="0066526D">
      <w:pPr>
        <w:pStyle w:val="25"/>
        <w:numPr>
          <w:ilvl w:val="1"/>
          <w:numId w:val="110"/>
        </w:numPr>
        <w:spacing w:after="240"/>
      </w:pPr>
      <w:r w:rsidRPr="00EF6A06">
        <w:rPr>
          <w:lang w:val="en-US"/>
        </w:rPr>
        <w:t xml:space="preserve"> </w:t>
      </w:r>
      <w:bookmarkStart w:id="56" w:name="_Toc495951452"/>
      <w:r w:rsidR="00727D5D" w:rsidRPr="00957692">
        <w:t>Σχετιζόμενη με την υγεία ποιότητα ζωής</w:t>
      </w:r>
      <w:bookmarkEnd w:id="56"/>
    </w:p>
    <w:p w:rsidR="00B64B46" w:rsidRPr="005A464E" w:rsidRDefault="00B64B46" w:rsidP="005A464E">
      <w:pPr>
        <w:spacing w:line="360" w:lineRule="auto"/>
        <w:jc w:val="both"/>
        <w:rPr>
          <w:sz w:val="24"/>
          <w:szCs w:val="24"/>
        </w:rPr>
      </w:pPr>
      <w:r w:rsidRPr="005A464E">
        <w:rPr>
          <w:sz w:val="24"/>
          <w:szCs w:val="24"/>
        </w:rPr>
        <w:t>Οι περισσότερες από τις μελέτες</w:t>
      </w:r>
      <w:r w:rsidR="001B08AB" w:rsidRPr="005A464E">
        <w:rPr>
          <w:sz w:val="24"/>
          <w:szCs w:val="24"/>
        </w:rPr>
        <w:t xml:space="preserve"> </w:t>
      </w:r>
      <w:r w:rsidR="00E15AA2" w:rsidRPr="005A464E">
        <w:rPr>
          <w:sz w:val="24"/>
          <w:szCs w:val="24"/>
        </w:rPr>
        <w:t>ερευν</w:t>
      </w:r>
      <w:r w:rsidR="00191F4B" w:rsidRPr="005A464E">
        <w:rPr>
          <w:sz w:val="24"/>
          <w:szCs w:val="24"/>
        </w:rPr>
        <w:t>ούν</w:t>
      </w:r>
      <w:r w:rsidRPr="005A464E">
        <w:rPr>
          <w:sz w:val="24"/>
          <w:szCs w:val="24"/>
        </w:rPr>
        <w:t xml:space="preserve"> έναν προκαθορι</w:t>
      </w:r>
      <w:r w:rsidR="00191F4B" w:rsidRPr="005A464E">
        <w:rPr>
          <w:sz w:val="24"/>
          <w:szCs w:val="24"/>
        </w:rPr>
        <w:t xml:space="preserve">σμένο αριθμό των διαστάσεων ή </w:t>
      </w:r>
      <w:r w:rsidR="00C95265" w:rsidRPr="005A464E">
        <w:rPr>
          <w:sz w:val="24"/>
          <w:szCs w:val="24"/>
        </w:rPr>
        <w:t>τομέων</w:t>
      </w:r>
      <w:r w:rsidRPr="005A464E">
        <w:rPr>
          <w:sz w:val="24"/>
          <w:szCs w:val="24"/>
        </w:rPr>
        <w:t xml:space="preserve"> της </w:t>
      </w:r>
      <w:r w:rsidR="00B36081" w:rsidRPr="005A464E">
        <w:rPr>
          <w:sz w:val="24"/>
          <w:szCs w:val="24"/>
        </w:rPr>
        <w:t xml:space="preserve">ποιότητας </w:t>
      </w:r>
      <w:r w:rsidRPr="005A464E">
        <w:rPr>
          <w:sz w:val="24"/>
          <w:szCs w:val="24"/>
        </w:rPr>
        <w:t>ζωής (</w:t>
      </w:r>
      <w:r w:rsidR="001C2D3A">
        <w:rPr>
          <w:sz w:val="24"/>
          <w:szCs w:val="24"/>
        </w:rPr>
        <w:t>Cummins</w:t>
      </w:r>
      <w:r w:rsidR="001C2D3A" w:rsidRPr="001C2D3A">
        <w:rPr>
          <w:sz w:val="24"/>
          <w:szCs w:val="24"/>
        </w:rPr>
        <w:t xml:space="preserve">, </w:t>
      </w:r>
      <w:r w:rsidR="001C2D3A" w:rsidRPr="001C2D3A">
        <w:rPr>
          <w:rFonts w:asciiTheme="minorHAnsi" w:hAnsiTheme="minorHAnsi" w:cstheme="minorHAnsi"/>
          <w:sz w:val="24"/>
          <w:szCs w:val="24"/>
          <w:lang w:val="en-US"/>
        </w:rPr>
        <w:t>McCabe</w:t>
      </w:r>
      <w:r w:rsidR="001C2D3A" w:rsidRPr="001C2D3A">
        <w:rPr>
          <w:rFonts w:asciiTheme="minorHAnsi" w:hAnsiTheme="minorHAnsi" w:cstheme="minorHAnsi"/>
          <w:sz w:val="24"/>
          <w:szCs w:val="24"/>
        </w:rPr>
        <w:t xml:space="preserve">, </w:t>
      </w:r>
      <w:r w:rsidR="001C2D3A" w:rsidRPr="001C2D3A">
        <w:rPr>
          <w:rFonts w:asciiTheme="minorHAnsi" w:hAnsiTheme="minorHAnsi" w:cstheme="minorHAnsi"/>
          <w:sz w:val="24"/>
          <w:szCs w:val="24"/>
          <w:lang w:val="en-US"/>
        </w:rPr>
        <w:t>Gullone</w:t>
      </w:r>
      <w:r w:rsidR="001C2D3A" w:rsidRPr="001C2D3A">
        <w:rPr>
          <w:rFonts w:asciiTheme="minorHAnsi" w:hAnsiTheme="minorHAnsi" w:cstheme="minorHAnsi"/>
          <w:sz w:val="24"/>
          <w:szCs w:val="24"/>
        </w:rPr>
        <w:t xml:space="preserve">, &amp; </w:t>
      </w:r>
      <w:r w:rsidR="001C2D3A" w:rsidRPr="001C2D3A">
        <w:rPr>
          <w:rFonts w:asciiTheme="minorHAnsi" w:hAnsiTheme="minorHAnsi" w:cstheme="minorHAnsi"/>
          <w:sz w:val="24"/>
          <w:szCs w:val="24"/>
          <w:lang w:val="en-US"/>
        </w:rPr>
        <w:t>Romeo</w:t>
      </w:r>
      <w:r w:rsidR="001C2D3A" w:rsidRPr="001C2D3A">
        <w:rPr>
          <w:sz w:val="24"/>
          <w:szCs w:val="24"/>
        </w:rPr>
        <w:t xml:space="preserve"> </w:t>
      </w:r>
      <w:r w:rsidRPr="001C2D3A">
        <w:rPr>
          <w:sz w:val="24"/>
          <w:szCs w:val="24"/>
        </w:rPr>
        <w:t>1994</w:t>
      </w:r>
      <w:r w:rsidR="006571ED">
        <w:rPr>
          <w:sz w:val="24"/>
          <w:szCs w:val="24"/>
        </w:rPr>
        <w:t>;</w:t>
      </w:r>
      <w:r w:rsidR="006571ED" w:rsidRPr="006571ED">
        <w:rPr>
          <w:sz w:val="24"/>
          <w:szCs w:val="24"/>
        </w:rPr>
        <w:t xml:space="preserve"> </w:t>
      </w:r>
      <w:r w:rsidR="006571ED" w:rsidRPr="005A464E">
        <w:rPr>
          <w:sz w:val="24"/>
          <w:szCs w:val="24"/>
        </w:rPr>
        <w:t>Bowling</w:t>
      </w:r>
      <w:r w:rsidR="006571ED" w:rsidRPr="00880A22">
        <w:rPr>
          <w:sz w:val="24"/>
          <w:szCs w:val="24"/>
        </w:rPr>
        <w:t>,</w:t>
      </w:r>
      <w:r w:rsidR="006571ED">
        <w:rPr>
          <w:sz w:val="24"/>
          <w:szCs w:val="24"/>
        </w:rPr>
        <w:t xml:space="preserve"> 1995</w:t>
      </w:r>
      <w:r w:rsidRPr="001C2D3A">
        <w:rPr>
          <w:sz w:val="24"/>
          <w:szCs w:val="24"/>
        </w:rPr>
        <w:t xml:space="preserve">). </w:t>
      </w:r>
      <w:r w:rsidR="00B36081" w:rsidRPr="001C2D3A">
        <w:rPr>
          <w:sz w:val="24"/>
          <w:szCs w:val="24"/>
        </w:rPr>
        <w:t xml:space="preserve">Αυτό ισχύει και για τα </w:t>
      </w:r>
      <w:r w:rsidR="00BA566F">
        <w:rPr>
          <w:sz w:val="24"/>
          <w:szCs w:val="24"/>
        </w:rPr>
        <w:t xml:space="preserve">δύο </w:t>
      </w:r>
      <w:r w:rsidR="00B36081" w:rsidRPr="001C2D3A">
        <w:rPr>
          <w:sz w:val="24"/>
          <w:szCs w:val="24"/>
        </w:rPr>
        <w:t>γενικά εργαλεία μέτρηση</w:t>
      </w:r>
      <w:r w:rsidR="00B36081" w:rsidRPr="005A464E">
        <w:rPr>
          <w:sz w:val="24"/>
          <w:szCs w:val="24"/>
        </w:rPr>
        <w:t>ς</w:t>
      </w:r>
      <w:r w:rsidRPr="005A464E">
        <w:rPr>
          <w:sz w:val="24"/>
          <w:szCs w:val="24"/>
        </w:rPr>
        <w:t>, ό</w:t>
      </w:r>
      <w:r w:rsidR="00B36081" w:rsidRPr="005A464E">
        <w:rPr>
          <w:sz w:val="24"/>
          <w:szCs w:val="24"/>
        </w:rPr>
        <w:t>πως το SF-36 (Ware &amp; Sherbourne</w:t>
      </w:r>
      <w:r w:rsidR="00AB454B">
        <w:rPr>
          <w:sz w:val="24"/>
          <w:szCs w:val="24"/>
        </w:rPr>
        <w:t>,</w:t>
      </w:r>
      <w:r w:rsidRPr="005A464E">
        <w:rPr>
          <w:sz w:val="24"/>
          <w:szCs w:val="24"/>
        </w:rPr>
        <w:t xml:space="preserve"> 1992), </w:t>
      </w:r>
      <w:r w:rsidR="00B36081" w:rsidRPr="005A464E">
        <w:rPr>
          <w:sz w:val="24"/>
          <w:szCs w:val="24"/>
        </w:rPr>
        <w:t>αλλά και τα εξειδικευμένα</w:t>
      </w:r>
      <w:r w:rsidR="001B08AB" w:rsidRPr="005A464E">
        <w:rPr>
          <w:sz w:val="24"/>
          <w:szCs w:val="24"/>
        </w:rPr>
        <w:t>,</w:t>
      </w:r>
      <w:r w:rsidR="00B36081" w:rsidRPr="005A464E">
        <w:rPr>
          <w:sz w:val="24"/>
          <w:szCs w:val="24"/>
        </w:rPr>
        <w:t xml:space="preserve"> ανάλογα με τη νόσο</w:t>
      </w:r>
      <w:r w:rsidR="001B08AB" w:rsidRPr="005A464E">
        <w:rPr>
          <w:sz w:val="24"/>
          <w:szCs w:val="24"/>
        </w:rPr>
        <w:t>, εργαλεία</w:t>
      </w:r>
      <w:r w:rsidR="00B36081" w:rsidRPr="005A464E">
        <w:rPr>
          <w:sz w:val="24"/>
          <w:szCs w:val="24"/>
        </w:rPr>
        <w:t>. Η</w:t>
      </w:r>
      <w:r w:rsidR="001B08AB" w:rsidRPr="005A464E">
        <w:rPr>
          <w:sz w:val="24"/>
          <w:szCs w:val="24"/>
        </w:rPr>
        <w:t xml:space="preserve"> </w:t>
      </w:r>
      <w:r w:rsidR="003B7581">
        <w:t>Σχετιζόμενη με την Υγεία Ποιότητα Ζ</w:t>
      </w:r>
      <w:r w:rsidR="00F604D6" w:rsidRPr="00957692">
        <w:t>ωής</w:t>
      </w:r>
      <w:r w:rsidR="00F604D6" w:rsidRPr="005A464E">
        <w:rPr>
          <w:sz w:val="24"/>
          <w:szCs w:val="24"/>
        </w:rPr>
        <w:t xml:space="preserve"> </w:t>
      </w:r>
      <w:r w:rsidR="00F604D6">
        <w:rPr>
          <w:sz w:val="24"/>
          <w:szCs w:val="24"/>
        </w:rPr>
        <w:t>(</w:t>
      </w:r>
      <w:r w:rsidR="00B36081" w:rsidRPr="005A464E">
        <w:rPr>
          <w:sz w:val="24"/>
          <w:szCs w:val="24"/>
        </w:rPr>
        <w:t>ΣΥ</w:t>
      </w:r>
      <w:r w:rsidR="00860FA2" w:rsidRPr="005A464E">
        <w:rPr>
          <w:sz w:val="24"/>
          <w:szCs w:val="24"/>
        </w:rPr>
        <w:t>ΠΖ</w:t>
      </w:r>
      <w:r w:rsidR="00F604D6">
        <w:rPr>
          <w:sz w:val="24"/>
          <w:szCs w:val="24"/>
        </w:rPr>
        <w:t>)</w:t>
      </w:r>
      <w:r w:rsidR="00860FA2" w:rsidRPr="005A464E">
        <w:rPr>
          <w:sz w:val="24"/>
          <w:szCs w:val="24"/>
        </w:rPr>
        <w:t xml:space="preserve"> σχετίζε</w:t>
      </w:r>
      <w:r w:rsidRPr="005A464E">
        <w:rPr>
          <w:sz w:val="24"/>
          <w:szCs w:val="24"/>
        </w:rPr>
        <w:t xml:space="preserve">ται </w:t>
      </w:r>
      <w:r w:rsidR="00B36081" w:rsidRPr="005A464E">
        <w:rPr>
          <w:sz w:val="24"/>
          <w:szCs w:val="24"/>
        </w:rPr>
        <w:t xml:space="preserve">περισσότερο </w:t>
      </w:r>
      <w:r w:rsidR="006571ED">
        <w:rPr>
          <w:sz w:val="24"/>
          <w:szCs w:val="24"/>
        </w:rPr>
        <w:t xml:space="preserve">με τον </w:t>
      </w:r>
      <w:r w:rsidRPr="005A464E">
        <w:rPr>
          <w:sz w:val="24"/>
          <w:szCs w:val="24"/>
        </w:rPr>
        <w:t>βιοιατρικό</w:t>
      </w:r>
      <w:r w:rsidR="00B36081" w:rsidRPr="005A464E">
        <w:rPr>
          <w:sz w:val="24"/>
          <w:szCs w:val="24"/>
        </w:rPr>
        <w:t xml:space="preserve"> προσανατολισμό, με έμφαση στις διαστάσεις της</w:t>
      </w:r>
      <w:r w:rsidRPr="005A464E">
        <w:rPr>
          <w:sz w:val="24"/>
          <w:szCs w:val="24"/>
        </w:rPr>
        <w:t xml:space="preserve"> σωματική</w:t>
      </w:r>
      <w:r w:rsidR="00B36081" w:rsidRPr="005A464E">
        <w:rPr>
          <w:sz w:val="24"/>
          <w:szCs w:val="24"/>
        </w:rPr>
        <w:t>ς</w:t>
      </w:r>
      <w:r w:rsidRPr="005A464E">
        <w:rPr>
          <w:sz w:val="24"/>
          <w:szCs w:val="24"/>
        </w:rPr>
        <w:t xml:space="preserve"> και ψυχική</w:t>
      </w:r>
      <w:r w:rsidR="00B36081" w:rsidRPr="005A464E">
        <w:rPr>
          <w:sz w:val="24"/>
          <w:szCs w:val="24"/>
        </w:rPr>
        <w:t>ς</w:t>
      </w:r>
      <w:r w:rsidRPr="005A464E">
        <w:rPr>
          <w:sz w:val="24"/>
          <w:szCs w:val="24"/>
        </w:rPr>
        <w:t xml:space="preserve"> υγεία</w:t>
      </w:r>
      <w:r w:rsidR="00B36081" w:rsidRPr="005A464E">
        <w:rPr>
          <w:sz w:val="24"/>
          <w:szCs w:val="24"/>
        </w:rPr>
        <w:t>ς</w:t>
      </w:r>
      <w:r w:rsidRPr="005A464E">
        <w:rPr>
          <w:sz w:val="24"/>
          <w:szCs w:val="24"/>
        </w:rPr>
        <w:t xml:space="preserve"> που αλλάζουν με τη διαδικασία της νόσου </w:t>
      </w:r>
      <w:r w:rsidR="00880A22">
        <w:rPr>
          <w:sz w:val="24"/>
          <w:szCs w:val="24"/>
        </w:rPr>
        <w:t>(</w:t>
      </w:r>
      <w:r w:rsidR="00880A22" w:rsidRPr="00880A22">
        <w:rPr>
          <w:sz w:val="24"/>
          <w:szCs w:val="24"/>
        </w:rPr>
        <w:t xml:space="preserve">Amarantos, </w:t>
      </w:r>
      <w:r w:rsidR="00880A22" w:rsidRPr="00880A22">
        <w:rPr>
          <w:rFonts w:cstheme="minorHAnsi"/>
          <w:sz w:val="24"/>
          <w:szCs w:val="24"/>
          <w:lang w:val="en-US"/>
        </w:rPr>
        <w:t>Martinez</w:t>
      </w:r>
      <w:r w:rsidR="008E7ECD">
        <w:rPr>
          <w:rFonts w:cstheme="minorHAnsi"/>
          <w:sz w:val="24"/>
          <w:szCs w:val="24"/>
        </w:rPr>
        <w:t>,</w:t>
      </w:r>
      <w:r w:rsidR="00880A22" w:rsidRPr="00880A22">
        <w:rPr>
          <w:rFonts w:cstheme="minorHAnsi"/>
          <w:sz w:val="24"/>
          <w:szCs w:val="24"/>
        </w:rPr>
        <w:t xml:space="preserve"> &amp; </w:t>
      </w:r>
      <w:r w:rsidR="00880A22" w:rsidRPr="00880A22">
        <w:rPr>
          <w:rFonts w:cstheme="minorHAnsi"/>
          <w:sz w:val="24"/>
          <w:szCs w:val="24"/>
          <w:lang w:val="en-US"/>
        </w:rPr>
        <w:t>Dwyer</w:t>
      </w:r>
      <w:r w:rsidR="008E7ECD">
        <w:rPr>
          <w:rFonts w:cstheme="minorHAnsi"/>
          <w:sz w:val="24"/>
          <w:szCs w:val="24"/>
        </w:rPr>
        <w:t>,</w:t>
      </w:r>
      <w:r w:rsidR="00E15AA2" w:rsidRPr="00880A22">
        <w:rPr>
          <w:sz w:val="24"/>
          <w:szCs w:val="24"/>
        </w:rPr>
        <w:t xml:space="preserve"> 2001</w:t>
      </w:r>
      <w:r w:rsidRPr="005A464E">
        <w:rPr>
          <w:sz w:val="24"/>
          <w:szCs w:val="24"/>
        </w:rPr>
        <w:t>).</w:t>
      </w:r>
    </w:p>
    <w:p w:rsidR="00B64B46" w:rsidRPr="005A464E" w:rsidRDefault="00B36081" w:rsidP="005A464E">
      <w:pPr>
        <w:spacing w:line="360" w:lineRule="auto"/>
        <w:jc w:val="both"/>
        <w:rPr>
          <w:sz w:val="24"/>
          <w:szCs w:val="24"/>
        </w:rPr>
      </w:pPr>
      <w:r w:rsidRPr="005A464E">
        <w:rPr>
          <w:sz w:val="24"/>
          <w:szCs w:val="24"/>
        </w:rPr>
        <w:t xml:space="preserve">Η υγεία είναι ένα από τα θεμελιώδη στοιχεία της ΠΖ. Κατά συνέπεια, η </w:t>
      </w:r>
      <w:r w:rsidR="00293FEE">
        <w:rPr>
          <w:sz w:val="24"/>
          <w:szCs w:val="24"/>
        </w:rPr>
        <w:t xml:space="preserve">ΣΥΠΖ </w:t>
      </w:r>
      <w:r w:rsidRPr="005A464E">
        <w:rPr>
          <w:sz w:val="24"/>
          <w:szCs w:val="24"/>
        </w:rPr>
        <w:t>έχει αναπτυχθεί για να συλλάβει τις υποκειμενικές εμπειρίες ζωής που σχετίζονται με την υγεία, την ασθένεια, την αναπηρία και την ανεπάρκεια</w:t>
      </w:r>
      <w:r w:rsidR="00BE05F0" w:rsidRPr="005A464E">
        <w:rPr>
          <w:sz w:val="24"/>
          <w:szCs w:val="24"/>
        </w:rPr>
        <w:t xml:space="preserve"> (Carr &amp; Higginson</w:t>
      </w:r>
      <w:r w:rsidR="00AB454B">
        <w:rPr>
          <w:sz w:val="24"/>
          <w:szCs w:val="24"/>
        </w:rPr>
        <w:t>,</w:t>
      </w:r>
      <w:r w:rsidRPr="005A464E">
        <w:rPr>
          <w:sz w:val="24"/>
          <w:szCs w:val="24"/>
        </w:rPr>
        <w:t xml:space="preserve"> 2001). Συχνά, οι αντικειμενικές διαστάσεις της ασθένειας και της υγείας χρησιμοποιούνται ως δείκτες της ΠΖ. Αυτό έρχεται σε αντίθεση με την εκτίμηση της ΠΖ σε υγιείς ανθρώπους, στους οποίους εκτιμάται η συνολική ΠΖ.</w:t>
      </w:r>
      <w:r w:rsidR="001B08AB" w:rsidRPr="005A464E">
        <w:rPr>
          <w:sz w:val="24"/>
          <w:szCs w:val="24"/>
        </w:rPr>
        <w:t xml:space="preserve"> </w:t>
      </w:r>
      <w:r w:rsidRPr="005A464E">
        <w:rPr>
          <w:sz w:val="24"/>
          <w:szCs w:val="24"/>
        </w:rPr>
        <w:t>Ωστόσο, ακόμη και σε ασθενείς με χρόνιες και οξείες ασθένειες</w:t>
      </w:r>
      <w:r w:rsidR="000A0664">
        <w:rPr>
          <w:sz w:val="24"/>
          <w:szCs w:val="24"/>
        </w:rPr>
        <w:t>,</w:t>
      </w:r>
      <w:r w:rsidRPr="005A464E">
        <w:rPr>
          <w:sz w:val="24"/>
          <w:szCs w:val="24"/>
        </w:rPr>
        <w:t xml:space="preserve"> η </w:t>
      </w:r>
      <w:r w:rsidR="00C95265" w:rsidRPr="005A464E">
        <w:rPr>
          <w:sz w:val="24"/>
          <w:szCs w:val="24"/>
        </w:rPr>
        <w:t>διαφορά μεταξύ της συνολικής ΠΖ</w:t>
      </w:r>
      <w:r w:rsidRPr="005A464E">
        <w:rPr>
          <w:sz w:val="24"/>
          <w:szCs w:val="24"/>
        </w:rPr>
        <w:t xml:space="preserve"> και </w:t>
      </w:r>
      <w:r w:rsidR="00C95265" w:rsidRPr="005A464E">
        <w:rPr>
          <w:sz w:val="24"/>
          <w:szCs w:val="24"/>
        </w:rPr>
        <w:t xml:space="preserve">της ΣΥΠΖ </w:t>
      </w:r>
      <w:r w:rsidRPr="005A464E">
        <w:rPr>
          <w:sz w:val="24"/>
          <w:szCs w:val="24"/>
        </w:rPr>
        <w:t>είναι προφανής. Οι ασθενείς μπορο</w:t>
      </w:r>
      <w:r w:rsidR="00C95265" w:rsidRPr="005A464E">
        <w:rPr>
          <w:sz w:val="24"/>
          <w:szCs w:val="24"/>
        </w:rPr>
        <w:t xml:space="preserve">ύν να διακρίνουν μεταξύ των διαστάσεων της ζωής τους </w:t>
      </w:r>
      <w:r w:rsidRPr="005A464E">
        <w:rPr>
          <w:sz w:val="24"/>
          <w:szCs w:val="24"/>
        </w:rPr>
        <w:t>που πλήττ</w:t>
      </w:r>
      <w:r w:rsidR="00C95265" w:rsidRPr="005A464E">
        <w:rPr>
          <w:sz w:val="24"/>
          <w:szCs w:val="24"/>
        </w:rPr>
        <w:t>ονται λόγω της νόσου και των διαστάσεων</w:t>
      </w:r>
      <w:r w:rsidRPr="005A464E">
        <w:rPr>
          <w:sz w:val="24"/>
          <w:szCs w:val="24"/>
        </w:rPr>
        <w:t xml:space="preserve"> που επηρεάζονται από άλλους λόγους </w:t>
      </w:r>
      <w:r w:rsidR="00C95265" w:rsidRPr="005A464E">
        <w:rPr>
          <w:sz w:val="24"/>
          <w:szCs w:val="24"/>
        </w:rPr>
        <w:t>(Anderson &amp; Burckhardt</w:t>
      </w:r>
      <w:r w:rsidR="00AB454B">
        <w:rPr>
          <w:sz w:val="24"/>
          <w:szCs w:val="24"/>
        </w:rPr>
        <w:t>,</w:t>
      </w:r>
      <w:r w:rsidR="0078495A">
        <w:rPr>
          <w:sz w:val="24"/>
          <w:szCs w:val="24"/>
        </w:rPr>
        <w:t xml:space="preserve"> </w:t>
      </w:r>
      <w:r w:rsidR="00C95265" w:rsidRPr="005A464E">
        <w:rPr>
          <w:sz w:val="24"/>
          <w:szCs w:val="24"/>
        </w:rPr>
        <w:t>1999;</w:t>
      </w:r>
      <w:r w:rsidR="0078495A">
        <w:rPr>
          <w:sz w:val="24"/>
          <w:szCs w:val="24"/>
        </w:rPr>
        <w:t xml:space="preserve"> </w:t>
      </w:r>
      <w:r w:rsidR="00C95265" w:rsidRPr="005A464E">
        <w:rPr>
          <w:sz w:val="24"/>
          <w:szCs w:val="24"/>
        </w:rPr>
        <w:t>Macduff</w:t>
      </w:r>
      <w:r w:rsidR="002A10EB" w:rsidRPr="002A10EB">
        <w:rPr>
          <w:sz w:val="24"/>
          <w:szCs w:val="24"/>
        </w:rPr>
        <w:t>,</w:t>
      </w:r>
      <w:r w:rsidRPr="005A464E">
        <w:rPr>
          <w:sz w:val="24"/>
          <w:szCs w:val="24"/>
        </w:rPr>
        <w:t xml:space="preserve"> 2000).</w:t>
      </w:r>
      <w:r w:rsidR="001B08AB" w:rsidRPr="005A464E">
        <w:rPr>
          <w:sz w:val="24"/>
          <w:szCs w:val="24"/>
        </w:rPr>
        <w:t xml:space="preserve"> </w:t>
      </w:r>
      <w:r w:rsidR="00C95265" w:rsidRPr="005A464E">
        <w:rPr>
          <w:sz w:val="24"/>
          <w:szCs w:val="24"/>
        </w:rPr>
        <w:t>Εστιάζοντας στην ΣΥΠΖ, οι ερευνητές πιθανόν να υπερεκτιμούν σημαντικά την επίδραση των παραγόντων που σχετίζονται με την υγεία και να υποτιμούν την επίδραση των μη ιατρικών παραγόντων στην ΠΖ</w:t>
      </w:r>
      <w:r w:rsidR="001B08AB" w:rsidRPr="005A464E">
        <w:rPr>
          <w:sz w:val="24"/>
          <w:szCs w:val="24"/>
        </w:rPr>
        <w:t xml:space="preserve"> (Gill &amp; Feinstein</w:t>
      </w:r>
      <w:r w:rsidR="00AB454B">
        <w:rPr>
          <w:sz w:val="24"/>
          <w:szCs w:val="24"/>
        </w:rPr>
        <w:t>,</w:t>
      </w:r>
      <w:r w:rsidR="00C95265" w:rsidRPr="005A464E">
        <w:rPr>
          <w:sz w:val="24"/>
          <w:szCs w:val="24"/>
        </w:rPr>
        <w:t xml:space="preserve"> 1994).</w:t>
      </w:r>
    </w:p>
    <w:p w:rsidR="009D38CE" w:rsidRPr="005A464E" w:rsidRDefault="009D38CE" w:rsidP="0066526D">
      <w:pPr>
        <w:pStyle w:val="25"/>
        <w:numPr>
          <w:ilvl w:val="1"/>
          <w:numId w:val="111"/>
        </w:numPr>
        <w:spacing w:after="240" w:line="360" w:lineRule="auto"/>
        <w:jc w:val="both"/>
        <w:rPr>
          <w:rFonts w:asciiTheme="minorHAnsi" w:hAnsiTheme="minorHAnsi"/>
        </w:rPr>
      </w:pPr>
      <w:bookmarkStart w:id="57" w:name="_Toc495951453"/>
      <w:r w:rsidRPr="005A464E">
        <w:rPr>
          <w:rFonts w:asciiTheme="minorHAnsi" w:hAnsiTheme="minorHAnsi"/>
        </w:rPr>
        <w:t>Ποιότητα ζωής στη Χ</w:t>
      </w:r>
      <w:r w:rsidR="001231C4">
        <w:rPr>
          <w:rFonts w:asciiTheme="minorHAnsi" w:hAnsiTheme="minorHAnsi"/>
        </w:rPr>
        <w:t>ρόνια Νεφρική Νόσο</w:t>
      </w:r>
      <w:bookmarkEnd w:id="57"/>
    </w:p>
    <w:p w:rsidR="00D43907" w:rsidRPr="00F737D0" w:rsidRDefault="00D43907" w:rsidP="005A464E">
      <w:pPr>
        <w:spacing w:line="360" w:lineRule="auto"/>
        <w:jc w:val="both"/>
        <w:rPr>
          <w:sz w:val="24"/>
          <w:szCs w:val="24"/>
        </w:rPr>
      </w:pPr>
      <w:r w:rsidRPr="00F737D0">
        <w:rPr>
          <w:sz w:val="24"/>
          <w:szCs w:val="24"/>
        </w:rPr>
        <w:t xml:space="preserve">Η </w:t>
      </w:r>
      <w:r w:rsidR="002165F9" w:rsidRPr="00F737D0">
        <w:rPr>
          <w:sz w:val="24"/>
          <w:szCs w:val="24"/>
        </w:rPr>
        <w:t>ΤΣ</w:t>
      </w:r>
      <w:r w:rsidR="000653D3" w:rsidRPr="00F737D0">
        <w:rPr>
          <w:sz w:val="24"/>
          <w:szCs w:val="24"/>
        </w:rPr>
        <w:t>ΧΝΝ</w:t>
      </w:r>
      <w:r w:rsidR="00651570" w:rsidRPr="00F737D0">
        <w:rPr>
          <w:sz w:val="24"/>
          <w:szCs w:val="24"/>
        </w:rPr>
        <w:t xml:space="preserve"> </w:t>
      </w:r>
      <w:r w:rsidR="00293FEE" w:rsidRPr="00F737D0">
        <w:rPr>
          <w:sz w:val="24"/>
          <w:szCs w:val="24"/>
        </w:rPr>
        <w:t>αποτελεί μι</w:t>
      </w:r>
      <w:r w:rsidRPr="00F737D0">
        <w:rPr>
          <w:sz w:val="24"/>
          <w:szCs w:val="24"/>
        </w:rPr>
        <w:t>α</w:t>
      </w:r>
      <w:r w:rsidR="0078495A" w:rsidRPr="00F737D0">
        <w:rPr>
          <w:sz w:val="24"/>
          <w:szCs w:val="24"/>
        </w:rPr>
        <w:t xml:space="preserve"> </w:t>
      </w:r>
      <w:r w:rsidRPr="00F737D0">
        <w:rPr>
          <w:sz w:val="24"/>
          <w:szCs w:val="24"/>
        </w:rPr>
        <w:t>μακροχρόνια εξουθενωτική ασθένεια</w:t>
      </w:r>
      <w:r w:rsidR="0078495A" w:rsidRPr="00F737D0">
        <w:rPr>
          <w:sz w:val="24"/>
          <w:szCs w:val="24"/>
        </w:rPr>
        <w:t xml:space="preserve"> </w:t>
      </w:r>
      <w:r w:rsidRPr="00F737D0">
        <w:rPr>
          <w:sz w:val="24"/>
          <w:szCs w:val="24"/>
        </w:rPr>
        <w:t>με σημαντικούς περιορισμούς στη σωματική και ψυχοκοινωνική ευεξία κα</w:t>
      </w:r>
      <w:r w:rsidR="006571ED" w:rsidRPr="00F737D0">
        <w:rPr>
          <w:sz w:val="24"/>
          <w:szCs w:val="24"/>
        </w:rPr>
        <w:t>ι που παρεμβαίνει στην ικανότητα</w:t>
      </w:r>
      <w:r w:rsidRPr="00F737D0">
        <w:rPr>
          <w:sz w:val="24"/>
          <w:szCs w:val="24"/>
        </w:rPr>
        <w:t xml:space="preserve"> των ασθενών να ζήσουν μια φυσιολογική ζωή (Va</w:t>
      </w:r>
      <w:r w:rsidR="00BE05F0" w:rsidRPr="00F737D0">
        <w:rPr>
          <w:sz w:val="24"/>
          <w:szCs w:val="24"/>
        </w:rPr>
        <w:t>lderr</w:t>
      </w:r>
      <w:r w:rsidR="00BE05F0" w:rsidRPr="00F737D0">
        <w:rPr>
          <w:rFonts w:cstheme="minorHAnsi"/>
          <w:sz w:val="24"/>
          <w:szCs w:val="24"/>
        </w:rPr>
        <w:t>á</w:t>
      </w:r>
      <w:r w:rsidR="00A63745" w:rsidRPr="00F737D0">
        <w:rPr>
          <w:sz w:val="24"/>
          <w:szCs w:val="24"/>
        </w:rPr>
        <w:t xml:space="preserve">bano, </w:t>
      </w:r>
      <w:r w:rsidR="00A63745" w:rsidRPr="00F737D0">
        <w:rPr>
          <w:rFonts w:eastAsia="Times New Roman" w:cstheme="minorHAnsi"/>
          <w:sz w:val="24"/>
          <w:szCs w:val="24"/>
          <w:lang w:val="en-US" w:eastAsia="el-GR"/>
        </w:rPr>
        <w:t>Jofre</w:t>
      </w:r>
      <w:r w:rsidR="00D75F89" w:rsidRPr="00F737D0">
        <w:rPr>
          <w:rFonts w:eastAsia="Times New Roman" w:cstheme="minorHAnsi"/>
          <w:sz w:val="24"/>
          <w:szCs w:val="24"/>
          <w:lang w:eastAsia="el-GR"/>
        </w:rPr>
        <w:t>,</w:t>
      </w:r>
      <w:r w:rsidR="00A63745" w:rsidRPr="00F737D0">
        <w:rPr>
          <w:rFonts w:eastAsia="Times New Roman" w:cstheme="minorHAnsi"/>
          <w:sz w:val="24"/>
          <w:szCs w:val="24"/>
          <w:lang w:eastAsia="el-GR"/>
        </w:rPr>
        <w:t xml:space="preserve"> &amp; </w:t>
      </w:r>
      <w:r w:rsidR="00A63745" w:rsidRPr="00F737D0">
        <w:rPr>
          <w:rFonts w:eastAsia="Times New Roman" w:cstheme="minorHAnsi"/>
          <w:sz w:val="24"/>
          <w:szCs w:val="24"/>
          <w:lang w:val="en-US" w:eastAsia="el-GR"/>
        </w:rPr>
        <w:t>L</w:t>
      </w:r>
      <w:r w:rsidR="00A63745" w:rsidRPr="00F737D0">
        <w:rPr>
          <w:rFonts w:eastAsia="Times New Roman" w:cstheme="minorHAnsi"/>
          <w:sz w:val="24"/>
          <w:szCs w:val="24"/>
          <w:lang w:eastAsia="el-GR"/>
        </w:rPr>
        <w:t>ó</w:t>
      </w:r>
      <w:r w:rsidR="00A63745" w:rsidRPr="00F737D0">
        <w:rPr>
          <w:rFonts w:eastAsia="Times New Roman" w:cstheme="minorHAnsi"/>
          <w:sz w:val="24"/>
          <w:szCs w:val="24"/>
          <w:lang w:val="en-US" w:eastAsia="el-GR"/>
        </w:rPr>
        <w:t>pez</w:t>
      </w:r>
      <w:r w:rsidR="00A63745" w:rsidRPr="00F737D0">
        <w:rPr>
          <w:rFonts w:eastAsia="Times New Roman" w:cstheme="minorHAnsi"/>
          <w:sz w:val="24"/>
          <w:szCs w:val="24"/>
          <w:lang w:eastAsia="el-GR"/>
        </w:rPr>
        <w:t>-</w:t>
      </w:r>
      <w:r w:rsidR="00A63745" w:rsidRPr="00F737D0">
        <w:rPr>
          <w:rFonts w:eastAsia="Times New Roman" w:cstheme="minorHAnsi"/>
          <w:sz w:val="24"/>
          <w:szCs w:val="24"/>
          <w:lang w:val="en-US" w:eastAsia="el-GR"/>
        </w:rPr>
        <w:t>G</w:t>
      </w:r>
      <w:r w:rsidR="00A63745" w:rsidRPr="00F737D0">
        <w:rPr>
          <w:rFonts w:eastAsia="Times New Roman" w:cstheme="minorHAnsi"/>
          <w:sz w:val="24"/>
          <w:szCs w:val="24"/>
          <w:lang w:eastAsia="el-GR"/>
        </w:rPr>
        <w:t>ó</w:t>
      </w:r>
      <w:r w:rsidR="00A63745" w:rsidRPr="00F737D0">
        <w:rPr>
          <w:rFonts w:eastAsia="Times New Roman" w:cstheme="minorHAnsi"/>
          <w:sz w:val="24"/>
          <w:szCs w:val="24"/>
          <w:lang w:val="en-US" w:eastAsia="el-GR"/>
        </w:rPr>
        <w:t>mez</w:t>
      </w:r>
      <w:r w:rsidR="00D75F89" w:rsidRPr="00F737D0">
        <w:rPr>
          <w:rFonts w:eastAsia="Times New Roman" w:cstheme="minorHAnsi"/>
          <w:sz w:val="24"/>
          <w:szCs w:val="24"/>
          <w:lang w:eastAsia="el-GR"/>
        </w:rPr>
        <w:t>,</w:t>
      </w:r>
      <w:r w:rsidR="00A63745" w:rsidRPr="00F737D0">
        <w:rPr>
          <w:sz w:val="24"/>
          <w:szCs w:val="24"/>
        </w:rPr>
        <w:t xml:space="preserve"> </w:t>
      </w:r>
      <w:r w:rsidRPr="00F737D0">
        <w:rPr>
          <w:sz w:val="24"/>
          <w:szCs w:val="24"/>
        </w:rPr>
        <w:t>2001).</w:t>
      </w:r>
      <w:r w:rsidR="0078495A" w:rsidRPr="00F737D0">
        <w:rPr>
          <w:sz w:val="24"/>
          <w:szCs w:val="24"/>
        </w:rPr>
        <w:t xml:space="preserve"> </w:t>
      </w:r>
    </w:p>
    <w:p w:rsidR="009D38CE" w:rsidRPr="00F737D0" w:rsidRDefault="00D43907" w:rsidP="005A464E">
      <w:pPr>
        <w:spacing w:line="360" w:lineRule="auto"/>
        <w:jc w:val="both"/>
        <w:rPr>
          <w:sz w:val="24"/>
          <w:szCs w:val="24"/>
        </w:rPr>
      </w:pPr>
      <w:r w:rsidRPr="00F737D0">
        <w:rPr>
          <w:sz w:val="24"/>
          <w:szCs w:val="24"/>
        </w:rPr>
        <w:t xml:space="preserve">Οι ασθενείς με </w:t>
      </w:r>
      <w:r w:rsidR="00293FEE" w:rsidRPr="00F737D0">
        <w:rPr>
          <w:sz w:val="24"/>
          <w:szCs w:val="24"/>
        </w:rPr>
        <w:t>ΤΣ</w:t>
      </w:r>
      <w:r w:rsidRPr="00F737D0">
        <w:rPr>
          <w:sz w:val="24"/>
          <w:szCs w:val="24"/>
        </w:rPr>
        <w:t xml:space="preserve">ΧΝΝ πρέπει να υποβάλλονται σε αιμοκάθαρση σε τακτική βάση για την επιβίωση τους. Οι ασθενείς αυτοί έχουν να αντιμετωπίσουν όχι μόνο επιπλοκές σχετιζόμενες με την αιμοκάθαρση, όπως η υπερτροφία της αριστερής κοιλίας, η </w:t>
      </w:r>
      <w:r w:rsidR="006571ED" w:rsidRPr="00F737D0">
        <w:rPr>
          <w:sz w:val="24"/>
          <w:szCs w:val="24"/>
        </w:rPr>
        <w:t>αθηρωμάτω</w:t>
      </w:r>
      <w:r w:rsidRPr="00F737D0">
        <w:rPr>
          <w:sz w:val="24"/>
          <w:szCs w:val="24"/>
        </w:rPr>
        <w:t>ση και</w:t>
      </w:r>
      <w:r w:rsidRPr="005A464E">
        <w:rPr>
          <w:sz w:val="24"/>
          <w:szCs w:val="24"/>
        </w:rPr>
        <w:t xml:space="preserve"> ο υπερπαραθυρεοειδισμός (London </w:t>
      </w:r>
      <w:r w:rsidR="00566CAA">
        <w:rPr>
          <w:sz w:val="24"/>
          <w:szCs w:val="24"/>
        </w:rPr>
        <w:t>et al</w:t>
      </w:r>
      <w:r w:rsidR="00A63745" w:rsidRPr="00A63745">
        <w:rPr>
          <w:sz w:val="24"/>
          <w:szCs w:val="24"/>
        </w:rPr>
        <w:t>.</w:t>
      </w:r>
      <w:r w:rsidR="00651570">
        <w:rPr>
          <w:sz w:val="24"/>
          <w:szCs w:val="24"/>
        </w:rPr>
        <w:t>,</w:t>
      </w:r>
      <w:r w:rsidRPr="005A464E">
        <w:rPr>
          <w:sz w:val="24"/>
          <w:szCs w:val="24"/>
        </w:rPr>
        <w:t xml:space="preserve"> 2001</w:t>
      </w:r>
      <w:r w:rsidR="006571ED">
        <w:rPr>
          <w:sz w:val="24"/>
          <w:szCs w:val="24"/>
        </w:rPr>
        <w:t>;</w:t>
      </w:r>
      <w:r w:rsidR="006571ED" w:rsidRPr="006571ED">
        <w:rPr>
          <w:sz w:val="24"/>
          <w:szCs w:val="24"/>
        </w:rPr>
        <w:t xml:space="preserve"> </w:t>
      </w:r>
      <w:r w:rsidR="006571ED" w:rsidRPr="005A464E">
        <w:rPr>
          <w:sz w:val="24"/>
          <w:szCs w:val="24"/>
        </w:rPr>
        <w:t>Drüeke &amp; Eckardt</w:t>
      </w:r>
      <w:r w:rsidR="006571ED">
        <w:rPr>
          <w:sz w:val="24"/>
          <w:szCs w:val="24"/>
        </w:rPr>
        <w:t>, 2002</w:t>
      </w:r>
      <w:r w:rsidRPr="005A464E">
        <w:rPr>
          <w:sz w:val="24"/>
          <w:szCs w:val="24"/>
        </w:rPr>
        <w:t>), αλλά και με τις αλλαγές στην αντίληψη του εαυτού και την αυτοπεποίθηση και, μερικές φορές</w:t>
      </w:r>
      <w:r w:rsidR="00651570">
        <w:rPr>
          <w:sz w:val="24"/>
          <w:szCs w:val="24"/>
        </w:rPr>
        <w:t>,</w:t>
      </w:r>
      <w:r w:rsidRPr="005A464E">
        <w:rPr>
          <w:sz w:val="24"/>
          <w:szCs w:val="24"/>
        </w:rPr>
        <w:t xml:space="preserve"> την ανατροπή των ρόλων στην οικογένεια (Lev &amp; Owen</w:t>
      </w:r>
      <w:r w:rsidR="00AB454B">
        <w:rPr>
          <w:sz w:val="24"/>
          <w:szCs w:val="24"/>
        </w:rPr>
        <w:t>,</w:t>
      </w:r>
      <w:r w:rsidRPr="005A464E">
        <w:rPr>
          <w:sz w:val="24"/>
          <w:szCs w:val="24"/>
        </w:rPr>
        <w:t xml:space="preserve"> 1998). Οι μεγάλοι ψυχολογικοί και φυσικοί στρεσσογόνοι παράγοντες που βιώνουν οι ασθενείς υπό αιμοκάθαρση είναι ο πόνος</w:t>
      </w:r>
      <w:r w:rsidR="00D67E62">
        <w:rPr>
          <w:sz w:val="24"/>
          <w:szCs w:val="24"/>
        </w:rPr>
        <w:t xml:space="preserve"> (Ζ</w:t>
      </w:r>
      <w:r w:rsidR="00D67E62">
        <w:rPr>
          <w:sz w:val="24"/>
          <w:szCs w:val="24"/>
          <w:lang w:val="en-US"/>
        </w:rPr>
        <w:t>yga</w:t>
      </w:r>
      <w:r w:rsidR="00D67E62" w:rsidRPr="00D67E62">
        <w:rPr>
          <w:sz w:val="24"/>
          <w:szCs w:val="24"/>
        </w:rPr>
        <w:t xml:space="preserve"> </w:t>
      </w:r>
      <w:r w:rsidR="00D67E62">
        <w:rPr>
          <w:sz w:val="24"/>
          <w:szCs w:val="24"/>
          <w:lang w:val="en-US"/>
        </w:rPr>
        <w:t>et</w:t>
      </w:r>
      <w:r w:rsidR="00D67E62" w:rsidRPr="00D67E62">
        <w:rPr>
          <w:sz w:val="24"/>
          <w:szCs w:val="24"/>
        </w:rPr>
        <w:t xml:space="preserve"> </w:t>
      </w:r>
      <w:r w:rsidR="00D67E62">
        <w:rPr>
          <w:sz w:val="24"/>
          <w:szCs w:val="24"/>
          <w:lang w:val="en-US"/>
        </w:rPr>
        <w:t>al</w:t>
      </w:r>
      <w:r w:rsidR="00D67E62" w:rsidRPr="00D67E62">
        <w:rPr>
          <w:sz w:val="24"/>
          <w:szCs w:val="24"/>
        </w:rPr>
        <w:t>., 2015</w:t>
      </w:r>
      <w:r w:rsidR="00F909ED">
        <w:rPr>
          <w:sz w:val="24"/>
          <w:szCs w:val="24"/>
          <w:lang w:val="en-US"/>
        </w:rPr>
        <w:t>a</w:t>
      </w:r>
      <w:r w:rsidR="00D67E62" w:rsidRPr="00D67E62">
        <w:rPr>
          <w:sz w:val="24"/>
          <w:szCs w:val="24"/>
        </w:rPr>
        <w:t>)</w:t>
      </w:r>
      <w:r w:rsidRPr="005A464E">
        <w:rPr>
          <w:sz w:val="24"/>
          <w:szCs w:val="24"/>
        </w:rPr>
        <w:t>, ο περιορισμός των υγρών, ο κνησμός, η δυσφορία, περιορισμοί στη φυσική δραστηριότητα, η κόπωση, η αδυναμία, η έλλειψη αυτοφροντίδας, τα συναισθήματα ανεπάρκειας και οι αρνητικές διαθέσεις (Lok</w:t>
      </w:r>
      <w:r w:rsidR="00A63745" w:rsidRPr="00A63745">
        <w:rPr>
          <w:sz w:val="24"/>
          <w:szCs w:val="24"/>
        </w:rPr>
        <w:t>,</w:t>
      </w:r>
      <w:r w:rsidRPr="005A464E">
        <w:rPr>
          <w:sz w:val="24"/>
          <w:szCs w:val="24"/>
        </w:rPr>
        <w:t xml:space="preserve"> 1996; Mok &amp; Tam</w:t>
      </w:r>
      <w:r w:rsidR="00AB454B">
        <w:rPr>
          <w:sz w:val="24"/>
          <w:szCs w:val="24"/>
        </w:rPr>
        <w:t>,</w:t>
      </w:r>
      <w:r w:rsidRPr="005A464E">
        <w:rPr>
          <w:sz w:val="24"/>
          <w:szCs w:val="24"/>
        </w:rPr>
        <w:t xml:space="preserve"> 2001;</w:t>
      </w:r>
      <w:r w:rsidR="0078495A">
        <w:rPr>
          <w:sz w:val="24"/>
          <w:szCs w:val="24"/>
        </w:rPr>
        <w:t xml:space="preserve"> </w:t>
      </w:r>
      <w:r w:rsidRPr="005A464E">
        <w:rPr>
          <w:sz w:val="24"/>
          <w:szCs w:val="24"/>
        </w:rPr>
        <w:t>Welch &amp; Austin</w:t>
      </w:r>
      <w:r w:rsidR="00AB454B">
        <w:rPr>
          <w:sz w:val="24"/>
          <w:szCs w:val="24"/>
        </w:rPr>
        <w:t>,</w:t>
      </w:r>
      <w:r w:rsidRPr="005A464E">
        <w:rPr>
          <w:sz w:val="24"/>
          <w:szCs w:val="24"/>
        </w:rPr>
        <w:t xml:space="preserve"> 2001</w:t>
      </w:r>
      <w:r w:rsidR="00F909ED" w:rsidRPr="00F909ED">
        <w:rPr>
          <w:sz w:val="24"/>
          <w:szCs w:val="24"/>
        </w:rPr>
        <w:t xml:space="preserve">; </w:t>
      </w:r>
      <w:r w:rsidR="00F909ED">
        <w:rPr>
          <w:sz w:val="24"/>
          <w:szCs w:val="24"/>
        </w:rPr>
        <w:t>Ζ</w:t>
      </w:r>
      <w:r w:rsidR="00F909ED">
        <w:rPr>
          <w:sz w:val="24"/>
          <w:szCs w:val="24"/>
          <w:lang w:val="en-US"/>
        </w:rPr>
        <w:t>yga</w:t>
      </w:r>
      <w:r w:rsidR="00F909ED" w:rsidRPr="00D67E62">
        <w:rPr>
          <w:sz w:val="24"/>
          <w:szCs w:val="24"/>
        </w:rPr>
        <w:t xml:space="preserve"> </w:t>
      </w:r>
      <w:r w:rsidR="00F909ED">
        <w:rPr>
          <w:sz w:val="24"/>
          <w:szCs w:val="24"/>
          <w:lang w:val="en-US"/>
        </w:rPr>
        <w:t>et</w:t>
      </w:r>
      <w:r w:rsidR="00F909ED" w:rsidRPr="00D67E62">
        <w:rPr>
          <w:sz w:val="24"/>
          <w:szCs w:val="24"/>
        </w:rPr>
        <w:t xml:space="preserve"> </w:t>
      </w:r>
      <w:r w:rsidR="00F909ED">
        <w:rPr>
          <w:sz w:val="24"/>
          <w:szCs w:val="24"/>
          <w:lang w:val="en-US"/>
        </w:rPr>
        <w:t>al</w:t>
      </w:r>
      <w:r w:rsidR="00F909ED" w:rsidRPr="00D67E62">
        <w:rPr>
          <w:sz w:val="24"/>
          <w:szCs w:val="24"/>
        </w:rPr>
        <w:t>., 2015</w:t>
      </w:r>
      <w:r w:rsidR="00F909ED">
        <w:rPr>
          <w:sz w:val="24"/>
          <w:szCs w:val="24"/>
          <w:lang w:val="en-US"/>
        </w:rPr>
        <w:t>b</w:t>
      </w:r>
      <w:r w:rsidRPr="005A464E">
        <w:rPr>
          <w:sz w:val="24"/>
          <w:szCs w:val="24"/>
        </w:rPr>
        <w:t>). Στις ΗΠΑ ο ετήσιος ρυθμός θνησιμότητας αυτού του πληθυσμού ασθενών είναι 15,17%, ποσοστό μικρότερο από αυτό που παρατηρήθηκε στους ασθενείς με μη-Hodgkin λέμφωμα (23%),</w:t>
      </w:r>
      <w:r w:rsidR="006571ED">
        <w:rPr>
          <w:sz w:val="24"/>
          <w:szCs w:val="24"/>
        </w:rPr>
        <w:t xml:space="preserve"> καρκίνο των ωοθηκών (21%),</w:t>
      </w:r>
      <w:r w:rsidRPr="005A464E">
        <w:rPr>
          <w:sz w:val="24"/>
          <w:szCs w:val="24"/>
        </w:rPr>
        <w:t xml:space="preserve"> καρκίνο</w:t>
      </w:r>
      <w:r w:rsidR="006571ED">
        <w:rPr>
          <w:sz w:val="24"/>
          <w:szCs w:val="24"/>
        </w:rPr>
        <w:t xml:space="preserve"> </w:t>
      </w:r>
      <w:r w:rsidR="006571ED" w:rsidRPr="00F737D0">
        <w:rPr>
          <w:sz w:val="24"/>
          <w:szCs w:val="24"/>
        </w:rPr>
        <w:t>παχέος εντέρου</w:t>
      </w:r>
      <w:r w:rsidRPr="00F737D0">
        <w:rPr>
          <w:sz w:val="24"/>
          <w:szCs w:val="24"/>
        </w:rPr>
        <w:t xml:space="preserve"> (17%) και υψηλό</w:t>
      </w:r>
      <w:r w:rsidR="000B3DC6" w:rsidRPr="00F737D0">
        <w:rPr>
          <w:sz w:val="24"/>
          <w:szCs w:val="24"/>
        </w:rPr>
        <w:t>τερο από ό,τι σε ασθενείς με</w:t>
      </w:r>
      <w:r w:rsidRPr="00F737D0">
        <w:rPr>
          <w:sz w:val="24"/>
          <w:szCs w:val="24"/>
        </w:rPr>
        <w:t xml:space="preserve"> </w:t>
      </w:r>
      <w:r w:rsidR="000B3DC6" w:rsidRPr="00F737D0">
        <w:rPr>
          <w:sz w:val="24"/>
          <w:szCs w:val="24"/>
        </w:rPr>
        <w:t xml:space="preserve">καρκίνο του μαστού (2%) και </w:t>
      </w:r>
      <w:r w:rsidRPr="00F737D0">
        <w:rPr>
          <w:sz w:val="24"/>
          <w:szCs w:val="24"/>
        </w:rPr>
        <w:t xml:space="preserve">καρκίνου του προστάτη (0,2%) (USRDS </w:t>
      </w:r>
      <w:r w:rsidRPr="00F737D0">
        <w:rPr>
          <w:sz w:val="24"/>
          <w:szCs w:val="24"/>
          <w:lang w:val="en-US"/>
        </w:rPr>
        <w:t>Annual</w:t>
      </w:r>
      <w:r w:rsidRPr="00F737D0">
        <w:rPr>
          <w:sz w:val="24"/>
          <w:szCs w:val="24"/>
        </w:rPr>
        <w:t xml:space="preserve"> Data </w:t>
      </w:r>
      <w:r w:rsidRPr="00F737D0">
        <w:rPr>
          <w:sz w:val="24"/>
          <w:szCs w:val="24"/>
          <w:lang w:val="en-US"/>
        </w:rPr>
        <w:t>Report</w:t>
      </w:r>
      <w:r w:rsidR="00A63745" w:rsidRPr="00F737D0">
        <w:rPr>
          <w:sz w:val="24"/>
          <w:szCs w:val="24"/>
        </w:rPr>
        <w:t>,</w:t>
      </w:r>
      <w:r w:rsidRPr="00F737D0">
        <w:rPr>
          <w:sz w:val="24"/>
          <w:szCs w:val="24"/>
        </w:rPr>
        <w:t xml:space="preserve"> 2010). Επιπλέον, ένα πρόγραμμα αιμοκάθαρσης μπορεί να εμποδίσει σημαντικά τόσο την επαγγελματική όσο και</w:t>
      </w:r>
      <w:r w:rsidR="0078495A" w:rsidRPr="00F737D0">
        <w:rPr>
          <w:sz w:val="24"/>
          <w:szCs w:val="24"/>
        </w:rPr>
        <w:t xml:space="preserve"> </w:t>
      </w:r>
      <w:r w:rsidRPr="00F737D0">
        <w:rPr>
          <w:sz w:val="24"/>
          <w:szCs w:val="24"/>
        </w:rPr>
        <w:t>την προσ</w:t>
      </w:r>
      <w:r w:rsidR="00C41BCC" w:rsidRPr="00F737D0">
        <w:rPr>
          <w:sz w:val="24"/>
          <w:szCs w:val="24"/>
        </w:rPr>
        <w:t xml:space="preserve">ωπική ζωή </w:t>
      </w:r>
      <w:r w:rsidR="00B0560D" w:rsidRPr="00F737D0">
        <w:rPr>
          <w:sz w:val="24"/>
          <w:szCs w:val="24"/>
        </w:rPr>
        <w:t>του ασθενούς</w:t>
      </w:r>
      <w:r w:rsidR="000B3DC6" w:rsidRPr="00F737D0">
        <w:rPr>
          <w:sz w:val="24"/>
          <w:szCs w:val="24"/>
        </w:rPr>
        <w:t xml:space="preserve"> </w:t>
      </w:r>
      <w:r w:rsidR="00C41BCC" w:rsidRPr="00F737D0">
        <w:rPr>
          <w:sz w:val="24"/>
          <w:szCs w:val="24"/>
        </w:rPr>
        <w:t xml:space="preserve">(Kimmel </w:t>
      </w:r>
      <w:r w:rsidR="00566CAA" w:rsidRPr="00F737D0">
        <w:rPr>
          <w:sz w:val="24"/>
          <w:szCs w:val="24"/>
        </w:rPr>
        <w:t>et al</w:t>
      </w:r>
      <w:r w:rsidR="00A63745" w:rsidRPr="00F737D0">
        <w:rPr>
          <w:sz w:val="24"/>
          <w:szCs w:val="24"/>
        </w:rPr>
        <w:t>.</w:t>
      </w:r>
      <w:r w:rsidR="00785007" w:rsidRPr="00F737D0">
        <w:rPr>
          <w:sz w:val="24"/>
          <w:szCs w:val="24"/>
        </w:rPr>
        <w:t>,</w:t>
      </w:r>
      <w:r w:rsidR="00DB39FD" w:rsidRPr="00F737D0">
        <w:rPr>
          <w:sz w:val="24"/>
          <w:szCs w:val="24"/>
        </w:rPr>
        <w:t xml:space="preserve"> </w:t>
      </w:r>
      <w:r w:rsidR="00C41BCC" w:rsidRPr="00F737D0">
        <w:rPr>
          <w:sz w:val="24"/>
          <w:szCs w:val="24"/>
        </w:rPr>
        <w:t>1995; Valderr</w:t>
      </w:r>
      <w:r w:rsidR="00C41BCC" w:rsidRPr="00F737D0">
        <w:rPr>
          <w:rFonts w:cstheme="minorHAnsi"/>
          <w:sz w:val="24"/>
          <w:szCs w:val="24"/>
        </w:rPr>
        <w:t>á</w:t>
      </w:r>
      <w:r w:rsidRPr="00F737D0">
        <w:rPr>
          <w:sz w:val="24"/>
          <w:szCs w:val="24"/>
        </w:rPr>
        <w:t>bano</w:t>
      </w:r>
      <w:r w:rsidR="00D75F89" w:rsidRPr="00F737D0">
        <w:rPr>
          <w:sz w:val="24"/>
          <w:szCs w:val="24"/>
        </w:rPr>
        <w:t xml:space="preserve"> </w:t>
      </w:r>
      <w:r w:rsidR="00D75F89" w:rsidRPr="00F737D0">
        <w:rPr>
          <w:sz w:val="24"/>
          <w:szCs w:val="24"/>
          <w:lang w:val="en-US"/>
        </w:rPr>
        <w:t>et</w:t>
      </w:r>
      <w:r w:rsidR="00D75F89" w:rsidRPr="00F737D0">
        <w:rPr>
          <w:sz w:val="24"/>
          <w:szCs w:val="24"/>
        </w:rPr>
        <w:t xml:space="preserve"> </w:t>
      </w:r>
      <w:r w:rsidR="00D75F89" w:rsidRPr="00F737D0">
        <w:rPr>
          <w:sz w:val="24"/>
          <w:szCs w:val="24"/>
          <w:lang w:val="en-US"/>
        </w:rPr>
        <w:t>al</w:t>
      </w:r>
      <w:r w:rsidR="00D75F89" w:rsidRPr="00F737D0">
        <w:rPr>
          <w:sz w:val="24"/>
          <w:szCs w:val="24"/>
        </w:rPr>
        <w:t xml:space="preserve">., </w:t>
      </w:r>
      <w:r w:rsidRPr="00F737D0">
        <w:rPr>
          <w:sz w:val="24"/>
          <w:szCs w:val="24"/>
        </w:rPr>
        <w:t>2001).</w:t>
      </w:r>
    </w:p>
    <w:p w:rsidR="00860FA2" w:rsidRPr="004A7CDC" w:rsidRDefault="00522110" w:rsidP="005A464E">
      <w:pPr>
        <w:spacing w:line="360" w:lineRule="auto"/>
        <w:jc w:val="both"/>
        <w:rPr>
          <w:sz w:val="24"/>
          <w:szCs w:val="24"/>
        </w:rPr>
      </w:pPr>
      <w:r w:rsidRPr="00F737D0">
        <w:rPr>
          <w:sz w:val="24"/>
          <w:szCs w:val="24"/>
        </w:rPr>
        <w:t>Η</w:t>
      </w:r>
      <w:r w:rsidR="000B3DC6" w:rsidRPr="00F737D0">
        <w:rPr>
          <w:sz w:val="24"/>
          <w:szCs w:val="24"/>
        </w:rPr>
        <w:t xml:space="preserve"> αντιμετώπιση της </w:t>
      </w:r>
      <w:r w:rsidR="001F3E06" w:rsidRPr="00F737D0">
        <w:rPr>
          <w:sz w:val="24"/>
          <w:szCs w:val="24"/>
        </w:rPr>
        <w:t>ΤΣ</w:t>
      </w:r>
      <w:r w:rsidR="000B3DC6" w:rsidRPr="00F737D0">
        <w:rPr>
          <w:sz w:val="24"/>
          <w:szCs w:val="24"/>
        </w:rPr>
        <w:t>ΧΝΝ</w:t>
      </w:r>
      <w:r w:rsidRPr="00F737D0">
        <w:rPr>
          <w:sz w:val="24"/>
          <w:szCs w:val="24"/>
        </w:rPr>
        <w:t xml:space="preserve"> δεν στηρίζεται</w:t>
      </w:r>
      <w:r w:rsidR="0078495A" w:rsidRPr="00F737D0">
        <w:rPr>
          <w:sz w:val="24"/>
          <w:szCs w:val="24"/>
        </w:rPr>
        <w:t xml:space="preserve"> </w:t>
      </w:r>
      <w:r w:rsidR="000B3DC6" w:rsidRPr="00F737D0">
        <w:rPr>
          <w:sz w:val="24"/>
          <w:szCs w:val="24"/>
        </w:rPr>
        <w:t>μόνο σ</w:t>
      </w:r>
      <w:r w:rsidRPr="00F737D0">
        <w:rPr>
          <w:sz w:val="24"/>
          <w:szCs w:val="24"/>
        </w:rPr>
        <w:t>τη χορήγηση της φαρμ</w:t>
      </w:r>
      <w:r w:rsidR="0053085B" w:rsidRPr="00F737D0">
        <w:rPr>
          <w:sz w:val="24"/>
          <w:szCs w:val="24"/>
        </w:rPr>
        <w:t>ακευτικής αγωγής</w:t>
      </w:r>
      <w:r w:rsidR="000B3DC6" w:rsidRPr="00F737D0">
        <w:rPr>
          <w:sz w:val="24"/>
          <w:szCs w:val="24"/>
        </w:rPr>
        <w:t>.</w:t>
      </w:r>
      <w:r w:rsidR="0078495A" w:rsidRPr="00F737D0">
        <w:rPr>
          <w:sz w:val="24"/>
          <w:szCs w:val="24"/>
        </w:rPr>
        <w:t xml:space="preserve"> </w:t>
      </w:r>
      <w:r w:rsidR="000B3DC6" w:rsidRPr="00F737D0">
        <w:rPr>
          <w:sz w:val="24"/>
          <w:szCs w:val="24"/>
        </w:rPr>
        <w:t xml:space="preserve">Για να επιτευχθεί η υποκατάσταση της νεφρικής λειτουργίας απαραίτητη είναι η διενέργεια της αιμοκάθαρσης. Η αιμοκάθαρση, όμως, περιλαμβάνει </w:t>
      </w:r>
      <w:r w:rsidRPr="00F737D0">
        <w:rPr>
          <w:sz w:val="24"/>
          <w:szCs w:val="24"/>
        </w:rPr>
        <w:t xml:space="preserve"> διάφορες επιπλοκές όπως την οστεοδυστροφία, την</w:t>
      </w:r>
      <w:r w:rsidRPr="005A464E">
        <w:rPr>
          <w:sz w:val="24"/>
          <w:szCs w:val="24"/>
        </w:rPr>
        <w:t xml:space="preserve"> αθηροσκληρωτική νόσο και τον </w:t>
      </w:r>
      <w:r w:rsidR="00D43907" w:rsidRPr="00426378">
        <w:rPr>
          <w:sz w:val="24"/>
          <w:szCs w:val="24"/>
        </w:rPr>
        <w:t>κίνδυνο</w:t>
      </w:r>
      <w:r w:rsidRPr="00426378">
        <w:rPr>
          <w:sz w:val="24"/>
          <w:szCs w:val="24"/>
        </w:rPr>
        <w:t xml:space="preserve"> των λοιμώξεων</w:t>
      </w:r>
      <w:r w:rsidR="001F4F1F" w:rsidRPr="00426378">
        <w:rPr>
          <w:sz w:val="24"/>
          <w:szCs w:val="24"/>
        </w:rPr>
        <w:t xml:space="preserve"> αλλά και συμβάματα κατά τη διάρκεια της αιμοκάθαρσης</w:t>
      </w:r>
      <w:r w:rsidRPr="00426378">
        <w:rPr>
          <w:sz w:val="24"/>
          <w:szCs w:val="24"/>
        </w:rPr>
        <w:t>. Αυτή η</w:t>
      </w:r>
      <w:r w:rsidR="00D43907" w:rsidRPr="00426378">
        <w:rPr>
          <w:sz w:val="24"/>
          <w:szCs w:val="24"/>
        </w:rPr>
        <w:t xml:space="preserve"> </w:t>
      </w:r>
      <w:r w:rsidRPr="00426378">
        <w:rPr>
          <w:sz w:val="24"/>
          <w:szCs w:val="24"/>
        </w:rPr>
        <w:t>αναποτελεσματική υποκατάσταση της νεφρικής λειτουργίας αυξάνει την πιθανότητα θανάτου αυτών των ασθενών κατά είκοσι φορές από ό</w:t>
      </w:r>
      <w:r w:rsidR="00155E11" w:rsidRPr="00426378">
        <w:rPr>
          <w:sz w:val="24"/>
          <w:szCs w:val="24"/>
        </w:rPr>
        <w:t>,</w:t>
      </w:r>
      <w:r w:rsidRPr="00426378">
        <w:rPr>
          <w:sz w:val="24"/>
          <w:szCs w:val="24"/>
        </w:rPr>
        <w:t>τι στο</w:t>
      </w:r>
      <w:r w:rsidR="00155E11" w:rsidRPr="00426378">
        <w:rPr>
          <w:sz w:val="24"/>
          <w:szCs w:val="24"/>
        </w:rPr>
        <w:t>ν</w:t>
      </w:r>
      <w:r w:rsidR="00D43907" w:rsidRPr="00426378">
        <w:rPr>
          <w:sz w:val="24"/>
          <w:szCs w:val="24"/>
        </w:rPr>
        <w:t xml:space="preserve"> γενικό πληθυσμό (Parmar</w:t>
      </w:r>
      <w:r w:rsidR="000143B4" w:rsidRPr="00426378">
        <w:rPr>
          <w:sz w:val="24"/>
          <w:szCs w:val="24"/>
        </w:rPr>
        <w:t>,</w:t>
      </w:r>
      <w:r w:rsidRPr="00426378">
        <w:rPr>
          <w:sz w:val="24"/>
          <w:szCs w:val="24"/>
        </w:rPr>
        <w:t xml:space="preserve"> 2002). Οι ασθενείς υπό </w:t>
      </w:r>
      <w:r w:rsidR="000B3DC6" w:rsidRPr="00426378">
        <w:rPr>
          <w:sz w:val="24"/>
          <w:szCs w:val="24"/>
        </w:rPr>
        <w:t xml:space="preserve">αιμοκάθαρση </w:t>
      </w:r>
      <w:r w:rsidRPr="00426378">
        <w:rPr>
          <w:sz w:val="24"/>
          <w:szCs w:val="24"/>
        </w:rPr>
        <w:t xml:space="preserve">πρέπει να </w:t>
      </w:r>
      <w:r w:rsidR="000B3DC6" w:rsidRPr="00426378">
        <w:rPr>
          <w:sz w:val="24"/>
          <w:szCs w:val="24"/>
        </w:rPr>
        <w:t>τηρήσ</w:t>
      </w:r>
      <w:r w:rsidRPr="00426378">
        <w:rPr>
          <w:sz w:val="24"/>
          <w:szCs w:val="24"/>
        </w:rPr>
        <w:t>ουν μια πολύ περιορισμένη διατροφή με ελεγχόμενη πρόσληψη υγρών. Ο ασθενής υποβάλλεται σε συνεδρίες αιμοκάθαρσης για περίπου τέσσερις ώρες</w:t>
      </w:r>
      <w:r w:rsidR="00155E11" w:rsidRPr="00426378">
        <w:rPr>
          <w:sz w:val="24"/>
          <w:szCs w:val="24"/>
        </w:rPr>
        <w:t xml:space="preserve"> και για</w:t>
      </w:r>
      <w:r w:rsidRPr="00426378">
        <w:rPr>
          <w:sz w:val="24"/>
          <w:szCs w:val="24"/>
        </w:rPr>
        <w:t xml:space="preserve"> τρεις φορές την εβδομάδα</w:t>
      </w:r>
      <w:r w:rsidR="00651570" w:rsidRPr="00426378">
        <w:rPr>
          <w:sz w:val="24"/>
          <w:szCs w:val="24"/>
        </w:rPr>
        <w:t xml:space="preserve"> σε</w:t>
      </w:r>
      <w:r w:rsidR="001F4F1F" w:rsidRPr="00426378">
        <w:rPr>
          <w:sz w:val="24"/>
          <w:szCs w:val="24"/>
        </w:rPr>
        <w:t xml:space="preserve"> ΜΤΝ</w:t>
      </w:r>
      <w:r w:rsidR="0078495A" w:rsidRPr="00426378">
        <w:rPr>
          <w:sz w:val="24"/>
          <w:szCs w:val="24"/>
        </w:rPr>
        <w:t xml:space="preserve"> </w:t>
      </w:r>
      <w:r w:rsidR="00651570" w:rsidRPr="00426378">
        <w:rPr>
          <w:sz w:val="24"/>
          <w:szCs w:val="24"/>
        </w:rPr>
        <w:t>(επιπλέον</w:t>
      </w:r>
      <w:r w:rsidRPr="00426378">
        <w:rPr>
          <w:sz w:val="24"/>
          <w:szCs w:val="24"/>
        </w:rPr>
        <w:t xml:space="preserve"> το</w:t>
      </w:r>
      <w:r w:rsidR="00651570" w:rsidRPr="00426378">
        <w:rPr>
          <w:sz w:val="24"/>
          <w:szCs w:val="24"/>
        </w:rPr>
        <w:t>υ</w:t>
      </w:r>
      <w:r w:rsidRPr="00426378">
        <w:rPr>
          <w:sz w:val="24"/>
          <w:szCs w:val="24"/>
        </w:rPr>
        <w:t xml:space="preserve"> χρόνο</w:t>
      </w:r>
      <w:r w:rsidR="00651570" w:rsidRPr="00426378">
        <w:rPr>
          <w:sz w:val="24"/>
          <w:szCs w:val="24"/>
        </w:rPr>
        <w:t>υ</w:t>
      </w:r>
      <w:r w:rsidRPr="00426378">
        <w:rPr>
          <w:sz w:val="24"/>
          <w:szCs w:val="24"/>
        </w:rPr>
        <w:t xml:space="preserve"> που δαπανάται για μετακινήσεις προς και από τη</w:t>
      </w:r>
      <w:r w:rsidR="00D43907" w:rsidRPr="00426378">
        <w:rPr>
          <w:sz w:val="24"/>
          <w:szCs w:val="24"/>
        </w:rPr>
        <w:t xml:space="preserve"> </w:t>
      </w:r>
      <w:r w:rsidR="001F4F1F" w:rsidRPr="00426378">
        <w:rPr>
          <w:sz w:val="24"/>
          <w:szCs w:val="24"/>
        </w:rPr>
        <w:t>ΜΤΝ</w:t>
      </w:r>
      <w:r w:rsidRPr="00426378">
        <w:rPr>
          <w:sz w:val="24"/>
          <w:szCs w:val="24"/>
        </w:rPr>
        <w:t xml:space="preserve">), μια απώλεια χρόνου που επηρεάζει την απασχόληση, την ψυχαγωγία και τις κοινωνικές σχέσεις. Δεν προκαλεί έκπληξη, λοιπόν, ότι η νεφρική νόσος τελικού σταδίου που αντιμετωπίζεται με </w:t>
      </w:r>
      <w:r w:rsidR="001F4F1F" w:rsidRPr="00426378">
        <w:rPr>
          <w:sz w:val="24"/>
          <w:szCs w:val="24"/>
        </w:rPr>
        <w:t xml:space="preserve">αιμοκάθαρση </w:t>
      </w:r>
      <w:r w:rsidRPr="00426378">
        <w:rPr>
          <w:sz w:val="24"/>
          <w:szCs w:val="24"/>
        </w:rPr>
        <w:t>επηρεάζει την ποιότητα ζωής πιο έντονα από ό,τι η καρδιακή αν</w:t>
      </w:r>
      <w:r w:rsidR="001D25F8" w:rsidRPr="00426378">
        <w:rPr>
          <w:sz w:val="24"/>
          <w:szCs w:val="24"/>
        </w:rPr>
        <w:t>επάρκεια, ο σακχαρώδης διαβήτης</w:t>
      </w:r>
      <w:r w:rsidRPr="00426378">
        <w:rPr>
          <w:sz w:val="24"/>
          <w:szCs w:val="24"/>
        </w:rPr>
        <w:t>, οι</w:t>
      </w:r>
      <w:r w:rsidR="0078495A" w:rsidRPr="00426378">
        <w:rPr>
          <w:sz w:val="24"/>
          <w:szCs w:val="24"/>
        </w:rPr>
        <w:t xml:space="preserve"> </w:t>
      </w:r>
      <w:r w:rsidRPr="00426378">
        <w:rPr>
          <w:sz w:val="24"/>
          <w:szCs w:val="24"/>
        </w:rPr>
        <w:t>αρ</w:t>
      </w:r>
      <w:r w:rsidR="000143B4" w:rsidRPr="00426378">
        <w:rPr>
          <w:sz w:val="24"/>
          <w:szCs w:val="24"/>
        </w:rPr>
        <w:t>θρίτιδες και ο καρκίνος (Mi</w:t>
      </w:r>
      <w:r w:rsidR="004A7CDC" w:rsidRPr="00426378">
        <w:rPr>
          <w:sz w:val="24"/>
          <w:szCs w:val="24"/>
        </w:rPr>
        <w:t xml:space="preserve">ttal, </w:t>
      </w:r>
      <w:hyperlink r:id="rId35" w:history="1">
        <w:r w:rsidR="004A7CDC" w:rsidRPr="00426378">
          <w:rPr>
            <w:rStyle w:val="-"/>
            <w:rFonts w:asciiTheme="minorHAnsi" w:hAnsiTheme="minorHAnsi" w:cs="Arial"/>
            <w:color w:val="auto"/>
            <w:sz w:val="24"/>
            <w:szCs w:val="24"/>
            <w:u w:val="none"/>
            <w:shd w:val="clear" w:color="auto" w:fill="FFFFFF"/>
            <w:lang w:val="en-US"/>
          </w:rPr>
          <w:t>Ahern</w:t>
        </w:r>
        <w:r w:rsidR="004A7CDC" w:rsidRPr="00426378">
          <w:rPr>
            <w:rStyle w:val="-"/>
            <w:rFonts w:asciiTheme="minorHAnsi" w:hAnsiTheme="minorHAnsi" w:cs="Arial"/>
            <w:color w:val="auto"/>
            <w:sz w:val="24"/>
            <w:szCs w:val="24"/>
            <w:u w:val="none"/>
            <w:shd w:val="clear" w:color="auto" w:fill="FFFFFF"/>
          </w:rPr>
          <w:t xml:space="preserve">, </w:t>
        </w:r>
      </w:hyperlink>
      <w:r w:rsidR="004A7CDC" w:rsidRPr="00426378">
        <w:rPr>
          <w:rFonts w:asciiTheme="minorHAnsi" w:hAnsiTheme="minorHAnsi" w:cs="Arial"/>
          <w:sz w:val="24"/>
          <w:szCs w:val="24"/>
          <w:shd w:val="clear" w:color="auto" w:fill="FFFFFF"/>
          <w:lang w:val="en-US"/>
        </w:rPr>
        <w:t> </w:t>
      </w:r>
      <w:hyperlink r:id="rId36" w:history="1">
        <w:r w:rsidR="004A7CDC" w:rsidRPr="00426378">
          <w:rPr>
            <w:rStyle w:val="-"/>
            <w:rFonts w:asciiTheme="minorHAnsi" w:hAnsiTheme="minorHAnsi" w:cs="Arial"/>
            <w:color w:val="auto"/>
            <w:sz w:val="24"/>
            <w:szCs w:val="24"/>
            <w:u w:val="none"/>
            <w:shd w:val="clear" w:color="auto" w:fill="FFFFFF"/>
            <w:lang w:val="en-US"/>
          </w:rPr>
          <w:t>Flaster</w:t>
        </w:r>
        <w:r w:rsidR="004A7CDC" w:rsidRPr="00426378">
          <w:rPr>
            <w:rStyle w:val="-"/>
            <w:rFonts w:asciiTheme="minorHAnsi" w:hAnsiTheme="minorHAnsi" w:cs="Arial"/>
            <w:color w:val="auto"/>
            <w:sz w:val="24"/>
            <w:szCs w:val="24"/>
            <w:u w:val="none"/>
            <w:shd w:val="clear" w:color="auto" w:fill="FFFFFF"/>
          </w:rPr>
          <w:t xml:space="preserve">, </w:t>
        </w:r>
      </w:hyperlink>
      <w:hyperlink r:id="rId37" w:history="1">
        <w:r w:rsidR="004A7CDC" w:rsidRPr="00426378">
          <w:rPr>
            <w:rStyle w:val="-"/>
            <w:rFonts w:asciiTheme="minorHAnsi" w:hAnsiTheme="minorHAnsi" w:cs="Arial"/>
            <w:color w:val="auto"/>
            <w:sz w:val="24"/>
            <w:szCs w:val="24"/>
            <w:u w:val="none"/>
            <w:shd w:val="clear" w:color="auto" w:fill="FFFFFF"/>
            <w:lang w:val="en-US"/>
          </w:rPr>
          <w:t>Maesaka</w:t>
        </w:r>
        <w:r w:rsidR="004A7CDC" w:rsidRPr="00426378">
          <w:rPr>
            <w:rStyle w:val="-"/>
            <w:rFonts w:asciiTheme="minorHAnsi" w:hAnsiTheme="minorHAnsi" w:cs="Arial"/>
            <w:color w:val="auto"/>
            <w:sz w:val="24"/>
            <w:szCs w:val="24"/>
            <w:u w:val="none"/>
            <w:shd w:val="clear" w:color="auto" w:fill="FFFFFF"/>
          </w:rPr>
          <w:t xml:space="preserve">, </w:t>
        </w:r>
      </w:hyperlink>
      <w:r w:rsidR="004A7CDC" w:rsidRPr="00426378">
        <w:rPr>
          <w:sz w:val="24"/>
          <w:szCs w:val="24"/>
        </w:rPr>
        <w:t xml:space="preserve"> </w:t>
      </w:r>
      <w:r w:rsidR="004A7CDC" w:rsidRPr="00426378">
        <w:rPr>
          <w:rFonts w:asciiTheme="minorHAnsi" w:hAnsiTheme="minorHAnsi" w:cs="Arial"/>
          <w:sz w:val="24"/>
          <w:szCs w:val="24"/>
          <w:shd w:val="clear" w:color="auto" w:fill="FFFFFF"/>
        </w:rPr>
        <w:t xml:space="preserve">&amp; </w:t>
      </w:r>
      <w:hyperlink r:id="rId38" w:history="1">
        <w:r w:rsidR="004A7CDC" w:rsidRPr="00426378">
          <w:rPr>
            <w:rStyle w:val="-"/>
            <w:rFonts w:asciiTheme="minorHAnsi" w:hAnsiTheme="minorHAnsi" w:cs="Arial"/>
            <w:color w:val="auto"/>
            <w:sz w:val="24"/>
            <w:szCs w:val="24"/>
            <w:u w:val="none"/>
            <w:shd w:val="clear" w:color="auto" w:fill="FFFFFF"/>
            <w:lang w:val="en-US"/>
          </w:rPr>
          <w:t>Fishbane</w:t>
        </w:r>
        <w:r w:rsidR="004A7CDC" w:rsidRPr="00426378">
          <w:rPr>
            <w:rStyle w:val="-"/>
            <w:rFonts w:asciiTheme="minorHAnsi" w:hAnsiTheme="minorHAnsi" w:cs="Arial"/>
            <w:color w:val="auto"/>
            <w:sz w:val="24"/>
            <w:szCs w:val="24"/>
            <w:u w:val="none"/>
            <w:shd w:val="clear" w:color="auto" w:fill="FFFFFF"/>
          </w:rPr>
          <w:t>,</w:t>
        </w:r>
      </w:hyperlink>
      <w:r w:rsidR="00867822" w:rsidRPr="00426378">
        <w:rPr>
          <w:sz w:val="24"/>
          <w:szCs w:val="24"/>
        </w:rPr>
        <w:t xml:space="preserve"> </w:t>
      </w:r>
      <w:r w:rsidRPr="00426378">
        <w:rPr>
          <w:sz w:val="24"/>
          <w:szCs w:val="24"/>
        </w:rPr>
        <w:t>2001).</w:t>
      </w:r>
    </w:p>
    <w:p w:rsidR="00522110" w:rsidRPr="005A464E" w:rsidRDefault="00522110" w:rsidP="005A464E">
      <w:pPr>
        <w:spacing w:line="360" w:lineRule="auto"/>
        <w:jc w:val="both"/>
        <w:rPr>
          <w:sz w:val="24"/>
          <w:szCs w:val="24"/>
        </w:rPr>
      </w:pPr>
      <w:r w:rsidRPr="005A464E">
        <w:rPr>
          <w:sz w:val="24"/>
          <w:szCs w:val="24"/>
        </w:rPr>
        <w:t xml:space="preserve">Τα τελευταία χρόνια η συχνότητα εμφάνισης συμπτωμάτων κατά την αιμοκάθαρση έχει μειωθεί, βελτιώνοντας το αίσθημα ευεξίας κατά τη διάρκεια των συνεδριών </w:t>
      </w:r>
      <w:r w:rsidR="001F4F1F">
        <w:rPr>
          <w:sz w:val="24"/>
          <w:szCs w:val="24"/>
        </w:rPr>
        <w:t>αιμοκάθαρση</w:t>
      </w:r>
      <w:r w:rsidR="001F3E06">
        <w:rPr>
          <w:sz w:val="24"/>
          <w:szCs w:val="24"/>
        </w:rPr>
        <w:t>ς</w:t>
      </w:r>
      <w:r w:rsidRPr="005A464E">
        <w:rPr>
          <w:sz w:val="24"/>
          <w:szCs w:val="24"/>
        </w:rPr>
        <w:t>. Αυτό οφείλεται κυρίως στην τεχνική πρόοδο, όπως τις πιο αξιόπιστες συσκευές παρακολούθησης</w:t>
      </w:r>
      <w:r w:rsidR="00D43907" w:rsidRPr="005A464E">
        <w:rPr>
          <w:sz w:val="24"/>
          <w:szCs w:val="24"/>
        </w:rPr>
        <w:t xml:space="preserve"> της κατάστασης των ασθενών</w:t>
      </w:r>
      <w:r w:rsidRPr="005A464E">
        <w:rPr>
          <w:sz w:val="24"/>
          <w:szCs w:val="24"/>
        </w:rPr>
        <w:t xml:space="preserve">, </w:t>
      </w:r>
      <w:r w:rsidR="003C6FCF" w:rsidRPr="005A464E">
        <w:rPr>
          <w:sz w:val="24"/>
          <w:szCs w:val="24"/>
        </w:rPr>
        <w:t xml:space="preserve">τη </w:t>
      </w:r>
      <w:r w:rsidRPr="005A464E">
        <w:rPr>
          <w:sz w:val="24"/>
          <w:szCs w:val="24"/>
        </w:rPr>
        <w:t>β</w:t>
      </w:r>
      <w:r w:rsidR="00050C96" w:rsidRPr="005A464E">
        <w:rPr>
          <w:sz w:val="24"/>
          <w:szCs w:val="24"/>
        </w:rPr>
        <w:t>ελτίωση της ποιότητας του νερού</w:t>
      </w:r>
      <w:r w:rsidR="00911052" w:rsidRPr="005A464E">
        <w:rPr>
          <w:sz w:val="24"/>
          <w:szCs w:val="24"/>
        </w:rPr>
        <w:t xml:space="preserve"> </w:t>
      </w:r>
      <w:r w:rsidRPr="005A464E">
        <w:rPr>
          <w:sz w:val="24"/>
          <w:szCs w:val="24"/>
        </w:rPr>
        <w:t xml:space="preserve">και </w:t>
      </w:r>
      <w:r w:rsidR="003C6FCF" w:rsidRPr="005A464E">
        <w:rPr>
          <w:sz w:val="24"/>
          <w:szCs w:val="24"/>
        </w:rPr>
        <w:t xml:space="preserve">τα </w:t>
      </w:r>
      <w:r w:rsidRPr="005A464E">
        <w:rPr>
          <w:sz w:val="24"/>
          <w:szCs w:val="24"/>
        </w:rPr>
        <w:t xml:space="preserve">μηχανήματα για τον έλεγχο της υπερδιήθησης. Σήμερα κατά τη διάρκεια της αιμοκάθαρσης, οι ασθενείς υποφέρουν λιγότερο από υπόταση, </w:t>
      </w:r>
      <w:r w:rsidR="001F4F1F" w:rsidRPr="00F737D0">
        <w:rPr>
          <w:sz w:val="24"/>
          <w:szCs w:val="24"/>
        </w:rPr>
        <w:t xml:space="preserve">μϋικές </w:t>
      </w:r>
      <w:r w:rsidR="009B2A2B" w:rsidRPr="00F737D0">
        <w:rPr>
          <w:sz w:val="24"/>
          <w:szCs w:val="24"/>
        </w:rPr>
        <w:t>συνολκές</w:t>
      </w:r>
      <w:r w:rsidR="00050C96" w:rsidRPr="00F737D0">
        <w:rPr>
          <w:sz w:val="24"/>
          <w:szCs w:val="24"/>
        </w:rPr>
        <w:t>, πονοκέφαλο</w:t>
      </w:r>
      <w:r w:rsidRPr="00F737D0">
        <w:rPr>
          <w:sz w:val="24"/>
          <w:szCs w:val="24"/>
        </w:rPr>
        <w:t>, ζάλη, ναυτία και έμε</w:t>
      </w:r>
      <w:r w:rsidR="00413DE4" w:rsidRPr="00F737D0">
        <w:rPr>
          <w:sz w:val="24"/>
          <w:szCs w:val="24"/>
        </w:rPr>
        <w:t>το (</w:t>
      </w:r>
      <w:r w:rsidR="001F4F1F" w:rsidRPr="00F737D0">
        <w:rPr>
          <w:sz w:val="24"/>
          <w:szCs w:val="24"/>
        </w:rPr>
        <w:t xml:space="preserve">Al-Hilali et al., 2004; </w:t>
      </w:r>
      <w:r w:rsidR="00413DE4" w:rsidRPr="00F737D0">
        <w:rPr>
          <w:sz w:val="24"/>
          <w:szCs w:val="24"/>
        </w:rPr>
        <w:t>Himmelfarb &amp; İkizler</w:t>
      </w:r>
      <w:r w:rsidR="00AB454B" w:rsidRPr="00F737D0">
        <w:rPr>
          <w:sz w:val="24"/>
          <w:szCs w:val="24"/>
        </w:rPr>
        <w:t>,</w:t>
      </w:r>
      <w:r w:rsidR="00413DE4" w:rsidRPr="00F737D0">
        <w:rPr>
          <w:sz w:val="24"/>
          <w:szCs w:val="24"/>
        </w:rPr>
        <w:t xml:space="preserve"> 2010</w:t>
      </w:r>
      <w:r w:rsidRPr="00F737D0">
        <w:rPr>
          <w:sz w:val="24"/>
          <w:szCs w:val="24"/>
        </w:rPr>
        <w:t>).</w:t>
      </w:r>
      <w:r w:rsidRPr="005A464E">
        <w:rPr>
          <w:sz w:val="24"/>
          <w:szCs w:val="24"/>
        </w:rPr>
        <w:t xml:space="preserve"> Ωστόσο,</w:t>
      </w:r>
      <w:r w:rsidR="00D43907" w:rsidRPr="005A464E">
        <w:rPr>
          <w:sz w:val="24"/>
          <w:szCs w:val="24"/>
        </w:rPr>
        <w:t xml:space="preserve"> </w:t>
      </w:r>
      <w:r w:rsidRPr="005A464E">
        <w:rPr>
          <w:sz w:val="24"/>
          <w:szCs w:val="24"/>
        </w:rPr>
        <w:t xml:space="preserve">η πρόοδος στην τεχνολογία της αιμοκάθαρσης δεν έφερε αλλαγές στα χαρακτηριστικά της </w:t>
      </w:r>
      <w:r w:rsidR="001F3E06">
        <w:rPr>
          <w:sz w:val="24"/>
          <w:szCs w:val="24"/>
        </w:rPr>
        <w:t>εξωνεφρικής κάθαρ</w:t>
      </w:r>
      <w:r w:rsidRPr="005A464E">
        <w:rPr>
          <w:sz w:val="24"/>
          <w:szCs w:val="24"/>
        </w:rPr>
        <w:t>σης: σοβαροί διαιτητικοί περιορισμοί, α</w:t>
      </w:r>
      <w:r w:rsidR="00050C96" w:rsidRPr="005A464E">
        <w:rPr>
          <w:sz w:val="24"/>
          <w:szCs w:val="24"/>
        </w:rPr>
        <w:t xml:space="preserve">πώλεια χρόνου, </w:t>
      </w:r>
      <w:r w:rsidRPr="005A464E">
        <w:rPr>
          <w:sz w:val="24"/>
          <w:szCs w:val="24"/>
        </w:rPr>
        <w:t>εξάρτηση από ένα μηχάνημα,</w:t>
      </w:r>
      <w:r w:rsidR="0078495A">
        <w:rPr>
          <w:sz w:val="24"/>
          <w:szCs w:val="24"/>
        </w:rPr>
        <w:t xml:space="preserve"> </w:t>
      </w:r>
      <w:r w:rsidRPr="005A464E">
        <w:rPr>
          <w:sz w:val="24"/>
          <w:szCs w:val="24"/>
        </w:rPr>
        <w:t>εμφάνιση των κλινικών επιπλοκών και υψηλή θνησιμότητα. Έτσι, η θεραπεία υποκατάστασης της νεφρικής λειτουργίας στους ασθενείς με ΧΝΝ είναι ένα γεγονός που προκαλεί κοινωνικές και οικογενειακές αλλαγές και παρεμβαίνει έντονα στην ποιότητα ζωής</w:t>
      </w:r>
      <w:r w:rsidR="00C81D8C">
        <w:rPr>
          <w:sz w:val="24"/>
          <w:szCs w:val="24"/>
        </w:rPr>
        <w:t xml:space="preserve"> των ασθενών (Cukor,</w:t>
      </w:r>
      <w:r w:rsidR="003C6FCF" w:rsidRPr="005A464E">
        <w:rPr>
          <w:sz w:val="24"/>
          <w:szCs w:val="24"/>
        </w:rPr>
        <w:t xml:space="preserve"> </w:t>
      </w:r>
      <w:r w:rsidR="00C81D8C" w:rsidRPr="00C81D8C">
        <w:rPr>
          <w:rFonts w:asciiTheme="minorHAnsi" w:hAnsiTheme="minorHAnsi" w:cstheme="minorHAnsi"/>
          <w:sz w:val="24"/>
          <w:szCs w:val="24"/>
          <w:lang w:val="en-US"/>
        </w:rPr>
        <w:t>Cohen</w:t>
      </w:r>
      <w:r w:rsidR="00C81D8C" w:rsidRPr="00C81D8C">
        <w:rPr>
          <w:rFonts w:asciiTheme="minorHAnsi" w:hAnsiTheme="minorHAnsi" w:cstheme="minorHAnsi"/>
          <w:sz w:val="24"/>
          <w:szCs w:val="24"/>
        </w:rPr>
        <w:t xml:space="preserve">, </w:t>
      </w:r>
      <w:r w:rsidR="00C81D8C" w:rsidRPr="00C81D8C">
        <w:rPr>
          <w:rFonts w:asciiTheme="minorHAnsi" w:hAnsiTheme="minorHAnsi" w:cstheme="minorHAnsi"/>
          <w:sz w:val="24"/>
          <w:szCs w:val="24"/>
          <w:lang w:val="en-US"/>
        </w:rPr>
        <w:t>Peterson</w:t>
      </w:r>
      <w:r w:rsidR="00C81D8C">
        <w:rPr>
          <w:rFonts w:asciiTheme="minorHAnsi" w:hAnsiTheme="minorHAnsi" w:cstheme="minorHAnsi"/>
          <w:sz w:val="24"/>
          <w:szCs w:val="24"/>
        </w:rPr>
        <w:t>,</w:t>
      </w:r>
      <w:r w:rsidR="00C81D8C" w:rsidRPr="00C81D8C">
        <w:rPr>
          <w:rFonts w:asciiTheme="minorHAnsi" w:hAnsiTheme="minorHAnsi" w:cstheme="minorHAnsi"/>
          <w:sz w:val="24"/>
          <w:szCs w:val="24"/>
        </w:rPr>
        <w:t xml:space="preserve"> &amp; </w:t>
      </w:r>
      <w:r w:rsidR="00C81D8C" w:rsidRPr="00C81D8C">
        <w:rPr>
          <w:rFonts w:asciiTheme="minorHAnsi" w:hAnsiTheme="minorHAnsi" w:cstheme="minorHAnsi"/>
          <w:sz w:val="24"/>
          <w:szCs w:val="24"/>
          <w:lang w:val="en-US"/>
        </w:rPr>
        <w:t>Kimmel</w:t>
      </w:r>
      <w:r w:rsidR="00C81D8C" w:rsidRPr="00C81D8C">
        <w:rPr>
          <w:rFonts w:asciiTheme="minorHAnsi" w:hAnsiTheme="minorHAnsi" w:cstheme="minorHAnsi"/>
          <w:sz w:val="24"/>
          <w:szCs w:val="24"/>
        </w:rPr>
        <w:t>,</w:t>
      </w:r>
      <w:r w:rsidR="00C81D8C" w:rsidRPr="005A464E">
        <w:rPr>
          <w:sz w:val="24"/>
          <w:szCs w:val="24"/>
        </w:rPr>
        <w:t xml:space="preserve"> </w:t>
      </w:r>
      <w:r w:rsidR="003C6FCF" w:rsidRPr="005A464E">
        <w:rPr>
          <w:sz w:val="24"/>
          <w:szCs w:val="24"/>
        </w:rPr>
        <w:t>2007;</w:t>
      </w:r>
      <w:r w:rsidR="00325473" w:rsidRPr="005A464E">
        <w:rPr>
          <w:sz w:val="24"/>
          <w:szCs w:val="24"/>
        </w:rPr>
        <w:t xml:space="preserve"> Tsutsui </w:t>
      </w:r>
      <w:r w:rsidR="00566CAA">
        <w:rPr>
          <w:sz w:val="24"/>
          <w:szCs w:val="24"/>
        </w:rPr>
        <w:t>et al</w:t>
      </w:r>
      <w:r w:rsidR="000143B4">
        <w:rPr>
          <w:sz w:val="24"/>
          <w:szCs w:val="24"/>
        </w:rPr>
        <w:t>.</w:t>
      </w:r>
      <w:r w:rsidR="00651570">
        <w:rPr>
          <w:sz w:val="24"/>
          <w:szCs w:val="24"/>
        </w:rPr>
        <w:t>,</w:t>
      </w:r>
      <w:r w:rsidR="00325473" w:rsidRPr="005A464E">
        <w:rPr>
          <w:sz w:val="24"/>
          <w:szCs w:val="24"/>
        </w:rPr>
        <w:t xml:space="preserve"> 2015</w:t>
      </w:r>
      <w:r w:rsidRPr="005A464E">
        <w:rPr>
          <w:sz w:val="24"/>
          <w:szCs w:val="24"/>
        </w:rPr>
        <w:t>).</w:t>
      </w:r>
    </w:p>
    <w:p w:rsidR="00872CA6" w:rsidRPr="005A464E" w:rsidRDefault="00522110" w:rsidP="005A464E">
      <w:pPr>
        <w:spacing w:line="360" w:lineRule="auto"/>
        <w:jc w:val="both"/>
      </w:pPr>
      <w:r w:rsidRPr="005A464E">
        <w:rPr>
          <w:sz w:val="24"/>
          <w:szCs w:val="24"/>
        </w:rPr>
        <w:t xml:space="preserve">Ως εκ τούτου, </w:t>
      </w:r>
      <w:r w:rsidRPr="00426378">
        <w:rPr>
          <w:sz w:val="24"/>
          <w:szCs w:val="24"/>
        </w:rPr>
        <w:t xml:space="preserve">η </w:t>
      </w:r>
      <w:r w:rsidR="001F4F1F" w:rsidRPr="00426378">
        <w:rPr>
          <w:sz w:val="24"/>
          <w:szCs w:val="24"/>
        </w:rPr>
        <w:t>υ</w:t>
      </w:r>
      <w:r w:rsidR="00651570" w:rsidRPr="00426378">
        <w:rPr>
          <w:sz w:val="24"/>
          <w:szCs w:val="24"/>
        </w:rPr>
        <w:t xml:space="preserve">ποκατάσταση της </w:t>
      </w:r>
      <w:r w:rsidR="001F4F1F" w:rsidRPr="00426378">
        <w:rPr>
          <w:sz w:val="24"/>
          <w:szCs w:val="24"/>
        </w:rPr>
        <w:t>ν</w:t>
      </w:r>
      <w:r w:rsidR="00651570" w:rsidRPr="00426378">
        <w:rPr>
          <w:sz w:val="24"/>
          <w:szCs w:val="24"/>
        </w:rPr>
        <w:t xml:space="preserve">εφρικής </w:t>
      </w:r>
      <w:r w:rsidR="001F4F1F" w:rsidRPr="00426378">
        <w:rPr>
          <w:sz w:val="24"/>
          <w:szCs w:val="24"/>
        </w:rPr>
        <w:t>λ</w:t>
      </w:r>
      <w:r w:rsidR="00651570" w:rsidRPr="00426378">
        <w:rPr>
          <w:sz w:val="24"/>
          <w:szCs w:val="24"/>
        </w:rPr>
        <w:t>ειτουργίας</w:t>
      </w:r>
      <w:r w:rsidRPr="00426378">
        <w:rPr>
          <w:sz w:val="24"/>
          <w:szCs w:val="24"/>
        </w:rPr>
        <w:t xml:space="preserve"> με </w:t>
      </w:r>
      <w:r w:rsidR="001F4F1F" w:rsidRPr="00426378">
        <w:rPr>
          <w:sz w:val="24"/>
          <w:szCs w:val="24"/>
        </w:rPr>
        <w:t>αιμοκάθαρση</w:t>
      </w:r>
      <w:r w:rsidR="001F4F1F" w:rsidRPr="005A464E">
        <w:rPr>
          <w:sz w:val="24"/>
          <w:szCs w:val="24"/>
        </w:rPr>
        <w:t xml:space="preserve"> </w:t>
      </w:r>
      <w:r w:rsidRPr="005A464E">
        <w:rPr>
          <w:sz w:val="24"/>
          <w:szCs w:val="24"/>
        </w:rPr>
        <w:t>συνδέεται με ισχυρούς στρεσσογόνους παράγοντες. Σύμφωνα με την βιβλιογραφία, η επιτυχ</w:t>
      </w:r>
      <w:r w:rsidR="00651570">
        <w:rPr>
          <w:sz w:val="24"/>
          <w:szCs w:val="24"/>
        </w:rPr>
        <w:t>ής προσαρμογή στο πρόγραμμα της</w:t>
      </w:r>
      <w:r w:rsidRPr="005A464E">
        <w:rPr>
          <w:sz w:val="24"/>
          <w:szCs w:val="24"/>
        </w:rPr>
        <w:t xml:space="preserve"> αιμοκάθαρσης εξαρτάται περισσότερο από τις προσωπικές στρατηγικές αντι</w:t>
      </w:r>
      <w:r w:rsidR="00651570">
        <w:rPr>
          <w:sz w:val="24"/>
          <w:szCs w:val="24"/>
        </w:rPr>
        <w:t>μετώπισης του άγχους παρά από τις</w:t>
      </w:r>
      <w:r w:rsidRPr="005A464E">
        <w:rPr>
          <w:sz w:val="24"/>
          <w:szCs w:val="24"/>
        </w:rPr>
        <w:t xml:space="preserve"> αντικειμενικές μετ</w:t>
      </w:r>
      <w:r w:rsidR="00BF088E">
        <w:rPr>
          <w:sz w:val="24"/>
          <w:szCs w:val="24"/>
        </w:rPr>
        <w:t>αβλητές της θεραπείας (</w:t>
      </w:r>
      <w:r w:rsidRPr="005A464E">
        <w:rPr>
          <w:sz w:val="24"/>
          <w:szCs w:val="24"/>
        </w:rPr>
        <w:t>Cur</w:t>
      </w:r>
      <w:r w:rsidR="00D43907" w:rsidRPr="005A464E">
        <w:rPr>
          <w:sz w:val="24"/>
          <w:szCs w:val="24"/>
        </w:rPr>
        <w:t>tin &amp; Mapes</w:t>
      </w:r>
      <w:r w:rsidR="00AB454B">
        <w:rPr>
          <w:sz w:val="24"/>
          <w:szCs w:val="24"/>
        </w:rPr>
        <w:t>,</w:t>
      </w:r>
      <w:r w:rsidRPr="005A464E">
        <w:rPr>
          <w:sz w:val="24"/>
          <w:szCs w:val="24"/>
        </w:rPr>
        <w:t xml:space="preserve"> 2001</w:t>
      </w:r>
      <w:r w:rsidR="001F4F1F">
        <w:rPr>
          <w:sz w:val="24"/>
          <w:szCs w:val="24"/>
        </w:rPr>
        <w:t>;</w:t>
      </w:r>
      <w:r w:rsidR="001F4F1F" w:rsidRPr="001F4F1F">
        <w:rPr>
          <w:sz w:val="24"/>
          <w:szCs w:val="24"/>
        </w:rPr>
        <w:t xml:space="preserve"> </w:t>
      </w:r>
      <w:r w:rsidR="001F4F1F" w:rsidRPr="00D75F89">
        <w:rPr>
          <w:sz w:val="24"/>
          <w:szCs w:val="24"/>
        </w:rPr>
        <w:t xml:space="preserve">Tsay, </w:t>
      </w:r>
      <w:r w:rsidR="001F4F1F" w:rsidRPr="00D75F89">
        <w:rPr>
          <w:rFonts w:cstheme="minorHAnsi"/>
          <w:color w:val="000000"/>
          <w:sz w:val="24"/>
          <w:szCs w:val="24"/>
          <w:lang w:val="en-US"/>
        </w:rPr>
        <w:t>Lee</w:t>
      </w:r>
      <w:r w:rsidR="001F4F1F" w:rsidRPr="00D75F89">
        <w:rPr>
          <w:rFonts w:cstheme="minorHAnsi"/>
          <w:color w:val="000000"/>
          <w:sz w:val="24"/>
          <w:szCs w:val="24"/>
        </w:rPr>
        <w:t xml:space="preserve"> </w:t>
      </w:r>
      <w:r w:rsidR="001F4F1F" w:rsidRPr="00D75F89">
        <w:rPr>
          <w:rFonts w:cstheme="minorHAnsi"/>
          <w:color w:val="000000"/>
          <w:sz w:val="24"/>
          <w:szCs w:val="24"/>
          <w:lang w:val="en-US"/>
        </w:rPr>
        <w:t>Y</w:t>
      </w:r>
      <w:r w:rsidR="001F4F1F" w:rsidRPr="00D75F89">
        <w:rPr>
          <w:rFonts w:cstheme="minorHAnsi"/>
          <w:color w:val="000000"/>
          <w:sz w:val="24"/>
          <w:szCs w:val="24"/>
        </w:rPr>
        <w:t xml:space="preserve">, &amp; </w:t>
      </w:r>
      <w:r w:rsidR="001F4F1F" w:rsidRPr="00D75F89">
        <w:rPr>
          <w:rFonts w:cstheme="minorHAnsi"/>
          <w:color w:val="000000"/>
          <w:sz w:val="24"/>
          <w:szCs w:val="24"/>
          <w:lang w:val="en-US"/>
        </w:rPr>
        <w:t>Lee</w:t>
      </w:r>
      <w:r w:rsidR="001F4F1F" w:rsidRPr="00D75F89">
        <w:rPr>
          <w:rFonts w:cstheme="minorHAnsi"/>
          <w:color w:val="000000"/>
          <w:sz w:val="24"/>
          <w:szCs w:val="24"/>
        </w:rPr>
        <w:t xml:space="preserve"> </w:t>
      </w:r>
      <w:r w:rsidR="001F4F1F" w:rsidRPr="00D75F89">
        <w:rPr>
          <w:rFonts w:cstheme="minorHAnsi"/>
          <w:color w:val="000000"/>
          <w:sz w:val="24"/>
          <w:szCs w:val="24"/>
          <w:lang w:val="en-US"/>
        </w:rPr>
        <w:t>Y</w:t>
      </w:r>
      <w:r w:rsidR="001F4F1F" w:rsidRPr="00D75F89">
        <w:rPr>
          <w:rFonts w:cstheme="minorHAnsi"/>
          <w:color w:val="000000"/>
          <w:sz w:val="24"/>
          <w:szCs w:val="24"/>
        </w:rPr>
        <w:t>,</w:t>
      </w:r>
      <w:r w:rsidR="001F4F1F" w:rsidRPr="00D75F89">
        <w:rPr>
          <w:sz w:val="24"/>
          <w:szCs w:val="24"/>
        </w:rPr>
        <w:t xml:space="preserve"> 2005</w:t>
      </w:r>
      <w:r w:rsidR="001F4F1F">
        <w:rPr>
          <w:sz w:val="24"/>
          <w:szCs w:val="24"/>
        </w:rPr>
        <w:t>).</w:t>
      </w:r>
    </w:p>
    <w:p w:rsidR="007765C0" w:rsidRPr="00F737D0" w:rsidRDefault="00651570" w:rsidP="005A464E">
      <w:pPr>
        <w:spacing w:line="360" w:lineRule="auto"/>
        <w:jc w:val="both"/>
        <w:rPr>
          <w:sz w:val="24"/>
          <w:szCs w:val="24"/>
        </w:rPr>
      </w:pPr>
      <w:r>
        <w:rPr>
          <w:sz w:val="24"/>
          <w:szCs w:val="24"/>
        </w:rPr>
        <w:t xml:space="preserve">Με βάση τα δεδομένα της υψηλής </w:t>
      </w:r>
      <w:r w:rsidR="00522110" w:rsidRPr="005A464E">
        <w:rPr>
          <w:sz w:val="24"/>
          <w:szCs w:val="24"/>
        </w:rPr>
        <w:t xml:space="preserve">θνησιμότητας, η ευκαιρία βελτίωσης της υπόλοιπης ζωής </w:t>
      </w:r>
      <w:r w:rsidR="00B0560D">
        <w:rPr>
          <w:sz w:val="24"/>
          <w:szCs w:val="24"/>
        </w:rPr>
        <w:t>του ασθενούς</w:t>
      </w:r>
      <w:r w:rsidR="00D43907" w:rsidRPr="005A464E">
        <w:rPr>
          <w:sz w:val="24"/>
          <w:szCs w:val="24"/>
        </w:rPr>
        <w:t>, ακόμα κι αν αυτή είναι μικρή</w:t>
      </w:r>
      <w:r w:rsidR="00522110" w:rsidRPr="005A464E">
        <w:rPr>
          <w:sz w:val="24"/>
          <w:szCs w:val="24"/>
        </w:rPr>
        <w:t xml:space="preserve">, είναι το πιο </w:t>
      </w:r>
      <w:r w:rsidR="00522110" w:rsidRPr="00F737D0">
        <w:rPr>
          <w:sz w:val="24"/>
          <w:szCs w:val="24"/>
        </w:rPr>
        <w:t>σημαντικό σημείο της υποκατάστασης της νεφρικής λειτουργίας.</w:t>
      </w:r>
      <w:r w:rsidR="00911052" w:rsidRPr="00F737D0">
        <w:rPr>
          <w:sz w:val="24"/>
          <w:szCs w:val="24"/>
        </w:rPr>
        <w:t xml:space="preserve"> </w:t>
      </w:r>
      <w:r w:rsidR="00522110" w:rsidRPr="00F737D0">
        <w:rPr>
          <w:sz w:val="24"/>
          <w:szCs w:val="24"/>
        </w:rPr>
        <w:t xml:space="preserve">Ως εκ τούτου, τα </w:t>
      </w:r>
      <w:r w:rsidRPr="00F737D0">
        <w:rPr>
          <w:sz w:val="24"/>
          <w:szCs w:val="24"/>
        </w:rPr>
        <w:t>ζητήματα ΠΖ όλο και περισσότερο</w:t>
      </w:r>
      <w:r w:rsidR="00522110" w:rsidRPr="00F737D0">
        <w:rPr>
          <w:sz w:val="24"/>
          <w:szCs w:val="24"/>
        </w:rPr>
        <w:t xml:space="preserve"> συμπεριλαμβάνονται στις μελέτες ασθενών υπό </w:t>
      </w:r>
      <w:r w:rsidR="001F4F1F" w:rsidRPr="00F737D0">
        <w:rPr>
          <w:sz w:val="24"/>
          <w:szCs w:val="24"/>
        </w:rPr>
        <w:t>αιμοκάθαρση</w:t>
      </w:r>
      <w:r w:rsidR="00411A79" w:rsidRPr="00F737D0">
        <w:rPr>
          <w:sz w:val="24"/>
          <w:szCs w:val="24"/>
        </w:rPr>
        <w:t xml:space="preserve">, </w:t>
      </w:r>
      <w:r w:rsidR="00D43907" w:rsidRPr="00F737D0">
        <w:rPr>
          <w:sz w:val="24"/>
          <w:szCs w:val="24"/>
        </w:rPr>
        <w:t xml:space="preserve">όπως </w:t>
      </w:r>
      <w:r w:rsidR="00411A79" w:rsidRPr="00F737D0">
        <w:rPr>
          <w:sz w:val="24"/>
          <w:szCs w:val="24"/>
        </w:rPr>
        <w:t xml:space="preserve">στις μελέτες της </w:t>
      </w:r>
      <w:r w:rsidR="00D43907" w:rsidRPr="00F737D0">
        <w:rPr>
          <w:sz w:val="24"/>
          <w:szCs w:val="24"/>
        </w:rPr>
        <w:t>«</w:t>
      </w:r>
      <w:r w:rsidR="00522110" w:rsidRPr="00F737D0">
        <w:rPr>
          <w:sz w:val="24"/>
          <w:szCs w:val="24"/>
        </w:rPr>
        <w:t>The Netherlands Cooperative Study on the Adequacy of Dialysis</w:t>
      </w:r>
      <w:r w:rsidR="00D43907" w:rsidRPr="00F737D0">
        <w:rPr>
          <w:sz w:val="24"/>
          <w:szCs w:val="24"/>
        </w:rPr>
        <w:t>»</w:t>
      </w:r>
      <w:r w:rsidR="00522110" w:rsidRPr="00F737D0">
        <w:rPr>
          <w:sz w:val="24"/>
          <w:szCs w:val="24"/>
        </w:rPr>
        <w:t xml:space="preserve"> (</w:t>
      </w:r>
      <w:hyperlink r:id="rId39" w:history="1">
        <w:r w:rsidR="00D70CA5" w:rsidRPr="00F737D0">
          <w:rPr>
            <w:rFonts w:eastAsia="Times New Roman" w:cs="Arial"/>
            <w:sz w:val="24"/>
            <w:szCs w:val="24"/>
            <w:lang w:val="en-US" w:eastAsia="el-GR"/>
          </w:rPr>
          <w:t>Termorshuizen</w:t>
        </w:r>
        <w:r w:rsidR="00872FD2" w:rsidRPr="00F737D0">
          <w:rPr>
            <w:rFonts w:eastAsia="Times New Roman" w:cs="Arial"/>
            <w:sz w:val="24"/>
            <w:szCs w:val="24"/>
            <w:lang w:eastAsia="el-GR"/>
          </w:rPr>
          <w:t xml:space="preserve"> </w:t>
        </w:r>
        <w:r w:rsidR="00872FD2" w:rsidRPr="00F737D0">
          <w:rPr>
            <w:rFonts w:eastAsia="Times New Roman" w:cs="Arial"/>
            <w:sz w:val="24"/>
            <w:szCs w:val="24"/>
            <w:lang w:val="en-US" w:eastAsia="el-GR"/>
          </w:rPr>
          <w:t>et</w:t>
        </w:r>
        <w:r w:rsidR="00872FD2" w:rsidRPr="00F737D0">
          <w:rPr>
            <w:rFonts w:eastAsia="Times New Roman" w:cs="Arial"/>
            <w:sz w:val="24"/>
            <w:szCs w:val="24"/>
            <w:lang w:eastAsia="el-GR"/>
          </w:rPr>
          <w:t xml:space="preserve"> </w:t>
        </w:r>
        <w:r w:rsidR="00872FD2" w:rsidRPr="00F737D0">
          <w:rPr>
            <w:rFonts w:eastAsia="Times New Roman" w:cs="Arial"/>
            <w:sz w:val="24"/>
            <w:szCs w:val="24"/>
            <w:lang w:val="en-US" w:eastAsia="el-GR"/>
          </w:rPr>
          <w:t>al</w:t>
        </w:r>
        <w:r w:rsidR="00872FD2" w:rsidRPr="00F737D0">
          <w:rPr>
            <w:rFonts w:eastAsia="Times New Roman" w:cs="Arial"/>
            <w:sz w:val="24"/>
            <w:szCs w:val="24"/>
            <w:lang w:eastAsia="el-GR"/>
          </w:rPr>
          <w:t>.</w:t>
        </w:r>
        <w:r w:rsidRPr="00F737D0">
          <w:rPr>
            <w:rFonts w:eastAsia="Times New Roman" w:cs="Arial"/>
            <w:sz w:val="24"/>
            <w:szCs w:val="24"/>
            <w:lang w:eastAsia="el-GR"/>
          </w:rPr>
          <w:t>,</w:t>
        </w:r>
        <w:r w:rsidR="00D70CA5" w:rsidRPr="00F737D0">
          <w:rPr>
            <w:rFonts w:eastAsia="Times New Roman" w:cs="Arial"/>
            <w:sz w:val="24"/>
            <w:szCs w:val="24"/>
            <w:lang w:eastAsia="el-GR"/>
          </w:rPr>
          <w:t xml:space="preserve"> 2004</w:t>
        </w:r>
        <w:r w:rsidR="00D43907" w:rsidRPr="00F737D0">
          <w:rPr>
            <w:rFonts w:eastAsia="Times New Roman" w:cs="Arial"/>
            <w:sz w:val="24"/>
            <w:szCs w:val="24"/>
            <w:lang w:eastAsia="el-GR"/>
          </w:rPr>
          <w:t xml:space="preserve"> </w:t>
        </w:r>
        <w:r w:rsidR="00D70CA5" w:rsidRPr="00F737D0">
          <w:rPr>
            <w:rFonts w:eastAsia="Times New Roman" w:cs="Arial"/>
            <w:sz w:val="24"/>
            <w:szCs w:val="24"/>
            <w:lang w:eastAsia="el-GR"/>
          </w:rPr>
          <w:t>)</w:t>
        </w:r>
      </w:hyperlink>
      <w:r w:rsidR="00D43907" w:rsidRPr="00F737D0">
        <w:rPr>
          <w:sz w:val="24"/>
          <w:szCs w:val="24"/>
        </w:rPr>
        <w:t xml:space="preserve"> </w:t>
      </w:r>
      <w:r w:rsidR="00522110" w:rsidRPr="00F737D0">
        <w:rPr>
          <w:sz w:val="24"/>
          <w:szCs w:val="24"/>
        </w:rPr>
        <w:t>και «</w:t>
      </w:r>
      <w:r w:rsidR="00D43907" w:rsidRPr="00F737D0">
        <w:rPr>
          <w:sz w:val="24"/>
          <w:szCs w:val="24"/>
        </w:rPr>
        <w:t>Τ</w:t>
      </w:r>
      <w:r w:rsidR="00522110" w:rsidRPr="00F737D0">
        <w:rPr>
          <w:sz w:val="24"/>
          <w:szCs w:val="24"/>
        </w:rPr>
        <w:t>he North Thames Dialysis Study</w:t>
      </w:r>
      <w:r w:rsidR="00997D97" w:rsidRPr="00F737D0">
        <w:rPr>
          <w:sz w:val="24"/>
          <w:szCs w:val="24"/>
        </w:rPr>
        <w:t xml:space="preserve"> (NTDS)</w:t>
      </w:r>
      <w:r w:rsidR="00D43907" w:rsidRPr="00F737D0">
        <w:rPr>
          <w:sz w:val="24"/>
          <w:szCs w:val="24"/>
        </w:rPr>
        <w:t xml:space="preserve">» </w:t>
      </w:r>
      <w:r w:rsidR="00997D97" w:rsidRPr="00F737D0">
        <w:rPr>
          <w:sz w:val="24"/>
          <w:szCs w:val="24"/>
        </w:rPr>
        <w:t>(</w:t>
      </w:r>
      <w:r w:rsidR="00997D97" w:rsidRPr="00F737D0">
        <w:rPr>
          <w:sz w:val="24"/>
          <w:szCs w:val="24"/>
          <w:lang w:val="en-US"/>
        </w:rPr>
        <w:t>Harris</w:t>
      </w:r>
      <w:r w:rsidR="00D43907" w:rsidRPr="00F737D0">
        <w:rPr>
          <w:sz w:val="24"/>
          <w:szCs w:val="24"/>
        </w:rPr>
        <w:t xml:space="preserve"> </w:t>
      </w:r>
      <w:r w:rsidR="00566CAA" w:rsidRPr="00F737D0">
        <w:rPr>
          <w:sz w:val="24"/>
          <w:szCs w:val="24"/>
        </w:rPr>
        <w:t>et al</w:t>
      </w:r>
      <w:r w:rsidR="00872FD2" w:rsidRPr="00F737D0">
        <w:rPr>
          <w:sz w:val="24"/>
          <w:szCs w:val="24"/>
        </w:rPr>
        <w:t>.</w:t>
      </w:r>
      <w:r w:rsidRPr="00F737D0">
        <w:rPr>
          <w:sz w:val="24"/>
          <w:szCs w:val="24"/>
        </w:rPr>
        <w:t>,</w:t>
      </w:r>
      <w:r w:rsidR="00997D97" w:rsidRPr="00F737D0">
        <w:rPr>
          <w:sz w:val="24"/>
          <w:szCs w:val="24"/>
        </w:rPr>
        <w:t xml:space="preserve"> 2002)</w:t>
      </w:r>
      <w:r w:rsidR="001F3E06" w:rsidRPr="00F737D0">
        <w:rPr>
          <w:sz w:val="24"/>
          <w:szCs w:val="24"/>
        </w:rPr>
        <w:t xml:space="preserve"> καθώς και στους κύριους οδηγούς</w:t>
      </w:r>
      <w:r w:rsidR="00522110" w:rsidRPr="00F737D0">
        <w:rPr>
          <w:sz w:val="24"/>
          <w:szCs w:val="24"/>
        </w:rPr>
        <w:t xml:space="preserve"> κλινικής πρακτικής κατά την αιμοκάθαρση όπως «Τhe Dialysis Outcomes and Practice Patterns Study (DOPPS)</w:t>
      </w:r>
      <w:r w:rsidR="00D43907" w:rsidRPr="00F737D0">
        <w:rPr>
          <w:sz w:val="24"/>
          <w:szCs w:val="24"/>
        </w:rPr>
        <w:t>»</w:t>
      </w:r>
      <w:r w:rsidR="00522110" w:rsidRPr="00F737D0">
        <w:rPr>
          <w:sz w:val="24"/>
          <w:szCs w:val="24"/>
        </w:rPr>
        <w:t xml:space="preserve"> </w:t>
      </w:r>
      <w:r w:rsidR="00356006" w:rsidRPr="00F737D0">
        <w:rPr>
          <w:sz w:val="24"/>
          <w:szCs w:val="24"/>
        </w:rPr>
        <w:t>(</w:t>
      </w:r>
      <w:r w:rsidR="00356006" w:rsidRPr="00F737D0">
        <w:rPr>
          <w:sz w:val="24"/>
          <w:szCs w:val="24"/>
          <w:lang w:val="en-US"/>
        </w:rPr>
        <w:t>Lopes</w:t>
      </w:r>
      <w:r w:rsidR="00356006" w:rsidRPr="00F737D0">
        <w:rPr>
          <w:sz w:val="24"/>
          <w:szCs w:val="24"/>
        </w:rPr>
        <w:t xml:space="preserve"> </w:t>
      </w:r>
      <w:r w:rsidR="00566CAA" w:rsidRPr="00F737D0">
        <w:rPr>
          <w:sz w:val="24"/>
          <w:szCs w:val="24"/>
        </w:rPr>
        <w:t>et al</w:t>
      </w:r>
      <w:r w:rsidR="002F68C8" w:rsidRPr="00F737D0">
        <w:rPr>
          <w:sz w:val="24"/>
          <w:szCs w:val="24"/>
        </w:rPr>
        <w:t>.</w:t>
      </w:r>
      <w:r w:rsidRPr="00F737D0">
        <w:rPr>
          <w:sz w:val="24"/>
          <w:szCs w:val="24"/>
        </w:rPr>
        <w:t>,</w:t>
      </w:r>
      <w:r w:rsidR="00356006" w:rsidRPr="00F737D0">
        <w:rPr>
          <w:sz w:val="24"/>
          <w:szCs w:val="24"/>
        </w:rPr>
        <w:t xml:space="preserve"> 2012) </w:t>
      </w:r>
      <w:r w:rsidR="00522110" w:rsidRPr="00F737D0">
        <w:rPr>
          <w:sz w:val="24"/>
          <w:szCs w:val="24"/>
        </w:rPr>
        <w:t>και</w:t>
      </w:r>
      <w:r w:rsidR="0078495A" w:rsidRPr="00F737D0">
        <w:rPr>
          <w:sz w:val="24"/>
          <w:szCs w:val="24"/>
        </w:rPr>
        <w:t xml:space="preserve"> </w:t>
      </w:r>
      <w:r w:rsidR="00522110" w:rsidRPr="00F737D0">
        <w:rPr>
          <w:sz w:val="24"/>
          <w:szCs w:val="24"/>
        </w:rPr>
        <w:t>«Reduction of Morbidity and Mortality among Hemodia</w:t>
      </w:r>
      <w:r w:rsidR="00356006" w:rsidRPr="00F737D0">
        <w:rPr>
          <w:sz w:val="24"/>
          <w:szCs w:val="24"/>
        </w:rPr>
        <w:t>lysis Patients (</w:t>
      </w:r>
      <w:r w:rsidR="001B59FD" w:rsidRPr="00F737D0">
        <w:rPr>
          <w:sz w:val="24"/>
          <w:szCs w:val="24"/>
          <w:lang w:val="en-US"/>
        </w:rPr>
        <w:t>The</w:t>
      </w:r>
      <w:r w:rsidR="00767416" w:rsidRPr="00F737D0">
        <w:rPr>
          <w:sz w:val="24"/>
          <w:szCs w:val="24"/>
        </w:rPr>
        <w:t xml:space="preserve"> </w:t>
      </w:r>
      <w:r w:rsidR="00356006" w:rsidRPr="00F737D0">
        <w:rPr>
          <w:sz w:val="24"/>
          <w:szCs w:val="24"/>
        </w:rPr>
        <w:t>HEMO</w:t>
      </w:r>
      <w:r w:rsidR="00767416" w:rsidRPr="00F737D0">
        <w:rPr>
          <w:sz w:val="24"/>
          <w:szCs w:val="24"/>
        </w:rPr>
        <w:t xml:space="preserve"> </w:t>
      </w:r>
      <w:r w:rsidR="001B59FD" w:rsidRPr="00F737D0">
        <w:rPr>
          <w:sz w:val="24"/>
          <w:szCs w:val="24"/>
          <w:lang w:val="en-US"/>
        </w:rPr>
        <w:t>Study</w:t>
      </w:r>
      <w:r w:rsidR="00356006" w:rsidRPr="00F737D0">
        <w:rPr>
          <w:sz w:val="24"/>
          <w:szCs w:val="24"/>
        </w:rPr>
        <w:t>)</w:t>
      </w:r>
      <w:r w:rsidR="00D43907" w:rsidRPr="00F737D0">
        <w:rPr>
          <w:sz w:val="24"/>
          <w:szCs w:val="24"/>
        </w:rPr>
        <w:t>»</w:t>
      </w:r>
      <w:r w:rsidR="001B59FD" w:rsidRPr="00F737D0">
        <w:rPr>
          <w:sz w:val="24"/>
          <w:szCs w:val="24"/>
        </w:rPr>
        <w:t xml:space="preserve"> (</w:t>
      </w:r>
      <w:r w:rsidR="001B59FD" w:rsidRPr="00F737D0">
        <w:rPr>
          <w:sz w:val="24"/>
          <w:szCs w:val="24"/>
          <w:lang w:val="en-US"/>
        </w:rPr>
        <w:t>Eknoyan</w:t>
      </w:r>
      <w:r w:rsidR="00911052" w:rsidRPr="00F737D0">
        <w:rPr>
          <w:sz w:val="24"/>
          <w:szCs w:val="24"/>
        </w:rPr>
        <w:t xml:space="preserve"> </w:t>
      </w:r>
      <w:r w:rsidR="00566CAA" w:rsidRPr="00F737D0">
        <w:rPr>
          <w:sz w:val="24"/>
          <w:szCs w:val="24"/>
        </w:rPr>
        <w:t>et al</w:t>
      </w:r>
      <w:r w:rsidR="00872FD2" w:rsidRPr="00F737D0">
        <w:rPr>
          <w:sz w:val="24"/>
          <w:szCs w:val="24"/>
        </w:rPr>
        <w:t>.</w:t>
      </w:r>
      <w:r w:rsidRPr="00F737D0">
        <w:rPr>
          <w:sz w:val="24"/>
          <w:szCs w:val="24"/>
        </w:rPr>
        <w:t>,</w:t>
      </w:r>
      <w:r w:rsidR="001B59FD" w:rsidRPr="00F737D0">
        <w:rPr>
          <w:sz w:val="24"/>
          <w:szCs w:val="24"/>
        </w:rPr>
        <w:t xml:space="preserve"> 2002)</w:t>
      </w:r>
      <w:r w:rsidR="001F4F1F" w:rsidRPr="00F737D0">
        <w:rPr>
          <w:sz w:val="24"/>
          <w:szCs w:val="24"/>
        </w:rPr>
        <w:t xml:space="preserve">. Το </w:t>
      </w:r>
      <w:r w:rsidR="00522110" w:rsidRPr="00F737D0">
        <w:rPr>
          <w:sz w:val="24"/>
          <w:szCs w:val="24"/>
        </w:rPr>
        <w:t>NKF</w:t>
      </w:r>
      <w:r w:rsidR="0096306B" w:rsidRPr="00F737D0">
        <w:rPr>
          <w:sz w:val="24"/>
          <w:szCs w:val="24"/>
        </w:rPr>
        <w:t>-</w:t>
      </w:r>
      <w:r w:rsidR="0096306B" w:rsidRPr="00F737D0">
        <w:rPr>
          <w:sz w:val="24"/>
          <w:szCs w:val="24"/>
          <w:lang w:val="en-US"/>
        </w:rPr>
        <w:t>KDOQI</w:t>
      </w:r>
      <w:r w:rsidR="00522110" w:rsidRPr="00F737D0">
        <w:rPr>
          <w:sz w:val="24"/>
          <w:szCs w:val="24"/>
        </w:rPr>
        <w:t xml:space="preserve"> μέσα</w:t>
      </w:r>
      <w:r>
        <w:rPr>
          <w:sz w:val="24"/>
          <w:szCs w:val="24"/>
        </w:rPr>
        <w:t xml:space="preserve"> από τις κατευθυντήριες γραμμές</w:t>
      </w:r>
      <w:r w:rsidR="00522110" w:rsidRPr="005A464E">
        <w:rPr>
          <w:sz w:val="24"/>
          <w:szCs w:val="24"/>
        </w:rPr>
        <w:t xml:space="preserve"> π</w:t>
      </w:r>
      <w:r w:rsidR="00D43907" w:rsidRPr="005A464E">
        <w:rPr>
          <w:sz w:val="24"/>
          <w:szCs w:val="24"/>
        </w:rPr>
        <w:t>ου δημοσιεύονται</w:t>
      </w:r>
      <w:r w:rsidR="00522110" w:rsidRPr="005A464E">
        <w:rPr>
          <w:sz w:val="24"/>
          <w:szCs w:val="24"/>
        </w:rPr>
        <w:t xml:space="preserve">, συνιστά πλέον </w:t>
      </w:r>
      <w:r w:rsidR="00D43907" w:rsidRPr="005A464E">
        <w:rPr>
          <w:sz w:val="24"/>
          <w:szCs w:val="24"/>
        </w:rPr>
        <w:t>στη ρουτίνα την</w:t>
      </w:r>
      <w:r w:rsidR="00522110" w:rsidRPr="005A464E">
        <w:rPr>
          <w:sz w:val="24"/>
          <w:szCs w:val="24"/>
        </w:rPr>
        <w:t xml:space="preserve"> παρακολούθ</w:t>
      </w:r>
      <w:r w:rsidR="00D43907" w:rsidRPr="005A464E">
        <w:rPr>
          <w:sz w:val="24"/>
          <w:szCs w:val="24"/>
        </w:rPr>
        <w:t>ηση της ΠΖ ασθενών</w:t>
      </w:r>
      <w:r w:rsidR="001B59FD" w:rsidRPr="005A464E">
        <w:rPr>
          <w:sz w:val="24"/>
          <w:szCs w:val="24"/>
        </w:rPr>
        <w:t xml:space="preserve"> </w:t>
      </w:r>
      <w:r w:rsidR="001B59FD" w:rsidRPr="00F737D0">
        <w:rPr>
          <w:sz w:val="24"/>
          <w:szCs w:val="24"/>
        </w:rPr>
        <w:t xml:space="preserve">υπό </w:t>
      </w:r>
      <w:r w:rsidR="001F4F1F" w:rsidRPr="00F737D0">
        <w:rPr>
          <w:sz w:val="24"/>
          <w:szCs w:val="24"/>
        </w:rPr>
        <w:t xml:space="preserve">αιμοκάθαρση </w:t>
      </w:r>
      <w:r w:rsidR="001B59FD" w:rsidRPr="00F737D0">
        <w:rPr>
          <w:sz w:val="24"/>
          <w:szCs w:val="24"/>
        </w:rPr>
        <w:t>(</w:t>
      </w:r>
      <w:r w:rsidR="001B59FD" w:rsidRPr="00F737D0">
        <w:rPr>
          <w:sz w:val="24"/>
          <w:szCs w:val="24"/>
          <w:lang w:val="en-US"/>
        </w:rPr>
        <w:t>Slinin</w:t>
      </w:r>
      <w:r w:rsidR="00872FD2" w:rsidRPr="00F737D0">
        <w:rPr>
          <w:sz w:val="24"/>
          <w:szCs w:val="24"/>
        </w:rPr>
        <w:t xml:space="preserve"> </w:t>
      </w:r>
      <w:r w:rsidR="00872FD2" w:rsidRPr="00F737D0">
        <w:rPr>
          <w:sz w:val="24"/>
          <w:szCs w:val="24"/>
          <w:lang w:val="en-US"/>
        </w:rPr>
        <w:t>et</w:t>
      </w:r>
      <w:r w:rsidR="00872FD2" w:rsidRPr="00F737D0">
        <w:rPr>
          <w:sz w:val="24"/>
          <w:szCs w:val="24"/>
        </w:rPr>
        <w:t xml:space="preserve"> </w:t>
      </w:r>
      <w:r w:rsidR="00872FD2" w:rsidRPr="00F737D0">
        <w:rPr>
          <w:sz w:val="24"/>
          <w:szCs w:val="24"/>
          <w:lang w:val="en-US"/>
        </w:rPr>
        <w:t>al</w:t>
      </w:r>
      <w:r w:rsidR="00872FD2" w:rsidRPr="00F737D0">
        <w:rPr>
          <w:sz w:val="24"/>
          <w:szCs w:val="24"/>
        </w:rPr>
        <w:t>.</w:t>
      </w:r>
      <w:r w:rsidRPr="00F737D0">
        <w:rPr>
          <w:sz w:val="24"/>
          <w:szCs w:val="24"/>
        </w:rPr>
        <w:t>,</w:t>
      </w:r>
      <w:r w:rsidR="001B59FD" w:rsidRPr="00F737D0">
        <w:rPr>
          <w:sz w:val="24"/>
          <w:szCs w:val="24"/>
        </w:rPr>
        <w:t xml:space="preserve"> 2015</w:t>
      </w:r>
      <w:r w:rsidR="00522110" w:rsidRPr="00F737D0">
        <w:rPr>
          <w:sz w:val="24"/>
          <w:szCs w:val="24"/>
        </w:rPr>
        <w:t xml:space="preserve">). </w:t>
      </w:r>
    </w:p>
    <w:p w:rsidR="00155E11" w:rsidRPr="005A464E" w:rsidRDefault="009D38CE" w:rsidP="005A464E">
      <w:pPr>
        <w:spacing w:line="360" w:lineRule="auto"/>
        <w:jc w:val="both"/>
        <w:rPr>
          <w:sz w:val="24"/>
          <w:szCs w:val="24"/>
        </w:rPr>
      </w:pPr>
      <w:r w:rsidRPr="00F737D0">
        <w:rPr>
          <w:sz w:val="24"/>
          <w:szCs w:val="24"/>
        </w:rPr>
        <w:t>Η διαδικασία της αιμοκάθαρσης προκαλεί μια σημαντική αλλαγή ζωής για τους ασθενείς</w:t>
      </w:r>
      <w:r w:rsidR="001C2D3A" w:rsidRPr="00F737D0">
        <w:rPr>
          <w:sz w:val="24"/>
          <w:szCs w:val="24"/>
        </w:rPr>
        <w:t>. Οι Dunn,</w:t>
      </w:r>
      <w:r w:rsidRPr="00F737D0">
        <w:rPr>
          <w:sz w:val="24"/>
          <w:szCs w:val="24"/>
        </w:rPr>
        <w:t xml:space="preserve"> </w:t>
      </w:r>
      <w:r w:rsidR="001C2D3A" w:rsidRPr="00F737D0">
        <w:rPr>
          <w:rFonts w:asciiTheme="minorHAnsi" w:hAnsiTheme="minorHAnsi" w:cstheme="minorHAnsi"/>
          <w:sz w:val="24"/>
          <w:szCs w:val="24"/>
          <w:lang w:val="en-US"/>
        </w:rPr>
        <w:t>Lewis</w:t>
      </w:r>
      <w:r w:rsidR="001C2D3A" w:rsidRPr="00F737D0">
        <w:rPr>
          <w:rFonts w:asciiTheme="minorHAnsi" w:hAnsiTheme="minorHAnsi" w:cstheme="minorHAnsi"/>
          <w:sz w:val="24"/>
          <w:szCs w:val="24"/>
        </w:rPr>
        <w:t xml:space="preserve">, </w:t>
      </w:r>
      <w:r w:rsidR="001C2D3A" w:rsidRPr="00F737D0">
        <w:rPr>
          <w:rFonts w:asciiTheme="minorHAnsi" w:hAnsiTheme="minorHAnsi" w:cstheme="minorHAnsi"/>
          <w:sz w:val="24"/>
          <w:szCs w:val="24"/>
          <w:lang w:val="en-US"/>
        </w:rPr>
        <w:t>Bonner</w:t>
      </w:r>
      <w:r w:rsidR="001C2D3A" w:rsidRPr="00F737D0">
        <w:rPr>
          <w:rFonts w:asciiTheme="minorHAnsi" w:hAnsiTheme="minorHAnsi" w:cstheme="minorHAnsi"/>
          <w:sz w:val="24"/>
          <w:szCs w:val="24"/>
        </w:rPr>
        <w:t xml:space="preserve">, και </w:t>
      </w:r>
      <w:r w:rsidR="001C2D3A" w:rsidRPr="00F737D0">
        <w:rPr>
          <w:rFonts w:asciiTheme="minorHAnsi" w:hAnsiTheme="minorHAnsi" w:cstheme="minorHAnsi"/>
          <w:sz w:val="24"/>
          <w:szCs w:val="24"/>
          <w:lang w:val="en-US"/>
        </w:rPr>
        <w:t>Meize</w:t>
      </w:r>
      <w:r w:rsidR="001C2D3A" w:rsidRPr="00F737D0">
        <w:rPr>
          <w:rFonts w:asciiTheme="minorHAnsi" w:hAnsiTheme="minorHAnsi" w:cstheme="minorHAnsi"/>
          <w:sz w:val="24"/>
          <w:szCs w:val="24"/>
        </w:rPr>
        <w:t>-</w:t>
      </w:r>
      <w:r w:rsidR="001C2D3A" w:rsidRPr="00F737D0">
        <w:rPr>
          <w:rFonts w:asciiTheme="minorHAnsi" w:hAnsiTheme="minorHAnsi" w:cstheme="minorHAnsi"/>
          <w:sz w:val="24"/>
          <w:szCs w:val="24"/>
          <w:lang w:val="en-US"/>
        </w:rPr>
        <w:t>Grochowski</w:t>
      </w:r>
      <w:r w:rsidR="001C2D3A" w:rsidRPr="00F737D0">
        <w:rPr>
          <w:sz w:val="24"/>
          <w:szCs w:val="24"/>
        </w:rPr>
        <w:t xml:space="preserve"> </w:t>
      </w:r>
      <w:r w:rsidRPr="00F737D0">
        <w:rPr>
          <w:sz w:val="24"/>
          <w:szCs w:val="24"/>
        </w:rPr>
        <w:t>(1994) περιγράφουν</w:t>
      </w:r>
      <w:r w:rsidRPr="005A464E">
        <w:rPr>
          <w:sz w:val="24"/>
          <w:szCs w:val="24"/>
        </w:rPr>
        <w:t xml:space="preserve"> </w:t>
      </w:r>
      <w:r w:rsidR="005F478F">
        <w:rPr>
          <w:sz w:val="24"/>
          <w:szCs w:val="24"/>
        </w:rPr>
        <w:t>3</w:t>
      </w:r>
      <w:r w:rsidRPr="005A464E">
        <w:rPr>
          <w:sz w:val="24"/>
          <w:szCs w:val="24"/>
        </w:rPr>
        <w:t xml:space="preserve"> στάδια τα οποία περνούν οι περισσότεροι ασθενείς υπό αιμοκάθαρση. Το πρώτο στάδιο ονομάζεται «περίοδος του μέλιτος», η οποία χαρακτηρίζεται από βελτιωμένη σωματι</w:t>
      </w:r>
      <w:r w:rsidR="00871F69" w:rsidRPr="005A464E">
        <w:rPr>
          <w:sz w:val="24"/>
          <w:szCs w:val="24"/>
        </w:rPr>
        <w:t>κή ευεξία μετά την έ</w:t>
      </w:r>
      <w:r w:rsidR="00A60AA8">
        <w:rPr>
          <w:sz w:val="24"/>
          <w:szCs w:val="24"/>
        </w:rPr>
        <w:t>νταξ</w:t>
      </w:r>
      <w:r w:rsidR="00651570">
        <w:rPr>
          <w:sz w:val="24"/>
          <w:szCs w:val="24"/>
        </w:rPr>
        <w:t>η στην αιμοκάθαρση</w:t>
      </w:r>
      <w:r w:rsidRPr="005A464E">
        <w:rPr>
          <w:sz w:val="24"/>
          <w:szCs w:val="24"/>
        </w:rPr>
        <w:t>. Το δεύτερο στάδιο είναι «η περίοδος απογοήτευσης ή αποθάρρυνση</w:t>
      </w:r>
      <w:r w:rsidR="007765C0">
        <w:rPr>
          <w:sz w:val="24"/>
          <w:szCs w:val="24"/>
        </w:rPr>
        <w:t>ς</w:t>
      </w:r>
      <w:r w:rsidRPr="005A464E">
        <w:rPr>
          <w:sz w:val="24"/>
          <w:szCs w:val="24"/>
        </w:rPr>
        <w:t>» το οποίο χαρακτηρίζεται από την εμφάνιση της θλίψης, την άρνηση, την απελπισία και την απόγνωση</w:t>
      </w:r>
      <w:r w:rsidR="00651570">
        <w:rPr>
          <w:sz w:val="24"/>
          <w:szCs w:val="24"/>
        </w:rPr>
        <w:t>.</w:t>
      </w:r>
      <w:r w:rsidRPr="005A464E">
        <w:rPr>
          <w:sz w:val="24"/>
          <w:szCs w:val="24"/>
        </w:rPr>
        <w:t xml:space="preserve"> </w:t>
      </w:r>
      <w:r w:rsidR="00651570">
        <w:rPr>
          <w:sz w:val="24"/>
          <w:szCs w:val="24"/>
        </w:rPr>
        <w:t>Εμφανίζε</w:t>
      </w:r>
      <w:r w:rsidR="00F909ED">
        <w:rPr>
          <w:sz w:val="24"/>
          <w:szCs w:val="24"/>
        </w:rPr>
        <w:t>τ</w:t>
      </w:r>
      <w:r w:rsidRPr="005A464E">
        <w:rPr>
          <w:sz w:val="24"/>
          <w:szCs w:val="24"/>
        </w:rPr>
        <w:t xml:space="preserve">αι συχνά ένα ευρύ φάσμα κλινικών διαταραχών, όπως η κόπωση, </w:t>
      </w:r>
      <w:r w:rsidR="00651570">
        <w:rPr>
          <w:sz w:val="24"/>
          <w:szCs w:val="24"/>
        </w:rPr>
        <w:t xml:space="preserve">η </w:t>
      </w:r>
      <w:r w:rsidRPr="005A464E">
        <w:rPr>
          <w:sz w:val="24"/>
          <w:szCs w:val="24"/>
        </w:rPr>
        <w:t xml:space="preserve">σωματική κατάπτωση, </w:t>
      </w:r>
      <w:r w:rsidR="00651570">
        <w:rPr>
          <w:sz w:val="24"/>
          <w:szCs w:val="24"/>
        </w:rPr>
        <w:t xml:space="preserve">τα </w:t>
      </w:r>
      <w:r w:rsidRPr="005A464E">
        <w:rPr>
          <w:sz w:val="24"/>
          <w:szCs w:val="24"/>
        </w:rPr>
        <w:t xml:space="preserve">σεξουαλικά ζητήματα και </w:t>
      </w:r>
      <w:r w:rsidR="00651570">
        <w:rPr>
          <w:sz w:val="24"/>
          <w:szCs w:val="24"/>
        </w:rPr>
        <w:t xml:space="preserve">η </w:t>
      </w:r>
      <w:r w:rsidRPr="005A464E">
        <w:rPr>
          <w:sz w:val="24"/>
          <w:szCs w:val="24"/>
        </w:rPr>
        <w:t>γνωστική δυσλ</w:t>
      </w:r>
      <w:r w:rsidR="00BA6684" w:rsidRPr="005A464E">
        <w:rPr>
          <w:sz w:val="24"/>
          <w:szCs w:val="24"/>
        </w:rPr>
        <w:t>ειτουργία (</w:t>
      </w:r>
      <w:r w:rsidR="00133A0E" w:rsidRPr="005A464E">
        <w:rPr>
          <w:sz w:val="24"/>
          <w:szCs w:val="24"/>
        </w:rPr>
        <w:t>Lok</w:t>
      </w:r>
      <w:r w:rsidR="00A63745" w:rsidRPr="00A63745">
        <w:rPr>
          <w:sz w:val="24"/>
          <w:szCs w:val="24"/>
        </w:rPr>
        <w:t>,</w:t>
      </w:r>
      <w:r w:rsidR="00133A0E" w:rsidRPr="005A464E">
        <w:rPr>
          <w:sz w:val="24"/>
          <w:szCs w:val="24"/>
        </w:rPr>
        <w:t xml:space="preserve"> 1996;</w:t>
      </w:r>
      <w:r w:rsidR="00767416" w:rsidRPr="005A464E">
        <w:rPr>
          <w:sz w:val="24"/>
          <w:szCs w:val="24"/>
        </w:rPr>
        <w:t xml:space="preserve"> Mitchell &amp; Goosby</w:t>
      </w:r>
      <w:r w:rsidR="00AB454B">
        <w:rPr>
          <w:sz w:val="24"/>
          <w:szCs w:val="24"/>
        </w:rPr>
        <w:t>,</w:t>
      </w:r>
      <w:r w:rsidRPr="005A464E">
        <w:rPr>
          <w:sz w:val="24"/>
          <w:szCs w:val="24"/>
        </w:rPr>
        <w:t xml:space="preserve"> 1996</w:t>
      </w:r>
      <w:r w:rsidR="007765C0">
        <w:rPr>
          <w:sz w:val="24"/>
          <w:szCs w:val="24"/>
        </w:rPr>
        <w:t>;</w:t>
      </w:r>
      <w:r w:rsidR="007765C0" w:rsidRPr="007765C0">
        <w:rPr>
          <w:sz w:val="24"/>
          <w:szCs w:val="24"/>
        </w:rPr>
        <w:t xml:space="preserve"> </w:t>
      </w:r>
      <w:r w:rsidR="007765C0" w:rsidRPr="005A464E">
        <w:rPr>
          <w:sz w:val="24"/>
          <w:szCs w:val="24"/>
        </w:rPr>
        <w:t>Klang &amp; Clyne</w:t>
      </w:r>
      <w:r w:rsidR="007765C0">
        <w:rPr>
          <w:sz w:val="24"/>
          <w:szCs w:val="24"/>
        </w:rPr>
        <w:t>, 1997</w:t>
      </w:r>
      <w:r w:rsidRPr="005A464E">
        <w:rPr>
          <w:sz w:val="24"/>
          <w:szCs w:val="24"/>
        </w:rPr>
        <w:t>). Το τρίτο στάδιο ονομάζεται «μακροπρόθεσμη</w:t>
      </w:r>
      <w:r w:rsidR="009906D3" w:rsidRPr="005A464E">
        <w:rPr>
          <w:sz w:val="24"/>
          <w:szCs w:val="24"/>
        </w:rPr>
        <w:t xml:space="preserve"> προσαρμογή» κατά το οποίο ο ασθενής φτάν</w:t>
      </w:r>
      <w:r w:rsidRPr="005A464E">
        <w:rPr>
          <w:sz w:val="24"/>
          <w:szCs w:val="24"/>
        </w:rPr>
        <w:t>ει τελικά σε κάποιο επίπεδο αποδοχής της νόσου. Μερικοί ασθενείς δεν φτάνουν ποτέ σε αυτό το στά</w:t>
      </w:r>
      <w:r w:rsidR="00294205" w:rsidRPr="005A464E">
        <w:rPr>
          <w:sz w:val="24"/>
          <w:szCs w:val="24"/>
        </w:rPr>
        <w:t xml:space="preserve">διο της προσαρμογής (Dunn </w:t>
      </w:r>
      <w:r w:rsidR="00566CAA">
        <w:rPr>
          <w:sz w:val="24"/>
          <w:szCs w:val="24"/>
        </w:rPr>
        <w:t>et al</w:t>
      </w:r>
      <w:r w:rsidR="00872FD2" w:rsidRPr="00872FD2">
        <w:rPr>
          <w:sz w:val="24"/>
          <w:szCs w:val="24"/>
        </w:rPr>
        <w:t>.</w:t>
      </w:r>
      <w:r w:rsidR="001C2D3A">
        <w:rPr>
          <w:sz w:val="24"/>
          <w:szCs w:val="24"/>
        </w:rPr>
        <w:t>,</w:t>
      </w:r>
      <w:r w:rsidRPr="005A464E">
        <w:rPr>
          <w:sz w:val="24"/>
          <w:szCs w:val="24"/>
        </w:rPr>
        <w:t xml:space="preserve"> 1994).</w:t>
      </w:r>
    </w:p>
    <w:p w:rsidR="00155E11" w:rsidRPr="005A464E" w:rsidRDefault="00155E11" w:rsidP="005A464E">
      <w:pPr>
        <w:spacing w:line="360" w:lineRule="auto"/>
        <w:jc w:val="both"/>
        <w:rPr>
          <w:sz w:val="24"/>
          <w:szCs w:val="24"/>
        </w:rPr>
      </w:pPr>
      <w:r w:rsidRPr="005A464E">
        <w:rPr>
          <w:sz w:val="24"/>
          <w:szCs w:val="24"/>
        </w:rPr>
        <w:t xml:space="preserve">Για την πλειοψηφία των ασθενών υπό </w:t>
      </w:r>
      <w:r w:rsidR="00A60AA8">
        <w:rPr>
          <w:sz w:val="24"/>
          <w:szCs w:val="24"/>
        </w:rPr>
        <w:t>αιμοκάθαρση</w:t>
      </w:r>
      <w:r w:rsidR="00A60AA8" w:rsidRPr="005A464E">
        <w:rPr>
          <w:sz w:val="24"/>
          <w:szCs w:val="24"/>
        </w:rPr>
        <w:t xml:space="preserve"> </w:t>
      </w:r>
      <w:r w:rsidRPr="005A464E">
        <w:rPr>
          <w:sz w:val="24"/>
          <w:szCs w:val="24"/>
        </w:rPr>
        <w:t>υπάρχει η ελπίδα της μεταμόσχευσης αλλά και της απογοήτευσης όταν η αναμονή για ένα μόσχευμα συνεχίζεται.</w:t>
      </w:r>
      <w:r w:rsidR="0078495A">
        <w:rPr>
          <w:sz w:val="24"/>
          <w:szCs w:val="24"/>
        </w:rPr>
        <w:t xml:space="preserve"> </w:t>
      </w:r>
      <w:r w:rsidRPr="005A464E">
        <w:rPr>
          <w:sz w:val="24"/>
          <w:szCs w:val="24"/>
        </w:rPr>
        <w:t>Δεν είναι έκπληξ</w:t>
      </w:r>
      <w:r w:rsidR="00791461" w:rsidRPr="005A464E">
        <w:rPr>
          <w:sz w:val="24"/>
          <w:szCs w:val="24"/>
        </w:rPr>
        <w:t>η ότι</w:t>
      </w:r>
      <w:r w:rsidRPr="005A464E">
        <w:rPr>
          <w:sz w:val="24"/>
          <w:szCs w:val="24"/>
        </w:rPr>
        <w:t>, για μερικούς ασθενείς, η κακουχία που προκαλεί η αιμοκάθαρση είναι μόλις και μετά βίας ανεκτή και αγωνίζονται προκειμένου να ενσωματώσουν την αιμοκάθαρση στη ζωή τους</w:t>
      </w:r>
      <w:r w:rsidR="00FD548B">
        <w:rPr>
          <w:sz w:val="24"/>
          <w:szCs w:val="24"/>
        </w:rPr>
        <w:t>. Στις κλίμακες υπολογισμού της</w:t>
      </w:r>
      <w:r w:rsidRPr="005A464E">
        <w:rPr>
          <w:sz w:val="24"/>
          <w:szCs w:val="24"/>
        </w:rPr>
        <w:t xml:space="preserve"> ΠΖ αναφέρεται συχνά η απώλεια του ελέγχου της ίδιας τους της ζωής και η αντιμετώπιση ενός αβέβαι</w:t>
      </w:r>
      <w:r w:rsidR="00791461" w:rsidRPr="005A464E">
        <w:rPr>
          <w:sz w:val="24"/>
          <w:szCs w:val="24"/>
        </w:rPr>
        <w:t xml:space="preserve">ου μέλλοντος – </w:t>
      </w:r>
      <w:r w:rsidR="00817853">
        <w:rPr>
          <w:sz w:val="24"/>
          <w:szCs w:val="24"/>
        </w:rPr>
        <w:t>μια</w:t>
      </w:r>
      <w:r w:rsidR="00791461" w:rsidRPr="005A464E">
        <w:rPr>
          <w:sz w:val="24"/>
          <w:szCs w:val="24"/>
        </w:rPr>
        <w:t xml:space="preserve"> ανησυχία που</w:t>
      </w:r>
      <w:r w:rsidRPr="005A464E">
        <w:rPr>
          <w:sz w:val="24"/>
          <w:szCs w:val="24"/>
        </w:rPr>
        <w:t xml:space="preserve">, επίσης, μοιράζεται και από τα μέλη της οικογένειας. </w:t>
      </w:r>
    </w:p>
    <w:p w:rsidR="009D38CE" w:rsidRPr="00A600AE" w:rsidRDefault="00155E11" w:rsidP="005A464E">
      <w:pPr>
        <w:spacing w:line="360" w:lineRule="auto"/>
        <w:jc w:val="both"/>
        <w:rPr>
          <w:sz w:val="24"/>
          <w:szCs w:val="24"/>
        </w:rPr>
      </w:pPr>
      <w:r w:rsidRPr="00426378">
        <w:rPr>
          <w:sz w:val="24"/>
          <w:szCs w:val="24"/>
        </w:rPr>
        <w:t xml:space="preserve">Για μερικούς ασθενείς οι προσδοκίες δεν έχουν εκπληρωθεί ενώ η ζωή </w:t>
      </w:r>
      <w:r w:rsidR="00A60AA8" w:rsidRPr="00426378">
        <w:rPr>
          <w:sz w:val="24"/>
          <w:szCs w:val="24"/>
        </w:rPr>
        <w:t>με την</w:t>
      </w:r>
      <w:r w:rsidRPr="00426378">
        <w:rPr>
          <w:sz w:val="24"/>
          <w:szCs w:val="24"/>
        </w:rPr>
        <w:t xml:space="preserve"> αιμοκάθ</w:t>
      </w:r>
      <w:r w:rsidR="005A4429" w:rsidRPr="00426378">
        <w:rPr>
          <w:sz w:val="24"/>
          <w:szCs w:val="24"/>
        </w:rPr>
        <w:t>αρση δεν είναι φυσιολογική ζωή (</w:t>
      </w:r>
      <w:r w:rsidR="005A4429" w:rsidRPr="00426378">
        <w:rPr>
          <w:sz w:val="24"/>
          <w:szCs w:val="24"/>
          <w:lang w:val="en-US"/>
        </w:rPr>
        <w:t>Tong</w:t>
      </w:r>
      <w:r w:rsidR="00791461" w:rsidRPr="00426378">
        <w:rPr>
          <w:sz w:val="24"/>
          <w:szCs w:val="24"/>
        </w:rPr>
        <w:t xml:space="preserve"> </w:t>
      </w:r>
      <w:r w:rsidR="00566CAA" w:rsidRPr="00426378">
        <w:rPr>
          <w:sz w:val="24"/>
          <w:szCs w:val="24"/>
        </w:rPr>
        <w:t>et al</w:t>
      </w:r>
      <w:r w:rsidR="00147B49" w:rsidRPr="00426378">
        <w:rPr>
          <w:sz w:val="24"/>
          <w:szCs w:val="24"/>
        </w:rPr>
        <w:t>.</w:t>
      </w:r>
      <w:r w:rsidR="00FD548B" w:rsidRPr="00426378">
        <w:rPr>
          <w:sz w:val="24"/>
          <w:szCs w:val="24"/>
        </w:rPr>
        <w:t>,</w:t>
      </w:r>
      <w:r w:rsidR="005A4429" w:rsidRPr="00426378">
        <w:rPr>
          <w:sz w:val="24"/>
          <w:szCs w:val="24"/>
        </w:rPr>
        <w:t xml:space="preserve"> 2013). </w:t>
      </w:r>
      <w:r w:rsidRPr="00426378">
        <w:rPr>
          <w:sz w:val="24"/>
          <w:szCs w:val="24"/>
        </w:rPr>
        <w:t xml:space="preserve">Για άλλους ασθενείς, η ευφορία που νιώθουν στην αρχή – καθώς θεωρούν την </w:t>
      </w:r>
      <w:r w:rsidR="00791461" w:rsidRPr="00426378">
        <w:rPr>
          <w:sz w:val="24"/>
          <w:szCs w:val="24"/>
        </w:rPr>
        <w:t>αιμοκάθαρση ως σανίδα σωτηρίας-</w:t>
      </w:r>
      <w:r w:rsidRPr="00426378">
        <w:rPr>
          <w:sz w:val="24"/>
          <w:szCs w:val="24"/>
        </w:rPr>
        <w:t xml:space="preserve"> μπορεί να αναστραφεί σε απελπισία και</w:t>
      </w:r>
      <w:r w:rsidR="0078495A" w:rsidRPr="00426378">
        <w:rPr>
          <w:sz w:val="24"/>
          <w:szCs w:val="24"/>
        </w:rPr>
        <w:t xml:space="preserve"> </w:t>
      </w:r>
      <w:r w:rsidRPr="00426378">
        <w:rPr>
          <w:sz w:val="24"/>
          <w:szCs w:val="24"/>
        </w:rPr>
        <w:t xml:space="preserve">απόγνωση καθώς διαπιστώνουν ότι οι ελπίδες για </w:t>
      </w:r>
      <w:r w:rsidR="00817853">
        <w:rPr>
          <w:sz w:val="24"/>
          <w:szCs w:val="24"/>
        </w:rPr>
        <w:t>μια</w:t>
      </w:r>
      <w:r w:rsidRPr="00426378">
        <w:rPr>
          <w:sz w:val="24"/>
          <w:szCs w:val="24"/>
        </w:rPr>
        <w:t xml:space="preserve"> βελτιωμένη ΠΖ ήταν μη ρεαλιστικές. Αυτό ισχύει ιδιαίτερα για τους ασθενείς με υποκείμενα νοσήματα</w:t>
      </w:r>
      <w:r w:rsidR="00961534" w:rsidRPr="00426378">
        <w:rPr>
          <w:sz w:val="24"/>
          <w:szCs w:val="24"/>
        </w:rPr>
        <w:t>,</w:t>
      </w:r>
      <w:r w:rsidR="00680F9D" w:rsidRPr="00426378">
        <w:rPr>
          <w:sz w:val="24"/>
          <w:szCs w:val="24"/>
        </w:rPr>
        <w:t xml:space="preserve"> τα οποία ήταν η </w:t>
      </w:r>
      <w:r w:rsidR="00A60AA8" w:rsidRPr="00426378">
        <w:rPr>
          <w:sz w:val="24"/>
          <w:szCs w:val="24"/>
        </w:rPr>
        <w:t xml:space="preserve">πρωτοπαθής </w:t>
      </w:r>
      <w:r w:rsidR="00680F9D" w:rsidRPr="00426378">
        <w:rPr>
          <w:sz w:val="24"/>
          <w:szCs w:val="24"/>
        </w:rPr>
        <w:t>αιτία της ΧΝΝ (</w:t>
      </w:r>
      <w:r w:rsidR="00680F9D" w:rsidRPr="00426378">
        <w:rPr>
          <w:sz w:val="24"/>
          <w:szCs w:val="24"/>
          <w:lang w:val="en-US"/>
        </w:rPr>
        <w:t>Parvan</w:t>
      </w:r>
      <w:r w:rsidR="001462BA" w:rsidRPr="00426378">
        <w:rPr>
          <w:sz w:val="24"/>
          <w:szCs w:val="24"/>
        </w:rPr>
        <w:t xml:space="preserve"> </w:t>
      </w:r>
      <w:r w:rsidR="001462BA" w:rsidRPr="00426378">
        <w:rPr>
          <w:sz w:val="24"/>
          <w:szCs w:val="24"/>
          <w:lang w:val="en-US"/>
        </w:rPr>
        <w:t>et</w:t>
      </w:r>
      <w:r w:rsidR="001462BA" w:rsidRPr="00426378">
        <w:rPr>
          <w:sz w:val="24"/>
          <w:szCs w:val="24"/>
        </w:rPr>
        <w:t xml:space="preserve"> </w:t>
      </w:r>
      <w:r w:rsidR="001462BA" w:rsidRPr="00426378">
        <w:rPr>
          <w:sz w:val="24"/>
          <w:szCs w:val="24"/>
          <w:lang w:val="en-US"/>
        </w:rPr>
        <w:t>al</w:t>
      </w:r>
      <w:r w:rsidR="001462BA" w:rsidRPr="00426378">
        <w:rPr>
          <w:sz w:val="24"/>
          <w:szCs w:val="24"/>
        </w:rPr>
        <w:t>.</w:t>
      </w:r>
      <w:hyperlink r:id="rId40" w:history="1">
        <w:r w:rsidR="00A600AE" w:rsidRPr="00426378">
          <w:rPr>
            <w:rFonts w:asciiTheme="minorHAnsi" w:eastAsia="Times New Roman" w:hAnsiTheme="minorHAnsi" w:cstheme="minorHAnsi"/>
            <w:sz w:val="24"/>
            <w:szCs w:val="24"/>
            <w:lang w:eastAsia="el-GR"/>
          </w:rPr>
          <w:t xml:space="preserve">, </w:t>
        </w:r>
      </w:hyperlink>
      <w:r w:rsidR="00253E0E" w:rsidRPr="00426378">
        <w:rPr>
          <w:sz w:val="24"/>
          <w:szCs w:val="24"/>
        </w:rPr>
        <w:t>2015</w:t>
      </w:r>
      <w:r w:rsidR="00253E0E" w:rsidRPr="00426378">
        <w:rPr>
          <w:sz w:val="24"/>
          <w:szCs w:val="24"/>
          <w:lang w:val="en-US"/>
        </w:rPr>
        <w:t>a</w:t>
      </w:r>
      <w:r w:rsidR="00680F9D" w:rsidRPr="00426378">
        <w:rPr>
          <w:sz w:val="24"/>
          <w:szCs w:val="24"/>
        </w:rPr>
        <w:t>;</w:t>
      </w:r>
      <w:r w:rsidR="00791461" w:rsidRPr="00426378">
        <w:rPr>
          <w:sz w:val="24"/>
          <w:szCs w:val="24"/>
        </w:rPr>
        <w:t xml:space="preserve"> </w:t>
      </w:r>
      <w:r w:rsidR="00BA6684" w:rsidRPr="00426378">
        <w:rPr>
          <w:sz w:val="24"/>
          <w:szCs w:val="24"/>
          <w:lang w:val="en-US"/>
        </w:rPr>
        <w:t>Fradelos</w:t>
      </w:r>
      <w:r w:rsidR="00BA6684" w:rsidRPr="00426378">
        <w:rPr>
          <w:sz w:val="24"/>
          <w:szCs w:val="24"/>
        </w:rPr>
        <w:t xml:space="preserve"> </w:t>
      </w:r>
      <w:r w:rsidR="00566CAA" w:rsidRPr="00426378">
        <w:rPr>
          <w:sz w:val="24"/>
          <w:szCs w:val="24"/>
        </w:rPr>
        <w:t>et al</w:t>
      </w:r>
      <w:r w:rsidR="00147B49" w:rsidRPr="00426378">
        <w:rPr>
          <w:sz w:val="24"/>
          <w:szCs w:val="24"/>
        </w:rPr>
        <w:t>.</w:t>
      </w:r>
      <w:r w:rsidR="00FD548B" w:rsidRPr="00426378">
        <w:rPr>
          <w:sz w:val="24"/>
          <w:szCs w:val="24"/>
        </w:rPr>
        <w:t>,</w:t>
      </w:r>
      <w:r w:rsidR="00BA6684" w:rsidRPr="00426378">
        <w:rPr>
          <w:sz w:val="24"/>
          <w:szCs w:val="24"/>
        </w:rPr>
        <w:t xml:space="preserve"> 2016)</w:t>
      </w:r>
      <w:r w:rsidR="005A4429" w:rsidRPr="00426378">
        <w:rPr>
          <w:sz w:val="24"/>
          <w:szCs w:val="24"/>
        </w:rPr>
        <w:t>.</w:t>
      </w:r>
    </w:p>
    <w:p w:rsidR="00F010B8" w:rsidRPr="00147B49" w:rsidRDefault="009D38CE" w:rsidP="005A464E">
      <w:pPr>
        <w:spacing w:line="360" w:lineRule="auto"/>
        <w:jc w:val="both"/>
        <w:rPr>
          <w:sz w:val="24"/>
          <w:szCs w:val="24"/>
        </w:rPr>
      </w:pPr>
      <w:r w:rsidRPr="005A464E">
        <w:rPr>
          <w:sz w:val="24"/>
          <w:szCs w:val="24"/>
        </w:rPr>
        <w:t>Η ανασκ</w:t>
      </w:r>
      <w:r w:rsidR="003C522B" w:rsidRPr="005A464E">
        <w:rPr>
          <w:sz w:val="24"/>
          <w:szCs w:val="24"/>
        </w:rPr>
        <w:t>ό</w:t>
      </w:r>
      <w:r w:rsidR="00FD548B">
        <w:rPr>
          <w:sz w:val="24"/>
          <w:szCs w:val="24"/>
        </w:rPr>
        <w:t>πηση της βιβλιογραφίας αναφέρει</w:t>
      </w:r>
      <w:r w:rsidRPr="005A464E">
        <w:rPr>
          <w:sz w:val="24"/>
          <w:szCs w:val="24"/>
        </w:rPr>
        <w:t xml:space="preserve"> στατιστικά σημαντικές διαφορέ</w:t>
      </w:r>
      <w:r w:rsidR="003C522B" w:rsidRPr="005A464E">
        <w:rPr>
          <w:sz w:val="24"/>
          <w:szCs w:val="24"/>
        </w:rPr>
        <w:t xml:space="preserve">ς στην </w:t>
      </w:r>
      <w:r w:rsidR="00155E11" w:rsidRPr="005A464E">
        <w:rPr>
          <w:sz w:val="24"/>
          <w:szCs w:val="24"/>
        </w:rPr>
        <w:t>αντιληφθεί</w:t>
      </w:r>
      <w:r w:rsidR="00860FA2" w:rsidRPr="005A464E">
        <w:rPr>
          <w:sz w:val="24"/>
          <w:szCs w:val="24"/>
        </w:rPr>
        <w:t xml:space="preserve">σα </w:t>
      </w:r>
      <w:r w:rsidR="003C522B" w:rsidRPr="005A464E">
        <w:rPr>
          <w:sz w:val="24"/>
          <w:szCs w:val="24"/>
        </w:rPr>
        <w:t>ποιότητα ζωής μεταξύ του γενικού πληθυσμού</w:t>
      </w:r>
      <w:r w:rsidRPr="005A464E">
        <w:rPr>
          <w:sz w:val="24"/>
          <w:szCs w:val="24"/>
        </w:rPr>
        <w:t xml:space="preserve"> και </w:t>
      </w:r>
      <w:r w:rsidR="003C522B" w:rsidRPr="005A464E">
        <w:rPr>
          <w:sz w:val="24"/>
          <w:szCs w:val="24"/>
        </w:rPr>
        <w:t xml:space="preserve">των ασθενών υπό αιμοκάθαρση </w:t>
      </w:r>
      <w:r w:rsidR="00147B49">
        <w:rPr>
          <w:sz w:val="24"/>
          <w:szCs w:val="24"/>
        </w:rPr>
        <w:t>(</w:t>
      </w:r>
      <w:r w:rsidR="003605A8" w:rsidRPr="00607E7C">
        <w:rPr>
          <w:sz w:val="24"/>
          <w:szCs w:val="24"/>
        </w:rPr>
        <w:t xml:space="preserve">Kutner, </w:t>
      </w:r>
      <w:r w:rsidR="003605A8" w:rsidRPr="00607E7C">
        <w:rPr>
          <w:rFonts w:asciiTheme="minorHAnsi" w:hAnsiTheme="minorHAnsi" w:cstheme="minorHAnsi"/>
          <w:sz w:val="24"/>
          <w:szCs w:val="24"/>
          <w:lang w:val="en-US"/>
        </w:rPr>
        <w:t>Bliwise</w:t>
      </w:r>
      <w:r w:rsidR="003605A8" w:rsidRPr="00607E7C">
        <w:rPr>
          <w:rFonts w:asciiTheme="minorHAnsi" w:hAnsiTheme="minorHAnsi" w:cstheme="minorHAnsi"/>
          <w:sz w:val="24"/>
          <w:szCs w:val="24"/>
        </w:rPr>
        <w:t xml:space="preserve">, </w:t>
      </w:r>
      <w:r w:rsidR="003605A8" w:rsidRPr="00607E7C">
        <w:rPr>
          <w:rFonts w:asciiTheme="minorHAnsi" w:hAnsiTheme="minorHAnsi" w:cstheme="minorHAnsi"/>
          <w:sz w:val="24"/>
          <w:szCs w:val="24"/>
          <w:lang w:val="en-US"/>
        </w:rPr>
        <w:t>Brogan</w:t>
      </w:r>
      <w:r w:rsidR="003605A8" w:rsidRPr="00607E7C">
        <w:rPr>
          <w:rFonts w:asciiTheme="minorHAnsi" w:hAnsiTheme="minorHAnsi" w:cstheme="minorHAnsi"/>
          <w:sz w:val="24"/>
          <w:szCs w:val="24"/>
        </w:rPr>
        <w:t xml:space="preserve">, &amp; </w:t>
      </w:r>
      <w:r w:rsidR="003605A8" w:rsidRPr="00607E7C">
        <w:rPr>
          <w:rFonts w:asciiTheme="minorHAnsi" w:hAnsiTheme="minorHAnsi" w:cstheme="minorHAnsi"/>
          <w:sz w:val="24"/>
          <w:szCs w:val="24"/>
          <w:lang w:val="en-US"/>
        </w:rPr>
        <w:t>Zhang</w:t>
      </w:r>
      <w:r w:rsidR="003605A8" w:rsidRPr="00607E7C">
        <w:rPr>
          <w:rFonts w:asciiTheme="minorHAnsi" w:hAnsiTheme="minorHAnsi" w:cstheme="minorHAnsi"/>
          <w:sz w:val="24"/>
          <w:szCs w:val="24"/>
        </w:rPr>
        <w:t>,</w:t>
      </w:r>
      <w:r w:rsidR="003605A8">
        <w:rPr>
          <w:sz w:val="24"/>
          <w:szCs w:val="24"/>
        </w:rPr>
        <w:t xml:space="preserve"> </w:t>
      </w:r>
      <w:r w:rsidR="003605A8" w:rsidRPr="005A464E">
        <w:rPr>
          <w:sz w:val="24"/>
          <w:szCs w:val="24"/>
        </w:rPr>
        <w:t xml:space="preserve">2001; </w:t>
      </w:r>
      <w:r w:rsidR="00147B49">
        <w:rPr>
          <w:sz w:val="24"/>
          <w:szCs w:val="24"/>
        </w:rPr>
        <w:t>Cleary</w:t>
      </w:r>
      <w:r w:rsidR="00147B49" w:rsidRPr="00147B49">
        <w:rPr>
          <w:sz w:val="24"/>
          <w:szCs w:val="24"/>
        </w:rPr>
        <w:t>,</w:t>
      </w:r>
      <w:r w:rsidR="00294205" w:rsidRPr="005A464E">
        <w:rPr>
          <w:sz w:val="24"/>
          <w:szCs w:val="24"/>
        </w:rPr>
        <w:t xml:space="preserve"> 2005</w:t>
      </w:r>
      <w:r w:rsidR="003605A8">
        <w:rPr>
          <w:sz w:val="24"/>
          <w:szCs w:val="24"/>
        </w:rPr>
        <w:t xml:space="preserve">; </w:t>
      </w:r>
      <w:r w:rsidR="003A4363" w:rsidRPr="005A464E">
        <w:rPr>
          <w:sz w:val="24"/>
          <w:szCs w:val="24"/>
        </w:rPr>
        <w:t>Vasilieva</w:t>
      </w:r>
      <w:r w:rsidR="00147B49">
        <w:rPr>
          <w:sz w:val="24"/>
          <w:szCs w:val="24"/>
        </w:rPr>
        <w:t xml:space="preserve">, </w:t>
      </w:r>
      <w:r w:rsidR="003C522B" w:rsidRPr="005A464E">
        <w:rPr>
          <w:sz w:val="24"/>
          <w:szCs w:val="24"/>
        </w:rPr>
        <w:t>2006).</w:t>
      </w:r>
      <w:r w:rsidR="00791461" w:rsidRPr="005A464E">
        <w:rPr>
          <w:sz w:val="24"/>
          <w:szCs w:val="24"/>
        </w:rPr>
        <w:t xml:space="preserve"> </w:t>
      </w:r>
      <w:r w:rsidR="007C70A3" w:rsidRPr="005A464E">
        <w:rPr>
          <w:sz w:val="24"/>
          <w:szCs w:val="24"/>
        </w:rPr>
        <w:t xml:space="preserve">Μελέτες της ποιότητας ζωής των ασθενών </w:t>
      </w:r>
      <w:r w:rsidR="00860FA2" w:rsidRPr="005A464E">
        <w:rPr>
          <w:sz w:val="24"/>
          <w:szCs w:val="24"/>
        </w:rPr>
        <w:t>με ΤΣΧΝΝ έχουν αποκαλύψει επίπεδα</w:t>
      </w:r>
      <w:r w:rsidR="007C70A3" w:rsidRPr="005A464E">
        <w:rPr>
          <w:sz w:val="24"/>
          <w:szCs w:val="24"/>
        </w:rPr>
        <w:t xml:space="preserve"> που είναι</w:t>
      </w:r>
      <w:r w:rsidR="005F5232" w:rsidRPr="005A464E">
        <w:rPr>
          <w:sz w:val="24"/>
          <w:szCs w:val="24"/>
        </w:rPr>
        <w:t xml:space="preserve"> μόνο ελαφρώς χαμηλότερα από ό,</w:t>
      </w:r>
      <w:r w:rsidR="007C70A3" w:rsidRPr="005A464E">
        <w:rPr>
          <w:sz w:val="24"/>
          <w:szCs w:val="24"/>
        </w:rPr>
        <w:t>τι στο γε</w:t>
      </w:r>
      <w:r w:rsidR="00791461" w:rsidRPr="005A464E">
        <w:rPr>
          <w:sz w:val="24"/>
          <w:szCs w:val="24"/>
        </w:rPr>
        <w:t>νικό πληθυσμό (</w:t>
      </w:r>
      <w:r w:rsidR="003605A8" w:rsidRPr="005A464E">
        <w:rPr>
          <w:sz w:val="24"/>
          <w:szCs w:val="24"/>
        </w:rPr>
        <w:t xml:space="preserve">Evans </w:t>
      </w:r>
      <w:r w:rsidR="003605A8">
        <w:rPr>
          <w:sz w:val="24"/>
          <w:szCs w:val="24"/>
        </w:rPr>
        <w:t>et al.,</w:t>
      </w:r>
      <w:r w:rsidR="003605A8" w:rsidRPr="005A464E">
        <w:rPr>
          <w:sz w:val="24"/>
          <w:szCs w:val="24"/>
        </w:rPr>
        <w:t xml:space="preserve"> 1985</w:t>
      </w:r>
      <w:r w:rsidR="003605A8">
        <w:rPr>
          <w:sz w:val="24"/>
          <w:szCs w:val="24"/>
        </w:rPr>
        <w:t xml:space="preserve">; </w:t>
      </w:r>
      <w:r w:rsidR="00791461" w:rsidRPr="005A464E">
        <w:rPr>
          <w:sz w:val="24"/>
          <w:szCs w:val="24"/>
        </w:rPr>
        <w:t>Ferrans &amp; Powers</w:t>
      </w:r>
      <w:r w:rsidR="00AB454B">
        <w:rPr>
          <w:sz w:val="24"/>
          <w:szCs w:val="24"/>
        </w:rPr>
        <w:t>,</w:t>
      </w:r>
      <w:r w:rsidR="003605A8">
        <w:rPr>
          <w:sz w:val="24"/>
          <w:szCs w:val="24"/>
        </w:rPr>
        <w:t xml:space="preserve"> 1993</w:t>
      </w:r>
      <w:r w:rsidR="007C70A3" w:rsidRPr="005A464E">
        <w:rPr>
          <w:sz w:val="24"/>
          <w:szCs w:val="24"/>
        </w:rPr>
        <w:t>).</w:t>
      </w:r>
      <w:r w:rsidR="003605A8">
        <w:rPr>
          <w:sz w:val="24"/>
          <w:szCs w:val="24"/>
        </w:rPr>
        <w:t xml:space="preserve"> Αντιθέτως, α</w:t>
      </w:r>
      <w:r w:rsidR="007C70A3" w:rsidRPr="005A464E">
        <w:rPr>
          <w:sz w:val="24"/>
          <w:szCs w:val="24"/>
        </w:rPr>
        <w:t>σθενείς υ</w:t>
      </w:r>
      <w:r w:rsidR="003605A8">
        <w:rPr>
          <w:sz w:val="24"/>
          <w:szCs w:val="24"/>
        </w:rPr>
        <w:t>πό αιμοκάθαρση στο Ισραήλ,</w:t>
      </w:r>
      <w:r w:rsidR="00522110" w:rsidRPr="005A464E">
        <w:rPr>
          <w:sz w:val="24"/>
          <w:szCs w:val="24"/>
        </w:rPr>
        <w:t xml:space="preserve"> βρέθηκαν να έχουν χαμηλότερο επίπεδο</w:t>
      </w:r>
      <w:r w:rsidR="00791461" w:rsidRPr="005A464E">
        <w:rPr>
          <w:sz w:val="24"/>
          <w:szCs w:val="24"/>
        </w:rPr>
        <w:t xml:space="preserve"> </w:t>
      </w:r>
      <w:r w:rsidR="007C70A3" w:rsidRPr="005A464E">
        <w:rPr>
          <w:sz w:val="24"/>
          <w:szCs w:val="24"/>
        </w:rPr>
        <w:t>ποιότητα</w:t>
      </w:r>
      <w:r w:rsidR="00522110" w:rsidRPr="005A464E">
        <w:rPr>
          <w:sz w:val="24"/>
          <w:szCs w:val="24"/>
        </w:rPr>
        <w:t>ς</w:t>
      </w:r>
      <w:r w:rsidR="00791461" w:rsidRPr="005A464E">
        <w:rPr>
          <w:sz w:val="24"/>
          <w:szCs w:val="24"/>
        </w:rPr>
        <w:t xml:space="preserve"> </w:t>
      </w:r>
      <w:r w:rsidR="00522110" w:rsidRPr="005A464E">
        <w:rPr>
          <w:sz w:val="24"/>
          <w:szCs w:val="24"/>
        </w:rPr>
        <w:t xml:space="preserve">ζωής από ό,τι </w:t>
      </w:r>
      <w:r w:rsidR="007C70A3" w:rsidRPr="005A464E">
        <w:rPr>
          <w:sz w:val="24"/>
          <w:szCs w:val="24"/>
        </w:rPr>
        <w:t>ο γενικό</w:t>
      </w:r>
      <w:r w:rsidR="00522110" w:rsidRPr="005A464E">
        <w:rPr>
          <w:sz w:val="24"/>
          <w:szCs w:val="24"/>
        </w:rPr>
        <w:t>ς</w:t>
      </w:r>
      <w:r w:rsidR="007C70A3" w:rsidRPr="005A464E">
        <w:rPr>
          <w:sz w:val="24"/>
          <w:szCs w:val="24"/>
        </w:rPr>
        <w:t xml:space="preserve"> πληθυσμό</w:t>
      </w:r>
      <w:r w:rsidR="00522110" w:rsidRPr="005A464E">
        <w:rPr>
          <w:sz w:val="24"/>
          <w:szCs w:val="24"/>
        </w:rPr>
        <w:t>ς</w:t>
      </w:r>
      <w:r w:rsidR="007C70A3" w:rsidRPr="005A464E">
        <w:rPr>
          <w:sz w:val="24"/>
          <w:szCs w:val="24"/>
        </w:rPr>
        <w:t xml:space="preserve"> (Fran</w:t>
      </w:r>
      <w:r w:rsidR="00147B49">
        <w:rPr>
          <w:sz w:val="24"/>
          <w:szCs w:val="24"/>
        </w:rPr>
        <w:t xml:space="preserve">k, </w:t>
      </w:r>
      <w:r w:rsidR="00147B49" w:rsidRPr="00147B49">
        <w:rPr>
          <w:rFonts w:asciiTheme="minorHAnsi" w:hAnsiTheme="minorHAnsi" w:cstheme="minorHAnsi"/>
          <w:sz w:val="24"/>
          <w:szCs w:val="24"/>
          <w:lang w:val="en-US"/>
        </w:rPr>
        <w:t>Auslander</w:t>
      </w:r>
      <w:r w:rsidR="00147B49" w:rsidRPr="00147B49">
        <w:rPr>
          <w:rFonts w:asciiTheme="minorHAnsi" w:hAnsiTheme="minorHAnsi" w:cstheme="minorHAnsi"/>
          <w:sz w:val="24"/>
          <w:szCs w:val="24"/>
        </w:rPr>
        <w:t xml:space="preserve"> &amp; </w:t>
      </w:r>
      <w:r w:rsidR="00147B49" w:rsidRPr="00147B49">
        <w:rPr>
          <w:rFonts w:asciiTheme="minorHAnsi" w:hAnsiTheme="minorHAnsi" w:cstheme="minorHAnsi"/>
          <w:sz w:val="24"/>
          <w:szCs w:val="24"/>
          <w:lang w:val="en-US"/>
        </w:rPr>
        <w:t>Weissgarten</w:t>
      </w:r>
      <w:r w:rsidR="00147B49" w:rsidRPr="00147B49">
        <w:rPr>
          <w:rFonts w:asciiTheme="minorHAnsi" w:hAnsiTheme="minorHAnsi" w:cstheme="minorHAnsi"/>
          <w:sz w:val="24"/>
          <w:szCs w:val="24"/>
        </w:rPr>
        <w:t>,</w:t>
      </w:r>
      <w:r w:rsidR="0078495A">
        <w:rPr>
          <w:rFonts w:asciiTheme="minorHAnsi" w:hAnsiTheme="minorHAnsi" w:cstheme="minorHAnsi"/>
          <w:sz w:val="24"/>
          <w:szCs w:val="24"/>
        </w:rPr>
        <w:t xml:space="preserve"> </w:t>
      </w:r>
      <w:r w:rsidR="007C70A3" w:rsidRPr="00147B49">
        <w:rPr>
          <w:sz w:val="24"/>
          <w:szCs w:val="24"/>
        </w:rPr>
        <w:t xml:space="preserve">2003). </w:t>
      </w:r>
    </w:p>
    <w:p w:rsidR="00F010B8" w:rsidRPr="005A464E" w:rsidRDefault="00A51E4B" w:rsidP="005A464E">
      <w:pPr>
        <w:spacing w:line="360" w:lineRule="auto"/>
        <w:jc w:val="both"/>
        <w:rPr>
          <w:sz w:val="24"/>
          <w:szCs w:val="24"/>
        </w:rPr>
      </w:pPr>
      <w:r w:rsidRPr="005A464E">
        <w:rPr>
          <w:sz w:val="24"/>
          <w:szCs w:val="24"/>
        </w:rPr>
        <w:t xml:space="preserve">Οι Evans </w:t>
      </w:r>
      <w:r w:rsidR="00566CAA">
        <w:rPr>
          <w:sz w:val="24"/>
          <w:szCs w:val="24"/>
        </w:rPr>
        <w:t>et al</w:t>
      </w:r>
      <w:r w:rsidR="00147B49">
        <w:rPr>
          <w:sz w:val="24"/>
          <w:szCs w:val="24"/>
        </w:rPr>
        <w:t>.</w:t>
      </w:r>
      <w:r w:rsidRPr="005A464E">
        <w:rPr>
          <w:sz w:val="24"/>
          <w:szCs w:val="24"/>
        </w:rPr>
        <w:t xml:space="preserve"> (1985) συνέκριναν την ποιότητα ζωής μεταξύ των μεταμοσχευθέντων, εκείνω</w:t>
      </w:r>
      <w:r w:rsidR="00FD548B">
        <w:rPr>
          <w:sz w:val="24"/>
          <w:szCs w:val="24"/>
        </w:rPr>
        <w:t xml:space="preserve">ν που υποβάλλονται σε </w:t>
      </w:r>
      <w:r w:rsidR="003605A8">
        <w:rPr>
          <w:sz w:val="24"/>
          <w:szCs w:val="24"/>
        </w:rPr>
        <w:t xml:space="preserve">αιμοκάθαρση </w:t>
      </w:r>
      <w:r w:rsidR="00FD548B">
        <w:rPr>
          <w:sz w:val="24"/>
          <w:szCs w:val="24"/>
        </w:rPr>
        <w:t>σε Μ</w:t>
      </w:r>
      <w:r w:rsidR="003605A8">
        <w:rPr>
          <w:sz w:val="24"/>
          <w:szCs w:val="24"/>
        </w:rPr>
        <w:t>ΤΝ</w:t>
      </w:r>
      <w:r w:rsidRPr="005A464E">
        <w:rPr>
          <w:sz w:val="24"/>
          <w:szCs w:val="24"/>
        </w:rPr>
        <w:t xml:space="preserve"> και στο σπίτι. Διαπίστωσαν ότι οι ασθενείς που</w:t>
      </w:r>
      <w:r w:rsidR="0078495A">
        <w:rPr>
          <w:sz w:val="24"/>
          <w:szCs w:val="24"/>
        </w:rPr>
        <w:t xml:space="preserve"> </w:t>
      </w:r>
      <w:r w:rsidRPr="005A464E">
        <w:rPr>
          <w:sz w:val="24"/>
          <w:szCs w:val="24"/>
        </w:rPr>
        <w:t>υποβάλλονταν σε αιμοκάθαρση στη Μ</w:t>
      </w:r>
      <w:r w:rsidR="003605A8">
        <w:rPr>
          <w:sz w:val="24"/>
          <w:szCs w:val="24"/>
        </w:rPr>
        <w:t>ΤΝ</w:t>
      </w:r>
      <w:r w:rsidRPr="005A464E">
        <w:rPr>
          <w:sz w:val="24"/>
          <w:szCs w:val="24"/>
        </w:rPr>
        <w:t xml:space="preserve"> είχαν τις χαμηλότερες βαθμολογίες στις τρεις διαστάσεις της ποιότητας της ζωής: την ευεξία, την ψυχολογική κατάσταση και την ικανοποίηση από τη ζωή. Α</w:t>
      </w:r>
      <w:r w:rsidR="00791461" w:rsidRPr="005A464E">
        <w:rPr>
          <w:sz w:val="24"/>
          <w:szCs w:val="24"/>
        </w:rPr>
        <w:t>ντίθετα, οι νεότεροι, οι λευκοί</w:t>
      </w:r>
      <w:r w:rsidRPr="005A464E">
        <w:rPr>
          <w:sz w:val="24"/>
          <w:szCs w:val="24"/>
        </w:rPr>
        <w:t xml:space="preserve"> και οι ασθενείς με υψηλό εκπαιδευτικό επίπεδο είχαν υψηλότερα </w:t>
      </w:r>
      <w:r w:rsidR="003A4363" w:rsidRPr="005A464E">
        <w:rPr>
          <w:sz w:val="24"/>
          <w:szCs w:val="24"/>
        </w:rPr>
        <w:t xml:space="preserve">επίπεδα </w:t>
      </w:r>
      <w:r w:rsidRPr="005A464E">
        <w:rPr>
          <w:sz w:val="24"/>
          <w:szCs w:val="24"/>
        </w:rPr>
        <w:t>ποιότητα</w:t>
      </w:r>
      <w:r w:rsidR="003A4363" w:rsidRPr="005A464E">
        <w:rPr>
          <w:sz w:val="24"/>
          <w:szCs w:val="24"/>
        </w:rPr>
        <w:t>ς</w:t>
      </w:r>
      <w:r w:rsidRPr="005A464E">
        <w:rPr>
          <w:sz w:val="24"/>
          <w:szCs w:val="24"/>
        </w:rPr>
        <w:t xml:space="preserve"> ζωής σε σύγκριση με τους ομολόγους τους. </w:t>
      </w:r>
    </w:p>
    <w:p w:rsidR="007C70A3" w:rsidRPr="005A464E" w:rsidRDefault="00147B49" w:rsidP="005A464E">
      <w:pPr>
        <w:spacing w:line="360" w:lineRule="auto"/>
        <w:jc w:val="both"/>
        <w:rPr>
          <w:sz w:val="24"/>
          <w:szCs w:val="24"/>
        </w:rPr>
      </w:pPr>
      <w:r>
        <w:rPr>
          <w:sz w:val="24"/>
          <w:szCs w:val="24"/>
        </w:rPr>
        <w:t xml:space="preserve">Οι Molzahn, </w:t>
      </w:r>
      <w:r w:rsidRPr="00147B49">
        <w:rPr>
          <w:rFonts w:asciiTheme="minorHAnsi" w:hAnsiTheme="minorHAnsi" w:cstheme="minorHAnsi"/>
          <w:sz w:val="24"/>
          <w:szCs w:val="24"/>
          <w:lang w:val="en-US"/>
        </w:rPr>
        <w:t>Northcott</w:t>
      </w:r>
      <w:r w:rsidR="004A7CDC" w:rsidRPr="004A7CDC">
        <w:rPr>
          <w:rFonts w:asciiTheme="minorHAnsi" w:hAnsiTheme="minorHAnsi" w:cstheme="minorHAnsi"/>
          <w:sz w:val="24"/>
          <w:szCs w:val="24"/>
        </w:rPr>
        <w:t>,</w:t>
      </w:r>
      <w:r w:rsidRPr="00147B49">
        <w:rPr>
          <w:rFonts w:asciiTheme="minorHAnsi" w:hAnsiTheme="minorHAnsi" w:cstheme="minorHAnsi"/>
          <w:sz w:val="24"/>
          <w:szCs w:val="24"/>
        </w:rPr>
        <w:t xml:space="preserve"> &amp; </w:t>
      </w:r>
      <w:r w:rsidRPr="00147B49">
        <w:rPr>
          <w:rFonts w:asciiTheme="minorHAnsi" w:hAnsiTheme="minorHAnsi" w:cstheme="minorHAnsi"/>
          <w:sz w:val="24"/>
          <w:szCs w:val="24"/>
          <w:lang w:val="en-US"/>
        </w:rPr>
        <w:t>Dossetor</w:t>
      </w:r>
      <w:r w:rsidR="00A51E4B" w:rsidRPr="005A464E">
        <w:rPr>
          <w:sz w:val="24"/>
          <w:szCs w:val="24"/>
        </w:rPr>
        <w:t xml:space="preserve"> (1997</w:t>
      </w:r>
      <w:r w:rsidR="003605A8">
        <w:rPr>
          <w:sz w:val="24"/>
          <w:szCs w:val="24"/>
        </w:rPr>
        <w:t xml:space="preserve">) διαπίστωσαν ότι οι ασθενείς που είχαν </w:t>
      </w:r>
      <w:r w:rsidR="003605A8" w:rsidRPr="00F11FF5">
        <w:rPr>
          <w:sz w:val="24"/>
          <w:szCs w:val="24"/>
        </w:rPr>
        <w:t>υποβληθεί σε</w:t>
      </w:r>
      <w:r w:rsidR="00A51E4B" w:rsidRPr="00F11FF5">
        <w:rPr>
          <w:sz w:val="24"/>
          <w:szCs w:val="24"/>
        </w:rPr>
        <w:t xml:space="preserve"> μεταμόσχευση είχαν</w:t>
      </w:r>
      <w:r w:rsidR="00A51E4B" w:rsidRPr="005A464E">
        <w:rPr>
          <w:sz w:val="24"/>
          <w:szCs w:val="24"/>
        </w:rPr>
        <w:t xml:space="preserve"> υψηλότερη ποιότητας ζωής σε σύγκριση με τους ασθενείς υπ</w:t>
      </w:r>
      <w:r w:rsidR="004144C7">
        <w:rPr>
          <w:sz w:val="24"/>
          <w:szCs w:val="24"/>
        </w:rPr>
        <w:t>ό αιμοκάθαρση ενώ ο Lok (1996) έδειξ</w:t>
      </w:r>
      <w:r w:rsidR="00860FA2" w:rsidRPr="005A464E">
        <w:rPr>
          <w:sz w:val="24"/>
          <w:szCs w:val="24"/>
        </w:rPr>
        <w:t>ε ότι το επίπεδο του</w:t>
      </w:r>
      <w:r w:rsidR="0078495A">
        <w:rPr>
          <w:sz w:val="24"/>
          <w:szCs w:val="24"/>
        </w:rPr>
        <w:t xml:space="preserve"> </w:t>
      </w:r>
      <w:r w:rsidR="00A51E4B" w:rsidRPr="005A464E">
        <w:rPr>
          <w:sz w:val="24"/>
          <w:szCs w:val="24"/>
        </w:rPr>
        <w:t xml:space="preserve">στρες συσχετίστηκε αρνητικά με την συνολική ποιότητα ζωής. Αυτό σημαίνει ότι καθώς το </w:t>
      </w:r>
      <w:r w:rsidR="00860FA2" w:rsidRPr="005A464E">
        <w:rPr>
          <w:sz w:val="24"/>
          <w:szCs w:val="24"/>
        </w:rPr>
        <w:t xml:space="preserve">επίπεδο του </w:t>
      </w:r>
      <w:r w:rsidR="00791461" w:rsidRPr="005A464E">
        <w:rPr>
          <w:sz w:val="24"/>
          <w:szCs w:val="24"/>
        </w:rPr>
        <w:t>στρες αυξάνεται</w:t>
      </w:r>
      <w:r w:rsidR="00A51E4B" w:rsidRPr="005A464E">
        <w:rPr>
          <w:sz w:val="24"/>
          <w:szCs w:val="24"/>
        </w:rPr>
        <w:t xml:space="preserve">, η ποιότητα ζωής είναι χαμηλότερη. </w:t>
      </w:r>
      <w:r w:rsidR="00A51E4B" w:rsidRPr="00F11FF5">
        <w:rPr>
          <w:sz w:val="24"/>
          <w:szCs w:val="24"/>
        </w:rPr>
        <w:t>Στην πραγματικότητα, μόνο το 28,5% των συμμετεχόντων αυτής της μελέτης ανέφερ</w:t>
      </w:r>
      <w:r w:rsidR="007765C0" w:rsidRPr="00F11FF5">
        <w:rPr>
          <w:sz w:val="24"/>
          <w:szCs w:val="24"/>
        </w:rPr>
        <w:t>ε</w:t>
      </w:r>
      <w:r w:rsidR="003605A8" w:rsidRPr="00F11FF5">
        <w:rPr>
          <w:sz w:val="24"/>
          <w:szCs w:val="24"/>
        </w:rPr>
        <w:t xml:space="preserve"> </w:t>
      </w:r>
      <w:r w:rsidR="007765C0" w:rsidRPr="00F11FF5">
        <w:rPr>
          <w:sz w:val="24"/>
          <w:szCs w:val="24"/>
        </w:rPr>
        <w:t>ικανοποίηση</w:t>
      </w:r>
      <w:r w:rsidR="003605A8" w:rsidRPr="00F11FF5">
        <w:rPr>
          <w:sz w:val="24"/>
          <w:szCs w:val="24"/>
        </w:rPr>
        <w:t xml:space="preserve"> από</w:t>
      </w:r>
      <w:r w:rsidR="007765C0" w:rsidRPr="00F11FF5">
        <w:rPr>
          <w:sz w:val="24"/>
          <w:szCs w:val="24"/>
        </w:rPr>
        <w:t xml:space="preserve"> τη ζωή</w:t>
      </w:r>
      <w:r w:rsidR="00A51E4B" w:rsidRPr="00F11FF5">
        <w:rPr>
          <w:sz w:val="24"/>
          <w:szCs w:val="24"/>
        </w:rPr>
        <w:t>.</w:t>
      </w:r>
    </w:p>
    <w:p w:rsidR="009906D3" w:rsidRPr="005A464E" w:rsidRDefault="009906D3" w:rsidP="005A464E">
      <w:pPr>
        <w:tabs>
          <w:tab w:val="left" w:pos="4999"/>
        </w:tabs>
        <w:spacing w:line="360" w:lineRule="auto"/>
        <w:jc w:val="both"/>
        <w:rPr>
          <w:sz w:val="24"/>
          <w:szCs w:val="24"/>
        </w:rPr>
      </w:pPr>
      <w:r w:rsidRPr="005A464E">
        <w:rPr>
          <w:sz w:val="24"/>
          <w:szCs w:val="24"/>
        </w:rPr>
        <w:t xml:space="preserve">Ο </w:t>
      </w:r>
      <w:r w:rsidRPr="005A464E">
        <w:rPr>
          <w:sz w:val="24"/>
          <w:szCs w:val="24"/>
          <w:lang w:val="en-US"/>
        </w:rPr>
        <w:t>Furr</w:t>
      </w:r>
      <w:r w:rsidRPr="005A464E">
        <w:rPr>
          <w:sz w:val="24"/>
          <w:szCs w:val="24"/>
        </w:rPr>
        <w:t xml:space="preserve"> (1998) συνόψισε τη επίδραση της </w:t>
      </w:r>
      <w:r w:rsidR="007765C0">
        <w:rPr>
          <w:sz w:val="24"/>
          <w:szCs w:val="24"/>
        </w:rPr>
        <w:t>ΤΣ</w:t>
      </w:r>
      <w:r w:rsidRPr="005A464E">
        <w:rPr>
          <w:sz w:val="24"/>
          <w:szCs w:val="24"/>
        </w:rPr>
        <w:t xml:space="preserve">ΧΝΝ στο άτομο. </w:t>
      </w:r>
      <w:r w:rsidR="004144C7">
        <w:rPr>
          <w:sz w:val="24"/>
          <w:szCs w:val="24"/>
        </w:rPr>
        <w:t>Ο</w:t>
      </w:r>
      <w:r w:rsidRPr="005A464E">
        <w:rPr>
          <w:sz w:val="24"/>
          <w:szCs w:val="24"/>
        </w:rPr>
        <w:t xml:space="preserve">ι φυσικές επιδράσεις της </w:t>
      </w:r>
      <w:r w:rsidR="007765C0">
        <w:rPr>
          <w:sz w:val="24"/>
          <w:szCs w:val="24"/>
        </w:rPr>
        <w:t>ΤΣ</w:t>
      </w:r>
      <w:r w:rsidRPr="005A464E">
        <w:rPr>
          <w:sz w:val="24"/>
          <w:szCs w:val="24"/>
        </w:rPr>
        <w:t xml:space="preserve">ΧΝΝ και της αιμοκάθαρσης είναι ανάλογες της ψυχοκοινωνικής λειτουργίας του ατόμου. Η νόσος επηρεάζει τη συμπεριφορά, τη διάθεση, τη γνωσιακή λειτουργία και τη συμμετοχή σε κοινωνικές και οικονομικές δραστηριότητες. Επιπλέον, η </w:t>
      </w:r>
      <w:r w:rsidR="007765C0">
        <w:rPr>
          <w:sz w:val="24"/>
          <w:szCs w:val="24"/>
        </w:rPr>
        <w:t>ΤΣ</w:t>
      </w:r>
      <w:r w:rsidRPr="005A464E">
        <w:rPr>
          <w:sz w:val="24"/>
          <w:szCs w:val="24"/>
        </w:rPr>
        <w:t>ΧΝΝ μπορεί να φέρει αλλαγές στην εμφάνιση, στη σεξουαλική επιθυμία, ανεπά</w:t>
      </w:r>
      <w:r w:rsidR="004144C7">
        <w:rPr>
          <w:sz w:val="24"/>
          <w:szCs w:val="24"/>
        </w:rPr>
        <w:t>ρκεια στη λειτουργ</w:t>
      </w:r>
      <w:r w:rsidR="00F11FF5">
        <w:rPr>
          <w:sz w:val="24"/>
          <w:szCs w:val="24"/>
        </w:rPr>
        <w:t>ία</w:t>
      </w:r>
      <w:r w:rsidR="004144C7">
        <w:rPr>
          <w:sz w:val="24"/>
          <w:szCs w:val="24"/>
        </w:rPr>
        <w:t xml:space="preserve"> της μνήμης και</w:t>
      </w:r>
      <w:r w:rsidRPr="005A464E">
        <w:rPr>
          <w:sz w:val="24"/>
          <w:szCs w:val="24"/>
        </w:rPr>
        <w:t xml:space="preserve"> αλλαγές στ</w:t>
      </w:r>
      <w:r w:rsidR="00F11FF5">
        <w:rPr>
          <w:sz w:val="24"/>
          <w:szCs w:val="24"/>
        </w:rPr>
        <w:t>ο</w:t>
      </w:r>
      <w:r w:rsidRPr="005A464E">
        <w:rPr>
          <w:sz w:val="24"/>
          <w:szCs w:val="24"/>
        </w:rPr>
        <w:t xml:space="preserve"> κοινωνικό </w:t>
      </w:r>
      <w:r w:rsidRPr="005A464E">
        <w:rPr>
          <w:sz w:val="24"/>
          <w:szCs w:val="24"/>
          <w:lang w:val="en-US"/>
        </w:rPr>
        <w:t>status</w:t>
      </w:r>
      <w:r w:rsidRPr="005A464E">
        <w:rPr>
          <w:sz w:val="24"/>
          <w:szCs w:val="24"/>
        </w:rPr>
        <w:t xml:space="preserve"> περιορίζοντας τις ευκαιρίες και φέροντας αλλαγή στους ρόλους. Ο ασθενής βιώνει </w:t>
      </w:r>
      <w:r w:rsidR="00F11FF5">
        <w:rPr>
          <w:sz w:val="24"/>
          <w:szCs w:val="24"/>
        </w:rPr>
        <w:t xml:space="preserve">την </w:t>
      </w:r>
      <w:r w:rsidRPr="005A464E">
        <w:rPr>
          <w:sz w:val="24"/>
          <w:szCs w:val="24"/>
        </w:rPr>
        <w:t xml:space="preserve">απώλεια </w:t>
      </w:r>
      <w:r w:rsidR="00F11FF5">
        <w:rPr>
          <w:sz w:val="24"/>
          <w:szCs w:val="24"/>
        </w:rPr>
        <w:t xml:space="preserve"> προγενέστερων κοινωνικών και οικογενειακών ρόλων</w:t>
      </w:r>
      <w:r w:rsidRPr="005A464E">
        <w:rPr>
          <w:sz w:val="24"/>
          <w:szCs w:val="24"/>
        </w:rPr>
        <w:t>, αυξημέ</w:t>
      </w:r>
      <w:r w:rsidR="003605A8">
        <w:rPr>
          <w:sz w:val="24"/>
          <w:szCs w:val="24"/>
        </w:rPr>
        <w:t>νη εξάρτηση από τους άλλους,</w:t>
      </w:r>
      <w:r w:rsidRPr="005A464E">
        <w:rPr>
          <w:sz w:val="24"/>
          <w:szCs w:val="24"/>
        </w:rPr>
        <w:t xml:space="preserve"> </w:t>
      </w:r>
      <w:r w:rsidR="00110647" w:rsidRPr="005A464E">
        <w:rPr>
          <w:sz w:val="24"/>
          <w:szCs w:val="24"/>
        </w:rPr>
        <w:t>ένταση στην οικογένεια</w:t>
      </w:r>
      <w:r w:rsidRPr="005A464E">
        <w:rPr>
          <w:sz w:val="24"/>
          <w:szCs w:val="24"/>
        </w:rPr>
        <w:t>, χαμηλή αυτοεκτίμηση, ανασφ</w:t>
      </w:r>
      <w:r w:rsidR="003605A8">
        <w:rPr>
          <w:sz w:val="24"/>
          <w:szCs w:val="24"/>
        </w:rPr>
        <w:t xml:space="preserve">άλεια, </w:t>
      </w:r>
      <w:r w:rsidR="00F11FF5">
        <w:rPr>
          <w:sz w:val="24"/>
          <w:szCs w:val="24"/>
        </w:rPr>
        <w:t xml:space="preserve">διαταραγμένη </w:t>
      </w:r>
      <w:r w:rsidR="003605A8">
        <w:rPr>
          <w:sz w:val="24"/>
          <w:szCs w:val="24"/>
        </w:rPr>
        <w:t xml:space="preserve">εικόνα του </w:t>
      </w:r>
      <w:r w:rsidR="003605A8" w:rsidRPr="00F737D0">
        <w:rPr>
          <w:sz w:val="24"/>
          <w:szCs w:val="24"/>
        </w:rPr>
        <w:t>σώματος και</w:t>
      </w:r>
      <w:r w:rsidRPr="00F737D0">
        <w:rPr>
          <w:sz w:val="24"/>
          <w:szCs w:val="24"/>
        </w:rPr>
        <w:t xml:space="preserve"> κατάθλιψη</w:t>
      </w:r>
      <w:r w:rsidRPr="005A464E">
        <w:rPr>
          <w:sz w:val="24"/>
          <w:szCs w:val="24"/>
        </w:rPr>
        <w:t>.</w:t>
      </w:r>
    </w:p>
    <w:p w:rsidR="009906D3" w:rsidRPr="005A464E" w:rsidRDefault="009906D3" w:rsidP="005A464E">
      <w:pPr>
        <w:tabs>
          <w:tab w:val="left" w:pos="4999"/>
          <w:tab w:val="left" w:pos="6708"/>
        </w:tabs>
        <w:spacing w:line="360" w:lineRule="auto"/>
        <w:jc w:val="both"/>
        <w:rPr>
          <w:sz w:val="24"/>
          <w:szCs w:val="24"/>
        </w:rPr>
      </w:pPr>
      <w:r w:rsidRPr="005A464E">
        <w:rPr>
          <w:sz w:val="24"/>
          <w:szCs w:val="24"/>
        </w:rPr>
        <w:t xml:space="preserve">Ποικίλες είναι οι μελέτες που οδηγούν σε παρόμοια αποτελέσματα. Οι </w:t>
      </w:r>
      <w:r w:rsidRPr="005A464E">
        <w:rPr>
          <w:sz w:val="24"/>
          <w:szCs w:val="24"/>
          <w:lang w:val="en-US"/>
        </w:rPr>
        <w:t>Siegal</w:t>
      </w:r>
      <w:r w:rsidR="00147B49">
        <w:rPr>
          <w:sz w:val="24"/>
          <w:szCs w:val="24"/>
        </w:rPr>
        <w:t>,</w:t>
      </w:r>
      <w:r w:rsidR="0078495A">
        <w:rPr>
          <w:sz w:val="24"/>
          <w:szCs w:val="24"/>
        </w:rPr>
        <w:t xml:space="preserve"> </w:t>
      </w:r>
      <w:r w:rsidR="00147B49" w:rsidRPr="00147B49">
        <w:rPr>
          <w:rFonts w:asciiTheme="minorHAnsi" w:eastAsia="Times New Roman" w:hAnsiTheme="minorHAnsi" w:cstheme="minorHAnsi"/>
          <w:sz w:val="24"/>
          <w:szCs w:val="24"/>
          <w:lang w:val="en-US" w:eastAsia="el-GR"/>
        </w:rPr>
        <w:t>Calsyn</w:t>
      </w:r>
      <w:r w:rsidR="00AB454B">
        <w:rPr>
          <w:rFonts w:asciiTheme="minorHAnsi" w:eastAsia="Times New Roman" w:hAnsiTheme="minorHAnsi" w:cstheme="minorHAnsi"/>
          <w:sz w:val="24"/>
          <w:szCs w:val="24"/>
          <w:lang w:eastAsia="el-GR"/>
        </w:rPr>
        <w:t xml:space="preserve"> και</w:t>
      </w:r>
      <w:r w:rsidR="00147B49" w:rsidRPr="00147B49">
        <w:rPr>
          <w:rFonts w:asciiTheme="minorHAnsi" w:eastAsia="Times New Roman" w:hAnsiTheme="minorHAnsi" w:cstheme="minorHAnsi"/>
          <w:sz w:val="24"/>
          <w:szCs w:val="24"/>
          <w:lang w:eastAsia="el-GR"/>
        </w:rPr>
        <w:t xml:space="preserve"> </w:t>
      </w:r>
      <w:r w:rsidR="00147B49" w:rsidRPr="00147B49">
        <w:rPr>
          <w:rFonts w:asciiTheme="minorHAnsi" w:eastAsia="Times New Roman" w:hAnsiTheme="minorHAnsi" w:cstheme="minorHAnsi"/>
          <w:sz w:val="24"/>
          <w:szCs w:val="24"/>
          <w:lang w:val="en-US" w:eastAsia="el-GR"/>
        </w:rPr>
        <w:t>Cuddihee</w:t>
      </w:r>
      <w:r w:rsidR="00147B49" w:rsidRPr="005A464E">
        <w:rPr>
          <w:sz w:val="24"/>
          <w:szCs w:val="24"/>
        </w:rPr>
        <w:t xml:space="preserve"> </w:t>
      </w:r>
      <w:r w:rsidRPr="005A464E">
        <w:rPr>
          <w:sz w:val="24"/>
          <w:szCs w:val="24"/>
        </w:rPr>
        <w:t>(1987) διαπίστωσαν άγχος και κατ</w:t>
      </w:r>
      <w:r w:rsidR="00A76E37" w:rsidRPr="005A464E">
        <w:rPr>
          <w:sz w:val="24"/>
          <w:szCs w:val="24"/>
        </w:rPr>
        <w:t xml:space="preserve">άθλιψη σε δείγμα ασθενών με </w:t>
      </w:r>
      <w:r w:rsidR="003605A8">
        <w:rPr>
          <w:sz w:val="24"/>
          <w:szCs w:val="24"/>
        </w:rPr>
        <w:t>ΤΣ</w:t>
      </w:r>
      <w:r w:rsidR="00A76E37" w:rsidRPr="005A464E">
        <w:rPr>
          <w:sz w:val="24"/>
          <w:szCs w:val="24"/>
        </w:rPr>
        <w:t>ΧΝΝ</w:t>
      </w:r>
      <w:r w:rsidRPr="005A464E">
        <w:rPr>
          <w:sz w:val="24"/>
          <w:szCs w:val="24"/>
        </w:rPr>
        <w:t xml:space="preserve">. Σε ασθενείς στο Χονγκ Κονγκ βρέθηκε ότι </w:t>
      </w:r>
      <w:r w:rsidR="00A76E37" w:rsidRPr="005A464E">
        <w:rPr>
          <w:sz w:val="24"/>
          <w:szCs w:val="24"/>
        </w:rPr>
        <w:t xml:space="preserve">η </w:t>
      </w:r>
      <w:r w:rsidR="007765C0">
        <w:rPr>
          <w:sz w:val="24"/>
          <w:szCs w:val="24"/>
        </w:rPr>
        <w:t>ΤΣ</w:t>
      </w:r>
      <w:r w:rsidR="00A76E37" w:rsidRPr="005A464E">
        <w:rPr>
          <w:sz w:val="24"/>
          <w:szCs w:val="24"/>
        </w:rPr>
        <w:t xml:space="preserve">ΧΝΝ υπό </w:t>
      </w:r>
      <w:r w:rsidR="003605A8">
        <w:rPr>
          <w:sz w:val="24"/>
          <w:szCs w:val="24"/>
        </w:rPr>
        <w:t>αιμοκάθαρση</w:t>
      </w:r>
      <w:r w:rsidR="003605A8" w:rsidRPr="005A464E">
        <w:rPr>
          <w:sz w:val="24"/>
          <w:szCs w:val="24"/>
        </w:rPr>
        <w:t xml:space="preserve"> </w:t>
      </w:r>
      <w:r w:rsidR="00791461" w:rsidRPr="005A464E">
        <w:rPr>
          <w:sz w:val="24"/>
          <w:szCs w:val="24"/>
        </w:rPr>
        <w:t>οδηγεί σε αναστροφή των ρόλων</w:t>
      </w:r>
      <w:r w:rsidRPr="005A464E">
        <w:rPr>
          <w:sz w:val="24"/>
          <w:szCs w:val="24"/>
        </w:rPr>
        <w:t>, οικονομικές δυσκολίες και αλλαγή στην εικόνα του σώματος (</w:t>
      </w:r>
      <w:r w:rsidRPr="005A464E">
        <w:rPr>
          <w:sz w:val="24"/>
          <w:szCs w:val="24"/>
          <w:lang w:val="en-US"/>
        </w:rPr>
        <w:t>Mok</w:t>
      </w:r>
      <w:r w:rsidR="00573981">
        <w:rPr>
          <w:sz w:val="24"/>
          <w:szCs w:val="24"/>
        </w:rPr>
        <w:t>,</w:t>
      </w:r>
      <w:r w:rsidR="0078495A">
        <w:rPr>
          <w:sz w:val="24"/>
          <w:szCs w:val="24"/>
        </w:rPr>
        <w:t xml:space="preserve"> </w:t>
      </w:r>
      <w:r w:rsidR="00573981" w:rsidRPr="00573981">
        <w:rPr>
          <w:rFonts w:asciiTheme="minorHAnsi" w:hAnsiTheme="minorHAnsi" w:cstheme="minorHAnsi"/>
          <w:color w:val="000000"/>
          <w:sz w:val="24"/>
          <w:szCs w:val="24"/>
          <w:lang w:val="en-US"/>
        </w:rPr>
        <w:t>Lai</w:t>
      </w:r>
      <w:r w:rsidR="004A7CDC" w:rsidRPr="004A7CDC">
        <w:rPr>
          <w:rFonts w:asciiTheme="minorHAnsi" w:hAnsiTheme="minorHAnsi" w:cstheme="minorHAnsi"/>
          <w:color w:val="000000"/>
          <w:sz w:val="24"/>
          <w:szCs w:val="24"/>
        </w:rPr>
        <w:t>,</w:t>
      </w:r>
      <w:r w:rsidR="00573981" w:rsidRPr="00573981">
        <w:rPr>
          <w:rFonts w:asciiTheme="minorHAnsi" w:hAnsiTheme="minorHAnsi" w:cstheme="minorHAnsi"/>
          <w:color w:val="000000"/>
          <w:sz w:val="24"/>
          <w:szCs w:val="24"/>
        </w:rPr>
        <w:t xml:space="preserve"> &amp; </w:t>
      </w:r>
      <w:r w:rsidR="00573981" w:rsidRPr="00573981">
        <w:rPr>
          <w:rFonts w:asciiTheme="minorHAnsi" w:hAnsiTheme="minorHAnsi" w:cstheme="minorHAnsi"/>
          <w:color w:val="000000"/>
          <w:sz w:val="24"/>
          <w:szCs w:val="24"/>
          <w:lang w:val="en-US"/>
        </w:rPr>
        <w:t>Zhang</w:t>
      </w:r>
      <w:r w:rsidR="004144C7">
        <w:rPr>
          <w:rFonts w:asciiTheme="minorHAnsi" w:hAnsiTheme="minorHAnsi" w:cstheme="minorHAnsi"/>
          <w:color w:val="000000"/>
          <w:sz w:val="24"/>
          <w:szCs w:val="24"/>
        </w:rPr>
        <w:t>,</w:t>
      </w:r>
      <w:r w:rsidR="00573981" w:rsidRPr="00573981">
        <w:rPr>
          <w:sz w:val="24"/>
          <w:szCs w:val="24"/>
        </w:rPr>
        <w:t xml:space="preserve"> </w:t>
      </w:r>
      <w:r w:rsidRPr="00573981">
        <w:rPr>
          <w:sz w:val="24"/>
          <w:szCs w:val="24"/>
        </w:rPr>
        <w:t>2004</w:t>
      </w:r>
      <w:r w:rsidRPr="005A464E">
        <w:rPr>
          <w:sz w:val="24"/>
          <w:szCs w:val="24"/>
        </w:rPr>
        <w:t>) ενώ η οικογένεια χαρακτηρίσθηκε από τους ασθενείς ως η πιο σημαντική πηγή κοινωνικής στήριξης (</w:t>
      </w:r>
      <w:r w:rsidRPr="005A464E">
        <w:rPr>
          <w:sz w:val="24"/>
          <w:szCs w:val="24"/>
          <w:lang w:val="en-US"/>
        </w:rPr>
        <w:t>Siegal</w:t>
      </w:r>
      <w:r w:rsidR="00573981">
        <w:rPr>
          <w:sz w:val="24"/>
          <w:szCs w:val="24"/>
        </w:rPr>
        <w:t>,</w:t>
      </w:r>
      <w:r w:rsidR="00573981" w:rsidRPr="00573981">
        <w:rPr>
          <w:rFonts w:asciiTheme="minorHAnsi" w:eastAsia="Times New Roman" w:hAnsiTheme="minorHAnsi" w:cstheme="minorHAnsi"/>
          <w:sz w:val="24"/>
          <w:szCs w:val="24"/>
          <w:lang w:eastAsia="el-GR"/>
        </w:rPr>
        <w:t xml:space="preserve"> </w:t>
      </w:r>
      <w:r w:rsidR="00573981" w:rsidRPr="00147B49">
        <w:rPr>
          <w:rFonts w:asciiTheme="minorHAnsi" w:eastAsia="Times New Roman" w:hAnsiTheme="minorHAnsi" w:cstheme="minorHAnsi"/>
          <w:sz w:val="24"/>
          <w:szCs w:val="24"/>
          <w:lang w:val="en-US" w:eastAsia="el-GR"/>
        </w:rPr>
        <w:t>Calsyn</w:t>
      </w:r>
      <w:r w:rsidR="004144C7">
        <w:rPr>
          <w:rFonts w:asciiTheme="minorHAnsi" w:eastAsia="Times New Roman" w:hAnsiTheme="minorHAnsi" w:cstheme="minorHAnsi"/>
          <w:sz w:val="24"/>
          <w:szCs w:val="24"/>
          <w:lang w:eastAsia="el-GR"/>
        </w:rPr>
        <w:t>,</w:t>
      </w:r>
      <w:r w:rsidR="00573981" w:rsidRPr="00147B49">
        <w:rPr>
          <w:rFonts w:asciiTheme="minorHAnsi" w:eastAsia="Times New Roman" w:hAnsiTheme="minorHAnsi" w:cstheme="minorHAnsi"/>
          <w:sz w:val="24"/>
          <w:szCs w:val="24"/>
          <w:lang w:eastAsia="el-GR"/>
        </w:rPr>
        <w:t xml:space="preserve"> &amp; </w:t>
      </w:r>
      <w:r w:rsidR="00573981" w:rsidRPr="00147B49">
        <w:rPr>
          <w:rFonts w:asciiTheme="minorHAnsi" w:eastAsia="Times New Roman" w:hAnsiTheme="minorHAnsi" w:cstheme="minorHAnsi"/>
          <w:sz w:val="24"/>
          <w:szCs w:val="24"/>
          <w:lang w:val="en-US" w:eastAsia="el-GR"/>
        </w:rPr>
        <w:t>Cuddihee</w:t>
      </w:r>
      <w:r w:rsidR="004144C7">
        <w:rPr>
          <w:rFonts w:asciiTheme="minorHAnsi" w:eastAsia="Times New Roman" w:hAnsiTheme="minorHAnsi" w:cstheme="minorHAnsi"/>
          <w:sz w:val="24"/>
          <w:szCs w:val="24"/>
          <w:lang w:eastAsia="el-GR"/>
        </w:rPr>
        <w:t>,</w:t>
      </w:r>
      <w:r w:rsidRPr="005A464E">
        <w:rPr>
          <w:sz w:val="24"/>
          <w:szCs w:val="24"/>
        </w:rPr>
        <w:t xml:space="preserve"> 1987).</w:t>
      </w:r>
    </w:p>
    <w:p w:rsidR="009906D3" w:rsidRPr="005A464E" w:rsidRDefault="009906D3" w:rsidP="005A464E">
      <w:pPr>
        <w:tabs>
          <w:tab w:val="left" w:pos="4999"/>
          <w:tab w:val="left" w:pos="6708"/>
        </w:tabs>
        <w:spacing w:line="360" w:lineRule="auto"/>
        <w:jc w:val="both"/>
        <w:rPr>
          <w:sz w:val="24"/>
          <w:szCs w:val="24"/>
        </w:rPr>
      </w:pPr>
      <w:r w:rsidRPr="00F11FF5">
        <w:rPr>
          <w:sz w:val="24"/>
          <w:szCs w:val="24"/>
        </w:rPr>
        <w:t xml:space="preserve">Η κόπωση αποτελεί ένα σύνηθες φαινόμενο στους ασθενείς με </w:t>
      </w:r>
      <w:r w:rsidR="007765C0" w:rsidRPr="00F11FF5">
        <w:rPr>
          <w:sz w:val="24"/>
          <w:szCs w:val="24"/>
        </w:rPr>
        <w:t>ΤΣ</w:t>
      </w:r>
      <w:r w:rsidRPr="00F11FF5">
        <w:rPr>
          <w:sz w:val="24"/>
          <w:szCs w:val="24"/>
        </w:rPr>
        <w:t xml:space="preserve">ΧΝΝ υπό </w:t>
      </w:r>
      <w:r w:rsidR="003605A8" w:rsidRPr="00F11FF5">
        <w:rPr>
          <w:sz w:val="24"/>
          <w:szCs w:val="24"/>
        </w:rPr>
        <w:t>αιμοκάθαρση</w:t>
      </w:r>
      <w:r w:rsidRPr="00F11FF5">
        <w:rPr>
          <w:sz w:val="24"/>
          <w:szCs w:val="24"/>
        </w:rPr>
        <w:t>. Σε μ</w:t>
      </w:r>
      <w:r w:rsidR="00A76E37" w:rsidRPr="00F11FF5">
        <w:rPr>
          <w:sz w:val="24"/>
          <w:szCs w:val="24"/>
        </w:rPr>
        <w:t xml:space="preserve">ια μελέτη 307 ασθενών υπό </w:t>
      </w:r>
      <w:r w:rsidR="003605A8" w:rsidRPr="00F11FF5">
        <w:rPr>
          <w:sz w:val="24"/>
          <w:szCs w:val="24"/>
        </w:rPr>
        <w:t xml:space="preserve">αιμοκάθαρση </w:t>
      </w:r>
      <w:r w:rsidRPr="00F11FF5">
        <w:rPr>
          <w:sz w:val="24"/>
          <w:szCs w:val="24"/>
        </w:rPr>
        <w:t>διαφορετικών πολιτιστικών υποβάθρων, οι Curtin</w:t>
      </w:r>
      <w:r w:rsidR="001C2D3A" w:rsidRPr="00F11FF5">
        <w:rPr>
          <w:sz w:val="24"/>
          <w:szCs w:val="24"/>
        </w:rPr>
        <w:t>,</w:t>
      </w:r>
      <w:r w:rsidRPr="00F11FF5">
        <w:rPr>
          <w:sz w:val="24"/>
          <w:szCs w:val="24"/>
        </w:rPr>
        <w:t xml:space="preserve"> </w:t>
      </w:r>
      <w:r w:rsidR="001C2D3A" w:rsidRPr="00F11FF5">
        <w:rPr>
          <w:rFonts w:asciiTheme="minorHAnsi" w:hAnsiTheme="minorHAnsi" w:cstheme="minorHAnsi"/>
          <w:sz w:val="24"/>
          <w:szCs w:val="24"/>
          <w:lang w:val="en-US"/>
        </w:rPr>
        <w:t>Bultman</w:t>
      </w:r>
      <w:r w:rsidR="001C2D3A" w:rsidRPr="00F11FF5">
        <w:rPr>
          <w:rFonts w:asciiTheme="minorHAnsi" w:hAnsiTheme="minorHAnsi" w:cstheme="minorHAnsi"/>
          <w:sz w:val="24"/>
          <w:szCs w:val="24"/>
        </w:rPr>
        <w:t>,</w:t>
      </w:r>
      <w:r w:rsidR="001C2D3A" w:rsidRPr="00F11FF5">
        <w:rPr>
          <w:rFonts w:asciiTheme="minorHAnsi" w:hAnsiTheme="minorHAnsi" w:cstheme="minorHAnsi"/>
          <w:sz w:val="24"/>
          <w:szCs w:val="24"/>
          <w:lang w:val="en-US"/>
        </w:rPr>
        <w:t>Thomas</w:t>
      </w:r>
      <w:r w:rsidR="001C2D3A" w:rsidRPr="00F11FF5">
        <w:rPr>
          <w:rFonts w:asciiTheme="minorHAnsi" w:hAnsiTheme="minorHAnsi" w:cstheme="minorHAnsi"/>
          <w:sz w:val="24"/>
          <w:szCs w:val="24"/>
        </w:rPr>
        <w:t>-</w:t>
      </w:r>
      <w:r w:rsidR="001C2D3A" w:rsidRPr="00F11FF5">
        <w:rPr>
          <w:rFonts w:asciiTheme="minorHAnsi" w:hAnsiTheme="minorHAnsi" w:cstheme="minorHAnsi"/>
          <w:sz w:val="24"/>
          <w:szCs w:val="24"/>
          <w:lang w:val="en-US"/>
        </w:rPr>
        <w:t>Hawkins</w:t>
      </w:r>
      <w:r w:rsidR="001C2D3A" w:rsidRPr="00F11FF5">
        <w:rPr>
          <w:rFonts w:asciiTheme="minorHAnsi" w:hAnsiTheme="minorHAnsi" w:cstheme="minorHAnsi"/>
          <w:sz w:val="24"/>
          <w:szCs w:val="24"/>
        </w:rPr>
        <w:t xml:space="preserve">, </w:t>
      </w:r>
      <w:r w:rsidR="001C2D3A" w:rsidRPr="00F11FF5">
        <w:rPr>
          <w:rFonts w:asciiTheme="minorHAnsi" w:hAnsiTheme="minorHAnsi" w:cstheme="minorHAnsi"/>
          <w:sz w:val="24"/>
          <w:szCs w:val="24"/>
          <w:lang w:val="en-US"/>
        </w:rPr>
        <w:t>Walters</w:t>
      </w:r>
      <w:r w:rsidR="00673FE6" w:rsidRPr="00F11FF5">
        <w:rPr>
          <w:rFonts w:asciiTheme="minorHAnsi" w:hAnsiTheme="minorHAnsi" w:cstheme="minorHAnsi"/>
          <w:sz w:val="24"/>
          <w:szCs w:val="24"/>
        </w:rPr>
        <w:t>, και</w:t>
      </w:r>
      <w:r w:rsidR="001C2D3A" w:rsidRPr="001C2D3A">
        <w:rPr>
          <w:rFonts w:asciiTheme="minorHAnsi" w:hAnsiTheme="minorHAnsi" w:cstheme="minorHAnsi"/>
          <w:sz w:val="24"/>
          <w:szCs w:val="24"/>
        </w:rPr>
        <w:t xml:space="preserve"> </w:t>
      </w:r>
      <w:r w:rsidR="001C2D3A" w:rsidRPr="001C2D3A">
        <w:rPr>
          <w:rFonts w:asciiTheme="minorHAnsi" w:hAnsiTheme="minorHAnsi" w:cstheme="minorHAnsi"/>
          <w:sz w:val="24"/>
          <w:szCs w:val="24"/>
          <w:lang w:val="en-US"/>
        </w:rPr>
        <w:t>Schatell</w:t>
      </w:r>
      <w:r w:rsidRPr="001C2D3A">
        <w:rPr>
          <w:sz w:val="24"/>
          <w:szCs w:val="24"/>
        </w:rPr>
        <w:t xml:space="preserve"> (2002) διαπίστωσαν ότι το πιο</w:t>
      </w:r>
      <w:r w:rsidRPr="005A464E">
        <w:rPr>
          <w:sz w:val="24"/>
          <w:szCs w:val="24"/>
        </w:rPr>
        <w:t xml:space="preserve"> συχνό σύμ</w:t>
      </w:r>
      <w:r w:rsidR="00A76E37" w:rsidRPr="005A464E">
        <w:rPr>
          <w:sz w:val="24"/>
          <w:szCs w:val="24"/>
        </w:rPr>
        <w:t>πτωμα ήταν η έλλειψη ενέργειας και</w:t>
      </w:r>
      <w:r w:rsidRPr="005A464E">
        <w:rPr>
          <w:sz w:val="24"/>
          <w:szCs w:val="24"/>
        </w:rPr>
        <w:t xml:space="preserve"> </w:t>
      </w:r>
      <w:r w:rsidR="00AB454B">
        <w:rPr>
          <w:sz w:val="24"/>
          <w:szCs w:val="24"/>
        </w:rPr>
        <w:t>το αίσθημα κόπωσης. Οι Gurklis και</w:t>
      </w:r>
      <w:r w:rsidRPr="005A464E">
        <w:rPr>
          <w:sz w:val="24"/>
          <w:szCs w:val="24"/>
        </w:rPr>
        <w:t xml:space="preserve"> Menke (1988) αναφέρουν παρόμοια ευρήματα της μελέτης τους</w:t>
      </w:r>
      <w:r w:rsidR="00A76E37" w:rsidRPr="005A464E">
        <w:rPr>
          <w:sz w:val="24"/>
          <w:szCs w:val="24"/>
        </w:rPr>
        <w:t xml:space="preserve"> σε 65 ασθενείς που υποβάλλονταν</w:t>
      </w:r>
      <w:r w:rsidRPr="005A464E">
        <w:rPr>
          <w:sz w:val="24"/>
          <w:szCs w:val="24"/>
        </w:rPr>
        <w:t xml:space="preserve"> σε αιμοκάθαρση. Ο Polaschek (</w:t>
      </w:r>
      <w:r w:rsidRPr="00F11FF5">
        <w:rPr>
          <w:sz w:val="24"/>
          <w:szCs w:val="24"/>
        </w:rPr>
        <w:t>2</w:t>
      </w:r>
      <w:r w:rsidR="00A76E37" w:rsidRPr="00F11FF5">
        <w:rPr>
          <w:sz w:val="24"/>
          <w:szCs w:val="24"/>
        </w:rPr>
        <w:t xml:space="preserve">003) σε δείγμα </w:t>
      </w:r>
      <w:r w:rsidR="005F478F" w:rsidRPr="00F11FF5">
        <w:rPr>
          <w:sz w:val="24"/>
          <w:szCs w:val="24"/>
        </w:rPr>
        <w:t>6</w:t>
      </w:r>
      <w:r w:rsidR="00A76E37" w:rsidRPr="00F11FF5">
        <w:rPr>
          <w:sz w:val="24"/>
          <w:szCs w:val="24"/>
        </w:rPr>
        <w:t xml:space="preserve"> λευκών ανδρών που υποβάλλονταν</w:t>
      </w:r>
      <w:r w:rsidRPr="00F11FF5">
        <w:rPr>
          <w:sz w:val="24"/>
          <w:szCs w:val="24"/>
        </w:rPr>
        <w:t xml:space="preserve"> σε αιμοκάθαρση στο σπίτι, </w:t>
      </w:r>
      <w:r w:rsidR="003605A8" w:rsidRPr="00F11FF5">
        <w:rPr>
          <w:sz w:val="24"/>
          <w:szCs w:val="24"/>
        </w:rPr>
        <w:t xml:space="preserve">διεπίστωσε ότι </w:t>
      </w:r>
      <w:r w:rsidRPr="00F11FF5">
        <w:rPr>
          <w:sz w:val="24"/>
          <w:szCs w:val="24"/>
        </w:rPr>
        <w:t>η έλλειψη ενέργειας ή</w:t>
      </w:r>
      <w:r w:rsidR="00791461" w:rsidRPr="00F11FF5">
        <w:rPr>
          <w:sz w:val="24"/>
          <w:szCs w:val="24"/>
        </w:rPr>
        <w:t>ταν το πιο σημαντικό πρόβλημα.</w:t>
      </w:r>
      <w:r w:rsidRPr="00F11FF5">
        <w:rPr>
          <w:sz w:val="24"/>
          <w:szCs w:val="24"/>
        </w:rPr>
        <w:t xml:space="preserve"> Οι </w:t>
      </w:r>
      <w:r w:rsidRPr="00F11FF5">
        <w:rPr>
          <w:sz w:val="24"/>
          <w:szCs w:val="24"/>
          <w:lang w:val="en-US"/>
        </w:rPr>
        <w:t>Hagren</w:t>
      </w:r>
      <w:r w:rsidR="00516D72" w:rsidRPr="00F11FF5">
        <w:rPr>
          <w:sz w:val="24"/>
          <w:szCs w:val="24"/>
        </w:rPr>
        <w:t>,</w:t>
      </w:r>
      <w:r w:rsidRPr="00F11FF5">
        <w:rPr>
          <w:sz w:val="24"/>
          <w:szCs w:val="24"/>
        </w:rPr>
        <w:t xml:space="preserve"> </w:t>
      </w:r>
      <w:r w:rsidR="00516D72" w:rsidRPr="00F11FF5">
        <w:rPr>
          <w:rFonts w:asciiTheme="minorHAnsi" w:hAnsiTheme="minorHAnsi" w:cstheme="minorHAnsi"/>
          <w:sz w:val="24"/>
          <w:szCs w:val="24"/>
          <w:lang w:val="en-US"/>
        </w:rPr>
        <w:t>Pettersen</w:t>
      </w:r>
      <w:r w:rsidR="00516D72" w:rsidRPr="00F11FF5">
        <w:rPr>
          <w:rFonts w:asciiTheme="minorHAnsi" w:hAnsiTheme="minorHAnsi" w:cstheme="minorHAnsi"/>
          <w:sz w:val="24"/>
          <w:szCs w:val="24"/>
        </w:rPr>
        <w:t xml:space="preserve">, </w:t>
      </w:r>
      <w:r w:rsidR="00516D72" w:rsidRPr="00F11FF5">
        <w:rPr>
          <w:rFonts w:asciiTheme="minorHAnsi" w:hAnsiTheme="minorHAnsi" w:cstheme="minorHAnsi"/>
          <w:sz w:val="24"/>
          <w:szCs w:val="24"/>
          <w:lang w:val="en-US"/>
        </w:rPr>
        <w:t>Severinsson</w:t>
      </w:r>
      <w:r w:rsidR="00516D72" w:rsidRPr="00F11FF5">
        <w:rPr>
          <w:rFonts w:asciiTheme="minorHAnsi" w:hAnsiTheme="minorHAnsi" w:cstheme="minorHAnsi"/>
          <w:sz w:val="24"/>
          <w:szCs w:val="24"/>
        </w:rPr>
        <w:t xml:space="preserve">, </w:t>
      </w:r>
      <w:r w:rsidR="00516D72" w:rsidRPr="00F11FF5">
        <w:rPr>
          <w:rFonts w:asciiTheme="minorHAnsi" w:hAnsiTheme="minorHAnsi" w:cstheme="minorHAnsi"/>
          <w:sz w:val="24"/>
          <w:szCs w:val="24"/>
          <w:lang w:val="en-US"/>
        </w:rPr>
        <w:t>Lutzen</w:t>
      </w:r>
      <w:r w:rsidR="00673FE6" w:rsidRPr="00F11FF5">
        <w:rPr>
          <w:rFonts w:asciiTheme="minorHAnsi" w:hAnsiTheme="minorHAnsi" w:cstheme="minorHAnsi"/>
          <w:sz w:val="24"/>
          <w:szCs w:val="24"/>
        </w:rPr>
        <w:t>, και</w:t>
      </w:r>
      <w:r w:rsidR="00516D72" w:rsidRPr="00F11FF5">
        <w:rPr>
          <w:rFonts w:asciiTheme="minorHAnsi" w:hAnsiTheme="minorHAnsi" w:cstheme="minorHAnsi"/>
          <w:sz w:val="24"/>
          <w:szCs w:val="24"/>
        </w:rPr>
        <w:t xml:space="preserve"> </w:t>
      </w:r>
      <w:r w:rsidR="00516D72" w:rsidRPr="00F11FF5">
        <w:rPr>
          <w:rFonts w:asciiTheme="minorHAnsi" w:hAnsiTheme="minorHAnsi" w:cstheme="minorHAnsi"/>
          <w:sz w:val="24"/>
          <w:szCs w:val="24"/>
          <w:lang w:val="en-US"/>
        </w:rPr>
        <w:t>Clyne</w:t>
      </w:r>
      <w:r w:rsidR="00516D72" w:rsidRPr="00F11FF5">
        <w:rPr>
          <w:sz w:val="24"/>
          <w:szCs w:val="24"/>
        </w:rPr>
        <w:t xml:space="preserve"> </w:t>
      </w:r>
      <w:r w:rsidRPr="00F11FF5">
        <w:rPr>
          <w:sz w:val="24"/>
          <w:szCs w:val="24"/>
        </w:rPr>
        <w:t>(2001) καταθέτουν τα λόγια ενός ασθενή: «</w:t>
      </w:r>
      <w:r w:rsidRPr="00F11FF5">
        <w:rPr>
          <w:i/>
          <w:sz w:val="24"/>
          <w:szCs w:val="24"/>
        </w:rPr>
        <w:t>Στην πραγμα</w:t>
      </w:r>
      <w:r w:rsidR="007765C0" w:rsidRPr="00F11FF5">
        <w:rPr>
          <w:i/>
          <w:sz w:val="24"/>
          <w:szCs w:val="24"/>
        </w:rPr>
        <w:t>τικότητα έχω μόνο μια εβδομάδα τεσσάρων</w:t>
      </w:r>
      <w:r w:rsidRPr="00F11FF5">
        <w:rPr>
          <w:i/>
          <w:sz w:val="24"/>
          <w:szCs w:val="24"/>
        </w:rPr>
        <w:t xml:space="preserve"> ημερών αφού οι ημέρες τη</w:t>
      </w:r>
      <w:r w:rsidR="00A76E37" w:rsidRPr="00F11FF5">
        <w:rPr>
          <w:i/>
          <w:sz w:val="24"/>
          <w:szCs w:val="24"/>
        </w:rPr>
        <w:t>ς αιμοκάθαρσης δεν μετράνε καθώς</w:t>
      </w:r>
      <w:r w:rsidRPr="00F11FF5">
        <w:rPr>
          <w:i/>
          <w:sz w:val="24"/>
          <w:szCs w:val="24"/>
        </w:rPr>
        <w:t xml:space="preserve"> είμαι πολύ κουρασ</w:t>
      </w:r>
      <w:r w:rsidR="006607B8" w:rsidRPr="00F11FF5">
        <w:rPr>
          <w:i/>
          <w:sz w:val="24"/>
          <w:szCs w:val="24"/>
        </w:rPr>
        <w:t>μένος για να κάνω οτιδήποτε</w:t>
      </w:r>
      <w:r w:rsidR="006607B8" w:rsidRPr="00F11FF5">
        <w:rPr>
          <w:sz w:val="24"/>
          <w:szCs w:val="24"/>
        </w:rPr>
        <w:t>». Ο</w:t>
      </w:r>
      <w:r w:rsidRPr="00F11FF5">
        <w:rPr>
          <w:sz w:val="24"/>
          <w:szCs w:val="24"/>
        </w:rPr>
        <w:t xml:space="preserve"> Moua (2003) περιγράφει ένα επεισόδιο κόπωσης</w:t>
      </w:r>
      <w:r w:rsidR="00A76E37" w:rsidRPr="00F11FF5">
        <w:rPr>
          <w:sz w:val="24"/>
          <w:szCs w:val="24"/>
        </w:rPr>
        <w:t>:</w:t>
      </w:r>
      <w:r w:rsidR="0078495A" w:rsidRPr="00F11FF5">
        <w:rPr>
          <w:sz w:val="24"/>
          <w:szCs w:val="24"/>
        </w:rPr>
        <w:t xml:space="preserve"> </w:t>
      </w:r>
      <w:r w:rsidR="00A76E37" w:rsidRPr="00F11FF5">
        <w:rPr>
          <w:sz w:val="24"/>
          <w:szCs w:val="24"/>
        </w:rPr>
        <w:t>«</w:t>
      </w:r>
      <w:r w:rsidRPr="00F11FF5">
        <w:rPr>
          <w:i/>
          <w:sz w:val="24"/>
          <w:szCs w:val="24"/>
        </w:rPr>
        <w:t xml:space="preserve">Υπήρχαν μέρες που ήμουν τόσο άρρωστος που ήθελα απλώς να ψάξω για </w:t>
      </w:r>
      <w:r w:rsidR="00817853">
        <w:rPr>
          <w:i/>
          <w:sz w:val="24"/>
          <w:szCs w:val="24"/>
        </w:rPr>
        <w:t>μια</w:t>
      </w:r>
      <w:r w:rsidRPr="00F11FF5">
        <w:rPr>
          <w:i/>
          <w:sz w:val="24"/>
          <w:szCs w:val="24"/>
        </w:rPr>
        <w:t xml:space="preserve"> ζεστή γωνιά κάπου και</w:t>
      </w:r>
      <w:r w:rsidR="00791461" w:rsidRPr="00F11FF5">
        <w:rPr>
          <w:i/>
          <w:sz w:val="24"/>
          <w:szCs w:val="24"/>
        </w:rPr>
        <w:t xml:space="preserve"> να κοιμηθώ. Δεν με ένοιαζε ποιός με είδε και ποιό</w:t>
      </w:r>
      <w:r w:rsidRPr="00F11FF5">
        <w:rPr>
          <w:i/>
          <w:sz w:val="24"/>
          <w:szCs w:val="24"/>
        </w:rPr>
        <w:t>ς με κοίταξε</w:t>
      </w:r>
      <w:r w:rsidRPr="00F11FF5">
        <w:rPr>
          <w:sz w:val="24"/>
          <w:szCs w:val="24"/>
        </w:rPr>
        <w:t xml:space="preserve">». Ο Thomas-Hawkins (2000) </w:t>
      </w:r>
      <w:r w:rsidR="00673FE6" w:rsidRPr="00F11FF5">
        <w:rPr>
          <w:sz w:val="24"/>
          <w:szCs w:val="24"/>
        </w:rPr>
        <w:t>διε</w:t>
      </w:r>
      <w:r w:rsidR="00A76E37" w:rsidRPr="00F11FF5">
        <w:rPr>
          <w:sz w:val="24"/>
          <w:szCs w:val="24"/>
        </w:rPr>
        <w:t>πίστωσε</w:t>
      </w:r>
      <w:r w:rsidRPr="00F11FF5">
        <w:rPr>
          <w:sz w:val="24"/>
          <w:szCs w:val="24"/>
        </w:rPr>
        <w:t xml:space="preserve"> ότι η λειτουργική κατάσταση και η</w:t>
      </w:r>
      <w:r w:rsidR="0078495A" w:rsidRPr="00F11FF5">
        <w:rPr>
          <w:sz w:val="24"/>
          <w:szCs w:val="24"/>
        </w:rPr>
        <w:t xml:space="preserve"> </w:t>
      </w:r>
      <w:r w:rsidR="00673FE6" w:rsidRPr="00F11FF5">
        <w:rPr>
          <w:sz w:val="24"/>
          <w:szCs w:val="24"/>
        </w:rPr>
        <w:t>ικανότητα</w:t>
      </w:r>
      <w:r w:rsidRPr="00F11FF5">
        <w:rPr>
          <w:sz w:val="24"/>
          <w:szCs w:val="24"/>
        </w:rPr>
        <w:t xml:space="preserve"> </w:t>
      </w:r>
      <w:r w:rsidR="00B0560D" w:rsidRPr="00F11FF5">
        <w:rPr>
          <w:sz w:val="24"/>
          <w:szCs w:val="24"/>
        </w:rPr>
        <w:t>του ασθενούς</w:t>
      </w:r>
      <w:r w:rsidR="0078495A" w:rsidRPr="00F11FF5">
        <w:rPr>
          <w:sz w:val="24"/>
          <w:szCs w:val="24"/>
        </w:rPr>
        <w:t xml:space="preserve"> </w:t>
      </w:r>
      <w:r w:rsidRPr="00F11FF5">
        <w:rPr>
          <w:sz w:val="24"/>
          <w:szCs w:val="24"/>
        </w:rPr>
        <w:t>να εκτελεί</w:t>
      </w:r>
      <w:r w:rsidR="0078495A" w:rsidRPr="00F11FF5">
        <w:rPr>
          <w:sz w:val="24"/>
          <w:szCs w:val="24"/>
        </w:rPr>
        <w:t xml:space="preserve"> </w:t>
      </w:r>
      <w:r w:rsidRPr="00F11FF5">
        <w:rPr>
          <w:sz w:val="24"/>
          <w:szCs w:val="24"/>
        </w:rPr>
        <w:t>δραστηρι</w:t>
      </w:r>
      <w:r w:rsidR="007C70A3" w:rsidRPr="00F11FF5">
        <w:rPr>
          <w:sz w:val="24"/>
          <w:szCs w:val="24"/>
        </w:rPr>
        <w:t>ότητες ήταν σημαντικά χαμηλότερες</w:t>
      </w:r>
      <w:r w:rsidR="0078495A" w:rsidRPr="00F11FF5">
        <w:rPr>
          <w:sz w:val="24"/>
          <w:szCs w:val="24"/>
        </w:rPr>
        <w:t xml:space="preserve"> </w:t>
      </w:r>
      <w:r w:rsidRPr="00F11FF5">
        <w:rPr>
          <w:sz w:val="24"/>
          <w:szCs w:val="24"/>
        </w:rPr>
        <w:t>την δεύτερη ημέρα</w:t>
      </w:r>
      <w:r w:rsidR="0078495A" w:rsidRPr="00F11FF5">
        <w:rPr>
          <w:sz w:val="24"/>
          <w:szCs w:val="24"/>
        </w:rPr>
        <w:t xml:space="preserve"> </w:t>
      </w:r>
      <w:r w:rsidRPr="00F11FF5">
        <w:rPr>
          <w:sz w:val="24"/>
          <w:szCs w:val="24"/>
        </w:rPr>
        <w:t>της εβδομάδας σε σύγκριση με την πρώτη ημέρα. Έτσι, μπορεί να υπάρχει διακύμανση στο αίσθημα ευεξίας σε σχέση με τον κύκλο της αιμοκάθαρση</w:t>
      </w:r>
      <w:r w:rsidR="007C70A3" w:rsidRPr="00F11FF5">
        <w:rPr>
          <w:sz w:val="24"/>
          <w:szCs w:val="24"/>
        </w:rPr>
        <w:t>ς</w:t>
      </w:r>
      <w:r w:rsidR="00861ECE" w:rsidRPr="00F11FF5">
        <w:rPr>
          <w:sz w:val="24"/>
          <w:szCs w:val="24"/>
        </w:rPr>
        <w:t xml:space="preserve"> (Polaschek</w:t>
      </w:r>
      <w:r w:rsidR="00573981" w:rsidRPr="00F11FF5">
        <w:rPr>
          <w:sz w:val="24"/>
          <w:szCs w:val="24"/>
        </w:rPr>
        <w:t>,</w:t>
      </w:r>
      <w:r w:rsidRPr="00F11FF5">
        <w:rPr>
          <w:sz w:val="24"/>
          <w:szCs w:val="24"/>
        </w:rPr>
        <w:t xml:space="preserve"> 2003).</w:t>
      </w:r>
    </w:p>
    <w:p w:rsidR="009906D3" w:rsidRPr="005A464E" w:rsidRDefault="009906D3" w:rsidP="005A464E">
      <w:pPr>
        <w:tabs>
          <w:tab w:val="left" w:pos="4999"/>
          <w:tab w:val="left" w:pos="6708"/>
        </w:tabs>
        <w:spacing w:line="360" w:lineRule="auto"/>
        <w:jc w:val="both"/>
        <w:rPr>
          <w:sz w:val="24"/>
          <w:szCs w:val="24"/>
        </w:rPr>
      </w:pPr>
      <w:r w:rsidRPr="005A464E">
        <w:rPr>
          <w:sz w:val="24"/>
          <w:szCs w:val="24"/>
        </w:rPr>
        <w:t>Επιπρόσθετα</w:t>
      </w:r>
      <w:r w:rsidR="0078495A">
        <w:rPr>
          <w:sz w:val="24"/>
          <w:szCs w:val="24"/>
        </w:rPr>
        <w:t xml:space="preserve"> </w:t>
      </w:r>
      <w:r w:rsidR="004144C7">
        <w:rPr>
          <w:sz w:val="24"/>
          <w:szCs w:val="24"/>
        </w:rPr>
        <w:t>με την κόπωση από τη θεραπεία</w:t>
      </w:r>
      <w:r w:rsidRPr="005A464E">
        <w:rPr>
          <w:sz w:val="24"/>
          <w:szCs w:val="24"/>
        </w:rPr>
        <w:t xml:space="preserve"> συχνές είναι και οι διαταραχές ύπνου που συμβαίνουν ως αποτέλεσμα της νόσου, της θεραπείας, και της </w:t>
      </w:r>
      <w:r w:rsidR="007C70A3" w:rsidRPr="005A464E">
        <w:rPr>
          <w:sz w:val="24"/>
          <w:szCs w:val="24"/>
        </w:rPr>
        <w:t>φαρμακευτικής</w:t>
      </w:r>
      <w:r w:rsidR="00861ECE" w:rsidRPr="005A464E">
        <w:rPr>
          <w:sz w:val="24"/>
          <w:szCs w:val="24"/>
        </w:rPr>
        <w:t xml:space="preserve"> αγωγής (</w:t>
      </w:r>
      <w:r w:rsidR="00673FE6" w:rsidRPr="005A464E">
        <w:rPr>
          <w:sz w:val="24"/>
          <w:szCs w:val="24"/>
          <w:lang w:val="en-US"/>
        </w:rPr>
        <w:t>Gurklis</w:t>
      </w:r>
      <w:r w:rsidR="00673FE6" w:rsidRPr="005A464E">
        <w:rPr>
          <w:sz w:val="24"/>
          <w:szCs w:val="24"/>
        </w:rPr>
        <w:t xml:space="preserve"> &amp; </w:t>
      </w:r>
      <w:r w:rsidR="00673FE6" w:rsidRPr="005A464E">
        <w:rPr>
          <w:sz w:val="24"/>
          <w:szCs w:val="24"/>
          <w:lang w:val="en-US"/>
        </w:rPr>
        <w:t>Menke</w:t>
      </w:r>
      <w:r w:rsidR="00673FE6">
        <w:rPr>
          <w:sz w:val="24"/>
          <w:szCs w:val="24"/>
        </w:rPr>
        <w:t>,</w:t>
      </w:r>
      <w:r w:rsidR="00673FE6" w:rsidRPr="005A464E">
        <w:rPr>
          <w:sz w:val="24"/>
          <w:szCs w:val="24"/>
        </w:rPr>
        <w:t xml:space="preserve"> 1988</w:t>
      </w:r>
      <w:r w:rsidR="00673FE6">
        <w:rPr>
          <w:sz w:val="24"/>
          <w:szCs w:val="24"/>
        </w:rPr>
        <w:t xml:space="preserve">; </w:t>
      </w:r>
      <w:r w:rsidRPr="005A464E">
        <w:rPr>
          <w:sz w:val="24"/>
          <w:szCs w:val="24"/>
          <w:lang w:val="en-US"/>
        </w:rPr>
        <w:t>Curtin</w:t>
      </w:r>
      <w:r w:rsidR="00BF5AF6" w:rsidRPr="005A464E">
        <w:rPr>
          <w:sz w:val="24"/>
          <w:szCs w:val="24"/>
        </w:rPr>
        <w:t xml:space="preserve"> </w:t>
      </w:r>
      <w:r w:rsidR="00566CAA">
        <w:rPr>
          <w:sz w:val="24"/>
          <w:szCs w:val="24"/>
        </w:rPr>
        <w:t>et al</w:t>
      </w:r>
      <w:r w:rsidR="00573981">
        <w:rPr>
          <w:sz w:val="24"/>
          <w:szCs w:val="24"/>
        </w:rPr>
        <w:t>.</w:t>
      </w:r>
      <w:r w:rsidR="001C2D3A">
        <w:rPr>
          <w:sz w:val="24"/>
          <w:szCs w:val="24"/>
        </w:rPr>
        <w:t>,</w:t>
      </w:r>
      <w:r w:rsidR="00A600D7" w:rsidRPr="005A464E">
        <w:rPr>
          <w:sz w:val="24"/>
          <w:szCs w:val="24"/>
        </w:rPr>
        <w:t xml:space="preserve"> 2002;</w:t>
      </w:r>
      <w:r w:rsidR="00673FE6">
        <w:rPr>
          <w:sz w:val="24"/>
          <w:szCs w:val="24"/>
        </w:rPr>
        <w:t xml:space="preserve"> </w:t>
      </w:r>
      <w:r w:rsidR="00673FE6" w:rsidRPr="005A464E">
        <w:rPr>
          <w:sz w:val="24"/>
          <w:szCs w:val="24"/>
        </w:rPr>
        <w:t>Polaschek</w:t>
      </w:r>
      <w:r w:rsidR="00673FE6">
        <w:rPr>
          <w:sz w:val="24"/>
          <w:szCs w:val="24"/>
        </w:rPr>
        <w:t>, 2003</w:t>
      </w:r>
      <w:r w:rsidRPr="005A464E">
        <w:rPr>
          <w:sz w:val="24"/>
          <w:szCs w:val="24"/>
        </w:rPr>
        <w:t>).</w:t>
      </w:r>
    </w:p>
    <w:p w:rsidR="009906D3" w:rsidRPr="005A464E" w:rsidRDefault="007765C0" w:rsidP="005A464E">
      <w:pPr>
        <w:tabs>
          <w:tab w:val="left" w:pos="4999"/>
          <w:tab w:val="left" w:pos="6708"/>
        </w:tabs>
        <w:spacing w:line="360" w:lineRule="auto"/>
        <w:jc w:val="both"/>
        <w:rPr>
          <w:sz w:val="24"/>
          <w:szCs w:val="24"/>
        </w:rPr>
      </w:pPr>
      <w:r>
        <w:rPr>
          <w:sz w:val="24"/>
          <w:szCs w:val="24"/>
        </w:rPr>
        <w:t>Η</w:t>
      </w:r>
      <w:r w:rsidR="009906D3" w:rsidRPr="005A464E">
        <w:rPr>
          <w:sz w:val="24"/>
          <w:szCs w:val="24"/>
        </w:rPr>
        <w:t xml:space="preserve"> </w:t>
      </w:r>
      <w:r w:rsidR="007C70A3" w:rsidRPr="005A464E">
        <w:rPr>
          <w:sz w:val="24"/>
          <w:szCs w:val="24"/>
        </w:rPr>
        <w:t>απομόνωση</w:t>
      </w:r>
      <w:r w:rsidR="009906D3" w:rsidRPr="005A464E">
        <w:rPr>
          <w:sz w:val="24"/>
          <w:szCs w:val="24"/>
        </w:rPr>
        <w:t xml:space="preserve"> είναι </w:t>
      </w:r>
      <w:r w:rsidR="007C70A3" w:rsidRPr="005A464E">
        <w:rPr>
          <w:sz w:val="24"/>
          <w:szCs w:val="24"/>
        </w:rPr>
        <w:t>συνήθης</w:t>
      </w:r>
      <w:r w:rsidR="009906D3" w:rsidRPr="005A464E">
        <w:rPr>
          <w:sz w:val="24"/>
          <w:szCs w:val="24"/>
        </w:rPr>
        <w:t xml:space="preserve"> λόγω της υποχρέωσης για παρουσία στην συνεδρία.</w:t>
      </w:r>
      <w:r w:rsidR="007C70A3" w:rsidRPr="005A464E">
        <w:rPr>
          <w:sz w:val="24"/>
          <w:szCs w:val="24"/>
        </w:rPr>
        <w:t xml:space="preserve"> Οι προσωπικέ</w:t>
      </w:r>
      <w:r w:rsidR="009906D3" w:rsidRPr="005A464E">
        <w:rPr>
          <w:sz w:val="24"/>
          <w:szCs w:val="24"/>
        </w:rPr>
        <w:t>ς</w:t>
      </w:r>
      <w:r w:rsidR="00791461" w:rsidRPr="005A464E">
        <w:rPr>
          <w:sz w:val="24"/>
          <w:szCs w:val="24"/>
        </w:rPr>
        <w:t xml:space="preserve"> </w:t>
      </w:r>
      <w:r w:rsidR="009906D3" w:rsidRPr="005A464E">
        <w:rPr>
          <w:sz w:val="24"/>
          <w:szCs w:val="24"/>
        </w:rPr>
        <w:t xml:space="preserve">και επαγγελματικές </w:t>
      </w:r>
      <w:r w:rsidR="007C70A3" w:rsidRPr="005A464E">
        <w:rPr>
          <w:sz w:val="24"/>
          <w:szCs w:val="24"/>
        </w:rPr>
        <w:t>υποχρεώσεις</w:t>
      </w:r>
      <w:r w:rsidR="006900FA" w:rsidRPr="005A464E">
        <w:rPr>
          <w:sz w:val="24"/>
          <w:szCs w:val="24"/>
        </w:rPr>
        <w:t xml:space="preserve"> συχνά διαταράσσονται</w:t>
      </w:r>
      <w:r w:rsidR="009906D3" w:rsidRPr="005A464E">
        <w:rPr>
          <w:sz w:val="24"/>
          <w:szCs w:val="24"/>
        </w:rPr>
        <w:t>.</w:t>
      </w:r>
      <w:r w:rsidR="0078495A">
        <w:rPr>
          <w:sz w:val="24"/>
          <w:szCs w:val="24"/>
        </w:rPr>
        <w:t xml:space="preserve"> </w:t>
      </w:r>
      <w:r w:rsidR="009906D3" w:rsidRPr="005A464E">
        <w:rPr>
          <w:sz w:val="24"/>
          <w:szCs w:val="24"/>
        </w:rPr>
        <w:t xml:space="preserve">Οι </w:t>
      </w:r>
      <w:r w:rsidR="009906D3" w:rsidRPr="005A464E">
        <w:rPr>
          <w:sz w:val="24"/>
          <w:szCs w:val="24"/>
          <w:lang w:val="en-US"/>
        </w:rPr>
        <w:t>Welch</w:t>
      </w:r>
      <w:r w:rsidR="009906D3" w:rsidRPr="005A464E">
        <w:rPr>
          <w:sz w:val="24"/>
          <w:szCs w:val="24"/>
        </w:rPr>
        <w:t xml:space="preserve"> και </w:t>
      </w:r>
      <w:r w:rsidR="009906D3" w:rsidRPr="005A464E">
        <w:rPr>
          <w:sz w:val="24"/>
          <w:szCs w:val="24"/>
          <w:lang w:val="en-US"/>
        </w:rPr>
        <w:t>Austin</w:t>
      </w:r>
      <w:r w:rsidR="00861ECE" w:rsidRPr="005A464E">
        <w:rPr>
          <w:sz w:val="24"/>
          <w:szCs w:val="24"/>
        </w:rPr>
        <w:t xml:space="preserve"> (2001</w:t>
      </w:r>
      <w:r w:rsidR="00673FE6">
        <w:rPr>
          <w:sz w:val="24"/>
          <w:szCs w:val="24"/>
        </w:rPr>
        <w:t>) διε</w:t>
      </w:r>
      <w:r w:rsidR="009906D3" w:rsidRPr="005A464E">
        <w:rPr>
          <w:sz w:val="24"/>
          <w:szCs w:val="24"/>
        </w:rPr>
        <w:t xml:space="preserve">πίστωσαν </w:t>
      </w:r>
      <w:r w:rsidR="006900FA" w:rsidRPr="005A464E">
        <w:rPr>
          <w:sz w:val="24"/>
          <w:szCs w:val="24"/>
        </w:rPr>
        <w:t>ότι ο πιο συχνός</w:t>
      </w:r>
      <w:r w:rsidR="009906D3" w:rsidRPr="005A464E">
        <w:rPr>
          <w:sz w:val="24"/>
          <w:szCs w:val="24"/>
        </w:rPr>
        <w:t xml:space="preserve"> στρεσ</w:t>
      </w:r>
      <w:r w:rsidR="00673FE6">
        <w:rPr>
          <w:sz w:val="24"/>
          <w:szCs w:val="24"/>
        </w:rPr>
        <w:t>σ</w:t>
      </w:r>
      <w:r w:rsidR="009906D3" w:rsidRPr="005A464E">
        <w:rPr>
          <w:sz w:val="24"/>
          <w:szCs w:val="24"/>
        </w:rPr>
        <w:t xml:space="preserve">ογόνος παράγοντας ήταν η ταλαιπωρία και η </w:t>
      </w:r>
      <w:r w:rsidR="007C70A3" w:rsidRPr="005A464E">
        <w:rPr>
          <w:sz w:val="24"/>
          <w:szCs w:val="24"/>
        </w:rPr>
        <w:t>απώλεια</w:t>
      </w:r>
      <w:r w:rsidR="009906D3" w:rsidRPr="005A464E">
        <w:rPr>
          <w:sz w:val="24"/>
          <w:szCs w:val="24"/>
        </w:rPr>
        <w:t xml:space="preserve"> των </w:t>
      </w:r>
      <w:r w:rsidR="007C70A3" w:rsidRPr="005A464E">
        <w:rPr>
          <w:sz w:val="24"/>
          <w:szCs w:val="24"/>
        </w:rPr>
        <w:t>δραστηριοτήτων</w:t>
      </w:r>
      <w:r w:rsidR="009906D3" w:rsidRPr="005A464E">
        <w:rPr>
          <w:sz w:val="24"/>
          <w:szCs w:val="24"/>
        </w:rPr>
        <w:t xml:space="preserve"> από τον χρόνο που καταναλώνετα</w:t>
      </w:r>
      <w:r w:rsidR="007C70A3" w:rsidRPr="005A464E">
        <w:rPr>
          <w:sz w:val="24"/>
          <w:szCs w:val="24"/>
        </w:rPr>
        <w:t>ι στην αιμοκάθαρση</w:t>
      </w:r>
      <w:r w:rsidR="00673FE6">
        <w:rPr>
          <w:sz w:val="24"/>
          <w:szCs w:val="24"/>
        </w:rPr>
        <w:t>. Ο Polaschek (2003) διε</w:t>
      </w:r>
      <w:r w:rsidR="009906D3" w:rsidRPr="005A464E">
        <w:rPr>
          <w:sz w:val="24"/>
          <w:szCs w:val="24"/>
        </w:rPr>
        <w:t>πίστωσε</w:t>
      </w:r>
      <w:r w:rsidR="00673FE6">
        <w:rPr>
          <w:sz w:val="24"/>
          <w:szCs w:val="24"/>
        </w:rPr>
        <w:t>,</w:t>
      </w:r>
      <w:r w:rsidR="009906D3" w:rsidRPr="005A464E">
        <w:rPr>
          <w:sz w:val="24"/>
          <w:szCs w:val="24"/>
        </w:rPr>
        <w:t xml:space="preserve"> </w:t>
      </w:r>
      <w:r w:rsidR="00673FE6">
        <w:rPr>
          <w:sz w:val="24"/>
          <w:szCs w:val="24"/>
        </w:rPr>
        <w:t>επίσης,</w:t>
      </w:r>
      <w:r w:rsidR="009906D3" w:rsidRPr="005A464E">
        <w:rPr>
          <w:sz w:val="24"/>
          <w:szCs w:val="24"/>
        </w:rPr>
        <w:t xml:space="preserve"> ότι </w:t>
      </w:r>
      <w:r>
        <w:rPr>
          <w:sz w:val="24"/>
          <w:szCs w:val="24"/>
        </w:rPr>
        <w:t xml:space="preserve">η </w:t>
      </w:r>
      <w:r w:rsidR="009906D3" w:rsidRPr="005A464E">
        <w:rPr>
          <w:sz w:val="24"/>
          <w:szCs w:val="24"/>
        </w:rPr>
        <w:t>κοινωνικοποίηση για τους ασθενείς είναι ελάχιστη. Εκτός από την κοινωνική απομόνω</w:t>
      </w:r>
      <w:r w:rsidR="006900FA" w:rsidRPr="005A464E">
        <w:rPr>
          <w:sz w:val="24"/>
          <w:szCs w:val="24"/>
        </w:rPr>
        <w:t>ση, οι ασθενείς υπό αιμοκάθαρση</w:t>
      </w:r>
      <w:r w:rsidR="009906D3" w:rsidRPr="005A464E">
        <w:rPr>
          <w:sz w:val="24"/>
          <w:szCs w:val="24"/>
        </w:rPr>
        <w:t xml:space="preserve"> εκφράζουν</w:t>
      </w:r>
      <w:r w:rsidR="004144C7">
        <w:rPr>
          <w:sz w:val="24"/>
          <w:szCs w:val="24"/>
        </w:rPr>
        <w:t>,</w:t>
      </w:r>
      <w:r w:rsidR="007C70A3" w:rsidRPr="005A464E">
        <w:rPr>
          <w:sz w:val="24"/>
          <w:szCs w:val="24"/>
        </w:rPr>
        <w:t xml:space="preserve"> </w:t>
      </w:r>
      <w:r w:rsidR="004144C7">
        <w:rPr>
          <w:sz w:val="24"/>
          <w:szCs w:val="24"/>
        </w:rPr>
        <w:t>επίσης,</w:t>
      </w:r>
      <w:r w:rsidR="007C70A3" w:rsidRPr="005A464E">
        <w:rPr>
          <w:sz w:val="24"/>
          <w:szCs w:val="24"/>
        </w:rPr>
        <w:t xml:space="preserve"> απώλεια της ελευθερίας </w:t>
      </w:r>
      <w:r w:rsidR="00573981">
        <w:rPr>
          <w:sz w:val="24"/>
          <w:szCs w:val="24"/>
        </w:rPr>
        <w:t>και συν</w:t>
      </w:r>
      <w:r w:rsidR="006900FA" w:rsidRPr="005A464E">
        <w:rPr>
          <w:sz w:val="24"/>
          <w:szCs w:val="24"/>
        </w:rPr>
        <w:t>αισθήματα</w:t>
      </w:r>
      <w:r w:rsidR="009906D3" w:rsidRPr="005A464E">
        <w:rPr>
          <w:sz w:val="24"/>
          <w:szCs w:val="24"/>
        </w:rPr>
        <w:t xml:space="preserve"> εξάρτησης από έναν επαγγελματία υγείας (</w:t>
      </w:r>
      <w:r w:rsidR="009906D3" w:rsidRPr="005A464E">
        <w:rPr>
          <w:sz w:val="24"/>
          <w:szCs w:val="24"/>
          <w:lang w:val="en-US"/>
        </w:rPr>
        <w:t>Hagren</w:t>
      </w:r>
      <w:r w:rsidR="009906D3" w:rsidRPr="005A464E">
        <w:rPr>
          <w:sz w:val="24"/>
          <w:szCs w:val="24"/>
        </w:rPr>
        <w:t xml:space="preserve"> </w:t>
      </w:r>
      <w:r w:rsidR="00566CAA">
        <w:rPr>
          <w:sz w:val="24"/>
          <w:szCs w:val="24"/>
        </w:rPr>
        <w:t>et al</w:t>
      </w:r>
      <w:r w:rsidR="00573981">
        <w:rPr>
          <w:sz w:val="24"/>
          <w:szCs w:val="24"/>
        </w:rPr>
        <w:t>.</w:t>
      </w:r>
      <w:r w:rsidR="00516D72">
        <w:rPr>
          <w:sz w:val="24"/>
          <w:szCs w:val="24"/>
        </w:rPr>
        <w:t>,</w:t>
      </w:r>
      <w:r w:rsidR="009906D3" w:rsidRPr="005A464E">
        <w:rPr>
          <w:sz w:val="24"/>
          <w:szCs w:val="24"/>
        </w:rPr>
        <w:t xml:space="preserve"> 2001). </w:t>
      </w:r>
    </w:p>
    <w:p w:rsidR="00A56623" w:rsidRPr="001444B7" w:rsidRDefault="009906D3" w:rsidP="001444B7">
      <w:pPr>
        <w:tabs>
          <w:tab w:val="left" w:pos="4999"/>
          <w:tab w:val="left" w:pos="6708"/>
        </w:tabs>
        <w:spacing w:line="360" w:lineRule="auto"/>
        <w:jc w:val="both"/>
        <w:rPr>
          <w:sz w:val="24"/>
          <w:szCs w:val="24"/>
        </w:rPr>
      </w:pPr>
      <w:r w:rsidRPr="00F11FF5">
        <w:rPr>
          <w:sz w:val="24"/>
          <w:szCs w:val="24"/>
        </w:rPr>
        <w:t xml:space="preserve">Η μειωμένη </w:t>
      </w:r>
      <w:r w:rsidR="00673FE6" w:rsidRPr="00F11FF5">
        <w:rPr>
          <w:sz w:val="24"/>
          <w:szCs w:val="24"/>
          <w:lang w:val="en-US"/>
        </w:rPr>
        <w:t>libido</w:t>
      </w:r>
      <w:r w:rsidRPr="00F11FF5">
        <w:rPr>
          <w:sz w:val="24"/>
          <w:szCs w:val="24"/>
        </w:rPr>
        <w:t xml:space="preserve"> και ανικανότητα, επίσης, μπορεί να επηρεάσει τις </w:t>
      </w:r>
      <w:r w:rsidR="00791461" w:rsidRPr="00F11FF5">
        <w:rPr>
          <w:sz w:val="24"/>
          <w:szCs w:val="24"/>
        </w:rPr>
        <w:t>σεξουαλικές</w:t>
      </w:r>
      <w:r w:rsidRPr="00F11FF5">
        <w:rPr>
          <w:sz w:val="24"/>
          <w:szCs w:val="24"/>
        </w:rPr>
        <w:t xml:space="preserve"> σχέσεις (Cu</w:t>
      </w:r>
      <w:r w:rsidR="00861ECE" w:rsidRPr="00F11FF5">
        <w:rPr>
          <w:sz w:val="24"/>
          <w:szCs w:val="24"/>
        </w:rPr>
        <w:t xml:space="preserve">rtin </w:t>
      </w:r>
      <w:r w:rsidR="00566CAA" w:rsidRPr="00F11FF5">
        <w:rPr>
          <w:sz w:val="24"/>
          <w:szCs w:val="24"/>
        </w:rPr>
        <w:t>et al</w:t>
      </w:r>
      <w:r w:rsidR="00573981" w:rsidRPr="00F11FF5">
        <w:rPr>
          <w:sz w:val="24"/>
          <w:szCs w:val="24"/>
        </w:rPr>
        <w:t>.</w:t>
      </w:r>
      <w:r w:rsidR="001C2D3A" w:rsidRPr="00F11FF5">
        <w:rPr>
          <w:sz w:val="24"/>
          <w:szCs w:val="24"/>
        </w:rPr>
        <w:t>,</w:t>
      </w:r>
      <w:r w:rsidR="00861ECE" w:rsidRPr="00F11FF5">
        <w:rPr>
          <w:sz w:val="24"/>
          <w:szCs w:val="24"/>
        </w:rPr>
        <w:t xml:space="preserve"> 2002</w:t>
      </w:r>
      <w:r w:rsidRPr="00F11FF5">
        <w:rPr>
          <w:sz w:val="24"/>
          <w:szCs w:val="24"/>
        </w:rPr>
        <w:t xml:space="preserve">). </w:t>
      </w:r>
      <w:r w:rsidR="00DE13DD" w:rsidRPr="00F11FF5">
        <w:rPr>
          <w:sz w:val="24"/>
          <w:szCs w:val="24"/>
        </w:rPr>
        <w:t xml:space="preserve">Η επίπτωση της στυτικής δυσλειτουργίας </w:t>
      </w:r>
      <w:r w:rsidR="00FB345F" w:rsidRPr="00F11FF5">
        <w:rPr>
          <w:sz w:val="24"/>
          <w:szCs w:val="24"/>
        </w:rPr>
        <w:t>κυμαίνεται μεταξύ 20-87% των ανδρών με ΤΣΧΝΝ</w:t>
      </w:r>
      <w:r w:rsidR="00A56623" w:rsidRPr="00F11FF5">
        <w:rPr>
          <w:sz w:val="24"/>
          <w:szCs w:val="24"/>
        </w:rPr>
        <w:t xml:space="preserve"> (Navaneethan </w:t>
      </w:r>
      <w:r w:rsidR="00A56623" w:rsidRPr="00F11FF5">
        <w:rPr>
          <w:sz w:val="24"/>
          <w:szCs w:val="24"/>
          <w:lang w:val="en-US"/>
        </w:rPr>
        <w:t>et</w:t>
      </w:r>
      <w:r w:rsidR="00A56623" w:rsidRPr="00F11FF5">
        <w:rPr>
          <w:sz w:val="24"/>
          <w:szCs w:val="24"/>
        </w:rPr>
        <w:t xml:space="preserve"> </w:t>
      </w:r>
      <w:r w:rsidR="00A56623" w:rsidRPr="00F11FF5">
        <w:rPr>
          <w:sz w:val="24"/>
          <w:szCs w:val="24"/>
          <w:lang w:val="en-US"/>
        </w:rPr>
        <w:t>al</w:t>
      </w:r>
      <w:r w:rsidR="00A56623" w:rsidRPr="00F11FF5">
        <w:rPr>
          <w:sz w:val="24"/>
          <w:szCs w:val="24"/>
        </w:rPr>
        <w:t>., 2010)</w:t>
      </w:r>
      <w:r w:rsidR="00FB345F" w:rsidRPr="00F11FF5">
        <w:rPr>
          <w:sz w:val="24"/>
          <w:szCs w:val="24"/>
        </w:rPr>
        <w:t>.</w:t>
      </w:r>
      <w:r w:rsidR="00FB345F" w:rsidRPr="00F11FF5">
        <w:t xml:space="preserve"> </w:t>
      </w:r>
      <w:r w:rsidR="00A56623" w:rsidRPr="00F11FF5">
        <w:rPr>
          <w:sz w:val="24"/>
          <w:szCs w:val="24"/>
        </w:rPr>
        <w:t>Πρόσφατες μελέτες αναφέρουν ότι ένα μεγάλο ποσοστό γυναικών με ΤΣΧΝΝ παρουσιάζουν σεξουαλική δυ</w:t>
      </w:r>
      <w:r w:rsidR="00F11FF5" w:rsidRPr="00F11FF5">
        <w:rPr>
          <w:sz w:val="24"/>
          <w:szCs w:val="24"/>
        </w:rPr>
        <w:t>σ</w:t>
      </w:r>
      <w:r w:rsidR="00A56623" w:rsidRPr="00F11FF5">
        <w:rPr>
          <w:sz w:val="24"/>
          <w:szCs w:val="24"/>
        </w:rPr>
        <w:t xml:space="preserve">λειτουργία (Strippoli </w:t>
      </w:r>
      <w:r w:rsidR="00A56623" w:rsidRPr="00F11FF5">
        <w:rPr>
          <w:sz w:val="24"/>
          <w:szCs w:val="24"/>
          <w:lang w:val="en-US"/>
        </w:rPr>
        <w:t>et</w:t>
      </w:r>
      <w:r w:rsidR="00A56623" w:rsidRPr="00F11FF5">
        <w:rPr>
          <w:sz w:val="24"/>
          <w:szCs w:val="24"/>
        </w:rPr>
        <w:t xml:space="preserve"> </w:t>
      </w:r>
      <w:r w:rsidR="00A56623" w:rsidRPr="00F11FF5">
        <w:rPr>
          <w:sz w:val="24"/>
          <w:szCs w:val="24"/>
          <w:lang w:val="en-US"/>
        </w:rPr>
        <w:t>al</w:t>
      </w:r>
      <w:r w:rsidR="00A56623" w:rsidRPr="00F11FF5">
        <w:rPr>
          <w:sz w:val="24"/>
          <w:szCs w:val="24"/>
        </w:rPr>
        <w:t>., 2012).</w:t>
      </w:r>
      <w:r w:rsidR="001444B7" w:rsidRPr="00F11FF5">
        <w:rPr>
          <w:sz w:val="24"/>
          <w:szCs w:val="24"/>
        </w:rPr>
        <w:t xml:space="preserve"> Φυσιολογικοί και ψυχολογικοί παράγοντες κινδύνου, όπως η αναιμία, η νευροπάθεια, ο υπογοναδισμός, η υπερπρολακτιναιμία, ο υπερπαραθυρεοειδισμός, η αθηρ</w:t>
      </w:r>
      <w:r w:rsidR="00F11FF5">
        <w:rPr>
          <w:sz w:val="24"/>
          <w:szCs w:val="24"/>
        </w:rPr>
        <w:t>ομάτωση</w:t>
      </w:r>
      <w:r w:rsidR="001444B7" w:rsidRPr="00F11FF5">
        <w:rPr>
          <w:sz w:val="24"/>
          <w:szCs w:val="24"/>
        </w:rPr>
        <w:t xml:space="preserve"> και η κατάθλιψη, </w:t>
      </w:r>
      <w:r w:rsidR="00F11FF5" w:rsidRPr="00F11FF5">
        <w:rPr>
          <w:sz w:val="24"/>
          <w:szCs w:val="24"/>
        </w:rPr>
        <w:t>παίζουν</w:t>
      </w:r>
      <w:r w:rsidR="001444B7" w:rsidRPr="00F11FF5">
        <w:rPr>
          <w:sz w:val="24"/>
          <w:szCs w:val="24"/>
        </w:rPr>
        <w:t xml:space="preserve"> σημαντικό ρόλο στην </w:t>
      </w:r>
      <w:r w:rsidR="00F11FF5" w:rsidRPr="00F11FF5">
        <w:rPr>
          <w:sz w:val="24"/>
          <w:szCs w:val="24"/>
        </w:rPr>
        <w:t>εξελιξη</w:t>
      </w:r>
      <w:r w:rsidR="001444B7" w:rsidRPr="00F11FF5">
        <w:rPr>
          <w:sz w:val="24"/>
          <w:szCs w:val="24"/>
        </w:rPr>
        <w:t xml:space="preserve"> της σεξουαλικής δυσλειτουργίας (Kenta </w:t>
      </w:r>
      <w:r w:rsidR="001444B7" w:rsidRPr="00F11FF5">
        <w:rPr>
          <w:sz w:val="24"/>
          <w:szCs w:val="24"/>
          <w:lang w:val="en-US"/>
        </w:rPr>
        <w:t>et</w:t>
      </w:r>
      <w:r w:rsidR="001444B7" w:rsidRPr="00F11FF5">
        <w:rPr>
          <w:sz w:val="24"/>
          <w:szCs w:val="24"/>
        </w:rPr>
        <w:t xml:space="preserve"> </w:t>
      </w:r>
      <w:r w:rsidR="001444B7" w:rsidRPr="00F11FF5">
        <w:rPr>
          <w:sz w:val="24"/>
          <w:szCs w:val="24"/>
          <w:lang w:val="en-US"/>
        </w:rPr>
        <w:t>al</w:t>
      </w:r>
      <w:r w:rsidR="001444B7" w:rsidRPr="00F11FF5">
        <w:rPr>
          <w:sz w:val="24"/>
          <w:szCs w:val="24"/>
        </w:rPr>
        <w:t>., 2016).</w:t>
      </w:r>
    </w:p>
    <w:p w:rsidR="009906D3" w:rsidRPr="005A464E" w:rsidRDefault="007C70A3" w:rsidP="005A464E">
      <w:pPr>
        <w:tabs>
          <w:tab w:val="left" w:pos="4999"/>
          <w:tab w:val="left" w:pos="6708"/>
        </w:tabs>
        <w:spacing w:line="360" w:lineRule="auto"/>
        <w:jc w:val="both"/>
        <w:rPr>
          <w:sz w:val="24"/>
          <w:szCs w:val="24"/>
        </w:rPr>
      </w:pPr>
      <w:r w:rsidRPr="005A464E">
        <w:rPr>
          <w:sz w:val="24"/>
          <w:szCs w:val="24"/>
        </w:rPr>
        <w:t xml:space="preserve">Επιπλέον, οι </w:t>
      </w:r>
      <w:r w:rsidRPr="00F737D0">
        <w:rPr>
          <w:sz w:val="24"/>
          <w:szCs w:val="24"/>
        </w:rPr>
        <w:t xml:space="preserve">ασθενείς </w:t>
      </w:r>
      <w:r w:rsidR="00673FE6" w:rsidRPr="00F737D0">
        <w:rPr>
          <w:sz w:val="24"/>
          <w:szCs w:val="24"/>
        </w:rPr>
        <w:t xml:space="preserve">αναφέρουν </w:t>
      </w:r>
      <w:r w:rsidR="009906D3" w:rsidRPr="00F737D0">
        <w:rPr>
          <w:sz w:val="24"/>
          <w:szCs w:val="24"/>
        </w:rPr>
        <w:t xml:space="preserve">μια αίσθηση απώλειας του ελέγχου. Ο Moua (2003) </w:t>
      </w:r>
      <w:r w:rsidRPr="00F737D0">
        <w:rPr>
          <w:sz w:val="24"/>
          <w:szCs w:val="24"/>
        </w:rPr>
        <w:t>περιγράφει</w:t>
      </w:r>
      <w:r w:rsidR="00573981" w:rsidRPr="00F737D0">
        <w:rPr>
          <w:sz w:val="24"/>
          <w:szCs w:val="24"/>
        </w:rPr>
        <w:t xml:space="preserve"> τις απόψεις ενός φοιτητή</w:t>
      </w:r>
      <w:r w:rsidR="009906D3" w:rsidRPr="00F737D0">
        <w:rPr>
          <w:sz w:val="24"/>
          <w:szCs w:val="24"/>
        </w:rPr>
        <w:t xml:space="preserve"> με νεφρική νόσο που </w:t>
      </w:r>
      <w:r w:rsidR="00946FAE" w:rsidRPr="00F737D0">
        <w:rPr>
          <w:sz w:val="24"/>
          <w:szCs w:val="24"/>
        </w:rPr>
        <w:t>περιέγραψε το συναίσθημά του</w:t>
      </w:r>
      <w:r w:rsidR="00573981" w:rsidRPr="00F737D0">
        <w:rPr>
          <w:sz w:val="24"/>
          <w:szCs w:val="24"/>
        </w:rPr>
        <w:t xml:space="preserve"> ως «πένθος»</w:t>
      </w:r>
      <w:r w:rsidR="00791461" w:rsidRPr="00F737D0">
        <w:rPr>
          <w:sz w:val="24"/>
          <w:szCs w:val="24"/>
        </w:rPr>
        <w:t>: «</w:t>
      </w:r>
      <w:r w:rsidR="009906D3" w:rsidRPr="00F737D0">
        <w:rPr>
          <w:i/>
          <w:sz w:val="24"/>
          <w:szCs w:val="24"/>
        </w:rPr>
        <w:t xml:space="preserve">Το πιο τρομακτικό πράγμα όταν </w:t>
      </w:r>
      <w:r w:rsidRPr="00F737D0">
        <w:rPr>
          <w:i/>
          <w:sz w:val="24"/>
          <w:szCs w:val="24"/>
        </w:rPr>
        <w:t>υποβάλλομ</w:t>
      </w:r>
      <w:r w:rsidR="00791461" w:rsidRPr="00F737D0">
        <w:rPr>
          <w:i/>
          <w:sz w:val="24"/>
          <w:szCs w:val="24"/>
        </w:rPr>
        <w:t>αι</w:t>
      </w:r>
      <w:r w:rsidR="009906D3" w:rsidRPr="00F737D0">
        <w:rPr>
          <w:i/>
          <w:sz w:val="24"/>
          <w:szCs w:val="24"/>
        </w:rPr>
        <w:t xml:space="preserve"> σε αιμο</w:t>
      </w:r>
      <w:r w:rsidR="004144C7" w:rsidRPr="00F737D0">
        <w:rPr>
          <w:i/>
          <w:sz w:val="24"/>
          <w:szCs w:val="24"/>
        </w:rPr>
        <w:t>κάθαρση είναι ότι αισθάνομαι πως</w:t>
      </w:r>
      <w:r w:rsidR="009906D3" w:rsidRPr="00F737D0">
        <w:rPr>
          <w:i/>
          <w:sz w:val="24"/>
          <w:szCs w:val="24"/>
        </w:rPr>
        <w:t xml:space="preserve"> δεν έχω τον έλεγχο του σ</w:t>
      </w:r>
      <w:r w:rsidR="004144C7" w:rsidRPr="00F737D0">
        <w:rPr>
          <w:i/>
          <w:sz w:val="24"/>
          <w:szCs w:val="24"/>
        </w:rPr>
        <w:t>ώματός μου. Αυτό είναι δύσκολο.</w:t>
      </w:r>
      <w:r w:rsidR="009906D3" w:rsidRPr="00F737D0">
        <w:rPr>
          <w:i/>
          <w:sz w:val="24"/>
          <w:szCs w:val="24"/>
        </w:rPr>
        <w:t xml:space="preserve"> Αισθάνομαι αποκομμένος από τον εαυτό</w:t>
      </w:r>
      <w:r w:rsidR="009906D3" w:rsidRPr="00F737D0">
        <w:rPr>
          <w:sz w:val="24"/>
          <w:szCs w:val="24"/>
        </w:rPr>
        <w:t xml:space="preserve"> μου. </w:t>
      </w:r>
      <w:r w:rsidR="009906D3" w:rsidRPr="00F737D0">
        <w:rPr>
          <w:i/>
          <w:sz w:val="24"/>
          <w:szCs w:val="24"/>
        </w:rPr>
        <w:t>Είναι περίεργο να σκέπτομαι ότι το δικό μου σώμα είναι τώρα ξένο για μένα</w:t>
      </w:r>
      <w:r w:rsidR="00791461" w:rsidRPr="00F737D0">
        <w:rPr>
          <w:sz w:val="24"/>
          <w:szCs w:val="24"/>
        </w:rPr>
        <w:t>»</w:t>
      </w:r>
      <w:r w:rsidR="004144C7" w:rsidRPr="00F737D0">
        <w:rPr>
          <w:sz w:val="24"/>
          <w:szCs w:val="24"/>
        </w:rPr>
        <w:t>.</w:t>
      </w:r>
    </w:p>
    <w:p w:rsidR="009906D3" w:rsidRPr="00F737D0" w:rsidRDefault="009906D3" w:rsidP="005A464E">
      <w:pPr>
        <w:tabs>
          <w:tab w:val="left" w:pos="4999"/>
          <w:tab w:val="left" w:pos="6708"/>
        </w:tabs>
        <w:spacing w:line="360" w:lineRule="auto"/>
        <w:jc w:val="both"/>
        <w:rPr>
          <w:sz w:val="24"/>
          <w:szCs w:val="24"/>
        </w:rPr>
      </w:pPr>
      <w:r w:rsidRPr="005A464E">
        <w:rPr>
          <w:sz w:val="24"/>
          <w:szCs w:val="24"/>
        </w:rPr>
        <w:t>Μια άλλη κατηγορία των στρεσ</w:t>
      </w:r>
      <w:r w:rsidR="00791461" w:rsidRPr="005A464E">
        <w:rPr>
          <w:sz w:val="24"/>
          <w:szCs w:val="24"/>
        </w:rPr>
        <w:t>σ</w:t>
      </w:r>
      <w:r w:rsidRPr="005A464E">
        <w:rPr>
          <w:sz w:val="24"/>
          <w:szCs w:val="24"/>
        </w:rPr>
        <w:t xml:space="preserve">ογόνων παραγόντων </w:t>
      </w:r>
      <w:r w:rsidR="00B120B7" w:rsidRPr="005A464E">
        <w:rPr>
          <w:sz w:val="24"/>
          <w:szCs w:val="24"/>
        </w:rPr>
        <w:t xml:space="preserve">αποτελούν οι </w:t>
      </w:r>
      <w:r w:rsidR="00B13C1B" w:rsidRPr="005A464E">
        <w:rPr>
          <w:sz w:val="24"/>
          <w:szCs w:val="24"/>
        </w:rPr>
        <w:t>περιορισμοί</w:t>
      </w:r>
      <w:r w:rsidRPr="005A464E">
        <w:rPr>
          <w:sz w:val="24"/>
          <w:szCs w:val="24"/>
        </w:rPr>
        <w:t xml:space="preserve"> που επιβάλλονται λόγω της ασθένειας. Οι περιορισμοί στη λήψη</w:t>
      </w:r>
      <w:r w:rsidR="007C70A3" w:rsidRPr="005A464E">
        <w:rPr>
          <w:sz w:val="24"/>
          <w:szCs w:val="24"/>
        </w:rPr>
        <w:t xml:space="preserve"> τροφής και υγρών είναι δύσκολοι</w:t>
      </w:r>
      <w:r w:rsidRPr="005A464E">
        <w:rPr>
          <w:sz w:val="24"/>
          <w:szCs w:val="24"/>
        </w:rPr>
        <w:t xml:space="preserve"> για τον ασθενή και την ο</w:t>
      </w:r>
      <w:r w:rsidR="00A600D7" w:rsidRPr="005A464E">
        <w:rPr>
          <w:sz w:val="24"/>
          <w:szCs w:val="24"/>
        </w:rPr>
        <w:t>ικογένεια (</w:t>
      </w:r>
      <w:r w:rsidRPr="005A464E">
        <w:rPr>
          <w:sz w:val="24"/>
          <w:szCs w:val="24"/>
          <w:lang w:val="en-US"/>
        </w:rPr>
        <w:t>Gurklis</w:t>
      </w:r>
      <w:r w:rsidR="00B13C1B" w:rsidRPr="005A464E">
        <w:rPr>
          <w:sz w:val="24"/>
          <w:szCs w:val="24"/>
        </w:rPr>
        <w:t xml:space="preserve"> </w:t>
      </w:r>
      <w:r w:rsidRPr="005A464E">
        <w:rPr>
          <w:sz w:val="24"/>
          <w:szCs w:val="24"/>
        </w:rPr>
        <w:t>&amp;</w:t>
      </w:r>
      <w:r w:rsidR="00B13C1B" w:rsidRPr="005A464E">
        <w:rPr>
          <w:sz w:val="24"/>
          <w:szCs w:val="24"/>
        </w:rPr>
        <w:t xml:space="preserve"> </w:t>
      </w:r>
      <w:r w:rsidRPr="005A464E">
        <w:rPr>
          <w:sz w:val="24"/>
          <w:szCs w:val="24"/>
          <w:lang w:val="en-US"/>
        </w:rPr>
        <w:t>Menke</w:t>
      </w:r>
      <w:r w:rsidR="00AB454B">
        <w:rPr>
          <w:sz w:val="24"/>
          <w:szCs w:val="24"/>
        </w:rPr>
        <w:t>,</w:t>
      </w:r>
      <w:r w:rsidR="00A600D7" w:rsidRPr="005A464E">
        <w:rPr>
          <w:sz w:val="24"/>
          <w:szCs w:val="24"/>
        </w:rPr>
        <w:t xml:space="preserve"> 1988</w:t>
      </w:r>
      <w:r w:rsidR="004144C7">
        <w:rPr>
          <w:sz w:val="24"/>
          <w:szCs w:val="24"/>
        </w:rPr>
        <w:t xml:space="preserve">; </w:t>
      </w:r>
      <w:r w:rsidR="004144C7" w:rsidRPr="005A464E">
        <w:rPr>
          <w:sz w:val="24"/>
          <w:szCs w:val="24"/>
          <w:lang w:val="en-US"/>
        </w:rPr>
        <w:t>Gurklis</w:t>
      </w:r>
      <w:r w:rsidR="004144C7" w:rsidRPr="005A464E">
        <w:rPr>
          <w:sz w:val="24"/>
          <w:szCs w:val="24"/>
        </w:rPr>
        <w:t xml:space="preserve"> &amp; </w:t>
      </w:r>
      <w:r w:rsidR="004144C7" w:rsidRPr="005A464E">
        <w:rPr>
          <w:sz w:val="24"/>
          <w:szCs w:val="24"/>
          <w:lang w:val="en-US"/>
        </w:rPr>
        <w:t>Menke</w:t>
      </w:r>
      <w:r w:rsidR="004144C7">
        <w:rPr>
          <w:sz w:val="24"/>
          <w:szCs w:val="24"/>
        </w:rPr>
        <w:t>, 1995</w:t>
      </w:r>
      <w:r w:rsidRPr="005A464E">
        <w:rPr>
          <w:sz w:val="24"/>
          <w:szCs w:val="24"/>
        </w:rPr>
        <w:t xml:space="preserve">). Μερικοί ασθενείς δεν εκφράζουν το άγχος ή </w:t>
      </w:r>
      <w:r w:rsidR="00B13C1B" w:rsidRPr="005A464E">
        <w:rPr>
          <w:sz w:val="24"/>
          <w:szCs w:val="24"/>
        </w:rPr>
        <w:t xml:space="preserve">την </w:t>
      </w:r>
      <w:r w:rsidRPr="005A464E">
        <w:rPr>
          <w:sz w:val="24"/>
          <w:szCs w:val="24"/>
        </w:rPr>
        <w:t xml:space="preserve">ανησυχία σχετικά με τους περιορισμούς στα </w:t>
      </w:r>
      <w:r w:rsidRPr="00F737D0">
        <w:rPr>
          <w:sz w:val="24"/>
          <w:szCs w:val="24"/>
        </w:rPr>
        <w:t xml:space="preserve">τρόφιμα και τα υγρά, και αυτό μπορεί να </w:t>
      </w:r>
      <w:r w:rsidR="00B13C1B" w:rsidRPr="00F737D0">
        <w:rPr>
          <w:sz w:val="24"/>
          <w:szCs w:val="24"/>
        </w:rPr>
        <w:t>οφείλεται στη μη συμμόρφωση</w:t>
      </w:r>
      <w:r w:rsidRPr="00F737D0">
        <w:rPr>
          <w:sz w:val="24"/>
          <w:szCs w:val="24"/>
        </w:rPr>
        <w:t xml:space="preserve"> σε α</w:t>
      </w:r>
      <w:r w:rsidR="00A600D7" w:rsidRPr="00F737D0">
        <w:rPr>
          <w:sz w:val="24"/>
          <w:szCs w:val="24"/>
        </w:rPr>
        <w:t>υτόν τον τομέα (Welch &amp; Austin</w:t>
      </w:r>
      <w:r w:rsidR="00AB454B" w:rsidRPr="00F737D0">
        <w:rPr>
          <w:sz w:val="24"/>
          <w:szCs w:val="24"/>
        </w:rPr>
        <w:t>,</w:t>
      </w:r>
      <w:r w:rsidR="00A600D7" w:rsidRPr="00F737D0">
        <w:rPr>
          <w:sz w:val="24"/>
          <w:szCs w:val="24"/>
        </w:rPr>
        <w:t xml:space="preserve"> </w:t>
      </w:r>
      <w:r w:rsidR="00861ECE" w:rsidRPr="00F737D0">
        <w:rPr>
          <w:sz w:val="24"/>
          <w:szCs w:val="24"/>
        </w:rPr>
        <w:t>2001</w:t>
      </w:r>
      <w:r w:rsidRPr="00F737D0">
        <w:rPr>
          <w:sz w:val="24"/>
          <w:szCs w:val="24"/>
        </w:rPr>
        <w:t>).</w:t>
      </w:r>
    </w:p>
    <w:p w:rsidR="009906D3" w:rsidRPr="00F737D0" w:rsidRDefault="009906D3" w:rsidP="005A464E">
      <w:pPr>
        <w:spacing w:line="360" w:lineRule="auto"/>
        <w:jc w:val="both"/>
        <w:rPr>
          <w:sz w:val="24"/>
          <w:szCs w:val="24"/>
        </w:rPr>
      </w:pPr>
      <w:r w:rsidRPr="00F737D0">
        <w:rPr>
          <w:sz w:val="24"/>
          <w:szCs w:val="24"/>
        </w:rPr>
        <w:t xml:space="preserve">Η αγγειακή </w:t>
      </w:r>
      <w:r w:rsidR="00673FE6" w:rsidRPr="00F737D0">
        <w:rPr>
          <w:sz w:val="24"/>
          <w:szCs w:val="24"/>
        </w:rPr>
        <w:t>προσπέλαση αποτελεί επίσης στρεσ</w:t>
      </w:r>
      <w:r w:rsidRPr="00F737D0">
        <w:rPr>
          <w:sz w:val="24"/>
          <w:szCs w:val="24"/>
        </w:rPr>
        <w:t>σογόνο παράγοντα για τον ασθενή. Οι πολλαπλές παρακεντήσεις προκαλούν στρες στον ασθενή λόγω του φόβου της λοίμωξης, της αιμορραγίας στο σημείο της παρακέντησης ή της θρόμβωσης</w:t>
      </w:r>
      <w:r w:rsidR="00624D5A" w:rsidRPr="00F737D0">
        <w:rPr>
          <w:sz w:val="24"/>
          <w:szCs w:val="24"/>
        </w:rPr>
        <w:t xml:space="preserve"> (</w:t>
      </w:r>
      <w:r w:rsidR="00624D5A" w:rsidRPr="00F737D0">
        <w:rPr>
          <w:sz w:val="24"/>
          <w:szCs w:val="24"/>
          <w:lang w:val="en-US"/>
        </w:rPr>
        <w:t>Atik</w:t>
      </w:r>
      <w:r w:rsidR="00624D5A" w:rsidRPr="00F737D0">
        <w:rPr>
          <w:sz w:val="24"/>
          <w:szCs w:val="24"/>
        </w:rPr>
        <w:t xml:space="preserve"> </w:t>
      </w:r>
      <w:r w:rsidR="00566CAA" w:rsidRPr="00F737D0">
        <w:rPr>
          <w:sz w:val="24"/>
          <w:szCs w:val="24"/>
        </w:rPr>
        <w:t>et al</w:t>
      </w:r>
      <w:r w:rsidR="00573981" w:rsidRPr="00F737D0">
        <w:rPr>
          <w:sz w:val="24"/>
          <w:szCs w:val="24"/>
        </w:rPr>
        <w:t>.</w:t>
      </w:r>
      <w:r w:rsidR="004144C7" w:rsidRPr="00F737D0">
        <w:rPr>
          <w:sz w:val="24"/>
          <w:szCs w:val="24"/>
        </w:rPr>
        <w:t>,</w:t>
      </w:r>
      <w:r w:rsidR="00624D5A" w:rsidRPr="00F737D0">
        <w:rPr>
          <w:sz w:val="24"/>
          <w:szCs w:val="24"/>
        </w:rPr>
        <w:t xml:space="preserve"> 2016).</w:t>
      </w:r>
    </w:p>
    <w:p w:rsidR="009906D3" w:rsidRPr="00F737D0" w:rsidRDefault="009906D3" w:rsidP="005A464E">
      <w:pPr>
        <w:spacing w:line="360" w:lineRule="auto"/>
        <w:jc w:val="both"/>
        <w:rPr>
          <w:sz w:val="24"/>
          <w:szCs w:val="24"/>
        </w:rPr>
      </w:pPr>
      <w:r w:rsidRPr="00F737D0">
        <w:rPr>
          <w:sz w:val="24"/>
          <w:szCs w:val="24"/>
          <w:lang w:val="en-US"/>
        </w:rPr>
        <w:t>H</w:t>
      </w:r>
      <w:r w:rsidRPr="00F737D0">
        <w:rPr>
          <w:sz w:val="24"/>
          <w:szCs w:val="24"/>
        </w:rPr>
        <w:t xml:space="preserve"> </w:t>
      </w:r>
      <w:r w:rsidR="00673FE6" w:rsidRPr="00F737D0">
        <w:rPr>
          <w:sz w:val="24"/>
          <w:szCs w:val="24"/>
        </w:rPr>
        <w:t>δυνατότητα εργασίας περιορίζεται</w:t>
      </w:r>
      <w:r w:rsidRPr="00F737D0">
        <w:rPr>
          <w:sz w:val="24"/>
          <w:szCs w:val="24"/>
        </w:rPr>
        <w:t xml:space="preserve"> λόγω της κόπωσης, του χρόνου που απαιτείται για την αιμοκάθαρση και των παρενεργειών από την ασθένεια και την αιμοκάθαρση. Απουσίες από την εργασία λόγω συχνών νοσηλειών είναι πιθανές (</w:t>
      </w:r>
      <w:r w:rsidRPr="00F737D0">
        <w:rPr>
          <w:sz w:val="24"/>
          <w:szCs w:val="24"/>
          <w:lang w:val="en-US"/>
        </w:rPr>
        <w:t>Gurklis</w:t>
      </w:r>
      <w:r w:rsidR="00B13C1B" w:rsidRPr="00F737D0">
        <w:rPr>
          <w:sz w:val="24"/>
          <w:szCs w:val="24"/>
        </w:rPr>
        <w:t xml:space="preserve"> </w:t>
      </w:r>
      <w:r w:rsidRPr="00F737D0">
        <w:rPr>
          <w:sz w:val="24"/>
          <w:szCs w:val="24"/>
        </w:rPr>
        <w:t>&amp;</w:t>
      </w:r>
      <w:r w:rsidR="00B13C1B" w:rsidRPr="00F737D0">
        <w:rPr>
          <w:sz w:val="24"/>
          <w:szCs w:val="24"/>
        </w:rPr>
        <w:t xml:space="preserve"> </w:t>
      </w:r>
      <w:r w:rsidRPr="00F737D0">
        <w:rPr>
          <w:sz w:val="24"/>
          <w:szCs w:val="24"/>
          <w:lang w:val="en-US"/>
        </w:rPr>
        <w:t>Menke</w:t>
      </w:r>
      <w:r w:rsidR="00AB454B" w:rsidRPr="00F737D0">
        <w:rPr>
          <w:sz w:val="24"/>
          <w:szCs w:val="24"/>
        </w:rPr>
        <w:t>,</w:t>
      </w:r>
      <w:r w:rsidRPr="00F737D0">
        <w:rPr>
          <w:sz w:val="24"/>
          <w:szCs w:val="24"/>
        </w:rPr>
        <w:t xml:space="preserve"> 1988). Οι</w:t>
      </w:r>
      <w:r w:rsidR="0078495A" w:rsidRPr="00F737D0">
        <w:rPr>
          <w:sz w:val="24"/>
          <w:szCs w:val="24"/>
        </w:rPr>
        <w:t xml:space="preserve"> </w:t>
      </w:r>
      <w:r w:rsidRPr="00F737D0">
        <w:rPr>
          <w:sz w:val="24"/>
          <w:szCs w:val="24"/>
          <w:lang w:val="en-US"/>
        </w:rPr>
        <w:t>Ferrans</w:t>
      </w:r>
      <w:r w:rsidR="00B13C1B" w:rsidRPr="00F737D0">
        <w:rPr>
          <w:sz w:val="24"/>
          <w:szCs w:val="24"/>
        </w:rPr>
        <w:t xml:space="preserve"> </w:t>
      </w:r>
      <w:r w:rsidR="00AB454B" w:rsidRPr="00F737D0">
        <w:rPr>
          <w:sz w:val="24"/>
          <w:szCs w:val="24"/>
        </w:rPr>
        <w:t>και</w:t>
      </w:r>
      <w:r w:rsidR="00B13C1B" w:rsidRPr="00F737D0">
        <w:rPr>
          <w:sz w:val="24"/>
          <w:szCs w:val="24"/>
        </w:rPr>
        <w:t xml:space="preserve"> </w:t>
      </w:r>
      <w:r w:rsidRPr="00F737D0">
        <w:rPr>
          <w:sz w:val="24"/>
          <w:szCs w:val="24"/>
          <w:lang w:val="en-US"/>
        </w:rPr>
        <w:t>Powers</w:t>
      </w:r>
      <w:r w:rsidRPr="00F737D0">
        <w:rPr>
          <w:sz w:val="24"/>
          <w:szCs w:val="24"/>
        </w:rPr>
        <w:t xml:space="preserve"> (1993) διαπίστωσαν ότι μεταξύ 349 ασθενών</w:t>
      </w:r>
      <w:r w:rsidR="00B77FE1" w:rsidRPr="00F737D0">
        <w:rPr>
          <w:sz w:val="24"/>
          <w:szCs w:val="24"/>
        </w:rPr>
        <w:t>,</w:t>
      </w:r>
      <w:r w:rsidRPr="00F737D0">
        <w:rPr>
          <w:sz w:val="24"/>
          <w:szCs w:val="24"/>
        </w:rPr>
        <w:t xml:space="preserve"> η οικονομική ανεξαρτησία ήταν πολύ σημαντική αλλά </w:t>
      </w:r>
      <w:r w:rsidR="00673FE6" w:rsidRPr="00F737D0">
        <w:rPr>
          <w:sz w:val="24"/>
          <w:szCs w:val="24"/>
        </w:rPr>
        <w:t xml:space="preserve">οι ασθενείς </w:t>
      </w:r>
      <w:r w:rsidRPr="00F737D0">
        <w:rPr>
          <w:sz w:val="24"/>
          <w:szCs w:val="24"/>
        </w:rPr>
        <w:t>ήταν ελάχιστα</w:t>
      </w:r>
      <w:r w:rsidR="007C70A3" w:rsidRPr="00F737D0">
        <w:rPr>
          <w:sz w:val="24"/>
          <w:szCs w:val="24"/>
        </w:rPr>
        <w:t xml:space="preserve"> ικανοποιημένοι με την δυνατότητά</w:t>
      </w:r>
      <w:r w:rsidRPr="00F737D0">
        <w:rPr>
          <w:sz w:val="24"/>
          <w:szCs w:val="24"/>
        </w:rPr>
        <w:t xml:space="preserve"> τους αυτή. Οι </w:t>
      </w:r>
      <w:r w:rsidRPr="00F737D0">
        <w:rPr>
          <w:sz w:val="24"/>
          <w:szCs w:val="24"/>
          <w:lang w:val="en-US"/>
        </w:rPr>
        <w:t>Evans</w:t>
      </w:r>
      <w:r w:rsidRPr="00F737D0">
        <w:rPr>
          <w:sz w:val="24"/>
          <w:szCs w:val="24"/>
        </w:rPr>
        <w:t xml:space="preserve"> </w:t>
      </w:r>
      <w:r w:rsidR="00566CAA" w:rsidRPr="00F737D0">
        <w:rPr>
          <w:sz w:val="24"/>
          <w:szCs w:val="24"/>
        </w:rPr>
        <w:t>et al</w:t>
      </w:r>
      <w:r w:rsidR="00147B49" w:rsidRPr="00F737D0">
        <w:rPr>
          <w:sz w:val="24"/>
          <w:szCs w:val="24"/>
        </w:rPr>
        <w:t>.</w:t>
      </w:r>
      <w:r w:rsidR="00B13C1B" w:rsidRPr="00F737D0">
        <w:rPr>
          <w:sz w:val="24"/>
          <w:szCs w:val="24"/>
        </w:rPr>
        <w:t xml:space="preserve"> (1985) δια</w:t>
      </w:r>
      <w:r w:rsidR="004C7B3E" w:rsidRPr="00F737D0">
        <w:rPr>
          <w:sz w:val="24"/>
          <w:szCs w:val="24"/>
        </w:rPr>
        <w:t>πίστωσαν ότι μόνο το 37,</w:t>
      </w:r>
      <w:r w:rsidR="007765C0" w:rsidRPr="00F737D0">
        <w:rPr>
          <w:sz w:val="24"/>
          <w:szCs w:val="24"/>
        </w:rPr>
        <w:t>2% των ασθενών είχε</w:t>
      </w:r>
      <w:r w:rsidRPr="00F737D0">
        <w:rPr>
          <w:sz w:val="24"/>
          <w:szCs w:val="24"/>
        </w:rPr>
        <w:t xml:space="preserve"> τη δυνατότητα </w:t>
      </w:r>
      <w:r w:rsidR="007765C0" w:rsidRPr="00F737D0">
        <w:rPr>
          <w:sz w:val="24"/>
          <w:szCs w:val="24"/>
        </w:rPr>
        <w:t>να εργασθεί</w:t>
      </w:r>
      <w:r w:rsidR="00B13C1B" w:rsidRPr="00F737D0">
        <w:rPr>
          <w:sz w:val="24"/>
          <w:szCs w:val="24"/>
        </w:rPr>
        <w:t xml:space="preserve"> σε πλήρες ή μερικό</w:t>
      </w:r>
      <w:r w:rsidR="00573981" w:rsidRPr="00F737D0">
        <w:rPr>
          <w:sz w:val="24"/>
          <w:szCs w:val="24"/>
        </w:rPr>
        <w:t xml:space="preserve"> ωράριο. Οι Kutner,</w:t>
      </w:r>
      <w:r w:rsidRPr="00F737D0">
        <w:rPr>
          <w:sz w:val="24"/>
          <w:szCs w:val="24"/>
        </w:rPr>
        <w:t xml:space="preserve"> </w:t>
      </w:r>
      <w:r w:rsidR="00573981" w:rsidRPr="00F737D0">
        <w:rPr>
          <w:rFonts w:asciiTheme="minorHAnsi" w:hAnsiTheme="minorHAnsi" w:cstheme="minorHAnsi"/>
          <w:sz w:val="24"/>
          <w:szCs w:val="24"/>
          <w:lang w:val="en-US"/>
        </w:rPr>
        <w:t>Brogan</w:t>
      </w:r>
      <w:r w:rsidR="007B503D" w:rsidRPr="00F737D0">
        <w:rPr>
          <w:rFonts w:asciiTheme="minorHAnsi" w:hAnsiTheme="minorHAnsi" w:cstheme="minorHAnsi"/>
          <w:sz w:val="24"/>
          <w:szCs w:val="24"/>
        </w:rPr>
        <w:t>,</w:t>
      </w:r>
      <w:r w:rsidR="00573981" w:rsidRPr="00F737D0">
        <w:rPr>
          <w:rFonts w:asciiTheme="minorHAnsi" w:hAnsiTheme="minorHAnsi" w:cstheme="minorHAnsi"/>
          <w:sz w:val="24"/>
          <w:szCs w:val="24"/>
        </w:rPr>
        <w:t xml:space="preserve"> </w:t>
      </w:r>
      <w:r w:rsidR="004C7B3E" w:rsidRPr="00F737D0">
        <w:rPr>
          <w:rFonts w:asciiTheme="minorHAnsi" w:hAnsiTheme="minorHAnsi" w:cstheme="minorHAnsi"/>
          <w:sz w:val="24"/>
          <w:szCs w:val="24"/>
        </w:rPr>
        <w:t>και</w:t>
      </w:r>
      <w:r w:rsidR="00573981" w:rsidRPr="00F737D0">
        <w:rPr>
          <w:rFonts w:asciiTheme="minorHAnsi" w:hAnsiTheme="minorHAnsi" w:cstheme="minorHAnsi"/>
          <w:sz w:val="24"/>
          <w:szCs w:val="24"/>
        </w:rPr>
        <w:t xml:space="preserve"> </w:t>
      </w:r>
      <w:r w:rsidR="00573981" w:rsidRPr="00F737D0">
        <w:rPr>
          <w:rFonts w:asciiTheme="minorHAnsi" w:hAnsiTheme="minorHAnsi" w:cstheme="minorHAnsi"/>
          <w:sz w:val="24"/>
          <w:szCs w:val="24"/>
          <w:lang w:val="en-US"/>
        </w:rPr>
        <w:t>Kutner</w:t>
      </w:r>
      <w:r w:rsidR="00573981" w:rsidRPr="00F737D0">
        <w:rPr>
          <w:sz w:val="24"/>
          <w:szCs w:val="24"/>
        </w:rPr>
        <w:t xml:space="preserve"> </w:t>
      </w:r>
      <w:r w:rsidRPr="00F737D0">
        <w:rPr>
          <w:sz w:val="24"/>
          <w:szCs w:val="24"/>
        </w:rPr>
        <w:t>(1986) βρήκαν το ποσοστό των εργαζομένων α</w:t>
      </w:r>
      <w:r w:rsidR="00B120B7" w:rsidRPr="00F737D0">
        <w:rPr>
          <w:sz w:val="24"/>
          <w:szCs w:val="24"/>
        </w:rPr>
        <w:t xml:space="preserve">σθενών υπό </w:t>
      </w:r>
      <w:r w:rsidR="004C7B3E" w:rsidRPr="00F737D0">
        <w:rPr>
          <w:sz w:val="24"/>
          <w:szCs w:val="24"/>
        </w:rPr>
        <w:t xml:space="preserve">αιμοκάθαρση </w:t>
      </w:r>
      <w:r w:rsidR="00B120B7" w:rsidRPr="00F737D0">
        <w:rPr>
          <w:sz w:val="24"/>
          <w:szCs w:val="24"/>
        </w:rPr>
        <w:t>χαμηλότερο από ό,</w:t>
      </w:r>
      <w:r w:rsidRPr="00F737D0">
        <w:rPr>
          <w:sz w:val="24"/>
          <w:szCs w:val="24"/>
        </w:rPr>
        <w:t>τι των ασθενών με μεταμόσχευση. Επιπλέον, το οικονομικό πρόβλημα μπορεί να συμβάλε</w:t>
      </w:r>
      <w:r w:rsidR="001C2D3A" w:rsidRPr="00F737D0">
        <w:rPr>
          <w:sz w:val="24"/>
          <w:szCs w:val="24"/>
        </w:rPr>
        <w:t>ι στην μη συμμόρφωση. Οι Dobrof,</w:t>
      </w:r>
      <w:r w:rsidR="00B13C1B" w:rsidRPr="00F737D0">
        <w:rPr>
          <w:sz w:val="24"/>
          <w:szCs w:val="24"/>
        </w:rPr>
        <w:t xml:space="preserve"> </w:t>
      </w:r>
      <w:r w:rsidR="001C2D3A" w:rsidRPr="00F737D0">
        <w:rPr>
          <w:rFonts w:asciiTheme="minorHAnsi" w:hAnsiTheme="minorHAnsi" w:cstheme="minorHAnsi"/>
          <w:sz w:val="24"/>
          <w:szCs w:val="24"/>
          <w:lang w:val="en-US"/>
        </w:rPr>
        <w:t>Dolinko</w:t>
      </w:r>
      <w:r w:rsidR="001C2D3A" w:rsidRPr="00F737D0">
        <w:rPr>
          <w:rFonts w:asciiTheme="minorHAnsi" w:hAnsiTheme="minorHAnsi" w:cstheme="minorHAnsi"/>
          <w:sz w:val="24"/>
          <w:szCs w:val="24"/>
        </w:rPr>
        <w:t xml:space="preserve">, </w:t>
      </w:r>
      <w:r w:rsidR="001C2D3A" w:rsidRPr="00F737D0">
        <w:rPr>
          <w:rFonts w:asciiTheme="minorHAnsi" w:hAnsiTheme="minorHAnsi" w:cstheme="minorHAnsi"/>
          <w:sz w:val="24"/>
          <w:szCs w:val="24"/>
          <w:lang w:val="en-US"/>
        </w:rPr>
        <w:t>Lichtiger</w:t>
      </w:r>
      <w:r w:rsidR="001C2D3A" w:rsidRPr="00F737D0">
        <w:rPr>
          <w:rFonts w:asciiTheme="minorHAnsi" w:hAnsiTheme="minorHAnsi" w:cstheme="minorHAnsi"/>
          <w:sz w:val="24"/>
          <w:szCs w:val="24"/>
        </w:rPr>
        <w:t xml:space="preserve">, </w:t>
      </w:r>
      <w:r w:rsidR="001C2D3A" w:rsidRPr="00F737D0">
        <w:rPr>
          <w:rFonts w:asciiTheme="minorHAnsi" w:hAnsiTheme="minorHAnsi" w:cstheme="minorHAnsi"/>
          <w:sz w:val="24"/>
          <w:szCs w:val="24"/>
          <w:lang w:val="en-US"/>
        </w:rPr>
        <w:t>Uribarri</w:t>
      </w:r>
      <w:r w:rsidR="001C2D3A" w:rsidRPr="00F737D0">
        <w:rPr>
          <w:rFonts w:asciiTheme="minorHAnsi" w:hAnsiTheme="minorHAnsi" w:cstheme="minorHAnsi"/>
          <w:sz w:val="24"/>
          <w:szCs w:val="24"/>
        </w:rPr>
        <w:t xml:space="preserve">, </w:t>
      </w:r>
      <w:r w:rsidR="004C7B3E" w:rsidRPr="00F737D0">
        <w:rPr>
          <w:rFonts w:asciiTheme="minorHAnsi" w:hAnsiTheme="minorHAnsi" w:cstheme="minorHAnsi"/>
          <w:sz w:val="24"/>
          <w:szCs w:val="24"/>
        </w:rPr>
        <w:t>και</w:t>
      </w:r>
      <w:r w:rsidR="001C2D3A" w:rsidRPr="00F737D0">
        <w:rPr>
          <w:rFonts w:asciiTheme="minorHAnsi" w:hAnsiTheme="minorHAnsi" w:cstheme="minorHAnsi"/>
          <w:sz w:val="24"/>
          <w:szCs w:val="24"/>
        </w:rPr>
        <w:t xml:space="preserve"> </w:t>
      </w:r>
      <w:r w:rsidR="001C2D3A" w:rsidRPr="00F737D0">
        <w:rPr>
          <w:rFonts w:asciiTheme="minorHAnsi" w:hAnsiTheme="minorHAnsi" w:cstheme="minorHAnsi"/>
          <w:sz w:val="24"/>
          <w:szCs w:val="24"/>
          <w:lang w:val="en-US"/>
        </w:rPr>
        <w:t>Epstein</w:t>
      </w:r>
      <w:r w:rsidR="001C2D3A" w:rsidRPr="00F737D0">
        <w:rPr>
          <w:sz w:val="24"/>
          <w:szCs w:val="24"/>
        </w:rPr>
        <w:t xml:space="preserve"> </w:t>
      </w:r>
      <w:r w:rsidRPr="00F737D0">
        <w:rPr>
          <w:sz w:val="24"/>
          <w:szCs w:val="24"/>
        </w:rPr>
        <w:t>(2001)</w:t>
      </w:r>
      <w:r w:rsidR="004C7B3E" w:rsidRPr="00F737D0">
        <w:rPr>
          <w:sz w:val="24"/>
          <w:szCs w:val="24"/>
        </w:rPr>
        <w:t xml:space="preserve"> διε</w:t>
      </w:r>
      <w:r w:rsidRPr="00F737D0">
        <w:rPr>
          <w:sz w:val="24"/>
          <w:szCs w:val="24"/>
        </w:rPr>
        <w:t>πίστωσαν ότι μεταξύ Αφροαμερικανών και Λατίνων α</w:t>
      </w:r>
      <w:r w:rsidR="00B13C1B" w:rsidRPr="00F737D0">
        <w:rPr>
          <w:sz w:val="24"/>
          <w:szCs w:val="24"/>
        </w:rPr>
        <w:t>σθενών με νεφρική νόσο</w:t>
      </w:r>
      <w:r w:rsidR="004C7B3E" w:rsidRPr="00F737D0">
        <w:rPr>
          <w:sz w:val="24"/>
          <w:szCs w:val="24"/>
        </w:rPr>
        <w:t>, οι ασθενείς</w:t>
      </w:r>
      <w:r w:rsidRPr="00F737D0">
        <w:rPr>
          <w:sz w:val="24"/>
          <w:szCs w:val="24"/>
        </w:rPr>
        <w:t xml:space="preserve"> με οικονομικά προβλήματα ή δυσκολία στην αντιμετώπιση </w:t>
      </w:r>
      <w:r w:rsidR="004C7B3E" w:rsidRPr="00F737D0">
        <w:rPr>
          <w:sz w:val="24"/>
          <w:szCs w:val="24"/>
        </w:rPr>
        <w:t xml:space="preserve">αυτών </w:t>
      </w:r>
      <w:r w:rsidRPr="00F737D0">
        <w:rPr>
          <w:sz w:val="24"/>
          <w:szCs w:val="24"/>
        </w:rPr>
        <w:t>είχαν περισσότερες πιθανότητες να μην παρουσιαστούν στις συνεδρίες αιμοκάθαρσης σε σύγκριση με εκείνους που δεν είχαν αυτά τα προβλήματα.</w:t>
      </w:r>
    </w:p>
    <w:p w:rsidR="009906D3" w:rsidRPr="005A464E" w:rsidRDefault="00A600AE" w:rsidP="005A464E">
      <w:pPr>
        <w:spacing w:line="360" w:lineRule="auto"/>
        <w:jc w:val="both"/>
        <w:rPr>
          <w:sz w:val="24"/>
          <w:szCs w:val="24"/>
        </w:rPr>
      </w:pPr>
      <w:r w:rsidRPr="00F737D0">
        <w:rPr>
          <w:sz w:val="24"/>
          <w:szCs w:val="24"/>
        </w:rPr>
        <w:t>Οι Patel,</w:t>
      </w:r>
      <w:r w:rsidR="009906D3" w:rsidRPr="00F737D0">
        <w:rPr>
          <w:sz w:val="24"/>
          <w:szCs w:val="24"/>
        </w:rPr>
        <w:t xml:space="preserve"> </w:t>
      </w:r>
      <w:r w:rsidRPr="00F737D0">
        <w:rPr>
          <w:rFonts w:asciiTheme="minorHAnsi" w:hAnsiTheme="minorHAnsi" w:cstheme="minorHAnsi"/>
          <w:sz w:val="24"/>
          <w:szCs w:val="24"/>
          <w:shd w:val="clear" w:color="auto" w:fill="FFFFFF"/>
          <w:lang w:val="en-US"/>
        </w:rPr>
        <w:t>Shah</w:t>
      </w:r>
      <w:r w:rsidRPr="00F737D0">
        <w:rPr>
          <w:rFonts w:asciiTheme="minorHAnsi" w:hAnsiTheme="minorHAnsi" w:cstheme="minorHAnsi"/>
          <w:sz w:val="24"/>
          <w:szCs w:val="24"/>
          <w:shd w:val="clear" w:color="auto" w:fill="FFFFFF"/>
        </w:rPr>
        <w:t xml:space="preserve">, </w:t>
      </w:r>
      <w:r w:rsidRPr="00F737D0">
        <w:rPr>
          <w:rFonts w:asciiTheme="minorHAnsi" w:hAnsiTheme="minorHAnsi" w:cstheme="minorHAnsi"/>
          <w:sz w:val="24"/>
          <w:szCs w:val="24"/>
          <w:shd w:val="clear" w:color="auto" w:fill="FFFFFF"/>
          <w:lang w:val="en-US"/>
        </w:rPr>
        <w:t>Peterson</w:t>
      </w:r>
      <w:r w:rsidR="004C7B3E" w:rsidRPr="00F737D0">
        <w:rPr>
          <w:rFonts w:asciiTheme="minorHAnsi" w:hAnsiTheme="minorHAnsi" w:cstheme="minorHAnsi"/>
          <w:sz w:val="24"/>
          <w:szCs w:val="24"/>
          <w:shd w:val="clear" w:color="auto" w:fill="FFFFFF"/>
        </w:rPr>
        <w:t>, και</w:t>
      </w:r>
      <w:r w:rsidRPr="00F737D0">
        <w:rPr>
          <w:rFonts w:asciiTheme="minorHAnsi" w:hAnsiTheme="minorHAnsi" w:cstheme="minorHAnsi"/>
          <w:sz w:val="24"/>
          <w:szCs w:val="24"/>
          <w:shd w:val="clear" w:color="auto" w:fill="FFFFFF"/>
        </w:rPr>
        <w:t xml:space="preserve"> </w:t>
      </w:r>
      <w:r w:rsidRPr="00F737D0">
        <w:rPr>
          <w:rFonts w:asciiTheme="minorHAnsi" w:hAnsiTheme="minorHAnsi" w:cstheme="minorHAnsi"/>
          <w:sz w:val="24"/>
          <w:szCs w:val="24"/>
          <w:shd w:val="clear" w:color="auto" w:fill="FFFFFF"/>
          <w:lang w:val="en-US"/>
        </w:rPr>
        <w:t>Kimmel</w:t>
      </w:r>
      <w:r w:rsidRPr="00F737D0">
        <w:rPr>
          <w:rFonts w:asciiTheme="minorHAnsi" w:hAnsiTheme="minorHAnsi" w:cstheme="minorHAnsi"/>
          <w:sz w:val="24"/>
          <w:szCs w:val="24"/>
          <w:shd w:val="clear" w:color="auto" w:fill="FFFFFF"/>
        </w:rPr>
        <w:t xml:space="preserve"> </w:t>
      </w:r>
      <w:r w:rsidR="009906D3" w:rsidRPr="00F737D0">
        <w:rPr>
          <w:sz w:val="24"/>
          <w:szCs w:val="24"/>
        </w:rPr>
        <w:t>(2002) αναφέρουν ότι η «</w:t>
      </w:r>
      <w:r w:rsidR="009906D3" w:rsidRPr="00F737D0">
        <w:rPr>
          <w:i/>
          <w:sz w:val="24"/>
          <w:szCs w:val="24"/>
        </w:rPr>
        <w:t>εξάρτηση από μια χρόνια θεραπεία διατήρηση</w:t>
      </w:r>
      <w:r w:rsidR="001046D7" w:rsidRPr="00F737D0">
        <w:rPr>
          <w:i/>
          <w:sz w:val="24"/>
          <w:szCs w:val="24"/>
        </w:rPr>
        <w:t>ς</w:t>
      </w:r>
      <w:r w:rsidR="009906D3" w:rsidRPr="00F737D0">
        <w:rPr>
          <w:i/>
          <w:sz w:val="24"/>
          <w:szCs w:val="24"/>
        </w:rPr>
        <w:t xml:space="preserve"> της ζωής και η μείωση της απασχόλησης φέρει σημαντικές ψυχολογικές και κοινωνικές απαιτήσεις σε ασθενείς υπό </w:t>
      </w:r>
      <w:r w:rsidR="004C7B3E" w:rsidRPr="00F737D0">
        <w:rPr>
          <w:i/>
          <w:sz w:val="24"/>
          <w:szCs w:val="24"/>
        </w:rPr>
        <w:t>αιμοκάθαρση</w:t>
      </w:r>
      <w:r w:rsidR="009906D3" w:rsidRPr="00F737D0">
        <w:rPr>
          <w:sz w:val="24"/>
          <w:szCs w:val="24"/>
        </w:rPr>
        <w:t>». Αυτοί οι ερευνητές χρησιμοποίησαν μια ποικιλία εργαλείων μέτρησης για τ</w:t>
      </w:r>
      <w:r w:rsidR="00B120B7" w:rsidRPr="00F737D0">
        <w:rPr>
          <w:sz w:val="24"/>
          <w:szCs w:val="24"/>
        </w:rPr>
        <w:t>ην αξιολόγηση ενός δείγματος 53 ασθενών που υποβάλλονταν</w:t>
      </w:r>
      <w:r w:rsidR="009906D3" w:rsidRPr="00F737D0">
        <w:rPr>
          <w:sz w:val="24"/>
          <w:szCs w:val="24"/>
        </w:rPr>
        <w:t xml:space="preserve"> σε αιμοκάθαρση. Σύμφωνα με τα ευρήματά του</w:t>
      </w:r>
      <w:r w:rsidR="004C7B3E" w:rsidRPr="00F737D0">
        <w:rPr>
          <w:sz w:val="24"/>
          <w:szCs w:val="24"/>
        </w:rPr>
        <w:t>ς οι άνδρες είχαν υψηλότερα επίπεδα</w:t>
      </w:r>
      <w:r w:rsidR="009906D3" w:rsidRPr="00F737D0">
        <w:rPr>
          <w:sz w:val="24"/>
          <w:szCs w:val="24"/>
        </w:rPr>
        <w:t xml:space="preserve"> κατάθλιψης σε σύγκριση με τις γυναίκες, η μεγαλύτερη ηλικί</w:t>
      </w:r>
      <w:r w:rsidR="004C7B3E" w:rsidRPr="00F737D0">
        <w:rPr>
          <w:sz w:val="24"/>
          <w:szCs w:val="24"/>
        </w:rPr>
        <w:t xml:space="preserve">α συσχετίστηκε με υψηλότερα επίπεδα κατάθλιψης και </w:t>
      </w:r>
      <w:r w:rsidR="009906D3" w:rsidRPr="00F737D0">
        <w:rPr>
          <w:sz w:val="24"/>
          <w:szCs w:val="24"/>
        </w:rPr>
        <w:t>δραστηριότητα</w:t>
      </w:r>
      <w:r w:rsidR="004C7B3E" w:rsidRPr="00F737D0">
        <w:rPr>
          <w:sz w:val="24"/>
          <w:szCs w:val="24"/>
        </w:rPr>
        <w:t>ς</w:t>
      </w:r>
      <w:r w:rsidR="009906D3" w:rsidRPr="00F737D0">
        <w:rPr>
          <w:sz w:val="24"/>
          <w:szCs w:val="24"/>
        </w:rPr>
        <w:t xml:space="preserve"> της καθημερινής</w:t>
      </w:r>
      <w:r w:rsidR="009906D3" w:rsidRPr="005A464E">
        <w:rPr>
          <w:sz w:val="24"/>
          <w:szCs w:val="24"/>
        </w:rPr>
        <w:t xml:space="preserve"> ζωής, η</w:t>
      </w:r>
      <w:r w:rsidR="0078495A">
        <w:rPr>
          <w:sz w:val="24"/>
          <w:szCs w:val="24"/>
        </w:rPr>
        <w:t xml:space="preserve"> </w:t>
      </w:r>
      <w:r w:rsidR="009906D3" w:rsidRPr="005A464E">
        <w:rPr>
          <w:sz w:val="24"/>
          <w:szCs w:val="24"/>
        </w:rPr>
        <w:t>πνευματικότητα συσχετίστηκε με μεγαλύτερη ικανοποίηση από τη ζωή, υψηλότερη αντίληψη της ποι</w:t>
      </w:r>
      <w:r w:rsidR="00B120B7" w:rsidRPr="005A464E">
        <w:rPr>
          <w:sz w:val="24"/>
          <w:szCs w:val="24"/>
        </w:rPr>
        <w:t>ότητας ζωής,</w:t>
      </w:r>
      <w:r w:rsidR="009906D3" w:rsidRPr="005A464E">
        <w:rPr>
          <w:sz w:val="24"/>
          <w:szCs w:val="24"/>
        </w:rPr>
        <w:t xml:space="preserve"> χαμηλότερες βαθμολογίες της κατάθλιψης και με χαμηλή αντίληψη του βάρους της ασθένειας. Επιπλέον, οι νεφρολόγοι έπαιζαν σημαντικό ρόλο στην αντίληψη </w:t>
      </w:r>
      <w:r w:rsidR="00B0560D">
        <w:rPr>
          <w:sz w:val="24"/>
          <w:szCs w:val="24"/>
        </w:rPr>
        <w:t>του ασθενούς</w:t>
      </w:r>
      <w:r w:rsidR="009906D3" w:rsidRPr="005A464E">
        <w:rPr>
          <w:sz w:val="24"/>
          <w:szCs w:val="24"/>
        </w:rPr>
        <w:t xml:space="preserve"> για την ποιότητα της ζωής τους, ενώ το νοσηλευτικό προσωπικό συνέβαλε σε αισθήματα κοινωνικής υποστήριξης, αλλά δεν φαίνεται να επηρέασε την αντίληψη για την ποιότητα της ζωής τους.</w:t>
      </w:r>
    </w:p>
    <w:p w:rsidR="007A635C" w:rsidRDefault="008E721D" w:rsidP="0066526D">
      <w:pPr>
        <w:pStyle w:val="25"/>
        <w:numPr>
          <w:ilvl w:val="1"/>
          <w:numId w:val="112"/>
        </w:numPr>
        <w:spacing w:line="360" w:lineRule="auto"/>
        <w:rPr>
          <w:rFonts w:asciiTheme="minorHAnsi" w:hAnsiTheme="minorHAnsi"/>
        </w:rPr>
      </w:pPr>
      <w:bookmarkStart w:id="58" w:name="_Toc495951454"/>
      <w:r w:rsidRPr="005A464E">
        <w:rPr>
          <w:rFonts w:asciiTheme="minorHAnsi" w:hAnsiTheme="minorHAnsi"/>
        </w:rPr>
        <w:t>Παράγοντες</w:t>
      </w:r>
      <w:r w:rsidR="0078495A">
        <w:rPr>
          <w:rFonts w:asciiTheme="minorHAnsi" w:hAnsiTheme="minorHAnsi"/>
        </w:rPr>
        <w:t xml:space="preserve"> </w:t>
      </w:r>
      <w:r w:rsidRPr="005A464E">
        <w:rPr>
          <w:rFonts w:asciiTheme="minorHAnsi" w:hAnsiTheme="minorHAnsi"/>
        </w:rPr>
        <w:t>που επηρεάζουν την ποιότητα ζωής των ασθενών υπό αιμοκάθαρση</w:t>
      </w:r>
      <w:bookmarkEnd w:id="58"/>
    </w:p>
    <w:p w:rsidR="008E721D" w:rsidRPr="007A635C" w:rsidRDefault="00DA4927" w:rsidP="0066526D">
      <w:pPr>
        <w:pStyle w:val="25"/>
        <w:numPr>
          <w:ilvl w:val="2"/>
          <w:numId w:val="112"/>
        </w:numPr>
        <w:spacing w:line="360" w:lineRule="auto"/>
        <w:rPr>
          <w:rFonts w:asciiTheme="minorHAnsi" w:hAnsiTheme="minorHAnsi"/>
        </w:rPr>
      </w:pPr>
      <w:bookmarkStart w:id="59" w:name="_Toc495951455"/>
      <w:r w:rsidRPr="007A635C">
        <w:rPr>
          <w:rFonts w:asciiTheme="minorHAnsi" w:hAnsiTheme="minorHAnsi"/>
        </w:rPr>
        <w:t>Κοινωνικοδημογραφικοί παράγοντες</w:t>
      </w:r>
      <w:bookmarkEnd w:id="59"/>
    </w:p>
    <w:p w:rsidR="000B132C" w:rsidRPr="00654011" w:rsidRDefault="008E721D" w:rsidP="00654011">
      <w:pPr>
        <w:pStyle w:val="a5"/>
        <w:numPr>
          <w:ilvl w:val="0"/>
          <w:numId w:val="121"/>
        </w:numPr>
        <w:spacing w:line="360" w:lineRule="auto"/>
        <w:jc w:val="both"/>
        <w:rPr>
          <w:i/>
        </w:rPr>
      </w:pPr>
      <w:r w:rsidRPr="00654011">
        <w:rPr>
          <w:rFonts w:cs="BookAntiqua"/>
          <w:i/>
          <w:sz w:val="24"/>
          <w:szCs w:val="24"/>
        </w:rPr>
        <w:t>Ηλικία</w:t>
      </w:r>
    </w:p>
    <w:p w:rsidR="000B132C" w:rsidRPr="005A464E" w:rsidRDefault="000B132C" w:rsidP="005A464E">
      <w:pPr>
        <w:spacing w:line="360" w:lineRule="auto"/>
        <w:jc w:val="both"/>
        <w:rPr>
          <w:rFonts w:cs="BookAntiqua"/>
          <w:sz w:val="24"/>
          <w:szCs w:val="24"/>
        </w:rPr>
      </w:pPr>
      <w:r w:rsidRPr="005A464E">
        <w:rPr>
          <w:rFonts w:cs="BookAntiqua"/>
          <w:sz w:val="24"/>
          <w:szCs w:val="24"/>
        </w:rPr>
        <w:t xml:space="preserve">Η επίδραση της ηλικίας στην ποιότητα ζωής είναι αμφιλεγόμενη στη βιβλιογραφία. </w:t>
      </w:r>
      <w:r w:rsidR="002933C0" w:rsidRPr="005A464E">
        <w:rPr>
          <w:rFonts w:cs="BookAntiqua"/>
          <w:sz w:val="24"/>
          <w:szCs w:val="24"/>
        </w:rPr>
        <w:t>Η η</w:t>
      </w:r>
      <w:r w:rsidRPr="005A464E">
        <w:rPr>
          <w:rFonts w:cs="BookAntiqua"/>
          <w:sz w:val="24"/>
          <w:szCs w:val="24"/>
        </w:rPr>
        <w:t xml:space="preserve">λικία </w:t>
      </w:r>
      <w:r w:rsidR="002933C0" w:rsidRPr="005A464E">
        <w:rPr>
          <w:rFonts w:cs="BookAntiqua"/>
          <w:sz w:val="24"/>
          <w:szCs w:val="24"/>
        </w:rPr>
        <w:t>που συνοδεύεται με συν</w:t>
      </w:r>
      <w:r w:rsidRPr="005A464E">
        <w:rPr>
          <w:rFonts w:cs="BookAntiqua"/>
          <w:sz w:val="24"/>
          <w:szCs w:val="24"/>
        </w:rPr>
        <w:t xml:space="preserve">νοσηρότητα μπορεί να </w:t>
      </w:r>
      <w:r w:rsidR="002933C0" w:rsidRPr="005A464E">
        <w:rPr>
          <w:rFonts w:cs="BookAntiqua"/>
          <w:sz w:val="24"/>
          <w:szCs w:val="24"/>
        </w:rPr>
        <w:t xml:space="preserve">έχει </w:t>
      </w:r>
      <w:r w:rsidRPr="005A464E">
        <w:rPr>
          <w:rFonts w:cs="BookAntiqua"/>
          <w:sz w:val="24"/>
          <w:szCs w:val="24"/>
        </w:rPr>
        <w:t>αρνητική επίδραση στην ποι</w:t>
      </w:r>
      <w:r w:rsidR="001B6820" w:rsidRPr="005A464E">
        <w:rPr>
          <w:rFonts w:cs="BookAntiqua"/>
          <w:sz w:val="24"/>
          <w:szCs w:val="24"/>
        </w:rPr>
        <w:t xml:space="preserve">ότητα ζωής (Jager </w:t>
      </w:r>
      <w:r w:rsidR="00566CAA">
        <w:rPr>
          <w:rFonts w:cs="BookAntiqua"/>
          <w:sz w:val="24"/>
          <w:szCs w:val="24"/>
        </w:rPr>
        <w:t>et al</w:t>
      </w:r>
      <w:r w:rsidR="003B4333">
        <w:rPr>
          <w:rFonts w:cs="BookAntiqua"/>
          <w:sz w:val="24"/>
          <w:szCs w:val="24"/>
        </w:rPr>
        <w:t>.</w:t>
      </w:r>
      <w:r w:rsidR="004144C7">
        <w:rPr>
          <w:rFonts w:cs="BookAntiqua"/>
          <w:sz w:val="24"/>
          <w:szCs w:val="24"/>
        </w:rPr>
        <w:t>,</w:t>
      </w:r>
      <w:r w:rsidR="00607E7C">
        <w:rPr>
          <w:rFonts w:cs="BookAntiqua"/>
          <w:sz w:val="24"/>
          <w:szCs w:val="24"/>
        </w:rPr>
        <w:t xml:space="preserve"> 2003; </w:t>
      </w:r>
      <w:r w:rsidR="00607E7C" w:rsidRPr="00607E7C">
        <w:rPr>
          <w:rFonts w:cs="BookAntiqua"/>
          <w:sz w:val="24"/>
          <w:szCs w:val="24"/>
        </w:rPr>
        <w:t xml:space="preserve">Loos, </w:t>
      </w:r>
      <w:r w:rsidR="00607E7C" w:rsidRPr="00607E7C">
        <w:rPr>
          <w:rFonts w:asciiTheme="minorHAnsi" w:hAnsiTheme="minorHAnsi" w:cstheme="minorHAnsi"/>
          <w:sz w:val="24"/>
          <w:szCs w:val="24"/>
          <w:lang w:val="en-US"/>
        </w:rPr>
        <w:t>Briancon</w:t>
      </w:r>
      <w:r w:rsidR="00607E7C" w:rsidRPr="00607E7C">
        <w:rPr>
          <w:rFonts w:asciiTheme="minorHAnsi" w:hAnsiTheme="minorHAnsi" w:cstheme="minorHAnsi"/>
          <w:sz w:val="24"/>
          <w:szCs w:val="24"/>
        </w:rPr>
        <w:t xml:space="preserve">, </w:t>
      </w:r>
      <w:r w:rsidR="00607E7C" w:rsidRPr="00607E7C">
        <w:rPr>
          <w:rFonts w:asciiTheme="minorHAnsi" w:hAnsiTheme="minorHAnsi" w:cstheme="minorHAnsi"/>
          <w:sz w:val="24"/>
          <w:szCs w:val="24"/>
          <w:lang w:val="en-US"/>
        </w:rPr>
        <w:t>Frimat</w:t>
      </w:r>
      <w:r w:rsidR="00607E7C" w:rsidRPr="00607E7C">
        <w:rPr>
          <w:rFonts w:asciiTheme="minorHAnsi" w:hAnsiTheme="minorHAnsi" w:cstheme="minorHAnsi"/>
          <w:sz w:val="24"/>
          <w:szCs w:val="24"/>
        </w:rPr>
        <w:t xml:space="preserve">, </w:t>
      </w:r>
      <w:r w:rsidR="00607E7C" w:rsidRPr="00607E7C">
        <w:rPr>
          <w:rFonts w:asciiTheme="minorHAnsi" w:hAnsiTheme="minorHAnsi" w:cstheme="minorHAnsi"/>
          <w:sz w:val="24"/>
          <w:szCs w:val="24"/>
          <w:lang w:val="en-US"/>
        </w:rPr>
        <w:t>Hanesse</w:t>
      </w:r>
      <w:r w:rsidR="00607E7C" w:rsidRPr="00607E7C">
        <w:rPr>
          <w:rFonts w:asciiTheme="minorHAnsi" w:hAnsiTheme="minorHAnsi" w:cstheme="minorHAnsi"/>
          <w:sz w:val="24"/>
          <w:szCs w:val="24"/>
        </w:rPr>
        <w:t xml:space="preserve">, &amp; </w:t>
      </w:r>
      <w:r w:rsidR="00607E7C" w:rsidRPr="00607E7C">
        <w:rPr>
          <w:rFonts w:asciiTheme="minorHAnsi" w:hAnsiTheme="minorHAnsi" w:cstheme="minorHAnsi"/>
          <w:sz w:val="24"/>
          <w:szCs w:val="24"/>
          <w:lang w:val="en-US"/>
        </w:rPr>
        <w:t>Kessler</w:t>
      </w:r>
      <w:r w:rsidR="00607E7C">
        <w:rPr>
          <w:rFonts w:asciiTheme="minorHAnsi" w:hAnsiTheme="minorHAnsi" w:cstheme="minorHAnsi"/>
          <w:sz w:val="24"/>
          <w:szCs w:val="24"/>
        </w:rPr>
        <w:t>,</w:t>
      </w:r>
      <w:r w:rsidR="00607E7C" w:rsidRPr="00607E7C">
        <w:rPr>
          <w:rFonts w:cs="BookAntiqua"/>
          <w:sz w:val="24"/>
          <w:szCs w:val="24"/>
        </w:rPr>
        <w:t xml:space="preserve"> </w:t>
      </w:r>
      <w:r w:rsidR="00905933" w:rsidRPr="00607E7C">
        <w:rPr>
          <w:rFonts w:cs="BookAntiqua"/>
          <w:sz w:val="24"/>
          <w:szCs w:val="24"/>
        </w:rPr>
        <w:t>2003;</w:t>
      </w:r>
      <w:r w:rsidR="004010B3" w:rsidRPr="00607E7C">
        <w:rPr>
          <w:rFonts w:cs="BookAntiqua"/>
          <w:sz w:val="24"/>
          <w:szCs w:val="24"/>
        </w:rPr>
        <w:t xml:space="preserve"> Mapes </w:t>
      </w:r>
      <w:r w:rsidR="00566CAA" w:rsidRPr="00607E7C">
        <w:rPr>
          <w:rFonts w:cs="BookAntiqua"/>
          <w:sz w:val="24"/>
          <w:szCs w:val="24"/>
        </w:rPr>
        <w:t>et al</w:t>
      </w:r>
      <w:r w:rsidR="00573981" w:rsidRPr="00607E7C">
        <w:rPr>
          <w:rFonts w:cs="BookAntiqua"/>
          <w:sz w:val="24"/>
          <w:szCs w:val="24"/>
        </w:rPr>
        <w:t>.</w:t>
      </w:r>
      <w:r w:rsidR="004144C7">
        <w:rPr>
          <w:rFonts w:cs="BookAntiqua"/>
          <w:sz w:val="24"/>
          <w:szCs w:val="24"/>
        </w:rPr>
        <w:t>,</w:t>
      </w:r>
      <w:r w:rsidRPr="00607E7C">
        <w:rPr>
          <w:rFonts w:cs="BookAntiqua"/>
          <w:sz w:val="24"/>
          <w:szCs w:val="24"/>
        </w:rPr>
        <w:t xml:space="preserve"> 2004). Ως εκ τούτου, </w:t>
      </w:r>
      <w:r w:rsidR="002933C0" w:rsidRPr="00607E7C">
        <w:rPr>
          <w:rFonts w:cs="BookAntiqua"/>
          <w:sz w:val="24"/>
          <w:szCs w:val="24"/>
        </w:rPr>
        <w:t xml:space="preserve">η </w:t>
      </w:r>
      <w:r w:rsidRPr="00607E7C">
        <w:rPr>
          <w:rFonts w:cs="BookAntiqua"/>
          <w:sz w:val="24"/>
          <w:szCs w:val="24"/>
        </w:rPr>
        <w:t>ποιότητα ζωής εξαρτάτ</w:t>
      </w:r>
      <w:r w:rsidR="002933C0" w:rsidRPr="00607E7C">
        <w:rPr>
          <w:rFonts w:cs="BookAntiqua"/>
          <w:sz w:val="24"/>
          <w:szCs w:val="24"/>
        </w:rPr>
        <w:t>αι κυρ</w:t>
      </w:r>
      <w:r w:rsidR="002933C0" w:rsidRPr="005A464E">
        <w:rPr>
          <w:rFonts w:cs="BookAntiqua"/>
          <w:sz w:val="24"/>
          <w:szCs w:val="24"/>
        </w:rPr>
        <w:t>ίως από την σοβαρότητα των συνοδών παθολογικών καταστάσεων</w:t>
      </w:r>
      <w:r w:rsidRPr="005A464E">
        <w:rPr>
          <w:rFonts w:cs="BookAntiqua"/>
          <w:sz w:val="24"/>
          <w:szCs w:val="24"/>
        </w:rPr>
        <w:t xml:space="preserve"> και τη </w:t>
      </w:r>
      <w:r w:rsidR="002933C0" w:rsidRPr="005A464E">
        <w:rPr>
          <w:rFonts w:cs="BookAntiqua"/>
          <w:sz w:val="24"/>
          <w:szCs w:val="24"/>
        </w:rPr>
        <w:t>μείωση της φυσικής υγείας με</w:t>
      </w:r>
      <w:r w:rsidRPr="005A464E">
        <w:rPr>
          <w:rFonts w:cs="BookAntiqua"/>
          <w:sz w:val="24"/>
          <w:szCs w:val="24"/>
        </w:rPr>
        <w:t xml:space="preserve"> την πάροδο του χρόνου.</w:t>
      </w:r>
    </w:p>
    <w:p w:rsidR="002933C0" w:rsidRPr="005A464E" w:rsidRDefault="002933C0" w:rsidP="005A464E">
      <w:pPr>
        <w:spacing w:line="360" w:lineRule="auto"/>
        <w:jc w:val="both"/>
        <w:rPr>
          <w:rFonts w:cs="BookAntiqua"/>
          <w:sz w:val="24"/>
          <w:szCs w:val="24"/>
        </w:rPr>
      </w:pPr>
      <w:r w:rsidRPr="005A464E">
        <w:rPr>
          <w:rFonts w:cs="BookAntiqua"/>
          <w:sz w:val="24"/>
          <w:szCs w:val="24"/>
        </w:rPr>
        <w:t xml:space="preserve">Οι Kao </w:t>
      </w:r>
      <w:r w:rsidR="00566CAA">
        <w:rPr>
          <w:rFonts w:cs="BookAntiqua"/>
          <w:sz w:val="24"/>
          <w:szCs w:val="24"/>
        </w:rPr>
        <w:t>et al</w:t>
      </w:r>
      <w:r w:rsidR="003B4333">
        <w:rPr>
          <w:rFonts w:cs="BookAntiqua"/>
          <w:sz w:val="24"/>
          <w:szCs w:val="24"/>
        </w:rPr>
        <w:t>.</w:t>
      </w:r>
      <w:r w:rsidRPr="005A464E">
        <w:rPr>
          <w:rFonts w:cs="BookAntiqua"/>
          <w:sz w:val="24"/>
          <w:szCs w:val="24"/>
        </w:rPr>
        <w:t xml:space="preserve"> (2009) αξιολόγησαν τη </w:t>
      </w:r>
      <w:r w:rsidR="00905933" w:rsidRPr="005A464E">
        <w:rPr>
          <w:rFonts w:cs="BookAntiqua"/>
          <w:sz w:val="24"/>
          <w:szCs w:val="24"/>
        </w:rPr>
        <w:t>συσχέτιση</w:t>
      </w:r>
      <w:r w:rsidRPr="005A464E">
        <w:rPr>
          <w:rFonts w:cs="BookAntiqua"/>
          <w:sz w:val="24"/>
          <w:szCs w:val="24"/>
        </w:rPr>
        <w:t xml:space="preserve"> μεταξύ ηλικίας και ΣΥΠΖ των ασθενών υπό αιμοκάθαρση από την Ταϊβάν χρησιμοποιώντας την κλίμακα SF-36. Έδειξαν ότι η ηλικία σχετίζεται αντιστρόφως ανάλογα με τη σωματική λειτουργικότητα, τη ζωτικότητα και την κοινωνική λειτουργία, αλλά όχι τη</w:t>
      </w:r>
      <w:r w:rsidRPr="00234C99">
        <w:rPr>
          <w:rFonts w:cs="BookAntiqua"/>
          <w:sz w:val="24"/>
          <w:szCs w:val="24"/>
          <w:highlight w:val="cyan"/>
        </w:rPr>
        <w:t>ν</w:t>
      </w:r>
      <w:r w:rsidRPr="005A464E">
        <w:rPr>
          <w:rFonts w:cs="BookAntiqua"/>
          <w:sz w:val="24"/>
          <w:szCs w:val="24"/>
        </w:rPr>
        <w:t xml:space="preserve"> ψυχική </w:t>
      </w:r>
      <w:r w:rsidR="00F010B8" w:rsidRPr="005A464E">
        <w:rPr>
          <w:rFonts w:cs="BookAntiqua"/>
          <w:sz w:val="24"/>
          <w:szCs w:val="24"/>
        </w:rPr>
        <w:t>υγεία. Όταν ηλικιωμένοι</w:t>
      </w:r>
      <w:r w:rsidRPr="005A464E">
        <w:rPr>
          <w:rFonts w:cs="BookAntiqua"/>
          <w:sz w:val="24"/>
          <w:szCs w:val="24"/>
        </w:rPr>
        <w:t xml:space="preserve"> ασθενείς υπό αιμοκάθαρση συγκρίθηκ</w:t>
      </w:r>
      <w:r w:rsidR="006900FA" w:rsidRPr="005A464E">
        <w:rPr>
          <w:rFonts w:cs="BookAntiqua"/>
          <w:sz w:val="24"/>
          <w:szCs w:val="24"/>
        </w:rPr>
        <w:t>αν με τους νεότερους (&lt;60 ετών)</w:t>
      </w:r>
      <w:r w:rsidRPr="005A464E">
        <w:rPr>
          <w:rFonts w:cs="BookAntiqua"/>
          <w:sz w:val="24"/>
          <w:szCs w:val="24"/>
        </w:rPr>
        <w:t>, οι ηλικι</w:t>
      </w:r>
      <w:r w:rsidR="001B6820" w:rsidRPr="005A464E">
        <w:rPr>
          <w:rFonts w:cs="BookAntiqua"/>
          <w:sz w:val="24"/>
          <w:szCs w:val="24"/>
        </w:rPr>
        <w:t>ωμένοι</w:t>
      </w:r>
      <w:r w:rsidRPr="005A464E">
        <w:rPr>
          <w:rFonts w:cs="BookAntiqua"/>
          <w:sz w:val="24"/>
          <w:szCs w:val="24"/>
        </w:rPr>
        <w:t xml:space="preserve"> ασθενείς είχαν λιγότερο στρες και καλύτερη αντίληψη της</w:t>
      </w:r>
      <w:r w:rsidR="00905933" w:rsidRPr="005A464E">
        <w:rPr>
          <w:rFonts w:cs="BookAntiqua"/>
          <w:sz w:val="24"/>
          <w:szCs w:val="24"/>
        </w:rPr>
        <w:t xml:space="preserve"> ΠΖ (</w:t>
      </w:r>
      <w:r w:rsidR="00905933" w:rsidRPr="005A464E">
        <w:rPr>
          <w:rFonts w:cs="BookAntiqua"/>
          <w:sz w:val="24"/>
          <w:szCs w:val="24"/>
          <w:lang w:val="en-US"/>
        </w:rPr>
        <w:t>Grapsa</w:t>
      </w:r>
      <w:r w:rsidR="006900FA" w:rsidRPr="005A464E">
        <w:rPr>
          <w:rFonts w:cs="BookAntiqua"/>
          <w:sz w:val="24"/>
          <w:szCs w:val="24"/>
        </w:rPr>
        <w:t xml:space="preserve"> </w:t>
      </w:r>
      <w:r w:rsidR="00905933" w:rsidRPr="005A464E">
        <w:rPr>
          <w:rFonts w:cs="BookAntiqua"/>
          <w:sz w:val="24"/>
          <w:szCs w:val="24"/>
        </w:rPr>
        <w:t>&amp;</w:t>
      </w:r>
      <w:r w:rsidR="006900FA" w:rsidRPr="005A464E">
        <w:rPr>
          <w:rFonts w:cs="BookAntiqua"/>
          <w:sz w:val="24"/>
          <w:szCs w:val="24"/>
        </w:rPr>
        <w:t xml:space="preserve"> </w:t>
      </w:r>
      <w:r w:rsidR="00905933" w:rsidRPr="005A464E">
        <w:rPr>
          <w:rFonts w:cs="BookAntiqua"/>
          <w:sz w:val="24"/>
          <w:szCs w:val="24"/>
          <w:lang w:val="en-US"/>
        </w:rPr>
        <w:t>Oreopoulos</w:t>
      </w:r>
      <w:r w:rsidR="00AB454B">
        <w:rPr>
          <w:rFonts w:cs="BookAntiqua"/>
          <w:sz w:val="24"/>
          <w:szCs w:val="24"/>
        </w:rPr>
        <w:t>,</w:t>
      </w:r>
      <w:r w:rsidRPr="005A464E">
        <w:rPr>
          <w:rFonts w:cs="BookAntiqua"/>
          <w:sz w:val="24"/>
          <w:szCs w:val="24"/>
        </w:rPr>
        <w:t xml:space="preserve"> 1996).</w:t>
      </w:r>
    </w:p>
    <w:p w:rsidR="008E721D" w:rsidRPr="005A464E" w:rsidRDefault="006A245E" w:rsidP="005A464E">
      <w:pPr>
        <w:spacing w:line="360" w:lineRule="auto"/>
        <w:jc w:val="both"/>
        <w:rPr>
          <w:rFonts w:cs="BookAntiqua"/>
          <w:sz w:val="24"/>
          <w:szCs w:val="24"/>
        </w:rPr>
      </w:pPr>
      <w:r w:rsidRPr="005A464E">
        <w:rPr>
          <w:rFonts w:cs="BookAntiqua"/>
          <w:sz w:val="24"/>
          <w:szCs w:val="24"/>
        </w:rPr>
        <w:t>Οι ηλικιωμένοι (&gt;</w:t>
      </w:r>
      <w:r w:rsidR="008E721D" w:rsidRPr="005A464E">
        <w:rPr>
          <w:rFonts w:cs="BookAntiqua"/>
          <w:sz w:val="24"/>
          <w:szCs w:val="24"/>
        </w:rPr>
        <w:t>65 ετών) αντιλαμβάνονται λιγότερο τη μείωση της ποιότητα</w:t>
      </w:r>
      <w:r w:rsidR="006900FA" w:rsidRPr="005A464E">
        <w:rPr>
          <w:rFonts w:cs="BookAntiqua"/>
          <w:sz w:val="24"/>
          <w:szCs w:val="24"/>
        </w:rPr>
        <w:t>ς</w:t>
      </w:r>
      <w:r w:rsidR="008E721D" w:rsidRPr="005A464E">
        <w:rPr>
          <w:rFonts w:cs="BookAntiqua"/>
          <w:sz w:val="24"/>
          <w:szCs w:val="24"/>
        </w:rPr>
        <w:t xml:space="preserve"> ζωής τους και νιώθουν μεγαλύτερη ικανοποίηση από τη ζωή σε σύγκριση με νεότερους ασθενείς </w:t>
      </w:r>
      <w:r w:rsidR="00F010B8" w:rsidRPr="005A464E">
        <w:rPr>
          <w:rFonts w:cs="BookAntiqua"/>
          <w:sz w:val="24"/>
          <w:szCs w:val="24"/>
        </w:rPr>
        <w:t>(</w:t>
      </w:r>
      <w:r w:rsidR="00EC24A6" w:rsidRPr="005A464E">
        <w:rPr>
          <w:rFonts w:cs="BookAntiqua"/>
          <w:sz w:val="24"/>
          <w:szCs w:val="24"/>
          <w:lang w:val="en-US"/>
        </w:rPr>
        <w:t>Kimmel</w:t>
      </w:r>
      <w:r w:rsidR="00EC24A6" w:rsidRPr="005A464E">
        <w:rPr>
          <w:rFonts w:cs="BookAntiqua"/>
          <w:sz w:val="24"/>
          <w:szCs w:val="24"/>
        </w:rPr>
        <w:t xml:space="preserve"> </w:t>
      </w:r>
      <w:r w:rsidR="00EC24A6">
        <w:rPr>
          <w:rFonts w:cs="BookAntiqua"/>
          <w:sz w:val="24"/>
          <w:szCs w:val="24"/>
        </w:rPr>
        <w:t>et al</w:t>
      </w:r>
      <w:r w:rsidR="00EC24A6" w:rsidRPr="00A63745">
        <w:rPr>
          <w:rFonts w:cs="BookAntiqua"/>
          <w:sz w:val="24"/>
          <w:szCs w:val="24"/>
        </w:rPr>
        <w:t>.</w:t>
      </w:r>
      <w:r w:rsidR="00EC24A6">
        <w:rPr>
          <w:rFonts w:cs="BookAntiqua"/>
          <w:sz w:val="24"/>
          <w:szCs w:val="24"/>
        </w:rPr>
        <w:t>,</w:t>
      </w:r>
      <w:r w:rsidR="00EC24A6" w:rsidRPr="005A464E">
        <w:rPr>
          <w:rFonts w:cs="BookAntiqua"/>
          <w:sz w:val="24"/>
          <w:szCs w:val="24"/>
        </w:rPr>
        <w:t xml:space="preserve"> 1995</w:t>
      </w:r>
      <w:r w:rsidR="00EC24A6">
        <w:rPr>
          <w:rFonts w:cs="BookAntiqua"/>
          <w:sz w:val="24"/>
          <w:szCs w:val="24"/>
        </w:rPr>
        <w:t xml:space="preserve">; </w:t>
      </w:r>
      <w:r w:rsidR="008E721D" w:rsidRPr="005A464E">
        <w:rPr>
          <w:rFonts w:cs="BookAntiqua"/>
          <w:sz w:val="24"/>
          <w:szCs w:val="24"/>
          <w:lang w:val="en-US"/>
        </w:rPr>
        <w:t>Rebollo</w:t>
      </w:r>
      <w:r w:rsidR="006900FA" w:rsidRPr="005A464E">
        <w:rPr>
          <w:rFonts w:cs="BookAntiqua"/>
          <w:sz w:val="24"/>
          <w:szCs w:val="24"/>
        </w:rPr>
        <w:t xml:space="preserve"> </w:t>
      </w:r>
      <w:r w:rsidR="00566CAA">
        <w:rPr>
          <w:rFonts w:cs="BookAntiqua"/>
          <w:sz w:val="24"/>
          <w:szCs w:val="24"/>
        </w:rPr>
        <w:t>et al</w:t>
      </w:r>
      <w:r w:rsidR="003B4333">
        <w:rPr>
          <w:rFonts w:cs="BookAntiqua"/>
          <w:sz w:val="24"/>
          <w:szCs w:val="24"/>
        </w:rPr>
        <w:t>.</w:t>
      </w:r>
      <w:r w:rsidR="00287004">
        <w:rPr>
          <w:rFonts w:cs="BookAntiqua"/>
          <w:sz w:val="24"/>
          <w:szCs w:val="24"/>
        </w:rPr>
        <w:t>,</w:t>
      </w:r>
      <w:r w:rsidR="00EC24A6">
        <w:rPr>
          <w:rFonts w:cs="BookAntiqua"/>
          <w:sz w:val="24"/>
          <w:szCs w:val="24"/>
        </w:rPr>
        <w:t xml:space="preserve"> 2001</w:t>
      </w:r>
      <w:r w:rsidR="008E721D" w:rsidRPr="005A464E">
        <w:rPr>
          <w:rFonts w:cs="BookAntiqua"/>
          <w:sz w:val="24"/>
          <w:szCs w:val="24"/>
        </w:rPr>
        <w:t xml:space="preserve">). Ίσως το μεγαλύτερο χάσμα μεταξύ της αναμενόμενης και της πραγματικής ΠΖ στους νεότερους ασθενείς οφείλεται στους περιορισμούς που απαιτεί η αιμοκάθαρση. </w:t>
      </w:r>
    </w:p>
    <w:p w:rsidR="008E721D" w:rsidRPr="005A464E" w:rsidRDefault="006900FA" w:rsidP="005A464E">
      <w:pPr>
        <w:spacing w:line="360" w:lineRule="auto"/>
        <w:jc w:val="both"/>
        <w:rPr>
          <w:rFonts w:cs="BookAntiqua"/>
          <w:sz w:val="24"/>
          <w:szCs w:val="24"/>
        </w:rPr>
      </w:pPr>
      <w:r w:rsidRPr="005A464E">
        <w:rPr>
          <w:rFonts w:cs="BookAntiqua"/>
          <w:sz w:val="24"/>
          <w:szCs w:val="24"/>
        </w:rPr>
        <w:t>Επιπλέον για τους</w:t>
      </w:r>
      <w:r w:rsidR="008E721D" w:rsidRPr="005A464E">
        <w:rPr>
          <w:rFonts w:cs="BookAntiqua"/>
          <w:sz w:val="24"/>
          <w:szCs w:val="24"/>
        </w:rPr>
        <w:t xml:space="preserve"> νεαρότερους ασθενείς</w:t>
      </w:r>
      <w:r w:rsidR="00B77FE1">
        <w:rPr>
          <w:rFonts w:cs="BookAntiqua"/>
          <w:sz w:val="24"/>
          <w:szCs w:val="24"/>
        </w:rPr>
        <w:t>,</w:t>
      </w:r>
      <w:r w:rsidR="008E721D" w:rsidRPr="005A464E">
        <w:rPr>
          <w:rFonts w:cs="BookAntiqua"/>
          <w:sz w:val="24"/>
          <w:szCs w:val="24"/>
        </w:rPr>
        <w:t xml:space="preserve"> η αίσθηση της εξάρτησης από την αιμοκάθαρση τους περιθωριοποιεί από τους συνομηλίκους και τους τον</w:t>
      </w:r>
      <w:r w:rsidRPr="005A464E">
        <w:rPr>
          <w:rFonts w:cs="BookAntiqua"/>
          <w:sz w:val="24"/>
          <w:szCs w:val="24"/>
        </w:rPr>
        <w:t xml:space="preserve">ίζει την «διαφορετικότητα». </w:t>
      </w:r>
      <w:r w:rsidR="008E721D" w:rsidRPr="005A464E">
        <w:rPr>
          <w:rFonts w:cs="BookAntiqua"/>
          <w:sz w:val="24"/>
          <w:szCs w:val="24"/>
        </w:rPr>
        <w:t xml:space="preserve">Η αγγειακή προσπέλαση δίνει την αίσθηση του «ακρωτηριασμού» και επηρεάζει τις αντιλήψεις τους για την εικόνα του σώματός </w:t>
      </w:r>
      <w:r w:rsidR="00B77FE1">
        <w:rPr>
          <w:rFonts w:cs="BookAntiqua"/>
          <w:sz w:val="24"/>
          <w:szCs w:val="24"/>
        </w:rPr>
        <w:t>τους,</w:t>
      </w:r>
      <w:r w:rsidR="008E721D" w:rsidRPr="005A464E">
        <w:rPr>
          <w:rFonts w:cs="BookAntiqua"/>
          <w:sz w:val="24"/>
          <w:szCs w:val="24"/>
        </w:rPr>
        <w:t xml:space="preserve"> κάτι το οποίο αποτρέπει τους νέους ασθενείς από τη σύναψη αληθινών σχέσεων ή την έναρξη σεξουαλικής δραστηριότητας.</w:t>
      </w:r>
    </w:p>
    <w:p w:rsidR="008E721D" w:rsidRPr="005A464E" w:rsidRDefault="008E721D" w:rsidP="005A464E">
      <w:pPr>
        <w:spacing w:line="360" w:lineRule="auto"/>
        <w:jc w:val="both"/>
        <w:rPr>
          <w:rFonts w:cs="BookAntiqua"/>
          <w:sz w:val="24"/>
          <w:szCs w:val="24"/>
        </w:rPr>
      </w:pPr>
      <w:r w:rsidRPr="005A464E">
        <w:rPr>
          <w:rFonts w:cs="BookAntiqua"/>
          <w:sz w:val="24"/>
          <w:szCs w:val="24"/>
        </w:rPr>
        <w:t>Οι περιο</w:t>
      </w:r>
      <w:r w:rsidR="00287004">
        <w:rPr>
          <w:rFonts w:cs="BookAntiqua"/>
          <w:sz w:val="24"/>
          <w:szCs w:val="24"/>
        </w:rPr>
        <w:t>ρισμοί στην δίαιτα και στα υγρά</w:t>
      </w:r>
      <w:r w:rsidRPr="005A464E">
        <w:rPr>
          <w:rFonts w:cs="BookAntiqua"/>
          <w:sz w:val="24"/>
          <w:szCs w:val="24"/>
        </w:rPr>
        <w:t xml:space="preserve"> είναι δύσκολο να συμφιλιωθούν με τον τρόπο της ζωής. Έτ</w:t>
      </w:r>
      <w:r w:rsidR="006E557B">
        <w:rPr>
          <w:rFonts w:cs="BookAntiqua"/>
          <w:sz w:val="24"/>
          <w:szCs w:val="24"/>
        </w:rPr>
        <w:t>σ</w:t>
      </w:r>
      <w:r w:rsidRPr="005A464E">
        <w:rPr>
          <w:rFonts w:cs="BookAntiqua"/>
          <w:sz w:val="24"/>
          <w:szCs w:val="24"/>
        </w:rPr>
        <w:t>ι οι νέοι ασθενείς προτιμούν να αποσυρθούν και να απομονωθούν από τους συνομηλίκους παρά να στιγματισθούν με την ετικέτα του «διαφορετικού».</w:t>
      </w:r>
    </w:p>
    <w:p w:rsidR="008E721D" w:rsidRPr="00995094" w:rsidRDefault="008E721D" w:rsidP="005A464E">
      <w:pPr>
        <w:spacing w:line="360" w:lineRule="auto"/>
        <w:jc w:val="both"/>
        <w:rPr>
          <w:rFonts w:cs="BookAntiqua"/>
          <w:sz w:val="24"/>
          <w:szCs w:val="24"/>
        </w:rPr>
      </w:pPr>
      <w:r w:rsidRPr="005A464E">
        <w:rPr>
          <w:rFonts w:cs="BookAntiqua"/>
          <w:sz w:val="24"/>
          <w:szCs w:val="24"/>
        </w:rPr>
        <w:t>Η συμμετοχή των γονέων αυξάνει σε μια εποχή που θα έπρεπε να συμβεί ο υγιής διαχωρισμός</w:t>
      </w:r>
      <w:r w:rsidR="006900FA" w:rsidRPr="005A464E">
        <w:rPr>
          <w:rFonts w:cs="BookAntiqua"/>
          <w:sz w:val="24"/>
          <w:szCs w:val="24"/>
        </w:rPr>
        <w:t xml:space="preserve"> </w:t>
      </w:r>
      <w:r w:rsidRPr="005A464E">
        <w:rPr>
          <w:rFonts w:cs="BookAntiqua"/>
          <w:sz w:val="24"/>
          <w:szCs w:val="24"/>
        </w:rPr>
        <w:t>του παιδιού από τον γονιό. Αυτό μπορεί να οδηγήσει σε</w:t>
      </w:r>
      <w:r w:rsidR="0078495A">
        <w:rPr>
          <w:rFonts w:cs="BookAntiqua"/>
          <w:sz w:val="24"/>
          <w:szCs w:val="24"/>
        </w:rPr>
        <w:t xml:space="preserve"> </w:t>
      </w:r>
      <w:r w:rsidR="006E557B">
        <w:rPr>
          <w:rFonts w:cs="BookAntiqua"/>
          <w:sz w:val="24"/>
          <w:szCs w:val="24"/>
        </w:rPr>
        <w:t>δυσαρέσκεια</w:t>
      </w:r>
      <w:r w:rsidRPr="005A464E">
        <w:rPr>
          <w:rFonts w:cs="BookAntiqua"/>
          <w:sz w:val="24"/>
          <w:szCs w:val="24"/>
        </w:rPr>
        <w:t xml:space="preserve"> </w:t>
      </w:r>
      <w:r w:rsidRPr="00995094">
        <w:rPr>
          <w:rFonts w:cs="BookAntiqua"/>
          <w:sz w:val="24"/>
          <w:szCs w:val="24"/>
        </w:rPr>
        <w:t>καθώς και διαταραχή των ισορροπιών στην οικογένεια.</w:t>
      </w:r>
    </w:p>
    <w:p w:rsidR="008E721D" w:rsidRPr="005A464E" w:rsidRDefault="008E721D" w:rsidP="005A464E">
      <w:pPr>
        <w:spacing w:line="360" w:lineRule="auto"/>
        <w:jc w:val="both"/>
        <w:rPr>
          <w:rFonts w:cs="BookAntiqua"/>
          <w:sz w:val="24"/>
          <w:szCs w:val="24"/>
        </w:rPr>
      </w:pPr>
      <w:r w:rsidRPr="00995094">
        <w:rPr>
          <w:rFonts w:cs="BookAntiqua"/>
          <w:sz w:val="24"/>
          <w:szCs w:val="24"/>
        </w:rPr>
        <w:t>Οι</w:t>
      </w:r>
      <w:r w:rsidR="0078495A" w:rsidRPr="00995094">
        <w:rPr>
          <w:rFonts w:cs="BookAntiqua"/>
          <w:sz w:val="24"/>
          <w:szCs w:val="24"/>
        </w:rPr>
        <w:t xml:space="preserve"> </w:t>
      </w:r>
      <w:r w:rsidRPr="00995094">
        <w:rPr>
          <w:rFonts w:cs="BookAntiqua"/>
          <w:sz w:val="24"/>
          <w:szCs w:val="24"/>
        </w:rPr>
        <w:t>μεγαλύτεροι σε ηλικί</w:t>
      </w:r>
      <w:r w:rsidR="004E6070" w:rsidRPr="00995094">
        <w:rPr>
          <w:rFonts w:cs="BookAntiqua"/>
          <w:sz w:val="24"/>
          <w:szCs w:val="24"/>
        </w:rPr>
        <w:t>α ασθενείς βιώνουν δυσκολία στη</w:t>
      </w:r>
      <w:r w:rsidRPr="00995094">
        <w:rPr>
          <w:rFonts w:cs="BookAntiqua"/>
          <w:sz w:val="24"/>
          <w:szCs w:val="24"/>
        </w:rPr>
        <w:t xml:space="preserve"> διατήρηση του ρόλου τους στην οικογένεια, στην εξασφάλιση ή/και την διατήρηση της εργασιακής θέσης, την υλοπο</w:t>
      </w:r>
      <w:r w:rsidR="00136DE6" w:rsidRPr="00995094">
        <w:rPr>
          <w:rFonts w:cs="BookAntiqua"/>
          <w:sz w:val="24"/>
          <w:szCs w:val="24"/>
        </w:rPr>
        <w:t>ίηση των οικονομικών δεσμεύσεων και</w:t>
      </w:r>
      <w:r w:rsidRPr="00995094">
        <w:rPr>
          <w:rFonts w:cs="BookAntiqua"/>
          <w:sz w:val="24"/>
          <w:szCs w:val="24"/>
        </w:rPr>
        <w:t xml:space="preserve"> την πλήρη συμμετοχή </w:t>
      </w:r>
      <w:r w:rsidR="0073052E" w:rsidRPr="00995094">
        <w:rPr>
          <w:rFonts w:cs="BookAntiqua"/>
          <w:sz w:val="24"/>
          <w:szCs w:val="24"/>
        </w:rPr>
        <w:t>σε οικογενειακές δραστηριότητες.</w:t>
      </w:r>
      <w:r w:rsidR="00136DE6" w:rsidRPr="00995094">
        <w:rPr>
          <w:rFonts w:cs="BookAntiqua"/>
          <w:sz w:val="24"/>
          <w:szCs w:val="24"/>
        </w:rPr>
        <w:t xml:space="preserve"> Διάφορα κ</w:t>
      </w:r>
      <w:r w:rsidRPr="00995094">
        <w:rPr>
          <w:rFonts w:cs="BookAntiqua"/>
          <w:sz w:val="24"/>
          <w:szCs w:val="24"/>
        </w:rPr>
        <w:t xml:space="preserve">οινωνικά γεγονότα, διακοπές, </w:t>
      </w:r>
      <w:r w:rsidR="00136DE6" w:rsidRPr="00995094">
        <w:rPr>
          <w:rFonts w:cs="BookAntiqua"/>
          <w:sz w:val="24"/>
          <w:szCs w:val="24"/>
        </w:rPr>
        <w:t xml:space="preserve">η σεξουαλικής τους ζωή καθώς και </w:t>
      </w:r>
      <w:r w:rsidRPr="00995094">
        <w:rPr>
          <w:rFonts w:cs="BookAntiqua"/>
          <w:sz w:val="24"/>
          <w:szCs w:val="24"/>
        </w:rPr>
        <w:t>η διαχείριση</w:t>
      </w:r>
      <w:r w:rsidR="006900FA" w:rsidRPr="00995094">
        <w:rPr>
          <w:rFonts w:cs="BookAntiqua"/>
          <w:sz w:val="24"/>
          <w:szCs w:val="24"/>
        </w:rPr>
        <w:t xml:space="preserve"> των ισορροπιών στην οικογένεια</w:t>
      </w:r>
      <w:r w:rsidRPr="00995094">
        <w:rPr>
          <w:rFonts w:cs="BookAntiqua"/>
          <w:sz w:val="24"/>
          <w:szCs w:val="24"/>
        </w:rPr>
        <w:t xml:space="preserve"> </w:t>
      </w:r>
      <w:r w:rsidR="00136DE6" w:rsidRPr="00995094">
        <w:rPr>
          <w:rFonts w:cs="BookAntiqua"/>
          <w:sz w:val="24"/>
          <w:szCs w:val="24"/>
        </w:rPr>
        <w:t xml:space="preserve">τίθενται στο περιθώριο </w:t>
      </w:r>
      <w:r w:rsidRPr="00995094">
        <w:rPr>
          <w:rFonts w:cs="BookAntiqua"/>
          <w:sz w:val="24"/>
          <w:szCs w:val="24"/>
        </w:rPr>
        <w:t>αφού επενδύουν όλη τους την ενέργεια προσ</w:t>
      </w:r>
      <w:r w:rsidR="006E557B" w:rsidRPr="00995094">
        <w:rPr>
          <w:rFonts w:cs="BookAntiqua"/>
          <w:sz w:val="24"/>
          <w:szCs w:val="24"/>
        </w:rPr>
        <w:t>παθώντας να προσαρμόσουν την αιμοκάθαρση στην καθημερινότητα</w:t>
      </w:r>
      <w:r w:rsidRPr="00995094">
        <w:rPr>
          <w:rFonts w:cs="BookAntiqua"/>
          <w:sz w:val="24"/>
          <w:szCs w:val="24"/>
        </w:rPr>
        <w:t>.</w:t>
      </w:r>
    </w:p>
    <w:p w:rsidR="005859C8" w:rsidRPr="00654011" w:rsidRDefault="008E721D" w:rsidP="00654011">
      <w:pPr>
        <w:pStyle w:val="a5"/>
        <w:numPr>
          <w:ilvl w:val="0"/>
          <w:numId w:val="121"/>
        </w:numPr>
        <w:spacing w:line="360" w:lineRule="auto"/>
        <w:jc w:val="both"/>
        <w:rPr>
          <w:rFonts w:cs="BookAntiqua"/>
          <w:i/>
          <w:sz w:val="24"/>
          <w:szCs w:val="24"/>
        </w:rPr>
      </w:pPr>
      <w:r w:rsidRPr="00654011">
        <w:rPr>
          <w:rFonts w:cs="BookAntiqua"/>
          <w:i/>
          <w:sz w:val="24"/>
          <w:szCs w:val="24"/>
        </w:rPr>
        <w:t>Φύλο</w:t>
      </w:r>
    </w:p>
    <w:p w:rsidR="005859C8" w:rsidRPr="005A464E" w:rsidRDefault="005859C8" w:rsidP="005A464E">
      <w:pPr>
        <w:spacing w:line="360" w:lineRule="auto"/>
        <w:jc w:val="both"/>
        <w:rPr>
          <w:rFonts w:cs="BookAntiqua"/>
          <w:sz w:val="24"/>
          <w:szCs w:val="24"/>
        </w:rPr>
      </w:pPr>
      <w:r w:rsidRPr="005A464E">
        <w:rPr>
          <w:rFonts w:cs="BookAntiqua"/>
          <w:sz w:val="24"/>
          <w:szCs w:val="24"/>
        </w:rPr>
        <w:t xml:space="preserve">Η ανασκόπηση της βιβλιογραφίας σχετικά με την επίδραση του φύλου στην ΠΖ των σθενών υπό </w:t>
      </w:r>
      <w:r w:rsidR="006E557B" w:rsidRPr="006E557B">
        <w:rPr>
          <w:rFonts w:cs="BookAntiqua"/>
          <w:sz w:val="24"/>
          <w:szCs w:val="24"/>
        </w:rPr>
        <w:t>αιμοκάθαρση</w:t>
      </w:r>
      <w:r w:rsidR="006E557B" w:rsidRPr="005A464E">
        <w:rPr>
          <w:rFonts w:cs="BookAntiqua"/>
          <w:sz w:val="24"/>
          <w:szCs w:val="24"/>
        </w:rPr>
        <w:t xml:space="preserve"> </w:t>
      </w:r>
      <w:r w:rsidRPr="005A464E">
        <w:rPr>
          <w:rFonts w:cs="BookAntiqua"/>
          <w:sz w:val="24"/>
          <w:szCs w:val="24"/>
        </w:rPr>
        <w:t>έδειξε αντιφατικά αποτελέσματα.</w:t>
      </w:r>
    </w:p>
    <w:p w:rsidR="008E721D" w:rsidRPr="005A464E" w:rsidRDefault="008E721D" w:rsidP="005A464E">
      <w:pPr>
        <w:spacing w:line="360" w:lineRule="auto"/>
        <w:jc w:val="both"/>
        <w:rPr>
          <w:rFonts w:cs="BookAntiqua"/>
          <w:sz w:val="24"/>
          <w:szCs w:val="24"/>
        </w:rPr>
      </w:pPr>
      <w:r w:rsidRPr="005A464E">
        <w:rPr>
          <w:rFonts w:cs="BookAntiqua"/>
          <w:sz w:val="24"/>
          <w:szCs w:val="24"/>
        </w:rPr>
        <w:t>Σε μελέτες μεταξύ υγιών ατόμων σε χώρες όπως ο Καναδάς,</w:t>
      </w:r>
      <w:r w:rsidR="00136DE6">
        <w:rPr>
          <w:rFonts w:cs="BookAntiqua"/>
          <w:sz w:val="24"/>
          <w:szCs w:val="24"/>
        </w:rPr>
        <w:t xml:space="preserve"> οι ΗΠΑ</w:t>
      </w:r>
      <w:r w:rsidRPr="005A464E">
        <w:rPr>
          <w:rFonts w:cs="BookAntiqua"/>
          <w:sz w:val="24"/>
          <w:szCs w:val="24"/>
        </w:rPr>
        <w:t xml:space="preserve"> και η Αγγλία, όπου</w:t>
      </w:r>
      <w:r w:rsidR="0078495A">
        <w:rPr>
          <w:rFonts w:cs="BookAntiqua"/>
          <w:sz w:val="24"/>
          <w:szCs w:val="24"/>
        </w:rPr>
        <w:t xml:space="preserve"> </w:t>
      </w:r>
      <w:r w:rsidRPr="005A464E">
        <w:rPr>
          <w:rFonts w:cs="BookAntiqua"/>
          <w:sz w:val="24"/>
          <w:szCs w:val="24"/>
        </w:rPr>
        <w:t xml:space="preserve">έχει χρησιμοποιηθεί το </w:t>
      </w:r>
      <w:r w:rsidRPr="005A464E">
        <w:rPr>
          <w:rFonts w:cs="BookAntiqua"/>
          <w:sz w:val="24"/>
          <w:szCs w:val="24"/>
          <w:lang w:val="en-US"/>
        </w:rPr>
        <w:t>SF</w:t>
      </w:r>
      <w:r w:rsidRPr="005A464E">
        <w:rPr>
          <w:rFonts w:cs="BookAntiqua"/>
          <w:sz w:val="24"/>
          <w:szCs w:val="24"/>
        </w:rPr>
        <w:t>-36</w:t>
      </w:r>
      <w:r w:rsidR="0078495A">
        <w:rPr>
          <w:rFonts w:cs="BookAntiqua"/>
          <w:sz w:val="24"/>
          <w:szCs w:val="24"/>
        </w:rPr>
        <w:t xml:space="preserve"> </w:t>
      </w:r>
      <w:r w:rsidRPr="005A464E">
        <w:rPr>
          <w:rFonts w:cs="BookAntiqua"/>
          <w:sz w:val="24"/>
          <w:szCs w:val="24"/>
        </w:rPr>
        <w:t>για να εκτιμηθεί η ΠΖ</w:t>
      </w:r>
      <w:r w:rsidR="0078495A">
        <w:rPr>
          <w:rFonts w:cs="BookAntiqua"/>
          <w:sz w:val="24"/>
          <w:szCs w:val="24"/>
        </w:rPr>
        <w:t xml:space="preserve"> </w:t>
      </w:r>
      <w:r w:rsidRPr="005A464E">
        <w:rPr>
          <w:rFonts w:cs="BookAntiqua"/>
          <w:sz w:val="24"/>
          <w:szCs w:val="24"/>
        </w:rPr>
        <w:t>στο</w:t>
      </w:r>
      <w:r w:rsidR="006E557B">
        <w:rPr>
          <w:rFonts w:cs="BookAntiqua"/>
          <w:sz w:val="24"/>
          <w:szCs w:val="24"/>
        </w:rPr>
        <w:t>ν</w:t>
      </w:r>
      <w:r w:rsidRPr="005A464E">
        <w:rPr>
          <w:rFonts w:cs="BookAntiqua"/>
          <w:sz w:val="24"/>
          <w:szCs w:val="24"/>
        </w:rPr>
        <w:t xml:space="preserve"> γενικό πληθυσμό</w:t>
      </w:r>
      <w:r w:rsidR="00287004">
        <w:rPr>
          <w:rFonts w:cs="BookAntiqua"/>
          <w:sz w:val="24"/>
          <w:szCs w:val="24"/>
        </w:rPr>
        <w:t>, έχει βρεθεί ότι οι άνδρες είχα</w:t>
      </w:r>
      <w:r w:rsidRPr="005A464E">
        <w:rPr>
          <w:rFonts w:cs="BookAntiqua"/>
          <w:sz w:val="24"/>
          <w:szCs w:val="24"/>
        </w:rPr>
        <w:t>ν καλύτερη ποιότητα ζωής από τις γυναίκες</w:t>
      </w:r>
      <w:r w:rsidR="001B6820" w:rsidRPr="005A464E">
        <w:rPr>
          <w:rFonts w:cs="BookAntiqua"/>
          <w:sz w:val="24"/>
          <w:szCs w:val="24"/>
        </w:rPr>
        <w:t xml:space="preserve"> (</w:t>
      </w:r>
      <w:r w:rsidR="00AC5B2C">
        <w:rPr>
          <w:rFonts w:cs="BookAntiqua"/>
          <w:sz w:val="24"/>
          <w:szCs w:val="24"/>
        </w:rPr>
        <w:t>Jenkinson</w:t>
      </w:r>
      <w:r w:rsidR="00AC5B2C" w:rsidRPr="00AC5B2C">
        <w:rPr>
          <w:rFonts w:cs="BookAntiqua"/>
          <w:sz w:val="24"/>
          <w:szCs w:val="24"/>
        </w:rPr>
        <w:t>,</w:t>
      </w:r>
      <w:r w:rsidR="006900FA" w:rsidRPr="005A464E">
        <w:rPr>
          <w:rFonts w:cs="BookAntiqua"/>
          <w:sz w:val="24"/>
          <w:szCs w:val="24"/>
        </w:rPr>
        <w:t xml:space="preserve"> </w:t>
      </w:r>
      <w:r w:rsidR="00AC5B2C" w:rsidRPr="00AC5B2C">
        <w:rPr>
          <w:rFonts w:asciiTheme="minorHAnsi" w:hAnsiTheme="minorHAnsi" w:cstheme="minorHAnsi"/>
          <w:sz w:val="24"/>
          <w:szCs w:val="24"/>
          <w:lang w:val="en-US"/>
        </w:rPr>
        <w:t>Stewart</w:t>
      </w:r>
      <w:r w:rsidR="00AC5B2C" w:rsidRPr="00AC5B2C">
        <w:rPr>
          <w:rFonts w:asciiTheme="minorHAnsi" w:hAnsiTheme="minorHAnsi" w:cstheme="minorHAnsi"/>
          <w:sz w:val="24"/>
          <w:szCs w:val="24"/>
        </w:rPr>
        <w:t>-</w:t>
      </w:r>
      <w:r w:rsidR="00AC5B2C" w:rsidRPr="00AC5B2C">
        <w:rPr>
          <w:rFonts w:asciiTheme="minorHAnsi" w:hAnsiTheme="minorHAnsi" w:cstheme="minorHAnsi"/>
          <w:sz w:val="24"/>
          <w:szCs w:val="24"/>
          <w:lang w:val="en-US"/>
        </w:rPr>
        <w:t>Brown</w:t>
      </w:r>
      <w:r w:rsidR="00AC5B2C">
        <w:rPr>
          <w:rFonts w:asciiTheme="minorHAnsi" w:hAnsiTheme="minorHAnsi" w:cstheme="minorHAnsi"/>
          <w:sz w:val="24"/>
          <w:szCs w:val="24"/>
        </w:rPr>
        <w:t>,</w:t>
      </w:r>
      <w:r w:rsidR="00AC5B2C" w:rsidRPr="00AC5B2C">
        <w:rPr>
          <w:rFonts w:asciiTheme="minorHAnsi" w:hAnsiTheme="minorHAnsi" w:cstheme="minorHAnsi"/>
          <w:sz w:val="24"/>
          <w:szCs w:val="24"/>
        </w:rPr>
        <w:t xml:space="preserve"> </w:t>
      </w:r>
      <w:r w:rsidR="00AC5B2C" w:rsidRPr="00AC5B2C">
        <w:rPr>
          <w:rFonts w:asciiTheme="minorHAnsi" w:hAnsiTheme="minorHAnsi" w:cstheme="minorHAnsi"/>
          <w:sz w:val="24"/>
          <w:szCs w:val="24"/>
          <w:lang w:val="en-US"/>
        </w:rPr>
        <w:t>Petersen</w:t>
      </w:r>
      <w:r w:rsidR="00AC5B2C">
        <w:rPr>
          <w:rFonts w:asciiTheme="minorHAnsi" w:hAnsiTheme="minorHAnsi" w:cstheme="minorHAnsi"/>
          <w:sz w:val="24"/>
          <w:szCs w:val="24"/>
        </w:rPr>
        <w:t>,</w:t>
      </w:r>
      <w:r w:rsidR="00AC5B2C" w:rsidRPr="00AC5B2C">
        <w:rPr>
          <w:rFonts w:asciiTheme="minorHAnsi" w:hAnsiTheme="minorHAnsi" w:cstheme="minorHAnsi"/>
          <w:sz w:val="24"/>
          <w:szCs w:val="24"/>
        </w:rPr>
        <w:t xml:space="preserve"> &amp; </w:t>
      </w:r>
      <w:r w:rsidR="00AC5B2C" w:rsidRPr="00AC5B2C">
        <w:rPr>
          <w:rFonts w:asciiTheme="minorHAnsi" w:hAnsiTheme="minorHAnsi" w:cstheme="minorHAnsi"/>
          <w:sz w:val="24"/>
          <w:szCs w:val="24"/>
          <w:lang w:val="en-US"/>
        </w:rPr>
        <w:t>Paice</w:t>
      </w:r>
      <w:r w:rsidR="00AC5B2C" w:rsidRPr="00AC5B2C">
        <w:rPr>
          <w:rFonts w:asciiTheme="minorHAnsi" w:hAnsiTheme="minorHAnsi" w:cstheme="minorHAnsi"/>
          <w:sz w:val="24"/>
          <w:szCs w:val="24"/>
        </w:rPr>
        <w:t>,</w:t>
      </w:r>
      <w:r w:rsidR="00AC5B2C" w:rsidRPr="00AC5B2C">
        <w:rPr>
          <w:rFonts w:cs="BookAntiqua"/>
          <w:sz w:val="24"/>
          <w:szCs w:val="24"/>
        </w:rPr>
        <w:t xml:space="preserve"> </w:t>
      </w:r>
      <w:r w:rsidR="002B6CAB" w:rsidRPr="00AC5B2C">
        <w:rPr>
          <w:rFonts w:cs="BookAntiqua"/>
          <w:sz w:val="24"/>
          <w:szCs w:val="24"/>
        </w:rPr>
        <w:t>1999</w:t>
      </w:r>
      <w:r w:rsidR="002B6CAB" w:rsidRPr="005A464E">
        <w:rPr>
          <w:rFonts w:cs="BookAntiqua"/>
          <w:sz w:val="24"/>
          <w:szCs w:val="24"/>
        </w:rPr>
        <w:t xml:space="preserve">; Hopman </w:t>
      </w:r>
      <w:r w:rsidR="00566CAA">
        <w:rPr>
          <w:rFonts w:cs="BookAntiqua"/>
          <w:sz w:val="24"/>
          <w:szCs w:val="24"/>
        </w:rPr>
        <w:t>et al</w:t>
      </w:r>
      <w:r w:rsidR="003B4333">
        <w:rPr>
          <w:rFonts w:cs="BookAntiqua"/>
          <w:sz w:val="24"/>
          <w:szCs w:val="24"/>
        </w:rPr>
        <w:t>.</w:t>
      </w:r>
      <w:r w:rsidR="00287004">
        <w:rPr>
          <w:rFonts w:cs="BookAntiqua"/>
          <w:sz w:val="24"/>
          <w:szCs w:val="24"/>
        </w:rPr>
        <w:t>,</w:t>
      </w:r>
      <w:r w:rsidRPr="005A464E">
        <w:rPr>
          <w:rFonts w:cs="BookAntiqua"/>
          <w:sz w:val="24"/>
          <w:szCs w:val="24"/>
        </w:rPr>
        <w:t xml:space="preserve"> 2000). Αυτή η διαφορά μεταξύ των φύλων δεν βρίσκεται μεταξύ των ασθενών υπό </w:t>
      </w:r>
      <w:r w:rsidR="006E557B">
        <w:rPr>
          <w:rFonts w:cs="BookAntiqua"/>
          <w:sz w:val="24"/>
          <w:szCs w:val="24"/>
        </w:rPr>
        <w:t xml:space="preserve">αιμοκάθαρση </w:t>
      </w:r>
      <w:r w:rsidR="00AC5B2C">
        <w:rPr>
          <w:rFonts w:cs="BookAntiqua"/>
          <w:sz w:val="24"/>
          <w:szCs w:val="24"/>
        </w:rPr>
        <w:t>(</w:t>
      </w:r>
      <w:r w:rsidR="00AC5B2C" w:rsidRPr="000B4781">
        <w:rPr>
          <w:rFonts w:cs="BookAntiqua"/>
          <w:sz w:val="24"/>
          <w:szCs w:val="24"/>
          <w:lang w:val="en-US"/>
        </w:rPr>
        <w:t>Kalantar</w:t>
      </w:r>
      <w:r w:rsidR="00AC5B2C" w:rsidRPr="00136DE6">
        <w:rPr>
          <w:rFonts w:cs="BookAntiqua"/>
          <w:sz w:val="24"/>
          <w:szCs w:val="24"/>
        </w:rPr>
        <w:t>-</w:t>
      </w:r>
      <w:r w:rsidR="00AC5B2C" w:rsidRPr="000B4781">
        <w:rPr>
          <w:rFonts w:cs="BookAntiqua"/>
          <w:sz w:val="24"/>
          <w:szCs w:val="24"/>
          <w:lang w:val="en-US"/>
        </w:rPr>
        <w:t>Zadeh</w:t>
      </w:r>
      <w:r w:rsidR="00AC5B2C" w:rsidRPr="00136DE6">
        <w:rPr>
          <w:rFonts w:cs="BookAntiqua"/>
          <w:sz w:val="24"/>
          <w:szCs w:val="24"/>
        </w:rPr>
        <w:t>,</w:t>
      </w:r>
      <w:r w:rsidRPr="00136DE6">
        <w:rPr>
          <w:rFonts w:cs="BookAntiqua"/>
          <w:sz w:val="24"/>
          <w:szCs w:val="24"/>
        </w:rPr>
        <w:t xml:space="preserve"> </w:t>
      </w:r>
      <w:r w:rsidR="00AC5B2C" w:rsidRPr="00AC5B2C">
        <w:rPr>
          <w:rFonts w:asciiTheme="minorHAnsi" w:hAnsiTheme="minorHAnsi" w:cstheme="minorHAnsi"/>
          <w:sz w:val="24"/>
          <w:szCs w:val="24"/>
          <w:lang w:val="en-US"/>
        </w:rPr>
        <w:t>Kopple</w:t>
      </w:r>
      <w:r w:rsidR="00AC5B2C" w:rsidRPr="00136DE6">
        <w:rPr>
          <w:rFonts w:asciiTheme="minorHAnsi" w:hAnsiTheme="minorHAnsi" w:cstheme="minorHAnsi"/>
          <w:sz w:val="24"/>
          <w:szCs w:val="24"/>
        </w:rPr>
        <w:t xml:space="preserve">, </w:t>
      </w:r>
      <w:r w:rsidR="00AC5B2C" w:rsidRPr="00AC5B2C">
        <w:rPr>
          <w:rFonts w:asciiTheme="minorHAnsi" w:hAnsiTheme="minorHAnsi" w:cstheme="minorHAnsi"/>
          <w:sz w:val="24"/>
          <w:szCs w:val="24"/>
          <w:lang w:val="en-US"/>
        </w:rPr>
        <w:t>Block</w:t>
      </w:r>
      <w:r w:rsidR="00AC5B2C" w:rsidRPr="00136DE6">
        <w:rPr>
          <w:rFonts w:asciiTheme="minorHAnsi" w:hAnsiTheme="minorHAnsi" w:cstheme="minorHAnsi"/>
          <w:sz w:val="24"/>
          <w:szCs w:val="24"/>
        </w:rPr>
        <w:t xml:space="preserve">, &amp; </w:t>
      </w:r>
      <w:r w:rsidR="00AC5B2C" w:rsidRPr="00AC5B2C">
        <w:rPr>
          <w:rFonts w:asciiTheme="minorHAnsi" w:hAnsiTheme="minorHAnsi" w:cstheme="minorHAnsi"/>
          <w:sz w:val="24"/>
          <w:szCs w:val="24"/>
          <w:lang w:val="en-US"/>
        </w:rPr>
        <w:t>Humphreys</w:t>
      </w:r>
      <w:r w:rsidR="00AC5B2C" w:rsidRPr="00136DE6">
        <w:rPr>
          <w:rFonts w:asciiTheme="minorHAnsi" w:hAnsiTheme="minorHAnsi" w:cstheme="minorHAnsi"/>
          <w:sz w:val="24"/>
          <w:szCs w:val="24"/>
        </w:rPr>
        <w:t>,</w:t>
      </w:r>
      <w:r w:rsidR="00AC5B2C" w:rsidRPr="00136DE6">
        <w:rPr>
          <w:rFonts w:cs="BookAntiqua"/>
          <w:sz w:val="24"/>
          <w:szCs w:val="24"/>
        </w:rPr>
        <w:t xml:space="preserve"> </w:t>
      </w:r>
      <w:r w:rsidRPr="00136DE6">
        <w:rPr>
          <w:rFonts w:cs="BookAntiqua"/>
          <w:sz w:val="24"/>
          <w:szCs w:val="24"/>
        </w:rPr>
        <w:t>2001).</w:t>
      </w:r>
      <w:r w:rsidR="006900FA" w:rsidRPr="00136DE6">
        <w:rPr>
          <w:rFonts w:cs="BookAntiqua"/>
          <w:sz w:val="24"/>
          <w:szCs w:val="24"/>
        </w:rPr>
        <w:t xml:space="preserve"> </w:t>
      </w:r>
      <w:r w:rsidRPr="00AC5B2C">
        <w:rPr>
          <w:rFonts w:cs="BookAntiqua"/>
          <w:sz w:val="24"/>
          <w:szCs w:val="24"/>
        </w:rPr>
        <w:t>Φαίνεται</w:t>
      </w:r>
      <w:r w:rsidRPr="005A464E">
        <w:rPr>
          <w:rFonts w:cs="BookAntiqua"/>
          <w:sz w:val="24"/>
          <w:szCs w:val="24"/>
        </w:rPr>
        <w:t xml:space="preserve"> ότι οι </w:t>
      </w:r>
      <w:r w:rsidR="006900FA" w:rsidRPr="005A464E">
        <w:rPr>
          <w:rFonts w:cs="BookAntiqua"/>
          <w:sz w:val="24"/>
          <w:szCs w:val="24"/>
        </w:rPr>
        <w:t>στρεσσογόνοι</w:t>
      </w:r>
      <w:r w:rsidRPr="005A464E">
        <w:rPr>
          <w:rFonts w:cs="BookAntiqua"/>
          <w:sz w:val="24"/>
          <w:szCs w:val="24"/>
        </w:rPr>
        <w:t xml:space="preserve"> παράγοντες που σχετίζονται με την</w:t>
      </w:r>
      <w:r w:rsidR="006900FA" w:rsidRPr="005A464E">
        <w:rPr>
          <w:rFonts w:cs="BookAntiqua"/>
          <w:sz w:val="24"/>
          <w:szCs w:val="24"/>
        </w:rPr>
        <w:t xml:space="preserve"> </w:t>
      </w:r>
      <w:r w:rsidR="006E557B">
        <w:rPr>
          <w:rFonts w:cs="BookAntiqua"/>
          <w:sz w:val="24"/>
          <w:szCs w:val="24"/>
        </w:rPr>
        <w:t>αιμοκάθαρση, οι οποίοι</w:t>
      </w:r>
      <w:r w:rsidR="0015140F">
        <w:rPr>
          <w:rFonts w:cs="BookAntiqua"/>
          <w:sz w:val="24"/>
          <w:szCs w:val="24"/>
        </w:rPr>
        <w:t xml:space="preserve"> </w:t>
      </w:r>
      <w:r w:rsidR="0015140F" w:rsidRPr="00995094">
        <w:rPr>
          <w:rFonts w:cs="BookAntiqua"/>
          <w:sz w:val="24"/>
          <w:szCs w:val="24"/>
        </w:rPr>
        <w:t>είναι κοινοί</w:t>
      </w:r>
      <w:r w:rsidRPr="00995094">
        <w:rPr>
          <w:rFonts w:cs="BookAntiqua"/>
          <w:sz w:val="24"/>
          <w:szCs w:val="24"/>
        </w:rPr>
        <w:t xml:space="preserve"> και για</w:t>
      </w:r>
      <w:r w:rsidRPr="005A464E">
        <w:rPr>
          <w:rFonts w:cs="BookAntiqua"/>
          <w:sz w:val="24"/>
          <w:szCs w:val="24"/>
        </w:rPr>
        <w:t xml:space="preserve"> τα </w:t>
      </w:r>
      <w:r w:rsidR="00BA566F">
        <w:rPr>
          <w:rFonts w:cs="BookAntiqua"/>
          <w:sz w:val="24"/>
          <w:szCs w:val="24"/>
        </w:rPr>
        <w:t xml:space="preserve">δύο </w:t>
      </w:r>
      <w:r w:rsidRPr="005A464E">
        <w:rPr>
          <w:rFonts w:cs="BookAntiqua"/>
          <w:sz w:val="24"/>
          <w:szCs w:val="24"/>
        </w:rPr>
        <w:t xml:space="preserve">φύλα, είναι αρκετά ισχυροί ώστε να ξεπεραστούν οι διαφορές μεταξύ των </w:t>
      </w:r>
      <w:r w:rsidR="00BA566F">
        <w:rPr>
          <w:rFonts w:cs="BookAntiqua"/>
          <w:sz w:val="24"/>
          <w:szCs w:val="24"/>
        </w:rPr>
        <w:t xml:space="preserve">δύο </w:t>
      </w:r>
      <w:r w:rsidRPr="005A464E">
        <w:rPr>
          <w:rFonts w:cs="BookAntiqua"/>
          <w:sz w:val="24"/>
          <w:szCs w:val="24"/>
        </w:rPr>
        <w:t>φύλων.</w:t>
      </w:r>
    </w:p>
    <w:p w:rsidR="005859C8" w:rsidRPr="005A464E" w:rsidRDefault="00AB454B" w:rsidP="005A464E">
      <w:pPr>
        <w:spacing w:line="360" w:lineRule="auto"/>
        <w:jc w:val="both"/>
        <w:rPr>
          <w:rFonts w:cs="BookAntiqua"/>
          <w:sz w:val="24"/>
          <w:szCs w:val="24"/>
        </w:rPr>
      </w:pPr>
      <w:r>
        <w:rPr>
          <w:rFonts w:cs="BookAntiqua"/>
          <w:sz w:val="24"/>
          <w:szCs w:val="24"/>
        </w:rPr>
        <w:t>Η μελέτη των Acaray και</w:t>
      </w:r>
      <w:r w:rsidR="0078495A">
        <w:rPr>
          <w:rFonts w:cs="BookAntiqua"/>
          <w:sz w:val="24"/>
          <w:szCs w:val="24"/>
        </w:rPr>
        <w:t xml:space="preserve"> </w:t>
      </w:r>
      <w:r w:rsidR="005859C8" w:rsidRPr="005A464E">
        <w:rPr>
          <w:rFonts w:cs="BookAntiqua"/>
          <w:sz w:val="24"/>
          <w:szCs w:val="24"/>
        </w:rPr>
        <w:t>Pinar (2005) σχετικά με την ΠΖ</w:t>
      </w:r>
      <w:r w:rsidR="0078495A">
        <w:rPr>
          <w:rFonts w:cs="BookAntiqua"/>
          <w:sz w:val="24"/>
          <w:szCs w:val="24"/>
        </w:rPr>
        <w:t xml:space="preserve"> </w:t>
      </w:r>
      <w:r w:rsidR="005859C8" w:rsidRPr="005A464E">
        <w:rPr>
          <w:rFonts w:cs="BookAntiqua"/>
          <w:sz w:val="24"/>
          <w:szCs w:val="24"/>
        </w:rPr>
        <w:t xml:space="preserve">100 Τούρκων ασθενών </w:t>
      </w:r>
      <w:r w:rsidR="002B6CAB" w:rsidRPr="005A464E">
        <w:rPr>
          <w:rFonts w:cs="BookAntiqua"/>
          <w:sz w:val="24"/>
          <w:szCs w:val="24"/>
        </w:rPr>
        <w:t>υπό αιμοκάθαρση καθώς</w:t>
      </w:r>
      <w:r w:rsidR="006900FA" w:rsidRPr="005A464E">
        <w:rPr>
          <w:rFonts w:cs="BookAntiqua"/>
          <w:sz w:val="24"/>
          <w:szCs w:val="24"/>
        </w:rPr>
        <w:t xml:space="preserve"> </w:t>
      </w:r>
      <w:r w:rsidR="005859C8" w:rsidRPr="005A464E">
        <w:rPr>
          <w:rFonts w:cs="BookAntiqua"/>
          <w:sz w:val="24"/>
          <w:szCs w:val="24"/>
        </w:rPr>
        <w:t>και η μελέτη των Kalantar-Z</w:t>
      </w:r>
      <w:r w:rsidR="002A226D" w:rsidRPr="005A464E">
        <w:rPr>
          <w:rFonts w:cs="BookAntiqua"/>
          <w:sz w:val="24"/>
          <w:szCs w:val="24"/>
        </w:rPr>
        <w:t xml:space="preserve">adeh </w:t>
      </w:r>
      <w:r w:rsidR="00566CAA">
        <w:rPr>
          <w:rFonts w:cs="BookAntiqua"/>
          <w:sz w:val="24"/>
          <w:szCs w:val="24"/>
        </w:rPr>
        <w:t>et al</w:t>
      </w:r>
      <w:r w:rsidR="003B4333">
        <w:rPr>
          <w:rFonts w:cs="BookAntiqua"/>
          <w:sz w:val="24"/>
          <w:szCs w:val="24"/>
        </w:rPr>
        <w:t>.</w:t>
      </w:r>
      <w:r w:rsidR="002A226D" w:rsidRPr="005A464E">
        <w:rPr>
          <w:rFonts w:cs="BookAntiqua"/>
          <w:sz w:val="24"/>
          <w:szCs w:val="24"/>
        </w:rPr>
        <w:t xml:space="preserve"> </w:t>
      </w:r>
      <w:r w:rsidR="005859C8" w:rsidRPr="005A464E">
        <w:rPr>
          <w:rFonts w:cs="BookAntiqua"/>
          <w:sz w:val="24"/>
          <w:szCs w:val="24"/>
        </w:rPr>
        <w:t xml:space="preserve">(2001) </w:t>
      </w:r>
      <w:r w:rsidR="00F94B9C" w:rsidRPr="005A464E">
        <w:rPr>
          <w:rFonts w:cs="BookAntiqua"/>
          <w:sz w:val="24"/>
          <w:szCs w:val="24"/>
        </w:rPr>
        <w:t>σε 65 Αμερικανούς ασθενείς υπό</w:t>
      </w:r>
      <w:r w:rsidR="005859C8" w:rsidRPr="005A464E">
        <w:rPr>
          <w:rFonts w:cs="BookAntiqua"/>
          <w:sz w:val="24"/>
          <w:szCs w:val="24"/>
        </w:rPr>
        <w:t xml:space="preserve"> αιμοκάθαρση </w:t>
      </w:r>
      <w:r w:rsidR="00F94B9C" w:rsidRPr="005A464E">
        <w:rPr>
          <w:rFonts w:cs="BookAntiqua"/>
          <w:sz w:val="24"/>
          <w:szCs w:val="24"/>
        </w:rPr>
        <w:t>με τη χρήση του ερωτηματολογίου</w:t>
      </w:r>
      <w:r w:rsidR="0078495A">
        <w:rPr>
          <w:rFonts w:cs="BookAntiqua"/>
          <w:sz w:val="24"/>
          <w:szCs w:val="24"/>
        </w:rPr>
        <w:t xml:space="preserve"> </w:t>
      </w:r>
      <w:r w:rsidR="00F94B9C" w:rsidRPr="005A464E">
        <w:rPr>
          <w:rFonts w:cs="BookAntiqua"/>
          <w:sz w:val="24"/>
          <w:szCs w:val="24"/>
        </w:rPr>
        <w:t>SF-36</w:t>
      </w:r>
      <w:r w:rsidR="002B6CAB" w:rsidRPr="005A464E">
        <w:rPr>
          <w:rFonts w:cs="BookAntiqua"/>
          <w:sz w:val="24"/>
          <w:szCs w:val="24"/>
        </w:rPr>
        <w:t xml:space="preserve"> έδειξαν</w:t>
      </w:r>
      <w:r w:rsidR="006900FA" w:rsidRPr="005A464E">
        <w:rPr>
          <w:rFonts w:cs="BookAntiqua"/>
          <w:sz w:val="24"/>
          <w:szCs w:val="24"/>
        </w:rPr>
        <w:t xml:space="preserve"> </w:t>
      </w:r>
      <w:r w:rsidR="005859C8" w:rsidRPr="005A464E">
        <w:rPr>
          <w:rFonts w:cs="BookAntiqua"/>
          <w:sz w:val="24"/>
          <w:szCs w:val="24"/>
        </w:rPr>
        <w:t xml:space="preserve">ότι το </w:t>
      </w:r>
      <w:r w:rsidR="005859C8" w:rsidRPr="00995094">
        <w:rPr>
          <w:rFonts w:cs="BookAntiqua"/>
          <w:sz w:val="24"/>
          <w:szCs w:val="24"/>
        </w:rPr>
        <w:t xml:space="preserve">φύλο δεν </w:t>
      </w:r>
      <w:r w:rsidR="0015140F" w:rsidRPr="00995094">
        <w:rPr>
          <w:rFonts w:cs="BookAntiqua"/>
          <w:sz w:val="24"/>
          <w:szCs w:val="24"/>
        </w:rPr>
        <w:t xml:space="preserve">επέδρασε σημαντικά στην </w:t>
      </w:r>
      <w:r w:rsidR="005859C8" w:rsidRPr="00995094">
        <w:rPr>
          <w:rFonts w:cs="BookAntiqua"/>
          <w:sz w:val="24"/>
          <w:szCs w:val="24"/>
        </w:rPr>
        <w:t>ΠΖ</w:t>
      </w:r>
      <w:r w:rsidR="006E557B" w:rsidRPr="00995094">
        <w:rPr>
          <w:rFonts w:cs="BookAntiqua"/>
          <w:sz w:val="24"/>
          <w:szCs w:val="24"/>
        </w:rPr>
        <w:t>. Αντιθέτως</w:t>
      </w:r>
      <w:r w:rsidR="00F94B9C" w:rsidRPr="005A464E">
        <w:rPr>
          <w:rFonts w:cs="BookAntiqua"/>
          <w:sz w:val="24"/>
          <w:szCs w:val="24"/>
        </w:rPr>
        <w:t>, η</w:t>
      </w:r>
      <w:r w:rsidR="00DD162B">
        <w:rPr>
          <w:rFonts w:cs="BookAntiqua"/>
          <w:sz w:val="24"/>
          <w:szCs w:val="24"/>
        </w:rPr>
        <w:t xml:space="preserve"> μελέτη</w:t>
      </w:r>
      <w:r w:rsidR="00F94B9C" w:rsidRPr="005A464E">
        <w:rPr>
          <w:rFonts w:cs="BookAntiqua"/>
          <w:sz w:val="24"/>
          <w:szCs w:val="24"/>
        </w:rPr>
        <w:t xml:space="preserve"> των Mingardi </w:t>
      </w:r>
      <w:r w:rsidR="00566CAA">
        <w:rPr>
          <w:rFonts w:cs="BookAntiqua"/>
          <w:sz w:val="24"/>
          <w:szCs w:val="24"/>
        </w:rPr>
        <w:t>et al</w:t>
      </w:r>
      <w:r w:rsidR="003B4333">
        <w:rPr>
          <w:rFonts w:cs="BookAntiqua"/>
          <w:sz w:val="24"/>
          <w:szCs w:val="24"/>
        </w:rPr>
        <w:t>.</w:t>
      </w:r>
      <w:r w:rsidR="00F94B9C" w:rsidRPr="005A464E">
        <w:rPr>
          <w:rFonts w:cs="BookAntiqua"/>
          <w:sz w:val="24"/>
          <w:szCs w:val="24"/>
        </w:rPr>
        <w:t xml:space="preserve"> (1999) σε</w:t>
      </w:r>
      <w:r w:rsidR="0078495A">
        <w:rPr>
          <w:rFonts w:cs="BookAntiqua"/>
          <w:sz w:val="24"/>
          <w:szCs w:val="24"/>
        </w:rPr>
        <w:t xml:space="preserve"> </w:t>
      </w:r>
      <w:r w:rsidR="00F94B9C" w:rsidRPr="005A464E">
        <w:rPr>
          <w:rFonts w:cs="BookAntiqua"/>
          <w:sz w:val="24"/>
          <w:szCs w:val="24"/>
        </w:rPr>
        <w:t>Ιταλούς</w:t>
      </w:r>
      <w:r w:rsidR="006900FA" w:rsidRPr="005A464E">
        <w:rPr>
          <w:rFonts w:cs="BookAntiqua"/>
          <w:sz w:val="24"/>
          <w:szCs w:val="24"/>
        </w:rPr>
        <w:t xml:space="preserve"> </w:t>
      </w:r>
      <w:r w:rsidR="00F94B9C" w:rsidRPr="005A464E">
        <w:rPr>
          <w:rFonts w:cs="BookAntiqua"/>
          <w:sz w:val="24"/>
          <w:szCs w:val="24"/>
        </w:rPr>
        <w:t>ασθενείς</w:t>
      </w:r>
      <w:r w:rsidR="006900FA" w:rsidRPr="005A464E">
        <w:rPr>
          <w:rFonts w:cs="BookAntiqua"/>
          <w:sz w:val="24"/>
          <w:szCs w:val="24"/>
        </w:rPr>
        <w:t xml:space="preserve"> </w:t>
      </w:r>
      <w:r w:rsidR="00F94B9C" w:rsidRPr="005A464E">
        <w:rPr>
          <w:rFonts w:cs="BookAntiqua"/>
          <w:sz w:val="24"/>
          <w:szCs w:val="24"/>
        </w:rPr>
        <w:t xml:space="preserve">υπό </w:t>
      </w:r>
      <w:r w:rsidR="005859C8" w:rsidRPr="005A464E">
        <w:rPr>
          <w:rFonts w:cs="BookAntiqua"/>
          <w:sz w:val="24"/>
          <w:szCs w:val="24"/>
        </w:rPr>
        <w:t>αιμοκάθαρση με τη χ</w:t>
      </w:r>
      <w:r w:rsidR="00F94B9C" w:rsidRPr="005A464E">
        <w:rPr>
          <w:rFonts w:cs="BookAntiqua"/>
          <w:sz w:val="24"/>
          <w:szCs w:val="24"/>
        </w:rPr>
        <w:t>ρήση του SF-36 ανέφερε ότι η ΠΖ</w:t>
      </w:r>
      <w:r w:rsidR="005859C8" w:rsidRPr="005A464E">
        <w:rPr>
          <w:rFonts w:cs="BookAntiqua"/>
          <w:sz w:val="24"/>
          <w:szCs w:val="24"/>
        </w:rPr>
        <w:t xml:space="preserve"> των ατόμων ποικίλει ανάλογα με το φύλο. </w:t>
      </w:r>
      <w:r w:rsidR="00F94B9C" w:rsidRPr="005A464E">
        <w:rPr>
          <w:rFonts w:cs="BookAntiqua"/>
          <w:sz w:val="24"/>
          <w:szCs w:val="24"/>
        </w:rPr>
        <w:t>Το επίπεδο της φυσικής υγείας</w:t>
      </w:r>
      <w:r w:rsidR="0078495A">
        <w:rPr>
          <w:rFonts w:cs="BookAntiqua"/>
          <w:sz w:val="24"/>
          <w:szCs w:val="24"/>
        </w:rPr>
        <w:t xml:space="preserve"> </w:t>
      </w:r>
      <w:r w:rsidR="00F94B9C" w:rsidRPr="005A464E">
        <w:rPr>
          <w:rFonts w:cs="BookAntiqua"/>
          <w:sz w:val="24"/>
          <w:szCs w:val="24"/>
        </w:rPr>
        <w:t>ήταν υψηλότερο στους άνδρες</w:t>
      </w:r>
      <w:r w:rsidR="005859C8" w:rsidRPr="005A464E">
        <w:rPr>
          <w:rFonts w:cs="BookAntiqua"/>
          <w:sz w:val="24"/>
          <w:szCs w:val="24"/>
        </w:rPr>
        <w:t>.</w:t>
      </w:r>
    </w:p>
    <w:p w:rsidR="00F94B9C" w:rsidRPr="0015140F" w:rsidRDefault="008E721D" w:rsidP="0015140F">
      <w:pPr>
        <w:pStyle w:val="a5"/>
        <w:numPr>
          <w:ilvl w:val="0"/>
          <w:numId w:val="121"/>
        </w:numPr>
        <w:spacing w:line="360" w:lineRule="auto"/>
        <w:jc w:val="both"/>
        <w:rPr>
          <w:rFonts w:cs="BookAntiqua"/>
          <w:i/>
          <w:sz w:val="24"/>
          <w:szCs w:val="24"/>
        </w:rPr>
      </w:pPr>
      <w:r w:rsidRPr="0015140F">
        <w:rPr>
          <w:rFonts w:cs="BookAntiqua"/>
          <w:i/>
          <w:sz w:val="24"/>
          <w:szCs w:val="24"/>
        </w:rPr>
        <w:t>Φυλή</w:t>
      </w:r>
    </w:p>
    <w:p w:rsidR="00F94B9C" w:rsidRPr="005A464E" w:rsidRDefault="00F94B9C" w:rsidP="005A464E">
      <w:pPr>
        <w:spacing w:line="360" w:lineRule="auto"/>
        <w:jc w:val="both"/>
        <w:rPr>
          <w:rFonts w:cs="BookAntiqua"/>
          <w:sz w:val="24"/>
          <w:szCs w:val="24"/>
        </w:rPr>
      </w:pPr>
      <w:r w:rsidRPr="005A464E">
        <w:rPr>
          <w:rFonts w:cs="BookAntiqua"/>
          <w:sz w:val="24"/>
          <w:szCs w:val="24"/>
        </w:rPr>
        <w:t>Αρκετές μελέτες έχουν εξετάσει την επίδραση της εθνικότητας στην ποιότητα ζωής. Μελέτες που έχουν γίνει σε Αφροαμε</w:t>
      </w:r>
      <w:r w:rsidR="006900FA" w:rsidRPr="005A464E">
        <w:rPr>
          <w:rFonts w:cs="BookAntiqua"/>
          <w:sz w:val="24"/>
          <w:szCs w:val="24"/>
        </w:rPr>
        <w:t>ρικανού</w:t>
      </w:r>
      <w:r w:rsidRPr="005A464E">
        <w:rPr>
          <w:rFonts w:cs="BookAntiqua"/>
          <w:sz w:val="24"/>
          <w:szCs w:val="24"/>
        </w:rPr>
        <w:t xml:space="preserve">ς </w:t>
      </w:r>
      <w:r w:rsidR="00FA09D0" w:rsidRPr="005A464E">
        <w:rPr>
          <w:rFonts w:cs="BookAntiqua"/>
          <w:sz w:val="24"/>
          <w:szCs w:val="24"/>
        </w:rPr>
        <w:t>ασθενείς υπό αιμοκάθαρση έδειξαν</w:t>
      </w:r>
      <w:r w:rsidRPr="005A464E">
        <w:rPr>
          <w:rFonts w:cs="BookAntiqua"/>
          <w:sz w:val="24"/>
          <w:szCs w:val="24"/>
        </w:rPr>
        <w:t xml:space="preserve"> καλύτερη κατάσταση της υγείας και της ποιότητας ζωής σε σύγκριση με τους Καυκάσιους (Kutner &amp;</w:t>
      </w:r>
      <w:r w:rsidR="002A226D" w:rsidRPr="005A464E">
        <w:rPr>
          <w:rFonts w:cs="BookAntiqua"/>
          <w:sz w:val="24"/>
          <w:szCs w:val="24"/>
        </w:rPr>
        <w:t xml:space="preserve"> Devins</w:t>
      </w:r>
      <w:r w:rsidR="00AB454B">
        <w:rPr>
          <w:rFonts w:cs="BookAntiqua"/>
          <w:sz w:val="24"/>
          <w:szCs w:val="24"/>
        </w:rPr>
        <w:t>,</w:t>
      </w:r>
      <w:r w:rsidRPr="005A464E">
        <w:rPr>
          <w:rFonts w:cs="BookAntiqua"/>
          <w:sz w:val="24"/>
          <w:szCs w:val="24"/>
        </w:rPr>
        <w:t xml:space="preserve"> 1998</w:t>
      </w:r>
      <w:r w:rsidR="006E557B">
        <w:rPr>
          <w:rFonts w:cs="BookAntiqua"/>
          <w:sz w:val="24"/>
          <w:szCs w:val="24"/>
        </w:rPr>
        <w:t xml:space="preserve">; </w:t>
      </w:r>
      <w:r w:rsidR="006E557B" w:rsidRPr="005A464E">
        <w:rPr>
          <w:rFonts w:cs="BookAntiqua"/>
          <w:sz w:val="24"/>
          <w:szCs w:val="24"/>
        </w:rPr>
        <w:t>K</w:t>
      </w:r>
      <w:r w:rsidR="006E557B">
        <w:rPr>
          <w:rFonts w:cs="BookAntiqua"/>
          <w:sz w:val="24"/>
          <w:szCs w:val="24"/>
        </w:rPr>
        <w:t>utner</w:t>
      </w:r>
      <w:r w:rsidR="006E557B" w:rsidRPr="00607E7C">
        <w:rPr>
          <w:rFonts w:cs="BookAntiqua"/>
          <w:sz w:val="24"/>
          <w:szCs w:val="24"/>
        </w:rPr>
        <w:t>,</w:t>
      </w:r>
      <w:r w:rsidR="006E557B" w:rsidRPr="00607E7C">
        <w:rPr>
          <w:rFonts w:asciiTheme="minorHAnsi" w:hAnsiTheme="minorHAnsi" w:cstheme="minorHAnsi"/>
          <w:sz w:val="24"/>
          <w:szCs w:val="24"/>
        </w:rPr>
        <w:t xml:space="preserve"> </w:t>
      </w:r>
      <w:r w:rsidR="006E557B" w:rsidRPr="00607E7C">
        <w:rPr>
          <w:rFonts w:asciiTheme="minorHAnsi" w:hAnsiTheme="minorHAnsi" w:cstheme="minorHAnsi"/>
          <w:sz w:val="24"/>
          <w:szCs w:val="24"/>
          <w:lang w:val="en-US"/>
        </w:rPr>
        <w:t>Brogan</w:t>
      </w:r>
      <w:r w:rsidR="006E557B">
        <w:rPr>
          <w:rFonts w:asciiTheme="minorHAnsi" w:hAnsiTheme="minorHAnsi" w:cstheme="minorHAnsi"/>
          <w:sz w:val="24"/>
          <w:szCs w:val="24"/>
        </w:rPr>
        <w:t>,</w:t>
      </w:r>
      <w:r w:rsidR="006E557B" w:rsidRPr="00607E7C">
        <w:rPr>
          <w:rFonts w:asciiTheme="minorHAnsi" w:hAnsiTheme="minorHAnsi" w:cstheme="minorHAnsi"/>
          <w:sz w:val="24"/>
          <w:szCs w:val="24"/>
        </w:rPr>
        <w:t xml:space="preserve"> </w:t>
      </w:r>
      <w:r w:rsidR="006E557B" w:rsidRPr="00607E7C">
        <w:rPr>
          <w:rFonts w:asciiTheme="minorHAnsi" w:hAnsiTheme="minorHAnsi" w:cstheme="minorHAnsi"/>
          <w:sz w:val="24"/>
          <w:szCs w:val="24"/>
          <w:lang w:val="en-US"/>
        </w:rPr>
        <w:t>Fielding</w:t>
      </w:r>
      <w:r w:rsidR="006E557B">
        <w:rPr>
          <w:rFonts w:asciiTheme="minorHAnsi" w:hAnsiTheme="minorHAnsi" w:cstheme="minorHAnsi"/>
          <w:sz w:val="24"/>
          <w:szCs w:val="24"/>
        </w:rPr>
        <w:t>,</w:t>
      </w:r>
      <w:r w:rsidR="006E557B" w:rsidRPr="00607E7C">
        <w:rPr>
          <w:rFonts w:asciiTheme="minorHAnsi" w:hAnsiTheme="minorHAnsi" w:cstheme="minorHAnsi"/>
          <w:sz w:val="24"/>
          <w:szCs w:val="24"/>
        </w:rPr>
        <w:t xml:space="preserve"> &amp; </w:t>
      </w:r>
      <w:r w:rsidR="006E557B" w:rsidRPr="00607E7C">
        <w:rPr>
          <w:rFonts w:asciiTheme="minorHAnsi" w:hAnsiTheme="minorHAnsi" w:cstheme="minorHAnsi"/>
          <w:sz w:val="24"/>
          <w:szCs w:val="24"/>
          <w:lang w:val="en-US"/>
        </w:rPr>
        <w:t>Hall</w:t>
      </w:r>
      <w:r w:rsidR="006E557B" w:rsidRPr="00607E7C">
        <w:rPr>
          <w:rFonts w:asciiTheme="minorHAnsi" w:hAnsiTheme="minorHAnsi" w:cstheme="minorHAnsi"/>
          <w:sz w:val="24"/>
          <w:szCs w:val="24"/>
        </w:rPr>
        <w:t>,</w:t>
      </w:r>
      <w:r w:rsidR="006E557B" w:rsidRPr="00607E7C">
        <w:rPr>
          <w:rFonts w:cs="BookAntiqua"/>
          <w:sz w:val="24"/>
          <w:szCs w:val="24"/>
        </w:rPr>
        <w:t xml:space="preserve"> 2000</w:t>
      </w:r>
      <w:r w:rsidRPr="005A464E">
        <w:rPr>
          <w:rFonts w:cs="BookAntiqua"/>
          <w:sz w:val="24"/>
          <w:szCs w:val="24"/>
        </w:rPr>
        <w:t xml:space="preserve">). Οι Kutner </w:t>
      </w:r>
      <w:r w:rsidR="00B2125D">
        <w:rPr>
          <w:rFonts w:cs="BookAntiqua"/>
          <w:sz w:val="24"/>
          <w:szCs w:val="24"/>
        </w:rPr>
        <w:t>και</w:t>
      </w:r>
      <w:r w:rsidR="003B4333" w:rsidRPr="005A464E">
        <w:rPr>
          <w:rFonts w:cs="BookAntiqua"/>
          <w:sz w:val="24"/>
          <w:szCs w:val="24"/>
        </w:rPr>
        <w:t xml:space="preserve"> Devins</w:t>
      </w:r>
      <w:r w:rsidRPr="005A464E">
        <w:rPr>
          <w:rFonts w:cs="BookAntiqua"/>
          <w:sz w:val="24"/>
          <w:szCs w:val="24"/>
        </w:rPr>
        <w:t xml:space="preserve"> (1998) θεωρούν ότι οι Αφροαμερικανοί ασθενείς έχουν «ανθεκτικότητα» στο πλαί</w:t>
      </w:r>
      <w:r w:rsidR="00FA09D0" w:rsidRPr="005A464E">
        <w:rPr>
          <w:rFonts w:cs="BookAntiqua"/>
          <w:sz w:val="24"/>
          <w:szCs w:val="24"/>
        </w:rPr>
        <w:t>σιο της βιολογίας τους κάτι που</w:t>
      </w:r>
      <w:r w:rsidRPr="005A464E">
        <w:rPr>
          <w:rFonts w:cs="BookAntiqua"/>
          <w:sz w:val="24"/>
          <w:szCs w:val="24"/>
        </w:rPr>
        <w:t xml:space="preserve"> δεν γίνεται αντι</w:t>
      </w:r>
      <w:r w:rsidR="00287004">
        <w:rPr>
          <w:rFonts w:cs="BookAntiqua"/>
          <w:sz w:val="24"/>
          <w:szCs w:val="24"/>
        </w:rPr>
        <w:t>ληπτό από τις συνήθεις κλινικές</w:t>
      </w:r>
      <w:r w:rsidRPr="005A464E">
        <w:rPr>
          <w:rFonts w:cs="BookAntiqua"/>
          <w:sz w:val="24"/>
          <w:szCs w:val="24"/>
        </w:rPr>
        <w:t xml:space="preserve"> μεταβλητές και τα εργαλεία ΠΖ. Επιπλέον, οι Αφροαμερικανοί μπορεί να έχουν μεγαλύτερη αντίληψη της κοινωνικής </w:t>
      </w:r>
      <w:r w:rsidR="00196F83" w:rsidRPr="005A464E">
        <w:rPr>
          <w:rFonts w:cs="BookAntiqua"/>
          <w:sz w:val="24"/>
          <w:szCs w:val="24"/>
        </w:rPr>
        <w:t xml:space="preserve">υποστήριξης σε σύγκριση με </w:t>
      </w:r>
      <w:r w:rsidRPr="005A464E">
        <w:rPr>
          <w:rFonts w:cs="BookAntiqua"/>
          <w:sz w:val="24"/>
          <w:szCs w:val="24"/>
        </w:rPr>
        <w:t xml:space="preserve">τους Καυκάσιους </w:t>
      </w:r>
      <w:r w:rsidR="00760B84">
        <w:rPr>
          <w:rFonts w:cs="BookAntiqua"/>
          <w:sz w:val="24"/>
          <w:szCs w:val="24"/>
        </w:rPr>
        <w:t>ασθενείς</w:t>
      </w:r>
      <w:r w:rsidRPr="005A464E">
        <w:rPr>
          <w:rFonts w:cs="BookAntiqua"/>
          <w:sz w:val="24"/>
          <w:szCs w:val="24"/>
        </w:rPr>
        <w:t xml:space="preserve">. Αυτό θα μπορούσε να προωθήσει την αίσθηση της ευημερίας για τους </w:t>
      </w:r>
      <w:r w:rsidR="00196F83" w:rsidRPr="005A464E">
        <w:rPr>
          <w:rFonts w:cs="BookAntiqua"/>
          <w:sz w:val="24"/>
          <w:szCs w:val="24"/>
        </w:rPr>
        <w:t>Αφρο</w:t>
      </w:r>
      <w:r w:rsidRPr="005A464E">
        <w:rPr>
          <w:rFonts w:cs="BookAntiqua"/>
          <w:sz w:val="24"/>
          <w:szCs w:val="24"/>
        </w:rPr>
        <w:t>α</w:t>
      </w:r>
      <w:r w:rsidR="00196F83" w:rsidRPr="005A464E">
        <w:rPr>
          <w:rFonts w:cs="BookAntiqua"/>
          <w:sz w:val="24"/>
          <w:szCs w:val="24"/>
        </w:rPr>
        <w:t xml:space="preserve">μερικανούς ασθενείς </w:t>
      </w:r>
      <w:r w:rsidRPr="005A464E">
        <w:rPr>
          <w:rFonts w:cs="BookAntiqua"/>
          <w:sz w:val="24"/>
          <w:szCs w:val="24"/>
        </w:rPr>
        <w:t>σε σύγκριση με τους Καυκάσ</w:t>
      </w:r>
      <w:r w:rsidR="00FA09D0" w:rsidRPr="005A464E">
        <w:rPr>
          <w:rFonts w:cs="BookAntiqua"/>
          <w:sz w:val="24"/>
          <w:szCs w:val="24"/>
        </w:rPr>
        <w:t xml:space="preserve">ιους (Kutner </w:t>
      </w:r>
      <w:r w:rsidR="00566CAA">
        <w:rPr>
          <w:rFonts w:cs="BookAntiqua"/>
          <w:sz w:val="24"/>
          <w:szCs w:val="24"/>
        </w:rPr>
        <w:t>et al</w:t>
      </w:r>
      <w:r w:rsidR="00760B84">
        <w:rPr>
          <w:rFonts w:cs="BookAntiqua"/>
          <w:sz w:val="24"/>
          <w:szCs w:val="24"/>
        </w:rPr>
        <w:t>.</w:t>
      </w:r>
      <w:r w:rsidR="00607E7C" w:rsidRPr="00607E7C">
        <w:rPr>
          <w:rFonts w:cs="BookAntiqua"/>
          <w:sz w:val="24"/>
          <w:szCs w:val="24"/>
        </w:rPr>
        <w:t>,</w:t>
      </w:r>
      <w:r w:rsidRPr="005A464E">
        <w:rPr>
          <w:rFonts w:cs="BookAntiqua"/>
          <w:sz w:val="24"/>
          <w:szCs w:val="24"/>
        </w:rPr>
        <w:t xml:space="preserve"> 2000).</w:t>
      </w:r>
    </w:p>
    <w:p w:rsidR="00196F83" w:rsidRPr="005A464E" w:rsidRDefault="00196F83" w:rsidP="005A464E">
      <w:pPr>
        <w:spacing w:line="360" w:lineRule="auto"/>
        <w:jc w:val="both"/>
        <w:rPr>
          <w:rFonts w:cs="BookAntiqua"/>
          <w:sz w:val="24"/>
          <w:szCs w:val="24"/>
        </w:rPr>
      </w:pPr>
      <w:r w:rsidRPr="005A464E">
        <w:rPr>
          <w:rFonts w:cs="BookAntiqua"/>
          <w:sz w:val="24"/>
          <w:szCs w:val="24"/>
        </w:rPr>
        <w:t xml:space="preserve">Η </w:t>
      </w:r>
      <w:r w:rsidR="00DF4830">
        <w:rPr>
          <w:rFonts w:cs="BookAntiqua"/>
          <w:sz w:val="24"/>
          <w:szCs w:val="24"/>
        </w:rPr>
        <w:t>μελέτη</w:t>
      </w:r>
      <w:r w:rsidR="000E03F0">
        <w:rPr>
          <w:rFonts w:cs="BookAntiqua"/>
          <w:sz w:val="24"/>
          <w:szCs w:val="24"/>
        </w:rPr>
        <w:t xml:space="preserve"> των </w:t>
      </w:r>
      <w:r w:rsidR="000E03F0" w:rsidRPr="000E03F0">
        <w:rPr>
          <w:rFonts w:cs="BookAntiqua"/>
          <w:sz w:val="24"/>
          <w:szCs w:val="24"/>
        </w:rPr>
        <w:t xml:space="preserve">Hicks, </w:t>
      </w:r>
      <w:r w:rsidR="000E03F0" w:rsidRPr="000E03F0">
        <w:rPr>
          <w:rFonts w:asciiTheme="minorHAnsi" w:hAnsiTheme="minorHAnsi" w:cstheme="minorHAnsi"/>
          <w:sz w:val="24"/>
          <w:szCs w:val="24"/>
          <w:lang w:val="en-US"/>
        </w:rPr>
        <w:t>Cleary</w:t>
      </w:r>
      <w:r w:rsidR="000E03F0" w:rsidRPr="000E03F0">
        <w:rPr>
          <w:rFonts w:asciiTheme="minorHAnsi" w:hAnsiTheme="minorHAnsi" w:cstheme="minorHAnsi"/>
          <w:sz w:val="24"/>
          <w:szCs w:val="24"/>
        </w:rPr>
        <w:t xml:space="preserve">, </w:t>
      </w:r>
      <w:r w:rsidR="000E03F0" w:rsidRPr="000E03F0">
        <w:rPr>
          <w:rFonts w:asciiTheme="minorHAnsi" w:hAnsiTheme="minorHAnsi" w:cstheme="minorHAnsi"/>
          <w:sz w:val="24"/>
          <w:szCs w:val="24"/>
          <w:lang w:val="en-US"/>
        </w:rPr>
        <w:t>Epstein</w:t>
      </w:r>
      <w:r w:rsidR="00B2125D">
        <w:rPr>
          <w:rFonts w:asciiTheme="minorHAnsi" w:hAnsiTheme="minorHAnsi" w:cstheme="minorHAnsi"/>
          <w:sz w:val="24"/>
          <w:szCs w:val="24"/>
        </w:rPr>
        <w:t>, και</w:t>
      </w:r>
      <w:r w:rsidR="000E03F0" w:rsidRPr="000E03F0">
        <w:rPr>
          <w:rFonts w:asciiTheme="minorHAnsi" w:hAnsiTheme="minorHAnsi" w:cstheme="minorHAnsi"/>
          <w:sz w:val="24"/>
          <w:szCs w:val="24"/>
        </w:rPr>
        <w:t xml:space="preserve"> </w:t>
      </w:r>
      <w:r w:rsidR="000E03F0" w:rsidRPr="000E03F0">
        <w:rPr>
          <w:rFonts w:asciiTheme="minorHAnsi" w:hAnsiTheme="minorHAnsi" w:cstheme="minorHAnsi"/>
          <w:sz w:val="24"/>
          <w:szCs w:val="24"/>
          <w:lang w:val="en-US"/>
        </w:rPr>
        <w:t>Ayanian</w:t>
      </w:r>
      <w:r w:rsidRPr="000E03F0">
        <w:rPr>
          <w:rFonts w:cs="BookAntiqua"/>
          <w:sz w:val="24"/>
          <w:szCs w:val="24"/>
        </w:rPr>
        <w:t xml:space="preserve"> (2004</w:t>
      </w:r>
      <w:r w:rsidRPr="005A464E">
        <w:rPr>
          <w:rFonts w:cs="BookAntiqua"/>
          <w:sz w:val="24"/>
          <w:szCs w:val="24"/>
        </w:rPr>
        <w:t xml:space="preserve">) μεταξύ 1392 ασθενών υπό αιμοκάθαρση από τέσσερις διαφορετικές περιοχές στις </w:t>
      </w:r>
      <w:r w:rsidR="00136DE6">
        <w:rPr>
          <w:rFonts w:cs="BookAntiqua"/>
          <w:sz w:val="24"/>
          <w:szCs w:val="24"/>
        </w:rPr>
        <w:t>ΗΠΑ</w:t>
      </w:r>
      <w:r w:rsidRPr="005A464E">
        <w:rPr>
          <w:rFonts w:cs="BookAntiqua"/>
          <w:sz w:val="24"/>
          <w:szCs w:val="24"/>
        </w:rPr>
        <w:t xml:space="preserve"> με τη χρήση του εργαλείου K</w:t>
      </w:r>
      <w:r w:rsidR="00287004">
        <w:rPr>
          <w:rFonts w:cs="BookAntiqua"/>
          <w:sz w:val="24"/>
          <w:szCs w:val="24"/>
          <w:lang w:val="en-US"/>
        </w:rPr>
        <w:t>idney</w:t>
      </w:r>
      <w:r w:rsidR="00287004" w:rsidRPr="00287004">
        <w:rPr>
          <w:rFonts w:cs="BookAntiqua"/>
          <w:sz w:val="24"/>
          <w:szCs w:val="24"/>
        </w:rPr>
        <w:t xml:space="preserve"> </w:t>
      </w:r>
      <w:r w:rsidRPr="005A464E">
        <w:rPr>
          <w:rFonts w:cs="BookAntiqua"/>
          <w:sz w:val="24"/>
          <w:szCs w:val="24"/>
        </w:rPr>
        <w:t>D</w:t>
      </w:r>
      <w:r w:rsidR="00287004">
        <w:rPr>
          <w:rFonts w:cs="BookAntiqua"/>
          <w:sz w:val="24"/>
          <w:szCs w:val="24"/>
          <w:lang w:val="en-US"/>
        </w:rPr>
        <w:t>isease</w:t>
      </w:r>
      <w:r w:rsidR="00287004" w:rsidRPr="00287004">
        <w:rPr>
          <w:rFonts w:cs="BookAntiqua"/>
          <w:sz w:val="24"/>
          <w:szCs w:val="24"/>
        </w:rPr>
        <w:t xml:space="preserve"> </w:t>
      </w:r>
      <w:r w:rsidRPr="005A464E">
        <w:rPr>
          <w:rFonts w:cs="BookAntiqua"/>
          <w:sz w:val="24"/>
          <w:szCs w:val="24"/>
        </w:rPr>
        <w:t>Q</w:t>
      </w:r>
      <w:r w:rsidR="00287004">
        <w:rPr>
          <w:rFonts w:cs="BookAntiqua"/>
          <w:sz w:val="24"/>
          <w:szCs w:val="24"/>
          <w:lang w:val="en-US"/>
        </w:rPr>
        <w:t>uaity</w:t>
      </w:r>
      <w:r w:rsidR="00287004" w:rsidRPr="00287004">
        <w:rPr>
          <w:rFonts w:cs="BookAntiqua"/>
          <w:sz w:val="24"/>
          <w:szCs w:val="24"/>
        </w:rPr>
        <w:t xml:space="preserve"> </w:t>
      </w:r>
      <w:r w:rsidR="00287004">
        <w:rPr>
          <w:rFonts w:cs="BookAntiqua"/>
          <w:sz w:val="24"/>
          <w:szCs w:val="24"/>
          <w:lang w:val="en-US"/>
        </w:rPr>
        <w:t>of</w:t>
      </w:r>
      <w:r w:rsidR="00287004" w:rsidRPr="00287004">
        <w:rPr>
          <w:rFonts w:cs="BookAntiqua"/>
          <w:sz w:val="24"/>
          <w:szCs w:val="24"/>
        </w:rPr>
        <w:t xml:space="preserve"> </w:t>
      </w:r>
      <w:r w:rsidRPr="005A464E">
        <w:rPr>
          <w:rFonts w:cs="BookAntiqua"/>
          <w:sz w:val="24"/>
          <w:szCs w:val="24"/>
        </w:rPr>
        <w:t>L</w:t>
      </w:r>
      <w:r w:rsidR="00287004">
        <w:rPr>
          <w:rFonts w:cs="BookAntiqua"/>
          <w:sz w:val="24"/>
          <w:szCs w:val="24"/>
          <w:lang w:val="en-US"/>
        </w:rPr>
        <w:t>ife</w:t>
      </w:r>
      <w:r w:rsidR="00287004" w:rsidRPr="00287004">
        <w:rPr>
          <w:rFonts w:cs="BookAntiqua"/>
          <w:sz w:val="24"/>
          <w:szCs w:val="24"/>
        </w:rPr>
        <w:t xml:space="preserve"> (</w:t>
      </w:r>
      <w:r w:rsidR="00287004">
        <w:rPr>
          <w:rFonts w:cs="BookAntiqua"/>
          <w:sz w:val="24"/>
          <w:szCs w:val="24"/>
          <w:lang w:val="en-US"/>
        </w:rPr>
        <w:t>KDQoL</w:t>
      </w:r>
      <w:r w:rsidR="00287004" w:rsidRPr="00287004">
        <w:rPr>
          <w:rFonts w:cs="BookAntiqua"/>
          <w:sz w:val="24"/>
          <w:szCs w:val="24"/>
        </w:rPr>
        <w:t>)</w:t>
      </w:r>
      <w:r w:rsidRPr="005A464E">
        <w:rPr>
          <w:rFonts w:cs="BookAntiqua"/>
          <w:sz w:val="24"/>
          <w:szCs w:val="24"/>
        </w:rPr>
        <w:t xml:space="preserve"> είχαν παρόμοια αποτελέσματα. Οι ασθενείς που είχαν Αφροαμερικανική</w:t>
      </w:r>
      <w:r w:rsidR="00FA09D0" w:rsidRPr="005A464E">
        <w:rPr>
          <w:rFonts w:cs="BookAntiqua"/>
          <w:sz w:val="24"/>
          <w:szCs w:val="24"/>
        </w:rPr>
        <w:t xml:space="preserve"> εθνικότητα</w:t>
      </w:r>
      <w:r w:rsidRPr="005A464E">
        <w:rPr>
          <w:rFonts w:cs="BookAntiqua"/>
          <w:sz w:val="24"/>
          <w:szCs w:val="24"/>
        </w:rPr>
        <w:t xml:space="preserve"> ήταν σωματικά δραστήριοι και είχαν περισσότερες οικογενεια</w:t>
      </w:r>
      <w:r w:rsidR="00FA09D0" w:rsidRPr="005A464E">
        <w:rPr>
          <w:rFonts w:cs="BookAntiqua"/>
          <w:sz w:val="24"/>
          <w:szCs w:val="24"/>
        </w:rPr>
        <w:t>κές και</w:t>
      </w:r>
      <w:r w:rsidRPr="005A464E">
        <w:rPr>
          <w:rFonts w:cs="BookAntiqua"/>
          <w:sz w:val="24"/>
          <w:szCs w:val="24"/>
        </w:rPr>
        <w:t xml:space="preserve"> κοινωνικές επιδράσεις στην κατάσταση της υγείας τους και την ποιότητα ζωής. Οι πιθανές εξηγήσεις για τις παρατηρούμενες διαφορές ως προς την εθνικότητα στην κατ</w:t>
      </w:r>
      <w:r w:rsidR="00B2125D">
        <w:rPr>
          <w:rFonts w:cs="BookAntiqua"/>
          <w:sz w:val="24"/>
          <w:szCs w:val="24"/>
        </w:rPr>
        <w:t>άσταση της υγείας των ασθενών υπό</w:t>
      </w:r>
      <w:r w:rsidRPr="005A464E">
        <w:rPr>
          <w:rFonts w:cs="BookAntiqua"/>
          <w:sz w:val="24"/>
          <w:szCs w:val="24"/>
        </w:rPr>
        <w:t xml:space="preserve"> αιμοκάθαρση και την ΠΖ αφορούν τις βιολογικές διαφορές, τις κοινωνικοπολιτισμικές διαφορές καθώς και τις διαφορετικές εμπειρίες της πρόσβασης στην υγειονομική περίθαλψη πριν από την έναρξη της αιμοκάθαρσης.</w:t>
      </w:r>
    </w:p>
    <w:p w:rsidR="00EC771A" w:rsidRPr="00995094" w:rsidRDefault="00196F83" w:rsidP="005A464E">
      <w:pPr>
        <w:spacing w:line="360" w:lineRule="auto"/>
        <w:jc w:val="both"/>
        <w:rPr>
          <w:rFonts w:cs="BookAntiqua"/>
          <w:sz w:val="24"/>
          <w:szCs w:val="24"/>
        </w:rPr>
      </w:pPr>
      <w:r w:rsidRPr="005A464E">
        <w:rPr>
          <w:rFonts w:cs="BookAntiqua"/>
          <w:sz w:val="24"/>
          <w:szCs w:val="24"/>
        </w:rPr>
        <w:t>Οι Bak</w:t>
      </w:r>
      <w:r w:rsidR="0040519B">
        <w:rPr>
          <w:rFonts w:cs="BookAntiqua"/>
          <w:sz w:val="24"/>
          <w:szCs w:val="24"/>
        </w:rPr>
        <w:t xml:space="preserve">ewell, </w:t>
      </w:r>
      <w:r w:rsidR="0040519B" w:rsidRPr="0040519B">
        <w:rPr>
          <w:rFonts w:asciiTheme="minorHAnsi" w:eastAsia="Times New Roman" w:hAnsiTheme="minorHAnsi" w:cstheme="minorHAnsi"/>
          <w:sz w:val="24"/>
          <w:szCs w:val="24"/>
          <w:lang w:val="en-US" w:eastAsia="el-GR"/>
        </w:rPr>
        <w:t>Higgins</w:t>
      </w:r>
      <w:r w:rsidR="00AF10FE">
        <w:rPr>
          <w:rFonts w:asciiTheme="minorHAnsi" w:eastAsia="Times New Roman" w:hAnsiTheme="minorHAnsi" w:cstheme="minorHAnsi"/>
          <w:sz w:val="24"/>
          <w:szCs w:val="24"/>
          <w:lang w:eastAsia="el-GR"/>
        </w:rPr>
        <w:t>,</w:t>
      </w:r>
      <w:r w:rsidR="00B2125D">
        <w:rPr>
          <w:rFonts w:asciiTheme="minorHAnsi" w:eastAsia="Times New Roman" w:hAnsiTheme="minorHAnsi" w:cstheme="minorHAnsi"/>
          <w:sz w:val="24"/>
          <w:szCs w:val="24"/>
          <w:lang w:eastAsia="el-GR"/>
        </w:rPr>
        <w:t xml:space="preserve"> και</w:t>
      </w:r>
      <w:r w:rsidR="0040519B" w:rsidRPr="0040519B">
        <w:rPr>
          <w:rFonts w:asciiTheme="minorHAnsi" w:eastAsia="Times New Roman" w:hAnsiTheme="minorHAnsi" w:cstheme="minorHAnsi"/>
          <w:sz w:val="24"/>
          <w:szCs w:val="24"/>
          <w:lang w:eastAsia="el-GR"/>
        </w:rPr>
        <w:t xml:space="preserve"> </w:t>
      </w:r>
      <w:r w:rsidR="0040519B" w:rsidRPr="0040519B">
        <w:rPr>
          <w:rFonts w:asciiTheme="minorHAnsi" w:eastAsia="Times New Roman" w:hAnsiTheme="minorHAnsi" w:cstheme="minorHAnsi"/>
          <w:sz w:val="24"/>
          <w:szCs w:val="24"/>
          <w:lang w:val="en-US" w:eastAsia="el-GR"/>
        </w:rPr>
        <w:t>Edmunds</w:t>
      </w:r>
      <w:r w:rsidR="00AF10FE">
        <w:rPr>
          <w:rFonts w:asciiTheme="minorHAnsi" w:eastAsia="Times New Roman" w:hAnsiTheme="minorHAnsi" w:cstheme="minorHAnsi"/>
          <w:sz w:val="24"/>
          <w:szCs w:val="24"/>
          <w:lang w:eastAsia="el-GR"/>
        </w:rPr>
        <w:t>,</w:t>
      </w:r>
      <w:r w:rsidR="0040519B" w:rsidRPr="005A464E">
        <w:rPr>
          <w:rFonts w:cs="BookAntiqua"/>
          <w:sz w:val="24"/>
          <w:szCs w:val="24"/>
        </w:rPr>
        <w:t xml:space="preserve"> </w:t>
      </w:r>
      <w:r w:rsidR="004E088E" w:rsidRPr="005A464E">
        <w:rPr>
          <w:rFonts w:cs="BookAntiqua"/>
          <w:sz w:val="24"/>
          <w:szCs w:val="24"/>
        </w:rPr>
        <w:t>(2001</w:t>
      </w:r>
      <w:r w:rsidRPr="005A464E">
        <w:rPr>
          <w:rFonts w:cs="BookAntiqua"/>
          <w:sz w:val="24"/>
          <w:szCs w:val="24"/>
        </w:rPr>
        <w:t xml:space="preserve">) </w:t>
      </w:r>
      <w:r w:rsidR="00EC771A" w:rsidRPr="005A464E">
        <w:rPr>
          <w:rFonts w:cs="BookAntiqua"/>
          <w:sz w:val="24"/>
          <w:szCs w:val="24"/>
        </w:rPr>
        <w:t xml:space="preserve">από το Ηνωμένο Βασίλειο </w:t>
      </w:r>
      <w:r w:rsidRPr="005A464E">
        <w:rPr>
          <w:rFonts w:cs="BookAntiqua"/>
          <w:sz w:val="24"/>
          <w:szCs w:val="24"/>
        </w:rPr>
        <w:t>συνέκριναν την επίδραση της εθ</w:t>
      </w:r>
      <w:r w:rsidR="00FA09D0" w:rsidRPr="005A464E">
        <w:rPr>
          <w:rFonts w:cs="BookAntiqua"/>
          <w:sz w:val="24"/>
          <w:szCs w:val="24"/>
        </w:rPr>
        <w:t>νικότητας στην ποιότητα ζωής</w:t>
      </w:r>
      <w:r w:rsidRPr="005A464E">
        <w:rPr>
          <w:rFonts w:cs="BookAntiqua"/>
          <w:sz w:val="24"/>
          <w:szCs w:val="24"/>
        </w:rPr>
        <w:t xml:space="preserve"> 60 ασθενών Ινδοασιατικής καταγωγής (20 υπό αιμοκάθαρση, 20 υπό π</w:t>
      </w:r>
      <w:r w:rsidR="00FA09D0" w:rsidRPr="005A464E">
        <w:rPr>
          <w:rFonts w:cs="BookAntiqua"/>
          <w:sz w:val="24"/>
          <w:szCs w:val="24"/>
        </w:rPr>
        <w:t>εριτοναϊκή κάθαρση</w:t>
      </w:r>
      <w:r w:rsidRPr="005A464E">
        <w:rPr>
          <w:rFonts w:cs="BookAntiqua"/>
          <w:sz w:val="24"/>
          <w:szCs w:val="24"/>
        </w:rPr>
        <w:t xml:space="preserve"> και 20 </w:t>
      </w:r>
      <w:r w:rsidR="00B2125D" w:rsidRPr="00995094">
        <w:rPr>
          <w:rFonts w:cs="BookAntiqua"/>
          <w:sz w:val="24"/>
          <w:szCs w:val="24"/>
        </w:rPr>
        <w:t>μεταμοσχευθέντων) και 60 λευκών Ευρωπαίων ασθενών</w:t>
      </w:r>
      <w:r w:rsidR="00287004" w:rsidRPr="00995094">
        <w:rPr>
          <w:rFonts w:cs="BookAntiqua"/>
          <w:sz w:val="24"/>
          <w:szCs w:val="24"/>
        </w:rPr>
        <w:t xml:space="preserve"> ίδιας ηλικίας</w:t>
      </w:r>
      <w:r w:rsidRPr="00995094">
        <w:rPr>
          <w:rFonts w:cs="BookAntiqua"/>
          <w:sz w:val="24"/>
          <w:szCs w:val="24"/>
        </w:rPr>
        <w:t>, φύλου</w:t>
      </w:r>
      <w:r w:rsidR="006900FA" w:rsidRPr="00995094">
        <w:rPr>
          <w:rFonts w:cs="BookAntiqua"/>
          <w:sz w:val="24"/>
          <w:szCs w:val="24"/>
        </w:rPr>
        <w:t xml:space="preserve"> </w:t>
      </w:r>
      <w:r w:rsidR="00EC771A" w:rsidRPr="00995094">
        <w:rPr>
          <w:rFonts w:cs="BookAntiqua"/>
          <w:sz w:val="24"/>
          <w:szCs w:val="24"/>
        </w:rPr>
        <w:t>και διάρκειας</w:t>
      </w:r>
      <w:r w:rsidR="0078495A" w:rsidRPr="00995094">
        <w:rPr>
          <w:rFonts w:cs="BookAntiqua"/>
          <w:sz w:val="24"/>
          <w:szCs w:val="24"/>
        </w:rPr>
        <w:t xml:space="preserve"> </w:t>
      </w:r>
      <w:r w:rsidR="00EC771A" w:rsidRPr="00995094">
        <w:rPr>
          <w:rFonts w:cs="BookAntiqua"/>
          <w:sz w:val="24"/>
          <w:szCs w:val="24"/>
        </w:rPr>
        <w:t xml:space="preserve">ένταξης στον </w:t>
      </w:r>
      <w:r w:rsidR="00B2125D" w:rsidRPr="00995094">
        <w:rPr>
          <w:rFonts w:cs="BookAntiqua"/>
          <w:sz w:val="24"/>
          <w:szCs w:val="24"/>
        </w:rPr>
        <w:t xml:space="preserve">αιμοκάθαρση </w:t>
      </w:r>
      <w:r w:rsidRPr="00995094">
        <w:rPr>
          <w:rFonts w:cs="BookAntiqua"/>
          <w:sz w:val="24"/>
          <w:szCs w:val="24"/>
        </w:rPr>
        <w:t xml:space="preserve">με τη χρήση του </w:t>
      </w:r>
      <w:r w:rsidR="00287004" w:rsidRPr="00995094">
        <w:rPr>
          <w:rFonts w:cs="BookAntiqua"/>
          <w:sz w:val="24"/>
          <w:szCs w:val="24"/>
        </w:rPr>
        <w:t>K</w:t>
      </w:r>
      <w:r w:rsidR="00287004" w:rsidRPr="00995094">
        <w:rPr>
          <w:rFonts w:cs="BookAntiqua"/>
          <w:sz w:val="24"/>
          <w:szCs w:val="24"/>
          <w:lang w:val="en-US"/>
        </w:rPr>
        <w:t>idney</w:t>
      </w:r>
      <w:r w:rsidR="00287004" w:rsidRPr="00995094">
        <w:rPr>
          <w:rFonts w:cs="BookAntiqua"/>
          <w:sz w:val="24"/>
          <w:szCs w:val="24"/>
        </w:rPr>
        <w:t xml:space="preserve"> D</w:t>
      </w:r>
      <w:r w:rsidR="00287004" w:rsidRPr="00995094">
        <w:rPr>
          <w:rFonts w:cs="BookAntiqua"/>
          <w:sz w:val="24"/>
          <w:szCs w:val="24"/>
          <w:lang w:val="en-US"/>
        </w:rPr>
        <w:t>isease</w:t>
      </w:r>
      <w:r w:rsidR="00287004" w:rsidRPr="00995094">
        <w:rPr>
          <w:rFonts w:cs="BookAntiqua"/>
          <w:sz w:val="24"/>
          <w:szCs w:val="24"/>
        </w:rPr>
        <w:t xml:space="preserve"> Q</w:t>
      </w:r>
      <w:r w:rsidR="00287004" w:rsidRPr="00995094">
        <w:rPr>
          <w:rFonts w:cs="BookAntiqua"/>
          <w:sz w:val="24"/>
          <w:szCs w:val="24"/>
          <w:lang w:val="en-US"/>
        </w:rPr>
        <w:t>uaity</w:t>
      </w:r>
      <w:r w:rsidR="00287004" w:rsidRPr="00995094">
        <w:rPr>
          <w:rFonts w:cs="BookAntiqua"/>
          <w:sz w:val="24"/>
          <w:szCs w:val="24"/>
        </w:rPr>
        <w:t xml:space="preserve"> </w:t>
      </w:r>
      <w:r w:rsidR="00287004" w:rsidRPr="00995094">
        <w:rPr>
          <w:rFonts w:cs="BookAntiqua"/>
          <w:sz w:val="24"/>
          <w:szCs w:val="24"/>
          <w:lang w:val="en-US"/>
        </w:rPr>
        <w:t>of</w:t>
      </w:r>
      <w:r w:rsidR="00287004" w:rsidRPr="00995094">
        <w:rPr>
          <w:rFonts w:cs="BookAntiqua"/>
          <w:sz w:val="24"/>
          <w:szCs w:val="24"/>
        </w:rPr>
        <w:t xml:space="preserve"> L</w:t>
      </w:r>
      <w:r w:rsidR="00287004" w:rsidRPr="00995094">
        <w:rPr>
          <w:rFonts w:cs="BookAntiqua"/>
          <w:sz w:val="24"/>
          <w:szCs w:val="24"/>
          <w:lang w:val="en-US"/>
        </w:rPr>
        <w:t>ife</w:t>
      </w:r>
      <w:r w:rsidR="00287004" w:rsidRPr="00995094">
        <w:rPr>
          <w:rFonts w:cs="BookAntiqua"/>
          <w:sz w:val="24"/>
          <w:szCs w:val="24"/>
        </w:rPr>
        <w:t xml:space="preserve"> </w:t>
      </w:r>
      <w:r w:rsidR="00287004" w:rsidRPr="00995094">
        <w:rPr>
          <w:rFonts w:cs="BookAntiqua"/>
          <w:sz w:val="24"/>
          <w:szCs w:val="24"/>
          <w:lang w:val="en-US"/>
        </w:rPr>
        <w:t>Short</w:t>
      </w:r>
      <w:r w:rsidR="00136DE6" w:rsidRPr="00995094">
        <w:rPr>
          <w:rFonts w:cs="BookAntiqua"/>
          <w:sz w:val="24"/>
          <w:szCs w:val="24"/>
        </w:rPr>
        <w:t>-</w:t>
      </w:r>
      <w:r w:rsidR="00287004" w:rsidRPr="00995094">
        <w:rPr>
          <w:rFonts w:cs="BookAntiqua"/>
          <w:sz w:val="24"/>
          <w:szCs w:val="24"/>
          <w:lang w:val="en-US"/>
        </w:rPr>
        <w:t>Form</w:t>
      </w:r>
      <w:r w:rsidR="00287004" w:rsidRPr="00995094">
        <w:rPr>
          <w:rFonts w:cs="BookAntiqua"/>
          <w:sz w:val="24"/>
          <w:szCs w:val="24"/>
        </w:rPr>
        <w:t xml:space="preserve"> (KDQ</w:t>
      </w:r>
      <w:r w:rsidR="00287004" w:rsidRPr="00995094">
        <w:rPr>
          <w:rFonts w:cs="BookAntiqua"/>
          <w:sz w:val="24"/>
          <w:szCs w:val="24"/>
          <w:lang w:val="en-US"/>
        </w:rPr>
        <w:t>o</w:t>
      </w:r>
      <w:r w:rsidR="00EC771A" w:rsidRPr="00995094">
        <w:rPr>
          <w:rFonts w:cs="BookAntiqua"/>
          <w:sz w:val="24"/>
          <w:szCs w:val="24"/>
        </w:rPr>
        <w:t>L-SF</w:t>
      </w:r>
      <w:r w:rsidR="00287004" w:rsidRPr="00995094">
        <w:rPr>
          <w:rFonts w:cs="BookAntiqua"/>
          <w:sz w:val="24"/>
          <w:szCs w:val="24"/>
        </w:rPr>
        <w:t>)</w:t>
      </w:r>
      <w:r w:rsidRPr="00995094">
        <w:rPr>
          <w:rFonts w:cs="BookAntiqua"/>
          <w:sz w:val="24"/>
          <w:szCs w:val="24"/>
        </w:rPr>
        <w:t xml:space="preserve">. </w:t>
      </w:r>
      <w:r w:rsidR="00FA09D0" w:rsidRPr="00995094">
        <w:rPr>
          <w:rFonts w:cs="BookAntiqua"/>
          <w:sz w:val="24"/>
          <w:szCs w:val="24"/>
        </w:rPr>
        <w:t xml:space="preserve">Οι </w:t>
      </w:r>
      <w:r w:rsidR="006900FA" w:rsidRPr="00995094">
        <w:rPr>
          <w:rFonts w:cs="BookAntiqua"/>
          <w:sz w:val="24"/>
          <w:szCs w:val="24"/>
        </w:rPr>
        <w:t>ερευνητές</w:t>
      </w:r>
      <w:r w:rsidR="00FA09D0" w:rsidRPr="00995094">
        <w:rPr>
          <w:rFonts w:cs="BookAntiqua"/>
          <w:sz w:val="24"/>
          <w:szCs w:val="24"/>
        </w:rPr>
        <w:t xml:space="preserve"> </w:t>
      </w:r>
      <w:r w:rsidR="00B2125D" w:rsidRPr="00995094">
        <w:rPr>
          <w:rFonts w:cs="BookAntiqua"/>
          <w:sz w:val="24"/>
          <w:szCs w:val="24"/>
        </w:rPr>
        <w:t>διε</w:t>
      </w:r>
      <w:r w:rsidR="00EC771A" w:rsidRPr="00995094">
        <w:rPr>
          <w:rFonts w:cs="BookAntiqua"/>
          <w:sz w:val="24"/>
          <w:szCs w:val="24"/>
        </w:rPr>
        <w:t xml:space="preserve">πίστωσαν ότι </w:t>
      </w:r>
      <w:r w:rsidR="00FA09D0" w:rsidRPr="00995094">
        <w:rPr>
          <w:rFonts w:cs="BookAntiqua"/>
          <w:sz w:val="24"/>
          <w:szCs w:val="24"/>
        </w:rPr>
        <w:t xml:space="preserve">οι </w:t>
      </w:r>
      <w:r w:rsidR="00EC771A" w:rsidRPr="00995094">
        <w:rPr>
          <w:rFonts w:cs="BookAntiqua"/>
          <w:sz w:val="24"/>
          <w:szCs w:val="24"/>
        </w:rPr>
        <w:t>Ινδοα</w:t>
      </w:r>
      <w:r w:rsidRPr="00995094">
        <w:rPr>
          <w:rFonts w:cs="BookAntiqua"/>
          <w:sz w:val="24"/>
          <w:szCs w:val="24"/>
        </w:rPr>
        <w:t>σιάτες είχαν χαμηλ</w:t>
      </w:r>
      <w:r w:rsidR="00B2125D" w:rsidRPr="00995094">
        <w:rPr>
          <w:rFonts w:cs="BookAntiqua"/>
          <w:sz w:val="24"/>
          <w:szCs w:val="24"/>
        </w:rPr>
        <w:t>ότερες βαθμολογίες στην</w:t>
      </w:r>
      <w:r w:rsidR="00EC771A" w:rsidRPr="00995094">
        <w:rPr>
          <w:rFonts w:cs="BookAntiqua"/>
          <w:sz w:val="24"/>
          <w:szCs w:val="24"/>
        </w:rPr>
        <w:t xml:space="preserve"> αντιληφθείσα</w:t>
      </w:r>
      <w:r w:rsidR="006900FA" w:rsidRPr="00995094">
        <w:rPr>
          <w:rFonts w:cs="BookAntiqua"/>
          <w:sz w:val="24"/>
          <w:szCs w:val="24"/>
        </w:rPr>
        <w:t xml:space="preserve"> ΠΖ</w:t>
      </w:r>
      <w:r w:rsidR="00EC771A" w:rsidRPr="00995094">
        <w:rPr>
          <w:rFonts w:cs="BookAntiqua"/>
          <w:sz w:val="24"/>
          <w:szCs w:val="24"/>
        </w:rPr>
        <w:t xml:space="preserve"> σε σύγκριση με το</w:t>
      </w:r>
      <w:r w:rsidR="00B2125D" w:rsidRPr="00995094">
        <w:rPr>
          <w:rFonts w:cs="BookAntiqua"/>
          <w:sz w:val="24"/>
          <w:szCs w:val="24"/>
        </w:rPr>
        <w:t>υς</w:t>
      </w:r>
      <w:r w:rsidR="00EC771A" w:rsidRPr="00995094">
        <w:rPr>
          <w:rFonts w:cs="BookAntiqua"/>
          <w:sz w:val="24"/>
          <w:szCs w:val="24"/>
        </w:rPr>
        <w:t xml:space="preserve"> λευκούς</w:t>
      </w:r>
      <w:r w:rsidR="006900FA" w:rsidRPr="00995094">
        <w:rPr>
          <w:rFonts w:cs="BookAntiqua"/>
          <w:sz w:val="24"/>
          <w:szCs w:val="24"/>
        </w:rPr>
        <w:t xml:space="preserve"> </w:t>
      </w:r>
      <w:r w:rsidR="00EC771A" w:rsidRPr="00995094">
        <w:rPr>
          <w:rFonts w:cs="BookAntiqua"/>
          <w:sz w:val="24"/>
          <w:szCs w:val="24"/>
        </w:rPr>
        <w:t>Ευρωπαίους</w:t>
      </w:r>
      <w:r w:rsidRPr="00995094">
        <w:rPr>
          <w:rFonts w:cs="BookAntiqua"/>
          <w:sz w:val="24"/>
          <w:szCs w:val="24"/>
        </w:rPr>
        <w:t>. Οι ασθενείς από διάφ</w:t>
      </w:r>
      <w:r w:rsidR="0040519B" w:rsidRPr="00995094">
        <w:rPr>
          <w:rFonts w:cs="BookAntiqua"/>
          <w:sz w:val="24"/>
          <w:szCs w:val="24"/>
        </w:rPr>
        <w:t>ορες εθνικότητες αντιλαμβάνονταν</w:t>
      </w:r>
      <w:r w:rsidR="00FA09D0" w:rsidRPr="00995094">
        <w:rPr>
          <w:rFonts w:cs="BookAntiqua"/>
          <w:sz w:val="24"/>
          <w:szCs w:val="24"/>
        </w:rPr>
        <w:t xml:space="preserve"> την</w:t>
      </w:r>
      <w:r w:rsidRPr="00995094">
        <w:rPr>
          <w:rFonts w:cs="BookAntiqua"/>
          <w:sz w:val="24"/>
          <w:szCs w:val="24"/>
        </w:rPr>
        <w:t xml:space="preserve"> ΠΖ τους με διαφορετικό τρόπο.</w:t>
      </w:r>
      <w:r w:rsidR="006900FA" w:rsidRPr="00995094">
        <w:rPr>
          <w:rFonts w:cs="BookAntiqua"/>
          <w:sz w:val="24"/>
          <w:szCs w:val="24"/>
        </w:rPr>
        <w:t xml:space="preserve"> </w:t>
      </w:r>
      <w:r w:rsidR="00EC771A" w:rsidRPr="00995094">
        <w:t xml:space="preserve">Οι </w:t>
      </w:r>
      <w:r w:rsidR="0040519B" w:rsidRPr="00995094">
        <w:rPr>
          <w:rFonts w:cs="BookAntiqua"/>
          <w:sz w:val="24"/>
          <w:szCs w:val="24"/>
        </w:rPr>
        <w:t>Ινδοασιάτες αντιλαμβάνονταν</w:t>
      </w:r>
      <w:r w:rsidR="00EC771A" w:rsidRPr="00995094">
        <w:rPr>
          <w:rFonts w:cs="BookAntiqua"/>
          <w:sz w:val="24"/>
          <w:szCs w:val="24"/>
        </w:rPr>
        <w:t xml:space="preserve"> </w:t>
      </w:r>
      <w:r w:rsidR="00FA09D0" w:rsidRPr="00995094">
        <w:rPr>
          <w:rFonts w:cs="BookAntiqua"/>
          <w:sz w:val="24"/>
          <w:szCs w:val="24"/>
        </w:rPr>
        <w:t>τη νεφρική νόσο</w:t>
      </w:r>
      <w:r w:rsidR="006900FA" w:rsidRPr="00995094">
        <w:rPr>
          <w:rFonts w:cs="BookAntiqua"/>
          <w:sz w:val="24"/>
          <w:szCs w:val="24"/>
        </w:rPr>
        <w:t xml:space="preserve"> </w:t>
      </w:r>
      <w:r w:rsidR="00EC771A" w:rsidRPr="00995094">
        <w:rPr>
          <w:rFonts w:cs="BookAntiqua"/>
          <w:sz w:val="24"/>
          <w:szCs w:val="24"/>
        </w:rPr>
        <w:t>ως κοινωνικό βάρος που επηρεάζει την ικανότητά τους να εργαστούν, καθώς αποτελούν</w:t>
      </w:r>
      <w:r w:rsidR="0078495A" w:rsidRPr="00995094">
        <w:rPr>
          <w:rFonts w:cs="BookAntiqua"/>
          <w:sz w:val="24"/>
          <w:szCs w:val="24"/>
        </w:rPr>
        <w:t xml:space="preserve"> </w:t>
      </w:r>
      <w:r w:rsidR="00EC771A" w:rsidRPr="00995094">
        <w:rPr>
          <w:rFonts w:cs="BookAntiqua"/>
          <w:sz w:val="24"/>
          <w:szCs w:val="24"/>
        </w:rPr>
        <w:t>ένα βάρος για τα μέλη της οικογένειάς τους. Ωστόσο, το</w:t>
      </w:r>
      <w:r w:rsidR="0078495A" w:rsidRPr="00995094">
        <w:rPr>
          <w:rFonts w:cs="BookAntiqua"/>
          <w:sz w:val="24"/>
          <w:szCs w:val="24"/>
        </w:rPr>
        <w:t xml:space="preserve"> </w:t>
      </w:r>
      <w:r w:rsidR="00EC771A" w:rsidRPr="00995094">
        <w:rPr>
          <w:rFonts w:cs="BookAntiqua"/>
          <w:sz w:val="24"/>
          <w:szCs w:val="24"/>
        </w:rPr>
        <w:t>Ινδοασιατικό δείγμα προέρχονταν από την περιοχή της Ινδίας όπου</w:t>
      </w:r>
      <w:r w:rsidR="00FA09D0" w:rsidRPr="00995094">
        <w:rPr>
          <w:rFonts w:cs="BookAntiqua"/>
          <w:sz w:val="24"/>
          <w:szCs w:val="24"/>
        </w:rPr>
        <w:t xml:space="preserve"> οι περισσότεροι ασθενείς δεν μιλού</w:t>
      </w:r>
      <w:r w:rsidR="0040519B" w:rsidRPr="00995094">
        <w:rPr>
          <w:rFonts w:cs="BookAntiqua"/>
          <w:sz w:val="24"/>
          <w:szCs w:val="24"/>
        </w:rPr>
        <w:t>σαν</w:t>
      </w:r>
      <w:r w:rsidR="00EC771A" w:rsidRPr="00995094">
        <w:rPr>
          <w:rFonts w:cs="BookAntiqua"/>
          <w:sz w:val="24"/>
          <w:szCs w:val="24"/>
        </w:rPr>
        <w:t xml:space="preserve"> όλοι την ίδια γλώσσα,</w:t>
      </w:r>
      <w:r w:rsidR="0040519B" w:rsidRPr="00995094">
        <w:rPr>
          <w:rFonts w:cs="BookAntiqua"/>
          <w:sz w:val="24"/>
          <w:szCs w:val="24"/>
        </w:rPr>
        <w:t xml:space="preserve"> δεν είχα</w:t>
      </w:r>
      <w:r w:rsidR="00FA09D0" w:rsidRPr="00995094">
        <w:rPr>
          <w:rFonts w:cs="BookAntiqua"/>
          <w:sz w:val="24"/>
          <w:szCs w:val="24"/>
        </w:rPr>
        <w:t>ν</w:t>
      </w:r>
      <w:r w:rsidR="00EC771A" w:rsidRPr="00995094">
        <w:rPr>
          <w:rFonts w:cs="BookAntiqua"/>
          <w:sz w:val="24"/>
          <w:szCs w:val="24"/>
        </w:rPr>
        <w:t xml:space="preserve"> τη</w:t>
      </w:r>
      <w:r w:rsidR="00FA09D0" w:rsidRPr="00995094">
        <w:rPr>
          <w:rFonts w:cs="BookAntiqua"/>
          <w:sz w:val="24"/>
          <w:szCs w:val="24"/>
        </w:rPr>
        <w:t>ν ίδια</w:t>
      </w:r>
      <w:r w:rsidR="00EC771A" w:rsidRPr="00995094">
        <w:rPr>
          <w:rFonts w:cs="BookAntiqua"/>
          <w:sz w:val="24"/>
          <w:szCs w:val="24"/>
        </w:rPr>
        <w:t xml:space="preserve"> θρησκεία, </w:t>
      </w:r>
      <w:r w:rsidR="0040519B" w:rsidRPr="00995094">
        <w:rPr>
          <w:rFonts w:cs="BookAntiqua"/>
          <w:sz w:val="24"/>
          <w:szCs w:val="24"/>
        </w:rPr>
        <w:t>δεν ανήκα</w:t>
      </w:r>
      <w:r w:rsidR="00FA09D0" w:rsidRPr="00995094">
        <w:rPr>
          <w:rFonts w:cs="BookAntiqua"/>
          <w:sz w:val="24"/>
          <w:szCs w:val="24"/>
        </w:rPr>
        <w:t xml:space="preserve">ν στην ίδια </w:t>
      </w:r>
      <w:r w:rsidR="00EC771A" w:rsidRPr="00995094">
        <w:rPr>
          <w:rFonts w:cs="BookAntiqua"/>
          <w:sz w:val="24"/>
          <w:szCs w:val="24"/>
        </w:rPr>
        <w:t>κοινωνική τάξη και</w:t>
      </w:r>
      <w:r w:rsidR="005E3388" w:rsidRPr="00995094">
        <w:rPr>
          <w:rFonts w:cs="BookAntiqua"/>
          <w:sz w:val="24"/>
          <w:szCs w:val="24"/>
        </w:rPr>
        <w:t xml:space="preserve"> </w:t>
      </w:r>
      <w:r w:rsidR="0040519B" w:rsidRPr="00995094">
        <w:rPr>
          <w:rFonts w:cs="BookAntiqua"/>
          <w:sz w:val="24"/>
          <w:szCs w:val="24"/>
        </w:rPr>
        <w:t>δεν είχα</w:t>
      </w:r>
      <w:r w:rsidR="00FA09D0" w:rsidRPr="00995094">
        <w:rPr>
          <w:rFonts w:cs="BookAntiqua"/>
          <w:sz w:val="24"/>
          <w:szCs w:val="24"/>
        </w:rPr>
        <w:t xml:space="preserve">ν ίδιες </w:t>
      </w:r>
      <w:r w:rsidR="00EC771A" w:rsidRPr="00995094">
        <w:rPr>
          <w:rFonts w:cs="BookAntiqua"/>
          <w:sz w:val="24"/>
          <w:szCs w:val="24"/>
        </w:rPr>
        <w:t>ο</w:t>
      </w:r>
      <w:r w:rsidR="0040519B" w:rsidRPr="00995094">
        <w:rPr>
          <w:rFonts w:cs="BookAntiqua"/>
          <w:sz w:val="24"/>
          <w:szCs w:val="24"/>
        </w:rPr>
        <w:t>ικογενειακές αξίες. Αυτό</w:t>
      </w:r>
      <w:r w:rsidR="0015140F" w:rsidRPr="00995094">
        <w:rPr>
          <w:rFonts w:cs="BookAntiqua"/>
          <w:sz w:val="24"/>
          <w:szCs w:val="24"/>
        </w:rPr>
        <w:t xml:space="preserve"> </w:t>
      </w:r>
      <w:r w:rsidR="004E6070" w:rsidRPr="00995094">
        <w:rPr>
          <w:rFonts w:cs="BookAntiqua"/>
          <w:sz w:val="24"/>
          <w:szCs w:val="24"/>
        </w:rPr>
        <w:t>το εύ</w:t>
      </w:r>
      <w:r w:rsidR="0015140F" w:rsidRPr="00995094">
        <w:rPr>
          <w:rFonts w:cs="BookAntiqua"/>
          <w:sz w:val="24"/>
          <w:szCs w:val="24"/>
        </w:rPr>
        <w:t>ρημα</w:t>
      </w:r>
      <w:r w:rsidR="0040519B" w:rsidRPr="00995094">
        <w:rPr>
          <w:rFonts w:cs="BookAntiqua"/>
          <w:sz w:val="24"/>
          <w:szCs w:val="24"/>
        </w:rPr>
        <w:t xml:space="preserve"> έδειξε</w:t>
      </w:r>
      <w:r w:rsidR="00B2125D" w:rsidRPr="00995094">
        <w:rPr>
          <w:rFonts w:cs="BookAntiqua"/>
          <w:sz w:val="24"/>
          <w:szCs w:val="24"/>
        </w:rPr>
        <w:t xml:space="preserve"> ότι είναι δύσκολο να μελετ</w:t>
      </w:r>
      <w:r w:rsidR="00EC771A" w:rsidRPr="00995094">
        <w:rPr>
          <w:rFonts w:cs="BookAntiqua"/>
          <w:sz w:val="24"/>
          <w:szCs w:val="24"/>
        </w:rPr>
        <w:t xml:space="preserve">ηθεί η </w:t>
      </w:r>
      <w:r w:rsidR="00B2125D" w:rsidRPr="00995094">
        <w:rPr>
          <w:rFonts w:cs="BookAntiqua"/>
          <w:sz w:val="24"/>
          <w:szCs w:val="24"/>
        </w:rPr>
        <w:t xml:space="preserve">επίδραση της </w:t>
      </w:r>
      <w:r w:rsidR="00EC771A" w:rsidRPr="00995094">
        <w:rPr>
          <w:rFonts w:cs="BookAntiqua"/>
          <w:sz w:val="24"/>
          <w:szCs w:val="24"/>
        </w:rPr>
        <w:t>εθνικότητα</w:t>
      </w:r>
      <w:r w:rsidR="00B2125D" w:rsidRPr="00995094">
        <w:rPr>
          <w:rFonts w:cs="BookAntiqua"/>
          <w:sz w:val="24"/>
          <w:szCs w:val="24"/>
        </w:rPr>
        <w:t>ς</w:t>
      </w:r>
      <w:r w:rsidR="00EC771A" w:rsidRPr="00995094">
        <w:rPr>
          <w:rFonts w:cs="BookAntiqua"/>
          <w:sz w:val="24"/>
          <w:szCs w:val="24"/>
        </w:rPr>
        <w:t xml:space="preserve"> λόγω της</w:t>
      </w:r>
      <w:r w:rsidR="00FA09D0" w:rsidRPr="00995094">
        <w:rPr>
          <w:rFonts w:cs="BookAntiqua"/>
          <w:sz w:val="24"/>
          <w:szCs w:val="24"/>
        </w:rPr>
        <w:t xml:space="preserve"> μεταβλητότητας στι</w:t>
      </w:r>
      <w:r w:rsidR="00EC771A" w:rsidRPr="00995094">
        <w:rPr>
          <w:rFonts w:cs="BookAntiqua"/>
          <w:sz w:val="24"/>
          <w:szCs w:val="24"/>
        </w:rPr>
        <w:t>ς πολιτιστικές αξίες</w:t>
      </w:r>
      <w:r w:rsidR="005E3388" w:rsidRPr="00995094">
        <w:rPr>
          <w:rFonts w:cs="BookAntiqua"/>
          <w:sz w:val="24"/>
          <w:szCs w:val="24"/>
        </w:rPr>
        <w:t xml:space="preserve"> </w:t>
      </w:r>
      <w:r w:rsidR="00EC771A" w:rsidRPr="00995094">
        <w:rPr>
          <w:rFonts w:cs="BookAntiqua"/>
          <w:sz w:val="24"/>
          <w:szCs w:val="24"/>
        </w:rPr>
        <w:t>ακόμα και</w:t>
      </w:r>
      <w:r w:rsidR="00FA09D0" w:rsidRPr="00995094">
        <w:rPr>
          <w:rFonts w:cs="BookAntiqua"/>
          <w:sz w:val="24"/>
          <w:szCs w:val="24"/>
        </w:rPr>
        <w:t xml:space="preserve"> σε άτομα </w:t>
      </w:r>
      <w:r w:rsidR="0040519B" w:rsidRPr="00995094">
        <w:rPr>
          <w:rFonts w:cs="BookAntiqua"/>
          <w:sz w:val="24"/>
          <w:szCs w:val="24"/>
        </w:rPr>
        <w:t>της ίδιας εθνικότητας</w:t>
      </w:r>
      <w:r w:rsidR="00FA09D0" w:rsidRPr="00995094">
        <w:rPr>
          <w:rFonts w:cs="BookAntiqua"/>
          <w:sz w:val="24"/>
          <w:szCs w:val="24"/>
        </w:rPr>
        <w:t>.</w:t>
      </w:r>
    </w:p>
    <w:p w:rsidR="004E088E" w:rsidRPr="00995094" w:rsidRDefault="004E088E" w:rsidP="0015140F">
      <w:pPr>
        <w:pStyle w:val="a5"/>
        <w:numPr>
          <w:ilvl w:val="0"/>
          <w:numId w:val="121"/>
        </w:numPr>
        <w:spacing w:line="360" w:lineRule="auto"/>
        <w:jc w:val="both"/>
        <w:rPr>
          <w:rFonts w:cs="BookAntiqua"/>
          <w:i/>
          <w:sz w:val="24"/>
          <w:szCs w:val="24"/>
        </w:rPr>
      </w:pPr>
      <w:r w:rsidRPr="00995094">
        <w:rPr>
          <w:rFonts w:cs="BookAntiqua"/>
          <w:i/>
          <w:sz w:val="24"/>
          <w:szCs w:val="24"/>
        </w:rPr>
        <w:t xml:space="preserve">Θρησκεία </w:t>
      </w:r>
    </w:p>
    <w:p w:rsidR="00FA6AAD" w:rsidRPr="005A464E" w:rsidRDefault="004E088E" w:rsidP="005A464E">
      <w:pPr>
        <w:spacing w:line="360" w:lineRule="auto"/>
        <w:jc w:val="both"/>
        <w:rPr>
          <w:sz w:val="24"/>
          <w:szCs w:val="24"/>
        </w:rPr>
      </w:pPr>
      <w:r w:rsidRPr="00995094">
        <w:rPr>
          <w:rFonts w:cs="BookAntiqua"/>
          <w:sz w:val="24"/>
          <w:szCs w:val="24"/>
        </w:rPr>
        <w:t xml:space="preserve">Οι Patel </w:t>
      </w:r>
      <w:r w:rsidR="00566CAA" w:rsidRPr="00995094">
        <w:rPr>
          <w:rFonts w:cs="BookAntiqua"/>
          <w:sz w:val="24"/>
          <w:szCs w:val="24"/>
        </w:rPr>
        <w:t>et al</w:t>
      </w:r>
      <w:r w:rsidR="00573981" w:rsidRPr="00995094">
        <w:rPr>
          <w:rFonts w:cs="BookAntiqua"/>
          <w:sz w:val="24"/>
          <w:szCs w:val="24"/>
        </w:rPr>
        <w:t>.</w:t>
      </w:r>
      <w:r w:rsidRPr="00995094">
        <w:rPr>
          <w:rFonts w:cs="BookAntiqua"/>
          <w:sz w:val="24"/>
          <w:szCs w:val="24"/>
        </w:rPr>
        <w:t xml:space="preserve"> (2002) μ</w:t>
      </w:r>
      <w:r w:rsidR="00B2125D" w:rsidRPr="00995094">
        <w:rPr>
          <w:rFonts w:cs="BookAntiqua"/>
          <w:sz w:val="24"/>
          <w:szCs w:val="24"/>
        </w:rPr>
        <w:t>ελέτησαν τη σημασία της πνευματικότητας και</w:t>
      </w:r>
      <w:r w:rsidRPr="00995094">
        <w:rPr>
          <w:rFonts w:cs="BookAntiqua"/>
          <w:sz w:val="24"/>
          <w:szCs w:val="24"/>
        </w:rPr>
        <w:t xml:space="preserve"> της συμμετοχής σε θρησκευτικές τελετές μεταξύ 53 ασθενών που υποβάλλονταν σε αιμοκάθαρση. Τα</w:t>
      </w:r>
      <w:r w:rsidR="005E3388" w:rsidRPr="00995094">
        <w:rPr>
          <w:rFonts w:cs="BookAntiqua"/>
          <w:sz w:val="24"/>
          <w:szCs w:val="24"/>
          <w:lang w:val="en-US"/>
        </w:rPr>
        <w:t xml:space="preserve"> </w:t>
      </w:r>
      <w:r w:rsidRPr="00995094">
        <w:rPr>
          <w:rFonts w:cs="BookAntiqua"/>
          <w:sz w:val="24"/>
          <w:szCs w:val="24"/>
        </w:rPr>
        <w:t>εργαλεία</w:t>
      </w:r>
      <w:r w:rsidR="005E3388" w:rsidRPr="00995094">
        <w:rPr>
          <w:rFonts w:cs="BookAntiqua"/>
          <w:sz w:val="24"/>
          <w:szCs w:val="24"/>
          <w:lang w:val="en-US"/>
        </w:rPr>
        <w:t xml:space="preserve"> </w:t>
      </w:r>
      <w:r w:rsidRPr="00995094">
        <w:rPr>
          <w:rFonts w:cs="BookAntiqua"/>
          <w:sz w:val="24"/>
          <w:szCs w:val="24"/>
        </w:rPr>
        <w:t>μέτρησης</w:t>
      </w:r>
      <w:r w:rsidR="005E3388" w:rsidRPr="00995094">
        <w:rPr>
          <w:rFonts w:cs="BookAntiqua"/>
          <w:sz w:val="24"/>
          <w:szCs w:val="24"/>
          <w:lang w:val="en-US"/>
        </w:rPr>
        <w:t xml:space="preserve"> </w:t>
      </w:r>
      <w:r w:rsidR="005E3388" w:rsidRPr="00995094">
        <w:rPr>
          <w:rFonts w:cs="BookAntiqua"/>
          <w:sz w:val="24"/>
          <w:szCs w:val="24"/>
        </w:rPr>
        <w:t>της</w:t>
      </w:r>
      <w:r w:rsidR="005E3388" w:rsidRPr="00995094">
        <w:rPr>
          <w:rFonts w:cs="BookAntiqua"/>
          <w:sz w:val="24"/>
          <w:szCs w:val="24"/>
          <w:lang w:val="en-US"/>
        </w:rPr>
        <w:t xml:space="preserve"> </w:t>
      </w:r>
      <w:r w:rsidRPr="00995094">
        <w:rPr>
          <w:rFonts w:cs="BookAntiqua"/>
          <w:sz w:val="24"/>
          <w:szCs w:val="24"/>
        </w:rPr>
        <w:t>ΠΖ</w:t>
      </w:r>
      <w:r w:rsidR="005E3388" w:rsidRPr="00995094">
        <w:rPr>
          <w:rFonts w:cs="BookAntiqua"/>
          <w:sz w:val="24"/>
          <w:szCs w:val="24"/>
          <w:lang w:val="en-US"/>
        </w:rPr>
        <w:t xml:space="preserve"> </w:t>
      </w:r>
      <w:r w:rsidRPr="00995094">
        <w:rPr>
          <w:rFonts w:cs="BookAntiqua"/>
          <w:sz w:val="24"/>
          <w:szCs w:val="24"/>
        </w:rPr>
        <w:t>ήταν</w:t>
      </w:r>
      <w:r w:rsidR="005E3388" w:rsidRPr="00995094">
        <w:rPr>
          <w:rFonts w:cs="BookAntiqua"/>
          <w:sz w:val="24"/>
          <w:szCs w:val="24"/>
          <w:lang w:val="en-US"/>
        </w:rPr>
        <w:t xml:space="preserve"> </w:t>
      </w:r>
      <w:r w:rsidRPr="00995094">
        <w:rPr>
          <w:sz w:val="24"/>
          <w:szCs w:val="24"/>
        </w:rPr>
        <w:t>τα</w:t>
      </w:r>
      <w:r w:rsidRPr="00995094">
        <w:rPr>
          <w:sz w:val="24"/>
          <w:szCs w:val="24"/>
          <w:lang w:val="en-US"/>
        </w:rPr>
        <w:t xml:space="preserve"> </w:t>
      </w:r>
      <w:r w:rsidR="00B2125D" w:rsidRPr="00995094">
        <w:rPr>
          <w:sz w:val="24"/>
          <w:szCs w:val="24"/>
        </w:rPr>
        <w:t>εξής</w:t>
      </w:r>
      <w:r w:rsidR="00B2125D" w:rsidRPr="00995094">
        <w:rPr>
          <w:sz w:val="24"/>
          <w:szCs w:val="24"/>
          <w:lang w:val="en-US"/>
        </w:rPr>
        <w:t xml:space="preserve">: </w:t>
      </w:r>
      <w:r w:rsidRPr="00995094">
        <w:rPr>
          <w:sz w:val="24"/>
          <w:szCs w:val="24"/>
          <w:lang w:val="en-US"/>
        </w:rPr>
        <w:t xml:space="preserve">«Beck Depression Inventory», «Illness Effects Questionnaire», «Multidimensional Scale of Perceived Social Support», «McGill QOL» </w:t>
      </w:r>
      <w:r w:rsidRPr="00995094">
        <w:rPr>
          <w:sz w:val="24"/>
          <w:szCs w:val="24"/>
        </w:rPr>
        <w:t>και</w:t>
      </w:r>
      <w:r w:rsidRPr="00995094">
        <w:rPr>
          <w:sz w:val="24"/>
          <w:szCs w:val="24"/>
          <w:lang w:val="en-US"/>
        </w:rPr>
        <w:t xml:space="preserve"> «Karnofsky».</w:t>
      </w:r>
      <w:r w:rsidR="005E3388" w:rsidRPr="00995094">
        <w:rPr>
          <w:sz w:val="24"/>
          <w:szCs w:val="24"/>
          <w:lang w:val="en-US"/>
        </w:rPr>
        <w:t xml:space="preserve"> </w:t>
      </w:r>
      <w:r w:rsidR="00FA6AAD" w:rsidRPr="00995094">
        <w:rPr>
          <w:sz w:val="24"/>
          <w:szCs w:val="24"/>
        </w:rPr>
        <w:t xml:space="preserve">Οι </w:t>
      </w:r>
      <w:r w:rsidR="00FA6AAD" w:rsidRPr="00995094">
        <w:rPr>
          <w:sz w:val="24"/>
          <w:szCs w:val="24"/>
          <w:lang w:val="en-US"/>
        </w:rPr>
        <w:t>Patel</w:t>
      </w:r>
      <w:r w:rsidR="00FA6AAD" w:rsidRPr="00995094">
        <w:rPr>
          <w:sz w:val="24"/>
          <w:szCs w:val="24"/>
        </w:rPr>
        <w:t xml:space="preserve"> </w:t>
      </w:r>
      <w:r w:rsidR="00566CAA" w:rsidRPr="00995094">
        <w:rPr>
          <w:sz w:val="24"/>
          <w:szCs w:val="24"/>
        </w:rPr>
        <w:t>et al</w:t>
      </w:r>
      <w:r w:rsidR="00573981" w:rsidRPr="00995094">
        <w:rPr>
          <w:sz w:val="24"/>
          <w:szCs w:val="24"/>
        </w:rPr>
        <w:t>.</w:t>
      </w:r>
      <w:r w:rsidR="00FA6AAD" w:rsidRPr="00995094">
        <w:rPr>
          <w:sz w:val="24"/>
          <w:szCs w:val="24"/>
        </w:rPr>
        <w:t xml:space="preserve"> </w:t>
      </w:r>
      <w:r w:rsidR="0040519B" w:rsidRPr="00995094">
        <w:rPr>
          <w:sz w:val="24"/>
          <w:szCs w:val="24"/>
        </w:rPr>
        <w:t xml:space="preserve">(2002) </w:t>
      </w:r>
      <w:r w:rsidR="00B2125D" w:rsidRPr="00995094">
        <w:rPr>
          <w:sz w:val="24"/>
          <w:szCs w:val="24"/>
        </w:rPr>
        <w:t>έδειξαν</w:t>
      </w:r>
      <w:r w:rsidR="00FA6AAD" w:rsidRPr="00995094">
        <w:rPr>
          <w:sz w:val="24"/>
          <w:szCs w:val="24"/>
        </w:rPr>
        <w:t xml:space="preserve"> </w:t>
      </w:r>
      <w:r w:rsidR="0015140F" w:rsidRPr="00995094">
        <w:rPr>
          <w:sz w:val="24"/>
          <w:szCs w:val="24"/>
        </w:rPr>
        <w:t xml:space="preserve">ότι υπάρχει </w:t>
      </w:r>
      <w:r w:rsidR="00FA6AAD" w:rsidRPr="00995094">
        <w:rPr>
          <w:sz w:val="24"/>
          <w:szCs w:val="24"/>
        </w:rPr>
        <w:t>συσχέτιση μεταξύ των υψηλών βαθμολογιών στην κλίμακα πνευματικών πεποιθήσεων και της ΠΖ</w:t>
      </w:r>
      <w:r w:rsidR="005E3388" w:rsidRPr="00995094">
        <w:rPr>
          <w:sz w:val="24"/>
          <w:szCs w:val="24"/>
        </w:rPr>
        <w:t xml:space="preserve"> και </w:t>
      </w:r>
      <w:r w:rsidR="00B2125D" w:rsidRPr="00995094">
        <w:rPr>
          <w:sz w:val="24"/>
          <w:szCs w:val="24"/>
        </w:rPr>
        <w:t xml:space="preserve">της </w:t>
      </w:r>
      <w:r w:rsidR="005E3388" w:rsidRPr="00995094">
        <w:rPr>
          <w:sz w:val="24"/>
          <w:szCs w:val="24"/>
        </w:rPr>
        <w:t>υψηλή</w:t>
      </w:r>
      <w:r w:rsidR="00B2125D" w:rsidRPr="00995094">
        <w:rPr>
          <w:sz w:val="24"/>
          <w:szCs w:val="24"/>
        </w:rPr>
        <w:t>ς</w:t>
      </w:r>
      <w:r w:rsidR="00FA6AAD" w:rsidRPr="00995094">
        <w:rPr>
          <w:sz w:val="24"/>
          <w:szCs w:val="24"/>
        </w:rPr>
        <w:t xml:space="preserve"> ικανοποίησης από τη ζωή.</w:t>
      </w:r>
      <w:r w:rsidR="005E3388" w:rsidRPr="00995094">
        <w:rPr>
          <w:sz w:val="24"/>
          <w:szCs w:val="24"/>
        </w:rPr>
        <w:t xml:space="preserve"> </w:t>
      </w:r>
      <w:r w:rsidR="00D90CAF" w:rsidRPr="00995094">
        <w:rPr>
          <w:sz w:val="24"/>
          <w:szCs w:val="24"/>
        </w:rPr>
        <w:t>Υψηλότερα</w:t>
      </w:r>
      <w:r w:rsidR="00D90CAF" w:rsidRPr="00995094">
        <w:t xml:space="preserve"> </w:t>
      </w:r>
      <w:r w:rsidR="00D90CAF" w:rsidRPr="00995094">
        <w:rPr>
          <w:sz w:val="24"/>
          <w:szCs w:val="24"/>
        </w:rPr>
        <w:t>επίπεδα</w:t>
      </w:r>
      <w:r w:rsidR="00FA6AAD" w:rsidRPr="00995094">
        <w:rPr>
          <w:sz w:val="24"/>
          <w:szCs w:val="24"/>
        </w:rPr>
        <w:t xml:space="preserve"> πνευματικ</w:t>
      </w:r>
      <w:r w:rsidR="00D90CAF" w:rsidRPr="00995094">
        <w:rPr>
          <w:sz w:val="24"/>
          <w:szCs w:val="24"/>
        </w:rPr>
        <w:t>ό</w:t>
      </w:r>
      <w:r w:rsidR="00136DE6" w:rsidRPr="00995094">
        <w:rPr>
          <w:sz w:val="24"/>
          <w:szCs w:val="24"/>
        </w:rPr>
        <w:t>τητας και θρησκευτικότητας συνδέθηκαν</w:t>
      </w:r>
      <w:r w:rsidR="00FA6AAD" w:rsidRPr="00995094">
        <w:rPr>
          <w:sz w:val="24"/>
          <w:szCs w:val="24"/>
        </w:rPr>
        <w:t xml:space="preserve"> με αυξημένη αντίληψη της κοινωνικής στήριξης και </w:t>
      </w:r>
      <w:r w:rsidR="005E3388" w:rsidRPr="00995094">
        <w:rPr>
          <w:sz w:val="24"/>
          <w:szCs w:val="24"/>
        </w:rPr>
        <w:t>της ΠΖ</w:t>
      </w:r>
      <w:r w:rsidR="00FA6AAD" w:rsidRPr="00995094">
        <w:rPr>
          <w:sz w:val="24"/>
          <w:szCs w:val="24"/>
        </w:rPr>
        <w:t xml:space="preserve"> (Patel </w:t>
      </w:r>
      <w:r w:rsidR="00566CAA" w:rsidRPr="00995094">
        <w:rPr>
          <w:sz w:val="24"/>
          <w:szCs w:val="24"/>
        </w:rPr>
        <w:t>et al</w:t>
      </w:r>
      <w:r w:rsidR="00573981" w:rsidRPr="00995094">
        <w:rPr>
          <w:sz w:val="24"/>
          <w:szCs w:val="24"/>
        </w:rPr>
        <w:t>.</w:t>
      </w:r>
      <w:r w:rsidR="00A600AE" w:rsidRPr="00995094">
        <w:rPr>
          <w:sz w:val="24"/>
          <w:szCs w:val="24"/>
        </w:rPr>
        <w:t>,</w:t>
      </w:r>
      <w:r w:rsidR="00FA6AAD" w:rsidRPr="00995094">
        <w:rPr>
          <w:sz w:val="24"/>
          <w:szCs w:val="24"/>
        </w:rPr>
        <w:t xml:space="preserve"> 2002; Spinale </w:t>
      </w:r>
      <w:r w:rsidR="00566CAA" w:rsidRPr="00995094">
        <w:rPr>
          <w:sz w:val="24"/>
          <w:szCs w:val="24"/>
        </w:rPr>
        <w:t>et al</w:t>
      </w:r>
      <w:r w:rsidR="0040519B" w:rsidRPr="00995094">
        <w:rPr>
          <w:sz w:val="24"/>
          <w:szCs w:val="24"/>
        </w:rPr>
        <w:t>.</w:t>
      </w:r>
      <w:r w:rsidR="00B2125D" w:rsidRPr="00995094">
        <w:rPr>
          <w:sz w:val="24"/>
          <w:szCs w:val="24"/>
        </w:rPr>
        <w:t>,</w:t>
      </w:r>
      <w:r w:rsidR="00FA6AAD" w:rsidRPr="00995094">
        <w:rPr>
          <w:sz w:val="24"/>
          <w:szCs w:val="24"/>
        </w:rPr>
        <w:t xml:space="preserve"> 2008). Οι θρησκευτικές πεποιθήσεις </w:t>
      </w:r>
      <w:r w:rsidR="005E3388" w:rsidRPr="00995094">
        <w:rPr>
          <w:sz w:val="24"/>
          <w:szCs w:val="24"/>
        </w:rPr>
        <w:t>επιδρούν</w:t>
      </w:r>
      <w:r w:rsidR="00FA6AAD" w:rsidRPr="00995094">
        <w:rPr>
          <w:sz w:val="24"/>
          <w:szCs w:val="24"/>
        </w:rPr>
        <w:t xml:space="preserve"> στην ικανότητα των ασθενών να αντιμετωπίσουν την αιμοκάθαρση</w:t>
      </w:r>
      <w:r w:rsidR="005E3388" w:rsidRPr="00995094">
        <w:rPr>
          <w:sz w:val="24"/>
          <w:szCs w:val="24"/>
        </w:rPr>
        <w:t xml:space="preserve"> </w:t>
      </w:r>
      <w:r w:rsidR="004723E7" w:rsidRPr="00995094">
        <w:rPr>
          <w:sz w:val="24"/>
          <w:szCs w:val="24"/>
        </w:rPr>
        <w:t xml:space="preserve">(Κο </w:t>
      </w:r>
      <w:r w:rsidR="00566CAA" w:rsidRPr="00995094">
        <w:rPr>
          <w:sz w:val="24"/>
          <w:szCs w:val="24"/>
        </w:rPr>
        <w:t>et al</w:t>
      </w:r>
      <w:r w:rsidR="0040519B" w:rsidRPr="00995094">
        <w:rPr>
          <w:sz w:val="24"/>
          <w:szCs w:val="24"/>
        </w:rPr>
        <w:t>.</w:t>
      </w:r>
      <w:r w:rsidR="00287004" w:rsidRPr="00995094">
        <w:rPr>
          <w:sz w:val="24"/>
          <w:szCs w:val="24"/>
        </w:rPr>
        <w:t>,</w:t>
      </w:r>
      <w:r w:rsidR="00FA6AAD" w:rsidRPr="00995094">
        <w:rPr>
          <w:sz w:val="24"/>
          <w:szCs w:val="24"/>
        </w:rPr>
        <w:t xml:space="preserve"> 2007</w:t>
      </w:r>
      <w:r w:rsidR="00EA03F7" w:rsidRPr="00995094">
        <w:rPr>
          <w:sz w:val="24"/>
          <w:szCs w:val="24"/>
        </w:rPr>
        <w:t xml:space="preserve">; </w:t>
      </w:r>
      <w:r w:rsidR="00EA03F7" w:rsidRPr="00995094">
        <w:rPr>
          <w:sz w:val="24"/>
          <w:szCs w:val="24"/>
          <w:lang w:val="en-US"/>
        </w:rPr>
        <w:t>Fradelos</w:t>
      </w:r>
      <w:r w:rsidR="00EA03F7" w:rsidRPr="00995094">
        <w:rPr>
          <w:sz w:val="24"/>
          <w:szCs w:val="24"/>
        </w:rPr>
        <w:t xml:space="preserve"> </w:t>
      </w:r>
      <w:r w:rsidR="00EA03F7" w:rsidRPr="00995094">
        <w:rPr>
          <w:sz w:val="24"/>
          <w:szCs w:val="24"/>
          <w:lang w:val="en-US"/>
        </w:rPr>
        <w:t>et</w:t>
      </w:r>
      <w:r w:rsidR="00EA03F7" w:rsidRPr="00995094">
        <w:rPr>
          <w:sz w:val="24"/>
          <w:szCs w:val="24"/>
        </w:rPr>
        <w:t xml:space="preserve"> </w:t>
      </w:r>
      <w:r w:rsidR="00EA03F7" w:rsidRPr="00995094">
        <w:rPr>
          <w:sz w:val="24"/>
          <w:szCs w:val="24"/>
          <w:lang w:val="en-US"/>
        </w:rPr>
        <w:t>al</w:t>
      </w:r>
      <w:r w:rsidR="00EA03F7" w:rsidRPr="00995094">
        <w:rPr>
          <w:sz w:val="24"/>
          <w:szCs w:val="24"/>
        </w:rPr>
        <w:t>., 2015</w:t>
      </w:r>
      <w:r w:rsidR="00FA6AAD" w:rsidRPr="00995094">
        <w:rPr>
          <w:sz w:val="24"/>
          <w:szCs w:val="24"/>
        </w:rPr>
        <w:t>).</w:t>
      </w:r>
    </w:p>
    <w:p w:rsidR="00F74001" w:rsidRPr="0015140F" w:rsidRDefault="004723E7" w:rsidP="0015140F">
      <w:pPr>
        <w:pStyle w:val="a5"/>
        <w:numPr>
          <w:ilvl w:val="0"/>
          <w:numId w:val="121"/>
        </w:numPr>
        <w:spacing w:line="360" w:lineRule="auto"/>
        <w:jc w:val="both"/>
        <w:rPr>
          <w:i/>
          <w:sz w:val="24"/>
          <w:szCs w:val="24"/>
        </w:rPr>
      </w:pPr>
      <w:r w:rsidRPr="0015140F">
        <w:rPr>
          <w:i/>
          <w:sz w:val="24"/>
          <w:szCs w:val="24"/>
        </w:rPr>
        <w:t>Κοινωνική στήριξη</w:t>
      </w:r>
    </w:p>
    <w:p w:rsidR="004723E7" w:rsidRPr="00995094" w:rsidRDefault="004723E7" w:rsidP="005A464E">
      <w:pPr>
        <w:spacing w:line="360" w:lineRule="auto"/>
        <w:jc w:val="both"/>
        <w:rPr>
          <w:b/>
          <w:sz w:val="24"/>
          <w:szCs w:val="24"/>
        </w:rPr>
      </w:pPr>
      <w:r w:rsidRPr="005A464E">
        <w:rPr>
          <w:sz w:val="24"/>
          <w:szCs w:val="24"/>
        </w:rPr>
        <w:t>Τα μέλη της οικογένειας βιώνουν άγχος για μεγάλες χρονικές περ</w:t>
      </w:r>
      <w:r w:rsidR="00CB022E" w:rsidRPr="005A464E">
        <w:rPr>
          <w:sz w:val="24"/>
          <w:szCs w:val="24"/>
        </w:rPr>
        <w:t>ιόδους και πρέπει να προσαρμόζοντ</w:t>
      </w:r>
      <w:r w:rsidRPr="005A464E">
        <w:rPr>
          <w:sz w:val="24"/>
          <w:szCs w:val="24"/>
        </w:rPr>
        <w:t>αι συνεχώς κ</w:t>
      </w:r>
      <w:r w:rsidR="001E0361" w:rsidRPr="005A464E">
        <w:rPr>
          <w:sz w:val="24"/>
          <w:szCs w:val="24"/>
        </w:rPr>
        <w:t>αθώς η νόσος εξελίσσεται (Newby</w:t>
      </w:r>
      <w:r w:rsidR="0040519B">
        <w:rPr>
          <w:sz w:val="24"/>
          <w:szCs w:val="24"/>
        </w:rPr>
        <w:t>,</w:t>
      </w:r>
      <w:r w:rsidRPr="005A464E">
        <w:rPr>
          <w:sz w:val="24"/>
          <w:szCs w:val="24"/>
        </w:rPr>
        <w:t xml:space="preserve"> 1996). </w:t>
      </w:r>
      <w:r w:rsidR="00CB022E" w:rsidRPr="005A464E">
        <w:rPr>
          <w:sz w:val="24"/>
          <w:szCs w:val="24"/>
        </w:rPr>
        <w:t>Η ο</w:t>
      </w:r>
      <w:r w:rsidRPr="005A464E">
        <w:rPr>
          <w:sz w:val="24"/>
          <w:szCs w:val="24"/>
        </w:rPr>
        <w:t xml:space="preserve">ικογένεια και </w:t>
      </w:r>
      <w:r w:rsidR="00CB022E" w:rsidRPr="005A464E">
        <w:rPr>
          <w:sz w:val="24"/>
          <w:szCs w:val="24"/>
        </w:rPr>
        <w:t>οι οικογενειακές</w:t>
      </w:r>
      <w:r w:rsidRPr="005A464E">
        <w:rPr>
          <w:sz w:val="24"/>
          <w:szCs w:val="24"/>
        </w:rPr>
        <w:t xml:space="preserve"> σχέσεις που έχουν αναπτυχθεί πριν </w:t>
      </w:r>
      <w:r w:rsidR="00CB022E" w:rsidRPr="005A464E">
        <w:rPr>
          <w:sz w:val="24"/>
          <w:szCs w:val="24"/>
        </w:rPr>
        <w:t>τη</w:t>
      </w:r>
      <w:r w:rsidR="00D90CAF">
        <w:rPr>
          <w:sz w:val="24"/>
          <w:szCs w:val="24"/>
        </w:rPr>
        <w:t>ν</w:t>
      </w:r>
      <w:r w:rsidR="00CB022E" w:rsidRPr="005A464E">
        <w:rPr>
          <w:sz w:val="24"/>
          <w:szCs w:val="24"/>
        </w:rPr>
        <w:t xml:space="preserve"> εμφάνιση της ασθένειας μπορεί να μεταβληθούν</w:t>
      </w:r>
      <w:r w:rsidRPr="005A464E">
        <w:rPr>
          <w:sz w:val="24"/>
          <w:szCs w:val="24"/>
        </w:rPr>
        <w:t xml:space="preserve"> από την παρουσία και τη </w:t>
      </w:r>
      <w:r w:rsidR="00BC520B" w:rsidRPr="005A464E">
        <w:rPr>
          <w:sz w:val="24"/>
          <w:szCs w:val="24"/>
        </w:rPr>
        <w:t>συνακόλουθη</w:t>
      </w:r>
      <w:r w:rsidRPr="005A464E">
        <w:rPr>
          <w:sz w:val="24"/>
          <w:szCs w:val="24"/>
        </w:rPr>
        <w:t xml:space="preserve"> ευθύνη για τη φρον</w:t>
      </w:r>
      <w:r w:rsidR="001E0361" w:rsidRPr="005A464E">
        <w:rPr>
          <w:sz w:val="24"/>
          <w:szCs w:val="24"/>
        </w:rPr>
        <w:t>τίδα για ένα άτομο που υποβάλλε</w:t>
      </w:r>
      <w:r w:rsidRPr="005A464E">
        <w:rPr>
          <w:sz w:val="24"/>
          <w:szCs w:val="24"/>
        </w:rPr>
        <w:t>ται σε αιμοκάθαρση. Είναι γνωστό ότι η προσαρμογή της οικογένειας επηρεάζεται από παράγοντες όπως η ποιότητα των οικογενειακών σχέσε</w:t>
      </w:r>
      <w:r w:rsidR="00DD0783" w:rsidRPr="005A464E">
        <w:rPr>
          <w:sz w:val="24"/>
          <w:szCs w:val="24"/>
        </w:rPr>
        <w:t xml:space="preserve">ων (Beanlands </w:t>
      </w:r>
      <w:r w:rsidR="00566CAA">
        <w:rPr>
          <w:sz w:val="24"/>
          <w:szCs w:val="24"/>
        </w:rPr>
        <w:t>et al</w:t>
      </w:r>
      <w:r w:rsidR="00287004" w:rsidRPr="00287004">
        <w:rPr>
          <w:sz w:val="24"/>
          <w:szCs w:val="24"/>
        </w:rPr>
        <w:t>.,</w:t>
      </w:r>
      <w:r w:rsidR="00BC520B" w:rsidRPr="005A464E">
        <w:rPr>
          <w:sz w:val="24"/>
          <w:szCs w:val="24"/>
        </w:rPr>
        <w:t xml:space="preserve"> 2005), οι</w:t>
      </w:r>
      <w:r w:rsidRPr="005A464E">
        <w:rPr>
          <w:sz w:val="24"/>
          <w:szCs w:val="24"/>
        </w:rPr>
        <w:t xml:space="preserve"> πολιτιστικές αξ</w:t>
      </w:r>
      <w:r w:rsidR="00BC520B" w:rsidRPr="005A464E">
        <w:rPr>
          <w:sz w:val="24"/>
          <w:szCs w:val="24"/>
        </w:rPr>
        <w:t>ίες και οι</w:t>
      </w:r>
      <w:r w:rsidR="0040519B">
        <w:rPr>
          <w:sz w:val="24"/>
          <w:szCs w:val="24"/>
        </w:rPr>
        <w:t xml:space="preserve"> πεποιθήσεις (Lindqvist,</w:t>
      </w:r>
      <w:r w:rsidR="0040519B" w:rsidRPr="0040519B">
        <w:rPr>
          <w:rFonts w:asciiTheme="minorHAnsi" w:hAnsiTheme="minorHAnsi" w:cstheme="minorHAnsi"/>
        </w:rPr>
        <w:t xml:space="preserve"> </w:t>
      </w:r>
      <w:r w:rsidR="0040519B" w:rsidRPr="0040519B">
        <w:rPr>
          <w:rFonts w:asciiTheme="minorHAnsi" w:hAnsiTheme="minorHAnsi" w:cstheme="minorHAnsi"/>
          <w:sz w:val="24"/>
          <w:szCs w:val="24"/>
          <w:lang w:val="en-US"/>
        </w:rPr>
        <w:t>Carlsson</w:t>
      </w:r>
      <w:r w:rsidR="00607E7C" w:rsidRPr="00607E7C">
        <w:rPr>
          <w:rFonts w:asciiTheme="minorHAnsi" w:hAnsiTheme="minorHAnsi" w:cstheme="minorHAnsi"/>
          <w:sz w:val="24"/>
          <w:szCs w:val="24"/>
        </w:rPr>
        <w:t>,</w:t>
      </w:r>
      <w:r w:rsidR="0040519B" w:rsidRPr="0040519B">
        <w:rPr>
          <w:rFonts w:asciiTheme="minorHAnsi" w:hAnsiTheme="minorHAnsi" w:cstheme="minorHAnsi"/>
          <w:sz w:val="24"/>
          <w:szCs w:val="24"/>
        </w:rPr>
        <w:t xml:space="preserve"> &amp; </w:t>
      </w:r>
      <w:r w:rsidR="0040519B" w:rsidRPr="0040519B">
        <w:rPr>
          <w:rFonts w:asciiTheme="minorHAnsi" w:hAnsiTheme="minorHAnsi" w:cstheme="minorHAnsi"/>
          <w:sz w:val="24"/>
          <w:szCs w:val="24"/>
          <w:lang w:val="en-US"/>
        </w:rPr>
        <w:t>Sj</w:t>
      </w:r>
      <w:r w:rsidR="0040519B" w:rsidRPr="0040519B">
        <w:rPr>
          <w:rFonts w:asciiTheme="minorHAnsi" w:hAnsiTheme="minorHAnsi" w:cstheme="minorHAnsi"/>
          <w:sz w:val="24"/>
          <w:szCs w:val="24"/>
        </w:rPr>
        <w:t>ö</w:t>
      </w:r>
      <w:r w:rsidR="0040519B" w:rsidRPr="0040519B">
        <w:rPr>
          <w:rFonts w:asciiTheme="minorHAnsi" w:hAnsiTheme="minorHAnsi" w:cstheme="minorHAnsi"/>
          <w:sz w:val="24"/>
          <w:szCs w:val="24"/>
          <w:lang w:val="en-US"/>
        </w:rPr>
        <w:t>d</w:t>
      </w:r>
      <w:r w:rsidR="0040519B" w:rsidRPr="0040519B">
        <w:rPr>
          <w:rFonts w:asciiTheme="minorHAnsi" w:hAnsiTheme="minorHAnsi" w:cstheme="minorHAnsi"/>
          <w:sz w:val="24"/>
          <w:szCs w:val="24"/>
        </w:rPr>
        <w:t>é</w:t>
      </w:r>
      <w:r w:rsidR="0040519B" w:rsidRPr="0040519B">
        <w:rPr>
          <w:rFonts w:asciiTheme="minorHAnsi" w:hAnsiTheme="minorHAnsi" w:cstheme="minorHAnsi"/>
          <w:sz w:val="24"/>
          <w:szCs w:val="24"/>
          <w:lang w:val="en-US"/>
        </w:rPr>
        <w:t>n</w:t>
      </w:r>
      <w:r w:rsidR="00607E7C" w:rsidRPr="00607E7C">
        <w:rPr>
          <w:rFonts w:asciiTheme="minorHAnsi" w:hAnsiTheme="minorHAnsi" w:cstheme="minorHAnsi"/>
          <w:sz w:val="24"/>
          <w:szCs w:val="24"/>
        </w:rPr>
        <w:t>,</w:t>
      </w:r>
      <w:r w:rsidR="0040519B" w:rsidRPr="0040519B">
        <w:rPr>
          <w:sz w:val="24"/>
          <w:szCs w:val="24"/>
        </w:rPr>
        <w:t xml:space="preserve"> </w:t>
      </w:r>
      <w:r w:rsidRPr="00995094">
        <w:rPr>
          <w:sz w:val="24"/>
          <w:szCs w:val="24"/>
        </w:rPr>
        <w:t>2000).</w:t>
      </w:r>
      <w:r w:rsidR="0015140F" w:rsidRPr="00995094">
        <w:rPr>
          <w:sz w:val="24"/>
          <w:szCs w:val="24"/>
        </w:rPr>
        <w:t xml:space="preserve"> Μια μελέτη</w:t>
      </w:r>
      <w:r w:rsidR="004E6070" w:rsidRPr="00995094">
        <w:rPr>
          <w:sz w:val="24"/>
          <w:szCs w:val="24"/>
        </w:rPr>
        <w:t xml:space="preserve"> σχετικά με την οικογενειακή </w:t>
      </w:r>
      <w:r w:rsidR="0015140F" w:rsidRPr="00995094">
        <w:rPr>
          <w:sz w:val="24"/>
          <w:szCs w:val="24"/>
        </w:rPr>
        <w:t>στήριξη σε Αφροαμερικανούς ασθενείς έδειξε ότι οι οικογένειες, καθώς και ασθενείς με χρόνιες ασθένειες είχαν υψηλά επίπεδα στρες (Holder, 1997).</w:t>
      </w:r>
    </w:p>
    <w:p w:rsidR="002542EB" w:rsidRPr="005A464E" w:rsidRDefault="002542EB" w:rsidP="005A464E">
      <w:pPr>
        <w:spacing w:line="360" w:lineRule="auto"/>
        <w:jc w:val="both"/>
        <w:rPr>
          <w:sz w:val="24"/>
          <w:szCs w:val="24"/>
        </w:rPr>
      </w:pPr>
      <w:r w:rsidRPr="00995094">
        <w:rPr>
          <w:sz w:val="24"/>
          <w:szCs w:val="24"/>
        </w:rPr>
        <w:t xml:space="preserve">Οι </w:t>
      </w:r>
      <w:r w:rsidR="00D90CAF" w:rsidRPr="00995094">
        <w:rPr>
          <w:sz w:val="24"/>
          <w:szCs w:val="24"/>
        </w:rPr>
        <w:t>Elal και</w:t>
      </w:r>
      <w:r w:rsidR="00136DE6" w:rsidRPr="00995094">
        <w:rPr>
          <w:sz w:val="24"/>
          <w:szCs w:val="24"/>
        </w:rPr>
        <w:t xml:space="preserve"> Krespi (1999) αναφέρου</w:t>
      </w:r>
      <w:r w:rsidRPr="00995094">
        <w:rPr>
          <w:sz w:val="24"/>
          <w:szCs w:val="24"/>
        </w:rPr>
        <w:t>ν ότι η κοινωνική υποστήριξη σχετίζεται με βελτιωμένη ψυχολογική προσαρμογή των ασθενών υπό αιμοκάθαρση ενώ οι</w:t>
      </w:r>
      <w:r w:rsidR="0078495A" w:rsidRPr="00995094">
        <w:rPr>
          <w:sz w:val="24"/>
          <w:szCs w:val="24"/>
        </w:rPr>
        <w:t xml:space="preserve"> </w:t>
      </w:r>
      <w:r w:rsidRPr="00995094">
        <w:rPr>
          <w:sz w:val="24"/>
          <w:szCs w:val="24"/>
        </w:rPr>
        <w:t>ασθενείς με κατάθλιψη και υπό αιμοκάθαρση ανέφεραν λιγότερη κοινωνική επαφή με</w:t>
      </w:r>
      <w:r w:rsidR="00643627" w:rsidRPr="00995094">
        <w:rPr>
          <w:sz w:val="24"/>
          <w:szCs w:val="24"/>
        </w:rPr>
        <w:t xml:space="preserve"> άλλους και αντιληφθείσα</w:t>
      </w:r>
      <w:r w:rsidRPr="00995094">
        <w:rPr>
          <w:sz w:val="24"/>
          <w:szCs w:val="24"/>
        </w:rPr>
        <w:t xml:space="preserve"> κοιν</w:t>
      </w:r>
      <w:r w:rsidR="0015140F" w:rsidRPr="00995094">
        <w:rPr>
          <w:sz w:val="24"/>
          <w:szCs w:val="24"/>
        </w:rPr>
        <w:t xml:space="preserve">ωνική </w:t>
      </w:r>
      <w:r w:rsidR="0040519B" w:rsidRPr="00995094">
        <w:rPr>
          <w:sz w:val="24"/>
          <w:szCs w:val="24"/>
        </w:rPr>
        <w:t>στήριξη.</w:t>
      </w:r>
      <w:r w:rsidRPr="00995094">
        <w:rPr>
          <w:sz w:val="24"/>
          <w:szCs w:val="24"/>
        </w:rPr>
        <w:t xml:space="preserve"> Οι </w:t>
      </w:r>
      <w:r w:rsidR="0040519B" w:rsidRPr="00995094">
        <w:rPr>
          <w:sz w:val="24"/>
          <w:szCs w:val="24"/>
        </w:rPr>
        <w:t>Sarason</w:t>
      </w:r>
      <w:r w:rsidR="00682CF3" w:rsidRPr="00995094">
        <w:rPr>
          <w:sz w:val="24"/>
          <w:szCs w:val="24"/>
        </w:rPr>
        <w:t xml:space="preserve"> </w:t>
      </w:r>
      <w:r w:rsidR="00682CF3" w:rsidRPr="00995094">
        <w:rPr>
          <w:sz w:val="24"/>
          <w:szCs w:val="24"/>
          <w:lang w:val="en-US"/>
        </w:rPr>
        <w:t>I</w:t>
      </w:r>
      <w:r w:rsidR="0040519B" w:rsidRPr="00995094">
        <w:rPr>
          <w:sz w:val="24"/>
          <w:szCs w:val="24"/>
        </w:rPr>
        <w:t xml:space="preserve">, </w:t>
      </w:r>
      <w:r w:rsidR="0040519B" w:rsidRPr="00995094">
        <w:rPr>
          <w:rFonts w:asciiTheme="minorHAnsi" w:hAnsiTheme="minorHAnsi" w:cstheme="minorHAnsi"/>
          <w:sz w:val="24"/>
          <w:szCs w:val="24"/>
          <w:shd w:val="clear" w:color="auto" w:fill="FFFFFF"/>
          <w:lang w:val="en-US"/>
        </w:rPr>
        <w:t>Sarason</w:t>
      </w:r>
      <w:r w:rsidR="00682CF3" w:rsidRPr="00995094">
        <w:rPr>
          <w:rFonts w:asciiTheme="minorHAnsi" w:hAnsiTheme="minorHAnsi" w:cstheme="minorHAnsi"/>
          <w:sz w:val="24"/>
          <w:szCs w:val="24"/>
          <w:shd w:val="clear" w:color="auto" w:fill="FFFFFF"/>
        </w:rPr>
        <w:t xml:space="preserve"> </w:t>
      </w:r>
      <w:r w:rsidR="00682CF3" w:rsidRPr="00995094">
        <w:rPr>
          <w:rFonts w:asciiTheme="minorHAnsi" w:hAnsiTheme="minorHAnsi" w:cstheme="minorHAnsi"/>
          <w:sz w:val="24"/>
          <w:szCs w:val="24"/>
          <w:shd w:val="clear" w:color="auto" w:fill="FFFFFF"/>
          <w:lang w:val="en-US"/>
        </w:rPr>
        <w:t>B</w:t>
      </w:r>
      <w:r w:rsidR="00136DE6" w:rsidRPr="00995094">
        <w:rPr>
          <w:rFonts w:asciiTheme="minorHAnsi" w:hAnsiTheme="minorHAnsi" w:cstheme="minorHAnsi"/>
          <w:sz w:val="24"/>
          <w:szCs w:val="24"/>
          <w:shd w:val="clear" w:color="auto" w:fill="FFFFFF"/>
        </w:rPr>
        <w:t>,</w:t>
      </w:r>
      <w:r w:rsidR="00D90CAF" w:rsidRPr="00995094">
        <w:rPr>
          <w:rFonts w:asciiTheme="minorHAnsi" w:hAnsiTheme="minorHAnsi" w:cstheme="minorHAnsi"/>
          <w:sz w:val="24"/>
          <w:szCs w:val="24"/>
          <w:shd w:val="clear" w:color="auto" w:fill="FFFFFF"/>
        </w:rPr>
        <w:t xml:space="preserve"> και</w:t>
      </w:r>
      <w:r w:rsidR="0040519B" w:rsidRPr="00995094">
        <w:rPr>
          <w:rFonts w:asciiTheme="minorHAnsi" w:hAnsiTheme="minorHAnsi" w:cstheme="minorHAnsi"/>
          <w:sz w:val="24"/>
          <w:szCs w:val="24"/>
          <w:shd w:val="clear" w:color="auto" w:fill="FFFFFF"/>
        </w:rPr>
        <w:t xml:space="preserve"> </w:t>
      </w:r>
      <w:r w:rsidR="0040519B" w:rsidRPr="00995094">
        <w:rPr>
          <w:rFonts w:asciiTheme="minorHAnsi" w:hAnsiTheme="minorHAnsi" w:cstheme="minorHAnsi"/>
          <w:sz w:val="24"/>
          <w:szCs w:val="24"/>
          <w:shd w:val="clear" w:color="auto" w:fill="FFFFFF"/>
          <w:lang w:val="en-US"/>
        </w:rPr>
        <w:t>Pierce</w:t>
      </w:r>
      <w:r w:rsidR="00643627" w:rsidRPr="00995094">
        <w:rPr>
          <w:sz w:val="24"/>
          <w:szCs w:val="24"/>
        </w:rPr>
        <w:t xml:space="preserve"> (1990) αναφέρουν</w:t>
      </w:r>
      <w:r w:rsidRPr="00995094">
        <w:rPr>
          <w:sz w:val="24"/>
          <w:szCs w:val="24"/>
        </w:rPr>
        <w:t xml:space="preserve"> ότι η αντιληφθείσα</w:t>
      </w:r>
      <w:r w:rsidR="0015140F" w:rsidRPr="00995094">
        <w:rPr>
          <w:sz w:val="24"/>
          <w:szCs w:val="24"/>
        </w:rPr>
        <w:t xml:space="preserve"> κοινωνική </w:t>
      </w:r>
      <w:r w:rsidR="00D90CAF" w:rsidRPr="00995094">
        <w:rPr>
          <w:sz w:val="24"/>
          <w:szCs w:val="24"/>
        </w:rPr>
        <w:t>στήριξη αποτελεί</w:t>
      </w:r>
      <w:r w:rsidRPr="005A464E">
        <w:rPr>
          <w:sz w:val="24"/>
          <w:szCs w:val="24"/>
        </w:rPr>
        <w:t xml:space="preserve"> ένα μέρος της προσωπικότητας του ατόμου. Ανάλογα με τη φύση</w:t>
      </w:r>
      <w:r w:rsidR="00D90CAF">
        <w:rPr>
          <w:sz w:val="24"/>
          <w:szCs w:val="24"/>
        </w:rPr>
        <w:t xml:space="preserve"> της προσωπικότητας του ανθρώπου, η ικανοποίηση που αισθάνε</w:t>
      </w:r>
      <w:r w:rsidRPr="005A464E">
        <w:rPr>
          <w:sz w:val="24"/>
          <w:szCs w:val="24"/>
        </w:rPr>
        <w:t>ται από την</w:t>
      </w:r>
      <w:r w:rsidR="00D90CAF">
        <w:rPr>
          <w:sz w:val="24"/>
          <w:szCs w:val="24"/>
        </w:rPr>
        <w:t xml:space="preserve"> κοινωνική στήριξη που λαμβάνει</w:t>
      </w:r>
      <w:r w:rsidRPr="005A464E">
        <w:rPr>
          <w:sz w:val="24"/>
          <w:szCs w:val="24"/>
        </w:rPr>
        <w:t xml:space="preserve"> μπορεί να είναι πιο σημαντική</w:t>
      </w:r>
      <w:r w:rsidR="0078495A">
        <w:rPr>
          <w:sz w:val="24"/>
          <w:szCs w:val="24"/>
        </w:rPr>
        <w:t xml:space="preserve"> </w:t>
      </w:r>
      <w:r w:rsidRPr="005A464E">
        <w:rPr>
          <w:sz w:val="24"/>
          <w:szCs w:val="24"/>
        </w:rPr>
        <w:t xml:space="preserve">από την </w:t>
      </w:r>
      <w:r w:rsidR="00A22487" w:rsidRPr="005A464E">
        <w:rPr>
          <w:sz w:val="24"/>
          <w:szCs w:val="24"/>
        </w:rPr>
        <w:t>αντίληψη</w:t>
      </w:r>
      <w:r w:rsidRPr="005A464E">
        <w:rPr>
          <w:sz w:val="24"/>
          <w:szCs w:val="24"/>
        </w:rPr>
        <w:t xml:space="preserve"> για τη διαθεσιμότητα της κο</w:t>
      </w:r>
      <w:r w:rsidR="00D90CAF">
        <w:rPr>
          <w:sz w:val="24"/>
          <w:szCs w:val="24"/>
        </w:rPr>
        <w:t>ινωνικής υποστήριξης</w:t>
      </w:r>
      <w:r w:rsidRPr="005A464E">
        <w:rPr>
          <w:sz w:val="24"/>
          <w:szCs w:val="24"/>
        </w:rPr>
        <w:t>. Έτσι, ο αντίκτυπος της ικανοποίησης που θα λάβει από την κοινωνική στήριξη μπορεί να ποικίλει ανάλογα με τα χαρακτηριστικά της προσωπικότητα</w:t>
      </w:r>
      <w:r w:rsidR="00D90CAF">
        <w:rPr>
          <w:sz w:val="24"/>
          <w:szCs w:val="24"/>
        </w:rPr>
        <w:t>ς του ανθρώπου</w:t>
      </w:r>
      <w:r w:rsidR="00585998" w:rsidRPr="005A464E">
        <w:rPr>
          <w:sz w:val="24"/>
          <w:szCs w:val="24"/>
        </w:rPr>
        <w:t xml:space="preserve"> (Gencoz &amp; Astan</w:t>
      </w:r>
      <w:r w:rsidR="00AB454B">
        <w:rPr>
          <w:sz w:val="24"/>
          <w:szCs w:val="24"/>
        </w:rPr>
        <w:t>,</w:t>
      </w:r>
      <w:r w:rsidR="00585998" w:rsidRPr="005A464E">
        <w:rPr>
          <w:sz w:val="24"/>
          <w:szCs w:val="24"/>
        </w:rPr>
        <w:t xml:space="preserve"> </w:t>
      </w:r>
      <w:r w:rsidRPr="005A464E">
        <w:rPr>
          <w:sz w:val="24"/>
          <w:szCs w:val="24"/>
        </w:rPr>
        <w:t>2006).</w:t>
      </w:r>
    </w:p>
    <w:p w:rsidR="00585998" w:rsidRPr="00A60246" w:rsidRDefault="00585998" w:rsidP="00A60246">
      <w:pPr>
        <w:pStyle w:val="a5"/>
        <w:numPr>
          <w:ilvl w:val="0"/>
          <w:numId w:val="121"/>
        </w:numPr>
        <w:spacing w:line="360" w:lineRule="auto"/>
        <w:jc w:val="both"/>
        <w:rPr>
          <w:i/>
          <w:sz w:val="24"/>
          <w:szCs w:val="24"/>
        </w:rPr>
      </w:pPr>
      <w:r w:rsidRPr="00A60246">
        <w:rPr>
          <w:i/>
          <w:sz w:val="24"/>
          <w:szCs w:val="24"/>
        </w:rPr>
        <w:t xml:space="preserve">Οικογενειακή κατάσταση </w:t>
      </w:r>
    </w:p>
    <w:p w:rsidR="00136DE6" w:rsidRPr="00995094" w:rsidRDefault="00585998" w:rsidP="005A464E">
      <w:pPr>
        <w:spacing w:line="360" w:lineRule="auto"/>
        <w:jc w:val="both"/>
        <w:rPr>
          <w:strike/>
          <w:sz w:val="24"/>
          <w:szCs w:val="24"/>
        </w:rPr>
      </w:pPr>
      <w:r w:rsidRPr="005A464E">
        <w:rPr>
          <w:sz w:val="24"/>
          <w:szCs w:val="24"/>
        </w:rPr>
        <w:t xml:space="preserve">Οι Kao </w:t>
      </w:r>
      <w:r w:rsidR="00566CAA">
        <w:rPr>
          <w:sz w:val="24"/>
          <w:szCs w:val="24"/>
        </w:rPr>
        <w:t>et al</w:t>
      </w:r>
      <w:r w:rsidR="003B4333">
        <w:rPr>
          <w:sz w:val="24"/>
          <w:szCs w:val="24"/>
        </w:rPr>
        <w:t>.</w:t>
      </w:r>
      <w:r w:rsidRPr="005A464E">
        <w:rPr>
          <w:sz w:val="24"/>
          <w:szCs w:val="24"/>
        </w:rPr>
        <w:t xml:space="preserve"> (2009) μελέτησαν τη</w:t>
      </w:r>
      <w:r w:rsidR="0078495A">
        <w:rPr>
          <w:sz w:val="24"/>
          <w:szCs w:val="24"/>
        </w:rPr>
        <w:t xml:space="preserve"> </w:t>
      </w:r>
      <w:r w:rsidRPr="005A464E">
        <w:rPr>
          <w:sz w:val="24"/>
          <w:szCs w:val="24"/>
        </w:rPr>
        <w:t>συσχέτιση μεταξύ οικονομικών, κοι</w:t>
      </w:r>
      <w:r w:rsidR="00D90CAF">
        <w:rPr>
          <w:sz w:val="24"/>
          <w:szCs w:val="24"/>
        </w:rPr>
        <w:t>νωνικών, ψυχολογικών παραγόντων</w:t>
      </w:r>
      <w:r w:rsidRPr="005A464E">
        <w:rPr>
          <w:sz w:val="24"/>
          <w:szCs w:val="24"/>
        </w:rPr>
        <w:t xml:space="preserve"> και της ΣΥΠΖ 861 ασθενών </w:t>
      </w:r>
      <w:r w:rsidR="00123982" w:rsidRPr="005A464E">
        <w:rPr>
          <w:sz w:val="24"/>
          <w:szCs w:val="24"/>
        </w:rPr>
        <w:t xml:space="preserve">από την Ταϊβάν </w:t>
      </w:r>
      <w:r w:rsidRPr="005A464E">
        <w:rPr>
          <w:sz w:val="24"/>
          <w:szCs w:val="24"/>
        </w:rPr>
        <w:t>που υποβάλλονταν σε αιμοκάθαρση με τη χρήση του SF-36. Οι Κ</w:t>
      </w:r>
      <w:r w:rsidRPr="005A464E">
        <w:rPr>
          <w:sz w:val="24"/>
          <w:szCs w:val="24"/>
          <w:lang w:val="en-US"/>
        </w:rPr>
        <w:t>ao</w:t>
      </w:r>
      <w:r w:rsidR="001E0361" w:rsidRPr="005A464E">
        <w:rPr>
          <w:sz w:val="24"/>
          <w:szCs w:val="24"/>
        </w:rPr>
        <w:t xml:space="preserve"> </w:t>
      </w:r>
      <w:r w:rsidR="00566CAA">
        <w:rPr>
          <w:sz w:val="24"/>
          <w:szCs w:val="24"/>
        </w:rPr>
        <w:t>et al</w:t>
      </w:r>
      <w:r w:rsidRPr="005A464E">
        <w:rPr>
          <w:sz w:val="24"/>
          <w:szCs w:val="24"/>
        </w:rPr>
        <w:t xml:space="preserve"> </w:t>
      </w:r>
      <w:r w:rsidR="00DD162B">
        <w:rPr>
          <w:sz w:val="24"/>
          <w:szCs w:val="24"/>
        </w:rPr>
        <w:t xml:space="preserve">(2009) </w:t>
      </w:r>
      <w:r w:rsidR="00D90CAF">
        <w:rPr>
          <w:sz w:val="24"/>
          <w:szCs w:val="24"/>
        </w:rPr>
        <w:t>διε</w:t>
      </w:r>
      <w:r w:rsidRPr="005A464E">
        <w:rPr>
          <w:sz w:val="24"/>
          <w:szCs w:val="24"/>
        </w:rPr>
        <w:t xml:space="preserve">πίστωσαν ότι η </w:t>
      </w:r>
      <w:r w:rsidR="00DD162B">
        <w:rPr>
          <w:sz w:val="24"/>
          <w:szCs w:val="24"/>
        </w:rPr>
        <w:t>οικογενειακή κατάσταση δεν σχετίζ</w:t>
      </w:r>
      <w:r w:rsidRPr="005A464E">
        <w:rPr>
          <w:sz w:val="24"/>
          <w:szCs w:val="24"/>
        </w:rPr>
        <w:t>εται με την ΣΥΠΖ. Τα πορίσματά τους</w:t>
      </w:r>
      <w:r w:rsidR="00DD162B">
        <w:rPr>
          <w:sz w:val="24"/>
          <w:szCs w:val="24"/>
        </w:rPr>
        <w:t xml:space="preserve"> συμφωνούν και με μια μελέτη που διεξήχθη στο</w:t>
      </w:r>
      <w:r w:rsidRPr="005A464E">
        <w:rPr>
          <w:sz w:val="24"/>
          <w:szCs w:val="24"/>
        </w:rPr>
        <w:t xml:space="preserve"> Χονγκ Κονγκ χρησιμοποιώντας την κλίμακα </w:t>
      </w:r>
      <w:r w:rsidR="001E0361" w:rsidRPr="005A464E">
        <w:rPr>
          <w:sz w:val="24"/>
          <w:szCs w:val="24"/>
        </w:rPr>
        <w:t>Chinese Dialysis Qο</w:t>
      </w:r>
      <w:r w:rsidR="00A60246">
        <w:rPr>
          <w:sz w:val="24"/>
          <w:szCs w:val="24"/>
        </w:rPr>
        <w:t>L Scale</w:t>
      </w:r>
      <w:r w:rsidR="00A60246" w:rsidRPr="00995094">
        <w:rPr>
          <w:sz w:val="24"/>
          <w:szCs w:val="24"/>
        </w:rPr>
        <w:t xml:space="preserve">. </w:t>
      </w:r>
      <w:r w:rsidR="00517605" w:rsidRPr="00995094">
        <w:rPr>
          <w:sz w:val="24"/>
          <w:szCs w:val="24"/>
        </w:rPr>
        <w:t>Στη</w:t>
      </w:r>
      <w:r w:rsidR="00A60246" w:rsidRPr="00995094">
        <w:rPr>
          <w:sz w:val="24"/>
          <w:szCs w:val="24"/>
        </w:rPr>
        <w:t xml:space="preserve"> μελέτη αυτή</w:t>
      </w:r>
      <w:r w:rsidRPr="00995094">
        <w:rPr>
          <w:sz w:val="24"/>
          <w:szCs w:val="24"/>
        </w:rPr>
        <w:t xml:space="preserve"> </w:t>
      </w:r>
      <w:r w:rsidR="00DD162B" w:rsidRPr="00995094">
        <w:rPr>
          <w:sz w:val="24"/>
          <w:szCs w:val="24"/>
        </w:rPr>
        <w:t>όπου</w:t>
      </w:r>
      <w:r w:rsidR="00DD162B">
        <w:rPr>
          <w:sz w:val="24"/>
          <w:szCs w:val="24"/>
        </w:rPr>
        <w:t xml:space="preserve"> </w:t>
      </w:r>
      <w:r w:rsidR="00517605">
        <w:rPr>
          <w:sz w:val="24"/>
          <w:szCs w:val="24"/>
        </w:rPr>
        <w:t>δια</w:t>
      </w:r>
      <w:r w:rsidR="00D90CAF">
        <w:rPr>
          <w:sz w:val="24"/>
          <w:szCs w:val="24"/>
        </w:rPr>
        <w:t>πιστώθη</w:t>
      </w:r>
      <w:r w:rsidR="00517605">
        <w:rPr>
          <w:sz w:val="24"/>
          <w:szCs w:val="24"/>
        </w:rPr>
        <w:t>κε</w:t>
      </w:r>
      <w:r w:rsidRPr="005A464E">
        <w:rPr>
          <w:sz w:val="24"/>
          <w:szCs w:val="24"/>
        </w:rPr>
        <w:t xml:space="preserve"> ότι η οικογενειακή κατάσταση δεν είχε καμία επίδραση στην ποιότητα ζω</w:t>
      </w:r>
      <w:r w:rsidR="001E0361" w:rsidRPr="005A464E">
        <w:rPr>
          <w:sz w:val="24"/>
          <w:szCs w:val="24"/>
        </w:rPr>
        <w:t>ής (</w:t>
      </w:r>
      <w:r w:rsidR="001E0361" w:rsidRPr="005A464E">
        <w:rPr>
          <w:rFonts w:eastAsia="Times New Roman"/>
          <w:sz w:val="24"/>
          <w:szCs w:val="24"/>
          <w:lang w:val="en-US" w:eastAsia="el-GR"/>
        </w:rPr>
        <w:t>Suet</w:t>
      </w:r>
      <w:r w:rsidR="001E0361" w:rsidRPr="005A464E">
        <w:rPr>
          <w:rFonts w:eastAsia="Times New Roman"/>
          <w:sz w:val="24"/>
          <w:szCs w:val="24"/>
          <w:lang w:eastAsia="el-GR"/>
        </w:rPr>
        <w:t>-</w:t>
      </w:r>
      <w:r w:rsidR="001E0361" w:rsidRPr="005A464E">
        <w:rPr>
          <w:rFonts w:eastAsia="Times New Roman"/>
          <w:sz w:val="24"/>
          <w:szCs w:val="24"/>
          <w:lang w:val="en-US" w:eastAsia="el-GR"/>
        </w:rPr>
        <w:t>Ching</w:t>
      </w:r>
      <w:r w:rsidR="00DD162B">
        <w:rPr>
          <w:rFonts w:eastAsia="Times New Roman"/>
          <w:sz w:val="24"/>
          <w:szCs w:val="24"/>
          <w:lang w:eastAsia="el-GR"/>
        </w:rPr>
        <w:t>,</w:t>
      </w:r>
      <w:r w:rsidRPr="005A464E">
        <w:rPr>
          <w:sz w:val="24"/>
          <w:szCs w:val="24"/>
        </w:rPr>
        <w:t xml:space="preserve"> 2001). Η εμφάνιση της ΧΝΝ μπορεί να προκαλέσει πίεση στους συνηθισμένους οικογενειακούς ρόλους και μπορεί να αλλάξει την ικανότητα τω</w:t>
      </w:r>
      <w:r w:rsidR="00D90CAF">
        <w:rPr>
          <w:sz w:val="24"/>
          <w:szCs w:val="24"/>
        </w:rPr>
        <w:t xml:space="preserve">ν ασθενών να </w:t>
      </w:r>
      <w:r w:rsidR="00D90CAF" w:rsidRPr="00995094">
        <w:rPr>
          <w:sz w:val="24"/>
          <w:szCs w:val="24"/>
        </w:rPr>
        <w:t>εργαστούν, προκαλώ</w:t>
      </w:r>
      <w:r w:rsidRPr="00995094">
        <w:rPr>
          <w:sz w:val="24"/>
          <w:szCs w:val="24"/>
        </w:rPr>
        <w:t>ντας</w:t>
      </w:r>
      <w:r w:rsidR="00517605" w:rsidRPr="00995094">
        <w:rPr>
          <w:sz w:val="24"/>
          <w:szCs w:val="24"/>
        </w:rPr>
        <w:t xml:space="preserve"> μια αλλαγή</w:t>
      </w:r>
      <w:r w:rsidRPr="00995094">
        <w:rPr>
          <w:sz w:val="24"/>
          <w:szCs w:val="24"/>
        </w:rPr>
        <w:t xml:space="preserve"> των ρόλων των ατόμων μ</w:t>
      </w:r>
      <w:r w:rsidR="00E573F8" w:rsidRPr="00995094">
        <w:rPr>
          <w:sz w:val="24"/>
          <w:szCs w:val="24"/>
        </w:rPr>
        <w:t>έσα στην οικογένεια. Η πιθανότητα</w:t>
      </w:r>
      <w:r w:rsidR="001E0361" w:rsidRPr="00995094">
        <w:rPr>
          <w:sz w:val="24"/>
          <w:szCs w:val="24"/>
        </w:rPr>
        <w:t xml:space="preserve"> </w:t>
      </w:r>
      <w:r w:rsidR="00E573F8" w:rsidRPr="00995094">
        <w:rPr>
          <w:sz w:val="24"/>
          <w:szCs w:val="24"/>
        </w:rPr>
        <w:t>των κατα</w:t>
      </w:r>
      <w:r w:rsidR="001E0361" w:rsidRPr="00995094">
        <w:rPr>
          <w:sz w:val="24"/>
          <w:szCs w:val="24"/>
        </w:rPr>
        <w:t>στροφικών συνεπειών της</w:t>
      </w:r>
      <w:r w:rsidR="00E573F8" w:rsidRPr="00995094">
        <w:rPr>
          <w:sz w:val="24"/>
          <w:szCs w:val="24"/>
        </w:rPr>
        <w:t xml:space="preserve"> </w:t>
      </w:r>
      <w:r w:rsidR="00123982" w:rsidRPr="00995094">
        <w:rPr>
          <w:sz w:val="24"/>
          <w:szCs w:val="24"/>
        </w:rPr>
        <w:t>ΤΣ</w:t>
      </w:r>
      <w:r w:rsidR="00E573F8" w:rsidRPr="00995094">
        <w:rPr>
          <w:sz w:val="24"/>
          <w:szCs w:val="24"/>
        </w:rPr>
        <w:t xml:space="preserve">ΧΝΝ </w:t>
      </w:r>
      <w:r w:rsidRPr="00995094">
        <w:rPr>
          <w:sz w:val="24"/>
          <w:szCs w:val="24"/>
        </w:rPr>
        <w:t xml:space="preserve">στην ψυχοκοινωνική </w:t>
      </w:r>
      <w:r w:rsidR="00E573F8" w:rsidRPr="00995094">
        <w:rPr>
          <w:sz w:val="24"/>
          <w:szCs w:val="24"/>
        </w:rPr>
        <w:t xml:space="preserve">λειτουργία </w:t>
      </w:r>
      <w:r w:rsidR="00B0560D" w:rsidRPr="00995094">
        <w:rPr>
          <w:sz w:val="24"/>
          <w:szCs w:val="24"/>
        </w:rPr>
        <w:t>του ασθενούς</w:t>
      </w:r>
      <w:r w:rsidR="00E573F8" w:rsidRPr="00995094">
        <w:rPr>
          <w:sz w:val="24"/>
          <w:szCs w:val="24"/>
        </w:rPr>
        <w:t xml:space="preserve"> και η </w:t>
      </w:r>
      <w:r w:rsidRPr="00995094">
        <w:rPr>
          <w:sz w:val="24"/>
          <w:szCs w:val="24"/>
        </w:rPr>
        <w:t>οικογενειακή πίεση που βιώνουν οι ασθενείς που υποβάλλονται σε αιμοκάθαρση είναι καλά τεκμηριωμέ</w:t>
      </w:r>
      <w:r w:rsidR="00E573F8" w:rsidRPr="00995094">
        <w:rPr>
          <w:sz w:val="24"/>
          <w:szCs w:val="24"/>
        </w:rPr>
        <w:t>νη (Shidler</w:t>
      </w:r>
      <w:r w:rsidR="00DD162B" w:rsidRPr="00995094">
        <w:rPr>
          <w:sz w:val="24"/>
          <w:szCs w:val="24"/>
        </w:rPr>
        <w:t>,</w:t>
      </w:r>
      <w:r w:rsidR="0078495A" w:rsidRPr="00995094">
        <w:rPr>
          <w:sz w:val="24"/>
          <w:szCs w:val="24"/>
        </w:rPr>
        <w:t xml:space="preserve"> </w:t>
      </w:r>
      <w:r w:rsidR="00DD162B" w:rsidRPr="00995094">
        <w:rPr>
          <w:rFonts w:asciiTheme="minorHAnsi" w:hAnsiTheme="minorHAnsi" w:cstheme="minorHAnsi"/>
          <w:sz w:val="24"/>
          <w:szCs w:val="24"/>
          <w:lang w:val="en-US"/>
        </w:rPr>
        <w:t>Peterson</w:t>
      </w:r>
      <w:r w:rsidR="00C71CA6" w:rsidRPr="00995094">
        <w:rPr>
          <w:rFonts w:asciiTheme="minorHAnsi" w:hAnsiTheme="minorHAnsi" w:cstheme="minorHAnsi"/>
          <w:sz w:val="24"/>
          <w:szCs w:val="24"/>
        </w:rPr>
        <w:t>,</w:t>
      </w:r>
      <w:r w:rsidR="00DD162B" w:rsidRPr="00995094">
        <w:rPr>
          <w:rFonts w:asciiTheme="minorHAnsi" w:hAnsiTheme="minorHAnsi" w:cstheme="minorHAnsi"/>
          <w:sz w:val="24"/>
          <w:szCs w:val="24"/>
        </w:rPr>
        <w:t xml:space="preserve"> &amp; </w:t>
      </w:r>
      <w:r w:rsidR="00DD162B" w:rsidRPr="00995094">
        <w:rPr>
          <w:rFonts w:asciiTheme="minorHAnsi" w:hAnsiTheme="minorHAnsi" w:cstheme="minorHAnsi"/>
          <w:sz w:val="24"/>
          <w:szCs w:val="24"/>
          <w:lang w:val="en-US"/>
        </w:rPr>
        <w:t>Kimmel</w:t>
      </w:r>
      <w:r w:rsidR="00C71CA6" w:rsidRPr="00995094">
        <w:rPr>
          <w:sz w:val="24"/>
          <w:szCs w:val="24"/>
        </w:rPr>
        <w:t xml:space="preserve">, </w:t>
      </w:r>
      <w:r w:rsidRPr="00995094">
        <w:rPr>
          <w:sz w:val="24"/>
          <w:szCs w:val="24"/>
        </w:rPr>
        <w:t xml:space="preserve">1998). </w:t>
      </w:r>
      <w:r w:rsidR="00E573F8" w:rsidRPr="00995094">
        <w:rPr>
          <w:sz w:val="24"/>
          <w:szCs w:val="24"/>
        </w:rPr>
        <w:t xml:space="preserve">Οι </w:t>
      </w:r>
      <w:r w:rsidRPr="00995094">
        <w:rPr>
          <w:sz w:val="24"/>
          <w:szCs w:val="24"/>
        </w:rPr>
        <w:t>Acaray και Pinar</w:t>
      </w:r>
      <w:r w:rsidR="00E573F8" w:rsidRPr="00995094">
        <w:rPr>
          <w:sz w:val="24"/>
          <w:szCs w:val="24"/>
        </w:rPr>
        <w:t xml:space="preserve"> (2005) μελέτησαν 100 Τούρκους ασθενείς υπό</w:t>
      </w:r>
      <w:r w:rsidRPr="00995094">
        <w:rPr>
          <w:sz w:val="24"/>
          <w:szCs w:val="24"/>
        </w:rPr>
        <w:t xml:space="preserve"> αιμοκάθαρση χρησ</w:t>
      </w:r>
      <w:r w:rsidR="00E573F8" w:rsidRPr="00995094">
        <w:rPr>
          <w:sz w:val="24"/>
          <w:szCs w:val="24"/>
        </w:rPr>
        <w:t>ιμοποιώντας το SF-36 και ανέφεραν</w:t>
      </w:r>
      <w:r w:rsidRPr="00995094">
        <w:rPr>
          <w:sz w:val="24"/>
          <w:szCs w:val="24"/>
        </w:rPr>
        <w:t xml:space="preserve"> ότι η συνολική βαθμολογία </w:t>
      </w:r>
      <w:r w:rsidR="00E573F8" w:rsidRPr="00995094">
        <w:rPr>
          <w:sz w:val="24"/>
          <w:szCs w:val="24"/>
        </w:rPr>
        <w:t>της ΠΖ</w:t>
      </w:r>
      <w:r w:rsidRPr="00995094">
        <w:rPr>
          <w:sz w:val="24"/>
          <w:szCs w:val="24"/>
        </w:rPr>
        <w:t xml:space="preserve"> ήταν σημ</w:t>
      </w:r>
      <w:r w:rsidR="00E573F8" w:rsidRPr="00995094">
        <w:rPr>
          <w:sz w:val="24"/>
          <w:szCs w:val="24"/>
        </w:rPr>
        <w:t>αντικά υψηλότερη σε</w:t>
      </w:r>
      <w:r w:rsidR="0078495A" w:rsidRPr="00995094">
        <w:rPr>
          <w:sz w:val="24"/>
          <w:szCs w:val="24"/>
        </w:rPr>
        <w:t xml:space="preserve"> </w:t>
      </w:r>
      <w:r w:rsidRPr="00995094">
        <w:rPr>
          <w:sz w:val="24"/>
          <w:szCs w:val="24"/>
        </w:rPr>
        <w:t>ασθενείς</w:t>
      </w:r>
      <w:r w:rsidR="00E573F8" w:rsidRPr="00995094">
        <w:rPr>
          <w:sz w:val="24"/>
          <w:szCs w:val="24"/>
        </w:rPr>
        <w:t xml:space="preserve"> χωρίς σύντροφο</w:t>
      </w:r>
      <w:r w:rsidR="00123982" w:rsidRPr="00995094">
        <w:rPr>
          <w:sz w:val="24"/>
          <w:szCs w:val="24"/>
        </w:rPr>
        <w:t xml:space="preserve"> - </w:t>
      </w:r>
      <w:r w:rsidRPr="00995094">
        <w:rPr>
          <w:sz w:val="24"/>
          <w:szCs w:val="24"/>
        </w:rPr>
        <w:t>εκτός από την ψυχική υγεία</w:t>
      </w:r>
      <w:r w:rsidR="00643627" w:rsidRPr="00995094">
        <w:rPr>
          <w:sz w:val="24"/>
          <w:szCs w:val="24"/>
        </w:rPr>
        <w:t xml:space="preserve"> -</w:t>
      </w:r>
      <w:r w:rsidRPr="00995094">
        <w:rPr>
          <w:sz w:val="24"/>
          <w:szCs w:val="24"/>
        </w:rPr>
        <w:t xml:space="preserve"> σε σύγκρι</w:t>
      </w:r>
      <w:r w:rsidR="001E0361" w:rsidRPr="00995094">
        <w:rPr>
          <w:sz w:val="24"/>
          <w:szCs w:val="24"/>
        </w:rPr>
        <w:t>ση με εκείνη των έγγαμ</w:t>
      </w:r>
      <w:r w:rsidR="00E573F8" w:rsidRPr="00995094">
        <w:rPr>
          <w:sz w:val="24"/>
          <w:szCs w:val="24"/>
        </w:rPr>
        <w:t>ων, των χήρων</w:t>
      </w:r>
      <w:r w:rsidRPr="00995094">
        <w:rPr>
          <w:sz w:val="24"/>
          <w:szCs w:val="24"/>
        </w:rPr>
        <w:t xml:space="preserve"> ή </w:t>
      </w:r>
      <w:r w:rsidR="00E573F8" w:rsidRPr="00995094">
        <w:rPr>
          <w:sz w:val="24"/>
          <w:szCs w:val="24"/>
        </w:rPr>
        <w:t>των διαζευγμένων</w:t>
      </w:r>
      <w:r w:rsidR="00643627" w:rsidRPr="00995094">
        <w:rPr>
          <w:sz w:val="24"/>
          <w:szCs w:val="24"/>
        </w:rPr>
        <w:t xml:space="preserve"> ασθενών υπό αιμοκάθαρση</w:t>
      </w:r>
      <w:r w:rsidR="0085076B" w:rsidRPr="00995094">
        <w:rPr>
          <w:sz w:val="24"/>
          <w:szCs w:val="24"/>
        </w:rPr>
        <w:t>. Μια πιθανή εξήγηση γι’</w:t>
      </w:r>
      <w:r w:rsidRPr="00995094">
        <w:rPr>
          <w:sz w:val="24"/>
          <w:szCs w:val="24"/>
        </w:rPr>
        <w:t xml:space="preserve"> αυτό τ</w:t>
      </w:r>
      <w:r w:rsidR="00E573F8" w:rsidRPr="00995094">
        <w:rPr>
          <w:sz w:val="24"/>
          <w:szCs w:val="24"/>
        </w:rPr>
        <w:t>ο αποτέλεσμα ήταν</w:t>
      </w:r>
      <w:r w:rsidR="001E0361" w:rsidRPr="00995094">
        <w:rPr>
          <w:sz w:val="24"/>
          <w:szCs w:val="24"/>
        </w:rPr>
        <w:t xml:space="preserve"> ότι οι ασθενείς χωρίς σύντροφο</w:t>
      </w:r>
      <w:r w:rsidR="00E573F8" w:rsidRPr="00995094">
        <w:rPr>
          <w:sz w:val="24"/>
          <w:szCs w:val="24"/>
        </w:rPr>
        <w:t xml:space="preserve"> είχαν λιγότερες</w:t>
      </w:r>
      <w:r w:rsidRPr="00995094">
        <w:rPr>
          <w:sz w:val="24"/>
          <w:szCs w:val="24"/>
        </w:rPr>
        <w:t xml:space="preserve"> ευθύν</w:t>
      </w:r>
      <w:r w:rsidR="001E0361" w:rsidRPr="00995094">
        <w:rPr>
          <w:sz w:val="24"/>
          <w:szCs w:val="24"/>
        </w:rPr>
        <w:t>ες σε σύγκριση με τους έγγαμ</w:t>
      </w:r>
      <w:r w:rsidRPr="00995094">
        <w:rPr>
          <w:sz w:val="24"/>
          <w:szCs w:val="24"/>
        </w:rPr>
        <w:t>ο</w:t>
      </w:r>
      <w:r w:rsidR="00E573F8" w:rsidRPr="00995094">
        <w:rPr>
          <w:sz w:val="24"/>
          <w:szCs w:val="24"/>
        </w:rPr>
        <w:t>υς</w:t>
      </w:r>
      <w:r w:rsidRPr="00995094">
        <w:rPr>
          <w:sz w:val="24"/>
          <w:szCs w:val="24"/>
        </w:rPr>
        <w:t xml:space="preserve">. </w:t>
      </w:r>
    </w:p>
    <w:p w:rsidR="00585998" w:rsidRPr="005A464E" w:rsidRDefault="004F2012" w:rsidP="005A464E">
      <w:pPr>
        <w:spacing w:line="360" w:lineRule="auto"/>
        <w:jc w:val="both"/>
      </w:pPr>
      <w:r w:rsidRPr="00995094">
        <w:rPr>
          <w:sz w:val="24"/>
          <w:szCs w:val="24"/>
        </w:rPr>
        <w:t>Οι σύζυγοι μπορούν να γίνουν φροντιστές και πιθα</w:t>
      </w:r>
      <w:r w:rsidR="00123982" w:rsidRPr="00995094">
        <w:rPr>
          <w:sz w:val="24"/>
          <w:szCs w:val="24"/>
        </w:rPr>
        <w:t>νόν να εμφανίσουν κατάθλιψη ή</w:t>
      </w:r>
      <w:r w:rsidR="00322DD2" w:rsidRPr="00995094">
        <w:rPr>
          <w:sz w:val="24"/>
          <w:szCs w:val="24"/>
        </w:rPr>
        <w:t>/</w:t>
      </w:r>
      <w:r w:rsidRPr="00995094">
        <w:rPr>
          <w:sz w:val="24"/>
          <w:szCs w:val="24"/>
        </w:rPr>
        <w:t>και λεκτική κακοποίηση. Μπορεί να χρειαστεί να αλλάξουν τα πρότυπα</w:t>
      </w:r>
      <w:r w:rsidR="001E0361" w:rsidRPr="00995094">
        <w:rPr>
          <w:sz w:val="24"/>
          <w:szCs w:val="24"/>
        </w:rPr>
        <w:t xml:space="preserve"> εργασίας, οδηγώντας σε</w:t>
      </w:r>
      <w:r w:rsidRPr="00995094">
        <w:rPr>
          <w:sz w:val="24"/>
          <w:szCs w:val="24"/>
        </w:rPr>
        <w:t xml:space="preserve"> αλλαγή του ρόλου τους μέσα στην οικογένεια. Επιπλέον, ο/η σύζυγος μπορεί να είναι το αντικείμενο των αρνητικών συν</w:t>
      </w:r>
      <w:r w:rsidR="001E0361" w:rsidRPr="00995094">
        <w:rPr>
          <w:sz w:val="24"/>
          <w:szCs w:val="24"/>
        </w:rPr>
        <w:t xml:space="preserve">αισθημάτων </w:t>
      </w:r>
      <w:r w:rsidR="00B0560D" w:rsidRPr="00995094">
        <w:rPr>
          <w:sz w:val="24"/>
          <w:szCs w:val="24"/>
        </w:rPr>
        <w:t>του ασθενούς</w:t>
      </w:r>
      <w:r w:rsidR="001E0361" w:rsidRPr="00995094">
        <w:rPr>
          <w:sz w:val="24"/>
          <w:szCs w:val="24"/>
        </w:rPr>
        <w:t xml:space="preserve"> (Palmer</w:t>
      </w:r>
      <w:r w:rsidR="00DD162B" w:rsidRPr="00995094">
        <w:rPr>
          <w:sz w:val="24"/>
          <w:szCs w:val="24"/>
        </w:rPr>
        <w:t>,</w:t>
      </w:r>
      <w:r w:rsidR="0085076B" w:rsidRPr="00995094">
        <w:rPr>
          <w:sz w:val="24"/>
          <w:szCs w:val="24"/>
        </w:rPr>
        <w:t xml:space="preserve"> 2003). </w:t>
      </w:r>
      <w:r w:rsidR="007C0C37" w:rsidRPr="00995094">
        <w:rPr>
          <w:sz w:val="24"/>
          <w:szCs w:val="24"/>
        </w:rPr>
        <w:t>Ο</w:t>
      </w:r>
      <w:r w:rsidRPr="00995094">
        <w:rPr>
          <w:sz w:val="24"/>
          <w:szCs w:val="24"/>
        </w:rPr>
        <w:t>ι διαταραχές</w:t>
      </w:r>
      <w:r w:rsidR="00517605" w:rsidRPr="00995094">
        <w:rPr>
          <w:sz w:val="24"/>
          <w:szCs w:val="24"/>
        </w:rPr>
        <w:t xml:space="preserve"> στη δο</w:t>
      </w:r>
      <w:r w:rsidR="00517605">
        <w:rPr>
          <w:sz w:val="24"/>
          <w:szCs w:val="24"/>
        </w:rPr>
        <w:t>μή της οικογένειας και των ρόλων</w:t>
      </w:r>
      <w:r w:rsidRPr="005A464E">
        <w:rPr>
          <w:sz w:val="24"/>
          <w:szCs w:val="24"/>
        </w:rPr>
        <w:t xml:space="preserve"> </w:t>
      </w:r>
      <w:r w:rsidR="00517605">
        <w:rPr>
          <w:sz w:val="24"/>
          <w:szCs w:val="24"/>
        </w:rPr>
        <w:t xml:space="preserve">επιδρούν αρνητικά στην υγεία </w:t>
      </w:r>
      <w:r w:rsidRPr="005A464E">
        <w:rPr>
          <w:sz w:val="24"/>
          <w:szCs w:val="24"/>
        </w:rPr>
        <w:t xml:space="preserve">ενώ είναι δυνατόν να επηρεάσουν την αντιληφθείσα κοινωνική στήριξη </w:t>
      </w:r>
      <w:r w:rsidR="00203165" w:rsidRPr="005A464E">
        <w:rPr>
          <w:sz w:val="24"/>
          <w:szCs w:val="24"/>
        </w:rPr>
        <w:t xml:space="preserve">(Cukor </w:t>
      </w:r>
      <w:r w:rsidR="00566CAA">
        <w:rPr>
          <w:sz w:val="24"/>
          <w:szCs w:val="24"/>
        </w:rPr>
        <w:t>et al</w:t>
      </w:r>
      <w:r w:rsidR="000143B4">
        <w:rPr>
          <w:sz w:val="24"/>
          <w:szCs w:val="24"/>
        </w:rPr>
        <w:t>.</w:t>
      </w:r>
      <w:r w:rsidR="00C81D8C" w:rsidRPr="00C81D8C">
        <w:rPr>
          <w:sz w:val="24"/>
          <w:szCs w:val="24"/>
        </w:rPr>
        <w:t>,</w:t>
      </w:r>
      <w:r w:rsidR="00203165" w:rsidRPr="005A464E">
        <w:rPr>
          <w:sz w:val="24"/>
          <w:szCs w:val="24"/>
        </w:rPr>
        <w:t xml:space="preserve"> 2007).</w:t>
      </w:r>
    </w:p>
    <w:p w:rsidR="000D6AFB" w:rsidRPr="005A464E" w:rsidRDefault="000D6AFB" w:rsidP="005A464E">
      <w:pPr>
        <w:spacing w:line="360" w:lineRule="auto"/>
        <w:jc w:val="both"/>
        <w:rPr>
          <w:sz w:val="24"/>
          <w:szCs w:val="24"/>
        </w:rPr>
      </w:pPr>
      <w:r w:rsidRPr="005A464E">
        <w:rPr>
          <w:sz w:val="24"/>
          <w:szCs w:val="24"/>
        </w:rPr>
        <w:t xml:space="preserve">Οι ασθενείς υπό </w:t>
      </w:r>
      <w:r w:rsidR="007C0C37">
        <w:rPr>
          <w:sz w:val="24"/>
          <w:szCs w:val="24"/>
        </w:rPr>
        <w:t>αιμοκάθαρση</w:t>
      </w:r>
      <w:r w:rsidR="007C0C37" w:rsidRPr="005A464E">
        <w:rPr>
          <w:sz w:val="24"/>
          <w:szCs w:val="24"/>
        </w:rPr>
        <w:t xml:space="preserve"> </w:t>
      </w:r>
      <w:r w:rsidRPr="005A464E">
        <w:rPr>
          <w:sz w:val="24"/>
          <w:szCs w:val="24"/>
        </w:rPr>
        <w:t xml:space="preserve">συχνά βιώνουν μια σημαντική επιδείνωση στην εικόνα του εαυτού τους καθώς και σημαντικές δυσκολίες στη σεξουαλική τους ζωή </w:t>
      </w:r>
      <w:r w:rsidR="00203165" w:rsidRPr="005A464E">
        <w:rPr>
          <w:sz w:val="24"/>
          <w:szCs w:val="24"/>
        </w:rPr>
        <w:t>(Zarifian</w:t>
      </w:r>
      <w:r w:rsidR="0085076B">
        <w:rPr>
          <w:sz w:val="24"/>
          <w:szCs w:val="24"/>
        </w:rPr>
        <w:t>,</w:t>
      </w:r>
      <w:r w:rsidRPr="005A464E">
        <w:rPr>
          <w:sz w:val="24"/>
          <w:szCs w:val="24"/>
        </w:rPr>
        <w:t xml:space="preserve"> 1994).</w:t>
      </w:r>
      <w:r w:rsidR="0078495A">
        <w:rPr>
          <w:sz w:val="24"/>
          <w:szCs w:val="24"/>
        </w:rPr>
        <w:t xml:space="preserve"> </w:t>
      </w:r>
      <w:r w:rsidRPr="005A464E">
        <w:rPr>
          <w:sz w:val="24"/>
          <w:szCs w:val="24"/>
        </w:rPr>
        <w:t>Η σεξουαλική δυσλειτουργία μπορεί να αλλάξει τις σχέσεις σε έναν</w:t>
      </w:r>
      <w:r w:rsidR="0078495A">
        <w:rPr>
          <w:sz w:val="24"/>
          <w:szCs w:val="24"/>
        </w:rPr>
        <w:t xml:space="preserve"> </w:t>
      </w:r>
      <w:r w:rsidRPr="005A464E">
        <w:rPr>
          <w:sz w:val="24"/>
          <w:szCs w:val="24"/>
        </w:rPr>
        <w:t>γάμο και να επηρεάσει αρν</w:t>
      </w:r>
      <w:r w:rsidR="001E0361" w:rsidRPr="005A464E">
        <w:rPr>
          <w:sz w:val="24"/>
          <w:szCs w:val="24"/>
        </w:rPr>
        <w:t>ητικά τις οικογενειακές σχέσεις</w:t>
      </w:r>
      <w:r w:rsidR="00203165" w:rsidRPr="005A464E">
        <w:rPr>
          <w:sz w:val="24"/>
          <w:szCs w:val="24"/>
        </w:rPr>
        <w:t xml:space="preserve"> καθώς και </w:t>
      </w:r>
      <w:r w:rsidR="001E0361" w:rsidRPr="005A464E">
        <w:rPr>
          <w:sz w:val="24"/>
          <w:szCs w:val="24"/>
        </w:rPr>
        <w:t xml:space="preserve">την </w:t>
      </w:r>
      <w:r w:rsidR="00203165" w:rsidRPr="005A464E">
        <w:rPr>
          <w:sz w:val="24"/>
          <w:szCs w:val="24"/>
        </w:rPr>
        <w:t>ΠΖ (Palmer</w:t>
      </w:r>
      <w:r w:rsidR="00DD162B">
        <w:rPr>
          <w:sz w:val="24"/>
          <w:szCs w:val="24"/>
        </w:rPr>
        <w:t>,</w:t>
      </w:r>
      <w:r w:rsidRPr="005A464E">
        <w:rPr>
          <w:sz w:val="24"/>
          <w:szCs w:val="24"/>
        </w:rPr>
        <w:t xml:space="preserve"> 2003).</w:t>
      </w:r>
      <w:r w:rsidR="001E0361" w:rsidRPr="005A464E">
        <w:rPr>
          <w:sz w:val="24"/>
          <w:szCs w:val="24"/>
        </w:rPr>
        <w:t xml:space="preserve"> </w:t>
      </w:r>
      <w:r w:rsidRPr="005A464E">
        <w:rPr>
          <w:sz w:val="24"/>
          <w:szCs w:val="24"/>
        </w:rPr>
        <w:t>Ψυχοκοινωνικά θέματα, όπως οι αλλαγές στην εικόνα του σώματος, μπορεί να συμβάλουν στην εμφάνιση σεξουαλικών προβλημάτων</w:t>
      </w:r>
      <w:r w:rsidR="0078495A">
        <w:rPr>
          <w:sz w:val="24"/>
          <w:szCs w:val="24"/>
        </w:rPr>
        <w:t xml:space="preserve"> </w:t>
      </w:r>
      <w:r w:rsidR="00203165" w:rsidRPr="005A464E">
        <w:rPr>
          <w:sz w:val="24"/>
          <w:szCs w:val="24"/>
        </w:rPr>
        <w:t xml:space="preserve">(Camsari </w:t>
      </w:r>
      <w:r w:rsidR="00566CAA">
        <w:rPr>
          <w:sz w:val="24"/>
          <w:szCs w:val="24"/>
        </w:rPr>
        <w:t>et al</w:t>
      </w:r>
      <w:r w:rsidR="00DD162B">
        <w:rPr>
          <w:sz w:val="24"/>
          <w:szCs w:val="24"/>
        </w:rPr>
        <w:t>.</w:t>
      </w:r>
      <w:r w:rsidR="0085076B">
        <w:rPr>
          <w:sz w:val="24"/>
          <w:szCs w:val="24"/>
        </w:rPr>
        <w:t>,</w:t>
      </w:r>
      <w:r w:rsidRPr="005A464E">
        <w:rPr>
          <w:sz w:val="24"/>
          <w:szCs w:val="24"/>
        </w:rPr>
        <w:t xml:space="preserve"> 1999). Οι ασθενείς </w:t>
      </w:r>
      <w:r w:rsidR="001E0361" w:rsidRPr="005A464E">
        <w:rPr>
          <w:sz w:val="24"/>
          <w:szCs w:val="24"/>
        </w:rPr>
        <w:t>που υποβάλλονται σε αιμοκάθαρση</w:t>
      </w:r>
      <w:r w:rsidRPr="005A464E">
        <w:rPr>
          <w:sz w:val="24"/>
          <w:szCs w:val="24"/>
        </w:rPr>
        <w:t xml:space="preserve"> μέσω </w:t>
      </w:r>
      <w:r w:rsidR="00817853">
        <w:rPr>
          <w:sz w:val="24"/>
          <w:szCs w:val="24"/>
        </w:rPr>
        <w:t>μια</w:t>
      </w:r>
      <w:r w:rsidRPr="005A464E">
        <w:rPr>
          <w:sz w:val="24"/>
          <w:szCs w:val="24"/>
        </w:rPr>
        <w:t>ς κεντρική</w:t>
      </w:r>
      <w:r w:rsidR="007C0C37">
        <w:rPr>
          <w:sz w:val="24"/>
          <w:szCs w:val="24"/>
        </w:rPr>
        <w:t>ς</w:t>
      </w:r>
      <w:r w:rsidRPr="005A464E">
        <w:rPr>
          <w:sz w:val="24"/>
          <w:szCs w:val="24"/>
        </w:rPr>
        <w:t xml:space="preserve"> φλεβικής γραμμής, μπορεί να υποστούν σοκ ως προς την εικόνα του σώματό</w:t>
      </w:r>
      <w:r w:rsidR="005E2C83" w:rsidRPr="005A464E">
        <w:rPr>
          <w:sz w:val="24"/>
          <w:szCs w:val="24"/>
        </w:rPr>
        <w:t>ς</w:t>
      </w:r>
      <w:r w:rsidRPr="005A464E">
        <w:rPr>
          <w:sz w:val="24"/>
          <w:szCs w:val="24"/>
        </w:rPr>
        <w:t xml:space="preserve"> καθώς συνειδητοποιούν ότι ένα ξέν</w:t>
      </w:r>
      <w:r w:rsidR="001E0361" w:rsidRPr="005A464E">
        <w:rPr>
          <w:sz w:val="24"/>
          <w:szCs w:val="24"/>
        </w:rPr>
        <w:t>ο σώμα υπάρχει στο σώμα</w:t>
      </w:r>
      <w:r w:rsidRPr="005A464E">
        <w:rPr>
          <w:sz w:val="24"/>
          <w:szCs w:val="24"/>
        </w:rPr>
        <w:t xml:space="preserve"> τους. Αυτό που</w:t>
      </w:r>
      <w:r w:rsidR="001E0361" w:rsidRPr="005A464E">
        <w:rPr>
          <w:sz w:val="24"/>
          <w:szCs w:val="24"/>
        </w:rPr>
        <w:t xml:space="preserve"> </w:t>
      </w:r>
      <w:r w:rsidRPr="005A464E">
        <w:rPr>
          <w:sz w:val="24"/>
          <w:szCs w:val="24"/>
        </w:rPr>
        <w:t xml:space="preserve">θα μπορούσε να θεωρηθεί από τους επαγγελματίες υγείας ως καλή πρόσβαση σε αγγείο, μπορεί να γίνει αντιληπτό από τον ασθενή </w:t>
      </w:r>
      <w:r w:rsidR="00203165" w:rsidRPr="005A464E">
        <w:rPr>
          <w:sz w:val="24"/>
          <w:szCs w:val="24"/>
        </w:rPr>
        <w:t>ως παραμόρφωση (Levy</w:t>
      </w:r>
      <w:r w:rsidR="00607E7C" w:rsidRPr="00607E7C">
        <w:rPr>
          <w:sz w:val="24"/>
          <w:szCs w:val="24"/>
        </w:rPr>
        <w:t xml:space="preserve"> </w:t>
      </w:r>
      <w:r w:rsidR="00607E7C">
        <w:rPr>
          <w:sz w:val="24"/>
          <w:szCs w:val="24"/>
          <w:lang w:val="en-US"/>
        </w:rPr>
        <w:t>et</w:t>
      </w:r>
      <w:r w:rsidR="00607E7C" w:rsidRPr="00607E7C">
        <w:rPr>
          <w:sz w:val="24"/>
          <w:szCs w:val="24"/>
        </w:rPr>
        <w:t xml:space="preserve"> </w:t>
      </w:r>
      <w:r w:rsidR="00607E7C">
        <w:rPr>
          <w:sz w:val="24"/>
          <w:szCs w:val="24"/>
          <w:lang w:val="en-US"/>
        </w:rPr>
        <w:t>al</w:t>
      </w:r>
      <w:r w:rsidR="00607E7C" w:rsidRPr="00607E7C">
        <w:rPr>
          <w:sz w:val="24"/>
          <w:szCs w:val="24"/>
        </w:rPr>
        <w:t xml:space="preserve">., </w:t>
      </w:r>
      <w:r w:rsidR="00203165" w:rsidRPr="00DD162B">
        <w:rPr>
          <w:sz w:val="24"/>
          <w:szCs w:val="24"/>
        </w:rPr>
        <w:t>2004</w:t>
      </w:r>
      <w:r w:rsidRPr="00DD162B">
        <w:rPr>
          <w:sz w:val="24"/>
          <w:szCs w:val="24"/>
        </w:rPr>
        <w:t>). Οι φυσικές ανωμαλίες και τα σημάδια είν</w:t>
      </w:r>
      <w:r w:rsidR="007C0C37">
        <w:rPr>
          <w:sz w:val="24"/>
          <w:szCs w:val="24"/>
        </w:rPr>
        <w:t xml:space="preserve">αι συνήθη σε ασθενείς με </w:t>
      </w:r>
      <w:r w:rsidR="00123982">
        <w:rPr>
          <w:sz w:val="24"/>
          <w:szCs w:val="24"/>
        </w:rPr>
        <w:t>ΤΣ</w:t>
      </w:r>
      <w:r w:rsidR="007C0C37">
        <w:rPr>
          <w:sz w:val="24"/>
          <w:szCs w:val="24"/>
        </w:rPr>
        <w:t>ΧΝΝ</w:t>
      </w:r>
      <w:r w:rsidRPr="00DD162B">
        <w:rPr>
          <w:sz w:val="24"/>
          <w:szCs w:val="24"/>
        </w:rPr>
        <w:t xml:space="preserve"> λόγω της συχνής εισαγωγής των βελονών που </w:t>
      </w:r>
      <w:r w:rsidRPr="005A464E">
        <w:rPr>
          <w:sz w:val="24"/>
          <w:szCs w:val="24"/>
        </w:rPr>
        <w:t>απαιτούνται για την αιμοκάθαρση</w:t>
      </w:r>
      <w:r w:rsidR="00203165" w:rsidRPr="005A464E">
        <w:rPr>
          <w:sz w:val="24"/>
          <w:szCs w:val="24"/>
        </w:rPr>
        <w:t xml:space="preserve"> (Hutchful</w:t>
      </w:r>
      <w:r w:rsidR="00DD162B">
        <w:rPr>
          <w:sz w:val="24"/>
          <w:szCs w:val="24"/>
        </w:rPr>
        <w:t>,</w:t>
      </w:r>
      <w:r w:rsidR="00203165" w:rsidRPr="005A464E">
        <w:rPr>
          <w:sz w:val="24"/>
          <w:szCs w:val="24"/>
        </w:rPr>
        <w:t xml:space="preserve"> </w:t>
      </w:r>
      <w:r w:rsidRPr="005A464E">
        <w:rPr>
          <w:sz w:val="24"/>
          <w:szCs w:val="24"/>
        </w:rPr>
        <w:t>1980). Η αγγειακή πρόσβαση (αρτηριοφλεβική αναστόμωση, μόσχευμα, περιτοναϊκός καθετήρας, κεντρικός φλεβικός καθετήρας) μεταβάλλει την εικόνα του σώματος, η οποία μπορεί να επηρεάσει το επίπεδο της ελκυστικότητας προς το άλλο φύλο και επηρεάζει αρνητικά την συζυγική σχέση καθώς και την ΠΖ.</w:t>
      </w:r>
    </w:p>
    <w:p w:rsidR="00203165" w:rsidRPr="00A60246" w:rsidRDefault="00203165" w:rsidP="00A60246">
      <w:pPr>
        <w:pStyle w:val="a5"/>
        <w:numPr>
          <w:ilvl w:val="0"/>
          <w:numId w:val="121"/>
        </w:numPr>
        <w:spacing w:line="360" w:lineRule="auto"/>
        <w:jc w:val="both"/>
        <w:rPr>
          <w:i/>
          <w:sz w:val="24"/>
          <w:szCs w:val="24"/>
        </w:rPr>
      </w:pPr>
      <w:r w:rsidRPr="00A60246">
        <w:rPr>
          <w:i/>
          <w:sz w:val="24"/>
          <w:szCs w:val="24"/>
        </w:rPr>
        <w:t xml:space="preserve">Εργασιακή κατάσταση </w:t>
      </w:r>
    </w:p>
    <w:p w:rsidR="00123982" w:rsidRPr="00995094" w:rsidRDefault="00203165" w:rsidP="005A464E">
      <w:pPr>
        <w:spacing w:line="360" w:lineRule="auto"/>
        <w:jc w:val="both"/>
        <w:rPr>
          <w:sz w:val="24"/>
          <w:szCs w:val="24"/>
        </w:rPr>
      </w:pPr>
      <w:r w:rsidRPr="005A464E">
        <w:rPr>
          <w:sz w:val="24"/>
          <w:szCs w:val="24"/>
        </w:rPr>
        <w:t>Οι μακροπρόθεσμες επιπλοκές που π</w:t>
      </w:r>
      <w:r w:rsidR="00DD7C7B" w:rsidRPr="005A464E">
        <w:rPr>
          <w:sz w:val="24"/>
          <w:szCs w:val="24"/>
        </w:rPr>
        <w:t xml:space="preserve">ροκύπτουν από τη </w:t>
      </w:r>
      <w:r w:rsidR="00123982">
        <w:rPr>
          <w:sz w:val="24"/>
          <w:szCs w:val="24"/>
        </w:rPr>
        <w:t>ΤΣ</w:t>
      </w:r>
      <w:r w:rsidR="00DD7C7B" w:rsidRPr="005A464E">
        <w:rPr>
          <w:sz w:val="24"/>
          <w:szCs w:val="24"/>
        </w:rPr>
        <w:t>ΧΝΝ</w:t>
      </w:r>
      <w:r w:rsidRPr="005A464E">
        <w:rPr>
          <w:sz w:val="24"/>
          <w:szCs w:val="24"/>
        </w:rPr>
        <w:t xml:space="preserve"> οδηγούν σε μείωση </w:t>
      </w:r>
      <w:r w:rsidR="0085076B">
        <w:rPr>
          <w:sz w:val="24"/>
          <w:szCs w:val="24"/>
        </w:rPr>
        <w:t>της σωματικής λειτουργικότητας.</w:t>
      </w:r>
      <w:r w:rsidR="00DD7C7B" w:rsidRPr="005A464E">
        <w:rPr>
          <w:sz w:val="24"/>
          <w:szCs w:val="24"/>
        </w:rPr>
        <w:t xml:space="preserve"> Τα μειωμένα</w:t>
      </w:r>
      <w:r w:rsidRPr="005A464E">
        <w:rPr>
          <w:sz w:val="24"/>
          <w:szCs w:val="24"/>
        </w:rPr>
        <w:t xml:space="preserve"> επίπεδα παραγωγικότητας</w:t>
      </w:r>
      <w:r w:rsidR="001E0361" w:rsidRPr="005A464E">
        <w:rPr>
          <w:sz w:val="24"/>
          <w:szCs w:val="24"/>
        </w:rPr>
        <w:t xml:space="preserve"> </w:t>
      </w:r>
      <w:r w:rsidR="00DD7C7B" w:rsidRPr="005A464E">
        <w:rPr>
          <w:sz w:val="24"/>
          <w:szCs w:val="24"/>
        </w:rPr>
        <w:t>και ενέργειας</w:t>
      </w:r>
      <w:r w:rsidR="001E0361" w:rsidRPr="005A464E">
        <w:rPr>
          <w:sz w:val="24"/>
          <w:szCs w:val="24"/>
        </w:rPr>
        <w:t xml:space="preserve"> </w:t>
      </w:r>
      <w:r w:rsidR="00DD7C7B" w:rsidRPr="005A464E">
        <w:rPr>
          <w:sz w:val="24"/>
          <w:szCs w:val="24"/>
        </w:rPr>
        <w:t>στην εργασία</w:t>
      </w:r>
      <w:r w:rsidRPr="005A464E">
        <w:rPr>
          <w:sz w:val="24"/>
          <w:szCs w:val="24"/>
        </w:rPr>
        <w:t xml:space="preserve"> συχνά οδηγούν σε αδυναμία </w:t>
      </w:r>
      <w:r w:rsidR="00DD7C7B" w:rsidRPr="005A464E">
        <w:rPr>
          <w:sz w:val="24"/>
          <w:szCs w:val="24"/>
        </w:rPr>
        <w:t xml:space="preserve">άσκησης ενός επαγγέλματος </w:t>
      </w:r>
      <w:r w:rsidR="00CB451C" w:rsidRPr="005A464E">
        <w:rPr>
          <w:sz w:val="24"/>
          <w:szCs w:val="24"/>
        </w:rPr>
        <w:t>πλήρους απασχόλησης</w:t>
      </w:r>
      <w:r w:rsidR="00DD7C7B" w:rsidRPr="005A464E">
        <w:rPr>
          <w:sz w:val="24"/>
          <w:szCs w:val="24"/>
        </w:rPr>
        <w:t>. Οι στρεσσογόνοι παράγοντες που προκύπτουν από την οικονομική εξάρτηση</w:t>
      </w:r>
      <w:r w:rsidRPr="005A464E">
        <w:rPr>
          <w:sz w:val="24"/>
          <w:szCs w:val="24"/>
        </w:rPr>
        <w:t>, μαζί με τις δυσκολίες στην αντιμετώπ</w:t>
      </w:r>
      <w:r w:rsidR="00DD7C7B" w:rsidRPr="005A464E">
        <w:rPr>
          <w:sz w:val="24"/>
          <w:szCs w:val="24"/>
        </w:rPr>
        <w:t>ιση των οικογενειακών ευθυνών κ</w:t>
      </w:r>
      <w:r w:rsidRPr="005A464E">
        <w:rPr>
          <w:sz w:val="24"/>
          <w:szCs w:val="24"/>
        </w:rPr>
        <w:t>αι τ</w:t>
      </w:r>
      <w:r w:rsidR="001E0361" w:rsidRPr="005A464E">
        <w:rPr>
          <w:sz w:val="24"/>
          <w:szCs w:val="24"/>
        </w:rPr>
        <w:t>ην κοινωνική ζωή οδηγούν</w:t>
      </w:r>
      <w:r w:rsidR="00DD7C7B" w:rsidRPr="005A464E">
        <w:rPr>
          <w:sz w:val="24"/>
          <w:szCs w:val="24"/>
        </w:rPr>
        <w:t xml:space="preserve"> σε </w:t>
      </w:r>
      <w:r w:rsidRPr="005A464E">
        <w:rPr>
          <w:sz w:val="24"/>
          <w:szCs w:val="24"/>
        </w:rPr>
        <w:t>αλλαγές της διάθεσης και ανεκπλήρωτες ελπίδες (Ferrans &amp; Powers</w:t>
      </w:r>
      <w:r w:rsidR="00AB454B">
        <w:rPr>
          <w:sz w:val="24"/>
          <w:szCs w:val="24"/>
        </w:rPr>
        <w:t>,</w:t>
      </w:r>
      <w:r w:rsidR="00CB451C" w:rsidRPr="005A464E">
        <w:rPr>
          <w:sz w:val="24"/>
          <w:szCs w:val="24"/>
        </w:rPr>
        <w:t xml:space="preserve"> 1992</w:t>
      </w:r>
      <w:r w:rsidRPr="005A464E">
        <w:rPr>
          <w:sz w:val="24"/>
          <w:szCs w:val="24"/>
        </w:rPr>
        <w:t>).</w:t>
      </w:r>
      <w:r w:rsidR="001E0361" w:rsidRPr="005A464E">
        <w:rPr>
          <w:sz w:val="24"/>
          <w:szCs w:val="24"/>
        </w:rPr>
        <w:t xml:space="preserve"> </w:t>
      </w:r>
      <w:r w:rsidR="00DD7C7B" w:rsidRPr="005A464E">
        <w:t xml:space="preserve">Οι </w:t>
      </w:r>
      <w:r w:rsidR="00DD7C7B" w:rsidRPr="005A464E">
        <w:rPr>
          <w:sz w:val="24"/>
          <w:szCs w:val="24"/>
        </w:rPr>
        <w:t xml:space="preserve">ασθενείς με χρόνιες παθήσεις αντιμετωπίζουν στρεσσογόνες καταστάσεις στο εργασιακό τους περιβάλλον. Μελέτες έχουν </w:t>
      </w:r>
      <w:r w:rsidR="00DD7C7B" w:rsidRPr="00995094">
        <w:rPr>
          <w:sz w:val="24"/>
          <w:szCs w:val="24"/>
        </w:rPr>
        <w:t>δείξει ότι παράγοντες όπως η διάρκεια της αιμοκάθαρσης (van Mane</w:t>
      </w:r>
      <w:r w:rsidR="00731256" w:rsidRPr="00995094">
        <w:rPr>
          <w:sz w:val="24"/>
          <w:szCs w:val="24"/>
        </w:rPr>
        <w:t xml:space="preserve">n </w:t>
      </w:r>
      <w:r w:rsidR="00566CAA" w:rsidRPr="00995094">
        <w:rPr>
          <w:sz w:val="24"/>
          <w:szCs w:val="24"/>
        </w:rPr>
        <w:t>et al</w:t>
      </w:r>
      <w:r w:rsidR="00DD162B" w:rsidRPr="00995094">
        <w:rPr>
          <w:sz w:val="24"/>
          <w:szCs w:val="24"/>
        </w:rPr>
        <w:t>.</w:t>
      </w:r>
      <w:r w:rsidR="00DD7C7B" w:rsidRPr="00995094">
        <w:rPr>
          <w:sz w:val="24"/>
          <w:szCs w:val="24"/>
        </w:rPr>
        <w:t xml:space="preserve"> 2001</w:t>
      </w:r>
      <w:r w:rsidR="00731256" w:rsidRPr="00995094">
        <w:rPr>
          <w:sz w:val="24"/>
          <w:szCs w:val="24"/>
        </w:rPr>
        <w:t>)</w:t>
      </w:r>
      <w:r w:rsidR="006E781D" w:rsidRPr="00995094">
        <w:rPr>
          <w:sz w:val="24"/>
          <w:szCs w:val="24"/>
        </w:rPr>
        <w:t>,</w:t>
      </w:r>
      <w:r w:rsidR="001E0361" w:rsidRPr="00995094">
        <w:rPr>
          <w:sz w:val="24"/>
          <w:szCs w:val="24"/>
        </w:rPr>
        <w:t xml:space="preserve"> </w:t>
      </w:r>
      <w:r w:rsidR="007C0C37" w:rsidRPr="00995094">
        <w:rPr>
          <w:sz w:val="24"/>
          <w:szCs w:val="24"/>
        </w:rPr>
        <w:t>το εκπαιδευ</w:t>
      </w:r>
      <w:r w:rsidR="00DD7C7B" w:rsidRPr="00995094">
        <w:rPr>
          <w:sz w:val="24"/>
          <w:szCs w:val="24"/>
        </w:rPr>
        <w:t>τικό επίπεδο, η σωματική λειτουργική ικανότητα και η συννοσηρότητα συνδέονται με το εργασιακό καθεστώς των ασθενών που υποβάλλονται σε αιμοκάθαρση</w:t>
      </w:r>
      <w:r w:rsidR="006E781D" w:rsidRPr="00995094">
        <w:rPr>
          <w:sz w:val="24"/>
          <w:szCs w:val="24"/>
        </w:rPr>
        <w:t xml:space="preserve"> (Μ</w:t>
      </w:r>
      <w:r w:rsidR="00DD7C7B" w:rsidRPr="00995094">
        <w:rPr>
          <w:sz w:val="24"/>
          <w:szCs w:val="24"/>
        </w:rPr>
        <w:t>o</w:t>
      </w:r>
      <w:r w:rsidR="004A7CDC" w:rsidRPr="00995094">
        <w:rPr>
          <w:sz w:val="24"/>
          <w:szCs w:val="24"/>
        </w:rPr>
        <w:t>lsted,</w:t>
      </w:r>
      <w:r w:rsidR="00DD7C7B" w:rsidRPr="00995094">
        <w:rPr>
          <w:sz w:val="24"/>
          <w:szCs w:val="24"/>
        </w:rPr>
        <w:t xml:space="preserve"> </w:t>
      </w:r>
      <w:r w:rsidR="004A7CDC" w:rsidRPr="00995094">
        <w:rPr>
          <w:rFonts w:asciiTheme="minorHAnsi" w:hAnsiTheme="minorHAnsi" w:cstheme="minorHAnsi"/>
          <w:color w:val="000000"/>
          <w:sz w:val="24"/>
          <w:szCs w:val="24"/>
          <w:lang w:val="en-US"/>
        </w:rPr>
        <w:t>Aadahl</w:t>
      </w:r>
      <w:r w:rsidR="004A7CDC" w:rsidRPr="00995094">
        <w:rPr>
          <w:rFonts w:asciiTheme="minorHAnsi" w:hAnsiTheme="minorHAnsi" w:cstheme="minorHAnsi"/>
          <w:color w:val="000000"/>
          <w:sz w:val="24"/>
          <w:szCs w:val="24"/>
        </w:rPr>
        <w:t xml:space="preserve">, </w:t>
      </w:r>
      <w:r w:rsidR="004A7CDC" w:rsidRPr="00995094">
        <w:rPr>
          <w:rFonts w:asciiTheme="minorHAnsi" w:hAnsiTheme="minorHAnsi" w:cstheme="minorHAnsi"/>
          <w:color w:val="000000"/>
          <w:sz w:val="24"/>
          <w:szCs w:val="24"/>
          <w:lang w:val="en-US"/>
        </w:rPr>
        <w:t>Schou</w:t>
      </w:r>
      <w:r w:rsidR="004A7CDC" w:rsidRPr="00995094">
        <w:rPr>
          <w:rFonts w:asciiTheme="minorHAnsi" w:hAnsiTheme="minorHAnsi" w:cstheme="minorHAnsi"/>
          <w:color w:val="000000"/>
          <w:sz w:val="24"/>
          <w:szCs w:val="24"/>
        </w:rPr>
        <w:t xml:space="preserve">, &amp; </w:t>
      </w:r>
      <w:r w:rsidR="004A7CDC" w:rsidRPr="00995094">
        <w:rPr>
          <w:rFonts w:asciiTheme="minorHAnsi" w:hAnsiTheme="minorHAnsi" w:cstheme="minorHAnsi"/>
          <w:color w:val="000000"/>
          <w:sz w:val="24"/>
          <w:szCs w:val="24"/>
          <w:lang w:val="en-US"/>
        </w:rPr>
        <w:t>Eidemak</w:t>
      </w:r>
      <w:r w:rsidR="004A7CDC" w:rsidRPr="00995094">
        <w:rPr>
          <w:rFonts w:asciiTheme="minorHAnsi" w:hAnsiTheme="minorHAnsi" w:cstheme="minorHAnsi"/>
          <w:color w:val="000000"/>
          <w:sz w:val="24"/>
          <w:szCs w:val="24"/>
        </w:rPr>
        <w:t>,</w:t>
      </w:r>
      <w:r w:rsidR="004A7CDC" w:rsidRPr="00995094">
        <w:rPr>
          <w:sz w:val="24"/>
          <w:szCs w:val="24"/>
        </w:rPr>
        <w:t xml:space="preserve"> </w:t>
      </w:r>
      <w:r w:rsidR="00DD7C7B" w:rsidRPr="00995094">
        <w:rPr>
          <w:sz w:val="24"/>
          <w:szCs w:val="24"/>
        </w:rPr>
        <w:t>2004).</w:t>
      </w:r>
      <w:r w:rsidR="00F966F3" w:rsidRPr="00995094">
        <w:rPr>
          <w:sz w:val="24"/>
          <w:szCs w:val="24"/>
        </w:rPr>
        <w:t xml:space="preserve"> </w:t>
      </w:r>
    </w:p>
    <w:p w:rsidR="00203165" w:rsidRPr="00995094" w:rsidRDefault="00DD7C7B" w:rsidP="005A464E">
      <w:pPr>
        <w:spacing w:line="360" w:lineRule="auto"/>
        <w:jc w:val="both"/>
        <w:rPr>
          <w:sz w:val="24"/>
          <w:szCs w:val="24"/>
        </w:rPr>
      </w:pPr>
      <w:r w:rsidRPr="00995094">
        <w:rPr>
          <w:sz w:val="24"/>
          <w:szCs w:val="24"/>
        </w:rPr>
        <w:t xml:space="preserve">Επιπλέον, οι Takaki </w:t>
      </w:r>
      <w:r w:rsidR="00566CAA" w:rsidRPr="00995094">
        <w:rPr>
          <w:sz w:val="24"/>
          <w:szCs w:val="24"/>
        </w:rPr>
        <w:t>et al</w:t>
      </w:r>
      <w:r w:rsidR="00DD162B" w:rsidRPr="00995094">
        <w:rPr>
          <w:sz w:val="24"/>
          <w:szCs w:val="24"/>
        </w:rPr>
        <w:t>.</w:t>
      </w:r>
      <w:r w:rsidRPr="00995094">
        <w:rPr>
          <w:sz w:val="24"/>
          <w:szCs w:val="24"/>
        </w:rPr>
        <w:t xml:space="preserve"> (2005</w:t>
      </w:r>
      <w:r w:rsidR="007C0C37" w:rsidRPr="00995094">
        <w:rPr>
          <w:sz w:val="24"/>
          <w:szCs w:val="24"/>
        </w:rPr>
        <w:t>) αξιολόγησαν τις επιπτώσεις της</w:t>
      </w:r>
      <w:r w:rsidRPr="00995094">
        <w:rPr>
          <w:sz w:val="24"/>
          <w:szCs w:val="24"/>
        </w:rPr>
        <w:t xml:space="preserve"> ηλικία</w:t>
      </w:r>
      <w:r w:rsidR="007C0C37" w:rsidRPr="00995094">
        <w:rPr>
          <w:sz w:val="24"/>
          <w:szCs w:val="24"/>
        </w:rPr>
        <w:t>ς</w:t>
      </w:r>
      <w:r w:rsidRPr="00995094">
        <w:rPr>
          <w:sz w:val="24"/>
          <w:szCs w:val="24"/>
        </w:rPr>
        <w:t>, το</w:t>
      </w:r>
      <w:r w:rsidR="007C0C37" w:rsidRPr="00995094">
        <w:rPr>
          <w:sz w:val="24"/>
          <w:szCs w:val="24"/>
        </w:rPr>
        <w:t>υ</w:t>
      </w:r>
      <w:r w:rsidRPr="00995094">
        <w:rPr>
          <w:sz w:val="24"/>
          <w:szCs w:val="24"/>
        </w:rPr>
        <w:t xml:space="preserve"> φύλο</w:t>
      </w:r>
      <w:r w:rsidR="007C0C37" w:rsidRPr="00995094">
        <w:rPr>
          <w:sz w:val="24"/>
          <w:szCs w:val="24"/>
        </w:rPr>
        <w:t xml:space="preserve">υ, της διάρκειας </w:t>
      </w:r>
      <w:r w:rsidR="00123982" w:rsidRPr="00995094">
        <w:rPr>
          <w:sz w:val="24"/>
          <w:szCs w:val="24"/>
        </w:rPr>
        <w:t>ένταξης στη αιμοκάθαρση</w:t>
      </w:r>
      <w:r w:rsidR="007C0C37" w:rsidRPr="00995094">
        <w:rPr>
          <w:sz w:val="24"/>
          <w:szCs w:val="24"/>
        </w:rPr>
        <w:t>, του επιπέ</w:t>
      </w:r>
      <w:r w:rsidRPr="00995094">
        <w:rPr>
          <w:sz w:val="24"/>
          <w:szCs w:val="24"/>
        </w:rPr>
        <w:t>δο</w:t>
      </w:r>
      <w:r w:rsidR="007C0C37" w:rsidRPr="00995094">
        <w:rPr>
          <w:sz w:val="24"/>
          <w:szCs w:val="24"/>
        </w:rPr>
        <w:t>υ</w:t>
      </w:r>
      <w:r w:rsidRPr="00995094">
        <w:rPr>
          <w:sz w:val="24"/>
          <w:szCs w:val="24"/>
        </w:rPr>
        <w:t xml:space="preserve"> εκπαίδευσης και του εισοδήματος καθώς και τους μηχανισμούς αντιμετώπισης της κατάθλιψης και του άγχο</w:t>
      </w:r>
      <w:r w:rsidR="00123982" w:rsidRPr="00995094">
        <w:rPr>
          <w:sz w:val="24"/>
          <w:szCs w:val="24"/>
        </w:rPr>
        <w:t>υ</w:t>
      </w:r>
      <w:r w:rsidRPr="00995094">
        <w:rPr>
          <w:sz w:val="24"/>
          <w:szCs w:val="24"/>
        </w:rPr>
        <w:t>ς σε 416 ασθενείς που υποβάλλονταν σε</w:t>
      </w:r>
      <w:r w:rsidR="001E0361" w:rsidRPr="00995094">
        <w:rPr>
          <w:sz w:val="24"/>
          <w:szCs w:val="24"/>
        </w:rPr>
        <w:t xml:space="preserve"> αιμοκάθαρση. Έδειξαν ότι η </w:t>
      </w:r>
      <w:r w:rsidRPr="00995094">
        <w:rPr>
          <w:sz w:val="24"/>
          <w:szCs w:val="24"/>
        </w:rPr>
        <w:t xml:space="preserve">απασχόληση βοηθά στην αντιμετώπιση και ελαχιστοποίηση των επιπέδων κατάθλιψης σε ασθενείς που υποβάλλονται σε αιμοκάθαρση. Σε αντίθεση οι Kao </w:t>
      </w:r>
      <w:r w:rsidR="00566CAA" w:rsidRPr="00995094">
        <w:rPr>
          <w:sz w:val="24"/>
          <w:szCs w:val="24"/>
        </w:rPr>
        <w:t>et al</w:t>
      </w:r>
      <w:r w:rsidR="003B4333" w:rsidRPr="00995094">
        <w:rPr>
          <w:sz w:val="24"/>
          <w:szCs w:val="24"/>
        </w:rPr>
        <w:t>.</w:t>
      </w:r>
      <w:r w:rsidR="007C0C37" w:rsidRPr="00995094">
        <w:rPr>
          <w:sz w:val="24"/>
          <w:szCs w:val="24"/>
        </w:rPr>
        <w:t xml:space="preserve"> (2009) έδειξ</w:t>
      </w:r>
      <w:r w:rsidRPr="00995094">
        <w:rPr>
          <w:sz w:val="24"/>
          <w:szCs w:val="24"/>
        </w:rPr>
        <w:t>αν ότι η απασχ</w:t>
      </w:r>
      <w:r w:rsidR="007C0C37" w:rsidRPr="00995094">
        <w:rPr>
          <w:sz w:val="24"/>
          <w:szCs w:val="24"/>
        </w:rPr>
        <w:t>όληση δεν συσχετίζεται</w:t>
      </w:r>
      <w:r w:rsidRPr="00995094">
        <w:rPr>
          <w:sz w:val="24"/>
          <w:szCs w:val="24"/>
        </w:rPr>
        <w:t xml:space="preserve"> με τη ΣΥΠΖ σε μια μελέτη που έγινε μεταξύ 861 ασθενών υπό αιμοκάθαρση στην Ταϊβάν.</w:t>
      </w:r>
    </w:p>
    <w:p w:rsidR="005846B9" w:rsidRPr="00995094" w:rsidRDefault="005846B9" w:rsidP="005A464E">
      <w:pPr>
        <w:spacing w:line="360" w:lineRule="auto"/>
        <w:jc w:val="both"/>
        <w:rPr>
          <w:sz w:val="24"/>
          <w:szCs w:val="24"/>
        </w:rPr>
      </w:pPr>
      <w:r w:rsidRPr="00995094">
        <w:rPr>
          <w:sz w:val="24"/>
          <w:szCs w:val="24"/>
        </w:rPr>
        <w:t>Η απώλεια της εργασίας είναι ένα σημαντικό ζήτημα σε ασθενείς τόσο προτελι</w:t>
      </w:r>
      <w:r w:rsidR="007C0C37" w:rsidRPr="00995094">
        <w:rPr>
          <w:sz w:val="24"/>
          <w:szCs w:val="24"/>
        </w:rPr>
        <w:t>κού όσο και ΤΣΧΝΝ</w:t>
      </w:r>
      <w:r w:rsidRPr="00995094">
        <w:rPr>
          <w:sz w:val="24"/>
          <w:szCs w:val="24"/>
        </w:rPr>
        <w:t>. Επιπλέον, ο</w:t>
      </w:r>
      <w:r w:rsidR="00A3143C" w:rsidRPr="00995094">
        <w:rPr>
          <w:sz w:val="24"/>
          <w:szCs w:val="24"/>
        </w:rPr>
        <w:t xml:space="preserve">ι Kutner, </w:t>
      </w:r>
      <w:r w:rsidR="00A3143C" w:rsidRPr="00995094">
        <w:rPr>
          <w:rFonts w:asciiTheme="minorHAnsi" w:hAnsiTheme="minorHAnsi" w:cstheme="minorHAnsi"/>
          <w:sz w:val="24"/>
          <w:szCs w:val="24"/>
          <w:lang w:val="en-US"/>
        </w:rPr>
        <w:t>Brogan</w:t>
      </w:r>
      <w:r w:rsidR="00607E7C" w:rsidRPr="00995094">
        <w:rPr>
          <w:rFonts w:asciiTheme="minorHAnsi" w:hAnsiTheme="minorHAnsi" w:cstheme="minorHAnsi"/>
          <w:sz w:val="24"/>
          <w:szCs w:val="24"/>
        </w:rPr>
        <w:t>,</w:t>
      </w:r>
      <w:r w:rsidR="007C0C37" w:rsidRPr="00995094">
        <w:rPr>
          <w:rFonts w:asciiTheme="minorHAnsi" w:hAnsiTheme="minorHAnsi" w:cstheme="minorHAnsi"/>
          <w:sz w:val="24"/>
          <w:szCs w:val="24"/>
        </w:rPr>
        <w:t xml:space="preserve"> και</w:t>
      </w:r>
      <w:r w:rsidR="00A3143C" w:rsidRPr="00995094">
        <w:rPr>
          <w:rFonts w:asciiTheme="minorHAnsi" w:hAnsiTheme="minorHAnsi" w:cstheme="minorHAnsi"/>
          <w:sz w:val="24"/>
          <w:szCs w:val="24"/>
        </w:rPr>
        <w:t xml:space="preserve"> </w:t>
      </w:r>
      <w:r w:rsidR="00A3143C" w:rsidRPr="00995094">
        <w:rPr>
          <w:rFonts w:asciiTheme="minorHAnsi" w:hAnsiTheme="minorHAnsi" w:cstheme="minorHAnsi"/>
          <w:sz w:val="24"/>
          <w:szCs w:val="24"/>
          <w:lang w:val="en-US"/>
        </w:rPr>
        <w:t>Fielding</w:t>
      </w:r>
      <w:r w:rsidR="001E0361" w:rsidRPr="00995094">
        <w:rPr>
          <w:sz w:val="24"/>
          <w:szCs w:val="24"/>
        </w:rPr>
        <w:t xml:space="preserve"> (1991) μελέτησαν</w:t>
      </w:r>
      <w:r w:rsidRPr="00995094">
        <w:rPr>
          <w:sz w:val="24"/>
          <w:szCs w:val="24"/>
        </w:rPr>
        <w:t xml:space="preserve"> 283 ασθενείς υπό αιμοκάθαρση, ηλικίας 18-59 ετών, σχετικά με την τρέχουσα εργασιακή τους κατάσταση και την ικανότητά τους να εργαστούν. Η μελέτη έδειξε ότι μόνο το 11% των συμμετεχόντων</w:t>
      </w:r>
      <w:r w:rsidR="0078495A" w:rsidRPr="00995094">
        <w:rPr>
          <w:sz w:val="24"/>
          <w:szCs w:val="24"/>
        </w:rPr>
        <w:t xml:space="preserve"> </w:t>
      </w:r>
      <w:r w:rsidR="00517605" w:rsidRPr="00995094">
        <w:rPr>
          <w:sz w:val="24"/>
          <w:szCs w:val="24"/>
        </w:rPr>
        <w:t>εργάζο</w:t>
      </w:r>
      <w:r w:rsidR="007C0C37" w:rsidRPr="00995094">
        <w:rPr>
          <w:sz w:val="24"/>
          <w:szCs w:val="24"/>
        </w:rPr>
        <w:t>νταν ενώ</w:t>
      </w:r>
      <w:r w:rsidR="00517605" w:rsidRPr="00995094">
        <w:rPr>
          <w:sz w:val="24"/>
          <w:szCs w:val="24"/>
        </w:rPr>
        <w:t xml:space="preserve"> το 1/3</w:t>
      </w:r>
      <w:r w:rsidRPr="00995094">
        <w:rPr>
          <w:sz w:val="24"/>
          <w:szCs w:val="24"/>
        </w:rPr>
        <w:t xml:space="preserve"> των μη εργαζομένω</w:t>
      </w:r>
      <w:r w:rsidR="007C0C37" w:rsidRPr="00995094">
        <w:rPr>
          <w:sz w:val="24"/>
          <w:szCs w:val="24"/>
        </w:rPr>
        <w:t>ν ανέφερα</w:t>
      </w:r>
      <w:r w:rsidRPr="00995094">
        <w:rPr>
          <w:sz w:val="24"/>
          <w:szCs w:val="24"/>
        </w:rPr>
        <w:t xml:space="preserve">ν ότι ήταν σε θέση να εργαστούν αλλά οι προσπάθειές τους να βρουν απασχόληση ήταν ανεπιτυχείς. </w:t>
      </w:r>
    </w:p>
    <w:p w:rsidR="005846B9" w:rsidRPr="00995094" w:rsidRDefault="005846B9" w:rsidP="00A60246">
      <w:pPr>
        <w:pStyle w:val="a5"/>
        <w:numPr>
          <w:ilvl w:val="0"/>
          <w:numId w:val="121"/>
        </w:numPr>
        <w:spacing w:line="360" w:lineRule="auto"/>
        <w:jc w:val="both"/>
        <w:rPr>
          <w:i/>
          <w:sz w:val="24"/>
          <w:szCs w:val="24"/>
        </w:rPr>
      </w:pPr>
      <w:r w:rsidRPr="00995094">
        <w:rPr>
          <w:i/>
          <w:sz w:val="24"/>
          <w:szCs w:val="24"/>
        </w:rPr>
        <w:t>Εκπαιδευτικό επίπεδο</w:t>
      </w:r>
    </w:p>
    <w:p w:rsidR="00123982" w:rsidRPr="00995094" w:rsidRDefault="005846B9" w:rsidP="005A464E">
      <w:pPr>
        <w:spacing w:line="360" w:lineRule="auto"/>
        <w:jc w:val="both"/>
        <w:rPr>
          <w:sz w:val="24"/>
          <w:szCs w:val="24"/>
        </w:rPr>
      </w:pPr>
      <w:r w:rsidRPr="00995094">
        <w:rPr>
          <w:sz w:val="24"/>
          <w:szCs w:val="24"/>
        </w:rPr>
        <w:t>Αρκε</w:t>
      </w:r>
      <w:r w:rsidR="00643627" w:rsidRPr="00995094">
        <w:rPr>
          <w:sz w:val="24"/>
          <w:szCs w:val="24"/>
        </w:rPr>
        <w:t>τές μελέτες έχουν αναφέρει</w:t>
      </w:r>
      <w:r w:rsidR="001E0361" w:rsidRPr="00995094">
        <w:rPr>
          <w:sz w:val="24"/>
          <w:szCs w:val="24"/>
        </w:rPr>
        <w:t xml:space="preserve"> </w:t>
      </w:r>
      <w:r w:rsidR="00643627" w:rsidRPr="00995094">
        <w:rPr>
          <w:sz w:val="24"/>
          <w:szCs w:val="24"/>
        </w:rPr>
        <w:t>τη</w:t>
      </w:r>
      <w:r w:rsidRPr="00995094">
        <w:rPr>
          <w:sz w:val="24"/>
          <w:szCs w:val="24"/>
        </w:rPr>
        <w:t xml:space="preserve"> σχέση μεταξύ </w:t>
      </w:r>
      <w:r w:rsidR="000D053B" w:rsidRPr="00995094">
        <w:rPr>
          <w:sz w:val="24"/>
          <w:szCs w:val="24"/>
        </w:rPr>
        <w:t>εκπαιδευτικού</w:t>
      </w:r>
      <w:r w:rsidRPr="00995094">
        <w:rPr>
          <w:sz w:val="24"/>
          <w:szCs w:val="24"/>
        </w:rPr>
        <w:t xml:space="preserve"> επιπ</w:t>
      </w:r>
      <w:r w:rsidR="007C0C37" w:rsidRPr="00995094">
        <w:rPr>
          <w:sz w:val="24"/>
          <w:szCs w:val="24"/>
        </w:rPr>
        <w:t>έδου και ποιότητας ζωής. Κάθε μι</w:t>
      </w:r>
      <w:r w:rsidRPr="00995094">
        <w:rPr>
          <w:sz w:val="24"/>
          <w:szCs w:val="24"/>
        </w:rPr>
        <w:t>α από τις μ</w:t>
      </w:r>
      <w:r w:rsidR="007C0C37" w:rsidRPr="00995094">
        <w:rPr>
          <w:sz w:val="24"/>
          <w:szCs w:val="24"/>
        </w:rPr>
        <w:t>ελέτες χρησιμοποίησαν</w:t>
      </w:r>
      <w:r w:rsidRPr="00995094">
        <w:rPr>
          <w:sz w:val="24"/>
          <w:szCs w:val="24"/>
        </w:rPr>
        <w:t xml:space="preserve"> ένα διαφορετικό εργαλείο ΠΖ. </w:t>
      </w:r>
    </w:p>
    <w:p w:rsidR="005846B9" w:rsidRPr="005A464E" w:rsidRDefault="00161D50" w:rsidP="005A464E">
      <w:pPr>
        <w:spacing w:line="360" w:lineRule="auto"/>
        <w:jc w:val="both"/>
        <w:rPr>
          <w:sz w:val="24"/>
          <w:szCs w:val="24"/>
        </w:rPr>
      </w:pPr>
      <w:r w:rsidRPr="00995094">
        <w:rPr>
          <w:sz w:val="24"/>
          <w:szCs w:val="24"/>
        </w:rPr>
        <w:t xml:space="preserve">Οι Pakpour </w:t>
      </w:r>
      <w:r w:rsidR="00566CAA" w:rsidRPr="00995094">
        <w:rPr>
          <w:sz w:val="24"/>
          <w:szCs w:val="24"/>
        </w:rPr>
        <w:t>et al</w:t>
      </w:r>
      <w:r w:rsidR="00A3143C" w:rsidRPr="00995094">
        <w:rPr>
          <w:sz w:val="24"/>
          <w:szCs w:val="24"/>
        </w:rPr>
        <w:t>.</w:t>
      </w:r>
      <w:r w:rsidR="005846B9" w:rsidRPr="00995094">
        <w:rPr>
          <w:sz w:val="24"/>
          <w:szCs w:val="24"/>
        </w:rPr>
        <w:t xml:space="preserve"> (2010) μελέτησαν 250 </w:t>
      </w:r>
      <w:r w:rsidRPr="00995094">
        <w:rPr>
          <w:sz w:val="24"/>
          <w:szCs w:val="24"/>
        </w:rPr>
        <w:t xml:space="preserve">Ιρανούς </w:t>
      </w:r>
      <w:r w:rsidR="005846B9" w:rsidRPr="00995094">
        <w:rPr>
          <w:sz w:val="24"/>
          <w:szCs w:val="24"/>
        </w:rPr>
        <w:t xml:space="preserve">ασθενείς </w:t>
      </w:r>
      <w:r w:rsidRPr="00995094">
        <w:rPr>
          <w:sz w:val="24"/>
          <w:szCs w:val="24"/>
        </w:rPr>
        <w:t xml:space="preserve">υπό </w:t>
      </w:r>
      <w:r w:rsidR="005846B9" w:rsidRPr="00995094">
        <w:rPr>
          <w:sz w:val="24"/>
          <w:szCs w:val="24"/>
        </w:rPr>
        <w:t xml:space="preserve">αιμοκάθαρση χρησιμοποιώντας την </w:t>
      </w:r>
      <w:r w:rsidRPr="00995094">
        <w:rPr>
          <w:sz w:val="24"/>
          <w:szCs w:val="24"/>
        </w:rPr>
        <w:t xml:space="preserve">κλίμακα </w:t>
      </w:r>
      <w:r w:rsidR="007C0C37" w:rsidRPr="00995094">
        <w:rPr>
          <w:sz w:val="24"/>
          <w:szCs w:val="24"/>
        </w:rPr>
        <w:t>SF-36 και διε</w:t>
      </w:r>
      <w:r w:rsidR="005846B9" w:rsidRPr="00995094">
        <w:rPr>
          <w:sz w:val="24"/>
          <w:szCs w:val="24"/>
        </w:rPr>
        <w:t xml:space="preserve">πίστωσαν ότι οι ασθενείς με </w:t>
      </w:r>
      <w:r w:rsidRPr="00995094">
        <w:rPr>
          <w:sz w:val="24"/>
          <w:szCs w:val="24"/>
        </w:rPr>
        <w:t>χαμηλότερο επίπεδο εκπαίδευσης είχα</w:t>
      </w:r>
      <w:r w:rsidR="00643627" w:rsidRPr="00995094">
        <w:rPr>
          <w:sz w:val="24"/>
          <w:szCs w:val="24"/>
        </w:rPr>
        <w:t xml:space="preserve">ν </w:t>
      </w:r>
      <w:r w:rsidR="001E0361" w:rsidRPr="00995094">
        <w:rPr>
          <w:sz w:val="24"/>
          <w:szCs w:val="24"/>
        </w:rPr>
        <w:t>χαμηλό</w:t>
      </w:r>
      <w:r w:rsidR="00643627" w:rsidRPr="00995094">
        <w:rPr>
          <w:sz w:val="24"/>
          <w:szCs w:val="24"/>
        </w:rPr>
        <w:t xml:space="preserve"> σκορ στην κλίμακα της</w:t>
      </w:r>
      <w:r w:rsidR="005846B9" w:rsidRPr="00995094">
        <w:rPr>
          <w:sz w:val="24"/>
          <w:szCs w:val="24"/>
        </w:rPr>
        <w:t xml:space="preserve"> ΠΖ. Επιπλέον, </w:t>
      </w:r>
      <w:r w:rsidRPr="00995094">
        <w:rPr>
          <w:sz w:val="24"/>
          <w:szCs w:val="24"/>
        </w:rPr>
        <w:t xml:space="preserve">οι </w:t>
      </w:r>
      <w:r w:rsidR="00F966F3" w:rsidRPr="00995094">
        <w:rPr>
          <w:sz w:val="24"/>
          <w:szCs w:val="24"/>
        </w:rPr>
        <w:t>Acaray</w:t>
      </w:r>
      <w:r w:rsidR="004D7AEF" w:rsidRPr="00995094">
        <w:rPr>
          <w:sz w:val="24"/>
          <w:szCs w:val="24"/>
        </w:rPr>
        <w:t xml:space="preserve"> και</w:t>
      </w:r>
      <w:r w:rsidR="000D053B" w:rsidRPr="00995094">
        <w:rPr>
          <w:sz w:val="24"/>
          <w:szCs w:val="24"/>
        </w:rPr>
        <w:t xml:space="preserve"> Pinar (2005) μελέτησαν την επίδραση </w:t>
      </w:r>
      <w:r w:rsidR="004D7AEF" w:rsidRPr="00995094">
        <w:rPr>
          <w:sz w:val="24"/>
          <w:szCs w:val="24"/>
        </w:rPr>
        <w:t>το</w:t>
      </w:r>
      <w:r w:rsidR="000D053B" w:rsidRPr="00995094">
        <w:rPr>
          <w:sz w:val="24"/>
          <w:szCs w:val="24"/>
        </w:rPr>
        <w:t>υ εκπαιδευτικού επιπέ</w:t>
      </w:r>
      <w:r w:rsidR="004D7AEF" w:rsidRPr="00995094">
        <w:rPr>
          <w:sz w:val="24"/>
          <w:szCs w:val="24"/>
        </w:rPr>
        <w:t>δο</w:t>
      </w:r>
      <w:r w:rsidR="000D053B" w:rsidRPr="00995094">
        <w:rPr>
          <w:sz w:val="24"/>
          <w:szCs w:val="24"/>
        </w:rPr>
        <w:t>υ</w:t>
      </w:r>
      <w:r w:rsidR="00C43037" w:rsidRPr="00995094">
        <w:rPr>
          <w:sz w:val="24"/>
          <w:szCs w:val="24"/>
        </w:rPr>
        <w:t xml:space="preserve"> (καμία επίσημη εκπ</w:t>
      </w:r>
      <w:r w:rsidR="00517605" w:rsidRPr="00995094">
        <w:rPr>
          <w:sz w:val="24"/>
          <w:szCs w:val="24"/>
        </w:rPr>
        <w:t>αίδευση, απόφοιτοι Πρωτοβάθμιας</w:t>
      </w:r>
      <w:r w:rsidR="00995094" w:rsidRPr="00995094">
        <w:rPr>
          <w:sz w:val="24"/>
          <w:szCs w:val="24"/>
        </w:rPr>
        <w:t>, Δευτεροβάθμιας Ε</w:t>
      </w:r>
      <w:r w:rsidR="00C43037" w:rsidRPr="00995094">
        <w:rPr>
          <w:sz w:val="24"/>
          <w:szCs w:val="24"/>
        </w:rPr>
        <w:t xml:space="preserve">κπαίδευσης και Πανεπιστημίου) </w:t>
      </w:r>
      <w:r w:rsidR="000D053B" w:rsidRPr="00995094">
        <w:rPr>
          <w:sz w:val="24"/>
          <w:szCs w:val="24"/>
        </w:rPr>
        <w:t>στην ΠΖ</w:t>
      </w:r>
      <w:r w:rsidRPr="00995094">
        <w:rPr>
          <w:sz w:val="24"/>
          <w:szCs w:val="24"/>
        </w:rPr>
        <w:t xml:space="preserve"> των ασθενών υπό</w:t>
      </w:r>
      <w:r w:rsidR="005846B9" w:rsidRPr="00995094">
        <w:rPr>
          <w:sz w:val="24"/>
          <w:szCs w:val="24"/>
        </w:rPr>
        <w:t xml:space="preserve"> αιμοκάθα</w:t>
      </w:r>
      <w:r w:rsidR="00C43037" w:rsidRPr="00995094">
        <w:rPr>
          <w:sz w:val="24"/>
          <w:szCs w:val="24"/>
        </w:rPr>
        <w:t xml:space="preserve">ρση. </w:t>
      </w:r>
      <w:r w:rsidRPr="00995094">
        <w:rPr>
          <w:sz w:val="24"/>
          <w:szCs w:val="24"/>
        </w:rPr>
        <w:t>Ανέφεραν ότι όσο</w:t>
      </w:r>
      <w:r w:rsidR="001E0361" w:rsidRPr="00995094">
        <w:rPr>
          <w:sz w:val="24"/>
          <w:szCs w:val="24"/>
        </w:rPr>
        <w:t xml:space="preserve"> </w:t>
      </w:r>
      <w:r w:rsidR="00C43037" w:rsidRPr="00995094">
        <w:rPr>
          <w:sz w:val="24"/>
          <w:szCs w:val="24"/>
        </w:rPr>
        <w:t>πιο υψηλό ήταν το εκπαιδευ</w:t>
      </w:r>
      <w:r w:rsidRPr="00995094">
        <w:rPr>
          <w:sz w:val="24"/>
          <w:szCs w:val="24"/>
        </w:rPr>
        <w:t xml:space="preserve">τικό επίπεδο τόσο πιο υψηλή ήταν η </w:t>
      </w:r>
      <w:r w:rsidR="005846B9" w:rsidRPr="00995094">
        <w:rPr>
          <w:sz w:val="24"/>
          <w:szCs w:val="24"/>
        </w:rPr>
        <w:t>συνολι</w:t>
      </w:r>
      <w:r w:rsidRPr="00995094">
        <w:rPr>
          <w:sz w:val="24"/>
          <w:szCs w:val="24"/>
        </w:rPr>
        <w:t>κή βαθμολογία στην κλίμακα</w:t>
      </w:r>
      <w:r w:rsidR="0078495A" w:rsidRPr="00995094">
        <w:rPr>
          <w:sz w:val="24"/>
          <w:szCs w:val="24"/>
        </w:rPr>
        <w:t xml:space="preserve"> </w:t>
      </w:r>
      <w:r w:rsidRPr="00995094">
        <w:rPr>
          <w:sz w:val="24"/>
          <w:szCs w:val="24"/>
        </w:rPr>
        <w:t>SF-36</w:t>
      </w:r>
      <w:r w:rsidR="005846B9" w:rsidRPr="00995094">
        <w:rPr>
          <w:sz w:val="24"/>
          <w:szCs w:val="24"/>
        </w:rPr>
        <w:t>.</w:t>
      </w:r>
      <w:r w:rsidRPr="00995094">
        <w:t xml:space="preserve"> Οι </w:t>
      </w:r>
      <w:r w:rsidR="00A3143C" w:rsidRPr="00995094">
        <w:rPr>
          <w:sz w:val="24"/>
          <w:szCs w:val="24"/>
        </w:rPr>
        <w:t xml:space="preserve">Mozes, </w:t>
      </w:r>
      <w:r w:rsidR="00A3143C" w:rsidRPr="00995094">
        <w:rPr>
          <w:rFonts w:asciiTheme="minorHAnsi" w:hAnsiTheme="minorHAnsi" w:cstheme="minorHAnsi"/>
          <w:color w:val="000000"/>
          <w:sz w:val="24"/>
          <w:szCs w:val="24"/>
          <w:lang w:val="en-US"/>
        </w:rPr>
        <w:t>Shabtai</w:t>
      </w:r>
      <w:r w:rsidR="004A7CDC" w:rsidRPr="00995094">
        <w:rPr>
          <w:rFonts w:asciiTheme="minorHAnsi" w:hAnsiTheme="minorHAnsi" w:cstheme="minorHAnsi"/>
          <w:color w:val="000000"/>
          <w:sz w:val="24"/>
          <w:szCs w:val="24"/>
        </w:rPr>
        <w:t>,</w:t>
      </w:r>
      <w:r w:rsidR="004D7AEF" w:rsidRPr="00995094">
        <w:rPr>
          <w:rFonts w:asciiTheme="minorHAnsi" w:hAnsiTheme="minorHAnsi" w:cstheme="minorHAnsi"/>
          <w:color w:val="000000"/>
          <w:sz w:val="24"/>
          <w:szCs w:val="24"/>
        </w:rPr>
        <w:t xml:space="preserve"> και</w:t>
      </w:r>
      <w:r w:rsidR="00A3143C" w:rsidRPr="00995094">
        <w:rPr>
          <w:rFonts w:asciiTheme="minorHAnsi" w:hAnsiTheme="minorHAnsi" w:cstheme="minorHAnsi"/>
          <w:color w:val="000000"/>
          <w:sz w:val="24"/>
          <w:szCs w:val="24"/>
        </w:rPr>
        <w:t xml:space="preserve"> </w:t>
      </w:r>
      <w:r w:rsidR="00A3143C" w:rsidRPr="00995094">
        <w:rPr>
          <w:rFonts w:asciiTheme="minorHAnsi" w:hAnsiTheme="minorHAnsi" w:cstheme="minorHAnsi"/>
          <w:color w:val="000000"/>
          <w:sz w:val="24"/>
          <w:szCs w:val="24"/>
          <w:lang w:val="en-US"/>
        </w:rPr>
        <w:t>Zucker</w:t>
      </w:r>
      <w:r w:rsidRPr="00995094">
        <w:rPr>
          <w:sz w:val="24"/>
          <w:szCs w:val="24"/>
        </w:rPr>
        <w:t xml:space="preserve"> (1997) μελέτησαν 680 ασθενείς που υποβάλλονταν σε αιμοκάθαρση, χρησιμοποιώντας την κλίμακα </w:t>
      </w:r>
      <w:r w:rsidR="00A60246" w:rsidRPr="00995094">
        <w:rPr>
          <w:rFonts w:cstheme="minorHAnsi"/>
          <w:sz w:val="24"/>
          <w:szCs w:val="24"/>
        </w:rPr>
        <w:t>Qο</w:t>
      </w:r>
      <w:r w:rsidRPr="00995094">
        <w:rPr>
          <w:rFonts w:cstheme="minorHAnsi"/>
          <w:sz w:val="24"/>
          <w:szCs w:val="24"/>
        </w:rPr>
        <w:t>L Index</w:t>
      </w:r>
      <w:r w:rsidR="001E0361" w:rsidRPr="00995094">
        <w:rPr>
          <w:rFonts w:cstheme="minorHAnsi"/>
          <w:sz w:val="24"/>
          <w:szCs w:val="24"/>
        </w:rPr>
        <w:t xml:space="preserve"> </w:t>
      </w:r>
      <w:r w:rsidR="006D680F" w:rsidRPr="00995094">
        <w:rPr>
          <w:rFonts w:cstheme="minorHAnsi"/>
          <w:sz w:val="24"/>
          <w:szCs w:val="24"/>
        </w:rPr>
        <w:t>ενώ</w:t>
      </w:r>
      <w:r w:rsidR="002F33A7" w:rsidRPr="00995094">
        <w:rPr>
          <w:rFonts w:cstheme="minorHAnsi"/>
          <w:sz w:val="24"/>
          <w:szCs w:val="24"/>
        </w:rPr>
        <w:t xml:space="preserve"> ο Suet-Ching (2001</w:t>
      </w:r>
      <w:r w:rsidR="002F33A7" w:rsidRPr="00995094">
        <w:rPr>
          <w:sz w:val="24"/>
          <w:szCs w:val="24"/>
        </w:rPr>
        <w:t>) μελέτησε την</w:t>
      </w:r>
      <w:r w:rsidR="0078495A" w:rsidRPr="00995094">
        <w:rPr>
          <w:sz w:val="24"/>
          <w:szCs w:val="24"/>
        </w:rPr>
        <w:t xml:space="preserve"> </w:t>
      </w:r>
      <w:r w:rsidR="002F33A7" w:rsidRPr="00995094">
        <w:rPr>
          <w:sz w:val="24"/>
          <w:szCs w:val="24"/>
        </w:rPr>
        <w:t xml:space="preserve">ΠΖ </w:t>
      </w:r>
      <w:r w:rsidR="002F33A7" w:rsidRPr="00995094">
        <w:rPr>
          <w:rFonts w:cstheme="minorHAnsi"/>
          <w:sz w:val="24"/>
          <w:szCs w:val="24"/>
        </w:rPr>
        <w:t>σε 164 ασθενείς υπό</w:t>
      </w:r>
      <w:r w:rsidRPr="00995094">
        <w:rPr>
          <w:rFonts w:cstheme="minorHAnsi"/>
          <w:sz w:val="24"/>
          <w:szCs w:val="24"/>
        </w:rPr>
        <w:t xml:space="preserve"> αιμοκάθαρση</w:t>
      </w:r>
      <w:r w:rsidR="002F33A7" w:rsidRPr="00995094">
        <w:rPr>
          <w:rFonts w:cstheme="minorHAnsi"/>
          <w:sz w:val="24"/>
          <w:szCs w:val="24"/>
        </w:rPr>
        <w:t xml:space="preserve"> στο </w:t>
      </w:r>
      <w:r w:rsidRPr="00995094">
        <w:rPr>
          <w:rFonts w:cstheme="minorHAnsi"/>
          <w:sz w:val="24"/>
          <w:szCs w:val="24"/>
        </w:rPr>
        <w:t>Χονγκ Κονγκ χρησιμοποιώντας την</w:t>
      </w:r>
      <w:r w:rsidR="002F33A7" w:rsidRPr="00995094">
        <w:rPr>
          <w:rFonts w:cstheme="minorHAnsi"/>
          <w:sz w:val="24"/>
          <w:szCs w:val="24"/>
        </w:rPr>
        <w:t xml:space="preserve"> κλίμακα</w:t>
      </w:r>
      <w:r w:rsidR="006D680F" w:rsidRPr="00995094">
        <w:rPr>
          <w:rFonts w:cstheme="minorHAnsi"/>
          <w:sz w:val="24"/>
          <w:szCs w:val="24"/>
        </w:rPr>
        <w:t xml:space="preserve"> </w:t>
      </w:r>
      <w:r w:rsidR="002F33A7" w:rsidRPr="00995094">
        <w:rPr>
          <w:rFonts w:cstheme="minorHAnsi"/>
          <w:sz w:val="24"/>
          <w:szCs w:val="24"/>
        </w:rPr>
        <w:t>Chinese Dialys</w:t>
      </w:r>
      <w:r w:rsidR="006D680F" w:rsidRPr="00995094">
        <w:rPr>
          <w:rFonts w:cstheme="minorHAnsi"/>
          <w:sz w:val="24"/>
          <w:szCs w:val="24"/>
        </w:rPr>
        <w:t>is Qο</w:t>
      </w:r>
      <w:r w:rsidR="002F33A7" w:rsidRPr="00995094">
        <w:rPr>
          <w:rFonts w:cstheme="minorHAnsi"/>
          <w:sz w:val="24"/>
          <w:szCs w:val="24"/>
        </w:rPr>
        <w:t>L</w:t>
      </w:r>
      <w:r w:rsidR="002F33A7" w:rsidRPr="00995094">
        <w:rPr>
          <w:rFonts w:cs="Arial"/>
        </w:rPr>
        <w:t xml:space="preserve"> </w:t>
      </w:r>
      <w:r w:rsidR="002F33A7" w:rsidRPr="00995094">
        <w:rPr>
          <w:rFonts w:cstheme="minorHAnsi"/>
          <w:sz w:val="24"/>
          <w:szCs w:val="24"/>
        </w:rPr>
        <w:t>Scale.</w:t>
      </w:r>
      <w:r w:rsidR="002F33A7" w:rsidRPr="00995094">
        <w:rPr>
          <w:sz w:val="24"/>
          <w:szCs w:val="24"/>
        </w:rPr>
        <w:t xml:space="preserve"> </w:t>
      </w:r>
      <w:r w:rsidR="00C43037" w:rsidRPr="00995094">
        <w:rPr>
          <w:sz w:val="24"/>
          <w:szCs w:val="24"/>
        </w:rPr>
        <w:t xml:space="preserve">Και οι </w:t>
      </w:r>
      <w:r w:rsidR="00BA566F" w:rsidRPr="00995094">
        <w:rPr>
          <w:sz w:val="24"/>
          <w:szCs w:val="24"/>
        </w:rPr>
        <w:t xml:space="preserve">δύο </w:t>
      </w:r>
      <w:r w:rsidR="00C43037" w:rsidRPr="00995094">
        <w:rPr>
          <w:sz w:val="24"/>
          <w:szCs w:val="24"/>
        </w:rPr>
        <w:t xml:space="preserve">μελέτες έδειξαν υψηλές βαθμολογίες ΠΖ μεταξύ των ασθενών </w:t>
      </w:r>
      <w:r w:rsidR="00517605" w:rsidRPr="00995094">
        <w:rPr>
          <w:sz w:val="24"/>
          <w:szCs w:val="24"/>
        </w:rPr>
        <w:t xml:space="preserve">που ήταν απόφοιτοι </w:t>
      </w:r>
      <w:r w:rsidR="00A4175B">
        <w:rPr>
          <w:sz w:val="24"/>
          <w:szCs w:val="24"/>
        </w:rPr>
        <w:t>Τ</w:t>
      </w:r>
      <w:r w:rsidRPr="00995094">
        <w:rPr>
          <w:sz w:val="24"/>
          <w:szCs w:val="24"/>
        </w:rPr>
        <w:t>ριτοβάθμιας εκπαίδευσης. Επιπλέον</w:t>
      </w:r>
      <w:r w:rsidRPr="005A464E">
        <w:rPr>
          <w:sz w:val="24"/>
          <w:szCs w:val="24"/>
        </w:rPr>
        <w:t xml:space="preserve">, </w:t>
      </w:r>
      <w:r w:rsidR="002F33A7" w:rsidRPr="005A464E">
        <w:rPr>
          <w:sz w:val="24"/>
          <w:szCs w:val="24"/>
        </w:rPr>
        <w:t>οι Moreno</w:t>
      </w:r>
      <w:r w:rsidR="004A7CDC" w:rsidRPr="004A7CDC">
        <w:rPr>
          <w:sz w:val="24"/>
          <w:szCs w:val="24"/>
        </w:rPr>
        <w:t>,</w:t>
      </w:r>
      <w:r w:rsidR="002F33A7" w:rsidRPr="005A464E">
        <w:rPr>
          <w:sz w:val="24"/>
          <w:szCs w:val="24"/>
        </w:rPr>
        <w:t xml:space="preserve"> </w:t>
      </w:r>
      <w:r w:rsidR="004A7CDC" w:rsidRPr="004A7CDC">
        <w:rPr>
          <w:rFonts w:asciiTheme="minorHAnsi" w:hAnsiTheme="minorHAnsi" w:cstheme="minorHAnsi"/>
          <w:sz w:val="24"/>
          <w:szCs w:val="24"/>
          <w:lang w:val="en-US"/>
        </w:rPr>
        <w:t>Lopez</w:t>
      </w:r>
      <w:r w:rsidR="004A7CDC" w:rsidRPr="004A7CDC">
        <w:rPr>
          <w:rFonts w:asciiTheme="minorHAnsi" w:hAnsiTheme="minorHAnsi" w:cstheme="minorHAnsi"/>
          <w:sz w:val="24"/>
          <w:szCs w:val="24"/>
        </w:rPr>
        <w:t>-</w:t>
      </w:r>
      <w:r w:rsidR="004A7CDC" w:rsidRPr="004A7CDC">
        <w:rPr>
          <w:rFonts w:asciiTheme="minorHAnsi" w:hAnsiTheme="minorHAnsi" w:cstheme="minorHAnsi"/>
          <w:sz w:val="24"/>
          <w:szCs w:val="24"/>
          <w:lang w:val="en-US"/>
        </w:rPr>
        <w:t>Gomez</w:t>
      </w:r>
      <w:r w:rsidR="004A7CDC" w:rsidRPr="004A7CDC">
        <w:rPr>
          <w:rFonts w:asciiTheme="minorHAnsi" w:hAnsiTheme="minorHAnsi" w:cstheme="minorHAnsi"/>
          <w:sz w:val="24"/>
          <w:szCs w:val="24"/>
        </w:rPr>
        <w:t xml:space="preserve">, </w:t>
      </w:r>
      <w:r w:rsidR="004A7CDC" w:rsidRPr="004A7CDC">
        <w:rPr>
          <w:rFonts w:asciiTheme="minorHAnsi" w:hAnsiTheme="minorHAnsi" w:cstheme="minorHAnsi"/>
          <w:sz w:val="24"/>
          <w:szCs w:val="24"/>
          <w:lang w:val="en-US"/>
        </w:rPr>
        <w:t>Sanz</w:t>
      </w:r>
      <w:r w:rsidR="004A7CDC" w:rsidRPr="004A7CDC">
        <w:rPr>
          <w:rFonts w:asciiTheme="minorHAnsi" w:hAnsiTheme="minorHAnsi" w:cstheme="minorHAnsi"/>
          <w:sz w:val="24"/>
          <w:szCs w:val="24"/>
        </w:rPr>
        <w:t>-</w:t>
      </w:r>
      <w:r w:rsidR="004A7CDC" w:rsidRPr="004A7CDC">
        <w:rPr>
          <w:rFonts w:asciiTheme="minorHAnsi" w:hAnsiTheme="minorHAnsi" w:cstheme="minorHAnsi"/>
          <w:sz w:val="24"/>
          <w:szCs w:val="24"/>
          <w:lang w:val="en-US"/>
        </w:rPr>
        <w:t>Guajardo</w:t>
      </w:r>
      <w:r w:rsidR="004A7CDC" w:rsidRPr="004A7CDC">
        <w:rPr>
          <w:rFonts w:asciiTheme="minorHAnsi" w:hAnsiTheme="minorHAnsi" w:cstheme="minorHAnsi"/>
          <w:sz w:val="24"/>
          <w:szCs w:val="24"/>
        </w:rPr>
        <w:t xml:space="preserve">, </w:t>
      </w:r>
      <w:r w:rsidR="004A7CDC" w:rsidRPr="004A7CDC">
        <w:rPr>
          <w:rFonts w:asciiTheme="minorHAnsi" w:hAnsiTheme="minorHAnsi" w:cstheme="minorHAnsi"/>
          <w:sz w:val="24"/>
          <w:szCs w:val="24"/>
          <w:lang w:val="en-US"/>
        </w:rPr>
        <w:t>Jofre</w:t>
      </w:r>
      <w:r w:rsidR="00C43037">
        <w:rPr>
          <w:rFonts w:asciiTheme="minorHAnsi" w:hAnsiTheme="minorHAnsi" w:cstheme="minorHAnsi"/>
          <w:sz w:val="24"/>
          <w:szCs w:val="24"/>
        </w:rPr>
        <w:t>, και</w:t>
      </w:r>
      <w:r w:rsidR="004A7CDC" w:rsidRPr="004A7CDC">
        <w:rPr>
          <w:rFonts w:asciiTheme="minorHAnsi" w:hAnsiTheme="minorHAnsi" w:cstheme="minorHAnsi"/>
          <w:sz w:val="24"/>
          <w:szCs w:val="24"/>
        </w:rPr>
        <w:t xml:space="preserve"> </w:t>
      </w:r>
      <w:r w:rsidR="004A7CDC" w:rsidRPr="004A7CDC">
        <w:rPr>
          <w:rFonts w:asciiTheme="minorHAnsi" w:hAnsiTheme="minorHAnsi" w:cstheme="minorHAnsi"/>
          <w:sz w:val="24"/>
          <w:szCs w:val="24"/>
          <w:lang w:val="en-US"/>
        </w:rPr>
        <w:t>Valderrabano</w:t>
      </w:r>
      <w:r w:rsidR="004A7CDC" w:rsidRPr="004A7CDC">
        <w:rPr>
          <w:sz w:val="24"/>
          <w:szCs w:val="24"/>
        </w:rPr>
        <w:t xml:space="preserve"> </w:t>
      </w:r>
      <w:r w:rsidRPr="004A7CDC">
        <w:rPr>
          <w:sz w:val="24"/>
          <w:szCs w:val="24"/>
        </w:rPr>
        <w:t>(1996) ανέφεραν παρόμοια ευρήματα σε ένα τυχαία επιλεγμένο δείγμ</w:t>
      </w:r>
      <w:r w:rsidR="0085076B">
        <w:rPr>
          <w:sz w:val="24"/>
          <w:szCs w:val="24"/>
        </w:rPr>
        <w:t>α (n=</w:t>
      </w:r>
      <w:r w:rsidR="002F33A7" w:rsidRPr="004A7CDC">
        <w:rPr>
          <w:sz w:val="24"/>
          <w:szCs w:val="24"/>
        </w:rPr>
        <w:t>1013) Ισπανών</w:t>
      </w:r>
      <w:r w:rsidR="0078495A">
        <w:rPr>
          <w:sz w:val="24"/>
          <w:szCs w:val="24"/>
        </w:rPr>
        <w:t xml:space="preserve"> </w:t>
      </w:r>
      <w:r w:rsidRPr="004A7CDC">
        <w:rPr>
          <w:sz w:val="24"/>
          <w:szCs w:val="24"/>
        </w:rPr>
        <w:t>ασθενών</w:t>
      </w:r>
      <w:r w:rsidRPr="005A464E">
        <w:rPr>
          <w:sz w:val="24"/>
          <w:szCs w:val="24"/>
        </w:rPr>
        <w:t xml:space="preserve"> </w:t>
      </w:r>
      <w:r w:rsidR="002F33A7" w:rsidRPr="005A464E">
        <w:rPr>
          <w:sz w:val="24"/>
          <w:szCs w:val="24"/>
        </w:rPr>
        <w:t xml:space="preserve">υπό </w:t>
      </w:r>
      <w:r w:rsidRPr="005A464E">
        <w:rPr>
          <w:sz w:val="24"/>
          <w:szCs w:val="24"/>
        </w:rPr>
        <w:t xml:space="preserve">αιμοκάθαρση χρησιμοποιώντας την κλίμακα Karnofsky (KS) και </w:t>
      </w:r>
      <w:r w:rsidR="002F33A7" w:rsidRPr="005A464E">
        <w:rPr>
          <w:sz w:val="24"/>
          <w:szCs w:val="24"/>
        </w:rPr>
        <w:t xml:space="preserve">την κλίμακα </w:t>
      </w:r>
      <w:r w:rsidR="002F33A7" w:rsidRPr="005A464E">
        <w:rPr>
          <w:rFonts w:cstheme="minorHAnsi"/>
          <w:sz w:val="24"/>
          <w:szCs w:val="24"/>
        </w:rPr>
        <w:t>Sickness Impact Profile (SIP)</w:t>
      </w:r>
      <w:r w:rsidRPr="005A464E">
        <w:rPr>
          <w:rFonts w:cstheme="minorHAnsi"/>
          <w:sz w:val="24"/>
          <w:szCs w:val="24"/>
        </w:rPr>
        <w:t>.</w:t>
      </w:r>
      <w:r w:rsidRPr="005A464E">
        <w:rPr>
          <w:sz w:val="24"/>
          <w:szCs w:val="24"/>
        </w:rPr>
        <w:t xml:space="preserve"> Σε αντίθεση</w:t>
      </w:r>
      <w:r w:rsidR="002F33A7" w:rsidRPr="005A464E">
        <w:rPr>
          <w:sz w:val="24"/>
          <w:szCs w:val="24"/>
        </w:rPr>
        <w:t xml:space="preserve">, οι </w:t>
      </w:r>
      <w:r w:rsidRPr="005A464E">
        <w:rPr>
          <w:sz w:val="24"/>
          <w:szCs w:val="24"/>
        </w:rPr>
        <w:t xml:space="preserve">Kao </w:t>
      </w:r>
      <w:r w:rsidR="00566CAA">
        <w:rPr>
          <w:sz w:val="24"/>
          <w:szCs w:val="24"/>
        </w:rPr>
        <w:t>et al</w:t>
      </w:r>
      <w:r w:rsidR="003B4333">
        <w:rPr>
          <w:sz w:val="24"/>
          <w:szCs w:val="24"/>
        </w:rPr>
        <w:t>.</w:t>
      </w:r>
      <w:r w:rsidR="002F33A7" w:rsidRPr="005A464E">
        <w:rPr>
          <w:sz w:val="24"/>
          <w:szCs w:val="24"/>
        </w:rPr>
        <w:t xml:space="preserve"> (2009) διαπίστωσαν</w:t>
      </w:r>
      <w:r w:rsidRPr="005A464E">
        <w:rPr>
          <w:sz w:val="24"/>
          <w:szCs w:val="24"/>
        </w:rPr>
        <w:t xml:space="preserve"> ότι το </w:t>
      </w:r>
      <w:r w:rsidR="000D053B">
        <w:rPr>
          <w:sz w:val="24"/>
          <w:szCs w:val="24"/>
        </w:rPr>
        <w:t>εκπαιδευτικό</w:t>
      </w:r>
      <w:r w:rsidR="00891A77">
        <w:rPr>
          <w:sz w:val="24"/>
          <w:szCs w:val="24"/>
        </w:rPr>
        <w:t xml:space="preserve"> επίπεδο δεν </w:t>
      </w:r>
      <w:r w:rsidRPr="005A464E">
        <w:rPr>
          <w:sz w:val="24"/>
          <w:szCs w:val="24"/>
        </w:rPr>
        <w:t xml:space="preserve">σχετίστηκε με </w:t>
      </w:r>
      <w:r w:rsidR="002F33A7" w:rsidRPr="005A464E">
        <w:rPr>
          <w:sz w:val="24"/>
          <w:szCs w:val="24"/>
        </w:rPr>
        <w:t>την ΣΥΠΖ</w:t>
      </w:r>
      <w:r w:rsidRPr="005A464E">
        <w:rPr>
          <w:sz w:val="24"/>
          <w:szCs w:val="24"/>
        </w:rPr>
        <w:t xml:space="preserve">. </w:t>
      </w:r>
      <w:r w:rsidR="00C43037">
        <w:rPr>
          <w:sz w:val="24"/>
          <w:szCs w:val="24"/>
        </w:rPr>
        <w:t>Ωστόσο,</w:t>
      </w:r>
      <w:r w:rsidRPr="005A464E">
        <w:rPr>
          <w:sz w:val="24"/>
          <w:szCs w:val="24"/>
        </w:rPr>
        <w:t xml:space="preserve"> υψηλότερα</w:t>
      </w:r>
      <w:r w:rsidR="002F33A7" w:rsidRPr="005A464E">
        <w:rPr>
          <w:sz w:val="24"/>
          <w:szCs w:val="24"/>
        </w:rPr>
        <w:t xml:space="preserve"> επίπεδα εκπαίδευσης φαίνεται πως επηρεάζουν</w:t>
      </w:r>
      <w:r w:rsidRPr="005A464E">
        <w:rPr>
          <w:sz w:val="24"/>
          <w:szCs w:val="24"/>
        </w:rPr>
        <w:t xml:space="preserve"> θετι</w:t>
      </w:r>
      <w:r w:rsidR="002F33A7" w:rsidRPr="005A464E">
        <w:rPr>
          <w:sz w:val="24"/>
          <w:szCs w:val="24"/>
        </w:rPr>
        <w:t>κά την υγεία</w:t>
      </w:r>
      <w:r w:rsidRPr="005A464E">
        <w:rPr>
          <w:sz w:val="24"/>
          <w:szCs w:val="24"/>
        </w:rPr>
        <w:t>.</w:t>
      </w:r>
      <w:r w:rsidR="006D680F" w:rsidRPr="005A464E">
        <w:rPr>
          <w:sz w:val="24"/>
          <w:szCs w:val="24"/>
        </w:rPr>
        <w:t xml:space="preserve"> </w:t>
      </w:r>
      <w:r w:rsidR="002F33A7" w:rsidRPr="005A464E">
        <w:t xml:space="preserve">Οι </w:t>
      </w:r>
      <w:r w:rsidR="002F33A7" w:rsidRPr="005A464E">
        <w:rPr>
          <w:sz w:val="24"/>
          <w:szCs w:val="24"/>
        </w:rPr>
        <w:t xml:space="preserve">εκπαιδευμένοι ασθενείς υπό αιμοκάθαρση θα μπορούσαν να αναλάβουν </w:t>
      </w:r>
      <w:r w:rsidR="002E16F3" w:rsidRPr="005A464E">
        <w:rPr>
          <w:sz w:val="24"/>
          <w:szCs w:val="24"/>
        </w:rPr>
        <w:t>ρόλους</w:t>
      </w:r>
      <w:r w:rsidR="002F33A7" w:rsidRPr="005A464E">
        <w:rPr>
          <w:sz w:val="24"/>
          <w:szCs w:val="24"/>
        </w:rPr>
        <w:t xml:space="preserve"> για την</w:t>
      </w:r>
      <w:r w:rsidR="006D680F" w:rsidRPr="005A464E">
        <w:rPr>
          <w:sz w:val="24"/>
          <w:szCs w:val="24"/>
        </w:rPr>
        <w:t xml:space="preserve"> διατήρηση της</w:t>
      </w:r>
      <w:r w:rsidR="002F33A7" w:rsidRPr="005A464E">
        <w:rPr>
          <w:sz w:val="24"/>
          <w:szCs w:val="24"/>
        </w:rPr>
        <w:t xml:space="preserve"> υγεία</w:t>
      </w:r>
      <w:r w:rsidR="00C43037">
        <w:rPr>
          <w:sz w:val="24"/>
          <w:szCs w:val="24"/>
        </w:rPr>
        <w:t>ς</w:t>
      </w:r>
      <w:r w:rsidR="002F33A7" w:rsidRPr="005A464E">
        <w:rPr>
          <w:sz w:val="24"/>
          <w:szCs w:val="24"/>
        </w:rPr>
        <w:t xml:space="preserve"> τους και έτσι να χρησιμοποιούν στρατηγικές για να αντιμετωπίσουν την ασθένειά τους και τα συμπτώματά της οδηγώντας</w:t>
      </w:r>
      <w:r w:rsidR="00A3143C">
        <w:rPr>
          <w:sz w:val="24"/>
          <w:szCs w:val="24"/>
        </w:rPr>
        <w:t xml:space="preserve"> σε βελτιωμένη ΠΖ (</w:t>
      </w:r>
      <w:r w:rsidR="002F33A7" w:rsidRPr="005A464E">
        <w:rPr>
          <w:sz w:val="24"/>
          <w:szCs w:val="24"/>
        </w:rPr>
        <w:t xml:space="preserve">Mingardi </w:t>
      </w:r>
      <w:r w:rsidR="00566CAA">
        <w:rPr>
          <w:sz w:val="24"/>
          <w:szCs w:val="24"/>
        </w:rPr>
        <w:t>et al</w:t>
      </w:r>
      <w:r w:rsidR="003B4333">
        <w:rPr>
          <w:sz w:val="24"/>
          <w:szCs w:val="24"/>
        </w:rPr>
        <w:t>.</w:t>
      </w:r>
      <w:r w:rsidR="0085076B">
        <w:rPr>
          <w:sz w:val="24"/>
          <w:szCs w:val="24"/>
        </w:rPr>
        <w:t>,</w:t>
      </w:r>
      <w:r w:rsidR="002F33A7" w:rsidRPr="005A464E">
        <w:rPr>
          <w:sz w:val="24"/>
          <w:szCs w:val="24"/>
        </w:rPr>
        <w:t xml:space="preserve"> 1999;</w:t>
      </w:r>
      <w:r w:rsidR="006D680F" w:rsidRPr="005A464E">
        <w:rPr>
          <w:sz w:val="24"/>
          <w:szCs w:val="24"/>
        </w:rPr>
        <w:t xml:space="preserve"> Neto </w:t>
      </w:r>
      <w:r w:rsidR="00566CAA">
        <w:rPr>
          <w:sz w:val="24"/>
          <w:szCs w:val="24"/>
        </w:rPr>
        <w:t>et al</w:t>
      </w:r>
      <w:r w:rsidR="00A3143C">
        <w:rPr>
          <w:sz w:val="24"/>
          <w:szCs w:val="24"/>
        </w:rPr>
        <w:t>.</w:t>
      </w:r>
      <w:r w:rsidR="0085076B">
        <w:rPr>
          <w:sz w:val="24"/>
          <w:szCs w:val="24"/>
        </w:rPr>
        <w:t>,</w:t>
      </w:r>
      <w:r w:rsidR="002F33A7" w:rsidRPr="005A464E">
        <w:rPr>
          <w:sz w:val="24"/>
          <w:szCs w:val="24"/>
        </w:rPr>
        <w:t xml:space="preserve"> 2000).</w:t>
      </w:r>
    </w:p>
    <w:p w:rsidR="00B27F41" w:rsidRPr="00A60246" w:rsidRDefault="008E721D" w:rsidP="00A60246">
      <w:pPr>
        <w:pStyle w:val="a5"/>
        <w:numPr>
          <w:ilvl w:val="0"/>
          <w:numId w:val="121"/>
        </w:numPr>
        <w:spacing w:line="360" w:lineRule="auto"/>
        <w:jc w:val="both"/>
        <w:rPr>
          <w:rFonts w:cs="BookAntiqua"/>
          <w:sz w:val="24"/>
          <w:szCs w:val="24"/>
        </w:rPr>
      </w:pPr>
      <w:r w:rsidRPr="00A60246">
        <w:rPr>
          <w:rFonts w:cs="BookAntiqua"/>
          <w:i/>
          <w:sz w:val="24"/>
          <w:szCs w:val="24"/>
        </w:rPr>
        <w:t>Χρόνος μετάβασης</w:t>
      </w:r>
    </w:p>
    <w:p w:rsidR="008E721D" w:rsidRPr="005A464E" w:rsidRDefault="00123982" w:rsidP="005A464E">
      <w:pPr>
        <w:spacing w:line="360" w:lineRule="auto"/>
        <w:jc w:val="both"/>
        <w:rPr>
          <w:rFonts w:cs="BookAntiqua"/>
          <w:sz w:val="24"/>
          <w:szCs w:val="24"/>
        </w:rPr>
      </w:pPr>
      <w:r>
        <w:rPr>
          <w:rFonts w:cs="BookAntiqua"/>
          <w:sz w:val="24"/>
          <w:szCs w:val="24"/>
        </w:rPr>
        <w:t>Μ</w:t>
      </w:r>
      <w:r w:rsidR="008E721D" w:rsidRPr="005A464E">
        <w:rPr>
          <w:rFonts w:cs="BookAntiqua"/>
          <w:sz w:val="24"/>
          <w:szCs w:val="24"/>
        </w:rPr>
        <w:t>ελέτη σε μεγάλο δείγμα από τους Μ</w:t>
      </w:r>
      <w:r w:rsidR="006D680F" w:rsidRPr="005A464E">
        <w:rPr>
          <w:rFonts w:cs="BookAntiqua"/>
          <w:sz w:val="24"/>
          <w:szCs w:val="24"/>
          <w:lang w:val="en-US"/>
        </w:rPr>
        <w:t>oist</w:t>
      </w:r>
      <w:r w:rsidR="006D680F" w:rsidRPr="005A464E">
        <w:rPr>
          <w:rFonts w:cs="BookAntiqua"/>
          <w:sz w:val="24"/>
          <w:szCs w:val="24"/>
        </w:rPr>
        <w:t xml:space="preserve"> </w:t>
      </w:r>
      <w:r w:rsidR="00566CAA">
        <w:rPr>
          <w:rFonts w:cs="BookAntiqua"/>
          <w:sz w:val="24"/>
          <w:szCs w:val="24"/>
        </w:rPr>
        <w:t>et al</w:t>
      </w:r>
      <w:r w:rsidR="00A3143C">
        <w:rPr>
          <w:rFonts w:cs="BookAntiqua"/>
          <w:sz w:val="24"/>
          <w:szCs w:val="24"/>
        </w:rPr>
        <w:t>.</w:t>
      </w:r>
      <w:r w:rsidR="008E721D" w:rsidRPr="005A464E">
        <w:rPr>
          <w:rFonts w:cs="BookAntiqua"/>
          <w:sz w:val="24"/>
          <w:szCs w:val="24"/>
        </w:rPr>
        <w:t xml:space="preserve"> (2008)</w:t>
      </w:r>
      <w:r w:rsidR="0078495A">
        <w:rPr>
          <w:rFonts w:cs="BookAntiqua"/>
          <w:sz w:val="24"/>
          <w:szCs w:val="24"/>
        </w:rPr>
        <w:t xml:space="preserve"> </w:t>
      </w:r>
      <w:r>
        <w:rPr>
          <w:rFonts w:cs="BookAntiqua"/>
          <w:sz w:val="24"/>
          <w:szCs w:val="24"/>
        </w:rPr>
        <w:t>έδειξ</w:t>
      </w:r>
      <w:r w:rsidR="008E721D" w:rsidRPr="005A464E">
        <w:rPr>
          <w:rFonts w:cs="BookAntiqua"/>
          <w:sz w:val="24"/>
          <w:szCs w:val="24"/>
        </w:rPr>
        <w:t>ε ότι οι ασθενείς που</w:t>
      </w:r>
      <w:r w:rsidR="0078495A">
        <w:rPr>
          <w:rFonts w:cs="BookAntiqua"/>
          <w:sz w:val="24"/>
          <w:szCs w:val="24"/>
        </w:rPr>
        <w:t xml:space="preserve"> </w:t>
      </w:r>
      <w:r w:rsidR="008E721D" w:rsidRPr="005A464E">
        <w:rPr>
          <w:rFonts w:cs="BookAntiqua"/>
          <w:sz w:val="24"/>
          <w:szCs w:val="24"/>
        </w:rPr>
        <w:t>κάνουν μακρινά ταξίδια ώστε να προσέλθουν στις υπηρεσίες υγείας έχουν υψηλότερη θνησιμότητα και μειωμένη πο</w:t>
      </w:r>
      <w:r w:rsidR="00643627" w:rsidRPr="005A464E">
        <w:rPr>
          <w:rFonts w:cs="BookAntiqua"/>
          <w:sz w:val="24"/>
          <w:szCs w:val="24"/>
        </w:rPr>
        <w:t>ιότητα ζωής.</w:t>
      </w:r>
    </w:p>
    <w:p w:rsidR="00905933" w:rsidRPr="005A464E" w:rsidRDefault="001A7535" w:rsidP="0066526D">
      <w:pPr>
        <w:pStyle w:val="30"/>
        <w:numPr>
          <w:ilvl w:val="2"/>
          <w:numId w:val="99"/>
        </w:numPr>
      </w:pPr>
      <w:bookmarkStart w:id="60" w:name="_Toc495951456"/>
      <w:r w:rsidRPr="005A464E">
        <w:t>Κλινικές μεταβλητές που επηρεάζουν την ΠΖ των ασθενών υπό αιμοκάθαρση</w:t>
      </w:r>
      <w:bookmarkEnd w:id="60"/>
    </w:p>
    <w:p w:rsidR="001A7535" w:rsidRPr="005A464E" w:rsidRDefault="001A7535" w:rsidP="005A464E">
      <w:pPr>
        <w:pStyle w:val="a6"/>
        <w:spacing w:line="360" w:lineRule="auto"/>
        <w:rPr>
          <w:b/>
        </w:rPr>
      </w:pPr>
    </w:p>
    <w:p w:rsidR="001A7535" w:rsidRPr="00A60246" w:rsidRDefault="00905933" w:rsidP="00A60246">
      <w:pPr>
        <w:pStyle w:val="a5"/>
        <w:numPr>
          <w:ilvl w:val="0"/>
          <w:numId w:val="121"/>
        </w:numPr>
        <w:spacing w:line="360" w:lineRule="auto"/>
        <w:rPr>
          <w:i/>
          <w:sz w:val="24"/>
          <w:szCs w:val="24"/>
        </w:rPr>
      </w:pPr>
      <w:r w:rsidRPr="00A60246">
        <w:rPr>
          <w:i/>
          <w:sz w:val="24"/>
          <w:szCs w:val="24"/>
        </w:rPr>
        <w:t>Χρόνια προβλήματα υγείας</w:t>
      </w:r>
    </w:p>
    <w:p w:rsidR="00AC41D0" w:rsidRPr="00A60246" w:rsidRDefault="00CF29C3" w:rsidP="00A60246">
      <w:pPr>
        <w:spacing w:line="360" w:lineRule="auto"/>
        <w:jc w:val="both"/>
        <w:rPr>
          <w:rFonts w:cs="BookAntiqua"/>
          <w:sz w:val="24"/>
          <w:szCs w:val="24"/>
        </w:rPr>
      </w:pPr>
      <w:r w:rsidRPr="005A464E">
        <w:rPr>
          <w:rFonts w:cs="BookAntiqua"/>
          <w:sz w:val="24"/>
          <w:szCs w:val="24"/>
        </w:rPr>
        <w:t>Συνυπάρχουσες κλινικές καταστάσεις είναι συνήθεις σε ασθενείς που υποβάλλονται σε αιμοκάθαρση και αποτελούν σημαντικούς παράγοντες που συμβάλλουν στην κλινική έκβαση και την ποιότητα ζωής. Οι ασθένειες που σχετίζονται,</w:t>
      </w:r>
      <w:r w:rsidR="00A60246">
        <w:rPr>
          <w:rFonts w:cs="BookAntiqua"/>
          <w:sz w:val="24"/>
          <w:szCs w:val="24"/>
        </w:rPr>
        <w:t xml:space="preserve"> όπως</w:t>
      </w:r>
      <w:r w:rsidRPr="005A464E">
        <w:rPr>
          <w:rFonts w:cs="BookAntiqua"/>
          <w:sz w:val="24"/>
          <w:szCs w:val="24"/>
        </w:rPr>
        <w:t xml:space="preserve"> ο σακχαρώδης διαβήτης, είναι στενά </w:t>
      </w:r>
      <w:r w:rsidRPr="00A4175B">
        <w:rPr>
          <w:rFonts w:cs="BookAntiqua"/>
          <w:sz w:val="24"/>
          <w:szCs w:val="24"/>
        </w:rPr>
        <w:t>συνδεδεμένες με τα χαμηλότερα σκορ στις βαθμολογίες ΠΖ σε ασ</w:t>
      </w:r>
      <w:r w:rsidR="0040519B" w:rsidRPr="00A4175B">
        <w:rPr>
          <w:rFonts w:cs="BookAntiqua"/>
          <w:sz w:val="24"/>
          <w:szCs w:val="24"/>
        </w:rPr>
        <w:t xml:space="preserve">θενείς με </w:t>
      </w:r>
      <w:r w:rsidR="00123982" w:rsidRPr="00A4175B">
        <w:rPr>
          <w:rFonts w:cs="BookAntiqua"/>
          <w:sz w:val="24"/>
          <w:szCs w:val="24"/>
        </w:rPr>
        <w:t>ΤΣ</w:t>
      </w:r>
      <w:r w:rsidR="0040519B" w:rsidRPr="00A4175B">
        <w:rPr>
          <w:rFonts w:cs="BookAntiqua"/>
          <w:sz w:val="24"/>
          <w:szCs w:val="24"/>
        </w:rPr>
        <w:t xml:space="preserve">ΧΝΝ υπό </w:t>
      </w:r>
      <w:r w:rsidR="00C43037" w:rsidRPr="00A4175B">
        <w:rPr>
          <w:rFonts w:cs="BookAntiqua"/>
          <w:sz w:val="24"/>
          <w:szCs w:val="24"/>
        </w:rPr>
        <w:t xml:space="preserve">αιμοκάθαρση </w:t>
      </w:r>
      <w:r w:rsidR="0040519B" w:rsidRPr="00A4175B">
        <w:rPr>
          <w:rFonts w:cs="BookAntiqua"/>
          <w:sz w:val="24"/>
          <w:szCs w:val="24"/>
        </w:rPr>
        <w:t>(</w:t>
      </w:r>
      <w:r w:rsidR="00C43037" w:rsidRPr="00A4175B">
        <w:rPr>
          <w:rFonts w:cs="BookAntiqua"/>
          <w:sz w:val="24"/>
          <w:szCs w:val="24"/>
        </w:rPr>
        <w:t xml:space="preserve">Kalantar-Zadeh et al., 2001; </w:t>
      </w:r>
      <w:r w:rsidR="0040519B" w:rsidRPr="00A4175B">
        <w:rPr>
          <w:rFonts w:cs="BookAntiqua"/>
          <w:sz w:val="24"/>
          <w:szCs w:val="24"/>
        </w:rPr>
        <w:t xml:space="preserve">Bakewell, </w:t>
      </w:r>
      <w:r w:rsidR="0040519B" w:rsidRPr="00A4175B">
        <w:rPr>
          <w:rFonts w:asciiTheme="minorHAnsi" w:eastAsia="Times New Roman" w:hAnsiTheme="minorHAnsi" w:cstheme="minorHAnsi"/>
          <w:sz w:val="24"/>
          <w:szCs w:val="24"/>
          <w:lang w:val="en-US" w:eastAsia="el-GR"/>
        </w:rPr>
        <w:t>Higgins</w:t>
      </w:r>
      <w:r w:rsidR="00AF10FE" w:rsidRPr="00A4175B">
        <w:rPr>
          <w:rFonts w:asciiTheme="minorHAnsi" w:eastAsia="Times New Roman" w:hAnsiTheme="minorHAnsi" w:cstheme="minorHAnsi"/>
          <w:sz w:val="24"/>
          <w:szCs w:val="24"/>
          <w:lang w:eastAsia="el-GR"/>
        </w:rPr>
        <w:t>,</w:t>
      </w:r>
      <w:r w:rsidR="0040519B" w:rsidRPr="00A4175B">
        <w:rPr>
          <w:rFonts w:asciiTheme="minorHAnsi" w:eastAsia="Times New Roman" w:hAnsiTheme="minorHAnsi" w:cstheme="minorHAnsi"/>
          <w:sz w:val="24"/>
          <w:szCs w:val="24"/>
          <w:lang w:eastAsia="el-GR"/>
        </w:rPr>
        <w:t xml:space="preserve"> &amp; </w:t>
      </w:r>
      <w:r w:rsidR="0040519B" w:rsidRPr="00A4175B">
        <w:rPr>
          <w:rFonts w:asciiTheme="minorHAnsi" w:eastAsia="Times New Roman" w:hAnsiTheme="minorHAnsi" w:cstheme="minorHAnsi"/>
          <w:sz w:val="24"/>
          <w:szCs w:val="24"/>
          <w:lang w:val="en-US" w:eastAsia="el-GR"/>
        </w:rPr>
        <w:t>Edmunds</w:t>
      </w:r>
      <w:r w:rsidR="00AF10FE" w:rsidRPr="00A4175B">
        <w:rPr>
          <w:rFonts w:asciiTheme="minorHAnsi" w:eastAsia="Times New Roman" w:hAnsiTheme="minorHAnsi" w:cstheme="minorHAnsi"/>
          <w:sz w:val="24"/>
          <w:szCs w:val="24"/>
          <w:lang w:eastAsia="el-GR"/>
        </w:rPr>
        <w:t>,</w:t>
      </w:r>
      <w:r w:rsidR="0040519B" w:rsidRPr="00A4175B">
        <w:rPr>
          <w:rFonts w:cs="BookAntiqua"/>
          <w:sz w:val="24"/>
          <w:szCs w:val="24"/>
        </w:rPr>
        <w:t xml:space="preserve"> </w:t>
      </w:r>
      <w:r w:rsidR="00C43037" w:rsidRPr="00A4175B">
        <w:rPr>
          <w:rFonts w:cs="BookAntiqua"/>
          <w:sz w:val="24"/>
          <w:szCs w:val="24"/>
        </w:rPr>
        <w:t>2002</w:t>
      </w:r>
      <w:r w:rsidRPr="00A4175B">
        <w:rPr>
          <w:rFonts w:cs="BookAntiqua"/>
          <w:sz w:val="24"/>
          <w:szCs w:val="24"/>
        </w:rPr>
        <w:t>). Σύμφωνα με</w:t>
      </w:r>
      <w:r w:rsidR="0078495A" w:rsidRPr="00A4175B">
        <w:rPr>
          <w:rFonts w:cs="BookAntiqua"/>
          <w:sz w:val="24"/>
          <w:szCs w:val="24"/>
        </w:rPr>
        <w:t xml:space="preserve"> </w:t>
      </w:r>
      <w:r w:rsidR="00E63A4C" w:rsidRPr="00A4175B">
        <w:rPr>
          <w:rFonts w:cstheme="minorHAnsi"/>
          <w:sz w:val="24"/>
          <w:szCs w:val="24"/>
          <w:lang w:val="en-US"/>
        </w:rPr>
        <w:t>DOPPS</w:t>
      </w:r>
      <w:r w:rsidRPr="00A4175B">
        <w:rPr>
          <w:rFonts w:cstheme="minorHAnsi"/>
          <w:sz w:val="24"/>
          <w:szCs w:val="24"/>
        </w:rPr>
        <w:t xml:space="preserve"> </w:t>
      </w:r>
      <w:r w:rsidRPr="00A4175B">
        <w:rPr>
          <w:rFonts w:cs="BookAntiqua"/>
          <w:sz w:val="24"/>
          <w:szCs w:val="24"/>
        </w:rPr>
        <w:t>οι πιο συχνές διαταραχές μεταξύ 3856 νεοενταχθέντων ασθενών</w:t>
      </w:r>
      <w:r w:rsidR="006D680F" w:rsidRPr="00A4175B">
        <w:rPr>
          <w:rFonts w:cs="BookAntiqua"/>
          <w:sz w:val="24"/>
          <w:szCs w:val="24"/>
        </w:rPr>
        <w:t xml:space="preserve"> </w:t>
      </w:r>
      <w:r w:rsidRPr="00A4175B">
        <w:rPr>
          <w:rFonts w:cs="BookAntiqua"/>
          <w:sz w:val="24"/>
          <w:szCs w:val="24"/>
        </w:rPr>
        <w:t>αποτελούν οι καρδιαγγειακές</w:t>
      </w:r>
      <w:r w:rsidR="0078495A" w:rsidRPr="00A4175B">
        <w:rPr>
          <w:rFonts w:cs="BookAntiqua"/>
          <w:sz w:val="24"/>
          <w:szCs w:val="24"/>
        </w:rPr>
        <w:t xml:space="preserve"> </w:t>
      </w:r>
      <w:r w:rsidRPr="00A4175B">
        <w:rPr>
          <w:rFonts w:cs="BookAntiqua"/>
          <w:sz w:val="24"/>
          <w:szCs w:val="24"/>
        </w:rPr>
        <w:t>παθήσεις, η υπέρταση και ο σακχαρώδης διαβήτη</w:t>
      </w:r>
      <w:r w:rsidR="00BB20CC" w:rsidRPr="00A4175B">
        <w:rPr>
          <w:rFonts w:cs="BookAntiqua"/>
          <w:sz w:val="24"/>
          <w:szCs w:val="24"/>
        </w:rPr>
        <w:t>ς</w:t>
      </w:r>
      <w:r w:rsidR="00D957A3" w:rsidRPr="00A4175B">
        <w:rPr>
          <w:rFonts w:cs="BookAntiqua"/>
          <w:sz w:val="24"/>
          <w:szCs w:val="24"/>
        </w:rPr>
        <w:t xml:space="preserve"> (</w:t>
      </w:r>
      <w:r w:rsidR="00D957A3" w:rsidRPr="00A4175B">
        <w:rPr>
          <w:rFonts w:cs="BookAntiqua"/>
          <w:sz w:val="24"/>
          <w:szCs w:val="24"/>
          <w:lang w:val="en-US"/>
        </w:rPr>
        <w:t>Foley</w:t>
      </w:r>
      <w:r w:rsidR="00197BA9" w:rsidRPr="00A4175B">
        <w:rPr>
          <w:rFonts w:cs="BookAntiqua"/>
          <w:sz w:val="24"/>
          <w:szCs w:val="24"/>
        </w:rPr>
        <w:t xml:space="preserve">, </w:t>
      </w:r>
      <w:r w:rsidR="00197BA9" w:rsidRPr="00A4175B">
        <w:rPr>
          <w:rFonts w:asciiTheme="minorHAnsi" w:hAnsiTheme="minorHAnsi" w:cstheme="minorHAnsi"/>
          <w:sz w:val="24"/>
          <w:szCs w:val="24"/>
          <w:lang w:val="en-US"/>
        </w:rPr>
        <w:t>Parfrey</w:t>
      </w:r>
      <w:r w:rsidR="00197BA9" w:rsidRPr="00A4175B">
        <w:rPr>
          <w:rFonts w:asciiTheme="minorHAnsi" w:hAnsiTheme="minorHAnsi" w:cstheme="minorHAnsi"/>
          <w:sz w:val="24"/>
          <w:szCs w:val="24"/>
        </w:rPr>
        <w:t xml:space="preserve">, &amp; </w:t>
      </w:r>
      <w:r w:rsidR="00197BA9" w:rsidRPr="00A4175B">
        <w:rPr>
          <w:rFonts w:asciiTheme="minorHAnsi" w:hAnsiTheme="minorHAnsi" w:cstheme="minorHAnsi"/>
          <w:sz w:val="24"/>
          <w:szCs w:val="24"/>
          <w:lang w:val="en-US"/>
        </w:rPr>
        <w:t>Sarnak</w:t>
      </w:r>
      <w:r w:rsidR="00197BA9" w:rsidRPr="00A4175B">
        <w:rPr>
          <w:rFonts w:asciiTheme="minorHAnsi" w:hAnsiTheme="minorHAnsi" w:cstheme="minorHAnsi"/>
          <w:sz w:val="24"/>
          <w:szCs w:val="24"/>
        </w:rPr>
        <w:t xml:space="preserve">, </w:t>
      </w:r>
      <w:r w:rsidR="00D957A3" w:rsidRPr="00A4175B">
        <w:rPr>
          <w:rFonts w:cs="BookAntiqua"/>
          <w:sz w:val="24"/>
          <w:szCs w:val="24"/>
        </w:rPr>
        <w:t>1998).</w:t>
      </w:r>
      <w:r w:rsidR="006D680F" w:rsidRPr="00A4175B">
        <w:rPr>
          <w:rFonts w:cs="BookAntiqua"/>
          <w:sz w:val="24"/>
          <w:szCs w:val="24"/>
        </w:rPr>
        <w:t xml:space="preserve"> </w:t>
      </w:r>
      <w:r w:rsidR="000B4217" w:rsidRPr="00A4175B">
        <w:rPr>
          <w:rFonts w:cs="BookAntiqua"/>
          <w:sz w:val="24"/>
          <w:szCs w:val="24"/>
        </w:rPr>
        <w:t xml:space="preserve">Η υπερφωσφαταιμία συνδέεται με αποτιτάνωση των αγγείων και των καρδιακών βαλβίδων, καθώς και με το οξύ έμφραγμα του μυοκαρδίου </w:t>
      </w:r>
      <w:r w:rsidR="006D680F" w:rsidRPr="00A4175B">
        <w:rPr>
          <w:rFonts w:cs="BookAntiqua"/>
          <w:sz w:val="24"/>
          <w:szCs w:val="24"/>
        </w:rPr>
        <w:t>(Qunibi</w:t>
      </w:r>
      <w:r w:rsidR="00A3143C" w:rsidRPr="00A4175B">
        <w:rPr>
          <w:rFonts w:cs="BookAntiqua"/>
          <w:sz w:val="24"/>
          <w:szCs w:val="24"/>
        </w:rPr>
        <w:t>,</w:t>
      </w:r>
      <w:r w:rsidR="00BB20CC" w:rsidRPr="00A4175B">
        <w:rPr>
          <w:rFonts w:cs="BookAntiqua"/>
          <w:sz w:val="24"/>
          <w:szCs w:val="24"/>
        </w:rPr>
        <w:t xml:space="preserve"> 2004) ενώ</w:t>
      </w:r>
      <w:r w:rsidR="000B4217" w:rsidRPr="00A4175B">
        <w:rPr>
          <w:rFonts w:cs="BookAntiqua"/>
          <w:sz w:val="24"/>
          <w:szCs w:val="24"/>
        </w:rPr>
        <w:t xml:space="preserve"> </w:t>
      </w:r>
      <w:r w:rsidR="006D680F" w:rsidRPr="00A4175B">
        <w:rPr>
          <w:rFonts w:cs="BookAntiqua"/>
          <w:sz w:val="24"/>
          <w:szCs w:val="24"/>
        </w:rPr>
        <w:t xml:space="preserve">ο </w:t>
      </w:r>
      <w:r w:rsidR="000B4217" w:rsidRPr="00A4175B">
        <w:rPr>
          <w:rFonts w:cs="BookAntiqua"/>
          <w:sz w:val="24"/>
          <w:szCs w:val="24"/>
        </w:rPr>
        <w:t>υπερπαραθυρεοειδισμός είναι ένας λόγος μειωμένης</w:t>
      </w:r>
      <w:r w:rsidR="006D680F" w:rsidRPr="00A4175B">
        <w:rPr>
          <w:rFonts w:cs="BookAntiqua"/>
          <w:sz w:val="24"/>
          <w:szCs w:val="24"/>
        </w:rPr>
        <w:t xml:space="preserve"> </w:t>
      </w:r>
      <w:r w:rsidR="000B4217" w:rsidRPr="00A4175B">
        <w:rPr>
          <w:rFonts w:cs="BookAntiqua"/>
          <w:sz w:val="24"/>
          <w:szCs w:val="24"/>
        </w:rPr>
        <w:t xml:space="preserve">ανταπόκρισης </w:t>
      </w:r>
      <w:r w:rsidR="007F3D72" w:rsidRPr="00A4175B">
        <w:rPr>
          <w:rFonts w:cs="BookAntiqua"/>
          <w:sz w:val="24"/>
          <w:szCs w:val="24"/>
        </w:rPr>
        <w:t xml:space="preserve">του ανθρώπινου οργανισμού </w:t>
      </w:r>
      <w:r w:rsidR="000B4217" w:rsidRPr="00A4175B">
        <w:rPr>
          <w:rFonts w:cs="BookAntiqua"/>
          <w:sz w:val="24"/>
          <w:szCs w:val="24"/>
        </w:rPr>
        <w:t>στην ανασυνδυασμένη</w:t>
      </w:r>
      <w:r w:rsidR="0078495A">
        <w:rPr>
          <w:rFonts w:cs="BookAntiqua"/>
          <w:sz w:val="24"/>
          <w:szCs w:val="24"/>
        </w:rPr>
        <w:t xml:space="preserve"> </w:t>
      </w:r>
      <w:r w:rsidR="000B4217" w:rsidRPr="005A464E">
        <w:rPr>
          <w:rFonts w:cs="BookAntiqua"/>
          <w:sz w:val="24"/>
          <w:szCs w:val="24"/>
        </w:rPr>
        <w:t>ερυθροποιητίνη</w:t>
      </w:r>
      <w:r w:rsidR="006D680F" w:rsidRPr="005A464E">
        <w:rPr>
          <w:rFonts w:cs="BookAntiqua"/>
          <w:sz w:val="24"/>
          <w:szCs w:val="24"/>
        </w:rPr>
        <w:t xml:space="preserve"> (Drüeke &amp; Eckardt</w:t>
      </w:r>
      <w:r w:rsidR="00AB454B">
        <w:rPr>
          <w:rFonts w:cs="BookAntiqua"/>
          <w:sz w:val="24"/>
          <w:szCs w:val="24"/>
        </w:rPr>
        <w:t>,</w:t>
      </w:r>
      <w:r w:rsidR="000B4217" w:rsidRPr="005A464E">
        <w:rPr>
          <w:rFonts w:cs="BookAntiqua"/>
          <w:sz w:val="24"/>
          <w:szCs w:val="24"/>
        </w:rPr>
        <w:t xml:space="preserve"> 2002). </w:t>
      </w:r>
    </w:p>
    <w:p w:rsidR="00CF718E" w:rsidRPr="00A60246" w:rsidRDefault="008E721D" w:rsidP="00A60246">
      <w:pPr>
        <w:pStyle w:val="a5"/>
        <w:numPr>
          <w:ilvl w:val="0"/>
          <w:numId w:val="121"/>
        </w:numPr>
        <w:spacing w:line="360" w:lineRule="auto"/>
        <w:rPr>
          <w:i/>
          <w:sz w:val="24"/>
          <w:szCs w:val="24"/>
        </w:rPr>
      </w:pPr>
      <w:r w:rsidRPr="00A60246">
        <w:rPr>
          <w:i/>
          <w:sz w:val="24"/>
          <w:szCs w:val="24"/>
        </w:rPr>
        <w:t>Αναιμία</w:t>
      </w:r>
    </w:p>
    <w:p w:rsidR="00CF718E" w:rsidRPr="005A464E" w:rsidRDefault="0099386F" w:rsidP="005A464E">
      <w:pPr>
        <w:spacing w:line="360" w:lineRule="auto"/>
        <w:jc w:val="both"/>
        <w:rPr>
          <w:rFonts w:cs="BookAntiqua"/>
          <w:sz w:val="24"/>
          <w:szCs w:val="24"/>
        </w:rPr>
      </w:pPr>
      <w:r w:rsidRPr="00A4175B">
        <w:rPr>
          <w:rFonts w:cs="BookAntiqua"/>
          <w:sz w:val="24"/>
          <w:szCs w:val="24"/>
        </w:rPr>
        <w:t>Α</w:t>
      </w:r>
      <w:r w:rsidR="008E721D" w:rsidRPr="00A4175B">
        <w:rPr>
          <w:rFonts w:cs="BookAntiqua"/>
          <w:sz w:val="24"/>
          <w:szCs w:val="24"/>
        </w:rPr>
        <w:t>ρκετ</w:t>
      </w:r>
      <w:r w:rsidR="008E721D" w:rsidRPr="005A464E">
        <w:rPr>
          <w:rFonts w:cs="BookAntiqua"/>
          <w:sz w:val="24"/>
          <w:szCs w:val="24"/>
        </w:rPr>
        <w:t>ές μελέτες σχετικά με την σχέση μεταξύ της αναιμίας και της ποιότητα ζωής έχουν πραγματοποιηθεί.</w:t>
      </w:r>
      <w:r w:rsidR="006D680F" w:rsidRPr="005A464E">
        <w:rPr>
          <w:rFonts w:cs="BookAntiqua"/>
          <w:sz w:val="24"/>
          <w:szCs w:val="24"/>
        </w:rPr>
        <w:t xml:space="preserve"> </w:t>
      </w:r>
      <w:r w:rsidR="00123982">
        <w:rPr>
          <w:rFonts w:cs="BookAntiqua"/>
          <w:sz w:val="24"/>
          <w:szCs w:val="24"/>
        </w:rPr>
        <w:t>Επίπεδο</w:t>
      </w:r>
      <w:r w:rsidR="00BB20CC" w:rsidRPr="005A464E">
        <w:rPr>
          <w:rFonts w:cs="BookAntiqua"/>
          <w:sz w:val="24"/>
          <w:szCs w:val="24"/>
        </w:rPr>
        <w:t xml:space="preserve"> </w:t>
      </w:r>
      <w:r w:rsidR="008E721D" w:rsidRPr="005A464E">
        <w:rPr>
          <w:rFonts w:cs="BookAntiqua"/>
          <w:sz w:val="24"/>
          <w:szCs w:val="24"/>
        </w:rPr>
        <w:t>αιμοσφαιρίνη</w:t>
      </w:r>
      <w:r w:rsidR="00BB20CC" w:rsidRPr="005A464E">
        <w:rPr>
          <w:rFonts w:cs="BookAntiqua"/>
          <w:sz w:val="24"/>
          <w:szCs w:val="24"/>
        </w:rPr>
        <w:t>ς</w:t>
      </w:r>
      <w:r w:rsidR="008E721D" w:rsidRPr="005A464E">
        <w:rPr>
          <w:rFonts w:cs="BookAntiqua"/>
          <w:sz w:val="24"/>
          <w:szCs w:val="24"/>
        </w:rPr>
        <w:t xml:space="preserve"> </w:t>
      </w:r>
      <w:r w:rsidR="00123982">
        <w:rPr>
          <w:rFonts w:cs="BookAntiqua"/>
          <w:sz w:val="24"/>
          <w:szCs w:val="24"/>
        </w:rPr>
        <w:t>11-12 g/</w:t>
      </w:r>
      <w:r w:rsidR="008E721D" w:rsidRPr="005A464E">
        <w:rPr>
          <w:rFonts w:cs="BookAntiqua"/>
          <w:sz w:val="24"/>
          <w:szCs w:val="24"/>
        </w:rPr>
        <w:t>dl</w:t>
      </w:r>
      <w:r w:rsidR="00922F92">
        <w:rPr>
          <w:rFonts w:cs="BookAntiqua"/>
          <w:sz w:val="24"/>
          <w:szCs w:val="24"/>
        </w:rPr>
        <w:t xml:space="preserve"> </w:t>
      </w:r>
      <w:r w:rsidR="006D680F" w:rsidRPr="005A464E">
        <w:rPr>
          <w:rFonts w:cs="BookAntiqua"/>
          <w:sz w:val="24"/>
          <w:szCs w:val="24"/>
        </w:rPr>
        <w:t>–</w:t>
      </w:r>
      <w:r w:rsidR="00CF718E" w:rsidRPr="005A464E">
        <w:rPr>
          <w:rFonts w:cs="BookAntiqua"/>
          <w:sz w:val="24"/>
          <w:szCs w:val="24"/>
        </w:rPr>
        <w:t xml:space="preserve"> αποτελεί</w:t>
      </w:r>
      <w:r w:rsidR="006D680F" w:rsidRPr="005A464E">
        <w:rPr>
          <w:rFonts w:cs="BookAntiqua"/>
          <w:sz w:val="24"/>
          <w:szCs w:val="24"/>
        </w:rPr>
        <w:t xml:space="preserve"> </w:t>
      </w:r>
      <w:r w:rsidR="00CF718E" w:rsidRPr="005A464E">
        <w:rPr>
          <w:rFonts w:cs="BookAntiqua"/>
          <w:sz w:val="24"/>
          <w:szCs w:val="24"/>
        </w:rPr>
        <w:t>στόχο</w:t>
      </w:r>
      <w:r w:rsidR="006D680F" w:rsidRPr="005A464E">
        <w:rPr>
          <w:rFonts w:cs="BookAntiqua"/>
          <w:sz w:val="24"/>
          <w:szCs w:val="24"/>
        </w:rPr>
        <w:t xml:space="preserve"> </w:t>
      </w:r>
      <w:r w:rsidR="00CF718E" w:rsidRPr="005A464E">
        <w:rPr>
          <w:rFonts w:cs="BookAntiqua"/>
          <w:sz w:val="24"/>
          <w:szCs w:val="24"/>
        </w:rPr>
        <w:t>σύμφωνα</w:t>
      </w:r>
      <w:r w:rsidR="006D680F" w:rsidRPr="005A464E">
        <w:rPr>
          <w:rFonts w:cs="BookAntiqua"/>
          <w:sz w:val="24"/>
          <w:szCs w:val="24"/>
        </w:rPr>
        <w:t xml:space="preserve"> </w:t>
      </w:r>
      <w:r w:rsidR="00CF718E" w:rsidRPr="005A464E">
        <w:rPr>
          <w:rFonts w:cs="BookAntiqua"/>
          <w:sz w:val="24"/>
          <w:szCs w:val="24"/>
        </w:rPr>
        <w:t>με</w:t>
      </w:r>
      <w:r w:rsidR="006D680F" w:rsidRPr="005A464E">
        <w:rPr>
          <w:rFonts w:cs="BookAntiqua"/>
          <w:sz w:val="24"/>
          <w:szCs w:val="24"/>
        </w:rPr>
        <w:t xml:space="preserve"> </w:t>
      </w:r>
      <w:r w:rsidR="00CF718E" w:rsidRPr="005A464E">
        <w:rPr>
          <w:rFonts w:cs="BookAntiqua"/>
          <w:sz w:val="24"/>
          <w:szCs w:val="24"/>
        </w:rPr>
        <w:t>το</w:t>
      </w:r>
      <w:r w:rsidR="006D680F" w:rsidRPr="005A464E">
        <w:rPr>
          <w:rFonts w:cs="BookAntiqua"/>
          <w:sz w:val="24"/>
          <w:szCs w:val="24"/>
        </w:rPr>
        <w:t xml:space="preserve"> </w:t>
      </w:r>
      <w:r w:rsidR="00CF718E" w:rsidRPr="00C6348C">
        <w:rPr>
          <w:sz w:val="24"/>
          <w:szCs w:val="24"/>
          <w:lang w:val="en-US"/>
        </w:rPr>
        <w:t>NKF</w:t>
      </w:r>
      <w:r w:rsidR="00CF718E" w:rsidRPr="00C6348C">
        <w:rPr>
          <w:sz w:val="24"/>
          <w:szCs w:val="24"/>
        </w:rPr>
        <w:t>-</w:t>
      </w:r>
      <w:r w:rsidR="00CF718E" w:rsidRPr="00C6348C">
        <w:rPr>
          <w:sz w:val="24"/>
          <w:szCs w:val="24"/>
          <w:lang w:val="en-US"/>
        </w:rPr>
        <w:t>KDOQI</w:t>
      </w:r>
      <w:r w:rsidR="00922F92" w:rsidRPr="00922F92">
        <w:rPr>
          <w:sz w:val="24"/>
          <w:szCs w:val="24"/>
        </w:rPr>
        <w:t xml:space="preserve"> (</w:t>
      </w:r>
      <w:r w:rsidR="00922F92" w:rsidRPr="005A464E">
        <w:rPr>
          <w:rFonts w:cs="BookAntiqua"/>
          <w:sz w:val="24"/>
          <w:szCs w:val="24"/>
        </w:rPr>
        <w:t>λόγω δυνητικά δυσμενών καρδιαγγειακών επεισοδίων σε υψη</w:t>
      </w:r>
      <w:r w:rsidR="00922F92">
        <w:rPr>
          <w:rFonts w:cs="BookAntiqua"/>
          <w:sz w:val="24"/>
          <w:szCs w:val="24"/>
        </w:rPr>
        <w:t>λότερα επίπεδα αιμοσφαιρίνης</w:t>
      </w:r>
      <w:r w:rsidR="00922F92" w:rsidRPr="00922F92">
        <w:rPr>
          <w:rFonts w:cs="BookAntiqua"/>
          <w:sz w:val="24"/>
          <w:szCs w:val="24"/>
        </w:rPr>
        <w:t>)</w:t>
      </w:r>
      <w:r w:rsidR="008E721D" w:rsidRPr="00C6348C">
        <w:rPr>
          <w:rFonts w:cs="BookAntiqua"/>
          <w:sz w:val="24"/>
          <w:szCs w:val="24"/>
        </w:rPr>
        <w:t>.</w:t>
      </w:r>
      <w:r w:rsidR="00CF718E" w:rsidRPr="005A464E">
        <w:rPr>
          <w:sz w:val="24"/>
          <w:szCs w:val="24"/>
        </w:rPr>
        <w:t xml:space="preserve"> Η </w:t>
      </w:r>
      <w:r w:rsidR="00CF718E" w:rsidRPr="005A464E">
        <w:rPr>
          <w:rFonts w:cs="BookAntiqua"/>
          <w:sz w:val="24"/>
          <w:szCs w:val="24"/>
        </w:rPr>
        <w:t>αναιμία επηρεάζει αρνητικά τα επίπεδα ενέργειας και δραστηριότητας των ασθενών,</w:t>
      </w:r>
      <w:r w:rsidR="006D680F" w:rsidRPr="005A464E">
        <w:rPr>
          <w:rFonts w:cs="BookAntiqua"/>
          <w:sz w:val="24"/>
          <w:szCs w:val="24"/>
        </w:rPr>
        <w:t xml:space="preserve"> </w:t>
      </w:r>
      <w:r w:rsidR="00CF718E" w:rsidRPr="005A464E">
        <w:rPr>
          <w:rFonts w:cs="BookAntiqua"/>
          <w:sz w:val="24"/>
          <w:szCs w:val="24"/>
        </w:rPr>
        <w:t>τον ύπνο και τη διατροφική συμπεριφορά, τη γενική κατάσταση της υγείας, τη σεξουαλική ζωή ενώ μπορεί να προκαλέσει μυϊκή αδυναμία</w:t>
      </w:r>
      <w:r w:rsidR="00CF718E" w:rsidRPr="00A4175B">
        <w:rPr>
          <w:rFonts w:cs="BookAntiqua"/>
          <w:sz w:val="24"/>
          <w:szCs w:val="24"/>
        </w:rPr>
        <w:t xml:space="preserve">, </w:t>
      </w:r>
      <w:r w:rsidRPr="00A4175B">
        <w:rPr>
          <w:rFonts w:cs="BookAntiqua"/>
          <w:sz w:val="24"/>
          <w:szCs w:val="24"/>
        </w:rPr>
        <w:t xml:space="preserve">μυικές </w:t>
      </w:r>
      <w:r w:rsidR="009B2A2B" w:rsidRPr="00A4175B">
        <w:rPr>
          <w:rFonts w:cs="BookAntiqua"/>
          <w:sz w:val="24"/>
          <w:szCs w:val="24"/>
        </w:rPr>
        <w:t>συνολκές</w:t>
      </w:r>
      <w:r w:rsidR="0078495A" w:rsidRPr="00A4175B">
        <w:rPr>
          <w:rFonts w:cs="BookAntiqua"/>
          <w:sz w:val="24"/>
          <w:szCs w:val="24"/>
        </w:rPr>
        <w:t xml:space="preserve"> </w:t>
      </w:r>
      <w:r w:rsidR="00CF718E" w:rsidRPr="00A4175B">
        <w:rPr>
          <w:rFonts w:cs="BookAntiqua"/>
          <w:sz w:val="24"/>
          <w:szCs w:val="24"/>
        </w:rPr>
        <w:t>και</w:t>
      </w:r>
      <w:r w:rsidR="00CF718E" w:rsidRPr="00C6348C">
        <w:rPr>
          <w:rFonts w:cs="BookAntiqua"/>
          <w:sz w:val="24"/>
          <w:szCs w:val="24"/>
        </w:rPr>
        <w:t xml:space="preserve"> αναπνευστική</w:t>
      </w:r>
      <w:r w:rsidR="00CF718E" w:rsidRPr="005A464E">
        <w:rPr>
          <w:rFonts w:cs="BookAntiqua"/>
          <w:sz w:val="24"/>
          <w:szCs w:val="24"/>
        </w:rPr>
        <w:t xml:space="preserve"> δυσφορία (</w:t>
      </w:r>
      <w:r w:rsidR="00CF718E" w:rsidRPr="005A464E">
        <w:rPr>
          <w:rFonts w:cs="BookAntiqua"/>
          <w:sz w:val="24"/>
          <w:szCs w:val="24"/>
          <w:lang w:val="en-US"/>
        </w:rPr>
        <w:t>Breiterman</w:t>
      </w:r>
      <w:r w:rsidR="00CF718E" w:rsidRPr="005A464E">
        <w:rPr>
          <w:rFonts w:cs="BookAntiqua"/>
          <w:sz w:val="24"/>
          <w:szCs w:val="24"/>
        </w:rPr>
        <w:t>-</w:t>
      </w:r>
      <w:r w:rsidR="00CF718E" w:rsidRPr="005A464E">
        <w:rPr>
          <w:rFonts w:cs="BookAntiqua"/>
          <w:sz w:val="24"/>
          <w:szCs w:val="24"/>
          <w:lang w:val="en-US"/>
        </w:rPr>
        <w:t>White</w:t>
      </w:r>
      <w:r w:rsidR="00A3143C">
        <w:rPr>
          <w:rFonts w:cs="BookAntiqua"/>
          <w:sz w:val="24"/>
          <w:szCs w:val="24"/>
        </w:rPr>
        <w:t>,</w:t>
      </w:r>
      <w:r w:rsidR="006D680F" w:rsidRPr="005A464E">
        <w:rPr>
          <w:rFonts w:cs="BookAntiqua"/>
          <w:sz w:val="24"/>
          <w:szCs w:val="24"/>
        </w:rPr>
        <w:t xml:space="preserve"> </w:t>
      </w:r>
      <w:r w:rsidR="00CF718E" w:rsidRPr="005A464E">
        <w:rPr>
          <w:rFonts w:cs="BookAntiqua"/>
          <w:sz w:val="24"/>
          <w:szCs w:val="24"/>
        </w:rPr>
        <w:t>2005</w:t>
      </w:r>
      <w:r w:rsidR="00CF718E" w:rsidRPr="00922F92">
        <w:rPr>
          <w:rFonts w:cs="BookAntiqua"/>
          <w:sz w:val="24"/>
          <w:szCs w:val="24"/>
        </w:rPr>
        <w:t>).</w:t>
      </w:r>
      <w:r w:rsidR="002C4DF2" w:rsidRPr="00922F92">
        <w:rPr>
          <w:rFonts w:cs="BookAntiqua"/>
          <w:sz w:val="24"/>
          <w:szCs w:val="24"/>
        </w:rPr>
        <w:t xml:space="preserve"> </w:t>
      </w:r>
      <w:r w:rsidR="0055670E" w:rsidRPr="00922F92">
        <w:rPr>
          <w:sz w:val="24"/>
          <w:szCs w:val="24"/>
        </w:rPr>
        <w:t>Η αντιμετώπιση της</w:t>
      </w:r>
      <w:r w:rsidR="0055670E" w:rsidRPr="00922F92">
        <w:rPr>
          <w:rFonts w:cs="BookAntiqua"/>
          <w:sz w:val="24"/>
          <w:szCs w:val="24"/>
        </w:rPr>
        <w:t xml:space="preserve"> αναιμίας</w:t>
      </w:r>
      <w:r w:rsidR="0055670E" w:rsidRPr="005A464E">
        <w:rPr>
          <w:rFonts w:cs="BookAntiqua"/>
          <w:sz w:val="24"/>
          <w:szCs w:val="24"/>
        </w:rPr>
        <w:t xml:space="preserve"> με ερυθροποιητίνη μειώνει τη νοσηρότητα και τη θνησιμότητα, τη νοσοκομειακή περίθαλψη και</w:t>
      </w:r>
      <w:r w:rsidR="006D680F" w:rsidRPr="005A464E">
        <w:rPr>
          <w:rFonts w:cs="BookAntiqua"/>
          <w:sz w:val="24"/>
          <w:szCs w:val="24"/>
        </w:rPr>
        <w:t xml:space="preserve"> την</w:t>
      </w:r>
      <w:r w:rsidR="0055670E" w:rsidRPr="005A464E">
        <w:rPr>
          <w:rFonts w:cs="BookAntiqua"/>
          <w:sz w:val="24"/>
          <w:szCs w:val="24"/>
        </w:rPr>
        <w:t xml:space="preserve"> υπερτροφία της αριστεράς κοιλίας ενώ</w:t>
      </w:r>
      <w:r w:rsidR="0078495A">
        <w:rPr>
          <w:rFonts w:cs="BookAntiqua"/>
          <w:sz w:val="24"/>
          <w:szCs w:val="24"/>
        </w:rPr>
        <w:t xml:space="preserve"> </w:t>
      </w:r>
      <w:r w:rsidR="0055670E" w:rsidRPr="005A464E">
        <w:rPr>
          <w:rFonts w:cs="BookAntiqua"/>
          <w:sz w:val="24"/>
          <w:szCs w:val="24"/>
        </w:rPr>
        <w:t xml:space="preserve">βελτιώνει την ΠΖ (Madore </w:t>
      </w:r>
      <w:r w:rsidR="00566CAA">
        <w:rPr>
          <w:rFonts w:cs="BookAntiqua"/>
          <w:sz w:val="24"/>
          <w:szCs w:val="24"/>
        </w:rPr>
        <w:t>et al</w:t>
      </w:r>
      <w:r w:rsidR="00A3143C">
        <w:rPr>
          <w:rFonts w:cs="BookAntiqua"/>
          <w:sz w:val="24"/>
          <w:szCs w:val="24"/>
        </w:rPr>
        <w:t>.</w:t>
      </w:r>
      <w:r w:rsidR="0085076B">
        <w:rPr>
          <w:rFonts w:cs="BookAntiqua"/>
          <w:sz w:val="24"/>
          <w:szCs w:val="24"/>
        </w:rPr>
        <w:t>,</w:t>
      </w:r>
      <w:r w:rsidR="0055670E" w:rsidRPr="005A464E">
        <w:rPr>
          <w:rFonts w:cs="BookAntiqua"/>
          <w:sz w:val="24"/>
          <w:szCs w:val="24"/>
        </w:rPr>
        <w:t xml:space="preserve"> 1997; Speigel</w:t>
      </w:r>
      <w:r w:rsidR="00A3143C">
        <w:rPr>
          <w:rFonts w:cs="BookAntiqua"/>
          <w:sz w:val="24"/>
          <w:szCs w:val="24"/>
        </w:rPr>
        <w:t>,</w:t>
      </w:r>
      <w:r w:rsidR="0055670E" w:rsidRPr="005A464E">
        <w:rPr>
          <w:rFonts w:cs="BookAntiqua"/>
          <w:sz w:val="24"/>
          <w:szCs w:val="24"/>
        </w:rPr>
        <w:t xml:space="preserve"> 2006). Η σοβαρότητα της αναιμίας και η επιτυχία της αντιμετώπισής της επηρεάζονται</w:t>
      </w:r>
      <w:r w:rsidR="00922F92" w:rsidRPr="00922F92">
        <w:rPr>
          <w:rFonts w:cs="BookAntiqua"/>
          <w:sz w:val="24"/>
          <w:szCs w:val="24"/>
        </w:rPr>
        <w:t>,</w:t>
      </w:r>
      <w:r w:rsidR="0055670E" w:rsidRPr="005A464E">
        <w:rPr>
          <w:rFonts w:cs="BookAntiqua"/>
          <w:sz w:val="24"/>
          <w:szCs w:val="24"/>
        </w:rPr>
        <w:t xml:space="preserve"> επίσης</w:t>
      </w:r>
      <w:r w:rsidR="00922F92" w:rsidRPr="00922F92">
        <w:rPr>
          <w:rFonts w:cs="BookAntiqua"/>
          <w:sz w:val="24"/>
          <w:szCs w:val="24"/>
        </w:rPr>
        <w:t>,</w:t>
      </w:r>
      <w:r w:rsidR="0055670E" w:rsidRPr="005A464E">
        <w:rPr>
          <w:rFonts w:cs="BookAntiqua"/>
          <w:sz w:val="24"/>
          <w:szCs w:val="24"/>
        </w:rPr>
        <w:t xml:space="preserve"> από άλλους παράγοντες, όπως τα αποθέματα </w:t>
      </w:r>
      <w:r w:rsidR="0055670E" w:rsidRPr="00867822">
        <w:rPr>
          <w:rFonts w:cs="BookAntiqua"/>
          <w:sz w:val="24"/>
          <w:szCs w:val="24"/>
        </w:rPr>
        <w:t>σιδήρου (M</w:t>
      </w:r>
      <w:r w:rsidR="005D62CF" w:rsidRPr="00867822">
        <w:rPr>
          <w:rFonts w:cs="BookAntiqua"/>
          <w:sz w:val="24"/>
          <w:szCs w:val="24"/>
        </w:rPr>
        <w:t>ircesc</w:t>
      </w:r>
      <w:r w:rsidR="005D62CF" w:rsidRPr="00867822">
        <w:rPr>
          <w:rFonts w:cs="BookAntiqua"/>
          <w:sz w:val="24"/>
          <w:szCs w:val="24"/>
          <w:lang w:val="en-US"/>
        </w:rPr>
        <w:t>u</w:t>
      </w:r>
      <w:r w:rsidR="00867822" w:rsidRPr="00867822">
        <w:rPr>
          <w:rFonts w:cs="BookAntiqua"/>
          <w:sz w:val="24"/>
          <w:szCs w:val="24"/>
        </w:rPr>
        <w:t>,</w:t>
      </w:r>
      <w:r w:rsidR="006D680F" w:rsidRPr="00867822">
        <w:rPr>
          <w:rFonts w:cs="BookAntiqua"/>
          <w:sz w:val="24"/>
          <w:szCs w:val="24"/>
        </w:rPr>
        <w:t xml:space="preserve"> </w:t>
      </w:r>
      <w:r w:rsidR="00867822" w:rsidRPr="00867822">
        <w:rPr>
          <w:rFonts w:asciiTheme="minorHAnsi" w:hAnsiTheme="minorHAnsi" w:cstheme="minorHAnsi"/>
          <w:sz w:val="24"/>
          <w:szCs w:val="24"/>
          <w:lang w:val="en-US"/>
        </w:rPr>
        <w:t>Garneata</w:t>
      </w:r>
      <w:r w:rsidR="00867822" w:rsidRPr="00867822">
        <w:rPr>
          <w:rFonts w:asciiTheme="minorHAnsi" w:hAnsiTheme="minorHAnsi" w:cstheme="minorHAnsi"/>
          <w:sz w:val="24"/>
          <w:szCs w:val="24"/>
        </w:rPr>
        <w:t xml:space="preserve">, </w:t>
      </w:r>
      <w:r w:rsidR="00867822" w:rsidRPr="00867822">
        <w:rPr>
          <w:rFonts w:asciiTheme="minorHAnsi" w:hAnsiTheme="minorHAnsi" w:cstheme="minorHAnsi"/>
          <w:sz w:val="24"/>
          <w:szCs w:val="24"/>
          <w:lang w:val="en-US"/>
        </w:rPr>
        <w:t>Capusa</w:t>
      </w:r>
      <w:r w:rsidR="00867822">
        <w:rPr>
          <w:rFonts w:asciiTheme="minorHAnsi" w:hAnsiTheme="minorHAnsi" w:cstheme="minorHAnsi"/>
          <w:sz w:val="24"/>
          <w:szCs w:val="24"/>
        </w:rPr>
        <w:t>,</w:t>
      </w:r>
      <w:r w:rsidR="00867822" w:rsidRPr="00867822">
        <w:rPr>
          <w:rFonts w:asciiTheme="minorHAnsi" w:hAnsiTheme="minorHAnsi" w:cstheme="minorHAnsi"/>
          <w:sz w:val="24"/>
          <w:szCs w:val="24"/>
        </w:rPr>
        <w:t xml:space="preserve"> &amp; </w:t>
      </w:r>
      <w:r w:rsidR="00867822" w:rsidRPr="00867822">
        <w:rPr>
          <w:rFonts w:asciiTheme="minorHAnsi" w:hAnsiTheme="minorHAnsi" w:cstheme="minorHAnsi"/>
          <w:sz w:val="24"/>
          <w:szCs w:val="24"/>
          <w:lang w:val="en-US"/>
        </w:rPr>
        <w:t>Ursea</w:t>
      </w:r>
      <w:r w:rsidR="00867822" w:rsidRPr="00867822">
        <w:rPr>
          <w:rFonts w:cs="BookAntiqua"/>
          <w:sz w:val="24"/>
          <w:szCs w:val="24"/>
        </w:rPr>
        <w:t>,</w:t>
      </w:r>
      <w:r w:rsidR="005D62CF" w:rsidRPr="00867822">
        <w:rPr>
          <w:rFonts w:cs="BookAntiqua"/>
          <w:sz w:val="24"/>
          <w:szCs w:val="24"/>
        </w:rPr>
        <w:t xml:space="preserve"> </w:t>
      </w:r>
      <w:r w:rsidR="00A3143C" w:rsidRPr="00867822">
        <w:rPr>
          <w:rFonts w:cs="BookAntiqua"/>
          <w:sz w:val="24"/>
          <w:szCs w:val="24"/>
        </w:rPr>
        <w:t>2005</w:t>
      </w:r>
      <w:r w:rsidR="0055670E" w:rsidRPr="005A464E">
        <w:rPr>
          <w:rFonts w:cs="BookAntiqua"/>
          <w:sz w:val="24"/>
          <w:szCs w:val="24"/>
        </w:rPr>
        <w:t xml:space="preserve">), η παρουσία φλεγμονής, η λοίμωξη, η κακή </w:t>
      </w:r>
      <w:r w:rsidR="005D62CF" w:rsidRPr="005A464E">
        <w:rPr>
          <w:rFonts w:cs="BookAntiqua"/>
          <w:sz w:val="24"/>
          <w:szCs w:val="24"/>
        </w:rPr>
        <w:t xml:space="preserve">διατροφή (Kalantar-Zadeh </w:t>
      </w:r>
      <w:r w:rsidR="00566CAA">
        <w:rPr>
          <w:rFonts w:cs="BookAntiqua"/>
          <w:sz w:val="24"/>
          <w:szCs w:val="24"/>
        </w:rPr>
        <w:t>et al</w:t>
      </w:r>
      <w:r w:rsidR="003B4333">
        <w:rPr>
          <w:rFonts w:cs="BookAntiqua"/>
          <w:sz w:val="24"/>
          <w:szCs w:val="24"/>
        </w:rPr>
        <w:t>.</w:t>
      </w:r>
      <w:r w:rsidR="00AC5B2C" w:rsidRPr="00AC5B2C">
        <w:rPr>
          <w:rFonts w:cs="BookAntiqua"/>
          <w:sz w:val="24"/>
          <w:szCs w:val="24"/>
        </w:rPr>
        <w:t>,</w:t>
      </w:r>
      <w:r w:rsidR="00322DD2">
        <w:rPr>
          <w:rFonts w:cs="BookAntiqua"/>
          <w:sz w:val="24"/>
          <w:szCs w:val="24"/>
        </w:rPr>
        <w:t xml:space="preserve"> 2003)</w:t>
      </w:r>
      <w:r w:rsidR="0055670E" w:rsidRPr="005A464E">
        <w:rPr>
          <w:rFonts w:cs="BookAntiqua"/>
          <w:sz w:val="24"/>
          <w:szCs w:val="24"/>
        </w:rPr>
        <w:t xml:space="preserve"> και ο υπερπαρα</w:t>
      </w:r>
      <w:r w:rsidR="005D62CF" w:rsidRPr="005A464E">
        <w:rPr>
          <w:rFonts w:cs="BookAntiqua"/>
          <w:sz w:val="24"/>
          <w:szCs w:val="24"/>
        </w:rPr>
        <w:t>θυρεοειδισμός (Drüeke &amp; Eckardt</w:t>
      </w:r>
      <w:r w:rsidR="00AB454B">
        <w:rPr>
          <w:rFonts w:cs="BookAntiqua"/>
          <w:sz w:val="24"/>
          <w:szCs w:val="24"/>
        </w:rPr>
        <w:t>,</w:t>
      </w:r>
      <w:r w:rsidR="0055670E" w:rsidRPr="005A464E">
        <w:rPr>
          <w:rFonts w:cs="BookAntiqua"/>
          <w:sz w:val="24"/>
          <w:szCs w:val="24"/>
        </w:rPr>
        <w:t xml:space="preserve"> 2002).</w:t>
      </w:r>
    </w:p>
    <w:p w:rsidR="008E721D" w:rsidRPr="00891A77" w:rsidRDefault="008E721D" w:rsidP="00891A77">
      <w:pPr>
        <w:pStyle w:val="a5"/>
        <w:numPr>
          <w:ilvl w:val="0"/>
          <w:numId w:val="121"/>
        </w:numPr>
        <w:spacing w:line="360" w:lineRule="auto"/>
        <w:rPr>
          <w:i/>
          <w:sz w:val="24"/>
          <w:szCs w:val="24"/>
        </w:rPr>
      </w:pPr>
      <w:r w:rsidRPr="00891A77">
        <w:rPr>
          <w:i/>
          <w:sz w:val="24"/>
          <w:szCs w:val="24"/>
          <w:lang w:val="en-US"/>
        </w:rPr>
        <w:t>H</w:t>
      </w:r>
      <w:r w:rsidRPr="00891A77">
        <w:rPr>
          <w:i/>
          <w:sz w:val="24"/>
          <w:szCs w:val="24"/>
        </w:rPr>
        <w:t xml:space="preserve"> επάρκεια κάθαρσης</w:t>
      </w:r>
    </w:p>
    <w:p w:rsidR="005D62CF" w:rsidRPr="00A4175B" w:rsidRDefault="00FA7DEA" w:rsidP="005A464E">
      <w:pPr>
        <w:spacing w:line="360" w:lineRule="auto"/>
        <w:jc w:val="both"/>
        <w:rPr>
          <w:rFonts w:cs="BookAntiqua"/>
          <w:sz w:val="24"/>
          <w:szCs w:val="24"/>
        </w:rPr>
      </w:pPr>
      <w:r w:rsidRPr="005A464E">
        <w:rPr>
          <w:rFonts w:cs="BookAntiqua"/>
          <w:sz w:val="24"/>
          <w:szCs w:val="24"/>
        </w:rPr>
        <w:t>Η</w:t>
      </w:r>
      <w:r w:rsidR="005D62CF" w:rsidRPr="005A464E">
        <w:rPr>
          <w:rFonts w:cs="BookAntiqua"/>
          <w:sz w:val="24"/>
          <w:szCs w:val="24"/>
        </w:rPr>
        <w:t xml:space="preserve"> δόση </w:t>
      </w:r>
      <w:r w:rsidR="00F54030" w:rsidRPr="005A464E">
        <w:rPr>
          <w:rFonts w:cs="BookAntiqua"/>
          <w:sz w:val="24"/>
          <w:szCs w:val="24"/>
        </w:rPr>
        <w:t xml:space="preserve">της </w:t>
      </w:r>
      <w:r w:rsidR="005D62CF" w:rsidRPr="005A464E">
        <w:rPr>
          <w:rFonts w:cs="BookAntiqua"/>
          <w:sz w:val="24"/>
          <w:szCs w:val="24"/>
        </w:rPr>
        <w:t>αιμοκάθαρση</w:t>
      </w:r>
      <w:r w:rsidR="00F54030" w:rsidRPr="005A464E">
        <w:rPr>
          <w:rFonts w:cs="BookAntiqua"/>
          <w:sz w:val="24"/>
          <w:szCs w:val="24"/>
        </w:rPr>
        <w:t>ς</w:t>
      </w:r>
      <w:r w:rsidR="005D62CF" w:rsidRPr="005A464E">
        <w:rPr>
          <w:rFonts w:cs="BookAntiqua"/>
          <w:sz w:val="24"/>
          <w:szCs w:val="24"/>
        </w:rPr>
        <w:t xml:space="preserve"> έχει ποσοτικοποιηθεί με αναφορά στα κινητική της ουρίας. Για το σκοπό αυτό, είναι διαθέσιμες διάφορες μέθοδ</w:t>
      </w:r>
      <w:r w:rsidR="003C5A12" w:rsidRPr="005A464E">
        <w:rPr>
          <w:rFonts w:cs="BookAntiqua"/>
          <w:sz w:val="24"/>
          <w:szCs w:val="24"/>
        </w:rPr>
        <w:t xml:space="preserve">οι. Συχνά χρησιμοποιείται </w:t>
      </w:r>
      <w:r w:rsidR="005D62CF" w:rsidRPr="005A464E">
        <w:rPr>
          <w:rFonts w:cs="BookAntiqua"/>
          <w:sz w:val="24"/>
          <w:szCs w:val="24"/>
        </w:rPr>
        <w:t xml:space="preserve">ο </w:t>
      </w:r>
      <w:r w:rsidR="005D62CF" w:rsidRPr="00517605">
        <w:rPr>
          <w:rFonts w:cs="BookAntiqua"/>
          <w:sz w:val="24"/>
          <w:szCs w:val="24"/>
        </w:rPr>
        <w:t xml:space="preserve">δείκτης </w:t>
      </w:r>
      <w:r w:rsidR="0099386F" w:rsidRPr="00517605">
        <w:rPr>
          <w:rFonts w:cs="BookAntiqua"/>
          <w:sz w:val="24"/>
          <w:szCs w:val="24"/>
          <w:lang w:val="en-US"/>
        </w:rPr>
        <w:t>K</w:t>
      </w:r>
      <w:r w:rsidR="00275BE5" w:rsidRPr="00517605">
        <w:rPr>
          <w:rFonts w:cs="BookAntiqua"/>
          <w:sz w:val="24"/>
          <w:szCs w:val="24"/>
          <w:lang w:val="en-US"/>
        </w:rPr>
        <w:t>t</w:t>
      </w:r>
      <w:r w:rsidR="00275BE5" w:rsidRPr="00517605">
        <w:rPr>
          <w:rFonts w:cs="BookAntiqua"/>
          <w:sz w:val="24"/>
          <w:szCs w:val="24"/>
        </w:rPr>
        <w:t>/</w:t>
      </w:r>
      <w:r w:rsidR="0099386F" w:rsidRPr="00517605">
        <w:rPr>
          <w:rFonts w:cs="BookAntiqua"/>
          <w:sz w:val="24"/>
          <w:szCs w:val="24"/>
          <w:lang w:val="en-US"/>
        </w:rPr>
        <w:t>V</w:t>
      </w:r>
      <w:r w:rsidR="00275BE5" w:rsidRPr="005A464E">
        <w:rPr>
          <w:rFonts w:cs="BookAntiqua"/>
          <w:sz w:val="24"/>
          <w:szCs w:val="24"/>
        </w:rPr>
        <w:t xml:space="preserve"> δηλ</w:t>
      </w:r>
      <w:r w:rsidR="002C4DF2">
        <w:rPr>
          <w:rFonts w:cs="BookAntiqua"/>
          <w:sz w:val="24"/>
          <w:szCs w:val="24"/>
        </w:rPr>
        <w:t>.</w:t>
      </w:r>
      <w:r w:rsidR="00275BE5" w:rsidRPr="005A464E">
        <w:rPr>
          <w:rFonts w:cs="BookAntiqua"/>
          <w:sz w:val="24"/>
          <w:szCs w:val="24"/>
        </w:rPr>
        <w:t xml:space="preserve"> </w:t>
      </w:r>
      <w:r w:rsidR="005D62CF" w:rsidRPr="005A464E">
        <w:rPr>
          <w:rFonts w:cs="BookAntiqua"/>
          <w:sz w:val="24"/>
          <w:szCs w:val="24"/>
        </w:rPr>
        <w:t>το προϊ</w:t>
      </w:r>
      <w:r w:rsidR="00D8059C" w:rsidRPr="005A464E">
        <w:rPr>
          <w:rFonts w:cs="BookAntiqua"/>
          <w:sz w:val="24"/>
          <w:szCs w:val="24"/>
        </w:rPr>
        <w:t>όν της κάθαρσης ουρίας (K) επί</w:t>
      </w:r>
      <w:r w:rsidR="006D680F" w:rsidRPr="005A464E">
        <w:rPr>
          <w:rFonts w:cs="BookAntiqua"/>
          <w:sz w:val="24"/>
          <w:szCs w:val="24"/>
        </w:rPr>
        <w:t xml:space="preserve"> </w:t>
      </w:r>
      <w:r w:rsidR="002974C4" w:rsidRPr="005A464E">
        <w:rPr>
          <w:rFonts w:cs="BookAntiqua"/>
          <w:sz w:val="24"/>
          <w:szCs w:val="24"/>
        </w:rPr>
        <w:t>το μήκος του χρόνου κάθαρσης</w:t>
      </w:r>
      <w:r w:rsidR="005D62CF" w:rsidRPr="005A464E">
        <w:rPr>
          <w:rFonts w:cs="BookAntiqua"/>
          <w:sz w:val="24"/>
          <w:szCs w:val="24"/>
        </w:rPr>
        <w:t xml:space="preserve"> (t)</w:t>
      </w:r>
      <w:r w:rsidRPr="005A464E">
        <w:rPr>
          <w:rFonts w:cs="BookAntiqua"/>
          <w:sz w:val="24"/>
          <w:szCs w:val="24"/>
        </w:rPr>
        <w:t xml:space="preserve"> σε λεπτά</w:t>
      </w:r>
      <w:r w:rsidR="005D62CF" w:rsidRPr="005A464E">
        <w:rPr>
          <w:rFonts w:cs="BookAntiqua"/>
          <w:sz w:val="24"/>
          <w:szCs w:val="24"/>
        </w:rPr>
        <w:t xml:space="preserve"> σε σχέση με το</w:t>
      </w:r>
      <w:r w:rsidR="002974C4" w:rsidRPr="005A464E">
        <w:rPr>
          <w:rFonts w:cs="BookAntiqua"/>
          <w:sz w:val="24"/>
          <w:szCs w:val="24"/>
        </w:rPr>
        <w:t>ν όγκο</w:t>
      </w:r>
      <w:r w:rsidRPr="005A464E">
        <w:rPr>
          <w:rFonts w:cs="BookAntiqua"/>
          <w:sz w:val="24"/>
          <w:szCs w:val="24"/>
        </w:rPr>
        <w:t xml:space="preserve"> (</w:t>
      </w:r>
      <w:r w:rsidRPr="005A464E">
        <w:rPr>
          <w:rFonts w:cs="BookAntiqua"/>
          <w:sz w:val="24"/>
          <w:szCs w:val="24"/>
          <w:lang w:val="en-US"/>
        </w:rPr>
        <w:t>V</w:t>
      </w:r>
      <w:r w:rsidRPr="005A464E">
        <w:rPr>
          <w:rFonts w:cs="BookAntiqua"/>
          <w:sz w:val="24"/>
          <w:szCs w:val="24"/>
        </w:rPr>
        <w:t>)</w:t>
      </w:r>
      <w:r w:rsidR="002974C4" w:rsidRPr="005A464E">
        <w:rPr>
          <w:rFonts w:cs="BookAntiqua"/>
          <w:sz w:val="24"/>
          <w:szCs w:val="24"/>
        </w:rPr>
        <w:t xml:space="preserve"> κατανομής ουρίας</w:t>
      </w:r>
      <w:r w:rsidRPr="005A464E">
        <w:rPr>
          <w:rFonts w:cs="BookAntiqua"/>
          <w:sz w:val="24"/>
          <w:szCs w:val="24"/>
        </w:rPr>
        <w:t xml:space="preserve"> σε </w:t>
      </w:r>
      <w:r w:rsidRPr="005A464E">
        <w:rPr>
          <w:rFonts w:cs="BookAntiqua"/>
          <w:sz w:val="24"/>
          <w:szCs w:val="24"/>
          <w:lang w:val="en-US"/>
        </w:rPr>
        <w:t>ml</w:t>
      </w:r>
      <w:r w:rsidR="00E51DA4">
        <w:rPr>
          <w:rFonts w:cs="BookAntiqua"/>
          <w:sz w:val="24"/>
          <w:szCs w:val="24"/>
        </w:rPr>
        <w:t xml:space="preserve"> (</w:t>
      </w:r>
      <w:r w:rsidR="00245DE9">
        <w:rPr>
          <w:rFonts w:cs="BookAntiqua"/>
          <w:sz w:val="24"/>
          <w:szCs w:val="24"/>
          <w:lang w:val="en-US"/>
        </w:rPr>
        <w:t>Zyga</w:t>
      </w:r>
      <w:r w:rsidR="00245DE9">
        <w:rPr>
          <w:rFonts w:cs="BookAntiqua"/>
          <w:sz w:val="24"/>
          <w:szCs w:val="24"/>
        </w:rPr>
        <w:t xml:space="preserve">, </w:t>
      </w:r>
      <w:r w:rsidR="00245DE9">
        <w:rPr>
          <w:rFonts w:cs="BookAntiqua"/>
          <w:sz w:val="24"/>
          <w:szCs w:val="24"/>
          <w:lang w:val="en-US"/>
        </w:rPr>
        <w:t>Brokalaki</w:t>
      </w:r>
      <w:r w:rsidR="00245DE9" w:rsidRPr="003A194E">
        <w:rPr>
          <w:rFonts w:cs="BookAntiqua"/>
          <w:sz w:val="24"/>
          <w:szCs w:val="24"/>
        </w:rPr>
        <w:t xml:space="preserve">, </w:t>
      </w:r>
      <w:r w:rsidR="00245DE9">
        <w:rPr>
          <w:rFonts w:cs="BookAntiqua"/>
          <w:sz w:val="24"/>
          <w:szCs w:val="24"/>
          <w:lang w:val="en-US"/>
        </w:rPr>
        <w:t>Virvidakis</w:t>
      </w:r>
      <w:r w:rsidR="00245DE9" w:rsidRPr="003A194E">
        <w:rPr>
          <w:rFonts w:cs="BookAntiqua"/>
          <w:sz w:val="24"/>
          <w:szCs w:val="24"/>
        </w:rPr>
        <w:t xml:space="preserve">, &amp; </w:t>
      </w:r>
      <w:r w:rsidR="00245DE9">
        <w:rPr>
          <w:rFonts w:cs="BookAntiqua"/>
          <w:sz w:val="24"/>
          <w:szCs w:val="24"/>
          <w:lang w:val="en-US"/>
        </w:rPr>
        <w:t>Baltopoulos</w:t>
      </w:r>
      <w:r w:rsidR="00245DE9" w:rsidRPr="003A194E">
        <w:rPr>
          <w:rFonts w:cs="BookAntiqua"/>
          <w:sz w:val="24"/>
          <w:szCs w:val="24"/>
        </w:rPr>
        <w:t>, 2005</w:t>
      </w:r>
      <w:r w:rsidR="00245DE9">
        <w:rPr>
          <w:rFonts w:cs="BookAntiqua"/>
          <w:sz w:val="24"/>
          <w:szCs w:val="24"/>
        </w:rPr>
        <w:t xml:space="preserve">; </w:t>
      </w:r>
      <w:r w:rsidR="00E51DA4">
        <w:rPr>
          <w:rFonts w:cs="BookAntiqua"/>
          <w:sz w:val="24"/>
          <w:szCs w:val="24"/>
          <w:lang w:val="en-US"/>
        </w:rPr>
        <w:t>Zyga</w:t>
      </w:r>
      <w:r w:rsidR="00E51DA4" w:rsidRPr="00E51DA4">
        <w:rPr>
          <w:rFonts w:cs="BookAntiqua"/>
          <w:sz w:val="24"/>
          <w:szCs w:val="24"/>
        </w:rPr>
        <w:t xml:space="preserve"> &amp; </w:t>
      </w:r>
      <w:r w:rsidR="00E51DA4">
        <w:rPr>
          <w:rFonts w:cs="BookAntiqua"/>
          <w:sz w:val="24"/>
          <w:szCs w:val="24"/>
          <w:lang w:val="en-US"/>
        </w:rPr>
        <w:t>Sarafis</w:t>
      </w:r>
      <w:r w:rsidR="00E51DA4" w:rsidRPr="00E51DA4">
        <w:rPr>
          <w:rFonts w:cs="BookAntiqua"/>
          <w:sz w:val="24"/>
          <w:szCs w:val="24"/>
        </w:rPr>
        <w:t>, 2009</w:t>
      </w:r>
      <w:r w:rsidR="00245DE9">
        <w:rPr>
          <w:rFonts w:cs="BookAntiqua"/>
          <w:sz w:val="24"/>
          <w:szCs w:val="24"/>
        </w:rPr>
        <w:t>; Ζυγά &amp; Μπροκαλάκη, 2003</w:t>
      </w:r>
      <w:r w:rsidR="003A194E" w:rsidRPr="003A194E">
        <w:rPr>
          <w:rFonts w:cs="BookAntiqua"/>
          <w:sz w:val="24"/>
          <w:szCs w:val="24"/>
        </w:rPr>
        <w:t>)</w:t>
      </w:r>
      <w:r w:rsidR="002974C4" w:rsidRPr="005A464E">
        <w:rPr>
          <w:rFonts w:cs="BookAntiqua"/>
          <w:sz w:val="24"/>
          <w:szCs w:val="24"/>
        </w:rPr>
        <w:t>.</w:t>
      </w:r>
      <w:r w:rsidR="00275BE5" w:rsidRPr="005A464E">
        <w:rPr>
          <w:rFonts w:cs="BookAntiqua"/>
          <w:sz w:val="24"/>
          <w:szCs w:val="24"/>
        </w:rPr>
        <w:t xml:space="preserve"> </w:t>
      </w:r>
      <w:r w:rsidR="005D62CF" w:rsidRPr="005A464E">
        <w:rPr>
          <w:rFonts w:cs="BookAntiqua"/>
          <w:sz w:val="24"/>
          <w:szCs w:val="24"/>
        </w:rPr>
        <w:t>Ο αντίκτυπος της επάρκειας αιμοκάθαρσης στην πο</w:t>
      </w:r>
      <w:r w:rsidR="002C4DF2">
        <w:rPr>
          <w:rFonts w:cs="BookAntiqua"/>
          <w:sz w:val="24"/>
          <w:szCs w:val="24"/>
        </w:rPr>
        <w:t xml:space="preserve">ιότητα ζωής για τους ασθενείς </w:t>
      </w:r>
      <w:r w:rsidR="002C4DF2" w:rsidRPr="00A4175B">
        <w:rPr>
          <w:rFonts w:cs="BookAntiqua"/>
          <w:sz w:val="24"/>
          <w:szCs w:val="24"/>
        </w:rPr>
        <w:t>υπό</w:t>
      </w:r>
      <w:r w:rsidR="005D62CF" w:rsidRPr="00A4175B">
        <w:rPr>
          <w:rFonts w:cs="BookAntiqua"/>
          <w:sz w:val="24"/>
          <w:szCs w:val="24"/>
        </w:rPr>
        <w:t xml:space="preserve"> αιμοκάθαρση είναι ακόμη </w:t>
      </w:r>
      <w:r w:rsidR="002974C4" w:rsidRPr="00A4175B">
        <w:rPr>
          <w:rFonts w:cs="BookAntiqua"/>
          <w:sz w:val="24"/>
          <w:szCs w:val="24"/>
        </w:rPr>
        <w:t xml:space="preserve">ένα </w:t>
      </w:r>
      <w:r w:rsidR="005D62CF" w:rsidRPr="00A4175B">
        <w:rPr>
          <w:rFonts w:cs="BookAntiqua"/>
          <w:sz w:val="24"/>
          <w:szCs w:val="24"/>
        </w:rPr>
        <w:t>συζητήσιμο</w:t>
      </w:r>
      <w:r w:rsidR="002974C4" w:rsidRPr="00A4175B">
        <w:rPr>
          <w:rFonts w:cs="BookAntiqua"/>
          <w:sz w:val="24"/>
          <w:szCs w:val="24"/>
        </w:rPr>
        <w:t xml:space="preserve"> θέμα</w:t>
      </w:r>
      <w:r w:rsidR="005D62CF" w:rsidRPr="00A4175B">
        <w:rPr>
          <w:rFonts w:cs="BookAntiqua"/>
          <w:sz w:val="24"/>
          <w:szCs w:val="24"/>
        </w:rPr>
        <w:t xml:space="preserve"> στη</w:t>
      </w:r>
      <w:r w:rsidR="002974C4" w:rsidRPr="00A4175B">
        <w:rPr>
          <w:rFonts w:cs="BookAntiqua"/>
          <w:sz w:val="24"/>
          <w:szCs w:val="24"/>
        </w:rPr>
        <w:t xml:space="preserve"> διεθνή</w:t>
      </w:r>
      <w:r w:rsidR="00F67942" w:rsidRPr="00A4175B">
        <w:rPr>
          <w:rFonts w:cs="BookAntiqua"/>
          <w:sz w:val="24"/>
          <w:szCs w:val="24"/>
        </w:rPr>
        <w:t xml:space="preserve"> βιβλιογραφία (</w:t>
      </w:r>
      <w:r w:rsidR="00790B9B" w:rsidRPr="00A4175B">
        <w:rPr>
          <w:rFonts w:cs="BookAntiqua"/>
          <w:sz w:val="24"/>
          <w:szCs w:val="24"/>
          <w:lang w:val="en-US"/>
        </w:rPr>
        <w:t>Z</w:t>
      </w:r>
      <w:r w:rsidR="00790B9B" w:rsidRPr="00A4175B">
        <w:rPr>
          <w:rFonts w:cs="BookAntiqua"/>
          <w:sz w:val="24"/>
          <w:szCs w:val="24"/>
        </w:rPr>
        <w:t xml:space="preserve">υγά, 2003; </w:t>
      </w:r>
      <w:r w:rsidR="00F67942" w:rsidRPr="00A4175B">
        <w:rPr>
          <w:rFonts w:cs="BookAntiqua"/>
          <w:sz w:val="24"/>
          <w:szCs w:val="24"/>
          <w:lang w:val="en-US"/>
        </w:rPr>
        <w:t>Saran</w:t>
      </w:r>
      <w:r w:rsidR="00F67942" w:rsidRPr="00A4175B">
        <w:rPr>
          <w:rFonts w:cs="BookAntiqua"/>
          <w:sz w:val="24"/>
          <w:szCs w:val="24"/>
        </w:rPr>
        <w:t xml:space="preserve"> </w:t>
      </w:r>
      <w:r w:rsidR="00566CAA" w:rsidRPr="00A4175B">
        <w:rPr>
          <w:rFonts w:cs="BookAntiqua"/>
          <w:sz w:val="24"/>
          <w:szCs w:val="24"/>
        </w:rPr>
        <w:t>et al</w:t>
      </w:r>
      <w:r w:rsidR="003041EB" w:rsidRPr="00A4175B">
        <w:rPr>
          <w:rFonts w:cs="BookAntiqua"/>
          <w:sz w:val="24"/>
          <w:szCs w:val="24"/>
        </w:rPr>
        <w:t>.</w:t>
      </w:r>
      <w:r w:rsidR="0085076B" w:rsidRPr="00A4175B">
        <w:rPr>
          <w:rFonts w:cs="BookAntiqua"/>
          <w:sz w:val="24"/>
          <w:szCs w:val="24"/>
        </w:rPr>
        <w:t>,</w:t>
      </w:r>
      <w:r w:rsidR="00F67942" w:rsidRPr="00A4175B">
        <w:rPr>
          <w:rFonts w:cs="BookAntiqua"/>
          <w:sz w:val="24"/>
          <w:szCs w:val="24"/>
        </w:rPr>
        <w:t xml:space="preserve"> 2004</w:t>
      </w:r>
      <w:r w:rsidR="00A1457E">
        <w:rPr>
          <w:rFonts w:cs="BookAntiqua"/>
          <w:sz w:val="24"/>
          <w:szCs w:val="24"/>
        </w:rPr>
        <w:t>; Ζυγά &amp; Μπροκαλάκη, 2004</w:t>
      </w:r>
      <w:r w:rsidR="00F67942" w:rsidRPr="00A4175B">
        <w:rPr>
          <w:rFonts w:cs="BookAntiqua"/>
          <w:sz w:val="24"/>
          <w:szCs w:val="24"/>
        </w:rPr>
        <w:t>).</w:t>
      </w:r>
    </w:p>
    <w:p w:rsidR="005D62CF" w:rsidRPr="005A464E" w:rsidRDefault="00147B49" w:rsidP="005A464E">
      <w:pPr>
        <w:spacing w:line="360" w:lineRule="auto"/>
        <w:jc w:val="both"/>
        <w:rPr>
          <w:rFonts w:cs="BookAntiqua"/>
          <w:sz w:val="24"/>
          <w:szCs w:val="24"/>
        </w:rPr>
      </w:pPr>
      <w:r w:rsidRPr="00A4175B">
        <w:rPr>
          <w:rFonts w:cs="BookAntiqua"/>
          <w:sz w:val="24"/>
          <w:szCs w:val="24"/>
        </w:rPr>
        <w:t>Ο Cleary (2005) μελέτησε</w:t>
      </w:r>
      <w:r w:rsidR="00DF4830" w:rsidRPr="00A4175B">
        <w:rPr>
          <w:rFonts w:cs="BookAntiqua"/>
          <w:sz w:val="24"/>
          <w:szCs w:val="24"/>
        </w:rPr>
        <w:t xml:space="preserve"> τη</w:t>
      </w:r>
      <w:r w:rsidR="00922F92" w:rsidRPr="00A4175B">
        <w:rPr>
          <w:rFonts w:cs="BookAntiqua"/>
          <w:sz w:val="24"/>
          <w:szCs w:val="24"/>
        </w:rPr>
        <w:t xml:space="preserve"> σχέ</w:t>
      </w:r>
      <w:r w:rsidR="005D62CF" w:rsidRPr="00A4175B">
        <w:rPr>
          <w:rFonts w:cs="BookAntiqua"/>
          <w:sz w:val="24"/>
          <w:szCs w:val="24"/>
        </w:rPr>
        <w:t>ση επάρκειας της αιμοκάθαρσης και της ΠΖ 97 ασθενών που υποβάλλονται σε αιμοκάθαρση</w:t>
      </w:r>
      <w:r w:rsidR="006D680F" w:rsidRPr="00A4175B">
        <w:rPr>
          <w:rFonts w:cs="BookAntiqua"/>
          <w:sz w:val="24"/>
          <w:szCs w:val="24"/>
        </w:rPr>
        <w:t xml:space="preserve"> </w:t>
      </w:r>
      <w:r w:rsidR="005D62CF" w:rsidRPr="00A4175B">
        <w:rPr>
          <w:rFonts w:cs="BookAntiqua"/>
          <w:sz w:val="24"/>
          <w:szCs w:val="24"/>
        </w:rPr>
        <w:t xml:space="preserve">σε νοσοκομείο στην Ιρλανδία με τη χρήση της </w:t>
      </w:r>
      <w:r w:rsidR="00B57CC6" w:rsidRPr="00A4175B">
        <w:rPr>
          <w:rFonts w:cs="BookAntiqua"/>
          <w:sz w:val="24"/>
          <w:szCs w:val="24"/>
        </w:rPr>
        <w:t>κλίμακας</w:t>
      </w:r>
      <w:r w:rsidRPr="00A4175B">
        <w:rPr>
          <w:rFonts w:cs="BookAntiqua"/>
          <w:sz w:val="24"/>
          <w:szCs w:val="24"/>
        </w:rPr>
        <w:t xml:space="preserve"> SF-36. Ο ερευνητής εντόπισ</w:t>
      </w:r>
      <w:r w:rsidR="0099386F" w:rsidRPr="00A4175B">
        <w:rPr>
          <w:rFonts w:cs="BookAntiqua"/>
          <w:sz w:val="24"/>
          <w:szCs w:val="24"/>
        </w:rPr>
        <w:t>ε</w:t>
      </w:r>
      <w:r w:rsidR="005D62CF" w:rsidRPr="00A4175B">
        <w:rPr>
          <w:rFonts w:cs="BookAntiqua"/>
          <w:sz w:val="24"/>
          <w:szCs w:val="24"/>
        </w:rPr>
        <w:t xml:space="preserve"> περιορισμούς</w:t>
      </w:r>
      <w:r w:rsidR="00B57CC6" w:rsidRPr="005A464E">
        <w:rPr>
          <w:rFonts w:cs="BookAntiqua"/>
          <w:sz w:val="24"/>
          <w:szCs w:val="24"/>
        </w:rPr>
        <w:t xml:space="preserve"> σε μια σειρά από τομείς</w:t>
      </w:r>
      <w:r w:rsidR="005D62CF" w:rsidRPr="005A464E">
        <w:rPr>
          <w:rFonts w:cs="BookAntiqua"/>
          <w:sz w:val="24"/>
          <w:szCs w:val="24"/>
        </w:rPr>
        <w:t xml:space="preserve"> συμπεριλαμβανομένης της ζωτικότητας, τη</w:t>
      </w:r>
      <w:r w:rsidR="00B57CC6" w:rsidRPr="005A464E">
        <w:rPr>
          <w:rFonts w:cs="BookAntiqua"/>
          <w:sz w:val="24"/>
          <w:szCs w:val="24"/>
        </w:rPr>
        <w:t>ς</w:t>
      </w:r>
      <w:r w:rsidR="005D62CF" w:rsidRPr="005A464E">
        <w:rPr>
          <w:rFonts w:cs="BookAntiqua"/>
          <w:sz w:val="24"/>
          <w:szCs w:val="24"/>
        </w:rPr>
        <w:t xml:space="preserve"> σωματική</w:t>
      </w:r>
      <w:r w:rsidR="00B57CC6" w:rsidRPr="005A464E">
        <w:rPr>
          <w:rFonts w:cs="BookAntiqua"/>
          <w:sz w:val="24"/>
          <w:szCs w:val="24"/>
        </w:rPr>
        <w:t>ς</w:t>
      </w:r>
      <w:r w:rsidR="005D62CF" w:rsidRPr="005A464E">
        <w:rPr>
          <w:rFonts w:cs="BookAntiqua"/>
          <w:sz w:val="24"/>
          <w:szCs w:val="24"/>
        </w:rPr>
        <w:t xml:space="preserve"> λειτουργία</w:t>
      </w:r>
      <w:r w:rsidR="00B57CC6" w:rsidRPr="005A464E">
        <w:rPr>
          <w:rFonts w:cs="BookAntiqua"/>
          <w:sz w:val="24"/>
          <w:szCs w:val="24"/>
        </w:rPr>
        <w:t xml:space="preserve">ς και επιπλέον </w:t>
      </w:r>
      <w:r w:rsidR="005D62CF" w:rsidRPr="005A464E">
        <w:rPr>
          <w:rFonts w:cs="BookAntiqua"/>
          <w:sz w:val="24"/>
          <w:szCs w:val="24"/>
        </w:rPr>
        <w:t xml:space="preserve">σημαντικές διαφορές </w:t>
      </w:r>
      <w:r w:rsidR="00B57CC6" w:rsidRPr="005A464E">
        <w:rPr>
          <w:rFonts w:cs="BookAntiqua"/>
          <w:sz w:val="24"/>
          <w:szCs w:val="24"/>
        </w:rPr>
        <w:t xml:space="preserve">στα επίπεδα </w:t>
      </w:r>
      <w:r w:rsidR="005D62CF" w:rsidRPr="005A464E">
        <w:rPr>
          <w:rFonts w:cs="BookAntiqua"/>
          <w:sz w:val="24"/>
          <w:szCs w:val="24"/>
        </w:rPr>
        <w:t xml:space="preserve">της ψυχικής υγείας μεταξύ των ασθενών </w:t>
      </w:r>
      <w:r w:rsidR="00B57CC6" w:rsidRPr="005A464E">
        <w:rPr>
          <w:rFonts w:cs="BookAntiqua"/>
          <w:sz w:val="24"/>
          <w:szCs w:val="24"/>
        </w:rPr>
        <w:t>με επαρκή κάθαρση και εκείνων με ανεπ</w:t>
      </w:r>
      <w:r>
        <w:rPr>
          <w:rFonts w:cs="BookAntiqua"/>
          <w:sz w:val="24"/>
          <w:szCs w:val="24"/>
        </w:rPr>
        <w:t xml:space="preserve">αρκή κάθαρση. Ο Cleary </w:t>
      </w:r>
      <w:r w:rsidR="0003499D" w:rsidRPr="005A464E">
        <w:rPr>
          <w:rFonts w:cs="BookAntiqua"/>
          <w:sz w:val="24"/>
          <w:szCs w:val="24"/>
        </w:rPr>
        <w:t>(2005)</w:t>
      </w:r>
      <w:r>
        <w:rPr>
          <w:rFonts w:cs="BookAntiqua"/>
          <w:sz w:val="24"/>
          <w:szCs w:val="24"/>
        </w:rPr>
        <w:t xml:space="preserve"> ανέφερε</w:t>
      </w:r>
      <w:r w:rsidR="00922F92" w:rsidRPr="00922F92">
        <w:rPr>
          <w:rFonts w:cs="BookAntiqua"/>
          <w:sz w:val="24"/>
          <w:szCs w:val="24"/>
        </w:rPr>
        <w:t>,</w:t>
      </w:r>
      <w:r w:rsidR="005D62CF" w:rsidRPr="005A464E">
        <w:rPr>
          <w:rFonts w:cs="BookAntiqua"/>
          <w:sz w:val="24"/>
          <w:szCs w:val="24"/>
        </w:rPr>
        <w:t xml:space="preserve"> επίσης</w:t>
      </w:r>
      <w:r w:rsidR="00922F92" w:rsidRPr="00922F92">
        <w:rPr>
          <w:rFonts w:cs="BookAntiqua"/>
          <w:sz w:val="24"/>
          <w:szCs w:val="24"/>
        </w:rPr>
        <w:t>,</w:t>
      </w:r>
      <w:r w:rsidR="005D62CF" w:rsidRPr="005A464E">
        <w:rPr>
          <w:rFonts w:cs="BookAntiqua"/>
          <w:sz w:val="24"/>
          <w:szCs w:val="24"/>
        </w:rPr>
        <w:t xml:space="preserve"> σημαντ</w:t>
      </w:r>
      <w:r w:rsidR="00B57CC6" w:rsidRPr="005A464E">
        <w:rPr>
          <w:rFonts w:cs="BookAntiqua"/>
          <w:sz w:val="24"/>
          <w:szCs w:val="24"/>
        </w:rPr>
        <w:t>ικά χαμηλότερη φυσική λειτουργικότητα σε σύγκριση με τη</w:t>
      </w:r>
      <w:r w:rsidR="00275BE5" w:rsidRPr="005A464E">
        <w:rPr>
          <w:rFonts w:cs="BookAntiqua"/>
          <w:sz w:val="24"/>
          <w:szCs w:val="24"/>
        </w:rPr>
        <w:t xml:space="preserve">ν </w:t>
      </w:r>
      <w:r w:rsidR="005D62CF" w:rsidRPr="005A464E">
        <w:rPr>
          <w:rFonts w:cs="BookAntiqua"/>
          <w:sz w:val="24"/>
          <w:szCs w:val="24"/>
        </w:rPr>
        <w:t>ομάδα του</w:t>
      </w:r>
      <w:r w:rsidR="00275BE5" w:rsidRPr="005A464E">
        <w:rPr>
          <w:rFonts w:cs="BookAntiqua"/>
          <w:sz w:val="24"/>
          <w:szCs w:val="24"/>
        </w:rPr>
        <w:t xml:space="preserve"> γενικού</w:t>
      </w:r>
      <w:r w:rsidR="005D62CF" w:rsidRPr="005A464E">
        <w:rPr>
          <w:rFonts w:cs="BookAntiqua"/>
          <w:sz w:val="24"/>
          <w:szCs w:val="24"/>
        </w:rPr>
        <w:t xml:space="preserve"> πληθυσμού</w:t>
      </w:r>
      <w:r w:rsidR="00B57CC6" w:rsidRPr="005A464E">
        <w:rPr>
          <w:rFonts w:cs="BookAntiqua"/>
          <w:sz w:val="24"/>
          <w:szCs w:val="24"/>
        </w:rPr>
        <w:t>.</w:t>
      </w:r>
      <w:r w:rsidR="00275BE5" w:rsidRPr="005A464E">
        <w:rPr>
          <w:rFonts w:cs="BookAntiqua"/>
          <w:sz w:val="24"/>
          <w:szCs w:val="24"/>
        </w:rPr>
        <w:t xml:space="preserve"> </w:t>
      </w:r>
      <w:r w:rsidR="00B57CC6" w:rsidRPr="005A464E">
        <w:rPr>
          <w:rFonts w:cs="BookAntiqua"/>
          <w:sz w:val="24"/>
          <w:szCs w:val="24"/>
        </w:rPr>
        <w:t xml:space="preserve">Επιπλέον, οι Manns </w:t>
      </w:r>
      <w:r w:rsidR="00566CAA">
        <w:rPr>
          <w:rFonts w:cs="BookAntiqua"/>
          <w:sz w:val="24"/>
          <w:szCs w:val="24"/>
        </w:rPr>
        <w:t>et al</w:t>
      </w:r>
      <w:r w:rsidR="003E723E">
        <w:rPr>
          <w:rFonts w:cs="BookAntiqua"/>
          <w:sz w:val="24"/>
          <w:szCs w:val="24"/>
        </w:rPr>
        <w:t>.</w:t>
      </w:r>
      <w:r w:rsidR="00B57CC6" w:rsidRPr="005A464E">
        <w:rPr>
          <w:rFonts w:cs="BookAntiqua"/>
          <w:sz w:val="24"/>
          <w:szCs w:val="24"/>
        </w:rPr>
        <w:t xml:space="preserve"> (2003) μελέτησαν</w:t>
      </w:r>
      <w:r w:rsidR="0078495A">
        <w:rPr>
          <w:rFonts w:cs="BookAntiqua"/>
          <w:sz w:val="24"/>
          <w:szCs w:val="24"/>
        </w:rPr>
        <w:t xml:space="preserve"> </w:t>
      </w:r>
      <w:r w:rsidR="00B57CC6" w:rsidRPr="005A464E">
        <w:rPr>
          <w:rFonts w:cs="BookAntiqua"/>
          <w:sz w:val="24"/>
          <w:szCs w:val="24"/>
        </w:rPr>
        <w:t xml:space="preserve">την επάρκεια κάθαρσης σε 128 ασθενείς </w:t>
      </w:r>
      <w:r w:rsidR="00BB20CC" w:rsidRPr="005A464E">
        <w:rPr>
          <w:rFonts w:cs="BookAntiqua"/>
          <w:sz w:val="24"/>
          <w:szCs w:val="24"/>
        </w:rPr>
        <w:t xml:space="preserve">που </w:t>
      </w:r>
      <w:r w:rsidR="00B57CC6" w:rsidRPr="005A464E">
        <w:rPr>
          <w:rFonts w:cs="BookAntiqua"/>
          <w:sz w:val="24"/>
          <w:szCs w:val="24"/>
        </w:rPr>
        <w:t xml:space="preserve">υποβάλλονταν σε αιμοκάθαρση για περισσότερο από </w:t>
      </w:r>
      <w:r w:rsidR="005F478F">
        <w:rPr>
          <w:rFonts w:cs="BookAntiqua"/>
          <w:sz w:val="24"/>
          <w:szCs w:val="24"/>
        </w:rPr>
        <w:t>6</w:t>
      </w:r>
      <w:r w:rsidR="00B57CC6" w:rsidRPr="005A464E">
        <w:rPr>
          <w:rFonts w:cs="BookAntiqua"/>
          <w:sz w:val="24"/>
          <w:szCs w:val="24"/>
        </w:rPr>
        <w:t xml:space="preserve"> μήνες. Προσδιορίστηκε η μέση τιμή της επάρκειας κάθαρσης </w:t>
      </w:r>
      <w:r w:rsidR="00275BE5" w:rsidRPr="005A464E">
        <w:rPr>
          <w:rFonts w:cs="BookAntiqua"/>
          <w:sz w:val="24"/>
          <w:szCs w:val="24"/>
        </w:rPr>
        <w:t>(Kt/</w:t>
      </w:r>
      <w:r w:rsidR="00B57CC6" w:rsidRPr="005A464E">
        <w:rPr>
          <w:rFonts w:cs="BookAntiqua"/>
          <w:sz w:val="24"/>
          <w:szCs w:val="24"/>
        </w:rPr>
        <w:t>V</w:t>
      </w:r>
      <w:r w:rsidR="00275BE5" w:rsidRPr="005A464E">
        <w:rPr>
          <w:rFonts w:cs="BookAntiqua"/>
          <w:sz w:val="24"/>
          <w:szCs w:val="24"/>
        </w:rPr>
        <w:t>)</w:t>
      </w:r>
      <w:r w:rsidR="00B57CC6" w:rsidRPr="005A464E">
        <w:rPr>
          <w:rFonts w:cs="BookAntiqua"/>
          <w:sz w:val="24"/>
          <w:szCs w:val="24"/>
        </w:rPr>
        <w:t xml:space="preserve"> </w:t>
      </w:r>
      <w:r w:rsidR="00BB20CC" w:rsidRPr="005A464E">
        <w:rPr>
          <w:rFonts w:cs="BookAntiqua"/>
          <w:sz w:val="24"/>
          <w:szCs w:val="24"/>
        </w:rPr>
        <w:t xml:space="preserve">και η ΣΥΠΖ </w:t>
      </w:r>
      <w:r w:rsidR="00B57CC6" w:rsidRPr="005A464E">
        <w:rPr>
          <w:rFonts w:cs="BookAntiqua"/>
          <w:sz w:val="24"/>
          <w:szCs w:val="24"/>
        </w:rPr>
        <w:t>γι</w:t>
      </w:r>
      <w:r w:rsidR="00BB20CC" w:rsidRPr="005A464E">
        <w:rPr>
          <w:rFonts w:cs="BookAntiqua"/>
          <w:sz w:val="24"/>
          <w:szCs w:val="24"/>
        </w:rPr>
        <w:t xml:space="preserve">α </w:t>
      </w:r>
      <w:r w:rsidR="00922F92">
        <w:rPr>
          <w:rFonts w:cs="BookAntiqua"/>
          <w:sz w:val="24"/>
          <w:szCs w:val="24"/>
        </w:rPr>
        <w:t>τρεις μήνες</w:t>
      </w:r>
      <w:r w:rsidR="00B57CC6" w:rsidRPr="005A464E">
        <w:rPr>
          <w:rFonts w:cs="BookAntiqua"/>
          <w:sz w:val="24"/>
          <w:szCs w:val="24"/>
        </w:rPr>
        <w:t>. Η ΠΖ εκτιμήθηκε με βάση την κλίμακα SF-36 και την</w:t>
      </w:r>
      <w:r w:rsidR="00BB20CC" w:rsidRPr="005A464E">
        <w:rPr>
          <w:rFonts w:cs="BookAntiqua"/>
          <w:sz w:val="24"/>
          <w:szCs w:val="24"/>
        </w:rPr>
        <w:t xml:space="preserve"> κλίμακα</w:t>
      </w:r>
      <w:r w:rsidR="00B57CC6" w:rsidRPr="005A464E">
        <w:rPr>
          <w:rFonts w:cs="BookAntiqua"/>
          <w:sz w:val="24"/>
          <w:szCs w:val="24"/>
        </w:rPr>
        <w:t xml:space="preserve"> EuroQol EQ-5D. Οι ερευνητές</w:t>
      </w:r>
      <w:r w:rsidR="00AE2158" w:rsidRPr="005A464E">
        <w:rPr>
          <w:rFonts w:cs="BookAntiqua"/>
          <w:sz w:val="24"/>
          <w:szCs w:val="24"/>
        </w:rPr>
        <w:t xml:space="preserve"> κατέληξαν</w:t>
      </w:r>
      <w:r w:rsidR="00B57CC6" w:rsidRPr="005A464E">
        <w:rPr>
          <w:rFonts w:cs="BookAntiqua"/>
          <w:sz w:val="24"/>
          <w:szCs w:val="24"/>
        </w:rPr>
        <w:t xml:space="preserve"> στο συμπέρασμα ότι οι ασθενείς μ</w:t>
      </w:r>
      <w:r w:rsidR="00275BE5" w:rsidRPr="005A464E">
        <w:rPr>
          <w:rFonts w:cs="BookAntiqua"/>
          <w:sz w:val="24"/>
          <w:szCs w:val="24"/>
        </w:rPr>
        <w:t>ε μέσα επίπεδα Kt/</w:t>
      </w:r>
      <w:r w:rsidR="00B57CC6" w:rsidRPr="005A464E">
        <w:rPr>
          <w:rFonts w:cs="BookAntiqua"/>
          <w:sz w:val="24"/>
          <w:szCs w:val="24"/>
        </w:rPr>
        <w:t>V μεγαλύτερα ή ίσα με 1,3 είχαν υψηλότερες βαθμολογίες στην SF-36 και στην EuroQol EQ-5D.</w:t>
      </w:r>
    </w:p>
    <w:p w:rsidR="005D62CF" w:rsidRPr="00A4175B" w:rsidRDefault="00B57CC6" w:rsidP="005A464E">
      <w:pPr>
        <w:spacing w:line="360" w:lineRule="auto"/>
        <w:jc w:val="both"/>
        <w:rPr>
          <w:rFonts w:cs="BookAntiqua"/>
          <w:sz w:val="24"/>
          <w:szCs w:val="24"/>
        </w:rPr>
      </w:pPr>
      <w:r w:rsidRPr="005A464E">
        <w:rPr>
          <w:rFonts w:cs="BookAntiqua"/>
          <w:sz w:val="24"/>
          <w:szCs w:val="24"/>
        </w:rPr>
        <w:t xml:space="preserve">Αντίθετα, η μελέτη των Morton </w:t>
      </w:r>
      <w:r w:rsidR="00566CAA">
        <w:rPr>
          <w:rFonts w:cs="BookAntiqua"/>
          <w:sz w:val="24"/>
          <w:szCs w:val="24"/>
        </w:rPr>
        <w:t>et al</w:t>
      </w:r>
      <w:r w:rsidR="003E723E">
        <w:rPr>
          <w:rFonts w:cs="BookAntiqua"/>
          <w:sz w:val="24"/>
          <w:szCs w:val="24"/>
        </w:rPr>
        <w:t>.</w:t>
      </w:r>
      <w:r w:rsidRPr="005A464E">
        <w:rPr>
          <w:rFonts w:cs="BookAntiqua"/>
          <w:sz w:val="24"/>
          <w:szCs w:val="24"/>
        </w:rPr>
        <w:t xml:space="preserve"> (1996) σχετικά με την επίδραση της επάρκειας της κάθαρσης στην ΠΖ των 55 ασθενών</w:t>
      </w:r>
      <w:r w:rsidR="00F54030" w:rsidRPr="005A464E">
        <w:rPr>
          <w:rFonts w:cs="BookAntiqua"/>
          <w:sz w:val="24"/>
          <w:szCs w:val="24"/>
        </w:rPr>
        <w:t xml:space="preserve"> υπό αιμοκάθαρση και 60 ασθενών</w:t>
      </w:r>
      <w:r w:rsidRPr="005A464E">
        <w:rPr>
          <w:rFonts w:cs="BookAntiqua"/>
          <w:sz w:val="24"/>
          <w:szCs w:val="24"/>
        </w:rPr>
        <w:t xml:space="preserve"> υπό περιτοναϊκή κάθαρση με τη χρήσ</w:t>
      </w:r>
      <w:r w:rsidR="00AE2158" w:rsidRPr="005A464E">
        <w:rPr>
          <w:rFonts w:cs="BookAntiqua"/>
          <w:sz w:val="24"/>
          <w:szCs w:val="24"/>
        </w:rPr>
        <w:t>η του εργαλείου SF-36 δεν ανέδειξε</w:t>
      </w:r>
      <w:r w:rsidRPr="005A464E">
        <w:rPr>
          <w:rFonts w:cs="BookAntiqua"/>
          <w:sz w:val="24"/>
          <w:szCs w:val="24"/>
        </w:rPr>
        <w:t xml:space="preserve"> </w:t>
      </w:r>
      <w:r w:rsidR="00275BE5" w:rsidRPr="005A464E">
        <w:rPr>
          <w:rFonts w:cs="BookAntiqua"/>
          <w:sz w:val="24"/>
          <w:szCs w:val="24"/>
        </w:rPr>
        <w:t>σημαντική συσχέτιση μεταξύ Kt/</w:t>
      </w:r>
      <w:r w:rsidRPr="00A4175B">
        <w:rPr>
          <w:rFonts w:cs="BookAntiqua"/>
          <w:sz w:val="24"/>
          <w:szCs w:val="24"/>
        </w:rPr>
        <w:t xml:space="preserve">V και </w:t>
      </w:r>
      <w:r w:rsidR="00922F92" w:rsidRPr="00A4175B">
        <w:rPr>
          <w:rFonts w:cs="BookAntiqua"/>
          <w:sz w:val="24"/>
          <w:szCs w:val="24"/>
        </w:rPr>
        <w:t>των διαστάσεων</w:t>
      </w:r>
      <w:r w:rsidR="0078495A" w:rsidRPr="00A4175B">
        <w:rPr>
          <w:rFonts w:cs="BookAntiqua"/>
          <w:sz w:val="24"/>
          <w:szCs w:val="24"/>
        </w:rPr>
        <w:t xml:space="preserve"> </w:t>
      </w:r>
      <w:r w:rsidRPr="00A4175B">
        <w:rPr>
          <w:rFonts w:cs="BookAntiqua"/>
          <w:sz w:val="24"/>
          <w:szCs w:val="24"/>
        </w:rPr>
        <w:t>της ΠΖ. Τα ευρήματα αυτά υποστηρίζονται</w:t>
      </w:r>
      <w:r w:rsidR="00F54030" w:rsidRPr="00A4175B">
        <w:rPr>
          <w:rFonts w:cs="BookAntiqua"/>
          <w:sz w:val="24"/>
          <w:szCs w:val="24"/>
        </w:rPr>
        <w:t xml:space="preserve"> και</w:t>
      </w:r>
      <w:r w:rsidRPr="00A4175B">
        <w:rPr>
          <w:rFonts w:cs="BookAntiqua"/>
          <w:sz w:val="24"/>
          <w:szCs w:val="24"/>
        </w:rPr>
        <w:t xml:space="preserve"> από </w:t>
      </w:r>
      <w:r w:rsidR="00AE2158" w:rsidRPr="00A4175B">
        <w:rPr>
          <w:rFonts w:cs="BookAntiqua"/>
          <w:sz w:val="24"/>
          <w:szCs w:val="24"/>
        </w:rPr>
        <w:t xml:space="preserve">τους Eknoyan </w:t>
      </w:r>
      <w:r w:rsidR="00566CAA" w:rsidRPr="00A4175B">
        <w:rPr>
          <w:rFonts w:cs="BookAntiqua"/>
          <w:sz w:val="24"/>
          <w:szCs w:val="24"/>
        </w:rPr>
        <w:t>et al</w:t>
      </w:r>
      <w:r w:rsidR="00872FD2" w:rsidRPr="00A4175B">
        <w:rPr>
          <w:rFonts w:cs="BookAntiqua"/>
          <w:sz w:val="24"/>
          <w:szCs w:val="24"/>
        </w:rPr>
        <w:t>.</w:t>
      </w:r>
      <w:r w:rsidR="00AE2158" w:rsidRPr="00A4175B">
        <w:rPr>
          <w:rFonts w:cs="BookAntiqua"/>
          <w:sz w:val="24"/>
          <w:szCs w:val="24"/>
        </w:rPr>
        <w:t xml:space="preserve"> </w:t>
      </w:r>
      <w:r w:rsidR="000C5096" w:rsidRPr="00A4175B">
        <w:rPr>
          <w:rFonts w:cs="BookAntiqua"/>
          <w:sz w:val="24"/>
          <w:szCs w:val="24"/>
        </w:rPr>
        <w:t>(</w:t>
      </w:r>
      <w:r w:rsidR="00AE2158" w:rsidRPr="00A4175B">
        <w:rPr>
          <w:rFonts w:cs="BookAntiqua"/>
          <w:sz w:val="24"/>
          <w:szCs w:val="24"/>
        </w:rPr>
        <w:t>2002).</w:t>
      </w:r>
    </w:p>
    <w:p w:rsidR="00AE2158" w:rsidRPr="00A4175B" w:rsidRDefault="00AE2158" w:rsidP="005A464E">
      <w:pPr>
        <w:spacing w:line="360" w:lineRule="auto"/>
        <w:jc w:val="both"/>
        <w:rPr>
          <w:rFonts w:cs="BookAntiqua"/>
          <w:sz w:val="24"/>
          <w:szCs w:val="24"/>
        </w:rPr>
      </w:pPr>
      <w:r w:rsidRPr="00A4175B">
        <w:rPr>
          <w:rFonts w:cs="BookAntiqua"/>
          <w:sz w:val="24"/>
          <w:szCs w:val="24"/>
        </w:rPr>
        <w:t>Ο Twardows</w:t>
      </w:r>
      <w:r w:rsidR="0085076B" w:rsidRPr="00A4175B">
        <w:rPr>
          <w:rFonts w:cs="BookAntiqua"/>
          <w:sz w:val="24"/>
          <w:szCs w:val="24"/>
        </w:rPr>
        <w:t xml:space="preserve">ki (2004) έδειξε ότι η σύντομη </w:t>
      </w:r>
      <w:r w:rsidRPr="00A4175B">
        <w:rPr>
          <w:rFonts w:cs="BookAntiqua"/>
          <w:sz w:val="24"/>
          <w:szCs w:val="24"/>
        </w:rPr>
        <w:t xml:space="preserve">τρισεβδομαδιαία αιμοκάθαρση ήταν ανεπαρκής ενώ η καθημερινή αιμοκάθαρση </w:t>
      </w:r>
      <w:r w:rsidR="00922F92" w:rsidRPr="00A4175B">
        <w:rPr>
          <w:rFonts w:cs="BookAntiqua"/>
          <w:sz w:val="24"/>
          <w:szCs w:val="24"/>
        </w:rPr>
        <w:t>(</w:t>
      </w:r>
      <w:r w:rsidRPr="00A4175B">
        <w:rPr>
          <w:rFonts w:cs="BookAntiqua"/>
          <w:sz w:val="24"/>
          <w:szCs w:val="24"/>
        </w:rPr>
        <w:t xml:space="preserve">τουλάχιστον </w:t>
      </w:r>
      <w:r w:rsidR="005F478F" w:rsidRPr="00A4175B">
        <w:rPr>
          <w:rFonts w:cs="BookAntiqua"/>
          <w:sz w:val="24"/>
          <w:szCs w:val="24"/>
        </w:rPr>
        <w:t>6</w:t>
      </w:r>
      <w:r w:rsidRPr="00A4175B">
        <w:rPr>
          <w:rFonts w:cs="BookAntiqua"/>
          <w:sz w:val="24"/>
          <w:szCs w:val="24"/>
        </w:rPr>
        <w:t xml:space="preserve"> φορές την εβδομάδα</w:t>
      </w:r>
      <w:r w:rsidR="00922F92" w:rsidRPr="00A4175B">
        <w:rPr>
          <w:rFonts w:cs="BookAntiqua"/>
          <w:sz w:val="24"/>
          <w:szCs w:val="24"/>
        </w:rPr>
        <w:t>)</w:t>
      </w:r>
      <w:r w:rsidRPr="00A4175B">
        <w:rPr>
          <w:rFonts w:cs="BookAntiqua"/>
          <w:sz w:val="24"/>
          <w:szCs w:val="24"/>
        </w:rPr>
        <w:t xml:space="preserve"> </w:t>
      </w:r>
      <w:r w:rsidR="00275BE5" w:rsidRPr="00A4175B">
        <w:rPr>
          <w:rFonts w:cs="BookAntiqua"/>
          <w:sz w:val="24"/>
          <w:szCs w:val="24"/>
        </w:rPr>
        <w:t xml:space="preserve">μπορούσε να βελτιώσει </w:t>
      </w:r>
      <w:r w:rsidRPr="00A4175B">
        <w:rPr>
          <w:rFonts w:cs="BookAntiqua"/>
          <w:sz w:val="24"/>
          <w:szCs w:val="24"/>
        </w:rPr>
        <w:t>την έκβαση των ασθενών.</w:t>
      </w:r>
    </w:p>
    <w:p w:rsidR="00AE2158" w:rsidRPr="005A464E" w:rsidRDefault="00AE2158" w:rsidP="005A464E">
      <w:pPr>
        <w:spacing w:line="360" w:lineRule="auto"/>
        <w:jc w:val="both"/>
        <w:rPr>
          <w:rFonts w:cs="BookAntiqua"/>
          <w:sz w:val="24"/>
          <w:szCs w:val="24"/>
        </w:rPr>
      </w:pPr>
      <w:r w:rsidRPr="00A4175B">
        <w:rPr>
          <w:rFonts w:cs="BookAntiqua"/>
          <w:sz w:val="24"/>
          <w:szCs w:val="24"/>
        </w:rPr>
        <w:t>Επιπλέον, σε μια πολυκεντρική, πρ</w:t>
      </w:r>
      <w:r w:rsidR="00275BE5" w:rsidRPr="00A4175B">
        <w:rPr>
          <w:rFonts w:cs="BookAntiqua"/>
          <w:sz w:val="24"/>
          <w:szCs w:val="24"/>
        </w:rPr>
        <w:t>οοπτική, τυχαιοποιημένη</w:t>
      </w:r>
      <w:r w:rsidRPr="00A4175B">
        <w:rPr>
          <w:rFonts w:cs="BookAntiqua"/>
          <w:sz w:val="24"/>
          <w:szCs w:val="24"/>
        </w:rPr>
        <w:t xml:space="preserve"> μελέτη</w:t>
      </w:r>
      <w:r w:rsidR="0062205D" w:rsidRPr="00A4175B">
        <w:rPr>
          <w:rFonts w:cs="BookAntiqua"/>
          <w:sz w:val="24"/>
          <w:szCs w:val="24"/>
        </w:rPr>
        <w:t xml:space="preserve"> που πραγματοποιήθηκε</w:t>
      </w:r>
      <w:r w:rsidRPr="00A4175B">
        <w:rPr>
          <w:rFonts w:cs="BookAntiqua"/>
          <w:sz w:val="24"/>
          <w:szCs w:val="24"/>
        </w:rPr>
        <w:t xml:space="preserve"> από την</w:t>
      </w:r>
      <w:r w:rsidR="00275BE5" w:rsidRPr="00A4175B">
        <w:rPr>
          <w:rFonts w:cs="BookAntiqua"/>
          <w:sz w:val="24"/>
          <w:szCs w:val="24"/>
        </w:rPr>
        <w:t xml:space="preserve"> </w:t>
      </w:r>
      <w:r w:rsidRPr="00A4175B">
        <w:rPr>
          <w:sz w:val="24"/>
          <w:szCs w:val="24"/>
        </w:rPr>
        <w:t>Frequent Hemodialysis Network (FHN)</w:t>
      </w:r>
      <w:r w:rsidRPr="00A4175B">
        <w:rPr>
          <w:rFonts w:cs="BookAntiqua"/>
          <w:sz w:val="24"/>
          <w:szCs w:val="24"/>
        </w:rPr>
        <w:t xml:space="preserve"> Trial </w:t>
      </w:r>
      <w:r w:rsidR="000C5096" w:rsidRPr="00A4175B">
        <w:rPr>
          <w:rFonts w:cs="BookAntiqua"/>
          <w:sz w:val="24"/>
          <w:szCs w:val="24"/>
        </w:rPr>
        <w:t>Group</w:t>
      </w:r>
      <w:r w:rsidRPr="00A4175B">
        <w:rPr>
          <w:rFonts w:cs="BookAntiqua"/>
          <w:sz w:val="24"/>
          <w:szCs w:val="24"/>
        </w:rPr>
        <w:t xml:space="preserve"> (2010)</w:t>
      </w:r>
      <w:r w:rsidR="00275BE5" w:rsidRPr="00A4175B">
        <w:rPr>
          <w:rFonts w:cs="BookAntiqua"/>
          <w:sz w:val="24"/>
          <w:szCs w:val="24"/>
        </w:rPr>
        <w:t xml:space="preserve"> </w:t>
      </w:r>
      <w:r w:rsidR="000C5096" w:rsidRPr="00A4175B">
        <w:rPr>
          <w:rFonts w:cs="BookAntiqua"/>
          <w:sz w:val="24"/>
          <w:szCs w:val="24"/>
        </w:rPr>
        <w:t xml:space="preserve">οι ερευνητές </w:t>
      </w:r>
      <w:r w:rsidRPr="00A4175B">
        <w:rPr>
          <w:rFonts w:cs="BookAntiqua"/>
          <w:sz w:val="24"/>
          <w:szCs w:val="24"/>
        </w:rPr>
        <w:t>συνέκριναν τη</w:t>
      </w:r>
      <w:r w:rsidR="0099386F" w:rsidRPr="00A4175B">
        <w:rPr>
          <w:rFonts w:cs="BookAntiqua"/>
          <w:sz w:val="24"/>
          <w:szCs w:val="24"/>
        </w:rPr>
        <w:t>ν επίδραση της</w:t>
      </w:r>
      <w:r w:rsidRPr="00A4175B">
        <w:rPr>
          <w:rFonts w:cs="BookAntiqua"/>
          <w:sz w:val="24"/>
          <w:szCs w:val="24"/>
        </w:rPr>
        <w:t xml:space="preserve"> </w:t>
      </w:r>
      <w:r w:rsidR="00305BD4" w:rsidRPr="00A4175B">
        <w:rPr>
          <w:rFonts w:cs="BookAntiqua"/>
          <w:sz w:val="24"/>
          <w:szCs w:val="24"/>
        </w:rPr>
        <w:t>καθημεριν</w:t>
      </w:r>
      <w:r w:rsidRPr="00A4175B">
        <w:rPr>
          <w:rFonts w:cs="BookAntiqua"/>
          <w:sz w:val="24"/>
          <w:szCs w:val="24"/>
        </w:rPr>
        <w:t>ή</w:t>
      </w:r>
      <w:r w:rsidR="0099386F" w:rsidRPr="00A4175B">
        <w:rPr>
          <w:rFonts w:cs="BookAntiqua"/>
          <w:sz w:val="24"/>
          <w:szCs w:val="24"/>
        </w:rPr>
        <w:t>ς</w:t>
      </w:r>
      <w:r w:rsidRPr="00A4175B">
        <w:rPr>
          <w:rFonts w:cs="BookAntiqua"/>
          <w:sz w:val="24"/>
          <w:szCs w:val="24"/>
        </w:rPr>
        <w:t xml:space="preserve"> (</w:t>
      </w:r>
      <w:r w:rsidR="005F478F" w:rsidRPr="00A4175B">
        <w:rPr>
          <w:rFonts w:cs="BookAntiqua"/>
          <w:sz w:val="24"/>
          <w:szCs w:val="24"/>
        </w:rPr>
        <w:t>6</w:t>
      </w:r>
      <w:r w:rsidRPr="00A4175B">
        <w:rPr>
          <w:rFonts w:cs="BookAntiqua"/>
          <w:sz w:val="24"/>
          <w:szCs w:val="24"/>
        </w:rPr>
        <w:t xml:space="preserve"> φο</w:t>
      </w:r>
      <w:r w:rsidR="0099386F" w:rsidRPr="00A4175B">
        <w:rPr>
          <w:rFonts w:cs="BookAntiqua"/>
          <w:sz w:val="24"/>
          <w:szCs w:val="24"/>
        </w:rPr>
        <w:t>ρές την εβδομάδα) αιμοκάθαρσης και της</w:t>
      </w:r>
      <w:r w:rsidR="0078495A" w:rsidRPr="00A4175B">
        <w:rPr>
          <w:rFonts w:cs="BookAntiqua"/>
          <w:sz w:val="24"/>
          <w:szCs w:val="24"/>
        </w:rPr>
        <w:t xml:space="preserve"> </w:t>
      </w:r>
      <w:r w:rsidRPr="00A4175B">
        <w:rPr>
          <w:rFonts w:cs="BookAntiqua"/>
          <w:sz w:val="24"/>
          <w:szCs w:val="24"/>
        </w:rPr>
        <w:t>συμβατικ</w:t>
      </w:r>
      <w:r w:rsidR="0099386F" w:rsidRPr="00A4175B">
        <w:rPr>
          <w:rFonts w:cs="BookAntiqua"/>
          <w:sz w:val="24"/>
          <w:szCs w:val="24"/>
        </w:rPr>
        <w:t>ής (τρεις φορές την εβδομάδα)</w:t>
      </w:r>
      <w:r w:rsidRPr="00A4175B">
        <w:rPr>
          <w:rFonts w:cs="BookAntiqua"/>
          <w:sz w:val="24"/>
          <w:szCs w:val="24"/>
        </w:rPr>
        <w:t xml:space="preserve"> </w:t>
      </w:r>
      <w:r w:rsidR="0099386F" w:rsidRPr="00A4175B">
        <w:rPr>
          <w:rFonts w:cs="BookAntiqua"/>
          <w:sz w:val="24"/>
          <w:szCs w:val="24"/>
        </w:rPr>
        <w:t>στην ΠΖ 378 ασθενών από 54 ΜΤΝ</w:t>
      </w:r>
      <w:r w:rsidR="00F54030" w:rsidRPr="00A4175B">
        <w:rPr>
          <w:rFonts w:cs="BookAntiqua"/>
          <w:sz w:val="24"/>
          <w:szCs w:val="24"/>
        </w:rPr>
        <w:t xml:space="preserve"> στη Βόρειο</w:t>
      </w:r>
      <w:r w:rsidRPr="00A4175B">
        <w:rPr>
          <w:rFonts w:cs="BookAntiqua"/>
          <w:sz w:val="24"/>
          <w:szCs w:val="24"/>
        </w:rPr>
        <w:t xml:space="preserve"> Αμερική. Η μελέτη έδειξε ότι η καθημερινή αιμοκάθαρση </w:t>
      </w:r>
      <w:r w:rsidR="0099386F" w:rsidRPr="00A4175B">
        <w:rPr>
          <w:rFonts w:cs="BookAntiqua"/>
          <w:sz w:val="24"/>
          <w:szCs w:val="24"/>
        </w:rPr>
        <w:t>μπορεί να βελτιώσ</w:t>
      </w:r>
      <w:r w:rsidRPr="00A4175B">
        <w:rPr>
          <w:rFonts w:cs="BookAntiqua"/>
          <w:sz w:val="24"/>
          <w:szCs w:val="24"/>
        </w:rPr>
        <w:t>ει</w:t>
      </w:r>
      <w:r w:rsidRPr="005A464E">
        <w:rPr>
          <w:rFonts w:cs="BookAntiqua"/>
          <w:sz w:val="24"/>
          <w:szCs w:val="24"/>
        </w:rPr>
        <w:t xml:space="preserve"> τον έλεγχο </w:t>
      </w:r>
      <w:r w:rsidR="0062205D" w:rsidRPr="005A464E">
        <w:rPr>
          <w:rFonts w:cs="BookAntiqua"/>
          <w:sz w:val="24"/>
          <w:szCs w:val="24"/>
        </w:rPr>
        <w:t>της αρτηριακής</w:t>
      </w:r>
      <w:r w:rsidRPr="005A464E">
        <w:rPr>
          <w:rFonts w:cs="BookAntiqua"/>
          <w:sz w:val="24"/>
          <w:szCs w:val="24"/>
        </w:rPr>
        <w:t xml:space="preserve"> πίεσης, </w:t>
      </w:r>
      <w:r w:rsidR="0062205D" w:rsidRPr="005A464E">
        <w:rPr>
          <w:rFonts w:cs="BookAntiqua"/>
          <w:sz w:val="24"/>
          <w:szCs w:val="24"/>
        </w:rPr>
        <w:t xml:space="preserve">την </w:t>
      </w:r>
      <w:r w:rsidR="00F54030" w:rsidRPr="005A464E">
        <w:rPr>
          <w:rFonts w:cs="BookAntiqua"/>
          <w:sz w:val="24"/>
          <w:szCs w:val="24"/>
        </w:rPr>
        <w:t>υπερτροφία</w:t>
      </w:r>
      <w:r w:rsidRPr="005A464E">
        <w:rPr>
          <w:rFonts w:cs="BookAntiqua"/>
          <w:sz w:val="24"/>
          <w:szCs w:val="24"/>
        </w:rPr>
        <w:t xml:space="preserve"> της αριστερής κοιλίας, </w:t>
      </w:r>
      <w:r w:rsidR="0062205D" w:rsidRPr="005A464E">
        <w:rPr>
          <w:rFonts w:cs="BookAntiqua"/>
          <w:sz w:val="24"/>
          <w:szCs w:val="24"/>
        </w:rPr>
        <w:t xml:space="preserve">τον </w:t>
      </w:r>
      <w:r w:rsidRPr="005A464E">
        <w:rPr>
          <w:rFonts w:cs="BookAntiqua"/>
          <w:sz w:val="24"/>
          <w:szCs w:val="24"/>
        </w:rPr>
        <w:t xml:space="preserve">έλεγχο </w:t>
      </w:r>
      <w:r w:rsidR="0062205D" w:rsidRPr="005A464E">
        <w:rPr>
          <w:rFonts w:cs="BookAntiqua"/>
          <w:sz w:val="24"/>
          <w:szCs w:val="24"/>
        </w:rPr>
        <w:t xml:space="preserve">της </w:t>
      </w:r>
      <w:r w:rsidRPr="005A464E">
        <w:rPr>
          <w:rFonts w:cs="BookAntiqua"/>
          <w:sz w:val="24"/>
          <w:szCs w:val="24"/>
        </w:rPr>
        <w:t>υπερφωσφαταιμία</w:t>
      </w:r>
      <w:r w:rsidR="000C5096" w:rsidRPr="005A464E">
        <w:rPr>
          <w:rFonts w:cs="BookAntiqua"/>
          <w:sz w:val="24"/>
          <w:szCs w:val="24"/>
        </w:rPr>
        <w:t>ς</w:t>
      </w:r>
      <w:r w:rsidRPr="005A464E">
        <w:rPr>
          <w:rFonts w:cs="BookAntiqua"/>
          <w:sz w:val="24"/>
          <w:szCs w:val="24"/>
        </w:rPr>
        <w:t xml:space="preserve"> και </w:t>
      </w:r>
      <w:r w:rsidR="0062205D" w:rsidRPr="005A464E">
        <w:rPr>
          <w:rFonts w:cs="BookAntiqua"/>
          <w:sz w:val="24"/>
          <w:szCs w:val="24"/>
        </w:rPr>
        <w:t>την ΠΖ.</w:t>
      </w:r>
    </w:p>
    <w:p w:rsidR="00F54030" w:rsidRPr="00891A77" w:rsidRDefault="00F54030" w:rsidP="00891A77">
      <w:pPr>
        <w:pStyle w:val="a5"/>
        <w:numPr>
          <w:ilvl w:val="0"/>
          <w:numId w:val="121"/>
        </w:numPr>
        <w:spacing w:line="360" w:lineRule="auto"/>
        <w:jc w:val="both"/>
        <w:rPr>
          <w:rFonts w:cs="BookAntiqua"/>
          <w:i/>
          <w:sz w:val="24"/>
          <w:szCs w:val="24"/>
        </w:rPr>
      </w:pPr>
      <w:r w:rsidRPr="00891A77">
        <w:rPr>
          <w:rFonts w:cs="BookAntiqua"/>
          <w:i/>
          <w:sz w:val="24"/>
          <w:szCs w:val="24"/>
        </w:rPr>
        <w:t>Υποθρεψία</w:t>
      </w:r>
    </w:p>
    <w:p w:rsidR="008E721D" w:rsidRPr="00A4175B" w:rsidRDefault="008E721D" w:rsidP="005A464E">
      <w:pPr>
        <w:spacing w:line="360" w:lineRule="auto"/>
        <w:jc w:val="both"/>
        <w:rPr>
          <w:rFonts w:cs="BookAntiqua"/>
          <w:sz w:val="24"/>
          <w:szCs w:val="24"/>
        </w:rPr>
      </w:pPr>
      <w:r w:rsidRPr="005A464E">
        <w:rPr>
          <w:rFonts w:cs="BookAntiqua"/>
          <w:sz w:val="24"/>
          <w:szCs w:val="24"/>
        </w:rPr>
        <w:t>Υπάρχουν αρκ</w:t>
      </w:r>
      <w:r w:rsidR="0085076B">
        <w:rPr>
          <w:rFonts w:cs="BookAntiqua"/>
          <w:sz w:val="24"/>
          <w:szCs w:val="24"/>
        </w:rPr>
        <w:t>ετές μελέτες που συσχετίζουν τη</w:t>
      </w:r>
      <w:r w:rsidRPr="005A464E">
        <w:rPr>
          <w:rFonts w:cs="BookAntiqua"/>
          <w:sz w:val="24"/>
          <w:szCs w:val="24"/>
        </w:rPr>
        <w:t xml:space="preserve"> διατροφική κατάσταση και </w:t>
      </w:r>
      <w:r w:rsidR="00275BE5" w:rsidRPr="005A464E">
        <w:rPr>
          <w:rFonts w:cs="BookAntiqua"/>
          <w:sz w:val="24"/>
          <w:szCs w:val="24"/>
        </w:rPr>
        <w:t>τη</w:t>
      </w:r>
      <w:r w:rsidR="0085076B">
        <w:rPr>
          <w:rFonts w:cs="BookAntiqua"/>
          <w:sz w:val="24"/>
          <w:szCs w:val="24"/>
        </w:rPr>
        <w:t>ν</w:t>
      </w:r>
      <w:r w:rsidR="00275BE5" w:rsidRPr="005A464E">
        <w:rPr>
          <w:rFonts w:cs="BookAntiqua"/>
          <w:sz w:val="24"/>
          <w:szCs w:val="24"/>
        </w:rPr>
        <w:t xml:space="preserve"> ποιότητα ζωής μέσω</w:t>
      </w:r>
      <w:r w:rsidR="004F739F">
        <w:rPr>
          <w:rFonts w:cs="BookAntiqua"/>
          <w:sz w:val="24"/>
          <w:szCs w:val="24"/>
        </w:rPr>
        <w:t xml:space="preserve"> διατροφικών δεικτών:</w:t>
      </w:r>
      <w:r w:rsidR="004F739F" w:rsidRPr="004F739F">
        <w:rPr>
          <w:rFonts w:cs="BookAntiqua"/>
          <w:sz w:val="24"/>
          <w:szCs w:val="24"/>
        </w:rPr>
        <w:t xml:space="preserve"> </w:t>
      </w:r>
      <w:r w:rsidR="005902A5" w:rsidRPr="00E51DA4">
        <w:rPr>
          <w:rFonts w:cs="BookAntiqua"/>
          <w:sz w:val="24"/>
          <w:szCs w:val="24"/>
        </w:rPr>
        <w:t>κ</w:t>
      </w:r>
      <w:r w:rsidRPr="00E51DA4">
        <w:rPr>
          <w:rFonts w:cs="BookAntiqua"/>
          <w:sz w:val="24"/>
          <w:szCs w:val="24"/>
        </w:rPr>
        <w:t>ρ</w:t>
      </w:r>
      <w:r w:rsidRPr="005A464E">
        <w:rPr>
          <w:rFonts w:cs="BookAntiqua"/>
          <w:sz w:val="24"/>
          <w:szCs w:val="24"/>
        </w:rPr>
        <w:t>εατινίνη, αλβουμίνη, πρόσληψη πρωτεΐνης/ενέργειας (</w:t>
      </w:r>
      <w:r w:rsidRPr="005A464E">
        <w:rPr>
          <w:rFonts w:cs="BookAntiqua"/>
          <w:sz w:val="24"/>
          <w:szCs w:val="24"/>
          <w:lang w:val="en-US"/>
        </w:rPr>
        <w:t>Kalantar</w:t>
      </w:r>
      <w:r w:rsidRPr="005A464E">
        <w:rPr>
          <w:rFonts w:cs="BookAntiqua"/>
          <w:sz w:val="24"/>
          <w:szCs w:val="24"/>
        </w:rPr>
        <w:t>-</w:t>
      </w:r>
      <w:r w:rsidRPr="005A464E">
        <w:rPr>
          <w:rFonts w:cs="BookAntiqua"/>
          <w:sz w:val="24"/>
          <w:szCs w:val="24"/>
          <w:lang w:val="en-US"/>
        </w:rPr>
        <w:t>Zadeh</w:t>
      </w:r>
      <w:r w:rsidR="004A3745" w:rsidRPr="005A464E">
        <w:rPr>
          <w:rFonts w:cs="BookAntiqua"/>
          <w:sz w:val="24"/>
          <w:szCs w:val="24"/>
        </w:rPr>
        <w:t xml:space="preserve"> </w:t>
      </w:r>
      <w:r w:rsidR="00566CAA">
        <w:rPr>
          <w:rFonts w:cs="BookAntiqua"/>
          <w:sz w:val="24"/>
          <w:szCs w:val="24"/>
        </w:rPr>
        <w:t>et al</w:t>
      </w:r>
      <w:r w:rsidR="003B4333">
        <w:rPr>
          <w:rFonts w:cs="BookAntiqua"/>
          <w:sz w:val="24"/>
          <w:szCs w:val="24"/>
        </w:rPr>
        <w:t>.</w:t>
      </w:r>
      <w:r w:rsidR="00AC5B2C" w:rsidRPr="00AC5B2C">
        <w:rPr>
          <w:rFonts w:cs="BookAntiqua"/>
          <w:sz w:val="24"/>
          <w:szCs w:val="24"/>
        </w:rPr>
        <w:t>,</w:t>
      </w:r>
      <w:r w:rsidR="004A3745" w:rsidRPr="005A464E">
        <w:rPr>
          <w:rFonts w:cs="BookAntiqua"/>
          <w:sz w:val="24"/>
          <w:szCs w:val="24"/>
        </w:rPr>
        <w:t xml:space="preserve"> 2001; </w:t>
      </w:r>
      <w:r w:rsidR="005902A5" w:rsidRPr="005A464E">
        <w:rPr>
          <w:rFonts w:cs="BookAntiqua"/>
          <w:sz w:val="24"/>
          <w:szCs w:val="24"/>
          <w:lang w:val="en-US"/>
        </w:rPr>
        <w:t>Allen</w:t>
      </w:r>
      <w:r w:rsidR="005902A5" w:rsidRPr="005A464E">
        <w:rPr>
          <w:rFonts w:cs="BookAntiqua"/>
          <w:sz w:val="24"/>
          <w:szCs w:val="24"/>
        </w:rPr>
        <w:t xml:space="preserve"> </w:t>
      </w:r>
      <w:r w:rsidR="005902A5">
        <w:rPr>
          <w:rFonts w:cs="BookAntiqua"/>
          <w:sz w:val="24"/>
          <w:szCs w:val="24"/>
        </w:rPr>
        <w:t>et al.,</w:t>
      </w:r>
      <w:r w:rsidR="005902A5" w:rsidRPr="005A464E">
        <w:rPr>
          <w:rFonts w:cs="BookAntiqua"/>
          <w:sz w:val="24"/>
          <w:szCs w:val="24"/>
        </w:rPr>
        <w:t xml:space="preserve"> 2002; </w:t>
      </w:r>
      <w:r w:rsidR="004A3745" w:rsidRPr="005A464E">
        <w:rPr>
          <w:rFonts w:cs="BookAntiqua"/>
          <w:sz w:val="24"/>
          <w:szCs w:val="24"/>
        </w:rPr>
        <w:t>Raimundo</w:t>
      </w:r>
      <w:r w:rsidR="00B461BC" w:rsidRPr="00B461BC">
        <w:rPr>
          <w:rFonts w:cs="BookAntiqua"/>
          <w:sz w:val="24"/>
          <w:szCs w:val="24"/>
        </w:rPr>
        <w:t>,</w:t>
      </w:r>
      <w:r w:rsidR="004A3745" w:rsidRPr="005A464E">
        <w:rPr>
          <w:rFonts w:cs="BookAntiqua"/>
          <w:sz w:val="24"/>
          <w:szCs w:val="24"/>
        </w:rPr>
        <w:t xml:space="preserve"> </w:t>
      </w:r>
      <w:r w:rsidR="00B461BC" w:rsidRPr="00A4175B">
        <w:rPr>
          <w:rFonts w:asciiTheme="minorHAnsi" w:eastAsia="Times New Roman" w:hAnsiTheme="minorHAnsi" w:cstheme="minorHAnsi"/>
          <w:sz w:val="24"/>
          <w:szCs w:val="24"/>
          <w:lang w:val="en-US" w:eastAsia="el-GR"/>
        </w:rPr>
        <w:t>Ravasco</w:t>
      </w:r>
      <w:r w:rsidR="00B461BC" w:rsidRPr="00A4175B">
        <w:rPr>
          <w:rFonts w:asciiTheme="minorHAnsi" w:eastAsia="Times New Roman" w:hAnsiTheme="minorHAnsi" w:cstheme="minorHAnsi"/>
          <w:sz w:val="24"/>
          <w:szCs w:val="24"/>
          <w:lang w:eastAsia="el-GR"/>
        </w:rPr>
        <w:t xml:space="preserve">, </w:t>
      </w:r>
      <w:r w:rsidR="00B461BC" w:rsidRPr="00A4175B">
        <w:rPr>
          <w:rFonts w:asciiTheme="minorHAnsi" w:eastAsia="Times New Roman" w:hAnsiTheme="minorHAnsi" w:cstheme="minorHAnsi"/>
          <w:sz w:val="24"/>
          <w:szCs w:val="24"/>
          <w:lang w:val="en-US" w:eastAsia="el-GR"/>
        </w:rPr>
        <w:t>Proen</w:t>
      </w:r>
      <w:r w:rsidR="00B461BC" w:rsidRPr="00A4175B">
        <w:rPr>
          <w:rFonts w:asciiTheme="minorHAnsi" w:eastAsia="Times New Roman" w:hAnsiTheme="minorHAnsi" w:cstheme="minorHAnsi"/>
          <w:sz w:val="24"/>
          <w:szCs w:val="24"/>
          <w:lang w:eastAsia="el-GR"/>
        </w:rPr>
        <w:t>ç</w:t>
      </w:r>
      <w:r w:rsidR="00B461BC" w:rsidRPr="00A4175B">
        <w:rPr>
          <w:rFonts w:asciiTheme="minorHAnsi" w:eastAsia="Times New Roman" w:hAnsiTheme="minorHAnsi" w:cstheme="minorHAnsi"/>
          <w:sz w:val="24"/>
          <w:szCs w:val="24"/>
          <w:lang w:val="en-US" w:eastAsia="el-GR"/>
        </w:rPr>
        <w:t>a</w:t>
      </w:r>
      <w:r w:rsidR="00B461BC" w:rsidRPr="00A4175B">
        <w:rPr>
          <w:rFonts w:asciiTheme="minorHAnsi" w:eastAsia="Times New Roman" w:hAnsiTheme="minorHAnsi" w:cstheme="minorHAnsi"/>
          <w:sz w:val="24"/>
          <w:szCs w:val="24"/>
          <w:lang w:eastAsia="el-GR"/>
        </w:rPr>
        <w:t xml:space="preserve">, &amp; </w:t>
      </w:r>
      <w:r w:rsidR="00B461BC" w:rsidRPr="00A4175B">
        <w:rPr>
          <w:rFonts w:asciiTheme="minorHAnsi" w:eastAsia="Times New Roman" w:hAnsiTheme="minorHAnsi" w:cstheme="minorHAnsi"/>
          <w:sz w:val="24"/>
          <w:szCs w:val="24"/>
          <w:lang w:val="en-US" w:eastAsia="el-GR"/>
        </w:rPr>
        <w:t>Camilo</w:t>
      </w:r>
      <w:r w:rsidR="00B461BC" w:rsidRPr="00A4175B">
        <w:rPr>
          <w:rFonts w:asciiTheme="minorHAnsi" w:eastAsia="Times New Roman" w:hAnsiTheme="minorHAnsi" w:cstheme="minorHAnsi"/>
          <w:sz w:val="24"/>
          <w:szCs w:val="24"/>
          <w:lang w:eastAsia="el-GR"/>
        </w:rPr>
        <w:t>,</w:t>
      </w:r>
      <w:r w:rsidR="00B461BC" w:rsidRPr="00A4175B">
        <w:rPr>
          <w:rFonts w:cs="BookAntiqua"/>
          <w:sz w:val="24"/>
          <w:szCs w:val="24"/>
        </w:rPr>
        <w:t xml:space="preserve"> </w:t>
      </w:r>
      <w:r w:rsidRPr="00A4175B">
        <w:rPr>
          <w:rFonts w:cs="BookAntiqua"/>
          <w:sz w:val="24"/>
          <w:szCs w:val="24"/>
        </w:rPr>
        <w:t>2006).</w:t>
      </w:r>
      <w:r w:rsidR="004A3745" w:rsidRPr="00A4175B">
        <w:rPr>
          <w:rFonts w:cs="BookAntiqua"/>
          <w:sz w:val="24"/>
          <w:szCs w:val="24"/>
        </w:rPr>
        <w:t xml:space="preserve"> Ο </w:t>
      </w:r>
      <w:r w:rsidR="004A3745" w:rsidRPr="00A4175B">
        <w:rPr>
          <w:rFonts w:cs="BookAntiqua"/>
          <w:sz w:val="24"/>
          <w:szCs w:val="24"/>
          <w:lang w:val="en-US"/>
        </w:rPr>
        <w:t>Santos</w:t>
      </w:r>
      <w:r w:rsidR="004A3745" w:rsidRPr="00A4175B">
        <w:rPr>
          <w:rFonts w:cs="BookAntiqua"/>
          <w:sz w:val="24"/>
          <w:szCs w:val="24"/>
        </w:rPr>
        <w:t xml:space="preserve"> (2011) αναφέρει θετική συσχέτιση </w:t>
      </w:r>
      <w:r w:rsidR="0099386F" w:rsidRPr="00A4175B">
        <w:rPr>
          <w:rFonts w:cs="BookAntiqua"/>
          <w:sz w:val="24"/>
          <w:szCs w:val="24"/>
        </w:rPr>
        <w:t>μετα</w:t>
      </w:r>
      <w:r w:rsidR="004A3745" w:rsidRPr="00A4175B">
        <w:rPr>
          <w:rFonts w:cs="BookAntiqua"/>
          <w:sz w:val="24"/>
          <w:szCs w:val="24"/>
        </w:rPr>
        <w:t>ξύ</w:t>
      </w:r>
      <w:r w:rsidR="005902A5" w:rsidRPr="00A4175B">
        <w:rPr>
          <w:rFonts w:cs="BookAntiqua"/>
          <w:sz w:val="24"/>
          <w:szCs w:val="24"/>
        </w:rPr>
        <w:t xml:space="preserve"> ΠΖ και υποθρεψίας</w:t>
      </w:r>
      <w:r w:rsidR="00322DD2" w:rsidRPr="00A4175B">
        <w:rPr>
          <w:rFonts w:cs="BookAntiqua"/>
          <w:sz w:val="24"/>
          <w:szCs w:val="24"/>
        </w:rPr>
        <w:t>,</w:t>
      </w:r>
      <w:r w:rsidR="005902A5" w:rsidRPr="00A4175B">
        <w:rPr>
          <w:rFonts w:cs="BookAntiqua"/>
          <w:sz w:val="24"/>
          <w:szCs w:val="24"/>
        </w:rPr>
        <w:t xml:space="preserve"> </w:t>
      </w:r>
      <w:r w:rsidR="004A3745" w:rsidRPr="00A4175B">
        <w:rPr>
          <w:rFonts w:cs="BookAntiqua"/>
          <w:sz w:val="24"/>
          <w:szCs w:val="24"/>
        </w:rPr>
        <w:t>ιδιαίτερα μεταξύ των γυναικών.</w:t>
      </w:r>
    </w:p>
    <w:p w:rsidR="00B44992" w:rsidRPr="00A4175B" w:rsidRDefault="00B44992" w:rsidP="00891A77">
      <w:pPr>
        <w:pStyle w:val="a5"/>
        <w:numPr>
          <w:ilvl w:val="0"/>
          <w:numId w:val="121"/>
        </w:numPr>
        <w:spacing w:line="360" w:lineRule="auto"/>
        <w:rPr>
          <w:i/>
          <w:sz w:val="24"/>
          <w:szCs w:val="24"/>
        </w:rPr>
      </w:pPr>
      <w:r w:rsidRPr="00A4175B">
        <w:rPr>
          <w:i/>
          <w:sz w:val="24"/>
          <w:szCs w:val="24"/>
        </w:rPr>
        <w:t>Χρονική διάρκεια ένταξης στην</w:t>
      </w:r>
      <w:r w:rsidR="0078495A" w:rsidRPr="00A4175B">
        <w:rPr>
          <w:i/>
          <w:sz w:val="24"/>
          <w:szCs w:val="24"/>
        </w:rPr>
        <w:t xml:space="preserve"> </w:t>
      </w:r>
      <w:r w:rsidRPr="00A4175B">
        <w:rPr>
          <w:i/>
          <w:sz w:val="24"/>
          <w:szCs w:val="24"/>
        </w:rPr>
        <w:t>αιμοκάθαρση</w:t>
      </w:r>
    </w:p>
    <w:p w:rsidR="00B44992" w:rsidRPr="00A4175B" w:rsidRDefault="00B44992" w:rsidP="005A464E">
      <w:pPr>
        <w:spacing w:line="360" w:lineRule="auto"/>
        <w:jc w:val="both"/>
        <w:rPr>
          <w:sz w:val="24"/>
          <w:szCs w:val="24"/>
        </w:rPr>
      </w:pPr>
      <w:r w:rsidRPr="00A4175B">
        <w:rPr>
          <w:sz w:val="24"/>
          <w:szCs w:val="24"/>
        </w:rPr>
        <w:t xml:space="preserve">Οι Bohlke </w:t>
      </w:r>
      <w:r w:rsidR="00566CAA" w:rsidRPr="00A4175B">
        <w:rPr>
          <w:sz w:val="24"/>
          <w:szCs w:val="24"/>
        </w:rPr>
        <w:t>et al</w:t>
      </w:r>
      <w:r w:rsidR="003E723E" w:rsidRPr="00A4175B">
        <w:rPr>
          <w:sz w:val="24"/>
          <w:szCs w:val="24"/>
        </w:rPr>
        <w:t>.</w:t>
      </w:r>
      <w:r w:rsidRPr="00A4175B">
        <w:rPr>
          <w:sz w:val="24"/>
          <w:szCs w:val="24"/>
        </w:rPr>
        <w:t xml:space="preserve"> (2008) σε </w:t>
      </w:r>
      <w:r w:rsidR="00817853" w:rsidRPr="00A4175B">
        <w:rPr>
          <w:sz w:val="24"/>
          <w:szCs w:val="24"/>
        </w:rPr>
        <w:t>μια</w:t>
      </w:r>
      <w:r w:rsidRPr="00A4175B">
        <w:rPr>
          <w:sz w:val="24"/>
          <w:szCs w:val="24"/>
        </w:rPr>
        <w:t xml:space="preserve"> συγχρονική μελέτη ερεύνησαν τους προγνωστικούς παράγοντες τη</w:t>
      </w:r>
      <w:r w:rsidR="00275BE5" w:rsidRPr="00A4175B">
        <w:rPr>
          <w:sz w:val="24"/>
          <w:szCs w:val="24"/>
        </w:rPr>
        <w:t xml:space="preserve">ς ΠΖ μεταξύ 140 ασθενών από </w:t>
      </w:r>
      <w:r w:rsidR="000B4781" w:rsidRPr="00A4175B">
        <w:rPr>
          <w:sz w:val="24"/>
          <w:szCs w:val="24"/>
        </w:rPr>
        <w:t>τρει</w:t>
      </w:r>
      <w:r w:rsidR="00275BE5" w:rsidRPr="00A4175B">
        <w:rPr>
          <w:sz w:val="24"/>
          <w:szCs w:val="24"/>
        </w:rPr>
        <w:t>ς</w:t>
      </w:r>
      <w:r w:rsidRPr="00A4175B">
        <w:rPr>
          <w:sz w:val="24"/>
          <w:szCs w:val="24"/>
        </w:rPr>
        <w:t xml:space="preserve"> Μονάδες</w:t>
      </w:r>
      <w:r w:rsidRPr="005A464E">
        <w:rPr>
          <w:sz w:val="24"/>
          <w:szCs w:val="24"/>
        </w:rPr>
        <w:t xml:space="preserve"> Αιμοκάθαρσης της Νότιας Βραζιλίας με την κλίμακα </w:t>
      </w:r>
      <w:r w:rsidRPr="005A464E">
        <w:rPr>
          <w:sz w:val="24"/>
          <w:szCs w:val="24"/>
          <w:lang w:val="en-US"/>
        </w:rPr>
        <w:t>SF</w:t>
      </w:r>
      <w:r w:rsidRPr="005A464E">
        <w:rPr>
          <w:sz w:val="24"/>
          <w:szCs w:val="24"/>
        </w:rPr>
        <w:t xml:space="preserve"> -36. Έδειξαν ότι οι ασθενείς </w:t>
      </w:r>
      <w:r w:rsidR="00305BD4">
        <w:rPr>
          <w:sz w:val="24"/>
          <w:szCs w:val="24"/>
        </w:rPr>
        <w:t>που υποβάλλονταν για</w:t>
      </w:r>
      <w:r w:rsidRPr="005A464E">
        <w:rPr>
          <w:sz w:val="24"/>
          <w:szCs w:val="24"/>
        </w:rPr>
        <w:t xml:space="preserve"> λιγότερα χρόνια </w:t>
      </w:r>
      <w:r w:rsidR="00305BD4">
        <w:rPr>
          <w:sz w:val="24"/>
          <w:szCs w:val="24"/>
        </w:rPr>
        <w:t>σε</w:t>
      </w:r>
      <w:r w:rsidRPr="005A464E">
        <w:rPr>
          <w:sz w:val="24"/>
          <w:szCs w:val="24"/>
        </w:rPr>
        <w:t xml:space="preserve"> αιμοκάθαρση είχαν υψηλοτέρα επίπεδα ΠΖ σε σύγκριση με </w:t>
      </w:r>
      <w:r w:rsidR="00305BD4">
        <w:rPr>
          <w:sz w:val="24"/>
          <w:szCs w:val="24"/>
        </w:rPr>
        <w:t>εκείνους που υποβάλλονταν</w:t>
      </w:r>
      <w:r w:rsidRPr="005A464E">
        <w:rPr>
          <w:sz w:val="24"/>
          <w:szCs w:val="24"/>
        </w:rPr>
        <w:t xml:space="preserve"> περισσότερα χρόνια. Επιπλέον, η συννοσηρότητα</w:t>
      </w:r>
      <w:r w:rsidR="0078495A">
        <w:rPr>
          <w:sz w:val="24"/>
          <w:szCs w:val="24"/>
        </w:rPr>
        <w:t xml:space="preserve"> </w:t>
      </w:r>
      <w:r w:rsidR="005902A5">
        <w:rPr>
          <w:sz w:val="24"/>
          <w:szCs w:val="24"/>
        </w:rPr>
        <w:t>και η διάρκεια ένταξης στην αιμοκάθαρση</w:t>
      </w:r>
      <w:r w:rsidR="005902A5" w:rsidRPr="005A464E">
        <w:rPr>
          <w:sz w:val="24"/>
          <w:szCs w:val="24"/>
        </w:rPr>
        <w:t xml:space="preserve"> </w:t>
      </w:r>
      <w:r w:rsidRPr="005A464E">
        <w:rPr>
          <w:sz w:val="24"/>
          <w:szCs w:val="24"/>
        </w:rPr>
        <w:t xml:space="preserve">ήταν </w:t>
      </w:r>
      <w:r w:rsidR="006B4160" w:rsidRPr="005A464E">
        <w:rPr>
          <w:sz w:val="24"/>
          <w:szCs w:val="24"/>
        </w:rPr>
        <w:t>οι κύριοι προ</w:t>
      </w:r>
      <w:r w:rsidR="00F54030" w:rsidRPr="005A464E">
        <w:rPr>
          <w:sz w:val="24"/>
          <w:szCs w:val="24"/>
        </w:rPr>
        <w:t>γνωστικοί παράγοντες της φυσική</w:t>
      </w:r>
      <w:r w:rsidR="00275BE5" w:rsidRPr="005A464E">
        <w:rPr>
          <w:sz w:val="24"/>
          <w:szCs w:val="24"/>
        </w:rPr>
        <w:t>ς</w:t>
      </w:r>
      <w:r w:rsidR="00F54030" w:rsidRPr="005A464E">
        <w:rPr>
          <w:sz w:val="24"/>
          <w:szCs w:val="24"/>
        </w:rPr>
        <w:t xml:space="preserve"> </w:t>
      </w:r>
      <w:r w:rsidR="00F54030" w:rsidRPr="00A4175B">
        <w:rPr>
          <w:sz w:val="24"/>
          <w:szCs w:val="24"/>
        </w:rPr>
        <w:t>διάσταση</w:t>
      </w:r>
      <w:r w:rsidR="005902A5" w:rsidRPr="00A4175B">
        <w:rPr>
          <w:sz w:val="24"/>
          <w:szCs w:val="24"/>
        </w:rPr>
        <w:t>ς</w:t>
      </w:r>
      <w:r w:rsidR="00F54030" w:rsidRPr="00A4175B">
        <w:rPr>
          <w:sz w:val="24"/>
          <w:szCs w:val="24"/>
        </w:rPr>
        <w:t xml:space="preserve"> της</w:t>
      </w:r>
      <w:r w:rsidR="006B4160" w:rsidRPr="00A4175B">
        <w:rPr>
          <w:sz w:val="24"/>
          <w:szCs w:val="24"/>
        </w:rPr>
        <w:t xml:space="preserve"> ΠΖ ενώ τα κοινωνικοοικονομικά θέματα επηρέασαν κυρίως την ψυχική</w:t>
      </w:r>
      <w:r w:rsidR="00F54030" w:rsidRPr="00A4175B">
        <w:rPr>
          <w:sz w:val="24"/>
          <w:szCs w:val="24"/>
        </w:rPr>
        <w:t xml:space="preserve"> διάσταση της</w:t>
      </w:r>
      <w:r w:rsidR="006B4160" w:rsidRPr="00A4175B">
        <w:rPr>
          <w:sz w:val="24"/>
          <w:szCs w:val="24"/>
        </w:rPr>
        <w:t xml:space="preserve"> ΠΖ.</w:t>
      </w:r>
    </w:p>
    <w:p w:rsidR="00B44992" w:rsidRPr="005A464E" w:rsidRDefault="000143B4" w:rsidP="005A464E">
      <w:pPr>
        <w:spacing w:line="360" w:lineRule="auto"/>
        <w:jc w:val="both"/>
        <w:rPr>
          <w:rFonts w:cs="BookAntiqua"/>
          <w:sz w:val="24"/>
          <w:szCs w:val="24"/>
        </w:rPr>
      </w:pPr>
      <w:r w:rsidRPr="00A4175B">
        <w:rPr>
          <w:rFonts w:cs="BookAntiqua"/>
          <w:sz w:val="24"/>
          <w:szCs w:val="24"/>
        </w:rPr>
        <w:t>Επιπλέον, οι</w:t>
      </w:r>
      <w:r w:rsidR="006B4160" w:rsidRPr="00A4175B">
        <w:rPr>
          <w:rFonts w:cs="BookAntiqua"/>
          <w:sz w:val="24"/>
          <w:szCs w:val="24"/>
        </w:rPr>
        <w:t xml:space="preserve"> </w:t>
      </w:r>
      <w:r w:rsidR="00F5754A" w:rsidRPr="00A4175B">
        <w:rPr>
          <w:rFonts w:cs="BookAntiqua"/>
          <w:sz w:val="24"/>
          <w:szCs w:val="24"/>
          <w:lang w:val="en-US"/>
        </w:rPr>
        <w:t>Mittal</w:t>
      </w:r>
      <w:r w:rsidRPr="00A4175B">
        <w:rPr>
          <w:rFonts w:cs="BookAntiqua"/>
          <w:sz w:val="24"/>
          <w:szCs w:val="24"/>
        </w:rPr>
        <w:t xml:space="preserve"> </w:t>
      </w:r>
      <w:r w:rsidRPr="00A4175B">
        <w:rPr>
          <w:rFonts w:cs="BookAntiqua"/>
          <w:sz w:val="24"/>
          <w:szCs w:val="24"/>
          <w:lang w:val="en-US"/>
        </w:rPr>
        <w:t>et</w:t>
      </w:r>
      <w:r w:rsidRPr="00A4175B">
        <w:rPr>
          <w:rFonts w:cs="BookAntiqua"/>
          <w:sz w:val="24"/>
          <w:szCs w:val="24"/>
        </w:rPr>
        <w:t xml:space="preserve"> </w:t>
      </w:r>
      <w:r w:rsidRPr="00A4175B">
        <w:rPr>
          <w:rFonts w:cs="BookAntiqua"/>
          <w:sz w:val="24"/>
          <w:szCs w:val="24"/>
          <w:lang w:val="en-US"/>
        </w:rPr>
        <w:t>al</w:t>
      </w:r>
      <w:r w:rsidRPr="00A4175B">
        <w:rPr>
          <w:rFonts w:cs="BookAntiqua"/>
          <w:sz w:val="24"/>
          <w:szCs w:val="24"/>
        </w:rPr>
        <w:t xml:space="preserve">. </w:t>
      </w:r>
      <w:r w:rsidR="006B4160" w:rsidRPr="00A4175B">
        <w:rPr>
          <w:rFonts w:cs="BookAntiqua"/>
          <w:sz w:val="24"/>
          <w:szCs w:val="24"/>
        </w:rPr>
        <w:t>(2001) αξιολό</w:t>
      </w:r>
      <w:r w:rsidRPr="00A4175B">
        <w:rPr>
          <w:rFonts w:cs="BookAntiqua"/>
          <w:sz w:val="24"/>
          <w:szCs w:val="24"/>
        </w:rPr>
        <w:t>γησαν την</w:t>
      </w:r>
      <w:r w:rsidR="00275BE5" w:rsidRPr="00A4175B">
        <w:rPr>
          <w:rFonts w:cs="BookAntiqua"/>
          <w:sz w:val="24"/>
          <w:szCs w:val="24"/>
        </w:rPr>
        <w:t xml:space="preserve"> ΠΖ</w:t>
      </w:r>
      <w:r w:rsidR="006B4160" w:rsidRPr="00A4175B">
        <w:rPr>
          <w:rFonts w:cs="BookAntiqua"/>
          <w:sz w:val="24"/>
          <w:szCs w:val="24"/>
        </w:rPr>
        <w:t xml:space="preserve"> 134 Αμερικανών ασθενών χρησιμοποιώντας</w:t>
      </w:r>
      <w:r w:rsidR="0085076B" w:rsidRPr="00A4175B">
        <w:rPr>
          <w:rFonts w:cs="BookAntiqua"/>
          <w:sz w:val="24"/>
          <w:szCs w:val="24"/>
        </w:rPr>
        <w:t xml:space="preserve"> την κλίμακα</w:t>
      </w:r>
      <w:r w:rsidR="00275BE5" w:rsidRPr="00A4175B">
        <w:rPr>
          <w:rFonts w:cs="BookAntiqua"/>
          <w:sz w:val="24"/>
          <w:szCs w:val="24"/>
        </w:rPr>
        <w:t xml:space="preserve"> SF-36 τ</w:t>
      </w:r>
      <w:r w:rsidR="000B4781" w:rsidRPr="00A4175B">
        <w:rPr>
          <w:rFonts w:cs="BookAntiqua"/>
          <w:sz w:val="24"/>
          <w:szCs w:val="24"/>
        </w:rPr>
        <w:t>ρει</w:t>
      </w:r>
      <w:r w:rsidR="00275BE5" w:rsidRPr="00A4175B">
        <w:rPr>
          <w:rFonts w:cs="BookAntiqua"/>
          <w:sz w:val="24"/>
          <w:szCs w:val="24"/>
        </w:rPr>
        <w:t>ς φορές</w:t>
      </w:r>
      <w:r w:rsidR="006B4160" w:rsidRPr="00A4175B">
        <w:rPr>
          <w:rFonts w:cs="BookAntiqua"/>
          <w:sz w:val="24"/>
          <w:szCs w:val="24"/>
        </w:rPr>
        <w:t xml:space="preserve"> μηνιαίως για π</w:t>
      </w:r>
      <w:r w:rsidR="00275BE5" w:rsidRPr="00A4175B">
        <w:rPr>
          <w:rFonts w:cs="BookAntiqua"/>
          <w:sz w:val="24"/>
          <w:szCs w:val="24"/>
        </w:rPr>
        <w:t xml:space="preserve">άνω από </w:t>
      </w:r>
      <w:r w:rsidR="00BA566F" w:rsidRPr="00A4175B">
        <w:rPr>
          <w:rFonts w:cs="BookAntiqua"/>
          <w:sz w:val="24"/>
          <w:szCs w:val="24"/>
        </w:rPr>
        <w:t xml:space="preserve">δύο </w:t>
      </w:r>
      <w:r w:rsidR="00275BE5" w:rsidRPr="00A4175B">
        <w:rPr>
          <w:rFonts w:cs="BookAntiqua"/>
          <w:sz w:val="24"/>
          <w:szCs w:val="24"/>
        </w:rPr>
        <w:t>χρόν</w:t>
      </w:r>
      <w:r w:rsidR="005902A5" w:rsidRPr="00A4175B">
        <w:rPr>
          <w:rFonts w:cs="BookAntiqua"/>
          <w:sz w:val="24"/>
          <w:szCs w:val="24"/>
        </w:rPr>
        <w:t>ια. Διε</w:t>
      </w:r>
      <w:r w:rsidRPr="00A4175B">
        <w:rPr>
          <w:rFonts w:cs="BookAntiqua"/>
          <w:sz w:val="24"/>
          <w:szCs w:val="24"/>
        </w:rPr>
        <w:t>πίστωσαν</w:t>
      </w:r>
      <w:r w:rsidR="006B4160" w:rsidRPr="00A4175B">
        <w:rPr>
          <w:rFonts w:cs="BookAntiqua"/>
          <w:sz w:val="24"/>
          <w:szCs w:val="24"/>
        </w:rPr>
        <w:t xml:space="preserve"> </w:t>
      </w:r>
      <w:r w:rsidR="005902A5" w:rsidRPr="00A4175B">
        <w:rPr>
          <w:rFonts w:cs="BookAntiqua"/>
          <w:sz w:val="24"/>
          <w:szCs w:val="24"/>
        </w:rPr>
        <w:t>πως η χρονική διά</w:t>
      </w:r>
      <w:r w:rsidR="000B4781" w:rsidRPr="00A4175B">
        <w:rPr>
          <w:rFonts w:cs="BookAntiqua"/>
          <w:sz w:val="24"/>
          <w:szCs w:val="24"/>
        </w:rPr>
        <w:t>ρ</w:t>
      </w:r>
      <w:r w:rsidR="005902A5" w:rsidRPr="00A4175B">
        <w:rPr>
          <w:rFonts w:cs="BookAntiqua"/>
          <w:sz w:val="24"/>
          <w:szCs w:val="24"/>
        </w:rPr>
        <w:t xml:space="preserve">κεια ένταξης </w:t>
      </w:r>
      <w:r w:rsidR="00305BD4" w:rsidRPr="00A4175B">
        <w:rPr>
          <w:rFonts w:cs="BookAntiqua"/>
          <w:sz w:val="24"/>
          <w:szCs w:val="24"/>
        </w:rPr>
        <w:t>σε πρόγραμμα</w:t>
      </w:r>
      <w:r w:rsidR="006B4160" w:rsidRPr="00A4175B">
        <w:rPr>
          <w:rFonts w:cs="BookAntiqua"/>
          <w:sz w:val="24"/>
          <w:szCs w:val="24"/>
        </w:rPr>
        <w:t xml:space="preserve"> αιμοκάθαρση</w:t>
      </w:r>
      <w:r w:rsidR="00A4175B">
        <w:rPr>
          <w:rFonts w:cs="BookAntiqua"/>
          <w:sz w:val="24"/>
          <w:szCs w:val="24"/>
        </w:rPr>
        <w:t>ς</w:t>
      </w:r>
      <w:r w:rsidR="006B4160" w:rsidRPr="00A4175B">
        <w:rPr>
          <w:rFonts w:cs="BookAntiqua"/>
          <w:sz w:val="24"/>
          <w:szCs w:val="24"/>
        </w:rPr>
        <w:t xml:space="preserve"> ήταν αντιστρ</w:t>
      </w:r>
      <w:r w:rsidR="005902A5" w:rsidRPr="00A4175B">
        <w:rPr>
          <w:rFonts w:cs="BookAntiqua"/>
          <w:sz w:val="24"/>
          <w:szCs w:val="24"/>
        </w:rPr>
        <w:t>όφως ανάλογη</w:t>
      </w:r>
      <w:r w:rsidR="00F54030" w:rsidRPr="00A4175B">
        <w:rPr>
          <w:rFonts w:cs="BookAntiqua"/>
          <w:sz w:val="24"/>
          <w:szCs w:val="24"/>
        </w:rPr>
        <w:t xml:space="preserve"> με</w:t>
      </w:r>
      <w:r w:rsidR="00F54030" w:rsidRPr="005A464E">
        <w:rPr>
          <w:rFonts w:cs="BookAntiqua"/>
          <w:sz w:val="24"/>
          <w:szCs w:val="24"/>
        </w:rPr>
        <w:t xml:space="preserve"> τις αλλαγές στις</w:t>
      </w:r>
      <w:r w:rsidR="006B4160" w:rsidRPr="005A464E">
        <w:rPr>
          <w:rFonts w:cs="BookAntiqua"/>
          <w:sz w:val="24"/>
          <w:szCs w:val="24"/>
        </w:rPr>
        <w:t xml:space="preserve"> διαστάσεις της φυσικής λειτουργικότητας, του σωματικού πόνου και της γενικής ζωτικότητας του SF-36.</w:t>
      </w:r>
    </w:p>
    <w:p w:rsidR="00F46A0E" w:rsidRPr="00891A77" w:rsidRDefault="00F46A0E" w:rsidP="00891A77">
      <w:pPr>
        <w:pStyle w:val="a5"/>
        <w:numPr>
          <w:ilvl w:val="0"/>
          <w:numId w:val="121"/>
        </w:numPr>
        <w:spacing w:line="360" w:lineRule="auto"/>
        <w:rPr>
          <w:rFonts w:cs="BookAntiqua"/>
          <w:i/>
          <w:sz w:val="24"/>
          <w:szCs w:val="24"/>
        </w:rPr>
      </w:pPr>
      <w:r w:rsidRPr="00891A77">
        <w:rPr>
          <w:i/>
          <w:sz w:val="24"/>
          <w:szCs w:val="24"/>
        </w:rPr>
        <w:t>Επίπεδα αλβουμίνης</w:t>
      </w:r>
    </w:p>
    <w:p w:rsidR="006001CB" w:rsidRPr="00B37728" w:rsidRDefault="000E404D" w:rsidP="005A464E">
      <w:pPr>
        <w:spacing w:line="360" w:lineRule="auto"/>
        <w:jc w:val="both"/>
        <w:rPr>
          <w:rFonts w:cs="BookAntiqua"/>
          <w:sz w:val="24"/>
          <w:szCs w:val="24"/>
        </w:rPr>
      </w:pPr>
      <w:r w:rsidRPr="005A464E">
        <w:rPr>
          <w:rFonts w:cs="BookAntiqua"/>
          <w:sz w:val="24"/>
          <w:szCs w:val="24"/>
        </w:rPr>
        <w:t xml:space="preserve">Τα επίπεδα αλβουμίνης έχουν συνδεθεί με αυξημένη νοσηρότητα και θνησιμότητα σε ασθενείς υπό </w:t>
      </w:r>
      <w:r w:rsidR="004A3745" w:rsidRPr="005A464E">
        <w:rPr>
          <w:rFonts w:cs="BookAntiqua"/>
          <w:sz w:val="24"/>
          <w:szCs w:val="24"/>
        </w:rPr>
        <w:t xml:space="preserve">αιμοκάθαρση (Mapes </w:t>
      </w:r>
      <w:r w:rsidR="00566CAA">
        <w:rPr>
          <w:rFonts w:cs="BookAntiqua"/>
          <w:sz w:val="24"/>
          <w:szCs w:val="24"/>
        </w:rPr>
        <w:t>et al</w:t>
      </w:r>
      <w:r w:rsidR="00573981">
        <w:rPr>
          <w:rFonts w:cs="BookAntiqua"/>
          <w:sz w:val="24"/>
          <w:szCs w:val="24"/>
        </w:rPr>
        <w:t>.</w:t>
      </w:r>
      <w:r w:rsidR="0085076B">
        <w:rPr>
          <w:rFonts w:cs="BookAntiqua"/>
          <w:sz w:val="24"/>
          <w:szCs w:val="24"/>
        </w:rPr>
        <w:t>,</w:t>
      </w:r>
      <w:r w:rsidRPr="005A464E">
        <w:rPr>
          <w:rFonts w:cs="BookAntiqua"/>
          <w:sz w:val="24"/>
          <w:szCs w:val="24"/>
        </w:rPr>
        <w:t xml:space="preserve"> 2004). Γνωρίζοντας τους βιολογικούς δείκτες που επηρεάζουν την ΠΖ δίνεται η δυνατότητα καλύτερης</w:t>
      </w:r>
      <w:r w:rsidR="00275BE5" w:rsidRPr="005A464E">
        <w:rPr>
          <w:rFonts w:cs="BookAntiqua"/>
          <w:sz w:val="24"/>
          <w:szCs w:val="24"/>
        </w:rPr>
        <w:t xml:space="preserve"> διαχείρισης της </w:t>
      </w:r>
      <w:r w:rsidR="004F739F">
        <w:rPr>
          <w:rFonts w:cs="BookAntiqua"/>
          <w:sz w:val="24"/>
          <w:szCs w:val="24"/>
        </w:rPr>
        <w:t>ΤΣ</w:t>
      </w:r>
      <w:r w:rsidR="00275BE5" w:rsidRPr="005A464E">
        <w:rPr>
          <w:rFonts w:cs="BookAntiqua"/>
          <w:sz w:val="24"/>
          <w:szCs w:val="24"/>
        </w:rPr>
        <w:t>ΧΝΝ</w:t>
      </w:r>
      <w:r w:rsidRPr="005A464E">
        <w:rPr>
          <w:rFonts w:cs="BookAntiqua"/>
          <w:sz w:val="24"/>
          <w:szCs w:val="24"/>
        </w:rPr>
        <w:t>. Οι δείκτες του πολύπλοκου συνδρόμου υποσιτισμού-φλεγμονής (</w:t>
      </w:r>
      <w:r w:rsidRPr="005A464E">
        <w:rPr>
          <w:sz w:val="24"/>
          <w:szCs w:val="24"/>
        </w:rPr>
        <w:t>Malnutritio</w:t>
      </w:r>
      <w:r w:rsidR="00993E6B" w:rsidRPr="005A464E">
        <w:rPr>
          <w:sz w:val="24"/>
          <w:szCs w:val="24"/>
        </w:rPr>
        <w:t xml:space="preserve">n-Inflammation Complex Syndrom, </w:t>
      </w:r>
      <w:r w:rsidRPr="005A464E">
        <w:rPr>
          <w:rFonts w:cs="BookAntiqua"/>
          <w:sz w:val="24"/>
          <w:szCs w:val="24"/>
        </w:rPr>
        <w:t>MICS) είναι σημαντικο</w:t>
      </w:r>
      <w:r w:rsidR="00EE28F1" w:rsidRPr="005A464E">
        <w:rPr>
          <w:rFonts w:cs="BookAntiqua"/>
          <w:sz w:val="24"/>
          <w:szCs w:val="24"/>
        </w:rPr>
        <w:t>ί</w:t>
      </w:r>
      <w:r w:rsidRPr="005A464E">
        <w:rPr>
          <w:rFonts w:cs="BookAntiqua"/>
          <w:sz w:val="24"/>
          <w:szCs w:val="24"/>
        </w:rPr>
        <w:t xml:space="preserve"> στη</w:t>
      </w:r>
      <w:r w:rsidR="00EE28F1" w:rsidRPr="005A464E">
        <w:rPr>
          <w:rFonts w:cs="BookAntiqua"/>
          <w:sz w:val="24"/>
          <w:szCs w:val="24"/>
        </w:rPr>
        <w:t>ν</w:t>
      </w:r>
      <w:r w:rsidRPr="005A464E">
        <w:rPr>
          <w:rFonts w:cs="BookAntiqua"/>
          <w:sz w:val="24"/>
          <w:szCs w:val="24"/>
        </w:rPr>
        <w:t xml:space="preserve"> πρόβλεψη της θνησιμότητας και νοσηλείας σε ασθενείς υπό αιμοκάθαρση</w:t>
      </w:r>
      <w:r w:rsidR="000A40B1">
        <w:rPr>
          <w:rFonts w:cs="BookAntiqua"/>
          <w:sz w:val="24"/>
          <w:szCs w:val="24"/>
        </w:rPr>
        <w:t xml:space="preserve"> (Ζ</w:t>
      </w:r>
      <w:r w:rsidR="000A40B1">
        <w:rPr>
          <w:rFonts w:cs="BookAntiqua"/>
          <w:sz w:val="24"/>
          <w:szCs w:val="24"/>
          <w:lang w:val="en-US"/>
        </w:rPr>
        <w:t>yga</w:t>
      </w:r>
      <w:r w:rsidR="000A40B1" w:rsidRPr="000A40B1">
        <w:rPr>
          <w:rFonts w:cs="BookAntiqua"/>
          <w:sz w:val="24"/>
          <w:szCs w:val="24"/>
        </w:rPr>
        <w:t xml:space="preserve">, </w:t>
      </w:r>
      <w:r w:rsidR="000A40B1">
        <w:rPr>
          <w:rFonts w:cs="BookAntiqua"/>
          <w:sz w:val="24"/>
          <w:szCs w:val="24"/>
          <w:lang w:val="en-US"/>
        </w:rPr>
        <w:t>Christopoulou</w:t>
      </w:r>
      <w:r w:rsidR="000A40B1" w:rsidRPr="000A40B1">
        <w:rPr>
          <w:rFonts w:cs="BookAntiqua"/>
          <w:sz w:val="24"/>
          <w:szCs w:val="24"/>
        </w:rPr>
        <w:t xml:space="preserve">, &amp; </w:t>
      </w:r>
      <w:r w:rsidR="000A40B1">
        <w:rPr>
          <w:rFonts w:cs="BookAntiqua"/>
          <w:sz w:val="24"/>
          <w:szCs w:val="24"/>
          <w:lang w:val="en-US"/>
        </w:rPr>
        <w:t>Malliarou</w:t>
      </w:r>
      <w:r w:rsidR="000A40B1" w:rsidRPr="000A40B1">
        <w:rPr>
          <w:rFonts w:cs="BookAntiqua"/>
          <w:sz w:val="24"/>
          <w:szCs w:val="24"/>
        </w:rPr>
        <w:t>, 2011)</w:t>
      </w:r>
      <w:r w:rsidRPr="005A464E">
        <w:rPr>
          <w:rFonts w:cs="BookAntiqua"/>
          <w:sz w:val="24"/>
          <w:szCs w:val="24"/>
        </w:rPr>
        <w:t>.</w:t>
      </w:r>
      <w:r w:rsidR="00993E6B" w:rsidRPr="005A464E">
        <w:rPr>
          <w:rFonts w:cs="BookAntiqua"/>
          <w:sz w:val="24"/>
          <w:szCs w:val="24"/>
        </w:rPr>
        <w:t xml:space="preserve"> </w:t>
      </w:r>
      <w:r w:rsidR="00EE28F1" w:rsidRPr="005A464E">
        <w:rPr>
          <w:rFonts w:cs="BookAntiqua"/>
          <w:sz w:val="24"/>
          <w:szCs w:val="24"/>
        </w:rPr>
        <w:t>Ωστόσο, δεν είναι σαφές ποιός δείκτης είναι περισσότερο ευαίσθητος.</w:t>
      </w:r>
      <w:r w:rsidR="00993E6B" w:rsidRPr="005A464E">
        <w:rPr>
          <w:rFonts w:cs="BookAntiqua"/>
          <w:sz w:val="24"/>
          <w:szCs w:val="24"/>
        </w:rPr>
        <w:t xml:space="preserve"> </w:t>
      </w:r>
    </w:p>
    <w:p w:rsidR="00946FAE" w:rsidRPr="005A464E" w:rsidRDefault="00EE28F1" w:rsidP="005A464E">
      <w:pPr>
        <w:spacing w:line="360" w:lineRule="auto"/>
        <w:jc w:val="both"/>
        <w:rPr>
          <w:rFonts w:cs="BookAntiqua"/>
          <w:sz w:val="24"/>
          <w:szCs w:val="24"/>
        </w:rPr>
      </w:pPr>
      <w:r w:rsidRPr="005A464E">
        <w:t>Οι</w:t>
      </w:r>
      <w:r w:rsidRPr="00AC5B2C">
        <w:t xml:space="preserve"> </w:t>
      </w:r>
      <w:r w:rsidRPr="00AC5B2C">
        <w:rPr>
          <w:rFonts w:cs="BookAntiqua"/>
          <w:sz w:val="24"/>
          <w:szCs w:val="24"/>
          <w:lang w:val="en-US"/>
        </w:rPr>
        <w:t>Kalantar</w:t>
      </w:r>
      <w:r w:rsidRPr="00AC5B2C">
        <w:rPr>
          <w:rFonts w:cs="BookAntiqua"/>
          <w:sz w:val="24"/>
          <w:szCs w:val="24"/>
        </w:rPr>
        <w:t>-</w:t>
      </w:r>
      <w:r w:rsidRPr="00AC5B2C">
        <w:rPr>
          <w:rFonts w:cs="BookAntiqua"/>
          <w:sz w:val="24"/>
          <w:szCs w:val="24"/>
          <w:lang w:val="en-US"/>
        </w:rPr>
        <w:t>Zadeh</w:t>
      </w:r>
      <w:r w:rsidR="00AC5B2C" w:rsidRPr="00AC5B2C">
        <w:rPr>
          <w:rFonts w:cs="BookAntiqua"/>
          <w:sz w:val="24"/>
          <w:szCs w:val="24"/>
        </w:rPr>
        <w:t>,</w:t>
      </w:r>
      <w:r w:rsidR="00AC5B2C" w:rsidRPr="00AC5B2C">
        <w:rPr>
          <w:rFonts w:asciiTheme="minorHAnsi" w:hAnsiTheme="minorHAnsi" w:cstheme="minorHAnsi"/>
        </w:rPr>
        <w:t xml:space="preserve"> </w:t>
      </w:r>
      <w:r w:rsidR="00AC5B2C">
        <w:rPr>
          <w:rFonts w:asciiTheme="minorHAnsi" w:hAnsiTheme="minorHAnsi" w:cstheme="minorHAnsi"/>
          <w:sz w:val="24"/>
          <w:szCs w:val="24"/>
          <w:lang w:val="en-US"/>
        </w:rPr>
        <w:t>Kopple</w:t>
      </w:r>
      <w:r w:rsidR="00AC5B2C" w:rsidRPr="00AC5B2C">
        <w:rPr>
          <w:rFonts w:asciiTheme="minorHAnsi" w:hAnsiTheme="minorHAnsi" w:cstheme="minorHAnsi"/>
          <w:sz w:val="24"/>
          <w:szCs w:val="24"/>
        </w:rPr>
        <w:t xml:space="preserve">, </w:t>
      </w:r>
      <w:r w:rsidR="00AC5B2C" w:rsidRPr="00AC5B2C">
        <w:rPr>
          <w:rFonts w:asciiTheme="minorHAnsi" w:hAnsiTheme="minorHAnsi" w:cstheme="minorHAnsi"/>
          <w:sz w:val="24"/>
          <w:szCs w:val="24"/>
          <w:lang w:val="en-US"/>
        </w:rPr>
        <w:t>Humphreys</w:t>
      </w:r>
      <w:r w:rsidR="005902A5">
        <w:rPr>
          <w:rFonts w:asciiTheme="minorHAnsi" w:hAnsiTheme="minorHAnsi" w:cstheme="minorHAnsi"/>
          <w:sz w:val="24"/>
          <w:szCs w:val="24"/>
        </w:rPr>
        <w:t>, και</w:t>
      </w:r>
      <w:r w:rsidR="00AC5B2C" w:rsidRPr="00AC5B2C">
        <w:rPr>
          <w:rFonts w:asciiTheme="minorHAnsi" w:hAnsiTheme="minorHAnsi" w:cstheme="minorHAnsi"/>
          <w:sz w:val="24"/>
          <w:szCs w:val="24"/>
        </w:rPr>
        <w:t xml:space="preserve"> </w:t>
      </w:r>
      <w:r w:rsidR="00AC5B2C" w:rsidRPr="00AC5B2C">
        <w:rPr>
          <w:rFonts w:asciiTheme="minorHAnsi" w:hAnsiTheme="minorHAnsi" w:cstheme="minorHAnsi"/>
          <w:sz w:val="24"/>
          <w:szCs w:val="24"/>
          <w:lang w:val="en-US"/>
        </w:rPr>
        <w:t>Block</w:t>
      </w:r>
      <w:r w:rsidRPr="00AC5B2C">
        <w:rPr>
          <w:rFonts w:cs="BookAntiqua"/>
          <w:sz w:val="24"/>
          <w:szCs w:val="24"/>
        </w:rPr>
        <w:t xml:space="preserve"> </w:t>
      </w:r>
      <w:r w:rsidRPr="005A464E">
        <w:rPr>
          <w:rFonts w:cs="BookAntiqua"/>
          <w:sz w:val="24"/>
          <w:szCs w:val="24"/>
        </w:rPr>
        <w:t>(2004) εξέτασαν τη χρησ</w:t>
      </w:r>
      <w:r w:rsidR="004F739F">
        <w:rPr>
          <w:rFonts w:cs="BookAntiqua"/>
          <w:sz w:val="24"/>
          <w:szCs w:val="24"/>
        </w:rPr>
        <w:t xml:space="preserve">ιμότητα των 10 δεικτών του MICS: </w:t>
      </w:r>
      <w:r w:rsidRPr="005A464E">
        <w:rPr>
          <w:rFonts w:cs="BookAntiqua"/>
          <w:sz w:val="24"/>
          <w:szCs w:val="24"/>
        </w:rPr>
        <w:t>προγνωστικοί παράγοντες της θνησιμό</w:t>
      </w:r>
      <w:r w:rsidR="004F739F">
        <w:rPr>
          <w:rFonts w:cs="BookAntiqua"/>
          <w:sz w:val="24"/>
          <w:szCs w:val="24"/>
        </w:rPr>
        <w:t>τητας και νοσηλείας, το σκορ</w:t>
      </w:r>
      <w:r w:rsidRPr="005A464E">
        <w:rPr>
          <w:rFonts w:cs="BookAntiqua"/>
          <w:sz w:val="24"/>
          <w:szCs w:val="24"/>
        </w:rPr>
        <w:t xml:space="preserve"> υποσιτισμού-φλεγμονής, μια υποκειμενική σφ</w:t>
      </w:r>
      <w:r w:rsidR="004F739F">
        <w:rPr>
          <w:rFonts w:cs="BookAntiqua"/>
          <w:sz w:val="24"/>
          <w:szCs w:val="24"/>
        </w:rPr>
        <w:t>αιρική βαθμολογία αξιολόγησης,</w:t>
      </w:r>
      <w:r w:rsidRPr="005A464E">
        <w:rPr>
          <w:rFonts w:cs="BookAntiqua"/>
          <w:sz w:val="24"/>
          <w:szCs w:val="24"/>
        </w:rPr>
        <w:t xml:space="preserve"> τα επίπεδα της C-αντιδρώσας πρωτεΐνης, ιντερλευκίνης-6, λευκωματίνη</w:t>
      </w:r>
      <w:r w:rsidR="00993E6B" w:rsidRPr="005A464E">
        <w:rPr>
          <w:rFonts w:cs="BookAntiqua"/>
          <w:sz w:val="24"/>
          <w:szCs w:val="24"/>
        </w:rPr>
        <w:t>ς</w:t>
      </w:r>
      <w:r w:rsidRPr="005A464E">
        <w:rPr>
          <w:rFonts w:cs="BookAntiqua"/>
          <w:sz w:val="24"/>
          <w:szCs w:val="24"/>
        </w:rPr>
        <w:t>, προ-αλβουμίνη</w:t>
      </w:r>
      <w:r w:rsidR="00993E6B" w:rsidRPr="005A464E">
        <w:rPr>
          <w:rFonts w:cs="BookAntiqua"/>
          <w:sz w:val="24"/>
          <w:szCs w:val="24"/>
        </w:rPr>
        <w:t>ς</w:t>
      </w:r>
      <w:r w:rsidRPr="005A464E">
        <w:rPr>
          <w:rFonts w:cs="BookAntiqua"/>
          <w:sz w:val="24"/>
          <w:szCs w:val="24"/>
        </w:rPr>
        <w:t>, συνολική</w:t>
      </w:r>
      <w:r w:rsidR="00993E6B" w:rsidRPr="005A464E">
        <w:rPr>
          <w:rFonts w:cs="BookAntiqua"/>
          <w:sz w:val="24"/>
          <w:szCs w:val="24"/>
        </w:rPr>
        <w:t>ς</w:t>
      </w:r>
      <w:r w:rsidRPr="005A464E">
        <w:rPr>
          <w:rFonts w:cs="BookAntiqua"/>
          <w:sz w:val="24"/>
          <w:szCs w:val="24"/>
        </w:rPr>
        <w:t xml:space="preserve"> ικανότητα</w:t>
      </w:r>
      <w:r w:rsidR="00993E6B" w:rsidRPr="005A464E">
        <w:rPr>
          <w:rFonts w:cs="BookAntiqua"/>
          <w:sz w:val="24"/>
          <w:szCs w:val="24"/>
        </w:rPr>
        <w:t>ς</w:t>
      </w:r>
      <w:r w:rsidRPr="005A464E">
        <w:rPr>
          <w:rFonts w:cs="BookAntiqua"/>
          <w:sz w:val="24"/>
          <w:szCs w:val="24"/>
        </w:rPr>
        <w:t xml:space="preserve"> δέσμευσης σιδήρου, κρεατινίνη</w:t>
      </w:r>
      <w:r w:rsidR="00993E6B" w:rsidRPr="005A464E">
        <w:rPr>
          <w:rFonts w:cs="BookAntiqua"/>
          <w:sz w:val="24"/>
          <w:szCs w:val="24"/>
        </w:rPr>
        <w:t>ς</w:t>
      </w:r>
      <w:r w:rsidRPr="005A464E">
        <w:rPr>
          <w:rFonts w:cs="BookAntiqua"/>
          <w:sz w:val="24"/>
          <w:szCs w:val="24"/>
        </w:rPr>
        <w:t>, ολική</w:t>
      </w:r>
      <w:r w:rsidR="00993E6B" w:rsidRPr="005A464E">
        <w:rPr>
          <w:rFonts w:cs="BookAntiqua"/>
          <w:sz w:val="24"/>
          <w:szCs w:val="24"/>
        </w:rPr>
        <w:t>ς</w:t>
      </w:r>
      <w:r w:rsidRPr="005A464E">
        <w:rPr>
          <w:rFonts w:cs="BookAntiqua"/>
          <w:sz w:val="24"/>
          <w:szCs w:val="24"/>
        </w:rPr>
        <w:t xml:space="preserve"> χοληστερόλη</w:t>
      </w:r>
      <w:r w:rsidR="00993E6B" w:rsidRPr="005A464E">
        <w:rPr>
          <w:rFonts w:cs="BookAntiqua"/>
          <w:sz w:val="24"/>
          <w:szCs w:val="24"/>
        </w:rPr>
        <w:t>ς</w:t>
      </w:r>
      <w:r w:rsidRPr="005A464E">
        <w:rPr>
          <w:rFonts w:cs="BookAntiqua"/>
          <w:sz w:val="24"/>
          <w:szCs w:val="24"/>
        </w:rPr>
        <w:t>.</w:t>
      </w:r>
      <w:r w:rsidR="00993E6B" w:rsidRPr="005A464E">
        <w:rPr>
          <w:rFonts w:cs="BookAntiqua"/>
          <w:sz w:val="24"/>
          <w:szCs w:val="24"/>
        </w:rPr>
        <w:t xml:space="preserve"> </w:t>
      </w:r>
      <w:r w:rsidRPr="005A464E">
        <w:rPr>
          <w:rFonts w:cs="BookAntiqua"/>
          <w:sz w:val="24"/>
          <w:szCs w:val="24"/>
        </w:rPr>
        <w:t xml:space="preserve">Η </w:t>
      </w:r>
      <w:r w:rsidRPr="00A4175B">
        <w:rPr>
          <w:rFonts w:cs="BookAntiqua"/>
          <w:sz w:val="24"/>
          <w:szCs w:val="24"/>
        </w:rPr>
        <w:t xml:space="preserve">μελέτη </w:t>
      </w:r>
      <w:r w:rsidR="006001CB" w:rsidRPr="00A4175B">
        <w:rPr>
          <w:rFonts w:cs="BookAntiqua"/>
          <w:sz w:val="24"/>
          <w:szCs w:val="24"/>
        </w:rPr>
        <w:t>αυτή που διεξήχθη μεταξύ 378 ασθενών</w:t>
      </w:r>
      <w:r w:rsidRPr="00A4175B">
        <w:rPr>
          <w:rFonts w:cs="BookAntiqua"/>
          <w:sz w:val="24"/>
          <w:szCs w:val="24"/>
        </w:rPr>
        <w:t xml:space="preserve"> υ</w:t>
      </w:r>
      <w:r w:rsidR="005902A5" w:rsidRPr="00A4175B">
        <w:rPr>
          <w:rFonts w:cs="BookAntiqua"/>
          <w:sz w:val="24"/>
          <w:szCs w:val="24"/>
        </w:rPr>
        <w:t>πό αιμοκάθαρση στο Λος Άντζελες</w:t>
      </w:r>
      <w:r w:rsidRPr="00A4175B">
        <w:rPr>
          <w:rFonts w:cs="BookAntiqua"/>
          <w:sz w:val="24"/>
          <w:szCs w:val="24"/>
        </w:rPr>
        <w:t xml:space="preserve"> έδειξε ότι η C-αντιδρώσα πρωτεΐνη, το σκορ του υποσιτισμού-φλεγμονής και του δείκτη συννοσηρότητας Charlson ήταν οι μόνοι προγνωστικοί δείκτες θνησιμότητας και νοσηλείας.</w:t>
      </w:r>
      <w:r w:rsidR="00DE0C9E" w:rsidRPr="00A4175B">
        <w:rPr>
          <w:rFonts w:cs="BookAntiqua"/>
          <w:sz w:val="24"/>
          <w:szCs w:val="24"/>
        </w:rPr>
        <w:t xml:space="preserve"> Σε αντίθεση, άλλες μελέτες έδειξ</w:t>
      </w:r>
      <w:r w:rsidRPr="00A4175B">
        <w:rPr>
          <w:rFonts w:cs="BookAntiqua"/>
          <w:sz w:val="24"/>
          <w:szCs w:val="24"/>
        </w:rPr>
        <w:t>αν ότι ο έλεγχος της αναιμίας και</w:t>
      </w:r>
      <w:r w:rsidR="004F739F" w:rsidRPr="00A4175B">
        <w:rPr>
          <w:rFonts w:cs="BookAntiqua"/>
          <w:sz w:val="24"/>
          <w:szCs w:val="24"/>
        </w:rPr>
        <w:t xml:space="preserve"> τα</w:t>
      </w:r>
      <w:r w:rsidRPr="00A4175B">
        <w:rPr>
          <w:rFonts w:cs="BookAntiqua"/>
          <w:sz w:val="24"/>
          <w:szCs w:val="24"/>
        </w:rPr>
        <w:t xml:space="preserve"> φυσιολογικά επίπεδα λευκωματ</w:t>
      </w:r>
      <w:r w:rsidR="00DE0C9E" w:rsidRPr="00A4175B">
        <w:rPr>
          <w:rFonts w:cs="BookAntiqua"/>
          <w:sz w:val="24"/>
          <w:szCs w:val="24"/>
        </w:rPr>
        <w:t>ίνης συσχετίστηκαν με βελτιωμένο</w:t>
      </w:r>
      <w:r w:rsidRPr="00A4175B">
        <w:rPr>
          <w:rFonts w:cs="BookAntiqua"/>
          <w:sz w:val="24"/>
          <w:szCs w:val="24"/>
        </w:rPr>
        <w:t xml:space="preserve"> </w:t>
      </w:r>
      <w:r w:rsidR="00DE0C9E" w:rsidRPr="00A4175B">
        <w:rPr>
          <w:rFonts w:cs="BookAntiqua"/>
          <w:sz w:val="24"/>
          <w:szCs w:val="24"/>
        </w:rPr>
        <w:t>προσδόκιμο ζωής</w:t>
      </w:r>
      <w:r w:rsidR="00DE0C9E">
        <w:rPr>
          <w:rFonts w:cs="BookAntiqua"/>
          <w:sz w:val="24"/>
          <w:szCs w:val="24"/>
        </w:rPr>
        <w:t xml:space="preserve"> κ</w:t>
      </w:r>
      <w:r w:rsidRPr="005A464E">
        <w:rPr>
          <w:rFonts w:cs="BookAntiqua"/>
          <w:sz w:val="24"/>
          <w:szCs w:val="24"/>
        </w:rPr>
        <w:t>αι ΠΖ</w:t>
      </w:r>
      <w:r w:rsidR="008A7CE9" w:rsidRPr="005A464E">
        <w:rPr>
          <w:rFonts w:cs="BookAntiqua"/>
          <w:sz w:val="24"/>
          <w:szCs w:val="24"/>
        </w:rPr>
        <w:t xml:space="preserve"> (Lopes </w:t>
      </w:r>
      <w:r w:rsidR="00566CAA">
        <w:rPr>
          <w:rFonts w:cs="BookAntiqua"/>
          <w:sz w:val="24"/>
          <w:szCs w:val="24"/>
        </w:rPr>
        <w:t>et al</w:t>
      </w:r>
      <w:r w:rsidR="002F68C8" w:rsidRPr="002F68C8">
        <w:rPr>
          <w:rFonts w:cs="BookAntiqua"/>
          <w:sz w:val="24"/>
          <w:szCs w:val="24"/>
        </w:rPr>
        <w:t>.</w:t>
      </w:r>
      <w:r w:rsidR="0085076B">
        <w:rPr>
          <w:rFonts w:cs="BookAntiqua"/>
          <w:sz w:val="24"/>
          <w:szCs w:val="24"/>
        </w:rPr>
        <w:t>,</w:t>
      </w:r>
      <w:r w:rsidR="008A7CE9" w:rsidRPr="005A464E">
        <w:rPr>
          <w:rFonts w:cs="BookAntiqua"/>
          <w:sz w:val="24"/>
          <w:szCs w:val="24"/>
        </w:rPr>
        <w:t xml:space="preserve"> 2007;</w:t>
      </w:r>
      <w:r w:rsidR="001F406D" w:rsidRPr="005A464E">
        <w:rPr>
          <w:rFonts w:cs="BookAntiqua"/>
          <w:sz w:val="24"/>
          <w:szCs w:val="24"/>
        </w:rPr>
        <w:t xml:space="preserve"> Sanaka</w:t>
      </w:r>
      <w:r w:rsidR="003E723E">
        <w:rPr>
          <w:rFonts w:cs="BookAntiqua"/>
          <w:sz w:val="24"/>
          <w:szCs w:val="24"/>
        </w:rPr>
        <w:t>,</w:t>
      </w:r>
      <w:r w:rsidRPr="005A464E">
        <w:rPr>
          <w:rFonts w:cs="BookAntiqua"/>
          <w:sz w:val="24"/>
          <w:szCs w:val="24"/>
        </w:rPr>
        <w:t xml:space="preserve"> 2003).</w:t>
      </w:r>
    </w:p>
    <w:p w:rsidR="001A7535" w:rsidRPr="00891A77" w:rsidRDefault="008E721D" w:rsidP="00891A77">
      <w:pPr>
        <w:pStyle w:val="a5"/>
        <w:numPr>
          <w:ilvl w:val="0"/>
          <w:numId w:val="121"/>
        </w:numPr>
        <w:spacing w:line="360" w:lineRule="auto"/>
        <w:jc w:val="both"/>
        <w:rPr>
          <w:i/>
          <w:sz w:val="24"/>
          <w:szCs w:val="24"/>
        </w:rPr>
      </w:pPr>
      <w:r w:rsidRPr="00891A77">
        <w:rPr>
          <w:i/>
          <w:sz w:val="24"/>
          <w:szCs w:val="24"/>
        </w:rPr>
        <w:t>Κατάθλιψη</w:t>
      </w:r>
    </w:p>
    <w:p w:rsidR="008E721D" w:rsidRPr="00A4175B" w:rsidRDefault="00DF16A7" w:rsidP="005A464E">
      <w:pPr>
        <w:spacing w:line="360" w:lineRule="auto"/>
        <w:jc w:val="both"/>
        <w:rPr>
          <w:sz w:val="24"/>
          <w:szCs w:val="24"/>
        </w:rPr>
      </w:pPr>
      <w:r>
        <w:rPr>
          <w:sz w:val="24"/>
          <w:szCs w:val="24"/>
        </w:rPr>
        <w:t xml:space="preserve"> Ο υψηλός επιπολασμός</w:t>
      </w:r>
      <w:r w:rsidR="008E721D" w:rsidRPr="005A464E">
        <w:rPr>
          <w:sz w:val="24"/>
          <w:szCs w:val="24"/>
        </w:rPr>
        <w:t xml:space="preserve"> </w:t>
      </w:r>
      <w:r>
        <w:rPr>
          <w:sz w:val="24"/>
          <w:szCs w:val="24"/>
        </w:rPr>
        <w:t>(περίπου 30%)</w:t>
      </w:r>
      <w:r w:rsidR="008E721D" w:rsidRPr="005A464E">
        <w:rPr>
          <w:sz w:val="24"/>
          <w:szCs w:val="24"/>
        </w:rPr>
        <w:t xml:space="preserve"> και ο ρόλος της κατάθλιψης επηρεάζουν την ΠΖ</w:t>
      </w:r>
      <w:r w:rsidR="0078495A">
        <w:rPr>
          <w:sz w:val="24"/>
          <w:szCs w:val="24"/>
        </w:rPr>
        <w:t xml:space="preserve"> </w:t>
      </w:r>
      <w:r w:rsidR="008E721D" w:rsidRPr="005A464E">
        <w:rPr>
          <w:sz w:val="24"/>
          <w:szCs w:val="24"/>
        </w:rPr>
        <w:t>μεταξύ τω</w:t>
      </w:r>
      <w:r w:rsidR="00727CB0" w:rsidRPr="005A464E">
        <w:rPr>
          <w:sz w:val="24"/>
          <w:szCs w:val="24"/>
        </w:rPr>
        <w:t>ν</w:t>
      </w:r>
      <w:r w:rsidR="0078495A">
        <w:rPr>
          <w:sz w:val="24"/>
          <w:szCs w:val="24"/>
        </w:rPr>
        <w:t xml:space="preserve"> </w:t>
      </w:r>
      <w:r w:rsidR="00727CB0" w:rsidRPr="005A464E">
        <w:rPr>
          <w:sz w:val="24"/>
          <w:szCs w:val="24"/>
        </w:rPr>
        <w:t xml:space="preserve">ασθενών υπό </w:t>
      </w:r>
      <w:r w:rsidR="00DE0C9E">
        <w:rPr>
          <w:sz w:val="24"/>
          <w:szCs w:val="24"/>
        </w:rPr>
        <w:t>αιμοκάθαρση</w:t>
      </w:r>
      <w:r w:rsidR="00DE0C9E" w:rsidRPr="005A464E">
        <w:rPr>
          <w:sz w:val="24"/>
          <w:szCs w:val="24"/>
        </w:rPr>
        <w:t xml:space="preserve"> </w:t>
      </w:r>
      <w:r w:rsidR="00727CB0" w:rsidRPr="005A464E">
        <w:rPr>
          <w:sz w:val="24"/>
          <w:szCs w:val="24"/>
        </w:rPr>
        <w:t xml:space="preserve">(Cukor </w:t>
      </w:r>
      <w:r w:rsidR="00566CAA">
        <w:rPr>
          <w:sz w:val="24"/>
          <w:szCs w:val="24"/>
        </w:rPr>
        <w:t>et al</w:t>
      </w:r>
      <w:r w:rsidR="000143B4">
        <w:rPr>
          <w:sz w:val="24"/>
          <w:szCs w:val="24"/>
        </w:rPr>
        <w:t>.</w:t>
      </w:r>
      <w:r w:rsidR="00C81D8C" w:rsidRPr="00C81D8C">
        <w:rPr>
          <w:sz w:val="24"/>
          <w:szCs w:val="24"/>
        </w:rPr>
        <w:t>,</w:t>
      </w:r>
      <w:r w:rsidR="000143B4">
        <w:rPr>
          <w:sz w:val="24"/>
          <w:szCs w:val="24"/>
        </w:rPr>
        <w:t xml:space="preserve"> 2009</w:t>
      </w:r>
      <w:r w:rsidR="008E721D" w:rsidRPr="005A464E">
        <w:rPr>
          <w:sz w:val="24"/>
          <w:szCs w:val="24"/>
        </w:rPr>
        <w:t>). Η ψυχοθεραπεία μπορεί να ενδείκνυται</w:t>
      </w:r>
      <w:r w:rsidR="0078495A">
        <w:rPr>
          <w:sz w:val="24"/>
          <w:szCs w:val="24"/>
        </w:rPr>
        <w:t xml:space="preserve"> </w:t>
      </w:r>
      <w:r w:rsidR="00727CB0" w:rsidRPr="005A464E">
        <w:rPr>
          <w:sz w:val="24"/>
          <w:szCs w:val="24"/>
        </w:rPr>
        <w:t xml:space="preserve">(Blumenfield </w:t>
      </w:r>
      <w:r w:rsidR="00566CAA">
        <w:rPr>
          <w:sz w:val="24"/>
          <w:szCs w:val="24"/>
        </w:rPr>
        <w:t>et al</w:t>
      </w:r>
      <w:r w:rsidR="003E723E">
        <w:rPr>
          <w:sz w:val="24"/>
          <w:szCs w:val="24"/>
        </w:rPr>
        <w:t>.</w:t>
      </w:r>
      <w:r w:rsidR="0085076B">
        <w:rPr>
          <w:sz w:val="24"/>
          <w:szCs w:val="24"/>
        </w:rPr>
        <w:t>,</w:t>
      </w:r>
      <w:r w:rsidR="008E721D" w:rsidRPr="005A464E">
        <w:rPr>
          <w:sz w:val="24"/>
          <w:szCs w:val="24"/>
        </w:rPr>
        <w:t xml:space="preserve"> 1</w:t>
      </w:r>
      <w:r w:rsidR="003E723E">
        <w:rPr>
          <w:sz w:val="24"/>
          <w:szCs w:val="24"/>
        </w:rPr>
        <w:t xml:space="preserve">997; Kimmel, </w:t>
      </w:r>
      <w:r w:rsidR="008E721D" w:rsidRPr="005A464E">
        <w:rPr>
          <w:sz w:val="24"/>
          <w:szCs w:val="24"/>
        </w:rPr>
        <w:t>2006) αλλά είναι δύσκολο να εφαρμοσθούν με επιτυχία μέθοδοι για τη θεραπεία της κατάθλ</w:t>
      </w:r>
      <w:r w:rsidR="0085076B">
        <w:rPr>
          <w:sz w:val="24"/>
          <w:szCs w:val="24"/>
        </w:rPr>
        <w:t>ιψης</w:t>
      </w:r>
      <w:r w:rsidR="003E723E">
        <w:rPr>
          <w:sz w:val="24"/>
          <w:szCs w:val="24"/>
        </w:rPr>
        <w:t xml:space="preserve"> στην πράξη (Wuerth,</w:t>
      </w:r>
      <w:r w:rsidR="003E723E" w:rsidRPr="003E723E">
        <w:rPr>
          <w:rFonts w:asciiTheme="minorHAnsi" w:hAnsiTheme="minorHAnsi" w:cstheme="minorHAnsi"/>
        </w:rPr>
        <w:t xml:space="preserve"> </w:t>
      </w:r>
      <w:r w:rsidR="003E723E" w:rsidRPr="003E723E">
        <w:rPr>
          <w:rFonts w:asciiTheme="minorHAnsi" w:hAnsiTheme="minorHAnsi" w:cstheme="minorHAnsi"/>
          <w:sz w:val="24"/>
          <w:szCs w:val="24"/>
          <w:lang w:val="en-US"/>
        </w:rPr>
        <w:t>Finkelstein</w:t>
      </w:r>
      <w:r w:rsidR="00D31BD9">
        <w:rPr>
          <w:rFonts w:asciiTheme="minorHAnsi" w:hAnsiTheme="minorHAnsi" w:cstheme="minorHAnsi"/>
          <w:sz w:val="24"/>
          <w:szCs w:val="24"/>
        </w:rPr>
        <w:t>,</w:t>
      </w:r>
      <w:r w:rsidR="003E723E" w:rsidRPr="003E723E">
        <w:rPr>
          <w:rFonts w:asciiTheme="minorHAnsi" w:hAnsiTheme="minorHAnsi" w:cstheme="minorHAnsi"/>
          <w:sz w:val="24"/>
          <w:szCs w:val="24"/>
        </w:rPr>
        <w:t xml:space="preserve"> &amp; </w:t>
      </w:r>
      <w:r w:rsidR="003E723E" w:rsidRPr="003E723E">
        <w:rPr>
          <w:rFonts w:asciiTheme="minorHAnsi" w:hAnsiTheme="minorHAnsi" w:cstheme="minorHAnsi"/>
          <w:sz w:val="24"/>
          <w:szCs w:val="24"/>
          <w:lang w:val="en-US"/>
        </w:rPr>
        <w:t>Finkelstein</w:t>
      </w:r>
      <w:r w:rsidR="00D31BD9">
        <w:rPr>
          <w:rFonts w:asciiTheme="minorHAnsi" w:hAnsiTheme="minorHAnsi" w:cstheme="minorHAnsi"/>
          <w:sz w:val="24"/>
          <w:szCs w:val="24"/>
        </w:rPr>
        <w:t>,</w:t>
      </w:r>
      <w:r w:rsidR="000848D6">
        <w:rPr>
          <w:rFonts w:asciiTheme="minorHAnsi" w:hAnsiTheme="minorHAnsi" w:cstheme="minorHAnsi"/>
        </w:rPr>
        <w:t xml:space="preserve"> </w:t>
      </w:r>
      <w:r w:rsidR="00DE0C9E">
        <w:rPr>
          <w:sz w:val="24"/>
          <w:szCs w:val="24"/>
        </w:rPr>
        <w:t>2003)</w:t>
      </w:r>
      <w:r w:rsidR="004F739F">
        <w:rPr>
          <w:sz w:val="24"/>
          <w:szCs w:val="24"/>
        </w:rPr>
        <w:t>. Τα καταθλιπτικά συναισθήματα σ</w:t>
      </w:r>
      <w:r w:rsidR="008E721D" w:rsidRPr="005A464E">
        <w:rPr>
          <w:sz w:val="24"/>
          <w:szCs w:val="24"/>
        </w:rPr>
        <w:t>υνδέονται με χαμηλή ποιότητα ζωής και είναι</w:t>
      </w:r>
      <w:r w:rsidR="00993E6B" w:rsidRPr="005A464E">
        <w:rPr>
          <w:sz w:val="24"/>
          <w:szCs w:val="24"/>
        </w:rPr>
        <w:t xml:space="preserve"> </w:t>
      </w:r>
      <w:r w:rsidR="008E721D" w:rsidRPr="005A464E">
        <w:rPr>
          <w:sz w:val="24"/>
          <w:szCs w:val="24"/>
        </w:rPr>
        <w:t>προγνωστικοί παράγοντες θ</w:t>
      </w:r>
      <w:r>
        <w:rPr>
          <w:sz w:val="24"/>
          <w:szCs w:val="24"/>
        </w:rPr>
        <w:t xml:space="preserve">ανάτου από οποιαδήποτε αιτία </w:t>
      </w:r>
      <w:r w:rsidRPr="00A4175B">
        <w:rPr>
          <w:sz w:val="24"/>
          <w:szCs w:val="24"/>
        </w:rPr>
        <w:t>αλλά</w:t>
      </w:r>
      <w:r w:rsidR="00305BD4" w:rsidRPr="00A4175B">
        <w:rPr>
          <w:sz w:val="24"/>
          <w:szCs w:val="24"/>
        </w:rPr>
        <w:t xml:space="preserve"> και διακοπής της θεραπείας της</w:t>
      </w:r>
      <w:r w:rsidR="008E721D" w:rsidRPr="00A4175B">
        <w:rPr>
          <w:sz w:val="24"/>
          <w:szCs w:val="24"/>
        </w:rPr>
        <w:t xml:space="preserve"> </w:t>
      </w:r>
      <w:r w:rsidR="00936255" w:rsidRPr="00A4175B">
        <w:rPr>
          <w:sz w:val="24"/>
          <w:szCs w:val="24"/>
        </w:rPr>
        <w:t>αιμοκάθαρση</w:t>
      </w:r>
      <w:r w:rsidR="00305BD4" w:rsidRPr="00A4175B">
        <w:rPr>
          <w:sz w:val="24"/>
          <w:szCs w:val="24"/>
        </w:rPr>
        <w:t>ς</w:t>
      </w:r>
      <w:r w:rsidR="00936255" w:rsidRPr="00A4175B">
        <w:rPr>
          <w:sz w:val="24"/>
          <w:szCs w:val="24"/>
        </w:rPr>
        <w:t xml:space="preserve"> (Lopes </w:t>
      </w:r>
      <w:r w:rsidR="00566CAA" w:rsidRPr="00A4175B">
        <w:rPr>
          <w:sz w:val="24"/>
          <w:szCs w:val="24"/>
        </w:rPr>
        <w:t>et al</w:t>
      </w:r>
      <w:r w:rsidR="002F68C8" w:rsidRPr="00A4175B">
        <w:rPr>
          <w:sz w:val="24"/>
          <w:szCs w:val="24"/>
        </w:rPr>
        <w:t>.</w:t>
      </w:r>
      <w:r w:rsidR="0085076B" w:rsidRPr="00A4175B">
        <w:rPr>
          <w:sz w:val="24"/>
          <w:szCs w:val="24"/>
        </w:rPr>
        <w:t>,</w:t>
      </w:r>
      <w:r w:rsidR="00936255" w:rsidRPr="00A4175B">
        <w:rPr>
          <w:sz w:val="24"/>
          <w:szCs w:val="24"/>
        </w:rPr>
        <w:t xml:space="preserve"> 2004;</w:t>
      </w:r>
      <w:r w:rsidR="00993E6B" w:rsidRPr="00A4175B">
        <w:rPr>
          <w:sz w:val="24"/>
          <w:szCs w:val="24"/>
        </w:rPr>
        <w:t xml:space="preserve"> </w:t>
      </w:r>
      <w:r w:rsidR="008E721D" w:rsidRPr="00A4175B">
        <w:rPr>
          <w:sz w:val="24"/>
          <w:szCs w:val="24"/>
        </w:rPr>
        <w:t>Ber</w:t>
      </w:r>
      <w:r w:rsidR="00936255" w:rsidRPr="00A4175B">
        <w:rPr>
          <w:sz w:val="24"/>
          <w:szCs w:val="24"/>
        </w:rPr>
        <w:t xml:space="preserve">lim </w:t>
      </w:r>
      <w:r w:rsidR="00566CAA" w:rsidRPr="00A4175B">
        <w:rPr>
          <w:sz w:val="24"/>
          <w:szCs w:val="24"/>
        </w:rPr>
        <w:t>et al</w:t>
      </w:r>
      <w:r w:rsidR="003E723E" w:rsidRPr="00A4175B">
        <w:rPr>
          <w:sz w:val="24"/>
          <w:szCs w:val="24"/>
        </w:rPr>
        <w:t>.</w:t>
      </w:r>
      <w:r w:rsidR="0085076B" w:rsidRPr="00A4175B">
        <w:rPr>
          <w:sz w:val="24"/>
          <w:szCs w:val="24"/>
        </w:rPr>
        <w:t>,</w:t>
      </w:r>
      <w:r w:rsidR="00936255" w:rsidRPr="00A4175B">
        <w:rPr>
          <w:sz w:val="24"/>
          <w:szCs w:val="24"/>
        </w:rPr>
        <w:t xml:space="preserve">2006; Drayer </w:t>
      </w:r>
      <w:r w:rsidR="00566CAA" w:rsidRPr="00A4175B">
        <w:rPr>
          <w:sz w:val="24"/>
          <w:szCs w:val="24"/>
        </w:rPr>
        <w:t>et al</w:t>
      </w:r>
      <w:r w:rsidR="00CE76BE" w:rsidRPr="00A4175B">
        <w:rPr>
          <w:sz w:val="24"/>
          <w:szCs w:val="24"/>
        </w:rPr>
        <w:t>.</w:t>
      </w:r>
      <w:r w:rsidR="0085076B" w:rsidRPr="00A4175B">
        <w:rPr>
          <w:sz w:val="24"/>
          <w:szCs w:val="24"/>
        </w:rPr>
        <w:t>,</w:t>
      </w:r>
      <w:r w:rsidR="008E721D" w:rsidRPr="00A4175B">
        <w:rPr>
          <w:sz w:val="24"/>
          <w:szCs w:val="24"/>
        </w:rPr>
        <w:t xml:space="preserve"> 2006). </w:t>
      </w:r>
    </w:p>
    <w:p w:rsidR="00F7023E" w:rsidRPr="00A4175B" w:rsidRDefault="008E721D" w:rsidP="005A464E">
      <w:pPr>
        <w:spacing w:line="360" w:lineRule="auto"/>
        <w:jc w:val="both"/>
        <w:rPr>
          <w:sz w:val="24"/>
          <w:szCs w:val="24"/>
        </w:rPr>
      </w:pPr>
      <w:r w:rsidRPr="00A4175B">
        <w:rPr>
          <w:sz w:val="24"/>
          <w:szCs w:val="24"/>
        </w:rPr>
        <w:t>Η αυτοαντίληψη,</w:t>
      </w:r>
      <w:r w:rsidR="0078495A" w:rsidRPr="00A4175B">
        <w:rPr>
          <w:sz w:val="24"/>
          <w:szCs w:val="24"/>
        </w:rPr>
        <w:t xml:space="preserve"> </w:t>
      </w:r>
      <w:r w:rsidR="00DE0C9E" w:rsidRPr="00A4175B">
        <w:rPr>
          <w:sz w:val="24"/>
          <w:szCs w:val="24"/>
        </w:rPr>
        <w:t>η αυτοαξιολόγηση και</w:t>
      </w:r>
      <w:r w:rsidRPr="00A4175B">
        <w:rPr>
          <w:sz w:val="24"/>
          <w:szCs w:val="24"/>
        </w:rPr>
        <w:t xml:space="preserve"> η αυτοεκτίμηση μπορεί να επηρεασθούν από την αίσθηση εξάρτησης από την αιμοκάθαρση κάτι που μπορεί να οδ</w:t>
      </w:r>
      <w:r w:rsidR="00DE0C9E" w:rsidRPr="00A4175B">
        <w:rPr>
          <w:sz w:val="24"/>
          <w:szCs w:val="24"/>
        </w:rPr>
        <w:t>ηγήσει σε διαταραχή των σχέσεων. Σε άλλες περιπτώσεις οι ασθενείς ίσως αναφέρουν</w:t>
      </w:r>
      <w:r w:rsidR="00993E6B" w:rsidRPr="00A4175B">
        <w:rPr>
          <w:sz w:val="24"/>
          <w:szCs w:val="24"/>
        </w:rPr>
        <w:t xml:space="preserve"> έλλειψη στήριξης</w:t>
      </w:r>
      <w:r w:rsidRPr="00A4175B">
        <w:rPr>
          <w:sz w:val="24"/>
          <w:szCs w:val="24"/>
        </w:rPr>
        <w:t xml:space="preserve"> και καταν</w:t>
      </w:r>
      <w:r w:rsidR="00993E6B" w:rsidRPr="00A4175B">
        <w:rPr>
          <w:sz w:val="24"/>
          <w:szCs w:val="24"/>
        </w:rPr>
        <w:t xml:space="preserve">όησης από τους φροντιστές </w:t>
      </w:r>
      <w:r w:rsidR="000D074F" w:rsidRPr="00A4175B">
        <w:rPr>
          <w:sz w:val="24"/>
          <w:szCs w:val="24"/>
        </w:rPr>
        <w:t>τους</w:t>
      </w:r>
      <w:r w:rsidRPr="00A4175B">
        <w:rPr>
          <w:sz w:val="24"/>
          <w:szCs w:val="24"/>
        </w:rPr>
        <w:t xml:space="preserve">, ακόμα και από τους </w:t>
      </w:r>
      <w:r w:rsidR="006001CB" w:rsidRPr="00A4175B">
        <w:rPr>
          <w:sz w:val="24"/>
          <w:szCs w:val="24"/>
        </w:rPr>
        <w:t>επαγγελματίες υγείας</w:t>
      </w:r>
      <w:r w:rsidRPr="00A4175B">
        <w:rPr>
          <w:sz w:val="24"/>
          <w:szCs w:val="24"/>
        </w:rPr>
        <w:t xml:space="preserve"> ή να</w:t>
      </w:r>
      <w:r w:rsidR="000D074F" w:rsidRPr="00A4175B">
        <w:rPr>
          <w:sz w:val="24"/>
          <w:szCs w:val="24"/>
        </w:rPr>
        <w:t xml:space="preserve"> </w:t>
      </w:r>
      <w:r w:rsidR="00305BD4" w:rsidRPr="00A4175B">
        <w:rPr>
          <w:sz w:val="24"/>
          <w:szCs w:val="24"/>
        </w:rPr>
        <w:t>διακόψουν τη θεραπεία με</w:t>
      </w:r>
      <w:r w:rsidR="000D074F" w:rsidRPr="00A4175B">
        <w:rPr>
          <w:sz w:val="24"/>
          <w:szCs w:val="24"/>
        </w:rPr>
        <w:t xml:space="preserve"> αιμοκάθαρση (</w:t>
      </w:r>
      <w:r w:rsidR="004450D6" w:rsidRPr="00A4175B">
        <w:rPr>
          <w:sz w:val="24"/>
          <w:szCs w:val="24"/>
          <w:lang w:val="en-US"/>
        </w:rPr>
        <w:t>Theofilou</w:t>
      </w:r>
      <w:r w:rsidR="000848D6" w:rsidRPr="00A4175B">
        <w:rPr>
          <w:sz w:val="24"/>
          <w:szCs w:val="24"/>
        </w:rPr>
        <w:t>,</w:t>
      </w:r>
      <w:r w:rsidR="00BE2ACF" w:rsidRPr="00A4175B">
        <w:rPr>
          <w:sz w:val="24"/>
          <w:szCs w:val="24"/>
        </w:rPr>
        <w:t xml:space="preserve"> 2012</w:t>
      </w:r>
      <w:r w:rsidR="0076403B" w:rsidRPr="00A4175B">
        <w:rPr>
          <w:sz w:val="24"/>
          <w:szCs w:val="24"/>
          <w:lang w:val="en-US"/>
        </w:rPr>
        <w:t>a</w:t>
      </w:r>
      <w:r w:rsidR="00BE2ACF" w:rsidRPr="00A4175B">
        <w:rPr>
          <w:sz w:val="24"/>
          <w:szCs w:val="24"/>
        </w:rPr>
        <w:t>;</w:t>
      </w:r>
      <w:r w:rsidR="004450D6" w:rsidRPr="00A4175B">
        <w:rPr>
          <w:sz w:val="24"/>
          <w:szCs w:val="24"/>
        </w:rPr>
        <w:t xml:space="preserve"> </w:t>
      </w:r>
      <w:r w:rsidR="004450D6" w:rsidRPr="00A4175B">
        <w:rPr>
          <w:sz w:val="24"/>
          <w:szCs w:val="24"/>
          <w:lang w:val="en-US"/>
        </w:rPr>
        <w:t>Jansen</w:t>
      </w:r>
      <w:r w:rsidR="00BE2ACF" w:rsidRPr="00A4175B">
        <w:rPr>
          <w:sz w:val="24"/>
          <w:szCs w:val="24"/>
        </w:rPr>
        <w:t xml:space="preserve"> </w:t>
      </w:r>
      <w:r w:rsidR="00566CAA" w:rsidRPr="00A4175B">
        <w:rPr>
          <w:sz w:val="24"/>
          <w:szCs w:val="24"/>
        </w:rPr>
        <w:t>et al</w:t>
      </w:r>
      <w:r w:rsidR="00210189" w:rsidRPr="00A4175B">
        <w:rPr>
          <w:sz w:val="24"/>
          <w:szCs w:val="24"/>
        </w:rPr>
        <w:t>.</w:t>
      </w:r>
      <w:r w:rsidR="0085076B" w:rsidRPr="00A4175B">
        <w:rPr>
          <w:sz w:val="24"/>
          <w:szCs w:val="24"/>
        </w:rPr>
        <w:t>,</w:t>
      </w:r>
      <w:r w:rsidR="004450D6" w:rsidRPr="00A4175B">
        <w:rPr>
          <w:sz w:val="24"/>
          <w:szCs w:val="24"/>
        </w:rPr>
        <w:t xml:space="preserve"> 2014).</w:t>
      </w:r>
    </w:p>
    <w:p w:rsidR="00F40BAF" w:rsidRPr="00F7023E" w:rsidRDefault="00305BD4" w:rsidP="005A464E">
      <w:pPr>
        <w:spacing w:line="360" w:lineRule="auto"/>
        <w:jc w:val="both"/>
        <w:rPr>
          <w:sz w:val="24"/>
          <w:szCs w:val="24"/>
        </w:rPr>
      </w:pPr>
      <w:r w:rsidRPr="00A4175B">
        <w:rPr>
          <w:sz w:val="24"/>
          <w:szCs w:val="24"/>
        </w:rPr>
        <w:t>Επιστημονικά δεδομέν</w:t>
      </w:r>
      <w:r w:rsidR="00DE0C9E" w:rsidRPr="00A4175B">
        <w:rPr>
          <w:sz w:val="24"/>
          <w:szCs w:val="24"/>
        </w:rPr>
        <w:t>α δείχνουν ότι ο τρόπος με τον οποίο</w:t>
      </w:r>
      <w:r w:rsidR="008E721D" w:rsidRPr="00A4175B">
        <w:rPr>
          <w:sz w:val="24"/>
          <w:szCs w:val="24"/>
        </w:rPr>
        <w:t xml:space="preserve"> οι</w:t>
      </w:r>
      <w:r w:rsidR="008E721D" w:rsidRPr="005A464E">
        <w:rPr>
          <w:sz w:val="24"/>
          <w:szCs w:val="24"/>
        </w:rPr>
        <w:t xml:space="preserve"> άνθρωποι αντιμετωπίζουν τις δύσκολες καταστάσεις είναι το κύριο μέτρο των επιπτώσεων του στρες στη ζωή τους. Αυτό εξηγεί γιατί στην κλινική πράξη υπάρχουν ασθενείς με πολλά μειονεκτήματα που εξακολουθούν να αντιλαμβάνονται τη ζωή τους πιο ευχάριστη, ενώ άλλοι με λιγότερα προβλήματα δεν το κάνουν. Επιπλέον, ο τρόπος αντιμετώπισης εί</w:t>
      </w:r>
      <w:r w:rsidR="00874F08" w:rsidRPr="005A464E">
        <w:rPr>
          <w:sz w:val="24"/>
          <w:szCs w:val="24"/>
        </w:rPr>
        <w:t xml:space="preserve">ναι </w:t>
      </w:r>
      <w:r w:rsidR="00817853">
        <w:rPr>
          <w:sz w:val="24"/>
          <w:szCs w:val="24"/>
        </w:rPr>
        <w:t>μια</w:t>
      </w:r>
      <w:r w:rsidR="00874F08" w:rsidRPr="005A464E">
        <w:rPr>
          <w:sz w:val="24"/>
          <w:szCs w:val="24"/>
        </w:rPr>
        <w:t xml:space="preserve"> τροποποιήσιμη μεταβλητή</w:t>
      </w:r>
      <w:r w:rsidR="008E721D" w:rsidRPr="005A464E">
        <w:rPr>
          <w:sz w:val="24"/>
          <w:szCs w:val="24"/>
        </w:rPr>
        <w:t xml:space="preserve"> η οποία μπορεί να αλλάξει μέσ</w:t>
      </w:r>
      <w:r w:rsidR="00DF16A7">
        <w:rPr>
          <w:sz w:val="24"/>
          <w:szCs w:val="24"/>
        </w:rPr>
        <w:t>ω εκπαιδευτικών προγραμμάτων.</w:t>
      </w:r>
    </w:p>
    <w:p w:rsidR="00E029B6" w:rsidRPr="005A464E" w:rsidRDefault="007A635C" w:rsidP="0066526D">
      <w:pPr>
        <w:pStyle w:val="25"/>
        <w:numPr>
          <w:ilvl w:val="1"/>
          <w:numId w:val="100"/>
        </w:numPr>
        <w:spacing w:after="240"/>
      </w:pPr>
      <w:r>
        <w:t xml:space="preserve"> </w:t>
      </w:r>
      <w:bookmarkStart w:id="61" w:name="_Toc495951457"/>
      <w:r w:rsidR="00E029B6" w:rsidRPr="005A464E">
        <w:t>Μέτρηση</w:t>
      </w:r>
      <w:r w:rsidR="00874F08" w:rsidRPr="005A464E">
        <w:t xml:space="preserve"> </w:t>
      </w:r>
      <w:r w:rsidR="00E029B6" w:rsidRPr="005A464E">
        <w:t>της</w:t>
      </w:r>
      <w:r w:rsidR="00874F08" w:rsidRPr="005A464E">
        <w:t xml:space="preserve"> </w:t>
      </w:r>
      <w:r w:rsidR="00E029B6" w:rsidRPr="005A464E">
        <w:t>ποιότητας</w:t>
      </w:r>
      <w:r w:rsidR="00874F08" w:rsidRPr="005A464E">
        <w:t xml:space="preserve"> </w:t>
      </w:r>
      <w:r w:rsidR="00E029B6" w:rsidRPr="005A464E">
        <w:t>ζωής</w:t>
      </w:r>
      <w:bookmarkEnd w:id="61"/>
    </w:p>
    <w:p w:rsidR="00F04DCA" w:rsidRPr="00197BA9" w:rsidRDefault="00F04DCA" w:rsidP="005A464E">
      <w:pPr>
        <w:spacing w:line="360" w:lineRule="auto"/>
        <w:jc w:val="both"/>
        <w:rPr>
          <w:sz w:val="24"/>
          <w:szCs w:val="24"/>
        </w:rPr>
      </w:pPr>
      <w:r w:rsidRPr="005A464E">
        <w:rPr>
          <w:sz w:val="24"/>
          <w:szCs w:val="24"/>
        </w:rPr>
        <w:t>Το ενδιαφέρον για την ποιότητα ζωής αυξήθηκε μετά τον Δεύτερο Παγκόσμιο Πόλεμο, στο πλαίσιο της γνώσης του τρόπου με τον οποίο οι οικιακές συσκευές επηρεάζουν τις ζωές των ανθρώπων. Ωστόσο, στον τομέα της υγείας, το ενδιαφέρον αυτό είναι πιο πρόσφατο. Μια ανασκόπηση των άρθρων της διεθνούς βιβλιογραφίας εντόπισε</w:t>
      </w:r>
      <w:r w:rsidR="00874F08" w:rsidRPr="005A464E">
        <w:rPr>
          <w:sz w:val="24"/>
          <w:szCs w:val="24"/>
        </w:rPr>
        <w:t xml:space="preserve"> </w:t>
      </w:r>
      <w:r w:rsidR="00817853">
        <w:rPr>
          <w:sz w:val="24"/>
          <w:szCs w:val="24"/>
        </w:rPr>
        <w:t>μια</w:t>
      </w:r>
      <w:r w:rsidRPr="005A464E">
        <w:rPr>
          <w:sz w:val="24"/>
          <w:szCs w:val="24"/>
        </w:rPr>
        <w:t xml:space="preserve"> αύξηση του αριθμού των άρθρων σχετικά με</w:t>
      </w:r>
      <w:r w:rsidR="00DE0C9E">
        <w:rPr>
          <w:sz w:val="24"/>
          <w:szCs w:val="24"/>
        </w:rPr>
        <w:t xml:space="preserve"> την</w:t>
      </w:r>
      <w:r w:rsidRPr="005A464E">
        <w:rPr>
          <w:sz w:val="24"/>
          <w:szCs w:val="24"/>
        </w:rPr>
        <w:t xml:space="preserve"> ποιότητα ζωής κατά τη διάρκεια της δ</w:t>
      </w:r>
      <w:r w:rsidR="0044636B" w:rsidRPr="005A464E">
        <w:rPr>
          <w:sz w:val="24"/>
          <w:szCs w:val="24"/>
        </w:rPr>
        <w:t xml:space="preserve">εκαετίας του </w:t>
      </w:r>
      <w:r w:rsidR="0044636B" w:rsidRPr="00197BA9">
        <w:rPr>
          <w:sz w:val="24"/>
          <w:szCs w:val="24"/>
        </w:rPr>
        <w:t>'</w:t>
      </w:r>
      <w:r w:rsidR="00197BA9" w:rsidRPr="00197BA9">
        <w:rPr>
          <w:sz w:val="24"/>
          <w:szCs w:val="24"/>
        </w:rPr>
        <w:t xml:space="preserve">90 (Garrat, </w:t>
      </w:r>
      <w:r w:rsidR="00197BA9" w:rsidRPr="00197BA9">
        <w:rPr>
          <w:rFonts w:asciiTheme="minorHAnsi" w:hAnsiTheme="minorHAnsi" w:cstheme="minorHAnsi"/>
          <w:sz w:val="24"/>
          <w:szCs w:val="24"/>
          <w:lang w:val="en-US"/>
        </w:rPr>
        <w:t>Schmidt</w:t>
      </w:r>
      <w:r w:rsidR="00197BA9" w:rsidRPr="00197BA9">
        <w:rPr>
          <w:rFonts w:asciiTheme="minorHAnsi" w:hAnsiTheme="minorHAnsi" w:cstheme="minorHAnsi"/>
          <w:sz w:val="24"/>
          <w:szCs w:val="24"/>
        </w:rPr>
        <w:t xml:space="preserve">, </w:t>
      </w:r>
      <w:r w:rsidR="00197BA9" w:rsidRPr="00197BA9">
        <w:rPr>
          <w:rFonts w:asciiTheme="minorHAnsi" w:hAnsiTheme="minorHAnsi" w:cstheme="minorHAnsi"/>
          <w:sz w:val="24"/>
          <w:szCs w:val="24"/>
          <w:lang w:val="en-US"/>
        </w:rPr>
        <w:t>MacKintosh</w:t>
      </w:r>
      <w:r w:rsidR="00197BA9" w:rsidRPr="00197BA9">
        <w:rPr>
          <w:rFonts w:asciiTheme="minorHAnsi" w:hAnsiTheme="minorHAnsi" w:cstheme="minorHAnsi"/>
          <w:sz w:val="24"/>
          <w:szCs w:val="24"/>
        </w:rPr>
        <w:t xml:space="preserve">, &amp; </w:t>
      </w:r>
      <w:r w:rsidR="00197BA9" w:rsidRPr="00197BA9">
        <w:rPr>
          <w:rFonts w:asciiTheme="minorHAnsi" w:hAnsiTheme="minorHAnsi" w:cstheme="minorHAnsi"/>
          <w:sz w:val="24"/>
          <w:szCs w:val="24"/>
          <w:lang w:val="en-US"/>
        </w:rPr>
        <w:t>Fitzpatrick</w:t>
      </w:r>
      <w:r w:rsidR="00197BA9" w:rsidRPr="00197BA9">
        <w:rPr>
          <w:rFonts w:asciiTheme="minorHAnsi" w:hAnsiTheme="minorHAnsi" w:cstheme="minorHAnsi"/>
          <w:sz w:val="24"/>
          <w:szCs w:val="24"/>
        </w:rPr>
        <w:t>,</w:t>
      </w:r>
      <w:r w:rsidR="00874F08" w:rsidRPr="00197BA9">
        <w:rPr>
          <w:sz w:val="24"/>
          <w:szCs w:val="24"/>
        </w:rPr>
        <w:t xml:space="preserve"> </w:t>
      </w:r>
      <w:r w:rsidRPr="00197BA9">
        <w:rPr>
          <w:sz w:val="24"/>
          <w:szCs w:val="24"/>
        </w:rPr>
        <w:t>2002).</w:t>
      </w:r>
    </w:p>
    <w:p w:rsidR="00F010B8" w:rsidRPr="005A464E" w:rsidRDefault="00F010B8" w:rsidP="005A464E">
      <w:pPr>
        <w:spacing w:line="360" w:lineRule="auto"/>
        <w:jc w:val="both"/>
        <w:rPr>
          <w:sz w:val="24"/>
          <w:szCs w:val="24"/>
        </w:rPr>
      </w:pPr>
      <w:r w:rsidRPr="005A464E">
        <w:rPr>
          <w:sz w:val="24"/>
          <w:szCs w:val="24"/>
        </w:rPr>
        <w:t>Η αξιολόγηση</w:t>
      </w:r>
      <w:r w:rsidR="0078495A">
        <w:rPr>
          <w:sz w:val="24"/>
          <w:szCs w:val="24"/>
        </w:rPr>
        <w:t xml:space="preserve"> </w:t>
      </w:r>
      <w:r w:rsidR="00872CA6" w:rsidRPr="005A464E">
        <w:rPr>
          <w:sz w:val="24"/>
          <w:szCs w:val="24"/>
        </w:rPr>
        <w:t>προσωπικών</w:t>
      </w:r>
      <w:r w:rsidRPr="005A464E">
        <w:rPr>
          <w:sz w:val="24"/>
          <w:szCs w:val="24"/>
        </w:rPr>
        <w:t xml:space="preserve"> παραγόντων</w:t>
      </w:r>
      <w:r w:rsidR="00DE0C9E">
        <w:rPr>
          <w:sz w:val="24"/>
          <w:szCs w:val="24"/>
        </w:rPr>
        <w:t>,</w:t>
      </w:r>
      <w:r w:rsidRPr="005A464E">
        <w:rPr>
          <w:sz w:val="24"/>
          <w:szCs w:val="24"/>
        </w:rPr>
        <w:t xml:space="preserve"> </w:t>
      </w:r>
      <w:r w:rsidR="0044636B" w:rsidRPr="005A464E">
        <w:rPr>
          <w:sz w:val="24"/>
          <w:szCs w:val="24"/>
        </w:rPr>
        <w:t xml:space="preserve">όπως </w:t>
      </w:r>
      <w:r w:rsidR="00872CA6" w:rsidRPr="005A464E">
        <w:rPr>
          <w:sz w:val="24"/>
          <w:szCs w:val="24"/>
        </w:rPr>
        <w:t xml:space="preserve">τα συναισθήματα </w:t>
      </w:r>
      <w:r w:rsidR="00B0560D">
        <w:rPr>
          <w:sz w:val="24"/>
          <w:szCs w:val="24"/>
        </w:rPr>
        <w:t>του ασθενούς</w:t>
      </w:r>
      <w:r w:rsidR="00872CA6" w:rsidRPr="005A464E">
        <w:rPr>
          <w:sz w:val="24"/>
          <w:szCs w:val="24"/>
        </w:rPr>
        <w:t xml:space="preserve"> και οι προτιμήσεις του</w:t>
      </w:r>
      <w:r w:rsidR="00DE0C9E">
        <w:rPr>
          <w:sz w:val="24"/>
          <w:szCs w:val="24"/>
        </w:rPr>
        <w:t>,</w:t>
      </w:r>
      <w:r w:rsidR="00872CA6" w:rsidRPr="005A464E">
        <w:rPr>
          <w:sz w:val="24"/>
          <w:szCs w:val="24"/>
        </w:rPr>
        <w:t xml:space="preserve"> στηρίζοντ</w:t>
      </w:r>
      <w:r w:rsidRPr="005A464E">
        <w:rPr>
          <w:sz w:val="24"/>
          <w:szCs w:val="24"/>
        </w:rPr>
        <w:t xml:space="preserve">αι στις αναφορές των </w:t>
      </w:r>
      <w:r w:rsidR="00872CA6" w:rsidRPr="005A464E">
        <w:rPr>
          <w:sz w:val="24"/>
          <w:szCs w:val="24"/>
        </w:rPr>
        <w:t>ασθενών.</w:t>
      </w:r>
      <w:r w:rsidR="00874F08" w:rsidRPr="005A464E">
        <w:rPr>
          <w:sz w:val="24"/>
          <w:szCs w:val="24"/>
        </w:rPr>
        <w:t xml:space="preserve"> </w:t>
      </w:r>
      <w:r w:rsidR="00872CA6" w:rsidRPr="005A464E">
        <w:t xml:space="preserve">Οι </w:t>
      </w:r>
      <w:r w:rsidR="00874F08" w:rsidRPr="005A464E">
        <w:rPr>
          <w:sz w:val="24"/>
          <w:szCs w:val="24"/>
        </w:rPr>
        <w:t>προσωπικοί αυτοί παράγοντες</w:t>
      </w:r>
      <w:r w:rsidR="00872CA6" w:rsidRPr="005A464E">
        <w:rPr>
          <w:sz w:val="24"/>
          <w:szCs w:val="24"/>
        </w:rPr>
        <w:t xml:space="preserve"> είναι</w:t>
      </w:r>
      <w:r w:rsidR="00DE0C9E">
        <w:rPr>
          <w:sz w:val="24"/>
          <w:szCs w:val="24"/>
        </w:rPr>
        <w:t>,</w:t>
      </w:r>
      <w:r w:rsidR="00872CA6" w:rsidRPr="005A464E">
        <w:rPr>
          <w:sz w:val="24"/>
          <w:szCs w:val="24"/>
        </w:rPr>
        <w:t xml:space="preserve"> κυρίως</w:t>
      </w:r>
      <w:r w:rsidR="00DE0C9E">
        <w:rPr>
          <w:sz w:val="24"/>
          <w:szCs w:val="24"/>
        </w:rPr>
        <w:t>,</w:t>
      </w:r>
      <w:r w:rsidR="00872CA6" w:rsidRPr="005A464E">
        <w:rPr>
          <w:sz w:val="24"/>
          <w:szCs w:val="24"/>
        </w:rPr>
        <w:t xml:space="preserve"> υποκειμενικοί, λόγω της ψυχολογίας, της προσωπικότητας και της συμπεριφοράς (</w:t>
      </w:r>
      <w:r w:rsidR="00874F08" w:rsidRPr="005A464E">
        <w:rPr>
          <w:sz w:val="24"/>
          <w:szCs w:val="24"/>
        </w:rPr>
        <w:t xml:space="preserve">Cukor </w:t>
      </w:r>
      <w:r w:rsidR="00566CAA">
        <w:rPr>
          <w:sz w:val="24"/>
          <w:szCs w:val="24"/>
        </w:rPr>
        <w:t>et al</w:t>
      </w:r>
      <w:r w:rsidR="000143B4">
        <w:rPr>
          <w:sz w:val="24"/>
          <w:szCs w:val="24"/>
        </w:rPr>
        <w:t>.</w:t>
      </w:r>
      <w:r w:rsidR="00C81D8C" w:rsidRPr="00C81D8C">
        <w:rPr>
          <w:sz w:val="24"/>
          <w:szCs w:val="24"/>
        </w:rPr>
        <w:t>,</w:t>
      </w:r>
      <w:r w:rsidR="00872CA6" w:rsidRPr="005A464E">
        <w:rPr>
          <w:sz w:val="24"/>
          <w:szCs w:val="24"/>
        </w:rPr>
        <w:t xml:space="preserve"> 2007) και δεν μπορούν να διαγνωσθούν από τα παραδοσιακά ιατρικά μέτρα όπως η φυσικη κλινική εξέταση, οι εργαστηριακές και ακτινολογικές εξετάσεις.</w:t>
      </w:r>
      <w:r w:rsidR="0078495A">
        <w:rPr>
          <w:sz w:val="24"/>
          <w:szCs w:val="24"/>
        </w:rPr>
        <w:t xml:space="preserve"> </w:t>
      </w:r>
      <w:r w:rsidR="006001CB">
        <w:rPr>
          <w:sz w:val="24"/>
          <w:szCs w:val="24"/>
        </w:rPr>
        <w:t>Έ</w:t>
      </w:r>
      <w:r w:rsidR="006001CB" w:rsidRPr="005A464E">
        <w:rPr>
          <w:sz w:val="24"/>
          <w:szCs w:val="24"/>
        </w:rPr>
        <w:t>να κεντρικό ερώτημα</w:t>
      </w:r>
      <w:r w:rsidR="006001CB">
        <w:rPr>
          <w:sz w:val="24"/>
          <w:szCs w:val="24"/>
        </w:rPr>
        <w:t xml:space="preserve"> είναι το εξής:</w:t>
      </w:r>
      <w:r w:rsidR="006001CB" w:rsidRPr="005A464E">
        <w:rPr>
          <w:sz w:val="24"/>
          <w:szCs w:val="24"/>
        </w:rPr>
        <w:t xml:space="preserve"> </w:t>
      </w:r>
      <w:r w:rsidRPr="005A464E">
        <w:rPr>
          <w:sz w:val="24"/>
          <w:szCs w:val="24"/>
        </w:rPr>
        <w:t xml:space="preserve">«Πώς αισθάνεται ο ασθενής που υποβάλλεται σε </w:t>
      </w:r>
      <w:r w:rsidR="00DE0C9E">
        <w:rPr>
          <w:sz w:val="24"/>
          <w:szCs w:val="24"/>
        </w:rPr>
        <w:t>αιμοκάθαρση</w:t>
      </w:r>
      <w:r w:rsidRPr="005A464E">
        <w:rPr>
          <w:sz w:val="24"/>
          <w:szCs w:val="24"/>
        </w:rPr>
        <w:t>;</w:t>
      </w:r>
      <w:r w:rsidR="006001CB">
        <w:rPr>
          <w:sz w:val="24"/>
          <w:szCs w:val="24"/>
        </w:rPr>
        <w:t xml:space="preserve">». </w:t>
      </w:r>
      <w:r w:rsidRPr="005A464E">
        <w:rPr>
          <w:sz w:val="24"/>
          <w:szCs w:val="24"/>
        </w:rPr>
        <w:t>Πράγματι, η ερώτηση «πώς αισθάνεστε;» χρησιμοποιείται στον υπολογισμό του σκορ σε αρκετές κλίμακ</w:t>
      </w:r>
      <w:r w:rsidR="00E61168">
        <w:rPr>
          <w:sz w:val="24"/>
          <w:szCs w:val="24"/>
        </w:rPr>
        <w:t>ες μέτρησης ποιότητας ζωής</w:t>
      </w:r>
      <w:r w:rsidR="00E61168" w:rsidRPr="00A4175B">
        <w:rPr>
          <w:sz w:val="24"/>
          <w:szCs w:val="24"/>
        </w:rPr>
        <w:t>. Όμως,</w:t>
      </w:r>
      <w:r w:rsidRPr="00A4175B">
        <w:rPr>
          <w:sz w:val="24"/>
          <w:szCs w:val="24"/>
        </w:rPr>
        <w:t xml:space="preserve"> μια τέτοια συνοπτική</w:t>
      </w:r>
      <w:r w:rsidR="00305BD4" w:rsidRPr="00A4175B">
        <w:rPr>
          <w:sz w:val="24"/>
          <w:szCs w:val="24"/>
        </w:rPr>
        <w:t xml:space="preserve"> βαθμολογία δεν μπορεί να αποδώσ</w:t>
      </w:r>
      <w:r w:rsidRPr="00A4175B">
        <w:rPr>
          <w:sz w:val="24"/>
          <w:szCs w:val="24"/>
        </w:rPr>
        <w:t>ει ολοκληρωμένα την έννοια της ποιότητας ζωής. Η ΠΖ περιλαμβάνει τη σωματική λειτουργία, ψυχολογικές πτυχές, το κοινωνικό περιβάλλον και την πνευματικότητα. Αυτός είναι ο λόγος για τον οποίο αξιόπιστα όργανα για τη μέτρηση της ΠΖ είναι τόσο χρήσιμα. Είναι πολυδιάστατα περιλαμβάνοντας τη σωματική, ψυχολογική, συναισθηματική ζωή αλλά και κοινωνικές πτυχές. Αυτή η ποσοτική προσέγγιση διευκολύνει την αλληλεπ</w:t>
      </w:r>
      <w:r w:rsidR="00E61168" w:rsidRPr="00A4175B">
        <w:rPr>
          <w:sz w:val="24"/>
          <w:szCs w:val="24"/>
        </w:rPr>
        <w:t>ίδραση των επαγγελματιών υγείας</w:t>
      </w:r>
      <w:r w:rsidR="00DE0C9E" w:rsidRPr="00A4175B">
        <w:rPr>
          <w:sz w:val="24"/>
          <w:szCs w:val="24"/>
        </w:rPr>
        <w:t xml:space="preserve"> μεταξύ τους</w:t>
      </w:r>
      <w:r w:rsidRPr="00A4175B">
        <w:rPr>
          <w:sz w:val="24"/>
          <w:szCs w:val="24"/>
        </w:rPr>
        <w:t xml:space="preserve"> διότι</w:t>
      </w:r>
      <w:r w:rsidRPr="005A464E">
        <w:rPr>
          <w:sz w:val="24"/>
          <w:szCs w:val="24"/>
        </w:rPr>
        <w:t xml:space="preserve"> έχουν συνηθίσει στα </w:t>
      </w:r>
      <w:r w:rsidR="00433473" w:rsidRPr="005A464E">
        <w:rPr>
          <w:sz w:val="24"/>
          <w:szCs w:val="24"/>
        </w:rPr>
        <w:t>ποσοτικά δεδομένα</w:t>
      </w:r>
      <w:r w:rsidR="000D5266" w:rsidRPr="005A464E">
        <w:rPr>
          <w:sz w:val="24"/>
          <w:szCs w:val="24"/>
        </w:rPr>
        <w:t xml:space="preserve"> (</w:t>
      </w:r>
      <w:r w:rsidR="00433473" w:rsidRPr="005A464E">
        <w:rPr>
          <w:sz w:val="24"/>
          <w:szCs w:val="24"/>
          <w:lang w:val="en-US"/>
        </w:rPr>
        <w:t>Santos</w:t>
      </w:r>
      <w:r w:rsidR="003E723E">
        <w:rPr>
          <w:sz w:val="24"/>
          <w:szCs w:val="24"/>
        </w:rPr>
        <w:t>,</w:t>
      </w:r>
      <w:r w:rsidR="0078495A">
        <w:rPr>
          <w:sz w:val="24"/>
          <w:szCs w:val="24"/>
        </w:rPr>
        <w:t xml:space="preserve"> </w:t>
      </w:r>
      <w:r w:rsidR="00013867" w:rsidRPr="005A464E">
        <w:rPr>
          <w:sz w:val="24"/>
          <w:szCs w:val="24"/>
        </w:rPr>
        <w:t>2011).</w:t>
      </w:r>
    </w:p>
    <w:p w:rsidR="00F010B8" w:rsidRPr="005A464E" w:rsidRDefault="006001CB" w:rsidP="005A464E">
      <w:pPr>
        <w:spacing w:line="360" w:lineRule="auto"/>
        <w:jc w:val="both"/>
        <w:rPr>
          <w:sz w:val="24"/>
          <w:szCs w:val="24"/>
        </w:rPr>
      </w:pPr>
      <w:r>
        <w:rPr>
          <w:sz w:val="24"/>
          <w:szCs w:val="24"/>
        </w:rPr>
        <w:t>Τ</w:t>
      </w:r>
      <w:r w:rsidR="00F010B8" w:rsidRPr="005A464E">
        <w:rPr>
          <w:sz w:val="24"/>
          <w:szCs w:val="24"/>
        </w:rPr>
        <w:t>α υπο</w:t>
      </w:r>
      <w:r>
        <w:rPr>
          <w:sz w:val="24"/>
          <w:szCs w:val="24"/>
        </w:rPr>
        <w:t xml:space="preserve">κειμενικά μέτρα </w:t>
      </w:r>
      <w:r w:rsidR="00F010B8" w:rsidRPr="005A464E">
        <w:rPr>
          <w:sz w:val="24"/>
          <w:szCs w:val="24"/>
        </w:rPr>
        <w:t xml:space="preserve"> </w:t>
      </w:r>
      <w:r>
        <w:rPr>
          <w:sz w:val="24"/>
          <w:szCs w:val="24"/>
        </w:rPr>
        <w:t>ε</w:t>
      </w:r>
      <w:r w:rsidRPr="005A464E">
        <w:rPr>
          <w:sz w:val="24"/>
          <w:szCs w:val="24"/>
        </w:rPr>
        <w:t xml:space="preserve">ίναι πιο εύκολο να προσδιοριστούν </w:t>
      </w:r>
      <w:r w:rsidR="00F010B8" w:rsidRPr="005A464E">
        <w:rPr>
          <w:sz w:val="24"/>
          <w:szCs w:val="24"/>
        </w:rPr>
        <w:t xml:space="preserve">σε αντίθεση με τα αντικειμενικά. Παραδοσιακά στην κλινική πράξη, οι </w:t>
      </w:r>
      <w:r w:rsidR="0085076B" w:rsidRPr="005A464E">
        <w:rPr>
          <w:sz w:val="24"/>
          <w:szCs w:val="24"/>
        </w:rPr>
        <w:t xml:space="preserve">Μονάδες Τεχνητού Νεφρού </w:t>
      </w:r>
      <w:r w:rsidR="00F010B8" w:rsidRPr="005A464E">
        <w:rPr>
          <w:sz w:val="24"/>
          <w:szCs w:val="24"/>
        </w:rPr>
        <w:t xml:space="preserve">λειτουργούν με αντικειμενικά μέτρα: κλινικά σημεία και συμπτώματα, εργαστηριακές εξετάσεις. </w:t>
      </w:r>
      <w:r w:rsidR="00874F08" w:rsidRPr="005A464E">
        <w:rPr>
          <w:sz w:val="24"/>
          <w:szCs w:val="24"/>
        </w:rPr>
        <w:t>Οι υποκειμενικές μετρήσεις</w:t>
      </w:r>
      <w:r w:rsidR="00F010B8" w:rsidRPr="005A464E">
        <w:rPr>
          <w:sz w:val="24"/>
          <w:szCs w:val="24"/>
        </w:rPr>
        <w:t xml:space="preserve"> προέρχονται από τις εκθέσε</w:t>
      </w:r>
      <w:r w:rsidR="00E61168">
        <w:rPr>
          <w:sz w:val="24"/>
          <w:szCs w:val="24"/>
        </w:rPr>
        <w:t>ις των ασθενών (</w:t>
      </w:r>
      <w:r w:rsidR="00E61168" w:rsidRPr="00A4175B">
        <w:rPr>
          <w:sz w:val="24"/>
          <w:szCs w:val="24"/>
        </w:rPr>
        <w:t>αυτο</w:t>
      </w:r>
      <w:r w:rsidR="00F010B8" w:rsidRPr="00A4175B">
        <w:rPr>
          <w:sz w:val="24"/>
          <w:szCs w:val="24"/>
        </w:rPr>
        <w:t>αναφορές). Σε αυτό το πλαίσιο, η χορήγηση ερωτηματολόγιων σε ασθενείς αποσπά πληροφορίες που μπορούν να χρησιμοποιηθούν για τον υπολογισμό ψυχομετρικών ιδιοτήτων (</w:t>
      </w:r>
      <w:r w:rsidR="00874F08" w:rsidRPr="00A4175B">
        <w:rPr>
          <w:sz w:val="24"/>
          <w:szCs w:val="24"/>
        </w:rPr>
        <w:t>συναισθήματα, αντιλήψεις</w:t>
      </w:r>
      <w:r w:rsidR="00F010B8" w:rsidRPr="00A4175B">
        <w:rPr>
          <w:sz w:val="24"/>
          <w:szCs w:val="24"/>
        </w:rPr>
        <w:t>, γνώσε</w:t>
      </w:r>
      <w:r w:rsidRPr="00A4175B">
        <w:rPr>
          <w:sz w:val="24"/>
          <w:szCs w:val="24"/>
        </w:rPr>
        <w:t>ις) που δεν μπορούν να εκτιμηθ</w:t>
      </w:r>
      <w:r w:rsidR="00F010B8" w:rsidRPr="00A4175B">
        <w:rPr>
          <w:sz w:val="24"/>
          <w:szCs w:val="24"/>
        </w:rPr>
        <w:t>ούν με αντικειμενικά μέτρα ή στενή παρακο</w:t>
      </w:r>
      <w:r w:rsidR="00E61168" w:rsidRPr="00A4175B">
        <w:rPr>
          <w:sz w:val="24"/>
          <w:szCs w:val="24"/>
        </w:rPr>
        <w:t>λούθηση των ασθενών. Οι επαγγελματίες υγείας</w:t>
      </w:r>
      <w:r w:rsidR="0078495A" w:rsidRPr="00A4175B">
        <w:rPr>
          <w:sz w:val="24"/>
          <w:szCs w:val="24"/>
        </w:rPr>
        <w:t xml:space="preserve"> </w:t>
      </w:r>
      <w:r w:rsidR="00F010B8" w:rsidRPr="00A4175B">
        <w:rPr>
          <w:sz w:val="24"/>
          <w:szCs w:val="24"/>
        </w:rPr>
        <w:t>συχνά εκπλήσσονται</w:t>
      </w:r>
      <w:r w:rsidR="0078495A" w:rsidRPr="00A4175B">
        <w:rPr>
          <w:sz w:val="24"/>
          <w:szCs w:val="24"/>
        </w:rPr>
        <w:t xml:space="preserve"> </w:t>
      </w:r>
      <w:r w:rsidR="00F010B8" w:rsidRPr="00A4175B">
        <w:rPr>
          <w:sz w:val="24"/>
          <w:szCs w:val="24"/>
        </w:rPr>
        <w:t>όταν</w:t>
      </w:r>
      <w:r w:rsidR="0078495A" w:rsidRPr="00A4175B">
        <w:rPr>
          <w:sz w:val="24"/>
          <w:szCs w:val="24"/>
        </w:rPr>
        <w:t xml:space="preserve"> </w:t>
      </w:r>
      <w:r w:rsidR="00F010B8" w:rsidRPr="00A4175B">
        <w:rPr>
          <w:sz w:val="24"/>
          <w:szCs w:val="24"/>
        </w:rPr>
        <w:t>μαθαίνουν ότι οι ασθενείς με προβλήματα και αναπηρίες</w:t>
      </w:r>
      <w:r w:rsidR="00F010B8" w:rsidRPr="005A464E">
        <w:rPr>
          <w:sz w:val="24"/>
          <w:szCs w:val="24"/>
        </w:rPr>
        <w:t xml:space="preserve"> μπορούν να αντιληφθούν τη ζωή ως μια καλή εμπειρία, σε αντίθεση με τους ασθενείς με πιο</w:t>
      </w:r>
      <w:r w:rsidR="00874F08" w:rsidRPr="005A464E">
        <w:rPr>
          <w:sz w:val="24"/>
          <w:szCs w:val="24"/>
        </w:rPr>
        <w:t xml:space="preserve"> </w:t>
      </w:r>
      <w:r w:rsidR="00F010B8" w:rsidRPr="005A464E">
        <w:rPr>
          <w:sz w:val="24"/>
          <w:szCs w:val="24"/>
        </w:rPr>
        <w:t>ευνοϊκές κλινικές συνθήκες, οι οπ</w:t>
      </w:r>
      <w:r w:rsidR="00013867" w:rsidRPr="005A464E">
        <w:rPr>
          <w:sz w:val="24"/>
          <w:szCs w:val="24"/>
        </w:rPr>
        <w:t xml:space="preserve">οίοι μπορούν να αντιλαμβάνονται </w:t>
      </w:r>
      <w:r w:rsidR="00F010B8" w:rsidRPr="005A464E">
        <w:rPr>
          <w:sz w:val="24"/>
          <w:szCs w:val="24"/>
        </w:rPr>
        <w:t>την ΠΖ τους ως φτωχή (Riis</w:t>
      </w:r>
      <w:r w:rsidR="00874F08" w:rsidRPr="005A464E">
        <w:rPr>
          <w:sz w:val="24"/>
          <w:szCs w:val="24"/>
        </w:rPr>
        <w:t xml:space="preserve"> </w:t>
      </w:r>
      <w:r w:rsidR="00566CAA">
        <w:rPr>
          <w:sz w:val="24"/>
          <w:szCs w:val="24"/>
        </w:rPr>
        <w:t>et al</w:t>
      </w:r>
      <w:r w:rsidR="000848D6">
        <w:rPr>
          <w:sz w:val="24"/>
          <w:szCs w:val="24"/>
        </w:rPr>
        <w:t>.</w:t>
      </w:r>
      <w:r w:rsidR="0085076B">
        <w:rPr>
          <w:sz w:val="24"/>
          <w:szCs w:val="24"/>
        </w:rPr>
        <w:t>,</w:t>
      </w:r>
      <w:r w:rsidR="00F010B8" w:rsidRPr="005A464E">
        <w:rPr>
          <w:sz w:val="24"/>
          <w:szCs w:val="24"/>
        </w:rPr>
        <w:t xml:space="preserve"> 2005). Τα περισσότερα εργαλεία που χρησιμοποιούνται για υποκειμ</w:t>
      </w:r>
      <w:r w:rsidR="00874F08" w:rsidRPr="005A464E">
        <w:rPr>
          <w:sz w:val="24"/>
          <w:szCs w:val="24"/>
        </w:rPr>
        <w:t>ενικές μετρήσεις δείχνουν</w:t>
      </w:r>
      <w:r w:rsidR="00F010B8" w:rsidRPr="005A464E">
        <w:rPr>
          <w:sz w:val="24"/>
          <w:szCs w:val="24"/>
        </w:rPr>
        <w:t xml:space="preserve"> το πώς οι ασθενείς αντιλαμβάνοντ</w:t>
      </w:r>
      <w:r w:rsidR="00874F08" w:rsidRPr="005A464E">
        <w:rPr>
          <w:sz w:val="24"/>
          <w:szCs w:val="24"/>
        </w:rPr>
        <w:t>αι τη ζωή τους, πώς αισθάνονται</w:t>
      </w:r>
      <w:r w:rsidR="00F010B8" w:rsidRPr="005A464E">
        <w:rPr>
          <w:sz w:val="24"/>
          <w:szCs w:val="24"/>
        </w:rPr>
        <w:t xml:space="preserve"> καθώς και τους τρόπους με τους οποίους αντιμετωπίζουν τα στρεσσογόνα γεγονότα. Υπάρχουν διάφορα είδη υποκειμενικών μέτρων σχετικά με τη συνολική ευεξία: πνευματικότ</w:t>
      </w:r>
      <w:r w:rsidR="00E61168">
        <w:rPr>
          <w:sz w:val="24"/>
          <w:szCs w:val="24"/>
        </w:rPr>
        <w:t xml:space="preserve">ητα, καταθλιπτικά συναισθήματα, </w:t>
      </w:r>
      <w:r w:rsidR="00F010B8" w:rsidRPr="005A464E">
        <w:rPr>
          <w:sz w:val="24"/>
          <w:szCs w:val="24"/>
        </w:rPr>
        <w:t>ποιότητα ζωής, τη σεξουαλική ικανοποίηση και τρόπους αντιμετώπισης. Όλα αυτά τα υποκειμενικά μέτρα θα πρέπει να διαδραματίζουν κεντρικό</w:t>
      </w:r>
      <w:r w:rsidR="00013867" w:rsidRPr="005A464E">
        <w:rPr>
          <w:sz w:val="24"/>
          <w:szCs w:val="24"/>
        </w:rPr>
        <w:t xml:space="preserve"> ρόλο στη φροντίδα </w:t>
      </w:r>
      <w:r w:rsidR="00B0560D">
        <w:rPr>
          <w:sz w:val="24"/>
          <w:szCs w:val="24"/>
        </w:rPr>
        <w:t>του ασθενούς</w:t>
      </w:r>
      <w:r w:rsidR="00013867" w:rsidRPr="005A464E">
        <w:rPr>
          <w:sz w:val="24"/>
          <w:szCs w:val="24"/>
        </w:rPr>
        <w:t xml:space="preserve"> (</w:t>
      </w:r>
      <w:r w:rsidR="00013867" w:rsidRPr="005A464E">
        <w:rPr>
          <w:sz w:val="24"/>
          <w:szCs w:val="24"/>
          <w:lang w:val="en-US"/>
        </w:rPr>
        <w:t>Santos</w:t>
      </w:r>
      <w:r w:rsidR="003E723E">
        <w:rPr>
          <w:sz w:val="24"/>
          <w:szCs w:val="24"/>
        </w:rPr>
        <w:t>,</w:t>
      </w:r>
      <w:r w:rsidR="00013867" w:rsidRPr="005A464E">
        <w:rPr>
          <w:sz w:val="24"/>
          <w:szCs w:val="24"/>
        </w:rPr>
        <w:t xml:space="preserve"> 2011).</w:t>
      </w:r>
    </w:p>
    <w:p w:rsidR="00F010B8" w:rsidRPr="005A464E" w:rsidRDefault="00F010B8" w:rsidP="005A464E">
      <w:pPr>
        <w:spacing w:line="360" w:lineRule="auto"/>
        <w:jc w:val="both"/>
        <w:rPr>
          <w:sz w:val="24"/>
          <w:szCs w:val="24"/>
        </w:rPr>
      </w:pPr>
      <w:r w:rsidRPr="005A464E">
        <w:rPr>
          <w:sz w:val="24"/>
          <w:szCs w:val="24"/>
        </w:rPr>
        <w:t>Ο</w:t>
      </w:r>
      <w:r w:rsidR="00874F08" w:rsidRPr="005A464E">
        <w:rPr>
          <w:sz w:val="24"/>
          <w:szCs w:val="24"/>
        </w:rPr>
        <w:t>ι υποκειμενικές μετρήσεις είναι</w:t>
      </w:r>
      <w:r w:rsidRPr="005A464E">
        <w:rPr>
          <w:sz w:val="24"/>
          <w:szCs w:val="24"/>
        </w:rPr>
        <w:t xml:space="preserve"> </w:t>
      </w:r>
      <w:r w:rsidR="00874F08" w:rsidRPr="005A464E">
        <w:rPr>
          <w:sz w:val="24"/>
          <w:szCs w:val="24"/>
        </w:rPr>
        <w:t>σημαντικές</w:t>
      </w:r>
      <w:r w:rsidRPr="005A464E">
        <w:rPr>
          <w:sz w:val="24"/>
          <w:szCs w:val="24"/>
        </w:rPr>
        <w:t xml:space="preserve"> επειδή μπορούν να προβλέψουν κλινικά αποτελέσματα.</w:t>
      </w:r>
      <w:r w:rsidR="0078495A">
        <w:rPr>
          <w:sz w:val="24"/>
          <w:szCs w:val="24"/>
        </w:rPr>
        <w:t xml:space="preserve"> </w:t>
      </w:r>
      <w:r w:rsidRPr="005A464E">
        <w:rPr>
          <w:sz w:val="24"/>
          <w:szCs w:val="24"/>
        </w:rPr>
        <w:t xml:space="preserve">Η πνευματικότητα, τα καταθλιπτικά συναισθήματα και η ποιότητα ζωής είναι πλέον αξιόπιστοι </w:t>
      </w:r>
      <w:r w:rsidRPr="00A4175B">
        <w:rPr>
          <w:sz w:val="24"/>
          <w:szCs w:val="24"/>
        </w:rPr>
        <w:t xml:space="preserve">δείκτες </w:t>
      </w:r>
      <w:r w:rsidR="00DE0C9E" w:rsidRPr="00A4175B">
        <w:rPr>
          <w:sz w:val="24"/>
          <w:szCs w:val="24"/>
        </w:rPr>
        <w:t>διακοπής</w:t>
      </w:r>
      <w:r w:rsidRPr="00A4175B">
        <w:rPr>
          <w:sz w:val="24"/>
          <w:szCs w:val="24"/>
        </w:rPr>
        <w:t xml:space="preserve"> τη</w:t>
      </w:r>
      <w:r w:rsidR="00DE0C9E" w:rsidRPr="00A4175B">
        <w:rPr>
          <w:sz w:val="24"/>
          <w:szCs w:val="24"/>
        </w:rPr>
        <w:t>ς</w:t>
      </w:r>
      <w:r w:rsidRPr="00A4175B">
        <w:rPr>
          <w:sz w:val="24"/>
          <w:szCs w:val="24"/>
        </w:rPr>
        <w:t xml:space="preserve"> θεραπεία</w:t>
      </w:r>
      <w:r w:rsidR="00DE0C9E" w:rsidRPr="00A4175B">
        <w:rPr>
          <w:sz w:val="24"/>
          <w:szCs w:val="24"/>
        </w:rPr>
        <w:t>ς</w:t>
      </w:r>
      <w:r w:rsidRPr="00A4175B">
        <w:rPr>
          <w:sz w:val="24"/>
          <w:szCs w:val="24"/>
        </w:rPr>
        <w:t xml:space="preserve">, παρατεταμένης νοσηλείας και θανάτου μεταξύ των ασθενών υπό </w:t>
      </w:r>
      <w:r w:rsidR="00DE0C9E" w:rsidRPr="00A4175B">
        <w:rPr>
          <w:sz w:val="24"/>
          <w:szCs w:val="24"/>
        </w:rPr>
        <w:t xml:space="preserve">αιμοκάθαρση </w:t>
      </w:r>
      <w:r w:rsidRPr="00A4175B">
        <w:rPr>
          <w:sz w:val="24"/>
          <w:szCs w:val="24"/>
        </w:rPr>
        <w:t>(</w:t>
      </w:r>
      <w:r w:rsidRPr="00A4175B">
        <w:rPr>
          <w:sz w:val="24"/>
          <w:szCs w:val="24"/>
          <w:lang w:val="en-US"/>
        </w:rPr>
        <w:t>Powell</w:t>
      </w:r>
      <w:r w:rsidR="000848D6" w:rsidRPr="00A4175B">
        <w:rPr>
          <w:sz w:val="24"/>
          <w:szCs w:val="24"/>
        </w:rPr>
        <w:t>,</w:t>
      </w:r>
      <w:r w:rsidR="0078495A" w:rsidRPr="00A4175B">
        <w:rPr>
          <w:sz w:val="24"/>
          <w:szCs w:val="24"/>
        </w:rPr>
        <w:t xml:space="preserve"> </w:t>
      </w:r>
      <w:r w:rsidR="000848D6" w:rsidRPr="00A4175B">
        <w:rPr>
          <w:rFonts w:asciiTheme="minorHAnsi" w:hAnsiTheme="minorHAnsi" w:cstheme="minorHAnsi"/>
          <w:sz w:val="24"/>
          <w:szCs w:val="24"/>
          <w:lang w:val="en-US"/>
        </w:rPr>
        <w:t>Shahabi</w:t>
      </w:r>
      <w:r w:rsidR="00A600AE" w:rsidRPr="00A4175B">
        <w:rPr>
          <w:rFonts w:asciiTheme="minorHAnsi" w:hAnsiTheme="minorHAnsi" w:cstheme="minorHAnsi"/>
          <w:sz w:val="24"/>
          <w:szCs w:val="24"/>
        </w:rPr>
        <w:t>,</w:t>
      </w:r>
      <w:r w:rsidR="000848D6" w:rsidRPr="00A4175B">
        <w:rPr>
          <w:rFonts w:asciiTheme="minorHAnsi" w:hAnsiTheme="minorHAnsi" w:cstheme="minorHAnsi"/>
          <w:sz w:val="24"/>
          <w:szCs w:val="24"/>
        </w:rPr>
        <w:t xml:space="preserve"> &amp; </w:t>
      </w:r>
      <w:r w:rsidR="000848D6" w:rsidRPr="00A4175B">
        <w:rPr>
          <w:rFonts w:asciiTheme="minorHAnsi" w:hAnsiTheme="minorHAnsi" w:cstheme="minorHAnsi"/>
          <w:sz w:val="24"/>
          <w:szCs w:val="24"/>
          <w:lang w:val="en-US"/>
        </w:rPr>
        <w:t>Thoresen</w:t>
      </w:r>
      <w:r w:rsidR="00A600AE" w:rsidRPr="00A4175B">
        <w:rPr>
          <w:rFonts w:asciiTheme="minorHAnsi" w:hAnsiTheme="minorHAnsi" w:cstheme="minorHAnsi"/>
          <w:sz w:val="24"/>
          <w:szCs w:val="24"/>
        </w:rPr>
        <w:t>,</w:t>
      </w:r>
      <w:r w:rsidR="000848D6" w:rsidRPr="00A4175B">
        <w:rPr>
          <w:sz w:val="24"/>
          <w:szCs w:val="24"/>
        </w:rPr>
        <w:t xml:space="preserve"> </w:t>
      </w:r>
      <w:r w:rsidR="00013867" w:rsidRPr="00A4175B">
        <w:rPr>
          <w:sz w:val="24"/>
          <w:szCs w:val="24"/>
        </w:rPr>
        <w:t>2003;</w:t>
      </w:r>
      <w:r w:rsidR="00874F08" w:rsidRPr="00A4175B">
        <w:rPr>
          <w:sz w:val="24"/>
          <w:szCs w:val="24"/>
        </w:rPr>
        <w:t xml:space="preserve"> </w:t>
      </w:r>
      <w:r w:rsidRPr="00A4175B">
        <w:rPr>
          <w:sz w:val="24"/>
          <w:szCs w:val="24"/>
          <w:lang w:val="en-US"/>
        </w:rPr>
        <w:t>Lowrie</w:t>
      </w:r>
      <w:r w:rsidR="00873745" w:rsidRPr="00A4175B">
        <w:rPr>
          <w:sz w:val="24"/>
          <w:szCs w:val="24"/>
        </w:rPr>
        <w:t xml:space="preserve">, </w:t>
      </w:r>
      <w:r w:rsidR="00873745" w:rsidRPr="00A4175B">
        <w:rPr>
          <w:rFonts w:asciiTheme="minorHAnsi" w:hAnsiTheme="minorHAnsi" w:cstheme="minorHAnsi"/>
          <w:sz w:val="24"/>
          <w:szCs w:val="24"/>
          <w:lang w:val="en-US"/>
        </w:rPr>
        <w:t>Curtin</w:t>
      </w:r>
      <w:r w:rsidR="00873745" w:rsidRPr="00A4175B">
        <w:rPr>
          <w:rFonts w:asciiTheme="minorHAnsi" w:hAnsiTheme="minorHAnsi" w:cstheme="minorHAnsi"/>
          <w:sz w:val="24"/>
          <w:szCs w:val="24"/>
        </w:rPr>
        <w:t xml:space="preserve">, </w:t>
      </w:r>
      <w:r w:rsidR="00873745" w:rsidRPr="00A4175B">
        <w:rPr>
          <w:rFonts w:asciiTheme="minorHAnsi" w:hAnsiTheme="minorHAnsi" w:cstheme="minorHAnsi"/>
          <w:sz w:val="24"/>
          <w:szCs w:val="24"/>
          <w:lang w:val="en-US"/>
        </w:rPr>
        <w:t>Lepain</w:t>
      </w:r>
      <w:r w:rsidR="00873745" w:rsidRPr="00A4175B">
        <w:rPr>
          <w:rFonts w:asciiTheme="minorHAnsi" w:hAnsiTheme="minorHAnsi" w:cstheme="minorHAnsi"/>
          <w:sz w:val="24"/>
          <w:szCs w:val="24"/>
        </w:rPr>
        <w:t xml:space="preserve">, &amp; </w:t>
      </w:r>
      <w:r w:rsidR="00873745" w:rsidRPr="00A4175B">
        <w:rPr>
          <w:rFonts w:asciiTheme="minorHAnsi" w:hAnsiTheme="minorHAnsi" w:cstheme="minorHAnsi"/>
          <w:sz w:val="24"/>
          <w:szCs w:val="24"/>
          <w:lang w:val="en-US"/>
        </w:rPr>
        <w:t>Schatell</w:t>
      </w:r>
      <w:r w:rsidR="00873745" w:rsidRPr="00A4175B">
        <w:rPr>
          <w:rFonts w:asciiTheme="minorHAnsi" w:hAnsiTheme="minorHAnsi" w:cstheme="minorHAnsi"/>
          <w:sz w:val="24"/>
          <w:szCs w:val="24"/>
        </w:rPr>
        <w:t>,</w:t>
      </w:r>
      <w:r w:rsidR="00873745" w:rsidRPr="00A4175B">
        <w:rPr>
          <w:sz w:val="24"/>
          <w:szCs w:val="24"/>
        </w:rPr>
        <w:t xml:space="preserve"> </w:t>
      </w:r>
      <w:r w:rsidR="00013867" w:rsidRPr="00A4175B">
        <w:rPr>
          <w:sz w:val="24"/>
          <w:szCs w:val="24"/>
        </w:rPr>
        <w:t>2003;</w:t>
      </w:r>
      <w:r w:rsidR="00874F08" w:rsidRPr="00A4175B">
        <w:rPr>
          <w:sz w:val="24"/>
          <w:szCs w:val="24"/>
        </w:rPr>
        <w:t xml:space="preserve"> </w:t>
      </w:r>
      <w:r w:rsidRPr="00A4175B">
        <w:rPr>
          <w:sz w:val="24"/>
          <w:szCs w:val="24"/>
          <w:lang w:val="en-US"/>
        </w:rPr>
        <w:t>Mapes</w:t>
      </w:r>
      <w:r w:rsidR="00874F08" w:rsidRPr="00A4175B">
        <w:rPr>
          <w:sz w:val="24"/>
          <w:szCs w:val="24"/>
        </w:rPr>
        <w:t xml:space="preserve"> </w:t>
      </w:r>
      <w:r w:rsidR="00566CAA" w:rsidRPr="00A4175B">
        <w:rPr>
          <w:sz w:val="24"/>
          <w:szCs w:val="24"/>
        </w:rPr>
        <w:t>et al</w:t>
      </w:r>
      <w:r w:rsidR="00573981" w:rsidRPr="00A4175B">
        <w:rPr>
          <w:sz w:val="24"/>
          <w:szCs w:val="24"/>
        </w:rPr>
        <w:t>.</w:t>
      </w:r>
      <w:r w:rsidR="00873745" w:rsidRPr="00A4175B">
        <w:rPr>
          <w:sz w:val="24"/>
          <w:szCs w:val="24"/>
        </w:rPr>
        <w:t>,</w:t>
      </w:r>
      <w:r w:rsidR="00013867" w:rsidRPr="00A4175B">
        <w:rPr>
          <w:sz w:val="24"/>
          <w:szCs w:val="24"/>
        </w:rPr>
        <w:t xml:space="preserve"> 2003</w:t>
      </w:r>
      <w:r w:rsidR="00DE0C9E" w:rsidRPr="00A4175B">
        <w:rPr>
          <w:sz w:val="24"/>
          <w:szCs w:val="24"/>
        </w:rPr>
        <w:t>;</w:t>
      </w:r>
      <w:r w:rsidR="00311289" w:rsidRPr="00A4175B">
        <w:rPr>
          <w:sz w:val="24"/>
          <w:szCs w:val="24"/>
        </w:rPr>
        <w:t xml:space="preserve"> </w:t>
      </w:r>
      <w:r w:rsidR="00311289" w:rsidRPr="00A4175B">
        <w:rPr>
          <w:sz w:val="24"/>
          <w:szCs w:val="24"/>
          <w:lang w:val="en-US"/>
        </w:rPr>
        <w:t>Spinale</w:t>
      </w:r>
      <w:r w:rsidR="00311289" w:rsidRPr="00A4175B">
        <w:rPr>
          <w:sz w:val="24"/>
          <w:szCs w:val="24"/>
        </w:rPr>
        <w:t xml:space="preserve"> et al., 2008</w:t>
      </w:r>
      <w:r w:rsidR="00B0098B" w:rsidRPr="00A4175B">
        <w:rPr>
          <w:sz w:val="24"/>
          <w:szCs w:val="24"/>
        </w:rPr>
        <w:t>). Για παράδειγμα, η διακοπή της</w:t>
      </w:r>
      <w:r w:rsidRPr="00A4175B">
        <w:rPr>
          <w:sz w:val="24"/>
          <w:szCs w:val="24"/>
        </w:rPr>
        <w:t xml:space="preserve"> θεραπεία</w:t>
      </w:r>
      <w:r w:rsidR="00B0098B" w:rsidRPr="00A4175B">
        <w:rPr>
          <w:sz w:val="24"/>
          <w:szCs w:val="24"/>
        </w:rPr>
        <w:t>ς</w:t>
      </w:r>
      <w:r w:rsidRPr="00A4175B">
        <w:rPr>
          <w:sz w:val="24"/>
          <w:szCs w:val="24"/>
        </w:rPr>
        <w:t xml:space="preserve"> είναι η αιτία του 25% των θανάτων μεταξύ των ασθενών υπό </w:t>
      </w:r>
      <w:r w:rsidR="00311289" w:rsidRPr="00A4175B">
        <w:rPr>
          <w:sz w:val="24"/>
          <w:szCs w:val="24"/>
        </w:rPr>
        <w:t xml:space="preserve">αιμοκάθαρση </w:t>
      </w:r>
      <w:r w:rsidR="00E61168" w:rsidRPr="00A4175B">
        <w:rPr>
          <w:sz w:val="24"/>
          <w:szCs w:val="24"/>
        </w:rPr>
        <w:t>στις ΗΠΑ</w:t>
      </w:r>
      <w:r w:rsidR="000848D6" w:rsidRPr="00A4175B">
        <w:rPr>
          <w:sz w:val="24"/>
          <w:szCs w:val="24"/>
        </w:rPr>
        <w:t xml:space="preserve"> (Cohen, </w:t>
      </w:r>
      <w:r w:rsidR="000848D6" w:rsidRPr="00A4175B">
        <w:rPr>
          <w:rFonts w:asciiTheme="minorHAnsi" w:eastAsia="Times New Roman" w:hAnsiTheme="minorHAnsi" w:cstheme="minorHAnsi"/>
          <w:sz w:val="24"/>
          <w:szCs w:val="24"/>
          <w:lang w:val="en-US" w:eastAsia="el-GR"/>
        </w:rPr>
        <w:t>Germain</w:t>
      </w:r>
      <w:r w:rsidR="000848D6" w:rsidRPr="00A4175B">
        <w:rPr>
          <w:rFonts w:asciiTheme="minorHAnsi" w:eastAsia="Times New Roman" w:hAnsiTheme="minorHAnsi" w:cstheme="minorHAnsi"/>
          <w:sz w:val="24"/>
          <w:szCs w:val="24"/>
          <w:lang w:eastAsia="el-GR"/>
        </w:rPr>
        <w:t xml:space="preserve"> &amp; </w:t>
      </w:r>
      <w:r w:rsidR="000848D6" w:rsidRPr="00A4175B">
        <w:rPr>
          <w:rFonts w:asciiTheme="minorHAnsi" w:eastAsia="Times New Roman" w:hAnsiTheme="minorHAnsi" w:cstheme="minorHAnsi"/>
          <w:sz w:val="24"/>
          <w:szCs w:val="24"/>
          <w:lang w:val="en-US" w:eastAsia="el-GR"/>
        </w:rPr>
        <w:t>Poppel</w:t>
      </w:r>
      <w:r w:rsidR="000848D6" w:rsidRPr="00A4175B">
        <w:rPr>
          <w:rFonts w:asciiTheme="minorHAnsi" w:eastAsia="Times New Roman" w:hAnsiTheme="minorHAnsi" w:cstheme="minorHAnsi"/>
          <w:lang w:eastAsia="el-GR"/>
        </w:rPr>
        <w:t>,</w:t>
      </w:r>
      <w:r w:rsidRPr="00A4175B">
        <w:rPr>
          <w:sz w:val="24"/>
          <w:szCs w:val="24"/>
        </w:rPr>
        <w:t xml:space="preserve"> 2003). Με τέτοια υψηλά ποσοστά θνησιμότητας</w:t>
      </w:r>
      <w:r w:rsidRPr="005A464E">
        <w:rPr>
          <w:sz w:val="24"/>
          <w:szCs w:val="24"/>
        </w:rPr>
        <w:t>, οι αντικειμενικές μετρήσεις</w:t>
      </w:r>
      <w:r w:rsidR="0078495A">
        <w:rPr>
          <w:sz w:val="24"/>
          <w:szCs w:val="24"/>
        </w:rPr>
        <w:t xml:space="preserve"> </w:t>
      </w:r>
      <w:r w:rsidRPr="005A464E">
        <w:rPr>
          <w:sz w:val="24"/>
          <w:szCs w:val="24"/>
        </w:rPr>
        <w:t>αποκαλύπτουν μόνο αν ο ασθενής είναι στο αναμενόμενο εύρος θνησιμότητας, χωρίς να χυθεί καθόλου φως στην</w:t>
      </w:r>
      <w:r w:rsidR="0078495A">
        <w:rPr>
          <w:sz w:val="24"/>
          <w:szCs w:val="24"/>
        </w:rPr>
        <w:t xml:space="preserve"> </w:t>
      </w:r>
      <w:r w:rsidRPr="005A464E">
        <w:rPr>
          <w:sz w:val="24"/>
          <w:szCs w:val="24"/>
        </w:rPr>
        <w:t>ποιότητα της ζωής τους και πώς αυτή μπορεί</w:t>
      </w:r>
      <w:r w:rsidR="009B346C" w:rsidRPr="005A464E">
        <w:rPr>
          <w:sz w:val="24"/>
          <w:szCs w:val="24"/>
        </w:rPr>
        <w:t xml:space="preserve"> να βελτιωθεί (</w:t>
      </w:r>
      <w:r w:rsidR="009B346C" w:rsidRPr="005A464E">
        <w:rPr>
          <w:sz w:val="24"/>
          <w:szCs w:val="24"/>
          <w:lang w:val="en-US"/>
        </w:rPr>
        <w:t>Santos</w:t>
      </w:r>
      <w:r w:rsidR="003E723E">
        <w:rPr>
          <w:sz w:val="24"/>
          <w:szCs w:val="24"/>
        </w:rPr>
        <w:t>,</w:t>
      </w:r>
      <w:r w:rsidR="009B346C" w:rsidRPr="005A464E">
        <w:rPr>
          <w:sz w:val="24"/>
          <w:szCs w:val="24"/>
        </w:rPr>
        <w:t xml:space="preserve"> 2011)</w:t>
      </w:r>
      <w:r w:rsidR="00874F08" w:rsidRPr="005A464E">
        <w:rPr>
          <w:sz w:val="24"/>
          <w:szCs w:val="24"/>
        </w:rPr>
        <w:t>.</w:t>
      </w:r>
    </w:p>
    <w:p w:rsidR="00F04DCA" w:rsidRPr="005A464E" w:rsidRDefault="00F04DCA" w:rsidP="005A464E">
      <w:pPr>
        <w:spacing w:line="360" w:lineRule="auto"/>
        <w:jc w:val="both"/>
        <w:rPr>
          <w:sz w:val="24"/>
          <w:szCs w:val="24"/>
        </w:rPr>
      </w:pPr>
      <w:r w:rsidRPr="005A464E">
        <w:rPr>
          <w:sz w:val="24"/>
          <w:szCs w:val="24"/>
        </w:rPr>
        <w:t>Η εμφάνιση αρκετών αξιόπιστων</w:t>
      </w:r>
      <w:r w:rsidR="00335E5B" w:rsidRPr="005A464E">
        <w:rPr>
          <w:sz w:val="24"/>
          <w:szCs w:val="24"/>
        </w:rPr>
        <w:t xml:space="preserve"> ερωτηματολογίων επιτρέπε</w:t>
      </w:r>
      <w:r w:rsidRPr="005A464E">
        <w:rPr>
          <w:sz w:val="24"/>
          <w:szCs w:val="24"/>
        </w:rPr>
        <w:t>ι την ποσοτική μέτρηση της ΠΖ. Τα πιο δημοφιλή εργαλεία για τη μέτρηση της ΠΖ χρησιμοποιούν αριθμητικές κλίμακες καθιστώντας τα ελκυστικά καθώς οι επαγγελματίες υγείας συνηθίζουν να εργάζονται με ποσοτικές μεταβλητές. Τα ερωτηματολόγια</w:t>
      </w:r>
      <w:r w:rsidR="00712B63" w:rsidRPr="005A464E">
        <w:rPr>
          <w:sz w:val="24"/>
          <w:szCs w:val="24"/>
        </w:rPr>
        <w:t xml:space="preserve"> αυτά έλυσαν</w:t>
      </w:r>
      <w:r w:rsidRPr="005A464E">
        <w:rPr>
          <w:sz w:val="24"/>
          <w:szCs w:val="24"/>
        </w:rPr>
        <w:t xml:space="preserve"> το βασικό πρόβλημα της </w:t>
      </w:r>
      <w:r w:rsidRPr="00A4175B">
        <w:rPr>
          <w:sz w:val="24"/>
          <w:szCs w:val="24"/>
        </w:rPr>
        <w:t xml:space="preserve">μελέτης </w:t>
      </w:r>
      <w:r w:rsidR="00DF16A7" w:rsidRPr="00A4175B">
        <w:rPr>
          <w:sz w:val="24"/>
          <w:szCs w:val="24"/>
        </w:rPr>
        <w:t xml:space="preserve">της </w:t>
      </w:r>
      <w:r w:rsidRPr="00A4175B">
        <w:rPr>
          <w:sz w:val="24"/>
          <w:szCs w:val="24"/>
        </w:rPr>
        <w:t xml:space="preserve">ΠΖ. Έτσι, όταν τα συναισθήματα, οι κρίσεις και οι απόψεις μεταφράζονται σε κλίμακες, η προκύπτουσα μέτρηση μπορεί να συνδέεται με άλλα παραδοσιακά αποτελέσματα, όπως οι </w:t>
      </w:r>
      <w:r w:rsidR="00712B63" w:rsidRPr="00A4175B">
        <w:rPr>
          <w:sz w:val="24"/>
          <w:szCs w:val="24"/>
        </w:rPr>
        <w:t>εργαστηριακοί</w:t>
      </w:r>
      <w:r w:rsidRPr="00A4175B">
        <w:rPr>
          <w:sz w:val="24"/>
          <w:szCs w:val="24"/>
        </w:rPr>
        <w:t xml:space="preserve"> δ</w:t>
      </w:r>
      <w:r w:rsidR="000B4781" w:rsidRPr="00A4175B">
        <w:rPr>
          <w:sz w:val="24"/>
          <w:szCs w:val="24"/>
        </w:rPr>
        <w:t>είκτες,</w:t>
      </w:r>
      <w:r w:rsidRPr="00A4175B">
        <w:rPr>
          <w:sz w:val="24"/>
          <w:szCs w:val="24"/>
        </w:rPr>
        <w:t xml:space="preserve"> η νοσηρότητα, η θνησιμότητα και τα ποσοστά συμμόρφωσης στη θεραπεία. Αυτό συνέβη στη δεκαετία του 1990, όταν </w:t>
      </w:r>
      <w:r w:rsidR="000B4781" w:rsidRPr="00A4175B">
        <w:rPr>
          <w:sz w:val="24"/>
          <w:szCs w:val="24"/>
        </w:rPr>
        <w:t xml:space="preserve">χαμηλές </w:t>
      </w:r>
      <w:r w:rsidRPr="00A4175B">
        <w:rPr>
          <w:sz w:val="24"/>
          <w:szCs w:val="24"/>
        </w:rPr>
        <w:t>βαθμολογίες</w:t>
      </w:r>
      <w:r w:rsidRPr="005A464E">
        <w:rPr>
          <w:sz w:val="24"/>
          <w:szCs w:val="24"/>
        </w:rPr>
        <w:t xml:space="preserve"> της ΠΖ είχαν αναγνωρισθεί ως ένας ισχυρός προγνωστικός παράγοντας νοσηρότητας και θανάτου, όχι μόνο σε μεγάλες κλινικές δοκιμές, αλλά και σε μικρά δείγματα ασθενών απ</w:t>
      </w:r>
      <w:r w:rsidR="000B4781">
        <w:rPr>
          <w:sz w:val="24"/>
          <w:szCs w:val="24"/>
        </w:rPr>
        <w:t>ό μικρές ΜΤΝ</w:t>
      </w:r>
      <w:r w:rsidR="009B346C" w:rsidRPr="005A464E">
        <w:rPr>
          <w:sz w:val="24"/>
          <w:szCs w:val="24"/>
        </w:rPr>
        <w:t xml:space="preserve"> (Kalantar-Zadeh </w:t>
      </w:r>
      <w:r w:rsidR="00566CAA">
        <w:rPr>
          <w:sz w:val="24"/>
          <w:szCs w:val="24"/>
        </w:rPr>
        <w:t>et al</w:t>
      </w:r>
      <w:r w:rsidR="003B4333">
        <w:rPr>
          <w:sz w:val="24"/>
          <w:szCs w:val="24"/>
        </w:rPr>
        <w:t>.</w:t>
      </w:r>
      <w:r w:rsidR="00AC5B2C" w:rsidRPr="00AC5B2C">
        <w:rPr>
          <w:sz w:val="24"/>
          <w:szCs w:val="24"/>
        </w:rPr>
        <w:t>,</w:t>
      </w:r>
      <w:r w:rsidRPr="005A464E">
        <w:rPr>
          <w:sz w:val="24"/>
          <w:szCs w:val="24"/>
        </w:rPr>
        <w:t xml:space="preserve"> 2001).</w:t>
      </w:r>
    </w:p>
    <w:p w:rsidR="00566725" w:rsidRPr="005A464E" w:rsidRDefault="00F04DCA" w:rsidP="005A464E">
      <w:pPr>
        <w:spacing w:line="360" w:lineRule="auto"/>
        <w:jc w:val="both"/>
        <w:rPr>
          <w:sz w:val="24"/>
          <w:szCs w:val="24"/>
        </w:rPr>
      </w:pPr>
      <w:r w:rsidRPr="005A464E">
        <w:rPr>
          <w:sz w:val="24"/>
          <w:szCs w:val="24"/>
        </w:rPr>
        <w:t>Η</w:t>
      </w:r>
      <w:r w:rsidR="0015240C">
        <w:rPr>
          <w:sz w:val="24"/>
          <w:szCs w:val="24"/>
        </w:rPr>
        <w:t xml:space="preserve"> </w:t>
      </w:r>
      <w:r w:rsidR="0015240C" w:rsidRPr="00A4175B">
        <w:rPr>
          <w:sz w:val="24"/>
          <w:szCs w:val="24"/>
        </w:rPr>
        <w:t>ύπαρξη πολλών</w:t>
      </w:r>
      <w:r w:rsidRPr="00A4175B">
        <w:rPr>
          <w:sz w:val="24"/>
          <w:szCs w:val="24"/>
        </w:rPr>
        <w:t xml:space="preserve"> </w:t>
      </w:r>
      <w:r w:rsidR="0015240C" w:rsidRPr="00A4175B">
        <w:rPr>
          <w:sz w:val="24"/>
          <w:szCs w:val="24"/>
        </w:rPr>
        <w:t>διαστάσεων</w:t>
      </w:r>
      <w:r w:rsidRPr="00A4175B">
        <w:rPr>
          <w:sz w:val="24"/>
          <w:szCs w:val="24"/>
        </w:rPr>
        <w:t xml:space="preserve"> της ΠΖ είναι </w:t>
      </w:r>
      <w:r w:rsidR="00330612" w:rsidRPr="00A4175B">
        <w:rPr>
          <w:sz w:val="24"/>
          <w:szCs w:val="24"/>
        </w:rPr>
        <w:t>ο λόγος για τον κεντρικό ρόλο που κατέχει η ΠΖ</w:t>
      </w:r>
      <w:r w:rsidRPr="00A4175B">
        <w:rPr>
          <w:sz w:val="24"/>
          <w:szCs w:val="24"/>
        </w:rPr>
        <w:t xml:space="preserve">. Οι ορισμοί του </w:t>
      </w:r>
      <w:r w:rsidR="0015240C" w:rsidRPr="00A4175B">
        <w:rPr>
          <w:sz w:val="24"/>
          <w:szCs w:val="24"/>
        </w:rPr>
        <w:t>ΠΟΥ</w:t>
      </w:r>
      <w:r w:rsidRPr="00A4175B">
        <w:rPr>
          <w:sz w:val="24"/>
          <w:szCs w:val="24"/>
        </w:rPr>
        <w:t xml:space="preserve"> για την υγεία και την ποιότητα ζωής, όπως η συνολική (σωματική, ψυχική και κοινωνική</w:t>
      </w:r>
      <w:r w:rsidRPr="005A464E">
        <w:rPr>
          <w:sz w:val="24"/>
          <w:szCs w:val="24"/>
        </w:rPr>
        <w:t>) ευεξία και όχι μόνο η απουσία ασθένειας</w:t>
      </w:r>
      <w:r w:rsidR="00712B63" w:rsidRPr="005A464E">
        <w:rPr>
          <w:sz w:val="24"/>
          <w:szCs w:val="24"/>
        </w:rPr>
        <w:t>,</w:t>
      </w:r>
      <w:r w:rsidRPr="005A464E">
        <w:rPr>
          <w:sz w:val="24"/>
          <w:szCs w:val="24"/>
        </w:rPr>
        <w:t xml:space="preserve"> ήταν η βάση για την κατασκευή όλα τα εργαλείων για τη μέτρηση της ΠΖ. Λόγω </w:t>
      </w:r>
      <w:r w:rsidR="00305BD4">
        <w:rPr>
          <w:sz w:val="24"/>
          <w:szCs w:val="24"/>
        </w:rPr>
        <w:t xml:space="preserve">της ευρύτητας </w:t>
      </w:r>
      <w:r w:rsidRPr="005A464E">
        <w:rPr>
          <w:sz w:val="24"/>
          <w:szCs w:val="24"/>
        </w:rPr>
        <w:t>αυτών των ορ</w:t>
      </w:r>
      <w:r w:rsidR="00874F08" w:rsidRPr="005A464E">
        <w:rPr>
          <w:sz w:val="24"/>
          <w:szCs w:val="24"/>
        </w:rPr>
        <w:t>ισμών, τα εργαλεία μέτρησης της</w:t>
      </w:r>
      <w:r w:rsidRPr="005A464E">
        <w:rPr>
          <w:sz w:val="24"/>
          <w:szCs w:val="24"/>
        </w:rPr>
        <w:t xml:space="preserve"> ΠΖ προσπαθούν </w:t>
      </w:r>
      <w:r w:rsidR="00712B63" w:rsidRPr="005A464E">
        <w:rPr>
          <w:sz w:val="24"/>
          <w:szCs w:val="24"/>
        </w:rPr>
        <w:t>να συνοψίσουν</w:t>
      </w:r>
      <w:r w:rsidRPr="005A464E">
        <w:rPr>
          <w:sz w:val="24"/>
          <w:szCs w:val="24"/>
        </w:rPr>
        <w:t xml:space="preserve"> τις αντιλήψεις των διαφόρων διαστάσεων της ζω</w:t>
      </w:r>
      <w:r w:rsidR="00712B63" w:rsidRPr="005A464E">
        <w:rPr>
          <w:sz w:val="24"/>
          <w:szCs w:val="24"/>
        </w:rPr>
        <w:t>ής σε ένα αποτέλεσμα. Στην πραγ</w:t>
      </w:r>
      <w:r w:rsidRPr="005A464E">
        <w:rPr>
          <w:sz w:val="24"/>
          <w:szCs w:val="24"/>
        </w:rPr>
        <w:t>μ</w:t>
      </w:r>
      <w:r w:rsidR="00712B63" w:rsidRPr="005A464E">
        <w:rPr>
          <w:sz w:val="24"/>
          <w:szCs w:val="24"/>
        </w:rPr>
        <w:t>α</w:t>
      </w:r>
      <w:r w:rsidRPr="005A464E">
        <w:rPr>
          <w:sz w:val="24"/>
          <w:szCs w:val="24"/>
        </w:rPr>
        <w:t>τικότητα, ένα εργαλείο ΠΖ πρέπει να αξι</w:t>
      </w:r>
      <w:r w:rsidR="0085076B">
        <w:rPr>
          <w:sz w:val="24"/>
          <w:szCs w:val="24"/>
        </w:rPr>
        <w:t xml:space="preserve">ολογεί τουλάχιστον </w:t>
      </w:r>
      <w:r w:rsidR="00BA566F">
        <w:rPr>
          <w:sz w:val="24"/>
          <w:szCs w:val="24"/>
        </w:rPr>
        <w:t xml:space="preserve">δύο </w:t>
      </w:r>
      <w:r w:rsidR="0085076B">
        <w:rPr>
          <w:sz w:val="24"/>
          <w:szCs w:val="24"/>
        </w:rPr>
        <w:t xml:space="preserve">επίπεδα: </w:t>
      </w:r>
      <w:r w:rsidR="00642A60">
        <w:rPr>
          <w:sz w:val="24"/>
          <w:szCs w:val="24"/>
        </w:rPr>
        <w:t>Λειτουργικότητα (ικανότητα</w:t>
      </w:r>
      <w:r w:rsidRPr="005A464E">
        <w:rPr>
          <w:sz w:val="24"/>
          <w:szCs w:val="24"/>
        </w:rPr>
        <w:t xml:space="preserve"> </w:t>
      </w:r>
      <w:r w:rsidR="00B0560D">
        <w:rPr>
          <w:sz w:val="24"/>
          <w:szCs w:val="24"/>
        </w:rPr>
        <w:t>του ασθενούς</w:t>
      </w:r>
      <w:r w:rsidRPr="005A464E">
        <w:rPr>
          <w:sz w:val="24"/>
          <w:szCs w:val="24"/>
        </w:rPr>
        <w:t xml:space="preserve"> να εκτελεί </w:t>
      </w:r>
      <w:r w:rsidR="0085076B">
        <w:rPr>
          <w:sz w:val="24"/>
          <w:szCs w:val="24"/>
        </w:rPr>
        <w:t>καθημερινές δραστηριότητες) και</w:t>
      </w:r>
      <w:r w:rsidRPr="005A464E">
        <w:rPr>
          <w:sz w:val="24"/>
          <w:szCs w:val="24"/>
        </w:rPr>
        <w:t xml:space="preserve"> αντιληφθείσα ευημερία</w:t>
      </w:r>
      <w:r w:rsidR="0078495A">
        <w:rPr>
          <w:sz w:val="24"/>
          <w:szCs w:val="24"/>
        </w:rPr>
        <w:t xml:space="preserve"> </w:t>
      </w:r>
      <w:r w:rsidR="00642A60">
        <w:rPr>
          <w:sz w:val="24"/>
          <w:szCs w:val="24"/>
        </w:rPr>
        <w:t>(συναισθηματική,</w:t>
      </w:r>
      <w:r w:rsidRPr="005A464E">
        <w:rPr>
          <w:sz w:val="24"/>
          <w:szCs w:val="24"/>
        </w:rPr>
        <w:t xml:space="preserve"> ψυχική ευεξία </w:t>
      </w:r>
      <w:r w:rsidR="00642A60">
        <w:rPr>
          <w:sz w:val="24"/>
          <w:szCs w:val="24"/>
        </w:rPr>
        <w:t xml:space="preserve">καθώς </w:t>
      </w:r>
      <w:r w:rsidRPr="005A464E">
        <w:rPr>
          <w:sz w:val="24"/>
          <w:szCs w:val="24"/>
        </w:rPr>
        <w:t>και την ικανοποίηση</w:t>
      </w:r>
      <w:r w:rsidR="0078495A">
        <w:rPr>
          <w:sz w:val="24"/>
          <w:szCs w:val="24"/>
        </w:rPr>
        <w:t xml:space="preserve"> </w:t>
      </w:r>
      <w:r w:rsidRPr="005A464E">
        <w:rPr>
          <w:sz w:val="24"/>
          <w:szCs w:val="24"/>
        </w:rPr>
        <w:t>στις</w:t>
      </w:r>
      <w:r w:rsidR="009B346C" w:rsidRPr="005A464E">
        <w:rPr>
          <w:sz w:val="24"/>
          <w:szCs w:val="24"/>
        </w:rPr>
        <w:t xml:space="preserve"> κοινωνικές δραστηριότητες) (</w:t>
      </w:r>
      <w:r w:rsidR="009B346C" w:rsidRPr="005A464E">
        <w:rPr>
          <w:sz w:val="24"/>
          <w:szCs w:val="24"/>
          <w:lang w:val="en-US"/>
        </w:rPr>
        <w:t>Santos</w:t>
      </w:r>
      <w:r w:rsidR="003E723E">
        <w:rPr>
          <w:sz w:val="24"/>
          <w:szCs w:val="24"/>
        </w:rPr>
        <w:t>,</w:t>
      </w:r>
      <w:r w:rsidR="009B346C" w:rsidRPr="005A464E">
        <w:rPr>
          <w:sz w:val="24"/>
          <w:szCs w:val="24"/>
        </w:rPr>
        <w:t xml:space="preserve"> 2011).</w:t>
      </w:r>
      <w:r w:rsidR="00642A60">
        <w:rPr>
          <w:sz w:val="24"/>
          <w:szCs w:val="24"/>
        </w:rPr>
        <w:t xml:space="preserve"> </w:t>
      </w:r>
      <w:r w:rsidRPr="005A464E">
        <w:rPr>
          <w:sz w:val="24"/>
          <w:szCs w:val="24"/>
        </w:rPr>
        <w:t xml:space="preserve">Αυτά τα </w:t>
      </w:r>
      <w:r w:rsidR="00BA566F">
        <w:rPr>
          <w:sz w:val="24"/>
          <w:szCs w:val="24"/>
        </w:rPr>
        <w:t xml:space="preserve">δύο </w:t>
      </w:r>
      <w:r w:rsidRPr="005A464E">
        <w:rPr>
          <w:sz w:val="24"/>
          <w:szCs w:val="24"/>
        </w:rPr>
        <w:t>επίπε</w:t>
      </w:r>
      <w:r w:rsidR="00642A60">
        <w:rPr>
          <w:sz w:val="24"/>
          <w:szCs w:val="24"/>
        </w:rPr>
        <w:t>δα συνδυάζονται σε ένα εργαλείο</w:t>
      </w:r>
      <w:r w:rsidR="00C57856">
        <w:rPr>
          <w:sz w:val="24"/>
          <w:szCs w:val="24"/>
        </w:rPr>
        <w:t>,</w:t>
      </w:r>
      <w:r w:rsidR="00642A60">
        <w:rPr>
          <w:sz w:val="24"/>
          <w:szCs w:val="24"/>
        </w:rPr>
        <w:t xml:space="preserve"> </w:t>
      </w:r>
      <w:r w:rsidRPr="005A464E">
        <w:rPr>
          <w:sz w:val="24"/>
          <w:szCs w:val="24"/>
        </w:rPr>
        <w:t xml:space="preserve">το οποίο διακρίνει τη μέτρηση της ΠΖ από άλλες υποκειμενικές μετρήσεις. Άλλα υποκειμενικά μέτρα επικεντρώνονται σε συγκεκριμένες πτυχές της ψυχικής υγείας (κατάθλιψη), την </w:t>
      </w:r>
      <w:r w:rsidRPr="00C912D7">
        <w:rPr>
          <w:sz w:val="24"/>
          <w:szCs w:val="24"/>
        </w:rPr>
        <w:t>προσωπικότητα (πνευμ</w:t>
      </w:r>
      <w:r w:rsidR="00E61168" w:rsidRPr="00C912D7">
        <w:rPr>
          <w:sz w:val="24"/>
          <w:szCs w:val="24"/>
        </w:rPr>
        <w:t>ατικότητα,</w:t>
      </w:r>
      <w:r w:rsidR="00874F08" w:rsidRPr="00C912D7">
        <w:rPr>
          <w:sz w:val="24"/>
          <w:szCs w:val="24"/>
        </w:rPr>
        <w:t xml:space="preserve"> τρόπο</w:t>
      </w:r>
      <w:r w:rsidRPr="00C912D7">
        <w:rPr>
          <w:sz w:val="24"/>
          <w:szCs w:val="24"/>
        </w:rPr>
        <w:t xml:space="preserve"> αντιμετώπισης) και </w:t>
      </w:r>
      <w:r w:rsidR="00874F08" w:rsidRPr="00C912D7">
        <w:rPr>
          <w:sz w:val="24"/>
          <w:szCs w:val="24"/>
        </w:rPr>
        <w:t xml:space="preserve">τη </w:t>
      </w:r>
      <w:r w:rsidRPr="00C912D7">
        <w:rPr>
          <w:sz w:val="24"/>
          <w:szCs w:val="24"/>
        </w:rPr>
        <w:t>συμπεριφορά (σεξουαλικότη</w:t>
      </w:r>
      <w:r w:rsidR="00642A60" w:rsidRPr="00C912D7">
        <w:rPr>
          <w:sz w:val="24"/>
          <w:szCs w:val="24"/>
        </w:rPr>
        <w:t>τα). Σε αντίθεση με τ</w:t>
      </w:r>
      <w:r w:rsidRPr="00C912D7">
        <w:rPr>
          <w:sz w:val="24"/>
          <w:szCs w:val="24"/>
        </w:rPr>
        <w:t xml:space="preserve">α </w:t>
      </w:r>
      <w:r w:rsidR="00642A60" w:rsidRPr="00C912D7">
        <w:rPr>
          <w:sz w:val="24"/>
          <w:szCs w:val="24"/>
        </w:rPr>
        <w:t xml:space="preserve"> ερ</w:t>
      </w:r>
      <w:r w:rsidR="00305BD4" w:rsidRPr="00C912D7">
        <w:rPr>
          <w:sz w:val="24"/>
          <w:szCs w:val="24"/>
        </w:rPr>
        <w:t>γαλεία ΠΖ τα οποία είναι πολυδιά</w:t>
      </w:r>
      <w:r w:rsidR="00642A60" w:rsidRPr="00C912D7">
        <w:rPr>
          <w:sz w:val="24"/>
          <w:szCs w:val="24"/>
        </w:rPr>
        <w:t>στατα, τα άλλα υποκειμενικά εργαλεί</w:t>
      </w:r>
      <w:r w:rsidRPr="00C912D7">
        <w:rPr>
          <w:sz w:val="24"/>
          <w:szCs w:val="24"/>
        </w:rPr>
        <w:t xml:space="preserve">α είναι μονοδιάστατα και δεν μπορούν </w:t>
      </w:r>
      <w:r w:rsidR="00642A60" w:rsidRPr="00C912D7">
        <w:rPr>
          <w:sz w:val="24"/>
          <w:szCs w:val="24"/>
        </w:rPr>
        <w:t>να καλύψουν τις υπό μέτρηση έννοιες</w:t>
      </w:r>
      <w:r w:rsidRPr="00C912D7">
        <w:rPr>
          <w:sz w:val="24"/>
          <w:szCs w:val="24"/>
        </w:rPr>
        <w:t xml:space="preserve">. </w:t>
      </w:r>
      <w:r w:rsidR="00795CC8" w:rsidRPr="00C912D7">
        <w:rPr>
          <w:sz w:val="24"/>
          <w:szCs w:val="24"/>
        </w:rPr>
        <w:t>(</w:t>
      </w:r>
      <w:r w:rsidR="00795CC8" w:rsidRPr="00C912D7">
        <w:rPr>
          <w:sz w:val="24"/>
          <w:szCs w:val="24"/>
          <w:lang w:val="en-US"/>
        </w:rPr>
        <w:t>Santos</w:t>
      </w:r>
      <w:r w:rsidR="003E723E" w:rsidRPr="00C912D7">
        <w:rPr>
          <w:sz w:val="24"/>
          <w:szCs w:val="24"/>
        </w:rPr>
        <w:t>,</w:t>
      </w:r>
      <w:r w:rsidR="00795CC8" w:rsidRPr="00C912D7">
        <w:rPr>
          <w:sz w:val="24"/>
          <w:szCs w:val="24"/>
        </w:rPr>
        <w:t xml:space="preserve"> 2011).</w:t>
      </w:r>
      <w:r w:rsidR="00335E5B" w:rsidRPr="00C912D7">
        <w:rPr>
          <w:sz w:val="24"/>
          <w:szCs w:val="24"/>
          <w:lang w:val="en-US"/>
        </w:rPr>
        <w:t>T</w:t>
      </w:r>
      <w:r w:rsidR="00335E5B" w:rsidRPr="00C912D7">
        <w:rPr>
          <w:sz w:val="24"/>
          <w:szCs w:val="24"/>
        </w:rPr>
        <w:t xml:space="preserve">α εργαλεία μέτρησης της ΠΖ </w:t>
      </w:r>
      <w:r w:rsidR="00642A60" w:rsidRPr="00C912D7">
        <w:rPr>
          <w:sz w:val="24"/>
          <w:szCs w:val="24"/>
        </w:rPr>
        <w:t>ταξινομ</w:t>
      </w:r>
      <w:r w:rsidR="00714F5B" w:rsidRPr="00C912D7">
        <w:rPr>
          <w:sz w:val="24"/>
          <w:szCs w:val="24"/>
        </w:rPr>
        <w:t>ούνται</w:t>
      </w:r>
      <w:r w:rsidR="00335E5B" w:rsidRPr="00C912D7">
        <w:rPr>
          <w:sz w:val="24"/>
          <w:szCs w:val="24"/>
        </w:rPr>
        <w:t xml:space="preserve"> ως γενικά ή ειδικά ανάλογα με τη νόσο.</w:t>
      </w:r>
      <w:r w:rsidR="00C912D7">
        <w:rPr>
          <w:sz w:val="24"/>
          <w:szCs w:val="24"/>
        </w:rPr>
        <w:t xml:space="preserve"> </w:t>
      </w:r>
      <w:r w:rsidR="00335E5B" w:rsidRPr="00C912D7">
        <w:rPr>
          <w:sz w:val="24"/>
          <w:szCs w:val="24"/>
        </w:rPr>
        <w:t xml:space="preserve">Σύμφωνα με τους </w:t>
      </w:r>
      <w:r w:rsidR="00335E5B" w:rsidRPr="00C912D7">
        <w:rPr>
          <w:sz w:val="24"/>
          <w:szCs w:val="24"/>
          <w:lang w:val="en-US"/>
        </w:rPr>
        <w:t>Guyatt</w:t>
      </w:r>
      <w:r w:rsidR="000848D6" w:rsidRPr="00C912D7">
        <w:rPr>
          <w:sz w:val="24"/>
          <w:szCs w:val="24"/>
        </w:rPr>
        <w:t>,</w:t>
      </w:r>
      <w:r w:rsidR="000848D6" w:rsidRPr="00C912D7">
        <w:rPr>
          <w:rFonts w:asciiTheme="minorHAnsi" w:hAnsiTheme="minorHAnsi" w:cstheme="minorHAnsi"/>
        </w:rPr>
        <w:t xml:space="preserve"> </w:t>
      </w:r>
      <w:r w:rsidR="000848D6" w:rsidRPr="00C912D7">
        <w:rPr>
          <w:rFonts w:asciiTheme="minorHAnsi" w:hAnsiTheme="minorHAnsi" w:cstheme="minorHAnsi"/>
          <w:sz w:val="24"/>
          <w:szCs w:val="24"/>
          <w:lang w:val="en-US"/>
        </w:rPr>
        <w:t>Feeny</w:t>
      </w:r>
      <w:r w:rsidR="00A903C2" w:rsidRPr="00C912D7">
        <w:rPr>
          <w:rFonts w:asciiTheme="minorHAnsi" w:hAnsiTheme="minorHAnsi" w:cstheme="minorHAnsi"/>
          <w:sz w:val="24"/>
          <w:szCs w:val="24"/>
        </w:rPr>
        <w:t xml:space="preserve"> και</w:t>
      </w:r>
      <w:r w:rsidR="000848D6" w:rsidRPr="00C912D7">
        <w:rPr>
          <w:rFonts w:asciiTheme="minorHAnsi" w:hAnsiTheme="minorHAnsi" w:cstheme="minorHAnsi"/>
          <w:sz w:val="24"/>
          <w:szCs w:val="24"/>
        </w:rPr>
        <w:t xml:space="preserve"> </w:t>
      </w:r>
      <w:r w:rsidR="000848D6" w:rsidRPr="00C912D7">
        <w:rPr>
          <w:rFonts w:asciiTheme="minorHAnsi" w:hAnsiTheme="minorHAnsi" w:cstheme="minorHAnsi"/>
          <w:sz w:val="24"/>
          <w:szCs w:val="24"/>
          <w:lang w:val="en-US"/>
        </w:rPr>
        <w:t>Patrick</w:t>
      </w:r>
      <w:r w:rsidR="000848D6" w:rsidRPr="00C912D7">
        <w:rPr>
          <w:sz w:val="24"/>
          <w:szCs w:val="24"/>
        </w:rPr>
        <w:t xml:space="preserve"> (1993)</w:t>
      </w:r>
      <w:r w:rsidR="00335E5B" w:rsidRPr="00C912D7">
        <w:rPr>
          <w:sz w:val="24"/>
          <w:szCs w:val="24"/>
        </w:rPr>
        <w:t xml:space="preserve"> τα γενικά εργαλεία περιλαμβάνουν δείκτες, προφίλ υγείας</w:t>
      </w:r>
      <w:r w:rsidR="00124678" w:rsidRPr="00C912D7">
        <w:rPr>
          <w:sz w:val="24"/>
          <w:szCs w:val="24"/>
        </w:rPr>
        <w:t xml:space="preserve"> </w:t>
      </w:r>
      <w:r w:rsidR="00714F5B" w:rsidRPr="00C912D7">
        <w:rPr>
          <w:sz w:val="24"/>
          <w:szCs w:val="24"/>
        </w:rPr>
        <w:t>και προτιμήσεις ασθενή</w:t>
      </w:r>
      <w:r w:rsidR="00335E5B" w:rsidRPr="00C912D7">
        <w:rPr>
          <w:sz w:val="24"/>
          <w:szCs w:val="24"/>
        </w:rPr>
        <w:t>. Ο</w:t>
      </w:r>
      <w:r w:rsidR="00124678" w:rsidRPr="00C912D7">
        <w:rPr>
          <w:sz w:val="24"/>
          <w:szCs w:val="24"/>
        </w:rPr>
        <w:t>ι δείκτες</w:t>
      </w:r>
      <w:r w:rsidR="00335E5B" w:rsidRPr="00C912D7">
        <w:rPr>
          <w:sz w:val="24"/>
          <w:szCs w:val="24"/>
        </w:rPr>
        <w:t xml:space="preserve"> είναι με τη μορφή απλών ερωτήσεων, όπως</w:t>
      </w:r>
      <w:r w:rsidR="00335E5B" w:rsidRPr="005A464E">
        <w:rPr>
          <w:sz w:val="24"/>
          <w:szCs w:val="24"/>
        </w:rPr>
        <w:t>: «Πώς είναι η ποιότητα της ζωής σας;»</w:t>
      </w:r>
      <w:r w:rsidR="00A903C2">
        <w:rPr>
          <w:sz w:val="24"/>
          <w:szCs w:val="24"/>
        </w:rPr>
        <w:t>.</w:t>
      </w:r>
      <w:r w:rsidR="00714F5B" w:rsidRPr="005A464E">
        <w:rPr>
          <w:sz w:val="24"/>
          <w:szCs w:val="24"/>
        </w:rPr>
        <w:t xml:space="preserve"> Το προφίλ υγείας είναι το πιο συχνά χρησιμοποιούμενο μέτρο αξιολόγησης της ΠΖ και παρουσιάζεται με τη μορφή ερωτηματολογίου που ζητά από τους χρήστες τις αντιλήψεις τους σε πραγματικές πτυχές της υγείας (</w:t>
      </w:r>
      <w:r w:rsidR="004034C9" w:rsidRPr="005A464E">
        <w:rPr>
          <w:sz w:val="24"/>
          <w:szCs w:val="24"/>
          <w:lang w:val="en-US"/>
        </w:rPr>
        <w:t>Valterr</w:t>
      </w:r>
      <w:r w:rsidR="004034C9" w:rsidRPr="005A464E">
        <w:rPr>
          <w:rFonts w:cstheme="minorHAnsi"/>
          <w:sz w:val="24"/>
          <w:szCs w:val="24"/>
        </w:rPr>
        <w:t>á</w:t>
      </w:r>
      <w:r w:rsidR="00714F5B" w:rsidRPr="005A464E">
        <w:rPr>
          <w:sz w:val="24"/>
          <w:szCs w:val="24"/>
          <w:lang w:val="en-US"/>
        </w:rPr>
        <w:t>bano</w:t>
      </w:r>
      <w:r w:rsidR="00124678" w:rsidRPr="005A464E">
        <w:rPr>
          <w:sz w:val="24"/>
          <w:szCs w:val="24"/>
        </w:rPr>
        <w:t xml:space="preserve"> </w:t>
      </w:r>
      <w:r w:rsidR="00566CAA">
        <w:rPr>
          <w:sz w:val="24"/>
          <w:szCs w:val="24"/>
        </w:rPr>
        <w:t>et al</w:t>
      </w:r>
      <w:r w:rsidR="000848D6">
        <w:rPr>
          <w:sz w:val="24"/>
          <w:szCs w:val="24"/>
        </w:rPr>
        <w:t>.</w:t>
      </w:r>
      <w:r w:rsidR="0085076B">
        <w:rPr>
          <w:sz w:val="24"/>
          <w:szCs w:val="24"/>
        </w:rPr>
        <w:t>,</w:t>
      </w:r>
      <w:r w:rsidR="00714F5B" w:rsidRPr="005A464E">
        <w:rPr>
          <w:sz w:val="24"/>
          <w:szCs w:val="24"/>
        </w:rPr>
        <w:t xml:space="preserve"> 2001). Οι προτιμήσεις </w:t>
      </w:r>
      <w:r w:rsidR="00B0560D">
        <w:rPr>
          <w:sz w:val="24"/>
          <w:szCs w:val="24"/>
        </w:rPr>
        <w:t>του ασθενούς</w:t>
      </w:r>
      <w:r w:rsidR="00714F5B" w:rsidRPr="005A464E">
        <w:rPr>
          <w:sz w:val="24"/>
          <w:szCs w:val="24"/>
        </w:rPr>
        <w:t xml:space="preserve"> δείχνουν την επίδραση της νόσου στην ΠΖ </w:t>
      </w:r>
      <w:r w:rsidR="00B0560D">
        <w:rPr>
          <w:sz w:val="24"/>
          <w:szCs w:val="24"/>
        </w:rPr>
        <w:t>του ασθενούς</w:t>
      </w:r>
      <w:r w:rsidR="00714F5B" w:rsidRPr="005A464E">
        <w:rPr>
          <w:sz w:val="24"/>
          <w:szCs w:val="24"/>
        </w:rPr>
        <w:t xml:space="preserve"> και τις προτιμήσεις </w:t>
      </w:r>
      <w:r w:rsidR="00B0560D">
        <w:rPr>
          <w:sz w:val="24"/>
          <w:szCs w:val="24"/>
        </w:rPr>
        <w:t>του ασθενούς</w:t>
      </w:r>
      <w:r w:rsidR="00E61168">
        <w:rPr>
          <w:sz w:val="24"/>
          <w:szCs w:val="24"/>
        </w:rPr>
        <w:t xml:space="preserve"> σχετικά με τη</w:t>
      </w:r>
      <w:r w:rsidR="00714F5B" w:rsidRPr="005A464E">
        <w:rPr>
          <w:sz w:val="24"/>
          <w:szCs w:val="24"/>
        </w:rPr>
        <w:t xml:space="preserve"> θεραπεία και το αποτέλεσμα.</w:t>
      </w:r>
    </w:p>
    <w:p w:rsidR="00566725" w:rsidRPr="00947B99" w:rsidRDefault="00714F5B" w:rsidP="00947B99">
      <w:pPr>
        <w:pStyle w:val="a5"/>
        <w:numPr>
          <w:ilvl w:val="0"/>
          <w:numId w:val="121"/>
        </w:numPr>
        <w:spacing w:line="360" w:lineRule="auto"/>
        <w:jc w:val="both"/>
        <w:rPr>
          <w:i/>
          <w:sz w:val="24"/>
          <w:szCs w:val="24"/>
        </w:rPr>
      </w:pPr>
      <w:r w:rsidRPr="00947B99">
        <w:rPr>
          <w:i/>
          <w:sz w:val="24"/>
          <w:szCs w:val="24"/>
        </w:rPr>
        <w:t>Γενικά</w:t>
      </w:r>
      <w:r w:rsidR="00124678" w:rsidRPr="00947B99">
        <w:rPr>
          <w:i/>
          <w:sz w:val="24"/>
          <w:szCs w:val="24"/>
        </w:rPr>
        <w:t xml:space="preserve"> </w:t>
      </w:r>
      <w:r w:rsidR="00947B99" w:rsidRPr="00947B99">
        <w:rPr>
          <w:i/>
          <w:sz w:val="24"/>
          <w:szCs w:val="24"/>
        </w:rPr>
        <w:t>εργαλεία</w:t>
      </w:r>
      <w:r w:rsidR="00124678" w:rsidRPr="00947B99">
        <w:rPr>
          <w:i/>
          <w:sz w:val="24"/>
          <w:szCs w:val="24"/>
        </w:rPr>
        <w:t xml:space="preserve"> </w:t>
      </w:r>
      <w:r w:rsidRPr="00947B99">
        <w:rPr>
          <w:i/>
          <w:sz w:val="24"/>
          <w:szCs w:val="24"/>
        </w:rPr>
        <w:t>μέτρησης</w:t>
      </w:r>
      <w:r w:rsidR="00124678" w:rsidRPr="00947B99">
        <w:rPr>
          <w:i/>
          <w:sz w:val="24"/>
          <w:szCs w:val="24"/>
        </w:rPr>
        <w:t xml:space="preserve"> </w:t>
      </w:r>
      <w:r w:rsidRPr="00947B99">
        <w:rPr>
          <w:i/>
          <w:sz w:val="24"/>
          <w:szCs w:val="24"/>
        </w:rPr>
        <w:t>της</w:t>
      </w:r>
      <w:r w:rsidR="00124678" w:rsidRPr="00947B99">
        <w:rPr>
          <w:i/>
          <w:sz w:val="24"/>
          <w:szCs w:val="24"/>
        </w:rPr>
        <w:t xml:space="preserve"> </w:t>
      </w:r>
      <w:r w:rsidRPr="00947B99">
        <w:rPr>
          <w:i/>
          <w:sz w:val="24"/>
          <w:szCs w:val="24"/>
        </w:rPr>
        <w:t>ΠΖ</w:t>
      </w:r>
    </w:p>
    <w:p w:rsidR="00566725" w:rsidRPr="00A4175B" w:rsidRDefault="00566725" w:rsidP="00187E09">
      <w:pPr>
        <w:pStyle w:val="a5"/>
        <w:numPr>
          <w:ilvl w:val="0"/>
          <w:numId w:val="3"/>
        </w:numPr>
        <w:spacing w:line="360" w:lineRule="auto"/>
        <w:jc w:val="both"/>
        <w:rPr>
          <w:sz w:val="24"/>
          <w:szCs w:val="24"/>
        </w:rPr>
      </w:pPr>
      <w:r w:rsidRPr="005A464E">
        <w:rPr>
          <w:sz w:val="24"/>
          <w:szCs w:val="24"/>
        </w:rPr>
        <w:t>Η</w:t>
      </w:r>
      <w:r w:rsidR="00124678" w:rsidRPr="005A464E">
        <w:rPr>
          <w:sz w:val="24"/>
          <w:szCs w:val="24"/>
          <w:lang w:val="en-US"/>
        </w:rPr>
        <w:t xml:space="preserve"> </w:t>
      </w:r>
      <w:r w:rsidRPr="005A464E">
        <w:rPr>
          <w:sz w:val="24"/>
          <w:szCs w:val="24"/>
        </w:rPr>
        <w:t>κλίμακα</w:t>
      </w:r>
      <w:r w:rsidR="00124678" w:rsidRPr="005A464E">
        <w:rPr>
          <w:sz w:val="24"/>
          <w:szCs w:val="24"/>
          <w:lang w:val="en-US"/>
        </w:rPr>
        <w:t xml:space="preserve"> </w:t>
      </w:r>
      <w:r w:rsidR="00F04DCA" w:rsidRPr="005A464E">
        <w:rPr>
          <w:sz w:val="24"/>
          <w:szCs w:val="24"/>
          <w:lang w:val="en-US"/>
        </w:rPr>
        <w:t xml:space="preserve">Medical </w:t>
      </w:r>
      <w:r w:rsidR="00F04DCA" w:rsidRPr="00E61168">
        <w:rPr>
          <w:i/>
          <w:sz w:val="24"/>
          <w:szCs w:val="24"/>
          <w:lang w:val="en-US"/>
        </w:rPr>
        <w:t>Outcomes Study Questionnaire 36-Item Short Form Survey - SF-36</w:t>
      </w:r>
      <w:r w:rsidR="00F04DCA" w:rsidRPr="005A464E">
        <w:rPr>
          <w:sz w:val="24"/>
          <w:szCs w:val="24"/>
          <w:lang w:val="en-US"/>
        </w:rPr>
        <w:t xml:space="preserve"> (Ware &amp;</w:t>
      </w:r>
      <w:r w:rsidR="004034C9" w:rsidRPr="005A464E">
        <w:rPr>
          <w:sz w:val="24"/>
          <w:szCs w:val="24"/>
          <w:lang w:val="en-US"/>
        </w:rPr>
        <w:t xml:space="preserve"> Sherbourne</w:t>
      </w:r>
      <w:r w:rsidR="00AB454B" w:rsidRPr="00AB454B">
        <w:rPr>
          <w:sz w:val="24"/>
          <w:szCs w:val="24"/>
          <w:lang w:val="en-US"/>
        </w:rPr>
        <w:t>,</w:t>
      </w:r>
      <w:r w:rsidR="00F04DCA" w:rsidRPr="005A464E">
        <w:rPr>
          <w:sz w:val="24"/>
          <w:szCs w:val="24"/>
          <w:lang w:val="en-US"/>
        </w:rPr>
        <w:t xml:space="preserve"> 1992). </w:t>
      </w:r>
      <w:r w:rsidRPr="005A464E">
        <w:rPr>
          <w:sz w:val="24"/>
          <w:szCs w:val="24"/>
        </w:rPr>
        <w:t>Έ</w:t>
      </w:r>
      <w:r w:rsidR="00F04DCA" w:rsidRPr="005A464E">
        <w:rPr>
          <w:sz w:val="24"/>
          <w:szCs w:val="24"/>
        </w:rPr>
        <w:t>χει</w:t>
      </w:r>
      <w:r w:rsidR="00F04DCA" w:rsidRPr="00187E09">
        <w:rPr>
          <w:sz w:val="24"/>
          <w:szCs w:val="24"/>
        </w:rPr>
        <w:t xml:space="preserve"> </w:t>
      </w:r>
      <w:r w:rsidR="00F04DCA" w:rsidRPr="005A464E">
        <w:rPr>
          <w:sz w:val="24"/>
          <w:szCs w:val="24"/>
        </w:rPr>
        <w:t>επιλεγεί</w:t>
      </w:r>
      <w:r w:rsidR="00F04DCA" w:rsidRPr="00187E09">
        <w:rPr>
          <w:sz w:val="24"/>
          <w:szCs w:val="24"/>
        </w:rPr>
        <w:t xml:space="preserve"> </w:t>
      </w:r>
      <w:r w:rsidR="00F04DCA" w:rsidRPr="005A464E">
        <w:rPr>
          <w:sz w:val="24"/>
          <w:szCs w:val="24"/>
        </w:rPr>
        <w:t>για</w:t>
      </w:r>
      <w:r w:rsidR="00F04DCA" w:rsidRPr="00187E09">
        <w:rPr>
          <w:sz w:val="24"/>
          <w:szCs w:val="24"/>
        </w:rPr>
        <w:t xml:space="preserve"> </w:t>
      </w:r>
      <w:r w:rsidR="00F04DCA" w:rsidRPr="005A464E">
        <w:rPr>
          <w:sz w:val="24"/>
          <w:szCs w:val="24"/>
        </w:rPr>
        <w:t>τη</w:t>
      </w:r>
      <w:r w:rsidR="00F04DCA" w:rsidRPr="00187E09">
        <w:rPr>
          <w:sz w:val="24"/>
          <w:szCs w:val="24"/>
        </w:rPr>
        <w:t xml:space="preserve"> </w:t>
      </w:r>
      <w:r w:rsidR="00F04DCA" w:rsidRPr="005A464E">
        <w:rPr>
          <w:sz w:val="24"/>
          <w:szCs w:val="24"/>
        </w:rPr>
        <w:t>μέτρηση</w:t>
      </w:r>
      <w:r w:rsidR="00F04DCA" w:rsidRPr="00187E09">
        <w:rPr>
          <w:sz w:val="24"/>
          <w:szCs w:val="24"/>
        </w:rPr>
        <w:t xml:space="preserve"> </w:t>
      </w:r>
      <w:r w:rsidR="00F04DCA" w:rsidRPr="005A464E">
        <w:rPr>
          <w:sz w:val="24"/>
          <w:szCs w:val="24"/>
        </w:rPr>
        <w:t>της</w:t>
      </w:r>
      <w:r w:rsidR="00F04DCA" w:rsidRPr="00187E09">
        <w:rPr>
          <w:sz w:val="24"/>
          <w:szCs w:val="24"/>
        </w:rPr>
        <w:t xml:space="preserve"> </w:t>
      </w:r>
      <w:r w:rsidR="00F04DCA" w:rsidRPr="005A464E">
        <w:rPr>
          <w:sz w:val="24"/>
          <w:szCs w:val="24"/>
        </w:rPr>
        <w:t>ΠΖ</w:t>
      </w:r>
      <w:r w:rsidR="00F04DCA" w:rsidRPr="00187E09">
        <w:rPr>
          <w:sz w:val="24"/>
          <w:szCs w:val="24"/>
        </w:rPr>
        <w:t xml:space="preserve"> </w:t>
      </w:r>
      <w:r w:rsidR="00F04DCA" w:rsidRPr="005A464E">
        <w:rPr>
          <w:sz w:val="24"/>
          <w:szCs w:val="24"/>
        </w:rPr>
        <w:t>από</w:t>
      </w:r>
      <w:r w:rsidR="0078495A" w:rsidRPr="00187E09">
        <w:rPr>
          <w:sz w:val="24"/>
          <w:szCs w:val="24"/>
        </w:rPr>
        <w:t xml:space="preserve"> </w:t>
      </w:r>
      <w:r w:rsidR="00F04DCA" w:rsidRPr="005A464E">
        <w:rPr>
          <w:sz w:val="24"/>
          <w:szCs w:val="24"/>
        </w:rPr>
        <w:t>σημαντικές</w:t>
      </w:r>
      <w:r w:rsidR="00F04DCA" w:rsidRPr="00187E09">
        <w:rPr>
          <w:sz w:val="24"/>
          <w:szCs w:val="24"/>
        </w:rPr>
        <w:t xml:space="preserve"> </w:t>
      </w:r>
      <w:r w:rsidR="00F04DCA" w:rsidRPr="005A464E">
        <w:rPr>
          <w:sz w:val="24"/>
          <w:szCs w:val="24"/>
        </w:rPr>
        <w:t>ερευνητικές</w:t>
      </w:r>
      <w:r w:rsidR="00F04DCA" w:rsidRPr="00187E09">
        <w:rPr>
          <w:sz w:val="24"/>
          <w:szCs w:val="24"/>
        </w:rPr>
        <w:t xml:space="preserve"> </w:t>
      </w:r>
      <w:r w:rsidR="00F04DCA" w:rsidRPr="00C912D7">
        <w:rPr>
          <w:sz w:val="24"/>
          <w:szCs w:val="24"/>
        </w:rPr>
        <w:t>ο</w:t>
      </w:r>
      <w:r w:rsidR="00637639" w:rsidRPr="00C912D7">
        <w:rPr>
          <w:sz w:val="24"/>
          <w:szCs w:val="24"/>
        </w:rPr>
        <w:t xml:space="preserve">μάδες, </w:t>
      </w:r>
      <w:r w:rsidR="00C912D7" w:rsidRPr="00C912D7">
        <w:rPr>
          <w:sz w:val="24"/>
          <w:szCs w:val="24"/>
        </w:rPr>
        <w:t xml:space="preserve">όπως </w:t>
      </w:r>
      <w:r w:rsidR="00187E09" w:rsidRPr="00C912D7">
        <w:rPr>
          <w:sz w:val="24"/>
          <w:szCs w:val="24"/>
        </w:rPr>
        <w:t xml:space="preserve"> η Ολλανδική Συνεργατική Μελέτη σχετικά </w:t>
      </w:r>
      <w:r w:rsidR="00187E09" w:rsidRPr="00C912D7">
        <w:rPr>
          <w:rFonts w:asciiTheme="minorHAnsi" w:hAnsiTheme="minorHAnsi" w:cstheme="minorHAnsi"/>
          <w:sz w:val="24"/>
          <w:szCs w:val="24"/>
        </w:rPr>
        <w:t>με την επάρκεια της αιμοκάθαρσης (</w:t>
      </w:r>
      <w:r w:rsidR="0095027F" w:rsidRPr="00C912D7">
        <w:rPr>
          <w:rStyle w:val="hvr"/>
          <w:rFonts w:asciiTheme="minorHAnsi" w:hAnsiTheme="minorHAnsi" w:cstheme="minorHAnsi"/>
          <w:sz w:val="24"/>
          <w:szCs w:val="24"/>
          <w:shd w:val="clear" w:color="auto" w:fill="FFFFFF"/>
          <w:lang w:val="en-US"/>
        </w:rPr>
        <w:t>Netherlands</w:t>
      </w:r>
      <w:r w:rsidR="0095027F" w:rsidRPr="00C912D7">
        <w:rPr>
          <w:rFonts w:asciiTheme="minorHAnsi" w:hAnsiTheme="minorHAnsi" w:cstheme="minorHAnsi"/>
          <w:sz w:val="24"/>
          <w:szCs w:val="24"/>
          <w:shd w:val="clear" w:color="auto" w:fill="FFFFFF"/>
          <w:lang w:val="en-US"/>
        </w:rPr>
        <w:t> </w:t>
      </w:r>
      <w:r w:rsidR="00F96791" w:rsidRPr="00C912D7">
        <w:rPr>
          <w:rFonts w:asciiTheme="minorHAnsi" w:hAnsiTheme="minorHAnsi" w:cstheme="minorHAnsi"/>
          <w:sz w:val="24"/>
          <w:szCs w:val="24"/>
          <w:shd w:val="clear" w:color="auto" w:fill="FFFFFF"/>
        </w:rPr>
        <w:t xml:space="preserve"> </w:t>
      </w:r>
      <w:r w:rsidR="0095027F" w:rsidRPr="00C912D7">
        <w:rPr>
          <w:rStyle w:val="hvr"/>
          <w:rFonts w:asciiTheme="minorHAnsi" w:hAnsiTheme="minorHAnsi" w:cstheme="minorHAnsi"/>
          <w:sz w:val="24"/>
          <w:szCs w:val="24"/>
          <w:shd w:val="clear" w:color="auto" w:fill="FFFFFF"/>
          <w:lang w:val="en-US"/>
        </w:rPr>
        <w:t>Cooperative</w:t>
      </w:r>
      <w:r w:rsidR="0095027F" w:rsidRPr="00C912D7">
        <w:rPr>
          <w:rFonts w:asciiTheme="minorHAnsi" w:hAnsiTheme="minorHAnsi" w:cstheme="minorHAnsi"/>
          <w:sz w:val="24"/>
          <w:szCs w:val="24"/>
          <w:shd w:val="clear" w:color="auto" w:fill="FFFFFF"/>
          <w:lang w:val="en-US"/>
        </w:rPr>
        <w:t> </w:t>
      </w:r>
      <w:r w:rsidR="0095027F" w:rsidRPr="00C912D7">
        <w:rPr>
          <w:rStyle w:val="hvr"/>
          <w:rFonts w:asciiTheme="minorHAnsi" w:hAnsiTheme="minorHAnsi" w:cstheme="minorHAnsi"/>
          <w:sz w:val="24"/>
          <w:szCs w:val="24"/>
          <w:shd w:val="clear" w:color="auto" w:fill="FFFFFF"/>
          <w:lang w:val="en-US"/>
        </w:rPr>
        <w:t>Study</w:t>
      </w:r>
      <w:r w:rsidR="0095027F" w:rsidRPr="00C912D7">
        <w:rPr>
          <w:rFonts w:asciiTheme="minorHAnsi" w:hAnsiTheme="minorHAnsi" w:cstheme="minorHAnsi"/>
          <w:sz w:val="24"/>
          <w:szCs w:val="24"/>
          <w:shd w:val="clear" w:color="auto" w:fill="FFFFFF"/>
          <w:lang w:val="en-US"/>
        </w:rPr>
        <w:t> on </w:t>
      </w:r>
      <w:r w:rsidR="0095027F" w:rsidRPr="00C912D7">
        <w:rPr>
          <w:rStyle w:val="hvr"/>
          <w:rFonts w:asciiTheme="minorHAnsi" w:hAnsiTheme="minorHAnsi" w:cstheme="minorHAnsi"/>
          <w:sz w:val="24"/>
          <w:szCs w:val="24"/>
          <w:shd w:val="clear" w:color="auto" w:fill="FFFFFF"/>
          <w:lang w:val="en-US"/>
        </w:rPr>
        <w:t>the</w:t>
      </w:r>
      <w:r w:rsidR="0095027F" w:rsidRPr="00C912D7">
        <w:rPr>
          <w:rFonts w:asciiTheme="minorHAnsi" w:hAnsiTheme="minorHAnsi" w:cstheme="minorHAnsi"/>
          <w:sz w:val="24"/>
          <w:szCs w:val="24"/>
          <w:shd w:val="clear" w:color="auto" w:fill="FFFFFF"/>
          <w:lang w:val="en-US"/>
        </w:rPr>
        <w:t> </w:t>
      </w:r>
      <w:r w:rsidR="00F96791" w:rsidRPr="00C912D7">
        <w:rPr>
          <w:rFonts w:asciiTheme="minorHAnsi" w:hAnsiTheme="minorHAnsi" w:cstheme="minorHAnsi"/>
          <w:sz w:val="24"/>
          <w:szCs w:val="24"/>
          <w:shd w:val="clear" w:color="auto" w:fill="FFFFFF"/>
        </w:rPr>
        <w:t xml:space="preserve"> </w:t>
      </w:r>
      <w:r w:rsidR="0095027F" w:rsidRPr="00C912D7">
        <w:rPr>
          <w:rStyle w:val="hvr"/>
          <w:rFonts w:asciiTheme="minorHAnsi" w:hAnsiTheme="minorHAnsi" w:cstheme="minorHAnsi"/>
          <w:sz w:val="24"/>
          <w:szCs w:val="24"/>
          <w:shd w:val="clear" w:color="auto" w:fill="FFFFFF"/>
          <w:lang w:val="en-US"/>
        </w:rPr>
        <w:t>Adequacy</w:t>
      </w:r>
      <w:r w:rsidR="0095027F" w:rsidRPr="00C912D7">
        <w:rPr>
          <w:rFonts w:asciiTheme="minorHAnsi" w:hAnsiTheme="minorHAnsi" w:cstheme="minorHAnsi"/>
          <w:sz w:val="24"/>
          <w:szCs w:val="24"/>
          <w:shd w:val="clear" w:color="auto" w:fill="FFFFFF"/>
          <w:lang w:val="en-US"/>
        </w:rPr>
        <w:t> of </w:t>
      </w:r>
      <w:r w:rsidR="0095027F" w:rsidRPr="00C912D7">
        <w:rPr>
          <w:rStyle w:val="hvr"/>
          <w:rFonts w:asciiTheme="minorHAnsi" w:hAnsiTheme="minorHAnsi" w:cstheme="minorHAnsi"/>
          <w:sz w:val="24"/>
          <w:szCs w:val="24"/>
          <w:shd w:val="clear" w:color="auto" w:fill="FFFFFF"/>
          <w:lang w:val="en-US"/>
        </w:rPr>
        <w:t>Dialysis</w:t>
      </w:r>
      <w:r w:rsidR="00187E09" w:rsidRPr="00C912D7">
        <w:rPr>
          <w:rFonts w:asciiTheme="minorHAnsi" w:hAnsiTheme="minorHAnsi" w:cstheme="minorHAnsi"/>
          <w:sz w:val="24"/>
          <w:szCs w:val="24"/>
        </w:rPr>
        <w:t>,</w:t>
      </w:r>
      <w:r w:rsidR="00F96791" w:rsidRPr="00C912D7">
        <w:rPr>
          <w:rFonts w:asciiTheme="minorHAnsi" w:hAnsiTheme="minorHAnsi" w:cstheme="minorHAnsi"/>
          <w:sz w:val="24"/>
          <w:szCs w:val="24"/>
        </w:rPr>
        <w:t xml:space="preserve"> </w:t>
      </w:r>
      <w:r w:rsidR="00637639" w:rsidRPr="00C912D7">
        <w:rPr>
          <w:rFonts w:asciiTheme="minorHAnsi" w:hAnsiTheme="minorHAnsi" w:cstheme="minorHAnsi"/>
          <w:sz w:val="24"/>
          <w:szCs w:val="24"/>
          <w:lang w:val="en-US"/>
        </w:rPr>
        <w:t>NECOSAD</w:t>
      </w:r>
      <w:r w:rsidR="0095027F" w:rsidRPr="00C912D7">
        <w:rPr>
          <w:rFonts w:asciiTheme="minorHAnsi" w:hAnsiTheme="minorHAnsi" w:cstheme="minorHAnsi"/>
          <w:sz w:val="24"/>
          <w:szCs w:val="24"/>
        </w:rPr>
        <w:t>)</w:t>
      </w:r>
      <w:r w:rsidR="00187E09" w:rsidRPr="00C912D7">
        <w:rPr>
          <w:rFonts w:asciiTheme="minorHAnsi" w:hAnsiTheme="minorHAnsi" w:cstheme="minorHAnsi"/>
          <w:sz w:val="24"/>
          <w:szCs w:val="24"/>
        </w:rPr>
        <w:t xml:space="preserve"> </w:t>
      </w:r>
      <w:r w:rsidR="00637639" w:rsidRPr="00C912D7">
        <w:rPr>
          <w:rFonts w:asciiTheme="minorHAnsi" w:hAnsiTheme="minorHAnsi" w:cstheme="minorHAnsi"/>
          <w:sz w:val="24"/>
          <w:szCs w:val="24"/>
        </w:rPr>
        <w:t xml:space="preserve">και </w:t>
      </w:r>
      <w:r w:rsidR="00187E09" w:rsidRPr="00C912D7">
        <w:rPr>
          <w:rFonts w:asciiTheme="minorHAnsi" w:hAnsiTheme="minorHAnsi" w:cstheme="minorHAnsi"/>
          <w:sz w:val="24"/>
          <w:szCs w:val="24"/>
        </w:rPr>
        <w:t xml:space="preserve">η μελέτη σχετικά με τις Τροπικές Ασθένειες </w:t>
      </w:r>
      <w:r w:rsidR="0011450E">
        <w:rPr>
          <w:rFonts w:asciiTheme="minorHAnsi" w:hAnsiTheme="minorHAnsi" w:cstheme="minorHAnsi"/>
          <w:sz w:val="24"/>
          <w:szCs w:val="24"/>
        </w:rPr>
        <w:t>που ενδημούσαν στο παρελθόν</w:t>
      </w:r>
      <w:bookmarkStart w:id="62" w:name="_GoBack"/>
      <w:bookmarkEnd w:id="62"/>
      <w:r w:rsidR="0011450E">
        <w:rPr>
          <w:rFonts w:asciiTheme="minorHAnsi" w:hAnsiTheme="minorHAnsi" w:cstheme="minorHAnsi"/>
          <w:sz w:val="24"/>
          <w:szCs w:val="24"/>
        </w:rPr>
        <w:t xml:space="preserve"> </w:t>
      </w:r>
      <w:r w:rsidR="00187E09" w:rsidRPr="00C912D7">
        <w:rPr>
          <w:rFonts w:asciiTheme="minorHAnsi" w:hAnsiTheme="minorHAnsi" w:cstheme="minorHAnsi"/>
          <w:sz w:val="24"/>
          <w:szCs w:val="24"/>
        </w:rPr>
        <w:t>(</w:t>
      </w:r>
      <w:r w:rsidR="0095027F" w:rsidRPr="00C912D7">
        <w:rPr>
          <w:rFonts w:asciiTheme="minorHAnsi" w:hAnsiTheme="minorHAnsi" w:cstheme="minorHAnsi"/>
          <w:sz w:val="24"/>
          <w:szCs w:val="24"/>
          <w:lang w:val="en-US"/>
        </w:rPr>
        <w:t>Neglected</w:t>
      </w:r>
      <w:r w:rsidR="0095027F" w:rsidRPr="00C912D7">
        <w:rPr>
          <w:rFonts w:asciiTheme="minorHAnsi" w:hAnsiTheme="minorHAnsi" w:cstheme="minorHAnsi"/>
          <w:sz w:val="24"/>
          <w:szCs w:val="24"/>
        </w:rPr>
        <w:t xml:space="preserve"> </w:t>
      </w:r>
      <w:r w:rsidR="0095027F" w:rsidRPr="00C912D7">
        <w:rPr>
          <w:rFonts w:asciiTheme="minorHAnsi" w:hAnsiTheme="minorHAnsi" w:cstheme="minorHAnsi"/>
          <w:sz w:val="24"/>
          <w:szCs w:val="24"/>
          <w:lang w:val="en-US"/>
        </w:rPr>
        <w:t>Tropical</w:t>
      </w:r>
      <w:r w:rsidR="0095027F" w:rsidRPr="00C912D7">
        <w:rPr>
          <w:rFonts w:asciiTheme="minorHAnsi" w:hAnsiTheme="minorHAnsi" w:cstheme="minorHAnsi"/>
          <w:sz w:val="24"/>
          <w:szCs w:val="24"/>
        </w:rPr>
        <w:t xml:space="preserve"> </w:t>
      </w:r>
      <w:r w:rsidR="0095027F" w:rsidRPr="00C912D7">
        <w:rPr>
          <w:rFonts w:asciiTheme="minorHAnsi" w:hAnsiTheme="minorHAnsi" w:cstheme="minorHAnsi"/>
          <w:sz w:val="24"/>
          <w:szCs w:val="24"/>
          <w:lang w:val="en-US"/>
        </w:rPr>
        <w:t>Diseases</w:t>
      </w:r>
      <w:r w:rsidR="00187E09" w:rsidRPr="00C912D7">
        <w:rPr>
          <w:rFonts w:asciiTheme="minorHAnsi" w:hAnsiTheme="minorHAnsi" w:cstheme="minorHAnsi"/>
          <w:sz w:val="24"/>
          <w:szCs w:val="24"/>
        </w:rPr>
        <w:t xml:space="preserve">, </w:t>
      </w:r>
      <w:r w:rsidR="0095027F" w:rsidRPr="00C912D7">
        <w:rPr>
          <w:rFonts w:asciiTheme="minorHAnsi" w:hAnsiTheme="minorHAnsi" w:cstheme="minorHAnsi"/>
          <w:sz w:val="24"/>
          <w:szCs w:val="24"/>
          <w:lang w:val="en-US"/>
        </w:rPr>
        <w:t>NTDs</w:t>
      </w:r>
      <w:r w:rsidR="0095027F" w:rsidRPr="00C912D7">
        <w:rPr>
          <w:rFonts w:asciiTheme="minorHAnsi" w:hAnsiTheme="minorHAnsi" w:cstheme="minorHAnsi"/>
          <w:sz w:val="24"/>
          <w:szCs w:val="24"/>
        </w:rPr>
        <w:t>)</w:t>
      </w:r>
      <w:r w:rsidR="00A4175B">
        <w:rPr>
          <w:rFonts w:asciiTheme="minorHAnsi" w:hAnsiTheme="minorHAnsi" w:cstheme="minorHAnsi"/>
          <w:sz w:val="24"/>
          <w:szCs w:val="24"/>
        </w:rPr>
        <w:t xml:space="preserve"> όπως η λύσσα, η νόσος </w:t>
      </w:r>
      <w:r w:rsidR="00A4175B">
        <w:rPr>
          <w:rFonts w:asciiTheme="minorHAnsi" w:hAnsiTheme="minorHAnsi" w:cstheme="minorHAnsi"/>
          <w:sz w:val="24"/>
          <w:szCs w:val="24"/>
          <w:lang w:val="en-US"/>
        </w:rPr>
        <w:t>Hansen</w:t>
      </w:r>
      <w:r w:rsidR="00A4175B">
        <w:rPr>
          <w:rFonts w:asciiTheme="minorHAnsi" w:hAnsiTheme="minorHAnsi" w:cstheme="minorHAnsi"/>
          <w:sz w:val="24"/>
          <w:szCs w:val="24"/>
        </w:rPr>
        <w:t xml:space="preserve"> και ο δάγγειος πυρετός.</w:t>
      </w:r>
      <w:r w:rsidR="00637639" w:rsidRPr="00C912D7">
        <w:rPr>
          <w:rFonts w:asciiTheme="minorHAnsi" w:hAnsiTheme="minorHAnsi" w:cstheme="minorHAnsi"/>
          <w:sz w:val="24"/>
          <w:szCs w:val="24"/>
        </w:rPr>
        <w:t xml:space="preserve"> </w:t>
      </w:r>
      <w:r w:rsidR="00F04DCA" w:rsidRPr="00C912D7">
        <w:rPr>
          <w:rFonts w:asciiTheme="minorHAnsi" w:hAnsiTheme="minorHAnsi" w:cstheme="minorHAnsi"/>
          <w:sz w:val="24"/>
          <w:szCs w:val="24"/>
        </w:rPr>
        <w:t>Το</w:t>
      </w:r>
      <w:r w:rsidR="00F04DCA" w:rsidRPr="00C912D7">
        <w:rPr>
          <w:sz w:val="24"/>
          <w:szCs w:val="24"/>
        </w:rPr>
        <w:t xml:space="preserve"> SF-36 είναι ένα γενικό εργαλείο (δεν περιλαμβάνει συγκεκριμένες ερωτήσει</w:t>
      </w:r>
      <w:r w:rsidR="00716F57" w:rsidRPr="00C912D7">
        <w:rPr>
          <w:sz w:val="24"/>
          <w:szCs w:val="24"/>
        </w:rPr>
        <w:t>ς που σχετίζονται με μια</w:t>
      </w:r>
      <w:r w:rsidR="00716F57">
        <w:rPr>
          <w:sz w:val="24"/>
          <w:szCs w:val="24"/>
        </w:rPr>
        <w:t xml:space="preserve"> συγκεκριμενη</w:t>
      </w:r>
      <w:r w:rsidR="00F04DCA" w:rsidRPr="005A464E">
        <w:rPr>
          <w:sz w:val="24"/>
          <w:szCs w:val="24"/>
        </w:rPr>
        <w:t xml:space="preserve"> ασθένεια). Καλύπτε</w:t>
      </w:r>
      <w:r w:rsidR="00947B99">
        <w:rPr>
          <w:sz w:val="24"/>
          <w:szCs w:val="24"/>
        </w:rPr>
        <w:t>ι θέματα που σχετίζονται με 8</w:t>
      </w:r>
      <w:r w:rsidR="00F04DCA" w:rsidRPr="005A464E">
        <w:rPr>
          <w:sz w:val="24"/>
          <w:szCs w:val="24"/>
        </w:rPr>
        <w:t xml:space="preserve"> διαστάσεις της ΠΖ: </w:t>
      </w:r>
      <w:r w:rsidR="00716F57">
        <w:rPr>
          <w:sz w:val="24"/>
          <w:szCs w:val="24"/>
        </w:rPr>
        <w:t xml:space="preserve">σωματική λειτουργία, </w:t>
      </w:r>
      <w:r w:rsidR="00F04DCA" w:rsidRPr="005A464E">
        <w:rPr>
          <w:sz w:val="24"/>
          <w:szCs w:val="24"/>
        </w:rPr>
        <w:t>φυσικός ρόλος, σωματικός πόνος, γενική υγεία, ζωτικότητα, κοινωνική λειτουργικότητα, συναισθηματικός ρόλος και ψυχική υγεία. Το σκορ κυμαίνεται από 0 (χειρότερο) έως 100 (καλύτερο) για κάθε διάσταση. Υπάρχουν αρκετές εκδόσεις του SF-36 για αρκετές χώρε</w:t>
      </w:r>
      <w:r w:rsidR="00637639" w:rsidRPr="005A464E">
        <w:rPr>
          <w:sz w:val="24"/>
          <w:szCs w:val="24"/>
        </w:rPr>
        <w:t>ς, όπως οι</w:t>
      </w:r>
      <w:r w:rsidR="00E61168">
        <w:rPr>
          <w:sz w:val="24"/>
          <w:szCs w:val="24"/>
        </w:rPr>
        <w:t xml:space="preserve"> ΗΠΑ</w:t>
      </w:r>
      <w:r w:rsidR="00637639" w:rsidRPr="005A464E">
        <w:rPr>
          <w:sz w:val="24"/>
          <w:szCs w:val="24"/>
        </w:rPr>
        <w:t>, ο</w:t>
      </w:r>
      <w:r w:rsidR="00F04DCA" w:rsidRPr="005A464E">
        <w:rPr>
          <w:sz w:val="24"/>
          <w:szCs w:val="24"/>
        </w:rPr>
        <w:t xml:space="preserve"> Καναδά</w:t>
      </w:r>
      <w:r w:rsidR="00637639" w:rsidRPr="005A464E">
        <w:rPr>
          <w:sz w:val="24"/>
          <w:szCs w:val="24"/>
        </w:rPr>
        <w:t>ς, η Αυστραλία, η Ισπανία, η Σουηδία και η</w:t>
      </w:r>
      <w:r w:rsidR="00795CC8" w:rsidRPr="005A464E">
        <w:rPr>
          <w:sz w:val="24"/>
          <w:szCs w:val="24"/>
        </w:rPr>
        <w:t xml:space="preserve"> Αγγλία (</w:t>
      </w:r>
      <w:r w:rsidR="00F04DCA" w:rsidRPr="005A464E">
        <w:rPr>
          <w:sz w:val="24"/>
          <w:szCs w:val="24"/>
          <w:lang w:val="en-US"/>
        </w:rPr>
        <w:t>Mishra</w:t>
      </w:r>
      <w:r w:rsidR="00124678" w:rsidRPr="005A464E">
        <w:rPr>
          <w:sz w:val="24"/>
          <w:szCs w:val="24"/>
        </w:rPr>
        <w:t xml:space="preserve"> </w:t>
      </w:r>
      <w:r w:rsidR="00F04DCA" w:rsidRPr="005A464E">
        <w:rPr>
          <w:sz w:val="24"/>
          <w:szCs w:val="24"/>
        </w:rPr>
        <w:t>&amp;</w:t>
      </w:r>
      <w:r w:rsidR="00124678" w:rsidRPr="005A464E">
        <w:rPr>
          <w:sz w:val="24"/>
          <w:szCs w:val="24"/>
        </w:rPr>
        <w:t xml:space="preserve"> </w:t>
      </w:r>
      <w:r w:rsidR="00F04DCA" w:rsidRPr="005A464E">
        <w:rPr>
          <w:sz w:val="24"/>
          <w:szCs w:val="24"/>
          <w:lang w:val="en-US"/>
        </w:rPr>
        <w:t>Schofield</w:t>
      </w:r>
      <w:r w:rsidR="00AB454B">
        <w:rPr>
          <w:sz w:val="24"/>
          <w:szCs w:val="24"/>
        </w:rPr>
        <w:t>,</w:t>
      </w:r>
      <w:r w:rsidR="00A53D83" w:rsidRPr="005A464E">
        <w:rPr>
          <w:sz w:val="24"/>
          <w:szCs w:val="24"/>
        </w:rPr>
        <w:t xml:space="preserve"> 1998;</w:t>
      </w:r>
      <w:r w:rsidR="002F06FC">
        <w:rPr>
          <w:sz w:val="24"/>
          <w:szCs w:val="24"/>
        </w:rPr>
        <w:t xml:space="preserve"> </w:t>
      </w:r>
      <w:r w:rsidR="00F04DCA" w:rsidRPr="005A464E">
        <w:rPr>
          <w:sz w:val="24"/>
          <w:szCs w:val="24"/>
          <w:lang w:val="en-US"/>
        </w:rPr>
        <w:t>Alonso</w:t>
      </w:r>
      <w:r w:rsidR="00124678" w:rsidRPr="005A464E">
        <w:rPr>
          <w:sz w:val="24"/>
          <w:szCs w:val="24"/>
        </w:rPr>
        <w:t xml:space="preserve"> </w:t>
      </w:r>
      <w:r w:rsidR="00566CAA">
        <w:rPr>
          <w:sz w:val="24"/>
          <w:szCs w:val="24"/>
        </w:rPr>
        <w:t>et al</w:t>
      </w:r>
      <w:r w:rsidR="000848D6">
        <w:rPr>
          <w:sz w:val="24"/>
          <w:szCs w:val="24"/>
        </w:rPr>
        <w:t>.</w:t>
      </w:r>
      <w:r w:rsidR="0085076B">
        <w:rPr>
          <w:sz w:val="24"/>
          <w:szCs w:val="24"/>
        </w:rPr>
        <w:t>,</w:t>
      </w:r>
      <w:r w:rsidR="00F04DCA" w:rsidRPr="005A464E">
        <w:rPr>
          <w:sz w:val="24"/>
          <w:szCs w:val="24"/>
        </w:rPr>
        <w:t xml:space="preserve"> 19</w:t>
      </w:r>
      <w:r w:rsidR="00795CC8" w:rsidRPr="005A464E">
        <w:rPr>
          <w:sz w:val="24"/>
          <w:szCs w:val="24"/>
        </w:rPr>
        <w:t xml:space="preserve">98; </w:t>
      </w:r>
      <w:r w:rsidR="00637639" w:rsidRPr="005A464E">
        <w:rPr>
          <w:sz w:val="24"/>
          <w:szCs w:val="24"/>
          <w:lang w:val="en-US"/>
        </w:rPr>
        <w:t>Sullivan</w:t>
      </w:r>
      <w:r w:rsidR="00124678" w:rsidRPr="005A464E">
        <w:rPr>
          <w:sz w:val="24"/>
          <w:szCs w:val="24"/>
        </w:rPr>
        <w:t xml:space="preserve"> </w:t>
      </w:r>
      <w:r w:rsidR="00637639" w:rsidRPr="005A464E">
        <w:rPr>
          <w:sz w:val="24"/>
          <w:szCs w:val="24"/>
        </w:rPr>
        <w:t>&amp;</w:t>
      </w:r>
      <w:r w:rsidR="00124678" w:rsidRPr="005A464E">
        <w:rPr>
          <w:sz w:val="24"/>
          <w:szCs w:val="24"/>
        </w:rPr>
        <w:t xml:space="preserve"> </w:t>
      </w:r>
      <w:r w:rsidR="00637639" w:rsidRPr="005A464E">
        <w:rPr>
          <w:sz w:val="24"/>
          <w:szCs w:val="24"/>
          <w:lang w:val="en-US"/>
        </w:rPr>
        <w:t>Karlsson</w:t>
      </w:r>
      <w:r w:rsidR="00AB454B">
        <w:rPr>
          <w:sz w:val="24"/>
          <w:szCs w:val="24"/>
        </w:rPr>
        <w:t>,</w:t>
      </w:r>
      <w:r w:rsidR="00637639" w:rsidRPr="005A464E">
        <w:rPr>
          <w:sz w:val="24"/>
          <w:szCs w:val="24"/>
        </w:rPr>
        <w:t xml:space="preserve"> 1998</w:t>
      </w:r>
      <w:r w:rsidR="002F06FC">
        <w:rPr>
          <w:sz w:val="24"/>
          <w:szCs w:val="24"/>
        </w:rPr>
        <w:t>;</w:t>
      </w:r>
      <w:r w:rsidR="002F06FC" w:rsidRPr="002F06FC">
        <w:rPr>
          <w:sz w:val="24"/>
          <w:szCs w:val="24"/>
        </w:rPr>
        <w:t xml:space="preserve"> </w:t>
      </w:r>
      <w:r w:rsidR="002F06FC" w:rsidRPr="005A464E">
        <w:rPr>
          <w:sz w:val="24"/>
          <w:szCs w:val="24"/>
          <w:lang w:val="en-US"/>
        </w:rPr>
        <w:t>Jenkinson</w:t>
      </w:r>
      <w:r w:rsidR="002F06FC" w:rsidRPr="005A464E">
        <w:rPr>
          <w:sz w:val="24"/>
          <w:szCs w:val="24"/>
        </w:rPr>
        <w:t xml:space="preserve"> </w:t>
      </w:r>
      <w:r w:rsidR="002F06FC">
        <w:rPr>
          <w:sz w:val="24"/>
          <w:szCs w:val="24"/>
        </w:rPr>
        <w:t>et al.</w:t>
      </w:r>
      <w:r w:rsidR="002F06FC" w:rsidRPr="00AC5B2C">
        <w:rPr>
          <w:sz w:val="24"/>
          <w:szCs w:val="24"/>
        </w:rPr>
        <w:t>,</w:t>
      </w:r>
      <w:r w:rsidR="002F06FC" w:rsidRPr="005A464E">
        <w:rPr>
          <w:sz w:val="24"/>
          <w:szCs w:val="24"/>
        </w:rPr>
        <w:t xml:space="preserve"> 1999; Hopman </w:t>
      </w:r>
      <w:r w:rsidR="002F06FC">
        <w:rPr>
          <w:sz w:val="24"/>
          <w:szCs w:val="24"/>
        </w:rPr>
        <w:t>et al.,</w:t>
      </w:r>
      <w:r w:rsidR="002F06FC" w:rsidRPr="005A464E">
        <w:rPr>
          <w:sz w:val="24"/>
          <w:szCs w:val="24"/>
        </w:rPr>
        <w:t xml:space="preserve"> 2000</w:t>
      </w:r>
      <w:r w:rsidR="00637639" w:rsidRPr="005A464E">
        <w:rPr>
          <w:sz w:val="24"/>
          <w:szCs w:val="24"/>
        </w:rPr>
        <w:t>)</w:t>
      </w:r>
      <w:r w:rsidR="002F06FC">
        <w:rPr>
          <w:sz w:val="24"/>
          <w:szCs w:val="24"/>
        </w:rPr>
        <w:t xml:space="preserve">. </w:t>
      </w:r>
      <w:r w:rsidR="002F06FC">
        <w:rPr>
          <w:sz w:val="24"/>
          <w:szCs w:val="24"/>
          <w:lang w:val="en-US"/>
        </w:rPr>
        <w:t>H</w:t>
      </w:r>
      <w:r w:rsidR="002F06FC" w:rsidRPr="002F06FC">
        <w:rPr>
          <w:sz w:val="24"/>
          <w:szCs w:val="24"/>
        </w:rPr>
        <w:t xml:space="preserve"> </w:t>
      </w:r>
      <w:r w:rsidR="002F06FC">
        <w:rPr>
          <w:sz w:val="24"/>
          <w:szCs w:val="24"/>
        </w:rPr>
        <w:t>κλίμακα</w:t>
      </w:r>
      <w:r w:rsidR="00F04DCA" w:rsidRPr="005A464E">
        <w:rPr>
          <w:sz w:val="24"/>
          <w:szCs w:val="24"/>
        </w:rPr>
        <w:t xml:space="preserve"> SF-36 μπορεί να εφαρμοστεί σε άτομα ηλικίας 14 ετών και άνω.</w:t>
      </w:r>
      <w:r w:rsidR="00124678" w:rsidRPr="005A464E">
        <w:rPr>
          <w:sz w:val="24"/>
          <w:szCs w:val="24"/>
        </w:rPr>
        <w:t xml:space="preserve"> </w:t>
      </w:r>
      <w:r w:rsidR="004B4FDB">
        <w:rPr>
          <w:sz w:val="24"/>
          <w:szCs w:val="24"/>
        </w:rPr>
        <w:t>Χρειάζε</w:t>
      </w:r>
      <w:r w:rsidR="00F04DCA" w:rsidRPr="005A464E">
        <w:rPr>
          <w:sz w:val="24"/>
          <w:szCs w:val="24"/>
        </w:rPr>
        <w:t>ται 20 έως 30 λεπτά για να συμπλη</w:t>
      </w:r>
      <w:r w:rsidR="002F06FC">
        <w:rPr>
          <w:sz w:val="24"/>
          <w:szCs w:val="24"/>
        </w:rPr>
        <w:t>ρωθεί</w:t>
      </w:r>
      <w:r w:rsidR="00F04DCA" w:rsidRPr="005A464E">
        <w:rPr>
          <w:sz w:val="24"/>
          <w:szCs w:val="24"/>
        </w:rPr>
        <w:t xml:space="preserve"> </w:t>
      </w:r>
      <w:r w:rsidR="002F06FC">
        <w:rPr>
          <w:sz w:val="24"/>
          <w:szCs w:val="24"/>
        </w:rPr>
        <w:t xml:space="preserve">κάτι </w:t>
      </w:r>
      <w:r w:rsidR="00F04DCA" w:rsidRPr="005A464E">
        <w:rPr>
          <w:sz w:val="24"/>
          <w:szCs w:val="24"/>
        </w:rPr>
        <w:t>το οποίο είναι εφικτό</w:t>
      </w:r>
      <w:r w:rsidR="00124678" w:rsidRPr="005A464E">
        <w:rPr>
          <w:sz w:val="24"/>
          <w:szCs w:val="24"/>
        </w:rPr>
        <w:t xml:space="preserve"> </w:t>
      </w:r>
      <w:r w:rsidR="00F04DCA" w:rsidRPr="005A464E">
        <w:rPr>
          <w:sz w:val="24"/>
          <w:szCs w:val="24"/>
        </w:rPr>
        <w:t>στην</w:t>
      </w:r>
      <w:r w:rsidR="00C05B35">
        <w:rPr>
          <w:sz w:val="24"/>
          <w:szCs w:val="24"/>
        </w:rPr>
        <w:t xml:space="preserve"> καθημερινή κλινική</w:t>
      </w:r>
      <w:r w:rsidR="00F04DCA" w:rsidRPr="005A464E">
        <w:rPr>
          <w:sz w:val="24"/>
          <w:szCs w:val="24"/>
        </w:rPr>
        <w:t xml:space="preserve"> πρακτική. Μπορεί να χορηγηθεί από έναν ερευνητή, επιτρέποντας την έντ</w:t>
      </w:r>
      <w:r w:rsidR="00124678" w:rsidRPr="005A464E">
        <w:rPr>
          <w:sz w:val="24"/>
          <w:szCs w:val="24"/>
        </w:rPr>
        <w:t>αξη και των αναλφάβητων ασθενών</w:t>
      </w:r>
      <w:r w:rsidR="002F06FC">
        <w:rPr>
          <w:sz w:val="24"/>
          <w:szCs w:val="24"/>
        </w:rPr>
        <w:t>. Μπορεί</w:t>
      </w:r>
      <w:r w:rsidR="00947B99">
        <w:rPr>
          <w:sz w:val="24"/>
          <w:szCs w:val="24"/>
        </w:rPr>
        <w:t>,</w:t>
      </w:r>
      <w:r w:rsidR="002F06FC">
        <w:rPr>
          <w:sz w:val="24"/>
          <w:szCs w:val="24"/>
        </w:rPr>
        <w:t xml:space="preserve"> </w:t>
      </w:r>
      <w:r w:rsidR="00947B99">
        <w:rPr>
          <w:sz w:val="24"/>
          <w:szCs w:val="24"/>
        </w:rPr>
        <w:t>επίσης,</w:t>
      </w:r>
      <w:r w:rsidR="002F06FC">
        <w:rPr>
          <w:sz w:val="24"/>
          <w:szCs w:val="24"/>
        </w:rPr>
        <w:t xml:space="preserve"> να είναι αυτο</w:t>
      </w:r>
      <w:r w:rsidR="00F04DCA" w:rsidRPr="005A464E">
        <w:rPr>
          <w:sz w:val="24"/>
          <w:szCs w:val="24"/>
        </w:rPr>
        <w:t>χορηγούμενο ή να δοθεί από το τηλέφωνο ή τον υπολογιστή. Ο μεγαλύτερος πε</w:t>
      </w:r>
      <w:r w:rsidR="002F06FC">
        <w:rPr>
          <w:sz w:val="24"/>
          <w:szCs w:val="24"/>
        </w:rPr>
        <w:t xml:space="preserve">ριορισμός </w:t>
      </w:r>
      <w:r w:rsidR="002F06FC" w:rsidRPr="00A4175B">
        <w:rPr>
          <w:sz w:val="24"/>
          <w:szCs w:val="24"/>
        </w:rPr>
        <w:t>είναι ότι η κλίμακα</w:t>
      </w:r>
      <w:r w:rsidR="00F04DCA" w:rsidRPr="00A4175B">
        <w:rPr>
          <w:sz w:val="24"/>
          <w:szCs w:val="24"/>
        </w:rPr>
        <w:t xml:space="preserve"> SF-36 δεν καλύπτει </w:t>
      </w:r>
      <w:r w:rsidR="00BA566F" w:rsidRPr="00A4175B">
        <w:rPr>
          <w:sz w:val="24"/>
          <w:szCs w:val="24"/>
        </w:rPr>
        <w:t xml:space="preserve">δύο </w:t>
      </w:r>
      <w:r w:rsidR="00C05B35" w:rsidRPr="00A4175B">
        <w:rPr>
          <w:sz w:val="24"/>
          <w:szCs w:val="24"/>
        </w:rPr>
        <w:t>σημαντικές διαστάσεις της ΠΖ</w:t>
      </w:r>
      <w:r w:rsidR="00F04DCA" w:rsidRPr="00A4175B">
        <w:rPr>
          <w:sz w:val="24"/>
          <w:szCs w:val="24"/>
        </w:rPr>
        <w:t>: ύπνο και σεξουαλική δραστηριότητα.</w:t>
      </w:r>
    </w:p>
    <w:p w:rsidR="00F04DCA" w:rsidRPr="00A4175B" w:rsidRDefault="00F04DCA" w:rsidP="005A464E">
      <w:pPr>
        <w:pStyle w:val="a5"/>
        <w:numPr>
          <w:ilvl w:val="0"/>
          <w:numId w:val="3"/>
        </w:numPr>
        <w:spacing w:line="360" w:lineRule="auto"/>
        <w:jc w:val="both"/>
        <w:rPr>
          <w:sz w:val="24"/>
          <w:szCs w:val="24"/>
        </w:rPr>
      </w:pPr>
      <w:r w:rsidRPr="00A4175B">
        <w:rPr>
          <w:sz w:val="24"/>
          <w:szCs w:val="24"/>
        </w:rPr>
        <w:t xml:space="preserve">Αυτές οι </w:t>
      </w:r>
      <w:r w:rsidR="00BA566F" w:rsidRPr="00A4175B">
        <w:rPr>
          <w:sz w:val="24"/>
          <w:szCs w:val="24"/>
        </w:rPr>
        <w:t xml:space="preserve">δύο </w:t>
      </w:r>
      <w:r w:rsidR="002F06FC" w:rsidRPr="00A4175B">
        <w:rPr>
          <w:sz w:val="24"/>
          <w:szCs w:val="24"/>
        </w:rPr>
        <w:t>διαστάσεις καλύπτονται από την κλίμακα</w:t>
      </w:r>
      <w:r w:rsidRPr="00A4175B">
        <w:rPr>
          <w:sz w:val="24"/>
          <w:szCs w:val="24"/>
        </w:rPr>
        <w:t xml:space="preserve"> </w:t>
      </w:r>
      <w:r w:rsidRPr="00A4175B">
        <w:rPr>
          <w:i/>
          <w:sz w:val="24"/>
          <w:szCs w:val="24"/>
          <w:lang w:val="en-US"/>
        </w:rPr>
        <w:t>World</w:t>
      </w:r>
      <w:r w:rsidR="00124678" w:rsidRPr="00A4175B">
        <w:rPr>
          <w:i/>
          <w:sz w:val="24"/>
          <w:szCs w:val="24"/>
        </w:rPr>
        <w:t xml:space="preserve"> </w:t>
      </w:r>
      <w:r w:rsidRPr="00A4175B">
        <w:rPr>
          <w:i/>
          <w:sz w:val="24"/>
          <w:szCs w:val="24"/>
          <w:lang w:val="en-US"/>
        </w:rPr>
        <w:t>Health</w:t>
      </w:r>
      <w:r w:rsidR="00124678" w:rsidRPr="00A4175B">
        <w:rPr>
          <w:i/>
          <w:sz w:val="24"/>
          <w:szCs w:val="24"/>
        </w:rPr>
        <w:t xml:space="preserve"> </w:t>
      </w:r>
      <w:r w:rsidRPr="00A4175B">
        <w:rPr>
          <w:i/>
          <w:sz w:val="24"/>
          <w:szCs w:val="24"/>
          <w:lang w:val="en-US"/>
        </w:rPr>
        <w:t>Organization</w:t>
      </w:r>
      <w:r w:rsidR="0078495A" w:rsidRPr="00A4175B">
        <w:rPr>
          <w:i/>
          <w:sz w:val="24"/>
          <w:szCs w:val="24"/>
        </w:rPr>
        <w:t xml:space="preserve"> </w:t>
      </w:r>
      <w:r w:rsidRPr="00A4175B">
        <w:rPr>
          <w:i/>
          <w:sz w:val="24"/>
          <w:szCs w:val="24"/>
        </w:rPr>
        <w:t xml:space="preserve">- </w:t>
      </w:r>
      <w:r w:rsidRPr="00A4175B">
        <w:rPr>
          <w:i/>
          <w:sz w:val="24"/>
          <w:szCs w:val="24"/>
          <w:lang w:val="en-US"/>
        </w:rPr>
        <w:t>Quality</w:t>
      </w:r>
      <w:r w:rsidR="00124678" w:rsidRPr="00A4175B">
        <w:rPr>
          <w:i/>
          <w:sz w:val="24"/>
          <w:szCs w:val="24"/>
        </w:rPr>
        <w:t xml:space="preserve"> </w:t>
      </w:r>
      <w:r w:rsidRPr="00A4175B">
        <w:rPr>
          <w:i/>
          <w:sz w:val="24"/>
          <w:szCs w:val="24"/>
          <w:lang w:val="en-US"/>
        </w:rPr>
        <w:t>of</w:t>
      </w:r>
      <w:r w:rsidR="00124678" w:rsidRPr="00A4175B">
        <w:rPr>
          <w:i/>
          <w:sz w:val="24"/>
          <w:szCs w:val="24"/>
        </w:rPr>
        <w:t xml:space="preserve"> </w:t>
      </w:r>
      <w:r w:rsidRPr="00A4175B">
        <w:rPr>
          <w:i/>
          <w:sz w:val="24"/>
          <w:szCs w:val="24"/>
          <w:lang w:val="en-US"/>
        </w:rPr>
        <w:t>Life</w:t>
      </w:r>
      <w:r w:rsidR="0085076B" w:rsidRPr="00A4175B">
        <w:rPr>
          <w:sz w:val="24"/>
          <w:szCs w:val="24"/>
        </w:rPr>
        <w:t xml:space="preserve"> (WHO-Qο</w:t>
      </w:r>
      <w:r w:rsidRPr="00A4175B">
        <w:rPr>
          <w:sz w:val="24"/>
          <w:szCs w:val="24"/>
        </w:rPr>
        <w:t>L), ένα άλλ</w:t>
      </w:r>
      <w:r w:rsidR="0085076B" w:rsidRPr="00A4175B">
        <w:rPr>
          <w:sz w:val="24"/>
          <w:szCs w:val="24"/>
        </w:rPr>
        <w:t>ο γενικό εργαλείο (WHOQο</w:t>
      </w:r>
      <w:r w:rsidR="00124678" w:rsidRPr="00A4175B">
        <w:rPr>
          <w:sz w:val="24"/>
          <w:szCs w:val="24"/>
        </w:rPr>
        <w:t>L Group</w:t>
      </w:r>
      <w:r w:rsidR="0085076B" w:rsidRPr="00A4175B">
        <w:rPr>
          <w:sz w:val="24"/>
          <w:szCs w:val="24"/>
        </w:rPr>
        <w:t>,</w:t>
      </w:r>
      <w:r w:rsidRPr="00A4175B">
        <w:rPr>
          <w:sz w:val="24"/>
          <w:szCs w:val="24"/>
        </w:rPr>
        <w:t xml:space="preserve"> 1998). Η χρήση του WHO-</w:t>
      </w:r>
      <w:r w:rsidR="00124678" w:rsidRPr="00A4175B">
        <w:rPr>
          <w:sz w:val="24"/>
          <w:szCs w:val="24"/>
          <w:lang w:val="en-US"/>
        </w:rPr>
        <w:t>Q</w:t>
      </w:r>
      <w:r w:rsidR="00124678" w:rsidRPr="00A4175B">
        <w:rPr>
          <w:sz w:val="24"/>
          <w:szCs w:val="24"/>
        </w:rPr>
        <w:t>ο</w:t>
      </w:r>
      <w:r w:rsidRPr="00A4175B">
        <w:rPr>
          <w:sz w:val="24"/>
          <w:szCs w:val="24"/>
          <w:lang w:val="en-US"/>
        </w:rPr>
        <w:t>L</w:t>
      </w:r>
      <w:r w:rsidRPr="00A4175B">
        <w:rPr>
          <w:sz w:val="24"/>
          <w:szCs w:val="24"/>
        </w:rPr>
        <w:t xml:space="preserve"> είναι πιο περιορισμένη στη νεφρ</w:t>
      </w:r>
      <w:r w:rsidR="00566725" w:rsidRPr="00A4175B">
        <w:rPr>
          <w:sz w:val="24"/>
          <w:szCs w:val="24"/>
        </w:rPr>
        <w:t>ολογία. Περιέχει 100 ερωτήσεις</w:t>
      </w:r>
      <w:r w:rsidR="002F06FC" w:rsidRPr="00A4175B">
        <w:rPr>
          <w:sz w:val="24"/>
          <w:szCs w:val="24"/>
        </w:rPr>
        <w:t>. Οι κλίμακες</w:t>
      </w:r>
      <w:r w:rsidRPr="00A4175B">
        <w:rPr>
          <w:sz w:val="24"/>
          <w:szCs w:val="24"/>
        </w:rPr>
        <w:t xml:space="preserve"> SF-36 και </w:t>
      </w:r>
      <w:r w:rsidR="00124678" w:rsidRPr="00A4175B">
        <w:rPr>
          <w:sz w:val="24"/>
          <w:szCs w:val="24"/>
        </w:rPr>
        <w:t>WHO-Qο</w:t>
      </w:r>
      <w:r w:rsidRPr="00A4175B">
        <w:rPr>
          <w:sz w:val="24"/>
          <w:szCs w:val="24"/>
        </w:rPr>
        <w:t>L έχουν</w:t>
      </w:r>
      <w:r w:rsidR="002F06FC" w:rsidRPr="00A4175B">
        <w:rPr>
          <w:sz w:val="24"/>
          <w:szCs w:val="24"/>
        </w:rPr>
        <w:t>,</w:t>
      </w:r>
      <w:r w:rsidRPr="00A4175B">
        <w:rPr>
          <w:sz w:val="24"/>
          <w:szCs w:val="24"/>
        </w:rPr>
        <w:t xml:space="preserve"> </w:t>
      </w:r>
      <w:r w:rsidR="002F06FC" w:rsidRPr="00A4175B">
        <w:rPr>
          <w:sz w:val="24"/>
          <w:szCs w:val="24"/>
        </w:rPr>
        <w:t>επίσης,</w:t>
      </w:r>
      <w:r w:rsidRPr="00A4175B">
        <w:rPr>
          <w:sz w:val="24"/>
          <w:szCs w:val="24"/>
        </w:rPr>
        <w:t xml:space="preserve"> σύντομες εκδόσεις με 12 και 26 ερωτήσεις αντίστοιχα.</w:t>
      </w:r>
    </w:p>
    <w:p w:rsidR="00566725" w:rsidRPr="00A4175B" w:rsidRDefault="00566725" w:rsidP="005A464E">
      <w:pPr>
        <w:pStyle w:val="a5"/>
        <w:numPr>
          <w:ilvl w:val="0"/>
          <w:numId w:val="3"/>
        </w:numPr>
        <w:spacing w:line="360" w:lineRule="auto"/>
        <w:jc w:val="both"/>
        <w:rPr>
          <w:sz w:val="24"/>
          <w:szCs w:val="24"/>
        </w:rPr>
      </w:pPr>
      <w:r w:rsidRPr="00A4175B">
        <w:rPr>
          <w:i/>
          <w:sz w:val="24"/>
          <w:szCs w:val="24"/>
          <w:lang w:val="en-US"/>
        </w:rPr>
        <w:t>Cognitive</w:t>
      </w:r>
      <w:r w:rsidR="00124678" w:rsidRPr="00A4175B">
        <w:rPr>
          <w:i/>
          <w:sz w:val="24"/>
          <w:szCs w:val="24"/>
        </w:rPr>
        <w:t xml:space="preserve"> </w:t>
      </w:r>
      <w:r w:rsidRPr="00A4175B">
        <w:rPr>
          <w:i/>
          <w:sz w:val="24"/>
          <w:szCs w:val="24"/>
          <w:lang w:val="en-US"/>
        </w:rPr>
        <w:t>Depression</w:t>
      </w:r>
      <w:r w:rsidR="00124678" w:rsidRPr="00A4175B">
        <w:rPr>
          <w:i/>
          <w:sz w:val="24"/>
          <w:szCs w:val="24"/>
        </w:rPr>
        <w:t xml:space="preserve"> </w:t>
      </w:r>
      <w:r w:rsidRPr="00A4175B">
        <w:rPr>
          <w:i/>
          <w:sz w:val="24"/>
          <w:szCs w:val="24"/>
          <w:lang w:val="en-US"/>
        </w:rPr>
        <w:t>Index</w:t>
      </w:r>
      <w:r w:rsidRPr="00A4175B">
        <w:rPr>
          <w:i/>
          <w:sz w:val="24"/>
          <w:szCs w:val="24"/>
        </w:rPr>
        <w:t xml:space="preserve"> (</w:t>
      </w:r>
      <w:r w:rsidRPr="00A4175B">
        <w:rPr>
          <w:i/>
          <w:sz w:val="24"/>
          <w:szCs w:val="24"/>
          <w:lang w:val="en-US"/>
        </w:rPr>
        <w:t>CDI</w:t>
      </w:r>
      <w:r w:rsidRPr="00A4175B">
        <w:rPr>
          <w:i/>
          <w:sz w:val="24"/>
          <w:szCs w:val="24"/>
        </w:rPr>
        <w:t>)</w:t>
      </w:r>
      <w:r w:rsidRPr="00A4175B">
        <w:rPr>
          <w:sz w:val="24"/>
          <w:szCs w:val="24"/>
        </w:rPr>
        <w:t xml:space="preserve"> αποτελείται από 15 ερωτήσεις και αξιολογεί τα επίπεδα κατάθλιψης (</w:t>
      </w:r>
      <w:r w:rsidR="00FB7B78" w:rsidRPr="00A4175B">
        <w:rPr>
          <w:sz w:val="24"/>
          <w:szCs w:val="24"/>
          <w:lang w:val="en-US"/>
        </w:rPr>
        <w:t>Patel</w:t>
      </w:r>
      <w:r w:rsidR="00124678" w:rsidRPr="00A4175B">
        <w:rPr>
          <w:sz w:val="24"/>
          <w:szCs w:val="24"/>
        </w:rPr>
        <w:t xml:space="preserve"> </w:t>
      </w:r>
      <w:r w:rsidR="00566CAA" w:rsidRPr="00A4175B">
        <w:rPr>
          <w:sz w:val="24"/>
          <w:szCs w:val="24"/>
        </w:rPr>
        <w:t>et al</w:t>
      </w:r>
      <w:r w:rsidR="00573981" w:rsidRPr="00A4175B">
        <w:rPr>
          <w:sz w:val="24"/>
          <w:szCs w:val="24"/>
        </w:rPr>
        <w:t>.</w:t>
      </w:r>
      <w:r w:rsidR="00A600AE" w:rsidRPr="00A4175B">
        <w:rPr>
          <w:sz w:val="24"/>
          <w:szCs w:val="24"/>
        </w:rPr>
        <w:t>,</w:t>
      </w:r>
      <w:r w:rsidR="00FB7B78" w:rsidRPr="00A4175B">
        <w:rPr>
          <w:sz w:val="24"/>
          <w:szCs w:val="24"/>
        </w:rPr>
        <w:t xml:space="preserve"> 2002).</w:t>
      </w:r>
    </w:p>
    <w:p w:rsidR="00FB7B78" w:rsidRPr="00A4175B" w:rsidRDefault="00E94AAB" w:rsidP="005A464E">
      <w:pPr>
        <w:pStyle w:val="a5"/>
        <w:numPr>
          <w:ilvl w:val="0"/>
          <w:numId w:val="3"/>
        </w:numPr>
        <w:spacing w:line="360" w:lineRule="auto"/>
        <w:jc w:val="both"/>
        <w:rPr>
          <w:sz w:val="24"/>
          <w:szCs w:val="24"/>
        </w:rPr>
      </w:pPr>
      <w:r w:rsidRPr="00A4175B">
        <w:rPr>
          <w:i/>
          <w:sz w:val="24"/>
          <w:szCs w:val="24"/>
          <w:lang w:val="en-US"/>
        </w:rPr>
        <w:t>Modified</w:t>
      </w:r>
      <w:r w:rsidR="00124678" w:rsidRPr="00A4175B">
        <w:rPr>
          <w:i/>
          <w:sz w:val="24"/>
          <w:szCs w:val="24"/>
        </w:rPr>
        <w:t xml:space="preserve"> </w:t>
      </w:r>
      <w:r w:rsidRPr="00A4175B">
        <w:rPr>
          <w:i/>
          <w:sz w:val="24"/>
          <w:szCs w:val="24"/>
          <w:lang w:val="en-US"/>
        </w:rPr>
        <w:t>Center</w:t>
      </w:r>
      <w:r w:rsidR="00124678" w:rsidRPr="00A4175B">
        <w:rPr>
          <w:i/>
          <w:sz w:val="24"/>
          <w:szCs w:val="24"/>
        </w:rPr>
        <w:t xml:space="preserve"> </w:t>
      </w:r>
      <w:r w:rsidRPr="00A4175B">
        <w:rPr>
          <w:i/>
          <w:sz w:val="24"/>
          <w:szCs w:val="24"/>
          <w:lang w:val="en-US"/>
        </w:rPr>
        <w:t>for</w:t>
      </w:r>
      <w:r w:rsidR="00124678" w:rsidRPr="00A4175B">
        <w:rPr>
          <w:i/>
          <w:sz w:val="24"/>
          <w:szCs w:val="24"/>
        </w:rPr>
        <w:t xml:space="preserve"> </w:t>
      </w:r>
      <w:r w:rsidRPr="00A4175B">
        <w:rPr>
          <w:i/>
          <w:sz w:val="24"/>
          <w:szCs w:val="24"/>
          <w:lang w:val="en-US"/>
        </w:rPr>
        <w:t>Epidemiologic</w:t>
      </w:r>
      <w:r w:rsidR="00124678" w:rsidRPr="00A4175B">
        <w:rPr>
          <w:i/>
          <w:sz w:val="24"/>
          <w:szCs w:val="24"/>
        </w:rPr>
        <w:t xml:space="preserve"> </w:t>
      </w:r>
      <w:r w:rsidRPr="00A4175B">
        <w:rPr>
          <w:i/>
          <w:sz w:val="24"/>
          <w:szCs w:val="24"/>
          <w:lang w:val="en-US"/>
        </w:rPr>
        <w:t>Studies</w:t>
      </w:r>
      <w:r w:rsidR="00124678" w:rsidRPr="00A4175B">
        <w:rPr>
          <w:i/>
          <w:sz w:val="24"/>
          <w:szCs w:val="24"/>
        </w:rPr>
        <w:t xml:space="preserve"> </w:t>
      </w:r>
      <w:r w:rsidRPr="00A4175B">
        <w:rPr>
          <w:i/>
          <w:sz w:val="24"/>
          <w:szCs w:val="24"/>
          <w:lang w:val="en-US"/>
        </w:rPr>
        <w:t>Depression</w:t>
      </w:r>
      <w:r w:rsidR="00124678" w:rsidRPr="00A4175B">
        <w:rPr>
          <w:i/>
          <w:sz w:val="24"/>
          <w:szCs w:val="24"/>
        </w:rPr>
        <w:t xml:space="preserve"> </w:t>
      </w:r>
      <w:r w:rsidRPr="00A4175B">
        <w:rPr>
          <w:i/>
          <w:sz w:val="24"/>
          <w:szCs w:val="24"/>
          <w:lang w:val="en-US"/>
        </w:rPr>
        <w:t>Scale</w:t>
      </w:r>
      <w:r w:rsidR="00124678" w:rsidRPr="00A4175B">
        <w:rPr>
          <w:sz w:val="24"/>
          <w:szCs w:val="24"/>
        </w:rPr>
        <w:t xml:space="preserve"> </w:t>
      </w:r>
      <w:r w:rsidR="00FB7B78" w:rsidRPr="00A4175B">
        <w:rPr>
          <w:i/>
          <w:sz w:val="24"/>
          <w:szCs w:val="24"/>
        </w:rPr>
        <w:t>(</w:t>
      </w:r>
      <w:r w:rsidR="00FB7B78" w:rsidRPr="00A4175B">
        <w:rPr>
          <w:i/>
          <w:sz w:val="24"/>
          <w:szCs w:val="24"/>
          <w:lang w:val="en-US"/>
        </w:rPr>
        <w:t>CE</w:t>
      </w:r>
      <w:r w:rsidR="00D225F5" w:rsidRPr="00A4175B">
        <w:rPr>
          <w:i/>
          <w:sz w:val="24"/>
          <w:szCs w:val="24"/>
        </w:rPr>
        <w:t>ΤΑ</w:t>
      </w:r>
      <w:r w:rsidR="00FB7B78" w:rsidRPr="00A4175B">
        <w:rPr>
          <w:i/>
          <w:sz w:val="24"/>
          <w:szCs w:val="24"/>
        </w:rPr>
        <w:t>)</w:t>
      </w:r>
      <w:r w:rsidR="00124678" w:rsidRPr="00A4175B">
        <w:rPr>
          <w:sz w:val="24"/>
          <w:szCs w:val="24"/>
        </w:rPr>
        <w:t xml:space="preserve"> </w:t>
      </w:r>
      <w:r w:rsidR="00FB7B78" w:rsidRPr="00A4175B">
        <w:rPr>
          <w:sz w:val="24"/>
          <w:szCs w:val="24"/>
        </w:rPr>
        <w:t>αποτελείται από 16 ερωτήσεις και</w:t>
      </w:r>
      <w:r w:rsidR="00124678" w:rsidRPr="00A4175B">
        <w:rPr>
          <w:sz w:val="24"/>
          <w:szCs w:val="24"/>
        </w:rPr>
        <w:t xml:space="preserve"> </w:t>
      </w:r>
      <w:r w:rsidR="00FB7B78" w:rsidRPr="00A4175B">
        <w:rPr>
          <w:sz w:val="24"/>
          <w:szCs w:val="24"/>
        </w:rPr>
        <w:t>αξιολογεί</w:t>
      </w:r>
      <w:r w:rsidR="00124678" w:rsidRPr="00A4175B">
        <w:rPr>
          <w:sz w:val="24"/>
          <w:szCs w:val="24"/>
        </w:rPr>
        <w:t xml:space="preserve"> </w:t>
      </w:r>
      <w:r w:rsidR="00FB7B78" w:rsidRPr="00A4175B">
        <w:rPr>
          <w:sz w:val="24"/>
          <w:szCs w:val="24"/>
        </w:rPr>
        <w:t>την</w:t>
      </w:r>
      <w:r w:rsidR="00124678" w:rsidRPr="00A4175B">
        <w:rPr>
          <w:sz w:val="24"/>
          <w:szCs w:val="24"/>
        </w:rPr>
        <w:t xml:space="preserve"> </w:t>
      </w:r>
      <w:r w:rsidR="00FB7B78" w:rsidRPr="00A4175B">
        <w:rPr>
          <w:sz w:val="24"/>
          <w:szCs w:val="24"/>
        </w:rPr>
        <w:t>παρουσία και</w:t>
      </w:r>
      <w:r w:rsidR="00124678" w:rsidRPr="00A4175B">
        <w:rPr>
          <w:sz w:val="24"/>
          <w:szCs w:val="24"/>
        </w:rPr>
        <w:t xml:space="preserve"> </w:t>
      </w:r>
      <w:r w:rsidR="00FB7B78" w:rsidRPr="00A4175B">
        <w:rPr>
          <w:sz w:val="24"/>
          <w:szCs w:val="24"/>
        </w:rPr>
        <w:t>την ένταση των καταθλιπτικών συμπτωμάτων (</w:t>
      </w:r>
      <w:r w:rsidR="00FB7B78" w:rsidRPr="00A4175B">
        <w:rPr>
          <w:sz w:val="24"/>
          <w:szCs w:val="24"/>
          <w:lang w:val="en-US"/>
        </w:rPr>
        <w:t>Welch</w:t>
      </w:r>
      <w:r w:rsidR="00124678" w:rsidRPr="00A4175B">
        <w:rPr>
          <w:sz w:val="24"/>
          <w:szCs w:val="24"/>
        </w:rPr>
        <w:t xml:space="preserve"> </w:t>
      </w:r>
      <w:r w:rsidR="00FB7B78" w:rsidRPr="00A4175B">
        <w:rPr>
          <w:sz w:val="24"/>
          <w:szCs w:val="24"/>
        </w:rPr>
        <w:t>&amp;</w:t>
      </w:r>
      <w:r w:rsidR="00124678" w:rsidRPr="00A4175B">
        <w:rPr>
          <w:sz w:val="24"/>
          <w:szCs w:val="24"/>
        </w:rPr>
        <w:t xml:space="preserve"> </w:t>
      </w:r>
      <w:r w:rsidR="00FB7B78" w:rsidRPr="00A4175B">
        <w:rPr>
          <w:sz w:val="24"/>
          <w:szCs w:val="24"/>
          <w:lang w:val="en-US"/>
        </w:rPr>
        <w:t>Austin</w:t>
      </w:r>
      <w:r w:rsidR="00AB454B" w:rsidRPr="00A4175B">
        <w:rPr>
          <w:sz w:val="24"/>
          <w:szCs w:val="24"/>
        </w:rPr>
        <w:t>,</w:t>
      </w:r>
      <w:r w:rsidR="00FB7B78" w:rsidRPr="00A4175B">
        <w:rPr>
          <w:sz w:val="24"/>
          <w:szCs w:val="24"/>
        </w:rPr>
        <w:t xml:space="preserve"> 2001).</w:t>
      </w:r>
    </w:p>
    <w:p w:rsidR="00FB7B78" w:rsidRPr="00A4175B" w:rsidRDefault="00FB7B78" w:rsidP="005A464E">
      <w:pPr>
        <w:pStyle w:val="a5"/>
        <w:numPr>
          <w:ilvl w:val="0"/>
          <w:numId w:val="3"/>
        </w:numPr>
        <w:spacing w:line="360" w:lineRule="auto"/>
        <w:jc w:val="both"/>
        <w:rPr>
          <w:sz w:val="24"/>
          <w:szCs w:val="24"/>
        </w:rPr>
      </w:pPr>
      <w:r w:rsidRPr="00A4175B">
        <w:rPr>
          <w:i/>
          <w:sz w:val="24"/>
          <w:szCs w:val="24"/>
          <w:lang w:val="en-US"/>
        </w:rPr>
        <w:t>Multidimensional</w:t>
      </w:r>
      <w:r w:rsidR="00124678" w:rsidRPr="00A4175B">
        <w:rPr>
          <w:i/>
          <w:sz w:val="24"/>
          <w:szCs w:val="24"/>
        </w:rPr>
        <w:t xml:space="preserve"> </w:t>
      </w:r>
      <w:r w:rsidRPr="00A4175B">
        <w:rPr>
          <w:i/>
          <w:sz w:val="24"/>
          <w:szCs w:val="24"/>
          <w:lang w:val="en-US"/>
        </w:rPr>
        <w:t>Scale</w:t>
      </w:r>
      <w:r w:rsidR="00124678" w:rsidRPr="00A4175B">
        <w:rPr>
          <w:i/>
          <w:sz w:val="24"/>
          <w:szCs w:val="24"/>
        </w:rPr>
        <w:t xml:space="preserve"> </w:t>
      </w:r>
      <w:r w:rsidR="00E94AAB" w:rsidRPr="00A4175B">
        <w:rPr>
          <w:i/>
          <w:sz w:val="24"/>
          <w:szCs w:val="24"/>
        </w:rPr>
        <w:t>ο</w:t>
      </w:r>
      <w:r w:rsidRPr="00A4175B">
        <w:rPr>
          <w:i/>
          <w:sz w:val="24"/>
          <w:szCs w:val="24"/>
          <w:lang w:val="en-US"/>
        </w:rPr>
        <w:t>f</w:t>
      </w:r>
      <w:r w:rsidR="00124678" w:rsidRPr="00A4175B">
        <w:rPr>
          <w:i/>
          <w:sz w:val="24"/>
          <w:szCs w:val="24"/>
        </w:rPr>
        <w:t xml:space="preserve"> </w:t>
      </w:r>
      <w:r w:rsidRPr="00A4175B">
        <w:rPr>
          <w:i/>
          <w:sz w:val="24"/>
          <w:szCs w:val="24"/>
          <w:lang w:val="en-US"/>
        </w:rPr>
        <w:t>Perceived</w:t>
      </w:r>
      <w:r w:rsidR="00124678" w:rsidRPr="00A4175B">
        <w:rPr>
          <w:i/>
          <w:sz w:val="24"/>
          <w:szCs w:val="24"/>
        </w:rPr>
        <w:t xml:space="preserve"> </w:t>
      </w:r>
      <w:r w:rsidRPr="00A4175B">
        <w:rPr>
          <w:i/>
          <w:sz w:val="24"/>
          <w:szCs w:val="24"/>
          <w:lang w:val="en-US"/>
        </w:rPr>
        <w:t>Social</w:t>
      </w:r>
      <w:r w:rsidR="00124678" w:rsidRPr="00A4175B">
        <w:rPr>
          <w:i/>
          <w:sz w:val="24"/>
          <w:szCs w:val="24"/>
        </w:rPr>
        <w:t xml:space="preserve"> </w:t>
      </w:r>
      <w:r w:rsidRPr="00A4175B">
        <w:rPr>
          <w:i/>
          <w:sz w:val="24"/>
          <w:szCs w:val="24"/>
          <w:lang w:val="en-US"/>
        </w:rPr>
        <w:t>Support</w:t>
      </w:r>
      <w:r w:rsidRPr="00A4175B">
        <w:rPr>
          <w:i/>
          <w:sz w:val="24"/>
          <w:szCs w:val="24"/>
        </w:rPr>
        <w:t xml:space="preserve"> (</w:t>
      </w:r>
      <w:r w:rsidRPr="00A4175B">
        <w:rPr>
          <w:i/>
          <w:sz w:val="24"/>
          <w:szCs w:val="24"/>
          <w:lang w:val="en-US"/>
        </w:rPr>
        <w:t>MSPSS</w:t>
      </w:r>
      <w:r w:rsidRPr="00A4175B">
        <w:rPr>
          <w:i/>
          <w:sz w:val="24"/>
          <w:szCs w:val="24"/>
        </w:rPr>
        <w:t>)</w:t>
      </w:r>
      <w:r w:rsidRPr="00A4175B">
        <w:rPr>
          <w:sz w:val="24"/>
          <w:szCs w:val="24"/>
        </w:rPr>
        <w:t xml:space="preserve"> αποτελείται απ</w:t>
      </w:r>
      <w:r w:rsidR="004B4FDB" w:rsidRPr="00A4175B">
        <w:rPr>
          <w:sz w:val="24"/>
          <w:szCs w:val="24"/>
        </w:rPr>
        <w:t xml:space="preserve">ό 12 ερωτήσεις </w:t>
      </w:r>
      <w:r w:rsidR="005F478F" w:rsidRPr="00A4175B">
        <w:rPr>
          <w:sz w:val="24"/>
          <w:szCs w:val="24"/>
        </w:rPr>
        <w:t>7</w:t>
      </w:r>
      <w:r w:rsidR="002F06FC" w:rsidRPr="00A4175B">
        <w:rPr>
          <w:sz w:val="24"/>
          <w:szCs w:val="24"/>
        </w:rPr>
        <w:t xml:space="preserve"> σημείων</w:t>
      </w:r>
      <w:r w:rsidR="00124678" w:rsidRPr="00A4175B">
        <w:rPr>
          <w:sz w:val="24"/>
          <w:szCs w:val="24"/>
        </w:rPr>
        <w:t xml:space="preserve"> </w:t>
      </w:r>
      <w:r w:rsidRPr="00A4175B">
        <w:rPr>
          <w:sz w:val="24"/>
          <w:szCs w:val="24"/>
        </w:rPr>
        <w:t>τύπου</w:t>
      </w:r>
      <w:r w:rsidR="00124678" w:rsidRPr="00A4175B">
        <w:rPr>
          <w:sz w:val="24"/>
          <w:szCs w:val="24"/>
        </w:rPr>
        <w:t xml:space="preserve"> </w:t>
      </w:r>
      <w:r w:rsidRPr="00A4175B">
        <w:rPr>
          <w:sz w:val="24"/>
          <w:szCs w:val="24"/>
          <w:lang w:val="en-US"/>
        </w:rPr>
        <w:t>Likert</w:t>
      </w:r>
      <w:r w:rsidR="00124678" w:rsidRPr="00A4175B">
        <w:rPr>
          <w:sz w:val="24"/>
          <w:szCs w:val="24"/>
        </w:rPr>
        <w:t xml:space="preserve"> </w:t>
      </w:r>
      <w:r w:rsidRPr="00A4175B">
        <w:rPr>
          <w:sz w:val="24"/>
          <w:szCs w:val="24"/>
        </w:rPr>
        <w:t>και αξιολογεί την κοινωνική στήριξη (από φίλους, οικογένεια και σημαντικούς άλλους) (</w:t>
      </w:r>
      <w:r w:rsidRPr="00A4175B">
        <w:rPr>
          <w:sz w:val="24"/>
          <w:szCs w:val="24"/>
          <w:lang w:val="en-US"/>
        </w:rPr>
        <w:t>Kara</w:t>
      </w:r>
      <w:r w:rsidR="007B503D" w:rsidRPr="00A4175B">
        <w:rPr>
          <w:sz w:val="24"/>
          <w:szCs w:val="24"/>
        </w:rPr>
        <w:t xml:space="preserve"> </w:t>
      </w:r>
      <w:r w:rsidR="007B503D" w:rsidRPr="00A4175B">
        <w:rPr>
          <w:sz w:val="24"/>
          <w:szCs w:val="24"/>
          <w:lang w:val="en-US"/>
        </w:rPr>
        <w:t>et</w:t>
      </w:r>
      <w:r w:rsidR="007B503D" w:rsidRPr="00A4175B">
        <w:rPr>
          <w:sz w:val="24"/>
          <w:szCs w:val="24"/>
        </w:rPr>
        <w:t xml:space="preserve"> </w:t>
      </w:r>
      <w:r w:rsidR="007B503D" w:rsidRPr="00A4175B">
        <w:rPr>
          <w:sz w:val="24"/>
          <w:szCs w:val="24"/>
          <w:lang w:val="en-US"/>
        </w:rPr>
        <w:t>al</w:t>
      </w:r>
      <w:r w:rsidR="007B503D" w:rsidRPr="00A4175B">
        <w:rPr>
          <w:sz w:val="24"/>
          <w:szCs w:val="24"/>
        </w:rPr>
        <w:t>.,</w:t>
      </w:r>
      <w:r w:rsidR="006744A0" w:rsidRPr="00A4175B">
        <w:rPr>
          <w:rFonts w:cs="Arial"/>
          <w:sz w:val="24"/>
          <w:szCs w:val="24"/>
          <w:shd w:val="clear" w:color="auto" w:fill="FFFFFF"/>
        </w:rPr>
        <w:t xml:space="preserve"> </w:t>
      </w:r>
      <w:r w:rsidRPr="00A4175B">
        <w:rPr>
          <w:sz w:val="24"/>
          <w:szCs w:val="24"/>
        </w:rPr>
        <w:t>2007).</w:t>
      </w:r>
    </w:p>
    <w:p w:rsidR="00FB7B78" w:rsidRPr="005A464E" w:rsidRDefault="00FB7B78" w:rsidP="005A464E">
      <w:pPr>
        <w:pStyle w:val="a5"/>
        <w:numPr>
          <w:ilvl w:val="0"/>
          <w:numId w:val="3"/>
        </w:numPr>
        <w:spacing w:line="360" w:lineRule="auto"/>
        <w:jc w:val="both"/>
        <w:rPr>
          <w:sz w:val="24"/>
          <w:szCs w:val="24"/>
        </w:rPr>
      </w:pPr>
      <w:r w:rsidRPr="00A4175B">
        <w:rPr>
          <w:i/>
          <w:sz w:val="24"/>
          <w:szCs w:val="24"/>
          <w:lang w:val="en-US"/>
        </w:rPr>
        <w:t>Illness</w:t>
      </w:r>
      <w:r w:rsidR="00124678" w:rsidRPr="00A4175B">
        <w:rPr>
          <w:i/>
          <w:sz w:val="24"/>
          <w:szCs w:val="24"/>
        </w:rPr>
        <w:t xml:space="preserve"> </w:t>
      </w:r>
      <w:r w:rsidRPr="00A4175B">
        <w:rPr>
          <w:i/>
          <w:sz w:val="24"/>
          <w:szCs w:val="24"/>
          <w:lang w:val="en-US"/>
        </w:rPr>
        <w:t>Effect</w:t>
      </w:r>
      <w:r w:rsidR="00124678" w:rsidRPr="00A4175B">
        <w:rPr>
          <w:i/>
          <w:sz w:val="24"/>
          <w:szCs w:val="24"/>
        </w:rPr>
        <w:t xml:space="preserve"> </w:t>
      </w:r>
      <w:r w:rsidRPr="00A4175B">
        <w:rPr>
          <w:i/>
          <w:sz w:val="24"/>
          <w:szCs w:val="24"/>
          <w:lang w:val="en-US"/>
        </w:rPr>
        <w:t>Questionnaire</w:t>
      </w:r>
      <w:r w:rsidRPr="00A4175B">
        <w:rPr>
          <w:i/>
          <w:sz w:val="24"/>
          <w:szCs w:val="24"/>
        </w:rPr>
        <w:t xml:space="preserve"> (</w:t>
      </w:r>
      <w:r w:rsidRPr="00A4175B">
        <w:rPr>
          <w:i/>
          <w:sz w:val="24"/>
          <w:szCs w:val="24"/>
          <w:lang w:val="en-US"/>
        </w:rPr>
        <w:t>IEQ</w:t>
      </w:r>
      <w:r w:rsidRPr="00A4175B">
        <w:rPr>
          <w:i/>
          <w:sz w:val="24"/>
          <w:szCs w:val="24"/>
        </w:rPr>
        <w:t>)</w:t>
      </w:r>
      <w:r w:rsidR="00124678" w:rsidRPr="00A4175B">
        <w:rPr>
          <w:sz w:val="24"/>
          <w:szCs w:val="24"/>
        </w:rPr>
        <w:t xml:space="preserve"> </w:t>
      </w:r>
      <w:r w:rsidRPr="00A4175B">
        <w:rPr>
          <w:sz w:val="24"/>
          <w:szCs w:val="24"/>
        </w:rPr>
        <w:t>αξιολογεί</w:t>
      </w:r>
      <w:r w:rsidRPr="005A464E">
        <w:rPr>
          <w:sz w:val="24"/>
          <w:szCs w:val="24"/>
        </w:rPr>
        <w:t xml:space="preserve"> το</w:t>
      </w:r>
      <w:r w:rsidR="00124678" w:rsidRPr="005A464E">
        <w:rPr>
          <w:sz w:val="24"/>
          <w:szCs w:val="24"/>
        </w:rPr>
        <w:t xml:space="preserve"> </w:t>
      </w:r>
      <w:r w:rsidRPr="005A464E">
        <w:rPr>
          <w:sz w:val="24"/>
          <w:szCs w:val="24"/>
        </w:rPr>
        <w:t>πώς</w:t>
      </w:r>
      <w:r w:rsidR="00124678" w:rsidRPr="005A464E">
        <w:rPr>
          <w:sz w:val="24"/>
          <w:szCs w:val="24"/>
        </w:rPr>
        <w:t xml:space="preserve"> </w:t>
      </w:r>
      <w:r w:rsidR="00817853">
        <w:rPr>
          <w:sz w:val="24"/>
          <w:szCs w:val="24"/>
        </w:rPr>
        <w:t>μια</w:t>
      </w:r>
      <w:r w:rsidR="00124678" w:rsidRPr="005A464E">
        <w:rPr>
          <w:sz w:val="24"/>
          <w:szCs w:val="24"/>
        </w:rPr>
        <w:t xml:space="preserve"> </w:t>
      </w:r>
      <w:r w:rsidRPr="005A464E">
        <w:rPr>
          <w:sz w:val="24"/>
          <w:szCs w:val="24"/>
        </w:rPr>
        <w:t>νόσος επιδρά στην προσωπική και κοινωνική συμπεριφορά (</w:t>
      </w:r>
      <w:r w:rsidRPr="005A464E">
        <w:rPr>
          <w:sz w:val="24"/>
          <w:szCs w:val="24"/>
          <w:lang w:val="en-US"/>
        </w:rPr>
        <w:t>Kimmel</w:t>
      </w:r>
      <w:r w:rsidR="00722A39" w:rsidRPr="005A464E">
        <w:rPr>
          <w:sz w:val="24"/>
          <w:szCs w:val="24"/>
        </w:rPr>
        <w:t xml:space="preserve"> </w:t>
      </w:r>
      <w:r w:rsidR="00566CAA">
        <w:rPr>
          <w:sz w:val="24"/>
          <w:szCs w:val="24"/>
        </w:rPr>
        <w:t>et al</w:t>
      </w:r>
      <w:r w:rsidR="00A63745" w:rsidRPr="00A63745">
        <w:rPr>
          <w:sz w:val="24"/>
          <w:szCs w:val="24"/>
        </w:rPr>
        <w:t>.</w:t>
      </w:r>
      <w:r w:rsidR="00533701">
        <w:rPr>
          <w:sz w:val="24"/>
          <w:szCs w:val="24"/>
        </w:rPr>
        <w:t>,</w:t>
      </w:r>
      <w:r w:rsidRPr="005A464E">
        <w:rPr>
          <w:sz w:val="24"/>
          <w:szCs w:val="24"/>
        </w:rPr>
        <w:t xml:space="preserve"> 1995).</w:t>
      </w:r>
    </w:p>
    <w:p w:rsidR="00FB7B78" w:rsidRPr="005A464E" w:rsidRDefault="00FB7B78" w:rsidP="005A464E">
      <w:pPr>
        <w:pStyle w:val="a5"/>
        <w:numPr>
          <w:ilvl w:val="0"/>
          <w:numId w:val="3"/>
        </w:numPr>
        <w:spacing w:line="360" w:lineRule="auto"/>
        <w:jc w:val="both"/>
        <w:rPr>
          <w:sz w:val="24"/>
          <w:szCs w:val="24"/>
        </w:rPr>
      </w:pPr>
      <w:r w:rsidRPr="004B4FDB">
        <w:rPr>
          <w:i/>
          <w:sz w:val="24"/>
          <w:szCs w:val="24"/>
          <w:lang w:val="en-US"/>
        </w:rPr>
        <w:t>Illness</w:t>
      </w:r>
      <w:r w:rsidR="00124678" w:rsidRPr="004B4FDB">
        <w:rPr>
          <w:i/>
          <w:sz w:val="24"/>
          <w:szCs w:val="24"/>
        </w:rPr>
        <w:t xml:space="preserve"> </w:t>
      </w:r>
      <w:r w:rsidRPr="004B4FDB">
        <w:rPr>
          <w:i/>
          <w:sz w:val="24"/>
          <w:szCs w:val="24"/>
          <w:lang w:val="en-US"/>
        </w:rPr>
        <w:t>Intrusiveness</w:t>
      </w:r>
      <w:r w:rsidR="00124678" w:rsidRPr="004B4FDB">
        <w:rPr>
          <w:i/>
          <w:sz w:val="24"/>
          <w:szCs w:val="24"/>
        </w:rPr>
        <w:t xml:space="preserve"> </w:t>
      </w:r>
      <w:r w:rsidRPr="004B4FDB">
        <w:rPr>
          <w:i/>
          <w:sz w:val="24"/>
          <w:szCs w:val="24"/>
          <w:lang w:val="en-US"/>
        </w:rPr>
        <w:t>Ratings</w:t>
      </w:r>
      <w:r w:rsidR="00124678" w:rsidRPr="004B4FDB">
        <w:rPr>
          <w:i/>
          <w:sz w:val="24"/>
          <w:szCs w:val="24"/>
        </w:rPr>
        <w:t xml:space="preserve"> </w:t>
      </w:r>
      <w:r w:rsidRPr="004B4FDB">
        <w:rPr>
          <w:i/>
          <w:sz w:val="24"/>
          <w:szCs w:val="24"/>
          <w:lang w:val="en-US"/>
        </w:rPr>
        <w:t>Scale</w:t>
      </w:r>
      <w:r w:rsidRPr="004B4FDB">
        <w:rPr>
          <w:i/>
          <w:sz w:val="24"/>
          <w:szCs w:val="24"/>
        </w:rPr>
        <w:t xml:space="preserve"> (</w:t>
      </w:r>
      <w:r w:rsidRPr="004B4FDB">
        <w:rPr>
          <w:i/>
          <w:sz w:val="24"/>
          <w:szCs w:val="24"/>
          <w:lang w:val="en-US"/>
        </w:rPr>
        <w:t>IIRS</w:t>
      </w:r>
      <w:r w:rsidRPr="004B4FDB">
        <w:rPr>
          <w:i/>
          <w:sz w:val="24"/>
          <w:szCs w:val="24"/>
        </w:rPr>
        <w:t>)</w:t>
      </w:r>
      <w:r w:rsidRPr="005A464E">
        <w:rPr>
          <w:sz w:val="24"/>
          <w:szCs w:val="24"/>
        </w:rPr>
        <w:t xml:space="preserve"> αξιολογεί την</w:t>
      </w:r>
      <w:r w:rsidR="00124678" w:rsidRPr="005A464E">
        <w:rPr>
          <w:sz w:val="24"/>
          <w:szCs w:val="24"/>
        </w:rPr>
        <w:t xml:space="preserve"> επίδραση της </w:t>
      </w:r>
      <w:r w:rsidRPr="005A464E">
        <w:rPr>
          <w:sz w:val="24"/>
          <w:szCs w:val="24"/>
        </w:rPr>
        <w:t>νόσου</w:t>
      </w:r>
      <w:r w:rsidR="00124678" w:rsidRPr="005A464E">
        <w:rPr>
          <w:sz w:val="24"/>
          <w:szCs w:val="24"/>
        </w:rPr>
        <w:t xml:space="preserve"> </w:t>
      </w:r>
      <w:r w:rsidRPr="005A464E">
        <w:rPr>
          <w:sz w:val="24"/>
          <w:szCs w:val="24"/>
        </w:rPr>
        <w:t xml:space="preserve">και/ή </w:t>
      </w:r>
      <w:r w:rsidR="00124678" w:rsidRPr="005A464E">
        <w:rPr>
          <w:sz w:val="24"/>
          <w:szCs w:val="24"/>
        </w:rPr>
        <w:t xml:space="preserve">της </w:t>
      </w:r>
      <w:r w:rsidRPr="005A464E">
        <w:rPr>
          <w:sz w:val="24"/>
          <w:szCs w:val="24"/>
        </w:rPr>
        <w:t xml:space="preserve">θεραπείας στην ΠΖ </w:t>
      </w:r>
      <w:r w:rsidR="00B0560D">
        <w:rPr>
          <w:sz w:val="24"/>
          <w:szCs w:val="24"/>
        </w:rPr>
        <w:t>του ασθενούς</w:t>
      </w:r>
      <w:r w:rsidRPr="005A464E">
        <w:rPr>
          <w:sz w:val="24"/>
          <w:szCs w:val="24"/>
        </w:rPr>
        <w:t xml:space="preserve"> (</w:t>
      </w:r>
      <w:r w:rsidR="00675208">
        <w:rPr>
          <w:sz w:val="24"/>
          <w:szCs w:val="24"/>
          <w:lang w:val="en-US"/>
        </w:rPr>
        <w:t>Mucs</w:t>
      </w:r>
      <w:r w:rsidR="00E94AAB" w:rsidRPr="005A464E">
        <w:rPr>
          <w:sz w:val="24"/>
          <w:szCs w:val="24"/>
          <w:lang w:val="en-US"/>
        </w:rPr>
        <w:t>i</w:t>
      </w:r>
      <w:r w:rsidR="00E94AAB" w:rsidRPr="005A464E">
        <w:rPr>
          <w:sz w:val="24"/>
          <w:szCs w:val="24"/>
        </w:rPr>
        <w:t xml:space="preserve"> </w:t>
      </w:r>
      <w:r w:rsidR="00566CAA">
        <w:rPr>
          <w:sz w:val="24"/>
          <w:szCs w:val="24"/>
        </w:rPr>
        <w:t>et al</w:t>
      </w:r>
      <w:r w:rsidR="00675208" w:rsidRPr="00675208">
        <w:rPr>
          <w:sz w:val="24"/>
          <w:szCs w:val="24"/>
        </w:rPr>
        <w:t>.</w:t>
      </w:r>
      <w:r w:rsidR="00533701">
        <w:rPr>
          <w:sz w:val="24"/>
          <w:szCs w:val="24"/>
        </w:rPr>
        <w:t>,</w:t>
      </w:r>
      <w:r w:rsidR="00124678" w:rsidRPr="005A464E">
        <w:rPr>
          <w:sz w:val="24"/>
          <w:szCs w:val="24"/>
        </w:rPr>
        <w:t xml:space="preserve"> </w:t>
      </w:r>
      <w:r w:rsidR="00E94AAB" w:rsidRPr="005A464E">
        <w:rPr>
          <w:sz w:val="24"/>
          <w:szCs w:val="24"/>
        </w:rPr>
        <w:t>2004).</w:t>
      </w:r>
    </w:p>
    <w:p w:rsidR="00E94AAB" w:rsidRPr="0048163E" w:rsidRDefault="00E94AAB" w:rsidP="005A464E">
      <w:pPr>
        <w:pStyle w:val="a5"/>
        <w:numPr>
          <w:ilvl w:val="0"/>
          <w:numId w:val="3"/>
        </w:numPr>
        <w:spacing w:line="360" w:lineRule="auto"/>
        <w:jc w:val="both"/>
        <w:rPr>
          <w:sz w:val="24"/>
          <w:szCs w:val="24"/>
        </w:rPr>
      </w:pPr>
      <w:r w:rsidRPr="004B4FDB">
        <w:rPr>
          <w:i/>
          <w:sz w:val="24"/>
          <w:szCs w:val="24"/>
          <w:lang w:val="en-US"/>
        </w:rPr>
        <w:t>Coping</w:t>
      </w:r>
      <w:r w:rsidR="00124678" w:rsidRPr="004B4FDB">
        <w:rPr>
          <w:i/>
          <w:sz w:val="24"/>
          <w:szCs w:val="24"/>
        </w:rPr>
        <w:t xml:space="preserve"> </w:t>
      </w:r>
      <w:r w:rsidRPr="004B4FDB">
        <w:rPr>
          <w:i/>
          <w:sz w:val="24"/>
          <w:szCs w:val="24"/>
          <w:lang w:val="en-US"/>
        </w:rPr>
        <w:t>Strategy</w:t>
      </w:r>
      <w:r w:rsidR="00124678" w:rsidRPr="004B4FDB">
        <w:rPr>
          <w:i/>
          <w:sz w:val="24"/>
          <w:szCs w:val="24"/>
        </w:rPr>
        <w:t xml:space="preserve"> </w:t>
      </w:r>
      <w:r w:rsidRPr="004B4FDB">
        <w:rPr>
          <w:i/>
          <w:sz w:val="24"/>
          <w:szCs w:val="24"/>
          <w:lang w:val="en-US"/>
        </w:rPr>
        <w:t>Indicator</w:t>
      </w:r>
      <w:r w:rsidRPr="004B4FDB">
        <w:rPr>
          <w:i/>
          <w:sz w:val="24"/>
          <w:szCs w:val="24"/>
        </w:rPr>
        <w:t xml:space="preserve"> (</w:t>
      </w:r>
      <w:r w:rsidRPr="004B4FDB">
        <w:rPr>
          <w:i/>
          <w:sz w:val="24"/>
          <w:szCs w:val="24"/>
          <w:lang w:val="en-US"/>
        </w:rPr>
        <w:t>CSI</w:t>
      </w:r>
      <w:r w:rsidRPr="004B4FDB">
        <w:rPr>
          <w:i/>
          <w:sz w:val="24"/>
          <w:szCs w:val="24"/>
        </w:rPr>
        <w:t>)</w:t>
      </w:r>
      <w:r w:rsidRPr="0048163E">
        <w:rPr>
          <w:sz w:val="24"/>
          <w:szCs w:val="24"/>
        </w:rPr>
        <w:t xml:space="preserve"> (</w:t>
      </w:r>
      <w:r w:rsidRPr="0021267F">
        <w:rPr>
          <w:sz w:val="24"/>
          <w:szCs w:val="24"/>
          <w:lang w:val="en-US"/>
        </w:rPr>
        <w:t>Welch</w:t>
      </w:r>
      <w:r w:rsidRPr="0048163E">
        <w:rPr>
          <w:sz w:val="24"/>
          <w:szCs w:val="24"/>
        </w:rPr>
        <w:t xml:space="preserve"> &amp; </w:t>
      </w:r>
      <w:r w:rsidRPr="0021267F">
        <w:rPr>
          <w:sz w:val="24"/>
          <w:szCs w:val="24"/>
          <w:lang w:val="en-US"/>
        </w:rPr>
        <w:t>Austin</w:t>
      </w:r>
      <w:r w:rsidR="00AB454B" w:rsidRPr="0048163E">
        <w:rPr>
          <w:sz w:val="24"/>
          <w:szCs w:val="24"/>
        </w:rPr>
        <w:t>,</w:t>
      </w:r>
      <w:r w:rsidRPr="0048163E">
        <w:rPr>
          <w:sz w:val="24"/>
          <w:szCs w:val="24"/>
        </w:rPr>
        <w:t xml:space="preserve"> 2001) </w:t>
      </w:r>
      <w:r w:rsidRPr="005A464E">
        <w:rPr>
          <w:sz w:val="24"/>
          <w:szCs w:val="24"/>
        </w:rPr>
        <w:t>και</w:t>
      </w:r>
      <w:r w:rsidRPr="0048163E">
        <w:rPr>
          <w:sz w:val="24"/>
          <w:szCs w:val="24"/>
        </w:rPr>
        <w:t xml:space="preserve"> </w:t>
      </w:r>
      <w:r w:rsidRPr="005A464E">
        <w:rPr>
          <w:sz w:val="24"/>
          <w:szCs w:val="24"/>
        </w:rPr>
        <w:t>η</w:t>
      </w:r>
      <w:r w:rsidRPr="0048163E">
        <w:rPr>
          <w:sz w:val="24"/>
          <w:szCs w:val="24"/>
        </w:rPr>
        <w:t xml:space="preserve"> </w:t>
      </w:r>
      <w:r w:rsidRPr="005A464E">
        <w:rPr>
          <w:sz w:val="24"/>
          <w:szCs w:val="24"/>
        </w:rPr>
        <w:t>κλίμακα</w:t>
      </w:r>
      <w:r w:rsidR="00124678" w:rsidRPr="0048163E">
        <w:rPr>
          <w:sz w:val="24"/>
          <w:szCs w:val="24"/>
        </w:rPr>
        <w:t xml:space="preserve"> </w:t>
      </w:r>
      <w:r w:rsidRPr="004B4FDB">
        <w:rPr>
          <w:i/>
          <w:sz w:val="24"/>
          <w:szCs w:val="24"/>
          <w:lang w:val="en-US"/>
        </w:rPr>
        <w:t>Jalowiec</w:t>
      </w:r>
      <w:r w:rsidR="00124678" w:rsidRPr="004B4FDB">
        <w:rPr>
          <w:i/>
          <w:sz w:val="24"/>
          <w:szCs w:val="24"/>
        </w:rPr>
        <w:t xml:space="preserve"> </w:t>
      </w:r>
      <w:r w:rsidRPr="004B4FDB">
        <w:rPr>
          <w:i/>
          <w:sz w:val="24"/>
          <w:szCs w:val="24"/>
          <w:lang w:val="en-US"/>
        </w:rPr>
        <w:t>Coping</w:t>
      </w:r>
      <w:r w:rsidR="00124678" w:rsidRPr="004B4FDB">
        <w:rPr>
          <w:i/>
          <w:sz w:val="24"/>
          <w:szCs w:val="24"/>
        </w:rPr>
        <w:t xml:space="preserve"> </w:t>
      </w:r>
      <w:r w:rsidRPr="004B4FDB">
        <w:rPr>
          <w:i/>
          <w:sz w:val="24"/>
          <w:szCs w:val="24"/>
          <w:lang w:val="en-US"/>
        </w:rPr>
        <w:t>Scale</w:t>
      </w:r>
      <w:r w:rsidRPr="004B4FDB">
        <w:rPr>
          <w:i/>
          <w:sz w:val="24"/>
          <w:szCs w:val="24"/>
        </w:rPr>
        <w:t xml:space="preserve"> (</w:t>
      </w:r>
      <w:r w:rsidRPr="004B4FDB">
        <w:rPr>
          <w:i/>
          <w:sz w:val="24"/>
          <w:szCs w:val="24"/>
          <w:lang w:val="en-US"/>
        </w:rPr>
        <w:t>JCS</w:t>
      </w:r>
      <w:r w:rsidRPr="004B4FDB">
        <w:rPr>
          <w:i/>
          <w:sz w:val="24"/>
          <w:szCs w:val="24"/>
        </w:rPr>
        <w:t>)</w:t>
      </w:r>
      <w:r w:rsidRPr="0048163E">
        <w:rPr>
          <w:sz w:val="24"/>
          <w:szCs w:val="24"/>
        </w:rPr>
        <w:t xml:space="preserve"> (</w:t>
      </w:r>
      <w:r w:rsidRPr="005A464E">
        <w:rPr>
          <w:sz w:val="24"/>
          <w:szCs w:val="24"/>
          <w:lang w:val="en-US"/>
        </w:rPr>
        <w:t>Logan</w:t>
      </w:r>
      <w:r w:rsidR="00607E7C" w:rsidRPr="0048163E">
        <w:rPr>
          <w:sz w:val="24"/>
          <w:szCs w:val="24"/>
        </w:rPr>
        <w:t>,</w:t>
      </w:r>
      <w:r w:rsidRPr="0048163E">
        <w:rPr>
          <w:sz w:val="24"/>
          <w:szCs w:val="24"/>
        </w:rPr>
        <w:t xml:space="preserve"> </w:t>
      </w:r>
      <w:r w:rsidR="00607E7C" w:rsidRPr="00607E7C">
        <w:rPr>
          <w:rFonts w:asciiTheme="minorHAnsi" w:hAnsiTheme="minorHAnsi" w:cstheme="minorHAnsi"/>
          <w:sz w:val="24"/>
          <w:szCs w:val="24"/>
          <w:lang w:val="en-US"/>
        </w:rPr>
        <w:t>Pelletier</w:t>
      </w:r>
      <w:r w:rsidR="00607E7C" w:rsidRPr="0048163E">
        <w:rPr>
          <w:rFonts w:asciiTheme="minorHAnsi" w:hAnsiTheme="minorHAnsi" w:cstheme="minorHAnsi"/>
          <w:sz w:val="24"/>
          <w:szCs w:val="24"/>
        </w:rPr>
        <w:t>-</w:t>
      </w:r>
      <w:r w:rsidR="00607E7C" w:rsidRPr="00607E7C">
        <w:rPr>
          <w:rFonts w:asciiTheme="minorHAnsi" w:hAnsiTheme="minorHAnsi" w:cstheme="minorHAnsi"/>
          <w:sz w:val="24"/>
          <w:szCs w:val="24"/>
          <w:lang w:val="en-US"/>
        </w:rPr>
        <w:t>Hibbertm</w:t>
      </w:r>
      <w:r w:rsidR="00607E7C" w:rsidRPr="0048163E">
        <w:rPr>
          <w:rFonts w:asciiTheme="minorHAnsi" w:hAnsiTheme="minorHAnsi" w:cstheme="minorHAnsi"/>
          <w:sz w:val="24"/>
          <w:szCs w:val="24"/>
        </w:rPr>
        <w:t xml:space="preserve">, &amp; </w:t>
      </w:r>
      <w:r w:rsidR="00607E7C" w:rsidRPr="00607E7C">
        <w:rPr>
          <w:rFonts w:asciiTheme="minorHAnsi" w:hAnsiTheme="minorHAnsi" w:cstheme="minorHAnsi"/>
          <w:sz w:val="24"/>
          <w:szCs w:val="24"/>
          <w:lang w:val="en-US"/>
        </w:rPr>
        <w:t>Hodgins</w:t>
      </w:r>
      <w:r w:rsidR="00607E7C" w:rsidRPr="0048163E">
        <w:rPr>
          <w:rFonts w:asciiTheme="minorHAnsi" w:hAnsiTheme="minorHAnsi" w:cstheme="minorHAnsi"/>
          <w:sz w:val="24"/>
          <w:szCs w:val="24"/>
        </w:rPr>
        <w:t>,</w:t>
      </w:r>
      <w:r w:rsidR="00607E7C" w:rsidRPr="0048163E">
        <w:rPr>
          <w:rFonts w:asciiTheme="minorHAnsi" w:hAnsiTheme="minorHAnsi" w:cstheme="minorHAnsi"/>
        </w:rPr>
        <w:t xml:space="preserve"> </w:t>
      </w:r>
      <w:r w:rsidRPr="0048163E">
        <w:rPr>
          <w:sz w:val="24"/>
          <w:szCs w:val="24"/>
        </w:rPr>
        <w:t xml:space="preserve">2006) </w:t>
      </w:r>
      <w:r w:rsidRPr="005A464E">
        <w:rPr>
          <w:sz w:val="24"/>
          <w:szCs w:val="24"/>
        </w:rPr>
        <w:t>αξιολογούν</w:t>
      </w:r>
      <w:r w:rsidR="00124678" w:rsidRPr="0048163E">
        <w:rPr>
          <w:sz w:val="24"/>
          <w:szCs w:val="24"/>
        </w:rPr>
        <w:t xml:space="preserve"> </w:t>
      </w:r>
      <w:r w:rsidRPr="005A464E">
        <w:rPr>
          <w:sz w:val="24"/>
          <w:szCs w:val="24"/>
        </w:rPr>
        <w:t>τις</w:t>
      </w:r>
      <w:r w:rsidR="00124678" w:rsidRPr="0048163E">
        <w:rPr>
          <w:sz w:val="24"/>
          <w:szCs w:val="24"/>
        </w:rPr>
        <w:t xml:space="preserve"> </w:t>
      </w:r>
      <w:r w:rsidRPr="005A464E">
        <w:rPr>
          <w:sz w:val="24"/>
          <w:szCs w:val="24"/>
        </w:rPr>
        <w:t>στρατηγικές</w:t>
      </w:r>
      <w:r w:rsidRPr="0048163E">
        <w:rPr>
          <w:sz w:val="24"/>
          <w:szCs w:val="24"/>
        </w:rPr>
        <w:t xml:space="preserve"> </w:t>
      </w:r>
      <w:r w:rsidRPr="005A464E">
        <w:rPr>
          <w:sz w:val="24"/>
          <w:szCs w:val="24"/>
        </w:rPr>
        <w:t>αντιμετώπισης</w:t>
      </w:r>
      <w:r w:rsidRPr="0048163E">
        <w:rPr>
          <w:sz w:val="24"/>
          <w:szCs w:val="24"/>
        </w:rPr>
        <w:t xml:space="preserve"> </w:t>
      </w:r>
      <w:r w:rsidRPr="005A464E">
        <w:rPr>
          <w:sz w:val="24"/>
          <w:szCs w:val="24"/>
        </w:rPr>
        <w:t>που</w:t>
      </w:r>
      <w:r w:rsidRPr="0048163E">
        <w:rPr>
          <w:sz w:val="24"/>
          <w:szCs w:val="24"/>
        </w:rPr>
        <w:t xml:space="preserve"> </w:t>
      </w:r>
      <w:r w:rsidRPr="005A464E">
        <w:rPr>
          <w:sz w:val="24"/>
          <w:szCs w:val="24"/>
        </w:rPr>
        <w:t>χρησιμοποιεί</w:t>
      </w:r>
      <w:r w:rsidRPr="0048163E">
        <w:rPr>
          <w:sz w:val="24"/>
          <w:szCs w:val="24"/>
        </w:rPr>
        <w:t xml:space="preserve"> </w:t>
      </w:r>
      <w:r w:rsidRPr="005A464E">
        <w:rPr>
          <w:sz w:val="24"/>
          <w:szCs w:val="24"/>
        </w:rPr>
        <w:t>ο</w:t>
      </w:r>
      <w:r w:rsidRPr="0048163E">
        <w:rPr>
          <w:sz w:val="24"/>
          <w:szCs w:val="24"/>
        </w:rPr>
        <w:t xml:space="preserve"> </w:t>
      </w:r>
      <w:r w:rsidRPr="005A464E">
        <w:rPr>
          <w:sz w:val="24"/>
          <w:szCs w:val="24"/>
        </w:rPr>
        <w:t>ασθενής</w:t>
      </w:r>
      <w:r w:rsidRPr="0048163E">
        <w:rPr>
          <w:sz w:val="24"/>
          <w:szCs w:val="24"/>
        </w:rPr>
        <w:t xml:space="preserve"> </w:t>
      </w:r>
      <w:r w:rsidRPr="005A464E">
        <w:rPr>
          <w:sz w:val="24"/>
          <w:szCs w:val="24"/>
        </w:rPr>
        <w:t>για</w:t>
      </w:r>
      <w:r w:rsidRPr="0048163E">
        <w:rPr>
          <w:sz w:val="24"/>
          <w:szCs w:val="24"/>
        </w:rPr>
        <w:t xml:space="preserve"> </w:t>
      </w:r>
      <w:r w:rsidRPr="005A464E">
        <w:rPr>
          <w:sz w:val="24"/>
          <w:szCs w:val="24"/>
        </w:rPr>
        <w:t>την</w:t>
      </w:r>
      <w:r w:rsidRPr="0048163E">
        <w:rPr>
          <w:sz w:val="24"/>
          <w:szCs w:val="24"/>
        </w:rPr>
        <w:t xml:space="preserve"> </w:t>
      </w:r>
      <w:r w:rsidRPr="005A464E">
        <w:rPr>
          <w:sz w:val="24"/>
          <w:szCs w:val="24"/>
        </w:rPr>
        <w:t>αντιμετώπιση</w:t>
      </w:r>
      <w:r w:rsidRPr="0048163E">
        <w:rPr>
          <w:sz w:val="24"/>
          <w:szCs w:val="24"/>
        </w:rPr>
        <w:t xml:space="preserve"> </w:t>
      </w:r>
      <w:r w:rsidRPr="005A464E">
        <w:rPr>
          <w:sz w:val="24"/>
          <w:szCs w:val="24"/>
        </w:rPr>
        <w:t>στρεσσογόνων</w:t>
      </w:r>
      <w:r w:rsidRPr="0048163E">
        <w:rPr>
          <w:sz w:val="24"/>
          <w:szCs w:val="24"/>
        </w:rPr>
        <w:t xml:space="preserve"> </w:t>
      </w:r>
      <w:r w:rsidRPr="005A464E">
        <w:rPr>
          <w:sz w:val="24"/>
          <w:szCs w:val="24"/>
        </w:rPr>
        <w:t>καταστάσεων</w:t>
      </w:r>
      <w:r w:rsidRPr="0048163E">
        <w:rPr>
          <w:sz w:val="24"/>
          <w:szCs w:val="24"/>
        </w:rPr>
        <w:t>.</w:t>
      </w:r>
    </w:p>
    <w:p w:rsidR="00E94AAB" w:rsidRPr="00A4175B" w:rsidRDefault="00E94AAB" w:rsidP="005A464E">
      <w:pPr>
        <w:pStyle w:val="a5"/>
        <w:numPr>
          <w:ilvl w:val="0"/>
          <w:numId w:val="3"/>
        </w:numPr>
        <w:spacing w:line="360" w:lineRule="auto"/>
        <w:jc w:val="both"/>
        <w:rPr>
          <w:sz w:val="24"/>
          <w:szCs w:val="24"/>
          <w:lang w:val="en-US"/>
        </w:rPr>
      </w:pPr>
      <w:r w:rsidRPr="00A4175B">
        <w:rPr>
          <w:i/>
          <w:sz w:val="24"/>
          <w:szCs w:val="24"/>
          <w:lang w:val="en-US"/>
        </w:rPr>
        <w:t>Strategies</w:t>
      </w:r>
      <w:r w:rsidR="00124678" w:rsidRPr="00A4175B">
        <w:rPr>
          <w:i/>
          <w:sz w:val="24"/>
          <w:szCs w:val="24"/>
          <w:lang w:val="en-US"/>
        </w:rPr>
        <w:t xml:space="preserve"> </w:t>
      </w:r>
      <w:r w:rsidRPr="00A4175B">
        <w:rPr>
          <w:i/>
          <w:sz w:val="24"/>
          <w:szCs w:val="24"/>
          <w:lang w:val="en-US"/>
        </w:rPr>
        <w:t>used</w:t>
      </w:r>
      <w:r w:rsidR="00124678" w:rsidRPr="00A4175B">
        <w:rPr>
          <w:i/>
          <w:sz w:val="24"/>
          <w:szCs w:val="24"/>
          <w:lang w:val="en-US"/>
        </w:rPr>
        <w:t xml:space="preserve"> </w:t>
      </w:r>
      <w:r w:rsidRPr="00A4175B">
        <w:rPr>
          <w:i/>
          <w:sz w:val="24"/>
          <w:szCs w:val="24"/>
          <w:lang w:val="en-US"/>
        </w:rPr>
        <w:t>by</w:t>
      </w:r>
      <w:r w:rsidR="00124678" w:rsidRPr="00A4175B">
        <w:rPr>
          <w:i/>
          <w:sz w:val="24"/>
          <w:szCs w:val="24"/>
          <w:lang w:val="en-US"/>
        </w:rPr>
        <w:t xml:space="preserve"> </w:t>
      </w:r>
      <w:r w:rsidRPr="00A4175B">
        <w:rPr>
          <w:i/>
          <w:sz w:val="24"/>
          <w:szCs w:val="24"/>
          <w:lang w:val="en-US"/>
        </w:rPr>
        <w:t>people</w:t>
      </w:r>
      <w:r w:rsidR="00124678" w:rsidRPr="00A4175B">
        <w:rPr>
          <w:i/>
          <w:sz w:val="24"/>
          <w:szCs w:val="24"/>
          <w:lang w:val="en-US"/>
        </w:rPr>
        <w:t xml:space="preserve"> </w:t>
      </w:r>
      <w:r w:rsidRPr="00A4175B">
        <w:rPr>
          <w:i/>
          <w:sz w:val="24"/>
          <w:szCs w:val="24"/>
          <w:lang w:val="en-US"/>
        </w:rPr>
        <w:t>to</w:t>
      </w:r>
      <w:r w:rsidR="00124678" w:rsidRPr="00A4175B">
        <w:rPr>
          <w:i/>
          <w:sz w:val="24"/>
          <w:szCs w:val="24"/>
          <w:lang w:val="en-US"/>
        </w:rPr>
        <w:t xml:space="preserve"> </w:t>
      </w:r>
      <w:r w:rsidRPr="00A4175B">
        <w:rPr>
          <w:i/>
          <w:sz w:val="24"/>
          <w:szCs w:val="24"/>
          <w:lang w:val="en-US"/>
        </w:rPr>
        <w:t>promote</w:t>
      </w:r>
      <w:r w:rsidR="00124678" w:rsidRPr="00A4175B">
        <w:rPr>
          <w:i/>
          <w:sz w:val="24"/>
          <w:szCs w:val="24"/>
          <w:lang w:val="en-US"/>
        </w:rPr>
        <w:t xml:space="preserve"> </w:t>
      </w:r>
      <w:r w:rsidRPr="00A4175B">
        <w:rPr>
          <w:i/>
          <w:sz w:val="24"/>
          <w:szCs w:val="24"/>
          <w:lang w:val="en-US"/>
        </w:rPr>
        <w:t>health (SUPPH)</w:t>
      </w:r>
      <w:r w:rsidRPr="00A4175B">
        <w:rPr>
          <w:sz w:val="24"/>
          <w:szCs w:val="24"/>
          <w:lang w:val="en-US"/>
        </w:rPr>
        <w:t xml:space="preserve"> </w:t>
      </w:r>
      <w:r w:rsidRPr="00A4175B">
        <w:rPr>
          <w:sz w:val="24"/>
          <w:szCs w:val="24"/>
        </w:rPr>
        <w:t>αξιολογεί</w:t>
      </w:r>
      <w:r w:rsidR="00124678" w:rsidRPr="00A4175B">
        <w:rPr>
          <w:sz w:val="24"/>
          <w:szCs w:val="24"/>
          <w:lang w:val="en-US"/>
        </w:rPr>
        <w:t xml:space="preserve"> </w:t>
      </w:r>
      <w:r w:rsidRPr="00A4175B">
        <w:rPr>
          <w:sz w:val="24"/>
          <w:szCs w:val="24"/>
        </w:rPr>
        <w:t>την</w:t>
      </w:r>
      <w:r w:rsidR="00124678" w:rsidRPr="00A4175B">
        <w:rPr>
          <w:sz w:val="24"/>
          <w:szCs w:val="24"/>
          <w:lang w:val="en-US"/>
        </w:rPr>
        <w:t xml:space="preserve"> </w:t>
      </w:r>
      <w:r w:rsidRPr="00A4175B">
        <w:rPr>
          <w:sz w:val="24"/>
          <w:szCs w:val="24"/>
        </w:rPr>
        <w:t>αυτοφροντίδα</w:t>
      </w:r>
      <w:r w:rsidR="00124678" w:rsidRPr="00A4175B">
        <w:rPr>
          <w:sz w:val="24"/>
          <w:szCs w:val="24"/>
          <w:lang w:val="en-US"/>
        </w:rPr>
        <w:t xml:space="preserve"> </w:t>
      </w:r>
      <w:r w:rsidRPr="00A4175B">
        <w:rPr>
          <w:sz w:val="24"/>
          <w:szCs w:val="24"/>
        </w:rPr>
        <w:t>και</w:t>
      </w:r>
      <w:r w:rsidR="00124678" w:rsidRPr="00A4175B">
        <w:rPr>
          <w:sz w:val="24"/>
          <w:szCs w:val="24"/>
          <w:lang w:val="en-US"/>
        </w:rPr>
        <w:t xml:space="preserve"> </w:t>
      </w:r>
      <w:r w:rsidRPr="00A4175B">
        <w:rPr>
          <w:sz w:val="24"/>
          <w:szCs w:val="24"/>
        </w:rPr>
        <w:t>την</w:t>
      </w:r>
      <w:r w:rsidR="00124678" w:rsidRPr="00A4175B">
        <w:rPr>
          <w:sz w:val="24"/>
          <w:szCs w:val="24"/>
          <w:lang w:val="en-US"/>
        </w:rPr>
        <w:t xml:space="preserve"> </w:t>
      </w:r>
      <w:r w:rsidRPr="00A4175B">
        <w:rPr>
          <w:sz w:val="24"/>
          <w:szCs w:val="24"/>
        </w:rPr>
        <w:t>αυτοαποτελεσματικότητα</w:t>
      </w:r>
      <w:r w:rsidRPr="00A4175B">
        <w:rPr>
          <w:sz w:val="24"/>
          <w:szCs w:val="24"/>
          <w:lang w:val="en-US"/>
        </w:rPr>
        <w:t xml:space="preserve"> (Lii</w:t>
      </w:r>
      <w:r w:rsidR="00675208" w:rsidRPr="00A4175B">
        <w:rPr>
          <w:sz w:val="24"/>
          <w:szCs w:val="24"/>
          <w:lang w:val="en-US"/>
        </w:rPr>
        <w:t>,</w:t>
      </w:r>
      <w:r w:rsidR="00124678" w:rsidRPr="00A4175B">
        <w:rPr>
          <w:sz w:val="24"/>
          <w:szCs w:val="24"/>
          <w:lang w:val="en-US"/>
        </w:rPr>
        <w:t xml:space="preserve"> </w:t>
      </w:r>
      <w:r w:rsidR="00675208" w:rsidRPr="00A4175B">
        <w:rPr>
          <w:rFonts w:cstheme="minorHAnsi"/>
          <w:sz w:val="24"/>
          <w:szCs w:val="24"/>
          <w:lang w:val="en-US"/>
        </w:rPr>
        <w:t>Tsay</w:t>
      </w:r>
      <w:r w:rsidR="00607E7C" w:rsidRPr="00A4175B">
        <w:rPr>
          <w:rFonts w:cstheme="minorHAnsi"/>
          <w:sz w:val="24"/>
          <w:szCs w:val="24"/>
          <w:lang w:val="en-US"/>
        </w:rPr>
        <w:t>,</w:t>
      </w:r>
      <w:r w:rsidR="00675208" w:rsidRPr="00A4175B">
        <w:rPr>
          <w:rFonts w:cstheme="minorHAnsi"/>
          <w:sz w:val="24"/>
          <w:szCs w:val="24"/>
          <w:lang w:val="en-US"/>
        </w:rPr>
        <w:t xml:space="preserve"> &amp; Wang</w:t>
      </w:r>
      <w:r w:rsidR="00607E7C" w:rsidRPr="00A4175B">
        <w:rPr>
          <w:rFonts w:cstheme="minorHAnsi"/>
          <w:sz w:val="24"/>
          <w:szCs w:val="24"/>
          <w:lang w:val="en-US"/>
        </w:rPr>
        <w:t>,</w:t>
      </w:r>
      <w:r w:rsidRPr="00A4175B">
        <w:rPr>
          <w:sz w:val="24"/>
          <w:szCs w:val="24"/>
          <w:lang w:val="en-US"/>
        </w:rPr>
        <w:t xml:space="preserve"> 2007).</w:t>
      </w:r>
    </w:p>
    <w:p w:rsidR="00E94AAB" w:rsidRPr="00A4175B" w:rsidRDefault="00124678" w:rsidP="005A464E">
      <w:pPr>
        <w:pStyle w:val="a5"/>
        <w:numPr>
          <w:ilvl w:val="0"/>
          <w:numId w:val="3"/>
        </w:numPr>
        <w:spacing w:line="360" w:lineRule="auto"/>
        <w:jc w:val="both"/>
        <w:rPr>
          <w:sz w:val="24"/>
          <w:szCs w:val="24"/>
          <w:lang w:val="en-US"/>
        </w:rPr>
      </w:pPr>
      <w:r w:rsidRPr="00A4175B">
        <w:rPr>
          <w:i/>
          <w:sz w:val="24"/>
          <w:szCs w:val="24"/>
        </w:rPr>
        <w:t>Κ</w:t>
      </w:r>
      <w:r w:rsidR="00E94AAB" w:rsidRPr="00A4175B">
        <w:rPr>
          <w:i/>
          <w:sz w:val="24"/>
          <w:szCs w:val="24"/>
          <w:lang w:val="en-US"/>
        </w:rPr>
        <w:t>arnofsky</w:t>
      </w:r>
      <w:r w:rsidRPr="00A4175B">
        <w:rPr>
          <w:i/>
          <w:sz w:val="24"/>
          <w:szCs w:val="24"/>
          <w:lang w:val="en-US"/>
        </w:rPr>
        <w:t xml:space="preserve"> </w:t>
      </w:r>
      <w:r w:rsidR="005024B2" w:rsidRPr="00A4175B">
        <w:rPr>
          <w:i/>
          <w:sz w:val="24"/>
          <w:szCs w:val="24"/>
          <w:lang w:val="en-US"/>
        </w:rPr>
        <w:t>P</w:t>
      </w:r>
      <w:r w:rsidR="00E94AAB" w:rsidRPr="00A4175B">
        <w:rPr>
          <w:i/>
          <w:sz w:val="24"/>
          <w:szCs w:val="24"/>
          <w:lang w:val="en-US"/>
        </w:rPr>
        <w:t>erformance</w:t>
      </w:r>
      <w:r w:rsidRPr="00A4175B">
        <w:rPr>
          <w:i/>
          <w:sz w:val="24"/>
          <w:szCs w:val="24"/>
          <w:lang w:val="en-US"/>
        </w:rPr>
        <w:t xml:space="preserve"> </w:t>
      </w:r>
      <w:r w:rsidR="005024B2" w:rsidRPr="00A4175B">
        <w:rPr>
          <w:i/>
          <w:sz w:val="24"/>
          <w:szCs w:val="24"/>
        </w:rPr>
        <w:t>Ι</w:t>
      </w:r>
      <w:r w:rsidR="00E94AAB" w:rsidRPr="00A4175B">
        <w:rPr>
          <w:i/>
          <w:sz w:val="24"/>
          <w:szCs w:val="24"/>
          <w:lang w:val="en-US"/>
        </w:rPr>
        <w:t>ndex (KPI)</w:t>
      </w:r>
      <w:r w:rsidR="00E94AAB" w:rsidRPr="00A4175B">
        <w:rPr>
          <w:sz w:val="24"/>
          <w:szCs w:val="24"/>
          <w:lang w:val="en-US"/>
        </w:rPr>
        <w:t xml:space="preserve"> </w:t>
      </w:r>
      <w:r w:rsidR="00E94AAB" w:rsidRPr="00A4175B">
        <w:rPr>
          <w:sz w:val="24"/>
          <w:szCs w:val="24"/>
        </w:rPr>
        <w:t>αξιολογεί</w:t>
      </w:r>
      <w:r w:rsidRPr="00A4175B">
        <w:rPr>
          <w:sz w:val="24"/>
          <w:szCs w:val="24"/>
          <w:lang w:val="en-US"/>
        </w:rPr>
        <w:t xml:space="preserve"> </w:t>
      </w:r>
      <w:r w:rsidR="00E94AAB" w:rsidRPr="00A4175B">
        <w:rPr>
          <w:sz w:val="24"/>
          <w:szCs w:val="24"/>
        </w:rPr>
        <w:t>την</w:t>
      </w:r>
      <w:r w:rsidRPr="00A4175B">
        <w:rPr>
          <w:sz w:val="24"/>
          <w:szCs w:val="24"/>
          <w:lang w:val="en-US"/>
        </w:rPr>
        <w:t xml:space="preserve"> </w:t>
      </w:r>
      <w:r w:rsidR="00E94AAB" w:rsidRPr="00A4175B">
        <w:rPr>
          <w:sz w:val="24"/>
          <w:szCs w:val="24"/>
        </w:rPr>
        <w:t>φυσική</w:t>
      </w:r>
      <w:r w:rsidRPr="00A4175B">
        <w:rPr>
          <w:sz w:val="24"/>
          <w:szCs w:val="24"/>
          <w:lang w:val="en-US"/>
        </w:rPr>
        <w:t xml:space="preserve"> </w:t>
      </w:r>
      <w:r w:rsidR="00E94AAB" w:rsidRPr="00A4175B">
        <w:rPr>
          <w:sz w:val="24"/>
          <w:szCs w:val="24"/>
        </w:rPr>
        <w:t>διάσταση</w:t>
      </w:r>
      <w:r w:rsidR="00E94AAB" w:rsidRPr="00A4175B">
        <w:rPr>
          <w:sz w:val="24"/>
          <w:szCs w:val="24"/>
          <w:lang w:val="en-US"/>
        </w:rPr>
        <w:t xml:space="preserve"> </w:t>
      </w:r>
      <w:r w:rsidR="00E94AAB" w:rsidRPr="00A4175B">
        <w:rPr>
          <w:sz w:val="24"/>
          <w:szCs w:val="24"/>
        </w:rPr>
        <w:t>της</w:t>
      </w:r>
      <w:r w:rsidR="00E94AAB" w:rsidRPr="00A4175B">
        <w:rPr>
          <w:sz w:val="24"/>
          <w:szCs w:val="24"/>
          <w:lang w:val="en-US"/>
        </w:rPr>
        <w:t xml:space="preserve"> </w:t>
      </w:r>
      <w:r w:rsidR="00E94AAB" w:rsidRPr="00A4175B">
        <w:rPr>
          <w:sz w:val="24"/>
          <w:szCs w:val="24"/>
        </w:rPr>
        <w:t>ΠΖ</w:t>
      </w:r>
      <w:r w:rsidR="00E94AAB" w:rsidRPr="00A4175B">
        <w:rPr>
          <w:sz w:val="24"/>
          <w:szCs w:val="24"/>
          <w:lang w:val="en-US"/>
        </w:rPr>
        <w:t xml:space="preserve"> (</w:t>
      </w:r>
      <w:r w:rsidR="00990AF7" w:rsidRPr="00A4175B">
        <w:rPr>
          <w:sz w:val="24"/>
          <w:szCs w:val="24"/>
          <w:lang w:val="en-US"/>
        </w:rPr>
        <w:t>Kimmel</w:t>
      </w:r>
      <w:r w:rsidR="007B503D" w:rsidRPr="00A4175B">
        <w:rPr>
          <w:sz w:val="24"/>
          <w:szCs w:val="24"/>
          <w:lang w:val="en-US"/>
        </w:rPr>
        <w:t xml:space="preserve">, </w:t>
      </w:r>
      <w:r w:rsidR="007B503D" w:rsidRPr="00A4175B">
        <w:rPr>
          <w:rFonts w:asciiTheme="minorHAnsi" w:hAnsiTheme="minorHAnsi" w:cstheme="minorHAnsi"/>
          <w:sz w:val="24"/>
          <w:szCs w:val="24"/>
          <w:lang w:val="en-US"/>
        </w:rPr>
        <w:t xml:space="preserve">Emont, Newmann, Danko, &amp; Moss, </w:t>
      </w:r>
      <w:r w:rsidR="00990AF7" w:rsidRPr="00A4175B">
        <w:rPr>
          <w:sz w:val="24"/>
          <w:szCs w:val="24"/>
          <w:lang w:val="en-US"/>
        </w:rPr>
        <w:t>2003).</w:t>
      </w:r>
    </w:p>
    <w:p w:rsidR="00990AF7" w:rsidRPr="00A4175B" w:rsidRDefault="00124678" w:rsidP="005A464E">
      <w:pPr>
        <w:pStyle w:val="a5"/>
        <w:numPr>
          <w:ilvl w:val="0"/>
          <w:numId w:val="3"/>
        </w:numPr>
        <w:spacing w:line="360" w:lineRule="auto"/>
        <w:jc w:val="both"/>
        <w:rPr>
          <w:sz w:val="24"/>
          <w:szCs w:val="24"/>
        </w:rPr>
      </w:pPr>
      <w:r w:rsidRPr="00A4175B">
        <w:rPr>
          <w:i/>
          <w:sz w:val="24"/>
          <w:szCs w:val="24"/>
          <w:lang w:val="en-US"/>
        </w:rPr>
        <w:t>Satisfaction</w:t>
      </w:r>
      <w:r w:rsidRPr="00A4175B">
        <w:rPr>
          <w:i/>
          <w:sz w:val="24"/>
          <w:szCs w:val="24"/>
        </w:rPr>
        <w:t xml:space="preserve"> </w:t>
      </w:r>
      <w:r w:rsidRPr="00A4175B">
        <w:rPr>
          <w:i/>
          <w:sz w:val="24"/>
          <w:szCs w:val="24"/>
          <w:lang w:val="en-US"/>
        </w:rPr>
        <w:t>With</w:t>
      </w:r>
      <w:r w:rsidRPr="00A4175B">
        <w:rPr>
          <w:i/>
          <w:sz w:val="24"/>
          <w:szCs w:val="24"/>
        </w:rPr>
        <w:t xml:space="preserve"> </w:t>
      </w:r>
      <w:r w:rsidRPr="00A4175B">
        <w:rPr>
          <w:i/>
          <w:sz w:val="24"/>
          <w:szCs w:val="24"/>
          <w:lang w:val="en-US"/>
        </w:rPr>
        <w:t>Life</w:t>
      </w:r>
      <w:r w:rsidRPr="00A4175B">
        <w:rPr>
          <w:i/>
          <w:sz w:val="24"/>
          <w:szCs w:val="24"/>
        </w:rPr>
        <w:t xml:space="preserve"> </w:t>
      </w:r>
      <w:r w:rsidRPr="00A4175B">
        <w:rPr>
          <w:i/>
          <w:sz w:val="24"/>
          <w:szCs w:val="24"/>
          <w:lang w:val="en-US"/>
        </w:rPr>
        <w:t>Scale</w:t>
      </w:r>
      <w:r w:rsidRPr="00A4175B">
        <w:rPr>
          <w:i/>
          <w:sz w:val="24"/>
          <w:szCs w:val="24"/>
        </w:rPr>
        <w:t xml:space="preserve"> </w:t>
      </w:r>
      <w:r w:rsidR="00990AF7" w:rsidRPr="00A4175B">
        <w:rPr>
          <w:i/>
          <w:sz w:val="24"/>
          <w:szCs w:val="24"/>
        </w:rPr>
        <w:t>(</w:t>
      </w:r>
      <w:r w:rsidR="00990AF7" w:rsidRPr="00A4175B">
        <w:rPr>
          <w:i/>
          <w:sz w:val="24"/>
          <w:szCs w:val="24"/>
          <w:lang w:val="en-US"/>
        </w:rPr>
        <w:t>SWLS</w:t>
      </w:r>
      <w:r w:rsidR="00990AF7" w:rsidRPr="00A4175B">
        <w:rPr>
          <w:i/>
          <w:sz w:val="24"/>
          <w:szCs w:val="24"/>
        </w:rPr>
        <w:t>)</w:t>
      </w:r>
      <w:r w:rsidR="00990AF7" w:rsidRPr="00A4175B">
        <w:rPr>
          <w:sz w:val="24"/>
          <w:szCs w:val="24"/>
        </w:rPr>
        <w:t xml:space="preserve"> αξιολογεί</w:t>
      </w:r>
      <w:r w:rsidRPr="00A4175B">
        <w:rPr>
          <w:sz w:val="24"/>
          <w:szCs w:val="24"/>
        </w:rPr>
        <w:t xml:space="preserve"> </w:t>
      </w:r>
      <w:r w:rsidR="00990AF7" w:rsidRPr="00A4175B">
        <w:rPr>
          <w:sz w:val="24"/>
          <w:szCs w:val="24"/>
        </w:rPr>
        <w:t>την</w:t>
      </w:r>
      <w:r w:rsidRPr="00A4175B">
        <w:rPr>
          <w:sz w:val="24"/>
          <w:szCs w:val="24"/>
        </w:rPr>
        <w:t xml:space="preserve"> </w:t>
      </w:r>
      <w:r w:rsidR="00990AF7" w:rsidRPr="00A4175B">
        <w:rPr>
          <w:sz w:val="24"/>
          <w:szCs w:val="24"/>
        </w:rPr>
        <w:t>ΠΖ</w:t>
      </w:r>
      <w:r w:rsidRPr="00A4175B">
        <w:rPr>
          <w:sz w:val="24"/>
          <w:szCs w:val="24"/>
        </w:rPr>
        <w:t xml:space="preserve"> </w:t>
      </w:r>
      <w:r w:rsidR="00990AF7" w:rsidRPr="00A4175B">
        <w:rPr>
          <w:sz w:val="24"/>
          <w:szCs w:val="24"/>
        </w:rPr>
        <w:t>και</w:t>
      </w:r>
      <w:r w:rsidRPr="00A4175B">
        <w:rPr>
          <w:sz w:val="24"/>
          <w:szCs w:val="24"/>
        </w:rPr>
        <w:t xml:space="preserve"> </w:t>
      </w:r>
      <w:r w:rsidR="00990AF7" w:rsidRPr="00A4175B">
        <w:rPr>
          <w:sz w:val="24"/>
          <w:szCs w:val="24"/>
        </w:rPr>
        <w:t>την</w:t>
      </w:r>
      <w:r w:rsidRPr="00A4175B">
        <w:rPr>
          <w:sz w:val="24"/>
          <w:szCs w:val="24"/>
        </w:rPr>
        <w:t xml:space="preserve"> </w:t>
      </w:r>
      <w:r w:rsidR="00990AF7" w:rsidRPr="00A4175B">
        <w:rPr>
          <w:sz w:val="24"/>
          <w:szCs w:val="24"/>
        </w:rPr>
        <w:t>ικανοποίηση από τη ζωή (</w:t>
      </w:r>
      <w:r w:rsidR="00990AF7" w:rsidRPr="00A4175B">
        <w:rPr>
          <w:sz w:val="24"/>
          <w:szCs w:val="24"/>
          <w:lang w:val="en-US"/>
        </w:rPr>
        <w:t>Kimmel</w:t>
      </w:r>
      <w:r w:rsidRPr="00A4175B">
        <w:rPr>
          <w:sz w:val="24"/>
          <w:szCs w:val="24"/>
        </w:rPr>
        <w:t xml:space="preserve"> </w:t>
      </w:r>
      <w:r w:rsidR="00566CAA" w:rsidRPr="00A4175B">
        <w:rPr>
          <w:sz w:val="24"/>
          <w:szCs w:val="24"/>
          <w:lang w:val="en-US"/>
        </w:rPr>
        <w:t>et</w:t>
      </w:r>
      <w:r w:rsidR="00566CAA" w:rsidRPr="00A4175B">
        <w:rPr>
          <w:sz w:val="24"/>
          <w:szCs w:val="24"/>
        </w:rPr>
        <w:t xml:space="preserve"> </w:t>
      </w:r>
      <w:r w:rsidR="00566CAA" w:rsidRPr="00A4175B">
        <w:rPr>
          <w:sz w:val="24"/>
          <w:szCs w:val="24"/>
          <w:lang w:val="en-US"/>
        </w:rPr>
        <w:t>al</w:t>
      </w:r>
      <w:r w:rsidR="000848D6" w:rsidRPr="00A4175B">
        <w:rPr>
          <w:sz w:val="24"/>
          <w:szCs w:val="24"/>
        </w:rPr>
        <w:t>.</w:t>
      </w:r>
      <w:r w:rsidR="00533701" w:rsidRPr="00A4175B">
        <w:rPr>
          <w:sz w:val="24"/>
          <w:szCs w:val="24"/>
        </w:rPr>
        <w:t>,</w:t>
      </w:r>
      <w:r w:rsidR="00990AF7" w:rsidRPr="00A4175B">
        <w:rPr>
          <w:sz w:val="24"/>
          <w:szCs w:val="24"/>
        </w:rPr>
        <w:t xml:space="preserve"> 1995).</w:t>
      </w:r>
    </w:p>
    <w:p w:rsidR="00990AF7" w:rsidRPr="0048163E" w:rsidRDefault="00990AF7" w:rsidP="005A464E">
      <w:pPr>
        <w:pStyle w:val="a5"/>
        <w:numPr>
          <w:ilvl w:val="0"/>
          <w:numId w:val="3"/>
        </w:numPr>
        <w:spacing w:line="360" w:lineRule="auto"/>
        <w:jc w:val="both"/>
        <w:rPr>
          <w:sz w:val="24"/>
          <w:szCs w:val="24"/>
        </w:rPr>
      </w:pPr>
      <w:r w:rsidRPr="00A4175B">
        <w:rPr>
          <w:i/>
          <w:sz w:val="24"/>
          <w:szCs w:val="24"/>
          <w:lang w:val="en-US"/>
        </w:rPr>
        <w:t>McGill</w:t>
      </w:r>
      <w:r w:rsidR="00124678" w:rsidRPr="00A4175B">
        <w:rPr>
          <w:i/>
          <w:sz w:val="24"/>
          <w:szCs w:val="24"/>
        </w:rPr>
        <w:t xml:space="preserve"> </w:t>
      </w:r>
      <w:r w:rsidR="00124678" w:rsidRPr="00A4175B">
        <w:rPr>
          <w:i/>
          <w:sz w:val="24"/>
          <w:szCs w:val="24"/>
          <w:lang w:val="en-US"/>
        </w:rPr>
        <w:t>Quality</w:t>
      </w:r>
      <w:r w:rsidR="00124678" w:rsidRPr="00A4175B">
        <w:rPr>
          <w:i/>
          <w:sz w:val="24"/>
          <w:szCs w:val="24"/>
        </w:rPr>
        <w:t xml:space="preserve"> </w:t>
      </w:r>
      <w:r w:rsidR="005024B2" w:rsidRPr="00A4175B">
        <w:rPr>
          <w:i/>
          <w:sz w:val="24"/>
          <w:szCs w:val="24"/>
        </w:rPr>
        <w:t>ο</w:t>
      </w:r>
      <w:r w:rsidR="00124678" w:rsidRPr="00A4175B">
        <w:rPr>
          <w:i/>
          <w:sz w:val="24"/>
          <w:szCs w:val="24"/>
          <w:lang w:val="en-US"/>
        </w:rPr>
        <w:t>f</w:t>
      </w:r>
      <w:r w:rsidR="00124678" w:rsidRPr="00A4175B">
        <w:rPr>
          <w:i/>
          <w:sz w:val="24"/>
          <w:szCs w:val="24"/>
        </w:rPr>
        <w:t xml:space="preserve"> </w:t>
      </w:r>
      <w:r w:rsidR="00124678" w:rsidRPr="00A4175B">
        <w:rPr>
          <w:i/>
          <w:sz w:val="24"/>
          <w:szCs w:val="24"/>
          <w:lang w:val="en-US"/>
        </w:rPr>
        <w:t>Life</w:t>
      </w:r>
      <w:r w:rsidR="00124678" w:rsidRPr="00A4175B">
        <w:rPr>
          <w:i/>
          <w:sz w:val="24"/>
          <w:szCs w:val="24"/>
        </w:rPr>
        <w:t xml:space="preserve"> </w:t>
      </w:r>
      <w:r w:rsidR="00124678" w:rsidRPr="00A4175B">
        <w:rPr>
          <w:i/>
          <w:sz w:val="24"/>
          <w:szCs w:val="24"/>
          <w:lang w:val="en-US"/>
        </w:rPr>
        <w:t>Questionnaire</w:t>
      </w:r>
      <w:r w:rsidR="00124678" w:rsidRPr="00A4175B">
        <w:rPr>
          <w:i/>
          <w:sz w:val="24"/>
          <w:szCs w:val="24"/>
        </w:rPr>
        <w:t xml:space="preserve"> </w:t>
      </w:r>
      <w:r w:rsidRPr="00A4175B">
        <w:rPr>
          <w:i/>
          <w:sz w:val="24"/>
          <w:szCs w:val="24"/>
        </w:rPr>
        <w:t>(</w:t>
      </w:r>
      <w:r w:rsidRPr="00A4175B">
        <w:rPr>
          <w:i/>
          <w:sz w:val="24"/>
          <w:szCs w:val="24"/>
          <w:lang w:val="en-US"/>
        </w:rPr>
        <w:t>MQOL</w:t>
      </w:r>
      <w:r w:rsidRPr="00A4175B">
        <w:rPr>
          <w:i/>
          <w:sz w:val="24"/>
          <w:szCs w:val="24"/>
        </w:rPr>
        <w:t>)</w:t>
      </w:r>
      <w:r w:rsidRPr="00A4175B">
        <w:rPr>
          <w:sz w:val="24"/>
          <w:szCs w:val="24"/>
        </w:rPr>
        <w:t xml:space="preserve"> αξιολογεί</w:t>
      </w:r>
      <w:r w:rsidR="00124678" w:rsidRPr="00A4175B">
        <w:rPr>
          <w:sz w:val="24"/>
          <w:szCs w:val="24"/>
        </w:rPr>
        <w:t xml:space="preserve"> </w:t>
      </w:r>
      <w:r w:rsidRPr="00A4175B">
        <w:rPr>
          <w:sz w:val="24"/>
          <w:szCs w:val="24"/>
        </w:rPr>
        <w:t>την</w:t>
      </w:r>
      <w:r w:rsidR="00124678" w:rsidRPr="00A4175B">
        <w:rPr>
          <w:sz w:val="24"/>
          <w:szCs w:val="24"/>
        </w:rPr>
        <w:t xml:space="preserve"> </w:t>
      </w:r>
      <w:r w:rsidRPr="00A4175B">
        <w:rPr>
          <w:sz w:val="24"/>
          <w:szCs w:val="24"/>
        </w:rPr>
        <w:t>ΠΖ</w:t>
      </w:r>
      <w:r w:rsidR="00124678" w:rsidRPr="00A4175B">
        <w:rPr>
          <w:sz w:val="24"/>
          <w:szCs w:val="24"/>
        </w:rPr>
        <w:t xml:space="preserve"> </w:t>
      </w:r>
      <w:r w:rsidRPr="00A4175B">
        <w:rPr>
          <w:sz w:val="24"/>
          <w:szCs w:val="24"/>
        </w:rPr>
        <w:t>σε</w:t>
      </w:r>
      <w:r w:rsidR="00124678" w:rsidRPr="00A4175B">
        <w:rPr>
          <w:sz w:val="24"/>
          <w:szCs w:val="24"/>
        </w:rPr>
        <w:t xml:space="preserve"> </w:t>
      </w:r>
      <w:r w:rsidRPr="00A4175B">
        <w:rPr>
          <w:sz w:val="24"/>
          <w:szCs w:val="24"/>
        </w:rPr>
        <w:t>ασθενείς με απειλητικές για την ζωή ασθένειες</w:t>
      </w:r>
      <w:r w:rsidRPr="0048163E">
        <w:rPr>
          <w:sz w:val="24"/>
          <w:szCs w:val="24"/>
        </w:rPr>
        <w:t xml:space="preserve"> (</w:t>
      </w:r>
      <w:r w:rsidRPr="005A464E">
        <w:rPr>
          <w:sz w:val="24"/>
          <w:szCs w:val="24"/>
          <w:lang w:val="en-US"/>
        </w:rPr>
        <w:t>Kimmel</w:t>
      </w:r>
      <w:r w:rsidR="004034C9" w:rsidRPr="0048163E">
        <w:rPr>
          <w:sz w:val="24"/>
          <w:szCs w:val="24"/>
        </w:rPr>
        <w:t xml:space="preserve"> </w:t>
      </w:r>
      <w:r w:rsidR="00566CAA" w:rsidRPr="000848D6">
        <w:rPr>
          <w:sz w:val="24"/>
          <w:szCs w:val="24"/>
          <w:lang w:val="en-US"/>
        </w:rPr>
        <w:t>et</w:t>
      </w:r>
      <w:r w:rsidR="00566CAA" w:rsidRPr="0048163E">
        <w:rPr>
          <w:sz w:val="24"/>
          <w:szCs w:val="24"/>
        </w:rPr>
        <w:t xml:space="preserve"> </w:t>
      </w:r>
      <w:r w:rsidR="00566CAA" w:rsidRPr="000848D6">
        <w:rPr>
          <w:sz w:val="24"/>
          <w:szCs w:val="24"/>
          <w:lang w:val="en-US"/>
        </w:rPr>
        <w:t>al</w:t>
      </w:r>
      <w:r w:rsidR="000848D6" w:rsidRPr="0048163E">
        <w:rPr>
          <w:sz w:val="24"/>
          <w:szCs w:val="24"/>
        </w:rPr>
        <w:t>.</w:t>
      </w:r>
      <w:r w:rsidR="007B503D" w:rsidRPr="0048163E">
        <w:rPr>
          <w:sz w:val="24"/>
          <w:szCs w:val="24"/>
        </w:rPr>
        <w:t>,</w:t>
      </w:r>
      <w:r w:rsidR="00124678" w:rsidRPr="0048163E">
        <w:rPr>
          <w:sz w:val="24"/>
          <w:szCs w:val="24"/>
        </w:rPr>
        <w:t xml:space="preserve"> </w:t>
      </w:r>
      <w:r w:rsidRPr="0048163E">
        <w:rPr>
          <w:sz w:val="24"/>
          <w:szCs w:val="24"/>
        </w:rPr>
        <w:t>2003).</w:t>
      </w:r>
    </w:p>
    <w:p w:rsidR="00990AF7" w:rsidRPr="007A635C" w:rsidRDefault="00124678" w:rsidP="007A635C">
      <w:pPr>
        <w:pStyle w:val="a5"/>
        <w:numPr>
          <w:ilvl w:val="0"/>
          <w:numId w:val="3"/>
        </w:numPr>
        <w:spacing w:line="360" w:lineRule="auto"/>
        <w:jc w:val="both"/>
        <w:rPr>
          <w:sz w:val="24"/>
          <w:szCs w:val="24"/>
        </w:rPr>
      </w:pPr>
      <w:r w:rsidRPr="004B4FDB">
        <w:rPr>
          <w:i/>
          <w:sz w:val="24"/>
          <w:szCs w:val="24"/>
          <w:lang w:val="en-US"/>
        </w:rPr>
        <w:t>Quality</w:t>
      </w:r>
      <w:r w:rsidRPr="004B4FDB">
        <w:rPr>
          <w:i/>
          <w:sz w:val="24"/>
          <w:szCs w:val="24"/>
        </w:rPr>
        <w:t xml:space="preserve"> ο</w:t>
      </w:r>
      <w:r w:rsidRPr="004B4FDB">
        <w:rPr>
          <w:i/>
          <w:sz w:val="24"/>
          <w:szCs w:val="24"/>
          <w:lang w:val="en-US"/>
        </w:rPr>
        <w:t>f</w:t>
      </w:r>
      <w:r w:rsidRPr="004B4FDB">
        <w:rPr>
          <w:i/>
          <w:sz w:val="24"/>
          <w:szCs w:val="24"/>
        </w:rPr>
        <w:t xml:space="preserve"> </w:t>
      </w:r>
      <w:r w:rsidR="00990AF7" w:rsidRPr="004B4FDB">
        <w:rPr>
          <w:i/>
          <w:sz w:val="24"/>
          <w:szCs w:val="24"/>
          <w:lang w:val="en-US"/>
        </w:rPr>
        <w:t>American</w:t>
      </w:r>
      <w:r w:rsidRPr="004B4FDB">
        <w:rPr>
          <w:i/>
          <w:sz w:val="24"/>
          <w:szCs w:val="24"/>
        </w:rPr>
        <w:t xml:space="preserve"> </w:t>
      </w:r>
      <w:r w:rsidRPr="004B4FDB">
        <w:rPr>
          <w:i/>
          <w:sz w:val="24"/>
          <w:szCs w:val="24"/>
          <w:lang w:val="en-US"/>
        </w:rPr>
        <w:t>Life</w:t>
      </w:r>
      <w:r w:rsidRPr="004B4FDB">
        <w:rPr>
          <w:i/>
          <w:sz w:val="24"/>
          <w:szCs w:val="24"/>
        </w:rPr>
        <w:t xml:space="preserve"> </w:t>
      </w:r>
      <w:r w:rsidRPr="004B4FDB">
        <w:rPr>
          <w:i/>
          <w:sz w:val="24"/>
          <w:szCs w:val="24"/>
          <w:lang w:val="en-US"/>
        </w:rPr>
        <w:t>Index</w:t>
      </w:r>
      <w:r w:rsidRPr="004B4FDB">
        <w:rPr>
          <w:i/>
          <w:sz w:val="24"/>
          <w:szCs w:val="24"/>
        </w:rPr>
        <w:t xml:space="preserve"> </w:t>
      </w:r>
      <w:r w:rsidR="00990AF7" w:rsidRPr="004B4FDB">
        <w:rPr>
          <w:i/>
          <w:sz w:val="24"/>
          <w:szCs w:val="24"/>
        </w:rPr>
        <w:t>(</w:t>
      </w:r>
      <w:r w:rsidR="00990AF7" w:rsidRPr="004B4FDB">
        <w:rPr>
          <w:i/>
          <w:sz w:val="24"/>
          <w:szCs w:val="24"/>
          <w:lang w:val="en-US"/>
        </w:rPr>
        <w:t>QALI</w:t>
      </w:r>
      <w:r w:rsidR="00990AF7" w:rsidRPr="004B4FDB">
        <w:rPr>
          <w:i/>
          <w:sz w:val="24"/>
          <w:szCs w:val="24"/>
        </w:rPr>
        <w:t>)</w:t>
      </w:r>
      <w:r w:rsidR="00990AF7" w:rsidRPr="005A464E">
        <w:rPr>
          <w:sz w:val="24"/>
          <w:szCs w:val="24"/>
        </w:rPr>
        <w:t xml:space="preserve"> αξιολογεί</w:t>
      </w:r>
      <w:r w:rsidRPr="005A464E">
        <w:rPr>
          <w:sz w:val="24"/>
          <w:szCs w:val="24"/>
        </w:rPr>
        <w:t xml:space="preserve"> τις </w:t>
      </w:r>
      <w:r w:rsidR="00990AF7" w:rsidRPr="005A464E">
        <w:rPr>
          <w:sz w:val="24"/>
          <w:szCs w:val="24"/>
        </w:rPr>
        <w:t>αντιλήψεις</w:t>
      </w:r>
      <w:r w:rsidRPr="005A464E">
        <w:rPr>
          <w:sz w:val="24"/>
          <w:szCs w:val="24"/>
        </w:rPr>
        <w:t xml:space="preserve"> </w:t>
      </w:r>
      <w:r w:rsidR="00B0560D">
        <w:rPr>
          <w:sz w:val="24"/>
          <w:szCs w:val="24"/>
        </w:rPr>
        <w:t>του ασθενούς</w:t>
      </w:r>
      <w:r w:rsidR="00990AF7" w:rsidRPr="005A464E">
        <w:rPr>
          <w:sz w:val="24"/>
          <w:szCs w:val="24"/>
        </w:rPr>
        <w:t xml:space="preserve"> για τις κοινωνικοψυχολογικές ανάγκες του και προσδοκίες από τη ζωή (</w:t>
      </w:r>
      <w:r w:rsidR="00990AF7" w:rsidRPr="005A464E">
        <w:rPr>
          <w:sz w:val="24"/>
          <w:szCs w:val="24"/>
          <w:lang w:val="en-US"/>
        </w:rPr>
        <w:t>Johnson</w:t>
      </w:r>
      <w:r w:rsidR="00AC5B2C" w:rsidRPr="00AC5B2C">
        <w:rPr>
          <w:sz w:val="24"/>
          <w:szCs w:val="24"/>
        </w:rPr>
        <w:t>,</w:t>
      </w:r>
      <w:r w:rsidR="004034C9" w:rsidRPr="005A464E">
        <w:rPr>
          <w:sz w:val="24"/>
          <w:szCs w:val="24"/>
        </w:rPr>
        <w:t xml:space="preserve"> </w:t>
      </w:r>
      <w:r w:rsidR="00AC5B2C" w:rsidRPr="00AC5B2C">
        <w:rPr>
          <w:rStyle w:val="element-citation"/>
          <w:rFonts w:asciiTheme="minorHAnsi" w:eastAsia="Times New Roman" w:hAnsiTheme="minorHAnsi" w:cstheme="minorHAnsi"/>
          <w:sz w:val="24"/>
          <w:szCs w:val="24"/>
          <w:lang w:val="en-US" w:eastAsia="el-GR"/>
        </w:rPr>
        <w:t>McCauley</w:t>
      </w:r>
      <w:r w:rsidR="00AC5B2C">
        <w:rPr>
          <w:rStyle w:val="element-citation"/>
          <w:rFonts w:asciiTheme="minorHAnsi" w:eastAsia="Times New Roman" w:hAnsiTheme="minorHAnsi" w:cstheme="minorHAnsi"/>
          <w:sz w:val="24"/>
          <w:szCs w:val="24"/>
          <w:lang w:eastAsia="el-GR"/>
        </w:rPr>
        <w:t>,</w:t>
      </w:r>
      <w:r w:rsidR="00AC5B2C" w:rsidRPr="00AC5B2C">
        <w:rPr>
          <w:rStyle w:val="element-citation"/>
          <w:rFonts w:asciiTheme="minorHAnsi" w:eastAsia="Times New Roman" w:hAnsiTheme="minorHAnsi" w:cstheme="minorHAnsi"/>
          <w:sz w:val="24"/>
          <w:szCs w:val="24"/>
          <w:lang w:eastAsia="el-GR"/>
        </w:rPr>
        <w:t xml:space="preserve"> &amp; </w:t>
      </w:r>
      <w:r w:rsidR="00AC5B2C" w:rsidRPr="00AC5B2C">
        <w:rPr>
          <w:rStyle w:val="element-citation"/>
          <w:rFonts w:asciiTheme="minorHAnsi" w:eastAsia="Times New Roman" w:hAnsiTheme="minorHAnsi" w:cstheme="minorHAnsi"/>
          <w:sz w:val="24"/>
          <w:szCs w:val="24"/>
          <w:lang w:val="en-US" w:eastAsia="el-GR"/>
        </w:rPr>
        <w:t>Copley</w:t>
      </w:r>
      <w:r w:rsidR="00AC5B2C" w:rsidRPr="00AC5B2C">
        <w:rPr>
          <w:rStyle w:val="element-citation"/>
          <w:rFonts w:asciiTheme="minorHAnsi" w:eastAsia="Times New Roman" w:hAnsiTheme="minorHAnsi" w:cstheme="minorHAnsi"/>
          <w:sz w:val="24"/>
          <w:szCs w:val="24"/>
          <w:lang w:eastAsia="el-GR"/>
        </w:rPr>
        <w:t>,</w:t>
      </w:r>
      <w:r w:rsidR="00990AF7" w:rsidRPr="00AC5B2C">
        <w:rPr>
          <w:sz w:val="24"/>
          <w:szCs w:val="24"/>
        </w:rPr>
        <w:t xml:space="preserve"> 1982</w:t>
      </w:r>
      <w:r w:rsidR="00990AF7" w:rsidRPr="005A464E">
        <w:rPr>
          <w:sz w:val="24"/>
          <w:szCs w:val="24"/>
        </w:rPr>
        <w:t>).</w:t>
      </w:r>
    </w:p>
    <w:p w:rsidR="003A7736" w:rsidRPr="005A464E" w:rsidRDefault="009E7499" w:rsidP="0066526D">
      <w:pPr>
        <w:pStyle w:val="30"/>
        <w:numPr>
          <w:ilvl w:val="2"/>
          <w:numId w:val="100"/>
        </w:numPr>
        <w:spacing w:after="240"/>
      </w:pPr>
      <w:bookmarkStart w:id="63" w:name="_Toc495951458"/>
      <w:r>
        <w:t>Εργαλεία μέτρησης της ποιότητας ζωής</w:t>
      </w:r>
      <w:r w:rsidR="00990AF7" w:rsidRPr="005A464E">
        <w:t xml:space="preserve"> στη Χ</w:t>
      </w:r>
      <w:r>
        <w:t xml:space="preserve">ρόνια </w:t>
      </w:r>
      <w:r w:rsidR="00990AF7" w:rsidRPr="005A464E">
        <w:t>Ν</w:t>
      </w:r>
      <w:r>
        <w:t xml:space="preserve">εφρική </w:t>
      </w:r>
      <w:r w:rsidR="00990AF7" w:rsidRPr="005A464E">
        <w:t>Ν</w:t>
      </w:r>
      <w:r>
        <w:t>όσο</w:t>
      </w:r>
      <w:bookmarkEnd w:id="63"/>
    </w:p>
    <w:p w:rsidR="00990AF7" w:rsidRPr="00C912D7" w:rsidRDefault="007C4095" w:rsidP="005A464E">
      <w:pPr>
        <w:pStyle w:val="a5"/>
        <w:spacing w:line="360" w:lineRule="auto"/>
        <w:ind w:left="0"/>
        <w:jc w:val="both"/>
        <w:rPr>
          <w:sz w:val="24"/>
          <w:szCs w:val="24"/>
        </w:rPr>
      </w:pPr>
      <w:r w:rsidRPr="005A464E">
        <w:rPr>
          <w:sz w:val="24"/>
          <w:szCs w:val="24"/>
        </w:rPr>
        <w:t>Τα εξειδικευμένα εργαλεία μέτρησης της ΠΖ σε συγκεκριμένες ασθένειες ε</w:t>
      </w:r>
      <w:r w:rsidR="005024B2">
        <w:rPr>
          <w:sz w:val="24"/>
          <w:szCs w:val="24"/>
        </w:rPr>
        <w:t>ίναι περισσότερο ευαίσθητα</w:t>
      </w:r>
      <w:r w:rsidRPr="005A464E">
        <w:rPr>
          <w:sz w:val="24"/>
          <w:szCs w:val="24"/>
        </w:rPr>
        <w:t>, περισσότερο ευέ</w:t>
      </w:r>
      <w:r w:rsidR="005024B2">
        <w:rPr>
          <w:sz w:val="24"/>
          <w:szCs w:val="24"/>
        </w:rPr>
        <w:t>λικτα και οικεία στους επαγγελματίες υγείας</w:t>
      </w:r>
      <w:r w:rsidRPr="005A464E">
        <w:rPr>
          <w:sz w:val="24"/>
          <w:szCs w:val="24"/>
        </w:rPr>
        <w:t xml:space="preserve"> που τα χρησιμοποιούν (</w:t>
      </w:r>
      <w:r w:rsidRPr="005A464E">
        <w:rPr>
          <w:sz w:val="24"/>
          <w:szCs w:val="24"/>
          <w:lang w:val="en-US"/>
        </w:rPr>
        <w:t>Coelho</w:t>
      </w:r>
      <w:r w:rsidR="000848D6">
        <w:rPr>
          <w:sz w:val="24"/>
          <w:szCs w:val="24"/>
        </w:rPr>
        <w:t xml:space="preserve"> </w:t>
      </w:r>
      <w:r w:rsidR="00566CAA">
        <w:rPr>
          <w:sz w:val="24"/>
          <w:szCs w:val="24"/>
        </w:rPr>
        <w:t>et al</w:t>
      </w:r>
      <w:r w:rsidR="000848D6">
        <w:rPr>
          <w:sz w:val="24"/>
          <w:szCs w:val="24"/>
        </w:rPr>
        <w:t>.</w:t>
      </w:r>
      <w:r w:rsidR="00533701">
        <w:rPr>
          <w:sz w:val="24"/>
          <w:szCs w:val="24"/>
        </w:rPr>
        <w:t>,</w:t>
      </w:r>
      <w:r w:rsidRPr="005A464E">
        <w:rPr>
          <w:sz w:val="24"/>
          <w:szCs w:val="24"/>
        </w:rPr>
        <w:t xml:space="preserve"> 2005). Τ</w:t>
      </w:r>
      <w:r w:rsidR="00C05B35">
        <w:rPr>
          <w:sz w:val="24"/>
          <w:szCs w:val="24"/>
        </w:rPr>
        <w:t xml:space="preserve">α πιο συχνά χρησιμοποιούμενα για </w:t>
      </w:r>
      <w:r w:rsidR="00C05B35" w:rsidRPr="00C912D7">
        <w:rPr>
          <w:sz w:val="24"/>
          <w:szCs w:val="24"/>
        </w:rPr>
        <w:t>ασθενείς με</w:t>
      </w:r>
      <w:r w:rsidRPr="00C912D7">
        <w:rPr>
          <w:sz w:val="24"/>
          <w:szCs w:val="24"/>
        </w:rPr>
        <w:t xml:space="preserve"> </w:t>
      </w:r>
      <w:r w:rsidR="004B4FDB" w:rsidRPr="00C912D7">
        <w:rPr>
          <w:sz w:val="24"/>
          <w:szCs w:val="24"/>
        </w:rPr>
        <w:t>ΤΣ</w:t>
      </w:r>
      <w:r w:rsidRPr="00C912D7">
        <w:rPr>
          <w:sz w:val="24"/>
          <w:szCs w:val="24"/>
        </w:rPr>
        <w:t>ΧΝΝ είναι:</w:t>
      </w:r>
    </w:p>
    <w:p w:rsidR="007C4095" w:rsidRPr="00C912D7" w:rsidRDefault="005024B2" w:rsidP="005A464E">
      <w:pPr>
        <w:pStyle w:val="a5"/>
        <w:numPr>
          <w:ilvl w:val="0"/>
          <w:numId w:val="3"/>
        </w:numPr>
        <w:spacing w:line="360" w:lineRule="auto"/>
        <w:jc w:val="both"/>
        <w:rPr>
          <w:sz w:val="24"/>
          <w:szCs w:val="24"/>
        </w:rPr>
      </w:pPr>
      <w:r w:rsidRPr="00C912D7">
        <w:rPr>
          <w:sz w:val="24"/>
          <w:szCs w:val="24"/>
        </w:rPr>
        <w:t>Η</w:t>
      </w:r>
      <w:r w:rsidRPr="00C912D7">
        <w:rPr>
          <w:sz w:val="24"/>
          <w:szCs w:val="24"/>
          <w:lang w:val="en-US"/>
        </w:rPr>
        <w:t xml:space="preserve"> </w:t>
      </w:r>
      <w:r w:rsidRPr="00C912D7">
        <w:rPr>
          <w:sz w:val="24"/>
          <w:szCs w:val="24"/>
        </w:rPr>
        <w:t>κλίμακα</w:t>
      </w:r>
      <w:r w:rsidR="002F06FC" w:rsidRPr="00C912D7">
        <w:rPr>
          <w:sz w:val="24"/>
          <w:szCs w:val="24"/>
          <w:lang w:val="en-US"/>
        </w:rPr>
        <w:t xml:space="preserve"> </w:t>
      </w:r>
      <w:r w:rsidR="00DA2103" w:rsidRPr="00C912D7">
        <w:rPr>
          <w:i/>
          <w:sz w:val="24"/>
          <w:szCs w:val="24"/>
          <w:lang w:val="en-US"/>
        </w:rPr>
        <w:t>Kidney</w:t>
      </w:r>
      <w:r w:rsidR="00124678" w:rsidRPr="00C912D7">
        <w:rPr>
          <w:i/>
          <w:sz w:val="24"/>
          <w:szCs w:val="24"/>
          <w:lang w:val="en-US"/>
        </w:rPr>
        <w:t xml:space="preserve"> </w:t>
      </w:r>
      <w:r w:rsidR="00DA2103" w:rsidRPr="00C912D7">
        <w:rPr>
          <w:i/>
          <w:sz w:val="24"/>
          <w:szCs w:val="24"/>
          <w:lang w:val="en-US"/>
        </w:rPr>
        <w:t>Disease</w:t>
      </w:r>
      <w:r w:rsidR="00124678" w:rsidRPr="00C912D7">
        <w:rPr>
          <w:i/>
          <w:sz w:val="24"/>
          <w:szCs w:val="24"/>
          <w:lang w:val="en-US"/>
        </w:rPr>
        <w:t xml:space="preserve"> </w:t>
      </w:r>
      <w:r w:rsidR="00DA2103" w:rsidRPr="00C912D7">
        <w:rPr>
          <w:i/>
          <w:sz w:val="24"/>
          <w:szCs w:val="24"/>
          <w:lang w:val="en-US"/>
        </w:rPr>
        <w:t>Quality</w:t>
      </w:r>
      <w:r w:rsidR="00124678" w:rsidRPr="00C912D7">
        <w:rPr>
          <w:i/>
          <w:sz w:val="24"/>
          <w:szCs w:val="24"/>
          <w:lang w:val="en-US"/>
        </w:rPr>
        <w:t xml:space="preserve"> </w:t>
      </w:r>
      <w:r w:rsidR="00124678" w:rsidRPr="00C912D7">
        <w:rPr>
          <w:i/>
          <w:sz w:val="24"/>
          <w:szCs w:val="24"/>
        </w:rPr>
        <w:t>ο</w:t>
      </w:r>
      <w:r w:rsidR="00DA2103" w:rsidRPr="00C912D7">
        <w:rPr>
          <w:i/>
          <w:sz w:val="24"/>
          <w:szCs w:val="24"/>
          <w:lang w:val="en-US"/>
        </w:rPr>
        <w:t>f</w:t>
      </w:r>
      <w:r w:rsidR="00124678" w:rsidRPr="00C912D7">
        <w:rPr>
          <w:i/>
          <w:sz w:val="24"/>
          <w:szCs w:val="24"/>
          <w:lang w:val="en-US"/>
        </w:rPr>
        <w:t xml:space="preserve"> </w:t>
      </w:r>
      <w:r w:rsidR="00533701" w:rsidRPr="00C912D7">
        <w:rPr>
          <w:i/>
          <w:sz w:val="24"/>
          <w:szCs w:val="24"/>
          <w:lang w:val="en-US"/>
        </w:rPr>
        <w:t>Life Short Form (KDQ</w:t>
      </w:r>
      <w:r w:rsidR="00533701" w:rsidRPr="00C912D7">
        <w:rPr>
          <w:i/>
          <w:sz w:val="24"/>
          <w:szCs w:val="24"/>
        </w:rPr>
        <w:t>ο</w:t>
      </w:r>
      <w:r w:rsidR="00DA2103" w:rsidRPr="00C912D7">
        <w:rPr>
          <w:i/>
          <w:sz w:val="24"/>
          <w:szCs w:val="24"/>
          <w:lang w:val="en-US"/>
        </w:rPr>
        <w:t>L-SF</w:t>
      </w:r>
      <w:r w:rsidR="00816491" w:rsidRPr="00C912D7">
        <w:rPr>
          <w:i/>
          <w:sz w:val="24"/>
          <w:szCs w:val="24"/>
          <w:lang w:val="en-US"/>
        </w:rPr>
        <w:t>)</w:t>
      </w:r>
      <w:r w:rsidR="00DA2103" w:rsidRPr="00C912D7">
        <w:rPr>
          <w:i/>
          <w:sz w:val="24"/>
          <w:szCs w:val="24"/>
          <w:lang w:val="en-US"/>
        </w:rPr>
        <w:t>.</w:t>
      </w:r>
      <w:r w:rsidR="00DA2103" w:rsidRPr="00C912D7">
        <w:rPr>
          <w:sz w:val="24"/>
          <w:szCs w:val="24"/>
          <w:lang w:val="en-US"/>
        </w:rPr>
        <w:t xml:space="preserve"> </w:t>
      </w:r>
      <w:r w:rsidR="00DA2103" w:rsidRPr="00C912D7">
        <w:rPr>
          <w:sz w:val="24"/>
          <w:szCs w:val="24"/>
        </w:rPr>
        <w:t>Δημιουργήθηκε το 1994 και αρχικά αποτελούνταν</w:t>
      </w:r>
      <w:r w:rsidR="000E03F0" w:rsidRPr="00C912D7">
        <w:rPr>
          <w:sz w:val="24"/>
          <w:szCs w:val="24"/>
        </w:rPr>
        <w:t xml:space="preserve"> από 134 ερωτήσεις (Hays,</w:t>
      </w:r>
      <w:r w:rsidR="00DA2103" w:rsidRPr="00C912D7">
        <w:rPr>
          <w:sz w:val="24"/>
          <w:szCs w:val="24"/>
        </w:rPr>
        <w:t xml:space="preserve"> </w:t>
      </w:r>
      <w:r w:rsidR="000E03F0" w:rsidRPr="00C912D7">
        <w:rPr>
          <w:rFonts w:asciiTheme="minorHAnsi" w:eastAsia="Times New Roman" w:hAnsiTheme="minorHAnsi" w:cstheme="minorHAnsi"/>
          <w:iCs/>
          <w:sz w:val="24"/>
          <w:szCs w:val="24"/>
          <w:lang w:val="en-US" w:eastAsia="el-GR"/>
        </w:rPr>
        <w:t>Kallich</w:t>
      </w:r>
      <w:r w:rsidR="000E03F0" w:rsidRPr="00C912D7">
        <w:rPr>
          <w:rFonts w:asciiTheme="minorHAnsi" w:eastAsia="Times New Roman" w:hAnsiTheme="minorHAnsi" w:cstheme="minorHAnsi"/>
          <w:iCs/>
          <w:sz w:val="24"/>
          <w:szCs w:val="24"/>
          <w:lang w:eastAsia="el-GR"/>
        </w:rPr>
        <w:t xml:space="preserve">, </w:t>
      </w:r>
      <w:r w:rsidR="000E03F0" w:rsidRPr="00C912D7">
        <w:rPr>
          <w:rFonts w:asciiTheme="minorHAnsi" w:eastAsia="Times New Roman" w:hAnsiTheme="minorHAnsi" w:cstheme="minorHAnsi"/>
          <w:iCs/>
          <w:sz w:val="24"/>
          <w:szCs w:val="24"/>
          <w:lang w:val="en-US" w:eastAsia="el-GR"/>
        </w:rPr>
        <w:t>Mapes</w:t>
      </w:r>
      <w:r w:rsidR="000E03F0" w:rsidRPr="00C912D7">
        <w:rPr>
          <w:rFonts w:asciiTheme="minorHAnsi" w:eastAsia="Times New Roman" w:hAnsiTheme="minorHAnsi" w:cstheme="minorHAnsi"/>
          <w:iCs/>
          <w:sz w:val="24"/>
          <w:szCs w:val="24"/>
          <w:lang w:eastAsia="el-GR"/>
        </w:rPr>
        <w:t xml:space="preserve">, </w:t>
      </w:r>
      <w:r w:rsidR="000E03F0" w:rsidRPr="00C912D7">
        <w:rPr>
          <w:rFonts w:asciiTheme="minorHAnsi" w:eastAsia="Times New Roman" w:hAnsiTheme="minorHAnsi" w:cstheme="minorHAnsi"/>
          <w:iCs/>
          <w:sz w:val="24"/>
          <w:szCs w:val="24"/>
          <w:lang w:val="en-US" w:eastAsia="el-GR"/>
        </w:rPr>
        <w:t>Coons</w:t>
      </w:r>
      <w:r w:rsidR="000E03F0" w:rsidRPr="00C912D7">
        <w:rPr>
          <w:rFonts w:asciiTheme="minorHAnsi" w:eastAsia="Times New Roman" w:hAnsiTheme="minorHAnsi" w:cstheme="minorHAnsi"/>
          <w:iCs/>
          <w:sz w:val="24"/>
          <w:szCs w:val="24"/>
          <w:lang w:eastAsia="el-GR"/>
        </w:rPr>
        <w:t xml:space="preserve">, &amp; </w:t>
      </w:r>
      <w:r w:rsidR="000E03F0" w:rsidRPr="00C912D7">
        <w:rPr>
          <w:rFonts w:asciiTheme="minorHAnsi" w:eastAsia="Times New Roman" w:hAnsiTheme="minorHAnsi" w:cstheme="minorHAnsi"/>
          <w:iCs/>
          <w:sz w:val="24"/>
          <w:szCs w:val="24"/>
          <w:lang w:val="en-US" w:eastAsia="el-GR"/>
        </w:rPr>
        <w:t>Carter</w:t>
      </w:r>
      <w:r w:rsidR="000E03F0" w:rsidRPr="00C912D7">
        <w:rPr>
          <w:rFonts w:asciiTheme="minorHAnsi" w:eastAsia="Times New Roman" w:hAnsiTheme="minorHAnsi" w:cstheme="minorHAnsi"/>
          <w:iCs/>
          <w:sz w:val="24"/>
          <w:szCs w:val="24"/>
          <w:lang w:eastAsia="el-GR"/>
        </w:rPr>
        <w:t xml:space="preserve">, </w:t>
      </w:r>
      <w:r w:rsidR="00C912D7" w:rsidRPr="00C912D7">
        <w:rPr>
          <w:sz w:val="24"/>
          <w:szCs w:val="24"/>
        </w:rPr>
        <w:t>1994). Ωστόσο, η μεγάλη έκταση</w:t>
      </w:r>
      <w:r w:rsidR="00DA2103" w:rsidRPr="00C912D7">
        <w:rPr>
          <w:sz w:val="24"/>
          <w:szCs w:val="24"/>
        </w:rPr>
        <w:t xml:space="preserve"> του ερωτηματολογίου</w:t>
      </w:r>
      <w:r w:rsidRPr="00C912D7">
        <w:rPr>
          <w:sz w:val="24"/>
          <w:szCs w:val="24"/>
        </w:rPr>
        <w:t xml:space="preserve"> δεν επέτρεψε</w:t>
      </w:r>
      <w:r w:rsidR="00DA2103" w:rsidRPr="00C912D7">
        <w:rPr>
          <w:sz w:val="24"/>
          <w:szCs w:val="24"/>
        </w:rPr>
        <w:t xml:space="preserve"> την κλινική </w:t>
      </w:r>
      <w:r w:rsidRPr="00C912D7">
        <w:rPr>
          <w:sz w:val="24"/>
          <w:szCs w:val="24"/>
        </w:rPr>
        <w:t>του εφαρμογή</w:t>
      </w:r>
      <w:r w:rsidR="00DA2103" w:rsidRPr="00C912D7">
        <w:rPr>
          <w:sz w:val="24"/>
          <w:szCs w:val="24"/>
        </w:rPr>
        <w:t>. Η σύντομη έκδοση</w:t>
      </w:r>
      <w:r w:rsidR="00124678" w:rsidRPr="00C912D7">
        <w:rPr>
          <w:sz w:val="24"/>
          <w:szCs w:val="24"/>
        </w:rPr>
        <w:t xml:space="preserve"> </w:t>
      </w:r>
      <w:r w:rsidR="00DA2103" w:rsidRPr="00C912D7">
        <w:rPr>
          <w:sz w:val="24"/>
          <w:szCs w:val="24"/>
        </w:rPr>
        <w:t>αποτελείται</w:t>
      </w:r>
      <w:r w:rsidR="00124678" w:rsidRPr="00C912D7">
        <w:rPr>
          <w:sz w:val="24"/>
          <w:szCs w:val="24"/>
        </w:rPr>
        <w:t xml:space="preserve"> </w:t>
      </w:r>
      <w:r w:rsidR="00DA2103" w:rsidRPr="00C912D7">
        <w:rPr>
          <w:sz w:val="24"/>
          <w:szCs w:val="24"/>
        </w:rPr>
        <w:t>από</w:t>
      </w:r>
      <w:r w:rsidR="00816491" w:rsidRPr="00C912D7">
        <w:rPr>
          <w:sz w:val="24"/>
          <w:szCs w:val="24"/>
        </w:rPr>
        <w:t xml:space="preserve"> 80</w:t>
      </w:r>
      <w:r w:rsidRPr="00C912D7">
        <w:rPr>
          <w:sz w:val="24"/>
          <w:szCs w:val="24"/>
        </w:rPr>
        <w:t xml:space="preserve"> ερωτήσεις σε </w:t>
      </w:r>
      <w:r w:rsidR="004B4FDB" w:rsidRPr="00C912D7">
        <w:rPr>
          <w:sz w:val="24"/>
          <w:szCs w:val="24"/>
        </w:rPr>
        <w:t xml:space="preserve">κλίμακα </w:t>
      </w:r>
      <w:r w:rsidR="005F478F" w:rsidRPr="00C912D7">
        <w:rPr>
          <w:sz w:val="24"/>
          <w:szCs w:val="24"/>
        </w:rPr>
        <w:t>10</w:t>
      </w:r>
      <w:r w:rsidRPr="00C912D7">
        <w:rPr>
          <w:sz w:val="24"/>
          <w:szCs w:val="24"/>
        </w:rPr>
        <w:t xml:space="preserve"> σημείων</w:t>
      </w:r>
      <w:r w:rsidR="00DA2103" w:rsidRPr="00C912D7">
        <w:rPr>
          <w:sz w:val="24"/>
          <w:szCs w:val="24"/>
        </w:rPr>
        <w:t xml:space="preserve"> τύπου </w:t>
      </w:r>
      <w:r w:rsidR="00DA2103" w:rsidRPr="00C912D7">
        <w:rPr>
          <w:sz w:val="24"/>
          <w:szCs w:val="24"/>
          <w:lang w:val="en-US"/>
        </w:rPr>
        <w:t>Likert</w:t>
      </w:r>
      <w:r w:rsidR="00124678" w:rsidRPr="00C912D7">
        <w:rPr>
          <w:sz w:val="24"/>
          <w:szCs w:val="24"/>
        </w:rPr>
        <w:t xml:space="preserve"> </w:t>
      </w:r>
      <w:r w:rsidR="00DA2103" w:rsidRPr="00C912D7">
        <w:rPr>
          <w:sz w:val="24"/>
          <w:szCs w:val="24"/>
        </w:rPr>
        <w:t>και 19 διαστάσεις</w:t>
      </w:r>
      <w:r w:rsidR="0078495A" w:rsidRPr="00C912D7">
        <w:rPr>
          <w:sz w:val="24"/>
          <w:szCs w:val="24"/>
        </w:rPr>
        <w:t xml:space="preserve"> </w:t>
      </w:r>
      <w:r w:rsidR="00DA2103" w:rsidRPr="00C912D7">
        <w:rPr>
          <w:sz w:val="24"/>
          <w:szCs w:val="24"/>
        </w:rPr>
        <w:t xml:space="preserve">για τον υπολογισμό της ΠΖ. Η </w:t>
      </w:r>
      <w:r w:rsidR="00816491" w:rsidRPr="00C912D7">
        <w:rPr>
          <w:sz w:val="24"/>
          <w:szCs w:val="24"/>
        </w:rPr>
        <w:t>σύντομη έκδοση αποτελείται από</w:t>
      </w:r>
      <w:r w:rsidR="00124678" w:rsidRPr="00C912D7">
        <w:rPr>
          <w:sz w:val="24"/>
          <w:szCs w:val="24"/>
        </w:rPr>
        <w:t xml:space="preserve"> </w:t>
      </w:r>
      <w:r w:rsidR="00816491" w:rsidRPr="00C912D7">
        <w:rPr>
          <w:sz w:val="24"/>
          <w:szCs w:val="24"/>
        </w:rPr>
        <w:t>36</w:t>
      </w:r>
      <w:r w:rsidR="00C05B35" w:rsidRPr="00C912D7">
        <w:rPr>
          <w:sz w:val="24"/>
          <w:szCs w:val="24"/>
        </w:rPr>
        <w:t xml:space="preserve"> στοιχεία της</w:t>
      </w:r>
      <w:r w:rsidR="00A86799" w:rsidRPr="00C912D7">
        <w:rPr>
          <w:sz w:val="24"/>
          <w:szCs w:val="24"/>
        </w:rPr>
        <w:t xml:space="preserve"> κλίμακα</w:t>
      </w:r>
      <w:r w:rsidR="00C05B35" w:rsidRPr="00C912D7">
        <w:rPr>
          <w:sz w:val="24"/>
          <w:szCs w:val="24"/>
        </w:rPr>
        <w:t>ς</w:t>
      </w:r>
      <w:r w:rsidR="00124678" w:rsidRPr="00C912D7">
        <w:rPr>
          <w:sz w:val="24"/>
          <w:szCs w:val="24"/>
        </w:rPr>
        <w:t xml:space="preserve"> </w:t>
      </w:r>
      <w:r w:rsidR="00DA2103" w:rsidRPr="00C912D7">
        <w:rPr>
          <w:sz w:val="24"/>
          <w:szCs w:val="24"/>
          <w:lang w:val="en-US"/>
        </w:rPr>
        <w:t>SF</w:t>
      </w:r>
      <w:r w:rsidR="00A86799" w:rsidRPr="00C912D7">
        <w:rPr>
          <w:sz w:val="24"/>
          <w:szCs w:val="24"/>
        </w:rPr>
        <w:t>-</w:t>
      </w:r>
      <w:r w:rsidR="00DA2103" w:rsidRPr="00C912D7">
        <w:rPr>
          <w:sz w:val="24"/>
          <w:szCs w:val="24"/>
        </w:rPr>
        <w:t xml:space="preserve">36 </w:t>
      </w:r>
      <w:r w:rsidR="00A86799" w:rsidRPr="00C912D7">
        <w:rPr>
          <w:sz w:val="24"/>
          <w:szCs w:val="24"/>
        </w:rPr>
        <w:t>και 43 στοιχεία</w:t>
      </w:r>
      <w:r w:rsidR="00DA2103" w:rsidRPr="00C912D7">
        <w:rPr>
          <w:sz w:val="24"/>
          <w:szCs w:val="24"/>
        </w:rPr>
        <w:t xml:space="preserve"> που σχετίζονται</w:t>
      </w:r>
      <w:r w:rsidR="00DA2103" w:rsidRPr="005A464E">
        <w:rPr>
          <w:sz w:val="24"/>
          <w:szCs w:val="24"/>
        </w:rPr>
        <w:t xml:space="preserve"> με τη </w:t>
      </w:r>
      <w:r w:rsidR="00FF123C" w:rsidRPr="005A464E">
        <w:rPr>
          <w:sz w:val="24"/>
          <w:szCs w:val="24"/>
        </w:rPr>
        <w:t>ΧΝΝ και μελετούν</w:t>
      </w:r>
      <w:r w:rsidR="00124678" w:rsidRPr="005A464E">
        <w:rPr>
          <w:sz w:val="24"/>
          <w:szCs w:val="24"/>
        </w:rPr>
        <w:t xml:space="preserve"> τα συμπτώματα/</w:t>
      </w:r>
      <w:r w:rsidR="00DA2103" w:rsidRPr="005A464E">
        <w:rPr>
          <w:sz w:val="24"/>
          <w:szCs w:val="24"/>
        </w:rPr>
        <w:t>προβλήματα</w:t>
      </w:r>
      <w:r w:rsidR="00DA2103" w:rsidRPr="00C912D7">
        <w:rPr>
          <w:sz w:val="24"/>
          <w:szCs w:val="24"/>
        </w:rPr>
        <w:t xml:space="preserve">, </w:t>
      </w:r>
      <w:r w:rsidR="00C05B35" w:rsidRPr="00C912D7">
        <w:rPr>
          <w:sz w:val="24"/>
          <w:szCs w:val="24"/>
        </w:rPr>
        <w:t xml:space="preserve">τις </w:t>
      </w:r>
      <w:r w:rsidR="00DA2103" w:rsidRPr="00C912D7">
        <w:rPr>
          <w:sz w:val="24"/>
          <w:szCs w:val="24"/>
        </w:rPr>
        <w:t>επιπτώσεις της νεφρικής νόσου, το βάρος των νεφρικής νόσου, τη γνωστική λειτουργία, την ποιότητα της κοινωνικής αλληλεπίδρασης, τη σεξουαλική λειτουργία, τον ύπνο, την κοινωνική υποστήριξη, το καθεστώς εργασίας, την ικανοποίηση των ασθενών και την ενθάρρυνση του προσωπικού της μονάδας αιμοκάθαρσης</w:t>
      </w:r>
      <w:r w:rsidR="00212846" w:rsidRPr="00C912D7">
        <w:rPr>
          <w:sz w:val="24"/>
          <w:szCs w:val="24"/>
        </w:rPr>
        <w:t xml:space="preserve">. </w:t>
      </w:r>
    </w:p>
    <w:p w:rsidR="00FF123C" w:rsidRPr="00C912D7" w:rsidRDefault="005024B2" w:rsidP="005A464E">
      <w:pPr>
        <w:pStyle w:val="a5"/>
        <w:numPr>
          <w:ilvl w:val="0"/>
          <w:numId w:val="3"/>
        </w:numPr>
        <w:spacing w:line="360" w:lineRule="auto"/>
        <w:jc w:val="both"/>
        <w:rPr>
          <w:sz w:val="24"/>
          <w:szCs w:val="24"/>
        </w:rPr>
      </w:pPr>
      <w:r w:rsidRPr="00C912D7">
        <w:rPr>
          <w:sz w:val="24"/>
          <w:szCs w:val="24"/>
        </w:rPr>
        <w:t>Η</w:t>
      </w:r>
      <w:r w:rsidRPr="00C912D7">
        <w:rPr>
          <w:sz w:val="24"/>
          <w:szCs w:val="24"/>
          <w:lang w:val="en-US"/>
        </w:rPr>
        <w:t xml:space="preserve"> </w:t>
      </w:r>
      <w:r w:rsidRPr="00C912D7">
        <w:rPr>
          <w:sz w:val="24"/>
          <w:szCs w:val="24"/>
        </w:rPr>
        <w:t>κλίμακα</w:t>
      </w:r>
      <w:r w:rsidR="00C05B35" w:rsidRPr="00C912D7">
        <w:rPr>
          <w:sz w:val="24"/>
          <w:szCs w:val="24"/>
          <w:lang w:val="en-US"/>
        </w:rPr>
        <w:t xml:space="preserve"> </w:t>
      </w:r>
      <w:r w:rsidR="00CC18D5" w:rsidRPr="00C912D7">
        <w:rPr>
          <w:i/>
          <w:sz w:val="24"/>
          <w:szCs w:val="24"/>
          <w:lang w:val="en-US"/>
        </w:rPr>
        <w:t>Choice</w:t>
      </w:r>
      <w:r w:rsidR="00212846" w:rsidRPr="00C912D7">
        <w:rPr>
          <w:i/>
          <w:sz w:val="24"/>
          <w:szCs w:val="24"/>
          <w:lang w:val="en-US"/>
        </w:rPr>
        <w:t xml:space="preserve"> </w:t>
      </w:r>
      <w:r w:rsidR="00CC18D5" w:rsidRPr="00C912D7">
        <w:rPr>
          <w:i/>
          <w:sz w:val="24"/>
          <w:szCs w:val="24"/>
          <w:lang w:val="en-US"/>
        </w:rPr>
        <w:t>Health</w:t>
      </w:r>
      <w:r w:rsidR="00212846" w:rsidRPr="00C912D7">
        <w:rPr>
          <w:i/>
          <w:sz w:val="24"/>
          <w:szCs w:val="24"/>
          <w:lang w:val="en-US"/>
        </w:rPr>
        <w:t xml:space="preserve"> </w:t>
      </w:r>
      <w:r w:rsidR="00CC18D5" w:rsidRPr="00C912D7">
        <w:rPr>
          <w:i/>
          <w:sz w:val="24"/>
          <w:szCs w:val="24"/>
          <w:lang w:val="en-US"/>
        </w:rPr>
        <w:t>Experience</w:t>
      </w:r>
      <w:r w:rsidR="00212846" w:rsidRPr="00C912D7">
        <w:rPr>
          <w:i/>
          <w:sz w:val="24"/>
          <w:szCs w:val="24"/>
          <w:lang w:val="en-US"/>
        </w:rPr>
        <w:t xml:space="preserve"> </w:t>
      </w:r>
      <w:r w:rsidR="00CC18D5" w:rsidRPr="00C912D7">
        <w:rPr>
          <w:i/>
          <w:sz w:val="24"/>
          <w:szCs w:val="24"/>
          <w:lang w:val="en-US"/>
        </w:rPr>
        <w:t>Questionnaire (CHEQ)</w:t>
      </w:r>
      <w:r w:rsidRPr="00C912D7">
        <w:rPr>
          <w:i/>
          <w:sz w:val="24"/>
          <w:szCs w:val="24"/>
          <w:lang w:val="en-US"/>
        </w:rPr>
        <w:t>.</w:t>
      </w:r>
      <w:r w:rsidRPr="00C912D7">
        <w:rPr>
          <w:sz w:val="24"/>
          <w:szCs w:val="24"/>
          <w:lang w:val="en-US"/>
        </w:rPr>
        <w:t xml:space="preserve"> </w:t>
      </w:r>
      <w:r w:rsidRPr="00C912D7">
        <w:rPr>
          <w:sz w:val="24"/>
          <w:szCs w:val="24"/>
        </w:rPr>
        <w:t>Α</w:t>
      </w:r>
      <w:r w:rsidR="00CC18D5" w:rsidRPr="00C912D7">
        <w:rPr>
          <w:sz w:val="24"/>
          <w:szCs w:val="24"/>
        </w:rPr>
        <w:t>ποτελείται</w:t>
      </w:r>
      <w:r w:rsidR="00212846" w:rsidRPr="00C912D7">
        <w:rPr>
          <w:sz w:val="24"/>
          <w:szCs w:val="24"/>
        </w:rPr>
        <w:t xml:space="preserve"> </w:t>
      </w:r>
      <w:r w:rsidR="00CC18D5" w:rsidRPr="00C912D7">
        <w:rPr>
          <w:sz w:val="24"/>
          <w:szCs w:val="24"/>
        </w:rPr>
        <w:t>από 83 ερωτήσεις</w:t>
      </w:r>
      <w:r w:rsidR="00212846" w:rsidRPr="00C912D7">
        <w:rPr>
          <w:sz w:val="24"/>
          <w:szCs w:val="24"/>
        </w:rPr>
        <w:t xml:space="preserve"> </w:t>
      </w:r>
      <w:r w:rsidR="004B4FDB" w:rsidRPr="00C912D7">
        <w:rPr>
          <w:sz w:val="24"/>
          <w:szCs w:val="24"/>
        </w:rPr>
        <w:t>με 21 διαστάσεις (</w:t>
      </w:r>
      <w:r w:rsidR="005F478F" w:rsidRPr="00C912D7">
        <w:rPr>
          <w:sz w:val="24"/>
          <w:szCs w:val="24"/>
        </w:rPr>
        <w:t>8</w:t>
      </w:r>
      <w:r w:rsidR="00CC18D5" w:rsidRPr="00C912D7">
        <w:rPr>
          <w:sz w:val="24"/>
          <w:szCs w:val="24"/>
        </w:rPr>
        <w:t xml:space="preserve"> διαστάσεις από την κλίμακα </w:t>
      </w:r>
      <w:r w:rsidR="00CC18D5" w:rsidRPr="00C912D7">
        <w:rPr>
          <w:sz w:val="24"/>
          <w:szCs w:val="24"/>
          <w:lang w:val="en-US"/>
        </w:rPr>
        <w:t>MOS</w:t>
      </w:r>
      <w:r w:rsidR="00C05B35" w:rsidRPr="00C912D7">
        <w:rPr>
          <w:sz w:val="24"/>
          <w:szCs w:val="24"/>
        </w:rPr>
        <w:t xml:space="preserve"> </w:t>
      </w:r>
      <w:r w:rsidR="00CC18D5" w:rsidRPr="00C912D7">
        <w:rPr>
          <w:sz w:val="24"/>
          <w:szCs w:val="24"/>
        </w:rPr>
        <w:t xml:space="preserve">και 13 διαστάσεις στη </w:t>
      </w:r>
      <w:r w:rsidR="004B4FDB" w:rsidRPr="00C912D7">
        <w:rPr>
          <w:sz w:val="24"/>
          <w:szCs w:val="24"/>
        </w:rPr>
        <w:t>ΤΣ</w:t>
      </w:r>
      <w:r w:rsidR="00CC18D5" w:rsidRPr="00C912D7">
        <w:rPr>
          <w:sz w:val="24"/>
          <w:szCs w:val="24"/>
        </w:rPr>
        <w:t>ΧΝΝ</w:t>
      </w:r>
      <w:r w:rsidR="004B4FDB" w:rsidRPr="00C912D7">
        <w:rPr>
          <w:sz w:val="24"/>
          <w:szCs w:val="24"/>
        </w:rPr>
        <w:t>) και τη</w:t>
      </w:r>
      <w:r w:rsidR="00C05B35" w:rsidRPr="00C912D7">
        <w:rPr>
          <w:sz w:val="24"/>
          <w:szCs w:val="24"/>
        </w:rPr>
        <w:t xml:space="preserve"> σφαιρική ΠΖ</w:t>
      </w:r>
      <w:r w:rsidR="00CC18D5" w:rsidRPr="00C912D7">
        <w:rPr>
          <w:sz w:val="24"/>
          <w:szCs w:val="24"/>
        </w:rPr>
        <w:t xml:space="preserve"> (</w:t>
      </w:r>
      <w:r w:rsidR="00CC18D5" w:rsidRPr="00C912D7">
        <w:rPr>
          <w:sz w:val="24"/>
          <w:szCs w:val="24"/>
          <w:lang w:val="en-US"/>
        </w:rPr>
        <w:t>Wu</w:t>
      </w:r>
      <w:r w:rsidR="004034C9" w:rsidRPr="00C912D7">
        <w:rPr>
          <w:sz w:val="24"/>
          <w:szCs w:val="24"/>
        </w:rPr>
        <w:t xml:space="preserve"> </w:t>
      </w:r>
      <w:r w:rsidR="00566CAA" w:rsidRPr="00C912D7">
        <w:rPr>
          <w:sz w:val="24"/>
          <w:szCs w:val="24"/>
        </w:rPr>
        <w:t>et al</w:t>
      </w:r>
      <w:r w:rsidR="000848D6" w:rsidRPr="00C912D7">
        <w:rPr>
          <w:sz w:val="24"/>
          <w:szCs w:val="24"/>
        </w:rPr>
        <w:t>.</w:t>
      </w:r>
      <w:r w:rsidR="00533701" w:rsidRPr="00C912D7">
        <w:rPr>
          <w:sz w:val="24"/>
          <w:szCs w:val="24"/>
        </w:rPr>
        <w:t>,</w:t>
      </w:r>
      <w:r w:rsidR="00CC18D5" w:rsidRPr="00C912D7">
        <w:rPr>
          <w:sz w:val="24"/>
          <w:szCs w:val="24"/>
        </w:rPr>
        <w:t xml:space="preserve"> 2001).</w:t>
      </w:r>
    </w:p>
    <w:p w:rsidR="00212846" w:rsidRPr="00C912D7" w:rsidRDefault="005024B2" w:rsidP="005A464E">
      <w:pPr>
        <w:pStyle w:val="a5"/>
        <w:numPr>
          <w:ilvl w:val="0"/>
          <w:numId w:val="2"/>
        </w:numPr>
        <w:spacing w:line="360" w:lineRule="auto"/>
        <w:jc w:val="both"/>
        <w:rPr>
          <w:sz w:val="24"/>
          <w:szCs w:val="24"/>
        </w:rPr>
      </w:pPr>
      <w:r w:rsidRPr="00C912D7">
        <w:rPr>
          <w:sz w:val="24"/>
          <w:szCs w:val="24"/>
        </w:rPr>
        <w:t>Η</w:t>
      </w:r>
      <w:r w:rsidRPr="00C912D7">
        <w:rPr>
          <w:sz w:val="24"/>
          <w:szCs w:val="24"/>
          <w:lang w:val="en-US"/>
        </w:rPr>
        <w:t xml:space="preserve"> </w:t>
      </w:r>
      <w:r w:rsidRPr="00C912D7">
        <w:rPr>
          <w:sz w:val="24"/>
          <w:szCs w:val="24"/>
        </w:rPr>
        <w:t>κλίμακα</w:t>
      </w:r>
      <w:r w:rsidR="00C05B35" w:rsidRPr="00C912D7">
        <w:rPr>
          <w:sz w:val="24"/>
          <w:szCs w:val="24"/>
          <w:lang w:val="en-US"/>
        </w:rPr>
        <w:t xml:space="preserve"> </w:t>
      </w:r>
      <w:r w:rsidR="00CC18D5" w:rsidRPr="00C912D7">
        <w:rPr>
          <w:i/>
          <w:sz w:val="24"/>
          <w:szCs w:val="24"/>
          <w:lang w:val="en-US"/>
        </w:rPr>
        <w:t>Chinese</w:t>
      </w:r>
      <w:r w:rsidR="00212846" w:rsidRPr="00C912D7">
        <w:rPr>
          <w:i/>
          <w:sz w:val="24"/>
          <w:szCs w:val="24"/>
          <w:lang w:val="en-US"/>
        </w:rPr>
        <w:t xml:space="preserve"> </w:t>
      </w:r>
      <w:r w:rsidR="00CC18D5" w:rsidRPr="00C912D7">
        <w:rPr>
          <w:i/>
          <w:sz w:val="24"/>
          <w:szCs w:val="24"/>
          <w:lang w:val="en-US"/>
        </w:rPr>
        <w:t>Dialysis</w:t>
      </w:r>
      <w:r w:rsidR="00212846" w:rsidRPr="00C912D7">
        <w:rPr>
          <w:i/>
          <w:sz w:val="24"/>
          <w:szCs w:val="24"/>
          <w:lang w:val="en-US"/>
        </w:rPr>
        <w:t xml:space="preserve"> </w:t>
      </w:r>
      <w:r w:rsidR="00CC18D5" w:rsidRPr="00C912D7">
        <w:rPr>
          <w:i/>
          <w:sz w:val="24"/>
          <w:szCs w:val="24"/>
          <w:lang w:val="en-US"/>
        </w:rPr>
        <w:t>Quality</w:t>
      </w:r>
      <w:r w:rsidR="00212846" w:rsidRPr="00C912D7">
        <w:rPr>
          <w:i/>
          <w:sz w:val="24"/>
          <w:szCs w:val="24"/>
          <w:lang w:val="en-US"/>
        </w:rPr>
        <w:t xml:space="preserve"> </w:t>
      </w:r>
      <w:r w:rsidR="00212846" w:rsidRPr="00C912D7">
        <w:rPr>
          <w:i/>
          <w:sz w:val="24"/>
          <w:szCs w:val="24"/>
        </w:rPr>
        <w:t>ο</w:t>
      </w:r>
      <w:r w:rsidR="00CC18D5" w:rsidRPr="00C912D7">
        <w:rPr>
          <w:i/>
          <w:sz w:val="24"/>
          <w:szCs w:val="24"/>
          <w:lang w:val="en-US"/>
        </w:rPr>
        <w:t>f</w:t>
      </w:r>
      <w:r w:rsidR="00212846" w:rsidRPr="00C912D7">
        <w:rPr>
          <w:i/>
          <w:sz w:val="24"/>
          <w:szCs w:val="24"/>
          <w:lang w:val="en-US"/>
        </w:rPr>
        <w:t xml:space="preserve"> </w:t>
      </w:r>
      <w:r w:rsidR="00CC18D5" w:rsidRPr="00C912D7">
        <w:rPr>
          <w:i/>
          <w:sz w:val="24"/>
          <w:szCs w:val="24"/>
          <w:lang w:val="en-US"/>
        </w:rPr>
        <w:t>Life</w:t>
      </w:r>
      <w:r w:rsidR="00212846" w:rsidRPr="00C912D7">
        <w:rPr>
          <w:i/>
          <w:sz w:val="24"/>
          <w:szCs w:val="24"/>
          <w:lang w:val="en-US"/>
        </w:rPr>
        <w:t xml:space="preserve"> </w:t>
      </w:r>
      <w:r w:rsidR="00CC18D5" w:rsidRPr="00C912D7">
        <w:rPr>
          <w:i/>
          <w:sz w:val="24"/>
          <w:szCs w:val="24"/>
          <w:lang w:val="en-US"/>
        </w:rPr>
        <w:t>Scale (CDQOLS)</w:t>
      </w:r>
      <w:r w:rsidRPr="00C912D7">
        <w:rPr>
          <w:i/>
          <w:sz w:val="24"/>
          <w:szCs w:val="24"/>
          <w:lang w:val="en-US"/>
        </w:rPr>
        <w:t xml:space="preserve">. </w:t>
      </w:r>
      <w:r w:rsidRPr="00C912D7">
        <w:rPr>
          <w:sz w:val="24"/>
          <w:szCs w:val="24"/>
        </w:rPr>
        <w:t>Α</w:t>
      </w:r>
      <w:r w:rsidR="00CC18D5" w:rsidRPr="00C912D7">
        <w:rPr>
          <w:sz w:val="24"/>
          <w:szCs w:val="24"/>
        </w:rPr>
        <w:t>ποτελείται από 29 ερωτήσεις</w:t>
      </w:r>
      <w:r w:rsidR="00212846" w:rsidRPr="00C912D7">
        <w:rPr>
          <w:sz w:val="24"/>
          <w:szCs w:val="24"/>
        </w:rPr>
        <w:t xml:space="preserve"> </w:t>
      </w:r>
      <w:r w:rsidRPr="00C912D7">
        <w:rPr>
          <w:sz w:val="24"/>
          <w:szCs w:val="24"/>
        </w:rPr>
        <w:t xml:space="preserve">σε </w:t>
      </w:r>
      <w:r w:rsidR="00CC18D5" w:rsidRPr="00C912D7">
        <w:rPr>
          <w:sz w:val="24"/>
          <w:szCs w:val="24"/>
        </w:rPr>
        <w:t>κλίμακα</w:t>
      </w:r>
      <w:r w:rsidR="004B4FDB" w:rsidRPr="00C912D7">
        <w:rPr>
          <w:sz w:val="24"/>
          <w:szCs w:val="24"/>
        </w:rPr>
        <w:t xml:space="preserve"> πέντε</w:t>
      </w:r>
      <w:r w:rsidRPr="00C912D7">
        <w:rPr>
          <w:sz w:val="24"/>
          <w:szCs w:val="24"/>
        </w:rPr>
        <w:t xml:space="preserve"> σημείων</w:t>
      </w:r>
      <w:r w:rsidR="00212846" w:rsidRPr="00C912D7">
        <w:rPr>
          <w:sz w:val="24"/>
          <w:szCs w:val="24"/>
        </w:rPr>
        <w:t xml:space="preserve"> </w:t>
      </w:r>
      <w:r w:rsidR="00CC18D5" w:rsidRPr="00C912D7">
        <w:rPr>
          <w:sz w:val="24"/>
          <w:szCs w:val="24"/>
        </w:rPr>
        <w:t xml:space="preserve">τύπου </w:t>
      </w:r>
      <w:r w:rsidR="00CC18D5" w:rsidRPr="00C912D7">
        <w:rPr>
          <w:sz w:val="24"/>
          <w:szCs w:val="24"/>
          <w:lang w:val="en-US"/>
        </w:rPr>
        <w:t>Likert</w:t>
      </w:r>
      <w:r w:rsidR="00212846" w:rsidRPr="00C912D7">
        <w:rPr>
          <w:sz w:val="24"/>
          <w:szCs w:val="24"/>
        </w:rPr>
        <w:t xml:space="preserve"> για τον υπολογισμό της ΠΖ σε</w:t>
      </w:r>
      <w:r w:rsidR="00CC18D5" w:rsidRPr="00C912D7">
        <w:rPr>
          <w:sz w:val="24"/>
          <w:szCs w:val="24"/>
        </w:rPr>
        <w:t xml:space="preserve"> Κινέζους ασθενείς υπό </w:t>
      </w:r>
      <w:r w:rsidRPr="00C912D7">
        <w:rPr>
          <w:sz w:val="24"/>
          <w:szCs w:val="24"/>
        </w:rPr>
        <w:t>αιμοκάθαρση</w:t>
      </w:r>
      <w:r w:rsidR="00CC18D5" w:rsidRPr="00C912D7">
        <w:rPr>
          <w:sz w:val="24"/>
          <w:szCs w:val="24"/>
        </w:rPr>
        <w:t xml:space="preserve">. </w:t>
      </w:r>
    </w:p>
    <w:p w:rsidR="00F04DCA" w:rsidRPr="005A464E" w:rsidRDefault="005024B2" w:rsidP="005A464E">
      <w:pPr>
        <w:pStyle w:val="a5"/>
        <w:numPr>
          <w:ilvl w:val="0"/>
          <w:numId w:val="2"/>
        </w:numPr>
        <w:spacing w:line="360" w:lineRule="auto"/>
        <w:jc w:val="both"/>
        <w:rPr>
          <w:sz w:val="24"/>
          <w:szCs w:val="24"/>
        </w:rPr>
      </w:pPr>
      <w:r w:rsidRPr="00C912D7">
        <w:rPr>
          <w:sz w:val="24"/>
          <w:szCs w:val="24"/>
        </w:rPr>
        <w:t>Η</w:t>
      </w:r>
      <w:r w:rsidRPr="00C912D7">
        <w:rPr>
          <w:sz w:val="24"/>
          <w:szCs w:val="24"/>
          <w:lang w:val="en-US"/>
        </w:rPr>
        <w:t xml:space="preserve"> </w:t>
      </w:r>
      <w:r w:rsidRPr="00C912D7">
        <w:rPr>
          <w:sz w:val="24"/>
          <w:szCs w:val="24"/>
        </w:rPr>
        <w:t>κλίμακα</w:t>
      </w:r>
      <w:r w:rsidR="0095027F" w:rsidRPr="00C912D7">
        <w:rPr>
          <w:sz w:val="24"/>
          <w:szCs w:val="24"/>
          <w:lang w:val="en-US"/>
        </w:rPr>
        <w:t xml:space="preserve"> </w:t>
      </w:r>
      <w:r w:rsidR="00F04DCA" w:rsidRPr="00C912D7">
        <w:rPr>
          <w:i/>
          <w:sz w:val="24"/>
          <w:szCs w:val="24"/>
          <w:lang w:val="en-US"/>
        </w:rPr>
        <w:t>Evaluation</w:t>
      </w:r>
      <w:r w:rsidR="00212846" w:rsidRPr="00C912D7">
        <w:rPr>
          <w:i/>
          <w:sz w:val="24"/>
          <w:szCs w:val="24"/>
          <w:lang w:val="en-US"/>
        </w:rPr>
        <w:t xml:space="preserve"> </w:t>
      </w:r>
      <w:r w:rsidR="00F04DCA" w:rsidRPr="00C912D7">
        <w:rPr>
          <w:i/>
          <w:sz w:val="24"/>
          <w:szCs w:val="24"/>
          <w:lang w:val="en-US"/>
        </w:rPr>
        <w:t>of</w:t>
      </w:r>
      <w:r w:rsidR="00212846" w:rsidRPr="00C912D7">
        <w:rPr>
          <w:i/>
          <w:sz w:val="24"/>
          <w:szCs w:val="24"/>
          <w:lang w:val="en-US"/>
        </w:rPr>
        <w:t xml:space="preserve"> </w:t>
      </w:r>
      <w:r w:rsidR="00F04DCA" w:rsidRPr="00C912D7">
        <w:rPr>
          <w:i/>
          <w:sz w:val="24"/>
          <w:szCs w:val="24"/>
          <w:lang w:val="en-US"/>
        </w:rPr>
        <w:t>Individual</w:t>
      </w:r>
      <w:r w:rsidR="00212846" w:rsidRPr="00C912D7">
        <w:rPr>
          <w:i/>
          <w:sz w:val="24"/>
          <w:szCs w:val="24"/>
          <w:lang w:val="en-US"/>
        </w:rPr>
        <w:t xml:space="preserve"> </w:t>
      </w:r>
      <w:r w:rsidR="00F04DCA" w:rsidRPr="00C912D7">
        <w:rPr>
          <w:i/>
          <w:sz w:val="24"/>
          <w:szCs w:val="24"/>
          <w:lang w:val="en-US"/>
        </w:rPr>
        <w:t>Quality</w:t>
      </w:r>
      <w:r w:rsidR="00212846" w:rsidRPr="00C912D7">
        <w:rPr>
          <w:i/>
          <w:sz w:val="24"/>
          <w:szCs w:val="24"/>
          <w:lang w:val="en-US"/>
        </w:rPr>
        <w:t xml:space="preserve"> </w:t>
      </w:r>
      <w:r w:rsidR="00F04DCA" w:rsidRPr="00C912D7">
        <w:rPr>
          <w:i/>
          <w:sz w:val="24"/>
          <w:szCs w:val="24"/>
          <w:lang w:val="en-US"/>
        </w:rPr>
        <w:t>of</w:t>
      </w:r>
      <w:r w:rsidR="00212846" w:rsidRPr="00C912D7">
        <w:rPr>
          <w:i/>
          <w:sz w:val="24"/>
          <w:szCs w:val="24"/>
          <w:lang w:val="en-US"/>
        </w:rPr>
        <w:t xml:space="preserve"> </w:t>
      </w:r>
      <w:r w:rsidR="00F04DCA" w:rsidRPr="00C912D7">
        <w:rPr>
          <w:i/>
          <w:sz w:val="24"/>
          <w:szCs w:val="24"/>
          <w:lang w:val="en-US"/>
        </w:rPr>
        <w:t>Life (</w:t>
      </w:r>
      <w:r w:rsidR="00212846" w:rsidRPr="00C912D7">
        <w:rPr>
          <w:i/>
          <w:sz w:val="24"/>
          <w:szCs w:val="24"/>
          <w:lang w:val="en-US"/>
        </w:rPr>
        <w:t>SEI</w:t>
      </w:r>
      <w:r w:rsidR="0095027F" w:rsidRPr="00C912D7">
        <w:rPr>
          <w:i/>
          <w:sz w:val="24"/>
          <w:szCs w:val="24"/>
          <w:lang w:val="en-US"/>
        </w:rPr>
        <w:t>-</w:t>
      </w:r>
      <w:r w:rsidR="00212846" w:rsidRPr="00C912D7">
        <w:rPr>
          <w:i/>
          <w:sz w:val="24"/>
          <w:szCs w:val="24"/>
          <w:lang w:val="en-US"/>
        </w:rPr>
        <w:t>Q</w:t>
      </w:r>
      <w:r w:rsidR="00212846" w:rsidRPr="00C912D7">
        <w:rPr>
          <w:i/>
          <w:sz w:val="24"/>
          <w:szCs w:val="24"/>
        </w:rPr>
        <w:t>ο</w:t>
      </w:r>
      <w:r w:rsidR="00F04DCA" w:rsidRPr="00C912D7">
        <w:rPr>
          <w:i/>
          <w:sz w:val="24"/>
          <w:szCs w:val="24"/>
          <w:lang w:val="en-US"/>
        </w:rPr>
        <w:t>L)</w:t>
      </w:r>
      <w:r w:rsidR="00F04DCA" w:rsidRPr="00C912D7">
        <w:rPr>
          <w:sz w:val="24"/>
          <w:szCs w:val="24"/>
          <w:lang w:val="en-US"/>
        </w:rPr>
        <w:t xml:space="preserve"> (</w:t>
      </w:r>
      <w:r w:rsidR="00F04DCA" w:rsidRPr="00C912D7">
        <w:rPr>
          <w:sz w:val="24"/>
          <w:szCs w:val="24"/>
        </w:rPr>
        <w:t>Μ</w:t>
      </w:r>
      <w:r w:rsidR="00A86799" w:rsidRPr="00C912D7">
        <w:rPr>
          <w:sz w:val="24"/>
          <w:szCs w:val="24"/>
        </w:rPr>
        <w:t>ο</w:t>
      </w:r>
      <w:r w:rsidR="00A86799" w:rsidRPr="00C912D7">
        <w:rPr>
          <w:sz w:val="24"/>
          <w:szCs w:val="24"/>
          <w:lang w:val="en-US"/>
        </w:rPr>
        <w:t xml:space="preserve">ons </w:t>
      </w:r>
      <w:r w:rsidR="00566CAA" w:rsidRPr="00C912D7">
        <w:rPr>
          <w:sz w:val="24"/>
          <w:szCs w:val="24"/>
          <w:lang w:val="en-US"/>
        </w:rPr>
        <w:t>et al</w:t>
      </w:r>
      <w:r w:rsidR="00190BDD" w:rsidRPr="00C912D7">
        <w:rPr>
          <w:sz w:val="24"/>
          <w:szCs w:val="24"/>
          <w:lang w:val="en-US"/>
        </w:rPr>
        <w:t>.</w:t>
      </w:r>
      <w:r w:rsidR="00533701" w:rsidRPr="00C912D7">
        <w:rPr>
          <w:sz w:val="24"/>
          <w:szCs w:val="24"/>
          <w:lang w:val="en-US"/>
        </w:rPr>
        <w:t>,</w:t>
      </w:r>
      <w:r w:rsidR="00F04DCA" w:rsidRPr="00C912D7">
        <w:rPr>
          <w:sz w:val="24"/>
          <w:szCs w:val="24"/>
          <w:lang w:val="en-US"/>
        </w:rPr>
        <w:t xml:space="preserve"> 2004). </w:t>
      </w:r>
      <w:r w:rsidR="00F04DCA" w:rsidRPr="00C912D7">
        <w:rPr>
          <w:sz w:val="24"/>
          <w:szCs w:val="24"/>
        </w:rPr>
        <w:t>Στ</w:t>
      </w:r>
      <w:r w:rsidR="0095027F" w:rsidRPr="00C912D7">
        <w:rPr>
          <w:sz w:val="24"/>
          <w:szCs w:val="24"/>
        </w:rPr>
        <w:t>ην κλίμακα αυτή</w:t>
      </w:r>
      <w:r w:rsidR="00F04DCA" w:rsidRPr="00C912D7">
        <w:rPr>
          <w:sz w:val="24"/>
          <w:szCs w:val="24"/>
        </w:rPr>
        <w:t>, σε α</w:t>
      </w:r>
      <w:r w:rsidR="0095027F" w:rsidRPr="00C912D7">
        <w:rPr>
          <w:sz w:val="24"/>
          <w:szCs w:val="24"/>
        </w:rPr>
        <w:t xml:space="preserve">ντίθεση με τις κλίμακες SF-36, </w:t>
      </w:r>
      <w:r w:rsidR="00F04DCA" w:rsidRPr="00C912D7">
        <w:rPr>
          <w:sz w:val="24"/>
          <w:szCs w:val="24"/>
        </w:rPr>
        <w:t>WHO-QOL και</w:t>
      </w:r>
      <w:r w:rsidR="0078495A" w:rsidRPr="00C912D7">
        <w:rPr>
          <w:sz w:val="24"/>
          <w:szCs w:val="24"/>
        </w:rPr>
        <w:t xml:space="preserve"> </w:t>
      </w:r>
      <w:r w:rsidR="00F04DCA" w:rsidRPr="00C912D7">
        <w:rPr>
          <w:sz w:val="24"/>
          <w:szCs w:val="24"/>
        </w:rPr>
        <w:t>KDQOL, οι ασθενείς επιλέγουν και απαριθμούν τις διαστάσεις της ΠΖ που κρίνουν σημαντικές. Όμως</w:t>
      </w:r>
      <w:r w:rsidR="0095027F" w:rsidRPr="00C912D7">
        <w:rPr>
          <w:sz w:val="24"/>
          <w:szCs w:val="24"/>
        </w:rPr>
        <w:t>,</w:t>
      </w:r>
      <w:r w:rsidR="0078495A" w:rsidRPr="00C912D7">
        <w:rPr>
          <w:sz w:val="24"/>
          <w:szCs w:val="24"/>
        </w:rPr>
        <w:t xml:space="preserve"> </w:t>
      </w:r>
      <w:r w:rsidR="00F04DCA" w:rsidRPr="00C912D7">
        <w:rPr>
          <w:sz w:val="24"/>
          <w:szCs w:val="24"/>
        </w:rPr>
        <w:t>αυτό απαιτεί μια σύνθετη διαδικασία της σκέψης</w:t>
      </w:r>
      <w:r w:rsidR="0078495A" w:rsidRPr="00C912D7">
        <w:rPr>
          <w:sz w:val="24"/>
          <w:szCs w:val="24"/>
        </w:rPr>
        <w:t xml:space="preserve"> </w:t>
      </w:r>
      <w:r w:rsidR="00F04DCA" w:rsidRPr="00C912D7">
        <w:rPr>
          <w:sz w:val="24"/>
          <w:szCs w:val="24"/>
        </w:rPr>
        <w:t>εξαιρώντας,</w:t>
      </w:r>
      <w:r w:rsidR="0078495A" w:rsidRPr="00C912D7">
        <w:rPr>
          <w:sz w:val="24"/>
          <w:szCs w:val="24"/>
        </w:rPr>
        <w:t xml:space="preserve"> </w:t>
      </w:r>
      <w:r w:rsidR="00F04DCA" w:rsidRPr="00C912D7">
        <w:rPr>
          <w:sz w:val="24"/>
          <w:szCs w:val="24"/>
        </w:rPr>
        <w:t>έτσι, έναν σ</w:t>
      </w:r>
      <w:r w:rsidR="00212846" w:rsidRPr="00C912D7">
        <w:rPr>
          <w:sz w:val="24"/>
          <w:szCs w:val="24"/>
        </w:rPr>
        <w:t>ημαντικό αριθμό ασθενών. Η SEI</w:t>
      </w:r>
      <w:r w:rsidR="0095027F" w:rsidRPr="00C912D7">
        <w:rPr>
          <w:sz w:val="24"/>
          <w:szCs w:val="24"/>
        </w:rPr>
        <w:t>-</w:t>
      </w:r>
      <w:r w:rsidR="00212846" w:rsidRPr="00C912D7">
        <w:rPr>
          <w:sz w:val="24"/>
          <w:szCs w:val="24"/>
        </w:rPr>
        <w:t>Qο</w:t>
      </w:r>
      <w:r w:rsidR="00F04DCA" w:rsidRPr="00C912D7">
        <w:rPr>
          <w:sz w:val="24"/>
          <w:szCs w:val="24"/>
        </w:rPr>
        <w:t xml:space="preserve">L καλύπτει τρεις φάσεις: </w:t>
      </w:r>
      <w:r w:rsidR="00212846" w:rsidRPr="00C912D7">
        <w:rPr>
          <w:sz w:val="24"/>
          <w:szCs w:val="24"/>
        </w:rPr>
        <w:t>σ</w:t>
      </w:r>
      <w:r w:rsidR="00F04DCA" w:rsidRPr="00C912D7">
        <w:rPr>
          <w:sz w:val="24"/>
          <w:szCs w:val="24"/>
        </w:rPr>
        <w:t>την πρώτη, οι ασθενείς καλούνται να αναφέρουν τους πέντε πιο σημαντικούς τομείς της ζωής τους. Στην δεύτερη, καλούνται να αξιολογήσουν κάθε διάσταση χρησιμοποιώντας μια οπτική αναλογική κλίμακα από 0-100 και στην τρίτη φάση οι ονομαζό</w:t>
      </w:r>
      <w:r w:rsidR="00A86799" w:rsidRPr="00C912D7">
        <w:rPr>
          <w:sz w:val="24"/>
          <w:szCs w:val="24"/>
        </w:rPr>
        <w:t>μενες διαστάσεις σταθμίζονται</w:t>
      </w:r>
      <w:r w:rsidR="00F04DCA" w:rsidRPr="00C912D7">
        <w:rPr>
          <w:sz w:val="24"/>
          <w:szCs w:val="24"/>
        </w:rPr>
        <w:t>. Τ</w:t>
      </w:r>
      <w:r w:rsidR="00A86799" w:rsidRPr="00C912D7">
        <w:rPr>
          <w:sz w:val="24"/>
          <w:szCs w:val="24"/>
        </w:rPr>
        <w:t>ο συνολικό σκορ προκύπτει</w:t>
      </w:r>
      <w:r w:rsidR="00F04DCA" w:rsidRPr="00C912D7">
        <w:rPr>
          <w:sz w:val="24"/>
          <w:szCs w:val="24"/>
        </w:rPr>
        <w:t xml:space="preserve"> από τον πολλαπλασιασμό των βαθμολογιών (0-100) (0-100%). Η μέθοδος π</w:t>
      </w:r>
      <w:r w:rsidR="0095027F" w:rsidRPr="00C912D7">
        <w:rPr>
          <w:sz w:val="24"/>
          <w:szCs w:val="24"/>
        </w:rPr>
        <w:t>ου χρησιμοποιείται από την κλίμακα</w:t>
      </w:r>
      <w:r w:rsidR="00212846" w:rsidRPr="00C912D7">
        <w:rPr>
          <w:sz w:val="24"/>
          <w:szCs w:val="24"/>
        </w:rPr>
        <w:t xml:space="preserve"> SEI-Qο</w:t>
      </w:r>
      <w:r w:rsidR="004B4FDB" w:rsidRPr="00C912D7">
        <w:rPr>
          <w:sz w:val="24"/>
          <w:szCs w:val="24"/>
        </w:rPr>
        <w:t>L κάνει τη χορήγησή της</w:t>
      </w:r>
      <w:r w:rsidR="00F04DCA" w:rsidRPr="00C912D7">
        <w:rPr>
          <w:sz w:val="24"/>
          <w:szCs w:val="24"/>
        </w:rPr>
        <w:t xml:space="preserve"> σε μεγάλα δείγματα</w:t>
      </w:r>
      <w:r w:rsidR="0095027F" w:rsidRPr="00C912D7">
        <w:rPr>
          <w:sz w:val="24"/>
          <w:szCs w:val="24"/>
        </w:rPr>
        <w:t xml:space="preserve"> ασθενών</w:t>
      </w:r>
      <w:r w:rsidR="00F04DCA" w:rsidRPr="00C912D7">
        <w:rPr>
          <w:sz w:val="24"/>
          <w:szCs w:val="24"/>
        </w:rPr>
        <w:t xml:space="preserve"> δύσκο</w:t>
      </w:r>
      <w:r w:rsidR="004B4FDB" w:rsidRPr="00C912D7">
        <w:rPr>
          <w:sz w:val="24"/>
          <w:szCs w:val="24"/>
        </w:rPr>
        <w:t>λη, αλλά μπορεί να είναι χρήσιμη</w:t>
      </w:r>
      <w:r w:rsidR="00F04DCA" w:rsidRPr="00C912D7">
        <w:rPr>
          <w:sz w:val="24"/>
          <w:szCs w:val="24"/>
        </w:rPr>
        <w:t xml:space="preserve"> σε μεμονωμένες προσεγγίσεις</w:t>
      </w:r>
      <w:r w:rsidR="00F04DCA" w:rsidRPr="005A464E">
        <w:rPr>
          <w:sz w:val="24"/>
          <w:szCs w:val="24"/>
        </w:rPr>
        <w:t>.</w:t>
      </w:r>
    </w:p>
    <w:p w:rsidR="00F04DCA" w:rsidRPr="00044EA5" w:rsidRDefault="00345393" w:rsidP="005A464E">
      <w:pPr>
        <w:pStyle w:val="a5"/>
        <w:numPr>
          <w:ilvl w:val="0"/>
          <w:numId w:val="2"/>
        </w:numPr>
        <w:spacing w:line="360" w:lineRule="auto"/>
        <w:jc w:val="both"/>
        <w:rPr>
          <w:sz w:val="24"/>
          <w:szCs w:val="24"/>
        </w:rPr>
      </w:pPr>
      <w:r>
        <w:rPr>
          <w:rFonts w:cs="BookAntiqua"/>
          <w:sz w:val="24"/>
          <w:szCs w:val="24"/>
        </w:rPr>
        <w:t>Οι</w:t>
      </w:r>
      <w:r w:rsidR="00F04DCA" w:rsidRPr="005A464E">
        <w:rPr>
          <w:rFonts w:cs="BookAntiqua"/>
          <w:sz w:val="24"/>
          <w:szCs w:val="24"/>
        </w:rPr>
        <w:t xml:space="preserve"> κ</w:t>
      </w:r>
      <w:r>
        <w:rPr>
          <w:rFonts w:cs="BookAntiqua"/>
          <w:sz w:val="24"/>
          <w:szCs w:val="24"/>
        </w:rPr>
        <w:t>λίμακες</w:t>
      </w:r>
      <w:r w:rsidR="00F04DCA" w:rsidRPr="005A464E">
        <w:rPr>
          <w:rFonts w:cs="BookAntiqua"/>
          <w:sz w:val="24"/>
          <w:szCs w:val="24"/>
        </w:rPr>
        <w:t xml:space="preserve"> </w:t>
      </w:r>
      <w:r w:rsidR="00F04DCA" w:rsidRPr="004B4FDB">
        <w:rPr>
          <w:rFonts w:cs="BookAntiqua"/>
          <w:i/>
          <w:sz w:val="24"/>
          <w:szCs w:val="24"/>
          <w:lang w:val="en-US"/>
        </w:rPr>
        <w:t>Spiritual</w:t>
      </w:r>
      <w:r w:rsidR="00212846" w:rsidRPr="004B4FDB">
        <w:rPr>
          <w:rFonts w:cs="BookAntiqua"/>
          <w:i/>
          <w:sz w:val="24"/>
          <w:szCs w:val="24"/>
        </w:rPr>
        <w:t xml:space="preserve"> </w:t>
      </w:r>
      <w:r w:rsidR="00F04DCA" w:rsidRPr="004B4FDB">
        <w:rPr>
          <w:rFonts w:cs="BookAntiqua"/>
          <w:i/>
          <w:sz w:val="24"/>
          <w:szCs w:val="24"/>
          <w:lang w:val="en-US"/>
        </w:rPr>
        <w:t>Well</w:t>
      </w:r>
      <w:r w:rsidR="00F04DCA" w:rsidRPr="004B4FDB">
        <w:rPr>
          <w:rFonts w:cs="BookAntiqua"/>
          <w:i/>
          <w:sz w:val="24"/>
          <w:szCs w:val="24"/>
        </w:rPr>
        <w:t>-</w:t>
      </w:r>
      <w:r w:rsidR="00F04DCA" w:rsidRPr="004B4FDB">
        <w:rPr>
          <w:rFonts w:cs="BookAntiqua"/>
          <w:i/>
          <w:sz w:val="24"/>
          <w:szCs w:val="24"/>
          <w:lang w:val="en-US"/>
        </w:rPr>
        <w:t>Being</w:t>
      </w:r>
      <w:r w:rsidR="00212846" w:rsidRPr="004B4FDB">
        <w:rPr>
          <w:rFonts w:cs="BookAntiqua"/>
          <w:i/>
          <w:sz w:val="24"/>
          <w:szCs w:val="24"/>
        </w:rPr>
        <w:t xml:space="preserve"> </w:t>
      </w:r>
      <w:r w:rsidR="00F04DCA" w:rsidRPr="004B4FDB">
        <w:rPr>
          <w:rFonts w:cs="BookAntiqua"/>
          <w:i/>
          <w:sz w:val="24"/>
          <w:szCs w:val="24"/>
          <w:lang w:val="en-US"/>
        </w:rPr>
        <w:t>Questionnaire</w:t>
      </w:r>
      <w:r w:rsidR="00F04DCA" w:rsidRPr="004B4FDB">
        <w:rPr>
          <w:rFonts w:cs="BookAntiqua"/>
          <w:i/>
          <w:sz w:val="24"/>
          <w:szCs w:val="24"/>
        </w:rPr>
        <w:t xml:space="preserve"> (</w:t>
      </w:r>
      <w:r w:rsidR="00F04DCA" w:rsidRPr="004B4FDB">
        <w:rPr>
          <w:rFonts w:cs="BookAntiqua"/>
          <w:i/>
          <w:sz w:val="24"/>
          <w:szCs w:val="24"/>
          <w:lang w:val="en-US"/>
        </w:rPr>
        <w:t>SWBQ</w:t>
      </w:r>
      <w:r w:rsidRPr="004B4FDB">
        <w:rPr>
          <w:rFonts w:cs="BookAntiqua"/>
          <w:i/>
          <w:sz w:val="24"/>
          <w:szCs w:val="24"/>
        </w:rPr>
        <w:t>)</w:t>
      </w:r>
      <w:r>
        <w:rPr>
          <w:rFonts w:cs="BookAntiqua"/>
          <w:sz w:val="24"/>
          <w:szCs w:val="24"/>
        </w:rPr>
        <w:t xml:space="preserve"> και</w:t>
      </w:r>
      <w:r w:rsidR="00F04DCA" w:rsidRPr="005A464E">
        <w:rPr>
          <w:rFonts w:cs="BookAntiqua"/>
          <w:sz w:val="24"/>
          <w:szCs w:val="24"/>
        </w:rPr>
        <w:t xml:space="preserve"> </w:t>
      </w:r>
      <w:r w:rsidR="00F04DCA" w:rsidRPr="004B4FDB">
        <w:rPr>
          <w:rFonts w:cs="BookAntiqua"/>
          <w:i/>
          <w:sz w:val="24"/>
          <w:szCs w:val="24"/>
          <w:lang w:val="en-US"/>
        </w:rPr>
        <w:t>Spiritual</w:t>
      </w:r>
      <w:r w:rsidR="00212846" w:rsidRPr="004B4FDB">
        <w:rPr>
          <w:rFonts w:cs="BookAntiqua"/>
          <w:i/>
          <w:sz w:val="24"/>
          <w:szCs w:val="24"/>
        </w:rPr>
        <w:t xml:space="preserve"> </w:t>
      </w:r>
      <w:r w:rsidR="00F04DCA" w:rsidRPr="004B4FDB">
        <w:rPr>
          <w:rFonts w:cs="BookAntiqua"/>
          <w:i/>
          <w:sz w:val="24"/>
          <w:szCs w:val="24"/>
          <w:lang w:val="en-US"/>
        </w:rPr>
        <w:t>Belief</w:t>
      </w:r>
      <w:r w:rsidR="00212846" w:rsidRPr="004B4FDB">
        <w:rPr>
          <w:rFonts w:cs="BookAntiqua"/>
          <w:i/>
          <w:sz w:val="24"/>
          <w:szCs w:val="24"/>
        </w:rPr>
        <w:t xml:space="preserve"> </w:t>
      </w:r>
      <w:r w:rsidR="00F04DCA" w:rsidRPr="004B4FDB">
        <w:rPr>
          <w:rFonts w:cs="BookAntiqua"/>
          <w:i/>
          <w:sz w:val="24"/>
          <w:szCs w:val="24"/>
          <w:lang w:val="en-US"/>
        </w:rPr>
        <w:t>Scale</w:t>
      </w:r>
      <w:r w:rsidR="00F04DCA" w:rsidRPr="004B4FDB">
        <w:rPr>
          <w:rFonts w:cs="BookAntiqua"/>
          <w:i/>
          <w:sz w:val="24"/>
          <w:szCs w:val="24"/>
        </w:rPr>
        <w:t xml:space="preserve"> (</w:t>
      </w:r>
      <w:r w:rsidR="00F04DCA" w:rsidRPr="004B4FDB">
        <w:rPr>
          <w:rFonts w:cs="BookAntiqua"/>
          <w:i/>
          <w:sz w:val="24"/>
          <w:szCs w:val="24"/>
          <w:lang w:val="en-US"/>
        </w:rPr>
        <w:t>SBS</w:t>
      </w:r>
      <w:r w:rsidR="00F04DCA" w:rsidRPr="004B4FDB">
        <w:rPr>
          <w:rFonts w:cs="BookAntiqua"/>
          <w:i/>
          <w:sz w:val="24"/>
          <w:szCs w:val="24"/>
        </w:rPr>
        <w:t xml:space="preserve">) </w:t>
      </w:r>
      <w:r w:rsidR="00F04DCA" w:rsidRPr="005A464E">
        <w:rPr>
          <w:rFonts w:cs="BookAntiqua"/>
          <w:sz w:val="24"/>
          <w:szCs w:val="24"/>
        </w:rPr>
        <w:t xml:space="preserve">έχουν χρησιμοποιηθεί σε μελέτες σε ασθενείς υπό </w:t>
      </w:r>
      <w:r w:rsidR="005024B2">
        <w:rPr>
          <w:rFonts w:cs="BookAntiqua"/>
          <w:sz w:val="24"/>
          <w:szCs w:val="24"/>
        </w:rPr>
        <w:t>αιμοκάθαρση</w:t>
      </w:r>
      <w:r w:rsidR="00F04DCA" w:rsidRPr="005A464E">
        <w:rPr>
          <w:rFonts w:cs="BookAntiqua"/>
          <w:sz w:val="24"/>
          <w:szCs w:val="24"/>
        </w:rPr>
        <w:t>. Η πνευματικότητα συσχετίσθηκε με την ποιότητα ζωής, τη</w:t>
      </w:r>
      <w:r w:rsidR="00190BDD">
        <w:rPr>
          <w:rFonts w:cs="BookAntiqua"/>
          <w:sz w:val="24"/>
          <w:szCs w:val="24"/>
        </w:rPr>
        <w:t>ν</w:t>
      </w:r>
      <w:r w:rsidR="0078495A">
        <w:rPr>
          <w:rFonts w:cs="BookAntiqua"/>
          <w:sz w:val="24"/>
          <w:szCs w:val="24"/>
        </w:rPr>
        <w:t xml:space="preserve"> </w:t>
      </w:r>
      <w:r w:rsidR="00190BDD">
        <w:rPr>
          <w:rFonts w:cs="BookAntiqua"/>
          <w:sz w:val="24"/>
          <w:szCs w:val="24"/>
        </w:rPr>
        <w:t>ικανοποίηση από τη ζωή</w:t>
      </w:r>
      <w:r w:rsidR="008676C7" w:rsidRPr="005A464E">
        <w:rPr>
          <w:rFonts w:cs="BookAntiqua"/>
          <w:sz w:val="24"/>
          <w:szCs w:val="24"/>
        </w:rPr>
        <w:t>.</w:t>
      </w:r>
      <w:r w:rsidR="00F04DCA" w:rsidRPr="005A464E">
        <w:rPr>
          <w:rFonts w:cs="BookAntiqua"/>
          <w:sz w:val="24"/>
          <w:szCs w:val="24"/>
        </w:rPr>
        <w:t xml:space="preserve"> Η </w:t>
      </w:r>
      <w:r w:rsidR="00F04DCA" w:rsidRPr="005A464E">
        <w:rPr>
          <w:rFonts w:cs="BookAntiqua"/>
          <w:sz w:val="24"/>
          <w:szCs w:val="24"/>
          <w:lang w:val="en-US"/>
        </w:rPr>
        <w:t>SWBQ</w:t>
      </w:r>
      <w:r w:rsidR="004B4FDB">
        <w:rPr>
          <w:rFonts w:cs="BookAntiqua"/>
          <w:sz w:val="24"/>
          <w:szCs w:val="24"/>
        </w:rPr>
        <w:t xml:space="preserve"> καλύπτει τέσσερις</w:t>
      </w:r>
      <w:r w:rsidR="00F04DCA" w:rsidRPr="005A464E">
        <w:rPr>
          <w:rFonts w:cs="BookAntiqua"/>
          <w:sz w:val="24"/>
          <w:szCs w:val="24"/>
        </w:rPr>
        <w:t xml:space="preserve"> διαστάσεις: προσωπική, κοινωνική, περιβαλλοντική και πνευματική ευεξία </w:t>
      </w:r>
      <w:r w:rsidR="00212846" w:rsidRPr="005A464E">
        <w:rPr>
          <w:rFonts w:cs="BookAntiqua"/>
          <w:sz w:val="24"/>
          <w:szCs w:val="24"/>
        </w:rPr>
        <w:t>(Gomez &amp; Fisher</w:t>
      </w:r>
      <w:r w:rsidR="00AB454B">
        <w:rPr>
          <w:rFonts w:cs="BookAntiqua"/>
          <w:sz w:val="24"/>
          <w:szCs w:val="24"/>
        </w:rPr>
        <w:t>,</w:t>
      </w:r>
      <w:r w:rsidR="008676C7" w:rsidRPr="005A464E">
        <w:rPr>
          <w:rFonts w:cs="BookAntiqua"/>
          <w:sz w:val="24"/>
          <w:szCs w:val="24"/>
        </w:rPr>
        <w:t xml:space="preserve"> 2003)</w:t>
      </w:r>
      <w:r w:rsidR="0078495A">
        <w:rPr>
          <w:rFonts w:cs="BookAntiqua"/>
          <w:sz w:val="24"/>
          <w:szCs w:val="24"/>
        </w:rPr>
        <w:t xml:space="preserve"> </w:t>
      </w:r>
      <w:r w:rsidR="00F04DCA" w:rsidRPr="005A464E">
        <w:rPr>
          <w:rFonts w:cs="BookAntiqua"/>
          <w:sz w:val="24"/>
          <w:szCs w:val="24"/>
        </w:rPr>
        <w:t xml:space="preserve">ενώ η </w:t>
      </w:r>
      <w:r w:rsidR="00F04DCA" w:rsidRPr="005A464E">
        <w:rPr>
          <w:rFonts w:cs="BookAntiqua"/>
          <w:sz w:val="24"/>
          <w:szCs w:val="24"/>
          <w:lang w:val="en-US"/>
        </w:rPr>
        <w:t>SBS</w:t>
      </w:r>
      <w:r w:rsidR="00F04DCA" w:rsidRPr="005A464E">
        <w:rPr>
          <w:rFonts w:cs="BookAntiqua"/>
          <w:sz w:val="24"/>
          <w:szCs w:val="24"/>
        </w:rPr>
        <w:t xml:space="preserve"> μελετά α) την αντιληφθείσα σημασία της πίστης και την βοήθεια αυτής στην αντιμετώπιση της </w:t>
      </w:r>
      <w:r w:rsidR="004B4FDB">
        <w:rPr>
          <w:rFonts w:cs="BookAntiqua"/>
          <w:sz w:val="24"/>
          <w:szCs w:val="24"/>
        </w:rPr>
        <w:t>ΤΣ</w:t>
      </w:r>
      <w:r w:rsidR="00F04DCA" w:rsidRPr="005A464E">
        <w:rPr>
          <w:rFonts w:cs="BookAntiqua"/>
          <w:sz w:val="24"/>
          <w:szCs w:val="24"/>
        </w:rPr>
        <w:t xml:space="preserve">ΧΝΝ και β) τις αντιλήψεις για την σημασία των θρησκευτικών υπηρεσιών και την βοήθεια </w:t>
      </w:r>
      <w:r w:rsidR="008676C7" w:rsidRPr="005A464E">
        <w:rPr>
          <w:rFonts w:cs="BookAntiqua"/>
          <w:sz w:val="24"/>
          <w:szCs w:val="24"/>
        </w:rPr>
        <w:t xml:space="preserve">αυτών στην αντιμετώπιση της </w:t>
      </w:r>
      <w:r w:rsidR="004B4FDB">
        <w:rPr>
          <w:rFonts w:cs="BookAntiqua"/>
          <w:sz w:val="24"/>
          <w:szCs w:val="24"/>
        </w:rPr>
        <w:t>ΤΣ</w:t>
      </w:r>
      <w:r w:rsidR="008676C7" w:rsidRPr="005A464E">
        <w:rPr>
          <w:rFonts w:cs="BookAntiqua"/>
          <w:sz w:val="24"/>
          <w:szCs w:val="24"/>
        </w:rPr>
        <w:t>ΧΝΝ</w:t>
      </w:r>
      <w:r w:rsidR="00212846" w:rsidRPr="005A464E">
        <w:rPr>
          <w:rFonts w:cs="BookAntiqua"/>
          <w:sz w:val="24"/>
          <w:szCs w:val="24"/>
        </w:rPr>
        <w:t xml:space="preserve"> </w:t>
      </w:r>
      <w:r w:rsidR="008676C7" w:rsidRPr="005A464E">
        <w:rPr>
          <w:rFonts w:cs="BookAntiqua"/>
          <w:sz w:val="24"/>
          <w:szCs w:val="24"/>
        </w:rPr>
        <w:t>(</w:t>
      </w:r>
      <w:r w:rsidR="00F04DCA" w:rsidRPr="005A464E">
        <w:rPr>
          <w:rFonts w:cs="BookAntiqua"/>
          <w:sz w:val="24"/>
          <w:szCs w:val="24"/>
          <w:lang w:val="en-US"/>
        </w:rPr>
        <w:t>Patel</w:t>
      </w:r>
      <w:r w:rsidR="00B97582" w:rsidRPr="005A464E">
        <w:rPr>
          <w:rFonts w:cs="BookAntiqua"/>
          <w:sz w:val="24"/>
          <w:szCs w:val="24"/>
        </w:rPr>
        <w:t xml:space="preserve"> </w:t>
      </w:r>
      <w:r w:rsidR="00566CAA">
        <w:rPr>
          <w:rFonts w:cs="BookAntiqua"/>
          <w:sz w:val="24"/>
          <w:szCs w:val="24"/>
        </w:rPr>
        <w:t>et al</w:t>
      </w:r>
      <w:r w:rsidR="00573981">
        <w:rPr>
          <w:rFonts w:cs="BookAntiqua"/>
          <w:sz w:val="24"/>
          <w:szCs w:val="24"/>
        </w:rPr>
        <w:t>.</w:t>
      </w:r>
      <w:r w:rsidR="00A600AE" w:rsidRPr="00A600AE">
        <w:rPr>
          <w:rFonts w:cs="BookAntiqua"/>
          <w:sz w:val="24"/>
          <w:szCs w:val="24"/>
        </w:rPr>
        <w:t>,</w:t>
      </w:r>
      <w:r w:rsidR="008676C7" w:rsidRPr="005A464E">
        <w:rPr>
          <w:rFonts w:cs="BookAntiqua"/>
          <w:sz w:val="24"/>
          <w:szCs w:val="24"/>
        </w:rPr>
        <w:t xml:space="preserve"> 2002).</w:t>
      </w:r>
    </w:p>
    <w:p w:rsidR="00044EA5" w:rsidRDefault="00044EA5" w:rsidP="00044EA5">
      <w:pPr>
        <w:spacing w:line="360" w:lineRule="auto"/>
        <w:jc w:val="both"/>
        <w:rPr>
          <w:sz w:val="24"/>
          <w:szCs w:val="24"/>
        </w:rPr>
      </w:pPr>
    </w:p>
    <w:p w:rsidR="00044EA5" w:rsidRDefault="00044EA5" w:rsidP="00044EA5">
      <w:pPr>
        <w:spacing w:line="360" w:lineRule="auto"/>
        <w:jc w:val="both"/>
        <w:rPr>
          <w:sz w:val="24"/>
          <w:szCs w:val="24"/>
        </w:rPr>
      </w:pPr>
    </w:p>
    <w:p w:rsidR="00044EA5" w:rsidRDefault="00044EA5" w:rsidP="00044EA5">
      <w:pPr>
        <w:spacing w:line="360" w:lineRule="auto"/>
        <w:jc w:val="both"/>
        <w:rPr>
          <w:sz w:val="24"/>
          <w:szCs w:val="24"/>
        </w:rPr>
      </w:pPr>
    </w:p>
    <w:p w:rsidR="00044EA5" w:rsidRDefault="00044EA5" w:rsidP="00044EA5">
      <w:pPr>
        <w:spacing w:line="360" w:lineRule="auto"/>
        <w:jc w:val="both"/>
        <w:rPr>
          <w:sz w:val="24"/>
          <w:szCs w:val="24"/>
        </w:rPr>
      </w:pPr>
    </w:p>
    <w:p w:rsidR="00044EA5" w:rsidRDefault="00044EA5" w:rsidP="00044EA5">
      <w:pPr>
        <w:spacing w:line="360" w:lineRule="auto"/>
        <w:jc w:val="both"/>
        <w:rPr>
          <w:sz w:val="24"/>
          <w:szCs w:val="24"/>
        </w:rPr>
      </w:pPr>
    </w:p>
    <w:p w:rsidR="00044EA5" w:rsidRDefault="00044EA5" w:rsidP="00044EA5">
      <w:pPr>
        <w:spacing w:line="360" w:lineRule="auto"/>
        <w:jc w:val="both"/>
        <w:rPr>
          <w:sz w:val="24"/>
          <w:szCs w:val="24"/>
        </w:rPr>
      </w:pPr>
    </w:p>
    <w:p w:rsidR="00044EA5" w:rsidRDefault="00044EA5" w:rsidP="00044EA5">
      <w:pPr>
        <w:spacing w:line="360" w:lineRule="auto"/>
        <w:jc w:val="both"/>
        <w:rPr>
          <w:sz w:val="24"/>
          <w:szCs w:val="24"/>
        </w:rPr>
      </w:pPr>
    </w:p>
    <w:p w:rsidR="00044EA5" w:rsidRDefault="00044EA5" w:rsidP="00044EA5">
      <w:pPr>
        <w:spacing w:line="360" w:lineRule="auto"/>
        <w:jc w:val="both"/>
        <w:rPr>
          <w:sz w:val="24"/>
          <w:szCs w:val="24"/>
        </w:rPr>
      </w:pPr>
    </w:p>
    <w:p w:rsidR="00044EA5" w:rsidRDefault="00044EA5" w:rsidP="00044EA5">
      <w:pPr>
        <w:spacing w:line="360" w:lineRule="auto"/>
        <w:jc w:val="both"/>
        <w:rPr>
          <w:sz w:val="24"/>
          <w:szCs w:val="24"/>
        </w:rPr>
      </w:pPr>
    </w:p>
    <w:p w:rsidR="00044EA5" w:rsidRDefault="00044EA5" w:rsidP="00044EA5">
      <w:pPr>
        <w:spacing w:line="360" w:lineRule="auto"/>
        <w:jc w:val="both"/>
        <w:rPr>
          <w:sz w:val="24"/>
          <w:szCs w:val="24"/>
        </w:rPr>
      </w:pPr>
    </w:p>
    <w:p w:rsidR="00044EA5" w:rsidRDefault="00044EA5" w:rsidP="00044EA5">
      <w:pPr>
        <w:spacing w:line="360" w:lineRule="auto"/>
        <w:jc w:val="both"/>
        <w:rPr>
          <w:sz w:val="24"/>
          <w:szCs w:val="24"/>
        </w:rPr>
      </w:pPr>
    </w:p>
    <w:p w:rsidR="00044EA5" w:rsidRDefault="00044EA5" w:rsidP="00044EA5">
      <w:pPr>
        <w:spacing w:line="360" w:lineRule="auto"/>
        <w:jc w:val="both"/>
        <w:rPr>
          <w:sz w:val="24"/>
          <w:szCs w:val="24"/>
        </w:rPr>
      </w:pPr>
    </w:p>
    <w:p w:rsidR="00044EA5" w:rsidRDefault="00044EA5" w:rsidP="00044EA5">
      <w:pPr>
        <w:spacing w:line="360" w:lineRule="auto"/>
        <w:jc w:val="both"/>
        <w:rPr>
          <w:sz w:val="24"/>
          <w:szCs w:val="24"/>
        </w:rPr>
      </w:pPr>
    </w:p>
    <w:p w:rsidR="00044EA5" w:rsidRDefault="00044EA5" w:rsidP="00044EA5">
      <w:pPr>
        <w:spacing w:line="360" w:lineRule="auto"/>
        <w:jc w:val="both"/>
        <w:rPr>
          <w:sz w:val="24"/>
          <w:szCs w:val="24"/>
        </w:rPr>
      </w:pPr>
    </w:p>
    <w:p w:rsidR="00044EA5" w:rsidRDefault="00044EA5" w:rsidP="00044EA5">
      <w:pPr>
        <w:spacing w:line="360" w:lineRule="auto"/>
        <w:jc w:val="both"/>
        <w:rPr>
          <w:sz w:val="24"/>
          <w:szCs w:val="24"/>
        </w:rPr>
      </w:pPr>
    </w:p>
    <w:p w:rsidR="00044EA5" w:rsidRDefault="00044EA5" w:rsidP="00044EA5">
      <w:pPr>
        <w:spacing w:line="360" w:lineRule="auto"/>
        <w:jc w:val="both"/>
        <w:rPr>
          <w:sz w:val="24"/>
          <w:szCs w:val="24"/>
        </w:rPr>
      </w:pPr>
    </w:p>
    <w:p w:rsidR="00044EA5" w:rsidRDefault="00044EA5" w:rsidP="00044EA5">
      <w:pPr>
        <w:spacing w:line="360" w:lineRule="auto"/>
        <w:jc w:val="both"/>
        <w:rPr>
          <w:sz w:val="24"/>
          <w:szCs w:val="24"/>
        </w:rPr>
      </w:pPr>
    </w:p>
    <w:p w:rsidR="00044EA5" w:rsidRDefault="00044EA5" w:rsidP="00044EA5">
      <w:pPr>
        <w:spacing w:line="360" w:lineRule="auto"/>
        <w:jc w:val="both"/>
        <w:rPr>
          <w:sz w:val="24"/>
          <w:szCs w:val="24"/>
        </w:rPr>
      </w:pPr>
    </w:p>
    <w:p w:rsidR="00044EA5" w:rsidRPr="00044EA5" w:rsidRDefault="00044EA5" w:rsidP="00044EA5">
      <w:pPr>
        <w:spacing w:line="360" w:lineRule="auto"/>
        <w:jc w:val="both"/>
        <w:rPr>
          <w:sz w:val="24"/>
          <w:szCs w:val="24"/>
        </w:rPr>
      </w:pPr>
    </w:p>
    <w:p w:rsidR="00CD4698" w:rsidRPr="001231C4" w:rsidRDefault="007A635C" w:rsidP="007A635C">
      <w:pPr>
        <w:pStyle w:val="1a"/>
        <w:spacing w:after="240"/>
        <w:rPr>
          <w:rFonts w:asciiTheme="minorHAnsi" w:hAnsiTheme="minorHAnsi"/>
        </w:rPr>
      </w:pPr>
      <w:bookmarkStart w:id="64" w:name="_Toc495951459"/>
      <w:r>
        <w:rPr>
          <w:rFonts w:asciiTheme="minorHAnsi" w:hAnsiTheme="minorHAnsi"/>
        </w:rPr>
        <w:t>5</w:t>
      </w:r>
      <w:r>
        <w:rPr>
          <w:rFonts w:asciiTheme="minorHAnsi" w:hAnsiTheme="minorHAnsi"/>
          <w:vertAlign w:val="superscript"/>
        </w:rPr>
        <w:t xml:space="preserve">ο </w:t>
      </w:r>
      <w:r>
        <w:rPr>
          <w:rFonts w:asciiTheme="minorHAnsi" w:hAnsiTheme="minorHAnsi"/>
        </w:rPr>
        <w:t xml:space="preserve">ΚΕΦΑΛΑΙΟ: </w:t>
      </w:r>
      <w:r w:rsidR="00D66B68" w:rsidRPr="001231C4">
        <w:rPr>
          <w:rFonts w:asciiTheme="minorHAnsi" w:hAnsiTheme="minorHAnsi"/>
        </w:rPr>
        <w:t xml:space="preserve">ΑΝΑΣΚΟΠΗΣΗ </w:t>
      </w:r>
      <w:r w:rsidR="00581A57">
        <w:rPr>
          <w:rFonts w:asciiTheme="minorHAnsi" w:hAnsiTheme="minorHAnsi"/>
        </w:rPr>
        <w:t>ΕΡΕΥΝΩΝ</w:t>
      </w:r>
      <w:bookmarkEnd w:id="64"/>
    </w:p>
    <w:p w:rsidR="00CD4698" w:rsidRPr="00C912D7" w:rsidRDefault="00CD4698" w:rsidP="005A464E">
      <w:pPr>
        <w:spacing w:line="360" w:lineRule="auto"/>
        <w:jc w:val="both"/>
        <w:rPr>
          <w:sz w:val="24"/>
          <w:szCs w:val="24"/>
          <w:lang w:eastAsia="el-GR"/>
        </w:rPr>
      </w:pPr>
      <w:r w:rsidRPr="005A464E">
        <w:rPr>
          <w:lang w:eastAsia="el-GR"/>
        </w:rPr>
        <w:t xml:space="preserve">Η </w:t>
      </w:r>
      <w:r w:rsidRPr="005A464E">
        <w:rPr>
          <w:sz w:val="24"/>
          <w:szCs w:val="24"/>
          <w:lang w:eastAsia="el-GR"/>
        </w:rPr>
        <w:t xml:space="preserve">παροχή πληροφοριών και συμβουλών αποτελεί σημαντική παρέμβαση στην αύξηση της συμμόρφωσης </w:t>
      </w:r>
      <w:r w:rsidR="00B0560D">
        <w:rPr>
          <w:sz w:val="24"/>
          <w:szCs w:val="24"/>
          <w:lang w:eastAsia="el-GR"/>
        </w:rPr>
        <w:t>του ασθενούς</w:t>
      </w:r>
      <w:r w:rsidR="00345393" w:rsidRPr="00A4175B">
        <w:rPr>
          <w:sz w:val="24"/>
          <w:szCs w:val="24"/>
          <w:lang w:eastAsia="el-GR"/>
        </w:rPr>
        <w:t>. Ο ασθενή</w:t>
      </w:r>
      <w:r w:rsidRPr="00A4175B">
        <w:rPr>
          <w:sz w:val="24"/>
          <w:szCs w:val="24"/>
          <w:lang w:eastAsia="el-GR"/>
        </w:rPr>
        <w:t>ς</w:t>
      </w:r>
      <w:r w:rsidR="00974D94" w:rsidRPr="00A4175B">
        <w:rPr>
          <w:sz w:val="24"/>
          <w:szCs w:val="24"/>
          <w:lang w:eastAsia="el-GR"/>
        </w:rPr>
        <w:t xml:space="preserve"> δεν</w:t>
      </w:r>
      <w:r w:rsidR="00974D94">
        <w:rPr>
          <w:sz w:val="24"/>
          <w:szCs w:val="24"/>
          <w:lang w:eastAsia="el-GR"/>
        </w:rPr>
        <w:t xml:space="preserve"> αναμένεται να συμμορφωθεί</w:t>
      </w:r>
      <w:r w:rsidRPr="005A464E">
        <w:rPr>
          <w:sz w:val="24"/>
          <w:szCs w:val="24"/>
          <w:lang w:eastAsia="el-GR"/>
        </w:rPr>
        <w:t xml:space="preserve"> σε ένα θεραπευτικό πλάνο</w:t>
      </w:r>
      <w:r w:rsidR="008354B9">
        <w:rPr>
          <w:sz w:val="24"/>
          <w:szCs w:val="24"/>
          <w:lang w:eastAsia="el-GR"/>
        </w:rPr>
        <w:t>,</w:t>
      </w:r>
      <w:r w:rsidR="00345393">
        <w:rPr>
          <w:sz w:val="24"/>
          <w:szCs w:val="24"/>
          <w:lang w:eastAsia="el-GR"/>
        </w:rPr>
        <w:t xml:space="preserve"> το οποίο </w:t>
      </w:r>
      <w:r w:rsidR="00345393" w:rsidRPr="00C912D7">
        <w:rPr>
          <w:sz w:val="24"/>
          <w:szCs w:val="24"/>
          <w:lang w:eastAsia="el-GR"/>
        </w:rPr>
        <w:t>δεν κατανοεί</w:t>
      </w:r>
      <w:r w:rsidRPr="00C912D7">
        <w:rPr>
          <w:sz w:val="24"/>
          <w:szCs w:val="24"/>
          <w:lang w:eastAsia="el-GR"/>
        </w:rPr>
        <w:t xml:space="preserve">. Είναι λογικό να σκεφτεί κανείς ότι όσο πιο καλά πληροφορημένος είναι ένας ασθενής για την ασθένειά του τόσο πιο συμμορφωμένος θα είναι. </w:t>
      </w:r>
      <w:r w:rsidR="005024B2" w:rsidRPr="00C912D7">
        <w:rPr>
          <w:sz w:val="24"/>
          <w:szCs w:val="24"/>
          <w:lang w:eastAsia="el-GR"/>
        </w:rPr>
        <w:t>Ωστόσο</w:t>
      </w:r>
      <w:r w:rsidR="00212846" w:rsidRPr="00C912D7">
        <w:rPr>
          <w:sz w:val="24"/>
          <w:szCs w:val="24"/>
          <w:lang w:eastAsia="el-GR"/>
        </w:rPr>
        <w:t>,</w:t>
      </w:r>
      <w:r w:rsidR="0078495A" w:rsidRPr="00C912D7">
        <w:rPr>
          <w:sz w:val="24"/>
          <w:szCs w:val="24"/>
          <w:lang w:eastAsia="el-GR"/>
        </w:rPr>
        <w:t xml:space="preserve"> </w:t>
      </w:r>
      <w:r w:rsidRPr="00C912D7">
        <w:rPr>
          <w:sz w:val="24"/>
          <w:szCs w:val="24"/>
          <w:lang w:eastAsia="el-GR"/>
        </w:rPr>
        <w:t>μελέτες</w:t>
      </w:r>
      <w:r w:rsidR="0078495A" w:rsidRPr="00C912D7">
        <w:rPr>
          <w:sz w:val="24"/>
          <w:szCs w:val="24"/>
          <w:lang w:eastAsia="el-GR"/>
        </w:rPr>
        <w:t xml:space="preserve"> </w:t>
      </w:r>
      <w:r w:rsidRPr="00C912D7">
        <w:rPr>
          <w:sz w:val="24"/>
          <w:szCs w:val="24"/>
          <w:lang w:eastAsia="el-GR"/>
        </w:rPr>
        <w:t>έχουν δείξει ότι αυτό δεν συμβαίνει πάντα. Αν και η γνώση σχετικά με τις απαιτήσεις της</w:t>
      </w:r>
      <w:r w:rsidR="0078495A" w:rsidRPr="00C912D7">
        <w:rPr>
          <w:sz w:val="24"/>
          <w:szCs w:val="24"/>
          <w:lang w:eastAsia="el-GR"/>
        </w:rPr>
        <w:t xml:space="preserve"> </w:t>
      </w:r>
      <w:r w:rsidRPr="00C912D7">
        <w:rPr>
          <w:sz w:val="24"/>
          <w:szCs w:val="24"/>
          <w:lang w:eastAsia="el-GR"/>
        </w:rPr>
        <w:t>θεραπευτικής αγωγής σχετικά με το πότε και πώς, είναι στενά συνυφασμένη με τη συμμόρφωση, η απόκτη</w:t>
      </w:r>
      <w:r w:rsidR="00A24DFE" w:rsidRPr="00C912D7">
        <w:rPr>
          <w:sz w:val="24"/>
          <w:szCs w:val="24"/>
          <w:lang w:eastAsia="el-GR"/>
        </w:rPr>
        <w:t>ση της γνώσης δεν σημαίνει απαρ</w:t>
      </w:r>
      <w:r w:rsidRPr="00C912D7">
        <w:rPr>
          <w:sz w:val="24"/>
          <w:szCs w:val="24"/>
          <w:lang w:eastAsia="el-GR"/>
        </w:rPr>
        <w:t>αί</w:t>
      </w:r>
      <w:r w:rsidR="00A24DFE" w:rsidRPr="00C912D7">
        <w:rPr>
          <w:sz w:val="24"/>
          <w:szCs w:val="24"/>
          <w:lang w:eastAsia="el-GR"/>
        </w:rPr>
        <w:t>τητα την αύξηση της συμμόρφωσης (</w:t>
      </w:r>
      <w:r w:rsidR="00A24DFE" w:rsidRPr="00C912D7">
        <w:rPr>
          <w:sz w:val="24"/>
          <w:szCs w:val="24"/>
          <w:lang w:val="en-US" w:eastAsia="el-GR"/>
        </w:rPr>
        <w:t>Falvo</w:t>
      </w:r>
      <w:r w:rsidR="004B226D" w:rsidRPr="00C912D7">
        <w:rPr>
          <w:sz w:val="24"/>
          <w:szCs w:val="24"/>
          <w:lang w:eastAsia="el-GR"/>
        </w:rPr>
        <w:t>,</w:t>
      </w:r>
      <w:r w:rsidR="00A24DFE" w:rsidRPr="00C912D7">
        <w:rPr>
          <w:sz w:val="24"/>
          <w:szCs w:val="24"/>
          <w:lang w:eastAsia="el-GR"/>
        </w:rPr>
        <w:t xml:space="preserve"> 2010).</w:t>
      </w:r>
    </w:p>
    <w:p w:rsidR="004A295D" w:rsidRPr="005A464E" w:rsidRDefault="00212846" w:rsidP="005A464E">
      <w:pPr>
        <w:spacing w:line="360" w:lineRule="auto"/>
        <w:jc w:val="both"/>
        <w:rPr>
          <w:iCs/>
          <w:sz w:val="24"/>
          <w:szCs w:val="24"/>
        </w:rPr>
      </w:pPr>
      <w:r w:rsidRPr="00C912D7">
        <w:rPr>
          <w:sz w:val="24"/>
          <w:szCs w:val="24"/>
        </w:rPr>
        <w:t>Μελέτες έχουν δείξει ότι</w:t>
      </w:r>
      <w:r w:rsidR="004A295D" w:rsidRPr="00C912D7">
        <w:rPr>
          <w:sz w:val="24"/>
          <w:szCs w:val="24"/>
        </w:rPr>
        <w:t xml:space="preserve"> πολλοί ασθενείς με νεφρική νόσο δεν διαθέτουν την επαρκή γνώση για να εφαρμόσουν τις </w:t>
      </w:r>
      <w:r w:rsidR="002521F5" w:rsidRPr="00C912D7">
        <w:rPr>
          <w:sz w:val="24"/>
          <w:szCs w:val="24"/>
        </w:rPr>
        <w:t>διαιτητικές συστάσεις (</w:t>
      </w:r>
      <w:r w:rsidR="00C912D7" w:rsidRPr="00C912D7">
        <w:rPr>
          <w:sz w:val="24"/>
          <w:szCs w:val="24"/>
        </w:rPr>
        <w:t>Κ</w:t>
      </w:r>
      <w:r w:rsidR="002521F5" w:rsidRPr="00C912D7">
        <w:rPr>
          <w:sz w:val="24"/>
          <w:szCs w:val="24"/>
          <w:lang w:val="en-US"/>
        </w:rPr>
        <w:t>ugler</w:t>
      </w:r>
      <w:r w:rsidR="002521F5" w:rsidRPr="00C912D7">
        <w:rPr>
          <w:sz w:val="24"/>
          <w:szCs w:val="24"/>
        </w:rPr>
        <w:t xml:space="preserve"> </w:t>
      </w:r>
      <w:r w:rsidR="00566CAA" w:rsidRPr="00C912D7">
        <w:rPr>
          <w:sz w:val="24"/>
          <w:szCs w:val="24"/>
        </w:rPr>
        <w:t>et al</w:t>
      </w:r>
      <w:r w:rsidR="006460B8" w:rsidRPr="00C912D7">
        <w:rPr>
          <w:sz w:val="24"/>
          <w:szCs w:val="24"/>
        </w:rPr>
        <w:t>.</w:t>
      </w:r>
      <w:r w:rsidR="00345393" w:rsidRPr="00C912D7">
        <w:rPr>
          <w:sz w:val="24"/>
          <w:szCs w:val="24"/>
        </w:rPr>
        <w:t>, 2005). Οι</w:t>
      </w:r>
      <w:r w:rsidR="002521F5" w:rsidRPr="00C912D7">
        <w:rPr>
          <w:sz w:val="24"/>
          <w:szCs w:val="24"/>
        </w:rPr>
        <w:t xml:space="preserve"> ασθενείς με χρόνια νοσήματα δεν καταναλώνουν ούτε τη μισή δόση των συνταγογραφούμενων φαρμάκων τους (</w:t>
      </w:r>
      <w:r w:rsidR="002521F5" w:rsidRPr="00C912D7">
        <w:rPr>
          <w:sz w:val="24"/>
          <w:szCs w:val="24"/>
          <w:lang w:val="en-US"/>
        </w:rPr>
        <w:t>Haynes</w:t>
      </w:r>
      <w:r w:rsidR="00E8447F" w:rsidRPr="00C912D7">
        <w:rPr>
          <w:sz w:val="24"/>
          <w:szCs w:val="24"/>
        </w:rPr>
        <w:t xml:space="preserve">, </w:t>
      </w:r>
      <w:r w:rsidR="00E8447F" w:rsidRPr="00C912D7">
        <w:rPr>
          <w:rFonts w:eastAsia="Times New Roman" w:cstheme="minorHAnsi"/>
          <w:iCs/>
          <w:sz w:val="24"/>
          <w:szCs w:val="24"/>
          <w:lang w:val="en-US" w:eastAsia="el-GR"/>
        </w:rPr>
        <w:t>McKibbon</w:t>
      </w:r>
      <w:r w:rsidR="000E03F0" w:rsidRPr="00C912D7">
        <w:rPr>
          <w:rFonts w:eastAsia="Times New Roman" w:cstheme="minorHAnsi"/>
          <w:iCs/>
          <w:sz w:val="24"/>
          <w:szCs w:val="24"/>
          <w:lang w:eastAsia="el-GR"/>
        </w:rPr>
        <w:t>,</w:t>
      </w:r>
      <w:r w:rsidR="00E8447F" w:rsidRPr="00C912D7">
        <w:rPr>
          <w:rFonts w:eastAsia="Times New Roman" w:cstheme="minorHAnsi"/>
          <w:iCs/>
          <w:sz w:val="24"/>
          <w:szCs w:val="24"/>
          <w:lang w:eastAsia="el-GR"/>
        </w:rPr>
        <w:t xml:space="preserve"> &amp; </w:t>
      </w:r>
      <w:r w:rsidR="00E8447F" w:rsidRPr="00C912D7">
        <w:rPr>
          <w:rFonts w:eastAsia="Times New Roman" w:cstheme="minorHAnsi"/>
          <w:iCs/>
          <w:sz w:val="24"/>
          <w:szCs w:val="24"/>
          <w:lang w:val="en-US" w:eastAsia="el-GR"/>
        </w:rPr>
        <w:t>Kanani</w:t>
      </w:r>
      <w:r w:rsidR="000E03F0" w:rsidRPr="00C912D7">
        <w:rPr>
          <w:rFonts w:eastAsia="Times New Roman" w:cstheme="minorHAnsi"/>
          <w:iCs/>
          <w:sz w:val="24"/>
          <w:szCs w:val="24"/>
          <w:lang w:eastAsia="el-GR"/>
        </w:rPr>
        <w:t>,</w:t>
      </w:r>
      <w:r w:rsidR="00E8447F" w:rsidRPr="00C912D7">
        <w:rPr>
          <w:sz w:val="24"/>
          <w:szCs w:val="24"/>
        </w:rPr>
        <w:t xml:space="preserve"> </w:t>
      </w:r>
      <w:r w:rsidR="002521F5" w:rsidRPr="00C912D7">
        <w:rPr>
          <w:sz w:val="24"/>
          <w:szCs w:val="24"/>
        </w:rPr>
        <w:t>1996). Όπως έχει αναφερθεί, πολλοί ασθενείς περιορίζουν τη δοσολογία των φαρμάκων τους και</w:t>
      </w:r>
      <w:r w:rsidR="0078495A" w:rsidRPr="00C912D7">
        <w:rPr>
          <w:sz w:val="24"/>
          <w:szCs w:val="24"/>
        </w:rPr>
        <w:t xml:space="preserve"> </w:t>
      </w:r>
      <w:r w:rsidR="002521F5" w:rsidRPr="00C912D7">
        <w:rPr>
          <w:sz w:val="24"/>
          <w:szCs w:val="24"/>
        </w:rPr>
        <w:t>διακόπτουν την αγ</w:t>
      </w:r>
      <w:r w:rsidR="00315721" w:rsidRPr="00C912D7">
        <w:rPr>
          <w:sz w:val="24"/>
          <w:szCs w:val="24"/>
        </w:rPr>
        <w:t xml:space="preserve">ωγή τους </w:t>
      </w:r>
      <w:r w:rsidR="005024B2" w:rsidRPr="00C912D7">
        <w:rPr>
          <w:sz w:val="24"/>
          <w:szCs w:val="24"/>
        </w:rPr>
        <w:t>χωρίς τη συμβουλή</w:t>
      </w:r>
      <w:r w:rsidR="00315721" w:rsidRPr="00C912D7">
        <w:rPr>
          <w:sz w:val="24"/>
          <w:szCs w:val="24"/>
        </w:rPr>
        <w:t xml:space="preserve"> των </w:t>
      </w:r>
      <w:r w:rsidR="002521F5" w:rsidRPr="00C912D7">
        <w:rPr>
          <w:sz w:val="24"/>
          <w:szCs w:val="24"/>
        </w:rPr>
        <w:t>ιατρών ή αλλάζουν τις δόσεις των φαρμάκων με δική τους πρωτοβουλία (</w:t>
      </w:r>
      <w:r w:rsidR="002521F5" w:rsidRPr="00C912D7">
        <w:rPr>
          <w:iCs/>
          <w:sz w:val="24"/>
          <w:szCs w:val="24"/>
          <w:lang w:val="en-US"/>
        </w:rPr>
        <w:t>Dunning</w:t>
      </w:r>
      <w:r w:rsidRPr="005A464E">
        <w:rPr>
          <w:iCs/>
          <w:sz w:val="24"/>
          <w:szCs w:val="24"/>
        </w:rPr>
        <w:t xml:space="preserve"> </w:t>
      </w:r>
      <w:r w:rsidR="002521F5" w:rsidRPr="005A464E">
        <w:rPr>
          <w:iCs/>
          <w:sz w:val="24"/>
          <w:szCs w:val="24"/>
        </w:rPr>
        <w:t>&amp;</w:t>
      </w:r>
      <w:r w:rsidRPr="005A464E">
        <w:rPr>
          <w:iCs/>
          <w:sz w:val="24"/>
          <w:szCs w:val="24"/>
        </w:rPr>
        <w:t xml:space="preserve"> </w:t>
      </w:r>
      <w:r w:rsidR="002521F5" w:rsidRPr="005A464E">
        <w:rPr>
          <w:iCs/>
          <w:sz w:val="24"/>
          <w:szCs w:val="24"/>
          <w:lang w:val="en-US"/>
        </w:rPr>
        <w:t>Manias</w:t>
      </w:r>
      <w:r w:rsidR="00AB454B">
        <w:rPr>
          <w:iCs/>
          <w:sz w:val="24"/>
          <w:szCs w:val="24"/>
        </w:rPr>
        <w:t>,</w:t>
      </w:r>
      <w:r w:rsidR="002521F5" w:rsidRPr="005A464E">
        <w:rPr>
          <w:iCs/>
          <w:sz w:val="24"/>
          <w:szCs w:val="24"/>
        </w:rPr>
        <w:t xml:space="preserve"> 2005)</w:t>
      </w:r>
      <w:r w:rsidR="0081291A" w:rsidRPr="005A464E">
        <w:rPr>
          <w:iCs/>
          <w:sz w:val="24"/>
          <w:szCs w:val="24"/>
        </w:rPr>
        <w:t>. Τέτοιου είδους αποφάσεις των ασθενών οφείλονται στην ελλιπή γνώση των ασθενών σχετικά με την αγωγή τους (</w:t>
      </w:r>
      <w:r w:rsidR="0081291A" w:rsidRPr="005A464E">
        <w:rPr>
          <w:iCs/>
          <w:sz w:val="24"/>
          <w:szCs w:val="24"/>
          <w:lang w:val="en-US"/>
        </w:rPr>
        <w:t>Wells</w:t>
      </w:r>
      <w:r w:rsidR="004B226D" w:rsidRPr="004B226D">
        <w:rPr>
          <w:iCs/>
          <w:sz w:val="24"/>
          <w:szCs w:val="24"/>
        </w:rPr>
        <w:t>,</w:t>
      </w:r>
      <w:r w:rsidR="0081291A" w:rsidRPr="005A464E">
        <w:rPr>
          <w:iCs/>
          <w:sz w:val="24"/>
          <w:szCs w:val="24"/>
        </w:rPr>
        <w:t xml:space="preserve"> 2011).</w:t>
      </w:r>
    </w:p>
    <w:p w:rsidR="00A9174D" w:rsidRPr="005A464E" w:rsidRDefault="00A9174D" w:rsidP="005A464E">
      <w:pPr>
        <w:spacing w:line="360" w:lineRule="auto"/>
        <w:jc w:val="both"/>
      </w:pPr>
      <w:r w:rsidRPr="005A464E">
        <w:rPr>
          <w:rFonts w:cs="BookAntiqua"/>
          <w:sz w:val="24"/>
          <w:szCs w:val="24"/>
        </w:rPr>
        <w:t>Οι ψυχοεκπαιδευτικές παρεμβάσεις, σε στάδιο προ της ένταξης στην αιμοκάθαρση, μπορεί να βελτιώσουν την γνώση που σχετί</w:t>
      </w:r>
      <w:r w:rsidR="00867822">
        <w:rPr>
          <w:rFonts w:cs="BookAntiqua"/>
          <w:sz w:val="24"/>
          <w:szCs w:val="24"/>
        </w:rPr>
        <w:t>ζεται με την ασθένεια (Mehrotra</w:t>
      </w:r>
      <w:r w:rsidR="00867822" w:rsidRPr="00867822">
        <w:rPr>
          <w:rFonts w:cs="BookAntiqua"/>
          <w:sz w:val="24"/>
          <w:szCs w:val="24"/>
        </w:rPr>
        <w:t xml:space="preserve">, </w:t>
      </w:r>
      <w:r w:rsidR="00867822" w:rsidRPr="00867822">
        <w:rPr>
          <w:rFonts w:asciiTheme="minorHAnsi" w:hAnsiTheme="minorHAnsi" w:cstheme="minorHAnsi"/>
          <w:sz w:val="24"/>
          <w:szCs w:val="24"/>
          <w:lang w:val="en-US"/>
        </w:rPr>
        <w:t>Marsh</w:t>
      </w:r>
      <w:r w:rsidR="00867822" w:rsidRPr="00867822">
        <w:rPr>
          <w:rFonts w:asciiTheme="minorHAnsi" w:hAnsiTheme="minorHAnsi" w:cstheme="minorHAnsi"/>
          <w:sz w:val="24"/>
          <w:szCs w:val="24"/>
        </w:rPr>
        <w:t xml:space="preserve">, </w:t>
      </w:r>
      <w:r w:rsidR="00867822" w:rsidRPr="00867822">
        <w:rPr>
          <w:rFonts w:asciiTheme="minorHAnsi" w:hAnsiTheme="minorHAnsi" w:cstheme="minorHAnsi"/>
          <w:sz w:val="24"/>
          <w:szCs w:val="24"/>
          <w:lang w:val="en-US"/>
        </w:rPr>
        <w:t>Vonesh</w:t>
      </w:r>
      <w:r w:rsidR="00867822" w:rsidRPr="00867822">
        <w:rPr>
          <w:rFonts w:asciiTheme="minorHAnsi" w:hAnsiTheme="minorHAnsi" w:cstheme="minorHAnsi"/>
          <w:sz w:val="24"/>
          <w:szCs w:val="24"/>
        </w:rPr>
        <w:t xml:space="preserve">, </w:t>
      </w:r>
      <w:r w:rsidR="00867822" w:rsidRPr="00867822">
        <w:rPr>
          <w:rFonts w:asciiTheme="minorHAnsi" w:hAnsiTheme="minorHAnsi" w:cstheme="minorHAnsi"/>
          <w:sz w:val="24"/>
          <w:szCs w:val="24"/>
          <w:lang w:val="en-US"/>
        </w:rPr>
        <w:t>Peters</w:t>
      </w:r>
      <w:r w:rsidR="00867822" w:rsidRPr="00867822">
        <w:rPr>
          <w:rFonts w:asciiTheme="minorHAnsi" w:hAnsiTheme="minorHAnsi" w:cstheme="minorHAnsi"/>
          <w:sz w:val="24"/>
          <w:szCs w:val="24"/>
        </w:rPr>
        <w:t xml:space="preserve">, &amp; </w:t>
      </w:r>
      <w:r w:rsidR="00867822" w:rsidRPr="00867822">
        <w:rPr>
          <w:rFonts w:asciiTheme="minorHAnsi" w:hAnsiTheme="minorHAnsi" w:cstheme="minorHAnsi"/>
          <w:sz w:val="24"/>
          <w:szCs w:val="24"/>
          <w:lang w:val="en-US"/>
        </w:rPr>
        <w:t>Nissenson</w:t>
      </w:r>
      <w:r w:rsidR="00867822" w:rsidRPr="00867822">
        <w:rPr>
          <w:rFonts w:asciiTheme="minorHAnsi" w:hAnsiTheme="minorHAnsi" w:cstheme="minorHAnsi"/>
          <w:sz w:val="24"/>
          <w:szCs w:val="24"/>
        </w:rPr>
        <w:t>,</w:t>
      </w:r>
      <w:r w:rsidR="00867822" w:rsidRPr="00867822">
        <w:rPr>
          <w:rFonts w:cs="BookAntiqua"/>
          <w:sz w:val="24"/>
          <w:szCs w:val="24"/>
        </w:rPr>
        <w:t xml:space="preserve"> </w:t>
      </w:r>
      <w:r w:rsidRPr="00867822">
        <w:rPr>
          <w:rFonts w:cs="BookAntiqua"/>
          <w:sz w:val="24"/>
          <w:szCs w:val="24"/>
        </w:rPr>
        <w:t xml:space="preserve">2005) και την προώθηση της ΠΖ (Fukuhara </w:t>
      </w:r>
      <w:r w:rsidR="00566CAA" w:rsidRPr="00867822">
        <w:rPr>
          <w:rFonts w:cs="BookAntiqua"/>
          <w:sz w:val="24"/>
          <w:szCs w:val="24"/>
        </w:rPr>
        <w:t>et al</w:t>
      </w:r>
      <w:r w:rsidR="004B226D" w:rsidRPr="00867822">
        <w:rPr>
          <w:rFonts w:cs="BookAntiqua"/>
          <w:sz w:val="24"/>
          <w:szCs w:val="24"/>
        </w:rPr>
        <w:t>.</w:t>
      </w:r>
      <w:r w:rsidR="00533701" w:rsidRPr="00533701">
        <w:rPr>
          <w:rFonts w:cs="BookAntiqua"/>
          <w:sz w:val="24"/>
          <w:szCs w:val="24"/>
        </w:rPr>
        <w:t>,</w:t>
      </w:r>
      <w:r w:rsidRPr="00867822">
        <w:rPr>
          <w:rFonts w:cs="BookAntiqua"/>
          <w:sz w:val="24"/>
          <w:szCs w:val="24"/>
        </w:rPr>
        <w:t xml:space="preserve"> </w:t>
      </w:r>
      <w:r w:rsidRPr="005A464E">
        <w:rPr>
          <w:rFonts w:cs="BookAntiqua"/>
          <w:sz w:val="24"/>
          <w:szCs w:val="24"/>
        </w:rPr>
        <w:t>2006). Αρκετές μελέτες έχουν δείξει ότι η έγκαιρη παραπομπή σε νεφρολόγους μειώνει τη νοσηρότητα, τη θνησιμότητα και το κόστος της υγει</w:t>
      </w:r>
      <w:r w:rsidR="00867822">
        <w:rPr>
          <w:rFonts w:cs="BookAntiqua"/>
          <w:sz w:val="24"/>
          <w:szCs w:val="24"/>
        </w:rPr>
        <w:t>ονομικής περίθαλψης (McLaughlin</w:t>
      </w:r>
      <w:r w:rsidR="00867822" w:rsidRPr="00867822">
        <w:rPr>
          <w:rFonts w:cs="BookAntiqua"/>
          <w:sz w:val="24"/>
          <w:szCs w:val="24"/>
        </w:rPr>
        <w:t xml:space="preserve">, </w:t>
      </w:r>
      <w:r w:rsidR="00867822" w:rsidRPr="00867822">
        <w:rPr>
          <w:rFonts w:asciiTheme="minorHAnsi" w:hAnsiTheme="minorHAnsi" w:cstheme="minorHAnsi"/>
          <w:sz w:val="24"/>
          <w:szCs w:val="24"/>
          <w:lang w:val="en-US"/>
        </w:rPr>
        <w:t>Manns</w:t>
      </w:r>
      <w:r w:rsidR="00867822">
        <w:rPr>
          <w:rFonts w:asciiTheme="minorHAnsi" w:hAnsiTheme="minorHAnsi" w:cstheme="minorHAnsi"/>
          <w:sz w:val="24"/>
          <w:szCs w:val="24"/>
        </w:rPr>
        <w:t>,</w:t>
      </w:r>
      <w:r w:rsidR="00867822" w:rsidRPr="00867822">
        <w:rPr>
          <w:rFonts w:asciiTheme="minorHAnsi" w:hAnsiTheme="minorHAnsi" w:cstheme="minorHAnsi"/>
          <w:sz w:val="24"/>
          <w:szCs w:val="24"/>
        </w:rPr>
        <w:t xml:space="preserve"> </w:t>
      </w:r>
      <w:r w:rsidR="00867822" w:rsidRPr="00867822">
        <w:rPr>
          <w:rFonts w:asciiTheme="minorHAnsi" w:hAnsiTheme="minorHAnsi" w:cstheme="minorHAnsi"/>
          <w:sz w:val="24"/>
          <w:szCs w:val="24"/>
          <w:lang w:val="en-US"/>
        </w:rPr>
        <w:t>Culleton</w:t>
      </w:r>
      <w:r w:rsidR="00867822">
        <w:rPr>
          <w:rFonts w:asciiTheme="minorHAnsi" w:hAnsiTheme="minorHAnsi" w:cstheme="minorHAnsi"/>
          <w:sz w:val="24"/>
          <w:szCs w:val="24"/>
        </w:rPr>
        <w:t>,</w:t>
      </w:r>
      <w:r w:rsidR="00867822" w:rsidRPr="00867822">
        <w:rPr>
          <w:rFonts w:asciiTheme="minorHAnsi" w:hAnsiTheme="minorHAnsi" w:cstheme="minorHAnsi"/>
          <w:sz w:val="24"/>
          <w:szCs w:val="24"/>
        </w:rPr>
        <w:t xml:space="preserve"> </w:t>
      </w:r>
      <w:r w:rsidR="00867822" w:rsidRPr="00867822">
        <w:rPr>
          <w:rFonts w:asciiTheme="minorHAnsi" w:hAnsiTheme="minorHAnsi" w:cstheme="minorHAnsi"/>
          <w:sz w:val="24"/>
          <w:szCs w:val="24"/>
          <w:lang w:val="en-US"/>
        </w:rPr>
        <w:t>Donaldson</w:t>
      </w:r>
      <w:r w:rsidR="00867822">
        <w:rPr>
          <w:rFonts w:asciiTheme="minorHAnsi" w:hAnsiTheme="minorHAnsi" w:cstheme="minorHAnsi"/>
          <w:sz w:val="24"/>
          <w:szCs w:val="24"/>
        </w:rPr>
        <w:t>,</w:t>
      </w:r>
      <w:r w:rsidR="00867822" w:rsidRPr="00867822">
        <w:rPr>
          <w:rFonts w:asciiTheme="minorHAnsi" w:hAnsiTheme="minorHAnsi" w:cstheme="minorHAnsi"/>
          <w:sz w:val="24"/>
          <w:szCs w:val="24"/>
        </w:rPr>
        <w:t xml:space="preserve"> &amp; </w:t>
      </w:r>
      <w:r w:rsidR="00867822" w:rsidRPr="00867822">
        <w:rPr>
          <w:rFonts w:asciiTheme="minorHAnsi" w:hAnsiTheme="minorHAnsi" w:cstheme="minorHAnsi"/>
          <w:sz w:val="24"/>
          <w:szCs w:val="24"/>
          <w:lang w:val="en-US"/>
        </w:rPr>
        <w:t>Taub</w:t>
      </w:r>
      <w:r w:rsidR="00867822" w:rsidRPr="00867822">
        <w:rPr>
          <w:rFonts w:asciiTheme="minorHAnsi" w:hAnsiTheme="minorHAnsi" w:cstheme="minorHAnsi"/>
          <w:sz w:val="24"/>
          <w:szCs w:val="24"/>
        </w:rPr>
        <w:t>,</w:t>
      </w:r>
      <w:r w:rsidR="00867822" w:rsidRPr="00867822">
        <w:rPr>
          <w:rFonts w:cs="BookAntiqua"/>
          <w:sz w:val="24"/>
          <w:szCs w:val="24"/>
        </w:rPr>
        <w:t xml:space="preserve"> </w:t>
      </w:r>
      <w:r w:rsidRPr="00867822">
        <w:rPr>
          <w:rFonts w:cs="BookAntiqua"/>
          <w:sz w:val="24"/>
          <w:szCs w:val="24"/>
        </w:rPr>
        <w:t xml:space="preserve">2001), βελτιώνει τη μακροχρόνια επιβίωση (Jungers </w:t>
      </w:r>
      <w:r w:rsidR="00566CAA" w:rsidRPr="00867822">
        <w:rPr>
          <w:rFonts w:cs="BookAntiqua"/>
          <w:sz w:val="24"/>
          <w:szCs w:val="24"/>
        </w:rPr>
        <w:t>et al</w:t>
      </w:r>
      <w:r w:rsidR="004B226D" w:rsidRPr="00867822">
        <w:rPr>
          <w:rFonts w:cs="BookAntiqua"/>
          <w:sz w:val="24"/>
          <w:szCs w:val="24"/>
        </w:rPr>
        <w:t>.</w:t>
      </w:r>
      <w:r w:rsidR="00533701" w:rsidRPr="00533701">
        <w:rPr>
          <w:rFonts w:cs="BookAntiqua"/>
          <w:sz w:val="24"/>
          <w:szCs w:val="24"/>
        </w:rPr>
        <w:t>,</w:t>
      </w:r>
      <w:r w:rsidRPr="00867822">
        <w:rPr>
          <w:rFonts w:cs="BookAntiqua"/>
          <w:sz w:val="24"/>
          <w:szCs w:val="24"/>
        </w:rPr>
        <w:t xml:space="preserve"> 2001), μειώνει την ανάγκη για επείγουσα</w:t>
      </w:r>
      <w:r w:rsidRPr="005A464E">
        <w:rPr>
          <w:rFonts w:cs="BookAntiqua"/>
          <w:sz w:val="24"/>
          <w:szCs w:val="24"/>
        </w:rPr>
        <w:t xml:space="preserve"> αιμοκάθαρση</w:t>
      </w:r>
      <w:r w:rsidR="0078495A">
        <w:rPr>
          <w:rFonts w:cs="BookAntiqua"/>
          <w:sz w:val="24"/>
          <w:szCs w:val="24"/>
        </w:rPr>
        <w:t xml:space="preserve"> </w:t>
      </w:r>
      <w:r w:rsidRPr="005A464E">
        <w:rPr>
          <w:rFonts w:cs="BookAntiqua"/>
          <w:sz w:val="24"/>
          <w:szCs w:val="24"/>
        </w:rPr>
        <w:t xml:space="preserve">και βελτιώνει την ΣΥΠΖ σε ασθενείς υπό αιμοκάθαρση (Korevaar </w:t>
      </w:r>
      <w:r w:rsidR="00566CAA">
        <w:rPr>
          <w:rFonts w:cs="BookAntiqua"/>
          <w:sz w:val="24"/>
          <w:szCs w:val="24"/>
        </w:rPr>
        <w:t>et al</w:t>
      </w:r>
      <w:r w:rsidR="00533701" w:rsidRPr="00533701">
        <w:rPr>
          <w:rFonts w:cs="BookAntiqua"/>
          <w:sz w:val="24"/>
          <w:szCs w:val="24"/>
        </w:rPr>
        <w:t>.,</w:t>
      </w:r>
      <w:r w:rsidRPr="005A464E">
        <w:rPr>
          <w:rFonts w:cs="BookAntiqua"/>
          <w:sz w:val="24"/>
          <w:szCs w:val="24"/>
        </w:rPr>
        <w:t xml:space="preserve"> 2002).</w:t>
      </w:r>
      <w:r w:rsidRPr="005A464E">
        <w:t xml:space="preserve"> </w:t>
      </w:r>
    </w:p>
    <w:p w:rsidR="00A9174D" w:rsidRPr="005A464E" w:rsidRDefault="00A9174D" w:rsidP="005A464E">
      <w:pPr>
        <w:spacing w:line="360" w:lineRule="auto"/>
        <w:jc w:val="both"/>
        <w:rPr>
          <w:rFonts w:cs="BookAntiqua"/>
          <w:sz w:val="24"/>
          <w:szCs w:val="24"/>
        </w:rPr>
      </w:pPr>
      <w:r w:rsidRPr="005A464E">
        <w:t xml:space="preserve">Οι </w:t>
      </w:r>
      <w:r w:rsidRPr="005A464E">
        <w:rPr>
          <w:rFonts w:cs="BookAntiqua"/>
          <w:sz w:val="24"/>
          <w:szCs w:val="24"/>
        </w:rPr>
        <w:t>Kla</w:t>
      </w:r>
      <w:r w:rsidR="007B503D">
        <w:rPr>
          <w:rFonts w:cs="BookAntiqua"/>
          <w:sz w:val="24"/>
          <w:szCs w:val="24"/>
        </w:rPr>
        <w:t>ng</w:t>
      </w:r>
      <w:r w:rsidR="007B503D" w:rsidRPr="007B503D">
        <w:rPr>
          <w:rFonts w:cs="BookAntiqua"/>
          <w:sz w:val="24"/>
          <w:szCs w:val="24"/>
        </w:rPr>
        <w:t xml:space="preserve">, </w:t>
      </w:r>
      <w:r w:rsidR="007B503D" w:rsidRPr="007B503D">
        <w:rPr>
          <w:rFonts w:asciiTheme="minorHAnsi" w:hAnsiTheme="minorHAnsi" w:cstheme="minorHAnsi"/>
          <w:sz w:val="24"/>
          <w:szCs w:val="24"/>
          <w:lang w:val="en-US"/>
        </w:rPr>
        <w:t>Bj</w:t>
      </w:r>
      <w:r w:rsidR="007B503D" w:rsidRPr="007B503D">
        <w:rPr>
          <w:rFonts w:asciiTheme="minorHAnsi" w:hAnsiTheme="minorHAnsi" w:cstheme="minorHAnsi"/>
          <w:sz w:val="24"/>
          <w:szCs w:val="24"/>
        </w:rPr>
        <w:t>ö</w:t>
      </w:r>
      <w:r w:rsidR="007B503D" w:rsidRPr="007B503D">
        <w:rPr>
          <w:rFonts w:asciiTheme="minorHAnsi" w:hAnsiTheme="minorHAnsi" w:cstheme="minorHAnsi"/>
          <w:sz w:val="24"/>
          <w:szCs w:val="24"/>
          <w:lang w:val="en-US"/>
        </w:rPr>
        <w:t>rvell</w:t>
      </w:r>
      <w:r w:rsidR="007B503D" w:rsidRPr="007B503D">
        <w:rPr>
          <w:rFonts w:asciiTheme="minorHAnsi" w:hAnsiTheme="minorHAnsi" w:cstheme="minorHAnsi"/>
          <w:sz w:val="24"/>
          <w:szCs w:val="24"/>
        </w:rPr>
        <w:t xml:space="preserve">, </w:t>
      </w:r>
      <w:r w:rsidR="007B503D" w:rsidRPr="007B503D">
        <w:rPr>
          <w:rFonts w:asciiTheme="minorHAnsi" w:hAnsiTheme="minorHAnsi" w:cstheme="minorHAnsi"/>
          <w:sz w:val="24"/>
          <w:szCs w:val="24"/>
          <w:lang w:val="en-US"/>
        </w:rPr>
        <w:t>Berglund</w:t>
      </w:r>
      <w:r w:rsidR="007B503D">
        <w:rPr>
          <w:rFonts w:asciiTheme="minorHAnsi" w:hAnsiTheme="minorHAnsi" w:cstheme="minorHAnsi"/>
          <w:sz w:val="24"/>
          <w:szCs w:val="24"/>
        </w:rPr>
        <w:t>,</w:t>
      </w:r>
      <w:r w:rsidR="007B503D" w:rsidRPr="007B503D">
        <w:rPr>
          <w:rFonts w:asciiTheme="minorHAnsi" w:hAnsiTheme="minorHAnsi" w:cstheme="minorHAnsi"/>
          <w:sz w:val="24"/>
          <w:szCs w:val="24"/>
        </w:rPr>
        <w:t xml:space="preserve"> </w:t>
      </w:r>
      <w:r w:rsidR="007B503D" w:rsidRPr="007B503D">
        <w:rPr>
          <w:rFonts w:asciiTheme="minorHAnsi" w:hAnsiTheme="minorHAnsi" w:cstheme="minorHAnsi"/>
          <w:sz w:val="24"/>
          <w:szCs w:val="24"/>
          <w:lang w:val="en-US"/>
        </w:rPr>
        <w:t>Sundstedt</w:t>
      </w:r>
      <w:r w:rsidR="007B503D">
        <w:rPr>
          <w:rFonts w:asciiTheme="minorHAnsi" w:hAnsiTheme="minorHAnsi" w:cstheme="minorHAnsi"/>
          <w:sz w:val="24"/>
          <w:szCs w:val="24"/>
        </w:rPr>
        <w:t>,</w:t>
      </w:r>
      <w:r w:rsidR="00345393">
        <w:rPr>
          <w:rFonts w:asciiTheme="minorHAnsi" w:hAnsiTheme="minorHAnsi" w:cstheme="minorHAnsi"/>
          <w:sz w:val="24"/>
          <w:szCs w:val="24"/>
        </w:rPr>
        <w:t xml:space="preserve"> και</w:t>
      </w:r>
      <w:r w:rsidR="007B503D" w:rsidRPr="007B503D">
        <w:rPr>
          <w:rFonts w:asciiTheme="minorHAnsi" w:hAnsiTheme="minorHAnsi" w:cstheme="minorHAnsi"/>
          <w:sz w:val="24"/>
          <w:szCs w:val="24"/>
        </w:rPr>
        <w:t xml:space="preserve"> </w:t>
      </w:r>
      <w:r w:rsidR="007B503D" w:rsidRPr="007B503D">
        <w:rPr>
          <w:rFonts w:asciiTheme="minorHAnsi" w:hAnsiTheme="minorHAnsi" w:cstheme="minorHAnsi"/>
          <w:sz w:val="24"/>
          <w:szCs w:val="24"/>
          <w:lang w:val="en-US"/>
        </w:rPr>
        <w:t>Clyne</w:t>
      </w:r>
      <w:r w:rsidR="007B503D" w:rsidRPr="007B503D">
        <w:rPr>
          <w:rFonts w:cs="BookAntiqua"/>
          <w:sz w:val="24"/>
          <w:szCs w:val="24"/>
        </w:rPr>
        <w:t xml:space="preserve"> </w:t>
      </w:r>
      <w:r w:rsidRPr="007B503D">
        <w:rPr>
          <w:rFonts w:cs="BookAntiqua"/>
          <w:sz w:val="24"/>
          <w:szCs w:val="24"/>
        </w:rPr>
        <w:t>(1998) αξιολόγησαν τα αποτελέσματα ενός εκπαιδευτικού προγράμματος σε 28 ασθενείς</w:t>
      </w:r>
      <w:r w:rsidRPr="005A464E">
        <w:rPr>
          <w:rFonts w:cs="BookAntiqua"/>
          <w:sz w:val="24"/>
          <w:szCs w:val="24"/>
        </w:rPr>
        <w:t xml:space="preserve"> πριν την ένταξή </w:t>
      </w:r>
      <w:r w:rsidRPr="00A4175B">
        <w:rPr>
          <w:rFonts w:cs="BookAntiqua"/>
          <w:sz w:val="24"/>
          <w:szCs w:val="24"/>
        </w:rPr>
        <w:t xml:space="preserve">τους στην αιμοκάθαρση σχετικά με την ΠΖ. Έδειξαν ότι οι ασθενείς που έλαβαν </w:t>
      </w:r>
      <w:r w:rsidR="00345393" w:rsidRPr="00A4175B">
        <w:rPr>
          <w:rFonts w:cs="BookAntiqua"/>
          <w:sz w:val="24"/>
          <w:szCs w:val="24"/>
        </w:rPr>
        <w:t xml:space="preserve">συμβουλευτική </w:t>
      </w:r>
      <w:r w:rsidR="00A4175B">
        <w:rPr>
          <w:rFonts w:cs="BookAntiqua"/>
          <w:sz w:val="24"/>
          <w:szCs w:val="24"/>
        </w:rPr>
        <w:t>παρέμβα</w:t>
      </w:r>
      <w:r w:rsidRPr="00A4175B">
        <w:rPr>
          <w:rFonts w:cs="BookAntiqua"/>
          <w:sz w:val="24"/>
          <w:szCs w:val="24"/>
        </w:rPr>
        <w:t>ση, είχαν υψηλότερες βαθμολογίες στην κλίμακα της διάθεσης, λιγότερα</w:t>
      </w:r>
      <w:r w:rsidRPr="005A464E">
        <w:rPr>
          <w:rFonts w:cs="BookAntiqua"/>
          <w:sz w:val="24"/>
          <w:szCs w:val="24"/>
        </w:rPr>
        <w:t xml:space="preserve"> κινητικά προβλήματα, λιγότερες λειτουργικές αναπηρίες και χαμηλότερα επίπεδα άγχους. </w:t>
      </w:r>
    </w:p>
    <w:p w:rsidR="00A9174D" w:rsidRPr="005A464E" w:rsidRDefault="00A9174D" w:rsidP="005A464E">
      <w:pPr>
        <w:spacing w:line="360" w:lineRule="auto"/>
        <w:jc w:val="both"/>
        <w:rPr>
          <w:iCs/>
          <w:sz w:val="24"/>
          <w:szCs w:val="24"/>
        </w:rPr>
      </w:pPr>
      <w:r w:rsidRPr="005A464E">
        <w:rPr>
          <w:rFonts w:cs="BookAntiqua"/>
          <w:sz w:val="24"/>
          <w:szCs w:val="24"/>
        </w:rPr>
        <w:t>Επιπλέον, οι Acaray και Pinar (2005) βρήκαν ότι οι ασθενείς οι οποίοι εκπαιδεύτηκαν σχετικά με τη νόσο και την αιμοκάθαρση είχαν σημαντικά υψηλότερες βαθμολογίες σ</w:t>
      </w:r>
      <w:r w:rsidR="00125896">
        <w:rPr>
          <w:rFonts w:cs="BookAntiqua"/>
          <w:sz w:val="24"/>
          <w:szCs w:val="24"/>
        </w:rPr>
        <w:t>ε όλες τις διαστάσεις του SF-36</w:t>
      </w:r>
      <w:r w:rsidR="00125896" w:rsidRPr="00125896">
        <w:rPr>
          <w:rFonts w:cs="BookAntiqua"/>
          <w:sz w:val="24"/>
          <w:szCs w:val="24"/>
        </w:rPr>
        <w:t xml:space="preserve"> -</w:t>
      </w:r>
      <w:r w:rsidRPr="005A464E">
        <w:rPr>
          <w:rFonts w:cs="BookAntiqua"/>
          <w:sz w:val="24"/>
          <w:szCs w:val="24"/>
        </w:rPr>
        <w:t xml:space="preserve"> εκτός από τη σωματική λειτουργικότητα, τον σωματικό πόνο και τις διαστάσεις της ψυχικής υγείας </w:t>
      </w:r>
      <w:r w:rsidR="00125896" w:rsidRPr="00125896">
        <w:rPr>
          <w:rFonts w:cs="BookAntiqua"/>
          <w:sz w:val="24"/>
          <w:szCs w:val="24"/>
        </w:rPr>
        <w:t xml:space="preserve">- </w:t>
      </w:r>
      <w:r w:rsidRPr="005A464E">
        <w:rPr>
          <w:rFonts w:cs="BookAntiqua"/>
          <w:sz w:val="24"/>
          <w:szCs w:val="24"/>
        </w:rPr>
        <w:t xml:space="preserve">από τους ασθενείς που δεν είχαν εκπαιδευτεί. Οι Pakpour </w:t>
      </w:r>
      <w:r w:rsidR="00566CAA">
        <w:rPr>
          <w:rFonts w:cs="BookAntiqua"/>
          <w:sz w:val="24"/>
          <w:szCs w:val="24"/>
        </w:rPr>
        <w:t>et al</w:t>
      </w:r>
      <w:r w:rsidR="00A3143C">
        <w:rPr>
          <w:rFonts w:cs="BookAntiqua"/>
          <w:sz w:val="24"/>
          <w:szCs w:val="24"/>
        </w:rPr>
        <w:t>.</w:t>
      </w:r>
      <w:r w:rsidRPr="005A464E">
        <w:rPr>
          <w:rFonts w:cs="BookAntiqua"/>
          <w:sz w:val="24"/>
          <w:szCs w:val="24"/>
        </w:rPr>
        <w:t xml:space="preserve"> (2010) έδειξαν ότι οι ασθενείς που είχαν χαμηλή γνώση σχετικά με τη νόσο είχαν χαμηλό επίπεδο ΠΖ.</w:t>
      </w:r>
    </w:p>
    <w:p w:rsidR="0070149F" w:rsidRPr="005A464E" w:rsidRDefault="0070149F" w:rsidP="005A464E">
      <w:pPr>
        <w:spacing w:line="360" w:lineRule="auto"/>
        <w:jc w:val="both"/>
        <w:rPr>
          <w:sz w:val="24"/>
          <w:szCs w:val="24"/>
        </w:rPr>
      </w:pPr>
      <w:r w:rsidRPr="005A464E">
        <w:rPr>
          <w:sz w:val="24"/>
          <w:szCs w:val="24"/>
        </w:rPr>
        <w:t xml:space="preserve">Σε μελέτη μεταξύ 31 ασθενών υπό </w:t>
      </w:r>
      <w:r w:rsidR="00171DE3">
        <w:rPr>
          <w:sz w:val="24"/>
          <w:szCs w:val="24"/>
        </w:rPr>
        <w:t>αιμοκάθαρση</w:t>
      </w:r>
      <w:r w:rsidR="00171DE3" w:rsidRPr="005A464E">
        <w:rPr>
          <w:sz w:val="24"/>
          <w:szCs w:val="24"/>
        </w:rPr>
        <w:t xml:space="preserve"> </w:t>
      </w:r>
      <w:r w:rsidRPr="005A464E">
        <w:rPr>
          <w:sz w:val="24"/>
          <w:szCs w:val="24"/>
        </w:rPr>
        <w:t xml:space="preserve">ηλικίας 15-30 ετών μόνο το 27% των συμμετεχόντων μπορούσε να θυμηθεί την αγωγή για την υπερκαλιαιμία, το 23% την αγωγή για την υπερνατριαιμία και 47% τον </w:t>
      </w:r>
      <w:r w:rsidR="00212846" w:rsidRPr="005A464E">
        <w:rPr>
          <w:sz w:val="24"/>
          <w:szCs w:val="24"/>
        </w:rPr>
        <w:t>περιορισμό</w:t>
      </w:r>
      <w:r w:rsidRPr="005A464E">
        <w:rPr>
          <w:sz w:val="24"/>
          <w:szCs w:val="24"/>
        </w:rPr>
        <w:t xml:space="preserve"> των υγρών (</w:t>
      </w:r>
      <w:r w:rsidRPr="005A464E">
        <w:rPr>
          <w:sz w:val="24"/>
          <w:szCs w:val="24"/>
          <w:lang w:val="en-US"/>
        </w:rPr>
        <w:t>Chan</w:t>
      </w:r>
      <w:r w:rsidR="00212846" w:rsidRPr="005A464E">
        <w:rPr>
          <w:sz w:val="24"/>
          <w:szCs w:val="24"/>
        </w:rPr>
        <w:t xml:space="preserve"> </w:t>
      </w:r>
      <w:r w:rsidRPr="005A464E">
        <w:rPr>
          <w:sz w:val="24"/>
          <w:szCs w:val="24"/>
        </w:rPr>
        <w:t>&amp;</w:t>
      </w:r>
      <w:r w:rsidR="00212846" w:rsidRPr="005A464E">
        <w:rPr>
          <w:sz w:val="24"/>
          <w:szCs w:val="24"/>
        </w:rPr>
        <w:t xml:space="preserve"> </w:t>
      </w:r>
      <w:r w:rsidRPr="005A464E">
        <w:rPr>
          <w:sz w:val="24"/>
          <w:szCs w:val="24"/>
          <w:lang w:val="en-US"/>
        </w:rPr>
        <w:t>Green</w:t>
      </w:r>
      <w:r w:rsidR="00B97582" w:rsidRPr="005A464E">
        <w:rPr>
          <w:sz w:val="24"/>
          <w:szCs w:val="24"/>
          <w:lang w:val="en-US"/>
        </w:rPr>
        <w:t>e</w:t>
      </w:r>
      <w:r w:rsidR="00AB454B">
        <w:rPr>
          <w:sz w:val="24"/>
          <w:szCs w:val="24"/>
        </w:rPr>
        <w:t>,</w:t>
      </w:r>
      <w:r w:rsidRPr="005A464E">
        <w:rPr>
          <w:sz w:val="24"/>
          <w:szCs w:val="24"/>
        </w:rPr>
        <w:t xml:space="preserve"> 1994)</w:t>
      </w:r>
      <w:r w:rsidR="005A464E">
        <w:rPr>
          <w:sz w:val="24"/>
          <w:szCs w:val="24"/>
        </w:rPr>
        <w:t>. Επιπλέον, οι ασθενείς είχα</w:t>
      </w:r>
      <w:r w:rsidRPr="005A464E">
        <w:rPr>
          <w:sz w:val="24"/>
          <w:szCs w:val="24"/>
        </w:rPr>
        <w:t>ν περιορισμένη γνώση και ως προς τα φάρμακά τους. Ωστόσο, έχει δειχθεί ότι η γνώση μπορεί να αυξηθεί με την εκπαίδευση</w:t>
      </w:r>
      <w:r w:rsidR="007E2079" w:rsidRPr="005A464E">
        <w:rPr>
          <w:sz w:val="24"/>
          <w:szCs w:val="24"/>
        </w:rPr>
        <w:t xml:space="preserve">. </w:t>
      </w:r>
      <w:r w:rsidRPr="005A464E">
        <w:rPr>
          <w:sz w:val="24"/>
          <w:szCs w:val="24"/>
        </w:rPr>
        <w:t xml:space="preserve">Μετά την λήψη </w:t>
      </w:r>
      <w:r w:rsidR="00212846" w:rsidRPr="005A464E">
        <w:rPr>
          <w:sz w:val="24"/>
          <w:szCs w:val="24"/>
        </w:rPr>
        <w:t>εκπαιδευτικού</w:t>
      </w:r>
      <w:r w:rsidRPr="005A464E">
        <w:rPr>
          <w:sz w:val="24"/>
          <w:szCs w:val="24"/>
        </w:rPr>
        <w:t xml:space="preserve"> υλικού για την ερυθροποιητίνη, 42 ασθενείς υπό </w:t>
      </w:r>
      <w:r w:rsidR="00345393">
        <w:rPr>
          <w:sz w:val="24"/>
          <w:szCs w:val="24"/>
        </w:rPr>
        <w:t>αιμοκάθαρση</w:t>
      </w:r>
      <w:r w:rsidR="00345393" w:rsidRPr="005A464E">
        <w:rPr>
          <w:sz w:val="24"/>
          <w:szCs w:val="24"/>
        </w:rPr>
        <w:t xml:space="preserve"> </w:t>
      </w:r>
      <w:r w:rsidRPr="005A464E">
        <w:rPr>
          <w:sz w:val="24"/>
          <w:szCs w:val="24"/>
        </w:rPr>
        <w:t>αύξησαν το επίπεδο</w:t>
      </w:r>
      <w:r w:rsidR="0078495A">
        <w:rPr>
          <w:sz w:val="24"/>
          <w:szCs w:val="24"/>
        </w:rPr>
        <w:t xml:space="preserve"> </w:t>
      </w:r>
      <w:r w:rsidRPr="005A464E">
        <w:rPr>
          <w:sz w:val="24"/>
          <w:szCs w:val="24"/>
        </w:rPr>
        <w:t xml:space="preserve">της γνώσης </w:t>
      </w:r>
      <w:r w:rsidR="00212846" w:rsidRPr="005A464E">
        <w:rPr>
          <w:sz w:val="24"/>
          <w:szCs w:val="24"/>
        </w:rPr>
        <w:t xml:space="preserve">τους </w:t>
      </w:r>
      <w:r w:rsidR="004B226D">
        <w:rPr>
          <w:sz w:val="24"/>
          <w:szCs w:val="24"/>
        </w:rPr>
        <w:t>(Veivia</w:t>
      </w:r>
      <w:r w:rsidR="004B226D" w:rsidRPr="004B226D">
        <w:rPr>
          <w:sz w:val="24"/>
          <w:szCs w:val="24"/>
        </w:rPr>
        <w:t xml:space="preserve">, </w:t>
      </w:r>
      <w:r w:rsidR="004B226D" w:rsidRPr="004B226D">
        <w:rPr>
          <w:rFonts w:asciiTheme="minorHAnsi" w:hAnsiTheme="minorHAnsi" w:cstheme="minorHAnsi"/>
          <w:sz w:val="24"/>
          <w:szCs w:val="24"/>
          <w:lang w:val="en-US"/>
        </w:rPr>
        <w:t>Bailie</w:t>
      </w:r>
      <w:r w:rsidR="00D75F89">
        <w:rPr>
          <w:rFonts w:asciiTheme="minorHAnsi" w:hAnsiTheme="minorHAnsi" w:cstheme="minorHAnsi"/>
          <w:sz w:val="24"/>
          <w:szCs w:val="24"/>
        </w:rPr>
        <w:t>,</w:t>
      </w:r>
      <w:r w:rsidR="004B226D" w:rsidRPr="004B226D">
        <w:rPr>
          <w:rFonts w:asciiTheme="minorHAnsi" w:hAnsiTheme="minorHAnsi" w:cstheme="minorHAnsi"/>
          <w:sz w:val="24"/>
          <w:szCs w:val="24"/>
        </w:rPr>
        <w:t xml:space="preserve"> &amp; </w:t>
      </w:r>
      <w:r w:rsidR="004B226D" w:rsidRPr="004B226D">
        <w:rPr>
          <w:rFonts w:asciiTheme="minorHAnsi" w:hAnsiTheme="minorHAnsi" w:cstheme="minorHAnsi"/>
          <w:sz w:val="24"/>
          <w:szCs w:val="24"/>
          <w:lang w:val="en-US"/>
        </w:rPr>
        <w:t>Eisele</w:t>
      </w:r>
      <w:r w:rsidR="00D75F89">
        <w:rPr>
          <w:rFonts w:asciiTheme="minorHAnsi" w:hAnsiTheme="minorHAnsi" w:cstheme="minorHAnsi"/>
          <w:sz w:val="24"/>
          <w:szCs w:val="24"/>
        </w:rPr>
        <w:t>,</w:t>
      </w:r>
      <w:r w:rsidR="004B226D" w:rsidRPr="005A464E">
        <w:rPr>
          <w:sz w:val="24"/>
          <w:szCs w:val="24"/>
        </w:rPr>
        <w:t xml:space="preserve"> </w:t>
      </w:r>
      <w:r w:rsidR="007E2079" w:rsidRPr="005A464E">
        <w:rPr>
          <w:sz w:val="24"/>
          <w:szCs w:val="24"/>
        </w:rPr>
        <w:t>1995).</w:t>
      </w:r>
    </w:p>
    <w:p w:rsidR="003A7B4C" w:rsidRPr="008E7ECD" w:rsidRDefault="003A7B4C" w:rsidP="005A464E">
      <w:pPr>
        <w:spacing w:line="360" w:lineRule="auto"/>
        <w:jc w:val="both"/>
        <w:rPr>
          <w:rFonts w:cs="Arial"/>
          <w:sz w:val="24"/>
          <w:szCs w:val="24"/>
        </w:rPr>
      </w:pPr>
      <w:r w:rsidRPr="005A464E">
        <w:rPr>
          <w:rStyle w:val="element-citation"/>
          <w:rFonts w:cs="Arial"/>
          <w:sz w:val="24"/>
          <w:szCs w:val="24"/>
        </w:rPr>
        <w:t xml:space="preserve">Σε μελέτη που διεξήχθη στην Αίγυπτο μελετήθηκε η συχνότητα υπερφωσφαταιμίας μεταξύ 38 ασθενών υπό αιμοκάθαρση. Παρατηρήθηκε αξιοσημείωτη </w:t>
      </w:r>
      <w:r w:rsidR="008C1773">
        <w:rPr>
          <w:rStyle w:val="element-citation"/>
          <w:rFonts w:cs="Arial"/>
          <w:sz w:val="24"/>
          <w:szCs w:val="24"/>
        </w:rPr>
        <w:t>συσ</w:t>
      </w:r>
      <w:r w:rsidRPr="005A464E">
        <w:rPr>
          <w:rStyle w:val="element-citation"/>
          <w:rFonts w:cs="Arial"/>
          <w:sz w:val="24"/>
          <w:szCs w:val="24"/>
        </w:rPr>
        <w:t>χέ</w:t>
      </w:r>
      <w:r w:rsidR="008C1773">
        <w:rPr>
          <w:rStyle w:val="element-citation"/>
          <w:rFonts w:cs="Arial"/>
          <w:sz w:val="24"/>
          <w:szCs w:val="24"/>
        </w:rPr>
        <w:t>τι</w:t>
      </w:r>
      <w:r w:rsidRPr="005A464E">
        <w:rPr>
          <w:rStyle w:val="element-citation"/>
          <w:rFonts w:cs="Arial"/>
          <w:sz w:val="24"/>
          <w:szCs w:val="24"/>
        </w:rPr>
        <w:t>ση μεταξύ των επιπέδων φωσφόρου και της γνώσης των διαιτητικών παραμέτρων. Οι ασθενείς με μειωμένη γνώση (8</w:t>
      </w:r>
      <w:r w:rsidR="00EF6A06">
        <w:rPr>
          <w:rStyle w:val="element-citation"/>
          <w:rFonts w:cs="Arial"/>
          <w:sz w:val="24"/>
          <w:szCs w:val="24"/>
        </w:rPr>
        <w:t>3,</w:t>
      </w:r>
      <w:r w:rsidRPr="005A464E">
        <w:rPr>
          <w:rStyle w:val="element-citation"/>
          <w:rFonts w:cs="Arial"/>
          <w:sz w:val="24"/>
          <w:szCs w:val="24"/>
        </w:rPr>
        <w:t>2%) είχαν υψηλότερα επίπεδα φωσφόρου</w:t>
      </w:r>
      <w:r w:rsidR="0078495A">
        <w:rPr>
          <w:rStyle w:val="element-citation"/>
          <w:rFonts w:cs="Arial"/>
          <w:sz w:val="24"/>
          <w:szCs w:val="24"/>
        </w:rPr>
        <w:t xml:space="preserve"> </w:t>
      </w:r>
      <w:r w:rsidRPr="005A464E">
        <w:rPr>
          <w:rStyle w:val="element-citation"/>
          <w:rFonts w:cs="Arial"/>
          <w:sz w:val="24"/>
          <w:szCs w:val="24"/>
        </w:rPr>
        <w:t>σε σχέση με εκείνους που είχαν υψηλότερα επίπεδα γνώσεων (6</w:t>
      </w:r>
      <w:r w:rsidR="00B05131">
        <w:rPr>
          <w:rStyle w:val="element-citation"/>
          <w:rFonts w:cs="Arial"/>
          <w:sz w:val="24"/>
          <w:szCs w:val="24"/>
        </w:rPr>
        <w:t>7,</w:t>
      </w:r>
      <w:r w:rsidRPr="005A464E">
        <w:rPr>
          <w:rStyle w:val="element-citation"/>
          <w:rFonts w:cs="Arial"/>
          <w:sz w:val="24"/>
          <w:szCs w:val="24"/>
        </w:rPr>
        <w:t>6%)</w:t>
      </w:r>
      <w:r w:rsidR="004B226D" w:rsidRPr="004B226D">
        <w:rPr>
          <w:rStyle w:val="element-citation"/>
          <w:rFonts w:cs="Arial"/>
          <w:sz w:val="24"/>
          <w:szCs w:val="24"/>
        </w:rPr>
        <w:t xml:space="preserve"> </w:t>
      </w:r>
      <w:r w:rsidR="008E7ECD">
        <w:rPr>
          <w:rStyle w:val="element-citation"/>
          <w:rFonts w:cs="Arial"/>
          <w:sz w:val="24"/>
          <w:szCs w:val="24"/>
        </w:rPr>
        <w:t>(</w:t>
      </w:r>
      <w:r w:rsidR="008E7ECD" w:rsidRPr="008E7ECD">
        <w:rPr>
          <w:rStyle w:val="element-citation"/>
          <w:rFonts w:cs="Arial"/>
          <w:sz w:val="24"/>
          <w:szCs w:val="24"/>
        </w:rPr>
        <w:t>Afifi,</w:t>
      </w:r>
      <w:r w:rsidR="008E7ECD" w:rsidRPr="008E7ECD">
        <w:rPr>
          <w:rFonts w:asciiTheme="minorHAnsi" w:hAnsiTheme="minorHAnsi" w:cstheme="minorHAnsi"/>
          <w:sz w:val="24"/>
          <w:szCs w:val="24"/>
        </w:rPr>
        <w:t xml:space="preserve"> </w:t>
      </w:r>
      <w:r w:rsidR="008E7ECD" w:rsidRPr="008E7ECD">
        <w:rPr>
          <w:rFonts w:asciiTheme="minorHAnsi" w:hAnsiTheme="minorHAnsi" w:cstheme="minorHAnsi"/>
          <w:sz w:val="24"/>
          <w:szCs w:val="24"/>
          <w:lang w:val="en-US"/>
        </w:rPr>
        <w:t>El</w:t>
      </w:r>
      <w:r w:rsidR="008E7ECD" w:rsidRPr="008E7ECD">
        <w:rPr>
          <w:rFonts w:asciiTheme="minorHAnsi" w:hAnsiTheme="minorHAnsi" w:cstheme="minorHAnsi"/>
          <w:sz w:val="24"/>
          <w:szCs w:val="24"/>
        </w:rPr>
        <w:t>-</w:t>
      </w:r>
      <w:r w:rsidR="008E7ECD" w:rsidRPr="008E7ECD">
        <w:rPr>
          <w:rFonts w:asciiTheme="minorHAnsi" w:hAnsiTheme="minorHAnsi" w:cstheme="minorHAnsi"/>
          <w:sz w:val="24"/>
          <w:szCs w:val="24"/>
          <w:lang w:val="en-US"/>
        </w:rPr>
        <w:t>Sayed</w:t>
      </w:r>
      <w:r w:rsidR="008E7ECD">
        <w:rPr>
          <w:rFonts w:asciiTheme="minorHAnsi" w:hAnsiTheme="minorHAnsi" w:cstheme="minorHAnsi"/>
          <w:sz w:val="24"/>
          <w:szCs w:val="24"/>
        </w:rPr>
        <w:t>,</w:t>
      </w:r>
      <w:r w:rsidR="008E7ECD" w:rsidRPr="008E7ECD">
        <w:rPr>
          <w:rFonts w:asciiTheme="minorHAnsi" w:hAnsiTheme="minorHAnsi" w:cstheme="minorHAnsi"/>
          <w:sz w:val="24"/>
          <w:szCs w:val="24"/>
        </w:rPr>
        <w:t xml:space="preserve"> </w:t>
      </w:r>
      <w:r w:rsidR="008E7ECD" w:rsidRPr="008E7ECD">
        <w:rPr>
          <w:rFonts w:asciiTheme="minorHAnsi" w:hAnsiTheme="minorHAnsi" w:cstheme="minorHAnsi"/>
          <w:sz w:val="24"/>
          <w:szCs w:val="24"/>
          <w:lang w:val="en-US"/>
        </w:rPr>
        <w:t>El</w:t>
      </w:r>
      <w:r w:rsidR="008E7ECD" w:rsidRPr="008E7ECD">
        <w:rPr>
          <w:rFonts w:asciiTheme="minorHAnsi" w:hAnsiTheme="minorHAnsi" w:cstheme="minorHAnsi"/>
          <w:sz w:val="24"/>
          <w:szCs w:val="24"/>
        </w:rPr>
        <w:t>-</w:t>
      </w:r>
      <w:r w:rsidR="008E7ECD" w:rsidRPr="008E7ECD">
        <w:rPr>
          <w:rFonts w:asciiTheme="minorHAnsi" w:hAnsiTheme="minorHAnsi" w:cstheme="minorHAnsi"/>
          <w:sz w:val="24"/>
          <w:szCs w:val="24"/>
          <w:lang w:val="en-US"/>
        </w:rPr>
        <w:t>Setouhi</w:t>
      </w:r>
      <w:r w:rsidR="008E7ECD" w:rsidRPr="008E7ECD">
        <w:rPr>
          <w:rFonts w:asciiTheme="minorHAnsi" w:hAnsiTheme="minorHAnsi" w:cstheme="minorHAnsi"/>
          <w:sz w:val="24"/>
          <w:szCs w:val="24"/>
        </w:rPr>
        <w:t xml:space="preserve">, </w:t>
      </w:r>
      <w:r w:rsidR="008E7ECD" w:rsidRPr="008E7ECD">
        <w:rPr>
          <w:rFonts w:asciiTheme="minorHAnsi" w:hAnsiTheme="minorHAnsi" w:cstheme="minorHAnsi"/>
          <w:sz w:val="24"/>
          <w:szCs w:val="24"/>
          <w:lang w:val="en-US"/>
        </w:rPr>
        <w:t>Ahmed</w:t>
      </w:r>
      <w:r w:rsidR="008E7ECD" w:rsidRPr="008E7ECD">
        <w:rPr>
          <w:rFonts w:asciiTheme="minorHAnsi" w:hAnsiTheme="minorHAnsi" w:cstheme="minorHAnsi"/>
          <w:sz w:val="24"/>
          <w:szCs w:val="24"/>
        </w:rPr>
        <w:t xml:space="preserve">, &amp; </w:t>
      </w:r>
      <w:r w:rsidR="008E7ECD" w:rsidRPr="008E7ECD">
        <w:rPr>
          <w:rFonts w:asciiTheme="minorHAnsi" w:hAnsiTheme="minorHAnsi" w:cstheme="minorHAnsi"/>
          <w:sz w:val="24"/>
          <w:szCs w:val="24"/>
          <w:lang w:val="en-US"/>
        </w:rPr>
        <w:t>Khalifa</w:t>
      </w:r>
      <w:r w:rsidR="008E7ECD" w:rsidRPr="008E7ECD">
        <w:rPr>
          <w:rFonts w:asciiTheme="minorHAnsi" w:hAnsiTheme="minorHAnsi" w:cstheme="minorHAnsi"/>
          <w:sz w:val="24"/>
          <w:szCs w:val="24"/>
        </w:rPr>
        <w:t>,</w:t>
      </w:r>
      <w:r w:rsidR="00125896" w:rsidRPr="00125896">
        <w:rPr>
          <w:rFonts w:asciiTheme="minorHAnsi" w:hAnsiTheme="minorHAnsi" w:cstheme="minorHAnsi"/>
          <w:sz w:val="24"/>
          <w:szCs w:val="24"/>
        </w:rPr>
        <w:t xml:space="preserve"> </w:t>
      </w:r>
      <w:r w:rsidR="004B226D" w:rsidRPr="008E7ECD">
        <w:rPr>
          <w:rStyle w:val="element-citation"/>
          <w:rFonts w:cs="Arial"/>
          <w:sz w:val="24"/>
          <w:szCs w:val="24"/>
        </w:rPr>
        <w:t>2005)</w:t>
      </w:r>
      <w:r w:rsidRPr="008E7ECD">
        <w:rPr>
          <w:rStyle w:val="element-citation"/>
          <w:rFonts w:cs="Arial"/>
          <w:sz w:val="24"/>
          <w:szCs w:val="24"/>
        </w:rPr>
        <w:t xml:space="preserve">. </w:t>
      </w:r>
    </w:p>
    <w:p w:rsidR="00D271F7" w:rsidRPr="005A464E" w:rsidRDefault="00CD4698" w:rsidP="005A464E">
      <w:pPr>
        <w:spacing w:line="360" w:lineRule="auto"/>
        <w:jc w:val="both"/>
        <w:rPr>
          <w:sz w:val="24"/>
          <w:szCs w:val="24"/>
        </w:rPr>
      </w:pPr>
      <w:r w:rsidRPr="005A464E">
        <w:rPr>
          <w:sz w:val="24"/>
          <w:szCs w:val="24"/>
        </w:rPr>
        <w:t xml:space="preserve"> Τα</w:t>
      </w:r>
      <w:r w:rsidR="0081777B" w:rsidRPr="005A464E">
        <w:rPr>
          <w:sz w:val="24"/>
          <w:szCs w:val="24"/>
        </w:rPr>
        <w:t xml:space="preserve"> ευρήματα στη μελέτη της ανάπτυξης του ερωτηματολογίου </w:t>
      </w:r>
      <w:r w:rsidR="0081777B" w:rsidRPr="005A464E">
        <w:rPr>
          <w:sz w:val="24"/>
          <w:szCs w:val="24"/>
          <w:lang w:val="en-US"/>
        </w:rPr>
        <w:t>Kidney</w:t>
      </w:r>
      <w:r w:rsidR="004F0DD2" w:rsidRPr="005A464E">
        <w:rPr>
          <w:sz w:val="24"/>
          <w:szCs w:val="24"/>
        </w:rPr>
        <w:t xml:space="preserve"> </w:t>
      </w:r>
      <w:r w:rsidR="0081777B" w:rsidRPr="005A464E">
        <w:rPr>
          <w:sz w:val="24"/>
          <w:szCs w:val="24"/>
          <w:lang w:val="en-US"/>
        </w:rPr>
        <w:t>Disease</w:t>
      </w:r>
      <w:r w:rsidR="004F0DD2" w:rsidRPr="005A464E">
        <w:rPr>
          <w:sz w:val="24"/>
          <w:szCs w:val="24"/>
        </w:rPr>
        <w:t xml:space="preserve"> </w:t>
      </w:r>
      <w:r w:rsidR="0081777B" w:rsidRPr="005A464E">
        <w:rPr>
          <w:sz w:val="24"/>
          <w:szCs w:val="24"/>
          <w:lang w:val="en-US"/>
        </w:rPr>
        <w:t>Questionnaire</w:t>
      </w:r>
      <w:r w:rsidR="0081777B" w:rsidRPr="005A464E">
        <w:rPr>
          <w:sz w:val="24"/>
          <w:szCs w:val="24"/>
        </w:rPr>
        <w:t xml:space="preserve"> ως εργαλείο για τη </w:t>
      </w:r>
      <w:r w:rsidR="0061609B" w:rsidRPr="005A464E">
        <w:rPr>
          <w:sz w:val="24"/>
          <w:szCs w:val="24"/>
        </w:rPr>
        <w:t>μέτρηση</w:t>
      </w:r>
      <w:r w:rsidR="0081777B" w:rsidRPr="005A464E">
        <w:rPr>
          <w:sz w:val="24"/>
          <w:szCs w:val="24"/>
        </w:rPr>
        <w:t xml:space="preserve"> του </w:t>
      </w:r>
      <w:r w:rsidR="0061609B" w:rsidRPr="005A464E">
        <w:rPr>
          <w:sz w:val="24"/>
          <w:szCs w:val="24"/>
        </w:rPr>
        <w:t>επιπέδου</w:t>
      </w:r>
      <w:r w:rsidR="004F0DD2" w:rsidRPr="005A464E">
        <w:rPr>
          <w:sz w:val="24"/>
          <w:szCs w:val="24"/>
        </w:rPr>
        <w:t xml:space="preserve"> </w:t>
      </w:r>
      <w:r w:rsidR="0061609B" w:rsidRPr="005A464E">
        <w:rPr>
          <w:sz w:val="24"/>
          <w:szCs w:val="24"/>
        </w:rPr>
        <w:t>γνώσεων</w:t>
      </w:r>
      <w:r w:rsidR="0081777B" w:rsidRPr="005A464E">
        <w:rPr>
          <w:sz w:val="24"/>
          <w:szCs w:val="24"/>
        </w:rPr>
        <w:t xml:space="preserve"> των ασθενών</w:t>
      </w:r>
      <w:r w:rsidR="0061609B" w:rsidRPr="005A464E">
        <w:rPr>
          <w:sz w:val="24"/>
          <w:szCs w:val="24"/>
        </w:rPr>
        <w:t xml:space="preserve"> από τους </w:t>
      </w:r>
      <w:r w:rsidR="0061609B" w:rsidRPr="005A464E">
        <w:rPr>
          <w:sz w:val="24"/>
          <w:szCs w:val="24"/>
          <w:lang w:val="en-US"/>
        </w:rPr>
        <w:t>Devins</w:t>
      </w:r>
      <w:r w:rsidR="0061609B" w:rsidRPr="005A464E">
        <w:rPr>
          <w:sz w:val="24"/>
          <w:szCs w:val="24"/>
        </w:rPr>
        <w:t xml:space="preserve"> </w:t>
      </w:r>
      <w:r w:rsidR="00566CAA">
        <w:rPr>
          <w:sz w:val="24"/>
          <w:szCs w:val="24"/>
        </w:rPr>
        <w:t>et al</w:t>
      </w:r>
      <w:r w:rsidR="004B226D" w:rsidRPr="004B226D">
        <w:rPr>
          <w:sz w:val="24"/>
          <w:szCs w:val="24"/>
        </w:rPr>
        <w:t>.</w:t>
      </w:r>
      <w:r w:rsidR="0061609B" w:rsidRPr="005A464E">
        <w:rPr>
          <w:sz w:val="24"/>
          <w:szCs w:val="24"/>
        </w:rPr>
        <w:t xml:space="preserve"> (1990) έδειξαν ότι οι ασθενείς μετά από εκπαιδευτική παρέμβαση είχαν σημαντική αύξηση του επιπέδου των γνώσεων. Επιπλέον, οι νεότεροι ασθενείς είχαν υψηλότερο επίπεδο γνώσεων για την νεφρική νόσο σε σύγκριση με τους μεγαλύτερους.</w:t>
      </w:r>
    </w:p>
    <w:p w:rsidR="003A7B4C" w:rsidRPr="005A464E" w:rsidRDefault="003A7B4C" w:rsidP="005A464E">
      <w:pPr>
        <w:spacing w:line="360" w:lineRule="auto"/>
        <w:jc w:val="both"/>
        <w:rPr>
          <w:sz w:val="24"/>
          <w:szCs w:val="24"/>
        </w:rPr>
      </w:pPr>
      <w:r w:rsidRPr="005A464E">
        <w:rPr>
          <w:sz w:val="24"/>
          <w:szCs w:val="24"/>
        </w:rPr>
        <w:t xml:space="preserve">Οι Cavanaugh </w:t>
      </w:r>
      <w:r w:rsidR="00566CAA">
        <w:rPr>
          <w:sz w:val="24"/>
          <w:szCs w:val="24"/>
        </w:rPr>
        <w:t>et al</w:t>
      </w:r>
      <w:r w:rsidR="00675208" w:rsidRPr="00872FD2">
        <w:rPr>
          <w:sz w:val="24"/>
          <w:szCs w:val="24"/>
        </w:rPr>
        <w:t>.</w:t>
      </w:r>
      <w:r w:rsidRPr="005A464E">
        <w:rPr>
          <w:sz w:val="24"/>
          <w:szCs w:val="24"/>
        </w:rPr>
        <w:t xml:space="preserve"> (2009) μελέτησαν το επίπεδο γνώσεων σχετικά με την αγγειακή προσπέλαση μεταξύ ασθενών με χαμηλό εκπαιδευτικό επίπεδο και μεταξύ ασθενών καλά πληροφορημένων. Οι ερευνητές τονίζουν ότι</w:t>
      </w:r>
      <w:r w:rsidR="0078495A">
        <w:rPr>
          <w:sz w:val="24"/>
          <w:szCs w:val="24"/>
        </w:rPr>
        <w:t xml:space="preserve"> </w:t>
      </w:r>
      <w:r w:rsidRPr="005A464E">
        <w:rPr>
          <w:sz w:val="24"/>
          <w:szCs w:val="24"/>
        </w:rPr>
        <w:t>οι ασθενείς είχαν χαμηλό επίπεδο πληροφόρησης σχετικά με την αγγειακή προσπέλαση. Στην έναρξη της μελέτης, μόνο το 26% των ασθενών χρησιμοποιούσε αρτηριοφλεβική αναστόμωση ή</w:t>
      </w:r>
      <w:r w:rsidR="008C1773">
        <w:rPr>
          <w:sz w:val="24"/>
          <w:szCs w:val="24"/>
        </w:rPr>
        <w:t xml:space="preserve"> μόσχευμα. Μετά από 3 και</w:t>
      </w:r>
      <w:r w:rsidR="00943A13" w:rsidRPr="005A464E">
        <w:rPr>
          <w:sz w:val="24"/>
          <w:szCs w:val="24"/>
        </w:rPr>
        <w:t xml:space="preserve"> 6 μήνες</w:t>
      </w:r>
      <w:r w:rsidRPr="005A464E">
        <w:rPr>
          <w:sz w:val="24"/>
          <w:szCs w:val="24"/>
        </w:rPr>
        <w:t>, η χρήση της αρτηριοφλεβικής αναστόμωση</w:t>
      </w:r>
      <w:r w:rsidR="008C1773">
        <w:rPr>
          <w:sz w:val="24"/>
          <w:szCs w:val="24"/>
        </w:rPr>
        <w:t>ς και</w:t>
      </w:r>
      <w:r w:rsidRPr="005A464E">
        <w:rPr>
          <w:sz w:val="24"/>
          <w:szCs w:val="24"/>
        </w:rPr>
        <w:t xml:space="preserve"> του μοσχεύματος αυξήθηκε στο 41% και 58% αντίστοιχα. Από την μελέτη δείχθηκε ότι οι ασθενείς που ήταν καλά πληροφορημένοι είχαν καλύτερη αλληλεπίδραση με το σύστημα υγείας. Στη συγκεκριμένη μελέτη δεν έγινε εκπαιδευτική παρέμβαση.</w:t>
      </w:r>
    </w:p>
    <w:p w:rsidR="00212846" w:rsidRPr="005A464E" w:rsidRDefault="00212846" w:rsidP="005A464E">
      <w:pPr>
        <w:spacing w:line="360" w:lineRule="auto"/>
        <w:jc w:val="both"/>
        <w:rPr>
          <w:sz w:val="24"/>
          <w:szCs w:val="24"/>
        </w:rPr>
      </w:pPr>
      <w:r w:rsidRPr="005A464E">
        <w:rPr>
          <w:sz w:val="24"/>
          <w:szCs w:val="24"/>
        </w:rPr>
        <w:t>Σε μελέτη συμμόρφωσης στη διαιτητική αγωγή και στον περιορισμό στα υγρά μεταξύ Κινέζων ασθενών, περισσότερο από το 5</w:t>
      </w:r>
      <w:r w:rsidR="00531A46">
        <w:rPr>
          <w:sz w:val="24"/>
          <w:szCs w:val="24"/>
        </w:rPr>
        <w:t>0% των ασθενών δε συμμορφώθηκε</w:t>
      </w:r>
      <w:r w:rsidRPr="005A464E">
        <w:rPr>
          <w:sz w:val="24"/>
          <w:szCs w:val="24"/>
        </w:rPr>
        <w:t xml:space="preserve"> (</w:t>
      </w:r>
      <w:r w:rsidRPr="005A464E">
        <w:rPr>
          <w:sz w:val="24"/>
          <w:szCs w:val="24"/>
          <w:lang w:val="en-US"/>
        </w:rPr>
        <w:t>Lee</w:t>
      </w:r>
      <w:r w:rsidRPr="005A464E">
        <w:rPr>
          <w:sz w:val="24"/>
          <w:szCs w:val="24"/>
        </w:rPr>
        <w:t xml:space="preserve"> &amp; </w:t>
      </w:r>
      <w:r w:rsidRPr="005A464E">
        <w:rPr>
          <w:sz w:val="24"/>
          <w:szCs w:val="24"/>
          <w:lang w:val="en-US"/>
        </w:rPr>
        <w:t>Molassiotis</w:t>
      </w:r>
      <w:r w:rsidR="00AB454B">
        <w:rPr>
          <w:sz w:val="24"/>
          <w:szCs w:val="24"/>
        </w:rPr>
        <w:t>,</w:t>
      </w:r>
      <w:r w:rsidRPr="005A464E">
        <w:rPr>
          <w:sz w:val="24"/>
          <w:szCs w:val="24"/>
        </w:rPr>
        <w:t xml:space="preserve"> 2002). Οι ερευνητές διαπίστωσαν ότι η συμμόρφωση ήταν ανεξάρτητη από τη γνώση και τις πεποιθήσεις για την υγεία.</w:t>
      </w:r>
    </w:p>
    <w:p w:rsidR="00943A13" w:rsidRPr="00873745" w:rsidRDefault="00943A13" w:rsidP="005A464E">
      <w:pPr>
        <w:spacing w:line="360" w:lineRule="auto"/>
        <w:jc w:val="both"/>
        <w:rPr>
          <w:sz w:val="24"/>
          <w:szCs w:val="24"/>
        </w:rPr>
      </w:pPr>
      <w:r w:rsidRPr="005A464E">
        <w:rPr>
          <w:sz w:val="24"/>
          <w:szCs w:val="24"/>
        </w:rPr>
        <w:t>Σε ερευνητική μελέτη στη Βο</w:t>
      </w:r>
      <w:r w:rsidR="007E6A3E" w:rsidRPr="005A464E">
        <w:rPr>
          <w:sz w:val="24"/>
          <w:szCs w:val="24"/>
        </w:rPr>
        <w:t xml:space="preserve">ρειοδυτική Λουισιάνα το </w:t>
      </w:r>
      <w:r w:rsidR="007E6A3E" w:rsidRPr="00A4175B">
        <w:rPr>
          <w:sz w:val="24"/>
          <w:szCs w:val="24"/>
        </w:rPr>
        <w:t>2011, ο</w:t>
      </w:r>
      <w:r w:rsidRPr="00A4175B">
        <w:rPr>
          <w:sz w:val="24"/>
          <w:szCs w:val="24"/>
        </w:rPr>
        <w:t xml:space="preserve"> </w:t>
      </w:r>
      <w:r w:rsidRPr="00A4175B">
        <w:rPr>
          <w:sz w:val="24"/>
          <w:szCs w:val="24"/>
          <w:lang w:val="en-US"/>
        </w:rPr>
        <w:t>Wells</w:t>
      </w:r>
      <w:r w:rsidR="0084637E" w:rsidRPr="00A4175B">
        <w:rPr>
          <w:sz w:val="24"/>
          <w:szCs w:val="24"/>
        </w:rPr>
        <w:t xml:space="preserve"> ανέφερε</w:t>
      </w:r>
      <w:r w:rsidRPr="00A4175B">
        <w:rPr>
          <w:sz w:val="24"/>
          <w:szCs w:val="24"/>
        </w:rPr>
        <w:t xml:space="preserve"> σημαντική αύξηση του επιπέδου της γνώσης των ασθενών υπό α</w:t>
      </w:r>
      <w:r w:rsidRPr="005A464E">
        <w:rPr>
          <w:sz w:val="24"/>
          <w:szCs w:val="24"/>
        </w:rPr>
        <w:t xml:space="preserve">ιμοκάθαρση μετά από εκπαιδευτική παρέμβαση. </w:t>
      </w:r>
      <w:r w:rsidR="0084637E" w:rsidRPr="00A4175B">
        <w:rPr>
          <w:sz w:val="24"/>
          <w:szCs w:val="24"/>
        </w:rPr>
        <w:t>Ωστόσο</w:t>
      </w:r>
      <w:r w:rsidRPr="005A464E">
        <w:rPr>
          <w:sz w:val="24"/>
          <w:szCs w:val="24"/>
        </w:rPr>
        <w:t>, η αύξηση του επιπέδου των γνώσεων δεν συνοδεύτηκε και από αύξηση του επιπέδου συμμόρφωσης στο θεραπευτικό σχήμα (</w:t>
      </w:r>
      <w:r w:rsidRPr="005A464E">
        <w:rPr>
          <w:sz w:val="24"/>
          <w:szCs w:val="24"/>
          <w:lang w:val="en-US"/>
        </w:rPr>
        <w:t>Wells</w:t>
      </w:r>
      <w:r w:rsidR="004B226D" w:rsidRPr="004B226D">
        <w:rPr>
          <w:sz w:val="24"/>
          <w:szCs w:val="24"/>
        </w:rPr>
        <w:t>,</w:t>
      </w:r>
      <w:r w:rsidRPr="005A464E">
        <w:rPr>
          <w:sz w:val="24"/>
          <w:szCs w:val="24"/>
        </w:rPr>
        <w:t xml:space="preserve"> 2011). Πολλές μελέτες έδειξαν ότι η αύξηση του επιπέδου των γνώσεων από μόνη της δεν μπορεί να οδηγήσει σε αύξηση του επιπέδου συμμό</w:t>
      </w:r>
      <w:r w:rsidR="0062205E">
        <w:rPr>
          <w:sz w:val="24"/>
          <w:szCs w:val="24"/>
        </w:rPr>
        <w:t>ρφωσης των ασθενών (</w:t>
      </w:r>
      <w:r w:rsidR="0084637E" w:rsidRPr="005A464E">
        <w:rPr>
          <w:sz w:val="24"/>
          <w:szCs w:val="24"/>
          <w:lang w:val="en-US"/>
        </w:rPr>
        <w:t>Lorig</w:t>
      </w:r>
      <w:r w:rsidR="0084637E">
        <w:rPr>
          <w:sz w:val="24"/>
          <w:szCs w:val="24"/>
        </w:rPr>
        <w:t>,</w:t>
      </w:r>
      <w:r w:rsidR="0084637E" w:rsidRPr="005A464E">
        <w:rPr>
          <w:sz w:val="24"/>
          <w:szCs w:val="24"/>
        </w:rPr>
        <w:t xml:space="preserve"> </w:t>
      </w:r>
      <w:r w:rsidR="0084637E" w:rsidRPr="00873745">
        <w:rPr>
          <w:rFonts w:asciiTheme="minorHAnsi" w:hAnsiTheme="minorHAnsi" w:cstheme="minorHAnsi"/>
          <w:sz w:val="24"/>
          <w:szCs w:val="24"/>
          <w:lang w:val="en-US"/>
        </w:rPr>
        <w:t>Sobel</w:t>
      </w:r>
      <w:r w:rsidR="0084637E" w:rsidRPr="00873745">
        <w:rPr>
          <w:rFonts w:asciiTheme="minorHAnsi" w:hAnsiTheme="minorHAnsi" w:cstheme="minorHAnsi"/>
          <w:sz w:val="24"/>
          <w:szCs w:val="24"/>
        </w:rPr>
        <w:t xml:space="preserve">, </w:t>
      </w:r>
      <w:r w:rsidR="0084637E" w:rsidRPr="00873745">
        <w:rPr>
          <w:rFonts w:asciiTheme="minorHAnsi" w:hAnsiTheme="minorHAnsi" w:cstheme="minorHAnsi"/>
          <w:sz w:val="24"/>
          <w:szCs w:val="24"/>
          <w:lang w:val="en-US"/>
        </w:rPr>
        <w:t>Ritter</w:t>
      </w:r>
      <w:r w:rsidR="0084637E" w:rsidRPr="00873745">
        <w:rPr>
          <w:rFonts w:asciiTheme="minorHAnsi" w:hAnsiTheme="minorHAnsi" w:cstheme="minorHAnsi"/>
          <w:sz w:val="24"/>
          <w:szCs w:val="24"/>
        </w:rPr>
        <w:t xml:space="preserve">, </w:t>
      </w:r>
      <w:r w:rsidR="0084637E" w:rsidRPr="00873745">
        <w:rPr>
          <w:rFonts w:asciiTheme="minorHAnsi" w:hAnsiTheme="minorHAnsi" w:cstheme="minorHAnsi"/>
          <w:sz w:val="24"/>
          <w:szCs w:val="24"/>
          <w:lang w:val="en-US"/>
        </w:rPr>
        <w:t>Laurent</w:t>
      </w:r>
      <w:r w:rsidR="0084637E">
        <w:rPr>
          <w:rFonts w:asciiTheme="minorHAnsi" w:hAnsiTheme="minorHAnsi" w:cstheme="minorHAnsi"/>
          <w:sz w:val="24"/>
          <w:szCs w:val="24"/>
        </w:rPr>
        <w:t>,</w:t>
      </w:r>
      <w:r w:rsidR="0084637E" w:rsidRPr="00873745">
        <w:rPr>
          <w:rFonts w:asciiTheme="minorHAnsi" w:hAnsiTheme="minorHAnsi" w:cstheme="minorHAnsi"/>
          <w:sz w:val="24"/>
          <w:szCs w:val="24"/>
        </w:rPr>
        <w:t xml:space="preserve"> &amp; </w:t>
      </w:r>
      <w:r w:rsidR="0084637E" w:rsidRPr="00873745">
        <w:rPr>
          <w:rFonts w:asciiTheme="minorHAnsi" w:hAnsiTheme="minorHAnsi" w:cstheme="minorHAnsi"/>
          <w:sz w:val="24"/>
          <w:szCs w:val="24"/>
          <w:lang w:val="en-US"/>
        </w:rPr>
        <w:t>Hobbs</w:t>
      </w:r>
      <w:r w:rsidR="0084637E">
        <w:rPr>
          <w:rFonts w:asciiTheme="minorHAnsi" w:hAnsiTheme="minorHAnsi" w:cstheme="minorHAnsi"/>
          <w:sz w:val="24"/>
          <w:szCs w:val="24"/>
        </w:rPr>
        <w:t>,</w:t>
      </w:r>
      <w:r w:rsidR="0084637E" w:rsidRPr="00873745">
        <w:rPr>
          <w:sz w:val="24"/>
          <w:szCs w:val="24"/>
        </w:rPr>
        <w:t xml:space="preserve"> 2001</w:t>
      </w:r>
      <w:r w:rsidR="0084637E">
        <w:rPr>
          <w:sz w:val="24"/>
          <w:szCs w:val="24"/>
        </w:rPr>
        <w:t xml:space="preserve">; </w:t>
      </w:r>
      <w:r w:rsidR="0062205E">
        <w:rPr>
          <w:sz w:val="24"/>
          <w:szCs w:val="24"/>
        </w:rPr>
        <w:t>Bodenheimer</w:t>
      </w:r>
      <w:r w:rsidR="0062205E" w:rsidRPr="0062205E">
        <w:rPr>
          <w:sz w:val="24"/>
          <w:szCs w:val="24"/>
        </w:rPr>
        <w:t>,</w:t>
      </w:r>
      <w:r w:rsidR="0062205E" w:rsidRPr="0062205E">
        <w:rPr>
          <w:rFonts w:asciiTheme="minorHAnsi" w:hAnsiTheme="minorHAnsi" w:cstheme="minorHAnsi"/>
          <w:sz w:val="24"/>
          <w:szCs w:val="24"/>
        </w:rPr>
        <w:t xml:space="preserve"> </w:t>
      </w:r>
      <w:r w:rsidR="0062205E" w:rsidRPr="0062205E">
        <w:rPr>
          <w:rFonts w:asciiTheme="minorHAnsi" w:hAnsiTheme="minorHAnsi" w:cstheme="minorHAnsi"/>
          <w:sz w:val="24"/>
          <w:szCs w:val="24"/>
          <w:lang w:val="en-US"/>
        </w:rPr>
        <w:t>Lorig</w:t>
      </w:r>
      <w:r w:rsidR="0062205E" w:rsidRPr="0062205E">
        <w:rPr>
          <w:rFonts w:asciiTheme="minorHAnsi" w:hAnsiTheme="minorHAnsi" w:cstheme="minorHAnsi"/>
          <w:sz w:val="24"/>
          <w:szCs w:val="24"/>
        </w:rPr>
        <w:t xml:space="preserve">, </w:t>
      </w:r>
      <w:r w:rsidR="0062205E" w:rsidRPr="0062205E">
        <w:rPr>
          <w:rFonts w:asciiTheme="minorHAnsi" w:hAnsiTheme="minorHAnsi" w:cstheme="minorHAnsi"/>
          <w:sz w:val="24"/>
          <w:szCs w:val="24"/>
          <w:lang w:val="en-US"/>
        </w:rPr>
        <w:t>Holman</w:t>
      </w:r>
      <w:r w:rsidR="0062205E">
        <w:rPr>
          <w:rFonts w:asciiTheme="minorHAnsi" w:hAnsiTheme="minorHAnsi" w:cstheme="minorHAnsi"/>
          <w:sz w:val="24"/>
          <w:szCs w:val="24"/>
        </w:rPr>
        <w:t>,</w:t>
      </w:r>
      <w:r w:rsidR="0062205E" w:rsidRPr="0062205E">
        <w:rPr>
          <w:rFonts w:asciiTheme="minorHAnsi" w:hAnsiTheme="minorHAnsi" w:cstheme="minorHAnsi"/>
          <w:sz w:val="24"/>
          <w:szCs w:val="24"/>
        </w:rPr>
        <w:t xml:space="preserve"> &amp; </w:t>
      </w:r>
      <w:r w:rsidR="0062205E" w:rsidRPr="0062205E">
        <w:rPr>
          <w:rFonts w:asciiTheme="minorHAnsi" w:hAnsiTheme="minorHAnsi" w:cstheme="minorHAnsi"/>
          <w:sz w:val="24"/>
          <w:szCs w:val="24"/>
          <w:lang w:val="en-US"/>
        </w:rPr>
        <w:t>Grumbach</w:t>
      </w:r>
      <w:r w:rsidR="0062205E">
        <w:rPr>
          <w:rFonts w:asciiTheme="minorHAnsi" w:hAnsiTheme="minorHAnsi" w:cstheme="minorHAnsi"/>
          <w:sz w:val="24"/>
          <w:szCs w:val="24"/>
        </w:rPr>
        <w:t>,</w:t>
      </w:r>
      <w:r w:rsidRPr="0062205E">
        <w:rPr>
          <w:sz w:val="24"/>
          <w:szCs w:val="24"/>
        </w:rPr>
        <w:t xml:space="preserve"> 2002</w:t>
      </w:r>
      <w:r w:rsidRPr="005A464E">
        <w:rPr>
          <w:sz w:val="24"/>
          <w:szCs w:val="24"/>
        </w:rPr>
        <w:t xml:space="preserve">; </w:t>
      </w:r>
      <w:r w:rsidR="0084637E">
        <w:rPr>
          <w:sz w:val="24"/>
          <w:szCs w:val="24"/>
        </w:rPr>
        <w:t>Hill-Briggs</w:t>
      </w:r>
      <w:r w:rsidR="0084637E" w:rsidRPr="004B226D">
        <w:rPr>
          <w:sz w:val="24"/>
          <w:szCs w:val="24"/>
        </w:rPr>
        <w:t>,</w:t>
      </w:r>
      <w:r w:rsidR="0084637E" w:rsidRPr="005A464E">
        <w:rPr>
          <w:sz w:val="24"/>
          <w:szCs w:val="24"/>
        </w:rPr>
        <w:t xml:space="preserve"> 2003</w:t>
      </w:r>
      <w:r w:rsidR="0084637E">
        <w:rPr>
          <w:sz w:val="24"/>
          <w:szCs w:val="24"/>
        </w:rPr>
        <w:t xml:space="preserve">; </w:t>
      </w:r>
      <w:r w:rsidRPr="005A464E">
        <w:rPr>
          <w:sz w:val="24"/>
          <w:szCs w:val="24"/>
          <w:lang w:val="en-US"/>
        </w:rPr>
        <w:t>Hain</w:t>
      </w:r>
      <w:r w:rsidR="00533701">
        <w:rPr>
          <w:sz w:val="24"/>
          <w:szCs w:val="24"/>
        </w:rPr>
        <w:t>,</w:t>
      </w:r>
      <w:r w:rsidRPr="004B226D">
        <w:rPr>
          <w:sz w:val="24"/>
          <w:szCs w:val="24"/>
        </w:rPr>
        <w:t xml:space="preserve"> </w:t>
      </w:r>
      <w:r w:rsidR="004B226D" w:rsidRPr="004B226D">
        <w:rPr>
          <w:rFonts w:asciiTheme="minorHAnsi" w:hAnsiTheme="minorHAnsi" w:cstheme="minorHAnsi"/>
          <w:sz w:val="24"/>
          <w:szCs w:val="24"/>
          <w:lang w:val="en-US"/>
        </w:rPr>
        <w:t>Calvin</w:t>
      </w:r>
      <w:r w:rsidR="004B226D" w:rsidRPr="004B226D">
        <w:rPr>
          <w:rFonts w:asciiTheme="minorHAnsi" w:hAnsiTheme="minorHAnsi" w:cstheme="minorHAnsi"/>
          <w:sz w:val="24"/>
          <w:szCs w:val="24"/>
        </w:rPr>
        <w:t xml:space="preserve"> &amp; </w:t>
      </w:r>
      <w:r w:rsidR="004B226D" w:rsidRPr="004B226D">
        <w:rPr>
          <w:rFonts w:asciiTheme="minorHAnsi" w:hAnsiTheme="minorHAnsi" w:cstheme="minorHAnsi"/>
          <w:sz w:val="24"/>
          <w:szCs w:val="24"/>
          <w:lang w:val="en-US"/>
        </w:rPr>
        <w:t>Simmons</w:t>
      </w:r>
      <w:r w:rsidR="00AB454B">
        <w:rPr>
          <w:rFonts w:asciiTheme="minorHAnsi" w:hAnsiTheme="minorHAnsi" w:cstheme="minorHAnsi"/>
          <w:sz w:val="24"/>
          <w:szCs w:val="24"/>
        </w:rPr>
        <w:t>,</w:t>
      </w:r>
      <w:r w:rsidR="004B226D" w:rsidRPr="004B226D">
        <w:rPr>
          <w:sz w:val="24"/>
          <w:szCs w:val="24"/>
        </w:rPr>
        <w:t xml:space="preserve"> </w:t>
      </w:r>
      <w:r w:rsidRPr="004B226D">
        <w:rPr>
          <w:sz w:val="24"/>
          <w:szCs w:val="24"/>
        </w:rPr>
        <w:t>2009</w:t>
      </w:r>
      <w:r w:rsidRPr="00873745">
        <w:rPr>
          <w:sz w:val="24"/>
          <w:szCs w:val="24"/>
        </w:rPr>
        <w:t>).</w:t>
      </w:r>
    </w:p>
    <w:p w:rsidR="00212846" w:rsidRPr="00682CF3" w:rsidRDefault="00212846" w:rsidP="005A464E">
      <w:pPr>
        <w:spacing w:line="360" w:lineRule="auto"/>
        <w:jc w:val="both"/>
        <w:rPr>
          <w:sz w:val="24"/>
          <w:szCs w:val="24"/>
        </w:rPr>
      </w:pPr>
      <w:r w:rsidRPr="005A464E">
        <w:rPr>
          <w:sz w:val="24"/>
          <w:szCs w:val="24"/>
        </w:rPr>
        <w:t>Σε άλλη μελέτη που διεξήχθη στη Νέα Νότια Ουαλία της Αυστραλίας</w:t>
      </w:r>
      <w:r w:rsidR="00D71C1C">
        <w:rPr>
          <w:sz w:val="24"/>
          <w:szCs w:val="24"/>
        </w:rPr>
        <w:t xml:space="preserve"> σε ασθενείς υπό αιμοκάθαρση </w:t>
      </w:r>
      <w:r w:rsidR="00995094">
        <w:rPr>
          <w:sz w:val="24"/>
          <w:szCs w:val="24"/>
        </w:rPr>
        <w:t>διαπιστώθηκε</w:t>
      </w:r>
      <w:r w:rsidRPr="005A464E">
        <w:rPr>
          <w:sz w:val="24"/>
          <w:szCs w:val="24"/>
        </w:rPr>
        <w:t xml:space="preserve"> ότι υπάρχει κενό γνώσης ως πρ</w:t>
      </w:r>
      <w:r w:rsidR="007E6A3E" w:rsidRPr="005A464E">
        <w:rPr>
          <w:sz w:val="24"/>
          <w:szCs w:val="24"/>
        </w:rPr>
        <w:t>ος τα φωσφοροδεσμευτικά. Πολλοί</w:t>
      </w:r>
      <w:r w:rsidRPr="005A464E">
        <w:rPr>
          <w:sz w:val="24"/>
          <w:szCs w:val="24"/>
        </w:rPr>
        <w:t xml:space="preserve"> ασθενείς πίστευαν ότι τα φωσφοροδεσμευτικά βοηθούσαν στη δυσπεψία ή στην αύξ</w:t>
      </w:r>
      <w:r w:rsidR="004B226D">
        <w:rPr>
          <w:sz w:val="24"/>
          <w:szCs w:val="24"/>
        </w:rPr>
        <w:t>ηση του επιπέδου του ασβεστίου</w:t>
      </w:r>
      <w:r w:rsidR="004B226D" w:rsidRPr="004B226D">
        <w:rPr>
          <w:sz w:val="24"/>
          <w:szCs w:val="24"/>
        </w:rPr>
        <w:t xml:space="preserve">. </w:t>
      </w:r>
      <w:r w:rsidRPr="005A464E">
        <w:rPr>
          <w:sz w:val="24"/>
          <w:szCs w:val="24"/>
        </w:rPr>
        <w:t>Το 61% των ασθενών δεν κατανοούσε τί ήταν τα φωσφοροδεσμευτικά</w:t>
      </w:r>
      <w:r w:rsidR="0078495A">
        <w:rPr>
          <w:sz w:val="24"/>
          <w:szCs w:val="24"/>
        </w:rPr>
        <w:t xml:space="preserve"> </w:t>
      </w:r>
      <w:r w:rsidRPr="005A464E">
        <w:rPr>
          <w:sz w:val="24"/>
          <w:szCs w:val="24"/>
        </w:rPr>
        <w:t>και ζητούσε επιπλέον πληροφορίες. Το σκορ συμμόρφωσης των συμμετεχόντων δεν βελτιώθηκε σημαντικά μετά από εκπαιδευτική παρέμβαση (</w:t>
      </w:r>
      <w:r w:rsidRPr="005A464E">
        <w:rPr>
          <w:sz w:val="24"/>
          <w:szCs w:val="24"/>
          <w:lang w:val="en-US"/>
        </w:rPr>
        <w:t>San</w:t>
      </w:r>
      <w:r w:rsidR="00B97582" w:rsidRPr="005A464E">
        <w:rPr>
          <w:sz w:val="24"/>
          <w:szCs w:val="24"/>
        </w:rPr>
        <w:t xml:space="preserve"> </w:t>
      </w:r>
      <w:r w:rsidRPr="00682CF3">
        <w:rPr>
          <w:sz w:val="24"/>
          <w:szCs w:val="24"/>
          <w:lang w:val="en-US"/>
        </w:rPr>
        <w:t>Miguel</w:t>
      </w:r>
      <w:r w:rsidR="00682CF3" w:rsidRPr="00682CF3">
        <w:rPr>
          <w:sz w:val="24"/>
          <w:szCs w:val="24"/>
        </w:rPr>
        <w:t xml:space="preserve">, </w:t>
      </w:r>
      <w:r w:rsidR="00682CF3" w:rsidRPr="00682CF3">
        <w:rPr>
          <w:rFonts w:asciiTheme="minorHAnsi" w:hAnsiTheme="minorHAnsi" w:cstheme="minorHAnsi"/>
          <w:sz w:val="24"/>
          <w:szCs w:val="24"/>
          <w:lang w:val="en-US"/>
        </w:rPr>
        <w:t>Curtale</w:t>
      </w:r>
      <w:r w:rsidR="00682CF3" w:rsidRPr="00682CF3">
        <w:rPr>
          <w:rFonts w:asciiTheme="minorHAnsi" w:hAnsiTheme="minorHAnsi" w:cstheme="minorHAnsi"/>
          <w:sz w:val="24"/>
          <w:szCs w:val="24"/>
        </w:rPr>
        <w:t xml:space="preserve">, </w:t>
      </w:r>
      <w:r w:rsidR="00682CF3" w:rsidRPr="00682CF3">
        <w:rPr>
          <w:rFonts w:asciiTheme="minorHAnsi" w:hAnsiTheme="minorHAnsi" w:cstheme="minorHAnsi"/>
          <w:sz w:val="24"/>
          <w:szCs w:val="24"/>
          <w:lang w:val="en-US"/>
        </w:rPr>
        <w:t>Knagge</w:t>
      </w:r>
      <w:r w:rsidR="00682CF3" w:rsidRPr="00682CF3">
        <w:rPr>
          <w:rFonts w:asciiTheme="minorHAnsi" w:hAnsiTheme="minorHAnsi" w:cstheme="minorHAnsi"/>
          <w:sz w:val="24"/>
          <w:szCs w:val="24"/>
        </w:rPr>
        <w:t xml:space="preserve">, </w:t>
      </w:r>
      <w:r w:rsidR="00682CF3" w:rsidRPr="00682CF3">
        <w:rPr>
          <w:rFonts w:asciiTheme="minorHAnsi" w:hAnsiTheme="minorHAnsi" w:cstheme="minorHAnsi"/>
          <w:sz w:val="24"/>
          <w:szCs w:val="24"/>
          <w:lang w:val="en-US"/>
        </w:rPr>
        <w:t>Nhan</w:t>
      </w:r>
      <w:r w:rsidR="00682CF3" w:rsidRPr="00682CF3">
        <w:rPr>
          <w:rFonts w:asciiTheme="minorHAnsi" w:hAnsiTheme="minorHAnsi" w:cstheme="minorHAnsi"/>
          <w:sz w:val="24"/>
          <w:szCs w:val="24"/>
        </w:rPr>
        <w:t xml:space="preserve">, &amp; </w:t>
      </w:r>
      <w:r w:rsidR="00682CF3" w:rsidRPr="00682CF3">
        <w:rPr>
          <w:rFonts w:asciiTheme="minorHAnsi" w:hAnsiTheme="minorHAnsi" w:cstheme="minorHAnsi"/>
          <w:sz w:val="24"/>
          <w:szCs w:val="24"/>
          <w:lang w:val="en-US"/>
        </w:rPr>
        <w:t>Chow</w:t>
      </w:r>
      <w:r w:rsidR="00682CF3" w:rsidRPr="00682CF3">
        <w:rPr>
          <w:rFonts w:asciiTheme="minorHAnsi" w:hAnsiTheme="minorHAnsi" w:cstheme="minorHAnsi"/>
          <w:sz w:val="24"/>
          <w:szCs w:val="24"/>
        </w:rPr>
        <w:t>,</w:t>
      </w:r>
      <w:r w:rsidR="00682CF3" w:rsidRPr="00682CF3">
        <w:rPr>
          <w:sz w:val="24"/>
          <w:szCs w:val="24"/>
        </w:rPr>
        <w:t xml:space="preserve"> </w:t>
      </w:r>
      <w:r w:rsidR="00943A13" w:rsidRPr="00682CF3">
        <w:rPr>
          <w:sz w:val="24"/>
          <w:szCs w:val="24"/>
        </w:rPr>
        <w:t>2009).</w:t>
      </w:r>
    </w:p>
    <w:p w:rsidR="003A7B4C" w:rsidRPr="005A464E" w:rsidRDefault="003A7B4C" w:rsidP="005A464E">
      <w:pPr>
        <w:spacing w:line="360" w:lineRule="auto"/>
        <w:jc w:val="both"/>
        <w:rPr>
          <w:rStyle w:val="apple-converted-space"/>
          <w:rFonts w:cs="Arial"/>
          <w:sz w:val="24"/>
          <w:szCs w:val="24"/>
          <w:shd w:val="clear" w:color="auto" w:fill="FFFFFF"/>
        </w:rPr>
      </w:pPr>
      <w:r w:rsidRPr="00682CF3">
        <w:rPr>
          <w:rStyle w:val="apple-converted-space"/>
          <w:rFonts w:cs="Arial"/>
          <w:sz w:val="24"/>
          <w:szCs w:val="24"/>
          <w:shd w:val="clear" w:color="auto" w:fill="FFFFFF"/>
          <w:lang w:val="en-US"/>
        </w:rPr>
        <w:t>O</w:t>
      </w:r>
      <w:r w:rsidRPr="00682CF3">
        <w:rPr>
          <w:rStyle w:val="apple-converted-space"/>
          <w:rFonts w:cs="Arial"/>
          <w:sz w:val="24"/>
          <w:szCs w:val="24"/>
          <w:shd w:val="clear" w:color="auto" w:fill="FFFFFF"/>
        </w:rPr>
        <w:t xml:space="preserve">ι </w:t>
      </w:r>
      <w:r w:rsidRPr="00682CF3">
        <w:rPr>
          <w:rStyle w:val="apple-converted-space"/>
          <w:rFonts w:cs="Arial"/>
          <w:sz w:val="24"/>
          <w:szCs w:val="24"/>
          <w:shd w:val="clear" w:color="auto" w:fill="FFFFFF"/>
          <w:lang w:val="en-US"/>
        </w:rPr>
        <w:t>Barnett</w:t>
      </w:r>
      <w:r w:rsidRPr="00682CF3">
        <w:rPr>
          <w:rStyle w:val="apple-converted-space"/>
          <w:rFonts w:cs="Arial"/>
          <w:sz w:val="24"/>
          <w:szCs w:val="24"/>
          <w:shd w:val="clear" w:color="auto" w:fill="FFFFFF"/>
        </w:rPr>
        <w:t xml:space="preserve"> </w:t>
      </w:r>
      <w:r w:rsidR="00566CAA" w:rsidRPr="00682CF3">
        <w:rPr>
          <w:rStyle w:val="apple-converted-space"/>
          <w:rFonts w:cs="Arial"/>
          <w:sz w:val="24"/>
          <w:szCs w:val="24"/>
          <w:shd w:val="clear" w:color="auto" w:fill="FFFFFF"/>
        </w:rPr>
        <w:t>et al</w:t>
      </w:r>
      <w:r w:rsidR="004577BE" w:rsidRPr="00682CF3">
        <w:rPr>
          <w:rStyle w:val="apple-converted-space"/>
          <w:rFonts w:cs="Arial"/>
          <w:sz w:val="24"/>
          <w:szCs w:val="24"/>
          <w:shd w:val="clear" w:color="auto" w:fill="FFFFFF"/>
        </w:rPr>
        <w:t>.</w:t>
      </w:r>
      <w:r w:rsidRPr="00682CF3">
        <w:rPr>
          <w:rStyle w:val="apple-converted-space"/>
          <w:rFonts w:cs="Arial"/>
          <w:sz w:val="24"/>
          <w:szCs w:val="24"/>
          <w:shd w:val="clear" w:color="auto" w:fill="FFFFFF"/>
        </w:rPr>
        <w:t xml:space="preserve"> (2008) στην ερευνητική τους μελέτη στη</w:t>
      </w:r>
      <w:r w:rsidR="00D71C1C">
        <w:rPr>
          <w:rStyle w:val="apple-converted-space"/>
          <w:rFonts w:cs="Arial"/>
          <w:sz w:val="24"/>
          <w:szCs w:val="24"/>
          <w:shd w:val="clear" w:color="auto" w:fill="FFFFFF"/>
        </w:rPr>
        <w:t xml:space="preserve"> Μαλαισία το 2008 διε</w:t>
      </w:r>
      <w:r w:rsidRPr="005A464E">
        <w:rPr>
          <w:rStyle w:val="apple-converted-space"/>
          <w:rFonts w:cs="Arial"/>
          <w:sz w:val="24"/>
          <w:szCs w:val="24"/>
          <w:shd w:val="clear" w:color="auto" w:fill="FFFFFF"/>
        </w:rPr>
        <w:t xml:space="preserve">πίστωσαν ότι μετά από εκπαιδευτική παρέμβαση το σωματικό βάρος των ασθενών προ της συνεδρίας αιμοκάθαρσης μειώθηκε κατά </w:t>
      </w:r>
      <w:r w:rsidR="00EF6A06">
        <w:rPr>
          <w:rStyle w:val="apple-converted-space"/>
          <w:rFonts w:cs="Arial"/>
          <w:sz w:val="24"/>
          <w:szCs w:val="24"/>
          <w:shd w:val="clear" w:color="auto" w:fill="FFFFFF"/>
        </w:rPr>
        <w:t>0,</w:t>
      </w:r>
      <w:r w:rsidRPr="005A464E">
        <w:rPr>
          <w:rStyle w:val="apple-converted-space"/>
          <w:rFonts w:cs="Arial"/>
          <w:sz w:val="24"/>
          <w:szCs w:val="24"/>
          <w:shd w:val="clear" w:color="auto" w:fill="FFFFFF"/>
        </w:rPr>
        <w:t>43</w:t>
      </w:r>
      <w:r w:rsidRPr="005A464E">
        <w:rPr>
          <w:rStyle w:val="apple-converted-space"/>
          <w:rFonts w:cs="Arial"/>
          <w:sz w:val="24"/>
          <w:szCs w:val="24"/>
          <w:shd w:val="clear" w:color="auto" w:fill="FFFFFF"/>
          <w:lang w:val="en-US"/>
        </w:rPr>
        <w:t>kg</w:t>
      </w:r>
      <w:r w:rsidRPr="005A464E">
        <w:rPr>
          <w:rStyle w:val="apple-converted-space"/>
          <w:rFonts w:cs="Arial"/>
          <w:sz w:val="24"/>
          <w:szCs w:val="24"/>
          <w:shd w:val="clear" w:color="auto" w:fill="FFFFFF"/>
        </w:rPr>
        <w:t xml:space="preserve">. </w:t>
      </w:r>
      <w:r w:rsidR="00D71C1C">
        <w:rPr>
          <w:rStyle w:val="apple-converted-space"/>
          <w:rFonts w:cs="Arial"/>
          <w:sz w:val="24"/>
          <w:szCs w:val="24"/>
          <w:shd w:val="clear" w:color="auto" w:fill="FFFFFF"/>
        </w:rPr>
        <w:t>Επίσης,</w:t>
      </w:r>
      <w:r w:rsidRPr="005A464E">
        <w:rPr>
          <w:rStyle w:val="apple-converted-space"/>
          <w:rFonts w:cs="Arial"/>
          <w:sz w:val="24"/>
          <w:szCs w:val="24"/>
          <w:shd w:val="clear" w:color="auto" w:fill="FFFFFF"/>
        </w:rPr>
        <w:t xml:space="preserve"> σημειώθηκε αξιοσημείωτη διαφορά στην μέση τιμή της αρτηριακής πίεσης πριν και μετά από την εκπαιδευτική παρέμβαση. Το επίπεδο συμμόρφωσης στα υγρά αυξήθηκε από 47% πριν την παρέμβαση σε 7</w:t>
      </w:r>
      <w:r w:rsidR="00EF6A06">
        <w:rPr>
          <w:rStyle w:val="apple-converted-space"/>
          <w:rFonts w:cs="Arial"/>
          <w:sz w:val="24"/>
          <w:szCs w:val="24"/>
          <w:shd w:val="clear" w:color="auto" w:fill="FFFFFF"/>
        </w:rPr>
        <w:t>1,</w:t>
      </w:r>
      <w:r w:rsidRPr="005A464E">
        <w:rPr>
          <w:rStyle w:val="apple-converted-space"/>
          <w:rFonts w:cs="Arial"/>
          <w:sz w:val="24"/>
          <w:szCs w:val="24"/>
          <w:shd w:val="clear" w:color="auto" w:fill="FFFFFF"/>
        </w:rPr>
        <w:t>5% μετά την παρέμβαση. Η έλλειψη ομάδας ελέγχου στη μελέτη αυτή αφήνει ανοιχτό το ερώτημα αν</w:t>
      </w:r>
      <w:r w:rsidR="0078495A">
        <w:rPr>
          <w:rStyle w:val="apple-converted-space"/>
          <w:rFonts w:cs="Arial"/>
          <w:sz w:val="24"/>
          <w:szCs w:val="24"/>
          <w:shd w:val="clear" w:color="auto" w:fill="FFFFFF"/>
        </w:rPr>
        <w:t xml:space="preserve"> </w:t>
      </w:r>
      <w:r w:rsidRPr="005A464E">
        <w:rPr>
          <w:rStyle w:val="apple-converted-space"/>
          <w:rFonts w:cs="Arial"/>
          <w:sz w:val="24"/>
          <w:szCs w:val="24"/>
          <w:shd w:val="clear" w:color="auto" w:fill="FFFFFF"/>
        </w:rPr>
        <w:t>οι αλλαγές αυτές είναι αποτέλεσμα της παρέμβασης ή άλλων παραγόντων.</w:t>
      </w:r>
    </w:p>
    <w:p w:rsidR="003A7B4C" w:rsidRPr="00886C7F" w:rsidRDefault="003A7B4C" w:rsidP="005A464E">
      <w:pPr>
        <w:spacing w:line="360" w:lineRule="auto"/>
        <w:jc w:val="both"/>
        <w:rPr>
          <w:sz w:val="24"/>
          <w:szCs w:val="24"/>
        </w:rPr>
      </w:pPr>
      <w:r w:rsidRPr="00682CF3">
        <w:rPr>
          <w:rFonts w:asciiTheme="minorHAnsi" w:hAnsiTheme="minorHAnsi"/>
          <w:sz w:val="24"/>
          <w:szCs w:val="24"/>
        </w:rPr>
        <w:t xml:space="preserve">Οι </w:t>
      </w:r>
      <w:r w:rsidRPr="00682CF3">
        <w:rPr>
          <w:rFonts w:asciiTheme="minorHAnsi" w:hAnsiTheme="minorHAnsi"/>
          <w:sz w:val="24"/>
          <w:szCs w:val="24"/>
          <w:lang w:val="en-US"/>
        </w:rPr>
        <w:t>Sandlin</w:t>
      </w:r>
      <w:r w:rsidR="00682CF3" w:rsidRPr="00682CF3">
        <w:rPr>
          <w:rFonts w:asciiTheme="minorHAnsi" w:hAnsiTheme="minorHAnsi"/>
          <w:sz w:val="24"/>
          <w:szCs w:val="24"/>
        </w:rPr>
        <w:t>,</w:t>
      </w:r>
      <w:r w:rsidR="00682CF3" w:rsidRPr="00682CF3">
        <w:rPr>
          <w:rFonts w:asciiTheme="minorHAnsi" w:hAnsiTheme="minorHAnsi" w:cstheme="minorHAnsi"/>
          <w:shd w:val="clear" w:color="auto" w:fill="FFFFFF"/>
        </w:rPr>
        <w:t xml:space="preserve"> </w:t>
      </w:r>
      <w:r w:rsidR="00682CF3" w:rsidRPr="00682CF3">
        <w:rPr>
          <w:rFonts w:asciiTheme="minorHAnsi" w:hAnsiTheme="minorHAnsi" w:cstheme="minorHAnsi"/>
          <w:sz w:val="24"/>
          <w:szCs w:val="24"/>
          <w:shd w:val="clear" w:color="auto" w:fill="FFFFFF"/>
          <w:lang w:val="en-US"/>
        </w:rPr>
        <w:t>Bennett</w:t>
      </w:r>
      <w:r w:rsidR="00682CF3" w:rsidRPr="00682CF3">
        <w:rPr>
          <w:rFonts w:asciiTheme="minorHAnsi" w:hAnsiTheme="minorHAnsi" w:cstheme="minorHAnsi"/>
          <w:sz w:val="24"/>
          <w:szCs w:val="24"/>
          <w:shd w:val="clear" w:color="auto" w:fill="FFFFFF"/>
        </w:rPr>
        <w:t xml:space="preserve">, </w:t>
      </w:r>
      <w:r w:rsidR="00682CF3" w:rsidRPr="00682CF3">
        <w:rPr>
          <w:rFonts w:asciiTheme="minorHAnsi" w:hAnsiTheme="minorHAnsi" w:cstheme="minorHAnsi"/>
          <w:sz w:val="24"/>
          <w:szCs w:val="24"/>
          <w:shd w:val="clear" w:color="auto" w:fill="FFFFFF"/>
          <w:lang w:val="en-US"/>
        </w:rPr>
        <w:t>Ockerby</w:t>
      </w:r>
      <w:r w:rsidR="00F4104F">
        <w:rPr>
          <w:rFonts w:asciiTheme="minorHAnsi" w:hAnsiTheme="minorHAnsi" w:cstheme="minorHAnsi"/>
          <w:sz w:val="24"/>
          <w:szCs w:val="24"/>
          <w:shd w:val="clear" w:color="auto" w:fill="FFFFFF"/>
        </w:rPr>
        <w:t>, και</w:t>
      </w:r>
      <w:r w:rsidR="00682CF3" w:rsidRPr="00682CF3">
        <w:rPr>
          <w:rFonts w:asciiTheme="minorHAnsi" w:hAnsiTheme="minorHAnsi" w:cstheme="minorHAnsi"/>
          <w:sz w:val="24"/>
          <w:szCs w:val="24"/>
          <w:shd w:val="clear" w:color="auto" w:fill="FFFFFF"/>
        </w:rPr>
        <w:t xml:space="preserve"> </w:t>
      </w:r>
      <w:r w:rsidR="00682CF3" w:rsidRPr="00682CF3">
        <w:rPr>
          <w:rFonts w:asciiTheme="minorHAnsi" w:hAnsiTheme="minorHAnsi" w:cstheme="minorHAnsi"/>
          <w:sz w:val="24"/>
          <w:szCs w:val="24"/>
          <w:shd w:val="clear" w:color="auto" w:fill="FFFFFF"/>
          <w:lang w:val="en-US"/>
        </w:rPr>
        <w:t>Corradini</w:t>
      </w:r>
      <w:r w:rsidRPr="00682CF3">
        <w:rPr>
          <w:rFonts w:asciiTheme="minorHAnsi" w:hAnsiTheme="minorHAnsi"/>
          <w:sz w:val="24"/>
          <w:szCs w:val="24"/>
        </w:rPr>
        <w:t xml:space="preserve"> (2013</w:t>
      </w:r>
      <w:r w:rsidRPr="005A464E">
        <w:rPr>
          <w:sz w:val="24"/>
          <w:szCs w:val="24"/>
        </w:rPr>
        <w:t xml:space="preserve">) </w:t>
      </w:r>
      <w:r w:rsidR="00C124C3" w:rsidRPr="005A464E">
        <w:rPr>
          <w:sz w:val="24"/>
          <w:szCs w:val="24"/>
        </w:rPr>
        <w:t xml:space="preserve">από την Αυστραλία </w:t>
      </w:r>
      <w:r w:rsidR="00533701">
        <w:rPr>
          <w:sz w:val="24"/>
          <w:szCs w:val="24"/>
        </w:rPr>
        <w:t>μελέτησαν την επίδραση της</w:t>
      </w:r>
      <w:r w:rsidRPr="005A464E">
        <w:rPr>
          <w:sz w:val="24"/>
          <w:szCs w:val="24"/>
        </w:rPr>
        <w:t xml:space="preserve"> </w:t>
      </w:r>
      <w:r w:rsidR="005E3ED0" w:rsidRPr="005A464E">
        <w:rPr>
          <w:sz w:val="24"/>
          <w:szCs w:val="24"/>
        </w:rPr>
        <w:t xml:space="preserve">εξατομικευμένης </w:t>
      </w:r>
      <w:r w:rsidR="00C124C3" w:rsidRPr="005A464E">
        <w:rPr>
          <w:sz w:val="24"/>
          <w:szCs w:val="24"/>
        </w:rPr>
        <w:t xml:space="preserve">νοσηλευτικής </w:t>
      </w:r>
      <w:r w:rsidRPr="005A464E">
        <w:rPr>
          <w:sz w:val="24"/>
          <w:szCs w:val="24"/>
        </w:rPr>
        <w:t>εκπαίδευσης</w:t>
      </w:r>
      <w:r w:rsidR="005E3ED0" w:rsidRPr="005A464E">
        <w:rPr>
          <w:sz w:val="24"/>
          <w:szCs w:val="24"/>
        </w:rPr>
        <w:t xml:space="preserve"> </w:t>
      </w:r>
      <w:r w:rsidR="00F4104F">
        <w:rPr>
          <w:sz w:val="24"/>
          <w:szCs w:val="24"/>
        </w:rPr>
        <w:t>διάρκειας δώδεκα</w:t>
      </w:r>
      <w:r w:rsidR="005E3ED0" w:rsidRPr="005A464E">
        <w:rPr>
          <w:sz w:val="24"/>
          <w:szCs w:val="24"/>
        </w:rPr>
        <w:t xml:space="preserve"> εβδομάδων</w:t>
      </w:r>
      <w:r w:rsidRPr="005A464E">
        <w:rPr>
          <w:sz w:val="24"/>
          <w:szCs w:val="24"/>
        </w:rPr>
        <w:t xml:space="preserve"> στα επίπεδα συμμόρφωσης των ασθενών υπό αιμ</w:t>
      </w:r>
      <w:r w:rsidR="00533701">
        <w:rPr>
          <w:sz w:val="24"/>
          <w:szCs w:val="24"/>
        </w:rPr>
        <w:t>οκάθαρση στα φωσφοροδεσμευτικά.</w:t>
      </w:r>
      <w:r w:rsidRPr="005A464E">
        <w:rPr>
          <w:sz w:val="24"/>
          <w:szCs w:val="24"/>
        </w:rPr>
        <w:t xml:space="preserve"> Τα αποτελέσματα έδειξαν σημαντική αύξηση του σκορ συμμόρφωσης μετά την </w:t>
      </w:r>
      <w:r w:rsidRPr="00886C7F">
        <w:rPr>
          <w:sz w:val="24"/>
          <w:szCs w:val="24"/>
        </w:rPr>
        <w:t>παρέμβαση</w:t>
      </w:r>
      <w:r w:rsidR="00C124C3" w:rsidRPr="00886C7F">
        <w:rPr>
          <w:sz w:val="24"/>
          <w:szCs w:val="24"/>
        </w:rPr>
        <w:t xml:space="preserve"> (από 44% σε 72%)</w:t>
      </w:r>
      <w:r w:rsidRPr="00886C7F">
        <w:rPr>
          <w:sz w:val="24"/>
          <w:szCs w:val="24"/>
        </w:rPr>
        <w:t>.</w:t>
      </w:r>
    </w:p>
    <w:p w:rsidR="000974D7" w:rsidRPr="00886C7F" w:rsidRDefault="000974D7" w:rsidP="005A464E">
      <w:pPr>
        <w:spacing w:line="360" w:lineRule="auto"/>
        <w:jc w:val="both"/>
        <w:rPr>
          <w:sz w:val="24"/>
          <w:szCs w:val="24"/>
        </w:rPr>
      </w:pPr>
      <w:r w:rsidRPr="00886C7F">
        <w:rPr>
          <w:sz w:val="24"/>
          <w:szCs w:val="24"/>
        </w:rPr>
        <w:t>Στη μελέτη των</w:t>
      </w:r>
      <w:r w:rsidR="0078495A" w:rsidRPr="00886C7F">
        <w:rPr>
          <w:sz w:val="24"/>
          <w:szCs w:val="24"/>
        </w:rPr>
        <w:t xml:space="preserve"> </w:t>
      </w:r>
      <w:r w:rsidRPr="00886C7F">
        <w:rPr>
          <w:sz w:val="24"/>
          <w:szCs w:val="24"/>
          <w:lang w:val="en-US"/>
        </w:rPr>
        <w:t>Casey</w:t>
      </w:r>
      <w:r w:rsidR="004A0B04" w:rsidRPr="00886C7F">
        <w:rPr>
          <w:sz w:val="24"/>
          <w:szCs w:val="24"/>
        </w:rPr>
        <w:t xml:space="preserve">, </w:t>
      </w:r>
      <w:r w:rsidR="004A0B04" w:rsidRPr="00886C7F">
        <w:rPr>
          <w:rFonts w:asciiTheme="minorHAnsi" w:hAnsiTheme="minorHAnsi" w:cstheme="minorHAnsi"/>
          <w:sz w:val="24"/>
          <w:szCs w:val="24"/>
          <w:lang w:val="en-US"/>
        </w:rPr>
        <w:t>Johnson</w:t>
      </w:r>
      <w:r w:rsidR="0062205E" w:rsidRPr="00886C7F">
        <w:rPr>
          <w:rFonts w:asciiTheme="minorHAnsi" w:hAnsiTheme="minorHAnsi" w:cstheme="minorHAnsi"/>
          <w:sz w:val="24"/>
          <w:szCs w:val="24"/>
        </w:rPr>
        <w:t>,</w:t>
      </w:r>
      <w:r w:rsidR="004A0B04" w:rsidRPr="00886C7F">
        <w:rPr>
          <w:rFonts w:asciiTheme="minorHAnsi" w:hAnsiTheme="minorHAnsi" w:cstheme="minorHAnsi"/>
          <w:sz w:val="24"/>
          <w:szCs w:val="24"/>
        </w:rPr>
        <w:t xml:space="preserve"> &amp; </w:t>
      </w:r>
      <w:r w:rsidR="004A0B04" w:rsidRPr="00886C7F">
        <w:rPr>
          <w:rFonts w:asciiTheme="minorHAnsi" w:hAnsiTheme="minorHAnsi" w:cstheme="minorHAnsi"/>
          <w:sz w:val="24"/>
          <w:szCs w:val="24"/>
          <w:lang w:val="en-US"/>
        </w:rPr>
        <w:t>McClelland</w:t>
      </w:r>
      <w:r w:rsidR="004A0B04" w:rsidRPr="00886C7F">
        <w:rPr>
          <w:sz w:val="24"/>
          <w:szCs w:val="24"/>
        </w:rPr>
        <w:t xml:space="preserve"> </w:t>
      </w:r>
      <w:r w:rsidRPr="00886C7F">
        <w:rPr>
          <w:sz w:val="24"/>
          <w:szCs w:val="24"/>
        </w:rPr>
        <w:t xml:space="preserve">(2002) η </w:t>
      </w:r>
      <w:r w:rsidR="00886C7F" w:rsidRPr="00886C7F">
        <w:rPr>
          <w:sz w:val="24"/>
          <w:szCs w:val="24"/>
        </w:rPr>
        <w:t>συμβουλευτική παρέμβα</w:t>
      </w:r>
      <w:r w:rsidR="00013835" w:rsidRPr="00886C7F">
        <w:rPr>
          <w:sz w:val="24"/>
          <w:szCs w:val="24"/>
        </w:rPr>
        <w:t>ση</w:t>
      </w:r>
      <w:r w:rsidRPr="00886C7F">
        <w:rPr>
          <w:sz w:val="24"/>
          <w:szCs w:val="24"/>
        </w:rPr>
        <w:t xml:space="preserve"> </w:t>
      </w:r>
      <w:r w:rsidR="00886C7F" w:rsidRPr="00886C7F">
        <w:rPr>
          <w:sz w:val="24"/>
          <w:szCs w:val="24"/>
        </w:rPr>
        <w:t xml:space="preserve">σε ασθενείς </w:t>
      </w:r>
      <w:r w:rsidRPr="00886C7F">
        <w:rPr>
          <w:sz w:val="24"/>
          <w:szCs w:val="24"/>
        </w:rPr>
        <w:t xml:space="preserve">οδήγησε σε βελτίωση του επιπέδου συμμόρφωσης κατά 48% </w:t>
      </w:r>
      <w:r w:rsidR="00013835" w:rsidRPr="00886C7F">
        <w:rPr>
          <w:sz w:val="24"/>
          <w:szCs w:val="24"/>
        </w:rPr>
        <w:t xml:space="preserve">στον περιορισμό των υγρών </w:t>
      </w:r>
      <w:r w:rsidRPr="00886C7F">
        <w:rPr>
          <w:sz w:val="24"/>
          <w:szCs w:val="24"/>
        </w:rPr>
        <w:t>μετά από πρ</w:t>
      </w:r>
      <w:r w:rsidR="00013835" w:rsidRPr="00886C7F">
        <w:rPr>
          <w:sz w:val="24"/>
          <w:szCs w:val="24"/>
        </w:rPr>
        <w:t>οφορική και γραπτή</w:t>
      </w:r>
      <w:r w:rsidRPr="00886C7F">
        <w:rPr>
          <w:sz w:val="24"/>
          <w:szCs w:val="24"/>
        </w:rPr>
        <w:t xml:space="preserve"> διδασκαλί</w:t>
      </w:r>
      <w:r w:rsidR="00F4104F" w:rsidRPr="00886C7F">
        <w:rPr>
          <w:sz w:val="24"/>
          <w:szCs w:val="24"/>
        </w:rPr>
        <w:t xml:space="preserve">α διάρκειας </w:t>
      </w:r>
      <w:r w:rsidR="005F478F" w:rsidRPr="00886C7F">
        <w:rPr>
          <w:sz w:val="24"/>
          <w:szCs w:val="24"/>
        </w:rPr>
        <w:t>6</w:t>
      </w:r>
      <w:r w:rsidR="00013835" w:rsidRPr="00886C7F">
        <w:rPr>
          <w:sz w:val="24"/>
          <w:szCs w:val="24"/>
        </w:rPr>
        <w:t xml:space="preserve"> εβδομάδων</w:t>
      </w:r>
      <w:r w:rsidRPr="00886C7F">
        <w:rPr>
          <w:sz w:val="24"/>
          <w:szCs w:val="24"/>
        </w:rPr>
        <w:t xml:space="preserve">. </w:t>
      </w:r>
    </w:p>
    <w:p w:rsidR="000974D7" w:rsidRPr="005A464E" w:rsidRDefault="000974D7" w:rsidP="005A464E">
      <w:pPr>
        <w:spacing w:line="360" w:lineRule="auto"/>
        <w:jc w:val="both"/>
        <w:rPr>
          <w:sz w:val="24"/>
          <w:szCs w:val="24"/>
        </w:rPr>
      </w:pPr>
      <w:r w:rsidRPr="00886C7F">
        <w:rPr>
          <w:sz w:val="24"/>
          <w:szCs w:val="24"/>
        </w:rPr>
        <w:t>Σε παρόμοια μελέτη</w:t>
      </w:r>
      <w:r w:rsidR="00E3713D" w:rsidRPr="00886C7F">
        <w:rPr>
          <w:sz w:val="24"/>
          <w:szCs w:val="24"/>
        </w:rPr>
        <w:t>,</w:t>
      </w:r>
      <w:r w:rsidRPr="00886C7F">
        <w:rPr>
          <w:sz w:val="24"/>
          <w:szCs w:val="24"/>
        </w:rPr>
        <w:t xml:space="preserve"> το σωματικό βάρος των ασθενών πριν την έναρξη της συνεδρίας μειώθηκε και η συμμόρφωση στον</w:t>
      </w:r>
      <w:r w:rsidRPr="005A464E">
        <w:rPr>
          <w:sz w:val="24"/>
          <w:szCs w:val="24"/>
        </w:rPr>
        <w:t xml:space="preserve"> περιορισμό των υγρών αυξήθηκε μετά από συμβουλευτική διδασκαλία (</w:t>
      </w:r>
      <w:r w:rsidRPr="005A464E">
        <w:rPr>
          <w:sz w:val="24"/>
          <w:szCs w:val="24"/>
          <w:lang w:val="en-US"/>
        </w:rPr>
        <w:t>Barnett</w:t>
      </w:r>
      <w:r w:rsidRPr="005A464E">
        <w:rPr>
          <w:sz w:val="24"/>
          <w:szCs w:val="24"/>
        </w:rPr>
        <w:t xml:space="preserve"> </w:t>
      </w:r>
      <w:r w:rsidR="00566CAA">
        <w:rPr>
          <w:sz w:val="24"/>
          <w:szCs w:val="24"/>
        </w:rPr>
        <w:t>et al</w:t>
      </w:r>
      <w:r w:rsidR="004577BE" w:rsidRPr="004577BE">
        <w:rPr>
          <w:sz w:val="24"/>
          <w:szCs w:val="24"/>
        </w:rPr>
        <w:t>.</w:t>
      </w:r>
      <w:r w:rsidR="00AF10FE" w:rsidRPr="00AF10FE">
        <w:rPr>
          <w:sz w:val="24"/>
          <w:szCs w:val="24"/>
        </w:rPr>
        <w:t>,</w:t>
      </w:r>
      <w:r w:rsidRPr="005A464E">
        <w:rPr>
          <w:sz w:val="24"/>
          <w:szCs w:val="24"/>
        </w:rPr>
        <w:t xml:space="preserve"> 2008). </w:t>
      </w:r>
    </w:p>
    <w:p w:rsidR="000974D7" w:rsidRPr="005A464E" w:rsidRDefault="000974D7" w:rsidP="005A464E">
      <w:pPr>
        <w:spacing w:line="360" w:lineRule="auto"/>
        <w:jc w:val="both"/>
        <w:rPr>
          <w:sz w:val="24"/>
          <w:szCs w:val="24"/>
        </w:rPr>
      </w:pPr>
      <w:r w:rsidRPr="005A464E">
        <w:rPr>
          <w:sz w:val="24"/>
          <w:szCs w:val="24"/>
        </w:rPr>
        <w:t xml:space="preserve">Ο </w:t>
      </w:r>
      <w:r w:rsidRPr="005A464E">
        <w:rPr>
          <w:sz w:val="24"/>
          <w:szCs w:val="24"/>
          <w:lang w:val="en-US"/>
        </w:rPr>
        <w:t>Tsay</w:t>
      </w:r>
      <w:r w:rsidR="00B97582" w:rsidRPr="005A464E">
        <w:rPr>
          <w:sz w:val="24"/>
          <w:szCs w:val="24"/>
        </w:rPr>
        <w:t xml:space="preserve"> </w:t>
      </w:r>
      <w:r w:rsidRPr="005A464E">
        <w:rPr>
          <w:sz w:val="24"/>
          <w:szCs w:val="24"/>
        </w:rPr>
        <w:t>(2003) διαπίστωσε ότι οι ασθενείς που είχαν λάβει εκπαίδευ</w:t>
      </w:r>
      <w:r w:rsidR="00F4104F">
        <w:rPr>
          <w:sz w:val="24"/>
          <w:szCs w:val="24"/>
        </w:rPr>
        <w:t xml:space="preserve">ση στην αυτοαποτελεσματικότητα - </w:t>
      </w:r>
      <w:r w:rsidR="00E3713D">
        <w:rPr>
          <w:sz w:val="24"/>
          <w:szCs w:val="24"/>
        </w:rPr>
        <w:t xml:space="preserve">ένα εκπαιδευτικό πρόγραμμα σχετικά με </w:t>
      </w:r>
      <w:r w:rsidRPr="005A464E">
        <w:rPr>
          <w:sz w:val="24"/>
          <w:szCs w:val="24"/>
        </w:rPr>
        <w:t>την παθοφυσιολογία της νεφρικής νόσου, τις επιπλοκές, την φαρμακευτική αγω</w:t>
      </w:r>
      <w:r w:rsidR="00E3713D">
        <w:rPr>
          <w:sz w:val="24"/>
          <w:szCs w:val="24"/>
        </w:rPr>
        <w:t xml:space="preserve">γή, τον περιορισμό στα υγρά, </w:t>
      </w:r>
      <w:r w:rsidRPr="005A464E">
        <w:rPr>
          <w:sz w:val="24"/>
          <w:szCs w:val="24"/>
        </w:rPr>
        <w:t xml:space="preserve">την διαιτητική αγωγή και τη διαχείριση του </w:t>
      </w:r>
      <w:r w:rsidRPr="005A464E">
        <w:rPr>
          <w:sz w:val="24"/>
          <w:szCs w:val="24"/>
          <w:lang w:val="en-US"/>
        </w:rPr>
        <w:t>stress</w:t>
      </w:r>
      <w:r w:rsidR="00F4104F">
        <w:rPr>
          <w:sz w:val="24"/>
          <w:szCs w:val="24"/>
        </w:rPr>
        <w:t xml:space="preserve"> </w:t>
      </w:r>
      <w:r w:rsidRPr="005A464E">
        <w:rPr>
          <w:sz w:val="24"/>
          <w:szCs w:val="24"/>
        </w:rPr>
        <w:t>- είχαν υψηλότερο επίπεδο συμμόρφωσης στα υγρά από εκείνους που δεν είχαν εκπαιδευτεί.</w:t>
      </w:r>
    </w:p>
    <w:p w:rsidR="003451CD" w:rsidRPr="005A464E" w:rsidRDefault="003A7B4C" w:rsidP="005A464E">
      <w:pPr>
        <w:spacing w:line="360" w:lineRule="auto"/>
        <w:jc w:val="both"/>
        <w:rPr>
          <w:i/>
          <w:sz w:val="24"/>
          <w:szCs w:val="24"/>
        </w:rPr>
      </w:pPr>
      <w:r w:rsidRPr="005A464E">
        <w:rPr>
          <w:sz w:val="24"/>
          <w:szCs w:val="24"/>
        </w:rPr>
        <w:t xml:space="preserve">Οι </w:t>
      </w:r>
      <w:r w:rsidR="00A600AE">
        <w:rPr>
          <w:sz w:val="24"/>
          <w:szCs w:val="24"/>
          <w:lang w:val="en-US"/>
        </w:rPr>
        <w:t>Parvan</w:t>
      </w:r>
      <w:r w:rsidR="00A600AE" w:rsidRPr="00A600AE">
        <w:rPr>
          <w:sz w:val="24"/>
          <w:szCs w:val="24"/>
        </w:rPr>
        <w:t>,</w:t>
      </w:r>
      <w:r w:rsidRPr="005A464E">
        <w:rPr>
          <w:sz w:val="24"/>
          <w:szCs w:val="24"/>
        </w:rPr>
        <w:t xml:space="preserve"> </w:t>
      </w:r>
      <w:r w:rsidR="00A600AE" w:rsidRPr="00A600AE">
        <w:rPr>
          <w:rFonts w:asciiTheme="minorHAnsi" w:hAnsiTheme="minorHAnsi" w:cstheme="minorHAnsi"/>
          <w:sz w:val="24"/>
          <w:szCs w:val="24"/>
          <w:shd w:val="clear" w:color="auto" w:fill="FFFFFF"/>
          <w:lang w:val="en-US"/>
        </w:rPr>
        <w:t>Hasankhani</w:t>
      </w:r>
      <w:r w:rsidR="00A600AE" w:rsidRPr="00A600AE">
        <w:rPr>
          <w:rFonts w:asciiTheme="minorHAnsi" w:hAnsiTheme="minorHAnsi" w:cstheme="minorHAnsi"/>
          <w:sz w:val="24"/>
          <w:szCs w:val="24"/>
          <w:shd w:val="clear" w:color="auto" w:fill="FFFFFF"/>
        </w:rPr>
        <w:t xml:space="preserve">, </w:t>
      </w:r>
      <w:r w:rsidR="00A600AE" w:rsidRPr="00A600AE">
        <w:rPr>
          <w:rFonts w:asciiTheme="minorHAnsi" w:hAnsiTheme="minorHAnsi" w:cstheme="minorHAnsi"/>
          <w:sz w:val="24"/>
          <w:szCs w:val="24"/>
          <w:shd w:val="clear" w:color="auto" w:fill="FFFFFF"/>
          <w:lang w:val="en-US"/>
        </w:rPr>
        <w:t>Seyyedrasooli</w:t>
      </w:r>
      <w:r w:rsidR="00A600AE" w:rsidRPr="00A600AE">
        <w:rPr>
          <w:rFonts w:asciiTheme="minorHAnsi" w:hAnsiTheme="minorHAnsi" w:cstheme="minorHAnsi"/>
          <w:sz w:val="24"/>
          <w:szCs w:val="24"/>
          <w:shd w:val="clear" w:color="auto" w:fill="FFFFFF"/>
        </w:rPr>
        <w:t xml:space="preserve">, </w:t>
      </w:r>
      <w:r w:rsidR="00A600AE" w:rsidRPr="00A600AE">
        <w:rPr>
          <w:rFonts w:asciiTheme="minorHAnsi" w:hAnsiTheme="minorHAnsi" w:cstheme="minorHAnsi"/>
          <w:sz w:val="24"/>
          <w:szCs w:val="24"/>
          <w:shd w:val="clear" w:color="auto" w:fill="FFFFFF"/>
          <w:lang w:val="en-US"/>
        </w:rPr>
        <w:t>Riahi</w:t>
      </w:r>
      <w:r w:rsidR="00F4104F">
        <w:rPr>
          <w:rFonts w:asciiTheme="minorHAnsi" w:hAnsiTheme="minorHAnsi" w:cstheme="minorHAnsi"/>
          <w:sz w:val="24"/>
          <w:szCs w:val="24"/>
          <w:shd w:val="clear" w:color="auto" w:fill="FFFFFF"/>
        </w:rPr>
        <w:t>, και</w:t>
      </w:r>
      <w:r w:rsidR="00A600AE" w:rsidRPr="00A600AE">
        <w:rPr>
          <w:rFonts w:asciiTheme="minorHAnsi" w:hAnsiTheme="minorHAnsi" w:cstheme="minorHAnsi"/>
          <w:sz w:val="24"/>
          <w:szCs w:val="24"/>
          <w:shd w:val="clear" w:color="auto" w:fill="FFFFFF"/>
        </w:rPr>
        <w:t xml:space="preserve"> </w:t>
      </w:r>
      <w:r w:rsidR="00A600AE" w:rsidRPr="00A600AE">
        <w:rPr>
          <w:rFonts w:asciiTheme="minorHAnsi" w:hAnsiTheme="minorHAnsi" w:cstheme="minorHAnsi"/>
          <w:sz w:val="24"/>
          <w:szCs w:val="24"/>
          <w:shd w:val="clear" w:color="auto" w:fill="FFFFFF"/>
          <w:lang w:val="en-US"/>
        </w:rPr>
        <w:t>Ghorbani</w:t>
      </w:r>
      <w:r w:rsidR="00A600AE" w:rsidRPr="00A600AE">
        <w:rPr>
          <w:sz w:val="24"/>
          <w:szCs w:val="24"/>
        </w:rPr>
        <w:t xml:space="preserve"> </w:t>
      </w:r>
      <w:r w:rsidRPr="00A600AE">
        <w:rPr>
          <w:sz w:val="24"/>
          <w:szCs w:val="24"/>
        </w:rPr>
        <w:t>(2015</w:t>
      </w:r>
      <w:r w:rsidR="00253E0E" w:rsidRPr="00A600AE">
        <w:rPr>
          <w:sz w:val="24"/>
          <w:szCs w:val="24"/>
          <w:lang w:val="en-US"/>
        </w:rPr>
        <w:t>b</w:t>
      </w:r>
      <w:r w:rsidRPr="00A600AE">
        <w:rPr>
          <w:sz w:val="24"/>
          <w:szCs w:val="24"/>
        </w:rPr>
        <w:t xml:space="preserve">) συνέκριναν την επίδραση </w:t>
      </w:r>
      <w:r w:rsidR="00BA566F">
        <w:rPr>
          <w:sz w:val="24"/>
          <w:szCs w:val="24"/>
        </w:rPr>
        <w:t xml:space="preserve">δύο </w:t>
      </w:r>
      <w:r w:rsidRPr="00A600AE">
        <w:rPr>
          <w:sz w:val="24"/>
          <w:szCs w:val="24"/>
        </w:rPr>
        <w:t xml:space="preserve">μεθόδων (της </w:t>
      </w:r>
      <w:r w:rsidR="00685EF1">
        <w:rPr>
          <w:sz w:val="24"/>
          <w:szCs w:val="24"/>
        </w:rPr>
        <w:t xml:space="preserve">«διά ζώσης» </w:t>
      </w:r>
      <w:r w:rsidRPr="00A600AE">
        <w:rPr>
          <w:sz w:val="24"/>
          <w:szCs w:val="24"/>
        </w:rPr>
        <w:t>εκπαίδευσης</w:t>
      </w:r>
      <w:r w:rsidRPr="005A464E">
        <w:rPr>
          <w:sz w:val="24"/>
          <w:szCs w:val="24"/>
        </w:rPr>
        <w:t xml:space="preserve"> και της εκπαίδευσης μέσω ενημερωτικών φυλλαδίων) στην μεταβολή του επιπέδου γνώσεων και συμμόρφωσης 58 ασθενών υπό αιμοκάθαρση.</w:t>
      </w:r>
      <w:r w:rsidR="0078495A">
        <w:rPr>
          <w:sz w:val="24"/>
          <w:szCs w:val="24"/>
        </w:rPr>
        <w:t xml:space="preserve"> </w:t>
      </w:r>
      <w:r w:rsidRPr="005A464E">
        <w:rPr>
          <w:sz w:val="24"/>
          <w:szCs w:val="24"/>
        </w:rPr>
        <w:t>Τα αποτελέσματα έδειξαν σημαντική αύξηση του</w:t>
      </w:r>
      <w:r w:rsidR="00533701">
        <w:rPr>
          <w:sz w:val="24"/>
          <w:szCs w:val="24"/>
        </w:rPr>
        <w:t xml:space="preserve"> επιπέδου γνώσεων</w:t>
      </w:r>
      <w:r w:rsidRPr="005A464E">
        <w:rPr>
          <w:sz w:val="24"/>
          <w:szCs w:val="24"/>
        </w:rPr>
        <w:t xml:space="preserve"> </w:t>
      </w:r>
      <w:r w:rsidR="00253E0E" w:rsidRPr="005A464E">
        <w:rPr>
          <w:sz w:val="24"/>
          <w:szCs w:val="24"/>
        </w:rPr>
        <w:t xml:space="preserve">και στις </w:t>
      </w:r>
      <w:r w:rsidR="00BA566F">
        <w:rPr>
          <w:sz w:val="24"/>
          <w:szCs w:val="24"/>
        </w:rPr>
        <w:t xml:space="preserve">δύο </w:t>
      </w:r>
      <w:r w:rsidR="00253E0E" w:rsidRPr="005A464E">
        <w:rPr>
          <w:sz w:val="24"/>
          <w:szCs w:val="24"/>
        </w:rPr>
        <w:t xml:space="preserve">ομάδες των ασθενών. Επίσης, σημαντικά αυξήθηκε το επίπεδο συμμόρφωσης στην ομάδα που έλαβε την </w:t>
      </w:r>
      <w:r w:rsidR="00685EF1">
        <w:rPr>
          <w:sz w:val="24"/>
          <w:szCs w:val="24"/>
        </w:rPr>
        <w:t xml:space="preserve">«διά ζώσης» </w:t>
      </w:r>
      <w:r w:rsidR="00253E0E" w:rsidRPr="005A464E">
        <w:rPr>
          <w:sz w:val="24"/>
          <w:szCs w:val="24"/>
        </w:rPr>
        <w:t xml:space="preserve">εκπαίδευση. </w:t>
      </w:r>
    </w:p>
    <w:p w:rsidR="0081291A" w:rsidRPr="005A464E" w:rsidRDefault="00D56115" w:rsidP="005A464E">
      <w:pPr>
        <w:spacing w:line="360" w:lineRule="auto"/>
        <w:jc w:val="both"/>
        <w:rPr>
          <w:sz w:val="24"/>
          <w:szCs w:val="24"/>
        </w:rPr>
      </w:pPr>
      <w:r w:rsidRPr="005A464E">
        <w:rPr>
          <w:sz w:val="24"/>
          <w:szCs w:val="24"/>
        </w:rPr>
        <w:t>Λαμβάνοντας υπόψη τη χρονιότητα και την εξουθένωση π</w:t>
      </w:r>
      <w:r w:rsidR="00F4104F">
        <w:rPr>
          <w:sz w:val="24"/>
          <w:szCs w:val="24"/>
        </w:rPr>
        <w:t>ου προκαλεί μι</w:t>
      </w:r>
      <w:r w:rsidRPr="005A464E">
        <w:rPr>
          <w:sz w:val="24"/>
          <w:szCs w:val="24"/>
        </w:rPr>
        <w:t>α νόσος</w:t>
      </w:r>
      <w:r w:rsidR="00943A13" w:rsidRPr="005A464E">
        <w:rPr>
          <w:sz w:val="24"/>
          <w:szCs w:val="24"/>
        </w:rPr>
        <w:t>,</w:t>
      </w:r>
      <w:r w:rsidR="003451CD" w:rsidRPr="005A464E">
        <w:rPr>
          <w:sz w:val="24"/>
          <w:szCs w:val="24"/>
        </w:rPr>
        <w:t xml:space="preserve"> όπως η νεφρική νόσος</w:t>
      </w:r>
      <w:r w:rsidRPr="005A464E">
        <w:rPr>
          <w:sz w:val="24"/>
          <w:szCs w:val="24"/>
        </w:rPr>
        <w:t xml:space="preserve"> τελικού σταδίου</w:t>
      </w:r>
      <w:r w:rsidR="00943A13" w:rsidRPr="005A464E">
        <w:rPr>
          <w:sz w:val="24"/>
          <w:szCs w:val="24"/>
        </w:rPr>
        <w:t>,</w:t>
      </w:r>
      <w:r w:rsidRPr="005A464E">
        <w:rPr>
          <w:sz w:val="24"/>
          <w:szCs w:val="24"/>
        </w:rPr>
        <w:t xml:space="preserve"> καθώς και την ανάγκη για υποβολή σε αιμοκάθαρση, η ανάγκη για εκπαίδευση στη βελτίωση της ποιότητας ζωής σε αυτούς τους ασθενείς φαίνεται να είναι πλέον απαραίτητη (</w:t>
      </w:r>
      <w:r w:rsidR="004A0B04">
        <w:rPr>
          <w:rFonts w:cs="Arial"/>
          <w:sz w:val="24"/>
          <w:szCs w:val="24"/>
          <w:shd w:val="clear" w:color="auto" w:fill="FFFFFF"/>
        </w:rPr>
        <w:t>Harirchi</w:t>
      </w:r>
      <w:r w:rsidR="004A0B04" w:rsidRPr="004A0B04">
        <w:rPr>
          <w:rFonts w:cs="Arial"/>
          <w:sz w:val="24"/>
          <w:szCs w:val="24"/>
          <w:shd w:val="clear" w:color="auto" w:fill="FFFFFF"/>
        </w:rPr>
        <w:t>,</w:t>
      </w:r>
      <w:r w:rsidR="004A0B04" w:rsidRPr="004A0B04">
        <w:rPr>
          <w:rStyle w:val="element-citation"/>
          <w:rFonts w:asciiTheme="minorHAnsi" w:hAnsiTheme="minorHAnsi" w:cstheme="minorHAnsi"/>
        </w:rPr>
        <w:t xml:space="preserve"> </w:t>
      </w:r>
      <w:r w:rsidR="004A0B04" w:rsidRPr="004A0B04">
        <w:rPr>
          <w:rStyle w:val="element-citation"/>
          <w:rFonts w:asciiTheme="minorHAnsi" w:hAnsiTheme="minorHAnsi" w:cstheme="minorHAnsi"/>
          <w:sz w:val="24"/>
          <w:szCs w:val="24"/>
          <w:lang w:val="en-US"/>
        </w:rPr>
        <w:t>Rasooli</w:t>
      </w:r>
      <w:r w:rsidR="00516D72">
        <w:rPr>
          <w:rStyle w:val="element-citation"/>
          <w:rFonts w:asciiTheme="minorHAnsi" w:hAnsiTheme="minorHAnsi" w:cstheme="minorHAnsi"/>
          <w:sz w:val="24"/>
          <w:szCs w:val="24"/>
        </w:rPr>
        <w:t>,</w:t>
      </w:r>
      <w:r w:rsidR="00F4104F">
        <w:rPr>
          <w:rStyle w:val="element-citation"/>
          <w:rFonts w:asciiTheme="minorHAnsi" w:hAnsiTheme="minorHAnsi" w:cstheme="minorHAnsi"/>
          <w:sz w:val="24"/>
          <w:szCs w:val="24"/>
        </w:rPr>
        <w:t xml:space="preserve"> και</w:t>
      </w:r>
      <w:r w:rsidR="0078495A">
        <w:rPr>
          <w:rStyle w:val="element-citation"/>
          <w:rFonts w:asciiTheme="minorHAnsi" w:hAnsiTheme="minorHAnsi" w:cstheme="minorHAnsi"/>
          <w:sz w:val="24"/>
          <w:szCs w:val="24"/>
        </w:rPr>
        <w:t xml:space="preserve"> </w:t>
      </w:r>
      <w:r w:rsidR="004A0B04" w:rsidRPr="004A0B04">
        <w:rPr>
          <w:rStyle w:val="element-citation"/>
          <w:rFonts w:asciiTheme="minorHAnsi" w:hAnsiTheme="minorHAnsi" w:cstheme="minorHAnsi"/>
          <w:sz w:val="24"/>
          <w:szCs w:val="24"/>
          <w:lang w:val="en-US"/>
        </w:rPr>
        <w:t>Montazeri</w:t>
      </w:r>
      <w:r w:rsidR="00516D72">
        <w:rPr>
          <w:rStyle w:val="element-citation"/>
          <w:rFonts w:asciiTheme="minorHAnsi" w:hAnsiTheme="minorHAnsi" w:cstheme="minorHAnsi"/>
          <w:sz w:val="24"/>
          <w:szCs w:val="24"/>
        </w:rPr>
        <w:t>,</w:t>
      </w:r>
      <w:r w:rsidR="004A0B04" w:rsidRPr="004A0B04">
        <w:rPr>
          <w:rFonts w:cs="Arial"/>
          <w:sz w:val="24"/>
          <w:szCs w:val="24"/>
          <w:shd w:val="clear" w:color="auto" w:fill="FFFFFF"/>
        </w:rPr>
        <w:t xml:space="preserve"> </w:t>
      </w:r>
      <w:r w:rsidRPr="004A0B04">
        <w:rPr>
          <w:rFonts w:cs="Arial"/>
          <w:sz w:val="24"/>
          <w:szCs w:val="24"/>
          <w:shd w:val="clear" w:color="auto" w:fill="FFFFFF"/>
        </w:rPr>
        <w:t>2004)</w:t>
      </w:r>
      <w:r w:rsidRPr="004A0B04">
        <w:rPr>
          <w:sz w:val="24"/>
          <w:szCs w:val="24"/>
        </w:rPr>
        <w:t xml:space="preserve">. </w:t>
      </w:r>
      <w:r w:rsidR="0081291A" w:rsidRPr="004A0B04">
        <w:rPr>
          <w:iCs/>
          <w:sz w:val="24"/>
          <w:szCs w:val="24"/>
        </w:rPr>
        <w:t xml:space="preserve">Σύμφωνα με την </w:t>
      </w:r>
      <w:r w:rsidR="0081291A" w:rsidRPr="004A0B04">
        <w:rPr>
          <w:iCs/>
          <w:sz w:val="24"/>
          <w:szCs w:val="24"/>
          <w:lang w:val="en-US"/>
        </w:rPr>
        <w:t>Orem</w:t>
      </w:r>
      <w:r w:rsidR="0081291A" w:rsidRPr="004A0B04">
        <w:rPr>
          <w:iCs/>
          <w:sz w:val="24"/>
          <w:szCs w:val="24"/>
        </w:rPr>
        <w:t>,</w:t>
      </w:r>
      <w:r w:rsidR="00444DC1" w:rsidRPr="004A0B04">
        <w:rPr>
          <w:sz w:val="24"/>
          <w:szCs w:val="24"/>
        </w:rPr>
        <w:t xml:space="preserve"> κ</w:t>
      </w:r>
      <w:r w:rsidR="00444DC1" w:rsidRPr="004A0B04">
        <w:rPr>
          <w:iCs/>
          <w:sz w:val="24"/>
          <w:szCs w:val="24"/>
        </w:rPr>
        <w:t>αθώς οι ασθενείς δεν είναι σε θέση</w:t>
      </w:r>
      <w:r w:rsidR="00444DC1" w:rsidRPr="005A464E">
        <w:rPr>
          <w:iCs/>
          <w:sz w:val="24"/>
          <w:szCs w:val="24"/>
        </w:rPr>
        <w:t xml:space="preserve"> να φροντίσουν τον εαυτό τους, οι νοσηλευτές μπορούν να τους βοηθήσουν να φροντίσουν τον εαυτό τους με την ενθάρρυνση και την κατάρτισή τους. Αυτό θα έχει θετική επίδραση σ</w:t>
      </w:r>
      <w:r w:rsidR="009829E7" w:rsidRPr="005A464E">
        <w:rPr>
          <w:iCs/>
          <w:sz w:val="24"/>
          <w:szCs w:val="24"/>
        </w:rPr>
        <w:t>την ποιότητα ζωής των ασθενών υπό αιμοκάθαρση (</w:t>
      </w:r>
      <w:r w:rsidR="009829E7" w:rsidRPr="005A464E">
        <w:rPr>
          <w:iCs/>
          <w:sz w:val="24"/>
          <w:szCs w:val="24"/>
          <w:lang w:val="en-US"/>
        </w:rPr>
        <w:t>Simmons</w:t>
      </w:r>
      <w:r w:rsidR="004A0B04" w:rsidRPr="004A0B04">
        <w:rPr>
          <w:iCs/>
          <w:sz w:val="24"/>
          <w:szCs w:val="24"/>
        </w:rPr>
        <w:t>,</w:t>
      </w:r>
      <w:r w:rsidR="009829E7" w:rsidRPr="005A464E">
        <w:rPr>
          <w:iCs/>
          <w:sz w:val="24"/>
          <w:szCs w:val="24"/>
        </w:rPr>
        <w:t xml:space="preserve"> 2009).</w:t>
      </w:r>
      <w:r w:rsidR="00943A13" w:rsidRPr="005A464E">
        <w:rPr>
          <w:iCs/>
          <w:sz w:val="24"/>
          <w:szCs w:val="24"/>
        </w:rPr>
        <w:t xml:space="preserve"> Με κατάλληλες</w:t>
      </w:r>
      <w:r w:rsidR="009829E7" w:rsidRPr="005A464E">
        <w:rPr>
          <w:iCs/>
          <w:sz w:val="24"/>
          <w:szCs w:val="24"/>
        </w:rPr>
        <w:t xml:space="preserve"> στρατηγικές συμβουλευτικής εκπαίδευσης, οι νοσηλευτές μπορούν να κάνουν θετικές αλλαγές στην ποιότητα της ζωής (</w:t>
      </w:r>
      <w:r w:rsidR="009829E7" w:rsidRPr="005A464E">
        <w:rPr>
          <w:sz w:val="24"/>
          <w:szCs w:val="24"/>
          <w:lang w:val="en-US"/>
        </w:rPr>
        <w:t>Bahrami</w:t>
      </w:r>
      <w:r w:rsidR="004A0B04" w:rsidRPr="004A0B04">
        <w:rPr>
          <w:sz w:val="24"/>
          <w:szCs w:val="24"/>
        </w:rPr>
        <w:t xml:space="preserve"> </w:t>
      </w:r>
      <w:r w:rsidR="004A0B04">
        <w:rPr>
          <w:sz w:val="24"/>
          <w:szCs w:val="24"/>
          <w:lang w:val="en-US"/>
        </w:rPr>
        <w:t>N</w:t>
      </w:r>
      <w:r w:rsidR="009829E7" w:rsidRPr="005A464E">
        <w:rPr>
          <w:sz w:val="24"/>
          <w:szCs w:val="24"/>
          <w:lang w:val="en-US"/>
        </w:rPr>
        <w:t>ejad</w:t>
      </w:r>
      <w:r w:rsidR="004A0B04" w:rsidRPr="004A0B04">
        <w:rPr>
          <w:sz w:val="24"/>
          <w:szCs w:val="24"/>
        </w:rPr>
        <w:t>,</w:t>
      </w:r>
      <w:r w:rsidR="009829E7" w:rsidRPr="005A464E">
        <w:rPr>
          <w:sz w:val="24"/>
          <w:szCs w:val="24"/>
        </w:rPr>
        <w:t xml:space="preserve"> </w:t>
      </w:r>
      <w:r w:rsidR="00AF10FE" w:rsidRPr="00AF10FE">
        <w:rPr>
          <w:rFonts w:asciiTheme="minorHAnsi" w:hAnsiTheme="minorHAnsi" w:cstheme="minorHAnsi"/>
          <w:sz w:val="24"/>
          <w:szCs w:val="24"/>
          <w:lang w:val="en-US"/>
        </w:rPr>
        <w:t>Hanifi</w:t>
      </w:r>
      <w:r w:rsidR="00AF10FE">
        <w:rPr>
          <w:rFonts w:asciiTheme="minorHAnsi" w:hAnsiTheme="minorHAnsi" w:cstheme="minorHAnsi"/>
          <w:sz w:val="24"/>
          <w:szCs w:val="24"/>
        </w:rPr>
        <w:t>,</w:t>
      </w:r>
      <w:r w:rsidR="00AF10FE" w:rsidRPr="00AF10FE">
        <w:rPr>
          <w:rFonts w:asciiTheme="minorHAnsi" w:hAnsiTheme="minorHAnsi" w:cstheme="minorHAnsi"/>
          <w:sz w:val="24"/>
          <w:szCs w:val="24"/>
        </w:rPr>
        <w:t xml:space="preserve"> &amp; </w:t>
      </w:r>
      <w:r w:rsidR="00AF10FE" w:rsidRPr="00AF10FE">
        <w:rPr>
          <w:rFonts w:asciiTheme="minorHAnsi" w:hAnsiTheme="minorHAnsi" w:cstheme="minorHAnsi"/>
          <w:sz w:val="24"/>
          <w:szCs w:val="24"/>
          <w:lang w:val="en-US"/>
        </w:rPr>
        <w:t>Mousavi</w:t>
      </w:r>
      <w:r w:rsidR="00AF10FE" w:rsidRPr="00AF10FE">
        <w:rPr>
          <w:rFonts w:asciiTheme="minorHAnsi" w:hAnsiTheme="minorHAnsi" w:cstheme="minorHAnsi"/>
          <w:sz w:val="24"/>
          <w:szCs w:val="24"/>
        </w:rPr>
        <w:t xml:space="preserve"> </w:t>
      </w:r>
      <w:r w:rsidR="00AF10FE" w:rsidRPr="00AF10FE">
        <w:rPr>
          <w:rFonts w:asciiTheme="minorHAnsi" w:hAnsiTheme="minorHAnsi" w:cstheme="minorHAnsi"/>
          <w:sz w:val="24"/>
          <w:szCs w:val="24"/>
          <w:lang w:val="en-US"/>
        </w:rPr>
        <w:t>Nasab</w:t>
      </w:r>
      <w:r w:rsidR="00AF10FE">
        <w:rPr>
          <w:rFonts w:asciiTheme="minorHAnsi" w:hAnsiTheme="minorHAnsi" w:cstheme="minorHAnsi"/>
          <w:sz w:val="24"/>
          <w:szCs w:val="24"/>
        </w:rPr>
        <w:t>,</w:t>
      </w:r>
      <w:r w:rsidR="00AF10FE" w:rsidRPr="005A464E">
        <w:rPr>
          <w:sz w:val="24"/>
          <w:szCs w:val="24"/>
        </w:rPr>
        <w:t xml:space="preserve"> </w:t>
      </w:r>
      <w:r w:rsidR="009829E7" w:rsidRPr="005A464E">
        <w:rPr>
          <w:sz w:val="24"/>
          <w:szCs w:val="24"/>
        </w:rPr>
        <w:t>200</w:t>
      </w:r>
      <w:r w:rsidR="00F4104F">
        <w:rPr>
          <w:sz w:val="24"/>
          <w:szCs w:val="24"/>
        </w:rPr>
        <w:t>8). Η εκπαίδευση με επίκεντρο το</w:t>
      </w:r>
      <w:r w:rsidR="00207612">
        <w:rPr>
          <w:sz w:val="24"/>
          <w:szCs w:val="24"/>
        </w:rPr>
        <w:t xml:space="preserve">ν ασθενή </w:t>
      </w:r>
      <w:r w:rsidR="009829E7" w:rsidRPr="005A464E">
        <w:rPr>
          <w:sz w:val="24"/>
          <w:szCs w:val="24"/>
        </w:rPr>
        <w:t>οδηγεί στη βελτίωση</w:t>
      </w:r>
      <w:r w:rsidR="00207612">
        <w:rPr>
          <w:sz w:val="24"/>
          <w:szCs w:val="24"/>
        </w:rPr>
        <w:t xml:space="preserve"> της ποιότητας </w:t>
      </w:r>
      <w:r w:rsidR="00207612" w:rsidRPr="00886C7F">
        <w:rPr>
          <w:sz w:val="24"/>
          <w:szCs w:val="24"/>
        </w:rPr>
        <w:t>ζωής των ασθενών και</w:t>
      </w:r>
      <w:r w:rsidR="009829E7" w:rsidRPr="00886C7F">
        <w:rPr>
          <w:sz w:val="24"/>
          <w:szCs w:val="24"/>
        </w:rPr>
        <w:t xml:space="preserve"> αποτελεί ένα από τα δικαιώματα </w:t>
      </w:r>
      <w:r w:rsidR="00B0560D" w:rsidRPr="00886C7F">
        <w:rPr>
          <w:sz w:val="24"/>
          <w:szCs w:val="24"/>
        </w:rPr>
        <w:t>του ασθενούς</w:t>
      </w:r>
      <w:r w:rsidR="0078495A" w:rsidRPr="00886C7F">
        <w:rPr>
          <w:sz w:val="24"/>
          <w:szCs w:val="24"/>
        </w:rPr>
        <w:t xml:space="preserve"> </w:t>
      </w:r>
      <w:r w:rsidR="009829E7" w:rsidRPr="00886C7F">
        <w:rPr>
          <w:sz w:val="24"/>
          <w:szCs w:val="24"/>
        </w:rPr>
        <w:t>αλλά και ένα από τα πρωταρχικά στοιχεία της νοσηλευτικής κ</w:t>
      </w:r>
      <w:r w:rsidR="00F4104F" w:rsidRPr="00886C7F">
        <w:rPr>
          <w:sz w:val="24"/>
          <w:szCs w:val="24"/>
        </w:rPr>
        <w:t>αι των επαγγελματικών</w:t>
      </w:r>
      <w:r w:rsidR="00533701" w:rsidRPr="00886C7F">
        <w:rPr>
          <w:sz w:val="24"/>
          <w:szCs w:val="24"/>
        </w:rPr>
        <w:t xml:space="preserve"> καθηκόντων</w:t>
      </w:r>
      <w:r w:rsidR="009829E7" w:rsidRPr="005A464E">
        <w:rPr>
          <w:sz w:val="24"/>
          <w:szCs w:val="24"/>
        </w:rPr>
        <w:t xml:space="preserve"> των νοσηλευτών (</w:t>
      </w:r>
      <w:r w:rsidR="009829E7" w:rsidRPr="005A464E">
        <w:rPr>
          <w:rFonts w:cs="Arial"/>
          <w:iCs/>
          <w:sz w:val="24"/>
          <w:szCs w:val="24"/>
          <w:shd w:val="clear" w:color="auto" w:fill="FFFFFF"/>
        </w:rPr>
        <w:t>Wingard</w:t>
      </w:r>
      <w:r w:rsidR="00D60706" w:rsidRPr="00D60706">
        <w:rPr>
          <w:rFonts w:cs="Arial"/>
          <w:iCs/>
          <w:sz w:val="24"/>
          <w:szCs w:val="24"/>
          <w:shd w:val="clear" w:color="auto" w:fill="FFFFFF"/>
        </w:rPr>
        <w:t>,</w:t>
      </w:r>
      <w:r w:rsidR="00F4104F">
        <w:rPr>
          <w:rStyle w:val="apple-converted-space"/>
          <w:rFonts w:cs="Arial"/>
          <w:iCs/>
          <w:sz w:val="24"/>
          <w:szCs w:val="24"/>
          <w:shd w:val="clear" w:color="auto" w:fill="FFFFFF"/>
        </w:rPr>
        <w:t xml:space="preserve"> </w:t>
      </w:r>
      <w:r w:rsidR="000974D7" w:rsidRPr="005A464E">
        <w:rPr>
          <w:rStyle w:val="apple-converted-space"/>
          <w:rFonts w:cs="Arial"/>
          <w:iCs/>
          <w:sz w:val="24"/>
          <w:szCs w:val="24"/>
          <w:shd w:val="clear" w:color="auto" w:fill="FFFFFF"/>
        </w:rPr>
        <w:t>2009</w:t>
      </w:r>
      <w:r w:rsidR="009829E7" w:rsidRPr="005A464E">
        <w:rPr>
          <w:rStyle w:val="apple-converted-space"/>
          <w:rFonts w:cs="Arial"/>
          <w:iCs/>
          <w:sz w:val="24"/>
          <w:szCs w:val="24"/>
          <w:shd w:val="clear" w:color="auto" w:fill="FFFFFF"/>
        </w:rPr>
        <w:t>)</w:t>
      </w:r>
      <w:r w:rsidR="009829E7" w:rsidRPr="005A464E">
        <w:rPr>
          <w:sz w:val="24"/>
          <w:szCs w:val="24"/>
        </w:rPr>
        <w:t>.</w:t>
      </w:r>
      <w:r w:rsidR="00943A13" w:rsidRPr="005A464E">
        <w:rPr>
          <w:sz w:val="24"/>
          <w:szCs w:val="24"/>
        </w:rPr>
        <w:t xml:space="preserve"> </w:t>
      </w:r>
      <w:r w:rsidRPr="005A464E">
        <w:rPr>
          <w:sz w:val="24"/>
          <w:szCs w:val="24"/>
        </w:rPr>
        <w:t xml:space="preserve">Η εκπαίδευση για </w:t>
      </w:r>
      <w:r w:rsidR="00C37AEA" w:rsidRPr="005A464E">
        <w:rPr>
          <w:sz w:val="24"/>
          <w:szCs w:val="24"/>
        </w:rPr>
        <w:t>συμπεριφορά</w:t>
      </w:r>
      <w:r w:rsidRPr="005A464E">
        <w:rPr>
          <w:sz w:val="24"/>
          <w:szCs w:val="24"/>
        </w:rPr>
        <w:t xml:space="preserve"> αυτοφροντίδας</w:t>
      </w:r>
      <w:r w:rsidR="00C07AB7" w:rsidRPr="005A464E">
        <w:rPr>
          <w:sz w:val="24"/>
          <w:szCs w:val="24"/>
        </w:rPr>
        <w:t xml:space="preserve"> σε ασθενείς </w:t>
      </w:r>
      <w:r w:rsidR="003A7B4C" w:rsidRPr="005A464E">
        <w:rPr>
          <w:sz w:val="24"/>
          <w:szCs w:val="24"/>
        </w:rPr>
        <w:t>που υποβάλλονται σε</w:t>
      </w:r>
      <w:r w:rsidR="00943A13" w:rsidRPr="005A464E">
        <w:rPr>
          <w:sz w:val="24"/>
          <w:szCs w:val="24"/>
        </w:rPr>
        <w:t xml:space="preserve"> </w:t>
      </w:r>
      <w:r w:rsidR="00C37AEA" w:rsidRPr="005A464E">
        <w:rPr>
          <w:sz w:val="24"/>
          <w:szCs w:val="24"/>
        </w:rPr>
        <w:t>αιμοκάθαρση</w:t>
      </w:r>
      <w:r w:rsidRPr="005A464E">
        <w:rPr>
          <w:sz w:val="24"/>
          <w:szCs w:val="24"/>
        </w:rPr>
        <w:t xml:space="preserve"> οδηγεί στην αυτοαποτελεσματικότητα</w:t>
      </w:r>
      <w:r w:rsidR="003A7B4C" w:rsidRPr="005A464E">
        <w:rPr>
          <w:sz w:val="24"/>
          <w:szCs w:val="24"/>
        </w:rPr>
        <w:t xml:space="preserve"> και</w:t>
      </w:r>
      <w:r w:rsidR="00C37AEA" w:rsidRPr="005A464E">
        <w:rPr>
          <w:sz w:val="24"/>
          <w:szCs w:val="24"/>
        </w:rPr>
        <w:t xml:space="preserve"> τη διατήρηση των ρόλων (Al-Arabi</w:t>
      </w:r>
      <w:r w:rsidR="00533701" w:rsidRPr="00533701">
        <w:rPr>
          <w:sz w:val="24"/>
          <w:szCs w:val="24"/>
        </w:rPr>
        <w:t>,</w:t>
      </w:r>
      <w:r w:rsidR="00C37AEA" w:rsidRPr="005A464E">
        <w:rPr>
          <w:sz w:val="24"/>
          <w:szCs w:val="24"/>
        </w:rPr>
        <w:t xml:space="preserve"> 2006). </w:t>
      </w:r>
      <w:r w:rsidR="009E59F9" w:rsidRPr="005A464E">
        <w:rPr>
          <w:sz w:val="24"/>
          <w:szCs w:val="24"/>
        </w:rPr>
        <w:t>Οι νοσηλευτές νεφρολογίας είναι άμεσα δεσμευμένοι</w:t>
      </w:r>
      <w:r w:rsidR="0078495A">
        <w:rPr>
          <w:sz w:val="24"/>
          <w:szCs w:val="24"/>
        </w:rPr>
        <w:t xml:space="preserve"> </w:t>
      </w:r>
      <w:r w:rsidR="009E59F9" w:rsidRPr="005A464E">
        <w:rPr>
          <w:sz w:val="24"/>
          <w:szCs w:val="24"/>
        </w:rPr>
        <w:t>να αναλάβουν τ</w:t>
      </w:r>
      <w:r w:rsidR="00943A13" w:rsidRPr="005A464E">
        <w:rPr>
          <w:sz w:val="24"/>
          <w:szCs w:val="24"/>
        </w:rPr>
        <w:t>η φροντίδα των ασθενών που υποβάλλονται σε</w:t>
      </w:r>
      <w:r w:rsidR="009E59F9" w:rsidRPr="005A464E">
        <w:rPr>
          <w:sz w:val="24"/>
          <w:szCs w:val="24"/>
        </w:rPr>
        <w:t xml:space="preserve"> αιμοκάθαρση. Οι νοσηλευτές έχουν τη δυνατότητα να πληροφορούν τους ασθενείς και τις οικογένειές τους καθώς και να παρέχουν υποστήριξη </w:t>
      </w:r>
      <w:r w:rsidR="00864D44" w:rsidRPr="005A464E">
        <w:rPr>
          <w:sz w:val="24"/>
          <w:szCs w:val="24"/>
        </w:rPr>
        <w:t>στην αυτοφροντίδα τους</w:t>
      </w:r>
      <w:r w:rsidR="00864D44" w:rsidRPr="005A464E">
        <w:rPr>
          <w:rFonts w:cs="Arial"/>
          <w:sz w:val="24"/>
          <w:szCs w:val="24"/>
          <w:shd w:val="clear" w:color="auto" w:fill="FFFFFF"/>
        </w:rPr>
        <w:t xml:space="preserve"> (</w:t>
      </w:r>
      <w:r w:rsidR="00864D44" w:rsidRPr="005A464E">
        <w:rPr>
          <w:rFonts w:cs="Arial"/>
          <w:sz w:val="24"/>
          <w:szCs w:val="24"/>
          <w:shd w:val="clear" w:color="auto" w:fill="FFFFFF"/>
          <w:lang w:val="en-US"/>
        </w:rPr>
        <w:t>Kallenbach</w:t>
      </w:r>
      <w:r w:rsidR="004A0B04" w:rsidRPr="004A0B04">
        <w:rPr>
          <w:rFonts w:cs="Arial"/>
          <w:sz w:val="24"/>
          <w:szCs w:val="24"/>
          <w:shd w:val="clear" w:color="auto" w:fill="FFFFFF"/>
        </w:rPr>
        <w:t>,</w:t>
      </w:r>
      <w:r w:rsidR="00864D44" w:rsidRPr="005A464E">
        <w:rPr>
          <w:rFonts w:cs="Arial"/>
          <w:sz w:val="24"/>
          <w:szCs w:val="24"/>
          <w:shd w:val="clear" w:color="auto" w:fill="FFFFFF"/>
        </w:rPr>
        <w:t xml:space="preserve"> 20</w:t>
      </w:r>
      <w:r w:rsidR="00187166" w:rsidRPr="005A464E">
        <w:rPr>
          <w:rFonts w:cs="Arial"/>
          <w:sz w:val="24"/>
          <w:szCs w:val="24"/>
          <w:shd w:val="clear" w:color="auto" w:fill="FFFFFF"/>
        </w:rPr>
        <w:t>11</w:t>
      </w:r>
      <w:r w:rsidR="00943A13" w:rsidRPr="005A464E">
        <w:rPr>
          <w:sz w:val="24"/>
          <w:szCs w:val="24"/>
        </w:rPr>
        <w:t xml:space="preserve">; Hala </w:t>
      </w:r>
      <w:r w:rsidR="00516D72">
        <w:rPr>
          <w:sz w:val="24"/>
          <w:szCs w:val="24"/>
        </w:rPr>
        <w:t xml:space="preserve">Abo </w:t>
      </w:r>
      <w:r w:rsidR="00516D72" w:rsidRPr="00516D72">
        <w:rPr>
          <w:sz w:val="24"/>
          <w:szCs w:val="24"/>
        </w:rPr>
        <w:t>Deif,</w:t>
      </w:r>
      <w:r w:rsidR="00516D72" w:rsidRPr="00516D72">
        <w:rPr>
          <w:rFonts w:asciiTheme="minorHAnsi" w:hAnsiTheme="minorHAnsi" w:cstheme="minorHAnsi"/>
          <w:sz w:val="24"/>
          <w:szCs w:val="24"/>
        </w:rPr>
        <w:t xml:space="preserve"> </w:t>
      </w:r>
      <w:r w:rsidR="00516D72" w:rsidRPr="00516D72">
        <w:rPr>
          <w:rFonts w:asciiTheme="minorHAnsi" w:hAnsiTheme="minorHAnsi" w:cstheme="minorHAnsi"/>
          <w:sz w:val="24"/>
          <w:szCs w:val="24"/>
          <w:lang w:val="en-US"/>
        </w:rPr>
        <w:t>Elsawi</w:t>
      </w:r>
      <w:r w:rsidR="00516D72" w:rsidRPr="00516D72">
        <w:rPr>
          <w:rFonts w:asciiTheme="minorHAnsi" w:hAnsiTheme="minorHAnsi" w:cstheme="minorHAnsi"/>
          <w:sz w:val="24"/>
          <w:szCs w:val="24"/>
        </w:rPr>
        <w:t xml:space="preserve">, </w:t>
      </w:r>
      <w:r w:rsidR="00516D72" w:rsidRPr="00516D72">
        <w:rPr>
          <w:rFonts w:asciiTheme="minorHAnsi" w:hAnsiTheme="minorHAnsi" w:cstheme="minorHAnsi"/>
          <w:sz w:val="24"/>
          <w:szCs w:val="24"/>
          <w:lang w:val="en-US"/>
        </w:rPr>
        <w:t>Mohga</w:t>
      </w:r>
      <w:r w:rsidR="00516D72">
        <w:rPr>
          <w:rFonts w:asciiTheme="minorHAnsi" w:hAnsiTheme="minorHAnsi" w:cstheme="minorHAnsi"/>
          <w:sz w:val="24"/>
          <w:szCs w:val="24"/>
        </w:rPr>
        <w:t xml:space="preserve">, </w:t>
      </w:r>
      <w:r w:rsidR="00516D72" w:rsidRPr="00516D72">
        <w:rPr>
          <w:rFonts w:asciiTheme="minorHAnsi" w:hAnsiTheme="minorHAnsi" w:cstheme="minorHAnsi"/>
          <w:sz w:val="24"/>
          <w:szCs w:val="24"/>
        </w:rPr>
        <w:t xml:space="preserve">&amp; </w:t>
      </w:r>
      <w:r w:rsidR="00516D72" w:rsidRPr="00516D72">
        <w:rPr>
          <w:rFonts w:asciiTheme="minorHAnsi" w:hAnsiTheme="minorHAnsi" w:cstheme="minorHAnsi"/>
          <w:sz w:val="24"/>
          <w:szCs w:val="24"/>
          <w:lang w:val="en-US"/>
        </w:rPr>
        <w:t>NasrAllah</w:t>
      </w:r>
      <w:r w:rsidR="00516D72">
        <w:rPr>
          <w:rFonts w:asciiTheme="minorHAnsi" w:hAnsiTheme="minorHAnsi" w:cstheme="minorHAnsi"/>
          <w:sz w:val="24"/>
          <w:szCs w:val="24"/>
        </w:rPr>
        <w:t>,</w:t>
      </w:r>
      <w:r w:rsidR="00516D72" w:rsidRPr="00516D72">
        <w:rPr>
          <w:sz w:val="24"/>
          <w:szCs w:val="24"/>
        </w:rPr>
        <w:t xml:space="preserve"> </w:t>
      </w:r>
      <w:r w:rsidR="00387CF2" w:rsidRPr="00516D72">
        <w:rPr>
          <w:sz w:val="24"/>
          <w:szCs w:val="24"/>
        </w:rPr>
        <w:t>2015</w:t>
      </w:r>
      <w:r w:rsidR="00387CF2" w:rsidRPr="005A464E">
        <w:rPr>
          <w:sz w:val="24"/>
          <w:szCs w:val="24"/>
        </w:rPr>
        <w:t>).</w:t>
      </w:r>
    </w:p>
    <w:p w:rsidR="00AA5243" w:rsidRPr="005A464E" w:rsidRDefault="00864D44" w:rsidP="005A464E">
      <w:pPr>
        <w:spacing w:line="360" w:lineRule="auto"/>
        <w:jc w:val="both"/>
        <w:rPr>
          <w:rStyle w:val="apple-converted-space"/>
          <w:rFonts w:cs="Arial"/>
          <w:color w:val="303030"/>
          <w:sz w:val="24"/>
          <w:szCs w:val="24"/>
          <w:shd w:val="clear" w:color="auto" w:fill="FFFFFF"/>
        </w:rPr>
      </w:pPr>
      <w:r w:rsidRPr="005A464E">
        <w:rPr>
          <w:sz w:val="24"/>
          <w:szCs w:val="24"/>
        </w:rPr>
        <w:t xml:space="preserve">Άλλα θετικά αποτελέσματα </w:t>
      </w:r>
      <w:r w:rsidR="00C07AB7" w:rsidRPr="005A464E">
        <w:rPr>
          <w:sz w:val="24"/>
          <w:szCs w:val="24"/>
        </w:rPr>
        <w:t xml:space="preserve">της συμβουλευτικής </w:t>
      </w:r>
      <w:r w:rsidRPr="005A464E">
        <w:rPr>
          <w:sz w:val="24"/>
          <w:szCs w:val="24"/>
        </w:rPr>
        <w:t>εκπαίδευσης αναφέρονται στην αυξημένη ικανοποίηση και την ανεξαρτησία, την παρατεταμένη διάρκεια ζωής και την βελτίωση της υγείας (</w:t>
      </w:r>
      <w:r w:rsidRPr="005A464E">
        <w:rPr>
          <w:rFonts w:cs="Arial"/>
          <w:sz w:val="24"/>
          <w:szCs w:val="24"/>
          <w:shd w:val="clear" w:color="auto" w:fill="FFFFFF"/>
        </w:rPr>
        <w:t>Bastabl</w:t>
      </w:r>
      <w:r w:rsidRPr="005A464E">
        <w:rPr>
          <w:rFonts w:cs="Arial"/>
          <w:sz w:val="24"/>
          <w:szCs w:val="24"/>
          <w:shd w:val="clear" w:color="auto" w:fill="FFFFFF"/>
          <w:lang w:val="en-US"/>
        </w:rPr>
        <w:t>e</w:t>
      </w:r>
      <w:r w:rsidR="00E3713D">
        <w:rPr>
          <w:rFonts w:cs="Arial"/>
          <w:sz w:val="24"/>
          <w:szCs w:val="24"/>
          <w:shd w:val="clear" w:color="auto" w:fill="FFFFFF"/>
        </w:rPr>
        <w:t>,</w:t>
      </w:r>
      <w:r w:rsidRPr="005A464E">
        <w:rPr>
          <w:rFonts w:cs="Arial"/>
          <w:sz w:val="24"/>
          <w:szCs w:val="24"/>
          <w:shd w:val="clear" w:color="auto" w:fill="FFFFFF"/>
        </w:rPr>
        <w:t xml:space="preserve"> 2003). Οι ερευνητικές μελέτες που πραγματοποιούνται σε αυτόν τον τομέα έχουν αποκαλύψει τη θετική επίδραση της </w:t>
      </w:r>
      <w:r w:rsidR="00F4104F">
        <w:rPr>
          <w:rFonts w:cs="Arial"/>
          <w:sz w:val="24"/>
          <w:szCs w:val="24"/>
          <w:shd w:val="clear" w:color="auto" w:fill="FFFFFF"/>
        </w:rPr>
        <w:t>συμβουλευτική</w:t>
      </w:r>
      <w:r w:rsidRPr="005A464E">
        <w:rPr>
          <w:rFonts w:cs="Arial"/>
          <w:sz w:val="24"/>
          <w:szCs w:val="24"/>
          <w:shd w:val="clear" w:color="auto" w:fill="FFFFFF"/>
        </w:rPr>
        <w:t>ς στην αυτοφροντίδα και την αύξηση της γνώσης που σχετίζεται με τη νόσο για την πρόληψη των δευτερογενών αρνητικών επιπτώσεων</w:t>
      </w:r>
      <w:r w:rsidRPr="005A464E">
        <w:rPr>
          <w:sz w:val="24"/>
          <w:szCs w:val="24"/>
        </w:rPr>
        <w:t xml:space="preserve"> (</w:t>
      </w:r>
      <w:r w:rsidRPr="005A464E">
        <w:rPr>
          <w:rFonts w:cs="Arial"/>
          <w:sz w:val="24"/>
          <w:szCs w:val="24"/>
          <w:shd w:val="clear" w:color="auto" w:fill="FFFFFF"/>
        </w:rPr>
        <w:t>Ragnarson</w:t>
      </w:r>
      <w:r w:rsidR="00533701" w:rsidRPr="00533701">
        <w:rPr>
          <w:rFonts w:cs="Arial"/>
          <w:sz w:val="24"/>
          <w:szCs w:val="24"/>
          <w:shd w:val="clear" w:color="auto" w:fill="FFFFFF"/>
        </w:rPr>
        <w:t>,</w:t>
      </w:r>
      <w:r w:rsidRPr="005A464E">
        <w:rPr>
          <w:rFonts w:cs="Arial"/>
          <w:sz w:val="24"/>
          <w:szCs w:val="24"/>
          <w:shd w:val="clear" w:color="auto" w:fill="FFFFFF"/>
        </w:rPr>
        <w:t xml:space="preserve"> Tennvall</w:t>
      </w:r>
      <w:r w:rsidR="00533701" w:rsidRPr="00533701">
        <w:rPr>
          <w:rFonts w:cs="Arial"/>
          <w:sz w:val="24"/>
          <w:szCs w:val="24"/>
          <w:shd w:val="clear" w:color="auto" w:fill="FFFFFF"/>
        </w:rPr>
        <w:t>,</w:t>
      </w:r>
      <w:r w:rsidRPr="005A464E">
        <w:rPr>
          <w:rFonts w:cs="Arial"/>
          <w:sz w:val="24"/>
          <w:szCs w:val="24"/>
          <w:shd w:val="clear" w:color="auto" w:fill="FFFFFF"/>
        </w:rPr>
        <w:t xml:space="preserve"> </w:t>
      </w:r>
      <w:r w:rsidR="00336301" w:rsidRPr="005A464E">
        <w:rPr>
          <w:rFonts w:cs="Arial"/>
          <w:sz w:val="24"/>
          <w:szCs w:val="24"/>
          <w:shd w:val="clear" w:color="auto" w:fill="FFFFFF"/>
        </w:rPr>
        <w:t>&amp;</w:t>
      </w:r>
      <w:r w:rsidR="00336301" w:rsidRPr="005A464E">
        <w:rPr>
          <w:rFonts w:cs="Arial"/>
          <w:iCs/>
          <w:sz w:val="24"/>
          <w:szCs w:val="24"/>
          <w:shd w:val="clear" w:color="auto" w:fill="FFFFFF"/>
        </w:rPr>
        <w:t xml:space="preserve"> Apelqvist</w:t>
      </w:r>
      <w:r w:rsidR="00533701" w:rsidRPr="00533701">
        <w:rPr>
          <w:rFonts w:cs="Arial"/>
          <w:iCs/>
          <w:sz w:val="24"/>
          <w:szCs w:val="24"/>
          <w:shd w:val="clear" w:color="auto" w:fill="FFFFFF"/>
        </w:rPr>
        <w:t>,</w:t>
      </w:r>
      <w:r w:rsidR="00825A3F" w:rsidRPr="005A464E">
        <w:rPr>
          <w:rFonts w:cs="Arial"/>
          <w:iCs/>
          <w:sz w:val="24"/>
          <w:szCs w:val="24"/>
          <w:shd w:val="clear" w:color="auto" w:fill="FFFFFF"/>
        </w:rPr>
        <w:t xml:space="preserve"> </w:t>
      </w:r>
      <w:r w:rsidRPr="005A464E">
        <w:rPr>
          <w:rFonts w:cs="Arial"/>
          <w:sz w:val="24"/>
          <w:szCs w:val="24"/>
          <w:shd w:val="clear" w:color="auto" w:fill="FFFFFF"/>
        </w:rPr>
        <w:t>2000).</w:t>
      </w:r>
      <w:r w:rsidR="00336301" w:rsidRPr="005A464E">
        <w:rPr>
          <w:rStyle w:val="apple-converted-space"/>
          <w:rFonts w:cs="Arial"/>
          <w:color w:val="303030"/>
          <w:sz w:val="24"/>
          <w:szCs w:val="24"/>
          <w:shd w:val="clear" w:color="auto" w:fill="FFFFFF"/>
        </w:rPr>
        <w:t> </w:t>
      </w:r>
    </w:p>
    <w:p w:rsidR="00343788" w:rsidRPr="00886C7F" w:rsidRDefault="005B7369" w:rsidP="005A464E">
      <w:pPr>
        <w:spacing w:line="360" w:lineRule="auto"/>
        <w:jc w:val="both"/>
        <w:rPr>
          <w:sz w:val="24"/>
          <w:szCs w:val="24"/>
        </w:rPr>
      </w:pPr>
      <w:r w:rsidRPr="005A464E">
        <w:rPr>
          <w:sz w:val="24"/>
          <w:szCs w:val="24"/>
        </w:rPr>
        <w:t>Οι Wong</w:t>
      </w:r>
      <w:r w:rsidR="004A0B04" w:rsidRPr="004A0B04">
        <w:rPr>
          <w:sz w:val="24"/>
          <w:szCs w:val="24"/>
        </w:rPr>
        <w:t xml:space="preserve">, </w:t>
      </w:r>
      <w:r w:rsidR="004A0B04" w:rsidRPr="004A0B04">
        <w:rPr>
          <w:rFonts w:asciiTheme="minorHAnsi" w:hAnsiTheme="minorHAnsi" w:cstheme="minorHAnsi"/>
          <w:sz w:val="24"/>
          <w:szCs w:val="24"/>
          <w:lang w:val="en-US"/>
        </w:rPr>
        <w:t>Chow</w:t>
      </w:r>
      <w:r w:rsidR="00D31BD9">
        <w:rPr>
          <w:rFonts w:asciiTheme="minorHAnsi" w:hAnsiTheme="minorHAnsi" w:cstheme="minorHAnsi"/>
          <w:sz w:val="24"/>
          <w:szCs w:val="24"/>
        </w:rPr>
        <w:t>,</w:t>
      </w:r>
      <w:r w:rsidR="005D2FAC">
        <w:rPr>
          <w:rFonts w:asciiTheme="minorHAnsi" w:hAnsiTheme="minorHAnsi" w:cstheme="minorHAnsi"/>
          <w:sz w:val="24"/>
          <w:szCs w:val="24"/>
        </w:rPr>
        <w:t xml:space="preserve"> και</w:t>
      </w:r>
      <w:r w:rsidR="004A0B04" w:rsidRPr="004A0B04">
        <w:rPr>
          <w:rFonts w:asciiTheme="minorHAnsi" w:hAnsiTheme="minorHAnsi" w:cstheme="minorHAnsi"/>
          <w:sz w:val="24"/>
          <w:szCs w:val="24"/>
        </w:rPr>
        <w:t xml:space="preserve"> </w:t>
      </w:r>
      <w:r w:rsidR="004A0B04" w:rsidRPr="004A0B04">
        <w:rPr>
          <w:rFonts w:asciiTheme="minorHAnsi" w:hAnsiTheme="minorHAnsi" w:cstheme="minorHAnsi"/>
          <w:sz w:val="24"/>
          <w:szCs w:val="24"/>
          <w:lang w:val="en-US"/>
        </w:rPr>
        <w:t>Chan</w:t>
      </w:r>
      <w:r w:rsidRPr="004A0B04">
        <w:rPr>
          <w:sz w:val="24"/>
          <w:szCs w:val="24"/>
        </w:rPr>
        <w:t xml:space="preserve"> (2010</w:t>
      </w:r>
      <w:r w:rsidRPr="005A464E">
        <w:rPr>
          <w:sz w:val="24"/>
          <w:szCs w:val="24"/>
        </w:rPr>
        <w:t xml:space="preserve">) έδειξαν ότι </w:t>
      </w:r>
      <w:r w:rsidRPr="00886C7F">
        <w:rPr>
          <w:sz w:val="24"/>
          <w:szCs w:val="24"/>
        </w:rPr>
        <w:t>η αποτελεσματική</w:t>
      </w:r>
      <w:r w:rsidR="0078495A" w:rsidRPr="00886C7F">
        <w:rPr>
          <w:sz w:val="24"/>
          <w:szCs w:val="24"/>
        </w:rPr>
        <w:t xml:space="preserve"> </w:t>
      </w:r>
      <w:r w:rsidRPr="00886C7F">
        <w:rPr>
          <w:sz w:val="24"/>
          <w:szCs w:val="24"/>
        </w:rPr>
        <w:t xml:space="preserve">διαχείριση της </w:t>
      </w:r>
      <w:r w:rsidR="000A7F32" w:rsidRPr="00886C7F">
        <w:rPr>
          <w:sz w:val="24"/>
          <w:szCs w:val="24"/>
        </w:rPr>
        <w:t>ΤΣ</w:t>
      </w:r>
      <w:r w:rsidR="000653D3" w:rsidRPr="00886C7F">
        <w:rPr>
          <w:sz w:val="24"/>
          <w:szCs w:val="24"/>
        </w:rPr>
        <w:t>ΧΝΝ</w:t>
      </w:r>
      <w:r w:rsidR="005D2FAC" w:rsidRPr="00886C7F">
        <w:rPr>
          <w:sz w:val="24"/>
          <w:szCs w:val="24"/>
        </w:rPr>
        <w:t xml:space="preserve"> κατά την</w:t>
      </w:r>
      <w:r w:rsidRPr="00886C7F">
        <w:rPr>
          <w:sz w:val="24"/>
          <w:szCs w:val="24"/>
        </w:rPr>
        <w:t xml:space="preserve"> οποία ο ασθενής αναλαμβάνει την αυτοφροντίδα</w:t>
      </w:r>
      <w:r w:rsidR="005D79F7" w:rsidRPr="00886C7F">
        <w:rPr>
          <w:sz w:val="24"/>
          <w:szCs w:val="24"/>
        </w:rPr>
        <w:t xml:space="preserve"> του</w:t>
      </w:r>
      <w:r w:rsidRPr="00886C7F">
        <w:rPr>
          <w:sz w:val="24"/>
          <w:szCs w:val="24"/>
        </w:rPr>
        <w:t xml:space="preserve"> θα μπορούσε να οδηγήσει στην καλύτερη αποδοχή της διατροφικής και θεραπευτικής</w:t>
      </w:r>
      <w:r w:rsidR="0078495A" w:rsidRPr="00886C7F">
        <w:rPr>
          <w:sz w:val="24"/>
          <w:szCs w:val="24"/>
        </w:rPr>
        <w:t xml:space="preserve"> </w:t>
      </w:r>
      <w:r w:rsidRPr="00886C7F">
        <w:rPr>
          <w:sz w:val="24"/>
          <w:szCs w:val="24"/>
        </w:rPr>
        <w:t xml:space="preserve">αγωγής </w:t>
      </w:r>
      <w:r w:rsidR="005D79F7" w:rsidRPr="00886C7F">
        <w:rPr>
          <w:sz w:val="24"/>
          <w:szCs w:val="24"/>
        </w:rPr>
        <w:t>και, επομένως</w:t>
      </w:r>
      <w:r w:rsidRPr="00886C7F">
        <w:rPr>
          <w:sz w:val="24"/>
          <w:szCs w:val="24"/>
        </w:rPr>
        <w:t xml:space="preserve">, στη βελτίωση της </w:t>
      </w:r>
      <w:r w:rsidR="000A7F32" w:rsidRPr="00886C7F">
        <w:rPr>
          <w:sz w:val="24"/>
          <w:szCs w:val="24"/>
        </w:rPr>
        <w:t>ΣΥΠΖ</w:t>
      </w:r>
      <w:r w:rsidRPr="00886C7F">
        <w:rPr>
          <w:sz w:val="24"/>
          <w:szCs w:val="24"/>
        </w:rPr>
        <w:t>.</w:t>
      </w:r>
    </w:p>
    <w:p w:rsidR="00343788" w:rsidRPr="00886C7F" w:rsidRDefault="004A0B04" w:rsidP="005A464E">
      <w:pPr>
        <w:spacing w:line="360" w:lineRule="auto"/>
        <w:jc w:val="both"/>
        <w:rPr>
          <w:sz w:val="24"/>
          <w:szCs w:val="24"/>
        </w:rPr>
      </w:pPr>
      <w:r w:rsidRPr="00886C7F">
        <w:rPr>
          <w:sz w:val="24"/>
          <w:szCs w:val="24"/>
        </w:rPr>
        <w:t>Μια μελέτη από τους</w:t>
      </w:r>
      <w:r w:rsidR="00343788" w:rsidRPr="00886C7F">
        <w:rPr>
          <w:sz w:val="24"/>
          <w:szCs w:val="24"/>
        </w:rPr>
        <w:t xml:space="preserve"> Thomas </w:t>
      </w:r>
      <w:r w:rsidR="00566CAA" w:rsidRPr="00886C7F">
        <w:rPr>
          <w:sz w:val="24"/>
          <w:szCs w:val="24"/>
        </w:rPr>
        <w:t>et al</w:t>
      </w:r>
      <w:r w:rsidR="006744A0" w:rsidRPr="00886C7F">
        <w:rPr>
          <w:sz w:val="24"/>
          <w:szCs w:val="24"/>
        </w:rPr>
        <w:t>.</w:t>
      </w:r>
      <w:r w:rsidR="00343788" w:rsidRPr="00886C7F">
        <w:rPr>
          <w:sz w:val="24"/>
          <w:szCs w:val="24"/>
        </w:rPr>
        <w:t xml:space="preserve"> (2009) στην Ινδία έδειξε ότι η εκπαίδευση θα μπορούσε να επηρεάσει τις </w:t>
      </w:r>
      <w:r w:rsidR="00BB6C7F" w:rsidRPr="00886C7F">
        <w:rPr>
          <w:sz w:val="24"/>
          <w:szCs w:val="24"/>
        </w:rPr>
        <w:t xml:space="preserve">διαστάσεις της ΠΖ σε ασθενείς υπό </w:t>
      </w:r>
      <w:r w:rsidR="005D79F7" w:rsidRPr="00886C7F">
        <w:rPr>
          <w:sz w:val="24"/>
          <w:szCs w:val="24"/>
        </w:rPr>
        <w:t>αιμοκάθαρση</w:t>
      </w:r>
      <w:r w:rsidR="00207612" w:rsidRPr="00886C7F">
        <w:rPr>
          <w:sz w:val="24"/>
          <w:szCs w:val="24"/>
        </w:rPr>
        <w:t xml:space="preserve"> 3</w:t>
      </w:r>
      <w:r w:rsidR="00343788" w:rsidRPr="00886C7F">
        <w:rPr>
          <w:sz w:val="24"/>
          <w:szCs w:val="24"/>
        </w:rPr>
        <w:t xml:space="preserve"> έως </w:t>
      </w:r>
      <w:r w:rsidR="005F478F" w:rsidRPr="00886C7F">
        <w:rPr>
          <w:sz w:val="24"/>
          <w:szCs w:val="24"/>
        </w:rPr>
        <w:t>6</w:t>
      </w:r>
      <w:r w:rsidR="00343788" w:rsidRPr="00886C7F">
        <w:rPr>
          <w:sz w:val="24"/>
          <w:szCs w:val="24"/>
        </w:rPr>
        <w:t xml:space="preserve"> μήνες μετά την εκπαιδευτική παρέμβαση. </w:t>
      </w:r>
    </w:p>
    <w:p w:rsidR="003A7B4C" w:rsidRPr="00886C7F" w:rsidRDefault="00343788" w:rsidP="005A464E">
      <w:pPr>
        <w:spacing w:line="360" w:lineRule="auto"/>
        <w:jc w:val="both"/>
        <w:rPr>
          <w:rStyle w:val="element-citation"/>
          <w:rFonts w:cs="Arial"/>
          <w:sz w:val="24"/>
          <w:szCs w:val="24"/>
        </w:rPr>
      </w:pPr>
      <w:r w:rsidRPr="00886C7F">
        <w:rPr>
          <w:sz w:val="24"/>
          <w:szCs w:val="24"/>
        </w:rPr>
        <w:t>Μια με</w:t>
      </w:r>
      <w:r w:rsidR="00207612" w:rsidRPr="00886C7F">
        <w:rPr>
          <w:sz w:val="24"/>
          <w:szCs w:val="24"/>
        </w:rPr>
        <w:t>λέτη στην Ταϊβάν έδειξε ότι η ΣΥΠΖ</w:t>
      </w:r>
      <w:r w:rsidR="005D79F7" w:rsidRPr="00886C7F">
        <w:rPr>
          <w:sz w:val="24"/>
          <w:szCs w:val="24"/>
        </w:rPr>
        <w:t>, η αυτοφροντίδα και η αυτο</w:t>
      </w:r>
      <w:r w:rsidRPr="00886C7F">
        <w:rPr>
          <w:sz w:val="24"/>
          <w:szCs w:val="24"/>
        </w:rPr>
        <w:t>αποτελεσματικότητα των ασθενών αυξήθηκαν δραματικά μετά από εκπαιδευτικό πρόγραμμα (</w:t>
      </w:r>
      <w:r w:rsidRPr="00886C7F">
        <w:rPr>
          <w:sz w:val="24"/>
          <w:szCs w:val="24"/>
          <w:lang w:val="en-US"/>
        </w:rPr>
        <w:t>Li</w:t>
      </w:r>
      <w:r w:rsidR="00825A3F" w:rsidRPr="00886C7F">
        <w:rPr>
          <w:sz w:val="24"/>
          <w:szCs w:val="24"/>
          <w:lang w:val="en-US"/>
        </w:rPr>
        <w:t>i</w:t>
      </w:r>
      <w:r w:rsidR="00607E7C" w:rsidRPr="00886C7F">
        <w:rPr>
          <w:sz w:val="24"/>
          <w:szCs w:val="24"/>
        </w:rPr>
        <w:t xml:space="preserve"> </w:t>
      </w:r>
      <w:r w:rsidR="00607E7C" w:rsidRPr="00886C7F">
        <w:rPr>
          <w:sz w:val="24"/>
          <w:szCs w:val="24"/>
          <w:lang w:val="en-US"/>
        </w:rPr>
        <w:t>et</w:t>
      </w:r>
      <w:r w:rsidR="00607E7C" w:rsidRPr="00886C7F">
        <w:rPr>
          <w:sz w:val="24"/>
          <w:szCs w:val="24"/>
        </w:rPr>
        <w:t xml:space="preserve"> </w:t>
      </w:r>
      <w:r w:rsidR="00607E7C" w:rsidRPr="00886C7F">
        <w:rPr>
          <w:sz w:val="24"/>
          <w:szCs w:val="24"/>
          <w:lang w:val="en-US"/>
        </w:rPr>
        <w:t>al</w:t>
      </w:r>
      <w:r w:rsidR="00607E7C" w:rsidRPr="00886C7F">
        <w:rPr>
          <w:sz w:val="24"/>
          <w:szCs w:val="24"/>
        </w:rPr>
        <w:t>.,</w:t>
      </w:r>
      <w:r w:rsidR="00533701" w:rsidRPr="00886C7F">
        <w:rPr>
          <w:sz w:val="24"/>
          <w:szCs w:val="24"/>
        </w:rPr>
        <w:t xml:space="preserve"> </w:t>
      </w:r>
      <w:r w:rsidRPr="00886C7F">
        <w:rPr>
          <w:sz w:val="24"/>
          <w:szCs w:val="24"/>
        </w:rPr>
        <w:t>2007).</w:t>
      </w:r>
      <w:r w:rsidR="00825A3F" w:rsidRPr="00886C7F">
        <w:rPr>
          <w:sz w:val="24"/>
          <w:szCs w:val="24"/>
        </w:rPr>
        <w:t xml:space="preserve"> </w:t>
      </w:r>
      <w:r w:rsidR="003A7B4C" w:rsidRPr="00886C7F">
        <w:rPr>
          <w:rStyle w:val="element-citation"/>
          <w:rFonts w:cs="Arial"/>
          <w:sz w:val="24"/>
          <w:szCs w:val="24"/>
        </w:rPr>
        <w:t xml:space="preserve">Οι </w:t>
      </w:r>
      <w:r w:rsidR="003A7B4C" w:rsidRPr="00886C7F">
        <w:rPr>
          <w:rStyle w:val="element-citation"/>
          <w:rFonts w:cs="Arial"/>
          <w:sz w:val="24"/>
          <w:szCs w:val="24"/>
          <w:lang w:val="en-US"/>
        </w:rPr>
        <w:t>Curtin</w:t>
      </w:r>
      <w:r w:rsidR="003A7B4C" w:rsidRPr="00886C7F">
        <w:rPr>
          <w:rStyle w:val="element-citation"/>
          <w:rFonts w:cs="Arial"/>
          <w:sz w:val="24"/>
          <w:szCs w:val="24"/>
        </w:rPr>
        <w:t xml:space="preserve"> </w:t>
      </w:r>
      <w:r w:rsidR="00566CAA" w:rsidRPr="00886C7F">
        <w:rPr>
          <w:rStyle w:val="element-citation"/>
          <w:rFonts w:cs="Arial"/>
          <w:sz w:val="24"/>
          <w:szCs w:val="24"/>
        </w:rPr>
        <w:t>et al</w:t>
      </w:r>
      <w:r w:rsidR="00691B76" w:rsidRPr="00886C7F">
        <w:rPr>
          <w:rStyle w:val="element-citation"/>
          <w:rFonts w:cs="Arial"/>
          <w:sz w:val="24"/>
          <w:szCs w:val="24"/>
        </w:rPr>
        <w:t>.</w:t>
      </w:r>
      <w:r w:rsidR="001C2D3A" w:rsidRPr="00886C7F">
        <w:rPr>
          <w:rStyle w:val="element-citation"/>
          <w:rFonts w:cs="Arial"/>
          <w:sz w:val="24"/>
          <w:szCs w:val="24"/>
        </w:rPr>
        <w:t>,</w:t>
      </w:r>
      <w:r w:rsidR="003A7B4C" w:rsidRPr="00886C7F">
        <w:rPr>
          <w:rStyle w:val="element-citation"/>
          <w:rFonts w:cs="Arial"/>
          <w:sz w:val="24"/>
          <w:szCs w:val="24"/>
        </w:rPr>
        <w:t xml:space="preserve"> (2004) τονίζουν ότι η γνώση σχετίζεται θετικά με την αυτοδιαχείριση στους</w:t>
      </w:r>
      <w:r w:rsidR="0078495A" w:rsidRPr="00886C7F">
        <w:rPr>
          <w:rStyle w:val="element-citation"/>
          <w:rFonts w:cs="Arial"/>
          <w:sz w:val="24"/>
          <w:szCs w:val="24"/>
        </w:rPr>
        <w:t xml:space="preserve"> </w:t>
      </w:r>
      <w:r w:rsidR="003A7B4C" w:rsidRPr="00886C7F">
        <w:rPr>
          <w:rStyle w:val="element-citation"/>
          <w:rFonts w:cs="Arial"/>
          <w:sz w:val="24"/>
          <w:szCs w:val="24"/>
        </w:rPr>
        <w:t xml:space="preserve">ασθενείς υπό </w:t>
      </w:r>
      <w:r w:rsidR="005D79F7" w:rsidRPr="00886C7F">
        <w:rPr>
          <w:rStyle w:val="element-citation"/>
          <w:rFonts w:cs="Arial"/>
          <w:sz w:val="24"/>
          <w:szCs w:val="24"/>
        </w:rPr>
        <w:t>αιμοκάθαρση</w:t>
      </w:r>
      <w:r w:rsidR="003A7B4C" w:rsidRPr="00886C7F">
        <w:rPr>
          <w:rStyle w:val="element-citation"/>
          <w:rFonts w:cs="Arial"/>
          <w:sz w:val="24"/>
          <w:szCs w:val="24"/>
        </w:rPr>
        <w:t>.</w:t>
      </w:r>
    </w:p>
    <w:p w:rsidR="00626455" w:rsidRPr="005A464E" w:rsidRDefault="00626455" w:rsidP="005A464E">
      <w:pPr>
        <w:spacing w:line="360" w:lineRule="auto"/>
        <w:jc w:val="both"/>
        <w:rPr>
          <w:rFonts w:cs="Arial"/>
          <w:sz w:val="24"/>
          <w:szCs w:val="24"/>
        </w:rPr>
      </w:pPr>
      <w:r w:rsidRPr="00886C7F">
        <w:rPr>
          <w:rFonts w:cs="Arial"/>
          <w:sz w:val="24"/>
          <w:szCs w:val="24"/>
        </w:rPr>
        <w:t xml:space="preserve">Οι Loos </w:t>
      </w:r>
      <w:r w:rsidR="00566CAA" w:rsidRPr="00886C7F">
        <w:rPr>
          <w:rFonts w:cs="Arial"/>
          <w:sz w:val="24"/>
          <w:szCs w:val="24"/>
        </w:rPr>
        <w:t>et al</w:t>
      </w:r>
      <w:r w:rsidR="00691B76" w:rsidRPr="00886C7F">
        <w:rPr>
          <w:rFonts w:cs="Arial"/>
          <w:sz w:val="24"/>
          <w:szCs w:val="24"/>
        </w:rPr>
        <w:t>.</w:t>
      </w:r>
      <w:r w:rsidRPr="00886C7F">
        <w:rPr>
          <w:rFonts w:cs="Arial"/>
          <w:sz w:val="24"/>
          <w:szCs w:val="24"/>
        </w:rPr>
        <w:t xml:space="preserve"> (2003) αξιολόγησαν την επίδραση της </w:t>
      </w:r>
      <w:r w:rsidR="000A7F32" w:rsidRPr="00886C7F">
        <w:rPr>
          <w:rFonts w:cs="Arial"/>
          <w:sz w:val="24"/>
          <w:szCs w:val="24"/>
        </w:rPr>
        <w:t>ΤΣ</w:t>
      </w:r>
      <w:r w:rsidRPr="00886C7F">
        <w:rPr>
          <w:rFonts w:cs="Arial"/>
          <w:sz w:val="24"/>
          <w:szCs w:val="24"/>
        </w:rPr>
        <w:t xml:space="preserve">ΧΝΝ στην ποιότητα ζωής 169 ηλικιωμένων ασθενών υπό αιμοκάθαρση από 13 μονάδες αιμοκάθαρσης στη Γαλλία με τη χρήση της κλίμακας SF-36. Έδειξαν ότι οι ηλικιωμένοι ασθενείς που είχαν ενταχθεί σε πρόγραμμα εκπαίδευσης και προετοιμασίας πριν την ένταξή τους </w:t>
      </w:r>
      <w:r w:rsidR="00E3713D" w:rsidRPr="00886C7F">
        <w:rPr>
          <w:rFonts w:cs="Arial"/>
          <w:sz w:val="24"/>
          <w:szCs w:val="24"/>
        </w:rPr>
        <w:t>στην αιμοκάθαρση είχαν υψηλότερο</w:t>
      </w:r>
      <w:r w:rsidRPr="00886C7F">
        <w:rPr>
          <w:rFonts w:cs="Arial"/>
          <w:sz w:val="24"/>
          <w:szCs w:val="24"/>
        </w:rPr>
        <w:t xml:space="preserve"> σκορ ΠΖ σε σύγκριση με ηλικιωμένους ασθενείς</w:t>
      </w:r>
      <w:r w:rsidR="00E3713D" w:rsidRPr="00886C7F">
        <w:rPr>
          <w:rFonts w:cs="Arial"/>
          <w:sz w:val="24"/>
          <w:szCs w:val="24"/>
        </w:rPr>
        <w:t xml:space="preserve"> υπό αιμοκάθαρση οι οποίοι δεν είχα</w:t>
      </w:r>
      <w:r w:rsidRPr="00886C7F">
        <w:rPr>
          <w:rFonts w:cs="Arial"/>
          <w:sz w:val="24"/>
          <w:szCs w:val="24"/>
        </w:rPr>
        <w:t xml:space="preserve">ν καμία </w:t>
      </w:r>
      <w:r w:rsidR="005D79F7" w:rsidRPr="00886C7F">
        <w:rPr>
          <w:rFonts w:cs="Arial"/>
          <w:sz w:val="24"/>
          <w:szCs w:val="24"/>
        </w:rPr>
        <w:t xml:space="preserve">εκπαίδευση </w:t>
      </w:r>
      <w:r w:rsidRPr="00886C7F">
        <w:rPr>
          <w:rFonts w:cs="Arial"/>
          <w:sz w:val="24"/>
          <w:szCs w:val="24"/>
        </w:rPr>
        <w:t>πριν</w:t>
      </w:r>
      <w:r w:rsidRPr="005A464E">
        <w:rPr>
          <w:rFonts w:cs="Arial"/>
          <w:sz w:val="24"/>
          <w:szCs w:val="24"/>
        </w:rPr>
        <w:t xml:space="preserve"> την ένταξή τους στην αιμοκάθαρση.</w:t>
      </w:r>
    </w:p>
    <w:p w:rsidR="00AA5243" w:rsidRPr="005A464E" w:rsidRDefault="00D71191" w:rsidP="005A464E">
      <w:pPr>
        <w:spacing w:line="360" w:lineRule="auto"/>
        <w:jc w:val="both"/>
        <w:rPr>
          <w:rFonts w:cs="Arial"/>
          <w:sz w:val="24"/>
          <w:szCs w:val="24"/>
        </w:rPr>
      </w:pPr>
      <w:r w:rsidRPr="005A464E">
        <w:rPr>
          <w:sz w:val="24"/>
          <w:szCs w:val="24"/>
        </w:rPr>
        <w:t xml:space="preserve">Οι </w:t>
      </w:r>
      <w:r w:rsidR="004A0B04">
        <w:rPr>
          <w:rFonts w:cs="Arial"/>
          <w:sz w:val="24"/>
          <w:szCs w:val="24"/>
          <w:shd w:val="clear" w:color="auto" w:fill="FFFFFF"/>
        </w:rPr>
        <w:t xml:space="preserve">Baraz, </w:t>
      </w:r>
      <w:r w:rsidR="004A0B04" w:rsidRPr="00886C7F">
        <w:rPr>
          <w:rFonts w:asciiTheme="minorHAnsi" w:hAnsiTheme="minorHAnsi" w:cstheme="minorHAnsi"/>
          <w:sz w:val="24"/>
          <w:szCs w:val="24"/>
          <w:shd w:val="clear" w:color="auto" w:fill="FFFFFF"/>
          <w:lang w:val="en-US"/>
        </w:rPr>
        <w:t>Mohammadi</w:t>
      </w:r>
      <w:r w:rsidR="00AF10FE" w:rsidRPr="00886C7F">
        <w:rPr>
          <w:rFonts w:asciiTheme="minorHAnsi" w:hAnsiTheme="minorHAnsi" w:cstheme="minorHAnsi"/>
          <w:sz w:val="24"/>
          <w:szCs w:val="24"/>
          <w:shd w:val="clear" w:color="auto" w:fill="FFFFFF"/>
        </w:rPr>
        <w:t>,</w:t>
      </w:r>
      <w:r w:rsidR="005D79F7" w:rsidRPr="00886C7F">
        <w:rPr>
          <w:rFonts w:asciiTheme="minorHAnsi" w:hAnsiTheme="minorHAnsi" w:cstheme="minorHAnsi"/>
          <w:sz w:val="24"/>
          <w:szCs w:val="24"/>
          <w:shd w:val="clear" w:color="auto" w:fill="FFFFFF"/>
        </w:rPr>
        <w:t xml:space="preserve"> και</w:t>
      </w:r>
      <w:r w:rsidR="004A0B04" w:rsidRPr="00886C7F">
        <w:rPr>
          <w:rFonts w:asciiTheme="minorHAnsi" w:hAnsiTheme="minorHAnsi" w:cstheme="minorHAnsi"/>
          <w:sz w:val="24"/>
          <w:szCs w:val="24"/>
          <w:shd w:val="clear" w:color="auto" w:fill="FFFFFF"/>
        </w:rPr>
        <w:t xml:space="preserve"> </w:t>
      </w:r>
      <w:r w:rsidR="004A0B04" w:rsidRPr="00886C7F">
        <w:rPr>
          <w:rFonts w:asciiTheme="minorHAnsi" w:hAnsiTheme="minorHAnsi" w:cstheme="minorHAnsi"/>
          <w:sz w:val="24"/>
          <w:szCs w:val="24"/>
          <w:shd w:val="clear" w:color="auto" w:fill="FFFFFF"/>
          <w:lang w:val="en-US"/>
        </w:rPr>
        <w:t>Borumand</w:t>
      </w:r>
      <w:r w:rsidRPr="00886C7F">
        <w:rPr>
          <w:rFonts w:cs="Arial"/>
          <w:sz w:val="24"/>
          <w:szCs w:val="24"/>
          <w:shd w:val="clear" w:color="auto" w:fill="FFFFFF"/>
        </w:rPr>
        <w:t xml:space="preserve"> (2006) προσδιόρισαν την </w:t>
      </w:r>
      <w:r w:rsidR="00202093" w:rsidRPr="00886C7F">
        <w:rPr>
          <w:rFonts w:cs="Arial"/>
          <w:sz w:val="24"/>
          <w:szCs w:val="24"/>
          <w:shd w:val="clear" w:color="auto" w:fill="FFFFFF"/>
        </w:rPr>
        <w:t>εκπαιδευτική επίδραση με</w:t>
      </w:r>
      <w:r w:rsidRPr="00886C7F">
        <w:rPr>
          <w:rFonts w:cs="Arial"/>
          <w:sz w:val="24"/>
          <w:szCs w:val="24"/>
          <w:shd w:val="clear" w:color="auto" w:fill="FFFFFF"/>
        </w:rPr>
        <w:t xml:space="preserve"> βίντεο στην ποιότητα ζωής και την μείωση των φυσικών προβλημάτων </w:t>
      </w:r>
      <w:r w:rsidR="00202093" w:rsidRPr="00886C7F">
        <w:rPr>
          <w:rFonts w:cs="Arial"/>
          <w:sz w:val="24"/>
          <w:szCs w:val="24"/>
          <w:shd w:val="clear" w:color="auto" w:fill="FFFFFF"/>
        </w:rPr>
        <w:t xml:space="preserve">μεταξύ ασθενών υπό αιμοκάθαρση στην Τεχεράνη. Τα ευρήματα έδειξαν αξιοσημείωτη μείωση </w:t>
      </w:r>
      <w:r w:rsidR="005D79F7" w:rsidRPr="00886C7F">
        <w:rPr>
          <w:rFonts w:cs="Arial"/>
          <w:sz w:val="24"/>
          <w:szCs w:val="24"/>
          <w:shd w:val="clear" w:color="auto" w:fill="FFFFFF"/>
        </w:rPr>
        <w:t>των επιπέδων της</w:t>
      </w:r>
      <w:r w:rsidR="00202093" w:rsidRPr="00886C7F">
        <w:rPr>
          <w:rFonts w:cs="Arial"/>
          <w:sz w:val="24"/>
          <w:szCs w:val="24"/>
          <w:shd w:val="clear" w:color="auto" w:fill="FFFFFF"/>
        </w:rPr>
        <w:t xml:space="preserve"> ουρίας, του ουρικού οξέος, του φωσφόρου, της αρτηριακής πίεσης, του σωματικού βάρους πριν την έναρξη της συνεδρίας, των δερματικών ενοχλήσεων,</w:t>
      </w:r>
      <w:r w:rsidR="00943A13" w:rsidRPr="00886C7F">
        <w:rPr>
          <w:rFonts w:cs="Arial"/>
          <w:sz w:val="24"/>
          <w:szCs w:val="24"/>
          <w:shd w:val="clear" w:color="auto" w:fill="FFFFFF"/>
        </w:rPr>
        <w:t xml:space="preserve"> </w:t>
      </w:r>
      <w:r w:rsidR="005D79F7" w:rsidRPr="00886C7F">
        <w:rPr>
          <w:rFonts w:cs="Arial"/>
          <w:sz w:val="24"/>
          <w:szCs w:val="24"/>
          <w:shd w:val="clear" w:color="auto" w:fill="FFFFFF"/>
        </w:rPr>
        <w:t xml:space="preserve">των </w:t>
      </w:r>
      <w:r w:rsidR="00202093" w:rsidRPr="00886C7F">
        <w:rPr>
          <w:rFonts w:cs="Arial"/>
          <w:sz w:val="24"/>
          <w:szCs w:val="24"/>
          <w:shd w:val="clear" w:color="auto" w:fill="FFFFFF"/>
        </w:rPr>
        <w:t>προβλημάτων</w:t>
      </w:r>
      <w:r w:rsidR="00202093" w:rsidRPr="005A464E">
        <w:rPr>
          <w:rFonts w:cs="Arial"/>
          <w:sz w:val="24"/>
          <w:szCs w:val="24"/>
          <w:shd w:val="clear" w:color="auto" w:fill="FFFFFF"/>
        </w:rPr>
        <w:t xml:space="preserve"> της αγγειακής προσπέλασης καθώς και αυξημένα επίπεδα ασβεστίου και βελτίωση του τρόπου ζωής. Καμία σημαντική μεταβολή δεν παρατηρήθηκε στα επίπεδα νατρίου, καλίο</w:t>
      </w:r>
      <w:r w:rsidR="00626455" w:rsidRPr="005A464E">
        <w:rPr>
          <w:rFonts w:cs="Arial"/>
          <w:sz w:val="24"/>
          <w:szCs w:val="24"/>
          <w:shd w:val="clear" w:color="auto" w:fill="FFFFFF"/>
        </w:rPr>
        <w:t>υ, κρεατινίνης και λευκωματίνης</w:t>
      </w:r>
      <w:r w:rsidR="00202093" w:rsidRPr="005A464E">
        <w:rPr>
          <w:rFonts w:cs="Arial"/>
          <w:sz w:val="24"/>
          <w:szCs w:val="24"/>
          <w:shd w:val="clear" w:color="auto" w:fill="FFFFFF"/>
        </w:rPr>
        <w:t>.</w:t>
      </w:r>
    </w:p>
    <w:p w:rsidR="003261AE" w:rsidRPr="005A464E" w:rsidRDefault="003261AE" w:rsidP="005A464E">
      <w:pPr>
        <w:spacing w:line="360" w:lineRule="auto"/>
        <w:jc w:val="both"/>
        <w:rPr>
          <w:rStyle w:val="element-citation"/>
          <w:rFonts w:cs="Arial"/>
          <w:sz w:val="24"/>
          <w:szCs w:val="24"/>
        </w:rPr>
      </w:pPr>
      <w:r w:rsidRPr="005A464E">
        <w:rPr>
          <w:rStyle w:val="apple-converted-space"/>
          <w:rFonts w:cs="Arial"/>
          <w:sz w:val="24"/>
          <w:szCs w:val="24"/>
          <w:shd w:val="clear" w:color="auto" w:fill="FFFFFF"/>
        </w:rPr>
        <w:t xml:space="preserve">Ο </w:t>
      </w:r>
      <w:r w:rsidRPr="005A464E">
        <w:rPr>
          <w:rStyle w:val="element-citation"/>
          <w:rFonts w:cs="Arial"/>
          <w:sz w:val="24"/>
          <w:szCs w:val="24"/>
        </w:rPr>
        <w:t>Narimani (2009) μελέτησε</w:t>
      </w:r>
      <w:r w:rsidR="00315721" w:rsidRPr="005A464E">
        <w:rPr>
          <w:rStyle w:val="element-citation"/>
          <w:rFonts w:cs="Arial"/>
          <w:sz w:val="24"/>
          <w:szCs w:val="24"/>
        </w:rPr>
        <w:t xml:space="preserve"> την επίδραση της εκπαίδευσης</w:t>
      </w:r>
      <w:r w:rsidRPr="005A464E">
        <w:rPr>
          <w:rStyle w:val="element-citation"/>
          <w:rFonts w:cs="Arial"/>
          <w:sz w:val="24"/>
          <w:szCs w:val="24"/>
        </w:rPr>
        <w:t xml:space="preserve"> στην ποιότητα ζωής των ασθενών υπό αιμοκάθαρση στο Ιράν. Τα αποτελέσματα έδειξαν ότι η συμβουλευτική είχε θετική επίδραση στην ποιότητα ζωής αλλά </w:t>
      </w:r>
      <w:r w:rsidR="00586B71" w:rsidRPr="005A464E">
        <w:rPr>
          <w:rStyle w:val="element-citation"/>
          <w:rFonts w:cs="Arial"/>
          <w:sz w:val="24"/>
          <w:szCs w:val="24"/>
        </w:rPr>
        <w:t>όχι στα αντιληπτόμενα επίπεδα</w:t>
      </w:r>
      <w:r w:rsidRPr="005A464E">
        <w:rPr>
          <w:rStyle w:val="element-citation"/>
          <w:rFonts w:cs="Arial"/>
          <w:sz w:val="24"/>
          <w:szCs w:val="24"/>
        </w:rPr>
        <w:t xml:space="preserve"> πόνο</w:t>
      </w:r>
      <w:r w:rsidR="00586B71" w:rsidRPr="005A464E">
        <w:rPr>
          <w:rStyle w:val="element-citation"/>
          <w:rFonts w:cs="Arial"/>
          <w:sz w:val="24"/>
          <w:szCs w:val="24"/>
        </w:rPr>
        <w:t>υ</w:t>
      </w:r>
      <w:r w:rsidRPr="005A464E">
        <w:rPr>
          <w:rStyle w:val="element-citation"/>
          <w:rFonts w:cs="Arial"/>
          <w:sz w:val="24"/>
          <w:szCs w:val="24"/>
        </w:rPr>
        <w:t>. Το μέσ</w:t>
      </w:r>
      <w:r w:rsidR="00B27BCC" w:rsidRPr="005A464E">
        <w:rPr>
          <w:rStyle w:val="element-citation"/>
          <w:rFonts w:cs="Arial"/>
          <w:sz w:val="24"/>
          <w:szCs w:val="24"/>
        </w:rPr>
        <w:t>ο σκορ του επιπέδου γνώσεων</w:t>
      </w:r>
      <w:r w:rsidRPr="005A464E">
        <w:rPr>
          <w:rStyle w:val="element-citation"/>
          <w:rFonts w:cs="Arial"/>
          <w:sz w:val="24"/>
          <w:szCs w:val="24"/>
        </w:rPr>
        <w:t xml:space="preserve"> πριν την επέμβαση ήταν </w:t>
      </w:r>
      <w:r w:rsidR="00B05131">
        <w:rPr>
          <w:rStyle w:val="element-citation"/>
          <w:rFonts w:cs="Arial"/>
          <w:sz w:val="24"/>
          <w:szCs w:val="24"/>
        </w:rPr>
        <w:t>6,</w:t>
      </w:r>
      <w:r w:rsidRPr="005A464E">
        <w:rPr>
          <w:rStyle w:val="element-citation"/>
          <w:rFonts w:cs="Arial"/>
          <w:sz w:val="24"/>
          <w:szCs w:val="24"/>
        </w:rPr>
        <w:t>53 ενώ μετά ανήλθε στο 1</w:t>
      </w:r>
      <w:r w:rsidR="00EF6A06">
        <w:rPr>
          <w:rStyle w:val="element-citation"/>
          <w:rFonts w:cs="Arial"/>
          <w:sz w:val="24"/>
          <w:szCs w:val="24"/>
        </w:rPr>
        <w:t>1,</w:t>
      </w:r>
      <w:r w:rsidRPr="005A464E">
        <w:rPr>
          <w:rStyle w:val="element-citation"/>
          <w:rFonts w:cs="Arial"/>
          <w:sz w:val="24"/>
          <w:szCs w:val="24"/>
        </w:rPr>
        <w:t>59. Αυτό το αποτέλεσμα δείχνει την</w:t>
      </w:r>
      <w:r w:rsidR="00AB32ED" w:rsidRPr="005A464E">
        <w:rPr>
          <w:rStyle w:val="element-citation"/>
          <w:rFonts w:cs="Arial"/>
          <w:sz w:val="24"/>
          <w:szCs w:val="24"/>
        </w:rPr>
        <w:t xml:space="preserve"> θετική επίδραση της εκπαίδευση</w:t>
      </w:r>
      <w:r w:rsidRPr="005A464E">
        <w:rPr>
          <w:rStyle w:val="element-citation"/>
          <w:rFonts w:cs="Arial"/>
          <w:sz w:val="24"/>
          <w:szCs w:val="24"/>
        </w:rPr>
        <w:t>ς στο επίπεδο της πληροφόρη</w:t>
      </w:r>
      <w:r w:rsidR="004A0B04">
        <w:rPr>
          <w:rStyle w:val="element-citation"/>
          <w:rFonts w:cs="Arial"/>
          <w:sz w:val="24"/>
          <w:szCs w:val="24"/>
        </w:rPr>
        <w:t>σης σχετικά με την αυτοφροντίδα</w:t>
      </w:r>
      <w:r w:rsidR="00586B71" w:rsidRPr="005A464E">
        <w:rPr>
          <w:rStyle w:val="element-citation"/>
          <w:rFonts w:cs="Arial"/>
          <w:sz w:val="24"/>
          <w:szCs w:val="24"/>
        </w:rPr>
        <w:t>.</w:t>
      </w:r>
    </w:p>
    <w:p w:rsidR="00B649CB" w:rsidRDefault="005D79F7" w:rsidP="00B649CB">
      <w:pPr>
        <w:spacing w:line="360" w:lineRule="auto"/>
        <w:jc w:val="both"/>
        <w:rPr>
          <w:rStyle w:val="element-citation"/>
          <w:rFonts w:cs="Arial"/>
          <w:sz w:val="24"/>
          <w:szCs w:val="24"/>
        </w:rPr>
      </w:pPr>
      <w:r>
        <w:rPr>
          <w:rStyle w:val="element-citation"/>
          <w:rFonts w:cs="Arial"/>
          <w:sz w:val="24"/>
          <w:szCs w:val="24"/>
        </w:rPr>
        <w:t xml:space="preserve">Οι Hemmati Maslakpak </w:t>
      </w:r>
      <w:r w:rsidRPr="005D79F7">
        <w:rPr>
          <w:rStyle w:val="element-citation"/>
          <w:rFonts w:cs="Arial"/>
          <w:sz w:val="24"/>
          <w:szCs w:val="24"/>
        </w:rPr>
        <w:t>και</w:t>
      </w:r>
      <w:r w:rsidR="004A0B04">
        <w:rPr>
          <w:rStyle w:val="element-citation"/>
          <w:rFonts w:cs="Arial"/>
          <w:sz w:val="24"/>
          <w:szCs w:val="24"/>
        </w:rPr>
        <w:t xml:space="preserve"> </w:t>
      </w:r>
      <w:hyperlink r:id="rId41" w:history="1">
        <w:r w:rsidR="004A0B04" w:rsidRPr="004A0B04">
          <w:rPr>
            <w:rStyle w:val="-"/>
            <w:rFonts w:asciiTheme="minorHAnsi" w:hAnsiTheme="minorHAnsi" w:cstheme="minorHAnsi"/>
            <w:color w:val="auto"/>
            <w:sz w:val="24"/>
            <w:szCs w:val="24"/>
            <w:u w:val="none"/>
            <w:shd w:val="clear" w:color="auto" w:fill="FFFFFF"/>
            <w:lang w:val="en-US"/>
          </w:rPr>
          <w:t>Shams</w:t>
        </w:r>
      </w:hyperlink>
      <w:r w:rsidR="00114F83" w:rsidRPr="005A464E">
        <w:rPr>
          <w:rStyle w:val="element-citation"/>
          <w:rFonts w:cs="Arial"/>
          <w:sz w:val="24"/>
          <w:szCs w:val="24"/>
        </w:rPr>
        <w:t xml:space="preserve"> (2015) μελέτησα</w:t>
      </w:r>
      <w:r w:rsidR="00315721" w:rsidRPr="005A464E">
        <w:rPr>
          <w:rStyle w:val="element-citation"/>
          <w:rFonts w:cs="Arial"/>
          <w:sz w:val="24"/>
          <w:szCs w:val="24"/>
        </w:rPr>
        <w:t>ν την αποτελεσματικότητα εκπαιδ</w:t>
      </w:r>
      <w:r w:rsidR="00114F83" w:rsidRPr="005A464E">
        <w:rPr>
          <w:rStyle w:val="element-citation"/>
          <w:rFonts w:cs="Arial"/>
          <w:sz w:val="24"/>
          <w:szCs w:val="24"/>
        </w:rPr>
        <w:t xml:space="preserve">ευτικού προγράμματος αυτοφροντίδας στην ποιότητα ζωής 120 ασθενών υπό αιμοκάθαρση. Οι συγγραφείς χρησιμοποίησαν </w:t>
      </w:r>
      <w:r w:rsidR="00BA566F">
        <w:rPr>
          <w:rStyle w:val="element-citation"/>
          <w:rFonts w:cs="Arial"/>
          <w:sz w:val="24"/>
          <w:szCs w:val="24"/>
        </w:rPr>
        <w:t xml:space="preserve">δύο </w:t>
      </w:r>
      <w:r w:rsidR="00685EF1">
        <w:rPr>
          <w:rStyle w:val="element-citation"/>
          <w:rFonts w:cs="Arial"/>
          <w:sz w:val="24"/>
          <w:szCs w:val="24"/>
        </w:rPr>
        <w:t>μεθόδους: την «διά ζώσης</w:t>
      </w:r>
      <w:r w:rsidR="00114F83" w:rsidRPr="00207612">
        <w:rPr>
          <w:rStyle w:val="element-citation"/>
          <w:rFonts w:cs="Arial"/>
          <w:sz w:val="24"/>
          <w:szCs w:val="24"/>
        </w:rPr>
        <w:t>»</w:t>
      </w:r>
      <w:r w:rsidR="00114F83" w:rsidRPr="005A464E">
        <w:rPr>
          <w:rStyle w:val="element-citation"/>
          <w:rFonts w:cs="Arial"/>
          <w:sz w:val="24"/>
          <w:szCs w:val="24"/>
        </w:rPr>
        <w:t xml:space="preserve"> εκπαίδευση και την εκπαίδευση μέσω βίντεο. Η ποιότητα ζωής μετά την συμβουλευτική παρέμβαση παρουσίασε υψηλότερα επίπεδα και στις </w:t>
      </w:r>
      <w:r w:rsidR="00BA566F">
        <w:rPr>
          <w:rStyle w:val="element-citation"/>
          <w:rFonts w:cs="Arial"/>
          <w:sz w:val="24"/>
          <w:szCs w:val="24"/>
        </w:rPr>
        <w:t xml:space="preserve">δύο </w:t>
      </w:r>
      <w:r w:rsidR="00114F83" w:rsidRPr="005A464E">
        <w:rPr>
          <w:rStyle w:val="element-citation"/>
          <w:rFonts w:cs="Arial"/>
          <w:sz w:val="24"/>
          <w:szCs w:val="24"/>
        </w:rPr>
        <w:t>ομάδες ασθενών και ιδιαίτερα στην ομάδα που εκπαιδεύτηκε με την «</w:t>
      </w:r>
      <w:r w:rsidR="00685EF1">
        <w:rPr>
          <w:rStyle w:val="element-citation"/>
          <w:rFonts w:cs="Arial"/>
          <w:sz w:val="24"/>
          <w:szCs w:val="24"/>
        </w:rPr>
        <w:t>διά ζώσης</w:t>
      </w:r>
      <w:r w:rsidR="00AB32ED" w:rsidRPr="005A464E">
        <w:rPr>
          <w:rStyle w:val="element-citation"/>
          <w:rFonts w:cs="Arial"/>
          <w:sz w:val="24"/>
          <w:szCs w:val="24"/>
        </w:rPr>
        <w:t xml:space="preserve">» εκπαίδευση. </w:t>
      </w:r>
    </w:p>
    <w:p w:rsidR="00AB32ED" w:rsidRPr="005A464E" w:rsidRDefault="00AB32ED" w:rsidP="005A464E">
      <w:pPr>
        <w:spacing w:line="360" w:lineRule="auto"/>
        <w:jc w:val="both"/>
        <w:rPr>
          <w:rStyle w:val="element-citation"/>
          <w:rFonts w:cs="Arial"/>
          <w:sz w:val="24"/>
          <w:szCs w:val="24"/>
        </w:rPr>
      </w:pPr>
      <w:r w:rsidRPr="005A464E">
        <w:rPr>
          <w:rStyle w:val="element-citation"/>
          <w:rFonts w:cs="Arial"/>
          <w:sz w:val="24"/>
          <w:szCs w:val="24"/>
        </w:rPr>
        <w:t>Σε μελέτη που διεξήχθη στο Ιρ</w:t>
      </w:r>
      <w:r w:rsidR="005D79F7">
        <w:rPr>
          <w:rStyle w:val="element-citation"/>
          <w:rFonts w:cs="Arial"/>
          <w:sz w:val="24"/>
          <w:szCs w:val="24"/>
        </w:rPr>
        <w:t>άν</w:t>
      </w:r>
      <w:r w:rsidR="000A7F32">
        <w:rPr>
          <w:rStyle w:val="element-citation"/>
          <w:rFonts w:cs="Arial"/>
          <w:sz w:val="24"/>
          <w:szCs w:val="24"/>
        </w:rPr>
        <w:t>,</w:t>
      </w:r>
      <w:r w:rsidR="005D79F7">
        <w:rPr>
          <w:rStyle w:val="element-citation"/>
          <w:rFonts w:cs="Arial"/>
          <w:sz w:val="24"/>
          <w:szCs w:val="24"/>
        </w:rPr>
        <w:t xml:space="preserve"> </w:t>
      </w:r>
      <w:r w:rsidR="000A7F32">
        <w:rPr>
          <w:rStyle w:val="element-citation"/>
          <w:rFonts w:cs="Arial"/>
          <w:sz w:val="24"/>
          <w:szCs w:val="24"/>
        </w:rPr>
        <w:t>70 ασθενείς</w:t>
      </w:r>
      <w:r w:rsidRPr="005A464E">
        <w:rPr>
          <w:rStyle w:val="element-citation"/>
          <w:rFonts w:cs="Arial"/>
          <w:sz w:val="24"/>
          <w:szCs w:val="24"/>
        </w:rPr>
        <w:t xml:space="preserve"> υπό </w:t>
      </w:r>
      <w:r w:rsidR="005D79F7">
        <w:rPr>
          <w:rStyle w:val="element-citation"/>
          <w:rFonts w:cs="Arial"/>
          <w:sz w:val="24"/>
          <w:szCs w:val="24"/>
        </w:rPr>
        <w:t>αιμοκάθαρση</w:t>
      </w:r>
      <w:r w:rsidRPr="005A464E">
        <w:rPr>
          <w:rStyle w:val="element-citation"/>
          <w:rFonts w:cs="Arial"/>
          <w:sz w:val="24"/>
          <w:szCs w:val="24"/>
        </w:rPr>
        <w:t xml:space="preserve"> συμπλήρωσαν την κλίμακα </w:t>
      </w:r>
      <w:r w:rsidR="00D033D1" w:rsidRPr="005A464E">
        <w:rPr>
          <w:rStyle w:val="element-citation"/>
          <w:rFonts w:cs="Arial"/>
          <w:sz w:val="24"/>
          <w:szCs w:val="24"/>
        </w:rPr>
        <w:t xml:space="preserve">ποιότητας ζωής </w:t>
      </w:r>
      <w:r w:rsidRPr="005A464E">
        <w:rPr>
          <w:rStyle w:val="element-citation"/>
          <w:rFonts w:cs="Arial"/>
          <w:sz w:val="24"/>
          <w:szCs w:val="24"/>
          <w:lang w:val="en-US"/>
        </w:rPr>
        <w:t>SF</w:t>
      </w:r>
      <w:r w:rsidRPr="005A464E">
        <w:rPr>
          <w:rStyle w:val="element-citation"/>
          <w:rFonts w:cs="Arial"/>
          <w:sz w:val="24"/>
          <w:szCs w:val="24"/>
        </w:rPr>
        <w:t>-36</w:t>
      </w:r>
      <w:r w:rsidR="00D033D1" w:rsidRPr="005A464E">
        <w:rPr>
          <w:rStyle w:val="element-citation"/>
          <w:rFonts w:cs="Arial"/>
          <w:sz w:val="24"/>
          <w:szCs w:val="24"/>
          <w:lang w:val="en-US"/>
        </w:rPr>
        <w:t>QoL</w:t>
      </w:r>
      <w:r w:rsidRPr="005A464E">
        <w:rPr>
          <w:rStyle w:val="element-citation"/>
          <w:rFonts w:cs="Arial"/>
          <w:sz w:val="24"/>
          <w:szCs w:val="24"/>
        </w:rPr>
        <w:t>.</w:t>
      </w:r>
      <w:r w:rsidR="0078495A">
        <w:rPr>
          <w:rStyle w:val="element-citation"/>
          <w:rFonts w:cs="Arial"/>
          <w:sz w:val="24"/>
          <w:szCs w:val="24"/>
        </w:rPr>
        <w:t xml:space="preserve"> </w:t>
      </w:r>
      <w:r w:rsidRPr="005A464E">
        <w:rPr>
          <w:rStyle w:val="element-citation"/>
          <w:rFonts w:cs="Arial"/>
          <w:sz w:val="24"/>
          <w:szCs w:val="24"/>
        </w:rPr>
        <w:t xml:space="preserve">Οι ασθενείς χωρίστηκαν σε </w:t>
      </w:r>
      <w:r w:rsidR="00BA566F">
        <w:rPr>
          <w:rStyle w:val="element-citation"/>
          <w:rFonts w:cs="Arial"/>
          <w:sz w:val="24"/>
          <w:szCs w:val="24"/>
        </w:rPr>
        <w:t xml:space="preserve">δύο </w:t>
      </w:r>
      <w:r w:rsidRPr="005A464E">
        <w:rPr>
          <w:rStyle w:val="element-citation"/>
          <w:rFonts w:cs="Arial"/>
          <w:sz w:val="24"/>
          <w:szCs w:val="24"/>
        </w:rPr>
        <w:t>ομάδες των 35 ασθενών</w:t>
      </w:r>
      <w:r w:rsidR="00B27BCC" w:rsidRPr="005A464E">
        <w:rPr>
          <w:rStyle w:val="element-citation"/>
          <w:rFonts w:cs="Arial"/>
          <w:sz w:val="24"/>
          <w:szCs w:val="24"/>
        </w:rPr>
        <w:t xml:space="preserve"> </w:t>
      </w:r>
      <w:r w:rsidR="00D033D1" w:rsidRPr="005A464E">
        <w:rPr>
          <w:rStyle w:val="element-citation"/>
          <w:rFonts w:cs="Arial"/>
          <w:sz w:val="24"/>
          <w:szCs w:val="24"/>
        </w:rPr>
        <w:t>με κοινά δημογραφικά και κλινικά χαρακτηριστικά</w:t>
      </w:r>
      <w:r w:rsidR="000A7F32">
        <w:rPr>
          <w:rStyle w:val="element-citation"/>
          <w:rFonts w:cs="Arial"/>
          <w:sz w:val="24"/>
          <w:szCs w:val="24"/>
        </w:rPr>
        <w:t>. Η μι</w:t>
      </w:r>
      <w:r w:rsidRPr="005A464E">
        <w:rPr>
          <w:rStyle w:val="element-citation"/>
          <w:rFonts w:cs="Arial"/>
          <w:sz w:val="24"/>
          <w:szCs w:val="24"/>
        </w:rPr>
        <w:t>α ομάδα έλαβε εκπαίδευση σχετικά με τη διαιτητική αγωγ</w:t>
      </w:r>
      <w:r w:rsidR="00D033D1" w:rsidRPr="005A464E">
        <w:rPr>
          <w:rStyle w:val="element-citation"/>
          <w:rFonts w:cs="Arial"/>
          <w:sz w:val="24"/>
          <w:szCs w:val="24"/>
        </w:rPr>
        <w:t>ή ενώ</w:t>
      </w:r>
      <w:r w:rsidRPr="005A464E">
        <w:rPr>
          <w:rStyle w:val="element-citation"/>
          <w:rFonts w:cs="Arial"/>
          <w:sz w:val="24"/>
          <w:szCs w:val="24"/>
        </w:rPr>
        <w:t xml:space="preserve"> η άλλη ομάδα δεν έλαβε καμία εκπαίδευση.</w:t>
      </w:r>
      <w:r w:rsidR="00D033D1" w:rsidRPr="005A464E">
        <w:rPr>
          <w:rStyle w:val="element-citation"/>
          <w:rFonts w:cs="Arial"/>
          <w:sz w:val="24"/>
          <w:szCs w:val="24"/>
        </w:rPr>
        <w:t xml:space="preserve"> Οι βαθμολογίες ήταν υψηλότερες στην ομάδα που </w:t>
      </w:r>
      <w:r w:rsidR="005D1E60" w:rsidRPr="005A464E">
        <w:rPr>
          <w:rStyle w:val="element-citation"/>
          <w:rFonts w:cs="Arial"/>
          <w:sz w:val="24"/>
          <w:szCs w:val="24"/>
        </w:rPr>
        <w:t>εκπαιδεύτηκε</w:t>
      </w:r>
      <w:r w:rsidR="00B27BCC" w:rsidRPr="005A464E">
        <w:rPr>
          <w:rStyle w:val="element-citation"/>
          <w:rFonts w:cs="Arial"/>
          <w:sz w:val="24"/>
          <w:szCs w:val="24"/>
        </w:rPr>
        <w:t xml:space="preserve"> </w:t>
      </w:r>
      <w:r w:rsidR="00D033D1" w:rsidRPr="005A464E">
        <w:rPr>
          <w:rStyle w:val="element-citation"/>
          <w:rFonts w:cs="Arial"/>
          <w:sz w:val="24"/>
          <w:szCs w:val="24"/>
        </w:rPr>
        <w:t>και ιδιαίτερα στην φυσική υγεία, στις εργασιακές</w:t>
      </w:r>
      <w:r w:rsidR="0078495A">
        <w:rPr>
          <w:rStyle w:val="element-citation"/>
          <w:rFonts w:cs="Arial"/>
          <w:sz w:val="24"/>
          <w:szCs w:val="24"/>
        </w:rPr>
        <w:t xml:space="preserve"> </w:t>
      </w:r>
      <w:r w:rsidR="00D033D1" w:rsidRPr="005A464E">
        <w:rPr>
          <w:rStyle w:val="element-citation"/>
          <w:rFonts w:cs="Arial"/>
          <w:sz w:val="24"/>
          <w:szCs w:val="24"/>
        </w:rPr>
        <w:t>δραστηριότητες αλλά και στην ΠΖ ως σύνολο</w:t>
      </w:r>
      <w:r w:rsidR="008E7ECD">
        <w:rPr>
          <w:rStyle w:val="element-citation"/>
          <w:rFonts w:cs="Arial"/>
          <w:sz w:val="24"/>
          <w:szCs w:val="24"/>
        </w:rPr>
        <w:t xml:space="preserve"> (Aghakhani,</w:t>
      </w:r>
      <w:r w:rsidR="00D033D1" w:rsidRPr="005A464E">
        <w:rPr>
          <w:rStyle w:val="element-citation"/>
          <w:rFonts w:cs="Arial"/>
          <w:sz w:val="24"/>
          <w:szCs w:val="24"/>
        </w:rPr>
        <w:t xml:space="preserve"> </w:t>
      </w:r>
      <w:r w:rsidR="008E7ECD" w:rsidRPr="008E7ECD">
        <w:rPr>
          <w:rFonts w:asciiTheme="minorHAnsi" w:hAnsiTheme="minorHAnsi" w:cstheme="minorHAnsi"/>
          <w:sz w:val="24"/>
          <w:szCs w:val="24"/>
          <w:lang w:val="en-US"/>
        </w:rPr>
        <w:t>Samadzadeh</w:t>
      </w:r>
      <w:r w:rsidR="008E7ECD" w:rsidRPr="008E7ECD">
        <w:rPr>
          <w:rFonts w:asciiTheme="minorHAnsi" w:hAnsiTheme="minorHAnsi" w:cstheme="minorHAnsi"/>
          <w:sz w:val="24"/>
          <w:szCs w:val="24"/>
        </w:rPr>
        <w:t xml:space="preserve">, </w:t>
      </w:r>
      <w:r w:rsidR="008E7ECD" w:rsidRPr="008E7ECD">
        <w:rPr>
          <w:rFonts w:asciiTheme="minorHAnsi" w:hAnsiTheme="minorHAnsi" w:cstheme="minorHAnsi"/>
          <w:sz w:val="24"/>
          <w:szCs w:val="24"/>
          <w:lang w:val="en-US"/>
        </w:rPr>
        <w:t>Mafi</w:t>
      </w:r>
      <w:r w:rsidR="008E7ECD" w:rsidRPr="008E7ECD">
        <w:rPr>
          <w:rFonts w:asciiTheme="minorHAnsi" w:hAnsiTheme="minorHAnsi" w:cstheme="minorHAnsi"/>
          <w:sz w:val="24"/>
          <w:szCs w:val="24"/>
        </w:rPr>
        <w:t xml:space="preserve">, &amp; </w:t>
      </w:r>
      <w:r w:rsidR="008E7ECD" w:rsidRPr="008E7ECD">
        <w:rPr>
          <w:rFonts w:asciiTheme="minorHAnsi" w:hAnsiTheme="minorHAnsi" w:cstheme="minorHAnsi"/>
          <w:sz w:val="24"/>
          <w:szCs w:val="24"/>
          <w:lang w:val="en-US"/>
        </w:rPr>
        <w:t>Rahbar</w:t>
      </w:r>
      <w:r w:rsidR="008E7ECD" w:rsidRPr="008E7ECD">
        <w:rPr>
          <w:rFonts w:asciiTheme="minorHAnsi" w:hAnsiTheme="minorHAnsi" w:cstheme="minorHAnsi"/>
          <w:sz w:val="24"/>
          <w:szCs w:val="24"/>
        </w:rPr>
        <w:t>,</w:t>
      </w:r>
      <w:r w:rsidR="008E7ECD" w:rsidRPr="008E7ECD">
        <w:rPr>
          <w:rStyle w:val="element-citation"/>
          <w:rFonts w:cs="Arial"/>
          <w:sz w:val="24"/>
          <w:szCs w:val="24"/>
        </w:rPr>
        <w:t xml:space="preserve"> </w:t>
      </w:r>
      <w:r w:rsidR="00D033D1" w:rsidRPr="008E7ECD">
        <w:rPr>
          <w:rStyle w:val="element-citation"/>
          <w:rFonts w:cs="Arial"/>
          <w:sz w:val="24"/>
          <w:szCs w:val="24"/>
        </w:rPr>
        <w:t>2012</w:t>
      </w:r>
      <w:r w:rsidR="00D033D1" w:rsidRPr="005A464E">
        <w:rPr>
          <w:rStyle w:val="element-citation"/>
          <w:rFonts w:cs="Arial"/>
          <w:sz w:val="24"/>
          <w:szCs w:val="24"/>
        </w:rPr>
        <w:t>).</w:t>
      </w:r>
    </w:p>
    <w:p w:rsidR="00BB6C7F" w:rsidRPr="005A464E" w:rsidRDefault="006D75D0" w:rsidP="005A464E">
      <w:pPr>
        <w:spacing w:line="360" w:lineRule="auto"/>
        <w:jc w:val="both"/>
        <w:rPr>
          <w:rStyle w:val="element-citation"/>
          <w:rFonts w:cs="Arial"/>
          <w:sz w:val="24"/>
          <w:szCs w:val="24"/>
        </w:rPr>
      </w:pPr>
      <w:r w:rsidRPr="005A464E">
        <w:rPr>
          <w:rStyle w:val="element-citation"/>
          <w:rFonts w:cs="Arial"/>
          <w:sz w:val="24"/>
          <w:szCs w:val="24"/>
        </w:rPr>
        <w:t xml:space="preserve">Σε μελέτη που </w:t>
      </w:r>
      <w:r w:rsidR="00A17C54" w:rsidRPr="005A464E">
        <w:rPr>
          <w:rStyle w:val="element-citation"/>
          <w:rFonts w:cs="Arial"/>
          <w:sz w:val="24"/>
          <w:szCs w:val="24"/>
        </w:rPr>
        <w:t>διεξήχθη</w:t>
      </w:r>
      <w:r w:rsidRPr="005A464E">
        <w:rPr>
          <w:rStyle w:val="element-citation"/>
          <w:rFonts w:cs="Arial"/>
          <w:sz w:val="24"/>
          <w:szCs w:val="24"/>
        </w:rPr>
        <w:t xml:space="preserve"> στη Βραζιλία μεταξύ 112 ασθενών υπό </w:t>
      </w:r>
      <w:r w:rsidR="005D79F7">
        <w:rPr>
          <w:rStyle w:val="element-citation"/>
          <w:rFonts w:cs="Arial"/>
          <w:sz w:val="24"/>
          <w:szCs w:val="24"/>
        </w:rPr>
        <w:t>αιμοκάθαρση</w:t>
      </w:r>
      <w:r w:rsidRPr="005A464E">
        <w:rPr>
          <w:rStyle w:val="element-citation"/>
          <w:rFonts w:cs="Arial"/>
          <w:sz w:val="24"/>
          <w:szCs w:val="24"/>
        </w:rPr>
        <w:t>, οι ερευνητές μελέτησαν τις γνώσεις των ασθενών για τις τροφέ</w:t>
      </w:r>
      <w:r w:rsidR="00B474B8" w:rsidRPr="005A464E">
        <w:rPr>
          <w:rStyle w:val="element-citation"/>
          <w:rFonts w:cs="Arial"/>
          <w:sz w:val="24"/>
          <w:szCs w:val="24"/>
        </w:rPr>
        <w:t>ς με υψηλή περιεκτικότητα σε φώ</w:t>
      </w:r>
      <w:r w:rsidRPr="005A464E">
        <w:rPr>
          <w:rStyle w:val="element-citation"/>
          <w:rFonts w:cs="Arial"/>
          <w:sz w:val="24"/>
          <w:szCs w:val="24"/>
        </w:rPr>
        <w:t>σφορο, τις</w:t>
      </w:r>
      <w:r w:rsidR="00B474B8" w:rsidRPr="005A464E">
        <w:rPr>
          <w:rStyle w:val="element-citation"/>
          <w:rFonts w:cs="Arial"/>
          <w:sz w:val="24"/>
          <w:szCs w:val="24"/>
        </w:rPr>
        <w:t xml:space="preserve"> επιπτώσεις της υπερφωσφαταιμίας καθώς και την κατάλληλη χρήση των </w:t>
      </w:r>
      <w:r w:rsidR="00B474B8" w:rsidRPr="005D79F7">
        <w:rPr>
          <w:rStyle w:val="element-citation"/>
          <w:rFonts w:cs="Arial"/>
          <w:sz w:val="24"/>
          <w:szCs w:val="24"/>
        </w:rPr>
        <w:t>δεσμευτικών</w:t>
      </w:r>
      <w:r w:rsidR="005D79F7" w:rsidRPr="005D79F7">
        <w:rPr>
          <w:rStyle w:val="element-citation"/>
          <w:rFonts w:cs="Arial"/>
          <w:sz w:val="24"/>
          <w:szCs w:val="24"/>
        </w:rPr>
        <w:t xml:space="preserve"> του φωσφόρου</w:t>
      </w:r>
      <w:r w:rsidR="00B474B8" w:rsidRPr="005A464E">
        <w:rPr>
          <w:rStyle w:val="element-citation"/>
          <w:rFonts w:cs="Arial"/>
          <w:sz w:val="24"/>
          <w:szCs w:val="24"/>
        </w:rPr>
        <w:t>. Παρό</w:t>
      </w:r>
      <w:r w:rsidR="005D79F7">
        <w:rPr>
          <w:rStyle w:val="element-citation"/>
          <w:rFonts w:cs="Arial"/>
          <w:sz w:val="24"/>
          <w:szCs w:val="24"/>
        </w:rPr>
        <w:t>λο που</w:t>
      </w:r>
      <w:r w:rsidR="00B474B8" w:rsidRPr="005A464E">
        <w:rPr>
          <w:rStyle w:val="element-citation"/>
          <w:rFonts w:cs="Arial"/>
          <w:sz w:val="24"/>
          <w:szCs w:val="24"/>
        </w:rPr>
        <w:t xml:space="preserve"> οι ασθενείς </w:t>
      </w:r>
      <w:r w:rsidR="006164B3" w:rsidRPr="005A464E">
        <w:rPr>
          <w:rStyle w:val="element-citation"/>
          <w:rFonts w:cs="Arial"/>
          <w:sz w:val="24"/>
          <w:szCs w:val="24"/>
        </w:rPr>
        <w:t>έ</w:t>
      </w:r>
      <w:r w:rsidR="00B474B8" w:rsidRPr="005A464E">
        <w:rPr>
          <w:rStyle w:val="element-citation"/>
          <w:rFonts w:cs="Arial"/>
          <w:sz w:val="24"/>
          <w:szCs w:val="24"/>
        </w:rPr>
        <w:t>δειξαν κ</w:t>
      </w:r>
      <w:r w:rsidR="006164B3" w:rsidRPr="005A464E">
        <w:rPr>
          <w:rStyle w:val="element-citation"/>
          <w:rFonts w:cs="Arial"/>
          <w:sz w:val="24"/>
          <w:szCs w:val="24"/>
        </w:rPr>
        <w:t>α</w:t>
      </w:r>
      <w:r w:rsidR="00B474B8" w:rsidRPr="005A464E">
        <w:rPr>
          <w:rStyle w:val="element-citation"/>
          <w:rFonts w:cs="Arial"/>
          <w:sz w:val="24"/>
          <w:szCs w:val="24"/>
        </w:rPr>
        <w:t xml:space="preserve">λό επίπεδο γνώσης σχετικά με τα </w:t>
      </w:r>
      <w:r w:rsidR="005D79F7" w:rsidRPr="005D79F7">
        <w:rPr>
          <w:rStyle w:val="element-citation"/>
          <w:rFonts w:cs="Arial"/>
          <w:sz w:val="24"/>
          <w:szCs w:val="24"/>
        </w:rPr>
        <w:t>δεσμευτικά του φωσφόρου</w:t>
      </w:r>
      <w:r w:rsidR="00B474B8" w:rsidRPr="005A464E">
        <w:rPr>
          <w:rStyle w:val="element-citation"/>
          <w:rFonts w:cs="Arial"/>
          <w:sz w:val="24"/>
          <w:szCs w:val="24"/>
        </w:rPr>
        <w:t>, η πλειοψηφία αυτών δεν μπορούσε να συμμορφωθεί στην αγωγή</w:t>
      </w:r>
      <w:r w:rsidR="00B649CB">
        <w:rPr>
          <w:rStyle w:val="element-citation"/>
          <w:rFonts w:cs="Arial"/>
          <w:sz w:val="24"/>
          <w:szCs w:val="24"/>
        </w:rPr>
        <w:t xml:space="preserve"> </w:t>
      </w:r>
      <w:r w:rsidR="00B649CB" w:rsidRPr="005A464E">
        <w:rPr>
          <w:rStyle w:val="element-citation"/>
          <w:rFonts w:cs="Arial"/>
          <w:sz w:val="24"/>
          <w:szCs w:val="24"/>
        </w:rPr>
        <w:t>(Ν</w:t>
      </w:r>
      <w:r w:rsidR="00B649CB" w:rsidRPr="005A464E">
        <w:rPr>
          <w:rStyle w:val="element-citation"/>
          <w:rFonts w:cs="Arial"/>
          <w:sz w:val="24"/>
          <w:szCs w:val="24"/>
          <w:lang w:val="en-US"/>
        </w:rPr>
        <w:t>erbass</w:t>
      </w:r>
      <w:r w:rsidR="00B649CB" w:rsidRPr="005A464E">
        <w:rPr>
          <w:rStyle w:val="element-citation"/>
          <w:rFonts w:cs="Arial"/>
          <w:sz w:val="24"/>
          <w:szCs w:val="24"/>
        </w:rPr>
        <w:t xml:space="preserve"> </w:t>
      </w:r>
      <w:r w:rsidR="00B649CB">
        <w:rPr>
          <w:rStyle w:val="element-citation"/>
          <w:rFonts w:cs="Arial"/>
          <w:sz w:val="24"/>
          <w:szCs w:val="24"/>
        </w:rPr>
        <w:t>et al.</w:t>
      </w:r>
      <w:r w:rsidR="00533701" w:rsidRPr="00533701">
        <w:rPr>
          <w:rStyle w:val="element-citation"/>
          <w:rFonts w:cs="Arial"/>
          <w:sz w:val="24"/>
          <w:szCs w:val="24"/>
        </w:rPr>
        <w:t>,</w:t>
      </w:r>
      <w:r w:rsidR="00B649CB" w:rsidRPr="005A464E">
        <w:rPr>
          <w:rStyle w:val="element-citation"/>
          <w:rFonts w:cs="Arial"/>
          <w:sz w:val="24"/>
          <w:szCs w:val="24"/>
        </w:rPr>
        <w:t xml:space="preserve"> 2010)</w:t>
      </w:r>
      <w:r w:rsidR="00B474B8" w:rsidRPr="005A464E">
        <w:rPr>
          <w:rStyle w:val="element-citation"/>
          <w:rFonts w:cs="Arial"/>
          <w:sz w:val="24"/>
          <w:szCs w:val="24"/>
        </w:rPr>
        <w:t>.</w:t>
      </w:r>
    </w:p>
    <w:p w:rsidR="00527516" w:rsidRPr="00C912D7" w:rsidRDefault="00B46FD2" w:rsidP="005A464E">
      <w:pPr>
        <w:spacing w:line="360" w:lineRule="auto"/>
        <w:jc w:val="both"/>
        <w:rPr>
          <w:rFonts w:cs="Arial"/>
          <w:sz w:val="24"/>
          <w:szCs w:val="24"/>
        </w:rPr>
      </w:pPr>
      <w:r w:rsidRPr="005A464E">
        <w:rPr>
          <w:rStyle w:val="element-citation"/>
          <w:rFonts w:cs="Arial"/>
          <w:sz w:val="24"/>
          <w:szCs w:val="24"/>
        </w:rPr>
        <w:t>Οι</w:t>
      </w:r>
      <w:r w:rsidRPr="00B649CB">
        <w:rPr>
          <w:rStyle w:val="element-citation"/>
          <w:rFonts w:cs="Arial"/>
          <w:sz w:val="24"/>
          <w:szCs w:val="24"/>
        </w:rPr>
        <w:t xml:space="preserve"> </w:t>
      </w:r>
      <w:r w:rsidR="00B27BCC" w:rsidRPr="00C912D7">
        <w:rPr>
          <w:rFonts w:cs="Times-Roman"/>
          <w:sz w:val="24"/>
          <w:szCs w:val="24"/>
          <w:lang w:val="en-US"/>
        </w:rPr>
        <w:t>Garc</w:t>
      </w:r>
      <w:r w:rsidR="00B27BCC" w:rsidRPr="00C912D7">
        <w:rPr>
          <w:rFonts w:cs="Times-Roman"/>
          <w:sz w:val="24"/>
          <w:szCs w:val="24"/>
        </w:rPr>
        <w:t>í</w:t>
      </w:r>
      <w:r w:rsidR="00B27BCC" w:rsidRPr="00C912D7">
        <w:rPr>
          <w:rFonts w:cs="Times-Roman"/>
          <w:sz w:val="24"/>
          <w:szCs w:val="24"/>
          <w:lang w:val="en-US"/>
        </w:rPr>
        <w:t>a</w:t>
      </w:r>
      <w:r w:rsidR="00B27BCC" w:rsidRPr="00C912D7">
        <w:rPr>
          <w:rFonts w:cs="Times-Roman"/>
          <w:sz w:val="24"/>
          <w:szCs w:val="24"/>
        </w:rPr>
        <w:t>-</w:t>
      </w:r>
      <w:r w:rsidR="00B27BCC" w:rsidRPr="00C912D7">
        <w:rPr>
          <w:rFonts w:cs="Times-Roman"/>
          <w:sz w:val="24"/>
          <w:szCs w:val="24"/>
          <w:lang w:val="en-US"/>
        </w:rPr>
        <w:t>Llana</w:t>
      </w:r>
      <w:r w:rsidR="00B649CB" w:rsidRPr="00C912D7">
        <w:rPr>
          <w:rFonts w:cs="Times-Roman"/>
          <w:sz w:val="24"/>
          <w:szCs w:val="24"/>
        </w:rPr>
        <w:t xml:space="preserve">, </w:t>
      </w:r>
      <w:hyperlink r:id="rId42" w:history="1">
        <w:r w:rsidR="00B649CB" w:rsidRPr="00C912D7">
          <w:rPr>
            <w:rFonts w:asciiTheme="minorHAnsi" w:eastAsia="Times New Roman" w:hAnsiTheme="minorHAnsi" w:cstheme="minorHAnsi"/>
            <w:sz w:val="24"/>
            <w:szCs w:val="24"/>
            <w:lang w:val="en-US" w:eastAsia="el-GR"/>
          </w:rPr>
          <w:t>Remor</w:t>
        </w:r>
        <w:r w:rsidR="00B649CB" w:rsidRPr="00C912D7">
          <w:rPr>
            <w:rFonts w:asciiTheme="minorHAnsi" w:eastAsia="Times New Roman" w:hAnsiTheme="minorHAnsi" w:cstheme="minorHAnsi"/>
            <w:sz w:val="24"/>
            <w:szCs w:val="24"/>
            <w:lang w:eastAsia="el-GR"/>
          </w:rPr>
          <w:t xml:space="preserve"> </w:t>
        </w:r>
      </w:hyperlink>
      <w:r w:rsidR="00197BA9" w:rsidRPr="00C912D7">
        <w:rPr>
          <w:rFonts w:asciiTheme="minorHAnsi" w:eastAsia="Times New Roman" w:hAnsiTheme="minorHAnsi" w:cstheme="minorHAnsi"/>
          <w:sz w:val="24"/>
          <w:szCs w:val="24"/>
          <w:lang w:eastAsia="el-GR"/>
        </w:rPr>
        <w:t>και</w:t>
      </w:r>
      <w:r w:rsidR="00B649CB" w:rsidRPr="00C912D7">
        <w:rPr>
          <w:rFonts w:asciiTheme="minorHAnsi" w:eastAsia="Times New Roman" w:hAnsiTheme="minorHAnsi" w:cstheme="minorHAnsi"/>
          <w:sz w:val="24"/>
          <w:szCs w:val="24"/>
          <w:lang w:eastAsia="el-GR"/>
        </w:rPr>
        <w:t xml:space="preserve"> </w:t>
      </w:r>
      <w:hyperlink r:id="rId43" w:history="1">
        <w:r w:rsidR="00B649CB" w:rsidRPr="00C912D7">
          <w:rPr>
            <w:rFonts w:asciiTheme="minorHAnsi" w:eastAsia="Times New Roman" w:hAnsiTheme="minorHAnsi" w:cstheme="minorHAnsi"/>
            <w:sz w:val="24"/>
            <w:szCs w:val="24"/>
            <w:lang w:val="en-US" w:eastAsia="el-GR"/>
          </w:rPr>
          <w:t>Selgas</w:t>
        </w:r>
      </w:hyperlink>
      <w:r w:rsidR="00D32A6F" w:rsidRPr="00C912D7">
        <w:rPr>
          <w:rFonts w:cs="Times-Roman"/>
          <w:sz w:val="24"/>
          <w:szCs w:val="24"/>
        </w:rPr>
        <w:t xml:space="preserve"> (2013)</w:t>
      </w:r>
      <w:r w:rsidR="00AE2F15" w:rsidRPr="00C912D7">
        <w:rPr>
          <w:rFonts w:cs="Times-Roman"/>
          <w:sz w:val="24"/>
          <w:szCs w:val="24"/>
        </w:rPr>
        <w:t xml:space="preserve"> μελέτησαν τα επίπεδα συμμόρφωσης, κατά</w:t>
      </w:r>
      <w:r w:rsidR="00D32A6F" w:rsidRPr="00C912D7">
        <w:rPr>
          <w:rFonts w:cs="Times-Roman"/>
          <w:sz w:val="24"/>
          <w:szCs w:val="24"/>
        </w:rPr>
        <w:t>θλιψης, άγχους και ποιότητας ζω</w:t>
      </w:r>
      <w:r w:rsidR="00AE2F15" w:rsidRPr="00C912D7">
        <w:rPr>
          <w:rFonts w:cs="Times-Roman"/>
          <w:sz w:val="24"/>
          <w:szCs w:val="24"/>
        </w:rPr>
        <w:t xml:space="preserve">ής μεταξύ 30 ασθενών υπό </w:t>
      </w:r>
      <w:r w:rsidR="005D79F7" w:rsidRPr="00C912D7">
        <w:rPr>
          <w:rFonts w:cs="Times-Roman"/>
          <w:sz w:val="24"/>
          <w:szCs w:val="24"/>
        </w:rPr>
        <w:t>αιμοκάθαρση</w:t>
      </w:r>
      <w:r w:rsidR="00AE2F15" w:rsidRPr="00C912D7">
        <w:rPr>
          <w:rFonts w:cs="Times-Roman"/>
          <w:sz w:val="24"/>
          <w:szCs w:val="24"/>
        </w:rPr>
        <w:t xml:space="preserve"> κα</w:t>
      </w:r>
      <w:r w:rsidR="00D32A6F" w:rsidRPr="00C912D7">
        <w:rPr>
          <w:rFonts w:cs="Times-Roman"/>
          <w:sz w:val="24"/>
          <w:szCs w:val="24"/>
        </w:rPr>
        <w:t>ι 31 ασ</w:t>
      </w:r>
      <w:r w:rsidR="00E3713D" w:rsidRPr="00C912D7">
        <w:rPr>
          <w:rFonts w:cs="Times-Roman"/>
          <w:sz w:val="24"/>
          <w:szCs w:val="24"/>
        </w:rPr>
        <w:t>θενών υ</w:t>
      </w:r>
      <w:r w:rsidR="00D32A6F" w:rsidRPr="00C912D7">
        <w:rPr>
          <w:rFonts w:cs="Times-Roman"/>
          <w:sz w:val="24"/>
          <w:szCs w:val="24"/>
        </w:rPr>
        <w:t>πό περιτοναϊκή κά</w:t>
      </w:r>
      <w:r w:rsidR="00AE2F15" w:rsidRPr="00C912D7">
        <w:rPr>
          <w:rFonts w:cs="Times-Roman"/>
          <w:sz w:val="24"/>
          <w:szCs w:val="24"/>
        </w:rPr>
        <w:t xml:space="preserve">θαρση με τη χρήση </w:t>
      </w:r>
      <w:r w:rsidR="000A7F32" w:rsidRPr="00C912D7">
        <w:rPr>
          <w:rFonts w:cs="Times-Roman"/>
          <w:sz w:val="24"/>
          <w:szCs w:val="24"/>
        </w:rPr>
        <w:t>αυτο</w:t>
      </w:r>
      <w:r w:rsidR="00AE2F15" w:rsidRPr="00C912D7">
        <w:rPr>
          <w:rFonts w:cs="Times-Roman"/>
          <w:sz w:val="24"/>
          <w:szCs w:val="24"/>
        </w:rPr>
        <w:t xml:space="preserve">συμπληρούμενων ερωτηματολογίων. </w:t>
      </w:r>
      <w:r w:rsidR="00527516" w:rsidRPr="00C912D7">
        <w:rPr>
          <w:rFonts w:cs="Times-Roman"/>
          <w:sz w:val="24"/>
          <w:szCs w:val="24"/>
        </w:rPr>
        <w:t>Σύμφωνα με τα αποτελέσματά τους</w:t>
      </w:r>
      <w:r w:rsidR="00AE2F15" w:rsidRPr="00C912D7">
        <w:rPr>
          <w:rFonts w:cs="Times-Roman"/>
          <w:sz w:val="24"/>
          <w:szCs w:val="24"/>
        </w:rPr>
        <w:t>, οι ασθενείς</w:t>
      </w:r>
      <w:r w:rsidR="00B27BCC" w:rsidRPr="00C912D7">
        <w:rPr>
          <w:rFonts w:cs="Times-Roman"/>
          <w:sz w:val="24"/>
          <w:szCs w:val="24"/>
        </w:rPr>
        <w:t xml:space="preserve"> υπό περιτοναϊκή κάθαρση</w:t>
      </w:r>
      <w:r w:rsidR="00AE2F15" w:rsidRPr="00C912D7">
        <w:rPr>
          <w:rFonts w:cs="Times-Roman"/>
          <w:sz w:val="24"/>
          <w:szCs w:val="24"/>
        </w:rPr>
        <w:t xml:space="preserve"> με υψηλότερα επίπεδα </w:t>
      </w:r>
      <w:r w:rsidR="000A7F32" w:rsidRPr="00C912D7">
        <w:rPr>
          <w:rFonts w:cs="Times-Roman"/>
          <w:sz w:val="24"/>
          <w:szCs w:val="24"/>
        </w:rPr>
        <w:t>αυτο</w:t>
      </w:r>
      <w:r w:rsidR="00AE2F15" w:rsidRPr="00C912D7">
        <w:rPr>
          <w:rFonts w:cs="Times-Roman"/>
          <w:sz w:val="24"/>
          <w:szCs w:val="24"/>
        </w:rPr>
        <w:t xml:space="preserve">αναφερόμενης συμμόρφωσης σημείωσαν υψηλότερα επίπεδα της αντιληφθείσας ποιότητας ζωής ενώ οι </w:t>
      </w:r>
      <w:r w:rsidR="00D32A6F" w:rsidRPr="00C912D7">
        <w:rPr>
          <w:rFonts w:cs="Times-Roman"/>
          <w:sz w:val="24"/>
          <w:szCs w:val="24"/>
        </w:rPr>
        <w:t>ασθενείς με συμμόρφωση στα αντιϋ</w:t>
      </w:r>
      <w:r w:rsidR="00AE2F15" w:rsidRPr="00C912D7">
        <w:rPr>
          <w:rFonts w:cs="Times-Roman"/>
          <w:sz w:val="24"/>
          <w:szCs w:val="24"/>
        </w:rPr>
        <w:t>περτασικά έδειξαν να βιώνουν κα</w:t>
      </w:r>
      <w:r w:rsidR="00D32A6F" w:rsidRPr="00C912D7">
        <w:rPr>
          <w:rFonts w:cs="Times-Roman"/>
          <w:sz w:val="24"/>
          <w:szCs w:val="24"/>
        </w:rPr>
        <w:t>λύτερη φυσική ποιό</w:t>
      </w:r>
      <w:r w:rsidR="00AE2F15" w:rsidRPr="00C912D7">
        <w:rPr>
          <w:rFonts w:cs="Times-Roman"/>
          <w:sz w:val="24"/>
          <w:szCs w:val="24"/>
        </w:rPr>
        <w:t xml:space="preserve">τητα ζωής. </w:t>
      </w:r>
    </w:p>
    <w:p w:rsidR="00FE3796" w:rsidRPr="00685EF1" w:rsidRDefault="00FE3796" w:rsidP="005A464E">
      <w:pPr>
        <w:autoSpaceDE w:val="0"/>
        <w:autoSpaceDN w:val="0"/>
        <w:adjustRightInd w:val="0"/>
        <w:spacing w:after="0" w:line="360" w:lineRule="auto"/>
        <w:jc w:val="both"/>
        <w:rPr>
          <w:rFonts w:cs="Times-Roman"/>
          <w:sz w:val="24"/>
          <w:szCs w:val="24"/>
        </w:rPr>
      </w:pPr>
      <w:r w:rsidRPr="00C912D7">
        <w:rPr>
          <w:rFonts w:cs="Times-Roman"/>
          <w:sz w:val="24"/>
          <w:szCs w:val="24"/>
        </w:rPr>
        <w:t>Σε μια άλλη μελέτη σ</w:t>
      </w:r>
      <w:r w:rsidR="00E81CE2" w:rsidRPr="00C912D7">
        <w:rPr>
          <w:rFonts w:cs="Times-Roman"/>
          <w:sz w:val="24"/>
          <w:szCs w:val="24"/>
        </w:rPr>
        <w:t>την Ι</w:t>
      </w:r>
      <w:r w:rsidR="005D1E60" w:rsidRPr="00C912D7">
        <w:rPr>
          <w:rFonts w:cs="Times-Roman"/>
          <w:sz w:val="24"/>
          <w:szCs w:val="24"/>
        </w:rPr>
        <w:t xml:space="preserve">ορδανία </w:t>
      </w:r>
      <w:r w:rsidRPr="00C912D7">
        <w:rPr>
          <w:rFonts w:cs="Times-Roman"/>
          <w:sz w:val="24"/>
          <w:szCs w:val="24"/>
        </w:rPr>
        <w:t>οι ερευνητές συσχέτισαν την ποιότητα ζωής</w:t>
      </w:r>
      <w:r w:rsidR="00E81CE2" w:rsidRPr="00C912D7">
        <w:rPr>
          <w:rFonts w:cs="Times-Roman"/>
          <w:sz w:val="24"/>
          <w:szCs w:val="24"/>
        </w:rPr>
        <w:t xml:space="preserve"> με την κατάθλιψη, τις αντιλήψεις για </w:t>
      </w:r>
      <w:r w:rsidR="00311289" w:rsidRPr="00C912D7">
        <w:rPr>
          <w:rFonts w:cs="Times-Roman"/>
          <w:sz w:val="24"/>
          <w:szCs w:val="24"/>
        </w:rPr>
        <w:t>τη</w:t>
      </w:r>
      <w:r w:rsidR="00E81CE2" w:rsidRPr="00C912D7">
        <w:rPr>
          <w:rFonts w:cs="Times-Roman"/>
          <w:sz w:val="24"/>
          <w:szCs w:val="24"/>
        </w:rPr>
        <w:t xml:space="preserve"> </w:t>
      </w:r>
      <w:r w:rsidR="00A17C54" w:rsidRPr="00C912D7">
        <w:rPr>
          <w:rFonts w:cs="Times-Roman"/>
          <w:sz w:val="24"/>
          <w:szCs w:val="24"/>
        </w:rPr>
        <w:t>σοβαρότητα</w:t>
      </w:r>
      <w:r w:rsidRPr="00C912D7">
        <w:rPr>
          <w:rFonts w:cs="Times-Roman"/>
          <w:sz w:val="24"/>
          <w:szCs w:val="24"/>
        </w:rPr>
        <w:t xml:space="preserve"> της νόσου και τη συμμόρφωση</w:t>
      </w:r>
      <w:r w:rsidR="00E81CE2" w:rsidRPr="00C912D7">
        <w:rPr>
          <w:rFonts w:cs="Times-Roman"/>
          <w:sz w:val="24"/>
          <w:szCs w:val="24"/>
        </w:rPr>
        <w:t xml:space="preserve"> </w:t>
      </w:r>
      <w:r w:rsidRPr="00C912D7">
        <w:rPr>
          <w:rFonts w:cs="Times-Roman"/>
          <w:sz w:val="24"/>
          <w:szCs w:val="24"/>
        </w:rPr>
        <w:t xml:space="preserve">μεταξύ </w:t>
      </w:r>
      <w:r w:rsidR="00E81CE2" w:rsidRPr="00C912D7">
        <w:rPr>
          <w:rFonts w:cs="Times-Roman"/>
          <w:sz w:val="24"/>
          <w:szCs w:val="24"/>
        </w:rPr>
        <w:t xml:space="preserve">224 ασθενών υπό </w:t>
      </w:r>
      <w:r w:rsidRPr="00C912D7">
        <w:rPr>
          <w:rFonts w:cs="Times-Roman"/>
          <w:sz w:val="24"/>
          <w:szCs w:val="24"/>
        </w:rPr>
        <w:t>αιμοκάθαρση</w:t>
      </w:r>
      <w:r w:rsidR="00E81CE2" w:rsidRPr="005A464E">
        <w:rPr>
          <w:rFonts w:cs="Times-Roman"/>
          <w:sz w:val="24"/>
          <w:szCs w:val="24"/>
        </w:rPr>
        <w:t>. Υψηλότερα επίπεδα ποιότητας ζωής συσχετίσθηκαν με υψηλότερα επίπεδα συμμόρφωσης (</w:t>
      </w:r>
      <w:r w:rsidR="00E81CE2" w:rsidRPr="005A464E">
        <w:rPr>
          <w:rFonts w:cs="Times-Roman"/>
          <w:sz w:val="24"/>
          <w:szCs w:val="24"/>
          <w:lang w:val="en-US"/>
        </w:rPr>
        <w:t>Nabolsi</w:t>
      </w:r>
      <w:r w:rsidR="004A7CDC">
        <w:rPr>
          <w:rFonts w:cs="Times-Roman"/>
          <w:sz w:val="24"/>
          <w:szCs w:val="24"/>
        </w:rPr>
        <w:t>,</w:t>
      </w:r>
      <w:r w:rsidR="00E81CE2" w:rsidRPr="005A464E">
        <w:rPr>
          <w:rFonts w:cs="Times-Roman"/>
          <w:sz w:val="24"/>
          <w:szCs w:val="24"/>
        </w:rPr>
        <w:t xml:space="preserve"> </w:t>
      </w:r>
      <w:r w:rsidR="004A7CDC" w:rsidRPr="004A7CDC">
        <w:rPr>
          <w:rFonts w:asciiTheme="minorHAnsi" w:hAnsiTheme="minorHAnsi" w:cstheme="minorHAnsi"/>
          <w:color w:val="000000"/>
          <w:sz w:val="24"/>
          <w:szCs w:val="24"/>
          <w:lang w:val="en-US"/>
        </w:rPr>
        <w:t>Wardam</w:t>
      </w:r>
      <w:r w:rsidR="004A7CDC" w:rsidRPr="004A7CDC">
        <w:rPr>
          <w:rFonts w:asciiTheme="minorHAnsi" w:hAnsiTheme="minorHAnsi" w:cstheme="minorHAnsi"/>
          <w:color w:val="000000"/>
          <w:sz w:val="24"/>
          <w:szCs w:val="24"/>
        </w:rPr>
        <w:t xml:space="preserve">, &amp; </w:t>
      </w:r>
      <w:r w:rsidR="004A7CDC" w:rsidRPr="004A7CDC">
        <w:rPr>
          <w:rFonts w:asciiTheme="minorHAnsi" w:hAnsiTheme="minorHAnsi" w:cstheme="minorHAnsi"/>
          <w:color w:val="000000"/>
          <w:sz w:val="24"/>
          <w:szCs w:val="24"/>
          <w:lang w:val="en-US"/>
        </w:rPr>
        <w:t>Al</w:t>
      </w:r>
      <w:r w:rsidR="004A7CDC" w:rsidRPr="004A7CDC">
        <w:rPr>
          <w:rFonts w:asciiTheme="minorHAnsi" w:hAnsiTheme="minorHAnsi" w:cstheme="minorHAnsi"/>
          <w:color w:val="000000"/>
          <w:sz w:val="24"/>
          <w:szCs w:val="24"/>
        </w:rPr>
        <w:t>-</w:t>
      </w:r>
      <w:r w:rsidR="004A7CDC" w:rsidRPr="004A7CDC">
        <w:rPr>
          <w:rFonts w:asciiTheme="minorHAnsi" w:hAnsiTheme="minorHAnsi" w:cstheme="minorHAnsi"/>
          <w:color w:val="000000"/>
          <w:sz w:val="24"/>
          <w:szCs w:val="24"/>
          <w:lang w:val="en-US"/>
        </w:rPr>
        <w:t>Halabi</w:t>
      </w:r>
      <w:r w:rsidR="004A7CDC" w:rsidRPr="004A7CDC">
        <w:rPr>
          <w:rFonts w:asciiTheme="minorHAnsi" w:hAnsiTheme="minorHAnsi" w:cstheme="minorHAnsi"/>
          <w:color w:val="000000"/>
          <w:sz w:val="24"/>
          <w:szCs w:val="24"/>
        </w:rPr>
        <w:t>,</w:t>
      </w:r>
      <w:r w:rsidR="004A7CDC" w:rsidRPr="004A7CDC">
        <w:rPr>
          <w:rFonts w:cs="Times-Roman"/>
          <w:sz w:val="24"/>
          <w:szCs w:val="24"/>
        </w:rPr>
        <w:t xml:space="preserve"> </w:t>
      </w:r>
      <w:r w:rsidR="00E81CE2" w:rsidRPr="004A7CDC">
        <w:rPr>
          <w:rFonts w:cs="Times-Roman"/>
          <w:sz w:val="24"/>
          <w:szCs w:val="24"/>
        </w:rPr>
        <w:t>2015).</w:t>
      </w:r>
    </w:p>
    <w:p w:rsidR="00E739F3" w:rsidRPr="00685EF1" w:rsidRDefault="00E739F3" w:rsidP="005A464E">
      <w:pPr>
        <w:autoSpaceDE w:val="0"/>
        <w:autoSpaceDN w:val="0"/>
        <w:adjustRightInd w:val="0"/>
        <w:spacing w:after="0" w:line="360" w:lineRule="auto"/>
        <w:jc w:val="both"/>
        <w:rPr>
          <w:rFonts w:cs="Times-Roman"/>
          <w:sz w:val="24"/>
          <w:szCs w:val="24"/>
        </w:rPr>
      </w:pPr>
    </w:p>
    <w:p w:rsidR="00222E7E" w:rsidRPr="00886C7F" w:rsidRDefault="00E81CE2" w:rsidP="005A464E">
      <w:pPr>
        <w:autoSpaceDE w:val="0"/>
        <w:autoSpaceDN w:val="0"/>
        <w:adjustRightInd w:val="0"/>
        <w:spacing w:after="0" w:line="360" w:lineRule="auto"/>
        <w:jc w:val="both"/>
        <w:rPr>
          <w:rFonts w:cs="Times-Roman"/>
          <w:sz w:val="24"/>
          <w:szCs w:val="24"/>
        </w:rPr>
      </w:pPr>
      <w:r w:rsidRPr="005A464E">
        <w:rPr>
          <w:rFonts w:cs="Times-Roman"/>
          <w:sz w:val="24"/>
          <w:szCs w:val="24"/>
        </w:rPr>
        <w:t>Στην</w:t>
      </w:r>
      <w:r w:rsidR="00E26356" w:rsidRPr="005A464E">
        <w:rPr>
          <w:rFonts w:cs="Times-Roman"/>
          <w:sz w:val="24"/>
          <w:szCs w:val="24"/>
        </w:rPr>
        <w:t xml:space="preserve"> Κίνα</w:t>
      </w:r>
      <w:r w:rsidR="00AE7A20">
        <w:rPr>
          <w:rFonts w:cs="Times-Roman"/>
          <w:sz w:val="24"/>
          <w:szCs w:val="24"/>
        </w:rPr>
        <w:t>,</w:t>
      </w:r>
      <w:r w:rsidR="00E26356" w:rsidRPr="005A464E">
        <w:rPr>
          <w:rFonts w:cs="Times-Roman"/>
          <w:sz w:val="24"/>
          <w:szCs w:val="24"/>
        </w:rPr>
        <w:t xml:space="preserve"> οι </w:t>
      </w:r>
      <w:r w:rsidR="00E26356" w:rsidRPr="005A464E">
        <w:rPr>
          <w:rFonts w:cs="Times-Roman"/>
          <w:sz w:val="24"/>
          <w:szCs w:val="24"/>
          <w:lang w:val="en-US"/>
        </w:rPr>
        <w:t>Shi</w:t>
      </w:r>
      <w:r w:rsidR="00825A3F" w:rsidRPr="005A464E">
        <w:rPr>
          <w:rFonts w:cs="Times-Roman"/>
          <w:sz w:val="24"/>
          <w:szCs w:val="24"/>
        </w:rPr>
        <w:t xml:space="preserve"> </w:t>
      </w:r>
      <w:r w:rsidR="00566CAA">
        <w:rPr>
          <w:rFonts w:cs="Times-Roman"/>
          <w:sz w:val="24"/>
          <w:szCs w:val="24"/>
        </w:rPr>
        <w:t>et al</w:t>
      </w:r>
      <w:r w:rsidR="00583163">
        <w:rPr>
          <w:rFonts w:cs="Times-Roman"/>
          <w:sz w:val="24"/>
          <w:szCs w:val="24"/>
        </w:rPr>
        <w:t>.</w:t>
      </w:r>
      <w:r w:rsidR="00E26356" w:rsidRPr="005A464E">
        <w:rPr>
          <w:rFonts w:cs="Times-Roman"/>
          <w:sz w:val="24"/>
          <w:szCs w:val="24"/>
        </w:rPr>
        <w:t xml:space="preserve"> (2013) μελέτησαν την επίδραση ενός εκπαιδευτικού προγράμματος από νοσηλευτές στην διαχείριση της υπερφωσφαταιμίας μεταξύ 80 ασθενών υπό </w:t>
      </w:r>
      <w:r w:rsidR="00FE3796">
        <w:rPr>
          <w:rFonts w:cs="Times-Roman"/>
          <w:sz w:val="24"/>
          <w:szCs w:val="24"/>
        </w:rPr>
        <w:t>αιμοκάθαρση</w:t>
      </w:r>
      <w:r w:rsidR="00E26356" w:rsidRPr="005A464E">
        <w:rPr>
          <w:rFonts w:cs="Times-Roman"/>
          <w:sz w:val="24"/>
          <w:szCs w:val="24"/>
        </w:rPr>
        <w:t xml:space="preserve">. Οι 40 ασθενείς που ανήκαν στην ομάδα παρέμβασης </w:t>
      </w:r>
      <w:r w:rsidR="00957ACA" w:rsidRPr="005A464E">
        <w:rPr>
          <w:rFonts w:cs="Times-Roman"/>
          <w:sz w:val="24"/>
          <w:szCs w:val="24"/>
        </w:rPr>
        <w:t>έ</w:t>
      </w:r>
      <w:r w:rsidR="00E26356" w:rsidRPr="005A464E">
        <w:rPr>
          <w:rFonts w:cs="Times-Roman"/>
          <w:sz w:val="24"/>
          <w:szCs w:val="24"/>
        </w:rPr>
        <w:t>λαβαν εξατομικ</w:t>
      </w:r>
      <w:r w:rsidR="007B0920">
        <w:rPr>
          <w:rFonts w:cs="Times-Roman"/>
          <w:sz w:val="24"/>
          <w:szCs w:val="24"/>
        </w:rPr>
        <w:t>ευμένη εκπαίδευση σχετικά με τη</w:t>
      </w:r>
      <w:r w:rsidR="00E26356" w:rsidRPr="005A464E">
        <w:rPr>
          <w:rFonts w:cs="Times-Roman"/>
          <w:sz w:val="24"/>
          <w:szCs w:val="24"/>
        </w:rPr>
        <w:t xml:space="preserve"> </w:t>
      </w:r>
      <w:r w:rsidR="00E26356" w:rsidRPr="00886C7F">
        <w:rPr>
          <w:rFonts w:cs="Times-Roman"/>
          <w:sz w:val="24"/>
          <w:szCs w:val="24"/>
        </w:rPr>
        <w:t xml:space="preserve">δίαιτα και </w:t>
      </w:r>
      <w:r w:rsidR="00FE3796" w:rsidRPr="00886C7F">
        <w:rPr>
          <w:rFonts w:cs="Times-Roman"/>
          <w:sz w:val="24"/>
          <w:szCs w:val="24"/>
        </w:rPr>
        <w:t>τη</w:t>
      </w:r>
      <w:r w:rsidR="00E26356" w:rsidRPr="00886C7F">
        <w:rPr>
          <w:rFonts w:cs="Times-Roman"/>
          <w:sz w:val="24"/>
          <w:szCs w:val="24"/>
        </w:rPr>
        <w:t xml:space="preserve"> φαρμακευτική αγωγή ενώ οι 40 που ανήκαν στην ομάδα ελέγχου </w:t>
      </w:r>
      <w:r w:rsidR="00957ACA" w:rsidRPr="00886C7F">
        <w:rPr>
          <w:rFonts w:cs="Times-Roman"/>
          <w:sz w:val="24"/>
          <w:szCs w:val="24"/>
        </w:rPr>
        <w:t>έ</w:t>
      </w:r>
      <w:r w:rsidR="00E26356" w:rsidRPr="00886C7F">
        <w:rPr>
          <w:rFonts w:cs="Times-Roman"/>
          <w:sz w:val="24"/>
          <w:szCs w:val="24"/>
        </w:rPr>
        <w:t xml:space="preserve">λαβαν τον οδηγό ρουτίνας. Προέκυψε στατιστικά σημαντική διαφορά μεταξύ των </w:t>
      </w:r>
      <w:r w:rsidR="00BA566F" w:rsidRPr="00886C7F">
        <w:rPr>
          <w:rFonts w:cs="Times-Roman"/>
          <w:sz w:val="24"/>
          <w:szCs w:val="24"/>
        </w:rPr>
        <w:t xml:space="preserve">δύο </w:t>
      </w:r>
      <w:r w:rsidR="00E26356" w:rsidRPr="00886C7F">
        <w:rPr>
          <w:rFonts w:cs="Times-Roman"/>
          <w:sz w:val="24"/>
          <w:szCs w:val="24"/>
        </w:rPr>
        <w:t>ομάδων</w:t>
      </w:r>
      <w:r w:rsidR="00957ACA" w:rsidRPr="00886C7F">
        <w:rPr>
          <w:rFonts w:cs="Times-Roman"/>
          <w:sz w:val="24"/>
          <w:szCs w:val="24"/>
        </w:rPr>
        <w:t xml:space="preserve">. </w:t>
      </w:r>
      <w:r w:rsidR="00A17C54" w:rsidRPr="00886C7F">
        <w:rPr>
          <w:rFonts w:cs="Times-Roman"/>
          <w:sz w:val="24"/>
          <w:szCs w:val="24"/>
        </w:rPr>
        <w:t>Συγκεκριμένα</w:t>
      </w:r>
      <w:r w:rsidR="00957ACA" w:rsidRPr="00886C7F">
        <w:rPr>
          <w:rFonts w:cs="Times-Roman"/>
          <w:sz w:val="24"/>
          <w:szCs w:val="24"/>
        </w:rPr>
        <w:t>,</w:t>
      </w:r>
      <w:r w:rsidR="00E26356" w:rsidRPr="00886C7F">
        <w:rPr>
          <w:rFonts w:cs="Times-Roman"/>
          <w:sz w:val="24"/>
          <w:szCs w:val="24"/>
        </w:rPr>
        <w:t xml:space="preserve"> μείωση των επιπέδων φωσφόρου</w:t>
      </w:r>
      <w:r w:rsidR="00957ACA" w:rsidRPr="00886C7F">
        <w:rPr>
          <w:rFonts w:cs="Times-Roman"/>
          <w:sz w:val="24"/>
          <w:szCs w:val="24"/>
        </w:rPr>
        <w:t xml:space="preserve"> παρατηρήθηκε στην ομάδα </w:t>
      </w:r>
      <w:r w:rsidR="00A17C54" w:rsidRPr="00886C7F">
        <w:rPr>
          <w:rFonts w:cs="Times-Roman"/>
          <w:sz w:val="24"/>
          <w:szCs w:val="24"/>
        </w:rPr>
        <w:t>παρέμβασης</w:t>
      </w:r>
      <w:r w:rsidR="00E26356" w:rsidRPr="00886C7F">
        <w:rPr>
          <w:rFonts w:cs="Times-Roman"/>
          <w:sz w:val="24"/>
          <w:szCs w:val="24"/>
        </w:rPr>
        <w:t xml:space="preserve"> ενώ αύξηση των επιπέδων ασβεστίου παρατηρήθηκε και στις </w:t>
      </w:r>
      <w:r w:rsidR="00BA566F" w:rsidRPr="00886C7F">
        <w:rPr>
          <w:rFonts w:cs="Times-Roman"/>
          <w:sz w:val="24"/>
          <w:szCs w:val="24"/>
        </w:rPr>
        <w:t xml:space="preserve">δύο </w:t>
      </w:r>
      <w:r w:rsidR="00E26356" w:rsidRPr="00886C7F">
        <w:rPr>
          <w:rFonts w:cs="Times-Roman"/>
          <w:sz w:val="24"/>
          <w:szCs w:val="24"/>
        </w:rPr>
        <w:t>ομάδες.</w:t>
      </w:r>
    </w:p>
    <w:p w:rsidR="00A46723" w:rsidRPr="005A464E" w:rsidRDefault="000A7F32" w:rsidP="005A464E">
      <w:pPr>
        <w:autoSpaceDE w:val="0"/>
        <w:autoSpaceDN w:val="0"/>
        <w:adjustRightInd w:val="0"/>
        <w:spacing w:after="0" w:line="360" w:lineRule="auto"/>
        <w:jc w:val="both"/>
        <w:rPr>
          <w:rFonts w:cs="Times-Roman"/>
          <w:sz w:val="24"/>
          <w:szCs w:val="24"/>
        </w:rPr>
      </w:pPr>
      <w:r w:rsidRPr="00886C7F">
        <w:rPr>
          <w:rFonts w:cs="Times-Roman"/>
          <w:sz w:val="24"/>
          <w:szCs w:val="24"/>
        </w:rPr>
        <w:t>Σε μι</w:t>
      </w:r>
      <w:r w:rsidR="00A46723" w:rsidRPr="00886C7F">
        <w:rPr>
          <w:rFonts w:cs="Times-Roman"/>
          <w:sz w:val="24"/>
          <w:szCs w:val="24"/>
        </w:rPr>
        <w:t>α άλλη μελέτη αξιολογήθηκε η αποτελεσματικότητα ενός εκπαιδευτικού προγράμματος 30</w:t>
      </w:r>
      <w:r w:rsidR="00FE3796" w:rsidRPr="00886C7F">
        <w:rPr>
          <w:rFonts w:cs="Times-Roman"/>
          <w:sz w:val="24"/>
          <w:szCs w:val="24"/>
        </w:rPr>
        <w:t xml:space="preserve"> λεπτών </w:t>
      </w:r>
      <w:r w:rsidR="00A46723" w:rsidRPr="00886C7F">
        <w:rPr>
          <w:rFonts w:cs="Times-Roman"/>
          <w:sz w:val="24"/>
          <w:szCs w:val="24"/>
        </w:rPr>
        <w:t>από διαιτολόγο σχετικά με τον φ</w:t>
      </w:r>
      <w:r w:rsidR="00FE3796" w:rsidRPr="00886C7F">
        <w:rPr>
          <w:rFonts w:cs="Times-Roman"/>
          <w:sz w:val="24"/>
          <w:szCs w:val="24"/>
        </w:rPr>
        <w:t>ωσφό</w:t>
      </w:r>
      <w:r w:rsidR="00A46723" w:rsidRPr="00886C7F">
        <w:rPr>
          <w:rFonts w:cs="Times-Roman"/>
          <w:sz w:val="24"/>
          <w:szCs w:val="24"/>
        </w:rPr>
        <w:t xml:space="preserve">ρο σε δείγμα 21 ασθενών υπό </w:t>
      </w:r>
      <w:r w:rsidR="00FE3796" w:rsidRPr="00886C7F">
        <w:rPr>
          <w:rFonts w:cs="Times-Roman"/>
          <w:sz w:val="24"/>
          <w:szCs w:val="24"/>
        </w:rPr>
        <w:t>αιμοκάθαρση.</w:t>
      </w:r>
      <w:r w:rsidR="00A46723" w:rsidRPr="00886C7F">
        <w:rPr>
          <w:rFonts w:cs="Times-Roman"/>
          <w:sz w:val="24"/>
          <w:szCs w:val="24"/>
        </w:rPr>
        <w:t xml:space="preserve"> Οι ασθενείς έλαβαν και έντυπο ενημερωτικό φυλλάδιο. Το επίπεδο γνώσης και συμμόρφωση</w:t>
      </w:r>
      <w:r w:rsidRPr="00886C7F">
        <w:rPr>
          <w:rFonts w:cs="Times-Roman"/>
          <w:sz w:val="24"/>
          <w:szCs w:val="24"/>
        </w:rPr>
        <w:t xml:space="preserve">ς αξιολογήθηκε </w:t>
      </w:r>
      <w:r w:rsidR="005F478F" w:rsidRPr="00886C7F">
        <w:rPr>
          <w:rFonts w:cs="Times-Roman"/>
          <w:sz w:val="24"/>
          <w:szCs w:val="24"/>
        </w:rPr>
        <w:t>6</w:t>
      </w:r>
      <w:r w:rsidR="00B1306F" w:rsidRPr="00886C7F">
        <w:rPr>
          <w:rFonts w:cs="Times-Roman"/>
          <w:sz w:val="24"/>
          <w:szCs w:val="24"/>
        </w:rPr>
        <w:t xml:space="preserve"> εβδομάδες μετά.</w:t>
      </w:r>
      <w:r w:rsidR="00521498" w:rsidRPr="00886C7F">
        <w:rPr>
          <w:rFonts w:cs="Times-Roman"/>
          <w:sz w:val="24"/>
          <w:szCs w:val="24"/>
        </w:rPr>
        <w:t xml:space="preserve"> </w:t>
      </w:r>
      <w:r w:rsidR="00B1306F" w:rsidRPr="00886C7F">
        <w:rPr>
          <w:rFonts w:cs="Times-Roman"/>
          <w:sz w:val="24"/>
          <w:szCs w:val="24"/>
        </w:rPr>
        <w:t>Δ</w:t>
      </w:r>
      <w:r w:rsidR="00A46723" w:rsidRPr="00886C7F">
        <w:rPr>
          <w:rFonts w:cs="Times-Roman"/>
          <w:sz w:val="24"/>
          <w:szCs w:val="24"/>
        </w:rPr>
        <w:t xml:space="preserve">εν </w:t>
      </w:r>
      <w:r w:rsidR="00A17C54" w:rsidRPr="00886C7F">
        <w:rPr>
          <w:rFonts w:cs="Times-Roman"/>
          <w:sz w:val="24"/>
          <w:szCs w:val="24"/>
        </w:rPr>
        <w:t>παρατηρήθηκε</w:t>
      </w:r>
      <w:r w:rsidR="00A46723" w:rsidRPr="00886C7F">
        <w:rPr>
          <w:rFonts w:cs="Times-Roman"/>
          <w:sz w:val="24"/>
          <w:szCs w:val="24"/>
        </w:rPr>
        <w:t xml:space="preserve"> καμία αύξηση στις</w:t>
      </w:r>
      <w:r w:rsidR="00B1306F" w:rsidRPr="00886C7F">
        <w:rPr>
          <w:rFonts w:cs="Times-Roman"/>
          <w:sz w:val="24"/>
          <w:szCs w:val="24"/>
        </w:rPr>
        <w:t xml:space="preserve"> </w:t>
      </w:r>
      <w:r w:rsidR="00BA566F" w:rsidRPr="00886C7F">
        <w:rPr>
          <w:rFonts w:cs="Times-Roman"/>
          <w:sz w:val="24"/>
          <w:szCs w:val="24"/>
        </w:rPr>
        <w:t xml:space="preserve">δύο </w:t>
      </w:r>
      <w:r w:rsidR="00B1306F" w:rsidRPr="00886C7F">
        <w:rPr>
          <w:rFonts w:cs="Times-Roman"/>
          <w:sz w:val="24"/>
          <w:szCs w:val="24"/>
        </w:rPr>
        <w:t>μεταβλητές για τους ασθενείς. Στην ίδια μελέτη συμμετείχαν και 14 ασθενείς υπό περιτοναϊκή κάθαρση. Για τους ασθενείς, υπό περιτοναϊκή κάθαρση παρατηρήθηκε αύ</w:t>
      </w:r>
      <w:r w:rsidR="00902B52" w:rsidRPr="00886C7F">
        <w:rPr>
          <w:rFonts w:cs="Times-Roman"/>
          <w:sz w:val="24"/>
          <w:szCs w:val="24"/>
        </w:rPr>
        <w:t>ξη</w:t>
      </w:r>
      <w:r w:rsidR="00B1306F" w:rsidRPr="00886C7F">
        <w:rPr>
          <w:rFonts w:cs="Times-Roman"/>
          <w:sz w:val="24"/>
          <w:szCs w:val="24"/>
        </w:rPr>
        <w:t>ση του επιπέδου γνώσεων και</w:t>
      </w:r>
      <w:r w:rsidR="00FE3796" w:rsidRPr="00886C7F">
        <w:rPr>
          <w:rFonts w:cs="Times-Roman"/>
          <w:sz w:val="24"/>
          <w:szCs w:val="24"/>
        </w:rPr>
        <w:t xml:space="preserve"> συμμόρφωσης σχετικά με το</w:t>
      </w:r>
      <w:r w:rsidR="00C912D7" w:rsidRPr="00886C7F">
        <w:rPr>
          <w:rFonts w:cs="Times-Roman"/>
          <w:sz w:val="24"/>
          <w:szCs w:val="24"/>
        </w:rPr>
        <w:t>ν</w:t>
      </w:r>
      <w:r w:rsidR="00FE3796" w:rsidRPr="00886C7F">
        <w:rPr>
          <w:rFonts w:cs="Times-Roman"/>
          <w:sz w:val="24"/>
          <w:szCs w:val="24"/>
        </w:rPr>
        <w:t xml:space="preserve"> φωσφό</w:t>
      </w:r>
      <w:r w:rsidR="00B1306F" w:rsidRPr="00886C7F">
        <w:rPr>
          <w:rFonts w:cs="Times-Roman"/>
          <w:sz w:val="24"/>
          <w:szCs w:val="24"/>
        </w:rPr>
        <w:t>ρο.</w:t>
      </w:r>
      <w:r w:rsidR="000310DD" w:rsidRPr="00886C7F">
        <w:rPr>
          <w:rFonts w:cs="Times-Roman"/>
          <w:sz w:val="24"/>
          <w:szCs w:val="24"/>
        </w:rPr>
        <w:t xml:space="preserve"> </w:t>
      </w:r>
      <w:r w:rsidR="00B1306F" w:rsidRPr="00886C7F">
        <w:rPr>
          <w:rFonts w:cs="Times-Roman"/>
          <w:sz w:val="24"/>
          <w:szCs w:val="24"/>
        </w:rPr>
        <w:t>Οι ασθενείς υπό πε</w:t>
      </w:r>
      <w:r w:rsidR="00B1306F" w:rsidRPr="005A464E">
        <w:rPr>
          <w:rFonts w:cs="Times-Roman"/>
          <w:sz w:val="24"/>
          <w:szCs w:val="24"/>
        </w:rPr>
        <w:t>ριτοναϊκή κάθαρση εκπαιδεύτηκαν ατομικά από νοσηλεύτρια κατά την επίσκεψή τους στην κλινική και όχι κατά τη διάρκεια της νοσηλείας</w:t>
      </w:r>
      <w:r w:rsidR="00583163">
        <w:rPr>
          <w:rFonts w:cs="Times-Roman"/>
          <w:sz w:val="24"/>
          <w:szCs w:val="24"/>
        </w:rPr>
        <w:t xml:space="preserve"> </w:t>
      </w:r>
      <w:r w:rsidR="00583163" w:rsidRPr="005A464E">
        <w:rPr>
          <w:rFonts w:cs="Times-Roman"/>
          <w:sz w:val="24"/>
          <w:szCs w:val="24"/>
        </w:rPr>
        <w:t>(</w:t>
      </w:r>
      <w:r w:rsidR="00583163" w:rsidRPr="005A464E">
        <w:rPr>
          <w:rFonts w:cs="Times-Roman"/>
          <w:sz w:val="24"/>
          <w:szCs w:val="24"/>
          <w:lang w:val="en-US"/>
        </w:rPr>
        <w:t>Prowant</w:t>
      </w:r>
      <w:r w:rsidR="00583163" w:rsidRPr="005A464E">
        <w:rPr>
          <w:rFonts w:cs="Times-Roman"/>
          <w:sz w:val="24"/>
          <w:szCs w:val="24"/>
        </w:rPr>
        <w:t xml:space="preserve"> </w:t>
      </w:r>
      <w:r w:rsidR="00583163">
        <w:rPr>
          <w:rFonts w:cs="Times-Roman"/>
          <w:sz w:val="24"/>
          <w:szCs w:val="24"/>
        </w:rPr>
        <w:t>et al</w:t>
      </w:r>
      <w:r w:rsidR="00E57FFC">
        <w:rPr>
          <w:rFonts w:cs="Times-Roman"/>
          <w:sz w:val="24"/>
          <w:szCs w:val="24"/>
        </w:rPr>
        <w:t>.</w:t>
      </w:r>
      <w:r w:rsidR="00533701" w:rsidRPr="00533701">
        <w:rPr>
          <w:rFonts w:cs="Times-Roman"/>
          <w:sz w:val="24"/>
          <w:szCs w:val="24"/>
        </w:rPr>
        <w:t>,</w:t>
      </w:r>
      <w:r w:rsidR="00E57FFC">
        <w:rPr>
          <w:rFonts w:cs="Times-Roman"/>
          <w:sz w:val="24"/>
          <w:szCs w:val="24"/>
        </w:rPr>
        <w:t xml:space="preserve"> </w:t>
      </w:r>
      <w:r w:rsidR="00583163" w:rsidRPr="005A464E">
        <w:rPr>
          <w:rFonts w:cs="Times-Roman"/>
          <w:sz w:val="24"/>
          <w:szCs w:val="24"/>
        </w:rPr>
        <w:t>1989)</w:t>
      </w:r>
      <w:r w:rsidR="00B1306F" w:rsidRPr="005A464E">
        <w:rPr>
          <w:rFonts w:cs="Times-Roman"/>
          <w:sz w:val="24"/>
          <w:szCs w:val="24"/>
        </w:rPr>
        <w:t>.</w:t>
      </w:r>
    </w:p>
    <w:p w:rsidR="005E3ED0" w:rsidRPr="005A464E" w:rsidRDefault="005E3ED0" w:rsidP="005A464E">
      <w:pPr>
        <w:spacing w:line="360" w:lineRule="auto"/>
        <w:jc w:val="both"/>
        <w:rPr>
          <w:rStyle w:val="element-citation"/>
          <w:rFonts w:cs="Arial"/>
          <w:sz w:val="24"/>
          <w:szCs w:val="24"/>
        </w:rPr>
      </w:pPr>
    </w:p>
    <w:p w:rsidR="008F7365" w:rsidRPr="005A464E" w:rsidRDefault="008F7365" w:rsidP="005A464E">
      <w:pPr>
        <w:spacing w:line="360" w:lineRule="auto"/>
        <w:jc w:val="both"/>
        <w:rPr>
          <w:sz w:val="24"/>
          <w:szCs w:val="24"/>
          <w:lang w:eastAsia="el-GR"/>
        </w:rPr>
      </w:pPr>
    </w:p>
    <w:p w:rsidR="00E57FFC" w:rsidRDefault="00E57FFC" w:rsidP="005A464E">
      <w:pPr>
        <w:pStyle w:val="1a"/>
        <w:spacing w:line="360" w:lineRule="auto"/>
        <w:rPr>
          <w:rFonts w:asciiTheme="minorHAnsi" w:hAnsiTheme="minorHAnsi"/>
          <w:lang w:eastAsia="el-GR"/>
        </w:rPr>
      </w:pPr>
    </w:p>
    <w:p w:rsidR="00E57FFC" w:rsidRDefault="00E57FFC" w:rsidP="005A464E">
      <w:pPr>
        <w:pStyle w:val="1a"/>
        <w:spacing w:line="360" w:lineRule="auto"/>
        <w:rPr>
          <w:rFonts w:asciiTheme="minorHAnsi" w:hAnsiTheme="minorHAnsi"/>
          <w:lang w:eastAsia="el-GR"/>
        </w:rPr>
      </w:pPr>
    </w:p>
    <w:p w:rsidR="00E57FFC" w:rsidRDefault="00E57FFC" w:rsidP="005A464E">
      <w:pPr>
        <w:pStyle w:val="1a"/>
        <w:spacing w:line="360" w:lineRule="auto"/>
        <w:rPr>
          <w:rFonts w:asciiTheme="minorHAnsi" w:hAnsiTheme="minorHAnsi"/>
          <w:lang w:eastAsia="el-GR"/>
        </w:rPr>
      </w:pPr>
    </w:p>
    <w:p w:rsidR="00E57FFC" w:rsidRDefault="00E57FFC" w:rsidP="005A464E">
      <w:pPr>
        <w:pStyle w:val="1a"/>
        <w:spacing w:line="360" w:lineRule="auto"/>
        <w:rPr>
          <w:rFonts w:asciiTheme="minorHAnsi" w:hAnsiTheme="minorHAnsi"/>
          <w:lang w:eastAsia="el-GR"/>
        </w:rPr>
      </w:pPr>
    </w:p>
    <w:p w:rsidR="007A635C" w:rsidRDefault="007A635C" w:rsidP="000A7F32">
      <w:pPr>
        <w:pStyle w:val="1a"/>
        <w:spacing w:line="360" w:lineRule="auto"/>
        <w:rPr>
          <w:rFonts w:asciiTheme="minorHAnsi" w:hAnsiTheme="minorHAnsi"/>
          <w:lang w:eastAsia="el-GR"/>
        </w:rPr>
      </w:pPr>
    </w:p>
    <w:p w:rsidR="00BC19A9" w:rsidRDefault="00BC19A9" w:rsidP="00BC19A9">
      <w:pPr>
        <w:pStyle w:val="1a"/>
        <w:spacing w:line="360" w:lineRule="auto"/>
        <w:rPr>
          <w:rFonts w:ascii="Calibri" w:eastAsia="Calibri" w:hAnsi="Calibri"/>
          <w:b w:val="0"/>
          <w:bCs w:val="0"/>
          <w:color w:val="auto"/>
          <w:sz w:val="22"/>
          <w:szCs w:val="22"/>
          <w:lang w:eastAsia="el-GR"/>
        </w:rPr>
      </w:pPr>
    </w:p>
    <w:p w:rsidR="00152300" w:rsidRPr="005A464E" w:rsidRDefault="00626455" w:rsidP="00BC19A9">
      <w:pPr>
        <w:pStyle w:val="1a"/>
        <w:spacing w:line="360" w:lineRule="auto"/>
        <w:jc w:val="center"/>
        <w:rPr>
          <w:rFonts w:asciiTheme="minorHAnsi" w:hAnsiTheme="minorHAnsi"/>
          <w:lang w:eastAsia="el-GR"/>
        </w:rPr>
      </w:pPr>
      <w:bookmarkStart w:id="65" w:name="_Toc495951460"/>
      <w:r w:rsidRPr="005A464E">
        <w:rPr>
          <w:rFonts w:asciiTheme="minorHAnsi" w:hAnsiTheme="minorHAnsi"/>
          <w:lang w:eastAsia="el-GR"/>
        </w:rPr>
        <w:t>ΕΙΔΙΚΟΜΕΡΟΣ</w:t>
      </w:r>
      <w:bookmarkEnd w:id="65"/>
    </w:p>
    <w:p w:rsidR="00521498" w:rsidRDefault="00521498" w:rsidP="005A464E">
      <w:pPr>
        <w:spacing w:line="360" w:lineRule="auto"/>
        <w:jc w:val="both"/>
        <w:rPr>
          <w:b/>
          <w:sz w:val="24"/>
          <w:szCs w:val="24"/>
          <w:lang w:eastAsia="el-GR"/>
        </w:rPr>
      </w:pPr>
    </w:p>
    <w:p w:rsidR="00E57FFC" w:rsidRDefault="00E57FFC" w:rsidP="005A464E">
      <w:pPr>
        <w:spacing w:line="360" w:lineRule="auto"/>
        <w:jc w:val="both"/>
        <w:rPr>
          <w:b/>
          <w:sz w:val="24"/>
          <w:szCs w:val="24"/>
          <w:lang w:eastAsia="el-GR"/>
        </w:rPr>
      </w:pPr>
    </w:p>
    <w:p w:rsidR="00E57FFC" w:rsidRDefault="00E57FFC" w:rsidP="005A464E">
      <w:pPr>
        <w:spacing w:line="360" w:lineRule="auto"/>
        <w:jc w:val="both"/>
        <w:rPr>
          <w:b/>
          <w:sz w:val="24"/>
          <w:szCs w:val="24"/>
          <w:lang w:eastAsia="el-GR"/>
        </w:rPr>
      </w:pPr>
    </w:p>
    <w:p w:rsidR="00E57FFC" w:rsidRDefault="00E57FFC" w:rsidP="005A464E">
      <w:pPr>
        <w:spacing w:line="360" w:lineRule="auto"/>
        <w:jc w:val="both"/>
        <w:rPr>
          <w:b/>
          <w:sz w:val="24"/>
          <w:szCs w:val="24"/>
          <w:lang w:eastAsia="el-GR"/>
        </w:rPr>
      </w:pPr>
    </w:p>
    <w:p w:rsidR="00E57FFC" w:rsidRDefault="00E57FFC" w:rsidP="005A464E">
      <w:pPr>
        <w:spacing w:line="360" w:lineRule="auto"/>
        <w:jc w:val="both"/>
        <w:rPr>
          <w:b/>
          <w:sz w:val="24"/>
          <w:szCs w:val="24"/>
          <w:lang w:eastAsia="el-GR"/>
        </w:rPr>
      </w:pPr>
    </w:p>
    <w:p w:rsidR="00E57FFC" w:rsidRDefault="00E57FFC" w:rsidP="005A464E">
      <w:pPr>
        <w:spacing w:line="360" w:lineRule="auto"/>
        <w:jc w:val="both"/>
        <w:rPr>
          <w:b/>
          <w:sz w:val="24"/>
          <w:szCs w:val="24"/>
          <w:lang w:eastAsia="el-GR"/>
        </w:rPr>
      </w:pPr>
    </w:p>
    <w:p w:rsidR="007A635C" w:rsidRDefault="007A635C" w:rsidP="005A464E">
      <w:pPr>
        <w:spacing w:line="360" w:lineRule="auto"/>
        <w:jc w:val="both"/>
        <w:rPr>
          <w:b/>
          <w:sz w:val="24"/>
          <w:szCs w:val="24"/>
          <w:lang w:eastAsia="el-GR"/>
        </w:rPr>
      </w:pPr>
    </w:p>
    <w:p w:rsidR="007A635C" w:rsidRDefault="007A635C" w:rsidP="005A464E">
      <w:pPr>
        <w:spacing w:line="360" w:lineRule="auto"/>
        <w:jc w:val="both"/>
        <w:rPr>
          <w:b/>
          <w:sz w:val="24"/>
          <w:szCs w:val="24"/>
          <w:lang w:eastAsia="el-GR"/>
        </w:rPr>
      </w:pPr>
    </w:p>
    <w:p w:rsidR="007A635C" w:rsidRPr="007A635C" w:rsidRDefault="007A635C" w:rsidP="005A464E">
      <w:pPr>
        <w:spacing w:line="360" w:lineRule="auto"/>
        <w:jc w:val="both"/>
        <w:rPr>
          <w:b/>
          <w:sz w:val="24"/>
          <w:szCs w:val="24"/>
          <w:lang w:eastAsia="el-GR"/>
        </w:rPr>
      </w:pPr>
    </w:p>
    <w:p w:rsidR="00A93BDA" w:rsidRPr="00DB6A65" w:rsidRDefault="00CD50AB" w:rsidP="00CD50AB">
      <w:pPr>
        <w:pStyle w:val="1a"/>
        <w:rPr>
          <w:rFonts w:asciiTheme="minorHAnsi" w:hAnsiTheme="minorHAnsi" w:cstheme="minorHAnsi"/>
          <w:lang w:eastAsia="el-GR"/>
        </w:rPr>
      </w:pPr>
      <w:bookmarkStart w:id="66" w:name="_Toc495951461"/>
      <w:r w:rsidRPr="00DB6A65">
        <w:rPr>
          <w:rFonts w:asciiTheme="minorHAnsi" w:hAnsiTheme="minorHAnsi" w:cstheme="minorHAnsi"/>
          <w:lang w:eastAsia="el-GR"/>
        </w:rPr>
        <w:t>6</w:t>
      </w:r>
      <w:r w:rsidR="00A93BDA" w:rsidRPr="00DB6A65">
        <w:rPr>
          <w:rFonts w:asciiTheme="minorHAnsi" w:hAnsiTheme="minorHAnsi" w:cstheme="minorHAnsi"/>
          <w:vertAlign w:val="superscript"/>
          <w:lang w:eastAsia="el-GR"/>
        </w:rPr>
        <w:t>ο</w:t>
      </w:r>
      <w:r w:rsidR="00A93BDA" w:rsidRPr="00DB6A65">
        <w:rPr>
          <w:rFonts w:asciiTheme="minorHAnsi" w:hAnsiTheme="minorHAnsi" w:cstheme="minorHAnsi"/>
          <w:lang w:eastAsia="el-GR"/>
        </w:rPr>
        <w:t xml:space="preserve">  </w:t>
      </w:r>
      <w:r w:rsidR="007A635C" w:rsidRPr="00DB6A65">
        <w:rPr>
          <w:rFonts w:asciiTheme="minorHAnsi" w:hAnsiTheme="minorHAnsi" w:cstheme="minorHAnsi"/>
          <w:lang w:eastAsia="el-GR"/>
        </w:rPr>
        <w:t>ΚΕΦΑΛΑΙΟ</w:t>
      </w:r>
      <w:bookmarkEnd w:id="66"/>
    </w:p>
    <w:p w:rsidR="001271AB" w:rsidRPr="00A93BDA" w:rsidRDefault="00A93BDA" w:rsidP="0066526D">
      <w:pPr>
        <w:pStyle w:val="25"/>
        <w:numPr>
          <w:ilvl w:val="1"/>
          <w:numId w:val="113"/>
        </w:numPr>
        <w:rPr>
          <w:rFonts w:ascii="Calibri" w:hAnsi="Calibri" w:cs="Calibri"/>
        </w:rPr>
      </w:pPr>
      <w:bookmarkStart w:id="67" w:name="_Toc495951462"/>
      <w:r>
        <w:rPr>
          <w:rFonts w:ascii="Calibri" w:hAnsi="Calibri" w:cs="Calibri"/>
        </w:rPr>
        <w:t>Σκοπό</w:t>
      </w:r>
      <w:r w:rsidRPr="00A93BDA">
        <w:rPr>
          <w:rFonts w:ascii="Calibri" w:hAnsi="Calibri" w:cs="Calibri"/>
        </w:rPr>
        <w:t>ς</w:t>
      </w:r>
      <w:bookmarkEnd w:id="67"/>
    </w:p>
    <w:p w:rsidR="007A635C" w:rsidRPr="007A635C" w:rsidRDefault="007A635C" w:rsidP="007A635C">
      <w:pPr>
        <w:rPr>
          <w:lang w:eastAsia="el-GR"/>
        </w:rPr>
      </w:pPr>
    </w:p>
    <w:p w:rsidR="00521498" w:rsidRPr="005A464E" w:rsidRDefault="001271AB" w:rsidP="005A464E">
      <w:pPr>
        <w:spacing w:line="360" w:lineRule="auto"/>
        <w:jc w:val="both"/>
        <w:rPr>
          <w:sz w:val="24"/>
          <w:szCs w:val="24"/>
          <w:lang w:eastAsia="el-GR"/>
        </w:rPr>
      </w:pPr>
      <w:r w:rsidRPr="005A464E">
        <w:rPr>
          <w:sz w:val="24"/>
          <w:szCs w:val="24"/>
          <w:lang w:eastAsia="el-GR"/>
        </w:rPr>
        <w:t>Σκοπός της μελέτης ήταν να αξιολογ</w:t>
      </w:r>
      <w:r w:rsidR="00DE17D6" w:rsidRPr="005A464E">
        <w:rPr>
          <w:sz w:val="24"/>
          <w:szCs w:val="24"/>
          <w:lang w:eastAsia="el-GR"/>
        </w:rPr>
        <w:t>ηθεί η συμβολή της συμβουλευτικής νοσηλευτικής</w:t>
      </w:r>
      <w:r w:rsidRPr="005A464E">
        <w:rPr>
          <w:sz w:val="24"/>
          <w:szCs w:val="24"/>
          <w:lang w:eastAsia="el-GR"/>
        </w:rPr>
        <w:t xml:space="preserve"> στην μεταβολή του επιπέδου γνώσεων, ποιότητας ζωής και συμμόρφωσης ασθενών υπό αιμοκάθαρση στο θεραπευτικό σχήμα.</w:t>
      </w:r>
    </w:p>
    <w:p w:rsidR="001271AB" w:rsidRPr="005A464E" w:rsidRDefault="001271AB" w:rsidP="005A464E">
      <w:pPr>
        <w:spacing w:line="360" w:lineRule="auto"/>
        <w:jc w:val="both"/>
        <w:rPr>
          <w:b/>
          <w:sz w:val="24"/>
          <w:szCs w:val="24"/>
          <w:lang w:eastAsia="el-GR"/>
        </w:rPr>
      </w:pPr>
      <w:r w:rsidRPr="005A464E">
        <w:rPr>
          <w:b/>
          <w:sz w:val="32"/>
          <w:szCs w:val="24"/>
          <w:lang w:eastAsia="el-GR"/>
        </w:rPr>
        <w:t>Ε</w:t>
      </w:r>
      <w:r w:rsidRPr="005A464E">
        <w:rPr>
          <w:b/>
          <w:sz w:val="24"/>
          <w:szCs w:val="24"/>
          <w:lang w:eastAsia="el-GR"/>
        </w:rPr>
        <w:t>ΠΙΜΕΡΟΥΣ ΣΤΟΧΟΙ</w:t>
      </w:r>
    </w:p>
    <w:p w:rsidR="00521498" w:rsidRPr="00886C7F" w:rsidRDefault="00DF4830" w:rsidP="00DB466F">
      <w:pPr>
        <w:pStyle w:val="a5"/>
        <w:numPr>
          <w:ilvl w:val="0"/>
          <w:numId w:val="41"/>
        </w:numPr>
        <w:spacing w:line="360" w:lineRule="auto"/>
        <w:jc w:val="both"/>
        <w:rPr>
          <w:sz w:val="24"/>
          <w:szCs w:val="24"/>
          <w:lang w:eastAsia="el-GR"/>
        </w:rPr>
      </w:pPr>
      <w:r w:rsidRPr="00886C7F">
        <w:rPr>
          <w:sz w:val="24"/>
          <w:szCs w:val="24"/>
          <w:lang w:eastAsia="el-GR"/>
        </w:rPr>
        <w:t>Να διερευνηθεί η</w:t>
      </w:r>
      <w:r w:rsidR="00521498" w:rsidRPr="00886C7F">
        <w:rPr>
          <w:sz w:val="24"/>
          <w:szCs w:val="24"/>
          <w:lang w:eastAsia="el-GR"/>
        </w:rPr>
        <w:t xml:space="preserve"> σχέση μεταξύ του επιπέδου γνώσης </w:t>
      </w:r>
      <w:r w:rsidR="00B0560D" w:rsidRPr="00886C7F">
        <w:rPr>
          <w:sz w:val="24"/>
          <w:szCs w:val="24"/>
          <w:lang w:eastAsia="el-GR"/>
        </w:rPr>
        <w:t>του ασθενούς</w:t>
      </w:r>
      <w:r w:rsidR="0078495A" w:rsidRPr="00886C7F">
        <w:rPr>
          <w:sz w:val="24"/>
          <w:szCs w:val="24"/>
          <w:lang w:eastAsia="el-GR"/>
        </w:rPr>
        <w:t xml:space="preserve"> </w:t>
      </w:r>
      <w:r w:rsidR="00521498" w:rsidRPr="00886C7F">
        <w:rPr>
          <w:sz w:val="24"/>
          <w:szCs w:val="24"/>
          <w:lang w:eastAsia="el-GR"/>
        </w:rPr>
        <w:t>σχετικά με τη</w:t>
      </w:r>
      <w:r w:rsidR="000A7F32" w:rsidRPr="00886C7F">
        <w:rPr>
          <w:sz w:val="24"/>
          <w:szCs w:val="24"/>
          <w:lang w:eastAsia="el-GR"/>
        </w:rPr>
        <w:t xml:space="preserve"> </w:t>
      </w:r>
      <w:r w:rsidR="00521498" w:rsidRPr="00886C7F">
        <w:rPr>
          <w:sz w:val="24"/>
          <w:szCs w:val="24"/>
          <w:lang w:eastAsia="el-GR"/>
        </w:rPr>
        <w:t>Χ</w:t>
      </w:r>
      <w:r w:rsidR="00160D7A" w:rsidRPr="00886C7F">
        <w:rPr>
          <w:sz w:val="24"/>
          <w:szCs w:val="24"/>
          <w:lang w:eastAsia="el-GR"/>
        </w:rPr>
        <w:t>Ν</w:t>
      </w:r>
      <w:r w:rsidR="00521498" w:rsidRPr="00886C7F">
        <w:rPr>
          <w:sz w:val="24"/>
          <w:szCs w:val="24"/>
          <w:lang w:eastAsia="el-GR"/>
        </w:rPr>
        <w:t>Ν και τη θεραπευτική αγωγή και του επιπέδου</w:t>
      </w:r>
      <w:r w:rsidR="0078495A" w:rsidRPr="00886C7F">
        <w:rPr>
          <w:sz w:val="24"/>
          <w:szCs w:val="24"/>
          <w:lang w:eastAsia="el-GR"/>
        </w:rPr>
        <w:t xml:space="preserve"> </w:t>
      </w:r>
      <w:r w:rsidR="00521498" w:rsidRPr="00886C7F">
        <w:rPr>
          <w:sz w:val="24"/>
          <w:szCs w:val="24"/>
          <w:lang w:eastAsia="el-GR"/>
        </w:rPr>
        <w:t>συμμόρφωσης</w:t>
      </w:r>
      <w:r w:rsidR="0078495A" w:rsidRPr="00886C7F">
        <w:rPr>
          <w:sz w:val="24"/>
          <w:szCs w:val="24"/>
          <w:lang w:eastAsia="el-GR"/>
        </w:rPr>
        <w:t xml:space="preserve"> </w:t>
      </w:r>
      <w:r w:rsidR="00521498" w:rsidRPr="00886C7F">
        <w:rPr>
          <w:sz w:val="24"/>
          <w:szCs w:val="24"/>
          <w:lang w:eastAsia="el-GR"/>
        </w:rPr>
        <w:t>στις προκαθορισμένες</w:t>
      </w:r>
      <w:r w:rsidR="0078495A" w:rsidRPr="00886C7F">
        <w:rPr>
          <w:sz w:val="24"/>
          <w:szCs w:val="24"/>
          <w:lang w:eastAsia="el-GR"/>
        </w:rPr>
        <w:t xml:space="preserve"> </w:t>
      </w:r>
      <w:r w:rsidR="00521498" w:rsidRPr="00886C7F">
        <w:rPr>
          <w:sz w:val="24"/>
          <w:szCs w:val="24"/>
          <w:lang w:eastAsia="el-GR"/>
        </w:rPr>
        <w:t xml:space="preserve">οδηγίες σε ασθενείς με </w:t>
      </w:r>
      <w:r w:rsidR="00160D7A" w:rsidRPr="00886C7F">
        <w:rPr>
          <w:sz w:val="24"/>
          <w:szCs w:val="24"/>
          <w:lang w:eastAsia="el-GR"/>
        </w:rPr>
        <w:t xml:space="preserve">ΤΣΧΝΝ </w:t>
      </w:r>
      <w:r w:rsidR="00521498" w:rsidRPr="00886C7F">
        <w:rPr>
          <w:sz w:val="24"/>
          <w:szCs w:val="24"/>
          <w:lang w:eastAsia="el-GR"/>
        </w:rPr>
        <w:t>που υποβάλλονται σε αιμοκάθαρση τρεις φορές την εβδομάδα.</w:t>
      </w:r>
    </w:p>
    <w:p w:rsidR="000A7F32" w:rsidRPr="00886C7F" w:rsidRDefault="000A7F32" w:rsidP="000A7F32">
      <w:pPr>
        <w:pStyle w:val="a5"/>
        <w:numPr>
          <w:ilvl w:val="0"/>
          <w:numId w:val="41"/>
        </w:numPr>
        <w:spacing w:line="360" w:lineRule="auto"/>
        <w:jc w:val="both"/>
        <w:rPr>
          <w:sz w:val="24"/>
          <w:szCs w:val="24"/>
          <w:lang w:eastAsia="el-GR"/>
        </w:rPr>
      </w:pPr>
      <w:r w:rsidRPr="00886C7F">
        <w:rPr>
          <w:sz w:val="24"/>
          <w:szCs w:val="24"/>
          <w:lang w:eastAsia="el-GR"/>
        </w:rPr>
        <w:t>Να διερευνηθεί η σχέση μεταξύ του επιπέδου γνώσης του ασθενούς σχετικά με τη ΧΝΝ και τη θεραπευτική αγωγή και του επιπέδου ποιότητας ζωής σε ασθενείς με ΤΣΧΝΝ που υποβάλλονται σε αιμοκάθαρση τρεις φορές την εβδομάδα.</w:t>
      </w:r>
    </w:p>
    <w:p w:rsidR="00521498" w:rsidRPr="00886C7F" w:rsidRDefault="00DF4830" w:rsidP="00DB466F">
      <w:pPr>
        <w:pStyle w:val="a5"/>
        <w:numPr>
          <w:ilvl w:val="0"/>
          <w:numId w:val="41"/>
        </w:numPr>
        <w:spacing w:line="360" w:lineRule="auto"/>
        <w:jc w:val="both"/>
        <w:rPr>
          <w:sz w:val="24"/>
          <w:szCs w:val="24"/>
          <w:lang w:eastAsia="el-GR"/>
        </w:rPr>
      </w:pPr>
      <w:r w:rsidRPr="00886C7F">
        <w:rPr>
          <w:sz w:val="24"/>
          <w:szCs w:val="24"/>
          <w:lang w:eastAsia="el-GR"/>
        </w:rPr>
        <w:t xml:space="preserve">Να διερευνηθεί η </w:t>
      </w:r>
      <w:r w:rsidR="00521498" w:rsidRPr="00886C7F">
        <w:rPr>
          <w:sz w:val="24"/>
          <w:szCs w:val="24"/>
          <w:lang w:eastAsia="el-GR"/>
        </w:rPr>
        <w:t xml:space="preserve"> σχέση μεταξύ του επιπέδου συμμόρφωσης στη</w:t>
      </w:r>
      <w:r w:rsidR="0078495A" w:rsidRPr="00886C7F">
        <w:rPr>
          <w:sz w:val="24"/>
          <w:szCs w:val="24"/>
          <w:lang w:eastAsia="el-GR"/>
        </w:rPr>
        <w:t xml:space="preserve"> </w:t>
      </w:r>
      <w:r w:rsidR="00521498" w:rsidRPr="00886C7F">
        <w:rPr>
          <w:sz w:val="24"/>
          <w:szCs w:val="24"/>
          <w:lang w:eastAsia="el-GR"/>
        </w:rPr>
        <w:t>θεραπευτική αγωγή και του επιπέδου ποιότητας ζ</w:t>
      </w:r>
      <w:r w:rsidRPr="00886C7F">
        <w:rPr>
          <w:sz w:val="24"/>
          <w:szCs w:val="24"/>
          <w:lang w:eastAsia="el-GR"/>
        </w:rPr>
        <w:t>ωής</w:t>
      </w:r>
      <w:r w:rsidR="000A7F32" w:rsidRPr="00886C7F">
        <w:rPr>
          <w:sz w:val="24"/>
          <w:szCs w:val="24"/>
          <w:lang w:eastAsia="el-GR"/>
        </w:rPr>
        <w:t xml:space="preserve"> σε ασθενείς με ΤΣΧΝΝ που υποβάλλονται σε αιμοκάθαρση τρεις φορές την εβδομάδα</w:t>
      </w:r>
      <w:r w:rsidRPr="00886C7F">
        <w:rPr>
          <w:sz w:val="24"/>
          <w:szCs w:val="24"/>
          <w:lang w:eastAsia="el-GR"/>
        </w:rPr>
        <w:t>.</w:t>
      </w:r>
    </w:p>
    <w:p w:rsidR="001271AB" w:rsidRPr="00886C7F" w:rsidRDefault="004F0141" w:rsidP="00EC27F0">
      <w:pPr>
        <w:pStyle w:val="a5"/>
        <w:numPr>
          <w:ilvl w:val="0"/>
          <w:numId w:val="41"/>
        </w:numPr>
        <w:spacing w:line="360" w:lineRule="auto"/>
        <w:jc w:val="both"/>
        <w:rPr>
          <w:sz w:val="24"/>
          <w:szCs w:val="24"/>
          <w:lang w:eastAsia="el-GR"/>
        </w:rPr>
      </w:pPr>
      <w:r w:rsidRPr="00886C7F">
        <w:rPr>
          <w:sz w:val="24"/>
          <w:szCs w:val="24"/>
          <w:lang w:eastAsia="el-GR"/>
        </w:rPr>
        <w:t>Η</w:t>
      </w:r>
      <w:r w:rsidR="007E6F1F" w:rsidRPr="00886C7F">
        <w:rPr>
          <w:sz w:val="24"/>
          <w:szCs w:val="24"/>
          <w:lang w:eastAsia="el-GR"/>
        </w:rPr>
        <w:t xml:space="preserve"> τροποποίηση και προσαρμογή του</w:t>
      </w:r>
      <w:r w:rsidR="001271AB" w:rsidRPr="00886C7F">
        <w:rPr>
          <w:sz w:val="24"/>
          <w:szCs w:val="24"/>
          <w:lang w:eastAsia="el-GR"/>
        </w:rPr>
        <w:t xml:space="preserve"> ερωτηματολογίου</w:t>
      </w:r>
      <w:r w:rsidR="007E6F1F" w:rsidRPr="00886C7F">
        <w:rPr>
          <w:sz w:val="24"/>
          <w:szCs w:val="24"/>
          <w:lang w:eastAsia="el-GR"/>
        </w:rPr>
        <w:t xml:space="preserve"> </w:t>
      </w:r>
      <w:r w:rsidR="007E6F1F" w:rsidRPr="00886C7F">
        <w:rPr>
          <w:sz w:val="24"/>
          <w:szCs w:val="24"/>
          <w:lang w:val="en-US" w:eastAsia="el-GR"/>
        </w:rPr>
        <w:t>GR</w:t>
      </w:r>
      <w:r w:rsidR="007E6F1F" w:rsidRPr="00886C7F">
        <w:rPr>
          <w:sz w:val="24"/>
          <w:szCs w:val="24"/>
          <w:lang w:eastAsia="el-GR"/>
        </w:rPr>
        <w:t>-</w:t>
      </w:r>
      <w:r w:rsidR="007E6F1F" w:rsidRPr="00886C7F">
        <w:rPr>
          <w:sz w:val="24"/>
          <w:szCs w:val="24"/>
          <w:lang w:val="en-US" w:eastAsia="el-GR"/>
        </w:rPr>
        <w:t>S</w:t>
      </w:r>
      <w:r w:rsidR="007F3D72" w:rsidRPr="00886C7F">
        <w:rPr>
          <w:sz w:val="24"/>
          <w:szCs w:val="24"/>
          <w:lang w:val="en-US" w:eastAsia="el-GR"/>
        </w:rPr>
        <w:t>implified</w:t>
      </w:r>
      <w:r w:rsidR="007F3D72" w:rsidRPr="00886C7F">
        <w:rPr>
          <w:sz w:val="24"/>
          <w:szCs w:val="24"/>
          <w:lang w:eastAsia="el-GR"/>
        </w:rPr>
        <w:t xml:space="preserve"> </w:t>
      </w:r>
      <w:r w:rsidR="007E6F1F" w:rsidRPr="00886C7F">
        <w:rPr>
          <w:sz w:val="24"/>
          <w:szCs w:val="24"/>
          <w:lang w:val="en-US" w:eastAsia="el-GR"/>
        </w:rPr>
        <w:t>M</w:t>
      </w:r>
      <w:r w:rsidR="007F3D72" w:rsidRPr="00886C7F">
        <w:rPr>
          <w:sz w:val="24"/>
          <w:szCs w:val="24"/>
          <w:lang w:val="en-US" w:eastAsia="el-GR"/>
        </w:rPr>
        <w:t>edication</w:t>
      </w:r>
      <w:r w:rsidR="007F3D72" w:rsidRPr="00886C7F">
        <w:rPr>
          <w:sz w:val="24"/>
          <w:szCs w:val="24"/>
          <w:lang w:eastAsia="el-GR"/>
        </w:rPr>
        <w:t xml:space="preserve"> </w:t>
      </w:r>
      <w:r w:rsidR="007E6F1F" w:rsidRPr="00886C7F">
        <w:rPr>
          <w:sz w:val="24"/>
          <w:szCs w:val="24"/>
          <w:lang w:val="en-US" w:eastAsia="el-GR"/>
        </w:rPr>
        <w:t>A</w:t>
      </w:r>
      <w:r w:rsidR="007F3D72" w:rsidRPr="00886C7F">
        <w:rPr>
          <w:sz w:val="24"/>
          <w:szCs w:val="24"/>
          <w:lang w:val="en-US" w:eastAsia="el-GR"/>
        </w:rPr>
        <w:t>dherence</w:t>
      </w:r>
      <w:r w:rsidR="007F3D72" w:rsidRPr="00886C7F">
        <w:rPr>
          <w:sz w:val="24"/>
          <w:szCs w:val="24"/>
          <w:lang w:eastAsia="el-GR"/>
        </w:rPr>
        <w:t xml:space="preserve"> </w:t>
      </w:r>
      <w:r w:rsidR="007E6F1F" w:rsidRPr="00886C7F">
        <w:rPr>
          <w:sz w:val="24"/>
          <w:szCs w:val="24"/>
          <w:lang w:val="en-US" w:eastAsia="el-GR"/>
        </w:rPr>
        <w:t>Q</w:t>
      </w:r>
      <w:r w:rsidR="007F3D72" w:rsidRPr="00886C7F">
        <w:rPr>
          <w:sz w:val="24"/>
          <w:szCs w:val="24"/>
          <w:lang w:val="en-US" w:eastAsia="el-GR"/>
        </w:rPr>
        <w:t>uestionnaire</w:t>
      </w:r>
      <w:r w:rsidR="007F3D72" w:rsidRPr="00886C7F">
        <w:rPr>
          <w:sz w:val="24"/>
          <w:szCs w:val="24"/>
          <w:lang w:eastAsia="el-GR"/>
        </w:rPr>
        <w:t xml:space="preserve"> (</w:t>
      </w:r>
      <w:r w:rsidR="007F3D72" w:rsidRPr="00886C7F">
        <w:rPr>
          <w:rFonts w:cstheme="minorHAnsi"/>
          <w:sz w:val="24"/>
          <w:szCs w:val="24"/>
        </w:rPr>
        <w:t>Ελληνικό Απλοποιημένο Ερωτηματολόγιο Συμμόρφωσης στη Φαρμακευτική Αγωγή)</w:t>
      </w:r>
      <w:r w:rsidR="001271AB" w:rsidRPr="00886C7F">
        <w:rPr>
          <w:sz w:val="24"/>
          <w:szCs w:val="24"/>
          <w:lang w:eastAsia="el-GR"/>
        </w:rPr>
        <w:t xml:space="preserve"> </w:t>
      </w:r>
      <w:r w:rsidR="00FD5B0F" w:rsidRPr="00886C7F">
        <w:rPr>
          <w:sz w:val="24"/>
          <w:szCs w:val="24"/>
          <w:lang w:eastAsia="el-GR"/>
        </w:rPr>
        <w:t xml:space="preserve">στον ειδικό πληθυσμό </w:t>
      </w:r>
      <w:r w:rsidR="001271AB" w:rsidRPr="00886C7F">
        <w:rPr>
          <w:sz w:val="24"/>
          <w:szCs w:val="24"/>
          <w:lang w:eastAsia="el-GR"/>
        </w:rPr>
        <w:t>των ασθενών που υποβάλλονται σε αιμοκάθαρση</w:t>
      </w:r>
      <w:r w:rsidR="007E6F1F" w:rsidRPr="00886C7F">
        <w:rPr>
          <w:sz w:val="24"/>
          <w:szCs w:val="24"/>
          <w:lang w:eastAsia="el-GR"/>
        </w:rPr>
        <w:t xml:space="preserve"> καθώς και ο έλεγχος της αξιοπιστίας του.</w:t>
      </w:r>
    </w:p>
    <w:p w:rsidR="001271AB" w:rsidRPr="00886C7F" w:rsidRDefault="004F0141" w:rsidP="00DB466F">
      <w:pPr>
        <w:pStyle w:val="a5"/>
        <w:numPr>
          <w:ilvl w:val="0"/>
          <w:numId w:val="41"/>
        </w:numPr>
        <w:spacing w:line="360" w:lineRule="auto"/>
        <w:jc w:val="both"/>
        <w:rPr>
          <w:sz w:val="24"/>
          <w:szCs w:val="24"/>
          <w:lang w:eastAsia="el-GR"/>
        </w:rPr>
      </w:pPr>
      <w:r w:rsidRPr="00886C7F">
        <w:rPr>
          <w:sz w:val="24"/>
          <w:szCs w:val="24"/>
          <w:lang w:eastAsia="el-GR"/>
        </w:rPr>
        <w:t>Η</w:t>
      </w:r>
      <w:r w:rsidR="001271AB" w:rsidRPr="00886C7F">
        <w:rPr>
          <w:sz w:val="24"/>
          <w:szCs w:val="24"/>
          <w:lang w:eastAsia="el-GR"/>
        </w:rPr>
        <w:t xml:space="preserve"> μετάφραση, πολιτι</w:t>
      </w:r>
      <w:r w:rsidR="007B0920" w:rsidRPr="00886C7F">
        <w:rPr>
          <w:sz w:val="24"/>
          <w:szCs w:val="24"/>
          <w:lang w:eastAsia="el-GR"/>
        </w:rPr>
        <w:t>σμική προσαρμογή και</w:t>
      </w:r>
      <w:r w:rsidR="001271AB" w:rsidRPr="00886C7F">
        <w:rPr>
          <w:sz w:val="24"/>
          <w:szCs w:val="24"/>
          <w:lang w:eastAsia="el-GR"/>
        </w:rPr>
        <w:t xml:space="preserve"> ο έλεγχος της αξιοπιστίας της κλίμακας Κ</w:t>
      </w:r>
      <w:r w:rsidR="001271AB" w:rsidRPr="00886C7F">
        <w:rPr>
          <w:sz w:val="24"/>
          <w:szCs w:val="24"/>
          <w:lang w:val="en-US" w:eastAsia="el-GR"/>
        </w:rPr>
        <w:t>idney</w:t>
      </w:r>
      <w:r w:rsidR="001271AB" w:rsidRPr="00886C7F">
        <w:rPr>
          <w:sz w:val="24"/>
          <w:szCs w:val="24"/>
          <w:lang w:eastAsia="el-GR"/>
        </w:rPr>
        <w:t xml:space="preserve"> </w:t>
      </w:r>
      <w:r w:rsidR="001271AB" w:rsidRPr="00886C7F">
        <w:rPr>
          <w:sz w:val="24"/>
          <w:szCs w:val="24"/>
          <w:lang w:val="en-US" w:eastAsia="el-GR"/>
        </w:rPr>
        <w:t>Disease</w:t>
      </w:r>
      <w:r w:rsidR="001271AB" w:rsidRPr="00886C7F">
        <w:rPr>
          <w:sz w:val="24"/>
          <w:szCs w:val="24"/>
          <w:lang w:eastAsia="el-GR"/>
        </w:rPr>
        <w:t xml:space="preserve"> </w:t>
      </w:r>
      <w:r w:rsidR="001271AB" w:rsidRPr="00886C7F">
        <w:rPr>
          <w:sz w:val="24"/>
          <w:szCs w:val="24"/>
          <w:lang w:val="en-US" w:eastAsia="el-GR"/>
        </w:rPr>
        <w:t>Questionnaire</w:t>
      </w:r>
      <w:r w:rsidRPr="00886C7F">
        <w:rPr>
          <w:sz w:val="24"/>
          <w:szCs w:val="24"/>
          <w:lang w:eastAsia="el-GR"/>
        </w:rPr>
        <w:t xml:space="preserve"> (</w:t>
      </w:r>
      <w:r w:rsidRPr="00886C7F">
        <w:rPr>
          <w:sz w:val="24"/>
          <w:szCs w:val="24"/>
          <w:lang w:val="en-US" w:eastAsia="el-GR"/>
        </w:rPr>
        <w:t>Devins</w:t>
      </w:r>
      <w:r w:rsidR="00E57FFC" w:rsidRPr="00886C7F">
        <w:rPr>
          <w:sz w:val="24"/>
          <w:szCs w:val="24"/>
          <w:lang w:eastAsia="el-GR"/>
        </w:rPr>
        <w:t xml:space="preserve"> </w:t>
      </w:r>
      <w:r w:rsidR="00E57FFC" w:rsidRPr="00886C7F">
        <w:rPr>
          <w:sz w:val="24"/>
          <w:szCs w:val="24"/>
          <w:lang w:val="en-US" w:eastAsia="el-GR"/>
        </w:rPr>
        <w:t>et</w:t>
      </w:r>
      <w:r w:rsidR="00E57FFC" w:rsidRPr="00886C7F">
        <w:rPr>
          <w:sz w:val="24"/>
          <w:szCs w:val="24"/>
          <w:lang w:eastAsia="el-GR"/>
        </w:rPr>
        <w:t xml:space="preserve"> </w:t>
      </w:r>
      <w:r w:rsidR="00E57FFC" w:rsidRPr="00886C7F">
        <w:rPr>
          <w:sz w:val="24"/>
          <w:szCs w:val="24"/>
          <w:lang w:val="en-US" w:eastAsia="el-GR"/>
        </w:rPr>
        <w:t>al</w:t>
      </w:r>
      <w:r w:rsidR="00E57FFC" w:rsidRPr="00886C7F">
        <w:rPr>
          <w:sz w:val="24"/>
          <w:szCs w:val="24"/>
          <w:lang w:eastAsia="el-GR"/>
        </w:rPr>
        <w:t>.</w:t>
      </w:r>
      <w:r w:rsidR="00961E11" w:rsidRPr="00886C7F">
        <w:rPr>
          <w:sz w:val="24"/>
          <w:szCs w:val="24"/>
          <w:lang w:eastAsia="el-GR"/>
        </w:rPr>
        <w:t>,</w:t>
      </w:r>
      <w:r w:rsidRPr="00886C7F">
        <w:rPr>
          <w:sz w:val="24"/>
          <w:szCs w:val="24"/>
          <w:lang w:eastAsia="el-GR"/>
        </w:rPr>
        <w:t xml:space="preserve"> 1990)</w:t>
      </w:r>
      <w:r w:rsidR="001271AB" w:rsidRPr="00886C7F">
        <w:rPr>
          <w:sz w:val="24"/>
          <w:szCs w:val="24"/>
          <w:lang w:eastAsia="el-GR"/>
        </w:rPr>
        <w:t xml:space="preserve">. </w:t>
      </w:r>
    </w:p>
    <w:p w:rsidR="001271AB" w:rsidRPr="007F3D72" w:rsidRDefault="001271AB" w:rsidP="00DB466F">
      <w:pPr>
        <w:pStyle w:val="a5"/>
        <w:numPr>
          <w:ilvl w:val="0"/>
          <w:numId w:val="41"/>
        </w:numPr>
        <w:spacing w:line="360" w:lineRule="auto"/>
        <w:jc w:val="both"/>
        <w:rPr>
          <w:sz w:val="24"/>
          <w:szCs w:val="24"/>
          <w:lang w:eastAsia="el-GR"/>
        </w:rPr>
      </w:pPr>
      <w:r w:rsidRPr="00886C7F">
        <w:rPr>
          <w:sz w:val="24"/>
          <w:szCs w:val="24"/>
          <w:lang w:eastAsia="el-GR"/>
        </w:rPr>
        <w:t>Η ανασκόπηση της υπάρχουσας βιβλιογραφίας</w:t>
      </w:r>
      <w:r w:rsidR="007F3D72" w:rsidRPr="00886C7F">
        <w:rPr>
          <w:sz w:val="24"/>
          <w:szCs w:val="24"/>
          <w:lang w:eastAsia="el-GR"/>
        </w:rPr>
        <w:t xml:space="preserve"> σχετικά με την</w:t>
      </w:r>
      <w:r w:rsidR="007F3D72">
        <w:rPr>
          <w:sz w:val="24"/>
          <w:szCs w:val="24"/>
          <w:lang w:eastAsia="el-GR"/>
        </w:rPr>
        <w:t xml:space="preserve"> επίδραση της </w:t>
      </w:r>
      <w:r w:rsidR="007F3D72">
        <w:rPr>
          <w:rFonts w:asciiTheme="minorHAnsi" w:hAnsiTheme="minorHAnsi"/>
          <w:sz w:val="24"/>
          <w:szCs w:val="24"/>
        </w:rPr>
        <w:t>συμβουλευτικής νοσηλευτικής στη μεταβολή του επιπέδου γνώ</w:t>
      </w:r>
      <w:r w:rsidR="007F3D72" w:rsidRPr="007F3D72">
        <w:rPr>
          <w:rFonts w:asciiTheme="minorHAnsi" w:hAnsiTheme="minorHAnsi"/>
          <w:sz w:val="24"/>
          <w:szCs w:val="24"/>
        </w:rPr>
        <w:t>σεω</w:t>
      </w:r>
      <w:r w:rsidR="007F3D72">
        <w:rPr>
          <w:rFonts w:asciiTheme="minorHAnsi" w:hAnsiTheme="minorHAnsi"/>
          <w:sz w:val="24"/>
          <w:szCs w:val="24"/>
        </w:rPr>
        <w:t>ν, της ποιότητας ζωής και στη συμμόρφωση ασθενώ</w:t>
      </w:r>
      <w:r w:rsidR="007F3D72" w:rsidRPr="007F3D72">
        <w:rPr>
          <w:rFonts w:asciiTheme="minorHAnsi" w:hAnsiTheme="minorHAnsi"/>
          <w:sz w:val="24"/>
          <w:szCs w:val="24"/>
        </w:rPr>
        <w:t>ν υπο</w:t>
      </w:r>
      <w:r w:rsidR="007F3D72">
        <w:rPr>
          <w:rFonts w:asciiTheme="minorHAnsi" w:hAnsiTheme="minorHAnsi"/>
          <w:sz w:val="24"/>
          <w:szCs w:val="24"/>
        </w:rPr>
        <w:t xml:space="preserve"> αιμοκάθαρση στο θεραπευτικό σχή</w:t>
      </w:r>
      <w:r w:rsidR="007F3D72" w:rsidRPr="007F3D72">
        <w:rPr>
          <w:rFonts w:asciiTheme="minorHAnsi" w:hAnsiTheme="minorHAnsi"/>
          <w:sz w:val="24"/>
          <w:szCs w:val="24"/>
        </w:rPr>
        <w:t>μα</w:t>
      </w:r>
      <w:r w:rsidR="007F3D72">
        <w:rPr>
          <w:rFonts w:asciiTheme="minorHAnsi" w:hAnsiTheme="minorHAnsi"/>
          <w:sz w:val="24"/>
          <w:szCs w:val="24"/>
        </w:rPr>
        <w:t>.</w:t>
      </w:r>
    </w:p>
    <w:p w:rsidR="00521498" w:rsidRPr="005A464E" w:rsidRDefault="00E47E4A" w:rsidP="005A464E">
      <w:pPr>
        <w:spacing w:line="360" w:lineRule="auto"/>
        <w:jc w:val="both"/>
        <w:rPr>
          <w:b/>
          <w:bCs/>
          <w:iCs/>
          <w:sz w:val="24"/>
          <w:szCs w:val="24"/>
          <w:lang w:eastAsia="el-GR"/>
        </w:rPr>
      </w:pPr>
      <w:r w:rsidRPr="005A464E">
        <w:rPr>
          <w:b/>
          <w:bCs/>
          <w:iCs/>
          <w:sz w:val="32"/>
          <w:szCs w:val="24"/>
          <w:lang w:eastAsia="el-GR"/>
        </w:rPr>
        <w:t>Ε</w:t>
      </w:r>
      <w:r w:rsidRPr="005A464E">
        <w:rPr>
          <w:b/>
          <w:bCs/>
          <w:iCs/>
          <w:sz w:val="24"/>
          <w:szCs w:val="24"/>
          <w:lang w:eastAsia="el-GR"/>
        </w:rPr>
        <w:t>ρευνητικές υποθέσεις</w:t>
      </w:r>
    </w:p>
    <w:p w:rsidR="004F0141" w:rsidRPr="00886C7F" w:rsidRDefault="00521498" w:rsidP="002F4A29">
      <w:pPr>
        <w:numPr>
          <w:ilvl w:val="0"/>
          <w:numId w:val="36"/>
        </w:numPr>
        <w:spacing w:line="360" w:lineRule="auto"/>
        <w:jc w:val="both"/>
        <w:rPr>
          <w:rFonts w:cstheme="minorHAnsi"/>
          <w:sz w:val="24"/>
          <w:szCs w:val="24"/>
          <w:lang w:eastAsia="el-GR"/>
        </w:rPr>
      </w:pPr>
      <w:r w:rsidRPr="005A464E">
        <w:rPr>
          <w:sz w:val="24"/>
          <w:szCs w:val="24"/>
          <w:lang w:eastAsia="el-GR"/>
        </w:rPr>
        <w:t>Υ</w:t>
      </w:r>
      <w:r w:rsidR="007F3D72">
        <w:rPr>
          <w:sz w:val="24"/>
          <w:szCs w:val="24"/>
          <w:lang w:eastAsia="el-GR"/>
        </w:rPr>
        <w:t>πάρχει σημαντική μεταβολή</w:t>
      </w:r>
      <w:r w:rsidRPr="005A464E">
        <w:rPr>
          <w:sz w:val="24"/>
          <w:szCs w:val="24"/>
          <w:lang w:eastAsia="el-GR"/>
        </w:rPr>
        <w:t xml:space="preserve"> στο επίπεδο</w:t>
      </w:r>
      <w:r w:rsidR="0078495A">
        <w:rPr>
          <w:sz w:val="24"/>
          <w:szCs w:val="24"/>
          <w:lang w:eastAsia="el-GR"/>
        </w:rPr>
        <w:t xml:space="preserve"> </w:t>
      </w:r>
      <w:r w:rsidRPr="005A464E">
        <w:rPr>
          <w:sz w:val="24"/>
          <w:szCs w:val="24"/>
          <w:lang w:eastAsia="el-GR"/>
        </w:rPr>
        <w:t>της γνώσης σχ</w:t>
      </w:r>
      <w:r w:rsidR="00DE17D6" w:rsidRPr="005A464E">
        <w:rPr>
          <w:sz w:val="24"/>
          <w:szCs w:val="24"/>
          <w:lang w:eastAsia="el-GR"/>
        </w:rPr>
        <w:t xml:space="preserve">ετικά με </w:t>
      </w:r>
      <w:r w:rsidR="00DE17D6" w:rsidRPr="00886C7F">
        <w:rPr>
          <w:sz w:val="24"/>
          <w:szCs w:val="24"/>
          <w:lang w:eastAsia="el-GR"/>
        </w:rPr>
        <w:t>τη</w:t>
      </w:r>
      <w:r w:rsidR="00EC4BDF" w:rsidRPr="00886C7F">
        <w:rPr>
          <w:sz w:val="24"/>
          <w:szCs w:val="24"/>
          <w:lang w:eastAsia="el-GR"/>
        </w:rPr>
        <w:t>ν</w:t>
      </w:r>
      <w:r w:rsidR="00DE17D6" w:rsidRPr="00886C7F">
        <w:rPr>
          <w:sz w:val="24"/>
          <w:szCs w:val="24"/>
          <w:lang w:eastAsia="el-GR"/>
        </w:rPr>
        <w:t xml:space="preserve"> </w:t>
      </w:r>
      <w:r w:rsidR="00EC4BDF" w:rsidRPr="00886C7F">
        <w:rPr>
          <w:sz w:val="24"/>
          <w:szCs w:val="24"/>
          <w:lang w:eastAsia="el-GR"/>
        </w:rPr>
        <w:t>ΤΣ</w:t>
      </w:r>
      <w:r w:rsidR="00DF4830" w:rsidRPr="00886C7F">
        <w:rPr>
          <w:sz w:val="24"/>
          <w:szCs w:val="24"/>
          <w:lang w:eastAsia="el-GR"/>
        </w:rPr>
        <w:t>ΧΝΝ</w:t>
      </w:r>
      <w:r w:rsidR="00EA23C2" w:rsidRPr="00886C7F">
        <w:rPr>
          <w:sz w:val="24"/>
          <w:szCs w:val="24"/>
          <w:lang w:eastAsia="el-GR"/>
        </w:rPr>
        <w:t xml:space="preserve"> </w:t>
      </w:r>
      <w:r w:rsidR="00DE17D6" w:rsidRPr="00886C7F">
        <w:rPr>
          <w:sz w:val="24"/>
          <w:szCs w:val="24"/>
          <w:lang w:eastAsia="el-GR"/>
        </w:rPr>
        <w:t>και τη</w:t>
      </w:r>
      <w:r w:rsidR="00EA23C2" w:rsidRPr="00886C7F">
        <w:rPr>
          <w:sz w:val="24"/>
          <w:szCs w:val="24"/>
          <w:lang w:eastAsia="el-GR"/>
        </w:rPr>
        <w:t xml:space="preserve"> </w:t>
      </w:r>
      <w:r w:rsidRPr="00886C7F">
        <w:rPr>
          <w:sz w:val="24"/>
          <w:szCs w:val="24"/>
          <w:lang w:eastAsia="el-GR"/>
        </w:rPr>
        <w:t xml:space="preserve">θεραπευτική αγωγή μετά από εκπαιδευτική </w:t>
      </w:r>
      <w:r w:rsidRPr="00886C7F">
        <w:rPr>
          <w:rFonts w:cstheme="minorHAnsi"/>
          <w:sz w:val="24"/>
          <w:szCs w:val="24"/>
          <w:lang w:eastAsia="el-GR"/>
        </w:rPr>
        <w:t>παρέμβαση</w:t>
      </w:r>
      <w:r w:rsidR="00987B26" w:rsidRPr="00886C7F">
        <w:rPr>
          <w:rFonts w:cstheme="minorHAnsi"/>
          <w:sz w:val="24"/>
          <w:szCs w:val="24"/>
          <w:lang w:eastAsia="el-GR"/>
        </w:rPr>
        <w:t xml:space="preserve"> (</w:t>
      </w:r>
      <w:r w:rsidR="00DD0555" w:rsidRPr="00886C7F">
        <w:rPr>
          <w:rFonts w:cstheme="minorHAnsi"/>
          <w:sz w:val="24"/>
          <w:szCs w:val="24"/>
          <w:lang w:val="en-US"/>
        </w:rPr>
        <w:t>Burge</w:t>
      </w:r>
      <w:r w:rsidR="00DD0555" w:rsidRPr="00886C7F">
        <w:rPr>
          <w:rFonts w:cstheme="minorHAnsi"/>
          <w:sz w:val="24"/>
          <w:szCs w:val="24"/>
        </w:rPr>
        <w:t xml:space="preserve"> </w:t>
      </w:r>
      <w:r w:rsidR="00566CAA" w:rsidRPr="00886C7F">
        <w:rPr>
          <w:rFonts w:cstheme="minorHAnsi"/>
          <w:sz w:val="24"/>
          <w:szCs w:val="24"/>
        </w:rPr>
        <w:t>et al</w:t>
      </w:r>
      <w:r w:rsidR="00E57FFC" w:rsidRPr="00886C7F">
        <w:rPr>
          <w:rFonts w:cstheme="minorHAnsi"/>
          <w:sz w:val="24"/>
          <w:szCs w:val="24"/>
        </w:rPr>
        <w:t>.</w:t>
      </w:r>
      <w:r w:rsidR="00961E11" w:rsidRPr="00886C7F">
        <w:rPr>
          <w:rFonts w:cstheme="minorHAnsi"/>
          <w:sz w:val="24"/>
          <w:szCs w:val="24"/>
        </w:rPr>
        <w:t>,</w:t>
      </w:r>
      <w:r w:rsidR="00DD0555" w:rsidRPr="00886C7F">
        <w:rPr>
          <w:rFonts w:cstheme="minorHAnsi"/>
          <w:sz w:val="24"/>
          <w:szCs w:val="24"/>
        </w:rPr>
        <w:t xml:space="preserve"> 2005; </w:t>
      </w:r>
      <w:r w:rsidR="00987B26" w:rsidRPr="00886C7F">
        <w:rPr>
          <w:rFonts w:cstheme="minorHAnsi"/>
          <w:sz w:val="24"/>
          <w:szCs w:val="24"/>
          <w:lang w:eastAsia="el-GR"/>
        </w:rPr>
        <w:t>Η</w:t>
      </w:r>
      <w:r w:rsidR="00987B26" w:rsidRPr="00886C7F">
        <w:rPr>
          <w:rFonts w:cstheme="minorHAnsi"/>
          <w:sz w:val="24"/>
          <w:szCs w:val="24"/>
          <w:lang w:val="en-US" w:eastAsia="el-GR"/>
        </w:rPr>
        <w:t>ain</w:t>
      </w:r>
      <w:r w:rsidR="00E57FFC" w:rsidRPr="00886C7F">
        <w:rPr>
          <w:rFonts w:cstheme="minorHAnsi"/>
          <w:sz w:val="24"/>
          <w:szCs w:val="24"/>
          <w:lang w:eastAsia="el-GR"/>
        </w:rPr>
        <w:t>,</w:t>
      </w:r>
      <w:r w:rsidR="00987B26" w:rsidRPr="00886C7F">
        <w:rPr>
          <w:rFonts w:cstheme="minorHAnsi"/>
          <w:sz w:val="24"/>
          <w:szCs w:val="24"/>
          <w:lang w:eastAsia="el-GR"/>
        </w:rPr>
        <w:t xml:space="preserve"> </w:t>
      </w:r>
      <w:r w:rsidR="00E57FFC" w:rsidRPr="00886C7F">
        <w:rPr>
          <w:rFonts w:asciiTheme="minorHAnsi" w:hAnsiTheme="minorHAnsi" w:cstheme="minorHAnsi"/>
          <w:sz w:val="24"/>
          <w:szCs w:val="24"/>
          <w:lang w:val="en-US"/>
        </w:rPr>
        <w:t>Calvin</w:t>
      </w:r>
      <w:r w:rsidR="00E57FFC" w:rsidRPr="00886C7F">
        <w:rPr>
          <w:rFonts w:asciiTheme="minorHAnsi" w:hAnsiTheme="minorHAnsi" w:cstheme="minorHAnsi"/>
          <w:sz w:val="24"/>
          <w:szCs w:val="24"/>
        </w:rPr>
        <w:t xml:space="preserve"> &amp; </w:t>
      </w:r>
      <w:r w:rsidR="00E57FFC" w:rsidRPr="00886C7F">
        <w:rPr>
          <w:rFonts w:asciiTheme="minorHAnsi" w:hAnsiTheme="minorHAnsi" w:cstheme="minorHAnsi"/>
          <w:sz w:val="24"/>
          <w:szCs w:val="24"/>
          <w:lang w:val="en-US"/>
        </w:rPr>
        <w:t>Simmons</w:t>
      </w:r>
      <w:r w:rsidR="00E5337C" w:rsidRPr="00886C7F">
        <w:rPr>
          <w:rFonts w:asciiTheme="minorHAnsi" w:hAnsiTheme="minorHAnsi" w:cstheme="minorHAnsi"/>
          <w:sz w:val="24"/>
          <w:szCs w:val="24"/>
        </w:rPr>
        <w:t>,</w:t>
      </w:r>
      <w:r w:rsidR="00DF4830" w:rsidRPr="00886C7F">
        <w:rPr>
          <w:rFonts w:asciiTheme="minorHAnsi" w:hAnsiTheme="minorHAnsi" w:cstheme="minorHAnsi"/>
          <w:sz w:val="24"/>
          <w:szCs w:val="24"/>
        </w:rPr>
        <w:t xml:space="preserve"> </w:t>
      </w:r>
      <w:r w:rsidR="00987B26" w:rsidRPr="00886C7F">
        <w:rPr>
          <w:rFonts w:cstheme="minorHAnsi"/>
          <w:sz w:val="24"/>
          <w:szCs w:val="24"/>
          <w:lang w:eastAsia="el-GR"/>
        </w:rPr>
        <w:t>2009;</w:t>
      </w:r>
      <w:r w:rsidR="00DD0555" w:rsidRPr="00886C7F">
        <w:rPr>
          <w:rFonts w:cstheme="minorHAnsi"/>
          <w:sz w:val="24"/>
          <w:szCs w:val="24"/>
          <w:lang w:eastAsia="el-GR"/>
        </w:rPr>
        <w:t xml:space="preserve"> </w:t>
      </w:r>
      <w:r w:rsidR="00DD0555" w:rsidRPr="00886C7F">
        <w:rPr>
          <w:rFonts w:cstheme="minorHAnsi"/>
          <w:sz w:val="24"/>
          <w:szCs w:val="24"/>
          <w:lang w:val="en-US" w:eastAsia="el-GR"/>
        </w:rPr>
        <w:t>Wells</w:t>
      </w:r>
      <w:r w:rsidR="00386F4C" w:rsidRPr="00886C7F">
        <w:rPr>
          <w:rFonts w:cstheme="minorHAnsi"/>
          <w:sz w:val="24"/>
          <w:szCs w:val="24"/>
          <w:lang w:eastAsia="el-GR"/>
        </w:rPr>
        <w:t>,</w:t>
      </w:r>
      <w:r w:rsidR="00DD0555" w:rsidRPr="00886C7F">
        <w:rPr>
          <w:rFonts w:cstheme="minorHAnsi"/>
          <w:sz w:val="24"/>
          <w:szCs w:val="24"/>
          <w:lang w:eastAsia="el-GR"/>
        </w:rPr>
        <w:t>2011</w:t>
      </w:r>
      <w:r w:rsidR="00987B26" w:rsidRPr="00886C7F">
        <w:rPr>
          <w:rFonts w:cstheme="minorHAnsi"/>
          <w:sz w:val="24"/>
          <w:szCs w:val="24"/>
        </w:rPr>
        <w:t>)</w:t>
      </w:r>
      <w:r w:rsidR="00987B26" w:rsidRPr="00886C7F">
        <w:rPr>
          <w:rFonts w:cstheme="minorHAnsi"/>
          <w:sz w:val="24"/>
          <w:szCs w:val="24"/>
          <w:lang w:eastAsia="el-GR"/>
        </w:rPr>
        <w:t>.</w:t>
      </w:r>
    </w:p>
    <w:p w:rsidR="00521498" w:rsidRPr="00886C7F" w:rsidRDefault="007F3D72" w:rsidP="00DB466F">
      <w:pPr>
        <w:numPr>
          <w:ilvl w:val="0"/>
          <w:numId w:val="36"/>
        </w:numPr>
        <w:spacing w:line="360" w:lineRule="auto"/>
        <w:jc w:val="both"/>
        <w:rPr>
          <w:sz w:val="24"/>
          <w:szCs w:val="24"/>
          <w:lang w:eastAsia="el-GR"/>
        </w:rPr>
      </w:pPr>
      <w:r w:rsidRPr="00886C7F">
        <w:rPr>
          <w:sz w:val="24"/>
          <w:szCs w:val="24"/>
          <w:lang w:eastAsia="el-GR"/>
        </w:rPr>
        <w:t>Υπάρχει σημαντική μεταβολή</w:t>
      </w:r>
      <w:r w:rsidR="0078495A" w:rsidRPr="00886C7F">
        <w:rPr>
          <w:sz w:val="24"/>
          <w:szCs w:val="24"/>
          <w:lang w:eastAsia="el-GR"/>
        </w:rPr>
        <w:t xml:space="preserve"> </w:t>
      </w:r>
      <w:r w:rsidR="00521498" w:rsidRPr="00886C7F">
        <w:rPr>
          <w:sz w:val="24"/>
          <w:szCs w:val="24"/>
          <w:lang w:eastAsia="el-GR"/>
        </w:rPr>
        <w:t>στο επίπεδο</w:t>
      </w:r>
      <w:r w:rsidR="0078495A" w:rsidRPr="00886C7F">
        <w:rPr>
          <w:sz w:val="24"/>
          <w:szCs w:val="24"/>
          <w:lang w:eastAsia="el-GR"/>
        </w:rPr>
        <w:t xml:space="preserve"> </w:t>
      </w:r>
      <w:r w:rsidR="00521498" w:rsidRPr="00886C7F">
        <w:rPr>
          <w:sz w:val="24"/>
          <w:szCs w:val="24"/>
          <w:lang w:eastAsia="el-GR"/>
        </w:rPr>
        <w:t>συμμόρφωσης</w:t>
      </w:r>
      <w:r w:rsidR="00E3713D" w:rsidRPr="00886C7F">
        <w:rPr>
          <w:sz w:val="24"/>
          <w:szCs w:val="24"/>
          <w:lang w:eastAsia="el-GR"/>
        </w:rPr>
        <w:t xml:space="preserve"> </w:t>
      </w:r>
      <w:r w:rsidR="00B0560D" w:rsidRPr="00886C7F">
        <w:rPr>
          <w:sz w:val="24"/>
          <w:szCs w:val="24"/>
          <w:lang w:eastAsia="el-GR"/>
        </w:rPr>
        <w:t>του ασθενούς</w:t>
      </w:r>
      <w:r w:rsidR="00E3713D" w:rsidRPr="00886C7F">
        <w:rPr>
          <w:sz w:val="24"/>
          <w:szCs w:val="24"/>
          <w:lang w:eastAsia="el-GR"/>
        </w:rPr>
        <w:t xml:space="preserve"> στις ιατρικές </w:t>
      </w:r>
      <w:r w:rsidR="00521498" w:rsidRPr="00886C7F">
        <w:rPr>
          <w:sz w:val="24"/>
          <w:szCs w:val="24"/>
          <w:lang w:eastAsia="el-GR"/>
        </w:rPr>
        <w:t>οδηγίες</w:t>
      </w:r>
      <w:r w:rsidR="0078495A" w:rsidRPr="00886C7F">
        <w:rPr>
          <w:sz w:val="24"/>
          <w:szCs w:val="24"/>
          <w:lang w:eastAsia="el-GR"/>
        </w:rPr>
        <w:t xml:space="preserve"> </w:t>
      </w:r>
      <w:r w:rsidR="00521498" w:rsidRPr="00886C7F">
        <w:rPr>
          <w:sz w:val="24"/>
          <w:szCs w:val="24"/>
          <w:lang w:eastAsia="el-GR"/>
        </w:rPr>
        <w:t>μετά από εκπαιδευτική παρέμβαση</w:t>
      </w:r>
      <w:r w:rsidR="00987B26" w:rsidRPr="00886C7F">
        <w:rPr>
          <w:sz w:val="24"/>
          <w:szCs w:val="24"/>
          <w:lang w:eastAsia="el-GR"/>
        </w:rPr>
        <w:t xml:space="preserve"> (</w:t>
      </w:r>
      <w:r w:rsidR="00DD0555" w:rsidRPr="00886C7F">
        <w:rPr>
          <w:sz w:val="24"/>
          <w:szCs w:val="24"/>
          <w:lang w:val="en-US" w:eastAsia="el-GR"/>
        </w:rPr>
        <w:t>Barnett</w:t>
      </w:r>
      <w:r w:rsidR="00AF10FE" w:rsidRPr="00886C7F">
        <w:rPr>
          <w:sz w:val="24"/>
          <w:szCs w:val="24"/>
          <w:lang w:eastAsia="el-GR"/>
        </w:rPr>
        <w:t xml:space="preserve"> </w:t>
      </w:r>
      <w:r w:rsidR="00AF10FE" w:rsidRPr="00886C7F">
        <w:rPr>
          <w:sz w:val="24"/>
          <w:szCs w:val="24"/>
          <w:lang w:val="en-US" w:eastAsia="el-GR"/>
        </w:rPr>
        <w:t>et</w:t>
      </w:r>
      <w:r w:rsidR="00AF10FE" w:rsidRPr="00886C7F">
        <w:rPr>
          <w:sz w:val="24"/>
          <w:szCs w:val="24"/>
          <w:lang w:eastAsia="el-GR"/>
        </w:rPr>
        <w:t xml:space="preserve"> </w:t>
      </w:r>
      <w:r w:rsidR="00AF10FE" w:rsidRPr="00886C7F">
        <w:rPr>
          <w:sz w:val="24"/>
          <w:szCs w:val="24"/>
          <w:lang w:val="en-US" w:eastAsia="el-GR"/>
        </w:rPr>
        <w:t>al</w:t>
      </w:r>
      <w:r w:rsidR="00AF10FE" w:rsidRPr="00886C7F">
        <w:rPr>
          <w:sz w:val="24"/>
          <w:szCs w:val="24"/>
          <w:lang w:eastAsia="el-GR"/>
        </w:rPr>
        <w:t>.,</w:t>
      </w:r>
      <w:r w:rsidR="00DD0555" w:rsidRPr="00886C7F">
        <w:rPr>
          <w:sz w:val="24"/>
          <w:szCs w:val="24"/>
          <w:lang w:eastAsia="el-GR"/>
        </w:rPr>
        <w:t xml:space="preserve"> 2008; </w:t>
      </w:r>
      <w:r w:rsidR="00987B26" w:rsidRPr="00886C7F">
        <w:rPr>
          <w:sz w:val="24"/>
          <w:szCs w:val="24"/>
          <w:lang w:val="en-US" w:eastAsia="el-GR"/>
        </w:rPr>
        <w:t>Wells</w:t>
      </w:r>
      <w:r w:rsidR="002F4A29" w:rsidRPr="00886C7F">
        <w:rPr>
          <w:sz w:val="24"/>
          <w:szCs w:val="24"/>
          <w:lang w:eastAsia="el-GR"/>
        </w:rPr>
        <w:t xml:space="preserve">, </w:t>
      </w:r>
      <w:r w:rsidR="00987B26" w:rsidRPr="00886C7F">
        <w:rPr>
          <w:sz w:val="24"/>
          <w:szCs w:val="24"/>
          <w:lang w:eastAsia="el-GR"/>
        </w:rPr>
        <w:t>2011</w:t>
      </w:r>
      <w:r w:rsidR="007A51AB" w:rsidRPr="00886C7F">
        <w:rPr>
          <w:sz w:val="24"/>
          <w:szCs w:val="24"/>
          <w:lang w:eastAsia="el-GR"/>
        </w:rPr>
        <w:t>).</w:t>
      </w:r>
    </w:p>
    <w:p w:rsidR="00521498" w:rsidRPr="00886C7F" w:rsidRDefault="00521498" w:rsidP="00DB466F">
      <w:pPr>
        <w:numPr>
          <w:ilvl w:val="0"/>
          <w:numId w:val="36"/>
        </w:numPr>
        <w:spacing w:line="360" w:lineRule="auto"/>
        <w:jc w:val="both"/>
        <w:rPr>
          <w:sz w:val="24"/>
          <w:szCs w:val="24"/>
          <w:lang w:eastAsia="el-GR"/>
        </w:rPr>
      </w:pPr>
      <w:r w:rsidRPr="00886C7F">
        <w:rPr>
          <w:sz w:val="24"/>
          <w:szCs w:val="24"/>
          <w:lang w:eastAsia="el-GR"/>
        </w:rPr>
        <w:t>Υπάρχει σημαντική</w:t>
      </w:r>
      <w:r w:rsidR="0078495A" w:rsidRPr="00886C7F">
        <w:rPr>
          <w:sz w:val="24"/>
          <w:szCs w:val="24"/>
          <w:lang w:eastAsia="el-GR"/>
        </w:rPr>
        <w:t xml:space="preserve"> </w:t>
      </w:r>
      <w:r w:rsidR="007F3D72" w:rsidRPr="00886C7F">
        <w:rPr>
          <w:sz w:val="24"/>
          <w:szCs w:val="24"/>
          <w:lang w:eastAsia="el-GR"/>
        </w:rPr>
        <w:t>μεταβολή</w:t>
      </w:r>
      <w:r w:rsidR="007B0920" w:rsidRPr="00886C7F">
        <w:rPr>
          <w:sz w:val="24"/>
          <w:szCs w:val="24"/>
          <w:lang w:eastAsia="el-GR"/>
        </w:rPr>
        <w:t xml:space="preserve"> στο</w:t>
      </w:r>
      <w:r w:rsidR="0078495A" w:rsidRPr="00886C7F">
        <w:rPr>
          <w:sz w:val="24"/>
          <w:szCs w:val="24"/>
          <w:lang w:eastAsia="el-GR"/>
        </w:rPr>
        <w:t xml:space="preserve"> </w:t>
      </w:r>
      <w:r w:rsidR="007B0920" w:rsidRPr="00886C7F">
        <w:rPr>
          <w:sz w:val="24"/>
          <w:szCs w:val="24"/>
          <w:lang w:eastAsia="el-GR"/>
        </w:rPr>
        <w:t>επίπεδο</w:t>
      </w:r>
      <w:r w:rsidR="0078495A" w:rsidRPr="00886C7F">
        <w:rPr>
          <w:sz w:val="24"/>
          <w:szCs w:val="24"/>
          <w:lang w:eastAsia="el-GR"/>
        </w:rPr>
        <w:t xml:space="preserve"> </w:t>
      </w:r>
      <w:r w:rsidRPr="00886C7F">
        <w:rPr>
          <w:sz w:val="24"/>
          <w:szCs w:val="24"/>
          <w:lang w:eastAsia="el-GR"/>
        </w:rPr>
        <w:t>της</w:t>
      </w:r>
      <w:r w:rsidR="0078495A" w:rsidRPr="00886C7F">
        <w:rPr>
          <w:sz w:val="24"/>
          <w:szCs w:val="24"/>
          <w:lang w:eastAsia="el-GR"/>
        </w:rPr>
        <w:t xml:space="preserve"> </w:t>
      </w:r>
      <w:r w:rsidRPr="00886C7F">
        <w:rPr>
          <w:sz w:val="24"/>
          <w:szCs w:val="24"/>
          <w:lang w:eastAsia="el-GR"/>
        </w:rPr>
        <w:t>ποιότητας ζωής μετά από εκπαιδευτική παρέμβαση</w:t>
      </w:r>
      <w:r w:rsidR="007A51AB" w:rsidRPr="00886C7F">
        <w:rPr>
          <w:sz w:val="24"/>
          <w:szCs w:val="24"/>
          <w:lang w:eastAsia="el-GR"/>
        </w:rPr>
        <w:t xml:space="preserve"> (</w:t>
      </w:r>
      <w:r w:rsidR="007A51AB" w:rsidRPr="00886C7F">
        <w:rPr>
          <w:sz w:val="24"/>
          <w:szCs w:val="24"/>
          <w:lang w:val="en-US" w:eastAsia="el-GR"/>
        </w:rPr>
        <w:t>Klang</w:t>
      </w:r>
      <w:r w:rsidR="007A51AB" w:rsidRPr="00886C7F">
        <w:rPr>
          <w:sz w:val="24"/>
          <w:szCs w:val="24"/>
          <w:lang w:eastAsia="el-GR"/>
        </w:rPr>
        <w:t xml:space="preserve"> </w:t>
      </w:r>
      <w:r w:rsidR="00566CAA" w:rsidRPr="00886C7F">
        <w:rPr>
          <w:sz w:val="24"/>
          <w:szCs w:val="24"/>
          <w:lang w:eastAsia="el-GR"/>
        </w:rPr>
        <w:t>et al</w:t>
      </w:r>
      <w:r w:rsidR="004B226D" w:rsidRPr="00886C7F">
        <w:rPr>
          <w:sz w:val="24"/>
          <w:szCs w:val="24"/>
          <w:lang w:eastAsia="el-GR"/>
        </w:rPr>
        <w:t>.</w:t>
      </w:r>
      <w:r w:rsidR="007B503D" w:rsidRPr="00886C7F">
        <w:rPr>
          <w:sz w:val="24"/>
          <w:szCs w:val="24"/>
          <w:lang w:eastAsia="el-GR"/>
        </w:rPr>
        <w:t>,</w:t>
      </w:r>
      <w:r w:rsidR="007A51AB" w:rsidRPr="00886C7F">
        <w:rPr>
          <w:sz w:val="24"/>
          <w:szCs w:val="24"/>
          <w:lang w:eastAsia="el-GR"/>
        </w:rPr>
        <w:t xml:space="preserve"> 1998; </w:t>
      </w:r>
      <w:r w:rsidR="007A51AB" w:rsidRPr="00886C7F">
        <w:rPr>
          <w:sz w:val="24"/>
          <w:szCs w:val="24"/>
          <w:lang w:val="en-US" w:eastAsia="el-GR"/>
        </w:rPr>
        <w:t>Abraham</w:t>
      </w:r>
      <w:r w:rsidR="008E7ECD" w:rsidRPr="00886C7F">
        <w:rPr>
          <w:sz w:val="24"/>
          <w:szCs w:val="24"/>
          <w:lang w:eastAsia="el-GR"/>
        </w:rPr>
        <w:t>,</w:t>
      </w:r>
      <w:r w:rsidR="007A51AB" w:rsidRPr="00886C7F">
        <w:rPr>
          <w:sz w:val="24"/>
          <w:szCs w:val="24"/>
          <w:lang w:eastAsia="el-GR"/>
        </w:rPr>
        <w:t xml:space="preserve"> </w:t>
      </w:r>
      <w:r w:rsidR="008E7ECD" w:rsidRPr="00886C7F">
        <w:rPr>
          <w:rFonts w:asciiTheme="minorHAnsi" w:hAnsiTheme="minorHAnsi" w:cstheme="minorHAnsi"/>
          <w:sz w:val="24"/>
          <w:szCs w:val="24"/>
          <w:lang w:val="en-US"/>
        </w:rPr>
        <w:t>Venu</w:t>
      </w:r>
      <w:r w:rsidR="008E7ECD" w:rsidRPr="00886C7F">
        <w:rPr>
          <w:rFonts w:asciiTheme="minorHAnsi" w:hAnsiTheme="minorHAnsi" w:cstheme="minorHAnsi"/>
          <w:sz w:val="24"/>
          <w:szCs w:val="24"/>
        </w:rPr>
        <w:t>,</w:t>
      </w:r>
      <w:r w:rsidR="0078495A" w:rsidRPr="00886C7F">
        <w:rPr>
          <w:rFonts w:asciiTheme="minorHAnsi" w:hAnsiTheme="minorHAnsi" w:cstheme="minorHAnsi"/>
          <w:sz w:val="24"/>
          <w:szCs w:val="24"/>
        </w:rPr>
        <w:t xml:space="preserve"> </w:t>
      </w:r>
      <w:r w:rsidR="008E7ECD" w:rsidRPr="00886C7F">
        <w:rPr>
          <w:rFonts w:asciiTheme="minorHAnsi" w:hAnsiTheme="minorHAnsi" w:cstheme="minorHAnsi"/>
          <w:sz w:val="24"/>
          <w:szCs w:val="24"/>
          <w:lang w:val="en-US"/>
        </w:rPr>
        <w:t>Ramachandran</w:t>
      </w:r>
      <w:r w:rsidR="008E7ECD" w:rsidRPr="00886C7F">
        <w:rPr>
          <w:rFonts w:asciiTheme="minorHAnsi" w:hAnsiTheme="minorHAnsi" w:cstheme="minorHAnsi"/>
          <w:sz w:val="24"/>
          <w:szCs w:val="24"/>
        </w:rPr>
        <w:t xml:space="preserve">, </w:t>
      </w:r>
      <w:r w:rsidR="008E7ECD" w:rsidRPr="00886C7F">
        <w:rPr>
          <w:rFonts w:asciiTheme="minorHAnsi" w:hAnsiTheme="minorHAnsi" w:cstheme="minorHAnsi"/>
          <w:sz w:val="24"/>
          <w:szCs w:val="24"/>
          <w:lang w:val="en-US"/>
        </w:rPr>
        <w:t>Chandran</w:t>
      </w:r>
      <w:r w:rsidR="008E7ECD" w:rsidRPr="00886C7F">
        <w:rPr>
          <w:rFonts w:asciiTheme="minorHAnsi" w:hAnsiTheme="minorHAnsi" w:cstheme="minorHAnsi"/>
          <w:sz w:val="24"/>
          <w:szCs w:val="24"/>
        </w:rPr>
        <w:t xml:space="preserve">, &amp; </w:t>
      </w:r>
      <w:r w:rsidR="008E7ECD" w:rsidRPr="00886C7F">
        <w:rPr>
          <w:rFonts w:asciiTheme="minorHAnsi" w:hAnsiTheme="minorHAnsi" w:cstheme="minorHAnsi"/>
          <w:sz w:val="24"/>
          <w:szCs w:val="24"/>
          <w:lang w:val="en-US"/>
        </w:rPr>
        <w:t>Raman</w:t>
      </w:r>
      <w:r w:rsidR="008E7ECD" w:rsidRPr="00886C7F">
        <w:rPr>
          <w:rFonts w:asciiTheme="minorHAnsi" w:hAnsiTheme="minorHAnsi" w:cstheme="minorHAnsi"/>
          <w:sz w:val="24"/>
          <w:szCs w:val="24"/>
        </w:rPr>
        <w:t>,</w:t>
      </w:r>
      <w:r w:rsidR="008E7ECD" w:rsidRPr="00886C7F">
        <w:rPr>
          <w:sz w:val="24"/>
          <w:szCs w:val="24"/>
          <w:lang w:eastAsia="el-GR"/>
        </w:rPr>
        <w:t xml:space="preserve"> 2012)</w:t>
      </w:r>
      <w:r w:rsidR="007B0920" w:rsidRPr="00886C7F">
        <w:rPr>
          <w:sz w:val="24"/>
          <w:szCs w:val="24"/>
          <w:lang w:eastAsia="el-GR"/>
        </w:rPr>
        <w:t>.</w:t>
      </w:r>
    </w:p>
    <w:p w:rsidR="00521498" w:rsidRPr="005A464E" w:rsidRDefault="00521498" w:rsidP="00DB466F">
      <w:pPr>
        <w:numPr>
          <w:ilvl w:val="0"/>
          <w:numId w:val="36"/>
        </w:numPr>
        <w:spacing w:line="360" w:lineRule="auto"/>
        <w:jc w:val="both"/>
        <w:rPr>
          <w:sz w:val="24"/>
          <w:szCs w:val="24"/>
          <w:lang w:eastAsia="el-GR"/>
        </w:rPr>
      </w:pPr>
      <w:r w:rsidRPr="00886C7F">
        <w:rPr>
          <w:sz w:val="24"/>
          <w:szCs w:val="24"/>
          <w:lang w:eastAsia="el-GR"/>
        </w:rPr>
        <w:t xml:space="preserve">Υπάρχει θετική συσχέτιση μεταξύ </w:t>
      </w:r>
      <w:r w:rsidR="007B0920" w:rsidRPr="00886C7F">
        <w:rPr>
          <w:sz w:val="24"/>
          <w:szCs w:val="24"/>
          <w:lang w:eastAsia="el-GR"/>
        </w:rPr>
        <w:t xml:space="preserve">του επιπέδου </w:t>
      </w:r>
      <w:r w:rsidRPr="00886C7F">
        <w:rPr>
          <w:sz w:val="24"/>
          <w:szCs w:val="24"/>
          <w:lang w:eastAsia="el-GR"/>
        </w:rPr>
        <w:t xml:space="preserve">γνώσης σχετικά με τη </w:t>
      </w:r>
      <w:r w:rsidR="00EC4BDF" w:rsidRPr="00886C7F">
        <w:rPr>
          <w:sz w:val="24"/>
          <w:szCs w:val="24"/>
          <w:lang w:eastAsia="el-GR"/>
        </w:rPr>
        <w:t>ΤΣ</w:t>
      </w:r>
      <w:r w:rsidR="00824D61" w:rsidRPr="00886C7F">
        <w:rPr>
          <w:sz w:val="24"/>
          <w:szCs w:val="24"/>
          <w:lang w:eastAsia="el-GR"/>
        </w:rPr>
        <w:t>ΧΝΝ</w:t>
      </w:r>
      <w:r w:rsidR="0078495A" w:rsidRPr="00886C7F">
        <w:rPr>
          <w:sz w:val="24"/>
          <w:szCs w:val="24"/>
          <w:lang w:eastAsia="el-GR"/>
        </w:rPr>
        <w:t xml:space="preserve"> </w:t>
      </w:r>
      <w:r w:rsidRPr="00886C7F">
        <w:rPr>
          <w:sz w:val="24"/>
          <w:szCs w:val="24"/>
          <w:lang w:eastAsia="el-GR"/>
        </w:rPr>
        <w:t>και</w:t>
      </w:r>
      <w:r w:rsidR="0078495A" w:rsidRPr="00886C7F">
        <w:rPr>
          <w:sz w:val="24"/>
          <w:szCs w:val="24"/>
          <w:lang w:eastAsia="el-GR"/>
        </w:rPr>
        <w:t xml:space="preserve"> </w:t>
      </w:r>
      <w:r w:rsidRPr="00886C7F">
        <w:rPr>
          <w:sz w:val="24"/>
          <w:szCs w:val="24"/>
          <w:lang w:eastAsia="el-GR"/>
        </w:rPr>
        <w:t xml:space="preserve">τη θεραπευτική αγωγή και </w:t>
      </w:r>
      <w:r w:rsidR="007B0920" w:rsidRPr="00886C7F">
        <w:rPr>
          <w:sz w:val="24"/>
          <w:szCs w:val="24"/>
          <w:lang w:eastAsia="el-GR"/>
        </w:rPr>
        <w:t xml:space="preserve">του επιπέδου </w:t>
      </w:r>
      <w:r w:rsidRPr="00886C7F">
        <w:rPr>
          <w:sz w:val="24"/>
          <w:szCs w:val="24"/>
          <w:lang w:eastAsia="el-GR"/>
        </w:rPr>
        <w:t>συμμόρφωσης στις ιατρικές</w:t>
      </w:r>
      <w:r w:rsidRPr="005A464E">
        <w:rPr>
          <w:sz w:val="24"/>
          <w:szCs w:val="24"/>
          <w:lang w:eastAsia="el-GR"/>
        </w:rPr>
        <w:t xml:space="preserve"> οδηγίες</w:t>
      </w:r>
      <w:r w:rsidR="007A51AB" w:rsidRPr="005A464E">
        <w:rPr>
          <w:sz w:val="24"/>
          <w:szCs w:val="24"/>
          <w:lang w:eastAsia="el-GR"/>
        </w:rPr>
        <w:t xml:space="preserve"> (</w:t>
      </w:r>
      <w:r w:rsidR="00DD0555" w:rsidRPr="005A464E">
        <w:rPr>
          <w:sz w:val="24"/>
          <w:szCs w:val="24"/>
          <w:lang w:val="en-US" w:eastAsia="el-GR"/>
        </w:rPr>
        <w:t>Burge</w:t>
      </w:r>
      <w:r w:rsidR="00DD0555" w:rsidRPr="005A464E">
        <w:rPr>
          <w:sz w:val="24"/>
          <w:szCs w:val="24"/>
          <w:lang w:eastAsia="el-GR"/>
        </w:rPr>
        <w:t xml:space="preserve"> </w:t>
      </w:r>
      <w:r w:rsidR="00566CAA">
        <w:rPr>
          <w:sz w:val="24"/>
          <w:szCs w:val="24"/>
          <w:lang w:eastAsia="el-GR"/>
        </w:rPr>
        <w:t>et al</w:t>
      </w:r>
      <w:r w:rsidR="002F4A29" w:rsidRPr="002F4A29">
        <w:rPr>
          <w:sz w:val="24"/>
          <w:szCs w:val="24"/>
          <w:lang w:eastAsia="el-GR"/>
        </w:rPr>
        <w:t>.</w:t>
      </w:r>
      <w:r w:rsidR="00961E11" w:rsidRPr="00961E11">
        <w:rPr>
          <w:sz w:val="24"/>
          <w:szCs w:val="24"/>
          <w:lang w:eastAsia="el-GR"/>
        </w:rPr>
        <w:t>,</w:t>
      </w:r>
      <w:r w:rsidR="00DD0555" w:rsidRPr="005A464E">
        <w:rPr>
          <w:sz w:val="24"/>
          <w:szCs w:val="24"/>
          <w:lang w:eastAsia="el-GR"/>
        </w:rPr>
        <w:t xml:space="preserve"> 2005; </w:t>
      </w:r>
      <w:r w:rsidR="007A51AB" w:rsidRPr="005A464E">
        <w:rPr>
          <w:sz w:val="24"/>
          <w:szCs w:val="24"/>
          <w:lang w:val="en-US" w:eastAsia="el-GR"/>
        </w:rPr>
        <w:t>Wells</w:t>
      </w:r>
      <w:r w:rsidR="002F4A29" w:rsidRPr="002F4A29">
        <w:rPr>
          <w:sz w:val="24"/>
          <w:szCs w:val="24"/>
          <w:lang w:eastAsia="el-GR"/>
        </w:rPr>
        <w:t>,</w:t>
      </w:r>
      <w:r w:rsidR="002F4A29">
        <w:rPr>
          <w:sz w:val="24"/>
          <w:szCs w:val="24"/>
          <w:lang w:eastAsia="el-GR"/>
        </w:rPr>
        <w:t xml:space="preserve"> 2011</w:t>
      </w:r>
      <w:r w:rsidR="007A51AB" w:rsidRPr="005A464E">
        <w:rPr>
          <w:sz w:val="24"/>
          <w:szCs w:val="24"/>
          <w:lang w:eastAsia="el-GR"/>
        </w:rPr>
        <w:t>).</w:t>
      </w:r>
    </w:p>
    <w:p w:rsidR="007A51AB" w:rsidRPr="00886C7F" w:rsidRDefault="00521498" w:rsidP="00DB466F">
      <w:pPr>
        <w:numPr>
          <w:ilvl w:val="0"/>
          <w:numId w:val="36"/>
        </w:numPr>
        <w:spacing w:line="360" w:lineRule="auto"/>
        <w:jc w:val="both"/>
        <w:rPr>
          <w:rFonts w:cstheme="minorHAnsi"/>
          <w:b/>
          <w:sz w:val="24"/>
          <w:szCs w:val="24"/>
          <w:lang w:eastAsia="el-GR"/>
        </w:rPr>
      </w:pPr>
      <w:r w:rsidRPr="005A464E">
        <w:rPr>
          <w:sz w:val="24"/>
          <w:szCs w:val="24"/>
          <w:lang w:eastAsia="el-GR"/>
        </w:rPr>
        <w:t xml:space="preserve">Υπάρχει θετική συσχέτιση μεταξύ του επιπέδου συμμόρφωσης στη θεραπευτική αγωγή </w:t>
      </w:r>
      <w:r w:rsidRPr="00886C7F">
        <w:rPr>
          <w:sz w:val="24"/>
          <w:szCs w:val="24"/>
          <w:lang w:eastAsia="el-GR"/>
        </w:rPr>
        <w:t>και του επιπέδου της ποιότητας ζωής</w:t>
      </w:r>
      <w:r w:rsidR="007A51AB" w:rsidRPr="00886C7F">
        <w:rPr>
          <w:sz w:val="24"/>
          <w:szCs w:val="24"/>
          <w:lang w:eastAsia="el-GR"/>
        </w:rPr>
        <w:t xml:space="preserve"> </w:t>
      </w:r>
      <w:r w:rsidR="007A51AB" w:rsidRPr="00886C7F">
        <w:rPr>
          <w:rFonts w:cstheme="minorHAnsi"/>
          <w:sz w:val="24"/>
          <w:szCs w:val="24"/>
          <w:lang w:eastAsia="el-GR"/>
        </w:rPr>
        <w:t>(</w:t>
      </w:r>
      <w:r w:rsidR="007A51AB" w:rsidRPr="00886C7F">
        <w:rPr>
          <w:rFonts w:cstheme="minorHAnsi"/>
          <w:sz w:val="24"/>
          <w:szCs w:val="24"/>
          <w:lang w:val="en-US"/>
        </w:rPr>
        <w:t>Garc</w:t>
      </w:r>
      <w:r w:rsidR="007A51AB" w:rsidRPr="00886C7F">
        <w:rPr>
          <w:rFonts w:cstheme="minorHAnsi"/>
          <w:sz w:val="24"/>
          <w:szCs w:val="24"/>
        </w:rPr>
        <w:t>í</w:t>
      </w:r>
      <w:r w:rsidR="007A51AB" w:rsidRPr="00886C7F">
        <w:rPr>
          <w:rFonts w:cstheme="minorHAnsi"/>
          <w:sz w:val="24"/>
          <w:szCs w:val="24"/>
          <w:lang w:val="en-US"/>
        </w:rPr>
        <w:t>a</w:t>
      </w:r>
      <w:r w:rsidR="007A51AB" w:rsidRPr="00886C7F">
        <w:rPr>
          <w:rFonts w:cstheme="minorHAnsi"/>
          <w:sz w:val="24"/>
          <w:szCs w:val="24"/>
        </w:rPr>
        <w:t>-</w:t>
      </w:r>
      <w:r w:rsidR="007A51AB" w:rsidRPr="00886C7F">
        <w:rPr>
          <w:rFonts w:cstheme="minorHAnsi"/>
          <w:sz w:val="24"/>
          <w:szCs w:val="24"/>
          <w:lang w:val="en-US"/>
        </w:rPr>
        <w:t>Llana</w:t>
      </w:r>
      <w:r w:rsidR="00197BA9" w:rsidRPr="00886C7F">
        <w:rPr>
          <w:rFonts w:cstheme="minorHAnsi"/>
          <w:sz w:val="24"/>
          <w:szCs w:val="24"/>
        </w:rPr>
        <w:t xml:space="preserve"> </w:t>
      </w:r>
      <w:r w:rsidR="00197BA9" w:rsidRPr="00886C7F">
        <w:rPr>
          <w:rFonts w:cstheme="minorHAnsi"/>
          <w:sz w:val="24"/>
          <w:szCs w:val="24"/>
          <w:lang w:val="en-US"/>
        </w:rPr>
        <w:t>et</w:t>
      </w:r>
      <w:r w:rsidR="00197BA9" w:rsidRPr="00886C7F">
        <w:rPr>
          <w:rFonts w:cstheme="minorHAnsi"/>
          <w:sz w:val="24"/>
          <w:szCs w:val="24"/>
        </w:rPr>
        <w:t xml:space="preserve"> </w:t>
      </w:r>
      <w:r w:rsidR="00197BA9" w:rsidRPr="00886C7F">
        <w:rPr>
          <w:rFonts w:cstheme="minorHAnsi"/>
          <w:sz w:val="24"/>
          <w:szCs w:val="24"/>
          <w:lang w:val="en-US"/>
        </w:rPr>
        <w:t>al</w:t>
      </w:r>
      <w:r w:rsidR="00197BA9" w:rsidRPr="00886C7F">
        <w:rPr>
          <w:rFonts w:cstheme="minorHAnsi"/>
          <w:sz w:val="24"/>
          <w:szCs w:val="24"/>
        </w:rPr>
        <w:t>.,</w:t>
      </w:r>
      <w:r w:rsidR="00B649CB" w:rsidRPr="00886C7F">
        <w:rPr>
          <w:rFonts w:cstheme="minorHAnsi"/>
          <w:sz w:val="24"/>
          <w:szCs w:val="24"/>
        </w:rPr>
        <w:t xml:space="preserve"> </w:t>
      </w:r>
      <w:r w:rsidR="007A51AB" w:rsidRPr="00886C7F">
        <w:rPr>
          <w:rFonts w:cstheme="minorHAnsi"/>
          <w:sz w:val="24"/>
          <w:szCs w:val="24"/>
        </w:rPr>
        <w:t xml:space="preserve">2013; </w:t>
      </w:r>
      <w:r w:rsidR="007A51AB" w:rsidRPr="00886C7F">
        <w:rPr>
          <w:rFonts w:cstheme="minorHAnsi"/>
          <w:sz w:val="24"/>
          <w:szCs w:val="24"/>
          <w:lang w:val="en-US"/>
        </w:rPr>
        <w:t>Yi</w:t>
      </w:r>
      <w:r w:rsidR="007A51AB" w:rsidRPr="00886C7F">
        <w:rPr>
          <w:rFonts w:cstheme="minorHAnsi"/>
          <w:sz w:val="24"/>
          <w:szCs w:val="24"/>
        </w:rPr>
        <w:t>-</w:t>
      </w:r>
      <w:r w:rsidR="007A51AB" w:rsidRPr="00886C7F">
        <w:rPr>
          <w:rFonts w:cstheme="minorHAnsi"/>
          <w:sz w:val="24"/>
          <w:szCs w:val="24"/>
          <w:lang w:val="en-US"/>
        </w:rPr>
        <w:t>Wen</w:t>
      </w:r>
      <w:r w:rsidR="007A51AB" w:rsidRPr="00886C7F">
        <w:rPr>
          <w:rFonts w:cstheme="minorHAnsi"/>
          <w:sz w:val="24"/>
          <w:szCs w:val="24"/>
        </w:rPr>
        <w:t xml:space="preserve"> </w:t>
      </w:r>
      <w:r w:rsidR="007A51AB" w:rsidRPr="00886C7F">
        <w:rPr>
          <w:rFonts w:cstheme="minorHAnsi"/>
          <w:sz w:val="24"/>
          <w:szCs w:val="24"/>
          <w:lang w:val="en-US"/>
        </w:rPr>
        <w:t>Chiu</w:t>
      </w:r>
      <w:r w:rsidR="007A51AB" w:rsidRPr="00886C7F">
        <w:rPr>
          <w:rFonts w:cstheme="minorHAnsi"/>
          <w:sz w:val="24"/>
          <w:szCs w:val="24"/>
        </w:rPr>
        <w:t xml:space="preserve"> </w:t>
      </w:r>
      <w:r w:rsidR="00566CAA" w:rsidRPr="00886C7F">
        <w:rPr>
          <w:rFonts w:cstheme="minorHAnsi"/>
          <w:sz w:val="24"/>
          <w:szCs w:val="24"/>
        </w:rPr>
        <w:t>et al</w:t>
      </w:r>
      <w:r w:rsidR="00210189" w:rsidRPr="00886C7F">
        <w:rPr>
          <w:rFonts w:cstheme="minorHAnsi"/>
          <w:sz w:val="24"/>
          <w:szCs w:val="24"/>
        </w:rPr>
        <w:t>.</w:t>
      </w:r>
      <w:r w:rsidR="00961E11" w:rsidRPr="00886C7F">
        <w:rPr>
          <w:rFonts w:cstheme="minorHAnsi"/>
          <w:sz w:val="24"/>
          <w:szCs w:val="24"/>
        </w:rPr>
        <w:t>,</w:t>
      </w:r>
      <w:r w:rsidR="007A51AB" w:rsidRPr="00886C7F">
        <w:rPr>
          <w:rFonts w:cstheme="minorHAnsi"/>
          <w:sz w:val="24"/>
          <w:szCs w:val="24"/>
        </w:rPr>
        <w:t xml:space="preserve"> 2009)</w:t>
      </w:r>
    </w:p>
    <w:p w:rsidR="00824D61" w:rsidRPr="00886C7F" w:rsidRDefault="00824D61" w:rsidP="00DB466F">
      <w:pPr>
        <w:numPr>
          <w:ilvl w:val="0"/>
          <w:numId w:val="36"/>
        </w:numPr>
        <w:spacing w:line="360" w:lineRule="auto"/>
        <w:jc w:val="both"/>
        <w:rPr>
          <w:rFonts w:cstheme="minorHAnsi"/>
          <w:b/>
          <w:sz w:val="24"/>
          <w:szCs w:val="24"/>
          <w:lang w:eastAsia="el-GR"/>
        </w:rPr>
      </w:pPr>
      <w:r w:rsidRPr="00886C7F">
        <w:rPr>
          <w:sz w:val="24"/>
          <w:szCs w:val="24"/>
          <w:lang w:eastAsia="el-GR"/>
        </w:rPr>
        <w:t xml:space="preserve">Υπάρχει θετική συσχέτιση μεταξύ </w:t>
      </w:r>
      <w:r w:rsidR="007B0920" w:rsidRPr="00886C7F">
        <w:rPr>
          <w:sz w:val="24"/>
          <w:szCs w:val="24"/>
          <w:lang w:eastAsia="el-GR"/>
        </w:rPr>
        <w:t xml:space="preserve">του επιπέδου </w:t>
      </w:r>
      <w:r w:rsidRPr="00886C7F">
        <w:rPr>
          <w:sz w:val="24"/>
          <w:szCs w:val="24"/>
          <w:lang w:eastAsia="el-GR"/>
        </w:rPr>
        <w:t>γνώσης σχετικά με τη ΧΝΝ και τη θεραπευτική αγωγή και του επιπέδου της ποιότητας ζωής.</w:t>
      </w:r>
    </w:p>
    <w:p w:rsidR="004F0141" w:rsidRPr="00886C7F" w:rsidRDefault="007A51AB" w:rsidP="005A464E">
      <w:pPr>
        <w:spacing w:line="360" w:lineRule="auto"/>
        <w:ind w:left="360"/>
        <w:jc w:val="both"/>
        <w:rPr>
          <w:b/>
          <w:sz w:val="24"/>
          <w:szCs w:val="24"/>
          <w:lang w:eastAsia="el-GR"/>
        </w:rPr>
      </w:pPr>
      <w:r w:rsidRPr="00886C7F">
        <w:rPr>
          <w:b/>
          <w:sz w:val="32"/>
          <w:szCs w:val="24"/>
          <w:lang w:eastAsia="el-GR"/>
        </w:rPr>
        <w:t xml:space="preserve"> </w:t>
      </w:r>
      <w:r w:rsidR="004F0141" w:rsidRPr="00886C7F">
        <w:rPr>
          <w:b/>
          <w:sz w:val="24"/>
          <w:szCs w:val="24"/>
          <w:lang w:eastAsia="el-GR"/>
        </w:rPr>
        <w:t>ΣΥΜΒΟΛΗ ΣΤΗΝ ΕΠΙΣΤΗΜΗ</w:t>
      </w:r>
    </w:p>
    <w:p w:rsidR="004F0141" w:rsidRPr="005A464E" w:rsidRDefault="004F0141" w:rsidP="005A464E">
      <w:pPr>
        <w:spacing w:line="360" w:lineRule="auto"/>
        <w:jc w:val="both"/>
        <w:rPr>
          <w:sz w:val="24"/>
          <w:szCs w:val="24"/>
          <w:lang w:eastAsia="el-GR"/>
        </w:rPr>
      </w:pPr>
      <w:r w:rsidRPr="00886C7F">
        <w:rPr>
          <w:sz w:val="24"/>
          <w:szCs w:val="24"/>
          <w:lang w:eastAsia="el-GR"/>
        </w:rPr>
        <w:t xml:space="preserve">Με την παρούσα </w:t>
      </w:r>
      <w:r w:rsidR="009B3D1B" w:rsidRPr="00886C7F">
        <w:rPr>
          <w:sz w:val="24"/>
          <w:szCs w:val="24"/>
          <w:lang w:eastAsia="el-GR"/>
        </w:rPr>
        <w:t>μελέτη</w:t>
      </w:r>
      <w:r w:rsidR="00B4478C" w:rsidRPr="00886C7F">
        <w:rPr>
          <w:sz w:val="24"/>
          <w:szCs w:val="24"/>
          <w:lang w:eastAsia="el-GR"/>
        </w:rPr>
        <w:t xml:space="preserve"> </w:t>
      </w:r>
      <w:r w:rsidR="00EC4BDF" w:rsidRPr="00886C7F">
        <w:rPr>
          <w:sz w:val="24"/>
          <w:szCs w:val="24"/>
          <w:lang w:eastAsia="el-GR"/>
        </w:rPr>
        <w:t>παρουσιά</w:t>
      </w:r>
      <w:r w:rsidR="00B4478C" w:rsidRPr="00886C7F">
        <w:rPr>
          <w:sz w:val="24"/>
          <w:szCs w:val="24"/>
          <w:lang w:eastAsia="el-GR"/>
        </w:rPr>
        <w:t>ζονται</w:t>
      </w:r>
      <w:r w:rsidRPr="00886C7F">
        <w:rPr>
          <w:sz w:val="24"/>
          <w:szCs w:val="24"/>
          <w:lang w:eastAsia="el-GR"/>
        </w:rPr>
        <w:t xml:space="preserve"> τα νεώτερα δεδομένα και στοιχεία σχετικά με τη συμμόρφωση και την ποιότητα ζωής</w:t>
      </w:r>
      <w:r w:rsidRPr="005A464E">
        <w:rPr>
          <w:sz w:val="24"/>
          <w:szCs w:val="24"/>
          <w:lang w:eastAsia="el-GR"/>
        </w:rPr>
        <w:t xml:space="preserve"> των ασθενών που υποβάλλοντ</w:t>
      </w:r>
      <w:r w:rsidR="00B4478C">
        <w:rPr>
          <w:sz w:val="24"/>
          <w:szCs w:val="24"/>
          <w:lang w:eastAsia="el-GR"/>
        </w:rPr>
        <w:t xml:space="preserve">αι σε αιμοκάθαρση. Επιπλέον, </w:t>
      </w:r>
      <w:r w:rsidR="00EC4BDF">
        <w:rPr>
          <w:sz w:val="24"/>
          <w:szCs w:val="24"/>
          <w:lang w:eastAsia="el-GR"/>
        </w:rPr>
        <w:t>μελετάται</w:t>
      </w:r>
      <w:r w:rsidRPr="005A464E">
        <w:rPr>
          <w:sz w:val="24"/>
          <w:szCs w:val="24"/>
          <w:lang w:eastAsia="el-GR"/>
        </w:rPr>
        <w:t xml:space="preserve"> το επίπεδο γνώσεων των ασθενών σχετικά με την ασθένειά τους και το θεραπευτικό σχήμα στο οποίο υποβάλλονται. Έτσι, </w:t>
      </w:r>
      <w:r w:rsidR="00EC4BDF">
        <w:rPr>
          <w:sz w:val="24"/>
          <w:szCs w:val="24"/>
          <w:lang w:eastAsia="el-GR"/>
        </w:rPr>
        <w:t xml:space="preserve">διαπιστώνεται το γνωστικό έλλειμμα </w:t>
      </w:r>
      <w:r w:rsidRPr="005A464E">
        <w:rPr>
          <w:sz w:val="24"/>
          <w:szCs w:val="24"/>
          <w:lang w:eastAsia="el-GR"/>
        </w:rPr>
        <w:t>των ασθενών και</w:t>
      </w:r>
      <w:r w:rsidR="0078495A">
        <w:rPr>
          <w:sz w:val="24"/>
          <w:szCs w:val="24"/>
          <w:lang w:eastAsia="el-GR"/>
        </w:rPr>
        <w:t xml:space="preserve"> </w:t>
      </w:r>
      <w:r w:rsidRPr="005A464E">
        <w:rPr>
          <w:sz w:val="24"/>
          <w:szCs w:val="24"/>
          <w:lang w:eastAsia="el-GR"/>
        </w:rPr>
        <w:t>οι εκπαιδευτικές τους ανάγκες</w:t>
      </w:r>
      <w:r w:rsidR="00EC4BDF">
        <w:rPr>
          <w:sz w:val="24"/>
          <w:szCs w:val="24"/>
          <w:lang w:eastAsia="el-GR"/>
        </w:rPr>
        <w:t xml:space="preserve"> προκειμένου με την κατάλληλη εκπαιδευτική παρέμβαση να καλυφθούν</w:t>
      </w:r>
      <w:r w:rsidRPr="005A464E">
        <w:rPr>
          <w:sz w:val="24"/>
          <w:szCs w:val="24"/>
          <w:lang w:eastAsia="el-GR"/>
        </w:rPr>
        <w:t xml:space="preserve">. </w:t>
      </w:r>
      <w:r w:rsidR="005168EB" w:rsidRPr="005A464E">
        <w:rPr>
          <w:sz w:val="24"/>
          <w:szCs w:val="24"/>
          <w:lang w:eastAsia="el-GR"/>
        </w:rPr>
        <w:t xml:space="preserve">Η εκπαιδευτική παρέμβαση </w:t>
      </w:r>
      <w:r w:rsidR="00B4478C">
        <w:rPr>
          <w:sz w:val="24"/>
          <w:szCs w:val="24"/>
          <w:lang w:eastAsia="el-GR"/>
        </w:rPr>
        <w:t>αποτελεί</w:t>
      </w:r>
      <w:r w:rsidR="005168EB" w:rsidRPr="005A464E">
        <w:rPr>
          <w:sz w:val="24"/>
          <w:szCs w:val="24"/>
          <w:lang w:eastAsia="el-GR"/>
        </w:rPr>
        <w:t xml:space="preserve"> το έναυσμα για συνεχή εκπαίδευση και ανίχνευση των αναγκών αυτής της ειδικής ομάδας ασθενών. Τέλος, είναι δυνατή η σύγκριση των αποτελεσμάτων με διεθνείς μελέτες.</w:t>
      </w:r>
    </w:p>
    <w:p w:rsidR="00FC515E" w:rsidRPr="00886C7F" w:rsidRDefault="00EC4BDF" w:rsidP="00FC515E">
      <w:pPr>
        <w:pStyle w:val="25"/>
        <w:numPr>
          <w:ilvl w:val="1"/>
          <w:numId w:val="114"/>
        </w:numPr>
        <w:spacing w:line="360" w:lineRule="auto"/>
        <w:rPr>
          <w:rFonts w:asciiTheme="minorHAnsi" w:hAnsiTheme="minorHAnsi"/>
          <w:lang w:eastAsia="el-GR"/>
        </w:rPr>
      </w:pPr>
      <w:r w:rsidRPr="00886C7F">
        <w:rPr>
          <w:rFonts w:asciiTheme="minorHAnsi" w:hAnsiTheme="minorHAnsi"/>
          <w:lang w:eastAsia="el-GR"/>
        </w:rPr>
        <w:t xml:space="preserve"> </w:t>
      </w:r>
      <w:bookmarkStart w:id="68" w:name="_Toc495951463"/>
      <w:r w:rsidRPr="00886C7F">
        <w:rPr>
          <w:rFonts w:asciiTheme="minorHAnsi" w:hAnsiTheme="minorHAnsi"/>
          <w:lang w:eastAsia="el-GR"/>
        </w:rPr>
        <w:t>Με</w:t>
      </w:r>
      <w:r w:rsidR="00D359B9" w:rsidRPr="00886C7F">
        <w:rPr>
          <w:rFonts w:asciiTheme="minorHAnsi" w:hAnsiTheme="minorHAnsi"/>
          <w:lang w:eastAsia="el-GR"/>
        </w:rPr>
        <w:t>θοδο</w:t>
      </w:r>
      <w:r w:rsidRPr="00886C7F">
        <w:rPr>
          <w:rFonts w:asciiTheme="minorHAnsi" w:hAnsiTheme="minorHAnsi"/>
          <w:lang w:eastAsia="el-GR"/>
        </w:rPr>
        <w:t>λογία</w:t>
      </w:r>
      <w:bookmarkEnd w:id="68"/>
    </w:p>
    <w:p w:rsidR="001B0E6D" w:rsidRPr="00886C7F" w:rsidRDefault="00056BDA" w:rsidP="001B0E6D">
      <w:pPr>
        <w:pStyle w:val="25"/>
        <w:numPr>
          <w:ilvl w:val="2"/>
          <w:numId w:val="114"/>
        </w:numPr>
        <w:spacing w:line="360" w:lineRule="auto"/>
        <w:rPr>
          <w:rFonts w:ascii="Calibri" w:hAnsi="Calibri" w:cs="Calibri"/>
          <w:sz w:val="24"/>
          <w:szCs w:val="24"/>
          <w:lang w:eastAsia="el-GR"/>
        </w:rPr>
      </w:pPr>
      <w:bookmarkStart w:id="69" w:name="_Toc495951464"/>
      <w:r w:rsidRPr="00886C7F">
        <w:rPr>
          <w:rFonts w:ascii="Calibri" w:hAnsi="Calibri" w:cs="Calibri"/>
          <w:sz w:val="24"/>
          <w:szCs w:val="24"/>
          <w:lang w:eastAsia="el-GR"/>
        </w:rPr>
        <w:t>Ερευνητικός σχεδιασμός</w:t>
      </w:r>
      <w:bookmarkEnd w:id="69"/>
    </w:p>
    <w:p w:rsidR="001B0E6D" w:rsidRPr="00886C7F" w:rsidRDefault="001B0E6D" w:rsidP="00EC4BDF">
      <w:pPr>
        <w:tabs>
          <w:tab w:val="left" w:pos="6643"/>
        </w:tabs>
        <w:spacing w:line="360" w:lineRule="auto"/>
        <w:jc w:val="both"/>
        <w:rPr>
          <w:sz w:val="24"/>
          <w:szCs w:val="24"/>
          <w:lang w:eastAsia="el-GR"/>
        </w:rPr>
      </w:pPr>
      <w:r w:rsidRPr="00886C7F">
        <w:rPr>
          <w:sz w:val="24"/>
          <w:szCs w:val="24"/>
          <w:lang w:eastAsia="el-GR"/>
        </w:rPr>
        <w:t xml:space="preserve">Η παρούσα μελέτη είναι οιονεί πειραματική μελέτη με </w:t>
      </w:r>
      <w:r w:rsidR="00BA566F" w:rsidRPr="00886C7F">
        <w:rPr>
          <w:sz w:val="24"/>
          <w:szCs w:val="24"/>
          <w:lang w:eastAsia="el-GR"/>
        </w:rPr>
        <w:t xml:space="preserve">δύο </w:t>
      </w:r>
      <w:r w:rsidRPr="00886C7F">
        <w:rPr>
          <w:sz w:val="24"/>
          <w:szCs w:val="24"/>
          <w:lang w:eastAsia="el-GR"/>
        </w:rPr>
        <w:t>ομάδες (ελέγχου και παρέμβασης) με προ-μέτρηση και μετα-μέτρηση καθώς και μελέτη συσχετίσεως.</w:t>
      </w:r>
    </w:p>
    <w:p w:rsidR="001B0E6D" w:rsidRPr="00886C7F" w:rsidRDefault="00FC515E" w:rsidP="001B0E6D">
      <w:pPr>
        <w:pStyle w:val="25"/>
        <w:numPr>
          <w:ilvl w:val="2"/>
          <w:numId w:val="114"/>
        </w:numPr>
        <w:spacing w:line="360" w:lineRule="auto"/>
        <w:rPr>
          <w:rFonts w:ascii="Calibri" w:hAnsi="Calibri" w:cs="Calibri"/>
          <w:sz w:val="24"/>
          <w:szCs w:val="24"/>
          <w:lang w:eastAsia="el-GR"/>
        </w:rPr>
      </w:pPr>
      <w:bookmarkStart w:id="70" w:name="_Toc495951465"/>
      <w:r w:rsidRPr="00886C7F">
        <w:rPr>
          <w:rFonts w:ascii="Calibri" w:hAnsi="Calibri" w:cs="Calibri"/>
          <w:sz w:val="24"/>
          <w:szCs w:val="24"/>
          <w:lang w:eastAsia="el-GR"/>
        </w:rPr>
        <w:t>Δείγμα ασθενών</w:t>
      </w:r>
      <w:bookmarkEnd w:id="70"/>
      <w:r w:rsidR="001B0E6D" w:rsidRPr="00886C7F">
        <w:rPr>
          <w:rFonts w:ascii="Calibri" w:hAnsi="Calibri" w:cs="Calibri"/>
          <w:sz w:val="24"/>
          <w:szCs w:val="24"/>
          <w:lang w:eastAsia="el-GR"/>
        </w:rPr>
        <w:t xml:space="preserve">  </w:t>
      </w:r>
    </w:p>
    <w:p w:rsidR="001B0E6D" w:rsidRPr="00886C7F" w:rsidRDefault="001B0E6D" w:rsidP="001B0E6D">
      <w:pPr>
        <w:tabs>
          <w:tab w:val="left" w:pos="6643"/>
        </w:tabs>
        <w:spacing w:line="360" w:lineRule="auto"/>
        <w:jc w:val="both"/>
        <w:rPr>
          <w:rFonts w:cs="Calibri"/>
          <w:sz w:val="24"/>
          <w:szCs w:val="24"/>
          <w:lang w:eastAsia="el-GR"/>
        </w:rPr>
      </w:pPr>
      <w:r w:rsidRPr="00886C7F">
        <w:rPr>
          <w:rFonts w:cs="Calibri"/>
          <w:sz w:val="24"/>
          <w:szCs w:val="24"/>
          <w:lang w:eastAsia="el-GR"/>
        </w:rPr>
        <w:t>Στη μελέτη συμμετείχαν ασθενείς με ΤΣΧΝΝ</w:t>
      </w:r>
      <w:r w:rsidR="00824D61" w:rsidRPr="00886C7F">
        <w:rPr>
          <w:rFonts w:cs="Calibri"/>
          <w:sz w:val="24"/>
          <w:szCs w:val="24"/>
          <w:lang w:eastAsia="el-GR"/>
        </w:rPr>
        <w:t xml:space="preserve"> που υποβάλλονταν</w:t>
      </w:r>
      <w:r w:rsidRPr="00886C7F">
        <w:rPr>
          <w:rFonts w:cs="Calibri"/>
          <w:sz w:val="24"/>
          <w:szCs w:val="24"/>
          <w:lang w:eastAsia="el-GR"/>
        </w:rPr>
        <w:t xml:space="preserve"> σε </w:t>
      </w:r>
      <w:r w:rsidR="00824D61" w:rsidRPr="00886C7F">
        <w:rPr>
          <w:rFonts w:cs="Calibri"/>
          <w:sz w:val="24"/>
          <w:szCs w:val="24"/>
          <w:lang w:eastAsia="el-GR"/>
        </w:rPr>
        <w:t xml:space="preserve">πρόγραμμα </w:t>
      </w:r>
      <w:r w:rsidRPr="00886C7F">
        <w:rPr>
          <w:rFonts w:cs="Calibri"/>
          <w:sz w:val="24"/>
          <w:szCs w:val="24"/>
          <w:lang w:eastAsia="el-GR"/>
        </w:rPr>
        <w:t>αιμοκάθαρση</w:t>
      </w:r>
      <w:r w:rsidR="00824D61" w:rsidRPr="00886C7F">
        <w:rPr>
          <w:rFonts w:cs="Calibri"/>
          <w:sz w:val="24"/>
          <w:szCs w:val="24"/>
          <w:lang w:eastAsia="el-GR"/>
        </w:rPr>
        <w:t>ς</w:t>
      </w:r>
      <w:r w:rsidRPr="00886C7F">
        <w:rPr>
          <w:rFonts w:cs="Calibri"/>
          <w:sz w:val="24"/>
          <w:szCs w:val="24"/>
          <w:lang w:eastAsia="el-GR"/>
        </w:rPr>
        <w:t xml:space="preserve">. </w:t>
      </w:r>
      <w:r w:rsidRPr="00886C7F">
        <w:rPr>
          <w:rFonts w:cs="Calibri"/>
          <w:sz w:val="24"/>
          <w:szCs w:val="24"/>
          <w:lang w:val="en-US" w:eastAsia="el-GR"/>
        </w:rPr>
        <w:t>H</w:t>
      </w:r>
      <w:r w:rsidRPr="00886C7F">
        <w:rPr>
          <w:rFonts w:cs="Calibri"/>
          <w:sz w:val="24"/>
          <w:szCs w:val="24"/>
          <w:lang w:eastAsia="el-GR"/>
        </w:rPr>
        <w:t xml:space="preserve"> μελέτη διεξήχθη κατά το χρονικό διάστημα μεταξύ Οκτωβρίου 2013-Απριλίου 2017. </w:t>
      </w:r>
    </w:p>
    <w:p w:rsidR="001B0E6D" w:rsidRPr="00886C7F" w:rsidRDefault="001B0E6D" w:rsidP="001B0E6D">
      <w:pPr>
        <w:pStyle w:val="25"/>
        <w:numPr>
          <w:ilvl w:val="2"/>
          <w:numId w:val="114"/>
        </w:numPr>
        <w:spacing w:line="360" w:lineRule="auto"/>
        <w:rPr>
          <w:rFonts w:ascii="Calibri" w:hAnsi="Calibri" w:cs="Calibri"/>
          <w:sz w:val="24"/>
          <w:szCs w:val="24"/>
          <w:lang w:eastAsia="el-GR"/>
        </w:rPr>
      </w:pPr>
      <w:bookmarkStart w:id="71" w:name="_Toc495951466"/>
      <w:r w:rsidRPr="00886C7F">
        <w:rPr>
          <w:rFonts w:ascii="Calibri" w:hAnsi="Calibri" w:cs="Calibri"/>
          <w:sz w:val="24"/>
          <w:szCs w:val="24"/>
          <w:lang w:eastAsia="el-GR"/>
        </w:rPr>
        <w:t>Τόπος διεξαγωγής της μελέτης</w:t>
      </w:r>
      <w:bookmarkEnd w:id="71"/>
      <w:r w:rsidRPr="00886C7F">
        <w:rPr>
          <w:rFonts w:ascii="Calibri" w:hAnsi="Calibri" w:cs="Calibri"/>
          <w:sz w:val="24"/>
          <w:szCs w:val="24"/>
          <w:lang w:eastAsia="el-GR"/>
        </w:rPr>
        <w:t xml:space="preserve">  </w:t>
      </w:r>
    </w:p>
    <w:p w:rsidR="001B0E6D" w:rsidRPr="001B0E6D" w:rsidRDefault="001B0E6D" w:rsidP="001B0E6D">
      <w:pPr>
        <w:tabs>
          <w:tab w:val="left" w:pos="6643"/>
        </w:tabs>
        <w:spacing w:after="240" w:line="360" w:lineRule="auto"/>
        <w:jc w:val="both"/>
        <w:rPr>
          <w:rFonts w:cs="Calibri"/>
          <w:sz w:val="24"/>
          <w:szCs w:val="24"/>
          <w:lang w:eastAsia="el-GR"/>
        </w:rPr>
      </w:pPr>
      <w:r w:rsidRPr="00886C7F">
        <w:rPr>
          <w:rFonts w:cs="Calibri"/>
          <w:sz w:val="24"/>
          <w:szCs w:val="24"/>
          <w:lang w:eastAsia="el-GR"/>
        </w:rPr>
        <w:t xml:space="preserve">Η μελέτη πραγματοποιήθηκε στην </w:t>
      </w:r>
      <w:r w:rsidRPr="00886C7F">
        <w:rPr>
          <w:rFonts w:cs="Calibri"/>
          <w:sz w:val="24"/>
          <w:szCs w:val="24"/>
          <w:lang w:val="en-US" w:eastAsia="el-GR"/>
        </w:rPr>
        <w:t>MEDIFIL</w:t>
      </w:r>
      <w:r w:rsidRPr="00886C7F">
        <w:rPr>
          <w:rFonts w:cs="Calibri"/>
          <w:sz w:val="24"/>
          <w:szCs w:val="24"/>
          <w:lang w:eastAsia="el-GR"/>
        </w:rPr>
        <w:t xml:space="preserve"> Ιδιωτική Ιατρική Μονάδα Αιμοκάθαρσης Α.Ε. δ.τ. Ιατρικό Θεραπευτήριο Ιλίου, στο Γενικό</w:t>
      </w:r>
      <w:r w:rsidRPr="00FC515E">
        <w:rPr>
          <w:rFonts w:cs="Calibri"/>
          <w:sz w:val="24"/>
          <w:szCs w:val="24"/>
          <w:lang w:eastAsia="el-GR"/>
        </w:rPr>
        <w:t xml:space="preserve"> Νοσοκομείο Λαμίας, στο Γενικό Παναρκαδικό Νοσοκομείο Τρίπολης και στο Γενικό Νοσοκομείο Λακωνίας-Νοσηλευτική Μονάδα Μολάων.</w:t>
      </w:r>
    </w:p>
    <w:p w:rsidR="001B0E6D" w:rsidRDefault="001B0E6D" w:rsidP="001B0E6D">
      <w:pPr>
        <w:pStyle w:val="25"/>
        <w:numPr>
          <w:ilvl w:val="2"/>
          <w:numId w:val="114"/>
        </w:numPr>
        <w:spacing w:line="360" w:lineRule="auto"/>
        <w:rPr>
          <w:rFonts w:ascii="Calibri" w:hAnsi="Calibri" w:cs="Calibri"/>
          <w:sz w:val="24"/>
          <w:szCs w:val="24"/>
        </w:rPr>
      </w:pPr>
      <w:bookmarkStart w:id="72" w:name="_Toc495951467"/>
      <w:r w:rsidRPr="001B0E6D">
        <w:rPr>
          <w:rFonts w:ascii="Calibri" w:hAnsi="Calibri" w:cs="Calibri"/>
          <w:sz w:val="24"/>
          <w:szCs w:val="24"/>
        </w:rPr>
        <w:t>Ηθική και Δεοντολογία</w:t>
      </w:r>
      <w:bookmarkEnd w:id="72"/>
    </w:p>
    <w:p w:rsidR="001B0E6D" w:rsidRPr="001B0E6D" w:rsidRDefault="001B0E6D" w:rsidP="001B0E6D">
      <w:pPr>
        <w:tabs>
          <w:tab w:val="left" w:pos="6643"/>
        </w:tabs>
        <w:spacing w:line="360" w:lineRule="auto"/>
        <w:jc w:val="both"/>
        <w:rPr>
          <w:sz w:val="24"/>
          <w:szCs w:val="24"/>
          <w:lang w:eastAsia="el-GR"/>
        </w:rPr>
      </w:pPr>
      <w:r w:rsidRPr="005A464E">
        <w:rPr>
          <w:sz w:val="24"/>
          <w:szCs w:val="24"/>
          <w:lang w:eastAsia="el-GR"/>
        </w:rPr>
        <w:t xml:space="preserve">Για τη διεξαγωγή της μελέτης εξασφαλίστηκαν οι άδειες από την Αρχή Προστασίας Δεδομένων Προσωπικού Χαρακτήρα </w:t>
      </w:r>
      <w:r>
        <w:rPr>
          <w:sz w:val="24"/>
          <w:szCs w:val="24"/>
          <w:lang w:eastAsia="el-GR"/>
        </w:rPr>
        <w:t>(</w:t>
      </w:r>
      <w:r w:rsidRPr="005A464E">
        <w:rPr>
          <w:sz w:val="24"/>
          <w:szCs w:val="24"/>
          <w:lang w:eastAsia="el-GR"/>
        </w:rPr>
        <w:t>αρ</w:t>
      </w:r>
      <w:r>
        <w:rPr>
          <w:sz w:val="24"/>
          <w:szCs w:val="24"/>
          <w:lang w:eastAsia="el-GR"/>
        </w:rPr>
        <w:t>.</w:t>
      </w:r>
      <w:r w:rsidRPr="005A464E">
        <w:rPr>
          <w:sz w:val="24"/>
          <w:szCs w:val="24"/>
          <w:lang w:eastAsia="el-GR"/>
        </w:rPr>
        <w:t xml:space="preserve"> πρωτ: ΓΝ/ΕΞ/240-3/11-02-2016</w:t>
      </w:r>
      <w:r>
        <w:rPr>
          <w:sz w:val="24"/>
          <w:szCs w:val="24"/>
          <w:lang w:eastAsia="el-GR"/>
        </w:rPr>
        <w:t>)</w:t>
      </w:r>
      <w:r w:rsidRPr="005A464E">
        <w:rPr>
          <w:sz w:val="24"/>
          <w:szCs w:val="24"/>
          <w:lang w:eastAsia="el-GR"/>
        </w:rPr>
        <w:t>,</w:t>
      </w:r>
      <w:r>
        <w:rPr>
          <w:sz w:val="24"/>
          <w:szCs w:val="24"/>
          <w:lang w:eastAsia="el-GR"/>
        </w:rPr>
        <w:t xml:space="preserve"> </w:t>
      </w:r>
      <w:r w:rsidRPr="005A464E">
        <w:rPr>
          <w:sz w:val="24"/>
          <w:szCs w:val="24"/>
          <w:lang w:eastAsia="el-GR"/>
        </w:rPr>
        <w:t>από την 5</w:t>
      </w:r>
      <w:r w:rsidRPr="005A464E">
        <w:rPr>
          <w:sz w:val="24"/>
          <w:szCs w:val="24"/>
          <w:vertAlign w:val="superscript"/>
          <w:lang w:eastAsia="el-GR"/>
        </w:rPr>
        <w:t>η</w:t>
      </w:r>
      <w:r w:rsidRPr="005A464E">
        <w:rPr>
          <w:sz w:val="24"/>
          <w:szCs w:val="24"/>
          <w:lang w:eastAsia="el-GR"/>
        </w:rPr>
        <w:t xml:space="preserve"> Υ.ΠΕ. Θεσσαλίας και Στερεάς Ελλάδος (αρ. </w:t>
      </w:r>
      <w:r w:rsidRPr="00886C7F">
        <w:rPr>
          <w:sz w:val="24"/>
          <w:szCs w:val="24"/>
          <w:lang w:eastAsia="el-GR"/>
        </w:rPr>
        <w:t>πρωτ. 25219/23.12.2016) και το Επιστημονικό Συμβούλιο του Γενικού Νοσοκομείου Λαμίας (αρ. πρωτ. Ε.Σ. 643/ 23.12.2016), από την 6</w:t>
      </w:r>
      <w:r w:rsidRPr="00886C7F">
        <w:rPr>
          <w:sz w:val="24"/>
          <w:szCs w:val="24"/>
          <w:vertAlign w:val="superscript"/>
          <w:lang w:eastAsia="el-GR"/>
        </w:rPr>
        <w:t>η</w:t>
      </w:r>
      <w:r w:rsidRPr="00886C7F">
        <w:rPr>
          <w:sz w:val="24"/>
          <w:szCs w:val="24"/>
          <w:lang w:eastAsia="el-GR"/>
        </w:rPr>
        <w:t xml:space="preserve"> Υ.ΠΕ. Πελοποννήσου, Ιονίων Νήσων, Ηπείρου και Δυτικής Ελλάδος (αρ. πρωτ. 19497/14.12.2016) και το Επιστημονικό Συμβούλιο του Γενικού Παναρκαδικού Νοσοκομείου Τρίπολης «Η Ευαγγελίστρια» (αρ. πρωτ. 1172/5.12.2016), από το Επιστημονικό Συμβούλιο του Γενικού Νοσοκομείου Λακωνίας-Νοσηλευτική Μονάδα Μολάων (αρ. πρωτ. 858/24.10.13) και από τη Μονάδα Τεχνητού Νεφρού «</w:t>
      </w:r>
      <w:r w:rsidRPr="00886C7F">
        <w:rPr>
          <w:sz w:val="24"/>
          <w:szCs w:val="24"/>
          <w:lang w:val="en-US" w:eastAsia="el-GR"/>
        </w:rPr>
        <w:t>MEDIFIL</w:t>
      </w:r>
      <w:r w:rsidRPr="00886C7F">
        <w:rPr>
          <w:sz w:val="24"/>
          <w:szCs w:val="24"/>
          <w:lang w:eastAsia="el-GR"/>
        </w:rPr>
        <w:t xml:space="preserve"> Ιδιωτική Ιατρική Μονάδα Αιμοκάθαρσης Α.Ε. Ιατρικό Θεραπευτήριο Ιλίου 25.11.15.</w:t>
      </w:r>
    </w:p>
    <w:p w:rsidR="00D97FAD" w:rsidRPr="001B0E6D" w:rsidRDefault="00D97FAD" w:rsidP="001B0E6D">
      <w:pPr>
        <w:pStyle w:val="25"/>
        <w:numPr>
          <w:ilvl w:val="2"/>
          <w:numId w:val="114"/>
        </w:numPr>
        <w:spacing w:line="360" w:lineRule="auto"/>
        <w:rPr>
          <w:rFonts w:asciiTheme="minorHAnsi" w:hAnsiTheme="minorHAnsi" w:cstheme="minorHAnsi"/>
          <w:sz w:val="24"/>
          <w:szCs w:val="24"/>
          <w:lang w:eastAsia="el-GR"/>
        </w:rPr>
      </w:pPr>
      <w:bookmarkStart w:id="73" w:name="_Toc495951468"/>
      <w:r w:rsidRPr="001B0E6D">
        <w:rPr>
          <w:rFonts w:asciiTheme="minorHAnsi" w:hAnsiTheme="minorHAnsi" w:cstheme="minorHAnsi"/>
          <w:sz w:val="24"/>
          <w:szCs w:val="24"/>
          <w:lang w:eastAsia="el-GR"/>
        </w:rPr>
        <w:t>Μέθοδος συλλογής δεδομένων –</w:t>
      </w:r>
      <w:r w:rsidR="00414291" w:rsidRPr="001B0E6D">
        <w:rPr>
          <w:rFonts w:asciiTheme="minorHAnsi" w:hAnsiTheme="minorHAnsi" w:cstheme="minorHAnsi"/>
          <w:sz w:val="24"/>
          <w:szCs w:val="24"/>
          <w:lang w:eastAsia="el-GR"/>
        </w:rPr>
        <w:t xml:space="preserve"> Ε</w:t>
      </w:r>
      <w:r w:rsidRPr="001B0E6D">
        <w:rPr>
          <w:rFonts w:asciiTheme="minorHAnsi" w:hAnsiTheme="minorHAnsi" w:cstheme="minorHAnsi"/>
          <w:sz w:val="24"/>
          <w:szCs w:val="24"/>
          <w:lang w:eastAsia="el-GR"/>
        </w:rPr>
        <w:t>ργαλεία μέτρησης</w:t>
      </w:r>
      <w:bookmarkEnd w:id="73"/>
    </w:p>
    <w:p w:rsidR="00824D61" w:rsidRDefault="00B102D9" w:rsidP="00D74CB5">
      <w:pPr>
        <w:spacing w:line="360" w:lineRule="auto"/>
        <w:jc w:val="both"/>
        <w:rPr>
          <w:sz w:val="24"/>
          <w:szCs w:val="24"/>
          <w:lang w:eastAsia="el-GR"/>
        </w:rPr>
      </w:pPr>
      <w:r w:rsidRPr="005A464E">
        <w:rPr>
          <w:sz w:val="24"/>
          <w:szCs w:val="24"/>
          <w:lang w:eastAsia="el-GR"/>
        </w:rPr>
        <w:t xml:space="preserve">Η μελέτη υλοποιήθηκε σε </w:t>
      </w:r>
      <w:r w:rsidR="00810B29">
        <w:rPr>
          <w:sz w:val="24"/>
          <w:szCs w:val="24"/>
          <w:lang w:eastAsia="el-GR"/>
        </w:rPr>
        <w:t>5</w:t>
      </w:r>
      <w:r w:rsidRPr="005A464E">
        <w:rPr>
          <w:sz w:val="24"/>
          <w:szCs w:val="24"/>
          <w:lang w:eastAsia="el-GR"/>
        </w:rPr>
        <w:t xml:space="preserve"> φάσεις. </w:t>
      </w:r>
    </w:p>
    <w:p w:rsidR="00824D61" w:rsidRDefault="00B102D9" w:rsidP="00D74CB5">
      <w:pPr>
        <w:spacing w:line="360" w:lineRule="auto"/>
        <w:jc w:val="both"/>
        <w:rPr>
          <w:sz w:val="24"/>
          <w:szCs w:val="24"/>
          <w:lang w:eastAsia="el-GR"/>
        </w:rPr>
      </w:pPr>
      <w:r w:rsidRPr="00824D61">
        <w:rPr>
          <w:i/>
          <w:sz w:val="24"/>
          <w:szCs w:val="24"/>
          <w:lang w:eastAsia="el-GR"/>
        </w:rPr>
        <w:t xml:space="preserve">Η πρώτη </w:t>
      </w:r>
      <w:r w:rsidRPr="00886C7F">
        <w:rPr>
          <w:i/>
          <w:sz w:val="24"/>
          <w:szCs w:val="24"/>
          <w:lang w:eastAsia="el-GR"/>
        </w:rPr>
        <w:t>φάση</w:t>
      </w:r>
      <w:r w:rsidRPr="00886C7F">
        <w:rPr>
          <w:sz w:val="24"/>
          <w:szCs w:val="24"/>
          <w:lang w:eastAsia="el-GR"/>
        </w:rPr>
        <w:t xml:space="preserve"> (1) περιελάμβανε: </w:t>
      </w:r>
      <w:r w:rsidR="00F936DF" w:rsidRPr="00886C7F">
        <w:rPr>
          <w:sz w:val="24"/>
          <w:szCs w:val="24"/>
          <w:lang w:eastAsia="el-GR"/>
        </w:rPr>
        <w:t>(</w:t>
      </w:r>
      <w:r w:rsidRPr="00886C7F">
        <w:rPr>
          <w:sz w:val="24"/>
          <w:szCs w:val="24"/>
          <w:lang w:eastAsia="el-GR"/>
        </w:rPr>
        <w:t>α) την</w:t>
      </w:r>
      <w:r w:rsidR="0078495A" w:rsidRPr="00886C7F">
        <w:rPr>
          <w:sz w:val="24"/>
          <w:szCs w:val="24"/>
          <w:lang w:eastAsia="el-GR"/>
        </w:rPr>
        <w:t xml:space="preserve"> </w:t>
      </w:r>
      <w:r w:rsidRPr="00886C7F">
        <w:rPr>
          <w:sz w:val="24"/>
          <w:szCs w:val="24"/>
          <w:lang w:eastAsia="el-GR"/>
        </w:rPr>
        <w:t>τροποποίηση και προσαρμογή του ερωτηματολογίου συμμόρφωσης</w:t>
      </w:r>
      <w:r w:rsidR="003B3E47" w:rsidRPr="00886C7F">
        <w:rPr>
          <w:sz w:val="24"/>
          <w:szCs w:val="24"/>
          <w:lang w:eastAsia="el-GR"/>
        </w:rPr>
        <w:t xml:space="preserve"> </w:t>
      </w:r>
      <w:r w:rsidR="00136281" w:rsidRPr="00886C7F">
        <w:rPr>
          <w:sz w:val="24"/>
          <w:szCs w:val="24"/>
          <w:lang w:val="en-US" w:eastAsia="el-GR"/>
        </w:rPr>
        <w:t>GR</w:t>
      </w:r>
      <w:r w:rsidR="00136281" w:rsidRPr="00886C7F">
        <w:rPr>
          <w:sz w:val="24"/>
          <w:szCs w:val="24"/>
          <w:lang w:eastAsia="el-GR"/>
        </w:rPr>
        <w:t>-</w:t>
      </w:r>
      <w:r w:rsidR="00136281" w:rsidRPr="00886C7F">
        <w:rPr>
          <w:sz w:val="24"/>
          <w:szCs w:val="24"/>
          <w:lang w:val="en-US" w:eastAsia="el-GR"/>
        </w:rPr>
        <w:t>Simplified</w:t>
      </w:r>
      <w:r w:rsidR="00136281" w:rsidRPr="00886C7F">
        <w:rPr>
          <w:sz w:val="24"/>
          <w:szCs w:val="24"/>
          <w:lang w:eastAsia="el-GR"/>
        </w:rPr>
        <w:t xml:space="preserve"> </w:t>
      </w:r>
      <w:r w:rsidR="00136281" w:rsidRPr="00886C7F">
        <w:rPr>
          <w:sz w:val="24"/>
          <w:szCs w:val="24"/>
          <w:lang w:val="en-US" w:eastAsia="el-GR"/>
        </w:rPr>
        <w:t>Medication</w:t>
      </w:r>
      <w:r w:rsidR="00136281" w:rsidRPr="00886C7F">
        <w:rPr>
          <w:sz w:val="24"/>
          <w:szCs w:val="24"/>
          <w:lang w:eastAsia="el-GR"/>
        </w:rPr>
        <w:t xml:space="preserve"> </w:t>
      </w:r>
      <w:r w:rsidR="00136281" w:rsidRPr="00886C7F">
        <w:rPr>
          <w:sz w:val="24"/>
          <w:szCs w:val="24"/>
          <w:lang w:val="en-US" w:eastAsia="el-GR"/>
        </w:rPr>
        <w:t>Adherence</w:t>
      </w:r>
      <w:r w:rsidR="00136281" w:rsidRPr="00886C7F">
        <w:rPr>
          <w:sz w:val="24"/>
          <w:szCs w:val="24"/>
          <w:lang w:eastAsia="el-GR"/>
        </w:rPr>
        <w:t xml:space="preserve"> </w:t>
      </w:r>
      <w:r w:rsidR="00136281" w:rsidRPr="00886C7F">
        <w:rPr>
          <w:sz w:val="24"/>
          <w:szCs w:val="24"/>
          <w:lang w:val="en-US" w:eastAsia="el-GR"/>
        </w:rPr>
        <w:t>Questionnaire</w:t>
      </w:r>
      <w:r w:rsidR="00866AD5" w:rsidRPr="00886C7F">
        <w:rPr>
          <w:sz w:val="24"/>
          <w:szCs w:val="24"/>
          <w:lang w:eastAsia="el-GR"/>
        </w:rPr>
        <w:t xml:space="preserve"> </w:t>
      </w:r>
      <w:r w:rsidR="00065BAD" w:rsidRPr="00886C7F">
        <w:rPr>
          <w:sz w:val="24"/>
          <w:szCs w:val="24"/>
          <w:lang w:eastAsia="el-GR"/>
        </w:rPr>
        <w:t>(</w:t>
      </w:r>
      <w:r w:rsidR="00136281" w:rsidRPr="00886C7F">
        <w:rPr>
          <w:sz w:val="24"/>
          <w:szCs w:val="24"/>
          <w:lang w:val="en-US" w:eastAsia="el-GR"/>
        </w:rPr>
        <w:t>SMAQ</w:t>
      </w:r>
      <w:r w:rsidR="003B3E47" w:rsidRPr="00886C7F">
        <w:rPr>
          <w:sz w:val="24"/>
          <w:szCs w:val="24"/>
          <w:lang w:eastAsia="el-GR"/>
        </w:rPr>
        <w:t>)</w:t>
      </w:r>
      <w:r w:rsidR="005A1561" w:rsidRPr="00886C7F">
        <w:rPr>
          <w:sz w:val="24"/>
          <w:szCs w:val="24"/>
          <w:lang w:eastAsia="el-GR"/>
        </w:rPr>
        <w:t xml:space="preserve"> </w:t>
      </w:r>
      <w:r w:rsidR="003B3E47" w:rsidRPr="00886C7F">
        <w:rPr>
          <w:sz w:val="24"/>
          <w:szCs w:val="24"/>
          <w:lang w:eastAsia="el-GR"/>
        </w:rPr>
        <w:t>(</w:t>
      </w:r>
      <w:r w:rsidR="005A1561" w:rsidRPr="00886C7F">
        <w:rPr>
          <w:sz w:val="24"/>
          <w:szCs w:val="24"/>
          <w:lang w:val="en-US" w:eastAsia="el-GR"/>
        </w:rPr>
        <w:t>Theofilou</w:t>
      </w:r>
      <w:r w:rsidR="00065BAD" w:rsidRPr="00886C7F">
        <w:rPr>
          <w:sz w:val="24"/>
          <w:szCs w:val="24"/>
          <w:lang w:eastAsia="el-GR"/>
        </w:rPr>
        <w:t>,</w:t>
      </w:r>
      <w:r w:rsidR="005A1561" w:rsidRPr="00886C7F">
        <w:rPr>
          <w:sz w:val="24"/>
          <w:szCs w:val="24"/>
          <w:lang w:eastAsia="el-GR"/>
        </w:rPr>
        <w:t xml:space="preserve"> 2012</w:t>
      </w:r>
      <w:r w:rsidR="005A1561" w:rsidRPr="00886C7F">
        <w:rPr>
          <w:sz w:val="24"/>
          <w:szCs w:val="24"/>
          <w:lang w:val="en-US" w:eastAsia="el-GR"/>
        </w:rPr>
        <w:t>c</w:t>
      </w:r>
      <w:r w:rsidR="00136281" w:rsidRPr="00886C7F">
        <w:rPr>
          <w:sz w:val="24"/>
          <w:szCs w:val="24"/>
          <w:lang w:eastAsia="el-GR"/>
        </w:rPr>
        <w:t>)</w:t>
      </w:r>
      <w:r w:rsidRPr="00886C7F">
        <w:rPr>
          <w:sz w:val="24"/>
          <w:szCs w:val="24"/>
          <w:lang w:eastAsia="el-GR"/>
        </w:rPr>
        <w:t xml:space="preserve"> </w:t>
      </w:r>
      <w:r w:rsidR="009E4E19" w:rsidRPr="00886C7F">
        <w:rPr>
          <w:sz w:val="24"/>
          <w:szCs w:val="24"/>
          <w:lang w:eastAsia="el-GR"/>
        </w:rPr>
        <w:t xml:space="preserve">σε πληθυσμό </w:t>
      </w:r>
      <w:r w:rsidRPr="00886C7F">
        <w:rPr>
          <w:sz w:val="24"/>
          <w:szCs w:val="24"/>
          <w:lang w:eastAsia="el-GR"/>
        </w:rPr>
        <w:t>ασθενών που</w:t>
      </w:r>
      <w:r w:rsidRPr="00886C7F">
        <w:t xml:space="preserve"> </w:t>
      </w:r>
      <w:r w:rsidR="00D07BB2" w:rsidRPr="00886C7F">
        <w:rPr>
          <w:sz w:val="24"/>
          <w:szCs w:val="24"/>
          <w:lang w:eastAsia="el-GR"/>
        </w:rPr>
        <w:t>υποβάλλε</w:t>
      </w:r>
      <w:r w:rsidRPr="00886C7F">
        <w:rPr>
          <w:sz w:val="24"/>
          <w:szCs w:val="24"/>
          <w:lang w:eastAsia="el-GR"/>
        </w:rPr>
        <w:t xml:space="preserve">ται σε αιμοκάθαρση </w:t>
      </w:r>
      <w:r w:rsidR="009E4E19" w:rsidRPr="00886C7F">
        <w:rPr>
          <w:sz w:val="24"/>
          <w:szCs w:val="24"/>
          <w:lang w:eastAsia="el-GR"/>
        </w:rPr>
        <w:t>καθώς και τον έλεγχο της εγκυρότητας και της αξιοπιστίας της</w:t>
      </w:r>
      <w:r w:rsidR="009E4E19" w:rsidRPr="005A464E">
        <w:rPr>
          <w:sz w:val="24"/>
          <w:szCs w:val="24"/>
          <w:lang w:eastAsia="el-GR"/>
        </w:rPr>
        <w:t xml:space="preserve"> κλίμακας</w:t>
      </w:r>
      <w:r w:rsidR="00F936DF">
        <w:rPr>
          <w:sz w:val="24"/>
          <w:szCs w:val="24"/>
          <w:lang w:eastAsia="el-GR"/>
        </w:rPr>
        <w:t>,</w:t>
      </w:r>
      <w:r w:rsidRPr="005A464E">
        <w:rPr>
          <w:sz w:val="24"/>
          <w:szCs w:val="24"/>
          <w:lang w:eastAsia="el-GR"/>
        </w:rPr>
        <w:t xml:space="preserve"> </w:t>
      </w:r>
      <w:r w:rsidR="00F936DF">
        <w:rPr>
          <w:sz w:val="24"/>
          <w:szCs w:val="24"/>
          <w:lang w:eastAsia="el-GR"/>
        </w:rPr>
        <w:t>(</w:t>
      </w:r>
      <w:r w:rsidRPr="005A464E">
        <w:rPr>
          <w:sz w:val="24"/>
          <w:szCs w:val="24"/>
          <w:lang w:eastAsia="el-GR"/>
        </w:rPr>
        <w:t>β) την με</w:t>
      </w:r>
      <w:r w:rsidR="00F37F79">
        <w:rPr>
          <w:sz w:val="24"/>
          <w:szCs w:val="24"/>
          <w:lang w:eastAsia="el-GR"/>
        </w:rPr>
        <w:t>τάφραση, πολιτισμική προσαρμογή και τον</w:t>
      </w:r>
      <w:r w:rsidR="0078495A">
        <w:rPr>
          <w:sz w:val="24"/>
          <w:szCs w:val="24"/>
          <w:lang w:eastAsia="el-GR"/>
        </w:rPr>
        <w:t xml:space="preserve"> </w:t>
      </w:r>
      <w:r w:rsidRPr="005A464E">
        <w:rPr>
          <w:sz w:val="24"/>
          <w:szCs w:val="24"/>
          <w:lang w:eastAsia="el-GR"/>
        </w:rPr>
        <w:t xml:space="preserve">έλεγχο της αξιοπιστίας </w:t>
      </w:r>
      <w:r w:rsidR="00F27AC3">
        <w:rPr>
          <w:sz w:val="24"/>
          <w:szCs w:val="24"/>
          <w:lang w:eastAsia="el-GR"/>
        </w:rPr>
        <w:t xml:space="preserve">και εγκυρότητας </w:t>
      </w:r>
      <w:r w:rsidRPr="005A464E">
        <w:rPr>
          <w:sz w:val="24"/>
          <w:szCs w:val="24"/>
          <w:lang w:eastAsia="el-GR"/>
        </w:rPr>
        <w:t>της κλίμακας Κ</w:t>
      </w:r>
      <w:r w:rsidRPr="005A464E">
        <w:rPr>
          <w:sz w:val="24"/>
          <w:szCs w:val="24"/>
          <w:lang w:val="en-US" w:eastAsia="el-GR"/>
        </w:rPr>
        <w:t>idney</w:t>
      </w:r>
      <w:r w:rsidRPr="005A464E">
        <w:rPr>
          <w:sz w:val="24"/>
          <w:szCs w:val="24"/>
          <w:lang w:eastAsia="el-GR"/>
        </w:rPr>
        <w:t xml:space="preserve"> </w:t>
      </w:r>
      <w:r w:rsidRPr="005A464E">
        <w:rPr>
          <w:sz w:val="24"/>
          <w:szCs w:val="24"/>
          <w:lang w:val="en-US" w:eastAsia="el-GR"/>
        </w:rPr>
        <w:t>Disease</w:t>
      </w:r>
      <w:r w:rsidRPr="005A464E">
        <w:rPr>
          <w:sz w:val="24"/>
          <w:szCs w:val="24"/>
          <w:lang w:eastAsia="el-GR"/>
        </w:rPr>
        <w:t xml:space="preserve"> </w:t>
      </w:r>
      <w:r w:rsidRPr="005A464E">
        <w:rPr>
          <w:sz w:val="24"/>
          <w:szCs w:val="24"/>
          <w:lang w:val="en-US" w:eastAsia="el-GR"/>
        </w:rPr>
        <w:t>Questionnaire</w:t>
      </w:r>
      <w:r w:rsidRPr="005A464E">
        <w:rPr>
          <w:sz w:val="24"/>
          <w:szCs w:val="24"/>
          <w:lang w:eastAsia="el-GR"/>
        </w:rPr>
        <w:t xml:space="preserve"> (</w:t>
      </w:r>
      <w:r w:rsidRPr="005A464E">
        <w:rPr>
          <w:sz w:val="24"/>
          <w:szCs w:val="24"/>
          <w:lang w:val="en-US" w:eastAsia="el-GR"/>
        </w:rPr>
        <w:t>Devins</w:t>
      </w:r>
      <w:r w:rsidR="003B3E47" w:rsidRPr="003B3E47">
        <w:rPr>
          <w:sz w:val="24"/>
          <w:szCs w:val="24"/>
          <w:lang w:eastAsia="el-GR"/>
        </w:rPr>
        <w:t xml:space="preserve"> </w:t>
      </w:r>
      <w:r w:rsidR="003B3E47">
        <w:rPr>
          <w:sz w:val="24"/>
          <w:szCs w:val="24"/>
          <w:lang w:val="en-US" w:eastAsia="el-GR"/>
        </w:rPr>
        <w:t>et</w:t>
      </w:r>
      <w:r w:rsidR="003B3E47" w:rsidRPr="003B3E47">
        <w:rPr>
          <w:sz w:val="24"/>
          <w:szCs w:val="24"/>
          <w:lang w:eastAsia="el-GR"/>
        </w:rPr>
        <w:t xml:space="preserve"> </w:t>
      </w:r>
      <w:r w:rsidR="003B3E47">
        <w:rPr>
          <w:sz w:val="24"/>
          <w:szCs w:val="24"/>
          <w:lang w:val="en-US" w:eastAsia="el-GR"/>
        </w:rPr>
        <w:t>al</w:t>
      </w:r>
      <w:r w:rsidR="003B3E47" w:rsidRPr="003B3E47">
        <w:rPr>
          <w:sz w:val="24"/>
          <w:szCs w:val="24"/>
          <w:lang w:eastAsia="el-GR"/>
        </w:rPr>
        <w:t>.</w:t>
      </w:r>
      <w:r w:rsidR="00961E11" w:rsidRPr="00961E11">
        <w:rPr>
          <w:sz w:val="24"/>
          <w:szCs w:val="24"/>
          <w:lang w:eastAsia="el-GR"/>
        </w:rPr>
        <w:t>,</w:t>
      </w:r>
      <w:r w:rsidRPr="005A464E">
        <w:rPr>
          <w:sz w:val="24"/>
          <w:szCs w:val="24"/>
          <w:lang w:eastAsia="el-GR"/>
        </w:rPr>
        <w:t xml:space="preserve"> 1990).</w:t>
      </w:r>
      <w:r w:rsidR="00810B29" w:rsidRPr="00810B29">
        <w:rPr>
          <w:sz w:val="24"/>
          <w:szCs w:val="24"/>
          <w:lang w:eastAsia="el-GR"/>
        </w:rPr>
        <w:t xml:space="preserve"> </w:t>
      </w:r>
      <w:r w:rsidR="00810B29">
        <w:rPr>
          <w:sz w:val="24"/>
          <w:szCs w:val="24"/>
          <w:lang w:eastAsia="el-GR"/>
        </w:rPr>
        <w:t>Η πρώτη φά</w:t>
      </w:r>
      <w:r w:rsidR="00B0098B">
        <w:rPr>
          <w:sz w:val="24"/>
          <w:szCs w:val="24"/>
          <w:lang w:eastAsia="el-GR"/>
        </w:rPr>
        <w:t>ση διεξήχθη το χρονικό διάστημα</w:t>
      </w:r>
      <w:r w:rsidR="00810B29" w:rsidRPr="00D07BB2">
        <w:rPr>
          <w:sz w:val="24"/>
          <w:szCs w:val="24"/>
          <w:lang w:eastAsia="el-GR"/>
        </w:rPr>
        <w:t xml:space="preserve"> </w:t>
      </w:r>
      <w:r w:rsidR="00B0098B">
        <w:rPr>
          <w:sz w:val="24"/>
          <w:szCs w:val="24"/>
          <w:lang w:eastAsia="el-GR"/>
        </w:rPr>
        <w:t>01/11/</w:t>
      </w:r>
      <w:r w:rsidR="00810B29" w:rsidRPr="00D07BB2">
        <w:rPr>
          <w:sz w:val="24"/>
          <w:szCs w:val="24"/>
          <w:lang w:eastAsia="el-GR"/>
        </w:rPr>
        <w:t xml:space="preserve">2013 </w:t>
      </w:r>
      <w:r w:rsidR="00B0098B">
        <w:rPr>
          <w:sz w:val="24"/>
          <w:szCs w:val="24"/>
          <w:lang w:eastAsia="el-GR"/>
        </w:rPr>
        <w:t>έως</w:t>
      </w:r>
      <w:r w:rsidR="00810B29" w:rsidRPr="00D07BB2">
        <w:rPr>
          <w:sz w:val="24"/>
          <w:szCs w:val="24"/>
          <w:lang w:eastAsia="el-GR"/>
        </w:rPr>
        <w:t xml:space="preserve"> </w:t>
      </w:r>
      <w:r w:rsidR="00B0098B">
        <w:rPr>
          <w:sz w:val="24"/>
          <w:szCs w:val="24"/>
          <w:lang w:eastAsia="el-GR"/>
        </w:rPr>
        <w:t>31/01/</w:t>
      </w:r>
      <w:r w:rsidR="00810B29" w:rsidRPr="00D07BB2">
        <w:rPr>
          <w:sz w:val="24"/>
          <w:szCs w:val="24"/>
          <w:lang w:eastAsia="el-GR"/>
        </w:rPr>
        <w:t>2016.</w:t>
      </w:r>
      <w:r w:rsidR="00810B29">
        <w:rPr>
          <w:sz w:val="24"/>
          <w:szCs w:val="24"/>
          <w:lang w:eastAsia="el-GR"/>
        </w:rPr>
        <w:t xml:space="preserve"> </w:t>
      </w:r>
    </w:p>
    <w:p w:rsidR="00824D61" w:rsidRPr="00886C7F" w:rsidRDefault="00810B29" w:rsidP="00D74CB5">
      <w:pPr>
        <w:spacing w:line="360" w:lineRule="auto"/>
        <w:jc w:val="both"/>
        <w:rPr>
          <w:sz w:val="24"/>
          <w:szCs w:val="24"/>
          <w:lang w:eastAsia="el-GR"/>
        </w:rPr>
      </w:pPr>
      <w:r w:rsidRPr="00886C7F">
        <w:rPr>
          <w:i/>
          <w:sz w:val="24"/>
          <w:szCs w:val="24"/>
          <w:lang w:eastAsia="el-GR"/>
        </w:rPr>
        <w:t xml:space="preserve">Η δεύτερη φάση </w:t>
      </w:r>
      <w:r w:rsidRPr="00886C7F">
        <w:rPr>
          <w:sz w:val="24"/>
          <w:szCs w:val="24"/>
          <w:lang w:eastAsia="el-GR"/>
        </w:rPr>
        <w:t xml:space="preserve">(2) περιελάμβανε τη συγγραφή και έκδοση του ενημερωτικού εντύπου «Αιμοκάθαρση: απαντήσεις σε συνήθη ερωτήματα» και διεξήχθη το χρονικό διάστημα </w:t>
      </w:r>
      <w:r w:rsidR="00EC4BDF" w:rsidRPr="00886C7F">
        <w:rPr>
          <w:sz w:val="24"/>
          <w:szCs w:val="24"/>
          <w:lang w:eastAsia="el-GR"/>
        </w:rPr>
        <w:t>1/2/</w:t>
      </w:r>
      <w:r w:rsidR="00B0098B" w:rsidRPr="00886C7F">
        <w:rPr>
          <w:sz w:val="24"/>
          <w:szCs w:val="24"/>
          <w:lang w:eastAsia="el-GR"/>
        </w:rPr>
        <w:t>2016 –έως</w:t>
      </w:r>
      <w:r w:rsidR="00EC4BDF" w:rsidRPr="00886C7F">
        <w:rPr>
          <w:sz w:val="24"/>
          <w:szCs w:val="24"/>
          <w:lang w:eastAsia="el-GR"/>
        </w:rPr>
        <w:t xml:space="preserve"> 31/12/</w:t>
      </w:r>
      <w:r w:rsidRPr="00886C7F">
        <w:rPr>
          <w:sz w:val="24"/>
          <w:szCs w:val="24"/>
          <w:lang w:eastAsia="el-GR"/>
        </w:rPr>
        <w:t>2016.</w:t>
      </w:r>
      <w:r w:rsidR="00B102D9" w:rsidRPr="00886C7F">
        <w:rPr>
          <w:sz w:val="24"/>
          <w:szCs w:val="24"/>
          <w:lang w:eastAsia="el-GR"/>
        </w:rPr>
        <w:t xml:space="preserve"> </w:t>
      </w:r>
    </w:p>
    <w:p w:rsidR="00824D61" w:rsidRPr="00886C7F" w:rsidRDefault="00810B29" w:rsidP="00D74CB5">
      <w:pPr>
        <w:spacing w:line="360" w:lineRule="auto"/>
        <w:jc w:val="both"/>
        <w:rPr>
          <w:sz w:val="24"/>
          <w:szCs w:val="24"/>
          <w:lang w:eastAsia="el-GR"/>
        </w:rPr>
      </w:pPr>
      <w:r w:rsidRPr="00886C7F">
        <w:rPr>
          <w:i/>
          <w:sz w:val="24"/>
          <w:szCs w:val="24"/>
          <w:lang w:eastAsia="el-GR"/>
        </w:rPr>
        <w:t>Η τρίτη</w:t>
      </w:r>
      <w:r w:rsidR="00B102D9" w:rsidRPr="00886C7F">
        <w:rPr>
          <w:i/>
          <w:sz w:val="24"/>
          <w:szCs w:val="24"/>
          <w:lang w:eastAsia="el-GR"/>
        </w:rPr>
        <w:t xml:space="preserve"> φάση</w:t>
      </w:r>
      <w:r w:rsidR="00B102D9" w:rsidRPr="00886C7F">
        <w:rPr>
          <w:sz w:val="24"/>
          <w:szCs w:val="24"/>
          <w:lang w:eastAsia="el-GR"/>
        </w:rPr>
        <w:t xml:space="preserve"> </w:t>
      </w:r>
      <w:r w:rsidRPr="00886C7F">
        <w:rPr>
          <w:sz w:val="24"/>
          <w:szCs w:val="24"/>
          <w:lang w:eastAsia="el-GR"/>
        </w:rPr>
        <w:t>(3</w:t>
      </w:r>
      <w:r w:rsidR="00B102D9" w:rsidRPr="00886C7F">
        <w:rPr>
          <w:sz w:val="24"/>
          <w:szCs w:val="24"/>
          <w:lang w:eastAsia="el-GR"/>
        </w:rPr>
        <w:t xml:space="preserve">) περιελάμβανε </w:t>
      </w:r>
      <w:r w:rsidR="00824D61" w:rsidRPr="00886C7F">
        <w:rPr>
          <w:sz w:val="24"/>
          <w:szCs w:val="24"/>
          <w:lang w:eastAsia="el-GR"/>
        </w:rPr>
        <w:t xml:space="preserve">(α) </w:t>
      </w:r>
      <w:r w:rsidR="00B102D9" w:rsidRPr="00886C7F">
        <w:rPr>
          <w:sz w:val="24"/>
          <w:szCs w:val="24"/>
          <w:lang w:eastAsia="el-GR"/>
        </w:rPr>
        <w:t>τη χορήγηση των ερωτηματολογίων συμμόρφωσης, γνώσεων και ποιότητας</w:t>
      </w:r>
      <w:r w:rsidR="00B102D9" w:rsidRPr="005A464E">
        <w:rPr>
          <w:sz w:val="24"/>
          <w:szCs w:val="24"/>
          <w:lang w:eastAsia="el-GR"/>
        </w:rPr>
        <w:t xml:space="preserve"> ζωής </w:t>
      </w:r>
      <w:r w:rsidR="00B102D9" w:rsidRPr="00886C7F">
        <w:rPr>
          <w:sz w:val="24"/>
          <w:szCs w:val="24"/>
          <w:lang w:eastAsia="el-GR"/>
        </w:rPr>
        <w:t xml:space="preserve">σε </w:t>
      </w:r>
      <w:r w:rsidR="00065BAD" w:rsidRPr="00886C7F">
        <w:rPr>
          <w:sz w:val="24"/>
          <w:szCs w:val="24"/>
          <w:lang w:eastAsia="el-GR"/>
        </w:rPr>
        <w:t>δεί</w:t>
      </w:r>
      <w:r w:rsidR="00EC4BDF" w:rsidRPr="00886C7F">
        <w:rPr>
          <w:sz w:val="24"/>
          <w:szCs w:val="24"/>
          <w:lang w:eastAsia="el-GR"/>
        </w:rPr>
        <w:t>γ</w:t>
      </w:r>
      <w:r w:rsidR="00065BAD" w:rsidRPr="00886C7F">
        <w:rPr>
          <w:sz w:val="24"/>
          <w:szCs w:val="24"/>
          <w:lang w:eastAsia="el-GR"/>
        </w:rPr>
        <w:t>μα ευκολίας</w:t>
      </w:r>
      <w:r w:rsidR="00B102D9" w:rsidRPr="005A464E">
        <w:rPr>
          <w:sz w:val="24"/>
          <w:szCs w:val="24"/>
          <w:lang w:eastAsia="el-GR"/>
        </w:rPr>
        <w:t xml:space="preserve"> ασθενών που υποβάλλονται σε </w:t>
      </w:r>
      <w:r w:rsidR="00B102D9" w:rsidRPr="00886C7F">
        <w:rPr>
          <w:sz w:val="24"/>
          <w:szCs w:val="24"/>
          <w:lang w:eastAsia="el-GR"/>
        </w:rPr>
        <w:t xml:space="preserve">αιμοκάθαρση </w:t>
      </w:r>
      <w:r w:rsidR="00824D61" w:rsidRPr="00886C7F">
        <w:rPr>
          <w:sz w:val="24"/>
          <w:szCs w:val="24"/>
          <w:lang w:eastAsia="el-GR"/>
        </w:rPr>
        <w:t xml:space="preserve">(β) </w:t>
      </w:r>
      <w:r w:rsidR="00866AD5" w:rsidRPr="00886C7F">
        <w:rPr>
          <w:sz w:val="24"/>
          <w:szCs w:val="24"/>
          <w:lang w:eastAsia="el-GR"/>
        </w:rPr>
        <w:t>την ατομική συμβουλ</w:t>
      </w:r>
      <w:r w:rsidR="00B102D9" w:rsidRPr="00886C7F">
        <w:rPr>
          <w:sz w:val="24"/>
          <w:szCs w:val="24"/>
          <w:lang w:eastAsia="el-GR"/>
        </w:rPr>
        <w:t>ευτική παρέμβαση</w:t>
      </w:r>
      <w:r w:rsidR="00934A29" w:rsidRPr="00886C7F">
        <w:rPr>
          <w:sz w:val="24"/>
          <w:szCs w:val="24"/>
          <w:lang w:eastAsia="el-GR"/>
        </w:rPr>
        <w:t xml:space="preserve"> που υλοποιήθηκε από την ερευνήτρια</w:t>
      </w:r>
      <w:r w:rsidR="00B102D9" w:rsidRPr="00886C7F">
        <w:rPr>
          <w:sz w:val="24"/>
          <w:szCs w:val="24"/>
          <w:lang w:eastAsia="el-GR"/>
        </w:rPr>
        <w:t xml:space="preserve"> </w:t>
      </w:r>
      <w:r w:rsidR="00934A29" w:rsidRPr="00886C7F">
        <w:rPr>
          <w:sz w:val="24"/>
          <w:szCs w:val="24"/>
          <w:lang w:eastAsia="el-GR"/>
        </w:rPr>
        <w:t>και</w:t>
      </w:r>
      <w:r w:rsidR="00A371FF" w:rsidRPr="00886C7F">
        <w:rPr>
          <w:sz w:val="24"/>
          <w:szCs w:val="24"/>
          <w:lang w:eastAsia="el-GR"/>
        </w:rPr>
        <w:t xml:space="preserve"> </w:t>
      </w:r>
      <w:r w:rsidR="00824D61" w:rsidRPr="00886C7F">
        <w:rPr>
          <w:sz w:val="24"/>
          <w:szCs w:val="24"/>
          <w:lang w:eastAsia="el-GR"/>
        </w:rPr>
        <w:t xml:space="preserve">(γ) </w:t>
      </w:r>
      <w:r w:rsidR="00A371FF" w:rsidRPr="00886C7F">
        <w:rPr>
          <w:sz w:val="24"/>
          <w:szCs w:val="24"/>
          <w:lang w:eastAsia="el-GR"/>
        </w:rPr>
        <w:t xml:space="preserve">την παροχή </w:t>
      </w:r>
      <w:r w:rsidRPr="00886C7F">
        <w:rPr>
          <w:sz w:val="24"/>
          <w:szCs w:val="24"/>
          <w:lang w:eastAsia="el-GR"/>
        </w:rPr>
        <w:t xml:space="preserve">του </w:t>
      </w:r>
      <w:r w:rsidR="00A371FF" w:rsidRPr="00886C7F">
        <w:rPr>
          <w:sz w:val="24"/>
          <w:szCs w:val="24"/>
          <w:lang w:eastAsia="el-GR"/>
        </w:rPr>
        <w:t>ειδικού</w:t>
      </w:r>
      <w:r w:rsidR="00934A29" w:rsidRPr="00886C7F">
        <w:rPr>
          <w:sz w:val="24"/>
          <w:szCs w:val="24"/>
          <w:lang w:eastAsia="el-GR"/>
        </w:rPr>
        <w:t xml:space="preserve"> εκπαιδευτικού</w:t>
      </w:r>
      <w:r w:rsidR="00A371FF" w:rsidRPr="00886C7F">
        <w:rPr>
          <w:sz w:val="24"/>
          <w:szCs w:val="24"/>
          <w:lang w:eastAsia="el-GR"/>
        </w:rPr>
        <w:t xml:space="preserve"> εντύπου που επιμελήθηκε η</w:t>
      </w:r>
      <w:r w:rsidR="00934A29" w:rsidRPr="00886C7F">
        <w:rPr>
          <w:sz w:val="24"/>
          <w:szCs w:val="24"/>
          <w:lang w:eastAsia="el-GR"/>
        </w:rPr>
        <w:t xml:space="preserve"> ίδια</w:t>
      </w:r>
      <w:r w:rsidR="00A371FF" w:rsidRPr="00886C7F">
        <w:rPr>
          <w:sz w:val="24"/>
          <w:szCs w:val="24"/>
          <w:lang w:eastAsia="el-GR"/>
        </w:rPr>
        <w:t>.</w:t>
      </w:r>
      <w:r w:rsidRPr="00886C7F">
        <w:rPr>
          <w:sz w:val="24"/>
          <w:szCs w:val="24"/>
          <w:lang w:eastAsia="el-GR"/>
        </w:rPr>
        <w:t xml:space="preserve"> Η τρίτη φάση διεξήχθη το χρονικό διάστημα</w:t>
      </w:r>
      <w:r w:rsidR="00A371FF" w:rsidRPr="00886C7F">
        <w:rPr>
          <w:sz w:val="24"/>
          <w:szCs w:val="24"/>
          <w:lang w:eastAsia="el-GR"/>
        </w:rPr>
        <w:t xml:space="preserve"> </w:t>
      </w:r>
      <w:r w:rsidRPr="00886C7F">
        <w:rPr>
          <w:sz w:val="24"/>
          <w:szCs w:val="24"/>
          <w:lang w:eastAsia="el-GR"/>
        </w:rPr>
        <w:t xml:space="preserve"> </w:t>
      </w:r>
      <w:r w:rsidR="00B0098B" w:rsidRPr="00886C7F">
        <w:rPr>
          <w:sz w:val="24"/>
          <w:szCs w:val="24"/>
          <w:lang w:eastAsia="el-GR"/>
        </w:rPr>
        <w:t>01/01/2017 έως 28/02/</w:t>
      </w:r>
      <w:r w:rsidRPr="00886C7F">
        <w:rPr>
          <w:sz w:val="24"/>
          <w:szCs w:val="24"/>
          <w:lang w:eastAsia="el-GR"/>
        </w:rPr>
        <w:t xml:space="preserve">2017. </w:t>
      </w:r>
    </w:p>
    <w:p w:rsidR="00824D61" w:rsidRPr="00886C7F" w:rsidRDefault="00F936DF" w:rsidP="00D74CB5">
      <w:pPr>
        <w:spacing w:line="360" w:lineRule="auto"/>
        <w:jc w:val="both"/>
        <w:rPr>
          <w:sz w:val="24"/>
          <w:szCs w:val="24"/>
          <w:lang w:eastAsia="el-GR"/>
        </w:rPr>
      </w:pPr>
      <w:r w:rsidRPr="00886C7F">
        <w:rPr>
          <w:i/>
          <w:sz w:val="24"/>
          <w:szCs w:val="24"/>
          <w:lang w:eastAsia="el-GR"/>
        </w:rPr>
        <w:t>Η τέταρτη</w:t>
      </w:r>
      <w:r w:rsidR="00A371FF" w:rsidRPr="00886C7F">
        <w:rPr>
          <w:i/>
          <w:sz w:val="24"/>
          <w:szCs w:val="24"/>
          <w:lang w:eastAsia="el-GR"/>
        </w:rPr>
        <w:t xml:space="preserve"> φάση</w:t>
      </w:r>
      <w:r w:rsidR="00A371FF" w:rsidRPr="00886C7F">
        <w:rPr>
          <w:sz w:val="24"/>
          <w:szCs w:val="24"/>
          <w:lang w:eastAsia="el-GR"/>
        </w:rPr>
        <w:t xml:space="preserve"> </w:t>
      </w:r>
      <w:r w:rsidRPr="00886C7F">
        <w:rPr>
          <w:sz w:val="24"/>
          <w:szCs w:val="24"/>
          <w:lang w:eastAsia="el-GR"/>
        </w:rPr>
        <w:t>(4</w:t>
      </w:r>
      <w:r w:rsidR="00A371FF" w:rsidRPr="00886C7F">
        <w:rPr>
          <w:sz w:val="24"/>
          <w:szCs w:val="24"/>
          <w:lang w:eastAsia="el-GR"/>
        </w:rPr>
        <w:t xml:space="preserve">) </w:t>
      </w:r>
      <w:r w:rsidR="006418E0" w:rsidRPr="00886C7F">
        <w:rPr>
          <w:i/>
          <w:sz w:val="24"/>
          <w:szCs w:val="24"/>
          <w:lang w:eastAsia="el-GR"/>
        </w:rPr>
        <w:t>(έναν μήνα μετά</w:t>
      </w:r>
      <w:r w:rsidR="00824D61" w:rsidRPr="00886C7F">
        <w:rPr>
          <w:i/>
          <w:sz w:val="24"/>
          <w:szCs w:val="24"/>
          <w:lang w:eastAsia="el-GR"/>
        </w:rPr>
        <w:t xml:space="preserve"> την τρίτη φάση</w:t>
      </w:r>
      <w:r w:rsidR="006418E0" w:rsidRPr="00886C7F">
        <w:rPr>
          <w:i/>
          <w:sz w:val="24"/>
          <w:szCs w:val="24"/>
          <w:lang w:eastAsia="el-GR"/>
        </w:rPr>
        <w:t>)</w:t>
      </w:r>
      <w:r w:rsidR="006418E0" w:rsidRPr="00886C7F">
        <w:rPr>
          <w:sz w:val="24"/>
          <w:szCs w:val="24"/>
          <w:lang w:eastAsia="el-GR"/>
        </w:rPr>
        <w:t xml:space="preserve"> </w:t>
      </w:r>
      <w:r w:rsidR="00A371FF" w:rsidRPr="00886C7F">
        <w:rPr>
          <w:sz w:val="24"/>
          <w:szCs w:val="24"/>
          <w:lang w:eastAsia="el-GR"/>
        </w:rPr>
        <w:t xml:space="preserve">αφορούσε τον έλεγχο της </w:t>
      </w:r>
      <w:r w:rsidR="00934A29" w:rsidRPr="00886C7F">
        <w:rPr>
          <w:sz w:val="24"/>
          <w:szCs w:val="24"/>
          <w:lang w:eastAsia="el-GR"/>
        </w:rPr>
        <w:t>επίδρασης</w:t>
      </w:r>
      <w:r w:rsidR="00A371FF" w:rsidRPr="00886C7F">
        <w:rPr>
          <w:sz w:val="24"/>
          <w:szCs w:val="24"/>
          <w:lang w:eastAsia="el-GR"/>
        </w:rPr>
        <w:t xml:space="preserve"> της </w:t>
      </w:r>
      <w:r w:rsidR="00B0098B" w:rsidRPr="00886C7F">
        <w:rPr>
          <w:sz w:val="24"/>
          <w:szCs w:val="24"/>
          <w:lang w:eastAsia="el-GR"/>
        </w:rPr>
        <w:t xml:space="preserve">συμβουλευτικής </w:t>
      </w:r>
      <w:r w:rsidR="00A371FF" w:rsidRPr="00886C7F">
        <w:rPr>
          <w:sz w:val="24"/>
          <w:szCs w:val="24"/>
          <w:lang w:eastAsia="el-GR"/>
        </w:rPr>
        <w:t xml:space="preserve">παρέμβασης </w:t>
      </w:r>
      <w:r w:rsidR="00934A29" w:rsidRPr="00886C7F">
        <w:rPr>
          <w:sz w:val="24"/>
          <w:szCs w:val="24"/>
          <w:lang w:eastAsia="el-GR"/>
        </w:rPr>
        <w:t>στη μεταβολή των επιπέδων γνώσεων και συμμόρφωσης.</w:t>
      </w:r>
      <w:r w:rsidRPr="00886C7F">
        <w:rPr>
          <w:sz w:val="24"/>
          <w:szCs w:val="24"/>
          <w:lang w:eastAsia="el-GR"/>
        </w:rPr>
        <w:t xml:space="preserve"> Η τέταρτη φάση διεξήχθη </w:t>
      </w:r>
      <w:r w:rsidR="00B0098B" w:rsidRPr="00886C7F">
        <w:rPr>
          <w:sz w:val="24"/>
          <w:szCs w:val="24"/>
          <w:lang w:eastAsia="el-GR"/>
        </w:rPr>
        <w:t>από 01/03/2017 έως 31/03/2017.</w:t>
      </w:r>
    </w:p>
    <w:p w:rsidR="00F00022" w:rsidRPr="00D74CB5" w:rsidRDefault="00934A29" w:rsidP="00D74CB5">
      <w:pPr>
        <w:spacing w:line="360" w:lineRule="auto"/>
        <w:jc w:val="both"/>
        <w:rPr>
          <w:sz w:val="24"/>
          <w:szCs w:val="24"/>
          <w:lang w:eastAsia="el-GR"/>
        </w:rPr>
      </w:pPr>
      <w:r w:rsidRPr="00886C7F">
        <w:rPr>
          <w:sz w:val="24"/>
          <w:szCs w:val="24"/>
          <w:lang w:eastAsia="el-GR"/>
        </w:rPr>
        <w:t xml:space="preserve">Κατά </w:t>
      </w:r>
      <w:r w:rsidR="00F936DF" w:rsidRPr="00886C7F">
        <w:rPr>
          <w:i/>
          <w:sz w:val="24"/>
          <w:szCs w:val="24"/>
          <w:lang w:eastAsia="el-GR"/>
        </w:rPr>
        <w:t>την πέμπτη</w:t>
      </w:r>
      <w:r w:rsidRPr="00886C7F">
        <w:rPr>
          <w:i/>
          <w:sz w:val="24"/>
          <w:szCs w:val="24"/>
          <w:lang w:eastAsia="el-GR"/>
        </w:rPr>
        <w:t xml:space="preserve"> φάση</w:t>
      </w:r>
      <w:r w:rsidRPr="00886C7F">
        <w:rPr>
          <w:b/>
          <w:sz w:val="24"/>
          <w:szCs w:val="24"/>
          <w:lang w:eastAsia="el-GR"/>
        </w:rPr>
        <w:t xml:space="preserve"> </w:t>
      </w:r>
      <w:r w:rsidR="00F936DF" w:rsidRPr="00886C7F">
        <w:rPr>
          <w:sz w:val="24"/>
          <w:szCs w:val="24"/>
          <w:lang w:eastAsia="el-GR"/>
        </w:rPr>
        <w:t>(5</w:t>
      </w:r>
      <w:r w:rsidR="0002279F" w:rsidRPr="00886C7F">
        <w:rPr>
          <w:sz w:val="24"/>
          <w:szCs w:val="24"/>
          <w:lang w:eastAsia="el-GR"/>
        </w:rPr>
        <w:t>)</w:t>
      </w:r>
      <w:r w:rsidRPr="00886C7F">
        <w:rPr>
          <w:sz w:val="24"/>
          <w:szCs w:val="24"/>
          <w:lang w:eastAsia="el-GR"/>
        </w:rPr>
        <w:t xml:space="preserve"> </w:t>
      </w:r>
      <w:r w:rsidR="00866AD5" w:rsidRPr="00886C7F">
        <w:rPr>
          <w:i/>
          <w:sz w:val="24"/>
          <w:szCs w:val="24"/>
          <w:lang w:eastAsia="el-GR"/>
        </w:rPr>
        <w:t>(</w:t>
      </w:r>
      <w:r w:rsidR="00BA566F" w:rsidRPr="00886C7F">
        <w:rPr>
          <w:i/>
          <w:sz w:val="24"/>
          <w:szCs w:val="24"/>
          <w:lang w:eastAsia="el-GR"/>
        </w:rPr>
        <w:t xml:space="preserve">δύο </w:t>
      </w:r>
      <w:r w:rsidR="00866AD5" w:rsidRPr="00886C7F">
        <w:rPr>
          <w:i/>
          <w:sz w:val="24"/>
          <w:szCs w:val="24"/>
          <w:lang w:eastAsia="el-GR"/>
        </w:rPr>
        <w:t>μή</w:t>
      </w:r>
      <w:r w:rsidR="00866AD5" w:rsidRPr="005A464E">
        <w:rPr>
          <w:i/>
          <w:sz w:val="24"/>
          <w:szCs w:val="24"/>
          <w:lang w:eastAsia="el-GR"/>
        </w:rPr>
        <w:t>νες μετά την</w:t>
      </w:r>
      <w:r w:rsidR="00824D61">
        <w:rPr>
          <w:i/>
          <w:sz w:val="24"/>
          <w:szCs w:val="24"/>
          <w:lang w:eastAsia="el-GR"/>
        </w:rPr>
        <w:t xml:space="preserve"> τρίτη φάση</w:t>
      </w:r>
      <w:r w:rsidRPr="005A464E">
        <w:rPr>
          <w:i/>
          <w:sz w:val="24"/>
          <w:szCs w:val="24"/>
          <w:lang w:eastAsia="el-GR"/>
        </w:rPr>
        <w:t>)</w:t>
      </w:r>
      <w:r w:rsidRPr="005A464E">
        <w:rPr>
          <w:sz w:val="24"/>
          <w:szCs w:val="24"/>
          <w:lang w:eastAsia="el-GR"/>
        </w:rPr>
        <w:t xml:space="preserve"> μελετήθηκε η μεταβολή στο επίπεδο της ποιότητας ζωής των ασθενών.</w:t>
      </w:r>
      <w:r w:rsidR="00D07BB2">
        <w:rPr>
          <w:sz w:val="24"/>
          <w:szCs w:val="24"/>
          <w:lang w:eastAsia="el-GR"/>
        </w:rPr>
        <w:t xml:space="preserve"> Η π</w:t>
      </w:r>
      <w:r w:rsidR="00F936DF">
        <w:rPr>
          <w:sz w:val="24"/>
          <w:szCs w:val="24"/>
          <w:lang w:eastAsia="el-GR"/>
        </w:rPr>
        <w:t xml:space="preserve">έμπτη φάση διεξήχθη </w:t>
      </w:r>
      <w:r w:rsidR="00B0098B">
        <w:rPr>
          <w:sz w:val="24"/>
          <w:szCs w:val="24"/>
          <w:lang w:eastAsia="el-GR"/>
        </w:rPr>
        <w:t>από 01/04/2017 έως 30/04/</w:t>
      </w:r>
      <w:r w:rsidR="00F936DF">
        <w:rPr>
          <w:sz w:val="24"/>
          <w:szCs w:val="24"/>
          <w:lang w:eastAsia="el-GR"/>
        </w:rPr>
        <w:t>2017.</w:t>
      </w:r>
    </w:p>
    <w:p w:rsidR="00BD220E" w:rsidRPr="00F936DF" w:rsidRDefault="0002279F" w:rsidP="0066526D">
      <w:pPr>
        <w:pStyle w:val="41"/>
        <w:numPr>
          <w:ilvl w:val="2"/>
          <w:numId w:val="115"/>
        </w:numPr>
        <w:spacing w:after="240"/>
        <w:rPr>
          <w:lang w:eastAsia="el-GR"/>
        </w:rPr>
      </w:pPr>
      <w:r w:rsidRPr="005A464E">
        <w:rPr>
          <w:lang w:eastAsia="el-GR"/>
        </w:rPr>
        <w:t>Πρώτη</w:t>
      </w:r>
      <w:r w:rsidRPr="00F936DF">
        <w:rPr>
          <w:lang w:eastAsia="el-GR"/>
        </w:rPr>
        <w:t xml:space="preserve"> </w:t>
      </w:r>
      <w:r w:rsidRPr="005A464E">
        <w:rPr>
          <w:lang w:eastAsia="el-GR"/>
        </w:rPr>
        <w:t>φάση</w:t>
      </w:r>
    </w:p>
    <w:p w:rsidR="00C5140E" w:rsidRPr="00EA7C8F" w:rsidRDefault="00DC54AF" w:rsidP="00C5140E">
      <w:pPr>
        <w:numPr>
          <w:ilvl w:val="0"/>
          <w:numId w:val="118"/>
        </w:numPr>
        <w:spacing w:after="240" w:line="360" w:lineRule="auto"/>
        <w:jc w:val="both"/>
        <w:rPr>
          <w:rFonts w:cs="Arial"/>
          <w:b/>
          <w:sz w:val="24"/>
          <w:szCs w:val="24"/>
          <w:vertAlign w:val="superscript"/>
          <w:lang w:val="en-US" w:eastAsia="el-GR"/>
        </w:rPr>
      </w:pPr>
      <w:r w:rsidRPr="00C5140E">
        <w:rPr>
          <w:b/>
          <w:sz w:val="24"/>
          <w:szCs w:val="24"/>
          <w:lang w:eastAsia="el-GR"/>
        </w:rPr>
        <w:t>Η</w:t>
      </w:r>
      <w:r w:rsidRPr="00C5140E">
        <w:rPr>
          <w:b/>
          <w:sz w:val="24"/>
          <w:szCs w:val="24"/>
          <w:lang w:val="en-US" w:eastAsia="el-GR"/>
        </w:rPr>
        <w:t xml:space="preserve"> </w:t>
      </w:r>
      <w:r w:rsidRPr="00C5140E">
        <w:rPr>
          <w:b/>
          <w:sz w:val="24"/>
          <w:szCs w:val="24"/>
          <w:lang w:eastAsia="el-GR"/>
        </w:rPr>
        <w:t>κλίμακα</w:t>
      </w:r>
      <w:r w:rsidRPr="00C5140E">
        <w:rPr>
          <w:b/>
          <w:sz w:val="24"/>
          <w:szCs w:val="24"/>
          <w:lang w:val="en-US" w:eastAsia="el-GR"/>
        </w:rPr>
        <w:t xml:space="preserve"> Simplified Medication Adherence Questionnaire, GR-</w:t>
      </w:r>
      <w:r w:rsidR="008E2725" w:rsidRPr="00C5140E">
        <w:rPr>
          <w:b/>
          <w:sz w:val="24"/>
          <w:szCs w:val="24"/>
          <w:lang w:val="en-US" w:eastAsia="el-GR"/>
        </w:rPr>
        <w:t>SMAQ (</w:t>
      </w:r>
      <w:r w:rsidR="008E2725" w:rsidRPr="00C5140E">
        <w:rPr>
          <w:rFonts w:cs="Arial"/>
          <w:b/>
          <w:sz w:val="24"/>
          <w:szCs w:val="24"/>
          <w:lang w:val="en-US" w:eastAsia="el-GR"/>
        </w:rPr>
        <w:t>Theofilou, 2012</w:t>
      </w:r>
      <w:r w:rsidR="006579D3" w:rsidRPr="00C5140E">
        <w:rPr>
          <w:rFonts w:cs="Arial"/>
          <w:b/>
          <w:sz w:val="24"/>
          <w:szCs w:val="24"/>
          <w:lang w:val="en-US" w:eastAsia="el-GR"/>
        </w:rPr>
        <w:t>c</w:t>
      </w:r>
      <w:r w:rsidR="008E2725" w:rsidRPr="00C5140E">
        <w:rPr>
          <w:rFonts w:cs="Arial"/>
          <w:b/>
          <w:sz w:val="24"/>
          <w:szCs w:val="24"/>
          <w:lang w:val="en-US" w:eastAsia="el-GR"/>
        </w:rPr>
        <w:t>)</w:t>
      </w:r>
      <w:r w:rsidR="006579D3" w:rsidRPr="00C5140E">
        <w:rPr>
          <w:rFonts w:cs="Arial"/>
          <w:b/>
          <w:sz w:val="24"/>
          <w:szCs w:val="24"/>
          <w:lang w:val="en-US" w:eastAsia="el-GR"/>
        </w:rPr>
        <w:t>.</w:t>
      </w:r>
      <w:r w:rsidR="008E2725" w:rsidRPr="00C5140E">
        <w:rPr>
          <w:rFonts w:cs="Arial"/>
          <w:b/>
          <w:sz w:val="24"/>
          <w:szCs w:val="24"/>
          <w:vertAlign w:val="superscript"/>
          <w:lang w:val="en-US" w:eastAsia="el-GR"/>
        </w:rPr>
        <w:t xml:space="preserve"> </w:t>
      </w:r>
    </w:p>
    <w:p w:rsidR="008E2725" w:rsidRPr="005A464E" w:rsidRDefault="008E2725" w:rsidP="005A464E">
      <w:pPr>
        <w:spacing w:after="240" w:line="360" w:lineRule="auto"/>
        <w:jc w:val="both"/>
        <w:rPr>
          <w:rFonts w:cstheme="minorHAnsi"/>
          <w:sz w:val="24"/>
          <w:szCs w:val="24"/>
        </w:rPr>
      </w:pPr>
      <w:r w:rsidRPr="005A464E">
        <w:rPr>
          <w:rFonts w:cs="Arial"/>
          <w:sz w:val="24"/>
          <w:szCs w:val="24"/>
          <w:lang w:eastAsia="el-GR"/>
        </w:rPr>
        <w:t xml:space="preserve">Η κλίμακα μέτρησης συμμόρφωσης </w:t>
      </w:r>
      <w:r w:rsidRPr="00886C7F">
        <w:rPr>
          <w:rFonts w:cs="Arial"/>
          <w:sz w:val="24"/>
          <w:szCs w:val="24"/>
          <w:lang w:eastAsia="el-GR"/>
        </w:rPr>
        <w:t xml:space="preserve">ασθενών με </w:t>
      </w:r>
      <w:r w:rsidR="00311289" w:rsidRPr="00886C7F">
        <w:rPr>
          <w:rFonts w:cs="Arial"/>
          <w:sz w:val="24"/>
          <w:szCs w:val="24"/>
          <w:lang w:eastAsia="el-GR"/>
        </w:rPr>
        <w:t>χρόνια νόσο</w:t>
      </w:r>
      <w:r w:rsidR="00311289" w:rsidRPr="005A464E">
        <w:rPr>
          <w:rFonts w:cs="Arial"/>
          <w:sz w:val="24"/>
          <w:szCs w:val="24"/>
          <w:lang w:eastAsia="el-GR"/>
        </w:rPr>
        <w:t xml:space="preserve"> </w:t>
      </w:r>
      <w:r w:rsidRPr="005A464E">
        <w:rPr>
          <w:rFonts w:cs="Arial"/>
          <w:sz w:val="24"/>
          <w:szCs w:val="24"/>
          <w:lang w:eastAsia="el-GR"/>
        </w:rPr>
        <w:t xml:space="preserve">είναι ένα αυτοσυμπληρούμενο ερωτηματολόγιο που χρησιμοποιήθηκε από την </w:t>
      </w:r>
      <w:r w:rsidR="00311289">
        <w:rPr>
          <w:rFonts w:cs="Arial"/>
          <w:sz w:val="24"/>
          <w:szCs w:val="24"/>
          <w:lang w:eastAsia="el-GR"/>
        </w:rPr>
        <w:t xml:space="preserve">Π. </w:t>
      </w:r>
      <w:r w:rsidRPr="005A464E">
        <w:rPr>
          <w:rFonts w:cs="Arial"/>
          <w:sz w:val="24"/>
          <w:szCs w:val="24"/>
          <w:lang w:eastAsia="el-GR"/>
        </w:rPr>
        <w:t>Θεοφίλου</w:t>
      </w:r>
      <w:r w:rsidR="00311289" w:rsidRPr="005A464E">
        <w:rPr>
          <w:rFonts w:cs="Arial"/>
          <w:sz w:val="24"/>
          <w:szCs w:val="24"/>
          <w:lang w:eastAsia="el-GR"/>
        </w:rPr>
        <w:t xml:space="preserve"> </w:t>
      </w:r>
      <w:r w:rsidR="00311289">
        <w:rPr>
          <w:rFonts w:cs="Arial"/>
          <w:sz w:val="24"/>
          <w:szCs w:val="24"/>
          <w:lang w:eastAsia="el-GR"/>
        </w:rPr>
        <w:t>τ</w:t>
      </w:r>
      <w:r w:rsidRPr="005A464E">
        <w:rPr>
          <w:rFonts w:cs="Arial"/>
          <w:sz w:val="24"/>
          <w:szCs w:val="24"/>
          <w:lang w:eastAsia="el-GR"/>
        </w:rPr>
        <w:t>ο 2012 για να μετρήσει το επίπεδο σ</w:t>
      </w:r>
      <w:r w:rsidR="008B6F33" w:rsidRPr="005A464E">
        <w:rPr>
          <w:rFonts w:cs="Arial"/>
          <w:sz w:val="24"/>
          <w:szCs w:val="24"/>
          <w:lang w:eastAsia="el-GR"/>
        </w:rPr>
        <w:t>υμμόρφωσης σε δείγμα 10 Ελλήνων</w:t>
      </w:r>
      <w:r w:rsidRPr="005A464E">
        <w:rPr>
          <w:rFonts w:cs="Arial"/>
          <w:sz w:val="24"/>
          <w:szCs w:val="24"/>
          <w:lang w:eastAsia="el-GR"/>
        </w:rPr>
        <w:t xml:space="preserve"> ασθενών με καρκίνο του πνεύμονα</w:t>
      </w:r>
      <w:r w:rsidR="006F0BEC" w:rsidRPr="005A464E">
        <w:rPr>
          <w:rFonts w:cs="Arial"/>
          <w:sz w:val="24"/>
          <w:szCs w:val="24"/>
          <w:lang w:eastAsia="el-GR"/>
        </w:rPr>
        <w:t xml:space="preserve"> (Πίν</w:t>
      </w:r>
      <w:r w:rsidR="00D66B68" w:rsidRPr="005A464E">
        <w:rPr>
          <w:rFonts w:cs="Arial"/>
          <w:sz w:val="24"/>
          <w:szCs w:val="24"/>
          <w:lang w:eastAsia="el-GR"/>
        </w:rPr>
        <w:t xml:space="preserve"> 1</w:t>
      </w:r>
      <w:r w:rsidR="006F0BEC" w:rsidRPr="005A464E">
        <w:rPr>
          <w:rFonts w:cs="Arial"/>
          <w:sz w:val="24"/>
          <w:szCs w:val="24"/>
          <w:lang w:eastAsia="el-GR"/>
        </w:rPr>
        <w:t>)</w:t>
      </w:r>
      <w:r w:rsidRPr="005A464E">
        <w:rPr>
          <w:rFonts w:cs="Arial"/>
          <w:sz w:val="24"/>
          <w:szCs w:val="24"/>
          <w:lang w:eastAsia="el-GR"/>
        </w:rPr>
        <w:t>. Στην αρχική του μορφή</w:t>
      </w:r>
      <w:r w:rsidRPr="005A464E">
        <w:rPr>
          <w:rFonts w:cs="Arial"/>
          <w:sz w:val="24"/>
          <w:szCs w:val="24"/>
          <w:vertAlign w:val="superscript"/>
          <w:lang w:eastAsia="el-GR"/>
        </w:rPr>
        <w:t xml:space="preserve"> </w:t>
      </w:r>
      <w:r w:rsidRPr="005A464E">
        <w:rPr>
          <w:rFonts w:cs="Arial"/>
          <w:sz w:val="24"/>
          <w:szCs w:val="24"/>
          <w:lang w:eastAsia="el-GR"/>
        </w:rPr>
        <w:t>(SMAQ) το συγκεκριμένο ερωτηματολόγιο χρησιμοποιήθηκε για τη μέτρηση επιπέδου συμμόρφωσης σε ασθενείς υπό αντιρετροϊκή θεραπεία</w:t>
      </w:r>
      <w:r w:rsidR="006579D3" w:rsidRPr="005A464E">
        <w:rPr>
          <w:rFonts w:cs="Arial"/>
          <w:sz w:val="24"/>
          <w:szCs w:val="24"/>
          <w:lang w:eastAsia="el-GR"/>
        </w:rPr>
        <w:t xml:space="preserve"> (</w:t>
      </w:r>
      <w:r w:rsidR="006579D3" w:rsidRPr="005A464E">
        <w:rPr>
          <w:rFonts w:cs="Arial"/>
          <w:sz w:val="24"/>
          <w:szCs w:val="24"/>
          <w:lang w:val="en-US" w:eastAsia="el-GR"/>
        </w:rPr>
        <w:t>Knobel</w:t>
      </w:r>
      <w:r w:rsidR="006579D3" w:rsidRPr="005A464E">
        <w:rPr>
          <w:rFonts w:cs="Arial"/>
          <w:sz w:val="24"/>
          <w:szCs w:val="24"/>
          <w:lang w:eastAsia="el-GR"/>
        </w:rPr>
        <w:t xml:space="preserve"> </w:t>
      </w:r>
      <w:r w:rsidR="00566CAA">
        <w:rPr>
          <w:rFonts w:cs="Arial"/>
          <w:sz w:val="24"/>
          <w:szCs w:val="24"/>
          <w:lang w:eastAsia="el-GR"/>
        </w:rPr>
        <w:t>et al</w:t>
      </w:r>
      <w:r w:rsidR="003B3E47" w:rsidRPr="003B3E47">
        <w:rPr>
          <w:rFonts w:cs="Arial"/>
          <w:sz w:val="24"/>
          <w:szCs w:val="24"/>
          <w:lang w:eastAsia="el-GR"/>
        </w:rPr>
        <w:t>.</w:t>
      </w:r>
      <w:r w:rsidR="006579D3" w:rsidRPr="005A464E">
        <w:rPr>
          <w:rFonts w:cs="Arial"/>
          <w:sz w:val="24"/>
          <w:szCs w:val="24"/>
          <w:lang w:eastAsia="el-GR"/>
        </w:rPr>
        <w:t xml:space="preserve"> 2002)</w:t>
      </w:r>
      <w:r w:rsidRPr="005A464E">
        <w:rPr>
          <w:rFonts w:cs="Arial"/>
          <w:sz w:val="24"/>
          <w:szCs w:val="24"/>
          <w:lang w:eastAsia="el-GR"/>
        </w:rPr>
        <w:t>. Αποτελείται από 6 ερωτήσεις</w:t>
      </w:r>
      <w:r w:rsidR="00450E48">
        <w:rPr>
          <w:rFonts w:cs="Arial"/>
          <w:sz w:val="24"/>
          <w:szCs w:val="24"/>
          <w:lang w:eastAsia="el-GR"/>
        </w:rPr>
        <w:t>,</w:t>
      </w:r>
      <w:r w:rsidRPr="005A464E">
        <w:rPr>
          <w:rFonts w:cs="Arial"/>
          <w:sz w:val="24"/>
          <w:szCs w:val="24"/>
          <w:lang w:eastAsia="el-GR"/>
        </w:rPr>
        <w:t xml:space="preserve"> εκ των οποίων οι 4 είναι διχοτόμες (ΝΑΙ /</w:t>
      </w:r>
      <w:r w:rsidRPr="00886C7F">
        <w:rPr>
          <w:rFonts w:cs="Arial"/>
          <w:sz w:val="24"/>
          <w:szCs w:val="24"/>
          <w:lang w:eastAsia="el-GR"/>
        </w:rPr>
        <w:t>ΟΧΙ),</w:t>
      </w:r>
      <w:r w:rsidR="0078495A" w:rsidRPr="00886C7F">
        <w:rPr>
          <w:rFonts w:cs="Arial"/>
          <w:sz w:val="24"/>
          <w:szCs w:val="24"/>
          <w:lang w:eastAsia="el-GR"/>
        </w:rPr>
        <w:t xml:space="preserve"> </w:t>
      </w:r>
      <w:r w:rsidR="00311289" w:rsidRPr="00886C7F">
        <w:rPr>
          <w:rFonts w:cs="Arial"/>
          <w:sz w:val="24"/>
          <w:szCs w:val="24"/>
          <w:lang w:eastAsia="el-GR"/>
        </w:rPr>
        <w:t>μι</w:t>
      </w:r>
      <w:r w:rsidRPr="00886C7F">
        <w:rPr>
          <w:rFonts w:cs="Arial"/>
          <w:sz w:val="24"/>
          <w:szCs w:val="24"/>
          <w:lang w:eastAsia="el-GR"/>
        </w:rPr>
        <w:t>α είναι</w:t>
      </w:r>
      <w:r w:rsidRPr="005A464E">
        <w:rPr>
          <w:rFonts w:cs="Arial"/>
          <w:sz w:val="24"/>
          <w:szCs w:val="24"/>
          <w:lang w:eastAsia="el-GR"/>
        </w:rPr>
        <w:t xml:space="preserve"> τύπου </w:t>
      </w:r>
      <w:r w:rsidRPr="005A464E">
        <w:rPr>
          <w:rFonts w:cs="Arial"/>
          <w:sz w:val="24"/>
          <w:szCs w:val="24"/>
          <w:lang w:val="en-US" w:eastAsia="el-GR"/>
        </w:rPr>
        <w:t>Likert</w:t>
      </w:r>
      <w:r w:rsidR="0078495A">
        <w:rPr>
          <w:rFonts w:cs="Arial"/>
          <w:sz w:val="24"/>
          <w:szCs w:val="24"/>
          <w:lang w:eastAsia="el-GR"/>
        </w:rPr>
        <w:t xml:space="preserve"> </w:t>
      </w:r>
      <w:r w:rsidRPr="005A464E">
        <w:rPr>
          <w:rFonts w:cs="Arial"/>
          <w:sz w:val="24"/>
          <w:szCs w:val="24"/>
          <w:lang w:eastAsia="el-GR"/>
        </w:rPr>
        <w:t>5 σημείων κ</w:t>
      </w:r>
      <w:r w:rsidR="00824D61">
        <w:rPr>
          <w:rFonts w:cs="Arial"/>
          <w:sz w:val="24"/>
          <w:szCs w:val="24"/>
          <w:lang w:eastAsia="el-GR"/>
        </w:rPr>
        <w:t>αι μι</w:t>
      </w:r>
      <w:r w:rsidRPr="005A464E">
        <w:rPr>
          <w:rFonts w:cs="Arial"/>
          <w:sz w:val="24"/>
          <w:szCs w:val="24"/>
          <w:lang w:eastAsia="el-GR"/>
        </w:rPr>
        <w:t>α ανοιχτή ερώτηση. Στον τομέα της νεφρολογίας έχει χρησιμοποιηθεί για την μέτρηση του επιπέδου συμμόρφωσης στα φωσφοροδεσμευτικά φάρμακα</w:t>
      </w:r>
      <w:r w:rsidR="00450E48">
        <w:rPr>
          <w:rFonts w:cs="Arial"/>
          <w:sz w:val="24"/>
          <w:szCs w:val="24"/>
          <w:lang w:eastAsia="el-GR"/>
        </w:rPr>
        <w:t>,</w:t>
      </w:r>
      <w:r w:rsidRPr="005A464E">
        <w:rPr>
          <w:rFonts w:cs="Arial"/>
          <w:sz w:val="24"/>
          <w:szCs w:val="24"/>
          <w:lang w:eastAsia="el-GR"/>
        </w:rPr>
        <w:t xml:space="preserve"> χωρίς όμως να έχει ελεγχθεί η εγκυρότητά </w:t>
      </w:r>
      <w:r w:rsidRPr="005A464E">
        <w:rPr>
          <w:rFonts w:cstheme="minorHAnsi"/>
          <w:sz w:val="24"/>
          <w:szCs w:val="24"/>
          <w:lang w:eastAsia="el-GR"/>
        </w:rPr>
        <w:t>του</w:t>
      </w:r>
      <w:r w:rsidR="006579D3" w:rsidRPr="005A464E">
        <w:rPr>
          <w:rFonts w:cstheme="minorHAnsi"/>
          <w:sz w:val="24"/>
          <w:szCs w:val="24"/>
          <w:lang w:eastAsia="el-GR"/>
        </w:rPr>
        <w:t xml:space="preserve"> (</w:t>
      </w:r>
      <w:r w:rsidR="006579D3" w:rsidRPr="005A464E">
        <w:rPr>
          <w:rFonts w:cstheme="minorHAnsi"/>
          <w:sz w:val="24"/>
          <w:szCs w:val="24"/>
          <w:lang w:val="en-US"/>
        </w:rPr>
        <w:t>Arenas</w:t>
      </w:r>
      <w:r w:rsidR="0078495A">
        <w:rPr>
          <w:rFonts w:cstheme="minorHAnsi"/>
          <w:sz w:val="24"/>
          <w:szCs w:val="24"/>
          <w:vertAlign w:val="superscript"/>
          <w:lang w:eastAsia="el-GR"/>
        </w:rPr>
        <w:t xml:space="preserve"> </w:t>
      </w:r>
      <w:r w:rsidR="00566CAA">
        <w:rPr>
          <w:rFonts w:cstheme="minorHAnsi"/>
          <w:sz w:val="24"/>
          <w:szCs w:val="24"/>
          <w:lang w:eastAsia="el-GR"/>
        </w:rPr>
        <w:t>et al</w:t>
      </w:r>
      <w:r w:rsidR="003B3E47" w:rsidRPr="003B3E47">
        <w:rPr>
          <w:rFonts w:cstheme="minorHAnsi"/>
          <w:sz w:val="24"/>
          <w:szCs w:val="24"/>
          <w:lang w:eastAsia="el-GR"/>
        </w:rPr>
        <w:t>.</w:t>
      </w:r>
      <w:r w:rsidR="00961E11" w:rsidRPr="00961E11">
        <w:rPr>
          <w:rFonts w:cstheme="minorHAnsi"/>
          <w:sz w:val="24"/>
          <w:szCs w:val="24"/>
          <w:lang w:eastAsia="el-GR"/>
        </w:rPr>
        <w:t>,</w:t>
      </w:r>
      <w:r w:rsidR="006579D3" w:rsidRPr="005A464E">
        <w:rPr>
          <w:rFonts w:cstheme="minorHAnsi"/>
          <w:sz w:val="24"/>
          <w:szCs w:val="24"/>
          <w:lang w:eastAsia="el-GR"/>
        </w:rPr>
        <w:t xml:space="preserve"> 2010</w:t>
      </w:r>
      <w:r w:rsidR="006579D3" w:rsidRPr="005A464E">
        <w:rPr>
          <w:rFonts w:cstheme="minorHAnsi"/>
          <w:sz w:val="24"/>
          <w:szCs w:val="24"/>
          <w:lang w:val="en-US" w:eastAsia="el-GR"/>
        </w:rPr>
        <w:t>a</w:t>
      </w:r>
      <w:r w:rsidR="006579D3" w:rsidRPr="005A464E">
        <w:rPr>
          <w:rFonts w:cstheme="minorHAnsi"/>
          <w:sz w:val="24"/>
          <w:szCs w:val="24"/>
          <w:lang w:eastAsia="el-GR"/>
        </w:rPr>
        <w:t>;</w:t>
      </w:r>
      <w:r w:rsidR="006579D3" w:rsidRPr="005A464E">
        <w:rPr>
          <w:rFonts w:cstheme="minorHAnsi"/>
          <w:sz w:val="24"/>
          <w:szCs w:val="24"/>
        </w:rPr>
        <w:t xml:space="preserve"> </w:t>
      </w:r>
      <w:r w:rsidR="006579D3" w:rsidRPr="005A464E">
        <w:rPr>
          <w:rFonts w:cstheme="minorHAnsi"/>
          <w:sz w:val="24"/>
          <w:szCs w:val="24"/>
          <w:lang w:val="en-US"/>
        </w:rPr>
        <w:t>Arenas</w:t>
      </w:r>
      <w:r w:rsidR="006579D3" w:rsidRPr="005A464E">
        <w:rPr>
          <w:rFonts w:cstheme="minorHAnsi"/>
          <w:sz w:val="24"/>
          <w:szCs w:val="24"/>
        </w:rPr>
        <w:t xml:space="preserve"> </w:t>
      </w:r>
      <w:r w:rsidR="00566CAA">
        <w:rPr>
          <w:rFonts w:cstheme="minorHAnsi"/>
          <w:sz w:val="24"/>
          <w:szCs w:val="24"/>
        </w:rPr>
        <w:t>et al</w:t>
      </w:r>
      <w:r w:rsidR="003B3E47" w:rsidRPr="003B3E47">
        <w:rPr>
          <w:rFonts w:cstheme="minorHAnsi"/>
          <w:sz w:val="24"/>
          <w:szCs w:val="24"/>
        </w:rPr>
        <w:t>.</w:t>
      </w:r>
      <w:r w:rsidR="00961E11" w:rsidRPr="00961E11">
        <w:rPr>
          <w:rFonts w:cstheme="minorHAnsi"/>
          <w:sz w:val="24"/>
          <w:szCs w:val="24"/>
        </w:rPr>
        <w:t>,</w:t>
      </w:r>
      <w:r w:rsidR="006579D3" w:rsidRPr="005A464E">
        <w:rPr>
          <w:rFonts w:cstheme="minorHAnsi"/>
          <w:sz w:val="24"/>
          <w:szCs w:val="24"/>
        </w:rPr>
        <w:t xml:space="preserve"> 2010</w:t>
      </w:r>
      <w:r w:rsidR="006579D3" w:rsidRPr="005A464E">
        <w:rPr>
          <w:rFonts w:cstheme="minorHAnsi"/>
          <w:sz w:val="24"/>
          <w:szCs w:val="24"/>
          <w:lang w:val="en-US"/>
        </w:rPr>
        <w:t>b</w:t>
      </w:r>
      <w:r w:rsidR="006579D3" w:rsidRPr="005A464E">
        <w:rPr>
          <w:rFonts w:cstheme="minorHAnsi"/>
          <w:sz w:val="24"/>
          <w:szCs w:val="24"/>
        </w:rPr>
        <w:t xml:space="preserve">). </w:t>
      </w:r>
    </w:p>
    <w:p w:rsidR="00700ABA" w:rsidRDefault="006F0BEC" w:rsidP="001D00C0">
      <w:pPr>
        <w:spacing w:after="0" w:line="360" w:lineRule="auto"/>
        <w:jc w:val="both"/>
        <w:rPr>
          <w:rFonts w:cstheme="minorHAnsi"/>
          <w:sz w:val="24"/>
          <w:szCs w:val="24"/>
        </w:rPr>
      </w:pPr>
      <w:r w:rsidRPr="00700ABA">
        <w:rPr>
          <w:rFonts w:cstheme="minorHAnsi"/>
          <w:sz w:val="24"/>
          <w:szCs w:val="24"/>
        </w:rPr>
        <w:t>Πίνακας</w:t>
      </w:r>
      <w:r w:rsidR="00625779" w:rsidRPr="00700ABA">
        <w:rPr>
          <w:rFonts w:cstheme="minorHAnsi"/>
          <w:sz w:val="24"/>
          <w:szCs w:val="24"/>
        </w:rPr>
        <w:t xml:space="preserve"> </w:t>
      </w:r>
      <w:r w:rsidR="00D66B68" w:rsidRPr="00700ABA">
        <w:rPr>
          <w:rFonts w:cstheme="minorHAnsi"/>
          <w:sz w:val="24"/>
          <w:szCs w:val="24"/>
        </w:rPr>
        <w:t>1</w:t>
      </w:r>
    </w:p>
    <w:p w:rsidR="006F0BEC" w:rsidRPr="001C081D" w:rsidRDefault="00D66B68" w:rsidP="005A464E">
      <w:pPr>
        <w:spacing w:after="240" w:line="360" w:lineRule="auto"/>
        <w:jc w:val="both"/>
        <w:rPr>
          <w:rFonts w:cstheme="minorHAnsi"/>
          <w:i/>
          <w:sz w:val="24"/>
          <w:szCs w:val="24"/>
        </w:rPr>
      </w:pPr>
      <w:r w:rsidRPr="00700ABA">
        <w:rPr>
          <w:rFonts w:cstheme="minorHAnsi"/>
          <w:i/>
          <w:sz w:val="24"/>
          <w:szCs w:val="24"/>
        </w:rPr>
        <w:t xml:space="preserve"> </w:t>
      </w:r>
      <w:r w:rsidR="006F0BEC" w:rsidRPr="00700ABA">
        <w:rPr>
          <w:rFonts w:cstheme="minorHAnsi"/>
          <w:i/>
          <w:sz w:val="24"/>
          <w:szCs w:val="24"/>
        </w:rPr>
        <w:t xml:space="preserve">Αρχική μορφή </w:t>
      </w:r>
      <w:r w:rsidR="006F0BEC" w:rsidRPr="00700ABA">
        <w:rPr>
          <w:rFonts w:cstheme="minorHAnsi"/>
          <w:i/>
          <w:sz w:val="24"/>
          <w:szCs w:val="24"/>
          <w:lang w:val="en-US"/>
        </w:rPr>
        <w:t>GR</w:t>
      </w:r>
      <w:r w:rsidR="006F0BEC" w:rsidRPr="00700ABA">
        <w:rPr>
          <w:rFonts w:cstheme="minorHAnsi"/>
          <w:i/>
          <w:sz w:val="24"/>
          <w:szCs w:val="24"/>
        </w:rPr>
        <w:t>-</w:t>
      </w:r>
      <w:r w:rsidR="006F0BEC" w:rsidRPr="00700ABA">
        <w:rPr>
          <w:rFonts w:cstheme="minorHAnsi"/>
          <w:i/>
          <w:sz w:val="24"/>
          <w:szCs w:val="24"/>
          <w:lang w:val="en-US"/>
        </w:rPr>
        <w:t>SMAQ</w:t>
      </w:r>
    </w:p>
    <w:tbl>
      <w:tblPr>
        <w:tblStyle w:val="-41"/>
        <w:tblW w:w="0" w:type="auto"/>
        <w:jc w:val="center"/>
        <w:tblLook w:val="0400"/>
      </w:tblPr>
      <w:tblGrid>
        <w:gridCol w:w="8522"/>
      </w:tblGrid>
      <w:tr w:rsidR="00684592" w:rsidRPr="003B3E47" w:rsidTr="00F27AC3">
        <w:trPr>
          <w:cnfStyle w:val="000000100000"/>
          <w:jc w:val="center"/>
        </w:trPr>
        <w:tc>
          <w:tcPr>
            <w:tcW w:w="8522" w:type="dxa"/>
          </w:tcPr>
          <w:p w:rsidR="003B3E47" w:rsidRPr="003B3E47" w:rsidRDefault="003B3E47" w:rsidP="0066526D">
            <w:pPr>
              <w:numPr>
                <w:ilvl w:val="0"/>
                <w:numId w:val="101"/>
              </w:numPr>
              <w:spacing w:after="0" w:line="360" w:lineRule="auto"/>
              <w:rPr>
                <w:rFonts w:cstheme="minorHAnsi"/>
                <w:sz w:val="24"/>
                <w:szCs w:val="24"/>
              </w:rPr>
            </w:pPr>
            <w:r w:rsidRPr="003B3E47">
              <w:rPr>
                <w:rFonts w:asciiTheme="minorHAnsi" w:eastAsiaTheme="minorHAnsi" w:hAnsiTheme="minorHAnsi" w:cs="Arial"/>
                <w:bCs/>
              </w:rPr>
              <w:t>Παίρνετε πάντα τα φάρμακά σας την κατάλληλη στιγμή;</w:t>
            </w:r>
          </w:p>
        </w:tc>
      </w:tr>
      <w:tr w:rsidR="003B3E47" w:rsidRPr="003B3E47" w:rsidTr="00F27AC3">
        <w:trPr>
          <w:cnfStyle w:val="000000010000"/>
          <w:jc w:val="center"/>
        </w:trPr>
        <w:tc>
          <w:tcPr>
            <w:tcW w:w="8522" w:type="dxa"/>
          </w:tcPr>
          <w:p w:rsidR="003B3E47" w:rsidRPr="003B3E47" w:rsidRDefault="003B3E47" w:rsidP="0066526D">
            <w:pPr>
              <w:numPr>
                <w:ilvl w:val="0"/>
                <w:numId w:val="101"/>
              </w:numPr>
              <w:spacing w:after="0" w:line="360" w:lineRule="auto"/>
              <w:rPr>
                <w:rFonts w:cstheme="minorHAnsi"/>
                <w:sz w:val="24"/>
                <w:szCs w:val="24"/>
              </w:rPr>
            </w:pPr>
            <w:r w:rsidRPr="003B3E47">
              <w:rPr>
                <w:rFonts w:asciiTheme="minorHAnsi" w:eastAsiaTheme="minorHAnsi" w:hAnsiTheme="minorHAnsi" w:cs="Arial"/>
                <w:bCs/>
              </w:rPr>
              <w:t>Όταν αισθάνεστε άσχημα, έχετε ποτέ σταματήσει να παίρνετε τα φάρμακά σας;</w:t>
            </w:r>
          </w:p>
        </w:tc>
      </w:tr>
      <w:tr w:rsidR="003B3E47" w:rsidRPr="003B3E47" w:rsidTr="00F27AC3">
        <w:trPr>
          <w:cnfStyle w:val="000000100000"/>
          <w:jc w:val="center"/>
        </w:trPr>
        <w:tc>
          <w:tcPr>
            <w:tcW w:w="8522" w:type="dxa"/>
          </w:tcPr>
          <w:p w:rsidR="003B3E47" w:rsidRPr="003B3E47" w:rsidRDefault="003B3E47" w:rsidP="0066526D">
            <w:pPr>
              <w:numPr>
                <w:ilvl w:val="0"/>
                <w:numId w:val="101"/>
              </w:numPr>
              <w:spacing w:after="0" w:line="360" w:lineRule="auto"/>
              <w:jc w:val="both"/>
              <w:rPr>
                <w:rFonts w:cstheme="minorHAnsi"/>
                <w:sz w:val="24"/>
                <w:szCs w:val="24"/>
              </w:rPr>
            </w:pPr>
            <w:r w:rsidRPr="003B3E47">
              <w:rPr>
                <w:rFonts w:asciiTheme="minorHAnsi" w:eastAsiaTheme="minorHAnsi" w:hAnsiTheme="minorHAnsi" w:cs="Arial"/>
                <w:bCs/>
              </w:rPr>
              <w:t>Έχετε ποτέ ξεχάσει να πάρετε τα φάρμακά σας;</w:t>
            </w:r>
          </w:p>
        </w:tc>
      </w:tr>
      <w:tr w:rsidR="003B3E47" w:rsidRPr="003B3E47" w:rsidTr="00F27AC3">
        <w:trPr>
          <w:cnfStyle w:val="000000010000"/>
          <w:jc w:val="center"/>
        </w:trPr>
        <w:tc>
          <w:tcPr>
            <w:tcW w:w="8522" w:type="dxa"/>
          </w:tcPr>
          <w:p w:rsidR="003B3E47" w:rsidRPr="003B3E47" w:rsidRDefault="003B3E47" w:rsidP="0066526D">
            <w:pPr>
              <w:numPr>
                <w:ilvl w:val="0"/>
                <w:numId w:val="101"/>
              </w:numPr>
              <w:spacing w:after="0" w:line="360" w:lineRule="auto"/>
              <w:jc w:val="both"/>
              <w:rPr>
                <w:rFonts w:cstheme="minorHAnsi"/>
                <w:sz w:val="24"/>
                <w:szCs w:val="24"/>
              </w:rPr>
            </w:pPr>
            <w:r w:rsidRPr="003B3E47">
              <w:rPr>
                <w:rFonts w:asciiTheme="minorHAnsi" w:eastAsiaTheme="minorHAnsi" w:hAnsiTheme="minorHAnsi" w:cs="Arial"/>
                <w:bCs/>
              </w:rPr>
              <w:t>Έχετε ποτέ ξεχάσει να πάρετε τα φάρμακά σας στη διάρκεια του</w:t>
            </w:r>
            <w:r w:rsidR="00824D61">
              <w:rPr>
                <w:rFonts w:asciiTheme="minorHAnsi" w:eastAsiaTheme="minorHAnsi" w:hAnsiTheme="minorHAnsi" w:cs="Arial"/>
                <w:bCs/>
              </w:rPr>
              <w:t>.</w:t>
            </w:r>
          </w:p>
        </w:tc>
      </w:tr>
      <w:tr w:rsidR="003B3E47" w:rsidRPr="003B3E47" w:rsidTr="00F27AC3">
        <w:trPr>
          <w:cnfStyle w:val="000000100000"/>
          <w:jc w:val="center"/>
        </w:trPr>
        <w:tc>
          <w:tcPr>
            <w:tcW w:w="8522" w:type="dxa"/>
          </w:tcPr>
          <w:p w:rsidR="003B3E47" w:rsidRPr="003B3E47" w:rsidRDefault="003B3E47" w:rsidP="0066526D">
            <w:pPr>
              <w:numPr>
                <w:ilvl w:val="0"/>
                <w:numId w:val="101"/>
              </w:numPr>
              <w:spacing w:after="0" w:line="360" w:lineRule="auto"/>
              <w:jc w:val="both"/>
              <w:rPr>
                <w:rFonts w:cstheme="minorHAnsi"/>
                <w:sz w:val="24"/>
                <w:szCs w:val="24"/>
              </w:rPr>
            </w:pPr>
            <w:r w:rsidRPr="003B3E47">
              <w:rPr>
                <w:rFonts w:asciiTheme="minorHAnsi" w:eastAsiaTheme="minorHAnsi" w:hAnsiTheme="minorHAnsi" w:cs="Arial"/>
                <w:bCs/>
              </w:rPr>
              <w:t>Την τελευταία εβδομάδα, πόσες φορές δεν πήρατε τη δόση του φαρμάκου σας;</w:t>
            </w:r>
          </w:p>
        </w:tc>
      </w:tr>
      <w:tr w:rsidR="003B3E47" w:rsidRPr="003B3E47" w:rsidTr="00F27AC3">
        <w:trPr>
          <w:cnfStyle w:val="000000010000"/>
          <w:jc w:val="center"/>
        </w:trPr>
        <w:tc>
          <w:tcPr>
            <w:tcW w:w="8522" w:type="dxa"/>
          </w:tcPr>
          <w:p w:rsidR="003B3E47" w:rsidRPr="003B3E47" w:rsidRDefault="003B3E47" w:rsidP="0066526D">
            <w:pPr>
              <w:numPr>
                <w:ilvl w:val="0"/>
                <w:numId w:val="101"/>
              </w:numPr>
              <w:spacing w:after="0" w:line="240" w:lineRule="auto"/>
              <w:jc w:val="both"/>
              <w:rPr>
                <w:rFonts w:cstheme="minorHAnsi"/>
                <w:sz w:val="24"/>
                <w:szCs w:val="24"/>
              </w:rPr>
            </w:pPr>
            <w:r w:rsidRPr="003B3E47">
              <w:rPr>
                <w:rFonts w:asciiTheme="minorHAnsi" w:eastAsiaTheme="minorHAnsi" w:hAnsiTheme="minorHAnsi" w:cstheme="minorHAnsi"/>
              </w:rPr>
              <w:t>Από την τελευταία σας επίσκεψη στο γιατρό, πόσες ημέρες πέρασαν που δεν πήρατε τα φάρμακά σας;</w:t>
            </w:r>
          </w:p>
        </w:tc>
      </w:tr>
    </w:tbl>
    <w:p w:rsidR="003B3E47" w:rsidRPr="000729FE" w:rsidRDefault="003B3E47" w:rsidP="005A464E">
      <w:pPr>
        <w:spacing w:line="360" w:lineRule="auto"/>
        <w:jc w:val="both"/>
        <w:rPr>
          <w:rFonts w:cstheme="minorHAnsi"/>
          <w:b/>
          <w:sz w:val="24"/>
          <w:szCs w:val="24"/>
          <w:lang w:eastAsia="el-GR"/>
        </w:rPr>
      </w:pPr>
    </w:p>
    <w:p w:rsidR="008E2725" w:rsidRPr="00F37F79" w:rsidRDefault="008E2725" w:rsidP="005A464E">
      <w:pPr>
        <w:spacing w:line="360" w:lineRule="auto"/>
        <w:jc w:val="both"/>
        <w:rPr>
          <w:i/>
          <w:sz w:val="24"/>
          <w:szCs w:val="24"/>
          <w:lang w:eastAsia="el-GR"/>
        </w:rPr>
      </w:pPr>
      <w:r w:rsidRPr="00F37F79">
        <w:rPr>
          <w:i/>
          <w:sz w:val="24"/>
          <w:szCs w:val="24"/>
          <w:lang w:eastAsia="el-GR"/>
        </w:rPr>
        <w:t xml:space="preserve">Τροποποίηση και προσαρμογή του </w:t>
      </w:r>
      <w:r w:rsidR="00866AD5" w:rsidRPr="00F37F79">
        <w:rPr>
          <w:i/>
          <w:sz w:val="24"/>
          <w:szCs w:val="24"/>
          <w:lang w:val="en-US" w:eastAsia="el-GR"/>
        </w:rPr>
        <w:t>GR</w:t>
      </w:r>
      <w:r w:rsidR="00866AD5" w:rsidRPr="00F37F79">
        <w:rPr>
          <w:i/>
          <w:sz w:val="24"/>
          <w:szCs w:val="24"/>
          <w:lang w:eastAsia="el-GR"/>
        </w:rPr>
        <w:t>-</w:t>
      </w:r>
      <w:r w:rsidRPr="00F37F79">
        <w:rPr>
          <w:i/>
          <w:sz w:val="24"/>
          <w:szCs w:val="24"/>
          <w:lang w:val="en-US" w:eastAsia="el-GR"/>
        </w:rPr>
        <w:t>Simplified</w:t>
      </w:r>
      <w:r w:rsidRPr="00F37F79">
        <w:rPr>
          <w:i/>
          <w:sz w:val="24"/>
          <w:szCs w:val="24"/>
          <w:lang w:eastAsia="el-GR"/>
        </w:rPr>
        <w:t xml:space="preserve"> </w:t>
      </w:r>
      <w:r w:rsidRPr="00F37F79">
        <w:rPr>
          <w:i/>
          <w:sz w:val="24"/>
          <w:szCs w:val="24"/>
          <w:lang w:val="en-US" w:eastAsia="el-GR"/>
        </w:rPr>
        <w:t>Medication</w:t>
      </w:r>
      <w:r w:rsidRPr="00F37F79">
        <w:rPr>
          <w:i/>
          <w:sz w:val="24"/>
          <w:szCs w:val="24"/>
          <w:lang w:eastAsia="el-GR"/>
        </w:rPr>
        <w:t xml:space="preserve"> </w:t>
      </w:r>
      <w:r w:rsidRPr="00F37F79">
        <w:rPr>
          <w:i/>
          <w:sz w:val="24"/>
          <w:szCs w:val="24"/>
          <w:lang w:val="en-US" w:eastAsia="el-GR"/>
        </w:rPr>
        <w:t>Adherence</w:t>
      </w:r>
      <w:r w:rsidRPr="00F37F79">
        <w:rPr>
          <w:i/>
          <w:sz w:val="24"/>
          <w:szCs w:val="24"/>
          <w:lang w:eastAsia="el-GR"/>
        </w:rPr>
        <w:t xml:space="preserve"> </w:t>
      </w:r>
      <w:r w:rsidRPr="00F37F79">
        <w:rPr>
          <w:i/>
          <w:sz w:val="24"/>
          <w:szCs w:val="24"/>
          <w:lang w:val="en-US" w:eastAsia="el-GR"/>
        </w:rPr>
        <w:t>Questionnaire</w:t>
      </w:r>
      <w:r w:rsidRPr="00F37F79">
        <w:rPr>
          <w:i/>
          <w:sz w:val="24"/>
          <w:szCs w:val="24"/>
          <w:lang w:eastAsia="el-GR"/>
        </w:rPr>
        <w:t xml:space="preserve"> σε πληθυσμό ασθενών υπό αιμοκάθαρση</w:t>
      </w:r>
    </w:p>
    <w:p w:rsidR="00D109D9" w:rsidRPr="00C5140E" w:rsidRDefault="00855C5F" w:rsidP="005A464E">
      <w:pPr>
        <w:spacing w:line="360" w:lineRule="auto"/>
        <w:jc w:val="both"/>
        <w:rPr>
          <w:sz w:val="24"/>
          <w:szCs w:val="24"/>
          <w:lang w:eastAsia="el-GR"/>
        </w:rPr>
      </w:pPr>
      <w:r w:rsidRPr="00C5140E">
        <w:rPr>
          <w:sz w:val="24"/>
          <w:szCs w:val="24"/>
          <w:lang w:eastAsia="el-GR"/>
        </w:rPr>
        <w:t>Π</w:t>
      </w:r>
      <w:r w:rsidR="00F249A9" w:rsidRPr="00C5140E">
        <w:rPr>
          <w:sz w:val="24"/>
          <w:szCs w:val="24"/>
          <w:lang w:eastAsia="el-GR"/>
        </w:rPr>
        <w:t xml:space="preserve">ρώτος </w:t>
      </w:r>
      <w:r w:rsidR="0002279F" w:rsidRPr="00C5140E">
        <w:rPr>
          <w:sz w:val="24"/>
          <w:szCs w:val="24"/>
          <w:lang w:eastAsia="el-GR"/>
        </w:rPr>
        <w:t xml:space="preserve">στόχος </w:t>
      </w:r>
      <w:r w:rsidR="008E2725" w:rsidRPr="00C5140E">
        <w:rPr>
          <w:sz w:val="24"/>
          <w:szCs w:val="24"/>
          <w:lang w:eastAsia="el-GR"/>
        </w:rPr>
        <w:t xml:space="preserve">της φάσης αυτής </w:t>
      </w:r>
      <w:r w:rsidR="0002279F" w:rsidRPr="00C5140E">
        <w:rPr>
          <w:sz w:val="24"/>
          <w:szCs w:val="24"/>
          <w:lang w:eastAsia="el-GR"/>
        </w:rPr>
        <w:t xml:space="preserve">ήταν η τροποποίηση και προσαρμογή του ερωτηματολογίου συμμόρφωσης </w:t>
      </w:r>
      <w:r w:rsidR="000C58A2" w:rsidRPr="00C5140E">
        <w:rPr>
          <w:sz w:val="24"/>
          <w:szCs w:val="24"/>
          <w:lang w:eastAsia="el-GR"/>
        </w:rPr>
        <w:t xml:space="preserve">σε </w:t>
      </w:r>
      <w:r w:rsidR="000C58A2" w:rsidRPr="00886C7F">
        <w:rPr>
          <w:sz w:val="24"/>
          <w:szCs w:val="24"/>
          <w:lang w:eastAsia="el-GR"/>
        </w:rPr>
        <w:t>ασθενείς</w:t>
      </w:r>
      <w:r w:rsidR="0002279F" w:rsidRPr="00886C7F">
        <w:rPr>
          <w:sz w:val="24"/>
          <w:szCs w:val="24"/>
          <w:lang w:eastAsia="el-GR"/>
        </w:rPr>
        <w:t xml:space="preserve"> που υποβάλλονται σε</w:t>
      </w:r>
      <w:r w:rsidR="0002279F" w:rsidRPr="00C5140E">
        <w:rPr>
          <w:sz w:val="24"/>
          <w:szCs w:val="24"/>
          <w:lang w:eastAsia="el-GR"/>
        </w:rPr>
        <w:t xml:space="preserve"> αιμοκάθαρση. </w:t>
      </w:r>
    </w:p>
    <w:p w:rsidR="00EA7E44" w:rsidRDefault="00323F3B" w:rsidP="005A464E">
      <w:pPr>
        <w:spacing w:line="360" w:lineRule="auto"/>
        <w:jc w:val="both"/>
        <w:rPr>
          <w:sz w:val="24"/>
          <w:szCs w:val="24"/>
          <w:lang w:eastAsia="el-GR"/>
        </w:rPr>
      </w:pPr>
      <w:r w:rsidRPr="00C5140E">
        <w:rPr>
          <w:sz w:val="24"/>
          <w:szCs w:val="24"/>
          <w:lang w:eastAsia="el-GR"/>
        </w:rPr>
        <w:t>Έγινε έλεγχος της εγκυρότητας περιεχομένου</w:t>
      </w:r>
      <w:r w:rsidRPr="005A464E">
        <w:rPr>
          <w:sz w:val="24"/>
          <w:szCs w:val="24"/>
          <w:lang w:eastAsia="el-GR"/>
        </w:rPr>
        <w:t xml:space="preserve"> της κλίμακας μέσα από εκτεταμένη βιβλιογραφική ανασκόπηση αλλά και τη χρησιμοποίηση ειδικών (</w:t>
      </w:r>
      <w:r w:rsidR="00454B47" w:rsidRPr="005A464E">
        <w:rPr>
          <w:sz w:val="24"/>
          <w:szCs w:val="24"/>
          <w:lang w:eastAsia="el-GR"/>
        </w:rPr>
        <w:t xml:space="preserve">5 </w:t>
      </w:r>
      <w:r w:rsidRPr="005A464E">
        <w:rPr>
          <w:sz w:val="24"/>
          <w:szCs w:val="24"/>
          <w:lang w:eastAsia="el-GR"/>
        </w:rPr>
        <w:t xml:space="preserve">ασθενών υπό αιμοκάθαρση, </w:t>
      </w:r>
      <w:r w:rsidR="00454B47" w:rsidRPr="005A464E">
        <w:rPr>
          <w:sz w:val="24"/>
          <w:szCs w:val="24"/>
          <w:lang w:eastAsia="el-GR"/>
        </w:rPr>
        <w:t xml:space="preserve">3 </w:t>
      </w:r>
      <w:r w:rsidRPr="005A464E">
        <w:rPr>
          <w:sz w:val="24"/>
          <w:szCs w:val="24"/>
          <w:lang w:eastAsia="el-GR"/>
        </w:rPr>
        <w:t xml:space="preserve">νοσηλευτών νεφρολογίας και </w:t>
      </w:r>
      <w:r w:rsidR="00454B47" w:rsidRPr="005A464E">
        <w:rPr>
          <w:sz w:val="24"/>
          <w:szCs w:val="24"/>
          <w:lang w:eastAsia="el-GR"/>
        </w:rPr>
        <w:t>3 νεφρολόγων)</w:t>
      </w:r>
      <w:r w:rsidR="00BA3F37" w:rsidRPr="00BA3F37">
        <w:rPr>
          <w:sz w:val="24"/>
          <w:szCs w:val="24"/>
          <w:lang w:eastAsia="el-GR"/>
        </w:rPr>
        <w:t>,</w:t>
      </w:r>
      <w:r w:rsidR="00454B47" w:rsidRPr="005A464E">
        <w:rPr>
          <w:sz w:val="24"/>
          <w:szCs w:val="24"/>
          <w:lang w:eastAsia="el-GR"/>
        </w:rPr>
        <w:t xml:space="preserve"> οι οποίοι ερωτήθηκαν γύρω από τον βαθμό κατανόησης, καταλληλότητας και σχετικότητας της κλίμακας. </w:t>
      </w:r>
      <w:r w:rsidR="00EA7E44" w:rsidRPr="005A464E">
        <w:rPr>
          <w:sz w:val="24"/>
          <w:szCs w:val="24"/>
          <w:lang w:eastAsia="el-GR"/>
        </w:rPr>
        <w:t>Χρησιμοποιήθηκε ο δείκτης εγκυρότητας περιεχομένου (</w:t>
      </w:r>
      <w:r w:rsidR="00EA7E44" w:rsidRPr="005A464E">
        <w:rPr>
          <w:sz w:val="24"/>
          <w:szCs w:val="24"/>
          <w:lang w:val="en-US" w:eastAsia="el-GR"/>
        </w:rPr>
        <w:t>Content</w:t>
      </w:r>
      <w:r w:rsidR="00EA7E44" w:rsidRPr="005A464E">
        <w:rPr>
          <w:sz w:val="24"/>
          <w:szCs w:val="24"/>
          <w:lang w:eastAsia="el-GR"/>
        </w:rPr>
        <w:t xml:space="preserve"> </w:t>
      </w:r>
      <w:r w:rsidR="00EA7E44" w:rsidRPr="005A464E">
        <w:rPr>
          <w:sz w:val="24"/>
          <w:szCs w:val="24"/>
          <w:lang w:val="en-US" w:eastAsia="el-GR"/>
        </w:rPr>
        <w:t>Validity</w:t>
      </w:r>
      <w:r w:rsidR="00EA7E44" w:rsidRPr="005A464E">
        <w:rPr>
          <w:sz w:val="24"/>
          <w:szCs w:val="24"/>
          <w:lang w:eastAsia="el-GR"/>
        </w:rPr>
        <w:t xml:space="preserve"> </w:t>
      </w:r>
      <w:r w:rsidR="00EA7E44" w:rsidRPr="005A464E">
        <w:rPr>
          <w:sz w:val="24"/>
          <w:szCs w:val="24"/>
          <w:lang w:val="en-US" w:eastAsia="el-GR"/>
        </w:rPr>
        <w:t>Index</w:t>
      </w:r>
      <w:r w:rsidR="00EA7E44" w:rsidRPr="005A464E">
        <w:rPr>
          <w:sz w:val="24"/>
          <w:szCs w:val="24"/>
          <w:lang w:eastAsia="el-GR"/>
        </w:rPr>
        <w:t xml:space="preserve">, </w:t>
      </w:r>
      <w:r w:rsidR="00EA7E44" w:rsidRPr="005A464E">
        <w:rPr>
          <w:sz w:val="24"/>
          <w:szCs w:val="24"/>
          <w:lang w:val="en-US" w:eastAsia="el-GR"/>
        </w:rPr>
        <w:t>CVI</w:t>
      </w:r>
      <w:r w:rsidR="00EA7E44" w:rsidRPr="005A464E">
        <w:rPr>
          <w:sz w:val="24"/>
          <w:szCs w:val="24"/>
          <w:lang w:eastAsia="el-GR"/>
        </w:rPr>
        <w:t xml:space="preserve">) για την αξιολόγηση της σχετικότητας της </w:t>
      </w:r>
      <w:r w:rsidR="00EA7E44" w:rsidRPr="00961E11">
        <w:rPr>
          <w:sz w:val="24"/>
          <w:szCs w:val="24"/>
          <w:lang w:eastAsia="el-GR"/>
        </w:rPr>
        <w:t>κάθε νέας ερώτησης</w:t>
      </w:r>
      <w:r w:rsidR="00EA7E44">
        <w:rPr>
          <w:sz w:val="24"/>
          <w:szCs w:val="24"/>
          <w:lang w:eastAsia="el-GR"/>
        </w:rPr>
        <w:t xml:space="preserve"> με τη χρήση μι</w:t>
      </w:r>
      <w:r w:rsidR="00EA7E44" w:rsidRPr="005A464E">
        <w:rPr>
          <w:sz w:val="24"/>
          <w:szCs w:val="24"/>
          <w:lang w:eastAsia="el-GR"/>
        </w:rPr>
        <w:t xml:space="preserve">ας κλίμακας 4 σημείων: 4 απόλυτα σχετικό, 3 σχετικό με μικρή τροποποίηση, 2 ελάχιστα σχετικό και 1 όχι σχετικό. Για την ενσωμάτωση </w:t>
      </w:r>
      <w:r w:rsidR="00817853">
        <w:rPr>
          <w:sz w:val="24"/>
          <w:szCs w:val="24"/>
          <w:lang w:eastAsia="el-GR"/>
        </w:rPr>
        <w:t>μια</w:t>
      </w:r>
      <w:r w:rsidR="00EA7E44" w:rsidRPr="005A464E">
        <w:rPr>
          <w:sz w:val="24"/>
          <w:szCs w:val="24"/>
          <w:lang w:eastAsia="el-GR"/>
        </w:rPr>
        <w:t>ς ερώτησης στο τελικό ερωτηματολόγιο ο δείκτης εγκυρότητας περιεχομένου θα πρέπει να έχει τιμή &gt;.80 (Polit &amp; Beck</w:t>
      </w:r>
      <w:r w:rsidR="00EA7E44">
        <w:rPr>
          <w:sz w:val="24"/>
          <w:szCs w:val="24"/>
          <w:lang w:eastAsia="el-GR"/>
        </w:rPr>
        <w:t>,</w:t>
      </w:r>
      <w:r w:rsidR="00EA7E44" w:rsidRPr="005A464E">
        <w:rPr>
          <w:sz w:val="24"/>
          <w:szCs w:val="24"/>
          <w:lang w:eastAsia="el-GR"/>
        </w:rPr>
        <w:t xml:space="preserve"> 2006). </w:t>
      </w:r>
    </w:p>
    <w:p w:rsidR="00454B47" w:rsidRPr="005A464E" w:rsidRDefault="00454B47" w:rsidP="005A464E">
      <w:pPr>
        <w:spacing w:line="360" w:lineRule="auto"/>
        <w:jc w:val="both"/>
        <w:rPr>
          <w:rFonts w:cstheme="minorHAnsi"/>
          <w:sz w:val="24"/>
          <w:szCs w:val="24"/>
        </w:rPr>
      </w:pPr>
      <w:r w:rsidRPr="005A464E">
        <w:rPr>
          <w:sz w:val="24"/>
          <w:szCs w:val="24"/>
          <w:lang w:eastAsia="el-GR"/>
        </w:rPr>
        <w:t>Από την ομάδα των ειδικών προτάθηκαν οι εξής τροποποιήσεις: Η ερώτηση 4 τροποποιήθηκε ως εξής: «</w:t>
      </w:r>
      <w:r w:rsidRPr="005A464E">
        <w:rPr>
          <w:rFonts w:cstheme="minorHAnsi"/>
          <w:sz w:val="24"/>
          <w:szCs w:val="24"/>
        </w:rPr>
        <w:t>Έχετε ποτέ ξεχάσει να πάρετε τα φάρμακά σας</w:t>
      </w:r>
      <w:r w:rsidRPr="005A464E">
        <w:rPr>
          <w:rFonts w:cstheme="minorHAnsi"/>
        </w:rPr>
        <w:t xml:space="preserve"> </w:t>
      </w:r>
      <w:r w:rsidRPr="005A464E">
        <w:rPr>
          <w:rFonts w:cstheme="minorHAnsi"/>
          <w:sz w:val="24"/>
          <w:szCs w:val="24"/>
        </w:rPr>
        <w:t xml:space="preserve">τις ημέρες που μεσολαβούν μεταξύ των </w:t>
      </w:r>
      <w:r w:rsidR="00BA566F">
        <w:rPr>
          <w:rFonts w:cstheme="minorHAnsi"/>
          <w:sz w:val="24"/>
          <w:szCs w:val="24"/>
        </w:rPr>
        <w:t xml:space="preserve">δύο </w:t>
      </w:r>
      <w:r w:rsidRPr="005A464E">
        <w:rPr>
          <w:rFonts w:cstheme="minorHAnsi"/>
          <w:sz w:val="24"/>
          <w:szCs w:val="24"/>
        </w:rPr>
        <w:t xml:space="preserve">συνεδριών αιμοκάθαρσης;» καθώς οι ασθενείς υπό </w:t>
      </w:r>
      <w:r w:rsidR="00D07BB2">
        <w:rPr>
          <w:rFonts w:cstheme="minorHAnsi"/>
          <w:sz w:val="24"/>
          <w:szCs w:val="24"/>
        </w:rPr>
        <w:t>αιμοκάθαρση</w:t>
      </w:r>
      <w:r w:rsidRPr="005A464E">
        <w:rPr>
          <w:rFonts w:cstheme="minorHAnsi"/>
          <w:sz w:val="24"/>
          <w:szCs w:val="24"/>
        </w:rPr>
        <w:t xml:space="preserve"> </w:t>
      </w:r>
      <w:r w:rsidR="005149AA" w:rsidRPr="005A464E">
        <w:rPr>
          <w:rFonts w:cstheme="minorHAnsi"/>
          <w:sz w:val="24"/>
          <w:szCs w:val="24"/>
        </w:rPr>
        <w:t>πιθανόν να επισκεφθούν την Μ</w:t>
      </w:r>
      <w:r w:rsidR="00D07BB2">
        <w:rPr>
          <w:rFonts w:cstheme="minorHAnsi"/>
          <w:sz w:val="24"/>
          <w:szCs w:val="24"/>
        </w:rPr>
        <w:t>ΤΝ</w:t>
      </w:r>
      <w:r w:rsidR="005149AA" w:rsidRPr="005A464E">
        <w:rPr>
          <w:rFonts w:cstheme="minorHAnsi"/>
          <w:sz w:val="24"/>
          <w:szCs w:val="24"/>
        </w:rPr>
        <w:t xml:space="preserve"> το Σάββατο ή την Κυριακή. Η ερώτηση 1 αφαιρέθηκε καθώς η σωστή ώρα λήψης των φαρμάκων πιθανόν να συμπίπτει χρονικά με την συνεδρία </w:t>
      </w:r>
      <w:r w:rsidR="00700ABA">
        <w:rPr>
          <w:rFonts w:cstheme="minorHAnsi"/>
          <w:sz w:val="24"/>
          <w:szCs w:val="24"/>
        </w:rPr>
        <w:t>αιμοκάθαρση</w:t>
      </w:r>
      <w:r w:rsidR="00EA7E44">
        <w:rPr>
          <w:rFonts w:cstheme="minorHAnsi"/>
          <w:sz w:val="24"/>
          <w:szCs w:val="24"/>
        </w:rPr>
        <w:t>ς</w:t>
      </w:r>
      <w:r w:rsidR="005149AA" w:rsidRPr="005A464E">
        <w:rPr>
          <w:rFonts w:cstheme="minorHAnsi"/>
          <w:sz w:val="24"/>
          <w:szCs w:val="24"/>
        </w:rPr>
        <w:t xml:space="preserve">. Τέλος, η ερώτηση 6, επίσης, αφαιρέθηκε καθώς οι ασθενείς υπό </w:t>
      </w:r>
      <w:r w:rsidR="00700ABA">
        <w:rPr>
          <w:rFonts w:cstheme="minorHAnsi"/>
          <w:sz w:val="24"/>
          <w:szCs w:val="24"/>
        </w:rPr>
        <w:t>αιμοκάθαρση</w:t>
      </w:r>
      <w:r w:rsidR="00EA7E44">
        <w:rPr>
          <w:rFonts w:cstheme="minorHAnsi"/>
          <w:sz w:val="24"/>
          <w:szCs w:val="24"/>
        </w:rPr>
        <w:t xml:space="preserve"> επισκέπτονται τη</w:t>
      </w:r>
      <w:r w:rsidR="005149AA" w:rsidRPr="005A464E">
        <w:rPr>
          <w:rFonts w:cstheme="minorHAnsi"/>
          <w:sz w:val="24"/>
          <w:szCs w:val="24"/>
        </w:rPr>
        <w:t xml:space="preserve"> Μ</w:t>
      </w:r>
      <w:r w:rsidR="00D07BB2">
        <w:rPr>
          <w:rFonts w:cstheme="minorHAnsi"/>
          <w:sz w:val="24"/>
          <w:szCs w:val="24"/>
        </w:rPr>
        <w:t>ΤΝ</w:t>
      </w:r>
      <w:r w:rsidR="005149AA" w:rsidRPr="005A464E">
        <w:rPr>
          <w:rFonts w:cstheme="minorHAnsi"/>
          <w:sz w:val="24"/>
          <w:szCs w:val="24"/>
        </w:rPr>
        <w:t xml:space="preserve"> παρ’ ημέρα.</w:t>
      </w:r>
      <w:r w:rsidR="0078495A">
        <w:rPr>
          <w:rFonts w:cstheme="minorHAnsi"/>
          <w:sz w:val="24"/>
          <w:szCs w:val="24"/>
        </w:rPr>
        <w:t xml:space="preserve"> </w:t>
      </w:r>
      <w:r w:rsidR="005149AA" w:rsidRPr="005A464E">
        <w:rPr>
          <w:rFonts w:cstheme="minorHAnsi"/>
          <w:sz w:val="24"/>
          <w:szCs w:val="24"/>
        </w:rPr>
        <w:t xml:space="preserve">Εισήχθησαν 4 επιπρόσθετες ερωτήσεις προκειμένου η κλίμακα να προσαρμοσθεί σε πληθυσμό ασθενών υπό </w:t>
      </w:r>
      <w:r w:rsidR="00D07BB2">
        <w:rPr>
          <w:rFonts w:cstheme="minorHAnsi"/>
          <w:sz w:val="24"/>
          <w:szCs w:val="24"/>
        </w:rPr>
        <w:t>αιμοκάθαρση</w:t>
      </w:r>
      <w:r w:rsidR="005149AA" w:rsidRPr="005A464E">
        <w:rPr>
          <w:rFonts w:cstheme="minorHAnsi"/>
          <w:sz w:val="24"/>
          <w:szCs w:val="24"/>
        </w:rPr>
        <w:t xml:space="preserve">. Οι παραπάνω τροποποιήσεις έγιναν με τη συγκατάθεση της κας </w:t>
      </w:r>
      <w:r w:rsidR="00EA7E44">
        <w:rPr>
          <w:rFonts w:cstheme="minorHAnsi"/>
          <w:sz w:val="24"/>
          <w:szCs w:val="24"/>
        </w:rPr>
        <w:t>Π. Θεοφίλου</w:t>
      </w:r>
      <w:r w:rsidR="005149AA" w:rsidRPr="005A464E">
        <w:rPr>
          <w:rFonts w:cstheme="minorHAnsi"/>
          <w:sz w:val="24"/>
          <w:szCs w:val="24"/>
        </w:rPr>
        <w:t xml:space="preserve"> από την οποία η αρχική μορφή του </w:t>
      </w:r>
      <w:r w:rsidR="005149AA" w:rsidRPr="005A464E">
        <w:rPr>
          <w:rFonts w:cstheme="minorHAnsi"/>
          <w:sz w:val="24"/>
          <w:szCs w:val="24"/>
          <w:lang w:val="en-US"/>
        </w:rPr>
        <w:t>SMAQ</w:t>
      </w:r>
      <w:r w:rsidR="005149AA" w:rsidRPr="005A464E">
        <w:rPr>
          <w:rFonts w:cstheme="minorHAnsi"/>
          <w:sz w:val="24"/>
          <w:szCs w:val="24"/>
        </w:rPr>
        <w:t xml:space="preserve"> μεταφράσθηκε στην Ελληνική γλώσσα για ασθενείς με καρκίνο του πνεύμονα (</w:t>
      </w:r>
      <w:r w:rsidR="005149AA" w:rsidRPr="005A464E">
        <w:rPr>
          <w:rFonts w:cstheme="minorHAnsi"/>
          <w:sz w:val="24"/>
          <w:szCs w:val="24"/>
          <w:lang w:val="en-US"/>
        </w:rPr>
        <w:t>Theofilou</w:t>
      </w:r>
      <w:r w:rsidR="005149AA" w:rsidRPr="005A464E">
        <w:rPr>
          <w:rFonts w:cstheme="minorHAnsi"/>
          <w:sz w:val="24"/>
          <w:szCs w:val="24"/>
        </w:rPr>
        <w:t>, 2012).</w:t>
      </w:r>
    </w:p>
    <w:p w:rsidR="00EE5F46" w:rsidRPr="00886C7F" w:rsidRDefault="0048719F" w:rsidP="005A464E">
      <w:pPr>
        <w:spacing w:line="360" w:lineRule="auto"/>
        <w:jc w:val="both"/>
        <w:rPr>
          <w:sz w:val="24"/>
          <w:szCs w:val="24"/>
          <w:lang w:eastAsia="el-GR"/>
        </w:rPr>
      </w:pPr>
      <w:r w:rsidRPr="005A464E">
        <w:rPr>
          <w:sz w:val="24"/>
          <w:szCs w:val="24"/>
          <w:lang w:eastAsia="el-GR"/>
        </w:rPr>
        <w:t xml:space="preserve">Προέκυψε το ερωτηματολόγιο </w:t>
      </w:r>
      <w:r w:rsidRPr="005A464E">
        <w:rPr>
          <w:sz w:val="24"/>
          <w:szCs w:val="24"/>
          <w:lang w:val="en-US" w:eastAsia="el-GR"/>
        </w:rPr>
        <w:t>GR</w:t>
      </w:r>
      <w:r w:rsidRPr="005A464E">
        <w:rPr>
          <w:sz w:val="24"/>
          <w:szCs w:val="24"/>
          <w:lang w:eastAsia="el-GR"/>
        </w:rPr>
        <w:t>-</w:t>
      </w:r>
      <w:r w:rsidRPr="005A464E">
        <w:rPr>
          <w:sz w:val="24"/>
          <w:szCs w:val="24"/>
          <w:lang w:val="en-US" w:eastAsia="el-GR"/>
        </w:rPr>
        <w:t>SMAQ</w:t>
      </w:r>
      <w:r w:rsidRPr="005A464E">
        <w:rPr>
          <w:sz w:val="24"/>
          <w:szCs w:val="24"/>
          <w:lang w:eastAsia="el-GR"/>
        </w:rPr>
        <w:t>-</w:t>
      </w:r>
      <w:r w:rsidRPr="005A464E">
        <w:rPr>
          <w:sz w:val="24"/>
          <w:szCs w:val="24"/>
          <w:lang w:val="en-US" w:eastAsia="el-GR"/>
        </w:rPr>
        <w:t>HD</w:t>
      </w:r>
      <w:r w:rsidR="00BA3F37" w:rsidRPr="00BA3F37">
        <w:rPr>
          <w:sz w:val="24"/>
          <w:szCs w:val="24"/>
          <w:lang w:eastAsia="el-GR"/>
        </w:rPr>
        <w:t>,</w:t>
      </w:r>
      <w:r w:rsidRPr="005A464E">
        <w:rPr>
          <w:sz w:val="24"/>
          <w:szCs w:val="24"/>
          <w:lang w:eastAsia="el-GR"/>
        </w:rPr>
        <w:t xml:space="preserve"> το οποίο αποτελείται από 8 ερωτήσεις</w:t>
      </w:r>
      <w:r w:rsidR="0078495A">
        <w:rPr>
          <w:sz w:val="24"/>
          <w:szCs w:val="24"/>
          <w:lang w:eastAsia="el-GR"/>
        </w:rPr>
        <w:t xml:space="preserve"> </w:t>
      </w:r>
      <w:r w:rsidRPr="005A464E">
        <w:rPr>
          <w:sz w:val="24"/>
          <w:szCs w:val="24"/>
          <w:lang w:eastAsia="el-GR"/>
        </w:rPr>
        <w:t xml:space="preserve">με απαντήσεις διχοτόμες (ΝΑΙ/ΟΧΙ) και τύπου </w:t>
      </w:r>
      <w:r w:rsidRPr="005A464E">
        <w:rPr>
          <w:sz w:val="24"/>
          <w:szCs w:val="24"/>
          <w:lang w:val="en-US" w:eastAsia="el-GR"/>
        </w:rPr>
        <w:t>Likert</w:t>
      </w:r>
      <w:r w:rsidRPr="005A464E">
        <w:rPr>
          <w:sz w:val="24"/>
          <w:szCs w:val="24"/>
          <w:lang w:eastAsia="el-GR"/>
        </w:rPr>
        <w:t xml:space="preserve">. Οι 4 ερωτήσεις αφορούν την συμμόρφωση στη φαρμακευτική αγωγή, οι 2 την παρουσία </w:t>
      </w:r>
      <w:r w:rsidRPr="00886C7F">
        <w:rPr>
          <w:sz w:val="24"/>
          <w:szCs w:val="24"/>
          <w:lang w:eastAsia="el-GR"/>
        </w:rPr>
        <w:t>στην συνεδρία τεχνητο</w:t>
      </w:r>
      <w:r w:rsidR="00DC54AF" w:rsidRPr="00886C7F">
        <w:rPr>
          <w:sz w:val="24"/>
          <w:szCs w:val="24"/>
          <w:lang w:eastAsia="el-GR"/>
        </w:rPr>
        <w:t>ύ νεφρού ενώ οι άλλες 2 αφορού</w:t>
      </w:r>
      <w:r w:rsidRPr="00886C7F">
        <w:rPr>
          <w:sz w:val="24"/>
          <w:szCs w:val="24"/>
          <w:lang w:eastAsia="el-GR"/>
        </w:rPr>
        <w:t xml:space="preserve">ν τη συμμόρφωση στη διαιτητική αγωγή και τα υγρά. </w:t>
      </w:r>
    </w:p>
    <w:p w:rsidR="00DC54AF" w:rsidRPr="00C5140E" w:rsidRDefault="0048719F" w:rsidP="005A464E">
      <w:pPr>
        <w:spacing w:line="360" w:lineRule="auto"/>
        <w:jc w:val="both"/>
        <w:rPr>
          <w:sz w:val="24"/>
          <w:szCs w:val="24"/>
          <w:lang w:eastAsia="el-GR"/>
        </w:rPr>
      </w:pPr>
      <w:r w:rsidRPr="00886C7F">
        <w:rPr>
          <w:sz w:val="24"/>
          <w:szCs w:val="24"/>
          <w:lang w:eastAsia="el-GR"/>
        </w:rPr>
        <w:t>Για τον έλεγχο τη</w:t>
      </w:r>
      <w:r w:rsidR="00F37F79" w:rsidRPr="00886C7F">
        <w:rPr>
          <w:sz w:val="24"/>
          <w:szCs w:val="24"/>
          <w:lang w:eastAsia="el-GR"/>
        </w:rPr>
        <w:t>ς</w:t>
      </w:r>
      <w:r w:rsidRPr="00886C7F">
        <w:rPr>
          <w:sz w:val="24"/>
          <w:szCs w:val="24"/>
          <w:lang w:eastAsia="el-GR"/>
        </w:rPr>
        <w:t xml:space="preserve"> δομικής εγκυρότητας</w:t>
      </w:r>
      <w:r w:rsidR="0078495A" w:rsidRPr="00886C7F">
        <w:rPr>
          <w:sz w:val="24"/>
          <w:szCs w:val="24"/>
          <w:lang w:eastAsia="el-GR"/>
        </w:rPr>
        <w:t xml:space="preserve"> </w:t>
      </w:r>
      <w:r w:rsidRPr="00886C7F">
        <w:rPr>
          <w:sz w:val="24"/>
          <w:szCs w:val="24"/>
          <w:lang w:eastAsia="el-GR"/>
        </w:rPr>
        <w:t>εφαρμόστηκε η τεχνική της παραγοντικής ανάλυσης</w:t>
      </w:r>
      <w:r w:rsidR="00416E06" w:rsidRPr="00886C7F">
        <w:rPr>
          <w:sz w:val="24"/>
          <w:szCs w:val="24"/>
          <w:lang w:eastAsia="el-GR"/>
        </w:rPr>
        <w:t xml:space="preserve"> (</w:t>
      </w:r>
      <w:r w:rsidR="00416E06" w:rsidRPr="00886C7F">
        <w:rPr>
          <w:sz w:val="24"/>
          <w:szCs w:val="24"/>
          <w:lang w:val="en-US" w:eastAsia="el-GR"/>
        </w:rPr>
        <w:t>factor</w:t>
      </w:r>
      <w:r w:rsidR="00416E06" w:rsidRPr="00886C7F">
        <w:rPr>
          <w:sz w:val="24"/>
          <w:szCs w:val="24"/>
          <w:lang w:eastAsia="el-GR"/>
        </w:rPr>
        <w:t xml:space="preserve"> </w:t>
      </w:r>
      <w:r w:rsidR="00416E06" w:rsidRPr="00886C7F">
        <w:rPr>
          <w:sz w:val="24"/>
          <w:szCs w:val="24"/>
          <w:lang w:val="en-US" w:eastAsia="el-GR"/>
        </w:rPr>
        <w:t>analysis</w:t>
      </w:r>
      <w:r w:rsidR="00416E06" w:rsidRPr="00886C7F">
        <w:rPr>
          <w:sz w:val="24"/>
          <w:szCs w:val="24"/>
          <w:lang w:eastAsia="el-GR"/>
        </w:rPr>
        <w:t>)</w:t>
      </w:r>
      <w:r w:rsidR="00416E06" w:rsidRPr="00886C7F">
        <w:rPr>
          <w:sz w:val="24"/>
          <w:szCs w:val="24"/>
        </w:rPr>
        <w:t xml:space="preserve"> με τη </w:t>
      </w:r>
      <w:r w:rsidR="00416E06" w:rsidRPr="00886C7F">
        <w:rPr>
          <w:sz w:val="24"/>
          <w:szCs w:val="24"/>
          <w:lang w:eastAsia="el-GR"/>
        </w:rPr>
        <w:t>μέθοδο περιστροφής των αξόνων: Equamax με κανονικοποίηση κατά Kaiser.</w:t>
      </w:r>
      <w:r w:rsidR="00416E06" w:rsidRPr="00C5140E">
        <w:rPr>
          <w:sz w:val="24"/>
          <w:szCs w:val="24"/>
          <w:lang w:eastAsia="el-GR"/>
        </w:rPr>
        <w:t xml:space="preserve"> </w:t>
      </w:r>
    </w:p>
    <w:p w:rsidR="00B92456" w:rsidRPr="005A464E" w:rsidRDefault="00416E06" w:rsidP="005A464E">
      <w:pPr>
        <w:spacing w:line="360" w:lineRule="auto"/>
        <w:jc w:val="both"/>
        <w:rPr>
          <w:b/>
          <w:sz w:val="24"/>
          <w:szCs w:val="24"/>
          <w:lang w:eastAsia="el-GR"/>
        </w:rPr>
      </w:pPr>
      <w:r w:rsidRPr="00C5140E">
        <w:rPr>
          <w:sz w:val="24"/>
          <w:szCs w:val="24"/>
          <w:lang w:eastAsia="el-GR"/>
        </w:rPr>
        <w:t>Για τον έλεγχο της αξιοπιστίας του ερωτηματολογίου</w:t>
      </w:r>
      <w:r w:rsidRPr="005A464E">
        <w:rPr>
          <w:sz w:val="24"/>
          <w:szCs w:val="24"/>
          <w:lang w:eastAsia="el-GR"/>
        </w:rPr>
        <w:t xml:space="preserve"> έγινε δοκιμασία επαναληψιμότητας σε δείγμα 17 ασθενών</w:t>
      </w:r>
      <w:r w:rsidR="00BA3F37" w:rsidRPr="00BA3F37">
        <w:rPr>
          <w:sz w:val="24"/>
          <w:szCs w:val="24"/>
          <w:lang w:eastAsia="el-GR"/>
        </w:rPr>
        <w:t>,</w:t>
      </w:r>
      <w:r w:rsidRPr="005A464E">
        <w:rPr>
          <w:sz w:val="24"/>
          <w:szCs w:val="24"/>
          <w:lang w:eastAsia="el-GR"/>
        </w:rPr>
        <w:t xml:space="preserve"> οι οποίοι συμπλήρωσαν το ερωτηματολόγιο </w:t>
      </w:r>
      <w:r w:rsidR="00F37F79">
        <w:rPr>
          <w:sz w:val="24"/>
          <w:szCs w:val="24"/>
          <w:lang w:eastAsia="el-GR"/>
        </w:rPr>
        <w:t>δύο</w:t>
      </w:r>
      <w:r w:rsidRPr="005A464E">
        <w:rPr>
          <w:sz w:val="24"/>
          <w:szCs w:val="24"/>
          <w:lang w:eastAsia="el-GR"/>
        </w:rPr>
        <w:t xml:space="preserve"> φορές σε διάστημα 2 εβδομάδων μεταξύ τους. </w:t>
      </w:r>
      <w:r w:rsidR="00D8218E" w:rsidRPr="005A464E">
        <w:rPr>
          <w:sz w:val="24"/>
          <w:szCs w:val="24"/>
          <w:lang w:eastAsia="el-GR"/>
        </w:rPr>
        <w:t>Σύμφωνα</w:t>
      </w:r>
      <w:r w:rsidR="009A669B" w:rsidRPr="005A464E">
        <w:rPr>
          <w:sz w:val="24"/>
          <w:szCs w:val="24"/>
          <w:lang w:eastAsia="el-GR"/>
        </w:rPr>
        <w:t xml:space="preserve"> με τη βιβλιογραφία</w:t>
      </w:r>
      <w:r w:rsidR="00D8218E" w:rsidRPr="005A464E">
        <w:rPr>
          <w:sz w:val="24"/>
          <w:szCs w:val="24"/>
          <w:lang w:eastAsia="el-GR"/>
        </w:rPr>
        <w:t>,</w:t>
      </w:r>
      <w:r w:rsidR="009A669B" w:rsidRPr="005A464E">
        <w:rPr>
          <w:sz w:val="24"/>
          <w:szCs w:val="24"/>
          <w:lang w:eastAsia="el-GR"/>
        </w:rPr>
        <w:t xml:space="preserve"> </w:t>
      </w:r>
      <w:r w:rsidR="00D8218E" w:rsidRPr="005A464E">
        <w:rPr>
          <w:sz w:val="24"/>
          <w:szCs w:val="24"/>
          <w:lang w:eastAsia="el-GR"/>
        </w:rPr>
        <w:t xml:space="preserve">μεταξύ των </w:t>
      </w:r>
      <w:r w:rsidR="00BA566F">
        <w:rPr>
          <w:sz w:val="24"/>
          <w:szCs w:val="24"/>
          <w:lang w:eastAsia="el-GR"/>
        </w:rPr>
        <w:t xml:space="preserve">δύο </w:t>
      </w:r>
      <w:r w:rsidR="00D8218E" w:rsidRPr="005A464E">
        <w:rPr>
          <w:sz w:val="24"/>
          <w:szCs w:val="24"/>
          <w:lang w:eastAsia="el-GR"/>
        </w:rPr>
        <w:t>μετρήσεων θα πρέπει να μεσολαβ</w:t>
      </w:r>
      <w:r w:rsidR="00542433" w:rsidRPr="005A464E">
        <w:rPr>
          <w:sz w:val="24"/>
          <w:szCs w:val="24"/>
          <w:lang w:eastAsia="el-GR"/>
        </w:rPr>
        <w:t>ούν</w:t>
      </w:r>
      <w:r w:rsidR="001F3E06">
        <w:rPr>
          <w:sz w:val="24"/>
          <w:szCs w:val="24"/>
          <w:lang w:eastAsia="el-GR"/>
        </w:rPr>
        <w:t xml:space="preserve"> από </w:t>
      </w:r>
      <w:r w:rsidR="00BA566F">
        <w:rPr>
          <w:sz w:val="24"/>
          <w:szCs w:val="24"/>
          <w:lang w:eastAsia="el-GR"/>
        </w:rPr>
        <w:t xml:space="preserve">δύο </w:t>
      </w:r>
      <w:r w:rsidR="001F3E06">
        <w:rPr>
          <w:sz w:val="24"/>
          <w:szCs w:val="24"/>
          <w:lang w:eastAsia="el-GR"/>
        </w:rPr>
        <w:t>έως τέσσερ</w:t>
      </w:r>
      <w:r w:rsidR="00D8218E" w:rsidRPr="005A464E">
        <w:rPr>
          <w:sz w:val="24"/>
          <w:szCs w:val="24"/>
          <w:lang w:eastAsia="el-GR"/>
        </w:rPr>
        <w:t>ις εβδομάδες προκειμένου τα υποκείμενα να μη «θυμούνται» τις απαντήσεις που έδωσαν (Μερκούρης,</w:t>
      </w:r>
      <w:r w:rsidR="00866AD5" w:rsidRPr="005A464E">
        <w:rPr>
          <w:sz w:val="24"/>
          <w:szCs w:val="24"/>
          <w:lang w:eastAsia="el-GR"/>
        </w:rPr>
        <w:t xml:space="preserve"> </w:t>
      </w:r>
      <w:r w:rsidR="00D8218E" w:rsidRPr="005A464E">
        <w:rPr>
          <w:sz w:val="24"/>
          <w:szCs w:val="24"/>
          <w:lang w:eastAsia="el-GR"/>
        </w:rPr>
        <w:t>2008</w:t>
      </w:r>
      <w:r w:rsidR="00542433" w:rsidRPr="005A464E">
        <w:rPr>
          <w:sz w:val="24"/>
          <w:szCs w:val="24"/>
          <w:lang w:eastAsia="el-GR"/>
        </w:rPr>
        <w:t>).</w:t>
      </w:r>
    </w:p>
    <w:p w:rsidR="0002279F" w:rsidRPr="005A464E" w:rsidRDefault="00D646C0" w:rsidP="005A464E">
      <w:pPr>
        <w:spacing w:line="360" w:lineRule="auto"/>
        <w:jc w:val="both"/>
        <w:rPr>
          <w:sz w:val="24"/>
          <w:szCs w:val="24"/>
          <w:lang w:eastAsia="el-GR"/>
        </w:rPr>
      </w:pPr>
      <w:r w:rsidRPr="005A464E">
        <w:rPr>
          <w:sz w:val="24"/>
          <w:szCs w:val="24"/>
          <w:lang w:eastAsia="el-GR"/>
        </w:rPr>
        <w:t>Χρησιμοποιήθηκε ο δείκτης</w:t>
      </w:r>
      <w:r w:rsidR="00416E06" w:rsidRPr="005A464E">
        <w:rPr>
          <w:sz w:val="24"/>
          <w:szCs w:val="24"/>
          <w:lang w:eastAsia="el-GR"/>
        </w:rPr>
        <w:t xml:space="preserve"> </w:t>
      </w:r>
      <w:r w:rsidR="00CE6FDF" w:rsidRPr="005A464E">
        <w:rPr>
          <w:sz w:val="24"/>
          <w:szCs w:val="24"/>
          <w:lang w:eastAsia="el-GR"/>
        </w:rPr>
        <w:t>Μ</w:t>
      </w:r>
      <w:r w:rsidR="00CE6FDF" w:rsidRPr="005A464E">
        <w:rPr>
          <w:sz w:val="24"/>
          <w:szCs w:val="24"/>
          <w:lang w:val="en-US" w:eastAsia="el-GR"/>
        </w:rPr>
        <w:t>cNemar</w:t>
      </w:r>
      <w:r w:rsidR="00CE6FDF" w:rsidRPr="005A464E">
        <w:rPr>
          <w:sz w:val="24"/>
          <w:szCs w:val="24"/>
          <w:lang w:eastAsia="el-GR"/>
        </w:rPr>
        <w:t xml:space="preserve"> </w:t>
      </w:r>
      <w:r w:rsidR="00CE6FDF" w:rsidRPr="005A464E">
        <w:rPr>
          <w:sz w:val="24"/>
          <w:szCs w:val="24"/>
          <w:lang w:val="en-US" w:eastAsia="el-GR"/>
        </w:rPr>
        <w:t>Bowker</w:t>
      </w:r>
      <w:r w:rsidR="00416E06" w:rsidRPr="005A464E">
        <w:rPr>
          <w:sz w:val="24"/>
          <w:szCs w:val="24"/>
          <w:lang w:eastAsia="el-GR"/>
        </w:rPr>
        <w:t xml:space="preserve"> </w:t>
      </w:r>
      <w:r w:rsidRPr="005A464E">
        <w:rPr>
          <w:sz w:val="24"/>
          <w:szCs w:val="24"/>
          <w:lang w:eastAsia="el-GR"/>
        </w:rPr>
        <w:t xml:space="preserve">για </w:t>
      </w:r>
      <w:r w:rsidR="00416E06" w:rsidRPr="005A464E">
        <w:rPr>
          <w:sz w:val="24"/>
          <w:szCs w:val="24"/>
          <w:lang w:eastAsia="el-GR"/>
        </w:rPr>
        <w:t xml:space="preserve">τη συσχέτιση των αποτελεσμάτων μεταξύ των </w:t>
      </w:r>
      <w:r w:rsidR="00BA566F">
        <w:rPr>
          <w:sz w:val="24"/>
          <w:szCs w:val="24"/>
          <w:lang w:eastAsia="el-GR"/>
        </w:rPr>
        <w:t xml:space="preserve">δύο </w:t>
      </w:r>
      <w:r w:rsidR="00416E06" w:rsidRPr="00886C7F">
        <w:rPr>
          <w:sz w:val="24"/>
          <w:szCs w:val="24"/>
          <w:lang w:eastAsia="el-GR"/>
        </w:rPr>
        <w:t>μετρήσεων</w:t>
      </w:r>
      <w:r w:rsidR="001C2698" w:rsidRPr="00886C7F">
        <w:rPr>
          <w:sz w:val="24"/>
          <w:szCs w:val="24"/>
          <w:lang w:eastAsia="el-GR"/>
        </w:rPr>
        <w:t xml:space="preserve"> (Μερκούρης, 2008)</w:t>
      </w:r>
      <w:r w:rsidR="00416E06" w:rsidRPr="00886C7F">
        <w:rPr>
          <w:sz w:val="24"/>
          <w:szCs w:val="24"/>
          <w:lang w:eastAsia="el-GR"/>
        </w:rPr>
        <w:t>.</w:t>
      </w:r>
      <w:r w:rsidR="00F249A9" w:rsidRPr="00886C7F">
        <w:rPr>
          <w:sz w:val="24"/>
          <w:szCs w:val="24"/>
          <w:lang w:eastAsia="el-GR"/>
        </w:rPr>
        <w:t xml:space="preserve"> Η αξιοπιστία εσωτερικής συνοχής υπολογίστηκε με τον συντελεστή αξιοπιστίας εσωτερικής συνοχής (</w:t>
      </w:r>
      <w:r w:rsidR="00F249A9" w:rsidRPr="00886C7F">
        <w:rPr>
          <w:sz w:val="24"/>
          <w:szCs w:val="24"/>
          <w:lang w:val="en-US" w:eastAsia="el-GR"/>
        </w:rPr>
        <w:t>Internal</w:t>
      </w:r>
      <w:r w:rsidR="00F249A9" w:rsidRPr="00886C7F">
        <w:rPr>
          <w:sz w:val="24"/>
          <w:szCs w:val="24"/>
          <w:lang w:eastAsia="el-GR"/>
        </w:rPr>
        <w:t xml:space="preserve"> </w:t>
      </w:r>
      <w:r w:rsidR="00065BAD" w:rsidRPr="00886C7F">
        <w:rPr>
          <w:sz w:val="24"/>
          <w:szCs w:val="24"/>
          <w:lang w:val="en-US" w:eastAsia="el-GR"/>
        </w:rPr>
        <w:t>C</w:t>
      </w:r>
      <w:r w:rsidR="00F249A9" w:rsidRPr="00886C7F">
        <w:rPr>
          <w:sz w:val="24"/>
          <w:szCs w:val="24"/>
          <w:lang w:val="en-US" w:eastAsia="el-GR"/>
        </w:rPr>
        <w:t>onsistency</w:t>
      </w:r>
      <w:r w:rsidR="00F249A9" w:rsidRPr="00886C7F">
        <w:rPr>
          <w:sz w:val="24"/>
          <w:szCs w:val="24"/>
          <w:lang w:eastAsia="el-GR"/>
        </w:rPr>
        <w:t xml:space="preserve"> </w:t>
      </w:r>
      <w:r w:rsidR="00065BAD" w:rsidRPr="00886C7F">
        <w:rPr>
          <w:sz w:val="24"/>
          <w:szCs w:val="24"/>
          <w:lang w:val="en-US" w:eastAsia="el-GR"/>
        </w:rPr>
        <w:t>R</w:t>
      </w:r>
      <w:r w:rsidR="00F249A9" w:rsidRPr="00886C7F">
        <w:rPr>
          <w:sz w:val="24"/>
          <w:szCs w:val="24"/>
          <w:lang w:val="en-US" w:eastAsia="el-GR"/>
        </w:rPr>
        <w:t>eliability</w:t>
      </w:r>
      <w:r w:rsidR="00F249A9" w:rsidRPr="00886C7F">
        <w:rPr>
          <w:sz w:val="24"/>
          <w:szCs w:val="24"/>
          <w:lang w:eastAsia="el-GR"/>
        </w:rPr>
        <w:t xml:space="preserve">) που είναι ο </w:t>
      </w:r>
      <w:r w:rsidR="00F249A9" w:rsidRPr="00886C7F">
        <w:rPr>
          <w:sz w:val="24"/>
          <w:szCs w:val="24"/>
          <w:lang w:val="en-US" w:eastAsia="el-GR"/>
        </w:rPr>
        <w:t>Cronbach</w:t>
      </w:r>
      <w:r w:rsidR="00F249A9" w:rsidRPr="00886C7F">
        <w:rPr>
          <w:sz w:val="24"/>
          <w:szCs w:val="24"/>
          <w:lang w:eastAsia="el-GR"/>
        </w:rPr>
        <w:t>’</w:t>
      </w:r>
      <w:r w:rsidR="00F249A9" w:rsidRPr="00886C7F">
        <w:rPr>
          <w:sz w:val="24"/>
          <w:szCs w:val="24"/>
          <w:lang w:val="en-US" w:eastAsia="el-GR"/>
        </w:rPr>
        <w:t>s</w:t>
      </w:r>
      <w:r w:rsidR="00F249A9" w:rsidRPr="00886C7F">
        <w:rPr>
          <w:sz w:val="24"/>
          <w:szCs w:val="24"/>
          <w:lang w:eastAsia="el-GR"/>
        </w:rPr>
        <w:t xml:space="preserve"> </w:t>
      </w:r>
      <w:r w:rsidR="00EA7E44" w:rsidRPr="00886C7F">
        <w:rPr>
          <w:sz w:val="24"/>
          <w:szCs w:val="24"/>
          <w:lang w:eastAsia="el-GR"/>
        </w:rPr>
        <w:t>Α</w:t>
      </w:r>
      <w:r w:rsidR="00F249A9" w:rsidRPr="00886C7F">
        <w:rPr>
          <w:sz w:val="24"/>
          <w:szCs w:val="24"/>
          <w:lang w:val="en-US" w:eastAsia="el-GR"/>
        </w:rPr>
        <w:t>lpha</w:t>
      </w:r>
      <w:r w:rsidR="00F249A9" w:rsidRPr="00886C7F">
        <w:rPr>
          <w:sz w:val="24"/>
          <w:szCs w:val="24"/>
          <w:lang w:eastAsia="el-GR"/>
        </w:rPr>
        <w:t xml:space="preserve"> </w:t>
      </w:r>
      <w:r w:rsidR="00DC54AF" w:rsidRPr="00886C7F">
        <w:rPr>
          <w:sz w:val="24"/>
          <w:szCs w:val="24"/>
          <w:lang w:eastAsia="el-GR"/>
        </w:rPr>
        <w:t xml:space="preserve">με αποδεκτές τιμές από </w:t>
      </w:r>
      <w:r w:rsidR="00EF6A06" w:rsidRPr="00886C7F">
        <w:rPr>
          <w:sz w:val="24"/>
          <w:szCs w:val="24"/>
          <w:lang w:eastAsia="el-GR"/>
        </w:rPr>
        <w:t>0,</w:t>
      </w:r>
      <w:r w:rsidR="001D00C0" w:rsidRPr="00886C7F">
        <w:rPr>
          <w:sz w:val="24"/>
          <w:szCs w:val="24"/>
          <w:lang w:eastAsia="el-GR"/>
        </w:rPr>
        <w:t>70-</w:t>
      </w:r>
      <w:r w:rsidR="00EF6A06" w:rsidRPr="00886C7F">
        <w:rPr>
          <w:sz w:val="24"/>
          <w:szCs w:val="24"/>
          <w:lang w:eastAsia="el-GR"/>
        </w:rPr>
        <w:t>0,</w:t>
      </w:r>
      <w:r w:rsidR="00F249A9" w:rsidRPr="00886C7F">
        <w:rPr>
          <w:sz w:val="24"/>
          <w:szCs w:val="24"/>
          <w:lang w:eastAsia="el-GR"/>
        </w:rPr>
        <w:t>90</w:t>
      </w:r>
      <w:r w:rsidR="001D00C0" w:rsidRPr="00886C7F">
        <w:rPr>
          <w:sz w:val="24"/>
          <w:szCs w:val="24"/>
          <w:lang w:eastAsia="el-GR"/>
        </w:rPr>
        <w:t xml:space="preserve"> (</w:t>
      </w:r>
      <w:hyperlink r:id="rId44" w:history="1">
        <w:r w:rsidR="001D00C0" w:rsidRPr="00886C7F">
          <w:rPr>
            <w:rStyle w:val="-"/>
            <w:rFonts w:asciiTheme="minorHAnsi" w:hAnsiTheme="minorHAnsi" w:cs="Arial"/>
            <w:color w:val="auto"/>
            <w:sz w:val="24"/>
            <w:szCs w:val="24"/>
            <w:u w:val="none"/>
            <w:shd w:val="clear" w:color="auto" w:fill="FFFFFF"/>
          </w:rPr>
          <w:t>Campo-Arias</w:t>
        </w:r>
      </w:hyperlink>
      <w:r w:rsidR="001D00C0" w:rsidRPr="00886C7F">
        <w:rPr>
          <w:rFonts w:asciiTheme="minorHAnsi" w:hAnsiTheme="minorHAnsi"/>
          <w:sz w:val="24"/>
          <w:szCs w:val="24"/>
        </w:rPr>
        <w:t xml:space="preserve"> &amp;</w:t>
      </w:r>
      <w:r w:rsidR="001D00C0" w:rsidRPr="00886C7F">
        <w:rPr>
          <w:rFonts w:asciiTheme="minorHAnsi" w:hAnsiTheme="minorHAnsi" w:cs="Arial"/>
          <w:sz w:val="24"/>
          <w:szCs w:val="24"/>
          <w:shd w:val="clear" w:color="auto" w:fill="FFFFFF"/>
        </w:rPr>
        <w:t> </w:t>
      </w:r>
      <w:hyperlink r:id="rId45" w:history="1">
        <w:r w:rsidR="001D00C0" w:rsidRPr="00886C7F">
          <w:rPr>
            <w:rStyle w:val="-"/>
            <w:rFonts w:asciiTheme="minorHAnsi" w:hAnsiTheme="minorHAnsi" w:cs="Arial"/>
            <w:color w:val="auto"/>
            <w:sz w:val="24"/>
            <w:szCs w:val="24"/>
            <w:u w:val="none"/>
            <w:shd w:val="clear" w:color="auto" w:fill="FFFFFF"/>
          </w:rPr>
          <w:t>Oviedo, 2008) </w:t>
        </w:r>
      </w:hyperlink>
      <w:r w:rsidR="00F249A9" w:rsidRPr="005A464E">
        <w:rPr>
          <w:sz w:val="24"/>
          <w:szCs w:val="24"/>
          <w:lang w:eastAsia="el-GR"/>
        </w:rPr>
        <w:t>.</w:t>
      </w:r>
      <w:r w:rsidR="0078495A">
        <w:rPr>
          <w:sz w:val="24"/>
          <w:szCs w:val="24"/>
          <w:lang w:eastAsia="el-GR"/>
        </w:rPr>
        <w:t xml:space="preserve"> </w:t>
      </w:r>
      <w:r w:rsidR="00A413A2" w:rsidRPr="005A464E">
        <w:rPr>
          <w:sz w:val="24"/>
          <w:szCs w:val="24"/>
          <w:lang w:eastAsia="el-GR"/>
        </w:rPr>
        <w:t>Για τη μελέτη της αξιοπιστίας και εγκυρότητας, η κλίμακα</w:t>
      </w:r>
      <w:r w:rsidR="0078495A">
        <w:rPr>
          <w:sz w:val="24"/>
          <w:szCs w:val="24"/>
          <w:lang w:eastAsia="el-GR"/>
        </w:rPr>
        <w:t xml:space="preserve"> </w:t>
      </w:r>
      <w:r w:rsidR="00D109D9" w:rsidRPr="005A464E">
        <w:rPr>
          <w:rFonts w:cstheme="minorHAnsi"/>
          <w:sz w:val="24"/>
          <w:szCs w:val="24"/>
          <w:lang w:eastAsia="el-GR"/>
        </w:rPr>
        <w:t>χορηγήθηκε συνολικά σε δείγμα 107 ασθενών.</w:t>
      </w:r>
      <w:r w:rsidR="0078495A">
        <w:rPr>
          <w:rFonts w:cstheme="minorHAnsi"/>
          <w:b/>
          <w:sz w:val="24"/>
          <w:szCs w:val="24"/>
          <w:lang w:eastAsia="el-GR"/>
        </w:rPr>
        <w:t xml:space="preserve"> </w:t>
      </w:r>
      <w:r w:rsidR="00B92456" w:rsidRPr="005A464E">
        <w:rPr>
          <w:rFonts w:cstheme="minorHAnsi"/>
          <w:b/>
          <w:sz w:val="24"/>
          <w:szCs w:val="24"/>
          <w:lang w:eastAsia="el-GR"/>
        </w:rPr>
        <w:t xml:space="preserve"> </w:t>
      </w:r>
      <w:r w:rsidR="00004447" w:rsidRPr="005A464E">
        <w:rPr>
          <w:rFonts w:cstheme="minorHAnsi"/>
          <w:sz w:val="24"/>
          <w:szCs w:val="24"/>
          <w:lang w:eastAsia="el-GR"/>
        </w:rPr>
        <w:t>Σύμφωνα με μελέτες</w:t>
      </w:r>
      <w:r w:rsidR="00684592">
        <w:rPr>
          <w:rFonts w:cstheme="minorHAnsi"/>
          <w:sz w:val="24"/>
          <w:szCs w:val="24"/>
          <w:lang w:eastAsia="el-GR"/>
        </w:rPr>
        <w:t xml:space="preserve"> (</w:t>
      </w:r>
      <w:r w:rsidR="00EE5F46" w:rsidRPr="005A464E">
        <w:rPr>
          <w:rFonts w:cstheme="minorHAnsi"/>
          <w:sz w:val="24"/>
          <w:szCs w:val="24"/>
          <w:lang w:val="en-US"/>
        </w:rPr>
        <w:t>Tabachnick</w:t>
      </w:r>
      <w:r w:rsidR="00EE5F46" w:rsidRPr="005A464E">
        <w:rPr>
          <w:rFonts w:cstheme="minorHAnsi"/>
          <w:sz w:val="24"/>
          <w:szCs w:val="24"/>
        </w:rPr>
        <w:t xml:space="preserve"> &amp; </w:t>
      </w:r>
      <w:r w:rsidR="00EE5F46" w:rsidRPr="005A464E">
        <w:rPr>
          <w:rFonts w:cstheme="minorHAnsi"/>
          <w:sz w:val="24"/>
          <w:szCs w:val="24"/>
          <w:lang w:val="en-US"/>
        </w:rPr>
        <w:t>Fidell</w:t>
      </w:r>
      <w:r w:rsidR="00EE5F46" w:rsidRPr="005A464E">
        <w:rPr>
          <w:rFonts w:cstheme="minorHAnsi"/>
          <w:sz w:val="24"/>
          <w:szCs w:val="24"/>
        </w:rPr>
        <w:t xml:space="preserve"> 2007; </w:t>
      </w:r>
      <w:r w:rsidR="00EE5F46" w:rsidRPr="005A464E">
        <w:rPr>
          <w:rFonts w:cstheme="minorHAnsi"/>
          <w:color w:val="000000"/>
          <w:sz w:val="24"/>
          <w:szCs w:val="24"/>
          <w:lang w:val="en-US"/>
        </w:rPr>
        <w:t>Yong</w:t>
      </w:r>
      <w:r w:rsidR="00CD0E43" w:rsidRPr="005A464E">
        <w:rPr>
          <w:rFonts w:cstheme="minorHAnsi"/>
          <w:color w:val="000000"/>
          <w:sz w:val="24"/>
          <w:szCs w:val="24"/>
        </w:rPr>
        <w:t xml:space="preserve"> &amp;</w:t>
      </w:r>
      <w:r w:rsidR="00EE5F46" w:rsidRPr="005A464E">
        <w:rPr>
          <w:rFonts w:cstheme="minorHAnsi"/>
          <w:color w:val="000000"/>
          <w:sz w:val="24"/>
          <w:szCs w:val="24"/>
        </w:rPr>
        <w:t xml:space="preserve"> </w:t>
      </w:r>
      <w:r w:rsidR="00EE5F46" w:rsidRPr="005A464E">
        <w:rPr>
          <w:rFonts w:cstheme="minorHAnsi"/>
          <w:color w:val="000000"/>
          <w:sz w:val="24"/>
          <w:szCs w:val="24"/>
          <w:lang w:val="en-US"/>
        </w:rPr>
        <w:t>Pearce</w:t>
      </w:r>
      <w:r w:rsidR="00EE5F46" w:rsidRPr="005A464E">
        <w:rPr>
          <w:rFonts w:cstheme="minorHAnsi"/>
          <w:color w:val="000000"/>
          <w:sz w:val="24"/>
          <w:szCs w:val="24"/>
        </w:rPr>
        <w:t xml:space="preserve"> 2013)</w:t>
      </w:r>
      <w:r w:rsidR="00EE5F46" w:rsidRPr="005A464E">
        <w:rPr>
          <w:rFonts w:cstheme="minorHAnsi"/>
          <w:sz w:val="24"/>
          <w:szCs w:val="24"/>
        </w:rPr>
        <w:t xml:space="preserve"> </w:t>
      </w:r>
      <w:r w:rsidR="00004447" w:rsidRPr="005A464E">
        <w:rPr>
          <w:rFonts w:cstheme="minorHAnsi"/>
          <w:sz w:val="24"/>
          <w:szCs w:val="24"/>
          <w:lang w:eastAsia="el-GR"/>
        </w:rPr>
        <w:t>σχετικά με την εγκυρότητα και αξιοπιστία των ερωτηματολογίων, επαρκές δείγμα για τη διεξαγωγή αντίστοιχης μελέτης είναι 10 ασθενείς ανά ερώτηση.</w:t>
      </w:r>
      <w:r w:rsidR="005E33D0" w:rsidRPr="005A464E">
        <w:rPr>
          <w:rFonts w:cstheme="minorHAnsi"/>
          <w:sz w:val="24"/>
          <w:szCs w:val="24"/>
          <w:lang w:eastAsia="el-GR"/>
        </w:rPr>
        <w:t xml:space="preserve"> Επομένως, για τον αριθμό των 8 ερωτήσεων από τις οποίες αποτελείται η κλίμακα </w:t>
      </w:r>
      <w:r w:rsidR="005E33D0" w:rsidRPr="005A464E">
        <w:rPr>
          <w:rFonts w:cstheme="minorHAnsi"/>
          <w:sz w:val="24"/>
          <w:szCs w:val="24"/>
          <w:lang w:val="en-US" w:eastAsia="el-GR"/>
        </w:rPr>
        <w:t>GR</w:t>
      </w:r>
      <w:r w:rsidR="005E33D0" w:rsidRPr="005A464E">
        <w:rPr>
          <w:rFonts w:cstheme="minorHAnsi"/>
          <w:sz w:val="24"/>
          <w:szCs w:val="24"/>
          <w:lang w:eastAsia="el-GR"/>
        </w:rPr>
        <w:t>-</w:t>
      </w:r>
      <w:r w:rsidR="005E33D0" w:rsidRPr="005A464E">
        <w:rPr>
          <w:rFonts w:cstheme="minorHAnsi"/>
          <w:sz w:val="24"/>
          <w:szCs w:val="24"/>
          <w:lang w:val="en-US" w:eastAsia="el-GR"/>
        </w:rPr>
        <w:t>SMAQ</w:t>
      </w:r>
      <w:r w:rsidR="005E33D0" w:rsidRPr="005A464E">
        <w:rPr>
          <w:rFonts w:cstheme="minorHAnsi"/>
          <w:sz w:val="24"/>
          <w:szCs w:val="24"/>
          <w:lang w:eastAsia="el-GR"/>
        </w:rPr>
        <w:t>-</w:t>
      </w:r>
      <w:r w:rsidR="005E33D0" w:rsidRPr="005A464E">
        <w:rPr>
          <w:rFonts w:cstheme="minorHAnsi"/>
          <w:sz w:val="24"/>
          <w:szCs w:val="24"/>
          <w:lang w:val="en-US" w:eastAsia="el-GR"/>
        </w:rPr>
        <w:t>HD</w:t>
      </w:r>
      <w:r w:rsidR="005E33D0" w:rsidRPr="005A464E">
        <w:rPr>
          <w:rFonts w:cstheme="minorHAnsi"/>
          <w:sz w:val="24"/>
          <w:szCs w:val="24"/>
          <w:lang w:eastAsia="el-GR"/>
        </w:rPr>
        <w:t>, ο αριθμός των 107 ασθενών είναι επαρκής.</w:t>
      </w:r>
    </w:p>
    <w:p w:rsidR="00DC54AF" w:rsidRPr="005A464E" w:rsidRDefault="00DC54AF" w:rsidP="00C5140E">
      <w:pPr>
        <w:numPr>
          <w:ilvl w:val="0"/>
          <w:numId w:val="118"/>
        </w:numPr>
        <w:spacing w:line="360" w:lineRule="auto"/>
        <w:jc w:val="both"/>
        <w:rPr>
          <w:b/>
          <w:sz w:val="24"/>
          <w:szCs w:val="24"/>
          <w:lang w:val="en-US" w:eastAsia="el-GR"/>
        </w:rPr>
      </w:pPr>
      <w:r w:rsidRPr="005A464E">
        <w:rPr>
          <w:b/>
          <w:sz w:val="24"/>
          <w:szCs w:val="24"/>
          <w:lang w:eastAsia="el-GR"/>
        </w:rPr>
        <w:t>Η</w:t>
      </w:r>
      <w:r w:rsidRPr="005A464E">
        <w:rPr>
          <w:b/>
          <w:sz w:val="24"/>
          <w:szCs w:val="24"/>
          <w:lang w:val="en-US" w:eastAsia="el-GR"/>
        </w:rPr>
        <w:t xml:space="preserve"> </w:t>
      </w:r>
      <w:r w:rsidRPr="005A464E">
        <w:rPr>
          <w:b/>
          <w:sz w:val="24"/>
          <w:szCs w:val="24"/>
          <w:lang w:eastAsia="el-GR"/>
        </w:rPr>
        <w:t>κλίμακα</w:t>
      </w:r>
      <w:r w:rsidRPr="005A464E">
        <w:rPr>
          <w:b/>
          <w:sz w:val="24"/>
          <w:szCs w:val="24"/>
          <w:lang w:val="en-US" w:eastAsia="el-GR"/>
        </w:rPr>
        <w:t xml:space="preserve"> The </w:t>
      </w:r>
      <w:r w:rsidRPr="005A464E">
        <w:rPr>
          <w:b/>
          <w:sz w:val="24"/>
          <w:szCs w:val="24"/>
          <w:lang w:eastAsia="el-GR"/>
        </w:rPr>
        <w:t>Κ</w:t>
      </w:r>
      <w:r w:rsidRPr="005A464E">
        <w:rPr>
          <w:b/>
          <w:sz w:val="24"/>
          <w:szCs w:val="24"/>
          <w:lang w:val="en-US" w:eastAsia="el-GR"/>
        </w:rPr>
        <w:t>idney Disease Questionnaire, KDQ</w:t>
      </w:r>
    </w:p>
    <w:p w:rsidR="00440DE1" w:rsidRPr="00440DE1" w:rsidRDefault="00440DE1" w:rsidP="00440DE1">
      <w:pPr>
        <w:spacing w:line="360" w:lineRule="auto"/>
        <w:jc w:val="both"/>
        <w:rPr>
          <w:sz w:val="24"/>
          <w:szCs w:val="24"/>
          <w:lang w:eastAsia="el-GR"/>
        </w:rPr>
      </w:pPr>
      <w:r w:rsidRPr="00C5140E">
        <w:rPr>
          <w:sz w:val="24"/>
          <w:szCs w:val="24"/>
          <w:lang w:eastAsia="el-GR"/>
        </w:rPr>
        <w:t>Δεύτερος στόχος ήταν η μετ</w:t>
      </w:r>
      <w:r w:rsidR="009B43FE">
        <w:rPr>
          <w:sz w:val="24"/>
          <w:szCs w:val="24"/>
          <w:lang w:eastAsia="el-GR"/>
        </w:rPr>
        <w:t xml:space="preserve">άφραση, πολιτισμική προσαρμογή και ο έλεγχος </w:t>
      </w:r>
      <w:r>
        <w:rPr>
          <w:sz w:val="24"/>
          <w:szCs w:val="24"/>
          <w:lang w:eastAsia="el-GR"/>
        </w:rPr>
        <w:t xml:space="preserve">της αξιοπιστίας </w:t>
      </w:r>
      <w:r w:rsidR="00D842D4">
        <w:rPr>
          <w:sz w:val="24"/>
          <w:szCs w:val="24"/>
          <w:lang w:eastAsia="el-GR"/>
        </w:rPr>
        <w:t xml:space="preserve">και εγκυρότητας </w:t>
      </w:r>
      <w:r>
        <w:rPr>
          <w:sz w:val="24"/>
          <w:szCs w:val="24"/>
          <w:lang w:eastAsia="el-GR"/>
        </w:rPr>
        <w:t>της κλίμακας</w:t>
      </w:r>
      <w:r w:rsidRPr="00C5140E">
        <w:rPr>
          <w:sz w:val="24"/>
          <w:szCs w:val="24"/>
          <w:lang w:eastAsia="el-GR"/>
        </w:rPr>
        <w:t xml:space="preserve"> Κidney Disease Questionnaire (Devins </w:t>
      </w:r>
      <w:r w:rsidRPr="00C5140E">
        <w:rPr>
          <w:sz w:val="24"/>
          <w:szCs w:val="24"/>
          <w:lang w:val="en-US" w:eastAsia="el-GR"/>
        </w:rPr>
        <w:t>et</w:t>
      </w:r>
      <w:r w:rsidRPr="00C5140E">
        <w:rPr>
          <w:sz w:val="24"/>
          <w:szCs w:val="24"/>
          <w:lang w:eastAsia="el-GR"/>
        </w:rPr>
        <w:t xml:space="preserve"> </w:t>
      </w:r>
      <w:r w:rsidRPr="00C5140E">
        <w:rPr>
          <w:sz w:val="24"/>
          <w:szCs w:val="24"/>
          <w:lang w:val="en-US" w:eastAsia="el-GR"/>
        </w:rPr>
        <w:t>al</w:t>
      </w:r>
      <w:r w:rsidRPr="00C5140E">
        <w:rPr>
          <w:sz w:val="24"/>
          <w:szCs w:val="24"/>
          <w:lang w:eastAsia="el-GR"/>
        </w:rPr>
        <w:t>. 1990).</w:t>
      </w:r>
    </w:p>
    <w:p w:rsidR="008E2725" w:rsidRPr="005A464E" w:rsidRDefault="008E2725" w:rsidP="005A464E">
      <w:pPr>
        <w:spacing w:line="360" w:lineRule="auto"/>
        <w:jc w:val="both"/>
        <w:rPr>
          <w:sz w:val="24"/>
          <w:szCs w:val="24"/>
          <w:lang w:eastAsia="el-GR"/>
        </w:rPr>
      </w:pPr>
      <w:r w:rsidRPr="005A464E">
        <w:rPr>
          <w:sz w:val="24"/>
          <w:szCs w:val="24"/>
          <w:lang w:eastAsia="el-GR"/>
        </w:rPr>
        <w:t xml:space="preserve">Η κλίμακα </w:t>
      </w:r>
      <w:r w:rsidRPr="005A464E">
        <w:rPr>
          <w:sz w:val="24"/>
          <w:szCs w:val="24"/>
          <w:lang w:val="en-US" w:eastAsia="el-GR"/>
        </w:rPr>
        <w:t>Kidney</w:t>
      </w:r>
      <w:r w:rsidRPr="005A464E">
        <w:rPr>
          <w:sz w:val="24"/>
          <w:szCs w:val="24"/>
          <w:lang w:eastAsia="el-GR"/>
        </w:rPr>
        <w:t xml:space="preserve"> </w:t>
      </w:r>
      <w:r w:rsidRPr="005A464E">
        <w:rPr>
          <w:sz w:val="24"/>
          <w:szCs w:val="24"/>
          <w:lang w:val="en-US" w:eastAsia="el-GR"/>
        </w:rPr>
        <w:t>Disease</w:t>
      </w:r>
      <w:r w:rsidRPr="005A464E">
        <w:rPr>
          <w:sz w:val="24"/>
          <w:szCs w:val="24"/>
          <w:lang w:eastAsia="el-GR"/>
        </w:rPr>
        <w:t xml:space="preserve"> </w:t>
      </w:r>
      <w:r w:rsidRPr="005A464E">
        <w:rPr>
          <w:sz w:val="24"/>
          <w:szCs w:val="24"/>
          <w:lang w:val="en-US" w:eastAsia="el-GR"/>
        </w:rPr>
        <w:t>Questionnaire</w:t>
      </w:r>
      <w:r w:rsidR="00440DE1" w:rsidRPr="00440DE1">
        <w:rPr>
          <w:sz w:val="24"/>
          <w:szCs w:val="24"/>
          <w:lang w:eastAsia="el-GR"/>
        </w:rPr>
        <w:t xml:space="preserve"> (</w:t>
      </w:r>
      <w:r w:rsidR="00440DE1">
        <w:rPr>
          <w:sz w:val="24"/>
          <w:szCs w:val="24"/>
          <w:lang w:val="en-US" w:eastAsia="el-GR"/>
        </w:rPr>
        <w:t>KDQ</w:t>
      </w:r>
      <w:r w:rsidR="00440DE1" w:rsidRPr="00440DE1">
        <w:rPr>
          <w:sz w:val="24"/>
          <w:szCs w:val="24"/>
          <w:lang w:eastAsia="el-GR"/>
        </w:rPr>
        <w:t>)</w:t>
      </w:r>
      <w:r w:rsidRPr="005A464E">
        <w:rPr>
          <w:b/>
          <w:sz w:val="24"/>
          <w:szCs w:val="24"/>
          <w:lang w:eastAsia="el-GR"/>
        </w:rPr>
        <w:t xml:space="preserve"> </w:t>
      </w:r>
      <w:r w:rsidR="00440DE1">
        <w:rPr>
          <w:sz w:val="24"/>
          <w:szCs w:val="24"/>
          <w:lang w:eastAsia="el-GR"/>
        </w:rPr>
        <w:t>είναι ένα αυτο</w:t>
      </w:r>
      <w:r w:rsidRPr="005A464E">
        <w:rPr>
          <w:sz w:val="24"/>
          <w:szCs w:val="24"/>
          <w:lang w:eastAsia="el-GR"/>
        </w:rPr>
        <w:t xml:space="preserve">συμπληρούμενο ερωτηματολόγιο που δημιουργήθηκε από τους </w:t>
      </w:r>
      <w:r w:rsidRPr="005A464E">
        <w:rPr>
          <w:sz w:val="24"/>
          <w:szCs w:val="24"/>
          <w:lang w:val="en-US" w:eastAsia="el-GR"/>
        </w:rPr>
        <w:t>Devins</w:t>
      </w:r>
      <w:r w:rsidRPr="005A464E">
        <w:rPr>
          <w:sz w:val="24"/>
          <w:szCs w:val="24"/>
          <w:lang w:eastAsia="el-GR"/>
        </w:rPr>
        <w:t xml:space="preserve"> </w:t>
      </w:r>
      <w:r w:rsidR="00566CAA">
        <w:rPr>
          <w:sz w:val="24"/>
          <w:szCs w:val="24"/>
          <w:lang w:eastAsia="el-GR"/>
        </w:rPr>
        <w:t>et al</w:t>
      </w:r>
      <w:r w:rsidR="00684592" w:rsidRPr="00684592">
        <w:rPr>
          <w:sz w:val="24"/>
          <w:szCs w:val="24"/>
          <w:lang w:eastAsia="el-GR"/>
        </w:rPr>
        <w:t>.</w:t>
      </w:r>
      <w:r w:rsidRPr="005A464E">
        <w:rPr>
          <w:sz w:val="24"/>
          <w:szCs w:val="24"/>
          <w:lang w:eastAsia="el-GR"/>
        </w:rPr>
        <w:t xml:space="preserve"> (1990). Το εργαλείο ήταν αρχικά σχεδιασμένο με 43 ερωτήσεις, αλλά η τελική έκδοση αποτελείται από 25 ερωτήσεις. Ωστόσο, οι</w:t>
      </w:r>
      <w:r w:rsidR="0078495A">
        <w:rPr>
          <w:sz w:val="24"/>
          <w:szCs w:val="24"/>
          <w:lang w:eastAsia="el-GR"/>
        </w:rPr>
        <w:t xml:space="preserve"> </w:t>
      </w:r>
      <w:r w:rsidRPr="005A464E">
        <w:rPr>
          <w:sz w:val="24"/>
          <w:szCs w:val="24"/>
          <w:lang w:eastAsia="el-GR"/>
        </w:rPr>
        <w:t xml:space="preserve">ερευνητές τροποποίησαν την τελευταία εκδοχή και τη διαίρεσαν σε </w:t>
      </w:r>
      <w:r w:rsidR="00BA566F">
        <w:rPr>
          <w:sz w:val="24"/>
          <w:szCs w:val="24"/>
          <w:lang w:eastAsia="el-GR"/>
        </w:rPr>
        <w:t xml:space="preserve">δύο </w:t>
      </w:r>
      <w:r w:rsidRPr="005A464E">
        <w:rPr>
          <w:sz w:val="24"/>
          <w:szCs w:val="24"/>
          <w:lang w:eastAsia="el-GR"/>
        </w:rPr>
        <w:t>φ</w:t>
      </w:r>
      <w:r w:rsidR="00440DE1">
        <w:rPr>
          <w:sz w:val="24"/>
          <w:szCs w:val="24"/>
          <w:lang w:eastAsia="el-GR"/>
        </w:rPr>
        <w:t>όρμες των 13 ερωτήσεων η κάθε μ</w:t>
      </w:r>
      <w:r w:rsidR="00440DE1">
        <w:rPr>
          <w:sz w:val="24"/>
          <w:szCs w:val="24"/>
          <w:lang w:val="en-US" w:eastAsia="el-GR"/>
        </w:rPr>
        <w:t>i</w:t>
      </w:r>
      <w:r w:rsidRPr="005A464E">
        <w:rPr>
          <w:sz w:val="24"/>
          <w:szCs w:val="24"/>
          <w:lang w:eastAsia="el-GR"/>
        </w:rPr>
        <w:t>α (Φόρμα</w:t>
      </w:r>
      <w:r w:rsidR="00CB5B75" w:rsidRPr="005A464E">
        <w:rPr>
          <w:sz w:val="24"/>
          <w:szCs w:val="24"/>
          <w:lang w:eastAsia="el-GR"/>
        </w:rPr>
        <w:t xml:space="preserve"> Α</w:t>
      </w:r>
      <w:r w:rsidRPr="005A464E">
        <w:rPr>
          <w:sz w:val="24"/>
          <w:szCs w:val="24"/>
          <w:lang w:eastAsia="el-GR"/>
        </w:rPr>
        <w:t xml:space="preserve"> και Φόρμα Β). Κάθε φόρμα αποτελείται από 13 ερωτήσεις τύπου πολλαπλής επιλογής.</w:t>
      </w:r>
    </w:p>
    <w:p w:rsidR="008E2725" w:rsidRPr="005A464E" w:rsidRDefault="008E2725" w:rsidP="005A464E">
      <w:pPr>
        <w:spacing w:line="360" w:lineRule="auto"/>
        <w:jc w:val="both"/>
        <w:rPr>
          <w:sz w:val="24"/>
          <w:szCs w:val="24"/>
          <w:lang w:eastAsia="el-GR"/>
        </w:rPr>
      </w:pPr>
      <w:r w:rsidRPr="005A464E">
        <w:rPr>
          <w:sz w:val="24"/>
          <w:szCs w:val="24"/>
          <w:lang w:eastAsia="el-GR"/>
        </w:rPr>
        <w:t xml:space="preserve">Η κλίμακα </w:t>
      </w:r>
      <w:r w:rsidRPr="005A464E">
        <w:rPr>
          <w:sz w:val="24"/>
          <w:szCs w:val="24"/>
          <w:lang w:val="en-US" w:eastAsia="el-GR"/>
        </w:rPr>
        <w:t>KDQ</w:t>
      </w:r>
      <w:r w:rsidRPr="005A464E">
        <w:rPr>
          <w:sz w:val="24"/>
          <w:szCs w:val="24"/>
          <w:lang w:eastAsia="el-GR"/>
        </w:rPr>
        <w:t xml:space="preserve"> μελετά το επί</w:t>
      </w:r>
      <w:r w:rsidR="009B43FE">
        <w:rPr>
          <w:sz w:val="24"/>
          <w:szCs w:val="24"/>
          <w:lang w:eastAsia="el-GR"/>
        </w:rPr>
        <w:t>πεδο γνώσεων των ασθενών σε 8</w:t>
      </w:r>
      <w:r w:rsidRPr="005A464E">
        <w:rPr>
          <w:sz w:val="24"/>
          <w:szCs w:val="24"/>
          <w:lang w:eastAsia="el-GR"/>
        </w:rPr>
        <w:t xml:space="preserve"> τομείς της νεφρικής νόσου τελικού σταδίου: ανατομία νεφρών, λειτουργία νεφρών, αιμοκάθαρση, περιτοναϊκή κάθαρση, πρόσληψη υγρών,</w:t>
      </w:r>
      <w:r w:rsidR="0078495A">
        <w:rPr>
          <w:sz w:val="24"/>
          <w:szCs w:val="24"/>
          <w:lang w:eastAsia="el-GR"/>
        </w:rPr>
        <w:t xml:space="preserve"> </w:t>
      </w:r>
      <w:r w:rsidRPr="005A464E">
        <w:rPr>
          <w:sz w:val="24"/>
          <w:szCs w:val="24"/>
          <w:lang w:eastAsia="el-GR"/>
        </w:rPr>
        <w:t>διατροφή, μεταμόσχευση και φαρμακευτική αγωγή. Η συνολική βαθμολογία υπολογίζεται ύστερα από πρόσθεση των σωστών απαντήσεων σε 26 ερωτήσεις (0-26) με τις υψηλότερες τιμές να αντιστοιχούν σε υψηλότερα επίπεδα γνώσης (</w:t>
      </w:r>
      <w:r w:rsidRPr="005A464E">
        <w:rPr>
          <w:sz w:val="24"/>
          <w:szCs w:val="24"/>
          <w:lang w:val="en-US" w:eastAsia="el-GR"/>
        </w:rPr>
        <w:t>Devins</w:t>
      </w:r>
      <w:r w:rsidRPr="005A464E">
        <w:rPr>
          <w:sz w:val="24"/>
          <w:szCs w:val="24"/>
          <w:lang w:eastAsia="el-GR"/>
        </w:rPr>
        <w:t xml:space="preserve"> </w:t>
      </w:r>
      <w:r w:rsidR="00566CAA">
        <w:rPr>
          <w:sz w:val="24"/>
          <w:szCs w:val="24"/>
          <w:lang w:eastAsia="el-GR"/>
        </w:rPr>
        <w:t>et al</w:t>
      </w:r>
      <w:r w:rsidR="00684592" w:rsidRPr="00684592">
        <w:rPr>
          <w:sz w:val="24"/>
          <w:szCs w:val="24"/>
          <w:lang w:eastAsia="el-GR"/>
        </w:rPr>
        <w:t>.</w:t>
      </w:r>
      <w:r w:rsidR="00961E11" w:rsidRPr="00961E11">
        <w:rPr>
          <w:sz w:val="24"/>
          <w:szCs w:val="24"/>
          <w:lang w:eastAsia="el-GR"/>
        </w:rPr>
        <w:t>,</w:t>
      </w:r>
      <w:r w:rsidRPr="005A464E">
        <w:rPr>
          <w:sz w:val="24"/>
          <w:szCs w:val="24"/>
          <w:lang w:eastAsia="el-GR"/>
        </w:rPr>
        <w:t xml:space="preserve"> 1990). </w:t>
      </w:r>
    </w:p>
    <w:p w:rsidR="00BD220E" w:rsidRPr="009B43FE" w:rsidRDefault="00BD220E" w:rsidP="009B43FE">
      <w:pPr>
        <w:pStyle w:val="a5"/>
        <w:numPr>
          <w:ilvl w:val="0"/>
          <w:numId w:val="121"/>
        </w:numPr>
        <w:spacing w:line="360" w:lineRule="auto"/>
        <w:jc w:val="both"/>
        <w:rPr>
          <w:i/>
          <w:sz w:val="24"/>
          <w:szCs w:val="24"/>
          <w:lang w:eastAsia="el-GR"/>
        </w:rPr>
      </w:pPr>
      <w:r w:rsidRPr="009B43FE">
        <w:rPr>
          <w:i/>
          <w:sz w:val="24"/>
          <w:szCs w:val="24"/>
          <w:lang w:eastAsia="el-GR"/>
        </w:rPr>
        <w:t>Βήματα της μετάφρασης</w:t>
      </w:r>
    </w:p>
    <w:p w:rsidR="00BD220E" w:rsidRPr="005A464E" w:rsidRDefault="00BD220E" w:rsidP="005A464E">
      <w:pPr>
        <w:spacing w:line="360" w:lineRule="auto"/>
        <w:jc w:val="both"/>
        <w:rPr>
          <w:sz w:val="24"/>
          <w:szCs w:val="24"/>
          <w:lang w:eastAsia="el-GR"/>
        </w:rPr>
      </w:pPr>
      <w:r w:rsidRPr="005A464E">
        <w:rPr>
          <w:sz w:val="24"/>
          <w:szCs w:val="24"/>
          <w:lang w:eastAsia="el-GR"/>
        </w:rPr>
        <w:t xml:space="preserve">Η μετάφραση διεξήχθη σύμφωνα με τις </w:t>
      </w:r>
      <w:r w:rsidRPr="00886C7F">
        <w:rPr>
          <w:sz w:val="24"/>
          <w:szCs w:val="24"/>
          <w:lang w:eastAsia="el-GR"/>
        </w:rPr>
        <w:t xml:space="preserve">οδηγίες του </w:t>
      </w:r>
      <w:r w:rsidR="001C2698" w:rsidRPr="00886C7F">
        <w:rPr>
          <w:sz w:val="24"/>
          <w:szCs w:val="24"/>
          <w:lang w:eastAsia="el-GR"/>
        </w:rPr>
        <w:t>ΠΟΥ</w:t>
      </w:r>
      <w:r w:rsidRPr="005A464E">
        <w:rPr>
          <w:sz w:val="24"/>
          <w:szCs w:val="24"/>
          <w:lang w:eastAsia="el-GR"/>
        </w:rPr>
        <w:t xml:space="preserve"> (</w:t>
      </w:r>
      <w:r w:rsidRPr="005A464E">
        <w:rPr>
          <w:sz w:val="24"/>
          <w:szCs w:val="24"/>
          <w:lang w:val="en-US" w:eastAsia="el-GR"/>
        </w:rPr>
        <w:t>http</w:t>
      </w:r>
      <w:r w:rsidRPr="005A464E">
        <w:rPr>
          <w:sz w:val="24"/>
          <w:szCs w:val="24"/>
          <w:lang w:eastAsia="el-GR"/>
        </w:rPr>
        <w:t>://</w:t>
      </w:r>
      <w:r w:rsidRPr="005A464E">
        <w:rPr>
          <w:sz w:val="24"/>
          <w:szCs w:val="24"/>
          <w:lang w:val="en-US" w:eastAsia="el-GR"/>
        </w:rPr>
        <w:t>www</w:t>
      </w:r>
      <w:r w:rsidRPr="005A464E">
        <w:rPr>
          <w:sz w:val="24"/>
          <w:szCs w:val="24"/>
          <w:lang w:eastAsia="el-GR"/>
        </w:rPr>
        <w:t>.</w:t>
      </w:r>
      <w:r w:rsidRPr="005A464E">
        <w:rPr>
          <w:sz w:val="24"/>
          <w:szCs w:val="24"/>
          <w:lang w:val="en-US" w:eastAsia="el-GR"/>
        </w:rPr>
        <w:t>who</w:t>
      </w:r>
      <w:r w:rsidRPr="005A464E">
        <w:rPr>
          <w:sz w:val="24"/>
          <w:szCs w:val="24"/>
          <w:lang w:eastAsia="el-GR"/>
        </w:rPr>
        <w:t>.</w:t>
      </w:r>
      <w:r w:rsidRPr="005A464E">
        <w:rPr>
          <w:sz w:val="24"/>
          <w:szCs w:val="24"/>
          <w:lang w:val="en-US" w:eastAsia="el-GR"/>
        </w:rPr>
        <w:t>int</w:t>
      </w:r>
      <w:r w:rsidRPr="005A464E">
        <w:rPr>
          <w:sz w:val="24"/>
          <w:szCs w:val="24"/>
          <w:lang w:eastAsia="el-GR"/>
        </w:rPr>
        <w:t>/</w:t>
      </w:r>
      <w:r w:rsidRPr="005A464E">
        <w:rPr>
          <w:sz w:val="24"/>
          <w:szCs w:val="24"/>
          <w:lang w:val="en-US" w:eastAsia="el-GR"/>
        </w:rPr>
        <w:t>substance</w:t>
      </w:r>
      <w:r w:rsidRPr="005A464E">
        <w:rPr>
          <w:sz w:val="24"/>
          <w:szCs w:val="24"/>
          <w:lang w:eastAsia="el-GR"/>
        </w:rPr>
        <w:t>_</w:t>
      </w:r>
      <w:r w:rsidRPr="005A464E">
        <w:rPr>
          <w:sz w:val="24"/>
          <w:szCs w:val="24"/>
          <w:lang w:val="en-US" w:eastAsia="el-GR"/>
        </w:rPr>
        <w:t>abuse</w:t>
      </w:r>
      <w:r w:rsidRPr="005A464E">
        <w:rPr>
          <w:sz w:val="24"/>
          <w:szCs w:val="24"/>
          <w:lang w:eastAsia="el-GR"/>
        </w:rPr>
        <w:t>/</w:t>
      </w:r>
      <w:r w:rsidRPr="005A464E">
        <w:rPr>
          <w:sz w:val="24"/>
          <w:szCs w:val="24"/>
          <w:lang w:val="en-US" w:eastAsia="el-GR"/>
        </w:rPr>
        <w:t>research</w:t>
      </w:r>
      <w:r w:rsidRPr="005A464E">
        <w:rPr>
          <w:sz w:val="24"/>
          <w:szCs w:val="24"/>
          <w:lang w:eastAsia="el-GR"/>
        </w:rPr>
        <w:t>_</w:t>
      </w:r>
      <w:r w:rsidRPr="005A464E">
        <w:rPr>
          <w:sz w:val="24"/>
          <w:szCs w:val="24"/>
          <w:lang w:val="en-US" w:eastAsia="el-GR"/>
        </w:rPr>
        <w:t>tools</w:t>
      </w:r>
      <w:r w:rsidRPr="005A464E">
        <w:rPr>
          <w:sz w:val="24"/>
          <w:szCs w:val="24"/>
          <w:lang w:eastAsia="el-GR"/>
        </w:rPr>
        <w:t xml:space="preserve">/). Η διαδικασία περιελάμβανε την ανεξάρτητη μετάφραση από το πρωτότυπο Αγγλικό </w:t>
      </w:r>
      <w:r w:rsidRPr="00BC19A9">
        <w:rPr>
          <w:sz w:val="24"/>
          <w:szCs w:val="24"/>
          <w:lang w:eastAsia="el-GR"/>
        </w:rPr>
        <w:t>ερωτηματολόγιο (</w:t>
      </w:r>
      <w:r w:rsidRPr="00BC19A9">
        <w:rPr>
          <w:sz w:val="24"/>
          <w:szCs w:val="24"/>
          <w:lang w:val="en-US" w:eastAsia="el-GR"/>
        </w:rPr>
        <w:t>forward</w:t>
      </w:r>
      <w:r w:rsidRPr="00BC19A9">
        <w:rPr>
          <w:sz w:val="24"/>
          <w:szCs w:val="24"/>
          <w:lang w:eastAsia="el-GR"/>
        </w:rPr>
        <w:t xml:space="preserve"> </w:t>
      </w:r>
      <w:r w:rsidRPr="00BC19A9">
        <w:rPr>
          <w:sz w:val="24"/>
          <w:szCs w:val="24"/>
          <w:lang w:val="en-US" w:eastAsia="el-GR"/>
        </w:rPr>
        <w:t>translation</w:t>
      </w:r>
      <w:r w:rsidRPr="00BC19A9">
        <w:rPr>
          <w:sz w:val="24"/>
          <w:szCs w:val="24"/>
          <w:lang w:eastAsia="el-GR"/>
        </w:rPr>
        <w:t xml:space="preserve">) στην Ελληνική γλώσσα (γλώσσα στόχος) από </w:t>
      </w:r>
      <w:r w:rsidR="00BA566F" w:rsidRPr="00BC19A9">
        <w:rPr>
          <w:sz w:val="24"/>
          <w:szCs w:val="24"/>
          <w:lang w:eastAsia="el-GR"/>
        </w:rPr>
        <w:t xml:space="preserve">δύο </w:t>
      </w:r>
      <w:r w:rsidRPr="00BC19A9">
        <w:rPr>
          <w:sz w:val="24"/>
          <w:szCs w:val="24"/>
          <w:lang w:eastAsia="el-GR"/>
        </w:rPr>
        <w:t>διαφορετικούς επαγγελματίες του τομέα</w:t>
      </w:r>
      <w:r w:rsidRPr="005A464E">
        <w:rPr>
          <w:sz w:val="24"/>
          <w:szCs w:val="24"/>
          <w:lang w:eastAsia="el-GR"/>
        </w:rPr>
        <w:t xml:space="preserve"> της υγείας. Μετά από αυτό, έγινε σύγκριση των </w:t>
      </w:r>
      <w:r w:rsidR="00BA566F">
        <w:rPr>
          <w:sz w:val="24"/>
          <w:szCs w:val="24"/>
          <w:lang w:eastAsia="el-GR"/>
        </w:rPr>
        <w:t xml:space="preserve">δύο </w:t>
      </w:r>
      <w:r w:rsidRPr="005A464E">
        <w:rPr>
          <w:sz w:val="24"/>
          <w:szCs w:val="24"/>
          <w:lang w:eastAsia="el-GR"/>
        </w:rPr>
        <w:t xml:space="preserve">μεταφράσεων από τρίτο άτομο επαγγελματία υγείας που οδήγησε σε </w:t>
      </w:r>
      <w:r w:rsidR="00817853">
        <w:rPr>
          <w:sz w:val="24"/>
          <w:szCs w:val="24"/>
          <w:lang w:eastAsia="el-GR"/>
        </w:rPr>
        <w:t>μια</w:t>
      </w:r>
      <w:r w:rsidRPr="005A464E">
        <w:rPr>
          <w:sz w:val="24"/>
          <w:szCs w:val="24"/>
          <w:lang w:eastAsia="el-GR"/>
        </w:rPr>
        <w:t xml:space="preserve"> νέα εκδοχή (</w:t>
      </w:r>
      <w:r w:rsidR="00886C7F" w:rsidRPr="00886C7F">
        <w:rPr>
          <w:sz w:val="24"/>
          <w:szCs w:val="24"/>
          <w:lang w:eastAsia="el-GR"/>
        </w:rPr>
        <w:t>1</w:t>
      </w:r>
      <w:r w:rsidR="00886C7F" w:rsidRPr="00886C7F">
        <w:rPr>
          <w:sz w:val="24"/>
          <w:szCs w:val="24"/>
          <w:vertAlign w:val="superscript"/>
          <w:lang w:val="en-US" w:eastAsia="el-GR"/>
        </w:rPr>
        <w:t>st</w:t>
      </w:r>
      <w:r w:rsidR="00886C7F" w:rsidRPr="00886C7F">
        <w:rPr>
          <w:sz w:val="24"/>
          <w:szCs w:val="24"/>
          <w:lang w:eastAsia="el-GR"/>
        </w:rPr>
        <w:t xml:space="preserve"> </w:t>
      </w:r>
      <w:r w:rsidRPr="005A464E">
        <w:rPr>
          <w:sz w:val="24"/>
          <w:szCs w:val="24"/>
          <w:lang w:eastAsia="el-GR"/>
        </w:rPr>
        <w:t xml:space="preserve">reconciliation report- εναρμονισμένη μετάφραση). Στη συνέχεια, διεξήχθη αντίστροφη </w:t>
      </w:r>
      <w:r w:rsidRPr="00BC19A9">
        <w:rPr>
          <w:sz w:val="24"/>
          <w:szCs w:val="24"/>
          <w:lang w:eastAsia="el-GR"/>
        </w:rPr>
        <w:t>μετάφραση (</w:t>
      </w:r>
      <w:r w:rsidRPr="00BC19A9">
        <w:rPr>
          <w:sz w:val="24"/>
          <w:szCs w:val="24"/>
          <w:lang w:val="en-US" w:eastAsia="el-GR"/>
        </w:rPr>
        <w:t>back</w:t>
      </w:r>
      <w:r w:rsidRPr="00BC19A9">
        <w:rPr>
          <w:sz w:val="24"/>
          <w:szCs w:val="24"/>
          <w:lang w:eastAsia="el-GR"/>
        </w:rPr>
        <w:t xml:space="preserve"> </w:t>
      </w:r>
      <w:r w:rsidRPr="00BC19A9">
        <w:rPr>
          <w:sz w:val="24"/>
          <w:szCs w:val="24"/>
          <w:lang w:val="en-US" w:eastAsia="el-GR"/>
        </w:rPr>
        <w:t>translation</w:t>
      </w:r>
      <w:r w:rsidRPr="00BC19A9">
        <w:rPr>
          <w:sz w:val="24"/>
          <w:szCs w:val="24"/>
          <w:lang w:eastAsia="el-GR"/>
        </w:rPr>
        <w:t xml:space="preserve">) από την Ελληνική στην Αγγλική γλώσσα από ένα δίγλωσσο άτομο επαγγελματία μεταφραστή με μητρική γλώσσα την Αγγλική χωρίς να γνωρίζει την αρχική Αγγλική έκδοση του ερωτηματολογίου. Η </w:t>
      </w:r>
      <w:r w:rsidR="00236EBF" w:rsidRPr="00BC19A9">
        <w:rPr>
          <w:sz w:val="24"/>
          <w:szCs w:val="24"/>
          <w:lang w:eastAsia="el-GR"/>
        </w:rPr>
        <w:t>έκδοση αυτή</w:t>
      </w:r>
      <w:r w:rsidRPr="00BC19A9">
        <w:rPr>
          <w:sz w:val="24"/>
          <w:szCs w:val="24"/>
          <w:lang w:eastAsia="el-GR"/>
        </w:rPr>
        <w:t xml:space="preserve"> εστάλη στους δημιουργούς του ερωτηματολογίου για σχόλια</w:t>
      </w:r>
      <w:r w:rsidR="00DA4D22" w:rsidRPr="00BC19A9">
        <w:rPr>
          <w:sz w:val="24"/>
          <w:szCs w:val="24"/>
          <w:lang w:eastAsia="el-GR"/>
        </w:rPr>
        <w:t xml:space="preserve"> (</w:t>
      </w:r>
      <w:r w:rsidR="00D66B68" w:rsidRPr="00BC19A9">
        <w:rPr>
          <w:i/>
          <w:sz w:val="24"/>
          <w:szCs w:val="24"/>
          <w:lang w:eastAsia="el-GR"/>
        </w:rPr>
        <w:t>ΠΑΡΑΡΤΗΜΑ</w:t>
      </w:r>
      <w:r w:rsidR="00DA4D22" w:rsidRPr="00BC19A9">
        <w:rPr>
          <w:sz w:val="24"/>
          <w:szCs w:val="24"/>
          <w:lang w:eastAsia="el-GR"/>
        </w:rPr>
        <w:t>)</w:t>
      </w:r>
      <w:r w:rsidRPr="00BC19A9">
        <w:rPr>
          <w:sz w:val="24"/>
          <w:szCs w:val="24"/>
          <w:lang w:eastAsia="el-GR"/>
        </w:rPr>
        <w:t>. Τα</w:t>
      </w:r>
      <w:r w:rsidRPr="005A464E">
        <w:rPr>
          <w:sz w:val="24"/>
          <w:szCs w:val="24"/>
          <w:lang w:eastAsia="el-GR"/>
        </w:rPr>
        <w:t xml:space="preserve"> σχόλιά τους ενσωματώθηκαν δίνοντας μια δεύτερη ελληνική έκδοση του ερωτηματολόγιου (2</w:t>
      </w:r>
      <w:r w:rsidRPr="005A464E">
        <w:rPr>
          <w:sz w:val="24"/>
          <w:szCs w:val="24"/>
          <w:vertAlign w:val="superscript"/>
          <w:lang w:val="en-US" w:eastAsia="el-GR"/>
        </w:rPr>
        <w:t>nd</w:t>
      </w:r>
      <w:r w:rsidRPr="005A464E">
        <w:rPr>
          <w:sz w:val="24"/>
          <w:szCs w:val="24"/>
          <w:lang w:eastAsia="el-GR"/>
        </w:rPr>
        <w:t xml:space="preserve"> </w:t>
      </w:r>
      <w:r w:rsidRPr="005A464E">
        <w:rPr>
          <w:sz w:val="24"/>
          <w:szCs w:val="24"/>
          <w:lang w:val="en-US" w:eastAsia="el-GR"/>
        </w:rPr>
        <w:t>reconciliation</w:t>
      </w:r>
      <w:r w:rsidRPr="005A464E">
        <w:rPr>
          <w:sz w:val="24"/>
          <w:szCs w:val="24"/>
          <w:lang w:eastAsia="el-GR"/>
        </w:rPr>
        <w:t xml:space="preserve"> </w:t>
      </w:r>
      <w:r w:rsidRPr="005A464E">
        <w:rPr>
          <w:sz w:val="24"/>
          <w:szCs w:val="24"/>
          <w:lang w:val="en-US" w:eastAsia="el-GR"/>
        </w:rPr>
        <w:t>report</w:t>
      </w:r>
      <w:r w:rsidRPr="005A464E">
        <w:rPr>
          <w:sz w:val="24"/>
          <w:szCs w:val="24"/>
          <w:lang w:eastAsia="el-GR"/>
        </w:rPr>
        <w:t>- 2</w:t>
      </w:r>
      <w:r w:rsidRPr="005A464E">
        <w:rPr>
          <w:sz w:val="24"/>
          <w:szCs w:val="24"/>
          <w:vertAlign w:val="superscript"/>
          <w:lang w:eastAsia="el-GR"/>
        </w:rPr>
        <w:t>η</w:t>
      </w:r>
      <w:r w:rsidR="0078495A">
        <w:rPr>
          <w:sz w:val="24"/>
          <w:szCs w:val="24"/>
          <w:lang w:eastAsia="el-GR"/>
        </w:rPr>
        <w:t xml:space="preserve"> </w:t>
      </w:r>
      <w:r w:rsidRPr="005A464E">
        <w:rPr>
          <w:sz w:val="24"/>
          <w:szCs w:val="24"/>
          <w:lang w:eastAsia="el-GR"/>
        </w:rPr>
        <w:t>εναρμονισμένη έκδοση) η οποία</w:t>
      </w:r>
      <w:r w:rsidR="0078495A">
        <w:rPr>
          <w:sz w:val="24"/>
          <w:szCs w:val="24"/>
          <w:lang w:eastAsia="el-GR"/>
        </w:rPr>
        <w:t xml:space="preserve"> </w:t>
      </w:r>
      <w:r w:rsidRPr="005A464E">
        <w:rPr>
          <w:sz w:val="24"/>
          <w:szCs w:val="24"/>
          <w:lang w:eastAsia="el-GR"/>
        </w:rPr>
        <w:t>χρησιμοποιήθηκε για την πιλοτική δοκιμή του ερωτηματολόγιου</w:t>
      </w:r>
      <w:r w:rsidR="005478C2" w:rsidRPr="005A464E">
        <w:rPr>
          <w:sz w:val="24"/>
          <w:szCs w:val="24"/>
          <w:lang w:eastAsia="el-GR"/>
        </w:rPr>
        <w:t>.</w:t>
      </w:r>
    </w:p>
    <w:p w:rsidR="003243D2" w:rsidRPr="005A464E" w:rsidRDefault="003243D2" w:rsidP="005A464E">
      <w:pPr>
        <w:spacing w:line="360" w:lineRule="auto"/>
        <w:jc w:val="both"/>
        <w:rPr>
          <w:sz w:val="24"/>
          <w:szCs w:val="24"/>
          <w:lang w:eastAsia="el-GR"/>
        </w:rPr>
      </w:pPr>
      <w:r w:rsidRPr="005A464E">
        <w:rPr>
          <w:sz w:val="24"/>
          <w:szCs w:val="24"/>
        </w:rPr>
        <w:t xml:space="preserve">Καθώς η κλίμακα αποτελείται από ερωτήσεις με ιατρικούς όρους, για τη μετάφραση απαιτήθηκε διεπιστημονική συνεργασία με εξειδικευμένους επαγγελματίες, όπως νεφρολόγους, νοσηλευτές νεφρολογίας, καθώς και επίσημη μεταφράστρια. </w:t>
      </w:r>
      <w:r w:rsidRPr="005A464E">
        <w:rPr>
          <w:sz w:val="24"/>
          <w:szCs w:val="24"/>
          <w:lang w:eastAsia="el-GR"/>
        </w:rPr>
        <w:t xml:space="preserve">Όσον αφορά τους ιατρικούς όρους, αυτοί εξηγήθηκαν με συμπληρωματικές λέξεις σε παρένθεση. </w:t>
      </w:r>
    </w:p>
    <w:p w:rsidR="00BD220E" w:rsidRPr="009B43FE" w:rsidRDefault="00BD220E" w:rsidP="009B43FE">
      <w:pPr>
        <w:pStyle w:val="a5"/>
        <w:numPr>
          <w:ilvl w:val="0"/>
          <w:numId w:val="121"/>
        </w:numPr>
        <w:spacing w:line="360" w:lineRule="auto"/>
        <w:jc w:val="both"/>
        <w:rPr>
          <w:i/>
          <w:sz w:val="24"/>
          <w:szCs w:val="24"/>
          <w:lang w:eastAsia="el-GR"/>
        </w:rPr>
      </w:pPr>
      <w:r w:rsidRPr="009B43FE">
        <w:rPr>
          <w:i/>
          <w:sz w:val="24"/>
          <w:szCs w:val="24"/>
          <w:lang w:eastAsia="el-GR"/>
        </w:rPr>
        <w:t>Πολιτισμική προσαρμογή</w:t>
      </w:r>
    </w:p>
    <w:p w:rsidR="00BD220E" w:rsidRPr="005A464E" w:rsidRDefault="00BD220E" w:rsidP="005A464E">
      <w:pPr>
        <w:spacing w:line="360" w:lineRule="auto"/>
        <w:jc w:val="both"/>
        <w:rPr>
          <w:sz w:val="24"/>
          <w:szCs w:val="24"/>
          <w:lang w:eastAsia="el-GR"/>
        </w:rPr>
      </w:pPr>
      <w:r w:rsidRPr="005A464E">
        <w:rPr>
          <w:sz w:val="24"/>
          <w:szCs w:val="24"/>
          <w:lang w:eastAsia="el-GR"/>
        </w:rPr>
        <w:t xml:space="preserve">Πραγματοποιήθηκε πιλοτική δοκιμή του ερωτηματολογίου σε ένα δείγμα ευκολίας 10 ασθενών που υποβάλλονταν σε αιμοκάθαρση με </w:t>
      </w:r>
      <w:r w:rsidRPr="00283ED3">
        <w:rPr>
          <w:sz w:val="24"/>
          <w:szCs w:val="24"/>
          <w:lang w:eastAsia="el-GR"/>
        </w:rPr>
        <w:t xml:space="preserve">ποικιλομορφία ως προς τα δημογραφικά χαρακτηριστικά τους. </w:t>
      </w:r>
      <w:r w:rsidR="00440DE1" w:rsidRPr="00283ED3">
        <w:rPr>
          <w:sz w:val="24"/>
          <w:szCs w:val="24"/>
          <w:lang w:eastAsia="el-GR"/>
        </w:rPr>
        <w:t xml:space="preserve">Σύμφωνα με τον </w:t>
      </w:r>
      <w:r w:rsidR="00283ED3" w:rsidRPr="00283ED3">
        <w:rPr>
          <w:sz w:val="24"/>
          <w:szCs w:val="24"/>
          <w:lang w:eastAsia="el-GR"/>
        </w:rPr>
        <w:t>ΠΟΥ</w:t>
      </w:r>
      <w:r w:rsidR="00440DE1" w:rsidRPr="00283ED3">
        <w:rPr>
          <w:sz w:val="24"/>
          <w:szCs w:val="24"/>
          <w:lang w:eastAsia="el-GR"/>
        </w:rPr>
        <w:t xml:space="preserve"> (http://www. who.int/substance_abuse/research_tools/translation/en/)</w:t>
      </w:r>
      <w:r w:rsidR="00440DE1" w:rsidRPr="00283ED3">
        <w:rPr>
          <w:sz w:val="24"/>
          <w:szCs w:val="24"/>
        </w:rPr>
        <w:t xml:space="preserve"> ο ελάχιστος αριθμός συμμετεχόντων για πολιτισμική προσαρμογή ερωτηματολογίου είναι 10.</w:t>
      </w:r>
      <w:r w:rsidR="00440DE1" w:rsidRPr="00283ED3">
        <w:rPr>
          <w:sz w:val="24"/>
          <w:szCs w:val="24"/>
          <w:lang w:eastAsia="el-GR"/>
        </w:rPr>
        <w:t xml:space="preserve"> </w:t>
      </w:r>
      <w:r w:rsidRPr="00283ED3">
        <w:rPr>
          <w:sz w:val="24"/>
          <w:szCs w:val="24"/>
          <w:lang w:eastAsia="el-GR"/>
        </w:rPr>
        <w:t>Η ερευνήτρια χορήγησε τα ερωτηματολόγια, έδωσε εξηγήσεις σχετικά με τη διαδικασία και ζήτησε από τους ασθενείς να αναφέρουν οποιεσδήποτε δυσκολίες στην κατανόηση του ερωτηματολογίου. Από αυτό το δείγμα των ασθενών, οι οποίοι ήταν Έλληνες με μητρική γλώσσα την Ελληνική ζητήθηκε να καθοριστε</w:t>
      </w:r>
      <w:r w:rsidR="00430C7F" w:rsidRPr="00283ED3">
        <w:rPr>
          <w:sz w:val="24"/>
          <w:szCs w:val="24"/>
          <w:lang w:eastAsia="el-GR"/>
        </w:rPr>
        <w:t>ί αν η μετάφραση αυτή</w:t>
      </w:r>
      <w:r w:rsidRPr="00283ED3">
        <w:rPr>
          <w:sz w:val="24"/>
          <w:szCs w:val="24"/>
          <w:lang w:eastAsia="el-GR"/>
        </w:rPr>
        <w:t xml:space="preserve"> είναι αποδεκτή από πολιτιστικής άποψης, αν η γλώσσα που χρησιμοποιείται στη μετάφραση είναι απλή και αν η διατύπω</w:t>
      </w:r>
      <w:r w:rsidRPr="005A464E">
        <w:rPr>
          <w:sz w:val="24"/>
          <w:szCs w:val="24"/>
          <w:lang w:eastAsia="el-GR"/>
        </w:rPr>
        <w:t>ση των ερωτήσεων ήταν η κατάλληλη. Για την επίτευξη αυτού, έγινε μια γνωστική διαδικασία απολογισμού. Στην περίπτωση δυσνόητων σημείων, οι ασθενείς κλήθηκαν να προτείνουν μια εναλλακτική διατύπωση (</w:t>
      </w:r>
      <w:r w:rsidR="00DD68DA" w:rsidRPr="005A464E">
        <w:rPr>
          <w:sz w:val="24"/>
          <w:szCs w:val="24"/>
          <w:lang w:eastAsia="el-GR"/>
        </w:rPr>
        <w:t>Cognitive Debriefing Interview</w:t>
      </w:r>
      <w:r w:rsidRPr="005A464E">
        <w:rPr>
          <w:sz w:val="24"/>
          <w:szCs w:val="24"/>
          <w:lang w:eastAsia="el-GR"/>
        </w:rPr>
        <w:t>-γνωστική ανασκόπηση)</w:t>
      </w:r>
      <w:r w:rsidR="0078495A">
        <w:rPr>
          <w:rFonts w:cs="Arial"/>
          <w:color w:val="303030"/>
          <w:sz w:val="20"/>
          <w:szCs w:val="20"/>
          <w:shd w:val="clear" w:color="auto" w:fill="FFFFFF"/>
        </w:rPr>
        <w:t xml:space="preserve"> </w:t>
      </w:r>
      <w:r w:rsidRPr="005A464E">
        <w:rPr>
          <w:sz w:val="24"/>
          <w:szCs w:val="24"/>
          <w:lang w:eastAsia="el-GR"/>
        </w:rPr>
        <w:t xml:space="preserve">(Piault </w:t>
      </w:r>
      <w:r w:rsidR="00566CAA">
        <w:rPr>
          <w:sz w:val="24"/>
          <w:szCs w:val="24"/>
          <w:lang w:eastAsia="el-GR"/>
        </w:rPr>
        <w:t>et al</w:t>
      </w:r>
      <w:r w:rsidR="00684592" w:rsidRPr="00684592">
        <w:rPr>
          <w:sz w:val="24"/>
          <w:szCs w:val="24"/>
          <w:lang w:eastAsia="el-GR"/>
        </w:rPr>
        <w:t>.</w:t>
      </w:r>
      <w:r w:rsidR="00961E11" w:rsidRPr="00961E11">
        <w:rPr>
          <w:sz w:val="24"/>
          <w:szCs w:val="24"/>
          <w:lang w:eastAsia="el-GR"/>
        </w:rPr>
        <w:t>,</w:t>
      </w:r>
      <w:r w:rsidRPr="005A464E">
        <w:rPr>
          <w:sz w:val="24"/>
          <w:szCs w:val="24"/>
          <w:lang w:eastAsia="el-GR"/>
        </w:rPr>
        <w:t xml:space="preserve"> 2012). Ακολούθως οι ασθενείς κλήθηκαν να απαντήσουν σε 4 ερωτήσεις (</w:t>
      </w:r>
      <w:r w:rsidRPr="005A464E">
        <w:rPr>
          <w:sz w:val="24"/>
          <w:szCs w:val="24"/>
          <w:lang w:val="en-US" w:eastAsia="el-GR"/>
        </w:rPr>
        <w:t>General</w:t>
      </w:r>
      <w:r w:rsidRPr="005A464E">
        <w:rPr>
          <w:sz w:val="24"/>
          <w:szCs w:val="24"/>
          <w:lang w:eastAsia="el-GR"/>
        </w:rPr>
        <w:t xml:space="preserve"> </w:t>
      </w:r>
      <w:r w:rsidRPr="005A464E">
        <w:rPr>
          <w:sz w:val="24"/>
          <w:szCs w:val="24"/>
          <w:lang w:val="en-US" w:eastAsia="el-GR"/>
        </w:rPr>
        <w:t>Impression</w:t>
      </w:r>
      <w:r w:rsidRPr="005A464E">
        <w:rPr>
          <w:sz w:val="24"/>
          <w:szCs w:val="24"/>
          <w:lang w:eastAsia="el-GR"/>
        </w:rPr>
        <w:t xml:space="preserve"> </w:t>
      </w:r>
      <w:r w:rsidRPr="005A464E">
        <w:rPr>
          <w:sz w:val="24"/>
          <w:szCs w:val="24"/>
          <w:lang w:val="en-US" w:eastAsia="el-GR"/>
        </w:rPr>
        <w:t>Instrument</w:t>
      </w:r>
      <w:r w:rsidR="00A413A2" w:rsidRPr="005A464E">
        <w:rPr>
          <w:sz w:val="24"/>
          <w:szCs w:val="24"/>
          <w:lang w:eastAsia="el-GR"/>
        </w:rPr>
        <w:t>)</w:t>
      </w:r>
      <w:r w:rsidRPr="005A464E">
        <w:rPr>
          <w:sz w:val="24"/>
          <w:szCs w:val="24"/>
          <w:lang w:eastAsia="el-GR"/>
        </w:rPr>
        <w:t xml:space="preserve"> σχετικά με την κατανόηση των ερωτήσεων. Ελάχιστες διορθώσεις έγιναν στο μεταφρασμένο ερωτηματολόγιο και, ω</w:t>
      </w:r>
      <w:r w:rsidR="00866AD5" w:rsidRPr="005A464E">
        <w:rPr>
          <w:sz w:val="24"/>
          <w:szCs w:val="24"/>
          <w:lang w:eastAsia="el-GR"/>
        </w:rPr>
        <w:t>ς εκ τούτου, προέκυψε η τελική ε</w:t>
      </w:r>
      <w:r w:rsidRPr="005A464E">
        <w:rPr>
          <w:sz w:val="24"/>
          <w:szCs w:val="24"/>
          <w:lang w:eastAsia="el-GR"/>
        </w:rPr>
        <w:t xml:space="preserve">λληνική εκδοχή της </w:t>
      </w:r>
      <w:r w:rsidRPr="005A464E">
        <w:rPr>
          <w:sz w:val="24"/>
          <w:szCs w:val="24"/>
          <w:lang w:val="en-US" w:eastAsia="el-GR"/>
        </w:rPr>
        <w:t>KDQ</w:t>
      </w:r>
      <w:r w:rsidR="00440DE1" w:rsidRPr="00440DE1">
        <w:rPr>
          <w:sz w:val="24"/>
          <w:szCs w:val="24"/>
          <w:lang w:eastAsia="el-GR"/>
        </w:rPr>
        <w:t xml:space="preserve"> </w:t>
      </w:r>
      <w:r w:rsidR="00440DE1" w:rsidRPr="00526882">
        <w:rPr>
          <w:sz w:val="24"/>
          <w:szCs w:val="24"/>
          <w:lang w:eastAsia="el-GR"/>
        </w:rPr>
        <w:t>(</w:t>
      </w:r>
      <w:r w:rsidR="00440DE1">
        <w:rPr>
          <w:sz w:val="24"/>
          <w:szCs w:val="24"/>
          <w:lang w:val="en-US" w:eastAsia="el-GR"/>
        </w:rPr>
        <w:t>Alikari</w:t>
      </w:r>
      <w:r w:rsidR="00440DE1" w:rsidRPr="00526882">
        <w:rPr>
          <w:sz w:val="24"/>
          <w:szCs w:val="24"/>
          <w:lang w:eastAsia="el-GR"/>
        </w:rPr>
        <w:t xml:space="preserve"> </w:t>
      </w:r>
      <w:r w:rsidR="00440DE1">
        <w:rPr>
          <w:sz w:val="24"/>
          <w:szCs w:val="24"/>
          <w:lang w:val="en-US" w:eastAsia="el-GR"/>
        </w:rPr>
        <w:t>et</w:t>
      </w:r>
      <w:r w:rsidR="00440DE1" w:rsidRPr="00526882">
        <w:rPr>
          <w:sz w:val="24"/>
          <w:szCs w:val="24"/>
          <w:lang w:eastAsia="el-GR"/>
        </w:rPr>
        <w:t xml:space="preserve"> </w:t>
      </w:r>
      <w:r w:rsidR="00440DE1">
        <w:rPr>
          <w:sz w:val="24"/>
          <w:szCs w:val="24"/>
          <w:lang w:val="en-US" w:eastAsia="el-GR"/>
        </w:rPr>
        <w:t>al</w:t>
      </w:r>
      <w:r w:rsidR="00440DE1" w:rsidRPr="00526882">
        <w:rPr>
          <w:sz w:val="24"/>
          <w:szCs w:val="24"/>
          <w:lang w:eastAsia="el-GR"/>
        </w:rPr>
        <w:t xml:space="preserve">., </w:t>
      </w:r>
      <w:r w:rsidR="00440DE1">
        <w:rPr>
          <w:sz w:val="24"/>
          <w:szCs w:val="24"/>
          <w:lang w:eastAsia="el-GR"/>
        </w:rPr>
        <w:t>2015)</w:t>
      </w:r>
      <w:r w:rsidR="00440DE1" w:rsidRPr="005A464E">
        <w:rPr>
          <w:sz w:val="24"/>
          <w:szCs w:val="24"/>
          <w:lang w:eastAsia="el-GR"/>
        </w:rPr>
        <w:t>.</w:t>
      </w:r>
    </w:p>
    <w:p w:rsidR="00BD220E" w:rsidRPr="005A464E" w:rsidRDefault="00BD220E" w:rsidP="005A464E">
      <w:pPr>
        <w:spacing w:line="360" w:lineRule="auto"/>
        <w:jc w:val="both"/>
        <w:rPr>
          <w:sz w:val="24"/>
          <w:szCs w:val="24"/>
          <w:lang w:eastAsia="el-GR"/>
        </w:rPr>
      </w:pPr>
      <w:r w:rsidRPr="005A464E">
        <w:rPr>
          <w:sz w:val="24"/>
          <w:szCs w:val="24"/>
          <w:lang w:eastAsia="el-GR"/>
        </w:rPr>
        <w:t xml:space="preserve">Η συλλογή των δεδομένων έγινε με βάση την προθυμία </w:t>
      </w:r>
      <w:r w:rsidR="00DF4830">
        <w:rPr>
          <w:sz w:val="24"/>
          <w:szCs w:val="24"/>
          <w:lang w:eastAsia="el-GR"/>
        </w:rPr>
        <w:t>των ασθενών να συμμετάσχουν στη</w:t>
      </w:r>
      <w:r w:rsidRPr="005A464E">
        <w:rPr>
          <w:sz w:val="24"/>
          <w:szCs w:val="24"/>
          <w:lang w:eastAsia="el-GR"/>
        </w:rPr>
        <w:t xml:space="preserve"> </w:t>
      </w:r>
      <w:r w:rsidR="00DF4830">
        <w:rPr>
          <w:sz w:val="24"/>
          <w:szCs w:val="24"/>
          <w:lang w:eastAsia="el-GR"/>
        </w:rPr>
        <w:t>μελέτη</w:t>
      </w:r>
      <w:r w:rsidRPr="005A464E">
        <w:rPr>
          <w:sz w:val="24"/>
          <w:szCs w:val="24"/>
          <w:lang w:eastAsia="el-GR"/>
        </w:rPr>
        <w:t xml:space="preserve">. </w:t>
      </w:r>
    </w:p>
    <w:p w:rsidR="00A413A2" w:rsidRPr="009B43FE" w:rsidRDefault="00C5140E" w:rsidP="009B43FE">
      <w:pPr>
        <w:pStyle w:val="a5"/>
        <w:numPr>
          <w:ilvl w:val="0"/>
          <w:numId w:val="121"/>
        </w:numPr>
        <w:spacing w:line="360" w:lineRule="auto"/>
        <w:jc w:val="both"/>
        <w:rPr>
          <w:i/>
          <w:sz w:val="24"/>
          <w:szCs w:val="24"/>
          <w:lang w:eastAsia="el-GR"/>
        </w:rPr>
      </w:pPr>
      <w:r w:rsidRPr="009B43FE">
        <w:rPr>
          <w:i/>
          <w:sz w:val="24"/>
          <w:szCs w:val="24"/>
          <w:lang w:eastAsia="el-GR"/>
        </w:rPr>
        <w:t>Αξιοπιστία της κλίμακας</w:t>
      </w:r>
      <w:r w:rsidR="00A413A2" w:rsidRPr="009B43FE">
        <w:rPr>
          <w:i/>
          <w:sz w:val="24"/>
          <w:szCs w:val="24"/>
          <w:lang w:eastAsia="el-GR"/>
        </w:rPr>
        <w:t xml:space="preserve"> Κ</w:t>
      </w:r>
      <w:r w:rsidR="00A413A2" w:rsidRPr="009B43FE">
        <w:rPr>
          <w:i/>
          <w:sz w:val="24"/>
          <w:szCs w:val="24"/>
          <w:lang w:val="en-US" w:eastAsia="el-GR"/>
        </w:rPr>
        <w:t>idney</w:t>
      </w:r>
      <w:r w:rsidR="00A413A2" w:rsidRPr="009B43FE">
        <w:rPr>
          <w:i/>
          <w:sz w:val="24"/>
          <w:szCs w:val="24"/>
          <w:lang w:eastAsia="el-GR"/>
        </w:rPr>
        <w:t xml:space="preserve"> </w:t>
      </w:r>
      <w:r w:rsidR="00A413A2" w:rsidRPr="009B43FE">
        <w:rPr>
          <w:i/>
          <w:sz w:val="24"/>
          <w:szCs w:val="24"/>
          <w:lang w:val="en-US" w:eastAsia="el-GR"/>
        </w:rPr>
        <w:t>Disease</w:t>
      </w:r>
      <w:r w:rsidR="00A413A2" w:rsidRPr="009B43FE">
        <w:rPr>
          <w:i/>
          <w:sz w:val="24"/>
          <w:szCs w:val="24"/>
          <w:lang w:eastAsia="el-GR"/>
        </w:rPr>
        <w:t xml:space="preserve"> </w:t>
      </w:r>
      <w:r w:rsidR="00A413A2" w:rsidRPr="009B43FE">
        <w:rPr>
          <w:i/>
          <w:sz w:val="24"/>
          <w:szCs w:val="24"/>
          <w:lang w:val="en-US" w:eastAsia="el-GR"/>
        </w:rPr>
        <w:t>Questionnaire</w:t>
      </w:r>
    </w:p>
    <w:p w:rsidR="00A413A2" w:rsidRPr="005A464E" w:rsidRDefault="00A413A2" w:rsidP="005A464E">
      <w:pPr>
        <w:spacing w:line="360" w:lineRule="auto"/>
        <w:jc w:val="both"/>
        <w:rPr>
          <w:b/>
          <w:sz w:val="24"/>
          <w:szCs w:val="24"/>
          <w:lang w:eastAsia="el-GR"/>
        </w:rPr>
      </w:pPr>
      <w:r w:rsidRPr="005A464E">
        <w:rPr>
          <w:sz w:val="24"/>
          <w:szCs w:val="24"/>
          <w:lang w:eastAsia="el-GR"/>
        </w:rPr>
        <w:t>Ακολούθησε έλεγχος της αξιοπιστίας του ερωτηματολογίου με τη δοκιμασία επαναληψιμότητας σε δείγμα 17 ασθενών</w:t>
      </w:r>
      <w:r w:rsidR="000443EA" w:rsidRPr="000443EA">
        <w:rPr>
          <w:sz w:val="24"/>
          <w:szCs w:val="24"/>
          <w:lang w:eastAsia="el-GR"/>
        </w:rPr>
        <w:t>,</w:t>
      </w:r>
      <w:r w:rsidRPr="005A464E">
        <w:rPr>
          <w:sz w:val="24"/>
          <w:szCs w:val="24"/>
          <w:lang w:eastAsia="el-GR"/>
        </w:rPr>
        <w:t xml:space="preserve"> οι οποίοι συμπλήρωσαν το ερωτηματολόγιο </w:t>
      </w:r>
      <w:r w:rsidR="00BA566F">
        <w:rPr>
          <w:sz w:val="24"/>
          <w:szCs w:val="24"/>
          <w:lang w:eastAsia="el-GR"/>
        </w:rPr>
        <w:t xml:space="preserve">δύο </w:t>
      </w:r>
      <w:r w:rsidRPr="005A464E">
        <w:rPr>
          <w:sz w:val="24"/>
          <w:szCs w:val="24"/>
          <w:lang w:eastAsia="el-GR"/>
        </w:rPr>
        <w:t xml:space="preserve">φορές σε διάστημα </w:t>
      </w:r>
      <w:r w:rsidR="00BA566F">
        <w:rPr>
          <w:sz w:val="24"/>
          <w:szCs w:val="24"/>
          <w:lang w:eastAsia="el-GR"/>
        </w:rPr>
        <w:t xml:space="preserve">δύο </w:t>
      </w:r>
      <w:r w:rsidRPr="005A464E">
        <w:rPr>
          <w:sz w:val="24"/>
          <w:szCs w:val="24"/>
          <w:lang w:eastAsia="el-GR"/>
        </w:rPr>
        <w:t>εβδομάδων μεταξύ τους.</w:t>
      </w:r>
      <w:r w:rsidR="00D8218E" w:rsidRPr="005A464E">
        <w:rPr>
          <w:sz w:val="24"/>
          <w:szCs w:val="24"/>
          <w:lang w:eastAsia="el-GR"/>
        </w:rPr>
        <w:t xml:space="preserve"> Σύμφωνα με τη βιβλιογραφία μεταξύ των </w:t>
      </w:r>
      <w:r w:rsidR="00BA566F">
        <w:rPr>
          <w:sz w:val="24"/>
          <w:szCs w:val="24"/>
          <w:lang w:eastAsia="el-GR"/>
        </w:rPr>
        <w:t xml:space="preserve">δύο </w:t>
      </w:r>
      <w:r w:rsidR="00D8218E" w:rsidRPr="005A464E">
        <w:rPr>
          <w:sz w:val="24"/>
          <w:szCs w:val="24"/>
          <w:lang w:eastAsia="el-GR"/>
        </w:rPr>
        <w:t>μετρήσεων θα πρέπει να μεσολαβ</w:t>
      </w:r>
      <w:r w:rsidR="00542433" w:rsidRPr="005A464E">
        <w:rPr>
          <w:sz w:val="24"/>
          <w:szCs w:val="24"/>
          <w:lang w:eastAsia="el-GR"/>
        </w:rPr>
        <w:t>ούν</w:t>
      </w:r>
      <w:r w:rsidR="001F3E06">
        <w:rPr>
          <w:sz w:val="24"/>
          <w:szCs w:val="24"/>
          <w:lang w:eastAsia="el-GR"/>
        </w:rPr>
        <w:t xml:space="preserve"> από </w:t>
      </w:r>
      <w:r w:rsidR="00BA566F">
        <w:rPr>
          <w:sz w:val="24"/>
          <w:szCs w:val="24"/>
          <w:lang w:eastAsia="el-GR"/>
        </w:rPr>
        <w:t xml:space="preserve">δύο </w:t>
      </w:r>
      <w:r w:rsidR="001F3E06">
        <w:rPr>
          <w:sz w:val="24"/>
          <w:szCs w:val="24"/>
          <w:lang w:eastAsia="el-GR"/>
        </w:rPr>
        <w:t>έως τέσσερ</w:t>
      </w:r>
      <w:r w:rsidR="00D8218E" w:rsidRPr="005A464E">
        <w:rPr>
          <w:sz w:val="24"/>
          <w:szCs w:val="24"/>
          <w:lang w:eastAsia="el-GR"/>
        </w:rPr>
        <w:t xml:space="preserve">ις εβδομάδες προκειμένου τα υποκείμενα να μη «θυμούνται» τις απαντήσεις που έδωσαν. Χρησιμοποιήθηκε ο δείκτης </w:t>
      </w:r>
      <w:r w:rsidR="00D8218E" w:rsidRPr="005A464E">
        <w:rPr>
          <w:sz w:val="24"/>
          <w:szCs w:val="24"/>
          <w:lang w:val="en-US" w:eastAsia="el-GR"/>
        </w:rPr>
        <w:t>McNemar</w:t>
      </w:r>
      <w:r w:rsidR="00D8218E" w:rsidRPr="005A464E">
        <w:rPr>
          <w:sz w:val="24"/>
          <w:szCs w:val="24"/>
          <w:lang w:eastAsia="el-GR"/>
        </w:rPr>
        <w:t xml:space="preserve"> </w:t>
      </w:r>
      <w:r w:rsidR="00D8218E" w:rsidRPr="005A464E">
        <w:rPr>
          <w:sz w:val="24"/>
          <w:szCs w:val="24"/>
          <w:lang w:val="en-US" w:eastAsia="el-GR"/>
        </w:rPr>
        <w:t>Bowker</w:t>
      </w:r>
      <w:r w:rsidR="00D8218E" w:rsidRPr="005A464E">
        <w:rPr>
          <w:sz w:val="24"/>
          <w:szCs w:val="24"/>
          <w:lang w:eastAsia="el-GR"/>
        </w:rPr>
        <w:t xml:space="preserve"> για τη συσχέτιση των αποτελεσμάτων μεταξύ των </w:t>
      </w:r>
      <w:r w:rsidR="00BA566F">
        <w:rPr>
          <w:sz w:val="24"/>
          <w:szCs w:val="24"/>
          <w:lang w:eastAsia="el-GR"/>
        </w:rPr>
        <w:t xml:space="preserve">δύο </w:t>
      </w:r>
      <w:r w:rsidR="00D8218E" w:rsidRPr="005A464E">
        <w:rPr>
          <w:sz w:val="24"/>
          <w:szCs w:val="24"/>
          <w:lang w:eastAsia="el-GR"/>
        </w:rPr>
        <w:t>μετρήσεων</w:t>
      </w:r>
      <w:r w:rsidR="00160D7A" w:rsidRPr="00160D7A">
        <w:rPr>
          <w:sz w:val="24"/>
          <w:szCs w:val="24"/>
          <w:lang w:eastAsia="el-GR"/>
        </w:rPr>
        <w:t xml:space="preserve"> </w:t>
      </w:r>
      <w:r w:rsidR="00160D7A" w:rsidRPr="005A464E">
        <w:rPr>
          <w:sz w:val="24"/>
          <w:szCs w:val="24"/>
          <w:lang w:eastAsia="el-GR"/>
        </w:rPr>
        <w:t>(Μερκούρης,</w:t>
      </w:r>
      <w:r w:rsidR="00160D7A" w:rsidRPr="00684592">
        <w:rPr>
          <w:sz w:val="24"/>
          <w:szCs w:val="24"/>
          <w:lang w:eastAsia="el-GR"/>
        </w:rPr>
        <w:t xml:space="preserve"> </w:t>
      </w:r>
      <w:r w:rsidR="00160D7A">
        <w:rPr>
          <w:sz w:val="24"/>
          <w:szCs w:val="24"/>
          <w:lang w:eastAsia="el-GR"/>
        </w:rPr>
        <w:t>2008).</w:t>
      </w:r>
      <w:r w:rsidR="00160D7A" w:rsidRPr="005A464E">
        <w:rPr>
          <w:sz w:val="24"/>
          <w:szCs w:val="24"/>
          <w:lang w:eastAsia="el-GR"/>
        </w:rPr>
        <w:t xml:space="preserve"> </w:t>
      </w:r>
    </w:p>
    <w:p w:rsidR="00DE45CF" w:rsidRDefault="00A413A2" w:rsidP="005A464E">
      <w:pPr>
        <w:spacing w:line="360" w:lineRule="auto"/>
        <w:jc w:val="both"/>
        <w:rPr>
          <w:rFonts w:cstheme="minorHAnsi"/>
          <w:sz w:val="24"/>
          <w:szCs w:val="24"/>
          <w:lang w:eastAsia="el-GR"/>
        </w:rPr>
      </w:pPr>
      <w:r w:rsidRPr="00C5140E">
        <w:rPr>
          <w:sz w:val="24"/>
          <w:szCs w:val="24"/>
          <w:lang w:eastAsia="el-GR"/>
        </w:rPr>
        <w:t>Η αξιοπιστία εσωτερικής συνοχής υπολογίστηκε</w:t>
      </w:r>
      <w:r w:rsidRPr="005A464E">
        <w:rPr>
          <w:sz w:val="24"/>
          <w:szCs w:val="24"/>
          <w:lang w:eastAsia="el-GR"/>
        </w:rPr>
        <w:t xml:space="preserve"> με τον συντελεστή αξιοπιστία</w:t>
      </w:r>
      <w:r w:rsidR="00CD16D9" w:rsidRPr="005A464E">
        <w:rPr>
          <w:sz w:val="24"/>
          <w:szCs w:val="24"/>
          <w:lang w:eastAsia="el-GR"/>
        </w:rPr>
        <w:t xml:space="preserve">ς εσωτερικής συνοχής (Internal </w:t>
      </w:r>
      <w:r w:rsidR="00CD16D9" w:rsidRPr="005A464E">
        <w:rPr>
          <w:sz w:val="24"/>
          <w:szCs w:val="24"/>
          <w:lang w:val="en-US" w:eastAsia="el-GR"/>
        </w:rPr>
        <w:t>C</w:t>
      </w:r>
      <w:r w:rsidR="00CD16D9" w:rsidRPr="005A464E">
        <w:rPr>
          <w:sz w:val="24"/>
          <w:szCs w:val="24"/>
          <w:lang w:eastAsia="el-GR"/>
        </w:rPr>
        <w:t xml:space="preserve">onsistency </w:t>
      </w:r>
      <w:r w:rsidR="00CD16D9" w:rsidRPr="005A464E">
        <w:rPr>
          <w:sz w:val="24"/>
          <w:szCs w:val="24"/>
          <w:lang w:val="en-US" w:eastAsia="el-GR"/>
        </w:rPr>
        <w:t>R</w:t>
      </w:r>
      <w:r w:rsidRPr="005A464E">
        <w:rPr>
          <w:sz w:val="24"/>
          <w:szCs w:val="24"/>
          <w:lang w:eastAsia="el-GR"/>
        </w:rPr>
        <w:t>elia</w:t>
      </w:r>
      <w:r w:rsidR="00B93B5A">
        <w:rPr>
          <w:sz w:val="24"/>
          <w:szCs w:val="24"/>
          <w:lang w:eastAsia="el-GR"/>
        </w:rPr>
        <w:t xml:space="preserve">bility) που είναι ο Cronbach’s </w:t>
      </w:r>
      <w:r w:rsidR="00B93B5A">
        <w:rPr>
          <w:sz w:val="24"/>
          <w:szCs w:val="24"/>
          <w:lang w:val="en-US" w:eastAsia="el-GR"/>
        </w:rPr>
        <w:t>A</w:t>
      </w:r>
      <w:r w:rsidRPr="005A464E">
        <w:rPr>
          <w:sz w:val="24"/>
          <w:szCs w:val="24"/>
          <w:lang w:eastAsia="el-GR"/>
        </w:rPr>
        <w:t xml:space="preserve">lpha με αποδεκτές τιμές από </w:t>
      </w:r>
      <w:r w:rsidR="00EF6A06">
        <w:rPr>
          <w:sz w:val="24"/>
          <w:szCs w:val="24"/>
          <w:lang w:eastAsia="el-GR"/>
        </w:rPr>
        <w:t>0,</w:t>
      </w:r>
      <w:r w:rsidR="00160D7A">
        <w:rPr>
          <w:sz w:val="24"/>
          <w:szCs w:val="24"/>
          <w:lang w:eastAsia="el-GR"/>
        </w:rPr>
        <w:t>70-</w:t>
      </w:r>
      <w:r w:rsidR="00EF6A06">
        <w:rPr>
          <w:sz w:val="24"/>
          <w:szCs w:val="24"/>
          <w:lang w:eastAsia="el-GR"/>
        </w:rPr>
        <w:t>0,</w:t>
      </w:r>
      <w:r w:rsidRPr="005A464E">
        <w:rPr>
          <w:sz w:val="24"/>
          <w:szCs w:val="24"/>
          <w:lang w:eastAsia="el-GR"/>
        </w:rPr>
        <w:t>90</w:t>
      </w:r>
      <w:r w:rsidR="001C2698" w:rsidRPr="001C2698">
        <w:rPr>
          <w:sz w:val="24"/>
          <w:szCs w:val="24"/>
          <w:lang w:eastAsia="el-GR"/>
        </w:rPr>
        <w:t xml:space="preserve"> </w:t>
      </w:r>
      <w:r w:rsidR="001C2698">
        <w:rPr>
          <w:sz w:val="24"/>
          <w:szCs w:val="24"/>
          <w:lang w:eastAsia="el-GR"/>
        </w:rPr>
        <w:t>(</w:t>
      </w:r>
      <w:hyperlink r:id="rId46" w:history="1">
        <w:r w:rsidR="001C2698">
          <w:rPr>
            <w:rStyle w:val="-"/>
            <w:rFonts w:asciiTheme="minorHAnsi" w:hAnsiTheme="minorHAnsi" w:cs="Arial"/>
            <w:color w:val="auto"/>
            <w:sz w:val="24"/>
            <w:szCs w:val="24"/>
            <w:u w:val="none"/>
            <w:shd w:val="clear" w:color="auto" w:fill="FFFFFF"/>
          </w:rPr>
          <w:t>Campo-Arias</w:t>
        </w:r>
      </w:hyperlink>
      <w:r w:rsidR="001C2698">
        <w:rPr>
          <w:rFonts w:asciiTheme="minorHAnsi" w:hAnsiTheme="minorHAnsi"/>
          <w:sz w:val="24"/>
          <w:szCs w:val="24"/>
        </w:rPr>
        <w:t xml:space="preserve"> &amp;</w:t>
      </w:r>
      <w:r w:rsidR="001C2698" w:rsidRPr="001D00C0">
        <w:rPr>
          <w:rFonts w:asciiTheme="minorHAnsi" w:hAnsiTheme="minorHAnsi" w:cs="Arial"/>
          <w:sz w:val="24"/>
          <w:szCs w:val="24"/>
          <w:shd w:val="clear" w:color="auto" w:fill="FFFFFF"/>
        </w:rPr>
        <w:t> </w:t>
      </w:r>
      <w:hyperlink r:id="rId47" w:history="1">
        <w:r w:rsidR="001C2698" w:rsidRPr="001D00C0">
          <w:rPr>
            <w:rStyle w:val="-"/>
            <w:rFonts w:asciiTheme="minorHAnsi" w:hAnsiTheme="minorHAnsi" w:cs="Arial"/>
            <w:color w:val="auto"/>
            <w:sz w:val="24"/>
            <w:szCs w:val="24"/>
            <w:u w:val="none"/>
            <w:shd w:val="clear" w:color="auto" w:fill="FFFFFF"/>
          </w:rPr>
          <w:t>Oviedo</w:t>
        </w:r>
        <w:r w:rsidR="001C2698">
          <w:rPr>
            <w:rStyle w:val="-"/>
            <w:rFonts w:asciiTheme="minorHAnsi" w:hAnsiTheme="minorHAnsi" w:cs="Arial"/>
            <w:color w:val="auto"/>
            <w:sz w:val="24"/>
            <w:szCs w:val="24"/>
            <w:u w:val="none"/>
            <w:shd w:val="clear" w:color="auto" w:fill="FFFFFF"/>
          </w:rPr>
          <w:t>, 2008)</w:t>
        </w:r>
        <w:r w:rsidR="00854322">
          <w:rPr>
            <w:rStyle w:val="-"/>
            <w:rFonts w:asciiTheme="minorHAnsi" w:hAnsiTheme="minorHAnsi" w:cs="Arial"/>
            <w:color w:val="auto"/>
            <w:sz w:val="24"/>
            <w:szCs w:val="24"/>
            <w:u w:val="none"/>
            <w:shd w:val="clear" w:color="auto" w:fill="FFFFFF"/>
          </w:rPr>
          <w:t>.</w:t>
        </w:r>
        <w:r w:rsidR="001C2698" w:rsidRPr="001D00C0">
          <w:rPr>
            <w:rStyle w:val="-"/>
            <w:rFonts w:asciiTheme="minorHAnsi" w:hAnsiTheme="minorHAnsi" w:cs="Arial"/>
            <w:color w:val="auto"/>
            <w:sz w:val="24"/>
            <w:szCs w:val="24"/>
            <w:u w:val="none"/>
            <w:shd w:val="clear" w:color="auto" w:fill="FFFFFF"/>
          </w:rPr>
          <w:t> </w:t>
        </w:r>
      </w:hyperlink>
      <w:r w:rsidRPr="005A464E">
        <w:rPr>
          <w:sz w:val="24"/>
          <w:szCs w:val="24"/>
          <w:lang w:eastAsia="el-GR"/>
        </w:rPr>
        <w:t xml:space="preserve">Για τη μελέτη της αξιοπιστίας και εγκυρότητας, η κλίμακα </w:t>
      </w:r>
      <w:r w:rsidRPr="005A464E">
        <w:rPr>
          <w:rFonts w:cstheme="minorHAnsi"/>
          <w:sz w:val="24"/>
          <w:szCs w:val="24"/>
          <w:lang w:eastAsia="el-GR"/>
        </w:rPr>
        <w:t>χορηγήθηκε συνολικά σε δείγμα 321 ασθενών</w:t>
      </w:r>
      <w:r w:rsidR="00763BA9" w:rsidRPr="005A464E">
        <w:rPr>
          <w:rFonts w:cstheme="minorHAnsi"/>
          <w:sz w:val="24"/>
          <w:szCs w:val="24"/>
          <w:lang w:eastAsia="el-GR"/>
        </w:rPr>
        <w:t>.</w:t>
      </w:r>
      <w:r w:rsidRPr="005A464E">
        <w:rPr>
          <w:rFonts w:cstheme="minorHAnsi"/>
          <w:sz w:val="24"/>
          <w:szCs w:val="24"/>
          <w:lang w:eastAsia="el-GR"/>
        </w:rPr>
        <w:t xml:space="preserve"> Σύμφωνα με μ</w:t>
      </w:r>
      <w:r w:rsidR="0045471D" w:rsidRPr="005A464E">
        <w:rPr>
          <w:rFonts w:cstheme="minorHAnsi"/>
          <w:sz w:val="24"/>
          <w:szCs w:val="24"/>
          <w:lang w:eastAsia="el-GR"/>
        </w:rPr>
        <w:t>ελέτες (</w:t>
      </w:r>
      <w:r w:rsidRPr="005A464E">
        <w:rPr>
          <w:rFonts w:cstheme="minorHAnsi"/>
          <w:sz w:val="24"/>
          <w:szCs w:val="24"/>
          <w:lang w:val="en-US"/>
        </w:rPr>
        <w:t>Tabachnick</w:t>
      </w:r>
      <w:r w:rsidR="0078495A">
        <w:rPr>
          <w:rFonts w:cstheme="minorHAnsi"/>
          <w:sz w:val="24"/>
          <w:szCs w:val="24"/>
        </w:rPr>
        <w:t xml:space="preserve"> </w:t>
      </w:r>
      <w:r w:rsidRPr="005A464E">
        <w:rPr>
          <w:rFonts w:cstheme="minorHAnsi"/>
          <w:sz w:val="24"/>
          <w:szCs w:val="24"/>
        </w:rPr>
        <w:t xml:space="preserve">&amp; </w:t>
      </w:r>
      <w:r w:rsidRPr="005A464E">
        <w:rPr>
          <w:rFonts w:cstheme="minorHAnsi"/>
          <w:sz w:val="24"/>
          <w:szCs w:val="24"/>
          <w:lang w:val="en-US"/>
        </w:rPr>
        <w:t>Fidell</w:t>
      </w:r>
      <w:r w:rsidR="00961E11" w:rsidRPr="00961E11">
        <w:rPr>
          <w:rFonts w:cstheme="minorHAnsi"/>
          <w:sz w:val="24"/>
          <w:szCs w:val="24"/>
        </w:rPr>
        <w:t>,</w:t>
      </w:r>
      <w:r w:rsidR="0078495A">
        <w:rPr>
          <w:rFonts w:cstheme="minorHAnsi"/>
          <w:sz w:val="24"/>
          <w:szCs w:val="24"/>
        </w:rPr>
        <w:t xml:space="preserve"> </w:t>
      </w:r>
      <w:r w:rsidRPr="005A464E">
        <w:rPr>
          <w:rFonts w:cstheme="minorHAnsi"/>
          <w:sz w:val="24"/>
          <w:szCs w:val="24"/>
        </w:rPr>
        <w:t xml:space="preserve">2007; </w:t>
      </w:r>
      <w:r w:rsidRPr="005A464E">
        <w:rPr>
          <w:rFonts w:cstheme="minorHAnsi"/>
          <w:color w:val="000000"/>
          <w:sz w:val="24"/>
          <w:szCs w:val="24"/>
          <w:lang w:val="en-US"/>
        </w:rPr>
        <w:t>Yong</w:t>
      </w:r>
      <w:r w:rsidR="0045471D" w:rsidRPr="005A464E">
        <w:rPr>
          <w:rFonts w:cstheme="minorHAnsi"/>
          <w:color w:val="000000"/>
          <w:sz w:val="24"/>
          <w:szCs w:val="24"/>
        </w:rPr>
        <w:t xml:space="preserve"> &amp;</w:t>
      </w:r>
      <w:r w:rsidRPr="005A464E">
        <w:rPr>
          <w:rFonts w:cstheme="minorHAnsi"/>
          <w:color w:val="000000"/>
          <w:sz w:val="24"/>
          <w:szCs w:val="24"/>
        </w:rPr>
        <w:t xml:space="preserve"> </w:t>
      </w:r>
      <w:r w:rsidRPr="005A464E">
        <w:rPr>
          <w:rFonts w:cstheme="minorHAnsi"/>
          <w:color w:val="000000"/>
          <w:sz w:val="24"/>
          <w:szCs w:val="24"/>
          <w:lang w:val="en-US"/>
        </w:rPr>
        <w:t>Pearce</w:t>
      </w:r>
      <w:r w:rsidR="00961E11" w:rsidRPr="00961E11">
        <w:rPr>
          <w:rFonts w:cstheme="minorHAnsi"/>
          <w:color w:val="000000"/>
          <w:sz w:val="24"/>
          <w:szCs w:val="24"/>
        </w:rPr>
        <w:t>,</w:t>
      </w:r>
      <w:r w:rsidRPr="005A464E">
        <w:rPr>
          <w:rFonts w:cstheme="minorHAnsi"/>
          <w:color w:val="000000"/>
          <w:sz w:val="24"/>
          <w:szCs w:val="24"/>
        </w:rPr>
        <w:t xml:space="preserve"> 2013)</w:t>
      </w:r>
      <w:r w:rsidRPr="005A464E">
        <w:rPr>
          <w:rFonts w:cstheme="minorHAnsi"/>
          <w:sz w:val="24"/>
          <w:szCs w:val="24"/>
        </w:rPr>
        <w:t xml:space="preserve"> </w:t>
      </w:r>
      <w:r w:rsidRPr="005A464E">
        <w:rPr>
          <w:rFonts w:cstheme="minorHAnsi"/>
          <w:sz w:val="24"/>
          <w:szCs w:val="24"/>
          <w:lang w:eastAsia="el-GR"/>
        </w:rPr>
        <w:t>σχετικά με την εγκυρότητα και αξιοπιστία των ερωτηματολογίων, επαρκές δείγμα για τη διεξαγωγή αντίστοιχης μελέτης είναι 10 ασθενείς ανά ερώτηση.</w:t>
      </w:r>
    </w:p>
    <w:p w:rsidR="00B93B5A" w:rsidRPr="005A464E" w:rsidRDefault="00B93B5A" w:rsidP="00D0641B">
      <w:pPr>
        <w:numPr>
          <w:ilvl w:val="0"/>
          <w:numId w:val="118"/>
        </w:numPr>
        <w:spacing w:line="360" w:lineRule="auto"/>
        <w:ind w:right="-334"/>
        <w:jc w:val="both"/>
        <w:rPr>
          <w:rFonts w:cs="Arial"/>
          <w:b/>
          <w:sz w:val="24"/>
          <w:szCs w:val="24"/>
          <w:lang w:eastAsia="el-GR"/>
        </w:rPr>
      </w:pPr>
      <w:r w:rsidRPr="005A464E">
        <w:rPr>
          <w:rFonts w:cs="Arial"/>
          <w:b/>
          <w:sz w:val="24"/>
          <w:szCs w:val="24"/>
          <w:lang w:eastAsia="el-GR"/>
        </w:rPr>
        <w:t>Κλίμακα μέτρησης</w:t>
      </w:r>
      <w:r>
        <w:rPr>
          <w:rFonts w:cs="Arial"/>
          <w:b/>
          <w:sz w:val="24"/>
          <w:szCs w:val="24"/>
          <w:lang w:eastAsia="el-GR"/>
        </w:rPr>
        <w:t xml:space="preserve"> </w:t>
      </w:r>
      <w:r w:rsidRPr="005A464E">
        <w:rPr>
          <w:rFonts w:cs="Arial"/>
          <w:b/>
          <w:sz w:val="24"/>
          <w:szCs w:val="24"/>
          <w:lang w:eastAsia="el-GR"/>
        </w:rPr>
        <w:t>ψυχομετρικών ιδιοτήτων</w:t>
      </w:r>
      <w:r>
        <w:rPr>
          <w:rFonts w:cs="Arial"/>
          <w:b/>
          <w:sz w:val="24"/>
          <w:szCs w:val="24"/>
          <w:lang w:eastAsia="el-GR"/>
        </w:rPr>
        <w:t xml:space="preserve"> </w:t>
      </w:r>
      <w:r w:rsidRPr="005A464E">
        <w:rPr>
          <w:rFonts w:cs="Arial"/>
          <w:b/>
          <w:sz w:val="24"/>
          <w:szCs w:val="24"/>
          <w:lang w:eastAsia="el-GR"/>
        </w:rPr>
        <w:t xml:space="preserve">της ελληνικής εκδοχής του ερωτηματολογίου </w:t>
      </w:r>
      <w:r w:rsidRPr="005A464E">
        <w:rPr>
          <w:rFonts w:cs="Arial"/>
          <w:b/>
          <w:sz w:val="24"/>
          <w:szCs w:val="24"/>
          <w:lang w:val="en-US" w:eastAsia="el-GR"/>
        </w:rPr>
        <w:t>Missoula</w:t>
      </w:r>
      <w:r w:rsidRPr="005A464E">
        <w:rPr>
          <w:rFonts w:cs="Arial"/>
          <w:b/>
          <w:sz w:val="24"/>
          <w:szCs w:val="24"/>
          <w:lang w:eastAsia="el-GR"/>
        </w:rPr>
        <w:t xml:space="preserve"> - </w:t>
      </w:r>
      <w:r w:rsidRPr="005A464E">
        <w:rPr>
          <w:rFonts w:cs="Arial"/>
          <w:b/>
          <w:sz w:val="24"/>
          <w:szCs w:val="24"/>
          <w:lang w:val="en-US" w:eastAsia="el-GR"/>
        </w:rPr>
        <w:t>VITAS</w:t>
      </w:r>
      <w:r w:rsidRPr="005A464E">
        <w:rPr>
          <w:rFonts w:cs="Arial"/>
          <w:b/>
          <w:sz w:val="24"/>
          <w:szCs w:val="24"/>
          <w:lang w:eastAsia="el-GR"/>
        </w:rPr>
        <w:t xml:space="preserve"> </w:t>
      </w:r>
      <w:r w:rsidRPr="005A464E">
        <w:rPr>
          <w:rFonts w:cs="Arial"/>
          <w:b/>
          <w:sz w:val="24"/>
          <w:szCs w:val="24"/>
          <w:lang w:val="en-US" w:eastAsia="el-GR"/>
        </w:rPr>
        <w:t>Quality</w:t>
      </w:r>
      <w:r w:rsidRPr="005A464E">
        <w:rPr>
          <w:rFonts w:cs="Arial"/>
          <w:b/>
          <w:sz w:val="24"/>
          <w:szCs w:val="24"/>
          <w:lang w:eastAsia="el-GR"/>
        </w:rPr>
        <w:t xml:space="preserve"> </w:t>
      </w:r>
      <w:r w:rsidRPr="005A464E">
        <w:rPr>
          <w:rFonts w:cs="Arial"/>
          <w:b/>
          <w:sz w:val="24"/>
          <w:szCs w:val="24"/>
          <w:lang w:val="en-US" w:eastAsia="el-GR"/>
        </w:rPr>
        <w:t>of</w:t>
      </w:r>
      <w:r w:rsidRPr="005A464E">
        <w:rPr>
          <w:rFonts w:cs="Arial"/>
          <w:b/>
          <w:sz w:val="24"/>
          <w:szCs w:val="24"/>
          <w:lang w:eastAsia="el-GR"/>
        </w:rPr>
        <w:t xml:space="preserve"> </w:t>
      </w:r>
      <w:r w:rsidRPr="005A464E">
        <w:rPr>
          <w:rFonts w:cs="Arial"/>
          <w:b/>
          <w:sz w:val="24"/>
          <w:szCs w:val="24"/>
          <w:lang w:val="en-US" w:eastAsia="el-GR"/>
        </w:rPr>
        <w:t>Life</w:t>
      </w:r>
      <w:r w:rsidRPr="005A464E">
        <w:rPr>
          <w:rFonts w:cs="Arial"/>
          <w:b/>
          <w:sz w:val="24"/>
          <w:szCs w:val="24"/>
          <w:lang w:eastAsia="el-GR"/>
        </w:rPr>
        <w:t xml:space="preserve"> </w:t>
      </w:r>
      <w:r w:rsidRPr="005A464E">
        <w:rPr>
          <w:rFonts w:cs="Arial"/>
          <w:b/>
          <w:sz w:val="24"/>
          <w:szCs w:val="24"/>
          <w:lang w:val="en-US" w:eastAsia="el-GR"/>
        </w:rPr>
        <w:t>Index</w:t>
      </w:r>
      <w:r w:rsidRPr="005A464E">
        <w:rPr>
          <w:rFonts w:cs="Arial"/>
          <w:b/>
          <w:sz w:val="24"/>
          <w:szCs w:val="24"/>
          <w:lang w:eastAsia="el-GR"/>
        </w:rPr>
        <w:t>- 15 (</w:t>
      </w:r>
      <w:r w:rsidRPr="005A464E">
        <w:rPr>
          <w:rFonts w:cs="Arial"/>
          <w:b/>
          <w:sz w:val="24"/>
          <w:szCs w:val="24"/>
          <w:lang w:val="en-US" w:eastAsia="el-GR"/>
        </w:rPr>
        <w:t>MVQOLI</w:t>
      </w:r>
      <w:r w:rsidRPr="005A464E">
        <w:rPr>
          <w:rFonts w:cs="Arial"/>
          <w:b/>
          <w:sz w:val="24"/>
          <w:szCs w:val="24"/>
          <w:lang w:eastAsia="el-GR"/>
        </w:rPr>
        <w:t>-15)</w:t>
      </w:r>
    </w:p>
    <w:p w:rsidR="00B93B5A" w:rsidRPr="005A464E" w:rsidRDefault="00B93B5A" w:rsidP="00B93B5A">
      <w:pPr>
        <w:spacing w:after="0" w:line="360" w:lineRule="auto"/>
        <w:ind w:right="-334"/>
        <w:jc w:val="both"/>
        <w:rPr>
          <w:rFonts w:cs="Arial"/>
          <w:sz w:val="24"/>
          <w:szCs w:val="24"/>
          <w:lang w:eastAsia="el-GR"/>
        </w:rPr>
      </w:pPr>
      <w:r w:rsidRPr="005A464E">
        <w:rPr>
          <w:rFonts w:cs="Arial"/>
          <w:sz w:val="24"/>
          <w:szCs w:val="24"/>
          <w:lang w:eastAsia="el-GR"/>
        </w:rPr>
        <w:t xml:space="preserve">Η Κλίμακα </w:t>
      </w:r>
      <w:r>
        <w:rPr>
          <w:rFonts w:cs="Arial"/>
          <w:sz w:val="24"/>
          <w:szCs w:val="24"/>
          <w:lang w:eastAsia="el-GR"/>
        </w:rPr>
        <w:t>Μ</w:t>
      </w:r>
      <w:r w:rsidRPr="005A464E">
        <w:rPr>
          <w:rFonts w:cs="Arial"/>
          <w:sz w:val="24"/>
          <w:szCs w:val="24"/>
          <w:lang w:eastAsia="el-GR"/>
        </w:rPr>
        <w:t>έτρησης</w:t>
      </w:r>
      <w:r>
        <w:rPr>
          <w:rFonts w:cs="Arial"/>
          <w:sz w:val="24"/>
          <w:szCs w:val="24"/>
          <w:lang w:eastAsia="el-GR"/>
        </w:rPr>
        <w:t xml:space="preserve"> Ψ</w:t>
      </w:r>
      <w:r w:rsidRPr="005A464E">
        <w:rPr>
          <w:rFonts w:cs="Arial"/>
          <w:sz w:val="24"/>
          <w:szCs w:val="24"/>
          <w:lang w:eastAsia="el-GR"/>
        </w:rPr>
        <w:t xml:space="preserve">υχομετρικών </w:t>
      </w:r>
      <w:r>
        <w:rPr>
          <w:rFonts w:cs="Arial"/>
          <w:sz w:val="24"/>
          <w:szCs w:val="24"/>
          <w:lang w:eastAsia="el-GR"/>
        </w:rPr>
        <w:t>Ι</w:t>
      </w:r>
      <w:r w:rsidRPr="005A464E">
        <w:rPr>
          <w:rFonts w:cs="Arial"/>
          <w:sz w:val="24"/>
          <w:szCs w:val="24"/>
          <w:lang w:eastAsia="el-GR"/>
        </w:rPr>
        <w:t>διοτήτων</w:t>
      </w:r>
      <w:r>
        <w:rPr>
          <w:rFonts w:cs="Arial"/>
          <w:sz w:val="24"/>
          <w:szCs w:val="24"/>
          <w:lang w:eastAsia="el-GR"/>
        </w:rPr>
        <w:t xml:space="preserve"> </w:t>
      </w:r>
      <w:r w:rsidRPr="005A464E">
        <w:rPr>
          <w:rFonts w:cs="Arial"/>
          <w:sz w:val="24"/>
          <w:szCs w:val="24"/>
          <w:lang w:eastAsia="el-GR"/>
        </w:rPr>
        <w:t>της ελληνικής εκδοχής του ερωτηματολογίου Missoula</w:t>
      </w:r>
      <w:r w:rsidR="00D0641B">
        <w:rPr>
          <w:rFonts w:cs="Arial"/>
          <w:sz w:val="24"/>
          <w:szCs w:val="24"/>
          <w:lang w:eastAsia="el-GR"/>
        </w:rPr>
        <w:t xml:space="preserve"> </w:t>
      </w:r>
      <w:r w:rsidRPr="005A464E">
        <w:rPr>
          <w:rFonts w:cs="Arial"/>
          <w:sz w:val="24"/>
          <w:szCs w:val="24"/>
          <w:lang w:eastAsia="el-GR"/>
        </w:rPr>
        <w:t>-</w:t>
      </w:r>
      <w:r w:rsidR="00D0641B">
        <w:rPr>
          <w:rFonts w:cs="Arial"/>
          <w:sz w:val="24"/>
          <w:szCs w:val="24"/>
          <w:lang w:eastAsia="el-GR"/>
        </w:rPr>
        <w:t xml:space="preserve"> </w:t>
      </w:r>
      <w:r w:rsidRPr="005A464E">
        <w:rPr>
          <w:rFonts w:cs="Arial"/>
          <w:sz w:val="24"/>
          <w:szCs w:val="24"/>
          <w:lang w:eastAsia="el-GR"/>
        </w:rPr>
        <w:t>VITAS Quality of Life Index-15</w:t>
      </w:r>
      <w:r>
        <w:rPr>
          <w:rFonts w:cs="Arial"/>
          <w:sz w:val="24"/>
          <w:szCs w:val="24"/>
          <w:lang w:eastAsia="el-GR"/>
        </w:rPr>
        <w:t>, MVQο</w:t>
      </w:r>
      <w:r w:rsidRPr="005A464E">
        <w:rPr>
          <w:rFonts w:cs="Arial"/>
          <w:sz w:val="24"/>
          <w:szCs w:val="24"/>
          <w:lang w:eastAsia="el-GR"/>
        </w:rPr>
        <w:t>LI</w:t>
      </w:r>
      <w:r>
        <w:rPr>
          <w:rFonts w:cs="Arial"/>
          <w:sz w:val="24"/>
          <w:szCs w:val="24"/>
          <w:lang w:eastAsia="el-GR"/>
        </w:rPr>
        <w:t>-15 (</w:t>
      </w:r>
      <w:r w:rsidRPr="00D75F89">
        <w:rPr>
          <w:rFonts w:cs="Arial"/>
          <w:sz w:val="24"/>
          <w:szCs w:val="24"/>
          <w:lang w:val="en-US" w:eastAsia="el-GR"/>
        </w:rPr>
        <w:t>Theofilou</w:t>
      </w:r>
      <w:r w:rsidRPr="00D75F89">
        <w:rPr>
          <w:rFonts w:cs="Arial"/>
          <w:sz w:val="24"/>
          <w:szCs w:val="24"/>
          <w:lang w:eastAsia="el-GR"/>
        </w:rPr>
        <w:t xml:space="preserve">, </w:t>
      </w:r>
      <w:r w:rsidRPr="00D75F89">
        <w:rPr>
          <w:rFonts w:asciiTheme="minorHAnsi" w:hAnsiTheme="minorHAnsi" w:cstheme="minorHAnsi"/>
          <w:sz w:val="24"/>
          <w:szCs w:val="24"/>
          <w:shd w:val="clear" w:color="auto" w:fill="FFFFFF"/>
          <w:lang w:val="en-US"/>
        </w:rPr>
        <w:t>Aroni</w:t>
      </w:r>
      <w:r w:rsidRPr="00D75F89">
        <w:rPr>
          <w:rFonts w:asciiTheme="minorHAnsi" w:hAnsiTheme="minorHAnsi" w:cstheme="minorHAnsi"/>
          <w:sz w:val="24"/>
          <w:szCs w:val="24"/>
          <w:shd w:val="clear" w:color="auto" w:fill="FFFFFF"/>
        </w:rPr>
        <w:t xml:space="preserve">, </w:t>
      </w:r>
      <w:r w:rsidRPr="00D75F89">
        <w:rPr>
          <w:rFonts w:asciiTheme="minorHAnsi" w:hAnsiTheme="minorHAnsi" w:cstheme="minorHAnsi"/>
          <w:sz w:val="24"/>
          <w:szCs w:val="24"/>
          <w:shd w:val="clear" w:color="auto" w:fill="FFFFFF"/>
          <w:lang w:val="en-US"/>
        </w:rPr>
        <w:t>Ralli</w:t>
      </w:r>
      <w:r w:rsidRPr="00D75F89">
        <w:rPr>
          <w:rFonts w:asciiTheme="minorHAnsi" w:hAnsiTheme="minorHAnsi" w:cstheme="minorHAnsi"/>
          <w:sz w:val="24"/>
          <w:szCs w:val="24"/>
          <w:shd w:val="clear" w:color="auto" w:fill="FFFFFF"/>
        </w:rPr>
        <w:t xml:space="preserve">, </w:t>
      </w:r>
      <w:r w:rsidRPr="00D75F89">
        <w:rPr>
          <w:rFonts w:asciiTheme="minorHAnsi" w:hAnsiTheme="minorHAnsi" w:cstheme="minorHAnsi"/>
          <w:sz w:val="24"/>
          <w:szCs w:val="24"/>
          <w:shd w:val="clear" w:color="auto" w:fill="FFFFFF"/>
          <w:lang w:val="en-US"/>
        </w:rPr>
        <w:t>Gouzou</w:t>
      </w:r>
      <w:r w:rsidRPr="00D75F89">
        <w:rPr>
          <w:rFonts w:asciiTheme="minorHAnsi" w:hAnsiTheme="minorHAnsi" w:cstheme="minorHAnsi"/>
          <w:sz w:val="24"/>
          <w:szCs w:val="24"/>
          <w:shd w:val="clear" w:color="auto" w:fill="FFFFFF"/>
        </w:rPr>
        <w:t xml:space="preserve">, &amp; </w:t>
      </w:r>
      <w:r w:rsidRPr="00D75F89">
        <w:rPr>
          <w:rFonts w:asciiTheme="minorHAnsi" w:hAnsiTheme="minorHAnsi" w:cstheme="minorHAnsi"/>
          <w:sz w:val="24"/>
          <w:szCs w:val="24"/>
          <w:shd w:val="clear" w:color="auto" w:fill="FFFFFF"/>
          <w:lang w:val="en-US"/>
        </w:rPr>
        <w:t>Zyga</w:t>
      </w:r>
      <w:r w:rsidRPr="00D75F89">
        <w:rPr>
          <w:rFonts w:asciiTheme="minorHAnsi" w:hAnsiTheme="minorHAnsi" w:cstheme="minorHAnsi"/>
          <w:sz w:val="24"/>
          <w:szCs w:val="24"/>
          <w:shd w:val="clear" w:color="auto" w:fill="FFFFFF"/>
        </w:rPr>
        <w:t xml:space="preserve">, </w:t>
      </w:r>
      <w:r w:rsidRPr="00D75F89">
        <w:rPr>
          <w:rFonts w:cs="Arial"/>
          <w:sz w:val="24"/>
          <w:szCs w:val="24"/>
          <w:lang w:eastAsia="el-GR"/>
        </w:rPr>
        <w:t>2013) είναι ένα εργαλείο συλλογής και μέτρησης πληροφοριών</w:t>
      </w:r>
      <w:r>
        <w:rPr>
          <w:rFonts w:cs="Arial"/>
          <w:sz w:val="24"/>
          <w:szCs w:val="24"/>
          <w:lang w:eastAsia="el-GR"/>
        </w:rPr>
        <w:t xml:space="preserve"> </w:t>
      </w:r>
      <w:r w:rsidR="009B43FE">
        <w:rPr>
          <w:rFonts w:cs="Arial"/>
          <w:sz w:val="24"/>
          <w:szCs w:val="24"/>
          <w:lang w:eastAsia="el-GR"/>
        </w:rPr>
        <w:t>από ασθενείς</w:t>
      </w:r>
      <w:r w:rsidRPr="00D75F89">
        <w:rPr>
          <w:rFonts w:cs="Arial"/>
          <w:sz w:val="24"/>
          <w:szCs w:val="24"/>
          <w:lang w:eastAsia="el-GR"/>
        </w:rPr>
        <w:t xml:space="preserve"> σχετικά με την ποιότη</w:t>
      </w:r>
      <w:r w:rsidR="00D0641B">
        <w:rPr>
          <w:rFonts w:cs="Arial"/>
          <w:sz w:val="24"/>
          <w:szCs w:val="24"/>
          <w:lang w:eastAsia="el-GR"/>
        </w:rPr>
        <w:t>τα ζωής κατά το τελικό στάδιο μι</w:t>
      </w:r>
      <w:r w:rsidRPr="00D75F89">
        <w:rPr>
          <w:rFonts w:cs="Arial"/>
          <w:sz w:val="24"/>
          <w:szCs w:val="24"/>
          <w:lang w:eastAsia="el-GR"/>
        </w:rPr>
        <w:t>ας ασθένειας</w:t>
      </w:r>
      <w:r w:rsidRPr="005A464E">
        <w:rPr>
          <w:rFonts w:cs="Arial"/>
          <w:sz w:val="24"/>
          <w:szCs w:val="24"/>
          <w:lang w:eastAsia="el-GR"/>
        </w:rPr>
        <w:t>.</w:t>
      </w:r>
    </w:p>
    <w:p w:rsidR="00B93B5A" w:rsidRPr="005A464E" w:rsidRDefault="00B93B5A" w:rsidP="00B93B5A">
      <w:pPr>
        <w:spacing w:after="0" w:line="360" w:lineRule="auto"/>
        <w:ind w:right="-334"/>
        <w:jc w:val="both"/>
        <w:rPr>
          <w:rFonts w:cs="Arial"/>
          <w:sz w:val="24"/>
          <w:szCs w:val="24"/>
          <w:lang w:eastAsia="el-GR"/>
        </w:rPr>
      </w:pPr>
      <w:r w:rsidRPr="005A464E">
        <w:rPr>
          <w:rFonts w:cs="Arial"/>
          <w:sz w:val="24"/>
          <w:szCs w:val="24"/>
          <w:lang w:eastAsia="el-GR"/>
        </w:rPr>
        <w:t xml:space="preserve">Το ερωτηματολόγιο αποτελείται από 5 διαστάσεις (συμπτώματα, λειτουργικότητα, διαπροσωπικές σχέσεις, ευεξία, πνευματικότητα). Σε κάθε διάσταση (τομέα) συλλέγονται από τους ασθενείς </w:t>
      </w:r>
      <w:r w:rsidR="005F478F">
        <w:rPr>
          <w:rFonts w:cs="Arial"/>
          <w:sz w:val="24"/>
          <w:szCs w:val="24"/>
          <w:lang w:eastAsia="el-GR"/>
        </w:rPr>
        <w:t>3</w:t>
      </w:r>
      <w:r w:rsidRPr="005A464E">
        <w:rPr>
          <w:rFonts w:cs="Arial"/>
          <w:sz w:val="24"/>
          <w:szCs w:val="24"/>
          <w:lang w:eastAsia="el-GR"/>
        </w:rPr>
        <w:t xml:space="preserve"> είδη πληροφοριών με σκοπό να σκιαγραφηθεί</w:t>
      </w:r>
      <w:r>
        <w:rPr>
          <w:rFonts w:cs="Arial"/>
          <w:sz w:val="24"/>
          <w:szCs w:val="24"/>
          <w:lang w:eastAsia="el-GR"/>
        </w:rPr>
        <w:t xml:space="preserve"> </w:t>
      </w:r>
      <w:r w:rsidRPr="005A464E">
        <w:rPr>
          <w:rFonts w:cs="Arial"/>
          <w:sz w:val="24"/>
          <w:szCs w:val="24"/>
          <w:lang w:eastAsia="el-GR"/>
        </w:rPr>
        <w:t>η συνολική εμπειρία τους:</w:t>
      </w:r>
    </w:p>
    <w:p w:rsidR="00B93B5A" w:rsidRPr="005A464E" w:rsidRDefault="00B93B5A" w:rsidP="00B93B5A">
      <w:pPr>
        <w:pStyle w:val="a5"/>
        <w:numPr>
          <w:ilvl w:val="0"/>
          <w:numId w:val="39"/>
        </w:numPr>
        <w:spacing w:after="0" w:line="360" w:lineRule="auto"/>
        <w:ind w:right="-334"/>
        <w:jc w:val="both"/>
        <w:rPr>
          <w:rFonts w:cs="Arial"/>
          <w:sz w:val="24"/>
          <w:szCs w:val="24"/>
          <w:lang w:eastAsia="el-GR"/>
        </w:rPr>
      </w:pPr>
      <w:r w:rsidRPr="005A464E">
        <w:rPr>
          <w:rFonts w:cs="Arial"/>
          <w:sz w:val="24"/>
          <w:szCs w:val="24"/>
          <w:lang w:eastAsia="el-GR"/>
        </w:rPr>
        <w:t xml:space="preserve">Αξιολόγηση - υποκειμενική μέτρηση της πραγματικής κατάστασης ή περίστασης (Τι είναι αυτό;). </w:t>
      </w:r>
    </w:p>
    <w:p w:rsidR="00B93B5A" w:rsidRPr="005A464E" w:rsidRDefault="00B93B5A" w:rsidP="00B93B5A">
      <w:pPr>
        <w:pStyle w:val="a5"/>
        <w:numPr>
          <w:ilvl w:val="0"/>
          <w:numId w:val="39"/>
        </w:numPr>
        <w:spacing w:after="0" w:line="360" w:lineRule="auto"/>
        <w:ind w:right="-334"/>
        <w:jc w:val="both"/>
        <w:rPr>
          <w:rFonts w:cs="Arial"/>
          <w:sz w:val="24"/>
          <w:szCs w:val="24"/>
          <w:lang w:eastAsia="el-GR"/>
        </w:rPr>
      </w:pPr>
      <w:r w:rsidRPr="005A464E">
        <w:rPr>
          <w:rFonts w:cs="Arial"/>
          <w:sz w:val="24"/>
          <w:szCs w:val="24"/>
          <w:lang w:eastAsia="el-GR"/>
        </w:rPr>
        <w:t xml:space="preserve">Ικανοποίηση - βαθμός αποδοχής ή γνώσης της πραγματικής κατάστασης (Πόσο σας ενοχλεί;). </w:t>
      </w:r>
    </w:p>
    <w:p w:rsidR="00B93B5A" w:rsidRPr="005A464E" w:rsidRDefault="00283ED3" w:rsidP="00B93B5A">
      <w:pPr>
        <w:pStyle w:val="a5"/>
        <w:numPr>
          <w:ilvl w:val="0"/>
          <w:numId w:val="39"/>
        </w:numPr>
        <w:spacing w:after="0" w:line="360" w:lineRule="auto"/>
        <w:ind w:right="-334"/>
        <w:jc w:val="both"/>
        <w:rPr>
          <w:rFonts w:cs="Arial"/>
          <w:sz w:val="24"/>
          <w:szCs w:val="24"/>
          <w:lang w:eastAsia="el-GR"/>
        </w:rPr>
      </w:pPr>
      <w:r>
        <w:rPr>
          <w:rFonts w:cs="Arial"/>
          <w:sz w:val="24"/>
          <w:szCs w:val="24"/>
          <w:lang w:eastAsia="el-GR"/>
        </w:rPr>
        <w:t>Σπουδαιότητα - ο βαθμός</w:t>
      </w:r>
      <w:r w:rsidR="00B93B5A" w:rsidRPr="005A464E">
        <w:rPr>
          <w:rFonts w:cs="Arial"/>
          <w:sz w:val="24"/>
          <w:szCs w:val="24"/>
          <w:lang w:eastAsia="el-GR"/>
        </w:rPr>
        <w:t xml:space="preserve"> στον οποίο </w:t>
      </w:r>
      <w:r w:rsidR="00817853">
        <w:rPr>
          <w:rFonts w:cs="Arial"/>
          <w:sz w:val="24"/>
          <w:szCs w:val="24"/>
          <w:lang w:eastAsia="el-GR"/>
        </w:rPr>
        <w:t>μια</w:t>
      </w:r>
      <w:r w:rsidR="00B93B5A" w:rsidRPr="005A464E">
        <w:rPr>
          <w:rFonts w:cs="Arial"/>
          <w:sz w:val="24"/>
          <w:szCs w:val="24"/>
          <w:lang w:eastAsia="el-GR"/>
        </w:rPr>
        <w:t xml:space="preserve"> δεδομένη διάσταση έχει αντίκτυπο στη συνολική ποιότητα </w:t>
      </w:r>
      <w:r w:rsidR="00B93B5A" w:rsidRPr="00236EBF">
        <w:rPr>
          <w:rFonts w:cs="Arial"/>
          <w:sz w:val="24"/>
          <w:szCs w:val="24"/>
          <w:lang w:eastAsia="el-GR"/>
        </w:rPr>
        <w:t>ζωής (Πόση σημασία έχει</w:t>
      </w:r>
      <w:r w:rsidR="00B93B5A" w:rsidRPr="005A464E">
        <w:rPr>
          <w:rFonts w:cs="Arial"/>
          <w:sz w:val="24"/>
          <w:szCs w:val="24"/>
          <w:lang w:eastAsia="el-GR"/>
        </w:rPr>
        <w:t xml:space="preserve">;). </w:t>
      </w:r>
    </w:p>
    <w:p w:rsidR="00B93B5A" w:rsidRPr="005A464E" w:rsidRDefault="00B93B5A" w:rsidP="00B93B5A">
      <w:pPr>
        <w:spacing w:after="0" w:line="360" w:lineRule="auto"/>
        <w:ind w:right="-334"/>
        <w:jc w:val="both"/>
        <w:rPr>
          <w:rFonts w:cs="Arial"/>
          <w:sz w:val="24"/>
          <w:szCs w:val="24"/>
          <w:lang w:eastAsia="el-GR"/>
        </w:rPr>
      </w:pPr>
      <w:r w:rsidRPr="005A464E">
        <w:rPr>
          <w:rFonts w:cs="Arial"/>
          <w:sz w:val="24"/>
          <w:szCs w:val="24"/>
          <w:lang w:eastAsia="el-GR"/>
        </w:rPr>
        <w:t>Οι ερωτήσεις είναι γενικές και οι απαντήσεις</w:t>
      </w:r>
      <w:r>
        <w:rPr>
          <w:rFonts w:cs="Arial"/>
          <w:sz w:val="24"/>
          <w:szCs w:val="24"/>
          <w:lang w:eastAsia="el-GR"/>
        </w:rPr>
        <w:t xml:space="preserve"> </w:t>
      </w:r>
      <w:r w:rsidRPr="005A464E">
        <w:rPr>
          <w:rFonts w:cs="Arial"/>
          <w:sz w:val="24"/>
          <w:szCs w:val="24"/>
          <w:lang w:eastAsia="el-GR"/>
        </w:rPr>
        <w:t xml:space="preserve">χρησιμοποιούν </w:t>
      </w:r>
      <w:r w:rsidR="00817853">
        <w:rPr>
          <w:rFonts w:cs="Arial"/>
          <w:sz w:val="24"/>
          <w:szCs w:val="24"/>
          <w:lang w:eastAsia="el-GR"/>
        </w:rPr>
        <w:t>μια</w:t>
      </w:r>
      <w:r w:rsidRPr="005A464E">
        <w:rPr>
          <w:rFonts w:cs="Arial"/>
          <w:sz w:val="24"/>
          <w:szCs w:val="24"/>
          <w:lang w:eastAsia="el-GR"/>
        </w:rPr>
        <w:t xml:space="preserve"> πενταβάθμη κλίμακα τύπου Likert, έτσι ώστε η χαμηλότερη βαθμολογία να δείχνει τη λιγότερο επιθυμητή κατάσταση και αντίστροφα. Αρχικά το ερωτηματολόγιο αποτελούνταν από 25 ερωτήσεις αλλά</w:t>
      </w:r>
      <w:r w:rsidRPr="00B77C09">
        <w:rPr>
          <w:rFonts w:cs="Arial"/>
          <w:sz w:val="24"/>
          <w:szCs w:val="24"/>
          <w:lang w:eastAsia="el-GR"/>
        </w:rPr>
        <w:t>,</w:t>
      </w:r>
      <w:r w:rsidRPr="005A464E">
        <w:rPr>
          <w:rFonts w:cs="Arial"/>
          <w:sz w:val="24"/>
          <w:szCs w:val="24"/>
          <w:lang w:eastAsia="el-GR"/>
        </w:rPr>
        <w:t xml:space="preserve"> επειδή ήταν πολύ μεγάλο για κάποιους ασθενείς</w:t>
      </w:r>
      <w:r w:rsidRPr="00B77C09">
        <w:rPr>
          <w:rFonts w:cs="Arial"/>
          <w:sz w:val="24"/>
          <w:szCs w:val="24"/>
          <w:lang w:eastAsia="el-GR"/>
        </w:rPr>
        <w:t>,</w:t>
      </w:r>
      <w:r>
        <w:rPr>
          <w:rFonts w:cs="Arial"/>
          <w:sz w:val="24"/>
          <w:szCs w:val="24"/>
          <w:lang w:eastAsia="el-GR"/>
        </w:rPr>
        <w:t xml:space="preserve"> </w:t>
      </w:r>
      <w:r w:rsidRPr="005A464E">
        <w:rPr>
          <w:rFonts w:cs="Arial"/>
          <w:sz w:val="24"/>
          <w:szCs w:val="24"/>
          <w:lang w:eastAsia="el-GR"/>
        </w:rPr>
        <w:t>κατασκευάστηκε μια έκδοση των 15 ερωτήσεων</w:t>
      </w:r>
      <w:r>
        <w:rPr>
          <w:rFonts w:cs="Arial"/>
          <w:sz w:val="24"/>
          <w:szCs w:val="24"/>
          <w:lang w:eastAsia="el-GR"/>
        </w:rPr>
        <w:t xml:space="preserve"> </w:t>
      </w:r>
      <w:r w:rsidRPr="005A464E">
        <w:rPr>
          <w:rFonts w:cs="Arial"/>
          <w:sz w:val="24"/>
          <w:szCs w:val="24"/>
          <w:lang w:eastAsia="el-GR"/>
        </w:rPr>
        <w:t>με συντελεστή συσχέτισης 0,93.</w:t>
      </w:r>
    </w:p>
    <w:p w:rsidR="00B93B5A" w:rsidRPr="005A464E" w:rsidRDefault="00B93B5A" w:rsidP="00B93B5A">
      <w:pPr>
        <w:spacing w:after="0" w:line="360" w:lineRule="auto"/>
        <w:ind w:right="-334"/>
        <w:jc w:val="both"/>
        <w:rPr>
          <w:rFonts w:cs="Arial"/>
          <w:sz w:val="24"/>
          <w:szCs w:val="24"/>
          <w:lang w:eastAsia="el-GR"/>
        </w:rPr>
      </w:pPr>
      <w:r w:rsidRPr="005A464E">
        <w:rPr>
          <w:rFonts w:cs="Arial"/>
          <w:sz w:val="24"/>
          <w:szCs w:val="24"/>
          <w:lang w:eastAsia="el-GR"/>
        </w:rPr>
        <w:t xml:space="preserve"> Η εσωτερική εγκυρότητα του ερωτηματολογίου ήτ</w:t>
      </w:r>
      <w:r>
        <w:rPr>
          <w:rFonts w:cs="Arial"/>
          <w:sz w:val="24"/>
          <w:szCs w:val="24"/>
          <w:lang w:eastAsia="el-GR"/>
        </w:rPr>
        <w:t xml:space="preserve">αν ικανοποιητική με Cronbach’s </w:t>
      </w:r>
      <w:r w:rsidR="00EF6A06">
        <w:rPr>
          <w:rFonts w:cs="Arial"/>
          <w:sz w:val="24"/>
          <w:szCs w:val="24"/>
          <w:lang w:eastAsia="el-GR"/>
        </w:rPr>
        <w:t>Α</w:t>
      </w:r>
      <w:r w:rsidRPr="005A464E">
        <w:rPr>
          <w:rFonts w:cs="Arial"/>
          <w:sz w:val="24"/>
          <w:szCs w:val="24"/>
          <w:lang w:eastAsia="el-GR"/>
        </w:rPr>
        <w:t xml:space="preserve">lpha </w:t>
      </w:r>
      <w:r w:rsidR="00EF6A06">
        <w:rPr>
          <w:rFonts w:cs="Arial"/>
          <w:sz w:val="24"/>
          <w:szCs w:val="24"/>
          <w:lang w:eastAsia="el-GR"/>
        </w:rPr>
        <w:t>0,</w:t>
      </w:r>
      <w:r w:rsidRPr="005A464E">
        <w:rPr>
          <w:rFonts w:cs="Arial"/>
          <w:sz w:val="24"/>
          <w:szCs w:val="24"/>
          <w:lang w:eastAsia="el-GR"/>
        </w:rPr>
        <w:t>74.</w:t>
      </w:r>
    </w:p>
    <w:p w:rsidR="00B93B5A" w:rsidRPr="005A464E" w:rsidRDefault="00B93B5A" w:rsidP="00B93B5A">
      <w:pPr>
        <w:autoSpaceDE w:val="0"/>
        <w:autoSpaceDN w:val="0"/>
        <w:adjustRightInd w:val="0"/>
        <w:spacing w:line="360" w:lineRule="auto"/>
        <w:jc w:val="both"/>
        <w:rPr>
          <w:rFonts w:eastAsia="Times New Roman" w:cstheme="minorHAnsi"/>
          <w:sz w:val="24"/>
          <w:szCs w:val="24"/>
          <w:lang w:eastAsia="el-GR"/>
        </w:rPr>
      </w:pPr>
      <w:r>
        <w:rPr>
          <w:rFonts w:eastAsia="Times New Roman" w:cstheme="minorHAnsi"/>
          <w:sz w:val="24"/>
          <w:szCs w:val="24"/>
          <w:lang w:eastAsia="el-GR"/>
        </w:rPr>
        <w:t xml:space="preserve">Τα στοιχεία του </w:t>
      </w:r>
      <w:r w:rsidRPr="00283ED3">
        <w:rPr>
          <w:rFonts w:eastAsia="Times New Roman" w:cstheme="minorHAnsi"/>
          <w:sz w:val="24"/>
          <w:szCs w:val="24"/>
          <w:lang w:eastAsia="el-GR"/>
        </w:rPr>
        <w:t>MVQοLI-15 βαθμολογούνται</w:t>
      </w:r>
      <w:r w:rsidRPr="005A464E">
        <w:rPr>
          <w:rFonts w:eastAsia="Times New Roman" w:cstheme="minorHAnsi"/>
          <w:sz w:val="24"/>
          <w:szCs w:val="24"/>
          <w:lang w:eastAsia="el-GR"/>
        </w:rPr>
        <w:t xml:space="preserve"> ως εξής:</w:t>
      </w:r>
    </w:p>
    <w:tbl>
      <w:tblPr>
        <w:tblStyle w:val="-41"/>
        <w:tblW w:w="0" w:type="auto"/>
        <w:jc w:val="center"/>
        <w:tblLook w:val="0400"/>
      </w:tblPr>
      <w:tblGrid>
        <w:gridCol w:w="3073"/>
        <w:gridCol w:w="3047"/>
      </w:tblGrid>
      <w:tr w:rsidR="00B93B5A" w:rsidRPr="00872FD2" w:rsidTr="00CB0910">
        <w:trPr>
          <w:cnfStyle w:val="000000100000"/>
          <w:jc w:val="center"/>
        </w:trPr>
        <w:tc>
          <w:tcPr>
            <w:tcW w:w="3073" w:type="dxa"/>
          </w:tcPr>
          <w:p w:rsidR="00B93B5A" w:rsidRPr="00CB5628" w:rsidRDefault="00B93B5A" w:rsidP="005D7B76">
            <w:pPr>
              <w:spacing w:after="0" w:line="360" w:lineRule="auto"/>
              <w:jc w:val="center"/>
              <w:rPr>
                <w:rFonts w:asciiTheme="minorHAnsi" w:eastAsia="Times New Roman" w:hAnsiTheme="minorHAnsi" w:cstheme="minorHAnsi"/>
                <w:b/>
                <w:bCs/>
                <w:sz w:val="24"/>
                <w:szCs w:val="24"/>
                <w:lang w:eastAsia="el-GR"/>
              </w:rPr>
            </w:pPr>
            <w:r w:rsidRPr="00CB5628">
              <w:rPr>
                <w:rFonts w:asciiTheme="minorHAnsi" w:eastAsia="Times New Roman" w:hAnsiTheme="minorHAnsi" w:cstheme="minorHAnsi"/>
                <w:sz w:val="24"/>
                <w:szCs w:val="24"/>
                <w:lang w:eastAsia="el-GR"/>
              </w:rPr>
              <w:t>Αξιολόγηση</w:t>
            </w:r>
          </w:p>
        </w:tc>
        <w:tc>
          <w:tcPr>
            <w:tcW w:w="3047" w:type="dxa"/>
          </w:tcPr>
          <w:p w:rsidR="00B93B5A" w:rsidRPr="00CB5628" w:rsidRDefault="00B93B5A" w:rsidP="005D7B76">
            <w:pPr>
              <w:autoSpaceDE w:val="0"/>
              <w:autoSpaceDN w:val="0"/>
              <w:adjustRightInd w:val="0"/>
              <w:spacing w:after="0" w:line="360" w:lineRule="auto"/>
              <w:jc w:val="center"/>
              <w:rPr>
                <w:rFonts w:asciiTheme="minorHAnsi" w:eastAsia="Times New Roman" w:hAnsiTheme="minorHAnsi" w:cstheme="minorHAnsi"/>
                <w:sz w:val="24"/>
                <w:szCs w:val="24"/>
                <w:lang w:val="en-GB" w:eastAsia="el-GR"/>
              </w:rPr>
            </w:pPr>
            <w:r w:rsidRPr="00CB5628">
              <w:rPr>
                <w:rFonts w:asciiTheme="minorHAnsi" w:eastAsia="Times New Roman" w:hAnsiTheme="minorHAnsi" w:cstheme="minorHAnsi"/>
                <w:sz w:val="24"/>
                <w:szCs w:val="24"/>
                <w:lang w:val="en-GB" w:eastAsia="el-GR"/>
              </w:rPr>
              <w:t xml:space="preserve">-2 </w:t>
            </w:r>
            <w:r w:rsidRPr="00CB5628">
              <w:rPr>
                <w:rFonts w:asciiTheme="minorHAnsi" w:eastAsia="Times New Roman" w:hAnsiTheme="minorHAnsi" w:cstheme="minorHAnsi"/>
                <w:sz w:val="24"/>
                <w:szCs w:val="24"/>
                <w:lang w:eastAsia="el-GR"/>
              </w:rPr>
              <w:t>έως</w:t>
            </w:r>
            <w:r w:rsidRPr="00CB5628">
              <w:rPr>
                <w:rFonts w:asciiTheme="minorHAnsi" w:eastAsia="Times New Roman" w:hAnsiTheme="minorHAnsi" w:cstheme="minorHAnsi"/>
                <w:sz w:val="24"/>
                <w:szCs w:val="24"/>
                <w:lang w:val="en-GB" w:eastAsia="el-GR"/>
              </w:rPr>
              <w:t xml:space="preserve"> +2</w:t>
            </w:r>
          </w:p>
        </w:tc>
      </w:tr>
      <w:tr w:rsidR="00B93B5A" w:rsidRPr="00872FD2" w:rsidTr="00CB0910">
        <w:trPr>
          <w:cnfStyle w:val="000000010000"/>
          <w:jc w:val="center"/>
        </w:trPr>
        <w:tc>
          <w:tcPr>
            <w:tcW w:w="3073" w:type="dxa"/>
          </w:tcPr>
          <w:p w:rsidR="00B93B5A" w:rsidRPr="00CB5628" w:rsidRDefault="00B93B5A" w:rsidP="005D7B76">
            <w:pPr>
              <w:spacing w:after="0" w:line="360" w:lineRule="auto"/>
              <w:jc w:val="center"/>
              <w:rPr>
                <w:rFonts w:asciiTheme="minorHAnsi" w:eastAsia="Times New Roman" w:hAnsiTheme="minorHAnsi" w:cstheme="minorHAnsi"/>
                <w:b/>
                <w:bCs/>
                <w:sz w:val="24"/>
                <w:szCs w:val="24"/>
                <w:lang w:eastAsia="el-GR"/>
              </w:rPr>
            </w:pPr>
            <w:r w:rsidRPr="00CB5628">
              <w:rPr>
                <w:rFonts w:asciiTheme="minorHAnsi" w:eastAsia="Times New Roman" w:hAnsiTheme="minorHAnsi" w:cstheme="minorHAnsi"/>
                <w:sz w:val="24"/>
                <w:szCs w:val="24"/>
                <w:lang w:eastAsia="el-GR"/>
              </w:rPr>
              <w:t>Ικανοποίηση</w:t>
            </w:r>
          </w:p>
        </w:tc>
        <w:tc>
          <w:tcPr>
            <w:tcW w:w="3047" w:type="dxa"/>
          </w:tcPr>
          <w:p w:rsidR="00B93B5A" w:rsidRPr="00CB5628" w:rsidRDefault="00B93B5A" w:rsidP="005D7B76">
            <w:pPr>
              <w:autoSpaceDE w:val="0"/>
              <w:autoSpaceDN w:val="0"/>
              <w:adjustRightInd w:val="0"/>
              <w:spacing w:after="0" w:line="360" w:lineRule="auto"/>
              <w:jc w:val="center"/>
              <w:rPr>
                <w:rFonts w:asciiTheme="minorHAnsi" w:eastAsia="Times New Roman" w:hAnsiTheme="minorHAnsi" w:cstheme="minorHAnsi"/>
                <w:sz w:val="24"/>
                <w:szCs w:val="24"/>
                <w:lang w:val="en-GB" w:eastAsia="el-GR"/>
              </w:rPr>
            </w:pPr>
            <w:r w:rsidRPr="00CB5628">
              <w:rPr>
                <w:rFonts w:asciiTheme="minorHAnsi" w:eastAsia="Times New Roman" w:hAnsiTheme="minorHAnsi" w:cstheme="minorHAnsi"/>
                <w:sz w:val="24"/>
                <w:szCs w:val="24"/>
                <w:lang w:val="en-GB" w:eastAsia="el-GR"/>
              </w:rPr>
              <w:t xml:space="preserve">-4 </w:t>
            </w:r>
            <w:r w:rsidRPr="00CB5628">
              <w:rPr>
                <w:rFonts w:asciiTheme="minorHAnsi" w:eastAsia="Times New Roman" w:hAnsiTheme="minorHAnsi" w:cstheme="minorHAnsi"/>
                <w:sz w:val="24"/>
                <w:szCs w:val="24"/>
                <w:lang w:eastAsia="el-GR"/>
              </w:rPr>
              <w:t>έως</w:t>
            </w:r>
            <w:r w:rsidRPr="00CB5628">
              <w:rPr>
                <w:rFonts w:asciiTheme="minorHAnsi" w:eastAsia="Times New Roman" w:hAnsiTheme="minorHAnsi" w:cstheme="minorHAnsi"/>
                <w:sz w:val="24"/>
                <w:szCs w:val="24"/>
                <w:lang w:val="en-GB" w:eastAsia="el-GR"/>
              </w:rPr>
              <w:t xml:space="preserve"> +4</w:t>
            </w:r>
          </w:p>
        </w:tc>
      </w:tr>
      <w:tr w:rsidR="00B93B5A" w:rsidRPr="00872FD2" w:rsidTr="00CB0910">
        <w:trPr>
          <w:cnfStyle w:val="000000100000"/>
          <w:jc w:val="center"/>
        </w:trPr>
        <w:tc>
          <w:tcPr>
            <w:tcW w:w="3073" w:type="dxa"/>
          </w:tcPr>
          <w:p w:rsidR="00B93B5A" w:rsidRPr="00CB5628" w:rsidRDefault="00B93B5A" w:rsidP="005D7B76">
            <w:pPr>
              <w:spacing w:after="0" w:line="360" w:lineRule="auto"/>
              <w:jc w:val="center"/>
              <w:rPr>
                <w:rFonts w:asciiTheme="minorHAnsi" w:eastAsia="Times New Roman" w:hAnsiTheme="minorHAnsi" w:cstheme="minorHAnsi"/>
                <w:b/>
                <w:bCs/>
                <w:sz w:val="24"/>
                <w:szCs w:val="24"/>
                <w:lang w:eastAsia="el-GR"/>
              </w:rPr>
            </w:pPr>
            <w:r w:rsidRPr="00CB5628">
              <w:rPr>
                <w:rFonts w:asciiTheme="minorHAnsi" w:eastAsia="Times New Roman" w:hAnsiTheme="minorHAnsi" w:cstheme="minorHAnsi"/>
                <w:sz w:val="24"/>
                <w:szCs w:val="24"/>
                <w:lang w:eastAsia="el-GR"/>
              </w:rPr>
              <w:t>Σημαντικότητα</w:t>
            </w:r>
          </w:p>
        </w:tc>
        <w:tc>
          <w:tcPr>
            <w:tcW w:w="3047" w:type="dxa"/>
          </w:tcPr>
          <w:p w:rsidR="00B93B5A" w:rsidRPr="00CB5628" w:rsidRDefault="00B93B5A" w:rsidP="005D7B76">
            <w:pPr>
              <w:autoSpaceDE w:val="0"/>
              <w:autoSpaceDN w:val="0"/>
              <w:adjustRightInd w:val="0"/>
              <w:spacing w:after="0" w:line="360" w:lineRule="auto"/>
              <w:jc w:val="center"/>
              <w:rPr>
                <w:rFonts w:asciiTheme="minorHAnsi" w:eastAsia="Times New Roman" w:hAnsiTheme="minorHAnsi" w:cstheme="minorHAnsi"/>
                <w:sz w:val="24"/>
                <w:szCs w:val="24"/>
                <w:lang w:val="en-GB" w:eastAsia="el-GR"/>
              </w:rPr>
            </w:pPr>
            <w:r w:rsidRPr="00CB5628">
              <w:rPr>
                <w:rFonts w:asciiTheme="minorHAnsi" w:eastAsia="Times New Roman" w:hAnsiTheme="minorHAnsi" w:cstheme="minorHAnsi"/>
                <w:sz w:val="24"/>
                <w:szCs w:val="24"/>
                <w:lang w:val="en-GB" w:eastAsia="el-GR"/>
              </w:rPr>
              <w:t xml:space="preserve">1 </w:t>
            </w:r>
            <w:r w:rsidRPr="00CB5628">
              <w:rPr>
                <w:rFonts w:asciiTheme="minorHAnsi" w:eastAsia="Times New Roman" w:hAnsiTheme="minorHAnsi" w:cstheme="minorHAnsi"/>
                <w:sz w:val="24"/>
                <w:szCs w:val="24"/>
                <w:lang w:eastAsia="el-GR"/>
              </w:rPr>
              <w:t>έως</w:t>
            </w:r>
            <w:r w:rsidRPr="00CB5628">
              <w:rPr>
                <w:rFonts w:asciiTheme="minorHAnsi" w:eastAsia="Times New Roman" w:hAnsiTheme="minorHAnsi" w:cstheme="minorHAnsi"/>
                <w:sz w:val="24"/>
                <w:szCs w:val="24"/>
                <w:lang w:val="en-GB" w:eastAsia="el-GR"/>
              </w:rPr>
              <w:t xml:space="preserve"> 5</w:t>
            </w:r>
          </w:p>
        </w:tc>
      </w:tr>
      <w:tr w:rsidR="00B93B5A" w:rsidRPr="00872FD2" w:rsidTr="00CB0910">
        <w:trPr>
          <w:cnfStyle w:val="000000010000"/>
          <w:jc w:val="center"/>
        </w:trPr>
        <w:tc>
          <w:tcPr>
            <w:tcW w:w="6120" w:type="dxa"/>
            <w:gridSpan w:val="2"/>
          </w:tcPr>
          <w:p w:rsidR="00B93B5A" w:rsidRPr="00CB5628" w:rsidRDefault="00B93B5A" w:rsidP="005D7B76">
            <w:pPr>
              <w:autoSpaceDE w:val="0"/>
              <w:autoSpaceDN w:val="0"/>
              <w:adjustRightInd w:val="0"/>
              <w:spacing w:after="0" w:line="360" w:lineRule="auto"/>
              <w:jc w:val="center"/>
              <w:rPr>
                <w:rFonts w:asciiTheme="minorHAnsi" w:eastAsia="Times New Roman" w:hAnsiTheme="minorHAnsi" w:cstheme="minorHAnsi"/>
                <w:sz w:val="24"/>
                <w:szCs w:val="24"/>
                <w:lang w:eastAsia="el-GR"/>
              </w:rPr>
            </w:pPr>
            <w:r w:rsidRPr="00CB5628">
              <w:rPr>
                <w:rFonts w:asciiTheme="minorHAnsi" w:eastAsia="Times New Roman" w:hAnsiTheme="minorHAnsi" w:cstheme="minorHAnsi"/>
                <w:sz w:val="24"/>
                <w:szCs w:val="24"/>
                <w:lang w:eastAsia="el-GR"/>
              </w:rPr>
              <w:t>(Αξιολόγηση + Ικανοποίηση) × Σημαντικότητα=</w:t>
            </w:r>
          </w:p>
          <w:p w:rsidR="00B93B5A" w:rsidRPr="00CB5628" w:rsidRDefault="00B93B5A" w:rsidP="005D7B76">
            <w:pPr>
              <w:autoSpaceDE w:val="0"/>
              <w:autoSpaceDN w:val="0"/>
              <w:adjustRightInd w:val="0"/>
              <w:spacing w:after="0" w:line="360" w:lineRule="auto"/>
              <w:jc w:val="center"/>
              <w:rPr>
                <w:rFonts w:asciiTheme="minorHAnsi" w:eastAsia="Times New Roman" w:hAnsiTheme="minorHAnsi" w:cstheme="minorHAnsi"/>
                <w:sz w:val="24"/>
                <w:szCs w:val="24"/>
                <w:lang w:eastAsia="el-GR"/>
              </w:rPr>
            </w:pPr>
            <w:r w:rsidRPr="00CB5628">
              <w:rPr>
                <w:rFonts w:asciiTheme="minorHAnsi" w:eastAsia="Times New Roman" w:hAnsiTheme="minorHAnsi" w:cstheme="minorHAnsi"/>
                <w:sz w:val="24"/>
                <w:szCs w:val="24"/>
                <w:lang w:eastAsia="el-GR"/>
              </w:rPr>
              <w:t>Ποιότητα ζωής σε κάθε διάσταση</w:t>
            </w:r>
          </w:p>
        </w:tc>
      </w:tr>
    </w:tbl>
    <w:p w:rsidR="00B93B5A" w:rsidRPr="00283ED3" w:rsidRDefault="00B93B5A" w:rsidP="00283ED3">
      <w:pPr>
        <w:spacing w:before="240" w:after="0" w:line="360" w:lineRule="auto"/>
        <w:jc w:val="both"/>
        <w:rPr>
          <w:rFonts w:eastAsia="Times New Roman" w:cstheme="minorHAnsi"/>
          <w:sz w:val="24"/>
          <w:szCs w:val="24"/>
          <w:lang w:eastAsia="el-GR"/>
        </w:rPr>
      </w:pPr>
      <w:r w:rsidRPr="005A464E">
        <w:rPr>
          <w:rFonts w:eastAsia="Times New Roman" w:cstheme="minorHAnsi"/>
          <w:sz w:val="24"/>
          <w:szCs w:val="24"/>
          <w:lang w:eastAsia="el-GR"/>
        </w:rPr>
        <w:t xml:space="preserve">Η τελική βαθμολογία σε κάθε </w:t>
      </w:r>
      <w:r w:rsidRPr="00236EBF">
        <w:rPr>
          <w:rFonts w:eastAsia="Times New Roman" w:cstheme="minorHAnsi"/>
          <w:sz w:val="24"/>
          <w:szCs w:val="24"/>
          <w:lang w:eastAsia="el-GR"/>
        </w:rPr>
        <w:t>διάσταση αντιστοιχεί στη συνολική επίδραση της εν λόγω διάστασης στην ποιότητα ζωής του ασθενούς</w:t>
      </w:r>
      <w:r w:rsidRPr="005A464E">
        <w:rPr>
          <w:rFonts w:eastAsia="Times New Roman" w:cstheme="minorHAnsi"/>
          <w:sz w:val="24"/>
          <w:szCs w:val="24"/>
          <w:lang w:eastAsia="el-GR"/>
        </w:rPr>
        <w:t>.</w:t>
      </w:r>
    </w:p>
    <w:p w:rsidR="00855C5F" w:rsidRDefault="00855C5F" w:rsidP="0066526D">
      <w:pPr>
        <w:pStyle w:val="41"/>
        <w:numPr>
          <w:ilvl w:val="2"/>
          <w:numId w:val="115"/>
        </w:numPr>
        <w:spacing w:after="240"/>
      </w:pPr>
      <w:r w:rsidRPr="005A464E">
        <w:t>Δεύτερη φάση</w:t>
      </w:r>
    </w:p>
    <w:p w:rsidR="00DE45CF" w:rsidRPr="00DE45CF" w:rsidRDefault="004C1BCE" w:rsidP="00DE45CF">
      <w:pPr>
        <w:rPr>
          <w:sz w:val="24"/>
          <w:szCs w:val="24"/>
        </w:rPr>
      </w:pPr>
      <w:r>
        <w:rPr>
          <w:sz w:val="24"/>
          <w:szCs w:val="24"/>
        </w:rPr>
        <w:t>Σ</w:t>
      </w:r>
      <w:r w:rsidR="00DE45CF" w:rsidRPr="00DE45CF">
        <w:rPr>
          <w:sz w:val="24"/>
          <w:szCs w:val="24"/>
        </w:rPr>
        <w:t>υγγραφή και έκδοση του ενημερωτικού εντύπου</w:t>
      </w:r>
      <w:r w:rsidR="00DE45CF" w:rsidRPr="00D42976">
        <w:rPr>
          <w:i/>
          <w:sz w:val="24"/>
          <w:szCs w:val="24"/>
        </w:rPr>
        <w:t>.</w:t>
      </w:r>
    </w:p>
    <w:p w:rsidR="00DE45CF" w:rsidRPr="00DE45CF" w:rsidRDefault="00DE45CF" w:rsidP="00283ED3">
      <w:pPr>
        <w:pStyle w:val="41"/>
        <w:numPr>
          <w:ilvl w:val="2"/>
          <w:numId w:val="115"/>
        </w:numPr>
        <w:spacing w:after="240"/>
      </w:pPr>
      <w:r>
        <w:t>Τρίτη φάση</w:t>
      </w:r>
    </w:p>
    <w:p w:rsidR="002D5F1E" w:rsidRPr="00236EBF" w:rsidRDefault="002D5F1E" w:rsidP="002D5F1E">
      <w:pPr>
        <w:spacing w:after="120" w:line="360" w:lineRule="auto"/>
        <w:jc w:val="both"/>
        <w:rPr>
          <w:rFonts w:eastAsia="Times New Roman"/>
          <w:bCs/>
          <w:sz w:val="24"/>
          <w:szCs w:val="24"/>
          <w:lang w:eastAsia="el-GR"/>
        </w:rPr>
      </w:pPr>
      <w:r w:rsidRPr="00236EBF">
        <w:rPr>
          <w:sz w:val="24"/>
          <w:szCs w:val="24"/>
          <w:lang w:eastAsia="el-GR"/>
        </w:rPr>
        <w:t xml:space="preserve">Οι συμμετέχοντες </w:t>
      </w:r>
      <w:r w:rsidR="00283ED3" w:rsidRPr="00236EBF">
        <w:rPr>
          <w:sz w:val="24"/>
          <w:szCs w:val="24"/>
          <w:lang w:eastAsia="el-GR"/>
        </w:rPr>
        <w:t>και στις δυο</w:t>
      </w:r>
      <w:r w:rsidR="00CB0910" w:rsidRPr="00236EBF">
        <w:rPr>
          <w:sz w:val="24"/>
          <w:szCs w:val="24"/>
          <w:lang w:eastAsia="el-GR"/>
        </w:rPr>
        <w:t xml:space="preserve"> ομάδες </w:t>
      </w:r>
      <w:r w:rsidRPr="00236EBF">
        <w:rPr>
          <w:sz w:val="24"/>
          <w:szCs w:val="24"/>
          <w:lang w:eastAsia="el-GR"/>
        </w:rPr>
        <w:t>ενημερώθηκαν για τους σκοπούς της μελέτης, ότι τα δεδομένα θα χρησιμοποιηθούν μόνο για ερευνητικούς σκοπούς και μόνο από την ερευνήτρια και ότι η</w:t>
      </w:r>
      <w:r w:rsidRPr="00236EBF">
        <w:rPr>
          <w:rFonts w:eastAsia="Times New Roman"/>
          <w:sz w:val="24"/>
          <w:szCs w:val="24"/>
          <w:lang w:eastAsia="el-GR"/>
        </w:rPr>
        <w:t xml:space="preserve"> συμμετοχή τους στη μελέτη είναι εθελοντική.</w:t>
      </w:r>
      <w:r w:rsidRPr="00236EBF">
        <w:rPr>
          <w:rFonts w:eastAsia="Times New Roman"/>
          <w:bCs/>
          <w:sz w:val="24"/>
          <w:szCs w:val="24"/>
          <w:lang w:eastAsia="el-GR"/>
        </w:rPr>
        <w:t xml:space="preserve"> Επιπλέον, ενημερώθηκαν ότι τα στοιχεία των ασθενών δεν θα δοθούν σε κανέναν και δεν θα γίνει γνωστή η ταυτότητα των ασθενών με κανένα τρόπο. </w:t>
      </w:r>
      <w:r w:rsidRPr="00236EBF">
        <w:rPr>
          <w:sz w:val="24"/>
          <w:szCs w:val="24"/>
          <w:lang w:eastAsia="el-GR"/>
        </w:rPr>
        <w:t xml:space="preserve">Επίσης, ενημερώθηκαν ότι μπορούν να αποχωρήσουν από τη μελέτη οποιαδήποτε στιγμή εκείνοι το επιθυμούν. Στους συμμετέχοντες δόθηκε </w:t>
      </w:r>
      <w:r w:rsidRPr="00236EBF">
        <w:rPr>
          <w:rFonts w:eastAsia="Times New Roman"/>
          <w:sz w:val="24"/>
          <w:szCs w:val="24"/>
          <w:lang w:eastAsia="el-GR"/>
        </w:rPr>
        <w:t>έντυπο ενημέρωσης και συγκατάθεσης.</w:t>
      </w:r>
    </w:p>
    <w:p w:rsidR="00FD46C9" w:rsidRPr="002D5F1E" w:rsidRDefault="000F5C39" w:rsidP="002D5F1E">
      <w:pPr>
        <w:spacing w:after="120" w:line="360" w:lineRule="auto"/>
        <w:jc w:val="both"/>
        <w:rPr>
          <w:rFonts w:eastAsia="Times New Roman"/>
          <w:bCs/>
          <w:sz w:val="24"/>
          <w:szCs w:val="24"/>
          <w:lang w:eastAsia="el-GR"/>
        </w:rPr>
      </w:pPr>
      <w:r w:rsidRPr="00236EBF">
        <w:rPr>
          <w:sz w:val="24"/>
          <w:szCs w:val="24"/>
          <w:lang w:eastAsia="el-GR"/>
        </w:rPr>
        <w:t xml:space="preserve">Ο στόχος στη φάση αυτή ήταν </w:t>
      </w:r>
      <w:r w:rsidR="00854322" w:rsidRPr="00236EBF">
        <w:rPr>
          <w:sz w:val="24"/>
          <w:szCs w:val="24"/>
          <w:lang w:eastAsia="el-GR"/>
        </w:rPr>
        <w:t>να διερευνηθεί το επίπεδο γνώσεων</w:t>
      </w:r>
      <w:r w:rsidRPr="00236EBF">
        <w:rPr>
          <w:sz w:val="24"/>
          <w:szCs w:val="24"/>
          <w:lang w:eastAsia="el-GR"/>
        </w:rPr>
        <w:t xml:space="preserve">, </w:t>
      </w:r>
      <w:r w:rsidR="00854322" w:rsidRPr="00236EBF">
        <w:rPr>
          <w:sz w:val="24"/>
          <w:szCs w:val="24"/>
          <w:lang w:eastAsia="el-GR"/>
        </w:rPr>
        <w:t xml:space="preserve">ποιότητας ζωής και </w:t>
      </w:r>
      <w:r w:rsidRPr="00236EBF">
        <w:rPr>
          <w:sz w:val="24"/>
          <w:szCs w:val="24"/>
          <w:lang w:eastAsia="el-GR"/>
        </w:rPr>
        <w:t>συ</w:t>
      </w:r>
      <w:r w:rsidR="00854322" w:rsidRPr="00236EBF">
        <w:rPr>
          <w:sz w:val="24"/>
          <w:szCs w:val="24"/>
          <w:lang w:eastAsia="el-GR"/>
        </w:rPr>
        <w:t xml:space="preserve">μμόρφωσης στο θεραπευτικό σχήμα </w:t>
      </w:r>
      <w:r w:rsidRPr="00236EBF">
        <w:rPr>
          <w:sz w:val="24"/>
          <w:szCs w:val="24"/>
          <w:lang w:eastAsia="el-GR"/>
        </w:rPr>
        <w:t>των ασθενών που υποβάλλονται σε αιμοκάθαρση.</w:t>
      </w:r>
      <w:r w:rsidR="00CF5485" w:rsidRPr="00236EBF">
        <w:rPr>
          <w:sz w:val="24"/>
          <w:szCs w:val="24"/>
          <w:lang w:eastAsia="el-GR"/>
        </w:rPr>
        <w:t xml:space="preserve"> </w:t>
      </w:r>
      <w:r w:rsidR="00450B20" w:rsidRPr="00236EBF">
        <w:rPr>
          <w:sz w:val="24"/>
          <w:szCs w:val="24"/>
          <w:lang w:eastAsia="el-GR"/>
        </w:rPr>
        <w:t xml:space="preserve">Το συγκεκριμένο δείγμα προήλθε από ιδιωτική Μονάδα Τεχνητού Νεφρού της Αθήνας λόγω </w:t>
      </w:r>
      <w:r w:rsidR="006E4FBE" w:rsidRPr="00236EBF">
        <w:rPr>
          <w:sz w:val="24"/>
          <w:szCs w:val="24"/>
          <w:lang w:eastAsia="el-GR"/>
        </w:rPr>
        <w:t>της προσβασιμότητας</w:t>
      </w:r>
      <w:r w:rsidR="0045471D" w:rsidRPr="00236EBF">
        <w:rPr>
          <w:sz w:val="24"/>
          <w:szCs w:val="24"/>
          <w:lang w:eastAsia="el-GR"/>
        </w:rPr>
        <w:t xml:space="preserve"> (δείγμα ευκολίας)</w:t>
      </w:r>
      <w:r w:rsidR="006E4FBE" w:rsidRPr="00236EBF">
        <w:rPr>
          <w:sz w:val="24"/>
          <w:szCs w:val="24"/>
          <w:lang w:eastAsia="el-GR"/>
        </w:rPr>
        <w:t>.</w:t>
      </w:r>
      <w:r w:rsidR="0078495A" w:rsidRPr="00236EBF">
        <w:rPr>
          <w:sz w:val="24"/>
          <w:szCs w:val="24"/>
          <w:lang w:eastAsia="el-GR"/>
        </w:rPr>
        <w:t xml:space="preserve"> </w:t>
      </w:r>
      <w:r w:rsidR="006E4FBE" w:rsidRPr="00236EBF">
        <w:rPr>
          <w:sz w:val="24"/>
          <w:szCs w:val="24"/>
          <w:lang w:eastAsia="el-GR"/>
        </w:rPr>
        <w:t>Ε</w:t>
      </w:r>
      <w:r w:rsidR="0011135E" w:rsidRPr="00236EBF">
        <w:rPr>
          <w:sz w:val="24"/>
          <w:szCs w:val="24"/>
          <w:lang w:eastAsia="el-GR"/>
        </w:rPr>
        <w:t xml:space="preserve">πιλέχθηκαν </w:t>
      </w:r>
      <w:r w:rsidR="006714B1" w:rsidRPr="00236EBF">
        <w:rPr>
          <w:sz w:val="24"/>
          <w:szCs w:val="24"/>
          <w:lang w:eastAsia="el-GR"/>
        </w:rPr>
        <w:t xml:space="preserve">τυχαία </w:t>
      </w:r>
      <w:r w:rsidR="00CD16D9" w:rsidRPr="00236EBF">
        <w:rPr>
          <w:sz w:val="24"/>
          <w:szCs w:val="24"/>
          <w:lang w:eastAsia="el-GR"/>
        </w:rPr>
        <w:t>6</w:t>
      </w:r>
      <w:r w:rsidR="007E6F1F" w:rsidRPr="00236EBF">
        <w:rPr>
          <w:sz w:val="24"/>
          <w:szCs w:val="24"/>
          <w:lang w:eastAsia="el-GR"/>
        </w:rPr>
        <w:t>0</w:t>
      </w:r>
      <w:r w:rsidR="0011135E" w:rsidRPr="00236EBF">
        <w:rPr>
          <w:sz w:val="24"/>
          <w:szCs w:val="24"/>
          <w:lang w:eastAsia="el-GR"/>
        </w:rPr>
        <w:t xml:space="preserve"> ασθενείς</w:t>
      </w:r>
      <w:r w:rsidR="0011135E" w:rsidRPr="005A464E">
        <w:rPr>
          <w:sz w:val="24"/>
          <w:szCs w:val="24"/>
          <w:lang w:eastAsia="el-GR"/>
        </w:rPr>
        <w:t xml:space="preserve"> και στη συνέχεια ο</w:t>
      </w:r>
      <w:r w:rsidR="0078495A">
        <w:rPr>
          <w:sz w:val="24"/>
          <w:szCs w:val="24"/>
          <w:lang w:eastAsia="el-GR"/>
        </w:rPr>
        <w:t xml:space="preserve"> </w:t>
      </w:r>
      <w:r w:rsidR="00855C5F" w:rsidRPr="005A464E">
        <w:rPr>
          <w:sz w:val="24"/>
          <w:szCs w:val="24"/>
          <w:lang w:eastAsia="el-GR"/>
        </w:rPr>
        <w:t>πληθυσμός της μελέτης</w:t>
      </w:r>
      <w:r w:rsidR="0078495A">
        <w:rPr>
          <w:sz w:val="24"/>
          <w:szCs w:val="24"/>
          <w:lang w:eastAsia="el-GR"/>
        </w:rPr>
        <w:t xml:space="preserve"> </w:t>
      </w:r>
      <w:r w:rsidR="00855C5F" w:rsidRPr="005A464E">
        <w:rPr>
          <w:sz w:val="24"/>
          <w:szCs w:val="24"/>
          <w:lang w:eastAsia="el-GR"/>
        </w:rPr>
        <w:t>χωρίσθηκε</w:t>
      </w:r>
      <w:r w:rsidR="0078495A">
        <w:rPr>
          <w:sz w:val="24"/>
          <w:szCs w:val="24"/>
          <w:lang w:eastAsia="el-GR"/>
        </w:rPr>
        <w:t xml:space="preserve"> </w:t>
      </w:r>
      <w:r w:rsidR="002A44DB" w:rsidRPr="005A464E">
        <w:rPr>
          <w:sz w:val="24"/>
          <w:szCs w:val="24"/>
          <w:lang w:eastAsia="el-GR"/>
        </w:rPr>
        <w:t xml:space="preserve">σε δυο ομάδες: στην </w:t>
      </w:r>
      <w:r w:rsidR="002A2C76" w:rsidRPr="005A464E">
        <w:rPr>
          <w:sz w:val="24"/>
          <w:szCs w:val="24"/>
          <w:lang w:eastAsia="el-GR"/>
        </w:rPr>
        <w:t xml:space="preserve">ομάδα παρέμβασης </w:t>
      </w:r>
      <w:r w:rsidR="00855C5F" w:rsidRPr="005A464E">
        <w:rPr>
          <w:sz w:val="24"/>
          <w:szCs w:val="24"/>
          <w:lang w:eastAsia="el-GR"/>
        </w:rPr>
        <w:t>και στη</w:t>
      </w:r>
      <w:r w:rsidR="00074600" w:rsidRPr="005A464E">
        <w:rPr>
          <w:sz w:val="24"/>
          <w:szCs w:val="24"/>
          <w:lang w:eastAsia="el-GR"/>
        </w:rPr>
        <w:t>ν</w:t>
      </w:r>
      <w:r w:rsidR="00855C5F" w:rsidRPr="005A464E">
        <w:rPr>
          <w:sz w:val="24"/>
          <w:szCs w:val="24"/>
          <w:lang w:eastAsia="el-GR"/>
        </w:rPr>
        <w:t xml:space="preserve"> ομάδα ελέγχου.</w:t>
      </w:r>
      <w:r w:rsidR="002A44DB" w:rsidRPr="005A464E">
        <w:rPr>
          <w:sz w:val="24"/>
          <w:szCs w:val="24"/>
          <w:lang w:eastAsia="el-GR"/>
        </w:rPr>
        <w:t xml:space="preserve"> </w:t>
      </w:r>
      <w:r w:rsidR="00056BDA" w:rsidRPr="005A464E">
        <w:rPr>
          <w:sz w:val="24"/>
          <w:szCs w:val="24"/>
          <w:lang w:eastAsia="el-GR"/>
        </w:rPr>
        <w:t xml:space="preserve">Πραγματοποιήθηκε </w:t>
      </w:r>
      <w:r w:rsidR="00CF5485" w:rsidRPr="005A464E">
        <w:rPr>
          <w:sz w:val="24"/>
          <w:szCs w:val="24"/>
          <w:lang w:eastAsia="el-GR"/>
        </w:rPr>
        <w:t xml:space="preserve">έλεγχος </w:t>
      </w:r>
      <w:r w:rsidR="00056BDA" w:rsidRPr="005A464E">
        <w:rPr>
          <w:sz w:val="24"/>
          <w:szCs w:val="24"/>
          <w:lang w:eastAsia="el-GR"/>
        </w:rPr>
        <w:t>διαστρωμάτωση</w:t>
      </w:r>
      <w:r w:rsidR="00CF5485" w:rsidRPr="005A464E">
        <w:rPr>
          <w:sz w:val="24"/>
          <w:szCs w:val="24"/>
          <w:lang w:eastAsia="el-GR"/>
        </w:rPr>
        <w:t>ς</w:t>
      </w:r>
      <w:r w:rsidR="00056BDA" w:rsidRPr="005A464E">
        <w:rPr>
          <w:sz w:val="24"/>
          <w:szCs w:val="24"/>
          <w:lang w:eastAsia="el-GR"/>
        </w:rPr>
        <w:t xml:space="preserve"> με βάση τα δημογραφικά και βασικά κλινικά χαρακτηριστικά</w:t>
      </w:r>
      <w:r w:rsidRPr="005A464E">
        <w:rPr>
          <w:sz w:val="24"/>
          <w:szCs w:val="24"/>
          <w:lang w:eastAsia="el-GR"/>
        </w:rPr>
        <w:t xml:space="preserve"> </w:t>
      </w:r>
      <w:r w:rsidR="00056BDA" w:rsidRPr="005A464E">
        <w:rPr>
          <w:sz w:val="24"/>
          <w:szCs w:val="24"/>
          <w:lang w:eastAsia="el-GR"/>
        </w:rPr>
        <w:t xml:space="preserve">ώστε και οι </w:t>
      </w:r>
      <w:r w:rsidR="00BA566F">
        <w:rPr>
          <w:sz w:val="24"/>
          <w:szCs w:val="24"/>
          <w:lang w:eastAsia="el-GR"/>
        </w:rPr>
        <w:t xml:space="preserve">δύο </w:t>
      </w:r>
      <w:r w:rsidR="00056BDA" w:rsidRPr="005A464E">
        <w:rPr>
          <w:sz w:val="24"/>
          <w:szCs w:val="24"/>
          <w:lang w:eastAsia="el-GR"/>
        </w:rPr>
        <w:t>ομάδες να είναι</w:t>
      </w:r>
      <w:r w:rsidR="00351AB9" w:rsidRPr="005A464E">
        <w:rPr>
          <w:sz w:val="24"/>
          <w:szCs w:val="24"/>
          <w:lang w:eastAsia="el-GR"/>
        </w:rPr>
        <w:t xml:space="preserve"> ισοδύναμες ως προς τα χαρακτηριστικά τους.</w:t>
      </w:r>
      <w:r w:rsidR="00B93B5A" w:rsidRPr="00B93B5A">
        <w:rPr>
          <w:sz w:val="24"/>
          <w:szCs w:val="24"/>
          <w:lang w:eastAsia="el-GR"/>
        </w:rPr>
        <w:t xml:space="preserve"> </w:t>
      </w:r>
      <w:r w:rsidR="00B93B5A" w:rsidRPr="005A464E">
        <w:rPr>
          <w:sz w:val="24"/>
          <w:szCs w:val="24"/>
          <w:lang w:eastAsia="el-GR"/>
        </w:rPr>
        <w:t xml:space="preserve">Οι ασθενείς, αφού αποδέχονταν τη συμμετοχή τους </w:t>
      </w:r>
      <w:r w:rsidR="00B93B5A">
        <w:rPr>
          <w:sz w:val="24"/>
          <w:szCs w:val="24"/>
          <w:lang w:eastAsia="el-GR"/>
        </w:rPr>
        <w:t xml:space="preserve">στη μελέτη, κατατάσσονταν στη μια από τις </w:t>
      </w:r>
      <w:r w:rsidR="00BA566F">
        <w:rPr>
          <w:sz w:val="24"/>
          <w:szCs w:val="24"/>
          <w:lang w:eastAsia="el-GR"/>
        </w:rPr>
        <w:t xml:space="preserve">δύο </w:t>
      </w:r>
      <w:r w:rsidR="00B93B5A">
        <w:rPr>
          <w:sz w:val="24"/>
          <w:szCs w:val="24"/>
          <w:lang w:eastAsia="el-GR"/>
        </w:rPr>
        <w:t xml:space="preserve">ομάδες, </w:t>
      </w:r>
      <w:r w:rsidR="00B93B5A" w:rsidRPr="005A464E">
        <w:rPr>
          <w:sz w:val="24"/>
          <w:szCs w:val="24"/>
          <w:lang w:eastAsia="el-GR"/>
        </w:rPr>
        <w:t xml:space="preserve">χωρίς όμως να γνωρίζουν σε ποια από τις </w:t>
      </w:r>
      <w:r w:rsidR="00BA566F">
        <w:rPr>
          <w:sz w:val="24"/>
          <w:szCs w:val="24"/>
          <w:lang w:eastAsia="el-GR"/>
        </w:rPr>
        <w:t xml:space="preserve">δύο </w:t>
      </w:r>
      <w:r w:rsidR="00B93B5A" w:rsidRPr="005A464E">
        <w:rPr>
          <w:sz w:val="24"/>
          <w:szCs w:val="24"/>
          <w:lang w:eastAsia="el-GR"/>
        </w:rPr>
        <w:t xml:space="preserve">ομάδες θα ανήκαν. </w:t>
      </w:r>
      <w:r w:rsidR="00CD16D9" w:rsidRPr="005A464E">
        <w:rPr>
          <w:sz w:val="24"/>
          <w:szCs w:val="24"/>
          <w:lang w:eastAsia="el-GR"/>
        </w:rPr>
        <w:t>Από τους 6</w:t>
      </w:r>
      <w:r w:rsidR="00542433" w:rsidRPr="005A464E">
        <w:rPr>
          <w:sz w:val="24"/>
          <w:szCs w:val="24"/>
          <w:lang w:eastAsia="el-GR"/>
        </w:rPr>
        <w:t xml:space="preserve">0 ασθενείς που επιλέχθηκαν, </w:t>
      </w:r>
      <w:r w:rsidR="00CD16D9" w:rsidRPr="005A464E">
        <w:rPr>
          <w:sz w:val="24"/>
          <w:szCs w:val="24"/>
          <w:lang w:eastAsia="el-GR"/>
        </w:rPr>
        <w:t xml:space="preserve">ολοκλήρωσαν </w:t>
      </w:r>
      <w:r w:rsidR="00542433" w:rsidRPr="005A464E">
        <w:rPr>
          <w:sz w:val="24"/>
          <w:szCs w:val="24"/>
          <w:lang w:eastAsia="el-GR"/>
        </w:rPr>
        <w:t xml:space="preserve">τη συμμετοχή τους στη μελέτη </w:t>
      </w:r>
      <w:r w:rsidR="00CD16D9" w:rsidRPr="005A464E">
        <w:rPr>
          <w:sz w:val="24"/>
          <w:szCs w:val="24"/>
          <w:lang w:eastAsia="el-GR"/>
        </w:rPr>
        <w:t>οι 50 (ποσοστό απαντητικότητας 83.3</w:t>
      </w:r>
      <w:r w:rsidR="00542433" w:rsidRPr="005A464E">
        <w:rPr>
          <w:sz w:val="24"/>
          <w:szCs w:val="24"/>
          <w:lang w:eastAsia="el-GR"/>
        </w:rPr>
        <w:t xml:space="preserve">%). </w:t>
      </w:r>
      <w:r w:rsidR="009A1589" w:rsidRPr="005A464E">
        <w:rPr>
          <w:sz w:val="24"/>
          <w:szCs w:val="24"/>
          <w:lang w:eastAsia="el-GR"/>
        </w:rPr>
        <w:t xml:space="preserve">Η </w:t>
      </w:r>
      <w:r w:rsidR="00E30B91" w:rsidRPr="005A464E">
        <w:rPr>
          <w:sz w:val="24"/>
          <w:szCs w:val="24"/>
          <w:lang w:eastAsia="el-GR"/>
        </w:rPr>
        <w:t xml:space="preserve">κάθε </w:t>
      </w:r>
      <w:r w:rsidR="00854322">
        <w:rPr>
          <w:sz w:val="24"/>
          <w:szCs w:val="24"/>
          <w:lang w:eastAsia="el-GR"/>
        </w:rPr>
        <w:t>μι</w:t>
      </w:r>
      <w:r w:rsidR="009A1589" w:rsidRPr="005A464E">
        <w:rPr>
          <w:sz w:val="24"/>
          <w:szCs w:val="24"/>
          <w:lang w:eastAsia="el-GR"/>
        </w:rPr>
        <w:t>α ομάδα αποτελούνταν από 25 ασθενείς.</w:t>
      </w:r>
    </w:p>
    <w:p w:rsidR="002D4F63" w:rsidRPr="005A464E" w:rsidRDefault="002D4F63" w:rsidP="005A464E">
      <w:pPr>
        <w:spacing w:after="0" w:line="360" w:lineRule="auto"/>
        <w:ind w:right="-334"/>
        <w:jc w:val="both"/>
        <w:rPr>
          <w:rFonts w:cs="Arial"/>
          <w:b/>
          <w:sz w:val="24"/>
          <w:szCs w:val="24"/>
          <w:lang w:eastAsia="el-GR"/>
        </w:rPr>
      </w:pPr>
      <w:r w:rsidRPr="00B93B5A">
        <w:rPr>
          <w:i/>
          <w:sz w:val="24"/>
          <w:szCs w:val="24"/>
          <w:lang w:val="en-US" w:eastAsia="el-GR"/>
        </w:rPr>
        <w:t>T</w:t>
      </w:r>
      <w:r w:rsidRPr="00B93B5A">
        <w:rPr>
          <w:i/>
          <w:sz w:val="24"/>
          <w:szCs w:val="24"/>
          <w:lang w:eastAsia="el-GR"/>
        </w:rPr>
        <w:t>α κριτήρια για την επιλογή</w:t>
      </w:r>
      <w:r w:rsidRPr="005A464E">
        <w:rPr>
          <w:sz w:val="24"/>
          <w:szCs w:val="24"/>
          <w:lang w:eastAsia="el-GR"/>
        </w:rPr>
        <w:t xml:space="preserve"> του </w:t>
      </w:r>
      <w:r w:rsidRPr="005A464E">
        <w:rPr>
          <w:rFonts w:cs="Arial"/>
          <w:sz w:val="24"/>
          <w:szCs w:val="24"/>
          <w:lang w:eastAsia="el-GR"/>
        </w:rPr>
        <w:t>δείγματος</w:t>
      </w:r>
      <w:r w:rsidR="0001615C" w:rsidRPr="005A464E">
        <w:rPr>
          <w:rFonts w:cs="Arial"/>
          <w:sz w:val="24"/>
          <w:szCs w:val="24"/>
          <w:lang w:eastAsia="el-GR"/>
        </w:rPr>
        <w:t xml:space="preserve"> ήταν:</w:t>
      </w:r>
    </w:p>
    <w:p w:rsidR="002D4F63" w:rsidRPr="005A464E" w:rsidRDefault="002D4F63" w:rsidP="00DB466F">
      <w:pPr>
        <w:numPr>
          <w:ilvl w:val="0"/>
          <w:numId w:val="37"/>
        </w:numPr>
        <w:spacing w:after="0" w:line="360" w:lineRule="auto"/>
        <w:ind w:right="-334"/>
        <w:contextualSpacing/>
        <w:rPr>
          <w:rFonts w:cs="Arial"/>
          <w:b/>
          <w:sz w:val="24"/>
          <w:szCs w:val="24"/>
          <w:lang w:eastAsia="el-GR"/>
        </w:rPr>
      </w:pPr>
      <w:r w:rsidRPr="005A464E">
        <w:rPr>
          <w:rFonts w:cs="Arial"/>
          <w:sz w:val="24"/>
          <w:szCs w:val="24"/>
          <w:lang w:eastAsia="el-GR"/>
        </w:rPr>
        <w:t>Πρόγραμμα αιμοκάθαρσης τρεις φορές την εβδομάδα</w:t>
      </w:r>
      <w:r w:rsidR="00700ABA">
        <w:rPr>
          <w:rFonts w:cs="Arial"/>
          <w:sz w:val="24"/>
          <w:szCs w:val="24"/>
          <w:lang w:eastAsia="el-GR"/>
        </w:rPr>
        <w:t>.</w:t>
      </w:r>
    </w:p>
    <w:p w:rsidR="002D4F63" w:rsidRPr="005A464E" w:rsidRDefault="002D4F63" w:rsidP="00DB466F">
      <w:pPr>
        <w:numPr>
          <w:ilvl w:val="0"/>
          <w:numId w:val="37"/>
        </w:numPr>
        <w:spacing w:after="0" w:line="360" w:lineRule="auto"/>
        <w:ind w:right="-334"/>
        <w:contextualSpacing/>
        <w:rPr>
          <w:rFonts w:cs="Arial"/>
          <w:b/>
          <w:sz w:val="24"/>
          <w:szCs w:val="24"/>
          <w:lang w:eastAsia="el-GR"/>
        </w:rPr>
      </w:pPr>
      <w:r w:rsidRPr="005A464E">
        <w:rPr>
          <w:rFonts w:cs="Arial"/>
          <w:sz w:val="24"/>
          <w:szCs w:val="24"/>
          <w:lang w:eastAsia="el-GR"/>
        </w:rPr>
        <w:t>Ηλικία από</w:t>
      </w:r>
      <w:r w:rsidR="0078495A">
        <w:rPr>
          <w:rFonts w:cs="Arial"/>
          <w:sz w:val="24"/>
          <w:szCs w:val="24"/>
          <w:lang w:eastAsia="el-GR"/>
        </w:rPr>
        <w:t xml:space="preserve"> </w:t>
      </w:r>
      <w:r w:rsidR="00283ED3">
        <w:rPr>
          <w:rFonts w:cs="Arial"/>
          <w:sz w:val="24"/>
          <w:szCs w:val="24"/>
          <w:lang w:eastAsia="el-GR"/>
        </w:rPr>
        <w:t xml:space="preserve">18 έως </w:t>
      </w:r>
      <w:r w:rsidRPr="005A464E">
        <w:rPr>
          <w:rFonts w:cs="Arial"/>
          <w:sz w:val="24"/>
          <w:szCs w:val="24"/>
          <w:lang w:eastAsia="el-GR"/>
        </w:rPr>
        <w:t>65 ετών</w:t>
      </w:r>
      <w:r w:rsidR="00700ABA">
        <w:rPr>
          <w:rFonts w:cs="Arial"/>
          <w:sz w:val="24"/>
          <w:szCs w:val="24"/>
          <w:lang w:eastAsia="el-GR"/>
        </w:rPr>
        <w:t>.</w:t>
      </w:r>
    </w:p>
    <w:p w:rsidR="002D4F63" w:rsidRPr="005A464E" w:rsidRDefault="002D4F63" w:rsidP="00DB466F">
      <w:pPr>
        <w:numPr>
          <w:ilvl w:val="0"/>
          <w:numId w:val="37"/>
        </w:numPr>
        <w:spacing w:after="0" w:line="360" w:lineRule="auto"/>
        <w:ind w:right="-334"/>
        <w:contextualSpacing/>
        <w:rPr>
          <w:rFonts w:cs="Arial"/>
          <w:b/>
          <w:sz w:val="24"/>
          <w:szCs w:val="24"/>
          <w:lang w:eastAsia="el-GR"/>
        </w:rPr>
      </w:pPr>
      <w:r w:rsidRPr="005A464E">
        <w:rPr>
          <w:rFonts w:cs="Arial"/>
          <w:sz w:val="24"/>
          <w:szCs w:val="24"/>
          <w:lang w:eastAsia="el-GR"/>
        </w:rPr>
        <w:t>Οι ασθενείς να είναι</w:t>
      </w:r>
      <w:r w:rsidR="0078495A">
        <w:rPr>
          <w:rFonts w:cs="Arial"/>
          <w:sz w:val="24"/>
          <w:szCs w:val="24"/>
          <w:lang w:eastAsia="el-GR"/>
        </w:rPr>
        <w:t xml:space="preserve"> </w:t>
      </w:r>
      <w:r w:rsidRPr="005A464E">
        <w:rPr>
          <w:rFonts w:cs="Arial"/>
          <w:sz w:val="24"/>
          <w:szCs w:val="24"/>
          <w:lang w:eastAsia="el-GR"/>
        </w:rPr>
        <w:t>ενταγμένοι σε πρόγραμμα αιμοκάθαρσης</w:t>
      </w:r>
      <w:r w:rsidR="0078495A">
        <w:rPr>
          <w:rFonts w:cs="Arial"/>
          <w:sz w:val="24"/>
          <w:szCs w:val="24"/>
          <w:lang w:eastAsia="el-GR"/>
        </w:rPr>
        <w:t xml:space="preserve"> </w:t>
      </w:r>
      <w:r w:rsidRPr="005A464E">
        <w:rPr>
          <w:rFonts w:cs="Arial"/>
          <w:sz w:val="24"/>
          <w:szCs w:val="24"/>
          <w:lang w:eastAsia="el-GR"/>
        </w:rPr>
        <w:t>για χρονικό διάστημα τουλάχιστον 6 μηνών</w:t>
      </w:r>
      <w:r w:rsidR="00700ABA">
        <w:rPr>
          <w:rFonts w:cs="Arial"/>
          <w:sz w:val="24"/>
          <w:szCs w:val="24"/>
          <w:lang w:eastAsia="el-GR"/>
        </w:rPr>
        <w:t>.</w:t>
      </w:r>
    </w:p>
    <w:p w:rsidR="002D4F63" w:rsidRPr="005A464E" w:rsidRDefault="002D4F63" w:rsidP="00DB466F">
      <w:pPr>
        <w:numPr>
          <w:ilvl w:val="0"/>
          <w:numId w:val="37"/>
        </w:numPr>
        <w:spacing w:after="0" w:line="360" w:lineRule="auto"/>
        <w:ind w:right="-334"/>
        <w:contextualSpacing/>
        <w:rPr>
          <w:rFonts w:cs="Arial"/>
          <w:b/>
          <w:sz w:val="24"/>
          <w:szCs w:val="24"/>
          <w:lang w:eastAsia="el-GR"/>
        </w:rPr>
      </w:pPr>
      <w:r w:rsidRPr="005A464E">
        <w:rPr>
          <w:rFonts w:cs="Arial"/>
          <w:sz w:val="24"/>
          <w:szCs w:val="24"/>
          <w:lang w:eastAsia="el-GR"/>
        </w:rPr>
        <w:t>Οι ασθενείς να είναι ικανοί να γράφουν, να διαβάζουν και να κατανοούν την ελληνική γλώσσα</w:t>
      </w:r>
      <w:r w:rsidR="00700ABA">
        <w:rPr>
          <w:rFonts w:cs="Arial"/>
          <w:sz w:val="24"/>
          <w:szCs w:val="24"/>
          <w:lang w:eastAsia="el-GR"/>
        </w:rPr>
        <w:t>.</w:t>
      </w:r>
    </w:p>
    <w:p w:rsidR="002D4F63" w:rsidRPr="005A464E" w:rsidRDefault="002D4F63" w:rsidP="00DB466F">
      <w:pPr>
        <w:numPr>
          <w:ilvl w:val="0"/>
          <w:numId w:val="37"/>
        </w:numPr>
        <w:spacing w:after="0" w:line="360" w:lineRule="auto"/>
        <w:ind w:right="-334"/>
        <w:contextualSpacing/>
        <w:rPr>
          <w:rFonts w:cs="Arial"/>
          <w:b/>
          <w:sz w:val="24"/>
          <w:szCs w:val="24"/>
          <w:lang w:eastAsia="el-GR"/>
        </w:rPr>
      </w:pPr>
      <w:r w:rsidRPr="005A464E">
        <w:rPr>
          <w:rFonts w:cs="Arial"/>
          <w:sz w:val="24"/>
          <w:szCs w:val="24"/>
          <w:lang w:eastAsia="el-GR"/>
        </w:rPr>
        <w:t xml:space="preserve">Οι ασθενείς να είναι ικανοί να διαβάσουν και να υπογράψουν </w:t>
      </w:r>
      <w:r w:rsidR="009A1589" w:rsidRPr="005A464E">
        <w:rPr>
          <w:rFonts w:cs="Arial"/>
          <w:sz w:val="24"/>
          <w:szCs w:val="24"/>
          <w:lang w:eastAsia="el-GR"/>
        </w:rPr>
        <w:t xml:space="preserve">τη </w:t>
      </w:r>
      <w:r w:rsidRPr="005A464E">
        <w:rPr>
          <w:rFonts w:cs="Arial"/>
          <w:sz w:val="24"/>
          <w:szCs w:val="24"/>
          <w:lang w:eastAsia="el-GR"/>
        </w:rPr>
        <w:t>συγκατάθεση</w:t>
      </w:r>
      <w:r w:rsidR="00700ABA">
        <w:rPr>
          <w:rFonts w:cs="Arial"/>
          <w:sz w:val="24"/>
          <w:szCs w:val="24"/>
          <w:lang w:eastAsia="el-GR"/>
        </w:rPr>
        <w:t>.</w:t>
      </w:r>
    </w:p>
    <w:p w:rsidR="002D4F63" w:rsidRPr="005A464E" w:rsidRDefault="002D4F63" w:rsidP="00DB466F">
      <w:pPr>
        <w:numPr>
          <w:ilvl w:val="0"/>
          <w:numId w:val="37"/>
        </w:numPr>
        <w:spacing w:after="0" w:line="360" w:lineRule="auto"/>
        <w:ind w:right="-334"/>
        <w:contextualSpacing/>
        <w:rPr>
          <w:rFonts w:cs="Arial"/>
          <w:sz w:val="24"/>
          <w:szCs w:val="24"/>
          <w:lang w:eastAsia="el-GR"/>
        </w:rPr>
      </w:pPr>
      <w:r w:rsidRPr="005A464E">
        <w:rPr>
          <w:rFonts w:cs="Arial"/>
          <w:sz w:val="24"/>
          <w:szCs w:val="24"/>
          <w:lang w:eastAsia="el-GR"/>
        </w:rPr>
        <w:t>Οι ασθενείς να είναι προσανατολισμένοι ως προς το χρόνο και τον χώρο</w:t>
      </w:r>
      <w:r w:rsidR="00700ABA">
        <w:rPr>
          <w:rFonts w:cs="Arial"/>
          <w:sz w:val="24"/>
          <w:szCs w:val="24"/>
          <w:lang w:eastAsia="el-GR"/>
        </w:rPr>
        <w:t>.</w:t>
      </w:r>
    </w:p>
    <w:p w:rsidR="002D4F63" w:rsidRPr="005A464E" w:rsidRDefault="0001615C" w:rsidP="005A464E">
      <w:pPr>
        <w:spacing w:after="0" w:line="360" w:lineRule="auto"/>
        <w:ind w:right="-334"/>
        <w:rPr>
          <w:rFonts w:cs="Arial"/>
          <w:sz w:val="24"/>
          <w:szCs w:val="24"/>
          <w:lang w:eastAsia="el-GR"/>
        </w:rPr>
      </w:pPr>
      <w:r w:rsidRPr="005A464E">
        <w:rPr>
          <w:rFonts w:cs="Arial"/>
          <w:sz w:val="24"/>
          <w:szCs w:val="24"/>
          <w:lang w:eastAsia="el-GR"/>
        </w:rPr>
        <w:t xml:space="preserve">Από τη μελέτη </w:t>
      </w:r>
      <w:r w:rsidRPr="00B93B5A">
        <w:rPr>
          <w:rFonts w:cs="Arial"/>
          <w:i/>
          <w:sz w:val="24"/>
          <w:szCs w:val="24"/>
          <w:lang w:eastAsia="el-GR"/>
        </w:rPr>
        <w:t>αποκλείσθηκαν</w:t>
      </w:r>
      <w:r w:rsidRPr="005A464E">
        <w:rPr>
          <w:rFonts w:cs="Arial"/>
          <w:sz w:val="24"/>
          <w:szCs w:val="24"/>
          <w:lang w:eastAsia="el-GR"/>
        </w:rPr>
        <w:t xml:space="preserve"> οι ασθενείς με:</w:t>
      </w:r>
    </w:p>
    <w:p w:rsidR="002D4F63" w:rsidRPr="005A464E" w:rsidRDefault="0001615C" w:rsidP="00DB466F">
      <w:pPr>
        <w:numPr>
          <w:ilvl w:val="0"/>
          <w:numId w:val="38"/>
        </w:numPr>
        <w:spacing w:after="0" w:line="360" w:lineRule="auto"/>
        <w:ind w:right="-334"/>
        <w:contextualSpacing/>
        <w:rPr>
          <w:rFonts w:cs="Arial"/>
          <w:b/>
          <w:sz w:val="24"/>
          <w:szCs w:val="24"/>
          <w:lang w:eastAsia="el-GR"/>
        </w:rPr>
      </w:pPr>
      <w:r w:rsidRPr="005A464E">
        <w:rPr>
          <w:rFonts w:cs="Arial"/>
          <w:sz w:val="24"/>
          <w:szCs w:val="24"/>
          <w:lang w:eastAsia="el-GR"/>
        </w:rPr>
        <w:t>Γ</w:t>
      </w:r>
      <w:r w:rsidR="002D4F63" w:rsidRPr="005A464E">
        <w:rPr>
          <w:rFonts w:cs="Arial"/>
          <w:sz w:val="24"/>
          <w:szCs w:val="24"/>
          <w:lang w:eastAsia="el-GR"/>
        </w:rPr>
        <w:t>νωστικές</w:t>
      </w:r>
      <w:r w:rsidR="0078495A">
        <w:rPr>
          <w:rFonts w:cs="Arial"/>
          <w:sz w:val="24"/>
          <w:szCs w:val="24"/>
          <w:lang w:eastAsia="el-GR"/>
        </w:rPr>
        <w:t xml:space="preserve"> </w:t>
      </w:r>
      <w:r w:rsidR="002D4F63" w:rsidRPr="005A464E">
        <w:rPr>
          <w:rFonts w:cs="Arial"/>
          <w:sz w:val="24"/>
          <w:szCs w:val="24"/>
          <w:lang w:eastAsia="el-GR"/>
        </w:rPr>
        <w:t>ή ψυχολογικές</w:t>
      </w:r>
      <w:r w:rsidR="0078495A">
        <w:rPr>
          <w:rFonts w:cs="Arial"/>
          <w:sz w:val="24"/>
          <w:szCs w:val="24"/>
          <w:lang w:eastAsia="el-GR"/>
        </w:rPr>
        <w:t xml:space="preserve"> </w:t>
      </w:r>
      <w:r w:rsidR="002D4F63" w:rsidRPr="005A464E">
        <w:rPr>
          <w:rFonts w:cs="Arial"/>
          <w:sz w:val="24"/>
          <w:szCs w:val="24"/>
          <w:lang w:eastAsia="el-GR"/>
        </w:rPr>
        <w:t>διαταραχές</w:t>
      </w:r>
      <w:r w:rsidR="00700ABA">
        <w:rPr>
          <w:rFonts w:cs="Arial"/>
          <w:sz w:val="24"/>
          <w:szCs w:val="24"/>
          <w:lang w:eastAsia="el-GR"/>
        </w:rPr>
        <w:t>.</w:t>
      </w:r>
    </w:p>
    <w:p w:rsidR="002D4F63" w:rsidRPr="005A464E" w:rsidRDefault="0001615C" w:rsidP="00DB466F">
      <w:pPr>
        <w:numPr>
          <w:ilvl w:val="0"/>
          <w:numId w:val="38"/>
        </w:numPr>
        <w:spacing w:after="0" w:line="360" w:lineRule="auto"/>
        <w:ind w:right="-334"/>
        <w:contextualSpacing/>
        <w:rPr>
          <w:rFonts w:cs="Arial"/>
          <w:b/>
          <w:sz w:val="24"/>
          <w:szCs w:val="24"/>
          <w:lang w:eastAsia="el-GR"/>
        </w:rPr>
      </w:pPr>
      <w:r w:rsidRPr="005A464E">
        <w:rPr>
          <w:rFonts w:cs="Arial"/>
          <w:sz w:val="24"/>
          <w:szCs w:val="24"/>
          <w:lang w:eastAsia="el-GR"/>
        </w:rPr>
        <w:t>Π</w:t>
      </w:r>
      <w:r w:rsidR="002D4F63" w:rsidRPr="005A464E">
        <w:rPr>
          <w:rFonts w:cs="Arial"/>
          <w:sz w:val="24"/>
          <w:szCs w:val="24"/>
          <w:lang w:eastAsia="el-GR"/>
        </w:rPr>
        <w:t>ροβλήματα</w:t>
      </w:r>
      <w:r w:rsidR="0078495A">
        <w:rPr>
          <w:rFonts w:cs="Arial"/>
          <w:sz w:val="24"/>
          <w:szCs w:val="24"/>
          <w:lang w:eastAsia="el-GR"/>
        </w:rPr>
        <w:t xml:space="preserve"> </w:t>
      </w:r>
      <w:r w:rsidR="002D4F63" w:rsidRPr="005A464E">
        <w:rPr>
          <w:rFonts w:cs="Arial"/>
          <w:sz w:val="24"/>
          <w:szCs w:val="24"/>
          <w:lang w:eastAsia="el-GR"/>
        </w:rPr>
        <w:t>όρασης ή ακοής</w:t>
      </w:r>
      <w:r w:rsidR="00700ABA">
        <w:rPr>
          <w:rFonts w:cs="Arial"/>
          <w:sz w:val="24"/>
          <w:szCs w:val="24"/>
          <w:lang w:eastAsia="el-GR"/>
        </w:rPr>
        <w:t>.</w:t>
      </w:r>
    </w:p>
    <w:p w:rsidR="002A2C76" w:rsidRPr="005A464E" w:rsidRDefault="0001615C" w:rsidP="00DB466F">
      <w:pPr>
        <w:numPr>
          <w:ilvl w:val="0"/>
          <w:numId w:val="38"/>
        </w:numPr>
        <w:spacing w:after="0" w:line="360" w:lineRule="auto"/>
        <w:ind w:right="-334"/>
        <w:contextualSpacing/>
        <w:rPr>
          <w:rFonts w:cs="Arial"/>
          <w:b/>
          <w:sz w:val="24"/>
          <w:szCs w:val="24"/>
          <w:lang w:eastAsia="el-GR"/>
        </w:rPr>
      </w:pPr>
      <w:r w:rsidRPr="005A464E">
        <w:rPr>
          <w:rFonts w:cs="Arial"/>
          <w:sz w:val="24"/>
          <w:szCs w:val="24"/>
          <w:lang w:eastAsia="el-GR"/>
        </w:rPr>
        <w:t>Π</w:t>
      </w:r>
      <w:r w:rsidR="002D4F63" w:rsidRPr="005A464E">
        <w:rPr>
          <w:rFonts w:cs="Arial"/>
          <w:sz w:val="24"/>
          <w:szCs w:val="24"/>
          <w:lang w:eastAsia="el-GR"/>
        </w:rPr>
        <w:t>εριορισμένη</w:t>
      </w:r>
      <w:r w:rsidR="0078495A">
        <w:rPr>
          <w:rFonts w:cs="Arial"/>
          <w:sz w:val="24"/>
          <w:szCs w:val="24"/>
          <w:lang w:eastAsia="el-GR"/>
        </w:rPr>
        <w:t xml:space="preserve"> </w:t>
      </w:r>
      <w:r w:rsidR="002D4F63" w:rsidRPr="005A464E">
        <w:rPr>
          <w:rFonts w:cs="Arial"/>
          <w:sz w:val="24"/>
          <w:szCs w:val="24"/>
          <w:lang w:eastAsia="el-GR"/>
        </w:rPr>
        <w:t>δυνατότητα αυτοφροντίδας</w:t>
      </w:r>
      <w:r w:rsidR="00700ABA">
        <w:rPr>
          <w:rFonts w:cs="Arial"/>
          <w:sz w:val="24"/>
          <w:szCs w:val="24"/>
          <w:lang w:eastAsia="el-GR"/>
        </w:rPr>
        <w:t>.</w:t>
      </w:r>
    </w:p>
    <w:p w:rsidR="009B43FE" w:rsidRDefault="009B43FE" w:rsidP="005A464E">
      <w:pPr>
        <w:spacing w:after="0" w:line="360" w:lineRule="auto"/>
        <w:jc w:val="both"/>
        <w:rPr>
          <w:rFonts w:cs="Arial"/>
          <w:b/>
          <w:sz w:val="24"/>
          <w:szCs w:val="24"/>
          <w:lang w:eastAsia="el-GR"/>
        </w:rPr>
      </w:pPr>
    </w:p>
    <w:p w:rsidR="006D1E0F" w:rsidRPr="009B43FE" w:rsidRDefault="00987C9B" w:rsidP="009B43FE">
      <w:pPr>
        <w:pStyle w:val="a5"/>
        <w:numPr>
          <w:ilvl w:val="0"/>
          <w:numId w:val="121"/>
        </w:numPr>
        <w:spacing w:after="0" w:line="360" w:lineRule="auto"/>
        <w:jc w:val="both"/>
        <w:rPr>
          <w:i/>
          <w:sz w:val="24"/>
          <w:szCs w:val="24"/>
          <w:lang w:eastAsia="el-GR"/>
        </w:rPr>
      </w:pPr>
      <w:r w:rsidRPr="009B43FE">
        <w:rPr>
          <w:i/>
          <w:sz w:val="24"/>
          <w:szCs w:val="24"/>
          <w:lang w:eastAsia="el-GR"/>
        </w:rPr>
        <w:t>Εφαρμογή τ</w:t>
      </w:r>
      <w:r w:rsidR="006D1E0F" w:rsidRPr="009B43FE">
        <w:rPr>
          <w:i/>
          <w:sz w:val="24"/>
          <w:szCs w:val="24"/>
          <w:lang w:eastAsia="el-GR"/>
        </w:rPr>
        <w:t xml:space="preserve">ης Συμβουλευτικής Νοσηλευτικής Παρέμβασης </w:t>
      </w:r>
    </w:p>
    <w:p w:rsidR="00D0641B" w:rsidRDefault="00D0641B" w:rsidP="005A464E">
      <w:pPr>
        <w:spacing w:after="0" w:line="360" w:lineRule="auto"/>
        <w:jc w:val="both"/>
        <w:rPr>
          <w:b/>
          <w:sz w:val="24"/>
          <w:szCs w:val="24"/>
          <w:lang w:eastAsia="el-GR"/>
        </w:rPr>
      </w:pPr>
    </w:p>
    <w:p w:rsidR="002A2C76" w:rsidRPr="005A464E" w:rsidRDefault="00D0641B" w:rsidP="005A464E">
      <w:pPr>
        <w:spacing w:after="0" w:line="360" w:lineRule="auto"/>
        <w:jc w:val="both"/>
        <w:rPr>
          <w:b/>
          <w:sz w:val="24"/>
          <w:szCs w:val="24"/>
          <w:lang w:eastAsia="el-GR"/>
        </w:rPr>
      </w:pPr>
      <w:r>
        <w:rPr>
          <w:b/>
          <w:sz w:val="24"/>
          <w:szCs w:val="24"/>
          <w:lang w:eastAsia="el-GR"/>
        </w:rPr>
        <w:t>Ο</w:t>
      </w:r>
      <w:r w:rsidR="002A2C76" w:rsidRPr="005A464E">
        <w:rPr>
          <w:b/>
          <w:sz w:val="24"/>
          <w:szCs w:val="24"/>
          <w:lang w:eastAsia="el-GR"/>
        </w:rPr>
        <w:t>μάδα</w:t>
      </w:r>
      <w:r>
        <w:rPr>
          <w:b/>
          <w:sz w:val="24"/>
          <w:szCs w:val="24"/>
          <w:lang w:eastAsia="el-GR"/>
        </w:rPr>
        <w:t xml:space="preserve"> παρέμβασης</w:t>
      </w:r>
    </w:p>
    <w:p w:rsidR="00414291" w:rsidRPr="005A464E" w:rsidRDefault="000F5C39" w:rsidP="005A464E">
      <w:pPr>
        <w:spacing w:line="360" w:lineRule="auto"/>
        <w:jc w:val="both"/>
        <w:rPr>
          <w:rFonts w:cs="Arial"/>
          <w:sz w:val="24"/>
          <w:szCs w:val="24"/>
          <w:lang w:eastAsia="el-GR"/>
        </w:rPr>
      </w:pPr>
      <w:r w:rsidRPr="005A464E">
        <w:rPr>
          <w:sz w:val="24"/>
          <w:szCs w:val="24"/>
          <w:lang w:eastAsia="el-GR"/>
        </w:rPr>
        <w:t>Στην</w:t>
      </w:r>
      <w:r w:rsidR="0078495A">
        <w:rPr>
          <w:sz w:val="24"/>
          <w:szCs w:val="24"/>
          <w:lang w:eastAsia="el-GR"/>
        </w:rPr>
        <w:t xml:space="preserve"> </w:t>
      </w:r>
      <w:r w:rsidRPr="005A464E">
        <w:rPr>
          <w:sz w:val="24"/>
          <w:szCs w:val="24"/>
          <w:lang w:eastAsia="el-GR"/>
        </w:rPr>
        <w:t>ομάδα</w:t>
      </w:r>
      <w:r w:rsidR="00D0641B">
        <w:rPr>
          <w:sz w:val="24"/>
          <w:szCs w:val="24"/>
          <w:lang w:eastAsia="el-GR"/>
        </w:rPr>
        <w:t xml:space="preserve"> παρέμβασης</w:t>
      </w:r>
      <w:r w:rsidRPr="005A464E">
        <w:rPr>
          <w:sz w:val="24"/>
          <w:szCs w:val="24"/>
          <w:lang w:eastAsia="el-GR"/>
        </w:rPr>
        <w:t xml:space="preserve"> δόθηκαν τα ερωτηματολ</w:t>
      </w:r>
      <w:r w:rsidR="00074600" w:rsidRPr="005A464E">
        <w:rPr>
          <w:sz w:val="24"/>
          <w:szCs w:val="24"/>
          <w:lang w:eastAsia="el-GR"/>
        </w:rPr>
        <w:t>όγια μέτρησης επιπέδου γνώσης</w:t>
      </w:r>
      <w:r w:rsidR="00136281" w:rsidRPr="005A464E">
        <w:rPr>
          <w:sz w:val="24"/>
          <w:szCs w:val="24"/>
          <w:lang w:eastAsia="el-GR"/>
        </w:rPr>
        <w:t xml:space="preserve"> (</w:t>
      </w:r>
      <w:r w:rsidR="00136281" w:rsidRPr="005A464E">
        <w:rPr>
          <w:sz w:val="24"/>
          <w:szCs w:val="24"/>
          <w:lang w:val="en-US" w:eastAsia="el-GR"/>
        </w:rPr>
        <w:t>KDQ</w:t>
      </w:r>
      <w:r w:rsidR="00136281" w:rsidRPr="005A464E">
        <w:rPr>
          <w:sz w:val="24"/>
          <w:szCs w:val="24"/>
          <w:lang w:eastAsia="el-GR"/>
        </w:rPr>
        <w:t>)</w:t>
      </w:r>
      <w:r w:rsidRPr="005A464E">
        <w:rPr>
          <w:sz w:val="24"/>
          <w:szCs w:val="24"/>
          <w:lang w:eastAsia="el-GR"/>
        </w:rPr>
        <w:t>, επιπέδου συμμόρφωσης</w:t>
      </w:r>
      <w:r w:rsidR="00136281" w:rsidRPr="005A464E">
        <w:rPr>
          <w:sz w:val="24"/>
          <w:szCs w:val="24"/>
          <w:lang w:eastAsia="el-GR"/>
        </w:rPr>
        <w:t xml:space="preserve"> (</w:t>
      </w:r>
      <w:r w:rsidR="00136281" w:rsidRPr="005A464E">
        <w:rPr>
          <w:sz w:val="24"/>
          <w:szCs w:val="24"/>
          <w:lang w:val="en-US" w:eastAsia="el-GR"/>
        </w:rPr>
        <w:t>GR</w:t>
      </w:r>
      <w:r w:rsidR="00136281" w:rsidRPr="005A464E">
        <w:rPr>
          <w:sz w:val="24"/>
          <w:szCs w:val="24"/>
          <w:lang w:eastAsia="el-GR"/>
        </w:rPr>
        <w:t>-</w:t>
      </w:r>
      <w:r w:rsidR="00136281" w:rsidRPr="005A464E">
        <w:rPr>
          <w:sz w:val="24"/>
          <w:szCs w:val="24"/>
          <w:lang w:val="en-US" w:eastAsia="el-GR"/>
        </w:rPr>
        <w:t>SMAQ</w:t>
      </w:r>
      <w:r w:rsidR="002A2C76" w:rsidRPr="005A464E">
        <w:rPr>
          <w:sz w:val="24"/>
          <w:szCs w:val="24"/>
          <w:lang w:eastAsia="el-GR"/>
        </w:rPr>
        <w:t>-</w:t>
      </w:r>
      <w:r w:rsidR="002A2C76" w:rsidRPr="005A464E">
        <w:rPr>
          <w:sz w:val="24"/>
          <w:szCs w:val="24"/>
          <w:lang w:val="en-US" w:eastAsia="el-GR"/>
        </w:rPr>
        <w:t>HD</w:t>
      </w:r>
      <w:r w:rsidR="00136281" w:rsidRPr="005A464E">
        <w:rPr>
          <w:sz w:val="24"/>
          <w:szCs w:val="24"/>
          <w:lang w:eastAsia="el-GR"/>
        </w:rPr>
        <w:t>)</w:t>
      </w:r>
      <w:r w:rsidRPr="005A464E">
        <w:rPr>
          <w:sz w:val="24"/>
          <w:szCs w:val="24"/>
          <w:lang w:eastAsia="el-GR"/>
        </w:rPr>
        <w:t xml:space="preserve"> και ποιότητας ζωής</w:t>
      </w:r>
      <w:r w:rsidR="00136281" w:rsidRPr="005A464E">
        <w:rPr>
          <w:sz w:val="24"/>
          <w:szCs w:val="24"/>
          <w:lang w:eastAsia="el-GR"/>
        </w:rPr>
        <w:t xml:space="preserve"> (</w:t>
      </w:r>
      <w:r w:rsidR="00136281" w:rsidRPr="005A464E">
        <w:rPr>
          <w:sz w:val="24"/>
          <w:szCs w:val="24"/>
          <w:lang w:val="en-US" w:eastAsia="el-GR"/>
        </w:rPr>
        <w:t>Missoula</w:t>
      </w:r>
      <w:r w:rsidR="00136281" w:rsidRPr="005A464E">
        <w:rPr>
          <w:sz w:val="24"/>
          <w:szCs w:val="24"/>
          <w:lang w:eastAsia="el-GR"/>
        </w:rPr>
        <w:t xml:space="preserve"> </w:t>
      </w:r>
      <w:r w:rsidR="00136281" w:rsidRPr="005A464E">
        <w:rPr>
          <w:sz w:val="24"/>
          <w:szCs w:val="24"/>
          <w:lang w:val="en-US" w:eastAsia="el-GR"/>
        </w:rPr>
        <w:t>Vitas</w:t>
      </w:r>
      <w:r w:rsidR="00136281" w:rsidRPr="005A464E">
        <w:rPr>
          <w:sz w:val="24"/>
          <w:szCs w:val="24"/>
          <w:lang w:eastAsia="el-GR"/>
        </w:rPr>
        <w:t xml:space="preserve"> </w:t>
      </w:r>
      <w:r w:rsidR="00136281" w:rsidRPr="005A464E">
        <w:rPr>
          <w:sz w:val="24"/>
          <w:szCs w:val="24"/>
          <w:lang w:val="en-US" w:eastAsia="el-GR"/>
        </w:rPr>
        <w:t>QoL</w:t>
      </w:r>
      <w:r w:rsidR="00684592">
        <w:rPr>
          <w:sz w:val="24"/>
          <w:szCs w:val="24"/>
          <w:lang w:val="en-US" w:eastAsia="el-GR"/>
        </w:rPr>
        <w:t>I</w:t>
      </w:r>
      <w:r w:rsidR="00136281" w:rsidRPr="005A464E">
        <w:rPr>
          <w:sz w:val="24"/>
          <w:szCs w:val="24"/>
          <w:lang w:eastAsia="el-GR"/>
        </w:rPr>
        <w:t>-15)</w:t>
      </w:r>
      <w:r w:rsidRPr="005A464E">
        <w:rPr>
          <w:sz w:val="24"/>
          <w:szCs w:val="24"/>
          <w:lang w:eastAsia="el-GR"/>
        </w:rPr>
        <w:t xml:space="preserve"> και αμέσως μετά ακολούθησε η ατομική εκπαιδευτική παρέμβαση.</w:t>
      </w:r>
      <w:r w:rsidRPr="005A464E">
        <w:t xml:space="preserve"> </w:t>
      </w:r>
      <w:r w:rsidRPr="005A464E">
        <w:rPr>
          <w:sz w:val="24"/>
          <w:szCs w:val="24"/>
          <w:lang w:eastAsia="el-GR"/>
        </w:rPr>
        <w:t xml:space="preserve">Δόθηκε </w:t>
      </w:r>
      <w:r w:rsidRPr="00B93B5A">
        <w:rPr>
          <w:i/>
          <w:sz w:val="24"/>
          <w:szCs w:val="24"/>
          <w:lang w:eastAsia="el-GR"/>
        </w:rPr>
        <w:t xml:space="preserve">έντυπο ενημερωτικό </w:t>
      </w:r>
      <w:r w:rsidRPr="00236EBF">
        <w:rPr>
          <w:i/>
          <w:sz w:val="24"/>
          <w:szCs w:val="24"/>
          <w:lang w:eastAsia="el-GR"/>
        </w:rPr>
        <w:t>υλικό</w:t>
      </w:r>
      <w:r w:rsidRPr="00236EBF">
        <w:rPr>
          <w:sz w:val="24"/>
          <w:szCs w:val="24"/>
          <w:lang w:eastAsia="el-GR"/>
        </w:rPr>
        <w:t xml:space="preserve"> </w:t>
      </w:r>
      <w:r w:rsidR="002D5F1E" w:rsidRPr="00236EBF">
        <w:rPr>
          <w:sz w:val="24"/>
          <w:szCs w:val="24"/>
          <w:lang w:eastAsia="el-GR"/>
        </w:rPr>
        <w:t xml:space="preserve">(ΠΑΡΑΡΤΗΜΑ) </w:t>
      </w:r>
      <w:r w:rsidRPr="00236EBF">
        <w:rPr>
          <w:sz w:val="24"/>
          <w:szCs w:val="24"/>
          <w:lang w:eastAsia="el-GR"/>
        </w:rPr>
        <w:t>στην</w:t>
      </w:r>
      <w:r w:rsidRPr="005A464E">
        <w:rPr>
          <w:sz w:val="24"/>
          <w:szCs w:val="24"/>
          <w:lang w:eastAsia="el-GR"/>
        </w:rPr>
        <w:t xml:space="preserve"> ελληνική γλώσσα σχετικό με τις</w:t>
      </w:r>
      <w:r w:rsidR="00414291" w:rsidRPr="005A464E">
        <w:rPr>
          <w:sz w:val="24"/>
          <w:szCs w:val="24"/>
          <w:lang w:eastAsia="el-GR"/>
        </w:rPr>
        <w:t xml:space="preserve"> εξής</w:t>
      </w:r>
      <w:r w:rsidRPr="005A464E">
        <w:rPr>
          <w:sz w:val="24"/>
          <w:szCs w:val="24"/>
          <w:lang w:eastAsia="el-GR"/>
        </w:rPr>
        <w:t xml:space="preserve"> θεματικές ενότητες</w:t>
      </w:r>
      <w:r w:rsidR="00414291" w:rsidRPr="005A464E">
        <w:rPr>
          <w:sz w:val="24"/>
          <w:szCs w:val="24"/>
          <w:lang w:eastAsia="el-GR"/>
        </w:rPr>
        <w:t>:</w:t>
      </w:r>
    </w:p>
    <w:p w:rsidR="00BD220E" w:rsidRPr="005A464E" w:rsidRDefault="002A44DB" w:rsidP="00DB466F">
      <w:pPr>
        <w:pStyle w:val="a5"/>
        <w:numPr>
          <w:ilvl w:val="0"/>
          <w:numId w:val="45"/>
        </w:numPr>
        <w:spacing w:line="360" w:lineRule="auto"/>
        <w:jc w:val="both"/>
        <w:rPr>
          <w:rFonts w:cs="Arial"/>
          <w:sz w:val="24"/>
          <w:szCs w:val="24"/>
          <w:lang w:eastAsia="el-GR"/>
        </w:rPr>
      </w:pPr>
      <w:r w:rsidRPr="005A464E">
        <w:rPr>
          <w:rFonts w:cs="Arial"/>
          <w:sz w:val="24"/>
          <w:szCs w:val="24"/>
          <w:lang w:eastAsia="el-GR"/>
        </w:rPr>
        <w:t>Ανατομία και λ</w:t>
      </w:r>
      <w:r w:rsidR="00BD220E" w:rsidRPr="005A464E">
        <w:rPr>
          <w:rFonts w:cs="Arial"/>
          <w:sz w:val="24"/>
          <w:szCs w:val="24"/>
          <w:lang w:eastAsia="el-GR"/>
        </w:rPr>
        <w:t>ειτουργία νεφρών</w:t>
      </w:r>
      <w:r w:rsidR="00B93B5A">
        <w:rPr>
          <w:rFonts w:cs="Arial"/>
          <w:sz w:val="24"/>
          <w:szCs w:val="24"/>
          <w:lang w:val="en-US" w:eastAsia="el-GR"/>
        </w:rPr>
        <w:t>.</w:t>
      </w:r>
    </w:p>
    <w:p w:rsidR="00BD220E" w:rsidRPr="005A464E" w:rsidRDefault="000653D3" w:rsidP="00DB466F">
      <w:pPr>
        <w:pStyle w:val="a5"/>
        <w:numPr>
          <w:ilvl w:val="0"/>
          <w:numId w:val="42"/>
        </w:numPr>
        <w:spacing w:after="0" w:line="360" w:lineRule="auto"/>
        <w:ind w:right="-334"/>
        <w:jc w:val="both"/>
        <w:rPr>
          <w:rFonts w:cs="Arial"/>
          <w:sz w:val="24"/>
          <w:szCs w:val="24"/>
          <w:lang w:eastAsia="el-GR"/>
        </w:rPr>
      </w:pPr>
      <w:r>
        <w:rPr>
          <w:rFonts w:cs="Arial"/>
          <w:sz w:val="24"/>
          <w:szCs w:val="24"/>
          <w:lang w:eastAsia="el-GR"/>
        </w:rPr>
        <w:t>ΧΝΝ</w:t>
      </w:r>
      <w:r w:rsidR="00B93B5A">
        <w:rPr>
          <w:rFonts w:cs="Arial"/>
          <w:sz w:val="24"/>
          <w:szCs w:val="24"/>
          <w:lang w:val="en-US" w:eastAsia="el-GR"/>
        </w:rPr>
        <w:t>.</w:t>
      </w:r>
    </w:p>
    <w:p w:rsidR="00BD220E" w:rsidRPr="005A464E" w:rsidRDefault="00BD220E" w:rsidP="00DB466F">
      <w:pPr>
        <w:pStyle w:val="a5"/>
        <w:numPr>
          <w:ilvl w:val="0"/>
          <w:numId w:val="42"/>
        </w:numPr>
        <w:spacing w:after="0" w:line="360" w:lineRule="auto"/>
        <w:ind w:right="-334"/>
        <w:jc w:val="both"/>
        <w:rPr>
          <w:rFonts w:cs="Arial"/>
          <w:sz w:val="24"/>
          <w:szCs w:val="24"/>
          <w:lang w:eastAsia="el-GR"/>
        </w:rPr>
      </w:pPr>
      <w:r w:rsidRPr="005A464E">
        <w:rPr>
          <w:rFonts w:cs="Arial"/>
          <w:sz w:val="24"/>
          <w:szCs w:val="24"/>
          <w:lang w:eastAsia="el-GR"/>
        </w:rPr>
        <w:t>Περιορισμοί ως προς τη δίαιτα και τα υγρά</w:t>
      </w:r>
      <w:r w:rsidR="00B93B5A" w:rsidRPr="00B93B5A">
        <w:rPr>
          <w:rFonts w:cs="Arial"/>
          <w:sz w:val="24"/>
          <w:szCs w:val="24"/>
          <w:lang w:eastAsia="el-GR"/>
        </w:rPr>
        <w:t>.</w:t>
      </w:r>
    </w:p>
    <w:p w:rsidR="00BD220E" w:rsidRPr="005A464E" w:rsidRDefault="00BD220E" w:rsidP="00DB466F">
      <w:pPr>
        <w:pStyle w:val="a5"/>
        <w:numPr>
          <w:ilvl w:val="0"/>
          <w:numId w:val="42"/>
        </w:numPr>
        <w:spacing w:after="0" w:line="360" w:lineRule="auto"/>
        <w:ind w:right="-334"/>
        <w:jc w:val="both"/>
        <w:rPr>
          <w:rFonts w:cs="Arial"/>
          <w:sz w:val="24"/>
          <w:szCs w:val="24"/>
          <w:lang w:eastAsia="el-GR"/>
        </w:rPr>
      </w:pPr>
      <w:r w:rsidRPr="005A464E">
        <w:rPr>
          <w:rFonts w:cs="Arial"/>
          <w:sz w:val="24"/>
          <w:szCs w:val="24"/>
          <w:lang w:eastAsia="el-GR"/>
        </w:rPr>
        <w:t>Φαρμακευτικ</w:t>
      </w:r>
      <w:r w:rsidR="00B93B5A">
        <w:rPr>
          <w:rFonts w:cs="Arial"/>
          <w:sz w:val="24"/>
          <w:szCs w:val="24"/>
          <w:lang w:eastAsia="el-GR"/>
        </w:rPr>
        <w:t>ή αγωγή</w:t>
      </w:r>
      <w:r w:rsidR="00B93B5A">
        <w:rPr>
          <w:rFonts w:cs="Arial"/>
          <w:sz w:val="24"/>
          <w:szCs w:val="24"/>
          <w:lang w:val="en-US" w:eastAsia="el-GR"/>
        </w:rPr>
        <w:t>.</w:t>
      </w:r>
    </w:p>
    <w:p w:rsidR="00BD220E" w:rsidRPr="005A464E" w:rsidRDefault="00BD220E" w:rsidP="00DB466F">
      <w:pPr>
        <w:pStyle w:val="a5"/>
        <w:numPr>
          <w:ilvl w:val="0"/>
          <w:numId w:val="42"/>
        </w:numPr>
        <w:spacing w:after="0" w:line="360" w:lineRule="auto"/>
        <w:ind w:right="-334"/>
        <w:jc w:val="both"/>
        <w:rPr>
          <w:rFonts w:cs="Arial"/>
          <w:sz w:val="24"/>
          <w:szCs w:val="24"/>
          <w:lang w:eastAsia="el-GR"/>
        </w:rPr>
      </w:pPr>
      <w:r w:rsidRPr="005A464E">
        <w:rPr>
          <w:rFonts w:cs="Arial"/>
          <w:sz w:val="24"/>
          <w:szCs w:val="24"/>
          <w:lang w:eastAsia="el-GR"/>
        </w:rPr>
        <w:t>Εργαστηριακές εξετάσεις (αιματοκρίτης, κάλιο, νάτριο)</w:t>
      </w:r>
      <w:r w:rsidR="00B93B5A" w:rsidRPr="00B93B5A">
        <w:rPr>
          <w:rFonts w:cs="Arial"/>
          <w:sz w:val="24"/>
          <w:szCs w:val="24"/>
          <w:lang w:eastAsia="el-GR"/>
        </w:rPr>
        <w:t>.</w:t>
      </w:r>
    </w:p>
    <w:p w:rsidR="00BD220E" w:rsidRPr="005A464E" w:rsidRDefault="00BD220E" w:rsidP="00DB466F">
      <w:pPr>
        <w:pStyle w:val="a5"/>
        <w:numPr>
          <w:ilvl w:val="0"/>
          <w:numId w:val="42"/>
        </w:numPr>
        <w:spacing w:after="0" w:line="360" w:lineRule="auto"/>
        <w:ind w:right="-334"/>
        <w:jc w:val="both"/>
        <w:rPr>
          <w:rFonts w:cs="Arial"/>
          <w:sz w:val="24"/>
          <w:szCs w:val="24"/>
          <w:lang w:eastAsia="el-GR"/>
        </w:rPr>
      </w:pPr>
      <w:r w:rsidRPr="005A464E">
        <w:rPr>
          <w:rFonts w:cs="Arial"/>
          <w:sz w:val="24"/>
          <w:szCs w:val="24"/>
          <w:lang w:eastAsia="el-GR"/>
        </w:rPr>
        <w:t>Παθολογικές καταστάσεις που συ</w:t>
      </w:r>
      <w:r w:rsidR="007730A7">
        <w:rPr>
          <w:rFonts w:cs="Arial"/>
          <w:sz w:val="24"/>
          <w:szCs w:val="24"/>
          <w:lang w:eastAsia="el-GR"/>
        </w:rPr>
        <w:t>νδέονται με τη ΧΝΝ</w:t>
      </w:r>
      <w:r w:rsidR="009A1589" w:rsidRPr="005A464E">
        <w:rPr>
          <w:rFonts w:cs="Arial"/>
          <w:sz w:val="24"/>
          <w:szCs w:val="24"/>
          <w:lang w:eastAsia="el-GR"/>
        </w:rPr>
        <w:t xml:space="preserve"> (Υπέρταση</w:t>
      </w:r>
      <w:r w:rsidRPr="005A464E">
        <w:rPr>
          <w:rFonts w:cs="Arial"/>
          <w:sz w:val="24"/>
          <w:szCs w:val="24"/>
          <w:lang w:eastAsia="el-GR"/>
        </w:rPr>
        <w:t>, Σακχαρώδης Διαβήτης)</w:t>
      </w:r>
      <w:r w:rsidR="00B93B5A" w:rsidRPr="00B93B5A">
        <w:rPr>
          <w:rFonts w:cs="Arial"/>
          <w:sz w:val="24"/>
          <w:szCs w:val="24"/>
          <w:lang w:eastAsia="el-GR"/>
        </w:rPr>
        <w:t>.</w:t>
      </w:r>
    </w:p>
    <w:p w:rsidR="002A44DB" w:rsidRPr="005A464E" w:rsidRDefault="002A44DB" w:rsidP="00DB466F">
      <w:pPr>
        <w:pStyle w:val="a5"/>
        <w:numPr>
          <w:ilvl w:val="0"/>
          <w:numId w:val="42"/>
        </w:numPr>
        <w:spacing w:after="0" w:line="360" w:lineRule="auto"/>
        <w:ind w:right="-334"/>
        <w:jc w:val="both"/>
        <w:rPr>
          <w:rFonts w:cs="Arial"/>
          <w:sz w:val="24"/>
          <w:szCs w:val="24"/>
          <w:lang w:eastAsia="el-GR"/>
        </w:rPr>
      </w:pPr>
      <w:r w:rsidRPr="005A464E">
        <w:rPr>
          <w:rFonts w:cs="Arial"/>
          <w:sz w:val="24"/>
          <w:szCs w:val="24"/>
          <w:lang w:eastAsia="el-GR"/>
        </w:rPr>
        <w:t>Μεταμόσχευση</w:t>
      </w:r>
      <w:r w:rsidR="00B93B5A">
        <w:rPr>
          <w:rFonts w:cs="Arial"/>
          <w:sz w:val="24"/>
          <w:szCs w:val="24"/>
          <w:lang w:val="en-US" w:eastAsia="el-GR"/>
        </w:rPr>
        <w:t>.</w:t>
      </w:r>
    </w:p>
    <w:p w:rsidR="002A2C76" w:rsidRPr="00B93B5A" w:rsidRDefault="002A44DB" w:rsidP="00B93B5A">
      <w:pPr>
        <w:pStyle w:val="a5"/>
        <w:numPr>
          <w:ilvl w:val="0"/>
          <w:numId w:val="42"/>
        </w:numPr>
        <w:spacing w:after="0" w:line="360" w:lineRule="auto"/>
        <w:ind w:right="-334"/>
        <w:jc w:val="both"/>
        <w:rPr>
          <w:rFonts w:cs="Arial"/>
          <w:sz w:val="24"/>
          <w:szCs w:val="24"/>
          <w:lang w:eastAsia="el-GR"/>
        </w:rPr>
      </w:pPr>
      <w:r w:rsidRPr="005A464E">
        <w:rPr>
          <w:rFonts w:cs="Arial"/>
          <w:sz w:val="24"/>
          <w:szCs w:val="24"/>
          <w:lang w:eastAsia="el-GR"/>
        </w:rPr>
        <w:t>Περιτοναϊκή κάθαρση</w:t>
      </w:r>
      <w:r w:rsidR="00B93B5A">
        <w:rPr>
          <w:rFonts w:cs="Arial"/>
          <w:sz w:val="24"/>
          <w:szCs w:val="24"/>
          <w:lang w:val="en-US" w:eastAsia="el-GR"/>
        </w:rPr>
        <w:t>.</w:t>
      </w:r>
    </w:p>
    <w:p w:rsidR="00B93B5A" w:rsidRPr="00B93B5A" w:rsidRDefault="00B93B5A" w:rsidP="009B43FE">
      <w:pPr>
        <w:pStyle w:val="a5"/>
        <w:spacing w:after="0" w:line="360" w:lineRule="auto"/>
        <w:ind w:left="360" w:right="-334"/>
        <w:jc w:val="both"/>
        <w:rPr>
          <w:rFonts w:cs="Arial"/>
          <w:sz w:val="24"/>
          <w:szCs w:val="24"/>
          <w:lang w:eastAsia="el-GR"/>
        </w:rPr>
      </w:pPr>
    </w:p>
    <w:p w:rsidR="00067E64" w:rsidRPr="00236EBF" w:rsidRDefault="00866AD5" w:rsidP="005A464E">
      <w:pPr>
        <w:spacing w:after="0" w:line="360" w:lineRule="auto"/>
        <w:ind w:right="-334"/>
        <w:jc w:val="both"/>
        <w:rPr>
          <w:rFonts w:cs="Arial"/>
          <w:b/>
          <w:sz w:val="24"/>
          <w:szCs w:val="24"/>
          <w:lang w:eastAsia="el-GR"/>
        </w:rPr>
      </w:pPr>
      <w:r w:rsidRPr="005A464E">
        <w:rPr>
          <w:rFonts w:cs="Arial"/>
          <w:b/>
          <w:sz w:val="24"/>
          <w:szCs w:val="24"/>
          <w:lang w:eastAsia="el-GR"/>
        </w:rPr>
        <w:t xml:space="preserve">Η </w:t>
      </w:r>
      <w:r w:rsidRPr="00236EBF">
        <w:rPr>
          <w:rFonts w:cs="Arial"/>
          <w:b/>
          <w:sz w:val="24"/>
          <w:szCs w:val="24"/>
          <w:lang w:eastAsia="el-GR"/>
        </w:rPr>
        <w:t>συμβουλ</w:t>
      </w:r>
      <w:r w:rsidR="00067E64" w:rsidRPr="00236EBF">
        <w:rPr>
          <w:rFonts w:cs="Arial"/>
          <w:b/>
          <w:sz w:val="24"/>
          <w:szCs w:val="24"/>
          <w:lang w:eastAsia="el-GR"/>
        </w:rPr>
        <w:t>ευτική παρέμβαση περιελάμβανε:</w:t>
      </w:r>
    </w:p>
    <w:p w:rsidR="00067E64" w:rsidRPr="00236EBF" w:rsidRDefault="00067E64" w:rsidP="00DB466F">
      <w:pPr>
        <w:pStyle w:val="a5"/>
        <w:numPr>
          <w:ilvl w:val="0"/>
          <w:numId w:val="44"/>
        </w:numPr>
        <w:spacing w:after="0" w:line="360" w:lineRule="auto"/>
        <w:ind w:right="-334"/>
        <w:jc w:val="both"/>
        <w:rPr>
          <w:rFonts w:cs="Arial"/>
          <w:sz w:val="24"/>
          <w:szCs w:val="24"/>
          <w:lang w:eastAsia="el-GR"/>
        </w:rPr>
      </w:pPr>
      <w:r w:rsidRPr="00236EBF">
        <w:rPr>
          <w:rFonts w:cs="Arial"/>
          <w:sz w:val="24"/>
          <w:szCs w:val="24"/>
          <w:lang w:eastAsia="el-GR"/>
        </w:rPr>
        <w:t>Την χορήγη</w:t>
      </w:r>
      <w:r w:rsidR="00414291" w:rsidRPr="00236EBF">
        <w:rPr>
          <w:rFonts w:cs="Arial"/>
          <w:sz w:val="24"/>
          <w:szCs w:val="24"/>
          <w:lang w:eastAsia="el-GR"/>
        </w:rPr>
        <w:t xml:space="preserve">ση του </w:t>
      </w:r>
      <w:r w:rsidRPr="00236EBF">
        <w:rPr>
          <w:rFonts w:cs="Arial"/>
          <w:sz w:val="24"/>
          <w:szCs w:val="24"/>
          <w:lang w:eastAsia="el-GR"/>
        </w:rPr>
        <w:t>ε</w:t>
      </w:r>
      <w:r w:rsidR="00EC1A6B" w:rsidRPr="00236EBF">
        <w:rPr>
          <w:rFonts w:cs="Arial"/>
          <w:sz w:val="24"/>
          <w:szCs w:val="24"/>
          <w:lang w:eastAsia="el-GR"/>
        </w:rPr>
        <w:t>νημερωτικού εντύπου «Αιμοκάθαρση. Απαντήσεις σε συνήθη ερωτήματα»</w:t>
      </w:r>
      <w:r w:rsidR="0078495A" w:rsidRPr="00236EBF">
        <w:rPr>
          <w:rFonts w:cs="Arial"/>
          <w:sz w:val="24"/>
          <w:szCs w:val="24"/>
          <w:lang w:eastAsia="el-GR"/>
        </w:rPr>
        <w:t xml:space="preserve"> </w:t>
      </w:r>
      <w:r w:rsidRPr="00236EBF">
        <w:rPr>
          <w:rFonts w:cs="Arial"/>
          <w:sz w:val="24"/>
          <w:szCs w:val="24"/>
          <w:lang w:eastAsia="el-GR"/>
        </w:rPr>
        <w:t>που επιμελήθηκε η ίδια η ερευνήτρια</w:t>
      </w:r>
      <w:r w:rsidR="00283ED3" w:rsidRPr="00236EBF">
        <w:rPr>
          <w:rFonts w:cs="Arial"/>
          <w:sz w:val="24"/>
          <w:szCs w:val="24"/>
          <w:lang w:eastAsia="el-GR"/>
        </w:rPr>
        <w:t xml:space="preserve"> (</w:t>
      </w:r>
      <w:r w:rsidR="00236EBF" w:rsidRPr="00236EBF">
        <w:rPr>
          <w:rFonts w:cs="Arial"/>
          <w:sz w:val="24"/>
          <w:szCs w:val="24"/>
          <w:lang w:eastAsia="el-GR"/>
        </w:rPr>
        <w:t>Αλικάρη, 2017)</w:t>
      </w:r>
      <w:r w:rsidRPr="00236EBF">
        <w:rPr>
          <w:rFonts w:cs="Arial"/>
          <w:sz w:val="24"/>
          <w:szCs w:val="24"/>
          <w:lang w:eastAsia="el-GR"/>
        </w:rPr>
        <w:t>.</w:t>
      </w:r>
    </w:p>
    <w:p w:rsidR="00067E64" w:rsidRPr="005A464E" w:rsidRDefault="00067E64" w:rsidP="00DB466F">
      <w:pPr>
        <w:pStyle w:val="a5"/>
        <w:numPr>
          <w:ilvl w:val="0"/>
          <w:numId w:val="44"/>
        </w:numPr>
        <w:spacing w:after="0" w:line="360" w:lineRule="auto"/>
        <w:ind w:right="-334"/>
        <w:jc w:val="both"/>
        <w:rPr>
          <w:rFonts w:cs="Arial"/>
          <w:sz w:val="24"/>
          <w:szCs w:val="24"/>
          <w:lang w:eastAsia="el-GR"/>
        </w:rPr>
      </w:pPr>
      <w:r w:rsidRPr="00236EBF">
        <w:rPr>
          <w:rFonts w:cs="Arial"/>
          <w:sz w:val="24"/>
          <w:szCs w:val="24"/>
          <w:lang w:eastAsia="el-GR"/>
        </w:rPr>
        <w:t>Τη διάθεση χρόνου στους</w:t>
      </w:r>
      <w:r w:rsidRPr="005A464E">
        <w:rPr>
          <w:rFonts w:cs="Arial"/>
          <w:sz w:val="24"/>
          <w:szCs w:val="24"/>
          <w:lang w:eastAsia="el-GR"/>
        </w:rPr>
        <w:t xml:space="preserve"> ασθενείς ώστε να μελετήσουν το έντυπο</w:t>
      </w:r>
      <w:r w:rsidR="002A2C76" w:rsidRPr="005A464E">
        <w:rPr>
          <w:rFonts w:cs="Arial"/>
          <w:sz w:val="24"/>
          <w:szCs w:val="24"/>
          <w:lang w:eastAsia="el-GR"/>
        </w:rPr>
        <w:t>,</w:t>
      </w:r>
      <w:r w:rsidRPr="005A464E">
        <w:rPr>
          <w:rFonts w:cs="Arial"/>
          <w:sz w:val="24"/>
          <w:szCs w:val="24"/>
          <w:lang w:eastAsia="el-GR"/>
        </w:rPr>
        <w:t xml:space="preserve"> να εκφράσουν τυχόν απορίες</w:t>
      </w:r>
      <w:r w:rsidR="002A2C76" w:rsidRPr="005A464E">
        <w:rPr>
          <w:rFonts w:cs="Arial"/>
          <w:sz w:val="24"/>
          <w:szCs w:val="24"/>
          <w:lang w:eastAsia="el-GR"/>
        </w:rPr>
        <w:t xml:space="preserve"> και να τονίσουν τα σημεία</w:t>
      </w:r>
      <w:r w:rsidR="003619B2">
        <w:rPr>
          <w:rFonts w:cs="Arial"/>
          <w:sz w:val="24"/>
          <w:szCs w:val="24"/>
          <w:lang w:eastAsia="el-GR"/>
        </w:rPr>
        <w:t>,</w:t>
      </w:r>
      <w:r w:rsidR="002A2C76" w:rsidRPr="005A464E">
        <w:rPr>
          <w:rFonts w:cs="Arial"/>
          <w:sz w:val="24"/>
          <w:szCs w:val="24"/>
          <w:lang w:eastAsia="el-GR"/>
        </w:rPr>
        <w:t xml:space="preserve"> τα οποία δεν ήταν κατανοητά.</w:t>
      </w:r>
    </w:p>
    <w:p w:rsidR="00067E64" w:rsidRDefault="00067E64" w:rsidP="00DB466F">
      <w:pPr>
        <w:pStyle w:val="a5"/>
        <w:numPr>
          <w:ilvl w:val="0"/>
          <w:numId w:val="44"/>
        </w:numPr>
        <w:spacing w:after="0" w:line="360" w:lineRule="auto"/>
        <w:ind w:right="-334"/>
        <w:jc w:val="both"/>
        <w:rPr>
          <w:rFonts w:cs="Arial"/>
          <w:sz w:val="24"/>
          <w:szCs w:val="24"/>
          <w:lang w:eastAsia="el-GR"/>
        </w:rPr>
      </w:pPr>
      <w:r w:rsidRPr="005A464E">
        <w:rPr>
          <w:rFonts w:cs="Arial"/>
          <w:sz w:val="24"/>
          <w:szCs w:val="24"/>
          <w:lang w:eastAsia="el-GR"/>
        </w:rPr>
        <w:t xml:space="preserve">Την εξατομικευμένη </w:t>
      </w:r>
      <w:r w:rsidR="00854322" w:rsidRPr="00236EBF">
        <w:rPr>
          <w:rFonts w:cs="Arial"/>
          <w:sz w:val="24"/>
          <w:szCs w:val="24"/>
          <w:lang w:eastAsia="el-GR"/>
        </w:rPr>
        <w:t xml:space="preserve">συμβουλευτική </w:t>
      </w:r>
      <w:r w:rsidR="001B63BB" w:rsidRPr="00236EBF">
        <w:rPr>
          <w:rFonts w:cs="Arial"/>
          <w:sz w:val="24"/>
          <w:szCs w:val="24"/>
          <w:lang w:eastAsia="el-GR"/>
        </w:rPr>
        <w:t>παρέμβαση στους ασθενείς</w:t>
      </w:r>
      <w:r w:rsidRPr="00236EBF">
        <w:rPr>
          <w:rFonts w:cs="Arial"/>
          <w:sz w:val="24"/>
          <w:szCs w:val="24"/>
          <w:lang w:eastAsia="el-GR"/>
        </w:rPr>
        <w:t>.</w:t>
      </w:r>
      <w:r w:rsidRPr="005A464E">
        <w:rPr>
          <w:rFonts w:cs="Arial"/>
          <w:sz w:val="24"/>
          <w:szCs w:val="24"/>
          <w:lang w:eastAsia="el-GR"/>
        </w:rPr>
        <w:t xml:space="preserve"> Συγκεκριμένα, </w:t>
      </w:r>
      <w:r w:rsidR="002A2C76" w:rsidRPr="005A464E">
        <w:rPr>
          <w:rFonts w:cs="Arial"/>
          <w:sz w:val="24"/>
          <w:szCs w:val="24"/>
          <w:lang w:eastAsia="el-GR"/>
        </w:rPr>
        <w:t xml:space="preserve">η ερευνήτρια </w:t>
      </w:r>
      <w:r w:rsidR="00236EBF">
        <w:rPr>
          <w:rFonts w:cs="Arial"/>
          <w:sz w:val="24"/>
          <w:szCs w:val="24"/>
          <w:lang w:eastAsia="el-GR"/>
        </w:rPr>
        <w:t>παρείχε</w:t>
      </w:r>
      <w:r w:rsidR="00283ED3">
        <w:rPr>
          <w:rFonts w:cs="Arial"/>
          <w:sz w:val="24"/>
          <w:szCs w:val="24"/>
          <w:lang w:eastAsia="el-GR"/>
        </w:rPr>
        <w:t xml:space="preserve"> εκπαιδευτικό πρόγραμμα στ</w:t>
      </w:r>
      <w:r w:rsidRPr="005A464E">
        <w:rPr>
          <w:rFonts w:cs="Arial"/>
          <w:sz w:val="24"/>
          <w:szCs w:val="24"/>
          <w:lang w:eastAsia="el-GR"/>
        </w:rPr>
        <w:t xml:space="preserve">ους ασθενείς με βάση το περιεχόμενο του εντύπου, τις θεματικές ενότητες στις οποίες αναφέρεται η κλίμακα </w:t>
      </w:r>
      <w:r w:rsidRPr="005A464E">
        <w:rPr>
          <w:rFonts w:cs="Arial"/>
          <w:sz w:val="24"/>
          <w:szCs w:val="24"/>
          <w:lang w:val="en-US" w:eastAsia="el-GR"/>
        </w:rPr>
        <w:t>KDQ</w:t>
      </w:r>
      <w:r w:rsidRPr="005A464E">
        <w:rPr>
          <w:rFonts w:cs="Arial"/>
          <w:sz w:val="24"/>
          <w:szCs w:val="24"/>
          <w:lang w:eastAsia="el-GR"/>
        </w:rPr>
        <w:t xml:space="preserve"> αλλά και τις εκπαιδευτικές ανάγκες του κάθε ασθενή ξεχωριστ</w:t>
      </w:r>
      <w:r w:rsidR="002A2C76" w:rsidRPr="005A464E">
        <w:rPr>
          <w:rFonts w:cs="Arial"/>
          <w:sz w:val="24"/>
          <w:szCs w:val="24"/>
          <w:lang w:eastAsia="el-GR"/>
        </w:rPr>
        <w:t>ά.</w:t>
      </w:r>
    </w:p>
    <w:p w:rsidR="00236EBF" w:rsidRPr="00236EBF" w:rsidRDefault="00236EBF" w:rsidP="00236EBF">
      <w:pPr>
        <w:spacing w:after="0" w:line="360" w:lineRule="auto"/>
        <w:ind w:right="-334"/>
        <w:jc w:val="both"/>
        <w:rPr>
          <w:rFonts w:cs="Arial"/>
          <w:sz w:val="24"/>
          <w:szCs w:val="24"/>
          <w:lang w:eastAsia="el-GR"/>
        </w:rPr>
      </w:pPr>
    </w:p>
    <w:p w:rsidR="00B84B68" w:rsidRDefault="002A44DB" w:rsidP="005A464E">
      <w:pPr>
        <w:spacing w:after="0" w:line="360" w:lineRule="auto"/>
        <w:ind w:right="-334"/>
        <w:jc w:val="both"/>
        <w:rPr>
          <w:rFonts w:cs="Arial"/>
          <w:sz w:val="24"/>
          <w:szCs w:val="24"/>
          <w:lang w:eastAsia="el-GR"/>
        </w:rPr>
      </w:pPr>
      <w:r w:rsidRPr="005A464E">
        <w:rPr>
          <w:rFonts w:cs="Arial"/>
          <w:sz w:val="24"/>
          <w:szCs w:val="24"/>
          <w:lang w:eastAsia="el-GR"/>
        </w:rPr>
        <w:t xml:space="preserve">Η </w:t>
      </w:r>
      <w:r w:rsidR="00283ED3">
        <w:rPr>
          <w:rFonts w:cs="Arial"/>
          <w:sz w:val="24"/>
          <w:szCs w:val="24"/>
          <w:lang w:eastAsia="el-GR"/>
        </w:rPr>
        <w:t xml:space="preserve">εξατομικευμένη </w:t>
      </w:r>
      <w:r w:rsidR="00854322">
        <w:rPr>
          <w:rFonts w:cs="Arial"/>
          <w:sz w:val="24"/>
          <w:szCs w:val="24"/>
          <w:lang w:eastAsia="el-GR"/>
        </w:rPr>
        <w:t xml:space="preserve">συμβουλευτική </w:t>
      </w:r>
      <w:r w:rsidRPr="005A464E">
        <w:rPr>
          <w:rFonts w:cs="Arial"/>
          <w:sz w:val="24"/>
          <w:szCs w:val="24"/>
          <w:lang w:eastAsia="el-GR"/>
        </w:rPr>
        <w:t>παρέμβαση</w:t>
      </w:r>
      <w:r w:rsidR="00283ED3">
        <w:rPr>
          <w:rFonts w:cs="Arial"/>
          <w:sz w:val="24"/>
          <w:szCs w:val="24"/>
          <w:lang w:eastAsia="el-GR"/>
        </w:rPr>
        <w:t xml:space="preserve"> </w:t>
      </w:r>
      <w:r w:rsidR="00854322" w:rsidRPr="005A464E">
        <w:rPr>
          <w:rFonts w:cs="Arial"/>
          <w:sz w:val="24"/>
          <w:szCs w:val="24"/>
          <w:lang w:eastAsia="el-GR"/>
        </w:rPr>
        <w:t>πραγματοποιήθηκε κατά τη διάρκεια της συνεδρίας αιμοκάθαρσης</w:t>
      </w:r>
      <w:r w:rsidR="00854322">
        <w:rPr>
          <w:rFonts w:cs="Arial"/>
          <w:sz w:val="24"/>
          <w:szCs w:val="24"/>
          <w:lang w:eastAsia="el-GR"/>
        </w:rPr>
        <w:t xml:space="preserve"> και</w:t>
      </w:r>
      <w:r w:rsidRPr="005A464E">
        <w:rPr>
          <w:rFonts w:cs="Arial"/>
          <w:sz w:val="24"/>
          <w:szCs w:val="24"/>
          <w:lang w:eastAsia="el-GR"/>
        </w:rPr>
        <w:t xml:space="preserve"> διήρκησε</w:t>
      </w:r>
      <w:r w:rsidR="007E6F1F" w:rsidRPr="005A464E">
        <w:rPr>
          <w:rFonts w:cs="Arial"/>
          <w:sz w:val="24"/>
          <w:szCs w:val="24"/>
          <w:lang w:eastAsia="el-GR"/>
        </w:rPr>
        <w:t xml:space="preserve"> περίπου 45</w:t>
      </w:r>
      <w:r w:rsidR="00283ED3">
        <w:rPr>
          <w:rFonts w:cs="Arial"/>
          <w:sz w:val="24"/>
          <w:szCs w:val="24"/>
          <w:lang w:eastAsia="el-GR"/>
        </w:rPr>
        <w:t>΄</w:t>
      </w:r>
      <w:r w:rsidRPr="005A464E">
        <w:rPr>
          <w:rFonts w:cs="Arial"/>
          <w:sz w:val="24"/>
          <w:szCs w:val="24"/>
          <w:lang w:eastAsia="el-GR"/>
        </w:rPr>
        <w:t xml:space="preserve">. </w:t>
      </w:r>
      <w:r w:rsidR="002A2C76" w:rsidRPr="005A464E">
        <w:rPr>
          <w:rFonts w:cs="Arial"/>
          <w:sz w:val="24"/>
          <w:szCs w:val="24"/>
          <w:lang w:eastAsia="el-GR"/>
        </w:rPr>
        <w:t>Η χρονική διάρκεια τη</w:t>
      </w:r>
      <w:r w:rsidR="00854322">
        <w:rPr>
          <w:rFonts w:cs="Arial"/>
          <w:sz w:val="24"/>
          <w:szCs w:val="24"/>
          <w:lang w:eastAsia="el-GR"/>
        </w:rPr>
        <w:t xml:space="preserve">ς εκπαιδευτικής παρέμβασης </w:t>
      </w:r>
      <w:r w:rsidR="00283ED3">
        <w:rPr>
          <w:rFonts w:cs="Arial"/>
          <w:sz w:val="24"/>
          <w:szCs w:val="24"/>
          <w:lang w:eastAsia="el-GR"/>
        </w:rPr>
        <w:t xml:space="preserve">διαμορφώθηκε </w:t>
      </w:r>
      <w:r w:rsidR="002A2C76" w:rsidRPr="005A464E">
        <w:rPr>
          <w:rFonts w:cs="Arial"/>
          <w:sz w:val="24"/>
          <w:szCs w:val="24"/>
          <w:lang w:eastAsia="el-GR"/>
        </w:rPr>
        <w:t xml:space="preserve">ανάλογα με το </w:t>
      </w:r>
      <w:r w:rsidR="000D053B">
        <w:rPr>
          <w:rFonts w:cs="Arial"/>
          <w:sz w:val="24"/>
          <w:szCs w:val="24"/>
          <w:lang w:eastAsia="el-GR"/>
        </w:rPr>
        <w:t>εκπαιδευτικό</w:t>
      </w:r>
      <w:r w:rsidR="002A2C76" w:rsidRPr="005A464E">
        <w:rPr>
          <w:rFonts w:cs="Arial"/>
          <w:sz w:val="24"/>
          <w:szCs w:val="24"/>
          <w:lang w:eastAsia="el-GR"/>
        </w:rPr>
        <w:t xml:space="preserve"> επίπεδο </w:t>
      </w:r>
      <w:r w:rsidR="00B0560D">
        <w:rPr>
          <w:rFonts w:cs="Arial"/>
          <w:sz w:val="24"/>
          <w:szCs w:val="24"/>
          <w:lang w:eastAsia="el-GR"/>
        </w:rPr>
        <w:t>του ασθενούς</w:t>
      </w:r>
      <w:r w:rsidR="002A2C76" w:rsidRPr="005A464E">
        <w:rPr>
          <w:rFonts w:cs="Arial"/>
          <w:sz w:val="24"/>
          <w:szCs w:val="24"/>
          <w:lang w:eastAsia="el-GR"/>
        </w:rPr>
        <w:t xml:space="preserve">, το επίπεδο γνώσεων σχετικά με τη ΧΝΝ αλλά και την ικανότητα του να κατανοεί </w:t>
      </w:r>
      <w:r w:rsidR="00040924">
        <w:rPr>
          <w:rFonts w:cs="Arial"/>
          <w:sz w:val="24"/>
          <w:szCs w:val="24"/>
          <w:lang w:eastAsia="el-GR"/>
        </w:rPr>
        <w:t>επαρκώς</w:t>
      </w:r>
      <w:r w:rsidR="002A2C76" w:rsidRPr="005A464E">
        <w:rPr>
          <w:rFonts w:cs="Arial"/>
          <w:sz w:val="24"/>
          <w:szCs w:val="24"/>
          <w:lang w:eastAsia="el-GR"/>
        </w:rPr>
        <w:t xml:space="preserve"> την ορολογία που αφορά τη ΧΝΝ.</w:t>
      </w:r>
    </w:p>
    <w:p w:rsidR="00D0641B" w:rsidRPr="005A464E" w:rsidRDefault="00D0641B" w:rsidP="005A464E">
      <w:pPr>
        <w:spacing w:after="0" w:line="360" w:lineRule="auto"/>
        <w:ind w:right="-334"/>
        <w:jc w:val="both"/>
        <w:rPr>
          <w:rFonts w:cs="Arial"/>
          <w:sz w:val="24"/>
          <w:szCs w:val="24"/>
          <w:lang w:eastAsia="el-GR"/>
        </w:rPr>
      </w:pPr>
    </w:p>
    <w:p w:rsidR="002A2C76" w:rsidRPr="005A464E" w:rsidRDefault="002A2C76" w:rsidP="005A464E">
      <w:pPr>
        <w:spacing w:line="360" w:lineRule="auto"/>
        <w:jc w:val="both"/>
        <w:rPr>
          <w:b/>
          <w:sz w:val="24"/>
          <w:szCs w:val="24"/>
          <w:lang w:eastAsia="el-GR"/>
        </w:rPr>
      </w:pPr>
      <w:r w:rsidRPr="005A464E">
        <w:rPr>
          <w:b/>
          <w:sz w:val="24"/>
          <w:szCs w:val="24"/>
          <w:lang w:eastAsia="el-GR"/>
        </w:rPr>
        <w:t>Ομάδα ελέγχου</w:t>
      </w:r>
    </w:p>
    <w:p w:rsidR="002A44DB" w:rsidRPr="005A464E" w:rsidRDefault="002A44DB" w:rsidP="005A464E">
      <w:pPr>
        <w:spacing w:line="360" w:lineRule="auto"/>
        <w:jc w:val="both"/>
        <w:rPr>
          <w:sz w:val="24"/>
          <w:szCs w:val="24"/>
          <w:lang w:eastAsia="el-GR"/>
        </w:rPr>
      </w:pPr>
      <w:r w:rsidRPr="005A464E">
        <w:rPr>
          <w:sz w:val="24"/>
          <w:szCs w:val="24"/>
          <w:lang w:eastAsia="el-GR"/>
        </w:rPr>
        <w:t>Στην ομάδα ελέγχου δόθηκαν τα</w:t>
      </w:r>
      <w:r w:rsidR="0078495A">
        <w:rPr>
          <w:sz w:val="24"/>
          <w:szCs w:val="24"/>
          <w:lang w:eastAsia="el-GR"/>
        </w:rPr>
        <w:t xml:space="preserve"> </w:t>
      </w:r>
      <w:r w:rsidRPr="005A464E">
        <w:rPr>
          <w:sz w:val="24"/>
          <w:szCs w:val="24"/>
          <w:lang w:eastAsia="el-GR"/>
        </w:rPr>
        <w:t xml:space="preserve">ίδια ερωτηματολόγια, </w:t>
      </w:r>
      <w:r w:rsidR="002A2C76" w:rsidRPr="005A464E">
        <w:rPr>
          <w:sz w:val="24"/>
          <w:szCs w:val="24"/>
          <w:lang w:eastAsia="el-GR"/>
        </w:rPr>
        <w:t xml:space="preserve">το ίδιο </w:t>
      </w:r>
      <w:r w:rsidRPr="005A464E">
        <w:rPr>
          <w:sz w:val="24"/>
          <w:szCs w:val="24"/>
          <w:lang w:eastAsia="el-GR"/>
        </w:rPr>
        <w:t>έντυπο ενημερωτικό υλικό σχ</w:t>
      </w:r>
      <w:r w:rsidR="00C07AB7" w:rsidRPr="005A464E">
        <w:rPr>
          <w:sz w:val="24"/>
          <w:szCs w:val="24"/>
          <w:lang w:eastAsia="el-GR"/>
        </w:rPr>
        <w:t>ετικό με τις θεματικές ενότητες</w:t>
      </w:r>
      <w:r w:rsidRPr="005A464E">
        <w:rPr>
          <w:sz w:val="24"/>
          <w:szCs w:val="24"/>
          <w:lang w:eastAsia="el-GR"/>
        </w:rPr>
        <w:t xml:space="preserve"> </w:t>
      </w:r>
      <w:r w:rsidRPr="00961E11">
        <w:rPr>
          <w:i/>
          <w:sz w:val="24"/>
          <w:szCs w:val="24"/>
          <w:lang w:eastAsia="el-GR"/>
        </w:rPr>
        <w:t>χωρίς</w:t>
      </w:r>
      <w:r w:rsidRPr="005A464E">
        <w:rPr>
          <w:sz w:val="24"/>
          <w:szCs w:val="24"/>
          <w:lang w:eastAsia="el-GR"/>
        </w:rPr>
        <w:t xml:space="preserve"> όμως </w:t>
      </w:r>
      <w:r w:rsidR="00412449" w:rsidRPr="005A464E">
        <w:rPr>
          <w:sz w:val="24"/>
          <w:szCs w:val="24"/>
          <w:lang w:eastAsia="el-GR"/>
        </w:rPr>
        <w:t>να ακολουθήσει συμβουλ</w:t>
      </w:r>
      <w:r w:rsidRPr="005A464E">
        <w:rPr>
          <w:sz w:val="24"/>
          <w:szCs w:val="24"/>
          <w:lang w:eastAsia="el-GR"/>
        </w:rPr>
        <w:t>ευτική παρέμβαση.</w:t>
      </w:r>
    </w:p>
    <w:p w:rsidR="00BD220E" w:rsidRPr="00236EBF" w:rsidRDefault="00BD220E" w:rsidP="005A464E">
      <w:pPr>
        <w:spacing w:after="0" w:line="360" w:lineRule="auto"/>
        <w:ind w:right="-334"/>
        <w:jc w:val="both"/>
        <w:rPr>
          <w:rFonts w:cs="Arial"/>
          <w:b/>
          <w:sz w:val="24"/>
          <w:szCs w:val="24"/>
          <w:lang w:eastAsia="el-GR"/>
        </w:rPr>
      </w:pPr>
      <w:r w:rsidRPr="00236EBF">
        <w:rPr>
          <w:rFonts w:cs="Arial"/>
          <w:b/>
          <w:sz w:val="24"/>
          <w:szCs w:val="24"/>
          <w:lang w:eastAsia="el-GR"/>
        </w:rPr>
        <w:t>Συγχυτικοί παράγοντες</w:t>
      </w:r>
    </w:p>
    <w:p w:rsidR="00BD220E" w:rsidRPr="00236EBF" w:rsidRDefault="00BD220E" w:rsidP="00DB466F">
      <w:pPr>
        <w:numPr>
          <w:ilvl w:val="0"/>
          <w:numId w:val="40"/>
        </w:numPr>
        <w:spacing w:after="0" w:line="360" w:lineRule="auto"/>
        <w:ind w:left="360" w:right="-334"/>
        <w:contextualSpacing/>
        <w:jc w:val="both"/>
        <w:rPr>
          <w:rFonts w:cs="Arial"/>
          <w:sz w:val="24"/>
          <w:szCs w:val="24"/>
          <w:lang w:eastAsia="el-GR"/>
        </w:rPr>
      </w:pPr>
      <w:r w:rsidRPr="00236EBF">
        <w:rPr>
          <w:rFonts w:cs="Arial"/>
          <w:sz w:val="24"/>
          <w:szCs w:val="24"/>
          <w:lang w:eastAsia="el-GR"/>
        </w:rPr>
        <w:t xml:space="preserve">Δυσκολία στην κατανόηση της ορολογίας </w:t>
      </w:r>
      <w:r w:rsidR="003E0246" w:rsidRPr="00236EBF">
        <w:rPr>
          <w:rFonts w:cs="Arial"/>
          <w:sz w:val="24"/>
          <w:szCs w:val="24"/>
          <w:lang w:eastAsia="el-GR"/>
        </w:rPr>
        <w:t xml:space="preserve">που σχετίζεται με τη ΧΝΝ και που </w:t>
      </w:r>
      <w:r w:rsidR="00040924" w:rsidRPr="00236EBF">
        <w:rPr>
          <w:rFonts w:cs="Arial"/>
          <w:sz w:val="24"/>
          <w:szCs w:val="24"/>
          <w:lang w:eastAsia="el-GR"/>
        </w:rPr>
        <w:t xml:space="preserve">αναφέρεται </w:t>
      </w:r>
      <w:r w:rsidR="003E0246" w:rsidRPr="00236EBF">
        <w:rPr>
          <w:rFonts w:cs="Arial"/>
          <w:sz w:val="24"/>
          <w:szCs w:val="24"/>
          <w:lang w:eastAsia="el-GR"/>
        </w:rPr>
        <w:t>στα ερευνητικά εργαλεία.</w:t>
      </w:r>
    </w:p>
    <w:p w:rsidR="00BD220E" w:rsidRPr="00236EBF" w:rsidRDefault="00BD220E" w:rsidP="00DB466F">
      <w:pPr>
        <w:numPr>
          <w:ilvl w:val="0"/>
          <w:numId w:val="39"/>
        </w:numPr>
        <w:spacing w:after="0" w:line="360" w:lineRule="auto"/>
        <w:ind w:right="-334"/>
        <w:contextualSpacing/>
        <w:jc w:val="both"/>
        <w:rPr>
          <w:rFonts w:cs="Arial"/>
          <w:sz w:val="24"/>
          <w:szCs w:val="24"/>
          <w:lang w:eastAsia="el-GR"/>
        </w:rPr>
      </w:pPr>
      <w:r w:rsidRPr="00236EBF">
        <w:rPr>
          <w:rFonts w:cs="Arial"/>
          <w:sz w:val="24"/>
          <w:szCs w:val="24"/>
          <w:lang w:eastAsia="el-GR"/>
        </w:rPr>
        <w:t>Παρεμβολές</w:t>
      </w:r>
      <w:r w:rsidR="0078495A" w:rsidRPr="00236EBF">
        <w:rPr>
          <w:rFonts w:cs="Arial"/>
          <w:sz w:val="24"/>
          <w:szCs w:val="24"/>
          <w:lang w:eastAsia="el-GR"/>
        </w:rPr>
        <w:t xml:space="preserve"> </w:t>
      </w:r>
      <w:r w:rsidRPr="00236EBF">
        <w:rPr>
          <w:rFonts w:cs="Arial"/>
          <w:sz w:val="24"/>
          <w:szCs w:val="24"/>
          <w:lang w:eastAsia="el-GR"/>
        </w:rPr>
        <w:t>από εξωγενείς παράγοντες</w:t>
      </w:r>
      <w:r w:rsidR="0078495A" w:rsidRPr="00236EBF">
        <w:rPr>
          <w:rFonts w:cs="Arial"/>
          <w:sz w:val="24"/>
          <w:szCs w:val="24"/>
          <w:lang w:eastAsia="el-GR"/>
        </w:rPr>
        <w:t xml:space="preserve"> </w:t>
      </w:r>
      <w:r w:rsidR="00040924" w:rsidRPr="00236EBF">
        <w:rPr>
          <w:rFonts w:cs="Arial"/>
          <w:sz w:val="24"/>
          <w:szCs w:val="24"/>
          <w:lang w:eastAsia="el-GR"/>
        </w:rPr>
        <w:t>(παρεμβάσεις</w:t>
      </w:r>
      <w:r w:rsidRPr="00236EBF">
        <w:rPr>
          <w:rFonts w:cs="Arial"/>
          <w:sz w:val="24"/>
          <w:szCs w:val="24"/>
          <w:lang w:eastAsia="el-GR"/>
        </w:rPr>
        <w:t xml:space="preserve"> από άλλους, θερμοκρασία δωματίου, θόρυβος, κόπωση των συμμετεχόντων και συνοδές παθολογικέ</w:t>
      </w:r>
      <w:r w:rsidR="00DD68DA" w:rsidRPr="00236EBF">
        <w:rPr>
          <w:rFonts w:cs="Arial"/>
          <w:sz w:val="24"/>
          <w:szCs w:val="24"/>
          <w:lang w:eastAsia="el-GR"/>
        </w:rPr>
        <w:t xml:space="preserve">ς καταστάσεις) καθώς η μελέτη </w:t>
      </w:r>
      <w:r w:rsidR="00B93B5A" w:rsidRPr="00236EBF">
        <w:rPr>
          <w:rFonts w:cs="Arial"/>
          <w:sz w:val="24"/>
          <w:szCs w:val="24"/>
          <w:lang w:eastAsia="el-GR"/>
        </w:rPr>
        <w:t xml:space="preserve">διεξήχθη </w:t>
      </w:r>
      <w:r w:rsidR="0023283D" w:rsidRPr="00236EBF">
        <w:rPr>
          <w:rFonts w:cs="Arial"/>
          <w:sz w:val="24"/>
          <w:szCs w:val="24"/>
          <w:lang w:eastAsia="el-GR"/>
        </w:rPr>
        <w:t>κατά τη διάρκεια της συνεδρίας</w:t>
      </w:r>
      <w:r w:rsidR="003E0246" w:rsidRPr="00236EBF">
        <w:rPr>
          <w:rFonts w:cs="Arial"/>
          <w:sz w:val="24"/>
          <w:szCs w:val="24"/>
          <w:lang w:eastAsia="el-GR"/>
        </w:rPr>
        <w:t xml:space="preserve"> αιμοκάθαρσης</w:t>
      </w:r>
      <w:r w:rsidRPr="00236EBF">
        <w:rPr>
          <w:rFonts w:cs="Arial"/>
          <w:sz w:val="24"/>
          <w:szCs w:val="24"/>
          <w:lang w:eastAsia="el-GR"/>
        </w:rPr>
        <w:t>.</w:t>
      </w:r>
    </w:p>
    <w:p w:rsidR="00BD220E" w:rsidRPr="005A464E" w:rsidRDefault="00DE45CF" w:rsidP="0066526D">
      <w:pPr>
        <w:pStyle w:val="41"/>
        <w:numPr>
          <w:ilvl w:val="2"/>
          <w:numId w:val="115"/>
        </w:numPr>
        <w:rPr>
          <w:lang w:eastAsia="el-GR"/>
        </w:rPr>
      </w:pPr>
      <w:r>
        <w:rPr>
          <w:lang w:eastAsia="el-GR"/>
        </w:rPr>
        <w:t>Τέταρτη</w:t>
      </w:r>
      <w:r w:rsidR="006418E0" w:rsidRPr="005A464E">
        <w:rPr>
          <w:lang w:eastAsia="el-GR"/>
        </w:rPr>
        <w:t xml:space="preserve"> φάση</w:t>
      </w:r>
    </w:p>
    <w:p w:rsidR="006418E0" w:rsidRPr="005A464E" w:rsidRDefault="00BD220E" w:rsidP="005A464E">
      <w:pPr>
        <w:spacing w:before="240" w:after="240" w:line="360" w:lineRule="auto"/>
        <w:jc w:val="both"/>
        <w:rPr>
          <w:sz w:val="24"/>
          <w:szCs w:val="24"/>
          <w:lang w:eastAsia="el-GR"/>
        </w:rPr>
      </w:pPr>
      <w:r w:rsidRPr="005A464E">
        <w:rPr>
          <w:sz w:val="24"/>
          <w:szCs w:val="24"/>
          <w:lang w:eastAsia="el-GR"/>
        </w:rPr>
        <w:t>Σ</w:t>
      </w:r>
      <w:r w:rsidR="006418E0" w:rsidRPr="005A464E">
        <w:rPr>
          <w:sz w:val="24"/>
          <w:szCs w:val="24"/>
          <w:lang w:eastAsia="el-GR"/>
        </w:rPr>
        <w:t xml:space="preserve">κοπός ήταν ο έλεγχος της επίδρασης της </w:t>
      </w:r>
      <w:r w:rsidR="00412449" w:rsidRPr="005A464E">
        <w:rPr>
          <w:sz w:val="24"/>
          <w:szCs w:val="24"/>
          <w:lang w:eastAsia="el-GR"/>
        </w:rPr>
        <w:t>συμβουλ</w:t>
      </w:r>
      <w:r w:rsidR="00083727" w:rsidRPr="005A464E">
        <w:rPr>
          <w:sz w:val="24"/>
          <w:szCs w:val="24"/>
          <w:lang w:eastAsia="el-GR"/>
        </w:rPr>
        <w:t xml:space="preserve">ευτικής </w:t>
      </w:r>
      <w:r w:rsidR="006418E0" w:rsidRPr="005A464E">
        <w:rPr>
          <w:sz w:val="24"/>
          <w:szCs w:val="24"/>
          <w:lang w:eastAsia="el-GR"/>
        </w:rPr>
        <w:t>παρέμβασης στη μεταβολή των επιπέδων γνώσεων και συμμόρφωσης. Πραγματοποιήθηκε ένα μήνα μετά</w:t>
      </w:r>
      <w:r w:rsidR="003639ED" w:rsidRPr="005A464E">
        <w:rPr>
          <w:sz w:val="24"/>
          <w:szCs w:val="24"/>
          <w:lang w:eastAsia="el-GR"/>
        </w:rPr>
        <w:t xml:space="preserve"> την δεύτερη φάση </w:t>
      </w:r>
      <w:r w:rsidR="006418E0" w:rsidRPr="005A464E">
        <w:rPr>
          <w:sz w:val="24"/>
          <w:szCs w:val="24"/>
          <w:lang w:eastAsia="el-GR"/>
        </w:rPr>
        <w:t xml:space="preserve">και στις </w:t>
      </w:r>
      <w:r w:rsidR="00BA566F">
        <w:rPr>
          <w:sz w:val="24"/>
          <w:szCs w:val="24"/>
          <w:lang w:eastAsia="el-GR"/>
        </w:rPr>
        <w:t xml:space="preserve">δύο </w:t>
      </w:r>
      <w:r w:rsidR="006418E0" w:rsidRPr="005A464E">
        <w:rPr>
          <w:sz w:val="24"/>
          <w:szCs w:val="24"/>
          <w:lang w:eastAsia="el-GR"/>
        </w:rPr>
        <w:t xml:space="preserve">ομάδες. Στους ασθενείς δόθηκαν τα ερωτηματολόγια </w:t>
      </w:r>
      <w:r w:rsidR="00DD68DA" w:rsidRPr="005A464E">
        <w:rPr>
          <w:sz w:val="24"/>
          <w:szCs w:val="24"/>
          <w:lang w:val="en-US" w:eastAsia="el-GR"/>
        </w:rPr>
        <w:t>KDQ</w:t>
      </w:r>
      <w:r w:rsidR="006418E0" w:rsidRPr="005A464E">
        <w:rPr>
          <w:sz w:val="24"/>
          <w:szCs w:val="24"/>
          <w:lang w:eastAsia="el-GR"/>
        </w:rPr>
        <w:t xml:space="preserve"> και </w:t>
      </w:r>
      <w:r w:rsidR="006A7917" w:rsidRPr="005A464E">
        <w:rPr>
          <w:sz w:val="24"/>
          <w:szCs w:val="24"/>
          <w:lang w:val="en-US" w:eastAsia="el-GR"/>
        </w:rPr>
        <w:t>GR</w:t>
      </w:r>
      <w:r w:rsidR="006A7917" w:rsidRPr="005A464E">
        <w:rPr>
          <w:sz w:val="24"/>
          <w:szCs w:val="24"/>
          <w:lang w:eastAsia="el-GR"/>
        </w:rPr>
        <w:t>-</w:t>
      </w:r>
      <w:r w:rsidR="00DD68DA" w:rsidRPr="005A464E">
        <w:rPr>
          <w:sz w:val="24"/>
          <w:szCs w:val="24"/>
          <w:lang w:val="en-US" w:eastAsia="el-GR"/>
        </w:rPr>
        <w:t>S</w:t>
      </w:r>
      <w:r w:rsidR="00DD68DA" w:rsidRPr="005A464E">
        <w:rPr>
          <w:sz w:val="24"/>
          <w:szCs w:val="24"/>
          <w:lang w:eastAsia="el-GR"/>
        </w:rPr>
        <w:t>ΜΑ</w:t>
      </w:r>
      <w:r w:rsidR="00DD68DA" w:rsidRPr="005A464E">
        <w:rPr>
          <w:sz w:val="24"/>
          <w:szCs w:val="24"/>
          <w:lang w:val="en-US" w:eastAsia="el-GR"/>
        </w:rPr>
        <w:t>Q</w:t>
      </w:r>
      <w:r w:rsidR="006A7917" w:rsidRPr="005A464E">
        <w:rPr>
          <w:sz w:val="24"/>
          <w:szCs w:val="24"/>
          <w:lang w:eastAsia="el-GR"/>
        </w:rPr>
        <w:t>-</w:t>
      </w:r>
      <w:r w:rsidR="006A7917" w:rsidRPr="005A464E">
        <w:rPr>
          <w:sz w:val="24"/>
          <w:szCs w:val="24"/>
          <w:lang w:val="en-US" w:eastAsia="el-GR"/>
        </w:rPr>
        <w:t>HD</w:t>
      </w:r>
      <w:r w:rsidR="006418E0" w:rsidRPr="005A464E">
        <w:rPr>
          <w:sz w:val="24"/>
          <w:szCs w:val="24"/>
          <w:lang w:eastAsia="el-GR"/>
        </w:rPr>
        <w:t>.</w:t>
      </w:r>
      <w:r w:rsidR="003D7F16" w:rsidRPr="005A464E">
        <w:rPr>
          <w:sz w:val="24"/>
          <w:szCs w:val="24"/>
        </w:rPr>
        <w:t xml:space="preserve"> Σύμφωνα με τη διεθνή βιβλιογραφία</w:t>
      </w:r>
      <w:r w:rsidR="003026DA">
        <w:rPr>
          <w:sz w:val="24"/>
          <w:szCs w:val="24"/>
        </w:rPr>
        <w:t>,</w:t>
      </w:r>
      <w:r w:rsidR="003D7F16" w:rsidRPr="005A464E">
        <w:rPr>
          <w:sz w:val="24"/>
          <w:szCs w:val="24"/>
        </w:rPr>
        <w:t xml:space="preserve"> η αξιολόγηση της συμμόρφωσης μετά από συμβουλευτική παρέμβαση </w:t>
      </w:r>
      <w:r w:rsidR="001F568C" w:rsidRPr="005A464E">
        <w:rPr>
          <w:sz w:val="24"/>
          <w:szCs w:val="24"/>
        </w:rPr>
        <w:t xml:space="preserve">προτείνεται να </w:t>
      </w:r>
      <w:r w:rsidR="003D7F16" w:rsidRPr="005A464E">
        <w:rPr>
          <w:sz w:val="24"/>
          <w:szCs w:val="24"/>
        </w:rPr>
        <w:t xml:space="preserve">γίνεται 1-2 </w:t>
      </w:r>
      <w:r w:rsidR="00A9792B" w:rsidRPr="00236EBF">
        <w:rPr>
          <w:sz w:val="24"/>
          <w:szCs w:val="24"/>
        </w:rPr>
        <w:t>μήνες μετά</w:t>
      </w:r>
      <w:r w:rsidR="003E0246" w:rsidRPr="00236EBF">
        <w:rPr>
          <w:sz w:val="24"/>
          <w:szCs w:val="24"/>
        </w:rPr>
        <w:t xml:space="preserve"> την συμβουλευτική παρέμβαση</w:t>
      </w:r>
      <w:r w:rsidR="00A9792B" w:rsidRPr="00236EBF">
        <w:rPr>
          <w:sz w:val="24"/>
          <w:szCs w:val="24"/>
        </w:rPr>
        <w:t xml:space="preserve"> (Amany,</w:t>
      </w:r>
      <w:r w:rsidR="003D7F16" w:rsidRPr="00236EBF">
        <w:rPr>
          <w:sz w:val="24"/>
          <w:szCs w:val="24"/>
        </w:rPr>
        <w:t xml:space="preserve"> 2016</w:t>
      </w:r>
      <w:r w:rsidR="003D7F16" w:rsidRPr="005A464E">
        <w:rPr>
          <w:sz w:val="24"/>
          <w:szCs w:val="24"/>
        </w:rPr>
        <w:t>;</w:t>
      </w:r>
      <w:r w:rsidR="00125190" w:rsidRPr="005A464E">
        <w:rPr>
          <w:sz w:val="24"/>
          <w:szCs w:val="24"/>
        </w:rPr>
        <w:t xml:space="preserve"> </w:t>
      </w:r>
      <w:r w:rsidR="00125190" w:rsidRPr="005A464E">
        <w:rPr>
          <w:sz w:val="24"/>
          <w:szCs w:val="24"/>
          <w:lang w:val="en-US"/>
        </w:rPr>
        <w:t>Stum</w:t>
      </w:r>
      <w:r w:rsidR="001F568C" w:rsidRPr="005A464E">
        <w:rPr>
          <w:sz w:val="24"/>
          <w:szCs w:val="24"/>
          <w:lang w:val="en-US"/>
        </w:rPr>
        <w:t>m</w:t>
      </w:r>
      <w:r w:rsidR="00125190" w:rsidRPr="005A464E">
        <w:rPr>
          <w:sz w:val="24"/>
          <w:szCs w:val="24"/>
        </w:rPr>
        <w:t xml:space="preserve"> </w:t>
      </w:r>
      <w:r w:rsidR="00566CAA">
        <w:rPr>
          <w:sz w:val="24"/>
          <w:szCs w:val="24"/>
        </w:rPr>
        <w:t>et al</w:t>
      </w:r>
      <w:r w:rsidR="00684592" w:rsidRPr="00684592">
        <w:rPr>
          <w:sz w:val="24"/>
          <w:szCs w:val="24"/>
        </w:rPr>
        <w:t>.</w:t>
      </w:r>
      <w:r w:rsidR="00785007" w:rsidRPr="00785007">
        <w:rPr>
          <w:sz w:val="24"/>
          <w:szCs w:val="24"/>
        </w:rPr>
        <w:t>,</w:t>
      </w:r>
      <w:r w:rsidR="00125190" w:rsidRPr="005A464E">
        <w:rPr>
          <w:sz w:val="24"/>
          <w:szCs w:val="24"/>
        </w:rPr>
        <w:t xml:space="preserve"> 2017)</w:t>
      </w:r>
      <w:r w:rsidR="001F568C" w:rsidRPr="005A464E">
        <w:rPr>
          <w:sz w:val="24"/>
          <w:szCs w:val="24"/>
        </w:rPr>
        <w:t>.</w:t>
      </w:r>
    </w:p>
    <w:p w:rsidR="00302DD2" w:rsidRPr="005A464E" w:rsidRDefault="00DE45CF" w:rsidP="0066526D">
      <w:pPr>
        <w:pStyle w:val="41"/>
        <w:numPr>
          <w:ilvl w:val="2"/>
          <w:numId w:val="115"/>
        </w:numPr>
        <w:spacing w:after="240"/>
      </w:pPr>
      <w:r>
        <w:rPr>
          <w:lang w:eastAsia="el-GR"/>
        </w:rPr>
        <w:t>Πέμπ</w:t>
      </w:r>
      <w:r w:rsidR="006418E0" w:rsidRPr="005A464E">
        <w:rPr>
          <w:lang w:eastAsia="el-GR"/>
        </w:rPr>
        <w:t>τη φάση</w:t>
      </w:r>
      <w:r w:rsidR="006418E0" w:rsidRPr="005A464E">
        <w:t xml:space="preserve"> </w:t>
      </w:r>
    </w:p>
    <w:p w:rsidR="00D74CB5" w:rsidRPr="00B93B5A" w:rsidRDefault="00136281" w:rsidP="00B93B5A">
      <w:pPr>
        <w:spacing w:after="240" w:line="360" w:lineRule="auto"/>
        <w:jc w:val="both"/>
        <w:rPr>
          <w:rFonts w:cstheme="minorHAnsi"/>
          <w:sz w:val="24"/>
          <w:szCs w:val="24"/>
          <w:lang w:eastAsia="el-GR"/>
        </w:rPr>
      </w:pPr>
      <w:r w:rsidRPr="005A464E">
        <w:rPr>
          <w:sz w:val="24"/>
          <w:szCs w:val="24"/>
          <w:lang w:eastAsia="el-GR"/>
        </w:rPr>
        <w:t xml:space="preserve">Πραγματοποιήθηκε </w:t>
      </w:r>
      <w:r w:rsidR="00BA566F">
        <w:rPr>
          <w:sz w:val="24"/>
          <w:szCs w:val="24"/>
          <w:lang w:eastAsia="el-GR"/>
        </w:rPr>
        <w:t xml:space="preserve">δύο </w:t>
      </w:r>
      <w:r w:rsidR="00412449" w:rsidRPr="005A464E">
        <w:rPr>
          <w:sz w:val="24"/>
          <w:szCs w:val="24"/>
          <w:lang w:eastAsia="el-GR"/>
        </w:rPr>
        <w:t>μήνες</w:t>
      </w:r>
      <w:r w:rsidR="006418E0" w:rsidRPr="005A464E">
        <w:rPr>
          <w:sz w:val="24"/>
          <w:szCs w:val="24"/>
          <w:lang w:eastAsia="el-GR"/>
        </w:rPr>
        <w:t xml:space="preserve"> </w:t>
      </w:r>
      <w:r w:rsidR="003639ED" w:rsidRPr="005A464E">
        <w:rPr>
          <w:sz w:val="24"/>
          <w:szCs w:val="24"/>
          <w:lang w:eastAsia="el-GR"/>
        </w:rPr>
        <w:t>μετά</w:t>
      </w:r>
      <w:r w:rsidRPr="005A464E">
        <w:rPr>
          <w:sz w:val="24"/>
          <w:szCs w:val="24"/>
          <w:lang w:eastAsia="el-GR"/>
        </w:rPr>
        <w:t xml:space="preserve"> </w:t>
      </w:r>
      <w:r w:rsidR="00B84B68" w:rsidRPr="005A464E">
        <w:rPr>
          <w:sz w:val="24"/>
          <w:szCs w:val="24"/>
          <w:lang w:eastAsia="el-GR"/>
        </w:rPr>
        <w:t xml:space="preserve">από </w:t>
      </w:r>
      <w:r w:rsidR="00412449" w:rsidRPr="005A464E">
        <w:rPr>
          <w:sz w:val="24"/>
          <w:szCs w:val="24"/>
          <w:lang w:eastAsia="el-GR"/>
        </w:rPr>
        <w:t>τη συμβουλευτική παρέμβαση</w:t>
      </w:r>
      <w:r w:rsidRPr="005A464E">
        <w:rPr>
          <w:sz w:val="24"/>
          <w:szCs w:val="24"/>
          <w:lang w:eastAsia="el-GR"/>
        </w:rPr>
        <w:t xml:space="preserve"> </w:t>
      </w:r>
      <w:r w:rsidR="006418E0" w:rsidRPr="005A464E">
        <w:rPr>
          <w:sz w:val="24"/>
          <w:szCs w:val="24"/>
          <w:lang w:eastAsia="el-GR"/>
        </w:rPr>
        <w:t xml:space="preserve">και στις δύο ομάδες και σκοπό είχε τον έλεγχο </w:t>
      </w:r>
      <w:r w:rsidR="006418E0" w:rsidRPr="005A464E">
        <w:rPr>
          <w:rFonts w:cstheme="minorHAnsi"/>
          <w:sz w:val="24"/>
          <w:szCs w:val="24"/>
          <w:lang w:eastAsia="el-GR"/>
        </w:rPr>
        <w:t xml:space="preserve">των επιπέδων ποιότητας ζωής. </w:t>
      </w:r>
      <w:r w:rsidR="00D353D4" w:rsidRPr="005A464E">
        <w:rPr>
          <w:rFonts w:cstheme="minorHAnsi"/>
          <w:sz w:val="24"/>
          <w:szCs w:val="24"/>
          <w:lang w:eastAsia="el-GR"/>
        </w:rPr>
        <w:t>Στους ασθενείς δόθηκε το</w:t>
      </w:r>
      <w:r w:rsidR="006418E0" w:rsidRPr="005A464E">
        <w:rPr>
          <w:rFonts w:cstheme="minorHAnsi"/>
          <w:sz w:val="24"/>
          <w:szCs w:val="24"/>
          <w:lang w:eastAsia="el-GR"/>
        </w:rPr>
        <w:t xml:space="preserve"> ερωτηματολόγιο </w:t>
      </w:r>
      <w:r w:rsidR="006418E0" w:rsidRPr="005A464E">
        <w:rPr>
          <w:rFonts w:cstheme="minorHAnsi"/>
          <w:sz w:val="24"/>
          <w:szCs w:val="24"/>
          <w:lang w:val="en-US" w:eastAsia="el-GR"/>
        </w:rPr>
        <w:t>Missoula</w:t>
      </w:r>
      <w:r w:rsidR="006418E0" w:rsidRPr="005A464E">
        <w:rPr>
          <w:rFonts w:cstheme="minorHAnsi"/>
          <w:sz w:val="24"/>
          <w:szCs w:val="24"/>
          <w:lang w:eastAsia="el-GR"/>
        </w:rPr>
        <w:t xml:space="preserve"> –</w:t>
      </w:r>
      <w:r w:rsidR="006418E0" w:rsidRPr="005A464E">
        <w:rPr>
          <w:rFonts w:cstheme="minorHAnsi"/>
          <w:sz w:val="24"/>
          <w:szCs w:val="24"/>
          <w:lang w:val="en-US" w:eastAsia="el-GR"/>
        </w:rPr>
        <w:t>Vitas</w:t>
      </w:r>
      <w:r w:rsidR="006418E0" w:rsidRPr="005A464E">
        <w:rPr>
          <w:rFonts w:cstheme="minorHAnsi"/>
          <w:sz w:val="24"/>
          <w:szCs w:val="24"/>
          <w:lang w:eastAsia="el-GR"/>
        </w:rPr>
        <w:t xml:space="preserve"> </w:t>
      </w:r>
      <w:r w:rsidR="006418E0" w:rsidRPr="005A464E">
        <w:rPr>
          <w:rFonts w:cstheme="minorHAnsi"/>
          <w:sz w:val="24"/>
          <w:szCs w:val="24"/>
          <w:lang w:val="en-US" w:eastAsia="el-GR"/>
        </w:rPr>
        <w:t>Quality</w:t>
      </w:r>
      <w:r w:rsidR="006418E0" w:rsidRPr="005A464E">
        <w:rPr>
          <w:rFonts w:cstheme="minorHAnsi"/>
          <w:sz w:val="24"/>
          <w:szCs w:val="24"/>
          <w:lang w:eastAsia="el-GR"/>
        </w:rPr>
        <w:t xml:space="preserve"> </w:t>
      </w:r>
      <w:r w:rsidR="006418E0" w:rsidRPr="005A464E">
        <w:rPr>
          <w:rFonts w:cstheme="minorHAnsi"/>
          <w:sz w:val="24"/>
          <w:szCs w:val="24"/>
          <w:lang w:val="en-US" w:eastAsia="el-GR"/>
        </w:rPr>
        <w:t>of</w:t>
      </w:r>
      <w:r w:rsidR="006418E0" w:rsidRPr="005A464E">
        <w:rPr>
          <w:rFonts w:cstheme="minorHAnsi"/>
          <w:sz w:val="24"/>
          <w:szCs w:val="24"/>
          <w:lang w:eastAsia="el-GR"/>
        </w:rPr>
        <w:t xml:space="preserve"> </w:t>
      </w:r>
      <w:r w:rsidR="006418E0" w:rsidRPr="005A464E">
        <w:rPr>
          <w:rFonts w:cstheme="minorHAnsi"/>
          <w:sz w:val="24"/>
          <w:szCs w:val="24"/>
          <w:lang w:val="en-US" w:eastAsia="el-GR"/>
        </w:rPr>
        <w:t>Life</w:t>
      </w:r>
      <w:r w:rsidR="006418E0" w:rsidRPr="005A464E">
        <w:rPr>
          <w:rFonts w:cstheme="minorHAnsi"/>
          <w:sz w:val="24"/>
          <w:szCs w:val="24"/>
          <w:lang w:eastAsia="el-GR"/>
        </w:rPr>
        <w:t xml:space="preserve"> </w:t>
      </w:r>
      <w:r w:rsidRPr="005A464E">
        <w:rPr>
          <w:rFonts w:cstheme="minorHAnsi"/>
          <w:sz w:val="24"/>
          <w:szCs w:val="24"/>
          <w:lang w:val="en-US" w:eastAsia="el-GR"/>
        </w:rPr>
        <w:t>I</w:t>
      </w:r>
      <w:r w:rsidR="006418E0" w:rsidRPr="005A464E">
        <w:rPr>
          <w:rFonts w:cstheme="minorHAnsi"/>
          <w:sz w:val="24"/>
          <w:szCs w:val="24"/>
          <w:lang w:val="en-US" w:eastAsia="el-GR"/>
        </w:rPr>
        <w:t>ndex</w:t>
      </w:r>
      <w:r w:rsidR="006418E0" w:rsidRPr="005A464E">
        <w:rPr>
          <w:rFonts w:cstheme="minorHAnsi"/>
          <w:sz w:val="24"/>
          <w:szCs w:val="24"/>
          <w:lang w:eastAsia="el-GR"/>
        </w:rPr>
        <w:t>-15.</w:t>
      </w:r>
      <w:r w:rsidR="00A94625" w:rsidRPr="005A464E">
        <w:rPr>
          <w:rFonts w:cstheme="minorHAnsi"/>
          <w:sz w:val="24"/>
          <w:szCs w:val="24"/>
          <w:lang w:eastAsia="el-GR"/>
        </w:rPr>
        <w:t xml:space="preserve"> Σύμφωνα και με τη </w:t>
      </w:r>
      <w:r w:rsidR="008B6859" w:rsidRPr="005A464E">
        <w:rPr>
          <w:rFonts w:cstheme="minorHAnsi"/>
          <w:sz w:val="24"/>
          <w:szCs w:val="24"/>
          <w:lang w:eastAsia="el-GR"/>
        </w:rPr>
        <w:t xml:space="preserve">διεθνή </w:t>
      </w:r>
      <w:r w:rsidR="00A94625" w:rsidRPr="005A464E">
        <w:rPr>
          <w:rFonts w:cstheme="minorHAnsi"/>
          <w:sz w:val="24"/>
          <w:szCs w:val="24"/>
          <w:lang w:eastAsia="el-GR"/>
        </w:rPr>
        <w:t>βιβλιογραφία (</w:t>
      </w:r>
      <w:r w:rsidR="00A94625" w:rsidRPr="005A464E">
        <w:rPr>
          <w:rFonts w:cstheme="minorHAnsi"/>
          <w:sz w:val="24"/>
          <w:szCs w:val="24"/>
          <w:lang w:val="en-US" w:eastAsia="el-GR"/>
        </w:rPr>
        <w:t>Bahadori</w:t>
      </w:r>
      <w:r w:rsidR="008E7ECD">
        <w:rPr>
          <w:rFonts w:cstheme="minorHAnsi"/>
          <w:sz w:val="24"/>
          <w:szCs w:val="24"/>
          <w:lang w:eastAsia="el-GR"/>
        </w:rPr>
        <w:t>,</w:t>
      </w:r>
      <w:r w:rsidR="00A94625" w:rsidRPr="005A464E">
        <w:rPr>
          <w:rFonts w:cstheme="minorHAnsi"/>
          <w:sz w:val="24"/>
          <w:szCs w:val="24"/>
          <w:lang w:eastAsia="el-GR"/>
        </w:rPr>
        <w:t xml:space="preserve"> </w:t>
      </w:r>
      <w:hyperlink r:id="rId48" w:tgtFrame="_blank" w:history="1">
        <w:r w:rsidR="008E7ECD" w:rsidRPr="008E7ECD">
          <w:rPr>
            <w:rStyle w:val="-"/>
            <w:rFonts w:asciiTheme="minorHAnsi" w:hAnsiTheme="minorHAnsi" w:cstheme="minorHAnsi"/>
            <w:color w:val="auto"/>
            <w:sz w:val="24"/>
            <w:szCs w:val="24"/>
            <w:u w:val="none"/>
            <w:shd w:val="clear" w:color="auto" w:fill="FFFFFF"/>
            <w:lang w:val="en-US"/>
          </w:rPr>
          <w:t>Ghavidel</w:t>
        </w:r>
      </w:hyperlink>
      <w:r w:rsidR="008E7ECD" w:rsidRPr="008E7ECD">
        <w:rPr>
          <w:rFonts w:asciiTheme="minorHAnsi" w:hAnsiTheme="minorHAnsi" w:cstheme="minorHAnsi"/>
          <w:sz w:val="24"/>
          <w:szCs w:val="24"/>
        </w:rPr>
        <w:t>,</w:t>
      </w:r>
      <w:r w:rsidR="008E7ECD">
        <w:rPr>
          <w:rFonts w:asciiTheme="minorHAnsi" w:hAnsiTheme="minorHAnsi" w:cstheme="minorHAnsi"/>
          <w:sz w:val="24"/>
          <w:szCs w:val="24"/>
        </w:rPr>
        <w:t xml:space="preserve"> </w:t>
      </w:r>
      <w:hyperlink r:id="rId49" w:tgtFrame="_blank" w:history="1">
        <w:r w:rsidR="008E7ECD" w:rsidRPr="008E7ECD">
          <w:rPr>
            <w:rStyle w:val="-"/>
            <w:rFonts w:asciiTheme="minorHAnsi" w:hAnsiTheme="minorHAnsi" w:cstheme="minorHAnsi"/>
            <w:color w:val="auto"/>
            <w:sz w:val="24"/>
            <w:szCs w:val="24"/>
            <w:u w:val="none"/>
            <w:shd w:val="clear" w:color="auto" w:fill="FFFFFF"/>
            <w:lang w:val="en-US"/>
          </w:rPr>
          <w:t>Mohammadzadeh</w:t>
        </w:r>
      </w:hyperlink>
      <w:r w:rsidR="008E7ECD" w:rsidRPr="008E7ECD">
        <w:rPr>
          <w:rFonts w:asciiTheme="minorHAnsi" w:hAnsiTheme="minorHAnsi" w:cstheme="minorHAnsi"/>
          <w:sz w:val="24"/>
          <w:szCs w:val="24"/>
        </w:rPr>
        <w:t>, &amp;</w:t>
      </w:r>
      <w:r w:rsidR="008E7ECD" w:rsidRPr="008E7ECD">
        <w:rPr>
          <w:rStyle w:val="apple-converted-space"/>
          <w:rFonts w:asciiTheme="minorHAnsi" w:hAnsiTheme="minorHAnsi" w:cstheme="minorHAnsi"/>
          <w:bCs/>
          <w:sz w:val="24"/>
          <w:szCs w:val="24"/>
          <w:shd w:val="clear" w:color="auto" w:fill="FFFFFF"/>
          <w:lang w:val="en-US"/>
        </w:rPr>
        <w:t> </w:t>
      </w:r>
      <w:hyperlink r:id="rId50" w:tgtFrame="_blank" w:history="1">
        <w:r w:rsidR="008E7ECD" w:rsidRPr="008E7ECD">
          <w:rPr>
            <w:rStyle w:val="-"/>
            <w:rFonts w:asciiTheme="minorHAnsi" w:hAnsiTheme="minorHAnsi" w:cstheme="minorHAnsi"/>
            <w:color w:val="auto"/>
            <w:sz w:val="24"/>
            <w:szCs w:val="24"/>
            <w:u w:val="none"/>
            <w:shd w:val="clear" w:color="auto" w:fill="FFFFFF"/>
            <w:lang w:val="en-US"/>
          </w:rPr>
          <w:t>Ravangard</w:t>
        </w:r>
      </w:hyperlink>
      <w:r w:rsidR="008E7ECD">
        <w:rPr>
          <w:sz w:val="24"/>
          <w:szCs w:val="24"/>
        </w:rPr>
        <w:t xml:space="preserve">, </w:t>
      </w:r>
      <w:r w:rsidR="00A94625" w:rsidRPr="008E7ECD">
        <w:rPr>
          <w:rFonts w:cstheme="minorHAnsi"/>
          <w:sz w:val="24"/>
          <w:szCs w:val="24"/>
          <w:lang w:eastAsia="el-GR"/>
        </w:rPr>
        <w:t>2</w:t>
      </w:r>
      <w:r w:rsidR="00A94625" w:rsidRPr="005A464E">
        <w:rPr>
          <w:rFonts w:cstheme="minorHAnsi"/>
          <w:sz w:val="24"/>
          <w:szCs w:val="24"/>
          <w:lang w:eastAsia="el-GR"/>
        </w:rPr>
        <w:t>014</w:t>
      </w:r>
      <w:r w:rsidR="001D1EAA" w:rsidRPr="005A464E">
        <w:rPr>
          <w:rFonts w:cstheme="minorHAnsi"/>
          <w:sz w:val="24"/>
          <w:szCs w:val="24"/>
          <w:lang w:eastAsia="el-GR"/>
        </w:rPr>
        <w:t xml:space="preserve">; </w:t>
      </w:r>
      <w:hyperlink r:id="rId51" w:history="1">
        <w:r w:rsidR="001D1EAA" w:rsidRPr="00C106AA">
          <w:rPr>
            <w:rStyle w:val="-"/>
            <w:rFonts w:cstheme="minorHAnsi"/>
            <w:color w:val="auto"/>
            <w:sz w:val="24"/>
            <w:szCs w:val="24"/>
            <w:u w:val="none"/>
            <w:shd w:val="clear" w:color="auto" w:fill="FFFFFF"/>
          </w:rPr>
          <w:t>Baraz</w:t>
        </w:r>
      </w:hyperlink>
      <w:r w:rsidR="00C106AA" w:rsidRPr="00C106AA">
        <w:rPr>
          <w:rFonts w:cstheme="minorHAnsi"/>
          <w:sz w:val="24"/>
          <w:szCs w:val="24"/>
        </w:rPr>
        <w:t xml:space="preserve">, </w:t>
      </w:r>
      <w:hyperlink r:id="rId52" w:history="1">
        <w:r w:rsidR="00C106AA" w:rsidRPr="008E7ECD">
          <w:rPr>
            <w:rStyle w:val="-"/>
            <w:rFonts w:asciiTheme="minorHAnsi" w:hAnsiTheme="minorHAnsi" w:cstheme="minorHAnsi"/>
            <w:color w:val="auto"/>
            <w:sz w:val="24"/>
            <w:szCs w:val="24"/>
            <w:u w:val="none"/>
            <w:shd w:val="clear" w:color="auto" w:fill="FFFFFF"/>
            <w:lang w:val="en-US"/>
          </w:rPr>
          <w:t>Zarea</w:t>
        </w:r>
      </w:hyperlink>
      <w:r w:rsidR="008E7ECD" w:rsidRPr="008E7ECD">
        <w:rPr>
          <w:sz w:val="24"/>
          <w:szCs w:val="24"/>
        </w:rPr>
        <w:t>,</w:t>
      </w:r>
      <w:r w:rsidR="00C106AA" w:rsidRPr="008E7ECD">
        <w:rPr>
          <w:sz w:val="24"/>
          <w:szCs w:val="24"/>
        </w:rPr>
        <w:t xml:space="preserve"> </w:t>
      </w:r>
      <w:r w:rsidR="00C106AA" w:rsidRPr="008E7ECD">
        <w:rPr>
          <w:rStyle w:val="apple-converted-space"/>
          <w:rFonts w:asciiTheme="minorHAnsi" w:hAnsiTheme="minorHAnsi" w:cstheme="minorHAnsi"/>
          <w:sz w:val="24"/>
          <w:szCs w:val="24"/>
          <w:shd w:val="clear" w:color="auto" w:fill="FFFFFF"/>
        </w:rPr>
        <w:t xml:space="preserve">&amp; </w:t>
      </w:r>
      <w:hyperlink r:id="rId53" w:history="1">
        <w:r w:rsidR="00C106AA" w:rsidRPr="008E7ECD">
          <w:rPr>
            <w:rStyle w:val="-"/>
            <w:rFonts w:asciiTheme="minorHAnsi" w:hAnsiTheme="minorHAnsi" w:cstheme="minorHAnsi"/>
            <w:color w:val="auto"/>
            <w:sz w:val="24"/>
            <w:szCs w:val="24"/>
            <w:u w:val="none"/>
            <w:shd w:val="clear" w:color="auto" w:fill="FFFFFF"/>
            <w:lang w:val="en-US"/>
          </w:rPr>
          <w:t>Dashtbozorgi</w:t>
        </w:r>
        <w:r w:rsidR="008E7ECD" w:rsidRPr="008E7ECD">
          <w:rPr>
            <w:rStyle w:val="-"/>
            <w:rFonts w:asciiTheme="minorHAnsi" w:hAnsiTheme="minorHAnsi" w:cstheme="minorHAnsi"/>
            <w:color w:val="auto"/>
            <w:sz w:val="24"/>
            <w:szCs w:val="24"/>
            <w:u w:val="none"/>
            <w:shd w:val="clear" w:color="auto" w:fill="FFFFFF"/>
          </w:rPr>
          <w:t>,</w:t>
        </w:r>
        <w:r w:rsidR="00C106AA" w:rsidRPr="008E7ECD">
          <w:rPr>
            <w:rStyle w:val="-"/>
            <w:rFonts w:asciiTheme="minorHAnsi" w:hAnsiTheme="minorHAnsi" w:cstheme="minorHAnsi"/>
            <w:color w:val="auto"/>
            <w:sz w:val="24"/>
            <w:szCs w:val="24"/>
            <w:u w:val="none"/>
            <w:shd w:val="clear" w:color="auto" w:fill="FFFFFF"/>
          </w:rPr>
          <w:t xml:space="preserve"> </w:t>
        </w:r>
      </w:hyperlink>
      <w:r w:rsidR="001D1EAA" w:rsidRPr="008E7ECD">
        <w:rPr>
          <w:rFonts w:cstheme="minorHAnsi"/>
          <w:sz w:val="24"/>
          <w:szCs w:val="24"/>
        </w:rPr>
        <w:t>2014</w:t>
      </w:r>
      <w:r w:rsidR="008B6859" w:rsidRPr="008E7ECD">
        <w:rPr>
          <w:rFonts w:cstheme="minorHAnsi"/>
          <w:sz w:val="24"/>
          <w:szCs w:val="24"/>
        </w:rPr>
        <w:t xml:space="preserve">; </w:t>
      </w:r>
      <w:hyperlink r:id="rId54" w:history="1">
        <w:r w:rsidR="00C106AA" w:rsidRPr="008E7ECD">
          <w:rPr>
            <w:rStyle w:val="-"/>
            <w:rFonts w:cstheme="minorHAnsi"/>
            <w:color w:val="auto"/>
            <w:sz w:val="24"/>
            <w:szCs w:val="24"/>
            <w:u w:val="none"/>
            <w:shd w:val="clear" w:color="auto" w:fill="FFFFFF"/>
          </w:rPr>
          <w:t xml:space="preserve">Hemmati Maslakpak </w:t>
        </w:r>
        <w:r w:rsidR="008B6859" w:rsidRPr="008E7ECD">
          <w:rPr>
            <w:rStyle w:val="-"/>
            <w:rFonts w:cstheme="minorHAnsi"/>
            <w:color w:val="auto"/>
            <w:sz w:val="24"/>
            <w:szCs w:val="24"/>
            <w:u w:val="none"/>
            <w:shd w:val="clear" w:color="auto" w:fill="FFFFFF"/>
          </w:rPr>
          <w:t>&amp;</w:t>
        </w:r>
      </w:hyperlink>
      <w:r w:rsidR="008B6859" w:rsidRPr="008E7ECD">
        <w:rPr>
          <w:rStyle w:val="apple-converted-space"/>
          <w:rFonts w:cstheme="minorHAnsi"/>
          <w:sz w:val="24"/>
          <w:szCs w:val="24"/>
          <w:shd w:val="clear" w:color="auto" w:fill="FFFFFF"/>
        </w:rPr>
        <w:t> </w:t>
      </w:r>
      <w:hyperlink r:id="rId55" w:history="1">
        <w:r w:rsidR="008B6859" w:rsidRPr="008E7ECD">
          <w:rPr>
            <w:rStyle w:val="-"/>
            <w:rFonts w:cstheme="minorHAnsi"/>
            <w:color w:val="auto"/>
            <w:sz w:val="24"/>
            <w:szCs w:val="24"/>
            <w:u w:val="none"/>
            <w:shd w:val="clear" w:color="auto" w:fill="FFFFFF"/>
          </w:rPr>
          <w:t>Shams</w:t>
        </w:r>
        <w:r w:rsidR="008E7ECD" w:rsidRPr="008E7ECD">
          <w:rPr>
            <w:rStyle w:val="-"/>
            <w:rFonts w:cstheme="minorHAnsi"/>
            <w:color w:val="auto"/>
            <w:sz w:val="24"/>
            <w:szCs w:val="24"/>
            <w:u w:val="none"/>
            <w:shd w:val="clear" w:color="auto" w:fill="FFFFFF"/>
          </w:rPr>
          <w:t>,</w:t>
        </w:r>
        <w:r w:rsidR="008B6859" w:rsidRPr="008E7ECD">
          <w:rPr>
            <w:rStyle w:val="apple-converted-space"/>
            <w:rFonts w:cstheme="minorHAnsi"/>
            <w:sz w:val="24"/>
            <w:szCs w:val="24"/>
            <w:shd w:val="clear" w:color="auto" w:fill="FFFFFF"/>
          </w:rPr>
          <w:t> </w:t>
        </w:r>
      </w:hyperlink>
      <w:r w:rsidR="008B6859" w:rsidRPr="005A464E">
        <w:rPr>
          <w:rFonts w:cstheme="minorHAnsi"/>
          <w:sz w:val="24"/>
          <w:szCs w:val="24"/>
        </w:rPr>
        <w:t>2015</w:t>
      </w:r>
      <w:r w:rsidR="00A94625" w:rsidRPr="005A464E">
        <w:rPr>
          <w:rFonts w:cstheme="minorHAnsi"/>
          <w:sz w:val="24"/>
          <w:szCs w:val="24"/>
          <w:lang w:eastAsia="el-GR"/>
        </w:rPr>
        <w:t>) η αξιολόγηση της ποιότητας ζωής προτείνεται</w:t>
      </w:r>
      <w:r w:rsidR="0078495A">
        <w:rPr>
          <w:rFonts w:cstheme="minorHAnsi"/>
          <w:sz w:val="24"/>
          <w:szCs w:val="24"/>
          <w:lang w:eastAsia="el-GR"/>
        </w:rPr>
        <w:t xml:space="preserve"> </w:t>
      </w:r>
      <w:r w:rsidR="00A94625" w:rsidRPr="005A464E">
        <w:rPr>
          <w:rFonts w:cstheme="minorHAnsi"/>
          <w:sz w:val="24"/>
          <w:szCs w:val="24"/>
          <w:lang w:eastAsia="el-GR"/>
        </w:rPr>
        <w:t xml:space="preserve">να γίνεται 8 εβδομάδες </w:t>
      </w:r>
      <w:r w:rsidR="001D1EAA" w:rsidRPr="005A464E">
        <w:rPr>
          <w:rFonts w:cstheme="minorHAnsi"/>
          <w:sz w:val="24"/>
          <w:szCs w:val="24"/>
          <w:lang w:eastAsia="el-GR"/>
        </w:rPr>
        <w:t>έως και 6 μήνες</w:t>
      </w:r>
      <w:r w:rsidR="008B6859" w:rsidRPr="005A464E">
        <w:rPr>
          <w:rFonts w:cstheme="minorHAnsi"/>
          <w:sz w:val="24"/>
          <w:szCs w:val="24"/>
          <w:lang w:eastAsia="el-GR"/>
        </w:rPr>
        <w:t xml:space="preserve"> μετά</w:t>
      </w:r>
      <w:r w:rsidR="003E0246">
        <w:rPr>
          <w:rFonts w:cstheme="minorHAnsi"/>
          <w:sz w:val="24"/>
          <w:szCs w:val="24"/>
          <w:lang w:eastAsia="el-GR"/>
        </w:rPr>
        <w:t xml:space="preserve"> την</w:t>
      </w:r>
      <w:r w:rsidR="003E0246" w:rsidRPr="005A464E">
        <w:rPr>
          <w:rFonts w:cstheme="minorHAnsi"/>
          <w:sz w:val="24"/>
          <w:szCs w:val="24"/>
          <w:lang w:eastAsia="el-GR"/>
        </w:rPr>
        <w:t xml:space="preserve"> συμβουλευτική παρέμβαση</w:t>
      </w:r>
      <w:r w:rsidR="001D1EAA" w:rsidRPr="005A464E">
        <w:rPr>
          <w:rFonts w:cstheme="minorHAnsi"/>
          <w:sz w:val="24"/>
          <w:szCs w:val="24"/>
          <w:lang w:eastAsia="el-GR"/>
        </w:rPr>
        <w:t>.</w:t>
      </w:r>
      <w:r w:rsidR="00A94625" w:rsidRPr="005A464E">
        <w:rPr>
          <w:rFonts w:cstheme="minorHAnsi"/>
          <w:sz w:val="24"/>
          <w:szCs w:val="24"/>
          <w:lang w:eastAsia="el-GR"/>
        </w:rPr>
        <w:t xml:space="preserve"> </w:t>
      </w:r>
    </w:p>
    <w:p w:rsidR="00C669AC" w:rsidRPr="009E7499" w:rsidRDefault="001B0E6D" w:rsidP="0066526D">
      <w:pPr>
        <w:pStyle w:val="25"/>
        <w:numPr>
          <w:ilvl w:val="1"/>
          <w:numId w:val="115"/>
        </w:numPr>
        <w:spacing w:after="240"/>
        <w:rPr>
          <w:rFonts w:asciiTheme="minorHAnsi" w:hAnsiTheme="minorHAnsi"/>
          <w:lang w:eastAsia="el-GR"/>
        </w:rPr>
      </w:pPr>
      <w:bookmarkStart w:id="74" w:name="_Toc495951469"/>
      <w:r>
        <w:rPr>
          <w:rFonts w:asciiTheme="minorHAnsi" w:hAnsiTheme="minorHAnsi"/>
          <w:lang w:eastAsia="el-GR"/>
        </w:rPr>
        <w:t>Στατιστική Ανά</w:t>
      </w:r>
      <w:r w:rsidRPr="009E7499">
        <w:rPr>
          <w:rFonts w:asciiTheme="minorHAnsi" w:hAnsiTheme="minorHAnsi"/>
          <w:lang w:eastAsia="el-GR"/>
        </w:rPr>
        <w:t>λυση</w:t>
      </w:r>
      <w:bookmarkEnd w:id="74"/>
    </w:p>
    <w:p w:rsidR="0045471D" w:rsidRDefault="0045471D" w:rsidP="002F6F86">
      <w:pPr>
        <w:spacing w:line="360" w:lineRule="auto"/>
        <w:jc w:val="both"/>
        <w:rPr>
          <w:sz w:val="24"/>
          <w:szCs w:val="24"/>
        </w:rPr>
      </w:pPr>
      <w:r w:rsidRPr="005A464E">
        <w:rPr>
          <w:sz w:val="24"/>
          <w:szCs w:val="24"/>
        </w:rPr>
        <w:t>Οι μέσες τιμές (mean), οι τυπικές αποκλίσεις (Standard Deviation=</w:t>
      </w:r>
      <w:r w:rsidR="00D225F5" w:rsidRPr="005A464E">
        <w:rPr>
          <w:sz w:val="24"/>
          <w:szCs w:val="24"/>
        </w:rPr>
        <w:t>ΤΑ</w:t>
      </w:r>
      <w:r w:rsidRPr="005A464E">
        <w:rPr>
          <w:sz w:val="24"/>
          <w:szCs w:val="24"/>
        </w:rPr>
        <w:t>) και οι διάμεσοι (median) και τα ενδοτεταρτημοριακά εύρη (interquartile range) χρησιμοποιήθηκαν για την περιγραφή των ποσοτικών μεταβλητών. Οι απόλυτες (Ν) και οι σχετικές (%) συχνότητες χρησιμοποιήθηκαν για την περιγραφή των ποιοτικών μεταβλητών. Για τη σύγκριση αναλογιών χρησιμοποιήθηκε το Pearson’s χ</w:t>
      </w:r>
      <w:r w:rsidRPr="005A464E">
        <w:rPr>
          <w:sz w:val="24"/>
          <w:szCs w:val="24"/>
          <w:vertAlign w:val="superscript"/>
        </w:rPr>
        <w:t xml:space="preserve">2 </w:t>
      </w:r>
      <w:r w:rsidRPr="005A464E">
        <w:rPr>
          <w:sz w:val="24"/>
          <w:szCs w:val="24"/>
        </w:rPr>
        <w:t xml:space="preserve">test ή το </w:t>
      </w:r>
      <w:r w:rsidRPr="005A464E">
        <w:rPr>
          <w:color w:val="000000"/>
          <w:sz w:val="24"/>
          <w:szCs w:val="24"/>
        </w:rPr>
        <w:t>Fisher's exact test όπου ήταν απαραίτητο</w:t>
      </w:r>
      <w:r w:rsidRPr="005A464E">
        <w:rPr>
          <w:sz w:val="24"/>
          <w:szCs w:val="24"/>
        </w:rPr>
        <w:t>.Για τη σύγκριση ποσοτικών μεταβλητών μεταξύ δυο ομάδων χρησιμοποιήθηκε το Student’s t-test ή το μη παραμετρικό κριτήριο Mann-Whitney. Για τη σύγκριση ποσοτικών μεταβλητών μεταξύ περισσοτέρων από δυο ομάδων χρησιμοποιήθηκε o παραμετρικός έλεγχος ανάλυσης διασποράς (ANOVA) ή το μη παραμετρικό κριτήριο Kruskal-Wallis</w:t>
      </w:r>
      <w:r w:rsidR="00B524CF" w:rsidRPr="00B524CF">
        <w:rPr>
          <w:sz w:val="24"/>
          <w:szCs w:val="24"/>
        </w:rPr>
        <w:t xml:space="preserve">. </w:t>
      </w:r>
      <w:r w:rsidRPr="005A464E">
        <w:rPr>
          <w:sz w:val="24"/>
          <w:szCs w:val="24"/>
        </w:rPr>
        <w:t>Για τον έλεγχο του σφάλματος τύπου Ι, λόγω των πολλαπλών συγκρίσεων χρησιμοποιήθηκε η διόρθωση κατά Bonferroni σύμφωνα με την οποία το επίπεδο σημα</w:t>
      </w:r>
      <w:r w:rsidR="004C1BCE">
        <w:rPr>
          <w:sz w:val="24"/>
          <w:szCs w:val="24"/>
        </w:rPr>
        <w:t>ντικότητας είναι 0,05/κ (κ=</w:t>
      </w:r>
      <w:r w:rsidRPr="005A464E">
        <w:rPr>
          <w:sz w:val="24"/>
          <w:szCs w:val="24"/>
        </w:rPr>
        <w:t xml:space="preserve">αριθμός των συγκρίσεων). </w:t>
      </w:r>
      <w:r w:rsidRPr="005A464E">
        <w:rPr>
          <w:color w:val="000000"/>
          <w:sz w:val="24"/>
          <w:szCs w:val="24"/>
          <w:shd w:val="clear" w:color="auto" w:fill="FFFFFF"/>
        </w:rPr>
        <w:t xml:space="preserve">Η εσωτερική αξιοπιστία των ερωτηματολογίων γνώσεων και συμμόρφωσης ελέγχθηκε με </w:t>
      </w:r>
      <w:r w:rsidRPr="005A464E">
        <w:rPr>
          <w:sz w:val="24"/>
          <w:szCs w:val="24"/>
          <w:lang w:eastAsia="el-GR"/>
        </w:rPr>
        <w:t>τον δείκτη Μ</w:t>
      </w:r>
      <w:r w:rsidRPr="005A464E">
        <w:rPr>
          <w:sz w:val="24"/>
          <w:szCs w:val="24"/>
          <w:lang w:val="en-US" w:eastAsia="el-GR"/>
        </w:rPr>
        <w:t>cNemar</w:t>
      </w:r>
      <w:r w:rsidRPr="005A464E">
        <w:rPr>
          <w:sz w:val="24"/>
          <w:szCs w:val="24"/>
          <w:lang w:eastAsia="el-GR"/>
        </w:rPr>
        <w:t xml:space="preserve"> </w:t>
      </w:r>
      <w:r w:rsidRPr="005A464E">
        <w:rPr>
          <w:sz w:val="24"/>
          <w:szCs w:val="24"/>
          <w:lang w:val="en-US" w:eastAsia="el-GR"/>
        </w:rPr>
        <w:t>Bowker</w:t>
      </w:r>
      <w:r w:rsidRPr="005A464E">
        <w:rPr>
          <w:sz w:val="24"/>
          <w:szCs w:val="24"/>
          <w:lang w:eastAsia="el-GR"/>
        </w:rPr>
        <w:t xml:space="preserve"> για τη συσχέτιση των αποτελεσμάτων μεταξύ των </w:t>
      </w:r>
      <w:r w:rsidR="00BA566F">
        <w:rPr>
          <w:sz w:val="24"/>
          <w:szCs w:val="24"/>
          <w:lang w:eastAsia="el-GR"/>
        </w:rPr>
        <w:t xml:space="preserve">δύο </w:t>
      </w:r>
      <w:r w:rsidRPr="005A464E">
        <w:rPr>
          <w:sz w:val="24"/>
          <w:szCs w:val="24"/>
          <w:lang w:eastAsia="el-GR"/>
        </w:rPr>
        <w:t>μετρήσεων</w:t>
      </w:r>
      <w:r w:rsidRPr="005A464E">
        <w:rPr>
          <w:color w:val="000000"/>
          <w:sz w:val="24"/>
          <w:szCs w:val="24"/>
          <w:shd w:val="clear" w:color="auto" w:fill="FFFFFF"/>
        </w:rPr>
        <w:t xml:space="preserve"> και τη χρήση του συντελεστή</w:t>
      </w:r>
      <w:r w:rsidR="0078495A">
        <w:rPr>
          <w:color w:val="000000"/>
          <w:sz w:val="24"/>
          <w:szCs w:val="24"/>
          <w:shd w:val="clear" w:color="auto" w:fill="FFFFFF"/>
        </w:rPr>
        <w:t xml:space="preserve"> </w:t>
      </w:r>
      <w:r w:rsidRPr="005A464E">
        <w:rPr>
          <w:color w:val="000000"/>
          <w:sz w:val="24"/>
          <w:szCs w:val="24"/>
          <w:shd w:val="clear" w:color="auto" w:fill="FFFFFF"/>
        </w:rPr>
        <w:t>Cronbach</w:t>
      </w:r>
      <w:r w:rsidR="00205242">
        <w:rPr>
          <w:color w:val="000000"/>
          <w:sz w:val="24"/>
          <w:szCs w:val="24"/>
          <w:shd w:val="clear" w:color="auto" w:fill="FFFFFF"/>
        </w:rPr>
        <w:t>’s-</w:t>
      </w:r>
      <w:r w:rsidR="00205242">
        <w:rPr>
          <w:color w:val="000000"/>
          <w:sz w:val="24"/>
          <w:szCs w:val="24"/>
          <w:shd w:val="clear" w:color="auto" w:fill="FFFFFF"/>
          <w:lang w:val="en-US"/>
        </w:rPr>
        <w:t>Alpha</w:t>
      </w:r>
      <w:r w:rsidRPr="005A464E">
        <w:rPr>
          <w:color w:val="000000"/>
          <w:sz w:val="24"/>
          <w:szCs w:val="24"/>
          <w:shd w:val="clear" w:color="auto" w:fill="FFFFFF"/>
        </w:rPr>
        <w:t>.</w:t>
      </w:r>
      <w:r w:rsidRPr="005A464E">
        <w:rPr>
          <w:b/>
          <w:sz w:val="24"/>
          <w:szCs w:val="24"/>
          <w:lang w:eastAsia="el-GR"/>
        </w:rPr>
        <w:t xml:space="preserve"> </w:t>
      </w:r>
      <w:r w:rsidRPr="005150BC">
        <w:rPr>
          <w:sz w:val="24"/>
          <w:szCs w:val="24"/>
          <w:lang w:eastAsia="el-GR"/>
        </w:rPr>
        <w:t>Για τον έλεγχο τη δομικής εγκυρότητας του ερωτηματολογίου συμμόρφωσης χρησιμοποιήθηκε ο δείκτης εγκυρότητας</w:t>
      </w:r>
      <w:r w:rsidRPr="005A464E">
        <w:rPr>
          <w:sz w:val="24"/>
          <w:szCs w:val="24"/>
          <w:lang w:eastAsia="el-GR"/>
        </w:rPr>
        <w:t xml:space="preserve"> περιεχομένου (</w:t>
      </w:r>
      <w:r w:rsidRPr="005A464E">
        <w:rPr>
          <w:sz w:val="24"/>
          <w:szCs w:val="24"/>
          <w:lang w:val="en-US" w:eastAsia="el-GR"/>
        </w:rPr>
        <w:t>Content</w:t>
      </w:r>
      <w:r w:rsidRPr="005A464E">
        <w:rPr>
          <w:sz w:val="24"/>
          <w:szCs w:val="24"/>
          <w:lang w:eastAsia="el-GR"/>
        </w:rPr>
        <w:t xml:space="preserve"> </w:t>
      </w:r>
      <w:r w:rsidRPr="005A464E">
        <w:rPr>
          <w:sz w:val="24"/>
          <w:szCs w:val="24"/>
          <w:lang w:val="en-US" w:eastAsia="el-GR"/>
        </w:rPr>
        <w:t>Validity</w:t>
      </w:r>
      <w:r w:rsidRPr="005A464E">
        <w:rPr>
          <w:sz w:val="24"/>
          <w:szCs w:val="24"/>
          <w:lang w:eastAsia="el-GR"/>
        </w:rPr>
        <w:t xml:space="preserve"> </w:t>
      </w:r>
      <w:r w:rsidRPr="005A464E">
        <w:rPr>
          <w:sz w:val="24"/>
          <w:szCs w:val="24"/>
          <w:lang w:val="en-US" w:eastAsia="el-GR"/>
        </w:rPr>
        <w:t>Index</w:t>
      </w:r>
      <w:r w:rsidRPr="005A464E">
        <w:rPr>
          <w:sz w:val="24"/>
          <w:szCs w:val="24"/>
          <w:lang w:eastAsia="el-GR"/>
        </w:rPr>
        <w:t xml:space="preserve">, </w:t>
      </w:r>
      <w:r w:rsidRPr="005A464E">
        <w:rPr>
          <w:sz w:val="24"/>
          <w:szCs w:val="24"/>
          <w:lang w:val="en-US" w:eastAsia="el-GR"/>
        </w:rPr>
        <w:t>CVI</w:t>
      </w:r>
      <w:r w:rsidRPr="005A464E">
        <w:rPr>
          <w:sz w:val="24"/>
          <w:szCs w:val="24"/>
          <w:lang w:eastAsia="el-GR"/>
        </w:rPr>
        <w:t xml:space="preserve">) για την αξιολόγηση της σχετικότητας της κάθε ερώτησης με τη χρήση </w:t>
      </w:r>
      <w:r w:rsidR="00817853">
        <w:rPr>
          <w:sz w:val="24"/>
          <w:szCs w:val="24"/>
          <w:lang w:eastAsia="el-GR"/>
        </w:rPr>
        <w:t>μια</w:t>
      </w:r>
      <w:r w:rsidRPr="005A464E">
        <w:rPr>
          <w:sz w:val="24"/>
          <w:szCs w:val="24"/>
          <w:lang w:eastAsia="el-GR"/>
        </w:rPr>
        <w:t>ς κλίμακας 4 σημείων (4 απόλυτα σχετικό, 3 σχετικό με μικρή τροποποίηση, 2 ελάχιστα σχετικό και 1 όχι σχετικό) και στη συνέχεια εφαρμόστηκε η τεχνική της παραγοντικής ανάλυσης (</w:t>
      </w:r>
      <w:r w:rsidRPr="005A464E">
        <w:rPr>
          <w:sz w:val="24"/>
          <w:szCs w:val="24"/>
          <w:lang w:val="en-US" w:eastAsia="el-GR"/>
        </w:rPr>
        <w:t>factor</w:t>
      </w:r>
      <w:r w:rsidRPr="005A464E">
        <w:rPr>
          <w:sz w:val="24"/>
          <w:szCs w:val="24"/>
          <w:lang w:eastAsia="el-GR"/>
        </w:rPr>
        <w:t xml:space="preserve"> </w:t>
      </w:r>
      <w:r w:rsidRPr="005A464E">
        <w:rPr>
          <w:sz w:val="24"/>
          <w:szCs w:val="24"/>
          <w:lang w:val="en-US" w:eastAsia="el-GR"/>
        </w:rPr>
        <w:t>analysis</w:t>
      </w:r>
      <w:r w:rsidRPr="005A464E">
        <w:rPr>
          <w:sz w:val="24"/>
          <w:szCs w:val="24"/>
          <w:lang w:eastAsia="el-GR"/>
        </w:rPr>
        <w:t>)</w:t>
      </w:r>
      <w:r w:rsidRPr="005A464E">
        <w:rPr>
          <w:sz w:val="24"/>
          <w:szCs w:val="24"/>
        </w:rPr>
        <w:t xml:space="preserve"> με τη </w:t>
      </w:r>
      <w:r w:rsidRPr="005A464E">
        <w:rPr>
          <w:sz w:val="24"/>
          <w:szCs w:val="24"/>
          <w:lang w:eastAsia="el-GR"/>
        </w:rPr>
        <w:t>μέθοδο περιστροφής των αξόνων: Equamax με κανονικοποίηση κατά Kaiser.</w:t>
      </w:r>
      <w:r w:rsidR="0078495A">
        <w:rPr>
          <w:b/>
          <w:sz w:val="24"/>
          <w:szCs w:val="24"/>
          <w:lang w:eastAsia="el-GR"/>
        </w:rPr>
        <w:t xml:space="preserve"> </w:t>
      </w:r>
      <w:r w:rsidRPr="005A464E">
        <w:rPr>
          <w:color w:val="000000"/>
          <w:sz w:val="24"/>
          <w:szCs w:val="24"/>
        </w:rPr>
        <w:t xml:space="preserve">Για τον έλεγχο της σχέσης δυο ποσοτικών μεταβλητών χρησιμοποιήθηκε ο συντελεστής συσχέτισης του Pearson ή του Spearman (r). Η συσχέτιση θεωρείται χαμηλή όταν ο συντελεστής συσχέτισης (r) κυμαίνεται από 0,1 έως 0,3, μέτρια όταν ο συντελεστής συσχέτισης κυμαίνεται από </w:t>
      </w:r>
      <w:r w:rsidRPr="005A464E">
        <w:rPr>
          <w:color w:val="000000"/>
          <w:sz w:val="24"/>
          <w:szCs w:val="24"/>
          <w:shd w:val="clear" w:color="auto" w:fill="FFFFFF"/>
        </w:rPr>
        <w:t>0,31 έως 0,5 και υψηλή</w:t>
      </w:r>
      <w:r w:rsidR="0078495A">
        <w:rPr>
          <w:color w:val="000000"/>
          <w:sz w:val="24"/>
          <w:szCs w:val="24"/>
          <w:shd w:val="clear" w:color="auto" w:fill="FFFFFF"/>
        </w:rPr>
        <w:t xml:space="preserve"> </w:t>
      </w:r>
      <w:r w:rsidRPr="005A464E">
        <w:rPr>
          <w:color w:val="000000"/>
          <w:sz w:val="24"/>
          <w:szCs w:val="24"/>
          <w:shd w:val="clear" w:color="auto" w:fill="FFFFFF"/>
        </w:rPr>
        <w:t>όταν ο συντελεστής είναι μεγαλύτερος από 0,5.</w:t>
      </w:r>
      <w:r w:rsidRPr="005A464E">
        <w:rPr>
          <w:sz w:val="24"/>
          <w:szCs w:val="24"/>
        </w:rPr>
        <w:t xml:space="preserve"> Η ανάλυση διασποράς για επαναλαμβανόμενες μετρήσεις (ANOVA) χρησιμοποιήθηκε προκειμένου να ελεγχθούν διαφορές στις υπό μελέτη κλίμακες μεταξύ των ομάδων αλλά και χρονικά. Επίσης, με την ανωτέρω μέθοδο εκτιμήθηκε εάν ο βαθμός μεταβολής στο χρόνο των υπό μελέτη παραμέτρων ήταν διαφορετικός μεταξύ των δυο ομάδων. Εξαιτίας της ασυμμετρίας των κατανομών στην κλίμακα συμμόρφωσης, χρησιμοποιήθηκαν οι λογαριθμικοί μετασχηματισμοί των μεταβλητών στην μέθοδο επαναλαμβανόμενων μετρήσεων ANOVA. Η ανάλυση γραμμικής παλινδρόμησης (linear regression analysis) με τη διαδικασία διαδοχικής ένταξης/αφαίρεσης (stepwise) χρησιμοποιήθηκε για την εύρεση ανεξάρτητων παραγόντων που σχετίζονται με τις κλίμακες της μελέτης από την οποία προέκυψαν συντελεστές εξάρτησης (β) και τα τυπικά σφάλματά τους (standard errors=SE).</w:t>
      </w:r>
      <w:r w:rsidRPr="005A464E">
        <w:rPr>
          <w:color w:val="000000"/>
          <w:sz w:val="24"/>
          <w:szCs w:val="24"/>
          <w:shd w:val="clear" w:color="auto" w:fill="FFFFFF"/>
        </w:rPr>
        <w:t xml:space="preserve"> </w:t>
      </w:r>
      <w:r w:rsidRPr="005A464E">
        <w:rPr>
          <w:sz w:val="24"/>
          <w:szCs w:val="24"/>
        </w:rPr>
        <w:t xml:space="preserve">Η ανάλυση γραμμικής παλινδρόμησης για τις διαστάσεις της κλίμακας συμμόρφωσης έγινε με τη χρήση λογαριθμικών μετασχηματισμών. Τα επίπεδα σημαντικότητας είναι αμφίπλευρα και η στατιστική σημαντικότητα τέθηκε στο 0,05. Για την ανάλυση χρησιμοποιήθηκε το στατιστικό πρόγραμμα SPSS 19.0. </w:t>
      </w:r>
    </w:p>
    <w:p w:rsidR="001B63BB" w:rsidRDefault="001B63BB" w:rsidP="002F6F86">
      <w:pPr>
        <w:spacing w:line="360" w:lineRule="auto"/>
        <w:jc w:val="both"/>
        <w:rPr>
          <w:sz w:val="24"/>
          <w:szCs w:val="24"/>
        </w:rPr>
      </w:pPr>
    </w:p>
    <w:p w:rsidR="001B63BB" w:rsidRDefault="001B63BB" w:rsidP="002F6F86">
      <w:pPr>
        <w:spacing w:line="360" w:lineRule="auto"/>
        <w:jc w:val="both"/>
        <w:rPr>
          <w:sz w:val="24"/>
          <w:szCs w:val="24"/>
        </w:rPr>
      </w:pPr>
    </w:p>
    <w:p w:rsidR="001B63BB" w:rsidRDefault="001B63BB" w:rsidP="002F6F86">
      <w:pPr>
        <w:spacing w:line="360" w:lineRule="auto"/>
        <w:jc w:val="both"/>
        <w:rPr>
          <w:sz w:val="24"/>
          <w:szCs w:val="24"/>
        </w:rPr>
      </w:pPr>
    </w:p>
    <w:p w:rsidR="001B63BB" w:rsidRDefault="001B63BB" w:rsidP="002F6F86">
      <w:pPr>
        <w:spacing w:line="360" w:lineRule="auto"/>
        <w:jc w:val="both"/>
        <w:rPr>
          <w:sz w:val="24"/>
          <w:szCs w:val="24"/>
        </w:rPr>
      </w:pPr>
    </w:p>
    <w:p w:rsidR="001B63BB" w:rsidRDefault="001B63BB" w:rsidP="002F6F86">
      <w:pPr>
        <w:spacing w:line="360" w:lineRule="auto"/>
        <w:jc w:val="both"/>
        <w:rPr>
          <w:sz w:val="24"/>
          <w:szCs w:val="24"/>
        </w:rPr>
      </w:pPr>
    </w:p>
    <w:p w:rsidR="001B63BB" w:rsidRDefault="001B63BB" w:rsidP="002F6F86">
      <w:pPr>
        <w:spacing w:line="360" w:lineRule="auto"/>
        <w:jc w:val="both"/>
        <w:rPr>
          <w:sz w:val="24"/>
          <w:szCs w:val="24"/>
        </w:rPr>
      </w:pPr>
    </w:p>
    <w:p w:rsidR="001B63BB" w:rsidRDefault="001B63BB" w:rsidP="002F6F86">
      <w:pPr>
        <w:spacing w:line="360" w:lineRule="auto"/>
        <w:jc w:val="both"/>
        <w:rPr>
          <w:sz w:val="24"/>
          <w:szCs w:val="24"/>
        </w:rPr>
      </w:pPr>
    </w:p>
    <w:p w:rsidR="00040924" w:rsidRDefault="00040924" w:rsidP="002F6F86">
      <w:pPr>
        <w:spacing w:line="360" w:lineRule="auto"/>
        <w:jc w:val="both"/>
        <w:rPr>
          <w:sz w:val="24"/>
          <w:szCs w:val="24"/>
        </w:rPr>
      </w:pPr>
    </w:p>
    <w:p w:rsidR="00040924" w:rsidRDefault="00040924" w:rsidP="002F6F86">
      <w:pPr>
        <w:spacing w:line="360" w:lineRule="auto"/>
        <w:jc w:val="both"/>
        <w:rPr>
          <w:sz w:val="24"/>
          <w:szCs w:val="24"/>
        </w:rPr>
      </w:pPr>
    </w:p>
    <w:p w:rsidR="00EE1E70" w:rsidRPr="00A227C8" w:rsidRDefault="00EE1E70" w:rsidP="002F6F86">
      <w:pPr>
        <w:spacing w:line="360" w:lineRule="auto"/>
        <w:jc w:val="both"/>
        <w:rPr>
          <w:b/>
          <w:sz w:val="24"/>
          <w:szCs w:val="24"/>
          <w:lang w:eastAsia="el-GR"/>
        </w:rPr>
      </w:pPr>
    </w:p>
    <w:p w:rsidR="00B83B14" w:rsidRPr="00DB6A65" w:rsidRDefault="002F6F86" w:rsidP="002F6F86">
      <w:pPr>
        <w:pStyle w:val="1a"/>
        <w:rPr>
          <w:rFonts w:asciiTheme="minorHAnsi" w:hAnsiTheme="minorHAnsi" w:cstheme="minorHAnsi"/>
          <w:lang w:eastAsia="el-GR"/>
        </w:rPr>
      </w:pPr>
      <w:bookmarkStart w:id="75" w:name="_Toc495951470"/>
      <w:r w:rsidRPr="00DB6A65">
        <w:rPr>
          <w:rFonts w:asciiTheme="minorHAnsi" w:hAnsiTheme="minorHAnsi" w:cstheme="minorHAnsi"/>
          <w:lang w:eastAsia="el-GR"/>
        </w:rPr>
        <w:t>7</w:t>
      </w:r>
      <w:r w:rsidR="00D74CB5" w:rsidRPr="00DB6A65">
        <w:rPr>
          <w:rFonts w:asciiTheme="minorHAnsi" w:hAnsiTheme="minorHAnsi" w:cstheme="minorHAnsi"/>
          <w:vertAlign w:val="superscript"/>
          <w:lang w:eastAsia="el-GR"/>
        </w:rPr>
        <w:t xml:space="preserve">ο   </w:t>
      </w:r>
      <w:r w:rsidR="00D74CB5" w:rsidRPr="00DB6A65">
        <w:rPr>
          <w:rFonts w:asciiTheme="minorHAnsi" w:hAnsiTheme="minorHAnsi" w:cstheme="minorHAnsi"/>
          <w:lang w:eastAsia="el-GR"/>
        </w:rPr>
        <w:t xml:space="preserve">ΚΕΦΑΛΑΙΟ: </w:t>
      </w:r>
      <w:r w:rsidR="00B83B14" w:rsidRPr="00DB6A65">
        <w:rPr>
          <w:rFonts w:asciiTheme="minorHAnsi" w:hAnsiTheme="minorHAnsi" w:cstheme="minorHAnsi"/>
          <w:lang w:eastAsia="el-GR"/>
        </w:rPr>
        <w:t>ΑΠΟΤΕΛΕΣΜΑΤΑ</w:t>
      </w:r>
      <w:bookmarkEnd w:id="75"/>
    </w:p>
    <w:p w:rsidR="002B1022" w:rsidRPr="005A464E" w:rsidRDefault="002B1022" w:rsidP="0066526D">
      <w:pPr>
        <w:pStyle w:val="30"/>
        <w:numPr>
          <w:ilvl w:val="1"/>
          <w:numId w:val="116"/>
        </w:numPr>
        <w:spacing w:after="240"/>
        <w:rPr>
          <w:lang w:eastAsia="el-GR"/>
        </w:rPr>
      </w:pPr>
      <w:bookmarkStart w:id="76" w:name="_Toc495951471"/>
      <w:r w:rsidRPr="005A464E">
        <w:rPr>
          <w:lang w:eastAsia="el-GR"/>
        </w:rPr>
        <w:t>1</w:t>
      </w:r>
      <w:r w:rsidRPr="005A464E">
        <w:rPr>
          <w:vertAlign w:val="superscript"/>
          <w:lang w:eastAsia="el-GR"/>
        </w:rPr>
        <w:t>η</w:t>
      </w:r>
      <w:r w:rsidRPr="005A464E">
        <w:rPr>
          <w:lang w:eastAsia="el-GR"/>
        </w:rPr>
        <w:t xml:space="preserve"> φάση</w:t>
      </w:r>
      <w:bookmarkEnd w:id="76"/>
    </w:p>
    <w:p w:rsidR="00996108" w:rsidRPr="004C3144" w:rsidRDefault="00996108" w:rsidP="004C3144">
      <w:pPr>
        <w:pStyle w:val="a5"/>
        <w:numPr>
          <w:ilvl w:val="0"/>
          <w:numId w:val="121"/>
        </w:numPr>
        <w:spacing w:after="240" w:line="360" w:lineRule="auto"/>
        <w:jc w:val="both"/>
        <w:rPr>
          <w:i/>
          <w:sz w:val="24"/>
          <w:szCs w:val="24"/>
          <w:lang w:eastAsia="el-GR"/>
        </w:rPr>
      </w:pPr>
      <w:r w:rsidRPr="004C3144">
        <w:rPr>
          <w:i/>
          <w:sz w:val="24"/>
          <w:szCs w:val="24"/>
          <w:lang w:eastAsia="el-GR"/>
        </w:rPr>
        <w:t xml:space="preserve">Αποτελέσματα </w:t>
      </w:r>
      <w:r w:rsidR="00B83B14" w:rsidRPr="004C3144">
        <w:rPr>
          <w:i/>
          <w:sz w:val="24"/>
          <w:szCs w:val="24"/>
          <w:lang w:eastAsia="el-GR"/>
        </w:rPr>
        <w:t>μετάφρασης</w:t>
      </w:r>
      <w:r w:rsidR="0044168C" w:rsidRPr="004C3144">
        <w:rPr>
          <w:i/>
          <w:sz w:val="24"/>
          <w:szCs w:val="24"/>
          <w:lang w:eastAsia="el-GR"/>
        </w:rPr>
        <w:t xml:space="preserve"> </w:t>
      </w:r>
      <w:r w:rsidR="00D0641B" w:rsidRPr="004C3144">
        <w:rPr>
          <w:i/>
          <w:sz w:val="24"/>
          <w:szCs w:val="24"/>
          <w:lang w:eastAsia="el-GR"/>
        </w:rPr>
        <w:t xml:space="preserve">και πολιτισμικής προσαρμογής </w:t>
      </w:r>
      <w:r w:rsidR="004C3144" w:rsidRPr="004C3144">
        <w:rPr>
          <w:i/>
          <w:sz w:val="24"/>
          <w:szCs w:val="24"/>
          <w:lang w:eastAsia="el-GR"/>
        </w:rPr>
        <w:t xml:space="preserve">της κλίμακας </w:t>
      </w:r>
      <w:r w:rsidR="0044168C" w:rsidRPr="004C3144">
        <w:rPr>
          <w:i/>
          <w:sz w:val="24"/>
          <w:szCs w:val="24"/>
          <w:lang w:eastAsia="el-GR"/>
        </w:rPr>
        <w:t>Κ</w:t>
      </w:r>
      <w:r w:rsidR="0044168C" w:rsidRPr="004C3144">
        <w:rPr>
          <w:i/>
          <w:sz w:val="24"/>
          <w:szCs w:val="24"/>
          <w:lang w:val="en-US" w:eastAsia="el-GR"/>
        </w:rPr>
        <w:t>idney</w:t>
      </w:r>
      <w:r w:rsidR="0044168C" w:rsidRPr="004C3144">
        <w:rPr>
          <w:i/>
          <w:sz w:val="24"/>
          <w:szCs w:val="24"/>
          <w:lang w:eastAsia="el-GR"/>
        </w:rPr>
        <w:t xml:space="preserve"> </w:t>
      </w:r>
      <w:r w:rsidR="0044168C" w:rsidRPr="004C3144">
        <w:rPr>
          <w:i/>
          <w:sz w:val="24"/>
          <w:szCs w:val="24"/>
          <w:lang w:val="en-US" w:eastAsia="el-GR"/>
        </w:rPr>
        <w:t>Disease</w:t>
      </w:r>
      <w:r w:rsidR="0044168C" w:rsidRPr="004C3144">
        <w:rPr>
          <w:i/>
          <w:sz w:val="24"/>
          <w:szCs w:val="24"/>
          <w:lang w:eastAsia="el-GR"/>
        </w:rPr>
        <w:t xml:space="preserve"> </w:t>
      </w:r>
      <w:r w:rsidR="0044168C" w:rsidRPr="004C3144">
        <w:rPr>
          <w:i/>
          <w:sz w:val="24"/>
          <w:szCs w:val="24"/>
          <w:lang w:val="en-US" w:eastAsia="el-GR"/>
        </w:rPr>
        <w:t>Questionnaire</w:t>
      </w:r>
    </w:p>
    <w:p w:rsidR="00D0641B" w:rsidRDefault="007C6E0F" w:rsidP="005A464E">
      <w:pPr>
        <w:spacing w:line="360" w:lineRule="auto"/>
        <w:jc w:val="both"/>
        <w:rPr>
          <w:sz w:val="24"/>
          <w:szCs w:val="24"/>
          <w:lang w:eastAsia="el-GR"/>
        </w:rPr>
      </w:pPr>
      <w:r w:rsidRPr="005A464E">
        <w:rPr>
          <w:i/>
          <w:sz w:val="24"/>
          <w:szCs w:val="24"/>
          <w:lang w:eastAsia="el-GR"/>
        </w:rPr>
        <w:t>Η μετάφραση του ερωτηματολογίου</w:t>
      </w:r>
      <w:r w:rsidR="00D0641B">
        <w:rPr>
          <w:i/>
          <w:sz w:val="24"/>
          <w:szCs w:val="24"/>
          <w:lang w:eastAsia="el-GR"/>
        </w:rPr>
        <w:t xml:space="preserve"> (ΠΑΡΑΡΤΗΜΑ)</w:t>
      </w:r>
      <w:r w:rsidRPr="005A464E">
        <w:rPr>
          <w:sz w:val="24"/>
          <w:szCs w:val="24"/>
          <w:lang w:eastAsia="el-GR"/>
        </w:rPr>
        <w:t xml:space="preserve"> διεξήχθη </w:t>
      </w:r>
      <w:r w:rsidR="00996108" w:rsidRPr="005A464E">
        <w:rPr>
          <w:sz w:val="24"/>
          <w:szCs w:val="24"/>
          <w:lang w:eastAsia="el-GR"/>
        </w:rPr>
        <w:t xml:space="preserve">με σκοπό </w:t>
      </w:r>
      <w:r w:rsidRPr="005A464E">
        <w:rPr>
          <w:sz w:val="24"/>
          <w:szCs w:val="24"/>
          <w:lang w:eastAsia="el-GR"/>
        </w:rPr>
        <w:t>να διατη</w:t>
      </w:r>
      <w:r w:rsidR="00996108" w:rsidRPr="005A464E">
        <w:rPr>
          <w:sz w:val="24"/>
          <w:szCs w:val="24"/>
          <w:lang w:eastAsia="el-GR"/>
        </w:rPr>
        <w:t>ρηθούν τα βασικά</w:t>
      </w:r>
      <w:r w:rsidRPr="005A464E">
        <w:rPr>
          <w:sz w:val="24"/>
          <w:szCs w:val="24"/>
          <w:lang w:eastAsia="el-GR"/>
        </w:rPr>
        <w:t xml:space="preserve"> χαρακτηριστικά του </w:t>
      </w:r>
      <w:r w:rsidR="00996108" w:rsidRPr="005A464E">
        <w:rPr>
          <w:sz w:val="24"/>
          <w:szCs w:val="24"/>
          <w:lang w:eastAsia="el-GR"/>
        </w:rPr>
        <w:t>ερωτηματολογίου κάνοντας τις απαραίτητες</w:t>
      </w:r>
      <w:r w:rsidRPr="005A464E">
        <w:rPr>
          <w:sz w:val="24"/>
          <w:szCs w:val="24"/>
          <w:lang w:eastAsia="el-GR"/>
        </w:rPr>
        <w:t xml:space="preserve"> αλλαγές για την προσαρμογή στην ελληνική πραγματικότητα. Κατά τη διάρκεια της παραγωγή</w:t>
      </w:r>
      <w:r w:rsidR="00996108" w:rsidRPr="005A464E">
        <w:rPr>
          <w:sz w:val="24"/>
          <w:szCs w:val="24"/>
          <w:lang w:eastAsia="el-GR"/>
        </w:rPr>
        <w:t>ς</w:t>
      </w:r>
      <w:r w:rsidRPr="005A464E">
        <w:rPr>
          <w:sz w:val="24"/>
          <w:szCs w:val="24"/>
          <w:lang w:eastAsia="el-GR"/>
        </w:rPr>
        <w:t xml:space="preserve"> των </w:t>
      </w:r>
      <w:r w:rsidR="00BA566F">
        <w:rPr>
          <w:sz w:val="24"/>
          <w:szCs w:val="24"/>
          <w:lang w:eastAsia="el-GR"/>
        </w:rPr>
        <w:t xml:space="preserve">δύο </w:t>
      </w:r>
      <w:r w:rsidR="00996108" w:rsidRPr="005A464E">
        <w:rPr>
          <w:sz w:val="24"/>
          <w:szCs w:val="24"/>
          <w:lang w:eastAsia="el-GR"/>
        </w:rPr>
        <w:t>πρώτων ανεξάρτητων μεταφράσεων</w:t>
      </w:r>
      <w:r w:rsidRPr="005A464E">
        <w:rPr>
          <w:sz w:val="24"/>
          <w:szCs w:val="24"/>
          <w:lang w:eastAsia="el-GR"/>
        </w:rPr>
        <w:t>,</w:t>
      </w:r>
      <w:r w:rsidR="00996108" w:rsidRPr="005A464E">
        <w:rPr>
          <w:sz w:val="24"/>
          <w:szCs w:val="24"/>
          <w:lang w:eastAsia="el-GR"/>
        </w:rPr>
        <w:t xml:space="preserve"> δεν υπήρξαν</w:t>
      </w:r>
      <w:r w:rsidRPr="005A464E">
        <w:rPr>
          <w:sz w:val="24"/>
          <w:szCs w:val="24"/>
          <w:lang w:eastAsia="el-GR"/>
        </w:rPr>
        <w:t xml:space="preserve"> σημαντικές διαφορές</w:t>
      </w:r>
      <w:r w:rsidR="00996108" w:rsidRPr="005A464E">
        <w:rPr>
          <w:sz w:val="24"/>
          <w:szCs w:val="24"/>
          <w:lang w:eastAsia="el-GR"/>
        </w:rPr>
        <w:t xml:space="preserve"> ως προς το περιεχ</w:t>
      </w:r>
      <w:r w:rsidR="00535C83" w:rsidRPr="005A464E">
        <w:rPr>
          <w:sz w:val="24"/>
          <w:szCs w:val="24"/>
          <w:lang w:eastAsia="el-GR"/>
        </w:rPr>
        <w:t>όμενο</w:t>
      </w:r>
      <w:r w:rsidRPr="005A464E">
        <w:rPr>
          <w:sz w:val="24"/>
          <w:szCs w:val="24"/>
          <w:lang w:eastAsia="el-GR"/>
        </w:rPr>
        <w:t xml:space="preserve">. Ως αποτέλεσμα, </w:t>
      </w:r>
      <w:r w:rsidR="00996108" w:rsidRPr="005A464E">
        <w:rPr>
          <w:sz w:val="24"/>
          <w:szCs w:val="24"/>
          <w:lang w:eastAsia="el-GR"/>
        </w:rPr>
        <w:t xml:space="preserve">δημιουργήθηκε </w:t>
      </w:r>
      <w:r w:rsidRPr="005A464E">
        <w:rPr>
          <w:sz w:val="24"/>
          <w:szCs w:val="24"/>
          <w:lang w:eastAsia="el-GR"/>
        </w:rPr>
        <w:t>η πρώτη</w:t>
      </w:r>
      <w:r w:rsidR="00996108" w:rsidRPr="005A464E">
        <w:rPr>
          <w:sz w:val="24"/>
          <w:szCs w:val="24"/>
          <w:lang w:eastAsia="el-GR"/>
        </w:rPr>
        <w:t xml:space="preserve"> </w:t>
      </w:r>
      <w:r w:rsidR="00F967B1" w:rsidRPr="005A464E">
        <w:rPr>
          <w:sz w:val="24"/>
          <w:szCs w:val="24"/>
          <w:lang w:eastAsia="el-GR"/>
        </w:rPr>
        <w:t>εναρμονισ</w:t>
      </w:r>
      <w:r w:rsidR="00996108" w:rsidRPr="005A464E">
        <w:rPr>
          <w:sz w:val="24"/>
          <w:szCs w:val="24"/>
          <w:lang w:eastAsia="el-GR"/>
        </w:rPr>
        <w:t>μένη</w:t>
      </w:r>
      <w:r w:rsidRPr="005A464E">
        <w:rPr>
          <w:sz w:val="24"/>
          <w:szCs w:val="24"/>
          <w:lang w:eastAsia="el-GR"/>
        </w:rPr>
        <w:t xml:space="preserve"> έκδοση. </w:t>
      </w:r>
    </w:p>
    <w:p w:rsidR="007C6E0F" w:rsidRPr="005A464E" w:rsidRDefault="007C6E0F" w:rsidP="005A464E">
      <w:pPr>
        <w:spacing w:line="360" w:lineRule="auto"/>
        <w:jc w:val="both"/>
        <w:rPr>
          <w:sz w:val="24"/>
          <w:szCs w:val="24"/>
          <w:lang w:eastAsia="el-GR"/>
        </w:rPr>
      </w:pPr>
      <w:r w:rsidRPr="005A464E">
        <w:rPr>
          <w:sz w:val="24"/>
          <w:szCs w:val="24"/>
          <w:lang w:eastAsia="el-GR"/>
        </w:rPr>
        <w:t xml:space="preserve">Κατά τη διαδικασία της </w:t>
      </w:r>
      <w:r w:rsidRPr="005A464E">
        <w:rPr>
          <w:i/>
          <w:sz w:val="24"/>
          <w:szCs w:val="24"/>
          <w:lang w:eastAsia="el-GR"/>
        </w:rPr>
        <w:t xml:space="preserve">πολιτισμικής προσαρμογής του </w:t>
      </w:r>
      <w:r w:rsidR="00996108" w:rsidRPr="005A464E">
        <w:rPr>
          <w:i/>
          <w:sz w:val="24"/>
          <w:szCs w:val="24"/>
          <w:lang w:eastAsia="el-GR"/>
        </w:rPr>
        <w:t>ερωτηματολογίου</w:t>
      </w:r>
      <w:r w:rsidRPr="005A464E">
        <w:rPr>
          <w:sz w:val="24"/>
          <w:szCs w:val="24"/>
          <w:lang w:eastAsia="el-GR"/>
        </w:rPr>
        <w:t>, όλο</w:t>
      </w:r>
      <w:r w:rsidR="00996108" w:rsidRPr="005A464E">
        <w:rPr>
          <w:sz w:val="24"/>
          <w:szCs w:val="24"/>
          <w:lang w:eastAsia="el-GR"/>
        </w:rPr>
        <w:t>ι οι συμμετέχοντες αν</w:t>
      </w:r>
      <w:r w:rsidR="00535C83" w:rsidRPr="005A464E">
        <w:rPr>
          <w:sz w:val="24"/>
          <w:szCs w:val="24"/>
          <w:lang w:eastAsia="el-GR"/>
        </w:rPr>
        <w:t>έφ</w:t>
      </w:r>
      <w:r w:rsidR="00996108" w:rsidRPr="005A464E">
        <w:rPr>
          <w:sz w:val="24"/>
          <w:szCs w:val="24"/>
          <w:lang w:eastAsia="el-GR"/>
        </w:rPr>
        <w:t>εραν ότι το</w:t>
      </w:r>
      <w:r w:rsidRPr="005A464E">
        <w:rPr>
          <w:sz w:val="24"/>
          <w:szCs w:val="24"/>
          <w:lang w:eastAsia="el-GR"/>
        </w:rPr>
        <w:t xml:space="preserve"> ερωτηματολόγιο</w:t>
      </w:r>
      <w:r w:rsidR="00996108" w:rsidRPr="005A464E">
        <w:rPr>
          <w:sz w:val="24"/>
          <w:szCs w:val="24"/>
          <w:lang w:eastAsia="el-GR"/>
        </w:rPr>
        <w:t xml:space="preserve"> ήταν</w:t>
      </w:r>
      <w:r w:rsidRPr="005A464E">
        <w:rPr>
          <w:sz w:val="24"/>
          <w:szCs w:val="24"/>
          <w:lang w:eastAsia="el-GR"/>
        </w:rPr>
        <w:t xml:space="preserve"> εύκολο ν</w:t>
      </w:r>
      <w:r w:rsidR="00996108" w:rsidRPr="005A464E">
        <w:rPr>
          <w:sz w:val="24"/>
          <w:szCs w:val="24"/>
          <w:lang w:eastAsia="el-GR"/>
        </w:rPr>
        <w:t>α συμπληρωθεί.</w:t>
      </w:r>
      <w:r w:rsidRPr="005A464E">
        <w:rPr>
          <w:sz w:val="24"/>
          <w:szCs w:val="24"/>
          <w:lang w:eastAsia="el-GR"/>
        </w:rPr>
        <w:t xml:space="preserve"> </w:t>
      </w:r>
      <w:r w:rsidR="00535C83" w:rsidRPr="005A464E">
        <w:rPr>
          <w:sz w:val="24"/>
          <w:szCs w:val="24"/>
          <w:lang w:eastAsia="el-GR"/>
        </w:rPr>
        <w:t>Οι ασθενείς</w:t>
      </w:r>
      <w:r w:rsidRPr="005A464E">
        <w:rPr>
          <w:sz w:val="24"/>
          <w:szCs w:val="24"/>
          <w:lang w:eastAsia="el-GR"/>
        </w:rPr>
        <w:t xml:space="preserve"> </w:t>
      </w:r>
      <w:r w:rsidR="00535C83" w:rsidRPr="005A464E">
        <w:rPr>
          <w:sz w:val="24"/>
          <w:szCs w:val="24"/>
          <w:lang w:eastAsia="el-GR"/>
        </w:rPr>
        <w:t>επικεντρώθηκαν κυρίως σ</w:t>
      </w:r>
      <w:r w:rsidRPr="005A464E">
        <w:rPr>
          <w:sz w:val="24"/>
          <w:szCs w:val="24"/>
          <w:lang w:eastAsia="el-GR"/>
        </w:rPr>
        <w:t xml:space="preserve">την εξειδικευμένη ορολογία που </w:t>
      </w:r>
      <w:r w:rsidR="00535C83" w:rsidRPr="005A464E">
        <w:rPr>
          <w:sz w:val="24"/>
          <w:szCs w:val="24"/>
          <w:lang w:eastAsia="el-GR"/>
        </w:rPr>
        <w:t>χρησιμοποιείται και λιγότερο στην</w:t>
      </w:r>
      <w:r w:rsidRPr="005A464E">
        <w:rPr>
          <w:sz w:val="24"/>
          <w:szCs w:val="24"/>
          <w:lang w:eastAsia="el-GR"/>
        </w:rPr>
        <w:t xml:space="preserve"> κατανόηση των</w:t>
      </w:r>
      <w:r w:rsidR="00535C83" w:rsidRPr="005A464E">
        <w:rPr>
          <w:sz w:val="24"/>
          <w:szCs w:val="24"/>
          <w:lang w:eastAsia="el-GR"/>
        </w:rPr>
        <w:t xml:space="preserve"> ερωτη</w:t>
      </w:r>
      <w:r w:rsidRPr="005A464E">
        <w:rPr>
          <w:sz w:val="24"/>
          <w:szCs w:val="24"/>
          <w:lang w:eastAsia="el-GR"/>
        </w:rPr>
        <w:t>μάτων.</w:t>
      </w:r>
    </w:p>
    <w:p w:rsidR="00BD220E" w:rsidRPr="005A464E" w:rsidRDefault="00BD220E" w:rsidP="005A464E">
      <w:pPr>
        <w:spacing w:line="360" w:lineRule="auto"/>
        <w:jc w:val="both"/>
        <w:rPr>
          <w:sz w:val="24"/>
          <w:szCs w:val="24"/>
          <w:lang w:eastAsia="el-GR"/>
        </w:rPr>
      </w:pPr>
      <w:r w:rsidRPr="005A464E">
        <w:rPr>
          <w:sz w:val="24"/>
          <w:szCs w:val="24"/>
          <w:lang w:eastAsia="el-GR"/>
        </w:rPr>
        <w:t>Το δείγμα αποτελούνταν από 6 άνδρες και 4 γυναίκες. Η μέση ηλικία των συμμετεχόντων ήταν 61 ± 10 ετών.</w:t>
      </w:r>
      <w:r w:rsidR="004766A7">
        <w:rPr>
          <w:sz w:val="24"/>
          <w:szCs w:val="24"/>
          <w:lang w:eastAsia="el-GR"/>
        </w:rPr>
        <w:t xml:space="preserve"> Το πο</w:t>
      </w:r>
      <w:r w:rsidR="004C3144">
        <w:rPr>
          <w:sz w:val="24"/>
          <w:szCs w:val="24"/>
          <w:lang w:eastAsia="el-GR"/>
        </w:rPr>
        <w:t>σοστό απόκρισης ήταν 100% (Πίν 2</w:t>
      </w:r>
      <w:r w:rsidR="004766A7">
        <w:rPr>
          <w:sz w:val="24"/>
          <w:szCs w:val="24"/>
          <w:lang w:eastAsia="el-GR"/>
        </w:rPr>
        <w:t>).</w:t>
      </w:r>
    </w:p>
    <w:p w:rsidR="008847F1" w:rsidRPr="00C7093D" w:rsidRDefault="004C3144" w:rsidP="004B1F82">
      <w:pPr>
        <w:spacing w:after="0" w:line="480" w:lineRule="auto"/>
        <w:jc w:val="both"/>
        <w:rPr>
          <w:sz w:val="24"/>
          <w:szCs w:val="24"/>
          <w:lang w:eastAsia="el-GR"/>
        </w:rPr>
      </w:pPr>
      <w:r>
        <w:rPr>
          <w:sz w:val="24"/>
          <w:szCs w:val="24"/>
          <w:lang w:eastAsia="el-GR"/>
        </w:rPr>
        <w:t>Πίνακας 2</w:t>
      </w:r>
    </w:p>
    <w:p w:rsidR="007C6E0F" w:rsidRPr="008847F1" w:rsidRDefault="00535C83" w:rsidP="004B1F82">
      <w:pPr>
        <w:spacing w:after="0" w:line="480" w:lineRule="auto"/>
        <w:jc w:val="both"/>
        <w:rPr>
          <w:i/>
          <w:sz w:val="24"/>
          <w:szCs w:val="24"/>
          <w:lang w:eastAsia="el-GR"/>
        </w:rPr>
      </w:pPr>
      <w:r w:rsidRPr="008847F1">
        <w:rPr>
          <w:i/>
          <w:sz w:val="24"/>
          <w:szCs w:val="24"/>
          <w:lang w:eastAsia="el-GR"/>
        </w:rPr>
        <w:t>Περιγραφικά χαρακτηριστικά του δείγματος</w:t>
      </w:r>
      <w:r w:rsidR="007C6E0F" w:rsidRPr="008847F1">
        <w:rPr>
          <w:i/>
          <w:sz w:val="24"/>
          <w:szCs w:val="24"/>
          <w:lang w:eastAsia="el-GR"/>
        </w:rPr>
        <w:t xml:space="preserve"> </w:t>
      </w:r>
    </w:p>
    <w:tbl>
      <w:tblPr>
        <w:tblStyle w:val="-41"/>
        <w:tblW w:w="0" w:type="auto"/>
        <w:tblLook w:val="06A0"/>
      </w:tblPr>
      <w:tblGrid>
        <w:gridCol w:w="4261"/>
        <w:gridCol w:w="4261"/>
      </w:tblGrid>
      <w:tr w:rsidR="007C6E0F" w:rsidRPr="005D2DE3" w:rsidTr="004C3144">
        <w:trPr>
          <w:cnfStyle w:val="100000000000"/>
        </w:trPr>
        <w:tc>
          <w:tcPr>
            <w:cnfStyle w:val="001000000000"/>
            <w:tcW w:w="4261" w:type="dxa"/>
          </w:tcPr>
          <w:p w:rsidR="007C6E0F" w:rsidRPr="005D2DE3" w:rsidRDefault="007C6E0F" w:rsidP="005D2DE3">
            <w:pPr>
              <w:spacing w:after="0"/>
              <w:jc w:val="both"/>
              <w:rPr>
                <w:rFonts w:asciiTheme="minorHAnsi" w:hAnsiTheme="minorHAnsi" w:cs="Arial"/>
                <w:b w:val="0"/>
                <w:bCs w:val="0"/>
                <w:color w:val="000000"/>
              </w:rPr>
            </w:pPr>
          </w:p>
        </w:tc>
        <w:tc>
          <w:tcPr>
            <w:tcW w:w="4261" w:type="dxa"/>
          </w:tcPr>
          <w:p w:rsidR="007C6E0F" w:rsidRPr="005D2DE3" w:rsidRDefault="00957D79" w:rsidP="005D2DE3">
            <w:pPr>
              <w:spacing w:after="0"/>
              <w:jc w:val="center"/>
              <w:cnfStyle w:val="100000000000"/>
              <w:rPr>
                <w:rFonts w:asciiTheme="minorHAnsi" w:hAnsiTheme="minorHAnsi" w:cs="Arial"/>
                <w:b w:val="0"/>
                <w:bCs w:val="0"/>
                <w:color w:val="000000"/>
                <w:lang w:val="en-US"/>
              </w:rPr>
            </w:pPr>
            <w:r w:rsidRPr="005D2DE3">
              <w:rPr>
                <w:rFonts w:asciiTheme="minorHAnsi" w:hAnsiTheme="minorHAnsi" w:cs="Arial"/>
                <w:b w:val="0"/>
                <w:bCs w:val="0"/>
                <w:color w:val="000000"/>
              </w:rPr>
              <w:t>Ασθενείς</w:t>
            </w:r>
            <w:r w:rsidR="007C6E0F" w:rsidRPr="005D2DE3">
              <w:rPr>
                <w:rFonts w:asciiTheme="minorHAnsi" w:hAnsiTheme="minorHAnsi" w:cs="Arial"/>
                <w:b w:val="0"/>
                <w:bCs w:val="0"/>
                <w:color w:val="000000"/>
                <w:lang w:val="en-US"/>
              </w:rPr>
              <w:t xml:space="preserve"> N=10</w:t>
            </w:r>
          </w:p>
        </w:tc>
      </w:tr>
      <w:tr w:rsidR="007C6E0F" w:rsidRPr="005D2DE3" w:rsidTr="004C3144">
        <w:trPr>
          <w:trHeight w:val="388"/>
        </w:trPr>
        <w:tc>
          <w:tcPr>
            <w:cnfStyle w:val="001000000000"/>
            <w:tcW w:w="4261" w:type="dxa"/>
          </w:tcPr>
          <w:p w:rsidR="007C6E0F" w:rsidRPr="005D2DE3" w:rsidRDefault="00957D79" w:rsidP="005D2DE3">
            <w:pPr>
              <w:spacing w:after="0"/>
              <w:jc w:val="both"/>
              <w:rPr>
                <w:rFonts w:asciiTheme="minorHAnsi" w:hAnsiTheme="minorHAnsi" w:cs="Arial"/>
                <w:bCs w:val="0"/>
                <w:color w:val="000000"/>
              </w:rPr>
            </w:pPr>
            <w:r w:rsidRPr="005D2DE3">
              <w:rPr>
                <w:rFonts w:asciiTheme="minorHAnsi" w:hAnsiTheme="minorHAnsi" w:cs="Arial"/>
                <w:bCs w:val="0"/>
                <w:color w:val="000000"/>
              </w:rPr>
              <w:t>Ηλικία</w:t>
            </w:r>
            <w:r w:rsidR="0078495A" w:rsidRPr="005D2DE3">
              <w:rPr>
                <w:rFonts w:asciiTheme="minorHAnsi" w:hAnsiTheme="minorHAnsi" w:cs="Arial"/>
                <w:bCs w:val="0"/>
                <w:color w:val="000000"/>
              </w:rPr>
              <w:t xml:space="preserve"> </w:t>
            </w:r>
          </w:p>
        </w:tc>
        <w:tc>
          <w:tcPr>
            <w:tcW w:w="4261" w:type="dxa"/>
          </w:tcPr>
          <w:p w:rsidR="007C6E0F" w:rsidRPr="005D2DE3" w:rsidRDefault="007C6E0F" w:rsidP="005D2DE3">
            <w:pPr>
              <w:spacing w:after="0"/>
              <w:jc w:val="center"/>
              <w:cnfStyle w:val="000000000000"/>
              <w:rPr>
                <w:rFonts w:asciiTheme="minorHAnsi" w:hAnsiTheme="minorHAnsi" w:cs="Arial"/>
                <w:color w:val="000000"/>
                <w:lang w:val="en-US"/>
              </w:rPr>
            </w:pPr>
            <w:r w:rsidRPr="005D2DE3">
              <w:rPr>
                <w:rFonts w:asciiTheme="minorHAnsi" w:hAnsiTheme="minorHAnsi" w:cs="Arial"/>
                <w:color w:val="000000"/>
                <w:lang w:val="en-US"/>
              </w:rPr>
              <w:t>(61±10)</w:t>
            </w:r>
          </w:p>
        </w:tc>
      </w:tr>
      <w:tr w:rsidR="007C6E0F" w:rsidRPr="005D2DE3" w:rsidTr="004C3144">
        <w:trPr>
          <w:trHeight w:val="1463"/>
        </w:trPr>
        <w:tc>
          <w:tcPr>
            <w:cnfStyle w:val="001000000000"/>
            <w:tcW w:w="4261" w:type="dxa"/>
          </w:tcPr>
          <w:p w:rsidR="007C6E0F" w:rsidRPr="005D2DE3" w:rsidRDefault="00957D79" w:rsidP="005D2DE3">
            <w:pPr>
              <w:spacing w:after="0"/>
              <w:jc w:val="both"/>
              <w:rPr>
                <w:rFonts w:asciiTheme="minorHAnsi" w:hAnsiTheme="minorHAnsi" w:cs="Arial"/>
                <w:bCs w:val="0"/>
                <w:color w:val="000000"/>
              </w:rPr>
            </w:pPr>
            <w:r w:rsidRPr="005D2DE3">
              <w:rPr>
                <w:rFonts w:asciiTheme="minorHAnsi" w:hAnsiTheme="minorHAnsi" w:cs="Arial"/>
                <w:bCs w:val="0"/>
                <w:color w:val="000000"/>
              </w:rPr>
              <w:t xml:space="preserve">Φύλο </w:t>
            </w:r>
          </w:p>
          <w:p w:rsidR="007C6E0F" w:rsidRPr="005D2DE3" w:rsidRDefault="00957D79" w:rsidP="005D2DE3">
            <w:pPr>
              <w:spacing w:after="0"/>
              <w:jc w:val="right"/>
              <w:rPr>
                <w:rFonts w:asciiTheme="minorHAnsi" w:hAnsiTheme="minorHAnsi" w:cs="Arial"/>
                <w:b w:val="0"/>
                <w:bCs w:val="0"/>
                <w:color w:val="000000"/>
              </w:rPr>
            </w:pPr>
            <w:r w:rsidRPr="005D2DE3">
              <w:rPr>
                <w:rFonts w:asciiTheme="minorHAnsi" w:hAnsiTheme="minorHAnsi" w:cs="Arial"/>
                <w:b w:val="0"/>
                <w:bCs w:val="0"/>
                <w:color w:val="000000"/>
              </w:rPr>
              <w:t xml:space="preserve">Άνδρες </w:t>
            </w:r>
          </w:p>
          <w:p w:rsidR="007C6E0F" w:rsidRPr="005D2DE3" w:rsidRDefault="002C19B4" w:rsidP="005D2DE3">
            <w:pPr>
              <w:spacing w:after="0"/>
              <w:jc w:val="right"/>
              <w:rPr>
                <w:rFonts w:asciiTheme="minorHAnsi" w:hAnsiTheme="minorHAnsi" w:cs="Arial"/>
                <w:b w:val="0"/>
                <w:bCs w:val="0"/>
                <w:color w:val="000000"/>
              </w:rPr>
            </w:pPr>
            <w:r w:rsidRPr="005D2DE3">
              <w:rPr>
                <w:rFonts w:asciiTheme="minorHAnsi" w:hAnsiTheme="minorHAnsi" w:cs="Arial"/>
                <w:b w:val="0"/>
                <w:bCs w:val="0"/>
                <w:color w:val="000000"/>
              </w:rPr>
              <w:t>Γυναίκες</w:t>
            </w:r>
            <w:r w:rsidR="00957D79" w:rsidRPr="005D2DE3">
              <w:rPr>
                <w:rFonts w:asciiTheme="minorHAnsi" w:hAnsiTheme="minorHAnsi" w:cs="Arial"/>
                <w:bCs w:val="0"/>
                <w:color w:val="000000"/>
              </w:rPr>
              <w:t xml:space="preserve"> </w:t>
            </w:r>
          </w:p>
        </w:tc>
        <w:tc>
          <w:tcPr>
            <w:tcW w:w="4261" w:type="dxa"/>
          </w:tcPr>
          <w:p w:rsidR="007C6E0F" w:rsidRPr="005D2DE3" w:rsidRDefault="007C6E0F" w:rsidP="005D2DE3">
            <w:pPr>
              <w:spacing w:after="0"/>
              <w:jc w:val="both"/>
              <w:cnfStyle w:val="000000000000"/>
              <w:rPr>
                <w:rFonts w:asciiTheme="minorHAnsi" w:hAnsiTheme="minorHAnsi" w:cs="Arial"/>
                <w:color w:val="000000"/>
                <w:lang w:val="en-US"/>
              </w:rPr>
            </w:pPr>
          </w:p>
          <w:p w:rsidR="007C6E0F" w:rsidRPr="005D2DE3" w:rsidRDefault="007C6E0F" w:rsidP="005D2DE3">
            <w:pPr>
              <w:spacing w:after="0"/>
              <w:jc w:val="center"/>
              <w:cnfStyle w:val="000000000000"/>
              <w:rPr>
                <w:rFonts w:asciiTheme="minorHAnsi" w:hAnsiTheme="minorHAnsi" w:cs="Arial"/>
                <w:color w:val="000000"/>
                <w:lang w:val="en-US"/>
              </w:rPr>
            </w:pPr>
            <w:r w:rsidRPr="005D2DE3">
              <w:rPr>
                <w:rFonts w:asciiTheme="minorHAnsi" w:hAnsiTheme="minorHAnsi" w:cs="Arial"/>
                <w:color w:val="000000"/>
                <w:lang w:val="en-US"/>
              </w:rPr>
              <w:t>6</w:t>
            </w:r>
          </w:p>
          <w:p w:rsidR="007C6E0F" w:rsidRPr="005D2DE3" w:rsidRDefault="007C6E0F" w:rsidP="005D2DE3">
            <w:pPr>
              <w:spacing w:after="0"/>
              <w:jc w:val="center"/>
              <w:cnfStyle w:val="000000000000"/>
              <w:rPr>
                <w:rFonts w:asciiTheme="minorHAnsi" w:hAnsiTheme="minorHAnsi" w:cs="Arial"/>
                <w:color w:val="000000"/>
                <w:lang w:val="en-US"/>
              </w:rPr>
            </w:pPr>
            <w:r w:rsidRPr="005D2DE3">
              <w:rPr>
                <w:rFonts w:asciiTheme="minorHAnsi" w:hAnsiTheme="minorHAnsi" w:cs="Arial"/>
                <w:color w:val="000000"/>
                <w:lang w:val="en-US"/>
              </w:rPr>
              <w:t>4</w:t>
            </w:r>
          </w:p>
        </w:tc>
      </w:tr>
      <w:tr w:rsidR="007C6E0F" w:rsidRPr="005D2DE3" w:rsidTr="004C3144">
        <w:tc>
          <w:tcPr>
            <w:cnfStyle w:val="001000000000"/>
            <w:tcW w:w="4261" w:type="dxa"/>
          </w:tcPr>
          <w:p w:rsidR="007C6E0F" w:rsidRPr="005D2DE3" w:rsidRDefault="00957D79" w:rsidP="005D2DE3">
            <w:pPr>
              <w:spacing w:after="0"/>
              <w:jc w:val="both"/>
              <w:rPr>
                <w:rFonts w:asciiTheme="minorHAnsi" w:hAnsiTheme="minorHAnsi" w:cs="Arial"/>
                <w:bCs w:val="0"/>
                <w:color w:val="000000"/>
              </w:rPr>
            </w:pPr>
            <w:r w:rsidRPr="005D2DE3">
              <w:rPr>
                <w:rFonts w:asciiTheme="minorHAnsi" w:hAnsiTheme="minorHAnsi" w:cs="Arial"/>
                <w:bCs w:val="0"/>
                <w:color w:val="000000"/>
              </w:rPr>
              <w:t>Οικογενειακή κατάσταση</w:t>
            </w:r>
          </w:p>
          <w:p w:rsidR="007C6E0F" w:rsidRPr="005D2DE3" w:rsidRDefault="00957D79" w:rsidP="005D2DE3">
            <w:pPr>
              <w:spacing w:after="0"/>
              <w:jc w:val="right"/>
              <w:rPr>
                <w:rFonts w:asciiTheme="minorHAnsi" w:hAnsiTheme="minorHAnsi" w:cs="Arial"/>
                <w:b w:val="0"/>
                <w:bCs w:val="0"/>
                <w:color w:val="000000"/>
              </w:rPr>
            </w:pPr>
            <w:r w:rsidRPr="005D2DE3">
              <w:rPr>
                <w:rFonts w:asciiTheme="minorHAnsi" w:hAnsiTheme="minorHAnsi" w:cs="Arial"/>
                <w:b w:val="0"/>
                <w:bCs w:val="0"/>
                <w:color w:val="000000"/>
              </w:rPr>
              <w:t xml:space="preserve">Άγαμοι </w:t>
            </w:r>
          </w:p>
          <w:p w:rsidR="007C6E0F" w:rsidRPr="005D2DE3" w:rsidRDefault="00957D79" w:rsidP="005D2DE3">
            <w:pPr>
              <w:spacing w:after="0"/>
              <w:jc w:val="right"/>
              <w:rPr>
                <w:rFonts w:asciiTheme="minorHAnsi" w:hAnsiTheme="minorHAnsi" w:cs="Arial"/>
                <w:b w:val="0"/>
                <w:bCs w:val="0"/>
                <w:color w:val="000000"/>
              </w:rPr>
            </w:pPr>
            <w:r w:rsidRPr="005D2DE3">
              <w:rPr>
                <w:rFonts w:asciiTheme="minorHAnsi" w:hAnsiTheme="minorHAnsi" w:cs="Arial"/>
                <w:b w:val="0"/>
                <w:bCs w:val="0"/>
                <w:color w:val="000000"/>
              </w:rPr>
              <w:t xml:space="preserve">Παντρεμένοι </w:t>
            </w:r>
          </w:p>
          <w:p w:rsidR="007C6E0F" w:rsidRPr="005D2DE3" w:rsidRDefault="00957D79" w:rsidP="005D2DE3">
            <w:pPr>
              <w:spacing w:after="0"/>
              <w:jc w:val="right"/>
              <w:rPr>
                <w:rFonts w:asciiTheme="minorHAnsi" w:hAnsiTheme="minorHAnsi" w:cs="Arial"/>
                <w:b w:val="0"/>
                <w:bCs w:val="0"/>
                <w:color w:val="000000"/>
              </w:rPr>
            </w:pPr>
            <w:r w:rsidRPr="005D2DE3">
              <w:rPr>
                <w:rFonts w:asciiTheme="minorHAnsi" w:hAnsiTheme="minorHAnsi" w:cs="Arial"/>
                <w:b w:val="0"/>
                <w:bCs w:val="0"/>
                <w:color w:val="000000"/>
              </w:rPr>
              <w:t>Διαζευγμένοι</w:t>
            </w:r>
            <w:r w:rsidRPr="005D2DE3">
              <w:rPr>
                <w:rFonts w:asciiTheme="minorHAnsi" w:hAnsiTheme="minorHAnsi" w:cs="Arial"/>
                <w:bCs w:val="0"/>
                <w:color w:val="000000"/>
              </w:rPr>
              <w:t xml:space="preserve"> </w:t>
            </w:r>
          </w:p>
          <w:p w:rsidR="007C6E0F" w:rsidRPr="005D2DE3" w:rsidRDefault="004C3144" w:rsidP="005D2DE3">
            <w:pPr>
              <w:spacing w:after="0"/>
              <w:jc w:val="right"/>
              <w:rPr>
                <w:rFonts w:asciiTheme="minorHAnsi" w:hAnsiTheme="minorHAnsi" w:cs="Arial"/>
                <w:b w:val="0"/>
                <w:bCs w:val="0"/>
                <w:color w:val="000000"/>
              </w:rPr>
            </w:pPr>
            <w:r w:rsidRPr="005D2DE3">
              <w:rPr>
                <w:rFonts w:asciiTheme="minorHAnsi" w:hAnsiTheme="minorHAnsi" w:cs="Arial"/>
                <w:bCs w:val="0"/>
                <w:color w:val="000000"/>
              </w:rPr>
              <w:t xml:space="preserve"> </w:t>
            </w:r>
            <w:r w:rsidR="00957D79" w:rsidRPr="005D2DE3">
              <w:rPr>
                <w:rFonts w:asciiTheme="minorHAnsi" w:hAnsiTheme="minorHAnsi" w:cs="Arial"/>
                <w:b w:val="0"/>
                <w:bCs w:val="0"/>
                <w:color w:val="000000"/>
              </w:rPr>
              <w:t xml:space="preserve">Χήροι </w:t>
            </w:r>
          </w:p>
        </w:tc>
        <w:tc>
          <w:tcPr>
            <w:tcW w:w="4261" w:type="dxa"/>
          </w:tcPr>
          <w:p w:rsidR="007C6E0F" w:rsidRPr="005D2DE3" w:rsidRDefault="007C6E0F" w:rsidP="005D2DE3">
            <w:pPr>
              <w:spacing w:after="0"/>
              <w:jc w:val="both"/>
              <w:cnfStyle w:val="000000000000"/>
              <w:rPr>
                <w:rFonts w:asciiTheme="minorHAnsi" w:hAnsiTheme="minorHAnsi" w:cs="Arial"/>
                <w:color w:val="000000"/>
              </w:rPr>
            </w:pPr>
          </w:p>
          <w:p w:rsidR="007C6E0F" w:rsidRPr="005D2DE3" w:rsidRDefault="007C6E0F" w:rsidP="005D2DE3">
            <w:pPr>
              <w:spacing w:after="0"/>
              <w:jc w:val="center"/>
              <w:cnfStyle w:val="000000000000"/>
              <w:rPr>
                <w:rFonts w:asciiTheme="minorHAnsi" w:hAnsiTheme="minorHAnsi" w:cs="Arial"/>
                <w:color w:val="000000"/>
                <w:lang w:val="en-US"/>
              </w:rPr>
            </w:pPr>
            <w:r w:rsidRPr="005D2DE3">
              <w:rPr>
                <w:rFonts w:asciiTheme="minorHAnsi" w:hAnsiTheme="minorHAnsi" w:cs="Arial"/>
                <w:color w:val="000000"/>
                <w:lang w:val="en-US"/>
              </w:rPr>
              <w:t>1</w:t>
            </w:r>
          </w:p>
          <w:p w:rsidR="007C6E0F" w:rsidRPr="005D2DE3" w:rsidRDefault="007C6E0F" w:rsidP="005D2DE3">
            <w:pPr>
              <w:spacing w:after="0"/>
              <w:jc w:val="center"/>
              <w:cnfStyle w:val="000000000000"/>
              <w:rPr>
                <w:rFonts w:asciiTheme="minorHAnsi" w:hAnsiTheme="minorHAnsi" w:cs="Arial"/>
                <w:color w:val="000000"/>
                <w:lang w:val="en-US"/>
              </w:rPr>
            </w:pPr>
            <w:r w:rsidRPr="005D2DE3">
              <w:rPr>
                <w:rFonts w:asciiTheme="minorHAnsi" w:hAnsiTheme="minorHAnsi" w:cs="Arial"/>
                <w:color w:val="000000"/>
                <w:lang w:val="en-US"/>
              </w:rPr>
              <w:t>7</w:t>
            </w:r>
          </w:p>
          <w:p w:rsidR="007C6E0F" w:rsidRPr="005D2DE3" w:rsidRDefault="007C6E0F" w:rsidP="005D2DE3">
            <w:pPr>
              <w:spacing w:after="0"/>
              <w:jc w:val="center"/>
              <w:cnfStyle w:val="000000000000"/>
              <w:rPr>
                <w:rFonts w:asciiTheme="minorHAnsi" w:hAnsiTheme="minorHAnsi" w:cs="Arial"/>
                <w:color w:val="000000"/>
                <w:lang w:val="en-US"/>
              </w:rPr>
            </w:pPr>
            <w:r w:rsidRPr="005D2DE3">
              <w:rPr>
                <w:rFonts w:asciiTheme="minorHAnsi" w:hAnsiTheme="minorHAnsi" w:cs="Arial"/>
                <w:color w:val="000000"/>
                <w:lang w:val="en-US"/>
              </w:rPr>
              <w:t>1</w:t>
            </w:r>
          </w:p>
          <w:p w:rsidR="007C6E0F" w:rsidRPr="005D2DE3" w:rsidRDefault="007C6E0F" w:rsidP="005D2DE3">
            <w:pPr>
              <w:spacing w:after="0"/>
              <w:jc w:val="center"/>
              <w:cnfStyle w:val="000000000000"/>
              <w:rPr>
                <w:rFonts w:asciiTheme="minorHAnsi" w:hAnsiTheme="minorHAnsi" w:cs="Arial"/>
                <w:color w:val="000000"/>
                <w:lang w:val="en-US"/>
              </w:rPr>
            </w:pPr>
            <w:r w:rsidRPr="005D2DE3">
              <w:rPr>
                <w:rFonts w:asciiTheme="minorHAnsi" w:hAnsiTheme="minorHAnsi" w:cs="Arial"/>
                <w:color w:val="000000"/>
                <w:lang w:val="en-US"/>
              </w:rPr>
              <w:t>1</w:t>
            </w:r>
          </w:p>
        </w:tc>
      </w:tr>
      <w:tr w:rsidR="007C6E0F" w:rsidRPr="005D2DE3" w:rsidTr="004C3144">
        <w:tc>
          <w:tcPr>
            <w:cnfStyle w:val="001000000000"/>
            <w:tcW w:w="4261" w:type="dxa"/>
          </w:tcPr>
          <w:p w:rsidR="007C6E0F" w:rsidRPr="005D2DE3" w:rsidRDefault="00957D79" w:rsidP="005D2DE3">
            <w:pPr>
              <w:spacing w:after="0"/>
              <w:jc w:val="both"/>
              <w:rPr>
                <w:rFonts w:asciiTheme="minorHAnsi" w:hAnsiTheme="minorHAnsi" w:cs="Arial"/>
                <w:bCs w:val="0"/>
                <w:color w:val="000000"/>
              </w:rPr>
            </w:pPr>
            <w:r w:rsidRPr="005D2DE3">
              <w:rPr>
                <w:rFonts w:asciiTheme="minorHAnsi" w:hAnsiTheme="minorHAnsi" w:cs="Arial"/>
                <w:bCs w:val="0"/>
                <w:color w:val="000000"/>
              </w:rPr>
              <w:t xml:space="preserve">Εκπαίδευση </w:t>
            </w:r>
          </w:p>
          <w:p w:rsidR="007C6E0F" w:rsidRPr="005D2DE3" w:rsidRDefault="00957D79" w:rsidP="005D2DE3">
            <w:pPr>
              <w:spacing w:after="0"/>
              <w:jc w:val="right"/>
              <w:rPr>
                <w:rFonts w:asciiTheme="minorHAnsi" w:hAnsiTheme="minorHAnsi" w:cs="Arial"/>
                <w:b w:val="0"/>
                <w:bCs w:val="0"/>
                <w:color w:val="000000"/>
              </w:rPr>
            </w:pPr>
            <w:r w:rsidRPr="005D2DE3">
              <w:rPr>
                <w:rFonts w:asciiTheme="minorHAnsi" w:hAnsiTheme="minorHAnsi" w:cs="Arial"/>
                <w:b w:val="0"/>
                <w:bCs w:val="0"/>
                <w:color w:val="000000"/>
              </w:rPr>
              <w:t xml:space="preserve">Πρωτοβάθμια </w:t>
            </w:r>
          </w:p>
          <w:p w:rsidR="007C6E0F" w:rsidRPr="005D2DE3" w:rsidRDefault="00957D79" w:rsidP="005D2DE3">
            <w:pPr>
              <w:spacing w:after="0"/>
              <w:jc w:val="right"/>
              <w:rPr>
                <w:rFonts w:asciiTheme="minorHAnsi" w:hAnsiTheme="minorHAnsi" w:cs="Arial"/>
                <w:b w:val="0"/>
                <w:bCs w:val="0"/>
                <w:color w:val="000000"/>
              </w:rPr>
            </w:pPr>
            <w:r w:rsidRPr="005D2DE3">
              <w:rPr>
                <w:rFonts w:asciiTheme="minorHAnsi" w:hAnsiTheme="minorHAnsi" w:cs="Arial"/>
                <w:b w:val="0"/>
                <w:bCs w:val="0"/>
                <w:color w:val="000000"/>
              </w:rPr>
              <w:t xml:space="preserve">Δευτεροβάθμια </w:t>
            </w:r>
          </w:p>
          <w:p w:rsidR="007C6E0F" w:rsidRPr="005D2DE3" w:rsidRDefault="00957D79" w:rsidP="005D2DE3">
            <w:pPr>
              <w:spacing w:after="0"/>
              <w:jc w:val="right"/>
              <w:rPr>
                <w:rFonts w:asciiTheme="minorHAnsi" w:hAnsiTheme="minorHAnsi" w:cs="Arial"/>
                <w:b w:val="0"/>
                <w:bCs w:val="0"/>
                <w:color w:val="000000"/>
              </w:rPr>
            </w:pPr>
            <w:r w:rsidRPr="005D2DE3">
              <w:rPr>
                <w:rFonts w:asciiTheme="minorHAnsi" w:hAnsiTheme="minorHAnsi" w:cs="Arial"/>
                <w:b w:val="0"/>
                <w:bCs w:val="0"/>
                <w:color w:val="000000"/>
              </w:rPr>
              <w:t xml:space="preserve">Τριτοβάθμια </w:t>
            </w:r>
          </w:p>
        </w:tc>
        <w:tc>
          <w:tcPr>
            <w:tcW w:w="4261" w:type="dxa"/>
          </w:tcPr>
          <w:p w:rsidR="007C6E0F" w:rsidRPr="005D2DE3" w:rsidRDefault="007C6E0F" w:rsidP="005D2DE3">
            <w:pPr>
              <w:spacing w:after="0"/>
              <w:jc w:val="both"/>
              <w:cnfStyle w:val="000000000000"/>
              <w:rPr>
                <w:rFonts w:asciiTheme="minorHAnsi" w:hAnsiTheme="minorHAnsi" w:cs="Arial"/>
                <w:color w:val="000000"/>
                <w:lang w:val="en-US"/>
              </w:rPr>
            </w:pPr>
          </w:p>
          <w:p w:rsidR="007C6E0F" w:rsidRPr="005D2DE3" w:rsidRDefault="007C6E0F" w:rsidP="005D2DE3">
            <w:pPr>
              <w:spacing w:after="0"/>
              <w:jc w:val="center"/>
              <w:cnfStyle w:val="000000000000"/>
              <w:rPr>
                <w:rFonts w:asciiTheme="minorHAnsi" w:hAnsiTheme="minorHAnsi" w:cs="Arial"/>
                <w:color w:val="000000"/>
                <w:lang w:val="en-US"/>
              </w:rPr>
            </w:pPr>
            <w:r w:rsidRPr="005D2DE3">
              <w:rPr>
                <w:rFonts w:asciiTheme="minorHAnsi" w:hAnsiTheme="minorHAnsi" w:cs="Arial"/>
                <w:color w:val="000000"/>
                <w:lang w:val="en-US"/>
              </w:rPr>
              <w:t>2</w:t>
            </w:r>
          </w:p>
          <w:p w:rsidR="007C6E0F" w:rsidRPr="005D2DE3" w:rsidRDefault="007C6E0F" w:rsidP="005D2DE3">
            <w:pPr>
              <w:spacing w:after="0"/>
              <w:jc w:val="center"/>
              <w:cnfStyle w:val="000000000000"/>
              <w:rPr>
                <w:rFonts w:asciiTheme="minorHAnsi" w:hAnsiTheme="minorHAnsi" w:cs="Arial"/>
                <w:color w:val="000000"/>
                <w:lang w:val="en-US"/>
              </w:rPr>
            </w:pPr>
            <w:r w:rsidRPr="005D2DE3">
              <w:rPr>
                <w:rFonts w:asciiTheme="minorHAnsi" w:hAnsiTheme="minorHAnsi" w:cs="Arial"/>
                <w:color w:val="000000"/>
                <w:lang w:val="en-US"/>
              </w:rPr>
              <w:t>7</w:t>
            </w:r>
          </w:p>
          <w:p w:rsidR="007C6E0F" w:rsidRPr="005D2DE3" w:rsidRDefault="007C6E0F" w:rsidP="005D2DE3">
            <w:pPr>
              <w:spacing w:after="0"/>
              <w:jc w:val="center"/>
              <w:cnfStyle w:val="000000000000"/>
              <w:rPr>
                <w:rFonts w:asciiTheme="minorHAnsi" w:hAnsiTheme="minorHAnsi" w:cs="Arial"/>
                <w:color w:val="000000"/>
                <w:lang w:val="en-US"/>
              </w:rPr>
            </w:pPr>
            <w:r w:rsidRPr="005D2DE3">
              <w:rPr>
                <w:rFonts w:asciiTheme="minorHAnsi" w:hAnsiTheme="minorHAnsi" w:cs="Arial"/>
                <w:color w:val="000000"/>
                <w:lang w:val="en-US"/>
              </w:rPr>
              <w:t>1</w:t>
            </w:r>
          </w:p>
        </w:tc>
      </w:tr>
      <w:tr w:rsidR="007C6E0F" w:rsidRPr="005D2DE3" w:rsidTr="004C3144">
        <w:tc>
          <w:tcPr>
            <w:cnfStyle w:val="001000000000"/>
            <w:tcW w:w="4261" w:type="dxa"/>
          </w:tcPr>
          <w:p w:rsidR="007C6E0F" w:rsidRPr="005D2DE3" w:rsidRDefault="00957D79" w:rsidP="005D2DE3">
            <w:pPr>
              <w:spacing w:after="0"/>
              <w:jc w:val="both"/>
              <w:rPr>
                <w:rFonts w:asciiTheme="minorHAnsi" w:hAnsiTheme="minorHAnsi" w:cs="Arial"/>
                <w:bCs w:val="0"/>
                <w:color w:val="000000"/>
              </w:rPr>
            </w:pPr>
            <w:r w:rsidRPr="005D2DE3">
              <w:rPr>
                <w:rFonts w:asciiTheme="minorHAnsi" w:hAnsiTheme="minorHAnsi" w:cs="Arial"/>
                <w:bCs w:val="0"/>
                <w:color w:val="000000"/>
              </w:rPr>
              <w:t>Διάρκεια ένταξης στην αιμοκάθαρση (έτη</w:t>
            </w:r>
            <w:r w:rsidR="004C3144" w:rsidRPr="005D2DE3">
              <w:rPr>
                <w:rFonts w:asciiTheme="minorHAnsi" w:hAnsiTheme="minorHAnsi" w:cs="Arial"/>
                <w:bCs w:val="0"/>
                <w:color w:val="000000"/>
              </w:rPr>
              <w:t>)</w:t>
            </w:r>
            <w:r w:rsidR="0078495A" w:rsidRPr="005D2DE3">
              <w:rPr>
                <w:rFonts w:asciiTheme="minorHAnsi" w:hAnsiTheme="minorHAnsi" w:cs="Arial"/>
                <w:bCs w:val="0"/>
                <w:color w:val="000000"/>
              </w:rPr>
              <w:t xml:space="preserve"> </w:t>
            </w:r>
            <w:r w:rsidRPr="005D2DE3">
              <w:rPr>
                <w:rFonts w:asciiTheme="minorHAnsi" w:hAnsiTheme="minorHAnsi" w:cs="Arial"/>
                <w:bCs w:val="0"/>
                <w:color w:val="000000"/>
              </w:rPr>
              <w:t xml:space="preserve"> </w:t>
            </w:r>
          </w:p>
        </w:tc>
        <w:tc>
          <w:tcPr>
            <w:tcW w:w="4261" w:type="dxa"/>
          </w:tcPr>
          <w:p w:rsidR="007C6E0F" w:rsidRPr="005D2DE3" w:rsidRDefault="007C6E0F" w:rsidP="005D2DE3">
            <w:pPr>
              <w:spacing w:after="0"/>
              <w:jc w:val="center"/>
              <w:cnfStyle w:val="000000000000"/>
              <w:rPr>
                <w:rFonts w:asciiTheme="minorHAnsi" w:hAnsiTheme="minorHAnsi" w:cs="Arial"/>
                <w:color w:val="000000"/>
                <w:lang w:val="en-US"/>
              </w:rPr>
            </w:pPr>
            <w:r w:rsidRPr="005D2DE3">
              <w:rPr>
                <w:rFonts w:asciiTheme="minorHAnsi" w:hAnsiTheme="minorHAnsi" w:cs="Arial"/>
                <w:color w:val="000000"/>
                <w:lang w:val="en-US"/>
              </w:rPr>
              <w:t>(5±2)</w:t>
            </w:r>
          </w:p>
        </w:tc>
      </w:tr>
      <w:tr w:rsidR="006831CF" w:rsidRPr="005D2DE3" w:rsidTr="004C3144">
        <w:trPr>
          <w:trHeight w:val="393"/>
        </w:trPr>
        <w:tc>
          <w:tcPr>
            <w:cnfStyle w:val="001000000000"/>
            <w:tcW w:w="8522" w:type="dxa"/>
            <w:gridSpan w:val="2"/>
          </w:tcPr>
          <w:tbl>
            <w:tblPr>
              <w:tblW w:w="0" w:type="auto"/>
              <w:tblLook w:val="06A0"/>
            </w:tblPr>
            <w:tblGrid>
              <w:gridCol w:w="4160"/>
              <w:gridCol w:w="4146"/>
            </w:tblGrid>
            <w:tr w:rsidR="002C19B4" w:rsidRPr="005D2DE3" w:rsidTr="005D2DE3">
              <w:trPr>
                <w:trHeight w:val="347"/>
              </w:trPr>
              <w:tc>
                <w:tcPr>
                  <w:tcW w:w="4261" w:type="dxa"/>
                  <w:tcBorders>
                    <w:left w:val="nil"/>
                    <w:right w:val="nil"/>
                  </w:tcBorders>
                </w:tcPr>
                <w:p w:rsidR="002C19B4" w:rsidRPr="005D2DE3" w:rsidRDefault="002C19B4" w:rsidP="005D2DE3">
                  <w:pPr>
                    <w:spacing w:after="0"/>
                    <w:jc w:val="both"/>
                    <w:rPr>
                      <w:rFonts w:asciiTheme="minorHAnsi" w:hAnsiTheme="minorHAnsi" w:cs="Arial"/>
                      <w:b/>
                      <w:bCs/>
                      <w:color w:val="000000"/>
                    </w:rPr>
                  </w:pPr>
                  <w:r w:rsidRPr="005D2DE3">
                    <w:rPr>
                      <w:rFonts w:asciiTheme="minorHAnsi" w:hAnsiTheme="minorHAnsi" w:cs="Arial"/>
                      <w:b/>
                      <w:bCs/>
                      <w:color w:val="000000"/>
                    </w:rPr>
                    <w:t xml:space="preserve">Σύνολο </w:t>
                  </w:r>
                </w:p>
              </w:tc>
              <w:tc>
                <w:tcPr>
                  <w:tcW w:w="4261" w:type="dxa"/>
                  <w:tcBorders>
                    <w:left w:val="nil"/>
                    <w:right w:val="nil"/>
                  </w:tcBorders>
                </w:tcPr>
                <w:p w:rsidR="002C19B4" w:rsidRPr="005D2DE3" w:rsidRDefault="002C19B4" w:rsidP="005D2DE3">
                  <w:pPr>
                    <w:spacing w:after="0"/>
                    <w:jc w:val="center"/>
                    <w:rPr>
                      <w:rFonts w:asciiTheme="minorHAnsi" w:hAnsiTheme="minorHAnsi" w:cs="Arial"/>
                      <w:b/>
                      <w:bCs/>
                      <w:color w:val="000000"/>
                    </w:rPr>
                  </w:pPr>
                  <w:r w:rsidRPr="005D2DE3">
                    <w:rPr>
                      <w:rFonts w:asciiTheme="minorHAnsi" w:hAnsiTheme="minorHAnsi" w:cs="Arial"/>
                      <w:b/>
                      <w:bCs/>
                      <w:color w:val="000000"/>
                    </w:rPr>
                    <w:t>10</w:t>
                  </w:r>
                </w:p>
              </w:tc>
            </w:tr>
          </w:tbl>
          <w:p w:rsidR="006831CF" w:rsidRPr="005D2DE3" w:rsidRDefault="006831CF" w:rsidP="005D2DE3">
            <w:pPr>
              <w:spacing w:after="0"/>
              <w:rPr>
                <w:rFonts w:asciiTheme="minorHAnsi" w:hAnsiTheme="minorHAnsi" w:cs="Arial"/>
                <w:b w:val="0"/>
                <w:bCs w:val="0"/>
                <w:color w:val="000000"/>
              </w:rPr>
            </w:pPr>
          </w:p>
        </w:tc>
      </w:tr>
    </w:tbl>
    <w:p w:rsidR="006831CF" w:rsidRPr="005A464E" w:rsidRDefault="002C19B4" w:rsidP="00A86545">
      <w:pPr>
        <w:spacing w:line="360" w:lineRule="auto"/>
        <w:jc w:val="both"/>
        <w:rPr>
          <w:sz w:val="24"/>
          <w:szCs w:val="24"/>
          <w:lang w:eastAsia="el-GR"/>
        </w:rPr>
      </w:pPr>
      <w:r w:rsidRPr="005A464E">
        <w:rPr>
          <w:rFonts w:cs="Arial"/>
          <w:sz w:val="24"/>
          <w:szCs w:val="24"/>
        </w:rPr>
        <w:t>(Mέση τιμή± Τυπική απόκλιση)</w:t>
      </w:r>
    </w:p>
    <w:p w:rsidR="00D66B68" w:rsidRDefault="00D66B68" w:rsidP="005A464E">
      <w:pPr>
        <w:spacing w:line="360" w:lineRule="auto"/>
        <w:jc w:val="both"/>
        <w:rPr>
          <w:sz w:val="24"/>
          <w:szCs w:val="24"/>
          <w:lang w:eastAsia="el-GR"/>
        </w:rPr>
      </w:pPr>
      <w:r w:rsidRPr="005A464E">
        <w:rPr>
          <w:sz w:val="24"/>
          <w:szCs w:val="24"/>
          <w:lang w:eastAsia="el-GR"/>
        </w:rPr>
        <w:t xml:space="preserve">Ο μέσος χρόνος συμπλήρωσης ήταν 20 λεπτά. Σε γενικές γραμμές, οι συμμετέχοντες βρήκαν τη κλίμακα </w:t>
      </w:r>
      <w:r w:rsidRPr="005A464E">
        <w:rPr>
          <w:sz w:val="24"/>
          <w:szCs w:val="24"/>
          <w:lang w:val="en-US" w:eastAsia="el-GR"/>
        </w:rPr>
        <w:t>KDQ</w:t>
      </w:r>
      <w:r w:rsidRPr="005A464E">
        <w:rPr>
          <w:sz w:val="24"/>
          <w:szCs w:val="24"/>
          <w:lang w:eastAsia="el-GR"/>
        </w:rPr>
        <w:t xml:space="preserve"> κατανοητή (Πί</w:t>
      </w:r>
      <w:r w:rsidR="004C3144">
        <w:rPr>
          <w:sz w:val="24"/>
          <w:szCs w:val="24"/>
          <w:lang w:eastAsia="el-GR"/>
        </w:rPr>
        <w:t>ν 3</w:t>
      </w:r>
      <w:r w:rsidRPr="005A464E">
        <w:rPr>
          <w:sz w:val="24"/>
          <w:szCs w:val="24"/>
          <w:lang w:eastAsia="el-GR"/>
        </w:rPr>
        <w:t xml:space="preserve"> ). Ποσοστό 90% των ασθενών αποδέχθηκε το εργαλείο ως πολύ καλό, 90% δεν είχαν δυσκολία στις απαντήσεις ενώ, επίσης, το 90% απάντησε ότι οι ερωτήσεις ήταν κατανοητές και πολ</w:t>
      </w:r>
      <w:r w:rsidR="004766A7">
        <w:rPr>
          <w:sz w:val="24"/>
          <w:szCs w:val="24"/>
          <w:lang w:eastAsia="el-GR"/>
        </w:rPr>
        <w:t>ύ σημαντικές για την υγεί</w:t>
      </w:r>
      <w:r w:rsidR="005D2DE3">
        <w:rPr>
          <w:sz w:val="24"/>
          <w:szCs w:val="24"/>
          <w:lang w:eastAsia="el-GR"/>
        </w:rPr>
        <w:t>α τους (Πίν 3</w:t>
      </w:r>
      <w:r w:rsidR="004766A7">
        <w:rPr>
          <w:sz w:val="24"/>
          <w:szCs w:val="24"/>
          <w:lang w:eastAsia="el-GR"/>
        </w:rPr>
        <w:t>).</w:t>
      </w:r>
    </w:p>
    <w:p w:rsidR="004C3144" w:rsidRPr="004C3144" w:rsidRDefault="004C3144" w:rsidP="004C3144">
      <w:pPr>
        <w:spacing w:after="0" w:line="480" w:lineRule="auto"/>
        <w:jc w:val="both"/>
        <w:rPr>
          <w:rFonts w:asciiTheme="minorHAnsi" w:eastAsiaTheme="minorHAnsi" w:hAnsiTheme="minorHAnsi" w:cstheme="minorBidi"/>
          <w:bCs/>
          <w:color w:val="000000"/>
          <w:sz w:val="24"/>
          <w:szCs w:val="24"/>
          <w:lang w:eastAsia="el-GR"/>
        </w:rPr>
      </w:pPr>
      <w:r w:rsidRPr="004C3144">
        <w:rPr>
          <w:rFonts w:asciiTheme="minorHAnsi" w:eastAsiaTheme="minorHAnsi" w:hAnsiTheme="minorHAnsi" w:cstheme="minorBidi"/>
          <w:bCs/>
          <w:color w:val="000000"/>
          <w:sz w:val="24"/>
          <w:szCs w:val="24"/>
          <w:lang w:eastAsia="el-GR"/>
        </w:rPr>
        <w:t>Πίνακας 3</w:t>
      </w:r>
    </w:p>
    <w:p w:rsidR="004C3144" w:rsidRPr="004C3144" w:rsidRDefault="004C3144" w:rsidP="004C3144">
      <w:pPr>
        <w:spacing w:line="360" w:lineRule="auto"/>
        <w:jc w:val="both"/>
        <w:rPr>
          <w:sz w:val="24"/>
          <w:szCs w:val="24"/>
          <w:lang w:eastAsia="el-GR"/>
        </w:rPr>
      </w:pPr>
      <w:r w:rsidRPr="004C3144">
        <w:rPr>
          <w:rFonts w:asciiTheme="minorHAnsi" w:eastAsiaTheme="minorHAnsi" w:hAnsiTheme="minorHAnsi" w:cstheme="minorBidi"/>
          <w:bCs/>
          <w:i/>
          <w:color w:val="000000"/>
          <w:sz w:val="24"/>
          <w:szCs w:val="24"/>
          <w:lang w:eastAsia="el-GR"/>
        </w:rPr>
        <w:t xml:space="preserve">Αποτελέσματα της πολιτισμικής προσαρμογής της κλίμακας </w:t>
      </w:r>
      <w:r w:rsidRPr="004C3144">
        <w:rPr>
          <w:rFonts w:asciiTheme="minorHAnsi" w:eastAsiaTheme="minorHAnsi" w:hAnsiTheme="minorHAnsi" w:cstheme="minorBidi"/>
          <w:bCs/>
          <w:i/>
          <w:color w:val="000000"/>
          <w:sz w:val="24"/>
          <w:szCs w:val="24"/>
          <w:lang w:val="en-US" w:eastAsia="el-GR"/>
        </w:rPr>
        <w:t>KDQ</w:t>
      </w:r>
      <w:r w:rsidRPr="004C3144">
        <w:rPr>
          <w:rFonts w:asciiTheme="minorHAnsi" w:eastAsiaTheme="minorHAnsi" w:hAnsiTheme="minorHAnsi" w:cstheme="minorBidi"/>
          <w:bCs/>
          <w:color w:val="000000"/>
          <w:sz w:val="24"/>
          <w:szCs w:val="24"/>
          <w:lang w:eastAsia="el-GR"/>
        </w:rPr>
        <w:t xml:space="preserve"> (</w:t>
      </w:r>
      <w:r w:rsidRPr="004C3144">
        <w:rPr>
          <w:rFonts w:asciiTheme="minorHAnsi" w:eastAsiaTheme="minorHAnsi" w:hAnsiTheme="minorHAnsi" w:cstheme="minorBidi"/>
          <w:bCs/>
          <w:i/>
          <w:color w:val="000000"/>
          <w:sz w:val="24"/>
          <w:szCs w:val="24"/>
          <w:lang w:val="en-US" w:eastAsia="el-GR"/>
        </w:rPr>
        <w:t>General</w:t>
      </w:r>
      <w:r w:rsidRPr="004C3144">
        <w:rPr>
          <w:rFonts w:asciiTheme="minorHAnsi" w:eastAsiaTheme="minorHAnsi" w:hAnsiTheme="minorHAnsi" w:cstheme="minorBidi"/>
          <w:bCs/>
          <w:i/>
          <w:color w:val="000000"/>
          <w:sz w:val="24"/>
          <w:szCs w:val="24"/>
          <w:lang w:eastAsia="el-GR"/>
        </w:rPr>
        <w:t xml:space="preserve"> </w:t>
      </w:r>
      <w:r w:rsidRPr="004C3144">
        <w:rPr>
          <w:rFonts w:asciiTheme="minorHAnsi" w:eastAsiaTheme="minorHAnsi" w:hAnsiTheme="minorHAnsi" w:cstheme="minorBidi"/>
          <w:bCs/>
          <w:i/>
          <w:color w:val="000000"/>
          <w:sz w:val="24"/>
          <w:szCs w:val="24"/>
          <w:lang w:val="en-US" w:eastAsia="el-GR"/>
        </w:rPr>
        <w:t>Impression</w:t>
      </w:r>
      <w:r w:rsidRPr="004C3144">
        <w:rPr>
          <w:rFonts w:asciiTheme="minorHAnsi" w:eastAsiaTheme="minorHAnsi" w:hAnsiTheme="minorHAnsi" w:cstheme="minorBidi"/>
          <w:bCs/>
          <w:i/>
          <w:color w:val="000000"/>
          <w:sz w:val="24"/>
          <w:szCs w:val="24"/>
          <w:lang w:eastAsia="el-GR"/>
        </w:rPr>
        <w:t xml:space="preserve"> </w:t>
      </w:r>
      <w:r w:rsidRPr="004C3144">
        <w:rPr>
          <w:rFonts w:asciiTheme="minorHAnsi" w:eastAsiaTheme="minorHAnsi" w:hAnsiTheme="minorHAnsi" w:cstheme="minorBidi"/>
          <w:bCs/>
          <w:i/>
          <w:color w:val="000000"/>
          <w:sz w:val="24"/>
          <w:szCs w:val="24"/>
          <w:lang w:val="en-US" w:eastAsia="el-GR"/>
        </w:rPr>
        <w:t>Instrument</w:t>
      </w:r>
      <w:r w:rsidRPr="004C3144">
        <w:rPr>
          <w:rFonts w:asciiTheme="minorHAnsi" w:eastAsiaTheme="minorHAnsi" w:hAnsiTheme="minorHAnsi" w:cstheme="minorBidi"/>
          <w:bCs/>
          <w:i/>
          <w:color w:val="000000"/>
          <w:sz w:val="24"/>
          <w:szCs w:val="24"/>
          <w:lang w:eastAsia="el-GR"/>
        </w:rPr>
        <w:t>)</w:t>
      </w:r>
    </w:p>
    <w:tbl>
      <w:tblPr>
        <w:tblStyle w:val="-41"/>
        <w:tblW w:w="0" w:type="auto"/>
        <w:tblLook w:val="04A0"/>
      </w:tblPr>
      <w:tblGrid>
        <w:gridCol w:w="2840"/>
        <w:gridCol w:w="2841"/>
        <w:gridCol w:w="2841"/>
      </w:tblGrid>
      <w:tr w:rsidR="007C6E0F" w:rsidRPr="00872FD2" w:rsidTr="00F37B79">
        <w:trPr>
          <w:cnfStyle w:val="100000000000"/>
        </w:trPr>
        <w:tc>
          <w:tcPr>
            <w:cnfStyle w:val="001000000000"/>
            <w:tcW w:w="2840" w:type="dxa"/>
          </w:tcPr>
          <w:p w:rsidR="007C6E0F" w:rsidRPr="00872FD2" w:rsidRDefault="00BE66B4" w:rsidP="00872FD2">
            <w:pPr>
              <w:spacing w:after="0" w:line="360" w:lineRule="auto"/>
              <w:jc w:val="center"/>
              <w:rPr>
                <w:rFonts w:asciiTheme="minorHAnsi" w:eastAsiaTheme="minorHAnsi" w:hAnsiTheme="minorHAnsi" w:cstheme="minorBidi"/>
                <w:b w:val="0"/>
                <w:bCs w:val="0"/>
                <w:color w:val="000000"/>
                <w:sz w:val="24"/>
                <w:szCs w:val="24"/>
                <w:lang w:eastAsia="el-GR"/>
              </w:rPr>
            </w:pPr>
            <w:r w:rsidRPr="00872FD2">
              <w:rPr>
                <w:rFonts w:asciiTheme="minorHAnsi" w:eastAsiaTheme="minorHAnsi" w:hAnsiTheme="minorHAnsi" w:cstheme="minorBidi"/>
                <w:bCs w:val="0"/>
                <w:color w:val="000000"/>
                <w:sz w:val="24"/>
                <w:szCs w:val="24"/>
                <w:lang w:eastAsia="el-GR"/>
              </w:rPr>
              <w:t>Ερωτήσεις</w:t>
            </w:r>
          </w:p>
        </w:tc>
        <w:tc>
          <w:tcPr>
            <w:tcW w:w="2841" w:type="dxa"/>
          </w:tcPr>
          <w:p w:rsidR="007C6E0F" w:rsidRPr="00872FD2" w:rsidRDefault="00957D79" w:rsidP="00872FD2">
            <w:pPr>
              <w:spacing w:after="0" w:line="360" w:lineRule="auto"/>
              <w:jc w:val="center"/>
              <w:cnfStyle w:val="100000000000"/>
              <w:rPr>
                <w:rFonts w:asciiTheme="minorHAnsi" w:eastAsiaTheme="minorHAnsi" w:hAnsiTheme="minorHAnsi" w:cstheme="minorBidi"/>
                <w:color w:val="000000"/>
                <w:sz w:val="24"/>
                <w:szCs w:val="24"/>
                <w:lang w:eastAsia="el-GR"/>
              </w:rPr>
            </w:pPr>
            <w:r w:rsidRPr="00872FD2">
              <w:rPr>
                <w:rFonts w:asciiTheme="minorHAnsi" w:eastAsiaTheme="minorHAnsi" w:hAnsiTheme="minorHAnsi" w:cstheme="minorBidi"/>
                <w:color w:val="000000"/>
                <w:sz w:val="24"/>
                <w:szCs w:val="24"/>
                <w:lang w:eastAsia="el-GR"/>
              </w:rPr>
              <w:t>Απαντήσεις</w:t>
            </w:r>
          </w:p>
        </w:tc>
        <w:tc>
          <w:tcPr>
            <w:tcW w:w="2841" w:type="dxa"/>
          </w:tcPr>
          <w:p w:rsidR="007C6E0F" w:rsidRPr="00872FD2" w:rsidRDefault="0078495A" w:rsidP="00872FD2">
            <w:pPr>
              <w:spacing w:after="0" w:line="360" w:lineRule="auto"/>
              <w:jc w:val="center"/>
              <w:cnfStyle w:val="100000000000"/>
              <w:rPr>
                <w:rFonts w:asciiTheme="minorHAnsi" w:eastAsiaTheme="minorHAnsi" w:hAnsiTheme="minorHAnsi" w:cstheme="minorBidi"/>
                <w:color w:val="000000"/>
                <w:sz w:val="24"/>
                <w:szCs w:val="24"/>
                <w:lang w:val="en-US" w:eastAsia="el-GR"/>
              </w:rPr>
            </w:pPr>
            <w:r>
              <w:rPr>
                <w:rFonts w:asciiTheme="minorHAnsi" w:eastAsiaTheme="minorHAnsi" w:hAnsiTheme="minorHAnsi" w:cstheme="minorBidi"/>
                <w:color w:val="000000"/>
                <w:sz w:val="24"/>
                <w:szCs w:val="24"/>
                <w:lang w:val="en-US" w:eastAsia="el-GR"/>
              </w:rPr>
              <w:t xml:space="preserve">      </w:t>
            </w:r>
            <w:r w:rsidR="00BE66B4" w:rsidRPr="00872FD2">
              <w:rPr>
                <w:rFonts w:asciiTheme="minorHAnsi" w:eastAsiaTheme="minorHAnsi" w:hAnsiTheme="minorHAnsi" w:cstheme="minorBidi"/>
                <w:color w:val="000000"/>
                <w:sz w:val="24"/>
                <w:szCs w:val="24"/>
                <w:lang w:eastAsia="el-GR"/>
              </w:rPr>
              <w:t>(</w:t>
            </w:r>
            <w:r w:rsidR="007C6E0F" w:rsidRPr="00872FD2">
              <w:rPr>
                <w:rFonts w:asciiTheme="minorHAnsi" w:eastAsiaTheme="minorHAnsi" w:hAnsiTheme="minorHAnsi" w:cstheme="minorBidi"/>
                <w:color w:val="000000"/>
                <w:sz w:val="24"/>
                <w:szCs w:val="24"/>
                <w:lang w:val="en-US" w:eastAsia="el-GR"/>
              </w:rPr>
              <w:t>%</w:t>
            </w:r>
            <w:r w:rsidR="00BE66B4" w:rsidRPr="00872FD2">
              <w:rPr>
                <w:rFonts w:asciiTheme="minorHAnsi" w:eastAsiaTheme="minorHAnsi" w:hAnsiTheme="minorHAnsi" w:cstheme="minorBidi"/>
                <w:color w:val="000000"/>
                <w:sz w:val="24"/>
                <w:szCs w:val="24"/>
                <w:lang w:eastAsia="el-GR"/>
              </w:rPr>
              <w:t>)</w:t>
            </w:r>
            <w:r w:rsidR="001B63BB">
              <w:rPr>
                <w:rFonts w:asciiTheme="minorHAnsi" w:eastAsiaTheme="minorHAnsi" w:hAnsiTheme="minorHAnsi" w:cstheme="minorBidi"/>
                <w:color w:val="000000"/>
                <w:sz w:val="24"/>
                <w:szCs w:val="24"/>
                <w:lang w:val="en-US" w:eastAsia="el-GR"/>
              </w:rPr>
              <w:t xml:space="preserve"> (</w:t>
            </w:r>
            <w:r w:rsidR="001B63BB">
              <w:rPr>
                <w:rFonts w:asciiTheme="minorHAnsi" w:eastAsiaTheme="minorHAnsi" w:hAnsiTheme="minorHAnsi" w:cstheme="minorBidi"/>
                <w:color w:val="000000"/>
                <w:sz w:val="24"/>
                <w:szCs w:val="24"/>
                <w:lang w:eastAsia="el-GR"/>
              </w:rPr>
              <w:t>Ν</w:t>
            </w:r>
            <w:r w:rsidR="007C6E0F" w:rsidRPr="00872FD2">
              <w:rPr>
                <w:rFonts w:asciiTheme="minorHAnsi" w:eastAsiaTheme="minorHAnsi" w:hAnsiTheme="minorHAnsi" w:cstheme="minorBidi"/>
                <w:color w:val="000000"/>
                <w:sz w:val="24"/>
                <w:szCs w:val="24"/>
                <w:lang w:val="en-US" w:eastAsia="el-GR"/>
              </w:rPr>
              <w:t>=10)</w:t>
            </w:r>
          </w:p>
        </w:tc>
      </w:tr>
      <w:tr w:rsidR="007C6E0F" w:rsidRPr="00872FD2" w:rsidTr="00F37B79">
        <w:trPr>
          <w:cnfStyle w:val="000000100000"/>
          <w:trHeight w:val="20"/>
        </w:trPr>
        <w:tc>
          <w:tcPr>
            <w:cnfStyle w:val="001000000000"/>
            <w:tcW w:w="2840" w:type="dxa"/>
          </w:tcPr>
          <w:p w:rsidR="007C6E0F" w:rsidRPr="00872FD2" w:rsidRDefault="00BE66B4" w:rsidP="00872FD2">
            <w:pPr>
              <w:spacing w:after="0" w:line="360" w:lineRule="auto"/>
              <w:rPr>
                <w:rFonts w:asciiTheme="minorHAnsi" w:eastAsiaTheme="minorHAnsi" w:hAnsiTheme="minorHAnsi" w:cstheme="minorBidi"/>
                <w:b w:val="0"/>
                <w:bCs w:val="0"/>
                <w:color w:val="000000"/>
                <w:sz w:val="24"/>
                <w:szCs w:val="24"/>
                <w:lang w:eastAsia="el-GR"/>
              </w:rPr>
            </w:pPr>
            <w:r w:rsidRPr="00872FD2">
              <w:rPr>
                <w:rFonts w:asciiTheme="minorHAnsi" w:eastAsiaTheme="minorHAnsi" w:hAnsiTheme="minorHAnsi" w:cstheme="minorBidi"/>
                <w:bCs w:val="0"/>
                <w:color w:val="000000"/>
                <w:sz w:val="24"/>
                <w:szCs w:val="24"/>
                <w:lang w:eastAsia="el-GR"/>
              </w:rPr>
              <w:t>Ποια η γενική σας άποψη για το ερωτηματολόγιο;</w:t>
            </w:r>
          </w:p>
        </w:tc>
        <w:tc>
          <w:tcPr>
            <w:tcW w:w="2841" w:type="dxa"/>
          </w:tcPr>
          <w:p w:rsidR="007C6E0F" w:rsidRPr="00872FD2" w:rsidRDefault="00957D79" w:rsidP="00872FD2">
            <w:pPr>
              <w:numPr>
                <w:ilvl w:val="0"/>
                <w:numId w:val="34"/>
              </w:numPr>
              <w:spacing w:after="0" w:line="360" w:lineRule="auto"/>
              <w:cnfStyle w:val="000000100000"/>
              <w:rPr>
                <w:rFonts w:asciiTheme="minorHAnsi" w:eastAsiaTheme="minorHAnsi" w:hAnsiTheme="minorHAnsi" w:cstheme="minorBidi"/>
                <w:color w:val="000000"/>
                <w:sz w:val="24"/>
                <w:szCs w:val="24"/>
                <w:lang w:val="en-US" w:eastAsia="el-GR"/>
              </w:rPr>
            </w:pPr>
            <w:r w:rsidRPr="00872FD2">
              <w:rPr>
                <w:rFonts w:asciiTheme="minorHAnsi" w:eastAsiaTheme="minorHAnsi" w:hAnsiTheme="minorHAnsi" w:cstheme="minorBidi"/>
                <w:color w:val="000000"/>
                <w:sz w:val="24"/>
                <w:szCs w:val="24"/>
                <w:lang w:eastAsia="el-GR"/>
              </w:rPr>
              <w:t>Πολύ καλή</w:t>
            </w:r>
          </w:p>
          <w:p w:rsidR="007C6E0F" w:rsidRPr="00872FD2" w:rsidRDefault="00957D79" w:rsidP="00872FD2">
            <w:pPr>
              <w:numPr>
                <w:ilvl w:val="0"/>
                <w:numId w:val="34"/>
              </w:numPr>
              <w:spacing w:after="0" w:line="360" w:lineRule="auto"/>
              <w:cnfStyle w:val="000000100000"/>
              <w:rPr>
                <w:rFonts w:asciiTheme="minorHAnsi" w:eastAsiaTheme="minorHAnsi" w:hAnsiTheme="minorHAnsi" w:cstheme="minorBidi"/>
                <w:color w:val="000000"/>
                <w:sz w:val="24"/>
                <w:szCs w:val="24"/>
                <w:lang w:val="en-US" w:eastAsia="el-GR"/>
              </w:rPr>
            </w:pPr>
            <w:r w:rsidRPr="00872FD2">
              <w:rPr>
                <w:rFonts w:asciiTheme="minorHAnsi" w:eastAsiaTheme="minorHAnsi" w:hAnsiTheme="minorHAnsi" w:cstheme="minorBidi"/>
                <w:color w:val="000000"/>
                <w:sz w:val="24"/>
                <w:szCs w:val="24"/>
                <w:lang w:eastAsia="el-GR"/>
              </w:rPr>
              <w:t>Καλή</w:t>
            </w:r>
          </w:p>
        </w:tc>
        <w:tc>
          <w:tcPr>
            <w:tcW w:w="2841" w:type="dxa"/>
          </w:tcPr>
          <w:p w:rsidR="007C6E0F" w:rsidRPr="00872FD2" w:rsidRDefault="007C6E0F" w:rsidP="00872FD2">
            <w:pPr>
              <w:spacing w:after="0" w:line="360" w:lineRule="auto"/>
              <w:jc w:val="center"/>
              <w:cnfStyle w:val="000000100000"/>
              <w:rPr>
                <w:rFonts w:asciiTheme="minorHAnsi" w:eastAsiaTheme="minorHAnsi" w:hAnsiTheme="minorHAnsi" w:cstheme="minorBidi"/>
                <w:color w:val="000000"/>
                <w:sz w:val="24"/>
                <w:szCs w:val="24"/>
                <w:lang w:val="en-US" w:eastAsia="el-GR"/>
              </w:rPr>
            </w:pPr>
            <w:r w:rsidRPr="00872FD2">
              <w:rPr>
                <w:rFonts w:asciiTheme="minorHAnsi" w:eastAsiaTheme="minorHAnsi" w:hAnsiTheme="minorHAnsi" w:cstheme="minorBidi"/>
                <w:color w:val="000000"/>
                <w:sz w:val="24"/>
                <w:szCs w:val="24"/>
                <w:lang w:val="en-US" w:eastAsia="el-GR"/>
              </w:rPr>
              <w:t>9</w:t>
            </w:r>
            <w:r w:rsidR="00EF6A06">
              <w:rPr>
                <w:rFonts w:asciiTheme="minorHAnsi" w:eastAsiaTheme="minorHAnsi" w:hAnsiTheme="minorHAnsi" w:cstheme="minorBidi"/>
                <w:color w:val="000000"/>
                <w:sz w:val="24"/>
                <w:szCs w:val="24"/>
                <w:lang w:val="en-US" w:eastAsia="el-GR"/>
              </w:rPr>
              <w:t>0,</w:t>
            </w:r>
            <w:r w:rsidRPr="00872FD2">
              <w:rPr>
                <w:rFonts w:asciiTheme="minorHAnsi" w:eastAsiaTheme="minorHAnsi" w:hAnsiTheme="minorHAnsi" w:cstheme="minorBidi"/>
                <w:color w:val="000000"/>
                <w:sz w:val="24"/>
                <w:szCs w:val="24"/>
                <w:lang w:val="en-US" w:eastAsia="el-GR"/>
              </w:rPr>
              <w:t>0</w:t>
            </w:r>
          </w:p>
          <w:p w:rsidR="007C6E0F" w:rsidRPr="00872FD2" w:rsidRDefault="007C6E0F" w:rsidP="00872FD2">
            <w:pPr>
              <w:spacing w:after="0" w:line="360" w:lineRule="auto"/>
              <w:jc w:val="center"/>
              <w:cnfStyle w:val="000000100000"/>
              <w:rPr>
                <w:rFonts w:asciiTheme="minorHAnsi" w:eastAsiaTheme="minorHAnsi" w:hAnsiTheme="minorHAnsi" w:cstheme="minorBidi"/>
                <w:color w:val="000000"/>
                <w:sz w:val="24"/>
                <w:szCs w:val="24"/>
                <w:lang w:val="en-US" w:eastAsia="el-GR"/>
              </w:rPr>
            </w:pPr>
            <w:r w:rsidRPr="00872FD2">
              <w:rPr>
                <w:rFonts w:asciiTheme="minorHAnsi" w:eastAsiaTheme="minorHAnsi" w:hAnsiTheme="minorHAnsi" w:cstheme="minorBidi"/>
                <w:color w:val="000000"/>
                <w:sz w:val="24"/>
                <w:szCs w:val="24"/>
                <w:lang w:val="en-US" w:eastAsia="el-GR"/>
              </w:rPr>
              <w:t>1</w:t>
            </w:r>
            <w:r w:rsidR="00EF6A06">
              <w:rPr>
                <w:rFonts w:asciiTheme="minorHAnsi" w:eastAsiaTheme="minorHAnsi" w:hAnsiTheme="minorHAnsi" w:cstheme="minorBidi"/>
                <w:color w:val="000000"/>
                <w:sz w:val="24"/>
                <w:szCs w:val="24"/>
                <w:lang w:val="en-US" w:eastAsia="el-GR"/>
              </w:rPr>
              <w:t>0,</w:t>
            </w:r>
            <w:r w:rsidRPr="00872FD2">
              <w:rPr>
                <w:rFonts w:asciiTheme="minorHAnsi" w:eastAsiaTheme="minorHAnsi" w:hAnsiTheme="minorHAnsi" w:cstheme="minorBidi"/>
                <w:color w:val="000000"/>
                <w:sz w:val="24"/>
                <w:szCs w:val="24"/>
                <w:lang w:val="en-US" w:eastAsia="el-GR"/>
              </w:rPr>
              <w:t>0</w:t>
            </w:r>
          </w:p>
        </w:tc>
      </w:tr>
      <w:tr w:rsidR="007C6E0F" w:rsidRPr="00872FD2" w:rsidTr="00F37B79">
        <w:trPr>
          <w:cnfStyle w:val="000000010000"/>
          <w:trHeight w:val="20"/>
        </w:trPr>
        <w:tc>
          <w:tcPr>
            <w:cnfStyle w:val="001000000000"/>
            <w:tcW w:w="2840" w:type="dxa"/>
          </w:tcPr>
          <w:p w:rsidR="007C6E0F" w:rsidRPr="00872FD2" w:rsidRDefault="00BE66B4" w:rsidP="00872FD2">
            <w:pPr>
              <w:spacing w:after="0" w:line="360" w:lineRule="auto"/>
              <w:rPr>
                <w:rFonts w:asciiTheme="minorHAnsi" w:eastAsiaTheme="minorHAnsi" w:hAnsiTheme="minorHAnsi" w:cstheme="minorBidi"/>
                <w:b w:val="0"/>
                <w:bCs w:val="0"/>
                <w:color w:val="000000"/>
                <w:sz w:val="24"/>
                <w:szCs w:val="24"/>
                <w:lang w:eastAsia="el-GR"/>
              </w:rPr>
            </w:pPr>
            <w:r w:rsidRPr="00872FD2">
              <w:rPr>
                <w:rFonts w:asciiTheme="minorHAnsi" w:eastAsiaTheme="minorHAnsi" w:hAnsiTheme="minorHAnsi" w:cstheme="minorBidi"/>
                <w:bCs w:val="0"/>
                <w:color w:val="000000"/>
                <w:sz w:val="24"/>
                <w:szCs w:val="24"/>
                <w:lang w:eastAsia="el-GR"/>
              </w:rPr>
              <w:t>Είναι κατανοητές οι ερωτήσεις;</w:t>
            </w:r>
          </w:p>
        </w:tc>
        <w:tc>
          <w:tcPr>
            <w:tcW w:w="2841" w:type="dxa"/>
          </w:tcPr>
          <w:p w:rsidR="007C6E0F" w:rsidRPr="00872FD2" w:rsidRDefault="00957D79" w:rsidP="00872FD2">
            <w:pPr>
              <w:numPr>
                <w:ilvl w:val="0"/>
                <w:numId w:val="34"/>
              </w:numPr>
              <w:spacing w:after="0" w:line="360" w:lineRule="auto"/>
              <w:cnfStyle w:val="000000010000"/>
              <w:rPr>
                <w:rFonts w:asciiTheme="minorHAnsi" w:eastAsiaTheme="minorHAnsi" w:hAnsiTheme="minorHAnsi" w:cstheme="minorBidi"/>
                <w:color w:val="000000"/>
                <w:sz w:val="24"/>
                <w:szCs w:val="24"/>
                <w:lang w:val="en-US" w:eastAsia="el-GR"/>
              </w:rPr>
            </w:pPr>
            <w:r w:rsidRPr="00872FD2">
              <w:rPr>
                <w:rFonts w:asciiTheme="minorHAnsi" w:eastAsiaTheme="minorHAnsi" w:hAnsiTheme="minorHAnsi" w:cstheme="minorBidi"/>
                <w:color w:val="000000"/>
                <w:sz w:val="24"/>
                <w:szCs w:val="24"/>
                <w:lang w:eastAsia="el-GR"/>
              </w:rPr>
              <w:t>Ναι</w:t>
            </w:r>
          </w:p>
          <w:p w:rsidR="007C6E0F" w:rsidRPr="00872FD2" w:rsidRDefault="00957D79" w:rsidP="00872FD2">
            <w:pPr>
              <w:numPr>
                <w:ilvl w:val="0"/>
                <w:numId w:val="34"/>
              </w:numPr>
              <w:spacing w:after="0" w:line="360" w:lineRule="auto"/>
              <w:cnfStyle w:val="000000010000"/>
              <w:rPr>
                <w:rFonts w:asciiTheme="minorHAnsi" w:eastAsiaTheme="minorHAnsi" w:hAnsiTheme="minorHAnsi" w:cstheme="minorBidi"/>
                <w:color w:val="000000"/>
                <w:sz w:val="24"/>
                <w:szCs w:val="24"/>
                <w:lang w:val="en-US" w:eastAsia="el-GR"/>
              </w:rPr>
            </w:pPr>
            <w:r w:rsidRPr="00872FD2">
              <w:rPr>
                <w:rFonts w:asciiTheme="minorHAnsi" w:eastAsiaTheme="minorHAnsi" w:hAnsiTheme="minorHAnsi" w:cstheme="minorBidi"/>
                <w:color w:val="000000"/>
                <w:sz w:val="24"/>
                <w:szCs w:val="24"/>
                <w:lang w:eastAsia="el-GR"/>
              </w:rPr>
              <w:t>Σε κάποια σημεία δυσνόητες</w:t>
            </w:r>
          </w:p>
        </w:tc>
        <w:tc>
          <w:tcPr>
            <w:tcW w:w="2841" w:type="dxa"/>
          </w:tcPr>
          <w:p w:rsidR="007C6E0F" w:rsidRPr="00872FD2" w:rsidRDefault="007C6E0F" w:rsidP="00872FD2">
            <w:pPr>
              <w:spacing w:after="0" w:line="360" w:lineRule="auto"/>
              <w:jc w:val="center"/>
              <w:cnfStyle w:val="000000010000"/>
              <w:rPr>
                <w:rFonts w:asciiTheme="minorHAnsi" w:eastAsiaTheme="minorHAnsi" w:hAnsiTheme="minorHAnsi" w:cstheme="minorBidi"/>
                <w:color w:val="000000"/>
                <w:sz w:val="24"/>
                <w:szCs w:val="24"/>
                <w:lang w:val="en-US" w:eastAsia="el-GR"/>
              </w:rPr>
            </w:pPr>
            <w:r w:rsidRPr="00872FD2">
              <w:rPr>
                <w:rFonts w:asciiTheme="minorHAnsi" w:eastAsiaTheme="minorHAnsi" w:hAnsiTheme="minorHAnsi" w:cstheme="minorBidi"/>
                <w:color w:val="000000"/>
                <w:sz w:val="24"/>
                <w:szCs w:val="24"/>
                <w:lang w:val="en-US" w:eastAsia="el-GR"/>
              </w:rPr>
              <w:t>9</w:t>
            </w:r>
            <w:r w:rsidR="00EF6A06">
              <w:rPr>
                <w:rFonts w:asciiTheme="minorHAnsi" w:eastAsiaTheme="minorHAnsi" w:hAnsiTheme="minorHAnsi" w:cstheme="minorBidi"/>
                <w:color w:val="000000"/>
                <w:sz w:val="24"/>
                <w:szCs w:val="24"/>
                <w:lang w:val="en-US" w:eastAsia="el-GR"/>
              </w:rPr>
              <w:t>0,</w:t>
            </w:r>
            <w:r w:rsidRPr="00872FD2">
              <w:rPr>
                <w:rFonts w:asciiTheme="minorHAnsi" w:eastAsiaTheme="minorHAnsi" w:hAnsiTheme="minorHAnsi" w:cstheme="minorBidi"/>
                <w:color w:val="000000"/>
                <w:sz w:val="24"/>
                <w:szCs w:val="24"/>
                <w:lang w:val="en-US" w:eastAsia="el-GR"/>
              </w:rPr>
              <w:t>0</w:t>
            </w:r>
          </w:p>
          <w:p w:rsidR="007C6E0F" w:rsidRPr="00872FD2" w:rsidRDefault="007C6E0F" w:rsidP="00872FD2">
            <w:pPr>
              <w:spacing w:after="0" w:line="360" w:lineRule="auto"/>
              <w:jc w:val="center"/>
              <w:cnfStyle w:val="000000010000"/>
              <w:rPr>
                <w:rFonts w:asciiTheme="minorHAnsi" w:eastAsiaTheme="minorHAnsi" w:hAnsiTheme="minorHAnsi" w:cstheme="minorBidi"/>
                <w:color w:val="000000"/>
                <w:sz w:val="24"/>
                <w:szCs w:val="24"/>
                <w:lang w:val="en-US" w:eastAsia="el-GR"/>
              </w:rPr>
            </w:pPr>
            <w:r w:rsidRPr="00872FD2">
              <w:rPr>
                <w:rFonts w:asciiTheme="minorHAnsi" w:eastAsiaTheme="minorHAnsi" w:hAnsiTheme="minorHAnsi" w:cstheme="minorBidi"/>
                <w:color w:val="000000"/>
                <w:sz w:val="24"/>
                <w:szCs w:val="24"/>
                <w:lang w:val="en-US" w:eastAsia="el-GR"/>
              </w:rPr>
              <w:t>1</w:t>
            </w:r>
            <w:r w:rsidR="00EF6A06">
              <w:rPr>
                <w:rFonts w:asciiTheme="minorHAnsi" w:eastAsiaTheme="minorHAnsi" w:hAnsiTheme="minorHAnsi" w:cstheme="minorBidi"/>
                <w:color w:val="000000"/>
                <w:sz w:val="24"/>
                <w:szCs w:val="24"/>
                <w:lang w:val="en-US" w:eastAsia="el-GR"/>
              </w:rPr>
              <w:t>0,</w:t>
            </w:r>
            <w:r w:rsidRPr="00872FD2">
              <w:rPr>
                <w:rFonts w:asciiTheme="minorHAnsi" w:eastAsiaTheme="minorHAnsi" w:hAnsiTheme="minorHAnsi" w:cstheme="minorBidi"/>
                <w:color w:val="000000"/>
                <w:sz w:val="24"/>
                <w:szCs w:val="24"/>
                <w:lang w:val="en-US" w:eastAsia="el-GR"/>
              </w:rPr>
              <w:t>0</w:t>
            </w:r>
          </w:p>
        </w:tc>
      </w:tr>
      <w:tr w:rsidR="007C6E0F" w:rsidRPr="00872FD2" w:rsidTr="00F37B79">
        <w:trPr>
          <w:cnfStyle w:val="000000100000"/>
          <w:trHeight w:val="20"/>
        </w:trPr>
        <w:tc>
          <w:tcPr>
            <w:cnfStyle w:val="001000000000"/>
            <w:tcW w:w="2840" w:type="dxa"/>
          </w:tcPr>
          <w:p w:rsidR="007C6E0F" w:rsidRPr="00872FD2" w:rsidRDefault="00957D79" w:rsidP="00872FD2">
            <w:pPr>
              <w:spacing w:after="0" w:line="360" w:lineRule="auto"/>
              <w:rPr>
                <w:rFonts w:asciiTheme="minorHAnsi" w:eastAsiaTheme="minorHAnsi" w:hAnsiTheme="minorHAnsi" w:cstheme="minorBidi"/>
                <w:b w:val="0"/>
                <w:bCs w:val="0"/>
                <w:color w:val="000000"/>
                <w:sz w:val="24"/>
                <w:szCs w:val="24"/>
                <w:lang w:eastAsia="el-GR"/>
              </w:rPr>
            </w:pPr>
            <w:r w:rsidRPr="00872FD2">
              <w:rPr>
                <w:rFonts w:asciiTheme="minorHAnsi" w:eastAsiaTheme="minorHAnsi" w:hAnsiTheme="minorHAnsi" w:cstheme="minorBidi"/>
                <w:bCs w:val="0"/>
                <w:color w:val="000000"/>
                <w:sz w:val="24"/>
                <w:szCs w:val="24"/>
                <w:lang w:eastAsia="el-GR"/>
              </w:rPr>
              <w:t>Πιστεύετε ότι οι ερωτήσεις είναι σημαντικές για την κατάσταση της υγείας σας;</w:t>
            </w:r>
          </w:p>
        </w:tc>
        <w:tc>
          <w:tcPr>
            <w:tcW w:w="2841" w:type="dxa"/>
          </w:tcPr>
          <w:p w:rsidR="007C6E0F" w:rsidRPr="00872FD2" w:rsidRDefault="00957D79" w:rsidP="00872FD2">
            <w:pPr>
              <w:numPr>
                <w:ilvl w:val="0"/>
                <w:numId w:val="34"/>
              </w:numPr>
              <w:spacing w:after="0" w:line="360" w:lineRule="auto"/>
              <w:cnfStyle w:val="000000100000"/>
              <w:rPr>
                <w:rFonts w:asciiTheme="minorHAnsi" w:eastAsiaTheme="minorHAnsi" w:hAnsiTheme="minorHAnsi" w:cstheme="minorBidi"/>
                <w:color w:val="000000"/>
                <w:sz w:val="24"/>
                <w:szCs w:val="24"/>
                <w:lang w:val="en-US" w:eastAsia="el-GR"/>
              </w:rPr>
            </w:pPr>
            <w:r w:rsidRPr="00872FD2">
              <w:rPr>
                <w:rFonts w:asciiTheme="minorHAnsi" w:eastAsiaTheme="minorHAnsi" w:hAnsiTheme="minorHAnsi" w:cstheme="minorBidi"/>
                <w:color w:val="000000"/>
                <w:sz w:val="24"/>
                <w:szCs w:val="24"/>
                <w:lang w:eastAsia="el-GR"/>
              </w:rPr>
              <w:t>Πολύ σημαντικές</w:t>
            </w:r>
          </w:p>
          <w:p w:rsidR="007C6E0F" w:rsidRPr="00872FD2" w:rsidRDefault="00957D79" w:rsidP="00872FD2">
            <w:pPr>
              <w:numPr>
                <w:ilvl w:val="0"/>
                <w:numId w:val="34"/>
              </w:numPr>
              <w:spacing w:after="0" w:line="360" w:lineRule="auto"/>
              <w:cnfStyle w:val="000000100000"/>
              <w:rPr>
                <w:rFonts w:asciiTheme="minorHAnsi" w:eastAsiaTheme="minorHAnsi" w:hAnsiTheme="minorHAnsi" w:cstheme="minorBidi"/>
                <w:color w:val="000000"/>
                <w:sz w:val="24"/>
                <w:szCs w:val="24"/>
                <w:lang w:val="en-US" w:eastAsia="el-GR"/>
              </w:rPr>
            </w:pPr>
            <w:r w:rsidRPr="00872FD2">
              <w:rPr>
                <w:rFonts w:asciiTheme="minorHAnsi" w:eastAsiaTheme="minorHAnsi" w:hAnsiTheme="minorHAnsi" w:cstheme="minorBidi"/>
                <w:color w:val="000000"/>
                <w:sz w:val="24"/>
                <w:szCs w:val="24"/>
                <w:lang w:eastAsia="el-GR"/>
              </w:rPr>
              <w:t>Όχι και τόσο σημαντικές</w:t>
            </w:r>
          </w:p>
        </w:tc>
        <w:tc>
          <w:tcPr>
            <w:tcW w:w="2841" w:type="dxa"/>
          </w:tcPr>
          <w:p w:rsidR="007C6E0F" w:rsidRPr="00872FD2" w:rsidRDefault="007C6E0F" w:rsidP="00872FD2">
            <w:pPr>
              <w:spacing w:after="0" w:line="360" w:lineRule="auto"/>
              <w:jc w:val="center"/>
              <w:cnfStyle w:val="000000100000"/>
              <w:rPr>
                <w:rFonts w:asciiTheme="minorHAnsi" w:eastAsiaTheme="minorHAnsi" w:hAnsiTheme="minorHAnsi" w:cstheme="minorBidi"/>
                <w:color w:val="000000"/>
                <w:sz w:val="24"/>
                <w:szCs w:val="24"/>
                <w:lang w:val="en-US" w:eastAsia="el-GR"/>
              </w:rPr>
            </w:pPr>
            <w:r w:rsidRPr="00872FD2">
              <w:rPr>
                <w:rFonts w:asciiTheme="minorHAnsi" w:eastAsiaTheme="minorHAnsi" w:hAnsiTheme="minorHAnsi" w:cstheme="minorBidi"/>
                <w:color w:val="000000"/>
                <w:sz w:val="24"/>
                <w:szCs w:val="24"/>
                <w:lang w:val="en-US" w:eastAsia="el-GR"/>
              </w:rPr>
              <w:t>9</w:t>
            </w:r>
            <w:r w:rsidR="00EF6A06">
              <w:rPr>
                <w:rFonts w:asciiTheme="minorHAnsi" w:eastAsiaTheme="minorHAnsi" w:hAnsiTheme="minorHAnsi" w:cstheme="minorBidi"/>
                <w:color w:val="000000"/>
                <w:sz w:val="24"/>
                <w:szCs w:val="24"/>
                <w:lang w:val="en-US" w:eastAsia="el-GR"/>
              </w:rPr>
              <w:t>0,</w:t>
            </w:r>
            <w:r w:rsidRPr="00872FD2">
              <w:rPr>
                <w:rFonts w:asciiTheme="minorHAnsi" w:eastAsiaTheme="minorHAnsi" w:hAnsiTheme="minorHAnsi" w:cstheme="minorBidi"/>
                <w:color w:val="000000"/>
                <w:sz w:val="24"/>
                <w:szCs w:val="24"/>
                <w:lang w:val="en-US" w:eastAsia="el-GR"/>
              </w:rPr>
              <w:t>0</w:t>
            </w:r>
          </w:p>
          <w:p w:rsidR="007C6E0F" w:rsidRPr="00872FD2" w:rsidRDefault="007C6E0F" w:rsidP="00872FD2">
            <w:pPr>
              <w:spacing w:after="0" w:line="360" w:lineRule="auto"/>
              <w:jc w:val="center"/>
              <w:cnfStyle w:val="000000100000"/>
              <w:rPr>
                <w:rFonts w:asciiTheme="minorHAnsi" w:eastAsiaTheme="minorHAnsi" w:hAnsiTheme="minorHAnsi" w:cstheme="minorBidi"/>
                <w:color w:val="000000"/>
                <w:sz w:val="24"/>
                <w:szCs w:val="24"/>
                <w:lang w:val="en-US" w:eastAsia="el-GR"/>
              </w:rPr>
            </w:pPr>
            <w:r w:rsidRPr="00872FD2">
              <w:rPr>
                <w:rFonts w:asciiTheme="minorHAnsi" w:eastAsiaTheme="minorHAnsi" w:hAnsiTheme="minorHAnsi" w:cstheme="minorBidi"/>
                <w:color w:val="000000"/>
                <w:sz w:val="24"/>
                <w:szCs w:val="24"/>
                <w:lang w:val="en-US" w:eastAsia="el-GR"/>
              </w:rPr>
              <w:t>1</w:t>
            </w:r>
            <w:r w:rsidR="00EF6A06">
              <w:rPr>
                <w:rFonts w:asciiTheme="minorHAnsi" w:eastAsiaTheme="minorHAnsi" w:hAnsiTheme="minorHAnsi" w:cstheme="minorBidi"/>
                <w:color w:val="000000"/>
                <w:sz w:val="24"/>
                <w:szCs w:val="24"/>
                <w:lang w:val="en-US" w:eastAsia="el-GR"/>
              </w:rPr>
              <w:t>0,</w:t>
            </w:r>
            <w:r w:rsidRPr="00872FD2">
              <w:rPr>
                <w:rFonts w:asciiTheme="minorHAnsi" w:eastAsiaTheme="minorHAnsi" w:hAnsiTheme="minorHAnsi" w:cstheme="minorBidi"/>
                <w:color w:val="000000"/>
                <w:sz w:val="24"/>
                <w:szCs w:val="24"/>
                <w:lang w:val="en-US" w:eastAsia="el-GR"/>
              </w:rPr>
              <w:t>0</w:t>
            </w:r>
          </w:p>
        </w:tc>
      </w:tr>
      <w:tr w:rsidR="007C6E0F" w:rsidRPr="00872FD2" w:rsidTr="00F37B79">
        <w:trPr>
          <w:cnfStyle w:val="000000010000"/>
          <w:trHeight w:val="20"/>
        </w:trPr>
        <w:tc>
          <w:tcPr>
            <w:cnfStyle w:val="001000000000"/>
            <w:tcW w:w="2840" w:type="dxa"/>
          </w:tcPr>
          <w:p w:rsidR="007C6E0F" w:rsidRPr="00872FD2" w:rsidRDefault="00957D79" w:rsidP="00872FD2">
            <w:pPr>
              <w:spacing w:after="0" w:line="360" w:lineRule="auto"/>
              <w:rPr>
                <w:rFonts w:asciiTheme="minorHAnsi" w:eastAsiaTheme="minorHAnsi" w:hAnsiTheme="minorHAnsi" w:cstheme="minorBidi"/>
                <w:b w:val="0"/>
                <w:bCs w:val="0"/>
                <w:color w:val="000000"/>
                <w:sz w:val="24"/>
                <w:szCs w:val="24"/>
                <w:lang w:eastAsia="el-GR"/>
              </w:rPr>
            </w:pPr>
            <w:r w:rsidRPr="00872FD2">
              <w:rPr>
                <w:rFonts w:asciiTheme="minorHAnsi" w:eastAsiaTheme="minorHAnsi" w:hAnsiTheme="minorHAnsi" w:cstheme="minorBidi"/>
                <w:bCs w:val="0"/>
                <w:color w:val="000000"/>
                <w:sz w:val="24"/>
                <w:szCs w:val="24"/>
                <w:lang w:eastAsia="el-GR"/>
              </w:rPr>
              <w:t>Είχατε δυσκολίες ως προς τις απαντήσεις;</w:t>
            </w:r>
          </w:p>
        </w:tc>
        <w:tc>
          <w:tcPr>
            <w:tcW w:w="2841" w:type="dxa"/>
          </w:tcPr>
          <w:p w:rsidR="007C6E0F" w:rsidRPr="00872FD2" w:rsidRDefault="00957D79" w:rsidP="00872FD2">
            <w:pPr>
              <w:numPr>
                <w:ilvl w:val="0"/>
                <w:numId w:val="35"/>
              </w:numPr>
              <w:spacing w:after="0" w:line="360" w:lineRule="auto"/>
              <w:cnfStyle w:val="000000010000"/>
              <w:rPr>
                <w:rFonts w:asciiTheme="minorHAnsi" w:eastAsiaTheme="minorHAnsi" w:hAnsiTheme="minorHAnsi" w:cstheme="minorBidi"/>
                <w:color w:val="000000"/>
                <w:sz w:val="24"/>
                <w:szCs w:val="24"/>
                <w:lang w:val="en-US" w:eastAsia="el-GR"/>
              </w:rPr>
            </w:pPr>
            <w:r w:rsidRPr="00872FD2">
              <w:rPr>
                <w:rFonts w:asciiTheme="minorHAnsi" w:eastAsiaTheme="minorHAnsi" w:hAnsiTheme="minorHAnsi" w:cstheme="minorBidi"/>
                <w:color w:val="000000"/>
                <w:sz w:val="24"/>
                <w:szCs w:val="24"/>
                <w:lang w:eastAsia="el-GR"/>
              </w:rPr>
              <w:t>Όχι</w:t>
            </w:r>
          </w:p>
          <w:p w:rsidR="007C6E0F" w:rsidRPr="00872FD2" w:rsidRDefault="00957D79" w:rsidP="00872FD2">
            <w:pPr>
              <w:numPr>
                <w:ilvl w:val="0"/>
                <w:numId w:val="35"/>
              </w:numPr>
              <w:spacing w:after="0" w:line="360" w:lineRule="auto"/>
              <w:cnfStyle w:val="000000010000"/>
              <w:rPr>
                <w:rFonts w:asciiTheme="minorHAnsi" w:eastAsiaTheme="minorHAnsi" w:hAnsiTheme="minorHAnsi" w:cstheme="minorBidi"/>
                <w:color w:val="000000"/>
                <w:sz w:val="24"/>
                <w:szCs w:val="24"/>
                <w:lang w:val="en-US" w:eastAsia="el-GR"/>
              </w:rPr>
            </w:pPr>
            <w:r w:rsidRPr="00872FD2">
              <w:rPr>
                <w:rFonts w:asciiTheme="minorHAnsi" w:eastAsiaTheme="minorHAnsi" w:hAnsiTheme="minorHAnsi" w:cstheme="minorBidi"/>
                <w:color w:val="000000"/>
                <w:sz w:val="24"/>
                <w:szCs w:val="24"/>
                <w:lang w:eastAsia="el-GR"/>
              </w:rPr>
              <w:t>Μερικές φορές</w:t>
            </w:r>
          </w:p>
        </w:tc>
        <w:tc>
          <w:tcPr>
            <w:tcW w:w="2841" w:type="dxa"/>
          </w:tcPr>
          <w:p w:rsidR="007C6E0F" w:rsidRPr="00872FD2" w:rsidRDefault="007C6E0F" w:rsidP="00872FD2">
            <w:pPr>
              <w:spacing w:after="0" w:line="360" w:lineRule="auto"/>
              <w:jc w:val="center"/>
              <w:cnfStyle w:val="000000010000"/>
              <w:rPr>
                <w:rFonts w:asciiTheme="minorHAnsi" w:eastAsiaTheme="minorHAnsi" w:hAnsiTheme="minorHAnsi" w:cstheme="minorBidi"/>
                <w:color w:val="000000"/>
                <w:sz w:val="24"/>
                <w:szCs w:val="24"/>
                <w:lang w:val="en-US" w:eastAsia="el-GR"/>
              </w:rPr>
            </w:pPr>
            <w:r w:rsidRPr="00872FD2">
              <w:rPr>
                <w:rFonts w:asciiTheme="minorHAnsi" w:eastAsiaTheme="minorHAnsi" w:hAnsiTheme="minorHAnsi" w:cstheme="minorBidi"/>
                <w:color w:val="000000"/>
                <w:sz w:val="24"/>
                <w:szCs w:val="24"/>
                <w:lang w:val="en-US" w:eastAsia="el-GR"/>
              </w:rPr>
              <w:t>9</w:t>
            </w:r>
            <w:r w:rsidR="00EF6A06">
              <w:rPr>
                <w:rFonts w:asciiTheme="minorHAnsi" w:eastAsiaTheme="minorHAnsi" w:hAnsiTheme="minorHAnsi" w:cstheme="minorBidi"/>
                <w:color w:val="000000"/>
                <w:sz w:val="24"/>
                <w:szCs w:val="24"/>
                <w:lang w:val="en-US" w:eastAsia="el-GR"/>
              </w:rPr>
              <w:t>0,</w:t>
            </w:r>
            <w:r w:rsidRPr="00872FD2">
              <w:rPr>
                <w:rFonts w:asciiTheme="minorHAnsi" w:eastAsiaTheme="minorHAnsi" w:hAnsiTheme="minorHAnsi" w:cstheme="minorBidi"/>
                <w:color w:val="000000"/>
                <w:sz w:val="24"/>
                <w:szCs w:val="24"/>
                <w:lang w:val="en-US" w:eastAsia="el-GR"/>
              </w:rPr>
              <w:t>0</w:t>
            </w:r>
          </w:p>
          <w:p w:rsidR="007C6E0F" w:rsidRPr="00872FD2" w:rsidRDefault="007C6E0F" w:rsidP="00872FD2">
            <w:pPr>
              <w:spacing w:after="0" w:line="360" w:lineRule="auto"/>
              <w:jc w:val="center"/>
              <w:cnfStyle w:val="000000010000"/>
              <w:rPr>
                <w:rFonts w:asciiTheme="minorHAnsi" w:eastAsiaTheme="minorHAnsi" w:hAnsiTheme="minorHAnsi" w:cstheme="minorBidi"/>
                <w:color w:val="000000"/>
                <w:sz w:val="24"/>
                <w:szCs w:val="24"/>
                <w:lang w:val="en-US" w:eastAsia="el-GR"/>
              </w:rPr>
            </w:pPr>
            <w:r w:rsidRPr="00872FD2">
              <w:rPr>
                <w:rFonts w:asciiTheme="minorHAnsi" w:eastAsiaTheme="minorHAnsi" w:hAnsiTheme="minorHAnsi" w:cstheme="minorBidi"/>
                <w:color w:val="000000"/>
                <w:sz w:val="24"/>
                <w:szCs w:val="24"/>
                <w:lang w:val="en-US" w:eastAsia="el-GR"/>
              </w:rPr>
              <w:t>1</w:t>
            </w:r>
            <w:r w:rsidR="00EF6A06">
              <w:rPr>
                <w:rFonts w:asciiTheme="minorHAnsi" w:eastAsiaTheme="minorHAnsi" w:hAnsiTheme="minorHAnsi" w:cstheme="minorBidi"/>
                <w:color w:val="000000"/>
                <w:sz w:val="24"/>
                <w:szCs w:val="24"/>
                <w:lang w:val="en-US" w:eastAsia="el-GR"/>
              </w:rPr>
              <w:t>0,</w:t>
            </w:r>
            <w:r w:rsidRPr="00872FD2">
              <w:rPr>
                <w:rFonts w:asciiTheme="minorHAnsi" w:eastAsiaTheme="minorHAnsi" w:hAnsiTheme="minorHAnsi" w:cstheme="minorBidi"/>
                <w:color w:val="000000"/>
                <w:sz w:val="24"/>
                <w:szCs w:val="24"/>
                <w:lang w:val="en-US" w:eastAsia="el-GR"/>
              </w:rPr>
              <w:t>0</w:t>
            </w:r>
          </w:p>
        </w:tc>
      </w:tr>
    </w:tbl>
    <w:p w:rsidR="008C203A" w:rsidRPr="005A464E" w:rsidRDefault="008C203A" w:rsidP="005A464E">
      <w:pPr>
        <w:spacing w:line="360" w:lineRule="auto"/>
        <w:jc w:val="both"/>
        <w:rPr>
          <w:b/>
          <w:sz w:val="24"/>
          <w:szCs w:val="24"/>
          <w:lang w:eastAsia="el-GR"/>
        </w:rPr>
      </w:pPr>
    </w:p>
    <w:p w:rsidR="008C203A" w:rsidRPr="004C3144" w:rsidRDefault="00C669AC" w:rsidP="004C3144">
      <w:pPr>
        <w:pStyle w:val="a5"/>
        <w:numPr>
          <w:ilvl w:val="0"/>
          <w:numId w:val="121"/>
        </w:numPr>
        <w:spacing w:line="360" w:lineRule="auto"/>
        <w:rPr>
          <w:i/>
          <w:sz w:val="24"/>
          <w:szCs w:val="24"/>
        </w:rPr>
      </w:pPr>
      <w:r w:rsidRPr="004C3144">
        <w:rPr>
          <w:i/>
          <w:sz w:val="24"/>
          <w:szCs w:val="24"/>
        </w:rPr>
        <w:t>Αποτελέσματα αξιοπιστίας</w:t>
      </w:r>
      <w:r w:rsidR="008C203A" w:rsidRPr="004C3144">
        <w:rPr>
          <w:i/>
          <w:sz w:val="24"/>
          <w:szCs w:val="24"/>
        </w:rPr>
        <w:t xml:space="preserve"> </w:t>
      </w:r>
      <w:r w:rsidRPr="004C3144">
        <w:rPr>
          <w:i/>
          <w:sz w:val="24"/>
          <w:szCs w:val="24"/>
        </w:rPr>
        <w:t>της</w:t>
      </w:r>
      <w:r w:rsidR="008C203A" w:rsidRPr="004C3144">
        <w:rPr>
          <w:i/>
          <w:sz w:val="24"/>
          <w:szCs w:val="24"/>
        </w:rPr>
        <w:t xml:space="preserve"> </w:t>
      </w:r>
      <w:r w:rsidRPr="004C3144">
        <w:rPr>
          <w:i/>
          <w:sz w:val="24"/>
          <w:szCs w:val="24"/>
        </w:rPr>
        <w:t>κλίμακας</w:t>
      </w:r>
      <w:r w:rsidR="008C203A" w:rsidRPr="004C3144">
        <w:rPr>
          <w:i/>
          <w:sz w:val="24"/>
          <w:szCs w:val="24"/>
        </w:rPr>
        <w:t xml:space="preserve"> </w:t>
      </w:r>
      <w:r w:rsidR="008C203A" w:rsidRPr="004C3144">
        <w:rPr>
          <w:i/>
          <w:sz w:val="24"/>
          <w:szCs w:val="24"/>
          <w:lang w:val="en-US"/>
        </w:rPr>
        <w:t>Kidney</w:t>
      </w:r>
      <w:r w:rsidR="008C203A" w:rsidRPr="004C3144">
        <w:rPr>
          <w:i/>
          <w:sz w:val="24"/>
          <w:szCs w:val="24"/>
        </w:rPr>
        <w:t xml:space="preserve"> </w:t>
      </w:r>
      <w:r w:rsidR="008C203A" w:rsidRPr="004C3144">
        <w:rPr>
          <w:i/>
          <w:sz w:val="24"/>
          <w:szCs w:val="24"/>
          <w:lang w:val="en-US"/>
        </w:rPr>
        <w:t>Disease</w:t>
      </w:r>
      <w:r w:rsidR="008C203A" w:rsidRPr="004C3144">
        <w:rPr>
          <w:i/>
          <w:sz w:val="24"/>
          <w:szCs w:val="24"/>
        </w:rPr>
        <w:t xml:space="preserve"> </w:t>
      </w:r>
      <w:r w:rsidR="008C203A" w:rsidRPr="004C3144">
        <w:rPr>
          <w:i/>
          <w:sz w:val="24"/>
          <w:szCs w:val="24"/>
          <w:lang w:val="en-US"/>
        </w:rPr>
        <w:t>Questionnaire</w:t>
      </w:r>
    </w:p>
    <w:p w:rsidR="00C669AC" w:rsidRPr="004C3144" w:rsidRDefault="00C2696C" w:rsidP="005A464E">
      <w:pPr>
        <w:spacing w:line="360" w:lineRule="auto"/>
        <w:rPr>
          <w:b/>
          <w:sz w:val="24"/>
          <w:szCs w:val="24"/>
        </w:rPr>
      </w:pPr>
      <w:r>
        <w:rPr>
          <w:b/>
          <w:sz w:val="24"/>
          <w:szCs w:val="24"/>
        </w:rPr>
        <w:t xml:space="preserve">- </w:t>
      </w:r>
      <w:r w:rsidR="00C669AC" w:rsidRPr="004C3144">
        <w:rPr>
          <w:b/>
          <w:sz w:val="24"/>
          <w:szCs w:val="24"/>
        </w:rPr>
        <w:t>Δοκιμασία επαναληψιμότητας</w:t>
      </w:r>
    </w:p>
    <w:p w:rsidR="008C203A" w:rsidRPr="005A464E" w:rsidRDefault="008C203A" w:rsidP="005A464E">
      <w:pPr>
        <w:spacing w:line="360" w:lineRule="auto"/>
        <w:rPr>
          <w:b/>
        </w:rPr>
      </w:pPr>
      <w:r w:rsidRPr="005A464E">
        <w:rPr>
          <w:b/>
        </w:rPr>
        <w:t xml:space="preserve">ΦΟΡΜΑ </w:t>
      </w:r>
      <w:r w:rsidRPr="005A464E">
        <w:rPr>
          <w:b/>
          <w:lang w:val="en-US"/>
        </w:rPr>
        <w:t>A</w:t>
      </w:r>
    </w:p>
    <w:p w:rsidR="00D30155" w:rsidRPr="005D2DE3" w:rsidRDefault="004C3144" w:rsidP="005D2DE3">
      <w:pPr>
        <w:spacing w:line="360" w:lineRule="auto"/>
        <w:jc w:val="both"/>
        <w:rPr>
          <w:sz w:val="24"/>
          <w:szCs w:val="24"/>
        </w:rPr>
      </w:pPr>
      <w:r>
        <w:rPr>
          <w:sz w:val="24"/>
          <w:szCs w:val="24"/>
        </w:rPr>
        <w:t>Στον πίνακα που ακολουθεί (Πίν 4</w:t>
      </w:r>
      <w:r w:rsidR="004766A7">
        <w:rPr>
          <w:sz w:val="24"/>
          <w:szCs w:val="24"/>
        </w:rPr>
        <w:t>)</w:t>
      </w:r>
      <w:r w:rsidR="008C203A" w:rsidRPr="00A60547">
        <w:rPr>
          <w:sz w:val="24"/>
          <w:szCs w:val="24"/>
        </w:rPr>
        <w:t xml:space="preserve"> παρουσιάζονται οι απόλυτες και σχετικές συχνότητες των απαντήσεων που έδωσαν οι ασθενείς στις 13 ερωτήσεις της Φόρμας Α του ερωτηματολογίου νεφρικής νόσου τόσο κατά την πρώτη συμπλήρωση όσο και κατά τη δεύτερη. Για να ελεγχθεί η επαναληψιμότητα, χρησιμοποιήθηκαν κατά περίπτωση οι έλεγχοι </w:t>
      </w:r>
      <w:r w:rsidR="008C203A" w:rsidRPr="00A60547">
        <w:rPr>
          <w:sz w:val="24"/>
          <w:szCs w:val="24"/>
          <w:lang w:val="en-US"/>
        </w:rPr>
        <w:t>McNemar</w:t>
      </w:r>
      <w:r w:rsidR="008C203A" w:rsidRPr="00A60547">
        <w:rPr>
          <w:sz w:val="24"/>
          <w:szCs w:val="24"/>
        </w:rPr>
        <w:t xml:space="preserve"> και McNemar-Bowker. Σε όλες τις περιπτώσεις παρατηρήθηκε συμφωνία μεταξύ πρώτης και δεύτερης συμπλήρωσης. Στις περιπτώσεις που εμφανίζεται το ΝΑΝ σημαίνει ότι η στατιστική συνάρτηση δεν μπορούσε να υπολογιστεί γιατί δεν υπήρχε καμιά διαφωνία ενώ στις περιπτώσεις που εμφανίζεται </w:t>
      </w:r>
      <w:r w:rsidR="008C203A" w:rsidRPr="00A60547">
        <w:rPr>
          <w:sz w:val="24"/>
          <w:szCs w:val="24"/>
          <w:lang w:val="en-US"/>
        </w:rPr>
        <w:t>NC</w:t>
      </w:r>
      <w:r w:rsidR="008C203A" w:rsidRPr="00A60547">
        <w:rPr>
          <w:sz w:val="24"/>
          <w:szCs w:val="24"/>
        </w:rPr>
        <w:t xml:space="preserve"> σημαίνει ότι δεν πληρούνταν οι προϋποθέσεις για να υπολογιστεί η στατιστική συνάρτηση και το αντίστοιχο </w:t>
      </w:r>
      <w:r w:rsidR="008C203A" w:rsidRPr="00A60547">
        <w:rPr>
          <w:sz w:val="24"/>
          <w:szCs w:val="24"/>
          <w:lang w:val="en-US"/>
        </w:rPr>
        <w:t>p</w:t>
      </w:r>
      <w:r w:rsidR="008C203A" w:rsidRPr="00A60547">
        <w:rPr>
          <w:sz w:val="24"/>
          <w:szCs w:val="24"/>
        </w:rPr>
        <w:t>-</w:t>
      </w:r>
      <w:r w:rsidR="008C203A" w:rsidRPr="00A60547">
        <w:rPr>
          <w:sz w:val="24"/>
          <w:szCs w:val="24"/>
          <w:lang w:val="en-US"/>
        </w:rPr>
        <w:t>value</w:t>
      </w:r>
      <w:r w:rsidR="005D2DE3">
        <w:rPr>
          <w:sz w:val="24"/>
          <w:szCs w:val="24"/>
        </w:rPr>
        <w:t xml:space="preserve"> (Πίν 4</w:t>
      </w:r>
      <w:r w:rsidR="006D13A7" w:rsidRPr="00A60547">
        <w:rPr>
          <w:sz w:val="24"/>
          <w:szCs w:val="24"/>
        </w:rPr>
        <w:t>)</w:t>
      </w:r>
      <w:r w:rsidR="008C203A" w:rsidRPr="00A60547">
        <w:rPr>
          <w:sz w:val="24"/>
          <w:szCs w:val="24"/>
        </w:rPr>
        <w:t>.</w:t>
      </w:r>
    </w:p>
    <w:p w:rsidR="004C3144" w:rsidRPr="00F918EC" w:rsidRDefault="005D2DE3" w:rsidP="004C3144">
      <w:pPr>
        <w:spacing w:after="0" w:line="480" w:lineRule="auto"/>
        <w:jc w:val="both"/>
        <w:rPr>
          <w:rFonts w:asciiTheme="minorHAnsi" w:eastAsiaTheme="minorHAnsi" w:hAnsiTheme="minorHAnsi" w:cstheme="minorBidi"/>
          <w:bCs/>
          <w:color w:val="000000"/>
          <w:sz w:val="24"/>
          <w:szCs w:val="24"/>
        </w:rPr>
      </w:pPr>
      <w:r>
        <w:rPr>
          <w:rFonts w:asciiTheme="minorHAnsi" w:eastAsiaTheme="minorHAnsi" w:hAnsiTheme="minorHAnsi" w:cstheme="minorBidi"/>
          <w:bCs/>
          <w:color w:val="000000"/>
          <w:sz w:val="24"/>
          <w:szCs w:val="24"/>
        </w:rPr>
        <w:t>Πίνακας 4</w:t>
      </w:r>
    </w:p>
    <w:p w:rsidR="004C3144" w:rsidRPr="004B1F82" w:rsidRDefault="004C3144" w:rsidP="00F37B79">
      <w:pPr>
        <w:spacing w:after="0" w:line="360" w:lineRule="auto"/>
        <w:jc w:val="both"/>
        <w:rPr>
          <w:sz w:val="24"/>
          <w:szCs w:val="24"/>
        </w:rPr>
      </w:pPr>
      <w:r w:rsidRPr="008847F1">
        <w:rPr>
          <w:rFonts w:asciiTheme="minorHAnsi" w:eastAsiaTheme="minorHAnsi" w:hAnsiTheme="minorHAnsi" w:cstheme="minorBidi"/>
          <w:bCs/>
          <w:i/>
          <w:color w:val="000000"/>
        </w:rPr>
        <w:t xml:space="preserve">Δοκιμασία επαναληψιμότητας </w:t>
      </w:r>
      <w:r w:rsidRPr="008847F1">
        <w:rPr>
          <w:rFonts w:asciiTheme="minorHAnsi" w:eastAsiaTheme="minorHAnsi" w:hAnsiTheme="minorHAnsi" w:cstheme="minorBidi"/>
          <w:bCs/>
          <w:i/>
          <w:color w:val="000000"/>
          <w:lang w:val="en-US"/>
        </w:rPr>
        <w:t>KDQ</w:t>
      </w:r>
      <w:r w:rsidRPr="008847F1">
        <w:rPr>
          <w:rFonts w:asciiTheme="minorHAnsi" w:eastAsiaTheme="minorHAnsi" w:hAnsiTheme="minorHAnsi" w:cstheme="minorBidi"/>
          <w:bCs/>
          <w:i/>
          <w:color w:val="000000"/>
        </w:rPr>
        <w:t xml:space="preserve"> (ΦΟΡΜΑ Α)</w:t>
      </w:r>
    </w:p>
    <w:tbl>
      <w:tblPr>
        <w:tblStyle w:val="-41"/>
        <w:tblW w:w="8648" w:type="dxa"/>
        <w:tblInd w:w="-176" w:type="dxa"/>
        <w:tblLayout w:type="fixed"/>
        <w:tblLook w:val="0400"/>
      </w:tblPr>
      <w:tblGrid>
        <w:gridCol w:w="2273"/>
        <w:gridCol w:w="1463"/>
        <w:gridCol w:w="1342"/>
        <w:gridCol w:w="1342"/>
        <w:gridCol w:w="1197"/>
        <w:gridCol w:w="1031"/>
      </w:tblGrid>
      <w:tr w:rsidR="0012455B" w:rsidRPr="00872FD2" w:rsidTr="00F37B79">
        <w:trPr>
          <w:cnfStyle w:val="000000100000"/>
        </w:trPr>
        <w:tc>
          <w:tcPr>
            <w:tcW w:w="2273" w:type="dxa"/>
          </w:tcPr>
          <w:p w:rsidR="001843FB" w:rsidRPr="00872FD2" w:rsidRDefault="001843FB" w:rsidP="00F37B79">
            <w:pPr>
              <w:spacing w:after="0" w:line="240" w:lineRule="auto"/>
              <w:jc w:val="center"/>
              <w:rPr>
                <w:rFonts w:asciiTheme="minorHAnsi" w:eastAsiaTheme="minorHAnsi" w:hAnsiTheme="minorHAnsi" w:cstheme="minorBidi"/>
                <w:b/>
                <w:bCs/>
                <w:color w:val="000000"/>
              </w:rPr>
            </w:pPr>
          </w:p>
        </w:tc>
        <w:tc>
          <w:tcPr>
            <w:tcW w:w="1463" w:type="dxa"/>
          </w:tcPr>
          <w:p w:rsidR="001843FB" w:rsidRPr="00872FD2" w:rsidRDefault="001843FB" w:rsidP="00872FD2">
            <w:pPr>
              <w:spacing w:after="0" w:line="240" w:lineRule="auto"/>
              <w:rPr>
                <w:rFonts w:asciiTheme="minorHAnsi" w:eastAsiaTheme="minorHAnsi" w:hAnsiTheme="minorHAnsi" w:cstheme="minorBidi"/>
                <w:b/>
                <w:color w:val="000000"/>
              </w:rPr>
            </w:pPr>
          </w:p>
        </w:tc>
        <w:tc>
          <w:tcPr>
            <w:tcW w:w="1342" w:type="dxa"/>
          </w:tcPr>
          <w:p w:rsidR="001843FB" w:rsidRPr="00872FD2" w:rsidRDefault="001843FB" w:rsidP="00872FD2">
            <w:pPr>
              <w:spacing w:after="0" w:line="240" w:lineRule="auto"/>
              <w:rPr>
                <w:rFonts w:asciiTheme="minorHAnsi" w:eastAsiaTheme="minorHAnsi" w:hAnsiTheme="minorHAnsi" w:cstheme="minorBidi"/>
                <w:b/>
                <w:color w:val="000000"/>
              </w:rPr>
            </w:pPr>
            <w:r w:rsidRPr="00872FD2">
              <w:rPr>
                <w:rFonts w:asciiTheme="minorHAnsi" w:eastAsiaTheme="minorHAnsi" w:hAnsiTheme="minorHAnsi" w:cstheme="minorBidi"/>
                <w:b/>
                <w:color w:val="000000"/>
              </w:rPr>
              <w:t>1η μέτρηση</w:t>
            </w:r>
          </w:p>
        </w:tc>
        <w:tc>
          <w:tcPr>
            <w:tcW w:w="1342" w:type="dxa"/>
          </w:tcPr>
          <w:p w:rsidR="001843FB" w:rsidRPr="00872FD2" w:rsidRDefault="001843FB" w:rsidP="00872FD2">
            <w:pPr>
              <w:spacing w:after="0" w:line="240" w:lineRule="auto"/>
              <w:rPr>
                <w:rFonts w:asciiTheme="minorHAnsi" w:eastAsiaTheme="minorHAnsi" w:hAnsiTheme="minorHAnsi" w:cstheme="minorBidi"/>
                <w:b/>
                <w:color w:val="000000"/>
              </w:rPr>
            </w:pPr>
            <w:r w:rsidRPr="00872FD2">
              <w:rPr>
                <w:rFonts w:asciiTheme="minorHAnsi" w:eastAsiaTheme="minorHAnsi" w:hAnsiTheme="minorHAnsi" w:cstheme="minorBidi"/>
                <w:b/>
                <w:color w:val="000000"/>
              </w:rPr>
              <w:t>2η μέτρηση</w:t>
            </w:r>
          </w:p>
        </w:tc>
        <w:tc>
          <w:tcPr>
            <w:tcW w:w="1197" w:type="dxa"/>
          </w:tcPr>
          <w:p w:rsidR="001843FB" w:rsidRPr="00D0641B" w:rsidRDefault="00D0641B" w:rsidP="00872FD2">
            <w:pPr>
              <w:spacing w:after="0" w:line="240" w:lineRule="auto"/>
              <w:rPr>
                <w:rFonts w:asciiTheme="minorHAnsi" w:eastAsiaTheme="minorHAnsi" w:hAnsiTheme="minorHAnsi" w:cstheme="minorBidi"/>
                <w:b/>
                <w:color w:val="000000"/>
              </w:rPr>
            </w:pPr>
            <w:r>
              <w:rPr>
                <w:rFonts w:asciiTheme="minorHAnsi" w:eastAsiaTheme="minorHAnsi" w:hAnsiTheme="minorHAnsi" w:cstheme="minorBidi"/>
                <w:b/>
                <w:color w:val="000000"/>
              </w:rPr>
              <w:t>Στατιστική Δοκιμασ</w:t>
            </w:r>
            <w:r w:rsidR="001B63BB">
              <w:rPr>
                <w:rFonts w:asciiTheme="minorHAnsi" w:eastAsiaTheme="minorHAnsi" w:hAnsiTheme="minorHAnsi" w:cstheme="minorBidi"/>
                <w:b/>
                <w:color w:val="000000"/>
              </w:rPr>
              <w:t>ία</w:t>
            </w:r>
          </w:p>
        </w:tc>
        <w:tc>
          <w:tcPr>
            <w:tcW w:w="1031" w:type="dxa"/>
          </w:tcPr>
          <w:p w:rsidR="001843FB" w:rsidRPr="00872FD2" w:rsidRDefault="001843FB" w:rsidP="001B63BB">
            <w:pPr>
              <w:spacing w:after="0" w:line="240" w:lineRule="auto"/>
              <w:jc w:val="center"/>
              <w:rPr>
                <w:rFonts w:asciiTheme="minorHAnsi" w:eastAsiaTheme="minorHAnsi" w:hAnsiTheme="minorHAnsi" w:cstheme="minorBidi"/>
                <w:b/>
                <w:color w:val="000000"/>
              </w:rPr>
            </w:pPr>
            <w:r w:rsidRPr="00872FD2">
              <w:rPr>
                <w:rFonts w:asciiTheme="minorHAnsi" w:eastAsiaTheme="minorHAnsi" w:hAnsiTheme="minorHAnsi" w:cstheme="minorBidi"/>
                <w:b/>
                <w:color w:val="000000"/>
              </w:rPr>
              <w:t>p-value</w:t>
            </w:r>
          </w:p>
        </w:tc>
      </w:tr>
      <w:tr w:rsidR="001843FB" w:rsidRPr="00872FD2" w:rsidTr="00F37B79">
        <w:trPr>
          <w:cnfStyle w:val="000000010000"/>
        </w:trPr>
        <w:tc>
          <w:tcPr>
            <w:tcW w:w="2273" w:type="dxa"/>
            <w:vMerge w:val="restart"/>
          </w:tcPr>
          <w:p w:rsidR="001843FB" w:rsidRPr="00236EBF" w:rsidRDefault="001843FB" w:rsidP="00872FD2">
            <w:pPr>
              <w:spacing w:after="0" w:line="240" w:lineRule="auto"/>
              <w:rPr>
                <w:rFonts w:asciiTheme="minorHAnsi" w:eastAsiaTheme="minorHAnsi" w:hAnsiTheme="minorHAnsi" w:cstheme="minorHAnsi"/>
                <w:bCs/>
                <w:color w:val="000000"/>
              </w:rPr>
            </w:pPr>
            <w:r w:rsidRPr="00236EBF">
              <w:rPr>
                <w:rFonts w:asciiTheme="minorHAnsi" w:eastAsiaTheme="minorHAnsi" w:hAnsiTheme="minorHAnsi" w:cstheme="minorHAnsi"/>
                <w:bCs/>
                <w:color w:val="000000"/>
              </w:rPr>
              <w:t xml:space="preserve">Οι άνθρωποι έχουν φυσιολογικά δύο νεφρούς στο σώμα </w:t>
            </w:r>
            <w:r w:rsidR="00816C74">
              <w:rPr>
                <w:rFonts w:asciiTheme="minorHAnsi" w:eastAsiaTheme="minorHAnsi" w:hAnsiTheme="minorHAnsi" w:cstheme="minorHAnsi"/>
                <w:bCs/>
                <w:color w:val="000000"/>
              </w:rPr>
              <w:t>τους</w:t>
            </w:r>
          </w:p>
        </w:tc>
        <w:tc>
          <w:tcPr>
            <w:tcW w:w="1463" w:type="dxa"/>
          </w:tcPr>
          <w:p w:rsidR="001843FB" w:rsidRPr="00872FD2" w:rsidRDefault="001843FB" w:rsidP="001B63BB">
            <w:pPr>
              <w:spacing w:after="0" w:line="24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Σωστό</w:t>
            </w:r>
          </w:p>
        </w:tc>
        <w:tc>
          <w:tcPr>
            <w:tcW w:w="1342" w:type="dxa"/>
          </w:tcPr>
          <w:p w:rsidR="001843FB" w:rsidRPr="00872FD2" w:rsidRDefault="001843FB" w:rsidP="001B63BB">
            <w:pPr>
              <w:spacing w:after="0" w:line="24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23 (95,8%)</w:t>
            </w:r>
          </w:p>
        </w:tc>
        <w:tc>
          <w:tcPr>
            <w:tcW w:w="1342" w:type="dxa"/>
          </w:tcPr>
          <w:p w:rsidR="001843FB" w:rsidRPr="00872FD2" w:rsidRDefault="001843FB" w:rsidP="001B63BB">
            <w:pPr>
              <w:spacing w:after="0" w:line="24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23 (95,8%)</w:t>
            </w:r>
          </w:p>
        </w:tc>
        <w:tc>
          <w:tcPr>
            <w:tcW w:w="1197" w:type="dxa"/>
            <w:vMerge w:val="restart"/>
          </w:tcPr>
          <w:p w:rsidR="001843FB" w:rsidRPr="00872FD2" w:rsidRDefault="001843FB" w:rsidP="001B63BB">
            <w:pPr>
              <w:spacing w:after="0" w:line="24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ΝΑΝ</w:t>
            </w:r>
          </w:p>
        </w:tc>
        <w:tc>
          <w:tcPr>
            <w:tcW w:w="1031" w:type="dxa"/>
            <w:vMerge w:val="restart"/>
          </w:tcPr>
          <w:p w:rsidR="001843FB" w:rsidRPr="00872FD2" w:rsidRDefault="001843FB" w:rsidP="001B63BB">
            <w:pPr>
              <w:spacing w:after="0" w:line="24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1,000</w:t>
            </w:r>
          </w:p>
        </w:tc>
      </w:tr>
      <w:tr w:rsidR="001843FB" w:rsidRPr="00872FD2" w:rsidTr="00F37B79">
        <w:trPr>
          <w:cnfStyle w:val="000000100000"/>
        </w:trPr>
        <w:tc>
          <w:tcPr>
            <w:tcW w:w="2273" w:type="dxa"/>
            <w:vMerge/>
          </w:tcPr>
          <w:p w:rsidR="001843FB" w:rsidRPr="00872FD2" w:rsidRDefault="001843FB" w:rsidP="00872FD2">
            <w:pPr>
              <w:spacing w:after="0" w:line="240" w:lineRule="auto"/>
              <w:rPr>
                <w:rFonts w:asciiTheme="minorHAnsi" w:eastAsiaTheme="minorHAnsi" w:hAnsiTheme="minorHAnsi" w:cstheme="minorBidi"/>
                <w:b/>
                <w:bCs/>
                <w:color w:val="000000"/>
              </w:rPr>
            </w:pPr>
          </w:p>
        </w:tc>
        <w:tc>
          <w:tcPr>
            <w:tcW w:w="1463" w:type="dxa"/>
          </w:tcPr>
          <w:p w:rsidR="001843FB" w:rsidRPr="00872FD2" w:rsidRDefault="001843FB" w:rsidP="001B63BB">
            <w:pPr>
              <w:spacing w:after="0" w:line="24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rPr>
              <w:t>Λανθασμένο</w:t>
            </w:r>
          </w:p>
        </w:tc>
        <w:tc>
          <w:tcPr>
            <w:tcW w:w="1342" w:type="dxa"/>
          </w:tcPr>
          <w:p w:rsidR="001843FB" w:rsidRPr="00872FD2" w:rsidRDefault="001843FB" w:rsidP="001B63BB">
            <w:pPr>
              <w:spacing w:after="0" w:line="24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 (4,2%)</w:t>
            </w:r>
          </w:p>
        </w:tc>
        <w:tc>
          <w:tcPr>
            <w:tcW w:w="1342" w:type="dxa"/>
          </w:tcPr>
          <w:p w:rsidR="001843FB" w:rsidRPr="00872FD2" w:rsidRDefault="001843FB" w:rsidP="001B63BB">
            <w:pPr>
              <w:spacing w:after="0" w:line="24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 (4,2%)</w:t>
            </w:r>
          </w:p>
        </w:tc>
        <w:tc>
          <w:tcPr>
            <w:tcW w:w="1197" w:type="dxa"/>
            <w:vMerge/>
          </w:tcPr>
          <w:p w:rsidR="001843FB" w:rsidRPr="00872FD2" w:rsidRDefault="001843FB" w:rsidP="001B63BB">
            <w:pPr>
              <w:spacing w:after="0" w:line="240" w:lineRule="auto"/>
              <w:jc w:val="center"/>
              <w:rPr>
                <w:rFonts w:asciiTheme="minorHAnsi" w:eastAsiaTheme="minorHAnsi" w:hAnsiTheme="minorHAnsi" w:cstheme="minorBidi"/>
                <w:color w:val="000000"/>
              </w:rPr>
            </w:pPr>
          </w:p>
        </w:tc>
        <w:tc>
          <w:tcPr>
            <w:tcW w:w="1031" w:type="dxa"/>
            <w:vMerge/>
          </w:tcPr>
          <w:p w:rsidR="001843FB" w:rsidRPr="00872FD2" w:rsidRDefault="001843FB" w:rsidP="001B63BB">
            <w:pPr>
              <w:spacing w:after="0" w:line="240" w:lineRule="auto"/>
              <w:jc w:val="center"/>
              <w:rPr>
                <w:rFonts w:asciiTheme="minorHAnsi" w:eastAsiaTheme="minorHAnsi" w:hAnsiTheme="minorHAnsi" w:cstheme="minorBidi"/>
                <w:color w:val="000000"/>
              </w:rPr>
            </w:pPr>
          </w:p>
        </w:tc>
      </w:tr>
      <w:tr w:rsidR="001843FB" w:rsidRPr="00872FD2" w:rsidTr="00F37B79">
        <w:trPr>
          <w:cnfStyle w:val="000000010000"/>
        </w:trPr>
        <w:tc>
          <w:tcPr>
            <w:tcW w:w="8648" w:type="dxa"/>
            <w:gridSpan w:val="6"/>
          </w:tcPr>
          <w:p w:rsidR="001843FB" w:rsidRPr="00872FD2" w:rsidRDefault="001843FB" w:rsidP="00872FD2">
            <w:pPr>
              <w:spacing w:after="0" w:line="240" w:lineRule="auto"/>
              <w:rPr>
                <w:rFonts w:asciiTheme="minorHAnsi" w:eastAsiaTheme="minorHAnsi" w:hAnsiTheme="minorHAnsi" w:cstheme="minorBidi"/>
                <w:b/>
                <w:bCs/>
                <w:i/>
                <w:color w:val="000000"/>
              </w:rPr>
            </w:pPr>
            <w:r w:rsidRPr="00872FD2">
              <w:rPr>
                <w:rFonts w:asciiTheme="minorHAnsi" w:eastAsiaTheme="minorHAnsi" w:hAnsiTheme="minorHAnsi" w:cstheme="minorBidi"/>
                <w:bCs/>
                <w:i/>
                <w:color w:val="000000"/>
                <w:lang w:val="en-US"/>
              </w:rPr>
              <w:t>McNemar</w:t>
            </w:r>
            <w:r w:rsidRPr="00872FD2">
              <w:rPr>
                <w:rFonts w:asciiTheme="minorHAnsi" w:eastAsiaTheme="minorHAnsi" w:hAnsiTheme="minorHAnsi" w:cstheme="minorBidi"/>
                <w:bCs/>
                <w:i/>
                <w:color w:val="000000"/>
              </w:rPr>
              <w:t xml:space="preserve"> </w:t>
            </w:r>
            <w:r w:rsidRPr="00872FD2">
              <w:rPr>
                <w:rFonts w:asciiTheme="minorHAnsi" w:eastAsiaTheme="minorHAnsi" w:hAnsiTheme="minorHAnsi" w:cstheme="minorBidi"/>
                <w:bCs/>
                <w:i/>
                <w:color w:val="000000"/>
                <w:lang w:val="en-US"/>
              </w:rPr>
              <w:t>test</w:t>
            </w:r>
          </w:p>
        </w:tc>
      </w:tr>
    </w:tbl>
    <w:tbl>
      <w:tblPr>
        <w:tblStyle w:val="-41"/>
        <w:tblpPr w:leftFromText="180" w:rightFromText="180" w:vertAnchor="text" w:tblpX="-176" w:tblpY="6"/>
        <w:tblW w:w="8613" w:type="dxa"/>
        <w:tblLook w:val="0400"/>
      </w:tblPr>
      <w:tblGrid>
        <w:gridCol w:w="2352"/>
        <w:gridCol w:w="1470"/>
        <w:gridCol w:w="1390"/>
        <w:gridCol w:w="1309"/>
        <w:gridCol w:w="1070"/>
        <w:gridCol w:w="1022"/>
      </w:tblGrid>
      <w:tr w:rsidR="00B43B03" w:rsidRPr="00872FD2" w:rsidTr="00F37B79">
        <w:trPr>
          <w:cnfStyle w:val="000000100000"/>
        </w:trPr>
        <w:tc>
          <w:tcPr>
            <w:tcW w:w="2352" w:type="dxa"/>
            <w:vMerge w:val="restart"/>
            <w:tcBorders>
              <w:top w:val="single" w:sz="4" w:space="0" w:color="auto"/>
            </w:tcBorders>
          </w:tcPr>
          <w:p w:rsidR="001843FB" w:rsidRPr="00872FD2" w:rsidRDefault="001843FB" w:rsidP="00F37B79">
            <w:pPr>
              <w:spacing w:after="0" w:line="360" w:lineRule="auto"/>
              <w:rPr>
                <w:rFonts w:asciiTheme="minorHAnsi" w:eastAsiaTheme="minorHAnsi" w:hAnsiTheme="minorHAnsi" w:cstheme="minorBidi"/>
                <w:b/>
                <w:bCs/>
                <w:color w:val="000000"/>
              </w:rPr>
            </w:pPr>
            <w:r w:rsidRPr="00872FD2">
              <w:rPr>
                <w:rFonts w:asciiTheme="minorHAnsi" w:eastAsiaTheme="minorHAnsi" w:hAnsiTheme="minorHAnsi" w:cstheme="minorBidi"/>
                <w:bCs/>
                <w:color w:val="000000"/>
              </w:rPr>
              <w:t>Όταν ένα άτομο έχει νεφρική νόσο, πρέπει οι νεφροί του να αφαιρεθούν πριν αρχίσει την αιμοκάθαρση</w:t>
            </w:r>
          </w:p>
        </w:tc>
        <w:tc>
          <w:tcPr>
            <w:tcW w:w="1470" w:type="dxa"/>
            <w:tcBorders>
              <w:top w:val="single" w:sz="4" w:space="0" w:color="auto"/>
            </w:tcBorders>
          </w:tcPr>
          <w:p w:rsidR="001843FB" w:rsidRPr="00872FD2" w:rsidRDefault="001843FB" w:rsidP="00F37B79">
            <w:pPr>
              <w:spacing w:after="0" w:line="360" w:lineRule="auto"/>
              <w:jc w:val="center"/>
              <w:rPr>
                <w:rFonts w:asciiTheme="minorHAnsi" w:eastAsiaTheme="minorHAnsi" w:hAnsiTheme="minorHAnsi" w:cstheme="minorBidi"/>
                <w:b/>
                <w:bCs/>
                <w:color w:val="000000"/>
              </w:rPr>
            </w:pPr>
            <w:r w:rsidRPr="00872FD2">
              <w:rPr>
                <w:rFonts w:asciiTheme="minorHAnsi" w:eastAsiaTheme="minorHAnsi" w:hAnsiTheme="minorHAnsi" w:cstheme="minorBidi"/>
                <w:bCs/>
                <w:color w:val="000000"/>
              </w:rPr>
              <w:t>Σωστό</w:t>
            </w:r>
          </w:p>
        </w:tc>
        <w:tc>
          <w:tcPr>
            <w:tcW w:w="1390" w:type="dxa"/>
            <w:tcBorders>
              <w:top w:val="single" w:sz="4" w:space="0" w:color="auto"/>
            </w:tcBorders>
          </w:tcPr>
          <w:p w:rsidR="001843FB" w:rsidRPr="00872FD2" w:rsidRDefault="001843FB" w:rsidP="00F37B79">
            <w:pPr>
              <w:spacing w:after="0" w:line="360" w:lineRule="auto"/>
              <w:jc w:val="center"/>
              <w:rPr>
                <w:rFonts w:asciiTheme="minorHAnsi" w:eastAsiaTheme="minorHAnsi" w:hAnsiTheme="minorHAnsi" w:cstheme="minorBidi"/>
                <w:b/>
                <w:bCs/>
                <w:color w:val="000000"/>
              </w:rPr>
            </w:pPr>
            <w:r w:rsidRPr="00872FD2">
              <w:rPr>
                <w:rFonts w:asciiTheme="minorHAnsi" w:eastAsiaTheme="minorHAnsi" w:hAnsiTheme="minorHAnsi" w:cstheme="minorBidi"/>
                <w:bCs/>
                <w:color w:val="000000"/>
              </w:rPr>
              <w:t>0 (0,0%)</w:t>
            </w:r>
          </w:p>
        </w:tc>
        <w:tc>
          <w:tcPr>
            <w:tcW w:w="1309" w:type="dxa"/>
            <w:tcBorders>
              <w:top w:val="single" w:sz="4" w:space="0" w:color="auto"/>
            </w:tcBorders>
          </w:tcPr>
          <w:p w:rsidR="001843FB" w:rsidRPr="00872FD2" w:rsidRDefault="001843FB" w:rsidP="00F37B79">
            <w:pPr>
              <w:spacing w:after="0" w:line="360" w:lineRule="auto"/>
              <w:jc w:val="center"/>
              <w:rPr>
                <w:rFonts w:asciiTheme="minorHAnsi" w:eastAsiaTheme="minorHAnsi" w:hAnsiTheme="minorHAnsi" w:cstheme="minorBidi"/>
                <w:b/>
                <w:bCs/>
                <w:color w:val="000000"/>
              </w:rPr>
            </w:pPr>
            <w:r w:rsidRPr="00872FD2">
              <w:rPr>
                <w:rFonts w:asciiTheme="minorHAnsi" w:eastAsiaTheme="minorHAnsi" w:hAnsiTheme="minorHAnsi" w:cstheme="minorBidi"/>
                <w:bCs/>
                <w:color w:val="000000"/>
              </w:rPr>
              <w:t>0 (0,0%)</w:t>
            </w:r>
          </w:p>
        </w:tc>
        <w:tc>
          <w:tcPr>
            <w:tcW w:w="1070" w:type="dxa"/>
            <w:vMerge w:val="restart"/>
            <w:tcBorders>
              <w:top w:val="single" w:sz="4" w:space="0" w:color="auto"/>
            </w:tcBorders>
          </w:tcPr>
          <w:p w:rsidR="001843FB" w:rsidRPr="00872FD2" w:rsidRDefault="001843FB" w:rsidP="00F37B79">
            <w:pPr>
              <w:spacing w:after="0" w:line="360" w:lineRule="auto"/>
              <w:jc w:val="center"/>
              <w:rPr>
                <w:rFonts w:asciiTheme="minorHAnsi" w:eastAsiaTheme="minorHAnsi" w:hAnsiTheme="minorHAnsi" w:cstheme="minorBidi"/>
                <w:b/>
                <w:bCs/>
                <w:color w:val="000000"/>
                <w:lang w:val="en-US"/>
              </w:rPr>
            </w:pPr>
            <w:r w:rsidRPr="00872FD2">
              <w:rPr>
                <w:rFonts w:asciiTheme="minorHAnsi" w:eastAsiaTheme="minorHAnsi" w:hAnsiTheme="minorHAnsi" w:cstheme="minorBidi"/>
                <w:bCs/>
                <w:color w:val="000000"/>
                <w:lang w:val="en-US"/>
              </w:rPr>
              <w:t>NC</w:t>
            </w:r>
          </w:p>
        </w:tc>
        <w:tc>
          <w:tcPr>
            <w:tcW w:w="1022" w:type="dxa"/>
            <w:vMerge w:val="restart"/>
            <w:tcBorders>
              <w:top w:val="single" w:sz="4" w:space="0" w:color="auto"/>
            </w:tcBorders>
          </w:tcPr>
          <w:p w:rsidR="001843FB" w:rsidRPr="00872FD2" w:rsidRDefault="001843FB" w:rsidP="00F37B79">
            <w:pPr>
              <w:spacing w:after="0" w:line="360" w:lineRule="auto"/>
              <w:jc w:val="center"/>
              <w:rPr>
                <w:rFonts w:asciiTheme="minorHAnsi" w:eastAsiaTheme="minorHAnsi" w:hAnsiTheme="minorHAnsi" w:cstheme="minorBidi"/>
                <w:b/>
                <w:bCs/>
                <w:color w:val="000000"/>
                <w:lang w:val="en-US"/>
              </w:rPr>
            </w:pPr>
            <w:r w:rsidRPr="00872FD2">
              <w:rPr>
                <w:rFonts w:asciiTheme="minorHAnsi" w:eastAsiaTheme="minorHAnsi" w:hAnsiTheme="minorHAnsi" w:cstheme="minorBidi"/>
                <w:bCs/>
                <w:color w:val="000000"/>
                <w:lang w:val="en-US"/>
              </w:rPr>
              <w:t>NC</w:t>
            </w:r>
          </w:p>
        </w:tc>
      </w:tr>
      <w:tr w:rsidR="008349B2" w:rsidRPr="00872FD2" w:rsidTr="00F37B79">
        <w:trPr>
          <w:cnfStyle w:val="000000010000"/>
        </w:trPr>
        <w:tc>
          <w:tcPr>
            <w:tcW w:w="2352" w:type="dxa"/>
            <w:vMerge/>
          </w:tcPr>
          <w:p w:rsidR="001843FB" w:rsidRPr="00872FD2" w:rsidRDefault="001843FB" w:rsidP="00F37B79">
            <w:pPr>
              <w:spacing w:after="0" w:line="360" w:lineRule="auto"/>
              <w:jc w:val="center"/>
              <w:rPr>
                <w:rFonts w:asciiTheme="minorHAnsi" w:eastAsiaTheme="minorHAnsi" w:hAnsiTheme="minorHAnsi" w:cstheme="minorBidi"/>
                <w:b/>
                <w:bCs/>
                <w:color w:val="000000"/>
              </w:rPr>
            </w:pPr>
          </w:p>
        </w:tc>
        <w:tc>
          <w:tcPr>
            <w:tcW w:w="1470" w:type="dxa"/>
          </w:tcPr>
          <w:p w:rsidR="001843FB" w:rsidRPr="00872FD2" w:rsidRDefault="001843FB" w:rsidP="00F37B79">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Λανθασμένο</w:t>
            </w:r>
          </w:p>
        </w:tc>
        <w:tc>
          <w:tcPr>
            <w:tcW w:w="1390" w:type="dxa"/>
          </w:tcPr>
          <w:p w:rsidR="001843FB" w:rsidRPr="00872FD2" w:rsidRDefault="001843FB" w:rsidP="00F37B79">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24 (100,0%)</w:t>
            </w:r>
          </w:p>
        </w:tc>
        <w:tc>
          <w:tcPr>
            <w:tcW w:w="1309" w:type="dxa"/>
          </w:tcPr>
          <w:p w:rsidR="001843FB" w:rsidRPr="00872FD2" w:rsidRDefault="001843FB" w:rsidP="00F37B79">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24 (100,0%)</w:t>
            </w:r>
          </w:p>
        </w:tc>
        <w:tc>
          <w:tcPr>
            <w:tcW w:w="1070" w:type="dxa"/>
            <w:vMerge/>
          </w:tcPr>
          <w:p w:rsidR="001843FB" w:rsidRPr="00872FD2" w:rsidRDefault="001843FB" w:rsidP="00F37B79">
            <w:pPr>
              <w:spacing w:after="0" w:line="360" w:lineRule="auto"/>
              <w:jc w:val="center"/>
              <w:rPr>
                <w:rFonts w:asciiTheme="minorHAnsi" w:eastAsiaTheme="minorHAnsi" w:hAnsiTheme="minorHAnsi" w:cstheme="minorBidi"/>
                <w:color w:val="000000"/>
              </w:rPr>
            </w:pPr>
          </w:p>
        </w:tc>
        <w:tc>
          <w:tcPr>
            <w:tcW w:w="1022" w:type="dxa"/>
            <w:vMerge/>
          </w:tcPr>
          <w:p w:rsidR="001843FB" w:rsidRPr="00872FD2" w:rsidRDefault="001843FB" w:rsidP="00F37B79">
            <w:pPr>
              <w:spacing w:after="0" w:line="360" w:lineRule="auto"/>
              <w:jc w:val="center"/>
              <w:rPr>
                <w:rFonts w:asciiTheme="minorHAnsi" w:eastAsiaTheme="minorHAnsi" w:hAnsiTheme="minorHAnsi" w:cstheme="minorBidi"/>
                <w:color w:val="000000"/>
              </w:rPr>
            </w:pPr>
          </w:p>
        </w:tc>
      </w:tr>
      <w:tr w:rsidR="001843FB" w:rsidRPr="00872FD2" w:rsidTr="00F37B79">
        <w:trPr>
          <w:cnfStyle w:val="000000100000"/>
        </w:trPr>
        <w:tc>
          <w:tcPr>
            <w:tcW w:w="8613" w:type="dxa"/>
            <w:gridSpan w:val="6"/>
            <w:shd w:val="clear" w:color="auto" w:fill="auto"/>
          </w:tcPr>
          <w:p w:rsidR="001843FB" w:rsidRPr="00872FD2" w:rsidRDefault="001843FB" w:rsidP="00F37B79">
            <w:pPr>
              <w:spacing w:after="0" w:line="360" w:lineRule="auto"/>
              <w:rPr>
                <w:rFonts w:asciiTheme="minorHAnsi" w:eastAsiaTheme="minorHAnsi" w:hAnsiTheme="minorHAnsi" w:cstheme="minorBidi"/>
                <w:b/>
                <w:bCs/>
                <w:i/>
                <w:color w:val="000000"/>
              </w:rPr>
            </w:pPr>
            <w:r w:rsidRPr="00872FD2">
              <w:rPr>
                <w:rFonts w:asciiTheme="minorHAnsi" w:eastAsiaTheme="minorHAnsi" w:hAnsiTheme="minorHAnsi" w:cstheme="minorBidi"/>
                <w:bCs/>
                <w:i/>
                <w:color w:val="000000"/>
                <w:lang w:val="en-US"/>
              </w:rPr>
              <w:t>McNemar</w:t>
            </w:r>
            <w:r w:rsidRPr="00872FD2">
              <w:rPr>
                <w:rFonts w:asciiTheme="minorHAnsi" w:eastAsiaTheme="minorHAnsi" w:hAnsiTheme="minorHAnsi" w:cstheme="minorBidi"/>
                <w:bCs/>
                <w:i/>
                <w:color w:val="000000"/>
              </w:rPr>
              <w:t xml:space="preserve"> </w:t>
            </w:r>
            <w:r w:rsidRPr="00872FD2">
              <w:rPr>
                <w:rFonts w:asciiTheme="minorHAnsi" w:eastAsiaTheme="minorHAnsi" w:hAnsiTheme="minorHAnsi" w:cstheme="minorBidi"/>
                <w:bCs/>
                <w:i/>
                <w:color w:val="000000"/>
                <w:lang w:val="en-US"/>
              </w:rPr>
              <w:t>test</w:t>
            </w:r>
          </w:p>
        </w:tc>
      </w:tr>
    </w:tbl>
    <w:tbl>
      <w:tblPr>
        <w:tblStyle w:val="-41"/>
        <w:tblW w:w="8648" w:type="dxa"/>
        <w:tblInd w:w="-176" w:type="dxa"/>
        <w:tblLayout w:type="fixed"/>
        <w:tblLook w:val="0400"/>
      </w:tblPr>
      <w:tblGrid>
        <w:gridCol w:w="1792"/>
        <w:gridCol w:w="42"/>
        <w:gridCol w:w="10"/>
        <w:gridCol w:w="105"/>
        <w:gridCol w:w="402"/>
        <w:gridCol w:w="15"/>
        <w:gridCol w:w="61"/>
        <w:gridCol w:w="382"/>
        <w:gridCol w:w="925"/>
        <w:gridCol w:w="131"/>
        <w:gridCol w:w="33"/>
        <w:gridCol w:w="418"/>
        <w:gridCol w:w="805"/>
        <w:gridCol w:w="32"/>
        <w:gridCol w:w="53"/>
        <w:gridCol w:w="29"/>
        <w:gridCol w:w="57"/>
        <w:gridCol w:w="1206"/>
        <w:gridCol w:w="23"/>
        <w:gridCol w:w="24"/>
        <w:gridCol w:w="139"/>
        <w:gridCol w:w="791"/>
        <w:gridCol w:w="34"/>
        <w:gridCol w:w="12"/>
        <w:gridCol w:w="83"/>
        <w:gridCol w:w="57"/>
        <w:gridCol w:w="987"/>
      </w:tblGrid>
      <w:tr w:rsidR="001843FB" w:rsidRPr="00872FD2" w:rsidTr="001B63BB">
        <w:trPr>
          <w:cnfStyle w:val="000000100000"/>
        </w:trPr>
        <w:tc>
          <w:tcPr>
            <w:tcW w:w="2351" w:type="dxa"/>
            <w:gridSpan w:val="5"/>
            <w:vMerge w:val="restart"/>
          </w:tcPr>
          <w:p w:rsidR="001843FB" w:rsidRPr="00872FD2" w:rsidRDefault="001843FB" w:rsidP="00872FD2">
            <w:pPr>
              <w:spacing w:after="0" w:line="360" w:lineRule="auto"/>
              <w:rPr>
                <w:rFonts w:asciiTheme="minorHAnsi" w:eastAsiaTheme="minorHAnsi" w:hAnsiTheme="minorHAnsi" w:cstheme="minorBidi"/>
                <w:b/>
                <w:bCs/>
                <w:color w:val="000000"/>
              </w:rPr>
            </w:pPr>
            <w:r w:rsidRPr="00872FD2">
              <w:rPr>
                <w:rFonts w:asciiTheme="minorHAnsi" w:eastAsiaTheme="minorHAnsi" w:hAnsiTheme="minorHAnsi" w:cstheme="minorBidi"/>
                <w:bCs/>
                <w:color w:val="000000"/>
              </w:rPr>
              <w:t>Οι νεφροί κάνουν</w:t>
            </w:r>
            <w:r w:rsidRPr="00872FD2">
              <w:rPr>
                <w:rFonts w:asciiTheme="minorHAnsi" w:eastAsiaTheme="minorHAnsi" w:hAnsiTheme="minorHAnsi" w:cstheme="minorBidi"/>
                <w:b/>
                <w:bCs/>
                <w:color w:val="000000"/>
              </w:rPr>
              <w:t xml:space="preserve"> </w:t>
            </w:r>
            <w:r w:rsidRPr="00872FD2">
              <w:rPr>
                <w:rFonts w:asciiTheme="minorHAnsi" w:eastAsiaTheme="minorHAnsi" w:hAnsiTheme="minorHAnsi" w:cstheme="minorBidi"/>
                <w:bCs/>
                <w:color w:val="000000"/>
              </w:rPr>
              <w:t>πολλά σημαντικά πράγματα στον ανθρώπινο οργανισμό, αλλά λειτουργούν μόνο τη νύχτα, όταν το άτομο κοιμάται</w:t>
            </w:r>
          </w:p>
        </w:tc>
        <w:tc>
          <w:tcPr>
            <w:tcW w:w="1383" w:type="dxa"/>
            <w:gridSpan w:val="4"/>
          </w:tcPr>
          <w:p w:rsidR="001843FB" w:rsidRPr="00872FD2" w:rsidRDefault="001843FB" w:rsidP="00872FD2">
            <w:pPr>
              <w:spacing w:after="0" w:line="360" w:lineRule="auto"/>
              <w:jc w:val="center"/>
              <w:rPr>
                <w:rFonts w:asciiTheme="minorHAnsi" w:eastAsiaTheme="minorHAnsi" w:hAnsiTheme="minorHAnsi" w:cstheme="minorBidi"/>
                <w:b/>
                <w:bCs/>
                <w:color w:val="000000"/>
              </w:rPr>
            </w:pPr>
            <w:r w:rsidRPr="00872FD2">
              <w:rPr>
                <w:rFonts w:asciiTheme="minorHAnsi" w:eastAsiaTheme="minorHAnsi" w:hAnsiTheme="minorHAnsi" w:cstheme="minorBidi"/>
                <w:bCs/>
                <w:color w:val="000000"/>
              </w:rPr>
              <w:t>Σωστό</w:t>
            </w:r>
          </w:p>
        </w:tc>
        <w:tc>
          <w:tcPr>
            <w:tcW w:w="1387" w:type="dxa"/>
            <w:gridSpan w:val="4"/>
          </w:tcPr>
          <w:p w:rsidR="001843FB" w:rsidRPr="00872FD2" w:rsidRDefault="001843FB" w:rsidP="00872FD2">
            <w:pPr>
              <w:spacing w:after="0" w:line="360" w:lineRule="auto"/>
              <w:jc w:val="center"/>
              <w:rPr>
                <w:rFonts w:asciiTheme="minorHAnsi" w:eastAsiaTheme="minorHAnsi" w:hAnsiTheme="minorHAnsi" w:cstheme="minorBidi"/>
                <w:b/>
                <w:bCs/>
                <w:color w:val="000000"/>
              </w:rPr>
            </w:pPr>
            <w:r w:rsidRPr="00872FD2">
              <w:rPr>
                <w:rFonts w:asciiTheme="minorHAnsi" w:eastAsiaTheme="minorHAnsi" w:hAnsiTheme="minorHAnsi" w:cstheme="minorBidi"/>
                <w:bCs/>
                <w:color w:val="000000"/>
              </w:rPr>
              <w:t>1 (4,2%)</w:t>
            </w:r>
          </w:p>
        </w:tc>
        <w:tc>
          <w:tcPr>
            <w:tcW w:w="1400" w:type="dxa"/>
            <w:gridSpan w:val="6"/>
          </w:tcPr>
          <w:p w:rsidR="001843FB" w:rsidRPr="00872FD2" w:rsidRDefault="001843FB" w:rsidP="00872FD2">
            <w:pPr>
              <w:spacing w:after="0" w:line="360" w:lineRule="auto"/>
              <w:jc w:val="center"/>
              <w:rPr>
                <w:rFonts w:asciiTheme="minorHAnsi" w:eastAsiaTheme="minorHAnsi" w:hAnsiTheme="minorHAnsi" w:cstheme="minorBidi"/>
                <w:b/>
                <w:bCs/>
                <w:color w:val="000000"/>
              </w:rPr>
            </w:pPr>
            <w:r w:rsidRPr="00872FD2">
              <w:rPr>
                <w:rFonts w:asciiTheme="minorHAnsi" w:eastAsiaTheme="minorHAnsi" w:hAnsiTheme="minorHAnsi" w:cstheme="minorBidi"/>
                <w:bCs/>
                <w:color w:val="000000"/>
              </w:rPr>
              <w:t>1 (4,2%)</w:t>
            </w:r>
          </w:p>
        </w:tc>
        <w:tc>
          <w:tcPr>
            <w:tcW w:w="954" w:type="dxa"/>
            <w:gridSpan w:val="3"/>
            <w:vMerge w:val="restart"/>
          </w:tcPr>
          <w:p w:rsidR="001843FB" w:rsidRPr="00872FD2" w:rsidRDefault="001843FB" w:rsidP="00872FD2">
            <w:pPr>
              <w:spacing w:after="0" w:line="360" w:lineRule="auto"/>
              <w:jc w:val="center"/>
              <w:rPr>
                <w:rFonts w:asciiTheme="minorHAnsi" w:eastAsiaTheme="minorHAnsi" w:hAnsiTheme="minorHAnsi" w:cstheme="minorBidi"/>
                <w:b/>
                <w:bCs/>
                <w:color w:val="000000"/>
                <w:lang w:val="en-US"/>
              </w:rPr>
            </w:pPr>
            <w:r w:rsidRPr="00872FD2">
              <w:rPr>
                <w:rFonts w:asciiTheme="minorHAnsi" w:eastAsiaTheme="minorHAnsi" w:hAnsiTheme="minorHAnsi" w:cstheme="minorBidi"/>
                <w:bCs/>
                <w:color w:val="000000"/>
                <w:lang w:val="en-US"/>
              </w:rPr>
              <w:t>0,000</w:t>
            </w:r>
          </w:p>
        </w:tc>
        <w:tc>
          <w:tcPr>
            <w:tcW w:w="1173" w:type="dxa"/>
            <w:gridSpan w:val="5"/>
            <w:vMerge w:val="restart"/>
          </w:tcPr>
          <w:p w:rsidR="001843FB" w:rsidRPr="00872FD2" w:rsidRDefault="001843FB" w:rsidP="00872FD2">
            <w:pPr>
              <w:spacing w:after="0" w:line="360" w:lineRule="auto"/>
              <w:jc w:val="center"/>
              <w:rPr>
                <w:rFonts w:asciiTheme="minorHAnsi" w:eastAsiaTheme="minorHAnsi" w:hAnsiTheme="minorHAnsi" w:cstheme="minorBidi"/>
                <w:b/>
                <w:bCs/>
                <w:color w:val="000000"/>
                <w:lang w:val="en-US"/>
              </w:rPr>
            </w:pPr>
            <w:r w:rsidRPr="00872FD2">
              <w:rPr>
                <w:rFonts w:asciiTheme="minorHAnsi" w:eastAsiaTheme="minorHAnsi" w:hAnsiTheme="minorHAnsi" w:cstheme="minorBidi"/>
                <w:bCs/>
                <w:color w:val="000000"/>
                <w:lang w:val="en-US"/>
              </w:rPr>
              <w:t>1,000</w:t>
            </w:r>
          </w:p>
        </w:tc>
      </w:tr>
      <w:tr w:rsidR="00B43B03" w:rsidRPr="00872FD2" w:rsidTr="001B63BB">
        <w:trPr>
          <w:cnfStyle w:val="000000010000"/>
        </w:trPr>
        <w:tc>
          <w:tcPr>
            <w:tcW w:w="2351" w:type="dxa"/>
            <w:gridSpan w:val="5"/>
            <w:vMerge/>
          </w:tcPr>
          <w:p w:rsidR="001843FB" w:rsidRPr="00872FD2" w:rsidRDefault="001843FB" w:rsidP="00872FD2">
            <w:pPr>
              <w:spacing w:after="0" w:line="360" w:lineRule="auto"/>
              <w:rPr>
                <w:rFonts w:asciiTheme="minorHAnsi" w:eastAsiaTheme="minorHAnsi" w:hAnsiTheme="minorHAnsi" w:cstheme="minorBidi"/>
                <w:b/>
                <w:bCs/>
                <w:color w:val="000000"/>
              </w:rPr>
            </w:pPr>
          </w:p>
        </w:tc>
        <w:tc>
          <w:tcPr>
            <w:tcW w:w="1383" w:type="dxa"/>
            <w:gridSpan w:val="4"/>
          </w:tcPr>
          <w:p w:rsidR="001843FB" w:rsidRPr="00872FD2" w:rsidRDefault="001843F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Λανθασμένο</w:t>
            </w:r>
          </w:p>
        </w:tc>
        <w:tc>
          <w:tcPr>
            <w:tcW w:w="1387" w:type="dxa"/>
            <w:gridSpan w:val="4"/>
          </w:tcPr>
          <w:p w:rsidR="001843FB" w:rsidRPr="00872FD2" w:rsidRDefault="001843F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21 (87,5%)</w:t>
            </w:r>
          </w:p>
        </w:tc>
        <w:tc>
          <w:tcPr>
            <w:tcW w:w="1400" w:type="dxa"/>
            <w:gridSpan w:val="6"/>
          </w:tcPr>
          <w:p w:rsidR="001843FB" w:rsidRPr="00872FD2" w:rsidRDefault="001843F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21 (87,5%)</w:t>
            </w:r>
          </w:p>
        </w:tc>
        <w:tc>
          <w:tcPr>
            <w:tcW w:w="954" w:type="dxa"/>
            <w:gridSpan w:val="3"/>
            <w:vMerge/>
          </w:tcPr>
          <w:p w:rsidR="001843FB" w:rsidRPr="00872FD2" w:rsidRDefault="001843FB" w:rsidP="00872FD2">
            <w:pPr>
              <w:spacing w:after="0" w:line="360" w:lineRule="auto"/>
              <w:rPr>
                <w:rFonts w:asciiTheme="minorHAnsi" w:eastAsiaTheme="minorHAnsi" w:hAnsiTheme="minorHAnsi" w:cstheme="minorBidi"/>
                <w:color w:val="000000"/>
              </w:rPr>
            </w:pPr>
          </w:p>
        </w:tc>
        <w:tc>
          <w:tcPr>
            <w:tcW w:w="1173" w:type="dxa"/>
            <w:gridSpan w:val="5"/>
            <w:vMerge/>
          </w:tcPr>
          <w:p w:rsidR="001843FB" w:rsidRPr="00872FD2" w:rsidRDefault="001843FB" w:rsidP="00872FD2">
            <w:pPr>
              <w:spacing w:after="0" w:line="360" w:lineRule="auto"/>
              <w:rPr>
                <w:rFonts w:asciiTheme="minorHAnsi" w:eastAsiaTheme="minorHAnsi" w:hAnsiTheme="minorHAnsi" w:cstheme="minorBidi"/>
                <w:color w:val="000000"/>
              </w:rPr>
            </w:pPr>
          </w:p>
        </w:tc>
      </w:tr>
      <w:tr w:rsidR="00B43B03" w:rsidRPr="00872FD2" w:rsidTr="001B63BB">
        <w:trPr>
          <w:cnfStyle w:val="000000100000"/>
        </w:trPr>
        <w:tc>
          <w:tcPr>
            <w:tcW w:w="2351" w:type="dxa"/>
            <w:gridSpan w:val="5"/>
            <w:vMerge/>
          </w:tcPr>
          <w:p w:rsidR="001843FB" w:rsidRPr="00872FD2" w:rsidRDefault="001843FB" w:rsidP="00872FD2">
            <w:pPr>
              <w:spacing w:after="0" w:line="360" w:lineRule="auto"/>
              <w:rPr>
                <w:rFonts w:asciiTheme="minorHAnsi" w:eastAsiaTheme="minorHAnsi" w:hAnsiTheme="minorHAnsi" w:cstheme="minorBidi"/>
                <w:b/>
                <w:bCs/>
                <w:color w:val="000000"/>
              </w:rPr>
            </w:pPr>
          </w:p>
        </w:tc>
        <w:tc>
          <w:tcPr>
            <w:tcW w:w="1383" w:type="dxa"/>
            <w:gridSpan w:val="4"/>
          </w:tcPr>
          <w:p w:rsidR="001843FB" w:rsidRPr="00872FD2" w:rsidRDefault="001843F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Δεν ξέρω</w:t>
            </w:r>
          </w:p>
        </w:tc>
        <w:tc>
          <w:tcPr>
            <w:tcW w:w="1387" w:type="dxa"/>
            <w:gridSpan w:val="4"/>
          </w:tcPr>
          <w:p w:rsidR="001843FB" w:rsidRPr="00872FD2" w:rsidRDefault="001843F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2 (8,3%)</w:t>
            </w:r>
          </w:p>
        </w:tc>
        <w:tc>
          <w:tcPr>
            <w:tcW w:w="1400" w:type="dxa"/>
            <w:gridSpan w:val="6"/>
          </w:tcPr>
          <w:p w:rsidR="001843FB" w:rsidRPr="00872FD2" w:rsidRDefault="001843F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2 (8,3%)</w:t>
            </w:r>
          </w:p>
        </w:tc>
        <w:tc>
          <w:tcPr>
            <w:tcW w:w="954" w:type="dxa"/>
            <w:gridSpan w:val="3"/>
            <w:vMerge/>
          </w:tcPr>
          <w:p w:rsidR="001843FB" w:rsidRPr="00872FD2" w:rsidRDefault="001843FB" w:rsidP="00872FD2">
            <w:pPr>
              <w:spacing w:after="0" w:line="360" w:lineRule="auto"/>
              <w:rPr>
                <w:rFonts w:asciiTheme="minorHAnsi" w:eastAsiaTheme="minorHAnsi" w:hAnsiTheme="minorHAnsi" w:cstheme="minorBidi"/>
                <w:color w:val="000000"/>
              </w:rPr>
            </w:pPr>
          </w:p>
        </w:tc>
        <w:tc>
          <w:tcPr>
            <w:tcW w:w="1173" w:type="dxa"/>
            <w:gridSpan w:val="5"/>
            <w:vMerge/>
          </w:tcPr>
          <w:p w:rsidR="001843FB" w:rsidRPr="00872FD2" w:rsidRDefault="001843FB" w:rsidP="00872FD2">
            <w:pPr>
              <w:spacing w:after="0" w:line="360" w:lineRule="auto"/>
              <w:rPr>
                <w:rFonts w:asciiTheme="minorHAnsi" w:eastAsiaTheme="minorHAnsi" w:hAnsiTheme="minorHAnsi" w:cstheme="minorBidi"/>
                <w:color w:val="000000"/>
              </w:rPr>
            </w:pPr>
          </w:p>
        </w:tc>
      </w:tr>
      <w:tr w:rsidR="001843FB" w:rsidRPr="00872FD2" w:rsidTr="001B63BB">
        <w:trPr>
          <w:cnfStyle w:val="000000010000"/>
        </w:trPr>
        <w:tc>
          <w:tcPr>
            <w:tcW w:w="8648" w:type="dxa"/>
            <w:gridSpan w:val="27"/>
            <w:tcBorders>
              <w:bottom w:val="nil"/>
            </w:tcBorders>
          </w:tcPr>
          <w:p w:rsidR="001843FB" w:rsidRPr="00872FD2" w:rsidRDefault="001843FB" w:rsidP="00872FD2">
            <w:pPr>
              <w:spacing w:after="0" w:line="360" w:lineRule="auto"/>
              <w:rPr>
                <w:rFonts w:asciiTheme="minorHAnsi" w:eastAsiaTheme="minorHAnsi" w:hAnsiTheme="minorHAnsi" w:cstheme="minorBidi"/>
                <w:b/>
                <w:bCs/>
                <w:i/>
                <w:color w:val="000000"/>
                <w:lang w:val="en-US"/>
              </w:rPr>
            </w:pPr>
            <w:r w:rsidRPr="00872FD2">
              <w:rPr>
                <w:rFonts w:asciiTheme="minorHAnsi" w:eastAsiaTheme="minorHAnsi" w:hAnsiTheme="minorHAnsi" w:cstheme="minorBidi"/>
                <w:bCs/>
                <w:i/>
                <w:color w:val="000000"/>
              </w:rPr>
              <w:t>McNemar-Bowker</w:t>
            </w:r>
            <w:r w:rsidRPr="00872FD2">
              <w:rPr>
                <w:rFonts w:asciiTheme="minorHAnsi" w:eastAsiaTheme="minorHAnsi" w:hAnsiTheme="minorHAnsi" w:cstheme="minorBidi"/>
                <w:bCs/>
                <w:i/>
                <w:color w:val="000000"/>
                <w:lang w:val="en-US"/>
              </w:rPr>
              <w:t xml:space="preserve"> test</w:t>
            </w:r>
          </w:p>
        </w:tc>
      </w:tr>
      <w:tr w:rsidR="001843FB" w:rsidRPr="00872FD2" w:rsidTr="001B63BB">
        <w:trPr>
          <w:cnfStyle w:val="000000100000"/>
          <w:trHeight w:val="2127"/>
        </w:trPr>
        <w:tc>
          <w:tcPr>
            <w:tcW w:w="8648" w:type="dxa"/>
            <w:gridSpan w:val="27"/>
            <w:tcBorders>
              <w:top w:val="nil"/>
            </w:tcBorders>
          </w:tcPr>
          <w:tbl>
            <w:tblPr>
              <w:tblStyle w:val="2-4"/>
              <w:tblpPr w:leftFromText="180" w:rightFromText="180" w:vertAnchor="text" w:tblpX="-152" w:tblpY="78"/>
              <w:tblW w:w="8779" w:type="dxa"/>
              <w:tblLayout w:type="fixed"/>
              <w:tblLook w:val="0600"/>
            </w:tblPr>
            <w:tblGrid>
              <w:gridCol w:w="2387"/>
              <w:gridCol w:w="1417"/>
              <w:gridCol w:w="1418"/>
              <w:gridCol w:w="1147"/>
              <w:gridCol w:w="851"/>
              <w:gridCol w:w="1559"/>
            </w:tblGrid>
            <w:tr w:rsidR="00A0545F" w:rsidRPr="00872FD2" w:rsidTr="005D2DE3">
              <w:tc>
                <w:tcPr>
                  <w:tcW w:w="2387" w:type="dxa"/>
                  <w:vMerge w:val="restart"/>
                </w:tcPr>
                <w:p w:rsidR="001843FB" w:rsidRPr="00872FD2" w:rsidRDefault="001843FB" w:rsidP="00872FD2">
                  <w:pPr>
                    <w:spacing w:after="0" w:line="360" w:lineRule="auto"/>
                    <w:rPr>
                      <w:rFonts w:asciiTheme="minorHAnsi" w:eastAsiaTheme="minorHAnsi" w:hAnsiTheme="minorHAnsi" w:cstheme="minorBidi"/>
                      <w:b/>
                      <w:bCs/>
                      <w:color w:val="000000"/>
                    </w:rPr>
                  </w:pPr>
                  <w:r w:rsidRPr="00872FD2">
                    <w:rPr>
                      <w:rFonts w:asciiTheme="minorHAnsi" w:eastAsiaTheme="minorHAnsi" w:hAnsiTheme="minorHAnsi" w:cstheme="minorBidi"/>
                      <w:bCs/>
                      <w:color w:val="000000"/>
                    </w:rPr>
                    <w:t>Ποιος είναι ο όρος που χρησιμοποιείται για να περιγράψει την αίσθηση της δόνησης ή του βουίσματος που μπορεί να αισθανθεί κανείς πάνω από τη φίστουλα</w:t>
                  </w:r>
                  <w:r w:rsidRPr="00872FD2">
                    <w:rPr>
                      <w:rFonts w:asciiTheme="minorHAnsi" w:eastAsiaTheme="minorHAnsi" w:hAnsiTheme="minorHAnsi" w:cstheme="minorBidi"/>
                      <w:b/>
                      <w:bCs/>
                      <w:color w:val="000000"/>
                    </w:rPr>
                    <w:t>;</w:t>
                  </w:r>
                </w:p>
              </w:tc>
              <w:tc>
                <w:tcPr>
                  <w:tcW w:w="1417" w:type="dxa"/>
                </w:tcPr>
                <w:p w:rsidR="001843FB" w:rsidRPr="00872FD2" w:rsidRDefault="001843FB" w:rsidP="00872FD2">
                  <w:pPr>
                    <w:spacing w:after="0" w:line="360" w:lineRule="auto"/>
                    <w:jc w:val="center"/>
                    <w:rPr>
                      <w:rFonts w:asciiTheme="minorHAnsi" w:eastAsiaTheme="minorHAnsi" w:hAnsiTheme="minorHAnsi" w:cstheme="minorBidi"/>
                      <w:b/>
                      <w:bCs/>
                      <w:color w:val="000000"/>
                    </w:rPr>
                  </w:pPr>
                  <w:r w:rsidRPr="00872FD2">
                    <w:rPr>
                      <w:rFonts w:asciiTheme="minorHAnsi" w:eastAsiaTheme="minorHAnsi" w:hAnsiTheme="minorHAnsi" w:cstheme="minorBidi"/>
                      <w:bCs/>
                      <w:color w:val="000000"/>
                    </w:rPr>
                    <w:t>Λόβωση</w:t>
                  </w:r>
                </w:p>
              </w:tc>
              <w:tc>
                <w:tcPr>
                  <w:tcW w:w="1418" w:type="dxa"/>
                </w:tcPr>
                <w:p w:rsidR="001843FB" w:rsidRPr="00872FD2" w:rsidRDefault="001843FB" w:rsidP="00872FD2">
                  <w:pPr>
                    <w:spacing w:after="0" w:line="360" w:lineRule="auto"/>
                    <w:jc w:val="center"/>
                    <w:rPr>
                      <w:rFonts w:asciiTheme="minorHAnsi" w:eastAsiaTheme="minorHAnsi" w:hAnsiTheme="minorHAnsi" w:cstheme="minorBidi"/>
                      <w:b/>
                      <w:bCs/>
                      <w:color w:val="000000"/>
                    </w:rPr>
                  </w:pPr>
                  <w:r w:rsidRPr="00872FD2">
                    <w:rPr>
                      <w:rFonts w:asciiTheme="minorHAnsi" w:eastAsiaTheme="minorHAnsi" w:hAnsiTheme="minorHAnsi" w:cstheme="minorBidi"/>
                      <w:bCs/>
                      <w:color w:val="000000"/>
                    </w:rPr>
                    <w:t>1 (4,2%)</w:t>
                  </w:r>
                </w:p>
              </w:tc>
              <w:tc>
                <w:tcPr>
                  <w:tcW w:w="1147" w:type="dxa"/>
                </w:tcPr>
                <w:p w:rsidR="001843FB" w:rsidRPr="00872FD2" w:rsidRDefault="001843FB" w:rsidP="00872FD2">
                  <w:pPr>
                    <w:spacing w:after="0" w:line="360" w:lineRule="auto"/>
                    <w:jc w:val="center"/>
                    <w:rPr>
                      <w:rFonts w:asciiTheme="minorHAnsi" w:eastAsiaTheme="minorHAnsi" w:hAnsiTheme="minorHAnsi" w:cstheme="minorBidi"/>
                      <w:b/>
                      <w:bCs/>
                      <w:color w:val="000000"/>
                    </w:rPr>
                  </w:pPr>
                  <w:r w:rsidRPr="00872FD2">
                    <w:rPr>
                      <w:rFonts w:asciiTheme="minorHAnsi" w:eastAsiaTheme="minorHAnsi" w:hAnsiTheme="minorHAnsi" w:cstheme="minorBidi"/>
                      <w:bCs/>
                      <w:color w:val="000000"/>
                    </w:rPr>
                    <w:t>0 (0,0%)</w:t>
                  </w:r>
                </w:p>
              </w:tc>
              <w:tc>
                <w:tcPr>
                  <w:tcW w:w="851" w:type="dxa"/>
                  <w:vMerge w:val="restart"/>
                </w:tcPr>
                <w:p w:rsidR="001843FB" w:rsidRPr="00872FD2" w:rsidRDefault="001843FB" w:rsidP="00872FD2">
                  <w:pPr>
                    <w:spacing w:after="0" w:line="360" w:lineRule="auto"/>
                    <w:jc w:val="center"/>
                    <w:rPr>
                      <w:rFonts w:asciiTheme="minorHAnsi" w:eastAsiaTheme="minorHAnsi" w:hAnsiTheme="minorHAnsi" w:cstheme="minorBidi"/>
                      <w:b/>
                      <w:bCs/>
                      <w:color w:val="000000"/>
                      <w:lang w:val="en-US"/>
                    </w:rPr>
                  </w:pPr>
                  <w:r w:rsidRPr="00872FD2">
                    <w:rPr>
                      <w:rFonts w:asciiTheme="minorHAnsi" w:eastAsiaTheme="minorHAnsi" w:hAnsiTheme="minorHAnsi" w:cstheme="minorBidi"/>
                      <w:bCs/>
                      <w:color w:val="000000"/>
                      <w:lang w:val="en-US"/>
                    </w:rPr>
                    <w:t>NC</w:t>
                  </w:r>
                </w:p>
              </w:tc>
              <w:tc>
                <w:tcPr>
                  <w:tcW w:w="1559" w:type="dxa"/>
                  <w:vMerge w:val="restart"/>
                  <w:tcBorders>
                    <w:right w:val="nil"/>
                  </w:tcBorders>
                </w:tcPr>
                <w:p w:rsidR="001843FB" w:rsidRPr="00872FD2" w:rsidRDefault="001843FB" w:rsidP="00872FD2">
                  <w:pPr>
                    <w:spacing w:after="0" w:line="360" w:lineRule="auto"/>
                    <w:jc w:val="center"/>
                    <w:rPr>
                      <w:rFonts w:asciiTheme="minorHAnsi" w:eastAsiaTheme="minorHAnsi" w:hAnsiTheme="minorHAnsi" w:cstheme="minorBidi"/>
                      <w:b/>
                      <w:bCs/>
                      <w:color w:val="000000"/>
                      <w:lang w:val="en-US"/>
                    </w:rPr>
                  </w:pPr>
                  <w:r w:rsidRPr="00872FD2">
                    <w:rPr>
                      <w:rFonts w:asciiTheme="minorHAnsi" w:eastAsiaTheme="minorHAnsi" w:hAnsiTheme="minorHAnsi" w:cstheme="minorBidi"/>
                      <w:bCs/>
                      <w:color w:val="000000"/>
                      <w:lang w:val="en-US"/>
                    </w:rPr>
                    <w:t>NC</w:t>
                  </w:r>
                </w:p>
              </w:tc>
            </w:tr>
            <w:tr w:rsidR="001843FB" w:rsidRPr="00872FD2" w:rsidTr="005D2DE3">
              <w:tc>
                <w:tcPr>
                  <w:tcW w:w="2387" w:type="dxa"/>
                  <w:vMerge/>
                </w:tcPr>
                <w:p w:rsidR="001843FB" w:rsidRPr="00872FD2" w:rsidRDefault="001843FB" w:rsidP="00872FD2">
                  <w:pPr>
                    <w:spacing w:after="0" w:line="360" w:lineRule="auto"/>
                    <w:jc w:val="center"/>
                    <w:rPr>
                      <w:rFonts w:asciiTheme="minorHAnsi" w:eastAsiaTheme="minorHAnsi" w:hAnsiTheme="minorHAnsi" w:cstheme="minorBidi"/>
                      <w:b/>
                      <w:bCs/>
                      <w:color w:val="000000"/>
                    </w:rPr>
                  </w:pPr>
                </w:p>
              </w:tc>
              <w:tc>
                <w:tcPr>
                  <w:tcW w:w="1417" w:type="dxa"/>
                </w:tcPr>
                <w:p w:rsidR="001843FB" w:rsidRPr="00872FD2" w:rsidRDefault="001843F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Νεύρωση</w:t>
                  </w:r>
                </w:p>
              </w:tc>
              <w:tc>
                <w:tcPr>
                  <w:tcW w:w="1418" w:type="dxa"/>
                </w:tcPr>
                <w:p w:rsidR="001843FB" w:rsidRPr="00872FD2" w:rsidRDefault="001843F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0 (0,0%)</w:t>
                  </w:r>
                </w:p>
              </w:tc>
              <w:tc>
                <w:tcPr>
                  <w:tcW w:w="1147" w:type="dxa"/>
                </w:tcPr>
                <w:p w:rsidR="001843FB" w:rsidRPr="00872FD2" w:rsidRDefault="001843FB" w:rsidP="00872FD2">
                  <w:pPr>
                    <w:autoSpaceDE w:val="0"/>
                    <w:autoSpaceDN w:val="0"/>
                    <w:adjustRightInd w:val="0"/>
                    <w:spacing w:after="0" w:line="360" w:lineRule="auto"/>
                    <w:ind w:left="60" w:right="60"/>
                    <w:jc w:val="center"/>
                    <w:rPr>
                      <w:rFonts w:asciiTheme="minorHAnsi" w:eastAsiaTheme="minorHAnsi" w:hAnsiTheme="minorHAnsi" w:cs="Arial"/>
                      <w:color w:val="000000"/>
                    </w:rPr>
                  </w:pPr>
                  <w:r w:rsidRPr="00872FD2">
                    <w:rPr>
                      <w:rFonts w:asciiTheme="minorHAnsi" w:eastAsiaTheme="minorHAnsi" w:hAnsiTheme="minorHAnsi" w:cs="Arial"/>
                      <w:color w:val="000000"/>
                    </w:rPr>
                    <w:t>1 (4,2%)</w:t>
                  </w:r>
                </w:p>
              </w:tc>
              <w:tc>
                <w:tcPr>
                  <w:tcW w:w="851" w:type="dxa"/>
                  <w:vMerge/>
                </w:tcPr>
                <w:p w:rsidR="001843FB" w:rsidRPr="00872FD2" w:rsidRDefault="001843FB" w:rsidP="00872FD2">
                  <w:pPr>
                    <w:spacing w:after="0" w:line="360" w:lineRule="auto"/>
                    <w:jc w:val="center"/>
                    <w:rPr>
                      <w:rFonts w:asciiTheme="minorHAnsi" w:eastAsiaTheme="minorHAnsi" w:hAnsiTheme="minorHAnsi" w:cstheme="minorBidi"/>
                      <w:color w:val="000000"/>
                    </w:rPr>
                  </w:pPr>
                </w:p>
              </w:tc>
              <w:tc>
                <w:tcPr>
                  <w:tcW w:w="1559" w:type="dxa"/>
                  <w:vMerge/>
                  <w:tcBorders>
                    <w:right w:val="nil"/>
                  </w:tcBorders>
                </w:tcPr>
                <w:p w:rsidR="001843FB" w:rsidRPr="00872FD2" w:rsidRDefault="001843FB" w:rsidP="00872FD2">
                  <w:pPr>
                    <w:spacing w:after="0" w:line="360" w:lineRule="auto"/>
                    <w:jc w:val="center"/>
                    <w:rPr>
                      <w:rFonts w:asciiTheme="minorHAnsi" w:eastAsiaTheme="minorHAnsi" w:hAnsiTheme="minorHAnsi" w:cstheme="minorBidi"/>
                      <w:color w:val="000000"/>
                    </w:rPr>
                  </w:pPr>
                </w:p>
              </w:tc>
            </w:tr>
            <w:tr w:rsidR="001843FB" w:rsidRPr="00872FD2" w:rsidTr="005D2DE3">
              <w:tc>
                <w:tcPr>
                  <w:tcW w:w="2387" w:type="dxa"/>
                  <w:vMerge/>
                </w:tcPr>
                <w:p w:rsidR="001843FB" w:rsidRPr="00872FD2" w:rsidRDefault="001843FB" w:rsidP="00872FD2">
                  <w:pPr>
                    <w:spacing w:after="0" w:line="360" w:lineRule="auto"/>
                    <w:jc w:val="center"/>
                    <w:rPr>
                      <w:rFonts w:asciiTheme="minorHAnsi" w:eastAsiaTheme="minorHAnsi" w:hAnsiTheme="minorHAnsi" w:cstheme="minorBidi"/>
                      <w:b/>
                      <w:bCs/>
                      <w:color w:val="000000"/>
                    </w:rPr>
                  </w:pPr>
                </w:p>
              </w:tc>
              <w:tc>
                <w:tcPr>
                  <w:tcW w:w="1417" w:type="dxa"/>
                </w:tcPr>
                <w:p w:rsidR="001843FB" w:rsidRPr="00872FD2" w:rsidRDefault="001843F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Φύσημα ή ροίζος</w:t>
                  </w:r>
                </w:p>
              </w:tc>
              <w:tc>
                <w:tcPr>
                  <w:tcW w:w="1418" w:type="dxa"/>
                </w:tcPr>
                <w:p w:rsidR="001843FB" w:rsidRPr="00872FD2" w:rsidRDefault="001843F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18 (75,0%)</w:t>
                  </w:r>
                </w:p>
              </w:tc>
              <w:tc>
                <w:tcPr>
                  <w:tcW w:w="1147" w:type="dxa"/>
                </w:tcPr>
                <w:p w:rsidR="001843FB" w:rsidRPr="00872FD2" w:rsidRDefault="001843FB" w:rsidP="00872FD2">
                  <w:pPr>
                    <w:autoSpaceDE w:val="0"/>
                    <w:autoSpaceDN w:val="0"/>
                    <w:adjustRightInd w:val="0"/>
                    <w:spacing w:after="0" w:line="360" w:lineRule="auto"/>
                    <w:ind w:left="60" w:right="60"/>
                    <w:jc w:val="center"/>
                    <w:rPr>
                      <w:rFonts w:asciiTheme="minorHAnsi" w:eastAsiaTheme="minorHAnsi" w:hAnsiTheme="minorHAnsi" w:cs="Arial"/>
                      <w:color w:val="000000"/>
                    </w:rPr>
                  </w:pPr>
                  <w:r w:rsidRPr="00872FD2">
                    <w:rPr>
                      <w:rFonts w:asciiTheme="minorHAnsi" w:eastAsiaTheme="minorHAnsi" w:hAnsiTheme="minorHAnsi" w:cs="Arial"/>
                      <w:color w:val="000000"/>
                    </w:rPr>
                    <w:t>22 (91,7%)</w:t>
                  </w:r>
                </w:p>
              </w:tc>
              <w:tc>
                <w:tcPr>
                  <w:tcW w:w="851" w:type="dxa"/>
                  <w:vMerge/>
                </w:tcPr>
                <w:p w:rsidR="001843FB" w:rsidRPr="00872FD2" w:rsidRDefault="001843FB" w:rsidP="00872FD2">
                  <w:pPr>
                    <w:spacing w:after="0" w:line="360" w:lineRule="auto"/>
                    <w:jc w:val="center"/>
                    <w:rPr>
                      <w:rFonts w:asciiTheme="minorHAnsi" w:eastAsiaTheme="minorHAnsi" w:hAnsiTheme="minorHAnsi" w:cstheme="minorBidi"/>
                      <w:color w:val="000000"/>
                    </w:rPr>
                  </w:pPr>
                </w:p>
              </w:tc>
              <w:tc>
                <w:tcPr>
                  <w:tcW w:w="1559" w:type="dxa"/>
                  <w:vMerge/>
                  <w:tcBorders>
                    <w:right w:val="nil"/>
                  </w:tcBorders>
                </w:tcPr>
                <w:p w:rsidR="001843FB" w:rsidRPr="00872FD2" w:rsidRDefault="001843FB" w:rsidP="00872FD2">
                  <w:pPr>
                    <w:spacing w:after="0" w:line="360" w:lineRule="auto"/>
                    <w:jc w:val="center"/>
                    <w:rPr>
                      <w:rFonts w:asciiTheme="minorHAnsi" w:eastAsiaTheme="minorHAnsi" w:hAnsiTheme="minorHAnsi" w:cstheme="minorBidi"/>
                      <w:color w:val="000000"/>
                    </w:rPr>
                  </w:pPr>
                </w:p>
              </w:tc>
            </w:tr>
            <w:tr w:rsidR="001843FB" w:rsidRPr="00872FD2" w:rsidTr="005D2DE3">
              <w:tc>
                <w:tcPr>
                  <w:tcW w:w="2387" w:type="dxa"/>
                  <w:vMerge/>
                </w:tcPr>
                <w:p w:rsidR="001843FB" w:rsidRPr="00872FD2" w:rsidRDefault="001843FB" w:rsidP="00872FD2">
                  <w:pPr>
                    <w:spacing w:after="0" w:line="360" w:lineRule="auto"/>
                    <w:jc w:val="center"/>
                    <w:rPr>
                      <w:rFonts w:asciiTheme="minorHAnsi" w:eastAsiaTheme="minorHAnsi" w:hAnsiTheme="minorHAnsi" w:cstheme="minorBidi"/>
                      <w:b/>
                      <w:bCs/>
                      <w:color w:val="000000"/>
                    </w:rPr>
                  </w:pPr>
                </w:p>
              </w:tc>
              <w:tc>
                <w:tcPr>
                  <w:tcW w:w="1417" w:type="dxa"/>
                </w:tcPr>
                <w:p w:rsidR="001843FB" w:rsidRPr="00872FD2" w:rsidRDefault="001843F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Δεν ξέρω</w:t>
                  </w:r>
                </w:p>
              </w:tc>
              <w:tc>
                <w:tcPr>
                  <w:tcW w:w="1418" w:type="dxa"/>
                </w:tcPr>
                <w:p w:rsidR="001843FB" w:rsidRPr="00872FD2" w:rsidRDefault="001843F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5 (20,8%)</w:t>
                  </w:r>
                </w:p>
              </w:tc>
              <w:tc>
                <w:tcPr>
                  <w:tcW w:w="1147" w:type="dxa"/>
                </w:tcPr>
                <w:p w:rsidR="001843FB" w:rsidRPr="00872FD2" w:rsidRDefault="001843FB" w:rsidP="00872FD2">
                  <w:pPr>
                    <w:autoSpaceDE w:val="0"/>
                    <w:autoSpaceDN w:val="0"/>
                    <w:adjustRightInd w:val="0"/>
                    <w:spacing w:after="0" w:line="360" w:lineRule="auto"/>
                    <w:ind w:left="60" w:right="60"/>
                    <w:jc w:val="center"/>
                    <w:rPr>
                      <w:rFonts w:asciiTheme="minorHAnsi" w:eastAsiaTheme="minorHAnsi" w:hAnsiTheme="minorHAnsi" w:cs="Arial"/>
                      <w:color w:val="000000"/>
                    </w:rPr>
                  </w:pPr>
                  <w:r w:rsidRPr="00872FD2">
                    <w:rPr>
                      <w:rFonts w:asciiTheme="minorHAnsi" w:eastAsiaTheme="minorHAnsi" w:hAnsiTheme="minorHAnsi" w:cs="Arial"/>
                      <w:color w:val="000000"/>
                    </w:rPr>
                    <w:t>1 (4,2%)</w:t>
                  </w:r>
                </w:p>
              </w:tc>
              <w:tc>
                <w:tcPr>
                  <w:tcW w:w="851" w:type="dxa"/>
                  <w:vMerge/>
                </w:tcPr>
                <w:p w:rsidR="001843FB" w:rsidRPr="00872FD2" w:rsidRDefault="001843FB" w:rsidP="00872FD2">
                  <w:pPr>
                    <w:spacing w:after="0" w:line="360" w:lineRule="auto"/>
                    <w:jc w:val="center"/>
                    <w:rPr>
                      <w:rFonts w:asciiTheme="minorHAnsi" w:eastAsiaTheme="minorHAnsi" w:hAnsiTheme="minorHAnsi" w:cstheme="minorBidi"/>
                      <w:color w:val="000000"/>
                    </w:rPr>
                  </w:pPr>
                </w:p>
              </w:tc>
              <w:tc>
                <w:tcPr>
                  <w:tcW w:w="1559" w:type="dxa"/>
                  <w:vMerge/>
                  <w:tcBorders>
                    <w:right w:val="nil"/>
                  </w:tcBorders>
                </w:tcPr>
                <w:p w:rsidR="001843FB" w:rsidRPr="00872FD2" w:rsidRDefault="001843FB" w:rsidP="00872FD2">
                  <w:pPr>
                    <w:spacing w:after="0" w:line="360" w:lineRule="auto"/>
                    <w:jc w:val="center"/>
                    <w:rPr>
                      <w:rFonts w:asciiTheme="minorHAnsi" w:eastAsiaTheme="minorHAnsi" w:hAnsiTheme="minorHAnsi" w:cstheme="minorBidi"/>
                      <w:color w:val="000000"/>
                    </w:rPr>
                  </w:pPr>
                </w:p>
              </w:tc>
            </w:tr>
            <w:tr w:rsidR="001843FB" w:rsidRPr="00872FD2" w:rsidTr="005D2DE3">
              <w:tc>
                <w:tcPr>
                  <w:tcW w:w="8779" w:type="dxa"/>
                  <w:gridSpan w:val="6"/>
                  <w:shd w:val="clear" w:color="auto" w:fill="FFFFFF" w:themeFill="background1"/>
                </w:tcPr>
                <w:p w:rsidR="001843FB" w:rsidRPr="00872FD2" w:rsidRDefault="001843FB" w:rsidP="00872FD2">
                  <w:pPr>
                    <w:spacing w:after="0" w:line="360" w:lineRule="auto"/>
                    <w:rPr>
                      <w:rFonts w:asciiTheme="minorHAnsi" w:eastAsiaTheme="minorHAnsi" w:hAnsiTheme="minorHAnsi" w:cstheme="minorBidi"/>
                      <w:b/>
                      <w:bCs/>
                      <w:i/>
                      <w:color w:val="000000"/>
                      <w:lang w:val="en-US"/>
                    </w:rPr>
                  </w:pPr>
                  <w:r w:rsidRPr="00872FD2">
                    <w:rPr>
                      <w:rFonts w:asciiTheme="minorHAnsi" w:eastAsiaTheme="minorHAnsi" w:hAnsiTheme="minorHAnsi" w:cstheme="minorBidi"/>
                      <w:bCs/>
                      <w:i/>
                      <w:color w:val="000000"/>
                    </w:rPr>
                    <w:t>McNemar-Bowker</w:t>
                  </w:r>
                  <w:r w:rsidRPr="00872FD2">
                    <w:rPr>
                      <w:rFonts w:asciiTheme="minorHAnsi" w:eastAsiaTheme="minorHAnsi" w:hAnsiTheme="minorHAnsi" w:cstheme="minorBidi"/>
                      <w:bCs/>
                      <w:i/>
                      <w:color w:val="000000"/>
                      <w:lang w:val="en-US"/>
                    </w:rPr>
                    <w:t xml:space="preserve"> test</w:t>
                  </w:r>
                </w:p>
              </w:tc>
            </w:tr>
          </w:tbl>
          <w:tbl>
            <w:tblPr>
              <w:tblStyle w:val="-41"/>
              <w:tblW w:w="8776" w:type="dxa"/>
              <w:tblLayout w:type="fixed"/>
              <w:tblLook w:val="06A0"/>
            </w:tblPr>
            <w:tblGrid>
              <w:gridCol w:w="2539"/>
              <w:gridCol w:w="1559"/>
              <w:gridCol w:w="1276"/>
              <w:gridCol w:w="1147"/>
              <w:gridCol w:w="850"/>
              <w:gridCol w:w="1405"/>
            </w:tblGrid>
            <w:tr w:rsidR="00A0545F" w:rsidRPr="00872FD2" w:rsidTr="005D2DE3">
              <w:trPr>
                <w:cnfStyle w:val="100000000000"/>
              </w:trPr>
              <w:tc>
                <w:tcPr>
                  <w:cnfStyle w:val="001000000000"/>
                  <w:tcW w:w="2539" w:type="dxa"/>
                  <w:vMerge w:val="restart"/>
                  <w:tcBorders>
                    <w:top w:val="nil"/>
                    <w:left w:val="nil"/>
                    <w:bottom w:val="single" w:sz="8" w:space="0" w:color="8064A2" w:themeColor="accent4"/>
                  </w:tcBorders>
                </w:tcPr>
                <w:p w:rsidR="001843FB" w:rsidRPr="00D30155" w:rsidRDefault="001843FB" w:rsidP="00872FD2">
                  <w:pPr>
                    <w:spacing w:after="0" w:line="360" w:lineRule="auto"/>
                    <w:rPr>
                      <w:rFonts w:asciiTheme="minorHAnsi" w:eastAsiaTheme="minorHAnsi" w:hAnsiTheme="minorHAnsi" w:cstheme="minorBidi"/>
                      <w:b w:val="0"/>
                      <w:bCs w:val="0"/>
                      <w:color w:val="000000"/>
                    </w:rPr>
                  </w:pPr>
                  <w:r w:rsidRPr="00D30155">
                    <w:rPr>
                      <w:rFonts w:asciiTheme="minorHAnsi" w:eastAsiaTheme="minorHAnsi" w:hAnsiTheme="minorHAnsi" w:cstheme="minorBidi"/>
                      <w:b w:val="0"/>
                      <w:bCs w:val="0"/>
                      <w:color w:val="000000"/>
                    </w:rPr>
                    <w:t>Στην Συνεχή Φορητή Περιτοναϊκή Κάθαρση (ΣΦΠΚ), οι το</w:t>
                  </w:r>
                  <w:r w:rsidR="00C23FE0" w:rsidRPr="00D30155">
                    <w:rPr>
                      <w:rFonts w:asciiTheme="minorHAnsi" w:eastAsiaTheme="minorHAnsi" w:hAnsiTheme="minorHAnsi" w:cstheme="minorBidi"/>
                      <w:b w:val="0"/>
                      <w:bCs w:val="0"/>
                      <w:color w:val="000000"/>
                    </w:rPr>
                    <w:t>ξικές (άχρηστες ) ουσίες περνούν</w:t>
                  </w:r>
                  <w:r w:rsidRPr="00D30155">
                    <w:rPr>
                      <w:rFonts w:asciiTheme="minorHAnsi" w:eastAsiaTheme="minorHAnsi" w:hAnsiTheme="minorHAnsi" w:cstheme="minorBidi"/>
                      <w:b w:val="0"/>
                      <w:bCs w:val="0"/>
                      <w:color w:val="000000"/>
                    </w:rPr>
                    <w:t xml:space="preserve"> από το αίμα μέσα στο διάλυμα μέσω της περιτοναϊκής μεμβράνης με τη διαδικασία που λέγεται:</w:t>
                  </w:r>
                </w:p>
              </w:tc>
              <w:tc>
                <w:tcPr>
                  <w:tcW w:w="1559" w:type="dxa"/>
                  <w:tcBorders>
                    <w:top w:val="nil"/>
                  </w:tcBorders>
                </w:tcPr>
                <w:p w:rsidR="001843FB" w:rsidRPr="005D2DE3" w:rsidRDefault="001843FB" w:rsidP="00872FD2">
                  <w:pPr>
                    <w:spacing w:after="0" w:line="360" w:lineRule="auto"/>
                    <w:jc w:val="center"/>
                    <w:cnfStyle w:val="100000000000"/>
                    <w:rPr>
                      <w:rFonts w:asciiTheme="minorHAnsi" w:eastAsiaTheme="minorHAnsi" w:hAnsiTheme="minorHAnsi" w:cstheme="minorBidi"/>
                      <w:b w:val="0"/>
                      <w:bCs w:val="0"/>
                      <w:color w:val="000000"/>
                    </w:rPr>
                  </w:pPr>
                  <w:r w:rsidRPr="005D2DE3">
                    <w:rPr>
                      <w:rFonts w:asciiTheme="minorHAnsi" w:eastAsiaTheme="minorHAnsi" w:hAnsiTheme="minorHAnsi" w:cstheme="minorBidi"/>
                      <w:b w:val="0"/>
                      <w:bCs w:val="0"/>
                      <w:color w:val="000000"/>
                    </w:rPr>
                    <w:t>Διάχυση</w:t>
                  </w:r>
                </w:p>
              </w:tc>
              <w:tc>
                <w:tcPr>
                  <w:tcW w:w="1276" w:type="dxa"/>
                  <w:tcBorders>
                    <w:top w:val="nil"/>
                  </w:tcBorders>
                </w:tcPr>
                <w:p w:rsidR="001843FB" w:rsidRPr="005D2DE3" w:rsidRDefault="001843FB" w:rsidP="00872FD2">
                  <w:pPr>
                    <w:spacing w:after="0" w:line="360" w:lineRule="auto"/>
                    <w:jc w:val="center"/>
                    <w:cnfStyle w:val="100000000000"/>
                    <w:rPr>
                      <w:rFonts w:asciiTheme="minorHAnsi" w:eastAsiaTheme="minorHAnsi" w:hAnsiTheme="minorHAnsi" w:cstheme="minorBidi"/>
                      <w:b w:val="0"/>
                      <w:bCs w:val="0"/>
                      <w:color w:val="000000"/>
                    </w:rPr>
                  </w:pPr>
                  <w:r w:rsidRPr="005D2DE3">
                    <w:rPr>
                      <w:rFonts w:asciiTheme="minorHAnsi" w:eastAsiaTheme="minorHAnsi" w:hAnsiTheme="minorHAnsi" w:cstheme="minorBidi"/>
                      <w:b w:val="0"/>
                      <w:bCs w:val="0"/>
                      <w:color w:val="000000"/>
                    </w:rPr>
                    <w:t>2 (8,3%)</w:t>
                  </w:r>
                </w:p>
              </w:tc>
              <w:tc>
                <w:tcPr>
                  <w:tcW w:w="1147" w:type="dxa"/>
                  <w:tcBorders>
                    <w:top w:val="nil"/>
                  </w:tcBorders>
                </w:tcPr>
                <w:p w:rsidR="001843FB" w:rsidRPr="005D2DE3" w:rsidRDefault="001843FB" w:rsidP="00872FD2">
                  <w:pPr>
                    <w:autoSpaceDE w:val="0"/>
                    <w:autoSpaceDN w:val="0"/>
                    <w:adjustRightInd w:val="0"/>
                    <w:spacing w:after="0" w:line="360" w:lineRule="auto"/>
                    <w:ind w:left="60" w:right="60"/>
                    <w:jc w:val="center"/>
                    <w:cnfStyle w:val="100000000000"/>
                    <w:rPr>
                      <w:rFonts w:asciiTheme="minorHAnsi" w:eastAsiaTheme="minorHAnsi" w:hAnsiTheme="minorHAnsi" w:cs="Arial"/>
                      <w:b w:val="0"/>
                      <w:bCs w:val="0"/>
                      <w:color w:val="000000"/>
                    </w:rPr>
                  </w:pPr>
                  <w:r w:rsidRPr="005D2DE3">
                    <w:rPr>
                      <w:rFonts w:asciiTheme="minorHAnsi" w:eastAsiaTheme="minorHAnsi" w:hAnsiTheme="minorHAnsi" w:cs="Arial"/>
                      <w:b w:val="0"/>
                      <w:bCs w:val="0"/>
                      <w:color w:val="000000"/>
                    </w:rPr>
                    <w:t>3 (12,5%)</w:t>
                  </w:r>
                </w:p>
              </w:tc>
              <w:tc>
                <w:tcPr>
                  <w:tcW w:w="850" w:type="dxa"/>
                  <w:vMerge w:val="restart"/>
                  <w:tcBorders>
                    <w:top w:val="nil"/>
                  </w:tcBorders>
                </w:tcPr>
                <w:p w:rsidR="001843FB" w:rsidRPr="005D2DE3" w:rsidRDefault="001843FB" w:rsidP="00872FD2">
                  <w:pPr>
                    <w:spacing w:after="0" w:line="360" w:lineRule="auto"/>
                    <w:jc w:val="center"/>
                    <w:cnfStyle w:val="100000000000"/>
                    <w:rPr>
                      <w:rFonts w:asciiTheme="minorHAnsi" w:eastAsiaTheme="minorHAnsi" w:hAnsiTheme="minorHAnsi" w:cstheme="minorBidi"/>
                      <w:b w:val="0"/>
                      <w:bCs w:val="0"/>
                      <w:color w:val="000000"/>
                      <w:lang w:val="en-US"/>
                    </w:rPr>
                  </w:pPr>
                  <w:r w:rsidRPr="005D2DE3">
                    <w:rPr>
                      <w:rFonts w:asciiTheme="minorHAnsi" w:eastAsiaTheme="minorHAnsi" w:hAnsiTheme="minorHAnsi" w:cstheme="minorBidi"/>
                      <w:b w:val="0"/>
                      <w:bCs w:val="0"/>
                      <w:color w:val="000000"/>
                      <w:lang w:val="en-US"/>
                    </w:rPr>
                    <w:t>3,000</w:t>
                  </w:r>
                </w:p>
              </w:tc>
              <w:tc>
                <w:tcPr>
                  <w:tcW w:w="1405" w:type="dxa"/>
                  <w:vMerge w:val="restart"/>
                  <w:tcBorders>
                    <w:top w:val="nil"/>
                  </w:tcBorders>
                </w:tcPr>
                <w:p w:rsidR="001843FB" w:rsidRPr="005D2DE3" w:rsidRDefault="001843FB" w:rsidP="005D2DE3">
                  <w:pPr>
                    <w:spacing w:after="0" w:line="360" w:lineRule="auto"/>
                    <w:cnfStyle w:val="100000000000"/>
                    <w:rPr>
                      <w:rFonts w:asciiTheme="minorHAnsi" w:eastAsiaTheme="minorHAnsi" w:hAnsiTheme="minorHAnsi" w:cstheme="minorBidi"/>
                      <w:b w:val="0"/>
                      <w:bCs w:val="0"/>
                      <w:color w:val="000000"/>
                      <w:lang w:val="en-US"/>
                    </w:rPr>
                  </w:pPr>
                  <w:r w:rsidRPr="005D2DE3">
                    <w:rPr>
                      <w:rFonts w:asciiTheme="minorHAnsi" w:eastAsiaTheme="minorHAnsi" w:hAnsiTheme="minorHAnsi" w:cstheme="minorBidi"/>
                      <w:b w:val="0"/>
                      <w:bCs w:val="0"/>
                      <w:color w:val="000000"/>
                      <w:lang w:val="en-US"/>
                    </w:rPr>
                    <w:t>0,392</w:t>
                  </w:r>
                </w:p>
              </w:tc>
            </w:tr>
            <w:tr w:rsidR="001843FB" w:rsidRPr="00872FD2" w:rsidTr="005D2DE3">
              <w:tc>
                <w:tcPr>
                  <w:cnfStyle w:val="001000000000"/>
                  <w:tcW w:w="2539" w:type="dxa"/>
                  <w:vMerge/>
                  <w:tcBorders>
                    <w:left w:val="nil"/>
                  </w:tcBorders>
                </w:tcPr>
                <w:p w:rsidR="001843FB" w:rsidRPr="00872FD2" w:rsidRDefault="001843FB" w:rsidP="00872FD2">
                  <w:pPr>
                    <w:spacing w:after="0" w:line="360" w:lineRule="auto"/>
                    <w:jc w:val="center"/>
                    <w:rPr>
                      <w:rFonts w:asciiTheme="minorHAnsi" w:eastAsiaTheme="minorHAnsi" w:hAnsiTheme="minorHAnsi" w:cstheme="minorBidi"/>
                      <w:b w:val="0"/>
                      <w:bCs w:val="0"/>
                      <w:color w:val="000000"/>
                    </w:rPr>
                  </w:pPr>
                </w:p>
              </w:tc>
              <w:tc>
                <w:tcPr>
                  <w:tcW w:w="1559" w:type="dxa"/>
                </w:tcPr>
                <w:p w:rsidR="001843FB" w:rsidRPr="005D2DE3" w:rsidRDefault="001843FB" w:rsidP="00872FD2">
                  <w:pPr>
                    <w:spacing w:after="0" w:line="360" w:lineRule="auto"/>
                    <w:jc w:val="center"/>
                    <w:cnfStyle w:val="000000000000"/>
                    <w:rPr>
                      <w:rFonts w:asciiTheme="minorHAnsi" w:eastAsiaTheme="minorHAnsi" w:hAnsiTheme="minorHAnsi" w:cstheme="minorBidi"/>
                      <w:color w:val="000000"/>
                    </w:rPr>
                  </w:pPr>
                  <w:r w:rsidRPr="005D2DE3">
                    <w:rPr>
                      <w:rFonts w:asciiTheme="minorHAnsi" w:eastAsiaTheme="minorHAnsi" w:hAnsiTheme="minorHAnsi" w:cstheme="minorBidi"/>
                      <w:color w:val="000000"/>
                    </w:rPr>
                    <w:t>Μεταφορά</w:t>
                  </w:r>
                </w:p>
              </w:tc>
              <w:tc>
                <w:tcPr>
                  <w:tcW w:w="1276" w:type="dxa"/>
                </w:tcPr>
                <w:p w:rsidR="001843FB" w:rsidRPr="005D2DE3" w:rsidRDefault="001843FB" w:rsidP="00872FD2">
                  <w:pPr>
                    <w:spacing w:after="0" w:line="360" w:lineRule="auto"/>
                    <w:jc w:val="center"/>
                    <w:cnfStyle w:val="000000000000"/>
                    <w:rPr>
                      <w:rFonts w:asciiTheme="minorHAnsi" w:eastAsiaTheme="minorHAnsi" w:hAnsiTheme="minorHAnsi" w:cstheme="minorBidi"/>
                      <w:color w:val="000000"/>
                    </w:rPr>
                  </w:pPr>
                  <w:r w:rsidRPr="005D2DE3">
                    <w:rPr>
                      <w:rFonts w:asciiTheme="minorHAnsi" w:eastAsiaTheme="minorHAnsi" w:hAnsiTheme="minorHAnsi" w:cstheme="minorBidi"/>
                      <w:color w:val="000000"/>
                    </w:rPr>
                    <w:t>1 (4,2%)</w:t>
                  </w:r>
                </w:p>
              </w:tc>
              <w:tc>
                <w:tcPr>
                  <w:tcW w:w="1147" w:type="dxa"/>
                </w:tcPr>
                <w:p w:rsidR="001843FB" w:rsidRPr="005D2DE3" w:rsidRDefault="001843FB" w:rsidP="00872FD2">
                  <w:pPr>
                    <w:autoSpaceDE w:val="0"/>
                    <w:autoSpaceDN w:val="0"/>
                    <w:adjustRightInd w:val="0"/>
                    <w:spacing w:after="0" w:line="360" w:lineRule="auto"/>
                    <w:ind w:left="60" w:right="60"/>
                    <w:jc w:val="center"/>
                    <w:cnfStyle w:val="000000000000"/>
                    <w:rPr>
                      <w:rFonts w:asciiTheme="minorHAnsi" w:eastAsiaTheme="minorHAnsi" w:hAnsiTheme="minorHAnsi" w:cs="Arial"/>
                      <w:color w:val="000000"/>
                    </w:rPr>
                  </w:pPr>
                  <w:r w:rsidRPr="005D2DE3">
                    <w:rPr>
                      <w:rFonts w:asciiTheme="minorHAnsi" w:eastAsiaTheme="minorHAnsi" w:hAnsiTheme="minorHAnsi" w:cs="Arial"/>
                      <w:color w:val="000000"/>
                    </w:rPr>
                    <w:t>2 (8,3%)</w:t>
                  </w:r>
                </w:p>
              </w:tc>
              <w:tc>
                <w:tcPr>
                  <w:tcW w:w="850" w:type="dxa"/>
                  <w:vMerge/>
                </w:tcPr>
                <w:p w:rsidR="001843FB" w:rsidRPr="005D2DE3" w:rsidRDefault="001843FB" w:rsidP="00872FD2">
                  <w:pPr>
                    <w:spacing w:after="0" w:line="360" w:lineRule="auto"/>
                    <w:jc w:val="center"/>
                    <w:cnfStyle w:val="000000000000"/>
                    <w:rPr>
                      <w:rFonts w:asciiTheme="minorHAnsi" w:eastAsiaTheme="minorHAnsi" w:hAnsiTheme="minorHAnsi" w:cstheme="minorBidi"/>
                      <w:color w:val="000000"/>
                    </w:rPr>
                  </w:pPr>
                </w:p>
              </w:tc>
              <w:tc>
                <w:tcPr>
                  <w:tcW w:w="1405" w:type="dxa"/>
                  <w:vMerge/>
                </w:tcPr>
                <w:p w:rsidR="001843FB" w:rsidRPr="005D2DE3" w:rsidRDefault="001843FB" w:rsidP="00872FD2">
                  <w:pPr>
                    <w:spacing w:after="0" w:line="360" w:lineRule="auto"/>
                    <w:jc w:val="center"/>
                    <w:cnfStyle w:val="000000000000"/>
                    <w:rPr>
                      <w:rFonts w:asciiTheme="minorHAnsi" w:eastAsiaTheme="minorHAnsi" w:hAnsiTheme="minorHAnsi" w:cstheme="minorBidi"/>
                      <w:color w:val="000000"/>
                    </w:rPr>
                  </w:pPr>
                </w:p>
              </w:tc>
            </w:tr>
            <w:tr w:rsidR="001843FB" w:rsidRPr="00872FD2" w:rsidTr="005D2DE3">
              <w:tc>
                <w:tcPr>
                  <w:cnfStyle w:val="001000000000"/>
                  <w:tcW w:w="2539" w:type="dxa"/>
                  <w:vMerge/>
                  <w:tcBorders>
                    <w:left w:val="nil"/>
                  </w:tcBorders>
                </w:tcPr>
                <w:p w:rsidR="001843FB" w:rsidRPr="00872FD2" w:rsidRDefault="001843FB" w:rsidP="00872FD2">
                  <w:pPr>
                    <w:spacing w:after="0" w:line="360" w:lineRule="auto"/>
                    <w:jc w:val="center"/>
                    <w:rPr>
                      <w:rFonts w:asciiTheme="minorHAnsi" w:eastAsiaTheme="minorHAnsi" w:hAnsiTheme="minorHAnsi" w:cstheme="minorBidi"/>
                      <w:b w:val="0"/>
                      <w:bCs w:val="0"/>
                      <w:color w:val="000000"/>
                    </w:rPr>
                  </w:pPr>
                </w:p>
              </w:tc>
              <w:tc>
                <w:tcPr>
                  <w:tcW w:w="1559" w:type="dxa"/>
                </w:tcPr>
                <w:p w:rsidR="001843FB" w:rsidRPr="005D2DE3" w:rsidRDefault="001843FB" w:rsidP="00872FD2">
                  <w:pPr>
                    <w:spacing w:after="0" w:line="360" w:lineRule="auto"/>
                    <w:jc w:val="center"/>
                    <w:cnfStyle w:val="000000000000"/>
                    <w:rPr>
                      <w:rFonts w:asciiTheme="minorHAnsi" w:eastAsiaTheme="minorHAnsi" w:hAnsiTheme="minorHAnsi" w:cstheme="minorBidi"/>
                      <w:color w:val="000000"/>
                    </w:rPr>
                  </w:pPr>
                  <w:r w:rsidRPr="005D2DE3">
                    <w:rPr>
                      <w:rFonts w:asciiTheme="minorHAnsi" w:eastAsiaTheme="minorHAnsi" w:hAnsiTheme="minorHAnsi" w:cstheme="minorBidi"/>
                      <w:color w:val="000000"/>
                    </w:rPr>
                    <w:t>Χημική αποσύνθεση</w:t>
                  </w:r>
                </w:p>
              </w:tc>
              <w:tc>
                <w:tcPr>
                  <w:tcW w:w="1276" w:type="dxa"/>
                </w:tcPr>
                <w:p w:rsidR="001843FB" w:rsidRPr="005D2DE3" w:rsidRDefault="001843FB" w:rsidP="00872FD2">
                  <w:pPr>
                    <w:spacing w:after="0" w:line="360" w:lineRule="auto"/>
                    <w:jc w:val="center"/>
                    <w:cnfStyle w:val="000000000000"/>
                    <w:rPr>
                      <w:rFonts w:asciiTheme="minorHAnsi" w:eastAsiaTheme="minorHAnsi" w:hAnsiTheme="minorHAnsi" w:cstheme="minorBidi"/>
                      <w:color w:val="000000"/>
                    </w:rPr>
                  </w:pPr>
                  <w:r w:rsidRPr="005D2DE3">
                    <w:rPr>
                      <w:rFonts w:asciiTheme="minorHAnsi" w:eastAsiaTheme="minorHAnsi" w:hAnsiTheme="minorHAnsi" w:cstheme="minorBidi"/>
                      <w:color w:val="000000"/>
                    </w:rPr>
                    <w:t>2 (8,3%)</w:t>
                  </w:r>
                </w:p>
              </w:tc>
              <w:tc>
                <w:tcPr>
                  <w:tcW w:w="1147" w:type="dxa"/>
                </w:tcPr>
                <w:p w:rsidR="001843FB" w:rsidRPr="005D2DE3" w:rsidRDefault="001843FB" w:rsidP="00872FD2">
                  <w:pPr>
                    <w:autoSpaceDE w:val="0"/>
                    <w:autoSpaceDN w:val="0"/>
                    <w:adjustRightInd w:val="0"/>
                    <w:spacing w:after="0" w:line="360" w:lineRule="auto"/>
                    <w:ind w:left="60" w:right="60"/>
                    <w:jc w:val="center"/>
                    <w:cnfStyle w:val="000000000000"/>
                    <w:rPr>
                      <w:rFonts w:asciiTheme="minorHAnsi" w:eastAsiaTheme="minorHAnsi" w:hAnsiTheme="minorHAnsi" w:cs="Arial"/>
                      <w:color w:val="000000"/>
                    </w:rPr>
                  </w:pPr>
                  <w:r w:rsidRPr="005D2DE3">
                    <w:rPr>
                      <w:rFonts w:asciiTheme="minorHAnsi" w:eastAsiaTheme="minorHAnsi" w:hAnsiTheme="minorHAnsi" w:cs="Arial"/>
                      <w:color w:val="000000"/>
                    </w:rPr>
                    <w:t>1 (4,2%)</w:t>
                  </w:r>
                </w:p>
              </w:tc>
              <w:tc>
                <w:tcPr>
                  <w:tcW w:w="850" w:type="dxa"/>
                  <w:vMerge/>
                </w:tcPr>
                <w:p w:rsidR="001843FB" w:rsidRPr="005D2DE3" w:rsidRDefault="001843FB" w:rsidP="00872FD2">
                  <w:pPr>
                    <w:spacing w:after="0" w:line="360" w:lineRule="auto"/>
                    <w:jc w:val="center"/>
                    <w:cnfStyle w:val="000000000000"/>
                    <w:rPr>
                      <w:rFonts w:asciiTheme="minorHAnsi" w:eastAsiaTheme="minorHAnsi" w:hAnsiTheme="minorHAnsi" w:cstheme="minorBidi"/>
                      <w:color w:val="000000"/>
                    </w:rPr>
                  </w:pPr>
                </w:p>
              </w:tc>
              <w:tc>
                <w:tcPr>
                  <w:tcW w:w="1405" w:type="dxa"/>
                  <w:vMerge/>
                </w:tcPr>
                <w:p w:rsidR="001843FB" w:rsidRPr="005D2DE3" w:rsidRDefault="001843FB" w:rsidP="00872FD2">
                  <w:pPr>
                    <w:spacing w:after="0" w:line="360" w:lineRule="auto"/>
                    <w:jc w:val="center"/>
                    <w:cnfStyle w:val="000000000000"/>
                    <w:rPr>
                      <w:rFonts w:asciiTheme="minorHAnsi" w:eastAsiaTheme="minorHAnsi" w:hAnsiTheme="minorHAnsi" w:cstheme="minorBidi"/>
                      <w:color w:val="000000"/>
                    </w:rPr>
                  </w:pPr>
                </w:p>
              </w:tc>
            </w:tr>
            <w:tr w:rsidR="001843FB" w:rsidRPr="00872FD2" w:rsidTr="005D2DE3">
              <w:tc>
                <w:tcPr>
                  <w:cnfStyle w:val="001000000000"/>
                  <w:tcW w:w="2539" w:type="dxa"/>
                  <w:vMerge/>
                  <w:tcBorders>
                    <w:left w:val="nil"/>
                    <w:bottom w:val="single" w:sz="8" w:space="0" w:color="8064A2" w:themeColor="accent4"/>
                  </w:tcBorders>
                </w:tcPr>
                <w:p w:rsidR="001843FB" w:rsidRPr="00872FD2" w:rsidRDefault="001843FB" w:rsidP="00872FD2">
                  <w:pPr>
                    <w:spacing w:after="0" w:line="360" w:lineRule="auto"/>
                    <w:jc w:val="center"/>
                    <w:rPr>
                      <w:rFonts w:asciiTheme="minorHAnsi" w:eastAsiaTheme="minorHAnsi" w:hAnsiTheme="minorHAnsi" w:cstheme="minorBidi"/>
                      <w:b w:val="0"/>
                      <w:bCs w:val="0"/>
                      <w:color w:val="000000"/>
                    </w:rPr>
                  </w:pPr>
                </w:p>
              </w:tc>
              <w:tc>
                <w:tcPr>
                  <w:tcW w:w="1559" w:type="dxa"/>
                  <w:tcBorders>
                    <w:bottom w:val="single" w:sz="8" w:space="0" w:color="8064A2" w:themeColor="accent4"/>
                  </w:tcBorders>
                </w:tcPr>
                <w:p w:rsidR="001843FB" w:rsidRPr="005D2DE3" w:rsidRDefault="001843FB" w:rsidP="00872FD2">
                  <w:pPr>
                    <w:spacing w:after="0" w:line="360" w:lineRule="auto"/>
                    <w:jc w:val="center"/>
                    <w:cnfStyle w:val="000000000000"/>
                    <w:rPr>
                      <w:rFonts w:asciiTheme="minorHAnsi" w:eastAsiaTheme="minorHAnsi" w:hAnsiTheme="minorHAnsi" w:cstheme="minorBidi"/>
                      <w:color w:val="000000"/>
                    </w:rPr>
                  </w:pPr>
                  <w:r w:rsidRPr="005D2DE3">
                    <w:rPr>
                      <w:rFonts w:asciiTheme="minorHAnsi" w:eastAsiaTheme="minorHAnsi" w:hAnsiTheme="minorHAnsi" w:cstheme="minorBidi"/>
                      <w:color w:val="000000"/>
                    </w:rPr>
                    <w:t>Δεν ξέρω</w:t>
                  </w:r>
                </w:p>
              </w:tc>
              <w:tc>
                <w:tcPr>
                  <w:tcW w:w="1276" w:type="dxa"/>
                  <w:tcBorders>
                    <w:bottom w:val="single" w:sz="8" w:space="0" w:color="8064A2" w:themeColor="accent4"/>
                  </w:tcBorders>
                </w:tcPr>
                <w:p w:rsidR="001843FB" w:rsidRPr="005D2DE3" w:rsidRDefault="001843FB" w:rsidP="00872FD2">
                  <w:pPr>
                    <w:spacing w:after="0" w:line="360" w:lineRule="auto"/>
                    <w:jc w:val="center"/>
                    <w:cnfStyle w:val="000000000000"/>
                    <w:rPr>
                      <w:rFonts w:asciiTheme="minorHAnsi" w:eastAsiaTheme="minorHAnsi" w:hAnsiTheme="minorHAnsi" w:cstheme="minorBidi"/>
                      <w:color w:val="000000"/>
                    </w:rPr>
                  </w:pPr>
                  <w:r w:rsidRPr="005D2DE3">
                    <w:rPr>
                      <w:rFonts w:asciiTheme="minorHAnsi" w:eastAsiaTheme="minorHAnsi" w:hAnsiTheme="minorHAnsi" w:cstheme="minorBidi"/>
                      <w:color w:val="000000"/>
                    </w:rPr>
                    <w:t>19 (79,2%)</w:t>
                  </w:r>
                </w:p>
              </w:tc>
              <w:tc>
                <w:tcPr>
                  <w:tcW w:w="1147" w:type="dxa"/>
                  <w:tcBorders>
                    <w:bottom w:val="single" w:sz="8" w:space="0" w:color="8064A2" w:themeColor="accent4"/>
                  </w:tcBorders>
                </w:tcPr>
                <w:p w:rsidR="001843FB" w:rsidRPr="005D2DE3" w:rsidRDefault="001843FB" w:rsidP="00872FD2">
                  <w:pPr>
                    <w:autoSpaceDE w:val="0"/>
                    <w:autoSpaceDN w:val="0"/>
                    <w:adjustRightInd w:val="0"/>
                    <w:spacing w:after="0" w:line="360" w:lineRule="auto"/>
                    <w:ind w:left="60" w:right="60"/>
                    <w:jc w:val="center"/>
                    <w:cnfStyle w:val="000000000000"/>
                    <w:rPr>
                      <w:rFonts w:asciiTheme="minorHAnsi" w:eastAsiaTheme="minorHAnsi" w:hAnsiTheme="minorHAnsi" w:cs="Arial"/>
                      <w:color w:val="000000"/>
                    </w:rPr>
                  </w:pPr>
                  <w:r w:rsidRPr="005D2DE3">
                    <w:rPr>
                      <w:rFonts w:asciiTheme="minorHAnsi" w:eastAsiaTheme="minorHAnsi" w:hAnsiTheme="minorHAnsi" w:cs="Arial"/>
                      <w:color w:val="000000"/>
                    </w:rPr>
                    <w:t>18 (75,0%)</w:t>
                  </w:r>
                </w:p>
              </w:tc>
              <w:tc>
                <w:tcPr>
                  <w:tcW w:w="850" w:type="dxa"/>
                  <w:vMerge/>
                  <w:tcBorders>
                    <w:bottom w:val="single" w:sz="8" w:space="0" w:color="8064A2" w:themeColor="accent4"/>
                  </w:tcBorders>
                </w:tcPr>
                <w:p w:rsidR="001843FB" w:rsidRPr="005D2DE3" w:rsidRDefault="001843FB" w:rsidP="00872FD2">
                  <w:pPr>
                    <w:spacing w:after="0" w:line="360" w:lineRule="auto"/>
                    <w:jc w:val="center"/>
                    <w:cnfStyle w:val="000000000000"/>
                    <w:rPr>
                      <w:rFonts w:asciiTheme="minorHAnsi" w:eastAsiaTheme="minorHAnsi" w:hAnsiTheme="minorHAnsi" w:cstheme="minorBidi"/>
                      <w:color w:val="000000"/>
                    </w:rPr>
                  </w:pPr>
                </w:p>
              </w:tc>
              <w:tc>
                <w:tcPr>
                  <w:tcW w:w="1405" w:type="dxa"/>
                  <w:vMerge/>
                  <w:tcBorders>
                    <w:bottom w:val="single" w:sz="8" w:space="0" w:color="8064A2" w:themeColor="accent4"/>
                  </w:tcBorders>
                </w:tcPr>
                <w:p w:rsidR="001843FB" w:rsidRPr="005D2DE3" w:rsidRDefault="001843FB" w:rsidP="00872FD2">
                  <w:pPr>
                    <w:spacing w:after="0" w:line="360" w:lineRule="auto"/>
                    <w:jc w:val="center"/>
                    <w:cnfStyle w:val="000000000000"/>
                    <w:rPr>
                      <w:rFonts w:asciiTheme="minorHAnsi" w:eastAsiaTheme="minorHAnsi" w:hAnsiTheme="minorHAnsi" w:cstheme="minorBidi"/>
                      <w:color w:val="000000"/>
                    </w:rPr>
                  </w:pPr>
                </w:p>
              </w:tc>
            </w:tr>
            <w:tr w:rsidR="001843FB" w:rsidRPr="00872FD2" w:rsidTr="005D2DE3">
              <w:tc>
                <w:tcPr>
                  <w:cnfStyle w:val="001000000000"/>
                  <w:tcW w:w="8776" w:type="dxa"/>
                  <w:gridSpan w:val="6"/>
                  <w:tcBorders>
                    <w:left w:val="nil"/>
                    <w:bottom w:val="nil"/>
                  </w:tcBorders>
                  <w:shd w:val="clear" w:color="auto" w:fill="FFFFFF" w:themeFill="background1"/>
                </w:tcPr>
                <w:p w:rsidR="001843FB" w:rsidRPr="005D2DE3" w:rsidRDefault="001843FB" w:rsidP="00D30155">
                  <w:pPr>
                    <w:tabs>
                      <w:tab w:val="left" w:pos="2508"/>
                    </w:tabs>
                    <w:spacing w:after="0" w:line="360" w:lineRule="auto"/>
                    <w:rPr>
                      <w:rFonts w:asciiTheme="minorHAnsi" w:eastAsiaTheme="minorHAnsi" w:hAnsiTheme="minorHAnsi" w:cstheme="minorBidi"/>
                      <w:b w:val="0"/>
                      <w:bCs w:val="0"/>
                      <w:i/>
                      <w:color w:val="000000"/>
                      <w:lang w:val="en-US"/>
                    </w:rPr>
                  </w:pPr>
                  <w:r w:rsidRPr="005D2DE3">
                    <w:rPr>
                      <w:rFonts w:asciiTheme="minorHAnsi" w:eastAsiaTheme="minorHAnsi" w:hAnsiTheme="minorHAnsi" w:cstheme="minorBidi"/>
                      <w:b w:val="0"/>
                      <w:bCs w:val="0"/>
                      <w:i/>
                      <w:color w:val="000000"/>
                    </w:rPr>
                    <w:t>McNemar-Bowker</w:t>
                  </w:r>
                  <w:r w:rsidRPr="005D2DE3">
                    <w:rPr>
                      <w:rFonts w:asciiTheme="minorHAnsi" w:eastAsiaTheme="minorHAnsi" w:hAnsiTheme="minorHAnsi" w:cstheme="minorBidi"/>
                      <w:b w:val="0"/>
                      <w:bCs w:val="0"/>
                      <w:i/>
                      <w:color w:val="000000"/>
                      <w:lang w:val="en-US"/>
                    </w:rPr>
                    <w:t xml:space="preserve"> test</w:t>
                  </w:r>
                  <w:r w:rsidR="00D30155" w:rsidRPr="005D2DE3">
                    <w:rPr>
                      <w:rFonts w:asciiTheme="minorHAnsi" w:eastAsiaTheme="minorHAnsi" w:hAnsiTheme="minorHAnsi" w:cstheme="minorBidi"/>
                      <w:b w:val="0"/>
                      <w:bCs w:val="0"/>
                      <w:i/>
                      <w:color w:val="000000"/>
                      <w:lang w:val="en-US"/>
                    </w:rPr>
                    <w:tab/>
                  </w:r>
                </w:p>
              </w:tc>
            </w:tr>
          </w:tbl>
          <w:p w:rsidR="001843FB" w:rsidRPr="00872FD2" w:rsidRDefault="001843FB" w:rsidP="00872FD2">
            <w:pPr>
              <w:spacing w:after="0" w:line="360" w:lineRule="auto"/>
              <w:rPr>
                <w:rFonts w:asciiTheme="minorHAnsi" w:eastAsiaTheme="minorHAnsi" w:hAnsiTheme="minorHAnsi" w:cstheme="minorBidi"/>
                <w:b/>
                <w:bCs/>
                <w:i/>
                <w:color w:val="000000"/>
              </w:rPr>
            </w:pPr>
          </w:p>
        </w:tc>
      </w:tr>
      <w:tr w:rsidR="001843FB" w:rsidRPr="00872FD2" w:rsidTr="001B63BB">
        <w:trPr>
          <w:cnfStyle w:val="000000010000"/>
        </w:trPr>
        <w:tc>
          <w:tcPr>
            <w:tcW w:w="2366" w:type="dxa"/>
            <w:gridSpan w:val="6"/>
            <w:vMerge w:val="restart"/>
            <w:shd w:val="clear" w:color="auto" w:fill="E5DFEC" w:themeFill="accent4" w:themeFillTint="33"/>
          </w:tcPr>
          <w:p w:rsidR="001843FB" w:rsidRPr="00872FD2" w:rsidRDefault="001843FB" w:rsidP="00872FD2">
            <w:pPr>
              <w:spacing w:after="0" w:line="360" w:lineRule="auto"/>
              <w:rPr>
                <w:rFonts w:asciiTheme="minorHAnsi" w:eastAsiaTheme="minorHAnsi" w:hAnsiTheme="minorHAnsi" w:cstheme="minorBidi"/>
                <w:b/>
                <w:bCs/>
                <w:color w:val="000000"/>
              </w:rPr>
            </w:pPr>
            <w:r w:rsidRPr="00872FD2">
              <w:rPr>
                <w:rFonts w:asciiTheme="minorHAnsi" w:eastAsiaTheme="minorHAnsi" w:hAnsiTheme="minorHAnsi" w:cstheme="minorBidi"/>
                <w:bCs/>
                <w:color w:val="000000"/>
              </w:rPr>
              <w:t>Επιπλέον με την αιμοκάθαρση, εκτός από την απομάκρυνση των τοξικών (άχρηστων) ουσιών, απομακρύνεται η περίσσεια νερού από το αίμα. Αυτή η διαδικασία απομάκρυνσης του νερού λέγεται:</w:t>
            </w:r>
          </w:p>
        </w:tc>
        <w:tc>
          <w:tcPr>
            <w:tcW w:w="1532" w:type="dxa"/>
            <w:gridSpan w:val="5"/>
          </w:tcPr>
          <w:p w:rsidR="001843FB" w:rsidRPr="00872FD2" w:rsidRDefault="001843FB" w:rsidP="00872FD2">
            <w:pPr>
              <w:spacing w:after="0" w:line="360" w:lineRule="auto"/>
              <w:jc w:val="center"/>
              <w:rPr>
                <w:rFonts w:asciiTheme="minorHAnsi" w:eastAsiaTheme="minorHAnsi" w:hAnsiTheme="minorHAnsi" w:cstheme="minorBidi"/>
                <w:b/>
                <w:bCs/>
                <w:color w:val="000000"/>
              </w:rPr>
            </w:pPr>
            <w:r w:rsidRPr="00872FD2">
              <w:rPr>
                <w:rFonts w:asciiTheme="minorHAnsi" w:eastAsiaTheme="minorHAnsi" w:hAnsiTheme="minorHAnsi" w:cstheme="minorBidi"/>
                <w:bCs/>
                <w:color w:val="000000"/>
              </w:rPr>
              <w:t>Υπερ-διήθηση</w:t>
            </w:r>
          </w:p>
        </w:tc>
        <w:tc>
          <w:tcPr>
            <w:tcW w:w="1255" w:type="dxa"/>
            <w:gridSpan w:val="3"/>
          </w:tcPr>
          <w:p w:rsidR="001843FB" w:rsidRPr="00872FD2" w:rsidRDefault="001843FB" w:rsidP="00872FD2">
            <w:pPr>
              <w:spacing w:after="0" w:line="360" w:lineRule="auto"/>
              <w:jc w:val="center"/>
              <w:rPr>
                <w:rFonts w:asciiTheme="minorHAnsi" w:eastAsiaTheme="minorHAnsi" w:hAnsiTheme="minorHAnsi" w:cstheme="minorBidi"/>
                <w:b/>
                <w:bCs/>
                <w:color w:val="000000"/>
              </w:rPr>
            </w:pPr>
            <w:r w:rsidRPr="00872FD2">
              <w:rPr>
                <w:rFonts w:asciiTheme="minorHAnsi" w:eastAsiaTheme="minorHAnsi" w:hAnsiTheme="minorHAnsi" w:cstheme="minorBidi"/>
                <w:bCs/>
                <w:color w:val="000000"/>
              </w:rPr>
              <w:t>9 (37,5%)</w:t>
            </w:r>
          </w:p>
        </w:tc>
        <w:tc>
          <w:tcPr>
            <w:tcW w:w="1392" w:type="dxa"/>
            <w:gridSpan w:val="6"/>
          </w:tcPr>
          <w:p w:rsidR="001843FB" w:rsidRPr="00872FD2" w:rsidRDefault="001843FB" w:rsidP="00872FD2">
            <w:pPr>
              <w:autoSpaceDE w:val="0"/>
              <w:autoSpaceDN w:val="0"/>
              <w:adjustRightInd w:val="0"/>
              <w:spacing w:after="0" w:line="360" w:lineRule="auto"/>
              <w:ind w:left="60" w:right="60"/>
              <w:jc w:val="center"/>
              <w:rPr>
                <w:rFonts w:asciiTheme="minorHAnsi" w:eastAsiaTheme="minorHAnsi" w:hAnsiTheme="minorHAnsi" w:cs="Arial"/>
                <w:b/>
                <w:bCs/>
                <w:color w:val="000000"/>
              </w:rPr>
            </w:pPr>
            <w:r w:rsidRPr="00872FD2">
              <w:rPr>
                <w:rFonts w:asciiTheme="minorHAnsi" w:eastAsiaTheme="minorHAnsi" w:hAnsiTheme="minorHAnsi" w:cs="Arial"/>
                <w:bCs/>
                <w:color w:val="000000"/>
              </w:rPr>
              <w:t>11 (45,8%)</w:t>
            </w:r>
          </w:p>
        </w:tc>
        <w:tc>
          <w:tcPr>
            <w:tcW w:w="1116" w:type="dxa"/>
            <w:gridSpan w:val="6"/>
            <w:vMerge w:val="restart"/>
          </w:tcPr>
          <w:p w:rsidR="001843FB" w:rsidRPr="00872FD2" w:rsidRDefault="001843FB" w:rsidP="00872FD2">
            <w:pPr>
              <w:spacing w:after="0" w:line="360" w:lineRule="auto"/>
              <w:jc w:val="center"/>
              <w:rPr>
                <w:rFonts w:asciiTheme="minorHAnsi" w:eastAsiaTheme="minorHAnsi" w:hAnsiTheme="minorHAnsi" w:cstheme="minorBidi"/>
                <w:b/>
                <w:bCs/>
                <w:color w:val="000000"/>
                <w:lang w:val="en-US"/>
              </w:rPr>
            </w:pPr>
            <w:r w:rsidRPr="00872FD2">
              <w:rPr>
                <w:rFonts w:asciiTheme="minorHAnsi" w:eastAsiaTheme="minorHAnsi" w:hAnsiTheme="minorHAnsi" w:cstheme="minorBidi"/>
                <w:bCs/>
                <w:color w:val="000000"/>
                <w:lang w:val="en-US"/>
              </w:rPr>
              <w:t>5,000</w:t>
            </w:r>
          </w:p>
        </w:tc>
        <w:tc>
          <w:tcPr>
            <w:tcW w:w="987" w:type="dxa"/>
            <w:vMerge w:val="restart"/>
          </w:tcPr>
          <w:p w:rsidR="001843FB" w:rsidRPr="00872FD2" w:rsidRDefault="001843FB" w:rsidP="00872FD2">
            <w:pPr>
              <w:spacing w:after="0" w:line="360" w:lineRule="auto"/>
              <w:jc w:val="center"/>
              <w:rPr>
                <w:rFonts w:asciiTheme="minorHAnsi" w:eastAsiaTheme="minorHAnsi" w:hAnsiTheme="minorHAnsi" w:cstheme="minorBidi"/>
                <w:b/>
                <w:bCs/>
                <w:color w:val="000000"/>
                <w:lang w:val="en-US"/>
              </w:rPr>
            </w:pPr>
            <w:r w:rsidRPr="00872FD2">
              <w:rPr>
                <w:rFonts w:asciiTheme="minorHAnsi" w:eastAsiaTheme="minorHAnsi" w:hAnsiTheme="minorHAnsi" w:cstheme="minorBidi"/>
                <w:bCs/>
                <w:color w:val="000000"/>
                <w:lang w:val="en-US"/>
              </w:rPr>
              <w:t>0,287</w:t>
            </w:r>
          </w:p>
        </w:tc>
      </w:tr>
      <w:tr w:rsidR="001843FB" w:rsidRPr="00872FD2" w:rsidTr="001B63BB">
        <w:trPr>
          <w:cnfStyle w:val="000000100000"/>
        </w:trPr>
        <w:tc>
          <w:tcPr>
            <w:tcW w:w="2366" w:type="dxa"/>
            <w:gridSpan w:val="6"/>
            <w:vMerge/>
            <w:shd w:val="clear" w:color="auto" w:fill="E5DFEC" w:themeFill="accent4" w:themeFillTint="33"/>
          </w:tcPr>
          <w:p w:rsidR="001843FB" w:rsidRPr="00872FD2" w:rsidRDefault="001843FB" w:rsidP="00872FD2">
            <w:pPr>
              <w:spacing w:after="0" w:line="360" w:lineRule="auto"/>
              <w:jc w:val="center"/>
              <w:rPr>
                <w:rFonts w:asciiTheme="minorHAnsi" w:eastAsiaTheme="minorHAnsi" w:hAnsiTheme="minorHAnsi" w:cstheme="minorBidi"/>
                <w:b/>
                <w:bCs/>
                <w:color w:val="000000"/>
              </w:rPr>
            </w:pPr>
          </w:p>
        </w:tc>
        <w:tc>
          <w:tcPr>
            <w:tcW w:w="1532" w:type="dxa"/>
            <w:gridSpan w:val="5"/>
          </w:tcPr>
          <w:p w:rsidR="001843FB" w:rsidRPr="00872FD2" w:rsidRDefault="001843F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Όσμωση</w:t>
            </w:r>
          </w:p>
        </w:tc>
        <w:tc>
          <w:tcPr>
            <w:tcW w:w="1255" w:type="dxa"/>
            <w:gridSpan w:val="3"/>
          </w:tcPr>
          <w:p w:rsidR="001843FB" w:rsidRPr="00872FD2" w:rsidRDefault="001843F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 (4,2%)</w:t>
            </w:r>
          </w:p>
        </w:tc>
        <w:tc>
          <w:tcPr>
            <w:tcW w:w="1392" w:type="dxa"/>
            <w:gridSpan w:val="6"/>
          </w:tcPr>
          <w:p w:rsidR="001843FB" w:rsidRPr="00872FD2" w:rsidRDefault="001843FB" w:rsidP="00872FD2">
            <w:pPr>
              <w:autoSpaceDE w:val="0"/>
              <w:autoSpaceDN w:val="0"/>
              <w:adjustRightInd w:val="0"/>
              <w:spacing w:after="0" w:line="360" w:lineRule="auto"/>
              <w:ind w:left="60" w:right="60"/>
              <w:jc w:val="center"/>
              <w:rPr>
                <w:rFonts w:asciiTheme="minorHAnsi" w:eastAsiaTheme="minorHAnsi" w:hAnsiTheme="minorHAnsi" w:cs="Arial"/>
                <w:color w:val="000000"/>
              </w:rPr>
            </w:pPr>
            <w:r w:rsidRPr="00872FD2">
              <w:rPr>
                <w:rFonts w:asciiTheme="minorHAnsi" w:eastAsiaTheme="minorHAnsi" w:hAnsiTheme="minorHAnsi" w:cs="Arial"/>
                <w:color w:val="000000"/>
              </w:rPr>
              <w:t>2 (8,3%)</w:t>
            </w:r>
          </w:p>
        </w:tc>
        <w:tc>
          <w:tcPr>
            <w:tcW w:w="1116" w:type="dxa"/>
            <w:gridSpan w:val="6"/>
            <w:vMerge/>
          </w:tcPr>
          <w:p w:rsidR="001843FB" w:rsidRPr="00872FD2" w:rsidRDefault="001843FB" w:rsidP="00872FD2">
            <w:pPr>
              <w:spacing w:after="0" w:line="360" w:lineRule="auto"/>
              <w:jc w:val="center"/>
              <w:rPr>
                <w:rFonts w:asciiTheme="minorHAnsi" w:eastAsiaTheme="minorHAnsi" w:hAnsiTheme="minorHAnsi" w:cstheme="minorBidi"/>
                <w:color w:val="000000"/>
              </w:rPr>
            </w:pPr>
          </w:p>
        </w:tc>
        <w:tc>
          <w:tcPr>
            <w:tcW w:w="987" w:type="dxa"/>
            <w:vMerge/>
          </w:tcPr>
          <w:p w:rsidR="001843FB" w:rsidRPr="00872FD2" w:rsidRDefault="001843FB" w:rsidP="00872FD2">
            <w:pPr>
              <w:spacing w:after="0" w:line="360" w:lineRule="auto"/>
              <w:jc w:val="center"/>
              <w:rPr>
                <w:rFonts w:asciiTheme="minorHAnsi" w:eastAsiaTheme="minorHAnsi" w:hAnsiTheme="minorHAnsi" w:cstheme="minorBidi"/>
                <w:color w:val="000000"/>
              </w:rPr>
            </w:pPr>
          </w:p>
        </w:tc>
      </w:tr>
      <w:tr w:rsidR="001843FB" w:rsidRPr="00872FD2" w:rsidTr="001B63BB">
        <w:trPr>
          <w:cnfStyle w:val="000000010000"/>
        </w:trPr>
        <w:tc>
          <w:tcPr>
            <w:tcW w:w="2366" w:type="dxa"/>
            <w:gridSpan w:val="6"/>
            <w:vMerge/>
            <w:shd w:val="clear" w:color="auto" w:fill="E5DFEC" w:themeFill="accent4" w:themeFillTint="33"/>
          </w:tcPr>
          <w:p w:rsidR="001843FB" w:rsidRPr="00872FD2" w:rsidRDefault="001843FB" w:rsidP="00872FD2">
            <w:pPr>
              <w:spacing w:after="0" w:line="360" w:lineRule="auto"/>
              <w:jc w:val="center"/>
              <w:rPr>
                <w:rFonts w:asciiTheme="minorHAnsi" w:eastAsiaTheme="minorHAnsi" w:hAnsiTheme="minorHAnsi" w:cstheme="minorBidi"/>
                <w:b/>
                <w:bCs/>
                <w:color w:val="000000"/>
              </w:rPr>
            </w:pPr>
          </w:p>
        </w:tc>
        <w:tc>
          <w:tcPr>
            <w:tcW w:w="1532" w:type="dxa"/>
            <w:gridSpan w:val="5"/>
          </w:tcPr>
          <w:p w:rsidR="001843FB" w:rsidRPr="00872FD2" w:rsidRDefault="001843F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Κάθαρση</w:t>
            </w:r>
          </w:p>
        </w:tc>
        <w:tc>
          <w:tcPr>
            <w:tcW w:w="1255" w:type="dxa"/>
            <w:gridSpan w:val="3"/>
          </w:tcPr>
          <w:p w:rsidR="001843FB" w:rsidRPr="00872FD2" w:rsidRDefault="001843F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5 (20,8%)</w:t>
            </w:r>
          </w:p>
        </w:tc>
        <w:tc>
          <w:tcPr>
            <w:tcW w:w="1392" w:type="dxa"/>
            <w:gridSpan w:val="6"/>
          </w:tcPr>
          <w:p w:rsidR="001843FB" w:rsidRPr="00872FD2" w:rsidRDefault="001843FB" w:rsidP="00872FD2">
            <w:pPr>
              <w:autoSpaceDE w:val="0"/>
              <w:autoSpaceDN w:val="0"/>
              <w:adjustRightInd w:val="0"/>
              <w:spacing w:after="0" w:line="360" w:lineRule="auto"/>
              <w:ind w:left="60" w:right="60"/>
              <w:jc w:val="center"/>
              <w:rPr>
                <w:rFonts w:asciiTheme="minorHAnsi" w:eastAsiaTheme="minorHAnsi" w:hAnsiTheme="minorHAnsi" w:cs="Arial"/>
                <w:color w:val="000000"/>
              </w:rPr>
            </w:pPr>
            <w:r w:rsidRPr="00872FD2">
              <w:rPr>
                <w:rFonts w:asciiTheme="minorHAnsi" w:eastAsiaTheme="minorHAnsi" w:hAnsiTheme="minorHAnsi" w:cs="Arial"/>
                <w:color w:val="000000"/>
              </w:rPr>
              <w:t>2 (8,3%)</w:t>
            </w:r>
          </w:p>
        </w:tc>
        <w:tc>
          <w:tcPr>
            <w:tcW w:w="1116" w:type="dxa"/>
            <w:gridSpan w:val="6"/>
            <w:vMerge/>
          </w:tcPr>
          <w:p w:rsidR="001843FB" w:rsidRPr="00872FD2" w:rsidRDefault="001843FB" w:rsidP="00872FD2">
            <w:pPr>
              <w:spacing w:after="0" w:line="360" w:lineRule="auto"/>
              <w:jc w:val="center"/>
              <w:rPr>
                <w:rFonts w:asciiTheme="minorHAnsi" w:eastAsiaTheme="minorHAnsi" w:hAnsiTheme="minorHAnsi" w:cstheme="minorBidi"/>
                <w:color w:val="000000"/>
              </w:rPr>
            </w:pPr>
          </w:p>
        </w:tc>
        <w:tc>
          <w:tcPr>
            <w:tcW w:w="987" w:type="dxa"/>
            <w:vMerge/>
          </w:tcPr>
          <w:p w:rsidR="001843FB" w:rsidRPr="00872FD2" w:rsidRDefault="001843FB" w:rsidP="00872FD2">
            <w:pPr>
              <w:spacing w:after="0" w:line="360" w:lineRule="auto"/>
              <w:jc w:val="center"/>
              <w:rPr>
                <w:rFonts w:asciiTheme="minorHAnsi" w:eastAsiaTheme="minorHAnsi" w:hAnsiTheme="minorHAnsi" w:cstheme="minorBidi"/>
                <w:color w:val="000000"/>
              </w:rPr>
            </w:pPr>
          </w:p>
        </w:tc>
      </w:tr>
      <w:tr w:rsidR="001843FB" w:rsidRPr="00872FD2" w:rsidTr="001B63BB">
        <w:trPr>
          <w:cnfStyle w:val="000000100000"/>
        </w:trPr>
        <w:tc>
          <w:tcPr>
            <w:tcW w:w="2366" w:type="dxa"/>
            <w:gridSpan w:val="6"/>
            <w:vMerge/>
            <w:shd w:val="clear" w:color="auto" w:fill="E5DFEC" w:themeFill="accent4" w:themeFillTint="33"/>
          </w:tcPr>
          <w:p w:rsidR="001843FB" w:rsidRPr="00872FD2" w:rsidRDefault="001843FB" w:rsidP="00872FD2">
            <w:pPr>
              <w:spacing w:after="0" w:line="360" w:lineRule="auto"/>
              <w:jc w:val="center"/>
              <w:rPr>
                <w:rFonts w:asciiTheme="minorHAnsi" w:eastAsiaTheme="minorHAnsi" w:hAnsiTheme="minorHAnsi" w:cstheme="minorBidi"/>
                <w:b/>
                <w:bCs/>
                <w:color w:val="000000"/>
              </w:rPr>
            </w:pPr>
          </w:p>
        </w:tc>
        <w:tc>
          <w:tcPr>
            <w:tcW w:w="1532" w:type="dxa"/>
            <w:gridSpan w:val="5"/>
          </w:tcPr>
          <w:p w:rsidR="001843FB" w:rsidRPr="00872FD2" w:rsidRDefault="001843F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Δεν ξέρω</w:t>
            </w:r>
          </w:p>
        </w:tc>
        <w:tc>
          <w:tcPr>
            <w:tcW w:w="1255" w:type="dxa"/>
            <w:gridSpan w:val="3"/>
          </w:tcPr>
          <w:p w:rsidR="001843FB" w:rsidRPr="00872FD2" w:rsidRDefault="001843F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9 (37,5%)</w:t>
            </w:r>
          </w:p>
        </w:tc>
        <w:tc>
          <w:tcPr>
            <w:tcW w:w="1392" w:type="dxa"/>
            <w:gridSpan w:val="6"/>
          </w:tcPr>
          <w:p w:rsidR="001843FB" w:rsidRPr="00872FD2" w:rsidRDefault="001843FB" w:rsidP="00872FD2">
            <w:pPr>
              <w:autoSpaceDE w:val="0"/>
              <w:autoSpaceDN w:val="0"/>
              <w:adjustRightInd w:val="0"/>
              <w:spacing w:after="0" w:line="360" w:lineRule="auto"/>
              <w:ind w:left="60" w:right="60"/>
              <w:jc w:val="center"/>
              <w:rPr>
                <w:rFonts w:asciiTheme="minorHAnsi" w:eastAsiaTheme="minorHAnsi" w:hAnsiTheme="minorHAnsi" w:cs="Arial"/>
                <w:color w:val="000000"/>
              </w:rPr>
            </w:pPr>
            <w:r w:rsidRPr="00872FD2">
              <w:rPr>
                <w:rFonts w:asciiTheme="minorHAnsi" w:eastAsiaTheme="minorHAnsi" w:hAnsiTheme="minorHAnsi" w:cs="Arial"/>
                <w:color w:val="000000"/>
              </w:rPr>
              <w:t>9 (37,5%)</w:t>
            </w:r>
          </w:p>
        </w:tc>
        <w:tc>
          <w:tcPr>
            <w:tcW w:w="1116" w:type="dxa"/>
            <w:gridSpan w:val="6"/>
            <w:vMerge/>
          </w:tcPr>
          <w:p w:rsidR="001843FB" w:rsidRPr="00872FD2" w:rsidRDefault="001843FB" w:rsidP="00872FD2">
            <w:pPr>
              <w:spacing w:after="0" w:line="360" w:lineRule="auto"/>
              <w:jc w:val="center"/>
              <w:rPr>
                <w:rFonts w:asciiTheme="minorHAnsi" w:eastAsiaTheme="minorHAnsi" w:hAnsiTheme="minorHAnsi" w:cstheme="minorBidi"/>
                <w:color w:val="000000"/>
              </w:rPr>
            </w:pPr>
          </w:p>
        </w:tc>
        <w:tc>
          <w:tcPr>
            <w:tcW w:w="987" w:type="dxa"/>
            <w:vMerge/>
          </w:tcPr>
          <w:p w:rsidR="001843FB" w:rsidRPr="00872FD2" w:rsidRDefault="001843FB" w:rsidP="00872FD2">
            <w:pPr>
              <w:spacing w:after="0" w:line="360" w:lineRule="auto"/>
              <w:jc w:val="center"/>
              <w:rPr>
                <w:rFonts w:asciiTheme="minorHAnsi" w:eastAsiaTheme="minorHAnsi" w:hAnsiTheme="minorHAnsi" w:cstheme="minorBidi"/>
                <w:color w:val="000000"/>
              </w:rPr>
            </w:pPr>
          </w:p>
        </w:tc>
      </w:tr>
      <w:tr w:rsidR="001843FB" w:rsidRPr="00872FD2" w:rsidTr="001B63BB">
        <w:trPr>
          <w:cnfStyle w:val="000000010000"/>
        </w:trPr>
        <w:tc>
          <w:tcPr>
            <w:tcW w:w="8648" w:type="dxa"/>
            <w:gridSpan w:val="27"/>
          </w:tcPr>
          <w:p w:rsidR="001843FB" w:rsidRPr="00872FD2" w:rsidRDefault="001843FB" w:rsidP="00872FD2">
            <w:pPr>
              <w:spacing w:after="0" w:line="360" w:lineRule="auto"/>
              <w:rPr>
                <w:rFonts w:asciiTheme="minorHAnsi" w:eastAsiaTheme="minorHAnsi" w:hAnsiTheme="minorHAnsi" w:cstheme="minorBidi"/>
                <w:b/>
                <w:bCs/>
                <w:i/>
                <w:color w:val="000000"/>
                <w:lang w:val="en-US"/>
              </w:rPr>
            </w:pPr>
            <w:r w:rsidRPr="00872FD2">
              <w:rPr>
                <w:rFonts w:asciiTheme="minorHAnsi" w:eastAsiaTheme="minorHAnsi" w:hAnsiTheme="minorHAnsi" w:cstheme="minorBidi"/>
                <w:bCs/>
                <w:i/>
                <w:color w:val="000000"/>
              </w:rPr>
              <w:t>McNemar-Bowker</w:t>
            </w:r>
            <w:r w:rsidRPr="00872FD2">
              <w:rPr>
                <w:rFonts w:asciiTheme="minorHAnsi" w:eastAsiaTheme="minorHAnsi" w:hAnsiTheme="minorHAnsi" w:cstheme="minorBidi"/>
                <w:bCs/>
                <w:i/>
                <w:color w:val="000000"/>
                <w:lang w:val="en-US"/>
              </w:rPr>
              <w:t xml:space="preserve"> test</w:t>
            </w:r>
          </w:p>
        </w:tc>
      </w:tr>
      <w:tr w:rsidR="0099394C" w:rsidRPr="00872FD2" w:rsidTr="001B63BB">
        <w:trPr>
          <w:cnfStyle w:val="000000100000"/>
        </w:trPr>
        <w:tc>
          <w:tcPr>
            <w:tcW w:w="2351" w:type="dxa"/>
            <w:gridSpan w:val="5"/>
            <w:vMerge w:val="restart"/>
          </w:tcPr>
          <w:p w:rsidR="004D1E8A" w:rsidRPr="00236EBF" w:rsidRDefault="004D1E8A" w:rsidP="00872FD2">
            <w:pPr>
              <w:spacing w:after="0" w:line="360" w:lineRule="auto"/>
              <w:rPr>
                <w:rFonts w:asciiTheme="minorHAnsi" w:eastAsiaTheme="minorHAnsi" w:hAnsiTheme="minorHAnsi" w:cstheme="minorBidi"/>
                <w:color w:val="000000"/>
              </w:rPr>
            </w:pPr>
            <w:r w:rsidRPr="00236EBF">
              <w:rPr>
                <w:rFonts w:asciiTheme="minorHAnsi" w:eastAsiaTheme="minorHAnsi" w:hAnsiTheme="minorHAnsi" w:cstheme="minorBidi"/>
                <w:color w:val="000000"/>
              </w:rPr>
              <w:t xml:space="preserve">Ένας ασθενής με νεφρική νόσο μπορεί να εμφανίσει υψηλή αρτηριακή πίεση, εφίδρωση και ταχεία αύξηση του σωματικού του βάρους όταν ο οργανισμός του </w:t>
            </w:r>
            <w:r w:rsidR="00821124" w:rsidRPr="00236EBF">
              <w:rPr>
                <w:rFonts w:asciiTheme="minorHAnsi" w:eastAsiaTheme="minorHAnsi" w:hAnsiTheme="minorHAnsi" w:cstheme="minorBidi"/>
                <w:color w:val="000000"/>
              </w:rPr>
              <w:t>επιβαρύ</w:t>
            </w:r>
            <w:r w:rsidRPr="00236EBF">
              <w:rPr>
                <w:rFonts w:asciiTheme="minorHAnsi" w:eastAsiaTheme="minorHAnsi" w:hAnsiTheme="minorHAnsi" w:cstheme="minorBidi"/>
                <w:color w:val="000000"/>
              </w:rPr>
              <w:t>νεται με:</w:t>
            </w:r>
          </w:p>
        </w:tc>
        <w:tc>
          <w:tcPr>
            <w:tcW w:w="1514" w:type="dxa"/>
            <w:gridSpan w:val="5"/>
          </w:tcPr>
          <w:p w:rsidR="004D1E8A" w:rsidRPr="00236EBF" w:rsidRDefault="004D1E8A" w:rsidP="00872FD2">
            <w:pPr>
              <w:spacing w:after="0" w:line="360" w:lineRule="auto"/>
              <w:jc w:val="center"/>
              <w:rPr>
                <w:rFonts w:asciiTheme="minorHAnsi" w:eastAsiaTheme="minorHAnsi" w:hAnsiTheme="minorHAnsi" w:cstheme="minorBidi"/>
                <w:color w:val="000000"/>
              </w:rPr>
            </w:pPr>
            <w:r w:rsidRPr="00236EBF">
              <w:rPr>
                <w:rFonts w:asciiTheme="minorHAnsi" w:eastAsiaTheme="minorHAnsi" w:hAnsiTheme="minorHAnsi" w:cstheme="minorBidi"/>
                <w:color w:val="000000"/>
              </w:rPr>
              <w:t>Πρωτεΐνες</w:t>
            </w:r>
          </w:p>
        </w:tc>
        <w:tc>
          <w:tcPr>
            <w:tcW w:w="1256" w:type="dxa"/>
            <w:gridSpan w:val="3"/>
          </w:tcPr>
          <w:p w:rsidR="004D1E8A" w:rsidRPr="00236EBF" w:rsidRDefault="004D1E8A" w:rsidP="00872FD2">
            <w:pPr>
              <w:spacing w:after="0" w:line="360" w:lineRule="auto"/>
              <w:jc w:val="center"/>
              <w:rPr>
                <w:rFonts w:asciiTheme="minorHAnsi" w:eastAsiaTheme="minorHAnsi" w:hAnsiTheme="minorHAnsi" w:cstheme="minorBidi"/>
                <w:color w:val="000000"/>
              </w:rPr>
            </w:pPr>
            <w:r w:rsidRPr="00236EBF">
              <w:rPr>
                <w:rFonts w:asciiTheme="minorHAnsi" w:eastAsiaTheme="minorHAnsi" w:hAnsiTheme="minorHAnsi" w:cstheme="minorBidi"/>
                <w:color w:val="000000"/>
              </w:rPr>
              <w:t>1 (4,2%)</w:t>
            </w:r>
          </w:p>
        </w:tc>
        <w:tc>
          <w:tcPr>
            <w:tcW w:w="1377" w:type="dxa"/>
            <w:gridSpan w:val="5"/>
          </w:tcPr>
          <w:p w:rsidR="004D1E8A" w:rsidRPr="00236EBF" w:rsidRDefault="004D1E8A" w:rsidP="00872FD2">
            <w:pPr>
              <w:spacing w:after="0" w:line="360" w:lineRule="auto"/>
              <w:jc w:val="center"/>
              <w:rPr>
                <w:rFonts w:asciiTheme="minorHAnsi" w:eastAsiaTheme="minorHAnsi" w:hAnsiTheme="minorHAnsi" w:cstheme="minorBidi"/>
                <w:color w:val="000000"/>
              </w:rPr>
            </w:pPr>
            <w:r w:rsidRPr="00236EBF">
              <w:rPr>
                <w:rFonts w:asciiTheme="minorHAnsi" w:eastAsiaTheme="minorHAnsi" w:hAnsiTheme="minorHAnsi" w:cstheme="minorBidi"/>
                <w:color w:val="000000"/>
              </w:rPr>
              <w:t>0 (0,0%)</w:t>
            </w:r>
          </w:p>
        </w:tc>
        <w:tc>
          <w:tcPr>
            <w:tcW w:w="1106" w:type="dxa"/>
            <w:gridSpan w:val="7"/>
            <w:vMerge w:val="restart"/>
          </w:tcPr>
          <w:p w:rsidR="004D1E8A" w:rsidRPr="00236EBF" w:rsidRDefault="004D1E8A" w:rsidP="00872FD2">
            <w:pPr>
              <w:spacing w:after="0" w:line="360" w:lineRule="auto"/>
              <w:jc w:val="center"/>
              <w:rPr>
                <w:rFonts w:asciiTheme="minorHAnsi" w:eastAsiaTheme="minorHAnsi" w:hAnsiTheme="minorHAnsi" w:cstheme="minorBidi"/>
                <w:color w:val="000000"/>
                <w:lang w:val="en-US"/>
              </w:rPr>
            </w:pPr>
            <w:r w:rsidRPr="00236EBF">
              <w:rPr>
                <w:rFonts w:asciiTheme="minorHAnsi" w:eastAsiaTheme="minorHAnsi" w:hAnsiTheme="minorHAnsi" w:cstheme="minorBidi"/>
                <w:color w:val="000000"/>
                <w:lang w:val="en-US"/>
              </w:rPr>
              <w:t>NC</w:t>
            </w:r>
          </w:p>
        </w:tc>
        <w:tc>
          <w:tcPr>
            <w:tcW w:w="1044" w:type="dxa"/>
            <w:gridSpan w:val="2"/>
            <w:vMerge w:val="restart"/>
          </w:tcPr>
          <w:p w:rsidR="004D1E8A" w:rsidRPr="00236EBF" w:rsidRDefault="004D1E8A" w:rsidP="00872FD2">
            <w:pPr>
              <w:spacing w:after="0" w:line="360" w:lineRule="auto"/>
              <w:jc w:val="center"/>
              <w:rPr>
                <w:rFonts w:asciiTheme="minorHAnsi" w:eastAsiaTheme="minorHAnsi" w:hAnsiTheme="minorHAnsi" w:cstheme="minorBidi"/>
                <w:color w:val="000000"/>
                <w:lang w:val="en-US"/>
              </w:rPr>
            </w:pPr>
            <w:r w:rsidRPr="00236EBF">
              <w:rPr>
                <w:rFonts w:asciiTheme="minorHAnsi" w:eastAsiaTheme="minorHAnsi" w:hAnsiTheme="minorHAnsi" w:cstheme="minorBidi"/>
                <w:color w:val="000000"/>
                <w:lang w:val="en-US"/>
              </w:rPr>
              <w:t>NC</w:t>
            </w:r>
          </w:p>
        </w:tc>
      </w:tr>
      <w:tr w:rsidR="0077197B" w:rsidRPr="00872FD2" w:rsidTr="001B63BB">
        <w:trPr>
          <w:cnfStyle w:val="000000010000"/>
        </w:trPr>
        <w:tc>
          <w:tcPr>
            <w:tcW w:w="2351" w:type="dxa"/>
            <w:gridSpan w:val="5"/>
            <w:vMerge/>
          </w:tcPr>
          <w:p w:rsidR="004D1E8A" w:rsidRPr="00236EBF" w:rsidRDefault="004D1E8A" w:rsidP="00872FD2">
            <w:pPr>
              <w:spacing w:after="0" w:line="360" w:lineRule="auto"/>
              <w:jc w:val="center"/>
              <w:rPr>
                <w:rFonts w:asciiTheme="minorHAnsi" w:eastAsiaTheme="minorHAnsi" w:hAnsiTheme="minorHAnsi" w:cstheme="minorBidi"/>
                <w:color w:val="000000"/>
              </w:rPr>
            </w:pPr>
          </w:p>
        </w:tc>
        <w:tc>
          <w:tcPr>
            <w:tcW w:w="1514" w:type="dxa"/>
            <w:gridSpan w:val="5"/>
          </w:tcPr>
          <w:p w:rsidR="004D1E8A" w:rsidRPr="00236EBF" w:rsidRDefault="004D1E8A" w:rsidP="00872FD2">
            <w:pPr>
              <w:spacing w:after="0" w:line="360" w:lineRule="auto"/>
              <w:jc w:val="center"/>
              <w:rPr>
                <w:rFonts w:asciiTheme="minorHAnsi" w:eastAsiaTheme="minorHAnsi" w:hAnsiTheme="minorHAnsi" w:cstheme="minorBidi"/>
                <w:color w:val="000000"/>
              </w:rPr>
            </w:pPr>
            <w:r w:rsidRPr="00236EBF">
              <w:rPr>
                <w:rFonts w:asciiTheme="minorHAnsi" w:eastAsiaTheme="minorHAnsi" w:hAnsiTheme="minorHAnsi" w:cstheme="minorBidi"/>
                <w:color w:val="000000"/>
              </w:rPr>
              <w:t>Νερό</w:t>
            </w:r>
          </w:p>
        </w:tc>
        <w:tc>
          <w:tcPr>
            <w:tcW w:w="1256" w:type="dxa"/>
            <w:gridSpan w:val="3"/>
          </w:tcPr>
          <w:p w:rsidR="004D1E8A" w:rsidRPr="00236EBF" w:rsidRDefault="004D1E8A" w:rsidP="00872FD2">
            <w:pPr>
              <w:spacing w:after="0" w:line="360" w:lineRule="auto"/>
              <w:jc w:val="center"/>
              <w:rPr>
                <w:rFonts w:asciiTheme="minorHAnsi" w:eastAsiaTheme="minorHAnsi" w:hAnsiTheme="minorHAnsi" w:cstheme="minorBidi"/>
                <w:color w:val="000000"/>
              </w:rPr>
            </w:pPr>
            <w:r w:rsidRPr="00236EBF">
              <w:rPr>
                <w:rFonts w:asciiTheme="minorHAnsi" w:eastAsiaTheme="minorHAnsi" w:hAnsiTheme="minorHAnsi" w:cstheme="minorBidi"/>
                <w:color w:val="000000"/>
              </w:rPr>
              <w:t>18 (75,0%)</w:t>
            </w:r>
          </w:p>
        </w:tc>
        <w:tc>
          <w:tcPr>
            <w:tcW w:w="1377" w:type="dxa"/>
            <w:gridSpan w:val="5"/>
          </w:tcPr>
          <w:p w:rsidR="004D1E8A" w:rsidRPr="00236EBF" w:rsidRDefault="004D1E8A" w:rsidP="00872FD2">
            <w:pPr>
              <w:autoSpaceDE w:val="0"/>
              <w:autoSpaceDN w:val="0"/>
              <w:adjustRightInd w:val="0"/>
              <w:spacing w:after="0" w:line="360" w:lineRule="auto"/>
              <w:ind w:left="60" w:right="60"/>
              <w:jc w:val="center"/>
              <w:rPr>
                <w:rFonts w:asciiTheme="minorHAnsi" w:eastAsiaTheme="minorHAnsi" w:hAnsiTheme="minorHAnsi" w:cs="Arial"/>
                <w:color w:val="000000"/>
              </w:rPr>
            </w:pPr>
            <w:r w:rsidRPr="00236EBF">
              <w:rPr>
                <w:rFonts w:asciiTheme="minorHAnsi" w:eastAsiaTheme="minorHAnsi" w:hAnsiTheme="minorHAnsi" w:cs="Arial"/>
                <w:color w:val="000000"/>
              </w:rPr>
              <w:t>20 (83,3%)</w:t>
            </w:r>
          </w:p>
        </w:tc>
        <w:tc>
          <w:tcPr>
            <w:tcW w:w="1106" w:type="dxa"/>
            <w:gridSpan w:val="7"/>
            <w:vMerge/>
          </w:tcPr>
          <w:p w:rsidR="004D1E8A" w:rsidRPr="00236EBF" w:rsidRDefault="004D1E8A" w:rsidP="00872FD2">
            <w:pPr>
              <w:spacing w:after="0" w:line="360" w:lineRule="auto"/>
              <w:jc w:val="center"/>
              <w:rPr>
                <w:rFonts w:asciiTheme="minorHAnsi" w:eastAsiaTheme="minorHAnsi" w:hAnsiTheme="minorHAnsi" w:cstheme="minorBidi"/>
                <w:color w:val="000000"/>
              </w:rPr>
            </w:pPr>
          </w:p>
        </w:tc>
        <w:tc>
          <w:tcPr>
            <w:tcW w:w="1044" w:type="dxa"/>
            <w:gridSpan w:val="2"/>
            <w:vMerge/>
          </w:tcPr>
          <w:p w:rsidR="004D1E8A" w:rsidRPr="00236EBF" w:rsidRDefault="004D1E8A" w:rsidP="00872FD2">
            <w:pPr>
              <w:spacing w:after="0" w:line="360" w:lineRule="auto"/>
              <w:jc w:val="center"/>
              <w:rPr>
                <w:rFonts w:asciiTheme="minorHAnsi" w:eastAsiaTheme="minorHAnsi" w:hAnsiTheme="minorHAnsi" w:cstheme="minorBidi"/>
                <w:color w:val="000000"/>
              </w:rPr>
            </w:pPr>
          </w:p>
        </w:tc>
      </w:tr>
      <w:tr w:rsidR="0077197B" w:rsidRPr="00872FD2" w:rsidTr="001B63BB">
        <w:trPr>
          <w:cnfStyle w:val="000000100000"/>
        </w:trPr>
        <w:tc>
          <w:tcPr>
            <w:tcW w:w="2351" w:type="dxa"/>
            <w:gridSpan w:val="5"/>
            <w:vMerge/>
          </w:tcPr>
          <w:p w:rsidR="004D1E8A" w:rsidRPr="00236EBF" w:rsidRDefault="004D1E8A" w:rsidP="00872FD2">
            <w:pPr>
              <w:spacing w:after="0" w:line="360" w:lineRule="auto"/>
              <w:jc w:val="center"/>
              <w:rPr>
                <w:rFonts w:asciiTheme="minorHAnsi" w:eastAsiaTheme="minorHAnsi" w:hAnsiTheme="minorHAnsi" w:cstheme="minorBidi"/>
                <w:b/>
                <w:i/>
                <w:color w:val="000000"/>
              </w:rPr>
            </w:pPr>
          </w:p>
        </w:tc>
        <w:tc>
          <w:tcPr>
            <w:tcW w:w="1514" w:type="dxa"/>
            <w:gridSpan w:val="5"/>
          </w:tcPr>
          <w:p w:rsidR="004D1E8A" w:rsidRPr="00236EBF" w:rsidRDefault="004D1E8A" w:rsidP="00872FD2">
            <w:pPr>
              <w:spacing w:after="0" w:line="360" w:lineRule="auto"/>
              <w:jc w:val="center"/>
              <w:rPr>
                <w:rFonts w:asciiTheme="minorHAnsi" w:eastAsiaTheme="minorHAnsi" w:hAnsiTheme="minorHAnsi" w:cstheme="minorBidi"/>
                <w:color w:val="000000"/>
              </w:rPr>
            </w:pPr>
            <w:r w:rsidRPr="00236EBF">
              <w:rPr>
                <w:rFonts w:asciiTheme="minorHAnsi" w:eastAsiaTheme="minorHAnsi" w:hAnsiTheme="minorHAnsi" w:cstheme="minorBidi"/>
                <w:color w:val="000000"/>
              </w:rPr>
              <w:t>Δεν ξέρω</w:t>
            </w:r>
          </w:p>
        </w:tc>
        <w:tc>
          <w:tcPr>
            <w:tcW w:w="1256" w:type="dxa"/>
            <w:gridSpan w:val="3"/>
          </w:tcPr>
          <w:p w:rsidR="004D1E8A" w:rsidRPr="00236EBF" w:rsidRDefault="004D1E8A" w:rsidP="00872FD2">
            <w:pPr>
              <w:spacing w:after="0" w:line="360" w:lineRule="auto"/>
              <w:jc w:val="center"/>
              <w:rPr>
                <w:rFonts w:asciiTheme="minorHAnsi" w:eastAsiaTheme="minorHAnsi" w:hAnsiTheme="minorHAnsi" w:cstheme="minorBidi"/>
                <w:color w:val="000000"/>
              </w:rPr>
            </w:pPr>
            <w:r w:rsidRPr="00236EBF">
              <w:rPr>
                <w:rFonts w:asciiTheme="minorHAnsi" w:eastAsiaTheme="minorHAnsi" w:hAnsiTheme="minorHAnsi" w:cstheme="minorBidi"/>
                <w:color w:val="000000"/>
              </w:rPr>
              <w:t>5 (20,8%)</w:t>
            </w:r>
          </w:p>
        </w:tc>
        <w:tc>
          <w:tcPr>
            <w:tcW w:w="1377" w:type="dxa"/>
            <w:gridSpan w:val="5"/>
          </w:tcPr>
          <w:p w:rsidR="004D1E8A" w:rsidRPr="00236EBF" w:rsidRDefault="004D1E8A" w:rsidP="00872FD2">
            <w:pPr>
              <w:autoSpaceDE w:val="0"/>
              <w:autoSpaceDN w:val="0"/>
              <w:adjustRightInd w:val="0"/>
              <w:spacing w:after="0" w:line="360" w:lineRule="auto"/>
              <w:ind w:left="60" w:right="60"/>
              <w:jc w:val="center"/>
              <w:rPr>
                <w:rFonts w:asciiTheme="minorHAnsi" w:eastAsiaTheme="minorHAnsi" w:hAnsiTheme="minorHAnsi" w:cs="Arial"/>
                <w:color w:val="000000"/>
              </w:rPr>
            </w:pPr>
            <w:r w:rsidRPr="00236EBF">
              <w:rPr>
                <w:rFonts w:asciiTheme="minorHAnsi" w:eastAsiaTheme="minorHAnsi" w:hAnsiTheme="minorHAnsi" w:cs="Arial"/>
                <w:color w:val="000000"/>
              </w:rPr>
              <w:t>4 (16,7%)</w:t>
            </w:r>
          </w:p>
        </w:tc>
        <w:tc>
          <w:tcPr>
            <w:tcW w:w="1106" w:type="dxa"/>
            <w:gridSpan w:val="7"/>
            <w:vMerge/>
          </w:tcPr>
          <w:p w:rsidR="004D1E8A" w:rsidRPr="00236EBF" w:rsidRDefault="004D1E8A" w:rsidP="00872FD2">
            <w:pPr>
              <w:spacing w:after="0" w:line="360" w:lineRule="auto"/>
              <w:jc w:val="center"/>
              <w:rPr>
                <w:rFonts w:asciiTheme="minorHAnsi" w:eastAsiaTheme="minorHAnsi" w:hAnsiTheme="minorHAnsi" w:cstheme="minorBidi"/>
                <w:color w:val="000000"/>
              </w:rPr>
            </w:pPr>
          </w:p>
        </w:tc>
        <w:tc>
          <w:tcPr>
            <w:tcW w:w="1044" w:type="dxa"/>
            <w:gridSpan w:val="2"/>
            <w:vMerge/>
          </w:tcPr>
          <w:p w:rsidR="004D1E8A" w:rsidRPr="00236EBF" w:rsidRDefault="004D1E8A" w:rsidP="00872FD2">
            <w:pPr>
              <w:spacing w:after="0" w:line="360" w:lineRule="auto"/>
              <w:jc w:val="center"/>
              <w:rPr>
                <w:rFonts w:asciiTheme="minorHAnsi" w:eastAsiaTheme="minorHAnsi" w:hAnsiTheme="minorHAnsi" w:cstheme="minorBidi"/>
                <w:color w:val="000000"/>
              </w:rPr>
            </w:pPr>
          </w:p>
        </w:tc>
      </w:tr>
      <w:tr w:rsidR="004D1E8A" w:rsidRPr="00872FD2" w:rsidTr="001B63BB">
        <w:trPr>
          <w:cnfStyle w:val="000000010000"/>
        </w:trPr>
        <w:tc>
          <w:tcPr>
            <w:tcW w:w="8648" w:type="dxa"/>
            <w:gridSpan w:val="27"/>
          </w:tcPr>
          <w:p w:rsidR="004D1E8A" w:rsidRPr="00236EBF" w:rsidRDefault="004D1E8A" w:rsidP="00872FD2">
            <w:pPr>
              <w:spacing w:after="0" w:line="360" w:lineRule="auto"/>
              <w:rPr>
                <w:rFonts w:asciiTheme="minorHAnsi" w:eastAsiaTheme="minorHAnsi" w:hAnsiTheme="minorHAnsi" w:cstheme="minorBidi"/>
                <w:i/>
                <w:color w:val="000000"/>
                <w:lang w:val="en-US"/>
              </w:rPr>
            </w:pPr>
            <w:r w:rsidRPr="00236EBF">
              <w:rPr>
                <w:rFonts w:asciiTheme="minorHAnsi" w:eastAsiaTheme="minorHAnsi" w:hAnsiTheme="minorHAnsi" w:cstheme="minorBidi"/>
                <w:i/>
                <w:color w:val="000000"/>
              </w:rPr>
              <w:t>McNemar-Bowker</w:t>
            </w:r>
            <w:r w:rsidRPr="00236EBF">
              <w:rPr>
                <w:rFonts w:asciiTheme="minorHAnsi" w:eastAsiaTheme="minorHAnsi" w:hAnsiTheme="minorHAnsi" w:cstheme="minorBidi"/>
                <w:i/>
                <w:color w:val="000000"/>
                <w:lang w:val="en-US"/>
              </w:rPr>
              <w:t xml:space="preserve"> test</w:t>
            </w:r>
          </w:p>
        </w:tc>
      </w:tr>
      <w:tr w:rsidR="0077197B" w:rsidRPr="00872FD2" w:rsidTr="001B63BB">
        <w:trPr>
          <w:cnfStyle w:val="000000100000"/>
        </w:trPr>
        <w:tc>
          <w:tcPr>
            <w:tcW w:w="2427" w:type="dxa"/>
            <w:gridSpan w:val="7"/>
            <w:vMerge w:val="restart"/>
          </w:tcPr>
          <w:p w:rsidR="004D1E8A" w:rsidRPr="00872FD2" w:rsidRDefault="004D1E8A" w:rsidP="00872FD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Ποια από τις παρακάτω τροφές έχει πολύ κάλιο;</w:t>
            </w:r>
          </w:p>
        </w:tc>
        <w:tc>
          <w:tcPr>
            <w:tcW w:w="1438" w:type="dxa"/>
            <w:gridSpan w:val="3"/>
          </w:tcPr>
          <w:p w:rsidR="004D1E8A" w:rsidRPr="00872FD2" w:rsidRDefault="004D1E8A"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Το παγωτό</w:t>
            </w:r>
          </w:p>
        </w:tc>
        <w:tc>
          <w:tcPr>
            <w:tcW w:w="1341" w:type="dxa"/>
            <w:gridSpan w:val="5"/>
          </w:tcPr>
          <w:p w:rsidR="004D1E8A" w:rsidRPr="00872FD2" w:rsidRDefault="004D1E8A"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 (4,2%)</w:t>
            </w:r>
          </w:p>
        </w:tc>
        <w:tc>
          <w:tcPr>
            <w:tcW w:w="1339" w:type="dxa"/>
            <w:gridSpan w:val="5"/>
          </w:tcPr>
          <w:p w:rsidR="004D1E8A" w:rsidRPr="00872FD2" w:rsidRDefault="004D1E8A"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 (4,2%)</w:t>
            </w:r>
          </w:p>
        </w:tc>
        <w:tc>
          <w:tcPr>
            <w:tcW w:w="964" w:type="dxa"/>
            <w:gridSpan w:val="3"/>
            <w:vMerge w:val="restart"/>
          </w:tcPr>
          <w:p w:rsidR="004D1E8A" w:rsidRPr="00872FD2" w:rsidRDefault="004D1E8A" w:rsidP="00872FD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NC</w:t>
            </w:r>
          </w:p>
        </w:tc>
        <w:tc>
          <w:tcPr>
            <w:tcW w:w="1139" w:type="dxa"/>
            <w:gridSpan w:val="4"/>
            <w:vMerge w:val="restart"/>
          </w:tcPr>
          <w:p w:rsidR="004D1E8A" w:rsidRPr="00872FD2" w:rsidRDefault="004D1E8A" w:rsidP="00872FD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NC</w:t>
            </w:r>
          </w:p>
        </w:tc>
      </w:tr>
      <w:tr w:rsidR="0077197B" w:rsidRPr="00872FD2" w:rsidTr="001B63BB">
        <w:trPr>
          <w:cnfStyle w:val="000000010000"/>
        </w:trPr>
        <w:tc>
          <w:tcPr>
            <w:tcW w:w="2427" w:type="dxa"/>
            <w:gridSpan w:val="7"/>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c>
          <w:tcPr>
            <w:tcW w:w="1438" w:type="dxa"/>
            <w:gridSpan w:val="3"/>
          </w:tcPr>
          <w:p w:rsidR="004D1E8A" w:rsidRPr="00872FD2" w:rsidRDefault="004D1E8A"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Οι μπανάνες</w:t>
            </w:r>
          </w:p>
        </w:tc>
        <w:tc>
          <w:tcPr>
            <w:tcW w:w="1341" w:type="dxa"/>
            <w:gridSpan w:val="5"/>
          </w:tcPr>
          <w:p w:rsidR="004D1E8A" w:rsidRPr="00872FD2" w:rsidRDefault="004D1E8A"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23 (95,8%)</w:t>
            </w:r>
          </w:p>
        </w:tc>
        <w:tc>
          <w:tcPr>
            <w:tcW w:w="1339" w:type="dxa"/>
            <w:gridSpan w:val="5"/>
          </w:tcPr>
          <w:p w:rsidR="004D1E8A" w:rsidRPr="00872FD2" w:rsidRDefault="004D1E8A"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23 (95,8%)</w:t>
            </w:r>
          </w:p>
        </w:tc>
        <w:tc>
          <w:tcPr>
            <w:tcW w:w="964" w:type="dxa"/>
            <w:gridSpan w:val="3"/>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c>
          <w:tcPr>
            <w:tcW w:w="1139" w:type="dxa"/>
            <w:gridSpan w:val="4"/>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r>
      <w:tr w:rsidR="004D1E8A" w:rsidRPr="00872FD2" w:rsidTr="001B63BB">
        <w:trPr>
          <w:cnfStyle w:val="000000100000"/>
        </w:trPr>
        <w:tc>
          <w:tcPr>
            <w:tcW w:w="8648" w:type="dxa"/>
            <w:gridSpan w:val="27"/>
          </w:tcPr>
          <w:p w:rsidR="004D1E8A" w:rsidRPr="00872FD2" w:rsidRDefault="004D1E8A" w:rsidP="00872FD2">
            <w:pPr>
              <w:spacing w:after="0" w:line="360" w:lineRule="auto"/>
              <w:rPr>
                <w:rFonts w:asciiTheme="minorHAnsi" w:eastAsiaTheme="minorHAnsi" w:hAnsiTheme="minorHAnsi" w:cstheme="minorBidi"/>
                <w:i/>
                <w:color w:val="000000"/>
                <w:lang w:val="en-US"/>
              </w:rPr>
            </w:pPr>
            <w:r w:rsidRPr="00872FD2">
              <w:rPr>
                <w:rFonts w:asciiTheme="minorHAnsi" w:eastAsiaTheme="minorHAnsi" w:hAnsiTheme="minorHAnsi" w:cstheme="minorBidi"/>
                <w:i/>
                <w:color w:val="000000"/>
                <w:lang w:val="en-US"/>
              </w:rPr>
              <w:t>McNemar</w:t>
            </w:r>
            <w:r w:rsidRPr="00872FD2">
              <w:rPr>
                <w:rFonts w:asciiTheme="minorHAnsi" w:eastAsiaTheme="minorHAnsi" w:hAnsiTheme="minorHAnsi" w:cstheme="minorBidi"/>
                <w:i/>
                <w:color w:val="000000"/>
              </w:rPr>
              <w:t xml:space="preserve"> </w:t>
            </w:r>
            <w:r w:rsidRPr="00872FD2">
              <w:rPr>
                <w:rFonts w:asciiTheme="minorHAnsi" w:eastAsiaTheme="minorHAnsi" w:hAnsiTheme="minorHAnsi" w:cstheme="minorBidi"/>
                <w:i/>
                <w:color w:val="000000"/>
                <w:lang w:val="en-US"/>
              </w:rPr>
              <w:t>test</w:t>
            </w:r>
          </w:p>
        </w:tc>
      </w:tr>
      <w:tr w:rsidR="0077197B" w:rsidRPr="00872FD2" w:rsidTr="001B63BB">
        <w:trPr>
          <w:cnfStyle w:val="000000010000"/>
        </w:trPr>
        <w:tc>
          <w:tcPr>
            <w:tcW w:w="2809" w:type="dxa"/>
            <w:gridSpan w:val="8"/>
            <w:vMerge w:val="restart"/>
            <w:shd w:val="clear" w:color="auto" w:fill="E5DFEC" w:themeFill="accent4" w:themeFillTint="33"/>
          </w:tcPr>
          <w:p w:rsidR="004D1E8A" w:rsidRPr="00872FD2" w:rsidRDefault="004D1E8A" w:rsidP="00872FD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Πόσες φορές την εβδομάδα οι ασθενείς κάνουν αιμοκάθαρση;</w:t>
            </w:r>
          </w:p>
        </w:tc>
        <w:tc>
          <w:tcPr>
            <w:tcW w:w="1056" w:type="dxa"/>
            <w:gridSpan w:val="2"/>
          </w:tcPr>
          <w:p w:rsidR="004D1E8A" w:rsidRPr="00872FD2" w:rsidRDefault="004D1E8A"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3 (τρεις)</w:t>
            </w:r>
          </w:p>
        </w:tc>
        <w:tc>
          <w:tcPr>
            <w:tcW w:w="1341" w:type="dxa"/>
            <w:gridSpan w:val="5"/>
          </w:tcPr>
          <w:p w:rsidR="004D1E8A" w:rsidRPr="00872FD2" w:rsidRDefault="004D1E8A"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23 (95,8%)</w:t>
            </w:r>
          </w:p>
        </w:tc>
        <w:tc>
          <w:tcPr>
            <w:tcW w:w="1339" w:type="dxa"/>
            <w:gridSpan w:val="5"/>
          </w:tcPr>
          <w:p w:rsidR="004D1E8A" w:rsidRPr="00872FD2" w:rsidRDefault="004D1E8A"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23 (95,8%)</w:t>
            </w:r>
          </w:p>
        </w:tc>
        <w:tc>
          <w:tcPr>
            <w:tcW w:w="964" w:type="dxa"/>
            <w:gridSpan w:val="3"/>
            <w:vMerge w:val="restart"/>
          </w:tcPr>
          <w:p w:rsidR="004D1E8A" w:rsidRPr="00872FD2" w:rsidRDefault="004D1E8A" w:rsidP="00872FD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NC</w:t>
            </w:r>
          </w:p>
        </w:tc>
        <w:tc>
          <w:tcPr>
            <w:tcW w:w="1139" w:type="dxa"/>
            <w:gridSpan w:val="4"/>
            <w:vMerge w:val="restart"/>
          </w:tcPr>
          <w:p w:rsidR="004D1E8A" w:rsidRPr="00872FD2" w:rsidRDefault="004D1E8A" w:rsidP="00872FD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NC</w:t>
            </w:r>
          </w:p>
        </w:tc>
      </w:tr>
      <w:tr w:rsidR="002A105B" w:rsidRPr="00872FD2" w:rsidTr="001B63BB">
        <w:trPr>
          <w:cnfStyle w:val="000000100000"/>
        </w:trPr>
        <w:tc>
          <w:tcPr>
            <w:tcW w:w="2809" w:type="dxa"/>
            <w:gridSpan w:val="8"/>
            <w:vMerge/>
            <w:shd w:val="clear" w:color="auto" w:fill="E5DFEC" w:themeFill="accent4" w:themeFillTint="33"/>
          </w:tcPr>
          <w:p w:rsidR="004D1E8A" w:rsidRPr="00872FD2" w:rsidRDefault="004D1E8A" w:rsidP="00872FD2">
            <w:pPr>
              <w:spacing w:after="0" w:line="360" w:lineRule="auto"/>
              <w:jc w:val="center"/>
              <w:rPr>
                <w:rFonts w:asciiTheme="minorHAnsi" w:eastAsiaTheme="minorHAnsi" w:hAnsiTheme="minorHAnsi" w:cstheme="minorBidi"/>
                <w:color w:val="000000"/>
              </w:rPr>
            </w:pPr>
          </w:p>
        </w:tc>
        <w:tc>
          <w:tcPr>
            <w:tcW w:w="1056" w:type="dxa"/>
            <w:gridSpan w:val="2"/>
          </w:tcPr>
          <w:p w:rsidR="004D1E8A" w:rsidRPr="00872FD2" w:rsidRDefault="004D1E8A"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6 (έξι)</w:t>
            </w:r>
          </w:p>
        </w:tc>
        <w:tc>
          <w:tcPr>
            <w:tcW w:w="1341" w:type="dxa"/>
            <w:gridSpan w:val="5"/>
          </w:tcPr>
          <w:p w:rsidR="004D1E8A" w:rsidRPr="00872FD2" w:rsidRDefault="004D1E8A"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 (4,2%)</w:t>
            </w:r>
          </w:p>
        </w:tc>
        <w:tc>
          <w:tcPr>
            <w:tcW w:w="1339" w:type="dxa"/>
            <w:gridSpan w:val="5"/>
          </w:tcPr>
          <w:p w:rsidR="004D1E8A" w:rsidRPr="00872FD2" w:rsidRDefault="004D1E8A"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 (4,2%)</w:t>
            </w:r>
          </w:p>
        </w:tc>
        <w:tc>
          <w:tcPr>
            <w:tcW w:w="964" w:type="dxa"/>
            <w:gridSpan w:val="3"/>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c>
          <w:tcPr>
            <w:tcW w:w="1139" w:type="dxa"/>
            <w:gridSpan w:val="4"/>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r>
      <w:tr w:rsidR="004D1E8A" w:rsidRPr="00872FD2" w:rsidTr="001B63BB">
        <w:trPr>
          <w:cnfStyle w:val="000000010000"/>
        </w:trPr>
        <w:tc>
          <w:tcPr>
            <w:tcW w:w="8648" w:type="dxa"/>
            <w:gridSpan w:val="27"/>
          </w:tcPr>
          <w:p w:rsidR="004D1E8A" w:rsidRPr="00872FD2" w:rsidRDefault="004D1E8A" w:rsidP="00872FD2">
            <w:pPr>
              <w:spacing w:after="0" w:line="360" w:lineRule="auto"/>
              <w:rPr>
                <w:rFonts w:asciiTheme="minorHAnsi" w:eastAsiaTheme="minorHAnsi" w:hAnsiTheme="minorHAnsi" w:cstheme="minorBidi"/>
                <w:i/>
                <w:color w:val="000000"/>
                <w:lang w:val="en-US"/>
              </w:rPr>
            </w:pPr>
            <w:r w:rsidRPr="00872FD2">
              <w:rPr>
                <w:rFonts w:asciiTheme="minorHAnsi" w:eastAsiaTheme="minorHAnsi" w:hAnsiTheme="minorHAnsi" w:cstheme="minorBidi"/>
                <w:i/>
                <w:color w:val="000000"/>
                <w:lang w:val="en-US"/>
              </w:rPr>
              <w:t>McNemar</w:t>
            </w:r>
            <w:r w:rsidRPr="00872FD2">
              <w:rPr>
                <w:rFonts w:asciiTheme="minorHAnsi" w:eastAsiaTheme="minorHAnsi" w:hAnsiTheme="minorHAnsi" w:cstheme="minorBidi"/>
                <w:i/>
                <w:color w:val="000000"/>
              </w:rPr>
              <w:t xml:space="preserve"> </w:t>
            </w:r>
            <w:r w:rsidRPr="00872FD2">
              <w:rPr>
                <w:rFonts w:asciiTheme="minorHAnsi" w:eastAsiaTheme="minorHAnsi" w:hAnsiTheme="minorHAnsi" w:cstheme="minorBidi"/>
                <w:i/>
                <w:color w:val="000000"/>
                <w:lang w:val="en-US"/>
              </w:rPr>
              <w:t>test</w:t>
            </w:r>
          </w:p>
        </w:tc>
      </w:tr>
      <w:tr w:rsidR="0077197B" w:rsidRPr="00872FD2" w:rsidTr="001B63BB">
        <w:trPr>
          <w:cnfStyle w:val="000000100000"/>
        </w:trPr>
        <w:tc>
          <w:tcPr>
            <w:tcW w:w="1792" w:type="dxa"/>
            <w:vMerge w:val="restart"/>
          </w:tcPr>
          <w:p w:rsidR="004D1E8A" w:rsidRPr="00872FD2" w:rsidRDefault="004D1E8A" w:rsidP="00872FD2">
            <w:pPr>
              <w:spacing w:after="0" w:line="360" w:lineRule="auto"/>
              <w:rPr>
                <w:rFonts w:asciiTheme="minorHAnsi" w:eastAsiaTheme="minorHAnsi" w:hAnsiTheme="minorHAnsi" w:cstheme="minorBidi"/>
                <w:b/>
                <w:color w:val="000000"/>
              </w:rPr>
            </w:pPr>
            <w:r w:rsidRPr="00872FD2">
              <w:rPr>
                <w:rFonts w:asciiTheme="minorHAnsi" w:eastAsiaTheme="minorHAnsi" w:hAnsiTheme="minorHAnsi" w:cstheme="minorBidi"/>
                <w:color w:val="000000"/>
              </w:rPr>
              <w:t xml:space="preserve">Ένας ασθενής με χρόνια νεφρική νόσο μπορεί να έχει ένα συγγενή εν ζωή, ο οποίος θέλει να του δωρίσει ένα νεφρό. Ποιο ή ποια από τα παρακάτω για </w:t>
            </w:r>
            <w:r w:rsidRPr="00CD50AB">
              <w:rPr>
                <w:rFonts w:asciiTheme="minorHAnsi" w:eastAsiaTheme="minorHAnsi" w:hAnsiTheme="minorHAnsi" w:cstheme="minorBidi"/>
                <w:color w:val="000000"/>
              </w:rPr>
              <w:t>το</w:t>
            </w:r>
            <w:r w:rsidR="00CD50AB" w:rsidRPr="00CD50AB">
              <w:rPr>
                <w:rFonts w:asciiTheme="minorHAnsi" w:eastAsiaTheme="minorHAnsi" w:hAnsiTheme="minorHAnsi" w:cstheme="minorBidi"/>
                <w:color w:val="000000"/>
              </w:rPr>
              <w:t>ν</w:t>
            </w:r>
            <w:r w:rsidRPr="00872FD2">
              <w:rPr>
                <w:rFonts w:asciiTheme="minorHAnsi" w:eastAsiaTheme="minorHAnsi" w:hAnsiTheme="minorHAnsi" w:cstheme="minorBidi"/>
                <w:b/>
                <w:color w:val="000000"/>
              </w:rPr>
              <w:t xml:space="preserve"> </w:t>
            </w:r>
            <w:r w:rsidR="00FB501F">
              <w:rPr>
                <w:rFonts w:asciiTheme="minorHAnsi" w:eastAsiaTheme="minorHAnsi" w:hAnsiTheme="minorHAnsi" w:cstheme="minorBidi"/>
                <w:color w:val="000000"/>
              </w:rPr>
              <w:t>δότη είναι λανθασμέ</w:t>
            </w:r>
            <w:r w:rsidR="00FB501F" w:rsidRPr="00872FD2">
              <w:rPr>
                <w:rFonts w:asciiTheme="minorHAnsi" w:eastAsiaTheme="minorHAnsi" w:hAnsiTheme="minorHAnsi" w:cstheme="minorBidi"/>
                <w:color w:val="000000"/>
              </w:rPr>
              <w:t>νο</w:t>
            </w:r>
            <w:r w:rsidR="00FB501F">
              <w:rPr>
                <w:rFonts w:asciiTheme="minorHAnsi" w:eastAsiaTheme="minorHAnsi" w:hAnsiTheme="minorHAnsi" w:cstheme="minorBidi"/>
                <w:color w:val="000000"/>
              </w:rPr>
              <w:t>;</w:t>
            </w:r>
          </w:p>
        </w:tc>
        <w:tc>
          <w:tcPr>
            <w:tcW w:w="2524" w:type="dxa"/>
            <w:gridSpan w:val="11"/>
          </w:tcPr>
          <w:p w:rsidR="004D1E8A" w:rsidRPr="00872FD2" w:rsidRDefault="004D1E8A" w:rsidP="00872FD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 xml:space="preserve">Ο δότης πρέπει να υποβληθεί σε </w:t>
            </w:r>
            <w:r w:rsidR="00817853">
              <w:rPr>
                <w:rFonts w:asciiTheme="minorHAnsi" w:eastAsiaTheme="minorHAnsi" w:hAnsiTheme="minorHAnsi" w:cstheme="minorBidi"/>
                <w:color w:val="000000"/>
              </w:rPr>
              <w:t>μια</w:t>
            </w:r>
            <w:r w:rsidRPr="00872FD2">
              <w:rPr>
                <w:rFonts w:asciiTheme="minorHAnsi" w:eastAsiaTheme="minorHAnsi" w:hAnsiTheme="minorHAnsi" w:cstheme="minorBidi"/>
                <w:color w:val="000000"/>
              </w:rPr>
              <w:t xml:space="preserve"> σειρά ιατρικών εξετάσεων πριν την εγχείρηση της μεταμόσχευσης</w:t>
            </w:r>
          </w:p>
        </w:tc>
        <w:tc>
          <w:tcPr>
            <w:tcW w:w="919" w:type="dxa"/>
            <w:gridSpan w:val="4"/>
          </w:tcPr>
          <w:p w:rsidR="004D1E8A" w:rsidRPr="00872FD2" w:rsidRDefault="004D1E8A" w:rsidP="00872FD2">
            <w:pPr>
              <w:spacing w:after="0" w:line="24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 (4,2%)</w:t>
            </w:r>
          </w:p>
        </w:tc>
        <w:tc>
          <w:tcPr>
            <w:tcW w:w="1263" w:type="dxa"/>
            <w:gridSpan w:val="2"/>
          </w:tcPr>
          <w:p w:rsidR="004D1E8A" w:rsidRPr="00872FD2" w:rsidRDefault="004D1E8A" w:rsidP="00872FD2">
            <w:pPr>
              <w:autoSpaceDE w:val="0"/>
              <w:autoSpaceDN w:val="0"/>
              <w:adjustRightInd w:val="0"/>
              <w:spacing w:after="0" w:line="360" w:lineRule="auto"/>
              <w:ind w:left="60" w:right="60"/>
              <w:jc w:val="center"/>
              <w:rPr>
                <w:rFonts w:asciiTheme="minorHAnsi" w:eastAsiaTheme="minorHAnsi" w:hAnsiTheme="minorHAnsi" w:cs="Arial"/>
                <w:color w:val="000000"/>
              </w:rPr>
            </w:pPr>
            <w:r w:rsidRPr="00872FD2">
              <w:rPr>
                <w:rFonts w:asciiTheme="minorHAnsi" w:eastAsiaTheme="minorHAnsi" w:hAnsiTheme="minorHAnsi" w:cs="Arial"/>
                <w:color w:val="000000"/>
              </w:rPr>
              <w:t>1 (4,2%)</w:t>
            </w:r>
          </w:p>
        </w:tc>
        <w:tc>
          <w:tcPr>
            <w:tcW w:w="977" w:type="dxa"/>
            <w:gridSpan w:val="4"/>
            <w:vMerge w:val="restart"/>
          </w:tcPr>
          <w:p w:rsidR="004D1E8A" w:rsidRPr="00872FD2" w:rsidRDefault="004D1E8A" w:rsidP="00872FD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5,000</w:t>
            </w:r>
          </w:p>
        </w:tc>
        <w:tc>
          <w:tcPr>
            <w:tcW w:w="1173" w:type="dxa"/>
            <w:gridSpan w:val="5"/>
            <w:vMerge w:val="restart"/>
          </w:tcPr>
          <w:p w:rsidR="004D1E8A" w:rsidRPr="00872FD2" w:rsidRDefault="004D1E8A" w:rsidP="00872FD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0,416</w:t>
            </w:r>
          </w:p>
        </w:tc>
      </w:tr>
      <w:tr w:rsidR="004D1E8A" w:rsidRPr="00872FD2" w:rsidTr="001B63BB">
        <w:trPr>
          <w:cnfStyle w:val="000000010000"/>
        </w:trPr>
        <w:tc>
          <w:tcPr>
            <w:tcW w:w="1792" w:type="dxa"/>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c>
          <w:tcPr>
            <w:tcW w:w="2524" w:type="dxa"/>
            <w:gridSpan w:val="11"/>
          </w:tcPr>
          <w:p w:rsidR="004D1E8A" w:rsidRPr="00872FD2" w:rsidRDefault="004D1E8A" w:rsidP="00872FD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Ο δότης διατρέχει πολύ μικρό κίνδυνο για τη δική του υγεία όταν δωρίζει ένα νεφρό</w:t>
            </w:r>
          </w:p>
        </w:tc>
        <w:tc>
          <w:tcPr>
            <w:tcW w:w="919" w:type="dxa"/>
            <w:gridSpan w:val="4"/>
          </w:tcPr>
          <w:p w:rsidR="004D1E8A" w:rsidRPr="00872FD2" w:rsidRDefault="004D1E8A" w:rsidP="00872FD2">
            <w:pPr>
              <w:spacing w:after="0" w:line="24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3 (12,5%)</w:t>
            </w:r>
          </w:p>
        </w:tc>
        <w:tc>
          <w:tcPr>
            <w:tcW w:w="1263" w:type="dxa"/>
            <w:gridSpan w:val="2"/>
          </w:tcPr>
          <w:p w:rsidR="004D1E8A" w:rsidRPr="00872FD2" w:rsidRDefault="004D1E8A" w:rsidP="00872FD2">
            <w:pPr>
              <w:autoSpaceDE w:val="0"/>
              <w:autoSpaceDN w:val="0"/>
              <w:adjustRightInd w:val="0"/>
              <w:spacing w:after="0" w:line="360" w:lineRule="auto"/>
              <w:ind w:left="60" w:right="60"/>
              <w:jc w:val="center"/>
              <w:rPr>
                <w:rFonts w:asciiTheme="minorHAnsi" w:eastAsiaTheme="minorHAnsi" w:hAnsiTheme="minorHAnsi" w:cs="Arial"/>
                <w:color w:val="000000"/>
              </w:rPr>
            </w:pPr>
            <w:r w:rsidRPr="00872FD2">
              <w:rPr>
                <w:rFonts w:asciiTheme="minorHAnsi" w:eastAsiaTheme="minorHAnsi" w:hAnsiTheme="minorHAnsi" w:cs="Arial"/>
                <w:color w:val="000000"/>
              </w:rPr>
              <w:t>3 (12,5%)</w:t>
            </w:r>
          </w:p>
        </w:tc>
        <w:tc>
          <w:tcPr>
            <w:tcW w:w="977" w:type="dxa"/>
            <w:gridSpan w:val="4"/>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c>
          <w:tcPr>
            <w:tcW w:w="1173" w:type="dxa"/>
            <w:gridSpan w:val="5"/>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r>
      <w:tr w:rsidR="00B43B03" w:rsidRPr="00872FD2" w:rsidTr="001B63BB">
        <w:trPr>
          <w:cnfStyle w:val="000000100000"/>
        </w:trPr>
        <w:tc>
          <w:tcPr>
            <w:tcW w:w="1792" w:type="dxa"/>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c>
          <w:tcPr>
            <w:tcW w:w="2524" w:type="dxa"/>
            <w:gridSpan w:val="11"/>
          </w:tcPr>
          <w:p w:rsidR="004D1E8A" w:rsidRPr="00872FD2" w:rsidRDefault="004D1E8A" w:rsidP="00872FD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Ο δότης θα χρειαστεί να παίρνει ανοσοκατασταλτικά φάρμακα για το υπόλοιπο της ζωής του</w:t>
            </w:r>
          </w:p>
        </w:tc>
        <w:tc>
          <w:tcPr>
            <w:tcW w:w="919" w:type="dxa"/>
            <w:gridSpan w:val="4"/>
          </w:tcPr>
          <w:p w:rsidR="004D1E8A" w:rsidRPr="00872FD2" w:rsidRDefault="004D1E8A" w:rsidP="00872FD2">
            <w:pPr>
              <w:spacing w:after="0" w:line="24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5 (20,8%)</w:t>
            </w:r>
          </w:p>
        </w:tc>
        <w:tc>
          <w:tcPr>
            <w:tcW w:w="1263" w:type="dxa"/>
            <w:gridSpan w:val="2"/>
          </w:tcPr>
          <w:p w:rsidR="004D1E8A" w:rsidRPr="00872FD2" w:rsidRDefault="004D1E8A" w:rsidP="00872FD2">
            <w:pPr>
              <w:autoSpaceDE w:val="0"/>
              <w:autoSpaceDN w:val="0"/>
              <w:adjustRightInd w:val="0"/>
              <w:spacing w:after="0" w:line="360" w:lineRule="auto"/>
              <w:ind w:left="60" w:right="60"/>
              <w:jc w:val="center"/>
              <w:rPr>
                <w:rFonts w:asciiTheme="minorHAnsi" w:eastAsiaTheme="minorHAnsi" w:hAnsiTheme="minorHAnsi" w:cs="Arial"/>
                <w:color w:val="000000"/>
              </w:rPr>
            </w:pPr>
            <w:r w:rsidRPr="00872FD2">
              <w:rPr>
                <w:rFonts w:asciiTheme="minorHAnsi" w:eastAsiaTheme="minorHAnsi" w:hAnsiTheme="minorHAnsi" w:cs="Arial"/>
                <w:color w:val="000000"/>
              </w:rPr>
              <w:t>6 (25,0%)</w:t>
            </w:r>
          </w:p>
        </w:tc>
        <w:tc>
          <w:tcPr>
            <w:tcW w:w="977" w:type="dxa"/>
            <w:gridSpan w:val="4"/>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c>
          <w:tcPr>
            <w:tcW w:w="1173" w:type="dxa"/>
            <w:gridSpan w:val="5"/>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r>
      <w:tr w:rsidR="0099394C" w:rsidRPr="00872FD2" w:rsidTr="001B63BB">
        <w:trPr>
          <w:cnfStyle w:val="000000010000"/>
        </w:trPr>
        <w:tc>
          <w:tcPr>
            <w:tcW w:w="1792" w:type="dxa"/>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c>
          <w:tcPr>
            <w:tcW w:w="2524" w:type="dxa"/>
            <w:gridSpan w:val="11"/>
          </w:tcPr>
          <w:p w:rsidR="004D1E8A" w:rsidRPr="00872FD2" w:rsidRDefault="004D1E8A" w:rsidP="00872FD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Μετά την εγχείρηση μεταμόσχευσης, ο νεφρός που έμεινε θα μεγαλώσει</w:t>
            </w:r>
          </w:p>
        </w:tc>
        <w:tc>
          <w:tcPr>
            <w:tcW w:w="919" w:type="dxa"/>
            <w:gridSpan w:val="4"/>
          </w:tcPr>
          <w:p w:rsidR="004D1E8A" w:rsidRPr="00872FD2" w:rsidRDefault="004D1E8A" w:rsidP="00872FD2">
            <w:pPr>
              <w:spacing w:after="0" w:line="24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2 (8,3%)</w:t>
            </w:r>
          </w:p>
        </w:tc>
        <w:tc>
          <w:tcPr>
            <w:tcW w:w="1263" w:type="dxa"/>
            <w:gridSpan w:val="2"/>
          </w:tcPr>
          <w:p w:rsidR="004D1E8A" w:rsidRPr="00872FD2" w:rsidRDefault="004D1E8A" w:rsidP="00872FD2">
            <w:pPr>
              <w:autoSpaceDE w:val="0"/>
              <w:autoSpaceDN w:val="0"/>
              <w:adjustRightInd w:val="0"/>
              <w:spacing w:after="0" w:line="360" w:lineRule="auto"/>
              <w:ind w:left="60" w:right="60"/>
              <w:jc w:val="center"/>
              <w:rPr>
                <w:rFonts w:asciiTheme="minorHAnsi" w:eastAsiaTheme="minorHAnsi" w:hAnsiTheme="minorHAnsi" w:cs="Arial"/>
                <w:color w:val="000000"/>
              </w:rPr>
            </w:pPr>
            <w:r w:rsidRPr="00872FD2">
              <w:rPr>
                <w:rFonts w:asciiTheme="minorHAnsi" w:eastAsiaTheme="minorHAnsi" w:hAnsiTheme="minorHAnsi" w:cs="Arial"/>
                <w:color w:val="000000"/>
              </w:rPr>
              <w:t>1 (4,2%)</w:t>
            </w:r>
          </w:p>
        </w:tc>
        <w:tc>
          <w:tcPr>
            <w:tcW w:w="977" w:type="dxa"/>
            <w:gridSpan w:val="4"/>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c>
          <w:tcPr>
            <w:tcW w:w="1173" w:type="dxa"/>
            <w:gridSpan w:val="5"/>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r>
      <w:tr w:rsidR="0077197B" w:rsidRPr="00872FD2" w:rsidTr="001B63BB">
        <w:trPr>
          <w:cnfStyle w:val="000000100000"/>
        </w:trPr>
        <w:tc>
          <w:tcPr>
            <w:tcW w:w="1792" w:type="dxa"/>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c>
          <w:tcPr>
            <w:tcW w:w="2524" w:type="dxa"/>
            <w:gridSpan w:val="11"/>
          </w:tcPr>
          <w:p w:rsidR="004D1E8A" w:rsidRPr="00872FD2" w:rsidRDefault="004D1E8A" w:rsidP="00872FD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Δεν γνωρίζω</w:t>
            </w:r>
          </w:p>
        </w:tc>
        <w:tc>
          <w:tcPr>
            <w:tcW w:w="919" w:type="dxa"/>
            <w:gridSpan w:val="4"/>
          </w:tcPr>
          <w:p w:rsidR="004D1E8A" w:rsidRPr="00872FD2" w:rsidRDefault="004D1E8A" w:rsidP="00872FD2">
            <w:pPr>
              <w:spacing w:after="0" w:line="24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13 (54,2%)</w:t>
            </w:r>
          </w:p>
        </w:tc>
        <w:tc>
          <w:tcPr>
            <w:tcW w:w="1263" w:type="dxa"/>
            <w:gridSpan w:val="2"/>
          </w:tcPr>
          <w:p w:rsidR="004D1E8A" w:rsidRPr="00872FD2" w:rsidRDefault="004D1E8A" w:rsidP="00872FD2">
            <w:pPr>
              <w:autoSpaceDE w:val="0"/>
              <w:autoSpaceDN w:val="0"/>
              <w:adjustRightInd w:val="0"/>
              <w:spacing w:after="0" w:line="240" w:lineRule="auto"/>
              <w:ind w:left="60" w:right="60"/>
              <w:jc w:val="center"/>
              <w:rPr>
                <w:rFonts w:asciiTheme="minorHAnsi" w:eastAsiaTheme="minorHAnsi" w:hAnsiTheme="minorHAnsi" w:cs="Arial"/>
                <w:color w:val="000000"/>
              </w:rPr>
            </w:pPr>
            <w:r w:rsidRPr="00872FD2">
              <w:rPr>
                <w:rFonts w:asciiTheme="minorHAnsi" w:eastAsiaTheme="minorHAnsi" w:hAnsiTheme="minorHAnsi" w:cs="Arial"/>
                <w:color w:val="000000"/>
              </w:rPr>
              <w:t>13 (54,2%)</w:t>
            </w:r>
          </w:p>
        </w:tc>
        <w:tc>
          <w:tcPr>
            <w:tcW w:w="977" w:type="dxa"/>
            <w:gridSpan w:val="4"/>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c>
          <w:tcPr>
            <w:tcW w:w="1173" w:type="dxa"/>
            <w:gridSpan w:val="5"/>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r>
      <w:tr w:rsidR="004D1E8A" w:rsidRPr="00872FD2" w:rsidTr="001B63BB">
        <w:trPr>
          <w:cnfStyle w:val="000000010000"/>
        </w:trPr>
        <w:tc>
          <w:tcPr>
            <w:tcW w:w="8648" w:type="dxa"/>
            <w:gridSpan w:val="27"/>
          </w:tcPr>
          <w:p w:rsidR="004D1E8A" w:rsidRPr="00872FD2" w:rsidRDefault="004D1E8A" w:rsidP="00872FD2">
            <w:pPr>
              <w:spacing w:after="0" w:line="360" w:lineRule="auto"/>
              <w:rPr>
                <w:rFonts w:asciiTheme="minorHAnsi" w:eastAsiaTheme="minorHAnsi" w:hAnsiTheme="minorHAnsi" w:cstheme="minorBidi"/>
                <w:i/>
                <w:color w:val="000000"/>
                <w:lang w:val="en-US"/>
              </w:rPr>
            </w:pPr>
            <w:r w:rsidRPr="00872FD2">
              <w:rPr>
                <w:rFonts w:asciiTheme="minorHAnsi" w:eastAsiaTheme="minorHAnsi" w:hAnsiTheme="minorHAnsi" w:cstheme="minorBidi"/>
                <w:i/>
                <w:color w:val="000000"/>
              </w:rPr>
              <w:t>McNemar-Bowker</w:t>
            </w:r>
            <w:r w:rsidRPr="00872FD2">
              <w:rPr>
                <w:rFonts w:asciiTheme="minorHAnsi" w:eastAsiaTheme="minorHAnsi" w:hAnsiTheme="minorHAnsi" w:cstheme="minorBidi"/>
                <w:i/>
                <w:color w:val="000000"/>
                <w:lang w:val="en-US"/>
              </w:rPr>
              <w:t xml:space="preserve"> test</w:t>
            </w:r>
          </w:p>
        </w:tc>
      </w:tr>
      <w:tr w:rsidR="004D1E8A" w:rsidRPr="00872FD2" w:rsidTr="001B63BB">
        <w:trPr>
          <w:cnfStyle w:val="000000100000"/>
        </w:trPr>
        <w:tc>
          <w:tcPr>
            <w:tcW w:w="1834" w:type="dxa"/>
            <w:gridSpan w:val="2"/>
            <w:vMerge w:val="restart"/>
          </w:tcPr>
          <w:p w:rsidR="004D1E8A" w:rsidRPr="00872FD2" w:rsidRDefault="004D1E8A" w:rsidP="00872FD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Ποιο από τα παρακάτω είναι ΛΑΝΘΑΣΜΕΝΟ σχετικά με τη μεταμόσχευση νεφρού;</w:t>
            </w:r>
          </w:p>
        </w:tc>
        <w:tc>
          <w:tcPr>
            <w:tcW w:w="2482" w:type="dxa"/>
            <w:gridSpan w:val="10"/>
          </w:tcPr>
          <w:p w:rsidR="004D1E8A" w:rsidRPr="00872FD2" w:rsidRDefault="004D1E8A" w:rsidP="00872FD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Μερικές φορές ένας μεταμοσχευμένος νεφρός θα αρχίσει να λειτουργεί μόλις τα αιμοφόρα αγγεία συνδεθούν στο χειρουργείο</w:t>
            </w:r>
          </w:p>
        </w:tc>
        <w:tc>
          <w:tcPr>
            <w:tcW w:w="976" w:type="dxa"/>
            <w:gridSpan w:val="5"/>
          </w:tcPr>
          <w:p w:rsidR="004D1E8A" w:rsidRPr="00872FD2" w:rsidRDefault="004D1E8A"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2 (8,3%)</w:t>
            </w:r>
          </w:p>
        </w:tc>
        <w:tc>
          <w:tcPr>
            <w:tcW w:w="1253" w:type="dxa"/>
            <w:gridSpan w:val="3"/>
          </w:tcPr>
          <w:p w:rsidR="004D1E8A" w:rsidRPr="00872FD2" w:rsidRDefault="004D1E8A" w:rsidP="00872FD2">
            <w:pPr>
              <w:autoSpaceDE w:val="0"/>
              <w:autoSpaceDN w:val="0"/>
              <w:adjustRightInd w:val="0"/>
              <w:spacing w:after="0" w:line="360" w:lineRule="auto"/>
              <w:ind w:left="60" w:right="60"/>
              <w:jc w:val="center"/>
              <w:rPr>
                <w:rFonts w:asciiTheme="minorHAnsi" w:eastAsiaTheme="minorHAnsi" w:hAnsiTheme="minorHAnsi" w:cs="Arial"/>
                <w:color w:val="000000"/>
              </w:rPr>
            </w:pPr>
            <w:r w:rsidRPr="00872FD2">
              <w:rPr>
                <w:rFonts w:asciiTheme="minorHAnsi" w:eastAsiaTheme="minorHAnsi" w:hAnsiTheme="minorHAnsi" w:cs="Arial"/>
                <w:color w:val="000000"/>
              </w:rPr>
              <w:t>4 (16,7%)</w:t>
            </w:r>
          </w:p>
        </w:tc>
        <w:tc>
          <w:tcPr>
            <w:tcW w:w="976" w:type="dxa"/>
            <w:gridSpan w:val="4"/>
            <w:vMerge w:val="restart"/>
          </w:tcPr>
          <w:p w:rsidR="004D1E8A" w:rsidRPr="00872FD2" w:rsidRDefault="004D1E8A" w:rsidP="00872FD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2,000</w:t>
            </w:r>
          </w:p>
        </w:tc>
        <w:tc>
          <w:tcPr>
            <w:tcW w:w="1127" w:type="dxa"/>
            <w:gridSpan w:val="3"/>
            <w:vMerge w:val="restart"/>
          </w:tcPr>
          <w:p w:rsidR="004D1E8A" w:rsidRPr="00872FD2" w:rsidRDefault="004D1E8A" w:rsidP="00872FD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0,368</w:t>
            </w:r>
          </w:p>
        </w:tc>
      </w:tr>
      <w:tr w:rsidR="004D1E8A" w:rsidRPr="00872FD2" w:rsidTr="001B63BB">
        <w:trPr>
          <w:cnfStyle w:val="000000010000"/>
        </w:trPr>
        <w:tc>
          <w:tcPr>
            <w:tcW w:w="1834" w:type="dxa"/>
            <w:gridSpan w:val="2"/>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c>
          <w:tcPr>
            <w:tcW w:w="2482" w:type="dxa"/>
            <w:gridSpan w:val="10"/>
          </w:tcPr>
          <w:p w:rsidR="004D1E8A" w:rsidRPr="00872FD2" w:rsidRDefault="004D1E8A" w:rsidP="00872FD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Ένα άτομο που ανάρρωσε από εγχείρηση μεταμόσχευσης και έχει ένα νεφρό που λειτουργεί καλά, δεν θα χρειαστεί ξανά</w:t>
            </w:r>
          </w:p>
        </w:tc>
        <w:tc>
          <w:tcPr>
            <w:tcW w:w="976" w:type="dxa"/>
            <w:gridSpan w:val="5"/>
          </w:tcPr>
          <w:p w:rsidR="004D1E8A" w:rsidRPr="00872FD2" w:rsidRDefault="004D1E8A"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 (4,2%)</w:t>
            </w:r>
          </w:p>
        </w:tc>
        <w:tc>
          <w:tcPr>
            <w:tcW w:w="1253" w:type="dxa"/>
            <w:gridSpan w:val="3"/>
          </w:tcPr>
          <w:p w:rsidR="004D1E8A" w:rsidRPr="00872FD2" w:rsidRDefault="004D1E8A" w:rsidP="00872FD2">
            <w:pPr>
              <w:autoSpaceDE w:val="0"/>
              <w:autoSpaceDN w:val="0"/>
              <w:adjustRightInd w:val="0"/>
              <w:spacing w:after="0" w:line="360" w:lineRule="auto"/>
              <w:ind w:left="60" w:right="60"/>
              <w:jc w:val="center"/>
              <w:rPr>
                <w:rFonts w:asciiTheme="minorHAnsi" w:eastAsiaTheme="minorHAnsi" w:hAnsiTheme="minorHAnsi" w:cs="Arial"/>
                <w:color w:val="000000"/>
              </w:rPr>
            </w:pPr>
            <w:r w:rsidRPr="00872FD2">
              <w:rPr>
                <w:rFonts w:asciiTheme="minorHAnsi" w:eastAsiaTheme="minorHAnsi" w:hAnsiTheme="minorHAnsi" w:cs="Arial"/>
                <w:color w:val="000000"/>
              </w:rPr>
              <w:t>1 (4,2%)</w:t>
            </w:r>
          </w:p>
        </w:tc>
        <w:tc>
          <w:tcPr>
            <w:tcW w:w="976" w:type="dxa"/>
            <w:gridSpan w:val="4"/>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c>
          <w:tcPr>
            <w:tcW w:w="1127" w:type="dxa"/>
            <w:gridSpan w:val="3"/>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r>
      <w:tr w:rsidR="004D1E8A" w:rsidRPr="00872FD2" w:rsidTr="001B63BB">
        <w:trPr>
          <w:cnfStyle w:val="000000100000"/>
        </w:trPr>
        <w:tc>
          <w:tcPr>
            <w:tcW w:w="1834" w:type="dxa"/>
            <w:gridSpan w:val="2"/>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c>
          <w:tcPr>
            <w:tcW w:w="2482" w:type="dxa"/>
            <w:gridSpan w:val="10"/>
          </w:tcPr>
          <w:p w:rsidR="004D1E8A" w:rsidRPr="00872FD2" w:rsidRDefault="004D1E8A" w:rsidP="00872FD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 xml:space="preserve">Ένας ασθενής μπορεί να δεχθεί ένα νεφρό από ένα ζώντα συγγενή, αλλά ο νεφρός του δότη πρέπει να αφαιρεθεί </w:t>
            </w:r>
            <w:r w:rsidR="00817853">
              <w:rPr>
                <w:rFonts w:asciiTheme="minorHAnsi" w:eastAsiaTheme="minorHAnsi" w:hAnsiTheme="minorHAnsi" w:cstheme="minorBidi"/>
                <w:color w:val="000000"/>
              </w:rPr>
              <w:t>μια</w:t>
            </w:r>
            <w:r w:rsidRPr="00872FD2">
              <w:rPr>
                <w:rFonts w:asciiTheme="minorHAnsi" w:eastAsiaTheme="minorHAnsi" w:hAnsiTheme="minorHAnsi" w:cstheme="minorBidi"/>
                <w:color w:val="000000"/>
              </w:rPr>
              <w:t xml:space="preserve"> εβδομάδα</w:t>
            </w:r>
            <w:r w:rsidR="0077197B" w:rsidRPr="00872FD2">
              <w:rPr>
                <w:rFonts w:asciiTheme="minorHAnsi" w:eastAsiaTheme="minorHAnsi" w:hAnsiTheme="minorHAnsi" w:cstheme="minorBidi"/>
                <w:color w:val="000000"/>
              </w:rPr>
              <w:t xml:space="preserve"> πριν</w:t>
            </w:r>
          </w:p>
        </w:tc>
        <w:tc>
          <w:tcPr>
            <w:tcW w:w="976" w:type="dxa"/>
            <w:gridSpan w:val="5"/>
          </w:tcPr>
          <w:p w:rsidR="004D1E8A" w:rsidRPr="00872FD2" w:rsidRDefault="004D1E8A" w:rsidP="00872FD2">
            <w:pPr>
              <w:spacing w:after="0" w:line="24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9 (37,5%)</w:t>
            </w:r>
          </w:p>
        </w:tc>
        <w:tc>
          <w:tcPr>
            <w:tcW w:w="1253" w:type="dxa"/>
            <w:gridSpan w:val="3"/>
          </w:tcPr>
          <w:p w:rsidR="004D1E8A" w:rsidRPr="00872FD2" w:rsidRDefault="004D1E8A" w:rsidP="00872FD2">
            <w:pPr>
              <w:autoSpaceDE w:val="0"/>
              <w:autoSpaceDN w:val="0"/>
              <w:adjustRightInd w:val="0"/>
              <w:spacing w:after="0" w:line="360" w:lineRule="auto"/>
              <w:ind w:left="60" w:right="60"/>
              <w:jc w:val="center"/>
              <w:rPr>
                <w:rFonts w:asciiTheme="minorHAnsi" w:eastAsiaTheme="minorHAnsi" w:hAnsiTheme="minorHAnsi" w:cs="Arial"/>
                <w:color w:val="000000"/>
              </w:rPr>
            </w:pPr>
            <w:r w:rsidRPr="00872FD2">
              <w:rPr>
                <w:rFonts w:asciiTheme="minorHAnsi" w:eastAsiaTheme="minorHAnsi" w:hAnsiTheme="minorHAnsi" w:cs="Arial"/>
                <w:color w:val="000000"/>
              </w:rPr>
              <w:t>8 (33,3%)</w:t>
            </w:r>
          </w:p>
        </w:tc>
        <w:tc>
          <w:tcPr>
            <w:tcW w:w="976" w:type="dxa"/>
            <w:gridSpan w:val="4"/>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c>
          <w:tcPr>
            <w:tcW w:w="1127" w:type="dxa"/>
            <w:gridSpan w:val="3"/>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r>
      <w:tr w:rsidR="004D1E8A" w:rsidRPr="00872FD2" w:rsidTr="001B63BB">
        <w:trPr>
          <w:cnfStyle w:val="000000010000"/>
        </w:trPr>
        <w:tc>
          <w:tcPr>
            <w:tcW w:w="1834" w:type="dxa"/>
            <w:gridSpan w:val="2"/>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c>
          <w:tcPr>
            <w:tcW w:w="2482" w:type="dxa"/>
            <w:gridSpan w:val="10"/>
          </w:tcPr>
          <w:p w:rsidR="004D1E8A" w:rsidRPr="00872FD2" w:rsidRDefault="004D1E8A" w:rsidP="00872FD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Δεν ξέρω</w:t>
            </w:r>
          </w:p>
        </w:tc>
        <w:tc>
          <w:tcPr>
            <w:tcW w:w="976" w:type="dxa"/>
            <w:gridSpan w:val="5"/>
          </w:tcPr>
          <w:p w:rsidR="004D1E8A" w:rsidRPr="00872FD2" w:rsidRDefault="004D1E8A"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12 (50,0%)</w:t>
            </w:r>
          </w:p>
        </w:tc>
        <w:tc>
          <w:tcPr>
            <w:tcW w:w="1253" w:type="dxa"/>
            <w:gridSpan w:val="3"/>
          </w:tcPr>
          <w:p w:rsidR="004D1E8A" w:rsidRPr="00872FD2" w:rsidRDefault="004D1E8A" w:rsidP="00872FD2">
            <w:pPr>
              <w:autoSpaceDE w:val="0"/>
              <w:autoSpaceDN w:val="0"/>
              <w:adjustRightInd w:val="0"/>
              <w:spacing w:after="0" w:line="360" w:lineRule="auto"/>
              <w:ind w:left="60" w:right="60"/>
              <w:jc w:val="center"/>
              <w:rPr>
                <w:rFonts w:asciiTheme="minorHAnsi" w:eastAsiaTheme="minorHAnsi" w:hAnsiTheme="minorHAnsi" w:cs="Arial"/>
                <w:color w:val="000000"/>
              </w:rPr>
            </w:pPr>
            <w:r w:rsidRPr="00872FD2">
              <w:rPr>
                <w:rFonts w:asciiTheme="minorHAnsi" w:eastAsiaTheme="minorHAnsi" w:hAnsiTheme="minorHAnsi" w:cs="Arial"/>
                <w:color w:val="000000"/>
              </w:rPr>
              <w:t>11 (45,8%)</w:t>
            </w:r>
          </w:p>
        </w:tc>
        <w:tc>
          <w:tcPr>
            <w:tcW w:w="976" w:type="dxa"/>
            <w:gridSpan w:val="4"/>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c>
          <w:tcPr>
            <w:tcW w:w="1127" w:type="dxa"/>
            <w:gridSpan w:val="3"/>
            <w:vMerge/>
          </w:tcPr>
          <w:p w:rsidR="004D1E8A" w:rsidRPr="00872FD2" w:rsidRDefault="004D1E8A" w:rsidP="00872FD2">
            <w:pPr>
              <w:spacing w:after="0" w:line="360" w:lineRule="auto"/>
              <w:jc w:val="center"/>
              <w:rPr>
                <w:rFonts w:asciiTheme="minorHAnsi" w:eastAsiaTheme="minorHAnsi" w:hAnsiTheme="minorHAnsi" w:cstheme="minorBidi"/>
                <w:color w:val="000000"/>
              </w:rPr>
            </w:pPr>
          </w:p>
        </w:tc>
      </w:tr>
      <w:tr w:rsidR="004D1E8A" w:rsidRPr="00872FD2" w:rsidTr="001B63BB">
        <w:trPr>
          <w:cnfStyle w:val="000000100000"/>
        </w:trPr>
        <w:tc>
          <w:tcPr>
            <w:tcW w:w="8648" w:type="dxa"/>
            <w:gridSpan w:val="27"/>
            <w:shd w:val="clear" w:color="auto" w:fill="FFFFFF" w:themeFill="background1"/>
          </w:tcPr>
          <w:p w:rsidR="004D1E8A" w:rsidRPr="00872FD2" w:rsidRDefault="004D1E8A" w:rsidP="00872FD2">
            <w:pPr>
              <w:spacing w:after="0" w:line="360" w:lineRule="auto"/>
              <w:rPr>
                <w:rFonts w:asciiTheme="minorHAnsi" w:eastAsiaTheme="minorHAnsi" w:hAnsiTheme="minorHAnsi" w:cstheme="minorBidi"/>
                <w:i/>
                <w:color w:val="000000"/>
                <w:lang w:val="en-US"/>
              </w:rPr>
            </w:pPr>
            <w:r w:rsidRPr="00872FD2">
              <w:rPr>
                <w:rFonts w:asciiTheme="minorHAnsi" w:eastAsiaTheme="minorHAnsi" w:hAnsiTheme="minorHAnsi" w:cstheme="minorBidi"/>
                <w:i/>
                <w:color w:val="000000"/>
              </w:rPr>
              <w:t>McNemar-Bowker</w:t>
            </w:r>
            <w:r w:rsidRPr="00872FD2">
              <w:rPr>
                <w:rFonts w:asciiTheme="minorHAnsi" w:eastAsiaTheme="minorHAnsi" w:hAnsiTheme="minorHAnsi" w:cstheme="minorBidi"/>
                <w:i/>
                <w:color w:val="000000"/>
                <w:lang w:val="en-US"/>
              </w:rPr>
              <w:t xml:space="preserve"> test</w:t>
            </w:r>
          </w:p>
        </w:tc>
      </w:tr>
      <w:tr w:rsidR="0077197B" w:rsidRPr="00872FD2" w:rsidTr="001B63BB">
        <w:trPr>
          <w:cnfStyle w:val="000000010000"/>
        </w:trPr>
        <w:tc>
          <w:tcPr>
            <w:tcW w:w="1844" w:type="dxa"/>
            <w:gridSpan w:val="3"/>
            <w:vMerge w:val="restart"/>
            <w:shd w:val="clear" w:color="auto" w:fill="E5DFEC" w:themeFill="accent4" w:themeFillTint="33"/>
          </w:tcPr>
          <w:p w:rsidR="0077197B" w:rsidRPr="00872FD2" w:rsidRDefault="0077197B" w:rsidP="00872FD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 xml:space="preserve">Η Συνεχής Φορητή Περιτοναϊκή Κάθαρση (ΣΦΠΚ) είναι </w:t>
            </w:r>
            <w:r w:rsidR="00817853">
              <w:rPr>
                <w:rFonts w:asciiTheme="minorHAnsi" w:eastAsiaTheme="minorHAnsi" w:hAnsiTheme="minorHAnsi" w:cstheme="minorBidi"/>
                <w:color w:val="000000"/>
              </w:rPr>
              <w:t>μια</w:t>
            </w:r>
            <w:r w:rsidRPr="00872FD2">
              <w:rPr>
                <w:rFonts w:asciiTheme="minorHAnsi" w:eastAsiaTheme="minorHAnsi" w:hAnsiTheme="minorHAnsi" w:cstheme="minorBidi"/>
                <w:color w:val="000000"/>
              </w:rPr>
              <w:t xml:space="preserve"> μορφή κάθαρσης, η οποία χρησιμοποιείται εναλλακτικά από τη αιμοκάθαρση. Ένα πλεονέκτημα της ΣΦΠΚ είναι ότι:</w:t>
            </w:r>
          </w:p>
        </w:tc>
        <w:tc>
          <w:tcPr>
            <w:tcW w:w="2472" w:type="dxa"/>
            <w:gridSpan w:val="9"/>
          </w:tcPr>
          <w:p w:rsidR="0077197B" w:rsidRPr="00872FD2" w:rsidRDefault="0077197B" w:rsidP="00872FD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Επιτρέπει στον ασθενή να περπατάει ελεύθερα κατά τη διάρκεια της θεραπείας</w:t>
            </w:r>
          </w:p>
        </w:tc>
        <w:tc>
          <w:tcPr>
            <w:tcW w:w="976" w:type="dxa"/>
            <w:gridSpan w:val="5"/>
          </w:tcPr>
          <w:p w:rsidR="0077197B" w:rsidRPr="00872FD2" w:rsidRDefault="0077197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7 (29,2%)</w:t>
            </w:r>
          </w:p>
        </w:tc>
        <w:tc>
          <w:tcPr>
            <w:tcW w:w="1392" w:type="dxa"/>
            <w:gridSpan w:val="4"/>
          </w:tcPr>
          <w:p w:rsidR="0077197B" w:rsidRPr="00872FD2" w:rsidRDefault="0077197B" w:rsidP="00872FD2">
            <w:pPr>
              <w:autoSpaceDE w:val="0"/>
              <w:autoSpaceDN w:val="0"/>
              <w:adjustRightInd w:val="0"/>
              <w:spacing w:after="0" w:line="360" w:lineRule="auto"/>
              <w:ind w:left="60" w:right="60"/>
              <w:jc w:val="center"/>
              <w:rPr>
                <w:rFonts w:asciiTheme="minorHAnsi" w:eastAsiaTheme="minorHAnsi" w:hAnsiTheme="minorHAnsi" w:cs="Arial"/>
                <w:color w:val="000000"/>
              </w:rPr>
            </w:pPr>
            <w:r w:rsidRPr="00872FD2">
              <w:rPr>
                <w:rFonts w:asciiTheme="minorHAnsi" w:eastAsiaTheme="minorHAnsi" w:hAnsiTheme="minorHAnsi" w:cs="Arial"/>
                <w:color w:val="000000"/>
              </w:rPr>
              <w:t>10 (41,7%)</w:t>
            </w:r>
          </w:p>
        </w:tc>
        <w:tc>
          <w:tcPr>
            <w:tcW w:w="977" w:type="dxa"/>
            <w:gridSpan w:val="5"/>
            <w:vMerge w:val="restart"/>
          </w:tcPr>
          <w:p w:rsidR="0077197B" w:rsidRPr="00872FD2" w:rsidRDefault="0077197B" w:rsidP="00872FD2">
            <w:pPr>
              <w:spacing w:after="0" w:line="24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3,000</w:t>
            </w:r>
          </w:p>
        </w:tc>
        <w:tc>
          <w:tcPr>
            <w:tcW w:w="987" w:type="dxa"/>
            <w:vMerge w:val="restart"/>
          </w:tcPr>
          <w:p w:rsidR="0077197B" w:rsidRPr="00872FD2" w:rsidRDefault="0077197B" w:rsidP="00872FD2">
            <w:pPr>
              <w:spacing w:after="0" w:line="24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0,223</w:t>
            </w:r>
          </w:p>
        </w:tc>
      </w:tr>
      <w:tr w:rsidR="0077197B" w:rsidRPr="00872FD2" w:rsidTr="001B63BB">
        <w:trPr>
          <w:cnfStyle w:val="000000100000"/>
        </w:trPr>
        <w:tc>
          <w:tcPr>
            <w:tcW w:w="1844" w:type="dxa"/>
            <w:gridSpan w:val="3"/>
            <w:vMerge/>
            <w:shd w:val="clear" w:color="auto" w:fill="E5DFEC" w:themeFill="accent4" w:themeFillTint="33"/>
          </w:tcPr>
          <w:p w:rsidR="0077197B" w:rsidRPr="00872FD2" w:rsidRDefault="0077197B" w:rsidP="00872FD2">
            <w:pPr>
              <w:spacing w:after="0" w:line="360" w:lineRule="auto"/>
              <w:jc w:val="center"/>
              <w:rPr>
                <w:rFonts w:asciiTheme="minorHAnsi" w:eastAsiaTheme="minorHAnsi" w:hAnsiTheme="minorHAnsi" w:cstheme="minorBidi"/>
                <w:color w:val="000000"/>
              </w:rPr>
            </w:pPr>
          </w:p>
        </w:tc>
        <w:tc>
          <w:tcPr>
            <w:tcW w:w="2472" w:type="dxa"/>
            <w:gridSpan w:val="9"/>
          </w:tcPr>
          <w:p w:rsidR="0077197B" w:rsidRPr="00872FD2" w:rsidRDefault="0077197B" w:rsidP="00872FD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Δεν περιλαμβάνει καμία χειρουργική διαδικασία</w:t>
            </w:r>
          </w:p>
        </w:tc>
        <w:tc>
          <w:tcPr>
            <w:tcW w:w="976" w:type="dxa"/>
            <w:gridSpan w:val="5"/>
          </w:tcPr>
          <w:p w:rsidR="0077197B" w:rsidRPr="00872FD2" w:rsidRDefault="0077197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 (4,2%)</w:t>
            </w:r>
          </w:p>
        </w:tc>
        <w:tc>
          <w:tcPr>
            <w:tcW w:w="1392" w:type="dxa"/>
            <w:gridSpan w:val="4"/>
          </w:tcPr>
          <w:p w:rsidR="0077197B" w:rsidRPr="00872FD2" w:rsidRDefault="0077197B" w:rsidP="00872FD2">
            <w:pPr>
              <w:autoSpaceDE w:val="0"/>
              <w:autoSpaceDN w:val="0"/>
              <w:adjustRightInd w:val="0"/>
              <w:spacing w:after="0" w:line="360" w:lineRule="auto"/>
              <w:ind w:left="60" w:right="60"/>
              <w:jc w:val="center"/>
              <w:rPr>
                <w:rFonts w:asciiTheme="minorHAnsi" w:eastAsiaTheme="minorHAnsi" w:hAnsiTheme="minorHAnsi" w:cs="Arial"/>
                <w:color w:val="000000"/>
              </w:rPr>
            </w:pPr>
            <w:r w:rsidRPr="00872FD2">
              <w:rPr>
                <w:rFonts w:asciiTheme="minorHAnsi" w:eastAsiaTheme="minorHAnsi" w:hAnsiTheme="minorHAnsi" w:cs="Arial"/>
                <w:color w:val="000000"/>
              </w:rPr>
              <w:t>1 (4,2%)</w:t>
            </w:r>
          </w:p>
        </w:tc>
        <w:tc>
          <w:tcPr>
            <w:tcW w:w="977" w:type="dxa"/>
            <w:gridSpan w:val="5"/>
            <w:vMerge/>
          </w:tcPr>
          <w:p w:rsidR="0077197B" w:rsidRPr="00872FD2" w:rsidRDefault="0077197B" w:rsidP="00872FD2">
            <w:pPr>
              <w:spacing w:after="0" w:line="240" w:lineRule="auto"/>
              <w:jc w:val="center"/>
              <w:rPr>
                <w:rFonts w:asciiTheme="minorHAnsi" w:eastAsiaTheme="minorHAnsi" w:hAnsiTheme="minorHAnsi" w:cstheme="minorBidi"/>
                <w:color w:val="000000"/>
              </w:rPr>
            </w:pPr>
          </w:p>
        </w:tc>
        <w:tc>
          <w:tcPr>
            <w:tcW w:w="987" w:type="dxa"/>
            <w:vMerge/>
          </w:tcPr>
          <w:p w:rsidR="0077197B" w:rsidRPr="00872FD2" w:rsidRDefault="0077197B" w:rsidP="00872FD2">
            <w:pPr>
              <w:spacing w:after="0" w:line="240" w:lineRule="auto"/>
              <w:jc w:val="center"/>
              <w:rPr>
                <w:rFonts w:asciiTheme="minorHAnsi" w:eastAsiaTheme="minorHAnsi" w:hAnsiTheme="minorHAnsi" w:cstheme="minorBidi"/>
                <w:color w:val="000000"/>
              </w:rPr>
            </w:pPr>
          </w:p>
        </w:tc>
      </w:tr>
      <w:tr w:rsidR="0077197B" w:rsidRPr="00872FD2" w:rsidTr="001B63BB">
        <w:trPr>
          <w:cnfStyle w:val="000000010000"/>
        </w:trPr>
        <w:tc>
          <w:tcPr>
            <w:tcW w:w="1844" w:type="dxa"/>
            <w:gridSpan w:val="3"/>
            <w:vMerge/>
            <w:shd w:val="clear" w:color="auto" w:fill="E5DFEC" w:themeFill="accent4" w:themeFillTint="33"/>
          </w:tcPr>
          <w:p w:rsidR="0077197B" w:rsidRPr="00872FD2" w:rsidRDefault="0077197B" w:rsidP="00872FD2">
            <w:pPr>
              <w:spacing w:after="0" w:line="360" w:lineRule="auto"/>
              <w:jc w:val="center"/>
              <w:rPr>
                <w:rFonts w:asciiTheme="minorHAnsi" w:eastAsiaTheme="minorHAnsi" w:hAnsiTheme="minorHAnsi" w:cstheme="minorBidi"/>
                <w:color w:val="000000"/>
              </w:rPr>
            </w:pPr>
          </w:p>
        </w:tc>
        <w:tc>
          <w:tcPr>
            <w:tcW w:w="2472" w:type="dxa"/>
            <w:gridSpan w:val="9"/>
          </w:tcPr>
          <w:p w:rsidR="0077197B" w:rsidRPr="00872FD2" w:rsidRDefault="0077197B" w:rsidP="00872FD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Κάνει πιο εύκολο το μπάνιο και το κολύμπι για τον ασθενή</w:t>
            </w:r>
          </w:p>
        </w:tc>
        <w:tc>
          <w:tcPr>
            <w:tcW w:w="976" w:type="dxa"/>
            <w:gridSpan w:val="5"/>
          </w:tcPr>
          <w:p w:rsidR="0077197B" w:rsidRPr="00872FD2" w:rsidRDefault="0077197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2 (8,3%)</w:t>
            </w:r>
          </w:p>
        </w:tc>
        <w:tc>
          <w:tcPr>
            <w:tcW w:w="1392" w:type="dxa"/>
            <w:gridSpan w:val="4"/>
          </w:tcPr>
          <w:p w:rsidR="0077197B" w:rsidRPr="00872FD2" w:rsidRDefault="0077197B" w:rsidP="00872FD2">
            <w:pPr>
              <w:autoSpaceDE w:val="0"/>
              <w:autoSpaceDN w:val="0"/>
              <w:adjustRightInd w:val="0"/>
              <w:spacing w:after="0" w:line="360" w:lineRule="auto"/>
              <w:ind w:left="60" w:right="60"/>
              <w:jc w:val="center"/>
              <w:rPr>
                <w:rFonts w:asciiTheme="minorHAnsi" w:eastAsiaTheme="minorHAnsi" w:hAnsiTheme="minorHAnsi" w:cs="Arial"/>
                <w:color w:val="000000"/>
              </w:rPr>
            </w:pPr>
            <w:r w:rsidRPr="00872FD2">
              <w:rPr>
                <w:rFonts w:asciiTheme="minorHAnsi" w:eastAsiaTheme="minorHAnsi" w:hAnsiTheme="minorHAnsi" w:cs="Arial"/>
                <w:color w:val="000000"/>
              </w:rPr>
              <w:t>2 (8,3%)</w:t>
            </w:r>
          </w:p>
        </w:tc>
        <w:tc>
          <w:tcPr>
            <w:tcW w:w="977" w:type="dxa"/>
            <w:gridSpan w:val="5"/>
            <w:vMerge/>
          </w:tcPr>
          <w:p w:rsidR="0077197B" w:rsidRPr="00872FD2" w:rsidRDefault="0077197B" w:rsidP="00872FD2">
            <w:pPr>
              <w:spacing w:after="0" w:line="240" w:lineRule="auto"/>
              <w:jc w:val="center"/>
              <w:rPr>
                <w:rFonts w:asciiTheme="minorHAnsi" w:eastAsiaTheme="minorHAnsi" w:hAnsiTheme="minorHAnsi" w:cstheme="minorBidi"/>
                <w:color w:val="000000"/>
              </w:rPr>
            </w:pPr>
          </w:p>
        </w:tc>
        <w:tc>
          <w:tcPr>
            <w:tcW w:w="987" w:type="dxa"/>
            <w:vMerge/>
          </w:tcPr>
          <w:p w:rsidR="0077197B" w:rsidRPr="00872FD2" w:rsidRDefault="0077197B" w:rsidP="00872FD2">
            <w:pPr>
              <w:spacing w:after="0" w:line="240" w:lineRule="auto"/>
              <w:jc w:val="center"/>
              <w:rPr>
                <w:rFonts w:asciiTheme="minorHAnsi" w:eastAsiaTheme="minorHAnsi" w:hAnsiTheme="minorHAnsi" w:cstheme="minorBidi"/>
                <w:color w:val="000000"/>
              </w:rPr>
            </w:pPr>
          </w:p>
        </w:tc>
      </w:tr>
      <w:tr w:rsidR="0077197B" w:rsidRPr="00872FD2" w:rsidTr="001B63BB">
        <w:trPr>
          <w:cnfStyle w:val="000000100000"/>
        </w:trPr>
        <w:tc>
          <w:tcPr>
            <w:tcW w:w="1844" w:type="dxa"/>
            <w:gridSpan w:val="3"/>
            <w:vMerge/>
            <w:shd w:val="clear" w:color="auto" w:fill="E5DFEC" w:themeFill="accent4" w:themeFillTint="33"/>
          </w:tcPr>
          <w:p w:rsidR="0077197B" w:rsidRPr="00872FD2" w:rsidRDefault="0077197B" w:rsidP="00872FD2">
            <w:pPr>
              <w:spacing w:after="0" w:line="360" w:lineRule="auto"/>
              <w:jc w:val="center"/>
              <w:rPr>
                <w:rFonts w:asciiTheme="minorHAnsi" w:eastAsiaTheme="minorHAnsi" w:hAnsiTheme="minorHAnsi" w:cstheme="minorBidi"/>
                <w:color w:val="000000"/>
              </w:rPr>
            </w:pPr>
          </w:p>
        </w:tc>
        <w:tc>
          <w:tcPr>
            <w:tcW w:w="2472" w:type="dxa"/>
            <w:gridSpan w:val="9"/>
          </w:tcPr>
          <w:p w:rsidR="0077197B" w:rsidRPr="00872FD2" w:rsidRDefault="0077197B" w:rsidP="00872FD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Δεν ξέρω</w:t>
            </w:r>
          </w:p>
        </w:tc>
        <w:tc>
          <w:tcPr>
            <w:tcW w:w="976" w:type="dxa"/>
            <w:gridSpan w:val="5"/>
          </w:tcPr>
          <w:p w:rsidR="0077197B" w:rsidRPr="00872FD2" w:rsidRDefault="0077197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14 (58,3%)</w:t>
            </w:r>
          </w:p>
        </w:tc>
        <w:tc>
          <w:tcPr>
            <w:tcW w:w="1392" w:type="dxa"/>
            <w:gridSpan w:val="4"/>
          </w:tcPr>
          <w:p w:rsidR="0077197B" w:rsidRPr="00872FD2" w:rsidRDefault="0077197B" w:rsidP="00872FD2">
            <w:pPr>
              <w:autoSpaceDE w:val="0"/>
              <w:autoSpaceDN w:val="0"/>
              <w:adjustRightInd w:val="0"/>
              <w:spacing w:after="0" w:line="360" w:lineRule="auto"/>
              <w:ind w:left="60" w:right="60"/>
              <w:jc w:val="center"/>
              <w:rPr>
                <w:rFonts w:asciiTheme="minorHAnsi" w:eastAsiaTheme="minorHAnsi" w:hAnsiTheme="minorHAnsi" w:cs="Arial"/>
                <w:color w:val="000000"/>
              </w:rPr>
            </w:pPr>
            <w:r w:rsidRPr="00872FD2">
              <w:rPr>
                <w:rFonts w:asciiTheme="minorHAnsi" w:eastAsiaTheme="minorHAnsi" w:hAnsiTheme="minorHAnsi" w:cs="Arial"/>
                <w:color w:val="000000"/>
              </w:rPr>
              <w:t>11 (45,8%)</w:t>
            </w:r>
          </w:p>
        </w:tc>
        <w:tc>
          <w:tcPr>
            <w:tcW w:w="977" w:type="dxa"/>
            <w:gridSpan w:val="5"/>
            <w:vMerge/>
          </w:tcPr>
          <w:p w:rsidR="0077197B" w:rsidRPr="00872FD2" w:rsidRDefault="0077197B" w:rsidP="00872FD2">
            <w:pPr>
              <w:spacing w:after="0" w:line="240" w:lineRule="auto"/>
              <w:jc w:val="center"/>
              <w:rPr>
                <w:rFonts w:asciiTheme="minorHAnsi" w:eastAsiaTheme="minorHAnsi" w:hAnsiTheme="minorHAnsi" w:cstheme="minorBidi"/>
                <w:color w:val="000000"/>
              </w:rPr>
            </w:pPr>
          </w:p>
        </w:tc>
        <w:tc>
          <w:tcPr>
            <w:tcW w:w="987" w:type="dxa"/>
            <w:vMerge/>
          </w:tcPr>
          <w:p w:rsidR="0077197B" w:rsidRPr="00872FD2" w:rsidRDefault="0077197B" w:rsidP="00872FD2">
            <w:pPr>
              <w:spacing w:after="0" w:line="240" w:lineRule="auto"/>
              <w:jc w:val="center"/>
              <w:rPr>
                <w:rFonts w:asciiTheme="minorHAnsi" w:eastAsiaTheme="minorHAnsi" w:hAnsiTheme="minorHAnsi" w:cstheme="minorBidi"/>
                <w:color w:val="000000"/>
              </w:rPr>
            </w:pPr>
          </w:p>
        </w:tc>
      </w:tr>
      <w:tr w:rsidR="0077197B" w:rsidRPr="00872FD2" w:rsidTr="001B63BB">
        <w:trPr>
          <w:cnfStyle w:val="000000010000"/>
        </w:trPr>
        <w:tc>
          <w:tcPr>
            <w:tcW w:w="8648" w:type="dxa"/>
            <w:gridSpan w:val="27"/>
          </w:tcPr>
          <w:p w:rsidR="0077197B" w:rsidRPr="00872FD2" w:rsidRDefault="0077197B" w:rsidP="00872FD2">
            <w:pPr>
              <w:spacing w:after="0" w:line="360" w:lineRule="auto"/>
              <w:rPr>
                <w:rFonts w:asciiTheme="minorHAnsi" w:eastAsiaTheme="minorHAnsi" w:hAnsiTheme="minorHAnsi" w:cstheme="minorBidi"/>
                <w:i/>
                <w:color w:val="000000"/>
                <w:lang w:val="en-US"/>
              </w:rPr>
            </w:pPr>
            <w:r w:rsidRPr="00872FD2">
              <w:rPr>
                <w:rFonts w:asciiTheme="minorHAnsi" w:eastAsiaTheme="minorHAnsi" w:hAnsiTheme="minorHAnsi" w:cstheme="minorBidi"/>
                <w:i/>
                <w:color w:val="000000"/>
              </w:rPr>
              <w:t>McNemar-Bowker</w:t>
            </w:r>
            <w:r w:rsidRPr="00872FD2">
              <w:rPr>
                <w:rFonts w:asciiTheme="minorHAnsi" w:eastAsiaTheme="minorHAnsi" w:hAnsiTheme="minorHAnsi" w:cstheme="minorBidi"/>
                <w:i/>
                <w:color w:val="000000"/>
                <w:lang w:val="en-US"/>
              </w:rPr>
              <w:t xml:space="preserve"> test</w:t>
            </w:r>
          </w:p>
        </w:tc>
      </w:tr>
      <w:tr w:rsidR="0077197B" w:rsidRPr="00872FD2" w:rsidTr="001B63BB">
        <w:trPr>
          <w:cnfStyle w:val="000000100000"/>
        </w:trPr>
        <w:tc>
          <w:tcPr>
            <w:tcW w:w="1949" w:type="dxa"/>
            <w:gridSpan w:val="4"/>
            <w:vMerge w:val="restart"/>
          </w:tcPr>
          <w:p w:rsidR="0077197B" w:rsidRPr="00872FD2" w:rsidRDefault="0077197B" w:rsidP="00872FD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Οι ασθενείς με χρόνια νεφρική νόσο συμβουλεύονται να τρώνε μικρές ποσότητες φαγητών πλούσιων σε κάλιο. Αυξημένα επίπεδα καλίου στο αίμα είναι επικίνδυνα διότι:</w:t>
            </w:r>
          </w:p>
        </w:tc>
        <w:tc>
          <w:tcPr>
            <w:tcW w:w="2367" w:type="dxa"/>
            <w:gridSpan w:val="8"/>
          </w:tcPr>
          <w:p w:rsidR="0077197B" w:rsidRPr="00872FD2" w:rsidRDefault="0077197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Μπορούν να προκαλέσουν αρρυθμία στις σφύξεις και να σταματήσει η καρδιά να λειτουργεί</w:t>
            </w:r>
          </w:p>
        </w:tc>
        <w:tc>
          <w:tcPr>
            <w:tcW w:w="976" w:type="dxa"/>
            <w:gridSpan w:val="5"/>
          </w:tcPr>
          <w:p w:rsidR="0077197B" w:rsidRPr="00872FD2" w:rsidRDefault="0077197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17 (70,8%)</w:t>
            </w:r>
          </w:p>
        </w:tc>
        <w:tc>
          <w:tcPr>
            <w:tcW w:w="1392" w:type="dxa"/>
            <w:gridSpan w:val="4"/>
          </w:tcPr>
          <w:p w:rsidR="0077197B" w:rsidRPr="00872FD2" w:rsidRDefault="0077197B" w:rsidP="00872FD2">
            <w:pPr>
              <w:autoSpaceDE w:val="0"/>
              <w:autoSpaceDN w:val="0"/>
              <w:adjustRightInd w:val="0"/>
              <w:spacing w:after="0" w:line="360" w:lineRule="auto"/>
              <w:ind w:left="60" w:right="60"/>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16 (66,7%)</w:t>
            </w:r>
          </w:p>
        </w:tc>
        <w:tc>
          <w:tcPr>
            <w:tcW w:w="977" w:type="dxa"/>
            <w:gridSpan w:val="5"/>
            <w:vMerge w:val="restart"/>
          </w:tcPr>
          <w:p w:rsidR="0077197B" w:rsidRPr="00872FD2" w:rsidRDefault="0077197B" w:rsidP="00872FD2">
            <w:pPr>
              <w:spacing w:after="0" w:line="24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0,333</w:t>
            </w:r>
          </w:p>
        </w:tc>
        <w:tc>
          <w:tcPr>
            <w:tcW w:w="987" w:type="dxa"/>
            <w:vMerge w:val="restart"/>
          </w:tcPr>
          <w:p w:rsidR="0077197B" w:rsidRPr="00872FD2" w:rsidRDefault="0077197B" w:rsidP="00872FD2">
            <w:pPr>
              <w:spacing w:after="0" w:line="24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1,000</w:t>
            </w:r>
          </w:p>
        </w:tc>
      </w:tr>
      <w:tr w:rsidR="0077197B" w:rsidRPr="00872FD2" w:rsidTr="001B63BB">
        <w:trPr>
          <w:cnfStyle w:val="000000010000"/>
        </w:trPr>
        <w:tc>
          <w:tcPr>
            <w:tcW w:w="1949" w:type="dxa"/>
            <w:gridSpan w:val="4"/>
            <w:vMerge/>
          </w:tcPr>
          <w:p w:rsidR="0077197B" w:rsidRPr="00872FD2" w:rsidRDefault="0077197B" w:rsidP="00872FD2">
            <w:pPr>
              <w:spacing w:after="0" w:line="360" w:lineRule="auto"/>
              <w:jc w:val="center"/>
              <w:rPr>
                <w:rFonts w:asciiTheme="minorHAnsi" w:eastAsiaTheme="minorHAnsi" w:hAnsiTheme="minorHAnsi" w:cstheme="minorBidi"/>
                <w:color w:val="000000"/>
              </w:rPr>
            </w:pPr>
          </w:p>
        </w:tc>
        <w:tc>
          <w:tcPr>
            <w:tcW w:w="2367" w:type="dxa"/>
            <w:gridSpan w:val="8"/>
          </w:tcPr>
          <w:p w:rsidR="0077197B" w:rsidRPr="00872FD2" w:rsidRDefault="0077197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Δεν ξέρω</w:t>
            </w:r>
          </w:p>
        </w:tc>
        <w:tc>
          <w:tcPr>
            <w:tcW w:w="976" w:type="dxa"/>
            <w:gridSpan w:val="5"/>
          </w:tcPr>
          <w:p w:rsidR="0077197B" w:rsidRPr="00872FD2" w:rsidRDefault="0077197B" w:rsidP="00872FD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7 (29,2%)</w:t>
            </w:r>
          </w:p>
        </w:tc>
        <w:tc>
          <w:tcPr>
            <w:tcW w:w="1392" w:type="dxa"/>
            <w:gridSpan w:val="4"/>
          </w:tcPr>
          <w:p w:rsidR="0077197B" w:rsidRPr="00872FD2" w:rsidRDefault="0077197B" w:rsidP="00872FD2">
            <w:pPr>
              <w:autoSpaceDE w:val="0"/>
              <w:autoSpaceDN w:val="0"/>
              <w:adjustRightInd w:val="0"/>
              <w:spacing w:after="0" w:line="360" w:lineRule="auto"/>
              <w:ind w:left="60" w:right="60"/>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8 (33,3%)</w:t>
            </w:r>
          </w:p>
        </w:tc>
        <w:tc>
          <w:tcPr>
            <w:tcW w:w="977" w:type="dxa"/>
            <w:gridSpan w:val="5"/>
            <w:vMerge/>
          </w:tcPr>
          <w:p w:rsidR="0077197B" w:rsidRPr="00872FD2" w:rsidRDefault="0077197B" w:rsidP="00872FD2">
            <w:pPr>
              <w:spacing w:after="0" w:line="240" w:lineRule="auto"/>
              <w:jc w:val="center"/>
              <w:rPr>
                <w:rFonts w:asciiTheme="minorHAnsi" w:eastAsiaTheme="minorHAnsi" w:hAnsiTheme="minorHAnsi" w:cstheme="minorBidi"/>
                <w:color w:val="000000"/>
              </w:rPr>
            </w:pPr>
          </w:p>
        </w:tc>
        <w:tc>
          <w:tcPr>
            <w:tcW w:w="987" w:type="dxa"/>
            <w:vMerge/>
          </w:tcPr>
          <w:p w:rsidR="0077197B" w:rsidRPr="00872FD2" w:rsidRDefault="0077197B" w:rsidP="00872FD2">
            <w:pPr>
              <w:spacing w:after="0" w:line="240" w:lineRule="auto"/>
              <w:jc w:val="center"/>
              <w:rPr>
                <w:rFonts w:asciiTheme="minorHAnsi" w:eastAsiaTheme="minorHAnsi" w:hAnsiTheme="minorHAnsi" w:cstheme="minorBidi"/>
                <w:color w:val="000000"/>
              </w:rPr>
            </w:pPr>
          </w:p>
        </w:tc>
      </w:tr>
      <w:tr w:rsidR="0077197B" w:rsidRPr="00872FD2" w:rsidTr="001B63BB">
        <w:trPr>
          <w:cnfStyle w:val="000000100000"/>
        </w:trPr>
        <w:tc>
          <w:tcPr>
            <w:tcW w:w="8648" w:type="dxa"/>
            <w:gridSpan w:val="27"/>
            <w:shd w:val="clear" w:color="auto" w:fill="FFFFFF" w:themeFill="background1"/>
          </w:tcPr>
          <w:p w:rsidR="0077197B" w:rsidRPr="00872FD2" w:rsidRDefault="0077197B" w:rsidP="00872FD2">
            <w:pPr>
              <w:spacing w:after="0" w:line="240" w:lineRule="auto"/>
              <w:rPr>
                <w:rFonts w:asciiTheme="minorHAnsi" w:eastAsiaTheme="minorHAnsi" w:hAnsiTheme="minorHAnsi" w:cstheme="minorBidi"/>
                <w:i/>
                <w:color w:val="000000"/>
                <w:lang w:val="en-US"/>
              </w:rPr>
            </w:pPr>
            <w:r w:rsidRPr="00872FD2">
              <w:rPr>
                <w:rFonts w:asciiTheme="minorHAnsi" w:eastAsiaTheme="minorHAnsi" w:hAnsiTheme="minorHAnsi" w:cstheme="minorBidi"/>
                <w:i/>
                <w:color w:val="000000"/>
                <w:lang w:val="en-US"/>
              </w:rPr>
              <w:t>McNemar</w:t>
            </w:r>
            <w:r w:rsidRPr="00872FD2">
              <w:rPr>
                <w:rFonts w:asciiTheme="minorHAnsi" w:eastAsiaTheme="minorHAnsi" w:hAnsiTheme="minorHAnsi" w:cstheme="minorBidi"/>
                <w:i/>
                <w:color w:val="000000"/>
              </w:rPr>
              <w:t xml:space="preserve"> </w:t>
            </w:r>
            <w:r w:rsidRPr="00872FD2">
              <w:rPr>
                <w:rFonts w:asciiTheme="minorHAnsi" w:eastAsiaTheme="minorHAnsi" w:hAnsiTheme="minorHAnsi" w:cstheme="minorBidi"/>
                <w:i/>
                <w:color w:val="000000"/>
                <w:lang w:val="en-US"/>
              </w:rPr>
              <w:t>test</w:t>
            </w:r>
          </w:p>
        </w:tc>
      </w:tr>
    </w:tbl>
    <w:p w:rsidR="003E649A" w:rsidRPr="00EF17F5" w:rsidRDefault="003E649A" w:rsidP="005A464E">
      <w:pPr>
        <w:spacing w:line="360" w:lineRule="auto"/>
        <w:rPr>
          <w:b/>
        </w:rPr>
      </w:pPr>
    </w:p>
    <w:p w:rsidR="008C203A" w:rsidRPr="005A464E" w:rsidRDefault="008C203A" w:rsidP="005A464E">
      <w:pPr>
        <w:spacing w:line="360" w:lineRule="auto"/>
      </w:pPr>
      <w:r w:rsidRPr="005A464E">
        <w:rPr>
          <w:b/>
        </w:rPr>
        <w:t>ΦΟΡΜΑ Β</w:t>
      </w:r>
    </w:p>
    <w:p w:rsidR="008C203A" w:rsidRPr="005A464E" w:rsidRDefault="004766A7" w:rsidP="005A464E">
      <w:pPr>
        <w:spacing w:line="360" w:lineRule="auto"/>
        <w:jc w:val="both"/>
        <w:rPr>
          <w:sz w:val="24"/>
          <w:szCs w:val="24"/>
        </w:rPr>
      </w:pPr>
      <w:r>
        <w:rPr>
          <w:sz w:val="24"/>
          <w:szCs w:val="24"/>
        </w:rPr>
        <w:t>Στον πίνακα που ακολουθεί</w:t>
      </w:r>
      <w:r w:rsidR="008C203A" w:rsidRPr="005A464E">
        <w:rPr>
          <w:sz w:val="24"/>
          <w:szCs w:val="24"/>
        </w:rPr>
        <w:t xml:space="preserve"> </w:t>
      </w:r>
      <w:r w:rsidR="00EF17F5">
        <w:rPr>
          <w:sz w:val="24"/>
          <w:szCs w:val="24"/>
        </w:rPr>
        <w:t>(Π</w:t>
      </w:r>
      <w:r w:rsidR="005D2DE3">
        <w:rPr>
          <w:sz w:val="24"/>
          <w:szCs w:val="24"/>
        </w:rPr>
        <w:t>ίν 5</w:t>
      </w:r>
      <w:r w:rsidR="00EF17F5">
        <w:rPr>
          <w:sz w:val="24"/>
          <w:szCs w:val="24"/>
        </w:rPr>
        <w:t xml:space="preserve">) </w:t>
      </w:r>
      <w:r w:rsidR="008C203A" w:rsidRPr="005A464E">
        <w:rPr>
          <w:sz w:val="24"/>
          <w:szCs w:val="24"/>
        </w:rPr>
        <w:t xml:space="preserve">παρουσιάζονται οι απόλυτες και σχετικές συχνότητες των απαντήσεων που έδωσαν οι ασθενείς στις 13 ερωτήσεις της Φόρμας Β του ερωτηματολογίου νεφρικής νόσου τόσο κατά την πρώτη συμπλήρωση όσο και κατά τη δεύτερη. Για να ελεγχθεί η επαναληψιμότητα, χρησιμοποιήθηκαν κατά περίπτωση οι έλεγχοι </w:t>
      </w:r>
      <w:r w:rsidR="008C203A" w:rsidRPr="005A464E">
        <w:rPr>
          <w:sz w:val="24"/>
          <w:szCs w:val="24"/>
          <w:lang w:val="en-US"/>
        </w:rPr>
        <w:t>McNemar</w:t>
      </w:r>
      <w:r w:rsidR="008C203A" w:rsidRPr="005A464E">
        <w:rPr>
          <w:sz w:val="24"/>
          <w:szCs w:val="24"/>
        </w:rPr>
        <w:t xml:space="preserve"> και McNemar-Bowker. Σε όλες τις περιπτώσεις παρατηρήθηκε συμφωνία μεταξύ πρώτης και δεύτερης συμπλήρωσης. Στις περιπτώσεις που εμφανίζεται το ΝΑΝ σημαίνει ότι η στατιστική συνάρτηση δεν μπορούσε να υπολογιστεί γιατί δεν υπήρχε καμιά διαφωνία ενώ στις περιπτώσεις που εμφανίζεται </w:t>
      </w:r>
      <w:r w:rsidR="008C203A" w:rsidRPr="005A464E">
        <w:rPr>
          <w:sz w:val="24"/>
          <w:szCs w:val="24"/>
          <w:lang w:val="en-US"/>
        </w:rPr>
        <w:t>NC</w:t>
      </w:r>
      <w:r w:rsidR="008C203A" w:rsidRPr="005A464E">
        <w:rPr>
          <w:sz w:val="24"/>
          <w:szCs w:val="24"/>
        </w:rPr>
        <w:t xml:space="preserve"> σημαίνει ότι δεν πληρούνταν οι προϋποθέσεις για να υπολογιστεί η στατιστική συνάρτηση και το αντίστοιχο </w:t>
      </w:r>
      <w:r w:rsidR="008C203A" w:rsidRPr="005A464E">
        <w:rPr>
          <w:sz w:val="24"/>
          <w:szCs w:val="24"/>
          <w:lang w:val="en-US"/>
        </w:rPr>
        <w:t>p</w:t>
      </w:r>
      <w:r w:rsidR="008C203A" w:rsidRPr="005A464E">
        <w:rPr>
          <w:sz w:val="24"/>
          <w:szCs w:val="24"/>
        </w:rPr>
        <w:t>-</w:t>
      </w:r>
      <w:r w:rsidR="008C203A" w:rsidRPr="005A464E">
        <w:rPr>
          <w:sz w:val="24"/>
          <w:szCs w:val="24"/>
          <w:lang w:val="en-US"/>
        </w:rPr>
        <w:t>value</w:t>
      </w:r>
      <w:r w:rsidR="001B63BB">
        <w:rPr>
          <w:sz w:val="24"/>
          <w:szCs w:val="24"/>
        </w:rPr>
        <w:t xml:space="preserve"> (Πίν 5</w:t>
      </w:r>
      <w:r w:rsidR="006D13A7" w:rsidRPr="005A464E">
        <w:rPr>
          <w:sz w:val="24"/>
          <w:szCs w:val="24"/>
        </w:rPr>
        <w:t>).</w:t>
      </w:r>
    </w:p>
    <w:p w:rsidR="008847F1" w:rsidRPr="00F918EC" w:rsidRDefault="005D2DE3" w:rsidP="004B1F82">
      <w:pPr>
        <w:spacing w:after="0" w:line="480" w:lineRule="auto"/>
        <w:jc w:val="both"/>
        <w:rPr>
          <w:sz w:val="24"/>
          <w:szCs w:val="24"/>
        </w:rPr>
      </w:pPr>
      <w:r>
        <w:rPr>
          <w:sz w:val="24"/>
          <w:szCs w:val="24"/>
        </w:rPr>
        <w:t>Πίνακας 5</w:t>
      </w:r>
    </w:p>
    <w:p w:rsidR="003572D9" w:rsidRPr="008847F1" w:rsidRDefault="006D13A7" w:rsidP="004B1F82">
      <w:pPr>
        <w:spacing w:after="0" w:line="480" w:lineRule="auto"/>
        <w:jc w:val="both"/>
        <w:rPr>
          <w:i/>
          <w:sz w:val="24"/>
          <w:szCs w:val="24"/>
        </w:rPr>
      </w:pPr>
      <w:r w:rsidRPr="008847F1">
        <w:rPr>
          <w:i/>
          <w:sz w:val="24"/>
          <w:szCs w:val="24"/>
        </w:rPr>
        <w:t xml:space="preserve">Δοκιμασία επαναληψιμότητας </w:t>
      </w:r>
      <w:r w:rsidRPr="008847F1">
        <w:rPr>
          <w:i/>
          <w:sz w:val="24"/>
          <w:szCs w:val="24"/>
          <w:lang w:val="en-US"/>
        </w:rPr>
        <w:t>KDQ</w:t>
      </w:r>
      <w:r w:rsidRPr="008847F1">
        <w:rPr>
          <w:i/>
          <w:sz w:val="24"/>
          <w:szCs w:val="24"/>
        </w:rPr>
        <w:t xml:space="preserve"> (ΦΟΡΜΑ Β)</w:t>
      </w:r>
    </w:p>
    <w:tbl>
      <w:tblPr>
        <w:tblStyle w:val="-41"/>
        <w:tblW w:w="9358" w:type="dxa"/>
        <w:jc w:val="center"/>
        <w:tblInd w:w="-1028" w:type="dxa"/>
        <w:tblLayout w:type="fixed"/>
        <w:tblLook w:val="0400"/>
      </w:tblPr>
      <w:tblGrid>
        <w:gridCol w:w="2913"/>
        <w:gridCol w:w="43"/>
        <w:gridCol w:w="52"/>
        <w:gridCol w:w="23"/>
        <w:gridCol w:w="61"/>
        <w:gridCol w:w="20"/>
        <w:gridCol w:w="9"/>
        <w:gridCol w:w="28"/>
        <w:gridCol w:w="68"/>
        <w:gridCol w:w="1159"/>
        <w:gridCol w:w="130"/>
        <w:gridCol w:w="106"/>
        <w:gridCol w:w="35"/>
        <w:gridCol w:w="17"/>
        <w:gridCol w:w="10"/>
        <w:gridCol w:w="147"/>
        <w:gridCol w:w="897"/>
        <w:gridCol w:w="94"/>
        <w:gridCol w:w="142"/>
        <w:gridCol w:w="37"/>
        <w:gridCol w:w="35"/>
        <w:gridCol w:w="21"/>
        <w:gridCol w:w="12"/>
        <w:gridCol w:w="50"/>
        <w:gridCol w:w="951"/>
        <w:gridCol w:w="70"/>
        <w:gridCol w:w="207"/>
        <w:gridCol w:w="21"/>
        <w:gridCol w:w="46"/>
        <w:gridCol w:w="46"/>
        <w:gridCol w:w="40"/>
        <w:gridCol w:w="768"/>
        <w:gridCol w:w="35"/>
        <w:gridCol w:w="210"/>
        <w:gridCol w:w="29"/>
        <w:gridCol w:w="9"/>
        <w:gridCol w:w="26"/>
        <w:gridCol w:w="774"/>
        <w:gridCol w:w="11"/>
        <w:gridCol w:w="6"/>
      </w:tblGrid>
      <w:tr w:rsidR="008C203A" w:rsidRPr="00872FD2" w:rsidTr="00F27AC3">
        <w:trPr>
          <w:gridAfter w:val="1"/>
          <w:cnfStyle w:val="000000100000"/>
          <w:wAfter w:w="6" w:type="dxa"/>
          <w:jc w:val="center"/>
        </w:trPr>
        <w:tc>
          <w:tcPr>
            <w:tcW w:w="2913" w:type="dxa"/>
            <w:shd w:val="clear" w:color="auto" w:fill="FFFFFF" w:themeFill="background1"/>
          </w:tcPr>
          <w:p w:rsidR="008C203A" w:rsidRPr="00872FD2" w:rsidRDefault="008C203A" w:rsidP="004B1F82">
            <w:pPr>
              <w:spacing w:after="0" w:line="360" w:lineRule="auto"/>
              <w:jc w:val="center"/>
              <w:rPr>
                <w:rFonts w:asciiTheme="minorHAnsi" w:eastAsiaTheme="minorHAnsi" w:hAnsiTheme="minorHAnsi" w:cstheme="minorBidi"/>
                <w:b/>
                <w:color w:val="000000"/>
              </w:rPr>
            </w:pPr>
          </w:p>
        </w:tc>
        <w:tc>
          <w:tcPr>
            <w:tcW w:w="1463" w:type="dxa"/>
            <w:gridSpan w:val="9"/>
            <w:shd w:val="clear" w:color="auto" w:fill="FFFFFF" w:themeFill="background1"/>
          </w:tcPr>
          <w:p w:rsidR="008C203A" w:rsidRPr="00872FD2" w:rsidRDefault="008C203A" w:rsidP="004B1F82">
            <w:pPr>
              <w:spacing w:after="0" w:line="360" w:lineRule="auto"/>
              <w:jc w:val="center"/>
              <w:rPr>
                <w:rFonts w:asciiTheme="minorHAnsi" w:eastAsiaTheme="minorHAnsi" w:hAnsiTheme="minorHAnsi" w:cstheme="minorBidi"/>
                <w:b/>
                <w:color w:val="000000"/>
              </w:rPr>
            </w:pPr>
          </w:p>
        </w:tc>
        <w:tc>
          <w:tcPr>
            <w:tcW w:w="1342" w:type="dxa"/>
            <w:gridSpan w:val="7"/>
          </w:tcPr>
          <w:p w:rsidR="008C203A" w:rsidRPr="00872FD2" w:rsidRDefault="008C203A" w:rsidP="004B1F82">
            <w:pPr>
              <w:spacing w:after="0" w:line="360" w:lineRule="auto"/>
              <w:jc w:val="center"/>
              <w:rPr>
                <w:rFonts w:asciiTheme="minorHAnsi" w:eastAsiaTheme="minorHAnsi" w:hAnsiTheme="minorHAnsi" w:cstheme="minorBidi"/>
                <w:b/>
                <w:color w:val="000000"/>
              </w:rPr>
            </w:pPr>
            <w:r w:rsidRPr="00872FD2">
              <w:rPr>
                <w:rFonts w:asciiTheme="minorHAnsi" w:eastAsiaTheme="minorHAnsi" w:hAnsiTheme="minorHAnsi" w:cstheme="minorBidi"/>
                <w:b/>
                <w:color w:val="000000"/>
              </w:rPr>
              <w:t>1η μέτρηση</w:t>
            </w:r>
          </w:p>
        </w:tc>
        <w:tc>
          <w:tcPr>
            <w:tcW w:w="1342" w:type="dxa"/>
            <w:gridSpan w:val="8"/>
          </w:tcPr>
          <w:p w:rsidR="008C203A" w:rsidRPr="00872FD2" w:rsidRDefault="008C203A" w:rsidP="004B1F82">
            <w:pPr>
              <w:spacing w:after="0" w:line="360" w:lineRule="auto"/>
              <w:jc w:val="center"/>
              <w:rPr>
                <w:rFonts w:asciiTheme="minorHAnsi" w:eastAsiaTheme="minorHAnsi" w:hAnsiTheme="minorHAnsi" w:cstheme="minorBidi"/>
                <w:b/>
                <w:color w:val="000000"/>
              </w:rPr>
            </w:pPr>
            <w:r w:rsidRPr="00872FD2">
              <w:rPr>
                <w:rFonts w:asciiTheme="minorHAnsi" w:eastAsiaTheme="minorHAnsi" w:hAnsiTheme="minorHAnsi" w:cstheme="minorBidi"/>
                <w:b/>
                <w:color w:val="000000"/>
              </w:rPr>
              <w:t>2η μέτρηση</w:t>
            </w:r>
          </w:p>
        </w:tc>
        <w:tc>
          <w:tcPr>
            <w:tcW w:w="1198" w:type="dxa"/>
            <w:gridSpan w:val="7"/>
          </w:tcPr>
          <w:p w:rsidR="008C203A" w:rsidRPr="00FB501F" w:rsidRDefault="00FB501F" w:rsidP="004B1F82">
            <w:pPr>
              <w:spacing w:after="0" w:line="360" w:lineRule="auto"/>
              <w:jc w:val="center"/>
              <w:rPr>
                <w:rFonts w:asciiTheme="minorHAnsi" w:eastAsiaTheme="minorHAnsi" w:hAnsiTheme="minorHAnsi" w:cstheme="minorBidi"/>
                <w:b/>
                <w:color w:val="000000"/>
              </w:rPr>
            </w:pPr>
            <w:r>
              <w:rPr>
                <w:rFonts w:asciiTheme="minorHAnsi" w:eastAsiaTheme="minorHAnsi" w:hAnsiTheme="minorHAnsi" w:cstheme="minorBidi"/>
                <w:b/>
                <w:color w:val="000000"/>
              </w:rPr>
              <w:t>Στατιστική Δοκιμασία</w:t>
            </w:r>
          </w:p>
        </w:tc>
        <w:tc>
          <w:tcPr>
            <w:tcW w:w="1094" w:type="dxa"/>
            <w:gridSpan w:val="7"/>
          </w:tcPr>
          <w:p w:rsidR="008C203A" w:rsidRPr="00872FD2" w:rsidRDefault="008C203A" w:rsidP="004B1F82">
            <w:pPr>
              <w:spacing w:after="0" w:line="360" w:lineRule="auto"/>
              <w:jc w:val="center"/>
              <w:rPr>
                <w:rFonts w:asciiTheme="minorHAnsi" w:eastAsiaTheme="minorHAnsi" w:hAnsiTheme="minorHAnsi" w:cstheme="minorBidi"/>
                <w:b/>
                <w:color w:val="000000"/>
              </w:rPr>
            </w:pPr>
            <w:r w:rsidRPr="00872FD2">
              <w:rPr>
                <w:rFonts w:asciiTheme="minorHAnsi" w:eastAsiaTheme="minorHAnsi" w:hAnsiTheme="minorHAnsi" w:cstheme="minorBidi"/>
                <w:b/>
                <w:color w:val="000000"/>
              </w:rPr>
              <w:t>p-value</w:t>
            </w:r>
          </w:p>
        </w:tc>
      </w:tr>
      <w:tr w:rsidR="008C203A" w:rsidRPr="00872FD2" w:rsidTr="00F27AC3">
        <w:trPr>
          <w:gridAfter w:val="1"/>
          <w:cnfStyle w:val="000000010000"/>
          <w:wAfter w:w="6" w:type="dxa"/>
          <w:jc w:val="center"/>
        </w:trPr>
        <w:tc>
          <w:tcPr>
            <w:tcW w:w="2913" w:type="dxa"/>
            <w:vMerge w:val="restart"/>
            <w:shd w:val="clear" w:color="auto" w:fill="E5DFEC" w:themeFill="accent4" w:themeFillTint="33"/>
          </w:tcPr>
          <w:p w:rsidR="008C203A" w:rsidRPr="00872FD2" w:rsidRDefault="008C203A"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Η νεφρική νόσος είναι ένα πρόβλημα που έρχεται με τη ηλικία, οι νέοι άνθρωποι δεν παθαίνουν αυτή την ασθένεια.</w:t>
            </w:r>
          </w:p>
        </w:tc>
        <w:tc>
          <w:tcPr>
            <w:tcW w:w="1463" w:type="dxa"/>
            <w:gridSpan w:val="9"/>
          </w:tcPr>
          <w:p w:rsidR="008C203A" w:rsidRPr="00872FD2" w:rsidRDefault="008C203A"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Σωστό</w:t>
            </w:r>
          </w:p>
        </w:tc>
        <w:tc>
          <w:tcPr>
            <w:tcW w:w="1342" w:type="dxa"/>
            <w:gridSpan w:val="7"/>
          </w:tcPr>
          <w:p w:rsidR="008C203A" w:rsidRPr="00872FD2" w:rsidRDefault="008C203A"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 (4,2%)</w:t>
            </w:r>
          </w:p>
        </w:tc>
        <w:tc>
          <w:tcPr>
            <w:tcW w:w="1342" w:type="dxa"/>
            <w:gridSpan w:val="8"/>
          </w:tcPr>
          <w:p w:rsidR="008C203A" w:rsidRPr="00872FD2" w:rsidRDefault="008C203A"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 (4,2%)</w:t>
            </w:r>
          </w:p>
        </w:tc>
        <w:tc>
          <w:tcPr>
            <w:tcW w:w="1198" w:type="dxa"/>
            <w:gridSpan w:val="7"/>
            <w:vMerge w:val="restart"/>
          </w:tcPr>
          <w:p w:rsidR="008C203A" w:rsidRPr="00872FD2" w:rsidRDefault="008C203A"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NC</w:t>
            </w:r>
          </w:p>
        </w:tc>
        <w:tc>
          <w:tcPr>
            <w:tcW w:w="1094" w:type="dxa"/>
            <w:gridSpan w:val="7"/>
            <w:vMerge w:val="restart"/>
          </w:tcPr>
          <w:p w:rsidR="008C203A" w:rsidRPr="00872FD2" w:rsidRDefault="008C203A"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NC</w:t>
            </w:r>
          </w:p>
        </w:tc>
      </w:tr>
      <w:tr w:rsidR="008C203A" w:rsidRPr="00872FD2" w:rsidTr="00F27AC3">
        <w:trPr>
          <w:gridAfter w:val="1"/>
          <w:cnfStyle w:val="000000100000"/>
          <w:wAfter w:w="6" w:type="dxa"/>
          <w:jc w:val="center"/>
        </w:trPr>
        <w:tc>
          <w:tcPr>
            <w:tcW w:w="2913" w:type="dxa"/>
            <w:vMerge/>
            <w:shd w:val="clear" w:color="auto" w:fill="E5DFEC" w:themeFill="accent4" w:themeFillTint="33"/>
          </w:tcPr>
          <w:p w:rsidR="008C203A" w:rsidRPr="00872FD2" w:rsidRDefault="008C203A" w:rsidP="004B1F82">
            <w:pPr>
              <w:spacing w:after="0" w:line="360" w:lineRule="auto"/>
              <w:jc w:val="center"/>
              <w:rPr>
                <w:rFonts w:asciiTheme="minorHAnsi" w:eastAsiaTheme="minorHAnsi" w:hAnsiTheme="minorHAnsi" w:cstheme="minorBidi"/>
                <w:color w:val="000000"/>
              </w:rPr>
            </w:pPr>
          </w:p>
        </w:tc>
        <w:tc>
          <w:tcPr>
            <w:tcW w:w="1463" w:type="dxa"/>
            <w:gridSpan w:val="9"/>
          </w:tcPr>
          <w:p w:rsidR="008C203A" w:rsidRPr="00872FD2" w:rsidRDefault="008C203A"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Λανθασμένο</w:t>
            </w:r>
          </w:p>
        </w:tc>
        <w:tc>
          <w:tcPr>
            <w:tcW w:w="1342" w:type="dxa"/>
            <w:gridSpan w:val="7"/>
          </w:tcPr>
          <w:p w:rsidR="008C203A" w:rsidRPr="00872FD2" w:rsidRDefault="008C203A"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23 (95,8%)</w:t>
            </w:r>
          </w:p>
        </w:tc>
        <w:tc>
          <w:tcPr>
            <w:tcW w:w="1342" w:type="dxa"/>
            <w:gridSpan w:val="8"/>
          </w:tcPr>
          <w:p w:rsidR="008C203A" w:rsidRPr="00872FD2" w:rsidRDefault="008C203A"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23 (95,8%)</w:t>
            </w:r>
          </w:p>
        </w:tc>
        <w:tc>
          <w:tcPr>
            <w:tcW w:w="1198" w:type="dxa"/>
            <w:gridSpan w:val="7"/>
            <w:vMerge/>
          </w:tcPr>
          <w:p w:rsidR="008C203A" w:rsidRPr="00872FD2" w:rsidRDefault="008C203A" w:rsidP="004B1F82">
            <w:pPr>
              <w:spacing w:after="0" w:line="360" w:lineRule="auto"/>
              <w:jc w:val="center"/>
              <w:rPr>
                <w:rFonts w:asciiTheme="minorHAnsi" w:eastAsiaTheme="minorHAnsi" w:hAnsiTheme="minorHAnsi" w:cstheme="minorBidi"/>
                <w:color w:val="000000"/>
              </w:rPr>
            </w:pPr>
          </w:p>
        </w:tc>
        <w:tc>
          <w:tcPr>
            <w:tcW w:w="1094" w:type="dxa"/>
            <w:gridSpan w:val="7"/>
            <w:vMerge/>
          </w:tcPr>
          <w:p w:rsidR="008C203A" w:rsidRPr="00872FD2" w:rsidRDefault="008C203A" w:rsidP="004B1F82">
            <w:pPr>
              <w:spacing w:after="0" w:line="360" w:lineRule="auto"/>
              <w:jc w:val="center"/>
              <w:rPr>
                <w:rFonts w:asciiTheme="minorHAnsi" w:eastAsiaTheme="minorHAnsi" w:hAnsiTheme="minorHAnsi" w:cstheme="minorBidi"/>
                <w:color w:val="000000"/>
              </w:rPr>
            </w:pPr>
          </w:p>
        </w:tc>
      </w:tr>
      <w:tr w:rsidR="008C203A" w:rsidRPr="00872FD2" w:rsidTr="00F27AC3">
        <w:trPr>
          <w:gridAfter w:val="1"/>
          <w:cnfStyle w:val="000000010000"/>
          <w:wAfter w:w="6" w:type="dxa"/>
          <w:jc w:val="center"/>
        </w:trPr>
        <w:tc>
          <w:tcPr>
            <w:tcW w:w="9352" w:type="dxa"/>
            <w:gridSpan w:val="39"/>
          </w:tcPr>
          <w:p w:rsidR="008C203A" w:rsidRPr="00872FD2" w:rsidRDefault="008C203A" w:rsidP="004B1F82">
            <w:pPr>
              <w:spacing w:after="0" w:line="360" w:lineRule="auto"/>
              <w:rPr>
                <w:rFonts w:asciiTheme="minorHAnsi" w:eastAsiaTheme="minorHAnsi" w:hAnsiTheme="minorHAnsi" w:cstheme="minorBidi"/>
                <w:i/>
                <w:color w:val="000000"/>
                <w:lang w:val="en-US"/>
              </w:rPr>
            </w:pPr>
            <w:r w:rsidRPr="00872FD2">
              <w:rPr>
                <w:rFonts w:asciiTheme="minorHAnsi" w:eastAsiaTheme="minorHAnsi" w:hAnsiTheme="minorHAnsi" w:cstheme="minorBidi"/>
                <w:i/>
                <w:color w:val="000000"/>
                <w:lang w:val="en-US"/>
              </w:rPr>
              <w:t>McNemar</w:t>
            </w:r>
            <w:r w:rsidRPr="00872FD2">
              <w:rPr>
                <w:rFonts w:asciiTheme="minorHAnsi" w:eastAsiaTheme="minorHAnsi" w:hAnsiTheme="minorHAnsi" w:cstheme="minorBidi"/>
                <w:i/>
                <w:color w:val="000000"/>
              </w:rPr>
              <w:t xml:space="preserve"> </w:t>
            </w:r>
            <w:r w:rsidRPr="00872FD2">
              <w:rPr>
                <w:rFonts w:asciiTheme="minorHAnsi" w:eastAsiaTheme="minorHAnsi" w:hAnsiTheme="minorHAnsi" w:cstheme="minorBidi"/>
                <w:i/>
                <w:color w:val="000000"/>
                <w:lang w:val="en-US"/>
              </w:rPr>
              <w:t>test</w:t>
            </w:r>
          </w:p>
        </w:tc>
      </w:tr>
      <w:tr w:rsidR="004D1E8A" w:rsidRPr="00872FD2" w:rsidTr="00F27AC3">
        <w:trPr>
          <w:gridAfter w:val="1"/>
          <w:cnfStyle w:val="000000100000"/>
          <w:wAfter w:w="6" w:type="dxa"/>
          <w:jc w:val="center"/>
        </w:trPr>
        <w:tc>
          <w:tcPr>
            <w:tcW w:w="2913" w:type="dxa"/>
            <w:vMerge w:val="restart"/>
          </w:tcPr>
          <w:p w:rsidR="004D1E8A" w:rsidRPr="00872FD2" w:rsidRDefault="004D1E8A"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Οι περισσότεροι τύποι νεφρικής νόσου διαρκούν περίπου 5 χρόνια. Μετά από 5 χρόνια, οι νεφροί αρχίζουν να λειτουργούν πάλι κανονικά.</w:t>
            </w:r>
          </w:p>
        </w:tc>
        <w:tc>
          <w:tcPr>
            <w:tcW w:w="1463" w:type="dxa"/>
            <w:gridSpan w:val="9"/>
          </w:tcPr>
          <w:p w:rsidR="004D1E8A" w:rsidRPr="00872FD2" w:rsidRDefault="004D1E8A"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Σωστό</w:t>
            </w:r>
          </w:p>
        </w:tc>
        <w:tc>
          <w:tcPr>
            <w:tcW w:w="1342" w:type="dxa"/>
            <w:gridSpan w:val="7"/>
          </w:tcPr>
          <w:p w:rsidR="004D1E8A" w:rsidRPr="00872FD2" w:rsidRDefault="004D1E8A"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1 (4,2%)</w:t>
            </w:r>
          </w:p>
        </w:tc>
        <w:tc>
          <w:tcPr>
            <w:tcW w:w="1342" w:type="dxa"/>
            <w:gridSpan w:val="8"/>
          </w:tcPr>
          <w:p w:rsidR="004D1E8A" w:rsidRPr="00872FD2" w:rsidRDefault="004D1E8A"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0 (0,0%)</w:t>
            </w:r>
          </w:p>
        </w:tc>
        <w:tc>
          <w:tcPr>
            <w:tcW w:w="1198" w:type="dxa"/>
            <w:gridSpan w:val="7"/>
            <w:vMerge w:val="restart"/>
          </w:tcPr>
          <w:p w:rsidR="004D1E8A" w:rsidRPr="00872FD2" w:rsidRDefault="004D1E8A"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NC</w:t>
            </w:r>
          </w:p>
        </w:tc>
        <w:tc>
          <w:tcPr>
            <w:tcW w:w="1094" w:type="dxa"/>
            <w:gridSpan w:val="7"/>
            <w:vMerge w:val="restart"/>
          </w:tcPr>
          <w:p w:rsidR="004D1E8A" w:rsidRPr="00872FD2" w:rsidRDefault="004D1E8A"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NC</w:t>
            </w:r>
          </w:p>
        </w:tc>
      </w:tr>
      <w:tr w:rsidR="004D1E8A" w:rsidRPr="00872FD2" w:rsidTr="00F27AC3">
        <w:trPr>
          <w:gridAfter w:val="1"/>
          <w:cnfStyle w:val="000000010000"/>
          <w:wAfter w:w="6" w:type="dxa"/>
          <w:jc w:val="center"/>
        </w:trPr>
        <w:tc>
          <w:tcPr>
            <w:tcW w:w="2913" w:type="dxa"/>
            <w:vMerge/>
          </w:tcPr>
          <w:p w:rsidR="004D1E8A" w:rsidRPr="00872FD2" w:rsidRDefault="004D1E8A" w:rsidP="004B1F82">
            <w:pPr>
              <w:spacing w:after="0" w:line="360" w:lineRule="auto"/>
              <w:rPr>
                <w:rFonts w:asciiTheme="minorHAnsi" w:eastAsiaTheme="minorHAnsi" w:hAnsiTheme="minorHAnsi" w:cstheme="minorBidi"/>
                <w:color w:val="000000"/>
              </w:rPr>
            </w:pPr>
          </w:p>
        </w:tc>
        <w:tc>
          <w:tcPr>
            <w:tcW w:w="1463" w:type="dxa"/>
            <w:gridSpan w:val="9"/>
          </w:tcPr>
          <w:p w:rsidR="004D1E8A" w:rsidRPr="00872FD2" w:rsidRDefault="004D1E8A"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Λανθασμένο</w:t>
            </w:r>
          </w:p>
        </w:tc>
        <w:tc>
          <w:tcPr>
            <w:tcW w:w="1342" w:type="dxa"/>
            <w:gridSpan w:val="7"/>
          </w:tcPr>
          <w:p w:rsidR="004D1E8A" w:rsidRPr="00872FD2" w:rsidRDefault="004D1E8A"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21 (87,5%)</w:t>
            </w:r>
          </w:p>
        </w:tc>
        <w:tc>
          <w:tcPr>
            <w:tcW w:w="1342" w:type="dxa"/>
            <w:gridSpan w:val="8"/>
          </w:tcPr>
          <w:p w:rsidR="004D1E8A" w:rsidRPr="00872FD2" w:rsidRDefault="004D1E8A"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22 (91,7%)</w:t>
            </w:r>
          </w:p>
        </w:tc>
        <w:tc>
          <w:tcPr>
            <w:tcW w:w="1198" w:type="dxa"/>
            <w:gridSpan w:val="7"/>
            <w:vMerge/>
          </w:tcPr>
          <w:p w:rsidR="004D1E8A" w:rsidRPr="00872FD2" w:rsidRDefault="004D1E8A" w:rsidP="004B1F82">
            <w:pPr>
              <w:spacing w:after="0" w:line="360" w:lineRule="auto"/>
              <w:rPr>
                <w:rFonts w:asciiTheme="minorHAnsi" w:eastAsiaTheme="minorHAnsi" w:hAnsiTheme="minorHAnsi" w:cstheme="minorBidi"/>
                <w:color w:val="000000"/>
              </w:rPr>
            </w:pPr>
          </w:p>
        </w:tc>
        <w:tc>
          <w:tcPr>
            <w:tcW w:w="1094" w:type="dxa"/>
            <w:gridSpan w:val="7"/>
            <w:vMerge/>
          </w:tcPr>
          <w:p w:rsidR="004D1E8A" w:rsidRPr="00872FD2" w:rsidRDefault="004D1E8A" w:rsidP="004B1F82">
            <w:pPr>
              <w:spacing w:after="0" w:line="360" w:lineRule="auto"/>
              <w:rPr>
                <w:rFonts w:asciiTheme="minorHAnsi" w:eastAsiaTheme="minorHAnsi" w:hAnsiTheme="minorHAnsi" w:cstheme="minorBidi"/>
                <w:color w:val="000000"/>
              </w:rPr>
            </w:pPr>
          </w:p>
        </w:tc>
      </w:tr>
      <w:tr w:rsidR="004D1E8A" w:rsidRPr="00872FD2" w:rsidTr="00F27AC3">
        <w:trPr>
          <w:gridAfter w:val="1"/>
          <w:cnfStyle w:val="000000100000"/>
          <w:wAfter w:w="6" w:type="dxa"/>
          <w:jc w:val="center"/>
        </w:trPr>
        <w:tc>
          <w:tcPr>
            <w:tcW w:w="2913" w:type="dxa"/>
            <w:vMerge/>
          </w:tcPr>
          <w:p w:rsidR="004D1E8A" w:rsidRPr="00872FD2" w:rsidRDefault="004D1E8A" w:rsidP="004B1F82">
            <w:pPr>
              <w:spacing w:after="0" w:line="360" w:lineRule="auto"/>
              <w:rPr>
                <w:rFonts w:asciiTheme="minorHAnsi" w:eastAsiaTheme="minorHAnsi" w:hAnsiTheme="minorHAnsi" w:cstheme="minorBidi"/>
                <w:color w:val="000000"/>
              </w:rPr>
            </w:pPr>
          </w:p>
        </w:tc>
        <w:tc>
          <w:tcPr>
            <w:tcW w:w="1463" w:type="dxa"/>
            <w:gridSpan w:val="9"/>
          </w:tcPr>
          <w:p w:rsidR="004D1E8A" w:rsidRPr="00872FD2" w:rsidRDefault="004D1E8A"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Δεν ξέρω</w:t>
            </w:r>
          </w:p>
        </w:tc>
        <w:tc>
          <w:tcPr>
            <w:tcW w:w="1342" w:type="dxa"/>
            <w:gridSpan w:val="7"/>
          </w:tcPr>
          <w:p w:rsidR="004D1E8A" w:rsidRPr="00872FD2" w:rsidRDefault="004D1E8A"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2 (8,3%)</w:t>
            </w:r>
          </w:p>
        </w:tc>
        <w:tc>
          <w:tcPr>
            <w:tcW w:w="1342" w:type="dxa"/>
            <w:gridSpan w:val="8"/>
          </w:tcPr>
          <w:p w:rsidR="004D1E8A" w:rsidRPr="00872FD2" w:rsidRDefault="004D1E8A"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2 (8,3%)</w:t>
            </w:r>
          </w:p>
        </w:tc>
        <w:tc>
          <w:tcPr>
            <w:tcW w:w="1198" w:type="dxa"/>
            <w:gridSpan w:val="7"/>
            <w:vMerge/>
          </w:tcPr>
          <w:p w:rsidR="004D1E8A" w:rsidRPr="00872FD2" w:rsidRDefault="004D1E8A" w:rsidP="004B1F82">
            <w:pPr>
              <w:spacing w:after="0" w:line="360" w:lineRule="auto"/>
              <w:rPr>
                <w:rFonts w:asciiTheme="minorHAnsi" w:eastAsiaTheme="minorHAnsi" w:hAnsiTheme="minorHAnsi" w:cstheme="minorBidi"/>
                <w:color w:val="000000"/>
              </w:rPr>
            </w:pPr>
          </w:p>
        </w:tc>
        <w:tc>
          <w:tcPr>
            <w:tcW w:w="1094" w:type="dxa"/>
            <w:gridSpan w:val="7"/>
            <w:vMerge/>
          </w:tcPr>
          <w:p w:rsidR="004D1E8A" w:rsidRPr="00872FD2" w:rsidRDefault="004D1E8A" w:rsidP="004B1F82">
            <w:pPr>
              <w:spacing w:after="0" w:line="360" w:lineRule="auto"/>
              <w:rPr>
                <w:rFonts w:asciiTheme="minorHAnsi" w:eastAsiaTheme="minorHAnsi" w:hAnsiTheme="minorHAnsi" w:cstheme="minorBidi"/>
                <w:color w:val="000000"/>
              </w:rPr>
            </w:pPr>
          </w:p>
        </w:tc>
      </w:tr>
      <w:tr w:rsidR="004D1E8A" w:rsidRPr="00872FD2" w:rsidTr="00F27AC3">
        <w:trPr>
          <w:gridAfter w:val="1"/>
          <w:cnfStyle w:val="000000010000"/>
          <w:wAfter w:w="6" w:type="dxa"/>
          <w:jc w:val="center"/>
        </w:trPr>
        <w:tc>
          <w:tcPr>
            <w:tcW w:w="9352" w:type="dxa"/>
            <w:gridSpan w:val="39"/>
          </w:tcPr>
          <w:p w:rsidR="004D1E8A" w:rsidRPr="00872FD2" w:rsidRDefault="004D1E8A" w:rsidP="004B1F82">
            <w:pPr>
              <w:spacing w:after="0" w:line="360" w:lineRule="auto"/>
              <w:rPr>
                <w:rFonts w:asciiTheme="minorHAnsi" w:eastAsiaTheme="minorHAnsi" w:hAnsiTheme="minorHAnsi" w:cstheme="minorBidi"/>
                <w:i/>
                <w:color w:val="000000"/>
                <w:lang w:val="en-US"/>
              </w:rPr>
            </w:pPr>
            <w:r w:rsidRPr="00872FD2">
              <w:rPr>
                <w:rFonts w:asciiTheme="minorHAnsi" w:eastAsiaTheme="minorHAnsi" w:hAnsiTheme="minorHAnsi" w:cstheme="minorBidi"/>
                <w:i/>
                <w:color w:val="000000"/>
              </w:rPr>
              <w:t>McNemar-Bowker</w:t>
            </w:r>
            <w:r w:rsidRPr="00872FD2">
              <w:rPr>
                <w:rFonts w:asciiTheme="minorHAnsi" w:eastAsiaTheme="minorHAnsi" w:hAnsiTheme="minorHAnsi" w:cstheme="minorBidi"/>
                <w:i/>
                <w:color w:val="000000"/>
                <w:lang w:val="en-US"/>
              </w:rPr>
              <w:t xml:space="preserve"> test</w:t>
            </w:r>
          </w:p>
        </w:tc>
      </w:tr>
      <w:tr w:rsidR="008B76D5" w:rsidRPr="00872FD2" w:rsidTr="00F27AC3">
        <w:trPr>
          <w:gridAfter w:val="2"/>
          <w:cnfStyle w:val="000000100000"/>
          <w:wAfter w:w="17" w:type="dxa"/>
          <w:jc w:val="center"/>
        </w:trPr>
        <w:tc>
          <w:tcPr>
            <w:tcW w:w="3149" w:type="dxa"/>
            <w:gridSpan w:val="8"/>
            <w:vMerge w:val="restart"/>
          </w:tcPr>
          <w:p w:rsidR="008B76D5" w:rsidRPr="00872FD2" w:rsidRDefault="00872CE5" w:rsidP="004B1F82">
            <w:pPr>
              <w:spacing w:after="0" w:line="360" w:lineRule="auto"/>
              <w:rPr>
                <w:rFonts w:asciiTheme="minorHAnsi" w:eastAsiaTheme="minorHAnsi" w:hAnsiTheme="minorHAnsi" w:cstheme="minorBidi"/>
                <w:color w:val="000000"/>
              </w:rPr>
            </w:pPr>
            <w:r>
              <w:rPr>
                <w:rFonts w:asciiTheme="minorHAnsi" w:eastAsiaTheme="minorHAnsi" w:hAnsiTheme="minorHAnsi" w:cstheme="minorBidi"/>
                <w:color w:val="000000"/>
              </w:rPr>
              <w:t xml:space="preserve">Η περιτονίτιδα </w:t>
            </w:r>
            <w:r w:rsidR="008B76D5" w:rsidRPr="00872FD2">
              <w:rPr>
                <w:rFonts w:asciiTheme="minorHAnsi" w:eastAsiaTheme="minorHAnsi" w:hAnsiTheme="minorHAnsi" w:cstheme="minorBidi"/>
                <w:color w:val="000000"/>
              </w:rPr>
              <w:t xml:space="preserve">που είναι </w:t>
            </w:r>
            <w:r w:rsidR="00817853">
              <w:rPr>
                <w:rFonts w:asciiTheme="minorHAnsi" w:eastAsiaTheme="minorHAnsi" w:hAnsiTheme="minorHAnsi" w:cstheme="minorBidi"/>
                <w:color w:val="000000"/>
              </w:rPr>
              <w:t>μια</w:t>
            </w:r>
            <w:r w:rsidR="008B76D5" w:rsidRPr="00872FD2">
              <w:rPr>
                <w:rFonts w:asciiTheme="minorHAnsi" w:eastAsiaTheme="minorHAnsi" w:hAnsiTheme="minorHAnsi" w:cstheme="minorBidi"/>
                <w:color w:val="000000"/>
              </w:rPr>
              <w:t xml:space="preserve"> λοίμω</w:t>
            </w:r>
            <w:r>
              <w:rPr>
                <w:rFonts w:asciiTheme="minorHAnsi" w:eastAsiaTheme="minorHAnsi" w:hAnsiTheme="minorHAnsi" w:cstheme="minorBidi"/>
                <w:color w:val="000000"/>
              </w:rPr>
              <w:t xml:space="preserve">ξη της περιτοναϊκής κοιλότητας </w:t>
            </w:r>
            <w:r w:rsidR="008B76D5" w:rsidRPr="00872FD2">
              <w:rPr>
                <w:rFonts w:asciiTheme="minorHAnsi" w:eastAsiaTheme="minorHAnsi" w:hAnsiTheme="minorHAnsi" w:cstheme="minorBidi"/>
                <w:color w:val="000000"/>
              </w:rPr>
              <w:t>είναι ένα από τα μεγαλύτερα προβλήματα των ασθενών που υποβάλλονται σε Συνεχή Φορητή Περιτοναϊκή Κάθαρση.</w:t>
            </w:r>
          </w:p>
        </w:tc>
        <w:tc>
          <w:tcPr>
            <w:tcW w:w="1463" w:type="dxa"/>
            <w:gridSpan w:val="4"/>
          </w:tcPr>
          <w:p w:rsidR="008B76D5" w:rsidRPr="00872FD2" w:rsidRDefault="008B76D5"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Σωστό</w:t>
            </w:r>
          </w:p>
        </w:tc>
        <w:tc>
          <w:tcPr>
            <w:tcW w:w="1342" w:type="dxa"/>
            <w:gridSpan w:val="7"/>
          </w:tcPr>
          <w:p w:rsidR="008B76D5" w:rsidRPr="00872FD2" w:rsidRDefault="008B76D5"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19 (79,2%)</w:t>
            </w:r>
          </w:p>
        </w:tc>
        <w:tc>
          <w:tcPr>
            <w:tcW w:w="1404" w:type="dxa"/>
            <w:gridSpan w:val="9"/>
          </w:tcPr>
          <w:p w:rsidR="008B76D5" w:rsidRPr="00872FD2" w:rsidRDefault="008B76D5"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18 (75,0%)</w:t>
            </w:r>
          </w:p>
        </w:tc>
        <w:tc>
          <w:tcPr>
            <w:tcW w:w="1145" w:type="dxa"/>
            <w:gridSpan w:val="6"/>
            <w:vMerge w:val="restart"/>
          </w:tcPr>
          <w:p w:rsidR="008B76D5" w:rsidRPr="00872FD2" w:rsidRDefault="008B76D5" w:rsidP="004B1F82">
            <w:pPr>
              <w:spacing w:after="0" w:line="360" w:lineRule="auto"/>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1,000</w:t>
            </w:r>
          </w:p>
        </w:tc>
        <w:tc>
          <w:tcPr>
            <w:tcW w:w="838" w:type="dxa"/>
            <w:gridSpan w:val="4"/>
            <w:vMerge w:val="restart"/>
          </w:tcPr>
          <w:p w:rsidR="008B76D5" w:rsidRPr="00872FD2" w:rsidRDefault="008B76D5" w:rsidP="004B1F82">
            <w:pPr>
              <w:spacing w:after="0" w:line="360" w:lineRule="auto"/>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1,000</w:t>
            </w:r>
          </w:p>
        </w:tc>
      </w:tr>
      <w:tr w:rsidR="008B76D5" w:rsidRPr="00872FD2" w:rsidTr="00F27AC3">
        <w:trPr>
          <w:gridAfter w:val="2"/>
          <w:cnfStyle w:val="000000010000"/>
          <w:wAfter w:w="17" w:type="dxa"/>
          <w:jc w:val="center"/>
        </w:trPr>
        <w:tc>
          <w:tcPr>
            <w:tcW w:w="3149" w:type="dxa"/>
            <w:gridSpan w:val="8"/>
            <w:vMerge/>
          </w:tcPr>
          <w:p w:rsidR="008B76D5" w:rsidRPr="00872FD2" w:rsidRDefault="008B76D5" w:rsidP="004B1F82">
            <w:pPr>
              <w:spacing w:after="0" w:line="360" w:lineRule="auto"/>
              <w:rPr>
                <w:rFonts w:asciiTheme="minorHAnsi" w:eastAsiaTheme="minorHAnsi" w:hAnsiTheme="minorHAnsi" w:cstheme="minorBidi"/>
                <w:color w:val="000000"/>
                <w:highlight w:val="yellow"/>
              </w:rPr>
            </w:pPr>
          </w:p>
        </w:tc>
        <w:tc>
          <w:tcPr>
            <w:tcW w:w="1463" w:type="dxa"/>
            <w:gridSpan w:val="4"/>
          </w:tcPr>
          <w:p w:rsidR="008B76D5" w:rsidRPr="00872FD2" w:rsidRDefault="008B76D5"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Λανθασμένο</w:t>
            </w:r>
          </w:p>
        </w:tc>
        <w:tc>
          <w:tcPr>
            <w:tcW w:w="1342" w:type="dxa"/>
            <w:gridSpan w:val="7"/>
          </w:tcPr>
          <w:p w:rsidR="008B76D5" w:rsidRPr="00872FD2" w:rsidRDefault="008B76D5"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5 (20,8%)</w:t>
            </w:r>
          </w:p>
        </w:tc>
        <w:tc>
          <w:tcPr>
            <w:tcW w:w="1404" w:type="dxa"/>
            <w:gridSpan w:val="9"/>
          </w:tcPr>
          <w:p w:rsidR="008B76D5" w:rsidRPr="00872FD2" w:rsidRDefault="008B76D5"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lang w:val="en-US"/>
              </w:rPr>
              <w:t>6</w:t>
            </w:r>
            <w:r w:rsidRPr="00872FD2">
              <w:rPr>
                <w:rFonts w:asciiTheme="minorHAnsi" w:eastAsiaTheme="minorHAnsi" w:hAnsiTheme="minorHAnsi" w:cstheme="minorBidi"/>
                <w:color w:val="000000"/>
              </w:rPr>
              <w:t xml:space="preserve"> (</w:t>
            </w:r>
            <w:r w:rsidRPr="00872FD2">
              <w:rPr>
                <w:rFonts w:asciiTheme="minorHAnsi" w:eastAsiaTheme="minorHAnsi" w:hAnsiTheme="minorHAnsi" w:cstheme="minorBidi"/>
                <w:color w:val="000000"/>
                <w:lang w:val="en-US"/>
              </w:rPr>
              <w:t>25</w:t>
            </w:r>
            <w:r w:rsidRPr="00872FD2">
              <w:rPr>
                <w:rFonts w:asciiTheme="minorHAnsi" w:eastAsiaTheme="minorHAnsi" w:hAnsiTheme="minorHAnsi" w:cstheme="minorBidi"/>
                <w:color w:val="000000"/>
              </w:rPr>
              <w:t>,0%)</w:t>
            </w:r>
          </w:p>
        </w:tc>
        <w:tc>
          <w:tcPr>
            <w:tcW w:w="1145" w:type="dxa"/>
            <w:gridSpan w:val="6"/>
            <w:vMerge/>
          </w:tcPr>
          <w:p w:rsidR="008B76D5" w:rsidRPr="00872FD2" w:rsidRDefault="008B76D5" w:rsidP="004B1F82">
            <w:pPr>
              <w:spacing w:after="0" w:line="360" w:lineRule="auto"/>
              <w:rPr>
                <w:rFonts w:asciiTheme="minorHAnsi" w:eastAsiaTheme="minorHAnsi" w:hAnsiTheme="minorHAnsi" w:cstheme="minorBidi"/>
                <w:color w:val="000000"/>
                <w:highlight w:val="yellow"/>
              </w:rPr>
            </w:pPr>
          </w:p>
        </w:tc>
        <w:tc>
          <w:tcPr>
            <w:tcW w:w="838" w:type="dxa"/>
            <w:gridSpan w:val="4"/>
            <w:vMerge/>
          </w:tcPr>
          <w:p w:rsidR="008B76D5" w:rsidRPr="00872FD2" w:rsidRDefault="008B76D5" w:rsidP="004B1F82">
            <w:pPr>
              <w:spacing w:after="0" w:line="360" w:lineRule="auto"/>
              <w:rPr>
                <w:rFonts w:asciiTheme="minorHAnsi" w:eastAsiaTheme="minorHAnsi" w:hAnsiTheme="minorHAnsi" w:cstheme="minorBidi"/>
                <w:color w:val="000000"/>
                <w:highlight w:val="yellow"/>
              </w:rPr>
            </w:pPr>
          </w:p>
        </w:tc>
      </w:tr>
      <w:tr w:rsidR="008B76D5" w:rsidRPr="00872FD2" w:rsidTr="00F27AC3">
        <w:trPr>
          <w:gridAfter w:val="2"/>
          <w:cnfStyle w:val="000000100000"/>
          <w:wAfter w:w="17" w:type="dxa"/>
          <w:jc w:val="center"/>
        </w:trPr>
        <w:tc>
          <w:tcPr>
            <w:tcW w:w="9341" w:type="dxa"/>
            <w:gridSpan w:val="38"/>
            <w:shd w:val="clear" w:color="auto" w:fill="FFFFFF" w:themeFill="background1"/>
          </w:tcPr>
          <w:p w:rsidR="008B76D5" w:rsidRPr="00872FD2" w:rsidRDefault="008B76D5" w:rsidP="004B1F82">
            <w:pPr>
              <w:spacing w:after="0" w:line="360" w:lineRule="auto"/>
              <w:rPr>
                <w:rFonts w:asciiTheme="minorHAnsi" w:eastAsiaTheme="minorHAnsi" w:hAnsiTheme="minorHAnsi" w:cstheme="minorBidi"/>
                <w:i/>
                <w:color w:val="000000"/>
                <w:lang w:val="en-US"/>
              </w:rPr>
            </w:pPr>
            <w:r w:rsidRPr="00872FD2">
              <w:rPr>
                <w:rFonts w:asciiTheme="minorHAnsi" w:eastAsiaTheme="minorHAnsi" w:hAnsiTheme="minorHAnsi" w:cstheme="minorBidi"/>
                <w:i/>
                <w:color w:val="000000"/>
                <w:lang w:val="en-US"/>
              </w:rPr>
              <w:t>McNemar</w:t>
            </w:r>
            <w:r w:rsidRPr="00872FD2">
              <w:rPr>
                <w:rFonts w:asciiTheme="minorHAnsi" w:eastAsiaTheme="minorHAnsi" w:hAnsiTheme="minorHAnsi" w:cstheme="minorBidi"/>
                <w:i/>
                <w:color w:val="000000"/>
              </w:rPr>
              <w:t xml:space="preserve"> </w:t>
            </w:r>
            <w:r w:rsidRPr="00872FD2">
              <w:rPr>
                <w:rFonts w:asciiTheme="minorHAnsi" w:eastAsiaTheme="minorHAnsi" w:hAnsiTheme="minorHAnsi" w:cstheme="minorBidi"/>
                <w:i/>
                <w:color w:val="000000"/>
                <w:lang w:val="en-US"/>
              </w:rPr>
              <w:t>test</w:t>
            </w:r>
          </w:p>
        </w:tc>
      </w:tr>
      <w:tr w:rsidR="008B76D5" w:rsidRPr="00872FD2" w:rsidTr="00F27AC3">
        <w:trPr>
          <w:gridAfter w:val="2"/>
          <w:cnfStyle w:val="000000010000"/>
          <w:wAfter w:w="17" w:type="dxa"/>
          <w:jc w:val="center"/>
        </w:trPr>
        <w:tc>
          <w:tcPr>
            <w:tcW w:w="3149" w:type="dxa"/>
            <w:gridSpan w:val="8"/>
            <w:vMerge w:val="restart"/>
            <w:shd w:val="clear" w:color="auto" w:fill="E5DFEC" w:themeFill="accent4" w:themeFillTint="33"/>
          </w:tcPr>
          <w:p w:rsidR="008B76D5" w:rsidRPr="00872FD2" w:rsidRDefault="008B76D5"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Η μεταμόσχευση νεφρού είναι η καλύτερη μορφή θεραπείας για τους ασθενείς με νεφρική νόσο διότι μετά τη μεταμόσχευση οι ασθενείς κινδυνεύουν λιγότερο να πάθουν μόλυνση από βακτήρια ή ιούς.</w:t>
            </w:r>
          </w:p>
        </w:tc>
        <w:tc>
          <w:tcPr>
            <w:tcW w:w="1463" w:type="dxa"/>
            <w:gridSpan w:val="4"/>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Σωστό</w:t>
            </w:r>
          </w:p>
        </w:tc>
        <w:tc>
          <w:tcPr>
            <w:tcW w:w="1342" w:type="dxa"/>
            <w:gridSpan w:val="7"/>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13 (54,2%)</w:t>
            </w:r>
          </w:p>
        </w:tc>
        <w:tc>
          <w:tcPr>
            <w:tcW w:w="1404" w:type="dxa"/>
            <w:gridSpan w:val="9"/>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10 (41,7%)</w:t>
            </w:r>
          </w:p>
        </w:tc>
        <w:tc>
          <w:tcPr>
            <w:tcW w:w="1145" w:type="dxa"/>
            <w:gridSpan w:val="6"/>
            <w:vMerge w:val="restart"/>
          </w:tcPr>
          <w:p w:rsidR="008B76D5" w:rsidRPr="00872FD2" w:rsidRDefault="008B76D5"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5,000</w:t>
            </w:r>
          </w:p>
        </w:tc>
        <w:tc>
          <w:tcPr>
            <w:tcW w:w="838" w:type="dxa"/>
            <w:gridSpan w:val="4"/>
            <w:vMerge w:val="restart"/>
          </w:tcPr>
          <w:p w:rsidR="008B76D5" w:rsidRPr="00872FD2" w:rsidRDefault="008B76D5"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0,172</w:t>
            </w:r>
          </w:p>
        </w:tc>
      </w:tr>
      <w:tr w:rsidR="008B76D5" w:rsidRPr="00872FD2" w:rsidTr="00F27AC3">
        <w:trPr>
          <w:gridAfter w:val="2"/>
          <w:cnfStyle w:val="000000100000"/>
          <w:wAfter w:w="17" w:type="dxa"/>
          <w:jc w:val="center"/>
        </w:trPr>
        <w:tc>
          <w:tcPr>
            <w:tcW w:w="3149" w:type="dxa"/>
            <w:gridSpan w:val="8"/>
            <w:vMerge/>
            <w:shd w:val="clear" w:color="auto" w:fill="E5DFEC" w:themeFill="accent4" w:themeFillTint="33"/>
          </w:tcPr>
          <w:p w:rsidR="008B76D5" w:rsidRPr="00872FD2" w:rsidRDefault="008B76D5" w:rsidP="004B1F82">
            <w:pPr>
              <w:spacing w:after="0" w:line="360" w:lineRule="auto"/>
              <w:jc w:val="center"/>
              <w:rPr>
                <w:rFonts w:asciiTheme="minorHAnsi" w:eastAsiaTheme="minorHAnsi" w:hAnsiTheme="minorHAnsi" w:cstheme="minorBidi"/>
                <w:color w:val="000000"/>
              </w:rPr>
            </w:pPr>
          </w:p>
        </w:tc>
        <w:tc>
          <w:tcPr>
            <w:tcW w:w="1463" w:type="dxa"/>
            <w:gridSpan w:val="4"/>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Λανθασμένο</w:t>
            </w:r>
          </w:p>
        </w:tc>
        <w:tc>
          <w:tcPr>
            <w:tcW w:w="1342" w:type="dxa"/>
            <w:gridSpan w:val="7"/>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7 (29,2%)</w:t>
            </w:r>
          </w:p>
        </w:tc>
        <w:tc>
          <w:tcPr>
            <w:tcW w:w="1404" w:type="dxa"/>
            <w:gridSpan w:val="9"/>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10 (41,7%)</w:t>
            </w:r>
          </w:p>
        </w:tc>
        <w:tc>
          <w:tcPr>
            <w:tcW w:w="1145" w:type="dxa"/>
            <w:gridSpan w:val="6"/>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c>
          <w:tcPr>
            <w:tcW w:w="838" w:type="dxa"/>
            <w:gridSpan w:val="4"/>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r>
      <w:tr w:rsidR="008B76D5" w:rsidRPr="00872FD2" w:rsidTr="00F27AC3">
        <w:trPr>
          <w:gridAfter w:val="2"/>
          <w:cnfStyle w:val="000000010000"/>
          <w:wAfter w:w="17" w:type="dxa"/>
          <w:trHeight w:val="1810"/>
          <w:jc w:val="center"/>
        </w:trPr>
        <w:tc>
          <w:tcPr>
            <w:tcW w:w="3149" w:type="dxa"/>
            <w:gridSpan w:val="8"/>
            <w:vMerge/>
            <w:shd w:val="clear" w:color="auto" w:fill="E5DFEC" w:themeFill="accent4" w:themeFillTint="33"/>
          </w:tcPr>
          <w:p w:rsidR="008B76D5" w:rsidRPr="00872FD2" w:rsidRDefault="008B76D5" w:rsidP="004B1F82">
            <w:pPr>
              <w:spacing w:after="0" w:line="360" w:lineRule="auto"/>
              <w:jc w:val="center"/>
              <w:rPr>
                <w:rFonts w:asciiTheme="minorHAnsi" w:eastAsiaTheme="minorHAnsi" w:hAnsiTheme="minorHAnsi" w:cstheme="minorBidi"/>
                <w:color w:val="000000"/>
              </w:rPr>
            </w:pPr>
          </w:p>
        </w:tc>
        <w:tc>
          <w:tcPr>
            <w:tcW w:w="1463" w:type="dxa"/>
            <w:gridSpan w:val="4"/>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Δεν ξέρω</w:t>
            </w:r>
          </w:p>
        </w:tc>
        <w:tc>
          <w:tcPr>
            <w:tcW w:w="1342" w:type="dxa"/>
            <w:gridSpan w:val="7"/>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4 (16,7%)</w:t>
            </w:r>
          </w:p>
        </w:tc>
        <w:tc>
          <w:tcPr>
            <w:tcW w:w="1404" w:type="dxa"/>
            <w:gridSpan w:val="9"/>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4 (16%)</w:t>
            </w:r>
          </w:p>
        </w:tc>
        <w:tc>
          <w:tcPr>
            <w:tcW w:w="1145" w:type="dxa"/>
            <w:gridSpan w:val="6"/>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c>
          <w:tcPr>
            <w:tcW w:w="838" w:type="dxa"/>
            <w:gridSpan w:val="4"/>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r>
      <w:tr w:rsidR="008B76D5" w:rsidRPr="00872FD2" w:rsidTr="00F27AC3">
        <w:trPr>
          <w:gridAfter w:val="2"/>
          <w:cnfStyle w:val="000000100000"/>
          <w:wAfter w:w="17" w:type="dxa"/>
          <w:jc w:val="center"/>
        </w:trPr>
        <w:tc>
          <w:tcPr>
            <w:tcW w:w="9341" w:type="dxa"/>
            <w:gridSpan w:val="38"/>
            <w:shd w:val="clear" w:color="auto" w:fill="FFFFFF" w:themeFill="background1"/>
          </w:tcPr>
          <w:p w:rsidR="008B76D5" w:rsidRPr="00872FD2" w:rsidRDefault="008B76D5" w:rsidP="004B1F82">
            <w:pPr>
              <w:spacing w:after="0" w:line="360" w:lineRule="auto"/>
              <w:rPr>
                <w:rFonts w:asciiTheme="minorHAnsi" w:eastAsiaTheme="minorHAnsi" w:hAnsiTheme="minorHAnsi" w:cstheme="minorBidi"/>
                <w:i/>
                <w:color w:val="000000"/>
                <w:lang w:val="en-US"/>
              </w:rPr>
            </w:pPr>
            <w:r w:rsidRPr="00872FD2">
              <w:rPr>
                <w:rFonts w:asciiTheme="minorHAnsi" w:eastAsiaTheme="minorHAnsi" w:hAnsiTheme="minorHAnsi" w:cstheme="minorBidi"/>
                <w:i/>
                <w:color w:val="000000"/>
              </w:rPr>
              <w:t>McNemar-Bowker</w:t>
            </w:r>
            <w:r w:rsidRPr="00872FD2">
              <w:rPr>
                <w:rFonts w:asciiTheme="minorHAnsi" w:eastAsiaTheme="minorHAnsi" w:hAnsiTheme="minorHAnsi" w:cstheme="minorBidi"/>
                <w:i/>
                <w:color w:val="000000"/>
                <w:lang w:val="en-US"/>
              </w:rPr>
              <w:t xml:space="preserve"> test</w:t>
            </w:r>
          </w:p>
        </w:tc>
      </w:tr>
      <w:tr w:rsidR="008B76D5" w:rsidRPr="00872FD2" w:rsidTr="00F27AC3">
        <w:trPr>
          <w:gridAfter w:val="2"/>
          <w:cnfStyle w:val="000000010000"/>
          <w:wAfter w:w="17" w:type="dxa"/>
          <w:jc w:val="center"/>
        </w:trPr>
        <w:tc>
          <w:tcPr>
            <w:tcW w:w="3217" w:type="dxa"/>
            <w:gridSpan w:val="9"/>
            <w:vMerge w:val="restart"/>
            <w:shd w:val="clear" w:color="auto" w:fill="E5DFEC" w:themeFill="accent4" w:themeFillTint="33"/>
          </w:tcPr>
          <w:p w:rsidR="008B76D5" w:rsidRPr="00872FD2" w:rsidRDefault="008B76D5"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Υπάρχουν περίπου ένα εκατομμύριο μικροσκοπικά φίλτρα στους ανθρώπινους νεφρούς. Αυτά καλούνται:</w:t>
            </w:r>
          </w:p>
        </w:tc>
        <w:tc>
          <w:tcPr>
            <w:tcW w:w="1395" w:type="dxa"/>
            <w:gridSpan w:val="3"/>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Σπειράματα</w:t>
            </w:r>
          </w:p>
        </w:tc>
        <w:tc>
          <w:tcPr>
            <w:tcW w:w="1342" w:type="dxa"/>
            <w:gridSpan w:val="7"/>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13 (54,2%)</w:t>
            </w:r>
          </w:p>
        </w:tc>
        <w:tc>
          <w:tcPr>
            <w:tcW w:w="1404" w:type="dxa"/>
            <w:gridSpan w:val="9"/>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16 (66,7%)</w:t>
            </w:r>
          </w:p>
        </w:tc>
        <w:tc>
          <w:tcPr>
            <w:tcW w:w="1145" w:type="dxa"/>
            <w:gridSpan w:val="6"/>
            <w:vMerge w:val="restart"/>
          </w:tcPr>
          <w:p w:rsidR="008B76D5" w:rsidRPr="00872FD2" w:rsidRDefault="008B76D5"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1,800</w:t>
            </w:r>
          </w:p>
        </w:tc>
        <w:tc>
          <w:tcPr>
            <w:tcW w:w="838" w:type="dxa"/>
            <w:gridSpan w:val="4"/>
            <w:vMerge w:val="restart"/>
          </w:tcPr>
          <w:p w:rsidR="008B76D5" w:rsidRPr="00872FD2" w:rsidRDefault="008B76D5"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0,375</w:t>
            </w:r>
          </w:p>
        </w:tc>
      </w:tr>
      <w:tr w:rsidR="008B76D5" w:rsidRPr="00872FD2" w:rsidTr="00F27AC3">
        <w:trPr>
          <w:gridAfter w:val="2"/>
          <w:cnfStyle w:val="000000100000"/>
          <w:wAfter w:w="17" w:type="dxa"/>
          <w:jc w:val="center"/>
        </w:trPr>
        <w:tc>
          <w:tcPr>
            <w:tcW w:w="3217" w:type="dxa"/>
            <w:gridSpan w:val="9"/>
            <w:vMerge/>
            <w:shd w:val="clear" w:color="auto" w:fill="E5DFEC" w:themeFill="accent4" w:themeFillTint="33"/>
          </w:tcPr>
          <w:p w:rsidR="008B76D5" w:rsidRPr="00872FD2" w:rsidRDefault="008B76D5" w:rsidP="004B1F82">
            <w:pPr>
              <w:spacing w:after="0" w:line="360" w:lineRule="auto"/>
              <w:rPr>
                <w:rFonts w:asciiTheme="minorHAnsi" w:eastAsiaTheme="minorHAnsi" w:hAnsiTheme="minorHAnsi" w:cstheme="minorBidi"/>
                <w:color w:val="000000"/>
              </w:rPr>
            </w:pPr>
          </w:p>
        </w:tc>
        <w:tc>
          <w:tcPr>
            <w:tcW w:w="1395" w:type="dxa"/>
            <w:gridSpan w:val="3"/>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Δεν ξέρω</w:t>
            </w:r>
          </w:p>
        </w:tc>
        <w:tc>
          <w:tcPr>
            <w:tcW w:w="1342" w:type="dxa"/>
            <w:gridSpan w:val="7"/>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11 (45,8%)</w:t>
            </w:r>
          </w:p>
        </w:tc>
        <w:tc>
          <w:tcPr>
            <w:tcW w:w="1404" w:type="dxa"/>
            <w:gridSpan w:val="9"/>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8 (33,3%)</w:t>
            </w:r>
          </w:p>
        </w:tc>
        <w:tc>
          <w:tcPr>
            <w:tcW w:w="1145" w:type="dxa"/>
            <w:gridSpan w:val="6"/>
            <w:vMerge/>
          </w:tcPr>
          <w:p w:rsidR="008B76D5" w:rsidRPr="00872FD2" w:rsidRDefault="008B76D5" w:rsidP="004B1F82">
            <w:pPr>
              <w:spacing w:after="0" w:line="360" w:lineRule="auto"/>
              <w:rPr>
                <w:rFonts w:asciiTheme="minorHAnsi" w:eastAsiaTheme="minorHAnsi" w:hAnsiTheme="minorHAnsi" w:cstheme="minorBidi"/>
                <w:color w:val="000000"/>
              </w:rPr>
            </w:pPr>
          </w:p>
        </w:tc>
        <w:tc>
          <w:tcPr>
            <w:tcW w:w="838" w:type="dxa"/>
            <w:gridSpan w:val="4"/>
            <w:vMerge/>
          </w:tcPr>
          <w:p w:rsidR="008B76D5" w:rsidRPr="00872FD2" w:rsidRDefault="008B76D5" w:rsidP="004B1F82">
            <w:pPr>
              <w:spacing w:after="0" w:line="360" w:lineRule="auto"/>
              <w:rPr>
                <w:rFonts w:asciiTheme="minorHAnsi" w:eastAsiaTheme="minorHAnsi" w:hAnsiTheme="minorHAnsi" w:cstheme="minorBidi"/>
                <w:color w:val="000000"/>
              </w:rPr>
            </w:pPr>
          </w:p>
        </w:tc>
      </w:tr>
      <w:tr w:rsidR="008B76D5" w:rsidRPr="00872FD2" w:rsidTr="00F27AC3">
        <w:trPr>
          <w:gridAfter w:val="2"/>
          <w:cnfStyle w:val="000000010000"/>
          <w:wAfter w:w="17" w:type="dxa"/>
          <w:jc w:val="center"/>
        </w:trPr>
        <w:tc>
          <w:tcPr>
            <w:tcW w:w="9341" w:type="dxa"/>
            <w:gridSpan w:val="38"/>
          </w:tcPr>
          <w:p w:rsidR="008B76D5" w:rsidRPr="00872FD2" w:rsidRDefault="008B76D5" w:rsidP="004B1F82">
            <w:pPr>
              <w:spacing w:after="0" w:line="360" w:lineRule="auto"/>
              <w:rPr>
                <w:rFonts w:asciiTheme="minorHAnsi" w:eastAsiaTheme="minorHAnsi" w:hAnsiTheme="minorHAnsi" w:cstheme="minorBidi"/>
                <w:i/>
                <w:color w:val="000000"/>
                <w:lang w:val="en-US"/>
              </w:rPr>
            </w:pPr>
            <w:r w:rsidRPr="00872FD2">
              <w:rPr>
                <w:rFonts w:asciiTheme="minorHAnsi" w:eastAsiaTheme="minorHAnsi" w:hAnsiTheme="minorHAnsi" w:cstheme="minorBidi"/>
                <w:i/>
                <w:color w:val="000000"/>
                <w:lang w:val="en-US"/>
              </w:rPr>
              <w:t>McNemar</w:t>
            </w:r>
            <w:r w:rsidRPr="00872FD2">
              <w:rPr>
                <w:rFonts w:asciiTheme="minorHAnsi" w:eastAsiaTheme="minorHAnsi" w:hAnsiTheme="minorHAnsi" w:cstheme="minorBidi"/>
                <w:i/>
                <w:color w:val="000000"/>
              </w:rPr>
              <w:t xml:space="preserve"> </w:t>
            </w:r>
            <w:r w:rsidRPr="00872FD2">
              <w:rPr>
                <w:rFonts w:asciiTheme="minorHAnsi" w:eastAsiaTheme="minorHAnsi" w:hAnsiTheme="minorHAnsi" w:cstheme="minorBidi"/>
                <w:i/>
                <w:color w:val="000000"/>
                <w:lang w:val="en-US"/>
              </w:rPr>
              <w:t>test</w:t>
            </w:r>
          </w:p>
        </w:tc>
      </w:tr>
      <w:tr w:rsidR="008B76D5" w:rsidRPr="00872FD2" w:rsidTr="00F27AC3">
        <w:trPr>
          <w:gridAfter w:val="2"/>
          <w:cnfStyle w:val="000000100000"/>
          <w:wAfter w:w="17" w:type="dxa"/>
          <w:jc w:val="center"/>
        </w:trPr>
        <w:tc>
          <w:tcPr>
            <w:tcW w:w="3092" w:type="dxa"/>
            <w:gridSpan w:val="5"/>
            <w:vMerge w:val="restart"/>
          </w:tcPr>
          <w:p w:rsidR="008B76D5" w:rsidRPr="00872CE5" w:rsidRDefault="008B76D5" w:rsidP="004B1F82">
            <w:pPr>
              <w:spacing w:after="0" w:line="360" w:lineRule="auto"/>
              <w:rPr>
                <w:rFonts w:asciiTheme="minorHAnsi" w:eastAsiaTheme="minorHAnsi" w:hAnsiTheme="minorHAnsi" w:cstheme="minorBidi"/>
              </w:rPr>
            </w:pPr>
            <w:r w:rsidRPr="00872CE5">
              <w:rPr>
                <w:rFonts w:asciiTheme="minorHAnsi" w:eastAsiaTheme="minorHAnsi" w:hAnsiTheme="minorHAnsi" w:cstheme="minorBidi"/>
              </w:rPr>
              <w:t xml:space="preserve">Στη νεφρική ανεπάρκεια, τα τοξικά ( άχρηστα) προϊόντα αθροίζονται στο αίμα σε παθολογικά επίπεδα και το γεγονός αυτό προκαλεί </w:t>
            </w:r>
            <w:r w:rsidR="00817853">
              <w:rPr>
                <w:rFonts w:asciiTheme="minorHAnsi" w:eastAsiaTheme="minorHAnsi" w:hAnsiTheme="minorHAnsi" w:cstheme="minorBidi"/>
              </w:rPr>
              <w:t>μια</w:t>
            </w:r>
            <w:r w:rsidRPr="00872CE5">
              <w:rPr>
                <w:rFonts w:asciiTheme="minorHAnsi" w:eastAsiaTheme="minorHAnsi" w:hAnsiTheme="minorHAnsi" w:cstheme="minorBidi"/>
              </w:rPr>
              <w:t xml:space="preserve"> κατάσταση που ονομάζεται:</w:t>
            </w:r>
          </w:p>
        </w:tc>
        <w:tc>
          <w:tcPr>
            <w:tcW w:w="1520" w:type="dxa"/>
            <w:gridSpan w:val="7"/>
          </w:tcPr>
          <w:p w:rsidR="008B76D5" w:rsidRPr="00872CE5" w:rsidRDefault="008B76D5" w:rsidP="004B1F82">
            <w:pPr>
              <w:spacing w:after="0" w:line="360" w:lineRule="auto"/>
              <w:jc w:val="center"/>
              <w:rPr>
                <w:rFonts w:asciiTheme="minorHAnsi" w:eastAsiaTheme="minorHAnsi" w:hAnsiTheme="minorHAnsi" w:cstheme="minorBidi"/>
              </w:rPr>
            </w:pPr>
            <w:r w:rsidRPr="00872CE5">
              <w:rPr>
                <w:rFonts w:asciiTheme="minorHAnsi" w:eastAsiaTheme="minorHAnsi" w:hAnsiTheme="minorHAnsi" w:cstheme="minorBidi"/>
              </w:rPr>
              <w:t>Απορρόφηση</w:t>
            </w:r>
          </w:p>
        </w:tc>
        <w:tc>
          <w:tcPr>
            <w:tcW w:w="1342" w:type="dxa"/>
            <w:gridSpan w:val="7"/>
          </w:tcPr>
          <w:p w:rsidR="008B76D5" w:rsidRPr="00872CE5" w:rsidRDefault="008B76D5" w:rsidP="004B1F82">
            <w:pPr>
              <w:spacing w:after="0" w:line="360" w:lineRule="auto"/>
              <w:jc w:val="center"/>
              <w:rPr>
                <w:rFonts w:asciiTheme="minorHAnsi" w:eastAsiaTheme="minorHAnsi" w:hAnsiTheme="minorHAnsi" w:cstheme="minorBidi"/>
              </w:rPr>
            </w:pPr>
            <w:r w:rsidRPr="00872CE5">
              <w:rPr>
                <w:rFonts w:asciiTheme="minorHAnsi" w:eastAsiaTheme="minorHAnsi" w:hAnsiTheme="minorHAnsi" w:cstheme="minorBidi"/>
              </w:rPr>
              <w:t>1 (4,2%)</w:t>
            </w:r>
          </w:p>
        </w:tc>
        <w:tc>
          <w:tcPr>
            <w:tcW w:w="1404" w:type="dxa"/>
            <w:gridSpan w:val="9"/>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 (4,2%)</w:t>
            </w:r>
          </w:p>
        </w:tc>
        <w:tc>
          <w:tcPr>
            <w:tcW w:w="1145" w:type="dxa"/>
            <w:gridSpan w:val="6"/>
            <w:vMerge w:val="restart"/>
          </w:tcPr>
          <w:p w:rsidR="008B76D5" w:rsidRPr="00872FD2" w:rsidRDefault="008B76D5"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0,333</w:t>
            </w:r>
          </w:p>
        </w:tc>
        <w:tc>
          <w:tcPr>
            <w:tcW w:w="838" w:type="dxa"/>
            <w:gridSpan w:val="4"/>
            <w:vMerge w:val="restart"/>
          </w:tcPr>
          <w:p w:rsidR="008B76D5" w:rsidRPr="00872FD2" w:rsidRDefault="008B76D5"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0,564</w:t>
            </w:r>
          </w:p>
        </w:tc>
      </w:tr>
      <w:tr w:rsidR="008B76D5" w:rsidRPr="00872FD2" w:rsidTr="00F27AC3">
        <w:trPr>
          <w:gridAfter w:val="2"/>
          <w:cnfStyle w:val="000000010000"/>
          <w:wAfter w:w="17" w:type="dxa"/>
          <w:jc w:val="center"/>
        </w:trPr>
        <w:tc>
          <w:tcPr>
            <w:tcW w:w="3092" w:type="dxa"/>
            <w:gridSpan w:val="5"/>
            <w:vMerge/>
          </w:tcPr>
          <w:p w:rsidR="008B76D5" w:rsidRPr="00872CE5" w:rsidRDefault="008B76D5" w:rsidP="004B1F82">
            <w:pPr>
              <w:spacing w:after="0" w:line="360" w:lineRule="auto"/>
              <w:jc w:val="center"/>
              <w:rPr>
                <w:rFonts w:asciiTheme="minorHAnsi" w:eastAsiaTheme="minorHAnsi" w:hAnsiTheme="minorHAnsi" w:cstheme="minorBidi"/>
              </w:rPr>
            </w:pPr>
          </w:p>
        </w:tc>
        <w:tc>
          <w:tcPr>
            <w:tcW w:w="1520" w:type="dxa"/>
            <w:gridSpan w:val="7"/>
          </w:tcPr>
          <w:p w:rsidR="008B76D5" w:rsidRPr="00872CE5" w:rsidRDefault="001D25F8" w:rsidP="004B1F82">
            <w:pPr>
              <w:spacing w:after="0" w:line="360" w:lineRule="auto"/>
              <w:jc w:val="center"/>
              <w:rPr>
                <w:rFonts w:asciiTheme="minorHAnsi" w:eastAsiaTheme="minorHAnsi" w:hAnsiTheme="minorHAnsi" w:cstheme="minorBidi"/>
              </w:rPr>
            </w:pPr>
            <w:r w:rsidRPr="00872CE5">
              <w:rPr>
                <w:rFonts w:asciiTheme="minorHAnsi" w:eastAsiaTheme="minorHAnsi" w:hAnsiTheme="minorHAnsi" w:cstheme="minorBidi"/>
              </w:rPr>
              <w:t>Ουραιμικό σύνδρομο</w:t>
            </w:r>
          </w:p>
        </w:tc>
        <w:tc>
          <w:tcPr>
            <w:tcW w:w="1342" w:type="dxa"/>
            <w:gridSpan w:val="7"/>
          </w:tcPr>
          <w:p w:rsidR="008B76D5" w:rsidRPr="00872CE5" w:rsidRDefault="008B76D5" w:rsidP="004B1F82">
            <w:pPr>
              <w:spacing w:after="0" w:line="360" w:lineRule="auto"/>
              <w:jc w:val="center"/>
              <w:rPr>
                <w:rFonts w:asciiTheme="minorHAnsi" w:eastAsiaTheme="minorHAnsi" w:hAnsiTheme="minorHAnsi" w:cstheme="minorBidi"/>
              </w:rPr>
            </w:pPr>
            <w:r w:rsidRPr="00872CE5">
              <w:rPr>
                <w:rFonts w:asciiTheme="minorHAnsi" w:eastAsiaTheme="minorHAnsi" w:hAnsiTheme="minorHAnsi" w:cstheme="minorBidi"/>
              </w:rPr>
              <w:t>11 (45,8%)</w:t>
            </w:r>
          </w:p>
        </w:tc>
        <w:tc>
          <w:tcPr>
            <w:tcW w:w="1404" w:type="dxa"/>
            <w:gridSpan w:val="9"/>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12 (50,0%)</w:t>
            </w:r>
          </w:p>
        </w:tc>
        <w:tc>
          <w:tcPr>
            <w:tcW w:w="1145" w:type="dxa"/>
            <w:gridSpan w:val="6"/>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c>
          <w:tcPr>
            <w:tcW w:w="838" w:type="dxa"/>
            <w:gridSpan w:val="4"/>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r>
      <w:tr w:rsidR="008B76D5" w:rsidRPr="00872FD2" w:rsidTr="00F27AC3">
        <w:trPr>
          <w:gridAfter w:val="2"/>
          <w:cnfStyle w:val="000000100000"/>
          <w:wAfter w:w="17" w:type="dxa"/>
          <w:jc w:val="center"/>
        </w:trPr>
        <w:tc>
          <w:tcPr>
            <w:tcW w:w="3092" w:type="dxa"/>
            <w:gridSpan w:val="5"/>
            <w:vMerge/>
          </w:tcPr>
          <w:p w:rsidR="008B76D5" w:rsidRPr="00872CE5" w:rsidRDefault="008B76D5" w:rsidP="004B1F82">
            <w:pPr>
              <w:spacing w:after="0" w:line="360" w:lineRule="auto"/>
              <w:jc w:val="center"/>
              <w:rPr>
                <w:rFonts w:asciiTheme="minorHAnsi" w:eastAsiaTheme="minorHAnsi" w:hAnsiTheme="minorHAnsi" w:cstheme="minorBidi"/>
              </w:rPr>
            </w:pPr>
          </w:p>
        </w:tc>
        <w:tc>
          <w:tcPr>
            <w:tcW w:w="1520" w:type="dxa"/>
            <w:gridSpan w:val="7"/>
          </w:tcPr>
          <w:p w:rsidR="008B76D5" w:rsidRPr="00872CE5" w:rsidRDefault="008B76D5" w:rsidP="004B1F82">
            <w:pPr>
              <w:spacing w:after="0" w:line="360" w:lineRule="auto"/>
              <w:jc w:val="center"/>
              <w:rPr>
                <w:rFonts w:asciiTheme="minorHAnsi" w:eastAsiaTheme="minorHAnsi" w:hAnsiTheme="minorHAnsi" w:cstheme="minorBidi"/>
              </w:rPr>
            </w:pPr>
            <w:r w:rsidRPr="00872CE5">
              <w:rPr>
                <w:rFonts w:asciiTheme="minorHAnsi" w:eastAsiaTheme="minorHAnsi" w:hAnsiTheme="minorHAnsi" w:cstheme="minorBidi"/>
              </w:rPr>
              <w:t>Δεν ξέρω</w:t>
            </w:r>
          </w:p>
        </w:tc>
        <w:tc>
          <w:tcPr>
            <w:tcW w:w="1342" w:type="dxa"/>
            <w:gridSpan w:val="7"/>
          </w:tcPr>
          <w:p w:rsidR="008B76D5" w:rsidRPr="00872CE5" w:rsidRDefault="008B76D5" w:rsidP="004B1F82">
            <w:pPr>
              <w:spacing w:after="0" w:line="360" w:lineRule="auto"/>
              <w:jc w:val="center"/>
              <w:rPr>
                <w:rFonts w:asciiTheme="minorHAnsi" w:eastAsiaTheme="minorHAnsi" w:hAnsiTheme="minorHAnsi" w:cstheme="minorBidi"/>
              </w:rPr>
            </w:pPr>
            <w:r w:rsidRPr="00872CE5">
              <w:rPr>
                <w:rFonts w:asciiTheme="minorHAnsi" w:eastAsiaTheme="minorHAnsi" w:hAnsiTheme="minorHAnsi" w:cstheme="minorBidi"/>
              </w:rPr>
              <w:t>12 (50,0%)</w:t>
            </w:r>
          </w:p>
        </w:tc>
        <w:tc>
          <w:tcPr>
            <w:tcW w:w="1404" w:type="dxa"/>
            <w:gridSpan w:val="9"/>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11 (45,8%)</w:t>
            </w:r>
          </w:p>
        </w:tc>
        <w:tc>
          <w:tcPr>
            <w:tcW w:w="1145" w:type="dxa"/>
            <w:gridSpan w:val="6"/>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c>
          <w:tcPr>
            <w:tcW w:w="838" w:type="dxa"/>
            <w:gridSpan w:val="4"/>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r>
      <w:tr w:rsidR="008B76D5" w:rsidRPr="00872FD2" w:rsidTr="00F27AC3">
        <w:trPr>
          <w:gridAfter w:val="2"/>
          <w:cnfStyle w:val="000000010000"/>
          <w:wAfter w:w="17" w:type="dxa"/>
          <w:jc w:val="center"/>
        </w:trPr>
        <w:tc>
          <w:tcPr>
            <w:tcW w:w="9341" w:type="dxa"/>
            <w:gridSpan w:val="38"/>
          </w:tcPr>
          <w:p w:rsidR="008B76D5" w:rsidRPr="00872CE5" w:rsidRDefault="008B76D5" w:rsidP="004B1F82">
            <w:pPr>
              <w:spacing w:after="0" w:line="360" w:lineRule="auto"/>
              <w:rPr>
                <w:rFonts w:asciiTheme="minorHAnsi" w:eastAsiaTheme="minorHAnsi" w:hAnsiTheme="minorHAnsi" w:cstheme="minorBidi"/>
                <w:i/>
                <w:lang w:val="en-US"/>
              </w:rPr>
            </w:pPr>
            <w:r w:rsidRPr="00872CE5">
              <w:rPr>
                <w:rFonts w:asciiTheme="minorHAnsi" w:eastAsiaTheme="minorHAnsi" w:hAnsiTheme="minorHAnsi" w:cstheme="minorBidi"/>
                <w:i/>
              </w:rPr>
              <w:t>McNemar-Bowker</w:t>
            </w:r>
            <w:r w:rsidRPr="00872CE5">
              <w:rPr>
                <w:rFonts w:asciiTheme="minorHAnsi" w:eastAsiaTheme="minorHAnsi" w:hAnsiTheme="minorHAnsi" w:cstheme="minorBidi"/>
                <w:i/>
                <w:lang w:val="en-US"/>
              </w:rPr>
              <w:t xml:space="preserve"> test</w:t>
            </w:r>
          </w:p>
        </w:tc>
      </w:tr>
      <w:tr w:rsidR="008B76D5" w:rsidRPr="00872FD2" w:rsidTr="00F27AC3">
        <w:trPr>
          <w:gridAfter w:val="2"/>
          <w:cnfStyle w:val="000000100000"/>
          <w:wAfter w:w="17" w:type="dxa"/>
          <w:jc w:val="center"/>
        </w:trPr>
        <w:tc>
          <w:tcPr>
            <w:tcW w:w="2956" w:type="dxa"/>
            <w:gridSpan w:val="2"/>
            <w:vMerge w:val="restart"/>
          </w:tcPr>
          <w:p w:rsidR="008B76D5" w:rsidRPr="00872CE5" w:rsidRDefault="008B76D5" w:rsidP="004B1F82">
            <w:pPr>
              <w:spacing w:after="0" w:line="360" w:lineRule="auto"/>
              <w:rPr>
                <w:rFonts w:asciiTheme="minorHAnsi" w:eastAsiaTheme="minorHAnsi" w:hAnsiTheme="minorHAnsi" w:cstheme="minorBidi"/>
              </w:rPr>
            </w:pPr>
            <w:r w:rsidRPr="00872CE5">
              <w:rPr>
                <w:rFonts w:asciiTheme="minorHAnsi" w:eastAsiaTheme="minorHAnsi" w:hAnsiTheme="minorHAnsi" w:cstheme="minorBidi"/>
              </w:rPr>
              <w:t>Ο τεχνητός νεφρός λέγεται επίσης:</w:t>
            </w:r>
          </w:p>
        </w:tc>
        <w:tc>
          <w:tcPr>
            <w:tcW w:w="1656" w:type="dxa"/>
            <w:gridSpan w:val="10"/>
          </w:tcPr>
          <w:p w:rsidR="008B76D5" w:rsidRPr="00872CE5" w:rsidRDefault="008B76D5" w:rsidP="004B1F82">
            <w:pPr>
              <w:spacing w:after="0" w:line="360" w:lineRule="auto"/>
              <w:jc w:val="center"/>
              <w:rPr>
                <w:rFonts w:asciiTheme="minorHAnsi" w:eastAsiaTheme="minorHAnsi" w:hAnsiTheme="minorHAnsi" w:cstheme="minorBidi"/>
              </w:rPr>
            </w:pPr>
            <w:r w:rsidRPr="00872CE5">
              <w:rPr>
                <w:rFonts w:asciiTheme="minorHAnsi" w:eastAsiaTheme="minorHAnsi" w:hAnsiTheme="minorHAnsi" w:cstheme="minorBidi"/>
              </w:rPr>
              <w:t>Μηχάνημα αιμοκάθαρσης</w:t>
            </w:r>
          </w:p>
        </w:tc>
        <w:tc>
          <w:tcPr>
            <w:tcW w:w="1342" w:type="dxa"/>
            <w:gridSpan w:val="7"/>
          </w:tcPr>
          <w:p w:rsidR="008B76D5" w:rsidRPr="00872CE5" w:rsidRDefault="008B76D5" w:rsidP="004B1F82">
            <w:pPr>
              <w:spacing w:after="0" w:line="360" w:lineRule="auto"/>
              <w:jc w:val="center"/>
              <w:rPr>
                <w:rFonts w:asciiTheme="minorHAnsi" w:eastAsiaTheme="minorHAnsi" w:hAnsiTheme="minorHAnsi" w:cstheme="minorBidi"/>
              </w:rPr>
            </w:pPr>
            <w:r w:rsidRPr="00872CE5">
              <w:rPr>
                <w:rFonts w:asciiTheme="minorHAnsi" w:eastAsiaTheme="minorHAnsi" w:hAnsiTheme="minorHAnsi" w:cstheme="minorBidi"/>
              </w:rPr>
              <w:t>17 (70,8%)</w:t>
            </w:r>
          </w:p>
        </w:tc>
        <w:tc>
          <w:tcPr>
            <w:tcW w:w="1404" w:type="dxa"/>
            <w:gridSpan w:val="9"/>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21 (87,5%)</w:t>
            </w:r>
          </w:p>
        </w:tc>
        <w:tc>
          <w:tcPr>
            <w:tcW w:w="1145" w:type="dxa"/>
            <w:gridSpan w:val="6"/>
            <w:vMerge w:val="restart"/>
          </w:tcPr>
          <w:p w:rsidR="008B76D5" w:rsidRPr="00872FD2" w:rsidRDefault="008B76D5"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4,000</w:t>
            </w:r>
          </w:p>
        </w:tc>
        <w:tc>
          <w:tcPr>
            <w:tcW w:w="838" w:type="dxa"/>
            <w:gridSpan w:val="4"/>
            <w:vMerge w:val="restart"/>
          </w:tcPr>
          <w:p w:rsidR="008B76D5" w:rsidRPr="00872FD2" w:rsidRDefault="008B76D5"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0,125</w:t>
            </w:r>
          </w:p>
        </w:tc>
      </w:tr>
      <w:tr w:rsidR="008B76D5" w:rsidRPr="00872FD2" w:rsidTr="00F27AC3">
        <w:trPr>
          <w:gridAfter w:val="2"/>
          <w:cnfStyle w:val="000000010000"/>
          <w:wAfter w:w="17" w:type="dxa"/>
          <w:jc w:val="center"/>
        </w:trPr>
        <w:tc>
          <w:tcPr>
            <w:tcW w:w="2956" w:type="dxa"/>
            <w:gridSpan w:val="2"/>
            <w:vMerge/>
          </w:tcPr>
          <w:p w:rsidR="008B76D5" w:rsidRPr="00872CE5" w:rsidRDefault="008B76D5" w:rsidP="004B1F82">
            <w:pPr>
              <w:spacing w:after="0" w:line="360" w:lineRule="auto"/>
              <w:jc w:val="center"/>
              <w:rPr>
                <w:rFonts w:asciiTheme="minorHAnsi" w:eastAsiaTheme="minorHAnsi" w:hAnsiTheme="minorHAnsi" w:cstheme="minorBidi"/>
              </w:rPr>
            </w:pPr>
          </w:p>
        </w:tc>
        <w:tc>
          <w:tcPr>
            <w:tcW w:w="1656" w:type="dxa"/>
            <w:gridSpan w:val="10"/>
          </w:tcPr>
          <w:p w:rsidR="008B76D5" w:rsidRPr="00872CE5" w:rsidRDefault="008B76D5" w:rsidP="004B1F82">
            <w:pPr>
              <w:spacing w:after="0" w:line="360" w:lineRule="auto"/>
              <w:jc w:val="center"/>
              <w:rPr>
                <w:rFonts w:asciiTheme="minorHAnsi" w:eastAsiaTheme="minorHAnsi" w:hAnsiTheme="minorHAnsi" w:cstheme="minorBidi"/>
              </w:rPr>
            </w:pPr>
            <w:r w:rsidRPr="00872CE5">
              <w:rPr>
                <w:rFonts w:asciiTheme="minorHAnsi" w:eastAsiaTheme="minorHAnsi" w:hAnsiTheme="minorHAnsi" w:cstheme="minorBidi"/>
              </w:rPr>
              <w:t>Δεν ξέρω</w:t>
            </w:r>
          </w:p>
        </w:tc>
        <w:tc>
          <w:tcPr>
            <w:tcW w:w="1342" w:type="dxa"/>
            <w:gridSpan w:val="7"/>
          </w:tcPr>
          <w:p w:rsidR="008B76D5" w:rsidRPr="00872CE5" w:rsidRDefault="008B76D5" w:rsidP="004B1F82">
            <w:pPr>
              <w:spacing w:after="0" w:line="360" w:lineRule="auto"/>
              <w:jc w:val="center"/>
              <w:rPr>
                <w:rFonts w:asciiTheme="minorHAnsi" w:eastAsiaTheme="minorHAnsi" w:hAnsiTheme="minorHAnsi" w:cstheme="minorBidi"/>
              </w:rPr>
            </w:pPr>
            <w:r w:rsidRPr="00872CE5">
              <w:rPr>
                <w:rFonts w:asciiTheme="minorHAnsi" w:eastAsiaTheme="minorHAnsi" w:hAnsiTheme="minorHAnsi" w:cstheme="minorBidi"/>
              </w:rPr>
              <w:t>7 (29,2%)</w:t>
            </w:r>
          </w:p>
        </w:tc>
        <w:tc>
          <w:tcPr>
            <w:tcW w:w="1404" w:type="dxa"/>
            <w:gridSpan w:val="9"/>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3 (12,5%)</w:t>
            </w:r>
          </w:p>
        </w:tc>
        <w:tc>
          <w:tcPr>
            <w:tcW w:w="1145" w:type="dxa"/>
            <w:gridSpan w:val="6"/>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c>
          <w:tcPr>
            <w:tcW w:w="838" w:type="dxa"/>
            <w:gridSpan w:val="4"/>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r>
      <w:tr w:rsidR="008B76D5" w:rsidRPr="00872FD2" w:rsidTr="00F27AC3">
        <w:trPr>
          <w:gridAfter w:val="2"/>
          <w:cnfStyle w:val="000000100000"/>
          <w:wAfter w:w="17" w:type="dxa"/>
          <w:jc w:val="center"/>
        </w:trPr>
        <w:tc>
          <w:tcPr>
            <w:tcW w:w="9341" w:type="dxa"/>
            <w:gridSpan w:val="38"/>
            <w:shd w:val="clear" w:color="auto" w:fill="FFFFFF" w:themeFill="background1"/>
          </w:tcPr>
          <w:p w:rsidR="008B76D5" w:rsidRPr="00872CE5" w:rsidRDefault="008B76D5" w:rsidP="004B1F82">
            <w:pPr>
              <w:spacing w:after="0" w:line="360" w:lineRule="auto"/>
              <w:rPr>
                <w:rFonts w:asciiTheme="minorHAnsi" w:eastAsiaTheme="minorHAnsi" w:hAnsiTheme="minorHAnsi" w:cstheme="minorBidi"/>
                <w:i/>
                <w:lang w:val="en-US"/>
              </w:rPr>
            </w:pPr>
            <w:r w:rsidRPr="00872CE5">
              <w:rPr>
                <w:rFonts w:asciiTheme="minorHAnsi" w:eastAsiaTheme="minorHAnsi" w:hAnsiTheme="minorHAnsi" w:cstheme="minorBidi"/>
                <w:i/>
                <w:lang w:val="en-US"/>
              </w:rPr>
              <w:t>McNemar</w:t>
            </w:r>
            <w:r w:rsidRPr="00872CE5">
              <w:rPr>
                <w:rFonts w:asciiTheme="minorHAnsi" w:eastAsiaTheme="minorHAnsi" w:hAnsiTheme="minorHAnsi" w:cstheme="minorBidi"/>
                <w:i/>
              </w:rPr>
              <w:t xml:space="preserve"> </w:t>
            </w:r>
            <w:r w:rsidRPr="00872CE5">
              <w:rPr>
                <w:rFonts w:asciiTheme="minorHAnsi" w:eastAsiaTheme="minorHAnsi" w:hAnsiTheme="minorHAnsi" w:cstheme="minorBidi"/>
                <w:i/>
                <w:lang w:val="en-US"/>
              </w:rPr>
              <w:t>test</w:t>
            </w:r>
          </w:p>
        </w:tc>
      </w:tr>
      <w:tr w:rsidR="008B76D5" w:rsidRPr="00872FD2" w:rsidTr="00F27AC3">
        <w:trPr>
          <w:gridAfter w:val="2"/>
          <w:cnfStyle w:val="000000010000"/>
          <w:wAfter w:w="17" w:type="dxa"/>
          <w:jc w:val="center"/>
        </w:trPr>
        <w:tc>
          <w:tcPr>
            <w:tcW w:w="3031" w:type="dxa"/>
            <w:gridSpan w:val="4"/>
            <w:vMerge w:val="restart"/>
            <w:shd w:val="clear" w:color="auto" w:fill="E5DFEC" w:themeFill="accent4" w:themeFillTint="33"/>
          </w:tcPr>
          <w:p w:rsidR="008B76D5" w:rsidRPr="00872CE5" w:rsidRDefault="008B76D5" w:rsidP="004B1F82">
            <w:pPr>
              <w:spacing w:after="0" w:line="360" w:lineRule="auto"/>
              <w:rPr>
                <w:rFonts w:asciiTheme="minorHAnsi" w:eastAsiaTheme="minorHAnsi" w:hAnsiTheme="minorHAnsi" w:cstheme="minorBidi"/>
              </w:rPr>
            </w:pPr>
            <w:r w:rsidRPr="00872CE5">
              <w:rPr>
                <w:rFonts w:asciiTheme="minorHAnsi" w:eastAsiaTheme="minorHAnsi" w:hAnsiTheme="minorHAnsi" w:cstheme="minorBidi"/>
              </w:rPr>
              <w:t>Ένας νέος τύπος κάθαρσης για τη θεραπεία της νεφρικής νόσου λέγεται Αυτοματοποιημένη Περιτοναϊκή Κάθαρση (ΑΠΚ). Ποιο μέρος του σώματος μπορεί να κάνει αυτόν τον τύπο κάθαρσης;</w:t>
            </w:r>
          </w:p>
        </w:tc>
        <w:tc>
          <w:tcPr>
            <w:tcW w:w="1633" w:type="dxa"/>
            <w:gridSpan w:val="10"/>
          </w:tcPr>
          <w:p w:rsidR="008B76D5" w:rsidRPr="00872CE5" w:rsidRDefault="008B76D5" w:rsidP="004B1F82">
            <w:pPr>
              <w:spacing w:after="0" w:line="360" w:lineRule="auto"/>
              <w:jc w:val="center"/>
              <w:rPr>
                <w:rFonts w:asciiTheme="minorHAnsi" w:eastAsiaTheme="minorHAnsi" w:hAnsiTheme="minorHAnsi" w:cstheme="minorBidi"/>
              </w:rPr>
            </w:pPr>
            <w:r w:rsidRPr="00872CE5">
              <w:rPr>
                <w:rFonts w:asciiTheme="minorHAnsi" w:eastAsiaTheme="minorHAnsi" w:hAnsiTheme="minorHAnsi" w:cstheme="minorBidi"/>
              </w:rPr>
              <w:t>Το περιτόναιο</w:t>
            </w:r>
          </w:p>
        </w:tc>
        <w:tc>
          <w:tcPr>
            <w:tcW w:w="1362" w:type="dxa"/>
            <w:gridSpan w:val="7"/>
          </w:tcPr>
          <w:p w:rsidR="008B76D5" w:rsidRPr="00872CE5" w:rsidRDefault="008B76D5" w:rsidP="004B1F82">
            <w:pPr>
              <w:spacing w:after="0" w:line="360" w:lineRule="auto"/>
              <w:jc w:val="center"/>
              <w:rPr>
                <w:rFonts w:asciiTheme="minorHAnsi" w:eastAsiaTheme="minorHAnsi" w:hAnsiTheme="minorHAnsi" w:cstheme="minorBidi"/>
              </w:rPr>
            </w:pPr>
            <w:r w:rsidRPr="00872CE5">
              <w:rPr>
                <w:rFonts w:asciiTheme="minorHAnsi" w:eastAsiaTheme="minorHAnsi" w:hAnsiTheme="minorHAnsi" w:cstheme="minorBidi"/>
              </w:rPr>
              <w:t>20 (83,3%)</w:t>
            </w:r>
          </w:p>
        </w:tc>
        <w:tc>
          <w:tcPr>
            <w:tcW w:w="1424" w:type="dxa"/>
            <w:gridSpan w:val="9"/>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22 (91,7%)</w:t>
            </w:r>
          </w:p>
        </w:tc>
        <w:tc>
          <w:tcPr>
            <w:tcW w:w="1117" w:type="dxa"/>
            <w:gridSpan w:val="7"/>
            <w:vMerge w:val="restart"/>
          </w:tcPr>
          <w:p w:rsidR="008B76D5" w:rsidRPr="00872FD2" w:rsidRDefault="008B76D5"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NC</w:t>
            </w:r>
          </w:p>
        </w:tc>
        <w:tc>
          <w:tcPr>
            <w:tcW w:w="774" w:type="dxa"/>
            <w:vMerge w:val="restart"/>
          </w:tcPr>
          <w:p w:rsidR="008B76D5" w:rsidRPr="00872FD2" w:rsidRDefault="008B76D5"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NC</w:t>
            </w:r>
          </w:p>
        </w:tc>
      </w:tr>
      <w:tr w:rsidR="008B76D5" w:rsidRPr="00872FD2" w:rsidTr="00F27AC3">
        <w:trPr>
          <w:gridAfter w:val="2"/>
          <w:cnfStyle w:val="000000100000"/>
          <w:wAfter w:w="17" w:type="dxa"/>
          <w:jc w:val="center"/>
        </w:trPr>
        <w:tc>
          <w:tcPr>
            <w:tcW w:w="3031" w:type="dxa"/>
            <w:gridSpan w:val="4"/>
            <w:vMerge/>
            <w:shd w:val="clear" w:color="auto" w:fill="E5DFEC" w:themeFill="accent4" w:themeFillTint="33"/>
          </w:tcPr>
          <w:p w:rsidR="008B76D5" w:rsidRPr="00872CE5" w:rsidRDefault="008B76D5" w:rsidP="004B1F82">
            <w:pPr>
              <w:spacing w:after="0" w:line="360" w:lineRule="auto"/>
              <w:jc w:val="center"/>
              <w:rPr>
                <w:rFonts w:asciiTheme="minorHAnsi" w:eastAsiaTheme="minorHAnsi" w:hAnsiTheme="minorHAnsi" w:cstheme="minorBidi"/>
              </w:rPr>
            </w:pPr>
          </w:p>
        </w:tc>
        <w:tc>
          <w:tcPr>
            <w:tcW w:w="1633" w:type="dxa"/>
            <w:gridSpan w:val="10"/>
          </w:tcPr>
          <w:p w:rsidR="008B76D5" w:rsidRPr="00872CE5" w:rsidRDefault="008B76D5" w:rsidP="004B1F82">
            <w:pPr>
              <w:spacing w:after="0" w:line="360" w:lineRule="auto"/>
              <w:jc w:val="center"/>
              <w:rPr>
                <w:rFonts w:asciiTheme="minorHAnsi" w:eastAsiaTheme="minorHAnsi" w:hAnsiTheme="minorHAnsi" w:cstheme="minorBidi"/>
              </w:rPr>
            </w:pPr>
            <w:r w:rsidRPr="00872CE5">
              <w:rPr>
                <w:rFonts w:asciiTheme="minorHAnsi" w:eastAsiaTheme="minorHAnsi" w:hAnsiTheme="minorHAnsi" w:cstheme="minorBidi"/>
              </w:rPr>
              <w:t>Η νεφρική πύελος</w:t>
            </w:r>
          </w:p>
        </w:tc>
        <w:tc>
          <w:tcPr>
            <w:tcW w:w="1362" w:type="dxa"/>
            <w:gridSpan w:val="7"/>
          </w:tcPr>
          <w:p w:rsidR="008B76D5" w:rsidRPr="00872CE5" w:rsidRDefault="008B76D5" w:rsidP="004B1F82">
            <w:pPr>
              <w:spacing w:after="0" w:line="360" w:lineRule="auto"/>
              <w:jc w:val="center"/>
              <w:rPr>
                <w:rFonts w:asciiTheme="minorHAnsi" w:eastAsiaTheme="minorHAnsi" w:hAnsiTheme="minorHAnsi" w:cstheme="minorBidi"/>
              </w:rPr>
            </w:pPr>
            <w:r w:rsidRPr="00872CE5">
              <w:rPr>
                <w:rFonts w:asciiTheme="minorHAnsi" w:eastAsiaTheme="minorHAnsi" w:hAnsiTheme="minorHAnsi" w:cstheme="minorBidi"/>
              </w:rPr>
              <w:t>1 (4,2%)</w:t>
            </w:r>
          </w:p>
        </w:tc>
        <w:tc>
          <w:tcPr>
            <w:tcW w:w="1424" w:type="dxa"/>
            <w:gridSpan w:val="9"/>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0 (0,0%)</w:t>
            </w:r>
          </w:p>
        </w:tc>
        <w:tc>
          <w:tcPr>
            <w:tcW w:w="1117" w:type="dxa"/>
            <w:gridSpan w:val="7"/>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c>
          <w:tcPr>
            <w:tcW w:w="774" w:type="dxa"/>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r>
      <w:tr w:rsidR="008B76D5" w:rsidRPr="00872FD2" w:rsidTr="00F27AC3">
        <w:trPr>
          <w:gridAfter w:val="2"/>
          <w:cnfStyle w:val="000000010000"/>
          <w:wAfter w:w="17" w:type="dxa"/>
          <w:jc w:val="center"/>
        </w:trPr>
        <w:tc>
          <w:tcPr>
            <w:tcW w:w="3031" w:type="dxa"/>
            <w:gridSpan w:val="4"/>
            <w:vMerge/>
            <w:shd w:val="clear" w:color="auto" w:fill="E5DFEC" w:themeFill="accent4" w:themeFillTint="33"/>
          </w:tcPr>
          <w:p w:rsidR="008B76D5" w:rsidRPr="00872CE5" w:rsidRDefault="008B76D5" w:rsidP="004B1F82">
            <w:pPr>
              <w:spacing w:after="0" w:line="360" w:lineRule="auto"/>
              <w:jc w:val="center"/>
              <w:rPr>
                <w:rFonts w:asciiTheme="minorHAnsi" w:eastAsiaTheme="minorHAnsi" w:hAnsiTheme="minorHAnsi" w:cstheme="minorBidi"/>
              </w:rPr>
            </w:pPr>
          </w:p>
        </w:tc>
        <w:tc>
          <w:tcPr>
            <w:tcW w:w="1633" w:type="dxa"/>
            <w:gridSpan w:val="10"/>
          </w:tcPr>
          <w:p w:rsidR="008B76D5" w:rsidRPr="00872CE5" w:rsidRDefault="008B76D5" w:rsidP="004B1F82">
            <w:pPr>
              <w:spacing w:after="0" w:line="360" w:lineRule="auto"/>
              <w:jc w:val="center"/>
              <w:rPr>
                <w:rFonts w:asciiTheme="minorHAnsi" w:eastAsiaTheme="minorHAnsi" w:hAnsiTheme="minorHAnsi" w:cstheme="minorBidi"/>
              </w:rPr>
            </w:pPr>
            <w:r w:rsidRPr="00872CE5">
              <w:rPr>
                <w:rFonts w:asciiTheme="minorHAnsi" w:eastAsiaTheme="minorHAnsi" w:hAnsiTheme="minorHAnsi" w:cstheme="minorBidi"/>
              </w:rPr>
              <w:t>Δεν ξέρω</w:t>
            </w:r>
          </w:p>
        </w:tc>
        <w:tc>
          <w:tcPr>
            <w:tcW w:w="1362" w:type="dxa"/>
            <w:gridSpan w:val="7"/>
          </w:tcPr>
          <w:p w:rsidR="008B76D5" w:rsidRPr="00872CE5" w:rsidRDefault="008B76D5" w:rsidP="004B1F82">
            <w:pPr>
              <w:spacing w:after="0" w:line="360" w:lineRule="auto"/>
              <w:jc w:val="center"/>
              <w:rPr>
                <w:rFonts w:asciiTheme="minorHAnsi" w:eastAsiaTheme="minorHAnsi" w:hAnsiTheme="minorHAnsi" w:cstheme="minorBidi"/>
              </w:rPr>
            </w:pPr>
            <w:r w:rsidRPr="00872CE5">
              <w:rPr>
                <w:rFonts w:asciiTheme="minorHAnsi" w:eastAsiaTheme="minorHAnsi" w:hAnsiTheme="minorHAnsi" w:cstheme="minorBidi"/>
              </w:rPr>
              <w:t>3 (12,5%)</w:t>
            </w:r>
          </w:p>
        </w:tc>
        <w:tc>
          <w:tcPr>
            <w:tcW w:w="1424" w:type="dxa"/>
            <w:gridSpan w:val="9"/>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2 (8,3%)</w:t>
            </w:r>
          </w:p>
        </w:tc>
        <w:tc>
          <w:tcPr>
            <w:tcW w:w="1117" w:type="dxa"/>
            <w:gridSpan w:val="7"/>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c>
          <w:tcPr>
            <w:tcW w:w="774" w:type="dxa"/>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r>
      <w:tr w:rsidR="008B76D5" w:rsidRPr="00872FD2" w:rsidTr="00F27AC3">
        <w:trPr>
          <w:gridAfter w:val="2"/>
          <w:cnfStyle w:val="000000100000"/>
          <w:wAfter w:w="17" w:type="dxa"/>
          <w:jc w:val="center"/>
        </w:trPr>
        <w:tc>
          <w:tcPr>
            <w:tcW w:w="9341" w:type="dxa"/>
            <w:gridSpan w:val="38"/>
            <w:shd w:val="clear" w:color="auto" w:fill="FFFFFF" w:themeFill="background1"/>
          </w:tcPr>
          <w:p w:rsidR="008B76D5" w:rsidRPr="00872CE5" w:rsidRDefault="008B76D5" w:rsidP="004B1F82">
            <w:pPr>
              <w:spacing w:after="0" w:line="360" w:lineRule="auto"/>
              <w:rPr>
                <w:rFonts w:asciiTheme="minorHAnsi" w:eastAsiaTheme="minorHAnsi" w:hAnsiTheme="minorHAnsi" w:cstheme="minorBidi"/>
                <w:i/>
                <w:lang w:val="en-US"/>
              </w:rPr>
            </w:pPr>
            <w:r w:rsidRPr="00872CE5">
              <w:rPr>
                <w:rFonts w:asciiTheme="minorHAnsi" w:eastAsiaTheme="minorHAnsi" w:hAnsiTheme="minorHAnsi" w:cstheme="minorBidi"/>
                <w:i/>
              </w:rPr>
              <w:t>McNemar-Bowker</w:t>
            </w:r>
            <w:r w:rsidRPr="00872CE5">
              <w:rPr>
                <w:rFonts w:asciiTheme="minorHAnsi" w:eastAsiaTheme="minorHAnsi" w:hAnsiTheme="minorHAnsi" w:cstheme="minorBidi"/>
                <w:i/>
                <w:lang w:val="en-US"/>
              </w:rPr>
              <w:t xml:space="preserve"> test</w:t>
            </w:r>
          </w:p>
        </w:tc>
      </w:tr>
      <w:tr w:rsidR="008B76D5" w:rsidRPr="00872FD2" w:rsidTr="00F27AC3">
        <w:trPr>
          <w:gridAfter w:val="1"/>
          <w:cnfStyle w:val="000000010000"/>
          <w:wAfter w:w="6" w:type="dxa"/>
          <w:jc w:val="center"/>
        </w:trPr>
        <w:tc>
          <w:tcPr>
            <w:tcW w:w="3112" w:type="dxa"/>
            <w:gridSpan w:val="6"/>
            <w:vMerge w:val="restart"/>
            <w:shd w:val="clear" w:color="auto" w:fill="E5DFEC" w:themeFill="accent4" w:themeFillTint="33"/>
          </w:tcPr>
          <w:p w:rsidR="008B76D5" w:rsidRPr="00872CE5" w:rsidRDefault="008B76D5" w:rsidP="004B1F82">
            <w:pPr>
              <w:spacing w:after="0" w:line="360" w:lineRule="auto"/>
              <w:rPr>
                <w:rFonts w:asciiTheme="minorHAnsi" w:eastAsiaTheme="minorHAnsi" w:hAnsiTheme="minorHAnsi" w:cstheme="minorBidi"/>
              </w:rPr>
            </w:pPr>
            <w:r w:rsidRPr="00872CE5">
              <w:rPr>
                <w:rFonts w:asciiTheme="minorHAnsi" w:eastAsiaTheme="minorHAnsi" w:hAnsiTheme="minorHAnsi" w:cstheme="minorBidi"/>
              </w:rPr>
              <w:t>Στους ασθενείς με νεφρική νόσο λένε να μην τρώνε αλμυρά φαγητά διότι το αλάτι έχει πολύ:</w:t>
            </w:r>
          </w:p>
        </w:tc>
        <w:tc>
          <w:tcPr>
            <w:tcW w:w="1552" w:type="dxa"/>
            <w:gridSpan w:val="8"/>
          </w:tcPr>
          <w:p w:rsidR="008B76D5" w:rsidRPr="00872CE5" w:rsidRDefault="008B76D5" w:rsidP="004B1F82">
            <w:pPr>
              <w:spacing w:after="0" w:line="360" w:lineRule="auto"/>
              <w:jc w:val="center"/>
              <w:rPr>
                <w:rFonts w:asciiTheme="minorHAnsi" w:eastAsiaTheme="minorHAnsi" w:hAnsiTheme="minorHAnsi" w:cstheme="minorBidi"/>
              </w:rPr>
            </w:pPr>
            <w:r w:rsidRPr="00872CE5">
              <w:rPr>
                <w:rFonts w:asciiTheme="minorHAnsi" w:eastAsiaTheme="minorHAnsi" w:hAnsiTheme="minorHAnsi" w:cstheme="minorBidi"/>
              </w:rPr>
              <w:t>Κάλιο</w:t>
            </w:r>
          </w:p>
        </w:tc>
        <w:tc>
          <w:tcPr>
            <w:tcW w:w="1383" w:type="dxa"/>
            <w:gridSpan w:val="8"/>
          </w:tcPr>
          <w:p w:rsidR="008B76D5" w:rsidRPr="00872CE5" w:rsidRDefault="008B76D5" w:rsidP="004B1F82">
            <w:pPr>
              <w:spacing w:after="0" w:line="360" w:lineRule="auto"/>
              <w:jc w:val="center"/>
              <w:rPr>
                <w:rFonts w:asciiTheme="minorHAnsi" w:eastAsiaTheme="minorHAnsi" w:hAnsiTheme="minorHAnsi" w:cstheme="minorBidi"/>
              </w:rPr>
            </w:pPr>
            <w:r w:rsidRPr="00872CE5">
              <w:rPr>
                <w:rFonts w:asciiTheme="minorHAnsi" w:eastAsiaTheme="minorHAnsi" w:hAnsiTheme="minorHAnsi" w:cstheme="minorBidi"/>
              </w:rPr>
              <w:t>1 (4,2%)</w:t>
            </w:r>
          </w:p>
        </w:tc>
        <w:tc>
          <w:tcPr>
            <w:tcW w:w="1290" w:type="dxa"/>
            <w:gridSpan w:val="5"/>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3 (12,5%)</w:t>
            </w:r>
          </w:p>
        </w:tc>
        <w:tc>
          <w:tcPr>
            <w:tcW w:w="1166" w:type="dxa"/>
            <w:gridSpan w:val="7"/>
            <w:vMerge w:val="restart"/>
          </w:tcPr>
          <w:p w:rsidR="008B76D5" w:rsidRPr="00872FD2" w:rsidRDefault="008B76D5"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3,000</w:t>
            </w:r>
          </w:p>
        </w:tc>
        <w:tc>
          <w:tcPr>
            <w:tcW w:w="849" w:type="dxa"/>
            <w:gridSpan w:val="5"/>
            <w:vMerge w:val="restart"/>
          </w:tcPr>
          <w:p w:rsidR="008B76D5" w:rsidRPr="00872FD2" w:rsidRDefault="008B76D5"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0,223</w:t>
            </w:r>
          </w:p>
        </w:tc>
      </w:tr>
      <w:tr w:rsidR="008B76D5" w:rsidRPr="00872FD2" w:rsidTr="00F27AC3">
        <w:trPr>
          <w:gridAfter w:val="1"/>
          <w:cnfStyle w:val="000000100000"/>
          <w:wAfter w:w="6" w:type="dxa"/>
          <w:jc w:val="center"/>
        </w:trPr>
        <w:tc>
          <w:tcPr>
            <w:tcW w:w="3112" w:type="dxa"/>
            <w:gridSpan w:val="6"/>
            <w:vMerge/>
            <w:shd w:val="clear" w:color="auto" w:fill="E5DFEC" w:themeFill="accent4" w:themeFillTint="33"/>
          </w:tcPr>
          <w:p w:rsidR="008B76D5" w:rsidRPr="00872CE5" w:rsidRDefault="008B76D5" w:rsidP="004B1F82">
            <w:pPr>
              <w:spacing w:after="0" w:line="360" w:lineRule="auto"/>
              <w:jc w:val="center"/>
              <w:rPr>
                <w:rFonts w:asciiTheme="minorHAnsi" w:eastAsiaTheme="minorHAnsi" w:hAnsiTheme="minorHAnsi" w:cstheme="minorBidi"/>
              </w:rPr>
            </w:pPr>
          </w:p>
        </w:tc>
        <w:tc>
          <w:tcPr>
            <w:tcW w:w="1552" w:type="dxa"/>
            <w:gridSpan w:val="8"/>
          </w:tcPr>
          <w:p w:rsidR="008B76D5" w:rsidRPr="00872CE5" w:rsidRDefault="008B76D5" w:rsidP="004B1F82">
            <w:pPr>
              <w:spacing w:after="0" w:line="360" w:lineRule="auto"/>
              <w:jc w:val="center"/>
              <w:rPr>
                <w:rFonts w:asciiTheme="minorHAnsi" w:eastAsiaTheme="minorHAnsi" w:hAnsiTheme="minorHAnsi" w:cstheme="minorBidi"/>
              </w:rPr>
            </w:pPr>
            <w:r w:rsidRPr="00872CE5">
              <w:rPr>
                <w:rFonts w:asciiTheme="minorHAnsi" w:eastAsiaTheme="minorHAnsi" w:hAnsiTheme="minorHAnsi" w:cstheme="minorBidi"/>
              </w:rPr>
              <w:t>Νάτριο</w:t>
            </w:r>
          </w:p>
        </w:tc>
        <w:tc>
          <w:tcPr>
            <w:tcW w:w="1383" w:type="dxa"/>
            <w:gridSpan w:val="8"/>
          </w:tcPr>
          <w:p w:rsidR="008B76D5" w:rsidRPr="00872CE5" w:rsidRDefault="008B76D5" w:rsidP="004B1F82">
            <w:pPr>
              <w:spacing w:after="0" w:line="360" w:lineRule="auto"/>
              <w:jc w:val="center"/>
              <w:rPr>
                <w:rFonts w:asciiTheme="minorHAnsi" w:eastAsiaTheme="minorHAnsi" w:hAnsiTheme="minorHAnsi" w:cstheme="minorBidi"/>
              </w:rPr>
            </w:pPr>
            <w:r w:rsidRPr="00872CE5">
              <w:rPr>
                <w:rFonts w:asciiTheme="minorHAnsi" w:eastAsiaTheme="minorHAnsi" w:hAnsiTheme="minorHAnsi" w:cstheme="minorBidi"/>
              </w:rPr>
              <w:t>19 (79,2%)</w:t>
            </w:r>
          </w:p>
        </w:tc>
        <w:tc>
          <w:tcPr>
            <w:tcW w:w="1290" w:type="dxa"/>
            <w:gridSpan w:val="5"/>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18 (75,0%)</w:t>
            </w:r>
          </w:p>
        </w:tc>
        <w:tc>
          <w:tcPr>
            <w:tcW w:w="1166" w:type="dxa"/>
            <w:gridSpan w:val="7"/>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c>
          <w:tcPr>
            <w:tcW w:w="849" w:type="dxa"/>
            <w:gridSpan w:val="5"/>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r>
      <w:tr w:rsidR="008B76D5" w:rsidRPr="00872FD2" w:rsidTr="00F27AC3">
        <w:trPr>
          <w:gridAfter w:val="1"/>
          <w:cnfStyle w:val="000000010000"/>
          <w:wAfter w:w="6" w:type="dxa"/>
          <w:jc w:val="center"/>
        </w:trPr>
        <w:tc>
          <w:tcPr>
            <w:tcW w:w="3112" w:type="dxa"/>
            <w:gridSpan w:val="6"/>
            <w:vMerge/>
            <w:shd w:val="clear" w:color="auto" w:fill="E5DFEC" w:themeFill="accent4" w:themeFillTint="33"/>
          </w:tcPr>
          <w:p w:rsidR="008B76D5" w:rsidRPr="00872CE5" w:rsidRDefault="008B76D5" w:rsidP="004B1F82">
            <w:pPr>
              <w:spacing w:after="0" w:line="360" w:lineRule="auto"/>
              <w:jc w:val="center"/>
              <w:rPr>
                <w:rFonts w:asciiTheme="minorHAnsi" w:eastAsiaTheme="minorHAnsi" w:hAnsiTheme="minorHAnsi" w:cstheme="minorBidi"/>
              </w:rPr>
            </w:pPr>
          </w:p>
        </w:tc>
        <w:tc>
          <w:tcPr>
            <w:tcW w:w="1552" w:type="dxa"/>
            <w:gridSpan w:val="8"/>
          </w:tcPr>
          <w:p w:rsidR="008B76D5" w:rsidRPr="00872CE5" w:rsidRDefault="008B76D5" w:rsidP="004B1F82">
            <w:pPr>
              <w:spacing w:after="0" w:line="360" w:lineRule="auto"/>
              <w:jc w:val="center"/>
              <w:rPr>
                <w:rFonts w:asciiTheme="minorHAnsi" w:eastAsiaTheme="minorHAnsi" w:hAnsiTheme="minorHAnsi" w:cstheme="minorBidi"/>
              </w:rPr>
            </w:pPr>
            <w:r w:rsidRPr="00872CE5">
              <w:rPr>
                <w:rFonts w:asciiTheme="minorHAnsi" w:eastAsiaTheme="minorHAnsi" w:hAnsiTheme="minorHAnsi" w:cstheme="minorBidi"/>
              </w:rPr>
              <w:t>Δεν ξέρω</w:t>
            </w:r>
          </w:p>
        </w:tc>
        <w:tc>
          <w:tcPr>
            <w:tcW w:w="1383" w:type="dxa"/>
            <w:gridSpan w:val="8"/>
          </w:tcPr>
          <w:p w:rsidR="008B76D5" w:rsidRPr="00872CE5" w:rsidRDefault="008B76D5" w:rsidP="004B1F82">
            <w:pPr>
              <w:spacing w:after="0" w:line="360" w:lineRule="auto"/>
              <w:jc w:val="center"/>
              <w:rPr>
                <w:rFonts w:asciiTheme="minorHAnsi" w:eastAsiaTheme="minorHAnsi" w:hAnsiTheme="minorHAnsi" w:cstheme="minorBidi"/>
              </w:rPr>
            </w:pPr>
            <w:r w:rsidRPr="00872CE5">
              <w:rPr>
                <w:rFonts w:asciiTheme="minorHAnsi" w:eastAsiaTheme="minorHAnsi" w:hAnsiTheme="minorHAnsi" w:cstheme="minorBidi"/>
              </w:rPr>
              <w:t>4 (16,7%)</w:t>
            </w:r>
          </w:p>
        </w:tc>
        <w:tc>
          <w:tcPr>
            <w:tcW w:w="1290" w:type="dxa"/>
            <w:gridSpan w:val="5"/>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3 (12,5%)</w:t>
            </w:r>
          </w:p>
        </w:tc>
        <w:tc>
          <w:tcPr>
            <w:tcW w:w="1166" w:type="dxa"/>
            <w:gridSpan w:val="7"/>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c>
          <w:tcPr>
            <w:tcW w:w="849" w:type="dxa"/>
            <w:gridSpan w:val="5"/>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r>
      <w:tr w:rsidR="008B76D5" w:rsidRPr="00872FD2" w:rsidTr="00F27AC3">
        <w:trPr>
          <w:gridAfter w:val="1"/>
          <w:cnfStyle w:val="000000100000"/>
          <w:wAfter w:w="6" w:type="dxa"/>
          <w:jc w:val="center"/>
        </w:trPr>
        <w:tc>
          <w:tcPr>
            <w:tcW w:w="9352" w:type="dxa"/>
            <w:gridSpan w:val="39"/>
            <w:shd w:val="clear" w:color="auto" w:fill="FFFFFF" w:themeFill="background1"/>
          </w:tcPr>
          <w:p w:rsidR="008B76D5" w:rsidRPr="00872CE5" w:rsidRDefault="008B76D5" w:rsidP="004B1F82">
            <w:pPr>
              <w:spacing w:after="0" w:line="360" w:lineRule="auto"/>
              <w:rPr>
                <w:rFonts w:asciiTheme="minorHAnsi" w:eastAsiaTheme="minorHAnsi" w:hAnsiTheme="minorHAnsi" w:cstheme="minorBidi"/>
                <w:i/>
                <w:lang w:val="en-US"/>
              </w:rPr>
            </w:pPr>
            <w:r w:rsidRPr="00872CE5">
              <w:rPr>
                <w:rFonts w:asciiTheme="minorHAnsi" w:eastAsiaTheme="minorHAnsi" w:hAnsiTheme="minorHAnsi" w:cstheme="minorBidi"/>
                <w:i/>
              </w:rPr>
              <w:t>McNemar-Bowker</w:t>
            </w:r>
            <w:r w:rsidRPr="00872CE5">
              <w:rPr>
                <w:rFonts w:asciiTheme="minorHAnsi" w:eastAsiaTheme="minorHAnsi" w:hAnsiTheme="minorHAnsi" w:cstheme="minorBidi"/>
                <w:i/>
                <w:lang w:val="en-US"/>
              </w:rPr>
              <w:t xml:space="preserve"> test</w:t>
            </w:r>
          </w:p>
        </w:tc>
      </w:tr>
      <w:tr w:rsidR="008B76D5" w:rsidRPr="00872FD2" w:rsidTr="00F27AC3">
        <w:trPr>
          <w:gridAfter w:val="1"/>
          <w:cnfStyle w:val="000000010000"/>
          <w:wAfter w:w="6" w:type="dxa"/>
          <w:jc w:val="center"/>
        </w:trPr>
        <w:tc>
          <w:tcPr>
            <w:tcW w:w="3121" w:type="dxa"/>
            <w:gridSpan w:val="7"/>
            <w:vMerge w:val="restart"/>
            <w:shd w:val="clear" w:color="auto" w:fill="E5DFEC" w:themeFill="accent4" w:themeFillTint="33"/>
          </w:tcPr>
          <w:p w:rsidR="008B76D5" w:rsidRPr="00872CE5" w:rsidRDefault="008B76D5" w:rsidP="004B1F82">
            <w:pPr>
              <w:spacing w:after="0" w:line="360" w:lineRule="auto"/>
              <w:rPr>
                <w:rFonts w:asciiTheme="minorHAnsi" w:eastAsiaTheme="minorHAnsi" w:hAnsiTheme="minorHAnsi" w:cstheme="minorBidi"/>
              </w:rPr>
            </w:pPr>
            <w:r w:rsidRPr="00872CE5">
              <w:rPr>
                <w:rFonts w:asciiTheme="minorHAnsi" w:eastAsiaTheme="minorHAnsi" w:hAnsiTheme="minorHAnsi" w:cstheme="minorBidi"/>
              </w:rPr>
              <w:t>Τα ανοσοκατασταλτικά φάρμακα δίνονται στους μεταμοσχευμένους ασθενείς για να:</w:t>
            </w:r>
          </w:p>
        </w:tc>
        <w:tc>
          <w:tcPr>
            <w:tcW w:w="1553" w:type="dxa"/>
            <w:gridSpan w:val="8"/>
          </w:tcPr>
          <w:p w:rsidR="008B76D5" w:rsidRPr="00872CE5" w:rsidRDefault="008B76D5" w:rsidP="004B1F82">
            <w:pPr>
              <w:spacing w:after="0" w:line="360" w:lineRule="auto"/>
              <w:rPr>
                <w:rFonts w:asciiTheme="minorHAnsi" w:eastAsiaTheme="minorHAnsi" w:hAnsiTheme="minorHAnsi" w:cstheme="minorBidi"/>
              </w:rPr>
            </w:pPr>
            <w:r w:rsidRPr="00872CE5">
              <w:rPr>
                <w:rFonts w:asciiTheme="minorHAnsi" w:eastAsiaTheme="minorHAnsi" w:hAnsiTheme="minorHAnsi" w:cstheme="minorBidi"/>
              </w:rPr>
              <w:t>Προλάβουν και να θεραπεύσουν την απόρριψη του νεφρικού μοσχεύματος</w:t>
            </w:r>
          </w:p>
        </w:tc>
        <w:tc>
          <w:tcPr>
            <w:tcW w:w="1385" w:type="dxa"/>
            <w:gridSpan w:val="8"/>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15 (62,5%)</w:t>
            </w:r>
          </w:p>
        </w:tc>
        <w:tc>
          <w:tcPr>
            <w:tcW w:w="1299" w:type="dxa"/>
            <w:gridSpan w:val="5"/>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17 (70,8%)</w:t>
            </w:r>
          </w:p>
        </w:tc>
        <w:tc>
          <w:tcPr>
            <w:tcW w:w="1145" w:type="dxa"/>
            <w:gridSpan w:val="6"/>
            <w:vMerge w:val="restart"/>
          </w:tcPr>
          <w:p w:rsidR="008B76D5" w:rsidRPr="00872FD2" w:rsidRDefault="008B76D5"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2,333</w:t>
            </w:r>
          </w:p>
        </w:tc>
        <w:tc>
          <w:tcPr>
            <w:tcW w:w="849" w:type="dxa"/>
            <w:gridSpan w:val="5"/>
            <w:vMerge w:val="restart"/>
          </w:tcPr>
          <w:p w:rsidR="008B76D5" w:rsidRPr="00872FD2" w:rsidRDefault="008B76D5"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0,506</w:t>
            </w:r>
          </w:p>
        </w:tc>
      </w:tr>
      <w:tr w:rsidR="008B76D5" w:rsidRPr="00872FD2" w:rsidTr="00F27AC3">
        <w:trPr>
          <w:gridAfter w:val="1"/>
          <w:cnfStyle w:val="000000100000"/>
          <w:wAfter w:w="6" w:type="dxa"/>
          <w:jc w:val="center"/>
        </w:trPr>
        <w:tc>
          <w:tcPr>
            <w:tcW w:w="3121" w:type="dxa"/>
            <w:gridSpan w:val="7"/>
            <w:vMerge/>
            <w:shd w:val="clear" w:color="auto" w:fill="E5DFEC" w:themeFill="accent4" w:themeFillTint="33"/>
          </w:tcPr>
          <w:p w:rsidR="008B76D5" w:rsidRPr="00872CE5" w:rsidRDefault="008B76D5" w:rsidP="004B1F82">
            <w:pPr>
              <w:spacing w:after="0" w:line="360" w:lineRule="auto"/>
              <w:jc w:val="center"/>
              <w:rPr>
                <w:rFonts w:asciiTheme="minorHAnsi" w:eastAsiaTheme="minorHAnsi" w:hAnsiTheme="minorHAnsi" w:cstheme="minorBidi"/>
              </w:rPr>
            </w:pPr>
          </w:p>
        </w:tc>
        <w:tc>
          <w:tcPr>
            <w:tcW w:w="1553" w:type="dxa"/>
            <w:gridSpan w:val="8"/>
          </w:tcPr>
          <w:p w:rsidR="008B76D5" w:rsidRPr="00872CE5" w:rsidRDefault="008B76D5" w:rsidP="004B1F82">
            <w:pPr>
              <w:spacing w:after="0" w:line="360" w:lineRule="auto"/>
              <w:rPr>
                <w:rFonts w:asciiTheme="minorHAnsi" w:eastAsiaTheme="minorHAnsi" w:hAnsiTheme="minorHAnsi" w:cstheme="minorBidi"/>
              </w:rPr>
            </w:pPr>
            <w:r w:rsidRPr="00872CE5">
              <w:rPr>
                <w:rFonts w:asciiTheme="minorHAnsi" w:eastAsiaTheme="minorHAnsi" w:hAnsiTheme="minorHAnsi" w:cstheme="minorBidi"/>
              </w:rPr>
              <w:t>Να προλάβουν τη λοίμωξη στο νεφρό από ιούς ή βακτήρια</w:t>
            </w:r>
          </w:p>
        </w:tc>
        <w:tc>
          <w:tcPr>
            <w:tcW w:w="1385" w:type="dxa"/>
            <w:gridSpan w:val="8"/>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5 (20,8%)</w:t>
            </w:r>
          </w:p>
        </w:tc>
        <w:tc>
          <w:tcPr>
            <w:tcW w:w="1299" w:type="dxa"/>
            <w:gridSpan w:val="5"/>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3 (12,5%)</w:t>
            </w:r>
          </w:p>
        </w:tc>
        <w:tc>
          <w:tcPr>
            <w:tcW w:w="1145" w:type="dxa"/>
            <w:gridSpan w:val="6"/>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c>
          <w:tcPr>
            <w:tcW w:w="849" w:type="dxa"/>
            <w:gridSpan w:val="5"/>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r>
      <w:tr w:rsidR="008B76D5" w:rsidRPr="00872FD2" w:rsidTr="00F27AC3">
        <w:trPr>
          <w:gridAfter w:val="1"/>
          <w:cnfStyle w:val="000000010000"/>
          <w:wAfter w:w="6" w:type="dxa"/>
          <w:jc w:val="center"/>
        </w:trPr>
        <w:tc>
          <w:tcPr>
            <w:tcW w:w="3121" w:type="dxa"/>
            <w:gridSpan w:val="7"/>
            <w:vMerge/>
            <w:shd w:val="clear" w:color="auto" w:fill="E5DFEC" w:themeFill="accent4" w:themeFillTint="33"/>
          </w:tcPr>
          <w:p w:rsidR="008B76D5" w:rsidRPr="00872FD2" w:rsidRDefault="008B76D5" w:rsidP="004B1F82">
            <w:pPr>
              <w:spacing w:after="0" w:line="360" w:lineRule="auto"/>
              <w:jc w:val="center"/>
              <w:rPr>
                <w:rFonts w:asciiTheme="minorHAnsi" w:eastAsiaTheme="minorHAnsi" w:hAnsiTheme="minorHAnsi" w:cstheme="minorBidi"/>
                <w:color w:val="000000"/>
              </w:rPr>
            </w:pPr>
          </w:p>
        </w:tc>
        <w:tc>
          <w:tcPr>
            <w:tcW w:w="1553" w:type="dxa"/>
            <w:gridSpan w:val="8"/>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Δεν ξέρω</w:t>
            </w:r>
          </w:p>
        </w:tc>
        <w:tc>
          <w:tcPr>
            <w:tcW w:w="1385" w:type="dxa"/>
            <w:gridSpan w:val="8"/>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4 (16,7%)</w:t>
            </w:r>
          </w:p>
        </w:tc>
        <w:tc>
          <w:tcPr>
            <w:tcW w:w="1299" w:type="dxa"/>
            <w:gridSpan w:val="5"/>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4 (16,7%)</w:t>
            </w:r>
          </w:p>
        </w:tc>
        <w:tc>
          <w:tcPr>
            <w:tcW w:w="1145" w:type="dxa"/>
            <w:gridSpan w:val="6"/>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c>
          <w:tcPr>
            <w:tcW w:w="849" w:type="dxa"/>
            <w:gridSpan w:val="5"/>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r>
      <w:tr w:rsidR="008B76D5" w:rsidRPr="00872FD2" w:rsidTr="00F27AC3">
        <w:trPr>
          <w:gridAfter w:val="1"/>
          <w:cnfStyle w:val="000000100000"/>
          <w:wAfter w:w="6" w:type="dxa"/>
          <w:jc w:val="center"/>
        </w:trPr>
        <w:tc>
          <w:tcPr>
            <w:tcW w:w="9352" w:type="dxa"/>
            <w:gridSpan w:val="39"/>
            <w:shd w:val="clear" w:color="auto" w:fill="FFFFFF" w:themeFill="background1"/>
          </w:tcPr>
          <w:p w:rsidR="008B76D5" w:rsidRPr="00872FD2" w:rsidRDefault="008B76D5" w:rsidP="004B1F82">
            <w:pPr>
              <w:spacing w:after="0" w:line="360" w:lineRule="auto"/>
              <w:rPr>
                <w:rFonts w:asciiTheme="minorHAnsi" w:eastAsiaTheme="minorHAnsi" w:hAnsiTheme="minorHAnsi" w:cstheme="minorBidi"/>
                <w:i/>
                <w:color w:val="000000"/>
                <w:lang w:val="en-US"/>
              </w:rPr>
            </w:pPr>
            <w:r w:rsidRPr="00872FD2">
              <w:rPr>
                <w:rFonts w:asciiTheme="minorHAnsi" w:eastAsiaTheme="minorHAnsi" w:hAnsiTheme="minorHAnsi" w:cstheme="minorBidi"/>
                <w:i/>
                <w:color w:val="000000"/>
              </w:rPr>
              <w:t>McNemar-Bowker</w:t>
            </w:r>
            <w:r w:rsidRPr="00872FD2">
              <w:rPr>
                <w:rFonts w:asciiTheme="minorHAnsi" w:eastAsiaTheme="minorHAnsi" w:hAnsiTheme="minorHAnsi" w:cstheme="minorBidi"/>
                <w:i/>
                <w:color w:val="000000"/>
                <w:lang w:val="en-US"/>
              </w:rPr>
              <w:t xml:space="preserve"> test</w:t>
            </w:r>
          </w:p>
        </w:tc>
      </w:tr>
      <w:tr w:rsidR="008B76D5" w:rsidRPr="00872FD2" w:rsidTr="00F27AC3">
        <w:trPr>
          <w:gridAfter w:val="1"/>
          <w:cnfStyle w:val="000000010000"/>
          <w:wAfter w:w="6" w:type="dxa"/>
          <w:jc w:val="center"/>
        </w:trPr>
        <w:tc>
          <w:tcPr>
            <w:tcW w:w="3121" w:type="dxa"/>
            <w:gridSpan w:val="7"/>
            <w:vMerge w:val="restart"/>
            <w:shd w:val="clear" w:color="auto" w:fill="E5DFEC" w:themeFill="accent4" w:themeFillTint="33"/>
          </w:tcPr>
          <w:p w:rsidR="008B76D5" w:rsidRPr="00872FD2" w:rsidRDefault="008B76D5"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Η οστική νόσος</w:t>
            </w:r>
            <w:r w:rsidRPr="00872FD2">
              <w:rPr>
                <w:rFonts w:asciiTheme="minorHAnsi" w:eastAsiaTheme="minorHAnsi" w:hAnsiTheme="minorHAnsi" w:cstheme="minorBidi"/>
                <w:b/>
                <w:color w:val="000000"/>
              </w:rPr>
              <w:t xml:space="preserve"> </w:t>
            </w:r>
            <w:r w:rsidRPr="00872FD2">
              <w:rPr>
                <w:rFonts w:asciiTheme="minorHAnsi" w:eastAsiaTheme="minorHAnsi" w:hAnsiTheme="minorHAnsi" w:cstheme="minorBidi"/>
                <w:color w:val="000000"/>
              </w:rPr>
              <w:t>είναι ένα πρόβλημα υγείας το οποίο μπορεί να συνοδεύει τη χρόνια νεφρική νόσο. Μπορεί να συμβεί γιατί:</w:t>
            </w:r>
          </w:p>
        </w:tc>
        <w:tc>
          <w:tcPr>
            <w:tcW w:w="1526" w:type="dxa"/>
            <w:gridSpan w:val="6"/>
          </w:tcPr>
          <w:p w:rsidR="008B76D5" w:rsidRPr="00872FD2" w:rsidRDefault="008B76D5"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Ο νεφρός που έχει πρόβλημα δεν μπορεί πια να ξεφορτωθεί την περίσσεια νερού από τον οργανισμό με φυσιολογικό τρόπο</w:t>
            </w:r>
          </w:p>
        </w:tc>
        <w:tc>
          <w:tcPr>
            <w:tcW w:w="1344" w:type="dxa"/>
            <w:gridSpan w:val="7"/>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 (4,2%)</w:t>
            </w:r>
          </w:p>
        </w:tc>
        <w:tc>
          <w:tcPr>
            <w:tcW w:w="1413" w:type="dxa"/>
            <w:gridSpan w:val="9"/>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 (4,2%)</w:t>
            </w:r>
          </w:p>
        </w:tc>
        <w:tc>
          <w:tcPr>
            <w:tcW w:w="1128" w:type="dxa"/>
            <w:gridSpan w:val="6"/>
            <w:vMerge w:val="restart"/>
          </w:tcPr>
          <w:p w:rsidR="008B76D5" w:rsidRPr="00872FD2" w:rsidRDefault="008B76D5"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1,000</w:t>
            </w:r>
          </w:p>
        </w:tc>
        <w:tc>
          <w:tcPr>
            <w:tcW w:w="820" w:type="dxa"/>
            <w:gridSpan w:val="4"/>
            <w:vMerge w:val="restart"/>
          </w:tcPr>
          <w:p w:rsidR="008B76D5" w:rsidRPr="00872FD2" w:rsidRDefault="008B76D5"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0,317</w:t>
            </w:r>
          </w:p>
        </w:tc>
      </w:tr>
      <w:tr w:rsidR="008B76D5" w:rsidRPr="00872FD2" w:rsidTr="00F27AC3">
        <w:trPr>
          <w:gridAfter w:val="1"/>
          <w:cnfStyle w:val="000000100000"/>
          <w:wAfter w:w="6" w:type="dxa"/>
          <w:jc w:val="center"/>
        </w:trPr>
        <w:tc>
          <w:tcPr>
            <w:tcW w:w="3121" w:type="dxa"/>
            <w:gridSpan w:val="7"/>
            <w:vMerge/>
            <w:shd w:val="clear" w:color="auto" w:fill="E5DFEC" w:themeFill="accent4" w:themeFillTint="33"/>
          </w:tcPr>
          <w:p w:rsidR="008B76D5" w:rsidRPr="00872FD2" w:rsidRDefault="008B76D5" w:rsidP="004B1F82">
            <w:pPr>
              <w:spacing w:after="0" w:line="360" w:lineRule="auto"/>
              <w:jc w:val="center"/>
              <w:rPr>
                <w:rFonts w:asciiTheme="minorHAnsi" w:eastAsiaTheme="minorHAnsi" w:hAnsiTheme="minorHAnsi" w:cstheme="minorBidi"/>
                <w:color w:val="000000"/>
              </w:rPr>
            </w:pPr>
          </w:p>
        </w:tc>
        <w:tc>
          <w:tcPr>
            <w:tcW w:w="1526" w:type="dxa"/>
            <w:gridSpan w:val="6"/>
          </w:tcPr>
          <w:p w:rsidR="008B76D5" w:rsidRPr="00872FD2" w:rsidRDefault="008B76D5"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Ο νεφρός που έχει πρόβλημα χάνει την ικανότητα του να διατηρεί τα επίπεδα ασβεστίου και φωσφόρου σε κανονικά επίπεδα</w:t>
            </w:r>
          </w:p>
        </w:tc>
        <w:tc>
          <w:tcPr>
            <w:tcW w:w="1344" w:type="dxa"/>
            <w:gridSpan w:val="7"/>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7 (29,2%)</w:t>
            </w:r>
          </w:p>
        </w:tc>
        <w:tc>
          <w:tcPr>
            <w:tcW w:w="1413" w:type="dxa"/>
            <w:gridSpan w:val="9"/>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8 (33,3%)</w:t>
            </w:r>
          </w:p>
        </w:tc>
        <w:tc>
          <w:tcPr>
            <w:tcW w:w="1128" w:type="dxa"/>
            <w:gridSpan w:val="6"/>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c>
          <w:tcPr>
            <w:tcW w:w="820" w:type="dxa"/>
            <w:gridSpan w:val="4"/>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r>
      <w:tr w:rsidR="008B76D5" w:rsidRPr="00872FD2" w:rsidTr="00F27AC3">
        <w:trPr>
          <w:gridAfter w:val="1"/>
          <w:cnfStyle w:val="000000010000"/>
          <w:wAfter w:w="6" w:type="dxa"/>
          <w:jc w:val="center"/>
        </w:trPr>
        <w:tc>
          <w:tcPr>
            <w:tcW w:w="3121" w:type="dxa"/>
            <w:gridSpan w:val="7"/>
            <w:vMerge/>
            <w:shd w:val="clear" w:color="auto" w:fill="E5DFEC" w:themeFill="accent4" w:themeFillTint="33"/>
          </w:tcPr>
          <w:p w:rsidR="008B76D5" w:rsidRPr="00872FD2" w:rsidRDefault="008B76D5" w:rsidP="004B1F82">
            <w:pPr>
              <w:spacing w:after="0" w:line="360" w:lineRule="auto"/>
              <w:jc w:val="center"/>
              <w:rPr>
                <w:rFonts w:asciiTheme="minorHAnsi" w:eastAsiaTheme="minorHAnsi" w:hAnsiTheme="minorHAnsi" w:cstheme="minorBidi"/>
                <w:color w:val="000000"/>
              </w:rPr>
            </w:pPr>
          </w:p>
        </w:tc>
        <w:tc>
          <w:tcPr>
            <w:tcW w:w="1526" w:type="dxa"/>
            <w:gridSpan w:val="6"/>
          </w:tcPr>
          <w:p w:rsidR="008B76D5" w:rsidRPr="00872FD2" w:rsidRDefault="008B76D5"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Δεν γνωρίζω</w:t>
            </w:r>
          </w:p>
        </w:tc>
        <w:tc>
          <w:tcPr>
            <w:tcW w:w="1344" w:type="dxa"/>
            <w:gridSpan w:val="7"/>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16 (66,7%)</w:t>
            </w:r>
          </w:p>
        </w:tc>
        <w:tc>
          <w:tcPr>
            <w:tcW w:w="1413" w:type="dxa"/>
            <w:gridSpan w:val="9"/>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15 (62,5)%</w:t>
            </w:r>
          </w:p>
        </w:tc>
        <w:tc>
          <w:tcPr>
            <w:tcW w:w="1128" w:type="dxa"/>
            <w:gridSpan w:val="6"/>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c>
          <w:tcPr>
            <w:tcW w:w="820" w:type="dxa"/>
            <w:gridSpan w:val="4"/>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r>
      <w:tr w:rsidR="008B76D5" w:rsidRPr="00872FD2" w:rsidTr="00F27AC3">
        <w:trPr>
          <w:gridAfter w:val="1"/>
          <w:cnfStyle w:val="000000100000"/>
          <w:wAfter w:w="6" w:type="dxa"/>
          <w:jc w:val="center"/>
        </w:trPr>
        <w:tc>
          <w:tcPr>
            <w:tcW w:w="9352" w:type="dxa"/>
            <w:gridSpan w:val="39"/>
            <w:shd w:val="clear" w:color="auto" w:fill="FFFFFF" w:themeFill="background1"/>
          </w:tcPr>
          <w:p w:rsidR="008B76D5" w:rsidRPr="00872FD2" w:rsidRDefault="008B76D5" w:rsidP="004B1F82">
            <w:pPr>
              <w:spacing w:after="0" w:line="360" w:lineRule="auto"/>
              <w:rPr>
                <w:rFonts w:asciiTheme="minorHAnsi" w:eastAsiaTheme="minorHAnsi" w:hAnsiTheme="minorHAnsi" w:cstheme="minorBidi"/>
                <w:i/>
                <w:color w:val="000000"/>
                <w:lang w:val="en-US"/>
              </w:rPr>
            </w:pPr>
            <w:r w:rsidRPr="00872FD2">
              <w:rPr>
                <w:rFonts w:asciiTheme="minorHAnsi" w:eastAsiaTheme="minorHAnsi" w:hAnsiTheme="minorHAnsi" w:cstheme="minorBidi"/>
                <w:i/>
                <w:color w:val="000000"/>
              </w:rPr>
              <w:t>McNemar-Bowker</w:t>
            </w:r>
            <w:r w:rsidRPr="00872FD2">
              <w:rPr>
                <w:rFonts w:asciiTheme="minorHAnsi" w:eastAsiaTheme="minorHAnsi" w:hAnsiTheme="minorHAnsi" w:cstheme="minorBidi"/>
                <w:i/>
                <w:color w:val="000000"/>
                <w:lang w:val="en-US"/>
              </w:rPr>
              <w:t xml:space="preserve"> test</w:t>
            </w:r>
          </w:p>
        </w:tc>
      </w:tr>
      <w:tr w:rsidR="008B76D5" w:rsidRPr="00872FD2" w:rsidTr="00F27AC3">
        <w:trPr>
          <w:cnfStyle w:val="000000010000"/>
          <w:jc w:val="center"/>
        </w:trPr>
        <w:tc>
          <w:tcPr>
            <w:tcW w:w="3008" w:type="dxa"/>
            <w:gridSpan w:val="3"/>
            <w:vMerge w:val="restart"/>
            <w:shd w:val="clear" w:color="auto" w:fill="E5DFEC" w:themeFill="accent4" w:themeFillTint="33"/>
          </w:tcPr>
          <w:p w:rsidR="008B76D5" w:rsidRPr="00872FD2" w:rsidRDefault="008B76D5"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 xml:space="preserve">Ποιο φάρμακο συνταγογραφείται μερικές φορές για τον έλεγχο του επιπέδου του καλίου στο αίμα </w:t>
            </w:r>
            <w:r w:rsidR="00B0560D">
              <w:rPr>
                <w:rFonts w:asciiTheme="minorHAnsi" w:eastAsiaTheme="minorHAnsi" w:hAnsiTheme="minorHAnsi" w:cstheme="minorBidi"/>
                <w:color w:val="000000"/>
              </w:rPr>
              <w:t>του ασθενούς</w:t>
            </w:r>
            <w:r w:rsidRPr="00872FD2">
              <w:rPr>
                <w:rFonts w:asciiTheme="minorHAnsi" w:eastAsiaTheme="minorHAnsi" w:hAnsiTheme="minorHAnsi" w:cstheme="minorBidi"/>
                <w:color w:val="000000"/>
              </w:rPr>
              <w:t>;</w:t>
            </w:r>
          </w:p>
        </w:tc>
        <w:tc>
          <w:tcPr>
            <w:tcW w:w="1498" w:type="dxa"/>
            <w:gridSpan w:val="8"/>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Kayexalate</w:t>
            </w:r>
          </w:p>
        </w:tc>
        <w:tc>
          <w:tcPr>
            <w:tcW w:w="1306" w:type="dxa"/>
            <w:gridSpan w:val="7"/>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7 (29,2%)</w:t>
            </w:r>
          </w:p>
        </w:tc>
        <w:tc>
          <w:tcPr>
            <w:tcW w:w="1318" w:type="dxa"/>
            <w:gridSpan w:val="8"/>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6 (25,0%)</w:t>
            </w:r>
          </w:p>
        </w:tc>
        <w:tc>
          <w:tcPr>
            <w:tcW w:w="1163" w:type="dxa"/>
            <w:gridSpan w:val="7"/>
            <w:vMerge w:val="restart"/>
          </w:tcPr>
          <w:p w:rsidR="008B76D5" w:rsidRPr="00872FD2" w:rsidRDefault="008B76D5"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1,000</w:t>
            </w:r>
          </w:p>
        </w:tc>
        <w:tc>
          <w:tcPr>
            <w:tcW w:w="1065" w:type="dxa"/>
            <w:gridSpan w:val="7"/>
            <w:vMerge w:val="restart"/>
          </w:tcPr>
          <w:p w:rsidR="008B76D5" w:rsidRPr="00872FD2" w:rsidRDefault="008B76D5"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1,000</w:t>
            </w:r>
          </w:p>
        </w:tc>
      </w:tr>
      <w:tr w:rsidR="008B76D5" w:rsidRPr="00872FD2" w:rsidTr="00F27AC3">
        <w:trPr>
          <w:cnfStyle w:val="000000100000"/>
          <w:jc w:val="center"/>
        </w:trPr>
        <w:tc>
          <w:tcPr>
            <w:tcW w:w="3008" w:type="dxa"/>
            <w:gridSpan w:val="3"/>
            <w:vMerge/>
            <w:shd w:val="clear" w:color="auto" w:fill="E5DFEC" w:themeFill="accent4" w:themeFillTint="33"/>
          </w:tcPr>
          <w:p w:rsidR="008B76D5" w:rsidRPr="00872FD2" w:rsidRDefault="008B76D5" w:rsidP="004B1F82">
            <w:pPr>
              <w:spacing w:after="0" w:line="360" w:lineRule="auto"/>
              <w:jc w:val="center"/>
              <w:rPr>
                <w:rFonts w:asciiTheme="minorHAnsi" w:eastAsiaTheme="minorHAnsi" w:hAnsiTheme="minorHAnsi" w:cstheme="minorBidi"/>
                <w:color w:val="000000"/>
              </w:rPr>
            </w:pPr>
          </w:p>
        </w:tc>
        <w:tc>
          <w:tcPr>
            <w:tcW w:w="1498" w:type="dxa"/>
            <w:gridSpan w:val="8"/>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Δεν ξέρω</w:t>
            </w:r>
          </w:p>
        </w:tc>
        <w:tc>
          <w:tcPr>
            <w:tcW w:w="1306" w:type="dxa"/>
            <w:gridSpan w:val="7"/>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17 (70,8%)</w:t>
            </w:r>
          </w:p>
        </w:tc>
        <w:tc>
          <w:tcPr>
            <w:tcW w:w="1318" w:type="dxa"/>
            <w:gridSpan w:val="8"/>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18 (75,0%)</w:t>
            </w:r>
          </w:p>
        </w:tc>
        <w:tc>
          <w:tcPr>
            <w:tcW w:w="1163" w:type="dxa"/>
            <w:gridSpan w:val="7"/>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c>
          <w:tcPr>
            <w:tcW w:w="1065" w:type="dxa"/>
            <w:gridSpan w:val="7"/>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r>
      <w:tr w:rsidR="008B76D5" w:rsidRPr="00872FD2" w:rsidTr="00F27AC3">
        <w:trPr>
          <w:cnfStyle w:val="000000010000"/>
          <w:jc w:val="center"/>
        </w:trPr>
        <w:tc>
          <w:tcPr>
            <w:tcW w:w="9358" w:type="dxa"/>
            <w:gridSpan w:val="40"/>
          </w:tcPr>
          <w:p w:rsidR="008B76D5" w:rsidRPr="00872FD2" w:rsidRDefault="008B76D5" w:rsidP="004B1F82">
            <w:pPr>
              <w:spacing w:after="0" w:line="360" w:lineRule="auto"/>
              <w:rPr>
                <w:rFonts w:asciiTheme="minorHAnsi" w:eastAsiaTheme="minorHAnsi" w:hAnsiTheme="minorHAnsi" w:cstheme="minorBidi"/>
                <w:i/>
                <w:color w:val="000000"/>
                <w:lang w:val="en-US"/>
              </w:rPr>
            </w:pPr>
            <w:r w:rsidRPr="00872FD2">
              <w:rPr>
                <w:rFonts w:asciiTheme="minorHAnsi" w:eastAsiaTheme="minorHAnsi" w:hAnsiTheme="minorHAnsi" w:cstheme="minorBidi"/>
                <w:i/>
                <w:color w:val="000000"/>
                <w:lang w:val="en-US"/>
              </w:rPr>
              <w:t>McNemar</w:t>
            </w:r>
            <w:r w:rsidRPr="00872FD2">
              <w:rPr>
                <w:rFonts w:asciiTheme="minorHAnsi" w:eastAsiaTheme="minorHAnsi" w:hAnsiTheme="minorHAnsi" w:cstheme="minorBidi"/>
                <w:i/>
                <w:color w:val="000000"/>
              </w:rPr>
              <w:t xml:space="preserve"> </w:t>
            </w:r>
            <w:r w:rsidRPr="00872FD2">
              <w:rPr>
                <w:rFonts w:asciiTheme="minorHAnsi" w:eastAsiaTheme="minorHAnsi" w:hAnsiTheme="minorHAnsi" w:cstheme="minorBidi"/>
                <w:i/>
                <w:color w:val="000000"/>
                <w:lang w:val="en-US"/>
              </w:rPr>
              <w:t>test</w:t>
            </w:r>
          </w:p>
        </w:tc>
      </w:tr>
      <w:tr w:rsidR="008B76D5" w:rsidRPr="00872FD2" w:rsidTr="00F27AC3">
        <w:trPr>
          <w:gridAfter w:val="1"/>
          <w:cnfStyle w:val="000000100000"/>
          <w:wAfter w:w="6" w:type="dxa"/>
          <w:jc w:val="center"/>
        </w:trPr>
        <w:tc>
          <w:tcPr>
            <w:tcW w:w="3008" w:type="dxa"/>
            <w:gridSpan w:val="3"/>
            <w:vMerge w:val="restart"/>
          </w:tcPr>
          <w:p w:rsidR="008B76D5" w:rsidRPr="00872FD2" w:rsidRDefault="008B76D5"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 xml:space="preserve">Στη συνήθη διαδικασία για τη Συνεχή Φορητή Περιτοναϊκή Κάθαρση, το διάλυμα εισάγεται στην περιτοναϊκή κοιλότητα </w:t>
            </w:r>
            <w:r w:rsidR="00B0560D">
              <w:rPr>
                <w:rFonts w:asciiTheme="minorHAnsi" w:eastAsiaTheme="minorHAnsi" w:hAnsiTheme="minorHAnsi" w:cstheme="minorBidi"/>
                <w:color w:val="000000"/>
              </w:rPr>
              <w:t>του ασθενούς</w:t>
            </w:r>
            <w:r w:rsidRPr="00872FD2">
              <w:rPr>
                <w:rFonts w:asciiTheme="minorHAnsi" w:eastAsiaTheme="minorHAnsi" w:hAnsiTheme="minorHAnsi" w:cstheme="minorBidi"/>
                <w:color w:val="000000"/>
              </w:rPr>
              <w:t xml:space="preserve"> μέσω ενός εμφυτευμένου καθετήρα λίγο κάτω από τον ομφαλό. Μετά, το υγρό του διαλύματος:</w:t>
            </w:r>
          </w:p>
        </w:tc>
        <w:tc>
          <w:tcPr>
            <w:tcW w:w="1813" w:type="dxa"/>
            <w:gridSpan w:val="13"/>
          </w:tcPr>
          <w:p w:rsidR="008B76D5" w:rsidRPr="00872FD2" w:rsidRDefault="008B76D5" w:rsidP="004B1F82">
            <w:pPr>
              <w:spacing w:after="0" w:line="360" w:lineRule="auto"/>
              <w:rPr>
                <w:rFonts w:asciiTheme="minorHAnsi" w:eastAsiaTheme="minorHAnsi" w:hAnsiTheme="minorHAnsi" w:cstheme="minorBidi"/>
                <w:color w:val="000000"/>
              </w:rPr>
            </w:pPr>
            <w:r w:rsidRPr="00872FD2">
              <w:rPr>
                <w:rFonts w:asciiTheme="minorHAnsi" w:eastAsiaTheme="minorHAnsi" w:hAnsiTheme="minorHAnsi" w:cstheme="minorBidi"/>
                <w:color w:val="000000"/>
              </w:rPr>
              <w:t>Παραμένει στην περιτοναϊκή κοιλότητα για αρκετές ώρες και μετά παροχετεύεται (απομακρύνεται)</w:t>
            </w:r>
          </w:p>
        </w:tc>
        <w:tc>
          <w:tcPr>
            <w:tcW w:w="1288" w:type="dxa"/>
            <w:gridSpan w:val="8"/>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6 (25,0%)</w:t>
            </w:r>
          </w:p>
        </w:tc>
        <w:tc>
          <w:tcPr>
            <w:tcW w:w="1381" w:type="dxa"/>
            <w:gridSpan w:val="7"/>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7 (29,2%)</w:t>
            </w:r>
          </w:p>
        </w:tc>
        <w:tc>
          <w:tcPr>
            <w:tcW w:w="1051" w:type="dxa"/>
            <w:gridSpan w:val="5"/>
            <w:vMerge w:val="restart"/>
          </w:tcPr>
          <w:p w:rsidR="008B76D5" w:rsidRPr="00872FD2" w:rsidRDefault="008B76D5"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0,333</w:t>
            </w:r>
          </w:p>
        </w:tc>
        <w:tc>
          <w:tcPr>
            <w:tcW w:w="811" w:type="dxa"/>
            <w:gridSpan w:val="3"/>
            <w:vMerge w:val="restart"/>
          </w:tcPr>
          <w:p w:rsidR="008B76D5" w:rsidRPr="00872FD2" w:rsidRDefault="008B76D5" w:rsidP="004B1F82">
            <w:pPr>
              <w:spacing w:after="0" w:line="360" w:lineRule="auto"/>
              <w:jc w:val="center"/>
              <w:rPr>
                <w:rFonts w:asciiTheme="minorHAnsi" w:eastAsiaTheme="minorHAnsi" w:hAnsiTheme="minorHAnsi" w:cstheme="minorBidi"/>
                <w:color w:val="000000"/>
                <w:lang w:val="en-US"/>
              </w:rPr>
            </w:pPr>
            <w:r w:rsidRPr="00872FD2">
              <w:rPr>
                <w:rFonts w:asciiTheme="minorHAnsi" w:eastAsiaTheme="minorHAnsi" w:hAnsiTheme="minorHAnsi" w:cstheme="minorBidi"/>
                <w:color w:val="000000"/>
                <w:lang w:val="en-US"/>
              </w:rPr>
              <w:t>1,000</w:t>
            </w:r>
          </w:p>
        </w:tc>
      </w:tr>
      <w:tr w:rsidR="008B76D5" w:rsidRPr="00872FD2" w:rsidTr="00F27AC3">
        <w:trPr>
          <w:gridAfter w:val="1"/>
          <w:cnfStyle w:val="000000010000"/>
          <w:wAfter w:w="6" w:type="dxa"/>
          <w:jc w:val="center"/>
        </w:trPr>
        <w:tc>
          <w:tcPr>
            <w:tcW w:w="3008" w:type="dxa"/>
            <w:gridSpan w:val="3"/>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c>
          <w:tcPr>
            <w:tcW w:w="1813" w:type="dxa"/>
            <w:gridSpan w:val="13"/>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Δεν ξέρω</w:t>
            </w:r>
          </w:p>
        </w:tc>
        <w:tc>
          <w:tcPr>
            <w:tcW w:w="1288" w:type="dxa"/>
            <w:gridSpan w:val="8"/>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18 (75,0%)</w:t>
            </w:r>
          </w:p>
        </w:tc>
        <w:tc>
          <w:tcPr>
            <w:tcW w:w="1381" w:type="dxa"/>
            <w:gridSpan w:val="7"/>
          </w:tcPr>
          <w:p w:rsidR="008B76D5" w:rsidRPr="00872FD2" w:rsidRDefault="008B76D5" w:rsidP="004B1F82">
            <w:pPr>
              <w:spacing w:after="0" w:line="360" w:lineRule="auto"/>
              <w:jc w:val="center"/>
              <w:rPr>
                <w:rFonts w:asciiTheme="minorHAnsi" w:eastAsiaTheme="minorHAnsi" w:hAnsiTheme="minorHAnsi" w:cstheme="minorBidi"/>
                <w:color w:val="000000"/>
              </w:rPr>
            </w:pPr>
            <w:r w:rsidRPr="00872FD2">
              <w:rPr>
                <w:rFonts w:asciiTheme="minorHAnsi" w:eastAsiaTheme="minorHAnsi" w:hAnsiTheme="minorHAnsi" w:cstheme="minorBidi"/>
                <w:color w:val="000000"/>
              </w:rPr>
              <w:t>17 (70,8%)</w:t>
            </w:r>
          </w:p>
        </w:tc>
        <w:tc>
          <w:tcPr>
            <w:tcW w:w="1051" w:type="dxa"/>
            <w:gridSpan w:val="5"/>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c>
          <w:tcPr>
            <w:tcW w:w="811" w:type="dxa"/>
            <w:gridSpan w:val="3"/>
            <w:vMerge/>
          </w:tcPr>
          <w:p w:rsidR="008B76D5" w:rsidRPr="00872FD2" w:rsidRDefault="008B76D5" w:rsidP="004B1F82">
            <w:pPr>
              <w:spacing w:after="0" w:line="360" w:lineRule="auto"/>
              <w:jc w:val="center"/>
              <w:rPr>
                <w:rFonts w:asciiTheme="minorHAnsi" w:eastAsiaTheme="minorHAnsi" w:hAnsiTheme="minorHAnsi" w:cstheme="minorBidi"/>
                <w:color w:val="000000"/>
              </w:rPr>
            </w:pPr>
          </w:p>
        </w:tc>
      </w:tr>
      <w:tr w:rsidR="008B76D5" w:rsidRPr="00872FD2" w:rsidTr="00F27AC3">
        <w:trPr>
          <w:gridAfter w:val="1"/>
          <w:cnfStyle w:val="000000100000"/>
          <w:wAfter w:w="6" w:type="dxa"/>
          <w:jc w:val="center"/>
        </w:trPr>
        <w:tc>
          <w:tcPr>
            <w:tcW w:w="9352" w:type="dxa"/>
            <w:gridSpan w:val="39"/>
            <w:shd w:val="clear" w:color="auto" w:fill="FFFFFF" w:themeFill="background1"/>
          </w:tcPr>
          <w:p w:rsidR="008B76D5" w:rsidRPr="00872FD2" w:rsidRDefault="008B76D5" w:rsidP="001B63BB">
            <w:pPr>
              <w:spacing w:after="0"/>
              <w:rPr>
                <w:rFonts w:asciiTheme="minorHAnsi" w:eastAsiaTheme="minorHAnsi" w:hAnsiTheme="minorHAnsi" w:cstheme="minorBidi"/>
                <w:i/>
                <w:color w:val="000000"/>
                <w:lang w:val="en-US"/>
              </w:rPr>
            </w:pPr>
            <w:r w:rsidRPr="00872FD2">
              <w:rPr>
                <w:rFonts w:asciiTheme="minorHAnsi" w:eastAsiaTheme="minorHAnsi" w:hAnsiTheme="minorHAnsi" w:cstheme="minorBidi"/>
                <w:i/>
                <w:color w:val="000000"/>
                <w:lang w:val="en-US"/>
              </w:rPr>
              <w:t>McNemar</w:t>
            </w:r>
            <w:r w:rsidRPr="00872FD2">
              <w:rPr>
                <w:rFonts w:asciiTheme="minorHAnsi" w:eastAsiaTheme="minorHAnsi" w:hAnsiTheme="minorHAnsi" w:cstheme="minorBidi"/>
                <w:i/>
                <w:color w:val="000000"/>
              </w:rPr>
              <w:t xml:space="preserve"> </w:t>
            </w:r>
            <w:r w:rsidRPr="00872FD2">
              <w:rPr>
                <w:rFonts w:asciiTheme="minorHAnsi" w:eastAsiaTheme="minorHAnsi" w:hAnsiTheme="minorHAnsi" w:cstheme="minorBidi"/>
                <w:i/>
                <w:color w:val="000000"/>
                <w:lang w:val="en-US"/>
              </w:rPr>
              <w:t>test</w:t>
            </w:r>
          </w:p>
        </w:tc>
      </w:tr>
    </w:tbl>
    <w:p w:rsidR="004D1E8A" w:rsidRDefault="004D1E8A" w:rsidP="005A464E">
      <w:pPr>
        <w:spacing w:after="0" w:line="360" w:lineRule="auto"/>
        <w:rPr>
          <w:sz w:val="20"/>
          <w:szCs w:val="20"/>
        </w:rPr>
      </w:pPr>
    </w:p>
    <w:p w:rsidR="004D1E8A" w:rsidRDefault="004D1E8A" w:rsidP="005A464E">
      <w:pPr>
        <w:spacing w:after="0" w:line="360" w:lineRule="auto"/>
        <w:rPr>
          <w:sz w:val="20"/>
          <w:szCs w:val="20"/>
        </w:rPr>
      </w:pPr>
    </w:p>
    <w:p w:rsidR="005A02A5" w:rsidRPr="0008037E" w:rsidRDefault="005A02A5" w:rsidP="00C2696C">
      <w:pPr>
        <w:pStyle w:val="a5"/>
        <w:numPr>
          <w:ilvl w:val="0"/>
          <w:numId w:val="121"/>
        </w:numPr>
        <w:spacing w:line="360" w:lineRule="auto"/>
        <w:rPr>
          <w:i/>
          <w:sz w:val="24"/>
          <w:szCs w:val="24"/>
        </w:rPr>
      </w:pPr>
      <w:r w:rsidRPr="0008037E">
        <w:rPr>
          <w:i/>
          <w:sz w:val="24"/>
          <w:szCs w:val="24"/>
        </w:rPr>
        <w:t xml:space="preserve">Μελέτη αξιοπιστίας </w:t>
      </w:r>
      <w:r w:rsidR="00F27AC3">
        <w:rPr>
          <w:i/>
          <w:sz w:val="24"/>
          <w:szCs w:val="24"/>
        </w:rPr>
        <w:t xml:space="preserve">και εγκυρόττηας </w:t>
      </w:r>
      <w:r w:rsidRPr="0008037E">
        <w:rPr>
          <w:i/>
          <w:sz w:val="24"/>
          <w:szCs w:val="24"/>
        </w:rPr>
        <w:t>του ερωτηματολογίου γνώσεων στο σύνολο του δείγματος (Ν=321)</w:t>
      </w:r>
    </w:p>
    <w:p w:rsidR="00012754" w:rsidRDefault="005A02A5" w:rsidP="0008037E">
      <w:pPr>
        <w:pStyle w:val="nouk"/>
      </w:pPr>
      <w:r w:rsidRPr="005A464E">
        <w:t>Η βαθμολογία γνώσεων κυμαινόταν από 2 έως 24 μονάδες με τη μέση τιμή να είναι 13,1 μονάδες (</w:t>
      </w:r>
      <w:r w:rsidR="00D225F5" w:rsidRPr="005A464E">
        <w:t>ΤΑ</w:t>
      </w:r>
      <w:r w:rsidRPr="005A464E">
        <w:t>=5,0 μονάδες). Στον ακόλουθο πίνακα</w:t>
      </w:r>
      <w:r w:rsidR="005D2DE3">
        <w:t xml:space="preserve"> (6</w:t>
      </w:r>
      <w:r w:rsidR="006D13A7" w:rsidRPr="005A464E">
        <w:t>)</w:t>
      </w:r>
      <w:r w:rsidRPr="005A464E">
        <w:t xml:space="preserve"> περιγράφεται ο συντελεστής </w:t>
      </w:r>
      <w:r w:rsidRPr="005A464E">
        <w:rPr>
          <w:lang w:val="en-US"/>
        </w:rPr>
        <w:t>Cronbach</w:t>
      </w:r>
      <w:r w:rsidRPr="005A464E">
        <w:t>'</w:t>
      </w:r>
      <w:r w:rsidRPr="005A464E">
        <w:rPr>
          <w:lang w:val="en-US"/>
        </w:rPr>
        <w:t>s</w:t>
      </w:r>
      <w:r w:rsidRPr="005A464E">
        <w:t xml:space="preserve"> </w:t>
      </w:r>
      <w:r w:rsidR="00872CE5">
        <w:rPr>
          <w:lang w:val="en-US"/>
        </w:rPr>
        <w:t>Alpha</w:t>
      </w:r>
      <w:r w:rsidRPr="005A464E">
        <w:t xml:space="preserve"> μετά από αφαίρεση κάθε ερώτησης καθώς και οι συντελεστές συσχέτι</w:t>
      </w:r>
      <w:r w:rsidR="009D0526">
        <w:t>σης κάθε ερώτησης με τη συνολική</w:t>
      </w:r>
      <w:r w:rsidRPr="005A464E">
        <w:t xml:space="preserve"> </w:t>
      </w:r>
      <w:r w:rsidR="009D0526">
        <w:t>βαθμολογία.</w:t>
      </w:r>
    </w:p>
    <w:p w:rsidR="0008037E" w:rsidRPr="0008037E" w:rsidRDefault="0008037E" w:rsidP="0008037E">
      <w:pPr>
        <w:pStyle w:val="nouk"/>
      </w:pPr>
    </w:p>
    <w:p w:rsidR="00012754" w:rsidRPr="00F918EC" w:rsidRDefault="005D2DE3" w:rsidP="00012754">
      <w:pPr>
        <w:pStyle w:val="nouk"/>
        <w:spacing w:line="480" w:lineRule="auto"/>
        <w:rPr>
          <w:rFonts w:asciiTheme="minorHAnsi" w:eastAsiaTheme="minorHAnsi" w:hAnsiTheme="minorHAnsi" w:cstheme="minorHAnsi"/>
          <w:color w:val="000000"/>
        </w:rPr>
      </w:pPr>
      <w:r>
        <w:rPr>
          <w:rFonts w:asciiTheme="minorHAnsi" w:eastAsiaTheme="minorHAnsi" w:hAnsiTheme="minorHAnsi" w:cstheme="minorHAnsi"/>
          <w:color w:val="000000"/>
        </w:rPr>
        <w:t>Πίνακας 6</w:t>
      </w:r>
    </w:p>
    <w:p w:rsidR="006D13A7" w:rsidRPr="0008037E" w:rsidRDefault="00012754" w:rsidP="005A464E">
      <w:pPr>
        <w:pStyle w:val="nouk"/>
      </w:pPr>
      <w:r w:rsidRPr="0008037E">
        <w:rPr>
          <w:rFonts w:asciiTheme="minorHAnsi" w:eastAsiaTheme="minorHAnsi" w:hAnsiTheme="minorHAnsi" w:cstheme="minorHAnsi"/>
          <w:i/>
          <w:color w:val="000000"/>
        </w:rPr>
        <w:t xml:space="preserve">Συντελεστής </w:t>
      </w:r>
      <w:r w:rsidRPr="0008037E">
        <w:rPr>
          <w:rFonts w:asciiTheme="minorHAnsi" w:eastAsiaTheme="minorHAnsi" w:hAnsiTheme="minorHAnsi" w:cstheme="minorHAnsi"/>
          <w:i/>
          <w:color w:val="000000"/>
          <w:lang w:val="en-US"/>
        </w:rPr>
        <w:t>Cronbach</w:t>
      </w:r>
      <w:r w:rsidRPr="0008037E">
        <w:rPr>
          <w:rFonts w:asciiTheme="minorHAnsi" w:eastAsiaTheme="minorHAnsi" w:hAnsiTheme="minorHAnsi" w:cstheme="minorHAnsi"/>
          <w:i/>
          <w:color w:val="000000"/>
        </w:rPr>
        <w:t>'</w:t>
      </w:r>
      <w:r w:rsidRPr="0008037E">
        <w:rPr>
          <w:rFonts w:asciiTheme="minorHAnsi" w:eastAsiaTheme="minorHAnsi" w:hAnsiTheme="minorHAnsi" w:cstheme="minorHAnsi"/>
          <w:i/>
          <w:color w:val="000000"/>
          <w:lang w:val="en-US"/>
        </w:rPr>
        <w:t>s</w:t>
      </w:r>
      <w:r w:rsidRPr="0008037E">
        <w:rPr>
          <w:rFonts w:asciiTheme="minorHAnsi" w:eastAsiaTheme="minorHAnsi" w:hAnsiTheme="minorHAnsi" w:cstheme="minorHAnsi"/>
          <w:i/>
          <w:color w:val="000000"/>
        </w:rPr>
        <w:t xml:space="preserve"> </w:t>
      </w:r>
      <w:r w:rsidRPr="0008037E">
        <w:rPr>
          <w:rFonts w:asciiTheme="minorHAnsi" w:eastAsiaTheme="minorHAnsi" w:hAnsiTheme="minorHAnsi" w:cstheme="minorHAnsi"/>
          <w:i/>
          <w:color w:val="000000"/>
          <w:lang w:val="en-US"/>
        </w:rPr>
        <w:t>Alpha</w:t>
      </w:r>
      <w:r w:rsidRPr="0008037E">
        <w:rPr>
          <w:rFonts w:asciiTheme="minorHAnsi" w:eastAsiaTheme="minorHAnsi" w:hAnsiTheme="minorHAnsi" w:cstheme="minorHAnsi"/>
          <w:i/>
          <w:color w:val="000000"/>
        </w:rPr>
        <w:t xml:space="preserve"> μετά από αφαίρεση κάθε ερώτησης και οι συντελεστές συσχέτισης κάθε ερώτησης με το συνολικό σκορ</w:t>
      </w:r>
    </w:p>
    <w:tbl>
      <w:tblPr>
        <w:tblStyle w:val="-41"/>
        <w:tblW w:w="8109" w:type="dxa"/>
        <w:jc w:val="center"/>
        <w:tblLayout w:type="fixed"/>
        <w:tblLook w:val="0400"/>
      </w:tblPr>
      <w:tblGrid>
        <w:gridCol w:w="3235"/>
        <w:gridCol w:w="1455"/>
        <w:gridCol w:w="1455"/>
        <w:gridCol w:w="1964"/>
      </w:tblGrid>
      <w:tr w:rsidR="005A02A5" w:rsidRPr="00A758CE" w:rsidTr="00F27AC3">
        <w:trPr>
          <w:cnfStyle w:val="000000100000"/>
          <w:jc w:val="center"/>
        </w:trPr>
        <w:tc>
          <w:tcPr>
            <w:tcW w:w="3235" w:type="dxa"/>
            <w:shd w:val="clear" w:color="auto" w:fill="auto"/>
          </w:tcPr>
          <w:p w:rsidR="005A02A5" w:rsidRPr="00872FD2" w:rsidRDefault="005A02A5" w:rsidP="00872FD2">
            <w:pPr>
              <w:spacing w:after="0" w:line="360" w:lineRule="auto"/>
              <w:rPr>
                <w:rFonts w:asciiTheme="minorHAnsi" w:eastAsiaTheme="minorHAnsi" w:hAnsiTheme="minorHAnsi"/>
                <w:color w:val="000000"/>
              </w:rPr>
            </w:pPr>
          </w:p>
        </w:tc>
        <w:tc>
          <w:tcPr>
            <w:tcW w:w="1455" w:type="dxa"/>
          </w:tcPr>
          <w:p w:rsidR="005A02A5" w:rsidRPr="00A36843" w:rsidRDefault="00A36843" w:rsidP="00872FD2">
            <w:pPr>
              <w:autoSpaceDE w:val="0"/>
              <w:autoSpaceDN w:val="0"/>
              <w:adjustRightInd w:val="0"/>
              <w:spacing w:after="0" w:line="360" w:lineRule="auto"/>
              <w:ind w:left="60" w:right="60"/>
              <w:jc w:val="center"/>
              <w:rPr>
                <w:rFonts w:asciiTheme="minorHAnsi" w:eastAsiaTheme="minorHAnsi" w:hAnsiTheme="minorHAnsi" w:cs="Arial"/>
                <w:color w:val="000000"/>
                <w:highlight w:val="yellow"/>
              </w:rPr>
            </w:pPr>
            <w:r w:rsidRPr="00A36843">
              <w:rPr>
                <w:rFonts w:asciiTheme="minorHAnsi" w:eastAsiaTheme="minorHAnsi" w:hAnsiTheme="minorHAnsi" w:cs="Arial"/>
                <w:color w:val="000000"/>
              </w:rPr>
              <w:t>Μέση τιμή</w:t>
            </w:r>
            <w:r w:rsidR="005A02A5" w:rsidRPr="00A36843">
              <w:rPr>
                <w:rFonts w:asciiTheme="minorHAnsi" w:eastAsiaTheme="minorHAnsi" w:hAnsiTheme="minorHAnsi" w:cs="Arial"/>
                <w:color w:val="000000"/>
              </w:rPr>
              <w:t xml:space="preserve"> </w:t>
            </w:r>
            <w:r w:rsidRPr="00A758CE">
              <w:rPr>
                <w:rFonts w:asciiTheme="minorHAnsi" w:eastAsiaTheme="minorHAnsi" w:hAnsiTheme="minorHAnsi" w:cs="Arial"/>
                <w:color w:val="000000"/>
              </w:rPr>
              <w:t>αν η ερώτηση διαγραφεί</w:t>
            </w:r>
          </w:p>
        </w:tc>
        <w:tc>
          <w:tcPr>
            <w:tcW w:w="1455" w:type="dxa"/>
          </w:tcPr>
          <w:p w:rsidR="005A02A5" w:rsidRPr="005C6ABA" w:rsidRDefault="00A758CE" w:rsidP="00A758CE">
            <w:pPr>
              <w:autoSpaceDE w:val="0"/>
              <w:autoSpaceDN w:val="0"/>
              <w:adjustRightInd w:val="0"/>
              <w:spacing w:after="0" w:line="360" w:lineRule="auto"/>
              <w:ind w:left="60" w:right="60"/>
              <w:rPr>
                <w:rFonts w:asciiTheme="minorHAnsi" w:eastAsiaTheme="minorHAnsi" w:hAnsiTheme="minorHAnsi" w:cs="Arial"/>
                <w:color w:val="000000"/>
                <w:highlight w:val="yellow"/>
              </w:rPr>
            </w:pPr>
            <w:r>
              <w:t>Σ</w:t>
            </w:r>
            <w:r w:rsidR="00A36843">
              <w:t>υντελεστή</w:t>
            </w:r>
            <w:r w:rsidRPr="005A464E">
              <w:t xml:space="preserve">ς συσχέτισης κάθε ερώτησης με το συνολικό </w:t>
            </w:r>
            <w:r>
              <w:t>σκορ</w:t>
            </w:r>
            <w:r w:rsidRPr="005A464E">
              <w:t xml:space="preserve"> </w:t>
            </w:r>
          </w:p>
        </w:tc>
        <w:tc>
          <w:tcPr>
            <w:tcW w:w="1964" w:type="dxa"/>
          </w:tcPr>
          <w:p w:rsidR="005A02A5" w:rsidRPr="00A758CE" w:rsidRDefault="00A758CE" w:rsidP="00A758CE">
            <w:pPr>
              <w:autoSpaceDE w:val="0"/>
              <w:autoSpaceDN w:val="0"/>
              <w:adjustRightInd w:val="0"/>
              <w:spacing w:after="0" w:line="360" w:lineRule="auto"/>
              <w:ind w:left="60" w:right="60"/>
              <w:rPr>
                <w:rFonts w:asciiTheme="minorHAnsi" w:eastAsiaTheme="minorHAnsi" w:hAnsiTheme="minorHAnsi" w:cs="Arial"/>
                <w:color w:val="000000"/>
              </w:rPr>
            </w:pPr>
            <w:r w:rsidRPr="00A758CE">
              <w:rPr>
                <w:rFonts w:asciiTheme="minorHAnsi" w:eastAsiaTheme="minorHAnsi" w:hAnsiTheme="minorHAnsi" w:cs="Arial"/>
                <w:color w:val="000000"/>
                <w:lang w:val="en-US"/>
              </w:rPr>
              <w:t>Cronbach</w:t>
            </w:r>
            <w:r w:rsidRPr="00A758CE">
              <w:rPr>
                <w:rFonts w:asciiTheme="minorHAnsi" w:eastAsiaTheme="minorHAnsi" w:hAnsiTheme="minorHAnsi" w:cs="Arial"/>
                <w:color w:val="000000"/>
              </w:rPr>
              <w:t>'</w:t>
            </w:r>
            <w:r w:rsidRPr="00A758CE">
              <w:rPr>
                <w:rFonts w:asciiTheme="minorHAnsi" w:eastAsiaTheme="minorHAnsi" w:hAnsiTheme="minorHAnsi" w:cs="Arial"/>
                <w:color w:val="000000"/>
                <w:lang w:val="en-US"/>
              </w:rPr>
              <w:t>s</w:t>
            </w:r>
            <w:r w:rsidRPr="00A758CE">
              <w:rPr>
                <w:rFonts w:asciiTheme="minorHAnsi" w:eastAsiaTheme="minorHAnsi" w:hAnsiTheme="minorHAnsi" w:cs="Arial"/>
                <w:color w:val="000000"/>
              </w:rPr>
              <w:t xml:space="preserve"> </w:t>
            </w:r>
            <w:r w:rsidRPr="00A758CE">
              <w:rPr>
                <w:rFonts w:asciiTheme="minorHAnsi" w:eastAsiaTheme="minorHAnsi" w:hAnsiTheme="minorHAnsi" w:cs="Arial"/>
                <w:color w:val="000000"/>
                <w:lang w:val="en-US"/>
              </w:rPr>
              <w:t>Alpha</w:t>
            </w:r>
            <w:r w:rsidRPr="00A758CE">
              <w:rPr>
                <w:rFonts w:asciiTheme="minorHAnsi" w:eastAsiaTheme="minorHAnsi" w:hAnsiTheme="minorHAnsi" w:cs="Arial"/>
                <w:color w:val="000000"/>
              </w:rPr>
              <w:t xml:space="preserve"> αν η ερώτηση διαγραφεί</w:t>
            </w:r>
          </w:p>
        </w:tc>
      </w:tr>
      <w:tr w:rsidR="005A02A5" w:rsidRPr="00872FD2" w:rsidTr="00F27AC3">
        <w:trPr>
          <w:cnfStyle w:val="00000001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gn_a_prin_1</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12,1414</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,317</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,855</w:t>
            </w:r>
          </w:p>
        </w:tc>
      </w:tr>
      <w:tr w:rsidR="005A02A5" w:rsidRPr="00872FD2" w:rsidTr="00F27AC3">
        <w:trPr>
          <w:cnfStyle w:val="00000010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gn_a_prin_5</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12,9966</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,455</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,848</w:t>
            </w:r>
          </w:p>
        </w:tc>
      </w:tr>
      <w:tr w:rsidR="005A02A5" w:rsidRPr="00872FD2" w:rsidTr="00F27AC3">
        <w:trPr>
          <w:cnfStyle w:val="00000001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gn_a_prin_6</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12,9798</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,479</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,847</w:t>
            </w:r>
          </w:p>
        </w:tc>
      </w:tr>
      <w:tr w:rsidR="005A02A5" w:rsidRPr="00872FD2" w:rsidTr="00F27AC3">
        <w:trPr>
          <w:cnfStyle w:val="00000010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gn_a_prin_12</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12,9360</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,406</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,848</w:t>
            </w:r>
          </w:p>
        </w:tc>
      </w:tr>
      <w:tr w:rsidR="005A02A5" w:rsidRPr="00872FD2" w:rsidTr="00F27AC3">
        <w:trPr>
          <w:cnfStyle w:val="00000001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gn_b_prin_3</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12,7441</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,641</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,840</w:t>
            </w:r>
          </w:p>
        </w:tc>
      </w:tr>
      <w:tr w:rsidR="005A02A5" w:rsidRPr="00872FD2" w:rsidTr="00F27AC3">
        <w:trPr>
          <w:cnfStyle w:val="00000010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gn_b_prin_8</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12,7744</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,610</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,841</w:t>
            </w:r>
          </w:p>
        </w:tc>
      </w:tr>
      <w:tr w:rsidR="005A02A5" w:rsidRPr="00872FD2" w:rsidTr="00F27AC3">
        <w:trPr>
          <w:cnfStyle w:val="00000001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gn_b_prin_10</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12,6970</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,632</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,840</w:t>
            </w:r>
          </w:p>
        </w:tc>
      </w:tr>
      <w:tr w:rsidR="005A02A5" w:rsidRPr="00872FD2" w:rsidTr="00F27AC3">
        <w:trPr>
          <w:cnfStyle w:val="00000010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gn_b_prin_13</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12,9327</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,540</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,845</w:t>
            </w:r>
          </w:p>
        </w:tc>
      </w:tr>
      <w:tr w:rsidR="005A02A5" w:rsidRPr="00872FD2" w:rsidTr="00F27AC3">
        <w:trPr>
          <w:cnfStyle w:val="00000001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gn_a_prin_7</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12,4714</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,347</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,854</w:t>
            </w:r>
          </w:p>
        </w:tc>
      </w:tr>
      <w:tr w:rsidR="005A02A5" w:rsidRPr="00872FD2" w:rsidTr="00F27AC3">
        <w:trPr>
          <w:cnfStyle w:val="00000010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gn_a_prin_8</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12,1549</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,340</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,854</w:t>
            </w:r>
          </w:p>
        </w:tc>
      </w:tr>
      <w:tr w:rsidR="005A02A5" w:rsidRPr="00872FD2" w:rsidTr="00F27AC3">
        <w:trPr>
          <w:cnfStyle w:val="00000001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gn_a_prin_10</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12,8047</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,426</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,848</w:t>
            </w:r>
          </w:p>
        </w:tc>
      </w:tr>
      <w:tr w:rsidR="005A02A5" w:rsidRPr="00872FD2" w:rsidTr="00F27AC3">
        <w:trPr>
          <w:cnfStyle w:val="00000010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gn_b_prin_5</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12,8788</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,583</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,843</w:t>
            </w:r>
          </w:p>
        </w:tc>
      </w:tr>
      <w:tr w:rsidR="005A02A5" w:rsidRPr="00872FD2" w:rsidTr="00F27AC3">
        <w:trPr>
          <w:cnfStyle w:val="00000001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gn_a_prin_4</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12,6263</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,321</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,871</w:t>
            </w:r>
          </w:p>
        </w:tc>
      </w:tr>
      <w:tr w:rsidR="005A02A5" w:rsidRPr="00872FD2" w:rsidTr="00F27AC3">
        <w:trPr>
          <w:cnfStyle w:val="00000010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gn_a_prin_11</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12,8013</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,415</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,848</w:t>
            </w:r>
          </w:p>
        </w:tc>
      </w:tr>
      <w:tr w:rsidR="005A02A5" w:rsidRPr="00872FD2" w:rsidTr="00F27AC3">
        <w:trPr>
          <w:cnfStyle w:val="00000001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gn_a_prin_13</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12,4815</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,533</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,844</w:t>
            </w:r>
          </w:p>
        </w:tc>
      </w:tr>
      <w:tr w:rsidR="005A02A5" w:rsidRPr="00872FD2" w:rsidTr="00F27AC3">
        <w:trPr>
          <w:cnfStyle w:val="00000010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gn_b_prin_7</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12,4007</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,394</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,849</w:t>
            </w:r>
          </w:p>
        </w:tc>
      </w:tr>
      <w:tr w:rsidR="005A02A5" w:rsidRPr="00872FD2" w:rsidTr="00F27AC3">
        <w:trPr>
          <w:cnfStyle w:val="00000001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gn_a_prin_2</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12,2997</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,339</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,850</w:t>
            </w:r>
          </w:p>
        </w:tc>
      </w:tr>
      <w:tr w:rsidR="005A02A5" w:rsidRPr="00872FD2" w:rsidTr="00F27AC3">
        <w:trPr>
          <w:cnfStyle w:val="00000010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gn_a_prin_3</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12,4007</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,370</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,850</w:t>
            </w:r>
          </w:p>
        </w:tc>
      </w:tr>
      <w:tr w:rsidR="005A02A5" w:rsidRPr="00872FD2" w:rsidTr="00F27AC3">
        <w:trPr>
          <w:cnfStyle w:val="00000001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gn_a_prin_9</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12,1347</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,396</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,855</w:t>
            </w:r>
          </w:p>
        </w:tc>
      </w:tr>
      <w:tr w:rsidR="005A02A5" w:rsidRPr="00872FD2" w:rsidTr="00F27AC3">
        <w:trPr>
          <w:cnfStyle w:val="00000010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gn_b_prin_1</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12,1987</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,300</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,851</w:t>
            </w:r>
          </w:p>
        </w:tc>
      </w:tr>
      <w:tr w:rsidR="005A02A5" w:rsidRPr="00872FD2" w:rsidTr="00F27AC3">
        <w:trPr>
          <w:cnfStyle w:val="00000001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gn_b_prin_2</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12,2525</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,403</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,849</w:t>
            </w:r>
          </w:p>
        </w:tc>
      </w:tr>
      <w:tr w:rsidR="005A02A5" w:rsidRPr="00872FD2" w:rsidTr="00F27AC3">
        <w:trPr>
          <w:cnfStyle w:val="00000010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gn_b_prin_4</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12,8586</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,343</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,854</w:t>
            </w:r>
          </w:p>
        </w:tc>
      </w:tr>
      <w:tr w:rsidR="005A02A5" w:rsidRPr="00872FD2" w:rsidTr="00F27AC3">
        <w:trPr>
          <w:cnfStyle w:val="00000001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gn_b_prin_6</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12,7643</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,699</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,837</w:t>
            </w:r>
          </w:p>
        </w:tc>
      </w:tr>
      <w:tr w:rsidR="005A02A5" w:rsidRPr="00872FD2" w:rsidTr="00F27AC3">
        <w:trPr>
          <w:cnfStyle w:val="00000010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gn_b_prin_9</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12,4512</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,440</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,847</w:t>
            </w:r>
          </w:p>
        </w:tc>
      </w:tr>
      <w:tr w:rsidR="005A02A5" w:rsidRPr="00872FD2" w:rsidTr="00F27AC3">
        <w:trPr>
          <w:cnfStyle w:val="00000001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gn_b_prin_11</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12,5825</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,430</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,848</w:t>
            </w:r>
          </w:p>
        </w:tc>
      </w:tr>
      <w:tr w:rsidR="005A02A5" w:rsidRPr="00872FD2" w:rsidTr="00F27AC3">
        <w:trPr>
          <w:cnfStyle w:val="000000100000"/>
          <w:jc w:val="center"/>
        </w:trPr>
        <w:tc>
          <w:tcPr>
            <w:tcW w:w="3235" w:type="dxa"/>
          </w:tcPr>
          <w:p w:rsidR="005A02A5" w:rsidRPr="00872FD2" w:rsidRDefault="005A02A5" w:rsidP="00872FD2">
            <w:pPr>
              <w:autoSpaceDE w:val="0"/>
              <w:autoSpaceDN w:val="0"/>
              <w:adjustRightInd w:val="0"/>
              <w:spacing w:after="0" w:line="360" w:lineRule="auto"/>
              <w:ind w:left="60" w:right="60"/>
              <w:rPr>
                <w:rFonts w:asciiTheme="minorHAnsi" w:eastAsiaTheme="minorHAnsi" w:hAnsiTheme="minorHAnsi" w:cs="Arial"/>
                <w:color w:val="000000"/>
              </w:rPr>
            </w:pPr>
            <w:r w:rsidRPr="00872FD2">
              <w:rPr>
                <w:rFonts w:asciiTheme="minorHAnsi" w:eastAsiaTheme="minorHAnsi" w:hAnsiTheme="minorHAnsi" w:cs="Arial"/>
                <w:color w:val="000000"/>
              </w:rPr>
              <w:t>gn_b_prin_12</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12,8451</w:t>
            </w:r>
          </w:p>
        </w:tc>
        <w:tc>
          <w:tcPr>
            <w:tcW w:w="1455" w:type="dxa"/>
          </w:tcPr>
          <w:p w:rsidR="005A02A5" w:rsidRPr="00872FD2"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872FD2">
              <w:rPr>
                <w:rFonts w:asciiTheme="minorHAnsi" w:eastAsiaTheme="minorHAnsi" w:hAnsiTheme="minorHAnsi" w:cs="Arial"/>
                <w:color w:val="000000"/>
              </w:rPr>
              <w:t>,475</w:t>
            </w:r>
          </w:p>
        </w:tc>
        <w:tc>
          <w:tcPr>
            <w:tcW w:w="1964" w:type="dxa"/>
          </w:tcPr>
          <w:p w:rsidR="005A02A5" w:rsidRPr="00A758CE" w:rsidRDefault="005A02A5" w:rsidP="00872FD2">
            <w:pPr>
              <w:autoSpaceDE w:val="0"/>
              <w:autoSpaceDN w:val="0"/>
              <w:adjustRightInd w:val="0"/>
              <w:spacing w:after="0" w:line="360" w:lineRule="auto"/>
              <w:ind w:left="60" w:right="60"/>
              <w:jc w:val="right"/>
              <w:rPr>
                <w:rFonts w:asciiTheme="minorHAnsi" w:eastAsiaTheme="minorHAnsi" w:hAnsiTheme="minorHAnsi" w:cs="Arial"/>
                <w:color w:val="000000"/>
              </w:rPr>
            </w:pPr>
            <w:r w:rsidRPr="00A758CE">
              <w:rPr>
                <w:rFonts w:asciiTheme="minorHAnsi" w:eastAsiaTheme="minorHAnsi" w:hAnsiTheme="minorHAnsi" w:cs="Arial"/>
                <w:color w:val="000000"/>
              </w:rPr>
              <w:t>,846</w:t>
            </w:r>
          </w:p>
        </w:tc>
      </w:tr>
    </w:tbl>
    <w:p w:rsidR="005A02A5" w:rsidRPr="005A464E" w:rsidRDefault="005A02A5" w:rsidP="005A464E">
      <w:pPr>
        <w:autoSpaceDE w:val="0"/>
        <w:autoSpaceDN w:val="0"/>
        <w:adjustRightInd w:val="0"/>
        <w:spacing w:after="0" w:line="360" w:lineRule="auto"/>
        <w:rPr>
          <w:sz w:val="24"/>
          <w:szCs w:val="24"/>
        </w:rPr>
      </w:pPr>
    </w:p>
    <w:p w:rsidR="005A02A5" w:rsidRPr="005A464E" w:rsidRDefault="005A02A5" w:rsidP="005A464E">
      <w:pPr>
        <w:pStyle w:val="nouk"/>
      </w:pPr>
      <w:r w:rsidRPr="005A464E">
        <w:t>Ο δείκτης</w:t>
      </w:r>
      <w:r w:rsidRPr="005A464E">
        <w:rPr>
          <w:b/>
        </w:rPr>
        <w:t xml:space="preserve"> </w:t>
      </w:r>
      <w:r w:rsidRPr="005A464E">
        <w:rPr>
          <w:lang w:val="en-US"/>
        </w:rPr>
        <w:t>Cronbach</w:t>
      </w:r>
      <w:r w:rsidRPr="005A464E">
        <w:t>'</w:t>
      </w:r>
      <w:r w:rsidRPr="005A464E">
        <w:rPr>
          <w:lang w:val="en-US"/>
        </w:rPr>
        <w:t>s</w:t>
      </w:r>
      <w:r w:rsidRPr="005A464E">
        <w:t xml:space="preserve"> </w:t>
      </w:r>
      <w:r w:rsidR="00872CE5">
        <w:rPr>
          <w:lang w:val="en-US"/>
        </w:rPr>
        <w:t>Alpha</w:t>
      </w:r>
      <w:r w:rsidRPr="005A464E">
        <w:t xml:space="preserve"> ήταν συνολικά ίσος με 0,85 και </w:t>
      </w:r>
      <w:r w:rsidR="006E1FEF" w:rsidRPr="005A464E">
        <w:t xml:space="preserve">πάνω από το αποδεκτό όριο του </w:t>
      </w:r>
      <w:r w:rsidR="00EF6A06">
        <w:t>0,</w:t>
      </w:r>
      <w:r w:rsidRPr="005A464E">
        <w:t xml:space="preserve">7, οπότε υπάρχει αποδεκτή αξιοπιστία. Ακόμα, οι συντελεστές συσχέτισης κάθε ερώτησης με το συνολικό </w:t>
      </w:r>
      <w:r w:rsidR="009D0526">
        <w:t>σκορ</w:t>
      </w:r>
      <w:r w:rsidR="006E1FEF" w:rsidRPr="005A464E">
        <w:t xml:space="preserve"> ήταν υψηλοί και πάνω από </w:t>
      </w:r>
      <w:r w:rsidR="00EF6A06">
        <w:t>0,</w:t>
      </w:r>
      <w:r w:rsidRPr="005A464E">
        <w:t>3.</w:t>
      </w:r>
    </w:p>
    <w:p w:rsidR="005A02A5" w:rsidRPr="005A464E" w:rsidRDefault="005A02A5" w:rsidP="005A464E">
      <w:pPr>
        <w:pStyle w:val="nouk"/>
      </w:pPr>
      <w:r w:rsidRPr="005A464E">
        <w:t xml:space="preserve">Καμιά ερώτηση δεν βρέθηκε να αυξάνει τον </w:t>
      </w:r>
      <w:r w:rsidRPr="005A464E">
        <w:rPr>
          <w:lang w:val="en-US"/>
        </w:rPr>
        <w:t>Cronbach</w:t>
      </w:r>
      <w:r w:rsidRPr="005A464E">
        <w:t>'</w:t>
      </w:r>
      <w:r w:rsidRPr="005A464E">
        <w:rPr>
          <w:lang w:val="en-US"/>
        </w:rPr>
        <w:t>s</w:t>
      </w:r>
      <w:r w:rsidRPr="005A464E">
        <w:t xml:space="preserve"> </w:t>
      </w:r>
      <w:r w:rsidR="00872CE5">
        <w:rPr>
          <w:lang w:val="en-US"/>
        </w:rPr>
        <w:t>Alpha</w:t>
      </w:r>
      <w:r w:rsidRPr="005A464E">
        <w:t xml:space="preserve"> μετά από αφαίρεσή της από το σύνολο που σημαίνει ότι όλες οι ερωτήσεις μετρούν γνώση με αξιοπιστία.</w:t>
      </w:r>
    </w:p>
    <w:p w:rsidR="00821124" w:rsidRPr="00D87689" w:rsidRDefault="00821124" w:rsidP="00821124">
      <w:pPr>
        <w:pStyle w:val="nouk"/>
      </w:pPr>
      <w:r w:rsidRPr="005A464E">
        <w:t xml:space="preserve">Το ερωτηματολόγιο γνώσεων βρέθηκε να συσχετίζεται τόσο με την κλίμακα συμμόρφωσης (συνολική </w:t>
      </w:r>
      <w:r>
        <w:rPr>
          <w:rFonts w:eastAsia="Times New Roman" w:cs="Times New Roman"/>
        </w:rPr>
        <w:t>κ</w:t>
      </w:r>
      <w:r w:rsidRPr="005A464E">
        <w:rPr>
          <w:rFonts w:eastAsia="Times New Roman" w:cs="Times New Roman"/>
        </w:rPr>
        <w:t>λίμακα συμμόρ</w:t>
      </w:r>
      <w:r>
        <w:rPr>
          <w:rFonts w:eastAsia="Times New Roman" w:cs="Times New Roman"/>
        </w:rPr>
        <w:t>φωσης, Φαρμακευτική αγωγή, Δίαι</w:t>
      </w:r>
      <w:r w:rsidRPr="005A464E">
        <w:rPr>
          <w:rFonts w:eastAsia="Times New Roman" w:cs="Times New Roman"/>
        </w:rPr>
        <w:t>τα/Υγρά</w:t>
      </w:r>
      <w:r w:rsidRPr="005A464E">
        <w:t>), όσο και με την ποιότητα ζωής (</w:t>
      </w:r>
      <w:r w:rsidRPr="005A464E">
        <w:rPr>
          <w:rFonts w:eastAsia="Times New Roman" w:cs="Times New Roman"/>
        </w:rPr>
        <w:t xml:space="preserve">Συμπτώματα, Πνευματικότητα, Συνολικό σκορ) </w:t>
      </w:r>
      <w:r w:rsidRPr="005A464E">
        <w:t>υποδηλώνοντας την ύπαρξη συγκλίνουσας εγκυρότητας (</w:t>
      </w:r>
      <w:r w:rsidRPr="005A464E">
        <w:rPr>
          <w:lang w:val="en-US"/>
        </w:rPr>
        <w:t>convergent</w:t>
      </w:r>
      <w:r w:rsidRPr="005A464E">
        <w:t xml:space="preserve"> </w:t>
      </w:r>
      <w:r w:rsidRPr="005A464E">
        <w:rPr>
          <w:lang w:val="en-US"/>
        </w:rPr>
        <w:t>validity</w:t>
      </w:r>
      <w:r w:rsidRPr="005A464E">
        <w:t>). Επιπροσθέτως</w:t>
      </w:r>
      <w:r w:rsidR="0008037E">
        <w:t>,</w:t>
      </w:r>
      <w:r w:rsidRPr="005A464E">
        <w:t xml:space="preserve"> η εύρεση διαφορών στη βαθμολογία γνώσης με την ηλικία, το αν έμεναν μόνοι τους, το </w:t>
      </w:r>
      <w:r>
        <w:t>εκπαιδευτικό</w:t>
      </w:r>
      <w:r w:rsidRPr="005A464E">
        <w:t xml:space="preserve"> επίπεδο, τα έτη από τη διά</w:t>
      </w:r>
      <w:r>
        <w:t>γνωση και την μέθοδο αγγειακής προσπέλασης</w:t>
      </w:r>
      <w:r w:rsidRPr="005A464E">
        <w:t xml:space="preserve"> υποδεικνύει την διακριτική ικανότητα του ερωτηματολογίου (</w:t>
      </w:r>
      <w:r w:rsidRPr="005A464E">
        <w:rPr>
          <w:lang w:val="en-US"/>
        </w:rPr>
        <w:t>Discriminant</w:t>
      </w:r>
      <w:r w:rsidRPr="005A464E">
        <w:t xml:space="preserve"> </w:t>
      </w:r>
      <w:r w:rsidRPr="005A464E">
        <w:rPr>
          <w:lang w:val="en-US"/>
        </w:rPr>
        <w:t>Validity</w:t>
      </w:r>
      <w:r w:rsidRPr="005A464E">
        <w:t>).</w:t>
      </w:r>
    </w:p>
    <w:p w:rsidR="00F7632C" w:rsidRPr="005A464E" w:rsidRDefault="00F7632C" w:rsidP="005A464E">
      <w:pPr>
        <w:spacing w:after="0" w:line="360" w:lineRule="auto"/>
        <w:jc w:val="both"/>
        <w:rPr>
          <w:sz w:val="24"/>
          <w:szCs w:val="24"/>
          <w:lang w:eastAsia="el-GR"/>
        </w:rPr>
      </w:pPr>
    </w:p>
    <w:p w:rsidR="0008037E" w:rsidRPr="0008037E" w:rsidRDefault="004F0DD2" w:rsidP="0008037E">
      <w:pPr>
        <w:pStyle w:val="a5"/>
        <w:numPr>
          <w:ilvl w:val="0"/>
          <w:numId w:val="121"/>
        </w:numPr>
        <w:spacing w:after="0" w:line="360" w:lineRule="auto"/>
        <w:jc w:val="both"/>
        <w:rPr>
          <w:i/>
          <w:sz w:val="24"/>
          <w:szCs w:val="24"/>
          <w:lang w:val="en-US" w:eastAsia="el-GR"/>
        </w:rPr>
      </w:pPr>
      <w:r w:rsidRPr="00012754">
        <w:rPr>
          <w:i/>
          <w:sz w:val="24"/>
          <w:szCs w:val="24"/>
          <w:lang w:eastAsia="el-GR"/>
        </w:rPr>
        <w:t>Η</w:t>
      </w:r>
      <w:r w:rsidRPr="00012754">
        <w:rPr>
          <w:i/>
          <w:sz w:val="24"/>
          <w:szCs w:val="24"/>
          <w:lang w:val="en-US" w:eastAsia="el-GR"/>
        </w:rPr>
        <w:t xml:space="preserve"> </w:t>
      </w:r>
      <w:r w:rsidRPr="00012754">
        <w:rPr>
          <w:i/>
          <w:sz w:val="24"/>
          <w:szCs w:val="24"/>
          <w:lang w:eastAsia="el-GR"/>
        </w:rPr>
        <w:t>κλίμακα</w:t>
      </w:r>
      <w:r w:rsidRPr="00012754">
        <w:rPr>
          <w:i/>
          <w:sz w:val="24"/>
          <w:szCs w:val="24"/>
          <w:lang w:val="en-US" w:eastAsia="el-GR"/>
        </w:rPr>
        <w:t xml:space="preserve"> </w:t>
      </w:r>
      <w:r w:rsidR="006A7917" w:rsidRPr="00012754">
        <w:rPr>
          <w:i/>
          <w:sz w:val="24"/>
          <w:szCs w:val="24"/>
          <w:lang w:val="en-US" w:eastAsia="el-GR"/>
        </w:rPr>
        <w:t>GR-</w:t>
      </w:r>
      <w:r w:rsidRPr="00012754">
        <w:rPr>
          <w:i/>
          <w:sz w:val="24"/>
          <w:szCs w:val="24"/>
          <w:lang w:val="en-US" w:eastAsia="el-GR"/>
        </w:rPr>
        <w:t>Simplified Medication Adherence Questionnaire</w:t>
      </w:r>
      <w:r w:rsidR="006A7917" w:rsidRPr="00012754">
        <w:rPr>
          <w:i/>
          <w:sz w:val="24"/>
          <w:szCs w:val="24"/>
          <w:lang w:val="en-US" w:eastAsia="el-GR"/>
        </w:rPr>
        <w:t>-Hemodialysis</w:t>
      </w:r>
      <w:r w:rsidRPr="00012754">
        <w:rPr>
          <w:i/>
          <w:sz w:val="24"/>
          <w:szCs w:val="24"/>
          <w:lang w:val="en-US" w:eastAsia="el-GR"/>
        </w:rPr>
        <w:t xml:space="preserve"> (</w:t>
      </w:r>
      <w:r w:rsidR="006A7917" w:rsidRPr="00012754">
        <w:rPr>
          <w:i/>
          <w:sz w:val="24"/>
          <w:szCs w:val="24"/>
          <w:lang w:val="en-US" w:eastAsia="el-GR"/>
        </w:rPr>
        <w:t>GR-</w:t>
      </w:r>
      <w:r w:rsidR="003641A7" w:rsidRPr="00012754">
        <w:rPr>
          <w:i/>
          <w:sz w:val="24"/>
          <w:szCs w:val="24"/>
          <w:lang w:val="en-US" w:eastAsia="el-GR"/>
        </w:rPr>
        <w:t>SMAQ</w:t>
      </w:r>
      <w:r w:rsidR="006A7917" w:rsidRPr="00012754">
        <w:rPr>
          <w:i/>
          <w:sz w:val="24"/>
          <w:szCs w:val="24"/>
          <w:lang w:val="en-US" w:eastAsia="el-GR"/>
        </w:rPr>
        <w:t>-HD</w:t>
      </w:r>
      <w:r w:rsidRPr="00012754">
        <w:rPr>
          <w:i/>
          <w:sz w:val="24"/>
          <w:szCs w:val="24"/>
          <w:lang w:val="en-US" w:eastAsia="el-GR"/>
        </w:rPr>
        <w:t>)</w:t>
      </w:r>
    </w:p>
    <w:p w:rsidR="0008037E" w:rsidRPr="0008037E" w:rsidRDefault="0008037E" w:rsidP="0008037E">
      <w:pPr>
        <w:pStyle w:val="a5"/>
        <w:spacing w:after="0" w:line="360" w:lineRule="auto"/>
        <w:jc w:val="both"/>
        <w:rPr>
          <w:i/>
          <w:sz w:val="24"/>
          <w:szCs w:val="24"/>
          <w:lang w:val="en-US" w:eastAsia="el-GR"/>
        </w:rPr>
      </w:pPr>
    </w:p>
    <w:p w:rsidR="0044168C" w:rsidRPr="00012754" w:rsidRDefault="00396CCA" w:rsidP="005A464E">
      <w:pPr>
        <w:spacing w:line="360" w:lineRule="auto"/>
        <w:jc w:val="both"/>
        <w:rPr>
          <w:b/>
          <w:sz w:val="24"/>
          <w:szCs w:val="24"/>
          <w:lang w:eastAsia="el-GR"/>
        </w:rPr>
      </w:pPr>
      <w:r w:rsidRPr="00012754">
        <w:rPr>
          <w:b/>
          <w:sz w:val="24"/>
          <w:szCs w:val="24"/>
          <w:lang w:eastAsia="el-GR"/>
        </w:rPr>
        <w:t xml:space="preserve">Δομική εγκυρότητα της κλίμακας </w:t>
      </w:r>
      <w:r w:rsidR="0044168C" w:rsidRPr="00012754">
        <w:rPr>
          <w:b/>
          <w:sz w:val="24"/>
          <w:szCs w:val="24"/>
          <w:lang w:val="en-US" w:eastAsia="el-GR"/>
        </w:rPr>
        <w:t>GR</w:t>
      </w:r>
      <w:r w:rsidR="0044168C" w:rsidRPr="00012754">
        <w:rPr>
          <w:b/>
          <w:sz w:val="24"/>
          <w:szCs w:val="24"/>
          <w:lang w:eastAsia="el-GR"/>
        </w:rPr>
        <w:t>-</w:t>
      </w:r>
      <w:r w:rsidR="0044168C" w:rsidRPr="00012754">
        <w:rPr>
          <w:b/>
          <w:sz w:val="24"/>
          <w:szCs w:val="24"/>
          <w:lang w:val="en-US" w:eastAsia="el-GR"/>
        </w:rPr>
        <w:t>SMAQ</w:t>
      </w:r>
      <w:r w:rsidR="0044168C" w:rsidRPr="00012754">
        <w:rPr>
          <w:b/>
          <w:sz w:val="24"/>
          <w:szCs w:val="24"/>
          <w:lang w:eastAsia="el-GR"/>
        </w:rPr>
        <w:t>-</w:t>
      </w:r>
      <w:r w:rsidR="0044168C" w:rsidRPr="00012754">
        <w:rPr>
          <w:b/>
          <w:sz w:val="24"/>
          <w:szCs w:val="24"/>
          <w:lang w:val="en-US" w:eastAsia="el-GR"/>
        </w:rPr>
        <w:t>HD</w:t>
      </w:r>
    </w:p>
    <w:p w:rsidR="00821124" w:rsidRPr="00040924" w:rsidRDefault="00396CCA" w:rsidP="00821124">
      <w:pPr>
        <w:spacing w:line="360" w:lineRule="auto"/>
        <w:jc w:val="both"/>
        <w:rPr>
          <w:rFonts w:eastAsia="Times New Roman" w:cstheme="minorHAnsi"/>
          <w:sz w:val="24"/>
          <w:szCs w:val="24"/>
          <w:lang w:eastAsia="el-GR"/>
        </w:rPr>
      </w:pPr>
      <w:r w:rsidRPr="005A464E">
        <w:rPr>
          <w:sz w:val="24"/>
          <w:szCs w:val="24"/>
          <w:lang w:eastAsia="el-GR"/>
        </w:rPr>
        <w:t>Ο δείκτης εγκυρότητας περιεχομένου (</w:t>
      </w:r>
      <w:r w:rsidR="0070526A" w:rsidRPr="005A464E">
        <w:rPr>
          <w:sz w:val="24"/>
          <w:szCs w:val="24"/>
          <w:lang w:val="en-US" w:eastAsia="el-GR"/>
        </w:rPr>
        <w:t>Content</w:t>
      </w:r>
      <w:r w:rsidRPr="005A464E">
        <w:rPr>
          <w:sz w:val="24"/>
          <w:szCs w:val="24"/>
          <w:lang w:eastAsia="el-GR"/>
        </w:rPr>
        <w:t xml:space="preserve"> </w:t>
      </w:r>
      <w:r w:rsidR="0070526A" w:rsidRPr="005A464E">
        <w:rPr>
          <w:sz w:val="24"/>
          <w:szCs w:val="24"/>
          <w:lang w:val="en-US" w:eastAsia="el-GR"/>
        </w:rPr>
        <w:t>Validity</w:t>
      </w:r>
      <w:r w:rsidR="0070526A" w:rsidRPr="005A464E">
        <w:rPr>
          <w:sz w:val="24"/>
          <w:szCs w:val="24"/>
          <w:lang w:eastAsia="el-GR"/>
        </w:rPr>
        <w:t xml:space="preserve"> </w:t>
      </w:r>
      <w:r w:rsidR="0070526A" w:rsidRPr="005A464E">
        <w:rPr>
          <w:sz w:val="24"/>
          <w:szCs w:val="24"/>
          <w:lang w:val="en-US" w:eastAsia="el-GR"/>
        </w:rPr>
        <w:t>Index</w:t>
      </w:r>
      <w:r w:rsidR="0070526A" w:rsidRPr="005A464E">
        <w:rPr>
          <w:sz w:val="24"/>
          <w:szCs w:val="24"/>
          <w:lang w:eastAsia="el-GR"/>
        </w:rPr>
        <w:t>,</w:t>
      </w:r>
      <w:r w:rsidR="0044168C" w:rsidRPr="005A464E">
        <w:rPr>
          <w:sz w:val="24"/>
          <w:szCs w:val="24"/>
          <w:lang w:val="en-US" w:eastAsia="el-GR"/>
        </w:rPr>
        <w:t>CVI</w:t>
      </w:r>
      <w:r w:rsidR="0044168C" w:rsidRPr="005A464E">
        <w:rPr>
          <w:sz w:val="24"/>
          <w:szCs w:val="24"/>
          <w:lang w:eastAsia="el-GR"/>
        </w:rPr>
        <w:t xml:space="preserve"> </w:t>
      </w:r>
      <w:r w:rsidR="0070526A" w:rsidRPr="005A464E">
        <w:rPr>
          <w:sz w:val="24"/>
          <w:szCs w:val="24"/>
          <w:lang w:eastAsia="el-GR"/>
        </w:rPr>
        <w:t xml:space="preserve">) ήταν </w:t>
      </w:r>
      <w:r w:rsidR="00EF6A06">
        <w:rPr>
          <w:sz w:val="24"/>
          <w:szCs w:val="24"/>
          <w:lang w:eastAsia="el-GR"/>
        </w:rPr>
        <w:t>0,</w:t>
      </w:r>
      <w:r w:rsidR="0044168C" w:rsidRPr="005A464E">
        <w:rPr>
          <w:sz w:val="24"/>
          <w:szCs w:val="24"/>
          <w:lang w:eastAsia="el-GR"/>
        </w:rPr>
        <w:t xml:space="preserve">40 </w:t>
      </w:r>
      <w:r w:rsidR="0070526A" w:rsidRPr="005A464E">
        <w:rPr>
          <w:sz w:val="24"/>
          <w:szCs w:val="24"/>
          <w:lang w:eastAsia="el-GR"/>
        </w:rPr>
        <w:t>για την ερώτηση «παίρνετε τα φάρμακά σας την κατάλληλη στιγμή;» και την ερώτηση</w:t>
      </w:r>
      <w:r w:rsidR="0044168C" w:rsidRPr="005A464E">
        <w:rPr>
          <w:sz w:val="24"/>
          <w:szCs w:val="24"/>
          <w:lang w:eastAsia="el-GR"/>
        </w:rPr>
        <w:t xml:space="preserve"> </w:t>
      </w:r>
      <w:r w:rsidR="0070526A" w:rsidRPr="005A464E">
        <w:rPr>
          <w:sz w:val="24"/>
          <w:szCs w:val="24"/>
          <w:lang w:eastAsia="el-GR"/>
        </w:rPr>
        <w:t>«από την τελευταία επίσκεψή σας στον ιατρό, πόσες συνολικά μέ</w:t>
      </w:r>
      <w:r w:rsidR="006F3F2A" w:rsidRPr="005A464E">
        <w:rPr>
          <w:sz w:val="24"/>
          <w:szCs w:val="24"/>
          <w:lang w:eastAsia="el-GR"/>
        </w:rPr>
        <w:t>ρες δεν πήρατε τα φάρμακά σας;» Σ</w:t>
      </w:r>
      <w:r w:rsidR="0070526A" w:rsidRPr="005A464E">
        <w:rPr>
          <w:sz w:val="24"/>
          <w:szCs w:val="24"/>
          <w:lang w:eastAsia="el-GR"/>
        </w:rPr>
        <w:t xml:space="preserve">υνεπώς, οι ερωτήσεις αυτές αφαιρέθηκαν. Για τις ερωτήσεις που προστέθηκαν </w:t>
      </w:r>
      <w:r w:rsidR="0044168C" w:rsidRPr="005A464E">
        <w:rPr>
          <w:sz w:val="24"/>
          <w:szCs w:val="24"/>
          <w:lang w:eastAsia="el-GR"/>
        </w:rPr>
        <w:t xml:space="preserve">(5-8) </w:t>
      </w:r>
      <w:r w:rsidR="0070526A" w:rsidRPr="005A464E">
        <w:rPr>
          <w:sz w:val="24"/>
          <w:szCs w:val="24"/>
          <w:lang w:eastAsia="el-GR"/>
        </w:rPr>
        <w:t>καθώς και την τροποποιημένη ερ</w:t>
      </w:r>
      <w:r w:rsidR="00F7632C" w:rsidRPr="005A464E">
        <w:rPr>
          <w:sz w:val="24"/>
          <w:szCs w:val="24"/>
          <w:lang w:eastAsia="el-GR"/>
        </w:rPr>
        <w:t xml:space="preserve">ώτηση </w:t>
      </w:r>
      <w:r w:rsidR="0044168C" w:rsidRPr="005A464E">
        <w:rPr>
          <w:sz w:val="24"/>
          <w:szCs w:val="24"/>
          <w:lang w:eastAsia="el-GR"/>
        </w:rPr>
        <w:t>(4)</w:t>
      </w:r>
      <w:r w:rsidR="0070526A" w:rsidRPr="005A464E">
        <w:rPr>
          <w:sz w:val="24"/>
          <w:szCs w:val="24"/>
          <w:lang w:eastAsia="el-GR"/>
        </w:rPr>
        <w:t xml:space="preserve"> ο δείκτης εγκυρότητας περιεχομένου</w:t>
      </w:r>
      <w:r w:rsidR="0044168C" w:rsidRPr="005A464E">
        <w:rPr>
          <w:sz w:val="24"/>
          <w:szCs w:val="24"/>
          <w:lang w:eastAsia="el-GR"/>
        </w:rPr>
        <w:t xml:space="preserve"> </w:t>
      </w:r>
      <w:r w:rsidR="0070526A" w:rsidRPr="005A464E">
        <w:rPr>
          <w:sz w:val="24"/>
          <w:szCs w:val="24"/>
          <w:lang w:eastAsia="el-GR"/>
        </w:rPr>
        <w:t xml:space="preserve">ήταν </w:t>
      </w:r>
      <w:r w:rsidR="00EF6A06">
        <w:rPr>
          <w:sz w:val="24"/>
          <w:szCs w:val="24"/>
          <w:lang w:eastAsia="el-GR"/>
        </w:rPr>
        <w:t>0,</w:t>
      </w:r>
      <w:r w:rsidR="0070526A" w:rsidRPr="005A464E">
        <w:rPr>
          <w:sz w:val="24"/>
          <w:szCs w:val="24"/>
          <w:lang w:eastAsia="el-GR"/>
        </w:rPr>
        <w:t xml:space="preserve">90. Η παραγοντική ανάλυση έδειξε ότι όλες οι ερωτήσεις είχαν ικανοποιητική συσχέτιση </w:t>
      </w:r>
      <w:r w:rsidR="0044168C" w:rsidRPr="005A464E">
        <w:rPr>
          <w:sz w:val="24"/>
          <w:szCs w:val="24"/>
          <w:lang w:eastAsia="el-GR"/>
        </w:rPr>
        <w:t>(</w:t>
      </w:r>
      <w:r w:rsidR="0044168C" w:rsidRPr="005A464E">
        <w:rPr>
          <w:sz w:val="24"/>
          <w:szCs w:val="24"/>
          <w:lang w:val="en-US" w:eastAsia="el-GR"/>
        </w:rPr>
        <w:t>r</w:t>
      </w:r>
      <w:r w:rsidR="00DC0D77">
        <w:rPr>
          <w:sz w:val="24"/>
          <w:szCs w:val="24"/>
          <w:lang w:eastAsia="el-GR"/>
        </w:rPr>
        <w:t>&gt;</w:t>
      </w:r>
      <w:r w:rsidR="00EF6A06">
        <w:rPr>
          <w:sz w:val="24"/>
          <w:szCs w:val="24"/>
          <w:lang w:eastAsia="el-GR"/>
        </w:rPr>
        <w:t>0,</w:t>
      </w:r>
      <w:r w:rsidR="0044168C" w:rsidRPr="005A464E">
        <w:rPr>
          <w:sz w:val="24"/>
          <w:szCs w:val="24"/>
          <w:lang w:eastAsia="el-GR"/>
        </w:rPr>
        <w:t xml:space="preserve">4) </w:t>
      </w:r>
      <w:r w:rsidR="0070526A" w:rsidRPr="005A464E">
        <w:rPr>
          <w:sz w:val="24"/>
          <w:szCs w:val="24"/>
          <w:lang w:eastAsia="el-GR"/>
        </w:rPr>
        <w:t xml:space="preserve">με τουλάχιστον ένα από τα υπόλοιπα ερωτήματα. Επίσης όλα τα ερωτήματα είχαν ικανοποιητικά μέτρα δειγματικής καταλληλότητας (&gt;0,6 - </w:t>
      </w:r>
      <w:r w:rsidR="0070526A" w:rsidRPr="005A464E">
        <w:rPr>
          <w:sz w:val="24"/>
          <w:szCs w:val="24"/>
          <w:lang w:val="en-US" w:eastAsia="el-GR"/>
        </w:rPr>
        <w:t>Measures</w:t>
      </w:r>
      <w:r w:rsidR="0070526A" w:rsidRPr="005A464E">
        <w:rPr>
          <w:sz w:val="24"/>
          <w:szCs w:val="24"/>
          <w:lang w:eastAsia="el-GR"/>
        </w:rPr>
        <w:t xml:space="preserve"> </w:t>
      </w:r>
      <w:r w:rsidR="0070526A" w:rsidRPr="005A464E">
        <w:rPr>
          <w:sz w:val="24"/>
          <w:szCs w:val="24"/>
          <w:lang w:val="en-US" w:eastAsia="el-GR"/>
        </w:rPr>
        <w:t>of</w:t>
      </w:r>
      <w:r w:rsidR="0070526A" w:rsidRPr="005A464E">
        <w:rPr>
          <w:sz w:val="24"/>
          <w:szCs w:val="24"/>
          <w:lang w:eastAsia="el-GR"/>
        </w:rPr>
        <w:t xml:space="preserve"> </w:t>
      </w:r>
      <w:r w:rsidR="0070526A" w:rsidRPr="005A464E">
        <w:rPr>
          <w:sz w:val="24"/>
          <w:szCs w:val="24"/>
          <w:lang w:val="en-US" w:eastAsia="el-GR"/>
        </w:rPr>
        <w:t>Sampling</w:t>
      </w:r>
      <w:r w:rsidR="0070526A" w:rsidRPr="005A464E">
        <w:rPr>
          <w:sz w:val="24"/>
          <w:szCs w:val="24"/>
          <w:lang w:eastAsia="el-GR"/>
        </w:rPr>
        <w:t xml:space="preserve"> </w:t>
      </w:r>
      <w:r w:rsidR="0070526A" w:rsidRPr="005A464E">
        <w:rPr>
          <w:sz w:val="24"/>
          <w:szCs w:val="24"/>
          <w:lang w:val="en-US" w:eastAsia="el-GR"/>
        </w:rPr>
        <w:t>Adequacy</w:t>
      </w:r>
      <w:r w:rsidR="0070526A" w:rsidRPr="005A464E">
        <w:rPr>
          <w:sz w:val="24"/>
          <w:szCs w:val="24"/>
          <w:lang w:eastAsia="el-GR"/>
        </w:rPr>
        <w:t xml:space="preserve">) και εταιρικότητες (&gt;0,5 – </w:t>
      </w:r>
      <w:r w:rsidR="0070526A" w:rsidRPr="005A464E">
        <w:rPr>
          <w:sz w:val="24"/>
          <w:szCs w:val="24"/>
          <w:lang w:val="en-US" w:eastAsia="el-GR"/>
        </w:rPr>
        <w:t>communalities</w:t>
      </w:r>
      <w:r w:rsidR="0070526A" w:rsidRPr="005A464E">
        <w:rPr>
          <w:sz w:val="24"/>
          <w:szCs w:val="24"/>
          <w:lang w:eastAsia="el-GR"/>
        </w:rPr>
        <w:t>).</w:t>
      </w:r>
      <w:r w:rsidR="0078495A">
        <w:rPr>
          <w:sz w:val="24"/>
          <w:szCs w:val="24"/>
          <w:lang w:eastAsia="el-GR"/>
        </w:rPr>
        <w:t xml:space="preserve"> </w:t>
      </w:r>
      <w:r w:rsidR="0070526A" w:rsidRPr="005A464E">
        <w:rPr>
          <w:sz w:val="24"/>
          <w:szCs w:val="24"/>
          <w:lang w:eastAsia="el-GR"/>
        </w:rPr>
        <w:t xml:space="preserve">Η τιμή του </w:t>
      </w:r>
      <w:r w:rsidR="0070526A" w:rsidRPr="005A464E">
        <w:rPr>
          <w:sz w:val="24"/>
          <w:szCs w:val="24"/>
          <w:lang w:val="en-US" w:eastAsia="el-GR"/>
        </w:rPr>
        <w:t>Kaiser</w:t>
      </w:r>
      <w:r w:rsidR="0070526A" w:rsidRPr="005A464E">
        <w:rPr>
          <w:sz w:val="24"/>
          <w:szCs w:val="24"/>
          <w:lang w:eastAsia="el-GR"/>
        </w:rPr>
        <w:t>-</w:t>
      </w:r>
      <w:r w:rsidR="0070526A" w:rsidRPr="005A464E">
        <w:rPr>
          <w:sz w:val="24"/>
          <w:szCs w:val="24"/>
          <w:lang w:val="en-US" w:eastAsia="el-GR"/>
        </w:rPr>
        <w:t>Meyer</w:t>
      </w:r>
      <w:r w:rsidR="0070526A" w:rsidRPr="005A464E">
        <w:rPr>
          <w:sz w:val="24"/>
          <w:szCs w:val="24"/>
          <w:lang w:eastAsia="el-GR"/>
        </w:rPr>
        <w:t>-</w:t>
      </w:r>
      <w:r w:rsidR="0070526A" w:rsidRPr="005A464E">
        <w:rPr>
          <w:sz w:val="24"/>
          <w:szCs w:val="24"/>
          <w:lang w:val="en-US" w:eastAsia="el-GR"/>
        </w:rPr>
        <w:t>Olkin</w:t>
      </w:r>
      <w:r w:rsidR="0070526A" w:rsidRPr="005A464E">
        <w:rPr>
          <w:sz w:val="24"/>
          <w:szCs w:val="24"/>
          <w:lang w:eastAsia="el-GR"/>
        </w:rPr>
        <w:t xml:space="preserve"> στατιστικού κριτηρίου για την αξιολόγηση των μερικών συντελεστών συσχέτισης ήταν 0,708, η οποία κρίνεται επίσης ικανοποιητική. Από τα 8 ερωτήματα προέκυψαν 3 παράγοντες με ιδιοτιμή μ</w:t>
      </w:r>
      <w:r w:rsidR="005D2DE3">
        <w:rPr>
          <w:sz w:val="24"/>
          <w:szCs w:val="24"/>
          <w:lang w:eastAsia="el-GR"/>
        </w:rPr>
        <w:t>εγαλύτερη της μονάδας</w:t>
      </w:r>
      <w:r w:rsidR="0070526A" w:rsidRPr="005A464E">
        <w:rPr>
          <w:sz w:val="24"/>
          <w:szCs w:val="24"/>
          <w:lang w:eastAsia="el-GR"/>
        </w:rPr>
        <w:t>. Οι παράγοντες που εξήχθησαν αναγνωρίστηκαν ως η: Φαρμακευτική</w:t>
      </w:r>
      <w:r w:rsidR="00DC0D77">
        <w:rPr>
          <w:sz w:val="24"/>
          <w:szCs w:val="24"/>
          <w:lang w:eastAsia="el-GR"/>
        </w:rPr>
        <w:t xml:space="preserve"> Α</w:t>
      </w:r>
      <w:r w:rsidR="0070526A" w:rsidRPr="005A464E">
        <w:rPr>
          <w:sz w:val="24"/>
          <w:szCs w:val="24"/>
          <w:lang w:eastAsia="el-GR"/>
        </w:rPr>
        <w:t>γωγή (</w:t>
      </w:r>
      <w:r w:rsidR="00F7632C" w:rsidRPr="005A464E">
        <w:rPr>
          <w:sz w:val="24"/>
          <w:szCs w:val="24"/>
          <w:lang w:eastAsia="el-GR"/>
        </w:rPr>
        <w:t>Ερωτήσεις 1,2,3 και 4</w:t>
      </w:r>
      <w:r w:rsidR="00DC0D77">
        <w:rPr>
          <w:sz w:val="24"/>
          <w:szCs w:val="24"/>
          <w:lang w:eastAsia="el-GR"/>
        </w:rPr>
        <w:t>), Παρουσία στη Σ</w:t>
      </w:r>
      <w:r w:rsidR="0070526A" w:rsidRPr="005A464E">
        <w:rPr>
          <w:sz w:val="24"/>
          <w:szCs w:val="24"/>
          <w:lang w:eastAsia="el-GR"/>
        </w:rPr>
        <w:t>υνεδρία (</w:t>
      </w:r>
      <w:r w:rsidR="00DC0D77">
        <w:rPr>
          <w:sz w:val="24"/>
          <w:szCs w:val="24"/>
          <w:lang w:eastAsia="el-GR"/>
        </w:rPr>
        <w:t>ερωτήσεις 5 και 6) και Περιορισμοί στη Δίαιτα και την Λήψη Υ</w:t>
      </w:r>
      <w:r w:rsidR="00F7632C" w:rsidRPr="005A464E">
        <w:rPr>
          <w:sz w:val="24"/>
          <w:szCs w:val="24"/>
          <w:lang w:eastAsia="el-GR"/>
        </w:rPr>
        <w:t>γρών</w:t>
      </w:r>
      <w:r w:rsidR="00635533" w:rsidRPr="005A464E">
        <w:rPr>
          <w:sz w:val="24"/>
          <w:szCs w:val="24"/>
          <w:lang w:eastAsia="el-GR"/>
        </w:rPr>
        <w:t xml:space="preserve"> (ερ.7,8)</w:t>
      </w:r>
      <w:r w:rsidR="00F7632C" w:rsidRPr="005A464E">
        <w:rPr>
          <w:sz w:val="24"/>
          <w:szCs w:val="24"/>
          <w:lang w:eastAsia="el-GR"/>
        </w:rPr>
        <w:t xml:space="preserve">. </w:t>
      </w:r>
      <w:r w:rsidR="0070526A" w:rsidRPr="005A464E">
        <w:rPr>
          <w:sz w:val="24"/>
          <w:szCs w:val="24"/>
          <w:lang w:eastAsia="el-GR"/>
        </w:rPr>
        <w:t>Οι 3 εξαχθέντες παράγοντες εξηγούν αθροιστικά το 63% της μεταβλητότητας των αρχικών μεταβλητών-ερωτημάτων</w:t>
      </w:r>
      <w:r w:rsidR="004766A7">
        <w:rPr>
          <w:sz w:val="24"/>
          <w:szCs w:val="24"/>
          <w:lang w:eastAsia="el-GR"/>
        </w:rPr>
        <w:t xml:space="preserve"> (Πίν</w:t>
      </w:r>
      <w:r w:rsidR="005D2DE3">
        <w:rPr>
          <w:sz w:val="24"/>
          <w:szCs w:val="24"/>
          <w:lang w:eastAsia="el-GR"/>
        </w:rPr>
        <w:t xml:space="preserve"> 7</w:t>
      </w:r>
      <w:r w:rsidR="00DC0D77" w:rsidRPr="00DC0D77">
        <w:rPr>
          <w:sz w:val="24"/>
          <w:szCs w:val="24"/>
          <w:lang w:eastAsia="el-GR"/>
        </w:rPr>
        <w:t>)</w:t>
      </w:r>
      <w:r w:rsidR="00DC0D77" w:rsidRPr="00DC0D77">
        <w:rPr>
          <w:rFonts w:eastAsia="Times New Roman" w:cstheme="minorHAnsi"/>
          <w:sz w:val="24"/>
          <w:szCs w:val="24"/>
          <w:lang w:eastAsia="el-GR"/>
        </w:rPr>
        <w:t xml:space="preserve"> ενδεικτικό του γεγονότος ότι είναι ένα καλό, σύντομο, αυτοδιαχειριζόμενο ερωτηματολόγιο.</w:t>
      </w:r>
      <w:r w:rsidR="00DC0D77">
        <w:rPr>
          <w:rFonts w:eastAsia="Times New Roman" w:cstheme="minorHAnsi"/>
          <w:sz w:val="24"/>
          <w:szCs w:val="24"/>
          <w:lang w:eastAsia="el-GR"/>
        </w:rPr>
        <w:t xml:space="preserve"> </w:t>
      </w:r>
      <w:r w:rsidR="00821124" w:rsidRPr="005A464E">
        <w:rPr>
          <w:rFonts w:eastAsia="Times New Roman" w:cstheme="minorHAnsi"/>
          <w:sz w:val="24"/>
          <w:szCs w:val="24"/>
          <w:lang w:eastAsia="el-GR"/>
        </w:rPr>
        <w:t xml:space="preserve">Οι τρείς παράγοντες που προέκυψαν από τη μελέτη είναι παρόμοιοι με εκείνους από τη μελέτη των </w:t>
      </w:r>
      <w:r w:rsidR="00821124" w:rsidRPr="005A464E">
        <w:rPr>
          <w:rFonts w:eastAsia="Times New Roman" w:cstheme="minorHAnsi"/>
          <w:sz w:val="24"/>
          <w:szCs w:val="24"/>
          <w:lang w:val="en-US" w:eastAsia="el-GR"/>
        </w:rPr>
        <w:t>Kim</w:t>
      </w:r>
      <w:r w:rsidR="00821124" w:rsidRPr="005A464E">
        <w:rPr>
          <w:rFonts w:eastAsia="Times New Roman" w:cstheme="minorHAnsi"/>
          <w:sz w:val="24"/>
          <w:szCs w:val="24"/>
          <w:lang w:eastAsia="el-GR"/>
        </w:rPr>
        <w:t xml:space="preserve"> &amp; </w:t>
      </w:r>
      <w:r w:rsidR="00821124" w:rsidRPr="005A464E">
        <w:rPr>
          <w:rFonts w:eastAsia="Times New Roman" w:cstheme="minorHAnsi"/>
          <w:sz w:val="24"/>
          <w:szCs w:val="24"/>
          <w:lang w:val="en-US" w:eastAsia="el-GR"/>
        </w:rPr>
        <w:t>Evangelista</w:t>
      </w:r>
      <w:r w:rsidR="00821124">
        <w:rPr>
          <w:rFonts w:eastAsia="Times New Roman" w:cstheme="minorHAnsi"/>
          <w:sz w:val="24"/>
          <w:szCs w:val="24"/>
          <w:lang w:eastAsia="el-GR"/>
        </w:rPr>
        <w:t xml:space="preserve"> (2010</w:t>
      </w:r>
      <w:r w:rsidR="00821124" w:rsidRPr="005A464E">
        <w:rPr>
          <w:rFonts w:eastAsia="Times New Roman" w:cstheme="minorHAnsi"/>
          <w:sz w:val="24"/>
          <w:szCs w:val="24"/>
          <w:lang w:eastAsia="el-GR"/>
        </w:rPr>
        <w:t xml:space="preserve">) </w:t>
      </w:r>
      <w:r w:rsidR="00821124">
        <w:rPr>
          <w:rFonts w:eastAsia="Times New Roman" w:cstheme="minorHAnsi"/>
          <w:sz w:val="24"/>
          <w:szCs w:val="24"/>
          <w:lang w:eastAsia="el-GR"/>
        </w:rPr>
        <w:t>που χρησιμοποίησ</w:t>
      </w:r>
      <w:r w:rsidR="00821124" w:rsidRPr="005A464E">
        <w:rPr>
          <w:rFonts w:eastAsia="Times New Roman" w:cstheme="minorHAnsi"/>
          <w:sz w:val="24"/>
          <w:szCs w:val="24"/>
          <w:lang w:eastAsia="el-GR"/>
        </w:rPr>
        <w:t xml:space="preserve">αν την Ισπανική εκδοχή </w:t>
      </w:r>
      <w:r w:rsidR="00821124" w:rsidRPr="00040924">
        <w:rPr>
          <w:rFonts w:eastAsia="Times New Roman" w:cstheme="minorHAnsi"/>
          <w:sz w:val="24"/>
          <w:szCs w:val="24"/>
          <w:lang w:eastAsia="el-GR"/>
        </w:rPr>
        <w:t xml:space="preserve">της κλίμακας </w:t>
      </w:r>
      <w:r w:rsidR="00821124" w:rsidRPr="00040924">
        <w:rPr>
          <w:rFonts w:eastAsia="Times New Roman" w:cstheme="minorHAnsi"/>
          <w:sz w:val="24"/>
          <w:szCs w:val="24"/>
          <w:lang w:val="en-US" w:eastAsia="el-GR"/>
        </w:rPr>
        <w:t>End</w:t>
      </w:r>
      <w:r w:rsidR="00821124" w:rsidRPr="00040924">
        <w:rPr>
          <w:rFonts w:eastAsia="Times New Roman" w:cstheme="minorHAnsi"/>
          <w:sz w:val="24"/>
          <w:szCs w:val="24"/>
          <w:lang w:eastAsia="el-GR"/>
        </w:rPr>
        <w:t xml:space="preserve"> </w:t>
      </w:r>
      <w:r w:rsidR="00821124" w:rsidRPr="00040924">
        <w:rPr>
          <w:rFonts w:eastAsia="Times New Roman" w:cstheme="minorHAnsi"/>
          <w:sz w:val="24"/>
          <w:szCs w:val="24"/>
          <w:lang w:val="en-US" w:eastAsia="el-GR"/>
        </w:rPr>
        <w:t>Stage</w:t>
      </w:r>
      <w:r w:rsidR="00821124" w:rsidRPr="00040924">
        <w:rPr>
          <w:rFonts w:eastAsia="Times New Roman" w:cstheme="minorHAnsi"/>
          <w:sz w:val="24"/>
          <w:szCs w:val="24"/>
          <w:lang w:eastAsia="el-GR"/>
        </w:rPr>
        <w:t xml:space="preserve"> </w:t>
      </w:r>
      <w:r w:rsidR="00821124" w:rsidRPr="00040924">
        <w:rPr>
          <w:rFonts w:eastAsia="Times New Roman" w:cstheme="minorHAnsi"/>
          <w:sz w:val="24"/>
          <w:szCs w:val="24"/>
          <w:lang w:val="en-US" w:eastAsia="el-GR"/>
        </w:rPr>
        <w:t>Renal</w:t>
      </w:r>
      <w:r w:rsidR="00821124" w:rsidRPr="00040924">
        <w:rPr>
          <w:rFonts w:eastAsia="Times New Roman" w:cstheme="minorHAnsi"/>
          <w:sz w:val="24"/>
          <w:szCs w:val="24"/>
          <w:lang w:eastAsia="el-GR"/>
        </w:rPr>
        <w:t xml:space="preserve"> </w:t>
      </w:r>
      <w:r w:rsidR="00821124" w:rsidRPr="00040924">
        <w:rPr>
          <w:rFonts w:eastAsia="Times New Roman" w:cstheme="minorHAnsi"/>
          <w:sz w:val="24"/>
          <w:szCs w:val="24"/>
          <w:lang w:val="en-US" w:eastAsia="el-GR"/>
        </w:rPr>
        <w:t>Disease</w:t>
      </w:r>
      <w:r w:rsidR="00821124" w:rsidRPr="00040924">
        <w:rPr>
          <w:rFonts w:eastAsia="Times New Roman" w:cstheme="minorHAnsi"/>
          <w:sz w:val="24"/>
          <w:szCs w:val="24"/>
          <w:lang w:eastAsia="el-GR"/>
        </w:rPr>
        <w:t xml:space="preserve"> </w:t>
      </w:r>
      <w:r w:rsidR="00821124" w:rsidRPr="00040924">
        <w:rPr>
          <w:rFonts w:eastAsia="Times New Roman" w:cstheme="minorHAnsi"/>
          <w:sz w:val="24"/>
          <w:szCs w:val="24"/>
          <w:lang w:val="en-US" w:eastAsia="el-GR"/>
        </w:rPr>
        <w:t>Adherence</w:t>
      </w:r>
      <w:r w:rsidR="00821124" w:rsidRPr="00040924">
        <w:rPr>
          <w:rFonts w:eastAsia="Times New Roman" w:cstheme="minorHAnsi"/>
          <w:sz w:val="24"/>
          <w:szCs w:val="24"/>
          <w:lang w:eastAsia="el-GR"/>
        </w:rPr>
        <w:t xml:space="preserve"> </w:t>
      </w:r>
      <w:r w:rsidR="00821124" w:rsidRPr="00040924">
        <w:rPr>
          <w:rFonts w:eastAsia="Times New Roman" w:cstheme="minorHAnsi"/>
          <w:sz w:val="24"/>
          <w:szCs w:val="24"/>
          <w:lang w:val="en-US" w:eastAsia="el-GR"/>
        </w:rPr>
        <w:t>Questionnaire</w:t>
      </w:r>
      <w:r w:rsidR="00821124" w:rsidRPr="00040924">
        <w:rPr>
          <w:rFonts w:eastAsia="Times New Roman" w:cstheme="minorHAnsi"/>
          <w:sz w:val="24"/>
          <w:szCs w:val="24"/>
          <w:lang w:eastAsia="el-GR"/>
        </w:rPr>
        <w:t>.</w:t>
      </w:r>
    </w:p>
    <w:p w:rsidR="00012754" w:rsidRPr="005D2DE3" w:rsidRDefault="00821124" w:rsidP="005D2DE3">
      <w:pPr>
        <w:spacing w:line="360" w:lineRule="auto"/>
        <w:jc w:val="both"/>
        <w:rPr>
          <w:rFonts w:eastAsia="Times New Roman" w:cstheme="minorHAnsi"/>
          <w:sz w:val="24"/>
          <w:szCs w:val="24"/>
          <w:lang w:eastAsia="el-GR"/>
        </w:rPr>
      </w:pPr>
      <w:r w:rsidRPr="00040924">
        <w:rPr>
          <w:rFonts w:eastAsia="Times New Roman" w:cstheme="minorHAnsi"/>
          <w:sz w:val="24"/>
          <w:szCs w:val="24"/>
          <w:lang w:eastAsia="el-GR"/>
        </w:rPr>
        <w:t xml:space="preserve">Η αφαίρεση των ερωτήσεων 1 και 6 </w:t>
      </w:r>
      <w:r w:rsidR="00DC0D77" w:rsidRPr="00040924">
        <w:rPr>
          <w:rFonts w:eastAsia="Times New Roman" w:cstheme="minorHAnsi"/>
          <w:sz w:val="24"/>
          <w:szCs w:val="24"/>
          <w:lang w:eastAsia="el-GR"/>
        </w:rPr>
        <w:t xml:space="preserve">και η τροποποίηση της ερώτησης 4 </w:t>
      </w:r>
      <w:r w:rsidRPr="00040924">
        <w:rPr>
          <w:rFonts w:eastAsia="Times New Roman" w:cstheme="minorHAnsi"/>
          <w:sz w:val="24"/>
          <w:szCs w:val="24"/>
          <w:lang w:eastAsia="el-GR"/>
        </w:rPr>
        <w:t xml:space="preserve">από το αρχικό </w:t>
      </w:r>
      <w:r w:rsidRPr="00040924">
        <w:rPr>
          <w:rFonts w:eastAsia="Times New Roman" w:cstheme="minorHAnsi"/>
          <w:sz w:val="24"/>
          <w:szCs w:val="24"/>
          <w:lang w:val="en-US" w:eastAsia="el-GR"/>
        </w:rPr>
        <w:t>GR</w:t>
      </w:r>
      <w:r w:rsidRPr="00040924">
        <w:rPr>
          <w:rFonts w:eastAsia="Times New Roman" w:cstheme="minorHAnsi"/>
          <w:sz w:val="24"/>
          <w:szCs w:val="24"/>
          <w:lang w:eastAsia="el-GR"/>
        </w:rPr>
        <w:t>-</w:t>
      </w:r>
      <w:r w:rsidRPr="00040924">
        <w:rPr>
          <w:rFonts w:eastAsia="Times New Roman" w:cstheme="minorHAnsi"/>
          <w:sz w:val="24"/>
          <w:szCs w:val="24"/>
          <w:lang w:val="en-US" w:eastAsia="el-GR"/>
        </w:rPr>
        <w:t>SMAQ</w:t>
      </w:r>
      <w:r w:rsidRPr="00040924">
        <w:rPr>
          <w:rFonts w:eastAsia="Times New Roman" w:cstheme="minorHAnsi"/>
          <w:sz w:val="24"/>
          <w:szCs w:val="24"/>
          <w:lang w:eastAsia="el-GR"/>
        </w:rPr>
        <w:t xml:space="preserve"> επέτρεψε την παραγοντική δομή να γίνει πιο απλή και ισχυρή. Αυτές οι αλλαγές μετέτρεψαν το ερωτηματολόγιο της συμμόρφωσης ειδικά για τις ανάγκες των ασθενών υπό αιμοκάθαρση.</w:t>
      </w:r>
      <w:r w:rsidRPr="00DC0D77">
        <w:rPr>
          <w:rFonts w:eastAsia="Times New Roman" w:cstheme="minorHAnsi"/>
          <w:sz w:val="24"/>
          <w:szCs w:val="24"/>
          <w:lang w:eastAsia="el-GR"/>
        </w:rPr>
        <w:t xml:space="preserve"> </w:t>
      </w:r>
    </w:p>
    <w:p w:rsidR="00012754" w:rsidRPr="00F918EC" w:rsidRDefault="00012754" w:rsidP="00012754">
      <w:pPr>
        <w:widowControl w:val="0"/>
        <w:autoSpaceDE w:val="0"/>
        <w:autoSpaceDN w:val="0"/>
        <w:adjustRightInd w:val="0"/>
        <w:spacing w:after="0" w:line="480" w:lineRule="auto"/>
        <w:ind w:left="60" w:right="60"/>
        <w:rPr>
          <w:rFonts w:asciiTheme="minorHAnsi" w:eastAsia="MS Mincho" w:hAnsiTheme="minorHAnsi"/>
          <w:bCs/>
          <w:color w:val="000000"/>
          <w:sz w:val="24"/>
          <w:szCs w:val="24"/>
        </w:rPr>
      </w:pPr>
      <w:r w:rsidRPr="00C7093D">
        <w:rPr>
          <w:rFonts w:asciiTheme="minorHAnsi" w:eastAsia="MS Mincho" w:hAnsiTheme="minorHAnsi"/>
          <w:bCs/>
          <w:color w:val="000000"/>
          <w:sz w:val="24"/>
          <w:szCs w:val="24"/>
        </w:rPr>
        <w:t>Πίν</w:t>
      </w:r>
      <w:r w:rsidR="005D2DE3">
        <w:rPr>
          <w:rFonts w:asciiTheme="minorHAnsi" w:eastAsia="MS Mincho" w:hAnsiTheme="minorHAnsi"/>
          <w:bCs/>
          <w:color w:val="000000"/>
          <w:sz w:val="24"/>
          <w:szCs w:val="24"/>
        </w:rPr>
        <w:t>ακας 7</w:t>
      </w:r>
    </w:p>
    <w:p w:rsidR="00012754" w:rsidRPr="00DC0D77" w:rsidRDefault="00012754" w:rsidP="00012754">
      <w:pPr>
        <w:spacing w:line="360" w:lineRule="auto"/>
        <w:jc w:val="both"/>
        <w:rPr>
          <w:rFonts w:eastAsia="Times New Roman" w:cstheme="minorHAnsi"/>
          <w:sz w:val="24"/>
          <w:szCs w:val="24"/>
          <w:lang w:eastAsia="el-GR"/>
        </w:rPr>
      </w:pPr>
      <w:r w:rsidRPr="008847F1">
        <w:rPr>
          <w:rFonts w:asciiTheme="minorHAnsi" w:eastAsia="MS Mincho" w:hAnsiTheme="minorHAnsi"/>
          <w:bCs/>
          <w:i/>
          <w:color w:val="000000"/>
          <w:sz w:val="24"/>
          <w:szCs w:val="24"/>
        </w:rPr>
        <w:t>Φορτίσεις των 8 ερωτημάτων της κλίμακας SMAQ στους τρεις παράγοντες που προέκυψαν μετά από ορθόγωνη περιστροφή των αξόνων.</w:t>
      </w:r>
    </w:p>
    <w:tbl>
      <w:tblPr>
        <w:tblStyle w:val="-41"/>
        <w:tblW w:w="10098" w:type="dxa"/>
        <w:jc w:val="center"/>
        <w:tblLayout w:type="fixed"/>
        <w:tblLook w:val="0400"/>
      </w:tblPr>
      <w:tblGrid>
        <w:gridCol w:w="5007"/>
        <w:gridCol w:w="1832"/>
        <w:gridCol w:w="1570"/>
        <w:gridCol w:w="1689"/>
      </w:tblGrid>
      <w:tr w:rsidR="00F7632C" w:rsidRPr="00872FD2" w:rsidTr="0008037E">
        <w:trPr>
          <w:cnfStyle w:val="000000100000"/>
          <w:jc w:val="center"/>
        </w:trPr>
        <w:tc>
          <w:tcPr>
            <w:tcW w:w="5007" w:type="dxa"/>
            <w:vMerge w:val="restart"/>
            <w:shd w:val="clear" w:color="auto" w:fill="auto"/>
          </w:tcPr>
          <w:p w:rsidR="00F7632C" w:rsidRPr="00872FD2" w:rsidRDefault="00F7632C" w:rsidP="00872FD2">
            <w:pPr>
              <w:widowControl w:val="0"/>
              <w:autoSpaceDE w:val="0"/>
              <w:autoSpaceDN w:val="0"/>
              <w:adjustRightInd w:val="0"/>
              <w:spacing w:after="0" w:line="360" w:lineRule="auto"/>
              <w:ind w:left="60" w:right="60"/>
              <w:rPr>
                <w:rFonts w:asciiTheme="minorHAnsi" w:eastAsia="MS Mincho" w:hAnsiTheme="minorHAnsi" w:cs="Arial"/>
                <w:color w:val="000000"/>
                <w:sz w:val="24"/>
                <w:szCs w:val="24"/>
              </w:rPr>
            </w:pPr>
          </w:p>
        </w:tc>
        <w:tc>
          <w:tcPr>
            <w:tcW w:w="5091" w:type="dxa"/>
            <w:gridSpan w:val="3"/>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b/>
                <w:color w:val="000000"/>
                <w:sz w:val="24"/>
                <w:szCs w:val="24"/>
                <w:lang w:val="en-US"/>
              </w:rPr>
            </w:pPr>
            <w:r w:rsidRPr="00872FD2">
              <w:rPr>
                <w:rFonts w:asciiTheme="minorHAnsi" w:eastAsia="MS Mincho" w:hAnsiTheme="minorHAnsi" w:cs="Arial"/>
                <w:b/>
                <w:color w:val="000000"/>
                <w:sz w:val="24"/>
                <w:szCs w:val="24"/>
                <w:lang w:val="en-US"/>
              </w:rPr>
              <w:t>Παράγοντες</w:t>
            </w:r>
          </w:p>
        </w:tc>
      </w:tr>
      <w:tr w:rsidR="00F7632C" w:rsidRPr="00872FD2" w:rsidTr="0008037E">
        <w:trPr>
          <w:cnfStyle w:val="000000010000"/>
          <w:jc w:val="center"/>
        </w:trPr>
        <w:tc>
          <w:tcPr>
            <w:tcW w:w="5007" w:type="dxa"/>
            <w:vMerge/>
            <w:shd w:val="clear" w:color="auto" w:fill="auto"/>
          </w:tcPr>
          <w:p w:rsidR="00F7632C" w:rsidRPr="00872FD2" w:rsidRDefault="00F7632C" w:rsidP="00872FD2">
            <w:pPr>
              <w:widowControl w:val="0"/>
              <w:autoSpaceDE w:val="0"/>
              <w:autoSpaceDN w:val="0"/>
              <w:adjustRightInd w:val="0"/>
              <w:spacing w:after="0" w:line="360" w:lineRule="auto"/>
              <w:rPr>
                <w:rFonts w:asciiTheme="minorHAnsi" w:eastAsia="MS Mincho" w:hAnsiTheme="minorHAnsi" w:cs="Arial"/>
                <w:color w:val="000000"/>
                <w:sz w:val="24"/>
                <w:szCs w:val="24"/>
                <w:lang w:val="en-US"/>
              </w:rPr>
            </w:pPr>
          </w:p>
        </w:tc>
        <w:tc>
          <w:tcPr>
            <w:tcW w:w="1832" w:type="dxa"/>
          </w:tcPr>
          <w:p w:rsidR="00F7632C" w:rsidRPr="00205242" w:rsidRDefault="00F7632C" w:rsidP="0008037E">
            <w:pPr>
              <w:widowControl w:val="0"/>
              <w:autoSpaceDE w:val="0"/>
              <w:autoSpaceDN w:val="0"/>
              <w:adjustRightInd w:val="0"/>
              <w:spacing w:after="0"/>
              <w:ind w:left="60" w:right="60"/>
              <w:jc w:val="center"/>
              <w:rPr>
                <w:rFonts w:asciiTheme="minorHAnsi" w:eastAsia="MS Mincho" w:hAnsiTheme="minorHAnsi" w:cs="Arial"/>
                <w:i/>
                <w:color w:val="000000"/>
                <w:sz w:val="24"/>
                <w:szCs w:val="24"/>
                <w:lang w:val="en-US"/>
              </w:rPr>
            </w:pPr>
            <w:r w:rsidRPr="00205242">
              <w:rPr>
                <w:rFonts w:asciiTheme="minorHAnsi" w:eastAsia="MS Mincho" w:hAnsiTheme="minorHAnsi"/>
                <w:i/>
                <w:color w:val="000000"/>
                <w:sz w:val="24"/>
                <w:szCs w:val="24"/>
                <w:lang w:val="en-US"/>
              </w:rPr>
              <w:t>Φαρμακευτική αγωγή</w:t>
            </w:r>
          </w:p>
        </w:tc>
        <w:tc>
          <w:tcPr>
            <w:tcW w:w="1570" w:type="dxa"/>
          </w:tcPr>
          <w:p w:rsidR="00F7632C" w:rsidRPr="00205242" w:rsidRDefault="00F7632C" w:rsidP="0008037E">
            <w:pPr>
              <w:widowControl w:val="0"/>
              <w:autoSpaceDE w:val="0"/>
              <w:autoSpaceDN w:val="0"/>
              <w:adjustRightInd w:val="0"/>
              <w:spacing w:after="0"/>
              <w:ind w:left="60" w:right="60"/>
              <w:jc w:val="center"/>
              <w:rPr>
                <w:rFonts w:asciiTheme="minorHAnsi" w:eastAsia="MS Mincho" w:hAnsiTheme="minorHAnsi" w:cs="Arial"/>
                <w:i/>
                <w:color w:val="000000"/>
                <w:sz w:val="24"/>
                <w:szCs w:val="24"/>
                <w:lang w:val="en-US"/>
              </w:rPr>
            </w:pPr>
            <w:r w:rsidRPr="00205242">
              <w:rPr>
                <w:rFonts w:asciiTheme="minorHAnsi" w:eastAsia="MS Mincho" w:hAnsiTheme="minorHAnsi" w:cs="Arial"/>
                <w:i/>
                <w:color w:val="000000"/>
                <w:sz w:val="24"/>
                <w:szCs w:val="24"/>
                <w:lang w:val="en-US"/>
              </w:rPr>
              <w:t>Παρουσία στη συνεδρία</w:t>
            </w:r>
          </w:p>
        </w:tc>
        <w:tc>
          <w:tcPr>
            <w:tcW w:w="1689" w:type="dxa"/>
          </w:tcPr>
          <w:p w:rsidR="00F7632C" w:rsidRPr="00205242" w:rsidRDefault="00F7632C" w:rsidP="0008037E">
            <w:pPr>
              <w:widowControl w:val="0"/>
              <w:autoSpaceDE w:val="0"/>
              <w:autoSpaceDN w:val="0"/>
              <w:adjustRightInd w:val="0"/>
              <w:spacing w:after="0"/>
              <w:ind w:left="60" w:right="60"/>
              <w:jc w:val="center"/>
              <w:rPr>
                <w:rFonts w:asciiTheme="minorHAnsi" w:eastAsia="MS Mincho" w:hAnsiTheme="minorHAnsi" w:cs="Arial"/>
                <w:i/>
                <w:color w:val="000000"/>
                <w:sz w:val="24"/>
                <w:szCs w:val="24"/>
                <w:lang w:val="en-US"/>
              </w:rPr>
            </w:pPr>
            <w:r w:rsidRPr="00205242">
              <w:rPr>
                <w:rFonts w:asciiTheme="minorHAnsi" w:eastAsia="MS Mincho" w:hAnsiTheme="minorHAnsi" w:cs="Arial"/>
                <w:i/>
                <w:color w:val="000000"/>
                <w:sz w:val="24"/>
                <w:szCs w:val="24"/>
                <w:lang w:val="en-US"/>
              </w:rPr>
              <w:t>Συμμόρφωση στις οδηγίες</w:t>
            </w:r>
          </w:p>
        </w:tc>
      </w:tr>
      <w:tr w:rsidR="00F7632C" w:rsidRPr="00872FD2" w:rsidTr="0008037E">
        <w:trPr>
          <w:cnfStyle w:val="000000100000"/>
          <w:jc w:val="center"/>
        </w:trPr>
        <w:tc>
          <w:tcPr>
            <w:tcW w:w="5007" w:type="dxa"/>
          </w:tcPr>
          <w:p w:rsidR="00F7632C" w:rsidRPr="00872FD2" w:rsidRDefault="00F7632C" w:rsidP="00872FD2">
            <w:pPr>
              <w:widowControl w:val="0"/>
              <w:autoSpaceDE w:val="0"/>
              <w:autoSpaceDN w:val="0"/>
              <w:adjustRightInd w:val="0"/>
              <w:spacing w:after="0" w:line="360" w:lineRule="auto"/>
              <w:ind w:left="60" w:right="60"/>
              <w:rPr>
                <w:rFonts w:asciiTheme="minorHAnsi" w:eastAsia="MS Mincho" w:hAnsiTheme="minorHAnsi" w:cs="Arial"/>
                <w:color w:val="000000"/>
                <w:sz w:val="24"/>
                <w:szCs w:val="24"/>
              </w:rPr>
            </w:pPr>
            <w:r w:rsidRPr="00872FD2">
              <w:rPr>
                <w:rFonts w:asciiTheme="minorHAnsi" w:eastAsia="MS Mincho" w:hAnsiTheme="minorHAnsi" w:cs="Arial"/>
                <w:color w:val="000000"/>
                <w:sz w:val="24"/>
                <w:szCs w:val="24"/>
              </w:rPr>
              <w:t xml:space="preserve">Έχετε ποτέ ξεχάσει να πάρετε τα φάρμακά σας τις </w:t>
            </w:r>
            <w:r w:rsidR="006F3F2A" w:rsidRPr="00872FD2">
              <w:rPr>
                <w:rFonts w:asciiTheme="minorHAnsi" w:eastAsia="MS Mincho" w:hAnsiTheme="minorHAnsi" w:cs="Arial"/>
                <w:color w:val="000000"/>
                <w:sz w:val="24"/>
                <w:szCs w:val="24"/>
              </w:rPr>
              <w:t>ημέρες</w:t>
            </w:r>
            <w:r w:rsidRPr="00872FD2">
              <w:rPr>
                <w:rFonts w:asciiTheme="minorHAnsi" w:eastAsia="MS Mincho" w:hAnsiTheme="minorHAnsi" w:cs="Arial"/>
                <w:color w:val="000000"/>
                <w:sz w:val="24"/>
                <w:szCs w:val="24"/>
              </w:rPr>
              <w:t xml:space="preserve"> που μεσολαβούν μεταξύ των δύο συνεδριών αιμοκάθαρσης;</w:t>
            </w:r>
          </w:p>
        </w:tc>
        <w:tc>
          <w:tcPr>
            <w:tcW w:w="1832"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000000"/>
                <w:sz w:val="24"/>
                <w:szCs w:val="24"/>
                <w:lang w:val="en-US"/>
              </w:rPr>
            </w:pPr>
            <w:r w:rsidRPr="00872FD2">
              <w:rPr>
                <w:rFonts w:asciiTheme="minorHAnsi" w:eastAsia="MS Mincho" w:hAnsiTheme="minorHAnsi" w:cs="Arial"/>
                <w:color w:val="000000"/>
                <w:sz w:val="24"/>
                <w:szCs w:val="24"/>
                <w:lang w:val="en-US"/>
              </w:rPr>
              <w:t>0,860</w:t>
            </w:r>
          </w:p>
        </w:tc>
        <w:tc>
          <w:tcPr>
            <w:tcW w:w="1570"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A6A6A6"/>
                <w:sz w:val="24"/>
                <w:szCs w:val="24"/>
                <w:lang w:val="en-US"/>
              </w:rPr>
            </w:pPr>
            <w:r w:rsidRPr="00872FD2">
              <w:rPr>
                <w:rFonts w:asciiTheme="minorHAnsi" w:eastAsia="MS Mincho" w:hAnsiTheme="minorHAnsi" w:cs="Arial"/>
                <w:color w:val="A6A6A6"/>
                <w:sz w:val="24"/>
                <w:szCs w:val="24"/>
                <w:lang w:val="en-US"/>
              </w:rPr>
              <w:t>-0,092</w:t>
            </w:r>
          </w:p>
        </w:tc>
        <w:tc>
          <w:tcPr>
            <w:tcW w:w="1689"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A6A6A6"/>
                <w:sz w:val="24"/>
                <w:szCs w:val="24"/>
                <w:lang w:val="en-US"/>
              </w:rPr>
            </w:pPr>
            <w:r w:rsidRPr="00872FD2">
              <w:rPr>
                <w:rFonts w:asciiTheme="minorHAnsi" w:eastAsia="MS Mincho" w:hAnsiTheme="minorHAnsi" w:cs="Arial"/>
                <w:color w:val="A6A6A6"/>
                <w:sz w:val="24"/>
                <w:szCs w:val="24"/>
                <w:lang w:val="en-US"/>
              </w:rPr>
              <w:t>0,131</w:t>
            </w:r>
          </w:p>
        </w:tc>
      </w:tr>
      <w:tr w:rsidR="00F7632C" w:rsidRPr="00872FD2" w:rsidTr="0008037E">
        <w:trPr>
          <w:cnfStyle w:val="000000010000"/>
          <w:jc w:val="center"/>
        </w:trPr>
        <w:tc>
          <w:tcPr>
            <w:tcW w:w="5007" w:type="dxa"/>
          </w:tcPr>
          <w:p w:rsidR="00F7632C" w:rsidRPr="00872FD2" w:rsidRDefault="00F7632C" w:rsidP="00872FD2">
            <w:pPr>
              <w:widowControl w:val="0"/>
              <w:autoSpaceDE w:val="0"/>
              <w:autoSpaceDN w:val="0"/>
              <w:adjustRightInd w:val="0"/>
              <w:spacing w:after="0" w:line="360" w:lineRule="auto"/>
              <w:ind w:left="60" w:right="60"/>
              <w:rPr>
                <w:rFonts w:asciiTheme="minorHAnsi" w:eastAsia="MS Mincho" w:hAnsiTheme="minorHAnsi" w:cs="Arial"/>
                <w:color w:val="000000"/>
                <w:sz w:val="24"/>
                <w:szCs w:val="24"/>
              </w:rPr>
            </w:pPr>
            <w:r w:rsidRPr="00872FD2">
              <w:rPr>
                <w:rFonts w:asciiTheme="minorHAnsi" w:eastAsia="MS Mincho" w:hAnsiTheme="minorHAnsi" w:cs="Arial"/>
                <w:color w:val="000000"/>
                <w:sz w:val="24"/>
                <w:szCs w:val="24"/>
              </w:rPr>
              <w:t>Έχετε ποτέ ξεχάσει να πάρετε τα φάρμακά σας;</w:t>
            </w:r>
          </w:p>
        </w:tc>
        <w:tc>
          <w:tcPr>
            <w:tcW w:w="1832"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000000"/>
                <w:sz w:val="24"/>
                <w:szCs w:val="24"/>
                <w:lang w:val="en-US"/>
              </w:rPr>
            </w:pPr>
            <w:r w:rsidRPr="00872FD2">
              <w:rPr>
                <w:rFonts w:asciiTheme="minorHAnsi" w:eastAsia="MS Mincho" w:hAnsiTheme="minorHAnsi" w:cs="Arial"/>
                <w:color w:val="000000"/>
                <w:sz w:val="24"/>
                <w:szCs w:val="24"/>
                <w:lang w:val="en-US"/>
              </w:rPr>
              <w:t>0,775</w:t>
            </w:r>
          </w:p>
        </w:tc>
        <w:tc>
          <w:tcPr>
            <w:tcW w:w="1570"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A6A6A6"/>
                <w:sz w:val="24"/>
                <w:szCs w:val="24"/>
                <w:lang w:val="en-US"/>
              </w:rPr>
            </w:pPr>
            <w:r w:rsidRPr="00872FD2">
              <w:rPr>
                <w:rFonts w:asciiTheme="minorHAnsi" w:eastAsia="MS Mincho" w:hAnsiTheme="minorHAnsi" w:cs="Arial"/>
                <w:color w:val="A6A6A6"/>
                <w:sz w:val="24"/>
                <w:szCs w:val="24"/>
                <w:lang w:val="en-US"/>
              </w:rPr>
              <w:t>0,285</w:t>
            </w:r>
          </w:p>
        </w:tc>
        <w:tc>
          <w:tcPr>
            <w:tcW w:w="1689"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A6A6A6"/>
                <w:sz w:val="24"/>
                <w:szCs w:val="24"/>
                <w:lang w:val="en-US"/>
              </w:rPr>
            </w:pPr>
            <w:r w:rsidRPr="00872FD2">
              <w:rPr>
                <w:rFonts w:asciiTheme="minorHAnsi" w:eastAsia="MS Mincho" w:hAnsiTheme="minorHAnsi" w:cs="Arial"/>
                <w:color w:val="A6A6A6"/>
                <w:sz w:val="24"/>
                <w:szCs w:val="24"/>
                <w:lang w:val="en-US"/>
              </w:rPr>
              <w:t>0,022</w:t>
            </w:r>
          </w:p>
        </w:tc>
      </w:tr>
      <w:tr w:rsidR="00F7632C" w:rsidRPr="00872FD2" w:rsidTr="0008037E">
        <w:trPr>
          <w:cnfStyle w:val="000000100000"/>
          <w:jc w:val="center"/>
        </w:trPr>
        <w:tc>
          <w:tcPr>
            <w:tcW w:w="5007" w:type="dxa"/>
          </w:tcPr>
          <w:p w:rsidR="00F7632C" w:rsidRPr="00872FD2" w:rsidRDefault="00F7632C" w:rsidP="00872FD2">
            <w:pPr>
              <w:widowControl w:val="0"/>
              <w:autoSpaceDE w:val="0"/>
              <w:autoSpaceDN w:val="0"/>
              <w:adjustRightInd w:val="0"/>
              <w:spacing w:after="0" w:line="360" w:lineRule="auto"/>
              <w:ind w:left="60" w:right="60"/>
              <w:rPr>
                <w:rFonts w:asciiTheme="minorHAnsi" w:eastAsia="MS Mincho" w:hAnsiTheme="minorHAnsi" w:cs="Arial"/>
                <w:color w:val="000000"/>
                <w:sz w:val="24"/>
                <w:szCs w:val="24"/>
              </w:rPr>
            </w:pPr>
            <w:r w:rsidRPr="00872FD2">
              <w:rPr>
                <w:rFonts w:asciiTheme="minorHAnsi" w:eastAsia="MS Mincho" w:hAnsiTheme="minorHAnsi" w:cs="Arial"/>
                <w:color w:val="000000"/>
                <w:sz w:val="24"/>
                <w:szCs w:val="24"/>
              </w:rPr>
              <w:t>Την τελευταία εβδομάδα, πόσες φορές δεν πήρατε τη δόση του φαρμάκου σας;</w:t>
            </w:r>
          </w:p>
        </w:tc>
        <w:tc>
          <w:tcPr>
            <w:tcW w:w="1832"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000000"/>
                <w:sz w:val="24"/>
                <w:szCs w:val="24"/>
                <w:lang w:val="en-US"/>
              </w:rPr>
            </w:pPr>
            <w:r w:rsidRPr="00872FD2">
              <w:rPr>
                <w:rFonts w:asciiTheme="minorHAnsi" w:eastAsia="MS Mincho" w:hAnsiTheme="minorHAnsi" w:cs="Arial"/>
                <w:color w:val="000000"/>
                <w:sz w:val="24"/>
                <w:szCs w:val="24"/>
                <w:lang w:val="en-US"/>
              </w:rPr>
              <w:t>0,692</w:t>
            </w:r>
          </w:p>
        </w:tc>
        <w:tc>
          <w:tcPr>
            <w:tcW w:w="1570"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A6A6A6"/>
                <w:sz w:val="24"/>
                <w:szCs w:val="24"/>
                <w:lang w:val="en-US"/>
              </w:rPr>
            </w:pPr>
            <w:r w:rsidRPr="00872FD2">
              <w:rPr>
                <w:rFonts w:asciiTheme="minorHAnsi" w:eastAsia="MS Mincho" w:hAnsiTheme="minorHAnsi" w:cs="Arial"/>
                <w:color w:val="A6A6A6"/>
                <w:sz w:val="24"/>
                <w:szCs w:val="24"/>
                <w:lang w:val="en-US"/>
              </w:rPr>
              <w:t>0,348</w:t>
            </w:r>
          </w:p>
        </w:tc>
        <w:tc>
          <w:tcPr>
            <w:tcW w:w="1689"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A6A6A6"/>
                <w:sz w:val="24"/>
                <w:szCs w:val="24"/>
                <w:lang w:val="en-US"/>
              </w:rPr>
            </w:pPr>
            <w:r w:rsidRPr="00872FD2">
              <w:rPr>
                <w:rFonts w:asciiTheme="minorHAnsi" w:eastAsia="MS Mincho" w:hAnsiTheme="minorHAnsi" w:cs="Arial"/>
                <w:color w:val="A6A6A6"/>
                <w:sz w:val="24"/>
                <w:szCs w:val="24"/>
                <w:lang w:val="en-US"/>
              </w:rPr>
              <w:t>0,167</w:t>
            </w:r>
          </w:p>
        </w:tc>
      </w:tr>
      <w:tr w:rsidR="00F7632C" w:rsidRPr="00872FD2" w:rsidTr="0008037E">
        <w:trPr>
          <w:cnfStyle w:val="000000010000"/>
          <w:jc w:val="center"/>
        </w:trPr>
        <w:tc>
          <w:tcPr>
            <w:tcW w:w="5007" w:type="dxa"/>
          </w:tcPr>
          <w:p w:rsidR="00F7632C" w:rsidRPr="00872FD2" w:rsidRDefault="00F7632C" w:rsidP="00872FD2">
            <w:pPr>
              <w:widowControl w:val="0"/>
              <w:autoSpaceDE w:val="0"/>
              <w:autoSpaceDN w:val="0"/>
              <w:adjustRightInd w:val="0"/>
              <w:spacing w:after="0" w:line="360" w:lineRule="auto"/>
              <w:ind w:left="60" w:right="60"/>
              <w:rPr>
                <w:rFonts w:asciiTheme="minorHAnsi" w:eastAsia="MS Mincho" w:hAnsiTheme="minorHAnsi" w:cs="Arial"/>
                <w:color w:val="000000"/>
                <w:sz w:val="24"/>
                <w:szCs w:val="24"/>
              </w:rPr>
            </w:pPr>
            <w:r w:rsidRPr="00872FD2">
              <w:rPr>
                <w:rFonts w:asciiTheme="minorHAnsi" w:eastAsia="MS Mincho" w:hAnsiTheme="minorHAnsi" w:cs="Arial"/>
                <w:color w:val="000000"/>
                <w:sz w:val="24"/>
                <w:szCs w:val="24"/>
              </w:rPr>
              <w:t>Όταν αισθάνεστε άσχημα, έχετε ποτέ σταματήσει να παίρνετε τα φάρμακά σας;</w:t>
            </w:r>
          </w:p>
        </w:tc>
        <w:tc>
          <w:tcPr>
            <w:tcW w:w="1832"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000000"/>
                <w:sz w:val="24"/>
                <w:szCs w:val="24"/>
                <w:lang w:val="en-US"/>
              </w:rPr>
            </w:pPr>
            <w:r w:rsidRPr="00872FD2">
              <w:rPr>
                <w:rFonts w:asciiTheme="minorHAnsi" w:eastAsia="MS Mincho" w:hAnsiTheme="minorHAnsi" w:cs="Arial"/>
                <w:color w:val="000000"/>
                <w:sz w:val="24"/>
                <w:szCs w:val="24"/>
                <w:lang w:val="en-US"/>
              </w:rPr>
              <w:t>0,621</w:t>
            </w:r>
          </w:p>
        </w:tc>
        <w:tc>
          <w:tcPr>
            <w:tcW w:w="1570"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A6A6A6"/>
                <w:sz w:val="24"/>
                <w:szCs w:val="24"/>
                <w:lang w:val="en-US"/>
              </w:rPr>
            </w:pPr>
            <w:r w:rsidRPr="00872FD2">
              <w:rPr>
                <w:rFonts w:asciiTheme="minorHAnsi" w:eastAsia="MS Mincho" w:hAnsiTheme="minorHAnsi" w:cs="Arial"/>
                <w:color w:val="A6A6A6"/>
                <w:sz w:val="24"/>
                <w:szCs w:val="24"/>
                <w:lang w:val="en-US"/>
              </w:rPr>
              <w:t>-0,203</w:t>
            </w:r>
          </w:p>
        </w:tc>
        <w:tc>
          <w:tcPr>
            <w:tcW w:w="1689"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A6A6A6"/>
                <w:sz w:val="24"/>
                <w:szCs w:val="24"/>
                <w:lang w:val="en-US"/>
              </w:rPr>
            </w:pPr>
            <w:r w:rsidRPr="00872FD2">
              <w:rPr>
                <w:rFonts w:asciiTheme="minorHAnsi" w:eastAsia="MS Mincho" w:hAnsiTheme="minorHAnsi" w:cs="Arial"/>
                <w:color w:val="A6A6A6"/>
                <w:sz w:val="24"/>
                <w:szCs w:val="24"/>
                <w:lang w:val="en-US"/>
              </w:rPr>
              <w:t>0,398</w:t>
            </w:r>
          </w:p>
        </w:tc>
      </w:tr>
      <w:tr w:rsidR="00F7632C" w:rsidRPr="00872FD2" w:rsidTr="0008037E">
        <w:trPr>
          <w:cnfStyle w:val="000000100000"/>
          <w:jc w:val="center"/>
        </w:trPr>
        <w:tc>
          <w:tcPr>
            <w:tcW w:w="5007" w:type="dxa"/>
          </w:tcPr>
          <w:p w:rsidR="00F7632C" w:rsidRPr="00872FD2" w:rsidRDefault="00F7632C" w:rsidP="00872FD2">
            <w:pPr>
              <w:widowControl w:val="0"/>
              <w:autoSpaceDE w:val="0"/>
              <w:autoSpaceDN w:val="0"/>
              <w:adjustRightInd w:val="0"/>
              <w:spacing w:after="0" w:line="360" w:lineRule="auto"/>
              <w:ind w:left="60" w:right="60"/>
              <w:rPr>
                <w:rFonts w:asciiTheme="minorHAnsi" w:eastAsia="MS Mincho" w:hAnsiTheme="minorHAnsi" w:cs="Arial"/>
                <w:color w:val="000000"/>
                <w:sz w:val="24"/>
                <w:szCs w:val="24"/>
              </w:rPr>
            </w:pPr>
            <w:r w:rsidRPr="00872FD2">
              <w:rPr>
                <w:rFonts w:asciiTheme="minorHAnsi" w:eastAsia="MS Mincho" w:hAnsiTheme="minorHAnsi" w:cs="Arial"/>
                <w:color w:val="000000"/>
                <w:sz w:val="24"/>
                <w:szCs w:val="24"/>
              </w:rPr>
              <w:t>Τον προηγούμενο μήνα, κατά μέσο όρο πόσα λεπτά συντομεύτηκε η συνεδρία με δική σας πρωτοβουλία;</w:t>
            </w:r>
          </w:p>
        </w:tc>
        <w:tc>
          <w:tcPr>
            <w:tcW w:w="1832"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A6A6A6"/>
                <w:sz w:val="24"/>
                <w:szCs w:val="24"/>
                <w:lang w:val="en-US"/>
              </w:rPr>
            </w:pPr>
            <w:r w:rsidRPr="00872FD2">
              <w:rPr>
                <w:rFonts w:asciiTheme="minorHAnsi" w:eastAsia="MS Mincho" w:hAnsiTheme="minorHAnsi" w:cs="Arial"/>
                <w:color w:val="A6A6A6"/>
                <w:sz w:val="24"/>
                <w:szCs w:val="24"/>
                <w:lang w:val="en-US"/>
              </w:rPr>
              <w:t>0,078</w:t>
            </w:r>
          </w:p>
        </w:tc>
        <w:tc>
          <w:tcPr>
            <w:tcW w:w="1570"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000000"/>
                <w:sz w:val="24"/>
                <w:szCs w:val="24"/>
                <w:lang w:val="en-US"/>
              </w:rPr>
            </w:pPr>
            <w:r w:rsidRPr="00872FD2">
              <w:rPr>
                <w:rFonts w:asciiTheme="minorHAnsi" w:eastAsia="MS Mincho" w:hAnsiTheme="minorHAnsi" w:cs="Arial"/>
                <w:color w:val="000000"/>
                <w:sz w:val="24"/>
                <w:szCs w:val="24"/>
                <w:lang w:val="en-US"/>
              </w:rPr>
              <w:t>0,912</w:t>
            </w:r>
          </w:p>
        </w:tc>
        <w:tc>
          <w:tcPr>
            <w:tcW w:w="1689"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A6A6A6"/>
                <w:sz w:val="24"/>
                <w:szCs w:val="24"/>
                <w:lang w:val="en-US"/>
              </w:rPr>
            </w:pPr>
            <w:r w:rsidRPr="00872FD2">
              <w:rPr>
                <w:rFonts w:asciiTheme="minorHAnsi" w:eastAsia="MS Mincho" w:hAnsiTheme="minorHAnsi" w:cs="Arial"/>
                <w:color w:val="A6A6A6"/>
                <w:sz w:val="24"/>
                <w:szCs w:val="24"/>
                <w:lang w:val="en-US"/>
              </w:rPr>
              <w:t>0,113</w:t>
            </w:r>
          </w:p>
        </w:tc>
      </w:tr>
      <w:tr w:rsidR="00F7632C" w:rsidRPr="00872FD2" w:rsidTr="0008037E">
        <w:trPr>
          <w:cnfStyle w:val="000000010000"/>
          <w:jc w:val="center"/>
        </w:trPr>
        <w:tc>
          <w:tcPr>
            <w:tcW w:w="5007" w:type="dxa"/>
          </w:tcPr>
          <w:p w:rsidR="00F7632C" w:rsidRPr="00872FD2" w:rsidRDefault="00F7632C" w:rsidP="0008037E">
            <w:pPr>
              <w:widowControl w:val="0"/>
              <w:autoSpaceDE w:val="0"/>
              <w:autoSpaceDN w:val="0"/>
              <w:adjustRightInd w:val="0"/>
              <w:spacing w:after="0" w:line="360" w:lineRule="auto"/>
              <w:ind w:left="60" w:right="60"/>
              <w:rPr>
                <w:rFonts w:asciiTheme="minorHAnsi" w:eastAsia="MS Mincho" w:hAnsiTheme="minorHAnsi" w:cs="Arial"/>
                <w:color w:val="000000"/>
                <w:sz w:val="24"/>
                <w:szCs w:val="24"/>
              </w:rPr>
            </w:pPr>
            <w:r w:rsidRPr="00872FD2">
              <w:rPr>
                <w:rFonts w:asciiTheme="minorHAnsi" w:eastAsia="MS Mincho" w:hAnsiTheme="minorHAnsi" w:cs="Arial"/>
                <w:color w:val="000000"/>
                <w:sz w:val="24"/>
                <w:szCs w:val="24"/>
              </w:rPr>
              <w:t>Τον προηγο</w:t>
            </w:r>
            <w:r w:rsidR="006F3F2A" w:rsidRPr="00872FD2">
              <w:rPr>
                <w:rFonts w:asciiTheme="minorHAnsi" w:eastAsia="MS Mincho" w:hAnsiTheme="minorHAnsi" w:cs="Arial"/>
                <w:color w:val="000000"/>
                <w:sz w:val="24"/>
                <w:szCs w:val="24"/>
              </w:rPr>
              <w:t>ύμενο μήνα, πόσες φορές συντομεύ</w:t>
            </w:r>
            <w:r w:rsidRPr="00872FD2">
              <w:rPr>
                <w:rFonts w:asciiTheme="minorHAnsi" w:eastAsia="MS Mincho" w:hAnsiTheme="minorHAnsi" w:cs="Arial"/>
                <w:color w:val="000000"/>
                <w:sz w:val="24"/>
                <w:szCs w:val="24"/>
              </w:rPr>
              <w:t>σατε τη συνεδρία με δική σας πρωτοβουλία;</w:t>
            </w:r>
          </w:p>
        </w:tc>
        <w:tc>
          <w:tcPr>
            <w:tcW w:w="1832"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A6A6A6"/>
                <w:sz w:val="24"/>
                <w:szCs w:val="24"/>
                <w:lang w:val="en-US"/>
              </w:rPr>
            </w:pPr>
            <w:r w:rsidRPr="00872FD2">
              <w:rPr>
                <w:rFonts w:asciiTheme="minorHAnsi" w:eastAsia="MS Mincho" w:hAnsiTheme="minorHAnsi" w:cs="Arial"/>
                <w:color w:val="A6A6A6"/>
                <w:sz w:val="24"/>
                <w:szCs w:val="24"/>
                <w:lang w:val="en-US"/>
              </w:rPr>
              <w:t>0,057</w:t>
            </w:r>
          </w:p>
        </w:tc>
        <w:tc>
          <w:tcPr>
            <w:tcW w:w="1570"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000000"/>
                <w:sz w:val="24"/>
                <w:szCs w:val="24"/>
                <w:lang w:val="en-US"/>
              </w:rPr>
            </w:pPr>
            <w:r w:rsidRPr="00872FD2">
              <w:rPr>
                <w:rFonts w:asciiTheme="minorHAnsi" w:eastAsia="MS Mincho" w:hAnsiTheme="minorHAnsi" w:cs="Arial"/>
                <w:color w:val="000000"/>
                <w:sz w:val="24"/>
                <w:szCs w:val="24"/>
                <w:lang w:val="en-US"/>
              </w:rPr>
              <w:t>0,901</w:t>
            </w:r>
          </w:p>
        </w:tc>
        <w:tc>
          <w:tcPr>
            <w:tcW w:w="1689"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A6A6A6"/>
                <w:sz w:val="24"/>
                <w:szCs w:val="24"/>
                <w:lang w:val="en-US"/>
              </w:rPr>
            </w:pPr>
            <w:r w:rsidRPr="00872FD2">
              <w:rPr>
                <w:rFonts w:asciiTheme="minorHAnsi" w:eastAsia="MS Mincho" w:hAnsiTheme="minorHAnsi" w:cs="Arial"/>
                <w:color w:val="A6A6A6"/>
                <w:sz w:val="24"/>
                <w:szCs w:val="24"/>
                <w:lang w:val="en-US"/>
              </w:rPr>
              <w:t>0,178</w:t>
            </w:r>
          </w:p>
        </w:tc>
      </w:tr>
      <w:tr w:rsidR="00F7632C" w:rsidRPr="00872FD2" w:rsidTr="0008037E">
        <w:trPr>
          <w:cnfStyle w:val="000000100000"/>
          <w:jc w:val="center"/>
        </w:trPr>
        <w:tc>
          <w:tcPr>
            <w:tcW w:w="5007" w:type="dxa"/>
          </w:tcPr>
          <w:p w:rsidR="00F7632C" w:rsidRPr="00872FD2" w:rsidRDefault="00F7632C" w:rsidP="00872FD2">
            <w:pPr>
              <w:widowControl w:val="0"/>
              <w:autoSpaceDE w:val="0"/>
              <w:autoSpaceDN w:val="0"/>
              <w:adjustRightInd w:val="0"/>
              <w:spacing w:after="0" w:line="360" w:lineRule="auto"/>
              <w:ind w:left="60" w:right="60"/>
              <w:rPr>
                <w:rFonts w:asciiTheme="minorHAnsi" w:eastAsia="MS Mincho" w:hAnsiTheme="minorHAnsi" w:cs="Arial"/>
                <w:color w:val="000000"/>
                <w:sz w:val="24"/>
                <w:szCs w:val="24"/>
              </w:rPr>
            </w:pPr>
            <w:r w:rsidRPr="00872FD2">
              <w:rPr>
                <w:rFonts w:asciiTheme="minorHAnsi" w:eastAsia="MS Mincho" w:hAnsiTheme="minorHAnsi" w:cs="Arial"/>
                <w:color w:val="000000"/>
                <w:sz w:val="24"/>
                <w:szCs w:val="24"/>
              </w:rPr>
              <w:t>Κατά την προηγούμενη εβδομάδα, πόσο συχνά ακολουθήσατε τις οδηγίες για τον περιορισμό στα υγρά;</w:t>
            </w:r>
          </w:p>
        </w:tc>
        <w:tc>
          <w:tcPr>
            <w:tcW w:w="1832"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A6A6A6"/>
                <w:sz w:val="24"/>
                <w:szCs w:val="24"/>
                <w:lang w:val="en-US"/>
              </w:rPr>
            </w:pPr>
            <w:r w:rsidRPr="00872FD2">
              <w:rPr>
                <w:rFonts w:asciiTheme="minorHAnsi" w:eastAsia="MS Mincho" w:hAnsiTheme="minorHAnsi" w:cs="Arial"/>
                <w:color w:val="A6A6A6"/>
                <w:sz w:val="24"/>
                <w:szCs w:val="24"/>
                <w:lang w:val="en-US"/>
              </w:rPr>
              <w:t>0,157</w:t>
            </w:r>
          </w:p>
        </w:tc>
        <w:tc>
          <w:tcPr>
            <w:tcW w:w="1570"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A6A6A6"/>
                <w:sz w:val="24"/>
                <w:szCs w:val="24"/>
                <w:lang w:val="en-US"/>
              </w:rPr>
            </w:pPr>
            <w:r w:rsidRPr="00872FD2">
              <w:rPr>
                <w:rFonts w:asciiTheme="minorHAnsi" w:eastAsia="MS Mincho" w:hAnsiTheme="minorHAnsi" w:cs="Arial"/>
                <w:color w:val="A6A6A6"/>
                <w:sz w:val="24"/>
                <w:szCs w:val="24"/>
                <w:lang w:val="en-US"/>
              </w:rPr>
              <w:t>0,107</w:t>
            </w:r>
          </w:p>
        </w:tc>
        <w:tc>
          <w:tcPr>
            <w:tcW w:w="1689"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000000"/>
                <w:sz w:val="24"/>
                <w:szCs w:val="24"/>
                <w:lang w:val="en-US"/>
              </w:rPr>
            </w:pPr>
            <w:r w:rsidRPr="00872FD2">
              <w:rPr>
                <w:rFonts w:asciiTheme="minorHAnsi" w:eastAsia="MS Mincho" w:hAnsiTheme="minorHAnsi" w:cs="Arial"/>
                <w:color w:val="000000"/>
                <w:sz w:val="24"/>
                <w:szCs w:val="24"/>
                <w:lang w:val="en-US"/>
              </w:rPr>
              <w:t>0,871</w:t>
            </w:r>
          </w:p>
        </w:tc>
      </w:tr>
      <w:tr w:rsidR="00F7632C" w:rsidRPr="00872FD2" w:rsidTr="0008037E">
        <w:trPr>
          <w:cnfStyle w:val="000000010000"/>
          <w:jc w:val="center"/>
        </w:trPr>
        <w:tc>
          <w:tcPr>
            <w:tcW w:w="5007" w:type="dxa"/>
          </w:tcPr>
          <w:p w:rsidR="00F7632C" w:rsidRPr="00872FD2" w:rsidRDefault="00F7632C" w:rsidP="00872FD2">
            <w:pPr>
              <w:widowControl w:val="0"/>
              <w:autoSpaceDE w:val="0"/>
              <w:autoSpaceDN w:val="0"/>
              <w:adjustRightInd w:val="0"/>
              <w:spacing w:after="0" w:line="360" w:lineRule="auto"/>
              <w:ind w:left="60" w:right="60"/>
              <w:rPr>
                <w:rFonts w:asciiTheme="minorHAnsi" w:eastAsia="MS Mincho" w:hAnsiTheme="minorHAnsi" w:cs="Arial"/>
                <w:color w:val="000000"/>
                <w:sz w:val="24"/>
                <w:szCs w:val="24"/>
              </w:rPr>
            </w:pPr>
            <w:r w:rsidRPr="00872FD2">
              <w:rPr>
                <w:rFonts w:asciiTheme="minorHAnsi" w:eastAsia="MS Mincho" w:hAnsiTheme="minorHAnsi" w:cs="Arial"/>
                <w:color w:val="000000"/>
                <w:sz w:val="24"/>
                <w:szCs w:val="24"/>
              </w:rPr>
              <w:t>Κατά την προηγούμενη εβδομάδα πόσες φορές ακολουθήσατε τις διαιτητικές συστάσεις;</w:t>
            </w:r>
          </w:p>
        </w:tc>
        <w:tc>
          <w:tcPr>
            <w:tcW w:w="1832"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A6A6A6"/>
                <w:sz w:val="24"/>
                <w:szCs w:val="24"/>
                <w:lang w:val="en-US"/>
              </w:rPr>
            </w:pPr>
            <w:r w:rsidRPr="00872FD2">
              <w:rPr>
                <w:rFonts w:asciiTheme="minorHAnsi" w:eastAsia="MS Mincho" w:hAnsiTheme="minorHAnsi" w:cs="Arial"/>
                <w:color w:val="A6A6A6"/>
                <w:sz w:val="24"/>
                <w:szCs w:val="24"/>
                <w:lang w:val="en-US"/>
              </w:rPr>
              <w:t>0,085</w:t>
            </w:r>
          </w:p>
        </w:tc>
        <w:tc>
          <w:tcPr>
            <w:tcW w:w="1570"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A6A6A6"/>
                <w:sz w:val="24"/>
                <w:szCs w:val="24"/>
                <w:lang w:val="en-US"/>
              </w:rPr>
            </w:pPr>
            <w:r w:rsidRPr="00872FD2">
              <w:rPr>
                <w:rFonts w:asciiTheme="minorHAnsi" w:eastAsia="MS Mincho" w:hAnsiTheme="minorHAnsi" w:cs="Arial"/>
                <w:color w:val="A6A6A6"/>
                <w:sz w:val="24"/>
                <w:szCs w:val="24"/>
                <w:lang w:val="en-US"/>
              </w:rPr>
              <w:t>0,213</w:t>
            </w:r>
          </w:p>
        </w:tc>
        <w:tc>
          <w:tcPr>
            <w:tcW w:w="1689" w:type="dxa"/>
          </w:tcPr>
          <w:p w:rsidR="00F7632C" w:rsidRPr="00872FD2" w:rsidRDefault="00F7632C" w:rsidP="00872FD2">
            <w:pPr>
              <w:widowControl w:val="0"/>
              <w:autoSpaceDE w:val="0"/>
              <w:autoSpaceDN w:val="0"/>
              <w:adjustRightInd w:val="0"/>
              <w:spacing w:after="0" w:line="360" w:lineRule="auto"/>
              <w:ind w:left="60" w:right="60"/>
              <w:jc w:val="center"/>
              <w:rPr>
                <w:rFonts w:asciiTheme="minorHAnsi" w:eastAsia="MS Mincho" w:hAnsiTheme="minorHAnsi" w:cs="Arial"/>
                <w:color w:val="000000"/>
                <w:sz w:val="24"/>
                <w:szCs w:val="24"/>
                <w:lang w:val="en-US"/>
              </w:rPr>
            </w:pPr>
            <w:r w:rsidRPr="00872FD2">
              <w:rPr>
                <w:rFonts w:asciiTheme="minorHAnsi" w:eastAsia="MS Mincho" w:hAnsiTheme="minorHAnsi" w:cs="Arial"/>
                <w:color w:val="000000"/>
                <w:sz w:val="24"/>
                <w:szCs w:val="24"/>
                <w:lang w:val="en-US"/>
              </w:rPr>
              <w:t>0,821</w:t>
            </w:r>
          </w:p>
        </w:tc>
      </w:tr>
      <w:tr w:rsidR="00F7632C" w:rsidRPr="00872FD2" w:rsidTr="0008037E">
        <w:trPr>
          <w:cnfStyle w:val="000000100000"/>
          <w:jc w:val="center"/>
        </w:trPr>
        <w:tc>
          <w:tcPr>
            <w:tcW w:w="10098" w:type="dxa"/>
            <w:gridSpan w:val="4"/>
          </w:tcPr>
          <w:p w:rsidR="00F7632C" w:rsidRPr="00872FD2" w:rsidRDefault="00F7632C" w:rsidP="0008037E">
            <w:pPr>
              <w:widowControl w:val="0"/>
              <w:autoSpaceDE w:val="0"/>
              <w:autoSpaceDN w:val="0"/>
              <w:adjustRightInd w:val="0"/>
              <w:spacing w:after="0"/>
              <w:ind w:left="60" w:right="60"/>
              <w:rPr>
                <w:rFonts w:asciiTheme="minorHAnsi" w:eastAsia="MS Mincho" w:hAnsiTheme="minorHAnsi" w:cs="Arial"/>
                <w:i/>
                <w:color w:val="000000"/>
              </w:rPr>
            </w:pPr>
            <w:r w:rsidRPr="00872FD2">
              <w:rPr>
                <w:rFonts w:asciiTheme="minorHAnsi" w:eastAsia="MS Mincho" w:hAnsiTheme="minorHAnsi" w:cs="Arial"/>
                <w:i/>
                <w:color w:val="000000"/>
              </w:rPr>
              <w:t xml:space="preserve">Μέθοδος εξαγωγής των παραγόντων: Μέθοδος Κυρίων Συνιστωσών. </w:t>
            </w:r>
          </w:p>
          <w:p w:rsidR="00F7632C" w:rsidRPr="00872FD2" w:rsidRDefault="00F7632C" w:rsidP="0008037E">
            <w:pPr>
              <w:widowControl w:val="0"/>
              <w:autoSpaceDE w:val="0"/>
              <w:autoSpaceDN w:val="0"/>
              <w:adjustRightInd w:val="0"/>
              <w:spacing w:after="0"/>
              <w:ind w:left="60" w:right="60"/>
              <w:rPr>
                <w:rFonts w:asciiTheme="minorHAnsi" w:eastAsia="MS Mincho" w:hAnsiTheme="minorHAnsi" w:cs="Arial"/>
                <w:i/>
                <w:color w:val="000000"/>
              </w:rPr>
            </w:pPr>
            <w:r w:rsidRPr="00872FD2">
              <w:rPr>
                <w:rFonts w:asciiTheme="minorHAnsi" w:eastAsia="MS Mincho" w:hAnsiTheme="minorHAnsi" w:cs="Arial"/>
                <w:i/>
                <w:color w:val="000000"/>
              </w:rPr>
              <w:t xml:space="preserve">Μέθοδος περιστροφής των αξόνων: </w:t>
            </w:r>
            <w:r w:rsidRPr="00872FD2">
              <w:rPr>
                <w:rFonts w:asciiTheme="minorHAnsi" w:eastAsia="MS Mincho" w:hAnsiTheme="minorHAnsi" w:cs="Arial"/>
                <w:i/>
                <w:color w:val="000000"/>
                <w:lang w:val="en-US"/>
              </w:rPr>
              <w:t>Equamax</w:t>
            </w:r>
            <w:r w:rsidRPr="00872FD2">
              <w:rPr>
                <w:rFonts w:asciiTheme="minorHAnsi" w:eastAsia="MS Mincho" w:hAnsiTheme="minorHAnsi" w:cs="Arial"/>
                <w:i/>
                <w:color w:val="000000"/>
              </w:rPr>
              <w:t xml:space="preserve"> με κανονικοποίηση κατά </w:t>
            </w:r>
            <w:r w:rsidRPr="00872FD2">
              <w:rPr>
                <w:rFonts w:asciiTheme="minorHAnsi" w:eastAsia="MS Mincho" w:hAnsiTheme="minorHAnsi" w:cs="Arial"/>
                <w:i/>
                <w:color w:val="000000"/>
                <w:lang w:val="en-US"/>
              </w:rPr>
              <w:t>Kaiser</w:t>
            </w:r>
            <w:r w:rsidRPr="00872FD2">
              <w:rPr>
                <w:rFonts w:asciiTheme="minorHAnsi" w:eastAsia="MS Mincho" w:hAnsiTheme="minorHAnsi" w:cs="Arial"/>
                <w:i/>
                <w:color w:val="000000"/>
              </w:rPr>
              <w:t>.</w:t>
            </w:r>
          </w:p>
        </w:tc>
      </w:tr>
    </w:tbl>
    <w:p w:rsidR="00EF17F5" w:rsidRDefault="00EF17F5" w:rsidP="005A464E">
      <w:pPr>
        <w:spacing w:line="360" w:lineRule="auto"/>
        <w:jc w:val="both"/>
        <w:rPr>
          <w:b/>
          <w:i/>
          <w:sz w:val="24"/>
          <w:szCs w:val="24"/>
          <w:lang w:eastAsia="el-GR"/>
        </w:rPr>
      </w:pPr>
    </w:p>
    <w:p w:rsidR="0044168C" w:rsidRPr="00DB6A65" w:rsidRDefault="00B62E2D" w:rsidP="005A464E">
      <w:pPr>
        <w:spacing w:line="360" w:lineRule="auto"/>
        <w:jc w:val="both"/>
        <w:rPr>
          <w:i/>
          <w:sz w:val="24"/>
          <w:szCs w:val="24"/>
          <w:lang w:eastAsia="el-GR"/>
        </w:rPr>
      </w:pPr>
      <w:r w:rsidRPr="00DB6A65">
        <w:rPr>
          <w:i/>
          <w:sz w:val="24"/>
          <w:szCs w:val="24"/>
          <w:lang w:eastAsia="el-GR"/>
        </w:rPr>
        <w:t xml:space="preserve">Αξιοπιστία του ερωτηματολογίου συμμόρφωσης </w:t>
      </w:r>
      <w:r w:rsidR="0044168C" w:rsidRPr="00DB6A65">
        <w:rPr>
          <w:i/>
          <w:sz w:val="24"/>
          <w:szCs w:val="24"/>
          <w:lang w:val="en-US" w:eastAsia="el-GR"/>
        </w:rPr>
        <w:t>GR</w:t>
      </w:r>
      <w:r w:rsidR="0044168C" w:rsidRPr="00DB6A65">
        <w:rPr>
          <w:i/>
          <w:sz w:val="24"/>
          <w:szCs w:val="24"/>
          <w:lang w:eastAsia="el-GR"/>
        </w:rPr>
        <w:t>-</w:t>
      </w:r>
      <w:r w:rsidR="0044168C" w:rsidRPr="00DB6A65">
        <w:rPr>
          <w:i/>
          <w:sz w:val="24"/>
          <w:szCs w:val="24"/>
          <w:lang w:val="en-US" w:eastAsia="el-GR"/>
        </w:rPr>
        <w:t>SMAQ</w:t>
      </w:r>
      <w:r w:rsidR="0044168C" w:rsidRPr="00DB6A65">
        <w:rPr>
          <w:i/>
          <w:sz w:val="24"/>
          <w:szCs w:val="24"/>
          <w:lang w:eastAsia="el-GR"/>
        </w:rPr>
        <w:t>-</w:t>
      </w:r>
      <w:r w:rsidR="0044168C" w:rsidRPr="00DB6A65">
        <w:rPr>
          <w:i/>
          <w:sz w:val="24"/>
          <w:szCs w:val="24"/>
          <w:lang w:val="en-US" w:eastAsia="el-GR"/>
        </w:rPr>
        <w:t>HD</w:t>
      </w:r>
    </w:p>
    <w:p w:rsidR="0044168C" w:rsidRPr="00214D9E" w:rsidRDefault="00B62E2D" w:rsidP="005A464E">
      <w:pPr>
        <w:spacing w:line="360" w:lineRule="auto"/>
        <w:jc w:val="both"/>
        <w:rPr>
          <w:sz w:val="24"/>
          <w:szCs w:val="24"/>
          <w:u w:val="single"/>
          <w:lang w:eastAsia="el-GR"/>
        </w:rPr>
      </w:pPr>
      <w:r w:rsidRPr="00214D9E">
        <w:rPr>
          <w:sz w:val="24"/>
          <w:szCs w:val="24"/>
          <w:u w:val="single"/>
          <w:lang w:eastAsia="el-GR"/>
        </w:rPr>
        <w:t>Δοκιμασία επαναληψιμότητας</w:t>
      </w:r>
    </w:p>
    <w:p w:rsidR="0044168C" w:rsidRDefault="00524C3F" w:rsidP="005A464E">
      <w:pPr>
        <w:spacing w:line="360" w:lineRule="auto"/>
        <w:jc w:val="both"/>
        <w:rPr>
          <w:rFonts w:eastAsia="Times New Roman" w:cstheme="minorHAnsi"/>
          <w:sz w:val="24"/>
          <w:szCs w:val="24"/>
          <w:lang w:eastAsia="el-GR"/>
        </w:rPr>
      </w:pPr>
      <w:r w:rsidRPr="005A464E">
        <w:rPr>
          <w:sz w:val="24"/>
          <w:szCs w:val="24"/>
          <w:lang w:eastAsia="el-GR"/>
        </w:rPr>
        <w:t>Για τη μέτρηση της αξιοπιστίας εφαρμόσθηκε η δοκιμασία επαναληψιμότητας</w:t>
      </w:r>
      <w:r w:rsidR="0044168C" w:rsidRPr="005A464E">
        <w:rPr>
          <w:sz w:val="24"/>
          <w:szCs w:val="24"/>
          <w:lang w:eastAsia="el-GR"/>
        </w:rPr>
        <w:t xml:space="preserve">. </w:t>
      </w:r>
      <w:r w:rsidRPr="005A464E">
        <w:rPr>
          <w:sz w:val="24"/>
          <w:szCs w:val="24"/>
          <w:lang w:eastAsia="el-GR"/>
        </w:rPr>
        <w:t>Από το σύνολο των 107 ασθενών, οι 17 συμπλήρωσαν την κλίμακα για δεύτερη φορά</w:t>
      </w:r>
      <w:r w:rsidR="0078495A">
        <w:rPr>
          <w:sz w:val="24"/>
          <w:szCs w:val="24"/>
          <w:lang w:eastAsia="el-GR"/>
        </w:rPr>
        <w:t xml:space="preserve"> </w:t>
      </w:r>
      <w:r w:rsidR="00D8735E">
        <w:rPr>
          <w:sz w:val="24"/>
          <w:szCs w:val="24"/>
          <w:lang w:eastAsia="el-GR"/>
        </w:rPr>
        <w:t>2</w:t>
      </w:r>
      <w:r w:rsidRPr="005A464E">
        <w:rPr>
          <w:sz w:val="24"/>
          <w:szCs w:val="24"/>
          <w:lang w:eastAsia="el-GR"/>
        </w:rPr>
        <w:t xml:space="preserve"> εβδομάδες μετά την αρχική χορήγηση. Εφαρμόσθηκε η μέθοδος </w:t>
      </w:r>
      <w:r w:rsidR="0044168C" w:rsidRPr="005A464E">
        <w:rPr>
          <w:sz w:val="24"/>
          <w:szCs w:val="24"/>
          <w:lang w:val="en-US" w:eastAsia="el-GR"/>
        </w:rPr>
        <w:t>McNemar</w:t>
      </w:r>
      <w:r w:rsidR="0044168C" w:rsidRPr="005A464E">
        <w:rPr>
          <w:sz w:val="24"/>
          <w:szCs w:val="24"/>
          <w:lang w:eastAsia="el-GR"/>
        </w:rPr>
        <w:t>-</w:t>
      </w:r>
      <w:r w:rsidR="0044168C" w:rsidRPr="005A464E">
        <w:rPr>
          <w:sz w:val="24"/>
          <w:szCs w:val="24"/>
          <w:lang w:val="en-US" w:eastAsia="el-GR"/>
        </w:rPr>
        <w:t>Bowker</w:t>
      </w:r>
      <w:r w:rsidR="0044168C" w:rsidRPr="005A464E">
        <w:rPr>
          <w:sz w:val="24"/>
          <w:szCs w:val="24"/>
          <w:lang w:eastAsia="el-GR"/>
        </w:rPr>
        <w:t xml:space="preserve">. </w:t>
      </w:r>
      <w:r w:rsidRPr="005A464E">
        <w:rPr>
          <w:sz w:val="24"/>
          <w:szCs w:val="24"/>
          <w:lang w:eastAsia="el-GR"/>
        </w:rPr>
        <w:t xml:space="preserve">Καμία στατιστικά σημαντική διαφορά δεν σημειώθηκε μεταξύ της πρώτης και δεύτερης χορήγησης </w:t>
      </w:r>
      <w:r w:rsidR="0044168C" w:rsidRPr="005A464E">
        <w:rPr>
          <w:sz w:val="24"/>
          <w:szCs w:val="24"/>
          <w:lang w:eastAsia="el-GR"/>
        </w:rPr>
        <w:t>(</w:t>
      </w:r>
      <w:r w:rsidR="0044168C" w:rsidRPr="005A464E">
        <w:rPr>
          <w:sz w:val="24"/>
          <w:szCs w:val="24"/>
          <w:lang w:val="en-US" w:eastAsia="el-GR"/>
        </w:rPr>
        <w:t>p</w:t>
      </w:r>
      <w:r w:rsidR="005D2DE3">
        <w:rPr>
          <w:sz w:val="24"/>
          <w:szCs w:val="24"/>
          <w:lang w:eastAsia="el-GR"/>
        </w:rPr>
        <w:t>≥ 0,005) (Πίν 8</w:t>
      </w:r>
      <w:r w:rsidR="006D13A7" w:rsidRPr="005A464E">
        <w:rPr>
          <w:sz w:val="24"/>
          <w:szCs w:val="24"/>
          <w:lang w:eastAsia="el-GR"/>
        </w:rPr>
        <w:t>).</w:t>
      </w:r>
      <w:r w:rsidR="00DC0D77" w:rsidRPr="00DC0D77">
        <w:rPr>
          <w:rFonts w:eastAsia="Times New Roman" w:cstheme="minorHAnsi"/>
          <w:sz w:val="24"/>
          <w:szCs w:val="24"/>
          <w:lang w:eastAsia="el-GR"/>
        </w:rPr>
        <w:t xml:space="preserve"> </w:t>
      </w:r>
      <w:r w:rsidR="00821124" w:rsidRPr="00DC0D77">
        <w:rPr>
          <w:rFonts w:eastAsia="Times New Roman" w:cstheme="minorHAnsi"/>
          <w:sz w:val="24"/>
          <w:szCs w:val="24"/>
          <w:lang w:eastAsia="el-GR"/>
        </w:rPr>
        <w:t>Συμφωνα με τη βιβλιογραφία, (</w:t>
      </w:r>
      <w:r w:rsidR="00821124" w:rsidRPr="00DC0D77">
        <w:rPr>
          <w:rFonts w:eastAsia="Times New Roman" w:cstheme="minorHAnsi"/>
          <w:sz w:val="24"/>
          <w:szCs w:val="24"/>
          <w:lang w:val="en-US" w:eastAsia="el-GR"/>
        </w:rPr>
        <w:t>Streiner</w:t>
      </w:r>
      <w:r w:rsidR="00821124" w:rsidRPr="00DC0D77">
        <w:rPr>
          <w:rFonts w:eastAsia="Times New Roman" w:cstheme="minorHAnsi"/>
          <w:sz w:val="24"/>
          <w:szCs w:val="24"/>
          <w:lang w:eastAsia="el-GR"/>
        </w:rPr>
        <w:t xml:space="preserve">, </w:t>
      </w:r>
      <w:r w:rsidR="00821124" w:rsidRPr="00DC0D77">
        <w:rPr>
          <w:rFonts w:eastAsia="Times New Roman" w:cstheme="minorHAnsi"/>
          <w:sz w:val="24"/>
          <w:szCs w:val="24"/>
          <w:lang w:val="en-US" w:eastAsia="el-GR"/>
        </w:rPr>
        <w:t>Norman</w:t>
      </w:r>
      <w:r w:rsidR="00821124" w:rsidRPr="00DC0D77">
        <w:rPr>
          <w:rFonts w:eastAsia="Times New Roman" w:cstheme="minorHAnsi"/>
          <w:sz w:val="24"/>
          <w:szCs w:val="24"/>
          <w:lang w:eastAsia="el-GR"/>
        </w:rPr>
        <w:t xml:space="preserve"> &amp; </w:t>
      </w:r>
      <w:r w:rsidR="00821124" w:rsidRPr="00DC0D77">
        <w:rPr>
          <w:rFonts w:eastAsia="Times New Roman" w:cstheme="minorHAnsi"/>
          <w:sz w:val="24"/>
          <w:szCs w:val="24"/>
          <w:lang w:val="en-US" w:eastAsia="el-GR"/>
        </w:rPr>
        <w:t>Cairney</w:t>
      </w:r>
      <w:r w:rsidR="00821124" w:rsidRPr="00DC0D77">
        <w:rPr>
          <w:rFonts w:eastAsia="Times New Roman" w:cstheme="minorHAnsi"/>
          <w:sz w:val="24"/>
          <w:szCs w:val="24"/>
          <w:lang w:eastAsia="el-GR"/>
        </w:rPr>
        <w:t>, 2003), απαιτούνται 2-14 ημέρες μεταξύ της 1</w:t>
      </w:r>
      <w:r w:rsidR="00821124" w:rsidRPr="00DC0D77">
        <w:rPr>
          <w:rFonts w:eastAsia="Times New Roman" w:cstheme="minorHAnsi"/>
          <w:sz w:val="24"/>
          <w:szCs w:val="24"/>
          <w:vertAlign w:val="superscript"/>
          <w:lang w:eastAsia="el-GR"/>
        </w:rPr>
        <w:t>ης</w:t>
      </w:r>
      <w:r w:rsidR="00821124" w:rsidRPr="00DC0D77">
        <w:rPr>
          <w:rFonts w:eastAsia="Times New Roman" w:cstheme="minorHAnsi"/>
          <w:sz w:val="24"/>
          <w:szCs w:val="24"/>
          <w:lang w:eastAsia="el-GR"/>
        </w:rPr>
        <w:t xml:space="preserve"> και 2</w:t>
      </w:r>
      <w:r w:rsidR="00821124" w:rsidRPr="00DC0D77">
        <w:rPr>
          <w:rFonts w:eastAsia="Times New Roman" w:cstheme="minorHAnsi"/>
          <w:sz w:val="24"/>
          <w:szCs w:val="24"/>
          <w:vertAlign w:val="superscript"/>
          <w:lang w:eastAsia="el-GR"/>
        </w:rPr>
        <w:t>ης</w:t>
      </w:r>
      <w:r w:rsidR="00821124" w:rsidRPr="00DC0D77">
        <w:rPr>
          <w:rFonts w:eastAsia="Times New Roman" w:cstheme="minorHAnsi"/>
          <w:sz w:val="24"/>
          <w:szCs w:val="24"/>
          <w:lang w:eastAsia="el-GR"/>
        </w:rPr>
        <w:t xml:space="preserve"> χορήγησης του ερωτηματολογίου. Οι ασθενείς θεώρησαν το ερωτηματολόγιο εύκολο στη συμπλήρωση και κατανοητό.</w:t>
      </w:r>
    </w:p>
    <w:p w:rsidR="00012754" w:rsidRPr="00C7093D" w:rsidRDefault="00012754" w:rsidP="00012754">
      <w:pPr>
        <w:spacing w:after="0" w:line="480" w:lineRule="auto"/>
        <w:jc w:val="both"/>
        <w:rPr>
          <w:rFonts w:asciiTheme="minorHAnsi" w:eastAsiaTheme="minorHAnsi" w:hAnsiTheme="minorHAnsi" w:cstheme="minorBidi"/>
          <w:bCs/>
          <w:i/>
          <w:color w:val="000000"/>
          <w:sz w:val="24"/>
          <w:szCs w:val="24"/>
          <w:lang w:eastAsia="el-GR"/>
        </w:rPr>
      </w:pPr>
      <w:r w:rsidRPr="00C7093D">
        <w:rPr>
          <w:rFonts w:asciiTheme="minorHAnsi" w:eastAsiaTheme="minorHAnsi" w:hAnsiTheme="minorHAnsi" w:cstheme="minorBidi"/>
          <w:bCs/>
          <w:color w:val="000000"/>
          <w:sz w:val="24"/>
          <w:szCs w:val="24"/>
          <w:lang w:eastAsia="el-GR"/>
        </w:rPr>
        <w:t xml:space="preserve">Πίνακας </w:t>
      </w:r>
      <w:r w:rsidR="005D2DE3">
        <w:rPr>
          <w:rFonts w:asciiTheme="minorHAnsi" w:eastAsiaTheme="minorHAnsi" w:hAnsiTheme="minorHAnsi" w:cstheme="minorBidi"/>
          <w:bCs/>
          <w:color w:val="000000"/>
          <w:sz w:val="24"/>
          <w:szCs w:val="24"/>
          <w:lang w:eastAsia="el-GR"/>
        </w:rPr>
        <w:t>8</w:t>
      </w:r>
    </w:p>
    <w:p w:rsidR="00012754" w:rsidRPr="00872CE5" w:rsidRDefault="00012754" w:rsidP="00012754">
      <w:pPr>
        <w:spacing w:line="360" w:lineRule="auto"/>
        <w:jc w:val="both"/>
        <w:rPr>
          <w:rFonts w:eastAsia="Times New Roman" w:cstheme="minorHAnsi"/>
          <w:sz w:val="24"/>
          <w:szCs w:val="24"/>
          <w:lang w:eastAsia="el-GR"/>
        </w:rPr>
      </w:pPr>
      <w:r w:rsidRPr="008847F1">
        <w:rPr>
          <w:rFonts w:asciiTheme="minorHAnsi" w:eastAsiaTheme="minorHAnsi" w:hAnsiTheme="minorHAnsi" w:cstheme="minorBidi"/>
          <w:bCs/>
          <w:i/>
          <w:color w:val="000000"/>
          <w:sz w:val="24"/>
          <w:szCs w:val="24"/>
          <w:lang w:eastAsia="el-GR"/>
        </w:rPr>
        <w:t xml:space="preserve">Δοκιμασία επαναληψιμότητας </w:t>
      </w:r>
      <w:r w:rsidRPr="008847F1">
        <w:rPr>
          <w:rFonts w:asciiTheme="minorHAnsi" w:eastAsiaTheme="minorHAnsi" w:hAnsiTheme="minorHAnsi" w:cstheme="minorBidi"/>
          <w:bCs/>
          <w:i/>
          <w:color w:val="000000"/>
          <w:sz w:val="24"/>
          <w:szCs w:val="24"/>
          <w:lang w:val="en-US" w:eastAsia="el-GR"/>
        </w:rPr>
        <w:t>GR</w:t>
      </w:r>
      <w:r w:rsidRPr="008847F1">
        <w:rPr>
          <w:rFonts w:asciiTheme="minorHAnsi" w:eastAsiaTheme="minorHAnsi" w:hAnsiTheme="minorHAnsi" w:cstheme="minorBidi"/>
          <w:bCs/>
          <w:i/>
          <w:color w:val="000000"/>
          <w:sz w:val="24"/>
          <w:szCs w:val="24"/>
          <w:lang w:eastAsia="el-GR"/>
        </w:rPr>
        <w:t>-</w:t>
      </w:r>
      <w:r w:rsidRPr="008847F1">
        <w:rPr>
          <w:rFonts w:asciiTheme="minorHAnsi" w:eastAsiaTheme="minorHAnsi" w:hAnsiTheme="minorHAnsi" w:cstheme="minorBidi"/>
          <w:bCs/>
          <w:i/>
          <w:color w:val="000000"/>
          <w:sz w:val="24"/>
          <w:szCs w:val="24"/>
          <w:lang w:val="en-US" w:eastAsia="el-GR"/>
        </w:rPr>
        <w:t>SMAQ</w:t>
      </w:r>
      <w:r w:rsidRPr="008847F1">
        <w:rPr>
          <w:rFonts w:asciiTheme="minorHAnsi" w:eastAsiaTheme="minorHAnsi" w:hAnsiTheme="minorHAnsi" w:cstheme="minorBidi"/>
          <w:bCs/>
          <w:i/>
          <w:color w:val="000000"/>
          <w:sz w:val="24"/>
          <w:szCs w:val="24"/>
          <w:lang w:eastAsia="el-GR"/>
        </w:rPr>
        <w:t>-</w:t>
      </w:r>
      <w:r w:rsidRPr="008847F1">
        <w:rPr>
          <w:rFonts w:asciiTheme="minorHAnsi" w:eastAsiaTheme="minorHAnsi" w:hAnsiTheme="minorHAnsi" w:cstheme="minorBidi"/>
          <w:bCs/>
          <w:i/>
          <w:color w:val="000000"/>
          <w:sz w:val="24"/>
          <w:szCs w:val="24"/>
          <w:lang w:val="en-US" w:eastAsia="el-GR"/>
        </w:rPr>
        <w:t>HD</w:t>
      </w:r>
    </w:p>
    <w:tbl>
      <w:tblPr>
        <w:tblStyle w:val="-41"/>
        <w:tblW w:w="8505" w:type="dxa"/>
        <w:tblLook w:val="0400"/>
      </w:tblPr>
      <w:tblGrid>
        <w:gridCol w:w="2977"/>
        <w:gridCol w:w="5528"/>
      </w:tblGrid>
      <w:tr w:rsidR="00524C3F" w:rsidRPr="004766A7" w:rsidTr="00012754">
        <w:trPr>
          <w:cnfStyle w:val="000000100000"/>
        </w:trPr>
        <w:tc>
          <w:tcPr>
            <w:tcW w:w="2977" w:type="dxa"/>
          </w:tcPr>
          <w:p w:rsidR="00524C3F" w:rsidRPr="004766A7" w:rsidRDefault="00396CCA" w:rsidP="00872FD2">
            <w:pPr>
              <w:autoSpaceDE w:val="0"/>
              <w:autoSpaceDN w:val="0"/>
              <w:adjustRightInd w:val="0"/>
              <w:spacing w:after="0" w:line="360" w:lineRule="auto"/>
              <w:ind w:left="60" w:right="60"/>
              <w:jc w:val="center"/>
              <w:rPr>
                <w:rFonts w:asciiTheme="minorHAnsi" w:eastAsiaTheme="minorHAnsi" w:hAnsiTheme="minorHAnsi" w:cs="Arial"/>
                <w:color w:val="000000"/>
                <w:sz w:val="24"/>
                <w:szCs w:val="24"/>
              </w:rPr>
            </w:pPr>
            <w:r w:rsidRPr="004766A7">
              <w:rPr>
                <w:rFonts w:asciiTheme="minorHAnsi" w:eastAsiaTheme="minorHAnsi" w:hAnsiTheme="minorHAnsi" w:cs="Arial"/>
                <w:color w:val="000000"/>
                <w:sz w:val="24"/>
                <w:szCs w:val="24"/>
                <w:lang w:val="en-US"/>
              </w:rPr>
              <w:t xml:space="preserve">GR-SMAQ-HD </w:t>
            </w:r>
          </w:p>
        </w:tc>
        <w:tc>
          <w:tcPr>
            <w:tcW w:w="5528" w:type="dxa"/>
          </w:tcPr>
          <w:p w:rsidR="00524C3F" w:rsidRPr="004766A7" w:rsidRDefault="00524C3F" w:rsidP="00872FD2">
            <w:pPr>
              <w:spacing w:after="0" w:line="360" w:lineRule="auto"/>
              <w:jc w:val="center"/>
              <w:rPr>
                <w:rFonts w:asciiTheme="minorHAnsi" w:eastAsiaTheme="minorHAnsi" w:hAnsiTheme="minorHAnsi" w:cs="Arial"/>
                <w:color w:val="000000"/>
                <w:sz w:val="24"/>
                <w:szCs w:val="24"/>
                <w:lang w:val="en-US"/>
              </w:rPr>
            </w:pPr>
            <w:r w:rsidRPr="004766A7">
              <w:rPr>
                <w:rFonts w:asciiTheme="minorHAnsi" w:eastAsiaTheme="minorHAnsi" w:hAnsiTheme="minorHAnsi" w:cs="Arial"/>
                <w:color w:val="000000"/>
                <w:sz w:val="24"/>
                <w:szCs w:val="24"/>
                <w:lang w:val="en-US"/>
              </w:rPr>
              <w:t>p-value</w:t>
            </w:r>
          </w:p>
        </w:tc>
      </w:tr>
      <w:tr w:rsidR="00524C3F" w:rsidRPr="004766A7" w:rsidTr="00012754">
        <w:trPr>
          <w:cnfStyle w:val="000000010000"/>
        </w:trPr>
        <w:tc>
          <w:tcPr>
            <w:tcW w:w="2977" w:type="dxa"/>
          </w:tcPr>
          <w:p w:rsidR="00524C3F" w:rsidRPr="004766A7" w:rsidRDefault="00396CCA" w:rsidP="00872FD2">
            <w:pPr>
              <w:autoSpaceDE w:val="0"/>
              <w:autoSpaceDN w:val="0"/>
              <w:adjustRightInd w:val="0"/>
              <w:spacing w:after="0" w:line="360" w:lineRule="auto"/>
              <w:ind w:left="60" w:right="60"/>
              <w:jc w:val="center"/>
              <w:rPr>
                <w:rFonts w:asciiTheme="minorHAnsi" w:eastAsiaTheme="minorHAnsi" w:hAnsiTheme="minorHAnsi" w:cs="Arial"/>
                <w:color w:val="000000"/>
                <w:sz w:val="24"/>
                <w:szCs w:val="24"/>
                <w:lang w:val="en-US"/>
              </w:rPr>
            </w:pPr>
            <w:r w:rsidRPr="004766A7">
              <w:rPr>
                <w:rFonts w:asciiTheme="minorHAnsi" w:eastAsiaTheme="minorHAnsi" w:hAnsiTheme="minorHAnsi" w:cs="Arial"/>
                <w:color w:val="000000"/>
                <w:sz w:val="24"/>
                <w:szCs w:val="24"/>
              </w:rPr>
              <w:t>Ερώτηση</w:t>
            </w:r>
            <w:r w:rsidR="00524C3F" w:rsidRPr="004766A7">
              <w:rPr>
                <w:rFonts w:asciiTheme="minorHAnsi" w:eastAsiaTheme="minorHAnsi" w:hAnsiTheme="minorHAnsi" w:cs="Arial"/>
                <w:color w:val="000000"/>
                <w:sz w:val="24"/>
                <w:szCs w:val="24"/>
                <w:lang w:val="en-US"/>
              </w:rPr>
              <w:t xml:space="preserve"> 1</w:t>
            </w:r>
          </w:p>
        </w:tc>
        <w:tc>
          <w:tcPr>
            <w:tcW w:w="5528" w:type="dxa"/>
          </w:tcPr>
          <w:p w:rsidR="00524C3F" w:rsidRPr="004766A7" w:rsidRDefault="00524C3F" w:rsidP="00872FD2">
            <w:pPr>
              <w:spacing w:after="0" w:line="360" w:lineRule="auto"/>
              <w:jc w:val="center"/>
              <w:rPr>
                <w:rFonts w:asciiTheme="minorHAnsi" w:eastAsiaTheme="minorHAnsi" w:hAnsiTheme="minorHAnsi" w:cstheme="minorBidi"/>
                <w:color w:val="000000"/>
                <w:sz w:val="24"/>
                <w:szCs w:val="24"/>
              </w:rPr>
            </w:pPr>
            <w:r w:rsidRPr="004766A7">
              <w:rPr>
                <w:rFonts w:asciiTheme="minorHAnsi" w:eastAsiaTheme="minorHAnsi" w:hAnsiTheme="minorHAnsi" w:cs="Arial"/>
                <w:color w:val="000000"/>
                <w:sz w:val="24"/>
                <w:szCs w:val="24"/>
              </w:rPr>
              <w:t>1,000</w:t>
            </w:r>
          </w:p>
        </w:tc>
      </w:tr>
      <w:tr w:rsidR="00524C3F" w:rsidRPr="004766A7" w:rsidTr="00012754">
        <w:trPr>
          <w:cnfStyle w:val="000000100000"/>
        </w:trPr>
        <w:tc>
          <w:tcPr>
            <w:tcW w:w="2977" w:type="dxa"/>
          </w:tcPr>
          <w:p w:rsidR="00524C3F" w:rsidRPr="004766A7" w:rsidRDefault="00396CCA" w:rsidP="00872FD2">
            <w:pPr>
              <w:autoSpaceDE w:val="0"/>
              <w:autoSpaceDN w:val="0"/>
              <w:adjustRightInd w:val="0"/>
              <w:spacing w:after="0" w:line="360" w:lineRule="auto"/>
              <w:ind w:left="60" w:right="60"/>
              <w:jc w:val="center"/>
              <w:rPr>
                <w:rFonts w:asciiTheme="minorHAnsi" w:eastAsiaTheme="minorHAnsi" w:hAnsiTheme="minorHAnsi" w:cs="Arial"/>
                <w:color w:val="000000"/>
                <w:sz w:val="24"/>
                <w:szCs w:val="24"/>
                <w:lang w:val="en-US"/>
              </w:rPr>
            </w:pPr>
            <w:r w:rsidRPr="004766A7">
              <w:rPr>
                <w:rFonts w:asciiTheme="minorHAnsi" w:eastAsiaTheme="minorHAnsi" w:hAnsiTheme="minorHAnsi" w:cs="Arial"/>
                <w:color w:val="000000"/>
                <w:sz w:val="24"/>
                <w:szCs w:val="24"/>
                <w:lang w:val="en-US"/>
              </w:rPr>
              <w:t xml:space="preserve">Ερώτηση </w:t>
            </w:r>
            <w:r w:rsidR="00524C3F" w:rsidRPr="004766A7">
              <w:rPr>
                <w:rFonts w:asciiTheme="minorHAnsi" w:eastAsiaTheme="minorHAnsi" w:hAnsiTheme="minorHAnsi" w:cs="Arial"/>
                <w:color w:val="000000"/>
                <w:sz w:val="24"/>
                <w:szCs w:val="24"/>
                <w:lang w:val="en-US"/>
              </w:rPr>
              <w:t>2</w:t>
            </w:r>
          </w:p>
        </w:tc>
        <w:tc>
          <w:tcPr>
            <w:tcW w:w="5528" w:type="dxa"/>
          </w:tcPr>
          <w:p w:rsidR="00524C3F" w:rsidRPr="004766A7" w:rsidRDefault="00524C3F" w:rsidP="00872FD2">
            <w:pPr>
              <w:spacing w:after="0" w:line="360" w:lineRule="auto"/>
              <w:jc w:val="center"/>
              <w:rPr>
                <w:rFonts w:asciiTheme="minorHAnsi" w:eastAsiaTheme="minorHAnsi" w:hAnsiTheme="minorHAnsi" w:cstheme="minorBidi"/>
                <w:color w:val="000000"/>
                <w:sz w:val="24"/>
                <w:szCs w:val="24"/>
              </w:rPr>
            </w:pPr>
            <w:r w:rsidRPr="004766A7">
              <w:rPr>
                <w:rFonts w:asciiTheme="minorHAnsi" w:eastAsiaTheme="minorHAnsi" w:hAnsiTheme="minorHAnsi" w:cs="Arial"/>
                <w:color w:val="000000"/>
                <w:sz w:val="24"/>
                <w:szCs w:val="24"/>
              </w:rPr>
              <w:t>1,000</w:t>
            </w:r>
          </w:p>
        </w:tc>
      </w:tr>
      <w:tr w:rsidR="00524C3F" w:rsidRPr="004766A7" w:rsidTr="00012754">
        <w:trPr>
          <w:cnfStyle w:val="000000010000"/>
        </w:trPr>
        <w:tc>
          <w:tcPr>
            <w:tcW w:w="2977" w:type="dxa"/>
          </w:tcPr>
          <w:p w:rsidR="00524C3F" w:rsidRPr="004766A7" w:rsidRDefault="00396CCA" w:rsidP="00872FD2">
            <w:pPr>
              <w:autoSpaceDE w:val="0"/>
              <w:autoSpaceDN w:val="0"/>
              <w:adjustRightInd w:val="0"/>
              <w:spacing w:after="0" w:line="360" w:lineRule="auto"/>
              <w:ind w:left="60" w:right="60"/>
              <w:jc w:val="center"/>
              <w:rPr>
                <w:rFonts w:asciiTheme="minorHAnsi" w:eastAsiaTheme="minorHAnsi" w:hAnsiTheme="minorHAnsi" w:cs="Arial"/>
                <w:color w:val="000000"/>
                <w:sz w:val="24"/>
                <w:szCs w:val="24"/>
                <w:lang w:val="en-US"/>
              </w:rPr>
            </w:pPr>
            <w:r w:rsidRPr="004766A7">
              <w:rPr>
                <w:rFonts w:asciiTheme="minorHAnsi" w:eastAsiaTheme="minorHAnsi" w:hAnsiTheme="minorHAnsi" w:cs="Arial"/>
                <w:color w:val="000000"/>
                <w:sz w:val="24"/>
                <w:szCs w:val="24"/>
                <w:lang w:val="en-US"/>
              </w:rPr>
              <w:t>Ερώτηση</w:t>
            </w:r>
            <w:r w:rsidR="00524C3F" w:rsidRPr="004766A7">
              <w:rPr>
                <w:rFonts w:asciiTheme="minorHAnsi" w:eastAsiaTheme="minorHAnsi" w:hAnsiTheme="minorHAnsi" w:cs="Arial"/>
                <w:color w:val="000000"/>
                <w:sz w:val="24"/>
                <w:szCs w:val="24"/>
                <w:lang w:val="en-US"/>
              </w:rPr>
              <w:t xml:space="preserve"> 3</w:t>
            </w:r>
          </w:p>
        </w:tc>
        <w:tc>
          <w:tcPr>
            <w:tcW w:w="5528" w:type="dxa"/>
          </w:tcPr>
          <w:p w:rsidR="00524C3F" w:rsidRPr="004766A7" w:rsidRDefault="00524C3F" w:rsidP="00872FD2">
            <w:pPr>
              <w:spacing w:after="0" w:line="360" w:lineRule="auto"/>
              <w:jc w:val="center"/>
              <w:rPr>
                <w:rFonts w:asciiTheme="minorHAnsi" w:eastAsiaTheme="minorHAnsi" w:hAnsiTheme="minorHAnsi" w:cs="Arial"/>
                <w:color w:val="000000"/>
                <w:sz w:val="24"/>
                <w:szCs w:val="24"/>
              </w:rPr>
            </w:pPr>
            <w:r w:rsidRPr="004766A7">
              <w:rPr>
                <w:rFonts w:asciiTheme="minorHAnsi" w:eastAsiaTheme="minorHAnsi" w:hAnsiTheme="minorHAnsi" w:cs="Arial"/>
                <w:color w:val="000000"/>
                <w:sz w:val="24"/>
                <w:szCs w:val="24"/>
              </w:rPr>
              <w:t>1,000</w:t>
            </w:r>
          </w:p>
        </w:tc>
      </w:tr>
      <w:tr w:rsidR="00524C3F" w:rsidRPr="004766A7" w:rsidTr="00012754">
        <w:trPr>
          <w:cnfStyle w:val="000000100000"/>
        </w:trPr>
        <w:tc>
          <w:tcPr>
            <w:tcW w:w="2977" w:type="dxa"/>
          </w:tcPr>
          <w:p w:rsidR="00524C3F" w:rsidRPr="004766A7" w:rsidRDefault="00396CCA" w:rsidP="00872FD2">
            <w:pPr>
              <w:autoSpaceDE w:val="0"/>
              <w:autoSpaceDN w:val="0"/>
              <w:adjustRightInd w:val="0"/>
              <w:spacing w:after="0" w:line="360" w:lineRule="auto"/>
              <w:ind w:left="60" w:right="60"/>
              <w:jc w:val="center"/>
              <w:rPr>
                <w:rFonts w:asciiTheme="minorHAnsi" w:eastAsiaTheme="minorHAnsi" w:hAnsiTheme="minorHAnsi" w:cs="Arial"/>
                <w:color w:val="000000"/>
                <w:sz w:val="24"/>
                <w:szCs w:val="24"/>
                <w:lang w:val="en-US"/>
              </w:rPr>
            </w:pPr>
            <w:r w:rsidRPr="004766A7">
              <w:rPr>
                <w:rFonts w:asciiTheme="minorHAnsi" w:eastAsiaTheme="minorHAnsi" w:hAnsiTheme="minorHAnsi" w:cs="Arial"/>
                <w:color w:val="000000"/>
                <w:sz w:val="24"/>
                <w:szCs w:val="24"/>
              </w:rPr>
              <w:t>Ερώτηση</w:t>
            </w:r>
            <w:r w:rsidRPr="004766A7">
              <w:rPr>
                <w:rFonts w:asciiTheme="minorHAnsi" w:eastAsiaTheme="minorHAnsi" w:hAnsiTheme="minorHAnsi" w:cs="Arial"/>
                <w:color w:val="000000"/>
                <w:sz w:val="24"/>
                <w:szCs w:val="24"/>
                <w:lang w:val="en-US"/>
              </w:rPr>
              <w:t xml:space="preserve"> </w:t>
            </w:r>
            <w:r w:rsidR="00524C3F" w:rsidRPr="004766A7">
              <w:rPr>
                <w:rFonts w:asciiTheme="minorHAnsi" w:eastAsiaTheme="minorHAnsi" w:hAnsiTheme="minorHAnsi" w:cs="Arial"/>
                <w:color w:val="000000"/>
                <w:sz w:val="24"/>
                <w:szCs w:val="24"/>
                <w:lang w:val="en-US"/>
              </w:rPr>
              <w:t>4</w:t>
            </w:r>
          </w:p>
        </w:tc>
        <w:tc>
          <w:tcPr>
            <w:tcW w:w="5528" w:type="dxa"/>
          </w:tcPr>
          <w:p w:rsidR="00524C3F" w:rsidRPr="004766A7" w:rsidRDefault="00524C3F" w:rsidP="00872FD2">
            <w:pPr>
              <w:spacing w:after="0" w:line="360" w:lineRule="auto"/>
              <w:jc w:val="center"/>
              <w:rPr>
                <w:rFonts w:asciiTheme="minorHAnsi" w:eastAsiaTheme="minorHAnsi" w:hAnsiTheme="minorHAnsi" w:cs="Arial"/>
                <w:color w:val="000000"/>
                <w:sz w:val="24"/>
                <w:szCs w:val="24"/>
              </w:rPr>
            </w:pPr>
            <w:r w:rsidRPr="004766A7">
              <w:rPr>
                <w:rFonts w:asciiTheme="minorHAnsi" w:eastAsiaTheme="minorHAnsi" w:hAnsiTheme="minorHAnsi" w:cs="Arial"/>
                <w:color w:val="000000"/>
                <w:sz w:val="24"/>
                <w:szCs w:val="24"/>
              </w:rPr>
              <w:t>1,000</w:t>
            </w:r>
          </w:p>
        </w:tc>
      </w:tr>
      <w:tr w:rsidR="00524C3F" w:rsidRPr="004766A7" w:rsidTr="00012754">
        <w:trPr>
          <w:cnfStyle w:val="000000010000"/>
        </w:trPr>
        <w:tc>
          <w:tcPr>
            <w:tcW w:w="2977" w:type="dxa"/>
          </w:tcPr>
          <w:p w:rsidR="00524C3F" w:rsidRPr="004766A7" w:rsidRDefault="00396CCA" w:rsidP="00872FD2">
            <w:pPr>
              <w:autoSpaceDE w:val="0"/>
              <w:autoSpaceDN w:val="0"/>
              <w:adjustRightInd w:val="0"/>
              <w:spacing w:after="0" w:line="360" w:lineRule="auto"/>
              <w:ind w:left="60" w:right="60"/>
              <w:jc w:val="center"/>
              <w:rPr>
                <w:rFonts w:asciiTheme="minorHAnsi" w:eastAsiaTheme="minorHAnsi" w:hAnsiTheme="minorHAnsi" w:cs="Arial"/>
                <w:color w:val="000000"/>
                <w:sz w:val="24"/>
                <w:szCs w:val="24"/>
                <w:lang w:val="en-US"/>
              </w:rPr>
            </w:pPr>
            <w:r w:rsidRPr="004766A7">
              <w:rPr>
                <w:rFonts w:asciiTheme="minorHAnsi" w:eastAsiaTheme="minorHAnsi" w:hAnsiTheme="minorHAnsi" w:cs="Arial"/>
                <w:color w:val="000000"/>
                <w:sz w:val="24"/>
                <w:szCs w:val="24"/>
              </w:rPr>
              <w:t>Ερώτηση</w:t>
            </w:r>
            <w:r w:rsidRPr="004766A7">
              <w:rPr>
                <w:rFonts w:asciiTheme="minorHAnsi" w:eastAsiaTheme="minorHAnsi" w:hAnsiTheme="minorHAnsi" w:cs="Arial"/>
                <w:color w:val="000000"/>
                <w:sz w:val="24"/>
                <w:szCs w:val="24"/>
                <w:lang w:val="en-US"/>
              </w:rPr>
              <w:t xml:space="preserve"> </w:t>
            </w:r>
            <w:r w:rsidR="00524C3F" w:rsidRPr="004766A7">
              <w:rPr>
                <w:rFonts w:asciiTheme="minorHAnsi" w:eastAsiaTheme="minorHAnsi" w:hAnsiTheme="minorHAnsi" w:cs="Arial"/>
                <w:color w:val="000000"/>
                <w:sz w:val="24"/>
                <w:szCs w:val="24"/>
                <w:lang w:val="en-US"/>
              </w:rPr>
              <w:t>5</w:t>
            </w:r>
          </w:p>
        </w:tc>
        <w:tc>
          <w:tcPr>
            <w:tcW w:w="5528" w:type="dxa"/>
          </w:tcPr>
          <w:p w:rsidR="00524C3F" w:rsidRPr="004766A7" w:rsidRDefault="00524C3F" w:rsidP="00872FD2">
            <w:pPr>
              <w:spacing w:after="0" w:line="360" w:lineRule="auto"/>
              <w:jc w:val="center"/>
              <w:rPr>
                <w:rFonts w:asciiTheme="minorHAnsi" w:eastAsiaTheme="minorHAnsi" w:hAnsiTheme="minorHAnsi" w:cs="Arial"/>
                <w:color w:val="000000"/>
                <w:sz w:val="24"/>
                <w:szCs w:val="24"/>
                <w:lang w:val="en-US"/>
              </w:rPr>
            </w:pPr>
            <w:r w:rsidRPr="004766A7">
              <w:rPr>
                <w:rFonts w:asciiTheme="minorHAnsi" w:eastAsiaTheme="minorHAnsi" w:hAnsiTheme="minorHAnsi" w:cs="Arial"/>
                <w:color w:val="000000"/>
                <w:sz w:val="24"/>
                <w:szCs w:val="24"/>
                <w:lang w:val="en-US"/>
              </w:rPr>
              <w:t>1,000</w:t>
            </w:r>
          </w:p>
        </w:tc>
      </w:tr>
      <w:tr w:rsidR="00524C3F" w:rsidRPr="004766A7" w:rsidTr="00012754">
        <w:trPr>
          <w:cnfStyle w:val="000000100000"/>
        </w:trPr>
        <w:tc>
          <w:tcPr>
            <w:tcW w:w="2977" w:type="dxa"/>
          </w:tcPr>
          <w:p w:rsidR="00524C3F" w:rsidRPr="004766A7" w:rsidRDefault="00396CCA" w:rsidP="00872FD2">
            <w:pPr>
              <w:autoSpaceDE w:val="0"/>
              <w:autoSpaceDN w:val="0"/>
              <w:adjustRightInd w:val="0"/>
              <w:spacing w:after="0" w:line="360" w:lineRule="auto"/>
              <w:ind w:left="60" w:right="60"/>
              <w:jc w:val="center"/>
              <w:rPr>
                <w:rFonts w:asciiTheme="minorHAnsi" w:eastAsiaTheme="minorHAnsi" w:hAnsiTheme="minorHAnsi" w:cs="Arial"/>
                <w:color w:val="000000"/>
                <w:sz w:val="24"/>
                <w:szCs w:val="24"/>
                <w:lang w:val="en-US"/>
              </w:rPr>
            </w:pPr>
            <w:r w:rsidRPr="004766A7">
              <w:rPr>
                <w:rFonts w:asciiTheme="minorHAnsi" w:eastAsiaTheme="minorHAnsi" w:hAnsiTheme="minorHAnsi" w:cs="Arial"/>
                <w:color w:val="000000"/>
                <w:sz w:val="24"/>
                <w:szCs w:val="24"/>
              </w:rPr>
              <w:t>Ερώτηση</w:t>
            </w:r>
            <w:r w:rsidRPr="004766A7">
              <w:rPr>
                <w:rFonts w:asciiTheme="minorHAnsi" w:eastAsiaTheme="minorHAnsi" w:hAnsiTheme="minorHAnsi" w:cs="Arial"/>
                <w:color w:val="000000"/>
                <w:sz w:val="24"/>
                <w:szCs w:val="24"/>
                <w:lang w:val="en-US"/>
              </w:rPr>
              <w:t xml:space="preserve"> </w:t>
            </w:r>
            <w:r w:rsidR="00524C3F" w:rsidRPr="004766A7">
              <w:rPr>
                <w:rFonts w:asciiTheme="minorHAnsi" w:eastAsiaTheme="minorHAnsi" w:hAnsiTheme="minorHAnsi" w:cs="Arial"/>
                <w:color w:val="000000"/>
                <w:sz w:val="24"/>
                <w:szCs w:val="24"/>
                <w:lang w:val="en-US"/>
              </w:rPr>
              <w:t>6</w:t>
            </w:r>
          </w:p>
        </w:tc>
        <w:tc>
          <w:tcPr>
            <w:tcW w:w="5528" w:type="dxa"/>
          </w:tcPr>
          <w:p w:rsidR="00524C3F" w:rsidRPr="004766A7" w:rsidRDefault="00524C3F" w:rsidP="00872FD2">
            <w:pPr>
              <w:spacing w:after="0" w:line="360" w:lineRule="auto"/>
              <w:jc w:val="center"/>
              <w:rPr>
                <w:rFonts w:asciiTheme="minorHAnsi" w:eastAsiaTheme="minorHAnsi" w:hAnsiTheme="minorHAnsi" w:cs="Arial"/>
                <w:color w:val="000000"/>
                <w:sz w:val="24"/>
                <w:szCs w:val="24"/>
                <w:lang w:val="en-US"/>
              </w:rPr>
            </w:pPr>
            <w:r w:rsidRPr="004766A7">
              <w:rPr>
                <w:rFonts w:asciiTheme="minorHAnsi" w:eastAsiaTheme="minorHAnsi" w:hAnsiTheme="minorHAnsi" w:cs="Arial"/>
                <w:color w:val="000000"/>
                <w:sz w:val="24"/>
                <w:szCs w:val="24"/>
                <w:lang w:val="en-US"/>
              </w:rPr>
              <w:t>1,000</w:t>
            </w:r>
          </w:p>
        </w:tc>
      </w:tr>
      <w:tr w:rsidR="00524C3F" w:rsidRPr="004766A7" w:rsidTr="00012754">
        <w:trPr>
          <w:cnfStyle w:val="000000010000"/>
        </w:trPr>
        <w:tc>
          <w:tcPr>
            <w:tcW w:w="2977" w:type="dxa"/>
          </w:tcPr>
          <w:p w:rsidR="00524C3F" w:rsidRPr="004766A7" w:rsidRDefault="00396CCA" w:rsidP="00872FD2">
            <w:pPr>
              <w:autoSpaceDE w:val="0"/>
              <w:autoSpaceDN w:val="0"/>
              <w:adjustRightInd w:val="0"/>
              <w:spacing w:after="0" w:line="360" w:lineRule="auto"/>
              <w:ind w:left="60" w:right="60"/>
              <w:jc w:val="center"/>
              <w:rPr>
                <w:rFonts w:asciiTheme="minorHAnsi" w:eastAsiaTheme="minorHAnsi" w:hAnsiTheme="minorHAnsi" w:cs="Arial"/>
                <w:color w:val="000000"/>
                <w:sz w:val="24"/>
                <w:szCs w:val="24"/>
                <w:lang w:val="en-US"/>
              </w:rPr>
            </w:pPr>
            <w:r w:rsidRPr="004766A7">
              <w:rPr>
                <w:rFonts w:asciiTheme="minorHAnsi" w:eastAsiaTheme="minorHAnsi" w:hAnsiTheme="minorHAnsi" w:cs="Arial"/>
                <w:color w:val="000000"/>
                <w:sz w:val="24"/>
                <w:szCs w:val="24"/>
              </w:rPr>
              <w:t>Ερώτηση</w:t>
            </w:r>
            <w:r w:rsidRPr="004766A7">
              <w:rPr>
                <w:rFonts w:asciiTheme="minorHAnsi" w:eastAsiaTheme="minorHAnsi" w:hAnsiTheme="minorHAnsi" w:cs="Arial"/>
                <w:color w:val="000000"/>
                <w:sz w:val="24"/>
                <w:szCs w:val="24"/>
                <w:lang w:val="en-US"/>
              </w:rPr>
              <w:t xml:space="preserve"> </w:t>
            </w:r>
            <w:r w:rsidR="00524C3F" w:rsidRPr="004766A7">
              <w:rPr>
                <w:rFonts w:asciiTheme="minorHAnsi" w:eastAsiaTheme="minorHAnsi" w:hAnsiTheme="minorHAnsi" w:cs="Arial"/>
                <w:color w:val="000000"/>
                <w:sz w:val="24"/>
                <w:szCs w:val="24"/>
                <w:lang w:val="en-US"/>
              </w:rPr>
              <w:t>7</w:t>
            </w:r>
          </w:p>
        </w:tc>
        <w:tc>
          <w:tcPr>
            <w:tcW w:w="5528" w:type="dxa"/>
          </w:tcPr>
          <w:p w:rsidR="00524C3F" w:rsidRPr="004766A7" w:rsidRDefault="00524C3F" w:rsidP="00872FD2">
            <w:pPr>
              <w:spacing w:after="0" w:line="360" w:lineRule="auto"/>
              <w:jc w:val="center"/>
              <w:rPr>
                <w:rFonts w:asciiTheme="minorHAnsi" w:eastAsiaTheme="minorHAnsi" w:hAnsiTheme="minorHAnsi" w:cs="Arial"/>
                <w:color w:val="000000"/>
                <w:sz w:val="24"/>
                <w:szCs w:val="24"/>
              </w:rPr>
            </w:pPr>
            <w:r w:rsidRPr="004766A7">
              <w:rPr>
                <w:rFonts w:asciiTheme="minorHAnsi" w:eastAsiaTheme="minorHAnsi" w:hAnsiTheme="minorHAnsi" w:cs="Arial"/>
                <w:color w:val="000000"/>
                <w:sz w:val="24"/>
                <w:szCs w:val="24"/>
              </w:rPr>
              <w:t>0,368</w:t>
            </w:r>
          </w:p>
        </w:tc>
      </w:tr>
      <w:tr w:rsidR="00524C3F" w:rsidRPr="004766A7" w:rsidTr="00012754">
        <w:trPr>
          <w:cnfStyle w:val="000000100000"/>
        </w:trPr>
        <w:tc>
          <w:tcPr>
            <w:tcW w:w="2977" w:type="dxa"/>
          </w:tcPr>
          <w:p w:rsidR="00524C3F" w:rsidRPr="004766A7" w:rsidRDefault="00396CCA" w:rsidP="00872FD2">
            <w:pPr>
              <w:autoSpaceDE w:val="0"/>
              <w:autoSpaceDN w:val="0"/>
              <w:adjustRightInd w:val="0"/>
              <w:spacing w:after="0" w:line="360" w:lineRule="auto"/>
              <w:ind w:left="60" w:right="60"/>
              <w:jc w:val="center"/>
              <w:rPr>
                <w:rFonts w:asciiTheme="minorHAnsi" w:eastAsiaTheme="minorHAnsi" w:hAnsiTheme="minorHAnsi" w:cs="Arial"/>
                <w:color w:val="000000"/>
                <w:sz w:val="24"/>
                <w:szCs w:val="24"/>
                <w:lang w:val="en-US"/>
              </w:rPr>
            </w:pPr>
            <w:r w:rsidRPr="004766A7">
              <w:rPr>
                <w:rFonts w:asciiTheme="minorHAnsi" w:eastAsiaTheme="minorHAnsi" w:hAnsiTheme="minorHAnsi" w:cs="Arial"/>
                <w:color w:val="000000"/>
                <w:sz w:val="24"/>
                <w:szCs w:val="24"/>
              </w:rPr>
              <w:t>Ερώτηση</w:t>
            </w:r>
            <w:r w:rsidR="00524C3F" w:rsidRPr="004766A7">
              <w:rPr>
                <w:rFonts w:asciiTheme="minorHAnsi" w:eastAsiaTheme="minorHAnsi" w:hAnsiTheme="minorHAnsi" w:cs="Arial"/>
                <w:color w:val="000000"/>
                <w:sz w:val="24"/>
                <w:szCs w:val="24"/>
                <w:lang w:val="en-US"/>
              </w:rPr>
              <w:t xml:space="preserve"> 8</w:t>
            </w:r>
          </w:p>
        </w:tc>
        <w:tc>
          <w:tcPr>
            <w:tcW w:w="5528" w:type="dxa"/>
          </w:tcPr>
          <w:p w:rsidR="00524C3F" w:rsidRPr="004766A7" w:rsidRDefault="00524C3F" w:rsidP="00872FD2">
            <w:pPr>
              <w:spacing w:after="0" w:line="360" w:lineRule="auto"/>
              <w:jc w:val="center"/>
              <w:rPr>
                <w:rFonts w:asciiTheme="minorHAnsi" w:eastAsiaTheme="minorHAnsi" w:hAnsiTheme="minorHAnsi" w:cs="Arial"/>
                <w:color w:val="000000"/>
                <w:sz w:val="24"/>
                <w:szCs w:val="24"/>
              </w:rPr>
            </w:pPr>
            <w:r w:rsidRPr="004766A7">
              <w:rPr>
                <w:rFonts w:asciiTheme="minorHAnsi" w:eastAsiaTheme="minorHAnsi" w:hAnsiTheme="minorHAnsi" w:cs="Arial"/>
                <w:color w:val="000000"/>
                <w:sz w:val="24"/>
                <w:szCs w:val="24"/>
              </w:rPr>
              <w:t>0,317</w:t>
            </w:r>
          </w:p>
        </w:tc>
      </w:tr>
      <w:tr w:rsidR="00524C3F" w:rsidRPr="004766A7" w:rsidTr="00012754">
        <w:trPr>
          <w:cnfStyle w:val="000000010000"/>
        </w:trPr>
        <w:tc>
          <w:tcPr>
            <w:tcW w:w="8505" w:type="dxa"/>
            <w:gridSpan w:val="2"/>
          </w:tcPr>
          <w:p w:rsidR="00524C3F" w:rsidRPr="004766A7" w:rsidRDefault="00524C3F" w:rsidP="0008037E">
            <w:pPr>
              <w:spacing w:after="0"/>
              <w:jc w:val="both"/>
              <w:rPr>
                <w:rFonts w:asciiTheme="minorHAnsi" w:eastAsiaTheme="minorHAnsi" w:hAnsiTheme="minorHAnsi" w:cs="Arial"/>
                <w:i/>
                <w:color w:val="000000"/>
                <w:sz w:val="24"/>
                <w:szCs w:val="24"/>
              </w:rPr>
            </w:pPr>
            <w:r w:rsidRPr="004766A7">
              <w:rPr>
                <w:rFonts w:asciiTheme="minorHAnsi" w:eastAsiaTheme="minorHAnsi" w:hAnsiTheme="minorHAnsi" w:cs="Arial"/>
                <w:i/>
                <w:color w:val="000000"/>
                <w:sz w:val="24"/>
                <w:szCs w:val="24"/>
                <w:lang w:val="en-US"/>
              </w:rPr>
              <w:t>McNemar-Bowker test</w:t>
            </w:r>
            <w:r w:rsidR="0078495A">
              <w:rPr>
                <w:rFonts w:asciiTheme="minorHAnsi" w:eastAsiaTheme="minorHAnsi" w:hAnsiTheme="minorHAnsi" w:cs="Arial"/>
                <w:i/>
                <w:color w:val="000000"/>
                <w:sz w:val="24"/>
                <w:szCs w:val="24"/>
                <w:lang w:val="en-US"/>
              </w:rPr>
              <w:t xml:space="preserve"> </w:t>
            </w:r>
            <w:r w:rsidRPr="004766A7">
              <w:rPr>
                <w:rFonts w:asciiTheme="minorHAnsi" w:eastAsiaTheme="minorHAnsi" w:hAnsiTheme="minorHAnsi" w:cs="Arial"/>
                <w:i/>
                <w:color w:val="000000"/>
                <w:sz w:val="24"/>
                <w:szCs w:val="24"/>
                <w:lang w:val="en-US"/>
              </w:rPr>
              <w:t>(p≥ 0,005)</w:t>
            </w:r>
          </w:p>
        </w:tc>
      </w:tr>
    </w:tbl>
    <w:p w:rsidR="0044168C" w:rsidRPr="005A464E" w:rsidRDefault="0044168C" w:rsidP="005A464E">
      <w:pPr>
        <w:spacing w:line="360" w:lineRule="auto"/>
        <w:jc w:val="both"/>
        <w:rPr>
          <w:b/>
          <w:sz w:val="24"/>
          <w:szCs w:val="24"/>
          <w:lang w:eastAsia="el-GR"/>
        </w:rPr>
      </w:pPr>
    </w:p>
    <w:p w:rsidR="0044168C" w:rsidRPr="00214D9E" w:rsidRDefault="00B62E2D" w:rsidP="005A464E">
      <w:pPr>
        <w:spacing w:line="360" w:lineRule="auto"/>
        <w:jc w:val="both"/>
        <w:rPr>
          <w:sz w:val="24"/>
          <w:szCs w:val="24"/>
          <w:u w:val="single"/>
          <w:lang w:eastAsia="el-GR"/>
        </w:rPr>
      </w:pPr>
      <w:r w:rsidRPr="00214D9E">
        <w:rPr>
          <w:sz w:val="24"/>
          <w:szCs w:val="24"/>
          <w:u w:val="single"/>
          <w:lang w:eastAsia="el-GR"/>
        </w:rPr>
        <w:t>Εσωτερική συνοχή</w:t>
      </w:r>
    </w:p>
    <w:p w:rsidR="00821124" w:rsidRPr="005A464E" w:rsidRDefault="00524C3F" w:rsidP="005A464E">
      <w:pPr>
        <w:spacing w:line="360" w:lineRule="auto"/>
        <w:jc w:val="both"/>
        <w:rPr>
          <w:sz w:val="24"/>
          <w:szCs w:val="24"/>
          <w:lang w:eastAsia="el-GR"/>
        </w:rPr>
      </w:pPr>
      <w:r w:rsidRPr="005A464E">
        <w:rPr>
          <w:sz w:val="24"/>
          <w:szCs w:val="24"/>
          <w:lang w:eastAsia="el-GR"/>
        </w:rPr>
        <w:t xml:space="preserve">Η εσωτερική συνοχή μελετήθηκε μέσω του δείκτη </w:t>
      </w:r>
      <w:r w:rsidRPr="005A464E">
        <w:rPr>
          <w:sz w:val="24"/>
          <w:szCs w:val="24"/>
          <w:lang w:val="en-US" w:eastAsia="el-GR"/>
        </w:rPr>
        <w:t>Cronbach</w:t>
      </w:r>
      <w:r w:rsidRPr="005A464E">
        <w:rPr>
          <w:sz w:val="24"/>
          <w:szCs w:val="24"/>
          <w:lang w:eastAsia="el-GR"/>
        </w:rPr>
        <w:t>’</w:t>
      </w:r>
      <w:r w:rsidRPr="005A464E">
        <w:rPr>
          <w:sz w:val="24"/>
          <w:szCs w:val="24"/>
          <w:lang w:val="en-US" w:eastAsia="el-GR"/>
        </w:rPr>
        <w:t>s</w:t>
      </w:r>
      <w:r w:rsidRPr="005A464E">
        <w:rPr>
          <w:sz w:val="24"/>
          <w:szCs w:val="24"/>
          <w:lang w:eastAsia="el-GR"/>
        </w:rPr>
        <w:t xml:space="preserve"> </w:t>
      </w:r>
      <w:r w:rsidRPr="005A464E">
        <w:rPr>
          <w:sz w:val="24"/>
          <w:szCs w:val="24"/>
          <w:lang w:val="en-US" w:eastAsia="el-GR"/>
        </w:rPr>
        <w:t>A</w:t>
      </w:r>
      <w:r w:rsidR="0044168C" w:rsidRPr="005A464E">
        <w:rPr>
          <w:sz w:val="24"/>
          <w:szCs w:val="24"/>
          <w:lang w:val="en-US" w:eastAsia="el-GR"/>
        </w:rPr>
        <w:t>lpha</w:t>
      </w:r>
      <w:r w:rsidR="0044168C" w:rsidRPr="005A464E">
        <w:rPr>
          <w:sz w:val="24"/>
          <w:szCs w:val="24"/>
          <w:lang w:eastAsia="el-GR"/>
        </w:rPr>
        <w:t xml:space="preserve">. </w:t>
      </w:r>
      <w:r w:rsidRPr="005A464E">
        <w:rPr>
          <w:sz w:val="24"/>
          <w:szCs w:val="24"/>
          <w:lang w:eastAsia="el-GR"/>
        </w:rPr>
        <w:t>Ο πα</w:t>
      </w:r>
      <w:r w:rsidR="00821124">
        <w:rPr>
          <w:sz w:val="24"/>
          <w:szCs w:val="24"/>
          <w:lang w:eastAsia="el-GR"/>
        </w:rPr>
        <w:t>ράγοντας «Παρουσία στη συνεδρία</w:t>
      </w:r>
      <w:r w:rsidRPr="005A464E">
        <w:rPr>
          <w:sz w:val="24"/>
          <w:szCs w:val="24"/>
          <w:lang w:eastAsia="el-GR"/>
        </w:rPr>
        <w:t xml:space="preserve">» παρουσίασε την υψηλότερη τιμή </w:t>
      </w:r>
      <w:r w:rsidR="0044168C" w:rsidRPr="005A464E">
        <w:rPr>
          <w:sz w:val="24"/>
          <w:szCs w:val="24"/>
          <w:lang w:eastAsia="el-GR"/>
        </w:rPr>
        <w:t>(</w:t>
      </w:r>
      <w:r w:rsidR="00EF6A06">
        <w:rPr>
          <w:sz w:val="24"/>
          <w:szCs w:val="24"/>
          <w:lang w:eastAsia="el-GR"/>
        </w:rPr>
        <w:t>0,</w:t>
      </w:r>
      <w:r w:rsidR="0044168C" w:rsidRPr="005A464E">
        <w:rPr>
          <w:sz w:val="24"/>
          <w:szCs w:val="24"/>
          <w:lang w:eastAsia="el-GR"/>
        </w:rPr>
        <w:t xml:space="preserve">856) </w:t>
      </w:r>
      <w:r w:rsidRPr="005A464E">
        <w:rPr>
          <w:sz w:val="24"/>
          <w:szCs w:val="24"/>
          <w:lang w:eastAsia="el-GR"/>
        </w:rPr>
        <w:t>ενώ ο παράγοντας «</w:t>
      </w:r>
      <w:r w:rsidR="006F3F2A" w:rsidRPr="005A464E">
        <w:rPr>
          <w:sz w:val="24"/>
          <w:szCs w:val="24"/>
          <w:lang w:eastAsia="el-GR"/>
        </w:rPr>
        <w:t>Φ</w:t>
      </w:r>
      <w:r w:rsidRPr="005A464E">
        <w:rPr>
          <w:sz w:val="24"/>
          <w:szCs w:val="24"/>
          <w:lang w:eastAsia="el-GR"/>
        </w:rPr>
        <w:t>αρμακευτική αγωγή» ακολούθησ</w:t>
      </w:r>
      <w:r w:rsidR="006F3F2A" w:rsidRPr="005A464E">
        <w:rPr>
          <w:sz w:val="24"/>
          <w:szCs w:val="24"/>
          <w:lang w:eastAsia="el-GR"/>
        </w:rPr>
        <w:t xml:space="preserve">ε με τιμή </w:t>
      </w:r>
      <w:r w:rsidR="00EF6A06">
        <w:rPr>
          <w:sz w:val="24"/>
          <w:szCs w:val="24"/>
          <w:lang w:eastAsia="el-GR"/>
        </w:rPr>
        <w:t>0,</w:t>
      </w:r>
      <w:r w:rsidR="006F3F2A" w:rsidRPr="005A464E">
        <w:rPr>
          <w:sz w:val="24"/>
          <w:szCs w:val="24"/>
          <w:lang w:eastAsia="el-GR"/>
        </w:rPr>
        <w:t>750, ο παράγοντας «Π</w:t>
      </w:r>
      <w:r w:rsidRPr="005A464E">
        <w:rPr>
          <w:sz w:val="24"/>
          <w:szCs w:val="24"/>
          <w:lang w:eastAsia="el-GR"/>
        </w:rPr>
        <w:t xml:space="preserve">εριορισμοί στη δίαιτα και τη λήψη υγρών» </w:t>
      </w:r>
      <w:r w:rsidR="00EF6A06">
        <w:rPr>
          <w:sz w:val="24"/>
          <w:szCs w:val="24"/>
          <w:lang w:eastAsia="el-GR"/>
        </w:rPr>
        <w:t>0,</w:t>
      </w:r>
      <w:r w:rsidR="0044168C" w:rsidRPr="005A464E">
        <w:rPr>
          <w:sz w:val="24"/>
          <w:szCs w:val="24"/>
          <w:lang w:eastAsia="el-GR"/>
        </w:rPr>
        <w:t>717.</w:t>
      </w:r>
      <w:r w:rsidR="00B62E2D" w:rsidRPr="005A464E">
        <w:rPr>
          <w:sz w:val="24"/>
          <w:szCs w:val="24"/>
          <w:lang w:eastAsia="el-GR"/>
        </w:rPr>
        <w:t xml:space="preserve"> Η εσωτερική συνοχή ολόκληρου του ερωτηματολογίου αποτελούμενου από 8 ερωτήσεις ήταν </w:t>
      </w:r>
      <w:r w:rsidR="00EF6A06">
        <w:rPr>
          <w:sz w:val="24"/>
          <w:szCs w:val="24"/>
          <w:lang w:eastAsia="el-GR"/>
        </w:rPr>
        <w:t>0,</w:t>
      </w:r>
      <w:r w:rsidR="0044168C" w:rsidRPr="005A464E">
        <w:rPr>
          <w:sz w:val="24"/>
          <w:szCs w:val="24"/>
          <w:lang w:eastAsia="el-GR"/>
        </w:rPr>
        <w:t xml:space="preserve">742. </w:t>
      </w:r>
      <w:r w:rsidR="006F3F2A" w:rsidRPr="005A464E">
        <w:rPr>
          <w:sz w:val="24"/>
          <w:szCs w:val="24"/>
          <w:lang w:eastAsia="el-GR"/>
        </w:rPr>
        <w:t>Η</w:t>
      </w:r>
      <w:r w:rsidR="00B62E2D" w:rsidRPr="005A464E">
        <w:rPr>
          <w:sz w:val="24"/>
          <w:szCs w:val="24"/>
          <w:lang w:eastAsia="el-GR"/>
        </w:rPr>
        <w:t xml:space="preserve"> συνολική κλίμακα και οι υποκλίμακες έδειξαν </w:t>
      </w:r>
      <w:r w:rsidR="0044168C" w:rsidRPr="005A464E">
        <w:rPr>
          <w:sz w:val="24"/>
          <w:szCs w:val="24"/>
          <w:lang w:val="en-US" w:eastAsia="el-GR"/>
        </w:rPr>
        <w:t>Cronbach</w:t>
      </w:r>
      <w:r w:rsidR="0044168C" w:rsidRPr="005A464E">
        <w:rPr>
          <w:sz w:val="24"/>
          <w:szCs w:val="24"/>
          <w:lang w:eastAsia="el-GR"/>
        </w:rPr>
        <w:t>’</w:t>
      </w:r>
      <w:r w:rsidR="0044168C" w:rsidRPr="005A464E">
        <w:rPr>
          <w:sz w:val="24"/>
          <w:szCs w:val="24"/>
          <w:lang w:val="en-US" w:eastAsia="el-GR"/>
        </w:rPr>
        <w:t>s</w:t>
      </w:r>
      <w:r w:rsidR="0044168C" w:rsidRPr="005A464E">
        <w:rPr>
          <w:sz w:val="24"/>
          <w:szCs w:val="24"/>
          <w:lang w:eastAsia="el-GR"/>
        </w:rPr>
        <w:t xml:space="preserve"> </w:t>
      </w:r>
      <w:r w:rsidR="00872CE5">
        <w:rPr>
          <w:sz w:val="24"/>
          <w:szCs w:val="24"/>
          <w:lang w:val="en-US" w:eastAsia="el-GR"/>
        </w:rPr>
        <w:t>A</w:t>
      </w:r>
      <w:r w:rsidR="0044168C" w:rsidRPr="005A464E">
        <w:rPr>
          <w:sz w:val="24"/>
          <w:szCs w:val="24"/>
          <w:lang w:val="en-US" w:eastAsia="el-GR"/>
        </w:rPr>
        <w:t>lpha</w:t>
      </w:r>
      <w:r w:rsidR="0044168C" w:rsidRPr="005A464E">
        <w:rPr>
          <w:sz w:val="24"/>
          <w:szCs w:val="24"/>
          <w:lang w:eastAsia="el-GR"/>
        </w:rPr>
        <w:t xml:space="preserve"> </w:t>
      </w:r>
      <w:r w:rsidR="00B62E2D" w:rsidRPr="005A464E">
        <w:rPr>
          <w:sz w:val="24"/>
          <w:szCs w:val="24"/>
          <w:lang w:eastAsia="el-GR"/>
        </w:rPr>
        <w:t xml:space="preserve">πάνω από </w:t>
      </w:r>
      <w:r w:rsidR="00EF6A06">
        <w:rPr>
          <w:sz w:val="24"/>
          <w:szCs w:val="24"/>
          <w:lang w:eastAsia="el-GR"/>
        </w:rPr>
        <w:t>0,</w:t>
      </w:r>
      <w:r w:rsidR="0044168C" w:rsidRPr="005A464E">
        <w:rPr>
          <w:sz w:val="24"/>
          <w:szCs w:val="24"/>
          <w:lang w:eastAsia="el-GR"/>
        </w:rPr>
        <w:t xml:space="preserve">71 </w:t>
      </w:r>
      <w:r w:rsidR="002E7E5E" w:rsidRPr="005A464E">
        <w:rPr>
          <w:sz w:val="24"/>
          <w:szCs w:val="24"/>
          <w:lang w:eastAsia="el-GR"/>
        </w:rPr>
        <w:t>κάτι</w:t>
      </w:r>
      <w:r w:rsidR="00B62E2D" w:rsidRPr="005A464E">
        <w:rPr>
          <w:sz w:val="24"/>
          <w:szCs w:val="24"/>
          <w:lang w:eastAsia="el-GR"/>
        </w:rPr>
        <w:t xml:space="preserve"> που δείχνει ότι </w:t>
      </w:r>
      <w:r w:rsidR="00496F80" w:rsidRPr="005A464E">
        <w:rPr>
          <w:sz w:val="24"/>
          <w:szCs w:val="24"/>
          <w:lang w:eastAsia="el-GR"/>
        </w:rPr>
        <w:t xml:space="preserve">η κλίμακα </w:t>
      </w:r>
      <w:r w:rsidR="0044168C" w:rsidRPr="005A464E">
        <w:rPr>
          <w:sz w:val="24"/>
          <w:szCs w:val="24"/>
          <w:lang w:val="en-US" w:eastAsia="el-GR"/>
        </w:rPr>
        <w:t>GR</w:t>
      </w:r>
      <w:r w:rsidR="0044168C" w:rsidRPr="005A464E">
        <w:rPr>
          <w:sz w:val="24"/>
          <w:szCs w:val="24"/>
          <w:lang w:eastAsia="el-GR"/>
        </w:rPr>
        <w:t>-</w:t>
      </w:r>
      <w:r w:rsidR="0044168C" w:rsidRPr="005A464E">
        <w:rPr>
          <w:sz w:val="24"/>
          <w:szCs w:val="24"/>
          <w:lang w:val="en-US" w:eastAsia="el-GR"/>
        </w:rPr>
        <w:t>SMAQ</w:t>
      </w:r>
      <w:r w:rsidR="0044168C" w:rsidRPr="005A464E">
        <w:rPr>
          <w:sz w:val="24"/>
          <w:szCs w:val="24"/>
          <w:lang w:eastAsia="el-GR"/>
        </w:rPr>
        <w:t>-</w:t>
      </w:r>
      <w:r w:rsidR="0044168C" w:rsidRPr="005A464E">
        <w:rPr>
          <w:sz w:val="24"/>
          <w:szCs w:val="24"/>
          <w:lang w:val="en-US" w:eastAsia="el-GR"/>
        </w:rPr>
        <w:t>HD</w:t>
      </w:r>
      <w:r w:rsidR="0044168C" w:rsidRPr="005A464E">
        <w:rPr>
          <w:sz w:val="24"/>
          <w:szCs w:val="24"/>
          <w:lang w:eastAsia="el-GR"/>
        </w:rPr>
        <w:t xml:space="preserve"> </w:t>
      </w:r>
      <w:r w:rsidR="00496F80" w:rsidRPr="005A464E">
        <w:rPr>
          <w:sz w:val="24"/>
          <w:szCs w:val="24"/>
          <w:lang w:eastAsia="el-GR"/>
        </w:rPr>
        <w:t xml:space="preserve">έχει ικανοποιητική εσωτερική συνοχή. Επιπλέον, η στατιστική ανάλυση έδειξε πως καμία </w:t>
      </w:r>
      <w:r w:rsidR="002E7E5E" w:rsidRPr="005A464E">
        <w:rPr>
          <w:sz w:val="24"/>
          <w:szCs w:val="24"/>
          <w:lang w:eastAsia="el-GR"/>
        </w:rPr>
        <w:t xml:space="preserve">αύξηση στην τιμή του </w:t>
      </w:r>
      <w:r w:rsidR="0044168C" w:rsidRPr="005A464E">
        <w:rPr>
          <w:sz w:val="24"/>
          <w:szCs w:val="24"/>
          <w:lang w:val="en-US" w:eastAsia="el-GR"/>
        </w:rPr>
        <w:t>Cronbach</w:t>
      </w:r>
      <w:r w:rsidR="0044168C" w:rsidRPr="005A464E">
        <w:rPr>
          <w:sz w:val="24"/>
          <w:szCs w:val="24"/>
          <w:lang w:eastAsia="el-GR"/>
        </w:rPr>
        <w:t>’</w:t>
      </w:r>
      <w:r w:rsidR="0044168C" w:rsidRPr="005A464E">
        <w:rPr>
          <w:sz w:val="24"/>
          <w:szCs w:val="24"/>
          <w:lang w:val="en-US" w:eastAsia="el-GR"/>
        </w:rPr>
        <w:t>s</w:t>
      </w:r>
      <w:r w:rsidR="0044168C" w:rsidRPr="005A464E">
        <w:rPr>
          <w:sz w:val="24"/>
          <w:szCs w:val="24"/>
          <w:lang w:eastAsia="el-GR"/>
        </w:rPr>
        <w:t xml:space="preserve"> </w:t>
      </w:r>
      <w:r w:rsidR="00872CE5">
        <w:rPr>
          <w:sz w:val="24"/>
          <w:szCs w:val="24"/>
          <w:lang w:val="en-US" w:eastAsia="el-GR"/>
        </w:rPr>
        <w:t>A</w:t>
      </w:r>
      <w:r w:rsidR="0044168C" w:rsidRPr="005A464E">
        <w:rPr>
          <w:sz w:val="24"/>
          <w:szCs w:val="24"/>
          <w:lang w:val="en-US" w:eastAsia="el-GR"/>
        </w:rPr>
        <w:t>lpha</w:t>
      </w:r>
      <w:r w:rsidR="002E7E5E" w:rsidRPr="005A464E">
        <w:rPr>
          <w:sz w:val="24"/>
          <w:szCs w:val="24"/>
          <w:lang w:eastAsia="el-GR"/>
        </w:rPr>
        <w:t xml:space="preserve"> δεν θα συνέβαινε ακόμα κι αν αφαιρεθεί</w:t>
      </w:r>
      <w:r w:rsidR="0078495A">
        <w:rPr>
          <w:sz w:val="24"/>
          <w:szCs w:val="24"/>
          <w:lang w:eastAsia="el-GR"/>
        </w:rPr>
        <w:t xml:space="preserve"> </w:t>
      </w:r>
      <w:r w:rsidR="00872CE5">
        <w:rPr>
          <w:sz w:val="24"/>
          <w:szCs w:val="24"/>
          <w:lang w:eastAsia="el-GR"/>
        </w:rPr>
        <w:t>κάποια</w:t>
      </w:r>
      <w:r w:rsidR="002E7E5E" w:rsidRPr="005A464E">
        <w:rPr>
          <w:sz w:val="24"/>
          <w:szCs w:val="24"/>
          <w:lang w:eastAsia="el-GR"/>
        </w:rPr>
        <w:t xml:space="preserve"> απ</w:t>
      </w:r>
      <w:r w:rsidR="004E5F91" w:rsidRPr="005A464E">
        <w:rPr>
          <w:sz w:val="24"/>
          <w:szCs w:val="24"/>
          <w:lang w:eastAsia="el-GR"/>
        </w:rPr>
        <w:t>ό τις ερωτήσεις των υποκλιμάκων (</w:t>
      </w:r>
      <w:r w:rsidR="004E5F91" w:rsidRPr="005A464E">
        <w:rPr>
          <w:sz w:val="24"/>
          <w:szCs w:val="24"/>
          <w:lang w:val="en-US" w:eastAsia="el-GR"/>
        </w:rPr>
        <w:t>Alikari</w:t>
      </w:r>
      <w:r w:rsidR="004E5F91" w:rsidRPr="005A464E">
        <w:rPr>
          <w:sz w:val="24"/>
          <w:szCs w:val="24"/>
          <w:lang w:eastAsia="el-GR"/>
        </w:rPr>
        <w:t xml:space="preserve"> </w:t>
      </w:r>
      <w:r w:rsidR="00566CAA">
        <w:rPr>
          <w:sz w:val="24"/>
          <w:szCs w:val="24"/>
          <w:lang w:eastAsia="el-GR"/>
        </w:rPr>
        <w:t>et al</w:t>
      </w:r>
      <w:r w:rsidR="00A86545" w:rsidRPr="00A86545">
        <w:rPr>
          <w:sz w:val="24"/>
          <w:szCs w:val="24"/>
          <w:lang w:eastAsia="el-GR"/>
        </w:rPr>
        <w:t>.</w:t>
      </w:r>
      <w:r w:rsidR="00F6061C">
        <w:rPr>
          <w:sz w:val="24"/>
          <w:szCs w:val="24"/>
          <w:lang w:eastAsia="el-GR"/>
        </w:rPr>
        <w:t>,</w:t>
      </w:r>
      <w:r w:rsidR="004E5F91" w:rsidRPr="005A464E">
        <w:rPr>
          <w:sz w:val="24"/>
          <w:szCs w:val="24"/>
          <w:lang w:eastAsia="el-GR"/>
        </w:rPr>
        <w:t xml:space="preserve"> 2017).</w:t>
      </w:r>
    </w:p>
    <w:p w:rsidR="0044168C" w:rsidRDefault="002E7E5E" w:rsidP="005A464E">
      <w:pPr>
        <w:spacing w:line="360" w:lineRule="auto"/>
        <w:jc w:val="both"/>
        <w:rPr>
          <w:sz w:val="24"/>
          <w:szCs w:val="24"/>
          <w:lang w:eastAsia="el-GR"/>
        </w:rPr>
      </w:pPr>
      <w:r w:rsidRPr="005A464E">
        <w:rPr>
          <w:sz w:val="24"/>
          <w:szCs w:val="24"/>
          <w:lang w:eastAsia="el-GR"/>
        </w:rPr>
        <w:t xml:space="preserve">Τα </w:t>
      </w:r>
      <w:r w:rsidRPr="004766A7">
        <w:rPr>
          <w:sz w:val="24"/>
          <w:szCs w:val="24"/>
          <w:lang w:eastAsia="el-GR"/>
        </w:rPr>
        <w:t>βασικά μέτρα θέσης και διασποράς καθώς και η εσωτερική εγκυρότητα των υποκλιμάκων παρουσιάζονται στον πίνακα</w:t>
      </w:r>
      <w:r w:rsidR="00F6061C">
        <w:rPr>
          <w:sz w:val="24"/>
          <w:szCs w:val="24"/>
          <w:lang w:eastAsia="el-GR"/>
        </w:rPr>
        <w:t xml:space="preserve"> 9</w:t>
      </w:r>
      <w:r w:rsidR="006D13A7" w:rsidRPr="004766A7">
        <w:rPr>
          <w:sz w:val="24"/>
          <w:szCs w:val="24"/>
          <w:lang w:eastAsia="el-GR"/>
        </w:rPr>
        <w:t>.</w:t>
      </w:r>
    </w:p>
    <w:p w:rsidR="00012754" w:rsidRPr="00F918EC" w:rsidRDefault="00F6061C" w:rsidP="00012754">
      <w:pPr>
        <w:spacing w:after="0" w:line="360" w:lineRule="auto"/>
        <w:ind w:right="-334"/>
        <w:jc w:val="both"/>
        <w:rPr>
          <w:rFonts w:asciiTheme="minorHAnsi" w:eastAsiaTheme="minorHAnsi" w:hAnsiTheme="minorHAnsi" w:cs="Arial"/>
          <w:bCs/>
          <w:color w:val="000000"/>
          <w:sz w:val="24"/>
          <w:szCs w:val="24"/>
          <w:lang w:eastAsia="el-GR"/>
        </w:rPr>
      </w:pPr>
      <w:r>
        <w:rPr>
          <w:rFonts w:asciiTheme="minorHAnsi" w:eastAsiaTheme="minorHAnsi" w:hAnsiTheme="minorHAnsi" w:cs="Arial"/>
          <w:bCs/>
          <w:color w:val="000000"/>
          <w:sz w:val="24"/>
          <w:szCs w:val="24"/>
          <w:lang w:eastAsia="el-GR"/>
        </w:rPr>
        <w:t>Πίνακας 9</w:t>
      </w:r>
      <w:r w:rsidR="00012754" w:rsidRPr="00C7093D">
        <w:rPr>
          <w:rFonts w:asciiTheme="minorHAnsi" w:eastAsiaTheme="minorHAnsi" w:hAnsiTheme="minorHAnsi" w:cs="Arial"/>
          <w:bCs/>
          <w:color w:val="000000"/>
          <w:sz w:val="24"/>
          <w:szCs w:val="24"/>
          <w:lang w:eastAsia="el-GR"/>
        </w:rPr>
        <w:t xml:space="preserve"> </w:t>
      </w:r>
    </w:p>
    <w:p w:rsidR="00012754" w:rsidRPr="004766A7" w:rsidRDefault="00012754" w:rsidP="00012754">
      <w:pPr>
        <w:spacing w:line="360" w:lineRule="auto"/>
        <w:jc w:val="both"/>
        <w:rPr>
          <w:b/>
          <w:sz w:val="24"/>
          <w:szCs w:val="24"/>
          <w:lang w:eastAsia="el-GR"/>
        </w:rPr>
      </w:pPr>
      <w:r w:rsidRPr="008847F1">
        <w:rPr>
          <w:rFonts w:asciiTheme="minorHAnsi" w:eastAsiaTheme="minorHAnsi" w:hAnsiTheme="minorHAnsi" w:cs="Arial"/>
          <w:bCs/>
          <w:i/>
          <w:color w:val="000000"/>
          <w:sz w:val="24"/>
          <w:szCs w:val="24"/>
          <w:lang w:eastAsia="el-GR"/>
        </w:rPr>
        <w:t xml:space="preserve">Περιγραφικά χαρακτηριστικά και εσωτερική συνοχή του </w:t>
      </w:r>
      <w:r w:rsidRPr="008847F1">
        <w:rPr>
          <w:rFonts w:asciiTheme="minorHAnsi" w:eastAsiaTheme="minorHAnsi" w:hAnsiTheme="minorHAnsi" w:cs="Arial"/>
          <w:bCs/>
          <w:i/>
          <w:color w:val="000000"/>
          <w:sz w:val="24"/>
          <w:szCs w:val="24"/>
          <w:lang w:val="en-US" w:eastAsia="el-GR"/>
        </w:rPr>
        <w:t>GR</w:t>
      </w:r>
      <w:r w:rsidRPr="008847F1">
        <w:rPr>
          <w:rFonts w:asciiTheme="minorHAnsi" w:eastAsiaTheme="minorHAnsi" w:hAnsiTheme="minorHAnsi" w:cs="Arial"/>
          <w:bCs/>
          <w:i/>
          <w:color w:val="000000"/>
          <w:sz w:val="24"/>
          <w:szCs w:val="24"/>
          <w:lang w:eastAsia="el-GR"/>
        </w:rPr>
        <w:t>-</w:t>
      </w:r>
      <w:r w:rsidRPr="008847F1">
        <w:rPr>
          <w:rFonts w:asciiTheme="minorHAnsi" w:eastAsiaTheme="minorHAnsi" w:hAnsiTheme="minorHAnsi" w:cs="Arial"/>
          <w:bCs/>
          <w:i/>
          <w:color w:val="000000"/>
          <w:sz w:val="24"/>
          <w:szCs w:val="24"/>
          <w:lang w:val="en-US" w:eastAsia="el-GR"/>
        </w:rPr>
        <w:t>SMAQ</w:t>
      </w:r>
      <w:r w:rsidRPr="008847F1">
        <w:rPr>
          <w:rFonts w:asciiTheme="minorHAnsi" w:eastAsiaTheme="minorHAnsi" w:hAnsiTheme="minorHAnsi" w:cs="Arial"/>
          <w:bCs/>
          <w:i/>
          <w:color w:val="000000"/>
          <w:sz w:val="24"/>
          <w:szCs w:val="24"/>
          <w:lang w:eastAsia="el-GR"/>
        </w:rPr>
        <w:t>-</w:t>
      </w:r>
      <w:r w:rsidRPr="008847F1">
        <w:rPr>
          <w:rFonts w:asciiTheme="minorHAnsi" w:eastAsiaTheme="minorHAnsi" w:hAnsiTheme="minorHAnsi" w:cs="Arial"/>
          <w:bCs/>
          <w:i/>
          <w:color w:val="000000"/>
          <w:sz w:val="24"/>
          <w:szCs w:val="24"/>
          <w:lang w:val="en-US" w:eastAsia="el-GR"/>
        </w:rPr>
        <w:t>HD</w:t>
      </w:r>
      <w:r w:rsidRPr="008847F1">
        <w:rPr>
          <w:rFonts w:asciiTheme="minorHAnsi" w:eastAsiaTheme="minorHAnsi" w:hAnsiTheme="minorHAnsi" w:cs="Arial"/>
          <w:bCs/>
          <w:i/>
          <w:color w:val="000000"/>
          <w:sz w:val="24"/>
          <w:szCs w:val="24"/>
          <w:lang w:eastAsia="el-GR"/>
        </w:rPr>
        <w:t xml:space="preserve"> (</w:t>
      </w:r>
      <w:r w:rsidRPr="008847F1">
        <w:rPr>
          <w:rFonts w:asciiTheme="minorHAnsi" w:eastAsiaTheme="minorHAnsi" w:hAnsiTheme="minorHAnsi" w:cs="Arial"/>
          <w:bCs/>
          <w:i/>
          <w:color w:val="000000"/>
          <w:sz w:val="24"/>
          <w:szCs w:val="24"/>
          <w:lang w:val="en-US" w:eastAsia="el-GR"/>
        </w:rPr>
        <w:t>N</w:t>
      </w:r>
      <w:r w:rsidRPr="008847F1">
        <w:rPr>
          <w:rFonts w:asciiTheme="minorHAnsi" w:eastAsiaTheme="minorHAnsi" w:hAnsiTheme="minorHAnsi" w:cs="Arial"/>
          <w:bCs/>
          <w:i/>
          <w:color w:val="000000"/>
          <w:sz w:val="24"/>
          <w:szCs w:val="24"/>
          <w:lang w:eastAsia="el-GR"/>
        </w:rPr>
        <w:t>=107</w:t>
      </w:r>
      <w:r w:rsidRPr="00872FD2">
        <w:rPr>
          <w:rFonts w:asciiTheme="minorHAnsi" w:eastAsiaTheme="minorHAnsi" w:hAnsiTheme="minorHAnsi" w:cs="Arial"/>
          <w:bCs/>
          <w:color w:val="000000"/>
          <w:sz w:val="24"/>
          <w:szCs w:val="24"/>
          <w:lang w:eastAsia="el-GR"/>
        </w:rPr>
        <w:t>).</w:t>
      </w:r>
    </w:p>
    <w:tbl>
      <w:tblPr>
        <w:tblStyle w:val="-41"/>
        <w:tblW w:w="10593" w:type="dxa"/>
        <w:jc w:val="center"/>
        <w:tblLayout w:type="fixed"/>
        <w:tblLook w:val="0400"/>
      </w:tblPr>
      <w:tblGrid>
        <w:gridCol w:w="2824"/>
        <w:gridCol w:w="1559"/>
        <w:gridCol w:w="1581"/>
        <w:gridCol w:w="1417"/>
        <w:gridCol w:w="1276"/>
        <w:gridCol w:w="1936"/>
      </w:tblGrid>
      <w:tr w:rsidR="00396CCA" w:rsidRPr="00872FD2" w:rsidTr="0008037E">
        <w:trPr>
          <w:cnfStyle w:val="000000100000"/>
          <w:jc w:val="center"/>
        </w:trPr>
        <w:tc>
          <w:tcPr>
            <w:tcW w:w="2824" w:type="dxa"/>
          </w:tcPr>
          <w:p w:rsidR="002E7E5E" w:rsidRPr="00872FD2" w:rsidRDefault="002E7E5E" w:rsidP="00872FD2">
            <w:pPr>
              <w:spacing w:after="0" w:line="360" w:lineRule="auto"/>
              <w:ind w:right="-334"/>
              <w:jc w:val="center"/>
              <w:rPr>
                <w:rFonts w:asciiTheme="minorHAnsi" w:eastAsiaTheme="minorHAnsi" w:hAnsiTheme="minorHAnsi" w:cs="Arial"/>
                <w:b/>
                <w:color w:val="000000"/>
                <w:sz w:val="24"/>
                <w:szCs w:val="24"/>
                <w:lang w:eastAsia="el-GR"/>
              </w:rPr>
            </w:pPr>
          </w:p>
        </w:tc>
        <w:tc>
          <w:tcPr>
            <w:tcW w:w="1559" w:type="dxa"/>
          </w:tcPr>
          <w:p w:rsidR="002E7E5E" w:rsidRPr="00872FD2" w:rsidRDefault="002E7E5E" w:rsidP="005D7B76">
            <w:pPr>
              <w:spacing w:after="0" w:line="360" w:lineRule="auto"/>
              <w:ind w:right="-334"/>
              <w:rPr>
                <w:rFonts w:asciiTheme="minorHAnsi" w:eastAsiaTheme="minorHAnsi" w:hAnsiTheme="minorHAnsi" w:cs="Arial"/>
                <w:b/>
                <w:color w:val="000000"/>
                <w:sz w:val="24"/>
                <w:szCs w:val="24"/>
                <w:lang w:eastAsia="el-GR"/>
              </w:rPr>
            </w:pPr>
            <w:r w:rsidRPr="00872FD2">
              <w:rPr>
                <w:rFonts w:asciiTheme="minorHAnsi" w:eastAsiaTheme="minorHAnsi" w:hAnsiTheme="minorHAnsi" w:cs="Arial"/>
                <w:b/>
                <w:color w:val="000000"/>
                <w:sz w:val="24"/>
                <w:szCs w:val="24"/>
                <w:lang w:eastAsia="el-GR"/>
              </w:rPr>
              <w:t>Ελάχιστη τιμή</w:t>
            </w:r>
          </w:p>
        </w:tc>
        <w:tc>
          <w:tcPr>
            <w:tcW w:w="1581" w:type="dxa"/>
          </w:tcPr>
          <w:p w:rsidR="002E7E5E" w:rsidRPr="00872FD2" w:rsidRDefault="002E7E5E" w:rsidP="005D7B76">
            <w:pPr>
              <w:spacing w:after="0" w:line="360" w:lineRule="auto"/>
              <w:ind w:right="-334"/>
              <w:rPr>
                <w:rFonts w:asciiTheme="minorHAnsi" w:eastAsiaTheme="minorHAnsi" w:hAnsiTheme="minorHAnsi" w:cs="Arial"/>
                <w:b/>
                <w:color w:val="000000"/>
                <w:sz w:val="24"/>
                <w:szCs w:val="24"/>
                <w:lang w:eastAsia="el-GR"/>
              </w:rPr>
            </w:pPr>
            <w:r w:rsidRPr="00872FD2">
              <w:rPr>
                <w:rFonts w:asciiTheme="minorHAnsi" w:eastAsiaTheme="minorHAnsi" w:hAnsiTheme="minorHAnsi" w:cs="Arial"/>
                <w:b/>
                <w:color w:val="000000"/>
                <w:sz w:val="24"/>
                <w:szCs w:val="24"/>
                <w:lang w:eastAsia="el-GR"/>
              </w:rPr>
              <w:t>Μέγιστη τιμή</w:t>
            </w:r>
          </w:p>
        </w:tc>
        <w:tc>
          <w:tcPr>
            <w:tcW w:w="1417" w:type="dxa"/>
          </w:tcPr>
          <w:p w:rsidR="002E7E5E" w:rsidRPr="00872FD2" w:rsidRDefault="002E7E5E" w:rsidP="005D7B76">
            <w:pPr>
              <w:spacing w:after="0" w:line="360" w:lineRule="auto"/>
              <w:ind w:right="-334"/>
              <w:rPr>
                <w:rFonts w:asciiTheme="minorHAnsi" w:eastAsiaTheme="minorHAnsi" w:hAnsiTheme="minorHAnsi" w:cs="Arial"/>
                <w:b/>
                <w:color w:val="000000"/>
                <w:sz w:val="24"/>
                <w:szCs w:val="24"/>
                <w:lang w:eastAsia="el-GR"/>
              </w:rPr>
            </w:pPr>
            <w:r w:rsidRPr="00872FD2">
              <w:rPr>
                <w:rFonts w:asciiTheme="minorHAnsi" w:eastAsiaTheme="minorHAnsi" w:hAnsiTheme="minorHAnsi" w:cs="Arial"/>
                <w:b/>
                <w:color w:val="000000"/>
                <w:sz w:val="24"/>
                <w:szCs w:val="24"/>
                <w:lang w:eastAsia="el-GR"/>
              </w:rPr>
              <w:t>Μέση τιμή</w:t>
            </w:r>
          </w:p>
        </w:tc>
        <w:tc>
          <w:tcPr>
            <w:tcW w:w="1276" w:type="dxa"/>
          </w:tcPr>
          <w:p w:rsidR="002E7E5E" w:rsidRPr="00872FD2" w:rsidRDefault="005D7B76" w:rsidP="005D7B76">
            <w:pPr>
              <w:spacing w:after="0" w:line="360" w:lineRule="auto"/>
              <w:ind w:right="-334"/>
              <w:rPr>
                <w:rFonts w:asciiTheme="minorHAnsi" w:eastAsiaTheme="minorHAnsi" w:hAnsiTheme="minorHAnsi" w:cs="Arial"/>
                <w:b/>
                <w:color w:val="000000"/>
                <w:sz w:val="24"/>
                <w:szCs w:val="24"/>
                <w:lang w:eastAsia="el-GR"/>
              </w:rPr>
            </w:pPr>
            <w:r>
              <w:rPr>
                <w:rFonts w:asciiTheme="minorHAnsi" w:eastAsiaTheme="minorHAnsi" w:hAnsiTheme="minorHAnsi" w:cs="Arial"/>
                <w:b/>
                <w:color w:val="000000"/>
                <w:sz w:val="24"/>
                <w:szCs w:val="24"/>
                <w:lang w:eastAsia="el-GR"/>
              </w:rPr>
              <w:t xml:space="preserve">        ΤΑ</w:t>
            </w:r>
          </w:p>
        </w:tc>
        <w:tc>
          <w:tcPr>
            <w:tcW w:w="1936" w:type="dxa"/>
          </w:tcPr>
          <w:p w:rsidR="002E7E5E" w:rsidRPr="00872FD2" w:rsidRDefault="005D7B76" w:rsidP="005D7B76">
            <w:pPr>
              <w:spacing w:after="0" w:line="360" w:lineRule="auto"/>
              <w:ind w:right="-334"/>
              <w:rPr>
                <w:rFonts w:asciiTheme="minorHAnsi" w:eastAsiaTheme="minorHAnsi" w:hAnsiTheme="minorHAnsi" w:cs="Arial"/>
                <w:b/>
                <w:color w:val="000000"/>
                <w:sz w:val="24"/>
                <w:szCs w:val="24"/>
                <w:lang w:val="en-US" w:eastAsia="el-GR"/>
              </w:rPr>
            </w:pPr>
            <w:r>
              <w:rPr>
                <w:rFonts w:asciiTheme="minorHAnsi" w:eastAsiaTheme="minorHAnsi" w:hAnsiTheme="minorHAnsi" w:cs="Arial"/>
                <w:b/>
                <w:color w:val="000000"/>
                <w:sz w:val="24"/>
                <w:szCs w:val="24"/>
                <w:lang w:val="en-US" w:eastAsia="el-GR"/>
              </w:rPr>
              <w:t xml:space="preserve">Cronbach’s </w:t>
            </w:r>
            <w:r>
              <w:rPr>
                <w:rFonts w:asciiTheme="minorHAnsi" w:eastAsiaTheme="minorHAnsi" w:hAnsiTheme="minorHAnsi" w:cs="Arial"/>
                <w:b/>
                <w:color w:val="000000"/>
                <w:sz w:val="24"/>
                <w:szCs w:val="24"/>
                <w:lang w:eastAsia="el-GR"/>
              </w:rPr>
              <w:t>Α</w:t>
            </w:r>
            <w:r w:rsidR="002E7E5E" w:rsidRPr="00872FD2">
              <w:rPr>
                <w:rFonts w:asciiTheme="minorHAnsi" w:eastAsiaTheme="minorHAnsi" w:hAnsiTheme="minorHAnsi" w:cs="Arial"/>
                <w:b/>
                <w:color w:val="000000"/>
                <w:sz w:val="24"/>
                <w:szCs w:val="24"/>
                <w:lang w:val="en-US" w:eastAsia="el-GR"/>
              </w:rPr>
              <w:t>lpha</w:t>
            </w:r>
          </w:p>
        </w:tc>
      </w:tr>
      <w:tr w:rsidR="00396CCA" w:rsidRPr="00872FD2" w:rsidTr="0008037E">
        <w:trPr>
          <w:cnfStyle w:val="000000010000"/>
          <w:jc w:val="center"/>
        </w:trPr>
        <w:tc>
          <w:tcPr>
            <w:tcW w:w="2824" w:type="dxa"/>
          </w:tcPr>
          <w:p w:rsidR="002E7E5E" w:rsidRPr="00872FD2" w:rsidRDefault="002E7E5E" w:rsidP="00872FD2">
            <w:pPr>
              <w:spacing w:after="0" w:line="360" w:lineRule="auto"/>
              <w:ind w:right="-334"/>
              <w:jc w:val="center"/>
              <w:rPr>
                <w:rFonts w:asciiTheme="minorHAnsi" w:eastAsiaTheme="minorHAnsi" w:hAnsiTheme="minorHAnsi" w:cs="Arial"/>
                <w:b/>
                <w:color w:val="000000"/>
                <w:sz w:val="24"/>
                <w:szCs w:val="24"/>
                <w:lang w:eastAsia="el-GR"/>
              </w:rPr>
            </w:pPr>
            <w:r w:rsidRPr="00872FD2">
              <w:rPr>
                <w:rFonts w:asciiTheme="minorHAnsi" w:eastAsiaTheme="minorHAnsi" w:hAnsiTheme="minorHAnsi" w:cs="Arial"/>
                <w:b/>
                <w:color w:val="000000"/>
                <w:sz w:val="24"/>
                <w:szCs w:val="24"/>
                <w:lang w:eastAsia="el-GR"/>
              </w:rPr>
              <w:t xml:space="preserve">Συνολικό </w:t>
            </w:r>
            <w:r w:rsidR="00396CCA" w:rsidRPr="00872FD2">
              <w:rPr>
                <w:rFonts w:asciiTheme="minorHAnsi" w:eastAsiaTheme="minorHAnsi" w:hAnsiTheme="minorHAnsi" w:cs="Arial"/>
                <w:b/>
                <w:color w:val="000000"/>
                <w:sz w:val="24"/>
                <w:szCs w:val="24"/>
                <w:lang w:eastAsia="el-GR"/>
              </w:rPr>
              <w:t>σκορ</w:t>
            </w:r>
          </w:p>
        </w:tc>
        <w:tc>
          <w:tcPr>
            <w:tcW w:w="1559" w:type="dxa"/>
          </w:tcPr>
          <w:p w:rsidR="002E7E5E" w:rsidRPr="00872FD2" w:rsidRDefault="002E7E5E" w:rsidP="00872FD2">
            <w:pPr>
              <w:spacing w:after="0" w:line="360" w:lineRule="auto"/>
              <w:ind w:right="-334"/>
              <w:jc w:val="center"/>
              <w:rPr>
                <w:rFonts w:asciiTheme="minorHAnsi" w:eastAsiaTheme="minorHAnsi" w:hAnsiTheme="minorHAnsi" w:cs="Arial"/>
                <w:color w:val="000000"/>
                <w:sz w:val="24"/>
                <w:szCs w:val="24"/>
                <w:lang w:val="en-US" w:eastAsia="el-GR"/>
              </w:rPr>
            </w:pPr>
            <w:r w:rsidRPr="00872FD2">
              <w:rPr>
                <w:rFonts w:asciiTheme="minorHAnsi" w:eastAsiaTheme="minorHAnsi" w:hAnsiTheme="minorHAnsi" w:cs="Arial"/>
                <w:color w:val="000000"/>
                <w:sz w:val="24"/>
                <w:szCs w:val="24"/>
                <w:lang w:val="en-US" w:eastAsia="el-GR"/>
              </w:rPr>
              <w:t>1</w:t>
            </w:r>
          </w:p>
        </w:tc>
        <w:tc>
          <w:tcPr>
            <w:tcW w:w="1581" w:type="dxa"/>
          </w:tcPr>
          <w:p w:rsidR="002E7E5E" w:rsidRPr="00872FD2" w:rsidRDefault="002E7E5E" w:rsidP="00872FD2">
            <w:pPr>
              <w:spacing w:after="0" w:line="360" w:lineRule="auto"/>
              <w:ind w:right="-334"/>
              <w:jc w:val="center"/>
              <w:rPr>
                <w:rFonts w:asciiTheme="minorHAnsi" w:eastAsiaTheme="minorHAnsi" w:hAnsiTheme="minorHAnsi" w:cs="Arial"/>
                <w:color w:val="000000"/>
                <w:sz w:val="24"/>
                <w:szCs w:val="24"/>
                <w:lang w:val="en-US" w:eastAsia="el-GR"/>
              </w:rPr>
            </w:pPr>
            <w:r w:rsidRPr="00872FD2">
              <w:rPr>
                <w:rFonts w:asciiTheme="minorHAnsi" w:eastAsiaTheme="minorHAnsi" w:hAnsiTheme="minorHAnsi" w:cs="Arial"/>
                <w:color w:val="000000"/>
                <w:sz w:val="24"/>
                <w:szCs w:val="24"/>
                <w:lang w:val="en-US" w:eastAsia="el-GR"/>
              </w:rPr>
              <w:t>8</w:t>
            </w:r>
          </w:p>
        </w:tc>
        <w:tc>
          <w:tcPr>
            <w:tcW w:w="1417" w:type="dxa"/>
          </w:tcPr>
          <w:p w:rsidR="002E7E5E" w:rsidRPr="00872FD2" w:rsidRDefault="00B05131" w:rsidP="00872FD2">
            <w:pPr>
              <w:spacing w:after="0" w:line="360" w:lineRule="auto"/>
              <w:ind w:right="-334"/>
              <w:jc w:val="center"/>
              <w:rPr>
                <w:rFonts w:asciiTheme="minorHAnsi" w:eastAsiaTheme="minorHAnsi" w:hAnsiTheme="minorHAnsi" w:cs="Arial"/>
                <w:color w:val="000000"/>
                <w:sz w:val="24"/>
                <w:szCs w:val="24"/>
                <w:lang w:val="en-US" w:eastAsia="el-GR"/>
              </w:rPr>
            </w:pPr>
            <w:r>
              <w:rPr>
                <w:rFonts w:asciiTheme="minorHAnsi" w:eastAsiaTheme="minorHAnsi" w:hAnsiTheme="minorHAnsi" w:cs="Arial"/>
                <w:color w:val="000000"/>
                <w:sz w:val="24"/>
                <w:szCs w:val="24"/>
                <w:lang w:val="en-US" w:eastAsia="el-GR"/>
              </w:rPr>
              <w:t>6,</w:t>
            </w:r>
            <w:r w:rsidR="002E7E5E" w:rsidRPr="00872FD2">
              <w:rPr>
                <w:rFonts w:asciiTheme="minorHAnsi" w:eastAsiaTheme="minorHAnsi" w:hAnsiTheme="minorHAnsi" w:cs="Arial"/>
                <w:color w:val="000000"/>
                <w:sz w:val="24"/>
                <w:szCs w:val="24"/>
                <w:lang w:val="en-US" w:eastAsia="el-GR"/>
              </w:rPr>
              <w:t>29</w:t>
            </w:r>
          </w:p>
        </w:tc>
        <w:tc>
          <w:tcPr>
            <w:tcW w:w="1276" w:type="dxa"/>
          </w:tcPr>
          <w:p w:rsidR="002E7E5E" w:rsidRPr="00872FD2" w:rsidRDefault="00EF6A06" w:rsidP="005D7B76">
            <w:pPr>
              <w:spacing w:after="0" w:line="360" w:lineRule="auto"/>
              <w:ind w:right="-334"/>
              <w:jc w:val="center"/>
              <w:rPr>
                <w:rFonts w:asciiTheme="minorHAnsi" w:eastAsiaTheme="minorHAnsi" w:hAnsiTheme="minorHAnsi" w:cs="Arial"/>
                <w:color w:val="000000"/>
                <w:sz w:val="24"/>
                <w:szCs w:val="24"/>
                <w:lang w:val="en-US" w:eastAsia="el-GR"/>
              </w:rPr>
            </w:pPr>
            <w:r>
              <w:rPr>
                <w:rFonts w:asciiTheme="minorHAnsi" w:eastAsiaTheme="minorHAnsi" w:hAnsiTheme="minorHAnsi" w:cs="Arial"/>
                <w:color w:val="000000"/>
                <w:sz w:val="24"/>
                <w:szCs w:val="24"/>
                <w:lang w:val="en-US" w:eastAsia="el-GR"/>
              </w:rPr>
              <w:t>1,</w:t>
            </w:r>
            <w:r w:rsidR="002E7E5E" w:rsidRPr="00872FD2">
              <w:rPr>
                <w:rFonts w:asciiTheme="minorHAnsi" w:eastAsiaTheme="minorHAnsi" w:hAnsiTheme="minorHAnsi" w:cs="Arial"/>
                <w:color w:val="000000"/>
                <w:sz w:val="24"/>
                <w:szCs w:val="24"/>
                <w:lang w:val="en-US" w:eastAsia="el-GR"/>
              </w:rPr>
              <w:t>82</w:t>
            </w:r>
          </w:p>
        </w:tc>
        <w:tc>
          <w:tcPr>
            <w:tcW w:w="1936" w:type="dxa"/>
          </w:tcPr>
          <w:p w:rsidR="002E7E5E" w:rsidRPr="00872FD2" w:rsidRDefault="00EF6A06" w:rsidP="00872FD2">
            <w:pPr>
              <w:spacing w:after="0" w:line="360" w:lineRule="auto"/>
              <w:ind w:right="-334"/>
              <w:jc w:val="center"/>
              <w:rPr>
                <w:rFonts w:asciiTheme="minorHAnsi" w:eastAsiaTheme="minorHAnsi" w:hAnsiTheme="minorHAnsi" w:cs="Arial"/>
                <w:color w:val="000000"/>
                <w:sz w:val="24"/>
                <w:szCs w:val="24"/>
                <w:lang w:val="en-US" w:eastAsia="el-GR"/>
              </w:rPr>
            </w:pPr>
            <w:r>
              <w:rPr>
                <w:rFonts w:asciiTheme="minorHAnsi" w:eastAsiaTheme="minorHAnsi" w:hAnsiTheme="minorHAnsi" w:cs="Arial"/>
                <w:color w:val="000000"/>
                <w:sz w:val="24"/>
                <w:szCs w:val="24"/>
                <w:lang w:val="en-US" w:eastAsia="el-GR"/>
              </w:rPr>
              <w:t>0,</w:t>
            </w:r>
            <w:r w:rsidR="002E7E5E" w:rsidRPr="00872FD2">
              <w:rPr>
                <w:rFonts w:asciiTheme="minorHAnsi" w:eastAsiaTheme="minorHAnsi" w:hAnsiTheme="minorHAnsi" w:cs="Arial"/>
                <w:color w:val="000000"/>
                <w:sz w:val="24"/>
                <w:szCs w:val="24"/>
                <w:lang w:val="en-US" w:eastAsia="el-GR"/>
              </w:rPr>
              <w:t>742</w:t>
            </w:r>
          </w:p>
        </w:tc>
      </w:tr>
      <w:tr w:rsidR="00396CCA" w:rsidRPr="00872FD2" w:rsidTr="0008037E">
        <w:trPr>
          <w:cnfStyle w:val="000000100000"/>
          <w:jc w:val="center"/>
        </w:trPr>
        <w:tc>
          <w:tcPr>
            <w:tcW w:w="2824" w:type="dxa"/>
          </w:tcPr>
          <w:p w:rsidR="002E7E5E" w:rsidRPr="0008037E" w:rsidRDefault="002E7E5E" w:rsidP="00872FD2">
            <w:pPr>
              <w:spacing w:after="0" w:line="360" w:lineRule="auto"/>
              <w:ind w:right="-334"/>
              <w:rPr>
                <w:rFonts w:asciiTheme="minorHAnsi" w:eastAsiaTheme="minorHAnsi" w:hAnsiTheme="minorHAnsi" w:cs="Arial"/>
                <w:i/>
                <w:color w:val="000000"/>
                <w:sz w:val="24"/>
                <w:szCs w:val="24"/>
                <w:lang w:eastAsia="el-GR"/>
              </w:rPr>
            </w:pPr>
            <w:r w:rsidRPr="0008037E">
              <w:rPr>
                <w:rFonts w:asciiTheme="minorHAnsi" w:eastAsiaTheme="minorHAnsi" w:hAnsiTheme="minorHAnsi" w:cs="Arial"/>
                <w:i/>
                <w:color w:val="000000"/>
                <w:sz w:val="24"/>
                <w:szCs w:val="24"/>
                <w:lang w:eastAsia="el-GR"/>
              </w:rPr>
              <w:t>Φαρμακευτική αγωγή</w:t>
            </w:r>
          </w:p>
        </w:tc>
        <w:tc>
          <w:tcPr>
            <w:tcW w:w="1559" w:type="dxa"/>
          </w:tcPr>
          <w:p w:rsidR="002E7E5E" w:rsidRPr="00872FD2" w:rsidRDefault="002E7E5E" w:rsidP="00872FD2">
            <w:pPr>
              <w:spacing w:after="0" w:line="360" w:lineRule="auto"/>
              <w:ind w:right="-334"/>
              <w:jc w:val="center"/>
              <w:rPr>
                <w:rFonts w:asciiTheme="minorHAnsi" w:eastAsiaTheme="minorHAnsi" w:hAnsiTheme="minorHAnsi" w:cs="Arial"/>
                <w:color w:val="000000"/>
                <w:sz w:val="24"/>
                <w:szCs w:val="24"/>
                <w:lang w:val="en-US" w:eastAsia="el-GR"/>
              </w:rPr>
            </w:pPr>
            <w:r w:rsidRPr="00872FD2">
              <w:rPr>
                <w:rFonts w:asciiTheme="minorHAnsi" w:eastAsiaTheme="minorHAnsi" w:hAnsiTheme="minorHAnsi" w:cs="Arial"/>
                <w:color w:val="000000"/>
                <w:sz w:val="24"/>
                <w:szCs w:val="24"/>
                <w:lang w:val="en-US" w:eastAsia="el-GR"/>
              </w:rPr>
              <w:t>0</w:t>
            </w:r>
          </w:p>
        </w:tc>
        <w:tc>
          <w:tcPr>
            <w:tcW w:w="1581" w:type="dxa"/>
          </w:tcPr>
          <w:p w:rsidR="002E7E5E" w:rsidRPr="00872FD2" w:rsidRDefault="002E7E5E" w:rsidP="00872FD2">
            <w:pPr>
              <w:spacing w:after="0" w:line="360" w:lineRule="auto"/>
              <w:ind w:right="-334"/>
              <w:jc w:val="center"/>
              <w:rPr>
                <w:rFonts w:asciiTheme="minorHAnsi" w:eastAsiaTheme="minorHAnsi" w:hAnsiTheme="minorHAnsi" w:cs="Arial"/>
                <w:color w:val="000000"/>
                <w:sz w:val="24"/>
                <w:szCs w:val="24"/>
                <w:lang w:val="en-US" w:eastAsia="el-GR"/>
              </w:rPr>
            </w:pPr>
            <w:r w:rsidRPr="00872FD2">
              <w:rPr>
                <w:rFonts w:asciiTheme="minorHAnsi" w:eastAsiaTheme="minorHAnsi" w:hAnsiTheme="minorHAnsi" w:cs="Arial"/>
                <w:color w:val="000000"/>
                <w:sz w:val="24"/>
                <w:szCs w:val="24"/>
                <w:lang w:val="en-US" w:eastAsia="el-GR"/>
              </w:rPr>
              <w:t>4</w:t>
            </w:r>
          </w:p>
        </w:tc>
        <w:tc>
          <w:tcPr>
            <w:tcW w:w="1417" w:type="dxa"/>
          </w:tcPr>
          <w:p w:rsidR="002E7E5E" w:rsidRPr="00872FD2" w:rsidRDefault="00EF6A06" w:rsidP="00872FD2">
            <w:pPr>
              <w:spacing w:after="0" w:line="360" w:lineRule="auto"/>
              <w:ind w:right="-334"/>
              <w:jc w:val="center"/>
              <w:rPr>
                <w:rFonts w:asciiTheme="minorHAnsi" w:eastAsiaTheme="minorHAnsi" w:hAnsiTheme="minorHAnsi" w:cs="Arial"/>
                <w:color w:val="000000"/>
                <w:sz w:val="24"/>
                <w:szCs w:val="24"/>
                <w:lang w:val="en-US" w:eastAsia="el-GR"/>
              </w:rPr>
            </w:pPr>
            <w:r>
              <w:rPr>
                <w:rFonts w:asciiTheme="minorHAnsi" w:eastAsiaTheme="minorHAnsi" w:hAnsiTheme="minorHAnsi" w:cs="Arial"/>
                <w:color w:val="000000"/>
                <w:sz w:val="24"/>
                <w:szCs w:val="24"/>
                <w:lang w:val="en-US" w:eastAsia="el-GR"/>
              </w:rPr>
              <w:t>3,</w:t>
            </w:r>
            <w:r w:rsidR="002E7E5E" w:rsidRPr="00872FD2">
              <w:rPr>
                <w:rFonts w:asciiTheme="minorHAnsi" w:eastAsiaTheme="minorHAnsi" w:hAnsiTheme="minorHAnsi" w:cs="Arial"/>
                <w:color w:val="000000"/>
                <w:sz w:val="24"/>
                <w:szCs w:val="24"/>
                <w:lang w:val="en-US" w:eastAsia="el-GR"/>
              </w:rPr>
              <w:t>04</w:t>
            </w:r>
          </w:p>
        </w:tc>
        <w:tc>
          <w:tcPr>
            <w:tcW w:w="1276" w:type="dxa"/>
          </w:tcPr>
          <w:p w:rsidR="002E7E5E" w:rsidRPr="00872FD2" w:rsidRDefault="00EF6A06" w:rsidP="00872FD2">
            <w:pPr>
              <w:spacing w:after="0" w:line="360" w:lineRule="auto"/>
              <w:ind w:right="-334"/>
              <w:jc w:val="center"/>
              <w:rPr>
                <w:rFonts w:asciiTheme="minorHAnsi" w:eastAsiaTheme="minorHAnsi" w:hAnsiTheme="minorHAnsi" w:cs="Arial"/>
                <w:color w:val="000000"/>
                <w:sz w:val="24"/>
                <w:szCs w:val="24"/>
                <w:lang w:val="en-US" w:eastAsia="el-GR"/>
              </w:rPr>
            </w:pPr>
            <w:r>
              <w:rPr>
                <w:rFonts w:asciiTheme="minorHAnsi" w:eastAsiaTheme="minorHAnsi" w:hAnsiTheme="minorHAnsi" w:cs="Arial"/>
                <w:color w:val="000000"/>
                <w:sz w:val="24"/>
                <w:szCs w:val="24"/>
                <w:lang w:val="en-US" w:eastAsia="el-GR"/>
              </w:rPr>
              <w:t>1,</w:t>
            </w:r>
            <w:r w:rsidR="002E7E5E" w:rsidRPr="00872FD2">
              <w:rPr>
                <w:rFonts w:asciiTheme="minorHAnsi" w:eastAsiaTheme="minorHAnsi" w:hAnsiTheme="minorHAnsi" w:cs="Arial"/>
                <w:color w:val="000000"/>
                <w:sz w:val="24"/>
                <w:szCs w:val="24"/>
                <w:lang w:val="en-US" w:eastAsia="el-GR"/>
              </w:rPr>
              <w:t>15</w:t>
            </w:r>
          </w:p>
        </w:tc>
        <w:tc>
          <w:tcPr>
            <w:tcW w:w="1936" w:type="dxa"/>
          </w:tcPr>
          <w:p w:rsidR="002E7E5E" w:rsidRPr="00872FD2" w:rsidRDefault="00EF6A06" w:rsidP="00872FD2">
            <w:pPr>
              <w:spacing w:after="0" w:line="360" w:lineRule="auto"/>
              <w:ind w:right="-334"/>
              <w:jc w:val="center"/>
              <w:rPr>
                <w:rFonts w:asciiTheme="minorHAnsi" w:eastAsiaTheme="minorHAnsi" w:hAnsiTheme="minorHAnsi" w:cs="Arial"/>
                <w:color w:val="000000"/>
                <w:sz w:val="24"/>
                <w:szCs w:val="24"/>
                <w:lang w:val="en-US" w:eastAsia="el-GR"/>
              </w:rPr>
            </w:pPr>
            <w:r>
              <w:rPr>
                <w:rFonts w:asciiTheme="minorHAnsi" w:eastAsiaTheme="minorHAnsi" w:hAnsiTheme="minorHAnsi" w:cs="Arial"/>
                <w:color w:val="000000"/>
                <w:sz w:val="24"/>
                <w:szCs w:val="24"/>
                <w:lang w:val="en-US" w:eastAsia="el-GR"/>
              </w:rPr>
              <w:t>0,</w:t>
            </w:r>
            <w:r w:rsidR="002E7E5E" w:rsidRPr="00872FD2">
              <w:rPr>
                <w:rFonts w:asciiTheme="minorHAnsi" w:eastAsiaTheme="minorHAnsi" w:hAnsiTheme="minorHAnsi" w:cs="Arial"/>
                <w:color w:val="000000"/>
                <w:sz w:val="24"/>
                <w:szCs w:val="24"/>
                <w:lang w:val="en-US" w:eastAsia="el-GR"/>
              </w:rPr>
              <w:t>750</w:t>
            </w:r>
          </w:p>
        </w:tc>
      </w:tr>
      <w:tr w:rsidR="00396CCA" w:rsidRPr="00872FD2" w:rsidTr="0008037E">
        <w:trPr>
          <w:cnfStyle w:val="000000010000"/>
          <w:jc w:val="center"/>
        </w:trPr>
        <w:tc>
          <w:tcPr>
            <w:tcW w:w="2824" w:type="dxa"/>
          </w:tcPr>
          <w:p w:rsidR="002E7E5E" w:rsidRPr="0008037E" w:rsidRDefault="002E7E5E" w:rsidP="00872FD2">
            <w:pPr>
              <w:spacing w:after="0" w:line="360" w:lineRule="auto"/>
              <w:ind w:right="-334"/>
              <w:rPr>
                <w:rFonts w:asciiTheme="minorHAnsi" w:eastAsiaTheme="minorHAnsi" w:hAnsiTheme="minorHAnsi" w:cs="Arial"/>
                <w:i/>
                <w:color w:val="000000"/>
                <w:sz w:val="24"/>
                <w:szCs w:val="24"/>
                <w:lang w:eastAsia="el-GR"/>
              </w:rPr>
            </w:pPr>
            <w:r w:rsidRPr="0008037E">
              <w:rPr>
                <w:rFonts w:asciiTheme="minorHAnsi" w:eastAsiaTheme="minorHAnsi" w:hAnsiTheme="minorHAnsi" w:cs="Arial"/>
                <w:i/>
                <w:color w:val="000000"/>
                <w:sz w:val="24"/>
                <w:szCs w:val="24"/>
                <w:lang w:eastAsia="el-GR"/>
              </w:rPr>
              <w:t>Παρουσία στη συ</w:t>
            </w:r>
            <w:r w:rsidR="00396CCA" w:rsidRPr="0008037E">
              <w:rPr>
                <w:rFonts w:asciiTheme="minorHAnsi" w:eastAsiaTheme="minorHAnsi" w:hAnsiTheme="minorHAnsi" w:cs="Arial"/>
                <w:i/>
                <w:color w:val="000000"/>
                <w:sz w:val="24"/>
                <w:szCs w:val="24"/>
                <w:lang w:eastAsia="el-GR"/>
              </w:rPr>
              <w:t xml:space="preserve">νεδρία </w:t>
            </w:r>
            <w:r w:rsidR="00CD50AB" w:rsidRPr="0008037E">
              <w:rPr>
                <w:rFonts w:asciiTheme="minorHAnsi" w:eastAsiaTheme="minorHAnsi" w:hAnsiTheme="minorHAnsi" w:cs="Arial"/>
                <w:i/>
                <w:color w:val="000000"/>
                <w:sz w:val="24"/>
                <w:szCs w:val="24"/>
                <w:lang w:eastAsia="el-GR"/>
              </w:rPr>
              <w:t>αιμοκάθαρση</w:t>
            </w:r>
          </w:p>
        </w:tc>
        <w:tc>
          <w:tcPr>
            <w:tcW w:w="1559" w:type="dxa"/>
          </w:tcPr>
          <w:p w:rsidR="002E7E5E" w:rsidRPr="00872FD2" w:rsidRDefault="002E7E5E" w:rsidP="00872FD2">
            <w:pPr>
              <w:spacing w:after="0" w:line="360" w:lineRule="auto"/>
              <w:ind w:right="-334"/>
              <w:jc w:val="center"/>
              <w:rPr>
                <w:rFonts w:asciiTheme="minorHAnsi" w:eastAsiaTheme="minorHAnsi" w:hAnsiTheme="minorHAnsi" w:cs="Arial"/>
                <w:color w:val="000000"/>
                <w:sz w:val="24"/>
                <w:szCs w:val="24"/>
                <w:lang w:val="en-US" w:eastAsia="el-GR"/>
              </w:rPr>
            </w:pPr>
            <w:r w:rsidRPr="00872FD2">
              <w:rPr>
                <w:rFonts w:asciiTheme="minorHAnsi" w:eastAsiaTheme="minorHAnsi" w:hAnsiTheme="minorHAnsi" w:cs="Arial"/>
                <w:color w:val="000000"/>
                <w:sz w:val="24"/>
                <w:szCs w:val="24"/>
                <w:lang w:val="en-US" w:eastAsia="el-GR"/>
              </w:rPr>
              <w:t>0</w:t>
            </w:r>
          </w:p>
        </w:tc>
        <w:tc>
          <w:tcPr>
            <w:tcW w:w="1581" w:type="dxa"/>
          </w:tcPr>
          <w:p w:rsidR="002E7E5E" w:rsidRPr="00872FD2" w:rsidRDefault="002E7E5E" w:rsidP="00872FD2">
            <w:pPr>
              <w:spacing w:after="0" w:line="360" w:lineRule="auto"/>
              <w:ind w:right="-334"/>
              <w:jc w:val="center"/>
              <w:rPr>
                <w:rFonts w:asciiTheme="minorHAnsi" w:eastAsiaTheme="minorHAnsi" w:hAnsiTheme="minorHAnsi" w:cs="Arial"/>
                <w:color w:val="000000"/>
                <w:sz w:val="24"/>
                <w:szCs w:val="24"/>
                <w:lang w:val="en-US" w:eastAsia="el-GR"/>
              </w:rPr>
            </w:pPr>
            <w:r w:rsidRPr="00872FD2">
              <w:rPr>
                <w:rFonts w:asciiTheme="minorHAnsi" w:eastAsiaTheme="minorHAnsi" w:hAnsiTheme="minorHAnsi" w:cs="Arial"/>
                <w:color w:val="000000"/>
                <w:sz w:val="24"/>
                <w:szCs w:val="24"/>
                <w:lang w:val="en-US" w:eastAsia="el-GR"/>
              </w:rPr>
              <w:t>2</w:t>
            </w:r>
          </w:p>
        </w:tc>
        <w:tc>
          <w:tcPr>
            <w:tcW w:w="1417" w:type="dxa"/>
          </w:tcPr>
          <w:p w:rsidR="002E7E5E" w:rsidRPr="00872FD2" w:rsidRDefault="00EF6A06" w:rsidP="00872FD2">
            <w:pPr>
              <w:spacing w:after="0" w:line="360" w:lineRule="auto"/>
              <w:ind w:right="-334"/>
              <w:jc w:val="center"/>
              <w:rPr>
                <w:rFonts w:asciiTheme="minorHAnsi" w:eastAsiaTheme="minorHAnsi" w:hAnsiTheme="minorHAnsi" w:cs="Arial"/>
                <w:color w:val="000000"/>
                <w:sz w:val="24"/>
                <w:szCs w:val="24"/>
                <w:lang w:val="en-US" w:eastAsia="el-GR"/>
              </w:rPr>
            </w:pPr>
            <w:r>
              <w:rPr>
                <w:rFonts w:asciiTheme="minorHAnsi" w:eastAsiaTheme="minorHAnsi" w:hAnsiTheme="minorHAnsi" w:cs="Arial"/>
                <w:color w:val="000000"/>
                <w:sz w:val="24"/>
                <w:szCs w:val="24"/>
                <w:lang w:val="en-US" w:eastAsia="el-GR"/>
              </w:rPr>
              <w:t>1,</w:t>
            </w:r>
            <w:r w:rsidR="002E7E5E" w:rsidRPr="00872FD2">
              <w:rPr>
                <w:rFonts w:asciiTheme="minorHAnsi" w:eastAsiaTheme="minorHAnsi" w:hAnsiTheme="minorHAnsi" w:cs="Arial"/>
                <w:color w:val="000000"/>
                <w:sz w:val="24"/>
                <w:szCs w:val="24"/>
                <w:lang w:val="en-US" w:eastAsia="el-GR"/>
              </w:rPr>
              <w:t>76</w:t>
            </w:r>
          </w:p>
        </w:tc>
        <w:tc>
          <w:tcPr>
            <w:tcW w:w="1276" w:type="dxa"/>
          </w:tcPr>
          <w:p w:rsidR="002E7E5E" w:rsidRPr="00872FD2" w:rsidRDefault="00EF6A06" w:rsidP="00872FD2">
            <w:pPr>
              <w:spacing w:after="0" w:line="360" w:lineRule="auto"/>
              <w:ind w:right="-334"/>
              <w:jc w:val="center"/>
              <w:rPr>
                <w:rFonts w:asciiTheme="minorHAnsi" w:eastAsiaTheme="minorHAnsi" w:hAnsiTheme="minorHAnsi" w:cs="Arial"/>
                <w:color w:val="000000"/>
                <w:sz w:val="24"/>
                <w:szCs w:val="24"/>
                <w:lang w:val="en-US" w:eastAsia="el-GR"/>
              </w:rPr>
            </w:pPr>
            <w:r>
              <w:rPr>
                <w:rFonts w:asciiTheme="minorHAnsi" w:eastAsiaTheme="minorHAnsi" w:hAnsiTheme="minorHAnsi" w:cs="Arial"/>
                <w:color w:val="000000"/>
                <w:sz w:val="24"/>
                <w:szCs w:val="24"/>
                <w:lang w:val="en-US" w:eastAsia="el-GR"/>
              </w:rPr>
              <w:t>0,</w:t>
            </w:r>
            <w:r w:rsidR="002E7E5E" w:rsidRPr="00872FD2">
              <w:rPr>
                <w:rFonts w:asciiTheme="minorHAnsi" w:eastAsiaTheme="minorHAnsi" w:hAnsiTheme="minorHAnsi" w:cs="Arial"/>
                <w:color w:val="000000"/>
                <w:sz w:val="24"/>
                <w:szCs w:val="24"/>
                <w:lang w:val="en-US" w:eastAsia="el-GR"/>
              </w:rPr>
              <w:t>58</w:t>
            </w:r>
          </w:p>
        </w:tc>
        <w:tc>
          <w:tcPr>
            <w:tcW w:w="1936" w:type="dxa"/>
          </w:tcPr>
          <w:p w:rsidR="002E7E5E" w:rsidRPr="00872FD2" w:rsidRDefault="00EF6A06" w:rsidP="00872FD2">
            <w:pPr>
              <w:spacing w:after="0" w:line="360" w:lineRule="auto"/>
              <w:ind w:right="-334"/>
              <w:jc w:val="center"/>
              <w:rPr>
                <w:rFonts w:asciiTheme="minorHAnsi" w:eastAsiaTheme="minorHAnsi" w:hAnsiTheme="minorHAnsi" w:cs="Arial"/>
                <w:color w:val="000000"/>
                <w:sz w:val="24"/>
                <w:szCs w:val="24"/>
                <w:lang w:val="en-US" w:eastAsia="el-GR"/>
              </w:rPr>
            </w:pPr>
            <w:r>
              <w:rPr>
                <w:rFonts w:asciiTheme="minorHAnsi" w:eastAsiaTheme="minorHAnsi" w:hAnsiTheme="minorHAnsi" w:cs="Arial"/>
                <w:color w:val="000000"/>
                <w:sz w:val="24"/>
                <w:szCs w:val="24"/>
                <w:lang w:val="en-US" w:eastAsia="el-GR"/>
              </w:rPr>
              <w:t>0,</w:t>
            </w:r>
            <w:r w:rsidR="002E7E5E" w:rsidRPr="00872FD2">
              <w:rPr>
                <w:rFonts w:asciiTheme="minorHAnsi" w:eastAsiaTheme="minorHAnsi" w:hAnsiTheme="minorHAnsi" w:cs="Arial"/>
                <w:color w:val="000000"/>
                <w:sz w:val="24"/>
                <w:szCs w:val="24"/>
                <w:lang w:val="en-US" w:eastAsia="el-GR"/>
              </w:rPr>
              <w:t>856</w:t>
            </w:r>
          </w:p>
        </w:tc>
      </w:tr>
      <w:tr w:rsidR="00396CCA" w:rsidRPr="00872FD2" w:rsidTr="0008037E">
        <w:trPr>
          <w:cnfStyle w:val="000000100000"/>
          <w:trHeight w:val="608"/>
          <w:jc w:val="center"/>
        </w:trPr>
        <w:tc>
          <w:tcPr>
            <w:tcW w:w="2824" w:type="dxa"/>
          </w:tcPr>
          <w:p w:rsidR="00396CCA" w:rsidRPr="0008037E" w:rsidRDefault="00396CCA" w:rsidP="00872FD2">
            <w:pPr>
              <w:spacing w:after="0" w:line="360" w:lineRule="auto"/>
              <w:ind w:right="-334"/>
              <w:rPr>
                <w:rFonts w:asciiTheme="minorHAnsi" w:eastAsiaTheme="minorHAnsi" w:hAnsiTheme="minorHAnsi" w:cs="Arial"/>
                <w:i/>
                <w:color w:val="000000"/>
                <w:sz w:val="24"/>
                <w:szCs w:val="24"/>
                <w:lang w:eastAsia="el-GR"/>
              </w:rPr>
            </w:pPr>
            <w:r w:rsidRPr="0008037E">
              <w:rPr>
                <w:rFonts w:asciiTheme="minorHAnsi" w:eastAsiaTheme="minorHAnsi" w:hAnsiTheme="minorHAnsi" w:cs="Arial"/>
                <w:i/>
                <w:color w:val="000000"/>
                <w:sz w:val="24"/>
                <w:szCs w:val="24"/>
                <w:lang w:eastAsia="el-GR"/>
              </w:rPr>
              <w:t>Περιορισμοί στη δίαιτα και τη</w:t>
            </w:r>
          </w:p>
          <w:p w:rsidR="002E7E5E" w:rsidRPr="0008037E" w:rsidRDefault="00396CCA" w:rsidP="00872FD2">
            <w:pPr>
              <w:spacing w:after="0" w:line="360" w:lineRule="auto"/>
              <w:ind w:right="-334"/>
              <w:rPr>
                <w:rFonts w:asciiTheme="minorHAnsi" w:eastAsiaTheme="minorHAnsi" w:hAnsiTheme="minorHAnsi" w:cs="Arial"/>
                <w:i/>
                <w:color w:val="000000"/>
                <w:sz w:val="24"/>
                <w:szCs w:val="24"/>
                <w:lang w:eastAsia="el-GR"/>
              </w:rPr>
            </w:pPr>
            <w:r w:rsidRPr="0008037E">
              <w:rPr>
                <w:rFonts w:asciiTheme="minorHAnsi" w:eastAsiaTheme="minorHAnsi" w:hAnsiTheme="minorHAnsi" w:cs="Arial"/>
                <w:i/>
                <w:color w:val="000000"/>
                <w:sz w:val="24"/>
                <w:szCs w:val="24"/>
                <w:lang w:eastAsia="el-GR"/>
              </w:rPr>
              <w:t>λήψη υγρών</w:t>
            </w:r>
          </w:p>
        </w:tc>
        <w:tc>
          <w:tcPr>
            <w:tcW w:w="1559" w:type="dxa"/>
          </w:tcPr>
          <w:p w:rsidR="002E7E5E" w:rsidRPr="00872FD2" w:rsidRDefault="002E7E5E" w:rsidP="00872FD2">
            <w:pPr>
              <w:spacing w:after="0" w:line="360" w:lineRule="auto"/>
              <w:ind w:right="-334"/>
              <w:jc w:val="center"/>
              <w:rPr>
                <w:rFonts w:asciiTheme="minorHAnsi" w:eastAsiaTheme="minorHAnsi" w:hAnsiTheme="minorHAnsi" w:cs="Arial"/>
                <w:color w:val="000000"/>
                <w:sz w:val="24"/>
                <w:szCs w:val="24"/>
                <w:lang w:val="en-US" w:eastAsia="el-GR"/>
              </w:rPr>
            </w:pPr>
            <w:r w:rsidRPr="00872FD2">
              <w:rPr>
                <w:rFonts w:asciiTheme="minorHAnsi" w:eastAsiaTheme="minorHAnsi" w:hAnsiTheme="minorHAnsi" w:cs="Arial"/>
                <w:color w:val="000000"/>
                <w:sz w:val="24"/>
                <w:szCs w:val="24"/>
                <w:lang w:val="en-US" w:eastAsia="el-GR"/>
              </w:rPr>
              <w:t>0</w:t>
            </w:r>
          </w:p>
        </w:tc>
        <w:tc>
          <w:tcPr>
            <w:tcW w:w="1581" w:type="dxa"/>
          </w:tcPr>
          <w:p w:rsidR="002E7E5E" w:rsidRPr="00872FD2" w:rsidRDefault="002E7E5E" w:rsidP="00872FD2">
            <w:pPr>
              <w:spacing w:after="0" w:line="360" w:lineRule="auto"/>
              <w:ind w:right="-334"/>
              <w:jc w:val="center"/>
              <w:rPr>
                <w:rFonts w:asciiTheme="minorHAnsi" w:eastAsiaTheme="minorHAnsi" w:hAnsiTheme="minorHAnsi" w:cs="Arial"/>
                <w:color w:val="000000"/>
                <w:sz w:val="24"/>
                <w:szCs w:val="24"/>
                <w:lang w:val="en-US" w:eastAsia="el-GR"/>
              </w:rPr>
            </w:pPr>
            <w:r w:rsidRPr="00872FD2">
              <w:rPr>
                <w:rFonts w:asciiTheme="minorHAnsi" w:eastAsiaTheme="minorHAnsi" w:hAnsiTheme="minorHAnsi" w:cs="Arial"/>
                <w:color w:val="000000"/>
                <w:sz w:val="24"/>
                <w:szCs w:val="24"/>
                <w:lang w:val="en-US" w:eastAsia="el-GR"/>
              </w:rPr>
              <w:t>2</w:t>
            </w:r>
          </w:p>
        </w:tc>
        <w:tc>
          <w:tcPr>
            <w:tcW w:w="1417" w:type="dxa"/>
          </w:tcPr>
          <w:p w:rsidR="002E7E5E" w:rsidRPr="00872FD2" w:rsidRDefault="00EF6A06" w:rsidP="00872FD2">
            <w:pPr>
              <w:spacing w:after="0" w:line="360" w:lineRule="auto"/>
              <w:ind w:right="-334"/>
              <w:jc w:val="center"/>
              <w:rPr>
                <w:rFonts w:asciiTheme="minorHAnsi" w:eastAsiaTheme="minorHAnsi" w:hAnsiTheme="minorHAnsi" w:cs="Arial"/>
                <w:color w:val="000000"/>
                <w:sz w:val="24"/>
                <w:szCs w:val="24"/>
                <w:lang w:val="en-US" w:eastAsia="el-GR"/>
              </w:rPr>
            </w:pPr>
            <w:r>
              <w:rPr>
                <w:rFonts w:asciiTheme="minorHAnsi" w:eastAsiaTheme="minorHAnsi" w:hAnsiTheme="minorHAnsi" w:cs="Arial"/>
                <w:color w:val="000000"/>
                <w:sz w:val="24"/>
                <w:szCs w:val="24"/>
                <w:lang w:val="en-US" w:eastAsia="el-GR"/>
              </w:rPr>
              <w:t>1,</w:t>
            </w:r>
            <w:r w:rsidR="002E7E5E" w:rsidRPr="00872FD2">
              <w:rPr>
                <w:rFonts w:asciiTheme="minorHAnsi" w:eastAsiaTheme="minorHAnsi" w:hAnsiTheme="minorHAnsi" w:cs="Arial"/>
                <w:color w:val="000000"/>
                <w:sz w:val="24"/>
                <w:szCs w:val="24"/>
                <w:lang w:val="en-US" w:eastAsia="el-GR"/>
              </w:rPr>
              <w:t>50</w:t>
            </w:r>
          </w:p>
        </w:tc>
        <w:tc>
          <w:tcPr>
            <w:tcW w:w="1276" w:type="dxa"/>
          </w:tcPr>
          <w:p w:rsidR="002E7E5E" w:rsidRPr="00872FD2" w:rsidRDefault="00EF6A06" w:rsidP="00872FD2">
            <w:pPr>
              <w:spacing w:after="0" w:line="360" w:lineRule="auto"/>
              <w:ind w:right="-334"/>
              <w:jc w:val="center"/>
              <w:rPr>
                <w:rFonts w:asciiTheme="minorHAnsi" w:eastAsiaTheme="minorHAnsi" w:hAnsiTheme="minorHAnsi" w:cs="Arial"/>
                <w:color w:val="000000"/>
                <w:sz w:val="24"/>
                <w:szCs w:val="24"/>
                <w:lang w:val="en-US" w:eastAsia="el-GR"/>
              </w:rPr>
            </w:pPr>
            <w:r>
              <w:rPr>
                <w:rFonts w:asciiTheme="minorHAnsi" w:eastAsiaTheme="minorHAnsi" w:hAnsiTheme="minorHAnsi" w:cs="Arial"/>
                <w:color w:val="000000"/>
                <w:sz w:val="24"/>
                <w:szCs w:val="24"/>
                <w:lang w:val="en-US" w:eastAsia="el-GR"/>
              </w:rPr>
              <w:t>0,</w:t>
            </w:r>
            <w:r w:rsidR="002E7E5E" w:rsidRPr="00872FD2">
              <w:rPr>
                <w:rFonts w:asciiTheme="minorHAnsi" w:eastAsiaTheme="minorHAnsi" w:hAnsiTheme="minorHAnsi" w:cs="Arial"/>
                <w:color w:val="000000"/>
                <w:sz w:val="24"/>
                <w:szCs w:val="24"/>
                <w:lang w:val="en-US" w:eastAsia="el-GR"/>
              </w:rPr>
              <w:t>74</w:t>
            </w:r>
          </w:p>
        </w:tc>
        <w:tc>
          <w:tcPr>
            <w:tcW w:w="1936" w:type="dxa"/>
          </w:tcPr>
          <w:p w:rsidR="002E7E5E" w:rsidRPr="00872FD2" w:rsidRDefault="00EF6A06" w:rsidP="00872FD2">
            <w:pPr>
              <w:spacing w:after="0" w:line="360" w:lineRule="auto"/>
              <w:ind w:right="-334"/>
              <w:jc w:val="center"/>
              <w:rPr>
                <w:rFonts w:asciiTheme="minorHAnsi" w:eastAsiaTheme="minorHAnsi" w:hAnsiTheme="minorHAnsi" w:cs="Arial"/>
                <w:color w:val="000000"/>
                <w:sz w:val="24"/>
                <w:szCs w:val="24"/>
                <w:lang w:val="en-US" w:eastAsia="el-GR"/>
              </w:rPr>
            </w:pPr>
            <w:r>
              <w:rPr>
                <w:rFonts w:asciiTheme="minorHAnsi" w:eastAsiaTheme="minorHAnsi" w:hAnsiTheme="minorHAnsi" w:cs="Arial"/>
                <w:color w:val="000000"/>
                <w:sz w:val="24"/>
                <w:szCs w:val="24"/>
                <w:lang w:val="en-US" w:eastAsia="el-GR"/>
              </w:rPr>
              <w:t>0,</w:t>
            </w:r>
            <w:r w:rsidR="002E7E5E" w:rsidRPr="00872FD2">
              <w:rPr>
                <w:rFonts w:asciiTheme="minorHAnsi" w:eastAsiaTheme="minorHAnsi" w:hAnsiTheme="minorHAnsi" w:cs="Arial"/>
                <w:color w:val="000000"/>
                <w:sz w:val="24"/>
                <w:szCs w:val="24"/>
                <w:lang w:val="en-US" w:eastAsia="el-GR"/>
              </w:rPr>
              <w:t>717</w:t>
            </w:r>
          </w:p>
        </w:tc>
      </w:tr>
      <w:tr w:rsidR="002E7E5E" w:rsidRPr="00872FD2" w:rsidTr="0008037E">
        <w:trPr>
          <w:cnfStyle w:val="000000010000"/>
          <w:jc w:val="center"/>
        </w:trPr>
        <w:tc>
          <w:tcPr>
            <w:tcW w:w="10593" w:type="dxa"/>
            <w:gridSpan w:val="6"/>
          </w:tcPr>
          <w:p w:rsidR="002E7E5E" w:rsidRPr="00872FD2" w:rsidRDefault="00396CCA" w:rsidP="00872FD2">
            <w:pPr>
              <w:spacing w:after="0" w:line="360" w:lineRule="auto"/>
              <w:ind w:right="-334"/>
              <w:rPr>
                <w:rFonts w:asciiTheme="minorHAnsi" w:eastAsiaTheme="minorHAnsi" w:hAnsiTheme="minorHAnsi" w:cs="Arial"/>
                <w:i/>
                <w:color w:val="000000"/>
                <w:sz w:val="24"/>
                <w:szCs w:val="24"/>
                <w:lang w:val="en-US" w:eastAsia="el-GR"/>
              </w:rPr>
            </w:pPr>
            <w:r w:rsidRPr="00872FD2">
              <w:rPr>
                <w:rFonts w:asciiTheme="minorHAnsi" w:eastAsiaTheme="minorHAnsi" w:hAnsiTheme="minorHAnsi" w:cs="Arial"/>
                <w:i/>
                <w:color w:val="000000"/>
                <w:sz w:val="24"/>
                <w:szCs w:val="24"/>
                <w:lang w:eastAsia="el-GR"/>
              </w:rPr>
              <w:t>ΤΑ</w:t>
            </w:r>
            <w:r w:rsidR="002E7E5E" w:rsidRPr="00872FD2">
              <w:rPr>
                <w:rFonts w:asciiTheme="minorHAnsi" w:eastAsiaTheme="minorHAnsi" w:hAnsiTheme="minorHAnsi" w:cs="Arial"/>
                <w:i/>
                <w:color w:val="000000"/>
                <w:sz w:val="24"/>
                <w:szCs w:val="24"/>
                <w:lang w:val="en-US" w:eastAsia="el-GR"/>
              </w:rPr>
              <w:t>:</w:t>
            </w:r>
            <w:r w:rsidR="0078495A">
              <w:rPr>
                <w:rFonts w:asciiTheme="minorHAnsi" w:eastAsiaTheme="minorHAnsi" w:hAnsiTheme="minorHAnsi" w:cs="Arial"/>
                <w:i/>
                <w:color w:val="000000"/>
                <w:sz w:val="24"/>
                <w:szCs w:val="24"/>
                <w:lang w:eastAsia="el-GR"/>
              </w:rPr>
              <w:t xml:space="preserve"> </w:t>
            </w:r>
            <w:r w:rsidRPr="00872FD2">
              <w:rPr>
                <w:rFonts w:asciiTheme="minorHAnsi" w:eastAsiaTheme="minorHAnsi" w:hAnsiTheme="minorHAnsi" w:cs="Arial"/>
                <w:i/>
                <w:color w:val="000000"/>
                <w:sz w:val="24"/>
                <w:szCs w:val="24"/>
                <w:lang w:eastAsia="el-GR"/>
              </w:rPr>
              <w:t>Τυπική απόκλιση</w:t>
            </w:r>
          </w:p>
        </w:tc>
      </w:tr>
    </w:tbl>
    <w:p w:rsidR="002E7E5E" w:rsidRPr="005A464E" w:rsidRDefault="002E7E5E" w:rsidP="005A464E">
      <w:pPr>
        <w:spacing w:line="360" w:lineRule="auto"/>
        <w:jc w:val="both"/>
        <w:rPr>
          <w:b/>
          <w:sz w:val="24"/>
          <w:szCs w:val="24"/>
          <w:lang w:eastAsia="el-GR"/>
        </w:rPr>
      </w:pPr>
    </w:p>
    <w:p w:rsidR="004C1BCE" w:rsidRDefault="002B1022" w:rsidP="0066526D">
      <w:pPr>
        <w:pStyle w:val="30"/>
        <w:numPr>
          <w:ilvl w:val="1"/>
          <w:numId w:val="116"/>
        </w:numPr>
        <w:spacing w:after="240"/>
        <w:rPr>
          <w:lang w:eastAsia="el-GR"/>
        </w:rPr>
      </w:pPr>
      <w:bookmarkStart w:id="77" w:name="_Toc495951472"/>
      <w:r w:rsidRPr="005A464E">
        <w:rPr>
          <w:lang w:eastAsia="el-GR"/>
        </w:rPr>
        <w:t>2</w:t>
      </w:r>
      <w:r w:rsidRPr="005A464E">
        <w:rPr>
          <w:vertAlign w:val="superscript"/>
          <w:lang w:eastAsia="el-GR"/>
        </w:rPr>
        <w:t>η</w:t>
      </w:r>
      <w:r w:rsidRPr="005A464E">
        <w:rPr>
          <w:lang w:eastAsia="el-GR"/>
        </w:rPr>
        <w:t xml:space="preserve"> φάση</w:t>
      </w:r>
      <w:bookmarkEnd w:id="77"/>
      <w:r w:rsidR="00165FAE" w:rsidRPr="00D40E54">
        <w:rPr>
          <w:lang w:eastAsia="el-GR"/>
        </w:rPr>
        <w:t xml:space="preserve"> </w:t>
      </w:r>
    </w:p>
    <w:p w:rsidR="004C1BCE" w:rsidRPr="00074DEA" w:rsidRDefault="004C1BCE" w:rsidP="004C1BCE">
      <w:pPr>
        <w:rPr>
          <w:i/>
          <w:lang w:eastAsia="el-GR"/>
        </w:rPr>
      </w:pPr>
      <w:r>
        <w:rPr>
          <w:lang w:eastAsia="el-GR"/>
        </w:rPr>
        <w:t>Ολοκλήρωση της συγγραφής και έκδοση του ενημερωτικού εντύπου</w:t>
      </w:r>
      <w:r w:rsidR="00074DEA">
        <w:rPr>
          <w:lang w:eastAsia="el-GR"/>
        </w:rPr>
        <w:t xml:space="preserve"> </w:t>
      </w:r>
      <w:r w:rsidR="00074DEA" w:rsidRPr="00074DEA">
        <w:rPr>
          <w:i/>
          <w:lang w:eastAsia="el-GR"/>
        </w:rPr>
        <w:t>(ΠΑΡΑΡΤΗΜΑ)</w:t>
      </w:r>
      <w:r w:rsidR="00074DEA">
        <w:rPr>
          <w:i/>
          <w:lang w:eastAsia="el-GR"/>
        </w:rPr>
        <w:t>.</w:t>
      </w:r>
    </w:p>
    <w:p w:rsidR="0056745C" w:rsidRPr="004C1BCE" w:rsidRDefault="00165FAE" w:rsidP="0066526D">
      <w:pPr>
        <w:pStyle w:val="30"/>
        <w:numPr>
          <w:ilvl w:val="1"/>
          <w:numId w:val="116"/>
        </w:numPr>
        <w:spacing w:after="240"/>
        <w:rPr>
          <w:lang w:eastAsia="el-GR"/>
        </w:rPr>
      </w:pPr>
      <w:bookmarkStart w:id="78" w:name="_Toc495951473"/>
      <w:r w:rsidRPr="004C1BCE">
        <w:rPr>
          <w:lang w:eastAsia="el-GR"/>
        </w:rPr>
        <w:t>3</w:t>
      </w:r>
      <w:r w:rsidRPr="004C1BCE">
        <w:rPr>
          <w:vertAlign w:val="superscript"/>
          <w:lang w:eastAsia="el-GR"/>
        </w:rPr>
        <w:t>η</w:t>
      </w:r>
      <w:r w:rsidRPr="004C1BCE">
        <w:rPr>
          <w:lang w:eastAsia="el-GR"/>
        </w:rPr>
        <w:t xml:space="preserve"> φάση</w:t>
      </w:r>
      <w:r w:rsidR="00D40E54" w:rsidRPr="004C1BCE">
        <w:rPr>
          <w:lang w:eastAsia="el-GR"/>
        </w:rPr>
        <w:t xml:space="preserve"> – 4</w:t>
      </w:r>
      <w:r w:rsidR="00D40E54" w:rsidRPr="004C1BCE">
        <w:rPr>
          <w:vertAlign w:val="superscript"/>
          <w:lang w:eastAsia="el-GR"/>
        </w:rPr>
        <w:t>η</w:t>
      </w:r>
      <w:r w:rsidR="00D40E54" w:rsidRPr="004C1BCE">
        <w:rPr>
          <w:lang w:eastAsia="el-GR"/>
        </w:rPr>
        <w:t xml:space="preserve"> φάση</w:t>
      </w:r>
      <w:r w:rsidR="004C1BCE" w:rsidRPr="004C1BCE">
        <w:rPr>
          <w:lang w:eastAsia="el-GR"/>
        </w:rPr>
        <w:t xml:space="preserve"> – 5</w:t>
      </w:r>
      <w:r w:rsidR="004C1BCE" w:rsidRPr="004C1BCE">
        <w:rPr>
          <w:vertAlign w:val="superscript"/>
          <w:lang w:eastAsia="el-GR"/>
        </w:rPr>
        <w:t>η</w:t>
      </w:r>
      <w:r w:rsidR="004C1BCE" w:rsidRPr="004C1BCE">
        <w:rPr>
          <w:lang w:eastAsia="el-GR"/>
        </w:rPr>
        <w:t xml:space="preserve"> φάση</w:t>
      </w:r>
      <w:bookmarkEnd w:id="78"/>
    </w:p>
    <w:p w:rsidR="00012754" w:rsidRDefault="00821124" w:rsidP="00012754">
      <w:pPr>
        <w:pStyle w:val="nouk"/>
      </w:pPr>
      <w:r>
        <w:t>Το δείγμα αποτέλεσ</w:t>
      </w:r>
      <w:r w:rsidR="009D18C6">
        <w:t>αν 50</w:t>
      </w:r>
      <w:r w:rsidR="0008037E">
        <w:t xml:space="preserve"> ασθενείς, οι μισοί από τα οποίους</w:t>
      </w:r>
      <w:r w:rsidR="009D18C6">
        <w:t xml:space="preserve"> ανήκαν</w:t>
      </w:r>
      <w:r w:rsidR="007E28F2" w:rsidRPr="005A464E">
        <w:t xml:space="preserve"> </w:t>
      </w:r>
      <w:r w:rsidR="009D18C6">
        <w:t>στην ομάδα ελέγχου και οι άλλοι μισοί</w:t>
      </w:r>
      <w:r w:rsidR="007E28F2" w:rsidRPr="005A464E">
        <w:t xml:space="preserve"> </w:t>
      </w:r>
      <w:r w:rsidR="009D18C6">
        <w:t>σ</w:t>
      </w:r>
      <w:r w:rsidR="007E28F2" w:rsidRPr="005A464E">
        <w:t>την ομάδα παρέμβασης. Στον πίνακα που ακολουθεί δίνονται δημογραφικά στοιχεία των συμμετεχόντων ξεχωριστά για κάθε ομάδα</w:t>
      </w:r>
      <w:r w:rsidR="00F6061C">
        <w:t xml:space="preserve"> (Πίν 10</w:t>
      </w:r>
      <w:r w:rsidR="006D13A7" w:rsidRPr="005A464E">
        <w:t>)</w:t>
      </w:r>
      <w:r w:rsidR="007E28F2" w:rsidRPr="005A464E">
        <w:t xml:space="preserve">. </w:t>
      </w:r>
    </w:p>
    <w:p w:rsidR="005C6ABA" w:rsidRPr="005C6ABA" w:rsidRDefault="005C6ABA" w:rsidP="00012754">
      <w:pPr>
        <w:pStyle w:val="nouk"/>
      </w:pPr>
    </w:p>
    <w:p w:rsidR="00012754" w:rsidRPr="00F918EC" w:rsidRDefault="00F6061C" w:rsidP="00012754">
      <w:pPr>
        <w:pStyle w:val="nouk"/>
        <w:rPr>
          <w:rFonts w:asciiTheme="minorHAnsi" w:eastAsiaTheme="minorHAnsi" w:hAnsiTheme="minorHAnsi"/>
          <w:bCs/>
          <w:color w:val="000000"/>
        </w:rPr>
      </w:pPr>
      <w:r>
        <w:rPr>
          <w:rFonts w:asciiTheme="minorHAnsi" w:eastAsiaTheme="minorHAnsi" w:hAnsiTheme="minorHAnsi"/>
          <w:bCs/>
          <w:color w:val="000000"/>
        </w:rPr>
        <w:t>Πίνακας 10</w:t>
      </w:r>
    </w:p>
    <w:p w:rsidR="00012754" w:rsidRPr="009D18C6" w:rsidRDefault="00012754" w:rsidP="00012754">
      <w:pPr>
        <w:pStyle w:val="nouk"/>
      </w:pPr>
      <w:r w:rsidRPr="008847F1">
        <w:rPr>
          <w:rFonts w:asciiTheme="minorHAnsi" w:eastAsiaTheme="minorHAnsi" w:hAnsiTheme="minorHAnsi"/>
          <w:bCs/>
          <w:i/>
          <w:color w:val="000000"/>
        </w:rPr>
        <w:t>Δημογραφικά στοιχεία των συμμετεχόντων στις ομάδες ελέγχου και παρέμβασης</w:t>
      </w:r>
    </w:p>
    <w:tbl>
      <w:tblPr>
        <w:tblStyle w:val="-41"/>
        <w:tblW w:w="10592" w:type="dxa"/>
        <w:jc w:val="center"/>
        <w:tblLook w:val="0480"/>
      </w:tblPr>
      <w:tblGrid>
        <w:gridCol w:w="2932"/>
        <w:gridCol w:w="2225"/>
        <w:gridCol w:w="1337"/>
        <w:gridCol w:w="888"/>
        <w:gridCol w:w="1362"/>
        <w:gridCol w:w="888"/>
        <w:gridCol w:w="960"/>
      </w:tblGrid>
      <w:tr w:rsidR="00863AF3" w:rsidRPr="00872FD2" w:rsidTr="00052A71">
        <w:trPr>
          <w:cnfStyle w:val="000000100000"/>
          <w:trHeight w:val="285"/>
          <w:jc w:val="center"/>
        </w:trPr>
        <w:tc>
          <w:tcPr>
            <w:cnfStyle w:val="001000000000"/>
            <w:tcW w:w="10592" w:type="dxa"/>
            <w:gridSpan w:val="7"/>
            <w:hideMark/>
          </w:tcPr>
          <w:p w:rsidR="00863AF3" w:rsidRPr="008847F1" w:rsidRDefault="00863AF3" w:rsidP="00214D9E">
            <w:pPr>
              <w:pStyle w:val="nouk"/>
              <w:rPr>
                <w:rFonts w:asciiTheme="minorHAnsi" w:eastAsiaTheme="minorHAnsi" w:hAnsiTheme="minorHAnsi"/>
                <w:b w:val="0"/>
                <w:bCs w:val="0"/>
                <w:i/>
                <w:color w:val="000000"/>
              </w:rPr>
            </w:pPr>
          </w:p>
        </w:tc>
      </w:tr>
      <w:tr w:rsidR="007E28F2" w:rsidRPr="00872FD2" w:rsidTr="00052A71">
        <w:trPr>
          <w:cnfStyle w:val="000000010000"/>
          <w:trHeight w:val="285"/>
          <w:jc w:val="center"/>
        </w:trPr>
        <w:tc>
          <w:tcPr>
            <w:cnfStyle w:val="001000000000"/>
            <w:tcW w:w="5157" w:type="dxa"/>
            <w:gridSpan w:val="2"/>
            <w:vMerge w:val="restart"/>
            <w:hideMark/>
          </w:tcPr>
          <w:p w:rsidR="007E28F2" w:rsidRPr="00872FD2" w:rsidRDefault="007E28F2" w:rsidP="00872FD2">
            <w:pPr>
              <w:spacing w:after="0" w:line="360" w:lineRule="auto"/>
              <w:rPr>
                <w:rFonts w:asciiTheme="minorHAnsi" w:eastAsia="Times New Roman" w:hAnsiTheme="minorHAnsi" w:cs="Calibri"/>
                <w:b w:val="0"/>
                <w:bCs w:val="0"/>
                <w:color w:val="000000"/>
              </w:rPr>
            </w:pPr>
          </w:p>
        </w:tc>
        <w:tc>
          <w:tcPr>
            <w:tcW w:w="4475" w:type="dxa"/>
            <w:gridSpan w:val="4"/>
            <w:hideMark/>
          </w:tcPr>
          <w:p w:rsidR="007E28F2" w:rsidRPr="00872FD2" w:rsidRDefault="007E28F2" w:rsidP="00872FD2">
            <w:pPr>
              <w:spacing w:after="0" w:line="360" w:lineRule="auto"/>
              <w:jc w:val="center"/>
              <w:cnfStyle w:val="000000010000"/>
              <w:rPr>
                <w:rFonts w:asciiTheme="minorHAnsi" w:eastAsia="Times New Roman" w:hAnsiTheme="minorHAnsi" w:cs="Calibri"/>
                <w:b/>
                <w:bCs/>
                <w:color w:val="000000"/>
              </w:rPr>
            </w:pPr>
            <w:r w:rsidRPr="00872FD2">
              <w:rPr>
                <w:rFonts w:asciiTheme="minorHAnsi" w:eastAsia="Times New Roman" w:hAnsiTheme="minorHAnsi" w:cs="Calibri"/>
                <w:b/>
                <w:bCs/>
                <w:color w:val="000000"/>
              </w:rPr>
              <w:t>Ομάδα</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p>
        </w:tc>
      </w:tr>
      <w:tr w:rsidR="007E28F2" w:rsidRPr="00872FD2" w:rsidTr="00052A71">
        <w:trPr>
          <w:cnfStyle w:val="000000100000"/>
          <w:trHeight w:val="285"/>
          <w:jc w:val="center"/>
        </w:trPr>
        <w:tc>
          <w:tcPr>
            <w:cnfStyle w:val="001000000000"/>
            <w:tcW w:w="5157" w:type="dxa"/>
            <w:gridSpan w:val="2"/>
            <w:vMerge/>
            <w:hideMark/>
          </w:tcPr>
          <w:p w:rsidR="007E28F2" w:rsidRPr="00872FD2" w:rsidRDefault="007E28F2" w:rsidP="00872FD2">
            <w:pPr>
              <w:spacing w:after="0" w:line="360" w:lineRule="auto"/>
              <w:rPr>
                <w:rFonts w:asciiTheme="minorHAnsi" w:eastAsia="Times New Roman" w:hAnsiTheme="minorHAnsi" w:cs="Calibri"/>
                <w:b w:val="0"/>
                <w:bCs w:val="0"/>
                <w:color w:val="000000"/>
              </w:rPr>
            </w:pPr>
          </w:p>
        </w:tc>
        <w:tc>
          <w:tcPr>
            <w:tcW w:w="2225" w:type="dxa"/>
            <w:gridSpan w:val="2"/>
            <w:hideMark/>
          </w:tcPr>
          <w:p w:rsidR="007E28F2" w:rsidRPr="00872FD2" w:rsidRDefault="007E28F2" w:rsidP="00872FD2">
            <w:pPr>
              <w:spacing w:after="0" w:line="360" w:lineRule="auto"/>
              <w:jc w:val="center"/>
              <w:cnfStyle w:val="000000100000"/>
              <w:rPr>
                <w:rFonts w:asciiTheme="minorHAnsi" w:eastAsia="Times New Roman" w:hAnsiTheme="minorHAnsi" w:cs="Calibri"/>
                <w:b/>
                <w:bCs/>
                <w:color w:val="000000"/>
              </w:rPr>
            </w:pPr>
            <w:r w:rsidRPr="00872FD2">
              <w:rPr>
                <w:rFonts w:asciiTheme="minorHAnsi" w:eastAsia="Times New Roman" w:hAnsiTheme="minorHAnsi" w:cs="Calibri"/>
                <w:b/>
                <w:bCs/>
                <w:color w:val="000000"/>
              </w:rPr>
              <w:t>Ελέγχου (Ν=25)</w:t>
            </w:r>
          </w:p>
        </w:tc>
        <w:tc>
          <w:tcPr>
            <w:tcW w:w="2250" w:type="dxa"/>
            <w:gridSpan w:val="2"/>
            <w:hideMark/>
          </w:tcPr>
          <w:p w:rsidR="007E28F2" w:rsidRPr="00872FD2" w:rsidRDefault="007E28F2" w:rsidP="00872FD2">
            <w:pPr>
              <w:spacing w:after="0" w:line="360" w:lineRule="auto"/>
              <w:jc w:val="center"/>
              <w:cnfStyle w:val="000000100000"/>
              <w:rPr>
                <w:rFonts w:asciiTheme="minorHAnsi" w:eastAsia="Times New Roman" w:hAnsiTheme="minorHAnsi" w:cs="Calibri"/>
                <w:b/>
                <w:bCs/>
                <w:color w:val="000000"/>
              </w:rPr>
            </w:pPr>
            <w:r w:rsidRPr="00872FD2">
              <w:rPr>
                <w:rFonts w:asciiTheme="minorHAnsi" w:eastAsia="Times New Roman" w:hAnsiTheme="minorHAnsi" w:cs="Calibri"/>
                <w:b/>
                <w:bCs/>
                <w:color w:val="000000"/>
              </w:rPr>
              <w:t>Παρέμβασης (Ν=25)</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p>
        </w:tc>
      </w:tr>
      <w:tr w:rsidR="007E28F2" w:rsidRPr="00872FD2" w:rsidTr="00052A71">
        <w:trPr>
          <w:cnfStyle w:val="000000010000"/>
          <w:trHeight w:val="285"/>
          <w:jc w:val="center"/>
        </w:trPr>
        <w:tc>
          <w:tcPr>
            <w:cnfStyle w:val="001000000000"/>
            <w:tcW w:w="5157" w:type="dxa"/>
            <w:gridSpan w:val="2"/>
            <w:vMerge/>
            <w:hideMark/>
          </w:tcPr>
          <w:p w:rsidR="007E28F2" w:rsidRPr="00872FD2" w:rsidRDefault="007E28F2" w:rsidP="00872FD2">
            <w:pPr>
              <w:spacing w:after="0" w:line="360" w:lineRule="auto"/>
              <w:rPr>
                <w:rFonts w:asciiTheme="minorHAnsi" w:eastAsia="Times New Roman" w:hAnsiTheme="minorHAnsi" w:cs="Calibri"/>
                <w:b w:val="0"/>
                <w:bCs w:val="0"/>
                <w:color w:val="000000"/>
              </w:rPr>
            </w:pPr>
          </w:p>
        </w:tc>
        <w:tc>
          <w:tcPr>
            <w:tcW w:w="1337" w:type="dxa"/>
            <w:hideMark/>
          </w:tcPr>
          <w:p w:rsidR="007E28F2" w:rsidRPr="00872FD2" w:rsidRDefault="007E28F2" w:rsidP="00872FD2">
            <w:pPr>
              <w:spacing w:after="0" w:line="360" w:lineRule="auto"/>
              <w:jc w:val="center"/>
              <w:cnfStyle w:val="000000010000"/>
              <w:rPr>
                <w:rFonts w:asciiTheme="minorHAnsi" w:eastAsia="Times New Roman" w:hAnsiTheme="minorHAnsi" w:cs="Calibri"/>
                <w:b/>
                <w:bCs/>
                <w:color w:val="000000"/>
              </w:rPr>
            </w:pPr>
            <w:r w:rsidRPr="00872FD2">
              <w:rPr>
                <w:rFonts w:asciiTheme="minorHAnsi" w:eastAsia="Times New Roman" w:hAnsiTheme="minorHAnsi" w:cs="Calibri"/>
                <w:b/>
                <w:bCs/>
                <w:color w:val="000000"/>
              </w:rPr>
              <w:t>Ν</w:t>
            </w:r>
          </w:p>
        </w:tc>
        <w:tc>
          <w:tcPr>
            <w:tcW w:w="888" w:type="dxa"/>
            <w:hideMark/>
          </w:tcPr>
          <w:p w:rsidR="007E28F2" w:rsidRPr="00872FD2" w:rsidRDefault="007E28F2" w:rsidP="00872FD2">
            <w:pPr>
              <w:spacing w:after="0" w:line="360" w:lineRule="auto"/>
              <w:jc w:val="center"/>
              <w:cnfStyle w:val="000000010000"/>
              <w:rPr>
                <w:rFonts w:asciiTheme="minorHAnsi" w:eastAsia="Times New Roman" w:hAnsiTheme="minorHAnsi" w:cs="Calibri"/>
                <w:b/>
                <w:bCs/>
                <w:color w:val="000000"/>
              </w:rPr>
            </w:pPr>
            <w:r w:rsidRPr="00872FD2">
              <w:rPr>
                <w:rFonts w:asciiTheme="minorHAnsi" w:eastAsia="Times New Roman" w:hAnsiTheme="minorHAnsi" w:cs="Calibri"/>
                <w:b/>
                <w:bCs/>
                <w:color w:val="000000"/>
              </w:rPr>
              <w:t>%</w:t>
            </w:r>
          </w:p>
        </w:tc>
        <w:tc>
          <w:tcPr>
            <w:tcW w:w="1362" w:type="dxa"/>
            <w:hideMark/>
          </w:tcPr>
          <w:p w:rsidR="007E28F2" w:rsidRPr="00872FD2" w:rsidRDefault="007E28F2" w:rsidP="00872FD2">
            <w:pPr>
              <w:spacing w:after="0" w:line="360" w:lineRule="auto"/>
              <w:jc w:val="center"/>
              <w:cnfStyle w:val="000000010000"/>
              <w:rPr>
                <w:rFonts w:asciiTheme="minorHAnsi" w:eastAsia="Times New Roman" w:hAnsiTheme="minorHAnsi" w:cs="Calibri"/>
                <w:b/>
                <w:bCs/>
                <w:color w:val="000000"/>
              </w:rPr>
            </w:pPr>
            <w:r w:rsidRPr="00872FD2">
              <w:rPr>
                <w:rFonts w:asciiTheme="minorHAnsi" w:eastAsia="Times New Roman" w:hAnsiTheme="minorHAnsi" w:cs="Calibri"/>
                <w:b/>
                <w:bCs/>
                <w:color w:val="000000"/>
              </w:rPr>
              <w:t>Ν</w:t>
            </w:r>
          </w:p>
        </w:tc>
        <w:tc>
          <w:tcPr>
            <w:tcW w:w="888" w:type="dxa"/>
            <w:hideMark/>
          </w:tcPr>
          <w:p w:rsidR="007E28F2" w:rsidRPr="00872FD2" w:rsidRDefault="007E28F2" w:rsidP="00872FD2">
            <w:pPr>
              <w:spacing w:after="0" w:line="360" w:lineRule="auto"/>
              <w:jc w:val="center"/>
              <w:cnfStyle w:val="000000010000"/>
              <w:rPr>
                <w:rFonts w:asciiTheme="minorHAnsi" w:eastAsia="Times New Roman" w:hAnsiTheme="minorHAnsi" w:cs="Calibri"/>
                <w:b/>
                <w:bCs/>
                <w:color w:val="000000"/>
              </w:rPr>
            </w:pPr>
            <w:r w:rsidRPr="00872FD2">
              <w:rPr>
                <w:rFonts w:asciiTheme="minorHAnsi" w:eastAsia="Times New Roman" w:hAnsiTheme="minorHAnsi" w:cs="Calibri"/>
                <w:b/>
                <w:bCs/>
                <w:color w:val="000000"/>
              </w:rPr>
              <w:t>%</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b/>
                <w:bCs/>
                <w:color w:val="000000"/>
              </w:rPr>
            </w:pPr>
            <w:r w:rsidRPr="00872FD2">
              <w:rPr>
                <w:rFonts w:asciiTheme="minorHAnsi" w:eastAsia="Times New Roman" w:hAnsiTheme="minorHAnsi" w:cs="Calibri"/>
                <w:b/>
                <w:bCs/>
                <w:color w:val="000000"/>
              </w:rPr>
              <w:t>P</w:t>
            </w:r>
          </w:p>
        </w:tc>
      </w:tr>
      <w:tr w:rsidR="007E28F2" w:rsidRPr="00872FD2" w:rsidTr="00052A71">
        <w:trPr>
          <w:cnfStyle w:val="000000100000"/>
          <w:trHeight w:val="285"/>
          <w:jc w:val="center"/>
        </w:trPr>
        <w:tc>
          <w:tcPr>
            <w:cnfStyle w:val="001000000000"/>
            <w:tcW w:w="5157" w:type="dxa"/>
            <w:gridSpan w:val="2"/>
            <w:hideMark/>
          </w:tcPr>
          <w:p w:rsidR="007E28F2" w:rsidRPr="00872FD2" w:rsidRDefault="007E28F2" w:rsidP="00872FD2">
            <w:pPr>
              <w:spacing w:after="0" w:line="360" w:lineRule="auto"/>
              <w:rPr>
                <w:rFonts w:asciiTheme="minorHAnsi" w:eastAsia="Times New Roman" w:hAnsiTheme="minorHAnsi" w:cs="Calibri"/>
                <w:b w:val="0"/>
                <w:bCs w:val="0"/>
                <w:color w:val="000000"/>
              </w:rPr>
            </w:pPr>
            <w:r w:rsidRPr="00872FD2">
              <w:rPr>
                <w:rFonts w:asciiTheme="minorHAnsi" w:eastAsia="Times New Roman" w:hAnsiTheme="minorHAnsi" w:cs="Calibri"/>
                <w:color w:val="000000"/>
              </w:rPr>
              <w:t>Ηλικία, μέση τιμή (</w:t>
            </w:r>
            <w:r w:rsidR="00D225F5" w:rsidRPr="00872FD2">
              <w:rPr>
                <w:rFonts w:asciiTheme="minorHAnsi" w:eastAsia="Times New Roman" w:hAnsiTheme="minorHAnsi" w:cs="Calibri"/>
                <w:color w:val="000000"/>
              </w:rPr>
              <w:t>ΤΑ</w:t>
            </w:r>
            <w:r w:rsidRPr="00872FD2">
              <w:rPr>
                <w:rFonts w:asciiTheme="minorHAnsi" w:eastAsia="Times New Roman" w:hAnsiTheme="minorHAnsi" w:cs="Calibri"/>
                <w:color w:val="000000"/>
              </w:rPr>
              <w:t>)</w:t>
            </w:r>
          </w:p>
        </w:tc>
        <w:tc>
          <w:tcPr>
            <w:tcW w:w="1337" w:type="dxa"/>
            <w:noWrap/>
            <w:hideMark/>
          </w:tcPr>
          <w:p w:rsidR="007E28F2" w:rsidRPr="008B39C5" w:rsidRDefault="008B39C5" w:rsidP="008B39C5">
            <w:pPr>
              <w:spacing w:after="0" w:line="360" w:lineRule="auto"/>
              <w:jc w:val="center"/>
              <w:cnfStyle w:val="000000100000"/>
              <w:rPr>
                <w:rFonts w:asciiTheme="minorHAnsi" w:eastAsia="Times New Roman" w:hAnsiTheme="minorHAnsi" w:cs="Calibri"/>
              </w:rPr>
            </w:pPr>
            <w:r w:rsidRPr="008B39C5">
              <w:rPr>
                <w:rFonts w:asciiTheme="minorHAnsi" w:eastAsia="Times New Roman" w:hAnsiTheme="minorHAnsi" w:cs="Calibri"/>
              </w:rPr>
              <w:t>49,8</w:t>
            </w:r>
            <w:r w:rsidR="007E28F2" w:rsidRPr="008B39C5">
              <w:rPr>
                <w:rFonts w:asciiTheme="minorHAnsi" w:eastAsia="Times New Roman" w:hAnsiTheme="minorHAnsi" w:cs="Calibri"/>
              </w:rPr>
              <w:t xml:space="preserve"> (8,5)</w:t>
            </w:r>
          </w:p>
        </w:tc>
        <w:tc>
          <w:tcPr>
            <w:tcW w:w="888" w:type="dxa"/>
            <w:noWrap/>
            <w:hideMark/>
          </w:tcPr>
          <w:p w:rsidR="007E28F2" w:rsidRPr="008B39C5" w:rsidRDefault="007E28F2" w:rsidP="008B39C5">
            <w:pPr>
              <w:spacing w:after="0" w:line="360" w:lineRule="auto"/>
              <w:jc w:val="center"/>
              <w:cnfStyle w:val="000000100000"/>
              <w:rPr>
                <w:rFonts w:asciiTheme="minorHAnsi" w:eastAsia="Times New Roman" w:hAnsiTheme="minorHAnsi" w:cs="Calibri"/>
              </w:rPr>
            </w:pPr>
          </w:p>
        </w:tc>
        <w:tc>
          <w:tcPr>
            <w:tcW w:w="1362" w:type="dxa"/>
            <w:noWrap/>
            <w:hideMark/>
          </w:tcPr>
          <w:p w:rsidR="007E28F2" w:rsidRPr="008B39C5" w:rsidRDefault="007E28F2" w:rsidP="008B39C5">
            <w:pPr>
              <w:spacing w:after="0" w:line="360" w:lineRule="auto"/>
              <w:jc w:val="center"/>
              <w:cnfStyle w:val="000000100000"/>
              <w:rPr>
                <w:rFonts w:asciiTheme="minorHAnsi" w:eastAsia="Times New Roman" w:hAnsiTheme="minorHAnsi" w:cs="Calibri"/>
              </w:rPr>
            </w:pPr>
            <w:r w:rsidRPr="008B39C5">
              <w:rPr>
                <w:rFonts w:asciiTheme="minorHAnsi" w:eastAsia="Times New Roman" w:hAnsiTheme="minorHAnsi" w:cs="Calibri"/>
              </w:rPr>
              <w:t>51,2 (11,5)</w:t>
            </w:r>
          </w:p>
        </w:tc>
        <w:tc>
          <w:tcPr>
            <w:tcW w:w="888" w:type="dxa"/>
            <w:noWrap/>
            <w:hideMark/>
          </w:tcPr>
          <w:p w:rsidR="007E28F2" w:rsidRPr="008B39C5" w:rsidRDefault="007E28F2" w:rsidP="008B39C5">
            <w:pPr>
              <w:spacing w:after="0" w:line="360" w:lineRule="auto"/>
              <w:jc w:val="center"/>
              <w:cnfStyle w:val="000000100000"/>
              <w:rPr>
                <w:rFonts w:asciiTheme="minorHAnsi" w:eastAsia="Times New Roman" w:hAnsiTheme="minorHAnsi" w:cs="Calibri"/>
              </w:rPr>
            </w:pPr>
          </w:p>
        </w:tc>
        <w:tc>
          <w:tcPr>
            <w:tcW w:w="960" w:type="dxa"/>
            <w:noWrap/>
            <w:hideMark/>
          </w:tcPr>
          <w:p w:rsidR="007E28F2" w:rsidRPr="008B39C5" w:rsidRDefault="008B39C5" w:rsidP="008B39C5">
            <w:pPr>
              <w:spacing w:after="0" w:line="360" w:lineRule="auto"/>
              <w:jc w:val="center"/>
              <w:cnfStyle w:val="000000100000"/>
              <w:rPr>
                <w:rFonts w:asciiTheme="minorHAnsi" w:eastAsia="Times New Roman" w:hAnsiTheme="minorHAnsi" w:cs="Calibri"/>
                <w:b/>
                <w:bCs/>
              </w:rPr>
            </w:pPr>
            <w:r w:rsidRPr="008B39C5">
              <w:rPr>
                <w:rFonts w:asciiTheme="minorHAnsi" w:eastAsia="Times New Roman" w:hAnsiTheme="minorHAnsi" w:cs="Calibri"/>
                <w:bCs/>
              </w:rPr>
              <w:t>0,627</w:t>
            </w:r>
            <w:r w:rsidR="007E28F2" w:rsidRPr="008B39C5">
              <w:rPr>
                <w:rFonts w:asciiTheme="minorHAnsi" w:eastAsia="Times New Roman" w:hAnsiTheme="minorHAnsi" w:cs="Calibri"/>
                <w:bCs/>
                <w:vertAlign w:val="superscript"/>
              </w:rPr>
              <w:t>‡</w:t>
            </w:r>
          </w:p>
        </w:tc>
      </w:tr>
      <w:tr w:rsidR="007E28F2" w:rsidRPr="00872FD2" w:rsidTr="00052A71">
        <w:trPr>
          <w:cnfStyle w:val="000000010000"/>
          <w:trHeight w:val="285"/>
          <w:jc w:val="center"/>
        </w:trPr>
        <w:tc>
          <w:tcPr>
            <w:cnfStyle w:val="001000000000"/>
            <w:tcW w:w="2934" w:type="dxa"/>
            <w:vMerge w:val="restart"/>
            <w:hideMark/>
          </w:tcPr>
          <w:p w:rsidR="007E28F2" w:rsidRPr="00872FD2" w:rsidRDefault="007E28F2" w:rsidP="00872FD2">
            <w:pPr>
              <w:spacing w:after="0" w:line="360" w:lineRule="auto"/>
              <w:rPr>
                <w:rFonts w:asciiTheme="minorHAnsi" w:eastAsia="Times New Roman" w:hAnsiTheme="minorHAnsi" w:cs="Calibri"/>
                <w:b w:val="0"/>
                <w:bCs w:val="0"/>
                <w:color w:val="000000"/>
              </w:rPr>
            </w:pPr>
            <w:r w:rsidRPr="00872FD2">
              <w:rPr>
                <w:rFonts w:asciiTheme="minorHAnsi" w:eastAsia="Times New Roman" w:hAnsiTheme="minorHAnsi" w:cs="Calibri"/>
                <w:color w:val="000000"/>
              </w:rPr>
              <w:t>Φύλο</w:t>
            </w:r>
          </w:p>
        </w:tc>
        <w:tc>
          <w:tcPr>
            <w:tcW w:w="2223" w:type="dxa"/>
            <w:hideMark/>
          </w:tcPr>
          <w:p w:rsidR="007E28F2" w:rsidRPr="00872FD2" w:rsidRDefault="004766A7" w:rsidP="00872FD2">
            <w:pPr>
              <w:spacing w:after="0" w:line="360" w:lineRule="auto"/>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Ά</w:t>
            </w:r>
            <w:r w:rsidR="007E28F2" w:rsidRPr="00872FD2">
              <w:rPr>
                <w:rFonts w:asciiTheme="minorHAnsi" w:eastAsia="Times New Roman" w:hAnsiTheme="minorHAnsi" w:cs="Calibri"/>
                <w:color w:val="000000"/>
              </w:rPr>
              <w:t>νδρας</w:t>
            </w:r>
          </w:p>
        </w:tc>
        <w:tc>
          <w:tcPr>
            <w:tcW w:w="1337"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15</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60,0</w:t>
            </w:r>
          </w:p>
        </w:tc>
        <w:tc>
          <w:tcPr>
            <w:tcW w:w="1362"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15</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60,0</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1,000</w:t>
            </w:r>
            <w:r w:rsidRPr="00872FD2">
              <w:rPr>
                <w:rFonts w:asciiTheme="minorHAnsi" w:eastAsia="Times New Roman" w:hAnsiTheme="minorHAnsi" w:cs="Calibri"/>
                <w:color w:val="000000"/>
                <w:vertAlign w:val="superscript"/>
              </w:rPr>
              <w:t>+</w:t>
            </w:r>
          </w:p>
        </w:tc>
      </w:tr>
      <w:tr w:rsidR="007E28F2" w:rsidRPr="00872FD2" w:rsidTr="00052A71">
        <w:trPr>
          <w:cnfStyle w:val="000000100000"/>
          <w:trHeight w:val="285"/>
          <w:jc w:val="center"/>
        </w:trPr>
        <w:tc>
          <w:tcPr>
            <w:cnfStyle w:val="001000000000"/>
            <w:tcW w:w="2934" w:type="dxa"/>
            <w:vMerge/>
            <w:hideMark/>
          </w:tcPr>
          <w:p w:rsidR="007E28F2" w:rsidRPr="00872FD2" w:rsidRDefault="007E28F2" w:rsidP="00872FD2">
            <w:pPr>
              <w:spacing w:after="0" w:line="360" w:lineRule="auto"/>
              <w:rPr>
                <w:rFonts w:asciiTheme="minorHAnsi" w:eastAsia="Times New Roman" w:hAnsiTheme="minorHAnsi" w:cs="Calibri"/>
                <w:b w:val="0"/>
                <w:bCs w:val="0"/>
                <w:color w:val="000000"/>
              </w:rPr>
            </w:pPr>
          </w:p>
        </w:tc>
        <w:tc>
          <w:tcPr>
            <w:tcW w:w="2223" w:type="dxa"/>
            <w:hideMark/>
          </w:tcPr>
          <w:p w:rsidR="007E28F2" w:rsidRPr="00872FD2" w:rsidRDefault="004766A7" w:rsidP="00872FD2">
            <w:pPr>
              <w:spacing w:after="0" w:line="360" w:lineRule="auto"/>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Γ</w:t>
            </w:r>
            <w:r w:rsidR="007E28F2" w:rsidRPr="00872FD2">
              <w:rPr>
                <w:rFonts w:asciiTheme="minorHAnsi" w:eastAsia="Times New Roman" w:hAnsiTheme="minorHAnsi" w:cs="Calibri"/>
                <w:color w:val="000000"/>
              </w:rPr>
              <w:t>υναίκα</w:t>
            </w:r>
          </w:p>
        </w:tc>
        <w:tc>
          <w:tcPr>
            <w:tcW w:w="1337"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10</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40,0</w:t>
            </w:r>
          </w:p>
        </w:tc>
        <w:tc>
          <w:tcPr>
            <w:tcW w:w="1362"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10</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40,0</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p>
        </w:tc>
      </w:tr>
      <w:tr w:rsidR="007E28F2" w:rsidRPr="00872FD2" w:rsidTr="00052A71">
        <w:trPr>
          <w:cnfStyle w:val="000000010000"/>
          <w:trHeight w:val="285"/>
          <w:jc w:val="center"/>
        </w:trPr>
        <w:tc>
          <w:tcPr>
            <w:cnfStyle w:val="001000000000"/>
            <w:tcW w:w="2934" w:type="dxa"/>
            <w:vMerge w:val="restart"/>
            <w:hideMark/>
          </w:tcPr>
          <w:p w:rsidR="007E28F2" w:rsidRPr="00872FD2" w:rsidRDefault="007E28F2" w:rsidP="00872FD2">
            <w:pPr>
              <w:spacing w:after="0" w:line="360" w:lineRule="auto"/>
              <w:rPr>
                <w:rFonts w:asciiTheme="minorHAnsi" w:eastAsia="Times New Roman" w:hAnsiTheme="minorHAnsi" w:cs="Calibri"/>
                <w:b w:val="0"/>
                <w:bCs w:val="0"/>
                <w:color w:val="000000"/>
              </w:rPr>
            </w:pPr>
            <w:r w:rsidRPr="00872FD2">
              <w:rPr>
                <w:rFonts w:asciiTheme="minorHAnsi" w:eastAsia="Times New Roman" w:hAnsiTheme="minorHAnsi" w:cs="Calibri"/>
                <w:color w:val="000000"/>
              </w:rPr>
              <w:t>Τόπος διαμονής</w:t>
            </w:r>
          </w:p>
        </w:tc>
        <w:tc>
          <w:tcPr>
            <w:tcW w:w="2223" w:type="dxa"/>
            <w:hideMark/>
          </w:tcPr>
          <w:p w:rsidR="007E28F2" w:rsidRPr="00872FD2" w:rsidRDefault="004766A7" w:rsidP="00872FD2">
            <w:pPr>
              <w:spacing w:after="0" w:line="360" w:lineRule="auto"/>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Α</w:t>
            </w:r>
            <w:r w:rsidR="007E28F2" w:rsidRPr="00872FD2">
              <w:rPr>
                <w:rFonts w:asciiTheme="minorHAnsi" w:eastAsia="Times New Roman" w:hAnsiTheme="minorHAnsi" w:cs="Calibri"/>
                <w:color w:val="000000"/>
              </w:rPr>
              <w:t>γροτικός</w:t>
            </w:r>
          </w:p>
        </w:tc>
        <w:tc>
          <w:tcPr>
            <w:tcW w:w="1337"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1</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4,0</w:t>
            </w:r>
          </w:p>
        </w:tc>
        <w:tc>
          <w:tcPr>
            <w:tcW w:w="1362"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3</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12,0</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0,354</w:t>
            </w:r>
            <w:r w:rsidRPr="00872FD2">
              <w:rPr>
                <w:rFonts w:asciiTheme="minorHAnsi" w:eastAsia="Times New Roman" w:hAnsiTheme="minorHAnsi" w:cs="Calibri"/>
                <w:color w:val="000000"/>
                <w:vertAlign w:val="superscript"/>
              </w:rPr>
              <w:t>++</w:t>
            </w:r>
          </w:p>
        </w:tc>
      </w:tr>
      <w:tr w:rsidR="007E28F2" w:rsidRPr="00872FD2" w:rsidTr="00052A71">
        <w:trPr>
          <w:cnfStyle w:val="000000100000"/>
          <w:trHeight w:val="285"/>
          <w:jc w:val="center"/>
        </w:trPr>
        <w:tc>
          <w:tcPr>
            <w:cnfStyle w:val="001000000000"/>
            <w:tcW w:w="2934" w:type="dxa"/>
            <w:vMerge/>
            <w:hideMark/>
          </w:tcPr>
          <w:p w:rsidR="007E28F2" w:rsidRPr="00872FD2" w:rsidRDefault="007E28F2" w:rsidP="00872FD2">
            <w:pPr>
              <w:spacing w:after="0" w:line="360" w:lineRule="auto"/>
              <w:rPr>
                <w:rFonts w:asciiTheme="minorHAnsi" w:eastAsia="Times New Roman" w:hAnsiTheme="minorHAnsi" w:cs="Calibri"/>
                <w:b w:val="0"/>
                <w:bCs w:val="0"/>
                <w:color w:val="000000"/>
              </w:rPr>
            </w:pPr>
          </w:p>
        </w:tc>
        <w:tc>
          <w:tcPr>
            <w:tcW w:w="2223" w:type="dxa"/>
            <w:hideMark/>
          </w:tcPr>
          <w:p w:rsidR="007E28F2" w:rsidRPr="00872FD2" w:rsidRDefault="004766A7" w:rsidP="00872FD2">
            <w:pPr>
              <w:spacing w:after="0" w:line="360" w:lineRule="auto"/>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Η</w:t>
            </w:r>
            <w:r w:rsidR="007E28F2" w:rsidRPr="00872FD2">
              <w:rPr>
                <w:rFonts w:asciiTheme="minorHAnsi" w:eastAsia="Times New Roman" w:hAnsiTheme="minorHAnsi" w:cs="Calibri"/>
                <w:color w:val="000000"/>
              </w:rPr>
              <w:t>μιαστικός</w:t>
            </w:r>
          </w:p>
        </w:tc>
        <w:tc>
          <w:tcPr>
            <w:tcW w:w="1337"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2</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8,0</w:t>
            </w:r>
          </w:p>
        </w:tc>
        <w:tc>
          <w:tcPr>
            <w:tcW w:w="1362"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0</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0,0</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p>
        </w:tc>
      </w:tr>
      <w:tr w:rsidR="007E28F2" w:rsidRPr="00872FD2" w:rsidTr="00052A71">
        <w:trPr>
          <w:cnfStyle w:val="000000010000"/>
          <w:trHeight w:val="285"/>
          <w:jc w:val="center"/>
        </w:trPr>
        <w:tc>
          <w:tcPr>
            <w:cnfStyle w:val="001000000000"/>
            <w:tcW w:w="2934" w:type="dxa"/>
            <w:vMerge/>
            <w:hideMark/>
          </w:tcPr>
          <w:p w:rsidR="007E28F2" w:rsidRPr="00872FD2" w:rsidRDefault="007E28F2" w:rsidP="00872FD2">
            <w:pPr>
              <w:spacing w:after="0" w:line="360" w:lineRule="auto"/>
              <w:rPr>
                <w:rFonts w:asciiTheme="minorHAnsi" w:eastAsia="Times New Roman" w:hAnsiTheme="minorHAnsi" w:cs="Calibri"/>
                <w:b w:val="0"/>
                <w:bCs w:val="0"/>
                <w:color w:val="000000"/>
              </w:rPr>
            </w:pPr>
          </w:p>
        </w:tc>
        <w:tc>
          <w:tcPr>
            <w:tcW w:w="2223" w:type="dxa"/>
            <w:hideMark/>
          </w:tcPr>
          <w:p w:rsidR="007E28F2" w:rsidRPr="00872FD2" w:rsidRDefault="004766A7" w:rsidP="00872FD2">
            <w:pPr>
              <w:spacing w:after="0" w:line="360" w:lineRule="auto"/>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Α</w:t>
            </w:r>
            <w:r w:rsidR="007E28F2" w:rsidRPr="00872FD2">
              <w:rPr>
                <w:rFonts w:asciiTheme="minorHAnsi" w:eastAsia="Times New Roman" w:hAnsiTheme="minorHAnsi" w:cs="Calibri"/>
                <w:color w:val="000000"/>
              </w:rPr>
              <w:t>στικός</w:t>
            </w:r>
          </w:p>
        </w:tc>
        <w:tc>
          <w:tcPr>
            <w:tcW w:w="1337"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22</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88,0</w:t>
            </w:r>
          </w:p>
        </w:tc>
        <w:tc>
          <w:tcPr>
            <w:tcW w:w="1362"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22</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88,0</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p>
        </w:tc>
      </w:tr>
      <w:tr w:rsidR="007E28F2" w:rsidRPr="00872FD2" w:rsidTr="00052A71">
        <w:trPr>
          <w:cnfStyle w:val="000000100000"/>
          <w:trHeight w:val="285"/>
          <w:jc w:val="center"/>
        </w:trPr>
        <w:tc>
          <w:tcPr>
            <w:cnfStyle w:val="001000000000"/>
            <w:tcW w:w="2934" w:type="dxa"/>
            <w:vMerge w:val="restart"/>
            <w:hideMark/>
          </w:tcPr>
          <w:p w:rsidR="007E28F2" w:rsidRPr="00872FD2" w:rsidRDefault="007E28F2" w:rsidP="00872FD2">
            <w:pPr>
              <w:spacing w:after="0" w:line="360" w:lineRule="auto"/>
              <w:rPr>
                <w:rFonts w:asciiTheme="minorHAnsi" w:eastAsia="Times New Roman" w:hAnsiTheme="minorHAnsi" w:cs="Calibri"/>
                <w:b w:val="0"/>
                <w:bCs w:val="0"/>
                <w:color w:val="000000"/>
              </w:rPr>
            </w:pPr>
            <w:r w:rsidRPr="00872FD2">
              <w:rPr>
                <w:rFonts w:asciiTheme="minorHAnsi" w:eastAsia="Times New Roman" w:hAnsiTheme="minorHAnsi" w:cs="Calibri"/>
                <w:color w:val="000000"/>
              </w:rPr>
              <w:t>Οικογενειακή κατάσταση</w:t>
            </w:r>
          </w:p>
        </w:tc>
        <w:tc>
          <w:tcPr>
            <w:tcW w:w="2223" w:type="dxa"/>
            <w:hideMark/>
          </w:tcPr>
          <w:p w:rsidR="007E28F2" w:rsidRPr="00872FD2" w:rsidRDefault="004766A7" w:rsidP="00872FD2">
            <w:pPr>
              <w:spacing w:after="0" w:line="360" w:lineRule="auto"/>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Ά</w:t>
            </w:r>
            <w:r w:rsidR="007E28F2" w:rsidRPr="00872FD2">
              <w:rPr>
                <w:rFonts w:asciiTheme="minorHAnsi" w:eastAsia="Times New Roman" w:hAnsiTheme="minorHAnsi" w:cs="Calibri"/>
                <w:color w:val="000000"/>
              </w:rPr>
              <w:t>γαμος</w:t>
            </w:r>
          </w:p>
        </w:tc>
        <w:tc>
          <w:tcPr>
            <w:tcW w:w="1337"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14</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56,0</w:t>
            </w:r>
          </w:p>
        </w:tc>
        <w:tc>
          <w:tcPr>
            <w:tcW w:w="1362"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5</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20,0</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b/>
                <w:bCs/>
                <w:color w:val="000000"/>
              </w:rPr>
            </w:pPr>
            <w:r w:rsidRPr="00872FD2">
              <w:rPr>
                <w:rFonts w:asciiTheme="minorHAnsi" w:eastAsia="Times New Roman" w:hAnsiTheme="minorHAnsi" w:cs="Calibri"/>
                <w:b/>
                <w:bCs/>
                <w:color w:val="000000"/>
              </w:rPr>
              <w:t>0,014</w:t>
            </w:r>
            <w:r w:rsidRPr="00872FD2">
              <w:rPr>
                <w:rFonts w:asciiTheme="minorHAnsi" w:eastAsia="Times New Roman" w:hAnsiTheme="minorHAnsi" w:cs="Calibri"/>
                <w:b/>
                <w:bCs/>
                <w:color w:val="000000"/>
                <w:vertAlign w:val="superscript"/>
              </w:rPr>
              <w:t>++</w:t>
            </w:r>
          </w:p>
        </w:tc>
      </w:tr>
      <w:tr w:rsidR="007E28F2" w:rsidRPr="00872FD2" w:rsidTr="00052A71">
        <w:trPr>
          <w:cnfStyle w:val="000000010000"/>
          <w:trHeight w:val="285"/>
          <w:jc w:val="center"/>
        </w:trPr>
        <w:tc>
          <w:tcPr>
            <w:cnfStyle w:val="001000000000"/>
            <w:tcW w:w="2934" w:type="dxa"/>
            <w:vMerge/>
            <w:hideMark/>
          </w:tcPr>
          <w:p w:rsidR="007E28F2" w:rsidRPr="00872FD2" w:rsidRDefault="007E28F2" w:rsidP="00872FD2">
            <w:pPr>
              <w:spacing w:after="0" w:line="360" w:lineRule="auto"/>
              <w:rPr>
                <w:rFonts w:asciiTheme="minorHAnsi" w:eastAsia="Times New Roman" w:hAnsiTheme="minorHAnsi" w:cs="Calibri"/>
                <w:b w:val="0"/>
                <w:bCs w:val="0"/>
                <w:color w:val="000000"/>
              </w:rPr>
            </w:pPr>
          </w:p>
        </w:tc>
        <w:tc>
          <w:tcPr>
            <w:tcW w:w="2223" w:type="dxa"/>
            <w:hideMark/>
          </w:tcPr>
          <w:p w:rsidR="007E28F2" w:rsidRPr="00872FD2" w:rsidRDefault="004766A7" w:rsidP="00872FD2">
            <w:pPr>
              <w:spacing w:after="0" w:line="360" w:lineRule="auto"/>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Έ</w:t>
            </w:r>
            <w:r w:rsidR="007E28F2" w:rsidRPr="00872FD2">
              <w:rPr>
                <w:rFonts w:asciiTheme="minorHAnsi" w:eastAsia="Times New Roman" w:hAnsiTheme="minorHAnsi" w:cs="Calibri"/>
                <w:color w:val="000000"/>
              </w:rPr>
              <w:t>γγαμος</w:t>
            </w:r>
          </w:p>
        </w:tc>
        <w:tc>
          <w:tcPr>
            <w:tcW w:w="1337"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10</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40,0</w:t>
            </w:r>
          </w:p>
        </w:tc>
        <w:tc>
          <w:tcPr>
            <w:tcW w:w="1362"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14</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56,0</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p>
        </w:tc>
      </w:tr>
      <w:tr w:rsidR="007E28F2" w:rsidRPr="00872FD2" w:rsidTr="00052A71">
        <w:trPr>
          <w:cnfStyle w:val="000000100000"/>
          <w:trHeight w:val="285"/>
          <w:jc w:val="center"/>
        </w:trPr>
        <w:tc>
          <w:tcPr>
            <w:cnfStyle w:val="001000000000"/>
            <w:tcW w:w="2934" w:type="dxa"/>
            <w:vMerge/>
            <w:hideMark/>
          </w:tcPr>
          <w:p w:rsidR="007E28F2" w:rsidRPr="00872FD2" w:rsidRDefault="007E28F2" w:rsidP="00872FD2">
            <w:pPr>
              <w:spacing w:after="0" w:line="360" w:lineRule="auto"/>
              <w:rPr>
                <w:rFonts w:asciiTheme="minorHAnsi" w:eastAsia="Times New Roman" w:hAnsiTheme="minorHAnsi" w:cs="Calibri"/>
                <w:b w:val="0"/>
                <w:bCs w:val="0"/>
                <w:color w:val="000000"/>
              </w:rPr>
            </w:pPr>
          </w:p>
        </w:tc>
        <w:tc>
          <w:tcPr>
            <w:tcW w:w="2223" w:type="dxa"/>
            <w:hideMark/>
          </w:tcPr>
          <w:p w:rsidR="007E28F2" w:rsidRPr="00872FD2" w:rsidRDefault="004766A7" w:rsidP="00872FD2">
            <w:pPr>
              <w:spacing w:after="0" w:line="360" w:lineRule="auto"/>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Δ</w:t>
            </w:r>
            <w:r w:rsidR="007E28F2" w:rsidRPr="00872FD2">
              <w:rPr>
                <w:rFonts w:asciiTheme="minorHAnsi" w:eastAsia="Times New Roman" w:hAnsiTheme="minorHAnsi" w:cs="Calibri"/>
                <w:color w:val="000000"/>
              </w:rPr>
              <w:t>ιαζευγμένος</w:t>
            </w:r>
          </w:p>
        </w:tc>
        <w:tc>
          <w:tcPr>
            <w:tcW w:w="1337"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0</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0,0</w:t>
            </w:r>
          </w:p>
        </w:tc>
        <w:tc>
          <w:tcPr>
            <w:tcW w:w="1362"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4</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16,0</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p>
        </w:tc>
      </w:tr>
      <w:tr w:rsidR="007E28F2" w:rsidRPr="00872FD2" w:rsidTr="00052A71">
        <w:trPr>
          <w:cnfStyle w:val="000000010000"/>
          <w:trHeight w:val="285"/>
          <w:jc w:val="center"/>
        </w:trPr>
        <w:tc>
          <w:tcPr>
            <w:cnfStyle w:val="001000000000"/>
            <w:tcW w:w="2934" w:type="dxa"/>
            <w:vMerge/>
            <w:hideMark/>
          </w:tcPr>
          <w:p w:rsidR="007E28F2" w:rsidRPr="00872FD2" w:rsidRDefault="007E28F2" w:rsidP="00872FD2">
            <w:pPr>
              <w:spacing w:after="0" w:line="360" w:lineRule="auto"/>
              <w:rPr>
                <w:rFonts w:asciiTheme="minorHAnsi" w:eastAsia="Times New Roman" w:hAnsiTheme="minorHAnsi" w:cs="Calibri"/>
                <w:b w:val="0"/>
                <w:bCs w:val="0"/>
                <w:color w:val="000000"/>
              </w:rPr>
            </w:pPr>
          </w:p>
        </w:tc>
        <w:tc>
          <w:tcPr>
            <w:tcW w:w="2223" w:type="dxa"/>
            <w:hideMark/>
          </w:tcPr>
          <w:p w:rsidR="007E28F2" w:rsidRPr="00872FD2" w:rsidRDefault="004766A7" w:rsidP="00872FD2">
            <w:pPr>
              <w:spacing w:after="0" w:line="360" w:lineRule="auto"/>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Χ</w:t>
            </w:r>
            <w:r w:rsidR="007E28F2" w:rsidRPr="00872FD2">
              <w:rPr>
                <w:rFonts w:asciiTheme="minorHAnsi" w:eastAsia="Times New Roman" w:hAnsiTheme="minorHAnsi" w:cs="Calibri"/>
                <w:color w:val="000000"/>
              </w:rPr>
              <w:t>ήρος</w:t>
            </w:r>
          </w:p>
        </w:tc>
        <w:tc>
          <w:tcPr>
            <w:tcW w:w="1337"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1</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4,0</w:t>
            </w:r>
          </w:p>
        </w:tc>
        <w:tc>
          <w:tcPr>
            <w:tcW w:w="1362"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2</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8,0</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p>
        </w:tc>
      </w:tr>
      <w:tr w:rsidR="007E28F2" w:rsidRPr="00872FD2" w:rsidTr="00052A71">
        <w:trPr>
          <w:cnfStyle w:val="000000100000"/>
          <w:trHeight w:val="285"/>
          <w:jc w:val="center"/>
        </w:trPr>
        <w:tc>
          <w:tcPr>
            <w:cnfStyle w:val="001000000000"/>
            <w:tcW w:w="2934" w:type="dxa"/>
            <w:vMerge w:val="restart"/>
            <w:hideMark/>
          </w:tcPr>
          <w:p w:rsidR="007E28F2" w:rsidRPr="00872FD2" w:rsidRDefault="007E28F2" w:rsidP="00872FD2">
            <w:pPr>
              <w:spacing w:after="0" w:line="360" w:lineRule="auto"/>
              <w:rPr>
                <w:rFonts w:asciiTheme="minorHAnsi" w:eastAsia="Times New Roman" w:hAnsiTheme="minorHAnsi" w:cs="Calibri"/>
                <w:b w:val="0"/>
                <w:bCs w:val="0"/>
                <w:color w:val="000000"/>
              </w:rPr>
            </w:pPr>
            <w:r w:rsidRPr="00872FD2">
              <w:rPr>
                <w:rFonts w:asciiTheme="minorHAnsi" w:eastAsia="Times New Roman" w:hAnsiTheme="minorHAnsi" w:cs="Calibri"/>
                <w:color w:val="000000"/>
              </w:rPr>
              <w:t>Παιδιά</w:t>
            </w:r>
          </w:p>
        </w:tc>
        <w:tc>
          <w:tcPr>
            <w:tcW w:w="2223" w:type="dxa"/>
            <w:hideMark/>
          </w:tcPr>
          <w:p w:rsidR="007E28F2" w:rsidRPr="00872FD2" w:rsidRDefault="007E28F2" w:rsidP="00872FD2">
            <w:pPr>
              <w:spacing w:after="0" w:line="360" w:lineRule="auto"/>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Όχι</w:t>
            </w:r>
          </w:p>
        </w:tc>
        <w:tc>
          <w:tcPr>
            <w:tcW w:w="1337"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17</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68,0</w:t>
            </w:r>
          </w:p>
        </w:tc>
        <w:tc>
          <w:tcPr>
            <w:tcW w:w="1362"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9</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36,0</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b/>
                <w:bCs/>
                <w:color w:val="000000"/>
              </w:rPr>
            </w:pPr>
            <w:r w:rsidRPr="00872FD2">
              <w:rPr>
                <w:rFonts w:asciiTheme="minorHAnsi" w:eastAsia="Times New Roman" w:hAnsiTheme="minorHAnsi" w:cs="Calibri"/>
                <w:b/>
                <w:bCs/>
                <w:color w:val="000000"/>
              </w:rPr>
              <w:t>0,024</w:t>
            </w:r>
            <w:r w:rsidRPr="00872FD2">
              <w:rPr>
                <w:rFonts w:asciiTheme="minorHAnsi" w:eastAsia="Times New Roman" w:hAnsiTheme="minorHAnsi" w:cs="Calibri"/>
                <w:b/>
                <w:bCs/>
                <w:color w:val="000000"/>
                <w:vertAlign w:val="superscript"/>
              </w:rPr>
              <w:t>+</w:t>
            </w:r>
          </w:p>
        </w:tc>
      </w:tr>
      <w:tr w:rsidR="007E28F2" w:rsidRPr="00872FD2" w:rsidTr="00052A71">
        <w:trPr>
          <w:cnfStyle w:val="000000010000"/>
          <w:trHeight w:val="285"/>
          <w:jc w:val="center"/>
        </w:trPr>
        <w:tc>
          <w:tcPr>
            <w:cnfStyle w:val="001000000000"/>
            <w:tcW w:w="2934" w:type="dxa"/>
            <w:vMerge/>
            <w:hideMark/>
          </w:tcPr>
          <w:p w:rsidR="007E28F2" w:rsidRPr="00872FD2" w:rsidRDefault="007E28F2" w:rsidP="00872FD2">
            <w:pPr>
              <w:spacing w:after="0" w:line="360" w:lineRule="auto"/>
              <w:rPr>
                <w:rFonts w:asciiTheme="minorHAnsi" w:eastAsia="Times New Roman" w:hAnsiTheme="minorHAnsi" w:cs="Calibri"/>
                <w:b w:val="0"/>
                <w:bCs w:val="0"/>
                <w:color w:val="000000"/>
              </w:rPr>
            </w:pPr>
          </w:p>
        </w:tc>
        <w:tc>
          <w:tcPr>
            <w:tcW w:w="2223" w:type="dxa"/>
            <w:hideMark/>
          </w:tcPr>
          <w:p w:rsidR="007E28F2" w:rsidRPr="00872FD2" w:rsidRDefault="007E28F2" w:rsidP="00872FD2">
            <w:pPr>
              <w:spacing w:after="0" w:line="360" w:lineRule="auto"/>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Ναι</w:t>
            </w:r>
          </w:p>
        </w:tc>
        <w:tc>
          <w:tcPr>
            <w:tcW w:w="1337"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8</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32,0</w:t>
            </w:r>
          </w:p>
        </w:tc>
        <w:tc>
          <w:tcPr>
            <w:tcW w:w="1362"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16</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64,0</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p>
        </w:tc>
      </w:tr>
      <w:tr w:rsidR="007E28F2" w:rsidRPr="00872FD2" w:rsidTr="00052A71">
        <w:trPr>
          <w:cnfStyle w:val="000000100000"/>
          <w:trHeight w:val="285"/>
          <w:jc w:val="center"/>
        </w:trPr>
        <w:tc>
          <w:tcPr>
            <w:cnfStyle w:val="001000000000"/>
            <w:tcW w:w="2934" w:type="dxa"/>
            <w:vMerge w:val="restart"/>
            <w:hideMark/>
          </w:tcPr>
          <w:p w:rsidR="007E28F2" w:rsidRPr="00872FD2" w:rsidRDefault="007E28F2" w:rsidP="00872FD2">
            <w:pPr>
              <w:spacing w:after="0" w:line="360" w:lineRule="auto"/>
              <w:rPr>
                <w:rFonts w:asciiTheme="minorHAnsi" w:eastAsia="Times New Roman" w:hAnsiTheme="minorHAnsi" w:cs="Calibri"/>
                <w:b w:val="0"/>
                <w:bCs w:val="0"/>
                <w:color w:val="000000"/>
              </w:rPr>
            </w:pPr>
            <w:r w:rsidRPr="00872FD2">
              <w:rPr>
                <w:rFonts w:asciiTheme="minorHAnsi" w:eastAsia="Times New Roman" w:hAnsiTheme="minorHAnsi" w:cs="Calibri"/>
                <w:color w:val="000000"/>
              </w:rPr>
              <w:t>Αριθμός παιδιών</w:t>
            </w:r>
          </w:p>
        </w:tc>
        <w:tc>
          <w:tcPr>
            <w:tcW w:w="2223" w:type="dxa"/>
            <w:hideMark/>
          </w:tcPr>
          <w:p w:rsidR="007E28F2" w:rsidRPr="00872FD2" w:rsidRDefault="007E28F2" w:rsidP="00872FD2">
            <w:pPr>
              <w:spacing w:after="0" w:line="360" w:lineRule="auto"/>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1</w:t>
            </w:r>
          </w:p>
        </w:tc>
        <w:tc>
          <w:tcPr>
            <w:tcW w:w="1337"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3</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37,5</w:t>
            </w:r>
          </w:p>
        </w:tc>
        <w:tc>
          <w:tcPr>
            <w:tcW w:w="1362"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3</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18,8</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0,521</w:t>
            </w:r>
            <w:r w:rsidRPr="00872FD2">
              <w:rPr>
                <w:rFonts w:asciiTheme="minorHAnsi" w:eastAsia="Times New Roman" w:hAnsiTheme="minorHAnsi" w:cs="Calibri"/>
                <w:color w:val="000000"/>
                <w:vertAlign w:val="superscript"/>
              </w:rPr>
              <w:t>++</w:t>
            </w:r>
          </w:p>
        </w:tc>
      </w:tr>
      <w:tr w:rsidR="007E28F2" w:rsidRPr="00872FD2" w:rsidTr="00052A71">
        <w:trPr>
          <w:cnfStyle w:val="000000010000"/>
          <w:trHeight w:val="285"/>
          <w:jc w:val="center"/>
        </w:trPr>
        <w:tc>
          <w:tcPr>
            <w:cnfStyle w:val="001000000000"/>
            <w:tcW w:w="2934" w:type="dxa"/>
            <w:vMerge/>
            <w:hideMark/>
          </w:tcPr>
          <w:p w:rsidR="007E28F2" w:rsidRPr="00872FD2" w:rsidRDefault="007E28F2" w:rsidP="00872FD2">
            <w:pPr>
              <w:spacing w:after="0" w:line="360" w:lineRule="auto"/>
              <w:rPr>
                <w:rFonts w:asciiTheme="minorHAnsi" w:eastAsia="Times New Roman" w:hAnsiTheme="minorHAnsi" w:cs="Calibri"/>
                <w:b w:val="0"/>
                <w:bCs w:val="0"/>
                <w:color w:val="000000"/>
              </w:rPr>
            </w:pPr>
          </w:p>
        </w:tc>
        <w:tc>
          <w:tcPr>
            <w:tcW w:w="2223" w:type="dxa"/>
            <w:hideMark/>
          </w:tcPr>
          <w:p w:rsidR="007E28F2" w:rsidRPr="00872FD2" w:rsidRDefault="007E28F2" w:rsidP="00872FD2">
            <w:pPr>
              <w:spacing w:after="0" w:line="360" w:lineRule="auto"/>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2</w:t>
            </w:r>
          </w:p>
        </w:tc>
        <w:tc>
          <w:tcPr>
            <w:tcW w:w="1337"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3</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37,5</w:t>
            </w:r>
          </w:p>
        </w:tc>
        <w:tc>
          <w:tcPr>
            <w:tcW w:w="1362"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10</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62,5</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p>
        </w:tc>
      </w:tr>
      <w:tr w:rsidR="007E28F2" w:rsidRPr="00872FD2" w:rsidTr="00052A71">
        <w:trPr>
          <w:cnfStyle w:val="000000100000"/>
          <w:trHeight w:val="285"/>
          <w:jc w:val="center"/>
        </w:trPr>
        <w:tc>
          <w:tcPr>
            <w:cnfStyle w:val="001000000000"/>
            <w:tcW w:w="2934" w:type="dxa"/>
            <w:vMerge/>
            <w:hideMark/>
          </w:tcPr>
          <w:p w:rsidR="007E28F2" w:rsidRPr="00872FD2" w:rsidRDefault="007E28F2" w:rsidP="00872FD2">
            <w:pPr>
              <w:spacing w:after="0" w:line="360" w:lineRule="auto"/>
              <w:rPr>
                <w:rFonts w:asciiTheme="minorHAnsi" w:eastAsia="Times New Roman" w:hAnsiTheme="minorHAnsi" w:cs="Calibri"/>
                <w:b w:val="0"/>
                <w:bCs w:val="0"/>
                <w:color w:val="000000"/>
              </w:rPr>
            </w:pPr>
          </w:p>
        </w:tc>
        <w:tc>
          <w:tcPr>
            <w:tcW w:w="2223" w:type="dxa"/>
            <w:hideMark/>
          </w:tcPr>
          <w:p w:rsidR="007E28F2" w:rsidRPr="00872FD2" w:rsidRDefault="007E28F2" w:rsidP="00872FD2">
            <w:pPr>
              <w:spacing w:after="0" w:line="360" w:lineRule="auto"/>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2+</w:t>
            </w:r>
          </w:p>
        </w:tc>
        <w:tc>
          <w:tcPr>
            <w:tcW w:w="1337"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2</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25,0</w:t>
            </w:r>
          </w:p>
        </w:tc>
        <w:tc>
          <w:tcPr>
            <w:tcW w:w="1362"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3</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18,8</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p>
        </w:tc>
      </w:tr>
      <w:tr w:rsidR="007E28F2" w:rsidRPr="00872FD2" w:rsidTr="00052A71">
        <w:trPr>
          <w:cnfStyle w:val="000000010000"/>
          <w:trHeight w:val="285"/>
          <w:jc w:val="center"/>
        </w:trPr>
        <w:tc>
          <w:tcPr>
            <w:cnfStyle w:val="001000000000"/>
            <w:tcW w:w="2934" w:type="dxa"/>
            <w:vMerge w:val="restart"/>
            <w:hideMark/>
          </w:tcPr>
          <w:p w:rsidR="007E28F2" w:rsidRPr="00872FD2" w:rsidRDefault="00BA566F" w:rsidP="00872FD2">
            <w:pPr>
              <w:spacing w:after="0" w:line="360" w:lineRule="auto"/>
              <w:rPr>
                <w:rFonts w:asciiTheme="minorHAnsi" w:eastAsia="Times New Roman" w:hAnsiTheme="minorHAnsi" w:cs="Calibri"/>
                <w:b w:val="0"/>
                <w:bCs w:val="0"/>
                <w:color w:val="000000"/>
              </w:rPr>
            </w:pPr>
            <w:r>
              <w:rPr>
                <w:rFonts w:asciiTheme="minorHAnsi" w:eastAsia="Times New Roman" w:hAnsiTheme="minorHAnsi" w:cs="Calibri"/>
                <w:color w:val="000000"/>
              </w:rPr>
              <w:t>Μέ</w:t>
            </w:r>
            <w:r w:rsidR="007E28F2" w:rsidRPr="00872FD2">
              <w:rPr>
                <w:rFonts w:asciiTheme="minorHAnsi" w:eastAsia="Times New Roman" w:hAnsiTheme="minorHAnsi" w:cs="Calibri"/>
                <w:color w:val="000000"/>
              </w:rPr>
              <w:t>νετε μόνος;</w:t>
            </w:r>
          </w:p>
        </w:tc>
        <w:tc>
          <w:tcPr>
            <w:tcW w:w="2223" w:type="dxa"/>
            <w:hideMark/>
          </w:tcPr>
          <w:p w:rsidR="007E28F2" w:rsidRPr="00872FD2" w:rsidRDefault="004766A7" w:rsidP="00872FD2">
            <w:pPr>
              <w:spacing w:after="0" w:line="360" w:lineRule="auto"/>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Ν</w:t>
            </w:r>
            <w:r w:rsidR="007E28F2" w:rsidRPr="00872FD2">
              <w:rPr>
                <w:rFonts w:asciiTheme="minorHAnsi" w:eastAsia="Times New Roman" w:hAnsiTheme="minorHAnsi" w:cs="Calibri"/>
                <w:color w:val="000000"/>
              </w:rPr>
              <w:t>αι</w:t>
            </w:r>
          </w:p>
        </w:tc>
        <w:tc>
          <w:tcPr>
            <w:tcW w:w="1337"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4</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16,7</w:t>
            </w:r>
          </w:p>
        </w:tc>
        <w:tc>
          <w:tcPr>
            <w:tcW w:w="1362"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5</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20,0</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1,000</w:t>
            </w:r>
            <w:r w:rsidRPr="00872FD2">
              <w:rPr>
                <w:rFonts w:asciiTheme="minorHAnsi" w:eastAsia="Times New Roman" w:hAnsiTheme="minorHAnsi" w:cs="Calibri"/>
                <w:color w:val="000000"/>
                <w:vertAlign w:val="superscript"/>
              </w:rPr>
              <w:t>++</w:t>
            </w:r>
          </w:p>
        </w:tc>
      </w:tr>
      <w:tr w:rsidR="007E28F2" w:rsidRPr="00872FD2" w:rsidTr="00052A71">
        <w:trPr>
          <w:cnfStyle w:val="000000100000"/>
          <w:trHeight w:val="285"/>
          <w:jc w:val="center"/>
        </w:trPr>
        <w:tc>
          <w:tcPr>
            <w:cnfStyle w:val="001000000000"/>
            <w:tcW w:w="2934" w:type="dxa"/>
            <w:vMerge/>
            <w:hideMark/>
          </w:tcPr>
          <w:p w:rsidR="007E28F2" w:rsidRPr="00872FD2" w:rsidRDefault="007E28F2" w:rsidP="00872FD2">
            <w:pPr>
              <w:spacing w:after="0" w:line="360" w:lineRule="auto"/>
              <w:rPr>
                <w:rFonts w:asciiTheme="minorHAnsi" w:eastAsia="Times New Roman" w:hAnsiTheme="minorHAnsi" w:cs="Calibri"/>
                <w:b w:val="0"/>
                <w:bCs w:val="0"/>
                <w:color w:val="000000"/>
              </w:rPr>
            </w:pPr>
          </w:p>
        </w:tc>
        <w:tc>
          <w:tcPr>
            <w:tcW w:w="2223" w:type="dxa"/>
            <w:hideMark/>
          </w:tcPr>
          <w:p w:rsidR="007E28F2" w:rsidRPr="00872FD2" w:rsidRDefault="004766A7" w:rsidP="00872FD2">
            <w:pPr>
              <w:spacing w:after="0" w:line="360" w:lineRule="auto"/>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Ό</w:t>
            </w:r>
            <w:r w:rsidR="007E28F2" w:rsidRPr="00872FD2">
              <w:rPr>
                <w:rFonts w:asciiTheme="minorHAnsi" w:eastAsia="Times New Roman" w:hAnsiTheme="minorHAnsi" w:cs="Calibri"/>
                <w:color w:val="000000"/>
              </w:rPr>
              <w:t>χι</w:t>
            </w:r>
          </w:p>
        </w:tc>
        <w:tc>
          <w:tcPr>
            <w:tcW w:w="1337"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20</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83,3</w:t>
            </w:r>
          </w:p>
        </w:tc>
        <w:tc>
          <w:tcPr>
            <w:tcW w:w="1362"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20</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80,0</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p>
        </w:tc>
      </w:tr>
      <w:tr w:rsidR="007E28F2" w:rsidRPr="00872FD2" w:rsidTr="00052A71">
        <w:trPr>
          <w:cnfStyle w:val="000000010000"/>
          <w:trHeight w:val="285"/>
          <w:jc w:val="center"/>
        </w:trPr>
        <w:tc>
          <w:tcPr>
            <w:cnfStyle w:val="001000000000"/>
            <w:tcW w:w="2934" w:type="dxa"/>
            <w:vMerge w:val="restart"/>
            <w:hideMark/>
          </w:tcPr>
          <w:p w:rsidR="007E28F2" w:rsidRPr="00872FD2" w:rsidRDefault="000D053B" w:rsidP="00872FD2">
            <w:pPr>
              <w:spacing w:after="0" w:line="360" w:lineRule="auto"/>
              <w:rPr>
                <w:rFonts w:asciiTheme="minorHAnsi" w:eastAsia="Times New Roman" w:hAnsiTheme="minorHAnsi" w:cs="Calibri"/>
                <w:b w:val="0"/>
                <w:bCs w:val="0"/>
                <w:color w:val="000000"/>
              </w:rPr>
            </w:pPr>
            <w:r>
              <w:rPr>
                <w:rFonts w:asciiTheme="minorHAnsi" w:eastAsia="Times New Roman" w:hAnsiTheme="minorHAnsi" w:cs="Calibri"/>
                <w:color w:val="000000"/>
              </w:rPr>
              <w:t>Εκπαιδευτικό</w:t>
            </w:r>
            <w:r w:rsidR="007E28F2" w:rsidRPr="00872FD2">
              <w:rPr>
                <w:rFonts w:asciiTheme="minorHAnsi" w:eastAsia="Times New Roman" w:hAnsiTheme="minorHAnsi" w:cs="Calibri"/>
                <w:color w:val="000000"/>
              </w:rPr>
              <w:t xml:space="preserve"> επίπεδο</w:t>
            </w:r>
          </w:p>
        </w:tc>
        <w:tc>
          <w:tcPr>
            <w:tcW w:w="2223" w:type="dxa"/>
            <w:hideMark/>
          </w:tcPr>
          <w:p w:rsidR="007E28F2" w:rsidRPr="00872FD2" w:rsidRDefault="004766A7" w:rsidP="00872FD2">
            <w:pPr>
              <w:spacing w:after="0" w:line="360" w:lineRule="auto"/>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Α</w:t>
            </w:r>
            <w:r w:rsidR="007E28F2" w:rsidRPr="00872FD2">
              <w:rPr>
                <w:rFonts w:asciiTheme="minorHAnsi" w:eastAsia="Times New Roman" w:hAnsiTheme="minorHAnsi" w:cs="Calibri"/>
                <w:color w:val="000000"/>
              </w:rPr>
              <w:t>ναλφάβητος</w:t>
            </w:r>
          </w:p>
        </w:tc>
        <w:tc>
          <w:tcPr>
            <w:tcW w:w="1337"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2</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8,0</w:t>
            </w:r>
          </w:p>
        </w:tc>
        <w:tc>
          <w:tcPr>
            <w:tcW w:w="1362"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0</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0,0</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0,471</w:t>
            </w:r>
            <w:r w:rsidRPr="00872FD2">
              <w:rPr>
                <w:rFonts w:asciiTheme="minorHAnsi" w:eastAsia="Times New Roman" w:hAnsiTheme="minorHAnsi" w:cs="Calibri"/>
                <w:color w:val="000000"/>
                <w:vertAlign w:val="superscript"/>
              </w:rPr>
              <w:t>++</w:t>
            </w:r>
          </w:p>
        </w:tc>
      </w:tr>
      <w:tr w:rsidR="007E28F2" w:rsidRPr="00872FD2" w:rsidTr="00052A71">
        <w:trPr>
          <w:cnfStyle w:val="000000100000"/>
          <w:trHeight w:val="285"/>
          <w:jc w:val="center"/>
        </w:trPr>
        <w:tc>
          <w:tcPr>
            <w:cnfStyle w:val="001000000000"/>
            <w:tcW w:w="2934" w:type="dxa"/>
            <w:vMerge/>
            <w:hideMark/>
          </w:tcPr>
          <w:p w:rsidR="007E28F2" w:rsidRPr="00872FD2" w:rsidRDefault="007E28F2" w:rsidP="00872FD2">
            <w:pPr>
              <w:spacing w:after="0" w:line="360" w:lineRule="auto"/>
              <w:rPr>
                <w:rFonts w:asciiTheme="minorHAnsi" w:eastAsia="Times New Roman" w:hAnsiTheme="minorHAnsi" w:cs="Calibri"/>
                <w:b w:val="0"/>
                <w:bCs w:val="0"/>
                <w:color w:val="000000"/>
              </w:rPr>
            </w:pPr>
          </w:p>
        </w:tc>
        <w:tc>
          <w:tcPr>
            <w:tcW w:w="2223" w:type="dxa"/>
            <w:hideMark/>
          </w:tcPr>
          <w:p w:rsidR="007E28F2" w:rsidRPr="00872FD2" w:rsidRDefault="004766A7" w:rsidP="00872FD2">
            <w:pPr>
              <w:spacing w:after="0" w:line="360" w:lineRule="auto"/>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Δ</w:t>
            </w:r>
            <w:r w:rsidR="007E28F2" w:rsidRPr="00872FD2">
              <w:rPr>
                <w:rFonts w:asciiTheme="minorHAnsi" w:eastAsia="Times New Roman" w:hAnsiTheme="minorHAnsi" w:cs="Calibri"/>
                <w:color w:val="000000"/>
              </w:rPr>
              <w:t>ημοτικό</w:t>
            </w:r>
          </w:p>
        </w:tc>
        <w:tc>
          <w:tcPr>
            <w:tcW w:w="1337"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2</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8,0</w:t>
            </w:r>
          </w:p>
        </w:tc>
        <w:tc>
          <w:tcPr>
            <w:tcW w:w="1362"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1</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4,0</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p>
        </w:tc>
      </w:tr>
      <w:tr w:rsidR="007E28F2" w:rsidRPr="00872FD2" w:rsidTr="00052A71">
        <w:trPr>
          <w:cnfStyle w:val="000000010000"/>
          <w:trHeight w:val="285"/>
          <w:jc w:val="center"/>
        </w:trPr>
        <w:tc>
          <w:tcPr>
            <w:cnfStyle w:val="001000000000"/>
            <w:tcW w:w="2934" w:type="dxa"/>
            <w:vMerge/>
            <w:hideMark/>
          </w:tcPr>
          <w:p w:rsidR="007E28F2" w:rsidRPr="00872FD2" w:rsidRDefault="007E28F2" w:rsidP="00872FD2">
            <w:pPr>
              <w:spacing w:after="0" w:line="360" w:lineRule="auto"/>
              <w:rPr>
                <w:rFonts w:asciiTheme="minorHAnsi" w:eastAsia="Times New Roman" w:hAnsiTheme="minorHAnsi" w:cs="Calibri"/>
                <w:b w:val="0"/>
                <w:bCs w:val="0"/>
                <w:color w:val="000000"/>
              </w:rPr>
            </w:pPr>
          </w:p>
        </w:tc>
        <w:tc>
          <w:tcPr>
            <w:tcW w:w="2223" w:type="dxa"/>
            <w:hideMark/>
          </w:tcPr>
          <w:p w:rsidR="007E28F2" w:rsidRPr="00872FD2" w:rsidRDefault="007E28F2" w:rsidP="00872FD2">
            <w:pPr>
              <w:spacing w:after="0" w:line="360" w:lineRule="auto"/>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Γυμνάσιο</w:t>
            </w:r>
          </w:p>
        </w:tc>
        <w:tc>
          <w:tcPr>
            <w:tcW w:w="1337"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4</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16,0</w:t>
            </w:r>
          </w:p>
        </w:tc>
        <w:tc>
          <w:tcPr>
            <w:tcW w:w="1362"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3</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12,0</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p>
        </w:tc>
      </w:tr>
      <w:tr w:rsidR="007E28F2" w:rsidRPr="00872FD2" w:rsidTr="00052A71">
        <w:trPr>
          <w:cnfStyle w:val="000000100000"/>
          <w:trHeight w:val="285"/>
          <w:jc w:val="center"/>
        </w:trPr>
        <w:tc>
          <w:tcPr>
            <w:cnfStyle w:val="001000000000"/>
            <w:tcW w:w="2934" w:type="dxa"/>
            <w:vMerge/>
            <w:hideMark/>
          </w:tcPr>
          <w:p w:rsidR="007E28F2" w:rsidRPr="00872FD2" w:rsidRDefault="007E28F2" w:rsidP="00872FD2">
            <w:pPr>
              <w:spacing w:after="0" w:line="360" w:lineRule="auto"/>
              <w:rPr>
                <w:rFonts w:asciiTheme="minorHAnsi" w:eastAsia="Times New Roman" w:hAnsiTheme="minorHAnsi" w:cs="Calibri"/>
                <w:b w:val="0"/>
                <w:bCs w:val="0"/>
                <w:color w:val="000000"/>
              </w:rPr>
            </w:pPr>
          </w:p>
        </w:tc>
        <w:tc>
          <w:tcPr>
            <w:tcW w:w="2223" w:type="dxa"/>
            <w:hideMark/>
          </w:tcPr>
          <w:p w:rsidR="007E28F2" w:rsidRPr="00872FD2" w:rsidRDefault="007E28F2" w:rsidP="00872FD2">
            <w:pPr>
              <w:spacing w:after="0" w:line="360" w:lineRule="auto"/>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Λύκειο</w:t>
            </w:r>
          </w:p>
        </w:tc>
        <w:tc>
          <w:tcPr>
            <w:tcW w:w="1337"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11</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44,0</w:t>
            </w:r>
          </w:p>
        </w:tc>
        <w:tc>
          <w:tcPr>
            <w:tcW w:w="1362"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15</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60,0</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p>
        </w:tc>
      </w:tr>
      <w:tr w:rsidR="007E28F2" w:rsidRPr="00872FD2" w:rsidTr="00052A71">
        <w:trPr>
          <w:cnfStyle w:val="000000010000"/>
          <w:trHeight w:val="285"/>
          <w:jc w:val="center"/>
        </w:trPr>
        <w:tc>
          <w:tcPr>
            <w:cnfStyle w:val="001000000000"/>
            <w:tcW w:w="2934" w:type="dxa"/>
            <w:vMerge/>
            <w:hideMark/>
          </w:tcPr>
          <w:p w:rsidR="007E28F2" w:rsidRPr="00872FD2" w:rsidRDefault="007E28F2" w:rsidP="00872FD2">
            <w:pPr>
              <w:spacing w:after="0" w:line="360" w:lineRule="auto"/>
              <w:rPr>
                <w:rFonts w:asciiTheme="minorHAnsi" w:eastAsia="Times New Roman" w:hAnsiTheme="minorHAnsi" w:cs="Calibri"/>
                <w:b w:val="0"/>
                <w:bCs w:val="0"/>
                <w:color w:val="000000"/>
              </w:rPr>
            </w:pPr>
          </w:p>
        </w:tc>
        <w:tc>
          <w:tcPr>
            <w:tcW w:w="2223" w:type="dxa"/>
            <w:hideMark/>
          </w:tcPr>
          <w:p w:rsidR="007E28F2" w:rsidRPr="00872FD2" w:rsidRDefault="004766A7" w:rsidP="00872FD2">
            <w:pPr>
              <w:spacing w:after="0" w:line="360" w:lineRule="auto"/>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Φ</w:t>
            </w:r>
            <w:r w:rsidR="007E28F2" w:rsidRPr="00872FD2">
              <w:rPr>
                <w:rFonts w:asciiTheme="minorHAnsi" w:eastAsia="Times New Roman" w:hAnsiTheme="minorHAnsi" w:cs="Calibri"/>
                <w:color w:val="000000"/>
              </w:rPr>
              <w:t>οιτητής</w:t>
            </w:r>
          </w:p>
        </w:tc>
        <w:tc>
          <w:tcPr>
            <w:tcW w:w="1337"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0</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0,0</w:t>
            </w:r>
          </w:p>
        </w:tc>
        <w:tc>
          <w:tcPr>
            <w:tcW w:w="1362"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2</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8,0</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p>
        </w:tc>
      </w:tr>
      <w:tr w:rsidR="007E28F2" w:rsidRPr="00872FD2" w:rsidTr="00052A71">
        <w:trPr>
          <w:cnfStyle w:val="000000100000"/>
          <w:trHeight w:val="285"/>
          <w:jc w:val="center"/>
        </w:trPr>
        <w:tc>
          <w:tcPr>
            <w:cnfStyle w:val="001000000000"/>
            <w:tcW w:w="2934" w:type="dxa"/>
            <w:vMerge/>
            <w:hideMark/>
          </w:tcPr>
          <w:p w:rsidR="007E28F2" w:rsidRPr="00872FD2" w:rsidRDefault="007E28F2" w:rsidP="00872FD2">
            <w:pPr>
              <w:spacing w:after="0" w:line="360" w:lineRule="auto"/>
              <w:rPr>
                <w:rFonts w:asciiTheme="minorHAnsi" w:eastAsia="Times New Roman" w:hAnsiTheme="minorHAnsi" w:cs="Calibri"/>
                <w:b w:val="0"/>
                <w:bCs w:val="0"/>
                <w:color w:val="000000"/>
              </w:rPr>
            </w:pPr>
          </w:p>
        </w:tc>
        <w:tc>
          <w:tcPr>
            <w:tcW w:w="2223" w:type="dxa"/>
            <w:hideMark/>
          </w:tcPr>
          <w:p w:rsidR="007E28F2" w:rsidRPr="00872FD2" w:rsidRDefault="007E28F2" w:rsidP="00872FD2">
            <w:pPr>
              <w:spacing w:after="0" w:line="360" w:lineRule="auto"/>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απόφοιτος ΑΕΙ/ΤΕΙ</w:t>
            </w:r>
          </w:p>
        </w:tc>
        <w:tc>
          <w:tcPr>
            <w:tcW w:w="1337"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6</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24,0</w:t>
            </w:r>
          </w:p>
        </w:tc>
        <w:tc>
          <w:tcPr>
            <w:tcW w:w="1362"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4</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16,0</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p>
        </w:tc>
      </w:tr>
      <w:tr w:rsidR="007E28F2" w:rsidRPr="00872FD2" w:rsidTr="00052A71">
        <w:trPr>
          <w:cnfStyle w:val="000000010000"/>
          <w:trHeight w:val="285"/>
          <w:jc w:val="center"/>
        </w:trPr>
        <w:tc>
          <w:tcPr>
            <w:cnfStyle w:val="001000000000"/>
            <w:tcW w:w="2934" w:type="dxa"/>
            <w:vMerge w:val="restart"/>
            <w:hideMark/>
          </w:tcPr>
          <w:p w:rsidR="007E28F2" w:rsidRPr="005C6ABA" w:rsidRDefault="007E28F2" w:rsidP="00872FD2">
            <w:pPr>
              <w:spacing w:after="0" w:line="360" w:lineRule="auto"/>
              <w:rPr>
                <w:rFonts w:asciiTheme="minorHAnsi" w:eastAsia="Times New Roman" w:hAnsiTheme="minorHAnsi" w:cstheme="minorHAnsi"/>
                <w:bCs w:val="0"/>
                <w:color w:val="000000"/>
              </w:rPr>
            </w:pPr>
            <w:r w:rsidRPr="005C6ABA">
              <w:rPr>
                <w:rFonts w:asciiTheme="minorHAnsi" w:eastAsia="Times New Roman" w:hAnsiTheme="minorHAnsi" w:cstheme="minorHAnsi"/>
                <w:color w:val="000000"/>
              </w:rPr>
              <w:t>Επαγγελματική κατάσταση</w:t>
            </w:r>
          </w:p>
        </w:tc>
        <w:tc>
          <w:tcPr>
            <w:tcW w:w="2223" w:type="dxa"/>
            <w:hideMark/>
          </w:tcPr>
          <w:p w:rsidR="007E28F2" w:rsidRPr="00872FD2" w:rsidRDefault="004766A7" w:rsidP="00872FD2">
            <w:pPr>
              <w:spacing w:after="0" w:line="360" w:lineRule="auto"/>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Ά</w:t>
            </w:r>
            <w:r w:rsidR="007E28F2" w:rsidRPr="00872FD2">
              <w:rPr>
                <w:rFonts w:asciiTheme="minorHAnsi" w:eastAsia="Times New Roman" w:hAnsiTheme="minorHAnsi" w:cs="Calibri"/>
                <w:color w:val="000000"/>
              </w:rPr>
              <w:t>νεργος</w:t>
            </w:r>
          </w:p>
        </w:tc>
        <w:tc>
          <w:tcPr>
            <w:tcW w:w="1337"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7</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28,0</w:t>
            </w:r>
          </w:p>
        </w:tc>
        <w:tc>
          <w:tcPr>
            <w:tcW w:w="1362"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1</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4,0</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b/>
                <w:bCs/>
                <w:color w:val="000000"/>
              </w:rPr>
            </w:pPr>
            <w:r w:rsidRPr="00872FD2">
              <w:rPr>
                <w:rFonts w:asciiTheme="minorHAnsi" w:eastAsia="Times New Roman" w:hAnsiTheme="minorHAnsi" w:cs="Calibri"/>
                <w:b/>
                <w:bCs/>
                <w:color w:val="000000"/>
              </w:rPr>
              <w:t>0,019</w:t>
            </w:r>
            <w:r w:rsidRPr="00872FD2">
              <w:rPr>
                <w:rFonts w:asciiTheme="minorHAnsi" w:eastAsia="Times New Roman" w:hAnsiTheme="minorHAnsi" w:cs="Calibri"/>
                <w:b/>
                <w:bCs/>
                <w:color w:val="000000"/>
                <w:vertAlign w:val="superscript"/>
              </w:rPr>
              <w:t>++</w:t>
            </w:r>
          </w:p>
        </w:tc>
      </w:tr>
      <w:tr w:rsidR="007E28F2" w:rsidRPr="00872FD2" w:rsidTr="00052A71">
        <w:trPr>
          <w:cnfStyle w:val="000000100000"/>
          <w:trHeight w:val="285"/>
          <w:jc w:val="center"/>
        </w:trPr>
        <w:tc>
          <w:tcPr>
            <w:cnfStyle w:val="001000000000"/>
            <w:tcW w:w="2934" w:type="dxa"/>
            <w:vMerge/>
            <w:hideMark/>
          </w:tcPr>
          <w:p w:rsidR="007E28F2" w:rsidRPr="005C6ABA" w:rsidRDefault="007E28F2" w:rsidP="00872FD2">
            <w:pPr>
              <w:spacing w:after="0" w:line="360" w:lineRule="auto"/>
              <w:rPr>
                <w:rFonts w:asciiTheme="minorHAnsi" w:eastAsia="Times New Roman" w:hAnsiTheme="minorHAnsi" w:cstheme="minorHAnsi"/>
                <w:b w:val="0"/>
                <w:bCs w:val="0"/>
                <w:i/>
                <w:color w:val="000000"/>
              </w:rPr>
            </w:pPr>
          </w:p>
        </w:tc>
        <w:tc>
          <w:tcPr>
            <w:tcW w:w="2223" w:type="dxa"/>
            <w:hideMark/>
          </w:tcPr>
          <w:p w:rsidR="007E28F2" w:rsidRPr="00872FD2" w:rsidRDefault="007E28F2" w:rsidP="00872FD2">
            <w:pPr>
              <w:spacing w:after="0" w:line="360" w:lineRule="auto"/>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Οικιακά</w:t>
            </w:r>
          </w:p>
        </w:tc>
        <w:tc>
          <w:tcPr>
            <w:tcW w:w="1337"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1</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4,0</w:t>
            </w:r>
          </w:p>
        </w:tc>
        <w:tc>
          <w:tcPr>
            <w:tcW w:w="1362"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2</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8,0</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p>
        </w:tc>
      </w:tr>
      <w:tr w:rsidR="007E28F2" w:rsidRPr="00872FD2" w:rsidTr="00052A71">
        <w:trPr>
          <w:cnfStyle w:val="000000010000"/>
          <w:trHeight w:val="285"/>
          <w:jc w:val="center"/>
        </w:trPr>
        <w:tc>
          <w:tcPr>
            <w:cnfStyle w:val="001000000000"/>
            <w:tcW w:w="2934" w:type="dxa"/>
            <w:vMerge/>
            <w:hideMark/>
          </w:tcPr>
          <w:p w:rsidR="007E28F2" w:rsidRPr="005C6ABA" w:rsidRDefault="007E28F2" w:rsidP="00872FD2">
            <w:pPr>
              <w:spacing w:after="0" w:line="360" w:lineRule="auto"/>
              <w:rPr>
                <w:rFonts w:asciiTheme="minorHAnsi" w:eastAsia="Times New Roman" w:hAnsiTheme="minorHAnsi" w:cstheme="minorHAnsi"/>
                <w:b w:val="0"/>
                <w:bCs w:val="0"/>
                <w:i/>
                <w:color w:val="000000"/>
              </w:rPr>
            </w:pPr>
          </w:p>
        </w:tc>
        <w:tc>
          <w:tcPr>
            <w:tcW w:w="2223" w:type="dxa"/>
            <w:hideMark/>
          </w:tcPr>
          <w:p w:rsidR="007E28F2" w:rsidRPr="00872FD2" w:rsidRDefault="00F31D3F" w:rsidP="00872FD2">
            <w:pPr>
              <w:spacing w:after="0" w:line="360" w:lineRule="auto"/>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Α</w:t>
            </w:r>
            <w:r w:rsidR="007E28F2" w:rsidRPr="00872FD2">
              <w:rPr>
                <w:rFonts w:asciiTheme="minorHAnsi" w:eastAsia="Times New Roman" w:hAnsiTheme="minorHAnsi" w:cs="Calibri"/>
                <w:color w:val="000000"/>
              </w:rPr>
              <w:t>υτοαπασχολούμενος</w:t>
            </w:r>
          </w:p>
        </w:tc>
        <w:tc>
          <w:tcPr>
            <w:tcW w:w="1337"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2</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8,0</w:t>
            </w:r>
          </w:p>
        </w:tc>
        <w:tc>
          <w:tcPr>
            <w:tcW w:w="1362"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0</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0,0</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p>
        </w:tc>
      </w:tr>
      <w:tr w:rsidR="007E28F2" w:rsidRPr="00872FD2" w:rsidTr="00052A71">
        <w:trPr>
          <w:cnfStyle w:val="000000100000"/>
          <w:trHeight w:val="285"/>
          <w:jc w:val="center"/>
        </w:trPr>
        <w:tc>
          <w:tcPr>
            <w:cnfStyle w:val="001000000000"/>
            <w:tcW w:w="2934" w:type="dxa"/>
            <w:vMerge/>
            <w:hideMark/>
          </w:tcPr>
          <w:p w:rsidR="007E28F2" w:rsidRPr="005C6ABA" w:rsidRDefault="007E28F2" w:rsidP="00872FD2">
            <w:pPr>
              <w:spacing w:after="0" w:line="360" w:lineRule="auto"/>
              <w:rPr>
                <w:rFonts w:asciiTheme="minorHAnsi" w:eastAsia="Times New Roman" w:hAnsiTheme="minorHAnsi" w:cstheme="minorHAnsi"/>
                <w:b w:val="0"/>
                <w:bCs w:val="0"/>
                <w:i/>
                <w:color w:val="000000"/>
              </w:rPr>
            </w:pPr>
          </w:p>
        </w:tc>
        <w:tc>
          <w:tcPr>
            <w:tcW w:w="2223" w:type="dxa"/>
            <w:hideMark/>
          </w:tcPr>
          <w:p w:rsidR="007E28F2" w:rsidRPr="00872FD2" w:rsidRDefault="00BA566F" w:rsidP="00872FD2">
            <w:pPr>
              <w:spacing w:after="0" w:line="360" w:lineRule="auto"/>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Ιδιωτικός Υπ</w:t>
            </w:r>
            <w:r>
              <w:rPr>
                <w:rFonts w:asciiTheme="minorHAnsi" w:eastAsia="Times New Roman" w:hAnsiTheme="minorHAnsi" w:cs="Calibri"/>
                <w:color w:val="000000"/>
              </w:rPr>
              <w:t>άλληλος</w:t>
            </w:r>
          </w:p>
        </w:tc>
        <w:tc>
          <w:tcPr>
            <w:tcW w:w="1337"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5</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20,0</w:t>
            </w:r>
          </w:p>
        </w:tc>
        <w:tc>
          <w:tcPr>
            <w:tcW w:w="1362"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4</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16,0</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p>
        </w:tc>
      </w:tr>
      <w:tr w:rsidR="007E28F2" w:rsidRPr="00872FD2" w:rsidTr="00052A71">
        <w:trPr>
          <w:cnfStyle w:val="000000010000"/>
          <w:trHeight w:val="285"/>
          <w:jc w:val="center"/>
        </w:trPr>
        <w:tc>
          <w:tcPr>
            <w:cnfStyle w:val="001000000000"/>
            <w:tcW w:w="2934" w:type="dxa"/>
            <w:vMerge/>
            <w:hideMark/>
          </w:tcPr>
          <w:p w:rsidR="007E28F2" w:rsidRPr="005C6ABA" w:rsidRDefault="007E28F2" w:rsidP="00872FD2">
            <w:pPr>
              <w:spacing w:after="0" w:line="360" w:lineRule="auto"/>
              <w:rPr>
                <w:rFonts w:asciiTheme="minorHAnsi" w:eastAsia="Times New Roman" w:hAnsiTheme="minorHAnsi" w:cstheme="minorHAnsi"/>
                <w:b w:val="0"/>
                <w:bCs w:val="0"/>
                <w:i/>
                <w:color w:val="000000"/>
              </w:rPr>
            </w:pPr>
          </w:p>
        </w:tc>
        <w:tc>
          <w:tcPr>
            <w:tcW w:w="2223" w:type="dxa"/>
            <w:hideMark/>
          </w:tcPr>
          <w:p w:rsidR="007E28F2" w:rsidRPr="00872FD2" w:rsidRDefault="00BA566F" w:rsidP="00872FD2">
            <w:pPr>
              <w:spacing w:after="0" w:line="360" w:lineRule="auto"/>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Δημόσιος Υπάλληλος</w:t>
            </w:r>
          </w:p>
        </w:tc>
        <w:tc>
          <w:tcPr>
            <w:tcW w:w="1337"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3</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12,0</w:t>
            </w:r>
          </w:p>
        </w:tc>
        <w:tc>
          <w:tcPr>
            <w:tcW w:w="1362"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1</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4,0</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p>
        </w:tc>
      </w:tr>
      <w:tr w:rsidR="007E28F2" w:rsidRPr="00872FD2" w:rsidTr="00052A71">
        <w:trPr>
          <w:cnfStyle w:val="000000100000"/>
          <w:trHeight w:val="285"/>
          <w:jc w:val="center"/>
        </w:trPr>
        <w:tc>
          <w:tcPr>
            <w:cnfStyle w:val="001000000000"/>
            <w:tcW w:w="2934" w:type="dxa"/>
            <w:vMerge/>
            <w:hideMark/>
          </w:tcPr>
          <w:p w:rsidR="007E28F2" w:rsidRPr="005C6ABA" w:rsidRDefault="007E28F2" w:rsidP="00872FD2">
            <w:pPr>
              <w:spacing w:after="0" w:line="360" w:lineRule="auto"/>
              <w:rPr>
                <w:rFonts w:asciiTheme="minorHAnsi" w:eastAsia="Times New Roman" w:hAnsiTheme="minorHAnsi" w:cstheme="minorHAnsi"/>
                <w:b w:val="0"/>
                <w:bCs w:val="0"/>
                <w:i/>
                <w:color w:val="000000"/>
              </w:rPr>
            </w:pPr>
          </w:p>
        </w:tc>
        <w:tc>
          <w:tcPr>
            <w:tcW w:w="2223" w:type="dxa"/>
            <w:hideMark/>
          </w:tcPr>
          <w:p w:rsidR="007E28F2" w:rsidRPr="00872FD2" w:rsidRDefault="007E28F2" w:rsidP="00872FD2">
            <w:pPr>
              <w:spacing w:after="0" w:line="360" w:lineRule="auto"/>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Συν/χος</w:t>
            </w:r>
          </w:p>
        </w:tc>
        <w:tc>
          <w:tcPr>
            <w:tcW w:w="1337"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7</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28,0</w:t>
            </w:r>
          </w:p>
        </w:tc>
        <w:tc>
          <w:tcPr>
            <w:tcW w:w="1362"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17</w:t>
            </w:r>
          </w:p>
        </w:tc>
        <w:tc>
          <w:tcPr>
            <w:tcW w:w="888"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r w:rsidRPr="00872FD2">
              <w:rPr>
                <w:rFonts w:asciiTheme="minorHAnsi" w:eastAsia="Times New Roman" w:hAnsiTheme="minorHAnsi" w:cs="Calibri"/>
                <w:color w:val="000000"/>
              </w:rPr>
              <w:t>68,0</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Calibri"/>
                <w:color w:val="000000"/>
              </w:rPr>
            </w:pPr>
          </w:p>
        </w:tc>
      </w:tr>
      <w:tr w:rsidR="007E28F2" w:rsidRPr="00872FD2" w:rsidTr="00052A71">
        <w:trPr>
          <w:cnfStyle w:val="000000010000"/>
          <w:trHeight w:val="285"/>
          <w:jc w:val="center"/>
        </w:trPr>
        <w:tc>
          <w:tcPr>
            <w:cnfStyle w:val="001000000000"/>
            <w:tcW w:w="2934" w:type="dxa"/>
            <w:vMerge/>
            <w:hideMark/>
          </w:tcPr>
          <w:p w:rsidR="007E28F2" w:rsidRPr="005C6ABA" w:rsidRDefault="007E28F2" w:rsidP="00872FD2">
            <w:pPr>
              <w:spacing w:after="0" w:line="360" w:lineRule="auto"/>
              <w:rPr>
                <w:rFonts w:asciiTheme="minorHAnsi" w:eastAsia="Times New Roman" w:hAnsiTheme="minorHAnsi" w:cstheme="minorHAnsi"/>
                <w:b w:val="0"/>
                <w:bCs w:val="0"/>
                <w:i/>
                <w:color w:val="000000"/>
              </w:rPr>
            </w:pPr>
          </w:p>
        </w:tc>
        <w:tc>
          <w:tcPr>
            <w:tcW w:w="2223" w:type="dxa"/>
            <w:hideMark/>
          </w:tcPr>
          <w:p w:rsidR="007E28F2" w:rsidRPr="00872FD2" w:rsidRDefault="004766A7" w:rsidP="00872FD2">
            <w:pPr>
              <w:spacing w:after="0" w:line="360" w:lineRule="auto"/>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Ά</w:t>
            </w:r>
            <w:r w:rsidR="007E28F2" w:rsidRPr="00872FD2">
              <w:rPr>
                <w:rFonts w:asciiTheme="minorHAnsi" w:eastAsia="Times New Roman" w:hAnsiTheme="minorHAnsi" w:cs="Calibri"/>
                <w:color w:val="000000"/>
              </w:rPr>
              <w:t>λλο</w:t>
            </w:r>
          </w:p>
        </w:tc>
        <w:tc>
          <w:tcPr>
            <w:tcW w:w="1337"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0</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0,0</w:t>
            </w:r>
          </w:p>
        </w:tc>
        <w:tc>
          <w:tcPr>
            <w:tcW w:w="1362"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0</w:t>
            </w:r>
          </w:p>
        </w:tc>
        <w:tc>
          <w:tcPr>
            <w:tcW w:w="888"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r w:rsidRPr="00872FD2">
              <w:rPr>
                <w:rFonts w:asciiTheme="minorHAnsi" w:eastAsia="Times New Roman" w:hAnsiTheme="minorHAnsi" w:cs="Calibri"/>
                <w:color w:val="000000"/>
              </w:rPr>
              <w:t>0,0</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Calibri"/>
                <w:color w:val="000000"/>
              </w:rPr>
            </w:pPr>
          </w:p>
        </w:tc>
      </w:tr>
      <w:tr w:rsidR="005C6ABA" w:rsidRPr="00D842D4" w:rsidTr="00AD2B6A">
        <w:trPr>
          <w:cnfStyle w:val="000000100000"/>
          <w:trHeight w:val="285"/>
          <w:jc w:val="center"/>
        </w:trPr>
        <w:tc>
          <w:tcPr>
            <w:cnfStyle w:val="001000000000"/>
            <w:tcW w:w="10592" w:type="dxa"/>
            <w:gridSpan w:val="7"/>
            <w:hideMark/>
          </w:tcPr>
          <w:p w:rsidR="005C6ABA" w:rsidRPr="005C6ABA" w:rsidRDefault="005C6ABA" w:rsidP="005C6ABA">
            <w:pPr>
              <w:pStyle w:val="nouk"/>
              <w:rPr>
                <w:rFonts w:asciiTheme="minorHAnsi" w:hAnsiTheme="minorHAnsi" w:cstheme="minorHAnsi"/>
                <w:b w:val="0"/>
                <w:i/>
                <w:sz w:val="20"/>
                <w:szCs w:val="20"/>
                <w:lang w:val="en-US"/>
              </w:rPr>
            </w:pPr>
            <w:r w:rsidRPr="005C6ABA">
              <w:rPr>
                <w:rFonts w:asciiTheme="minorHAnsi" w:hAnsiTheme="minorHAnsi" w:cstheme="minorHAnsi"/>
                <w:b w:val="0"/>
                <w:i/>
                <w:sz w:val="20"/>
                <w:szCs w:val="20"/>
                <w:vertAlign w:val="superscript"/>
                <w:lang w:val="en-US"/>
              </w:rPr>
              <w:t>‡</w:t>
            </w:r>
            <w:r w:rsidRPr="005C6ABA">
              <w:rPr>
                <w:rFonts w:asciiTheme="minorHAnsi" w:hAnsiTheme="minorHAnsi" w:cstheme="minorHAnsi"/>
                <w:b w:val="0"/>
                <w:i/>
                <w:sz w:val="20"/>
                <w:szCs w:val="20"/>
                <w:lang w:val="en-US"/>
              </w:rPr>
              <w:t xml:space="preserve">Student's t-test </w:t>
            </w:r>
            <w:r w:rsidRPr="005C6ABA">
              <w:rPr>
                <w:rFonts w:asciiTheme="minorHAnsi" w:hAnsiTheme="minorHAnsi" w:cstheme="minorHAnsi"/>
                <w:b w:val="0"/>
                <w:i/>
                <w:sz w:val="20"/>
                <w:szCs w:val="20"/>
                <w:vertAlign w:val="superscript"/>
                <w:lang w:val="en-US"/>
              </w:rPr>
              <w:t>+</w:t>
            </w:r>
            <w:r w:rsidRPr="005C6ABA">
              <w:rPr>
                <w:rFonts w:asciiTheme="minorHAnsi" w:hAnsiTheme="minorHAnsi" w:cstheme="minorHAnsi"/>
                <w:b w:val="0"/>
                <w:i/>
                <w:sz w:val="20"/>
                <w:szCs w:val="20"/>
                <w:lang w:val="en-US"/>
              </w:rPr>
              <w:t>Pearson's x</w:t>
            </w:r>
            <w:r w:rsidRPr="005C6ABA">
              <w:rPr>
                <w:rFonts w:asciiTheme="minorHAnsi" w:hAnsiTheme="minorHAnsi" w:cstheme="minorHAnsi"/>
                <w:b w:val="0"/>
                <w:i/>
                <w:sz w:val="20"/>
                <w:szCs w:val="20"/>
                <w:vertAlign w:val="superscript"/>
                <w:lang w:val="en-US"/>
              </w:rPr>
              <w:t>2</w:t>
            </w:r>
            <w:r w:rsidRPr="005C6ABA">
              <w:rPr>
                <w:rFonts w:asciiTheme="minorHAnsi" w:hAnsiTheme="minorHAnsi" w:cstheme="minorHAnsi"/>
                <w:b w:val="0"/>
                <w:i/>
                <w:sz w:val="20"/>
                <w:szCs w:val="20"/>
                <w:lang w:val="en-US"/>
              </w:rPr>
              <w:t xml:space="preserve"> test </w:t>
            </w:r>
            <w:r w:rsidRPr="005C6ABA">
              <w:rPr>
                <w:rFonts w:asciiTheme="minorHAnsi" w:hAnsiTheme="minorHAnsi" w:cstheme="minorHAnsi"/>
                <w:b w:val="0"/>
                <w:i/>
                <w:sz w:val="20"/>
                <w:szCs w:val="20"/>
                <w:vertAlign w:val="superscript"/>
                <w:lang w:val="en-US"/>
              </w:rPr>
              <w:t>++</w:t>
            </w:r>
            <w:r w:rsidRPr="005C6ABA">
              <w:rPr>
                <w:rFonts w:asciiTheme="minorHAnsi" w:hAnsiTheme="minorHAnsi" w:cstheme="minorHAnsi"/>
                <w:b w:val="0"/>
                <w:i/>
                <w:sz w:val="20"/>
                <w:szCs w:val="20"/>
                <w:lang w:val="en-US"/>
              </w:rPr>
              <w:t>Fisher's exact test *δεν υπολογίστηκε λόγω μη ύπαρξης κατανομής</w:t>
            </w:r>
          </w:p>
        </w:tc>
      </w:tr>
    </w:tbl>
    <w:p w:rsidR="007E28F2" w:rsidRPr="005A464E" w:rsidRDefault="007E28F2" w:rsidP="005A464E">
      <w:pPr>
        <w:pStyle w:val="nouk"/>
        <w:rPr>
          <w:lang w:val="en-US"/>
        </w:rPr>
      </w:pPr>
    </w:p>
    <w:p w:rsidR="007E28F2" w:rsidRPr="005A464E" w:rsidRDefault="007E28F2" w:rsidP="005A464E">
      <w:pPr>
        <w:pStyle w:val="nouk"/>
      </w:pPr>
      <w:r w:rsidRPr="005A464E">
        <w:t>Η μέση ηλικία των ατό</w:t>
      </w:r>
      <w:r w:rsidR="00816C74">
        <w:t>μων της ομάδας ελέγχου ήταν 49,8</w:t>
      </w:r>
      <w:r w:rsidRPr="005A464E">
        <w:t xml:space="preserve"> έτη (</w:t>
      </w:r>
      <w:r w:rsidR="00D225F5" w:rsidRPr="005A464E">
        <w:t>ΤΑ</w:t>
      </w:r>
      <w:r w:rsidRPr="005A464E">
        <w:t>=8,5 έτη) και τ</w:t>
      </w:r>
      <w:r w:rsidR="008B39C5">
        <w:t>ων ατόμων της ομάδας παρέμβασης</w:t>
      </w:r>
      <w:r w:rsidRPr="005A464E">
        <w:t xml:space="preserve"> 51,2 έτη (</w:t>
      </w:r>
      <w:r w:rsidR="00D225F5" w:rsidRPr="005A464E">
        <w:t>ΤΑ</w:t>
      </w:r>
      <w:r w:rsidRPr="005A464E">
        <w:t xml:space="preserve">=11,5 έτη). Ίδιο ποσοστό και στις </w:t>
      </w:r>
      <w:r w:rsidR="00D8735E">
        <w:t>2</w:t>
      </w:r>
      <w:r w:rsidRPr="005A464E">
        <w:t xml:space="preserve"> ομάδες ήταν άντρες (60,0%) και έμενε σε αστική περιοχή (88,0%). Το ποσοστό των έγγαμων ήταν σημαντικά υψηλότερο στην ομάδα παρέμβασης σε σύγκριση με την ομάδα ελέγχου (56,0% έναντι 40,0%). Επίσης, οι συμμετέχοντες της ομάδας παρέμβασης είχαν σε σημαντικά υψηλότερο ποσοστό παιδιά σε σύγκριση με τους συμμετέχοντες της ομάδας ελέγχου (64,0% έναντι 32,0%). Τα ποσοστά των συμμετεχόντων που έμεναν μόνοι τους καθώς και το </w:t>
      </w:r>
      <w:r w:rsidR="000D053B">
        <w:t>εκπαιδευτικό</w:t>
      </w:r>
      <w:r w:rsidRPr="005A464E">
        <w:t xml:space="preserve"> επίπεδό τους δεν διέφεραν σημαντικά μεταξύ των </w:t>
      </w:r>
      <w:r w:rsidR="00D8735E">
        <w:t>2</w:t>
      </w:r>
      <w:r w:rsidRPr="005A464E">
        <w:t xml:space="preserve"> ομάδων. Αντίθετα, η επαγγελματική κατάσταση των συμμετεχόντων διέφερε σημαντικά μεταξύ των </w:t>
      </w:r>
      <w:r w:rsidR="00D8735E">
        <w:t>2</w:t>
      </w:r>
      <w:r w:rsidRPr="005A464E">
        <w:t xml:space="preserve"> ομάδων, με την ομάδα παρέμβασης να έχει σε σημαντικά υψηλότερο ποσοστό συνταξιούχους σε σύγκριση με την ομάδα ελέγχου. </w:t>
      </w:r>
    </w:p>
    <w:p w:rsidR="007E28F2" w:rsidRDefault="007E28F2" w:rsidP="005A464E">
      <w:pPr>
        <w:pStyle w:val="nouk"/>
      </w:pPr>
      <w:r w:rsidRPr="005A464E">
        <w:t xml:space="preserve">Στον πίνακα που ακολουθεί </w:t>
      </w:r>
      <w:r w:rsidR="00F6061C">
        <w:t>(Πίν 11</w:t>
      </w:r>
      <w:r w:rsidR="00EF17F5">
        <w:t xml:space="preserve">) </w:t>
      </w:r>
      <w:r w:rsidRPr="005A464E">
        <w:t>δίνονται κλινικά στοιχεία των συμμετεχόντων ξεχωριστά για κάθε ομάδα.</w:t>
      </w:r>
    </w:p>
    <w:p w:rsidR="00012754" w:rsidRPr="005A464E" w:rsidRDefault="00012754" w:rsidP="005A464E">
      <w:pPr>
        <w:pStyle w:val="nouk"/>
      </w:pPr>
    </w:p>
    <w:p w:rsidR="00012754" w:rsidRPr="00C7093D" w:rsidRDefault="00F6061C" w:rsidP="00012754">
      <w:pPr>
        <w:pStyle w:val="nouk"/>
        <w:spacing w:line="480" w:lineRule="auto"/>
        <w:rPr>
          <w:rFonts w:asciiTheme="minorHAnsi" w:eastAsiaTheme="minorHAnsi" w:hAnsiTheme="minorHAnsi" w:cstheme="minorHAnsi"/>
          <w:bCs/>
          <w:color w:val="000000"/>
        </w:rPr>
      </w:pPr>
      <w:r>
        <w:rPr>
          <w:rFonts w:asciiTheme="minorHAnsi" w:eastAsiaTheme="minorHAnsi" w:hAnsiTheme="minorHAnsi" w:cstheme="minorHAnsi"/>
          <w:bCs/>
          <w:color w:val="000000"/>
        </w:rPr>
        <w:t>Πίνακας 11</w:t>
      </w:r>
    </w:p>
    <w:p w:rsidR="006D13A7" w:rsidRPr="005A464E" w:rsidRDefault="00012754" w:rsidP="00012754">
      <w:pPr>
        <w:pStyle w:val="nouk"/>
        <w:rPr>
          <w:b/>
        </w:rPr>
      </w:pPr>
      <w:r w:rsidRPr="008847F1">
        <w:rPr>
          <w:rFonts w:asciiTheme="minorHAnsi" w:eastAsiaTheme="minorHAnsi" w:hAnsiTheme="minorHAnsi"/>
          <w:bCs/>
          <w:i/>
          <w:color w:val="000000"/>
        </w:rPr>
        <w:t>Κλινικά στοιχεία των συμμετεχόντων στιςομάδες ελέγχου και παρέμβασης</w:t>
      </w:r>
    </w:p>
    <w:tbl>
      <w:tblPr>
        <w:tblStyle w:val="-41"/>
        <w:tblW w:w="9760" w:type="dxa"/>
        <w:tblLook w:val="0400"/>
      </w:tblPr>
      <w:tblGrid>
        <w:gridCol w:w="3182"/>
        <w:gridCol w:w="2200"/>
        <w:gridCol w:w="915"/>
        <w:gridCol w:w="794"/>
        <w:gridCol w:w="915"/>
        <w:gridCol w:w="794"/>
        <w:gridCol w:w="960"/>
      </w:tblGrid>
      <w:tr w:rsidR="007E28F2" w:rsidRPr="00872FD2" w:rsidTr="00012754">
        <w:trPr>
          <w:cnfStyle w:val="000000100000"/>
          <w:trHeight w:val="285"/>
        </w:trPr>
        <w:tc>
          <w:tcPr>
            <w:tcW w:w="5382" w:type="dxa"/>
            <w:gridSpan w:val="2"/>
            <w:vMerge w:val="restart"/>
            <w:hideMark/>
          </w:tcPr>
          <w:p w:rsidR="007E28F2" w:rsidRPr="00872FD2" w:rsidRDefault="007E28F2" w:rsidP="00872FD2">
            <w:pPr>
              <w:spacing w:after="0" w:line="360" w:lineRule="auto"/>
              <w:rPr>
                <w:rFonts w:asciiTheme="minorHAnsi" w:eastAsia="Times New Roman" w:hAnsiTheme="minorHAnsi" w:cstheme="minorHAnsi"/>
                <w:b/>
                <w:bCs/>
                <w:color w:val="000000"/>
              </w:rPr>
            </w:pPr>
          </w:p>
        </w:tc>
        <w:tc>
          <w:tcPr>
            <w:tcW w:w="3418" w:type="dxa"/>
            <w:gridSpan w:val="4"/>
            <w:hideMark/>
          </w:tcPr>
          <w:p w:rsidR="007E28F2" w:rsidRPr="00872FD2" w:rsidRDefault="007E28F2" w:rsidP="00872FD2">
            <w:pPr>
              <w:spacing w:after="0" w:line="360" w:lineRule="auto"/>
              <w:jc w:val="center"/>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Ομάδα</w:t>
            </w:r>
          </w:p>
        </w:tc>
        <w:tc>
          <w:tcPr>
            <w:tcW w:w="960" w:type="dxa"/>
            <w:vMerge w:val="restart"/>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b/>
                <w:bCs/>
                <w:color w:val="000000"/>
              </w:rPr>
              <w:t>P</w:t>
            </w:r>
          </w:p>
        </w:tc>
      </w:tr>
      <w:tr w:rsidR="007E28F2" w:rsidRPr="00872FD2" w:rsidTr="00012754">
        <w:trPr>
          <w:cnfStyle w:val="000000010000"/>
          <w:trHeight w:val="285"/>
        </w:trPr>
        <w:tc>
          <w:tcPr>
            <w:tcW w:w="5382" w:type="dxa"/>
            <w:gridSpan w:val="2"/>
            <w:vMerge/>
            <w:hideMark/>
          </w:tcPr>
          <w:p w:rsidR="007E28F2" w:rsidRPr="00872FD2" w:rsidRDefault="007E28F2" w:rsidP="00872FD2">
            <w:pPr>
              <w:spacing w:after="0" w:line="360" w:lineRule="auto"/>
              <w:rPr>
                <w:rFonts w:asciiTheme="minorHAnsi" w:eastAsia="Times New Roman" w:hAnsiTheme="minorHAnsi" w:cstheme="minorHAnsi"/>
                <w:b/>
                <w:bCs/>
                <w:color w:val="000000"/>
              </w:rPr>
            </w:pPr>
          </w:p>
        </w:tc>
        <w:tc>
          <w:tcPr>
            <w:tcW w:w="1709" w:type="dxa"/>
            <w:gridSpan w:val="2"/>
            <w:hideMark/>
          </w:tcPr>
          <w:p w:rsidR="007E28F2" w:rsidRPr="00872FD2" w:rsidRDefault="007E28F2" w:rsidP="00872FD2">
            <w:pPr>
              <w:spacing w:after="0" w:line="360" w:lineRule="auto"/>
              <w:jc w:val="center"/>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 xml:space="preserve">Ελέγχου </w:t>
            </w:r>
          </w:p>
          <w:p w:rsidR="007E28F2" w:rsidRPr="00872FD2" w:rsidRDefault="007E28F2" w:rsidP="00872FD2">
            <w:pPr>
              <w:spacing w:after="0" w:line="360" w:lineRule="auto"/>
              <w:jc w:val="center"/>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(Ν=25)</w:t>
            </w:r>
          </w:p>
        </w:tc>
        <w:tc>
          <w:tcPr>
            <w:tcW w:w="1709" w:type="dxa"/>
            <w:gridSpan w:val="2"/>
            <w:hideMark/>
          </w:tcPr>
          <w:p w:rsidR="007E28F2" w:rsidRPr="00872FD2" w:rsidRDefault="007E28F2" w:rsidP="00872FD2">
            <w:pPr>
              <w:spacing w:after="0" w:line="360" w:lineRule="auto"/>
              <w:jc w:val="center"/>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Παρέμβασης (Ν=25)</w:t>
            </w:r>
          </w:p>
        </w:tc>
        <w:tc>
          <w:tcPr>
            <w:tcW w:w="960" w:type="dxa"/>
            <w:vMerge/>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r>
      <w:tr w:rsidR="007E28F2" w:rsidRPr="00872FD2" w:rsidTr="00012754">
        <w:trPr>
          <w:cnfStyle w:val="000000100000"/>
          <w:trHeight w:val="285"/>
        </w:trPr>
        <w:tc>
          <w:tcPr>
            <w:tcW w:w="5382" w:type="dxa"/>
            <w:gridSpan w:val="2"/>
            <w:vMerge/>
            <w:hideMark/>
          </w:tcPr>
          <w:p w:rsidR="007E28F2" w:rsidRPr="00872FD2" w:rsidRDefault="007E28F2" w:rsidP="00872FD2">
            <w:pPr>
              <w:spacing w:after="0" w:line="360" w:lineRule="auto"/>
              <w:rPr>
                <w:rFonts w:asciiTheme="minorHAnsi" w:eastAsia="Times New Roman" w:hAnsiTheme="minorHAnsi" w:cstheme="minorHAnsi"/>
                <w:b/>
                <w:bCs/>
                <w:color w:val="000000"/>
              </w:rPr>
            </w:pPr>
          </w:p>
        </w:tc>
        <w:tc>
          <w:tcPr>
            <w:tcW w:w="915" w:type="dxa"/>
            <w:hideMark/>
          </w:tcPr>
          <w:p w:rsidR="007E28F2" w:rsidRPr="00872FD2" w:rsidRDefault="007E28F2" w:rsidP="00872FD2">
            <w:pPr>
              <w:spacing w:after="0" w:line="360" w:lineRule="auto"/>
              <w:jc w:val="center"/>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Ν</w:t>
            </w:r>
          </w:p>
        </w:tc>
        <w:tc>
          <w:tcPr>
            <w:tcW w:w="794" w:type="dxa"/>
            <w:hideMark/>
          </w:tcPr>
          <w:p w:rsidR="007E28F2" w:rsidRPr="00872FD2" w:rsidRDefault="007E28F2" w:rsidP="00872FD2">
            <w:pPr>
              <w:spacing w:after="0" w:line="360" w:lineRule="auto"/>
              <w:jc w:val="center"/>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w:t>
            </w:r>
          </w:p>
        </w:tc>
        <w:tc>
          <w:tcPr>
            <w:tcW w:w="915" w:type="dxa"/>
            <w:hideMark/>
          </w:tcPr>
          <w:p w:rsidR="007E28F2" w:rsidRPr="00872FD2" w:rsidRDefault="007E28F2" w:rsidP="00872FD2">
            <w:pPr>
              <w:spacing w:after="0" w:line="360" w:lineRule="auto"/>
              <w:jc w:val="center"/>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Ν</w:t>
            </w:r>
          </w:p>
        </w:tc>
        <w:tc>
          <w:tcPr>
            <w:tcW w:w="794" w:type="dxa"/>
            <w:hideMark/>
          </w:tcPr>
          <w:p w:rsidR="007E28F2" w:rsidRPr="00872FD2" w:rsidRDefault="007E28F2" w:rsidP="00872FD2">
            <w:pPr>
              <w:spacing w:after="0" w:line="360" w:lineRule="auto"/>
              <w:jc w:val="center"/>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w:t>
            </w:r>
          </w:p>
        </w:tc>
        <w:tc>
          <w:tcPr>
            <w:tcW w:w="960" w:type="dxa"/>
            <w:vMerge/>
            <w:noWrap/>
            <w:hideMark/>
          </w:tcPr>
          <w:p w:rsidR="007E28F2" w:rsidRPr="00872FD2" w:rsidRDefault="007E28F2" w:rsidP="00872FD2">
            <w:pPr>
              <w:spacing w:after="0" w:line="360" w:lineRule="auto"/>
              <w:jc w:val="center"/>
              <w:rPr>
                <w:rFonts w:asciiTheme="minorHAnsi" w:eastAsia="Times New Roman" w:hAnsiTheme="minorHAnsi" w:cstheme="minorHAnsi"/>
                <w:b/>
                <w:bCs/>
                <w:color w:val="000000"/>
              </w:rPr>
            </w:pPr>
          </w:p>
        </w:tc>
      </w:tr>
      <w:tr w:rsidR="007E28F2" w:rsidRPr="00872FD2" w:rsidTr="00012754">
        <w:trPr>
          <w:cnfStyle w:val="000000010000"/>
          <w:trHeight w:val="285"/>
        </w:trPr>
        <w:tc>
          <w:tcPr>
            <w:tcW w:w="5382" w:type="dxa"/>
            <w:gridSpan w:val="2"/>
            <w:hideMark/>
          </w:tcPr>
          <w:p w:rsidR="007E28F2" w:rsidRPr="00872FD2" w:rsidRDefault="007E28F2" w:rsidP="00872FD2">
            <w:pPr>
              <w:spacing w:after="0" w:line="360" w:lineRule="auto"/>
              <w:rPr>
                <w:rFonts w:asciiTheme="minorHAnsi" w:eastAsia="Times New Roman" w:hAnsiTheme="minorHAnsi" w:cstheme="minorHAnsi"/>
                <w:b/>
                <w:bCs/>
                <w:color w:val="000000"/>
              </w:rPr>
            </w:pPr>
            <w:r w:rsidRPr="00872FD2">
              <w:rPr>
                <w:rFonts w:asciiTheme="minorHAnsi" w:eastAsia="Times New Roman" w:hAnsiTheme="minorHAnsi" w:cstheme="minorHAnsi"/>
                <w:color w:val="000000"/>
              </w:rPr>
              <w:t>Έτη από διάγνωση ΧΝΝ, μέση τιμή (</w:t>
            </w:r>
            <w:r w:rsidR="00D225F5" w:rsidRPr="00872FD2">
              <w:rPr>
                <w:rFonts w:asciiTheme="minorHAnsi" w:eastAsia="Times New Roman" w:hAnsiTheme="minorHAnsi" w:cstheme="minorHAnsi"/>
                <w:color w:val="000000"/>
              </w:rPr>
              <w:t>ΤΑ</w:t>
            </w:r>
            <w:r w:rsidRPr="00872FD2">
              <w:rPr>
                <w:rFonts w:asciiTheme="minorHAnsi" w:eastAsia="Times New Roman" w:hAnsiTheme="minorHAnsi" w:cstheme="minorHAnsi"/>
                <w:color w:val="000000"/>
              </w:rPr>
              <w:t>)</w:t>
            </w:r>
          </w:p>
        </w:tc>
        <w:tc>
          <w:tcPr>
            <w:tcW w:w="1709" w:type="dxa"/>
            <w:gridSpan w:val="2"/>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13,3 (9,7)</w:t>
            </w:r>
          </w:p>
        </w:tc>
        <w:tc>
          <w:tcPr>
            <w:tcW w:w="1709" w:type="dxa"/>
            <w:gridSpan w:val="2"/>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8,8 (7,6)</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0,082</w:t>
            </w:r>
            <w:r w:rsidRPr="00872FD2">
              <w:rPr>
                <w:rFonts w:asciiTheme="minorHAnsi" w:eastAsia="Times New Roman" w:hAnsiTheme="minorHAnsi" w:cstheme="minorHAnsi"/>
                <w:color w:val="000000"/>
                <w:vertAlign w:val="superscript"/>
              </w:rPr>
              <w:t>‡</w:t>
            </w:r>
          </w:p>
        </w:tc>
      </w:tr>
      <w:tr w:rsidR="007E28F2" w:rsidRPr="00872FD2" w:rsidTr="00012754">
        <w:trPr>
          <w:cnfStyle w:val="000000100000"/>
          <w:trHeight w:val="285"/>
        </w:trPr>
        <w:tc>
          <w:tcPr>
            <w:tcW w:w="3182" w:type="dxa"/>
            <w:vMerge w:val="restart"/>
            <w:hideMark/>
          </w:tcPr>
          <w:p w:rsidR="007E28F2" w:rsidRPr="00872FD2" w:rsidRDefault="007E28F2" w:rsidP="00872FD2">
            <w:pPr>
              <w:spacing w:after="0" w:line="360" w:lineRule="auto"/>
              <w:rPr>
                <w:rFonts w:asciiTheme="minorHAnsi" w:eastAsia="Times New Roman" w:hAnsiTheme="minorHAnsi" w:cstheme="minorHAnsi"/>
                <w:b/>
                <w:bCs/>
                <w:color w:val="000000"/>
              </w:rPr>
            </w:pPr>
            <w:r w:rsidRPr="00872FD2">
              <w:rPr>
                <w:rFonts w:asciiTheme="minorHAnsi" w:eastAsia="Times New Roman" w:hAnsiTheme="minorHAnsi" w:cstheme="minorHAnsi"/>
                <w:color w:val="000000"/>
              </w:rPr>
              <w:t xml:space="preserve">Πάσχετε από </w:t>
            </w:r>
            <w:r w:rsidR="0095691A">
              <w:rPr>
                <w:rFonts w:asciiTheme="minorHAnsi" w:eastAsia="Times New Roman" w:hAnsiTheme="minorHAnsi" w:cstheme="minorHAnsi"/>
                <w:color w:val="000000"/>
              </w:rPr>
              <w:t>Σακχαρώδη Διαβήτη</w:t>
            </w:r>
            <w:r w:rsidRPr="00872FD2">
              <w:rPr>
                <w:rFonts w:asciiTheme="minorHAnsi" w:eastAsia="Times New Roman" w:hAnsiTheme="minorHAnsi" w:cstheme="minorHAnsi"/>
                <w:color w:val="000000"/>
              </w:rPr>
              <w:t>, υπέρταση,</w:t>
            </w:r>
          </w:p>
          <w:p w:rsidR="007E28F2" w:rsidRPr="00872FD2" w:rsidRDefault="007E28F2" w:rsidP="00872FD2">
            <w:pPr>
              <w:spacing w:after="0" w:line="360" w:lineRule="auto"/>
              <w:rPr>
                <w:rFonts w:asciiTheme="minorHAnsi" w:eastAsia="Times New Roman" w:hAnsiTheme="minorHAnsi" w:cstheme="minorHAnsi"/>
                <w:b/>
                <w:bCs/>
                <w:color w:val="000000"/>
              </w:rPr>
            </w:pPr>
            <w:r w:rsidRPr="00872FD2">
              <w:rPr>
                <w:rFonts w:asciiTheme="minorHAnsi" w:eastAsia="Times New Roman" w:hAnsiTheme="minorHAnsi" w:cstheme="minorHAnsi"/>
                <w:color w:val="000000"/>
              </w:rPr>
              <w:t>σπειραματονεφρίτιδα, πολυκυστική νόσο ή άλλο;</w:t>
            </w:r>
          </w:p>
        </w:tc>
        <w:tc>
          <w:tcPr>
            <w:tcW w:w="2200" w:type="dxa"/>
            <w:hideMark/>
          </w:tcPr>
          <w:p w:rsidR="007E28F2" w:rsidRPr="00872FD2" w:rsidRDefault="0095691A" w:rsidP="00872FD2">
            <w:pPr>
              <w:spacing w:after="0" w:line="360" w:lineRule="auto"/>
              <w:rPr>
                <w:rFonts w:asciiTheme="minorHAnsi" w:eastAsia="Times New Roman" w:hAnsiTheme="minorHAnsi" w:cstheme="minorHAnsi"/>
                <w:color w:val="000000"/>
              </w:rPr>
            </w:pPr>
            <w:r>
              <w:rPr>
                <w:rFonts w:asciiTheme="minorHAnsi" w:eastAsia="Times New Roman" w:hAnsiTheme="minorHAnsi" w:cstheme="minorHAnsi"/>
                <w:color w:val="000000"/>
              </w:rPr>
              <w:t>Σακχαρώδη Διαβήτη</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3</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12,5</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6</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24,0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0,005</w:t>
            </w:r>
            <w:r w:rsidRPr="00872FD2">
              <w:rPr>
                <w:rFonts w:asciiTheme="minorHAnsi" w:eastAsia="Times New Roman" w:hAnsiTheme="minorHAnsi" w:cstheme="minorHAnsi"/>
                <w:b/>
                <w:bCs/>
                <w:color w:val="000000"/>
                <w:vertAlign w:val="superscript"/>
              </w:rPr>
              <w:t>++</w:t>
            </w:r>
          </w:p>
        </w:tc>
      </w:tr>
      <w:tr w:rsidR="007E28F2" w:rsidRPr="00872FD2" w:rsidTr="00012754">
        <w:trPr>
          <w:cnfStyle w:val="000000010000"/>
          <w:trHeight w:val="285"/>
        </w:trPr>
        <w:tc>
          <w:tcPr>
            <w:tcW w:w="3182" w:type="dxa"/>
            <w:vMerge/>
            <w:hideMark/>
          </w:tcPr>
          <w:p w:rsidR="007E28F2" w:rsidRPr="00872FD2" w:rsidRDefault="007E28F2" w:rsidP="00872FD2">
            <w:pPr>
              <w:spacing w:after="0" w:line="360" w:lineRule="auto"/>
              <w:rPr>
                <w:rFonts w:asciiTheme="minorHAnsi" w:eastAsia="Times New Roman" w:hAnsiTheme="minorHAnsi" w:cstheme="minorHAnsi"/>
                <w:b/>
                <w:bCs/>
                <w:color w:val="000000"/>
              </w:rPr>
            </w:pPr>
          </w:p>
        </w:tc>
        <w:tc>
          <w:tcPr>
            <w:tcW w:w="2200" w:type="dxa"/>
            <w:hideMark/>
          </w:tcPr>
          <w:p w:rsidR="007E28F2" w:rsidRPr="00872FD2" w:rsidRDefault="004766A7"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Υ</w:t>
            </w:r>
            <w:r w:rsidR="007E28F2" w:rsidRPr="00872FD2">
              <w:rPr>
                <w:rFonts w:asciiTheme="minorHAnsi" w:eastAsia="Times New Roman" w:hAnsiTheme="minorHAnsi" w:cstheme="minorHAnsi"/>
                <w:color w:val="000000"/>
              </w:rPr>
              <w:t>πέρταση</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4,2</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9</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36,0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r>
      <w:tr w:rsidR="007E28F2" w:rsidRPr="00872FD2" w:rsidTr="00012754">
        <w:trPr>
          <w:cnfStyle w:val="000000100000"/>
          <w:trHeight w:val="285"/>
        </w:trPr>
        <w:tc>
          <w:tcPr>
            <w:tcW w:w="3182" w:type="dxa"/>
            <w:vMerge/>
            <w:hideMark/>
          </w:tcPr>
          <w:p w:rsidR="007E28F2" w:rsidRPr="00872FD2" w:rsidRDefault="007E28F2" w:rsidP="00872FD2">
            <w:pPr>
              <w:spacing w:after="0" w:line="360" w:lineRule="auto"/>
              <w:rPr>
                <w:rFonts w:asciiTheme="minorHAnsi" w:eastAsia="Times New Roman" w:hAnsiTheme="minorHAnsi" w:cstheme="minorHAnsi"/>
                <w:b/>
                <w:bCs/>
                <w:color w:val="000000"/>
              </w:rPr>
            </w:pPr>
          </w:p>
        </w:tc>
        <w:tc>
          <w:tcPr>
            <w:tcW w:w="220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σπειραματονεφρίτιδα</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11</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45,8</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8</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32,0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r>
      <w:tr w:rsidR="007E28F2" w:rsidRPr="00872FD2" w:rsidTr="00012754">
        <w:trPr>
          <w:cnfStyle w:val="000000010000"/>
          <w:trHeight w:val="285"/>
        </w:trPr>
        <w:tc>
          <w:tcPr>
            <w:tcW w:w="3182" w:type="dxa"/>
            <w:vMerge/>
            <w:hideMark/>
          </w:tcPr>
          <w:p w:rsidR="007E28F2" w:rsidRPr="00872FD2" w:rsidRDefault="007E28F2" w:rsidP="00872FD2">
            <w:pPr>
              <w:spacing w:after="0" w:line="360" w:lineRule="auto"/>
              <w:rPr>
                <w:rFonts w:asciiTheme="minorHAnsi" w:eastAsia="Times New Roman" w:hAnsiTheme="minorHAnsi" w:cstheme="minorHAnsi"/>
                <w:b/>
                <w:bCs/>
                <w:color w:val="000000"/>
              </w:rPr>
            </w:pPr>
          </w:p>
        </w:tc>
        <w:tc>
          <w:tcPr>
            <w:tcW w:w="220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πολυκυστική νόσο</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4,2</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4,0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r>
      <w:tr w:rsidR="007E28F2" w:rsidRPr="00872FD2" w:rsidTr="00012754">
        <w:trPr>
          <w:cnfStyle w:val="000000100000"/>
          <w:trHeight w:val="285"/>
        </w:trPr>
        <w:tc>
          <w:tcPr>
            <w:tcW w:w="3182" w:type="dxa"/>
            <w:vMerge/>
            <w:hideMark/>
          </w:tcPr>
          <w:p w:rsidR="007E28F2" w:rsidRPr="00872FD2" w:rsidRDefault="007E28F2" w:rsidP="00872FD2">
            <w:pPr>
              <w:spacing w:after="0" w:line="360" w:lineRule="auto"/>
              <w:rPr>
                <w:rFonts w:asciiTheme="minorHAnsi" w:eastAsia="Times New Roman" w:hAnsiTheme="minorHAnsi" w:cstheme="minorHAnsi"/>
                <w:b/>
                <w:bCs/>
                <w:color w:val="000000"/>
              </w:rPr>
            </w:pPr>
          </w:p>
        </w:tc>
        <w:tc>
          <w:tcPr>
            <w:tcW w:w="2200" w:type="dxa"/>
            <w:hideMark/>
          </w:tcPr>
          <w:p w:rsidR="007E28F2" w:rsidRPr="00872FD2" w:rsidRDefault="004766A7"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Ά</w:t>
            </w:r>
            <w:r w:rsidR="007E28F2" w:rsidRPr="00872FD2">
              <w:rPr>
                <w:rFonts w:asciiTheme="minorHAnsi" w:eastAsia="Times New Roman" w:hAnsiTheme="minorHAnsi" w:cstheme="minorHAnsi"/>
                <w:color w:val="000000"/>
              </w:rPr>
              <w:t>λλο</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8</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33,3</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4,0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r>
      <w:tr w:rsidR="007E28F2" w:rsidRPr="00872FD2" w:rsidTr="00012754">
        <w:trPr>
          <w:cnfStyle w:val="000000010000"/>
          <w:trHeight w:val="285"/>
        </w:trPr>
        <w:tc>
          <w:tcPr>
            <w:tcW w:w="5382" w:type="dxa"/>
            <w:gridSpan w:val="2"/>
            <w:hideMark/>
          </w:tcPr>
          <w:p w:rsidR="007E28F2" w:rsidRPr="00872FD2" w:rsidRDefault="007E28F2" w:rsidP="00872FD2">
            <w:pPr>
              <w:spacing w:after="0" w:line="360" w:lineRule="auto"/>
              <w:rPr>
                <w:rFonts w:asciiTheme="minorHAnsi" w:eastAsia="Times New Roman" w:hAnsiTheme="minorHAnsi" w:cstheme="minorHAnsi"/>
                <w:b/>
                <w:bCs/>
                <w:color w:val="000000"/>
              </w:rPr>
            </w:pPr>
            <w:r w:rsidRPr="00872FD2">
              <w:rPr>
                <w:rFonts w:asciiTheme="minorHAnsi" w:eastAsia="Times New Roman" w:hAnsiTheme="minorHAnsi" w:cstheme="minorHAnsi"/>
                <w:color w:val="000000"/>
              </w:rPr>
              <w:t xml:space="preserve">Έτη υπό </w:t>
            </w:r>
            <w:r w:rsidR="004C1BCE">
              <w:rPr>
                <w:rFonts w:asciiTheme="minorHAnsi" w:eastAsia="Times New Roman" w:hAnsiTheme="minorHAnsi" w:cstheme="minorHAnsi"/>
                <w:color w:val="000000"/>
              </w:rPr>
              <w:t>αιμοκάθαρση</w:t>
            </w:r>
            <w:r w:rsidRPr="00872FD2">
              <w:rPr>
                <w:rFonts w:asciiTheme="minorHAnsi" w:eastAsia="Times New Roman" w:hAnsiTheme="minorHAnsi" w:cstheme="minorHAnsi"/>
                <w:color w:val="000000"/>
              </w:rPr>
              <w:t>, μέση τιμή (</w:t>
            </w:r>
            <w:r w:rsidR="00D225F5" w:rsidRPr="00872FD2">
              <w:rPr>
                <w:rFonts w:asciiTheme="minorHAnsi" w:eastAsia="Times New Roman" w:hAnsiTheme="minorHAnsi" w:cstheme="minorHAnsi"/>
                <w:color w:val="000000"/>
              </w:rPr>
              <w:t>ΤΑ</w:t>
            </w:r>
            <w:r w:rsidRPr="00872FD2">
              <w:rPr>
                <w:rFonts w:asciiTheme="minorHAnsi" w:eastAsia="Times New Roman" w:hAnsiTheme="minorHAnsi" w:cstheme="minorHAnsi"/>
                <w:color w:val="000000"/>
              </w:rPr>
              <w:t>)</w:t>
            </w:r>
          </w:p>
        </w:tc>
        <w:tc>
          <w:tcPr>
            <w:tcW w:w="1709" w:type="dxa"/>
            <w:gridSpan w:val="2"/>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6,6 (6,0)</w:t>
            </w:r>
          </w:p>
        </w:tc>
        <w:tc>
          <w:tcPr>
            <w:tcW w:w="1709" w:type="dxa"/>
            <w:gridSpan w:val="2"/>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4,0 (3,3)</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0,059</w:t>
            </w:r>
            <w:r w:rsidRPr="00872FD2">
              <w:rPr>
                <w:rFonts w:asciiTheme="minorHAnsi" w:eastAsia="Times New Roman" w:hAnsiTheme="minorHAnsi" w:cstheme="minorHAnsi"/>
                <w:color w:val="000000"/>
                <w:vertAlign w:val="superscript"/>
              </w:rPr>
              <w:t>‡</w:t>
            </w:r>
          </w:p>
        </w:tc>
      </w:tr>
      <w:tr w:rsidR="007E28F2" w:rsidRPr="00872FD2" w:rsidTr="00012754">
        <w:trPr>
          <w:cnfStyle w:val="000000100000"/>
          <w:trHeight w:val="285"/>
        </w:trPr>
        <w:tc>
          <w:tcPr>
            <w:tcW w:w="5382" w:type="dxa"/>
            <w:gridSpan w:val="2"/>
            <w:hideMark/>
          </w:tcPr>
          <w:p w:rsidR="007E28F2" w:rsidRPr="00872FD2" w:rsidRDefault="007E28F2" w:rsidP="00872FD2">
            <w:pPr>
              <w:spacing w:after="0" w:line="360" w:lineRule="auto"/>
              <w:rPr>
                <w:rFonts w:asciiTheme="minorHAnsi" w:eastAsia="Times New Roman" w:hAnsiTheme="minorHAnsi" w:cstheme="minorHAnsi"/>
                <w:b/>
                <w:bCs/>
                <w:color w:val="000000"/>
              </w:rPr>
            </w:pPr>
            <w:r w:rsidRPr="00872FD2">
              <w:rPr>
                <w:rFonts w:asciiTheme="minorHAnsi" w:eastAsia="Times New Roman" w:hAnsiTheme="minorHAnsi" w:cstheme="minorHAnsi"/>
                <w:color w:val="000000"/>
              </w:rPr>
              <w:t xml:space="preserve">Διάρκεια </w:t>
            </w:r>
            <w:r w:rsidR="00605F71">
              <w:rPr>
                <w:rFonts w:asciiTheme="minorHAnsi" w:eastAsia="Times New Roman" w:hAnsiTheme="minorHAnsi" w:cstheme="minorHAnsi"/>
                <w:color w:val="000000"/>
              </w:rPr>
              <w:t>αιμοκάθαρσης</w:t>
            </w:r>
            <w:r w:rsidR="00605F71" w:rsidRPr="00872FD2">
              <w:rPr>
                <w:rFonts w:asciiTheme="minorHAnsi" w:eastAsia="Times New Roman" w:hAnsiTheme="minorHAnsi" w:cstheme="minorHAnsi"/>
                <w:color w:val="000000"/>
              </w:rPr>
              <w:t xml:space="preserve"> </w:t>
            </w:r>
            <w:r w:rsidRPr="00872FD2">
              <w:rPr>
                <w:rFonts w:asciiTheme="minorHAnsi" w:eastAsia="Times New Roman" w:hAnsiTheme="minorHAnsi" w:cstheme="minorHAnsi"/>
                <w:color w:val="000000"/>
              </w:rPr>
              <w:t>(ώρες), μέση τιμή (</w:t>
            </w:r>
            <w:r w:rsidR="00D225F5" w:rsidRPr="00872FD2">
              <w:rPr>
                <w:rFonts w:asciiTheme="minorHAnsi" w:eastAsia="Times New Roman" w:hAnsiTheme="minorHAnsi" w:cstheme="minorHAnsi"/>
                <w:color w:val="000000"/>
              </w:rPr>
              <w:t>ΤΑ</w:t>
            </w:r>
            <w:r w:rsidRPr="00872FD2">
              <w:rPr>
                <w:rFonts w:asciiTheme="minorHAnsi" w:eastAsia="Times New Roman" w:hAnsiTheme="minorHAnsi" w:cstheme="minorHAnsi"/>
                <w:color w:val="000000"/>
              </w:rPr>
              <w:t>)</w:t>
            </w:r>
          </w:p>
        </w:tc>
        <w:tc>
          <w:tcPr>
            <w:tcW w:w="1709" w:type="dxa"/>
            <w:gridSpan w:val="2"/>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3,9 (0,4)</w:t>
            </w:r>
          </w:p>
        </w:tc>
        <w:tc>
          <w:tcPr>
            <w:tcW w:w="1709" w:type="dxa"/>
            <w:gridSpan w:val="2"/>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3,8 (0,6)</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0,795</w:t>
            </w:r>
            <w:r w:rsidRPr="00872FD2">
              <w:rPr>
                <w:rFonts w:asciiTheme="minorHAnsi" w:eastAsia="Times New Roman" w:hAnsiTheme="minorHAnsi" w:cstheme="minorHAnsi"/>
                <w:color w:val="000000"/>
                <w:vertAlign w:val="superscript"/>
              </w:rPr>
              <w:t>‡</w:t>
            </w:r>
          </w:p>
        </w:tc>
      </w:tr>
      <w:tr w:rsidR="007E28F2" w:rsidRPr="00872FD2" w:rsidTr="00012754">
        <w:trPr>
          <w:cnfStyle w:val="000000010000"/>
          <w:trHeight w:val="285"/>
        </w:trPr>
        <w:tc>
          <w:tcPr>
            <w:tcW w:w="5382" w:type="dxa"/>
            <w:gridSpan w:val="2"/>
            <w:hideMark/>
          </w:tcPr>
          <w:p w:rsidR="007E28F2" w:rsidRPr="00872FD2" w:rsidRDefault="007E28F2" w:rsidP="00872FD2">
            <w:pPr>
              <w:spacing w:after="0" w:line="360" w:lineRule="auto"/>
              <w:rPr>
                <w:rFonts w:asciiTheme="minorHAnsi" w:eastAsia="Times New Roman" w:hAnsiTheme="minorHAnsi" w:cstheme="minorHAnsi"/>
                <w:b/>
                <w:bCs/>
                <w:color w:val="000000"/>
              </w:rPr>
            </w:pPr>
            <w:r w:rsidRPr="00872FD2">
              <w:rPr>
                <w:rFonts w:asciiTheme="minorHAnsi" w:eastAsia="Times New Roman" w:hAnsiTheme="minorHAnsi" w:cstheme="minorHAnsi"/>
                <w:color w:val="000000"/>
              </w:rPr>
              <w:t xml:space="preserve">Εβδομαδιαίος αριθμός συνεδριών </w:t>
            </w:r>
            <w:r w:rsidR="00605F71">
              <w:rPr>
                <w:rFonts w:asciiTheme="minorHAnsi" w:eastAsia="Times New Roman" w:hAnsiTheme="minorHAnsi" w:cstheme="minorHAnsi"/>
                <w:color w:val="000000"/>
              </w:rPr>
              <w:t>αιμοκάθαρση</w:t>
            </w:r>
            <w:r w:rsidR="005D7B76">
              <w:rPr>
                <w:rFonts w:asciiTheme="minorHAnsi" w:eastAsia="Times New Roman" w:hAnsiTheme="minorHAnsi" w:cstheme="minorHAnsi"/>
                <w:color w:val="000000"/>
              </w:rPr>
              <w:t>ς</w:t>
            </w:r>
            <w:r w:rsidRPr="00872FD2">
              <w:rPr>
                <w:rFonts w:asciiTheme="minorHAnsi" w:eastAsia="Times New Roman" w:hAnsiTheme="minorHAnsi" w:cstheme="minorHAnsi"/>
                <w:color w:val="000000"/>
              </w:rPr>
              <w:t>, μέση τιμή (</w:t>
            </w:r>
            <w:r w:rsidR="00D225F5" w:rsidRPr="00872FD2">
              <w:rPr>
                <w:rFonts w:asciiTheme="minorHAnsi" w:eastAsia="Times New Roman" w:hAnsiTheme="minorHAnsi" w:cstheme="minorHAnsi"/>
                <w:color w:val="000000"/>
              </w:rPr>
              <w:t>ΤΑ</w:t>
            </w:r>
            <w:r w:rsidRPr="00872FD2">
              <w:rPr>
                <w:rFonts w:asciiTheme="minorHAnsi" w:eastAsia="Times New Roman" w:hAnsiTheme="minorHAnsi" w:cstheme="minorHAnsi"/>
                <w:color w:val="000000"/>
              </w:rPr>
              <w:t>)</w:t>
            </w:r>
          </w:p>
        </w:tc>
        <w:tc>
          <w:tcPr>
            <w:tcW w:w="1709" w:type="dxa"/>
            <w:gridSpan w:val="2"/>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2,0 (0,2)</w:t>
            </w:r>
          </w:p>
        </w:tc>
        <w:tc>
          <w:tcPr>
            <w:tcW w:w="1709" w:type="dxa"/>
            <w:gridSpan w:val="2"/>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3,0 (0,2)</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0,164</w:t>
            </w:r>
            <w:r w:rsidRPr="00872FD2">
              <w:rPr>
                <w:rFonts w:asciiTheme="minorHAnsi" w:eastAsia="Times New Roman" w:hAnsiTheme="minorHAnsi" w:cstheme="minorHAnsi"/>
                <w:color w:val="000000"/>
                <w:vertAlign w:val="superscript"/>
              </w:rPr>
              <w:t>‡</w:t>
            </w:r>
          </w:p>
        </w:tc>
      </w:tr>
      <w:tr w:rsidR="007E28F2" w:rsidRPr="00872FD2" w:rsidTr="00012754">
        <w:trPr>
          <w:cnfStyle w:val="000000100000"/>
          <w:trHeight w:val="285"/>
        </w:trPr>
        <w:tc>
          <w:tcPr>
            <w:tcW w:w="3182" w:type="dxa"/>
            <w:vMerge w:val="restart"/>
            <w:hideMark/>
          </w:tcPr>
          <w:p w:rsidR="007E28F2" w:rsidRPr="00214D9E" w:rsidRDefault="007E28F2" w:rsidP="00872FD2">
            <w:pPr>
              <w:spacing w:after="0" w:line="360" w:lineRule="auto"/>
              <w:rPr>
                <w:rFonts w:asciiTheme="minorHAnsi" w:eastAsia="Times New Roman" w:hAnsiTheme="minorHAnsi" w:cstheme="minorHAnsi"/>
                <w:bCs/>
                <w:color w:val="000000"/>
              </w:rPr>
            </w:pPr>
            <w:r w:rsidRPr="00214D9E">
              <w:rPr>
                <w:rFonts w:asciiTheme="minorHAnsi" w:eastAsia="Times New Roman" w:hAnsiTheme="minorHAnsi" w:cstheme="minorHAnsi"/>
                <w:color w:val="000000"/>
              </w:rPr>
              <w:t>Με τι οδικό μέσο πηγαίνετε στη μονάδα;</w:t>
            </w:r>
          </w:p>
        </w:tc>
        <w:tc>
          <w:tcPr>
            <w:tcW w:w="2200" w:type="dxa"/>
            <w:hideMark/>
          </w:tcPr>
          <w:p w:rsidR="007E28F2" w:rsidRPr="00214D9E" w:rsidRDefault="004766A7" w:rsidP="00872FD2">
            <w:pPr>
              <w:spacing w:after="0" w:line="360" w:lineRule="auto"/>
              <w:rPr>
                <w:rFonts w:asciiTheme="minorHAnsi" w:eastAsia="Times New Roman" w:hAnsiTheme="minorHAnsi" w:cstheme="minorHAnsi"/>
                <w:color w:val="000000"/>
              </w:rPr>
            </w:pPr>
            <w:r w:rsidRPr="00214D9E">
              <w:rPr>
                <w:rFonts w:asciiTheme="minorHAnsi" w:eastAsia="Times New Roman" w:hAnsiTheme="minorHAnsi" w:cstheme="minorHAnsi"/>
                <w:color w:val="000000"/>
              </w:rPr>
              <w:t>Τ</w:t>
            </w:r>
            <w:r w:rsidR="007E28F2" w:rsidRPr="00214D9E">
              <w:rPr>
                <w:rFonts w:asciiTheme="minorHAnsi" w:eastAsia="Times New Roman" w:hAnsiTheme="minorHAnsi" w:cstheme="minorHAnsi"/>
                <w:color w:val="000000"/>
              </w:rPr>
              <w:t>αξί</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8</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32,0</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4</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16,0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0,304</w:t>
            </w:r>
            <w:r w:rsidRPr="00872FD2">
              <w:rPr>
                <w:rFonts w:asciiTheme="minorHAnsi" w:eastAsia="Times New Roman" w:hAnsiTheme="minorHAnsi" w:cstheme="minorHAnsi"/>
                <w:color w:val="000000"/>
                <w:vertAlign w:val="superscript"/>
              </w:rPr>
              <w:t>++</w:t>
            </w:r>
          </w:p>
        </w:tc>
      </w:tr>
      <w:tr w:rsidR="007E28F2" w:rsidRPr="00872FD2" w:rsidTr="00012754">
        <w:trPr>
          <w:cnfStyle w:val="000000010000"/>
          <w:trHeight w:val="285"/>
        </w:trPr>
        <w:tc>
          <w:tcPr>
            <w:tcW w:w="3182" w:type="dxa"/>
            <w:vMerge/>
            <w:hideMark/>
          </w:tcPr>
          <w:p w:rsidR="007E28F2" w:rsidRPr="00214D9E" w:rsidRDefault="007E28F2" w:rsidP="00872FD2">
            <w:pPr>
              <w:spacing w:after="0" w:line="360" w:lineRule="auto"/>
              <w:rPr>
                <w:rFonts w:asciiTheme="minorHAnsi" w:eastAsia="Times New Roman" w:hAnsiTheme="minorHAnsi" w:cstheme="minorHAnsi"/>
                <w:bCs/>
                <w:color w:val="000000"/>
              </w:rPr>
            </w:pPr>
          </w:p>
        </w:tc>
        <w:tc>
          <w:tcPr>
            <w:tcW w:w="2200" w:type="dxa"/>
            <w:hideMark/>
          </w:tcPr>
          <w:p w:rsidR="007E28F2" w:rsidRPr="00214D9E" w:rsidRDefault="007E28F2" w:rsidP="00872FD2">
            <w:pPr>
              <w:spacing w:after="0" w:line="360" w:lineRule="auto"/>
              <w:rPr>
                <w:rFonts w:asciiTheme="minorHAnsi" w:eastAsia="Times New Roman" w:hAnsiTheme="minorHAnsi" w:cstheme="minorHAnsi"/>
                <w:color w:val="000000"/>
              </w:rPr>
            </w:pPr>
            <w:r w:rsidRPr="00214D9E">
              <w:rPr>
                <w:rFonts w:asciiTheme="minorHAnsi" w:eastAsia="Times New Roman" w:hAnsiTheme="minorHAnsi" w:cstheme="minorHAnsi"/>
                <w:color w:val="000000"/>
              </w:rPr>
              <w:t>ΙΧ</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13</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52,0</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19</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76,0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r>
      <w:tr w:rsidR="007E28F2" w:rsidRPr="00872FD2" w:rsidTr="00012754">
        <w:trPr>
          <w:cnfStyle w:val="000000100000"/>
          <w:trHeight w:val="285"/>
        </w:trPr>
        <w:tc>
          <w:tcPr>
            <w:tcW w:w="3182" w:type="dxa"/>
            <w:vMerge/>
            <w:hideMark/>
          </w:tcPr>
          <w:p w:rsidR="007E28F2" w:rsidRPr="00214D9E" w:rsidRDefault="007E28F2" w:rsidP="00872FD2">
            <w:pPr>
              <w:spacing w:after="0" w:line="360" w:lineRule="auto"/>
              <w:rPr>
                <w:rFonts w:asciiTheme="minorHAnsi" w:eastAsia="Times New Roman" w:hAnsiTheme="minorHAnsi" w:cstheme="minorHAnsi"/>
                <w:bCs/>
                <w:color w:val="000000"/>
              </w:rPr>
            </w:pPr>
          </w:p>
        </w:tc>
        <w:tc>
          <w:tcPr>
            <w:tcW w:w="2200" w:type="dxa"/>
            <w:hideMark/>
          </w:tcPr>
          <w:p w:rsidR="007E28F2" w:rsidRPr="00214D9E" w:rsidRDefault="004766A7" w:rsidP="00872FD2">
            <w:pPr>
              <w:spacing w:after="0" w:line="360" w:lineRule="auto"/>
              <w:rPr>
                <w:rFonts w:asciiTheme="minorHAnsi" w:eastAsia="Times New Roman" w:hAnsiTheme="minorHAnsi" w:cstheme="minorHAnsi"/>
                <w:color w:val="000000"/>
              </w:rPr>
            </w:pPr>
            <w:r w:rsidRPr="00214D9E">
              <w:rPr>
                <w:rFonts w:asciiTheme="minorHAnsi" w:eastAsia="Times New Roman" w:hAnsiTheme="minorHAnsi" w:cstheme="minorHAnsi"/>
                <w:color w:val="000000"/>
              </w:rPr>
              <w:t>Α</w:t>
            </w:r>
            <w:r w:rsidR="007E28F2" w:rsidRPr="00214D9E">
              <w:rPr>
                <w:rFonts w:asciiTheme="minorHAnsi" w:eastAsia="Times New Roman" w:hAnsiTheme="minorHAnsi" w:cstheme="minorHAnsi"/>
                <w:color w:val="000000"/>
              </w:rPr>
              <w:t>σθενοφόρο</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4,0</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4,0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r>
      <w:tr w:rsidR="007E28F2" w:rsidRPr="00872FD2" w:rsidTr="00012754">
        <w:trPr>
          <w:cnfStyle w:val="000000010000"/>
          <w:trHeight w:val="285"/>
        </w:trPr>
        <w:tc>
          <w:tcPr>
            <w:tcW w:w="3182" w:type="dxa"/>
            <w:vMerge/>
            <w:hideMark/>
          </w:tcPr>
          <w:p w:rsidR="007E28F2" w:rsidRPr="00214D9E" w:rsidRDefault="007E28F2" w:rsidP="00872FD2">
            <w:pPr>
              <w:spacing w:after="0" w:line="360" w:lineRule="auto"/>
              <w:rPr>
                <w:rFonts w:asciiTheme="minorHAnsi" w:eastAsia="Times New Roman" w:hAnsiTheme="minorHAnsi" w:cstheme="minorHAnsi"/>
                <w:bCs/>
                <w:color w:val="000000"/>
              </w:rPr>
            </w:pPr>
          </w:p>
        </w:tc>
        <w:tc>
          <w:tcPr>
            <w:tcW w:w="2200" w:type="dxa"/>
            <w:hideMark/>
          </w:tcPr>
          <w:p w:rsidR="007E28F2" w:rsidRPr="00214D9E" w:rsidRDefault="007E28F2" w:rsidP="00872FD2">
            <w:pPr>
              <w:spacing w:after="0" w:line="360" w:lineRule="auto"/>
              <w:rPr>
                <w:rFonts w:asciiTheme="minorHAnsi" w:eastAsia="Times New Roman" w:hAnsiTheme="minorHAnsi" w:cstheme="minorHAnsi"/>
                <w:color w:val="000000"/>
              </w:rPr>
            </w:pPr>
            <w:r w:rsidRPr="00214D9E">
              <w:rPr>
                <w:rFonts w:asciiTheme="minorHAnsi" w:eastAsia="Times New Roman" w:hAnsiTheme="minorHAnsi" w:cstheme="minorHAnsi"/>
                <w:color w:val="000000"/>
              </w:rPr>
              <w:t>Μέσα Μαζικής Μεταφοράς</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3</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12,0</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4,0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r>
      <w:tr w:rsidR="007E28F2" w:rsidRPr="00872FD2" w:rsidTr="00012754">
        <w:trPr>
          <w:cnfStyle w:val="000000100000"/>
          <w:trHeight w:val="285"/>
        </w:trPr>
        <w:tc>
          <w:tcPr>
            <w:tcW w:w="3182" w:type="dxa"/>
            <w:vMerge w:val="restart"/>
            <w:hideMark/>
          </w:tcPr>
          <w:p w:rsidR="007E28F2" w:rsidRPr="00214D9E" w:rsidRDefault="007E28F2" w:rsidP="00872FD2">
            <w:pPr>
              <w:spacing w:after="0" w:line="360" w:lineRule="auto"/>
              <w:rPr>
                <w:rFonts w:asciiTheme="minorHAnsi" w:eastAsia="Times New Roman" w:hAnsiTheme="minorHAnsi" w:cstheme="minorHAnsi"/>
                <w:bCs/>
                <w:color w:val="000000"/>
              </w:rPr>
            </w:pPr>
            <w:r w:rsidRPr="00214D9E">
              <w:rPr>
                <w:rFonts w:asciiTheme="minorHAnsi" w:eastAsia="Times New Roman" w:hAnsiTheme="minorHAnsi" w:cstheme="minorHAnsi"/>
                <w:color w:val="000000"/>
              </w:rPr>
              <w:t>Έχετε κάνει ποτέ ΠΚ;</w:t>
            </w:r>
          </w:p>
        </w:tc>
        <w:tc>
          <w:tcPr>
            <w:tcW w:w="2200" w:type="dxa"/>
            <w:hideMark/>
          </w:tcPr>
          <w:p w:rsidR="007E28F2" w:rsidRPr="00214D9E" w:rsidRDefault="004766A7" w:rsidP="00872FD2">
            <w:pPr>
              <w:spacing w:after="0" w:line="360" w:lineRule="auto"/>
              <w:rPr>
                <w:rFonts w:asciiTheme="minorHAnsi" w:eastAsia="Times New Roman" w:hAnsiTheme="minorHAnsi" w:cstheme="minorHAnsi"/>
                <w:color w:val="000000"/>
              </w:rPr>
            </w:pPr>
            <w:r w:rsidRPr="00214D9E">
              <w:rPr>
                <w:rFonts w:asciiTheme="minorHAnsi" w:eastAsia="Times New Roman" w:hAnsiTheme="minorHAnsi" w:cstheme="minorHAnsi"/>
                <w:color w:val="000000"/>
              </w:rPr>
              <w:t>Ν</w:t>
            </w:r>
            <w:r w:rsidR="007E28F2" w:rsidRPr="00214D9E">
              <w:rPr>
                <w:rFonts w:asciiTheme="minorHAnsi" w:eastAsia="Times New Roman" w:hAnsiTheme="minorHAnsi" w:cstheme="minorHAnsi"/>
                <w:color w:val="000000"/>
              </w:rPr>
              <w:t>αι</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2</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8,0</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4,0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1,000</w:t>
            </w:r>
            <w:r w:rsidRPr="00872FD2">
              <w:rPr>
                <w:rFonts w:asciiTheme="minorHAnsi" w:eastAsia="Times New Roman" w:hAnsiTheme="minorHAnsi" w:cstheme="minorHAnsi"/>
                <w:color w:val="000000"/>
                <w:vertAlign w:val="superscript"/>
              </w:rPr>
              <w:t>++</w:t>
            </w:r>
          </w:p>
        </w:tc>
      </w:tr>
      <w:tr w:rsidR="007E28F2" w:rsidRPr="00872FD2" w:rsidTr="00012754">
        <w:trPr>
          <w:cnfStyle w:val="000000010000"/>
          <w:trHeight w:val="285"/>
        </w:trPr>
        <w:tc>
          <w:tcPr>
            <w:tcW w:w="3182" w:type="dxa"/>
            <w:vMerge/>
            <w:hideMark/>
          </w:tcPr>
          <w:p w:rsidR="007E28F2" w:rsidRPr="00214D9E" w:rsidRDefault="007E28F2" w:rsidP="00872FD2">
            <w:pPr>
              <w:spacing w:after="0" w:line="360" w:lineRule="auto"/>
              <w:rPr>
                <w:rFonts w:asciiTheme="minorHAnsi" w:eastAsia="Times New Roman" w:hAnsiTheme="minorHAnsi" w:cstheme="minorHAnsi"/>
                <w:bCs/>
                <w:color w:val="000000"/>
              </w:rPr>
            </w:pPr>
          </w:p>
        </w:tc>
        <w:tc>
          <w:tcPr>
            <w:tcW w:w="2200" w:type="dxa"/>
            <w:hideMark/>
          </w:tcPr>
          <w:p w:rsidR="007E28F2" w:rsidRPr="00214D9E" w:rsidRDefault="004766A7" w:rsidP="00872FD2">
            <w:pPr>
              <w:spacing w:after="0" w:line="360" w:lineRule="auto"/>
              <w:rPr>
                <w:rFonts w:asciiTheme="minorHAnsi" w:eastAsia="Times New Roman" w:hAnsiTheme="minorHAnsi" w:cstheme="minorHAnsi"/>
                <w:color w:val="000000"/>
              </w:rPr>
            </w:pPr>
            <w:r w:rsidRPr="00214D9E">
              <w:rPr>
                <w:rFonts w:asciiTheme="minorHAnsi" w:eastAsia="Times New Roman" w:hAnsiTheme="minorHAnsi" w:cstheme="minorHAnsi"/>
                <w:color w:val="000000"/>
              </w:rPr>
              <w:t>Ό</w:t>
            </w:r>
            <w:r w:rsidR="007E28F2" w:rsidRPr="00214D9E">
              <w:rPr>
                <w:rFonts w:asciiTheme="minorHAnsi" w:eastAsia="Times New Roman" w:hAnsiTheme="minorHAnsi" w:cstheme="minorHAnsi"/>
                <w:color w:val="000000"/>
              </w:rPr>
              <w:t>χι</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23</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92,0</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24</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96,0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r>
      <w:tr w:rsidR="007E28F2" w:rsidRPr="00872FD2" w:rsidTr="00012754">
        <w:trPr>
          <w:cnfStyle w:val="000000100000"/>
          <w:trHeight w:val="285"/>
        </w:trPr>
        <w:tc>
          <w:tcPr>
            <w:tcW w:w="5382" w:type="dxa"/>
            <w:gridSpan w:val="2"/>
            <w:hideMark/>
          </w:tcPr>
          <w:p w:rsidR="007E28F2" w:rsidRPr="00214D9E" w:rsidRDefault="007E28F2" w:rsidP="00872FD2">
            <w:pPr>
              <w:spacing w:after="0" w:line="360" w:lineRule="auto"/>
              <w:rPr>
                <w:rFonts w:asciiTheme="minorHAnsi" w:eastAsia="Times New Roman" w:hAnsiTheme="minorHAnsi" w:cstheme="minorHAnsi"/>
                <w:bCs/>
                <w:color w:val="000000"/>
              </w:rPr>
            </w:pPr>
            <w:r w:rsidRPr="00214D9E">
              <w:rPr>
                <w:rFonts w:asciiTheme="minorHAnsi" w:eastAsia="Times New Roman" w:hAnsiTheme="minorHAnsi" w:cstheme="minorHAnsi"/>
                <w:color w:val="000000"/>
              </w:rPr>
              <w:t>Έτη από ΠΚ, μέση τιμή (</w:t>
            </w:r>
            <w:r w:rsidR="00D225F5" w:rsidRPr="00214D9E">
              <w:rPr>
                <w:rFonts w:asciiTheme="minorHAnsi" w:eastAsia="Times New Roman" w:hAnsiTheme="minorHAnsi" w:cstheme="minorHAnsi"/>
                <w:color w:val="000000"/>
              </w:rPr>
              <w:t>ΤΑ</w:t>
            </w:r>
            <w:r w:rsidRPr="00214D9E">
              <w:rPr>
                <w:rFonts w:asciiTheme="minorHAnsi" w:eastAsia="Times New Roman" w:hAnsiTheme="minorHAnsi" w:cstheme="minorHAnsi"/>
                <w:color w:val="000000"/>
              </w:rPr>
              <w:t>)</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3</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4</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w:t>
            </w:r>
          </w:p>
        </w:tc>
      </w:tr>
      <w:tr w:rsidR="007E28F2" w:rsidRPr="00872FD2" w:rsidTr="00012754">
        <w:trPr>
          <w:cnfStyle w:val="000000010000"/>
          <w:trHeight w:val="285"/>
        </w:trPr>
        <w:tc>
          <w:tcPr>
            <w:tcW w:w="5382" w:type="dxa"/>
            <w:gridSpan w:val="2"/>
            <w:hideMark/>
          </w:tcPr>
          <w:p w:rsidR="007E28F2" w:rsidRPr="00872FD2" w:rsidRDefault="007E28F2" w:rsidP="00872FD2">
            <w:pPr>
              <w:spacing w:after="0" w:line="360" w:lineRule="auto"/>
              <w:rPr>
                <w:rFonts w:asciiTheme="minorHAnsi" w:eastAsia="Times New Roman" w:hAnsiTheme="minorHAnsi" w:cstheme="minorHAnsi"/>
                <w:b/>
                <w:bCs/>
                <w:color w:val="000000"/>
              </w:rPr>
            </w:pPr>
            <w:r w:rsidRPr="00872FD2">
              <w:rPr>
                <w:rFonts w:asciiTheme="minorHAnsi" w:eastAsia="Times New Roman" w:hAnsiTheme="minorHAnsi" w:cstheme="minorHAnsi"/>
                <w:color w:val="000000"/>
              </w:rPr>
              <w:t>Έτη που κράτησε η ΠΚ, μέση τιμή (</w:t>
            </w:r>
            <w:r w:rsidR="00D225F5" w:rsidRPr="00872FD2">
              <w:rPr>
                <w:rFonts w:asciiTheme="minorHAnsi" w:eastAsia="Times New Roman" w:hAnsiTheme="minorHAnsi" w:cstheme="minorHAnsi"/>
                <w:color w:val="000000"/>
              </w:rPr>
              <w:t>ΤΑ</w:t>
            </w:r>
            <w:r w:rsidRPr="00872FD2">
              <w:rPr>
                <w:rFonts w:asciiTheme="minorHAnsi" w:eastAsia="Times New Roman" w:hAnsiTheme="minorHAnsi" w:cstheme="minorHAnsi"/>
                <w:color w:val="000000"/>
              </w:rPr>
              <w:t>)</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 (0)</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2</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w:t>
            </w:r>
          </w:p>
        </w:tc>
      </w:tr>
      <w:tr w:rsidR="007E28F2" w:rsidRPr="00872FD2" w:rsidTr="00012754">
        <w:trPr>
          <w:cnfStyle w:val="000000100000"/>
          <w:trHeight w:val="285"/>
        </w:trPr>
        <w:tc>
          <w:tcPr>
            <w:tcW w:w="3182" w:type="dxa"/>
            <w:hideMark/>
          </w:tcPr>
          <w:p w:rsidR="007E28F2" w:rsidRPr="00872FD2" w:rsidRDefault="007E28F2" w:rsidP="00872FD2">
            <w:pPr>
              <w:spacing w:after="0" w:line="360" w:lineRule="auto"/>
              <w:rPr>
                <w:rFonts w:asciiTheme="minorHAnsi" w:eastAsia="Times New Roman" w:hAnsiTheme="minorHAnsi" w:cstheme="minorHAnsi"/>
                <w:b/>
                <w:bCs/>
                <w:color w:val="000000"/>
              </w:rPr>
            </w:pPr>
            <w:r w:rsidRPr="00872FD2">
              <w:rPr>
                <w:rFonts w:asciiTheme="minorHAnsi" w:eastAsia="Times New Roman" w:hAnsiTheme="minorHAnsi" w:cstheme="minorHAnsi"/>
                <w:color w:val="000000"/>
              </w:rPr>
              <w:t>Έχετε κάνει μεταμόσχευση ποτέ;</w:t>
            </w:r>
          </w:p>
        </w:tc>
        <w:tc>
          <w:tcPr>
            <w:tcW w:w="2200" w:type="dxa"/>
            <w:hideMark/>
          </w:tcPr>
          <w:p w:rsidR="007E28F2" w:rsidRPr="00872FD2" w:rsidRDefault="004766A7"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Ν</w:t>
            </w:r>
            <w:r w:rsidR="007E28F2" w:rsidRPr="00872FD2">
              <w:rPr>
                <w:rFonts w:asciiTheme="minorHAnsi" w:eastAsia="Times New Roman" w:hAnsiTheme="minorHAnsi" w:cstheme="minorHAnsi"/>
                <w:color w:val="000000"/>
              </w:rPr>
              <w:t>αι</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3</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12,0</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3</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12,0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1,000</w:t>
            </w:r>
            <w:r w:rsidRPr="00872FD2">
              <w:rPr>
                <w:rFonts w:asciiTheme="minorHAnsi" w:eastAsia="Times New Roman" w:hAnsiTheme="minorHAnsi" w:cstheme="minorHAnsi"/>
                <w:color w:val="000000"/>
                <w:vertAlign w:val="superscript"/>
              </w:rPr>
              <w:t>++</w:t>
            </w:r>
          </w:p>
        </w:tc>
      </w:tr>
      <w:tr w:rsidR="007E28F2" w:rsidRPr="00872FD2" w:rsidTr="00012754">
        <w:trPr>
          <w:cnfStyle w:val="000000010000"/>
          <w:trHeight w:val="285"/>
        </w:trPr>
        <w:tc>
          <w:tcPr>
            <w:tcW w:w="3182" w:type="dxa"/>
            <w:hideMark/>
          </w:tcPr>
          <w:p w:rsidR="007E28F2" w:rsidRPr="00872FD2" w:rsidRDefault="007E28F2" w:rsidP="00872FD2">
            <w:pPr>
              <w:spacing w:after="0" w:line="360" w:lineRule="auto"/>
              <w:rPr>
                <w:rFonts w:asciiTheme="minorHAnsi" w:eastAsia="Times New Roman" w:hAnsiTheme="minorHAnsi" w:cstheme="minorHAnsi"/>
                <w:b/>
                <w:bCs/>
                <w:color w:val="000000"/>
              </w:rPr>
            </w:pPr>
            <w:r w:rsidRPr="00872FD2">
              <w:rPr>
                <w:rFonts w:asciiTheme="minorHAnsi" w:eastAsia="Times New Roman" w:hAnsiTheme="minorHAnsi" w:cstheme="minorHAnsi"/>
                <w:color w:val="000000"/>
              </w:rPr>
              <w:t> </w:t>
            </w:r>
          </w:p>
        </w:tc>
        <w:tc>
          <w:tcPr>
            <w:tcW w:w="2200" w:type="dxa"/>
            <w:hideMark/>
          </w:tcPr>
          <w:p w:rsidR="007E28F2" w:rsidRPr="00872FD2" w:rsidRDefault="00394B30"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Ό</w:t>
            </w:r>
            <w:r w:rsidR="007E28F2" w:rsidRPr="00872FD2">
              <w:rPr>
                <w:rFonts w:asciiTheme="minorHAnsi" w:eastAsia="Times New Roman" w:hAnsiTheme="minorHAnsi" w:cstheme="minorHAnsi"/>
                <w:color w:val="000000"/>
              </w:rPr>
              <w:t>χι</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22</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88,0</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22</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88,0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r>
      <w:tr w:rsidR="007E28F2" w:rsidRPr="00872FD2" w:rsidTr="00012754">
        <w:trPr>
          <w:cnfStyle w:val="000000100000"/>
          <w:trHeight w:val="285"/>
        </w:trPr>
        <w:tc>
          <w:tcPr>
            <w:tcW w:w="5382" w:type="dxa"/>
            <w:gridSpan w:val="2"/>
            <w:hideMark/>
          </w:tcPr>
          <w:p w:rsidR="007E28F2" w:rsidRPr="00872FD2" w:rsidRDefault="007E28F2" w:rsidP="00872FD2">
            <w:pPr>
              <w:spacing w:after="0" w:line="360" w:lineRule="auto"/>
              <w:rPr>
                <w:rFonts w:asciiTheme="minorHAnsi" w:eastAsia="Times New Roman" w:hAnsiTheme="minorHAnsi" w:cstheme="minorHAnsi"/>
                <w:b/>
                <w:bCs/>
                <w:color w:val="000000"/>
              </w:rPr>
            </w:pPr>
            <w:r w:rsidRPr="00872FD2">
              <w:rPr>
                <w:rFonts w:asciiTheme="minorHAnsi" w:eastAsia="Times New Roman" w:hAnsiTheme="minorHAnsi" w:cstheme="minorHAnsi"/>
                <w:color w:val="000000"/>
              </w:rPr>
              <w:t>Έτη από μεταμόσχευση, μέση τιμή (</w:t>
            </w:r>
            <w:r w:rsidR="00D225F5" w:rsidRPr="00872FD2">
              <w:rPr>
                <w:rFonts w:asciiTheme="minorHAnsi" w:eastAsia="Times New Roman" w:hAnsiTheme="minorHAnsi" w:cstheme="minorHAnsi"/>
                <w:color w:val="000000"/>
              </w:rPr>
              <w:t>ΤΑ</w:t>
            </w:r>
            <w:r w:rsidRPr="00872FD2">
              <w:rPr>
                <w:rFonts w:asciiTheme="minorHAnsi" w:eastAsia="Times New Roman" w:hAnsiTheme="minorHAnsi" w:cstheme="minorHAnsi"/>
                <w:color w:val="000000"/>
              </w:rPr>
              <w:t>)</w:t>
            </w:r>
          </w:p>
        </w:tc>
        <w:tc>
          <w:tcPr>
            <w:tcW w:w="1709" w:type="dxa"/>
            <w:gridSpan w:val="2"/>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17,5 (4,9)</w:t>
            </w:r>
          </w:p>
        </w:tc>
        <w:tc>
          <w:tcPr>
            <w:tcW w:w="1709" w:type="dxa"/>
            <w:gridSpan w:val="2"/>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18,7 (1,5)</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0,709</w:t>
            </w:r>
            <w:r w:rsidRPr="00872FD2">
              <w:rPr>
                <w:rFonts w:asciiTheme="minorHAnsi" w:eastAsia="Times New Roman" w:hAnsiTheme="minorHAnsi" w:cstheme="minorHAnsi"/>
                <w:color w:val="000000"/>
                <w:vertAlign w:val="superscript"/>
              </w:rPr>
              <w:t>‡</w:t>
            </w:r>
          </w:p>
        </w:tc>
      </w:tr>
      <w:tr w:rsidR="007E28F2" w:rsidRPr="00872FD2" w:rsidTr="00012754">
        <w:trPr>
          <w:cnfStyle w:val="000000010000"/>
          <w:trHeight w:val="285"/>
        </w:trPr>
        <w:tc>
          <w:tcPr>
            <w:tcW w:w="5382" w:type="dxa"/>
            <w:gridSpan w:val="2"/>
            <w:hideMark/>
          </w:tcPr>
          <w:p w:rsidR="007E28F2" w:rsidRPr="00872FD2" w:rsidRDefault="007E28F2" w:rsidP="00872FD2">
            <w:pPr>
              <w:spacing w:after="0" w:line="360" w:lineRule="auto"/>
              <w:rPr>
                <w:rFonts w:asciiTheme="minorHAnsi" w:eastAsia="Times New Roman" w:hAnsiTheme="minorHAnsi" w:cstheme="minorHAnsi"/>
                <w:b/>
                <w:bCs/>
                <w:color w:val="000000"/>
              </w:rPr>
            </w:pPr>
            <w:r w:rsidRPr="00872FD2">
              <w:rPr>
                <w:rFonts w:asciiTheme="minorHAnsi" w:eastAsia="Times New Roman" w:hAnsiTheme="minorHAnsi" w:cstheme="minorHAnsi"/>
                <w:color w:val="000000"/>
              </w:rPr>
              <w:t>Έτη που κράτησε η μεταμόσχευση, μέση τιμή (</w:t>
            </w:r>
            <w:r w:rsidR="00D225F5" w:rsidRPr="00872FD2">
              <w:rPr>
                <w:rFonts w:asciiTheme="minorHAnsi" w:eastAsia="Times New Roman" w:hAnsiTheme="minorHAnsi" w:cstheme="minorHAnsi"/>
                <w:color w:val="000000"/>
              </w:rPr>
              <w:t>ΤΑ</w:t>
            </w:r>
            <w:r w:rsidRPr="00872FD2">
              <w:rPr>
                <w:rFonts w:asciiTheme="minorHAnsi" w:eastAsia="Times New Roman" w:hAnsiTheme="minorHAnsi" w:cstheme="minorHAnsi"/>
                <w:color w:val="000000"/>
              </w:rPr>
              <w:t>)</w:t>
            </w:r>
          </w:p>
        </w:tc>
        <w:tc>
          <w:tcPr>
            <w:tcW w:w="1709" w:type="dxa"/>
            <w:gridSpan w:val="2"/>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4,7 (4,0)</w:t>
            </w:r>
          </w:p>
        </w:tc>
        <w:tc>
          <w:tcPr>
            <w:tcW w:w="1709" w:type="dxa"/>
            <w:gridSpan w:val="2"/>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8,0 (5,6)</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0,449</w:t>
            </w:r>
            <w:r w:rsidRPr="00872FD2">
              <w:rPr>
                <w:rFonts w:asciiTheme="minorHAnsi" w:eastAsia="Times New Roman" w:hAnsiTheme="minorHAnsi" w:cstheme="minorHAnsi"/>
                <w:color w:val="000000"/>
                <w:vertAlign w:val="superscript"/>
              </w:rPr>
              <w:t>‡</w:t>
            </w:r>
          </w:p>
        </w:tc>
      </w:tr>
      <w:tr w:rsidR="007E28F2" w:rsidRPr="00872FD2" w:rsidTr="00012754">
        <w:trPr>
          <w:cnfStyle w:val="000000100000"/>
          <w:trHeight w:val="285"/>
        </w:trPr>
        <w:tc>
          <w:tcPr>
            <w:tcW w:w="5382" w:type="dxa"/>
            <w:gridSpan w:val="2"/>
            <w:hideMark/>
          </w:tcPr>
          <w:p w:rsidR="007E28F2" w:rsidRPr="00872FD2" w:rsidRDefault="007E28F2" w:rsidP="00872FD2">
            <w:pPr>
              <w:spacing w:after="0" w:line="360" w:lineRule="auto"/>
              <w:rPr>
                <w:rFonts w:asciiTheme="minorHAnsi" w:eastAsia="Times New Roman" w:hAnsiTheme="minorHAnsi" w:cstheme="minorHAnsi"/>
                <w:b/>
                <w:bCs/>
                <w:color w:val="000000"/>
              </w:rPr>
            </w:pPr>
            <w:r w:rsidRPr="00872FD2">
              <w:rPr>
                <w:rFonts w:asciiTheme="minorHAnsi" w:eastAsia="Times New Roman" w:hAnsiTheme="minorHAnsi" w:cstheme="minorHAnsi"/>
                <w:color w:val="000000"/>
              </w:rPr>
              <w:t xml:space="preserve">Ημερήσιος αριθμός </w:t>
            </w:r>
            <w:r w:rsidR="00B0098B">
              <w:rPr>
                <w:rFonts w:asciiTheme="minorHAnsi" w:eastAsia="Times New Roman" w:hAnsiTheme="minorHAnsi" w:cstheme="minorHAnsi"/>
                <w:color w:val="000000"/>
              </w:rPr>
              <w:t>δισκίων</w:t>
            </w:r>
            <w:r w:rsidRPr="00872FD2">
              <w:rPr>
                <w:rFonts w:asciiTheme="minorHAnsi" w:eastAsia="Times New Roman" w:hAnsiTheme="minorHAnsi" w:cstheme="minorHAnsi"/>
                <w:color w:val="000000"/>
              </w:rPr>
              <w:t>, μέση τιμή (</w:t>
            </w:r>
            <w:r w:rsidR="00D225F5" w:rsidRPr="00872FD2">
              <w:rPr>
                <w:rFonts w:asciiTheme="minorHAnsi" w:eastAsia="Times New Roman" w:hAnsiTheme="minorHAnsi" w:cstheme="minorHAnsi"/>
                <w:color w:val="000000"/>
              </w:rPr>
              <w:t>ΤΑ</w:t>
            </w:r>
            <w:r w:rsidRPr="00872FD2">
              <w:rPr>
                <w:rFonts w:asciiTheme="minorHAnsi" w:eastAsia="Times New Roman" w:hAnsiTheme="minorHAnsi" w:cstheme="minorHAnsi"/>
                <w:color w:val="000000"/>
              </w:rPr>
              <w:t>)</w:t>
            </w:r>
          </w:p>
        </w:tc>
        <w:tc>
          <w:tcPr>
            <w:tcW w:w="1709" w:type="dxa"/>
            <w:gridSpan w:val="2"/>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7,2 (4,7)</w:t>
            </w:r>
          </w:p>
        </w:tc>
        <w:tc>
          <w:tcPr>
            <w:tcW w:w="1709" w:type="dxa"/>
            <w:gridSpan w:val="2"/>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8,9 (3,7)</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0,150</w:t>
            </w:r>
            <w:r w:rsidRPr="00872FD2">
              <w:rPr>
                <w:rFonts w:asciiTheme="minorHAnsi" w:eastAsia="Times New Roman" w:hAnsiTheme="minorHAnsi" w:cstheme="minorHAnsi"/>
                <w:color w:val="000000"/>
                <w:vertAlign w:val="superscript"/>
              </w:rPr>
              <w:t>‡</w:t>
            </w:r>
          </w:p>
        </w:tc>
      </w:tr>
      <w:tr w:rsidR="007E28F2" w:rsidRPr="00872FD2" w:rsidTr="00012754">
        <w:trPr>
          <w:cnfStyle w:val="000000010000"/>
          <w:trHeight w:val="285"/>
        </w:trPr>
        <w:tc>
          <w:tcPr>
            <w:tcW w:w="3182" w:type="dxa"/>
            <w:vMerge w:val="restart"/>
            <w:hideMark/>
          </w:tcPr>
          <w:p w:rsidR="007E28F2" w:rsidRPr="005C6ABA" w:rsidRDefault="007E28F2" w:rsidP="00872FD2">
            <w:pPr>
              <w:spacing w:after="0" w:line="360" w:lineRule="auto"/>
              <w:rPr>
                <w:rFonts w:asciiTheme="minorHAnsi" w:eastAsia="Times New Roman" w:hAnsiTheme="minorHAnsi" w:cstheme="minorHAnsi"/>
                <w:bCs/>
                <w:color w:val="000000"/>
              </w:rPr>
            </w:pPr>
            <w:r w:rsidRPr="005C6ABA">
              <w:rPr>
                <w:rFonts w:asciiTheme="minorHAnsi" w:eastAsia="Times New Roman" w:hAnsiTheme="minorHAnsi" w:cstheme="minorHAnsi"/>
                <w:color w:val="000000"/>
              </w:rPr>
              <w:t>Κάνετε αιμοκάθαρση από φίστουλα, μόσχευμα, καθετήρα;</w:t>
            </w:r>
          </w:p>
        </w:tc>
        <w:tc>
          <w:tcPr>
            <w:tcW w:w="2200" w:type="dxa"/>
            <w:hideMark/>
          </w:tcPr>
          <w:p w:rsidR="007E28F2" w:rsidRPr="00872FD2" w:rsidRDefault="00394B30"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Φ</w:t>
            </w:r>
            <w:r w:rsidR="007E28F2" w:rsidRPr="00872FD2">
              <w:rPr>
                <w:rFonts w:asciiTheme="minorHAnsi" w:eastAsia="Times New Roman" w:hAnsiTheme="minorHAnsi" w:cstheme="minorHAnsi"/>
                <w:color w:val="000000"/>
              </w:rPr>
              <w:t>ίστουλα</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15</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60,0</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21</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84,0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0,047</w:t>
            </w:r>
            <w:r w:rsidRPr="00872FD2">
              <w:rPr>
                <w:rFonts w:asciiTheme="minorHAnsi" w:eastAsia="Times New Roman" w:hAnsiTheme="minorHAnsi" w:cstheme="minorHAnsi"/>
                <w:b/>
                <w:bCs/>
                <w:color w:val="000000"/>
                <w:vertAlign w:val="superscript"/>
              </w:rPr>
              <w:t>++</w:t>
            </w:r>
          </w:p>
        </w:tc>
      </w:tr>
      <w:tr w:rsidR="007E28F2" w:rsidRPr="00872FD2" w:rsidTr="00012754">
        <w:trPr>
          <w:cnfStyle w:val="000000100000"/>
          <w:trHeight w:val="285"/>
        </w:trPr>
        <w:tc>
          <w:tcPr>
            <w:tcW w:w="3182" w:type="dxa"/>
            <w:vMerge/>
            <w:hideMark/>
          </w:tcPr>
          <w:p w:rsidR="007E28F2" w:rsidRPr="00872FD2" w:rsidRDefault="007E28F2" w:rsidP="00872FD2">
            <w:pPr>
              <w:spacing w:after="0" w:line="360" w:lineRule="auto"/>
              <w:rPr>
                <w:rFonts w:asciiTheme="minorHAnsi" w:eastAsia="Times New Roman" w:hAnsiTheme="minorHAnsi" w:cstheme="minorHAnsi"/>
                <w:b/>
                <w:bCs/>
                <w:color w:val="000000"/>
              </w:rPr>
            </w:pPr>
          </w:p>
        </w:tc>
        <w:tc>
          <w:tcPr>
            <w:tcW w:w="2200" w:type="dxa"/>
            <w:hideMark/>
          </w:tcPr>
          <w:p w:rsidR="007E28F2" w:rsidRPr="00872FD2" w:rsidRDefault="00394B30"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Μ</w:t>
            </w:r>
            <w:r w:rsidR="007E28F2" w:rsidRPr="00872FD2">
              <w:rPr>
                <w:rFonts w:asciiTheme="minorHAnsi" w:eastAsia="Times New Roman" w:hAnsiTheme="minorHAnsi" w:cstheme="minorHAnsi"/>
                <w:color w:val="000000"/>
              </w:rPr>
              <w:t>όσχευμα</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4,0</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2</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8,0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r>
      <w:tr w:rsidR="007E28F2" w:rsidRPr="00872FD2" w:rsidTr="00012754">
        <w:trPr>
          <w:cnfStyle w:val="000000010000"/>
          <w:trHeight w:val="285"/>
        </w:trPr>
        <w:tc>
          <w:tcPr>
            <w:tcW w:w="3182" w:type="dxa"/>
            <w:vMerge/>
            <w:hideMark/>
          </w:tcPr>
          <w:p w:rsidR="007E28F2" w:rsidRPr="00872FD2" w:rsidRDefault="007E28F2" w:rsidP="00872FD2">
            <w:pPr>
              <w:spacing w:after="0" w:line="360" w:lineRule="auto"/>
              <w:rPr>
                <w:rFonts w:asciiTheme="minorHAnsi" w:eastAsia="Times New Roman" w:hAnsiTheme="minorHAnsi" w:cstheme="minorHAnsi"/>
                <w:b/>
                <w:bCs/>
                <w:color w:val="000000"/>
              </w:rPr>
            </w:pPr>
          </w:p>
        </w:tc>
        <w:tc>
          <w:tcPr>
            <w:tcW w:w="2200" w:type="dxa"/>
            <w:hideMark/>
          </w:tcPr>
          <w:p w:rsidR="007E28F2" w:rsidRPr="00872FD2" w:rsidRDefault="00394B30"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Κ</w:t>
            </w:r>
            <w:r w:rsidR="007E28F2" w:rsidRPr="00872FD2">
              <w:rPr>
                <w:rFonts w:asciiTheme="minorHAnsi" w:eastAsia="Times New Roman" w:hAnsiTheme="minorHAnsi" w:cstheme="minorHAnsi"/>
                <w:color w:val="000000"/>
              </w:rPr>
              <w:t>αθετήρα</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9</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36,0</w:t>
            </w:r>
          </w:p>
        </w:tc>
        <w:tc>
          <w:tcPr>
            <w:tcW w:w="915"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2</w:t>
            </w:r>
          </w:p>
        </w:tc>
        <w:tc>
          <w:tcPr>
            <w:tcW w:w="79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8,0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r>
      <w:tr w:rsidR="00C2256D" w:rsidRPr="00D842D4" w:rsidTr="00651B46">
        <w:trPr>
          <w:cnfStyle w:val="000000100000"/>
          <w:trHeight w:val="285"/>
        </w:trPr>
        <w:tc>
          <w:tcPr>
            <w:tcW w:w="9760" w:type="dxa"/>
            <w:gridSpan w:val="7"/>
            <w:hideMark/>
          </w:tcPr>
          <w:p w:rsidR="00C2256D" w:rsidRPr="00A562F3" w:rsidRDefault="00C2256D" w:rsidP="00C2256D">
            <w:pPr>
              <w:pStyle w:val="nouk"/>
              <w:contextualSpacing/>
              <w:rPr>
                <w:i/>
                <w:sz w:val="20"/>
                <w:szCs w:val="20"/>
                <w:lang w:val="en-US"/>
              </w:rPr>
            </w:pPr>
            <w:r w:rsidRPr="009D18C6">
              <w:rPr>
                <w:i/>
                <w:sz w:val="20"/>
                <w:szCs w:val="20"/>
                <w:vertAlign w:val="superscript"/>
                <w:lang w:val="en-US"/>
              </w:rPr>
              <w:t>‡</w:t>
            </w:r>
            <w:r w:rsidRPr="009D18C6">
              <w:rPr>
                <w:i/>
                <w:sz w:val="20"/>
                <w:szCs w:val="20"/>
                <w:lang w:val="en-US"/>
              </w:rPr>
              <w:t>Student's t-test</w:t>
            </w:r>
            <w:r w:rsidR="00A562F3" w:rsidRPr="00A562F3">
              <w:rPr>
                <w:i/>
                <w:sz w:val="20"/>
                <w:szCs w:val="20"/>
                <w:lang w:val="en-US"/>
              </w:rPr>
              <w:t>,</w:t>
            </w:r>
            <w:r w:rsidRPr="00A562F3">
              <w:rPr>
                <w:i/>
                <w:sz w:val="20"/>
                <w:szCs w:val="20"/>
                <w:lang w:val="en-US"/>
              </w:rPr>
              <w:t xml:space="preserve"> </w:t>
            </w:r>
            <w:r w:rsidRPr="00A562F3">
              <w:rPr>
                <w:i/>
                <w:sz w:val="20"/>
                <w:szCs w:val="20"/>
                <w:vertAlign w:val="superscript"/>
                <w:lang w:val="en-US"/>
              </w:rPr>
              <w:t>+</w:t>
            </w:r>
            <w:r w:rsidRPr="009D18C6">
              <w:rPr>
                <w:i/>
                <w:sz w:val="20"/>
                <w:szCs w:val="20"/>
                <w:lang w:val="en-US"/>
              </w:rPr>
              <w:t>Pearson</w:t>
            </w:r>
            <w:r w:rsidRPr="00A562F3">
              <w:rPr>
                <w:i/>
                <w:sz w:val="20"/>
                <w:szCs w:val="20"/>
                <w:lang w:val="en-US"/>
              </w:rPr>
              <w:t>'</w:t>
            </w:r>
            <w:r w:rsidRPr="009D18C6">
              <w:rPr>
                <w:i/>
                <w:sz w:val="20"/>
                <w:szCs w:val="20"/>
                <w:lang w:val="en-US"/>
              </w:rPr>
              <w:t>s</w:t>
            </w:r>
            <w:r w:rsidRPr="00A562F3">
              <w:rPr>
                <w:i/>
                <w:sz w:val="20"/>
                <w:szCs w:val="20"/>
                <w:lang w:val="en-US"/>
              </w:rPr>
              <w:t xml:space="preserve"> </w:t>
            </w:r>
            <w:r w:rsidRPr="009D18C6">
              <w:rPr>
                <w:i/>
                <w:sz w:val="20"/>
                <w:szCs w:val="20"/>
                <w:lang w:val="en-US"/>
              </w:rPr>
              <w:t>x</w:t>
            </w:r>
            <w:r w:rsidRPr="00A562F3">
              <w:rPr>
                <w:i/>
                <w:sz w:val="20"/>
                <w:szCs w:val="20"/>
                <w:lang w:val="en-US"/>
              </w:rPr>
              <w:t xml:space="preserve">2 </w:t>
            </w:r>
            <w:r w:rsidRPr="009D18C6">
              <w:rPr>
                <w:i/>
                <w:sz w:val="20"/>
                <w:szCs w:val="20"/>
                <w:lang w:val="en-US"/>
              </w:rPr>
              <w:t>test</w:t>
            </w:r>
            <w:r w:rsidR="00A562F3" w:rsidRPr="00A562F3">
              <w:rPr>
                <w:i/>
                <w:sz w:val="20"/>
                <w:szCs w:val="20"/>
                <w:lang w:val="en-US"/>
              </w:rPr>
              <w:t>,</w:t>
            </w:r>
            <w:r w:rsidRPr="00A562F3">
              <w:rPr>
                <w:i/>
                <w:sz w:val="20"/>
                <w:szCs w:val="20"/>
                <w:lang w:val="en-US"/>
              </w:rPr>
              <w:t xml:space="preserve"> </w:t>
            </w:r>
            <w:r w:rsidRPr="00A562F3">
              <w:rPr>
                <w:i/>
                <w:sz w:val="20"/>
                <w:szCs w:val="20"/>
                <w:vertAlign w:val="superscript"/>
                <w:lang w:val="en-US"/>
              </w:rPr>
              <w:t>++</w:t>
            </w:r>
            <w:r w:rsidRPr="009D18C6">
              <w:rPr>
                <w:i/>
                <w:sz w:val="20"/>
                <w:szCs w:val="20"/>
                <w:lang w:val="en-US"/>
              </w:rPr>
              <w:t>Fisher</w:t>
            </w:r>
            <w:r w:rsidRPr="00A562F3">
              <w:rPr>
                <w:i/>
                <w:sz w:val="20"/>
                <w:szCs w:val="20"/>
                <w:lang w:val="en-US"/>
              </w:rPr>
              <w:t>'</w:t>
            </w:r>
            <w:r w:rsidRPr="009D18C6">
              <w:rPr>
                <w:i/>
                <w:sz w:val="20"/>
                <w:szCs w:val="20"/>
                <w:lang w:val="en-US"/>
              </w:rPr>
              <w:t>s</w:t>
            </w:r>
            <w:r w:rsidRPr="00A562F3">
              <w:rPr>
                <w:i/>
                <w:sz w:val="20"/>
                <w:szCs w:val="20"/>
                <w:lang w:val="en-US"/>
              </w:rPr>
              <w:t xml:space="preserve"> </w:t>
            </w:r>
            <w:r w:rsidRPr="009D18C6">
              <w:rPr>
                <w:i/>
                <w:sz w:val="20"/>
                <w:szCs w:val="20"/>
                <w:lang w:val="en-US"/>
              </w:rPr>
              <w:t>exact</w:t>
            </w:r>
            <w:r w:rsidRPr="00A562F3">
              <w:rPr>
                <w:i/>
                <w:sz w:val="20"/>
                <w:szCs w:val="20"/>
                <w:lang w:val="en-US"/>
              </w:rPr>
              <w:t xml:space="preserve"> </w:t>
            </w:r>
            <w:r w:rsidRPr="009D18C6">
              <w:rPr>
                <w:i/>
                <w:sz w:val="20"/>
                <w:szCs w:val="20"/>
                <w:lang w:val="en-US"/>
              </w:rPr>
              <w:t>test</w:t>
            </w:r>
            <w:r w:rsidR="00A562F3" w:rsidRPr="00A562F3">
              <w:rPr>
                <w:i/>
                <w:sz w:val="20"/>
                <w:szCs w:val="20"/>
                <w:lang w:val="en-US"/>
              </w:rPr>
              <w:t>,</w:t>
            </w:r>
            <w:r w:rsidRPr="00A562F3">
              <w:rPr>
                <w:i/>
                <w:sz w:val="20"/>
                <w:szCs w:val="20"/>
                <w:lang w:val="en-US"/>
              </w:rPr>
              <w:t xml:space="preserve"> *</w:t>
            </w:r>
            <w:r w:rsidRPr="00A562F3">
              <w:rPr>
                <w:i/>
                <w:sz w:val="20"/>
                <w:szCs w:val="20"/>
              </w:rPr>
              <w:t>δεν</w:t>
            </w:r>
            <w:r w:rsidRPr="00A562F3">
              <w:rPr>
                <w:i/>
                <w:sz w:val="20"/>
                <w:szCs w:val="20"/>
                <w:lang w:val="en-US"/>
              </w:rPr>
              <w:t xml:space="preserve"> </w:t>
            </w:r>
            <w:r w:rsidRPr="00A562F3">
              <w:rPr>
                <w:i/>
                <w:sz w:val="20"/>
                <w:szCs w:val="20"/>
              </w:rPr>
              <w:t>υπολογίστηκε</w:t>
            </w:r>
            <w:r w:rsidRPr="00A562F3">
              <w:rPr>
                <w:i/>
                <w:sz w:val="20"/>
                <w:szCs w:val="20"/>
                <w:lang w:val="en-US"/>
              </w:rPr>
              <w:t xml:space="preserve"> </w:t>
            </w:r>
            <w:r w:rsidRPr="00A562F3">
              <w:rPr>
                <w:i/>
                <w:sz w:val="20"/>
                <w:szCs w:val="20"/>
              </w:rPr>
              <w:t>λόγω</w:t>
            </w:r>
            <w:r w:rsidRPr="00A562F3">
              <w:rPr>
                <w:i/>
                <w:sz w:val="20"/>
                <w:szCs w:val="20"/>
                <w:lang w:val="en-US"/>
              </w:rPr>
              <w:t xml:space="preserve"> </w:t>
            </w:r>
            <w:r w:rsidRPr="00A562F3">
              <w:rPr>
                <w:i/>
                <w:sz w:val="20"/>
                <w:szCs w:val="20"/>
              </w:rPr>
              <w:t>μη</w:t>
            </w:r>
            <w:r w:rsidRPr="00A562F3">
              <w:rPr>
                <w:i/>
                <w:sz w:val="20"/>
                <w:szCs w:val="20"/>
                <w:lang w:val="en-US"/>
              </w:rPr>
              <w:t xml:space="preserve"> </w:t>
            </w:r>
            <w:r w:rsidRPr="00A562F3">
              <w:rPr>
                <w:i/>
                <w:sz w:val="20"/>
                <w:szCs w:val="20"/>
              </w:rPr>
              <w:t>ύπαρξης</w:t>
            </w:r>
            <w:r w:rsidRPr="00A562F3">
              <w:rPr>
                <w:i/>
                <w:sz w:val="20"/>
                <w:szCs w:val="20"/>
                <w:lang w:val="en-US"/>
              </w:rPr>
              <w:t xml:space="preserve"> </w:t>
            </w:r>
            <w:r w:rsidRPr="00A562F3">
              <w:rPr>
                <w:i/>
                <w:sz w:val="20"/>
                <w:szCs w:val="20"/>
              </w:rPr>
              <w:t>κατανομής</w:t>
            </w:r>
          </w:p>
        </w:tc>
      </w:tr>
    </w:tbl>
    <w:p w:rsidR="007E28F2" w:rsidRPr="00A562F3" w:rsidRDefault="007E28F2" w:rsidP="005A464E">
      <w:pPr>
        <w:pStyle w:val="nouk"/>
        <w:rPr>
          <w:lang w:val="en-US"/>
        </w:rPr>
      </w:pPr>
    </w:p>
    <w:p w:rsidR="007E28F2" w:rsidRPr="005A464E" w:rsidRDefault="007E28F2" w:rsidP="005A464E">
      <w:pPr>
        <w:pStyle w:val="nouk"/>
      </w:pPr>
      <w:r w:rsidRPr="005A464E">
        <w:t>Ο μέσος χρόνος από τη διάγνωση ΧΝΝ ήταν 13,3 έτη (</w:t>
      </w:r>
      <w:r w:rsidR="00D225F5" w:rsidRPr="005A464E">
        <w:t>ΤΑ</w:t>
      </w:r>
      <w:r w:rsidRPr="005A464E">
        <w:t>=9,7 έτη) για την ομάδα ελέγχου και 8,8 έτη (</w:t>
      </w:r>
      <w:r w:rsidR="00D225F5" w:rsidRPr="005A464E">
        <w:t>ΤΑ</w:t>
      </w:r>
      <w:r w:rsidRPr="005A464E">
        <w:t xml:space="preserve">=7,6 έτη) για την ομάδα παρέμβασης. Το ποσοστό των ατόμων με υπέρταση και με </w:t>
      </w:r>
      <w:r w:rsidR="0095691A">
        <w:t>Σακχαρώδη Διαβήτη</w:t>
      </w:r>
      <w:r w:rsidRPr="005A464E">
        <w:t xml:space="preserve"> ήταν σημαντικά υψηλότερο στην ομάδα παρέμβασης σε σύγκριση με της ομάδας ελέγχου. Η πλειοψηφία των συμμετεχόντων και των </w:t>
      </w:r>
      <w:r w:rsidR="00D8735E">
        <w:t>2</w:t>
      </w:r>
      <w:r w:rsidRPr="005A464E">
        <w:t xml:space="preserve"> ομάδων πήγαιναν στη μονάδα με ΙΧ με τα ποσοστά να είναι 52,0% για την ομάδα ελέγχου και 76,0% για την ομάδα παρέμβασης. Επίσης, το 8,0% των ατόμων της ομάδας ελέγχου και το 4,0% της ομάδας παρέμβασης είχαν κάνει ΠΚ, ενώ το 12,0% και από τις </w:t>
      </w:r>
      <w:r w:rsidR="00D8735E">
        <w:t>2</w:t>
      </w:r>
      <w:r w:rsidRPr="005A464E">
        <w:t xml:space="preserve"> ομάδες είχε κάνει μεταμόσχευση. Το 36,0% των ατόμων της ομάδας ελέγχου έκανε αιμοκάθαρση με καθετήρα ενώ το αντίστοιχο ποσοστό της ομάδας παρέμβασης ήταν σημαντικά χαμηλότερο και ίσο με 8,0%. </w:t>
      </w:r>
    </w:p>
    <w:p w:rsidR="007E28F2" w:rsidRPr="005A464E" w:rsidRDefault="007E28F2" w:rsidP="005A464E">
      <w:pPr>
        <w:pStyle w:val="nouk"/>
      </w:pPr>
    </w:p>
    <w:p w:rsidR="007E28F2" w:rsidRPr="004766A7" w:rsidRDefault="001E4917" w:rsidP="005A464E">
      <w:pPr>
        <w:spacing w:line="360" w:lineRule="auto"/>
        <w:rPr>
          <w:rFonts w:cstheme="minorHAnsi"/>
          <w:sz w:val="24"/>
          <w:szCs w:val="24"/>
        </w:rPr>
      </w:pPr>
      <w:r w:rsidRPr="004766A7">
        <w:rPr>
          <w:b/>
          <w:sz w:val="24"/>
          <w:szCs w:val="24"/>
        </w:rPr>
        <w:t>Κλίμακα γνώσεων (</w:t>
      </w:r>
      <w:r w:rsidRPr="004766A7">
        <w:rPr>
          <w:b/>
          <w:sz w:val="24"/>
          <w:szCs w:val="24"/>
          <w:lang w:val="en-US"/>
        </w:rPr>
        <w:t>KDQ</w:t>
      </w:r>
      <w:r w:rsidRPr="004766A7">
        <w:rPr>
          <w:b/>
          <w:sz w:val="24"/>
          <w:szCs w:val="24"/>
        </w:rPr>
        <w:t>)</w:t>
      </w:r>
    </w:p>
    <w:p w:rsidR="007E28F2" w:rsidRDefault="007E28F2" w:rsidP="005A464E">
      <w:pPr>
        <w:pStyle w:val="nouk"/>
      </w:pPr>
      <w:r w:rsidRPr="005A464E">
        <w:t xml:space="preserve">Στον πίνακα που ακολουθεί </w:t>
      </w:r>
      <w:r w:rsidR="00F6061C">
        <w:t>(Πίν 12</w:t>
      </w:r>
      <w:r w:rsidR="00EF17F5">
        <w:t xml:space="preserve">) </w:t>
      </w:r>
      <w:r w:rsidRPr="005A464E">
        <w:t xml:space="preserve">δίνονται τα ποσοστά των σωστών απαντήσεων των συμμετεχόντων πριν και μετά την παρέμβαση, χωριστά σε κάθε ομάδα. </w:t>
      </w:r>
    </w:p>
    <w:p w:rsidR="00012754" w:rsidRDefault="00012754" w:rsidP="005A464E">
      <w:pPr>
        <w:pStyle w:val="nouk"/>
      </w:pPr>
    </w:p>
    <w:p w:rsidR="00012754" w:rsidRPr="00012754" w:rsidRDefault="00F6061C" w:rsidP="00012754">
      <w:pPr>
        <w:pStyle w:val="nouk"/>
        <w:rPr>
          <w:rFonts w:asciiTheme="minorHAnsi" w:eastAsiaTheme="minorHAnsi" w:hAnsiTheme="minorHAnsi" w:cstheme="minorHAnsi"/>
          <w:bCs/>
          <w:color w:val="000000"/>
        </w:rPr>
      </w:pPr>
      <w:r>
        <w:rPr>
          <w:rFonts w:asciiTheme="minorHAnsi" w:eastAsiaTheme="minorHAnsi" w:hAnsiTheme="minorHAnsi" w:cstheme="minorHAnsi"/>
          <w:bCs/>
          <w:color w:val="000000"/>
        </w:rPr>
        <w:t>Πίνακας 12</w:t>
      </w:r>
    </w:p>
    <w:p w:rsidR="006D13A7" w:rsidRPr="00012754" w:rsidRDefault="00012754" w:rsidP="005A464E">
      <w:pPr>
        <w:pStyle w:val="nouk"/>
      </w:pPr>
      <w:r w:rsidRPr="008847F1">
        <w:rPr>
          <w:rFonts w:asciiTheme="minorHAnsi" w:eastAsiaTheme="minorHAnsi" w:hAnsiTheme="minorHAnsi" w:cstheme="minorHAnsi"/>
          <w:bCs/>
          <w:i/>
          <w:color w:val="000000"/>
        </w:rPr>
        <w:t>Συχνότητες των σωστών απαντήσεων των συμμετεχόντων πριν και μετά την παρέμβαση, χωριστά σε κάθε ομάδα</w:t>
      </w:r>
    </w:p>
    <w:tbl>
      <w:tblPr>
        <w:tblStyle w:val="-41"/>
        <w:tblW w:w="10970" w:type="dxa"/>
        <w:jc w:val="center"/>
        <w:tblLook w:val="0480"/>
      </w:tblPr>
      <w:tblGrid>
        <w:gridCol w:w="7130"/>
        <w:gridCol w:w="960"/>
        <w:gridCol w:w="960"/>
        <w:gridCol w:w="960"/>
        <w:gridCol w:w="960"/>
      </w:tblGrid>
      <w:tr w:rsidR="007E28F2" w:rsidRPr="00872FD2" w:rsidTr="00C2256D">
        <w:trPr>
          <w:cnfStyle w:val="000000100000"/>
          <w:trHeight w:val="375"/>
          <w:jc w:val="center"/>
        </w:trPr>
        <w:tc>
          <w:tcPr>
            <w:cnfStyle w:val="001000000000"/>
            <w:tcW w:w="7130" w:type="dxa"/>
            <w:vMerge w:val="restart"/>
            <w:noWrap/>
            <w:hideMark/>
          </w:tcPr>
          <w:p w:rsidR="007E28F2" w:rsidRPr="00872FD2" w:rsidRDefault="007E28F2" w:rsidP="00872FD2">
            <w:pPr>
              <w:spacing w:after="0" w:line="360" w:lineRule="auto"/>
              <w:jc w:val="center"/>
              <w:rPr>
                <w:rFonts w:asciiTheme="minorHAnsi" w:eastAsia="Times New Roman" w:hAnsiTheme="minorHAnsi" w:cstheme="minorHAnsi"/>
                <w:b w:val="0"/>
                <w:bCs w:val="0"/>
                <w:color w:val="000000"/>
              </w:rPr>
            </w:pPr>
            <w:r w:rsidRPr="00872FD2">
              <w:rPr>
                <w:rFonts w:asciiTheme="minorHAnsi" w:eastAsia="Times New Roman" w:hAnsiTheme="minorHAnsi" w:cstheme="minorHAnsi"/>
                <w:b w:val="0"/>
                <w:color w:val="000000"/>
              </w:rPr>
              <w:t> </w:t>
            </w:r>
          </w:p>
        </w:tc>
        <w:tc>
          <w:tcPr>
            <w:tcW w:w="1920" w:type="dxa"/>
            <w:gridSpan w:val="2"/>
            <w:hideMark/>
          </w:tcPr>
          <w:p w:rsidR="007E28F2" w:rsidRPr="00872FD2" w:rsidRDefault="007E28F2" w:rsidP="00872FD2">
            <w:pPr>
              <w:spacing w:after="0" w:line="360" w:lineRule="auto"/>
              <w:jc w:val="center"/>
              <w:cnfStyle w:val="000000100000"/>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Ομάδα Ελέγχου</w:t>
            </w:r>
          </w:p>
        </w:tc>
        <w:tc>
          <w:tcPr>
            <w:tcW w:w="1920" w:type="dxa"/>
            <w:gridSpan w:val="2"/>
            <w:hideMark/>
          </w:tcPr>
          <w:p w:rsidR="007E28F2" w:rsidRPr="00872FD2" w:rsidRDefault="007E28F2" w:rsidP="00872FD2">
            <w:pPr>
              <w:spacing w:after="0" w:line="360" w:lineRule="auto"/>
              <w:jc w:val="center"/>
              <w:cnfStyle w:val="000000100000"/>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Ομάδα Παρέμβασης</w:t>
            </w:r>
          </w:p>
        </w:tc>
      </w:tr>
      <w:tr w:rsidR="007E28F2" w:rsidRPr="00872FD2" w:rsidTr="00C2256D">
        <w:trPr>
          <w:cnfStyle w:val="000000010000"/>
          <w:trHeight w:val="375"/>
          <w:jc w:val="center"/>
        </w:trPr>
        <w:tc>
          <w:tcPr>
            <w:cnfStyle w:val="001000000000"/>
            <w:tcW w:w="7130" w:type="dxa"/>
            <w:vMerge/>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p>
        </w:tc>
        <w:tc>
          <w:tcPr>
            <w:tcW w:w="960" w:type="dxa"/>
            <w:hideMark/>
          </w:tcPr>
          <w:p w:rsidR="007E28F2" w:rsidRPr="00872FD2" w:rsidRDefault="007E28F2" w:rsidP="00872FD2">
            <w:pPr>
              <w:spacing w:after="0" w:line="360" w:lineRule="auto"/>
              <w:jc w:val="center"/>
              <w:cnfStyle w:val="000000010000"/>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Πριν</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Μετά</w:t>
            </w:r>
          </w:p>
        </w:tc>
        <w:tc>
          <w:tcPr>
            <w:tcW w:w="960" w:type="dxa"/>
            <w:hideMark/>
          </w:tcPr>
          <w:p w:rsidR="007E28F2" w:rsidRPr="00872FD2" w:rsidRDefault="007E28F2" w:rsidP="00872FD2">
            <w:pPr>
              <w:spacing w:after="0" w:line="360" w:lineRule="auto"/>
              <w:jc w:val="center"/>
              <w:cnfStyle w:val="000000010000"/>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Πριν</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Μετά</w:t>
            </w:r>
          </w:p>
        </w:tc>
      </w:tr>
      <w:tr w:rsidR="007E28F2" w:rsidRPr="00872FD2" w:rsidTr="00C2256D">
        <w:trPr>
          <w:cnfStyle w:val="000000100000"/>
          <w:trHeight w:val="375"/>
          <w:jc w:val="center"/>
        </w:trPr>
        <w:tc>
          <w:tcPr>
            <w:cnfStyle w:val="001000000000"/>
            <w:tcW w:w="7130" w:type="dxa"/>
            <w:vMerge/>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p>
        </w:tc>
        <w:tc>
          <w:tcPr>
            <w:tcW w:w="960" w:type="dxa"/>
            <w:hideMark/>
          </w:tcPr>
          <w:p w:rsidR="007E28F2" w:rsidRPr="00872FD2" w:rsidRDefault="007E28F2" w:rsidP="00872FD2">
            <w:pPr>
              <w:spacing w:after="0" w:line="360" w:lineRule="auto"/>
              <w:jc w:val="center"/>
              <w:cnfStyle w:val="000000100000"/>
              <w:rPr>
                <w:rFonts w:asciiTheme="minorHAnsi" w:eastAsia="Times New Roman" w:hAnsiTheme="minorHAnsi" w:cstheme="minorHAnsi"/>
                <w:bCs/>
                <w:color w:val="000000"/>
              </w:rPr>
            </w:pPr>
            <w:r w:rsidRPr="00872FD2">
              <w:rPr>
                <w:rFonts w:asciiTheme="minorHAnsi" w:eastAsia="Times New Roman" w:hAnsiTheme="minorHAnsi" w:cstheme="minorHAnsi"/>
                <w:bCs/>
                <w:color w:val="000000"/>
              </w:rPr>
              <w:t>N (%)</w:t>
            </w:r>
          </w:p>
        </w:tc>
        <w:tc>
          <w:tcPr>
            <w:tcW w:w="960" w:type="dxa"/>
            <w:hideMark/>
          </w:tcPr>
          <w:p w:rsidR="007E28F2" w:rsidRPr="00872FD2" w:rsidRDefault="007E28F2" w:rsidP="00872FD2">
            <w:pPr>
              <w:spacing w:after="0" w:line="360" w:lineRule="auto"/>
              <w:jc w:val="center"/>
              <w:cnfStyle w:val="000000100000"/>
              <w:rPr>
                <w:rFonts w:asciiTheme="minorHAnsi" w:eastAsia="Times New Roman" w:hAnsiTheme="minorHAnsi" w:cstheme="minorHAnsi"/>
                <w:bCs/>
                <w:color w:val="000000"/>
              </w:rPr>
            </w:pPr>
            <w:r w:rsidRPr="00872FD2">
              <w:rPr>
                <w:rFonts w:asciiTheme="minorHAnsi" w:eastAsia="Times New Roman" w:hAnsiTheme="minorHAnsi" w:cstheme="minorHAnsi"/>
                <w:bCs/>
                <w:color w:val="000000"/>
              </w:rPr>
              <w:t>N (%)</w:t>
            </w:r>
          </w:p>
        </w:tc>
        <w:tc>
          <w:tcPr>
            <w:tcW w:w="960" w:type="dxa"/>
            <w:hideMark/>
          </w:tcPr>
          <w:p w:rsidR="007E28F2" w:rsidRPr="00872FD2" w:rsidRDefault="007E28F2" w:rsidP="00872FD2">
            <w:pPr>
              <w:spacing w:after="0" w:line="360" w:lineRule="auto"/>
              <w:jc w:val="center"/>
              <w:cnfStyle w:val="000000100000"/>
              <w:rPr>
                <w:rFonts w:asciiTheme="minorHAnsi" w:eastAsia="Times New Roman" w:hAnsiTheme="minorHAnsi" w:cstheme="minorHAnsi"/>
                <w:bCs/>
                <w:color w:val="000000"/>
              </w:rPr>
            </w:pPr>
            <w:r w:rsidRPr="00872FD2">
              <w:rPr>
                <w:rFonts w:asciiTheme="minorHAnsi" w:eastAsia="Times New Roman" w:hAnsiTheme="minorHAnsi" w:cstheme="minorHAnsi"/>
                <w:bCs/>
                <w:color w:val="000000"/>
              </w:rPr>
              <w:t>N (%)</w:t>
            </w:r>
          </w:p>
        </w:tc>
        <w:tc>
          <w:tcPr>
            <w:tcW w:w="960" w:type="dxa"/>
            <w:hideMark/>
          </w:tcPr>
          <w:p w:rsidR="007E28F2" w:rsidRPr="00872FD2" w:rsidRDefault="007E28F2" w:rsidP="00872FD2">
            <w:pPr>
              <w:spacing w:after="0" w:line="360" w:lineRule="auto"/>
              <w:jc w:val="center"/>
              <w:cnfStyle w:val="000000100000"/>
              <w:rPr>
                <w:rFonts w:asciiTheme="minorHAnsi" w:eastAsia="Times New Roman" w:hAnsiTheme="minorHAnsi" w:cstheme="minorHAnsi"/>
                <w:bCs/>
                <w:color w:val="000000"/>
              </w:rPr>
            </w:pPr>
            <w:r w:rsidRPr="00872FD2">
              <w:rPr>
                <w:rFonts w:asciiTheme="minorHAnsi" w:eastAsia="Times New Roman" w:hAnsiTheme="minorHAnsi" w:cstheme="minorHAnsi"/>
                <w:bCs/>
                <w:color w:val="000000"/>
              </w:rPr>
              <w:t>N (%)</w:t>
            </w:r>
          </w:p>
        </w:tc>
      </w:tr>
      <w:tr w:rsidR="007E28F2" w:rsidRPr="00872FD2" w:rsidTr="00C2256D">
        <w:trPr>
          <w:cnfStyle w:val="00000001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Οι</w:t>
            </w:r>
            <w:r w:rsidR="00D8735E">
              <w:rPr>
                <w:rFonts w:asciiTheme="minorHAnsi" w:eastAsia="Times New Roman" w:hAnsiTheme="minorHAnsi" w:cstheme="minorHAnsi"/>
                <w:color w:val="000000"/>
              </w:rPr>
              <w:t xml:space="preserve"> άνθρωποι έχουν φυσιολογικά δύο</w:t>
            </w:r>
            <w:r w:rsidRPr="00872FD2">
              <w:rPr>
                <w:rFonts w:asciiTheme="minorHAnsi" w:eastAsia="Times New Roman" w:hAnsiTheme="minorHAnsi" w:cstheme="minorHAnsi"/>
                <w:color w:val="000000"/>
              </w:rPr>
              <w:t xml:space="preserve"> νεφρούς στο σώμα </w:t>
            </w:r>
            <w:r w:rsidR="00AC43BC" w:rsidRPr="00872FD2">
              <w:rPr>
                <w:rFonts w:asciiTheme="minorHAnsi" w:eastAsia="Times New Roman" w:hAnsiTheme="minorHAnsi" w:cstheme="minorHAnsi"/>
                <w:color w:val="000000"/>
              </w:rPr>
              <w:t>τους</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25 (100)</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25 (100)</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21 (84)</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21 (84)</w:t>
            </w:r>
          </w:p>
        </w:tc>
      </w:tr>
      <w:tr w:rsidR="007E28F2" w:rsidRPr="00872FD2" w:rsidTr="00C2256D">
        <w:trPr>
          <w:cnfStyle w:val="00000010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 xml:space="preserve">Όταν ένα άτομο έχει νεφρική νόσο, οι νεφροί πρέπει να αφαιρεθούν πριν ξεκινήσει </w:t>
            </w:r>
            <w:r w:rsidR="00605F71">
              <w:rPr>
                <w:rFonts w:asciiTheme="minorHAnsi" w:eastAsia="Times New Roman" w:hAnsiTheme="minorHAnsi" w:cstheme="minorHAnsi"/>
                <w:color w:val="000000"/>
              </w:rPr>
              <w:t>αιμοκάθαρση</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21 (84)</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22 (88)</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23 (92)</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23 (92)</w:t>
            </w:r>
          </w:p>
        </w:tc>
      </w:tr>
      <w:tr w:rsidR="007E28F2" w:rsidRPr="00872FD2" w:rsidTr="00C2256D">
        <w:trPr>
          <w:cnfStyle w:val="00000001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Οι νεφροί λειτουργούν μόνο τη νύχτα όταν το άτομο κοιμάτα</w:t>
            </w:r>
            <w:r w:rsidR="006E1FEF" w:rsidRPr="00872FD2">
              <w:rPr>
                <w:rFonts w:asciiTheme="minorHAnsi" w:eastAsia="Times New Roman" w:hAnsiTheme="minorHAnsi" w:cstheme="minorHAnsi"/>
                <w:color w:val="000000"/>
              </w:rPr>
              <w:t>ι</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21 (84)</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24 (96)</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21 (84)</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21 (84)</w:t>
            </w:r>
          </w:p>
        </w:tc>
      </w:tr>
      <w:tr w:rsidR="007E28F2" w:rsidRPr="00872FD2" w:rsidTr="00C2256D">
        <w:trPr>
          <w:cnfStyle w:val="00000010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Ο όρος που χρησιμοποιείται για τη δόνηση ή το βούισμα πάνω από τη φίστουλα</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11 (44)</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16 (64)</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8 (32)</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19 (76)</w:t>
            </w:r>
          </w:p>
        </w:tc>
      </w:tr>
      <w:tr w:rsidR="007E28F2" w:rsidRPr="00872FD2" w:rsidTr="00C2256D">
        <w:trPr>
          <w:cnfStyle w:val="00000001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Στη ΣΦΠΚ οι άχρηστες ουσίες περνάνε από το αίμα στο διάλυμα μέσω...</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7 (28)</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7 (28)</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9 (36)</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9 (36)</w:t>
            </w:r>
          </w:p>
        </w:tc>
      </w:tr>
      <w:tr w:rsidR="007E28F2" w:rsidRPr="00872FD2" w:rsidTr="00C2256D">
        <w:trPr>
          <w:cnfStyle w:val="00000010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Η απομάκρυνση της περίσσειας νερού από το αίμα λέγεται...</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7 (28)</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7 (28)</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5 (20)</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12 (48)</w:t>
            </w:r>
          </w:p>
        </w:tc>
      </w:tr>
      <w:tr w:rsidR="007E28F2" w:rsidRPr="00872FD2" w:rsidTr="00C2256D">
        <w:trPr>
          <w:cnfStyle w:val="00000001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Ο ασθενής με ΧΝ</w:t>
            </w:r>
            <w:r w:rsidR="006E1FEF" w:rsidRPr="00872FD2">
              <w:rPr>
                <w:rFonts w:asciiTheme="minorHAnsi" w:eastAsia="Times New Roman" w:hAnsiTheme="minorHAnsi" w:cstheme="minorHAnsi"/>
                <w:color w:val="000000"/>
              </w:rPr>
              <w:t>Ν</w:t>
            </w:r>
            <w:r w:rsidRPr="00872FD2">
              <w:rPr>
                <w:rFonts w:asciiTheme="minorHAnsi" w:eastAsia="Times New Roman" w:hAnsiTheme="minorHAnsi" w:cstheme="minorHAnsi"/>
                <w:color w:val="000000"/>
              </w:rPr>
              <w:t>, εμφανίζει υψηλή αρτηριακή πίεση,</w:t>
            </w:r>
            <w:r w:rsidR="006E1FEF" w:rsidRPr="00872FD2">
              <w:rPr>
                <w:rFonts w:asciiTheme="minorHAnsi" w:eastAsia="Times New Roman" w:hAnsiTheme="minorHAnsi" w:cstheme="minorHAnsi"/>
                <w:color w:val="000000"/>
              </w:rPr>
              <w:t xml:space="preserve"> εφίδρωση και αύξηση σωματικού</w:t>
            </w:r>
            <w:r w:rsidRPr="00872FD2">
              <w:rPr>
                <w:rFonts w:asciiTheme="minorHAnsi" w:eastAsia="Times New Roman" w:hAnsiTheme="minorHAnsi" w:cstheme="minorHAnsi"/>
                <w:color w:val="000000"/>
              </w:rPr>
              <w:t xml:space="preserve"> βάρο</w:t>
            </w:r>
            <w:r w:rsidR="006E1FEF" w:rsidRPr="00872FD2">
              <w:rPr>
                <w:rFonts w:asciiTheme="minorHAnsi" w:eastAsia="Times New Roman" w:hAnsiTheme="minorHAnsi" w:cstheme="minorHAnsi"/>
                <w:color w:val="000000"/>
              </w:rPr>
              <w:t>υ</w:t>
            </w:r>
            <w:r w:rsidR="00040924">
              <w:rPr>
                <w:rFonts w:asciiTheme="minorHAnsi" w:eastAsia="Times New Roman" w:hAnsiTheme="minorHAnsi" w:cstheme="minorHAnsi"/>
                <w:color w:val="000000"/>
              </w:rPr>
              <w:t>ς αν ο οργανισμός φορτωθεί…</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19 (76)</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19 (76)</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18 (72)</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21 (84)</w:t>
            </w:r>
          </w:p>
        </w:tc>
      </w:tr>
      <w:tr w:rsidR="007E28F2" w:rsidRPr="00872FD2" w:rsidTr="00C2256D">
        <w:trPr>
          <w:cnfStyle w:val="00000010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Ποιες τροφές έχουν πολύ κάλιο;</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24 (96)</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24 (96)</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22 (88)</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22 (88)</w:t>
            </w:r>
          </w:p>
        </w:tc>
      </w:tr>
      <w:tr w:rsidR="007E28F2" w:rsidRPr="00872FD2" w:rsidTr="00C2256D">
        <w:trPr>
          <w:cnfStyle w:val="00000001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 xml:space="preserve">Πόσες φορές την εβδομάδα κάνουν </w:t>
            </w:r>
            <w:r w:rsidR="00605F71">
              <w:rPr>
                <w:rFonts w:asciiTheme="minorHAnsi" w:eastAsia="Times New Roman" w:hAnsiTheme="minorHAnsi" w:cstheme="minorHAnsi"/>
                <w:color w:val="000000"/>
              </w:rPr>
              <w:t>αιμοκάθαρση</w:t>
            </w:r>
            <w:r w:rsidRPr="00872FD2">
              <w:rPr>
                <w:rFonts w:asciiTheme="minorHAnsi" w:eastAsia="Times New Roman" w:hAnsiTheme="minorHAnsi" w:cstheme="minorHAnsi"/>
                <w:color w:val="000000"/>
              </w:rPr>
              <w:t xml:space="preserve"> οι ασθενείς;</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24 (96)</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24 (96)</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21 (84)</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23 (92)</w:t>
            </w:r>
          </w:p>
        </w:tc>
      </w:tr>
      <w:tr w:rsidR="007E28F2" w:rsidRPr="00872FD2" w:rsidTr="00C2256D">
        <w:trPr>
          <w:cnfStyle w:val="00000010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Ένας ασθενής με ΧΝΝ έχει συγγενή εν ζωή που θα του δώσει ένα νεφρό. Τι είναι λάθος;</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15 (60)</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15 (60)</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13 (52)</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13 (52)</w:t>
            </w:r>
          </w:p>
        </w:tc>
      </w:tr>
      <w:tr w:rsidR="007E28F2" w:rsidRPr="00872FD2" w:rsidTr="00C2256D">
        <w:trPr>
          <w:cnfStyle w:val="00000001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Ποιο είναι λάθος σχετικά με τη μεταμόσχευση νεφρού;</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14 (56)</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14 (56)</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12 (48)</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12 (48)</w:t>
            </w:r>
          </w:p>
        </w:tc>
      </w:tr>
      <w:tr w:rsidR="007E28F2" w:rsidRPr="00872FD2" w:rsidTr="00C2256D">
        <w:trPr>
          <w:cnfStyle w:val="00000010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Η ΣΦΠΚ είναι μια μορφή κάθαρσης που χρη</w:t>
            </w:r>
            <w:r w:rsidR="00605F71">
              <w:rPr>
                <w:rFonts w:asciiTheme="minorHAnsi" w:eastAsia="Times New Roman" w:hAnsiTheme="minorHAnsi" w:cstheme="minorHAnsi"/>
                <w:color w:val="000000"/>
              </w:rPr>
              <w:t>σιμοποιείται εναλλακτικά της αιμοκάθαρσης</w:t>
            </w:r>
            <w:r w:rsidRPr="00872FD2">
              <w:rPr>
                <w:rFonts w:asciiTheme="minorHAnsi" w:eastAsia="Times New Roman" w:hAnsiTheme="minorHAnsi" w:cstheme="minorHAnsi"/>
                <w:color w:val="000000"/>
              </w:rPr>
              <w:t>. Το πλεονέκτημά της είναι</w:t>
            </w:r>
            <w:r w:rsidR="006E1FEF" w:rsidRPr="00872FD2">
              <w:rPr>
                <w:rFonts w:asciiTheme="minorHAnsi" w:eastAsia="Times New Roman" w:hAnsiTheme="minorHAnsi" w:cstheme="minorHAnsi"/>
                <w:color w:val="000000"/>
              </w:rPr>
              <w:t>…</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6 (24)</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10 (40)</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8 (32)</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17 (68)</w:t>
            </w:r>
          </w:p>
        </w:tc>
      </w:tr>
      <w:tr w:rsidR="007E28F2" w:rsidRPr="00872FD2" w:rsidTr="00C2256D">
        <w:trPr>
          <w:cnfStyle w:val="00000001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Οι ασθενείς με ΧΝΝ συμβουλεύονται να μην τρώνε τροφές με κάλιο. Αυξημένα επίπεδα καλίου στο αίμα είναι επικίνδυνα γιατί…</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21 (84)</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24 (96)</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18 (72)</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24 (96)</w:t>
            </w:r>
          </w:p>
        </w:tc>
      </w:tr>
      <w:tr w:rsidR="007E28F2" w:rsidRPr="00872FD2" w:rsidTr="00C2256D">
        <w:trPr>
          <w:cnfStyle w:val="00000010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Η ΧΝΝ είναι ένα πρόβλημα που έρχεται με την ηλικία. Οι νέοι δεν παθαίνουν ΧΝΝ</w:t>
            </w:r>
            <w:r w:rsidR="00605F71">
              <w:rPr>
                <w:rFonts w:asciiTheme="minorHAnsi" w:eastAsia="Times New Roman" w:hAnsiTheme="minorHAnsi" w:cstheme="minorHAnsi"/>
                <w:color w:val="000000"/>
              </w:rPr>
              <w:t>.</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23 (92)</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23 (92)</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25 (100)</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25 (100)</w:t>
            </w:r>
          </w:p>
        </w:tc>
      </w:tr>
      <w:tr w:rsidR="007E28F2" w:rsidRPr="00872FD2" w:rsidTr="00C2256D">
        <w:trPr>
          <w:cnfStyle w:val="00000001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Οι περισσότεροι τύποι νεφρικής νόσου</w:t>
            </w:r>
            <w:r w:rsidR="0078495A">
              <w:rPr>
                <w:rFonts w:asciiTheme="minorHAnsi" w:eastAsia="Times New Roman" w:hAnsiTheme="minorHAnsi" w:cstheme="minorHAnsi"/>
                <w:color w:val="000000"/>
              </w:rPr>
              <w:t xml:space="preserve"> </w:t>
            </w:r>
            <w:r w:rsidRPr="00872FD2">
              <w:rPr>
                <w:rFonts w:asciiTheme="minorHAnsi" w:eastAsia="Times New Roman" w:hAnsiTheme="minorHAnsi" w:cstheme="minorHAnsi"/>
                <w:color w:val="000000"/>
              </w:rPr>
              <w:t>διαρκούν 5 χρόνια. Μετά από 5 χρόνια οι νεφροί ξαναλειτουργούν κανονικά</w:t>
            </w:r>
            <w:r w:rsidR="00605F71">
              <w:rPr>
                <w:rFonts w:asciiTheme="minorHAnsi" w:eastAsia="Times New Roman" w:hAnsiTheme="minorHAnsi" w:cstheme="minorHAnsi"/>
                <w:color w:val="000000"/>
              </w:rPr>
              <w:t>.</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23 (92)</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23 (92)</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23 (92)</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23 (92)</w:t>
            </w:r>
          </w:p>
        </w:tc>
      </w:tr>
      <w:tr w:rsidR="007E28F2" w:rsidRPr="00872FD2" w:rsidTr="00C2256D">
        <w:trPr>
          <w:cnfStyle w:val="00000010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 xml:space="preserve">Η περιτονίτιδα, λοίμωξη της </w:t>
            </w:r>
            <w:r w:rsidR="006E1FEF" w:rsidRPr="00872FD2">
              <w:rPr>
                <w:rFonts w:asciiTheme="minorHAnsi" w:eastAsia="Times New Roman" w:hAnsiTheme="minorHAnsi" w:cstheme="minorHAnsi"/>
                <w:color w:val="000000"/>
              </w:rPr>
              <w:t>περιτοναϊκής</w:t>
            </w:r>
            <w:r w:rsidRPr="00872FD2">
              <w:rPr>
                <w:rFonts w:asciiTheme="minorHAnsi" w:eastAsia="Times New Roman" w:hAnsiTheme="minorHAnsi" w:cstheme="minorHAnsi"/>
                <w:color w:val="000000"/>
              </w:rPr>
              <w:t xml:space="preserve"> κοιλότητας,είναι από τα μεγαλύτερα προβλήματα της ΠΚ</w:t>
            </w:r>
            <w:r w:rsidR="00605F71">
              <w:rPr>
                <w:rFonts w:asciiTheme="minorHAnsi" w:eastAsia="Times New Roman" w:hAnsiTheme="minorHAnsi" w:cstheme="minorHAnsi"/>
                <w:color w:val="000000"/>
              </w:rPr>
              <w:t>.</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13 (52)</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13 (52)</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11 (44)</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19 (76)</w:t>
            </w:r>
          </w:p>
        </w:tc>
      </w:tr>
      <w:tr w:rsidR="007E28F2" w:rsidRPr="00872FD2" w:rsidTr="00C2256D">
        <w:trPr>
          <w:cnfStyle w:val="00000001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Μετά τη μεταμόσχευση οι ασθενείς κινδυνεύουν λιγότερο από βακτήρια ή ιούς</w:t>
            </w:r>
            <w:r w:rsidR="00605F71">
              <w:rPr>
                <w:rFonts w:asciiTheme="minorHAnsi" w:eastAsia="Times New Roman" w:hAnsiTheme="minorHAnsi" w:cstheme="minorHAnsi"/>
                <w:color w:val="000000"/>
              </w:rPr>
              <w:t>.</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7 (28)</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7 (28)</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12 (48)</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8 (32)</w:t>
            </w:r>
          </w:p>
        </w:tc>
      </w:tr>
      <w:tr w:rsidR="007E28F2" w:rsidRPr="00872FD2" w:rsidTr="00C2256D">
        <w:trPr>
          <w:cnfStyle w:val="00000010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Υπάρχουν 1.000.000 μικρο</w:t>
            </w:r>
            <w:r w:rsidR="0076474F" w:rsidRPr="00872FD2">
              <w:rPr>
                <w:rFonts w:asciiTheme="minorHAnsi" w:eastAsia="Times New Roman" w:hAnsiTheme="minorHAnsi" w:cstheme="minorHAnsi"/>
                <w:color w:val="000000"/>
              </w:rPr>
              <w:t>σκοπικά φίλτρα</w:t>
            </w:r>
            <w:r w:rsidR="0078495A">
              <w:rPr>
                <w:rFonts w:asciiTheme="minorHAnsi" w:eastAsia="Times New Roman" w:hAnsiTheme="minorHAnsi" w:cstheme="minorHAnsi"/>
                <w:color w:val="000000"/>
              </w:rPr>
              <w:t xml:space="preserve"> </w:t>
            </w:r>
            <w:r w:rsidR="0076474F" w:rsidRPr="00872FD2">
              <w:rPr>
                <w:rFonts w:asciiTheme="minorHAnsi" w:eastAsia="Times New Roman" w:hAnsiTheme="minorHAnsi" w:cstheme="minorHAnsi"/>
                <w:color w:val="000000"/>
              </w:rPr>
              <w:t>στους νεφρούς. Α</w:t>
            </w:r>
            <w:r w:rsidRPr="00872FD2">
              <w:rPr>
                <w:rFonts w:asciiTheme="minorHAnsi" w:eastAsia="Times New Roman" w:hAnsiTheme="minorHAnsi" w:cstheme="minorHAnsi"/>
                <w:color w:val="000000"/>
              </w:rPr>
              <w:t>υτά λέγονται…</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8 (32)</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10 (40)</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13 (52)</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17 (68)</w:t>
            </w:r>
          </w:p>
        </w:tc>
      </w:tr>
      <w:tr w:rsidR="007E28F2" w:rsidRPr="00872FD2" w:rsidTr="00C2256D">
        <w:trPr>
          <w:cnfStyle w:val="00000001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Τα τοξικά προϊόντα αθροίζονται στο αίμα σε παθολογικά επίπεδα και το γεγονός αυτό προκαλεί μια κατάσταση που λέγεται…</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15 (60)</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15 (60)</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19 (76)</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24 (96)</w:t>
            </w:r>
          </w:p>
        </w:tc>
      </w:tr>
      <w:tr w:rsidR="007E28F2" w:rsidRPr="00872FD2" w:rsidTr="00C2256D">
        <w:trPr>
          <w:cnfStyle w:val="00000010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Ο τεχνητός νεφρός λέγεται και…</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22 (88)</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24 (96)</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15 (60)</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22 (88)</w:t>
            </w:r>
          </w:p>
        </w:tc>
      </w:tr>
      <w:tr w:rsidR="007E28F2" w:rsidRPr="00872FD2" w:rsidTr="00C2256D">
        <w:trPr>
          <w:cnfStyle w:val="00000001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Ένας νέος τύπος κάθαρσης λέγεται αυτοματοποιημένη περιτοναϊκή κάθαρση. Ποιο μέρος του σώματος κάνει αυτό τον τύπο της κάθαρσης;</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12 (48)</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16 (64)</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17 (68)</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24 (96)</w:t>
            </w:r>
          </w:p>
        </w:tc>
      </w:tr>
      <w:tr w:rsidR="007E28F2" w:rsidRPr="00872FD2" w:rsidTr="00C2256D">
        <w:trPr>
          <w:cnfStyle w:val="00000010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Στους ασθενείς με νεφρική νόσο λένε να μην τρώνε αλμυρά γιατί το αλάτι έχει πολύ…</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21 (84)</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24 (96)</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18 (72)</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24 (96)</w:t>
            </w:r>
          </w:p>
        </w:tc>
      </w:tr>
      <w:tr w:rsidR="007E28F2" w:rsidRPr="00872FD2" w:rsidTr="00C2256D">
        <w:trPr>
          <w:cnfStyle w:val="00000001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Τα ανοσοκατασταλτικά δίνονται στους ανοσοκατασταλμένους</w:t>
            </w:r>
            <w:r w:rsidR="0078495A">
              <w:rPr>
                <w:rFonts w:asciiTheme="minorHAnsi" w:eastAsia="Times New Roman" w:hAnsiTheme="minorHAnsi" w:cstheme="minorHAnsi"/>
                <w:color w:val="000000"/>
              </w:rPr>
              <w:t xml:space="preserve"> </w:t>
            </w:r>
            <w:r w:rsidRPr="00872FD2">
              <w:rPr>
                <w:rFonts w:asciiTheme="minorHAnsi" w:eastAsia="Times New Roman" w:hAnsiTheme="minorHAnsi" w:cstheme="minorHAnsi"/>
                <w:color w:val="000000"/>
              </w:rPr>
              <w:t>για να…</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15 (60)</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18 (72)</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15 (60)</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20 (80)</w:t>
            </w:r>
          </w:p>
        </w:tc>
      </w:tr>
      <w:tr w:rsidR="007E28F2" w:rsidRPr="00872FD2" w:rsidTr="00C2256D">
        <w:trPr>
          <w:cnfStyle w:val="00000010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Η οστική νόσος μπορεί να συνοδεύει τη ΧΝΝ. Μπορεί να συμβεί γιατί…</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16 (66,7)</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17 (68)</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23 (92)</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24 (96)</w:t>
            </w:r>
          </w:p>
        </w:tc>
      </w:tr>
      <w:tr w:rsidR="007E28F2" w:rsidRPr="00872FD2" w:rsidTr="00C2256D">
        <w:trPr>
          <w:cnfStyle w:val="00000001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 xml:space="preserve">Ποιο φάρμακο συνταγογραφείται για τον έλεγχο του επιπέδου καλίου στο αίμα </w:t>
            </w:r>
            <w:r w:rsidR="00B0560D">
              <w:rPr>
                <w:rFonts w:asciiTheme="minorHAnsi" w:eastAsia="Times New Roman" w:hAnsiTheme="minorHAnsi" w:cstheme="minorHAnsi"/>
                <w:color w:val="000000"/>
              </w:rPr>
              <w:t>του ασθενούς</w:t>
            </w:r>
            <w:r w:rsidRPr="00872FD2">
              <w:rPr>
                <w:rFonts w:asciiTheme="minorHAnsi" w:eastAsia="Times New Roman" w:hAnsiTheme="minorHAnsi" w:cstheme="minorHAnsi"/>
                <w:color w:val="000000"/>
              </w:rPr>
              <w:t>;</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10 (41,7)</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14 (56)</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 (4)</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21 (84)</w:t>
            </w:r>
          </w:p>
        </w:tc>
      </w:tr>
      <w:tr w:rsidR="007E28F2" w:rsidRPr="00872FD2" w:rsidTr="00C2256D">
        <w:trPr>
          <w:cnfStyle w:val="000000100000"/>
          <w:trHeight w:val="375"/>
          <w:jc w:val="center"/>
        </w:trPr>
        <w:tc>
          <w:tcPr>
            <w:cnfStyle w:val="001000000000"/>
            <w:tcW w:w="7130" w:type="dxa"/>
            <w:hideMark/>
          </w:tcPr>
          <w:p w:rsidR="007E28F2" w:rsidRPr="00872FD2" w:rsidRDefault="007E28F2" w:rsidP="00872FD2">
            <w:pPr>
              <w:spacing w:after="0" w:line="36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color w:val="000000"/>
              </w:rPr>
              <w:t>Στη ΣΦΠΚ το διάλυμα εισάγεται στην περιτοναϊκή κοιλότητα μέσω ενός εμφυτευμένου καθετήρα λίγο κάτω από τον ομφαλό.</w:t>
            </w:r>
            <w:r w:rsidR="0076474F" w:rsidRPr="00872FD2">
              <w:rPr>
                <w:rFonts w:asciiTheme="minorHAnsi" w:eastAsia="Times New Roman" w:hAnsiTheme="minorHAnsi" w:cstheme="minorHAnsi"/>
                <w:color w:val="000000"/>
              </w:rPr>
              <w:t xml:space="preserve"> Μ</w:t>
            </w:r>
            <w:r w:rsidRPr="00872FD2">
              <w:rPr>
                <w:rFonts w:asciiTheme="minorHAnsi" w:eastAsia="Times New Roman" w:hAnsiTheme="minorHAnsi" w:cstheme="minorHAnsi"/>
                <w:color w:val="000000"/>
              </w:rPr>
              <w:t>ετά το υγρό του διαλύματος</w:t>
            </w:r>
            <w:r w:rsidR="0076474F" w:rsidRPr="00872FD2">
              <w:rPr>
                <w:rFonts w:asciiTheme="minorHAnsi" w:eastAsia="Times New Roman" w:hAnsiTheme="minorHAnsi" w:cstheme="minorHAnsi"/>
                <w:color w:val="000000"/>
              </w:rPr>
              <w:t>…</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4 (16)</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4 (16)</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6 (24)</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17 (68)</w:t>
            </w:r>
          </w:p>
        </w:tc>
      </w:tr>
    </w:tbl>
    <w:p w:rsidR="007E28F2" w:rsidRPr="005A464E" w:rsidRDefault="007E28F2" w:rsidP="005A464E">
      <w:pPr>
        <w:pStyle w:val="nouk"/>
      </w:pPr>
    </w:p>
    <w:p w:rsidR="007E28F2" w:rsidRPr="005A464E" w:rsidRDefault="007E28F2" w:rsidP="005A464E">
      <w:pPr>
        <w:pStyle w:val="nouk"/>
      </w:pPr>
      <w:r w:rsidRPr="005A464E">
        <w:t xml:space="preserve">Τα ποσοστά σωστής απάντησης </w:t>
      </w:r>
      <w:r w:rsidRPr="005A464E">
        <w:rPr>
          <w:i/>
        </w:rPr>
        <w:t>πριν την παρέμβαση</w:t>
      </w:r>
      <w:r w:rsidRPr="005A464E">
        <w:t xml:space="preserve"> κυμαίνονταν από 16% μέχρι 100% στην ομάδα ελέγχου και από 4% μέχρι 100% στην ομάδα παρέμβασης. </w:t>
      </w:r>
      <w:r w:rsidRPr="005A464E">
        <w:rPr>
          <w:i/>
        </w:rPr>
        <w:t>Μετά την παρέμβαση</w:t>
      </w:r>
      <w:r w:rsidRPr="005A464E">
        <w:t xml:space="preserve"> τα ποσοστά σωστής απάντησης κυμαίνονταν από 16% μέχρι 100% στην ομάδα ελέγχου και από 32% μέχρι 100% στην ομάδα παρέμβασης. Στην ομάδα ελέγχου τα ποσοστά σωστών απαντήσεων ήταν παρόμοια πριν και μετά την παρέμβαση σε όλες τις ερωτήσεις. Στην ομάδα παρέμβασης τα ποσοστά σωστών απαντήσεων αυξήθηκαν σημαντικά σχεδόν σε όλες τις ερωτήσεις. </w:t>
      </w:r>
    </w:p>
    <w:p w:rsidR="007E28F2" w:rsidRDefault="007E28F2" w:rsidP="005A464E">
      <w:pPr>
        <w:pStyle w:val="nouk"/>
      </w:pPr>
      <w:r w:rsidRPr="005A464E">
        <w:t xml:space="preserve">Η βαθμολογία γνώσεων μπορεί να κυμανθεί από 0 έως 26 μονάδες, με τις υψηλότερες τιμές να υποδηλώνουν μεγαλύτερη γνώση. Ο συντελεστής αξιοπιστίας </w:t>
      </w:r>
      <w:r w:rsidRPr="005A464E">
        <w:rPr>
          <w:lang w:val="en-US"/>
        </w:rPr>
        <w:t>a</w:t>
      </w:r>
      <w:r w:rsidRPr="005A464E">
        <w:t xml:space="preserve"> του </w:t>
      </w:r>
      <w:r w:rsidRPr="005A464E">
        <w:rPr>
          <w:lang w:val="en-US"/>
        </w:rPr>
        <w:t>Cronbach</w:t>
      </w:r>
      <w:r w:rsidRPr="005A464E">
        <w:t xml:space="preserve"> ήταν 0,84, ο οποίος είναι άνω του αποδεκτού ορίου (0,7), συνεπώς υπάρχει αποδεκτή αξιοπιστία των ερωτηματολογίου γνώσεων. Στον πίνακα που ακολουθεί δίνεται η βαθμολογία γνώσεων πριν και μετά την παρέμβαση ξεχωριστά για κάθε ομάδα</w:t>
      </w:r>
      <w:r w:rsidR="006D13A7" w:rsidRPr="005A464E">
        <w:t xml:space="preserve"> (Πίν</w:t>
      </w:r>
      <w:r w:rsidR="00F6061C">
        <w:t xml:space="preserve"> 13</w:t>
      </w:r>
      <w:r w:rsidR="006D13A7" w:rsidRPr="005A464E">
        <w:t>)</w:t>
      </w:r>
      <w:r w:rsidRPr="005A464E">
        <w:t xml:space="preserve">. </w:t>
      </w:r>
    </w:p>
    <w:p w:rsidR="00012754" w:rsidRDefault="00012754" w:rsidP="005A464E">
      <w:pPr>
        <w:pStyle w:val="nouk"/>
      </w:pPr>
    </w:p>
    <w:p w:rsidR="00012754" w:rsidRPr="00F918EC" w:rsidRDefault="00F6061C" w:rsidP="00012754">
      <w:pPr>
        <w:pStyle w:val="nouk"/>
        <w:rPr>
          <w:rFonts w:asciiTheme="minorHAnsi" w:eastAsiaTheme="minorHAnsi" w:hAnsiTheme="minorHAnsi" w:cstheme="minorHAnsi"/>
          <w:bCs/>
          <w:color w:val="000000"/>
          <w:sz w:val="22"/>
          <w:szCs w:val="22"/>
        </w:rPr>
      </w:pPr>
      <w:r>
        <w:rPr>
          <w:rFonts w:asciiTheme="minorHAnsi" w:eastAsiaTheme="minorHAnsi" w:hAnsiTheme="minorHAnsi" w:cstheme="minorHAnsi"/>
          <w:bCs/>
          <w:color w:val="000000"/>
          <w:sz w:val="22"/>
          <w:szCs w:val="22"/>
        </w:rPr>
        <w:t>Πίνακας 13</w:t>
      </w:r>
      <w:r w:rsidR="00012754" w:rsidRPr="00872FD2">
        <w:rPr>
          <w:rFonts w:asciiTheme="minorHAnsi" w:eastAsiaTheme="minorHAnsi" w:hAnsiTheme="minorHAnsi" w:cstheme="minorHAnsi"/>
          <w:bCs/>
          <w:color w:val="000000"/>
          <w:sz w:val="22"/>
          <w:szCs w:val="22"/>
        </w:rPr>
        <w:tab/>
      </w:r>
    </w:p>
    <w:p w:rsidR="006D13A7" w:rsidRPr="00C2256D" w:rsidRDefault="00012754" w:rsidP="005A464E">
      <w:pPr>
        <w:pStyle w:val="nouk"/>
      </w:pPr>
      <w:r w:rsidRPr="00C2256D">
        <w:rPr>
          <w:rFonts w:asciiTheme="minorHAnsi" w:eastAsiaTheme="minorHAnsi" w:hAnsiTheme="minorHAnsi" w:cstheme="minorHAnsi"/>
          <w:bCs/>
          <w:i/>
          <w:color w:val="000000"/>
        </w:rPr>
        <w:t>Βαθμολογία γνώσεων πριν και μετά την παρέμβαση</w:t>
      </w:r>
    </w:p>
    <w:tbl>
      <w:tblPr>
        <w:tblStyle w:val="-41"/>
        <w:tblW w:w="8337" w:type="dxa"/>
        <w:tblLook w:val="0400"/>
      </w:tblPr>
      <w:tblGrid>
        <w:gridCol w:w="1880"/>
        <w:gridCol w:w="1562"/>
        <w:gridCol w:w="1538"/>
        <w:gridCol w:w="1437"/>
        <w:gridCol w:w="960"/>
        <w:gridCol w:w="960"/>
      </w:tblGrid>
      <w:tr w:rsidR="007E28F2" w:rsidRPr="00872FD2" w:rsidTr="009250AC">
        <w:trPr>
          <w:cnfStyle w:val="000000100000"/>
          <w:trHeight w:val="315"/>
        </w:trPr>
        <w:tc>
          <w:tcPr>
            <w:tcW w:w="1880" w:type="dxa"/>
            <w:noWrap/>
            <w:hideMark/>
          </w:tcPr>
          <w:p w:rsidR="007E28F2" w:rsidRPr="00872FD2" w:rsidRDefault="007E28F2" w:rsidP="00872FD2">
            <w:pPr>
              <w:spacing w:after="0" w:line="360" w:lineRule="auto"/>
              <w:rPr>
                <w:rFonts w:asciiTheme="minorHAnsi" w:eastAsia="Times New Roman" w:hAnsiTheme="minorHAnsi" w:cs="Arial"/>
                <w:b/>
                <w:bCs/>
                <w:color w:val="000000"/>
              </w:rPr>
            </w:pPr>
            <w:r w:rsidRPr="00872FD2">
              <w:rPr>
                <w:rFonts w:asciiTheme="minorHAnsi" w:eastAsia="Times New Roman" w:hAnsiTheme="minorHAnsi" w:cs="Arial"/>
                <w:b/>
                <w:bCs/>
                <w:color w:val="000000"/>
              </w:rPr>
              <w:t> </w:t>
            </w:r>
          </w:p>
        </w:tc>
        <w:tc>
          <w:tcPr>
            <w:tcW w:w="4537" w:type="dxa"/>
            <w:gridSpan w:val="3"/>
            <w:hideMark/>
          </w:tcPr>
          <w:p w:rsidR="007E28F2" w:rsidRPr="00C2256D" w:rsidRDefault="007E28F2" w:rsidP="00872FD2">
            <w:pPr>
              <w:spacing w:after="0" w:line="360" w:lineRule="auto"/>
              <w:jc w:val="center"/>
              <w:rPr>
                <w:rFonts w:asciiTheme="minorHAnsi" w:eastAsia="Times New Roman" w:hAnsiTheme="minorHAnsi" w:cs="Arial"/>
                <w:b/>
                <w:bCs/>
                <w:color w:val="0070C0"/>
                <w:sz w:val="24"/>
                <w:szCs w:val="24"/>
              </w:rPr>
            </w:pPr>
            <w:r w:rsidRPr="00C2256D">
              <w:rPr>
                <w:rFonts w:asciiTheme="minorHAnsi" w:eastAsia="Times New Roman" w:hAnsiTheme="minorHAnsi" w:cs="Arial"/>
                <w:b/>
                <w:bCs/>
                <w:color w:val="0070C0"/>
                <w:sz w:val="24"/>
                <w:szCs w:val="24"/>
              </w:rPr>
              <w:t>Βαθμολογία γνώσεων</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p>
        </w:tc>
      </w:tr>
      <w:tr w:rsidR="007E28F2" w:rsidRPr="00872FD2" w:rsidTr="009250AC">
        <w:trPr>
          <w:cnfStyle w:val="000000010000"/>
          <w:trHeight w:val="315"/>
        </w:trPr>
        <w:tc>
          <w:tcPr>
            <w:tcW w:w="1880" w:type="dxa"/>
            <w:noWrap/>
            <w:hideMark/>
          </w:tcPr>
          <w:p w:rsidR="007E28F2" w:rsidRPr="00872FD2" w:rsidRDefault="007E28F2" w:rsidP="00872FD2">
            <w:pPr>
              <w:spacing w:after="0" w:line="360" w:lineRule="auto"/>
              <w:rPr>
                <w:rFonts w:asciiTheme="minorHAnsi" w:eastAsia="Times New Roman" w:hAnsiTheme="minorHAnsi" w:cs="Arial"/>
                <w:b/>
                <w:bCs/>
                <w:color w:val="000000"/>
              </w:rPr>
            </w:pPr>
            <w:r w:rsidRPr="00872FD2">
              <w:rPr>
                <w:rFonts w:asciiTheme="minorHAnsi" w:eastAsia="Times New Roman" w:hAnsiTheme="minorHAnsi" w:cs="Arial"/>
                <w:b/>
                <w:bCs/>
                <w:color w:val="000000"/>
              </w:rPr>
              <w:t> </w:t>
            </w:r>
          </w:p>
        </w:tc>
        <w:tc>
          <w:tcPr>
            <w:tcW w:w="1562" w:type="dxa"/>
            <w:noWrap/>
            <w:hideMark/>
          </w:tcPr>
          <w:p w:rsidR="007E28F2" w:rsidRPr="00872FD2" w:rsidRDefault="007E28F2" w:rsidP="00872FD2">
            <w:pPr>
              <w:spacing w:after="0" w:line="360" w:lineRule="auto"/>
              <w:jc w:val="center"/>
              <w:rPr>
                <w:rFonts w:asciiTheme="minorHAnsi" w:eastAsia="Times New Roman" w:hAnsiTheme="minorHAnsi" w:cs="Arial"/>
                <w:b/>
                <w:bCs/>
                <w:color w:val="000000"/>
              </w:rPr>
            </w:pPr>
            <w:r w:rsidRPr="00872FD2">
              <w:rPr>
                <w:rFonts w:asciiTheme="minorHAnsi" w:eastAsia="Times New Roman" w:hAnsiTheme="minorHAnsi" w:cs="Arial"/>
                <w:b/>
                <w:bCs/>
                <w:color w:val="000000"/>
              </w:rPr>
              <w:t>Πριν</w:t>
            </w:r>
          </w:p>
        </w:tc>
        <w:tc>
          <w:tcPr>
            <w:tcW w:w="1538" w:type="dxa"/>
            <w:hideMark/>
          </w:tcPr>
          <w:p w:rsidR="007E28F2" w:rsidRPr="00872FD2" w:rsidRDefault="007E28F2" w:rsidP="00872FD2">
            <w:pPr>
              <w:spacing w:after="0" w:line="360" w:lineRule="auto"/>
              <w:jc w:val="center"/>
              <w:rPr>
                <w:rFonts w:asciiTheme="minorHAnsi" w:eastAsia="Times New Roman" w:hAnsiTheme="minorHAnsi" w:cs="Arial"/>
                <w:b/>
                <w:bCs/>
                <w:color w:val="000000"/>
              </w:rPr>
            </w:pPr>
            <w:r w:rsidRPr="00872FD2">
              <w:rPr>
                <w:rFonts w:asciiTheme="minorHAnsi" w:eastAsia="Times New Roman" w:hAnsiTheme="minorHAnsi" w:cs="Arial"/>
                <w:b/>
                <w:bCs/>
                <w:color w:val="000000"/>
              </w:rPr>
              <w:t>Μετά</w:t>
            </w:r>
          </w:p>
        </w:tc>
        <w:tc>
          <w:tcPr>
            <w:tcW w:w="1437" w:type="dxa"/>
            <w:noWrap/>
            <w:hideMark/>
          </w:tcPr>
          <w:p w:rsidR="007E28F2" w:rsidRPr="00872FD2" w:rsidRDefault="007E28F2" w:rsidP="00872FD2">
            <w:pPr>
              <w:spacing w:after="0" w:line="360" w:lineRule="auto"/>
              <w:jc w:val="center"/>
              <w:rPr>
                <w:rFonts w:asciiTheme="minorHAnsi" w:eastAsia="Times New Roman" w:hAnsiTheme="minorHAnsi" w:cs="Arial"/>
                <w:b/>
                <w:bCs/>
                <w:color w:val="000000"/>
              </w:rPr>
            </w:pPr>
            <w:r w:rsidRPr="00872FD2">
              <w:rPr>
                <w:rFonts w:asciiTheme="minorHAnsi" w:eastAsia="Times New Roman" w:hAnsiTheme="minorHAnsi" w:cs="Arial"/>
                <w:b/>
                <w:bCs/>
                <w:color w:val="000000"/>
              </w:rPr>
              <w:t>Μεταβολή</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Arial"/>
                <w:b/>
                <w:bCs/>
                <w:color w:val="000000"/>
              </w:rPr>
            </w:pP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Arial"/>
                <w:b/>
                <w:bCs/>
                <w:color w:val="000000"/>
              </w:rPr>
            </w:pPr>
          </w:p>
        </w:tc>
      </w:tr>
      <w:tr w:rsidR="007E28F2" w:rsidRPr="00872FD2" w:rsidTr="009250AC">
        <w:trPr>
          <w:cnfStyle w:val="000000100000"/>
          <w:trHeight w:val="315"/>
        </w:trPr>
        <w:tc>
          <w:tcPr>
            <w:tcW w:w="1880" w:type="dxa"/>
            <w:hideMark/>
          </w:tcPr>
          <w:p w:rsidR="007E28F2" w:rsidRPr="00872FD2" w:rsidRDefault="007E28F2" w:rsidP="00872FD2">
            <w:pPr>
              <w:spacing w:after="0" w:line="360" w:lineRule="auto"/>
              <w:rPr>
                <w:rFonts w:asciiTheme="minorHAnsi" w:eastAsia="Times New Roman" w:hAnsiTheme="minorHAnsi" w:cs="Arial"/>
                <w:b/>
                <w:bCs/>
                <w:color w:val="000000"/>
              </w:rPr>
            </w:pPr>
            <w:r w:rsidRPr="00872FD2">
              <w:rPr>
                <w:rFonts w:asciiTheme="minorHAnsi" w:eastAsia="Times New Roman" w:hAnsiTheme="minorHAnsi" w:cs="Arial"/>
                <w:color w:val="000000"/>
              </w:rPr>
              <w:t>Ομάδα</w:t>
            </w:r>
          </w:p>
        </w:tc>
        <w:tc>
          <w:tcPr>
            <w:tcW w:w="1562" w:type="dxa"/>
            <w:hideMark/>
          </w:tcPr>
          <w:p w:rsidR="007E28F2" w:rsidRPr="00872FD2" w:rsidRDefault="007E28F2" w:rsidP="00872FD2">
            <w:pPr>
              <w:spacing w:after="0" w:line="360" w:lineRule="auto"/>
              <w:jc w:val="center"/>
              <w:rPr>
                <w:rFonts w:asciiTheme="minorHAnsi" w:eastAsia="Times New Roman" w:hAnsiTheme="minorHAnsi" w:cs="Arial"/>
                <w:b/>
                <w:bCs/>
                <w:color w:val="000000"/>
              </w:rPr>
            </w:pPr>
            <w:r w:rsidRPr="00872FD2">
              <w:rPr>
                <w:rFonts w:asciiTheme="minorHAnsi" w:eastAsia="Times New Roman" w:hAnsiTheme="minorHAnsi" w:cs="Arial"/>
                <w:b/>
                <w:bCs/>
                <w:color w:val="000000"/>
              </w:rPr>
              <w:t>Μέση τιμή (</w:t>
            </w:r>
            <w:r w:rsidR="00D225F5" w:rsidRPr="00872FD2">
              <w:rPr>
                <w:rFonts w:asciiTheme="minorHAnsi" w:eastAsia="Times New Roman" w:hAnsiTheme="minorHAnsi" w:cs="Arial"/>
                <w:b/>
                <w:bCs/>
                <w:color w:val="000000"/>
              </w:rPr>
              <w:t>ΤΑ</w:t>
            </w:r>
            <w:r w:rsidRPr="00872FD2">
              <w:rPr>
                <w:rFonts w:asciiTheme="minorHAnsi" w:eastAsia="Times New Roman" w:hAnsiTheme="minorHAnsi" w:cs="Arial"/>
                <w:b/>
                <w:bCs/>
                <w:color w:val="000000"/>
              </w:rPr>
              <w:t>)</w:t>
            </w:r>
          </w:p>
        </w:tc>
        <w:tc>
          <w:tcPr>
            <w:tcW w:w="1538" w:type="dxa"/>
            <w:hideMark/>
          </w:tcPr>
          <w:p w:rsidR="007E28F2" w:rsidRPr="00872FD2" w:rsidRDefault="007E28F2" w:rsidP="00872FD2">
            <w:pPr>
              <w:spacing w:after="0" w:line="360" w:lineRule="auto"/>
              <w:jc w:val="center"/>
              <w:rPr>
                <w:rFonts w:asciiTheme="minorHAnsi" w:eastAsia="Times New Roman" w:hAnsiTheme="minorHAnsi" w:cs="Arial"/>
                <w:b/>
                <w:bCs/>
                <w:color w:val="000000"/>
              </w:rPr>
            </w:pPr>
            <w:r w:rsidRPr="00872FD2">
              <w:rPr>
                <w:rFonts w:asciiTheme="minorHAnsi" w:eastAsia="Times New Roman" w:hAnsiTheme="minorHAnsi" w:cs="Arial"/>
                <w:b/>
                <w:bCs/>
                <w:color w:val="000000"/>
              </w:rPr>
              <w:t>Μέση τιμή (</w:t>
            </w:r>
            <w:r w:rsidR="00D225F5" w:rsidRPr="00872FD2">
              <w:rPr>
                <w:rFonts w:asciiTheme="minorHAnsi" w:eastAsia="Times New Roman" w:hAnsiTheme="minorHAnsi" w:cs="Arial"/>
                <w:b/>
                <w:bCs/>
                <w:color w:val="000000"/>
              </w:rPr>
              <w:t>ΤΑ</w:t>
            </w:r>
            <w:r w:rsidRPr="00872FD2">
              <w:rPr>
                <w:rFonts w:asciiTheme="minorHAnsi" w:eastAsia="Times New Roman" w:hAnsiTheme="minorHAnsi" w:cs="Arial"/>
                <w:b/>
                <w:bCs/>
                <w:color w:val="000000"/>
              </w:rPr>
              <w:t>)</w:t>
            </w:r>
          </w:p>
        </w:tc>
        <w:tc>
          <w:tcPr>
            <w:tcW w:w="1437" w:type="dxa"/>
            <w:hideMark/>
          </w:tcPr>
          <w:p w:rsidR="007E28F2" w:rsidRPr="00872FD2" w:rsidRDefault="007E28F2" w:rsidP="00872FD2">
            <w:pPr>
              <w:spacing w:after="0" w:line="360" w:lineRule="auto"/>
              <w:jc w:val="center"/>
              <w:rPr>
                <w:rFonts w:asciiTheme="minorHAnsi" w:eastAsia="Times New Roman" w:hAnsiTheme="minorHAnsi" w:cs="Arial"/>
                <w:b/>
                <w:bCs/>
                <w:color w:val="000000"/>
              </w:rPr>
            </w:pPr>
            <w:r w:rsidRPr="00872FD2">
              <w:rPr>
                <w:rFonts w:asciiTheme="minorHAnsi" w:eastAsia="Times New Roman" w:hAnsiTheme="minorHAnsi" w:cs="Arial"/>
                <w:b/>
                <w:bCs/>
                <w:color w:val="000000"/>
              </w:rPr>
              <w:t>Μέση τιμή (</w:t>
            </w:r>
            <w:r w:rsidR="00D225F5" w:rsidRPr="00872FD2">
              <w:rPr>
                <w:rFonts w:asciiTheme="minorHAnsi" w:eastAsia="Times New Roman" w:hAnsiTheme="minorHAnsi" w:cs="Arial"/>
                <w:b/>
                <w:bCs/>
                <w:color w:val="000000"/>
              </w:rPr>
              <w:t>ΤΑ</w:t>
            </w:r>
            <w:r w:rsidRPr="00872FD2">
              <w:rPr>
                <w:rFonts w:asciiTheme="minorHAnsi" w:eastAsia="Times New Roman" w:hAnsiTheme="minorHAnsi" w:cs="Arial"/>
                <w:b/>
                <w:bCs/>
                <w:color w:val="000000"/>
              </w:rPr>
              <w:t>)</w:t>
            </w:r>
          </w:p>
        </w:tc>
        <w:tc>
          <w:tcPr>
            <w:tcW w:w="960" w:type="dxa"/>
            <w:hideMark/>
          </w:tcPr>
          <w:p w:rsidR="007E28F2" w:rsidRPr="00872FD2" w:rsidRDefault="007E28F2" w:rsidP="00872FD2">
            <w:pPr>
              <w:spacing w:after="0" w:line="360" w:lineRule="auto"/>
              <w:jc w:val="center"/>
              <w:rPr>
                <w:rFonts w:asciiTheme="minorHAnsi" w:eastAsia="Times New Roman" w:hAnsiTheme="minorHAnsi" w:cs="Arial"/>
                <w:b/>
                <w:bCs/>
                <w:color w:val="000000"/>
              </w:rPr>
            </w:pPr>
            <w:r w:rsidRPr="00872FD2">
              <w:rPr>
                <w:rFonts w:asciiTheme="minorHAnsi" w:eastAsia="Times New Roman" w:hAnsiTheme="minorHAnsi" w:cs="Arial"/>
                <w:b/>
                <w:bCs/>
                <w:color w:val="000000"/>
              </w:rPr>
              <w:t>P**</w:t>
            </w:r>
          </w:p>
        </w:tc>
        <w:tc>
          <w:tcPr>
            <w:tcW w:w="960" w:type="dxa"/>
            <w:hideMark/>
          </w:tcPr>
          <w:p w:rsidR="007E28F2" w:rsidRPr="00872FD2" w:rsidRDefault="007E28F2" w:rsidP="00872FD2">
            <w:pPr>
              <w:spacing w:after="0" w:line="360" w:lineRule="auto"/>
              <w:jc w:val="center"/>
              <w:rPr>
                <w:rFonts w:asciiTheme="minorHAnsi" w:eastAsia="Times New Roman" w:hAnsiTheme="minorHAnsi" w:cs="Arial"/>
                <w:b/>
                <w:bCs/>
                <w:color w:val="000000"/>
              </w:rPr>
            </w:pPr>
            <w:r w:rsidRPr="00872FD2">
              <w:rPr>
                <w:rFonts w:asciiTheme="minorHAnsi" w:eastAsia="Times New Roman" w:hAnsiTheme="minorHAnsi" w:cs="Arial"/>
                <w:b/>
                <w:bCs/>
                <w:color w:val="000000"/>
              </w:rPr>
              <w:t>P‡</w:t>
            </w:r>
          </w:p>
        </w:tc>
      </w:tr>
      <w:tr w:rsidR="007E28F2" w:rsidRPr="00872FD2" w:rsidTr="009250AC">
        <w:trPr>
          <w:cnfStyle w:val="000000010000"/>
          <w:trHeight w:val="315"/>
        </w:trPr>
        <w:tc>
          <w:tcPr>
            <w:tcW w:w="1880" w:type="dxa"/>
            <w:hideMark/>
          </w:tcPr>
          <w:p w:rsidR="007E28F2" w:rsidRPr="00872FD2" w:rsidRDefault="007E28F2" w:rsidP="00872FD2">
            <w:pPr>
              <w:spacing w:after="0" w:line="360" w:lineRule="auto"/>
              <w:rPr>
                <w:rFonts w:asciiTheme="minorHAnsi" w:eastAsia="Times New Roman" w:hAnsiTheme="minorHAnsi" w:cs="Arial"/>
                <w:b/>
                <w:bCs/>
                <w:color w:val="000000"/>
              </w:rPr>
            </w:pPr>
            <w:r w:rsidRPr="00872FD2">
              <w:rPr>
                <w:rFonts w:asciiTheme="minorHAnsi" w:eastAsia="Times New Roman" w:hAnsiTheme="minorHAnsi" w:cs="Arial"/>
                <w:b/>
                <w:bCs/>
                <w:color w:val="000000"/>
              </w:rPr>
              <w:t>Ελέγχου</w:t>
            </w:r>
          </w:p>
        </w:tc>
        <w:tc>
          <w:tcPr>
            <w:tcW w:w="1562"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15,96 (5,08)</w:t>
            </w:r>
          </w:p>
        </w:tc>
        <w:tc>
          <w:tcPr>
            <w:tcW w:w="1538"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17,56 (4,48)</w:t>
            </w:r>
          </w:p>
        </w:tc>
        <w:tc>
          <w:tcPr>
            <w:tcW w:w="1437"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1,6 (1,17)</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Arial"/>
                <w:b/>
                <w:bCs/>
                <w:color w:val="000000"/>
              </w:rPr>
            </w:pPr>
            <w:r w:rsidRPr="00872FD2">
              <w:rPr>
                <w:rFonts w:asciiTheme="minorHAnsi" w:eastAsia="Times New Roman" w:hAnsiTheme="minorHAnsi" w:cs="Arial"/>
                <w:b/>
                <w:bCs/>
                <w:color w:val="000000"/>
              </w:rPr>
              <w:t>0,005</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Arial"/>
                <w:b/>
                <w:bCs/>
                <w:color w:val="000000"/>
              </w:rPr>
            </w:pPr>
            <w:r w:rsidRPr="00872FD2">
              <w:rPr>
                <w:rFonts w:asciiTheme="minorHAnsi" w:eastAsia="Times New Roman" w:hAnsiTheme="minorHAnsi" w:cs="Arial"/>
                <w:b/>
                <w:bCs/>
                <w:color w:val="000000"/>
              </w:rPr>
              <w:t>&lt;0,001</w:t>
            </w:r>
          </w:p>
        </w:tc>
      </w:tr>
      <w:tr w:rsidR="007E28F2" w:rsidRPr="00872FD2" w:rsidTr="009250AC">
        <w:trPr>
          <w:cnfStyle w:val="000000100000"/>
          <w:trHeight w:val="315"/>
        </w:trPr>
        <w:tc>
          <w:tcPr>
            <w:tcW w:w="1880" w:type="dxa"/>
            <w:hideMark/>
          </w:tcPr>
          <w:p w:rsidR="007E28F2" w:rsidRPr="00872FD2" w:rsidRDefault="007E28F2" w:rsidP="00872FD2">
            <w:pPr>
              <w:spacing w:after="0" w:line="360" w:lineRule="auto"/>
              <w:rPr>
                <w:rFonts w:asciiTheme="minorHAnsi" w:eastAsia="Times New Roman" w:hAnsiTheme="minorHAnsi" w:cs="Arial"/>
                <w:b/>
                <w:bCs/>
                <w:color w:val="000000"/>
              </w:rPr>
            </w:pPr>
            <w:r w:rsidRPr="00872FD2">
              <w:rPr>
                <w:rFonts w:asciiTheme="minorHAnsi" w:eastAsia="Times New Roman" w:hAnsiTheme="minorHAnsi" w:cs="Arial"/>
                <w:b/>
                <w:bCs/>
                <w:color w:val="000000"/>
              </w:rPr>
              <w:t>Παρέμβασης</w:t>
            </w:r>
          </w:p>
        </w:tc>
        <w:tc>
          <w:tcPr>
            <w:tcW w:w="1562"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15,88 (4,76)</w:t>
            </w:r>
          </w:p>
        </w:tc>
        <w:tc>
          <w:tcPr>
            <w:tcW w:w="1538"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20,2 (3,75)</w:t>
            </w:r>
          </w:p>
        </w:tc>
        <w:tc>
          <w:tcPr>
            <w:tcW w:w="1437"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4,32 (2,98)</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Arial"/>
                <w:b/>
                <w:bCs/>
                <w:color w:val="000000"/>
              </w:rPr>
            </w:pPr>
            <w:r w:rsidRPr="00872FD2">
              <w:rPr>
                <w:rFonts w:asciiTheme="minorHAnsi" w:eastAsia="Times New Roman" w:hAnsiTheme="minorHAnsi" w:cs="Arial"/>
                <w:b/>
                <w:bCs/>
                <w:color w:val="000000"/>
              </w:rPr>
              <w:t>&lt;0,001</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p>
        </w:tc>
      </w:tr>
      <w:tr w:rsidR="007E28F2" w:rsidRPr="00872FD2" w:rsidTr="009250AC">
        <w:trPr>
          <w:cnfStyle w:val="000000010000"/>
          <w:trHeight w:val="315"/>
        </w:trPr>
        <w:tc>
          <w:tcPr>
            <w:tcW w:w="1880" w:type="dxa"/>
            <w:noWrap/>
            <w:hideMark/>
          </w:tcPr>
          <w:p w:rsidR="007E28F2" w:rsidRPr="00872FD2" w:rsidRDefault="007E28F2" w:rsidP="00872FD2">
            <w:pPr>
              <w:spacing w:after="0" w:line="360" w:lineRule="auto"/>
              <w:rPr>
                <w:rFonts w:asciiTheme="minorHAnsi" w:eastAsia="Times New Roman" w:hAnsiTheme="minorHAnsi" w:cs="Arial"/>
                <w:b/>
                <w:bCs/>
                <w:color w:val="000000"/>
              </w:rPr>
            </w:pPr>
            <w:r w:rsidRPr="00872FD2">
              <w:rPr>
                <w:rFonts w:asciiTheme="minorHAnsi" w:eastAsia="Times New Roman" w:hAnsiTheme="minorHAnsi" w:cs="Arial"/>
                <w:color w:val="000000"/>
              </w:rPr>
              <w:t>P*</w:t>
            </w:r>
          </w:p>
        </w:tc>
        <w:tc>
          <w:tcPr>
            <w:tcW w:w="1562"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0,956</w:t>
            </w:r>
          </w:p>
        </w:tc>
        <w:tc>
          <w:tcPr>
            <w:tcW w:w="1538" w:type="dxa"/>
            <w:noWrap/>
            <w:hideMark/>
          </w:tcPr>
          <w:p w:rsidR="007E28F2" w:rsidRPr="00872FD2" w:rsidRDefault="007E28F2" w:rsidP="00872FD2">
            <w:pPr>
              <w:spacing w:after="0" w:line="360" w:lineRule="auto"/>
              <w:jc w:val="center"/>
              <w:rPr>
                <w:rFonts w:asciiTheme="minorHAnsi" w:eastAsia="Times New Roman" w:hAnsiTheme="minorHAnsi" w:cs="Arial"/>
                <w:b/>
                <w:bCs/>
                <w:color w:val="000000"/>
              </w:rPr>
            </w:pPr>
            <w:r w:rsidRPr="00872FD2">
              <w:rPr>
                <w:rFonts w:asciiTheme="minorHAnsi" w:eastAsia="Times New Roman" w:hAnsiTheme="minorHAnsi" w:cs="Arial"/>
                <w:b/>
                <w:bCs/>
                <w:color w:val="000000"/>
              </w:rPr>
              <w:t>0,018</w:t>
            </w:r>
          </w:p>
        </w:tc>
        <w:tc>
          <w:tcPr>
            <w:tcW w:w="1437"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p>
        </w:tc>
      </w:tr>
      <w:tr w:rsidR="005C6ABA" w:rsidRPr="00872FD2" w:rsidTr="00AD2B6A">
        <w:trPr>
          <w:cnfStyle w:val="000000100000"/>
          <w:trHeight w:val="315"/>
        </w:trPr>
        <w:tc>
          <w:tcPr>
            <w:tcW w:w="8337" w:type="dxa"/>
            <w:gridSpan w:val="6"/>
            <w:noWrap/>
            <w:hideMark/>
          </w:tcPr>
          <w:p w:rsidR="005C6ABA" w:rsidRPr="009D18C6" w:rsidRDefault="005C6ABA" w:rsidP="005C6ABA">
            <w:pPr>
              <w:spacing w:line="240" w:lineRule="auto"/>
              <w:contextualSpacing/>
              <w:jc w:val="both"/>
              <w:rPr>
                <w:rFonts w:eastAsia="Times New Roman"/>
                <w:i/>
                <w:sz w:val="20"/>
                <w:szCs w:val="20"/>
              </w:rPr>
            </w:pPr>
            <w:r w:rsidRPr="009D18C6">
              <w:rPr>
                <w:rFonts w:eastAsia="Times New Roman"/>
                <w:i/>
                <w:sz w:val="20"/>
                <w:szCs w:val="20"/>
              </w:rPr>
              <w:t>*Διαφορά μεταξύ των ομάδων</w:t>
            </w:r>
          </w:p>
          <w:p w:rsidR="005C6ABA" w:rsidRPr="009D18C6" w:rsidRDefault="005C6ABA" w:rsidP="005C6ABA">
            <w:pPr>
              <w:spacing w:line="240" w:lineRule="auto"/>
              <w:contextualSpacing/>
              <w:jc w:val="both"/>
              <w:rPr>
                <w:rFonts w:eastAsia="Times New Roman"/>
                <w:i/>
                <w:sz w:val="20"/>
                <w:szCs w:val="20"/>
              </w:rPr>
            </w:pPr>
            <w:r w:rsidRPr="009D18C6">
              <w:rPr>
                <w:rFonts w:eastAsia="Times New Roman"/>
                <w:i/>
                <w:sz w:val="20"/>
                <w:szCs w:val="20"/>
              </w:rPr>
              <w:t>**Διαφορά μεταξύ των μετρήσεων.</w:t>
            </w:r>
          </w:p>
          <w:p w:rsidR="005C6ABA" w:rsidRPr="005C6ABA" w:rsidRDefault="005C6ABA" w:rsidP="005C6ABA">
            <w:pPr>
              <w:spacing w:line="240" w:lineRule="auto"/>
              <w:contextualSpacing/>
              <w:jc w:val="both"/>
              <w:rPr>
                <w:rFonts w:eastAsia="Times New Roman"/>
                <w:i/>
                <w:sz w:val="20"/>
                <w:szCs w:val="20"/>
              </w:rPr>
            </w:pPr>
            <w:r w:rsidRPr="009D18C6">
              <w:rPr>
                <w:rFonts w:eastAsia="Times New Roman" w:cs="Arial"/>
                <w:b/>
                <w:i/>
                <w:sz w:val="18"/>
                <w:szCs w:val="18"/>
                <w:vertAlign w:val="superscript"/>
              </w:rPr>
              <w:t>‡</w:t>
            </w:r>
            <w:r w:rsidRPr="009D18C6">
              <w:rPr>
                <w:rFonts w:eastAsia="Times New Roman"/>
                <w:i/>
                <w:color w:val="000000"/>
                <w:sz w:val="20"/>
                <w:szCs w:val="20"/>
              </w:rPr>
              <w:t xml:space="preserve"> Επαναλαμβανόμενες μετρήσεις </w:t>
            </w:r>
            <w:r w:rsidRPr="009D18C6">
              <w:rPr>
                <w:rFonts w:eastAsia="Times New Roman"/>
                <w:i/>
                <w:color w:val="000000"/>
                <w:sz w:val="20"/>
                <w:szCs w:val="20"/>
                <w:lang w:val="en-GB"/>
              </w:rPr>
              <w:t>ANOVA</w:t>
            </w:r>
            <w:r w:rsidRPr="009D18C6">
              <w:rPr>
                <w:rFonts w:eastAsia="Times New Roman"/>
                <w:i/>
                <w:color w:val="000000"/>
                <w:sz w:val="20"/>
                <w:szCs w:val="20"/>
              </w:rPr>
              <w:t>. Διαφορές στη μεταβολή από τη μια μέτρηση στην άλλη μεταξύ των</w:t>
            </w:r>
            <w:r>
              <w:rPr>
                <w:rFonts w:eastAsia="Times New Roman"/>
                <w:i/>
                <w:color w:val="000000"/>
                <w:sz w:val="20"/>
                <w:szCs w:val="20"/>
              </w:rPr>
              <w:t xml:space="preserve"> </w:t>
            </w:r>
            <w:r w:rsidRPr="009D18C6">
              <w:rPr>
                <w:rFonts w:eastAsia="Times New Roman"/>
                <w:i/>
                <w:color w:val="000000"/>
                <w:sz w:val="20"/>
                <w:szCs w:val="20"/>
              </w:rPr>
              <w:t>ομάδων.</w:t>
            </w:r>
          </w:p>
        </w:tc>
      </w:tr>
    </w:tbl>
    <w:p w:rsidR="007E28F2" w:rsidRPr="005A464E" w:rsidRDefault="007E28F2" w:rsidP="005A464E">
      <w:pPr>
        <w:pStyle w:val="nouk"/>
      </w:pPr>
    </w:p>
    <w:p w:rsidR="007E28F2" w:rsidRDefault="007E28F2" w:rsidP="005A464E">
      <w:pPr>
        <w:pStyle w:val="nouk"/>
      </w:pPr>
      <w:r w:rsidRPr="005A464E">
        <w:t xml:space="preserve">Στο γράφημα που ακολουθεί </w:t>
      </w:r>
      <w:r w:rsidR="00EF17F5">
        <w:t xml:space="preserve">(Γρ 1) </w:t>
      </w:r>
      <w:r w:rsidRPr="005A464E">
        <w:t>δίνεται η μεταβολή στη βαθμολογία γνώσεων ξεχωριστά για κάθε ομάδα.</w:t>
      </w:r>
    </w:p>
    <w:p w:rsidR="005D7B76" w:rsidRPr="005A464E" w:rsidRDefault="005D7B76" w:rsidP="005A464E">
      <w:pPr>
        <w:pStyle w:val="nouk"/>
      </w:pPr>
    </w:p>
    <w:p w:rsidR="007E28F2" w:rsidRPr="005A464E" w:rsidRDefault="00464728" w:rsidP="00863AF3">
      <w:pPr>
        <w:pStyle w:val="nouk"/>
        <w:jc w:val="center"/>
      </w:pPr>
      <w:r>
        <w:rPr>
          <w:noProof/>
          <w:lang w:eastAsia="el-GR"/>
        </w:rPr>
        <w:drawing>
          <wp:inline distT="0" distB="0" distL="0" distR="0">
            <wp:extent cx="3686175" cy="2943225"/>
            <wp:effectExtent l="19050" t="0" r="9525" b="0"/>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cstate="print"/>
                    <a:srcRect/>
                    <a:stretch>
                      <a:fillRect/>
                    </a:stretch>
                  </pic:blipFill>
                  <pic:spPr bwMode="auto">
                    <a:xfrm>
                      <a:off x="0" y="0"/>
                      <a:ext cx="3686175" cy="2943225"/>
                    </a:xfrm>
                    <a:prstGeom prst="rect">
                      <a:avLst/>
                    </a:prstGeom>
                    <a:noFill/>
                    <a:ln w="9525">
                      <a:noFill/>
                      <a:miter lim="800000"/>
                      <a:headEnd/>
                      <a:tailEnd/>
                    </a:ln>
                  </pic:spPr>
                </pic:pic>
              </a:graphicData>
            </a:graphic>
          </wp:inline>
        </w:drawing>
      </w:r>
    </w:p>
    <w:p w:rsidR="007E28F2" w:rsidRDefault="00726192" w:rsidP="00726192">
      <w:pPr>
        <w:pStyle w:val="nouk"/>
      </w:pPr>
      <w:r w:rsidRPr="00846E7B">
        <w:rPr>
          <w:i/>
        </w:rPr>
        <w:t>Γράφημα 1</w:t>
      </w:r>
      <w:r>
        <w:t xml:space="preserve"> Μ</w:t>
      </w:r>
      <w:r w:rsidRPr="005A464E">
        <w:t>εταβολή στη βαθμολογία γνώσεων</w:t>
      </w:r>
      <w:r w:rsidR="00C2256D">
        <w:t xml:space="preserve"> ξεχωριστά για κάθε ομάδα.</w:t>
      </w:r>
    </w:p>
    <w:p w:rsidR="00726192" w:rsidRPr="005A464E" w:rsidRDefault="00726192" w:rsidP="00726192">
      <w:pPr>
        <w:pStyle w:val="nouk"/>
      </w:pPr>
    </w:p>
    <w:p w:rsidR="005D7B76" w:rsidRDefault="007E28F2" w:rsidP="005D7B76">
      <w:pPr>
        <w:pStyle w:val="nouk"/>
      </w:pPr>
      <w:r w:rsidRPr="005A464E">
        <w:t>Η βαθμολογία γνώσεων μετατράπηκε και σε ποσοστιαία κλίμακα, έτσι ώστε να κυμαίνεται από 0% έως 100% με τις υψηλότερες τιμές να υποδηλώνουν μεγαλύτερη γνώση. Οι βαθμολογίες ανά ομάδα δίνονται στον πίνακα που ακολουθεί</w:t>
      </w:r>
      <w:r w:rsidR="00F6061C">
        <w:t xml:space="preserve"> (Πίν 14</w:t>
      </w:r>
      <w:r w:rsidR="00D869A7" w:rsidRPr="005A464E">
        <w:t>)</w:t>
      </w:r>
      <w:r w:rsidRPr="005A464E">
        <w:t>.</w:t>
      </w:r>
    </w:p>
    <w:p w:rsidR="009250AC" w:rsidRDefault="009250AC" w:rsidP="009250AC">
      <w:pPr>
        <w:pStyle w:val="nouk"/>
        <w:rPr>
          <w:rFonts w:asciiTheme="minorHAnsi" w:eastAsiaTheme="minorHAnsi" w:hAnsiTheme="minorHAnsi" w:cstheme="minorHAnsi"/>
        </w:rPr>
      </w:pPr>
    </w:p>
    <w:p w:rsidR="009250AC" w:rsidRPr="00F918EC" w:rsidRDefault="00F6061C" w:rsidP="009250AC">
      <w:pPr>
        <w:pStyle w:val="nouk"/>
        <w:rPr>
          <w:rFonts w:asciiTheme="minorHAnsi" w:eastAsiaTheme="minorHAnsi" w:hAnsiTheme="minorHAnsi" w:cstheme="minorHAnsi"/>
        </w:rPr>
      </w:pPr>
      <w:r>
        <w:rPr>
          <w:rFonts w:asciiTheme="minorHAnsi" w:eastAsiaTheme="minorHAnsi" w:hAnsiTheme="minorHAnsi" w:cstheme="minorHAnsi"/>
        </w:rPr>
        <w:t>Πίνακας 14</w:t>
      </w:r>
    </w:p>
    <w:p w:rsidR="00214D9E" w:rsidRPr="005A464E" w:rsidRDefault="009250AC" w:rsidP="005D7B76">
      <w:pPr>
        <w:pStyle w:val="nouk"/>
      </w:pPr>
      <w:r w:rsidRPr="008847F1">
        <w:rPr>
          <w:rFonts w:asciiTheme="minorHAnsi" w:eastAsiaTheme="minorHAnsi" w:hAnsiTheme="minorHAnsi" w:cstheme="minorHAnsi"/>
          <w:i/>
        </w:rPr>
        <w:t>Ποσοστιαία κλίμακα της βαθμολογίας γνώσεων</w:t>
      </w:r>
    </w:p>
    <w:tbl>
      <w:tblPr>
        <w:tblStyle w:val="-41"/>
        <w:tblW w:w="6417" w:type="dxa"/>
        <w:jc w:val="center"/>
        <w:tblLook w:val="04A0"/>
      </w:tblPr>
      <w:tblGrid>
        <w:gridCol w:w="1880"/>
        <w:gridCol w:w="1562"/>
        <w:gridCol w:w="1538"/>
        <w:gridCol w:w="1437"/>
      </w:tblGrid>
      <w:tr w:rsidR="007E28F2" w:rsidRPr="00872FD2" w:rsidTr="009250AC">
        <w:trPr>
          <w:cnfStyle w:val="100000000000"/>
          <w:trHeight w:val="315"/>
          <w:jc w:val="center"/>
        </w:trPr>
        <w:tc>
          <w:tcPr>
            <w:cnfStyle w:val="001000000000"/>
            <w:tcW w:w="1880" w:type="dxa"/>
            <w:noWrap/>
            <w:hideMark/>
          </w:tcPr>
          <w:p w:rsidR="007E28F2" w:rsidRPr="00872FD2" w:rsidRDefault="007E28F2" w:rsidP="005A464E">
            <w:pPr>
              <w:spacing w:after="0" w:line="360" w:lineRule="auto"/>
              <w:rPr>
                <w:rFonts w:asciiTheme="minorHAnsi" w:eastAsia="Times New Roman" w:hAnsiTheme="minorHAnsi" w:cs="Arial"/>
              </w:rPr>
            </w:pPr>
            <w:r w:rsidRPr="00872FD2">
              <w:rPr>
                <w:rFonts w:asciiTheme="minorHAnsi" w:eastAsia="Times New Roman" w:hAnsiTheme="minorHAnsi" w:cs="Arial"/>
              </w:rPr>
              <w:t> </w:t>
            </w:r>
          </w:p>
        </w:tc>
        <w:tc>
          <w:tcPr>
            <w:tcW w:w="4537" w:type="dxa"/>
            <w:gridSpan w:val="3"/>
            <w:hideMark/>
          </w:tcPr>
          <w:p w:rsidR="007E28F2" w:rsidRPr="00C2256D" w:rsidRDefault="007E28F2" w:rsidP="005A464E">
            <w:pPr>
              <w:spacing w:after="0" w:line="360" w:lineRule="auto"/>
              <w:jc w:val="center"/>
              <w:cnfStyle w:val="100000000000"/>
              <w:rPr>
                <w:rFonts w:asciiTheme="minorHAnsi" w:eastAsia="Times New Roman" w:hAnsiTheme="minorHAnsi" w:cs="Arial"/>
                <w:bCs w:val="0"/>
                <w:color w:val="0070C0"/>
                <w:sz w:val="24"/>
                <w:szCs w:val="24"/>
              </w:rPr>
            </w:pPr>
            <w:r w:rsidRPr="00C2256D">
              <w:rPr>
                <w:rFonts w:asciiTheme="minorHAnsi" w:eastAsia="Times New Roman" w:hAnsiTheme="minorHAnsi" w:cs="Arial"/>
                <w:bCs w:val="0"/>
                <w:color w:val="0070C0"/>
                <w:sz w:val="24"/>
                <w:szCs w:val="24"/>
              </w:rPr>
              <w:t>Βαθμολογία γνώσεων (%)</w:t>
            </w:r>
          </w:p>
        </w:tc>
      </w:tr>
      <w:tr w:rsidR="007E28F2" w:rsidRPr="00872FD2" w:rsidTr="009250AC">
        <w:trPr>
          <w:cnfStyle w:val="000000100000"/>
          <w:trHeight w:val="315"/>
          <w:jc w:val="center"/>
        </w:trPr>
        <w:tc>
          <w:tcPr>
            <w:cnfStyle w:val="001000000000"/>
            <w:tcW w:w="1880" w:type="dxa"/>
            <w:noWrap/>
            <w:hideMark/>
          </w:tcPr>
          <w:p w:rsidR="007E28F2" w:rsidRPr="00872FD2" w:rsidRDefault="007E28F2" w:rsidP="005A464E">
            <w:pPr>
              <w:spacing w:after="0" w:line="360" w:lineRule="auto"/>
              <w:rPr>
                <w:rFonts w:asciiTheme="minorHAnsi" w:eastAsia="Times New Roman" w:hAnsiTheme="minorHAnsi" w:cs="Arial"/>
              </w:rPr>
            </w:pPr>
            <w:r w:rsidRPr="00872FD2">
              <w:rPr>
                <w:rFonts w:asciiTheme="minorHAnsi" w:eastAsia="Times New Roman" w:hAnsiTheme="minorHAnsi" w:cs="Arial"/>
              </w:rPr>
              <w:t> </w:t>
            </w:r>
          </w:p>
        </w:tc>
        <w:tc>
          <w:tcPr>
            <w:tcW w:w="1562"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b/>
                <w:bCs/>
                <w:color w:val="000000"/>
              </w:rPr>
            </w:pPr>
            <w:r w:rsidRPr="00872FD2">
              <w:rPr>
                <w:rFonts w:asciiTheme="minorHAnsi" w:eastAsia="Times New Roman" w:hAnsiTheme="minorHAnsi" w:cs="Arial"/>
                <w:b/>
                <w:bCs/>
                <w:color w:val="000000"/>
              </w:rPr>
              <w:t>Πριν</w:t>
            </w:r>
          </w:p>
        </w:tc>
        <w:tc>
          <w:tcPr>
            <w:tcW w:w="1538" w:type="dxa"/>
            <w:hideMark/>
          </w:tcPr>
          <w:p w:rsidR="007E28F2" w:rsidRPr="00872FD2" w:rsidRDefault="007E28F2" w:rsidP="005A464E">
            <w:pPr>
              <w:spacing w:after="0" w:line="360" w:lineRule="auto"/>
              <w:jc w:val="center"/>
              <w:cnfStyle w:val="000000100000"/>
              <w:rPr>
                <w:rFonts w:asciiTheme="minorHAnsi" w:eastAsia="Times New Roman" w:hAnsiTheme="minorHAnsi" w:cs="Arial"/>
                <w:b/>
                <w:bCs/>
                <w:color w:val="000000"/>
              </w:rPr>
            </w:pPr>
            <w:r w:rsidRPr="00872FD2">
              <w:rPr>
                <w:rFonts w:asciiTheme="minorHAnsi" w:eastAsia="Times New Roman" w:hAnsiTheme="minorHAnsi" w:cs="Arial"/>
                <w:b/>
                <w:bCs/>
                <w:color w:val="000000"/>
              </w:rPr>
              <w:t>Μετά</w:t>
            </w:r>
          </w:p>
        </w:tc>
        <w:tc>
          <w:tcPr>
            <w:tcW w:w="1437"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b/>
                <w:bCs/>
              </w:rPr>
            </w:pPr>
            <w:r w:rsidRPr="00872FD2">
              <w:rPr>
                <w:rFonts w:asciiTheme="minorHAnsi" w:eastAsia="Times New Roman" w:hAnsiTheme="minorHAnsi" w:cs="Arial"/>
                <w:b/>
                <w:bCs/>
              </w:rPr>
              <w:t>Μεταβολή</w:t>
            </w:r>
          </w:p>
        </w:tc>
      </w:tr>
      <w:tr w:rsidR="007E28F2" w:rsidRPr="00872FD2" w:rsidTr="009250AC">
        <w:trPr>
          <w:cnfStyle w:val="000000010000"/>
          <w:trHeight w:val="315"/>
          <w:jc w:val="center"/>
        </w:trPr>
        <w:tc>
          <w:tcPr>
            <w:cnfStyle w:val="001000000000"/>
            <w:tcW w:w="1880" w:type="dxa"/>
            <w:hideMark/>
          </w:tcPr>
          <w:p w:rsidR="007E28F2" w:rsidRPr="00872FD2" w:rsidRDefault="007E28F2" w:rsidP="005A464E">
            <w:pPr>
              <w:spacing w:after="0" w:line="360" w:lineRule="auto"/>
              <w:rPr>
                <w:rFonts w:asciiTheme="minorHAnsi" w:eastAsia="Times New Roman" w:hAnsiTheme="minorHAnsi" w:cs="Arial"/>
                <w:b w:val="0"/>
                <w:bCs w:val="0"/>
                <w:color w:val="000000"/>
              </w:rPr>
            </w:pPr>
            <w:r w:rsidRPr="00872FD2">
              <w:rPr>
                <w:rFonts w:asciiTheme="minorHAnsi" w:eastAsia="Times New Roman" w:hAnsiTheme="minorHAnsi" w:cs="Arial"/>
                <w:b w:val="0"/>
                <w:bCs w:val="0"/>
                <w:color w:val="000000"/>
              </w:rPr>
              <w:t>Ομάδα</w:t>
            </w:r>
          </w:p>
        </w:tc>
        <w:tc>
          <w:tcPr>
            <w:tcW w:w="1562" w:type="dxa"/>
            <w:hideMark/>
          </w:tcPr>
          <w:p w:rsidR="007E28F2" w:rsidRPr="00872FD2" w:rsidRDefault="007E28F2" w:rsidP="005A464E">
            <w:pPr>
              <w:spacing w:after="0" w:line="360" w:lineRule="auto"/>
              <w:jc w:val="center"/>
              <w:cnfStyle w:val="000000010000"/>
              <w:rPr>
                <w:rFonts w:asciiTheme="minorHAnsi" w:eastAsia="Times New Roman" w:hAnsiTheme="minorHAnsi" w:cs="Arial"/>
                <w:b/>
                <w:bCs/>
                <w:color w:val="000000"/>
              </w:rPr>
            </w:pPr>
            <w:r w:rsidRPr="00872FD2">
              <w:rPr>
                <w:rFonts w:asciiTheme="minorHAnsi" w:eastAsia="Times New Roman" w:hAnsiTheme="minorHAnsi" w:cs="Arial"/>
                <w:b/>
                <w:bCs/>
                <w:color w:val="000000"/>
              </w:rPr>
              <w:t>Μέση τιμή (</w:t>
            </w:r>
            <w:r w:rsidR="00D225F5" w:rsidRPr="00872FD2">
              <w:rPr>
                <w:rFonts w:asciiTheme="minorHAnsi" w:eastAsia="Times New Roman" w:hAnsiTheme="minorHAnsi" w:cs="Arial"/>
                <w:b/>
                <w:bCs/>
                <w:color w:val="000000"/>
              </w:rPr>
              <w:t>ΤΑ</w:t>
            </w:r>
            <w:r w:rsidRPr="00872FD2">
              <w:rPr>
                <w:rFonts w:asciiTheme="minorHAnsi" w:eastAsia="Times New Roman" w:hAnsiTheme="minorHAnsi" w:cs="Arial"/>
                <w:b/>
                <w:bCs/>
                <w:color w:val="000000"/>
              </w:rPr>
              <w:t>)</w:t>
            </w:r>
          </w:p>
        </w:tc>
        <w:tc>
          <w:tcPr>
            <w:tcW w:w="1538" w:type="dxa"/>
            <w:hideMark/>
          </w:tcPr>
          <w:p w:rsidR="007E28F2" w:rsidRPr="00872FD2" w:rsidRDefault="007E28F2" w:rsidP="005A464E">
            <w:pPr>
              <w:spacing w:after="0" w:line="360" w:lineRule="auto"/>
              <w:jc w:val="center"/>
              <w:cnfStyle w:val="000000010000"/>
              <w:rPr>
                <w:rFonts w:asciiTheme="minorHAnsi" w:eastAsia="Times New Roman" w:hAnsiTheme="minorHAnsi" w:cs="Arial"/>
                <w:b/>
                <w:bCs/>
                <w:color w:val="000000"/>
              </w:rPr>
            </w:pPr>
            <w:r w:rsidRPr="00872FD2">
              <w:rPr>
                <w:rFonts w:asciiTheme="minorHAnsi" w:eastAsia="Times New Roman" w:hAnsiTheme="minorHAnsi" w:cs="Arial"/>
                <w:b/>
                <w:bCs/>
                <w:color w:val="000000"/>
              </w:rPr>
              <w:t>Μέση τιμή (</w:t>
            </w:r>
            <w:r w:rsidR="00D225F5" w:rsidRPr="00872FD2">
              <w:rPr>
                <w:rFonts w:asciiTheme="minorHAnsi" w:eastAsia="Times New Roman" w:hAnsiTheme="minorHAnsi" w:cs="Arial"/>
                <w:b/>
                <w:bCs/>
                <w:color w:val="000000"/>
              </w:rPr>
              <w:t>ΤΑ</w:t>
            </w:r>
            <w:r w:rsidRPr="00872FD2">
              <w:rPr>
                <w:rFonts w:asciiTheme="minorHAnsi" w:eastAsia="Times New Roman" w:hAnsiTheme="minorHAnsi" w:cs="Arial"/>
                <w:b/>
                <w:bCs/>
                <w:color w:val="000000"/>
              </w:rPr>
              <w:t>)</w:t>
            </w:r>
          </w:p>
        </w:tc>
        <w:tc>
          <w:tcPr>
            <w:tcW w:w="1437" w:type="dxa"/>
            <w:hideMark/>
          </w:tcPr>
          <w:p w:rsidR="007E28F2" w:rsidRPr="00872FD2" w:rsidRDefault="007E28F2" w:rsidP="005A464E">
            <w:pPr>
              <w:spacing w:after="0" w:line="360" w:lineRule="auto"/>
              <w:jc w:val="center"/>
              <w:cnfStyle w:val="000000010000"/>
              <w:rPr>
                <w:rFonts w:asciiTheme="minorHAnsi" w:eastAsia="Times New Roman" w:hAnsiTheme="minorHAnsi" w:cs="Arial"/>
                <w:b/>
                <w:bCs/>
                <w:color w:val="000000"/>
              </w:rPr>
            </w:pPr>
            <w:r w:rsidRPr="00872FD2">
              <w:rPr>
                <w:rFonts w:asciiTheme="minorHAnsi" w:eastAsia="Times New Roman" w:hAnsiTheme="minorHAnsi" w:cs="Arial"/>
                <w:b/>
                <w:bCs/>
                <w:color w:val="000000"/>
              </w:rPr>
              <w:t>Μέση τιμή (</w:t>
            </w:r>
            <w:r w:rsidR="00D225F5" w:rsidRPr="00872FD2">
              <w:rPr>
                <w:rFonts w:asciiTheme="minorHAnsi" w:eastAsia="Times New Roman" w:hAnsiTheme="minorHAnsi" w:cs="Arial"/>
                <w:b/>
                <w:bCs/>
                <w:color w:val="000000"/>
              </w:rPr>
              <w:t>ΤΑ</w:t>
            </w:r>
            <w:r w:rsidRPr="00872FD2">
              <w:rPr>
                <w:rFonts w:asciiTheme="minorHAnsi" w:eastAsia="Times New Roman" w:hAnsiTheme="minorHAnsi" w:cs="Arial"/>
                <w:b/>
                <w:bCs/>
                <w:color w:val="000000"/>
              </w:rPr>
              <w:t>)</w:t>
            </w:r>
          </w:p>
        </w:tc>
      </w:tr>
      <w:tr w:rsidR="007E28F2" w:rsidRPr="00872FD2" w:rsidTr="009250AC">
        <w:trPr>
          <w:cnfStyle w:val="000000100000"/>
          <w:trHeight w:val="315"/>
          <w:jc w:val="center"/>
        </w:trPr>
        <w:tc>
          <w:tcPr>
            <w:cnfStyle w:val="001000000000"/>
            <w:tcW w:w="1880" w:type="dxa"/>
            <w:hideMark/>
          </w:tcPr>
          <w:p w:rsidR="007E28F2" w:rsidRPr="00872FD2" w:rsidRDefault="007E28F2" w:rsidP="005A464E">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Ελέγχου</w:t>
            </w:r>
          </w:p>
        </w:tc>
        <w:tc>
          <w:tcPr>
            <w:tcW w:w="1562"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rPr>
            </w:pPr>
            <w:r w:rsidRPr="00872FD2">
              <w:rPr>
                <w:rFonts w:asciiTheme="minorHAnsi" w:eastAsia="Times New Roman" w:hAnsiTheme="minorHAnsi" w:cs="Arial"/>
              </w:rPr>
              <w:t>61,4 (19,5)</w:t>
            </w:r>
          </w:p>
        </w:tc>
        <w:tc>
          <w:tcPr>
            <w:tcW w:w="1538"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rPr>
            </w:pPr>
            <w:r w:rsidRPr="00872FD2">
              <w:rPr>
                <w:rFonts w:asciiTheme="minorHAnsi" w:eastAsia="Times New Roman" w:hAnsiTheme="minorHAnsi" w:cs="Arial"/>
              </w:rPr>
              <w:t>67,5 (17,2)</w:t>
            </w:r>
          </w:p>
        </w:tc>
        <w:tc>
          <w:tcPr>
            <w:tcW w:w="1437"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rPr>
            </w:pPr>
            <w:r w:rsidRPr="00872FD2">
              <w:rPr>
                <w:rFonts w:asciiTheme="minorHAnsi" w:eastAsia="Times New Roman" w:hAnsiTheme="minorHAnsi" w:cs="Arial"/>
              </w:rPr>
              <w:t>6,1 (4,5)</w:t>
            </w:r>
          </w:p>
        </w:tc>
      </w:tr>
      <w:tr w:rsidR="007E28F2" w:rsidRPr="00872FD2" w:rsidTr="009250AC">
        <w:trPr>
          <w:cnfStyle w:val="000000010000"/>
          <w:trHeight w:val="315"/>
          <w:jc w:val="center"/>
        </w:trPr>
        <w:tc>
          <w:tcPr>
            <w:cnfStyle w:val="001000000000"/>
            <w:tcW w:w="1880" w:type="dxa"/>
            <w:hideMark/>
          </w:tcPr>
          <w:p w:rsidR="007E28F2" w:rsidRPr="00872FD2" w:rsidRDefault="007E28F2" w:rsidP="005A464E">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Παρέμβασης</w:t>
            </w:r>
          </w:p>
        </w:tc>
        <w:tc>
          <w:tcPr>
            <w:tcW w:w="1562" w:type="dxa"/>
            <w:noWrap/>
            <w:hideMark/>
          </w:tcPr>
          <w:p w:rsidR="007E28F2" w:rsidRPr="00872FD2" w:rsidRDefault="007E28F2" w:rsidP="005A464E">
            <w:pPr>
              <w:spacing w:after="0" w:line="360" w:lineRule="auto"/>
              <w:jc w:val="center"/>
              <w:cnfStyle w:val="000000010000"/>
              <w:rPr>
                <w:rFonts w:asciiTheme="minorHAnsi" w:eastAsia="Times New Roman" w:hAnsiTheme="minorHAnsi" w:cs="Arial"/>
              </w:rPr>
            </w:pPr>
            <w:r w:rsidRPr="00872FD2">
              <w:rPr>
                <w:rFonts w:asciiTheme="minorHAnsi" w:eastAsia="Times New Roman" w:hAnsiTheme="minorHAnsi" w:cs="Arial"/>
              </w:rPr>
              <w:t>61,1 (18,3)</w:t>
            </w:r>
          </w:p>
        </w:tc>
        <w:tc>
          <w:tcPr>
            <w:tcW w:w="1538" w:type="dxa"/>
            <w:noWrap/>
            <w:hideMark/>
          </w:tcPr>
          <w:p w:rsidR="007E28F2" w:rsidRPr="00872FD2" w:rsidRDefault="007E28F2" w:rsidP="005A464E">
            <w:pPr>
              <w:spacing w:after="0" w:line="360" w:lineRule="auto"/>
              <w:jc w:val="center"/>
              <w:cnfStyle w:val="000000010000"/>
              <w:rPr>
                <w:rFonts w:asciiTheme="minorHAnsi" w:eastAsia="Times New Roman" w:hAnsiTheme="minorHAnsi" w:cs="Arial"/>
              </w:rPr>
            </w:pPr>
            <w:r w:rsidRPr="00872FD2">
              <w:rPr>
                <w:rFonts w:asciiTheme="minorHAnsi" w:eastAsia="Times New Roman" w:hAnsiTheme="minorHAnsi" w:cs="Arial"/>
              </w:rPr>
              <w:t>77,7 (14,4)</w:t>
            </w:r>
          </w:p>
        </w:tc>
        <w:tc>
          <w:tcPr>
            <w:tcW w:w="1437" w:type="dxa"/>
            <w:noWrap/>
            <w:hideMark/>
          </w:tcPr>
          <w:p w:rsidR="007E28F2" w:rsidRPr="00872FD2" w:rsidRDefault="007E28F2" w:rsidP="005A464E">
            <w:pPr>
              <w:spacing w:after="0" w:line="360" w:lineRule="auto"/>
              <w:jc w:val="center"/>
              <w:cnfStyle w:val="000000010000"/>
              <w:rPr>
                <w:rFonts w:asciiTheme="minorHAnsi" w:eastAsia="Times New Roman" w:hAnsiTheme="minorHAnsi" w:cs="Arial"/>
              </w:rPr>
            </w:pPr>
            <w:r w:rsidRPr="00872FD2">
              <w:rPr>
                <w:rFonts w:asciiTheme="minorHAnsi" w:eastAsia="Times New Roman" w:hAnsiTheme="minorHAnsi" w:cs="Arial"/>
              </w:rPr>
              <w:t>16,6 (11,5)</w:t>
            </w:r>
          </w:p>
        </w:tc>
      </w:tr>
    </w:tbl>
    <w:p w:rsidR="00726192" w:rsidRDefault="00726192" w:rsidP="005A464E">
      <w:pPr>
        <w:pStyle w:val="nouk"/>
      </w:pPr>
    </w:p>
    <w:p w:rsidR="007E28F2" w:rsidRPr="005A464E" w:rsidRDefault="001E4917" w:rsidP="005A464E">
      <w:pPr>
        <w:pStyle w:val="nouk"/>
      </w:pPr>
      <w:r w:rsidRPr="005A464E">
        <w:rPr>
          <w:b/>
        </w:rPr>
        <w:t>Κλίμακα συμμόρφωσης (</w:t>
      </w:r>
      <w:r w:rsidRPr="005A464E">
        <w:rPr>
          <w:b/>
          <w:lang w:val="en-US"/>
        </w:rPr>
        <w:t>GR</w:t>
      </w:r>
      <w:r w:rsidRPr="005A464E">
        <w:rPr>
          <w:b/>
        </w:rPr>
        <w:t>-</w:t>
      </w:r>
      <w:r w:rsidRPr="005A464E">
        <w:rPr>
          <w:b/>
          <w:lang w:val="en-US"/>
        </w:rPr>
        <w:t>SMAQ</w:t>
      </w:r>
      <w:r w:rsidRPr="005A464E">
        <w:rPr>
          <w:b/>
        </w:rPr>
        <w:t>-</w:t>
      </w:r>
      <w:r w:rsidRPr="005A464E">
        <w:rPr>
          <w:b/>
          <w:lang w:val="en-US"/>
        </w:rPr>
        <w:t>HD</w:t>
      </w:r>
      <w:r w:rsidRPr="005A464E">
        <w:rPr>
          <w:b/>
        </w:rPr>
        <w:t>)</w:t>
      </w:r>
    </w:p>
    <w:p w:rsidR="007E28F2" w:rsidRDefault="007E28F2" w:rsidP="005A464E">
      <w:pPr>
        <w:pStyle w:val="nouk"/>
      </w:pPr>
      <w:r w:rsidRPr="005A464E">
        <w:t xml:space="preserve">Στον πίνακα που ακολουθεί </w:t>
      </w:r>
      <w:r w:rsidR="00F6061C">
        <w:t>(Πίν 15</w:t>
      </w:r>
      <w:r w:rsidR="00EF17F5">
        <w:t xml:space="preserve">) </w:t>
      </w:r>
      <w:r w:rsidRPr="005A464E">
        <w:t xml:space="preserve">δίνονται οι βαθμολογίες των συμμετεχόντων στις διαστάσεις συμμόρφωσης πριν και μετά την παρέμβαση, ξεχωριστά για κάθε ομάδα. Υψηλότερες τιμές υποδηλώνουν καλύτερη συμμόρφωση. </w:t>
      </w:r>
    </w:p>
    <w:p w:rsidR="009250AC" w:rsidRDefault="009250AC" w:rsidP="009250AC">
      <w:pPr>
        <w:pStyle w:val="nouk"/>
        <w:rPr>
          <w:rFonts w:asciiTheme="minorHAnsi" w:eastAsiaTheme="minorHAnsi" w:hAnsiTheme="minorHAnsi" w:cstheme="minorHAnsi"/>
          <w:bCs/>
          <w:color w:val="000000"/>
        </w:rPr>
      </w:pPr>
    </w:p>
    <w:p w:rsidR="009250AC" w:rsidRPr="00F918EC" w:rsidRDefault="00F6061C" w:rsidP="009250AC">
      <w:pPr>
        <w:pStyle w:val="nouk"/>
        <w:rPr>
          <w:rFonts w:asciiTheme="minorHAnsi" w:eastAsiaTheme="minorHAnsi" w:hAnsiTheme="minorHAnsi" w:cstheme="minorHAnsi"/>
          <w:bCs/>
          <w:color w:val="000000"/>
        </w:rPr>
      </w:pPr>
      <w:r>
        <w:rPr>
          <w:rFonts w:asciiTheme="minorHAnsi" w:eastAsiaTheme="minorHAnsi" w:hAnsiTheme="minorHAnsi" w:cstheme="minorHAnsi"/>
          <w:bCs/>
          <w:color w:val="000000"/>
        </w:rPr>
        <w:t>Πίνακας 15</w:t>
      </w:r>
    </w:p>
    <w:p w:rsidR="00D869A7" w:rsidRPr="005A464E" w:rsidRDefault="009250AC" w:rsidP="005A464E">
      <w:pPr>
        <w:pStyle w:val="nouk"/>
      </w:pPr>
      <w:r w:rsidRPr="008847F1">
        <w:rPr>
          <w:rFonts w:asciiTheme="minorHAnsi" w:eastAsiaTheme="minorHAnsi" w:hAnsiTheme="minorHAnsi" w:cstheme="minorHAnsi"/>
          <w:bCs/>
          <w:i/>
          <w:color w:val="000000"/>
        </w:rPr>
        <w:t>Βαθμολογίες των συμμετεχόντων στις διαστάσεις συμμόρφωσης πριν και μετά την παρέμβαση</w:t>
      </w:r>
    </w:p>
    <w:tbl>
      <w:tblPr>
        <w:tblStyle w:val="-41"/>
        <w:tblW w:w="11475" w:type="dxa"/>
        <w:jc w:val="center"/>
        <w:tblLook w:val="0480"/>
      </w:tblPr>
      <w:tblGrid>
        <w:gridCol w:w="3020"/>
        <w:gridCol w:w="1880"/>
        <w:gridCol w:w="1595"/>
        <w:gridCol w:w="1530"/>
        <w:gridCol w:w="1530"/>
        <w:gridCol w:w="960"/>
        <w:gridCol w:w="960"/>
      </w:tblGrid>
      <w:tr w:rsidR="007E28F2" w:rsidRPr="00872FD2" w:rsidTr="009250AC">
        <w:trPr>
          <w:cnfStyle w:val="000000100000"/>
          <w:trHeight w:val="315"/>
          <w:jc w:val="center"/>
        </w:trPr>
        <w:tc>
          <w:tcPr>
            <w:cnfStyle w:val="001000000000"/>
            <w:tcW w:w="3020" w:type="dxa"/>
            <w:noWrap/>
            <w:hideMark/>
          </w:tcPr>
          <w:p w:rsidR="007E28F2" w:rsidRPr="00872FD2" w:rsidRDefault="007E28F2" w:rsidP="00872FD2">
            <w:pPr>
              <w:spacing w:after="0" w:line="360" w:lineRule="auto"/>
              <w:rPr>
                <w:rFonts w:asciiTheme="minorHAnsi" w:eastAsia="Times New Roman" w:hAnsiTheme="minorHAnsi" w:cs="Arial"/>
                <w:b w:val="0"/>
                <w:bCs w:val="0"/>
                <w:color w:val="000000"/>
              </w:rPr>
            </w:pPr>
            <w:r w:rsidRPr="00872FD2">
              <w:rPr>
                <w:rFonts w:asciiTheme="minorHAnsi" w:eastAsia="Times New Roman" w:hAnsiTheme="minorHAnsi" w:cs="Arial"/>
                <w:color w:val="000000"/>
              </w:rPr>
              <w:t> </w:t>
            </w:r>
          </w:p>
        </w:tc>
        <w:tc>
          <w:tcPr>
            <w:tcW w:w="1880" w:type="dxa"/>
            <w:noWrap/>
            <w:hideMark/>
          </w:tcPr>
          <w:p w:rsidR="007E28F2" w:rsidRPr="00872FD2" w:rsidRDefault="007E28F2" w:rsidP="00872FD2">
            <w:pPr>
              <w:spacing w:after="0" w:line="360" w:lineRule="auto"/>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 </w:t>
            </w:r>
          </w:p>
        </w:tc>
        <w:tc>
          <w:tcPr>
            <w:tcW w:w="1595"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b/>
                <w:bCs/>
                <w:color w:val="000000"/>
              </w:rPr>
            </w:pPr>
            <w:r w:rsidRPr="00872FD2">
              <w:rPr>
                <w:rFonts w:asciiTheme="minorHAnsi" w:eastAsia="Times New Roman" w:hAnsiTheme="minorHAnsi" w:cs="Arial"/>
                <w:b/>
                <w:bCs/>
                <w:color w:val="000000"/>
              </w:rPr>
              <w:t>Πριν</w:t>
            </w:r>
          </w:p>
        </w:tc>
        <w:tc>
          <w:tcPr>
            <w:tcW w:w="1530" w:type="dxa"/>
            <w:hideMark/>
          </w:tcPr>
          <w:p w:rsidR="007E28F2" w:rsidRPr="00872FD2" w:rsidRDefault="007E28F2" w:rsidP="00872FD2">
            <w:pPr>
              <w:spacing w:after="0" w:line="360" w:lineRule="auto"/>
              <w:jc w:val="center"/>
              <w:cnfStyle w:val="000000100000"/>
              <w:rPr>
                <w:rFonts w:asciiTheme="minorHAnsi" w:eastAsia="Times New Roman" w:hAnsiTheme="minorHAnsi" w:cs="Arial"/>
                <w:b/>
                <w:bCs/>
                <w:color w:val="000000"/>
              </w:rPr>
            </w:pPr>
            <w:r w:rsidRPr="00872FD2">
              <w:rPr>
                <w:rFonts w:asciiTheme="minorHAnsi" w:eastAsia="Times New Roman" w:hAnsiTheme="minorHAnsi" w:cs="Arial"/>
                <w:b/>
                <w:bCs/>
                <w:color w:val="000000"/>
              </w:rPr>
              <w:t>Μετά</w:t>
            </w:r>
          </w:p>
        </w:tc>
        <w:tc>
          <w:tcPr>
            <w:tcW w:w="153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b/>
                <w:bCs/>
                <w:color w:val="000000"/>
              </w:rPr>
            </w:pPr>
            <w:r w:rsidRPr="00872FD2">
              <w:rPr>
                <w:rFonts w:asciiTheme="minorHAnsi" w:eastAsia="Times New Roman" w:hAnsiTheme="minorHAnsi" w:cs="Arial"/>
                <w:b/>
                <w:bCs/>
                <w:color w:val="000000"/>
              </w:rPr>
              <w:t>Μεταβολή</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b/>
                <w:bCs/>
                <w:color w:val="000000"/>
              </w:rPr>
            </w:pP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b/>
                <w:bCs/>
                <w:color w:val="000000"/>
              </w:rPr>
            </w:pPr>
          </w:p>
        </w:tc>
      </w:tr>
      <w:tr w:rsidR="007E28F2" w:rsidRPr="00872FD2" w:rsidTr="009250AC">
        <w:trPr>
          <w:cnfStyle w:val="000000010000"/>
          <w:trHeight w:val="315"/>
          <w:jc w:val="center"/>
        </w:trPr>
        <w:tc>
          <w:tcPr>
            <w:cnfStyle w:val="001000000000"/>
            <w:tcW w:w="3020" w:type="dxa"/>
            <w:hideMark/>
          </w:tcPr>
          <w:p w:rsidR="007E28F2" w:rsidRPr="00872FD2" w:rsidRDefault="007E28F2" w:rsidP="00872FD2">
            <w:pPr>
              <w:spacing w:after="0" w:line="360" w:lineRule="auto"/>
              <w:rPr>
                <w:rFonts w:asciiTheme="minorHAnsi" w:eastAsia="Times New Roman" w:hAnsiTheme="minorHAnsi" w:cs="Arial"/>
                <w:b w:val="0"/>
                <w:bCs w:val="0"/>
                <w:color w:val="000000"/>
              </w:rPr>
            </w:pPr>
            <w:r w:rsidRPr="00872FD2">
              <w:rPr>
                <w:rFonts w:asciiTheme="minorHAnsi" w:eastAsia="Times New Roman" w:hAnsiTheme="minorHAnsi" w:cs="Arial"/>
                <w:color w:val="000000"/>
              </w:rPr>
              <w:t xml:space="preserve"> </w:t>
            </w:r>
          </w:p>
        </w:tc>
        <w:tc>
          <w:tcPr>
            <w:tcW w:w="1880" w:type="dxa"/>
            <w:noWrap/>
            <w:hideMark/>
          </w:tcPr>
          <w:p w:rsidR="007E28F2" w:rsidRPr="00872FD2" w:rsidRDefault="007E28F2" w:rsidP="00872FD2">
            <w:pPr>
              <w:spacing w:after="0" w:line="360" w:lineRule="auto"/>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 </w:t>
            </w:r>
          </w:p>
        </w:tc>
        <w:tc>
          <w:tcPr>
            <w:tcW w:w="1595" w:type="dxa"/>
            <w:hideMark/>
          </w:tcPr>
          <w:p w:rsidR="007E28F2" w:rsidRPr="00872FD2" w:rsidRDefault="007E28F2" w:rsidP="00872FD2">
            <w:pPr>
              <w:spacing w:after="0" w:line="360" w:lineRule="auto"/>
              <w:jc w:val="center"/>
              <w:cnfStyle w:val="000000010000"/>
              <w:rPr>
                <w:rFonts w:asciiTheme="minorHAnsi" w:eastAsia="Times New Roman" w:hAnsiTheme="minorHAnsi" w:cs="Arial"/>
                <w:b/>
                <w:bCs/>
                <w:color w:val="000000"/>
              </w:rPr>
            </w:pPr>
            <w:r w:rsidRPr="00872FD2">
              <w:rPr>
                <w:rFonts w:asciiTheme="minorHAnsi" w:eastAsia="Times New Roman" w:hAnsiTheme="minorHAnsi" w:cs="Arial"/>
                <w:b/>
                <w:bCs/>
                <w:color w:val="000000"/>
              </w:rPr>
              <w:t>Μέση τιμή (</w:t>
            </w:r>
            <w:r w:rsidR="00D225F5" w:rsidRPr="00872FD2">
              <w:rPr>
                <w:rFonts w:asciiTheme="minorHAnsi" w:eastAsia="Times New Roman" w:hAnsiTheme="minorHAnsi" w:cs="Arial"/>
                <w:b/>
                <w:bCs/>
                <w:color w:val="000000"/>
              </w:rPr>
              <w:t>ΤΑ</w:t>
            </w:r>
            <w:r w:rsidRPr="00872FD2">
              <w:rPr>
                <w:rFonts w:asciiTheme="minorHAnsi" w:eastAsia="Times New Roman" w:hAnsiTheme="minorHAnsi" w:cs="Arial"/>
                <w:b/>
                <w:bCs/>
                <w:color w:val="000000"/>
              </w:rPr>
              <w:t>)</w:t>
            </w:r>
          </w:p>
        </w:tc>
        <w:tc>
          <w:tcPr>
            <w:tcW w:w="1530" w:type="dxa"/>
            <w:hideMark/>
          </w:tcPr>
          <w:p w:rsidR="007E28F2" w:rsidRPr="00872FD2" w:rsidRDefault="007E28F2" w:rsidP="00872FD2">
            <w:pPr>
              <w:spacing w:after="0" w:line="360" w:lineRule="auto"/>
              <w:jc w:val="center"/>
              <w:cnfStyle w:val="000000010000"/>
              <w:rPr>
                <w:rFonts w:asciiTheme="minorHAnsi" w:eastAsia="Times New Roman" w:hAnsiTheme="minorHAnsi" w:cs="Arial"/>
                <w:b/>
                <w:bCs/>
                <w:color w:val="000000"/>
              </w:rPr>
            </w:pPr>
            <w:r w:rsidRPr="00872FD2">
              <w:rPr>
                <w:rFonts w:asciiTheme="minorHAnsi" w:eastAsia="Times New Roman" w:hAnsiTheme="minorHAnsi" w:cs="Arial"/>
                <w:b/>
                <w:bCs/>
                <w:color w:val="000000"/>
              </w:rPr>
              <w:t>Μέση τιμή (</w:t>
            </w:r>
            <w:r w:rsidR="00D225F5" w:rsidRPr="00872FD2">
              <w:rPr>
                <w:rFonts w:asciiTheme="minorHAnsi" w:eastAsia="Times New Roman" w:hAnsiTheme="minorHAnsi" w:cs="Arial"/>
                <w:b/>
                <w:bCs/>
                <w:color w:val="000000"/>
              </w:rPr>
              <w:t>ΤΑ</w:t>
            </w:r>
            <w:r w:rsidRPr="00872FD2">
              <w:rPr>
                <w:rFonts w:asciiTheme="minorHAnsi" w:eastAsia="Times New Roman" w:hAnsiTheme="minorHAnsi" w:cs="Arial"/>
                <w:b/>
                <w:bCs/>
                <w:color w:val="000000"/>
              </w:rPr>
              <w:t>)</w:t>
            </w:r>
          </w:p>
        </w:tc>
        <w:tc>
          <w:tcPr>
            <w:tcW w:w="1530" w:type="dxa"/>
            <w:hideMark/>
          </w:tcPr>
          <w:p w:rsidR="007E28F2" w:rsidRPr="00872FD2" w:rsidRDefault="007E28F2" w:rsidP="00872FD2">
            <w:pPr>
              <w:spacing w:after="0" w:line="360" w:lineRule="auto"/>
              <w:jc w:val="center"/>
              <w:cnfStyle w:val="000000010000"/>
              <w:rPr>
                <w:rFonts w:asciiTheme="minorHAnsi" w:eastAsia="Times New Roman" w:hAnsiTheme="minorHAnsi" w:cs="Arial"/>
                <w:b/>
                <w:bCs/>
                <w:color w:val="000000"/>
              </w:rPr>
            </w:pPr>
            <w:r w:rsidRPr="00872FD2">
              <w:rPr>
                <w:rFonts w:asciiTheme="minorHAnsi" w:eastAsia="Times New Roman" w:hAnsiTheme="minorHAnsi" w:cs="Arial"/>
                <w:b/>
                <w:bCs/>
                <w:color w:val="000000"/>
              </w:rPr>
              <w:t>Μέση τιμή (</w:t>
            </w:r>
            <w:r w:rsidR="00D225F5" w:rsidRPr="00872FD2">
              <w:rPr>
                <w:rFonts w:asciiTheme="minorHAnsi" w:eastAsia="Times New Roman" w:hAnsiTheme="minorHAnsi" w:cs="Arial"/>
                <w:b/>
                <w:bCs/>
                <w:color w:val="000000"/>
              </w:rPr>
              <w:t>ΤΑ</w:t>
            </w:r>
            <w:r w:rsidRPr="00872FD2">
              <w:rPr>
                <w:rFonts w:asciiTheme="minorHAnsi" w:eastAsia="Times New Roman" w:hAnsiTheme="minorHAnsi" w:cs="Arial"/>
                <w:b/>
                <w:bCs/>
                <w:color w:val="000000"/>
              </w:rPr>
              <w:t>)</w:t>
            </w:r>
          </w:p>
        </w:tc>
        <w:tc>
          <w:tcPr>
            <w:tcW w:w="960" w:type="dxa"/>
            <w:hideMark/>
          </w:tcPr>
          <w:p w:rsidR="007E28F2" w:rsidRPr="00872FD2" w:rsidRDefault="007E28F2" w:rsidP="00872FD2">
            <w:pPr>
              <w:spacing w:after="0" w:line="360" w:lineRule="auto"/>
              <w:jc w:val="center"/>
              <w:cnfStyle w:val="000000010000"/>
              <w:rPr>
                <w:rFonts w:asciiTheme="minorHAnsi" w:eastAsia="Times New Roman" w:hAnsiTheme="minorHAnsi" w:cs="Arial"/>
                <w:b/>
                <w:bCs/>
                <w:color w:val="000000"/>
              </w:rPr>
            </w:pPr>
            <w:r w:rsidRPr="00872FD2">
              <w:rPr>
                <w:rFonts w:asciiTheme="minorHAnsi" w:eastAsia="Times New Roman" w:hAnsiTheme="minorHAnsi" w:cs="Arial"/>
                <w:b/>
                <w:bCs/>
                <w:color w:val="000000"/>
              </w:rPr>
              <w:t>P**</w:t>
            </w:r>
          </w:p>
        </w:tc>
        <w:tc>
          <w:tcPr>
            <w:tcW w:w="960" w:type="dxa"/>
            <w:hideMark/>
          </w:tcPr>
          <w:p w:rsidR="007E28F2" w:rsidRPr="00872FD2" w:rsidRDefault="007E28F2" w:rsidP="00872FD2">
            <w:pPr>
              <w:spacing w:after="0" w:line="360" w:lineRule="auto"/>
              <w:jc w:val="center"/>
              <w:cnfStyle w:val="000000010000"/>
              <w:rPr>
                <w:rFonts w:asciiTheme="minorHAnsi" w:eastAsia="Times New Roman" w:hAnsiTheme="minorHAnsi" w:cs="Arial"/>
                <w:b/>
                <w:bCs/>
                <w:color w:val="000000"/>
              </w:rPr>
            </w:pPr>
            <w:r w:rsidRPr="00872FD2">
              <w:rPr>
                <w:rFonts w:asciiTheme="minorHAnsi" w:eastAsia="Times New Roman" w:hAnsiTheme="minorHAnsi" w:cs="Arial"/>
                <w:b/>
                <w:bCs/>
                <w:color w:val="000000"/>
              </w:rPr>
              <w:t>P‡</w:t>
            </w:r>
          </w:p>
        </w:tc>
      </w:tr>
      <w:tr w:rsidR="007E28F2" w:rsidRPr="00872FD2" w:rsidTr="009250AC">
        <w:trPr>
          <w:cnfStyle w:val="000000100000"/>
          <w:trHeight w:val="315"/>
          <w:jc w:val="center"/>
        </w:trPr>
        <w:tc>
          <w:tcPr>
            <w:cnfStyle w:val="001000000000"/>
            <w:tcW w:w="3020" w:type="dxa"/>
            <w:hideMark/>
          </w:tcPr>
          <w:p w:rsidR="007E28F2" w:rsidRPr="00872FD2" w:rsidRDefault="007E28F2" w:rsidP="00872FD2">
            <w:pPr>
              <w:spacing w:after="0" w:line="360" w:lineRule="auto"/>
              <w:rPr>
                <w:rFonts w:asciiTheme="minorHAnsi" w:eastAsia="Times New Roman" w:hAnsiTheme="minorHAnsi" w:cs="Arial"/>
                <w:b w:val="0"/>
                <w:bCs w:val="0"/>
                <w:color w:val="0070C0"/>
              </w:rPr>
            </w:pPr>
            <w:r w:rsidRPr="00872FD2">
              <w:rPr>
                <w:rFonts w:asciiTheme="minorHAnsi" w:eastAsia="Times New Roman" w:hAnsiTheme="minorHAnsi" w:cs="Arial"/>
                <w:color w:val="0070C0"/>
              </w:rPr>
              <w:t xml:space="preserve">Κλίμακα συμμόρφωσης (SMAQ) </w:t>
            </w:r>
          </w:p>
        </w:tc>
        <w:tc>
          <w:tcPr>
            <w:tcW w:w="1880" w:type="dxa"/>
            <w:noWrap/>
            <w:hideMark/>
          </w:tcPr>
          <w:p w:rsidR="007E28F2" w:rsidRPr="00872FD2" w:rsidRDefault="007E28F2" w:rsidP="00872FD2">
            <w:pPr>
              <w:spacing w:after="0" w:line="360" w:lineRule="auto"/>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 </w:t>
            </w:r>
          </w:p>
        </w:tc>
        <w:tc>
          <w:tcPr>
            <w:tcW w:w="1595" w:type="dxa"/>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c>
          <w:tcPr>
            <w:tcW w:w="1530" w:type="dxa"/>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c>
          <w:tcPr>
            <w:tcW w:w="1530" w:type="dxa"/>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r>
      <w:tr w:rsidR="007E28F2" w:rsidRPr="00872FD2" w:rsidTr="009250AC">
        <w:trPr>
          <w:cnfStyle w:val="000000010000"/>
          <w:trHeight w:val="315"/>
          <w:jc w:val="center"/>
        </w:trPr>
        <w:tc>
          <w:tcPr>
            <w:cnfStyle w:val="001000000000"/>
            <w:tcW w:w="3020" w:type="dxa"/>
            <w:hideMark/>
          </w:tcPr>
          <w:p w:rsidR="007E28F2" w:rsidRPr="00872FD2" w:rsidRDefault="007E28F2" w:rsidP="00872FD2">
            <w:pPr>
              <w:spacing w:after="0" w:line="360" w:lineRule="auto"/>
              <w:rPr>
                <w:rFonts w:asciiTheme="minorHAnsi" w:eastAsia="Times New Roman" w:hAnsiTheme="minorHAnsi" w:cs="Arial"/>
                <w:b w:val="0"/>
                <w:bCs w:val="0"/>
                <w:color w:val="000000"/>
              </w:rPr>
            </w:pPr>
            <w:r w:rsidRPr="00872FD2">
              <w:rPr>
                <w:rFonts w:asciiTheme="minorHAnsi" w:eastAsia="Times New Roman" w:hAnsiTheme="minorHAnsi" w:cs="Arial"/>
                <w:color w:val="000000"/>
              </w:rPr>
              <w:t>Ομάδα</w:t>
            </w:r>
          </w:p>
        </w:tc>
        <w:tc>
          <w:tcPr>
            <w:tcW w:w="1880" w:type="dxa"/>
            <w:hideMark/>
          </w:tcPr>
          <w:p w:rsidR="007E28F2" w:rsidRPr="00872FD2" w:rsidRDefault="007E28F2" w:rsidP="00872FD2">
            <w:pPr>
              <w:spacing w:after="0" w:line="360" w:lineRule="auto"/>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Ελέγχου</w:t>
            </w:r>
          </w:p>
        </w:tc>
        <w:tc>
          <w:tcPr>
            <w:tcW w:w="1595"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6,28 (1,43)</w:t>
            </w:r>
          </w:p>
        </w:tc>
        <w:tc>
          <w:tcPr>
            <w:tcW w:w="153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6,32 (1,46)</w:t>
            </w:r>
          </w:p>
        </w:tc>
        <w:tc>
          <w:tcPr>
            <w:tcW w:w="153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0,04 (0,2)</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0,683</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b/>
                <w:bCs/>
                <w:color w:val="000000"/>
              </w:rPr>
            </w:pPr>
            <w:r w:rsidRPr="00872FD2">
              <w:rPr>
                <w:rFonts w:asciiTheme="minorHAnsi" w:eastAsia="Times New Roman" w:hAnsiTheme="minorHAnsi" w:cs="Arial"/>
                <w:b/>
                <w:bCs/>
                <w:color w:val="000000"/>
              </w:rPr>
              <w:t>0,014</w:t>
            </w:r>
          </w:p>
        </w:tc>
      </w:tr>
      <w:tr w:rsidR="007E28F2" w:rsidRPr="00872FD2" w:rsidTr="009250AC">
        <w:trPr>
          <w:cnfStyle w:val="000000100000"/>
          <w:trHeight w:val="315"/>
          <w:jc w:val="center"/>
        </w:trPr>
        <w:tc>
          <w:tcPr>
            <w:cnfStyle w:val="001000000000"/>
            <w:tcW w:w="3020" w:type="dxa"/>
            <w:noWrap/>
            <w:hideMark/>
          </w:tcPr>
          <w:p w:rsidR="007E28F2" w:rsidRPr="00872FD2" w:rsidRDefault="007E28F2" w:rsidP="00872FD2">
            <w:pPr>
              <w:spacing w:after="0" w:line="360" w:lineRule="auto"/>
              <w:rPr>
                <w:rFonts w:asciiTheme="minorHAnsi" w:eastAsia="Times New Roman" w:hAnsiTheme="minorHAnsi" w:cs="Arial"/>
                <w:b w:val="0"/>
                <w:bCs w:val="0"/>
                <w:color w:val="000000"/>
              </w:rPr>
            </w:pPr>
            <w:r w:rsidRPr="00872FD2">
              <w:rPr>
                <w:rFonts w:asciiTheme="minorHAnsi" w:eastAsia="Times New Roman" w:hAnsiTheme="minorHAnsi" w:cs="Arial"/>
                <w:color w:val="000000"/>
              </w:rPr>
              <w:t> </w:t>
            </w:r>
          </w:p>
        </w:tc>
        <w:tc>
          <w:tcPr>
            <w:tcW w:w="1880" w:type="dxa"/>
            <w:hideMark/>
          </w:tcPr>
          <w:p w:rsidR="007E28F2" w:rsidRPr="00872FD2" w:rsidRDefault="007E28F2" w:rsidP="00872FD2">
            <w:pPr>
              <w:spacing w:after="0" w:line="360" w:lineRule="auto"/>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Παρέμβασης</w:t>
            </w:r>
          </w:p>
        </w:tc>
        <w:tc>
          <w:tcPr>
            <w:tcW w:w="1595"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7,04 (1,08)</w:t>
            </w:r>
          </w:p>
        </w:tc>
        <w:tc>
          <w:tcPr>
            <w:tcW w:w="153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7,38 (0,82)</w:t>
            </w:r>
          </w:p>
        </w:tc>
        <w:tc>
          <w:tcPr>
            <w:tcW w:w="153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0,33 (0,56)</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b/>
                <w:bCs/>
                <w:color w:val="000000"/>
              </w:rPr>
            </w:pPr>
            <w:r w:rsidRPr="00872FD2">
              <w:rPr>
                <w:rFonts w:asciiTheme="minorHAnsi" w:eastAsia="Times New Roman" w:hAnsiTheme="minorHAnsi" w:cs="Arial"/>
                <w:b/>
                <w:bCs/>
                <w:color w:val="000000"/>
              </w:rPr>
              <w:t>&lt;0,001</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r>
      <w:tr w:rsidR="007E28F2" w:rsidRPr="00872FD2" w:rsidTr="009250AC">
        <w:trPr>
          <w:cnfStyle w:val="000000010000"/>
          <w:trHeight w:val="315"/>
          <w:jc w:val="center"/>
        </w:trPr>
        <w:tc>
          <w:tcPr>
            <w:cnfStyle w:val="001000000000"/>
            <w:tcW w:w="3020" w:type="dxa"/>
            <w:noWrap/>
            <w:hideMark/>
          </w:tcPr>
          <w:p w:rsidR="007E28F2" w:rsidRPr="00872FD2" w:rsidRDefault="007E28F2" w:rsidP="00872FD2">
            <w:pPr>
              <w:spacing w:after="0" w:line="360" w:lineRule="auto"/>
              <w:rPr>
                <w:rFonts w:asciiTheme="minorHAnsi" w:eastAsia="Times New Roman" w:hAnsiTheme="minorHAnsi" w:cs="Arial"/>
                <w:b w:val="0"/>
                <w:bCs w:val="0"/>
                <w:color w:val="000000"/>
              </w:rPr>
            </w:pPr>
            <w:r w:rsidRPr="00872FD2">
              <w:rPr>
                <w:rFonts w:asciiTheme="minorHAnsi" w:eastAsia="Times New Roman" w:hAnsiTheme="minorHAnsi" w:cs="Arial"/>
                <w:color w:val="000000"/>
              </w:rPr>
              <w:t> </w:t>
            </w:r>
          </w:p>
        </w:tc>
        <w:tc>
          <w:tcPr>
            <w:tcW w:w="1880" w:type="dxa"/>
            <w:noWrap/>
            <w:hideMark/>
          </w:tcPr>
          <w:p w:rsidR="007E28F2" w:rsidRPr="00872FD2" w:rsidRDefault="007E28F2" w:rsidP="00872FD2">
            <w:pPr>
              <w:spacing w:after="0" w:line="360" w:lineRule="auto"/>
              <w:cnfStyle w:val="000000010000"/>
              <w:rPr>
                <w:rFonts w:asciiTheme="minorHAnsi" w:eastAsia="Times New Roman" w:hAnsiTheme="minorHAnsi" w:cs="Arial"/>
                <w:b/>
                <w:bCs/>
                <w:color w:val="000000"/>
              </w:rPr>
            </w:pPr>
            <w:r w:rsidRPr="00872FD2">
              <w:rPr>
                <w:rFonts w:asciiTheme="minorHAnsi" w:eastAsia="Times New Roman" w:hAnsiTheme="minorHAnsi" w:cs="Arial"/>
                <w:b/>
                <w:bCs/>
                <w:color w:val="000000"/>
              </w:rPr>
              <w:t>P*</w:t>
            </w:r>
          </w:p>
        </w:tc>
        <w:tc>
          <w:tcPr>
            <w:tcW w:w="1595"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b/>
                <w:bCs/>
                <w:color w:val="000000"/>
              </w:rPr>
            </w:pPr>
            <w:r w:rsidRPr="00872FD2">
              <w:rPr>
                <w:rFonts w:asciiTheme="minorHAnsi" w:eastAsia="Times New Roman" w:hAnsiTheme="minorHAnsi" w:cs="Arial"/>
                <w:b/>
                <w:bCs/>
                <w:color w:val="000000"/>
              </w:rPr>
              <w:t>0,044</w:t>
            </w:r>
          </w:p>
        </w:tc>
        <w:tc>
          <w:tcPr>
            <w:tcW w:w="153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b/>
                <w:bCs/>
                <w:color w:val="000000"/>
              </w:rPr>
            </w:pPr>
            <w:r w:rsidRPr="00872FD2">
              <w:rPr>
                <w:rFonts w:asciiTheme="minorHAnsi" w:eastAsia="Times New Roman" w:hAnsiTheme="minorHAnsi" w:cs="Arial"/>
                <w:b/>
                <w:bCs/>
                <w:color w:val="000000"/>
              </w:rPr>
              <w:t>0,004</w:t>
            </w:r>
          </w:p>
        </w:tc>
        <w:tc>
          <w:tcPr>
            <w:tcW w:w="153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p>
        </w:tc>
      </w:tr>
      <w:tr w:rsidR="007E28F2" w:rsidRPr="00872FD2" w:rsidTr="009250AC">
        <w:trPr>
          <w:cnfStyle w:val="000000100000"/>
          <w:trHeight w:val="315"/>
          <w:jc w:val="center"/>
        </w:trPr>
        <w:tc>
          <w:tcPr>
            <w:cnfStyle w:val="001000000000"/>
            <w:tcW w:w="3020" w:type="dxa"/>
            <w:hideMark/>
          </w:tcPr>
          <w:p w:rsidR="007E28F2" w:rsidRPr="00872FD2" w:rsidRDefault="0076474F" w:rsidP="00872FD2">
            <w:pPr>
              <w:spacing w:after="0" w:line="360" w:lineRule="auto"/>
              <w:rPr>
                <w:rFonts w:asciiTheme="minorHAnsi" w:eastAsia="Times New Roman" w:hAnsiTheme="minorHAnsi" w:cs="Arial"/>
                <w:b w:val="0"/>
                <w:bCs w:val="0"/>
                <w:color w:val="0070C0"/>
              </w:rPr>
            </w:pPr>
            <w:r w:rsidRPr="00872FD2">
              <w:rPr>
                <w:rFonts w:asciiTheme="minorHAnsi" w:eastAsia="Times New Roman" w:hAnsiTheme="minorHAnsi" w:cs="Arial"/>
                <w:color w:val="0070C0"/>
              </w:rPr>
              <w:t>Φαρμακευτική αγωγή</w:t>
            </w:r>
          </w:p>
        </w:tc>
        <w:tc>
          <w:tcPr>
            <w:tcW w:w="1880" w:type="dxa"/>
            <w:hideMark/>
          </w:tcPr>
          <w:p w:rsidR="007E28F2" w:rsidRPr="00872FD2" w:rsidRDefault="007E28F2" w:rsidP="00872FD2">
            <w:pPr>
              <w:spacing w:after="0" w:line="360" w:lineRule="auto"/>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 </w:t>
            </w:r>
          </w:p>
        </w:tc>
        <w:tc>
          <w:tcPr>
            <w:tcW w:w="1595" w:type="dxa"/>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c>
          <w:tcPr>
            <w:tcW w:w="1530" w:type="dxa"/>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c>
          <w:tcPr>
            <w:tcW w:w="1530" w:type="dxa"/>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r>
      <w:tr w:rsidR="007E28F2" w:rsidRPr="00872FD2" w:rsidTr="009250AC">
        <w:trPr>
          <w:cnfStyle w:val="000000010000"/>
          <w:trHeight w:val="315"/>
          <w:jc w:val="center"/>
        </w:trPr>
        <w:tc>
          <w:tcPr>
            <w:cnfStyle w:val="001000000000"/>
            <w:tcW w:w="3020" w:type="dxa"/>
            <w:hideMark/>
          </w:tcPr>
          <w:p w:rsidR="007E28F2" w:rsidRPr="00872FD2" w:rsidRDefault="007E28F2" w:rsidP="00872FD2">
            <w:pPr>
              <w:spacing w:after="0" w:line="360" w:lineRule="auto"/>
              <w:rPr>
                <w:rFonts w:asciiTheme="minorHAnsi" w:eastAsia="Times New Roman" w:hAnsiTheme="minorHAnsi" w:cs="Arial"/>
                <w:b w:val="0"/>
                <w:bCs w:val="0"/>
                <w:color w:val="000000"/>
              </w:rPr>
            </w:pPr>
            <w:r w:rsidRPr="00872FD2">
              <w:rPr>
                <w:rFonts w:asciiTheme="minorHAnsi" w:eastAsia="Times New Roman" w:hAnsiTheme="minorHAnsi" w:cs="Arial"/>
                <w:color w:val="000000"/>
              </w:rPr>
              <w:t>Ομάδα</w:t>
            </w:r>
          </w:p>
        </w:tc>
        <w:tc>
          <w:tcPr>
            <w:tcW w:w="1880" w:type="dxa"/>
            <w:hideMark/>
          </w:tcPr>
          <w:p w:rsidR="007E28F2" w:rsidRPr="00872FD2" w:rsidRDefault="007E28F2" w:rsidP="00872FD2">
            <w:pPr>
              <w:spacing w:after="0" w:line="360" w:lineRule="auto"/>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Ελέγχου</w:t>
            </w:r>
          </w:p>
        </w:tc>
        <w:tc>
          <w:tcPr>
            <w:tcW w:w="1595"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3,04 (1,02)</w:t>
            </w:r>
          </w:p>
        </w:tc>
        <w:tc>
          <w:tcPr>
            <w:tcW w:w="153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3,04 (1,02)</w:t>
            </w:r>
          </w:p>
        </w:tc>
        <w:tc>
          <w:tcPr>
            <w:tcW w:w="153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0 (-)</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1,000</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0,322</w:t>
            </w:r>
          </w:p>
        </w:tc>
      </w:tr>
      <w:tr w:rsidR="007E28F2" w:rsidRPr="00872FD2" w:rsidTr="009250AC">
        <w:trPr>
          <w:cnfStyle w:val="000000100000"/>
          <w:trHeight w:val="315"/>
          <w:jc w:val="center"/>
        </w:trPr>
        <w:tc>
          <w:tcPr>
            <w:cnfStyle w:val="001000000000"/>
            <w:tcW w:w="3020" w:type="dxa"/>
            <w:noWrap/>
            <w:hideMark/>
          </w:tcPr>
          <w:p w:rsidR="007E28F2" w:rsidRPr="00872FD2" w:rsidRDefault="007E28F2" w:rsidP="00872FD2">
            <w:pPr>
              <w:spacing w:after="0" w:line="360" w:lineRule="auto"/>
              <w:rPr>
                <w:rFonts w:asciiTheme="minorHAnsi" w:eastAsia="Times New Roman" w:hAnsiTheme="minorHAnsi" w:cs="Arial"/>
                <w:b w:val="0"/>
                <w:bCs w:val="0"/>
                <w:color w:val="000000"/>
              </w:rPr>
            </w:pPr>
            <w:r w:rsidRPr="00872FD2">
              <w:rPr>
                <w:rFonts w:asciiTheme="minorHAnsi" w:eastAsia="Times New Roman" w:hAnsiTheme="minorHAnsi" w:cs="Arial"/>
                <w:color w:val="000000"/>
              </w:rPr>
              <w:t> </w:t>
            </w:r>
          </w:p>
        </w:tc>
        <w:tc>
          <w:tcPr>
            <w:tcW w:w="1880" w:type="dxa"/>
            <w:hideMark/>
          </w:tcPr>
          <w:p w:rsidR="007E28F2" w:rsidRPr="00872FD2" w:rsidRDefault="007E28F2" w:rsidP="00872FD2">
            <w:pPr>
              <w:spacing w:after="0" w:line="360" w:lineRule="auto"/>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Παρέμβασης</w:t>
            </w:r>
          </w:p>
        </w:tc>
        <w:tc>
          <w:tcPr>
            <w:tcW w:w="1595"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3,64 (0,76)</w:t>
            </w:r>
          </w:p>
        </w:tc>
        <w:tc>
          <w:tcPr>
            <w:tcW w:w="153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3,68 (0,63)</w:t>
            </w:r>
          </w:p>
        </w:tc>
        <w:tc>
          <w:tcPr>
            <w:tcW w:w="153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0,04 (0,2)</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0,164</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r>
      <w:tr w:rsidR="007E28F2" w:rsidRPr="00872FD2" w:rsidTr="009250AC">
        <w:trPr>
          <w:cnfStyle w:val="000000010000"/>
          <w:trHeight w:val="315"/>
          <w:jc w:val="center"/>
        </w:trPr>
        <w:tc>
          <w:tcPr>
            <w:cnfStyle w:val="001000000000"/>
            <w:tcW w:w="3020" w:type="dxa"/>
            <w:noWrap/>
            <w:hideMark/>
          </w:tcPr>
          <w:p w:rsidR="007E28F2" w:rsidRPr="00872FD2" w:rsidRDefault="007E28F2" w:rsidP="00872FD2">
            <w:pPr>
              <w:spacing w:after="0" w:line="360" w:lineRule="auto"/>
              <w:rPr>
                <w:rFonts w:asciiTheme="minorHAnsi" w:eastAsia="Times New Roman" w:hAnsiTheme="minorHAnsi" w:cs="Arial"/>
                <w:b w:val="0"/>
                <w:bCs w:val="0"/>
                <w:color w:val="000000"/>
              </w:rPr>
            </w:pPr>
            <w:r w:rsidRPr="00872FD2">
              <w:rPr>
                <w:rFonts w:asciiTheme="minorHAnsi" w:eastAsia="Times New Roman" w:hAnsiTheme="minorHAnsi" w:cs="Arial"/>
                <w:color w:val="000000"/>
              </w:rPr>
              <w:t> </w:t>
            </w:r>
          </w:p>
        </w:tc>
        <w:tc>
          <w:tcPr>
            <w:tcW w:w="1880" w:type="dxa"/>
            <w:noWrap/>
            <w:hideMark/>
          </w:tcPr>
          <w:p w:rsidR="007E28F2" w:rsidRPr="00872FD2" w:rsidRDefault="007E28F2" w:rsidP="00872FD2">
            <w:pPr>
              <w:spacing w:after="0" w:line="360" w:lineRule="auto"/>
              <w:cnfStyle w:val="000000010000"/>
              <w:rPr>
                <w:rFonts w:asciiTheme="minorHAnsi" w:eastAsia="Times New Roman" w:hAnsiTheme="minorHAnsi" w:cs="Arial"/>
                <w:b/>
                <w:bCs/>
                <w:color w:val="000000"/>
              </w:rPr>
            </w:pPr>
            <w:r w:rsidRPr="00872FD2">
              <w:rPr>
                <w:rFonts w:asciiTheme="minorHAnsi" w:eastAsia="Times New Roman" w:hAnsiTheme="minorHAnsi" w:cs="Arial"/>
                <w:b/>
                <w:bCs/>
                <w:color w:val="000000"/>
              </w:rPr>
              <w:t>P*</w:t>
            </w:r>
          </w:p>
        </w:tc>
        <w:tc>
          <w:tcPr>
            <w:tcW w:w="1595"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b/>
                <w:bCs/>
                <w:color w:val="000000"/>
              </w:rPr>
            </w:pPr>
            <w:r w:rsidRPr="00872FD2">
              <w:rPr>
                <w:rFonts w:asciiTheme="minorHAnsi" w:eastAsia="Times New Roman" w:hAnsiTheme="minorHAnsi" w:cs="Arial"/>
                <w:b/>
                <w:bCs/>
                <w:color w:val="000000"/>
              </w:rPr>
              <w:t>0,043</w:t>
            </w:r>
          </w:p>
        </w:tc>
        <w:tc>
          <w:tcPr>
            <w:tcW w:w="153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b/>
                <w:bCs/>
                <w:color w:val="000000"/>
              </w:rPr>
            </w:pPr>
            <w:r w:rsidRPr="00872FD2">
              <w:rPr>
                <w:rFonts w:asciiTheme="minorHAnsi" w:eastAsia="Times New Roman" w:hAnsiTheme="minorHAnsi" w:cs="Arial"/>
                <w:b/>
                <w:bCs/>
                <w:color w:val="000000"/>
              </w:rPr>
              <w:t>0,012</w:t>
            </w:r>
          </w:p>
        </w:tc>
        <w:tc>
          <w:tcPr>
            <w:tcW w:w="153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p>
        </w:tc>
      </w:tr>
      <w:tr w:rsidR="007E28F2" w:rsidRPr="00872FD2" w:rsidTr="009250AC">
        <w:trPr>
          <w:cnfStyle w:val="000000100000"/>
          <w:trHeight w:val="315"/>
          <w:jc w:val="center"/>
        </w:trPr>
        <w:tc>
          <w:tcPr>
            <w:cnfStyle w:val="001000000000"/>
            <w:tcW w:w="3020" w:type="dxa"/>
            <w:noWrap/>
            <w:hideMark/>
          </w:tcPr>
          <w:p w:rsidR="007E28F2" w:rsidRPr="00872FD2" w:rsidRDefault="0076474F" w:rsidP="00872FD2">
            <w:pPr>
              <w:spacing w:after="0" w:line="360" w:lineRule="auto"/>
              <w:rPr>
                <w:rFonts w:asciiTheme="minorHAnsi" w:eastAsia="Times New Roman" w:hAnsiTheme="minorHAnsi" w:cs="Arial"/>
                <w:b w:val="0"/>
                <w:bCs w:val="0"/>
                <w:color w:val="0070C0"/>
              </w:rPr>
            </w:pPr>
            <w:r w:rsidRPr="00872FD2">
              <w:rPr>
                <w:rFonts w:asciiTheme="minorHAnsi" w:eastAsia="Times New Roman" w:hAnsiTheme="minorHAnsi" w:cs="Arial"/>
                <w:color w:val="0070C0"/>
              </w:rPr>
              <w:t xml:space="preserve">Παρουσία στη συνεδρία </w:t>
            </w:r>
            <w:r w:rsidR="005D7B76">
              <w:rPr>
                <w:rFonts w:asciiTheme="minorHAnsi" w:eastAsia="Times New Roman" w:hAnsiTheme="minorHAnsi" w:cs="Arial"/>
                <w:color w:val="0070C0"/>
              </w:rPr>
              <w:t>αιμοκάθαρσης</w:t>
            </w:r>
            <w:r w:rsidR="007E28F2" w:rsidRPr="00872FD2">
              <w:rPr>
                <w:rFonts w:asciiTheme="minorHAnsi" w:eastAsia="Times New Roman" w:hAnsiTheme="minorHAnsi" w:cs="Arial"/>
                <w:color w:val="0070C0"/>
              </w:rPr>
              <w:t xml:space="preserve"> </w:t>
            </w:r>
          </w:p>
        </w:tc>
        <w:tc>
          <w:tcPr>
            <w:tcW w:w="1880" w:type="dxa"/>
            <w:noWrap/>
            <w:hideMark/>
          </w:tcPr>
          <w:p w:rsidR="007E28F2" w:rsidRPr="00872FD2" w:rsidRDefault="007E28F2" w:rsidP="00872FD2">
            <w:pPr>
              <w:spacing w:after="0" w:line="360" w:lineRule="auto"/>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 </w:t>
            </w:r>
          </w:p>
        </w:tc>
        <w:tc>
          <w:tcPr>
            <w:tcW w:w="1595" w:type="dxa"/>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c>
          <w:tcPr>
            <w:tcW w:w="1530" w:type="dxa"/>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c>
          <w:tcPr>
            <w:tcW w:w="1530" w:type="dxa"/>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r>
      <w:tr w:rsidR="007E28F2" w:rsidRPr="00872FD2" w:rsidTr="009250AC">
        <w:trPr>
          <w:cnfStyle w:val="000000010000"/>
          <w:trHeight w:val="315"/>
          <w:jc w:val="center"/>
        </w:trPr>
        <w:tc>
          <w:tcPr>
            <w:cnfStyle w:val="001000000000"/>
            <w:tcW w:w="3020" w:type="dxa"/>
            <w:hideMark/>
          </w:tcPr>
          <w:p w:rsidR="007E28F2" w:rsidRPr="00872FD2" w:rsidRDefault="007E28F2" w:rsidP="00872FD2">
            <w:pPr>
              <w:spacing w:after="0" w:line="360" w:lineRule="auto"/>
              <w:rPr>
                <w:rFonts w:asciiTheme="minorHAnsi" w:eastAsia="Times New Roman" w:hAnsiTheme="minorHAnsi" w:cs="Arial"/>
                <w:b w:val="0"/>
                <w:bCs w:val="0"/>
                <w:color w:val="000000"/>
              </w:rPr>
            </w:pPr>
            <w:r w:rsidRPr="00872FD2">
              <w:rPr>
                <w:rFonts w:asciiTheme="minorHAnsi" w:eastAsia="Times New Roman" w:hAnsiTheme="minorHAnsi" w:cs="Arial"/>
                <w:color w:val="000000"/>
              </w:rPr>
              <w:t>Ομάδα</w:t>
            </w:r>
          </w:p>
        </w:tc>
        <w:tc>
          <w:tcPr>
            <w:tcW w:w="1880" w:type="dxa"/>
            <w:hideMark/>
          </w:tcPr>
          <w:p w:rsidR="007E28F2" w:rsidRPr="00872FD2" w:rsidRDefault="007E28F2" w:rsidP="00872FD2">
            <w:pPr>
              <w:spacing w:after="0" w:line="360" w:lineRule="auto"/>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Ελέγχου</w:t>
            </w:r>
          </w:p>
        </w:tc>
        <w:tc>
          <w:tcPr>
            <w:tcW w:w="1595"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1,84 (0,37)</w:t>
            </w:r>
          </w:p>
        </w:tc>
        <w:tc>
          <w:tcPr>
            <w:tcW w:w="153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1,84 (0,37)</w:t>
            </w:r>
          </w:p>
        </w:tc>
        <w:tc>
          <w:tcPr>
            <w:tcW w:w="153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0 (-)</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w:t>
            </w:r>
          </w:p>
        </w:tc>
      </w:tr>
      <w:tr w:rsidR="007E28F2" w:rsidRPr="00872FD2" w:rsidTr="009250AC">
        <w:trPr>
          <w:cnfStyle w:val="000000100000"/>
          <w:trHeight w:val="315"/>
          <w:jc w:val="center"/>
        </w:trPr>
        <w:tc>
          <w:tcPr>
            <w:cnfStyle w:val="001000000000"/>
            <w:tcW w:w="3020" w:type="dxa"/>
            <w:noWrap/>
            <w:hideMark/>
          </w:tcPr>
          <w:p w:rsidR="007E28F2" w:rsidRPr="00872FD2" w:rsidRDefault="007E28F2" w:rsidP="00872FD2">
            <w:pPr>
              <w:spacing w:after="0" w:line="360" w:lineRule="auto"/>
              <w:rPr>
                <w:rFonts w:asciiTheme="minorHAnsi" w:eastAsia="Times New Roman" w:hAnsiTheme="minorHAnsi" w:cs="Arial"/>
                <w:b w:val="0"/>
                <w:bCs w:val="0"/>
                <w:color w:val="000000"/>
              </w:rPr>
            </w:pPr>
            <w:r w:rsidRPr="00872FD2">
              <w:rPr>
                <w:rFonts w:asciiTheme="minorHAnsi" w:eastAsia="Times New Roman" w:hAnsiTheme="minorHAnsi" w:cs="Arial"/>
                <w:color w:val="000000"/>
              </w:rPr>
              <w:t> </w:t>
            </w:r>
          </w:p>
        </w:tc>
        <w:tc>
          <w:tcPr>
            <w:tcW w:w="1880" w:type="dxa"/>
            <w:hideMark/>
          </w:tcPr>
          <w:p w:rsidR="007E28F2" w:rsidRPr="00872FD2" w:rsidRDefault="007E28F2" w:rsidP="00872FD2">
            <w:pPr>
              <w:spacing w:after="0" w:line="360" w:lineRule="auto"/>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Παρέμβασης</w:t>
            </w:r>
          </w:p>
        </w:tc>
        <w:tc>
          <w:tcPr>
            <w:tcW w:w="1595"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1,96 (0,2)</w:t>
            </w:r>
          </w:p>
        </w:tc>
        <w:tc>
          <w:tcPr>
            <w:tcW w:w="153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1,96 (0,2)</w:t>
            </w:r>
          </w:p>
        </w:tc>
        <w:tc>
          <w:tcPr>
            <w:tcW w:w="153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0 (-)</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r>
      <w:tr w:rsidR="007E28F2" w:rsidRPr="00872FD2" w:rsidTr="009250AC">
        <w:trPr>
          <w:cnfStyle w:val="000000010000"/>
          <w:trHeight w:val="315"/>
          <w:jc w:val="center"/>
        </w:trPr>
        <w:tc>
          <w:tcPr>
            <w:cnfStyle w:val="001000000000"/>
            <w:tcW w:w="3020" w:type="dxa"/>
            <w:noWrap/>
            <w:hideMark/>
          </w:tcPr>
          <w:p w:rsidR="007E28F2" w:rsidRPr="00872FD2" w:rsidRDefault="007E28F2" w:rsidP="00872FD2">
            <w:pPr>
              <w:spacing w:after="0" w:line="360" w:lineRule="auto"/>
              <w:rPr>
                <w:rFonts w:asciiTheme="minorHAnsi" w:eastAsia="Times New Roman" w:hAnsiTheme="minorHAnsi" w:cs="Arial"/>
                <w:b w:val="0"/>
                <w:bCs w:val="0"/>
                <w:color w:val="000000"/>
              </w:rPr>
            </w:pPr>
            <w:r w:rsidRPr="00872FD2">
              <w:rPr>
                <w:rFonts w:asciiTheme="minorHAnsi" w:eastAsia="Times New Roman" w:hAnsiTheme="minorHAnsi" w:cs="Arial"/>
                <w:color w:val="000000"/>
              </w:rPr>
              <w:t> </w:t>
            </w:r>
          </w:p>
        </w:tc>
        <w:tc>
          <w:tcPr>
            <w:tcW w:w="1880" w:type="dxa"/>
            <w:noWrap/>
            <w:hideMark/>
          </w:tcPr>
          <w:p w:rsidR="007E28F2" w:rsidRPr="00872FD2" w:rsidRDefault="007E28F2" w:rsidP="00872FD2">
            <w:pPr>
              <w:spacing w:after="0" w:line="360" w:lineRule="auto"/>
              <w:cnfStyle w:val="000000010000"/>
              <w:rPr>
                <w:rFonts w:asciiTheme="minorHAnsi" w:eastAsia="Times New Roman" w:hAnsiTheme="minorHAnsi" w:cs="Arial"/>
                <w:b/>
                <w:bCs/>
                <w:color w:val="000000"/>
              </w:rPr>
            </w:pPr>
            <w:r w:rsidRPr="00872FD2">
              <w:rPr>
                <w:rFonts w:asciiTheme="minorHAnsi" w:eastAsia="Times New Roman" w:hAnsiTheme="minorHAnsi" w:cs="Arial"/>
                <w:b/>
                <w:bCs/>
                <w:color w:val="000000"/>
              </w:rPr>
              <w:t>P*</w:t>
            </w:r>
          </w:p>
        </w:tc>
        <w:tc>
          <w:tcPr>
            <w:tcW w:w="1595"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0,178</w:t>
            </w:r>
          </w:p>
        </w:tc>
        <w:tc>
          <w:tcPr>
            <w:tcW w:w="153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0,178</w:t>
            </w:r>
          </w:p>
        </w:tc>
        <w:tc>
          <w:tcPr>
            <w:tcW w:w="153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p>
        </w:tc>
      </w:tr>
      <w:tr w:rsidR="007E28F2" w:rsidRPr="00872FD2" w:rsidTr="009250AC">
        <w:trPr>
          <w:cnfStyle w:val="000000100000"/>
          <w:trHeight w:val="315"/>
          <w:jc w:val="center"/>
        </w:trPr>
        <w:tc>
          <w:tcPr>
            <w:cnfStyle w:val="001000000000"/>
            <w:tcW w:w="3020" w:type="dxa"/>
            <w:hideMark/>
          </w:tcPr>
          <w:p w:rsidR="007E28F2" w:rsidRPr="00872FD2" w:rsidRDefault="0076474F" w:rsidP="00872FD2">
            <w:pPr>
              <w:spacing w:after="0" w:line="360" w:lineRule="auto"/>
              <w:rPr>
                <w:rFonts w:asciiTheme="minorHAnsi" w:eastAsia="Times New Roman" w:hAnsiTheme="minorHAnsi" w:cs="Arial"/>
                <w:b w:val="0"/>
                <w:bCs w:val="0"/>
                <w:color w:val="0070C0"/>
              </w:rPr>
            </w:pPr>
            <w:r w:rsidRPr="00872FD2">
              <w:rPr>
                <w:rFonts w:asciiTheme="minorHAnsi" w:eastAsia="Times New Roman" w:hAnsiTheme="minorHAnsi" w:cs="Arial"/>
                <w:color w:val="0070C0"/>
              </w:rPr>
              <w:t>Δίαιτα/Υγρά</w:t>
            </w:r>
          </w:p>
        </w:tc>
        <w:tc>
          <w:tcPr>
            <w:tcW w:w="1880" w:type="dxa"/>
            <w:noWrap/>
            <w:hideMark/>
          </w:tcPr>
          <w:p w:rsidR="007E28F2" w:rsidRPr="00872FD2" w:rsidRDefault="007E28F2" w:rsidP="00872FD2">
            <w:pPr>
              <w:spacing w:after="0" w:line="360" w:lineRule="auto"/>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 </w:t>
            </w:r>
          </w:p>
        </w:tc>
        <w:tc>
          <w:tcPr>
            <w:tcW w:w="1595" w:type="dxa"/>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c>
          <w:tcPr>
            <w:tcW w:w="1530" w:type="dxa"/>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c>
          <w:tcPr>
            <w:tcW w:w="1530" w:type="dxa"/>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r>
      <w:tr w:rsidR="007E28F2" w:rsidRPr="00872FD2" w:rsidTr="009250AC">
        <w:trPr>
          <w:cnfStyle w:val="000000010000"/>
          <w:trHeight w:val="315"/>
          <w:jc w:val="center"/>
        </w:trPr>
        <w:tc>
          <w:tcPr>
            <w:cnfStyle w:val="001000000000"/>
            <w:tcW w:w="3020" w:type="dxa"/>
            <w:hideMark/>
          </w:tcPr>
          <w:p w:rsidR="007E28F2" w:rsidRPr="00872FD2" w:rsidRDefault="007E28F2" w:rsidP="00872FD2">
            <w:pPr>
              <w:spacing w:after="0" w:line="360" w:lineRule="auto"/>
              <w:rPr>
                <w:rFonts w:asciiTheme="minorHAnsi" w:eastAsia="Times New Roman" w:hAnsiTheme="minorHAnsi" w:cs="Arial"/>
                <w:b w:val="0"/>
                <w:bCs w:val="0"/>
                <w:color w:val="000000"/>
              </w:rPr>
            </w:pPr>
            <w:r w:rsidRPr="00872FD2">
              <w:rPr>
                <w:rFonts w:asciiTheme="minorHAnsi" w:eastAsia="Times New Roman" w:hAnsiTheme="minorHAnsi" w:cs="Arial"/>
                <w:color w:val="000000"/>
              </w:rPr>
              <w:t>Ομάδα</w:t>
            </w:r>
          </w:p>
        </w:tc>
        <w:tc>
          <w:tcPr>
            <w:tcW w:w="1880" w:type="dxa"/>
            <w:hideMark/>
          </w:tcPr>
          <w:p w:rsidR="007E28F2" w:rsidRPr="00872FD2" w:rsidRDefault="007E28F2" w:rsidP="00872FD2">
            <w:pPr>
              <w:spacing w:after="0" w:line="360" w:lineRule="auto"/>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Ελέγχου</w:t>
            </w:r>
          </w:p>
        </w:tc>
        <w:tc>
          <w:tcPr>
            <w:tcW w:w="1595"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1,4 (0,71)</w:t>
            </w:r>
          </w:p>
        </w:tc>
        <w:tc>
          <w:tcPr>
            <w:tcW w:w="153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1,44 (0,71)</w:t>
            </w:r>
          </w:p>
        </w:tc>
        <w:tc>
          <w:tcPr>
            <w:tcW w:w="153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0,04 (0,2)</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0,696</w:t>
            </w: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b/>
                <w:bCs/>
                <w:color w:val="000000"/>
              </w:rPr>
            </w:pPr>
            <w:r w:rsidRPr="00872FD2">
              <w:rPr>
                <w:rFonts w:asciiTheme="minorHAnsi" w:eastAsia="Times New Roman" w:hAnsiTheme="minorHAnsi" w:cs="Arial"/>
                <w:b/>
                <w:bCs/>
                <w:color w:val="000000"/>
              </w:rPr>
              <w:t>0,044</w:t>
            </w:r>
          </w:p>
        </w:tc>
      </w:tr>
      <w:tr w:rsidR="007E28F2" w:rsidRPr="00872FD2" w:rsidTr="009250AC">
        <w:trPr>
          <w:cnfStyle w:val="000000100000"/>
          <w:trHeight w:val="315"/>
          <w:jc w:val="center"/>
        </w:trPr>
        <w:tc>
          <w:tcPr>
            <w:cnfStyle w:val="001000000000"/>
            <w:tcW w:w="3020" w:type="dxa"/>
            <w:noWrap/>
            <w:hideMark/>
          </w:tcPr>
          <w:p w:rsidR="007E28F2" w:rsidRPr="00872FD2" w:rsidRDefault="007E28F2" w:rsidP="00872FD2">
            <w:pPr>
              <w:spacing w:after="0" w:line="360" w:lineRule="auto"/>
              <w:rPr>
                <w:rFonts w:asciiTheme="minorHAnsi" w:eastAsia="Times New Roman" w:hAnsiTheme="minorHAnsi" w:cs="Arial"/>
                <w:b w:val="0"/>
                <w:bCs w:val="0"/>
                <w:color w:val="000000"/>
              </w:rPr>
            </w:pPr>
            <w:r w:rsidRPr="00872FD2">
              <w:rPr>
                <w:rFonts w:asciiTheme="minorHAnsi" w:eastAsia="Times New Roman" w:hAnsiTheme="minorHAnsi" w:cs="Arial"/>
                <w:color w:val="000000"/>
              </w:rPr>
              <w:t> </w:t>
            </w:r>
          </w:p>
        </w:tc>
        <w:tc>
          <w:tcPr>
            <w:tcW w:w="1880" w:type="dxa"/>
            <w:hideMark/>
          </w:tcPr>
          <w:p w:rsidR="007E28F2" w:rsidRPr="00872FD2" w:rsidRDefault="007E28F2" w:rsidP="00872FD2">
            <w:pPr>
              <w:spacing w:after="0" w:line="360" w:lineRule="auto"/>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Παρέμβασης</w:t>
            </w:r>
          </w:p>
        </w:tc>
        <w:tc>
          <w:tcPr>
            <w:tcW w:w="1595"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1,48 (0,71)</w:t>
            </w:r>
          </w:p>
        </w:tc>
        <w:tc>
          <w:tcPr>
            <w:tcW w:w="153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1,76 (0,52)</w:t>
            </w:r>
          </w:p>
        </w:tc>
        <w:tc>
          <w:tcPr>
            <w:tcW w:w="153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0,28 (0,54)</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b/>
                <w:bCs/>
                <w:color w:val="000000"/>
              </w:rPr>
            </w:pPr>
            <w:r w:rsidRPr="00872FD2">
              <w:rPr>
                <w:rFonts w:asciiTheme="minorHAnsi" w:eastAsia="Times New Roman" w:hAnsiTheme="minorHAnsi" w:cs="Arial"/>
                <w:b/>
                <w:bCs/>
                <w:color w:val="000000"/>
              </w:rPr>
              <w:t>0,002</w:t>
            </w:r>
          </w:p>
        </w:tc>
        <w:tc>
          <w:tcPr>
            <w:tcW w:w="960" w:type="dxa"/>
            <w:noWrap/>
            <w:hideMark/>
          </w:tcPr>
          <w:p w:rsidR="007E28F2" w:rsidRPr="00872FD2" w:rsidRDefault="007E28F2" w:rsidP="00872FD2">
            <w:pPr>
              <w:spacing w:after="0" w:line="360" w:lineRule="auto"/>
              <w:jc w:val="center"/>
              <w:cnfStyle w:val="000000100000"/>
              <w:rPr>
                <w:rFonts w:asciiTheme="minorHAnsi" w:eastAsia="Times New Roman" w:hAnsiTheme="minorHAnsi" w:cs="Arial"/>
                <w:color w:val="000000"/>
              </w:rPr>
            </w:pPr>
          </w:p>
        </w:tc>
      </w:tr>
      <w:tr w:rsidR="007E28F2" w:rsidRPr="00872FD2" w:rsidTr="009250AC">
        <w:trPr>
          <w:cnfStyle w:val="000000010000"/>
          <w:trHeight w:val="315"/>
          <w:jc w:val="center"/>
        </w:trPr>
        <w:tc>
          <w:tcPr>
            <w:cnfStyle w:val="001000000000"/>
            <w:tcW w:w="3020" w:type="dxa"/>
            <w:noWrap/>
            <w:hideMark/>
          </w:tcPr>
          <w:p w:rsidR="007E28F2" w:rsidRPr="00872FD2" w:rsidRDefault="007E28F2" w:rsidP="00872FD2">
            <w:pPr>
              <w:spacing w:after="0" w:line="360" w:lineRule="auto"/>
              <w:rPr>
                <w:rFonts w:asciiTheme="minorHAnsi" w:eastAsia="Times New Roman" w:hAnsiTheme="minorHAnsi" w:cs="Arial"/>
                <w:b w:val="0"/>
                <w:bCs w:val="0"/>
                <w:color w:val="000000"/>
              </w:rPr>
            </w:pPr>
            <w:r w:rsidRPr="00872FD2">
              <w:rPr>
                <w:rFonts w:asciiTheme="minorHAnsi" w:eastAsia="Times New Roman" w:hAnsiTheme="minorHAnsi" w:cs="Arial"/>
                <w:color w:val="000000"/>
              </w:rPr>
              <w:t> </w:t>
            </w:r>
          </w:p>
        </w:tc>
        <w:tc>
          <w:tcPr>
            <w:tcW w:w="1880" w:type="dxa"/>
            <w:noWrap/>
            <w:hideMark/>
          </w:tcPr>
          <w:p w:rsidR="007E28F2" w:rsidRPr="00872FD2" w:rsidRDefault="007E28F2" w:rsidP="00872FD2">
            <w:pPr>
              <w:spacing w:after="0" w:line="360" w:lineRule="auto"/>
              <w:cnfStyle w:val="000000010000"/>
              <w:rPr>
                <w:rFonts w:asciiTheme="minorHAnsi" w:eastAsia="Times New Roman" w:hAnsiTheme="minorHAnsi" w:cs="Arial"/>
                <w:b/>
                <w:bCs/>
                <w:color w:val="000000"/>
              </w:rPr>
            </w:pPr>
            <w:r w:rsidRPr="00872FD2">
              <w:rPr>
                <w:rFonts w:asciiTheme="minorHAnsi" w:eastAsia="Times New Roman" w:hAnsiTheme="minorHAnsi" w:cs="Arial"/>
                <w:b/>
                <w:bCs/>
                <w:color w:val="000000"/>
              </w:rPr>
              <w:t>P*</w:t>
            </w:r>
          </w:p>
        </w:tc>
        <w:tc>
          <w:tcPr>
            <w:tcW w:w="1595"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0,756</w:t>
            </w:r>
          </w:p>
        </w:tc>
        <w:tc>
          <w:tcPr>
            <w:tcW w:w="153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0,094</w:t>
            </w:r>
          </w:p>
        </w:tc>
        <w:tc>
          <w:tcPr>
            <w:tcW w:w="153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p>
        </w:tc>
        <w:tc>
          <w:tcPr>
            <w:tcW w:w="960" w:type="dxa"/>
            <w:noWrap/>
            <w:hideMark/>
          </w:tcPr>
          <w:p w:rsidR="007E28F2" w:rsidRPr="00872FD2" w:rsidRDefault="007E28F2" w:rsidP="00872FD2">
            <w:pPr>
              <w:spacing w:after="0" w:line="360" w:lineRule="auto"/>
              <w:jc w:val="center"/>
              <w:cnfStyle w:val="000000010000"/>
              <w:rPr>
                <w:rFonts w:asciiTheme="minorHAnsi" w:eastAsia="Times New Roman" w:hAnsiTheme="minorHAnsi" w:cs="Arial"/>
                <w:color w:val="000000"/>
              </w:rPr>
            </w:pPr>
          </w:p>
        </w:tc>
      </w:tr>
      <w:tr w:rsidR="00C2256D" w:rsidRPr="00872FD2" w:rsidTr="00651B46">
        <w:trPr>
          <w:cnfStyle w:val="000000100000"/>
          <w:trHeight w:val="315"/>
          <w:jc w:val="center"/>
        </w:trPr>
        <w:tc>
          <w:tcPr>
            <w:cnfStyle w:val="001000000000"/>
            <w:tcW w:w="11475" w:type="dxa"/>
            <w:gridSpan w:val="7"/>
            <w:noWrap/>
            <w:hideMark/>
          </w:tcPr>
          <w:p w:rsidR="00C2256D" w:rsidRPr="00C2256D" w:rsidRDefault="00C2256D" w:rsidP="00C2256D">
            <w:pPr>
              <w:spacing w:line="240" w:lineRule="auto"/>
              <w:contextualSpacing/>
              <w:rPr>
                <w:rFonts w:eastAsia="Times New Roman"/>
                <w:b w:val="0"/>
                <w:i/>
                <w:sz w:val="20"/>
                <w:szCs w:val="20"/>
              </w:rPr>
            </w:pPr>
            <w:r w:rsidRPr="00C2256D">
              <w:rPr>
                <w:rFonts w:eastAsia="Times New Roman"/>
                <w:b w:val="0"/>
                <w:i/>
                <w:sz w:val="20"/>
                <w:szCs w:val="20"/>
              </w:rPr>
              <w:t>*Διαφορά μεταξύ των ομάδων (με χρήση λογαριθμικών μετασχηματισμών)</w:t>
            </w:r>
          </w:p>
          <w:p w:rsidR="00C2256D" w:rsidRPr="00C2256D" w:rsidRDefault="00C2256D" w:rsidP="00C2256D">
            <w:pPr>
              <w:spacing w:line="240" w:lineRule="auto"/>
              <w:contextualSpacing/>
              <w:rPr>
                <w:rFonts w:eastAsia="Times New Roman"/>
                <w:b w:val="0"/>
                <w:i/>
                <w:sz w:val="20"/>
                <w:szCs w:val="20"/>
              </w:rPr>
            </w:pPr>
            <w:r w:rsidRPr="00C2256D">
              <w:rPr>
                <w:rFonts w:eastAsia="Times New Roman"/>
                <w:b w:val="0"/>
                <w:i/>
                <w:sz w:val="20"/>
                <w:szCs w:val="20"/>
              </w:rPr>
              <w:t>**Διαφορά μεταξύ των μετρήσεων (με χρήση λογαριθμικών μετασχηματισμών)</w:t>
            </w:r>
          </w:p>
          <w:p w:rsidR="00C2256D" w:rsidRPr="00C2256D" w:rsidRDefault="00C2256D" w:rsidP="00C2256D">
            <w:pPr>
              <w:spacing w:line="240" w:lineRule="auto"/>
              <w:contextualSpacing/>
              <w:rPr>
                <w:rFonts w:eastAsia="Times New Roman"/>
                <w:i/>
                <w:sz w:val="20"/>
                <w:szCs w:val="20"/>
              </w:rPr>
            </w:pPr>
            <w:r w:rsidRPr="00C2256D">
              <w:rPr>
                <w:rFonts w:eastAsia="Times New Roman" w:cs="Arial"/>
                <w:b w:val="0"/>
                <w:i/>
                <w:sz w:val="20"/>
                <w:szCs w:val="20"/>
                <w:vertAlign w:val="superscript"/>
              </w:rPr>
              <w:t>‡</w:t>
            </w:r>
            <w:r w:rsidRPr="00C2256D">
              <w:rPr>
                <w:rFonts w:eastAsia="Times New Roman"/>
                <w:b w:val="0"/>
                <w:i/>
                <w:color w:val="000000"/>
                <w:sz w:val="20"/>
                <w:szCs w:val="20"/>
              </w:rPr>
              <w:t xml:space="preserve"> Επαναλαμβανόμενες μετρήσεις </w:t>
            </w:r>
            <w:r w:rsidRPr="00C2256D">
              <w:rPr>
                <w:rFonts w:eastAsia="Times New Roman"/>
                <w:b w:val="0"/>
                <w:i/>
                <w:color w:val="000000"/>
                <w:sz w:val="20"/>
                <w:szCs w:val="20"/>
                <w:lang w:val="en-GB"/>
              </w:rPr>
              <w:t>ANOVA</w:t>
            </w:r>
            <w:r w:rsidRPr="00C2256D">
              <w:rPr>
                <w:rFonts w:eastAsia="Times New Roman"/>
                <w:b w:val="0"/>
                <w:i/>
                <w:color w:val="000000"/>
                <w:sz w:val="20"/>
                <w:szCs w:val="20"/>
              </w:rPr>
              <w:t xml:space="preserve">. Διαφορές στη μεταβολή από τη μια μέτρηση στην άλλη μεταξύ των ομάδων </w:t>
            </w:r>
            <w:r w:rsidRPr="00C2256D">
              <w:rPr>
                <w:rFonts w:eastAsia="Times New Roman"/>
                <w:b w:val="0"/>
                <w:i/>
                <w:sz w:val="20"/>
                <w:szCs w:val="20"/>
              </w:rPr>
              <w:t>(με χρήση λογαριθμικών μετασχηματισμών)</w:t>
            </w:r>
            <w:r w:rsidRPr="00C2256D">
              <w:rPr>
                <w:rFonts w:eastAsia="Times New Roman"/>
                <w:b w:val="0"/>
                <w:i/>
                <w:color w:val="000000"/>
                <w:sz w:val="20"/>
                <w:szCs w:val="20"/>
              </w:rPr>
              <w:t>.</w:t>
            </w:r>
          </w:p>
        </w:tc>
      </w:tr>
    </w:tbl>
    <w:p w:rsidR="007E28F2" w:rsidRPr="005A464E" w:rsidRDefault="007E28F2" w:rsidP="005A464E">
      <w:pPr>
        <w:pStyle w:val="nouk"/>
      </w:pPr>
    </w:p>
    <w:p w:rsidR="007E28F2" w:rsidRPr="005A464E" w:rsidRDefault="007E28F2" w:rsidP="005A464E">
      <w:pPr>
        <w:pStyle w:val="nouk"/>
      </w:pPr>
      <w:r w:rsidRPr="005A464E">
        <w:t xml:space="preserve">Στο γράφημα που ακολουθεί </w:t>
      </w:r>
      <w:r w:rsidR="00EF17F5">
        <w:t xml:space="preserve">(Γρ 2) </w:t>
      </w:r>
      <w:r w:rsidRPr="005A464E">
        <w:t>δίνεται η μεταβολή στη βαθμολογία συνολικής συμμόρφωσης ξεχωριστά για κάθε ομάδα.</w:t>
      </w:r>
    </w:p>
    <w:p w:rsidR="007E28F2" w:rsidRPr="005A464E" w:rsidRDefault="007E28F2" w:rsidP="005A464E">
      <w:pPr>
        <w:pStyle w:val="nouk"/>
      </w:pPr>
    </w:p>
    <w:p w:rsidR="007E28F2" w:rsidRPr="005A464E" w:rsidRDefault="00464728" w:rsidP="00863AF3">
      <w:pPr>
        <w:pStyle w:val="nouk"/>
        <w:jc w:val="center"/>
      </w:pPr>
      <w:r>
        <w:rPr>
          <w:noProof/>
          <w:lang w:eastAsia="el-GR"/>
        </w:rPr>
        <w:drawing>
          <wp:inline distT="0" distB="0" distL="0" distR="0">
            <wp:extent cx="3790950" cy="3028950"/>
            <wp:effectExtent l="19050" t="0" r="0" b="0"/>
            <wp:docPr id="2"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cstate="print"/>
                    <a:srcRect/>
                    <a:stretch>
                      <a:fillRect/>
                    </a:stretch>
                  </pic:blipFill>
                  <pic:spPr bwMode="auto">
                    <a:xfrm>
                      <a:off x="0" y="0"/>
                      <a:ext cx="3790950" cy="3028950"/>
                    </a:xfrm>
                    <a:prstGeom prst="rect">
                      <a:avLst/>
                    </a:prstGeom>
                    <a:noFill/>
                    <a:ln w="9525">
                      <a:noFill/>
                      <a:miter lim="800000"/>
                      <a:headEnd/>
                      <a:tailEnd/>
                    </a:ln>
                  </pic:spPr>
                </pic:pic>
              </a:graphicData>
            </a:graphic>
          </wp:inline>
        </w:drawing>
      </w:r>
    </w:p>
    <w:p w:rsidR="00726192" w:rsidRPr="005A464E" w:rsidRDefault="00726192" w:rsidP="00726192">
      <w:pPr>
        <w:pStyle w:val="nouk"/>
      </w:pPr>
      <w:r w:rsidRPr="00846E7B">
        <w:rPr>
          <w:i/>
        </w:rPr>
        <w:t>Γράφημα 2</w:t>
      </w:r>
      <w:r w:rsidRPr="00726192">
        <w:t xml:space="preserve"> </w:t>
      </w:r>
      <w:r>
        <w:t>Μ</w:t>
      </w:r>
      <w:r w:rsidRPr="005A464E">
        <w:t>εταβολή στη βαθμολογία συνολικής συμμόρφωσης ξεχωριστά για κάθε ομάδα.</w:t>
      </w:r>
    </w:p>
    <w:p w:rsidR="007E28F2" w:rsidRPr="005A464E" w:rsidRDefault="007E28F2" w:rsidP="005A464E">
      <w:pPr>
        <w:pStyle w:val="nouk"/>
      </w:pPr>
    </w:p>
    <w:p w:rsidR="007E28F2" w:rsidRPr="005A464E" w:rsidRDefault="007E28F2" w:rsidP="005A464E">
      <w:pPr>
        <w:pStyle w:val="nouk"/>
      </w:pPr>
      <w:r w:rsidRPr="005A464E">
        <w:t xml:space="preserve">Σχετικά με τη συμμόρφωση με την αγωγή, τόσο πριν όσο και μετά την παρέμβαση, ήταν υψηλότερη στην ομάδα παρέμβασης σε σύγκριση με την ομάδα ελέγχου. Ωστόσο σε καμία από τις </w:t>
      </w:r>
      <w:r w:rsidR="00C2256D">
        <w:t>δύο</w:t>
      </w:r>
      <w:r w:rsidRPr="005A464E">
        <w:t xml:space="preserve"> ομάδες δεν μεταβλήθηκε σημαντικά μετά την παρέμβαση. </w:t>
      </w:r>
    </w:p>
    <w:p w:rsidR="007E28F2" w:rsidRPr="005A464E" w:rsidRDefault="007E28F2" w:rsidP="005A464E">
      <w:pPr>
        <w:pStyle w:val="nouk"/>
      </w:pPr>
      <w:r w:rsidRPr="005A464E">
        <w:t xml:space="preserve">Σχετικά με τη συμμόρφωση με την παρουσία στη συνεδρία, ούτε πριν ούτε μετά την παρέμβαση, δεν υπήρχαν διαφορές μεταξύ των ομάδων. Επίσης, σε καμία από τις </w:t>
      </w:r>
      <w:r w:rsidR="00C2256D">
        <w:t>δύο</w:t>
      </w:r>
      <w:r w:rsidRPr="005A464E">
        <w:t xml:space="preserve"> ομάδες δεν μεταβλήθηκε σημαντικά μετά την παρέμβαση. </w:t>
      </w:r>
    </w:p>
    <w:p w:rsidR="007E28F2" w:rsidRPr="005A464E" w:rsidRDefault="007E28F2" w:rsidP="005A464E">
      <w:pPr>
        <w:pStyle w:val="nouk"/>
      </w:pPr>
      <w:r w:rsidRPr="005A464E">
        <w:t xml:space="preserve">Στο γράφημα που ακολουθεί </w:t>
      </w:r>
      <w:r w:rsidR="003729FD">
        <w:t xml:space="preserve">(Γρ 3) </w:t>
      </w:r>
      <w:r w:rsidRPr="005A464E">
        <w:t>δίνεται η μεταβολή στη βαθμολογία συμμόρφωσης με τα υγρά και τη διαιτητική συμπεριφορά ξεχωριστά για κάθε ομάδα.</w:t>
      </w:r>
    </w:p>
    <w:p w:rsidR="007E28F2" w:rsidRPr="005A464E" w:rsidRDefault="007E28F2" w:rsidP="005A464E">
      <w:pPr>
        <w:pStyle w:val="nouk"/>
      </w:pPr>
    </w:p>
    <w:p w:rsidR="007E28F2" w:rsidRPr="005A464E" w:rsidRDefault="00464728" w:rsidP="00165FAE">
      <w:pPr>
        <w:pStyle w:val="nouk"/>
        <w:jc w:val="center"/>
      </w:pPr>
      <w:r>
        <w:rPr>
          <w:noProof/>
          <w:lang w:eastAsia="el-GR"/>
        </w:rPr>
        <w:drawing>
          <wp:inline distT="0" distB="0" distL="0" distR="0">
            <wp:extent cx="3600450" cy="2876550"/>
            <wp:effectExtent l="19050" t="0" r="0" b="0"/>
            <wp:docPr id="3"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8" cstate="print"/>
                    <a:srcRect/>
                    <a:stretch>
                      <a:fillRect/>
                    </a:stretch>
                  </pic:blipFill>
                  <pic:spPr bwMode="auto">
                    <a:xfrm>
                      <a:off x="0" y="0"/>
                      <a:ext cx="3600450" cy="2876550"/>
                    </a:xfrm>
                    <a:prstGeom prst="rect">
                      <a:avLst/>
                    </a:prstGeom>
                    <a:noFill/>
                    <a:ln w="9525">
                      <a:noFill/>
                      <a:miter lim="800000"/>
                      <a:headEnd/>
                      <a:tailEnd/>
                    </a:ln>
                  </pic:spPr>
                </pic:pic>
              </a:graphicData>
            </a:graphic>
          </wp:inline>
        </w:drawing>
      </w:r>
    </w:p>
    <w:p w:rsidR="00726192" w:rsidRPr="005A464E" w:rsidRDefault="00214D9E" w:rsidP="00726192">
      <w:pPr>
        <w:pStyle w:val="nouk"/>
      </w:pPr>
      <w:r>
        <w:rPr>
          <w:i/>
        </w:rPr>
        <w:t xml:space="preserve">Γράφημα 3 </w:t>
      </w:r>
      <w:r w:rsidR="00726192">
        <w:t>Μ</w:t>
      </w:r>
      <w:r w:rsidR="00726192" w:rsidRPr="005A464E">
        <w:t>εταβολή στη βαθμολογία συμμόρφωσης με τα υγρά και τη διαιτητική συμπεριφορά ξεχωριστά για κάθε ομάδα.</w:t>
      </w:r>
    </w:p>
    <w:p w:rsidR="007E28F2" w:rsidRPr="00726192" w:rsidRDefault="007E28F2" w:rsidP="005A464E">
      <w:pPr>
        <w:pStyle w:val="nouk"/>
        <w:rPr>
          <w:b/>
        </w:rPr>
      </w:pPr>
    </w:p>
    <w:p w:rsidR="007E28F2" w:rsidRPr="004766A7" w:rsidRDefault="001E4917" w:rsidP="00726192">
      <w:pPr>
        <w:spacing w:line="360" w:lineRule="auto"/>
        <w:rPr>
          <w:rFonts w:cstheme="minorHAnsi"/>
          <w:b/>
          <w:color w:val="C00000"/>
          <w:sz w:val="24"/>
          <w:szCs w:val="24"/>
        </w:rPr>
      </w:pPr>
      <w:r w:rsidRPr="004766A7">
        <w:rPr>
          <w:b/>
          <w:sz w:val="24"/>
          <w:szCs w:val="24"/>
        </w:rPr>
        <w:t xml:space="preserve">Κλίμακα ποιότητας ζωής </w:t>
      </w:r>
      <w:r w:rsidRPr="004766A7">
        <w:rPr>
          <w:b/>
          <w:sz w:val="24"/>
          <w:szCs w:val="24"/>
          <w:lang w:val="en-US"/>
        </w:rPr>
        <w:t>MVQoLI</w:t>
      </w:r>
      <w:r w:rsidRPr="004766A7">
        <w:rPr>
          <w:b/>
          <w:sz w:val="24"/>
          <w:szCs w:val="24"/>
        </w:rPr>
        <w:t>-15</w:t>
      </w:r>
    </w:p>
    <w:p w:rsidR="005D7B76" w:rsidRDefault="007E28F2" w:rsidP="005A464E">
      <w:pPr>
        <w:pStyle w:val="nouk"/>
      </w:pPr>
      <w:r w:rsidRPr="005A464E">
        <w:t xml:space="preserve">Στον πίνακα που ακολουθεί </w:t>
      </w:r>
      <w:r w:rsidR="00F6061C">
        <w:t>(Πίν 16</w:t>
      </w:r>
      <w:r w:rsidR="004766A7">
        <w:t xml:space="preserve">) </w:t>
      </w:r>
      <w:r w:rsidRPr="005A464E">
        <w:t>δίνονται οι βαθμολογίες των συμμετεχόντων στις διαστάσεις ποιότητας ζωής πριν και μετά την παρέμβαση, ξεχωριστά για κάθε ομάδα. Υψηλότερες τιμές υποδηλώνουν καλύτερη ποιότητα ζωής.</w:t>
      </w:r>
    </w:p>
    <w:p w:rsidR="009250AC" w:rsidRDefault="009250AC" w:rsidP="009250AC">
      <w:pPr>
        <w:pStyle w:val="nouk"/>
        <w:rPr>
          <w:rFonts w:asciiTheme="minorHAnsi" w:eastAsiaTheme="minorHAnsi" w:hAnsiTheme="minorHAnsi" w:cstheme="minorHAnsi"/>
          <w:bCs/>
          <w:color w:val="000000"/>
        </w:rPr>
      </w:pPr>
    </w:p>
    <w:p w:rsidR="009250AC" w:rsidRPr="00C7093D" w:rsidRDefault="00F6061C" w:rsidP="009250AC">
      <w:pPr>
        <w:pStyle w:val="nouk"/>
        <w:rPr>
          <w:rFonts w:asciiTheme="minorHAnsi" w:eastAsiaTheme="minorHAnsi" w:hAnsiTheme="minorHAnsi" w:cstheme="minorHAnsi"/>
          <w:bCs/>
          <w:color w:val="000000"/>
        </w:rPr>
      </w:pPr>
      <w:r>
        <w:rPr>
          <w:rFonts w:asciiTheme="minorHAnsi" w:eastAsiaTheme="minorHAnsi" w:hAnsiTheme="minorHAnsi" w:cstheme="minorHAnsi"/>
          <w:bCs/>
          <w:color w:val="000000"/>
        </w:rPr>
        <w:t>Πίνακας 16</w:t>
      </w:r>
    </w:p>
    <w:p w:rsidR="00214D9E" w:rsidRPr="005A464E" w:rsidRDefault="009250AC" w:rsidP="005A464E">
      <w:pPr>
        <w:pStyle w:val="nouk"/>
      </w:pPr>
      <w:r w:rsidRPr="008847F1">
        <w:rPr>
          <w:rFonts w:asciiTheme="minorHAnsi" w:eastAsiaTheme="minorHAnsi" w:hAnsiTheme="minorHAnsi" w:cstheme="minorHAnsi"/>
          <w:bCs/>
          <w:i/>
          <w:color w:val="000000"/>
        </w:rPr>
        <w:t>Βαθμολογίες των συμμετεχόντων στις διαστάσεις ποιότητας ζωής πριν και μετά την παρέμβαση</w:t>
      </w:r>
    </w:p>
    <w:tbl>
      <w:tblPr>
        <w:tblStyle w:val="-41"/>
        <w:tblW w:w="11115" w:type="dxa"/>
        <w:jc w:val="center"/>
        <w:tblLook w:val="0480"/>
      </w:tblPr>
      <w:tblGrid>
        <w:gridCol w:w="3020"/>
        <w:gridCol w:w="1880"/>
        <w:gridCol w:w="1505"/>
        <w:gridCol w:w="1440"/>
        <w:gridCol w:w="1350"/>
        <w:gridCol w:w="960"/>
        <w:gridCol w:w="960"/>
      </w:tblGrid>
      <w:tr w:rsidR="007E28F2" w:rsidRPr="00C2256D" w:rsidTr="00F6061C">
        <w:trPr>
          <w:cnfStyle w:val="000000100000"/>
          <w:trHeight w:val="315"/>
          <w:jc w:val="center"/>
        </w:trPr>
        <w:tc>
          <w:tcPr>
            <w:cnfStyle w:val="001000000000"/>
            <w:tcW w:w="3020" w:type="dxa"/>
            <w:noWrap/>
            <w:hideMark/>
          </w:tcPr>
          <w:p w:rsidR="007E28F2" w:rsidRPr="00C2256D" w:rsidRDefault="007E28F2" w:rsidP="00872FD2">
            <w:pPr>
              <w:spacing w:after="0" w:line="360" w:lineRule="auto"/>
              <w:rPr>
                <w:rFonts w:asciiTheme="minorHAnsi" w:eastAsia="Times New Roman" w:hAnsiTheme="minorHAnsi" w:cstheme="minorHAnsi"/>
                <w:b w:val="0"/>
                <w:bCs w:val="0"/>
                <w:color w:val="000000"/>
              </w:rPr>
            </w:pPr>
            <w:r w:rsidRPr="00C2256D">
              <w:rPr>
                <w:rFonts w:asciiTheme="minorHAnsi" w:eastAsia="Times New Roman" w:hAnsiTheme="minorHAnsi" w:cstheme="minorHAnsi"/>
                <w:color w:val="000000"/>
              </w:rPr>
              <w:t> </w:t>
            </w:r>
          </w:p>
        </w:tc>
        <w:tc>
          <w:tcPr>
            <w:tcW w:w="1880" w:type="dxa"/>
            <w:noWrap/>
            <w:hideMark/>
          </w:tcPr>
          <w:p w:rsidR="007E28F2" w:rsidRPr="00C2256D" w:rsidRDefault="007E28F2" w:rsidP="00872FD2">
            <w:pPr>
              <w:spacing w:after="0" w:line="360" w:lineRule="auto"/>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 </w:t>
            </w:r>
          </w:p>
        </w:tc>
        <w:tc>
          <w:tcPr>
            <w:tcW w:w="1505"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Πριν</w:t>
            </w:r>
          </w:p>
        </w:tc>
        <w:tc>
          <w:tcPr>
            <w:tcW w:w="1440" w:type="dxa"/>
            <w:hideMark/>
          </w:tcPr>
          <w:p w:rsidR="007E28F2" w:rsidRPr="00C2256D" w:rsidRDefault="007E28F2" w:rsidP="00872FD2">
            <w:pPr>
              <w:spacing w:after="0" w:line="360" w:lineRule="auto"/>
              <w:jc w:val="center"/>
              <w:cnfStyle w:val="00000010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Μετά</w:t>
            </w:r>
          </w:p>
        </w:tc>
        <w:tc>
          <w:tcPr>
            <w:tcW w:w="135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Μεταβολή</w:t>
            </w: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b/>
                <w:bCs/>
                <w:color w:val="000000"/>
              </w:rPr>
            </w:pP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b/>
                <w:bCs/>
                <w:color w:val="000000"/>
              </w:rPr>
            </w:pPr>
          </w:p>
        </w:tc>
      </w:tr>
      <w:tr w:rsidR="007E28F2" w:rsidRPr="00C2256D" w:rsidTr="00F6061C">
        <w:trPr>
          <w:cnfStyle w:val="000000010000"/>
          <w:trHeight w:val="315"/>
          <w:jc w:val="center"/>
        </w:trPr>
        <w:tc>
          <w:tcPr>
            <w:cnfStyle w:val="001000000000"/>
            <w:tcW w:w="3020" w:type="dxa"/>
            <w:hideMark/>
          </w:tcPr>
          <w:p w:rsidR="007E28F2" w:rsidRPr="00C2256D" w:rsidRDefault="007E28F2" w:rsidP="00872FD2">
            <w:pPr>
              <w:spacing w:after="0" w:line="360" w:lineRule="auto"/>
              <w:rPr>
                <w:rFonts w:asciiTheme="minorHAnsi" w:eastAsia="Times New Roman" w:hAnsiTheme="minorHAnsi" w:cstheme="minorHAnsi"/>
                <w:b w:val="0"/>
                <w:bCs w:val="0"/>
                <w:color w:val="000000"/>
              </w:rPr>
            </w:pPr>
            <w:r w:rsidRPr="00C2256D">
              <w:rPr>
                <w:rFonts w:asciiTheme="minorHAnsi" w:eastAsia="Times New Roman" w:hAnsiTheme="minorHAnsi" w:cstheme="minorHAnsi"/>
                <w:color w:val="000000"/>
              </w:rPr>
              <w:t xml:space="preserve"> </w:t>
            </w:r>
          </w:p>
        </w:tc>
        <w:tc>
          <w:tcPr>
            <w:tcW w:w="1880" w:type="dxa"/>
            <w:noWrap/>
            <w:hideMark/>
          </w:tcPr>
          <w:p w:rsidR="007E28F2" w:rsidRPr="00C2256D" w:rsidRDefault="007E28F2" w:rsidP="00872FD2">
            <w:pPr>
              <w:spacing w:after="0" w:line="360" w:lineRule="auto"/>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 </w:t>
            </w:r>
          </w:p>
        </w:tc>
        <w:tc>
          <w:tcPr>
            <w:tcW w:w="1505" w:type="dxa"/>
            <w:hideMark/>
          </w:tcPr>
          <w:p w:rsidR="007E28F2" w:rsidRPr="00C2256D" w:rsidRDefault="007E28F2" w:rsidP="00872FD2">
            <w:pPr>
              <w:spacing w:after="0" w:line="360" w:lineRule="auto"/>
              <w:jc w:val="center"/>
              <w:cnfStyle w:val="00000001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Μέση τιμή (</w:t>
            </w:r>
            <w:r w:rsidR="00D225F5" w:rsidRPr="00C2256D">
              <w:rPr>
                <w:rFonts w:asciiTheme="minorHAnsi" w:eastAsia="Times New Roman" w:hAnsiTheme="minorHAnsi" w:cstheme="minorHAnsi"/>
                <w:b/>
                <w:bCs/>
                <w:color w:val="000000"/>
              </w:rPr>
              <w:t>ΤΑ</w:t>
            </w:r>
            <w:r w:rsidRPr="00C2256D">
              <w:rPr>
                <w:rFonts w:asciiTheme="minorHAnsi" w:eastAsia="Times New Roman" w:hAnsiTheme="minorHAnsi" w:cstheme="minorHAnsi"/>
                <w:b/>
                <w:bCs/>
                <w:color w:val="000000"/>
              </w:rPr>
              <w:t>)</w:t>
            </w:r>
          </w:p>
        </w:tc>
        <w:tc>
          <w:tcPr>
            <w:tcW w:w="1440" w:type="dxa"/>
            <w:hideMark/>
          </w:tcPr>
          <w:p w:rsidR="007E28F2" w:rsidRPr="00C2256D" w:rsidRDefault="007E28F2" w:rsidP="00872FD2">
            <w:pPr>
              <w:spacing w:after="0" w:line="360" w:lineRule="auto"/>
              <w:jc w:val="center"/>
              <w:cnfStyle w:val="00000001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Μέση τιμή (</w:t>
            </w:r>
            <w:r w:rsidR="00D225F5" w:rsidRPr="00C2256D">
              <w:rPr>
                <w:rFonts w:asciiTheme="minorHAnsi" w:eastAsia="Times New Roman" w:hAnsiTheme="minorHAnsi" w:cstheme="minorHAnsi"/>
                <w:b/>
                <w:bCs/>
                <w:color w:val="000000"/>
              </w:rPr>
              <w:t>ΤΑ</w:t>
            </w:r>
            <w:r w:rsidRPr="00C2256D">
              <w:rPr>
                <w:rFonts w:asciiTheme="minorHAnsi" w:eastAsia="Times New Roman" w:hAnsiTheme="minorHAnsi" w:cstheme="minorHAnsi"/>
                <w:b/>
                <w:bCs/>
                <w:color w:val="000000"/>
              </w:rPr>
              <w:t>)</w:t>
            </w:r>
          </w:p>
        </w:tc>
        <w:tc>
          <w:tcPr>
            <w:tcW w:w="1350" w:type="dxa"/>
            <w:hideMark/>
          </w:tcPr>
          <w:p w:rsidR="007E28F2" w:rsidRPr="00C2256D" w:rsidRDefault="007E28F2" w:rsidP="00872FD2">
            <w:pPr>
              <w:spacing w:after="0" w:line="360" w:lineRule="auto"/>
              <w:jc w:val="center"/>
              <w:cnfStyle w:val="00000001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Μέση τιμή (</w:t>
            </w:r>
            <w:r w:rsidR="00D225F5" w:rsidRPr="00C2256D">
              <w:rPr>
                <w:rFonts w:asciiTheme="minorHAnsi" w:eastAsia="Times New Roman" w:hAnsiTheme="minorHAnsi" w:cstheme="minorHAnsi"/>
                <w:b/>
                <w:bCs/>
                <w:color w:val="000000"/>
              </w:rPr>
              <w:t>ΤΑ</w:t>
            </w:r>
            <w:r w:rsidRPr="00C2256D">
              <w:rPr>
                <w:rFonts w:asciiTheme="minorHAnsi" w:eastAsia="Times New Roman" w:hAnsiTheme="minorHAnsi" w:cstheme="minorHAnsi"/>
                <w:b/>
                <w:bCs/>
                <w:color w:val="000000"/>
              </w:rPr>
              <w:t>)</w:t>
            </w:r>
          </w:p>
        </w:tc>
        <w:tc>
          <w:tcPr>
            <w:tcW w:w="960" w:type="dxa"/>
            <w:hideMark/>
          </w:tcPr>
          <w:p w:rsidR="007E28F2" w:rsidRPr="00C2256D" w:rsidRDefault="007E28F2" w:rsidP="00872FD2">
            <w:pPr>
              <w:spacing w:after="0" w:line="360" w:lineRule="auto"/>
              <w:jc w:val="center"/>
              <w:cnfStyle w:val="00000001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P**</w:t>
            </w:r>
          </w:p>
        </w:tc>
        <w:tc>
          <w:tcPr>
            <w:tcW w:w="960" w:type="dxa"/>
            <w:hideMark/>
          </w:tcPr>
          <w:p w:rsidR="007E28F2" w:rsidRPr="00C2256D" w:rsidRDefault="007E28F2" w:rsidP="00872FD2">
            <w:pPr>
              <w:spacing w:after="0" w:line="360" w:lineRule="auto"/>
              <w:jc w:val="center"/>
              <w:cnfStyle w:val="00000001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P‡</w:t>
            </w:r>
          </w:p>
        </w:tc>
      </w:tr>
      <w:tr w:rsidR="007E28F2" w:rsidRPr="00C2256D" w:rsidTr="00F6061C">
        <w:trPr>
          <w:cnfStyle w:val="000000100000"/>
          <w:trHeight w:val="315"/>
          <w:jc w:val="center"/>
        </w:trPr>
        <w:tc>
          <w:tcPr>
            <w:cnfStyle w:val="001000000000"/>
            <w:tcW w:w="3020" w:type="dxa"/>
            <w:noWrap/>
            <w:hideMark/>
          </w:tcPr>
          <w:p w:rsidR="007E28F2" w:rsidRPr="00C2256D" w:rsidRDefault="0076474F" w:rsidP="00872FD2">
            <w:pPr>
              <w:spacing w:after="0" w:line="360" w:lineRule="auto"/>
              <w:rPr>
                <w:rFonts w:asciiTheme="minorHAnsi" w:eastAsia="Times New Roman" w:hAnsiTheme="minorHAnsi" w:cstheme="minorHAnsi"/>
                <w:bCs w:val="0"/>
                <w:color w:val="0070C0"/>
                <w:sz w:val="24"/>
                <w:szCs w:val="24"/>
              </w:rPr>
            </w:pPr>
            <w:r w:rsidRPr="00C2256D">
              <w:rPr>
                <w:rFonts w:asciiTheme="minorHAnsi" w:eastAsia="Times New Roman" w:hAnsiTheme="minorHAnsi" w:cstheme="minorHAnsi"/>
                <w:color w:val="0070C0"/>
                <w:sz w:val="24"/>
                <w:szCs w:val="24"/>
              </w:rPr>
              <w:t>Συμπτώματα</w:t>
            </w:r>
          </w:p>
        </w:tc>
        <w:tc>
          <w:tcPr>
            <w:tcW w:w="1880" w:type="dxa"/>
            <w:noWrap/>
            <w:hideMark/>
          </w:tcPr>
          <w:p w:rsidR="007E28F2" w:rsidRPr="00C2256D" w:rsidRDefault="007E28F2" w:rsidP="00872FD2">
            <w:pPr>
              <w:spacing w:after="0" w:line="360" w:lineRule="auto"/>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 </w:t>
            </w:r>
          </w:p>
        </w:tc>
        <w:tc>
          <w:tcPr>
            <w:tcW w:w="1505" w:type="dxa"/>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1440" w:type="dxa"/>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1350" w:type="dxa"/>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r>
      <w:tr w:rsidR="007E28F2" w:rsidRPr="00C2256D" w:rsidTr="00F6061C">
        <w:trPr>
          <w:cnfStyle w:val="000000010000"/>
          <w:trHeight w:val="315"/>
          <w:jc w:val="center"/>
        </w:trPr>
        <w:tc>
          <w:tcPr>
            <w:cnfStyle w:val="001000000000"/>
            <w:tcW w:w="3020" w:type="dxa"/>
            <w:hideMark/>
          </w:tcPr>
          <w:p w:rsidR="007E28F2" w:rsidRPr="00C2256D" w:rsidRDefault="007E28F2" w:rsidP="00872FD2">
            <w:pPr>
              <w:spacing w:after="0" w:line="360" w:lineRule="auto"/>
              <w:rPr>
                <w:rFonts w:asciiTheme="minorHAnsi" w:eastAsia="Times New Roman" w:hAnsiTheme="minorHAnsi" w:cstheme="minorHAnsi"/>
                <w:bCs w:val="0"/>
                <w:color w:val="000000"/>
                <w:sz w:val="24"/>
                <w:szCs w:val="24"/>
              </w:rPr>
            </w:pPr>
            <w:r w:rsidRPr="00C2256D">
              <w:rPr>
                <w:rFonts w:asciiTheme="minorHAnsi" w:eastAsia="Times New Roman" w:hAnsiTheme="minorHAnsi" w:cstheme="minorHAnsi"/>
                <w:color w:val="000000"/>
                <w:sz w:val="24"/>
                <w:szCs w:val="24"/>
              </w:rPr>
              <w:t>Ομάδα</w:t>
            </w:r>
          </w:p>
        </w:tc>
        <w:tc>
          <w:tcPr>
            <w:tcW w:w="1880" w:type="dxa"/>
            <w:hideMark/>
          </w:tcPr>
          <w:p w:rsidR="007E28F2" w:rsidRPr="00C2256D" w:rsidRDefault="007E28F2" w:rsidP="00872FD2">
            <w:pPr>
              <w:spacing w:after="0" w:line="360" w:lineRule="auto"/>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Ελέγχου</w:t>
            </w:r>
          </w:p>
        </w:tc>
        <w:tc>
          <w:tcPr>
            <w:tcW w:w="1505"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5,44 (9,34)</w:t>
            </w:r>
          </w:p>
        </w:tc>
        <w:tc>
          <w:tcPr>
            <w:tcW w:w="144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7,32 (10,13)</w:t>
            </w:r>
          </w:p>
        </w:tc>
        <w:tc>
          <w:tcPr>
            <w:tcW w:w="135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1,88 (3,14)</w:t>
            </w: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0,062</w:t>
            </w: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0,475</w:t>
            </w:r>
          </w:p>
        </w:tc>
      </w:tr>
      <w:tr w:rsidR="007E28F2" w:rsidRPr="00C2256D" w:rsidTr="00F6061C">
        <w:trPr>
          <w:cnfStyle w:val="000000100000"/>
          <w:trHeight w:val="315"/>
          <w:jc w:val="center"/>
        </w:trPr>
        <w:tc>
          <w:tcPr>
            <w:cnfStyle w:val="001000000000"/>
            <w:tcW w:w="3020" w:type="dxa"/>
            <w:noWrap/>
            <w:hideMark/>
          </w:tcPr>
          <w:p w:rsidR="007E28F2" w:rsidRPr="00C2256D" w:rsidRDefault="007E28F2" w:rsidP="00872FD2">
            <w:pPr>
              <w:spacing w:after="0" w:line="360" w:lineRule="auto"/>
              <w:rPr>
                <w:rFonts w:asciiTheme="minorHAnsi" w:eastAsia="Times New Roman" w:hAnsiTheme="minorHAnsi" w:cstheme="minorHAnsi"/>
                <w:bCs w:val="0"/>
                <w:color w:val="000000"/>
                <w:sz w:val="24"/>
                <w:szCs w:val="24"/>
              </w:rPr>
            </w:pPr>
            <w:r w:rsidRPr="00C2256D">
              <w:rPr>
                <w:rFonts w:asciiTheme="minorHAnsi" w:eastAsia="Times New Roman" w:hAnsiTheme="minorHAnsi" w:cstheme="minorHAnsi"/>
                <w:color w:val="000000"/>
                <w:sz w:val="24"/>
                <w:szCs w:val="24"/>
              </w:rPr>
              <w:t> </w:t>
            </w:r>
          </w:p>
        </w:tc>
        <w:tc>
          <w:tcPr>
            <w:tcW w:w="1880" w:type="dxa"/>
            <w:hideMark/>
          </w:tcPr>
          <w:p w:rsidR="007E28F2" w:rsidRPr="00C2256D" w:rsidRDefault="007E28F2" w:rsidP="00872FD2">
            <w:pPr>
              <w:spacing w:after="0" w:line="360" w:lineRule="auto"/>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Παρέμβασης</w:t>
            </w:r>
          </w:p>
        </w:tc>
        <w:tc>
          <w:tcPr>
            <w:tcW w:w="1505"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7,08 (8,7)</w:t>
            </w:r>
          </w:p>
        </w:tc>
        <w:tc>
          <w:tcPr>
            <w:tcW w:w="144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9,96 (6,46)</w:t>
            </w:r>
          </w:p>
        </w:tc>
        <w:tc>
          <w:tcPr>
            <w:tcW w:w="135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2,88 (6,19)</w:t>
            </w: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0,005</w:t>
            </w: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r>
      <w:tr w:rsidR="007E28F2" w:rsidRPr="00C2256D" w:rsidTr="00F6061C">
        <w:trPr>
          <w:cnfStyle w:val="000000010000"/>
          <w:trHeight w:val="315"/>
          <w:jc w:val="center"/>
        </w:trPr>
        <w:tc>
          <w:tcPr>
            <w:cnfStyle w:val="001000000000"/>
            <w:tcW w:w="3020" w:type="dxa"/>
            <w:noWrap/>
            <w:hideMark/>
          </w:tcPr>
          <w:p w:rsidR="007E28F2" w:rsidRPr="00C2256D" w:rsidRDefault="007E28F2" w:rsidP="00872FD2">
            <w:pPr>
              <w:spacing w:after="0" w:line="360" w:lineRule="auto"/>
              <w:rPr>
                <w:rFonts w:asciiTheme="minorHAnsi" w:eastAsia="Times New Roman" w:hAnsiTheme="minorHAnsi" w:cstheme="minorHAnsi"/>
                <w:bCs w:val="0"/>
                <w:color w:val="000000"/>
                <w:sz w:val="24"/>
                <w:szCs w:val="24"/>
              </w:rPr>
            </w:pPr>
            <w:r w:rsidRPr="00C2256D">
              <w:rPr>
                <w:rFonts w:asciiTheme="minorHAnsi" w:eastAsia="Times New Roman" w:hAnsiTheme="minorHAnsi" w:cstheme="minorHAnsi"/>
                <w:color w:val="000000"/>
                <w:sz w:val="24"/>
                <w:szCs w:val="24"/>
              </w:rPr>
              <w:t> </w:t>
            </w:r>
          </w:p>
        </w:tc>
        <w:tc>
          <w:tcPr>
            <w:tcW w:w="1880" w:type="dxa"/>
            <w:noWrap/>
            <w:hideMark/>
          </w:tcPr>
          <w:p w:rsidR="007E28F2" w:rsidRPr="00C2256D" w:rsidRDefault="007E28F2" w:rsidP="00872FD2">
            <w:pPr>
              <w:spacing w:after="0" w:line="360" w:lineRule="auto"/>
              <w:cnfStyle w:val="00000001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P*</w:t>
            </w:r>
          </w:p>
        </w:tc>
        <w:tc>
          <w:tcPr>
            <w:tcW w:w="1505"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0,524</w:t>
            </w:r>
          </w:p>
        </w:tc>
        <w:tc>
          <w:tcPr>
            <w:tcW w:w="144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0,278</w:t>
            </w:r>
          </w:p>
        </w:tc>
        <w:tc>
          <w:tcPr>
            <w:tcW w:w="135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p>
        </w:tc>
      </w:tr>
      <w:tr w:rsidR="007E28F2" w:rsidRPr="00C2256D" w:rsidTr="00F6061C">
        <w:trPr>
          <w:cnfStyle w:val="000000100000"/>
          <w:trHeight w:val="315"/>
          <w:jc w:val="center"/>
        </w:trPr>
        <w:tc>
          <w:tcPr>
            <w:cnfStyle w:val="001000000000"/>
            <w:tcW w:w="3020" w:type="dxa"/>
            <w:noWrap/>
            <w:hideMark/>
          </w:tcPr>
          <w:p w:rsidR="007E28F2" w:rsidRPr="00C2256D" w:rsidRDefault="0076474F" w:rsidP="00872FD2">
            <w:pPr>
              <w:spacing w:after="0" w:line="360" w:lineRule="auto"/>
              <w:rPr>
                <w:rFonts w:asciiTheme="minorHAnsi" w:eastAsia="Times New Roman" w:hAnsiTheme="minorHAnsi" w:cstheme="minorHAnsi"/>
                <w:bCs w:val="0"/>
                <w:color w:val="0070C0"/>
                <w:sz w:val="24"/>
                <w:szCs w:val="24"/>
              </w:rPr>
            </w:pPr>
            <w:r w:rsidRPr="00C2256D">
              <w:rPr>
                <w:rFonts w:asciiTheme="minorHAnsi" w:eastAsia="Times New Roman" w:hAnsiTheme="minorHAnsi" w:cstheme="minorHAnsi"/>
                <w:color w:val="0070C0"/>
                <w:sz w:val="24"/>
                <w:szCs w:val="24"/>
              </w:rPr>
              <w:t>Λειτουργικότητα</w:t>
            </w:r>
          </w:p>
        </w:tc>
        <w:tc>
          <w:tcPr>
            <w:tcW w:w="1880" w:type="dxa"/>
            <w:noWrap/>
            <w:hideMark/>
          </w:tcPr>
          <w:p w:rsidR="007E28F2" w:rsidRPr="00C2256D" w:rsidRDefault="007E28F2" w:rsidP="00872FD2">
            <w:pPr>
              <w:spacing w:after="0" w:line="360" w:lineRule="auto"/>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 </w:t>
            </w:r>
          </w:p>
        </w:tc>
        <w:tc>
          <w:tcPr>
            <w:tcW w:w="1505" w:type="dxa"/>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1440" w:type="dxa"/>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1350" w:type="dxa"/>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r>
      <w:tr w:rsidR="007E28F2" w:rsidRPr="00C2256D" w:rsidTr="00F6061C">
        <w:trPr>
          <w:cnfStyle w:val="000000010000"/>
          <w:trHeight w:val="315"/>
          <w:jc w:val="center"/>
        </w:trPr>
        <w:tc>
          <w:tcPr>
            <w:cnfStyle w:val="001000000000"/>
            <w:tcW w:w="3020" w:type="dxa"/>
            <w:hideMark/>
          </w:tcPr>
          <w:p w:rsidR="007E28F2" w:rsidRPr="00C2256D" w:rsidRDefault="007E28F2" w:rsidP="00872FD2">
            <w:pPr>
              <w:spacing w:after="0" w:line="360" w:lineRule="auto"/>
              <w:rPr>
                <w:rFonts w:asciiTheme="minorHAnsi" w:eastAsia="Times New Roman" w:hAnsiTheme="minorHAnsi" w:cstheme="minorHAnsi"/>
                <w:bCs w:val="0"/>
                <w:color w:val="000000"/>
                <w:sz w:val="24"/>
                <w:szCs w:val="24"/>
              </w:rPr>
            </w:pPr>
            <w:r w:rsidRPr="00C2256D">
              <w:rPr>
                <w:rFonts w:asciiTheme="minorHAnsi" w:eastAsia="Times New Roman" w:hAnsiTheme="minorHAnsi" w:cstheme="minorHAnsi"/>
                <w:color w:val="000000"/>
                <w:sz w:val="24"/>
                <w:szCs w:val="24"/>
              </w:rPr>
              <w:t>Ομάδα</w:t>
            </w:r>
          </w:p>
        </w:tc>
        <w:tc>
          <w:tcPr>
            <w:tcW w:w="1880" w:type="dxa"/>
            <w:hideMark/>
          </w:tcPr>
          <w:p w:rsidR="007E28F2" w:rsidRPr="00C2256D" w:rsidRDefault="007E28F2" w:rsidP="00872FD2">
            <w:pPr>
              <w:spacing w:after="0" w:line="360" w:lineRule="auto"/>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Ελέγχου</w:t>
            </w:r>
          </w:p>
        </w:tc>
        <w:tc>
          <w:tcPr>
            <w:tcW w:w="1505"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4,52 (9,47)</w:t>
            </w:r>
          </w:p>
        </w:tc>
        <w:tc>
          <w:tcPr>
            <w:tcW w:w="144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4,32 (9,29)</w:t>
            </w:r>
          </w:p>
        </w:tc>
        <w:tc>
          <w:tcPr>
            <w:tcW w:w="135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-0,2 (1)</w:t>
            </w: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0,714</w:t>
            </w: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&lt;0,001</w:t>
            </w:r>
          </w:p>
        </w:tc>
      </w:tr>
      <w:tr w:rsidR="007E28F2" w:rsidRPr="00C2256D" w:rsidTr="00F6061C">
        <w:trPr>
          <w:cnfStyle w:val="000000100000"/>
          <w:trHeight w:val="315"/>
          <w:jc w:val="center"/>
        </w:trPr>
        <w:tc>
          <w:tcPr>
            <w:cnfStyle w:val="001000000000"/>
            <w:tcW w:w="3020" w:type="dxa"/>
            <w:noWrap/>
            <w:hideMark/>
          </w:tcPr>
          <w:p w:rsidR="007E28F2" w:rsidRPr="00C2256D" w:rsidRDefault="007E28F2" w:rsidP="00872FD2">
            <w:pPr>
              <w:spacing w:after="0" w:line="360" w:lineRule="auto"/>
              <w:rPr>
                <w:rFonts w:asciiTheme="minorHAnsi" w:eastAsia="Times New Roman" w:hAnsiTheme="minorHAnsi" w:cstheme="minorHAnsi"/>
                <w:bCs w:val="0"/>
                <w:color w:val="000000"/>
                <w:sz w:val="24"/>
                <w:szCs w:val="24"/>
              </w:rPr>
            </w:pPr>
            <w:r w:rsidRPr="00C2256D">
              <w:rPr>
                <w:rFonts w:asciiTheme="minorHAnsi" w:eastAsia="Times New Roman" w:hAnsiTheme="minorHAnsi" w:cstheme="minorHAnsi"/>
                <w:color w:val="000000"/>
                <w:sz w:val="24"/>
                <w:szCs w:val="24"/>
              </w:rPr>
              <w:t> </w:t>
            </w:r>
          </w:p>
        </w:tc>
        <w:tc>
          <w:tcPr>
            <w:tcW w:w="1880" w:type="dxa"/>
            <w:hideMark/>
          </w:tcPr>
          <w:p w:rsidR="007E28F2" w:rsidRPr="00C2256D" w:rsidRDefault="007E28F2" w:rsidP="00872FD2">
            <w:pPr>
              <w:spacing w:after="0" w:line="360" w:lineRule="auto"/>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Παρέμβασης</w:t>
            </w:r>
          </w:p>
        </w:tc>
        <w:tc>
          <w:tcPr>
            <w:tcW w:w="1505"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10,52 (11,12)</w:t>
            </w:r>
          </w:p>
        </w:tc>
        <w:tc>
          <w:tcPr>
            <w:tcW w:w="144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15,04 (10,78)</w:t>
            </w:r>
          </w:p>
        </w:tc>
        <w:tc>
          <w:tcPr>
            <w:tcW w:w="135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4,52 (3,7)</w:t>
            </w: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&lt;0,001</w:t>
            </w: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r>
      <w:tr w:rsidR="007E28F2" w:rsidRPr="00C2256D" w:rsidTr="00F6061C">
        <w:trPr>
          <w:cnfStyle w:val="000000010000"/>
          <w:trHeight w:val="315"/>
          <w:jc w:val="center"/>
        </w:trPr>
        <w:tc>
          <w:tcPr>
            <w:cnfStyle w:val="001000000000"/>
            <w:tcW w:w="3020" w:type="dxa"/>
            <w:noWrap/>
            <w:hideMark/>
          </w:tcPr>
          <w:p w:rsidR="007E28F2" w:rsidRPr="00C2256D" w:rsidRDefault="007E28F2" w:rsidP="00872FD2">
            <w:pPr>
              <w:spacing w:after="0" w:line="360" w:lineRule="auto"/>
              <w:rPr>
                <w:rFonts w:asciiTheme="minorHAnsi" w:eastAsia="Times New Roman" w:hAnsiTheme="minorHAnsi" w:cstheme="minorHAnsi"/>
                <w:bCs w:val="0"/>
                <w:color w:val="000000"/>
                <w:sz w:val="24"/>
                <w:szCs w:val="24"/>
              </w:rPr>
            </w:pPr>
            <w:r w:rsidRPr="00C2256D">
              <w:rPr>
                <w:rFonts w:asciiTheme="minorHAnsi" w:eastAsia="Times New Roman" w:hAnsiTheme="minorHAnsi" w:cstheme="minorHAnsi"/>
                <w:color w:val="000000"/>
                <w:sz w:val="24"/>
                <w:szCs w:val="24"/>
              </w:rPr>
              <w:t> </w:t>
            </w:r>
          </w:p>
        </w:tc>
        <w:tc>
          <w:tcPr>
            <w:tcW w:w="1880" w:type="dxa"/>
            <w:noWrap/>
            <w:hideMark/>
          </w:tcPr>
          <w:p w:rsidR="007E28F2" w:rsidRPr="00C2256D" w:rsidRDefault="007E28F2" w:rsidP="00872FD2">
            <w:pPr>
              <w:spacing w:after="0" w:line="360" w:lineRule="auto"/>
              <w:cnfStyle w:val="00000001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P*</w:t>
            </w:r>
          </w:p>
        </w:tc>
        <w:tc>
          <w:tcPr>
            <w:tcW w:w="1505"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0,045</w:t>
            </w:r>
          </w:p>
        </w:tc>
        <w:tc>
          <w:tcPr>
            <w:tcW w:w="144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&lt;0,001</w:t>
            </w:r>
          </w:p>
        </w:tc>
        <w:tc>
          <w:tcPr>
            <w:tcW w:w="135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p>
        </w:tc>
      </w:tr>
      <w:tr w:rsidR="007E28F2" w:rsidRPr="00C2256D" w:rsidTr="00F6061C">
        <w:trPr>
          <w:cnfStyle w:val="000000100000"/>
          <w:trHeight w:val="315"/>
          <w:jc w:val="center"/>
        </w:trPr>
        <w:tc>
          <w:tcPr>
            <w:cnfStyle w:val="001000000000"/>
            <w:tcW w:w="3020" w:type="dxa"/>
            <w:noWrap/>
            <w:hideMark/>
          </w:tcPr>
          <w:p w:rsidR="007E28F2" w:rsidRPr="00C2256D" w:rsidRDefault="0076474F" w:rsidP="00872FD2">
            <w:pPr>
              <w:spacing w:after="0" w:line="360" w:lineRule="auto"/>
              <w:rPr>
                <w:rFonts w:asciiTheme="minorHAnsi" w:eastAsia="Times New Roman" w:hAnsiTheme="minorHAnsi" w:cstheme="minorHAnsi"/>
                <w:bCs w:val="0"/>
                <w:color w:val="0070C0"/>
                <w:sz w:val="24"/>
                <w:szCs w:val="24"/>
              </w:rPr>
            </w:pPr>
            <w:r w:rsidRPr="00C2256D">
              <w:rPr>
                <w:rFonts w:asciiTheme="minorHAnsi" w:eastAsia="Times New Roman" w:hAnsiTheme="minorHAnsi" w:cstheme="minorHAnsi"/>
                <w:color w:val="0070C0"/>
                <w:sz w:val="24"/>
                <w:szCs w:val="24"/>
              </w:rPr>
              <w:t>Διαπροσωπικές σχέσεις</w:t>
            </w:r>
          </w:p>
        </w:tc>
        <w:tc>
          <w:tcPr>
            <w:tcW w:w="1880" w:type="dxa"/>
            <w:noWrap/>
            <w:hideMark/>
          </w:tcPr>
          <w:p w:rsidR="007E28F2" w:rsidRPr="00C2256D" w:rsidRDefault="007E28F2" w:rsidP="00872FD2">
            <w:pPr>
              <w:spacing w:after="0" w:line="360" w:lineRule="auto"/>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 </w:t>
            </w:r>
          </w:p>
        </w:tc>
        <w:tc>
          <w:tcPr>
            <w:tcW w:w="1505" w:type="dxa"/>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1440" w:type="dxa"/>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1350" w:type="dxa"/>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r>
      <w:tr w:rsidR="007E28F2" w:rsidRPr="00C2256D" w:rsidTr="00F6061C">
        <w:trPr>
          <w:cnfStyle w:val="000000010000"/>
          <w:trHeight w:val="315"/>
          <w:jc w:val="center"/>
        </w:trPr>
        <w:tc>
          <w:tcPr>
            <w:cnfStyle w:val="001000000000"/>
            <w:tcW w:w="3020" w:type="dxa"/>
            <w:hideMark/>
          </w:tcPr>
          <w:p w:rsidR="007E28F2" w:rsidRPr="00C2256D" w:rsidRDefault="007E28F2" w:rsidP="00872FD2">
            <w:pPr>
              <w:spacing w:after="0" w:line="360" w:lineRule="auto"/>
              <w:rPr>
                <w:rFonts w:asciiTheme="minorHAnsi" w:eastAsia="Times New Roman" w:hAnsiTheme="minorHAnsi" w:cstheme="minorHAnsi"/>
                <w:bCs w:val="0"/>
                <w:color w:val="000000"/>
                <w:sz w:val="24"/>
                <w:szCs w:val="24"/>
              </w:rPr>
            </w:pPr>
            <w:r w:rsidRPr="00C2256D">
              <w:rPr>
                <w:rFonts w:asciiTheme="minorHAnsi" w:eastAsia="Times New Roman" w:hAnsiTheme="minorHAnsi" w:cstheme="minorHAnsi"/>
                <w:color w:val="000000"/>
                <w:sz w:val="24"/>
                <w:szCs w:val="24"/>
              </w:rPr>
              <w:t>Ομάδα</w:t>
            </w:r>
          </w:p>
        </w:tc>
        <w:tc>
          <w:tcPr>
            <w:tcW w:w="1880" w:type="dxa"/>
            <w:hideMark/>
          </w:tcPr>
          <w:p w:rsidR="007E28F2" w:rsidRPr="00C2256D" w:rsidRDefault="007E28F2" w:rsidP="00872FD2">
            <w:pPr>
              <w:spacing w:after="0" w:line="360" w:lineRule="auto"/>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Ελέγχου</w:t>
            </w:r>
          </w:p>
        </w:tc>
        <w:tc>
          <w:tcPr>
            <w:tcW w:w="1505"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11,48 (12,26)</w:t>
            </w:r>
          </w:p>
        </w:tc>
        <w:tc>
          <w:tcPr>
            <w:tcW w:w="144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11,36 (11,96)</w:t>
            </w:r>
          </w:p>
        </w:tc>
        <w:tc>
          <w:tcPr>
            <w:tcW w:w="135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-0,12 (1,36)</w:t>
            </w: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0,841</w:t>
            </w: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0,509</w:t>
            </w:r>
          </w:p>
        </w:tc>
      </w:tr>
      <w:tr w:rsidR="007E28F2" w:rsidRPr="00C2256D" w:rsidTr="00F6061C">
        <w:trPr>
          <w:cnfStyle w:val="000000100000"/>
          <w:trHeight w:val="315"/>
          <w:jc w:val="center"/>
        </w:trPr>
        <w:tc>
          <w:tcPr>
            <w:cnfStyle w:val="001000000000"/>
            <w:tcW w:w="3020" w:type="dxa"/>
            <w:noWrap/>
            <w:hideMark/>
          </w:tcPr>
          <w:p w:rsidR="007E28F2" w:rsidRPr="00C2256D" w:rsidRDefault="007E28F2" w:rsidP="00872FD2">
            <w:pPr>
              <w:spacing w:after="0" w:line="360" w:lineRule="auto"/>
              <w:rPr>
                <w:rFonts w:asciiTheme="minorHAnsi" w:eastAsia="Times New Roman" w:hAnsiTheme="minorHAnsi" w:cstheme="minorHAnsi"/>
                <w:bCs w:val="0"/>
                <w:color w:val="000000"/>
                <w:sz w:val="24"/>
                <w:szCs w:val="24"/>
              </w:rPr>
            </w:pPr>
            <w:r w:rsidRPr="00C2256D">
              <w:rPr>
                <w:rFonts w:asciiTheme="minorHAnsi" w:eastAsia="Times New Roman" w:hAnsiTheme="minorHAnsi" w:cstheme="minorHAnsi"/>
                <w:color w:val="000000"/>
                <w:sz w:val="24"/>
                <w:szCs w:val="24"/>
              </w:rPr>
              <w:t> </w:t>
            </w:r>
          </w:p>
        </w:tc>
        <w:tc>
          <w:tcPr>
            <w:tcW w:w="1880" w:type="dxa"/>
            <w:hideMark/>
          </w:tcPr>
          <w:p w:rsidR="007E28F2" w:rsidRPr="00C2256D" w:rsidRDefault="007E28F2" w:rsidP="00872FD2">
            <w:pPr>
              <w:spacing w:after="0" w:line="360" w:lineRule="auto"/>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Παρέμβασης</w:t>
            </w:r>
          </w:p>
        </w:tc>
        <w:tc>
          <w:tcPr>
            <w:tcW w:w="1505"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15,08 (10,23)</w:t>
            </w:r>
          </w:p>
        </w:tc>
        <w:tc>
          <w:tcPr>
            <w:tcW w:w="144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15,52 (8,24)</w:t>
            </w:r>
          </w:p>
        </w:tc>
        <w:tc>
          <w:tcPr>
            <w:tcW w:w="135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0,44 (3,98)</w:t>
            </w: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0,463</w:t>
            </w: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r>
      <w:tr w:rsidR="007E28F2" w:rsidRPr="00C2256D" w:rsidTr="00F6061C">
        <w:trPr>
          <w:cnfStyle w:val="000000010000"/>
          <w:trHeight w:val="315"/>
          <w:jc w:val="center"/>
        </w:trPr>
        <w:tc>
          <w:tcPr>
            <w:cnfStyle w:val="001000000000"/>
            <w:tcW w:w="3020" w:type="dxa"/>
            <w:noWrap/>
            <w:hideMark/>
          </w:tcPr>
          <w:p w:rsidR="007E28F2" w:rsidRPr="00C2256D" w:rsidRDefault="007E28F2" w:rsidP="00872FD2">
            <w:pPr>
              <w:spacing w:after="0" w:line="360" w:lineRule="auto"/>
              <w:rPr>
                <w:rFonts w:asciiTheme="minorHAnsi" w:eastAsia="Times New Roman" w:hAnsiTheme="minorHAnsi" w:cstheme="minorHAnsi"/>
                <w:bCs w:val="0"/>
                <w:color w:val="000000"/>
                <w:sz w:val="24"/>
                <w:szCs w:val="24"/>
              </w:rPr>
            </w:pPr>
            <w:r w:rsidRPr="00C2256D">
              <w:rPr>
                <w:rFonts w:asciiTheme="minorHAnsi" w:eastAsia="Times New Roman" w:hAnsiTheme="minorHAnsi" w:cstheme="minorHAnsi"/>
                <w:color w:val="000000"/>
                <w:sz w:val="24"/>
                <w:szCs w:val="24"/>
              </w:rPr>
              <w:t> </w:t>
            </w:r>
          </w:p>
        </w:tc>
        <w:tc>
          <w:tcPr>
            <w:tcW w:w="1880" w:type="dxa"/>
            <w:noWrap/>
            <w:hideMark/>
          </w:tcPr>
          <w:p w:rsidR="007E28F2" w:rsidRPr="00C2256D" w:rsidRDefault="007E28F2" w:rsidP="00872FD2">
            <w:pPr>
              <w:spacing w:after="0" w:line="360" w:lineRule="auto"/>
              <w:cnfStyle w:val="00000001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P*</w:t>
            </w:r>
          </w:p>
        </w:tc>
        <w:tc>
          <w:tcPr>
            <w:tcW w:w="1505"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0,265</w:t>
            </w:r>
          </w:p>
        </w:tc>
        <w:tc>
          <w:tcPr>
            <w:tcW w:w="144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0,159</w:t>
            </w:r>
          </w:p>
        </w:tc>
        <w:tc>
          <w:tcPr>
            <w:tcW w:w="135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p>
        </w:tc>
      </w:tr>
      <w:tr w:rsidR="007E28F2" w:rsidRPr="00C2256D" w:rsidTr="00F6061C">
        <w:trPr>
          <w:cnfStyle w:val="000000100000"/>
          <w:trHeight w:val="315"/>
          <w:jc w:val="center"/>
        </w:trPr>
        <w:tc>
          <w:tcPr>
            <w:cnfStyle w:val="001000000000"/>
            <w:tcW w:w="3020" w:type="dxa"/>
            <w:noWrap/>
            <w:hideMark/>
          </w:tcPr>
          <w:p w:rsidR="007E28F2" w:rsidRPr="00C2256D" w:rsidRDefault="0076474F" w:rsidP="00872FD2">
            <w:pPr>
              <w:spacing w:after="0" w:line="360" w:lineRule="auto"/>
              <w:rPr>
                <w:rFonts w:asciiTheme="minorHAnsi" w:eastAsia="Times New Roman" w:hAnsiTheme="minorHAnsi" w:cstheme="minorHAnsi"/>
                <w:bCs w:val="0"/>
                <w:color w:val="0070C0"/>
                <w:sz w:val="24"/>
                <w:szCs w:val="24"/>
              </w:rPr>
            </w:pPr>
            <w:r w:rsidRPr="00C2256D">
              <w:rPr>
                <w:rFonts w:asciiTheme="minorHAnsi" w:eastAsia="Times New Roman" w:hAnsiTheme="minorHAnsi" w:cstheme="minorHAnsi"/>
                <w:color w:val="0070C0"/>
                <w:sz w:val="24"/>
                <w:szCs w:val="24"/>
              </w:rPr>
              <w:t>Ευεξία</w:t>
            </w:r>
          </w:p>
        </w:tc>
        <w:tc>
          <w:tcPr>
            <w:tcW w:w="1880" w:type="dxa"/>
            <w:noWrap/>
            <w:hideMark/>
          </w:tcPr>
          <w:p w:rsidR="007E28F2" w:rsidRPr="00C2256D" w:rsidRDefault="007E28F2" w:rsidP="00872FD2">
            <w:pPr>
              <w:spacing w:after="0" w:line="360" w:lineRule="auto"/>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 </w:t>
            </w:r>
          </w:p>
        </w:tc>
        <w:tc>
          <w:tcPr>
            <w:tcW w:w="1505" w:type="dxa"/>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1440" w:type="dxa"/>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1350" w:type="dxa"/>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r>
      <w:tr w:rsidR="007E28F2" w:rsidRPr="00C2256D" w:rsidTr="00F6061C">
        <w:trPr>
          <w:cnfStyle w:val="000000010000"/>
          <w:trHeight w:val="315"/>
          <w:jc w:val="center"/>
        </w:trPr>
        <w:tc>
          <w:tcPr>
            <w:cnfStyle w:val="001000000000"/>
            <w:tcW w:w="3020" w:type="dxa"/>
            <w:hideMark/>
          </w:tcPr>
          <w:p w:rsidR="007E28F2" w:rsidRPr="00C2256D" w:rsidRDefault="007E28F2" w:rsidP="00872FD2">
            <w:pPr>
              <w:spacing w:after="0" w:line="360" w:lineRule="auto"/>
              <w:rPr>
                <w:rFonts w:asciiTheme="minorHAnsi" w:eastAsia="Times New Roman" w:hAnsiTheme="minorHAnsi" w:cstheme="minorHAnsi"/>
                <w:bCs w:val="0"/>
                <w:color w:val="000000"/>
                <w:sz w:val="24"/>
                <w:szCs w:val="24"/>
              </w:rPr>
            </w:pPr>
            <w:r w:rsidRPr="00C2256D">
              <w:rPr>
                <w:rFonts w:asciiTheme="minorHAnsi" w:eastAsia="Times New Roman" w:hAnsiTheme="minorHAnsi" w:cstheme="minorHAnsi"/>
                <w:color w:val="000000"/>
                <w:sz w:val="24"/>
                <w:szCs w:val="24"/>
              </w:rPr>
              <w:t>Ομάδα</w:t>
            </w:r>
          </w:p>
        </w:tc>
        <w:tc>
          <w:tcPr>
            <w:tcW w:w="1880" w:type="dxa"/>
            <w:hideMark/>
          </w:tcPr>
          <w:p w:rsidR="007E28F2" w:rsidRPr="00C2256D" w:rsidRDefault="007E28F2" w:rsidP="00872FD2">
            <w:pPr>
              <w:spacing w:after="0" w:line="360" w:lineRule="auto"/>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Ελέγχου</w:t>
            </w:r>
          </w:p>
        </w:tc>
        <w:tc>
          <w:tcPr>
            <w:tcW w:w="1505"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-1,52 (13,81)</w:t>
            </w:r>
          </w:p>
        </w:tc>
        <w:tc>
          <w:tcPr>
            <w:tcW w:w="144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-1,84 (13,93)</w:t>
            </w:r>
          </w:p>
        </w:tc>
        <w:tc>
          <w:tcPr>
            <w:tcW w:w="135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-0,32 (1,97)</w:t>
            </w: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0,402</w:t>
            </w: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0,030</w:t>
            </w:r>
          </w:p>
        </w:tc>
      </w:tr>
      <w:tr w:rsidR="007E28F2" w:rsidRPr="00C2256D" w:rsidTr="00F6061C">
        <w:trPr>
          <w:cnfStyle w:val="000000100000"/>
          <w:trHeight w:val="315"/>
          <w:jc w:val="center"/>
        </w:trPr>
        <w:tc>
          <w:tcPr>
            <w:cnfStyle w:val="001000000000"/>
            <w:tcW w:w="3020" w:type="dxa"/>
            <w:noWrap/>
            <w:hideMark/>
          </w:tcPr>
          <w:p w:rsidR="007E28F2" w:rsidRPr="00C2256D" w:rsidRDefault="007E28F2" w:rsidP="00872FD2">
            <w:pPr>
              <w:spacing w:after="0" w:line="360" w:lineRule="auto"/>
              <w:rPr>
                <w:rFonts w:asciiTheme="minorHAnsi" w:eastAsia="Times New Roman" w:hAnsiTheme="minorHAnsi" w:cstheme="minorHAnsi"/>
                <w:bCs w:val="0"/>
                <w:color w:val="000000"/>
                <w:sz w:val="24"/>
                <w:szCs w:val="24"/>
              </w:rPr>
            </w:pPr>
            <w:r w:rsidRPr="00C2256D">
              <w:rPr>
                <w:rFonts w:asciiTheme="minorHAnsi" w:eastAsia="Times New Roman" w:hAnsiTheme="minorHAnsi" w:cstheme="minorHAnsi"/>
                <w:color w:val="000000"/>
                <w:sz w:val="24"/>
                <w:szCs w:val="24"/>
              </w:rPr>
              <w:t> </w:t>
            </w:r>
          </w:p>
        </w:tc>
        <w:tc>
          <w:tcPr>
            <w:tcW w:w="1880" w:type="dxa"/>
            <w:hideMark/>
          </w:tcPr>
          <w:p w:rsidR="007E28F2" w:rsidRPr="00C2256D" w:rsidRDefault="007E28F2" w:rsidP="00872FD2">
            <w:pPr>
              <w:spacing w:after="0" w:line="360" w:lineRule="auto"/>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Παρέμβασης</w:t>
            </w:r>
          </w:p>
        </w:tc>
        <w:tc>
          <w:tcPr>
            <w:tcW w:w="1505"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3,64 (14,15)</w:t>
            </w:r>
          </w:p>
        </w:tc>
        <w:tc>
          <w:tcPr>
            <w:tcW w:w="144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4,52 (14,33)</w:t>
            </w:r>
          </w:p>
        </w:tc>
        <w:tc>
          <w:tcPr>
            <w:tcW w:w="135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0,88 (1,81)</w:t>
            </w: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0,024</w:t>
            </w: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r>
      <w:tr w:rsidR="007E28F2" w:rsidRPr="00C2256D" w:rsidTr="00F6061C">
        <w:trPr>
          <w:cnfStyle w:val="000000010000"/>
          <w:trHeight w:val="315"/>
          <w:jc w:val="center"/>
        </w:trPr>
        <w:tc>
          <w:tcPr>
            <w:cnfStyle w:val="001000000000"/>
            <w:tcW w:w="3020" w:type="dxa"/>
            <w:noWrap/>
            <w:hideMark/>
          </w:tcPr>
          <w:p w:rsidR="007E28F2" w:rsidRPr="00C2256D" w:rsidRDefault="007E28F2" w:rsidP="00872FD2">
            <w:pPr>
              <w:spacing w:after="0" w:line="360" w:lineRule="auto"/>
              <w:rPr>
                <w:rFonts w:asciiTheme="minorHAnsi" w:eastAsia="Times New Roman" w:hAnsiTheme="minorHAnsi" w:cstheme="minorHAnsi"/>
                <w:bCs w:val="0"/>
                <w:color w:val="000000"/>
                <w:sz w:val="24"/>
                <w:szCs w:val="24"/>
              </w:rPr>
            </w:pPr>
            <w:r w:rsidRPr="00C2256D">
              <w:rPr>
                <w:rFonts w:asciiTheme="minorHAnsi" w:eastAsia="Times New Roman" w:hAnsiTheme="minorHAnsi" w:cstheme="minorHAnsi"/>
                <w:color w:val="000000"/>
                <w:sz w:val="24"/>
                <w:szCs w:val="24"/>
              </w:rPr>
              <w:t> </w:t>
            </w:r>
          </w:p>
        </w:tc>
        <w:tc>
          <w:tcPr>
            <w:tcW w:w="1880" w:type="dxa"/>
            <w:noWrap/>
            <w:hideMark/>
          </w:tcPr>
          <w:p w:rsidR="007E28F2" w:rsidRPr="00C2256D" w:rsidRDefault="007E28F2" w:rsidP="00872FD2">
            <w:pPr>
              <w:spacing w:after="0" w:line="360" w:lineRule="auto"/>
              <w:cnfStyle w:val="00000001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P*</w:t>
            </w:r>
          </w:p>
        </w:tc>
        <w:tc>
          <w:tcPr>
            <w:tcW w:w="1505"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0,198</w:t>
            </w:r>
          </w:p>
        </w:tc>
        <w:tc>
          <w:tcPr>
            <w:tcW w:w="144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0,118</w:t>
            </w:r>
          </w:p>
        </w:tc>
        <w:tc>
          <w:tcPr>
            <w:tcW w:w="135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p>
        </w:tc>
      </w:tr>
      <w:tr w:rsidR="007E28F2" w:rsidRPr="00C2256D" w:rsidTr="00F6061C">
        <w:trPr>
          <w:cnfStyle w:val="000000100000"/>
          <w:trHeight w:val="315"/>
          <w:jc w:val="center"/>
        </w:trPr>
        <w:tc>
          <w:tcPr>
            <w:cnfStyle w:val="001000000000"/>
            <w:tcW w:w="3020" w:type="dxa"/>
            <w:noWrap/>
            <w:hideMark/>
          </w:tcPr>
          <w:p w:rsidR="007E28F2" w:rsidRPr="00C2256D" w:rsidRDefault="0076474F" w:rsidP="00872FD2">
            <w:pPr>
              <w:spacing w:after="0" w:line="360" w:lineRule="auto"/>
              <w:rPr>
                <w:rFonts w:asciiTheme="minorHAnsi" w:eastAsia="Times New Roman" w:hAnsiTheme="minorHAnsi" w:cstheme="minorHAnsi"/>
                <w:bCs w:val="0"/>
                <w:color w:val="0070C0"/>
                <w:sz w:val="24"/>
                <w:szCs w:val="24"/>
              </w:rPr>
            </w:pPr>
            <w:r w:rsidRPr="00C2256D">
              <w:rPr>
                <w:rFonts w:asciiTheme="minorHAnsi" w:eastAsia="Times New Roman" w:hAnsiTheme="minorHAnsi" w:cstheme="minorHAnsi"/>
                <w:color w:val="0070C0"/>
                <w:sz w:val="24"/>
                <w:szCs w:val="24"/>
              </w:rPr>
              <w:t>Πνευματικότητα</w:t>
            </w:r>
          </w:p>
        </w:tc>
        <w:tc>
          <w:tcPr>
            <w:tcW w:w="1880" w:type="dxa"/>
            <w:noWrap/>
            <w:hideMark/>
          </w:tcPr>
          <w:p w:rsidR="007E28F2" w:rsidRPr="00C2256D" w:rsidRDefault="007E28F2" w:rsidP="00872FD2">
            <w:pPr>
              <w:spacing w:after="0" w:line="360" w:lineRule="auto"/>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 </w:t>
            </w:r>
          </w:p>
        </w:tc>
        <w:tc>
          <w:tcPr>
            <w:tcW w:w="1505" w:type="dxa"/>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1440" w:type="dxa"/>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1350" w:type="dxa"/>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r>
      <w:tr w:rsidR="007E28F2" w:rsidRPr="00C2256D" w:rsidTr="00F6061C">
        <w:trPr>
          <w:cnfStyle w:val="000000010000"/>
          <w:trHeight w:val="315"/>
          <w:jc w:val="center"/>
        </w:trPr>
        <w:tc>
          <w:tcPr>
            <w:cnfStyle w:val="001000000000"/>
            <w:tcW w:w="3020" w:type="dxa"/>
            <w:hideMark/>
          </w:tcPr>
          <w:p w:rsidR="007E28F2" w:rsidRPr="00C2256D" w:rsidRDefault="007E28F2" w:rsidP="00872FD2">
            <w:pPr>
              <w:spacing w:after="0" w:line="360" w:lineRule="auto"/>
              <w:rPr>
                <w:rFonts w:asciiTheme="minorHAnsi" w:eastAsia="Times New Roman" w:hAnsiTheme="minorHAnsi" w:cstheme="minorHAnsi"/>
                <w:bCs w:val="0"/>
                <w:color w:val="000000"/>
                <w:sz w:val="24"/>
                <w:szCs w:val="24"/>
              </w:rPr>
            </w:pPr>
            <w:r w:rsidRPr="00C2256D">
              <w:rPr>
                <w:rFonts w:asciiTheme="minorHAnsi" w:eastAsia="Times New Roman" w:hAnsiTheme="minorHAnsi" w:cstheme="minorHAnsi"/>
                <w:color w:val="000000"/>
                <w:sz w:val="24"/>
                <w:szCs w:val="24"/>
              </w:rPr>
              <w:t>Ομάδα</w:t>
            </w:r>
          </w:p>
        </w:tc>
        <w:tc>
          <w:tcPr>
            <w:tcW w:w="1880" w:type="dxa"/>
            <w:hideMark/>
          </w:tcPr>
          <w:p w:rsidR="007E28F2" w:rsidRPr="00C2256D" w:rsidRDefault="007E28F2" w:rsidP="00872FD2">
            <w:pPr>
              <w:spacing w:after="0" w:line="360" w:lineRule="auto"/>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Ελέγχου</w:t>
            </w:r>
          </w:p>
        </w:tc>
        <w:tc>
          <w:tcPr>
            <w:tcW w:w="1505"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12,32 (12,57)</w:t>
            </w:r>
          </w:p>
        </w:tc>
        <w:tc>
          <w:tcPr>
            <w:tcW w:w="144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12,24 (11,65)</w:t>
            </w:r>
          </w:p>
        </w:tc>
        <w:tc>
          <w:tcPr>
            <w:tcW w:w="135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-0,08 (3,57)</w:t>
            </w: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0,929</w:t>
            </w: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0,033</w:t>
            </w:r>
          </w:p>
        </w:tc>
      </w:tr>
      <w:tr w:rsidR="007E28F2" w:rsidRPr="00C2256D" w:rsidTr="00F6061C">
        <w:trPr>
          <w:cnfStyle w:val="000000100000"/>
          <w:trHeight w:val="315"/>
          <w:jc w:val="center"/>
        </w:trPr>
        <w:tc>
          <w:tcPr>
            <w:cnfStyle w:val="001000000000"/>
            <w:tcW w:w="3020" w:type="dxa"/>
            <w:noWrap/>
            <w:hideMark/>
          </w:tcPr>
          <w:p w:rsidR="007E28F2" w:rsidRPr="00C2256D" w:rsidRDefault="007E28F2" w:rsidP="00872FD2">
            <w:pPr>
              <w:spacing w:after="0" w:line="360" w:lineRule="auto"/>
              <w:rPr>
                <w:rFonts w:asciiTheme="minorHAnsi" w:eastAsia="Times New Roman" w:hAnsiTheme="minorHAnsi" w:cstheme="minorHAnsi"/>
                <w:bCs w:val="0"/>
                <w:color w:val="000000"/>
                <w:sz w:val="24"/>
                <w:szCs w:val="24"/>
              </w:rPr>
            </w:pPr>
            <w:r w:rsidRPr="00C2256D">
              <w:rPr>
                <w:rFonts w:asciiTheme="minorHAnsi" w:eastAsia="Times New Roman" w:hAnsiTheme="minorHAnsi" w:cstheme="minorHAnsi"/>
                <w:color w:val="000000"/>
                <w:sz w:val="24"/>
                <w:szCs w:val="24"/>
              </w:rPr>
              <w:t> </w:t>
            </w:r>
          </w:p>
        </w:tc>
        <w:tc>
          <w:tcPr>
            <w:tcW w:w="1880" w:type="dxa"/>
            <w:hideMark/>
          </w:tcPr>
          <w:p w:rsidR="007E28F2" w:rsidRPr="00C2256D" w:rsidRDefault="007E28F2" w:rsidP="00872FD2">
            <w:pPr>
              <w:spacing w:after="0" w:line="360" w:lineRule="auto"/>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Παρέμβασης</w:t>
            </w:r>
          </w:p>
        </w:tc>
        <w:tc>
          <w:tcPr>
            <w:tcW w:w="1505"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12,28 (12,31)</w:t>
            </w:r>
          </w:p>
        </w:tc>
        <w:tc>
          <w:tcPr>
            <w:tcW w:w="144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15 (8,61)</w:t>
            </w:r>
          </w:p>
        </w:tc>
        <w:tc>
          <w:tcPr>
            <w:tcW w:w="135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2,72 (5,26)</w:t>
            </w: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0,004</w:t>
            </w: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r>
      <w:tr w:rsidR="007E28F2" w:rsidRPr="00C2256D" w:rsidTr="00F6061C">
        <w:trPr>
          <w:cnfStyle w:val="000000010000"/>
          <w:trHeight w:val="315"/>
          <w:jc w:val="center"/>
        </w:trPr>
        <w:tc>
          <w:tcPr>
            <w:cnfStyle w:val="001000000000"/>
            <w:tcW w:w="3020" w:type="dxa"/>
            <w:noWrap/>
            <w:hideMark/>
          </w:tcPr>
          <w:p w:rsidR="007E28F2" w:rsidRPr="00C2256D" w:rsidRDefault="007E28F2" w:rsidP="00872FD2">
            <w:pPr>
              <w:spacing w:after="0" w:line="360" w:lineRule="auto"/>
              <w:rPr>
                <w:rFonts w:asciiTheme="minorHAnsi" w:eastAsia="Times New Roman" w:hAnsiTheme="minorHAnsi" w:cstheme="minorHAnsi"/>
                <w:bCs w:val="0"/>
                <w:color w:val="000000"/>
                <w:sz w:val="24"/>
                <w:szCs w:val="24"/>
              </w:rPr>
            </w:pPr>
            <w:r w:rsidRPr="00C2256D">
              <w:rPr>
                <w:rFonts w:asciiTheme="minorHAnsi" w:eastAsia="Times New Roman" w:hAnsiTheme="minorHAnsi" w:cstheme="minorHAnsi"/>
                <w:color w:val="000000"/>
                <w:sz w:val="24"/>
                <w:szCs w:val="24"/>
              </w:rPr>
              <w:t> </w:t>
            </w:r>
          </w:p>
        </w:tc>
        <w:tc>
          <w:tcPr>
            <w:tcW w:w="1880" w:type="dxa"/>
            <w:noWrap/>
            <w:hideMark/>
          </w:tcPr>
          <w:p w:rsidR="007E28F2" w:rsidRPr="00C2256D" w:rsidRDefault="007E28F2" w:rsidP="00872FD2">
            <w:pPr>
              <w:spacing w:after="0" w:line="360" w:lineRule="auto"/>
              <w:cnfStyle w:val="00000001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P*</w:t>
            </w:r>
          </w:p>
        </w:tc>
        <w:tc>
          <w:tcPr>
            <w:tcW w:w="1505"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0,991</w:t>
            </w:r>
          </w:p>
        </w:tc>
        <w:tc>
          <w:tcPr>
            <w:tcW w:w="144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0,345</w:t>
            </w:r>
          </w:p>
        </w:tc>
        <w:tc>
          <w:tcPr>
            <w:tcW w:w="135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p>
        </w:tc>
      </w:tr>
      <w:tr w:rsidR="007E28F2" w:rsidRPr="00C2256D" w:rsidTr="00F6061C">
        <w:trPr>
          <w:cnfStyle w:val="000000100000"/>
          <w:trHeight w:val="315"/>
          <w:jc w:val="center"/>
        </w:trPr>
        <w:tc>
          <w:tcPr>
            <w:cnfStyle w:val="001000000000"/>
            <w:tcW w:w="3020" w:type="dxa"/>
            <w:noWrap/>
            <w:hideMark/>
          </w:tcPr>
          <w:p w:rsidR="007E28F2" w:rsidRPr="00C2256D" w:rsidRDefault="0076474F" w:rsidP="00872FD2">
            <w:pPr>
              <w:spacing w:after="0" w:line="360" w:lineRule="auto"/>
              <w:rPr>
                <w:rFonts w:asciiTheme="minorHAnsi" w:eastAsia="Times New Roman" w:hAnsiTheme="minorHAnsi" w:cstheme="minorHAnsi"/>
                <w:bCs w:val="0"/>
                <w:color w:val="0070C0"/>
                <w:sz w:val="24"/>
                <w:szCs w:val="24"/>
              </w:rPr>
            </w:pPr>
            <w:r w:rsidRPr="00C2256D">
              <w:rPr>
                <w:rFonts w:asciiTheme="minorHAnsi" w:eastAsia="Times New Roman" w:hAnsiTheme="minorHAnsi" w:cstheme="minorHAnsi"/>
                <w:color w:val="0070C0"/>
                <w:sz w:val="24"/>
                <w:szCs w:val="24"/>
              </w:rPr>
              <w:t>Συνολικό σκορ</w:t>
            </w:r>
          </w:p>
        </w:tc>
        <w:tc>
          <w:tcPr>
            <w:tcW w:w="1880" w:type="dxa"/>
            <w:noWrap/>
            <w:hideMark/>
          </w:tcPr>
          <w:p w:rsidR="007E28F2" w:rsidRPr="00C2256D" w:rsidRDefault="007E28F2" w:rsidP="00872FD2">
            <w:pPr>
              <w:spacing w:after="0" w:line="360" w:lineRule="auto"/>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 </w:t>
            </w:r>
          </w:p>
        </w:tc>
        <w:tc>
          <w:tcPr>
            <w:tcW w:w="1505" w:type="dxa"/>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1440" w:type="dxa"/>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1350" w:type="dxa"/>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r>
      <w:tr w:rsidR="007E28F2" w:rsidRPr="00C2256D" w:rsidTr="00F6061C">
        <w:trPr>
          <w:cnfStyle w:val="000000010000"/>
          <w:trHeight w:val="315"/>
          <w:jc w:val="center"/>
        </w:trPr>
        <w:tc>
          <w:tcPr>
            <w:cnfStyle w:val="001000000000"/>
            <w:tcW w:w="3020" w:type="dxa"/>
            <w:hideMark/>
          </w:tcPr>
          <w:p w:rsidR="007E28F2" w:rsidRPr="00C2256D" w:rsidRDefault="007E28F2" w:rsidP="00872FD2">
            <w:pPr>
              <w:spacing w:after="0" w:line="360" w:lineRule="auto"/>
              <w:rPr>
                <w:rFonts w:asciiTheme="minorHAnsi" w:eastAsia="Times New Roman" w:hAnsiTheme="minorHAnsi" w:cstheme="minorHAnsi"/>
                <w:bCs w:val="0"/>
                <w:color w:val="000000"/>
                <w:sz w:val="24"/>
                <w:szCs w:val="24"/>
              </w:rPr>
            </w:pPr>
            <w:r w:rsidRPr="00C2256D">
              <w:rPr>
                <w:rFonts w:asciiTheme="minorHAnsi" w:eastAsia="Times New Roman" w:hAnsiTheme="minorHAnsi" w:cstheme="minorHAnsi"/>
                <w:color w:val="000000"/>
                <w:sz w:val="24"/>
                <w:szCs w:val="24"/>
              </w:rPr>
              <w:t>Ομάδα</w:t>
            </w:r>
          </w:p>
        </w:tc>
        <w:tc>
          <w:tcPr>
            <w:tcW w:w="1880" w:type="dxa"/>
            <w:hideMark/>
          </w:tcPr>
          <w:p w:rsidR="007E28F2" w:rsidRPr="00C2256D" w:rsidRDefault="007E28F2" w:rsidP="00872FD2">
            <w:pPr>
              <w:spacing w:after="0" w:line="360" w:lineRule="auto"/>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Ελέγχου</w:t>
            </w:r>
          </w:p>
        </w:tc>
        <w:tc>
          <w:tcPr>
            <w:tcW w:w="1505"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18,22 (3,48)</w:t>
            </w:r>
          </w:p>
        </w:tc>
        <w:tc>
          <w:tcPr>
            <w:tcW w:w="144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18,34 (3,54)</w:t>
            </w:r>
          </w:p>
        </w:tc>
        <w:tc>
          <w:tcPr>
            <w:tcW w:w="135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0,12 (0,48)</w:t>
            </w: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0,478</w:t>
            </w: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&lt;0,001</w:t>
            </w:r>
          </w:p>
        </w:tc>
      </w:tr>
      <w:tr w:rsidR="007E28F2" w:rsidRPr="00C2256D" w:rsidTr="00F6061C">
        <w:trPr>
          <w:cnfStyle w:val="000000100000"/>
          <w:trHeight w:val="315"/>
          <w:jc w:val="center"/>
        </w:trPr>
        <w:tc>
          <w:tcPr>
            <w:cnfStyle w:val="001000000000"/>
            <w:tcW w:w="3020" w:type="dxa"/>
            <w:noWrap/>
            <w:hideMark/>
          </w:tcPr>
          <w:p w:rsidR="007E28F2" w:rsidRPr="00C2256D" w:rsidRDefault="007E28F2" w:rsidP="00872FD2">
            <w:pPr>
              <w:spacing w:after="0" w:line="360" w:lineRule="auto"/>
              <w:rPr>
                <w:rFonts w:asciiTheme="minorHAnsi" w:eastAsia="Times New Roman" w:hAnsiTheme="minorHAnsi" w:cstheme="minorHAnsi"/>
                <w:b w:val="0"/>
                <w:bCs w:val="0"/>
                <w:color w:val="000000"/>
              </w:rPr>
            </w:pPr>
            <w:r w:rsidRPr="00C2256D">
              <w:rPr>
                <w:rFonts w:asciiTheme="minorHAnsi" w:eastAsia="Times New Roman" w:hAnsiTheme="minorHAnsi" w:cstheme="minorHAnsi"/>
                <w:color w:val="000000"/>
              </w:rPr>
              <w:t> </w:t>
            </w:r>
          </w:p>
        </w:tc>
        <w:tc>
          <w:tcPr>
            <w:tcW w:w="1880" w:type="dxa"/>
            <w:hideMark/>
          </w:tcPr>
          <w:p w:rsidR="007E28F2" w:rsidRPr="00C2256D" w:rsidRDefault="007E28F2" w:rsidP="00872FD2">
            <w:pPr>
              <w:spacing w:after="0" w:line="360" w:lineRule="auto"/>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Παρέμβασης</w:t>
            </w:r>
          </w:p>
        </w:tc>
        <w:tc>
          <w:tcPr>
            <w:tcW w:w="1505"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19,86 (3,59)</w:t>
            </w:r>
          </w:p>
        </w:tc>
        <w:tc>
          <w:tcPr>
            <w:tcW w:w="144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21 (2,89)</w:t>
            </w:r>
          </w:p>
        </w:tc>
        <w:tc>
          <w:tcPr>
            <w:tcW w:w="135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1,14 (1,04)</w:t>
            </w: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&lt;0,001</w:t>
            </w:r>
          </w:p>
        </w:tc>
        <w:tc>
          <w:tcPr>
            <w:tcW w:w="960" w:type="dxa"/>
            <w:noWrap/>
            <w:hideMark/>
          </w:tcPr>
          <w:p w:rsidR="007E28F2" w:rsidRPr="00C2256D" w:rsidRDefault="007E28F2" w:rsidP="00872FD2">
            <w:pPr>
              <w:spacing w:after="0" w:line="360" w:lineRule="auto"/>
              <w:jc w:val="center"/>
              <w:cnfStyle w:val="000000100000"/>
              <w:rPr>
                <w:rFonts w:asciiTheme="minorHAnsi" w:eastAsia="Times New Roman" w:hAnsiTheme="minorHAnsi" w:cstheme="minorHAnsi"/>
                <w:color w:val="000000"/>
              </w:rPr>
            </w:pPr>
          </w:p>
        </w:tc>
      </w:tr>
      <w:tr w:rsidR="007E28F2" w:rsidRPr="00C2256D" w:rsidTr="00F6061C">
        <w:trPr>
          <w:cnfStyle w:val="000000010000"/>
          <w:trHeight w:val="315"/>
          <w:jc w:val="center"/>
        </w:trPr>
        <w:tc>
          <w:tcPr>
            <w:cnfStyle w:val="001000000000"/>
            <w:tcW w:w="3020" w:type="dxa"/>
            <w:noWrap/>
            <w:hideMark/>
          </w:tcPr>
          <w:p w:rsidR="007E28F2" w:rsidRPr="00C2256D" w:rsidRDefault="007E28F2" w:rsidP="00872FD2">
            <w:pPr>
              <w:spacing w:after="0" w:line="360" w:lineRule="auto"/>
              <w:rPr>
                <w:rFonts w:asciiTheme="minorHAnsi" w:eastAsia="Times New Roman" w:hAnsiTheme="minorHAnsi" w:cstheme="minorHAnsi"/>
                <w:b w:val="0"/>
                <w:bCs w:val="0"/>
                <w:color w:val="000000"/>
              </w:rPr>
            </w:pPr>
            <w:r w:rsidRPr="00C2256D">
              <w:rPr>
                <w:rFonts w:asciiTheme="minorHAnsi" w:eastAsia="Times New Roman" w:hAnsiTheme="minorHAnsi" w:cstheme="minorHAnsi"/>
                <w:color w:val="000000"/>
              </w:rPr>
              <w:t> </w:t>
            </w:r>
          </w:p>
        </w:tc>
        <w:tc>
          <w:tcPr>
            <w:tcW w:w="1880" w:type="dxa"/>
            <w:noWrap/>
            <w:hideMark/>
          </w:tcPr>
          <w:p w:rsidR="007E28F2" w:rsidRPr="00C2256D" w:rsidRDefault="007E28F2" w:rsidP="00872FD2">
            <w:pPr>
              <w:spacing w:after="0" w:line="360" w:lineRule="auto"/>
              <w:cnfStyle w:val="00000001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P*</w:t>
            </w:r>
          </w:p>
        </w:tc>
        <w:tc>
          <w:tcPr>
            <w:tcW w:w="1505"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r w:rsidRPr="00C2256D">
              <w:rPr>
                <w:rFonts w:asciiTheme="minorHAnsi" w:eastAsia="Times New Roman" w:hAnsiTheme="minorHAnsi" w:cstheme="minorHAnsi"/>
                <w:color w:val="000000"/>
              </w:rPr>
              <w:t>0,108</w:t>
            </w:r>
          </w:p>
        </w:tc>
        <w:tc>
          <w:tcPr>
            <w:tcW w:w="144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b/>
                <w:bCs/>
                <w:color w:val="000000"/>
              </w:rPr>
            </w:pPr>
            <w:r w:rsidRPr="00C2256D">
              <w:rPr>
                <w:rFonts w:asciiTheme="minorHAnsi" w:eastAsia="Times New Roman" w:hAnsiTheme="minorHAnsi" w:cstheme="minorHAnsi"/>
                <w:b/>
                <w:bCs/>
                <w:color w:val="000000"/>
              </w:rPr>
              <w:t>0,005</w:t>
            </w:r>
          </w:p>
        </w:tc>
        <w:tc>
          <w:tcPr>
            <w:tcW w:w="135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p>
        </w:tc>
        <w:tc>
          <w:tcPr>
            <w:tcW w:w="960" w:type="dxa"/>
            <w:noWrap/>
            <w:hideMark/>
          </w:tcPr>
          <w:p w:rsidR="007E28F2" w:rsidRPr="00C2256D" w:rsidRDefault="007E28F2" w:rsidP="00872FD2">
            <w:pPr>
              <w:spacing w:after="0" w:line="360" w:lineRule="auto"/>
              <w:jc w:val="center"/>
              <w:cnfStyle w:val="000000010000"/>
              <w:rPr>
                <w:rFonts w:asciiTheme="minorHAnsi" w:eastAsia="Times New Roman" w:hAnsiTheme="minorHAnsi" w:cstheme="minorHAnsi"/>
                <w:color w:val="000000"/>
              </w:rPr>
            </w:pPr>
          </w:p>
        </w:tc>
      </w:tr>
      <w:tr w:rsidR="00C2256D" w:rsidRPr="00C2256D" w:rsidTr="00651B46">
        <w:trPr>
          <w:cnfStyle w:val="000000100000"/>
          <w:trHeight w:val="315"/>
          <w:jc w:val="center"/>
        </w:trPr>
        <w:tc>
          <w:tcPr>
            <w:cnfStyle w:val="001000000000"/>
            <w:tcW w:w="11115" w:type="dxa"/>
            <w:gridSpan w:val="7"/>
            <w:noWrap/>
            <w:hideMark/>
          </w:tcPr>
          <w:p w:rsidR="00C2256D" w:rsidRPr="00C2256D" w:rsidRDefault="00C2256D" w:rsidP="00C2256D">
            <w:pPr>
              <w:spacing w:line="240" w:lineRule="auto"/>
              <w:contextualSpacing/>
              <w:jc w:val="both"/>
              <w:rPr>
                <w:rFonts w:asciiTheme="minorHAnsi" w:eastAsia="Times New Roman" w:hAnsiTheme="minorHAnsi" w:cstheme="minorHAnsi"/>
                <w:b w:val="0"/>
                <w:i/>
                <w:sz w:val="20"/>
                <w:szCs w:val="20"/>
              </w:rPr>
            </w:pPr>
            <w:r w:rsidRPr="00C2256D">
              <w:rPr>
                <w:rFonts w:asciiTheme="minorHAnsi" w:eastAsia="Times New Roman" w:hAnsiTheme="minorHAnsi" w:cstheme="minorHAnsi"/>
                <w:b w:val="0"/>
                <w:i/>
                <w:sz w:val="20"/>
                <w:szCs w:val="20"/>
              </w:rPr>
              <w:t>*Διαφορά μεταξύ των ομάδων</w:t>
            </w:r>
          </w:p>
          <w:p w:rsidR="00C2256D" w:rsidRPr="00C2256D" w:rsidRDefault="00C2256D" w:rsidP="00C2256D">
            <w:pPr>
              <w:spacing w:line="240" w:lineRule="auto"/>
              <w:contextualSpacing/>
              <w:jc w:val="both"/>
              <w:rPr>
                <w:rFonts w:asciiTheme="minorHAnsi" w:eastAsia="Times New Roman" w:hAnsiTheme="minorHAnsi" w:cstheme="minorHAnsi"/>
                <w:b w:val="0"/>
                <w:i/>
                <w:sz w:val="20"/>
                <w:szCs w:val="20"/>
              </w:rPr>
            </w:pPr>
            <w:r w:rsidRPr="00C2256D">
              <w:rPr>
                <w:rFonts w:asciiTheme="minorHAnsi" w:eastAsia="Times New Roman" w:hAnsiTheme="minorHAnsi" w:cstheme="minorHAnsi"/>
                <w:b w:val="0"/>
                <w:i/>
                <w:sz w:val="20"/>
                <w:szCs w:val="20"/>
              </w:rPr>
              <w:t>**Διαφορά μεταξύ των μετρήσεων.</w:t>
            </w:r>
          </w:p>
          <w:p w:rsidR="00C2256D" w:rsidRPr="00C2256D" w:rsidRDefault="00C2256D" w:rsidP="00C2256D">
            <w:pPr>
              <w:spacing w:line="240" w:lineRule="auto"/>
              <w:contextualSpacing/>
              <w:jc w:val="both"/>
              <w:rPr>
                <w:rFonts w:asciiTheme="minorHAnsi" w:eastAsia="Times New Roman" w:hAnsiTheme="minorHAnsi" w:cstheme="minorHAnsi"/>
                <w:i/>
                <w:sz w:val="20"/>
                <w:szCs w:val="20"/>
              </w:rPr>
            </w:pPr>
            <w:r w:rsidRPr="00C2256D">
              <w:rPr>
                <w:rFonts w:asciiTheme="minorHAnsi" w:eastAsia="Times New Roman" w:hAnsiTheme="minorHAnsi" w:cstheme="minorHAnsi"/>
                <w:b w:val="0"/>
                <w:i/>
                <w:sz w:val="20"/>
                <w:szCs w:val="20"/>
                <w:vertAlign w:val="superscript"/>
              </w:rPr>
              <w:t>‡</w:t>
            </w:r>
            <w:r w:rsidRPr="00C2256D">
              <w:rPr>
                <w:rFonts w:asciiTheme="minorHAnsi" w:eastAsia="Times New Roman" w:hAnsiTheme="minorHAnsi" w:cstheme="minorHAnsi"/>
                <w:b w:val="0"/>
                <w:i/>
                <w:color w:val="000000"/>
                <w:sz w:val="20"/>
                <w:szCs w:val="20"/>
              </w:rPr>
              <w:t xml:space="preserve"> Επαναλαμβανόμενες μετρήσεις </w:t>
            </w:r>
            <w:r w:rsidRPr="00C2256D">
              <w:rPr>
                <w:rFonts w:asciiTheme="minorHAnsi" w:eastAsia="Times New Roman" w:hAnsiTheme="minorHAnsi" w:cstheme="minorHAnsi"/>
                <w:b w:val="0"/>
                <w:i/>
                <w:color w:val="000000"/>
                <w:sz w:val="20"/>
                <w:szCs w:val="20"/>
                <w:lang w:val="en-GB"/>
              </w:rPr>
              <w:t>ANOVA</w:t>
            </w:r>
            <w:r w:rsidRPr="00C2256D">
              <w:rPr>
                <w:rFonts w:asciiTheme="minorHAnsi" w:eastAsia="Times New Roman" w:hAnsiTheme="minorHAnsi" w:cstheme="minorHAnsi"/>
                <w:b w:val="0"/>
                <w:i/>
                <w:color w:val="000000"/>
                <w:sz w:val="20"/>
                <w:szCs w:val="20"/>
              </w:rPr>
              <w:t>. Διαφορές στη μεταβολή από τη μια μέτρηση στην άλλη μεταξύ των ομάδων.</w:t>
            </w:r>
          </w:p>
        </w:tc>
      </w:tr>
    </w:tbl>
    <w:p w:rsidR="00C2256D" w:rsidRDefault="00C2256D" w:rsidP="005A464E">
      <w:pPr>
        <w:pStyle w:val="nouk"/>
      </w:pPr>
    </w:p>
    <w:p w:rsidR="007E28F2" w:rsidRPr="005A464E" w:rsidRDefault="007E28F2" w:rsidP="005A464E">
      <w:pPr>
        <w:pStyle w:val="nouk"/>
      </w:pPr>
      <w:r w:rsidRPr="005A464E">
        <w:t>Ούτ</w:t>
      </w:r>
      <w:r w:rsidR="00C2256D">
        <w:t xml:space="preserve">ε πριν ούτε μετά την παρέμβαση </w:t>
      </w:r>
      <w:r w:rsidRPr="005A464E">
        <w:t>υπήρχαν διαφορές στη διάσταση «</w:t>
      </w:r>
      <w:r w:rsidR="0076474F" w:rsidRPr="005A464E">
        <w:rPr>
          <w:szCs w:val="18"/>
        </w:rPr>
        <w:t>Συμπτώματα</w:t>
      </w:r>
      <w:r w:rsidRPr="005A464E">
        <w:rPr>
          <w:szCs w:val="18"/>
        </w:rPr>
        <w:t>»</w:t>
      </w:r>
      <w:r w:rsidRPr="005A464E">
        <w:t xml:space="preserve"> μεταξύ των ομάδων. Ωστόσο σημειώθηκε σημαντική βελτίωση στα συμπτώματα μόνο στην ομάδα παρέμβασης ενώ στην ομάδα ελέγχου παρέμειναν σε παρόμοια επίπεδα. Ακόμα, ο βαθμός μεταβολής της βαθμολογίας στη διάσταση αυτή δε βρέθηκε να διαφέρει σημαντικά μεταξύ των </w:t>
      </w:r>
      <w:r w:rsidR="00D8735E">
        <w:t>2</w:t>
      </w:r>
      <w:r w:rsidRPr="005A464E">
        <w:t xml:space="preserve"> ομάδων.</w:t>
      </w:r>
    </w:p>
    <w:p w:rsidR="007E28F2" w:rsidRPr="005A464E" w:rsidRDefault="007E28F2" w:rsidP="005A464E">
      <w:pPr>
        <w:pStyle w:val="nouk"/>
      </w:pPr>
    </w:p>
    <w:p w:rsidR="007E28F2" w:rsidRPr="005A464E" w:rsidRDefault="007E28F2" w:rsidP="005A464E">
      <w:pPr>
        <w:pStyle w:val="nouk"/>
      </w:pPr>
      <w:r w:rsidRPr="005A464E">
        <w:t xml:space="preserve">Στο γράφημα που ακολουθεί </w:t>
      </w:r>
      <w:r w:rsidR="003729FD">
        <w:t xml:space="preserve">(Γρ 4) </w:t>
      </w:r>
      <w:r w:rsidRPr="005A464E">
        <w:t>δίνεται η μεταβολή στη βαθμολογία της διάσταση «</w:t>
      </w:r>
      <w:r w:rsidR="003A7874" w:rsidRPr="005A464E">
        <w:rPr>
          <w:szCs w:val="18"/>
        </w:rPr>
        <w:t>Λειτουργικότητα</w:t>
      </w:r>
      <w:r w:rsidRPr="005A464E">
        <w:rPr>
          <w:szCs w:val="18"/>
        </w:rPr>
        <w:t>»</w:t>
      </w:r>
      <w:r w:rsidRPr="005A464E">
        <w:t xml:space="preserve"> ξεχωριστά για κάθε ομάδα.</w:t>
      </w:r>
    </w:p>
    <w:p w:rsidR="007E28F2" w:rsidRPr="005A464E" w:rsidRDefault="007E28F2" w:rsidP="005A464E">
      <w:pPr>
        <w:pStyle w:val="nouk"/>
      </w:pPr>
    </w:p>
    <w:p w:rsidR="007E28F2" w:rsidRPr="005A464E" w:rsidRDefault="00464728" w:rsidP="00726192">
      <w:pPr>
        <w:pStyle w:val="nouk"/>
        <w:jc w:val="center"/>
      </w:pPr>
      <w:r>
        <w:rPr>
          <w:noProof/>
          <w:lang w:eastAsia="el-GR"/>
        </w:rPr>
        <w:drawing>
          <wp:inline distT="0" distB="0" distL="0" distR="0">
            <wp:extent cx="3886200" cy="3095625"/>
            <wp:effectExtent l="19050" t="0" r="0" b="0"/>
            <wp:docPr id="4"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9" cstate="print"/>
                    <a:srcRect/>
                    <a:stretch>
                      <a:fillRect/>
                    </a:stretch>
                  </pic:blipFill>
                  <pic:spPr bwMode="auto">
                    <a:xfrm>
                      <a:off x="0" y="0"/>
                      <a:ext cx="3886200" cy="3095625"/>
                    </a:xfrm>
                    <a:prstGeom prst="rect">
                      <a:avLst/>
                    </a:prstGeom>
                    <a:noFill/>
                    <a:ln w="9525">
                      <a:noFill/>
                      <a:miter lim="800000"/>
                      <a:headEnd/>
                      <a:tailEnd/>
                    </a:ln>
                  </pic:spPr>
                </pic:pic>
              </a:graphicData>
            </a:graphic>
          </wp:inline>
        </w:drawing>
      </w:r>
    </w:p>
    <w:p w:rsidR="000B7D87" w:rsidRDefault="00846E7B" w:rsidP="005A464E">
      <w:pPr>
        <w:pStyle w:val="nouk"/>
      </w:pPr>
      <w:r>
        <w:rPr>
          <w:i/>
        </w:rPr>
        <w:t>Γράφημα</w:t>
      </w:r>
      <w:r w:rsidRPr="00F918EC">
        <w:rPr>
          <w:i/>
        </w:rPr>
        <w:t xml:space="preserve"> </w:t>
      </w:r>
      <w:r w:rsidR="00726192" w:rsidRPr="00846E7B">
        <w:rPr>
          <w:i/>
        </w:rPr>
        <w:t>4</w:t>
      </w:r>
      <w:r w:rsidR="00726192" w:rsidRPr="00726192">
        <w:rPr>
          <w:b/>
        </w:rPr>
        <w:t xml:space="preserve"> </w:t>
      </w:r>
      <w:r w:rsidR="00726192">
        <w:t>Μ</w:t>
      </w:r>
      <w:r w:rsidR="00726192" w:rsidRPr="005A464E">
        <w:t>εταβολή στη βαθμολογία της διάσταση</w:t>
      </w:r>
      <w:r w:rsidR="00D40E54">
        <w:t>ς</w:t>
      </w:r>
      <w:r w:rsidR="00726192" w:rsidRPr="005A464E">
        <w:t xml:space="preserve"> «</w:t>
      </w:r>
      <w:r w:rsidR="00726192" w:rsidRPr="005A464E">
        <w:rPr>
          <w:szCs w:val="18"/>
        </w:rPr>
        <w:t>Λειτουργικότητα»</w:t>
      </w:r>
      <w:r w:rsidR="00726192" w:rsidRPr="005A464E">
        <w:t xml:space="preserve"> ξεχωριστά για κάθε ομάδα.</w:t>
      </w:r>
    </w:p>
    <w:p w:rsidR="00C2256D" w:rsidRPr="005A464E" w:rsidRDefault="00C2256D" w:rsidP="005A464E">
      <w:pPr>
        <w:pStyle w:val="nouk"/>
      </w:pPr>
    </w:p>
    <w:p w:rsidR="007E28F2" w:rsidRDefault="007E28F2" w:rsidP="005A464E">
      <w:pPr>
        <w:pStyle w:val="nouk"/>
        <w:rPr>
          <w:szCs w:val="18"/>
        </w:rPr>
      </w:pPr>
      <w:r w:rsidRPr="00EB0D4B">
        <w:t>Η βαθμολογία στη διάσταση «</w:t>
      </w:r>
      <w:r w:rsidR="00605F71" w:rsidRPr="00EB0D4B">
        <w:rPr>
          <w:szCs w:val="18"/>
        </w:rPr>
        <w:t>Διαπροσωπικές σχέσεις</w:t>
      </w:r>
      <w:r w:rsidRPr="00EB0D4B">
        <w:rPr>
          <w:szCs w:val="18"/>
        </w:rPr>
        <w:t xml:space="preserve">» δεν βρέθηκε να διαφέρει σημαντικά μεταξύ των ομάδων ούτε πριν αλλά ούτε και μετά την παρέμβαση. Επίσης, σε καμία από τις </w:t>
      </w:r>
      <w:r w:rsidR="00BA566F" w:rsidRPr="00EB0D4B">
        <w:rPr>
          <w:szCs w:val="18"/>
        </w:rPr>
        <w:t>δύο</w:t>
      </w:r>
      <w:r w:rsidRPr="00EB0D4B">
        <w:rPr>
          <w:szCs w:val="18"/>
        </w:rPr>
        <w:t xml:space="preserve"> ομάδες δεν σημειώθηκε σημαντική μεταβολή στη διάσταση αυτή. Συνεπώς, και ο βαθμός μεταβολής ήταν παρόμοιος στις </w:t>
      </w:r>
      <w:r w:rsidR="00BA566F" w:rsidRPr="00EB0D4B">
        <w:rPr>
          <w:szCs w:val="18"/>
        </w:rPr>
        <w:t>δύο</w:t>
      </w:r>
      <w:r w:rsidRPr="00EB0D4B">
        <w:rPr>
          <w:szCs w:val="18"/>
        </w:rPr>
        <w:t xml:space="preserve"> </w:t>
      </w:r>
      <w:r w:rsidRPr="00816C74">
        <w:rPr>
          <w:szCs w:val="18"/>
        </w:rPr>
        <w:t>ομάδες.</w:t>
      </w:r>
      <w:r w:rsidRPr="005A464E">
        <w:rPr>
          <w:szCs w:val="18"/>
        </w:rPr>
        <w:t xml:space="preserve"> </w:t>
      </w:r>
    </w:p>
    <w:p w:rsidR="000B7D87" w:rsidRPr="000B7D87" w:rsidRDefault="000B7D87" w:rsidP="005A464E">
      <w:pPr>
        <w:pStyle w:val="nouk"/>
        <w:rPr>
          <w:szCs w:val="18"/>
        </w:rPr>
      </w:pPr>
    </w:p>
    <w:p w:rsidR="007E28F2" w:rsidRPr="005A464E" w:rsidRDefault="007E28F2" w:rsidP="005A464E">
      <w:pPr>
        <w:pStyle w:val="nouk"/>
      </w:pPr>
      <w:r w:rsidRPr="005A464E">
        <w:t xml:space="preserve">Στο γράφημα που ακολουθεί </w:t>
      </w:r>
      <w:r w:rsidR="003729FD">
        <w:t xml:space="preserve">(Γρ 5) </w:t>
      </w:r>
      <w:r w:rsidRPr="005A464E">
        <w:t>δίνεται η μεταβολή στη βαθμολογία της διάσταση</w:t>
      </w:r>
      <w:r w:rsidR="00726192">
        <w:t>ς</w:t>
      </w:r>
      <w:r w:rsidRPr="005A464E">
        <w:t xml:space="preserve"> «</w:t>
      </w:r>
      <w:r w:rsidR="003A7874" w:rsidRPr="005A464E">
        <w:rPr>
          <w:szCs w:val="18"/>
        </w:rPr>
        <w:t>Ευεξία</w:t>
      </w:r>
      <w:r w:rsidRPr="005A464E">
        <w:rPr>
          <w:szCs w:val="18"/>
        </w:rPr>
        <w:t>»</w:t>
      </w:r>
      <w:r w:rsidRPr="005A464E">
        <w:t xml:space="preserve"> ξεχωριστά για κάθε ομάδα.</w:t>
      </w:r>
    </w:p>
    <w:p w:rsidR="007E28F2" w:rsidRPr="005A464E" w:rsidRDefault="007E28F2" w:rsidP="005A464E">
      <w:pPr>
        <w:pStyle w:val="nouk"/>
      </w:pPr>
    </w:p>
    <w:p w:rsidR="007E28F2" w:rsidRPr="005A464E" w:rsidRDefault="00464728" w:rsidP="005A464E">
      <w:pPr>
        <w:pStyle w:val="nouk"/>
        <w:jc w:val="center"/>
      </w:pPr>
      <w:r>
        <w:rPr>
          <w:noProof/>
          <w:lang w:eastAsia="el-GR"/>
        </w:rPr>
        <w:drawing>
          <wp:inline distT="0" distB="0" distL="0" distR="0">
            <wp:extent cx="3648075" cy="2886075"/>
            <wp:effectExtent l="19050" t="0" r="9525" b="0"/>
            <wp:docPr id="5" name="Εικόνα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0" cstate="print"/>
                    <a:srcRect/>
                    <a:stretch>
                      <a:fillRect/>
                    </a:stretch>
                  </pic:blipFill>
                  <pic:spPr bwMode="auto">
                    <a:xfrm>
                      <a:off x="0" y="0"/>
                      <a:ext cx="3648075" cy="2886075"/>
                    </a:xfrm>
                    <a:prstGeom prst="rect">
                      <a:avLst/>
                    </a:prstGeom>
                    <a:noFill/>
                    <a:ln w="9525">
                      <a:noFill/>
                      <a:miter lim="800000"/>
                      <a:headEnd/>
                      <a:tailEnd/>
                    </a:ln>
                  </pic:spPr>
                </pic:pic>
              </a:graphicData>
            </a:graphic>
          </wp:inline>
        </w:drawing>
      </w:r>
    </w:p>
    <w:p w:rsidR="00726192" w:rsidRDefault="00726192" w:rsidP="00214D9E">
      <w:pPr>
        <w:pStyle w:val="nouk"/>
      </w:pPr>
      <w:r w:rsidRPr="00846E7B">
        <w:rPr>
          <w:i/>
        </w:rPr>
        <w:t>Γράφημα 5</w:t>
      </w:r>
      <w:r>
        <w:t xml:space="preserve"> Μ</w:t>
      </w:r>
      <w:r w:rsidRPr="005A464E">
        <w:t>εταβολή στη βαθμολογία της διάσταση</w:t>
      </w:r>
      <w:r>
        <w:t>ς</w:t>
      </w:r>
      <w:r w:rsidRPr="005A464E">
        <w:t xml:space="preserve"> «</w:t>
      </w:r>
      <w:r w:rsidRPr="005A464E">
        <w:rPr>
          <w:szCs w:val="18"/>
        </w:rPr>
        <w:t>Ευεξία»</w:t>
      </w:r>
      <w:r w:rsidRPr="005A464E">
        <w:t xml:space="preserve"> ξεχωριστά για κάθε ομάδα.</w:t>
      </w:r>
    </w:p>
    <w:p w:rsidR="000B7D87" w:rsidRDefault="000B7D87" w:rsidP="00214D9E">
      <w:pPr>
        <w:pStyle w:val="nouk"/>
      </w:pPr>
    </w:p>
    <w:p w:rsidR="007E28F2" w:rsidRPr="00726192" w:rsidRDefault="007E28F2" w:rsidP="003729FD">
      <w:pPr>
        <w:spacing w:line="360" w:lineRule="auto"/>
        <w:jc w:val="both"/>
        <w:rPr>
          <w:rFonts w:cstheme="minorHAnsi"/>
          <w:sz w:val="24"/>
          <w:szCs w:val="24"/>
        </w:rPr>
      </w:pPr>
      <w:r w:rsidRPr="00726192">
        <w:rPr>
          <w:sz w:val="24"/>
          <w:szCs w:val="24"/>
        </w:rPr>
        <w:t xml:space="preserve">Στο γράφημα που ακολουθεί </w:t>
      </w:r>
      <w:r w:rsidR="003729FD">
        <w:rPr>
          <w:sz w:val="24"/>
          <w:szCs w:val="24"/>
        </w:rPr>
        <w:t xml:space="preserve">(Γρ 6) </w:t>
      </w:r>
      <w:r w:rsidRPr="00726192">
        <w:rPr>
          <w:sz w:val="24"/>
          <w:szCs w:val="24"/>
        </w:rPr>
        <w:t>δίνεται η μεταβολή στη βαθμολογία της διάσταση</w:t>
      </w:r>
      <w:r w:rsidR="009246F9" w:rsidRPr="00726192">
        <w:rPr>
          <w:sz w:val="24"/>
          <w:szCs w:val="24"/>
        </w:rPr>
        <w:t>ς</w:t>
      </w:r>
      <w:r w:rsidRPr="00726192">
        <w:rPr>
          <w:sz w:val="24"/>
          <w:szCs w:val="24"/>
        </w:rPr>
        <w:t xml:space="preserve"> «</w:t>
      </w:r>
      <w:r w:rsidR="00D225F5" w:rsidRPr="00726192">
        <w:rPr>
          <w:sz w:val="24"/>
          <w:szCs w:val="24"/>
        </w:rPr>
        <w:t>Πνευματικότητα</w:t>
      </w:r>
      <w:r w:rsidRPr="00726192">
        <w:rPr>
          <w:sz w:val="24"/>
          <w:szCs w:val="24"/>
        </w:rPr>
        <w:t>» ξεχωριστά για κάθε ομάδα.</w:t>
      </w:r>
    </w:p>
    <w:p w:rsidR="007E28F2" w:rsidRPr="005A464E" w:rsidRDefault="007E28F2" w:rsidP="005A464E">
      <w:pPr>
        <w:pStyle w:val="nouk"/>
      </w:pPr>
    </w:p>
    <w:p w:rsidR="007E28F2" w:rsidRPr="005A464E" w:rsidRDefault="00464728" w:rsidP="00726192">
      <w:pPr>
        <w:pStyle w:val="nouk"/>
        <w:jc w:val="center"/>
      </w:pPr>
      <w:r>
        <w:rPr>
          <w:noProof/>
          <w:lang w:eastAsia="el-GR"/>
        </w:rPr>
        <w:drawing>
          <wp:inline distT="0" distB="0" distL="0" distR="0">
            <wp:extent cx="3686175" cy="2943225"/>
            <wp:effectExtent l="19050" t="0" r="9525" b="0"/>
            <wp:docPr id="6" name="Εικόνα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1" cstate="print"/>
                    <a:srcRect/>
                    <a:stretch>
                      <a:fillRect/>
                    </a:stretch>
                  </pic:blipFill>
                  <pic:spPr bwMode="auto">
                    <a:xfrm>
                      <a:off x="0" y="0"/>
                      <a:ext cx="3686175" cy="2943225"/>
                    </a:xfrm>
                    <a:prstGeom prst="rect">
                      <a:avLst/>
                    </a:prstGeom>
                    <a:noFill/>
                    <a:ln w="9525">
                      <a:noFill/>
                      <a:miter lim="800000"/>
                      <a:headEnd/>
                      <a:tailEnd/>
                    </a:ln>
                  </pic:spPr>
                </pic:pic>
              </a:graphicData>
            </a:graphic>
          </wp:inline>
        </w:drawing>
      </w:r>
    </w:p>
    <w:p w:rsidR="00726192" w:rsidRPr="005D7B76" w:rsidRDefault="00214D9E" w:rsidP="005D7B76">
      <w:pPr>
        <w:spacing w:line="360" w:lineRule="auto"/>
        <w:jc w:val="both"/>
        <w:rPr>
          <w:rFonts w:cstheme="minorHAnsi"/>
          <w:sz w:val="24"/>
          <w:szCs w:val="24"/>
        </w:rPr>
      </w:pPr>
      <w:r>
        <w:rPr>
          <w:i/>
          <w:sz w:val="24"/>
          <w:szCs w:val="24"/>
        </w:rPr>
        <w:t>Γράφημα 6</w:t>
      </w:r>
      <w:r>
        <w:rPr>
          <w:sz w:val="24"/>
          <w:szCs w:val="24"/>
        </w:rPr>
        <w:t xml:space="preserve"> </w:t>
      </w:r>
      <w:r w:rsidR="00726192">
        <w:rPr>
          <w:sz w:val="24"/>
          <w:szCs w:val="24"/>
        </w:rPr>
        <w:t>Μ</w:t>
      </w:r>
      <w:r w:rsidR="00726192" w:rsidRPr="00726192">
        <w:rPr>
          <w:sz w:val="24"/>
          <w:szCs w:val="24"/>
        </w:rPr>
        <w:t>εταβολή στη βαθμολογία της διάστασης «Πνευματικότητα» ξεχωριστά για κάθε ομάδα.</w:t>
      </w:r>
    </w:p>
    <w:p w:rsidR="000B7D87" w:rsidRDefault="000B7D87" w:rsidP="00214D9E">
      <w:pPr>
        <w:pStyle w:val="nouk"/>
      </w:pPr>
    </w:p>
    <w:p w:rsidR="007E28F2" w:rsidRPr="00214D9E" w:rsidRDefault="007E28F2" w:rsidP="00214D9E">
      <w:pPr>
        <w:spacing w:line="360" w:lineRule="auto"/>
        <w:rPr>
          <w:rFonts w:cstheme="minorHAnsi"/>
          <w:sz w:val="24"/>
          <w:szCs w:val="24"/>
        </w:rPr>
      </w:pPr>
      <w:r w:rsidRPr="00214D9E">
        <w:rPr>
          <w:sz w:val="24"/>
          <w:szCs w:val="24"/>
        </w:rPr>
        <w:t xml:space="preserve">Στο γράφημα που ακολουθεί </w:t>
      </w:r>
      <w:r w:rsidR="003729FD" w:rsidRPr="00214D9E">
        <w:rPr>
          <w:sz w:val="24"/>
          <w:szCs w:val="24"/>
        </w:rPr>
        <w:t xml:space="preserve">(Γρ. 7) </w:t>
      </w:r>
      <w:r w:rsidRPr="00214D9E">
        <w:rPr>
          <w:sz w:val="24"/>
          <w:szCs w:val="24"/>
        </w:rPr>
        <w:t>δίνεται η μεταβολή στη συνολική βαθμολογία ποιότητας ζωής ξεχωριστά για κάθε ομάδα.</w:t>
      </w:r>
    </w:p>
    <w:p w:rsidR="007E28F2" w:rsidRPr="005A464E" w:rsidRDefault="007E28F2" w:rsidP="005A464E">
      <w:pPr>
        <w:pStyle w:val="nouk"/>
      </w:pPr>
    </w:p>
    <w:p w:rsidR="007E28F2" w:rsidRPr="005A464E" w:rsidRDefault="00464728" w:rsidP="003E649A">
      <w:pPr>
        <w:pStyle w:val="nouk"/>
        <w:jc w:val="center"/>
      </w:pPr>
      <w:r>
        <w:rPr>
          <w:noProof/>
          <w:lang w:eastAsia="el-GR"/>
        </w:rPr>
        <w:drawing>
          <wp:inline distT="0" distB="0" distL="0" distR="0">
            <wp:extent cx="3733800" cy="2981325"/>
            <wp:effectExtent l="19050" t="0" r="0" b="0"/>
            <wp:docPr id="7" name="Εικόνα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2" cstate="print"/>
                    <a:srcRect/>
                    <a:stretch>
                      <a:fillRect/>
                    </a:stretch>
                  </pic:blipFill>
                  <pic:spPr bwMode="auto">
                    <a:xfrm>
                      <a:off x="0" y="0"/>
                      <a:ext cx="3733800" cy="2981325"/>
                    </a:xfrm>
                    <a:prstGeom prst="rect">
                      <a:avLst/>
                    </a:prstGeom>
                    <a:noFill/>
                    <a:ln w="9525">
                      <a:noFill/>
                      <a:miter lim="800000"/>
                      <a:headEnd/>
                      <a:tailEnd/>
                    </a:ln>
                  </pic:spPr>
                </pic:pic>
              </a:graphicData>
            </a:graphic>
          </wp:inline>
        </w:drawing>
      </w:r>
    </w:p>
    <w:p w:rsidR="00214D9E" w:rsidRDefault="00726192" w:rsidP="00BA566F">
      <w:pPr>
        <w:spacing w:line="360" w:lineRule="auto"/>
        <w:jc w:val="both"/>
        <w:rPr>
          <w:b/>
          <w:sz w:val="24"/>
          <w:szCs w:val="24"/>
        </w:rPr>
      </w:pPr>
      <w:r w:rsidRPr="00846E7B">
        <w:rPr>
          <w:i/>
          <w:sz w:val="24"/>
          <w:szCs w:val="24"/>
        </w:rPr>
        <w:t>Γράφημα 7</w:t>
      </w:r>
      <w:r w:rsidR="00214D9E">
        <w:rPr>
          <w:i/>
          <w:sz w:val="24"/>
          <w:szCs w:val="24"/>
        </w:rPr>
        <w:t xml:space="preserve"> </w:t>
      </w:r>
      <w:r w:rsidRPr="00A72B69">
        <w:rPr>
          <w:b/>
          <w:sz w:val="24"/>
          <w:szCs w:val="24"/>
        </w:rPr>
        <w:t xml:space="preserve"> </w:t>
      </w:r>
      <w:r w:rsidRPr="00A72B69">
        <w:rPr>
          <w:sz w:val="24"/>
          <w:szCs w:val="24"/>
        </w:rPr>
        <w:t>Μεταβολή στη συνολική βαθμολογία ποιότητας ζωής ξεχωριστά για κάθε ομάδα.</w:t>
      </w:r>
    </w:p>
    <w:p w:rsidR="007E28F2" w:rsidRPr="00214D9E" w:rsidRDefault="001E4917" w:rsidP="00214D9E">
      <w:pPr>
        <w:spacing w:line="360" w:lineRule="auto"/>
        <w:jc w:val="both"/>
        <w:rPr>
          <w:rFonts w:cstheme="minorHAnsi"/>
          <w:b/>
          <w:sz w:val="24"/>
          <w:szCs w:val="24"/>
        </w:rPr>
      </w:pPr>
      <w:r w:rsidRPr="005A464E">
        <w:rPr>
          <w:b/>
        </w:rPr>
        <w:t>Συσχέτιση μεταξύ των κλιμάκων της μελέτης πριν την παρέμβαση στο σύνολο του δείγματος</w:t>
      </w:r>
    </w:p>
    <w:p w:rsidR="00726192" w:rsidRPr="00B43607" w:rsidRDefault="007E28F2" w:rsidP="005A464E">
      <w:pPr>
        <w:pStyle w:val="nouk"/>
      </w:pPr>
      <w:r w:rsidRPr="005A464E">
        <w:t xml:space="preserve">Στον πίνακα που ακολουθεί </w:t>
      </w:r>
      <w:r w:rsidR="00F6061C">
        <w:t>(Πίν 17</w:t>
      </w:r>
      <w:r w:rsidR="00EF17F5">
        <w:t xml:space="preserve">) </w:t>
      </w:r>
      <w:r w:rsidRPr="005A464E">
        <w:t xml:space="preserve">δίνονται οι συντελεστές συσχέτισης του </w:t>
      </w:r>
      <w:r w:rsidRPr="005A464E">
        <w:rPr>
          <w:lang w:val="en-US"/>
        </w:rPr>
        <w:t>Spearman</w:t>
      </w:r>
      <w:r w:rsidRPr="005A464E">
        <w:t xml:space="preserve"> μεταξύ της κλίμακας γνώσεων και των διαστάσεων της κλίμακας συμμόρφωσης, πριν την παρέμβαση (στις αναλύσεις έχουν συμπεριληφθεί όλα τα άτομα ανεξαρτήτου ομάδας).</w:t>
      </w:r>
    </w:p>
    <w:p w:rsidR="00A72B69" w:rsidRPr="00726192" w:rsidRDefault="00A72B69" w:rsidP="00A72B69">
      <w:pPr>
        <w:pStyle w:val="nouk"/>
        <w:spacing w:line="276" w:lineRule="auto"/>
        <w:rPr>
          <w:b/>
        </w:rPr>
      </w:pPr>
    </w:p>
    <w:tbl>
      <w:tblPr>
        <w:tblStyle w:val="-41"/>
        <w:tblW w:w="8472" w:type="dxa"/>
        <w:tblLook w:val="04A0"/>
      </w:tblPr>
      <w:tblGrid>
        <w:gridCol w:w="4497"/>
        <w:gridCol w:w="337"/>
        <w:gridCol w:w="3638"/>
      </w:tblGrid>
      <w:tr w:rsidR="00B43607" w:rsidRPr="00872FD2" w:rsidTr="000656A4">
        <w:trPr>
          <w:cnfStyle w:val="100000000000"/>
          <w:trHeight w:val="270"/>
        </w:trPr>
        <w:tc>
          <w:tcPr>
            <w:cnfStyle w:val="001000000000"/>
            <w:tcW w:w="8472" w:type="dxa"/>
            <w:gridSpan w:val="3"/>
            <w:tcBorders>
              <w:top w:val="nil"/>
              <w:left w:val="nil"/>
              <w:right w:val="nil"/>
            </w:tcBorders>
            <w:hideMark/>
          </w:tcPr>
          <w:p w:rsidR="008847F1" w:rsidRPr="00F918EC" w:rsidRDefault="00F6061C" w:rsidP="00214D9E">
            <w:pPr>
              <w:pStyle w:val="nouk"/>
              <w:rPr>
                <w:rFonts w:asciiTheme="minorHAnsi" w:eastAsiaTheme="minorHAnsi" w:hAnsiTheme="minorHAnsi" w:cstheme="minorHAnsi"/>
              </w:rPr>
            </w:pPr>
            <w:r>
              <w:rPr>
                <w:rFonts w:asciiTheme="minorHAnsi" w:eastAsiaTheme="minorHAnsi" w:hAnsiTheme="minorHAnsi" w:cstheme="minorHAnsi"/>
              </w:rPr>
              <w:t>Πίνακας 17</w:t>
            </w:r>
          </w:p>
          <w:p w:rsidR="00B43607" w:rsidRPr="000656A4" w:rsidRDefault="00B43607" w:rsidP="00214D9E">
            <w:pPr>
              <w:pStyle w:val="nouk"/>
              <w:rPr>
                <w:rFonts w:asciiTheme="minorHAnsi" w:eastAsiaTheme="minorHAnsi" w:hAnsiTheme="minorHAnsi" w:cstheme="minorHAnsi"/>
                <w:b w:val="0"/>
                <w:bCs w:val="0"/>
                <w:i/>
                <w:color w:val="000000" w:themeColor="text1" w:themeShade="BF"/>
              </w:rPr>
            </w:pPr>
            <w:r w:rsidRPr="000656A4">
              <w:rPr>
                <w:rFonts w:asciiTheme="minorHAnsi" w:eastAsiaTheme="minorHAnsi" w:hAnsiTheme="minorHAnsi" w:cstheme="minorHAnsi"/>
                <w:b w:val="0"/>
                <w:i/>
              </w:rPr>
              <w:t xml:space="preserve">Συντελεστές συσχέτισης του </w:t>
            </w:r>
            <w:r w:rsidRPr="000656A4">
              <w:rPr>
                <w:rFonts w:asciiTheme="minorHAnsi" w:eastAsiaTheme="minorHAnsi" w:hAnsiTheme="minorHAnsi" w:cstheme="minorHAnsi"/>
                <w:b w:val="0"/>
                <w:i/>
                <w:lang w:val="en-US"/>
              </w:rPr>
              <w:t>Spearman</w:t>
            </w:r>
            <w:r w:rsidRPr="000656A4">
              <w:rPr>
                <w:rFonts w:asciiTheme="minorHAnsi" w:eastAsiaTheme="minorHAnsi" w:hAnsiTheme="minorHAnsi" w:cstheme="minorHAnsi"/>
                <w:b w:val="0"/>
                <w:i/>
              </w:rPr>
              <w:t xml:space="preserve"> μεταξύ της κλίμακας γνώσεων και των διαστάσεων της κλίμακας συμμόρφωσης, πριν την παρέμβαση (Ν=50)</w:t>
            </w:r>
          </w:p>
        </w:tc>
      </w:tr>
      <w:tr w:rsidR="007E28F2" w:rsidRPr="00872FD2" w:rsidTr="000656A4">
        <w:trPr>
          <w:cnfStyle w:val="000000100000"/>
          <w:trHeight w:val="270"/>
        </w:trPr>
        <w:tc>
          <w:tcPr>
            <w:cnfStyle w:val="001000000000"/>
            <w:tcW w:w="4834" w:type="dxa"/>
            <w:gridSpan w:val="2"/>
            <w:hideMark/>
          </w:tcPr>
          <w:p w:rsidR="007E28F2" w:rsidRPr="00C2256D" w:rsidRDefault="007E28F2" w:rsidP="00872FD2">
            <w:pPr>
              <w:spacing w:after="0" w:line="240" w:lineRule="auto"/>
              <w:jc w:val="center"/>
              <w:rPr>
                <w:rFonts w:asciiTheme="minorHAnsi" w:eastAsia="Times New Roman" w:hAnsiTheme="minorHAnsi" w:cstheme="minorHAnsi"/>
                <w:b w:val="0"/>
                <w:bCs w:val="0"/>
                <w:color w:val="0070C0"/>
                <w:sz w:val="24"/>
                <w:szCs w:val="24"/>
              </w:rPr>
            </w:pPr>
            <w:r w:rsidRPr="00C2256D">
              <w:rPr>
                <w:rFonts w:asciiTheme="minorHAnsi" w:eastAsia="Times New Roman" w:hAnsiTheme="minorHAnsi" w:cstheme="minorHAnsi"/>
                <w:b w:val="0"/>
                <w:bCs w:val="0"/>
                <w:color w:val="0070C0"/>
                <w:sz w:val="24"/>
                <w:szCs w:val="24"/>
              </w:rPr>
              <w:t>Πριν την παρέμβαση</w:t>
            </w:r>
          </w:p>
        </w:tc>
        <w:tc>
          <w:tcPr>
            <w:tcW w:w="3638" w:type="dxa"/>
            <w:hideMark/>
          </w:tcPr>
          <w:p w:rsidR="007E28F2" w:rsidRPr="00872FD2" w:rsidRDefault="007E28F2" w:rsidP="00872FD2">
            <w:pPr>
              <w:spacing w:after="0" w:line="240" w:lineRule="auto"/>
              <w:jc w:val="center"/>
              <w:cnfStyle w:val="000000100000"/>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Βαθμολογία γνώσεων</w:t>
            </w:r>
          </w:p>
        </w:tc>
      </w:tr>
      <w:tr w:rsidR="007E28F2" w:rsidRPr="00872FD2" w:rsidTr="000656A4">
        <w:trPr>
          <w:cnfStyle w:val="000000010000"/>
          <w:trHeight w:val="270"/>
        </w:trPr>
        <w:tc>
          <w:tcPr>
            <w:cnfStyle w:val="001000000000"/>
            <w:tcW w:w="4497" w:type="dxa"/>
            <w:vMerge w:val="restart"/>
            <w:hideMark/>
          </w:tcPr>
          <w:p w:rsidR="007E28F2" w:rsidRPr="00872FD2" w:rsidRDefault="007E28F2" w:rsidP="00872FD2">
            <w:pPr>
              <w:spacing w:after="0" w:line="240" w:lineRule="auto"/>
              <w:rPr>
                <w:rFonts w:asciiTheme="minorHAnsi" w:eastAsia="Times New Roman" w:hAnsiTheme="minorHAnsi" w:cstheme="minorHAnsi"/>
                <w:b w:val="0"/>
                <w:bCs w:val="0"/>
                <w:color w:val="000000"/>
              </w:rPr>
            </w:pPr>
            <w:r w:rsidRPr="00872FD2">
              <w:rPr>
                <w:rFonts w:asciiTheme="minorHAnsi" w:eastAsia="Times New Roman" w:hAnsiTheme="minorHAnsi" w:cstheme="minorHAnsi"/>
                <w:b w:val="0"/>
                <w:bCs w:val="0"/>
                <w:color w:val="000000"/>
              </w:rPr>
              <w:t>Κλίμακα συμμόρφωσης (</w:t>
            </w:r>
            <w:r w:rsidR="00A20DDA" w:rsidRPr="00872FD2">
              <w:rPr>
                <w:rFonts w:asciiTheme="minorHAnsi" w:eastAsia="Times New Roman" w:hAnsiTheme="minorHAnsi" w:cstheme="minorHAnsi"/>
                <w:b w:val="0"/>
                <w:bCs w:val="0"/>
                <w:color w:val="000000"/>
                <w:lang w:val="en-US"/>
              </w:rPr>
              <w:t>GR</w:t>
            </w:r>
            <w:r w:rsidR="00A20DDA" w:rsidRPr="00872FD2">
              <w:rPr>
                <w:rFonts w:asciiTheme="minorHAnsi" w:eastAsia="Times New Roman" w:hAnsiTheme="minorHAnsi" w:cstheme="minorHAnsi"/>
                <w:b w:val="0"/>
                <w:bCs w:val="0"/>
                <w:color w:val="000000"/>
              </w:rPr>
              <w:t>-</w:t>
            </w:r>
            <w:r w:rsidRPr="00872FD2">
              <w:rPr>
                <w:rFonts w:asciiTheme="minorHAnsi" w:eastAsia="Times New Roman" w:hAnsiTheme="minorHAnsi" w:cstheme="minorHAnsi"/>
                <w:b w:val="0"/>
                <w:bCs w:val="0"/>
                <w:color w:val="000000"/>
              </w:rPr>
              <w:t>SMAQ</w:t>
            </w:r>
            <w:r w:rsidR="00A20DDA" w:rsidRPr="00872FD2">
              <w:rPr>
                <w:rFonts w:asciiTheme="minorHAnsi" w:eastAsia="Times New Roman" w:hAnsiTheme="minorHAnsi" w:cstheme="minorHAnsi"/>
                <w:b w:val="0"/>
                <w:bCs w:val="0"/>
                <w:color w:val="000000"/>
              </w:rPr>
              <w:t>-</w:t>
            </w:r>
            <w:r w:rsidR="00A20DDA" w:rsidRPr="00872FD2">
              <w:rPr>
                <w:rFonts w:asciiTheme="minorHAnsi" w:eastAsia="Times New Roman" w:hAnsiTheme="minorHAnsi" w:cstheme="minorHAnsi"/>
                <w:b w:val="0"/>
                <w:bCs w:val="0"/>
                <w:color w:val="000000"/>
                <w:lang w:val="en-US"/>
              </w:rPr>
              <w:t>HD</w:t>
            </w:r>
            <w:r w:rsidRPr="00872FD2">
              <w:rPr>
                <w:rFonts w:asciiTheme="minorHAnsi" w:eastAsia="Times New Roman" w:hAnsiTheme="minorHAnsi" w:cstheme="minorHAnsi"/>
                <w:b w:val="0"/>
                <w:bCs w:val="0"/>
                <w:color w:val="000000"/>
              </w:rPr>
              <w:t xml:space="preserve">) </w:t>
            </w:r>
          </w:p>
        </w:tc>
        <w:tc>
          <w:tcPr>
            <w:tcW w:w="337" w:type="dxa"/>
            <w:hideMark/>
          </w:tcPr>
          <w:p w:rsidR="007E28F2" w:rsidRPr="00872FD2" w:rsidRDefault="007E28F2" w:rsidP="00872FD2">
            <w:pPr>
              <w:spacing w:after="0" w:line="240" w:lineRule="auto"/>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3638" w:type="dxa"/>
            <w:noWrap/>
            <w:hideMark/>
          </w:tcPr>
          <w:p w:rsidR="007E28F2" w:rsidRPr="00872FD2" w:rsidRDefault="007E28F2" w:rsidP="00872FD2">
            <w:pPr>
              <w:spacing w:after="0" w:line="24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0,28</w:t>
            </w:r>
          </w:p>
        </w:tc>
      </w:tr>
      <w:tr w:rsidR="007E28F2" w:rsidRPr="00872FD2" w:rsidTr="000656A4">
        <w:trPr>
          <w:cnfStyle w:val="000000100000"/>
          <w:trHeight w:val="270"/>
        </w:trPr>
        <w:tc>
          <w:tcPr>
            <w:cnfStyle w:val="001000000000"/>
            <w:tcW w:w="4497" w:type="dxa"/>
            <w:vMerge/>
            <w:hideMark/>
          </w:tcPr>
          <w:p w:rsidR="007E28F2" w:rsidRPr="00872FD2" w:rsidRDefault="007E28F2" w:rsidP="00872FD2">
            <w:pPr>
              <w:spacing w:after="0" w:line="240" w:lineRule="auto"/>
              <w:rPr>
                <w:rFonts w:asciiTheme="minorHAnsi" w:eastAsia="Times New Roman" w:hAnsiTheme="minorHAnsi" w:cstheme="minorHAnsi"/>
                <w:b w:val="0"/>
                <w:bCs w:val="0"/>
                <w:color w:val="000000"/>
              </w:rPr>
            </w:pPr>
          </w:p>
        </w:tc>
        <w:tc>
          <w:tcPr>
            <w:tcW w:w="337" w:type="dxa"/>
            <w:hideMark/>
          </w:tcPr>
          <w:p w:rsidR="007E28F2" w:rsidRPr="00872FD2" w:rsidRDefault="007E28F2" w:rsidP="00872FD2">
            <w:pPr>
              <w:spacing w:after="0" w:line="240" w:lineRule="auto"/>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3638" w:type="dxa"/>
            <w:noWrap/>
            <w:hideMark/>
          </w:tcPr>
          <w:p w:rsidR="007E28F2" w:rsidRPr="00872FD2" w:rsidRDefault="007E28F2" w:rsidP="00872FD2">
            <w:pPr>
              <w:spacing w:after="0" w:line="24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0,057</w:t>
            </w:r>
          </w:p>
        </w:tc>
      </w:tr>
      <w:tr w:rsidR="007E28F2" w:rsidRPr="00872FD2" w:rsidTr="000656A4">
        <w:trPr>
          <w:cnfStyle w:val="000000010000"/>
          <w:trHeight w:val="270"/>
        </w:trPr>
        <w:tc>
          <w:tcPr>
            <w:cnfStyle w:val="001000000000"/>
            <w:tcW w:w="4497" w:type="dxa"/>
            <w:vMerge w:val="restart"/>
            <w:hideMark/>
          </w:tcPr>
          <w:p w:rsidR="007E28F2" w:rsidRPr="00214D9E" w:rsidRDefault="00A20DDA" w:rsidP="00872FD2">
            <w:pPr>
              <w:spacing w:after="0" w:line="240" w:lineRule="auto"/>
              <w:rPr>
                <w:rFonts w:asciiTheme="minorHAnsi" w:eastAsia="Times New Roman" w:hAnsiTheme="minorHAnsi" w:cstheme="minorHAnsi"/>
                <w:bCs w:val="0"/>
                <w:i/>
                <w:color w:val="000000"/>
                <w:lang w:val="en-US"/>
              </w:rPr>
            </w:pPr>
            <w:r w:rsidRPr="00214D9E">
              <w:rPr>
                <w:rFonts w:asciiTheme="minorHAnsi" w:eastAsia="Times New Roman" w:hAnsiTheme="minorHAnsi" w:cstheme="minorHAnsi"/>
                <w:bCs w:val="0"/>
                <w:i/>
                <w:color w:val="000000"/>
              </w:rPr>
              <w:t>Φαρμακευτική αγωγή</w:t>
            </w:r>
          </w:p>
        </w:tc>
        <w:tc>
          <w:tcPr>
            <w:tcW w:w="337" w:type="dxa"/>
            <w:hideMark/>
          </w:tcPr>
          <w:p w:rsidR="007E28F2" w:rsidRPr="00872FD2" w:rsidRDefault="007E28F2" w:rsidP="00872FD2">
            <w:pPr>
              <w:spacing w:after="0" w:line="240" w:lineRule="auto"/>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3638" w:type="dxa"/>
            <w:noWrap/>
            <w:hideMark/>
          </w:tcPr>
          <w:p w:rsidR="007E28F2" w:rsidRPr="00872FD2" w:rsidRDefault="007E28F2" w:rsidP="00872FD2">
            <w:pPr>
              <w:spacing w:after="0" w:line="24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0,25</w:t>
            </w:r>
          </w:p>
        </w:tc>
      </w:tr>
      <w:tr w:rsidR="007E28F2" w:rsidRPr="00872FD2" w:rsidTr="000656A4">
        <w:trPr>
          <w:cnfStyle w:val="000000100000"/>
          <w:trHeight w:val="270"/>
        </w:trPr>
        <w:tc>
          <w:tcPr>
            <w:cnfStyle w:val="001000000000"/>
            <w:tcW w:w="4497" w:type="dxa"/>
            <w:vMerge/>
            <w:hideMark/>
          </w:tcPr>
          <w:p w:rsidR="007E28F2" w:rsidRPr="00214D9E" w:rsidRDefault="007E28F2" w:rsidP="00872FD2">
            <w:pPr>
              <w:spacing w:after="0" w:line="240" w:lineRule="auto"/>
              <w:rPr>
                <w:rFonts w:asciiTheme="minorHAnsi" w:eastAsia="Times New Roman" w:hAnsiTheme="minorHAnsi" w:cstheme="minorHAnsi"/>
                <w:bCs w:val="0"/>
                <w:i/>
                <w:color w:val="000000"/>
              </w:rPr>
            </w:pPr>
          </w:p>
        </w:tc>
        <w:tc>
          <w:tcPr>
            <w:tcW w:w="337" w:type="dxa"/>
            <w:hideMark/>
          </w:tcPr>
          <w:p w:rsidR="007E28F2" w:rsidRPr="00872FD2" w:rsidRDefault="007E28F2" w:rsidP="00872FD2">
            <w:pPr>
              <w:spacing w:after="0" w:line="240" w:lineRule="auto"/>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3638" w:type="dxa"/>
            <w:noWrap/>
            <w:hideMark/>
          </w:tcPr>
          <w:p w:rsidR="007E28F2" w:rsidRPr="00872FD2" w:rsidRDefault="007E28F2" w:rsidP="00872FD2">
            <w:pPr>
              <w:spacing w:after="0" w:line="24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0,087</w:t>
            </w:r>
          </w:p>
        </w:tc>
      </w:tr>
      <w:tr w:rsidR="007E28F2" w:rsidRPr="00872FD2" w:rsidTr="000656A4">
        <w:trPr>
          <w:cnfStyle w:val="000000010000"/>
          <w:trHeight w:val="270"/>
        </w:trPr>
        <w:tc>
          <w:tcPr>
            <w:cnfStyle w:val="001000000000"/>
            <w:tcW w:w="4497" w:type="dxa"/>
            <w:vMerge w:val="restart"/>
            <w:hideMark/>
          </w:tcPr>
          <w:p w:rsidR="007E28F2" w:rsidRPr="00214D9E" w:rsidRDefault="0076474F" w:rsidP="00872FD2">
            <w:pPr>
              <w:spacing w:after="0" w:line="240" w:lineRule="auto"/>
              <w:rPr>
                <w:rFonts w:asciiTheme="minorHAnsi" w:eastAsia="Times New Roman" w:hAnsiTheme="minorHAnsi" w:cstheme="minorHAnsi"/>
                <w:bCs w:val="0"/>
                <w:i/>
                <w:color w:val="000000"/>
              </w:rPr>
            </w:pPr>
            <w:r w:rsidRPr="00214D9E">
              <w:rPr>
                <w:rFonts w:asciiTheme="minorHAnsi" w:eastAsia="Times New Roman" w:hAnsiTheme="minorHAnsi" w:cstheme="minorHAnsi"/>
                <w:bCs w:val="0"/>
                <w:i/>
                <w:color w:val="000000"/>
              </w:rPr>
              <w:t>Παρουσία στη συνεδρία</w:t>
            </w:r>
            <w:r w:rsidR="007E28F2" w:rsidRPr="00214D9E">
              <w:rPr>
                <w:rFonts w:asciiTheme="minorHAnsi" w:eastAsia="Times New Roman" w:hAnsiTheme="minorHAnsi" w:cstheme="minorHAnsi"/>
                <w:bCs w:val="0"/>
                <w:i/>
                <w:color w:val="000000"/>
              </w:rPr>
              <w:t xml:space="preserve"> </w:t>
            </w:r>
          </w:p>
        </w:tc>
        <w:tc>
          <w:tcPr>
            <w:tcW w:w="337" w:type="dxa"/>
            <w:hideMark/>
          </w:tcPr>
          <w:p w:rsidR="007E28F2" w:rsidRPr="00872FD2" w:rsidRDefault="007E28F2" w:rsidP="00872FD2">
            <w:pPr>
              <w:spacing w:after="0" w:line="240" w:lineRule="auto"/>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3638" w:type="dxa"/>
            <w:noWrap/>
            <w:hideMark/>
          </w:tcPr>
          <w:p w:rsidR="007E28F2" w:rsidRPr="00872FD2" w:rsidRDefault="007E28F2" w:rsidP="00872FD2">
            <w:pPr>
              <w:spacing w:after="0" w:line="24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0,20</w:t>
            </w:r>
          </w:p>
        </w:tc>
      </w:tr>
      <w:tr w:rsidR="007E28F2" w:rsidRPr="00872FD2" w:rsidTr="000656A4">
        <w:trPr>
          <w:cnfStyle w:val="000000100000"/>
          <w:trHeight w:val="270"/>
        </w:trPr>
        <w:tc>
          <w:tcPr>
            <w:cnfStyle w:val="001000000000"/>
            <w:tcW w:w="4497" w:type="dxa"/>
            <w:vMerge/>
            <w:hideMark/>
          </w:tcPr>
          <w:p w:rsidR="007E28F2" w:rsidRPr="00214D9E" w:rsidRDefault="007E28F2" w:rsidP="00872FD2">
            <w:pPr>
              <w:spacing w:after="0" w:line="240" w:lineRule="auto"/>
              <w:rPr>
                <w:rFonts w:asciiTheme="minorHAnsi" w:eastAsia="Times New Roman" w:hAnsiTheme="minorHAnsi" w:cstheme="minorHAnsi"/>
                <w:bCs w:val="0"/>
                <w:i/>
                <w:color w:val="000000"/>
              </w:rPr>
            </w:pPr>
          </w:p>
        </w:tc>
        <w:tc>
          <w:tcPr>
            <w:tcW w:w="337" w:type="dxa"/>
            <w:hideMark/>
          </w:tcPr>
          <w:p w:rsidR="007E28F2" w:rsidRPr="00872FD2" w:rsidRDefault="007E28F2" w:rsidP="00872FD2">
            <w:pPr>
              <w:spacing w:after="0" w:line="240" w:lineRule="auto"/>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3638" w:type="dxa"/>
            <w:noWrap/>
            <w:hideMark/>
          </w:tcPr>
          <w:p w:rsidR="007E28F2" w:rsidRPr="00872FD2" w:rsidRDefault="007E28F2" w:rsidP="00872FD2">
            <w:pPr>
              <w:spacing w:after="0" w:line="24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0,179</w:t>
            </w:r>
          </w:p>
        </w:tc>
      </w:tr>
      <w:tr w:rsidR="007E28F2" w:rsidRPr="00872FD2" w:rsidTr="000656A4">
        <w:trPr>
          <w:cnfStyle w:val="000000010000"/>
          <w:trHeight w:val="270"/>
        </w:trPr>
        <w:tc>
          <w:tcPr>
            <w:cnfStyle w:val="001000000000"/>
            <w:tcW w:w="4497" w:type="dxa"/>
            <w:vMerge w:val="restart"/>
            <w:hideMark/>
          </w:tcPr>
          <w:p w:rsidR="007E28F2" w:rsidRPr="00214D9E" w:rsidRDefault="00A20DDA" w:rsidP="00872FD2">
            <w:pPr>
              <w:spacing w:after="0" w:line="240" w:lineRule="auto"/>
              <w:rPr>
                <w:rFonts w:asciiTheme="minorHAnsi" w:eastAsia="Times New Roman" w:hAnsiTheme="minorHAnsi" w:cstheme="minorHAnsi"/>
                <w:bCs w:val="0"/>
                <w:i/>
                <w:color w:val="000000"/>
              </w:rPr>
            </w:pPr>
            <w:r w:rsidRPr="00214D9E">
              <w:rPr>
                <w:rFonts w:asciiTheme="minorHAnsi" w:eastAsia="Times New Roman" w:hAnsiTheme="minorHAnsi" w:cstheme="minorHAnsi"/>
                <w:bCs w:val="0"/>
                <w:i/>
                <w:color w:val="000000"/>
              </w:rPr>
              <w:t>Δίαι</w:t>
            </w:r>
            <w:r w:rsidR="0076474F" w:rsidRPr="00214D9E">
              <w:rPr>
                <w:rFonts w:asciiTheme="minorHAnsi" w:eastAsia="Times New Roman" w:hAnsiTheme="minorHAnsi" w:cstheme="minorHAnsi"/>
                <w:bCs w:val="0"/>
                <w:i/>
                <w:color w:val="000000"/>
              </w:rPr>
              <w:t>τα/Υγρά</w:t>
            </w:r>
            <w:r w:rsidR="007E28F2" w:rsidRPr="00214D9E">
              <w:rPr>
                <w:rFonts w:asciiTheme="minorHAnsi" w:eastAsia="Times New Roman" w:hAnsiTheme="minorHAnsi" w:cstheme="minorHAnsi"/>
                <w:bCs w:val="0"/>
                <w:i/>
                <w:color w:val="000000"/>
              </w:rPr>
              <w:t xml:space="preserve"> </w:t>
            </w:r>
          </w:p>
        </w:tc>
        <w:tc>
          <w:tcPr>
            <w:tcW w:w="337" w:type="dxa"/>
            <w:hideMark/>
          </w:tcPr>
          <w:p w:rsidR="007E28F2" w:rsidRPr="00872FD2" w:rsidRDefault="007E28F2" w:rsidP="00872FD2">
            <w:pPr>
              <w:spacing w:after="0" w:line="240" w:lineRule="auto"/>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3638" w:type="dxa"/>
            <w:noWrap/>
            <w:hideMark/>
          </w:tcPr>
          <w:p w:rsidR="007E28F2" w:rsidRPr="00872FD2" w:rsidRDefault="007E28F2" w:rsidP="00872FD2">
            <w:pPr>
              <w:spacing w:after="0" w:line="240" w:lineRule="auto"/>
              <w:jc w:val="center"/>
              <w:cnfStyle w:val="00000001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0,06</w:t>
            </w:r>
          </w:p>
        </w:tc>
      </w:tr>
      <w:tr w:rsidR="007E28F2" w:rsidRPr="00872FD2" w:rsidTr="000656A4">
        <w:trPr>
          <w:cnfStyle w:val="000000100000"/>
          <w:trHeight w:val="270"/>
        </w:trPr>
        <w:tc>
          <w:tcPr>
            <w:cnfStyle w:val="001000000000"/>
            <w:tcW w:w="4497" w:type="dxa"/>
            <w:vMerge/>
            <w:hideMark/>
          </w:tcPr>
          <w:p w:rsidR="007E28F2" w:rsidRPr="00872FD2" w:rsidRDefault="007E28F2" w:rsidP="00872FD2">
            <w:pPr>
              <w:spacing w:after="0" w:line="240" w:lineRule="auto"/>
              <w:rPr>
                <w:rFonts w:asciiTheme="minorHAnsi" w:eastAsia="Times New Roman" w:hAnsiTheme="minorHAnsi" w:cstheme="minorHAnsi"/>
                <w:b w:val="0"/>
                <w:bCs w:val="0"/>
                <w:color w:val="000000"/>
              </w:rPr>
            </w:pPr>
          </w:p>
        </w:tc>
        <w:tc>
          <w:tcPr>
            <w:tcW w:w="337" w:type="dxa"/>
            <w:hideMark/>
          </w:tcPr>
          <w:p w:rsidR="007E28F2" w:rsidRPr="00872FD2" w:rsidRDefault="007E28F2" w:rsidP="00872FD2">
            <w:pPr>
              <w:spacing w:after="0" w:line="240" w:lineRule="auto"/>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3638" w:type="dxa"/>
            <w:noWrap/>
            <w:hideMark/>
          </w:tcPr>
          <w:p w:rsidR="007E28F2" w:rsidRPr="00872FD2" w:rsidRDefault="007E28F2" w:rsidP="00872FD2">
            <w:pPr>
              <w:spacing w:after="0" w:line="240" w:lineRule="auto"/>
              <w:jc w:val="center"/>
              <w:cnfStyle w:val="000000100000"/>
              <w:rPr>
                <w:rFonts w:asciiTheme="minorHAnsi" w:eastAsia="Times New Roman" w:hAnsiTheme="minorHAnsi" w:cstheme="minorHAnsi"/>
                <w:color w:val="000000"/>
              </w:rPr>
            </w:pPr>
            <w:r w:rsidRPr="00872FD2">
              <w:rPr>
                <w:rFonts w:asciiTheme="minorHAnsi" w:eastAsia="Times New Roman" w:hAnsiTheme="minorHAnsi" w:cstheme="minorHAnsi"/>
                <w:color w:val="000000"/>
              </w:rPr>
              <w:t>0,703</w:t>
            </w:r>
          </w:p>
        </w:tc>
      </w:tr>
    </w:tbl>
    <w:p w:rsidR="007E28F2" w:rsidRPr="005A464E" w:rsidRDefault="007E28F2" w:rsidP="005A464E">
      <w:pPr>
        <w:pStyle w:val="nouk"/>
      </w:pPr>
      <w:r w:rsidRPr="005A464E">
        <w:t xml:space="preserve"> </w:t>
      </w:r>
    </w:p>
    <w:p w:rsidR="007E28F2" w:rsidRPr="005C6ABA" w:rsidRDefault="007E28F2" w:rsidP="005A464E">
      <w:pPr>
        <w:pStyle w:val="nouk"/>
      </w:pPr>
      <w:r w:rsidRPr="005C6ABA">
        <w:t xml:space="preserve">Δεν υπήρξε σημαντική συσχέτιση μεταξύ της κλίμακας γνώσεων και των διαστάσεων της κλίμακας συμμόρφωσης, πριν την παρέμβαση. </w:t>
      </w:r>
    </w:p>
    <w:p w:rsidR="007E28F2" w:rsidRPr="005C6ABA" w:rsidRDefault="007E28F2" w:rsidP="005A464E">
      <w:pPr>
        <w:pStyle w:val="nouk"/>
      </w:pPr>
      <w:r w:rsidRPr="005C6ABA">
        <w:t xml:space="preserve">Στον πίνακα που ακολουθεί </w:t>
      </w:r>
      <w:r w:rsidR="00F6061C" w:rsidRPr="005C6ABA">
        <w:t>(Πίν 18</w:t>
      </w:r>
      <w:r w:rsidR="003729FD" w:rsidRPr="005C6ABA">
        <w:t xml:space="preserve">) </w:t>
      </w:r>
      <w:r w:rsidRPr="005C6ABA">
        <w:t xml:space="preserve">δίνονται οι συντελεστές συσχέτισης του </w:t>
      </w:r>
      <w:r w:rsidRPr="005C6ABA">
        <w:rPr>
          <w:lang w:val="en-US"/>
        </w:rPr>
        <w:t>Pearson</w:t>
      </w:r>
      <w:r w:rsidRPr="005C6ABA">
        <w:t xml:space="preserve"> μεταξύ της κλίμακας γνώσεων και των διαστάσεων ποιότητας ζωής, πριν την παρέμβαση (στις αναλύσεις έχουν συμπεριληφθεί όλα τα άτομα ανεξαρτήτου ομάδας).</w:t>
      </w:r>
    </w:p>
    <w:p w:rsidR="009250AC" w:rsidRPr="005C6ABA" w:rsidRDefault="009250AC" w:rsidP="009250AC">
      <w:pPr>
        <w:pStyle w:val="nouk"/>
        <w:rPr>
          <w:rFonts w:asciiTheme="minorHAnsi" w:eastAsiaTheme="minorHAnsi" w:hAnsiTheme="minorHAnsi" w:cstheme="minorHAnsi"/>
          <w:bCs/>
          <w:color w:val="000000"/>
        </w:rPr>
      </w:pPr>
    </w:p>
    <w:p w:rsidR="009250AC" w:rsidRPr="005C6ABA" w:rsidRDefault="00F6061C" w:rsidP="009250AC">
      <w:pPr>
        <w:pStyle w:val="nouk"/>
        <w:rPr>
          <w:rFonts w:asciiTheme="minorHAnsi" w:eastAsiaTheme="minorHAnsi" w:hAnsiTheme="minorHAnsi" w:cstheme="minorHAnsi"/>
          <w:bCs/>
          <w:color w:val="000000"/>
        </w:rPr>
      </w:pPr>
      <w:r w:rsidRPr="005C6ABA">
        <w:rPr>
          <w:rFonts w:asciiTheme="minorHAnsi" w:eastAsiaTheme="minorHAnsi" w:hAnsiTheme="minorHAnsi" w:cstheme="minorHAnsi"/>
          <w:bCs/>
          <w:color w:val="000000"/>
        </w:rPr>
        <w:t>Πίνακας 18</w:t>
      </w:r>
    </w:p>
    <w:p w:rsidR="00A72B69" w:rsidRPr="005C6ABA" w:rsidRDefault="009250AC" w:rsidP="00C2256D">
      <w:pPr>
        <w:pStyle w:val="nouk"/>
        <w:spacing w:after="240"/>
      </w:pPr>
      <w:r w:rsidRPr="005C6ABA">
        <w:rPr>
          <w:rFonts w:asciiTheme="minorHAnsi" w:eastAsiaTheme="minorHAnsi" w:hAnsiTheme="minorHAnsi" w:cstheme="minorHAnsi"/>
          <w:bCs/>
          <w:i/>
          <w:color w:val="000000"/>
        </w:rPr>
        <w:t xml:space="preserve">Συντελεστές συσχέτισης του </w:t>
      </w:r>
      <w:r w:rsidRPr="005C6ABA">
        <w:rPr>
          <w:rFonts w:asciiTheme="minorHAnsi" w:eastAsiaTheme="minorHAnsi" w:hAnsiTheme="minorHAnsi" w:cstheme="minorHAnsi"/>
          <w:bCs/>
          <w:i/>
          <w:color w:val="000000"/>
          <w:lang w:val="en-US"/>
        </w:rPr>
        <w:t>Pearson</w:t>
      </w:r>
      <w:r w:rsidRPr="005C6ABA">
        <w:rPr>
          <w:rFonts w:asciiTheme="minorHAnsi" w:eastAsiaTheme="minorHAnsi" w:hAnsiTheme="minorHAnsi" w:cstheme="minorHAnsi"/>
          <w:bCs/>
          <w:i/>
          <w:color w:val="000000"/>
        </w:rPr>
        <w:t xml:space="preserve"> μεταξύ της κλίμακας γνώσεων και των διαστάσεων ποιότητας ζωής, πριν την παρέμβαση (Ν=50)</w:t>
      </w:r>
    </w:p>
    <w:tbl>
      <w:tblPr>
        <w:tblStyle w:val="-41"/>
        <w:tblW w:w="8330" w:type="dxa"/>
        <w:tblLook w:val="0400"/>
      </w:tblPr>
      <w:tblGrid>
        <w:gridCol w:w="2656"/>
        <w:gridCol w:w="1113"/>
        <w:gridCol w:w="4561"/>
      </w:tblGrid>
      <w:tr w:rsidR="007E28F2" w:rsidRPr="005C6ABA" w:rsidTr="009250AC">
        <w:trPr>
          <w:cnfStyle w:val="000000100000"/>
          <w:trHeight w:val="270"/>
        </w:trPr>
        <w:tc>
          <w:tcPr>
            <w:tcW w:w="3769" w:type="dxa"/>
            <w:gridSpan w:val="2"/>
            <w:hideMark/>
          </w:tcPr>
          <w:p w:rsidR="007E28F2" w:rsidRPr="005C6ABA" w:rsidRDefault="007E28F2" w:rsidP="00872FD2">
            <w:pPr>
              <w:spacing w:after="0" w:line="240" w:lineRule="auto"/>
              <w:jc w:val="center"/>
              <w:rPr>
                <w:rFonts w:asciiTheme="minorHAnsi" w:eastAsia="Times New Roman" w:hAnsiTheme="minorHAnsi" w:cstheme="minorHAnsi"/>
                <w:b/>
                <w:bCs/>
                <w:color w:val="0070C0"/>
                <w:sz w:val="24"/>
                <w:szCs w:val="24"/>
              </w:rPr>
            </w:pPr>
            <w:r w:rsidRPr="005C6ABA">
              <w:rPr>
                <w:rFonts w:asciiTheme="minorHAnsi" w:eastAsia="Times New Roman" w:hAnsiTheme="minorHAnsi" w:cstheme="minorHAnsi"/>
                <w:b/>
                <w:color w:val="0070C0"/>
                <w:sz w:val="24"/>
                <w:szCs w:val="24"/>
              </w:rPr>
              <w:t>Πριν την παρέμβαση</w:t>
            </w:r>
          </w:p>
        </w:tc>
        <w:tc>
          <w:tcPr>
            <w:tcW w:w="4561" w:type="dxa"/>
            <w:hideMark/>
          </w:tcPr>
          <w:p w:rsidR="007E28F2" w:rsidRPr="005C6ABA" w:rsidRDefault="007E28F2" w:rsidP="00872FD2">
            <w:pPr>
              <w:spacing w:after="0" w:line="240" w:lineRule="auto"/>
              <w:jc w:val="center"/>
              <w:rPr>
                <w:rFonts w:asciiTheme="minorHAnsi" w:eastAsia="Times New Roman" w:hAnsiTheme="minorHAnsi" w:cstheme="minorHAnsi"/>
                <w:b/>
                <w:bCs/>
                <w:color w:val="000000"/>
                <w:sz w:val="24"/>
                <w:szCs w:val="24"/>
              </w:rPr>
            </w:pPr>
            <w:r w:rsidRPr="005C6ABA">
              <w:rPr>
                <w:rFonts w:asciiTheme="minorHAnsi" w:eastAsia="Times New Roman" w:hAnsiTheme="minorHAnsi" w:cstheme="minorHAnsi"/>
                <w:b/>
                <w:bCs/>
                <w:color w:val="000000"/>
                <w:sz w:val="24"/>
                <w:szCs w:val="24"/>
              </w:rPr>
              <w:t>Βαθμολογία γνώσεων</w:t>
            </w:r>
          </w:p>
        </w:tc>
      </w:tr>
      <w:tr w:rsidR="007E28F2" w:rsidRPr="005C6ABA" w:rsidTr="009250AC">
        <w:trPr>
          <w:cnfStyle w:val="000000010000"/>
          <w:trHeight w:val="270"/>
        </w:trPr>
        <w:tc>
          <w:tcPr>
            <w:tcW w:w="2656" w:type="dxa"/>
            <w:vMerge w:val="restart"/>
            <w:hideMark/>
          </w:tcPr>
          <w:p w:rsidR="007E28F2" w:rsidRPr="005C6ABA" w:rsidRDefault="0076474F" w:rsidP="00872FD2">
            <w:pPr>
              <w:spacing w:after="0" w:line="240" w:lineRule="auto"/>
              <w:rPr>
                <w:rFonts w:asciiTheme="minorHAnsi" w:eastAsia="Times New Roman" w:hAnsiTheme="minorHAnsi" w:cstheme="minorHAnsi"/>
                <w:bCs/>
                <w:i/>
                <w:color w:val="000000"/>
                <w:sz w:val="24"/>
                <w:szCs w:val="24"/>
              </w:rPr>
            </w:pPr>
            <w:r w:rsidRPr="005C6ABA">
              <w:rPr>
                <w:rFonts w:asciiTheme="minorHAnsi" w:eastAsia="Times New Roman" w:hAnsiTheme="minorHAnsi" w:cstheme="minorHAnsi"/>
                <w:i/>
                <w:color w:val="000000"/>
                <w:sz w:val="24"/>
                <w:szCs w:val="24"/>
              </w:rPr>
              <w:t>Συμπτώματα</w:t>
            </w:r>
            <w:r w:rsidR="007E28F2" w:rsidRPr="005C6ABA">
              <w:rPr>
                <w:rFonts w:asciiTheme="minorHAnsi" w:eastAsia="Times New Roman" w:hAnsiTheme="minorHAnsi" w:cstheme="minorHAnsi"/>
                <w:i/>
                <w:color w:val="000000"/>
                <w:sz w:val="24"/>
                <w:szCs w:val="24"/>
              </w:rPr>
              <w:t xml:space="preserve"> </w:t>
            </w:r>
          </w:p>
        </w:tc>
        <w:tc>
          <w:tcPr>
            <w:tcW w:w="1113" w:type="dxa"/>
            <w:hideMark/>
          </w:tcPr>
          <w:p w:rsidR="007E28F2" w:rsidRPr="005C6ABA" w:rsidRDefault="0081236A"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R</w:t>
            </w:r>
          </w:p>
        </w:tc>
        <w:tc>
          <w:tcPr>
            <w:tcW w:w="4561" w:type="dxa"/>
            <w:noWrap/>
            <w:hideMark/>
          </w:tcPr>
          <w:p w:rsidR="007E28F2" w:rsidRPr="005C6ABA" w:rsidRDefault="007E28F2"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-0,03</w:t>
            </w:r>
          </w:p>
        </w:tc>
      </w:tr>
      <w:tr w:rsidR="007E28F2" w:rsidRPr="005C6ABA" w:rsidTr="009250AC">
        <w:trPr>
          <w:cnfStyle w:val="000000100000"/>
          <w:trHeight w:val="270"/>
        </w:trPr>
        <w:tc>
          <w:tcPr>
            <w:tcW w:w="2656" w:type="dxa"/>
            <w:vMerge/>
            <w:hideMark/>
          </w:tcPr>
          <w:p w:rsidR="007E28F2" w:rsidRPr="005C6ABA" w:rsidRDefault="007E28F2" w:rsidP="00872FD2">
            <w:pPr>
              <w:spacing w:after="0" w:line="240" w:lineRule="auto"/>
              <w:rPr>
                <w:rFonts w:asciiTheme="minorHAnsi" w:eastAsia="Times New Roman" w:hAnsiTheme="minorHAnsi" w:cstheme="minorHAnsi"/>
                <w:bCs/>
                <w:i/>
                <w:color w:val="000000"/>
                <w:sz w:val="24"/>
                <w:szCs w:val="24"/>
              </w:rPr>
            </w:pPr>
          </w:p>
        </w:tc>
        <w:tc>
          <w:tcPr>
            <w:tcW w:w="1113" w:type="dxa"/>
            <w:hideMark/>
          </w:tcPr>
          <w:p w:rsidR="007E28F2" w:rsidRPr="005C6ABA" w:rsidRDefault="007E28F2"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P</w:t>
            </w:r>
          </w:p>
        </w:tc>
        <w:tc>
          <w:tcPr>
            <w:tcW w:w="4561" w:type="dxa"/>
            <w:noWrap/>
            <w:hideMark/>
          </w:tcPr>
          <w:p w:rsidR="007E28F2" w:rsidRPr="005C6ABA" w:rsidRDefault="007E28F2"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0,834</w:t>
            </w:r>
          </w:p>
        </w:tc>
      </w:tr>
      <w:tr w:rsidR="007E28F2" w:rsidRPr="005C6ABA" w:rsidTr="009250AC">
        <w:trPr>
          <w:cnfStyle w:val="000000010000"/>
          <w:trHeight w:val="270"/>
        </w:trPr>
        <w:tc>
          <w:tcPr>
            <w:tcW w:w="2656" w:type="dxa"/>
            <w:vMerge w:val="restart"/>
            <w:hideMark/>
          </w:tcPr>
          <w:p w:rsidR="007E28F2" w:rsidRPr="005C6ABA" w:rsidRDefault="003A7874" w:rsidP="00872FD2">
            <w:pPr>
              <w:spacing w:after="0" w:line="240" w:lineRule="auto"/>
              <w:rPr>
                <w:rFonts w:asciiTheme="minorHAnsi" w:eastAsia="Times New Roman" w:hAnsiTheme="minorHAnsi" w:cstheme="minorHAnsi"/>
                <w:bCs/>
                <w:i/>
                <w:color w:val="000000"/>
                <w:sz w:val="24"/>
                <w:szCs w:val="24"/>
              </w:rPr>
            </w:pPr>
            <w:r w:rsidRPr="005C6ABA">
              <w:rPr>
                <w:rFonts w:asciiTheme="minorHAnsi" w:eastAsia="Times New Roman" w:hAnsiTheme="minorHAnsi" w:cstheme="minorHAnsi"/>
                <w:i/>
                <w:color w:val="000000"/>
                <w:sz w:val="24"/>
                <w:szCs w:val="24"/>
              </w:rPr>
              <w:t>Λειτουργικότητα</w:t>
            </w:r>
            <w:r w:rsidR="007E28F2" w:rsidRPr="005C6ABA">
              <w:rPr>
                <w:rFonts w:asciiTheme="minorHAnsi" w:eastAsia="Times New Roman" w:hAnsiTheme="minorHAnsi" w:cstheme="minorHAnsi"/>
                <w:i/>
                <w:color w:val="000000"/>
                <w:sz w:val="24"/>
                <w:szCs w:val="24"/>
              </w:rPr>
              <w:t xml:space="preserve"> </w:t>
            </w:r>
          </w:p>
        </w:tc>
        <w:tc>
          <w:tcPr>
            <w:tcW w:w="1113" w:type="dxa"/>
            <w:hideMark/>
          </w:tcPr>
          <w:p w:rsidR="007E28F2" w:rsidRPr="005C6ABA" w:rsidRDefault="0081236A"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R</w:t>
            </w:r>
          </w:p>
        </w:tc>
        <w:tc>
          <w:tcPr>
            <w:tcW w:w="4561" w:type="dxa"/>
            <w:noWrap/>
            <w:hideMark/>
          </w:tcPr>
          <w:p w:rsidR="007E28F2" w:rsidRPr="005C6ABA" w:rsidRDefault="007E28F2"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-0,08</w:t>
            </w:r>
          </w:p>
        </w:tc>
      </w:tr>
      <w:tr w:rsidR="007E28F2" w:rsidRPr="005C6ABA" w:rsidTr="009250AC">
        <w:trPr>
          <w:cnfStyle w:val="000000100000"/>
          <w:trHeight w:val="270"/>
        </w:trPr>
        <w:tc>
          <w:tcPr>
            <w:tcW w:w="2656" w:type="dxa"/>
            <w:vMerge/>
            <w:hideMark/>
          </w:tcPr>
          <w:p w:rsidR="007E28F2" w:rsidRPr="005C6ABA" w:rsidRDefault="007E28F2" w:rsidP="00872FD2">
            <w:pPr>
              <w:spacing w:after="0" w:line="240" w:lineRule="auto"/>
              <w:rPr>
                <w:rFonts w:asciiTheme="minorHAnsi" w:eastAsia="Times New Roman" w:hAnsiTheme="minorHAnsi" w:cstheme="minorHAnsi"/>
                <w:bCs/>
                <w:i/>
                <w:color w:val="000000"/>
                <w:sz w:val="24"/>
                <w:szCs w:val="24"/>
              </w:rPr>
            </w:pPr>
          </w:p>
        </w:tc>
        <w:tc>
          <w:tcPr>
            <w:tcW w:w="1113" w:type="dxa"/>
            <w:hideMark/>
          </w:tcPr>
          <w:p w:rsidR="007E28F2" w:rsidRPr="005C6ABA" w:rsidRDefault="007E28F2"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P</w:t>
            </w:r>
          </w:p>
        </w:tc>
        <w:tc>
          <w:tcPr>
            <w:tcW w:w="4561" w:type="dxa"/>
            <w:noWrap/>
            <w:hideMark/>
          </w:tcPr>
          <w:p w:rsidR="007E28F2" w:rsidRPr="005C6ABA" w:rsidRDefault="007E28F2"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0,603</w:t>
            </w:r>
          </w:p>
        </w:tc>
      </w:tr>
      <w:tr w:rsidR="007E28F2" w:rsidRPr="005C6ABA" w:rsidTr="009250AC">
        <w:trPr>
          <w:cnfStyle w:val="000000010000"/>
          <w:trHeight w:val="270"/>
        </w:trPr>
        <w:tc>
          <w:tcPr>
            <w:tcW w:w="2656" w:type="dxa"/>
            <w:vMerge w:val="restart"/>
            <w:hideMark/>
          </w:tcPr>
          <w:p w:rsidR="007E28F2" w:rsidRPr="005C6ABA" w:rsidRDefault="00271A35" w:rsidP="00872FD2">
            <w:pPr>
              <w:spacing w:after="0" w:line="240" w:lineRule="auto"/>
              <w:rPr>
                <w:rFonts w:asciiTheme="minorHAnsi" w:eastAsia="Times New Roman" w:hAnsiTheme="minorHAnsi" w:cstheme="minorHAnsi"/>
                <w:bCs/>
                <w:i/>
                <w:color w:val="000000"/>
                <w:sz w:val="24"/>
                <w:szCs w:val="24"/>
              </w:rPr>
            </w:pPr>
            <w:r w:rsidRPr="005C6ABA">
              <w:rPr>
                <w:rFonts w:asciiTheme="minorHAnsi" w:eastAsia="Times New Roman" w:hAnsiTheme="minorHAnsi" w:cstheme="minorHAnsi"/>
                <w:i/>
                <w:color w:val="000000"/>
                <w:sz w:val="24"/>
                <w:szCs w:val="24"/>
              </w:rPr>
              <w:t>Διαπροσωπικές σχέσεις</w:t>
            </w:r>
          </w:p>
        </w:tc>
        <w:tc>
          <w:tcPr>
            <w:tcW w:w="1113" w:type="dxa"/>
            <w:hideMark/>
          </w:tcPr>
          <w:p w:rsidR="007E28F2" w:rsidRPr="005C6ABA" w:rsidRDefault="0081236A"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R</w:t>
            </w:r>
          </w:p>
        </w:tc>
        <w:tc>
          <w:tcPr>
            <w:tcW w:w="4561" w:type="dxa"/>
            <w:noWrap/>
            <w:hideMark/>
          </w:tcPr>
          <w:p w:rsidR="007E28F2" w:rsidRPr="005C6ABA" w:rsidRDefault="007E28F2"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-0,15</w:t>
            </w:r>
          </w:p>
        </w:tc>
      </w:tr>
      <w:tr w:rsidR="007E28F2" w:rsidRPr="005C6ABA" w:rsidTr="009250AC">
        <w:trPr>
          <w:cnfStyle w:val="000000100000"/>
          <w:trHeight w:val="270"/>
        </w:trPr>
        <w:tc>
          <w:tcPr>
            <w:tcW w:w="2656" w:type="dxa"/>
            <w:vMerge/>
            <w:hideMark/>
          </w:tcPr>
          <w:p w:rsidR="007E28F2" w:rsidRPr="005C6ABA" w:rsidRDefault="007E28F2" w:rsidP="00872FD2">
            <w:pPr>
              <w:spacing w:after="0" w:line="240" w:lineRule="auto"/>
              <w:rPr>
                <w:rFonts w:asciiTheme="minorHAnsi" w:eastAsia="Times New Roman" w:hAnsiTheme="minorHAnsi" w:cstheme="minorHAnsi"/>
                <w:bCs/>
                <w:i/>
                <w:color w:val="000000"/>
                <w:sz w:val="24"/>
                <w:szCs w:val="24"/>
              </w:rPr>
            </w:pPr>
          </w:p>
        </w:tc>
        <w:tc>
          <w:tcPr>
            <w:tcW w:w="1113" w:type="dxa"/>
            <w:hideMark/>
          </w:tcPr>
          <w:p w:rsidR="007E28F2" w:rsidRPr="005C6ABA" w:rsidRDefault="007E28F2"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P</w:t>
            </w:r>
          </w:p>
        </w:tc>
        <w:tc>
          <w:tcPr>
            <w:tcW w:w="4561" w:type="dxa"/>
            <w:noWrap/>
            <w:hideMark/>
          </w:tcPr>
          <w:p w:rsidR="007E28F2" w:rsidRPr="005C6ABA" w:rsidRDefault="007E28F2"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0,310</w:t>
            </w:r>
          </w:p>
        </w:tc>
      </w:tr>
      <w:tr w:rsidR="007E28F2" w:rsidRPr="005C6ABA" w:rsidTr="009250AC">
        <w:trPr>
          <w:cnfStyle w:val="000000010000"/>
          <w:trHeight w:val="270"/>
        </w:trPr>
        <w:tc>
          <w:tcPr>
            <w:tcW w:w="2656" w:type="dxa"/>
            <w:vMerge w:val="restart"/>
            <w:hideMark/>
          </w:tcPr>
          <w:p w:rsidR="007E28F2" w:rsidRPr="005C6ABA" w:rsidRDefault="003A7874" w:rsidP="00872FD2">
            <w:pPr>
              <w:spacing w:after="0" w:line="240" w:lineRule="auto"/>
              <w:rPr>
                <w:rFonts w:asciiTheme="minorHAnsi" w:eastAsia="Times New Roman" w:hAnsiTheme="minorHAnsi" w:cstheme="minorHAnsi"/>
                <w:bCs/>
                <w:i/>
                <w:color w:val="000000"/>
                <w:sz w:val="24"/>
                <w:szCs w:val="24"/>
              </w:rPr>
            </w:pPr>
            <w:r w:rsidRPr="005C6ABA">
              <w:rPr>
                <w:rFonts w:asciiTheme="minorHAnsi" w:eastAsia="Times New Roman" w:hAnsiTheme="minorHAnsi" w:cstheme="minorHAnsi"/>
                <w:i/>
                <w:color w:val="000000"/>
                <w:sz w:val="24"/>
                <w:szCs w:val="24"/>
              </w:rPr>
              <w:t>Ευεξία</w:t>
            </w:r>
            <w:r w:rsidR="007E28F2" w:rsidRPr="005C6ABA">
              <w:rPr>
                <w:rFonts w:asciiTheme="minorHAnsi" w:eastAsia="Times New Roman" w:hAnsiTheme="minorHAnsi" w:cstheme="minorHAnsi"/>
                <w:i/>
                <w:color w:val="000000"/>
                <w:sz w:val="24"/>
                <w:szCs w:val="24"/>
              </w:rPr>
              <w:t xml:space="preserve"> </w:t>
            </w:r>
          </w:p>
        </w:tc>
        <w:tc>
          <w:tcPr>
            <w:tcW w:w="1113" w:type="dxa"/>
            <w:hideMark/>
          </w:tcPr>
          <w:p w:rsidR="007E28F2" w:rsidRPr="005C6ABA" w:rsidRDefault="0081236A"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R</w:t>
            </w:r>
          </w:p>
        </w:tc>
        <w:tc>
          <w:tcPr>
            <w:tcW w:w="4561" w:type="dxa"/>
            <w:noWrap/>
            <w:hideMark/>
          </w:tcPr>
          <w:p w:rsidR="007E28F2" w:rsidRPr="005C6ABA" w:rsidRDefault="007E28F2"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-0,03</w:t>
            </w:r>
          </w:p>
        </w:tc>
      </w:tr>
      <w:tr w:rsidR="007E28F2" w:rsidRPr="005C6ABA" w:rsidTr="009250AC">
        <w:trPr>
          <w:cnfStyle w:val="000000100000"/>
          <w:trHeight w:val="270"/>
        </w:trPr>
        <w:tc>
          <w:tcPr>
            <w:tcW w:w="2656" w:type="dxa"/>
            <w:vMerge/>
            <w:hideMark/>
          </w:tcPr>
          <w:p w:rsidR="007E28F2" w:rsidRPr="005C6ABA" w:rsidRDefault="007E28F2" w:rsidP="00872FD2">
            <w:pPr>
              <w:spacing w:after="0" w:line="240" w:lineRule="auto"/>
              <w:rPr>
                <w:rFonts w:asciiTheme="minorHAnsi" w:eastAsia="Times New Roman" w:hAnsiTheme="minorHAnsi" w:cstheme="minorHAnsi"/>
                <w:bCs/>
                <w:i/>
                <w:color w:val="000000"/>
                <w:sz w:val="24"/>
                <w:szCs w:val="24"/>
              </w:rPr>
            </w:pPr>
          </w:p>
        </w:tc>
        <w:tc>
          <w:tcPr>
            <w:tcW w:w="1113" w:type="dxa"/>
            <w:hideMark/>
          </w:tcPr>
          <w:p w:rsidR="007E28F2" w:rsidRPr="005C6ABA" w:rsidRDefault="007E28F2"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P</w:t>
            </w:r>
          </w:p>
        </w:tc>
        <w:tc>
          <w:tcPr>
            <w:tcW w:w="4561" w:type="dxa"/>
            <w:noWrap/>
            <w:hideMark/>
          </w:tcPr>
          <w:p w:rsidR="007E28F2" w:rsidRPr="005C6ABA" w:rsidRDefault="007E28F2"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0,828</w:t>
            </w:r>
          </w:p>
        </w:tc>
      </w:tr>
      <w:tr w:rsidR="007E28F2" w:rsidRPr="005C6ABA" w:rsidTr="009250AC">
        <w:trPr>
          <w:cnfStyle w:val="000000010000"/>
          <w:trHeight w:val="270"/>
        </w:trPr>
        <w:tc>
          <w:tcPr>
            <w:tcW w:w="2656" w:type="dxa"/>
            <w:vMerge w:val="restart"/>
            <w:hideMark/>
          </w:tcPr>
          <w:p w:rsidR="007E28F2" w:rsidRPr="005C6ABA" w:rsidRDefault="00271A35" w:rsidP="00872FD2">
            <w:pPr>
              <w:spacing w:after="0" w:line="240" w:lineRule="auto"/>
              <w:rPr>
                <w:rFonts w:asciiTheme="minorHAnsi" w:eastAsia="Times New Roman" w:hAnsiTheme="minorHAnsi" w:cstheme="minorHAnsi"/>
                <w:bCs/>
                <w:i/>
                <w:color w:val="000000"/>
                <w:sz w:val="24"/>
                <w:szCs w:val="24"/>
              </w:rPr>
            </w:pPr>
            <w:r w:rsidRPr="005C6ABA">
              <w:rPr>
                <w:rFonts w:asciiTheme="minorHAnsi" w:eastAsia="Times New Roman" w:hAnsiTheme="minorHAnsi" w:cstheme="minorHAnsi"/>
                <w:i/>
                <w:color w:val="000000"/>
                <w:sz w:val="24"/>
                <w:szCs w:val="24"/>
              </w:rPr>
              <w:t>Πνευματικότητα</w:t>
            </w:r>
          </w:p>
        </w:tc>
        <w:tc>
          <w:tcPr>
            <w:tcW w:w="1113" w:type="dxa"/>
            <w:hideMark/>
          </w:tcPr>
          <w:p w:rsidR="007E28F2" w:rsidRPr="005C6ABA" w:rsidRDefault="0081236A"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R</w:t>
            </w:r>
          </w:p>
        </w:tc>
        <w:tc>
          <w:tcPr>
            <w:tcW w:w="4561" w:type="dxa"/>
            <w:noWrap/>
            <w:hideMark/>
          </w:tcPr>
          <w:p w:rsidR="007E28F2" w:rsidRPr="005C6ABA" w:rsidRDefault="007E28F2"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-0,09</w:t>
            </w:r>
          </w:p>
        </w:tc>
      </w:tr>
      <w:tr w:rsidR="007E28F2" w:rsidRPr="005C6ABA" w:rsidTr="009250AC">
        <w:trPr>
          <w:cnfStyle w:val="000000100000"/>
          <w:trHeight w:val="270"/>
        </w:trPr>
        <w:tc>
          <w:tcPr>
            <w:tcW w:w="2656" w:type="dxa"/>
            <w:vMerge/>
            <w:hideMark/>
          </w:tcPr>
          <w:p w:rsidR="007E28F2" w:rsidRPr="005C6ABA" w:rsidRDefault="007E28F2" w:rsidP="00872FD2">
            <w:pPr>
              <w:spacing w:after="0" w:line="240" w:lineRule="auto"/>
              <w:rPr>
                <w:rFonts w:asciiTheme="minorHAnsi" w:eastAsia="Times New Roman" w:hAnsiTheme="minorHAnsi" w:cstheme="minorHAnsi"/>
                <w:b/>
                <w:bCs/>
                <w:color w:val="000000"/>
                <w:sz w:val="24"/>
                <w:szCs w:val="24"/>
              </w:rPr>
            </w:pPr>
          </w:p>
        </w:tc>
        <w:tc>
          <w:tcPr>
            <w:tcW w:w="1113" w:type="dxa"/>
            <w:hideMark/>
          </w:tcPr>
          <w:p w:rsidR="007E28F2" w:rsidRPr="005C6ABA" w:rsidRDefault="007E28F2"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P</w:t>
            </w:r>
          </w:p>
        </w:tc>
        <w:tc>
          <w:tcPr>
            <w:tcW w:w="4561" w:type="dxa"/>
            <w:noWrap/>
            <w:hideMark/>
          </w:tcPr>
          <w:p w:rsidR="007E28F2" w:rsidRPr="005C6ABA" w:rsidRDefault="007E28F2"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0,518</w:t>
            </w:r>
          </w:p>
        </w:tc>
      </w:tr>
      <w:tr w:rsidR="007E28F2" w:rsidRPr="005C6ABA" w:rsidTr="009250AC">
        <w:trPr>
          <w:cnfStyle w:val="000000010000"/>
          <w:trHeight w:val="270"/>
        </w:trPr>
        <w:tc>
          <w:tcPr>
            <w:tcW w:w="2656" w:type="dxa"/>
            <w:vMerge w:val="restart"/>
            <w:hideMark/>
          </w:tcPr>
          <w:p w:rsidR="007E28F2" w:rsidRPr="005C6ABA" w:rsidRDefault="00271A35" w:rsidP="00872FD2">
            <w:pPr>
              <w:spacing w:after="0" w:line="240" w:lineRule="auto"/>
              <w:rPr>
                <w:rFonts w:asciiTheme="minorHAnsi" w:eastAsia="Times New Roman" w:hAnsiTheme="minorHAnsi" w:cstheme="minorHAnsi"/>
                <w:b/>
                <w:bCs/>
                <w:color w:val="000000"/>
                <w:sz w:val="24"/>
                <w:szCs w:val="24"/>
              </w:rPr>
            </w:pPr>
            <w:r w:rsidRPr="005C6ABA">
              <w:rPr>
                <w:rFonts w:asciiTheme="minorHAnsi" w:eastAsia="Times New Roman" w:hAnsiTheme="minorHAnsi" w:cstheme="minorHAnsi"/>
                <w:b/>
                <w:color w:val="000000"/>
                <w:sz w:val="24"/>
                <w:szCs w:val="24"/>
              </w:rPr>
              <w:t>Συνολικό σκορ</w:t>
            </w:r>
            <w:r w:rsidR="007E28F2" w:rsidRPr="005C6ABA">
              <w:rPr>
                <w:rFonts w:asciiTheme="minorHAnsi" w:eastAsia="Times New Roman" w:hAnsiTheme="minorHAnsi" w:cstheme="minorHAnsi"/>
                <w:b/>
                <w:color w:val="000000"/>
                <w:sz w:val="24"/>
                <w:szCs w:val="24"/>
              </w:rPr>
              <w:t xml:space="preserve"> </w:t>
            </w:r>
          </w:p>
        </w:tc>
        <w:tc>
          <w:tcPr>
            <w:tcW w:w="1113" w:type="dxa"/>
            <w:hideMark/>
          </w:tcPr>
          <w:p w:rsidR="007E28F2" w:rsidRPr="005C6ABA" w:rsidRDefault="0081236A"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R</w:t>
            </w:r>
          </w:p>
        </w:tc>
        <w:tc>
          <w:tcPr>
            <w:tcW w:w="4561" w:type="dxa"/>
            <w:noWrap/>
            <w:hideMark/>
          </w:tcPr>
          <w:p w:rsidR="007E28F2" w:rsidRPr="005C6ABA" w:rsidRDefault="007E28F2"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-0,12</w:t>
            </w:r>
          </w:p>
        </w:tc>
      </w:tr>
      <w:tr w:rsidR="007E28F2" w:rsidRPr="005C6ABA" w:rsidTr="009250AC">
        <w:trPr>
          <w:cnfStyle w:val="000000100000"/>
          <w:trHeight w:val="270"/>
        </w:trPr>
        <w:tc>
          <w:tcPr>
            <w:tcW w:w="2656" w:type="dxa"/>
            <w:vMerge/>
            <w:hideMark/>
          </w:tcPr>
          <w:p w:rsidR="007E28F2" w:rsidRPr="005C6ABA" w:rsidRDefault="007E28F2" w:rsidP="00872FD2">
            <w:pPr>
              <w:spacing w:after="0" w:line="240" w:lineRule="auto"/>
              <w:rPr>
                <w:rFonts w:asciiTheme="minorHAnsi" w:eastAsia="Times New Roman" w:hAnsiTheme="minorHAnsi" w:cstheme="minorHAnsi"/>
                <w:b/>
                <w:bCs/>
                <w:color w:val="000000"/>
                <w:sz w:val="24"/>
                <w:szCs w:val="24"/>
              </w:rPr>
            </w:pPr>
          </w:p>
        </w:tc>
        <w:tc>
          <w:tcPr>
            <w:tcW w:w="1113" w:type="dxa"/>
            <w:hideMark/>
          </w:tcPr>
          <w:p w:rsidR="007E28F2" w:rsidRPr="005C6ABA" w:rsidRDefault="007E28F2"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P</w:t>
            </w:r>
          </w:p>
        </w:tc>
        <w:tc>
          <w:tcPr>
            <w:tcW w:w="4561" w:type="dxa"/>
            <w:noWrap/>
            <w:hideMark/>
          </w:tcPr>
          <w:p w:rsidR="007E28F2" w:rsidRPr="005C6ABA" w:rsidRDefault="007E28F2" w:rsidP="00872FD2">
            <w:pPr>
              <w:spacing w:after="0" w:line="240" w:lineRule="auto"/>
              <w:jc w:val="center"/>
              <w:rPr>
                <w:rFonts w:asciiTheme="minorHAnsi" w:eastAsia="Times New Roman" w:hAnsiTheme="minorHAnsi" w:cstheme="minorHAnsi"/>
                <w:color w:val="000000"/>
                <w:sz w:val="24"/>
                <w:szCs w:val="24"/>
              </w:rPr>
            </w:pPr>
            <w:r w:rsidRPr="005C6ABA">
              <w:rPr>
                <w:rFonts w:asciiTheme="minorHAnsi" w:eastAsia="Times New Roman" w:hAnsiTheme="minorHAnsi" w:cstheme="minorHAnsi"/>
                <w:color w:val="000000"/>
                <w:sz w:val="24"/>
                <w:szCs w:val="24"/>
              </w:rPr>
              <w:t>0,405</w:t>
            </w:r>
          </w:p>
        </w:tc>
      </w:tr>
    </w:tbl>
    <w:p w:rsidR="007E28F2" w:rsidRPr="005C6ABA" w:rsidRDefault="007E28F2" w:rsidP="005A464E">
      <w:pPr>
        <w:pStyle w:val="nouk"/>
      </w:pPr>
    </w:p>
    <w:p w:rsidR="007E28F2" w:rsidRDefault="007E28F2" w:rsidP="005A464E">
      <w:pPr>
        <w:pStyle w:val="nouk"/>
      </w:pPr>
      <w:r w:rsidRPr="005C6ABA">
        <w:t>Δεν υπήρξε σημαντική συσχέτιση μεταξύ της κλίμακας γνώσεων και των διαστάσεων ποιότητας ζωής, πριν την παρέμβαση.</w:t>
      </w:r>
      <w:r w:rsidRPr="005A464E">
        <w:t xml:space="preserve"> </w:t>
      </w:r>
    </w:p>
    <w:p w:rsidR="00F6061C" w:rsidRPr="005A464E" w:rsidRDefault="00F6061C" w:rsidP="005A464E">
      <w:pPr>
        <w:pStyle w:val="nouk"/>
      </w:pPr>
    </w:p>
    <w:p w:rsidR="00F6061C" w:rsidRPr="00EB0D4B" w:rsidRDefault="007E28F2" w:rsidP="005A464E">
      <w:pPr>
        <w:pStyle w:val="nouk"/>
      </w:pPr>
      <w:r w:rsidRPr="005A464E">
        <w:t xml:space="preserve">Στον πίνακα που ακολουθεί </w:t>
      </w:r>
      <w:r w:rsidR="00F6061C">
        <w:t>(Πίν 19</w:t>
      </w:r>
      <w:r w:rsidR="003729FD">
        <w:t xml:space="preserve">) </w:t>
      </w:r>
      <w:r w:rsidRPr="005A464E">
        <w:t xml:space="preserve">δίνονται οι συντελεστές συσχέτισης του </w:t>
      </w:r>
      <w:r w:rsidRPr="005A464E">
        <w:rPr>
          <w:lang w:val="en-US"/>
        </w:rPr>
        <w:t>Spearman</w:t>
      </w:r>
      <w:r w:rsidRPr="005A464E">
        <w:t xml:space="preserve"> μεταξύ των διαστάσεων ποιότητας ζωής και των διαστάσεων της κλίμακας συμμόρφωσης, πριν την παρέμβαση (στις αναλύσεις έχουν συμπεριληφθεί όλα τα άτομα ανεξαρτήτου ομάδας).</w:t>
      </w:r>
    </w:p>
    <w:p w:rsidR="009250AC" w:rsidRPr="00F918EC" w:rsidRDefault="00F6061C" w:rsidP="009250AC">
      <w:pPr>
        <w:pStyle w:val="nouk"/>
        <w:spacing w:line="480" w:lineRule="auto"/>
      </w:pPr>
      <w:r>
        <w:t>Πίνακας 19</w:t>
      </w:r>
      <w:r w:rsidR="009250AC" w:rsidRPr="00C7093D">
        <w:t xml:space="preserve"> </w:t>
      </w:r>
    </w:p>
    <w:p w:rsidR="003729FD" w:rsidRPr="00EB0D4B" w:rsidRDefault="009250AC" w:rsidP="00EB0D4B">
      <w:pPr>
        <w:pStyle w:val="nouk"/>
        <w:rPr>
          <w:i/>
        </w:rPr>
      </w:pPr>
      <w:r w:rsidRPr="008847F1">
        <w:rPr>
          <w:i/>
        </w:rPr>
        <w:t xml:space="preserve">Συντελεστές συσχέτισης του </w:t>
      </w:r>
      <w:r w:rsidRPr="008847F1">
        <w:rPr>
          <w:i/>
          <w:lang w:val="en-US"/>
        </w:rPr>
        <w:t>Spearman</w:t>
      </w:r>
      <w:r w:rsidRPr="008847F1">
        <w:rPr>
          <w:i/>
        </w:rPr>
        <w:t xml:space="preserve"> μεταξύ των διαστάσεων ποιότητας ζωής και των διαστάσεων της κλίμακας συμμόρφωσης, πριν την παρέμβαση (Ν=50)</w:t>
      </w:r>
    </w:p>
    <w:tbl>
      <w:tblPr>
        <w:tblStyle w:val="-41"/>
        <w:tblW w:w="7650" w:type="dxa"/>
        <w:jc w:val="center"/>
        <w:tblLook w:val="0420"/>
      </w:tblPr>
      <w:tblGrid>
        <w:gridCol w:w="1714"/>
        <w:gridCol w:w="330"/>
        <w:gridCol w:w="1544"/>
        <w:gridCol w:w="1543"/>
        <w:gridCol w:w="1197"/>
        <w:gridCol w:w="1322"/>
      </w:tblGrid>
      <w:tr w:rsidR="007E28F2" w:rsidRPr="00872FD2" w:rsidTr="00EB0D4B">
        <w:trPr>
          <w:cnfStyle w:val="100000000000"/>
          <w:trHeight w:val="270"/>
          <w:jc w:val="center"/>
        </w:trPr>
        <w:tc>
          <w:tcPr>
            <w:tcW w:w="2044" w:type="dxa"/>
            <w:gridSpan w:val="2"/>
            <w:hideMark/>
          </w:tcPr>
          <w:p w:rsidR="007E28F2" w:rsidRPr="00EB0D4B" w:rsidRDefault="007E28F2" w:rsidP="008847F1">
            <w:pPr>
              <w:spacing w:before="240" w:after="240" w:line="360" w:lineRule="auto"/>
              <w:rPr>
                <w:rFonts w:asciiTheme="minorHAnsi" w:eastAsia="Times New Roman" w:hAnsiTheme="minorHAnsi" w:cstheme="minorHAnsi"/>
                <w:bCs w:val="0"/>
                <w:color w:val="0070C0"/>
                <w:sz w:val="24"/>
                <w:szCs w:val="24"/>
              </w:rPr>
            </w:pPr>
            <w:r w:rsidRPr="00EB0D4B">
              <w:rPr>
                <w:rFonts w:asciiTheme="minorHAnsi" w:eastAsia="Times New Roman" w:hAnsiTheme="minorHAnsi" w:cstheme="minorHAnsi"/>
                <w:color w:val="0070C0"/>
                <w:sz w:val="24"/>
                <w:szCs w:val="24"/>
              </w:rPr>
              <w:t>Πριν την παρέμβαση</w:t>
            </w:r>
          </w:p>
        </w:tc>
        <w:tc>
          <w:tcPr>
            <w:tcW w:w="1544" w:type="dxa"/>
            <w:hideMark/>
          </w:tcPr>
          <w:p w:rsidR="007E28F2" w:rsidRPr="00C2256D" w:rsidRDefault="007E28F2" w:rsidP="00872FD2">
            <w:pPr>
              <w:spacing w:after="0" w:line="360" w:lineRule="auto"/>
              <w:jc w:val="center"/>
              <w:rPr>
                <w:rFonts w:asciiTheme="minorHAnsi" w:eastAsia="Times New Roman" w:hAnsiTheme="minorHAnsi" w:cstheme="minorHAnsi"/>
                <w:b w:val="0"/>
                <w:bCs w:val="0"/>
                <w:i/>
                <w:color w:val="000000"/>
              </w:rPr>
            </w:pPr>
            <w:r w:rsidRPr="00C2256D">
              <w:rPr>
                <w:rFonts w:asciiTheme="minorHAnsi" w:eastAsia="Times New Roman" w:hAnsiTheme="minorHAnsi" w:cstheme="minorHAnsi"/>
                <w:b w:val="0"/>
                <w:i/>
                <w:color w:val="000000"/>
              </w:rPr>
              <w:t>Κλίμακα συμμόρφωσης (</w:t>
            </w:r>
            <w:r w:rsidR="00271A35" w:rsidRPr="00C2256D">
              <w:rPr>
                <w:rFonts w:asciiTheme="minorHAnsi" w:eastAsia="Times New Roman" w:hAnsiTheme="minorHAnsi" w:cstheme="minorHAnsi"/>
                <w:b w:val="0"/>
                <w:i/>
                <w:color w:val="000000"/>
                <w:lang w:val="en-US"/>
              </w:rPr>
              <w:t>GR</w:t>
            </w:r>
            <w:r w:rsidR="00271A35" w:rsidRPr="00C2256D">
              <w:rPr>
                <w:rFonts w:asciiTheme="minorHAnsi" w:eastAsia="Times New Roman" w:hAnsiTheme="minorHAnsi" w:cstheme="minorHAnsi"/>
                <w:b w:val="0"/>
                <w:i/>
                <w:color w:val="000000"/>
              </w:rPr>
              <w:t>-</w:t>
            </w:r>
            <w:r w:rsidRPr="00C2256D">
              <w:rPr>
                <w:rFonts w:asciiTheme="minorHAnsi" w:eastAsia="Times New Roman" w:hAnsiTheme="minorHAnsi" w:cstheme="minorHAnsi"/>
                <w:b w:val="0"/>
                <w:i/>
                <w:color w:val="000000"/>
              </w:rPr>
              <w:t>SMAQ</w:t>
            </w:r>
            <w:r w:rsidR="00271A35" w:rsidRPr="00C2256D">
              <w:rPr>
                <w:rFonts w:asciiTheme="minorHAnsi" w:eastAsia="Times New Roman" w:hAnsiTheme="minorHAnsi" w:cstheme="minorHAnsi"/>
                <w:b w:val="0"/>
                <w:i/>
                <w:color w:val="000000"/>
              </w:rPr>
              <w:t>-</w:t>
            </w:r>
            <w:r w:rsidR="00271A35" w:rsidRPr="00C2256D">
              <w:rPr>
                <w:rFonts w:asciiTheme="minorHAnsi" w:eastAsia="Times New Roman" w:hAnsiTheme="minorHAnsi" w:cstheme="minorHAnsi"/>
                <w:b w:val="0"/>
                <w:i/>
                <w:color w:val="000000"/>
                <w:lang w:val="en-US"/>
              </w:rPr>
              <w:t>HD</w:t>
            </w:r>
            <w:r w:rsidRPr="00C2256D">
              <w:rPr>
                <w:rFonts w:asciiTheme="minorHAnsi" w:eastAsia="Times New Roman" w:hAnsiTheme="minorHAnsi" w:cstheme="minorHAnsi"/>
                <w:b w:val="0"/>
                <w:i/>
                <w:color w:val="000000"/>
              </w:rPr>
              <w:t>)</w:t>
            </w:r>
          </w:p>
        </w:tc>
        <w:tc>
          <w:tcPr>
            <w:tcW w:w="1543" w:type="dxa"/>
            <w:hideMark/>
          </w:tcPr>
          <w:p w:rsidR="007E28F2" w:rsidRPr="00C2256D" w:rsidRDefault="0076474F" w:rsidP="00872FD2">
            <w:pPr>
              <w:spacing w:after="0" w:line="360" w:lineRule="auto"/>
              <w:jc w:val="center"/>
              <w:rPr>
                <w:rFonts w:asciiTheme="minorHAnsi" w:eastAsia="Times New Roman" w:hAnsiTheme="minorHAnsi" w:cstheme="minorHAnsi"/>
                <w:b w:val="0"/>
                <w:bCs w:val="0"/>
                <w:i/>
                <w:color w:val="000000"/>
              </w:rPr>
            </w:pPr>
            <w:r w:rsidRPr="00C2256D">
              <w:rPr>
                <w:rFonts w:asciiTheme="minorHAnsi" w:eastAsia="Times New Roman" w:hAnsiTheme="minorHAnsi" w:cstheme="minorHAnsi"/>
                <w:b w:val="0"/>
                <w:i/>
                <w:color w:val="000000"/>
              </w:rPr>
              <w:t>Φαρμακευτική αγωγή</w:t>
            </w:r>
          </w:p>
        </w:tc>
        <w:tc>
          <w:tcPr>
            <w:tcW w:w="1197" w:type="dxa"/>
            <w:hideMark/>
          </w:tcPr>
          <w:p w:rsidR="007E28F2" w:rsidRPr="00C2256D" w:rsidRDefault="0076474F" w:rsidP="00872FD2">
            <w:pPr>
              <w:spacing w:after="0" w:line="360" w:lineRule="auto"/>
              <w:jc w:val="center"/>
              <w:rPr>
                <w:rFonts w:asciiTheme="minorHAnsi" w:eastAsia="Times New Roman" w:hAnsiTheme="minorHAnsi" w:cstheme="minorHAnsi"/>
                <w:b w:val="0"/>
                <w:bCs w:val="0"/>
                <w:i/>
                <w:color w:val="000000"/>
              </w:rPr>
            </w:pPr>
            <w:r w:rsidRPr="00C2256D">
              <w:rPr>
                <w:rFonts w:asciiTheme="minorHAnsi" w:eastAsia="Times New Roman" w:hAnsiTheme="minorHAnsi" w:cstheme="minorHAnsi"/>
                <w:b w:val="0"/>
                <w:i/>
                <w:color w:val="000000"/>
              </w:rPr>
              <w:t>Παρουσία στη συνεδρία</w:t>
            </w:r>
          </w:p>
        </w:tc>
        <w:tc>
          <w:tcPr>
            <w:tcW w:w="1322" w:type="dxa"/>
            <w:hideMark/>
          </w:tcPr>
          <w:p w:rsidR="007E28F2" w:rsidRPr="00C2256D" w:rsidRDefault="00271A35" w:rsidP="00872FD2">
            <w:pPr>
              <w:spacing w:after="0" w:line="360" w:lineRule="auto"/>
              <w:jc w:val="center"/>
              <w:rPr>
                <w:rFonts w:asciiTheme="minorHAnsi" w:eastAsia="Times New Roman" w:hAnsiTheme="minorHAnsi" w:cstheme="minorHAnsi"/>
                <w:b w:val="0"/>
                <w:bCs w:val="0"/>
                <w:i/>
                <w:color w:val="000000"/>
              </w:rPr>
            </w:pPr>
            <w:r w:rsidRPr="00C2256D">
              <w:rPr>
                <w:rFonts w:asciiTheme="minorHAnsi" w:eastAsia="Times New Roman" w:hAnsiTheme="minorHAnsi" w:cstheme="minorHAnsi"/>
                <w:b w:val="0"/>
                <w:i/>
                <w:color w:val="000000"/>
              </w:rPr>
              <w:t>Δίαιτ</w:t>
            </w:r>
            <w:r w:rsidR="0076474F" w:rsidRPr="00C2256D">
              <w:rPr>
                <w:rFonts w:asciiTheme="minorHAnsi" w:eastAsia="Times New Roman" w:hAnsiTheme="minorHAnsi" w:cstheme="minorHAnsi"/>
                <w:b w:val="0"/>
                <w:i/>
                <w:color w:val="000000"/>
              </w:rPr>
              <w:t>α/Υγρά</w:t>
            </w:r>
          </w:p>
        </w:tc>
      </w:tr>
      <w:tr w:rsidR="007E28F2" w:rsidRPr="00872FD2" w:rsidTr="00EB0D4B">
        <w:trPr>
          <w:cnfStyle w:val="000000100000"/>
          <w:trHeight w:val="270"/>
          <w:jc w:val="center"/>
        </w:trPr>
        <w:tc>
          <w:tcPr>
            <w:tcW w:w="1714" w:type="dxa"/>
            <w:vMerge w:val="restart"/>
            <w:hideMark/>
          </w:tcPr>
          <w:p w:rsidR="007E28F2" w:rsidRPr="00214D9E" w:rsidRDefault="0076474F" w:rsidP="00872FD2">
            <w:pPr>
              <w:spacing w:after="0" w:line="360" w:lineRule="auto"/>
              <w:rPr>
                <w:rFonts w:asciiTheme="minorHAnsi" w:eastAsia="Times New Roman" w:hAnsiTheme="minorHAnsi" w:cstheme="minorHAnsi"/>
                <w:b/>
                <w:bCs/>
                <w:i/>
                <w:color w:val="000000"/>
              </w:rPr>
            </w:pPr>
            <w:r w:rsidRPr="00214D9E">
              <w:rPr>
                <w:rFonts w:asciiTheme="minorHAnsi" w:eastAsia="Times New Roman" w:hAnsiTheme="minorHAnsi" w:cstheme="minorHAnsi"/>
                <w:i/>
                <w:color w:val="000000"/>
              </w:rPr>
              <w:t>Συμπτώματα</w:t>
            </w:r>
            <w:r w:rsidR="007E28F2" w:rsidRPr="00214D9E">
              <w:rPr>
                <w:rFonts w:asciiTheme="minorHAnsi" w:eastAsia="Times New Roman" w:hAnsiTheme="minorHAnsi" w:cstheme="minorHAnsi"/>
                <w:i/>
                <w:color w:val="000000"/>
              </w:rPr>
              <w:t xml:space="preserve"> </w:t>
            </w:r>
          </w:p>
        </w:tc>
        <w:tc>
          <w:tcPr>
            <w:tcW w:w="33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154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0,46</w:t>
            </w:r>
          </w:p>
        </w:tc>
        <w:tc>
          <w:tcPr>
            <w:tcW w:w="154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0,27</w:t>
            </w:r>
          </w:p>
        </w:tc>
        <w:tc>
          <w:tcPr>
            <w:tcW w:w="119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0,32</w:t>
            </w:r>
          </w:p>
        </w:tc>
        <w:tc>
          <w:tcPr>
            <w:tcW w:w="1322"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0,41</w:t>
            </w:r>
          </w:p>
        </w:tc>
      </w:tr>
      <w:tr w:rsidR="007E28F2" w:rsidRPr="00872FD2" w:rsidTr="00EB0D4B">
        <w:trPr>
          <w:cnfStyle w:val="000000010000"/>
          <w:trHeight w:val="270"/>
          <w:jc w:val="center"/>
        </w:trPr>
        <w:tc>
          <w:tcPr>
            <w:tcW w:w="1714" w:type="dxa"/>
            <w:vMerge/>
            <w:hideMark/>
          </w:tcPr>
          <w:p w:rsidR="007E28F2" w:rsidRPr="00214D9E" w:rsidRDefault="007E28F2" w:rsidP="00872FD2">
            <w:pPr>
              <w:spacing w:after="0" w:line="360" w:lineRule="auto"/>
              <w:rPr>
                <w:rFonts w:asciiTheme="minorHAnsi" w:eastAsia="Times New Roman" w:hAnsiTheme="minorHAnsi" w:cstheme="minorHAnsi"/>
                <w:b/>
                <w:bCs/>
                <w:i/>
                <w:color w:val="000000"/>
              </w:rPr>
            </w:pPr>
          </w:p>
        </w:tc>
        <w:tc>
          <w:tcPr>
            <w:tcW w:w="33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1544" w:type="dxa"/>
            <w:noWrap/>
            <w:hideMark/>
          </w:tcPr>
          <w:p w:rsidR="007E28F2" w:rsidRPr="00872FD2" w:rsidRDefault="007E28F2" w:rsidP="00872FD2">
            <w:pPr>
              <w:spacing w:after="0" w:line="360" w:lineRule="auto"/>
              <w:jc w:val="center"/>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0,001</w:t>
            </w:r>
          </w:p>
        </w:tc>
        <w:tc>
          <w:tcPr>
            <w:tcW w:w="154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0,062</w:t>
            </w:r>
          </w:p>
        </w:tc>
        <w:tc>
          <w:tcPr>
            <w:tcW w:w="1197" w:type="dxa"/>
            <w:noWrap/>
            <w:hideMark/>
          </w:tcPr>
          <w:p w:rsidR="007E28F2" w:rsidRPr="00872FD2" w:rsidRDefault="007E28F2" w:rsidP="00872FD2">
            <w:pPr>
              <w:spacing w:after="0" w:line="360" w:lineRule="auto"/>
              <w:jc w:val="center"/>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0,023</w:t>
            </w:r>
          </w:p>
        </w:tc>
        <w:tc>
          <w:tcPr>
            <w:tcW w:w="1322" w:type="dxa"/>
            <w:noWrap/>
            <w:hideMark/>
          </w:tcPr>
          <w:p w:rsidR="007E28F2" w:rsidRPr="00872FD2" w:rsidRDefault="007E28F2" w:rsidP="00872FD2">
            <w:pPr>
              <w:spacing w:after="0" w:line="360" w:lineRule="auto"/>
              <w:jc w:val="center"/>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0,003</w:t>
            </w:r>
          </w:p>
        </w:tc>
      </w:tr>
      <w:tr w:rsidR="007E28F2" w:rsidRPr="00872FD2" w:rsidTr="00EB0D4B">
        <w:trPr>
          <w:cnfStyle w:val="000000100000"/>
          <w:trHeight w:val="270"/>
          <w:jc w:val="center"/>
        </w:trPr>
        <w:tc>
          <w:tcPr>
            <w:tcW w:w="1714" w:type="dxa"/>
            <w:vMerge w:val="restart"/>
            <w:hideMark/>
          </w:tcPr>
          <w:p w:rsidR="007E28F2" w:rsidRPr="00214D9E" w:rsidRDefault="003A7874" w:rsidP="00872FD2">
            <w:pPr>
              <w:spacing w:after="0" w:line="360" w:lineRule="auto"/>
              <w:rPr>
                <w:rFonts w:asciiTheme="minorHAnsi" w:eastAsia="Times New Roman" w:hAnsiTheme="minorHAnsi" w:cstheme="minorHAnsi"/>
                <w:b/>
                <w:bCs/>
                <w:i/>
                <w:color w:val="000000"/>
              </w:rPr>
            </w:pPr>
            <w:r w:rsidRPr="00214D9E">
              <w:rPr>
                <w:rFonts w:asciiTheme="minorHAnsi" w:eastAsia="Times New Roman" w:hAnsiTheme="minorHAnsi" w:cstheme="minorHAnsi"/>
                <w:i/>
                <w:color w:val="000000"/>
              </w:rPr>
              <w:t>Λειτουργικότητα</w:t>
            </w:r>
            <w:r w:rsidR="007E28F2" w:rsidRPr="00214D9E">
              <w:rPr>
                <w:rFonts w:asciiTheme="minorHAnsi" w:eastAsia="Times New Roman" w:hAnsiTheme="minorHAnsi" w:cstheme="minorHAnsi"/>
                <w:i/>
                <w:color w:val="000000"/>
              </w:rPr>
              <w:t xml:space="preserve"> </w:t>
            </w:r>
          </w:p>
        </w:tc>
        <w:tc>
          <w:tcPr>
            <w:tcW w:w="33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154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-0,08</w:t>
            </w:r>
          </w:p>
        </w:tc>
        <w:tc>
          <w:tcPr>
            <w:tcW w:w="154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-0,13</w:t>
            </w:r>
          </w:p>
        </w:tc>
        <w:tc>
          <w:tcPr>
            <w:tcW w:w="119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-0,06</w:t>
            </w:r>
          </w:p>
        </w:tc>
        <w:tc>
          <w:tcPr>
            <w:tcW w:w="1322"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0,08</w:t>
            </w:r>
          </w:p>
        </w:tc>
      </w:tr>
      <w:tr w:rsidR="007E28F2" w:rsidRPr="00872FD2" w:rsidTr="00EB0D4B">
        <w:trPr>
          <w:cnfStyle w:val="000000010000"/>
          <w:trHeight w:val="270"/>
          <w:jc w:val="center"/>
        </w:trPr>
        <w:tc>
          <w:tcPr>
            <w:tcW w:w="1714" w:type="dxa"/>
            <w:vMerge/>
            <w:hideMark/>
          </w:tcPr>
          <w:p w:rsidR="007E28F2" w:rsidRPr="00214D9E" w:rsidRDefault="007E28F2" w:rsidP="00872FD2">
            <w:pPr>
              <w:spacing w:after="0" w:line="360" w:lineRule="auto"/>
              <w:rPr>
                <w:rFonts w:asciiTheme="minorHAnsi" w:eastAsia="Times New Roman" w:hAnsiTheme="minorHAnsi" w:cstheme="minorHAnsi"/>
                <w:b/>
                <w:bCs/>
                <w:i/>
                <w:color w:val="000000"/>
              </w:rPr>
            </w:pPr>
          </w:p>
        </w:tc>
        <w:tc>
          <w:tcPr>
            <w:tcW w:w="33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154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0,569</w:t>
            </w:r>
          </w:p>
        </w:tc>
        <w:tc>
          <w:tcPr>
            <w:tcW w:w="154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0,362</w:t>
            </w:r>
          </w:p>
        </w:tc>
        <w:tc>
          <w:tcPr>
            <w:tcW w:w="119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0,707</w:t>
            </w:r>
          </w:p>
        </w:tc>
        <w:tc>
          <w:tcPr>
            <w:tcW w:w="1322"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0,564</w:t>
            </w:r>
          </w:p>
        </w:tc>
      </w:tr>
      <w:tr w:rsidR="007E28F2" w:rsidRPr="00872FD2" w:rsidTr="00EB0D4B">
        <w:trPr>
          <w:cnfStyle w:val="000000100000"/>
          <w:trHeight w:val="270"/>
          <w:jc w:val="center"/>
        </w:trPr>
        <w:tc>
          <w:tcPr>
            <w:tcW w:w="1714" w:type="dxa"/>
            <w:vMerge w:val="restart"/>
            <w:hideMark/>
          </w:tcPr>
          <w:p w:rsidR="007E28F2" w:rsidRPr="00214D9E" w:rsidRDefault="00271A35" w:rsidP="00872FD2">
            <w:pPr>
              <w:spacing w:after="0" w:line="360" w:lineRule="auto"/>
              <w:rPr>
                <w:rFonts w:asciiTheme="minorHAnsi" w:eastAsia="Times New Roman" w:hAnsiTheme="minorHAnsi" w:cstheme="minorHAnsi"/>
                <w:b/>
                <w:bCs/>
                <w:i/>
                <w:color w:val="000000"/>
              </w:rPr>
            </w:pPr>
            <w:r w:rsidRPr="00214D9E">
              <w:rPr>
                <w:rFonts w:asciiTheme="minorHAnsi" w:eastAsia="Times New Roman" w:hAnsiTheme="minorHAnsi" w:cstheme="minorHAnsi"/>
                <w:i/>
                <w:color w:val="000000"/>
              </w:rPr>
              <w:t>Διαπροσωπικές σχέσεις</w:t>
            </w:r>
          </w:p>
        </w:tc>
        <w:tc>
          <w:tcPr>
            <w:tcW w:w="33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154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0,11</w:t>
            </w:r>
          </w:p>
        </w:tc>
        <w:tc>
          <w:tcPr>
            <w:tcW w:w="154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0,04</w:t>
            </w:r>
          </w:p>
        </w:tc>
        <w:tc>
          <w:tcPr>
            <w:tcW w:w="119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0,12</w:t>
            </w:r>
          </w:p>
        </w:tc>
        <w:tc>
          <w:tcPr>
            <w:tcW w:w="1322"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0,14</w:t>
            </w:r>
          </w:p>
        </w:tc>
      </w:tr>
      <w:tr w:rsidR="007E28F2" w:rsidRPr="00872FD2" w:rsidTr="00EB0D4B">
        <w:trPr>
          <w:cnfStyle w:val="000000010000"/>
          <w:trHeight w:val="270"/>
          <w:jc w:val="center"/>
        </w:trPr>
        <w:tc>
          <w:tcPr>
            <w:tcW w:w="1714" w:type="dxa"/>
            <w:vMerge/>
            <w:hideMark/>
          </w:tcPr>
          <w:p w:rsidR="007E28F2" w:rsidRPr="00214D9E" w:rsidRDefault="007E28F2" w:rsidP="00872FD2">
            <w:pPr>
              <w:spacing w:after="0" w:line="360" w:lineRule="auto"/>
              <w:rPr>
                <w:rFonts w:asciiTheme="minorHAnsi" w:eastAsia="Times New Roman" w:hAnsiTheme="minorHAnsi" w:cstheme="minorHAnsi"/>
                <w:b/>
                <w:bCs/>
                <w:i/>
                <w:color w:val="000000"/>
              </w:rPr>
            </w:pPr>
          </w:p>
        </w:tc>
        <w:tc>
          <w:tcPr>
            <w:tcW w:w="33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154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0,439</w:t>
            </w:r>
          </w:p>
        </w:tc>
        <w:tc>
          <w:tcPr>
            <w:tcW w:w="154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0,781</w:t>
            </w:r>
          </w:p>
        </w:tc>
        <w:tc>
          <w:tcPr>
            <w:tcW w:w="119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0,408</w:t>
            </w:r>
          </w:p>
        </w:tc>
        <w:tc>
          <w:tcPr>
            <w:tcW w:w="1322"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0,323</w:t>
            </w:r>
          </w:p>
        </w:tc>
      </w:tr>
      <w:tr w:rsidR="007E28F2" w:rsidRPr="00872FD2" w:rsidTr="00EB0D4B">
        <w:trPr>
          <w:cnfStyle w:val="000000100000"/>
          <w:trHeight w:val="270"/>
          <w:jc w:val="center"/>
        </w:trPr>
        <w:tc>
          <w:tcPr>
            <w:tcW w:w="1714" w:type="dxa"/>
            <w:vMerge w:val="restart"/>
            <w:hideMark/>
          </w:tcPr>
          <w:p w:rsidR="007E28F2" w:rsidRPr="00214D9E" w:rsidRDefault="003A7874" w:rsidP="00872FD2">
            <w:pPr>
              <w:spacing w:after="0" w:line="360" w:lineRule="auto"/>
              <w:rPr>
                <w:rFonts w:asciiTheme="minorHAnsi" w:eastAsia="Times New Roman" w:hAnsiTheme="minorHAnsi" w:cstheme="minorHAnsi"/>
                <w:b/>
                <w:bCs/>
                <w:i/>
                <w:color w:val="000000"/>
              </w:rPr>
            </w:pPr>
            <w:r w:rsidRPr="00214D9E">
              <w:rPr>
                <w:rFonts w:asciiTheme="minorHAnsi" w:eastAsia="Times New Roman" w:hAnsiTheme="minorHAnsi" w:cstheme="minorHAnsi"/>
                <w:i/>
                <w:color w:val="000000"/>
              </w:rPr>
              <w:t>Ευεξία</w:t>
            </w:r>
          </w:p>
        </w:tc>
        <w:tc>
          <w:tcPr>
            <w:tcW w:w="33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154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0,04</w:t>
            </w:r>
          </w:p>
        </w:tc>
        <w:tc>
          <w:tcPr>
            <w:tcW w:w="154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0,13</w:t>
            </w:r>
          </w:p>
        </w:tc>
        <w:tc>
          <w:tcPr>
            <w:tcW w:w="119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0,00</w:t>
            </w:r>
          </w:p>
        </w:tc>
        <w:tc>
          <w:tcPr>
            <w:tcW w:w="1322"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0,06</w:t>
            </w:r>
          </w:p>
        </w:tc>
      </w:tr>
      <w:tr w:rsidR="007E28F2" w:rsidRPr="00872FD2" w:rsidTr="00EB0D4B">
        <w:trPr>
          <w:cnfStyle w:val="000000010000"/>
          <w:trHeight w:val="270"/>
          <w:jc w:val="center"/>
        </w:trPr>
        <w:tc>
          <w:tcPr>
            <w:tcW w:w="1714" w:type="dxa"/>
            <w:vMerge/>
            <w:hideMark/>
          </w:tcPr>
          <w:p w:rsidR="007E28F2" w:rsidRPr="00214D9E" w:rsidRDefault="007E28F2" w:rsidP="00872FD2">
            <w:pPr>
              <w:spacing w:after="0" w:line="360" w:lineRule="auto"/>
              <w:rPr>
                <w:rFonts w:asciiTheme="minorHAnsi" w:eastAsia="Times New Roman" w:hAnsiTheme="minorHAnsi" w:cstheme="minorHAnsi"/>
                <w:b/>
                <w:bCs/>
                <w:i/>
                <w:color w:val="000000"/>
              </w:rPr>
            </w:pPr>
          </w:p>
        </w:tc>
        <w:tc>
          <w:tcPr>
            <w:tcW w:w="33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154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0,777</w:t>
            </w:r>
          </w:p>
        </w:tc>
        <w:tc>
          <w:tcPr>
            <w:tcW w:w="154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0,373</w:t>
            </w:r>
          </w:p>
        </w:tc>
        <w:tc>
          <w:tcPr>
            <w:tcW w:w="119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0,974</w:t>
            </w:r>
          </w:p>
        </w:tc>
        <w:tc>
          <w:tcPr>
            <w:tcW w:w="1322"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0,678</w:t>
            </w:r>
          </w:p>
        </w:tc>
      </w:tr>
      <w:tr w:rsidR="007E28F2" w:rsidRPr="00872FD2" w:rsidTr="00EB0D4B">
        <w:trPr>
          <w:cnfStyle w:val="000000100000"/>
          <w:trHeight w:val="270"/>
          <w:jc w:val="center"/>
        </w:trPr>
        <w:tc>
          <w:tcPr>
            <w:tcW w:w="1714" w:type="dxa"/>
            <w:vMerge w:val="restart"/>
            <w:hideMark/>
          </w:tcPr>
          <w:p w:rsidR="007E28F2" w:rsidRPr="00214D9E" w:rsidRDefault="00271A35" w:rsidP="00872FD2">
            <w:pPr>
              <w:spacing w:after="0" w:line="360" w:lineRule="auto"/>
              <w:rPr>
                <w:rFonts w:asciiTheme="minorHAnsi" w:eastAsia="Times New Roman" w:hAnsiTheme="minorHAnsi" w:cstheme="minorHAnsi"/>
                <w:b/>
                <w:bCs/>
                <w:i/>
                <w:color w:val="000000"/>
              </w:rPr>
            </w:pPr>
            <w:r w:rsidRPr="00214D9E">
              <w:rPr>
                <w:rFonts w:asciiTheme="minorHAnsi" w:eastAsia="Times New Roman" w:hAnsiTheme="minorHAnsi" w:cstheme="minorHAnsi"/>
                <w:i/>
                <w:color w:val="000000"/>
              </w:rPr>
              <w:t>Πνευματικότητα</w:t>
            </w:r>
          </w:p>
        </w:tc>
        <w:tc>
          <w:tcPr>
            <w:tcW w:w="33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154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-0,08</w:t>
            </w:r>
          </w:p>
        </w:tc>
        <w:tc>
          <w:tcPr>
            <w:tcW w:w="154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-0,08</w:t>
            </w:r>
          </w:p>
        </w:tc>
        <w:tc>
          <w:tcPr>
            <w:tcW w:w="119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0,03</w:t>
            </w:r>
          </w:p>
        </w:tc>
        <w:tc>
          <w:tcPr>
            <w:tcW w:w="1322"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-0,02</w:t>
            </w:r>
          </w:p>
        </w:tc>
      </w:tr>
      <w:tr w:rsidR="007E28F2" w:rsidRPr="00872FD2" w:rsidTr="00EB0D4B">
        <w:trPr>
          <w:cnfStyle w:val="000000010000"/>
          <w:trHeight w:val="270"/>
          <w:jc w:val="center"/>
        </w:trPr>
        <w:tc>
          <w:tcPr>
            <w:tcW w:w="1714" w:type="dxa"/>
            <w:vMerge/>
            <w:hideMark/>
          </w:tcPr>
          <w:p w:rsidR="007E28F2" w:rsidRPr="00872FD2" w:rsidRDefault="007E28F2" w:rsidP="00872FD2">
            <w:pPr>
              <w:spacing w:after="0" w:line="360" w:lineRule="auto"/>
              <w:rPr>
                <w:rFonts w:asciiTheme="minorHAnsi" w:eastAsia="Times New Roman" w:hAnsiTheme="minorHAnsi" w:cstheme="minorHAnsi"/>
                <w:b/>
                <w:bCs/>
                <w:color w:val="000000"/>
              </w:rPr>
            </w:pPr>
          </w:p>
        </w:tc>
        <w:tc>
          <w:tcPr>
            <w:tcW w:w="33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154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0,593</w:t>
            </w:r>
          </w:p>
        </w:tc>
        <w:tc>
          <w:tcPr>
            <w:tcW w:w="154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0,598</w:t>
            </w:r>
          </w:p>
        </w:tc>
        <w:tc>
          <w:tcPr>
            <w:tcW w:w="119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0,845</w:t>
            </w:r>
          </w:p>
        </w:tc>
        <w:tc>
          <w:tcPr>
            <w:tcW w:w="1322"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0,905</w:t>
            </w:r>
          </w:p>
        </w:tc>
      </w:tr>
      <w:tr w:rsidR="007E28F2" w:rsidRPr="00872FD2" w:rsidTr="00EB0D4B">
        <w:trPr>
          <w:cnfStyle w:val="000000100000"/>
          <w:trHeight w:val="270"/>
          <w:jc w:val="center"/>
        </w:trPr>
        <w:tc>
          <w:tcPr>
            <w:tcW w:w="1714" w:type="dxa"/>
            <w:vMerge w:val="restart"/>
            <w:hideMark/>
          </w:tcPr>
          <w:p w:rsidR="007E28F2" w:rsidRPr="00214D9E" w:rsidRDefault="005D7B76" w:rsidP="00872FD2">
            <w:pPr>
              <w:spacing w:after="0" w:line="360" w:lineRule="auto"/>
              <w:rPr>
                <w:rFonts w:asciiTheme="minorHAnsi" w:eastAsia="Times New Roman" w:hAnsiTheme="minorHAnsi" w:cstheme="minorHAnsi"/>
                <w:b/>
                <w:bCs/>
                <w:color w:val="000000"/>
              </w:rPr>
            </w:pPr>
            <w:r w:rsidRPr="00214D9E">
              <w:rPr>
                <w:rFonts w:asciiTheme="minorHAnsi" w:eastAsia="Times New Roman" w:hAnsiTheme="minorHAnsi" w:cstheme="minorHAnsi"/>
                <w:b/>
                <w:color w:val="000000"/>
              </w:rPr>
              <w:t>Συνολικό σκορ</w:t>
            </w:r>
            <w:r w:rsidR="007E28F2" w:rsidRPr="00214D9E">
              <w:rPr>
                <w:rFonts w:asciiTheme="minorHAnsi" w:eastAsia="Times New Roman" w:hAnsiTheme="minorHAnsi" w:cstheme="minorHAnsi"/>
                <w:b/>
                <w:color w:val="000000"/>
              </w:rPr>
              <w:t xml:space="preserve"> </w:t>
            </w:r>
          </w:p>
        </w:tc>
        <w:tc>
          <w:tcPr>
            <w:tcW w:w="33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154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0,14</w:t>
            </w:r>
          </w:p>
        </w:tc>
        <w:tc>
          <w:tcPr>
            <w:tcW w:w="154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0,08</w:t>
            </w:r>
          </w:p>
        </w:tc>
        <w:tc>
          <w:tcPr>
            <w:tcW w:w="119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0,09</w:t>
            </w:r>
          </w:p>
        </w:tc>
        <w:tc>
          <w:tcPr>
            <w:tcW w:w="1322"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0,23</w:t>
            </w:r>
          </w:p>
        </w:tc>
      </w:tr>
      <w:tr w:rsidR="007E28F2" w:rsidRPr="00872FD2" w:rsidTr="00EB0D4B">
        <w:trPr>
          <w:cnfStyle w:val="000000010000"/>
          <w:trHeight w:val="270"/>
          <w:jc w:val="center"/>
        </w:trPr>
        <w:tc>
          <w:tcPr>
            <w:tcW w:w="1714" w:type="dxa"/>
            <w:vMerge/>
            <w:hideMark/>
          </w:tcPr>
          <w:p w:rsidR="007E28F2" w:rsidRPr="00872FD2" w:rsidRDefault="007E28F2" w:rsidP="00872FD2">
            <w:pPr>
              <w:spacing w:after="0" w:line="360" w:lineRule="auto"/>
              <w:rPr>
                <w:rFonts w:asciiTheme="minorHAnsi" w:eastAsia="Times New Roman" w:hAnsiTheme="minorHAnsi" w:cstheme="minorHAnsi"/>
                <w:b/>
                <w:bCs/>
                <w:color w:val="000000"/>
              </w:rPr>
            </w:pPr>
          </w:p>
        </w:tc>
        <w:tc>
          <w:tcPr>
            <w:tcW w:w="33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1544"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0,326</w:t>
            </w:r>
          </w:p>
        </w:tc>
        <w:tc>
          <w:tcPr>
            <w:tcW w:w="154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0,592</w:t>
            </w:r>
          </w:p>
        </w:tc>
        <w:tc>
          <w:tcPr>
            <w:tcW w:w="119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0,558</w:t>
            </w:r>
          </w:p>
        </w:tc>
        <w:tc>
          <w:tcPr>
            <w:tcW w:w="1322"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0,110</w:t>
            </w:r>
          </w:p>
        </w:tc>
      </w:tr>
    </w:tbl>
    <w:p w:rsidR="007E28F2" w:rsidRPr="005A464E" w:rsidRDefault="007E28F2" w:rsidP="005A464E">
      <w:pPr>
        <w:pStyle w:val="nouk"/>
      </w:pPr>
    </w:p>
    <w:p w:rsidR="00271A35" w:rsidRPr="005D7B76" w:rsidRDefault="005D7B76" w:rsidP="005A464E">
      <w:pPr>
        <w:pStyle w:val="nouk"/>
      </w:pPr>
      <w:r>
        <w:rPr>
          <w:b/>
        </w:rPr>
        <w:t>Συσχέτιση μεταξύ των μεταβολώ</w:t>
      </w:r>
      <w:r w:rsidR="00271A35" w:rsidRPr="005A464E">
        <w:rPr>
          <w:b/>
        </w:rPr>
        <w:t>ν των κλιμάκων της μελέτης στην ομάδα παρέμβασης</w:t>
      </w:r>
    </w:p>
    <w:p w:rsidR="007E28F2" w:rsidRPr="001A15D2" w:rsidRDefault="007E28F2" w:rsidP="005A464E">
      <w:pPr>
        <w:pStyle w:val="nouk"/>
      </w:pPr>
      <w:r w:rsidRPr="005A464E">
        <w:t xml:space="preserve">Στον πίνακα που ακολουθεί </w:t>
      </w:r>
      <w:r w:rsidR="00F6061C">
        <w:t>(Πίν 20</w:t>
      </w:r>
      <w:r w:rsidR="003729FD">
        <w:t xml:space="preserve">) </w:t>
      </w:r>
      <w:r w:rsidRPr="005A464E">
        <w:t xml:space="preserve">δίνονται οι συντελεστές συσχέτισης του </w:t>
      </w:r>
      <w:r w:rsidRPr="005A464E">
        <w:rPr>
          <w:lang w:val="en-US"/>
        </w:rPr>
        <w:t>Spearman</w:t>
      </w:r>
      <w:r w:rsidRPr="005A464E">
        <w:t xml:space="preserve"> μεταξύ των μεταβολών της κλίμακας γνώσεων και των διαστάσεων της κλίμακας συμμόρφωσης (στις αναλύσεις έχουν συμπεριληφθεί </w:t>
      </w:r>
      <w:r w:rsidRPr="005A464E">
        <w:rPr>
          <w:b/>
        </w:rPr>
        <w:t>μόνο</w:t>
      </w:r>
      <w:r w:rsidRPr="005A464E">
        <w:t xml:space="preserve"> </w:t>
      </w:r>
      <w:r w:rsidRPr="005A464E">
        <w:rPr>
          <w:b/>
        </w:rPr>
        <w:t>τα άτομα της ομάδας παρέμβασης</w:t>
      </w:r>
      <w:r w:rsidRPr="005A464E">
        <w:t>).</w:t>
      </w:r>
    </w:p>
    <w:p w:rsidR="00F6061C" w:rsidRDefault="00F6061C" w:rsidP="009250AC">
      <w:pPr>
        <w:pStyle w:val="nouk"/>
      </w:pPr>
    </w:p>
    <w:p w:rsidR="009250AC" w:rsidRPr="00F918EC" w:rsidRDefault="00F6061C" w:rsidP="009250AC">
      <w:pPr>
        <w:pStyle w:val="nouk"/>
      </w:pPr>
      <w:r>
        <w:t>Πίνακας 20</w:t>
      </w:r>
    </w:p>
    <w:p w:rsidR="003E649A" w:rsidRPr="00EB0D4B" w:rsidRDefault="009250AC" w:rsidP="005A464E">
      <w:pPr>
        <w:pStyle w:val="nouk"/>
        <w:rPr>
          <w:i/>
        </w:rPr>
      </w:pPr>
      <w:r w:rsidRPr="008847F1">
        <w:rPr>
          <w:i/>
        </w:rPr>
        <w:t xml:space="preserve">Συντελεστές συσχέτισης του </w:t>
      </w:r>
      <w:r w:rsidRPr="008847F1">
        <w:rPr>
          <w:i/>
          <w:lang w:val="en-US"/>
        </w:rPr>
        <w:t>Spearman</w:t>
      </w:r>
      <w:r w:rsidRPr="008847F1">
        <w:rPr>
          <w:i/>
        </w:rPr>
        <w:t xml:space="preserve"> μεταξύ των μεταβολών της κλίμακας γνώσεων και των διαστάσεων της κλίμακας συμμόρφωσης (ομάδα παρέμβασης Ν=25).</w:t>
      </w:r>
    </w:p>
    <w:tbl>
      <w:tblPr>
        <w:tblStyle w:val="-41"/>
        <w:tblW w:w="6187" w:type="dxa"/>
        <w:jc w:val="center"/>
        <w:tblLook w:val="0400"/>
      </w:tblPr>
      <w:tblGrid>
        <w:gridCol w:w="4534"/>
        <w:gridCol w:w="337"/>
        <w:gridCol w:w="1316"/>
      </w:tblGrid>
      <w:tr w:rsidR="007E28F2" w:rsidRPr="00872FD2" w:rsidTr="005C6ABA">
        <w:trPr>
          <w:cnfStyle w:val="000000100000"/>
          <w:trHeight w:val="270"/>
          <w:jc w:val="center"/>
        </w:trPr>
        <w:tc>
          <w:tcPr>
            <w:tcW w:w="4871" w:type="dxa"/>
            <w:gridSpan w:val="2"/>
            <w:vAlign w:val="center"/>
            <w:hideMark/>
          </w:tcPr>
          <w:p w:rsidR="007E28F2" w:rsidRPr="00EB0D4B" w:rsidRDefault="007E28F2" w:rsidP="005C6ABA">
            <w:pPr>
              <w:spacing w:before="240" w:after="240" w:line="360" w:lineRule="auto"/>
              <w:rPr>
                <w:rFonts w:asciiTheme="minorHAnsi" w:eastAsia="Times New Roman" w:hAnsiTheme="minorHAnsi" w:cstheme="minorHAnsi"/>
                <w:b/>
                <w:bCs/>
                <w:color w:val="C00000"/>
                <w:sz w:val="24"/>
                <w:szCs w:val="24"/>
              </w:rPr>
            </w:pPr>
            <w:r w:rsidRPr="00EB0D4B">
              <w:rPr>
                <w:rFonts w:asciiTheme="minorHAnsi" w:eastAsia="Times New Roman" w:hAnsiTheme="minorHAnsi" w:cstheme="minorHAnsi"/>
                <w:b/>
                <w:color w:val="C00000"/>
                <w:sz w:val="24"/>
                <w:szCs w:val="24"/>
              </w:rPr>
              <w:t>Μεταβολή</w:t>
            </w:r>
          </w:p>
        </w:tc>
        <w:tc>
          <w:tcPr>
            <w:tcW w:w="1316" w:type="dxa"/>
            <w:hideMark/>
          </w:tcPr>
          <w:p w:rsidR="007E28F2" w:rsidRPr="00872FD2" w:rsidRDefault="007E28F2" w:rsidP="00872FD2">
            <w:pPr>
              <w:spacing w:after="0" w:line="360" w:lineRule="auto"/>
              <w:jc w:val="center"/>
              <w:rPr>
                <w:rFonts w:asciiTheme="minorHAnsi" w:eastAsia="Times New Roman" w:hAnsiTheme="minorHAnsi" w:cstheme="minorHAnsi"/>
                <w:b/>
                <w:bCs/>
                <w:color w:val="000000"/>
              </w:rPr>
            </w:pPr>
            <w:r w:rsidRPr="00872FD2">
              <w:rPr>
                <w:rFonts w:asciiTheme="minorHAnsi" w:eastAsia="Times New Roman" w:hAnsiTheme="minorHAnsi" w:cstheme="minorHAnsi"/>
                <w:color w:val="000000"/>
              </w:rPr>
              <w:t>Βαθμολογία γνώσεων</w:t>
            </w:r>
          </w:p>
        </w:tc>
      </w:tr>
      <w:tr w:rsidR="007E28F2" w:rsidRPr="00872FD2" w:rsidTr="009250AC">
        <w:trPr>
          <w:cnfStyle w:val="000000010000"/>
          <w:trHeight w:val="270"/>
          <w:jc w:val="center"/>
        </w:trPr>
        <w:tc>
          <w:tcPr>
            <w:tcW w:w="4534" w:type="dxa"/>
            <w:vMerge w:val="restart"/>
            <w:hideMark/>
          </w:tcPr>
          <w:p w:rsidR="007E28F2" w:rsidRPr="00872FD2" w:rsidRDefault="007E28F2" w:rsidP="00872FD2">
            <w:pPr>
              <w:spacing w:after="0" w:line="360" w:lineRule="auto"/>
              <w:rPr>
                <w:rFonts w:asciiTheme="minorHAnsi" w:eastAsia="Times New Roman" w:hAnsiTheme="minorHAnsi" w:cstheme="minorHAnsi"/>
                <w:b/>
                <w:bCs/>
                <w:color w:val="000000"/>
              </w:rPr>
            </w:pPr>
            <w:r w:rsidRPr="00872FD2">
              <w:rPr>
                <w:rFonts w:asciiTheme="minorHAnsi" w:eastAsia="Times New Roman" w:hAnsiTheme="minorHAnsi" w:cstheme="minorHAnsi"/>
                <w:color w:val="000000"/>
              </w:rPr>
              <w:t>Κλίμακα συμμόρφωσης (</w:t>
            </w:r>
            <w:r w:rsidR="00271A35" w:rsidRPr="00872FD2">
              <w:rPr>
                <w:rFonts w:asciiTheme="minorHAnsi" w:eastAsia="Times New Roman" w:hAnsiTheme="minorHAnsi" w:cstheme="minorHAnsi"/>
                <w:color w:val="000000"/>
                <w:lang w:val="en-US"/>
              </w:rPr>
              <w:t>GR</w:t>
            </w:r>
            <w:r w:rsidR="00271A35" w:rsidRPr="00872FD2">
              <w:rPr>
                <w:rFonts w:asciiTheme="minorHAnsi" w:eastAsia="Times New Roman" w:hAnsiTheme="minorHAnsi" w:cstheme="minorHAnsi"/>
                <w:color w:val="000000"/>
              </w:rPr>
              <w:t>-</w:t>
            </w:r>
            <w:r w:rsidRPr="00872FD2">
              <w:rPr>
                <w:rFonts w:asciiTheme="minorHAnsi" w:eastAsia="Times New Roman" w:hAnsiTheme="minorHAnsi" w:cstheme="minorHAnsi"/>
                <w:color w:val="000000"/>
              </w:rPr>
              <w:t>SMAQ</w:t>
            </w:r>
            <w:r w:rsidR="00271A35" w:rsidRPr="00872FD2">
              <w:rPr>
                <w:rFonts w:asciiTheme="minorHAnsi" w:eastAsia="Times New Roman" w:hAnsiTheme="minorHAnsi" w:cstheme="minorHAnsi"/>
                <w:color w:val="000000"/>
              </w:rPr>
              <w:t>-</w:t>
            </w:r>
            <w:r w:rsidR="00271A35" w:rsidRPr="00872FD2">
              <w:rPr>
                <w:rFonts w:asciiTheme="minorHAnsi" w:eastAsia="Times New Roman" w:hAnsiTheme="minorHAnsi" w:cstheme="minorHAnsi"/>
                <w:color w:val="000000"/>
                <w:lang w:val="en-US"/>
              </w:rPr>
              <w:t>HD</w:t>
            </w:r>
            <w:r w:rsidRPr="00872FD2">
              <w:rPr>
                <w:rFonts w:asciiTheme="minorHAnsi" w:eastAsia="Times New Roman" w:hAnsiTheme="minorHAnsi" w:cstheme="minorHAnsi"/>
                <w:color w:val="000000"/>
              </w:rPr>
              <w:t xml:space="preserve">) </w:t>
            </w:r>
          </w:p>
        </w:tc>
        <w:tc>
          <w:tcPr>
            <w:tcW w:w="337"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1316" w:type="dxa"/>
            <w:noWrap/>
            <w:hideMark/>
          </w:tcPr>
          <w:p w:rsidR="007E28F2" w:rsidRPr="00872FD2" w:rsidRDefault="007E28F2" w:rsidP="00872FD2">
            <w:pPr>
              <w:spacing w:after="0" w:line="360" w:lineRule="auto"/>
              <w:contextualSpacing/>
              <w:jc w:val="center"/>
              <w:rPr>
                <w:rFonts w:asciiTheme="minorHAnsi" w:eastAsiaTheme="minorHAnsi" w:hAnsiTheme="minorHAnsi" w:cstheme="minorHAnsi"/>
                <w:color w:val="000000"/>
              </w:rPr>
            </w:pPr>
            <w:r w:rsidRPr="00872FD2">
              <w:rPr>
                <w:rFonts w:asciiTheme="minorHAnsi" w:eastAsiaTheme="minorHAnsi" w:hAnsiTheme="minorHAnsi" w:cstheme="minorHAnsi"/>
                <w:color w:val="000000"/>
              </w:rPr>
              <w:t>0,12</w:t>
            </w:r>
          </w:p>
        </w:tc>
      </w:tr>
      <w:tr w:rsidR="007E28F2" w:rsidRPr="00872FD2" w:rsidTr="009250AC">
        <w:trPr>
          <w:cnfStyle w:val="000000100000"/>
          <w:trHeight w:val="270"/>
          <w:jc w:val="center"/>
        </w:trPr>
        <w:tc>
          <w:tcPr>
            <w:tcW w:w="4534" w:type="dxa"/>
            <w:vMerge/>
            <w:hideMark/>
          </w:tcPr>
          <w:p w:rsidR="007E28F2" w:rsidRPr="00872FD2" w:rsidRDefault="007E28F2" w:rsidP="00872FD2">
            <w:pPr>
              <w:spacing w:after="0" w:line="360" w:lineRule="auto"/>
              <w:rPr>
                <w:rFonts w:asciiTheme="minorHAnsi" w:eastAsia="Times New Roman" w:hAnsiTheme="minorHAnsi" w:cstheme="minorHAnsi"/>
                <w:b/>
                <w:bCs/>
                <w:color w:val="000000"/>
              </w:rPr>
            </w:pPr>
          </w:p>
        </w:tc>
        <w:tc>
          <w:tcPr>
            <w:tcW w:w="337"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1316" w:type="dxa"/>
            <w:noWrap/>
            <w:hideMark/>
          </w:tcPr>
          <w:p w:rsidR="007E28F2" w:rsidRPr="00872FD2" w:rsidRDefault="007E28F2" w:rsidP="00872FD2">
            <w:pPr>
              <w:spacing w:after="0" w:line="360" w:lineRule="auto"/>
              <w:contextualSpacing/>
              <w:jc w:val="center"/>
              <w:rPr>
                <w:rFonts w:asciiTheme="minorHAnsi" w:eastAsiaTheme="minorHAnsi" w:hAnsiTheme="minorHAnsi" w:cstheme="minorHAnsi"/>
                <w:color w:val="000000"/>
              </w:rPr>
            </w:pPr>
            <w:r w:rsidRPr="00872FD2">
              <w:rPr>
                <w:rFonts w:asciiTheme="minorHAnsi" w:eastAsiaTheme="minorHAnsi" w:hAnsiTheme="minorHAnsi" w:cstheme="minorHAnsi"/>
                <w:color w:val="000000"/>
              </w:rPr>
              <w:t>0,563</w:t>
            </w:r>
          </w:p>
        </w:tc>
      </w:tr>
      <w:tr w:rsidR="007E28F2" w:rsidRPr="00872FD2" w:rsidTr="009250AC">
        <w:trPr>
          <w:cnfStyle w:val="000000010000"/>
          <w:trHeight w:val="270"/>
          <w:jc w:val="center"/>
        </w:trPr>
        <w:tc>
          <w:tcPr>
            <w:tcW w:w="4534" w:type="dxa"/>
            <w:vMerge w:val="restart"/>
            <w:hideMark/>
          </w:tcPr>
          <w:p w:rsidR="007E28F2" w:rsidRPr="00214D9E" w:rsidRDefault="0076474F" w:rsidP="00872FD2">
            <w:pPr>
              <w:spacing w:after="0" w:line="360" w:lineRule="auto"/>
              <w:rPr>
                <w:rFonts w:asciiTheme="minorHAnsi" w:eastAsia="Times New Roman" w:hAnsiTheme="minorHAnsi" w:cstheme="minorHAnsi"/>
                <w:b/>
                <w:bCs/>
                <w:i/>
                <w:color w:val="000000"/>
              </w:rPr>
            </w:pPr>
            <w:r w:rsidRPr="00214D9E">
              <w:rPr>
                <w:rFonts w:asciiTheme="minorHAnsi" w:eastAsia="Times New Roman" w:hAnsiTheme="minorHAnsi" w:cstheme="minorHAnsi"/>
                <w:i/>
                <w:color w:val="000000"/>
              </w:rPr>
              <w:t>Φαρμακευτική αγωγή</w:t>
            </w:r>
            <w:r w:rsidR="007E28F2" w:rsidRPr="00214D9E">
              <w:rPr>
                <w:rFonts w:asciiTheme="minorHAnsi" w:eastAsia="Times New Roman" w:hAnsiTheme="minorHAnsi" w:cstheme="minorHAnsi"/>
                <w:i/>
                <w:color w:val="000000"/>
              </w:rPr>
              <w:t xml:space="preserve"> </w:t>
            </w:r>
          </w:p>
        </w:tc>
        <w:tc>
          <w:tcPr>
            <w:tcW w:w="337"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1316" w:type="dxa"/>
            <w:noWrap/>
            <w:hideMark/>
          </w:tcPr>
          <w:p w:rsidR="007E28F2" w:rsidRPr="00872FD2" w:rsidRDefault="007E28F2" w:rsidP="00872FD2">
            <w:pPr>
              <w:spacing w:after="0" w:line="360" w:lineRule="auto"/>
              <w:contextualSpacing/>
              <w:jc w:val="center"/>
              <w:rPr>
                <w:rFonts w:asciiTheme="minorHAnsi" w:eastAsiaTheme="minorHAnsi" w:hAnsiTheme="minorHAnsi" w:cstheme="minorHAnsi"/>
                <w:color w:val="000000"/>
              </w:rPr>
            </w:pPr>
            <w:r w:rsidRPr="00872FD2">
              <w:rPr>
                <w:rFonts w:asciiTheme="minorHAnsi" w:eastAsiaTheme="minorHAnsi" w:hAnsiTheme="minorHAnsi" w:cstheme="minorHAnsi"/>
                <w:color w:val="000000"/>
              </w:rPr>
              <w:t>0,34</w:t>
            </w:r>
          </w:p>
        </w:tc>
      </w:tr>
      <w:tr w:rsidR="007E28F2" w:rsidRPr="00872FD2" w:rsidTr="009250AC">
        <w:trPr>
          <w:cnfStyle w:val="000000100000"/>
          <w:trHeight w:val="270"/>
          <w:jc w:val="center"/>
        </w:trPr>
        <w:tc>
          <w:tcPr>
            <w:tcW w:w="4534" w:type="dxa"/>
            <w:vMerge/>
            <w:hideMark/>
          </w:tcPr>
          <w:p w:rsidR="007E28F2" w:rsidRPr="00214D9E" w:rsidRDefault="007E28F2" w:rsidP="00872FD2">
            <w:pPr>
              <w:spacing w:after="0" w:line="360" w:lineRule="auto"/>
              <w:rPr>
                <w:rFonts w:asciiTheme="minorHAnsi" w:eastAsia="Times New Roman" w:hAnsiTheme="minorHAnsi" w:cstheme="minorHAnsi"/>
                <w:b/>
                <w:bCs/>
                <w:i/>
                <w:color w:val="000000"/>
              </w:rPr>
            </w:pPr>
          </w:p>
        </w:tc>
        <w:tc>
          <w:tcPr>
            <w:tcW w:w="337"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1316" w:type="dxa"/>
            <w:noWrap/>
            <w:hideMark/>
          </w:tcPr>
          <w:p w:rsidR="007E28F2" w:rsidRPr="00872FD2" w:rsidRDefault="007E28F2" w:rsidP="00872FD2">
            <w:pPr>
              <w:spacing w:after="0" w:line="360" w:lineRule="auto"/>
              <w:contextualSpacing/>
              <w:jc w:val="center"/>
              <w:rPr>
                <w:rFonts w:asciiTheme="minorHAnsi" w:eastAsiaTheme="minorHAnsi" w:hAnsiTheme="minorHAnsi" w:cstheme="minorHAnsi"/>
                <w:color w:val="000000"/>
              </w:rPr>
            </w:pPr>
            <w:r w:rsidRPr="00872FD2">
              <w:rPr>
                <w:rFonts w:asciiTheme="minorHAnsi" w:eastAsiaTheme="minorHAnsi" w:hAnsiTheme="minorHAnsi" w:cstheme="minorHAnsi"/>
                <w:color w:val="000000"/>
              </w:rPr>
              <w:t>0,092</w:t>
            </w:r>
          </w:p>
        </w:tc>
      </w:tr>
      <w:tr w:rsidR="007E28F2" w:rsidRPr="00872FD2" w:rsidTr="009250AC">
        <w:trPr>
          <w:cnfStyle w:val="000000010000"/>
          <w:trHeight w:val="270"/>
          <w:jc w:val="center"/>
        </w:trPr>
        <w:tc>
          <w:tcPr>
            <w:tcW w:w="4534" w:type="dxa"/>
            <w:vMerge w:val="restart"/>
            <w:hideMark/>
          </w:tcPr>
          <w:p w:rsidR="007E28F2" w:rsidRPr="00214D9E" w:rsidRDefault="00271A35" w:rsidP="00872FD2">
            <w:pPr>
              <w:spacing w:after="0" w:line="360" w:lineRule="auto"/>
              <w:rPr>
                <w:rFonts w:asciiTheme="minorHAnsi" w:eastAsia="Times New Roman" w:hAnsiTheme="minorHAnsi" w:cstheme="minorHAnsi"/>
                <w:b/>
                <w:bCs/>
                <w:i/>
                <w:color w:val="000000"/>
              </w:rPr>
            </w:pPr>
            <w:r w:rsidRPr="00214D9E">
              <w:rPr>
                <w:rFonts w:asciiTheme="minorHAnsi" w:eastAsia="Times New Roman" w:hAnsiTheme="minorHAnsi" w:cstheme="minorHAnsi"/>
                <w:i/>
                <w:color w:val="000000"/>
              </w:rPr>
              <w:t>Δίαι</w:t>
            </w:r>
            <w:r w:rsidR="0076474F" w:rsidRPr="00214D9E">
              <w:rPr>
                <w:rFonts w:asciiTheme="minorHAnsi" w:eastAsia="Times New Roman" w:hAnsiTheme="minorHAnsi" w:cstheme="minorHAnsi"/>
                <w:i/>
                <w:color w:val="000000"/>
              </w:rPr>
              <w:t>τα/Υγρά</w:t>
            </w:r>
            <w:r w:rsidR="007E28F2" w:rsidRPr="00214D9E">
              <w:rPr>
                <w:rFonts w:asciiTheme="minorHAnsi" w:eastAsia="Times New Roman" w:hAnsiTheme="minorHAnsi" w:cstheme="minorHAnsi"/>
                <w:i/>
                <w:color w:val="000000"/>
              </w:rPr>
              <w:t xml:space="preserve"> </w:t>
            </w:r>
          </w:p>
        </w:tc>
        <w:tc>
          <w:tcPr>
            <w:tcW w:w="337"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1316" w:type="dxa"/>
            <w:noWrap/>
            <w:hideMark/>
          </w:tcPr>
          <w:p w:rsidR="007E28F2" w:rsidRPr="00872FD2" w:rsidRDefault="007E28F2" w:rsidP="00872FD2">
            <w:pPr>
              <w:spacing w:after="0" w:line="360" w:lineRule="auto"/>
              <w:contextualSpacing/>
              <w:jc w:val="center"/>
              <w:rPr>
                <w:rFonts w:asciiTheme="minorHAnsi" w:eastAsiaTheme="minorHAnsi" w:hAnsiTheme="minorHAnsi" w:cstheme="minorHAnsi"/>
                <w:color w:val="000000"/>
              </w:rPr>
            </w:pPr>
            <w:r w:rsidRPr="00872FD2">
              <w:rPr>
                <w:rFonts w:asciiTheme="minorHAnsi" w:eastAsiaTheme="minorHAnsi" w:hAnsiTheme="minorHAnsi" w:cstheme="minorHAnsi"/>
                <w:color w:val="000000"/>
              </w:rPr>
              <w:t>0,00</w:t>
            </w:r>
          </w:p>
        </w:tc>
      </w:tr>
      <w:tr w:rsidR="007E28F2" w:rsidRPr="00872FD2" w:rsidTr="009250AC">
        <w:trPr>
          <w:cnfStyle w:val="000000100000"/>
          <w:trHeight w:val="270"/>
          <w:jc w:val="center"/>
        </w:trPr>
        <w:tc>
          <w:tcPr>
            <w:tcW w:w="4534" w:type="dxa"/>
            <w:vMerge/>
            <w:hideMark/>
          </w:tcPr>
          <w:p w:rsidR="007E28F2" w:rsidRPr="00872FD2" w:rsidRDefault="007E28F2" w:rsidP="00872FD2">
            <w:pPr>
              <w:spacing w:after="0" w:line="360" w:lineRule="auto"/>
              <w:rPr>
                <w:rFonts w:asciiTheme="minorHAnsi" w:eastAsia="Times New Roman" w:hAnsiTheme="minorHAnsi" w:cstheme="minorHAnsi"/>
                <w:b/>
                <w:bCs/>
                <w:color w:val="000000"/>
              </w:rPr>
            </w:pPr>
          </w:p>
        </w:tc>
        <w:tc>
          <w:tcPr>
            <w:tcW w:w="337"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1316" w:type="dxa"/>
            <w:noWrap/>
            <w:hideMark/>
          </w:tcPr>
          <w:p w:rsidR="007E28F2" w:rsidRPr="00872FD2" w:rsidRDefault="007E28F2" w:rsidP="00872FD2">
            <w:pPr>
              <w:spacing w:after="0" w:line="360" w:lineRule="auto"/>
              <w:contextualSpacing/>
              <w:jc w:val="center"/>
              <w:rPr>
                <w:rFonts w:asciiTheme="minorHAnsi" w:eastAsiaTheme="minorHAnsi" w:hAnsiTheme="minorHAnsi" w:cstheme="minorHAnsi"/>
                <w:color w:val="000000"/>
              </w:rPr>
            </w:pPr>
            <w:r w:rsidRPr="00872FD2">
              <w:rPr>
                <w:rFonts w:asciiTheme="minorHAnsi" w:eastAsiaTheme="minorHAnsi" w:hAnsiTheme="minorHAnsi" w:cstheme="minorHAnsi"/>
                <w:color w:val="000000"/>
              </w:rPr>
              <w:t>0,982</w:t>
            </w:r>
          </w:p>
        </w:tc>
      </w:tr>
    </w:tbl>
    <w:p w:rsidR="007E28F2" w:rsidRPr="005A464E" w:rsidRDefault="007E28F2" w:rsidP="005A464E">
      <w:pPr>
        <w:pStyle w:val="nouk"/>
      </w:pPr>
    </w:p>
    <w:p w:rsidR="001F0A07" w:rsidRPr="00001CDF" w:rsidRDefault="007E28F2" w:rsidP="005A464E">
      <w:pPr>
        <w:pStyle w:val="nouk"/>
      </w:pPr>
      <w:r w:rsidRPr="005A464E">
        <w:t xml:space="preserve"> Δεν υπήρξε σημαντική συσχέτιση μεταξύ της μεταβολής της κλίμακας γνώσεων και των μεταβολών των διαστάσεων της κλίμακας συμμόρφωσης. </w:t>
      </w:r>
    </w:p>
    <w:p w:rsidR="00EB0D4B" w:rsidRPr="00001CDF" w:rsidRDefault="00EB0D4B" w:rsidP="005A464E">
      <w:pPr>
        <w:pStyle w:val="nouk"/>
      </w:pPr>
    </w:p>
    <w:p w:rsidR="007E28F2" w:rsidRDefault="007E28F2" w:rsidP="005A464E">
      <w:pPr>
        <w:pStyle w:val="nouk"/>
      </w:pPr>
      <w:r w:rsidRPr="005A464E">
        <w:t>Στον πίνακα που ακολουθεί</w:t>
      </w:r>
      <w:r w:rsidR="00F6061C">
        <w:t xml:space="preserve"> (Πίν 21</w:t>
      </w:r>
      <w:r w:rsidR="003729FD">
        <w:t>)</w:t>
      </w:r>
      <w:r w:rsidRPr="005A464E">
        <w:t xml:space="preserve"> δίνονται οι συντελεστές συσχέτισης του </w:t>
      </w:r>
      <w:r w:rsidRPr="005A464E">
        <w:rPr>
          <w:lang w:val="en-US"/>
        </w:rPr>
        <w:t>Pearson</w:t>
      </w:r>
      <w:r w:rsidRPr="005A464E">
        <w:t xml:space="preserve"> μεταξύ των μεταβολών της κλίμακας γνώσεων και των διαστάσεων ποιότητας ζωής (στις αναλύσεις έχουν συμπεριληφθεί </w:t>
      </w:r>
      <w:r w:rsidRPr="005A464E">
        <w:rPr>
          <w:b/>
          <w:u w:val="single"/>
        </w:rPr>
        <w:t>μόνο</w:t>
      </w:r>
      <w:r w:rsidRPr="005A464E">
        <w:rPr>
          <w:b/>
        </w:rPr>
        <w:t xml:space="preserve"> τα άτομα της ομάδας παρέμβασης</w:t>
      </w:r>
      <w:r w:rsidRPr="005A464E">
        <w:t>).</w:t>
      </w:r>
    </w:p>
    <w:p w:rsidR="009250AC" w:rsidRDefault="009250AC" w:rsidP="009250AC">
      <w:pPr>
        <w:pStyle w:val="nouk"/>
        <w:rPr>
          <w:rFonts w:asciiTheme="minorHAnsi" w:eastAsiaTheme="minorHAnsi" w:hAnsiTheme="minorHAnsi" w:cstheme="minorHAnsi"/>
          <w:bCs/>
          <w:color w:val="000000"/>
        </w:rPr>
      </w:pPr>
    </w:p>
    <w:p w:rsidR="009250AC" w:rsidRPr="00F918EC" w:rsidRDefault="00F6061C" w:rsidP="009250AC">
      <w:pPr>
        <w:pStyle w:val="nouk"/>
        <w:rPr>
          <w:rFonts w:asciiTheme="minorHAnsi" w:eastAsiaTheme="minorHAnsi" w:hAnsiTheme="minorHAnsi" w:cstheme="minorHAnsi"/>
          <w:bCs/>
          <w:color w:val="000000"/>
        </w:rPr>
      </w:pPr>
      <w:r>
        <w:rPr>
          <w:rFonts w:asciiTheme="minorHAnsi" w:eastAsiaTheme="minorHAnsi" w:hAnsiTheme="minorHAnsi" w:cstheme="minorHAnsi"/>
          <w:bCs/>
          <w:color w:val="000000"/>
        </w:rPr>
        <w:t>Πίνακας 21</w:t>
      </w:r>
    </w:p>
    <w:p w:rsidR="009250AC" w:rsidRPr="009250AC" w:rsidRDefault="009250AC" w:rsidP="009250AC">
      <w:pPr>
        <w:pStyle w:val="nouk"/>
      </w:pPr>
      <w:r w:rsidRPr="008847F1">
        <w:rPr>
          <w:rFonts w:asciiTheme="minorHAnsi" w:eastAsiaTheme="minorHAnsi" w:hAnsiTheme="minorHAnsi" w:cstheme="minorHAnsi"/>
          <w:bCs/>
          <w:i/>
          <w:color w:val="000000"/>
        </w:rPr>
        <w:t xml:space="preserve">Συντελεστές συσχέτισης του </w:t>
      </w:r>
      <w:r w:rsidRPr="008847F1">
        <w:rPr>
          <w:rFonts w:asciiTheme="minorHAnsi" w:eastAsiaTheme="minorHAnsi" w:hAnsiTheme="minorHAnsi" w:cstheme="minorHAnsi"/>
          <w:bCs/>
          <w:i/>
          <w:color w:val="000000"/>
          <w:lang w:val="en-US"/>
        </w:rPr>
        <w:t>Pearson</w:t>
      </w:r>
      <w:r w:rsidRPr="008847F1">
        <w:rPr>
          <w:rFonts w:asciiTheme="minorHAnsi" w:eastAsiaTheme="minorHAnsi" w:hAnsiTheme="minorHAnsi" w:cstheme="minorHAnsi"/>
          <w:bCs/>
          <w:i/>
          <w:color w:val="000000"/>
        </w:rPr>
        <w:t xml:space="preserve"> μεταξύ των μεταβολών της κλίμακας γνώσεων και των διαστάσεων ποιότητας ζωής (ομάδα παρέμβασης Ν=25)</w:t>
      </w:r>
    </w:p>
    <w:tbl>
      <w:tblPr>
        <w:tblStyle w:val="-41"/>
        <w:tblW w:w="7921" w:type="dxa"/>
        <w:jc w:val="center"/>
        <w:tblLook w:val="0400"/>
      </w:tblPr>
      <w:tblGrid>
        <w:gridCol w:w="2790"/>
        <w:gridCol w:w="1189"/>
        <w:gridCol w:w="3942"/>
      </w:tblGrid>
      <w:tr w:rsidR="007E28F2" w:rsidRPr="00872FD2" w:rsidTr="000B03CC">
        <w:trPr>
          <w:cnfStyle w:val="000000100000"/>
          <w:trHeight w:val="270"/>
          <w:jc w:val="center"/>
        </w:trPr>
        <w:tc>
          <w:tcPr>
            <w:tcW w:w="3979" w:type="dxa"/>
            <w:gridSpan w:val="2"/>
            <w:hideMark/>
          </w:tcPr>
          <w:p w:rsidR="007E28F2" w:rsidRPr="00EB0D4B" w:rsidRDefault="007E28F2" w:rsidP="00872FD2">
            <w:pPr>
              <w:spacing w:after="0" w:line="360" w:lineRule="auto"/>
              <w:rPr>
                <w:rFonts w:asciiTheme="minorHAnsi" w:eastAsia="Times New Roman" w:hAnsiTheme="minorHAnsi" w:cstheme="minorHAnsi"/>
                <w:b/>
                <w:bCs/>
                <w:color w:val="0070C0"/>
                <w:sz w:val="24"/>
                <w:szCs w:val="24"/>
              </w:rPr>
            </w:pPr>
            <w:r w:rsidRPr="00EB0D4B">
              <w:rPr>
                <w:rFonts w:asciiTheme="minorHAnsi" w:eastAsia="Times New Roman" w:hAnsiTheme="minorHAnsi" w:cstheme="minorHAnsi"/>
                <w:b/>
                <w:color w:val="C00000"/>
                <w:sz w:val="24"/>
                <w:szCs w:val="24"/>
              </w:rPr>
              <w:t>Μεταβολή</w:t>
            </w:r>
          </w:p>
        </w:tc>
        <w:tc>
          <w:tcPr>
            <w:tcW w:w="3942" w:type="dxa"/>
            <w:hideMark/>
          </w:tcPr>
          <w:p w:rsidR="007E28F2" w:rsidRPr="00872FD2" w:rsidRDefault="007E28F2" w:rsidP="00872FD2">
            <w:pPr>
              <w:spacing w:after="0" w:line="360" w:lineRule="auto"/>
              <w:jc w:val="center"/>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Βαθμολογία γνώσεων</w:t>
            </w:r>
          </w:p>
        </w:tc>
      </w:tr>
      <w:tr w:rsidR="007E28F2" w:rsidRPr="00872FD2" w:rsidTr="000B03CC">
        <w:trPr>
          <w:cnfStyle w:val="000000010000"/>
          <w:trHeight w:val="270"/>
          <w:jc w:val="center"/>
        </w:trPr>
        <w:tc>
          <w:tcPr>
            <w:tcW w:w="2790" w:type="dxa"/>
            <w:vMerge w:val="restart"/>
            <w:hideMark/>
          </w:tcPr>
          <w:p w:rsidR="007E28F2" w:rsidRPr="00214D9E" w:rsidRDefault="0076474F" w:rsidP="00872FD2">
            <w:pPr>
              <w:spacing w:after="0" w:line="360" w:lineRule="auto"/>
              <w:rPr>
                <w:rFonts w:asciiTheme="minorHAnsi" w:eastAsia="Times New Roman" w:hAnsiTheme="minorHAnsi" w:cstheme="minorHAnsi"/>
                <w:bCs/>
                <w:i/>
                <w:color w:val="000000"/>
              </w:rPr>
            </w:pPr>
            <w:r w:rsidRPr="00214D9E">
              <w:rPr>
                <w:rFonts w:asciiTheme="minorHAnsi" w:eastAsia="Times New Roman" w:hAnsiTheme="minorHAnsi" w:cstheme="minorHAnsi"/>
                <w:i/>
                <w:color w:val="000000"/>
              </w:rPr>
              <w:t>Συμπτώματα</w:t>
            </w:r>
            <w:r w:rsidR="007E28F2" w:rsidRPr="00214D9E">
              <w:rPr>
                <w:rFonts w:asciiTheme="minorHAnsi" w:eastAsia="Times New Roman" w:hAnsiTheme="minorHAnsi" w:cstheme="minorHAnsi"/>
                <w:i/>
                <w:color w:val="000000"/>
              </w:rPr>
              <w:t xml:space="preserve"> </w:t>
            </w:r>
          </w:p>
        </w:tc>
        <w:tc>
          <w:tcPr>
            <w:tcW w:w="1189" w:type="dxa"/>
            <w:hideMark/>
          </w:tcPr>
          <w:p w:rsidR="007E28F2" w:rsidRPr="00872FD2" w:rsidRDefault="0081236A"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3942" w:type="dxa"/>
            <w:noWrap/>
            <w:hideMark/>
          </w:tcPr>
          <w:p w:rsidR="007E28F2" w:rsidRPr="00872FD2" w:rsidRDefault="007E28F2" w:rsidP="00872FD2">
            <w:pPr>
              <w:spacing w:after="0" w:line="360" w:lineRule="auto"/>
              <w:contextualSpacing/>
              <w:jc w:val="center"/>
              <w:rPr>
                <w:rFonts w:asciiTheme="minorHAnsi" w:eastAsiaTheme="minorHAnsi" w:hAnsiTheme="minorHAnsi" w:cstheme="minorHAnsi"/>
                <w:color w:val="000000"/>
              </w:rPr>
            </w:pPr>
            <w:r w:rsidRPr="00872FD2">
              <w:rPr>
                <w:rFonts w:asciiTheme="minorHAnsi" w:eastAsiaTheme="minorHAnsi" w:hAnsiTheme="minorHAnsi" w:cstheme="minorHAnsi"/>
                <w:color w:val="000000"/>
              </w:rPr>
              <w:t>-0,11</w:t>
            </w:r>
          </w:p>
        </w:tc>
      </w:tr>
      <w:tr w:rsidR="007E28F2" w:rsidRPr="00872FD2" w:rsidTr="000B03CC">
        <w:trPr>
          <w:cnfStyle w:val="000000100000"/>
          <w:trHeight w:val="270"/>
          <w:jc w:val="center"/>
        </w:trPr>
        <w:tc>
          <w:tcPr>
            <w:tcW w:w="2790" w:type="dxa"/>
            <w:vMerge/>
            <w:hideMark/>
          </w:tcPr>
          <w:p w:rsidR="007E28F2" w:rsidRPr="00214D9E" w:rsidRDefault="007E28F2" w:rsidP="00872FD2">
            <w:pPr>
              <w:spacing w:after="0" w:line="360" w:lineRule="auto"/>
              <w:rPr>
                <w:rFonts w:asciiTheme="minorHAnsi" w:eastAsia="Times New Roman" w:hAnsiTheme="minorHAnsi" w:cstheme="minorHAnsi"/>
                <w:bCs/>
                <w:i/>
                <w:color w:val="000000"/>
              </w:rPr>
            </w:pPr>
          </w:p>
        </w:tc>
        <w:tc>
          <w:tcPr>
            <w:tcW w:w="1189" w:type="dxa"/>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3942" w:type="dxa"/>
            <w:noWrap/>
            <w:hideMark/>
          </w:tcPr>
          <w:p w:rsidR="007E28F2" w:rsidRPr="00872FD2" w:rsidRDefault="007E28F2" w:rsidP="00872FD2">
            <w:pPr>
              <w:spacing w:after="0" w:line="360" w:lineRule="auto"/>
              <w:contextualSpacing/>
              <w:jc w:val="center"/>
              <w:rPr>
                <w:rFonts w:asciiTheme="minorHAnsi" w:eastAsiaTheme="minorHAnsi" w:hAnsiTheme="minorHAnsi" w:cstheme="minorHAnsi"/>
                <w:color w:val="000000"/>
              </w:rPr>
            </w:pPr>
            <w:r w:rsidRPr="00872FD2">
              <w:rPr>
                <w:rFonts w:asciiTheme="minorHAnsi" w:eastAsiaTheme="minorHAnsi" w:hAnsiTheme="minorHAnsi" w:cstheme="minorHAnsi"/>
                <w:color w:val="000000"/>
              </w:rPr>
              <w:t>0,599</w:t>
            </w:r>
          </w:p>
        </w:tc>
      </w:tr>
      <w:tr w:rsidR="007E28F2" w:rsidRPr="00872FD2" w:rsidTr="000B03CC">
        <w:trPr>
          <w:cnfStyle w:val="000000010000"/>
          <w:trHeight w:val="270"/>
          <w:jc w:val="center"/>
        </w:trPr>
        <w:tc>
          <w:tcPr>
            <w:tcW w:w="2790" w:type="dxa"/>
            <w:vMerge w:val="restart"/>
            <w:hideMark/>
          </w:tcPr>
          <w:p w:rsidR="007E28F2" w:rsidRPr="00214D9E" w:rsidRDefault="003A7874" w:rsidP="00872FD2">
            <w:pPr>
              <w:spacing w:after="0" w:line="360" w:lineRule="auto"/>
              <w:rPr>
                <w:rFonts w:asciiTheme="minorHAnsi" w:eastAsia="Times New Roman" w:hAnsiTheme="minorHAnsi" w:cstheme="minorHAnsi"/>
                <w:bCs/>
                <w:i/>
                <w:color w:val="000000"/>
              </w:rPr>
            </w:pPr>
            <w:r w:rsidRPr="00214D9E">
              <w:rPr>
                <w:rFonts w:asciiTheme="minorHAnsi" w:eastAsia="Times New Roman" w:hAnsiTheme="minorHAnsi" w:cstheme="minorHAnsi"/>
                <w:i/>
                <w:color w:val="000000"/>
              </w:rPr>
              <w:t>Λειτουργικότητα</w:t>
            </w:r>
            <w:r w:rsidR="007E28F2" w:rsidRPr="00214D9E">
              <w:rPr>
                <w:rFonts w:asciiTheme="minorHAnsi" w:eastAsia="Times New Roman" w:hAnsiTheme="minorHAnsi" w:cstheme="minorHAnsi"/>
                <w:i/>
                <w:color w:val="000000"/>
              </w:rPr>
              <w:t xml:space="preserve"> </w:t>
            </w:r>
          </w:p>
        </w:tc>
        <w:tc>
          <w:tcPr>
            <w:tcW w:w="1189" w:type="dxa"/>
            <w:hideMark/>
          </w:tcPr>
          <w:p w:rsidR="007E28F2" w:rsidRPr="00872FD2" w:rsidRDefault="0081236A"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3942" w:type="dxa"/>
            <w:noWrap/>
            <w:hideMark/>
          </w:tcPr>
          <w:p w:rsidR="007E28F2" w:rsidRPr="00872FD2" w:rsidRDefault="007E28F2" w:rsidP="00872FD2">
            <w:pPr>
              <w:spacing w:after="0" w:line="360" w:lineRule="auto"/>
              <w:contextualSpacing/>
              <w:jc w:val="center"/>
              <w:rPr>
                <w:rFonts w:asciiTheme="minorHAnsi" w:eastAsiaTheme="minorHAnsi" w:hAnsiTheme="minorHAnsi" w:cstheme="minorHAnsi"/>
                <w:color w:val="000000"/>
              </w:rPr>
            </w:pPr>
            <w:r w:rsidRPr="00872FD2">
              <w:rPr>
                <w:rFonts w:asciiTheme="minorHAnsi" w:eastAsiaTheme="minorHAnsi" w:hAnsiTheme="minorHAnsi" w:cstheme="minorHAnsi"/>
                <w:color w:val="000000"/>
              </w:rPr>
              <w:t>0,09</w:t>
            </w:r>
          </w:p>
        </w:tc>
      </w:tr>
      <w:tr w:rsidR="007E28F2" w:rsidRPr="00872FD2" w:rsidTr="000B03CC">
        <w:trPr>
          <w:cnfStyle w:val="000000100000"/>
          <w:trHeight w:val="270"/>
          <w:jc w:val="center"/>
        </w:trPr>
        <w:tc>
          <w:tcPr>
            <w:tcW w:w="2790" w:type="dxa"/>
            <w:vMerge/>
            <w:hideMark/>
          </w:tcPr>
          <w:p w:rsidR="007E28F2" w:rsidRPr="00214D9E" w:rsidRDefault="007E28F2" w:rsidP="00872FD2">
            <w:pPr>
              <w:spacing w:after="0" w:line="360" w:lineRule="auto"/>
              <w:rPr>
                <w:rFonts w:asciiTheme="minorHAnsi" w:eastAsia="Times New Roman" w:hAnsiTheme="minorHAnsi" w:cstheme="minorHAnsi"/>
                <w:bCs/>
                <w:i/>
                <w:color w:val="000000"/>
              </w:rPr>
            </w:pPr>
          </w:p>
        </w:tc>
        <w:tc>
          <w:tcPr>
            <w:tcW w:w="1189" w:type="dxa"/>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3942" w:type="dxa"/>
            <w:noWrap/>
            <w:hideMark/>
          </w:tcPr>
          <w:p w:rsidR="007E28F2" w:rsidRPr="00872FD2" w:rsidRDefault="007E28F2" w:rsidP="00872FD2">
            <w:pPr>
              <w:spacing w:after="0" w:line="360" w:lineRule="auto"/>
              <w:contextualSpacing/>
              <w:jc w:val="center"/>
              <w:rPr>
                <w:rFonts w:asciiTheme="minorHAnsi" w:eastAsiaTheme="minorHAnsi" w:hAnsiTheme="minorHAnsi" w:cstheme="minorHAnsi"/>
                <w:color w:val="000000"/>
              </w:rPr>
            </w:pPr>
            <w:r w:rsidRPr="00872FD2">
              <w:rPr>
                <w:rFonts w:asciiTheme="minorHAnsi" w:eastAsiaTheme="minorHAnsi" w:hAnsiTheme="minorHAnsi" w:cstheme="minorHAnsi"/>
                <w:color w:val="000000"/>
              </w:rPr>
              <w:t>0,669</w:t>
            </w:r>
          </w:p>
        </w:tc>
      </w:tr>
      <w:tr w:rsidR="007E28F2" w:rsidRPr="00872FD2" w:rsidTr="000B03CC">
        <w:trPr>
          <w:cnfStyle w:val="000000010000"/>
          <w:trHeight w:val="270"/>
          <w:jc w:val="center"/>
        </w:trPr>
        <w:tc>
          <w:tcPr>
            <w:tcW w:w="2790" w:type="dxa"/>
            <w:vMerge w:val="restart"/>
            <w:hideMark/>
          </w:tcPr>
          <w:p w:rsidR="007E28F2" w:rsidRPr="00214D9E" w:rsidRDefault="00271A35" w:rsidP="00872FD2">
            <w:pPr>
              <w:spacing w:after="0" w:line="360" w:lineRule="auto"/>
              <w:rPr>
                <w:rFonts w:asciiTheme="minorHAnsi" w:eastAsia="Times New Roman" w:hAnsiTheme="minorHAnsi" w:cstheme="minorHAnsi"/>
                <w:bCs/>
                <w:i/>
                <w:color w:val="000000"/>
              </w:rPr>
            </w:pPr>
            <w:r w:rsidRPr="00214D9E">
              <w:rPr>
                <w:rFonts w:asciiTheme="minorHAnsi" w:eastAsia="Times New Roman" w:hAnsiTheme="minorHAnsi" w:cstheme="minorHAnsi"/>
                <w:i/>
                <w:color w:val="000000"/>
              </w:rPr>
              <w:t>Διαπροσωπικές σχέσεις</w:t>
            </w:r>
          </w:p>
        </w:tc>
        <w:tc>
          <w:tcPr>
            <w:tcW w:w="1189" w:type="dxa"/>
            <w:hideMark/>
          </w:tcPr>
          <w:p w:rsidR="007E28F2" w:rsidRPr="00872FD2" w:rsidRDefault="0081236A"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3942" w:type="dxa"/>
            <w:noWrap/>
            <w:hideMark/>
          </w:tcPr>
          <w:p w:rsidR="007E28F2" w:rsidRPr="00872FD2" w:rsidRDefault="007E28F2" w:rsidP="00872FD2">
            <w:pPr>
              <w:spacing w:after="0" w:line="360" w:lineRule="auto"/>
              <w:contextualSpacing/>
              <w:jc w:val="center"/>
              <w:rPr>
                <w:rFonts w:asciiTheme="minorHAnsi" w:eastAsiaTheme="minorHAnsi" w:hAnsiTheme="minorHAnsi" w:cstheme="minorHAnsi"/>
                <w:color w:val="000000"/>
              </w:rPr>
            </w:pPr>
            <w:r w:rsidRPr="00872FD2">
              <w:rPr>
                <w:rFonts w:asciiTheme="minorHAnsi" w:eastAsiaTheme="minorHAnsi" w:hAnsiTheme="minorHAnsi" w:cstheme="minorHAnsi"/>
                <w:color w:val="000000"/>
              </w:rPr>
              <w:t>0,21</w:t>
            </w:r>
          </w:p>
        </w:tc>
      </w:tr>
      <w:tr w:rsidR="007E28F2" w:rsidRPr="00872FD2" w:rsidTr="000B03CC">
        <w:trPr>
          <w:cnfStyle w:val="000000100000"/>
          <w:trHeight w:val="270"/>
          <w:jc w:val="center"/>
        </w:trPr>
        <w:tc>
          <w:tcPr>
            <w:tcW w:w="2790" w:type="dxa"/>
            <w:vMerge/>
            <w:hideMark/>
          </w:tcPr>
          <w:p w:rsidR="007E28F2" w:rsidRPr="00214D9E" w:rsidRDefault="007E28F2" w:rsidP="00872FD2">
            <w:pPr>
              <w:spacing w:after="0" w:line="360" w:lineRule="auto"/>
              <w:rPr>
                <w:rFonts w:asciiTheme="minorHAnsi" w:eastAsia="Times New Roman" w:hAnsiTheme="minorHAnsi" w:cstheme="minorHAnsi"/>
                <w:bCs/>
                <w:i/>
                <w:color w:val="000000"/>
              </w:rPr>
            </w:pPr>
          </w:p>
        </w:tc>
        <w:tc>
          <w:tcPr>
            <w:tcW w:w="1189" w:type="dxa"/>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3942" w:type="dxa"/>
            <w:noWrap/>
            <w:hideMark/>
          </w:tcPr>
          <w:p w:rsidR="007E28F2" w:rsidRPr="00872FD2" w:rsidRDefault="007E28F2" w:rsidP="00872FD2">
            <w:pPr>
              <w:spacing w:after="0" w:line="360" w:lineRule="auto"/>
              <w:contextualSpacing/>
              <w:jc w:val="center"/>
              <w:rPr>
                <w:rFonts w:asciiTheme="minorHAnsi" w:eastAsiaTheme="minorHAnsi" w:hAnsiTheme="minorHAnsi" w:cstheme="minorHAnsi"/>
                <w:color w:val="000000"/>
              </w:rPr>
            </w:pPr>
            <w:r w:rsidRPr="00872FD2">
              <w:rPr>
                <w:rFonts w:asciiTheme="minorHAnsi" w:eastAsiaTheme="minorHAnsi" w:hAnsiTheme="minorHAnsi" w:cstheme="minorHAnsi"/>
                <w:color w:val="000000"/>
              </w:rPr>
              <w:t>0,325</w:t>
            </w:r>
          </w:p>
        </w:tc>
      </w:tr>
      <w:tr w:rsidR="007E28F2" w:rsidRPr="00872FD2" w:rsidTr="000B03CC">
        <w:trPr>
          <w:cnfStyle w:val="000000010000"/>
          <w:trHeight w:val="270"/>
          <w:jc w:val="center"/>
        </w:trPr>
        <w:tc>
          <w:tcPr>
            <w:tcW w:w="2790" w:type="dxa"/>
            <w:vMerge w:val="restart"/>
            <w:hideMark/>
          </w:tcPr>
          <w:p w:rsidR="007E28F2" w:rsidRPr="00214D9E" w:rsidRDefault="003A7874" w:rsidP="00872FD2">
            <w:pPr>
              <w:spacing w:after="0" w:line="360" w:lineRule="auto"/>
              <w:rPr>
                <w:rFonts w:asciiTheme="minorHAnsi" w:eastAsia="Times New Roman" w:hAnsiTheme="minorHAnsi" w:cstheme="minorHAnsi"/>
                <w:bCs/>
                <w:i/>
                <w:color w:val="000000"/>
              </w:rPr>
            </w:pPr>
            <w:r w:rsidRPr="00214D9E">
              <w:rPr>
                <w:rFonts w:asciiTheme="minorHAnsi" w:eastAsia="Times New Roman" w:hAnsiTheme="minorHAnsi" w:cstheme="minorHAnsi"/>
                <w:i/>
                <w:color w:val="000000"/>
              </w:rPr>
              <w:t>Ευεξία</w:t>
            </w:r>
            <w:r w:rsidR="007E28F2" w:rsidRPr="00214D9E">
              <w:rPr>
                <w:rFonts w:asciiTheme="minorHAnsi" w:eastAsia="Times New Roman" w:hAnsiTheme="minorHAnsi" w:cstheme="minorHAnsi"/>
                <w:i/>
                <w:color w:val="000000"/>
              </w:rPr>
              <w:t xml:space="preserve"> </w:t>
            </w:r>
          </w:p>
        </w:tc>
        <w:tc>
          <w:tcPr>
            <w:tcW w:w="1189" w:type="dxa"/>
            <w:hideMark/>
          </w:tcPr>
          <w:p w:rsidR="007E28F2" w:rsidRPr="00872FD2" w:rsidRDefault="0081236A"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3942" w:type="dxa"/>
            <w:noWrap/>
            <w:hideMark/>
          </w:tcPr>
          <w:p w:rsidR="007E28F2" w:rsidRPr="00872FD2" w:rsidRDefault="007E28F2" w:rsidP="00872FD2">
            <w:pPr>
              <w:spacing w:after="0" w:line="360" w:lineRule="auto"/>
              <w:contextualSpacing/>
              <w:jc w:val="center"/>
              <w:rPr>
                <w:rFonts w:asciiTheme="minorHAnsi" w:eastAsiaTheme="minorHAnsi" w:hAnsiTheme="minorHAnsi" w:cstheme="minorHAnsi"/>
                <w:color w:val="000000"/>
              </w:rPr>
            </w:pPr>
            <w:r w:rsidRPr="00872FD2">
              <w:rPr>
                <w:rFonts w:asciiTheme="minorHAnsi" w:eastAsiaTheme="minorHAnsi" w:hAnsiTheme="minorHAnsi" w:cstheme="minorHAnsi"/>
                <w:color w:val="000000"/>
              </w:rPr>
              <w:t>0,05</w:t>
            </w:r>
          </w:p>
        </w:tc>
      </w:tr>
      <w:tr w:rsidR="007E28F2" w:rsidRPr="00872FD2" w:rsidTr="000B03CC">
        <w:trPr>
          <w:cnfStyle w:val="000000100000"/>
          <w:trHeight w:val="270"/>
          <w:jc w:val="center"/>
        </w:trPr>
        <w:tc>
          <w:tcPr>
            <w:tcW w:w="2790" w:type="dxa"/>
            <w:vMerge/>
            <w:hideMark/>
          </w:tcPr>
          <w:p w:rsidR="007E28F2" w:rsidRPr="00214D9E" w:rsidRDefault="007E28F2" w:rsidP="00872FD2">
            <w:pPr>
              <w:spacing w:after="0" w:line="360" w:lineRule="auto"/>
              <w:rPr>
                <w:rFonts w:asciiTheme="minorHAnsi" w:eastAsia="Times New Roman" w:hAnsiTheme="minorHAnsi" w:cstheme="minorHAnsi"/>
                <w:bCs/>
                <w:i/>
                <w:color w:val="000000"/>
              </w:rPr>
            </w:pPr>
          </w:p>
        </w:tc>
        <w:tc>
          <w:tcPr>
            <w:tcW w:w="1189" w:type="dxa"/>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3942" w:type="dxa"/>
            <w:noWrap/>
            <w:hideMark/>
          </w:tcPr>
          <w:p w:rsidR="007E28F2" w:rsidRPr="00872FD2" w:rsidRDefault="007E28F2" w:rsidP="00872FD2">
            <w:pPr>
              <w:spacing w:after="0" w:line="360" w:lineRule="auto"/>
              <w:contextualSpacing/>
              <w:jc w:val="center"/>
              <w:rPr>
                <w:rFonts w:asciiTheme="minorHAnsi" w:eastAsiaTheme="minorHAnsi" w:hAnsiTheme="minorHAnsi" w:cstheme="minorHAnsi"/>
                <w:color w:val="000000"/>
              </w:rPr>
            </w:pPr>
            <w:r w:rsidRPr="00872FD2">
              <w:rPr>
                <w:rFonts w:asciiTheme="minorHAnsi" w:eastAsiaTheme="minorHAnsi" w:hAnsiTheme="minorHAnsi" w:cstheme="minorHAnsi"/>
                <w:color w:val="000000"/>
              </w:rPr>
              <w:t>0,827</w:t>
            </w:r>
          </w:p>
        </w:tc>
      </w:tr>
      <w:tr w:rsidR="007E28F2" w:rsidRPr="00872FD2" w:rsidTr="000B03CC">
        <w:trPr>
          <w:cnfStyle w:val="000000010000"/>
          <w:trHeight w:val="270"/>
          <w:jc w:val="center"/>
        </w:trPr>
        <w:tc>
          <w:tcPr>
            <w:tcW w:w="2790" w:type="dxa"/>
            <w:vMerge w:val="restart"/>
            <w:hideMark/>
          </w:tcPr>
          <w:p w:rsidR="007E28F2" w:rsidRPr="00214D9E" w:rsidRDefault="00271A35" w:rsidP="00872FD2">
            <w:pPr>
              <w:spacing w:after="0" w:line="360" w:lineRule="auto"/>
              <w:rPr>
                <w:rFonts w:asciiTheme="minorHAnsi" w:eastAsia="Times New Roman" w:hAnsiTheme="minorHAnsi" w:cstheme="minorHAnsi"/>
                <w:bCs/>
                <w:i/>
                <w:color w:val="000000"/>
              </w:rPr>
            </w:pPr>
            <w:r w:rsidRPr="00214D9E">
              <w:rPr>
                <w:rFonts w:asciiTheme="minorHAnsi" w:eastAsia="Times New Roman" w:hAnsiTheme="minorHAnsi" w:cstheme="minorHAnsi"/>
                <w:i/>
                <w:color w:val="000000"/>
              </w:rPr>
              <w:t>Πνευματικότητα</w:t>
            </w:r>
          </w:p>
        </w:tc>
        <w:tc>
          <w:tcPr>
            <w:tcW w:w="1189" w:type="dxa"/>
            <w:hideMark/>
          </w:tcPr>
          <w:p w:rsidR="007E28F2" w:rsidRPr="00872FD2" w:rsidRDefault="0081236A"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3942" w:type="dxa"/>
            <w:noWrap/>
            <w:hideMark/>
          </w:tcPr>
          <w:p w:rsidR="007E28F2" w:rsidRPr="00872FD2" w:rsidRDefault="007E28F2" w:rsidP="00872FD2">
            <w:pPr>
              <w:spacing w:after="0" w:line="360" w:lineRule="auto"/>
              <w:contextualSpacing/>
              <w:jc w:val="center"/>
              <w:rPr>
                <w:rFonts w:asciiTheme="minorHAnsi" w:eastAsiaTheme="minorHAnsi" w:hAnsiTheme="minorHAnsi" w:cstheme="minorHAnsi"/>
                <w:color w:val="000000"/>
              </w:rPr>
            </w:pPr>
            <w:r w:rsidRPr="00872FD2">
              <w:rPr>
                <w:rFonts w:asciiTheme="minorHAnsi" w:eastAsiaTheme="minorHAnsi" w:hAnsiTheme="minorHAnsi" w:cstheme="minorHAnsi"/>
                <w:color w:val="000000"/>
              </w:rPr>
              <w:t>0,06</w:t>
            </w:r>
          </w:p>
        </w:tc>
      </w:tr>
      <w:tr w:rsidR="007E28F2" w:rsidRPr="00872FD2" w:rsidTr="000B03CC">
        <w:trPr>
          <w:cnfStyle w:val="000000100000"/>
          <w:trHeight w:val="270"/>
          <w:jc w:val="center"/>
        </w:trPr>
        <w:tc>
          <w:tcPr>
            <w:tcW w:w="2790" w:type="dxa"/>
            <w:vMerge/>
            <w:hideMark/>
          </w:tcPr>
          <w:p w:rsidR="007E28F2" w:rsidRPr="00872FD2" w:rsidRDefault="007E28F2" w:rsidP="00872FD2">
            <w:pPr>
              <w:spacing w:after="0" w:line="360" w:lineRule="auto"/>
              <w:rPr>
                <w:rFonts w:asciiTheme="minorHAnsi" w:eastAsia="Times New Roman" w:hAnsiTheme="minorHAnsi" w:cstheme="minorHAnsi"/>
                <w:b/>
                <w:bCs/>
                <w:color w:val="000000"/>
              </w:rPr>
            </w:pPr>
          </w:p>
        </w:tc>
        <w:tc>
          <w:tcPr>
            <w:tcW w:w="1189" w:type="dxa"/>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3942" w:type="dxa"/>
            <w:noWrap/>
            <w:hideMark/>
          </w:tcPr>
          <w:p w:rsidR="007E28F2" w:rsidRPr="00872FD2" w:rsidRDefault="007E28F2" w:rsidP="00872FD2">
            <w:pPr>
              <w:spacing w:after="0" w:line="360" w:lineRule="auto"/>
              <w:contextualSpacing/>
              <w:jc w:val="center"/>
              <w:rPr>
                <w:rFonts w:asciiTheme="minorHAnsi" w:eastAsiaTheme="minorHAnsi" w:hAnsiTheme="minorHAnsi" w:cstheme="minorHAnsi"/>
                <w:color w:val="000000"/>
              </w:rPr>
            </w:pPr>
            <w:r w:rsidRPr="00872FD2">
              <w:rPr>
                <w:rFonts w:asciiTheme="minorHAnsi" w:eastAsiaTheme="minorHAnsi" w:hAnsiTheme="minorHAnsi" w:cstheme="minorHAnsi"/>
                <w:color w:val="000000"/>
              </w:rPr>
              <w:t>0,779</w:t>
            </w:r>
          </w:p>
        </w:tc>
      </w:tr>
      <w:tr w:rsidR="007E28F2" w:rsidRPr="00872FD2" w:rsidTr="000B03CC">
        <w:trPr>
          <w:cnfStyle w:val="000000010000"/>
          <w:trHeight w:val="270"/>
          <w:jc w:val="center"/>
        </w:trPr>
        <w:tc>
          <w:tcPr>
            <w:tcW w:w="2790" w:type="dxa"/>
            <w:vMerge w:val="restart"/>
            <w:hideMark/>
          </w:tcPr>
          <w:p w:rsidR="007E28F2" w:rsidRPr="00214D9E" w:rsidRDefault="005D7B76" w:rsidP="00872FD2">
            <w:pPr>
              <w:spacing w:after="0" w:line="360" w:lineRule="auto"/>
              <w:rPr>
                <w:rFonts w:asciiTheme="minorHAnsi" w:eastAsia="Times New Roman" w:hAnsiTheme="minorHAnsi" w:cstheme="minorHAnsi"/>
                <w:b/>
                <w:bCs/>
                <w:color w:val="000000"/>
              </w:rPr>
            </w:pPr>
            <w:r w:rsidRPr="00214D9E">
              <w:rPr>
                <w:rFonts w:asciiTheme="minorHAnsi" w:eastAsia="Times New Roman" w:hAnsiTheme="minorHAnsi" w:cstheme="minorHAnsi"/>
                <w:b/>
                <w:color w:val="000000"/>
              </w:rPr>
              <w:t>Συνολικό σκορ</w:t>
            </w:r>
            <w:r w:rsidR="007E28F2" w:rsidRPr="00214D9E">
              <w:rPr>
                <w:rFonts w:asciiTheme="minorHAnsi" w:eastAsia="Times New Roman" w:hAnsiTheme="minorHAnsi" w:cstheme="minorHAnsi"/>
                <w:b/>
                <w:color w:val="000000"/>
              </w:rPr>
              <w:t xml:space="preserve"> </w:t>
            </w:r>
          </w:p>
        </w:tc>
        <w:tc>
          <w:tcPr>
            <w:tcW w:w="1189" w:type="dxa"/>
            <w:hideMark/>
          </w:tcPr>
          <w:p w:rsidR="007E28F2" w:rsidRPr="00872FD2" w:rsidRDefault="0081236A"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3942" w:type="dxa"/>
            <w:noWrap/>
            <w:hideMark/>
          </w:tcPr>
          <w:p w:rsidR="007E28F2" w:rsidRPr="00872FD2" w:rsidRDefault="007E28F2" w:rsidP="00872FD2">
            <w:pPr>
              <w:spacing w:after="0" w:line="360" w:lineRule="auto"/>
              <w:contextualSpacing/>
              <w:jc w:val="center"/>
              <w:rPr>
                <w:rFonts w:asciiTheme="minorHAnsi" w:eastAsiaTheme="minorHAnsi" w:hAnsiTheme="minorHAnsi" w:cstheme="minorHAnsi"/>
                <w:color w:val="000000"/>
              </w:rPr>
            </w:pPr>
            <w:r w:rsidRPr="00872FD2">
              <w:rPr>
                <w:rFonts w:asciiTheme="minorHAnsi" w:eastAsiaTheme="minorHAnsi" w:hAnsiTheme="minorHAnsi" w:cstheme="minorHAnsi"/>
                <w:color w:val="000000"/>
              </w:rPr>
              <w:t>0,08</w:t>
            </w:r>
          </w:p>
        </w:tc>
      </w:tr>
      <w:tr w:rsidR="007E28F2" w:rsidRPr="00872FD2" w:rsidTr="000B03CC">
        <w:trPr>
          <w:cnfStyle w:val="000000100000"/>
          <w:trHeight w:val="270"/>
          <w:jc w:val="center"/>
        </w:trPr>
        <w:tc>
          <w:tcPr>
            <w:tcW w:w="2790" w:type="dxa"/>
            <w:vMerge/>
            <w:hideMark/>
          </w:tcPr>
          <w:p w:rsidR="007E28F2" w:rsidRPr="00872FD2" w:rsidRDefault="007E28F2" w:rsidP="00872FD2">
            <w:pPr>
              <w:spacing w:after="0" w:line="360" w:lineRule="auto"/>
              <w:rPr>
                <w:rFonts w:asciiTheme="minorHAnsi" w:eastAsia="Times New Roman" w:hAnsiTheme="minorHAnsi" w:cstheme="minorHAnsi"/>
                <w:b/>
                <w:bCs/>
                <w:color w:val="000000"/>
              </w:rPr>
            </w:pPr>
          </w:p>
        </w:tc>
        <w:tc>
          <w:tcPr>
            <w:tcW w:w="1189" w:type="dxa"/>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3942" w:type="dxa"/>
            <w:noWrap/>
            <w:hideMark/>
          </w:tcPr>
          <w:p w:rsidR="007E28F2" w:rsidRPr="00872FD2" w:rsidRDefault="007E28F2" w:rsidP="00872FD2">
            <w:pPr>
              <w:spacing w:after="0" w:line="360" w:lineRule="auto"/>
              <w:contextualSpacing/>
              <w:jc w:val="center"/>
              <w:rPr>
                <w:rFonts w:asciiTheme="minorHAnsi" w:eastAsiaTheme="minorHAnsi" w:hAnsiTheme="minorHAnsi" w:cstheme="minorHAnsi"/>
                <w:color w:val="000000"/>
              </w:rPr>
            </w:pPr>
            <w:r w:rsidRPr="00872FD2">
              <w:rPr>
                <w:rFonts w:asciiTheme="minorHAnsi" w:eastAsiaTheme="minorHAnsi" w:hAnsiTheme="minorHAnsi" w:cstheme="minorHAnsi"/>
                <w:color w:val="000000"/>
              </w:rPr>
              <w:t>0,696</w:t>
            </w:r>
          </w:p>
        </w:tc>
      </w:tr>
    </w:tbl>
    <w:p w:rsidR="007E28F2" w:rsidRPr="005A464E" w:rsidRDefault="007E28F2" w:rsidP="005A464E">
      <w:pPr>
        <w:pStyle w:val="nouk"/>
      </w:pPr>
    </w:p>
    <w:p w:rsidR="007E28F2" w:rsidRPr="005A464E" w:rsidRDefault="007E28F2" w:rsidP="005A464E">
      <w:pPr>
        <w:pStyle w:val="nouk"/>
      </w:pPr>
      <w:r w:rsidRPr="005A464E">
        <w:t xml:space="preserve">Δεν υπήρξε σημαντική συσχέτιση μεταξύ των μεταβολών της κλίμακας γνώσεων και των διαστάσεων ποιότητας ζωής. </w:t>
      </w:r>
    </w:p>
    <w:p w:rsidR="007E28F2" w:rsidRDefault="007E28F2" w:rsidP="005A464E">
      <w:pPr>
        <w:pStyle w:val="nouk"/>
      </w:pPr>
      <w:r w:rsidRPr="005A464E">
        <w:t>Στον πίνακα που ακολουθεί</w:t>
      </w:r>
      <w:r w:rsidR="00F6061C">
        <w:t xml:space="preserve"> (Πίν 22</w:t>
      </w:r>
      <w:r w:rsidR="003729FD">
        <w:t>)</w:t>
      </w:r>
      <w:r w:rsidRPr="005A464E">
        <w:t xml:space="preserve"> δίνονται οι συντελεστές συσχέτισης του </w:t>
      </w:r>
      <w:r w:rsidRPr="005A464E">
        <w:rPr>
          <w:lang w:val="en-US"/>
        </w:rPr>
        <w:t>Spearman</w:t>
      </w:r>
      <w:r w:rsidRPr="005A464E">
        <w:t xml:space="preserve"> μεταξύ των μεταβολών των διαστάσεων ποιότητας ζωής και των διαστάσεων της κλίμακας συμμόρφωσης, πριν την παρέμβαση (στις αναλύσεις έχουν συμπεριληφθεί </w:t>
      </w:r>
      <w:r w:rsidRPr="005A464E">
        <w:rPr>
          <w:b/>
        </w:rPr>
        <w:t>όλα τα άτομα ανεξαρτήτου ομάδας</w:t>
      </w:r>
      <w:r w:rsidRPr="005A464E">
        <w:t>).</w:t>
      </w:r>
    </w:p>
    <w:p w:rsidR="009250AC" w:rsidRDefault="009250AC" w:rsidP="005A464E">
      <w:pPr>
        <w:pStyle w:val="nouk"/>
      </w:pPr>
    </w:p>
    <w:p w:rsidR="009250AC" w:rsidRPr="00F918EC" w:rsidRDefault="00F6061C" w:rsidP="009250AC">
      <w:pPr>
        <w:pStyle w:val="nouk"/>
        <w:rPr>
          <w:rFonts w:asciiTheme="minorHAnsi" w:eastAsiaTheme="minorHAnsi" w:hAnsiTheme="minorHAnsi" w:cstheme="minorHAnsi"/>
          <w:bCs/>
          <w:color w:val="000000"/>
        </w:rPr>
      </w:pPr>
      <w:r>
        <w:rPr>
          <w:rFonts w:asciiTheme="minorHAnsi" w:eastAsiaTheme="minorHAnsi" w:hAnsiTheme="minorHAnsi" w:cstheme="minorHAnsi"/>
          <w:bCs/>
          <w:color w:val="000000"/>
        </w:rPr>
        <w:t>Πίνακας 22</w:t>
      </w:r>
    </w:p>
    <w:p w:rsidR="005D7B76" w:rsidRDefault="009250AC" w:rsidP="005A464E">
      <w:pPr>
        <w:pStyle w:val="nouk"/>
      </w:pPr>
      <w:r w:rsidRPr="008847F1">
        <w:rPr>
          <w:rFonts w:asciiTheme="minorHAnsi" w:eastAsiaTheme="minorHAnsi" w:hAnsiTheme="minorHAnsi" w:cstheme="minorHAnsi"/>
          <w:bCs/>
          <w:i/>
          <w:color w:val="000000"/>
        </w:rPr>
        <w:t>Μεταβολή των διαστάσεων ποιότητας ζωής και των διαστάσεων της κλίμακας συμμόρφωσης, πριν την παρέμβαση (Ν=50)</w:t>
      </w:r>
    </w:p>
    <w:tbl>
      <w:tblPr>
        <w:tblStyle w:val="-41"/>
        <w:tblW w:w="8096" w:type="dxa"/>
        <w:tblLook w:val="0400"/>
      </w:tblPr>
      <w:tblGrid>
        <w:gridCol w:w="2290"/>
        <w:gridCol w:w="330"/>
        <w:gridCol w:w="2087"/>
        <w:gridCol w:w="1647"/>
        <w:gridCol w:w="1742"/>
      </w:tblGrid>
      <w:tr w:rsidR="007E28F2" w:rsidRPr="00872FD2" w:rsidTr="005C6ABA">
        <w:trPr>
          <w:cnfStyle w:val="000000100000"/>
          <w:trHeight w:val="315"/>
        </w:trPr>
        <w:tc>
          <w:tcPr>
            <w:tcW w:w="2620" w:type="dxa"/>
            <w:gridSpan w:val="2"/>
            <w:vAlign w:val="center"/>
            <w:hideMark/>
          </w:tcPr>
          <w:p w:rsidR="007E28F2" w:rsidRPr="00EB0D4B" w:rsidRDefault="007E28F2" w:rsidP="005C6ABA">
            <w:pPr>
              <w:spacing w:after="0" w:line="360" w:lineRule="auto"/>
              <w:rPr>
                <w:rFonts w:asciiTheme="minorHAnsi" w:eastAsia="Times New Roman" w:hAnsiTheme="minorHAnsi" w:cstheme="minorHAnsi"/>
                <w:b/>
                <w:bCs/>
                <w:color w:val="C00000"/>
                <w:sz w:val="24"/>
                <w:szCs w:val="24"/>
              </w:rPr>
            </w:pPr>
            <w:r w:rsidRPr="00EB0D4B">
              <w:rPr>
                <w:rFonts w:asciiTheme="minorHAnsi" w:eastAsia="Times New Roman" w:hAnsiTheme="minorHAnsi" w:cstheme="minorHAnsi"/>
                <w:b/>
                <w:color w:val="C00000"/>
                <w:sz w:val="24"/>
                <w:szCs w:val="24"/>
              </w:rPr>
              <w:t>Μεταβολή</w:t>
            </w:r>
          </w:p>
        </w:tc>
        <w:tc>
          <w:tcPr>
            <w:tcW w:w="2087" w:type="dxa"/>
            <w:hideMark/>
          </w:tcPr>
          <w:p w:rsidR="007E28F2" w:rsidRPr="00C2256D" w:rsidRDefault="007E28F2" w:rsidP="00872FD2">
            <w:pPr>
              <w:spacing w:after="0" w:line="360" w:lineRule="auto"/>
              <w:jc w:val="center"/>
              <w:rPr>
                <w:rFonts w:asciiTheme="minorHAnsi" w:eastAsia="Times New Roman" w:hAnsiTheme="minorHAnsi" w:cstheme="minorHAnsi"/>
                <w:bCs/>
                <w:color w:val="000000"/>
              </w:rPr>
            </w:pPr>
            <w:r w:rsidRPr="00C2256D">
              <w:rPr>
                <w:rFonts w:asciiTheme="minorHAnsi" w:eastAsia="Times New Roman" w:hAnsiTheme="minorHAnsi" w:cstheme="minorHAnsi"/>
                <w:bCs/>
                <w:color w:val="000000"/>
              </w:rPr>
              <w:t>Κλίμακα συμμόρφωσης (</w:t>
            </w:r>
            <w:r w:rsidR="00271A35" w:rsidRPr="00C2256D">
              <w:rPr>
                <w:rFonts w:asciiTheme="minorHAnsi" w:eastAsia="Times New Roman" w:hAnsiTheme="minorHAnsi" w:cstheme="minorHAnsi"/>
                <w:bCs/>
                <w:color w:val="000000"/>
                <w:lang w:val="en-US"/>
              </w:rPr>
              <w:t>GR</w:t>
            </w:r>
            <w:r w:rsidR="00271A35" w:rsidRPr="00C2256D">
              <w:rPr>
                <w:rFonts w:asciiTheme="minorHAnsi" w:eastAsia="Times New Roman" w:hAnsiTheme="minorHAnsi" w:cstheme="minorHAnsi"/>
                <w:bCs/>
                <w:color w:val="000000"/>
              </w:rPr>
              <w:t>-</w:t>
            </w:r>
            <w:r w:rsidRPr="00C2256D">
              <w:rPr>
                <w:rFonts w:asciiTheme="minorHAnsi" w:eastAsia="Times New Roman" w:hAnsiTheme="minorHAnsi" w:cstheme="minorHAnsi"/>
                <w:bCs/>
                <w:color w:val="000000"/>
              </w:rPr>
              <w:t>SMAQ</w:t>
            </w:r>
            <w:r w:rsidR="00271A35" w:rsidRPr="00C2256D">
              <w:rPr>
                <w:rFonts w:asciiTheme="minorHAnsi" w:eastAsia="Times New Roman" w:hAnsiTheme="minorHAnsi" w:cstheme="minorHAnsi"/>
                <w:bCs/>
                <w:color w:val="000000"/>
              </w:rPr>
              <w:t>-</w:t>
            </w:r>
            <w:r w:rsidR="00271A35" w:rsidRPr="00C2256D">
              <w:rPr>
                <w:rFonts w:asciiTheme="minorHAnsi" w:eastAsia="Times New Roman" w:hAnsiTheme="minorHAnsi" w:cstheme="minorHAnsi"/>
                <w:bCs/>
                <w:color w:val="000000"/>
                <w:lang w:val="en-US"/>
              </w:rPr>
              <w:t>HD</w:t>
            </w:r>
            <w:r w:rsidRPr="00C2256D">
              <w:rPr>
                <w:rFonts w:asciiTheme="minorHAnsi" w:eastAsia="Times New Roman" w:hAnsiTheme="minorHAnsi" w:cstheme="minorHAnsi"/>
                <w:bCs/>
                <w:color w:val="000000"/>
              </w:rPr>
              <w:t>)</w:t>
            </w:r>
          </w:p>
        </w:tc>
        <w:tc>
          <w:tcPr>
            <w:tcW w:w="1647" w:type="dxa"/>
            <w:hideMark/>
          </w:tcPr>
          <w:p w:rsidR="007E28F2" w:rsidRPr="00214D9E" w:rsidRDefault="0076474F" w:rsidP="00872FD2">
            <w:pPr>
              <w:spacing w:after="0" w:line="360" w:lineRule="auto"/>
              <w:jc w:val="center"/>
              <w:rPr>
                <w:rFonts w:asciiTheme="minorHAnsi" w:eastAsia="Times New Roman" w:hAnsiTheme="minorHAnsi" w:cstheme="minorHAnsi"/>
                <w:bCs/>
                <w:i/>
                <w:color w:val="000000"/>
              </w:rPr>
            </w:pPr>
            <w:r w:rsidRPr="00214D9E">
              <w:rPr>
                <w:rFonts w:asciiTheme="minorHAnsi" w:eastAsia="Times New Roman" w:hAnsiTheme="minorHAnsi" w:cstheme="minorHAnsi"/>
                <w:bCs/>
                <w:i/>
                <w:color w:val="000000"/>
              </w:rPr>
              <w:t>Φαρμακευτική αγωγή</w:t>
            </w:r>
          </w:p>
        </w:tc>
        <w:tc>
          <w:tcPr>
            <w:tcW w:w="1742" w:type="dxa"/>
            <w:hideMark/>
          </w:tcPr>
          <w:p w:rsidR="007E28F2" w:rsidRPr="00214D9E" w:rsidRDefault="00271A35" w:rsidP="00872FD2">
            <w:pPr>
              <w:spacing w:after="0" w:line="360" w:lineRule="auto"/>
              <w:jc w:val="center"/>
              <w:rPr>
                <w:rFonts w:asciiTheme="minorHAnsi" w:eastAsia="Times New Roman" w:hAnsiTheme="minorHAnsi" w:cstheme="minorHAnsi"/>
                <w:bCs/>
                <w:i/>
                <w:color w:val="000000"/>
              </w:rPr>
            </w:pPr>
            <w:r w:rsidRPr="00214D9E">
              <w:rPr>
                <w:rFonts w:asciiTheme="minorHAnsi" w:eastAsia="Times New Roman" w:hAnsiTheme="minorHAnsi" w:cstheme="minorHAnsi"/>
                <w:bCs/>
                <w:i/>
                <w:color w:val="000000"/>
              </w:rPr>
              <w:t>Δίαι</w:t>
            </w:r>
            <w:r w:rsidR="0076474F" w:rsidRPr="00214D9E">
              <w:rPr>
                <w:rFonts w:asciiTheme="minorHAnsi" w:eastAsia="Times New Roman" w:hAnsiTheme="minorHAnsi" w:cstheme="minorHAnsi"/>
                <w:bCs/>
                <w:i/>
                <w:color w:val="000000"/>
              </w:rPr>
              <w:t>τα/Υγρά</w:t>
            </w:r>
          </w:p>
        </w:tc>
      </w:tr>
      <w:tr w:rsidR="007E28F2" w:rsidRPr="00872FD2" w:rsidTr="009250AC">
        <w:trPr>
          <w:cnfStyle w:val="000000010000"/>
          <w:trHeight w:val="315"/>
        </w:trPr>
        <w:tc>
          <w:tcPr>
            <w:tcW w:w="2290" w:type="dxa"/>
            <w:vMerge w:val="restart"/>
            <w:hideMark/>
          </w:tcPr>
          <w:p w:rsidR="007E28F2" w:rsidRPr="00214D9E" w:rsidRDefault="0076474F" w:rsidP="00872FD2">
            <w:pPr>
              <w:spacing w:after="0" w:line="360" w:lineRule="auto"/>
              <w:rPr>
                <w:rFonts w:asciiTheme="minorHAnsi" w:eastAsia="Times New Roman" w:hAnsiTheme="minorHAnsi" w:cstheme="minorHAnsi"/>
                <w:bCs/>
                <w:i/>
                <w:color w:val="000000"/>
              </w:rPr>
            </w:pPr>
            <w:r w:rsidRPr="00214D9E">
              <w:rPr>
                <w:rFonts w:asciiTheme="minorHAnsi" w:eastAsia="Times New Roman" w:hAnsiTheme="minorHAnsi" w:cstheme="minorHAnsi"/>
                <w:i/>
                <w:color w:val="000000"/>
              </w:rPr>
              <w:t>Συμπτώματα</w:t>
            </w:r>
          </w:p>
        </w:tc>
        <w:tc>
          <w:tcPr>
            <w:tcW w:w="33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208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0,38</w:t>
            </w:r>
          </w:p>
        </w:tc>
        <w:tc>
          <w:tcPr>
            <w:tcW w:w="164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0,06</w:t>
            </w:r>
          </w:p>
        </w:tc>
        <w:tc>
          <w:tcPr>
            <w:tcW w:w="1742"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0,35</w:t>
            </w:r>
          </w:p>
        </w:tc>
      </w:tr>
      <w:tr w:rsidR="007E28F2" w:rsidRPr="00872FD2" w:rsidTr="009250AC">
        <w:trPr>
          <w:cnfStyle w:val="000000100000"/>
          <w:trHeight w:val="315"/>
        </w:trPr>
        <w:tc>
          <w:tcPr>
            <w:tcW w:w="2290" w:type="dxa"/>
            <w:vMerge/>
            <w:hideMark/>
          </w:tcPr>
          <w:p w:rsidR="007E28F2" w:rsidRPr="00214D9E" w:rsidRDefault="007E28F2" w:rsidP="00872FD2">
            <w:pPr>
              <w:spacing w:after="0" w:line="360" w:lineRule="auto"/>
              <w:rPr>
                <w:rFonts w:asciiTheme="minorHAnsi" w:eastAsia="Times New Roman" w:hAnsiTheme="minorHAnsi" w:cstheme="minorHAnsi"/>
                <w:bCs/>
                <w:i/>
                <w:color w:val="000000"/>
              </w:rPr>
            </w:pPr>
          </w:p>
        </w:tc>
        <w:tc>
          <w:tcPr>
            <w:tcW w:w="33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208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0,068</w:t>
            </w:r>
          </w:p>
        </w:tc>
        <w:tc>
          <w:tcPr>
            <w:tcW w:w="164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0,786</w:t>
            </w:r>
          </w:p>
        </w:tc>
        <w:tc>
          <w:tcPr>
            <w:tcW w:w="1742"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0,089</w:t>
            </w:r>
          </w:p>
        </w:tc>
      </w:tr>
      <w:tr w:rsidR="007E28F2" w:rsidRPr="00872FD2" w:rsidTr="009250AC">
        <w:trPr>
          <w:cnfStyle w:val="000000010000"/>
          <w:trHeight w:val="315"/>
        </w:trPr>
        <w:tc>
          <w:tcPr>
            <w:tcW w:w="2290" w:type="dxa"/>
            <w:vMerge w:val="restart"/>
            <w:hideMark/>
          </w:tcPr>
          <w:p w:rsidR="007E28F2" w:rsidRPr="00214D9E" w:rsidRDefault="003A7874" w:rsidP="00872FD2">
            <w:pPr>
              <w:spacing w:after="0" w:line="360" w:lineRule="auto"/>
              <w:rPr>
                <w:rFonts w:asciiTheme="minorHAnsi" w:eastAsia="Times New Roman" w:hAnsiTheme="minorHAnsi" w:cstheme="minorHAnsi"/>
                <w:bCs/>
                <w:i/>
                <w:color w:val="000000"/>
              </w:rPr>
            </w:pPr>
            <w:r w:rsidRPr="00214D9E">
              <w:rPr>
                <w:rFonts w:asciiTheme="minorHAnsi" w:eastAsia="Times New Roman" w:hAnsiTheme="minorHAnsi" w:cstheme="minorHAnsi"/>
                <w:i/>
                <w:color w:val="000000"/>
              </w:rPr>
              <w:t>Λειτουργικότητα</w:t>
            </w:r>
            <w:r w:rsidR="007E28F2" w:rsidRPr="00214D9E">
              <w:rPr>
                <w:rFonts w:asciiTheme="minorHAnsi" w:eastAsia="Times New Roman" w:hAnsiTheme="minorHAnsi" w:cstheme="minorHAnsi"/>
                <w:i/>
                <w:color w:val="000000"/>
              </w:rPr>
              <w:t xml:space="preserve"> </w:t>
            </w:r>
          </w:p>
        </w:tc>
        <w:tc>
          <w:tcPr>
            <w:tcW w:w="33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208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-0,07</w:t>
            </w:r>
          </w:p>
        </w:tc>
        <w:tc>
          <w:tcPr>
            <w:tcW w:w="164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0,04</w:t>
            </w:r>
          </w:p>
        </w:tc>
        <w:tc>
          <w:tcPr>
            <w:tcW w:w="1742"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-0,11</w:t>
            </w:r>
          </w:p>
        </w:tc>
      </w:tr>
      <w:tr w:rsidR="007E28F2" w:rsidRPr="00872FD2" w:rsidTr="009250AC">
        <w:trPr>
          <w:cnfStyle w:val="000000100000"/>
          <w:trHeight w:val="315"/>
        </w:trPr>
        <w:tc>
          <w:tcPr>
            <w:tcW w:w="2290" w:type="dxa"/>
            <w:vMerge/>
            <w:hideMark/>
          </w:tcPr>
          <w:p w:rsidR="007E28F2" w:rsidRPr="00214D9E" w:rsidRDefault="007E28F2" w:rsidP="00872FD2">
            <w:pPr>
              <w:spacing w:after="0" w:line="360" w:lineRule="auto"/>
              <w:rPr>
                <w:rFonts w:asciiTheme="minorHAnsi" w:eastAsia="Times New Roman" w:hAnsiTheme="minorHAnsi" w:cstheme="minorHAnsi"/>
                <w:bCs/>
                <w:i/>
                <w:color w:val="000000"/>
              </w:rPr>
            </w:pPr>
          </w:p>
        </w:tc>
        <w:tc>
          <w:tcPr>
            <w:tcW w:w="33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208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0,752</w:t>
            </w:r>
          </w:p>
        </w:tc>
        <w:tc>
          <w:tcPr>
            <w:tcW w:w="164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0,839</w:t>
            </w:r>
          </w:p>
        </w:tc>
        <w:tc>
          <w:tcPr>
            <w:tcW w:w="1742"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0,597</w:t>
            </w:r>
          </w:p>
        </w:tc>
      </w:tr>
      <w:tr w:rsidR="007E28F2" w:rsidRPr="00872FD2" w:rsidTr="009250AC">
        <w:trPr>
          <w:cnfStyle w:val="000000010000"/>
          <w:trHeight w:val="315"/>
        </w:trPr>
        <w:tc>
          <w:tcPr>
            <w:tcW w:w="2290" w:type="dxa"/>
            <w:vMerge w:val="restart"/>
            <w:hideMark/>
          </w:tcPr>
          <w:p w:rsidR="007E28F2" w:rsidRPr="00214D9E" w:rsidRDefault="00271A35" w:rsidP="00872FD2">
            <w:pPr>
              <w:spacing w:after="0" w:line="360" w:lineRule="auto"/>
              <w:rPr>
                <w:rFonts w:asciiTheme="minorHAnsi" w:eastAsia="Times New Roman" w:hAnsiTheme="minorHAnsi" w:cstheme="minorHAnsi"/>
                <w:bCs/>
                <w:i/>
                <w:color w:val="000000"/>
                <w:lang w:val="en-US"/>
              </w:rPr>
            </w:pPr>
            <w:r w:rsidRPr="00214D9E">
              <w:rPr>
                <w:rFonts w:asciiTheme="minorHAnsi" w:eastAsia="Times New Roman" w:hAnsiTheme="minorHAnsi" w:cstheme="minorHAnsi"/>
                <w:i/>
                <w:color w:val="000000"/>
              </w:rPr>
              <w:t>Διαπροσωπικές σχέσεις</w:t>
            </w:r>
          </w:p>
        </w:tc>
        <w:tc>
          <w:tcPr>
            <w:tcW w:w="33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208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0,41</w:t>
            </w:r>
          </w:p>
        </w:tc>
        <w:tc>
          <w:tcPr>
            <w:tcW w:w="164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0,38</w:t>
            </w:r>
          </w:p>
        </w:tc>
        <w:tc>
          <w:tcPr>
            <w:tcW w:w="1742"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0,25</w:t>
            </w:r>
          </w:p>
        </w:tc>
      </w:tr>
      <w:tr w:rsidR="007E28F2" w:rsidRPr="00872FD2" w:rsidTr="009250AC">
        <w:trPr>
          <w:cnfStyle w:val="000000100000"/>
          <w:trHeight w:val="315"/>
        </w:trPr>
        <w:tc>
          <w:tcPr>
            <w:tcW w:w="2290" w:type="dxa"/>
            <w:vMerge/>
            <w:hideMark/>
          </w:tcPr>
          <w:p w:rsidR="007E28F2" w:rsidRPr="00214D9E" w:rsidRDefault="007E28F2" w:rsidP="00872FD2">
            <w:pPr>
              <w:spacing w:after="0" w:line="360" w:lineRule="auto"/>
              <w:rPr>
                <w:rFonts w:asciiTheme="minorHAnsi" w:eastAsia="Times New Roman" w:hAnsiTheme="minorHAnsi" w:cstheme="minorHAnsi"/>
                <w:bCs/>
                <w:i/>
                <w:color w:val="000000"/>
              </w:rPr>
            </w:pPr>
          </w:p>
        </w:tc>
        <w:tc>
          <w:tcPr>
            <w:tcW w:w="33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208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0,049</w:t>
            </w:r>
          </w:p>
        </w:tc>
        <w:tc>
          <w:tcPr>
            <w:tcW w:w="164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0,062</w:t>
            </w:r>
          </w:p>
        </w:tc>
        <w:tc>
          <w:tcPr>
            <w:tcW w:w="1742"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0,231</w:t>
            </w:r>
          </w:p>
        </w:tc>
      </w:tr>
      <w:tr w:rsidR="007E28F2" w:rsidRPr="00872FD2" w:rsidTr="009250AC">
        <w:trPr>
          <w:cnfStyle w:val="000000010000"/>
          <w:trHeight w:val="315"/>
        </w:trPr>
        <w:tc>
          <w:tcPr>
            <w:tcW w:w="2290" w:type="dxa"/>
            <w:vMerge w:val="restart"/>
            <w:hideMark/>
          </w:tcPr>
          <w:p w:rsidR="007E28F2" w:rsidRPr="00214D9E" w:rsidRDefault="003A7874" w:rsidP="00872FD2">
            <w:pPr>
              <w:spacing w:after="0" w:line="360" w:lineRule="auto"/>
              <w:rPr>
                <w:rFonts w:asciiTheme="minorHAnsi" w:eastAsia="Times New Roman" w:hAnsiTheme="minorHAnsi" w:cstheme="minorHAnsi"/>
                <w:bCs/>
                <w:i/>
                <w:color w:val="000000"/>
              </w:rPr>
            </w:pPr>
            <w:r w:rsidRPr="00214D9E">
              <w:rPr>
                <w:rFonts w:asciiTheme="minorHAnsi" w:eastAsia="Times New Roman" w:hAnsiTheme="minorHAnsi" w:cstheme="minorHAnsi"/>
                <w:i/>
                <w:color w:val="000000"/>
              </w:rPr>
              <w:t>Ευεξία</w:t>
            </w:r>
            <w:r w:rsidR="007E28F2" w:rsidRPr="00214D9E">
              <w:rPr>
                <w:rFonts w:asciiTheme="minorHAnsi" w:eastAsia="Times New Roman" w:hAnsiTheme="minorHAnsi" w:cstheme="minorHAnsi"/>
                <w:i/>
                <w:color w:val="000000"/>
              </w:rPr>
              <w:t xml:space="preserve"> </w:t>
            </w:r>
          </w:p>
        </w:tc>
        <w:tc>
          <w:tcPr>
            <w:tcW w:w="33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208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-0,01</w:t>
            </w:r>
          </w:p>
        </w:tc>
        <w:tc>
          <w:tcPr>
            <w:tcW w:w="164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-0,10</w:t>
            </w:r>
          </w:p>
        </w:tc>
        <w:tc>
          <w:tcPr>
            <w:tcW w:w="1742"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0,03</w:t>
            </w:r>
          </w:p>
        </w:tc>
      </w:tr>
      <w:tr w:rsidR="007E28F2" w:rsidRPr="00872FD2" w:rsidTr="009250AC">
        <w:trPr>
          <w:cnfStyle w:val="000000100000"/>
          <w:trHeight w:val="315"/>
        </w:trPr>
        <w:tc>
          <w:tcPr>
            <w:tcW w:w="2290" w:type="dxa"/>
            <w:vMerge/>
            <w:hideMark/>
          </w:tcPr>
          <w:p w:rsidR="007E28F2" w:rsidRPr="00214D9E" w:rsidRDefault="007E28F2" w:rsidP="00872FD2">
            <w:pPr>
              <w:spacing w:after="0" w:line="360" w:lineRule="auto"/>
              <w:rPr>
                <w:rFonts w:asciiTheme="minorHAnsi" w:eastAsia="Times New Roman" w:hAnsiTheme="minorHAnsi" w:cstheme="minorHAnsi"/>
                <w:bCs/>
                <w:i/>
                <w:color w:val="000000"/>
              </w:rPr>
            </w:pPr>
          </w:p>
        </w:tc>
        <w:tc>
          <w:tcPr>
            <w:tcW w:w="33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208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0,957</w:t>
            </w:r>
          </w:p>
        </w:tc>
        <w:tc>
          <w:tcPr>
            <w:tcW w:w="164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0,629</w:t>
            </w:r>
          </w:p>
        </w:tc>
        <w:tc>
          <w:tcPr>
            <w:tcW w:w="1742"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0,874</w:t>
            </w:r>
          </w:p>
        </w:tc>
      </w:tr>
      <w:tr w:rsidR="007E28F2" w:rsidRPr="00872FD2" w:rsidTr="009250AC">
        <w:trPr>
          <w:cnfStyle w:val="000000010000"/>
          <w:trHeight w:val="315"/>
        </w:trPr>
        <w:tc>
          <w:tcPr>
            <w:tcW w:w="2290" w:type="dxa"/>
            <w:vMerge w:val="restart"/>
            <w:hideMark/>
          </w:tcPr>
          <w:p w:rsidR="007E28F2" w:rsidRPr="00214D9E" w:rsidRDefault="00271A35" w:rsidP="00872FD2">
            <w:pPr>
              <w:spacing w:after="0" w:line="360" w:lineRule="auto"/>
              <w:rPr>
                <w:rFonts w:asciiTheme="minorHAnsi" w:eastAsia="Times New Roman" w:hAnsiTheme="minorHAnsi" w:cstheme="minorHAnsi"/>
                <w:bCs/>
                <w:i/>
                <w:color w:val="000000"/>
              </w:rPr>
            </w:pPr>
            <w:r w:rsidRPr="00214D9E">
              <w:rPr>
                <w:rFonts w:asciiTheme="minorHAnsi" w:eastAsia="Times New Roman" w:hAnsiTheme="minorHAnsi" w:cstheme="minorHAnsi"/>
                <w:i/>
                <w:color w:val="000000"/>
              </w:rPr>
              <w:t>Πνευματικότητα</w:t>
            </w:r>
          </w:p>
        </w:tc>
        <w:tc>
          <w:tcPr>
            <w:tcW w:w="33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208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0,17</w:t>
            </w:r>
          </w:p>
        </w:tc>
        <w:tc>
          <w:tcPr>
            <w:tcW w:w="164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-0,12</w:t>
            </w:r>
          </w:p>
        </w:tc>
        <w:tc>
          <w:tcPr>
            <w:tcW w:w="1742"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0,21</w:t>
            </w:r>
          </w:p>
        </w:tc>
      </w:tr>
      <w:tr w:rsidR="007E28F2" w:rsidRPr="00872FD2" w:rsidTr="009250AC">
        <w:trPr>
          <w:cnfStyle w:val="000000100000"/>
          <w:trHeight w:val="315"/>
        </w:trPr>
        <w:tc>
          <w:tcPr>
            <w:tcW w:w="2290" w:type="dxa"/>
            <w:vMerge/>
            <w:hideMark/>
          </w:tcPr>
          <w:p w:rsidR="007E28F2" w:rsidRPr="00872FD2" w:rsidRDefault="007E28F2" w:rsidP="00872FD2">
            <w:pPr>
              <w:spacing w:after="0" w:line="360" w:lineRule="auto"/>
              <w:rPr>
                <w:rFonts w:asciiTheme="minorHAnsi" w:eastAsia="Times New Roman" w:hAnsiTheme="minorHAnsi" w:cstheme="minorHAnsi"/>
                <w:b/>
                <w:bCs/>
                <w:color w:val="000000"/>
              </w:rPr>
            </w:pPr>
          </w:p>
        </w:tc>
        <w:tc>
          <w:tcPr>
            <w:tcW w:w="33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208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0,425</w:t>
            </w:r>
          </w:p>
        </w:tc>
        <w:tc>
          <w:tcPr>
            <w:tcW w:w="1647"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0,561</w:t>
            </w:r>
          </w:p>
        </w:tc>
        <w:tc>
          <w:tcPr>
            <w:tcW w:w="1742"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0,304</w:t>
            </w:r>
          </w:p>
        </w:tc>
      </w:tr>
      <w:tr w:rsidR="005D7B76" w:rsidRPr="00872FD2" w:rsidTr="009250AC">
        <w:trPr>
          <w:cnfStyle w:val="000000010000"/>
          <w:trHeight w:val="315"/>
        </w:trPr>
        <w:tc>
          <w:tcPr>
            <w:tcW w:w="2290" w:type="dxa"/>
            <w:vMerge w:val="restart"/>
            <w:hideMark/>
          </w:tcPr>
          <w:p w:rsidR="005D7B76" w:rsidRPr="00214D9E" w:rsidRDefault="005D7B76" w:rsidP="005D7B76">
            <w:pPr>
              <w:spacing w:after="0" w:line="360" w:lineRule="auto"/>
              <w:rPr>
                <w:rFonts w:asciiTheme="minorHAnsi" w:eastAsia="Times New Roman" w:hAnsiTheme="minorHAnsi" w:cstheme="minorHAnsi"/>
                <w:b/>
                <w:bCs/>
                <w:color w:val="000000"/>
              </w:rPr>
            </w:pPr>
            <w:r w:rsidRPr="00214D9E">
              <w:rPr>
                <w:rFonts w:asciiTheme="minorHAnsi" w:eastAsia="Times New Roman" w:hAnsiTheme="minorHAnsi" w:cstheme="minorHAnsi"/>
                <w:b/>
                <w:color w:val="000000"/>
              </w:rPr>
              <w:t xml:space="preserve">Συνολικό σκορ </w:t>
            </w:r>
          </w:p>
        </w:tc>
        <w:tc>
          <w:tcPr>
            <w:tcW w:w="330" w:type="dxa"/>
            <w:hideMark/>
          </w:tcPr>
          <w:p w:rsidR="005D7B76" w:rsidRPr="00872FD2" w:rsidRDefault="005D7B76"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r</w:t>
            </w:r>
          </w:p>
        </w:tc>
        <w:tc>
          <w:tcPr>
            <w:tcW w:w="2087" w:type="dxa"/>
            <w:noWrap/>
            <w:hideMark/>
          </w:tcPr>
          <w:p w:rsidR="005D7B76" w:rsidRPr="00872FD2" w:rsidRDefault="005D7B76"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0,49</w:t>
            </w:r>
          </w:p>
        </w:tc>
        <w:tc>
          <w:tcPr>
            <w:tcW w:w="1647" w:type="dxa"/>
            <w:noWrap/>
            <w:hideMark/>
          </w:tcPr>
          <w:p w:rsidR="005D7B76" w:rsidRPr="00872FD2" w:rsidRDefault="005D7B76"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0,00</w:t>
            </w:r>
          </w:p>
        </w:tc>
        <w:tc>
          <w:tcPr>
            <w:tcW w:w="1742" w:type="dxa"/>
            <w:noWrap/>
            <w:hideMark/>
          </w:tcPr>
          <w:p w:rsidR="005D7B76" w:rsidRPr="00872FD2" w:rsidRDefault="005D7B76"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0,49</w:t>
            </w:r>
          </w:p>
        </w:tc>
      </w:tr>
      <w:tr w:rsidR="005D7B76" w:rsidRPr="00872FD2" w:rsidTr="009250AC">
        <w:trPr>
          <w:cnfStyle w:val="000000100000"/>
          <w:trHeight w:val="315"/>
        </w:trPr>
        <w:tc>
          <w:tcPr>
            <w:tcW w:w="2290" w:type="dxa"/>
            <w:vMerge/>
            <w:hideMark/>
          </w:tcPr>
          <w:p w:rsidR="005D7B76" w:rsidRPr="00872FD2" w:rsidRDefault="005D7B76" w:rsidP="00872FD2">
            <w:pPr>
              <w:spacing w:after="0" w:line="360" w:lineRule="auto"/>
              <w:rPr>
                <w:rFonts w:asciiTheme="minorHAnsi" w:eastAsia="Times New Roman" w:hAnsiTheme="minorHAnsi" w:cstheme="minorHAnsi"/>
                <w:b/>
                <w:bCs/>
                <w:color w:val="000000"/>
              </w:rPr>
            </w:pPr>
          </w:p>
        </w:tc>
        <w:tc>
          <w:tcPr>
            <w:tcW w:w="330" w:type="dxa"/>
            <w:hideMark/>
          </w:tcPr>
          <w:p w:rsidR="005D7B76" w:rsidRPr="00872FD2" w:rsidRDefault="005D7B76"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P</w:t>
            </w:r>
          </w:p>
        </w:tc>
        <w:tc>
          <w:tcPr>
            <w:tcW w:w="2087" w:type="dxa"/>
            <w:noWrap/>
            <w:hideMark/>
          </w:tcPr>
          <w:p w:rsidR="005D7B76" w:rsidRPr="00872FD2" w:rsidRDefault="005D7B76" w:rsidP="00872FD2">
            <w:pPr>
              <w:spacing w:after="0" w:line="360" w:lineRule="auto"/>
              <w:jc w:val="center"/>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0,015</w:t>
            </w:r>
          </w:p>
        </w:tc>
        <w:tc>
          <w:tcPr>
            <w:tcW w:w="1647" w:type="dxa"/>
            <w:noWrap/>
            <w:hideMark/>
          </w:tcPr>
          <w:p w:rsidR="005D7B76" w:rsidRPr="00872FD2" w:rsidRDefault="005D7B76"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1,000</w:t>
            </w:r>
          </w:p>
        </w:tc>
        <w:tc>
          <w:tcPr>
            <w:tcW w:w="1742" w:type="dxa"/>
            <w:noWrap/>
            <w:hideMark/>
          </w:tcPr>
          <w:p w:rsidR="005D7B76" w:rsidRPr="00872FD2" w:rsidRDefault="005D7B76" w:rsidP="00872FD2">
            <w:pPr>
              <w:spacing w:after="0" w:line="360" w:lineRule="auto"/>
              <w:jc w:val="center"/>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0,013</w:t>
            </w:r>
          </w:p>
        </w:tc>
      </w:tr>
    </w:tbl>
    <w:p w:rsidR="00243C1D" w:rsidRPr="005A464E" w:rsidRDefault="00243C1D" w:rsidP="005A464E">
      <w:pPr>
        <w:spacing w:line="360" w:lineRule="auto"/>
        <w:rPr>
          <w:rFonts w:cstheme="minorHAnsi"/>
          <w:sz w:val="24"/>
          <w:szCs w:val="24"/>
          <w:highlight w:val="lightGray"/>
        </w:rPr>
      </w:pPr>
    </w:p>
    <w:p w:rsidR="007E28F2" w:rsidRPr="005A464E" w:rsidRDefault="00243C1D" w:rsidP="005A464E">
      <w:pPr>
        <w:pStyle w:val="nouk"/>
        <w:rPr>
          <w:b/>
        </w:rPr>
      </w:pPr>
      <w:r w:rsidRPr="005A464E">
        <w:rPr>
          <w:b/>
        </w:rPr>
        <w:t>Συσχέτιση των μεταβολών των κλιμάκων της μελέτης με δημογραφικά και κλινικά στοιχεία των συμμετεχόντων της ομάδας παρέμβασης</w:t>
      </w:r>
    </w:p>
    <w:p w:rsidR="00243C1D" w:rsidRPr="005A464E" w:rsidRDefault="00243C1D" w:rsidP="005A464E">
      <w:pPr>
        <w:pStyle w:val="nouk"/>
        <w:rPr>
          <w:i/>
          <w:u w:val="single"/>
        </w:rPr>
      </w:pPr>
    </w:p>
    <w:p w:rsidR="007E28F2" w:rsidRPr="005A464E" w:rsidRDefault="007E28F2" w:rsidP="005A464E">
      <w:pPr>
        <w:pStyle w:val="nouk"/>
        <w:rPr>
          <w:i/>
          <w:u w:val="single"/>
        </w:rPr>
      </w:pPr>
      <w:r w:rsidRPr="005A464E">
        <w:rPr>
          <w:i/>
          <w:u w:val="single"/>
        </w:rPr>
        <w:t>Κλίμακα γνώσεων</w:t>
      </w:r>
    </w:p>
    <w:p w:rsidR="005D7B76" w:rsidRDefault="007E28F2" w:rsidP="0081236A">
      <w:pPr>
        <w:pStyle w:val="nouk"/>
      </w:pPr>
      <w:r w:rsidRPr="005A464E">
        <w:t>Στον πίνακα που ακολουθεί</w:t>
      </w:r>
      <w:r w:rsidR="00F6061C">
        <w:t xml:space="preserve"> (Πίν 23</w:t>
      </w:r>
      <w:r w:rsidR="003729FD">
        <w:t>)</w:t>
      </w:r>
      <w:r w:rsidRPr="005A464E">
        <w:t xml:space="preserve"> δίνεται η μεταβολή στην κλίμακα γνώσεων των ατόμων της ομάδας παρέμβασης ανάλογα με δημογραφικά και κλινικά τους στοιχεία. </w:t>
      </w:r>
    </w:p>
    <w:p w:rsidR="009250AC" w:rsidRDefault="009250AC" w:rsidP="0081236A">
      <w:pPr>
        <w:pStyle w:val="nouk"/>
      </w:pPr>
    </w:p>
    <w:p w:rsidR="009250AC" w:rsidRPr="00F918EC" w:rsidRDefault="00F6061C" w:rsidP="009250AC">
      <w:pPr>
        <w:pStyle w:val="nouk"/>
        <w:rPr>
          <w:rFonts w:asciiTheme="minorHAnsi" w:eastAsiaTheme="minorHAnsi" w:hAnsiTheme="minorHAnsi" w:cstheme="minorHAnsi"/>
          <w:bCs/>
          <w:color w:val="000000"/>
        </w:rPr>
      </w:pPr>
      <w:r>
        <w:rPr>
          <w:rFonts w:asciiTheme="minorHAnsi" w:eastAsiaTheme="minorHAnsi" w:hAnsiTheme="minorHAnsi" w:cstheme="minorHAnsi"/>
          <w:bCs/>
          <w:color w:val="000000"/>
        </w:rPr>
        <w:t>Πίνακας 23</w:t>
      </w:r>
    </w:p>
    <w:p w:rsidR="00214D9E" w:rsidRPr="0081236A" w:rsidRDefault="009250AC" w:rsidP="009250AC">
      <w:pPr>
        <w:pStyle w:val="nouk"/>
      </w:pPr>
      <w:r w:rsidRPr="008847F1">
        <w:rPr>
          <w:rFonts w:asciiTheme="minorHAnsi" w:eastAsiaTheme="minorHAnsi" w:hAnsiTheme="minorHAnsi" w:cstheme="minorHAnsi"/>
          <w:bCs/>
          <w:i/>
          <w:color w:val="000000"/>
        </w:rPr>
        <w:t>Μεταβολή στην κλίμακα γνώσεων των ατόμων της ομάδας παρέμβασης ανάλογα με δημογραφικά και κλινικά τους στοιχεία</w:t>
      </w:r>
    </w:p>
    <w:tbl>
      <w:tblPr>
        <w:tblStyle w:val="-41"/>
        <w:tblW w:w="9476" w:type="dxa"/>
        <w:jc w:val="center"/>
        <w:tblLook w:val="0400"/>
      </w:tblPr>
      <w:tblGrid>
        <w:gridCol w:w="3207"/>
        <w:gridCol w:w="2200"/>
        <w:gridCol w:w="2566"/>
        <w:gridCol w:w="1503"/>
      </w:tblGrid>
      <w:tr w:rsidR="007E28F2" w:rsidRPr="00872FD2" w:rsidTr="00C2256D">
        <w:trPr>
          <w:cnfStyle w:val="000000100000"/>
          <w:trHeight w:val="285"/>
          <w:jc w:val="center"/>
        </w:trPr>
        <w:tc>
          <w:tcPr>
            <w:tcW w:w="3207" w:type="dxa"/>
            <w:hideMark/>
          </w:tcPr>
          <w:p w:rsidR="007E28F2" w:rsidRPr="00872FD2" w:rsidRDefault="007E28F2" w:rsidP="00872FD2">
            <w:pPr>
              <w:spacing w:after="0" w:line="360" w:lineRule="auto"/>
              <w:rPr>
                <w:rFonts w:asciiTheme="minorHAnsi" w:eastAsia="Times New Roman" w:hAnsiTheme="minorHAnsi" w:cstheme="minorHAnsi"/>
                <w:b/>
                <w:bCs/>
                <w:color w:val="000000"/>
              </w:rPr>
            </w:pPr>
          </w:p>
        </w:tc>
        <w:tc>
          <w:tcPr>
            <w:tcW w:w="2200" w:type="dxa"/>
            <w:noWrap/>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 </w:t>
            </w:r>
          </w:p>
        </w:tc>
        <w:tc>
          <w:tcPr>
            <w:tcW w:w="2566" w:type="dxa"/>
            <w:hideMark/>
          </w:tcPr>
          <w:p w:rsidR="007E28F2" w:rsidRPr="00872FD2" w:rsidRDefault="007E28F2" w:rsidP="00872FD2">
            <w:pPr>
              <w:spacing w:after="0" w:line="360" w:lineRule="auto"/>
              <w:jc w:val="center"/>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Βαθμολογία γνώσεων (μεταβολή)</w:t>
            </w:r>
          </w:p>
        </w:tc>
        <w:tc>
          <w:tcPr>
            <w:tcW w:w="150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r>
      <w:tr w:rsidR="007E28F2" w:rsidRPr="00872FD2" w:rsidTr="00C2256D">
        <w:trPr>
          <w:cnfStyle w:val="000000010000"/>
          <w:trHeight w:val="285"/>
          <w:jc w:val="center"/>
        </w:trPr>
        <w:tc>
          <w:tcPr>
            <w:tcW w:w="3207" w:type="dxa"/>
            <w:noWrap/>
            <w:hideMark/>
          </w:tcPr>
          <w:p w:rsidR="007E28F2" w:rsidRPr="00872FD2" w:rsidRDefault="007E28F2" w:rsidP="00872FD2">
            <w:pPr>
              <w:spacing w:after="0" w:line="360" w:lineRule="auto"/>
              <w:rPr>
                <w:rFonts w:asciiTheme="minorHAnsi" w:eastAsia="Times New Roman" w:hAnsiTheme="minorHAnsi" w:cstheme="minorHAnsi"/>
                <w:b/>
                <w:bCs/>
                <w:color w:val="000000"/>
              </w:rPr>
            </w:pPr>
            <w:r w:rsidRPr="00872FD2">
              <w:rPr>
                <w:rFonts w:asciiTheme="minorHAnsi" w:eastAsia="Times New Roman" w:hAnsiTheme="minorHAnsi" w:cstheme="minorHAnsi"/>
                <w:color w:val="000000"/>
              </w:rPr>
              <w:t> </w:t>
            </w:r>
          </w:p>
        </w:tc>
        <w:tc>
          <w:tcPr>
            <w:tcW w:w="2200" w:type="dxa"/>
            <w:noWrap/>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 </w:t>
            </w:r>
          </w:p>
        </w:tc>
        <w:tc>
          <w:tcPr>
            <w:tcW w:w="2566" w:type="dxa"/>
            <w:hideMark/>
          </w:tcPr>
          <w:p w:rsidR="007E28F2" w:rsidRPr="00872FD2" w:rsidRDefault="007E28F2" w:rsidP="00872FD2">
            <w:pPr>
              <w:spacing w:after="0" w:line="360" w:lineRule="auto"/>
              <w:jc w:val="center"/>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Μέση τιμή (</w:t>
            </w:r>
            <w:r w:rsidR="00D225F5" w:rsidRPr="00872FD2">
              <w:rPr>
                <w:rFonts w:asciiTheme="minorHAnsi" w:eastAsia="Times New Roman" w:hAnsiTheme="minorHAnsi" w:cstheme="minorHAnsi"/>
                <w:b/>
                <w:bCs/>
                <w:color w:val="000000"/>
              </w:rPr>
              <w:t>ΤΑ</w:t>
            </w:r>
            <w:r w:rsidRPr="00872FD2">
              <w:rPr>
                <w:rFonts w:asciiTheme="minorHAnsi" w:eastAsia="Times New Roman" w:hAnsiTheme="minorHAnsi" w:cstheme="minorHAnsi"/>
                <w:b/>
                <w:bCs/>
                <w:color w:val="000000"/>
              </w:rPr>
              <w:t>)</w:t>
            </w:r>
          </w:p>
        </w:tc>
        <w:tc>
          <w:tcPr>
            <w:tcW w:w="1503" w:type="dxa"/>
            <w:noWrap/>
            <w:hideMark/>
          </w:tcPr>
          <w:p w:rsidR="007E28F2" w:rsidRPr="00872FD2" w:rsidRDefault="007E28F2" w:rsidP="00872FD2">
            <w:pPr>
              <w:spacing w:after="0" w:line="360" w:lineRule="auto"/>
              <w:jc w:val="center"/>
              <w:rPr>
                <w:rFonts w:asciiTheme="minorHAnsi" w:eastAsia="Times New Roman" w:hAnsiTheme="minorHAnsi" w:cstheme="minorHAnsi"/>
                <w:b/>
                <w:bCs/>
                <w:color w:val="000000"/>
              </w:rPr>
            </w:pPr>
            <w:r w:rsidRPr="00872FD2">
              <w:rPr>
                <w:rFonts w:asciiTheme="minorHAnsi" w:eastAsia="Times New Roman" w:hAnsiTheme="minorHAnsi" w:cstheme="minorHAnsi"/>
                <w:b/>
                <w:bCs/>
                <w:color w:val="000000"/>
              </w:rPr>
              <w:t>P Student's t-test</w:t>
            </w:r>
          </w:p>
        </w:tc>
      </w:tr>
      <w:tr w:rsidR="007E28F2" w:rsidRPr="00872FD2" w:rsidTr="00C2256D">
        <w:trPr>
          <w:cnfStyle w:val="000000100000"/>
          <w:trHeight w:val="285"/>
          <w:jc w:val="center"/>
        </w:trPr>
        <w:tc>
          <w:tcPr>
            <w:tcW w:w="3207" w:type="dxa"/>
            <w:vMerge w:val="restart"/>
            <w:hideMark/>
          </w:tcPr>
          <w:p w:rsidR="007E28F2" w:rsidRPr="00214D9E" w:rsidRDefault="007E28F2" w:rsidP="00872FD2">
            <w:pPr>
              <w:spacing w:after="0" w:line="360" w:lineRule="auto"/>
              <w:rPr>
                <w:rFonts w:asciiTheme="minorHAnsi" w:eastAsia="Times New Roman" w:hAnsiTheme="minorHAnsi" w:cstheme="minorHAnsi"/>
                <w:bCs/>
                <w:color w:val="000000"/>
              </w:rPr>
            </w:pPr>
            <w:r w:rsidRPr="00214D9E">
              <w:rPr>
                <w:rFonts w:asciiTheme="minorHAnsi" w:eastAsia="Times New Roman" w:hAnsiTheme="minorHAnsi" w:cstheme="minorHAnsi"/>
                <w:color w:val="000000"/>
              </w:rPr>
              <w:t>Φύλο</w:t>
            </w:r>
          </w:p>
        </w:tc>
        <w:tc>
          <w:tcPr>
            <w:tcW w:w="2200" w:type="dxa"/>
            <w:hideMark/>
          </w:tcPr>
          <w:p w:rsidR="007E28F2" w:rsidRPr="00872FD2" w:rsidRDefault="0081236A"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Ά</w:t>
            </w:r>
            <w:r w:rsidR="007E28F2" w:rsidRPr="00872FD2">
              <w:rPr>
                <w:rFonts w:asciiTheme="minorHAnsi" w:eastAsia="Times New Roman" w:hAnsiTheme="minorHAnsi" w:cstheme="minorHAnsi"/>
                <w:color w:val="000000"/>
              </w:rPr>
              <w:t>νδρας</w:t>
            </w:r>
          </w:p>
        </w:tc>
        <w:tc>
          <w:tcPr>
            <w:tcW w:w="2566"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5,2 (3,1)</w:t>
            </w:r>
          </w:p>
        </w:tc>
        <w:tc>
          <w:tcPr>
            <w:tcW w:w="150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0,070</w:t>
            </w:r>
          </w:p>
        </w:tc>
      </w:tr>
      <w:tr w:rsidR="007E28F2" w:rsidRPr="00872FD2" w:rsidTr="00C2256D">
        <w:trPr>
          <w:cnfStyle w:val="000000010000"/>
          <w:trHeight w:val="285"/>
          <w:jc w:val="center"/>
        </w:trPr>
        <w:tc>
          <w:tcPr>
            <w:tcW w:w="3207" w:type="dxa"/>
            <w:vMerge/>
            <w:hideMark/>
          </w:tcPr>
          <w:p w:rsidR="007E28F2" w:rsidRPr="00214D9E" w:rsidRDefault="007E28F2" w:rsidP="00872FD2">
            <w:pPr>
              <w:spacing w:after="0" w:line="360" w:lineRule="auto"/>
              <w:rPr>
                <w:rFonts w:asciiTheme="minorHAnsi" w:eastAsia="Times New Roman" w:hAnsiTheme="minorHAnsi" w:cstheme="minorHAnsi"/>
                <w:bCs/>
                <w:color w:val="000000"/>
              </w:rPr>
            </w:pPr>
          </w:p>
        </w:tc>
        <w:tc>
          <w:tcPr>
            <w:tcW w:w="2200" w:type="dxa"/>
            <w:hideMark/>
          </w:tcPr>
          <w:p w:rsidR="007E28F2" w:rsidRPr="00872FD2" w:rsidRDefault="0081236A"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Γ</w:t>
            </w:r>
            <w:r w:rsidR="007E28F2" w:rsidRPr="00872FD2">
              <w:rPr>
                <w:rFonts w:asciiTheme="minorHAnsi" w:eastAsia="Times New Roman" w:hAnsiTheme="minorHAnsi" w:cstheme="minorHAnsi"/>
                <w:color w:val="000000"/>
              </w:rPr>
              <w:t>υναίκα</w:t>
            </w:r>
          </w:p>
        </w:tc>
        <w:tc>
          <w:tcPr>
            <w:tcW w:w="2566"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3 (2,36)</w:t>
            </w:r>
          </w:p>
        </w:tc>
        <w:tc>
          <w:tcPr>
            <w:tcW w:w="150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r>
      <w:tr w:rsidR="007E28F2" w:rsidRPr="00872FD2" w:rsidTr="00C2256D">
        <w:trPr>
          <w:cnfStyle w:val="000000100000"/>
          <w:trHeight w:val="285"/>
          <w:jc w:val="center"/>
        </w:trPr>
        <w:tc>
          <w:tcPr>
            <w:tcW w:w="3207" w:type="dxa"/>
            <w:vMerge w:val="restart"/>
            <w:hideMark/>
          </w:tcPr>
          <w:p w:rsidR="007E28F2" w:rsidRPr="00214D9E" w:rsidRDefault="007E28F2" w:rsidP="00872FD2">
            <w:pPr>
              <w:spacing w:after="0" w:line="360" w:lineRule="auto"/>
              <w:rPr>
                <w:rFonts w:asciiTheme="minorHAnsi" w:eastAsia="Times New Roman" w:hAnsiTheme="minorHAnsi" w:cstheme="minorHAnsi"/>
                <w:bCs/>
                <w:color w:val="000000"/>
              </w:rPr>
            </w:pPr>
            <w:r w:rsidRPr="00214D9E">
              <w:rPr>
                <w:rFonts w:asciiTheme="minorHAnsi" w:eastAsia="Times New Roman" w:hAnsiTheme="minorHAnsi" w:cstheme="minorHAnsi"/>
                <w:color w:val="000000"/>
              </w:rPr>
              <w:t>Έγγαμοι</w:t>
            </w:r>
          </w:p>
        </w:tc>
        <w:tc>
          <w:tcPr>
            <w:tcW w:w="220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Όχι</w:t>
            </w:r>
          </w:p>
        </w:tc>
        <w:tc>
          <w:tcPr>
            <w:tcW w:w="2566"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3,09 (2,12)</w:t>
            </w:r>
          </w:p>
        </w:tc>
        <w:tc>
          <w:tcPr>
            <w:tcW w:w="150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0,066</w:t>
            </w:r>
          </w:p>
        </w:tc>
      </w:tr>
      <w:tr w:rsidR="007E28F2" w:rsidRPr="00872FD2" w:rsidTr="00C2256D">
        <w:trPr>
          <w:cnfStyle w:val="000000010000"/>
          <w:trHeight w:val="285"/>
          <w:jc w:val="center"/>
        </w:trPr>
        <w:tc>
          <w:tcPr>
            <w:tcW w:w="3207" w:type="dxa"/>
            <w:vMerge/>
            <w:hideMark/>
          </w:tcPr>
          <w:p w:rsidR="007E28F2" w:rsidRPr="00214D9E" w:rsidRDefault="007E28F2" w:rsidP="00872FD2">
            <w:pPr>
              <w:spacing w:after="0" w:line="360" w:lineRule="auto"/>
              <w:rPr>
                <w:rFonts w:asciiTheme="minorHAnsi" w:eastAsia="Times New Roman" w:hAnsiTheme="minorHAnsi" w:cstheme="minorHAnsi"/>
                <w:bCs/>
                <w:color w:val="000000"/>
              </w:rPr>
            </w:pPr>
          </w:p>
        </w:tc>
        <w:tc>
          <w:tcPr>
            <w:tcW w:w="220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Ναι</w:t>
            </w:r>
          </w:p>
        </w:tc>
        <w:tc>
          <w:tcPr>
            <w:tcW w:w="2566"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5,29 (3,27)</w:t>
            </w:r>
          </w:p>
        </w:tc>
        <w:tc>
          <w:tcPr>
            <w:tcW w:w="150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r>
      <w:tr w:rsidR="007E28F2" w:rsidRPr="00872FD2" w:rsidTr="00C2256D">
        <w:trPr>
          <w:cnfStyle w:val="000000100000"/>
          <w:trHeight w:val="285"/>
          <w:jc w:val="center"/>
        </w:trPr>
        <w:tc>
          <w:tcPr>
            <w:tcW w:w="3207" w:type="dxa"/>
            <w:vMerge w:val="restart"/>
            <w:hideMark/>
          </w:tcPr>
          <w:p w:rsidR="007E28F2" w:rsidRPr="00214D9E" w:rsidRDefault="007E28F2" w:rsidP="00872FD2">
            <w:pPr>
              <w:spacing w:after="0" w:line="360" w:lineRule="auto"/>
              <w:rPr>
                <w:rFonts w:asciiTheme="minorHAnsi" w:eastAsia="Times New Roman" w:hAnsiTheme="minorHAnsi" w:cstheme="minorHAnsi"/>
                <w:bCs/>
                <w:color w:val="000000"/>
              </w:rPr>
            </w:pPr>
            <w:r w:rsidRPr="00214D9E">
              <w:rPr>
                <w:rFonts w:asciiTheme="minorHAnsi" w:eastAsia="Times New Roman" w:hAnsiTheme="minorHAnsi" w:cstheme="minorHAnsi"/>
                <w:color w:val="000000"/>
              </w:rPr>
              <w:t>Παιδιά</w:t>
            </w:r>
          </w:p>
        </w:tc>
        <w:tc>
          <w:tcPr>
            <w:tcW w:w="220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Όχι</w:t>
            </w:r>
          </w:p>
        </w:tc>
        <w:tc>
          <w:tcPr>
            <w:tcW w:w="2566"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2,78 (2,28)</w:t>
            </w:r>
          </w:p>
        </w:tc>
        <w:tc>
          <w:tcPr>
            <w:tcW w:w="1503" w:type="dxa"/>
            <w:noWrap/>
            <w:hideMark/>
          </w:tcPr>
          <w:p w:rsidR="007E28F2" w:rsidRPr="00872FD2" w:rsidRDefault="007E28F2" w:rsidP="00872FD2">
            <w:pPr>
              <w:spacing w:after="0" w:line="360" w:lineRule="auto"/>
              <w:jc w:val="center"/>
              <w:rPr>
                <w:rFonts w:asciiTheme="minorHAnsi" w:eastAsia="Times New Roman" w:hAnsiTheme="minorHAnsi" w:cstheme="minorHAnsi"/>
                <w:bCs/>
                <w:color w:val="000000"/>
              </w:rPr>
            </w:pPr>
            <w:r w:rsidRPr="00872FD2">
              <w:rPr>
                <w:rFonts w:asciiTheme="minorHAnsi" w:eastAsia="Times New Roman" w:hAnsiTheme="minorHAnsi" w:cstheme="minorHAnsi"/>
                <w:bCs/>
                <w:color w:val="000000"/>
              </w:rPr>
              <w:t>0,058</w:t>
            </w:r>
          </w:p>
        </w:tc>
      </w:tr>
      <w:tr w:rsidR="007E28F2" w:rsidRPr="00872FD2" w:rsidTr="00C2256D">
        <w:trPr>
          <w:cnfStyle w:val="000000010000"/>
          <w:trHeight w:val="285"/>
          <w:jc w:val="center"/>
        </w:trPr>
        <w:tc>
          <w:tcPr>
            <w:tcW w:w="3207" w:type="dxa"/>
            <w:vMerge/>
            <w:hideMark/>
          </w:tcPr>
          <w:p w:rsidR="007E28F2" w:rsidRPr="00214D9E" w:rsidRDefault="007E28F2" w:rsidP="00872FD2">
            <w:pPr>
              <w:spacing w:after="0" w:line="360" w:lineRule="auto"/>
              <w:rPr>
                <w:rFonts w:asciiTheme="minorHAnsi" w:eastAsia="Times New Roman" w:hAnsiTheme="minorHAnsi" w:cstheme="minorHAnsi"/>
                <w:bCs/>
                <w:color w:val="000000"/>
              </w:rPr>
            </w:pPr>
          </w:p>
        </w:tc>
        <w:tc>
          <w:tcPr>
            <w:tcW w:w="220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Ναι</w:t>
            </w:r>
          </w:p>
        </w:tc>
        <w:tc>
          <w:tcPr>
            <w:tcW w:w="2566"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5,19 (3,04)</w:t>
            </w:r>
          </w:p>
        </w:tc>
        <w:tc>
          <w:tcPr>
            <w:tcW w:w="150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r>
      <w:tr w:rsidR="007E28F2" w:rsidRPr="00872FD2" w:rsidTr="00C2256D">
        <w:trPr>
          <w:cnfStyle w:val="000000100000"/>
          <w:trHeight w:val="285"/>
          <w:jc w:val="center"/>
        </w:trPr>
        <w:tc>
          <w:tcPr>
            <w:tcW w:w="3207" w:type="dxa"/>
            <w:vMerge w:val="restart"/>
            <w:hideMark/>
          </w:tcPr>
          <w:p w:rsidR="007E28F2" w:rsidRPr="00214D9E" w:rsidRDefault="00214D9E" w:rsidP="00872FD2">
            <w:pPr>
              <w:spacing w:after="0" w:line="360" w:lineRule="auto"/>
              <w:rPr>
                <w:rFonts w:asciiTheme="minorHAnsi" w:eastAsia="Times New Roman" w:hAnsiTheme="minorHAnsi" w:cstheme="minorHAnsi"/>
                <w:bCs/>
                <w:color w:val="000000"/>
              </w:rPr>
            </w:pPr>
            <w:r>
              <w:rPr>
                <w:rFonts w:asciiTheme="minorHAnsi" w:eastAsia="Times New Roman" w:hAnsiTheme="minorHAnsi" w:cstheme="minorHAnsi"/>
                <w:color w:val="000000"/>
              </w:rPr>
              <w:t>Μέ</w:t>
            </w:r>
            <w:r w:rsidR="007E28F2" w:rsidRPr="00214D9E">
              <w:rPr>
                <w:rFonts w:asciiTheme="minorHAnsi" w:eastAsia="Times New Roman" w:hAnsiTheme="minorHAnsi" w:cstheme="minorHAnsi"/>
                <w:color w:val="000000"/>
              </w:rPr>
              <w:t>νετε μόνος;</w:t>
            </w:r>
          </w:p>
        </w:tc>
        <w:tc>
          <w:tcPr>
            <w:tcW w:w="2200" w:type="dxa"/>
            <w:hideMark/>
          </w:tcPr>
          <w:p w:rsidR="007E28F2" w:rsidRPr="00872FD2" w:rsidRDefault="0081236A"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Ν</w:t>
            </w:r>
            <w:r w:rsidR="007E28F2" w:rsidRPr="00872FD2">
              <w:rPr>
                <w:rFonts w:asciiTheme="minorHAnsi" w:eastAsia="Times New Roman" w:hAnsiTheme="minorHAnsi" w:cstheme="minorHAnsi"/>
                <w:color w:val="000000"/>
              </w:rPr>
              <w:t>αι</w:t>
            </w:r>
          </w:p>
        </w:tc>
        <w:tc>
          <w:tcPr>
            <w:tcW w:w="2566"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3,6 (0,89)</w:t>
            </w:r>
          </w:p>
        </w:tc>
        <w:tc>
          <w:tcPr>
            <w:tcW w:w="150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0,557</w:t>
            </w:r>
          </w:p>
        </w:tc>
      </w:tr>
      <w:tr w:rsidR="007E28F2" w:rsidRPr="00872FD2" w:rsidTr="00C2256D">
        <w:trPr>
          <w:cnfStyle w:val="000000010000"/>
          <w:trHeight w:val="285"/>
          <w:jc w:val="center"/>
        </w:trPr>
        <w:tc>
          <w:tcPr>
            <w:tcW w:w="3207" w:type="dxa"/>
            <w:vMerge/>
            <w:hideMark/>
          </w:tcPr>
          <w:p w:rsidR="007E28F2" w:rsidRPr="00214D9E" w:rsidRDefault="007E28F2" w:rsidP="00872FD2">
            <w:pPr>
              <w:spacing w:after="0" w:line="360" w:lineRule="auto"/>
              <w:rPr>
                <w:rFonts w:asciiTheme="minorHAnsi" w:eastAsia="Times New Roman" w:hAnsiTheme="minorHAnsi" w:cstheme="minorHAnsi"/>
                <w:bCs/>
                <w:color w:val="000000"/>
              </w:rPr>
            </w:pPr>
          </w:p>
        </w:tc>
        <w:tc>
          <w:tcPr>
            <w:tcW w:w="2200" w:type="dxa"/>
            <w:hideMark/>
          </w:tcPr>
          <w:p w:rsidR="007E28F2" w:rsidRPr="00872FD2" w:rsidRDefault="0081236A"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Ό</w:t>
            </w:r>
            <w:r w:rsidR="007E28F2" w:rsidRPr="00872FD2">
              <w:rPr>
                <w:rFonts w:asciiTheme="minorHAnsi" w:eastAsia="Times New Roman" w:hAnsiTheme="minorHAnsi" w:cstheme="minorHAnsi"/>
                <w:color w:val="000000"/>
              </w:rPr>
              <w:t>χι</w:t>
            </w:r>
          </w:p>
        </w:tc>
        <w:tc>
          <w:tcPr>
            <w:tcW w:w="2566"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4,5 (3,3)</w:t>
            </w:r>
          </w:p>
        </w:tc>
        <w:tc>
          <w:tcPr>
            <w:tcW w:w="150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r>
      <w:tr w:rsidR="007E28F2" w:rsidRPr="00872FD2" w:rsidTr="00C2256D">
        <w:trPr>
          <w:cnfStyle w:val="000000100000"/>
          <w:trHeight w:val="285"/>
          <w:jc w:val="center"/>
        </w:trPr>
        <w:tc>
          <w:tcPr>
            <w:tcW w:w="3207" w:type="dxa"/>
            <w:vMerge w:val="restart"/>
            <w:hideMark/>
          </w:tcPr>
          <w:p w:rsidR="007E28F2" w:rsidRPr="00214D9E" w:rsidRDefault="000D053B" w:rsidP="00872FD2">
            <w:pPr>
              <w:spacing w:after="0" w:line="360" w:lineRule="auto"/>
              <w:rPr>
                <w:rFonts w:asciiTheme="minorHAnsi" w:eastAsia="Times New Roman" w:hAnsiTheme="minorHAnsi" w:cstheme="minorHAnsi"/>
                <w:bCs/>
                <w:color w:val="000000"/>
              </w:rPr>
            </w:pPr>
            <w:r w:rsidRPr="00214D9E">
              <w:rPr>
                <w:rFonts w:asciiTheme="minorHAnsi" w:eastAsia="Times New Roman" w:hAnsiTheme="minorHAnsi" w:cstheme="minorHAnsi"/>
                <w:color w:val="000000"/>
              </w:rPr>
              <w:t>Εκπαιδευτικό</w:t>
            </w:r>
            <w:r w:rsidR="007E28F2" w:rsidRPr="00214D9E">
              <w:rPr>
                <w:rFonts w:asciiTheme="minorHAnsi" w:eastAsia="Times New Roman" w:hAnsiTheme="minorHAnsi" w:cstheme="minorHAnsi"/>
                <w:color w:val="000000"/>
              </w:rPr>
              <w:t xml:space="preserve"> επίπεδο</w:t>
            </w:r>
          </w:p>
        </w:tc>
        <w:tc>
          <w:tcPr>
            <w:tcW w:w="220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Μέχρι και λύκειο</w:t>
            </w:r>
          </w:p>
        </w:tc>
        <w:tc>
          <w:tcPr>
            <w:tcW w:w="2566"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4,79 (3,08)</w:t>
            </w:r>
          </w:p>
        </w:tc>
        <w:tc>
          <w:tcPr>
            <w:tcW w:w="150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0,166</w:t>
            </w:r>
          </w:p>
        </w:tc>
      </w:tr>
      <w:tr w:rsidR="007E28F2" w:rsidRPr="00872FD2" w:rsidTr="00C2256D">
        <w:trPr>
          <w:cnfStyle w:val="000000010000"/>
          <w:trHeight w:val="285"/>
          <w:jc w:val="center"/>
        </w:trPr>
        <w:tc>
          <w:tcPr>
            <w:tcW w:w="3207" w:type="dxa"/>
            <w:vMerge/>
            <w:hideMark/>
          </w:tcPr>
          <w:p w:rsidR="007E28F2" w:rsidRPr="00214D9E" w:rsidRDefault="007E28F2" w:rsidP="00872FD2">
            <w:pPr>
              <w:spacing w:after="0" w:line="360" w:lineRule="auto"/>
              <w:rPr>
                <w:rFonts w:asciiTheme="minorHAnsi" w:eastAsia="Times New Roman" w:hAnsiTheme="minorHAnsi" w:cstheme="minorHAnsi"/>
                <w:bCs/>
                <w:color w:val="000000"/>
              </w:rPr>
            </w:pPr>
          </w:p>
        </w:tc>
        <w:tc>
          <w:tcPr>
            <w:tcW w:w="2200" w:type="dxa"/>
            <w:hideMark/>
          </w:tcPr>
          <w:p w:rsidR="007E28F2" w:rsidRPr="00872FD2" w:rsidRDefault="007E28F2"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Πάνω από λύκειο</w:t>
            </w:r>
          </w:p>
        </w:tc>
        <w:tc>
          <w:tcPr>
            <w:tcW w:w="2566"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2,83 (2,23)</w:t>
            </w:r>
          </w:p>
        </w:tc>
        <w:tc>
          <w:tcPr>
            <w:tcW w:w="150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r>
      <w:tr w:rsidR="007E28F2" w:rsidRPr="00872FD2" w:rsidTr="00C2256D">
        <w:trPr>
          <w:cnfStyle w:val="000000100000"/>
          <w:trHeight w:val="285"/>
          <w:jc w:val="center"/>
        </w:trPr>
        <w:tc>
          <w:tcPr>
            <w:tcW w:w="3207" w:type="dxa"/>
            <w:vMerge w:val="restart"/>
            <w:hideMark/>
          </w:tcPr>
          <w:p w:rsidR="007E28F2" w:rsidRPr="00214D9E" w:rsidRDefault="007E28F2" w:rsidP="00872FD2">
            <w:pPr>
              <w:spacing w:after="0" w:line="360" w:lineRule="auto"/>
              <w:rPr>
                <w:rFonts w:asciiTheme="minorHAnsi" w:eastAsia="Times New Roman" w:hAnsiTheme="minorHAnsi" w:cstheme="minorHAnsi"/>
                <w:bCs/>
                <w:color w:val="000000"/>
              </w:rPr>
            </w:pPr>
            <w:r w:rsidRPr="00214D9E">
              <w:rPr>
                <w:rFonts w:asciiTheme="minorHAnsi" w:eastAsia="Times New Roman" w:hAnsiTheme="minorHAnsi" w:cstheme="minorHAnsi"/>
                <w:color w:val="000000"/>
              </w:rPr>
              <w:t>Πάσ</w:t>
            </w:r>
            <w:r w:rsidR="00040924">
              <w:rPr>
                <w:rFonts w:asciiTheme="minorHAnsi" w:eastAsia="Times New Roman" w:hAnsiTheme="minorHAnsi" w:cstheme="minorHAnsi"/>
                <w:color w:val="000000"/>
              </w:rPr>
              <w:t>χετε από Σακχαρώδη Διαβήτη, υπέρταση, υ</w:t>
            </w:r>
            <w:r w:rsidRPr="00214D9E">
              <w:rPr>
                <w:rFonts w:asciiTheme="minorHAnsi" w:eastAsia="Times New Roman" w:hAnsiTheme="minorHAnsi" w:cstheme="minorHAnsi"/>
                <w:color w:val="000000"/>
              </w:rPr>
              <w:t>πειραματονεφρίτιδα, πολυκυστική νόσο ή άλλο;</w:t>
            </w:r>
          </w:p>
        </w:tc>
        <w:tc>
          <w:tcPr>
            <w:tcW w:w="2200" w:type="dxa"/>
            <w:hideMark/>
          </w:tcPr>
          <w:p w:rsidR="007E28F2" w:rsidRPr="00872FD2" w:rsidRDefault="00040924" w:rsidP="00872FD2">
            <w:pPr>
              <w:spacing w:after="0" w:line="360" w:lineRule="auto"/>
              <w:rPr>
                <w:rFonts w:asciiTheme="minorHAnsi" w:eastAsia="Times New Roman" w:hAnsiTheme="minorHAnsi" w:cstheme="minorHAnsi"/>
                <w:color w:val="000000"/>
              </w:rPr>
            </w:pPr>
            <w:r>
              <w:rPr>
                <w:rFonts w:asciiTheme="minorHAnsi" w:eastAsia="Times New Roman" w:hAnsiTheme="minorHAnsi" w:cstheme="minorHAnsi"/>
                <w:color w:val="000000"/>
              </w:rPr>
              <w:t xml:space="preserve">Σακχαρώδη </w:t>
            </w:r>
            <w:r w:rsidR="0081236A" w:rsidRPr="00872FD2">
              <w:rPr>
                <w:rFonts w:asciiTheme="minorHAnsi" w:eastAsia="Times New Roman" w:hAnsiTheme="minorHAnsi" w:cstheme="minorHAnsi"/>
                <w:color w:val="000000"/>
              </w:rPr>
              <w:t>Δ</w:t>
            </w:r>
            <w:r w:rsidR="007E28F2" w:rsidRPr="00872FD2">
              <w:rPr>
                <w:rFonts w:asciiTheme="minorHAnsi" w:eastAsia="Times New Roman" w:hAnsiTheme="minorHAnsi" w:cstheme="minorHAnsi"/>
                <w:color w:val="000000"/>
              </w:rPr>
              <w:t>ιαβήτη</w:t>
            </w:r>
          </w:p>
        </w:tc>
        <w:tc>
          <w:tcPr>
            <w:tcW w:w="2566"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3,17 (1,72)</w:t>
            </w:r>
          </w:p>
        </w:tc>
        <w:tc>
          <w:tcPr>
            <w:tcW w:w="1503" w:type="dxa"/>
            <w:noWrap/>
            <w:hideMark/>
          </w:tcPr>
          <w:p w:rsidR="007E28F2" w:rsidRPr="00872FD2" w:rsidRDefault="007E28F2" w:rsidP="00872FD2">
            <w:pPr>
              <w:spacing w:after="0" w:line="360" w:lineRule="auto"/>
              <w:jc w:val="center"/>
              <w:rPr>
                <w:rFonts w:asciiTheme="minorHAnsi" w:eastAsia="Times New Roman" w:hAnsiTheme="minorHAnsi" w:cstheme="minorHAnsi"/>
                <w:bCs/>
                <w:color w:val="000000"/>
              </w:rPr>
            </w:pPr>
            <w:r w:rsidRPr="00872FD2">
              <w:rPr>
                <w:rFonts w:asciiTheme="minorHAnsi" w:eastAsia="Times New Roman" w:hAnsiTheme="minorHAnsi" w:cstheme="minorHAnsi"/>
                <w:bCs/>
                <w:color w:val="000000"/>
              </w:rPr>
              <w:t>0,118*</w:t>
            </w:r>
          </w:p>
        </w:tc>
      </w:tr>
      <w:tr w:rsidR="007E28F2" w:rsidRPr="00872FD2" w:rsidTr="00C2256D">
        <w:trPr>
          <w:cnfStyle w:val="000000010000"/>
          <w:trHeight w:val="285"/>
          <w:jc w:val="center"/>
        </w:trPr>
        <w:tc>
          <w:tcPr>
            <w:tcW w:w="3207" w:type="dxa"/>
            <w:vMerge/>
            <w:hideMark/>
          </w:tcPr>
          <w:p w:rsidR="007E28F2" w:rsidRPr="00872FD2" w:rsidRDefault="007E28F2" w:rsidP="00872FD2">
            <w:pPr>
              <w:spacing w:after="0" w:line="360" w:lineRule="auto"/>
              <w:rPr>
                <w:rFonts w:asciiTheme="minorHAnsi" w:eastAsia="Times New Roman" w:hAnsiTheme="minorHAnsi" w:cstheme="minorHAnsi"/>
                <w:b/>
                <w:bCs/>
                <w:color w:val="000000"/>
              </w:rPr>
            </w:pPr>
          </w:p>
        </w:tc>
        <w:tc>
          <w:tcPr>
            <w:tcW w:w="2200" w:type="dxa"/>
            <w:hideMark/>
          </w:tcPr>
          <w:p w:rsidR="007E28F2" w:rsidRPr="00872FD2" w:rsidRDefault="0081236A" w:rsidP="00872FD2">
            <w:pPr>
              <w:spacing w:after="0" w:line="360" w:lineRule="auto"/>
              <w:rPr>
                <w:rFonts w:asciiTheme="minorHAnsi" w:eastAsia="Times New Roman" w:hAnsiTheme="minorHAnsi" w:cstheme="minorHAnsi"/>
                <w:color w:val="000000"/>
              </w:rPr>
            </w:pPr>
            <w:r w:rsidRPr="00872FD2">
              <w:rPr>
                <w:rFonts w:asciiTheme="minorHAnsi" w:eastAsia="Times New Roman" w:hAnsiTheme="minorHAnsi" w:cstheme="minorHAnsi"/>
                <w:color w:val="000000"/>
              </w:rPr>
              <w:t>Υ</w:t>
            </w:r>
            <w:r w:rsidR="007E28F2" w:rsidRPr="00872FD2">
              <w:rPr>
                <w:rFonts w:asciiTheme="minorHAnsi" w:eastAsia="Times New Roman" w:hAnsiTheme="minorHAnsi" w:cstheme="minorHAnsi"/>
                <w:color w:val="000000"/>
              </w:rPr>
              <w:t>πέρταση</w:t>
            </w:r>
          </w:p>
        </w:tc>
        <w:tc>
          <w:tcPr>
            <w:tcW w:w="2566"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5,44 (2,79)</w:t>
            </w:r>
          </w:p>
        </w:tc>
        <w:tc>
          <w:tcPr>
            <w:tcW w:w="150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r>
      <w:tr w:rsidR="007E28F2" w:rsidRPr="00872FD2" w:rsidTr="00C2256D">
        <w:trPr>
          <w:cnfStyle w:val="000000100000"/>
          <w:trHeight w:val="285"/>
          <w:jc w:val="center"/>
        </w:trPr>
        <w:tc>
          <w:tcPr>
            <w:tcW w:w="3207" w:type="dxa"/>
            <w:vMerge/>
            <w:hideMark/>
          </w:tcPr>
          <w:p w:rsidR="007E28F2" w:rsidRPr="00872FD2" w:rsidRDefault="007E28F2" w:rsidP="00872FD2">
            <w:pPr>
              <w:spacing w:after="0" w:line="360" w:lineRule="auto"/>
              <w:rPr>
                <w:rFonts w:asciiTheme="minorHAnsi" w:eastAsia="Times New Roman" w:hAnsiTheme="minorHAnsi" w:cstheme="minorHAnsi"/>
                <w:b/>
                <w:bCs/>
                <w:color w:val="000000"/>
              </w:rPr>
            </w:pPr>
          </w:p>
        </w:tc>
        <w:tc>
          <w:tcPr>
            <w:tcW w:w="2200" w:type="dxa"/>
            <w:hideMark/>
          </w:tcPr>
          <w:p w:rsidR="007E28F2" w:rsidRPr="00872FD2" w:rsidRDefault="00040924" w:rsidP="00872FD2">
            <w:pPr>
              <w:spacing w:after="0" w:line="360" w:lineRule="auto"/>
              <w:rPr>
                <w:rFonts w:asciiTheme="minorHAnsi" w:eastAsia="Times New Roman" w:hAnsiTheme="minorHAnsi" w:cstheme="minorHAnsi"/>
                <w:color w:val="000000"/>
              </w:rPr>
            </w:pPr>
            <w:r>
              <w:rPr>
                <w:rFonts w:asciiTheme="minorHAnsi" w:eastAsia="Times New Roman" w:hAnsiTheme="minorHAnsi" w:cstheme="minorHAnsi"/>
                <w:color w:val="000000"/>
              </w:rPr>
              <w:t>Σ</w:t>
            </w:r>
            <w:r w:rsidR="007E28F2" w:rsidRPr="00872FD2">
              <w:rPr>
                <w:rFonts w:asciiTheme="minorHAnsi" w:eastAsia="Times New Roman" w:hAnsiTheme="minorHAnsi" w:cstheme="minorHAnsi"/>
                <w:color w:val="000000"/>
              </w:rPr>
              <w:t>πειραματονεφρίτιδα</w:t>
            </w:r>
          </w:p>
        </w:tc>
        <w:tc>
          <w:tcPr>
            <w:tcW w:w="2566"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r w:rsidRPr="00872FD2">
              <w:rPr>
                <w:rFonts w:asciiTheme="minorHAnsi" w:eastAsia="Times New Roman" w:hAnsiTheme="minorHAnsi" w:cstheme="minorHAnsi"/>
                <w:color w:val="000000"/>
              </w:rPr>
              <w:t>3,13 (2,53)</w:t>
            </w:r>
          </w:p>
        </w:tc>
        <w:tc>
          <w:tcPr>
            <w:tcW w:w="1503"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rPr>
            </w:pPr>
          </w:p>
        </w:tc>
      </w:tr>
      <w:tr w:rsidR="00C2256D" w:rsidRPr="00872FD2" w:rsidTr="00C2256D">
        <w:trPr>
          <w:cnfStyle w:val="000000010000"/>
          <w:trHeight w:val="285"/>
          <w:jc w:val="center"/>
        </w:trPr>
        <w:tc>
          <w:tcPr>
            <w:tcW w:w="9476" w:type="dxa"/>
            <w:gridSpan w:val="4"/>
            <w:hideMark/>
          </w:tcPr>
          <w:p w:rsidR="00C2256D" w:rsidRPr="00C2256D" w:rsidRDefault="00C2256D" w:rsidP="00C2256D">
            <w:pPr>
              <w:pStyle w:val="nouk"/>
              <w:spacing w:line="276" w:lineRule="auto"/>
              <w:rPr>
                <w:i/>
              </w:rPr>
            </w:pPr>
            <w:r w:rsidRPr="00C2256D">
              <w:rPr>
                <w:i/>
              </w:rPr>
              <w:t>*</w:t>
            </w:r>
            <w:r w:rsidRPr="00C2256D">
              <w:rPr>
                <w:i/>
                <w:lang w:val="en-US"/>
              </w:rPr>
              <w:t xml:space="preserve">ANOVA </w:t>
            </w:r>
          </w:p>
        </w:tc>
      </w:tr>
    </w:tbl>
    <w:p w:rsidR="007E28F2" w:rsidRPr="005A464E" w:rsidRDefault="007E28F2" w:rsidP="005A464E">
      <w:pPr>
        <w:pStyle w:val="nouk"/>
      </w:pPr>
    </w:p>
    <w:p w:rsidR="003729FD" w:rsidRDefault="007E28F2" w:rsidP="003729FD">
      <w:pPr>
        <w:pStyle w:val="nouk"/>
      </w:pPr>
      <w:r w:rsidRPr="005A464E">
        <w:t>Η μεταβολή στη βαθμολογία γνώσεων δεν διέφερε σημαντικά ανάλογα με τα στοιχεία του παραπάνω πίνακα.</w:t>
      </w:r>
    </w:p>
    <w:p w:rsidR="00C2256D" w:rsidRDefault="00C2256D" w:rsidP="003729FD">
      <w:pPr>
        <w:pStyle w:val="nouk"/>
      </w:pPr>
    </w:p>
    <w:p w:rsidR="007E28F2" w:rsidRDefault="007E28F2" w:rsidP="003729FD">
      <w:pPr>
        <w:pStyle w:val="nouk"/>
      </w:pPr>
      <w:r w:rsidRPr="005A464E">
        <w:t>Στον πίνακα που ακολουθεί</w:t>
      </w:r>
      <w:r w:rsidR="00F6061C">
        <w:t xml:space="preserve"> (Πίν. 24</w:t>
      </w:r>
      <w:r w:rsidR="003729FD">
        <w:t>)</w:t>
      </w:r>
      <w:r w:rsidRPr="005A464E">
        <w:t xml:space="preserve"> δίνονται οι συντελεστές συσχέτισης του </w:t>
      </w:r>
      <w:r w:rsidRPr="005A464E">
        <w:rPr>
          <w:lang w:val="en-US"/>
        </w:rPr>
        <w:t>Pearson</w:t>
      </w:r>
      <w:r w:rsidRPr="005A464E">
        <w:t xml:space="preserve"> της μεταβολής στην κλίμακα γνώσεων των ατόμων της ομάδας παρέμβασης με την ηλικία τους, στοιχεία που αφορούν στην ΧΝΝ και </w:t>
      </w:r>
      <w:r w:rsidR="00453C96">
        <w:t>αιμοκάθαρση</w:t>
      </w:r>
      <w:r w:rsidR="00453C96" w:rsidRPr="005A464E">
        <w:t xml:space="preserve"> </w:t>
      </w:r>
      <w:r w:rsidRPr="005A464E">
        <w:t xml:space="preserve">και τον ημερήσιο αριθμό </w:t>
      </w:r>
      <w:r w:rsidR="00B0098B">
        <w:t>δισκίων</w:t>
      </w:r>
      <w:r w:rsidRPr="005A464E">
        <w:t xml:space="preserve">. </w:t>
      </w:r>
    </w:p>
    <w:p w:rsidR="009250AC" w:rsidRDefault="009250AC" w:rsidP="009250AC">
      <w:pPr>
        <w:pStyle w:val="nouk"/>
        <w:spacing w:line="276" w:lineRule="auto"/>
        <w:rPr>
          <w:rFonts w:asciiTheme="minorHAnsi" w:eastAsiaTheme="minorHAnsi" w:hAnsiTheme="minorHAnsi" w:cstheme="minorHAnsi"/>
          <w:bCs/>
          <w:color w:val="000000"/>
        </w:rPr>
      </w:pPr>
    </w:p>
    <w:p w:rsidR="009250AC" w:rsidRPr="00F918EC" w:rsidRDefault="00F6061C" w:rsidP="009250AC">
      <w:pPr>
        <w:pStyle w:val="nouk"/>
        <w:spacing w:line="276" w:lineRule="auto"/>
        <w:rPr>
          <w:rFonts w:asciiTheme="minorHAnsi" w:eastAsiaTheme="minorHAnsi" w:hAnsiTheme="minorHAnsi" w:cstheme="minorHAnsi"/>
          <w:bCs/>
          <w:color w:val="000000"/>
        </w:rPr>
      </w:pPr>
      <w:r>
        <w:rPr>
          <w:rFonts w:asciiTheme="minorHAnsi" w:eastAsiaTheme="minorHAnsi" w:hAnsiTheme="minorHAnsi" w:cstheme="minorHAnsi"/>
          <w:bCs/>
          <w:color w:val="000000"/>
        </w:rPr>
        <w:t>Πίνακας 24</w:t>
      </w:r>
    </w:p>
    <w:p w:rsidR="005D7B76" w:rsidRPr="0081236A" w:rsidRDefault="009250AC" w:rsidP="001B63BB">
      <w:pPr>
        <w:pStyle w:val="nouk"/>
      </w:pPr>
      <w:r w:rsidRPr="008847F1">
        <w:rPr>
          <w:rFonts w:asciiTheme="minorHAnsi" w:eastAsiaTheme="minorHAnsi" w:hAnsiTheme="minorHAnsi" w:cstheme="minorHAnsi"/>
          <w:bCs/>
          <w:i/>
          <w:color w:val="000000"/>
        </w:rPr>
        <w:t>Μεταβολή στην κλίμακα γνώσεων των ατόμων της ομάδας παρέμβασης με δημογραφικά και κλινικά στοιχεία.</w:t>
      </w:r>
    </w:p>
    <w:tbl>
      <w:tblPr>
        <w:tblStyle w:val="-41"/>
        <w:tblW w:w="6687" w:type="dxa"/>
        <w:jc w:val="center"/>
        <w:tblLook w:val="0400"/>
      </w:tblPr>
      <w:tblGrid>
        <w:gridCol w:w="3566"/>
        <w:gridCol w:w="337"/>
        <w:gridCol w:w="2784"/>
      </w:tblGrid>
      <w:tr w:rsidR="007E28F2" w:rsidRPr="00872FD2" w:rsidTr="001B63BB">
        <w:trPr>
          <w:cnfStyle w:val="000000100000"/>
          <w:trHeight w:val="285"/>
          <w:jc w:val="center"/>
        </w:trPr>
        <w:tc>
          <w:tcPr>
            <w:tcW w:w="3903" w:type="dxa"/>
            <w:gridSpan w:val="2"/>
            <w:hideMark/>
          </w:tcPr>
          <w:p w:rsidR="007E28F2" w:rsidRPr="00872FD2" w:rsidRDefault="007E28F2" w:rsidP="00872FD2">
            <w:pPr>
              <w:spacing w:after="0" w:line="360" w:lineRule="auto"/>
              <w:rPr>
                <w:rFonts w:asciiTheme="minorHAnsi" w:eastAsia="Times New Roman" w:hAnsiTheme="minorHAnsi" w:cs="Arial"/>
                <w:b/>
                <w:bCs/>
                <w:color w:val="000000"/>
              </w:rPr>
            </w:pPr>
          </w:p>
        </w:tc>
        <w:tc>
          <w:tcPr>
            <w:tcW w:w="2784" w:type="dxa"/>
            <w:hideMark/>
          </w:tcPr>
          <w:p w:rsidR="007E28F2" w:rsidRPr="00872FD2" w:rsidRDefault="007E28F2" w:rsidP="00872FD2">
            <w:pPr>
              <w:spacing w:after="0" w:line="360" w:lineRule="auto"/>
              <w:jc w:val="center"/>
              <w:rPr>
                <w:rFonts w:asciiTheme="minorHAnsi" w:eastAsia="Times New Roman" w:hAnsiTheme="minorHAnsi" w:cs="Arial"/>
                <w:b/>
                <w:bCs/>
                <w:color w:val="000000"/>
              </w:rPr>
            </w:pPr>
            <w:r w:rsidRPr="00872FD2">
              <w:rPr>
                <w:rFonts w:asciiTheme="minorHAnsi" w:eastAsia="Times New Roman" w:hAnsiTheme="minorHAnsi" w:cs="Arial"/>
                <w:b/>
                <w:bCs/>
                <w:color w:val="000000"/>
              </w:rPr>
              <w:t>Βαθμολογία γνώσεων (μεταβολή)</w:t>
            </w:r>
          </w:p>
        </w:tc>
      </w:tr>
      <w:tr w:rsidR="007E28F2" w:rsidRPr="00872FD2" w:rsidTr="001B63BB">
        <w:trPr>
          <w:cnfStyle w:val="000000010000"/>
          <w:trHeight w:val="285"/>
          <w:jc w:val="center"/>
        </w:trPr>
        <w:tc>
          <w:tcPr>
            <w:tcW w:w="3566" w:type="dxa"/>
            <w:vMerge w:val="restart"/>
            <w:hideMark/>
          </w:tcPr>
          <w:p w:rsidR="007E28F2" w:rsidRPr="00872FD2" w:rsidRDefault="007E28F2" w:rsidP="00872FD2">
            <w:pPr>
              <w:spacing w:after="0" w:line="360" w:lineRule="auto"/>
              <w:rPr>
                <w:rFonts w:asciiTheme="minorHAnsi" w:eastAsia="Times New Roman" w:hAnsiTheme="minorHAnsi" w:cs="Arial"/>
                <w:b/>
                <w:bCs/>
                <w:color w:val="000000"/>
              </w:rPr>
            </w:pPr>
            <w:r w:rsidRPr="00872FD2">
              <w:rPr>
                <w:rFonts w:asciiTheme="minorHAnsi" w:eastAsia="Times New Roman" w:hAnsiTheme="minorHAnsi" w:cs="Arial"/>
                <w:color w:val="000000"/>
              </w:rPr>
              <w:t>Ηλικία</w:t>
            </w:r>
          </w:p>
        </w:tc>
        <w:tc>
          <w:tcPr>
            <w:tcW w:w="337"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2784" w:type="dxa"/>
            <w:noWrap/>
            <w:hideMark/>
          </w:tcPr>
          <w:p w:rsidR="007E28F2" w:rsidRPr="00872FD2" w:rsidRDefault="007E28F2" w:rsidP="00872FD2">
            <w:pPr>
              <w:spacing w:after="0" w:line="360" w:lineRule="auto"/>
              <w:jc w:val="right"/>
              <w:rPr>
                <w:rFonts w:asciiTheme="minorHAnsi" w:eastAsia="Times New Roman" w:hAnsiTheme="minorHAnsi" w:cs="Arial"/>
                <w:color w:val="000000"/>
              </w:rPr>
            </w:pPr>
            <w:r w:rsidRPr="00872FD2">
              <w:rPr>
                <w:rFonts w:asciiTheme="minorHAnsi" w:eastAsia="Times New Roman" w:hAnsiTheme="minorHAnsi" w:cs="Arial"/>
                <w:color w:val="000000"/>
              </w:rPr>
              <w:t>0,23</w:t>
            </w:r>
          </w:p>
        </w:tc>
      </w:tr>
      <w:tr w:rsidR="007E28F2" w:rsidRPr="00872FD2" w:rsidTr="001B63BB">
        <w:trPr>
          <w:cnfStyle w:val="000000100000"/>
          <w:trHeight w:val="285"/>
          <w:jc w:val="center"/>
        </w:trPr>
        <w:tc>
          <w:tcPr>
            <w:tcW w:w="3566" w:type="dxa"/>
            <w:vMerge/>
            <w:hideMark/>
          </w:tcPr>
          <w:p w:rsidR="007E28F2" w:rsidRPr="00872FD2" w:rsidRDefault="007E28F2" w:rsidP="00872FD2">
            <w:pPr>
              <w:spacing w:after="0" w:line="360" w:lineRule="auto"/>
              <w:rPr>
                <w:rFonts w:asciiTheme="minorHAnsi" w:eastAsia="Times New Roman" w:hAnsiTheme="minorHAnsi" w:cs="Arial"/>
                <w:b/>
                <w:bCs/>
                <w:color w:val="000000"/>
              </w:rPr>
            </w:pPr>
          </w:p>
        </w:tc>
        <w:tc>
          <w:tcPr>
            <w:tcW w:w="337"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2784" w:type="dxa"/>
            <w:noWrap/>
            <w:hideMark/>
          </w:tcPr>
          <w:p w:rsidR="007E28F2" w:rsidRPr="00872FD2" w:rsidRDefault="007E28F2" w:rsidP="00872FD2">
            <w:pPr>
              <w:spacing w:after="0" w:line="360" w:lineRule="auto"/>
              <w:jc w:val="right"/>
              <w:rPr>
                <w:rFonts w:asciiTheme="minorHAnsi" w:eastAsia="Times New Roman" w:hAnsiTheme="minorHAnsi" w:cs="Arial"/>
                <w:color w:val="000000"/>
              </w:rPr>
            </w:pPr>
            <w:r w:rsidRPr="00872FD2">
              <w:rPr>
                <w:rFonts w:asciiTheme="minorHAnsi" w:eastAsia="Times New Roman" w:hAnsiTheme="minorHAnsi" w:cs="Arial"/>
                <w:color w:val="000000"/>
              </w:rPr>
              <w:t>0,267</w:t>
            </w:r>
          </w:p>
        </w:tc>
      </w:tr>
      <w:tr w:rsidR="007E28F2" w:rsidRPr="00872FD2" w:rsidTr="001B63BB">
        <w:trPr>
          <w:cnfStyle w:val="000000010000"/>
          <w:trHeight w:val="285"/>
          <w:jc w:val="center"/>
        </w:trPr>
        <w:tc>
          <w:tcPr>
            <w:tcW w:w="3566" w:type="dxa"/>
            <w:vMerge w:val="restart"/>
            <w:hideMark/>
          </w:tcPr>
          <w:p w:rsidR="007E28F2" w:rsidRPr="00872FD2" w:rsidRDefault="007E28F2" w:rsidP="00872FD2">
            <w:pPr>
              <w:spacing w:after="0" w:line="360" w:lineRule="auto"/>
              <w:rPr>
                <w:rFonts w:asciiTheme="minorHAnsi" w:eastAsia="Times New Roman" w:hAnsiTheme="minorHAnsi" w:cs="Arial"/>
                <w:b/>
                <w:bCs/>
                <w:color w:val="000000"/>
              </w:rPr>
            </w:pPr>
            <w:r w:rsidRPr="00872FD2">
              <w:rPr>
                <w:rFonts w:asciiTheme="minorHAnsi" w:eastAsia="Times New Roman" w:hAnsiTheme="minorHAnsi" w:cs="Arial"/>
                <w:color w:val="000000"/>
              </w:rPr>
              <w:t>Έτη από διάγνωση ΧΝΝ</w:t>
            </w:r>
          </w:p>
        </w:tc>
        <w:tc>
          <w:tcPr>
            <w:tcW w:w="337"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2784" w:type="dxa"/>
            <w:noWrap/>
            <w:hideMark/>
          </w:tcPr>
          <w:p w:rsidR="007E28F2" w:rsidRPr="00872FD2" w:rsidRDefault="007E28F2" w:rsidP="00872FD2">
            <w:pPr>
              <w:spacing w:after="0" w:line="360" w:lineRule="auto"/>
              <w:jc w:val="right"/>
              <w:rPr>
                <w:rFonts w:asciiTheme="minorHAnsi" w:eastAsia="Times New Roman" w:hAnsiTheme="minorHAnsi" w:cs="Arial"/>
                <w:color w:val="000000"/>
              </w:rPr>
            </w:pPr>
            <w:r w:rsidRPr="00872FD2">
              <w:rPr>
                <w:rFonts w:asciiTheme="minorHAnsi" w:eastAsia="Times New Roman" w:hAnsiTheme="minorHAnsi" w:cs="Arial"/>
                <w:color w:val="000000"/>
              </w:rPr>
              <w:t>-0,36</w:t>
            </w:r>
          </w:p>
        </w:tc>
      </w:tr>
      <w:tr w:rsidR="007E28F2" w:rsidRPr="00872FD2" w:rsidTr="001B63BB">
        <w:trPr>
          <w:cnfStyle w:val="000000100000"/>
          <w:trHeight w:val="285"/>
          <w:jc w:val="center"/>
        </w:trPr>
        <w:tc>
          <w:tcPr>
            <w:tcW w:w="3566" w:type="dxa"/>
            <w:vMerge/>
            <w:hideMark/>
          </w:tcPr>
          <w:p w:rsidR="007E28F2" w:rsidRPr="00872FD2" w:rsidRDefault="007E28F2" w:rsidP="00872FD2">
            <w:pPr>
              <w:spacing w:after="0" w:line="360" w:lineRule="auto"/>
              <w:rPr>
                <w:rFonts w:asciiTheme="minorHAnsi" w:eastAsia="Times New Roman" w:hAnsiTheme="minorHAnsi" w:cs="Arial"/>
                <w:b/>
                <w:bCs/>
                <w:color w:val="000000"/>
              </w:rPr>
            </w:pPr>
          </w:p>
        </w:tc>
        <w:tc>
          <w:tcPr>
            <w:tcW w:w="337"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2784" w:type="dxa"/>
            <w:noWrap/>
            <w:hideMark/>
          </w:tcPr>
          <w:p w:rsidR="007E28F2" w:rsidRPr="00872FD2" w:rsidRDefault="007E28F2" w:rsidP="00872FD2">
            <w:pPr>
              <w:spacing w:after="0" w:line="360" w:lineRule="auto"/>
              <w:jc w:val="right"/>
              <w:rPr>
                <w:rFonts w:asciiTheme="minorHAnsi" w:eastAsia="Times New Roman" w:hAnsiTheme="minorHAnsi" w:cs="Arial"/>
                <w:color w:val="000000"/>
              </w:rPr>
            </w:pPr>
            <w:r w:rsidRPr="00872FD2">
              <w:rPr>
                <w:rFonts w:asciiTheme="minorHAnsi" w:eastAsia="Times New Roman" w:hAnsiTheme="minorHAnsi" w:cs="Arial"/>
                <w:color w:val="000000"/>
              </w:rPr>
              <w:t>0,075</w:t>
            </w:r>
          </w:p>
        </w:tc>
      </w:tr>
      <w:tr w:rsidR="007E28F2" w:rsidRPr="00872FD2" w:rsidTr="001B63BB">
        <w:trPr>
          <w:cnfStyle w:val="000000010000"/>
          <w:trHeight w:val="285"/>
          <w:jc w:val="center"/>
        </w:trPr>
        <w:tc>
          <w:tcPr>
            <w:tcW w:w="3566" w:type="dxa"/>
            <w:vMerge w:val="restart"/>
            <w:hideMark/>
          </w:tcPr>
          <w:p w:rsidR="007E28F2" w:rsidRPr="00872FD2" w:rsidRDefault="007E28F2" w:rsidP="00872FD2">
            <w:pPr>
              <w:spacing w:after="0" w:line="360" w:lineRule="auto"/>
              <w:rPr>
                <w:rFonts w:asciiTheme="minorHAnsi" w:eastAsia="Times New Roman" w:hAnsiTheme="minorHAnsi" w:cs="Arial"/>
                <w:b/>
                <w:bCs/>
                <w:color w:val="000000"/>
              </w:rPr>
            </w:pPr>
            <w:r w:rsidRPr="00872FD2">
              <w:rPr>
                <w:rFonts w:asciiTheme="minorHAnsi" w:eastAsia="Times New Roman" w:hAnsiTheme="minorHAnsi" w:cs="Arial"/>
                <w:color w:val="000000"/>
              </w:rPr>
              <w:t xml:space="preserve">Έτη υπό </w:t>
            </w:r>
            <w:r w:rsidR="00453C96">
              <w:rPr>
                <w:rFonts w:asciiTheme="minorHAnsi" w:eastAsia="Times New Roman" w:hAnsiTheme="minorHAnsi" w:cs="Arial"/>
                <w:color w:val="000000"/>
              </w:rPr>
              <w:t>αιμοκάθαρση</w:t>
            </w:r>
          </w:p>
        </w:tc>
        <w:tc>
          <w:tcPr>
            <w:tcW w:w="337"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2784" w:type="dxa"/>
            <w:noWrap/>
            <w:hideMark/>
          </w:tcPr>
          <w:p w:rsidR="007E28F2" w:rsidRPr="00872FD2" w:rsidRDefault="007E28F2" w:rsidP="00872FD2">
            <w:pPr>
              <w:spacing w:after="0" w:line="360" w:lineRule="auto"/>
              <w:jc w:val="right"/>
              <w:rPr>
                <w:rFonts w:asciiTheme="minorHAnsi" w:eastAsia="Times New Roman" w:hAnsiTheme="minorHAnsi" w:cs="Arial"/>
                <w:color w:val="000000"/>
              </w:rPr>
            </w:pPr>
            <w:r w:rsidRPr="00872FD2">
              <w:rPr>
                <w:rFonts w:asciiTheme="minorHAnsi" w:eastAsia="Times New Roman" w:hAnsiTheme="minorHAnsi" w:cs="Arial"/>
                <w:color w:val="000000"/>
              </w:rPr>
              <w:t>-0,40</w:t>
            </w:r>
          </w:p>
        </w:tc>
      </w:tr>
      <w:tr w:rsidR="007E28F2" w:rsidRPr="00872FD2" w:rsidTr="001B63BB">
        <w:trPr>
          <w:cnfStyle w:val="000000100000"/>
          <w:trHeight w:val="285"/>
          <w:jc w:val="center"/>
        </w:trPr>
        <w:tc>
          <w:tcPr>
            <w:tcW w:w="3566" w:type="dxa"/>
            <w:vMerge/>
            <w:hideMark/>
          </w:tcPr>
          <w:p w:rsidR="007E28F2" w:rsidRPr="00872FD2" w:rsidRDefault="007E28F2" w:rsidP="00872FD2">
            <w:pPr>
              <w:spacing w:after="0" w:line="360" w:lineRule="auto"/>
              <w:rPr>
                <w:rFonts w:asciiTheme="minorHAnsi" w:eastAsia="Times New Roman" w:hAnsiTheme="minorHAnsi" w:cs="Arial"/>
                <w:b/>
                <w:bCs/>
                <w:color w:val="000000"/>
              </w:rPr>
            </w:pPr>
          </w:p>
        </w:tc>
        <w:tc>
          <w:tcPr>
            <w:tcW w:w="337"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2784" w:type="dxa"/>
            <w:noWrap/>
            <w:hideMark/>
          </w:tcPr>
          <w:p w:rsidR="007E28F2" w:rsidRPr="00872FD2" w:rsidRDefault="007E28F2" w:rsidP="00872FD2">
            <w:pPr>
              <w:spacing w:after="0" w:line="360" w:lineRule="auto"/>
              <w:jc w:val="right"/>
              <w:rPr>
                <w:rFonts w:asciiTheme="minorHAnsi" w:eastAsia="Times New Roman" w:hAnsiTheme="minorHAnsi" w:cs="Arial"/>
                <w:b/>
                <w:color w:val="000000"/>
              </w:rPr>
            </w:pPr>
            <w:r w:rsidRPr="00872FD2">
              <w:rPr>
                <w:rFonts w:asciiTheme="minorHAnsi" w:eastAsia="Times New Roman" w:hAnsiTheme="minorHAnsi" w:cs="Arial"/>
                <w:b/>
                <w:color w:val="000000"/>
              </w:rPr>
              <w:t>0,049</w:t>
            </w:r>
          </w:p>
        </w:tc>
      </w:tr>
      <w:tr w:rsidR="007E28F2" w:rsidRPr="00872FD2" w:rsidTr="001B63BB">
        <w:trPr>
          <w:cnfStyle w:val="000000010000"/>
          <w:trHeight w:val="285"/>
          <w:jc w:val="center"/>
        </w:trPr>
        <w:tc>
          <w:tcPr>
            <w:tcW w:w="3566" w:type="dxa"/>
            <w:vMerge w:val="restart"/>
            <w:hideMark/>
          </w:tcPr>
          <w:p w:rsidR="007E28F2" w:rsidRPr="00872FD2" w:rsidRDefault="007E28F2" w:rsidP="00872FD2">
            <w:pPr>
              <w:spacing w:after="0" w:line="360" w:lineRule="auto"/>
              <w:rPr>
                <w:rFonts w:asciiTheme="minorHAnsi" w:eastAsia="Times New Roman" w:hAnsiTheme="minorHAnsi" w:cs="Arial"/>
                <w:b/>
                <w:bCs/>
                <w:color w:val="000000"/>
              </w:rPr>
            </w:pPr>
            <w:r w:rsidRPr="00872FD2">
              <w:rPr>
                <w:rFonts w:asciiTheme="minorHAnsi" w:eastAsia="Times New Roman" w:hAnsiTheme="minorHAnsi" w:cs="Arial"/>
                <w:color w:val="000000"/>
              </w:rPr>
              <w:t xml:space="preserve">Διάρκεια </w:t>
            </w:r>
            <w:r w:rsidR="00453C96">
              <w:rPr>
                <w:rFonts w:asciiTheme="minorHAnsi" w:eastAsia="Times New Roman" w:hAnsiTheme="minorHAnsi" w:cs="Arial"/>
                <w:color w:val="000000"/>
              </w:rPr>
              <w:t>αιμοκάθαρσης</w:t>
            </w:r>
            <w:r w:rsidRPr="00872FD2">
              <w:rPr>
                <w:rFonts w:asciiTheme="minorHAnsi" w:eastAsia="Times New Roman" w:hAnsiTheme="minorHAnsi" w:cs="Arial"/>
                <w:color w:val="000000"/>
              </w:rPr>
              <w:t xml:space="preserve"> (ώρες)</w:t>
            </w:r>
          </w:p>
        </w:tc>
        <w:tc>
          <w:tcPr>
            <w:tcW w:w="337"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2784" w:type="dxa"/>
            <w:noWrap/>
            <w:hideMark/>
          </w:tcPr>
          <w:p w:rsidR="007E28F2" w:rsidRPr="00872FD2" w:rsidRDefault="007E28F2" w:rsidP="00872FD2">
            <w:pPr>
              <w:spacing w:after="0" w:line="360" w:lineRule="auto"/>
              <w:jc w:val="right"/>
              <w:rPr>
                <w:rFonts w:asciiTheme="minorHAnsi" w:eastAsia="Times New Roman" w:hAnsiTheme="minorHAnsi" w:cs="Arial"/>
                <w:color w:val="000000"/>
              </w:rPr>
            </w:pPr>
            <w:r w:rsidRPr="00872FD2">
              <w:rPr>
                <w:rFonts w:asciiTheme="minorHAnsi" w:eastAsia="Times New Roman" w:hAnsiTheme="minorHAnsi" w:cs="Arial"/>
                <w:color w:val="000000"/>
              </w:rPr>
              <w:t>0,14</w:t>
            </w:r>
          </w:p>
        </w:tc>
      </w:tr>
      <w:tr w:rsidR="007E28F2" w:rsidRPr="00872FD2" w:rsidTr="001B63BB">
        <w:trPr>
          <w:cnfStyle w:val="000000100000"/>
          <w:trHeight w:val="285"/>
          <w:jc w:val="center"/>
        </w:trPr>
        <w:tc>
          <w:tcPr>
            <w:tcW w:w="3566" w:type="dxa"/>
            <w:vMerge/>
            <w:hideMark/>
          </w:tcPr>
          <w:p w:rsidR="007E28F2" w:rsidRPr="00872FD2" w:rsidRDefault="007E28F2" w:rsidP="00872FD2">
            <w:pPr>
              <w:spacing w:after="0" w:line="360" w:lineRule="auto"/>
              <w:rPr>
                <w:rFonts w:asciiTheme="minorHAnsi" w:eastAsia="Times New Roman" w:hAnsiTheme="minorHAnsi" w:cs="Arial"/>
                <w:b/>
                <w:bCs/>
                <w:color w:val="000000"/>
              </w:rPr>
            </w:pPr>
          </w:p>
        </w:tc>
        <w:tc>
          <w:tcPr>
            <w:tcW w:w="337"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2784" w:type="dxa"/>
            <w:noWrap/>
            <w:hideMark/>
          </w:tcPr>
          <w:p w:rsidR="007E28F2" w:rsidRPr="00872FD2" w:rsidRDefault="007E28F2" w:rsidP="00872FD2">
            <w:pPr>
              <w:spacing w:after="0" w:line="360" w:lineRule="auto"/>
              <w:jc w:val="right"/>
              <w:rPr>
                <w:rFonts w:asciiTheme="minorHAnsi" w:eastAsia="Times New Roman" w:hAnsiTheme="minorHAnsi" w:cs="Arial"/>
                <w:color w:val="000000"/>
              </w:rPr>
            </w:pPr>
            <w:r w:rsidRPr="00872FD2">
              <w:rPr>
                <w:rFonts w:asciiTheme="minorHAnsi" w:eastAsia="Times New Roman" w:hAnsiTheme="minorHAnsi" w:cs="Arial"/>
                <w:color w:val="000000"/>
              </w:rPr>
              <w:t>0,503</w:t>
            </w:r>
          </w:p>
        </w:tc>
      </w:tr>
      <w:tr w:rsidR="007E28F2" w:rsidRPr="00872FD2" w:rsidTr="001B63BB">
        <w:trPr>
          <w:cnfStyle w:val="000000010000"/>
          <w:trHeight w:val="285"/>
          <w:jc w:val="center"/>
        </w:trPr>
        <w:tc>
          <w:tcPr>
            <w:tcW w:w="3566" w:type="dxa"/>
            <w:vMerge w:val="restart"/>
            <w:hideMark/>
          </w:tcPr>
          <w:p w:rsidR="007E28F2" w:rsidRPr="00872FD2" w:rsidRDefault="007E28F2" w:rsidP="00872FD2">
            <w:pPr>
              <w:spacing w:after="0" w:line="360" w:lineRule="auto"/>
              <w:rPr>
                <w:rFonts w:asciiTheme="minorHAnsi" w:eastAsia="Times New Roman" w:hAnsiTheme="minorHAnsi" w:cs="Arial"/>
                <w:b/>
                <w:bCs/>
                <w:color w:val="000000"/>
              </w:rPr>
            </w:pPr>
            <w:r w:rsidRPr="00872FD2">
              <w:rPr>
                <w:rFonts w:asciiTheme="minorHAnsi" w:eastAsia="Times New Roman" w:hAnsiTheme="minorHAnsi" w:cs="Arial"/>
                <w:color w:val="000000"/>
              </w:rPr>
              <w:t xml:space="preserve">Εβδομαδιαίος αριθμός συνεδριών </w:t>
            </w:r>
            <w:r w:rsidR="00453C96">
              <w:rPr>
                <w:rFonts w:asciiTheme="minorHAnsi" w:eastAsia="Times New Roman" w:hAnsiTheme="minorHAnsi" w:cs="Arial"/>
                <w:color w:val="000000"/>
              </w:rPr>
              <w:t>αιμοκάθαρσης</w:t>
            </w:r>
            <w:r w:rsidR="00453C96" w:rsidRPr="00872FD2">
              <w:rPr>
                <w:rFonts w:asciiTheme="minorHAnsi" w:eastAsia="Times New Roman" w:hAnsiTheme="minorHAnsi" w:cs="Arial"/>
                <w:color w:val="000000"/>
              </w:rPr>
              <w:t xml:space="preserve"> </w:t>
            </w:r>
          </w:p>
        </w:tc>
        <w:tc>
          <w:tcPr>
            <w:tcW w:w="337"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2784" w:type="dxa"/>
            <w:noWrap/>
            <w:hideMark/>
          </w:tcPr>
          <w:p w:rsidR="007E28F2" w:rsidRPr="00872FD2" w:rsidRDefault="007E28F2" w:rsidP="00872FD2">
            <w:pPr>
              <w:spacing w:after="0" w:line="360" w:lineRule="auto"/>
              <w:jc w:val="right"/>
              <w:rPr>
                <w:rFonts w:asciiTheme="minorHAnsi" w:eastAsia="Times New Roman" w:hAnsiTheme="minorHAnsi" w:cs="Arial"/>
                <w:color w:val="000000"/>
              </w:rPr>
            </w:pPr>
            <w:r w:rsidRPr="00872FD2">
              <w:rPr>
                <w:rFonts w:asciiTheme="minorHAnsi" w:eastAsia="Times New Roman" w:hAnsiTheme="minorHAnsi" w:cs="Arial"/>
                <w:color w:val="000000"/>
              </w:rPr>
              <w:t>-0,09</w:t>
            </w:r>
          </w:p>
        </w:tc>
      </w:tr>
      <w:tr w:rsidR="007E28F2" w:rsidRPr="00872FD2" w:rsidTr="001B63BB">
        <w:trPr>
          <w:cnfStyle w:val="000000100000"/>
          <w:trHeight w:val="285"/>
          <w:jc w:val="center"/>
        </w:trPr>
        <w:tc>
          <w:tcPr>
            <w:tcW w:w="3566" w:type="dxa"/>
            <w:vMerge/>
            <w:hideMark/>
          </w:tcPr>
          <w:p w:rsidR="007E28F2" w:rsidRPr="00872FD2" w:rsidRDefault="007E28F2" w:rsidP="00872FD2">
            <w:pPr>
              <w:spacing w:after="0" w:line="360" w:lineRule="auto"/>
              <w:rPr>
                <w:rFonts w:asciiTheme="minorHAnsi" w:eastAsia="Times New Roman" w:hAnsiTheme="minorHAnsi" w:cs="Arial"/>
                <w:b/>
                <w:bCs/>
                <w:color w:val="000000"/>
              </w:rPr>
            </w:pPr>
          </w:p>
        </w:tc>
        <w:tc>
          <w:tcPr>
            <w:tcW w:w="337"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2784" w:type="dxa"/>
            <w:noWrap/>
            <w:hideMark/>
          </w:tcPr>
          <w:p w:rsidR="007E28F2" w:rsidRPr="00872FD2" w:rsidRDefault="007E28F2" w:rsidP="00872FD2">
            <w:pPr>
              <w:spacing w:after="0" w:line="360" w:lineRule="auto"/>
              <w:jc w:val="right"/>
              <w:rPr>
                <w:rFonts w:asciiTheme="minorHAnsi" w:eastAsia="Times New Roman" w:hAnsiTheme="minorHAnsi" w:cs="Arial"/>
                <w:color w:val="000000"/>
              </w:rPr>
            </w:pPr>
            <w:r w:rsidRPr="00872FD2">
              <w:rPr>
                <w:rFonts w:asciiTheme="minorHAnsi" w:eastAsia="Times New Roman" w:hAnsiTheme="minorHAnsi" w:cs="Arial"/>
                <w:color w:val="000000"/>
              </w:rPr>
              <w:t>0,661</w:t>
            </w:r>
          </w:p>
        </w:tc>
      </w:tr>
      <w:tr w:rsidR="007E28F2" w:rsidRPr="00872FD2" w:rsidTr="001B63BB">
        <w:trPr>
          <w:cnfStyle w:val="000000010000"/>
          <w:trHeight w:val="285"/>
          <w:jc w:val="center"/>
        </w:trPr>
        <w:tc>
          <w:tcPr>
            <w:tcW w:w="3566" w:type="dxa"/>
            <w:vMerge w:val="restart"/>
            <w:hideMark/>
          </w:tcPr>
          <w:p w:rsidR="007E28F2" w:rsidRPr="00BA566F" w:rsidRDefault="007E28F2" w:rsidP="00872FD2">
            <w:pPr>
              <w:spacing w:after="0" w:line="360" w:lineRule="auto"/>
              <w:rPr>
                <w:rFonts w:asciiTheme="minorHAnsi" w:eastAsia="Times New Roman" w:hAnsiTheme="minorHAnsi" w:cs="Arial"/>
                <w:b/>
                <w:bCs/>
              </w:rPr>
            </w:pPr>
            <w:r w:rsidRPr="00BA566F">
              <w:rPr>
                <w:rFonts w:asciiTheme="minorHAnsi" w:eastAsia="Times New Roman" w:hAnsiTheme="minorHAnsi" w:cs="Arial"/>
              </w:rPr>
              <w:t xml:space="preserve">Ημερήσιος αριθμός </w:t>
            </w:r>
            <w:r w:rsidR="00B0098B">
              <w:rPr>
                <w:rFonts w:asciiTheme="minorHAnsi" w:eastAsia="Times New Roman" w:hAnsiTheme="minorHAnsi" w:cs="Arial"/>
              </w:rPr>
              <w:t>δισκίων</w:t>
            </w:r>
          </w:p>
        </w:tc>
        <w:tc>
          <w:tcPr>
            <w:tcW w:w="337"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2784" w:type="dxa"/>
            <w:noWrap/>
            <w:hideMark/>
          </w:tcPr>
          <w:p w:rsidR="007E28F2" w:rsidRPr="00872FD2" w:rsidRDefault="007E28F2" w:rsidP="00872FD2">
            <w:pPr>
              <w:spacing w:after="0" w:line="360" w:lineRule="auto"/>
              <w:jc w:val="right"/>
              <w:rPr>
                <w:rFonts w:asciiTheme="minorHAnsi" w:eastAsia="Times New Roman" w:hAnsiTheme="minorHAnsi" w:cs="Arial"/>
                <w:color w:val="000000"/>
              </w:rPr>
            </w:pPr>
            <w:r w:rsidRPr="00872FD2">
              <w:rPr>
                <w:rFonts w:asciiTheme="minorHAnsi" w:eastAsia="Times New Roman" w:hAnsiTheme="minorHAnsi" w:cs="Arial"/>
                <w:color w:val="000000"/>
              </w:rPr>
              <w:t>-0,01</w:t>
            </w:r>
          </w:p>
        </w:tc>
      </w:tr>
      <w:tr w:rsidR="007E28F2" w:rsidRPr="00872FD2" w:rsidTr="001B63BB">
        <w:trPr>
          <w:cnfStyle w:val="000000100000"/>
          <w:trHeight w:val="285"/>
          <w:jc w:val="center"/>
        </w:trPr>
        <w:tc>
          <w:tcPr>
            <w:tcW w:w="3566" w:type="dxa"/>
            <w:vMerge/>
            <w:hideMark/>
          </w:tcPr>
          <w:p w:rsidR="007E28F2" w:rsidRPr="00872FD2" w:rsidRDefault="007E28F2" w:rsidP="00872FD2">
            <w:pPr>
              <w:spacing w:after="0" w:line="360" w:lineRule="auto"/>
              <w:rPr>
                <w:rFonts w:asciiTheme="minorHAnsi" w:eastAsia="Times New Roman" w:hAnsiTheme="minorHAnsi" w:cs="Arial"/>
                <w:b/>
                <w:bCs/>
                <w:color w:val="000000"/>
              </w:rPr>
            </w:pPr>
          </w:p>
        </w:tc>
        <w:tc>
          <w:tcPr>
            <w:tcW w:w="337"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2784" w:type="dxa"/>
            <w:noWrap/>
            <w:hideMark/>
          </w:tcPr>
          <w:p w:rsidR="007E28F2" w:rsidRPr="00872FD2" w:rsidRDefault="007E28F2" w:rsidP="00872FD2">
            <w:pPr>
              <w:spacing w:after="0" w:line="360" w:lineRule="auto"/>
              <w:jc w:val="right"/>
              <w:rPr>
                <w:rFonts w:asciiTheme="minorHAnsi" w:eastAsia="Times New Roman" w:hAnsiTheme="minorHAnsi" w:cs="Arial"/>
                <w:color w:val="000000"/>
              </w:rPr>
            </w:pPr>
            <w:r w:rsidRPr="00872FD2">
              <w:rPr>
                <w:rFonts w:asciiTheme="minorHAnsi" w:eastAsia="Times New Roman" w:hAnsiTheme="minorHAnsi" w:cs="Arial"/>
                <w:color w:val="000000"/>
              </w:rPr>
              <w:t>0,966</w:t>
            </w:r>
          </w:p>
        </w:tc>
      </w:tr>
    </w:tbl>
    <w:p w:rsidR="00BA566F" w:rsidRPr="005A464E" w:rsidRDefault="00BA566F" w:rsidP="005A464E">
      <w:pPr>
        <w:pStyle w:val="nouk"/>
      </w:pPr>
    </w:p>
    <w:p w:rsidR="007E28F2" w:rsidRDefault="007E28F2" w:rsidP="005A464E">
      <w:pPr>
        <w:pStyle w:val="nouk"/>
      </w:pPr>
      <w:r w:rsidRPr="005A464E">
        <w:t>Στο ακόλουθο γράφημα</w:t>
      </w:r>
      <w:r w:rsidR="0081236A">
        <w:t xml:space="preserve"> (Γρ 8)</w:t>
      </w:r>
      <w:r w:rsidR="0078495A">
        <w:t xml:space="preserve"> </w:t>
      </w:r>
      <w:r w:rsidRPr="005A464E">
        <w:t>δίνεται η συσχέτιση της μεταβολής στη βαθμο</w:t>
      </w:r>
      <w:r w:rsidR="0081236A">
        <w:t>λογία γνώσεων με τα έτη που υποβάλλοντ</w:t>
      </w:r>
      <w:r w:rsidRPr="005A464E">
        <w:t>αν</w:t>
      </w:r>
      <w:r w:rsidR="0081236A">
        <w:t xml:space="preserve"> σε</w:t>
      </w:r>
      <w:r w:rsidRPr="005A464E">
        <w:t xml:space="preserve"> </w:t>
      </w:r>
      <w:r w:rsidR="00BA566F">
        <w:t>αιμοκάθαρση</w:t>
      </w:r>
      <w:r w:rsidRPr="005A464E">
        <w:t xml:space="preserve">. </w:t>
      </w:r>
    </w:p>
    <w:p w:rsidR="001B63BB" w:rsidRPr="005A464E" w:rsidRDefault="001B63BB" w:rsidP="005A464E">
      <w:pPr>
        <w:pStyle w:val="nouk"/>
      </w:pPr>
    </w:p>
    <w:p w:rsidR="007E28F2" w:rsidRPr="005A464E" w:rsidRDefault="00464728" w:rsidP="005A464E">
      <w:pPr>
        <w:pStyle w:val="nouk"/>
        <w:jc w:val="center"/>
      </w:pPr>
      <w:r>
        <w:rPr>
          <w:noProof/>
          <w:lang w:eastAsia="el-GR"/>
        </w:rPr>
        <w:drawing>
          <wp:inline distT="0" distB="0" distL="0" distR="0">
            <wp:extent cx="3305175" cy="2638425"/>
            <wp:effectExtent l="19050" t="0" r="9525" b="0"/>
            <wp:docPr id="8" name="Εικόνα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3" cstate="print"/>
                    <a:srcRect/>
                    <a:stretch>
                      <a:fillRect/>
                    </a:stretch>
                  </pic:blipFill>
                  <pic:spPr bwMode="auto">
                    <a:xfrm>
                      <a:off x="0" y="0"/>
                      <a:ext cx="3305175" cy="2638425"/>
                    </a:xfrm>
                    <a:prstGeom prst="rect">
                      <a:avLst/>
                    </a:prstGeom>
                    <a:noFill/>
                    <a:ln w="9525">
                      <a:noFill/>
                      <a:miter lim="800000"/>
                      <a:headEnd/>
                      <a:tailEnd/>
                    </a:ln>
                  </pic:spPr>
                </pic:pic>
              </a:graphicData>
            </a:graphic>
          </wp:inline>
        </w:drawing>
      </w:r>
    </w:p>
    <w:p w:rsidR="00D70D1F" w:rsidRPr="0081236A" w:rsidRDefault="0081236A" w:rsidP="005A464E">
      <w:pPr>
        <w:pStyle w:val="nouk"/>
        <w:rPr>
          <w:b/>
        </w:rPr>
      </w:pPr>
      <w:r w:rsidRPr="00846E7B">
        <w:rPr>
          <w:i/>
        </w:rPr>
        <w:t>Γράφημα 8</w:t>
      </w:r>
      <w:r w:rsidRPr="0081236A">
        <w:rPr>
          <w:b/>
        </w:rPr>
        <w:t xml:space="preserve"> </w:t>
      </w:r>
      <w:r>
        <w:t>Σ</w:t>
      </w:r>
      <w:r w:rsidRPr="005A464E">
        <w:t>υσχέτιση της μεταβολής στη βαθμολο</w:t>
      </w:r>
      <w:r>
        <w:t>γία γνώσεων με τα έτη που υποβάλλονταν σε</w:t>
      </w:r>
      <w:r w:rsidRPr="005A464E">
        <w:t xml:space="preserve"> </w:t>
      </w:r>
      <w:r w:rsidR="005D7B76">
        <w:t>αιμοκάθαρση</w:t>
      </w:r>
      <w:r w:rsidRPr="005A464E">
        <w:t>.</w:t>
      </w:r>
    </w:p>
    <w:p w:rsidR="00D70D1F" w:rsidRPr="005A464E" w:rsidRDefault="00D70D1F" w:rsidP="005A464E">
      <w:pPr>
        <w:pStyle w:val="nouk"/>
        <w:rPr>
          <w:i/>
          <w:u w:val="single"/>
        </w:rPr>
      </w:pPr>
    </w:p>
    <w:p w:rsidR="007E28F2" w:rsidRPr="00E56E5A" w:rsidRDefault="007E28F2" w:rsidP="005A464E">
      <w:pPr>
        <w:pStyle w:val="nouk"/>
        <w:rPr>
          <w:i/>
          <w:u w:val="single"/>
        </w:rPr>
      </w:pPr>
      <w:r w:rsidRPr="005A464E">
        <w:rPr>
          <w:i/>
          <w:u w:val="single"/>
        </w:rPr>
        <w:t>Κλίμακα συμμόρφωσης</w:t>
      </w:r>
    </w:p>
    <w:p w:rsidR="007E28F2" w:rsidRPr="0081236A" w:rsidRDefault="007E28F2" w:rsidP="005A464E">
      <w:pPr>
        <w:pStyle w:val="nouk"/>
        <w:rPr>
          <w:i/>
        </w:rPr>
      </w:pPr>
      <w:r w:rsidRPr="005A464E">
        <w:rPr>
          <w:i/>
        </w:rPr>
        <w:t>Στις αναλύσεις δεν συμπεριλήφθηκα</w:t>
      </w:r>
      <w:r w:rsidR="00243C1D" w:rsidRPr="005A464E">
        <w:rPr>
          <w:i/>
        </w:rPr>
        <w:t>ν οι βαθμολογίες συμμόρφωσης στην αγωγή και σ</w:t>
      </w:r>
      <w:r w:rsidRPr="005A464E">
        <w:rPr>
          <w:i/>
        </w:rPr>
        <w:t>την παρουσία στη συνεδρία καθώς δεν είχαν σημαντική μεταβολή στην ομάδα παρέμβασης.</w:t>
      </w:r>
    </w:p>
    <w:p w:rsidR="004B1F82" w:rsidRDefault="007E28F2" w:rsidP="005A464E">
      <w:pPr>
        <w:pStyle w:val="nouk"/>
      </w:pPr>
      <w:r w:rsidRPr="005A464E">
        <w:t>Στον πίνακα που ακολουθεί</w:t>
      </w:r>
      <w:r w:rsidR="00F6061C">
        <w:t xml:space="preserve"> (Πίν 25</w:t>
      </w:r>
      <w:r w:rsidR="00A81E20">
        <w:t>)</w:t>
      </w:r>
      <w:r w:rsidRPr="005A464E">
        <w:t xml:space="preserve"> δίνονται οι μεταβολές στη συνολική βαθμολογία συμμόρφωσης και στη βαθμολογία συμμόρφωσης με τα υγρά και τη διαιτητική συμπεριφορά των ατόμων της ομάδας παρέμβασης ανάλογα με δημογραφικά και κλινικά τους στοιχεία. </w:t>
      </w:r>
    </w:p>
    <w:p w:rsidR="009250AC" w:rsidRPr="005A464E" w:rsidRDefault="009250AC" w:rsidP="005A464E">
      <w:pPr>
        <w:pStyle w:val="nouk"/>
      </w:pPr>
    </w:p>
    <w:p w:rsidR="009250AC" w:rsidRPr="00C7093D" w:rsidRDefault="00F6061C" w:rsidP="009250AC">
      <w:pPr>
        <w:pStyle w:val="nouk"/>
        <w:spacing w:line="480" w:lineRule="auto"/>
        <w:rPr>
          <w:rFonts w:asciiTheme="minorHAnsi" w:eastAsiaTheme="minorHAnsi" w:hAnsiTheme="minorHAnsi" w:cstheme="minorHAnsi"/>
          <w:bCs/>
          <w:color w:val="000000"/>
        </w:rPr>
      </w:pPr>
      <w:r>
        <w:rPr>
          <w:rFonts w:asciiTheme="minorHAnsi" w:eastAsiaTheme="minorHAnsi" w:hAnsiTheme="minorHAnsi" w:cstheme="minorHAnsi"/>
          <w:bCs/>
          <w:color w:val="000000"/>
        </w:rPr>
        <w:t>Πίνακας 25</w:t>
      </w:r>
    </w:p>
    <w:p w:rsidR="007E28F2" w:rsidRPr="005A464E" w:rsidRDefault="009250AC" w:rsidP="009250AC">
      <w:pPr>
        <w:pStyle w:val="nouk"/>
      </w:pPr>
      <w:r w:rsidRPr="008847F1">
        <w:rPr>
          <w:rFonts w:asciiTheme="minorHAnsi" w:eastAsiaTheme="minorHAnsi" w:hAnsiTheme="minorHAnsi" w:cstheme="minorHAnsi"/>
          <w:bCs/>
          <w:i/>
          <w:color w:val="000000"/>
        </w:rPr>
        <w:t>Μεταβολές στη συνολική βαθμολογία συμμόρφωσης και στη βαθμολογία συμμόρφωσης με τα υγρά και τη διαιτητική συμπεριφορά των ατόμων της ομάδας παρέμβασης ανάλογα με δημογραφικά και κλινικά τους στοιχεία</w:t>
      </w:r>
    </w:p>
    <w:tbl>
      <w:tblPr>
        <w:tblStyle w:val="-41"/>
        <w:tblW w:w="11406" w:type="dxa"/>
        <w:jc w:val="center"/>
        <w:tblLook w:val="0400"/>
      </w:tblPr>
      <w:tblGrid>
        <w:gridCol w:w="3017"/>
        <w:gridCol w:w="2019"/>
        <w:gridCol w:w="1241"/>
        <w:gridCol w:w="1029"/>
        <w:gridCol w:w="960"/>
        <w:gridCol w:w="1151"/>
        <w:gridCol w:w="1029"/>
        <w:gridCol w:w="960"/>
      </w:tblGrid>
      <w:tr w:rsidR="007E28F2" w:rsidRPr="00872FD2" w:rsidTr="009250AC">
        <w:trPr>
          <w:cnfStyle w:val="000000100000"/>
          <w:trHeight w:val="285"/>
          <w:jc w:val="center"/>
        </w:trPr>
        <w:tc>
          <w:tcPr>
            <w:tcW w:w="3017" w:type="dxa"/>
            <w:hideMark/>
          </w:tcPr>
          <w:p w:rsidR="007E28F2" w:rsidRPr="00872FD2" w:rsidRDefault="007E28F2" w:rsidP="00872FD2">
            <w:pPr>
              <w:spacing w:after="0" w:line="360" w:lineRule="auto"/>
              <w:jc w:val="center"/>
              <w:rPr>
                <w:rFonts w:asciiTheme="minorHAnsi" w:eastAsia="Times New Roman" w:hAnsiTheme="minorHAnsi" w:cstheme="minorHAnsi"/>
                <w:b/>
                <w:bCs/>
                <w:color w:val="000000"/>
                <w:sz w:val="20"/>
                <w:szCs w:val="20"/>
              </w:rPr>
            </w:pPr>
          </w:p>
        </w:tc>
        <w:tc>
          <w:tcPr>
            <w:tcW w:w="201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p>
        </w:tc>
        <w:tc>
          <w:tcPr>
            <w:tcW w:w="2270" w:type="dxa"/>
            <w:gridSpan w:val="2"/>
            <w:hideMark/>
          </w:tcPr>
          <w:p w:rsidR="007E28F2" w:rsidRPr="00872FD2" w:rsidRDefault="007E28F2" w:rsidP="00872FD2">
            <w:pPr>
              <w:spacing w:after="0" w:line="360" w:lineRule="auto"/>
              <w:jc w:val="center"/>
              <w:rPr>
                <w:rFonts w:asciiTheme="minorHAnsi" w:eastAsia="Times New Roman" w:hAnsiTheme="minorHAnsi" w:cstheme="minorHAnsi"/>
                <w:b/>
                <w:bCs/>
                <w:color w:val="000000"/>
                <w:sz w:val="20"/>
                <w:szCs w:val="20"/>
              </w:rPr>
            </w:pPr>
            <w:r w:rsidRPr="00872FD2">
              <w:rPr>
                <w:rFonts w:asciiTheme="minorHAnsi" w:eastAsia="Times New Roman" w:hAnsiTheme="minorHAnsi" w:cstheme="minorHAnsi"/>
                <w:b/>
                <w:bCs/>
                <w:color w:val="000000"/>
                <w:sz w:val="20"/>
                <w:szCs w:val="20"/>
              </w:rPr>
              <w:t>Κλίμακα συμμόρφωσης (</w:t>
            </w:r>
            <w:r w:rsidR="00243C1D" w:rsidRPr="00872FD2">
              <w:rPr>
                <w:rFonts w:asciiTheme="minorHAnsi" w:eastAsia="Times New Roman" w:hAnsiTheme="minorHAnsi" w:cstheme="minorHAnsi"/>
                <w:b/>
                <w:bCs/>
                <w:color w:val="000000"/>
                <w:sz w:val="20"/>
                <w:szCs w:val="20"/>
                <w:lang w:val="en-US"/>
              </w:rPr>
              <w:t>GR</w:t>
            </w:r>
            <w:r w:rsidR="00243C1D" w:rsidRPr="00872FD2">
              <w:rPr>
                <w:rFonts w:asciiTheme="minorHAnsi" w:eastAsia="Times New Roman" w:hAnsiTheme="minorHAnsi" w:cstheme="minorHAnsi"/>
                <w:b/>
                <w:bCs/>
                <w:color w:val="000000"/>
                <w:sz w:val="20"/>
                <w:szCs w:val="20"/>
              </w:rPr>
              <w:t>-</w:t>
            </w:r>
            <w:r w:rsidRPr="00872FD2">
              <w:rPr>
                <w:rFonts w:asciiTheme="minorHAnsi" w:eastAsia="Times New Roman" w:hAnsiTheme="minorHAnsi" w:cstheme="minorHAnsi"/>
                <w:b/>
                <w:bCs/>
                <w:color w:val="000000"/>
                <w:sz w:val="20"/>
                <w:szCs w:val="20"/>
              </w:rPr>
              <w:t>SMAQ</w:t>
            </w:r>
            <w:r w:rsidR="00243C1D" w:rsidRPr="00872FD2">
              <w:rPr>
                <w:rFonts w:asciiTheme="minorHAnsi" w:eastAsia="Times New Roman" w:hAnsiTheme="minorHAnsi" w:cstheme="minorHAnsi"/>
                <w:b/>
                <w:bCs/>
                <w:color w:val="000000"/>
                <w:sz w:val="20"/>
                <w:szCs w:val="20"/>
              </w:rPr>
              <w:t>-</w:t>
            </w:r>
            <w:r w:rsidR="00243C1D" w:rsidRPr="00872FD2">
              <w:rPr>
                <w:rFonts w:asciiTheme="minorHAnsi" w:eastAsia="Times New Roman" w:hAnsiTheme="minorHAnsi" w:cstheme="minorHAnsi"/>
                <w:b/>
                <w:bCs/>
                <w:color w:val="000000"/>
                <w:sz w:val="20"/>
                <w:szCs w:val="20"/>
                <w:lang w:val="en-US"/>
              </w:rPr>
              <w:t>HD</w:t>
            </w:r>
            <w:r w:rsidRPr="00872FD2">
              <w:rPr>
                <w:rFonts w:asciiTheme="minorHAnsi" w:eastAsia="Times New Roman" w:hAnsiTheme="minorHAnsi" w:cstheme="minorHAnsi"/>
                <w:b/>
                <w:bCs/>
                <w:color w:val="000000"/>
                <w:sz w:val="20"/>
                <w:szCs w:val="20"/>
              </w:rPr>
              <w:t>) (μεταβολή)</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b/>
                <w:bCs/>
                <w:color w:val="000000"/>
                <w:sz w:val="20"/>
                <w:szCs w:val="20"/>
              </w:rPr>
            </w:pPr>
          </w:p>
        </w:tc>
        <w:tc>
          <w:tcPr>
            <w:tcW w:w="2180" w:type="dxa"/>
            <w:gridSpan w:val="2"/>
            <w:hideMark/>
          </w:tcPr>
          <w:p w:rsidR="007E28F2" w:rsidRPr="00E56E5A" w:rsidRDefault="00243C1D" w:rsidP="00872FD2">
            <w:pPr>
              <w:spacing w:after="0" w:line="360" w:lineRule="auto"/>
              <w:jc w:val="center"/>
              <w:rPr>
                <w:rFonts w:asciiTheme="minorHAnsi" w:eastAsia="Times New Roman" w:hAnsiTheme="minorHAnsi" w:cstheme="minorHAnsi"/>
                <w:bCs/>
                <w:i/>
                <w:color w:val="000000"/>
                <w:sz w:val="20"/>
                <w:szCs w:val="20"/>
              </w:rPr>
            </w:pPr>
            <w:r w:rsidRPr="00E56E5A">
              <w:rPr>
                <w:rFonts w:asciiTheme="minorHAnsi" w:eastAsia="Times New Roman" w:hAnsiTheme="minorHAnsi" w:cstheme="minorHAnsi"/>
                <w:bCs/>
                <w:i/>
                <w:color w:val="000000"/>
                <w:sz w:val="20"/>
                <w:szCs w:val="20"/>
              </w:rPr>
              <w:t>Δίαι</w:t>
            </w:r>
            <w:r w:rsidR="0076474F" w:rsidRPr="00E56E5A">
              <w:rPr>
                <w:rFonts w:asciiTheme="minorHAnsi" w:eastAsia="Times New Roman" w:hAnsiTheme="minorHAnsi" w:cstheme="minorHAnsi"/>
                <w:bCs/>
                <w:i/>
                <w:color w:val="000000"/>
                <w:sz w:val="20"/>
                <w:szCs w:val="20"/>
              </w:rPr>
              <w:t>τα/Υγρά</w:t>
            </w:r>
            <w:r w:rsidR="007E28F2" w:rsidRPr="00E56E5A">
              <w:rPr>
                <w:rFonts w:asciiTheme="minorHAnsi" w:eastAsia="Times New Roman" w:hAnsiTheme="minorHAnsi" w:cstheme="minorHAnsi"/>
                <w:bCs/>
                <w:i/>
                <w:color w:val="000000"/>
                <w:sz w:val="20"/>
                <w:szCs w:val="20"/>
              </w:rPr>
              <w:t xml:space="preserve"> (μεταβολή)</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b/>
                <w:bCs/>
                <w:color w:val="000000"/>
                <w:sz w:val="20"/>
                <w:szCs w:val="20"/>
              </w:rPr>
            </w:pPr>
          </w:p>
        </w:tc>
      </w:tr>
      <w:tr w:rsidR="007E28F2" w:rsidRPr="00872FD2" w:rsidTr="009250AC">
        <w:trPr>
          <w:cnfStyle w:val="000000010000"/>
          <w:trHeight w:val="285"/>
          <w:jc w:val="center"/>
        </w:trPr>
        <w:tc>
          <w:tcPr>
            <w:tcW w:w="3017" w:type="dxa"/>
            <w:noWrap/>
            <w:hideMark/>
          </w:tcPr>
          <w:p w:rsidR="007E28F2" w:rsidRPr="00872FD2" w:rsidRDefault="007E28F2" w:rsidP="00872FD2">
            <w:pPr>
              <w:spacing w:after="0" w:line="360" w:lineRule="auto"/>
              <w:jc w:val="center"/>
              <w:rPr>
                <w:rFonts w:asciiTheme="minorHAnsi" w:eastAsia="Times New Roman" w:hAnsiTheme="minorHAnsi" w:cstheme="minorHAnsi"/>
                <w:b/>
                <w:bCs/>
                <w:color w:val="000000"/>
                <w:sz w:val="20"/>
                <w:szCs w:val="20"/>
              </w:rPr>
            </w:pPr>
          </w:p>
        </w:tc>
        <w:tc>
          <w:tcPr>
            <w:tcW w:w="201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p>
        </w:tc>
        <w:tc>
          <w:tcPr>
            <w:tcW w:w="1241" w:type="dxa"/>
            <w:hideMark/>
          </w:tcPr>
          <w:p w:rsidR="007E28F2" w:rsidRPr="00872FD2" w:rsidRDefault="007E28F2" w:rsidP="00872FD2">
            <w:pPr>
              <w:spacing w:after="0" w:line="360" w:lineRule="auto"/>
              <w:jc w:val="center"/>
              <w:rPr>
                <w:rFonts w:asciiTheme="minorHAnsi" w:eastAsia="Times New Roman" w:hAnsiTheme="minorHAnsi" w:cstheme="minorHAnsi"/>
                <w:b/>
                <w:bCs/>
                <w:color w:val="000000"/>
                <w:sz w:val="20"/>
                <w:szCs w:val="20"/>
              </w:rPr>
            </w:pPr>
            <w:r w:rsidRPr="00872FD2">
              <w:rPr>
                <w:rFonts w:asciiTheme="minorHAnsi" w:eastAsia="Times New Roman" w:hAnsiTheme="minorHAnsi" w:cstheme="minorHAnsi"/>
                <w:b/>
                <w:bCs/>
                <w:color w:val="000000"/>
                <w:sz w:val="20"/>
                <w:szCs w:val="20"/>
              </w:rPr>
              <w:t>Μέση τιμή (</w:t>
            </w:r>
            <w:r w:rsidR="00D225F5" w:rsidRPr="00872FD2">
              <w:rPr>
                <w:rFonts w:asciiTheme="minorHAnsi" w:eastAsia="Times New Roman" w:hAnsiTheme="minorHAnsi" w:cstheme="minorHAnsi"/>
                <w:b/>
                <w:bCs/>
                <w:color w:val="000000"/>
                <w:sz w:val="20"/>
                <w:szCs w:val="20"/>
              </w:rPr>
              <w:t>ΤΑ</w:t>
            </w:r>
            <w:r w:rsidRPr="00872FD2">
              <w:rPr>
                <w:rFonts w:asciiTheme="minorHAnsi" w:eastAsia="Times New Roman" w:hAnsiTheme="minorHAnsi" w:cstheme="minorHAnsi"/>
                <w:b/>
                <w:bCs/>
                <w:color w:val="000000"/>
                <w:sz w:val="20"/>
                <w:szCs w:val="20"/>
              </w:rPr>
              <w:t>)</w:t>
            </w:r>
          </w:p>
        </w:tc>
        <w:tc>
          <w:tcPr>
            <w:tcW w:w="1029" w:type="dxa"/>
            <w:hideMark/>
          </w:tcPr>
          <w:p w:rsidR="007E28F2" w:rsidRPr="00872FD2" w:rsidRDefault="007E28F2" w:rsidP="00872FD2">
            <w:pPr>
              <w:spacing w:after="0" w:line="360" w:lineRule="auto"/>
              <w:jc w:val="center"/>
              <w:rPr>
                <w:rFonts w:asciiTheme="minorHAnsi" w:eastAsia="Times New Roman" w:hAnsiTheme="minorHAnsi" w:cstheme="minorHAnsi"/>
                <w:b/>
                <w:bCs/>
                <w:color w:val="000000"/>
                <w:sz w:val="20"/>
                <w:szCs w:val="20"/>
              </w:rPr>
            </w:pPr>
            <w:r w:rsidRPr="00872FD2">
              <w:rPr>
                <w:rFonts w:asciiTheme="minorHAnsi" w:eastAsia="Times New Roman" w:hAnsiTheme="minorHAnsi" w:cstheme="minorHAnsi"/>
                <w:b/>
                <w:bCs/>
                <w:color w:val="000000"/>
                <w:sz w:val="20"/>
                <w:szCs w:val="20"/>
              </w:rPr>
              <w:t>Διάμεσος (Ενδ. εύρος)</w:t>
            </w:r>
          </w:p>
        </w:tc>
        <w:tc>
          <w:tcPr>
            <w:tcW w:w="960" w:type="dxa"/>
            <w:hideMark/>
          </w:tcPr>
          <w:p w:rsidR="007E28F2" w:rsidRPr="00872FD2" w:rsidRDefault="007E28F2" w:rsidP="00872FD2">
            <w:pPr>
              <w:spacing w:after="0" w:line="360" w:lineRule="auto"/>
              <w:jc w:val="center"/>
              <w:rPr>
                <w:rFonts w:asciiTheme="minorHAnsi" w:eastAsia="Times New Roman" w:hAnsiTheme="minorHAnsi" w:cstheme="minorHAnsi"/>
                <w:b/>
                <w:bCs/>
                <w:color w:val="000000"/>
                <w:sz w:val="20"/>
                <w:szCs w:val="20"/>
              </w:rPr>
            </w:pPr>
            <w:r w:rsidRPr="00872FD2">
              <w:rPr>
                <w:rFonts w:asciiTheme="minorHAnsi" w:eastAsia="Times New Roman" w:hAnsiTheme="minorHAnsi" w:cstheme="minorHAnsi"/>
                <w:b/>
                <w:bCs/>
                <w:color w:val="000000"/>
                <w:sz w:val="20"/>
                <w:szCs w:val="20"/>
              </w:rPr>
              <w:t>P Mann-Whitney test</w:t>
            </w:r>
          </w:p>
        </w:tc>
        <w:tc>
          <w:tcPr>
            <w:tcW w:w="1151" w:type="dxa"/>
            <w:hideMark/>
          </w:tcPr>
          <w:p w:rsidR="007E28F2" w:rsidRPr="00872FD2" w:rsidRDefault="007E28F2" w:rsidP="00872FD2">
            <w:pPr>
              <w:spacing w:after="0" w:line="360" w:lineRule="auto"/>
              <w:jc w:val="center"/>
              <w:rPr>
                <w:rFonts w:asciiTheme="minorHAnsi" w:eastAsia="Times New Roman" w:hAnsiTheme="minorHAnsi" w:cstheme="minorHAnsi"/>
                <w:b/>
                <w:bCs/>
                <w:color w:val="000000"/>
                <w:sz w:val="20"/>
                <w:szCs w:val="20"/>
              </w:rPr>
            </w:pPr>
            <w:r w:rsidRPr="00872FD2">
              <w:rPr>
                <w:rFonts w:asciiTheme="minorHAnsi" w:eastAsia="Times New Roman" w:hAnsiTheme="minorHAnsi" w:cstheme="minorHAnsi"/>
                <w:b/>
                <w:bCs/>
                <w:color w:val="000000"/>
                <w:sz w:val="20"/>
                <w:szCs w:val="20"/>
              </w:rPr>
              <w:t>Μέση τιμή (</w:t>
            </w:r>
            <w:r w:rsidR="00D225F5" w:rsidRPr="00872FD2">
              <w:rPr>
                <w:rFonts w:asciiTheme="minorHAnsi" w:eastAsia="Times New Roman" w:hAnsiTheme="minorHAnsi" w:cstheme="minorHAnsi"/>
                <w:b/>
                <w:bCs/>
                <w:color w:val="000000"/>
                <w:sz w:val="20"/>
                <w:szCs w:val="20"/>
              </w:rPr>
              <w:t>ΤΑ</w:t>
            </w:r>
            <w:r w:rsidRPr="00872FD2">
              <w:rPr>
                <w:rFonts w:asciiTheme="minorHAnsi" w:eastAsia="Times New Roman" w:hAnsiTheme="minorHAnsi" w:cstheme="minorHAnsi"/>
                <w:b/>
                <w:bCs/>
                <w:color w:val="000000"/>
                <w:sz w:val="20"/>
                <w:szCs w:val="20"/>
              </w:rPr>
              <w:t>)</w:t>
            </w:r>
          </w:p>
        </w:tc>
        <w:tc>
          <w:tcPr>
            <w:tcW w:w="1029" w:type="dxa"/>
            <w:hideMark/>
          </w:tcPr>
          <w:p w:rsidR="007E28F2" w:rsidRPr="00872FD2" w:rsidRDefault="007E28F2" w:rsidP="00872FD2">
            <w:pPr>
              <w:spacing w:after="0" w:line="360" w:lineRule="auto"/>
              <w:jc w:val="center"/>
              <w:rPr>
                <w:rFonts w:asciiTheme="minorHAnsi" w:eastAsia="Times New Roman" w:hAnsiTheme="minorHAnsi" w:cstheme="minorHAnsi"/>
                <w:b/>
                <w:bCs/>
                <w:color w:val="000000"/>
                <w:sz w:val="20"/>
                <w:szCs w:val="20"/>
              </w:rPr>
            </w:pPr>
            <w:r w:rsidRPr="00872FD2">
              <w:rPr>
                <w:rFonts w:asciiTheme="minorHAnsi" w:eastAsia="Times New Roman" w:hAnsiTheme="minorHAnsi" w:cstheme="minorHAnsi"/>
                <w:b/>
                <w:bCs/>
                <w:color w:val="000000"/>
                <w:sz w:val="20"/>
                <w:szCs w:val="20"/>
              </w:rPr>
              <w:t>Διάμεσος (Ενδ. εύρος)</w:t>
            </w:r>
          </w:p>
        </w:tc>
        <w:tc>
          <w:tcPr>
            <w:tcW w:w="960" w:type="dxa"/>
            <w:hideMark/>
          </w:tcPr>
          <w:p w:rsidR="007E28F2" w:rsidRPr="00872FD2" w:rsidRDefault="007E28F2" w:rsidP="00872FD2">
            <w:pPr>
              <w:spacing w:after="0" w:line="360" w:lineRule="auto"/>
              <w:jc w:val="center"/>
              <w:rPr>
                <w:rFonts w:asciiTheme="minorHAnsi" w:eastAsia="Times New Roman" w:hAnsiTheme="minorHAnsi" w:cstheme="minorHAnsi"/>
                <w:b/>
                <w:bCs/>
                <w:color w:val="000000"/>
                <w:sz w:val="20"/>
                <w:szCs w:val="20"/>
              </w:rPr>
            </w:pPr>
            <w:r w:rsidRPr="00872FD2">
              <w:rPr>
                <w:rFonts w:asciiTheme="minorHAnsi" w:eastAsia="Times New Roman" w:hAnsiTheme="minorHAnsi" w:cstheme="minorHAnsi"/>
                <w:b/>
                <w:bCs/>
                <w:color w:val="000000"/>
                <w:sz w:val="20"/>
                <w:szCs w:val="20"/>
              </w:rPr>
              <w:t>P Mann-Whitney test</w:t>
            </w:r>
          </w:p>
        </w:tc>
      </w:tr>
      <w:tr w:rsidR="007E28F2" w:rsidRPr="00872FD2" w:rsidTr="009250AC">
        <w:trPr>
          <w:cnfStyle w:val="000000100000"/>
          <w:trHeight w:val="285"/>
          <w:jc w:val="center"/>
        </w:trPr>
        <w:tc>
          <w:tcPr>
            <w:tcW w:w="3017" w:type="dxa"/>
            <w:vMerge w:val="restart"/>
            <w:hideMark/>
          </w:tcPr>
          <w:p w:rsidR="007E28F2" w:rsidRPr="00E56E5A" w:rsidRDefault="007E28F2" w:rsidP="00872FD2">
            <w:pPr>
              <w:spacing w:after="0" w:line="360" w:lineRule="auto"/>
              <w:jc w:val="center"/>
              <w:rPr>
                <w:rFonts w:asciiTheme="minorHAnsi" w:eastAsia="Times New Roman" w:hAnsiTheme="minorHAnsi" w:cstheme="minorHAnsi"/>
                <w:b/>
                <w:bCs/>
                <w:sz w:val="20"/>
                <w:szCs w:val="20"/>
              </w:rPr>
            </w:pPr>
            <w:r w:rsidRPr="00E56E5A">
              <w:rPr>
                <w:rFonts w:asciiTheme="minorHAnsi" w:eastAsia="Times New Roman" w:hAnsiTheme="minorHAnsi" w:cstheme="minorHAnsi"/>
                <w:sz w:val="20"/>
                <w:szCs w:val="20"/>
              </w:rPr>
              <w:t>Φύλο</w:t>
            </w:r>
          </w:p>
        </w:tc>
        <w:tc>
          <w:tcPr>
            <w:tcW w:w="2019" w:type="dxa"/>
            <w:hideMark/>
          </w:tcPr>
          <w:p w:rsidR="007E28F2" w:rsidRPr="00872FD2" w:rsidRDefault="00E56E5A"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Άνδρας</w:t>
            </w:r>
          </w:p>
        </w:tc>
        <w:tc>
          <w:tcPr>
            <w:tcW w:w="124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0,21 (0,43)</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0,414</w:t>
            </w:r>
          </w:p>
        </w:tc>
        <w:tc>
          <w:tcPr>
            <w:tcW w:w="115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0,13 (0,35)</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0,056</w:t>
            </w:r>
          </w:p>
        </w:tc>
      </w:tr>
      <w:tr w:rsidR="007E28F2" w:rsidRPr="00872FD2" w:rsidTr="009250AC">
        <w:trPr>
          <w:cnfStyle w:val="000000010000"/>
          <w:trHeight w:val="285"/>
          <w:jc w:val="center"/>
        </w:trPr>
        <w:tc>
          <w:tcPr>
            <w:tcW w:w="3017" w:type="dxa"/>
            <w:vMerge/>
            <w:hideMark/>
          </w:tcPr>
          <w:p w:rsidR="007E28F2" w:rsidRPr="00E56E5A" w:rsidRDefault="007E28F2" w:rsidP="00872FD2">
            <w:pPr>
              <w:spacing w:after="0" w:line="360" w:lineRule="auto"/>
              <w:jc w:val="center"/>
              <w:rPr>
                <w:rFonts w:asciiTheme="minorHAnsi" w:eastAsia="Times New Roman" w:hAnsiTheme="minorHAnsi" w:cstheme="minorHAnsi"/>
                <w:b/>
                <w:bCs/>
                <w:sz w:val="20"/>
                <w:szCs w:val="20"/>
              </w:rPr>
            </w:pPr>
          </w:p>
        </w:tc>
        <w:tc>
          <w:tcPr>
            <w:tcW w:w="2019" w:type="dxa"/>
            <w:hideMark/>
          </w:tcPr>
          <w:p w:rsidR="007E28F2" w:rsidRPr="00872FD2" w:rsidRDefault="00E56E5A"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Γυναίκα</w:t>
            </w:r>
          </w:p>
        </w:tc>
        <w:tc>
          <w:tcPr>
            <w:tcW w:w="124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0,5 (0,71)</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(0 - 1)</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p>
        </w:tc>
        <w:tc>
          <w:tcPr>
            <w:tcW w:w="115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0,5 (0,71)</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(0 - 1)</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p>
        </w:tc>
      </w:tr>
      <w:tr w:rsidR="007E28F2" w:rsidRPr="00872FD2" w:rsidTr="009250AC">
        <w:trPr>
          <w:cnfStyle w:val="000000100000"/>
          <w:trHeight w:val="285"/>
          <w:jc w:val="center"/>
        </w:trPr>
        <w:tc>
          <w:tcPr>
            <w:tcW w:w="3017" w:type="dxa"/>
            <w:vMerge w:val="restart"/>
            <w:hideMark/>
          </w:tcPr>
          <w:p w:rsidR="007E28F2" w:rsidRPr="00E56E5A" w:rsidRDefault="007E28F2" w:rsidP="00872FD2">
            <w:pPr>
              <w:spacing w:after="0" w:line="360" w:lineRule="auto"/>
              <w:jc w:val="center"/>
              <w:rPr>
                <w:rFonts w:asciiTheme="minorHAnsi" w:eastAsia="Times New Roman" w:hAnsiTheme="minorHAnsi" w:cstheme="minorHAnsi"/>
                <w:b/>
                <w:bCs/>
                <w:sz w:val="20"/>
                <w:szCs w:val="20"/>
              </w:rPr>
            </w:pPr>
            <w:r w:rsidRPr="00E56E5A">
              <w:rPr>
                <w:rFonts w:asciiTheme="minorHAnsi" w:eastAsia="Times New Roman" w:hAnsiTheme="minorHAnsi" w:cstheme="minorHAnsi"/>
                <w:sz w:val="20"/>
                <w:szCs w:val="20"/>
              </w:rPr>
              <w:t>Έγγαμοι</w:t>
            </w:r>
          </w:p>
        </w:tc>
        <w:tc>
          <w:tcPr>
            <w:tcW w:w="2019" w:type="dxa"/>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Όχι</w:t>
            </w:r>
          </w:p>
        </w:tc>
        <w:tc>
          <w:tcPr>
            <w:tcW w:w="124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0,3 (0,48)</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(0 - 1)</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0,375</w:t>
            </w:r>
          </w:p>
        </w:tc>
        <w:tc>
          <w:tcPr>
            <w:tcW w:w="115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0,27 (0,47)</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(0 - 1)</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0,454</w:t>
            </w:r>
          </w:p>
        </w:tc>
      </w:tr>
      <w:tr w:rsidR="007E28F2" w:rsidRPr="00872FD2" w:rsidTr="009250AC">
        <w:trPr>
          <w:cnfStyle w:val="000000010000"/>
          <w:trHeight w:val="285"/>
          <w:jc w:val="center"/>
        </w:trPr>
        <w:tc>
          <w:tcPr>
            <w:tcW w:w="3017" w:type="dxa"/>
            <w:vMerge/>
            <w:hideMark/>
          </w:tcPr>
          <w:p w:rsidR="007E28F2" w:rsidRPr="00E56E5A" w:rsidRDefault="007E28F2" w:rsidP="00872FD2">
            <w:pPr>
              <w:spacing w:after="0" w:line="360" w:lineRule="auto"/>
              <w:jc w:val="center"/>
              <w:rPr>
                <w:rFonts w:asciiTheme="minorHAnsi" w:eastAsia="Times New Roman" w:hAnsiTheme="minorHAnsi" w:cstheme="minorHAnsi"/>
                <w:b/>
                <w:bCs/>
                <w:sz w:val="20"/>
                <w:szCs w:val="20"/>
              </w:rPr>
            </w:pPr>
          </w:p>
        </w:tc>
        <w:tc>
          <w:tcPr>
            <w:tcW w:w="2019" w:type="dxa"/>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Ναι</w:t>
            </w:r>
          </w:p>
        </w:tc>
        <w:tc>
          <w:tcPr>
            <w:tcW w:w="124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0,36 (0,63)</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(0 - 1)</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p>
        </w:tc>
        <w:tc>
          <w:tcPr>
            <w:tcW w:w="115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0,29 (0,61)</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p>
        </w:tc>
      </w:tr>
      <w:tr w:rsidR="007E28F2" w:rsidRPr="00872FD2" w:rsidTr="009250AC">
        <w:trPr>
          <w:cnfStyle w:val="000000100000"/>
          <w:trHeight w:val="285"/>
          <w:jc w:val="center"/>
        </w:trPr>
        <w:tc>
          <w:tcPr>
            <w:tcW w:w="3017" w:type="dxa"/>
            <w:vMerge w:val="restart"/>
            <w:hideMark/>
          </w:tcPr>
          <w:p w:rsidR="007E28F2" w:rsidRPr="00E56E5A" w:rsidRDefault="007E28F2" w:rsidP="00872FD2">
            <w:pPr>
              <w:spacing w:after="0" w:line="360" w:lineRule="auto"/>
              <w:jc w:val="center"/>
              <w:rPr>
                <w:rFonts w:asciiTheme="minorHAnsi" w:eastAsia="Times New Roman" w:hAnsiTheme="minorHAnsi" w:cstheme="minorHAnsi"/>
                <w:b/>
                <w:bCs/>
                <w:sz w:val="20"/>
                <w:szCs w:val="20"/>
              </w:rPr>
            </w:pPr>
            <w:r w:rsidRPr="00E56E5A">
              <w:rPr>
                <w:rFonts w:asciiTheme="minorHAnsi" w:eastAsia="Times New Roman" w:hAnsiTheme="minorHAnsi" w:cstheme="minorHAnsi"/>
                <w:sz w:val="20"/>
                <w:szCs w:val="20"/>
              </w:rPr>
              <w:t>Παιδιά</w:t>
            </w:r>
          </w:p>
        </w:tc>
        <w:tc>
          <w:tcPr>
            <w:tcW w:w="2019" w:type="dxa"/>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Όχι</w:t>
            </w:r>
          </w:p>
        </w:tc>
        <w:tc>
          <w:tcPr>
            <w:tcW w:w="124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0,25 (0,46)</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(0 - 0,5)</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0,453</w:t>
            </w:r>
          </w:p>
        </w:tc>
        <w:tc>
          <w:tcPr>
            <w:tcW w:w="115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0,22 (0,44)</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0,091</w:t>
            </w:r>
          </w:p>
        </w:tc>
      </w:tr>
      <w:tr w:rsidR="007E28F2" w:rsidRPr="00872FD2" w:rsidTr="009250AC">
        <w:trPr>
          <w:cnfStyle w:val="000000010000"/>
          <w:trHeight w:val="285"/>
          <w:jc w:val="center"/>
        </w:trPr>
        <w:tc>
          <w:tcPr>
            <w:tcW w:w="3017" w:type="dxa"/>
            <w:vMerge/>
            <w:hideMark/>
          </w:tcPr>
          <w:p w:rsidR="007E28F2" w:rsidRPr="00E56E5A" w:rsidRDefault="007E28F2" w:rsidP="00872FD2">
            <w:pPr>
              <w:spacing w:after="0" w:line="360" w:lineRule="auto"/>
              <w:jc w:val="center"/>
              <w:rPr>
                <w:rFonts w:asciiTheme="minorHAnsi" w:eastAsia="Times New Roman" w:hAnsiTheme="minorHAnsi" w:cstheme="minorHAnsi"/>
                <w:b/>
                <w:bCs/>
                <w:sz w:val="20"/>
                <w:szCs w:val="20"/>
              </w:rPr>
            </w:pPr>
          </w:p>
        </w:tc>
        <w:tc>
          <w:tcPr>
            <w:tcW w:w="2019" w:type="dxa"/>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Ναι</w:t>
            </w:r>
          </w:p>
        </w:tc>
        <w:tc>
          <w:tcPr>
            <w:tcW w:w="124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0,38 (0,62)</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(0 - 1)</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p>
        </w:tc>
        <w:tc>
          <w:tcPr>
            <w:tcW w:w="115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0,31 (0,6)</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(0 - 0,5)</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p>
        </w:tc>
      </w:tr>
      <w:tr w:rsidR="007E28F2" w:rsidRPr="00872FD2" w:rsidTr="009250AC">
        <w:trPr>
          <w:cnfStyle w:val="000000100000"/>
          <w:trHeight w:val="285"/>
          <w:jc w:val="center"/>
        </w:trPr>
        <w:tc>
          <w:tcPr>
            <w:tcW w:w="3017" w:type="dxa"/>
            <w:vMerge w:val="restart"/>
            <w:hideMark/>
          </w:tcPr>
          <w:p w:rsidR="007E28F2" w:rsidRPr="00E56E5A" w:rsidRDefault="007E28F2" w:rsidP="00872FD2">
            <w:pPr>
              <w:spacing w:after="0" w:line="360" w:lineRule="auto"/>
              <w:jc w:val="center"/>
              <w:rPr>
                <w:rFonts w:asciiTheme="minorHAnsi" w:eastAsia="Times New Roman" w:hAnsiTheme="minorHAnsi" w:cstheme="minorHAnsi"/>
                <w:b/>
                <w:bCs/>
                <w:sz w:val="20"/>
                <w:szCs w:val="20"/>
              </w:rPr>
            </w:pPr>
            <w:r w:rsidRPr="00E56E5A">
              <w:rPr>
                <w:rFonts w:asciiTheme="minorHAnsi" w:eastAsia="Times New Roman" w:hAnsiTheme="minorHAnsi" w:cstheme="minorHAnsi"/>
                <w:sz w:val="20"/>
                <w:szCs w:val="20"/>
              </w:rPr>
              <w:t>Μένετε μόνος;</w:t>
            </w:r>
          </w:p>
        </w:tc>
        <w:tc>
          <w:tcPr>
            <w:tcW w:w="2019" w:type="dxa"/>
            <w:hideMark/>
          </w:tcPr>
          <w:p w:rsidR="007E28F2" w:rsidRPr="00872FD2" w:rsidRDefault="00605F71"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Ν</w:t>
            </w:r>
            <w:r w:rsidR="007E28F2" w:rsidRPr="00872FD2">
              <w:rPr>
                <w:rFonts w:asciiTheme="minorHAnsi" w:eastAsia="Times New Roman" w:hAnsiTheme="minorHAnsi" w:cstheme="minorHAnsi"/>
                <w:color w:val="000000"/>
                <w:sz w:val="20"/>
                <w:szCs w:val="20"/>
              </w:rPr>
              <w:t>αι</w:t>
            </w:r>
          </w:p>
        </w:tc>
        <w:tc>
          <w:tcPr>
            <w:tcW w:w="124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0,2 (0,45)</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0,617</w:t>
            </w:r>
          </w:p>
        </w:tc>
        <w:tc>
          <w:tcPr>
            <w:tcW w:w="115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0,2 (0,45)</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0,149</w:t>
            </w:r>
          </w:p>
        </w:tc>
      </w:tr>
      <w:tr w:rsidR="007E28F2" w:rsidRPr="00872FD2" w:rsidTr="009250AC">
        <w:trPr>
          <w:cnfStyle w:val="000000010000"/>
          <w:trHeight w:val="285"/>
          <w:jc w:val="center"/>
        </w:trPr>
        <w:tc>
          <w:tcPr>
            <w:tcW w:w="3017" w:type="dxa"/>
            <w:vMerge/>
            <w:hideMark/>
          </w:tcPr>
          <w:p w:rsidR="007E28F2" w:rsidRPr="00E56E5A" w:rsidRDefault="007E28F2" w:rsidP="00872FD2">
            <w:pPr>
              <w:spacing w:after="0" w:line="360" w:lineRule="auto"/>
              <w:jc w:val="center"/>
              <w:rPr>
                <w:rFonts w:asciiTheme="minorHAnsi" w:eastAsia="Times New Roman" w:hAnsiTheme="minorHAnsi" w:cstheme="minorHAnsi"/>
                <w:b/>
                <w:bCs/>
                <w:sz w:val="20"/>
                <w:szCs w:val="20"/>
              </w:rPr>
            </w:pPr>
          </w:p>
        </w:tc>
        <w:tc>
          <w:tcPr>
            <w:tcW w:w="2019" w:type="dxa"/>
            <w:hideMark/>
          </w:tcPr>
          <w:p w:rsidR="007E28F2" w:rsidRPr="00872FD2" w:rsidRDefault="00605F71"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Ό</w:t>
            </w:r>
            <w:r w:rsidR="007E28F2" w:rsidRPr="00872FD2">
              <w:rPr>
                <w:rFonts w:asciiTheme="minorHAnsi" w:eastAsia="Times New Roman" w:hAnsiTheme="minorHAnsi" w:cstheme="minorHAnsi"/>
                <w:color w:val="000000"/>
                <w:sz w:val="20"/>
                <w:szCs w:val="20"/>
              </w:rPr>
              <w:t>χι</w:t>
            </w:r>
          </w:p>
        </w:tc>
        <w:tc>
          <w:tcPr>
            <w:tcW w:w="124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0,37 (0,6)</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(0 - 1)</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p>
        </w:tc>
        <w:tc>
          <w:tcPr>
            <w:tcW w:w="115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0,3 (0,57)</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(0 - 0,5)</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p>
        </w:tc>
      </w:tr>
      <w:tr w:rsidR="007E28F2" w:rsidRPr="00872FD2" w:rsidTr="009250AC">
        <w:trPr>
          <w:cnfStyle w:val="000000100000"/>
          <w:trHeight w:val="285"/>
          <w:jc w:val="center"/>
        </w:trPr>
        <w:tc>
          <w:tcPr>
            <w:tcW w:w="3017" w:type="dxa"/>
            <w:vMerge w:val="restart"/>
            <w:hideMark/>
          </w:tcPr>
          <w:p w:rsidR="007E28F2" w:rsidRPr="00E56E5A" w:rsidRDefault="000D053B" w:rsidP="00872FD2">
            <w:pPr>
              <w:spacing w:after="0" w:line="360" w:lineRule="auto"/>
              <w:jc w:val="center"/>
              <w:rPr>
                <w:rFonts w:asciiTheme="minorHAnsi" w:eastAsia="Times New Roman" w:hAnsiTheme="minorHAnsi" w:cstheme="minorHAnsi"/>
                <w:b/>
                <w:bCs/>
                <w:sz w:val="20"/>
                <w:szCs w:val="20"/>
              </w:rPr>
            </w:pPr>
            <w:r w:rsidRPr="00E56E5A">
              <w:rPr>
                <w:rFonts w:asciiTheme="minorHAnsi" w:eastAsia="Times New Roman" w:hAnsiTheme="minorHAnsi" w:cstheme="minorHAnsi"/>
                <w:sz w:val="20"/>
                <w:szCs w:val="20"/>
              </w:rPr>
              <w:t>Εκπαιδευτικό</w:t>
            </w:r>
            <w:r w:rsidR="007E28F2" w:rsidRPr="00E56E5A">
              <w:rPr>
                <w:rFonts w:asciiTheme="minorHAnsi" w:eastAsia="Times New Roman" w:hAnsiTheme="minorHAnsi" w:cstheme="minorHAnsi"/>
                <w:sz w:val="20"/>
                <w:szCs w:val="20"/>
              </w:rPr>
              <w:t xml:space="preserve"> επίπεδο</w:t>
            </w:r>
          </w:p>
        </w:tc>
        <w:tc>
          <w:tcPr>
            <w:tcW w:w="2019" w:type="dxa"/>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Μέχρι και Λύκειο</w:t>
            </w:r>
          </w:p>
        </w:tc>
        <w:tc>
          <w:tcPr>
            <w:tcW w:w="124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0,39 (0,61)</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(0 - 1)</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0,574</w:t>
            </w:r>
          </w:p>
        </w:tc>
        <w:tc>
          <w:tcPr>
            <w:tcW w:w="115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0,32 (0,58)</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(0 - 1)</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0,318</w:t>
            </w:r>
          </w:p>
        </w:tc>
      </w:tr>
      <w:tr w:rsidR="007E28F2" w:rsidRPr="00872FD2" w:rsidTr="009250AC">
        <w:trPr>
          <w:cnfStyle w:val="000000010000"/>
          <w:trHeight w:val="285"/>
          <w:jc w:val="center"/>
        </w:trPr>
        <w:tc>
          <w:tcPr>
            <w:tcW w:w="3017" w:type="dxa"/>
            <w:vMerge/>
            <w:hideMark/>
          </w:tcPr>
          <w:p w:rsidR="007E28F2" w:rsidRPr="00E56E5A" w:rsidRDefault="007E28F2" w:rsidP="00872FD2">
            <w:pPr>
              <w:spacing w:after="0" w:line="360" w:lineRule="auto"/>
              <w:jc w:val="center"/>
              <w:rPr>
                <w:rFonts w:asciiTheme="minorHAnsi" w:eastAsia="Times New Roman" w:hAnsiTheme="minorHAnsi" w:cstheme="minorHAnsi"/>
                <w:b/>
                <w:bCs/>
                <w:sz w:val="20"/>
                <w:szCs w:val="20"/>
              </w:rPr>
            </w:pPr>
          </w:p>
        </w:tc>
        <w:tc>
          <w:tcPr>
            <w:tcW w:w="2019" w:type="dxa"/>
            <w:hideMark/>
          </w:tcPr>
          <w:p w:rsidR="007E28F2" w:rsidRPr="00E56E5A" w:rsidRDefault="007E28F2" w:rsidP="00872FD2">
            <w:pPr>
              <w:spacing w:after="0" w:line="360" w:lineRule="auto"/>
              <w:jc w:val="center"/>
              <w:rPr>
                <w:rFonts w:asciiTheme="minorHAnsi" w:eastAsia="Times New Roman" w:hAnsiTheme="minorHAnsi" w:cstheme="minorHAnsi"/>
                <w:sz w:val="20"/>
                <w:szCs w:val="20"/>
              </w:rPr>
            </w:pPr>
            <w:r w:rsidRPr="00E56E5A">
              <w:rPr>
                <w:rFonts w:asciiTheme="minorHAnsi" w:eastAsia="Times New Roman" w:hAnsiTheme="minorHAnsi" w:cstheme="minorHAnsi"/>
                <w:sz w:val="20"/>
                <w:szCs w:val="20"/>
              </w:rPr>
              <w:t>Πάνω από Λύκειο</w:t>
            </w:r>
          </w:p>
        </w:tc>
        <w:tc>
          <w:tcPr>
            <w:tcW w:w="124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0,17 (0,41)</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p>
        </w:tc>
        <w:tc>
          <w:tcPr>
            <w:tcW w:w="115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0,17 (0,41)</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p>
        </w:tc>
      </w:tr>
      <w:tr w:rsidR="007E28F2" w:rsidRPr="00872FD2" w:rsidTr="009250AC">
        <w:trPr>
          <w:cnfStyle w:val="000000100000"/>
          <w:trHeight w:val="285"/>
          <w:jc w:val="center"/>
        </w:trPr>
        <w:tc>
          <w:tcPr>
            <w:tcW w:w="3017" w:type="dxa"/>
            <w:vMerge w:val="restart"/>
            <w:hideMark/>
          </w:tcPr>
          <w:p w:rsidR="007E28F2" w:rsidRPr="00E56E5A" w:rsidRDefault="007E28F2" w:rsidP="00872FD2">
            <w:pPr>
              <w:spacing w:after="0" w:line="360" w:lineRule="auto"/>
              <w:jc w:val="center"/>
              <w:rPr>
                <w:rFonts w:asciiTheme="minorHAnsi" w:eastAsia="Times New Roman" w:hAnsiTheme="minorHAnsi" w:cstheme="minorHAnsi"/>
                <w:b/>
                <w:bCs/>
                <w:sz w:val="20"/>
                <w:szCs w:val="20"/>
              </w:rPr>
            </w:pPr>
            <w:r w:rsidRPr="00E56E5A">
              <w:rPr>
                <w:rFonts w:asciiTheme="minorHAnsi" w:eastAsia="Times New Roman" w:hAnsiTheme="minorHAnsi" w:cstheme="minorHAnsi"/>
                <w:sz w:val="20"/>
                <w:szCs w:val="20"/>
              </w:rPr>
              <w:t xml:space="preserve">Πάσχετε από </w:t>
            </w:r>
            <w:r w:rsidR="0095691A">
              <w:rPr>
                <w:rFonts w:asciiTheme="minorHAnsi" w:eastAsia="Times New Roman" w:hAnsiTheme="minorHAnsi" w:cstheme="minorHAnsi"/>
                <w:sz w:val="20"/>
                <w:szCs w:val="20"/>
              </w:rPr>
              <w:t>Σακχαρώδη Διαβήτη</w:t>
            </w:r>
            <w:r w:rsidR="0095691A" w:rsidRPr="00E56E5A">
              <w:rPr>
                <w:rFonts w:asciiTheme="minorHAnsi" w:eastAsia="Times New Roman" w:hAnsiTheme="minorHAnsi" w:cstheme="minorHAnsi"/>
                <w:sz w:val="20"/>
                <w:szCs w:val="20"/>
              </w:rPr>
              <w:t>,</w:t>
            </w:r>
            <w:r w:rsidRPr="00E56E5A">
              <w:rPr>
                <w:rFonts w:asciiTheme="minorHAnsi" w:eastAsia="Times New Roman" w:hAnsiTheme="minorHAnsi" w:cstheme="minorHAnsi"/>
                <w:sz w:val="20"/>
                <w:szCs w:val="20"/>
              </w:rPr>
              <w:t xml:space="preserve"> υπέρταση, σπειραματονεφρίτιδα, πολυκυστική νόσο ή άλλο;</w:t>
            </w:r>
          </w:p>
        </w:tc>
        <w:tc>
          <w:tcPr>
            <w:tcW w:w="2019" w:type="dxa"/>
            <w:hideMark/>
          </w:tcPr>
          <w:p w:rsidR="007E28F2" w:rsidRPr="00E56E5A" w:rsidRDefault="0095691A" w:rsidP="00872FD2">
            <w:pPr>
              <w:spacing w:after="0" w:line="360" w:lineRule="auto"/>
              <w:jc w:val="center"/>
              <w:rPr>
                <w:rFonts w:asciiTheme="minorHAnsi" w:eastAsia="Times New Roman" w:hAnsiTheme="minorHAnsi" w:cstheme="minorHAnsi"/>
                <w:sz w:val="20"/>
                <w:szCs w:val="20"/>
              </w:rPr>
            </w:pPr>
            <w:r>
              <w:rPr>
                <w:rFonts w:asciiTheme="minorHAnsi" w:eastAsia="Times New Roman" w:hAnsiTheme="minorHAnsi" w:cstheme="minorHAnsi"/>
                <w:sz w:val="20"/>
                <w:szCs w:val="20"/>
              </w:rPr>
              <w:t>Σακχαρώδη Διαβήτη</w:t>
            </w:r>
          </w:p>
        </w:tc>
        <w:tc>
          <w:tcPr>
            <w:tcW w:w="124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0,2 (0,45)</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1,000*</w:t>
            </w:r>
          </w:p>
        </w:tc>
        <w:tc>
          <w:tcPr>
            <w:tcW w:w="115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0,17 (0,41)</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0,737*</w:t>
            </w:r>
          </w:p>
        </w:tc>
      </w:tr>
      <w:tr w:rsidR="007E28F2" w:rsidRPr="00872FD2" w:rsidTr="009250AC">
        <w:trPr>
          <w:cnfStyle w:val="000000010000"/>
          <w:trHeight w:val="285"/>
          <w:jc w:val="center"/>
        </w:trPr>
        <w:tc>
          <w:tcPr>
            <w:tcW w:w="3017" w:type="dxa"/>
            <w:vMerge/>
            <w:hideMark/>
          </w:tcPr>
          <w:p w:rsidR="007E28F2" w:rsidRPr="00872FD2" w:rsidRDefault="007E28F2" w:rsidP="00872FD2">
            <w:pPr>
              <w:spacing w:after="0" w:line="360" w:lineRule="auto"/>
              <w:jc w:val="center"/>
              <w:rPr>
                <w:rFonts w:asciiTheme="minorHAnsi" w:eastAsia="Times New Roman" w:hAnsiTheme="minorHAnsi" w:cstheme="minorHAnsi"/>
                <w:b/>
                <w:bCs/>
                <w:color w:val="000000"/>
                <w:sz w:val="20"/>
                <w:szCs w:val="20"/>
              </w:rPr>
            </w:pPr>
          </w:p>
        </w:tc>
        <w:tc>
          <w:tcPr>
            <w:tcW w:w="2019" w:type="dxa"/>
            <w:hideMark/>
          </w:tcPr>
          <w:p w:rsidR="007E28F2" w:rsidRPr="00E56E5A" w:rsidRDefault="00E56E5A" w:rsidP="00872FD2">
            <w:pPr>
              <w:spacing w:after="0" w:line="360" w:lineRule="auto"/>
              <w:jc w:val="center"/>
              <w:rPr>
                <w:rFonts w:asciiTheme="minorHAnsi" w:eastAsia="Times New Roman" w:hAnsiTheme="minorHAnsi" w:cstheme="minorHAnsi"/>
                <w:sz w:val="20"/>
                <w:szCs w:val="20"/>
              </w:rPr>
            </w:pPr>
            <w:r w:rsidRPr="00E56E5A">
              <w:rPr>
                <w:rFonts w:asciiTheme="minorHAnsi" w:eastAsia="Times New Roman" w:hAnsiTheme="minorHAnsi" w:cstheme="minorHAnsi"/>
                <w:sz w:val="20"/>
                <w:szCs w:val="20"/>
              </w:rPr>
              <w:t>Υπέρταση</w:t>
            </w:r>
          </w:p>
        </w:tc>
        <w:tc>
          <w:tcPr>
            <w:tcW w:w="124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0,56 (0,73)</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(0 - 1)</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p>
        </w:tc>
        <w:tc>
          <w:tcPr>
            <w:tcW w:w="115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0,56 (0,73)</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(0 - 1)</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p>
        </w:tc>
      </w:tr>
      <w:tr w:rsidR="007E28F2" w:rsidRPr="00872FD2" w:rsidTr="009250AC">
        <w:trPr>
          <w:cnfStyle w:val="000000100000"/>
          <w:trHeight w:val="285"/>
          <w:jc w:val="center"/>
        </w:trPr>
        <w:tc>
          <w:tcPr>
            <w:tcW w:w="3017" w:type="dxa"/>
            <w:vMerge/>
            <w:hideMark/>
          </w:tcPr>
          <w:p w:rsidR="007E28F2" w:rsidRPr="00872FD2" w:rsidRDefault="007E28F2" w:rsidP="00872FD2">
            <w:pPr>
              <w:spacing w:after="0" w:line="360" w:lineRule="auto"/>
              <w:jc w:val="center"/>
              <w:rPr>
                <w:rFonts w:asciiTheme="minorHAnsi" w:eastAsia="Times New Roman" w:hAnsiTheme="minorHAnsi" w:cstheme="minorHAnsi"/>
                <w:b/>
                <w:bCs/>
                <w:color w:val="000000"/>
                <w:sz w:val="20"/>
                <w:szCs w:val="20"/>
              </w:rPr>
            </w:pPr>
          </w:p>
        </w:tc>
        <w:tc>
          <w:tcPr>
            <w:tcW w:w="2019" w:type="dxa"/>
            <w:hideMark/>
          </w:tcPr>
          <w:p w:rsidR="007E28F2" w:rsidRPr="00E56E5A" w:rsidRDefault="00E56E5A" w:rsidP="00872FD2">
            <w:pPr>
              <w:spacing w:after="0" w:line="360" w:lineRule="auto"/>
              <w:jc w:val="center"/>
              <w:rPr>
                <w:rFonts w:asciiTheme="minorHAnsi" w:eastAsia="Times New Roman" w:hAnsiTheme="minorHAnsi" w:cstheme="minorHAnsi"/>
                <w:sz w:val="20"/>
                <w:szCs w:val="20"/>
              </w:rPr>
            </w:pPr>
            <w:r w:rsidRPr="00E56E5A">
              <w:rPr>
                <w:rFonts w:asciiTheme="minorHAnsi" w:eastAsia="Times New Roman" w:hAnsiTheme="minorHAnsi" w:cstheme="minorHAnsi"/>
                <w:sz w:val="20"/>
                <w:szCs w:val="20"/>
              </w:rPr>
              <w:t>Σπειραμα</w:t>
            </w:r>
            <w:r w:rsidR="007E28F2" w:rsidRPr="00E56E5A">
              <w:rPr>
                <w:rFonts w:asciiTheme="minorHAnsi" w:eastAsia="Times New Roman" w:hAnsiTheme="minorHAnsi" w:cstheme="minorHAnsi"/>
                <w:sz w:val="20"/>
                <w:szCs w:val="20"/>
              </w:rPr>
              <w:t>τονεφρίτιδα</w:t>
            </w:r>
          </w:p>
        </w:tc>
        <w:tc>
          <w:tcPr>
            <w:tcW w:w="124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0,13 (0,35)</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p>
        </w:tc>
        <w:tc>
          <w:tcPr>
            <w:tcW w:w="1151"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0,13 (0,35)</w:t>
            </w:r>
          </w:p>
        </w:tc>
        <w:tc>
          <w:tcPr>
            <w:tcW w:w="1029"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r w:rsidRPr="00872FD2">
              <w:rPr>
                <w:rFonts w:asciiTheme="minorHAnsi" w:eastAsia="Times New Roman" w:hAnsiTheme="minorHAnsi" w:cstheme="minorHAnsi"/>
                <w:color w:val="000000"/>
                <w:sz w:val="20"/>
                <w:szCs w:val="20"/>
              </w:rPr>
              <w:t>0 (0 - 0)</w:t>
            </w:r>
          </w:p>
        </w:tc>
        <w:tc>
          <w:tcPr>
            <w:tcW w:w="960" w:type="dxa"/>
            <w:noWrap/>
            <w:hideMark/>
          </w:tcPr>
          <w:p w:rsidR="007E28F2" w:rsidRPr="00872FD2" w:rsidRDefault="007E28F2" w:rsidP="00872FD2">
            <w:pPr>
              <w:spacing w:after="0" w:line="360" w:lineRule="auto"/>
              <w:jc w:val="center"/>
              <w:rPr>
                <w:rFonts w:asciiTheme="minorHAnsi" w:eastAsia="Times New Roman" w:hAnsiTheme="minorHAnsi" w:cstheme="minorHAnsi"/>
                <w:color w:val="000000"/>
                <w:sz w:val="20"/>
                <w:szCs w:val="20"/>
              </w:rPr>
            </w:pPr>
          </w:p>
        </w:tc>
      </w:tr>
      <w:tr w:rsidR="00C2256D" w:rsidRPr="00872FD2" w:rsidTr="00651B46">
        <w:trPr>
          <w:cnfStyle w:val="000000010000"/>
          <w:trHeight w:val="285"/>
          <w:jc w:val="center"/>
        </w:trPr>
        <w:tc>
          <w:tcPr>
            <w:tcW w:w="11406" w:type="dxa"/>
            <w:gridSpan w:val="8"/>
            <w:hideMark/>
          </w:tcPr>
          <w:p w:rsidR="00C2256D" w:rsidRPr="00C2256D" w:rsidRDefault="00C2256D" w:rsidP="00C2256D">
            <w:pPr>
              <w:pStyle w:val="nouk"/>
              <w:spacing w:line="276" w:lineRule="auto"/>
              <w:rPr>
                <w:i/>
              </w:rPr>
            </w:pPr>
            <w:r w:rsidRPr="00C2256D">
              <w:rPr>
                <w:i/>
              </w:rPr>
              <w:t>*</w:t>
            </w:r>
            <w:r w:rsidRPr="00C2256D">
              <w:rPr>
                <w:i/>
                <w:lang w:val="en-US"/>
              </w:rPr>
              <w:t>Kruskal-Wallis test</w:t>
            </w:r>
          </w:p>
        </w:tc>
      </w:tr>
    </w:tbl>
    <w:p w:rsidR="007E28F2" w:rsidRDefault="007E28F2" w:rsidP="005A464E">
      <w:pPr>
        <w:pStyle w:val="nouk"/>
      </w:pPr>
      <w:r w:rsidRPr="005A464E">
        <w:t>Οι μεταβολές στη συνολική βαθμολογία συμμόρφωσης και στη βαθμολογία συμμόρφωσης με τα υγρά και τη διαιτητική συμπεριφορά δεν διέφεραν σημαντικά ανάλογα με τα στοιχεία του παραπάνω πίνακα.</w:t>
      </w:r>
    </w:p>
    <w:p w:rsidR="002B5862" w:rsidRPr="005A464E" w:rsidRDefault="002B5862" w:rsidP="005A464E">
      <w:pPr>
        <w:pStyle w:val="nouk"/>
      </w:pPr>
    </w:p>
    <w:p w:rsidR="007E28F2" w:rsidRDefault="007E28F2" w:rsidP="005A464E">
      <w:pPr>
        <w:pStyle w:val="nouk"/>
      </w:pPr>
      <w:r w:rsidRPr="005A464E">
        <w:t xml:space="preserve">Στον πίνακα που ακολουθεί </w:t>
      </w:r>
      <w:r w:rsidR="00F6061C">
        <w:t>(Πίν 26</w:t>
      </w:r>
      <w:r w:rsidR="00A81E20">
        <w:t xml:space="preserve">) </w:t>
      </w:r>
      <w:r w:rsidRPr="005A464E">
        <w:t xml:space="preserve">δίνονται οι συντελεστές συσχέτισης του </w:t>
      </w:r>
      <w:r w:rsidRPr="005A464E">
        <w:rPr>
          <w:lang w:val="en-US"/>
        </w:rPr>
        <w:t>Spearman</w:t>
      </w:r>
      <w:r w:rsidRPr="005A464E">
        <w:t xml:space="preserve"> των μεταβολών στη συνολική βαθμολογία συμμόρφωσης και στη βαθμολογία συμμόρφωσης με τα υγρά και τη διαιτητική συμπεριφορά των ατόμων της ομάδας παρέμβασης με την ηλικία τους, στοιχεία που αφορούν στην ΧΝΝ και </w:t>
      </w:r>
      <w:r w:rsidR="00605F71">
        <w:t>αιμοκάθαρση</w:t>
      </w:r>
      <w:r w:rsidRPr="005A464E">
        <w:t xml:space="preserve"> και τον ημερήσιο αριθμό </w:t>
      </w:r>
      <w:r w:rsidR="00B0098B">
        <w:t>δισκίων</w:t>
      </w:r>
      <w:r w:rsidRPr="005A464E">
        <w:t xml:space="preserve">. </w:t>
      </w:r>
    </w:p>
    <w:p w:rsidR="0025283E" w:rsidRPr="005A464E" w:rsidRDefault="0025283E" w:rsidP="005A464E">
      <w:pPr>
        <w:pStyle w:val="nouk"/>
      </w:pPr>
    </w:p>
    <w:p w:rsidR="0025283E" w:rsidRPr="00F918EC" w:rsidRDefault="00F6061C" w:rsidP="0025283E">
      <w:pPr>
        <w:spacing w:after="0" w:line="360" w:lineRule="auto"/>
        <w:jc w:val="both"/>
        <w:rPr>
          <w:rFonts w:asciiTheme="minorHAnsi" w:eastAsiaTheme="minorHAnsi" w:hAnsiTheme="minorHAnsi" w:cstheme="minorBidi"/>
          <w:bCs/>
          <w:color w:val="000000"/>
        </w:rPr>
      </w:pPr>
      <w:r>
        <w:rPr>
          <w:rFonts w:asciiTheme="minorHAnsi" w:eastAsiaTheme="minorHAnsi" w:hAnsiTheme="minorHAnsi" w:cstheme="minorBidi"/>
          <w:bCs/>
          <w:color w:val="000000"/>
        </w:rPr>
        <w:t>Πίνακας 26</w:t>
      </w:r>
    </w:p>
    <w:p w:rsidR="007E28F2" w:rsidRPr="005A464E" w:rsidRDefault="0025283E" w:rsidP="0025283E">
      <w:pPr>
        <w:pStyle w:val="nouk"/>
      </w:pPr>
      <w:r w:rsidRPr="008847F1">
        <w:rPr>
          <w:rFonts w:asciiTheme="minorHAnsi" w:eastAsiaTheme="minorHAnsi" w:hAnsiTheme="minorHAnsi" w:cstheme="minorBidi"/>
          <w:bCs/>
          <w:i/>
          <w:color w:val="000000"/>
        </w:rPr>
        <w:t>Μεταβολές στη συνολική βαθμολογία συμμόρφωσης και στη βαθμολογία συμμόρφωσης με τα υγρά και τη διαιτητική συμπεριφορά των ατόμων της ομάδας παρέμβασης με δημογραφικά κλινικά στοιχεία</w:t>
      </w:r>
    </w:p>
    <w:tbl>
      <w:tblPr>
        <w:tblStyle w:val="-41"/>
        <w:tblW w:w="8104" w:type="dxa"/>
        <w:jc w:val="center"/>
        <w:tblLook w:val="0400"/>
      </w:tblPr>
      <w:tblGrid>
        <w:gridCol w:w="2919"/>
        <w:gridCol w:w="666"/>
        <w:gridCol w:w="1923"/>
        <w:gridCol w:w="2596"/>
      </w:tblGrid>
      <w:tr w:rsidR="007E28F2" w:rsidRPr="00E56E5A" w:rsidTr="000B03CC">
        <w:trPr>
          <w:cnfStyle w:val="000000100000"/>
          <w:trHeight w:val="285"/>
          <w:jc w:val="center"/>
        </w:trPr>
        <w:tc>
          <w:tcPr>
            <w:tcW w:w="2919" w:type="dxa"/>
            <w:noWrap/>
            <w:hideMark/>
          </w:tcPr>
          <w:p w:rsidR="007E28F2" w:rsidRPr="00872FD2" w:rsidRDefault="007E28F2" w:rsidP="00872FD2">
            <w:pPr>
              <w:spacing w:after="0" w:line="360" w:lineRule="auto"/>
              <w:rPr>
                <w:rFonts w:asciiTheme="minorHAnsi" w:eastAsia="Times New Roman" w:hAnsiTheme="minorHAnsi" w:cs="Arial"/>
                <w:b/>
                <w:bCs/>
                <w:color w:val="000000"/>
              </w:rPr>
            </w:pPr>
            <w:r w:rsidRPr="00872FD2">
              <w:rPr>
                <w:rFonts w:asciiTheme="minorHAnsi" w:eastAsia="Times New Roman" w:hAnsiTheme="minorHAnsi" w:cs="Arial"/>
                <w:b/>
                <w:bCs/>
                <w:color w:val="000000"/>
              </w:rPr>
              <w:t> </w:t>
            </w:r>
          </w:p>
        </w:tc>
        <w:tc>
          <w:tcPr>
            <w:tcW w:w="666" w:type="dxa"/>
            <w:noWrap/>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 </w:t>
            </w:r>
          </w:p>
        </w:tc>
        <w:tc>
          <w:tcPr>
            <w:tcW w:w="1923" w:type="dxa"/>
            <w:hideMark/>
          </w:tcPr>
          <w:p w:rsidR="007E28F2" w:rsidRPr="00872FD2" w:rsidRDefault="007E28F2" w:rsidP="00872FD2">
            <w:pPr>
              <w:spacing w:after="0" w:line="360" w:lineRule="auto"/>
              <w:jc w:val="center"/>
              <w:rPr>
                <w:rFonts w:asciiTheme="minorHAnsi" w:eastAsia="Times New Roman" w:hAnsiTheme="minorHAnsi" w:cs="Arial"/>
                <w:b/>
                <w:bCs/>
                <w:color w:val="000000"/>
              </w:rPr>
            </w:pPr>
            <w:r w:rsidRPr="00872FD2">
              <w:rPr>
                <w:rFonts w:asciiTheme="minorHAnsi" w:eastAsia="Times New Roman" w:hAnsiTheme="minorHAnsi" w:cs="Arial"/>
                <w:b/>
                <w:bCs/>
                <w:color w:val="000000"/>
              </w:rPr>
              <w:t>Κλίμακα συμμόρφωσης (</w:t>
            </w:r>
            <w:r w:rsidR="00243C1D" w:rsidRPr="00872FD2">
              <w:rPr>
                <w:rFonts w:asciiTheme="minorHAnsi" w:eastAsia="Times New Roman" w:hAnsiTheme="minorHAnsi" w:cs="Arial"/>
                <w:b/>
                <w:bCs/>
                <w:color w:val="000000"/>
                <w:lang w:val="en-US"/>
              </w:rPr>
              <w:t>GR</w:t>
            </w:r>
            <w:r w:rsidR="00243C1D" w:rsidRPr="00872FD2">
              <w:rPr>
                <w:rFonts w:asciiTheme="minorHAnsi" w:eastAsia="Times New Roman" w:hAnsiTheme="minorHAnsi" w:cs="Arial"/>
                <w:b/>
                <w:bCs/>
                <w:color w:val="000000"/>
              </w:rPr>
              <w:t>-</w:t>
            </w:r>
            <w:r w:rsidRPr="00872FD2">
              <w:rPr>
                <w:rFonts w:asciiTheme="minorHAnsi" w:eastAsia="Times New Roman" w:hAnsiTheme="minorHAnsi" w:cs="Arial"/>
                <w:b/>
                <w:bCs/>
                <w:color w:val="000000"/>
              </w:rPr>
              <w:t>SMAQ</w:t>
            </w:r>
            <w:r w:rsidR="00243C1D" w:rsidRPr="00872FD2">
              <w:rPr>
                <w:rFonts w:asciiTheme="minorHAnsi" w:eastAsia="Times New Roman" w:hAnsiTheme="minorHAnsi" w:cs="Arial"/>
                <w:b/>
                <w:bCs/>
                <w:color w:val="000000"/>
                <w:lang w:val="en-US"/>
              </w:rPr>
              <w:t>HD</w:t>
            </w:r>
            <w:r w:rsidRPr="00872FD2">
              <w:rPr>
                <w:rFonts w:asciiTheme="minorHAnsi" w:eastAsia="Times New Roman" w:hAnsiTheme="minorHAnsi" w:cs="Arial"/>
                <w:b/>
                <w:bCs/>
                <w:color w:val="000000"/>
              </w:rPr>
              <w:t>) (μεταβολή)</w:t>
            </w:r>
          </w:p>
        </w:tc>
        <w:tc>
          <w:tcPr>
            <w:tcW w:w="2596" w:type="dxa"/>
            <w:hideMark/>
          </w:tcPr>
          <w:p w:rsidR="007E28F2" w:rsidRPr="00E56E5A" w:rsidRDefault="00243C1D" w:rsidP="00872FD2">
            <w:pPr>
              <w:spacing w:after="0" w:line="360" w:lineRule="auto"/>
              <w:jc w:val="center"/>
              <w:rPr>
                <w:rFonts w:asciiTheme="minorHAnsi" w:eastAsia="Times New Roman" w:hAnsiTheme="minorHAnsi" w:cs="Arial"/>
                <w:bCs/>
                <w:i/>
                <w:color w:val="000000"/>
              </w:rPr>
            </w:pPr>
            <w:r w:rsidRPr="00E56E5A">
              <w:rPr>
                <w:rFonts w:asciiTheme="minorHAnsi" w:eastAsia="Times New Roman" w:hAnsiTheme="minorHAnsi" w:cs="Arial"/>
                <w:bCs/>
                <w:i/>
                <w:color w:val="000000"/>
              </w:rPr>
              <w:t>Δίαι</w:t>
            </w:r>
            <w:r w:rsidR="0076474F" w:rsidRPr="00E56E5A">
              <w:rPr>
                <w:rFonts w:asciiTheme="minorHAnsi" w:eastAsia="Times New Roman" w:hAnsiTheme="minorHAnsi" w:cs="Arial"/>
                <w:bCs/>
                <w:i/>
                <w:color w:val="000000"/>
              </w:rPr>
              <w:t>τα/Υγρά</w:t>
            </w:r>
            <w:r w:rsidR="007E28F2" w:rsidRPr="00E56E5A">
              <w:rPr>
                <w:rFonts w:asciiTheme="minorHAnsi" w:eastAsia="Times New Roman" w:hAnsiTheme="minorHAnsi" w:cs="Arial"/>
                <w:bCs/>
                <w:i/>
                <w:color w:val="000000"/>
              </w:rPr>
              <w:t xml:space="preserve"> (μεταβολή)</w:t>
            </w:r>
          </w:p>
        </w:tc>
      </w:tr>
      <w:tr w:rsidR="007E28F2" w:rsidRPr="00872FD2" w:rsidTr="000B03CC">
        <w:trPr>
          <w:cnfStyle w:val="000000010000"/>
          <w:trHeight w:val="285"/>
          <w:jc w:val="center"/>
        </w:trPr>
        <w:tc>
          <w:tcPr>
            <w:tcW w:w="2919" w:type="dxa"/>
            <w:vMerge w:val="restart"/>
            <w:hideMark/>
          </w:tcPr>
          <w:p w:rsidR="007E28F2" w:rsidRPr="00872FD2" w:rsidRDefault="007E28F2" w:rsidP="00872FD2">
            <w:pPr>
              <w:spacing w:after="0" w:line="360" w:lineRule="auto"/>
              <w:rPr>
                <w:rFonts w:asciiTheme="minorHAnsi" w:eastAsia="Times New Roman" w:hAnsiTheme="minorHAnsi" w:cs="Arial"/>
                <w:b/>
                <w:bCs/>
                <w:color w:val="000000"/>
              </w:rPr>
            </w:pPr>
            <w:r w:rsidRPr="00872FD2">
              <w:rPr>
                <w:rFonts w:asciiTheme="minorHAnsi" w:eastAsia="Times New Roman" w:hAnsiTheme="minorHAnsi" w:cs="Arial"/>
                <w:color w:val="000000"/>
              </w:rPr>
              <w:t>Ηλικία</w:t>
            </w:r>
          </w:p>
        </w:tc>
        <w:tc>
          <w:tcPr>
            <w:tcW w:w="666" w:type="dxa"/>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1923"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0,30</w:t>
            </w:r>
          </w:p>
        </w:tc>
        <w:tc>
          <w:tcPr>
            <w:tcW w:w="259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0,26</w:t>
            </w:r>
          </w:p>
        </w:tc>
      </w:tr>
      <w:tr w:rsidR="007E28F2" w:rsidRPr="00872FD2" w:rsidTr="000B03CC">
        <w:trPr>
          <w:cnfStyle w:val="000000100000"/>
          <w:trHeight w:val="285"/>
          <w:jc w:val="center"/>
        </w:trPr>
        <w:tc>
          <w:tcPr>
            <w:tcW w:w="2919" w:type="dxa"/>
            <w:vMerge/>
            <w:hideMark/>
          </w:tcPr>
          <w:p w:rsidR="007E28F2" w:rsidRPr="00872FD2" w:rsidRDefault="007E28F2" w:rsidP="00872FD2">
            <w:pPr>
              <w:spacing w:after="0" w:line="360" w:lineRule="auto"/>
              <w:rPr>
                <w:rFonts w:asciiTheme="minorHAnsi" w:eastAsia="Times New Roman" w:hAnsiTheme="minorHAnsi" w:cs="Arial"/>
                <w:b/>
                <w:bCs/>
                <w:color w:val="000000"/>
              </w:rPr>
            </w:pPr>
          </w:p>
        </w:tc>
        <w:tc>
          <w:tcPr>
            <w:tcW w:w="666" w:type="dxa"/>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1923"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0,151</w:t>
            </w:r>
          </w:p>
        </w:tc>
        <w:tc>
          <w:tcPr>
            <w:tcW w:w="259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0,202</w:t>
            </w:r>
          </w:p>
        </w:tc>
      </w:tr>
      <w:tr w:rsidR="007E28F2" w:rsidRPr="00872FD2" w:rsidTr="000B03CC">
        <w:trPr>
          <w:cnfStyle w:val="000000010000"/>
          <w:trHeight w:val="285"/>
          <w:jc w:val="center"/>
        </w:trPr>
        <w:tc>
          <w:tcPr>
            <w:tcW w:w="2919" w:type="dxa"/>
            <w:vMerge w:val="restart"/>
            <w:hideMark/>
          </w:tcPr>
          <w:p w:rsidR="007E28F2" w:rsidRPr="00872FD2" w:rsidRDefault="007E28F2" w:rsidP="00872FD2">
            <w:pPr>
              <w:spacing w:after="0" w:line="360" w:lineRule="auto"/>
              <w:rPr>
                <w:rFonts w:asciiTheme="minorHAnsi" w:eastAsia="Times New Roman" w:hAnsiTheme="minorHAnsi" w:cs="Arial"/>
                <w:b/>
                <w:bCs/>
                <w:color w:val="000000"/>
              </w:rPr>
            </w:pPr>
            <w:r w:rsidRPr="00872FD2">
              <w:rPr>
                <w:rFonts w:asciiTheme="minorHAnsi" w:eastAsia="Times New Roman" w:hAnsiTheme="minorHAnsi" w:cs="Arial"/>
                <w:color w:val="000000"/>
              </w:rPr>
              <w:t>Έτη από διάγνωση ΧΝΝ</w:t>
            </w:r>
          </w:p>
        </w:tc>
        <w:tc>
          <w:tcPr>
            <w:tcW w:w="666" w:type="dxa"/>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1923"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-0,28</w:t>
            </w:r>
          </w:p>
        </w:tc>
        <w:tc>
          <w:tcPr>
            <w:tcW w:w="259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-0,16</w:t>
            </w:r>
          </w:p>
        </w:tc>
      </w:tr>
      <w:tr w:rsidR="007E28F2" w:rsidRPr="00872FD2" w:rsidTr="000B03CC">
        <w:trPr>
          <w:cnfStyle w:val="000000100000"/>
          <w:trHeight w:val="285"/>
          <w:jc w:val="center"/>
        </w:trPr>
        <w:tc>
          <w:tcPr>
            <w:tcW w:w="2919" w:type="dxa"/>
            <w:vMerge/>
            <w:hideMark/>
          </w:tcPr>
          <w:p w:rsidR="007E28F2" w:rsidRPr="00872FD2" w:rsidRDefault="007E28F2" w:rsidP="00872FD2">
            <w:pPr>
              <w:spacing w:after="0" w:line="360" w:lineRule="auto"/>
              <w:rPr>
                <w:rFonts w:asciiTheme="minorHAnsi" w:eastAsia="Times New Roman" w:hAnsiTheme="minorHAnsi" w:cs="Arial"/>
                <w:b/>
                <w:bCs/>
                <w:color w:val="000000"/>
              </w:rPr>
            </w:pPr>
          </w:p>
        </w:tc>
        <w:tc>
          <w:tcPr>
            <w:tcW w:w="666" w:type="dxa"/>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1923"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0,184</w:t>
            </w:r>
          </w:p>
        </w:tc>
        <w:tc>
          <w:tcPr>
            <w:tcW w:w="259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0,448</w:t>
            </w:r>
          </w:p>
        </w:tc>
      </w:tr>
      <w:tr w:rsidR="007E28F2" w:rsidRPr="00872FD2" w:rsidTr="000B03CC">
        <w:trPr>
          <w:cnfStyle w:val="000000010000"/>
          <w:trHeight w:val="285"/>
          <w:jc w:val="center"/>
        </w:trPr>
        <w:tc>
          <w:tcPr>
            <w:tcW w:w="2919" w:type="dxa"/>
            <w:vMerge w:val="restart"/>
            <w:hideMark/>
          </w:tcPr>
          <w:p w:rsidR="007E28F2" w:rsidRPr="00872FD2" w:rsidRDefault="002B5862" w:rsidP="00872FD2">
            <w:pPr>
              <w:spacing w:after="0" w:line="360" w:lineRule="auto"/>
              <w:rPr>
                <w:rFonts w:asciiTheme="minorHAnsi" w:eastAsia="Times New Roman" w:hAnsiTheme="minorHAnsi" w:cs="Arial"/>
                <w:b/>
                <w:bCs/>
                <w:color w:val="000000"/>
              </w:rPr>
            </w:pPr>
            <w:r>
              <w:rPr>
                <w:rFonts w:asciiTheme="minorHAnsi" w:eastAsia="Times New Roman" w:hAnsiTheme="minorHAnsi" w:cs="Arial"/>
                <w:color w:val="000000"/>
              </w:rPr>
              <w:t>Έτη υπό</w:t>
            </w:r>
            <w:r w:rsidR="007E28F2" w:rsidRPr="00872FD2">
              <w:rPr>
                <w:rFonts w:asciiTheme="minorHAnsi" w:eastAsia="Times New Roman" w:hAnsiTheme="minorHAnsi" w:cs="Arial"/>
                <w:color w:val="000000"/>
              </w:rPr>
              <w:t xml:space="preserve"> </w:t>
            </w:r>
            <w:r>
              <w:rPr>
                <w:rFonts w:asciiTheme="minorHAnsi" w:eastAsia="Times New Roman" w:hAnsiTheme="minorHAnsi" w:cs="Arial"/>
                <w:color w:val="000000"/>
              </w:rPr>
              <w:t>αιμοκάθαρση</w:t>
            </w:r>
          </w:p>
        </w:tc>
        <w:tc>
          <w:tcPr>
            <w:tcW w:w="666" w:type="dxa"/>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1923"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0,01</w:t>
            </w:r>
          </w:p>
        </w:tc>
        <w:tc>
          <w:tcPr>
            <w:tcW w:w="259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0,05</w:t>
            </w:r>
          </w:p>
        </w:tc>
      </w:tr>
      <w:tr w:rsidR="007E28F2" w:rsidRPr="00872FD2" w:rsidTr="000B03CC">
        <w:trPr>
          <w:cnfStyle w:val="000000100000"/>
          <w:trHeight w:val="285"/>
          <w:jc w:val="center"/>
        </w:trPr>
        <w:tc>
          <w:tcPr>
            <w:tcW w:w="2919" w:type="dxa"/>
            <w:vMerge/>
            <w:hideMark/>
          </w:tcPr>
          <w:p w:rsidR="007E28F2" w:rsidRPr="00872FD2" w:rsidRDefault="007E28F2" w:rsidP="00872FD2">
            <w:pPr>
              <w:spacing w:after="0" w:line="360" w:lineRule="auto"/>
              <w:rPr>
                <w:rFonts w:asciiTheme="minorHAnsi" w:eastAsia="Times New Roman" w:hAnsiTheme="minorHAnsi" w:cs="Arial"/>
                <w:b/>
                <w:bCs/>
                <w:color w:val="000000"/>
              </w:rPr>
            </w:pPr>
          </w:p>
        </w:tc>
        <w:tc>
          <w:tcPr>
            <w:tcW w:w="666" w:type="dxa"/>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1923"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0,978</w:t>
            </w:r>
          </w:p>
        </w:tc>
        <w:tc>
          <w:tcPr>
            <w:tcW w:w="259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0,817</w:t>
            </w:r>
          </w:p>
        </w:tc>
      </w:tr>
      <w:tr w:rsidR="007E28F2" w:rsidRPr="00872FD2" w:rsidTr="000B03CC">
        <w:trPr>
          <w:cnfStyle w:val="000000010000"/>
          <w:trHeight w:val="285"/>
          <w:jc w:val="center"/>
        </w:trPr>
        <w:tc>
          <w:tcPr>
            <w:tcW w:w="2919" w:type="dxa"/>
            <w:vMerge w:val="restart"/>
            <w:hideMark/>
          </w:tcPr>
          <w:p w:rsidR="007E28F2" w:rsidRPr="00872FD2" w:rsidRDefault="007E28F2" w:rsidP="00872FD2">
            <w:pPr>
              <w:spacing w:after="0" w:line="360" w:lineRule="auto"/>
              <w:rPr>
                <w:rFonts w:asciiTheme="minorHAnsi" w:eastAsia="Times New Roman" w:hAnsiTheme="minorHAnsi" w:cs="Arial"/>
                <w:b/>
                <w:bCs/>
                <w:color w:val="000000"/>
              </w:rPr>
            </w:pPr>
            <w:r w:rsidRPr="00872FD2">
              <w:rPr>
                <w:rFonts w:asciiTheme="minorHAnsi" w:eastAsia="Times New Roman" w:hAnsiTheme="minorHAnsi" w:cs="Arial"/>
                <w:color w:val="000000"/>
              </w:rPr>
              <w:t xml:space="preserve">Διάρκεια </w:t>
            </w:r>
            <w:r w:rsidR="00A27068">
              <w:rPr>
                <w:rFonts w:asciiTheme="minorHAnsi" w:eastAsia="Times New Roman" w:hAnsiTheme="minorHAnsi" w:cs="Arial"/>
                <w:color w:val="000000"/>
              </w:rPr>
              <w:t>αιμοκάθαρσης</w:t>
            </w:r>
            <w:r w:rsidR="00A27068" w:rsidRPr="00872FD2">
              <w:rPr>
                <w:rFonts w:asciiTheme="minorHAnsi" w:eastAsia="Times New Roman" w:hAnsiTheme="minorHAnsi" w:cs="Arial"/>
                <w:color w:val="000000"/>
              </w:rPr>
              <w:t xml:space="preserve"> </w:t>
            </w:r>
            <w:r w:rsidRPr="00872FD2">
              <w:rPr>
                <w:rFonts w:asciiTheme="minorHAnsi" w:eastAsia="Times New Roman" w:hAnsiTheme="minorHAnsi" w:cs="Arial"/>
                <w:color w:val="000000"/>
              </w:rPr>
              <w:t>(ώρες)</w:t>
            </w:r>
          </w:p>
        </w:tc>
        <w:tc>
          <w:tcPr>
            <w:tcW w:w="666" w:type="dxa"/>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1923"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-0,11</w:t>
            </w:r>
          </w:p>
        </w:tc>
        <w:tc>
          <w:tcPr>
            <w:tcW w:w="259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-0,15</w:t>
            </w:r>
          </w:p>
        </w:tc>
      </w:tr>
      <w:tr w:rsidR="007E28F2" w:rsidRPr="00872FD2" w:rsidTr="000B03CC">
        <w:trPr>
          <w:cnfStyle w:val="000000100000"/>
          <w:trHeight w:val="285"/>
          <w:jc w:val="center"/>
        </w:trPr>
        <w:tc>
          <w:tcPr>
            <w:tcW w:w="2919" w:type="dxa"/>
            <w:vMerge/>
            <w:hideMark/>
          </w:tcPr>
          <w:p w:rsidR="007E28F2" w:rsidRPr="00872FD2" w:rsidRDefault="007E28F2" w:rsidP="00872FD2">
            <w:pPr>
              <w:spacing w:after="0" w:line="360" w:lineRule="auto"/>
              <w:rPr>
                <w:rFonts w:asciiTheme="minorHAnsi" w:eastAsia="Times New Roman" w:hAnsiTheme="minorHAnsi" w:cs="Arial"/>
                <w:b/>
                <w:bCs/>
                <w:color w:val="000000"/>
              </w:rPr>
            </w:pPr>
          </w:p>
        </w:tc>
        <w:tc>
          <w:tcPr>
            <w:tcW w:w="666" w:type="dxa"/>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1923"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0,608</w:t>
            </w:r>
          </w:p>
        </w:tc>
        <w:tc>
          <w:tcPr>
            <w:tcW w:w="259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0,470</w:t>
            </w:r>
          </w:p>
        </w:tc>
      </w:tr>
      <w:tr w:rsidR="007E28F2" w:rsidRPr="00872FD2" w:rsidTr="000B03CC">
        <w:trPr>
          <w:cnfStyle w:val="000000010000"/>
          <w:trHeight w:val="285"/>
          <w:jc w:val="center"/>
        </w:trPr>
        <w:tc>
          <w:tcPr>
            <w:tcW w:w="2919" w:type="dxa"/>
            <w:vMerge w:val="restart"/>
            <w:hideMark/>
          </w:tcPr>
          <w:p w:rsidR="007E28F2" w:rsidRPr="00872FD2" w:rsidRDefault="007E28F2" w:rsidP="00872FD2">
            <w:pPr>
              <w:spacing w:after="0" w:line="360" w:lineRule="auto"/>
              <w:rPr>
                <w:rFonts w:asciiTheme="minorHAnsi" w:eastAsia="Times New Roman" w:hAnsiTheme="minorHAnsi" w:cs="Arial"/>
                <w:b/>
                <w:bCs/>
                <w:color w:val="000000"/>
              </w:rPr>
            </w:pPr>
            <w:r w:rsidRPr="00872FD2">
              <w:rPr>
                <w:rFonts w:asciiTheme="minorHAnsi" w:eastAsia="Times New Roman" w:hAnsiTheme="minorHAnsi" w:cs="Arial"/>
                <w:color w:val="000000"/>
              </w:rPr>
              <w:t xml:space="preserve">Εβδομαδιαίος αριθμός συνεδριών </w:t>
            </w:r>
            <w:r w:rsidR="00A27068">
              <w:rPr>
                <w:rFonts w:asciiTheme="minorHAnsi" w:eastAsia="Times New Roman" w:hAnsiTheme="minorHAnsi" w:cs="Arial"/>
                <w:color w:val="000000"/>
              </w:rPr>
              <w:t>αιμοκάθαρσης</w:t>
            </w:r>
          </w:p>
        </w:tc>
        <w:tc>
          <w:tcPr>
            <w:tcW w:w="666" w:type="dxa"/>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1923"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-0,13</w:t>
            </w:r>
          </w:p>
        </w:tc>
        <w:tc>
          <w:tcPr>
            <w:tcW w:w="259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-0,11</w:t>
            </w:r>
          </w:p>
        </w:tc>
      </w:tr>
      <w:tr w:rsidR="007E28F2" w:rsidRPr="00872FD2" w:rsidTr="000B03CC">
        <w:trPr>
          <w:cnfStyle w:val="000000100000"/>
          <w:trHeight w:val="285"/>
          <w:jc w:val="center"/>
        </w:trPr>
        <w:tc>
          <w:tcPr>
            <w:tcW w:w="2919" w:type="dxa"/>
            <w:vMerge/>
            <w:hideMark/>
          </w:tcPr>
          <w:p w:rsidR="007E28F2" w:rsidRPr="00872FD2" w:rsidRDefault="007E28F2" w:rsidP="00872FD2">
            <w:pPr>
              <w:spacing w:after="0" w:line="360" w:lineRule="auto"/>
              <w:rPr>
                <w:rFonts w:asciiTheme="minorHAnsi" w:eastAsia="Times New Roman" w:hAnsiTheme="minorHAnsi" w:cs="Arial"/>
                <w:b/>
                <w:bCs/>
                <w:color w:val="000000"/>
              </w:rPr>
            </w:pPr>
          </w:p>
        </w:tc>
        <w:tc>
          <w:tcPr>
            <w:tcW w:w="666" w:type="dxa"/>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1923"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0,536</w:t>
            </w:r>
          </w:p>
        </w:tc>
        <w:tc>
          <w:tcPr>
            <w:tcW w:w="259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0,587</w:t>
            </w:r>
          </w:p>
        </w:tc>
      </w:tr>
      <w:tr w:rsidR="007E28F2" w:rsidRPr="00872FD2" w:rsidTr="000B03CC">
        <w:trPr>
          <w:cnfStyle w:val="000000010000"/>
          <w:trHeight w:val="285"/>
          <w:jc w:val="center"/>
        </w:trPr>
        <w:tc>
          <w:tcPr>
            <w:tcW w:w="2919" w:type="dxa"/>
            <w:vMerge w:val="restart"/>
            <w:hideMark/>
          </w:tcPr>
          <w:p w:rsidR="007E28F2" w:rsidRPr="00872FD2" w:rsidRDefault="007E28F2" w:rsidP="00872FD2">
            <w:pPr>
              <w:spacing w:after="0" w:line="360" w:lineRule="auto"/>
              <w:rPr>
                <w:rFonts w:asciiTheme="minorHAnsi" w:eastAsia="Times New Roman" w:hAnsiTheme="minorHAnsi" w:cs="Arial"/>
                <w:b/>
                <w:bCs/>
                <w:color w:val="000000"/>
              </w:rPr>
            </w:pPr>
            <w:r w:rsidRPr="00872FD2">
              <w:rPr>
                <w:rFonts w:asciiTheme="minorHAnsi" w:eastAsia="Times New Roman" w:hAnsiTheme="minorHAnsi" w:cs="Arial"/>
                <w:color w:val="000000"/>
              </w:rPr>
              <w:t xml:space="preserve">Ημερήσιος αριθμός </w:t>
            </w:r>
            <w:r w:rsidR="00B0098B">
              <w:rPr>
                <w:rFonts w:asciiTheme="minorHAnsi" w:eastAsia="Times New Roman" w:hAnsiTheme="minorHAnsi" w:cs="Arial"/>
                <w:color w:val="000000"/>
              </w:rPr>
              <w:t>δισκίων</w:t>
            </w:r>
          </w:p>
        </w:tc>
        <w:tc>
          <w:tcPr>
            <w:tcW w:w="666" w:type="dxa"/>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1923"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0,11</w:t>
            </w:r>
          </w:p>
        </w:tc>
        <w:tc>
          <w:tcPr>
            <w:tcW w:w="259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0,12</w:t>
            </w:r>
          </w:p>
        </w:tc>
      </w:tr>
      <w:tr w:rsidR="007E28F2" w:rsidRPr="00872FD2" w:rsidTr="000B03CC">
        <w:trPr>
          <w:cnfStyle w:val="000000100000"/>
          <w:trHeight w:val="285"/>
          <w:jc w:val="center"/>
        </w:trPr>
        <w:tc>
          <w:tcPr>
            <w:tcW w:w="2919" w:type="dxa"/>
            <w:vMerge/>
            <w:hideMark/>
          </w:tcPr>
          <w:p w:rsidR="007E28F2" w:rsidRPr="00872FD2" w:rsidRDefault="007E28F2" w:rsidP="00872FD2">
            <w:pPr>
              <w:spacing w:after="0" w:line="360" w:lineRule="auto"/>
              <w:rPr>
                <w:rFonts w:asciiTheme="minorHAnsi" w:eastAsia="Times New Roman" w:hAnsiTheme="minorHAnsi" w:cs="Arial"/>
                <w:b/>
                <w:bCs/>
                <w:color w:val="000000"/>
              </w:rPr>
            </w:pPr>
          </w:p>
        </w:tc>
        <w:tc>
          <w:tcPr>
            <w:tcW w:w="666" w:type="dxa"/>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1923"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0,601</w:t>
            </w:r>
          </w:p>
        </w:tc>
        <w:tc>
          <w:tcPr>
            <w:tcW w:w="259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0,565</w:t>
            </w:r>
          </w:p>
        </w:tc>
      </w:tr>
    </w:tbl>
    <w:p w:rsidR="007E28F2" w:rsidRPr="005A464E" w:rsidRDefault="007E28F2" w:rsidP="005A464E">
      <w:pPr>
        <w:pStyle w:val="nouk"/>
      </w:pPr>
    </w:p>
    <w:p w:rsidR="007E28F2" w:rsidRPr="005A464E" w:rsidRDefault="007E28F2" w:rsidP="005A464E">
      <w:pPr>
        <w:pStyle w:val="nouk"/>
      </w:pPr>
      <w:r w:rsidRPr="005A464E">
        <w:t xml:space="preserve">Δεν υπήρξε σημαντική συσχέτιση των μεταβολών στη συνολική βαθμολογία συμμόρφωσης και στη βαθμολογία συμμόρφωσης με τα υγρά και τη διαιτητική συμπεριφορά με τα στοιχεία του παραπάνω πίνακα. </w:t>
      </w:r>
    </w:p>
    <w:p w:rsidR="007E28F2" w:rsidRPr="005A464E" w:rsidRDefault="007E28F2" w:rsidP="005A464E">
      <w:pPr>
        <w:pStyle w:val="nouk"/>
      </w:pPr>
    </w:p>
    <w:p w:rsidR="007E28F2" w:rsidRPr="00A81E20" w:rsidRDefault="007E28F2" w:rsidP="005A464E">
      <w:pPr>
        <w:pStyle w:val="nouk"/>
      </w:pPr>
      <w:r w:rsidRPr="005A464E">
        <w:rPr>
          <w:i/>
          <w:u w:val="single"/>
        </w:rPr>
        <w:t>Κλίμακα ποιότητας ζωής</w:t>
      </w:r>
    </w:p>
    <w:p w:rsidR="007E28F2" w:rsidRPr="005A464E" w:rsidRDefault="007E28F2" w:rsidP="005A464E">
      <w:pPr>
        <w:pStyle w:val="nouk"/>
      </w:pPr>
    </w:p>
    <w:p w:rsidR="007E28F2" w:rsidRPr="005A464E" w:rsidRDefault="007E28F2" w:rsidP="005A464E">
      <w:pPr>
        <w:pStyle w:val="nouk"/>
        <w:rPr>
          <w:i/>
          <w:color w:val="1F497D" w:themeColor="text2"/>
        </w:rPr>
      </w:pPr>
      <w:r w:rsidRPr="005A464E">
        <w:rPr>
          <w:i/>
          <w:color w:val="1F497D" w:themeColor="text2"/>
        </w:rPr>
        <w:t>Στις αναλύσεις δεν συμπεριλήφθηκε η βαθμολ</w:t>
      </w:r>
      <w:r w:rsidR="00651B46">
        <w:rPr>
          <w:i/>
          <w:color w:val="1F497D" w:themeColor="text2"/>
        </w:rPr>
        <w:t>ογία στη διάσταση «Διαπροσωπικές σχέσεις</w:t>
      </w:r>
      <w:r w:rsidRPr="005A464E">
        <w:rPr>
          <w:i/>
          <w:color w:val="1F497D" w:themeColor="text2"/>
        </w:rPr>
        <w:t>» καθώς δεν είχε σημαντική μεταβολή στην ομάδα παρέμβασης.</w:t>
      </w:r>
    </w:p>
    <w:p w:rsidR="007E28F2" w:rsidRPr="005A464E" w:rsidRDefault="007E28F2" w:rsidP="005A464E">
      <w:pPr>
        <w:pStyle w:val="nouk"/>
      </w:pPr>
    </w:p>
    <w:p w:rsidR="007E28F2" w:rsidRDefault="007E28F2" w:rsidP="005A464E">
      <w:pPr>
        <w:pStyle w:val="nouk"/>
      </w:pPr>
      <w:r w:rsidRPr="005A464E">
        <w:t xml:space="preserve">Στον πίνακα που ακολουθεί </w:t>
      </w:r>
      <w:r w:rsidR="00F6061C">
        <w:t>(Πίν 27</w:t>
      </w:r>
      <w:r w:rsidR="00D95F8B">
        <w:t xml:space="preserve">) </w:t>
      </w:r>
      <w:r w:rsidRPr="005A464E">
        <w:t>δίνονται οι μεταβολές στις διαστάσεις «</w:t>
      </w:r>
      <w:r w:rsidR="0076474F" w:rsidRPr="005A464E">
        <w:t>Συμπτώματα</w:t>
      </w:r>
      <w:r w:rsidRPr="005A464E">
        <w:t>» και «</w:t>
      </w:r>
      <w:r w:rsidR="003A7874" w:rsidRPr="005A464E">
        <w:t>Λειτουργικότητα</w:t>
      </w:r>
      <w:r w:rsidRPr="005A464E">
        <w:t>»</w:t>
      </w:r>
      <w:r w:rsidR="0078495A">
        <w:t xml:space="preserve"> </w:t>
      </w:r>
      <w:r w:rsidRPr="005A464E">
        <w:t xml:space="preserve">των ατόμων της ομάδας παρέμβασης ανάλογα με δημογραφικά και κλινικά τους στοιχεία. </w:t>
      </w:r>
    </w:p>
    <w:p w:rsidR="0025283E" w:rsidRDefault="0025283E" w:rsidP="005A464E">
      <w:pPr>
        <w:pStyle w:val="nouk"/>
      </w:pPr>
    </w:p>
    <w:p w:rsidR="0025283E" w:rsidRPr="00F918EC" w:rsidRDefault="00F6061C" w:rsidP="0025283E">
      <w:pPr>
        <w:pStyle w:val="nouk"/>
        <w:rPr>
          <w:rFonts w:asciiTheme="minorHAnsi" w:eastAsiaTheme="minorHAnsi" w:hAnsiTheme="minorHAnsi" w:cstheme="minorHAnsi"/>
          <w:bCs/>
          <w:color w:val="000000"/>
          <w:sz w:val="22"/>
          <w:szCs w:val="22"/>
        </w:rPr>
      </w:pPr>
      <w:r>
        <w:rPr>
          <w:rFonts w:asciiTheme="minorHAnsi" w:eastAsia="Times New Roman" w:hAnsiTheme="minorHAnsi" w:cs="Arial"/>
          <w:color w:val="000000"/>
          <w:sz w:val="22"/>
          <w:szCs w:val="22"/>
        </w:rPr>
        <w:t>Πίνακας 27</w:t>
      </w:r>
    </w:p>
    <w:p w:rsidR="007E28F2" w:rsidRPr="005A464E" w:rsidRDefault="0025283E" w:rsidP="005A464E">
      <w:pPr>
        <w:pStyle w:val="nouk"/>
      </w:pPr>
      <w:r w:rsidRPr="008847F1">
        <w:rPr>
          <w:rFonts w:asciiTheme="minorHAnsi" w:eastAsiaTheme="minorHAnsi" w:hAnsiTheme="minorHAnsi" w:cstheme="minorHAnsi"/>
          <w:bCs/>
          <w:i/>
          <w:color w:val="000000"/>
        </w:rPr>
        <w:t>Μεταβολές στις διαστάσεις «Συμπτώματα» και «Λειτουργικότητα»</w:t>
      </w:r>
      <w:r>
        <w:rPr>
          <w:rFonts w:asciiTheme="minorHAnsi" w:eastAsiaTheme="minorHAnsi" w:hAnsiTheme="minorHAnsi" w:cstheme="minorHAnsi"/>
          <w:bCs/>
          <w:i/>
          <w:color w:val="000000"/>
        </w:rPr>
        <w:t xml:space="preserve"> </w:t>
      </w:r>
      <w:r w:rsidRPr="008847F1">
        <w:rPr>
          <w:rFonts w:asciiTheme="minorHAnsi" w:eastAsiaTheme="minorHAnsi" w:hAnsiTheme="minorHAnsi" w:cstheme="minorHAnsi"/>
          <w:bCs/>
          <w:i/>
          <w:color w:val="000000"/>
        </w:rPr>
        <w:t>των ατόμων της ομάδας παρέμβασης ανάλογα με δημογραφικά και κλινικά τους στοιχεία.</w:t>
      </w:r>
    </w:p>
    <w:tbl>
      <w:tblPr>
        <w:tblStyle w:val="-41"/>
        <w:tblW w:w="11540" w:type="dxa"/>
        <w:jc w:val="center"/>
        <w:tblLook w:val="0400"/>
      </w:tblPr>
      <w:tblGrid>
        <w:gridCol w:w="3017"/>
        <w:gridCol w:w="2183"/>
        <w:gridCol w:w="1846"/>
        <w:gridCol w:w="1395"/>
        <w:gridCol w:w="1714"/>
        <w:gridCol w:w="1385"/>
      </w:tblGrid>
      <w:tr w:rsidR="00A81E20" w:rsidRPr="00651B46" w:rsidTr="005C6ABA">
        <w:trPr>
          <w:cnfStyle w:val="000000100000"/>
          <w:trHeight w:val="285"/>
          <w:jc w:val="center"/>
        </w:trPr>
        <w:tc>
          <w:tcPr>
            <w:tcW w:w="11540" w:type="dxa"/>
            <w:gridSpan w:val="6"/>
            <w:hideMark/>
          </w:tcPr>
          <w:p w:rsidR="00A81E20" w:rsidRPr="00651B46" w:rsidRDefault="00D95F8B" w:rsidP="00E56E5A">
            <w:pPr>
              <w:pStyle w:val="nouk"/>
              <w:rPr>
                <w:rFonts w:asciiTheme="minorHAnsi" w:eastAsiaTheme="minorHAnsi" w:hAnsiTheme="minorHAnsi" w:cstheme="minorHAnsi"/>
                <w:b/>
                <w:bCs/>
                <w:i/>
                <w:color w:val="000000"/>
                <w:sz w:val="22"/>
                <w:szCs w:val="22"/>
              </w:rPr>
            </w:pPr>
            <w:r w:rsidRPr="00651B46">
              <w:rPr>
                <w:rFonts w:asciiTheme="minorHAnsi" w:eastAsiaTheme="minorHAnsi" w:hAnsiTheme="minorHAnsi" w:cstheme="minorHAnsi"/>
                <w:b/>
                <w:bCs/>
                <w:i/>
                <w:color w:val="000000"/>
                <w:sz w:val="22"/>
                <w:szCs w:val="22"/>
              </w:rPr>
              <w:t xml:space="preserve"> </w:t>
            </w:r>
          </w:p>
        </w:tc>
      </w:tr>
      <w:tr w:rsidR="007E28F2" w:rsidRPr="00651B46" w:rsidTr="005C6ABA">
        <w:trPr>
          <w:cnfStyle w:val="000000010000"/>
          <w:trHeight w:val="285"/>
          <w:jc w:val="center"/>
        </w:trPr>
        <w:tc>
          <w:tcPr>
            <w:tcW w:w="3017" w:type="dxa"/>
            <w:hideMark/>
          </w:tcPr>
          <w:p w:rsidR="007E28F2" w:rsidRPr="00651B46" w:rsidRDefault="007E28F2" w:rsidP="00872FD2">
            <w:pPr>
              <w:spacing w:after="0" w:line="360" w:lineRule="auto"/>
              <w:rPr>
                <w:rFonts w:asciiTheme="minorHAnsi" w:eastAsia="Times New Roman" w:hAnsiTheme="minorHAnsi" w:cstheme="minorHAnsi"/>
                <w:b/>
                <w:bCs/>
                <w:color w:val="000000"/>
              </w:rPr>
            </w:pPr>
          </w:p>
        </w:tc>
        <w:tc>
          <w:tcPr>
            <w:tcW w:w="2183" w:type="dxa"/>
            <w:noWrap/>
            <w:hideMark/>
          </w:tcPr>
          <w:p w:rsidR="007E28F2" w:rsidRPr="00651B46" w:rsidRDefault="007E28F2" w:rsidP="00872FD2">
            <w:pPr>
              <w:spacing w:after="0" w:line="36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 </w:t>
            </w:r>
          </w:p>
        </w:tc>
        <w:tc>
          <w:tcPr>
            <w:tcW w:w="1846" w:type="dxa"/>
            <w:hideMark/>
          </w:tcPr>
          <w:p w:rsidR="007E28F2" w:rsidRPr="00651B46" w:rsidRDefault="0076474F" w:rsidP="00872FD2">
            <w:pPr>
              <w:spacing w:after="0" w:line="360" w:lineRule="auto"/>
              <w:jc w:val="center"/>
              <w:rPr>
                <w:rFonts w:asciiTheme="minorHAnsi" w:eastAsia="Times New Roman" w:hAnsiTheme="minorHAnsi" w:cstheme="minorHAnsi"/>
                <w:b/>
                <w:bCs/>
                <w:color w:val="000000"/>
              </w:rPr>
            </w:pPr>
            <w:r w:rsidRPr="00651B46">
              <w:rPr>
                <w:rFonts w:asciiTheme="minorHAnsi" w:eastAsia="Times New Roman" w:hAnsiTheme="minorHAnsi" w:cstheme="minorHAnsi"/>
                <w:bCs/>
                <w:i/>
                <w:color w:val="000000"/>
              </w:rPr>
              <w:t>Συμπτώματα</w:t>
            </w:r>
            <w:r w:rsidR="007E28F2" w:rsidRPr="00651B46">
              <w:rPr>
                <w:rFonts w:asciiTheme="minorHAnsi" w:eastAsia="Times New Roman" w:hAnsiTheme="minorHAnsi" w:cstheme="minorHAnsi"/>
                <w:b/>
                <w:bCs/>
                <w:i/>
                <w:color w:val="000000"/>
              </w:rPr>
              <w:t xml:space="preserve"> </w:t>
            </w:r>
            <w:r w:rsidR="007E28F2" w:rsidRPr="00651B46">
              <w:rPr>
                <w:rFonts w:asciiTheme="minorHAnsi" w:eastAsia="Times New Roman" w:hAnsiTheme="minorHAnsi" w:cstheme="minorHAnsi"/>
                <w:b/>
                <w:bCs/>
                <w:color w:val="000000"/>
              </w:rPr>
              <w:t>(μεταβολή)</w:t>
            </w:r>
          </w:p>
        </w:tc>
        <w:tc>
          <w:tcPr>
            <w:tcW w:w="1395" w:type="dxa"/>
            <w:hideMark/>
          </w:tcPr>
          <w:p w:rsidR="007E28F2" w:rsidRPr="00651B46" w:rsidRDefault="007E28F2" w:rsidP="00872FD2">
            <w:pPr>
              <w:spacing w:after="0" w:line="360" w:lineRule="auto"/>
              <w:jc w:val="center"/>
              <w:rPr>
                <w:rFonts w:asciiTheme="minorHAnsi" w:eastAsia="Times New Roman" w:hAnsiTheme="minorHAnsi" w:cstheme="minorHAnsi"/>
                <w:b/>
                <w:bCs/>
                <w:color w:val="000000"/>
              </w:rPr>
            </w:pPr>
          </w:p>
        </w:tc>
        <w:tc>
          <w:tcPr>
            <w:tcW w:w="1714" w:type="dxa"/>
            <w:hideMark/>
          </w:tcPr>
          <w:p w:rsidR="007E28F2" w:rsidRPr="00651B46" w:rsidRDefault="003A7874" w:rsidP="00872FD2">
            <w:pPr>
              <w:spacing w:after="0" w:line="360" w:lineRule="auto"/>
              <w:jc w:val="center"/>
              <w:rPr>
                <w:rFonts w:asciiTheme="minorHAnsi" w:eastAsia="Times New Roman" w:hAnsiTheme="minorHAnsi" w:cstheme="minorHAnsi"/>
                <w:b/>
                <w:bCs/>
                <w:color w:val="000000"/>
              </w:rPr>
            </w:pPr>
            <w:r w:rsidRPr="00651B46">
              <w:rPr>
                <w:rFonts w:asciiTheme="minorHAnsi" w:eastAsia="Times New Roman" w:hAnsiTheme="minorHAnsi" w:cstheme="minorHAnsi"/>
                <w:bCs/>
                <w:i/>
                <w:color w:val="000000"/>
              </w:rPr>
              <w:t>Λειτουργικότητα</w:t>
            </w:r>
            <w:r w:rsidR="007E28F2" w:rsidRPr="00651B46">
              <w:rPr>
                <w:rFonts w:asciiTheme="minorHAnsi" w:eastAsia="Times New Roman" w:hAnsiTheme="minorHAnsi" w:cstheme="minorHAnsi"/>
                <w:bCs/>
                <w:i/>
                <w:color w:val="000000"/>
              </w:rPr>
              <w:t xml:space="preserve"> </w:t>
            </w:r>
            <w:r w:rsidR="007E28F2" w:rsidRPr="00651B46">
              <w:rPr>
                <w:rFonts w:asciiTheme="minorHAnsi" w:eastAsia="Times New Roman" w:hAnsiTheme="minorHAnsi" w:cstheme="minorHAnsi"/>
                <w:b/>
                <w:bCs/>
                <w:color w:val="000000"/>
              </w:rPr>
              <w:t>(μεταβολή)</w:t>
            </w:r>
          </w:p>
        </w:tc>
        <w:tc>
          <w:tcPr>
            <w:tcW w:w="1385" w:type="dxa"/>
            <w:hideMark/>
          </w:tcPr>
          <w:p w:rsidR="007E28F2" w:rsidRPr="00651B46" w:rsidRDefault="007E28F2" w:rsidP="00872FD2">
            <w:pPr>
              <w:spacing w:after="0" w:line="360" w:lineRule="auto"/>
              <w:jc w:val="center"/>
              <w:rPr>
                <w:rFonts w:asciiTheme="minorHAnsi" w:eastAsia="Times New Roman" w:hAnsiTheme="minorHAnsi" w:cstheme="minorHAnsi"/>
                <w:b/>
                <w:bCs/>
                <w:color w:val="000000"/>
              </w:rPr>
            </w:pPr>
          </w:p>
        </w:tc>
      </w:tr>
      <w:tr w:rsidR="007E28F2" w:rsidRPr="00651B46" w:rsidTr="005C6ABA">
        <w:trPr>
          <w:cnfStyle w:val="000000100000"/>
          <w:trHeight w:val="285"/>
          <w:jc w:val="center"/>
        </w:trPr>
        <w:tc>
          <w:tcPr>
            <w:tcW w:w="3017" w:type="dxa"/>
            <w:noWrap/>
            <w:hideMark/>
          </w:tcPr>
          <w:p w:rsidR="007E28F2" w:rsidRPr="00651B46" w:rsidRDefault="007E28F2" w:rsidP="00872FD2">
            <w:pPr>
              <w:spacing w:after="0" w:line="360" w:lineRule="auto"/>
              <w:rPr>
                <w:rFonts w:asciiTheme="minorHAnsi" w:eastAsia="Times New Roman" w:hAnsiTheme="minorHAnsi" w:cstheme="minorHAnsi"/>
                <w:b/>
                <w:bCs/>
                <w:color w:val="000000"/>
              </w:rPr>
            </w:pPr>
            <w:r w:rsidRPr="00651B46">
              <w:rPr>
                <w:rFonts w:asciiTheme="minorHAnsi" w:eastAsia="Times New Roman" w:hAnsiTheme="minorHAnsi" w:cstheme="minorHAnsi"/>
                <w:color w:val="000000"/>
              </w:rPr>
              <w:t> </w:t>
            </w:r>
          </w:p>
        </w:tc>
        <w:tc>
          <w:tcPr>
            <w:tcW w:w="2183" w:type="dxa"/>
            <w:noWrap/>
            <w:hideMark/>
          </w:tcPr>
          <w:p w:rsidR="007E28F2" w:rsidRPr="00651B46" w:rsidRDefault="007E28F2" w:rsidP="00872FD2">
            <w:pPr>
              <w:spacing w:after="0" w:line="36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 </w:t>
            </w:r>
          </w:p>
        </w:tc>
        <w:tc>
          <w:tcPr>
            <w:tcW w:w="1846" w:type="dxa"/>
            <w:hideMark/>
          </w:tcPr>
          <w:p w:rsidR="007E28F2" w:rsidRPr="00651B46" w:rsidRDefault="007E28F2" w:rsidP="00872FD2">
            <w:pPr>
              <w:spacing w:after="0" w:line="360" w:lineRule="auto"/>
              <w:jc w:val="center"/>
              <w:rPr>
                <w:rFonts w:asciiTheme="minorHAnsi" w:eastAsia="Times New Roman" w:hAnsiTheme="minorHAnsi" w:cstheme="minorHAnsi"/>
                <w:b/>
                <w:bCs/>
                <w:color w:val="000000"/>
              </w:rPr>
            </w:pPr>
            <w:r w:rsidRPr="00651B46">
              <w:rPr>
                <w:rFonts w:asciiTheme="minorHAnsi" w:eastAsia="Times New Roman" w:hAnsiTheme="minorHAnsi" w:cstheme="minorHAnsi"/>
                <w:b/>
                <w:bCs/>
                <w:color w:val="000000"/>
              </w:rPr>
              <w:t>Μέση τιμή (</w:t>
            </w:r>
            <w:r w:rsidR="00D225F5" w:rsidRPr="00651B46">
              <w:rPr>
                <w:rFonts w:asciiTheme="minorHAnsi" w:eastAsia="Times New Roman" w:hAnsiTheme="minorHAnsi" w:cstheme="minorHAnsi"/>
                <w:b/>
                <w:bCs/>
                <w:color w:val="000000"/>
              </w:rPr>
              <w:t>ΤΑ</w:t>
            </w:r>
            <w:r w:rsidRPr="00651B46">
              <w:rPr>
                <w:rFonts w:asciiTheme="minorHAnsi" w:eastAsia="Times New Roman" w:hAnsiTheme="minorHAnsi" w:cstheme="minorHAnsi"/>
                <w:b/>
                <w:bCs/>
                <w:color w:val="000000"/>
              </w:rPr>
              <w:t>)</w:t>
            </w:r>
          </w:p>
        </w:tc>
        <w:tc>
          <w:tcPr>
            <w:tcW w:w="1395" w:type="dxa"/>
            <w:noWrap/>
            <w:hideMark/>
          </w:tcPr>
          <w:p w:rsidR="007E28F2" w:rsidRPr="00651B46" w:rsidRDefault="007E28F2" w:rsidP="00872FD2">
            <w:pPr>
              <w:spacing w:after="0" w:line="360" w:lineRule="auto"/>
              <w:jc w:val="center"/>
              <w:rPr>
                <w:rFonts w:asciiTheme="minorHAnsi" w:eastAsia="Times New Roman" w:hAnsiTheme="minorHAnsi" w:cstheme="minorHAnsi"/>
                <w:b/>
                <w:bCs/>
                <w:color w:val="000000"/>
              </w:rPr>
            </w:pPr>
            <w:r w:rsidRPr="00651B46">
              <w:rPr>
                <w:rFonts w:asciiTheme="minorHAnsi" w:eastAsia="Times New Roman" w:hAnsiTheme="minorHAnsi" w:cstheme="minorHAnsi"/>
                <w:b/>
                <w:bCs/>
                <w:color w:val="000000"/>
              </w:rPr>
              <w:t>P Student's t-test</w:t>
            </w:r>
          </w:p>
        </w:tc>
        <w:tc>
          <w:tcPr>
            <w:tcW w:w="1714" w:type="dxa"/>
            <w:hideMark/>
          </w:tcPr>
          <w:p w:rsidR="007E28F2" w:rsidRPr="00651B46" w:rsidRDefault="007E28F2" w:rsidP="00872FD2">
            <w:pPr>
              <w:spacing w:after="0" w:line="360" w:lineRule="auto"/>
              <w:jc w:val="center"/>
              <w:rPr>
                <w:rFonts w:asciiTheme="minorHAnsi" w:eastAsia="Times New Roman" w:hAnsiTheme="minorHAnsi" w:cstheme="minorHAnsi"/>
                <w:b/>
                <w:bCs/>
                <w:color w:val="000000"/>
              </w:rPr>
            </w:pPr>
            <w:r w:rsidRPr="00651B46">
              <w:rPr>
                <w:rFonts w:asciiTheme="minorHAnsi" w:eastAsia="Times New Roman" w:hAnsiTheme="minorHAnsi" w:cstheme="minorHAnsi"/>
                <w:b/>
                <w:bCs/>
                <w:color w:val="000000"/>
              </w:rPr>
              <w:t>Μέση τιμή (</w:t>
            </w:r>
            <w:r w:rsidR="00D225F5" w:rsidRPr="00651B46">
              <w:rPr>
                <w:rFonts w:asciiTheme="minorHAnsi" w:eastAsia="Times New Roman" w:hAnsiTheme="minorHAnsi" w:cstheme="minorHAnsi"/>
                <w:b/>
                <w:bCs/>
                <w:color w:val="000000"/>
              </w:rPr>
              <w:t>ΤΑ</w:t>
            </w:r>
            <w:r w:rsidRPr="00651B46">
              <w:rPr>
                <w:rFonts w:asciiTheme="minorHAnsi" w:eastAsia="Times New Roman" w:hAnsiTheme="minorHAnsi" w:cstheme="minorHAnsi"/>
                <w:b/>
                <w:bCs/>
                <w:color w:val="000000"/>
              </w:rPr>
              <w:t>)</w:t>
            </w:r>
          </w:p>
        </w:tc>
        <w:tc>
          <w:tcPr>
            <w:tcW w:w="1385" w:type="dxa"/>
            <w:noWrap/>
            <w:hideMark/>
          </w:tcPr>
          <w:p w:rsidR="007E28F2" w:rsidRPr="00651B46" w:rsidRDefault="007E28F2" w:rsidP="00872FD2">
            <w:pPr>
              <w:spacing w:after="0" w:line="360" w:lineRule="auto"/>
              <w:jc w:val="center"/>
              <w:rPr>
                <w:rFonts w:asciiTheme="minorHAnsi" w:eastAsia="Times New Roman" w:hAnsiTheme="minorHAnsi" w:cstheme="minorHAnsi"/>
                <w:b/>
                <w:bCs/>
                <w:color w:val="000000"/>
              </w:rPr>
            </w:pPr>
            <w:r w:rsidRPr="00651B46">
              <w:rPr>
                <w:rFonts w:asciiTheme="minorHAnsi" w:eastAsia="Times New Roman" w:hAnsiTheme="minorHAnsi" w:cstheme="minorHAnsi"/>
                <w:b/>
                <w:bCs/>
                <w:color w:val="000000"/>
              </w:rPr>
              <w:t>P Student's t-test</w:t>
            </w:r>
          </w:p>
        </w:tc>
      </w:tr>
      <w:tr w:rsidR="007E28F2" w:rsidRPr="00651B46" w:rsidTr="005C6ABA">
        <w:trPr>
          <w:cnfStyle w:val="000000010000"/>
          <w:trHeight w:val="285"/>
          <w:jc w:val="center"/>
        </w:trPr>
        <w:tc>
          <w:tcPr>
            <w:tcW w:w="3017" w:type="dxa"/>
            <w:vMerge w:val="restart"/>
            <w:hideMark/>
          </w:tcPr>
          <w:p w:rsidR="007E28F2" w:rsidRPr="00651B46" w:rsidRDefault="007E28F2" w:rsidP="00872FD2">
            <w:pPr>
              <w:spacing w:after="0" w:line="360" w:lineRule="auto"/>
              <w:rPr>
                <w:rFonts w:asciiTheme="minorHAnsi" w:eastAsia="Times New Roman" w:hAnsiTheme="minorHAnsi" w:cstheme="minorHAnsi"/>
                <w:b/>
                <w:bCs/>
                <w:color w:val="000000"/>
              </w:rPr>
            </w:pPr>
            <w:r w:rsidRPr="00651B46">
              <w:rPr>
                <w:rFonts w:asciiTheme="minorHAnsi" w:eastAsia="Times New Roman" w:hAnsiTheme="minorHAnsi" w:cstheme="minorHAnsi"/>
                <w:color w:val="000000"/>
              </w:rPr>
              <w:t>Φύλο</w:t>
            </w:r>
          </w:p>
        </w:tc>
        <w:tc>
          <w:tcPr>
            <w:tcW w:w="2183" w:type="dxa"/>
            <w:hideMark/>
          </w:tcPr>
          <w:p w:rsidR="007E28F2" w:rsidRPr="00651B46" w:rsidRDefault="007E28F2" w:rsidP="00872FD2">
            <w:pPr>
              <w:spacing w:after="0" w:line="36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άνδρας</w:t>
            </w:r>
          </w:p>
        </w:tc>
        <w:tc>
          <w:tcPr>
            <w:tcW w:w="1846"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0,87 (4,02)</w:t>
            </w:r>
          </w:p>
        </w:tc>
        <w:tc>
          <w:tcPr>
            <w:tcW w:w="1395" w:type="dxa"/>
            <w:noWrap/>
            <w:hideMark/>
          </w:tcPr>
          <w:p w:rsidR="007E28F2" w:rsidRPr="00651B46" w:rsidRDefault="007E28F2" w:rsidP="00872FD2">
            <w:pPr>
              <w:spacing w:after="0" w:line="360" w:lineRule="auto"/>
              <w:jc w:val="center"/>
              <w:rPr>
                <w:rFonts w:asciiTheme="minorHAnsi" w:eastAsia="Times New Roman" w:hAnsiTheme="minorHAnsi" w:cstheme="minorHAnsi"/>
                <w:b/>
                <w:color w:val="000000"/>
              </w:rPr>
            </w:pPr>
            <w:r w:rsidRPr="00651B46">
              <w:rPr>
                <w:rFonts w:asciiTheme="minorHAnsi" w:eastAsia="Times New Roman" w:hAnsiTheme="minorHAnsi" w:cstheme="minorHAnsi"/>
                <w:b/>
                <w:color w:val="000000"/>
              </w:rPr>
              <w:t>0,044</w:t>
            </w:r>
          </w:p>
        </w:tc>
        <w:tc>
          <w:tcPr>
            <w:tcW w:w="1714"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5,07 (3,79)</w:t>
            </w:r>
          </w:p>
        </w:tc>
        <w:tc>
          <w:tcPr>
            <w:tcW w:w="138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0,377</w:t>
            </w:r>
          </w:p>
        </w:tc>
      </w:tr>
      <w:tr w:rsidR="007E28F2" w:rsidRPr="00651B46" w:rsidTr="005C6ABA">
        <w:trPr>
          <w:cnfStyle w:val="000000100000"/>
          <w:trHeight w:val="285"/>
          <w:jc w:val="center"/>
        </w:trPr>
        <w:tc>
          <w:tcPr>
            <w:tcW w:w="3017" w:type="dxa"/>
            <w:vMerge/>
            <w:hideMark/>
          </w:tcPr>
          <w:p w:rsidR="007E28F2" w:rsidRPr="00651B46" w:rsidRDefault="007E28F2" w:rsidP="00872FD2">
            <w:pPr>
              <w:spacing w:after="0" w:line="360" w:lineRule="auto"/>
              <w:rPr>
                <w:rFonts w:asciiTheme="minorHAnsi" w:eastAsia="Times New Roman" w:hAnsiTheme="minorHAnsi" w:cstheme="minorHAnsi"/>
                <w:b/>
                <w:bCs/>
                <w:color w:val="000000"/>
              </w:rPr>
            </w:pPr>
          </w:p>
        </w:tc>
        <w:tc>
          <w:tcPr>
            <w:tcW w:w="2183" w:type="dxa"/>
            <w:hideMark/>
          </w:tcPr>
          <w:p w:rsidR="007E28F2" w:rsidRPr="00651B46" w:rsidRDefault="007E28F2" w:rsidP="00872FD2">
            <w:pPr>
              <w:spacing w:after="0" w:line="36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γυναίκα</w:t>
            </w:r>
          </w:p>
        </w:tc>
        <w:tc>
          <w:tcPr>
            <w:tcW w:w="1846"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5,9 (7,77)</w:t>
            </w:r>
          </w:p>
        </w:tc>
        <w:tc>
          <w:tcPr>
            <w:tcW w:w="139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p>
        </w:tc>
        <w:tc>
          <w:tcPr>
            <w:tcW w:w="1714"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3,7 (3,59)</w:t>
            </w:r>
          </w:p>
        </w:tc>
        <w:tc>
          <w:tcPr>
            <w:tcW w:w="138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p>
        </w:tc>
      </w:tr>
      <w:tr w:rsidR="007E28F2" w:rsidRPr="00651B46" w:rsidTr="005C6ABA">
        <w:trPr>
          <w:cnfStyle w:val="000000010000"/>
          <w:trHeight w:val="285"/>
          <w:jc w:val="center"/>
        </w:trPr>
        <w:tc>
          <w:tcPr>
            <w:tcW w:w="3017" w:type="dxa"/>
            <w:vMerge w:val="restart"/>
            <w:hideMark/>
          </w:tcPr>
          <w:p w:rsidR="007E28F2" w:rsidRPr="00651B46" w:rsidRDefault="007E28F2" w:rsidP="00872FD2">
            <w:pPr>
              <w:spacing w:after="0" w:line="360" w:lineRule="auto"/>
              <w:rPr>
                <w:rFonts w:asciiTheme="minorHAnsi" w:eastAsia="Times New Roman" w:hAnsiTheme="minorHAnsi" w:cstheme="minorHAnsi"/>
                <w:b/>
                <w:bCs/>
                <w:color w:val="000000"/>
              </w:rPr>
            </w:pPr>
            <w:r w:rsidRPr="00651B46">
              <w:rPr>
                <w:rFonts w:asciiTheme="minorHAnsi" w:eastAsia="Times New Roman" w:hAnsiTheme="minorHAnsi" w:cstheme="minorHAnsi"/>
                <w:color w:val="000000"/>
              </w:rPr>
              <w:t>Έγγαμοι</w:t>
            </w:r>
          </w:p>
        </w:tc>
        <w:tc>
          <w:tcPr>
            <w:tcW w:w="2183" w:type="dxa"/>
            <w:hideMark/>
          </w:tcPr>
          <w:p w:rsidR="007E28F2" w:rsidRPr="00651B46" w:rsidRDefault="00E56E5A" w:rsidP="00872FD2">
            <w:pPr>
              <w:spacing w:after="0" w:line="36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Όχι</w:t>
            </w:r>
          </w:p>
        </w:tc>
        <w:tc>
          <w:tcPr>
            <w:tcW w:w="1846"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2,73 (8,11)</w:t>
            </w:r>
          </w:p>
        </w:tc>
        <w:tc>
          <w:tcPr>
            <w:tcW w:w="139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0,916</w:t>
            </w:r>
          </w:p>
        </w:tc>
        <w:tc>
          <w:tcPr>
            <w:tcW w:w="1714"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5,45 (3,83)</w:t>
            </w:r>
          </w:p>
        </w:tc>
        <w:tc>
          <w:tcPr>
            <w:tcW w:w="138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0,272</w:t>
            </w:r>
          </w:p>
        </w:tc>
      </w:tr>
      <w:tr w:rsidR="007E28F2" w:rsidRPr="00651B46" w:rsidTr="005C6ABA">
        <w:trPr>
          <w:cnfStyle w:val="000000100000"/>
          <w:trHeight w:val="285"/>
          <w:jc w:val="center"/>
        </w:trPr>
        <w:tc>
          <w:tcPr>
            <w:tcW w:w="3017" w:type="dxa"/>
            <w:vMerge/>
            <w:hideMark/>
          </w:tcPr>
          <w:p w:rsidR="007E28F2" w:rsidRPr="00651B46" w:rsidRDefault="007E28F2" w:rsidP="00872FD2">
            <w:pPr>
              <w:spacing w:after="0" w:line="360" w:lineRule="auto"/>
              <w:rPr>
                <w:rFonts w:asciiTheme="minorHAnsi" w:eastAsia="Times New Roman" w:hAnsiTheme="minorHAnsi" w:cstheme="minorHAnsi"/>
                <w:b/>
                <w:bCs/>
                <w:color w:val="000000"/>
              </w:rPr>
            </w:pPr>
          </w:p>
        </w:tc>
        <w:tc>
          <w:tcPr>
            <w:tcW w:w="2183" w:type="dxa"/>
            <w:hideMark/>
          </w:tcPr>
          <w:p w:rsidR="007E28F2" w:rsidRPr="00651B46" w:rsidRDefault="00E56E5A" w:rsidP="00872FD2">
            <w:pPr>
              <w:spacing w:after="0" w:line="36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Ναι</w:t>
            </w:r>
          </w:p>
        </w:tc>
        <w:tc>
          <w:tcPr>
            <w:tcW w:w="1846"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3 (4,49)</w:t>
            </w:r>
          </w:p>
        </w:tc>
        <w:tc>
          <w:tcPr>
            <w:tcW w:w="139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p>
        </w:tc>
        <w:tc>
          <w:tcPr>
            <w:tcW w:w="1714"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3,79 (3,56)</w:t>
            </w:r>
          </w:p>
        </w:tc>
        <w:tc>
          <w:tcPr>
            <w:tcW w:w="138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p>
        </w:tc>
      </w:tr>
      <w:tr w:rsidR="007E28F2" w:rsidRPr="00651B46" w:rsidTr="005C6ABA">
        <w:trPr>
          <w:cnfStyle w:val="000000010000"/>
          <w:trHeight w:val="285"/>
          <w:jc w:val="center"/>
        </w:trPr>
        <w:tc>
          <w:tcPr>
            <w:tcW w:w="3017" w:type="dxa"/>
            <w:vMerge w:val="restart"/>
            <w:hideMark/>
          </w:tcPr>
          <w:p w:rsidR="007E28F2" w:rsidRPr="00651B46" w:rsidRDefault="007E28F2" w:rsidP="00872FD2">
            <w:pPr>
              <w:spacing w:after="0" w:line="360" w:lineRule="auto"/>
              <w:rPr>
                <w:rFonts w:asciiTheme="minorHAnsi" w:eastAsia="Times New Roman" w:hAnsiTheme="minorHAnsi" w:cstheme="minorHAnsi"/>
                <w:b/>
                <w:bCs/>
                <w:color w:val="000000"/>
              </w:rPr>
            </w:pPr>
            <w:r w:rsidRPr="00651B46">
              <w:rPr>
                <w:rFonts w:asciiTheme="minorHAnsi" w:eastAsia="Times New Roman" w:hAnsiTheme="minorHAnsi" w:cstheme="minorHAnsi"/>
                <w:color w:val="000000"/>
              </w:rPr>
              <w:t>Παιδιά</w:t>
            </w:r>
          </w:p>
        </w:tc>
        <w:tc>
          <w:tcPr>
            <w:tcW w:w="2183" w:type="dxa"/>
            <w:hideMark/>
          </w:tcPr>
          <w:p w:rsidR="007E28F2" w:rsidRPr="00651B46" w:rsidRDefault="00E56E5A" w:rsidP="00872FD2">
            <w:pPr>
              <w:spacing w:after="0" w:line="36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Όχι</w:t>
            </w:r>
          </w:p>
        </w:tc>
        <w:tc>
          <w:tcPr>
            <w:tcW w:w="1846"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0,78 (5,02)</w:t>
            </w:r>
          </w:p>
        </w:tc>
        <w:tc>
          <w:tcPr>
            <w:tcW w:w="139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0,210</w:t>
            </w:r>
          </w:p>
        </w:tc>
        <w:tc>
          <w:tcPr>
            <w:tcW w:w="1714"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4,33 (4,06)</w:t>
            </w:r>
          </w:p>
        </w:tc>
        <w:tc>
          <w:tcPr>
            <w:tcW w:w="138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0,855</w:t>
            </w:r>
          </w:p>
        </w:tc>
      </w:tr>
      <w:tr w:rsidR="007E28F2" w:rsidRPr="00651B46" w:rsidTr="005C6ABA">
        <w:trPr>
          <w:cnfStyle w:val="000000100000"/>
          <w:trHeight w:val="285"/>
          <w:jc w:val="center"/>
        </w:trPr>
        <w:tc>
          <w:tcPr>
            <w:tcW w:w="3017" w:type="dxa"/>
            <w:vMerge/>
            <w:hideMark/>
          </w:tcPr>
          <w:p w:rsidR="007E28F2" w:rsidRPr="00651B46" w:rsidRDefault="007E28F2" w:rsidP="00872FD2">
            <w:pPr>
              <w:spacing w:after="0" w:line="360" w:lineRule="auto"/>
              <w:rPr>
                <w:rFonts w:asciiTheme="minorHAnsi" w:eastAsia="Times New Roman" w:hAnsiTheme="minorHAnsi" w:cstheme="minorHAnsi"/>
                <w:b/>
                <w:bCs/>
                <w:color w:val="000000"/>
              </w:rPr>
            </w:pPr>
          </w:p>
        </w:tc>
        <w:tc>
          <w:tcPr>
            <w:tcW w:w="2183" w:type="dxa"/>
            <w:hideMark/>
          </w:tcPr>
          <w:p w:rsidR="007E28F2" w:rsidRPr="00651B46" w:rsidRDefault="00E56E5A" w:rsidP="00872FD2">
            <w:pPr>
              <w:spacing w:after="0" w:line="36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Ναι</w:t>
            </w:r>
          </w:p>
        </w:tc>
        <w:tc>
          <w:tcPr>
            <w:tcW w:w="1846"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4,06 (6,62)</w:t>
            </w:r>
          </w:p>
        </w:tc>
        <w:tc>
          <w:tcPr>
            <w:tcW w:w="139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p>
        </w:tc>
        <w:tc>
          <w:tcPr>
            <w:tcW w:w="1714"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4,63 (3,61)</w:t>
            </w:r>
          </w:p>
        </w:tc>
        <w:tc>
          <w:tcPr>
            <w:tcW w:w="138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p>
        </w:tc>
      </w:tr>
      <w:tr w:rsidR="007E28F2" w:rsidRPr="00651B46" w:rsidTr="005C6ABA">
        <w:trPr>
          <w:cnfStyle w:val="000000010000"/>
          <w:trHeight w:val="285"/>
          <w:jc w:val="center"/>
        </w:trPr>
        <w:tc>
          <w:tcPr>
            <w:tcW w:w="3017" w:type="dxa"/>
            <w:vMerge w:val="restart"/>
            <w:hideMark/>
          </w:tcPr>
          <w:p w:rsidR="007E28F2" w:rsidRPr="00651B46" w:rsidRDefault="00E56E5A" w:rsidP="00872FD2">
            <w:pPr>
              <w:spacing w:after="0" w:line="360" w:lineRule="auto"/>
              <w:rPr>
                <w:rFonts w:asciiTheme="minorHAnsi" w:eastAsia="Times New Roman" w:hAnsiTheme="minorHAnsi" w:cstheme="minorHAnsi"/>
                <w:b/>
                <w:bCs/>
                <w:color w:val="000000"/>
              </w:rPr>
            </w:pPr>
            <w:r w:rsidRPr="00651B46">
              <w:rPr>
                <w:rFonts w:asciiTheme="minorHAnsi" w:eastAsia="Times New Roman" w:hAnsiTheme="minorHAnsi" w:cstheme="minorHAnsi"/>
                <w:color w:val="000000"/>
              </w:rPr>
              <w:t>Μέ</w:t>
            </w:r>
            <w:r w:rsidR="007E28F2" w:rsidRPr="00651B46">
              <w:rPr>
                <w:rFonts w:asciiTheme="minorHAnsi" w:eastAsia="Times New Roman" w:hAnsiTheme="minorHAnsi" w:cstheme="minorHAnsi"/>
                <w:color w:val="000000"/>
              </w:rPr>
              <w:t>νετε μόνος;</w:t>
            </w:r>
          </w:p>
        </w:tc>
        <w:tc>
          <w:tcPr>
            <w:tcW w:w="2183" w:type="dxa"/>
            <w:hideMark/>
          </w:tcPr>
          <w:p w:rsidR="007E28F2" w:rsidRPr="00651B46" w:rsidRDefault="00E56E5A" w:rsidP="00872FD2">
            <w:pPr>
              <w:spacing w:after="0" w:line="36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Ναι</w:t>
            </w:r>
          </w:p>
        </w:tc>
        <w:tc>
          <w:tcPr>
            <w:tcW w:w="1846"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-0,2 (4,21)</w:t>
            </w:r>
          </w:p>
        </w:tc>
        <w:tc>
          <w:tcPr>
            <w:tcW w:w="139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0,221</w:t>
            </w:r>
          </w:p>
        </w:tc>
        <w:tc>
          <w:tcPr>
            <w:tcW w:w="1714"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4 (2,83)</w:t>
            </w:r>
          </w:p>
        </w:tc>
        <w:tc>
          <w:tcPr>
            <w:tcW w:w="138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0,733</w:t>
            </w:r>
          </w:p>
        </w:tc>
      </w:tr>
      <w:tr w:rsidR="007E28F2" w:rsidRPr="00651B46" w:rsidTr="005C6ABA">
        <w:trPr>
          <w:cnfStyle w:val="000000100000"/>
          <w:trHeight w:val="285"/>
          <w:jc w:val="center"/>
        </w:trPr>
        <w:tc>
          <w:tcPr>
            <w:tcW w:w="3017" w:type="dxa"/>
            <w:vMerge/>
            <w:hideMark/>
          </w:tcPr>
          <w:p w:rsidR="007E28F2" w:rsidRPr="00651B46" w:rsidRDefault="007E28F2" w:rsidP="00872FD2">
            <w:pPr>
              <w:spacing w:after="0" w:line="360" w:lineRule="auto"/>
              <w:rPr>
                <w:rFonts w:asciiTheme="minorHAnsi" w:eastAsia="Times New Roman" w:hAnsiTheme="minorHAnsi" w:cstheme="minorHAnsi"/>
                <w:b/>
                <w:bCs/>
                <w:color w:val="000000"/>
              </w:rPr>
            </w:pPr>
          </w:p>
        </w:tc>
        <w:tc>
          <w:tcPr>
            <w:tcW w:w="2183" w:type="dxa"/>
            <w:hideMark/>
          </w:tcPr>
          <w:p w:rsidR="007E28F2" w:rsidRPr="00651B46" w:rsidRDefault="00E56E5A" w:rsidP="00872FD2">
            <w:pPr>
              <w:spacing w:after="0" w:line="36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Όχι</w:t>
            </w:r>
          </w:p>
        </w:tc>
        <w:tc>
          <w:tcPr>
            <w:tcW w:w="1846"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3,65 (6,45)</w:t>
            </w:r>
          </w:p>
        </w:tc>
        <w:tc>
          <w:tcPr>
            <w:tcW w:w="139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p>
        </w:tc>
        <w:tc>
          <w:tcPr>
            <w:tcW w:w="1714"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4,65 (3,94)</w:t>
            </w:r>
          </w:p>
        </w:tc>
        <w:tc>
          <w:tcPr>
            <w:tcW w:w="138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p>
        </w:tc>
      </w:tr>
      <w:tr w:rsidR="007E28F2" w:rsidRPr="00651B46" w:rsidTr="005C6ABA">
        <w:trPr>
          <w:cnfStyle w:val="000000010000"/>
          <w:trHeight w:val="285"/>
          <w:jc w:val="center"/>
        </w:trPr>
        <w:tc>
          <w:tcPr>
            <w:tcW w:w="3017" w:type="dxa"/>
            <w:vMerge w:val="restart"/>
            <w:hideMark/>
          </w:tcPr>
          <w:p w:rsidR="007E28F2" w:rsidRPr="00651B46" w:rsidRDefault="000D053B" w:rsidP="00872FD2">
            <w:pPr>
              <w:spacing w:after="0" w:line="360" w:lineRule="auto"/>
              <w:rPr>
                <w:rFonts w:asciiTheme="minorHAnsi" w:eastAsia="Times New Roman" w:hAnsiTheme="minorHAnsi" w:cstheme="minorHAnsi"/>
                <w:b/>
                <w:bCs/>
                <w:color w:val="000000"/>
              </w:rPr>
            </w:pPr>
            <w:r w:rsidRPr="00651B46">
              <w:rPr>
                <w:rFonts w:asciiTheme="minorHAnsi" w:eastAsia="Times New Roman" w:hAnsiTheme="minorHAnsi" w:cstheme="minorHAnsi"/>
                <w:color w:val="000000"/>
              </w:rPr>
              <w:t>Εκπαιδευτικό</w:t>
            </w:r>
            <w:r w:rsidR="007E28F2" w:rsidRPr="00651B46">
              <w:rPr>
                <w:rFonts w:asciiTheme="minorHAnsi" w:eastAsia="Times New Roman" w:hAnsiTheme="minorHAnsi" w:cstheme="minorHAnsi"/>
                <w:color w:val="000000"/>
              </w:rPr>
              <w:t xml:space="preserve"> επίπεδο</w:t>
            </w:r>
          </w:p>
        </w:tc>
        <w:tc>
          <w:tcPr>
            <w:tcW w:w="2183" w:type="dxa"/>
            <w:hideMark/>
          </w:tcPr>
          <w:p w:rsidR="007E28F2" w:rsidRPr="00651B46" w:rsidRDefault="00E56E5A" w:rsidP="00872FD2">
            <w:pPr>
              <w:spacing w:after="0" w:line="36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Μέχ</w:t>
            </w:r>
            <w:r w:rsidR="00BA566F" w:rsidRPr="00651B46">
              <w:rPr>
                <w:rFonts w:asciiTheme="minorHAnsi" w:eastAsia="Times New Roman" w:hAnsiTheme="minorHAnsi" w:cstheme="minorHAnsi"/>
                <w:color w:val="000000"/>
              </w:rPr>
              <w:t>ρι κ</w:t>
            </w:r>
            <w:r w:rsidRPr="00651B46">
              <w:rPr>
                <w:rFonts w:asciiTheme="minorHAnsi" w:eastAsia="Times New Roman" w:hAnsiTheme="minorHAnsi" w:cstheme="minorHAnsi"/>
                <w:color w:val="000000"/>
              </w:rPr>
              <w:t>αι Λύκειο</w:t>
            </w:r>
          </w:p>
        </w:tc>
        <w:tc>
          <w:tcPr>
            <w:tcW w:w="1846"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3,42 (6,78)</w:t>
            </w:r>
          </w:p>
        </w:tc>
        <w:tc>
          <w:tcPr>
            <w:tcW w:w="139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0,449</w:t>
            </w:r>
          </w:p>
        </w:tc>
        <w:tc>
          <w:tcPr>
            <w:tcW w:w="1714"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5,21 (3,65)</w:t>
            </w:r>
          </w:p>
        </w:tc>
        <w:tc>
          <w:tcPr>
            <w:tcW w:w="138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0,097</w:t>
            </w:r>
          </w:p>
        </w:tc>
      </w:tr>
      <w:tr w:rsidR="007E28F2" w:rsidRPr="00651B46" w:rsidTr="005C6ABA">
        <w:trPr>
          <w:cnfStyle w:val="000000100000"/>
          <w:trHeight w:val="285"/>
          <w:jc w:val="center"/>
        </w:trPr>
        <w:tc>
          <w:tcPr>
            <w:tcW w:w="3017" w:type="dxa"/>
            <w:vMerge/>
            <w:hideMark/>
          </w:tcPr>
          <w:p w:rsidR="007E28F2" w:rsidRPr="00651B46" w:rsidRDefault="007E28F2" w:rsidP="00872FD2">
            <w:pPr>
              <w:spacing w:after="0" w:line="360" w:lineRule="auto"/>
              <w:rPr>
                <w:rFonts w:asciiTheme="minorHAnsi" w:eastAsia="Times New Roman" w:hAnsiTheme="minorHAnsi" w:cstheme="minorHAnsi"/>
                <w:b/>
                <w:bCs/>
                <w:color w:val="000000"/>
              </w:rPr>
            </w:pPr>
          </w:p>
        </w:tc>
        <w:tc>
          <w:tcPr>
            <w:tcW w:w="2183" w:type="dxa"/>
            <w:hideMark/>
          </w:tcPr>
          <w:p w:rsidR="007E28F2" w:rsidRPr="00651B46" w:rsidRDefault="00E56E5A" w:rsidP="00872FD2">
            <w:pPr>
              <w:spacing w:after="0" w:line="36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Πά</w:t>
            </w:r>
            <w:r w:rsidR="00BA566F" w:rsidRPr="00651B46">
              <w:rPr>
                <w:rFonts w:asciiTheme="minorHAnsi" w:eastAsia="Times New Roman" w:hAnsiTheme="minorHAnsi" w:cstheme="minorHAnsi"/>
                <w:color w:val="000000"/>
              </w:rPr>
              <w:t>νω από</w:t>
            </w:r>
            <w:r w:rsidRPr="00651B46">
              <w:rPr>
                <w:rFonts w:asciiTheme="minorHAnsi" w:eastAsia="Times New Roman" w:hAnsiTheme="minorHAnsi" w:cstheme="minorHAnsi"/>
                <w:color w:val="000000"/>
              </w:rPr>
              <w:t xml:space="preserve"> Λύκειο</w:t>
            </w:r>
          </w:p>
        </w:tc>
        <w:tc>
          <w:tcPr>
            <w:tcW w:w="1846"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1,17 (3,71)</w:t>
            </w:r>
          </w:p>
        </w:tc>
        <w:tc>
          <w:tcPr>
            <w:tcW w:w="139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p>
        </w:tc>
        <w:tc>
          <w:tcPr>
            <w:tcW w:w="1714"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2,33 (3,2)</w:t>
            </w:r>
          </w:p>
        </w:tc>
        <w:tc>
          <w:tcPr>
            <w:tcW w:w="138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p>
        </w:tc>
      </w:tr>
      <w:tr w:rsidR="007E28F2" w:rsidRPr="00651B46" w:rsidTr="005C6ABA">
        <w:trPr>
          <w:cnfStyle w:val="000000010000"/>
          <w:trHeight w:val="285"/>
          <w:jc w:val="center"/>
        </w:trPr>
        <w:tc>
          <w:tcPr>
            <w:tcW w:w="3017" w:type="dxa"/>
            <w:vMerge w:val="restart"/>
            <w:hideMark/>
          </w:tcPr>
          <w:p w:rsidR="007E28F2" w:rsidRPr="00651B46" w:rsidRDefault="007E28F2" w:rsidP="00872FD2">
            <w:pPr>
              <w:spacing w:after="0" w:line="360" w:lineRule="auto"/>
              <w:rPr>
                <w:rFonts w:asciiTheme="minorHAnsi" w:eastAsia="Times New Roman" w:hAnsiTheme="minorHAnsi" w:cstheme="minorHAnsi"/>
                <w:b/>
                <w:bCs/>
                <w:color w:val="000000"/>
              </w:rPr>
            </w:pPr>
            <w:r w:rsidRPr="00651B46">
              <w:rPr>
                <w:rFonts w:asciiTheme="minorHAnsi" w:eastAsia="Times New Roman" w:hAnsiTheme="minorHAnsi" w:cstheme="minorHAnsi"/>
                <w:color w:val="000000"/>
              </w:rPr>
              <w:t xml:space="preserve">Πάσχετε από </w:t>
            </w:r>
            <w:r w:rsidR="0095691A">
              <w:rPr>
                <w:rFonts w:asciiTheme="minorHAnsi" w:eastAsia="Times New Roman" w:hAnsiTheme="minorHAnsi" w:cstheme="minorHAnsi"/>
                <w:color w:val="000000"/>
              </w:rPr>
              <w:t>Σακχαρώδη Διαβήτη</w:t>
            </w:r>
            <w:r w:rsidR="0095691A" w:rsidRPr="00651B46">
              <w:rPr>
                <w:rFonts w:asciiTheme="minorHAnsi" w:eastAsia="Times New Roman" w:hAnsiTheme="minorHAnsi" w:cstheme="minorHAnsi"/>
                <w:color w:val="000000"/>
              </w:rPr>
              <w:t>,</w:t>
            </w:r>
            <w:r w:rsidRPr="00651B46">
              <w:rPr>
                <w:rFonts w:asciiTheme="minorHAnsi" w:eastAsia="Times New Roman" w:hAnsiTheme="minorHAnsi" w:cstheme="minorHAnsi"/>
                <w:color w:val="000000"/>
              </w:rPr>
              <w:t xml:space="preserve"> υπέρταση, σπειραματονεφρίτιδα, πολυκυστική νόσο ή άλλο;</w:t>
            </w:r>
          </w:p>
        </w:tc>
        <w:tc>
          <w:tcPr>
            <w:tcW w:w="2183" w:type="dxa"/>
            <w:hideMark/>
          </w:tcPr>
          <w:p w:rsidR="007E28F2" w:rsidRPr="00651B46" w:rsidRDefault="0095691A" w:rsidP="00872FD2">
            <w:pPr>
              <w:spacing w:after="0" w:line="360" w:lineRule="auto"/>
              <w:rPr>
                <w:rFonts w:asciiTheme="minorHAnsi" w:eastAsia="Times New Roman" w:hAnsiTheme="minorHAnsi" w:cstheme="minorHAnsi"/>
                <w:color w:val="000000"/>
              </w:rPr>
            </w:pPr>
            <w:r>
              <w:rPr>
                <w:rFonts w:asciiTheme="minorHAnsi" w:eastAsia="Times New Roman" w:hAnsiTheme="minorHAnsi" w:cstheme="minorHAnsi"/>
                <w:color w:val="000000"/>
              </w:rPr>
              <w:t>Σακχαρώδη Διαβήτη</w:t>
            </w:r>
          </w:p>
        </w:tc>
        <w:tc>
          <w:tcPr>
            <w:tcW w:w="1846"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0,83 (2,48)</w:t>
            </w:r>
          </w:p>
        </w:tc>
        <w:tc>
          <w:tcPr>
            <w:tcW w:w="139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0369*</w:t>
            </w:r>
          </w:p>
        </w:tc>
        <w:tc>
          <w:tcPr>
            <w:tcW w:w="1714"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5 (1,79)</w:t>
            </w:r>
          </w:p>
        </w:tc>
        <w:tc>
          <w:tcPr>
            <w:tcW w:w="138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0898*</w:t>
            </w:r>
          </w:p>
        </w:tc>
      </w:tr>
      <w:tr w:rsidR="007E28F2" w:rsidRPr="00651B46" w:rsidTr="005C6ABA">
        <w:trPr>
          <w:cnfStyle w:val="000000100000"/>
          <w:trHeight w:val="285"/>
          <w:jc w:val="center"/>
        </w:trPr>
        <w:tc>
          <w:tcPr>
            <w:tcW w:w="3017" w:type="dxa"/>
            <w:vMerge/>
            <w:hideMark/>
          </w:tcPr>
          <w:p w:rsidR="007E28F2" w:rsidRPr="00651B46" w:rsidRDefault="007E28F2" w:rsidP="00872FD2">
            <w:pPr>
              <w:spacing w:after="0" w:line="360" w:lineRule="auto"/>
              <w:rPr>
                <w:rFonts w:asciiTheme="minorHAnsi" w:eastAsia="Times New Roman" w:hAnsiTheme="minorHAnsi" w:cstheme="minorHAnsi"/>
                <w:b/>
                <w:bCs/>
                <w:color w:val="000000"/>
              </w:rPr>
            </w:pPr>
          </w:p>
        </w:tc>
        <w:tc>
          <w:tcPr>
            <w:tcW w:w="2183" w:type="dxa"/>
            <w:hideMark/>
          </w:tcPr>
          <w:p w:rsidR="007E28F2" w:rsidRPr="00651B46" w:rsidRDefault="00E56E5A" w:rsidP="00872FD2">
            <w:pPr>
              <w:spacing w:after="0" w:line="36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Υπέρταση</w:t>
            </w:r>
          </w:p>
        </w:tc>
        <w:tc>
          <w:tcPr>
            <w:tcW w:w="1846"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5,33 (9,25)</w:t>
            </w:r>
          </w:p>
        </w:tc>
        <w:tc>
          <w:tcPr>
            <w:tcW w:w="139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p>
        </w:tc>
        <w:tc>
          <w:tcPr>
            <w:tcW w:w="1714"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4,56 (5,15)</w:t>
            </w:r>
          </w:p>
        </w:tc>
        <w:tc>
          <w:tcPr>
            <w:tcW w:w="138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p>
        </w:tc>
      </w:tr>
      <w:tr w:rsidR="007E28F2" w:rsidRPr="00651B46" w:rsidTr="005C6ABA">
        <w:trPr>
          <w:cnfStyle w:val="000000010000"/>
          <w:trHeight w:val="285"/>
          <w:jc w:val="center"/>
        </w:trPr>
        <w:tc>
          <w:tcPr>
            <w:tcW w:w="3017" w:type="dxa"/>
            <w:vMerge/>
            <w:hideMark/>
          </w:tcPr>
          <w:p w:rsidR="007E28F2" w:rsidRPr="00651B46" w:rsidRDefault="007E28F2" w:rsidP="00872FD2">
            <w:pPr>
              <w:spacing w:after="0" w:line="360" w:lineRule="auto"/>
              <w:rPr>
                <w:rFonts w:asciiTheme="minorHAnsi" w:eastAsia="Times New Roman" w:hAnsiTheme="minorHAnsi" w:cstheme="minorHAnsi"/>
                <w:b/>
                <w:bCs/>
                <w:color w:val="000000"/>
              </w:rPr>
            </w:pPr>
          </w:p>
        </w:tc>
        <w:tc>
          <w:tcPr>
            <w:tcW w:w="2183" w:type="dxa"/>
            <w:hideMark/>
          </w:tcPr>
          <w:p w:rsidR="007E28F2" w:rsidRPr="00651B46" w:rsidRDefault="00E56E5A" w:rsidP="00872FD2">
            <w:pPr>
              <w:spacing w:after="0" w:line="36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Σπειραματονεφρίτιδα</w:t>
            </w:r>
          </w:p>
        </w:tc>
        <w:tc>
          <w:tcPr>
            <w:tcW w:w="1846"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1,88 (4,09)</w:t>
            </w:r>
          </w:p>
        </w:tc>
        <w:tc>
          <w:tcPr>
            <w:tcW w:w="139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p>
        </w:tc>
        <w:tc>
          <w:tcPr>
            <w:tcW w:w="1714"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4 (3,7)</w:t>
            </w:r>
          </w:p>
        </w:tc>
        <w:tc>
          <w:tcPr>
            <w:tcW w:w="1385"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rPr>
            </w:pPr>
          </w:p>
        </w:tc>
      </w:tr>
      <w:tr w:rsidR="00651B46" w:rsidRPr="00651B46" w:rsidTr="005C6ABA">
        <w:trPr>
          <w:cnfStyle w:val="000000100000"/>
          <w:trHeight w:val="285"/>
          <w:jc w:val="center"/>
        </w:trPr>
        <w:tc>
          <w:tcPr>
            <w:tcW w:w="11540" w:type="dxa"/>
            <w:gridSpan w:val="6"/>
            <w:hideMark/>
          </w:tcPr>
          <w:p w:rsidR="00651B46" w:rsidRPr="00651B46" w:rsidRDefault="00651B46" w:rsidP="00651B46">
            <w:pPr>
              <w:pStyle w:val="nouk"/>
              <w:spacing w:line="276" w:lineRule="auto"/>
              <w:rPr>
                <w:i/>
              </w:rPr>
            </w:pPr>
            <w:r w:rsidRPr="00651B46">
              <w:rPr>
                <w:i/>
              </w:rPr>
              <w:t>*</w:t>
            </w:r>
            <w:r w:rsidRPr="00651B46">
              <w:rPr>
                <w:i/>
                <w:lang w:val="en-US"/>
              </w:rPr>
              <w:t>ANOVA</w:t>
            </w:r>
            <w:r w:rsidRPr="00651B46">
              <w:rPr>
                <w:i/>
              </w:rPr>
              <w:t xml:space="preserve"> </w:t>
            </w:r>
          </w:p>
        </w:tc>
      </w:tr>
    </w:tbl>
    <w:p w:rsidR="00651B46" w:rsidRDefault="00651B46" w:rsidP="005A464E">
      <w:pPr>
        <w:pStyle w:val="nouk"/>
      </w:pPr>
    </w:p>
    <w:p w:rsidR="007E28F2" w:rsidRDefault="007E28F2" w:rsidP="005A464E">
      <w:pPr>
        <w:pStyle w:val="nouk"/>
      </w:pPr>
      <w:r w:rsidRPr="005A464E">
        <w:t xml:space="preserve">Η βελτίωση στα συμπτώματα ήταν σημαντικά υψηλότερη στις γυναίκες σε σύγκριση με τους άντρες. Η βελτίωση στη λειτουργικότητα δεν διέφερε σημαντικά ανάλογα με τα στοιχεία του παραπάνω πίνακα. </w:t>
      </w:r>
    </w:p>
    <w:p w:rsidR="00651B46" w:rsidRPr="005A464E" w:rsidRDefault="00651B46" w:rsidP="005A464E">
      <w:pPr>
        <w:pStyle w:val="nouk"/>
      </w:pPr>
    </w:p>
    <w:p w:rsidR="007E28F2" w:rsidRPr="002B5862" w:rsidRDefault="007E28F2" w:rsidP="002B5862">
      <w:pPr>
        <w:spacing w:line="360" w:lineRule="auto"/>
        <w:jc w:val="both"/>
        <w:rPr>
          <w:rFonts w:cstheme="minorHAnsi"/>
          <w:sz w:val="24"/>
          <w:szCs w:val="24"/>
        </w:rPr>
      </w:pPr>
      <w:r w:rsidRPr="002B5862">
        <w:rPr>
          <w:sz w:val="24"/>
          <w:szCs w:val="24"/>
        </w:rPr>
        <w:t xml:space="preserve">Στο γράφημα που ακολουθεί </w:t>
      </w:r>
      <w:r w:rsidR="00D95F8B" w:rsidRPr="002B5862">
        <w:rPr>
          <w:sz w:val="24"/>
          <w:szCs w:val="24"/>
        </w:rPr>
        <w:t xml:space="preserve">(Γρ 9) </w:t>
      </w:r>
      <w:r w:rsidRPr="002B5862">
        <w:rPr>
          <w:sz w:val="24"/>
          <w:szCs w:val="24"/>
        </w:rPr>
        <w:t>δίνεται η μεταβολή στη διάσταση «</w:t>
      </w:r>
      <w:r w:rsidR="0076474F" w:rsidRPr="002B5862">
        <w:rPr>
          <w:sz w:val="24"/>
          <w:szCs w:val="24"/>
        </w:rPr>
        <w:t>Συμπτώματα</w:t>
      </w:r>
      <w:r w:rsidRPr="002B5862">
        <w:rPr>
          <w:sz w:val="24"/>
          <w:szCs w:val="24"/>
        </w:rPr>
        <w:t>» ανάλογα με το φύλο των συμμετεχόντων.</w:t>
      </w:r>
    </w:p>
    <w:p w:rsidR="007E28F2" w:rsidRPr="005A464E" w:rsidRDefault="007E28F2" w:rsidP="005A464E">
      <w:pPr>
        <w:pStyle w:val="nouk"/>
      </w:pPr>
    </w:p>
    <w:p w:rsidR="007E28F2" w:rsidRPr="00846E7B" w:rsidRDefault="00464728" w:rsidP="00D95F8B">
      <w:pPr>
        <w:pStyle w:val="nouk"/>
        <w:jc w:val="center"/>
        <w:rPr>
          <w:i/>
        </w:rPr>
      </w:pPr>
      <w:r>
        <w:rPr>
          <w:b/>
          <w:i/>
          <w:noProof/>
          <w:lang w:eastAsia="el-GR"/>
        </w:rPr>
        <w:drawing>
          <wp:inline distT="0" distB="0" distL="0" distR="0">
            <wp:extent cx="3857625" cy="3057525"/>
            <wp:effectExtent l="19050" t="0" r="9525" b="0"/>
            <wp:docPr id="9" name="Εικόνα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4" cstate="print"/>
                    <a:srcRect/>
                    <a:stretch>
                      <a:fillRect/>
                    </a:stretch>
                  </pic:blipFill>
                  <pic:spPr bwMode="auto">
                    <a:xfrm>
                      <a:off x="0" y="0"/>
                      <a:ext cx="3857625" cy="3057525"/>
                    </a:xfrm>
                    <a:prstGeom prst="rect">
                      <a:avLst/>
                    </a:prstGeom>
                    <a:noFill/>
                    <a:ln w="9525">
                      <a:noFill/>
                      <a:miter lim="800000"/>
                      <a:headEnd/>
                      <a:tailEnd/>
                    </a:ln>
                  </pic:spPr>
                </pic:pic>
              </a:graphicData>
            </a:graphic>
          </wp:inline>
        </w:drawing>
      </w:r>
    </w:p>
    <w:p w:rsidR="007E28F2" w:rsidRPr="00D95F8B" w:rsidRDefault="00D95F8B" w:rsidP="00D95F8B">
      <w:pPr>
        <w:spacing w:line="360" w:lineRule="auto"/>
        <w:jc w:val="both"/>
        <w:rPr>
          <w:rFonts w:cstheme="minorHAnsi"/>
          <w:sz w:val="24"/>
          <w:szCs w:val="24"/>
        </w:rPr>
      </w:pPr>
      <w:r w:rsidRPr="00846E7B">
        <w:rPr>
          <w:i/>
        </w:rPr>
        <w:t>Γράφημα 9</w:t>
      </w:r>
      <w:r>
        <w:t xml:space="preserve"> Μ</w:t>
      </w:r>
      <w:r w:rsidRPr="005A464E">
        <w:t>εταβολή στη διάσταση «Συμπτώματα» ανάλογα με το φύλο των συμμετεχόντων.</w:t>
      </w:r>
    </w:p>
    <w:p w:rsidR="007E28F2" w:rsidRPr="005A464E" w:rsidRDefault="007E28F2" w:rsidP="005A464E">
      <w:pPr>
        <w:spacing w:line="360" w:lineRule="auto"/>
        <w:jc w:val="both"/>
        <w:rPr>
          <w:rFonts w:cstheme="minorHAnsi"/>
          <w:sz w:val="24"/>
          <w:szCs w:val="24"/>
        </w:rPr>
      </w:pPr>
      <w:r w:rsidRPr="005A464E">
        <w:rPr>
          <w:sz w:val="24"/>
          <w:szCs w:val="24"/>
        </w:rPr>
        <w:t xml:space="preserve">Στον πίνακα που ακολουθεί </w:t>
      </w:r>
      <w:r w:rsidR="00F6061C">
        <w:rPr>
          <w:sz w:val="24"/>
          <w:szCs w:val="24"/>
        </w:rPr>
        <w:t>(Πίν 28</w:t>
      </w:r>
      <w:r w:rsidR="00D95F8B">
        <w:rPr>
          <w:sz w:val="24"/>
          <w:szCs w:val="24"/>
        </w:rPr>
        <w:t xml:space="preserve">) </w:t>
      </w:r>
      <w:r w:rsidRPr="005A464E">
        <w:rPr>
          <w:sz w:val="24"/>
          <w:szCs w:val="24"/>
        </w:rPr>
        <w:t xml:space="preserve">δίνονται οι συντελεστές συσχέτισης του </w:t>
      </w:r>
      <w:r w:rsidRPr="005A464E">
        <w:rPr>
          <w:sz w:val="24"/>
          <w:szCs w:val="24"/>
          <w:lang w:val="en-US"/>
        </w:rPr>
        <w:t>Pearson</w:t>
      </w:r>
      <w:r w:rsidRPr="005A464E">
        <w:rPr>
          <w:sz w:val="24"/>
          <w:szCs w:val="24"/>
        </w:rPr>
        <w:t xml:space="preserve"> των μεταβολών στις διαστάσεις «</w:t>
      </w:r>
      <w:r w:rsidR="0076474F" w:rsidRPr="005A464E">
        <w:rPr>
          <w:sz w:val="24"/>
          <w:szCs w:val="24"/>
        </w:rPr>
        <w:t>Συμπτώματα</w:t>
      </w:r>
      <w:r w:rsidRPr="005A464E">
        <w:rPr>
          <w:sz w:val="24"/>
          <w:szCs w:val="24"/>
        </w:rPr>
        <w:t>» και «</w:t>
      </w:r>
      <w:r w:rsidR="003A7874" w:rsidRPr="005A464E">
        <w:rPr>
          <w:sz w:val="24"/>
          <w:szCs w:val="24"/>
        </w:rPr>
        <w:t>Λειτουργικότητα</w:t>
      </w:r>
      <w:r w:rsidRPr="005A464E">
        <w:rPr>
          <w:sz w:val="24"/>
          <w:szCs w:val="24"/>
        </w:rPr>
        <w:t xml:space="preserve">» των ατόμων της ομάδας παρέμβασης με την ηλικία τους, στοιχεία που αφορούν στην ΧΝΝ και </w:t>
      </w:r>
      <w:r w:rsidR="00A27068">
        <w:rPr>
          <w:sz w:val="24"/>
          <w:szCs w:val="24"/>
        </w:rPr>
        <w:t>αιμοκάθαρση</w:t>
      </w:r>
      <w:r w:rsidR="00A27068" w:rsidRPr="005A464E">
        <w:rPr>
          <w:sz w:val="24"/>
          <w:szCs w:val="24"/>
        </w:rPr>
        <w:t xml:space="preserve"> </w:t>
      </w:r>
      <w:r w:rsidRPr="005A464E">
        <w:rPr>
          <w:sz w:val="24"/>
          <w:szCs w:val="24"/>
        </w:rPr>
        <w:t xml:space="preserve">και τον ημερήσιο αριθμό </w:t>
      </w:r>
      <w:r w:rsidR="00B0098B">
        <w:rPr>
          <w:sz w:val="24"/>
          <w:szCs w:val="24"/>
        </w:rPr>
        <w:t>δισκίων</w:t>
      </w:r>
      <w:r w:rsidRPr="005A464E">
        <w:rPr>
          <w:sz w:val="24"/>
          <w:szCs w:val="24"/>
        </w:rPr>
        <w:t xml:space="preserve">. </w:t>
      </w:r>
    </w:p>
    <w:p w:rsidR="0025283E" w:rsidRDefault="00F6061C" w:rsidP="0025283E">
      <w:pPr>
        <w:spacing w:after="0" w:line="360" w:lineRule="auto"/>
        <w:jc w:val="both"/>
        <w:rPr>
          <w:rFonts w:asciiTheme="minorHAnsi" w:eastAsiaTheme="minorHAnsi" w:hAnsiTheme="minorHAnsi" w:cstheme="minorBidi"/>
          <w:bCs/>
          <w:color w:val="000000"/>
        </w:rPr>
      </w:pPr>
      <w:r>
        <w:rPr>
          <w:rFonts w:asciiTheme="minorHAnsi" w:eastAsiaTheme="minorHAnsi" w:hAnsiTheme="minorHAnsi" w:cstheme="minorBidi"/>
          <w:bCs/>
          <w:color w:val="000000"/>
        </w:rPr>
        <w:t>Πίνακας 28</w:t>
      </w:r>
    </w:p>
    <w:p w:rsidR="007E28F2" w:rsidRPr="005A464E" w:rsidRDefault="0025283E" w:rsidP="0025283E">
      <w:pPr>
        <w:pStyle w:val="nouk"/>
      </w:pPr>
      <w:r w:rsidRPr="008847F1">
        <w:rPr>
          <w:rFonts w:asciiTheme="minorHAnsi" w:eastAsiaTheme="minorHAnsi" w:hAnsiTheme="minorHAnsi" w:cstheme="minorBidi"/>
          <w:bCs/>
          <w:i/>
          <w:color w:val="000000"/>
        </w:rPr>
        <w:t>Μεταβολές στις διαστάσεις «Συμπτώματα» και «Λειτουργικότητα» των ατόμων της ομάδας παρέμβασης με δημογραφικά και κλινικά στοιχεία</w:t>
      </w:r>
    </w:p>
    <w:tbl>
      <w:tblPr>
        <w:tblStyle w:val="-41"/>
        <w:tblW w:w="8330" w:type="dxa"/>
        <w:tblLook w:val="0400"/>
      </w:tblPr>
      <w:tblGrid>
        <w:gridCol w:w="3680"/>
        <w:gridCol w:w="337"/>
        <w:gridCol w:w="1733"/>
        <w:gridCol w:w="2580"/>
      </w:tblGrid>
      <w:tr w:rsidR="007E28F2" w:rsidRPr="00872FD2" w:rsidTr="0025283E">
        <w:trPr>
          <w:cnfStyle w:val="000000100000"/>
          <w:trHeight w:val="285"/>
        </w:trPr>
        <w:tc>
          <w:tcPr>
            <w:tcW w:w="4017" w:type="dxa"/>
            <w:gridSpan w:val="2"/>
            <w:hideMark/>
          </w:tcPr>
          <w:p w:rsidR="007E28F2" w:rsidRPr="00872FD2" w:rsidRDefault="007E28F2" w:rsidP="00872FD2">
            <w:pPr>
              <w:spacing w:after="0" w:line="240" w:lineRule="auto"/>
              <w:rPr>
                <w:rFonts w:asciiTheme="minorHAnsi" w:eastAsia="Times New Roman" w:hAnsiTheme="minorHAnsi" w:cs="Arial"/>
                <w:b/>
                <w:bCs/>
                <w:color w:val="000000"/>
              </w:rPr>
            </w:pPr>
          </w:p>
        </w:tc>
        <w:tc>
          <w:tcPr>
            <w:tcW w:w="1733" w:type="dxa"/>
            <w:hideMark/>
          </w:tcPr>
          <w:p w:rsidR="007E28F2" w:rsidRPr="00872FD2" w:rsidRDefault="0076474F" w:rsidP="00872FD2">
            <w:pPr>
              <w:spacing w:after="0" w:line="240" w:lineRule="auto"/>
              <w:jc w:val="center"/>
              <w:rPr>
                <w:rFonts w:asciiTheme="minorHAnsi" w:eastAsia="Times New Roman" w:hAnsiTheme="minorHAnsi" w:cs="Arial"/>
                <w:b/>
                <w:bCs/>
                <w:color w:val="000000"/>
              </w:rPr>
            </w:pPr>
            <w:r w:rsidRPr="00872FD2">
              <w:rPr>
                <w:rFonts w:asciiTheme="minorHAnsi" w:eastAsia="Times New Roman" w:hAnsiTheme="minorHAnsi" w:cs="Arial"/>
                <w:b/>
                <w:bCs/>
                <w:color w:val="000000"/>
              </w:rPr>
              <w:t>Συμπτώματα</w:t>
            </w:r>
            <w:r w:rsidR="007E28F2" w:rsidRPr="00872FD2">
              <w:rPr>
                <w:rFonts w:asciiTheme="minorHAnsi" w:eastAsia="Times New Roman" w:hAnsiTheme="minorHAnsi" w:cs="Arial"/>
                <w:b/>
                <w:bCs/>
                <w:color w:val="000000"/>
              </w:rPr>
              <w:t xml:space="preserve"> (μεταβολή)</w:t>
            </w:r>
          </w:p>
        </w:tc>
        <w:tc>
          <w:tcPr>
            <w:tcW w:w="2580" w:type="dxa"/>
            <w:hideMark/>
          </w:tcPr>
          <w:p w:rsidR="007E28F2" w:rsidRPr="00872FD2" w:rsidRDefault="003A7874" w:rsidP="00872FD2">
            <w:pPr>
              <w:spacing w:after="0" w:line="240" w:lineRule="auto"/>
              <w:jc w:val="center"/>
              <w:rPr>
                <w:rFonts w:asciiTheme="minorHAnsi" w:eastAsia="Times New Roman" w:hAnsiTheme="minorHAnsi" w:cs="Arial"/>
                <w:b/>
                <w:bCs/>
                <w:color w:val="000000"/>
              </w:rPr>
            </w:pPr>
            <w:r w:rsidRPr="00872FD2">
              <w:rPr>
                <w:rFonts w:asciiTheme="minorHAnsi" w:eastAsia="Times New Roman" w:hAnsiTheme="minorHAnsi" w:cs="Arial"/>
                <w:b/>
                <w:bCs/>
                <w:color w:val="000000"/>
              </w:rPr>
              <w:t>Λειτουργικότητα</w:t>
            </w:r>
            <w:r w:rsidR="007E28F2" w:rsidRPr="00872FD2">
              <w:rPr>
                <w:rFonts w:asciiTheme="minorHAnsi" w:eastAsia="Times New Roman" w:hAnsiTheme="minorHAnsi" w:cs="Arial"/>
                <w:b/>
                <w:bCs/>
                <w:color w:val="000000"/>
              </w:rPr>
              <w:t xml:space="preserve"> (μεταβολή)</w:t>
            </w:r>
          </w:p>
        </w:tc>
      </w:tr>
      <w:tr w:rsidR="007E28F2" w:rsidRPr="00872FD2" w:rsidTr="0025283E">
        <w:trPr>
          <w:cnfStyle w:val="000000010000"/>
          <w:trHeight w:val="285"/>
        </w:trPr>
        <w:tc>
          <w:tcPr>
            <w:tcW w:w="3680" w:type="dxa"/>
            <w:vMerge w:val="restart"/>
            <w:hideMark/>
          </w:tcPr>
          <w:p w:rsidR="007E28F2" w:rsidRPr="00872FD2" w:rsidRDefault="007E28F2" w:rsidP="00872FD2">
            <w:pPr>
              <w:spacing w:after="0" w:line="240" w:lineRule="auto"/>
              <w:rPr>
                <w:rFonts w:asciiTheme="minorHAnsi" w:eastAsia="Times New Roman" w:hAnsiTheme="minorHAnsi" w:cs="Arial"/>
                <w:b/>
                <w:bCs/>
                <w:color w:val="000000"/>
              </w:rPr>
            </w:pPr>
            <w:r w:rsidRPr="00872FD2">
              <w:rPr>
                <w:rFonts w:asciiTheme="minorHAnsi" w:eastAsia="Times New Roman" w:hAnsiTheme="minorHAnsi" w:cs="Arial"/>
                <w:color w:val="000000"/>
              </w:rPr>
              <w:t>Ηλικία</w:t>
            </w:r>
          </w:p>
        </w:tc>
        <w:tc>
          <w:tcPr>
            <w:tcW w:w="337" w:type="dxa"/>
            <w:hideMark/>
          </w:tcPr>
          <w:p w:rsidR="007E28F2" w:rsidRPr="00872FD2" w:rsidRDefault="007E28F2" w:rsidP="00872FD2">
            <w:pPr>
              <w:spacing w:after="0" w:line="240" w:lineRule="auto"/>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1733"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0,30</w:t>
            </w:r>
          </w:p>
        </w:tc>
        <w:tc>
          <w:tcPr>
            <w:tcW w:w="2580"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0,24</w:t>
            </w:r>
          </w:p>
        </w:tc>
      </w:tr>
      <w:tr w:rsidR="007E28F2" w:rsidRPr="00872FD2" w:rsidTr="0025283E">
        <w:trPr>
          <w:cnfStyle w:val="000000100000"/>
          <w:trHeight w:val="285"/>
        </w:trPr>
        <w:tc>
          <w:tcPr>
            <w:tcW w:w="3680" w:type="dxa"/>
            <w:vMerge/>
            <w:hideMark/>
          </w:tcPr>
          <w:p w:rsidR="007E28F2" w:rsidRPr="00872FD2" w:rsidRDefault="007E28F2" w:rsidP="00872FD2">
            <w:pPr>
              <w:spacing w:after="0" w:line="240" w:lineRule="auto"/>
              <w:rPr>
                <w:rFonts w:asciiTheme="minorHAnsi" w:eastAsia="Times New Roman" w:hAnsiTheme="minorHAnsi" w:cs="Arial"/>
                <w:b/>
                <w:bCs/>
                <w:color w:val="000000"/>
              </w:rPr>
            </w:pPr>
          </w:p>
        </w:tc>
        <w:tc>
          <w:tcPr>
            <w:tcW w:w="337" w:type="dxa"/>
            <w:hideMark/>
          </w:tcPr>
          <w:p w:rsidR="007E28F2" w:rsidRPr="00872FD2" w:rsidRDefault="007E28F2" w:rsidP="00872FD2">
            <w:pPr>
              <w:spacing w:after="0" w:line="240" w:lineRule="auto"/>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1733"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0,146</w:t>
            </w:r>
          </w:p>
        </w:tc>
        <w:tc>
          <w:tcPr>
            <w:tcW w:w="2580"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0,251</w:t>
            </w:r>
          </w:p>
        </w:tc>
      </w:tr>
      <w:tr w:rsidR="007E28F2" w:rsidRPr="00872FD2" w:rsidTr="0025283E">
        <w:trPr>
          <w:cnfStyle w:val="000000010000"/>
          <w:trHeight w:val="285"/>
        </w:trPr>
        <w:tc>
          <w:tcPr>
            <w:tcW w:w="3680" w:type="dxa"/>
            <w:vMerge w:val="restart"/>
            <w:hideMark/>
          </w:tcPr>
          <w:p w:rsidR="007E28F2" w:rsidRPr="00872FD2" w:rsidRDefault="007E28F2" w:rsidP="00872FD2">
            <w:pPr>
              <w:spacing w:after="0" w:line="240" w:lineRule="auto"/>
              <w:rPr>
                <w:rFonts w:asciiTheme="minorHAnsi" w:eastAsia="Times New Roman" w:hAnsiTheme="minorHAnsi" w:cs="Arial"/>
                <w:b/>
                <w:bCs/>
                <w:color w:val="000000"/>
              </w:rPr>
            </w:pPr>
            <w:r w:rsidRPr="00872FD2">
              <w:rPr>
                <w:rFonts w:asciiTheme="minorHAnsi" w:eastAsia="Times New Roman" w:hAnsiTheme="minorHAnsi" w:cs="Arial"/>
                <w:color w:val="000000"/>
              </w:rPr>
              <w:t>Έτη από διάγνωση ΧΝΝ</w:t>
            </w:r>
          </w:p>
        </w:tc>
        <w:tc>
          <w:tcPr>
            <w:tcW w:w="337" w:type="dxa"/>
            <w:hideMark/>
          </w:tcPr>
          <w:p w:rsidR="007E28F2" w:rsidRPr="00872FD2" w:rsidRDefault="007E28F2" w:rsidP="00872FD2">
            <w:pPr>
              <w:spacing w:after="0" w:line="240" w:lineRule="auto"/>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1733"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0,04</w:t>
            </w:r>
          </w:p>
        </w:tc>
        <w:tc>
          <w:tcPr>
            <w:tcW w:w="2580"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-0,12</w:t>
            </w:r>
          </w:p>
        </w:tc>
      </w:tr>
      <w:tr w:rsidR="007E28F2" w:rsidRPr="00872FD2" w:rsidTr="0025283E">
        <w:trPr>
          <w:cnfStyle w:val="000000100000"/>
          <w:trHeight w:val="285"/>
        </w:trPr>
        <w:tc>
          <w:tcPr>
            <w:tcW w:w="3680" w:type="dxa"/>
            <w:vMerge/>
            <w:hideMark/>
          </w:tcPr>
          <w:p w:rsidR="007E28F2" w:rsidRPr="00872FD2" w:rsidRDefault="007E28F2" w:rsidP="00872FD2">
            <w:pPr>
              <w:spacing w:after="0" w:line="240" w:lineRule="auto"/>
              <w:rPr>
                <w:rFonts w:asciiTheme="minorHAnsi" w:eastAsia="Times New Roman" w:hAnsiTheme="minorHAnsi" w:cs="Arial"/>
                <w:b/>
                <w:bCs/>
                <w:color w:val="000000"/>
              </w:rPr>
            </w:pPr>
          </w:p>
        </w:tc>
        <w:tc>
          <w:tcPr>
            <w:tcW w:w="337" w:type="dxa"/>
            <w:hideMark/>
          </w:tcPr>
          <w:p w:rsidR="007E28F2" w:rsidRPr="00872FD2" w:rsidRDefault="007E28F2" w:rsidP="00872FD2">
            <w:pPr>
              <w:spacing w:after="0" w:line="240" w:lineRule="auto"/>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1733"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0,864</w:t>
            </w:r>
          </w:p>
        </w:tc>
        <w:tc>
          <w:tcPr>
            <w:tcW w:w="2580"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0,576</w:t>
            </w:r>
          </w:p>
        </w:tc>
      </w:tr>
      <w:tr w:rsidR="007E28F2" w:rsidRPr="00872FD2" w:rsidTr="0025283E">
        <w:trPr>
          <w:cnfStyle w:val="000000010000"/>
          <w:trHeight w:val="285"/>
        </w:trPr>
        <w:tc>
          <w:tcPr>
            <w:tcW w:w="3680" w:type="dxa"/>
            <w:vMerge w:val="restart"/>
            <w:hideMark/>
          </w:tcPr>
          <w:p w:rsidR="007E28F2" w:rsidRPr="00872FD2" w:rsidRDefault="00DE45CF" w:rsidP="00872FD2">
            <w:pPr>
              <w:spacing w:after="0" w:line="240" w:lineRule="auto"/>
              <w:rPr>
                <w:rFonts w:asciiTheme="minorHAnsi" w:eastAsia="Times New Roman" w:hAnsiTheme="minorHAnsi" w:cs="Arial"/>
                <w:b/>
                <w:bCs/>
                <w:color w:val="000000"/>
              </w:rPr>
            </w:pPr>
            <w:r>
              <w:rPr>
                <w:rFonts w:asciiTheme="minorHAnsi" w:eastAsia="Times New Roman" w:hAnsiTheme="minorHAnsi" w:cs="Arial"/>
                <w:color w:val="000000"/>
              </w:rPr>
              <w:t>Έτη υπό</w:t>
            </w:r>
            <w:r w:rsidR="007E28F2" w:rsidRPr="00872FD2">
              <w:rPr>
                <w:rFonts w:asciiTheme="minorHAnsi" w:eastAsia="Times New Roman" w:hAnsiTheme="minorHAnsi" w:cs="Arial"/>
                <w:color w:val="000000"/>
              </w:rPr>
              <w:t xml:space="preserve"> </w:t>
            </w:r>
            <w:r>
              <w:rPr>
                <w:rFonts w:asciiTheme="minorHAnsi" w:eastAsia="Times New Roman" w:hAnsiTheme="minorHAnsi" w:cs="Arial"/>
                <w:color w:val="000000"/>
              </w:rPr>
              <w:t>αιμοκάθαρση</w:t>
            </w:r>
          </w:p>
        </w:tc>
        <w:tc>
          <w:tcPr>
            <w:tcW w:w="337" w:type="dxa"/>
            <w:hideMark/>
          </w:tcPr>
          <w:p w:rsidR="007E28F2" w:rsidRPr="00872FD2" w:rsidRDefault="007E28F2" w:rsidP="00872FD2">
            <w:pPr>
              <w:spacing w:after="0" w:line="240" w:lineRule="auto"/>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1733"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0,30</w:t>
            </w:r>
          </w:p>
        </w:tc>
        <w:tc>
          <w:tcPr>
            <w:tcW w:w="2580"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0,06</w:t>
            </w:r>
          </w:p>
        </w:tc>
      </w:tr>
      <w:tr w:rsidR="007E28F2" w:rsidRPr="00872FD2" w:rsidTr="0025283E">
        <w:trPr>
          <w:cnfStyle w:val="000000100000"/>
          <w:trHeight w:val="285"/>
        </w:trPr>
        <w:tc>
          <w:tcPr>
            <w:tcW w:w="3680" w:type="dxa"/>
            <w:vMerge/>
            <w:hideMark/>
          </w:tcPr>
          <w:p w:rsidR="007E28F2" w:rsidRPr="00872FD2" w:rsidRDefault="007E28F2" w:rsidP="00872FD2">
            <w:pPr>
              <w:spacing w:after="0" w:line="240" w:lineRule="auto"/>
              <w:rPr>
                <w:rFonts w:asciiTheme="minorHAnsi" w:eastAsia="Times New Roman" w:hAnsiTheme="minorHAnsi" w:cs="Arial"/>
                <w:b/>
                <w:bCs/>
                <w:color w:val="000000"/>
              </w:rPr>
            </w:pPr>
          </w:p>
        </w:tc>
        <w:tc>
          <w:tcPr>
            <w:tcW w:w="337" w:type="dxa"/>
            <w:hideMark/>
          </w:tcPr>
          <w:p w:rsidR="007E28F2" w:rsidRPr="00872FD2" w:rsidRDefault="007E28F2" w:rsidP="00872FD2">
            <w:pPr>
              <w:spacing w:after="0" w:line="240" w:lineRule="auto"/>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1733"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0,140</w:t>
            </w:r>
          </w:p>
        </w:tc>
        <w:tc>
          <w:tcPr>
            <w:tcW w:w="2580"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0,790</w:t>
            </w:r>
          </w:p>
        </w:tc>
      </w:tr>
      <w:tr w:rsidR="007E28F2" w:rsidRPr="00872FD2" w:rsidTr="0025283E">
        <w:trPr>
          <w:cnfStyle w:val="000000010000"/>
          <w:trHeight w:val="285"/>
        </w:trPr>
        <w:tc>
          <w:tcPr>
            <w:tcW w:w="3680" w:type="dxa"/>
            <w:vMerge w:val="restart"/>
            <w:hideMark/>
          </w:tcPr>
          <w:p w:rsidR="007E28F2" w:rsidRPr="00872FD2" w:rsidRDefault="007E28F2" w:rsidP="00872FD2">
            <w:pPr>
              <w:spacing w:after="0" w:line="240" w:lineRule="auto"/>
              <w:rPr>
                <w:rFonts w:asciiTheme="minorHAnsi" w:eastAsia="Times New Roman" w:hAnsiTheme="minorHAnsi" w:cs="Arial"/>
                <w:b/>
                <w:bCs/>
                <w:color w:val="000000"/>
              </w:rPr>
            </w:pPr>
            <w:r w:rsidRPr="00872FD2">
              <w:rPr>
                <w:rFonts w:asciiTheme="minorHAnsi" w:eastAsia="Times New Roman" w:hAnsiTheme="minorHAnsi" w:cs="Arial"/>
                <w:color w:val="000000"/>
              </w:rPr>
              <w:t xml:space="preserve">Διάρκεια </w:t>
            </w:r>
            <w:r w:rsidR="00DE45CF">
              <w:rPr>
                <w:rFonts w:asciiTheme="minorHAnsi" w:eastAsia="Times New Roman" w:hAnsiTheme="minorHAnsi" w:cs="Arial"/>
                <w:color w:val="000000"/>
              </w:rPr>
              <w:t>αιμοκάθαρσης</w:t>
            </w:r>
            <w:r w:rsidR="00DE45CF" w:rsidRPr="00872FD2">
              <w:rPr>
                <w:rFonts w:asciiTheme="minorHAnsi" w:eastAsia="Times New Roman" w:hAnsiTheme="minorHAnsi" w:cs="Arial"/>
                <w:color w:val="000000"/>
              </w:rPr>
              <w:t xml:space="preserve"> </w:t>
            </w:r>
            <w:r w:rsidRPr="00872FD2">
              <w:rPr>
                <w:rFonts w:asciiTheme="minorHAnsi" w:eastAsia="Times New Roman" w:hAnsiTheme="minorHAnsi" w:cs="Arial"/>
                <w:color w:val="000000"/>
              </w:rPr>
              <w:t>(ώρες)</w:t>
            </w:r>
          </w:p>
        </w:tc>
        <w:tc>
          <w:tcPr>
            <w:tcW w:w="337" w:type="dxa"/>
            <w:hideMark/>
          </w:tcPr>
          <w:p w:rsidR="007E28F2" w:rsidRPr="00872FD2" w:rsidRDefault="007E28F2" w:rsidP="00872FD2">
            <w:pPr>
              <w:spacing w:after="0" w:line="240" w:lineRule="auto"/>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1733"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-0,07</w:t>
            </w:r>
          </w:p>
        </w:tc>
        <w:tc>
          <w:tcPr>
            <w:tcW w:w="2580"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0,04</w:t>
            </w:r>
          </w:p>
        </w:tc>
      </w:tr>
      <w:tr w:rsidR="007E28F2" w:rsidRPr="00872FD2" w:rsidTr="0025283E">
        <w:trPr>
          <w:cnfStyle w:val="000000100000"/>
          <w:trHeight w:val="285"/>
        </w:trPr>
        <w:tc>
          <w:tcPr>
            <w:tcW w:w="3680" w:type="dxa"/>
            <w:vMerge/>
            <w:hideMark/>
          </w:tcPr>
          <w:p w:rsidR="007E28F2" w:rsidRPr="00872FD2" w:rsidRDefault="007E28F2" w:rsidP="00872FD2">
            <w:pPr>
              <w:spacing w:after="0" w:line="240" w:lineRule="auto"/>
              <w:rPr>
                <w:rFonts w:asciiTheme="minorHAnsi" w:eastAsia="Times New Roman" w:hAnsiTheme="minorHAnsi" w:cs="Arial"/>
                <w:b/>
                <w:bCs/>
                <w:color w:val="000000"/>
              </w:rPr>
            </w:pPr>
          </w:p>
        </w:tc>
        <w:tc>
          <w:tcPr>
            <w:tcW w:w="337" w:type="dxa"/>
            <w:hideMark/>
          </w:tcPr>
          <w:p w:rsidR="007E28F2" w:rsidRPr="00872FD2" w:rsidRDefault="007E28F2" w:rsidP="00872FD2">
            <w:pPr>
              <w:spacing w:after="0" w:line="240" w:lineRule="auto"/>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1733"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0,740</w:t>
            </w:r>
          </w:p>
        </w:tc>
        <w:tc>
          <w:tcPr>
            <w:tcW w:w="2580"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0,859</w:t>
            </w:r>
          </w:p>
        </w:tc>
      </w:tr>
      <w:tr w:rsidR="007E28F2" w:rsidRPr="00872FD2" w:rsidTr="0025283E">
        <w:trPr>
          <w:cnfStyle w:val="000000010000"/>
          <w:trHeight w:val="285"/>
        </w:trPr>
        <w:tc>
          <w:tcPr>
            <w:tcW w:w="3680" w:type="dxa"/>
            <w:vMerge w:val="restart"/>
            <w:hideMark/>
          </w:tcPr>
          <w:p w:rsidR="007E28F2" w:rsidRPr="00872FD2" w:rsidRDefault="007E28F2" w:rsidP="00872FD2">
            <w:pPr>
              <w:spacing w:after="0" w:line="240" w:lineRule="auto"/>
              <w:rPr>
                <w:rFonts w:asciiTheme="minorHAnsi" w:eastAsia="Times New Roman" w:hAnsiTheme="minorHAnsi" w:cs="Arial"/>
                <w:b/>
                <w:bCs/>
                <w:color w:val="000000"/>
              </w:rPr>
            </w:pPr>
            <w:r w:rsidRPr="00872FD2">
              <w:rPr>
                <w:rFonts w:asciiTheme="minorHAnsi" w:eastAsia="Times New Roman" w:hAnsiTheme="minorHAnsi" w:cs="Arial"/>
                <w:color w:val="000000"/>
              </w:rPr>
              <w:t xml:space="preserve">Εβδομαδιαίος αριθμός συνεδριών </w:t>
            </w:r>
            <w:r w:rsidR="00DE45CF">
              <w:rPr>
                <w:rFonts w:asciiTheme="minorHAnsi" w:eastAsia="Times New Roman" w:hAnsiTheme="minorHAnsi" w:cs="Arial"/>
                <w:color w:val="000000"/>
              </w:rPr>
              <w:t>αιμοκάθαρση</w:t>
            </w:r>
            <w:r w:rsidR="00DE45CF" w:rsidRPr="00872FD2">
              <w:rPr>
                <w:rFonts w:asciiTheme="minorHAnsi" w:eastAsia="Times New Roman" w:hAnsiTheme="minorHAnsi" w:cs="Arial"/>
                <w:color w:val="000000"/>
              </w:rPr>
              <w:t xml:space="preserve"> </w:t>
            </w:r>
          </w:p>
        </w:tc>
        <w:tc>
          <w:tcPr>
            <w:tcW w:w="337" w:type="dxa"/>
            <w:hideMark/>
          </w:tcPr>
          <w:p w:rsidR="007E28F2" w:rsidRPr="00872FD2" w:rsidRDefault="007E28F2" w:rsidP="00872FD2">
            <w:pPr>
              <w:spacing w:after="0" w:line="240" w:lineRule="auto"/>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1733"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-0,03</w:t>
            </w:r>
          </w:p>
        </w:tc>
        <w:tc>
          <w:tcPr>
            <w:tcW w:w="2580"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0,03</w:t>
            </w:r>
          </w:p>
        </w:tc>
      </w:tr>
      <w:tr w:rsidR="007E28F2" w:rsidRPr="00872FD2" w:rsidTr="0025283E">
        <w:trPr>
          <w:cnfStyle w:val="000000100000"/>
          <w:trHeight w:val="285"/>
        </w:trPr>
        <w:tc>
          <w:tcPr>
            <w:tcW w:w="3680" w:type="dxa"/>
            <w:vMerge/>
            <w:hideMark/>
          </w:tcPr>
          <w:p w:rsidR="007E28F2" w:rsidRPr="00872FD2" w:rsidRDefault="007E28F2" w:rsidP="00872FD2">
            <w:pPr>
              <w:spacing w:after="0" w:line="240" w:lineRule="auto"/>
              <w:rPr>
                <w:rFonts w:asciiTheme="minorHAnsi" w:eastAsia="Times New Roman" w:hAnsiTheme="minorHAnsi" w:cs="Arial"/>
                <w:b/>
                <w:bCs/>
                <w:color w:val="000000"/>
              </w:rPr>
            </w:pPr>
          </w:p>
        </w:tc>
        <w:tc>
          <w:tcPr>
            <w:tcW w:w="337" w:type="dxa"/>
            <w:hideMark/>
          </w:tcPr>
          <w:p w:rsidR="007E28F2" w:rsidRPr="00872FD2" w:rsidRDefault="007E28F2" w:rsidP="00872FD2">
            <w:pPr>
              <w:spacing w:after="0" w:line="240" w:lineRule="auto"/>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1733"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0,888</w:t>
            </w:r>
          </w:p>
        </w:tc>
        <w:tc>
          <w:tcPr>
            <w:tcW w:w="2580"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0,898</w:t>
            </w:r>
          </w:p>
        </w:tc>
      </w:tr>
      <w:tr w:rsidR="007E28F2" w:rsidRPr="00872FD2" w:rsidTr="0025283E">
        <w:trPr>
          <w:cnfStyle w:val="000000010000"/>
          <w:trHeight w:val="285"/>
        </w:trPr>
        <w:tc>
          <w:tcPr>
            <w:tcW w:w="3680" w:type="dxa"/>
            <w:vMerge w:val="restart"/>
            <w:hideMark/>
          </w:tcPr>
          <w:p w:rsidR="007E28F2" w:rsidRPr="00872FD2" w:rsidRDefault="007E28F2" w:rsidP="00872FD2">
            <w:pPr>
              <w:spacing w:after="0" w:line="240" w:lineRule="auto"/>
              <w:rPr>
                <w:rFonts w:asciiTheme="minorHAnsi" w:eastAsia="Times New Roman" w:hAnsiTheme="minorHAnsi" w:cs="Arial"/>
                <w:b/>
                <w:bCs/>
                <w:color w:val="000000"/>
              </w:rPr>
            </w:pPr>
            <w:r w:rsidRPr="00872FD2">
              <w:rPr>
                <w:rFonts w:asciiTheme="minorHAnsi" w:eastAsia="Times New Roman" w:hAnsiTheme="minorHAnsi" w:cs="Arial"/>
                <w:color w:val="000000"/>
              </w:rPr>
              <w:t xml:space="preserve">Ημερήσιος αριθμός </w:t>
            </w:r>
            <w:r w:rsidR="00B0098B">
              <w:rPr>
                <w:rFonts w:asciiTheme="minorHAnsi" w:eastAsia="Times New Roman" w:hAnsiTheme="minorHAnsi" w:cs="Arial"/>
                <w:color w:val="000000"/>
              </w:rPr>
              <w:t>δισκίων</w:t>
            </w:r>
          </w:p>
        </w:tc>
        <w:tc>
          <w:tcPr>
            <w:tcW w:w="337" w:type="dxa"/>
            <w:hideMark/>
          </w:tcPr>
          <w:p w:rsidR="007E28F2" w:rsidRPr="00872FD2" w:rsidRDefault="007E28F2" w:rsidP="00872FD2">
            <w:pPr>
              <w:spacing w:after="0" w:line="240" w:lineRule="auto"/>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1733"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-0,07</w:t>
            </w:r>
          </w:p>
        </w:tc>
        <w:tc>
          <w:tcPr>
            <w:tcW w:w="2580"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0,26</w:t>
            </w:r>
          </w:p>
        </w:tc>
      </w:tr>
      <w:tr w:rsidR="007E28F2" w:rsidRPr="00872FD2" w:rsidTr="0025283E">
        <w:trPr>
          <w:cnfStyle w:val="000000100000"/>
          <w:trHeight w:val="285"/>
        </w:trPr>
        <w:tc>
          <w:tcPr>
            <w:tcW w:w="3680" w:type="dxa"/>
            <w:vMerge/>
            <w:hideMark/>
          </w:tcPr>
          <w:p w:rsidR="007E28F2" w:rsidRPr="00872FD2" w:rsidRDefault="007E28F2" w:rsidP="00872FD2">
            <w:pPr>
              <w:spacing w:after="0" w:line="240" w:lineRule="auto"/>
              <w:rPr>
                <w:rFonts w:asciiTheme="minorHAnsi" w:eastAsia="Times New Roman" w:hAnsiTheme="minorHAnsi" w:cs="Arial"/>
                <w:b/>
                <w:bCs/>
                <w:color w:val="000000"/>
              </w:rPr>
            </w:pPr>
          </w:p>
        </w:tc>
        <w:tc>
          <w:tcPr>
            <w:tcW w:w="337" w:type="dxa"/>
            <w:hideMark/>
          </w:tcPr>
          <w:p w:rsidR="007E28F2" w:rsidRPr="00872FD2" w:rsidRDefault="007E28F2" w:rsidP="00872FD2">
            <w:pPr>
              <w:spacing w:after="0" w:line="240" w:lineRule="auto"/>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1733"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0,755</w:t>
            </w:r>
          </w:p>
        </w:tc>
        <w:tc>
          <w:tcPr>
            <w:tcW w:w="2580" w:type="dxa"/>
            <w:noWrap/>
            <w:hideMark/>
          </w:tcPr>
          <w:p w:rsidR="007E28F2" w:rsidRPr="00872FD2" w:rsidRDefault="007E28F2" w:rsidP="00872FD2">
            <w:pPr>
              <w:spacing w:after="0" w:line="24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0,218</w:t>
            </w:r>
          </w:p>
        </w:tc>
      </w:tr>
    </w:tbl>
    <w:p w:rsidR="007E28F2" w:rsidRPr="005A464E" w:rsidRDefault="007E28F2" w:rsidP="005A464E">
      <w:pPr>
        <w:pStyle w:val="nouk"/>
        <w:rPr>
          <w:lang w:val="en-US"/>
        </w:rPr>
      </w:pPr>
    </w:p>
    <w:p w:rsidR="007E28F2" w:rsidRDefault="007E28F2" w:rsidP="005A464E">
      <w:pPr>
        <w:pStyle w:val="nouk"/>
      </w:pPr>
      <w:r w:rsidRPr="005A464E">
        <w:t>Δεν υπήρξε σημαντική συσχέτιση των μεταβολών στις διαστάσεις «</w:t>
      </w:r>
      <w:r w:rsidR="0076474F" w:rsidRPr="005A464E">
        <w:t>Συμπτώματα</w:t>
      </w:r>
      <w:r w:rsidRPr="005A464E">
        <w:t>» και «</w:t>
      </w:r>
      <w:r w:rsidR="003A7874" w:rsidRPr="005A464E">
        <w:t>Λειτουργικότητα</w:t>
      </w:r>
      <w:r w:rsidRPr="005A464E">
        <w:t>»</w:t>
      </w:r>
      <w:r w:rsidR="0078495A">
        <w:t xml:space="preserve"> </w:t>
      </w:r>
      <w:r w:rsidRPr="005A464E">
        <w:t xml:space="preserve">με τα στοιχεία του παραπάνω πίνακα. </w:t>
      </w:r>
    </w:p>
    <w:p w:rsidR="00651B46" w:rsidRPr="005A464E" w:rsidRDefault="00651B46" w:rsidP="005A464E">
      <w:pPr>
        <w:pStyle w:val="nouk"/>
      </w:pPr>
    </w:p>
    <w:p w:rsidR="007E28F2" w:rsidRPr="005A464E" w:rsidRDefault="007E28F2" w:rsidP="005A464E">
      <w:pPr>
        <w:pStyle w:val="nouk"/>
      </w:pPr>
      <w:r w:rsidRPr="005A464E">
        <w:t xml:space="preserve">Στον πίνακα που ακολουθεί </w:t>
      </w:r>
      <w:r w:rsidR="00F6061C">
        <w:t>(Πίν 29</w:t>
      </w:r>
      <w:r w:rsidR="00D95F8B">
        <w:t xml:space="preserve">) </w:t>
      </w:r>
      <w:r w:rsidRPr="005A464E">
        <w:t>δίνονται οι μεταβολές στις διαστάσεις «</w:t>
      </w:r>
      <w:r w:rsidR="003A7874" w:rsidRPr="005A464E">
        <w:t>Ευεξία</w:t>
      </w:r>
      <w:r w:rsidRPr="005A464E">
        <w:t>» και «</w:t>
      </w:r>
      <w:r w:rsidR="00D225F5" w:rsidRPr="005A464E">
        <w:t>Πνευματικότητα</w:t>
      </w:r>
      <w:r w:rsidRPr="005A464E">
        <w:t>»</w:t>
      </w:r>
      <w:r w:rsidR="0078495A">
        <w:t xml:space="preserve"> </w:t>
      </w:r>
      <w:r w:rsidRPr="005A464E">
        <w:t xml:space="preserve">των ατόμων της ομάδας παρέμβασης ανάλογα με δημογραφικά και κλινικά τους στοιχεία. </w:t>
      </w:r>
    </w:p>
    <w:p w:rsidR="00F6061C" w:rsidRDefault="00F6061C" w:rsidP="0025283E">
      <w:pPr>
        <w:pStyle w:val="nouk"/>
        <w:rPr>
          <w:rFonts w:asciiTheme="minorHAnsi" w:eastAsiaTheme="minorHAnsi" w:hAnsiTheme="minorHAnsi" w:cstheme="minorHAnsi"/>
          <w:bCs/>
          <w:color w:val="000000"/>
          <w:sz w:val="22"/>
          <w:szCs w:val="22"/>
        </w:rPr>
      </w:pPr>
    </w:p>
    <w:p w:rsidR="0025283E" w:rsidRDefault="00F6061C" w:rsidP="0025283E">
      <w:pPr>
        <w:pStyle w:val="nouk"/>
        <w:rPr>
          <w:rFonts w:asciiTheme="minorHAnsi" w:eastAsiaTheme="minorHAnsi" w:hAnsiTheme="minorHAnsi" w:cstheme="minorHAnsi"/>
          <w:bCs/>
          <w:color w:val="000000"/>
          <w:sz w:val="22"/>
          <w:szCs w:val="22"/>
        </w:rPr>
      </w:pPr>
      <w:r>
        <w:rPr>
          <w:rFonts w:asciiTheme="minorHAnsi" w:eastAsiaTheme="minorHAnsi" w:hAnsiTheme="minorHAnsi" w:cstheme="minorHAnsi"/>
          <w:bCs/>
          <w:color w:val="000000"/>
          <w:sz w:val="22"/>
          <w:szCs w:val="22"/>
        </w:rPr>
        <w:t>Πίνακας 29</w:t>
      </w:r>
    </w:p>
    <w:p w:rsidR="007E28F2" w:rsidRPr="00651B46" w:rsidRDefault="0025283E" w:rsidP="0025283E">
      <w:pPr>
        <w:pStyle w:val="nouk"/>
      </w:pPr>
      <w:r w:rsidRPr="00651B46">
        <w:rPr>
          <w:rFonts w:asciiTheme="minorHAnsi" w:eastAsiaTheme="minorHAnsi" w:hAnsiTheme="minorHAnsi" w:cstheme="minorHAnsi"/>
          <w:bCs/>
          <w:i/>
          <w:color w:val="000000"/>
        </w:rPr>
        <w:t>Μεταβολές στις διαστάσεις «Ευεξία» και «Πνευματικότητα» των ατόμων της ομάδας παρέμβασης ανάλογα με δημογραφικά και κλινικά τους στοιχεία.</w:t>
      </w:r>
    </w:p>
    <w:tbl>
      <w:tblPr>
        <w:tblStyle w:val="-41"/>
        <w:tblW w:w="11284" w:type="dxa"/>
        <w:jc w:val="center"/>
        <w:tblLook w:val="0400"/>
      </w:tblPr>
      <w:tblGrid>
        <w:gridCol w:w="3017"/>
        <w:gridCol w:w="2183"/>
        <w:gridCol w:w="1743"/>
        <w:gridCol w:w="1329"/>
        <w:gridCol w:w="1683"/>
        <w:gridCol w:w="1329"/>
      </w:tblGrid>
      <w:tr w:rsidR="007E28F2" w:rsidRPr="00651B46" w:rsidTr="0025283E">
        <w:trPr>
          <w:cnfStyle w:val="000000100000"/>
          <w:trHeight w:val="285"/>
          <w:jc w:val="center"/>
        </w:trPr>
        <w:tc>
          <w:tcPr>
            <w:tcW w:w="3017" w:type="dxa"/>
            <w:noWrap/>
            <w:hideMark/>
          </w:tcPr>
          <w:p w:rsidR="007E28F2" w:rsidRPr="00651B46" w:rsidRDefault="007E28F2" w:rsidP="00872FD2">
            <w:pPr>
              <w:spacing w:after="0" w:line="240" w:lineRule="auto"/>
              <w:rPr>
                <w:rFonts w:asciiTheme="minorHAnsi" w:eastAsia="Times New Roman" w:hAnsiTheme="minorHAnsi" w:cstheme="minorHAnsi"/>
                <w:b/>
                <w:bCs/>
                <w:color w:val="000000"/>
              </w:rPr>
            </w:pPr>
            <w:r w:rsidRPr="00651B46">
              <w:rPr>
                <w:rFonts w:asciiTheme="minorHAnsi" w:eastAsia="Times New Roman" w:hAnsiTheme="minorHAnsi" w:cstheme="minorHAnsi"/>
                <w:b/>
                <w:bCs/>
                <w:color w:val="000000"/>
              </w:rPr>
              <w:t> </w:t>
            </w:r>
          </w:p>
        </w:tc>
        <w:tc>
          <w:tcPr>
            <w:tcW w:w="2183" w:type="dxa"/>
            <w:noWrap/>
            <w:hideMark/>
          </w:tcPr>
          <w:p w:rsidR="007E28F2" w:rsidRPr="00651B46" w:rsidRDefault="007E28F2" w:rsidP="00872FD2">
            <w:pPr>
              <w:spacing w:after="0" w:line="24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 </w:t>
            </w:r>
          </w:p>
        </w:tc>
        <w:tc>
          <w:tcPr>
            <w:tcW w:w="1743" w:type="dxa"/>
            <w:hideMark/>
          </w:tcPr>
          <w:p w:rsidR="007E28F2" w:rsidRPr="00651B46" w:rsidRDefault="003A7874" w:rsidP="00872FD2">
            <w:pPr>
              <w:spacing w:after="0" w:line="240" w:lineRule="auto"/>
              <w:jc w:val="center"/>
              <w:rPr>
                <w:rFonts w:asciiTheme="minorHAnsi" w:eastAsia="Times New Roman" w:hAnsiTheme="minorHAnsi" w:cstheme="minorHAnsi"/>
                <w:b/>
                <w:bCs/>
                <w:color w:val="000000"/>
              </w:rPr>
            </w:pPr>
            <w:r w:rsidRPr="00651B46">
              <w:rPr>
                <w:rFonts w:asciiTheme="minorHAnsi" w:eastAsia="Times New Roman" w:hAnsiTheme="minorHAnsi" w:cstheme="minorHAnsi"/>
                <w:bCs/>
                <w:i/>
                <w:color w:val="000000"/>
              </w:rPr>
              <w:t>Ευεξία</w:t>
            </w:r>
            <w:r w:rsidR="007E28F2" w:rsidRPr="00651B46">
              <w:rPr>
                <w:rFonts w:asciiTheme="minorHAnsi" w:eastAsia="Times New Roman" w:hAnsiTheme="minorHAnsi" w:cstheme="minorHAnsi"/>
                <w:bCs/>
                <w:i/>
                <w:color w:val="000000"/>
              </w:rPr>
              <w:t xml:space="preserve"> </w:t>
            </w:r>
            <w:r w:rsidR="007E28F2" w:rsidRPr="00651B46">
              <w:rPr>
                <w:rFonts w:asciiTheme="minorHAnsi" w:eastAsia="Times New Roman" w:hAnsiTheme="minorHAnsi" w:cstheme="minorHAnsi"/>
                <w:b/>
                <w:bCs/>
                <w:color w:val="000000"/>
              </w:rPr>
              <w:t>(μεταβολή)</w:t>
            </w:r>
          </w:p>
        </w:tc>
        <w:tc>
          <w:tcPr>
            <w:tcW w:w="1329" w:type="dxa"/>
            <w:hideMark/>
          </w:tcPr>
          <w:p w:rsidR="007E28F2" w:rsidRPr="00651B46" w:rsidRDefault="007E28F2" w:rsidP="00872FD2">
            <w:pPr>
              <w:spacing w:after="0" w:line="240" w:lineRule="auto"/>
              <w:jc w:val="center"/>
              <w:rPr>
                <w:rFonts w:asciiTheme="minorHAnsi" w:eastAsia="Times New Roman" w:hAnsiTheme="minorHAnsi" w:cstheme="minorHAnsi"/>
                <w:b/>
                <w:bCs/>
                <w:color w:val="000000"/>
              </w:rPr>
            </w:pPr>
          </w:p>
        </w:tc>
        <w:tc>
          <w:tcPr>
            <w:tcW w:w="1683" w:type="dxa"/>
            <w:hideMark/>
          </w:tcPr>
          <w:p w:rsidR="007E28F2" w:rsidRPr="00651B46" w:rsidRDefault="00D225F5" w:rsidP="00872FD2">
            <w:pPr>
              <w:spacing w:after="0" w:line="240" w:lineRule="auto"/>
              <w:jc w:val="center"/>
              <w:rPr>
                <w:rFonts w:asciiTheme="minorHAnsi" w:eastAsia="Times New Roman" w:hAnsiTheme="minorHAnsi" w:cstheme="minorHAnsi"/>
                <w:b/>
                <w:bCs/>
                <w:color w:val="000000"/>
              </w:rPr>
            </w:pPr>
            <w:r w:rsidRPr="00651B46">
              <w:rPr>
                <w:rFonts w:asciiTheme="minorHAnsi" w:eastAsia="Times New Roman" w:hAnsiTheme="minorHAnsi" w:cstheme="minorHAnsi"/>
                <w:bCs/>
                <w:i/>
                <w:color w:val="000000"/>
              </w:rPr>
              <w:t>Πνευματικότητα</w:t>
            </w:r>
            <w:r w:rsidR="007E28F2" w:rsidRPr="00651B46">
              <w:rPr>
                <w:rFonts w:asciiTheme="minorHAnsi" w:eastAsia="Times New Roman" w:hAnsiTheme="minorHAnsi" w:cstheme="minorHAnsi"/>
                <w:b/>
                <w:bCs/>
                <w:color w:val="000000"/>
              </w:rPr>
              <w:t xml:space="preserve"> (μεταβολή)</w:t>
            </w:r>
          </w:p>
        </w:tc>
        <w:tc>
          <w:tcPr>
            <w:tcW w:w="1329" w:type="dxa"/>
            <w:hideMark/>
          </w:tcPr>
          <w:p w:rsidR="007E28F2" w:rsidRPr="00651B46" w:rsidRDefault="007E28F2" w:rsidP="00872FD2">
            <w:pPr>
              <w:spacing w:after="0" w:line="240" w:lineRule="auto"/>
              <w:jc w:val="center"/>
              <w:rPr>
                <w:rFonts w:asciiTheme="minorHAnsi" w:eastAsia="Times New Roman" w:hAnsiTheme="minorHAnsi" w:cstheme="minorHAnsi"/>
                <w:b/>
                <w:bCs/>
                <w:color w:val="000000"/>
              </w:rPr>
            </w:pPr>
          </w:p>
        </w:tc>
      </w:tr>
      <w:tr w:rsidR="007E28F2" w:rsidRPr="00651B46" w:rsidTr="0025283E">
        <w:trPr>
          <w:cnfStyle w:val="000000010000"/>
          <w:trHeight w:val="285"/>
          <w:jc w:val="center"/>
        </w:trPr>
        <w:tc>
          <w:tcPr>
            <w:tcW w:w="3017" w:type="dxa"/>
            <w:noWrap/>
            <w:hideMark/>
          </w:tcPr>
          <w:p w:rsidR="007E28F2" w:rsidRPr="00651B46" w:rsidRDefault="007E28F2" w:rsidP="00872FD2">
            <w:pPr>
              <w:spacing w:after="0" w:line="240" w:lineRule="auto"/>
              <w:rPr>
                <w:rFonts w:asciiTheme="minorHAnsi" w:eastAsia="Times New Roman" w:hAnsiTheme="minorHAnsi" w:cstheme="minorHAnsi"/>
                <w:b/>
                <w:bCs/>
                <w:color w:val="000000"/>
              </w:rPr>
            </w:pPr>
            <w:r w:rsidRPr="00651B46">
              <w:rPr>
                <w:rFonts w:asciiTheme="minorHAnsi" w:eastAsia="Times New Roman" w:hAnsiTheme="minorHAnsi" w:cstheme="minorHAnsi"/>
                <w:color w:val="000000"/>
              </w:rPr>
              <w:t> </w:t>
            </w:r>
          </w:p>
        </w:tc>
        <w:tc>
          <w:tcPr>
            <w:tcW w:w="2183" w:type="dxa"/>
            <w:noWrap/>
            <w:hideMark/>
          </w:tcPr>
          <w:p w:rsidR="007E28F2" w:rsidRPr="00651B46" w:rsidRDefault="007E28F2" w:rsidP="00872FD2">
            <w:pPr>
              <w:spacing w:after="0" w:line="24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 </w:t>
            </w:r>
          </w:p>
        </w:tc>
        <w:tc>
          <w:tcPr>
            <w:tcW w:w="1743" w:type="dxa"/>
            <w:hideMark/>
          </w:tcPr>
          <w:p w:rsidR="007E28F2" w:rsidRPr="00651B46" w:rsidRDefault="007E28F2" w:rsidP="00872FD2">
            <w:pPr>
              <w:spacing w:after="0" w:line="240" w:lineRule="auto"/>
              <w:jc w:val="center"/>
              <w:rPr>
                <w:rFonts w:asciiTheme="minorHAnsi" w:eastAsia="Times New Roman" w:hAnsiTheme="minorHAnsi" w:cstheme="minorHAnsi"/>
                <w:b/>
                <w:bCs/>
                <w:color w:val="000000"/>
              </w:rPr>
            </w:pPr>
            <w:r w:rsidRPr="00651B46">
              <w:rPr>
                <w:rFonts w:asciiTheme="minorHAnsi" w:eastAsia="Times New Roman" w:hAnsiTheme="minorHAnsi" w:cstheme="minorHAnsi"/>
                <w:b/>
                <w:bCs/>
                <w:color w:val="000000"/>
              </w:rPr>
              <w:t>Μέση τιμή (</w:t>
            </w:r>
            <w:r w:rsidR="00D225F5" w:rsidRPr="00651B46">
              <w:rPr>
                <w:rFonts w:asciiTheme="minorHAnsi" w:eastAsia="Times New Roman" w:hAnsiTheme="minorHAnsi" w:cstheme="minorHAnsi"/>
                <w:b/>
                <w:bCs/>
                <w:color w:val="000000"/>
              </w:rPr>
              <w:t>ΤΑ</w:t>
            </w:r>
            <w:r w:rsidRPr="00651B46">
              <w:rPr>
                <w:rFonts w:asciiTheme="minorHAnsi" w:eastAsia="Times New Roman" w:hAnsiTheme="minorHAnsi" w:cstheme="minorHAnsi"/>
                <w:b/>
                <w:bCs/>
                <w:color w:val="000000"/>
              </w:rPr>
              <w:t>)</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b/>
                <w:bCs/>
                <w:color w:val="000000"/>
              </w:rPr>
            </w:pPr>
            <w:r w:rsidRPr="00651B46">
              <w:rPr>
                <w:rFonts w:asciiTheme="minorHAnsi" w:eastAsia="Times New Roman" w:hAnsiTheme="minorHAnsi" w:cstheme="minorHAnsi"/>
                <w:b/>
                <w:bCs/>
                <w:color w:val="000000"/>
              </w:rPr>
              <w:t>P Student's t-test</w:t>
            </w:r>
          </w:p>
        </w:tc>
        <w:tc>
          <w:tcPr>
            <w:tcW w:w="1683" w:type="dxa"/>
            <w:hideMark/>
          </w:tcPr>
          <w:p w:rsidR="007E28F2" w:rsidRPr="00651B46" w:rsidRDefault="007E28F2" w:rsidP="00872FD2">
            <w:pPr>
              <w:spacing w:after="0" w:line="240" w:lineRule="auto"/>
              <w:jc w:val="center"/>
              <w:rPr>
                <w:rFonts w:asciiTheme="minorHAnsi" w:eastAsia="Times New Roman" w:hAnsiTheme="minorHAnsi" w:cstheme="minorHAnsi"/>
                <w:b/>
                <w:bCs/>
                <w:color w:val="000000"/>
              </w:rPr>
            </w:pPr>
            <w:r w:rsidRPr="00651B46">
              <w:rPr>
                <w:rFonts w:asciiTheme="minorHAnsi" w:eastAsia="Times New Roman" w:hAnsiTheme="minorHAnsi" w:cstheme="minorHAnsi"/>
                <w:b/>
                <w:bCs/>
                <w:color w:val="000000"/>
              </w:rPr>
              <w:t>Μέση τιμή (</w:t>
            </w:r>
            <w:r w:rsidR="00D225F5" w:rsidRPr="00651B46">
              <w:rPr>
                <w:rFonts w:asciiTheme="minorHAnsi" w:eastAsia="Times New Roman" w:hAnsiTheme="minorHAnsi" w:cstheme="minorHAnsi"/>
                <w:b/>
                <w:bCs/>
                <w:color w:val="000000"/>
              </w:rPr>
              <w:t>ΤΑ</w:t>
            </w:r>
            <w:r w:rsidRPr="00651B46">
              <w:rPr>
                <w:rFonts w:asciiTheme="minorHAnsi" w:eastAsia="Times New Roman" w:hAnsiTheme="minorHAnsi" w:cstheme="minorHAnsi"/>
                <w:b/>
                <w:bCs/>
                <w:color w:val="000000"/>
              </w:rPr>
              <w:t>)</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b/>
                <w:bCs/>
                <w:color w:val="000000"/>
              </w:rPr>
            </w:pPr>
            <w:r w:rsidRPr="00651B46">
              <w:rPr>
                <w:rFonts w:asciiTheme="minorHAnsi" w:eastAsia="Times New Roman" w:hAnsiTheme="minorHAnsi" w:cstheme="minorHAnsi"/>
                <w:b/>
                <w:bCs/>
                <w:color w:val="000000"/>
              </w:rPr>
              <w:t>P Student's t-test</w:t>
            </w:r>
          </w:p>
        </w:tc>
      </w:tr>
      <w:tr w:rsidR="007E28F2" w:rsidRPr="00651B46" w:rsidTr="0025283E">
        <w:trPr>
          <w:cnfStyle w:val="000000100000"/>
          <w:trHeight w:val="285"/>
          <w:jc w:val="center"/>
        </w:trPr>
        <w:tc>
          <w:tcPr>
            <w:tcW w:w="3017" w:type="dxa"/>
            <w:vMerge w:val="restart"/>
            <w:hideMark/>
          </w:tcPr>
          <w:p w:rsidR="007E28F2" w:rsidRPr="00651B46" w:rsidRDefault="007E28F2" w:rsidP="00872FD2">
            <w:pPr>
              <w:spacing w:after="0" w:line="240" w:lineRule="auto"/>
              <w:rPr>
                <w:rFonts w:asciiTheme="minorHAnsi" w:eastAsia="Times New Roman" w:hAnsiTheme="minorHAnsi" w:cstheme="minorHAnsi"/>
                <w:b/>
                <w:bCs/>
                <w:color w:val="000000"/>
              </w:rPr>
            </w:pPr>
            <w:r w:rsidRPr="00651B46">
              <w:rPr>
                <w:rFonts w:asciiTheme="minorHAnsi" w:eastAsia="Times New Roman" w:hAnsiTheme="minorHAnsi" w:cstheme="minorHAnsi"/>
                <w:color w:val="000000"/>
              </w:rPr>
              <w:t>Φύλο</w:t>
            </w:r>
          </w:p>
        </w:tc>
        <w:tc>
          <w:tcPr>
            <w:tcW w:w="2183" w:type="dxa"/>
            <w:hideMark/>
          </w:tcPr>
          <w:p w:rsidR="007E28F2" w:rsidRPr="00651B46" w:rsidRDefault="00E56E5A" w:rsidP="00872FD2">
            <w:pPr>
              <w:spacing w:after="0" w:line="24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Άνδρας</w:t>
            </w:r>
          </w:p>
        </w:tc>
        <w:tc>
          <w:tcPr>
            <w:tcW w:w="174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0,87 (1,81)</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0,965</w:t>
            </w:r>
          </w:p>
        </w:tc>
        <w:tc>
          <w:tcPr>
            <w:tcW w:w="168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2,93 (5,44)</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0,810</w:t>
            </w:r>
          </w:p>
        </w:tc>
      </w:tr>
      <w:tr w:rsidR="007E28F2" w:rsidRPr="00651B46" w:rsidTr="0025283E">
        <w:trPr>
          <w:cnfStyle w:val="000000010000"/>
          <w:trHeight w:val="285"/>
          <w:jc w:val="center"/>
        </w:trPr>
        <w:tc>
          <w:tcPr>
            <w:tcW w:w="3017" w:type="dxa"/>
            <w:vMerge/>
            <w:hideMark/>
          </w:tcPr>
          <w:p w:rsidR="007E28F2" w:rsidRPr="00651B46" w:rsidRDefault="007E28F2" w:rsidP="00872FD2">
            <w:pPr>
              <w:spacing w:after="0" w:line="240" w:lineRule="auto"/>
              <w:rPr>
                <w:rFonts w:asciiTheme="minorHAnsi" w:eastAsia="Times New Roman" w:hAnsiTheme="minorHAnsi" w:cstheme="minorHAnsi"/>
                <w:b/>
                <w:bCs/>
                <w:color w:val="000000"/>
              </w:rPr>
            </w:pPr>
          </w:p>
        </w:tc>
        <w:tc>
          <w:tcPr>
            <w:tcW w:w="2183" w:type="dxa"/>
            <w:hideMark/>
          </w:tcPr>
          <w:p w:rsidR="007E28F2" w:rsidRPr="00651B46" w:rsidRDefault="00E56E5A" w:rsidP="00872FD2">
            <w:pPr>
              <w:spacing w:after="0" w:line="24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Γυναίκα</w:t>
            </w:r>
          </w:p>
        </w:tc>
        <w:tc>
          <w:tcPr>
            <w:tcW w:w="174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0,9 (1,91)</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p>
        </w:tc>
        <w:tc>
          <w:tcPr>
            <w:tcW w:w="168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2,4 (5,25)</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p>
        </w:tc>
      </w:tr>
      <w:tr w:rsidR="007E28F2" w:rsidRPr="00651B46" w:rsidTr="0025283E">
        <w:trPr>
          <w:cnfStyle w:val="000000100000"/>
          <w:trHeight w:val="285"/>
          <w:jc w:val="center"/>
        </w:trPr>
        <w:tc>
          <w:tcPr>
            <w:tcW w:w="3017" w:type="dxa"/>
            <w:vMerge w:val="restart"/>
            <w:hideMark/>
          </w:tcPr>
          <w:p w:rsidR="007E28F2" w:rsidRPr="00651B46" w:rsidRDefault="007E28F2" w:rsidP="00872FD2">
            <w:pPr>
              <w:spacing w:after="0" w:line="240" w:lineRule="auto"/>
              <w:rPr>
                <w:rFonts w:asciiTheme="minorHAnsi" w:eastAsia="Times New Roman" w:hAnsiTheme="minorHAnsi" w:cstheme="minorHAnsi"/>
                <w:b/>
                <w:bCs/>
                <w:color w:val="000000"/>
              </w:rPr>
            </w:pPr>
            <w:r w:rsidRPr="00651B46">
              <w:rPr>
                <w:rFonts w:asciiTheme="minorHAnsi" w:eastAsia="Times New Roman" w:hAnsiTheme="minorHAnsi" w:cstheme="minorHAnsi"/>
                <w:color w:val="000000"/>
              </w:rPr>
              <w:t>Έγγαμοι</w:t>
            </w:r>
          </w:p>
        </w:tc>
        <w:tc>
          <w:tcPr>
            <w:tcW w:w="2183" w:type="dxa"/>
            <w:hideMark/>
          </w:tcPr>
          <w:p w:rsidR="007E28F2" w:rsidRPr="00651B46" w:rsidRDefault="007E28F2" w:rsidP="00872FD2">
            <w:pPr>
              <w:spacing w:after="0" w:line="24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Όχι</w:t>
            </w:r>
          </w:p>
        </w:tc>
        <w:tc>
          <w:tcPr>
            <w:tcW w:w="174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0,36 (1,21)</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0,213</w:t>
            </w:r>
          </w:p>
        </w:tc>
        <w:tc>
          <w:tcPr>
            <w:tcW w:w="168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2,45 (4,61)</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0,829</w:t>
            </w:r>
          </w:p>
        </w:tc>
      </w:tr>
      <w:tr w:rsidR="007E28F2" w:rsidRPr="00651B46" w:rsidTr="0025283E">
        <w:trPr>
          <w:cnfStyle w:val="000000010000"/>
          <w:trHeight w:val="285"/>
          <w:jc w:val="center"/>
        </w:trPr>
        <w:tc>
          <w:tcPr>
            <w:tcW w:w="3017" w:type="dxa"/>
            <w:vMerge/>
            <w:hideMark/>
          </w:tcPr>
          <w:p w:rsidR="007E28F2" w:rsidRPr="00651B46" w:rsidRDefault="007E28F2" w:rsidP="00872FD2">
            <w:pPr>
              <w:spacing w:after="0" w:line="240" w:lineRule="auto"/>
              <w:rPr>
                <w:rFonts w:asciiTheme="minorHAnsi" w:eastAsia="Times New Roman" w:hAnsiTheme="minorHAnsi" w:cstheme="minorHAnsi"/>
                <w:b/>
                <w:bCs/>
                <w:color w:val="000000"/>
              </w:rPr>
            </w:pPr>
          </w:p>
        </w:tc>
        <w:tc>
          <w:tcPr>
            <w:tcW w:w="2183" w:type="dxa"/>
            <w:hideMark/>
          </w:tcPr>
          <w:p w:rsidR="007E28F2" w:rsidRPr="00651B46" w:rsidRDefault="007E28F2" w:rsidP="00872FD2">
            <w:pPr>
              <w:spacing w:after="0" w:line="24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Ναι</w:t>
            </w:r>
          </w:p>
        </w:tc>
        <w:tc>
          <w:tcPr>
            <w:tcW w:w="174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1,29 (2,13)</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p>
        </w:tc>
        <w:tc>
          <w:tcPr>
            <w:tcW w:w="168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2,93 (5,89)</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p>
        </w:tc>
      </w:tr>
      <w:tr w:rsidR="007E28F2" w:rsidRPr="00651B46" w:rsidTr="0025283E">
        <w:trPr>
          <w:cnfStyle w:val="000000100000"/>
          <w:trHeight w:val="285"/>
          <w:jc w:val="center"/>
        </w:trPr>
        <w:tc>
          <w:tcPr>
            <w:tcW w:w="3017" w:type="dxa"/>
            <w:vMerge w:val="restart"/>
            <w:hideMark/>
          </w:tcPr>
          <w:p w:rsidR="007E28F2" w:rsidRPr="00651B46" w:rsidRDefault="007E28F2" w:rsidP="00872FD2">
            <w:pPr>
              <w:spacing w:after="0" w:line="240" w:lineRule="auto"/>
              <w:rPr>
                <w:rFonts w:asciiTheme="minorHAnsi" w:eastAsia="Times New Roman" w:hAnsiTheme="minorHAnsi" w:cstheme="minorHAnsi"/>
                <w:b/>
                <w:bCs/>
                <w:color w:val="000000"/>
              </w:rPr>
            </w:pPr>
            <w:r w:rsidRPr="00651B46">
              <w:rPr>
                <w:rFonts w:asciiTheme="minorHAnsi" w:eastAsia="Times New Roman" w:hAnsiTheme="minorHAnsi" w:cstheme="minorHAnsi"/>
                <w:color w:val="000000"/>
              </w:rPr>
              <w:t>Παιδιά</w:t>
            </w:r>
          </w:p>
        </w:tc>
        <w:tc>
          <w:tcPr>
            <w:tcW w:w="2183" w:type="dxa"/>
            <w:hideMark/>
          </w:tcPr>
          <w:p w:rsidR="007E28F2" w:rsidRPr="00651B46" w:rsidRDefault="007E28F2" w:rsidP="00872FD2">
            <w:pPr>
              <w:spacing w:after="0" w:line="24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Όχι</w:t>
            </w:r>
          </w:p>
        </w:tc>
        <w:tc>
          <w:tcPr>
            <w:tcW w:w="174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0,44 (1,33)</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0,378</w:t>
            </w:r>
          </w:p>
        </w:tc>
        <w:tc>
          <w:tcPr>
            <w:tcW w:w="168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2,33 (3,28)</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0,790</w:t>
            </w:r>
          </w:p>
        </w:tc>
      </w:tr>
      <w:tr w:rsidR="007E28F2" w:rsidRPr="00651B46" w:rsidTr="0025283E">
        <w:trPr>
          <w:cnfStyle w:val="000000010000"/>
          <w:trHeight w:val="285"/>
          <w:jc w:val="center"/>
        </w:trPr>
        <w:tc>
          <w:tcPr>
            <w:tcW w:w="3017" w:type="dxa"/>
            <w:vMerge/>
            <w:hideMark/>
          </w:tcPr>
          <w:p w:rsidR="007E28F2" w:rsidRPr="00651B46" w:rsidRDefault="007E28F2" w:rsidP="00872FD2">
            <w:pPr>
              <w:spacing w:after="0" w:line="240" w:lineRule="auto"/>
              <w:rPr>
                <w:rFonts w:asciiTheme="minorHAnsi" w:eastAsia="Times New Roman" w:hAnsiTheme="minorHAnsi" w:cstheme="minorHAnsi"/>
                <w:b/>
                <w:bCs/>
                <w:color w:val="000000"/>
              </w:rPr>
            </w:pPr>
          </w:p>
        </w:tc>
        <w:tc>
          <w:tcPr>
            <w:tcW w:w="2183" w:type="dxa"/>
            <w:hideMark/>
          </w:tcPr>
          <w:p w:rsidR="007E28F2" w:rsidRPr="00651B46" w:rsidRDefault="007E28F2" w:rsidP="00872FD2">
            <w:pPr>
              <w:spacing w:after="0" w:line="24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Ναι</w:t>
            </w:r>
          </w:p>
        </w:tc>
        <w:tc>
          <w:tcPr>
            <w:tcW w:w="174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1,13 (2,03)</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p>
        </w:tc>
        <w:tc>
          <w:tcPr>
            <w:tcW w:w="168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2,94 (6,2)</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p>
        </w:tc>
      </w:tr>
      <w:tr w:rsidR="007E28F2" w:rsidRPr="00651B46" w:rsidTr="0025283E">
        <w:trPr>
          <w:cnfStyle w:val="000000100000"/>
          <w:trHeight w:val="285"/>
          <w:jc w:val="center"/>
        </w:trPr>
        <w:tc>
          <w:tcPr>
            <w:tcW w:w="3017" w:type="dxa"/>
            <w:vMerge w:val="restart"/>
            <w:hideMark/>
          </w:tcPr>
          <w:p w:rsidR="007E28F2" w:rsidRPr="00651B46" w:rsidRDefault="007E28F2" w:rsidP="00872FD2">
            <w:pPr>
              <w:spacing w:after="0" w:line="240" w:lineRule="auto"/>
              <w:rPr>
                <w:rFonts w:asciiTheme="minorHAnsi" w:eastAsia="Times New Roman" w:hAnsiTheme="minorHAnsi" w:cstheme="minorHAnsi"/>
                <w:b/>
                <w:bCs/>
                <w:color w:val="000000"/>
              </w:rPr>
            </w:pPr>
            <w:r w:rsidRPr="00651B46">
              <w:rPr>
                <w:rFonts w:asciiTheme="minorHAnsi" w:eastAsia="Times New Roman" w:hAnsiTheme="minorHAnsi" w:cstheme="minorHAnsi"/>
                <w:color w:val="000000"/>
              </w:rPr>
              <w:t>Μένετε μόνος;</w:t>
            </w:r>
          </w:p>
        </w:tc>
        <w:tc>
          <w:tcPr>
            <w:tcW w:w="2183" w:type="dxa"/>
            <w:hideMark/>
          </w:tcPr>
          <w:p w:rsidR="007E28F2" w:rsidRPr="00651B46" w:rsidRDefault="00E56E5A" w:rsidP="00872FD2">
            <w:pPr>
              <w:spacing w:after="0" w:line="24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Ναι</w:t>
            </w:r>
          </w:p>
        </w:tc>
        <w:tc>
          <w:tcPr>
            <w:tcW w:w="174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 (0)</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0,232</w:t>
            </w:r>
          </w:p>
        </w:tc>
        <w:tc>
          <w:tcPr>
            <w:tcW w:w="168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1 (2,24)</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0,426</w:t>
            </w:r>
          </w:p>
        </w:tc>
      </w:tr>
      <w:tr w:rsidR="007E28F2" w:rsidRPr="00651B46" w:rsidTr="0025283E">
        <w:trPr>
          <w:cnfStyle w:val="000000010000"/>
          <w:trHeight w:val="285"/>
          <w:jc w:val="center"/>
        </w:trPr>
        <w:tc>
          <w:tcPr>
            <w:tcW w:w="3017" w:type="dxa"/>
            <w:vMerge/>
            <w:hideMark/>
          </w:tcPr>
          <w:p w:rsidR="007E28F2" w:rsidRPr="00651B46" w:rsidRDefault="007E28F2" w:rsidP="00872FD2">
            <w:pPr>
              <w:spacing w:after="0" w:line="240" w:lineRule="auto"/>
              <w:rPr>
                <w:rFonts w:asciiTheme="minorHAnsi" w:eastAsia="Times New Roman" w:hAnsiTheme="minorHAnsi" w:cstheme="minorHAnsi"/>
                <w:b/>
                <w:bCs/>
                <w:color w:val="000000"/>
              </w:rPr>
            </w:pPr>
          </w:p>
        </w:tc>
        <w:tc>
          <w:tcPr>
            <w:tcW w:w="2183" w:type="dxa"/>
            <w:hideMark/>
          </w:tcPr>
          <w:p w:rsidR="007E28F2" w:rsidRPr="00651B46" w:rsidRDefault="00E56E5A" w:rsidP="00872FD2">
            <w:pPr>
              <w:spacing w:after="0" w:line="24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Όχι</w:t>
            </w:r>
          </w:p>
        </w:tc>
        <w:tc>
          <w:tcPr>
            <w:tcW w:w="174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1,1 (1,97)</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p>
        </w:tc>
        <w:tc>
          <w:tcPr>
            <w:tcW w:w="168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3,15 (5,74)</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p>
        </w:tc>
      </w:tr>
      <w:tr w:rsidR="007E28F2" w:rsidRPr="00651B46" w:rsidTr="0025283E">
        <w:trPr>
          <w:cnfStyle w:val="000000100000"/>
          <w:trHeight w:val="285"/>
          <w:jc w:val="center"/>
        </w:trPr>
        <w:tc>
          <w:tcPr>
            <w:tcW w:w="3017" w:type="dxa"/>
            <w:vMerge w:val="restart"/>
            <w:hideMark/>
          </w:tcPr>
          <w:p w:rsidR="007E28F2" w:rsidRPr="00651B46" w:rsidRDefault="000D053B" w:rsidP="00872FD2">
            <w:pPr>
              <w:spacing w:after="0" w:line="240" w:lineRule="auto"/>
              <w:rPr>
                <w:rFonts w:asciiTheme="minorHAnsi" w:eastAsia="Times New Roman" w:hAnsiTheme="minorHAnsi" w:cstheme="minorHAnsi"/>
                <w:b/>
                <w:bCs/>
                <w:color w:val="000000"/>
              </w:rPr>
            </w:pPr>
            <w:r w:rsidRPr="00651B46">
              <w:rPr>
                <w:rFonts w:asciiTheme="minorHAnsi" w:eastAsia="Times New Roman" w:hAnsiTheme="minorHAnsi" w:cstheme="minorHAnsi"/>
                <w:color w:val="000000"/>
              </w:rPr>
              <w:t>Εκπαιδευτικό</w:t>
            </w:r>
            <w:r w:rsidR="007E28F2" w:rsidRPr="00651B46">
              <w:rPr>
                <w:rFonts w:asciiTheme="minorHAnsi" w:eastAsia="Times New Roman" w:hAnsiTheme="minorHAnsi" w:cstheme="minorHAnsi"/>
                <w:color w:val="000000"/>
              </w:rPr>
              <w:t xml:space="preserve"> επίπεδο</w:t>
            </w:r>
          </w:p>
        </w:tc>
        <w:tc>
          <w:tcPr>
            <w:tcW w:w="2183" w:type="dxa"/>
            <w:hideMark/>
          </w:tcPr>
          <w:p w:rsidR="007E28F2" w:rsidRPr="00651B46" w:rsidRDefault="007E28F2" w:rsidP="00872FD2">
            <w:pPr>
              <w:spacing w:after="0" w:line="24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Μέχρι και Λύκειο</w:t>
            </w:r>
          </w:p>
        </w:tc>
        <w:tc>
          <w:tcPr>
            <w:tcW w:w="174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0,89 (1,79)</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0,944</w:t>
            </w:r>
          </w:p>
        </w:tc>
        <w:tc>
          <w:tcPr>
            <w:tcW w:w="168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3,53 (5,72)</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0,178</w:t>
            </w:r>
          </w:p>
        </w:tc>
      </w:tr>
      <w:tr w:rsidR="007E28F2" w:rsidRPr="00651B46" w:rsidTr="0025283E">
        <w:trPr>
          <w:cnfStyle w:val="000000010000"/>
          <w:trHeight w:val="285"/>
          <w:jc w:val="center"/>
        </w:trPr>
        <w:tc>
          <w:tcPr>
            <w:tcW w:w="3017" w:type="dxa"/>
            <w:vMerge/>
            <w:hideMark/>
          </w:tcPr>
          <w:p w:rsidR="007E28F2" w:rsidRPr="00651B46" w:rsidRDefault="007E28F2" w:rsidP="00872FD2">
            <w:pPr>
              <w:spacing w:after="0" w:line="240" w:lineRule="auto"/>
              <w:rPr>
                <w:rFonts w:asciiTheme="minorHAnsi" w:eastAsia="Times New Roman" w:hAnsiTheme="minorHAnsi" w:cstheme="minorHAnsi"/>
                <w:b/>
                <w:bCs/>
                <w:color w:val="000000"/>
              </w:rPr>
            </w:pPr>
          </w:p>
        </w:tc>
        <w:tc>
          <w:tcPr>
            <w:tcW w:w="2183" w:type="dxa"/>
            <w:hideMark/>
          </w:tcPr>
          <w:p w:rsidR="007E28F2" w:rsidRPr="00651B46" w:rsidRDefault="007E28F2" w:rsidP="00872FD2">
            <w:pPr>
              <w:spacing w:after="0" w:line="24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Πάνω από Λύκειο</w:t>
            </w:r>
          </w:p>
        </w:tc>
        <w:tc>
          <w:tcPr>
            <w:tcW w:w="174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0,83 (2,04)</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p>
        </w:tc>
        <w:tc>
          <w:tcPr>
            <w:tcW w:w="168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0,17 (2,23)</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p>
        </w:tc>
      </w:tr>
      <w:tr w:rsidR="007E28F2" w:rsidRPr="00651B46" w:rsidTr="0025283E">
        <w:trPr>
          <w:cnfStyle w:val="000000100000"/>
          <w:trHeight w:val="285"/>
          <w:jc w:val="center"/>
        </w:trPr>
        <w:tc>
          <w:tcPr>
            <w:tcW w:w="3017" w:type="dxa"/>
            <w:vMerge w:val="restart"/>
            <w:hideMark/>
          </w:tcPr>
          <w:p w:rsidR="007E28F2" w:rsidRPr="00651B46" w:rsidRDefault="007E28F2" w:rsidP="00872FD2">
            <w:pPr>
              <w:spacing w:after="0" w:line="240" w:lineRule="auto"/>
              <w:rPr>
                <w:rFonts w:asciiTheme="minorHAnsi" w:eastAsia="Times New Roman" w:hAnsiTheme="minorHAnsi" w:cstheme="minorHAnsi"/>
                <w:b/>
                <w:bCs/>
                <w:color w:val="000000"/>
              </w:rPr>
            </w:pPr>
            <w:r w:rsidRPr="00651B46">
              <w:rPr>
                <w:rFonts w:asciiTheme="minorHAnsi" w:eastAsia="Times New Roman" w:hAnsiTheme="minorHAnsi" w:cstheme="minorHAnsi"/>
                <w:color w:val="000000"/>
              </w:rPr>
              <w:t xml:space="preserve">Πάσχετε από </w:t>
            </w:r>
            <w:r w:rsidR="0095691A">
              <w:rPr>
                <w:rFonts w:asciiTheme="minorHAnsi" w:eastAsia="Times New Roman" w:hAnsiTheme="minorHAnsi" w:cstheme="minorHAnsi"/>
                <w:color w:val="000000"/>
              </w:rPr>
              <w:t>Σακχαρώδη Διαβήτη</w:t>
            </w:r>
            <w:r w:rsidR="0095691A" w:rsidRPr="00651B46">
              <w:rPr>
                <w:rFonts w:asciiTheme="minorHAnsi" w:eastAsia="Times New Roman" w:hAnsiTheme="minorHAnsi" w:cstheme="minorHAnsi"/>
                <w:color w:val="000000"/>
              </w:rPr>
              <w:t>,</w:t>
            </w:r>
            <w:r w:rsidRPr="00651B46">
              <w:rPr>
                <w:rFonts w:asciiTheme="minorHAnsi" w:eastAsia="Times New Roman" w:hAnsiTheme="minorHAnsi" w:cstheme="minorHAnsi"/>
                <w:color w:val="000000"/>
              </w:rPr>
              <w:t xml:space="preserve"> υπέρταση, σπειραματονεφρίτιδα, πολυκυστική νόσο ή άλλο;</w:t>
            </w:r>
          </w:p>
        </w:tc>
        <w:tc>
          <w:tcPr>
            <w:tcW w:w="2183" w:type="dxa"/>
            <w:hideMark/>
          </w:tcPr>
          <w:p w:rsidR="007E28F2" w:rsidRPr="00651B46" w:rsidRDefault="0095691A" w:rsidP="00872FD2">
            <w:pPr>
              <w:spacing w:after="0" w:line="240" w:lineRule="auto"/>
              <w:rPr>
                <w:rFonts w:asciiTheme="minorHAnsi" w:eastAsia="Times New Roman" w:hAnsiTheme="minorHAnsi" w:cstheme="minorHAnsi"/>
                <w:color w:val="000000"/>
              </w:rPr>
            </w:pPr>
            <w:r>
              <w:rPr>
                <w:rFonts w:asciiTheme="minorHAnsi" w:eastAsia="Times New Roman" w:hAnsiTheme="minorHAnsi" w:cstheme="minorHAnsi"/>
                <w:color w:val="000000"/>
              </w:rPr>
              <w:t>Σακχαρώδη Διαβήτη</w:t>
            </w:r>
          </w:p>
        </w:tc>
        <w:tc>
          <w:tcPr>
            <w:tcW w:w="174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 (0)</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0,214*</w:t>
            </w:r>
          </w:p>
        </w:tc>
        <w:tc>
          <w:tcPr>
            <w:tcW w:w="168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2,83 (6,01)</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0,209*</w:t>
            </w:r>
          </w:p>
        </w:tc>
      </w:tr>
      <w:tr w:rsidR="007E28F2" w:rsidRPr="00651B46" w:rsidTr="0025283E">
        <w:trPr>
          <w:cnfStyle w:val="000000010000"/>
          <w:trHeight w:val="285"/>
          <w:jc w:val="center"/>
        </w:trPr>
        <w:tc>
          <w:tcPr>
            <w:tcW w:w="3017" w:type="dxa"/>
            <w:vMerge/>
            <w:hideMark/>
          </w:tcPr>
          <w:p w:rsidR="007E28F2" w:rsidRPr="00651B46" w:rsidRDefault="007E28F2" w:rsidP="00872FD2">
            <w:pPr>
              <w:spacing w:after="0" w:line="240" w:lineRule="auto"/>
              <w:rPr>
                <w:rFonts w:asciiTheme="minorHAnsi" w:eastAsia="Times New Roman" w:hAnsiTheme="minorHAnsi" w:cstheme="minorHAnsi"/>
                <w:b/>
                <w:bCs/>
                <w:color w:val="000000"/>
              </w:rPr>
            </w:pPr>
          </w:p>
        </w:tc>
        <w:tc>
          <w:tcPr>
            <w:tcW w:w="2183" w:type="dxa"/>
            <w:hideMark/>
          </w:tcPr>
          <w:p w:rsidR="007E28F2" w:rsidRPr="00651B46" w:rsidRDefault="002B5862" w:rsidP="00872FD2">
            <w:pPr>
              <w:spacing w:after="0" w:line="24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Υ</w:t>
            </w:r>
            <w:r w:rsidR="007E28F2" w:rsidRPr="00651B46">
              <w:rPr>
                <w:rFonts w:asciiTheme="minorHAnsi" w:eastAsia="Times New Roman" w:hAnsiTheme="minorHAnsi" w:cstheme="minorHAnsi"/>
                <w:color w:val="000000"/>
              </w:rPr>
              <w:t>πέρταση</w:t>
            </w:r>
          </w:p>
        </w:tc>
        <w:tc>
          <w:tcPr>
            <w:tcW w:w="174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1,56 (2,35)</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p>
        </w:tc>
        <w:tc>
          <w:tcPr>
            <w:tcW w:w="168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5,11 (6,17)</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p>
        </w:tc>
      </w:tr>
      <w:tr w:rsidR="007E28F2" w:rsidRPr="00651B46" w:rsidTr="0025283E">
        <w:trPr>
          <w:cnfStyle w:val="000000100000"/>
          <w:trHeight w:val="285"/>
          <w:jc w:val="center"/>
        </w:trPr>
        <w:tc>
          <w:tcPr>
            <w:tcW w:w="3017" w:type="dxa"/>
            <w:vMerge/>
            <w:hideMark/>
          </w:tcPr>
          <w:p w:rsidR="007E28F2" w:rsidRPr="00651B46" w:rsidRDefault="007E28F2" w:rsidP="00872FD2">
            <w:pPr>
              <w:spacing w:after="0" w:line="240" w:lineRule="auto"/>
              <w:rPr>
                <w:rFonts w:asciiTheme="minorHAnsi" w:eastAsia="Times New Roman" w:hAnsiTheme="minorHAnsi" w:cstheme="minorHAnsi"/>
                <w:b/>
                <w:bCs/>
                <w:color w:val="000000"/>
              </w:rPr>
            </w:pPr>
          </w:p>
        </w:tc>
        <w:tc>
          <w:tcPr>
            <w:tcW w:w="2183" w:type="dxa"/>
            <w:hideMark/>
          </w:tcPr>
          <w:p w:rsidR="007E28F2" w:rsidRPr="00651B46" w:rsidRDefault="002B5862" w:rsidP="00872FD2">
            <w:pPr>
              <w:spacing w:after="0" w:line="240" w:lineRule="auto"/>
              <w:rPr>
                <w:rFonts w:asciiTheme="minorHAnsi" w:eastAsia="Times New Roman" w:hAnsiTheme="minorHAnsi" w:cstheme="minorHAnsi"/>
                <w:color w:val="000000"/>
              </w:rPr>
            </w:pPr>
            <w:r w:rsidRPr="00651B46">
              <w:rPr>
                <w:rFonts w:asciiTheme="minorHAnsi" w:eastAsia="Times New Roman" w:hAnsiTheme="minorHAnsi" w:cstheme="minorHAnsi"/>
                <w:color w:val="000000"/>
              </w:rPr>
              <w:t>Σ</w:t>
            </w:r>
            <w:r w:rsidR="007E28F2" w:rsidRPr="00651B46">
              <w:rPr>
                <w:rFonts w:asciiTheme="minorHAnsi" w:eastAsia="Times New Roman" w:hAnsiTheme="minorHAnsi" w:cstheme="minorHAnsi"/>
                <w:color w:val="000000"/>
              </w:rPr>
              <w:t>πειραματονεφρίτιδα</w:t>
            </w:r>
          </w:p>
        </w:tc>
        <w:tc>
          <w:tcPr>
            <w:tcW w:w="174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0,5 (1,41)</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p>
        </w:tc>
        <w:tc>
          <w:tcPr>
            <w:tcW w:w="1683"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r w:rsidRPr="00651B46">
              <w:rPr>
                <w:rFonts w:asciiTheme="minorHAnsi" w:eastAsia="Times New Roman" w:hAnsiTheme="minorHAnsi" w:cstheme="minorHAnsi"/>
                <w:color w:val="000000"/>
              </w:rPr>
              <w:t>0,38 (3,29)</w:t>
            </w:r>
          </w:p>
        </w:tc>
        <w:tc>
          <w:tcPr>
            <w:tcW w:w="1329" w:type="dxa"/>
            <w:noWrap/>
            <w:hideMark/>
          </w:tcPr>
          <w:p w:rsidR="007E28F2" w:rsidRPr="00651B46" w:rsidRDefault="007E28F2" w:rsidP="00872FD2">
            <w:pPr>
              <w:spacing w:after="0" w:line="240" w:lineRule="auto"/>
              <w:jc w:val="center"/>
              <w:rPr>
                <w:rFonts w:asciiTheme="minorHAnsi" w:eastAsia="Times New Roman" w:hAnsiTheme="minorHAnsi" w:cstheme="minorHAnsi"/>
                <w:color w:val="000000"/>
              </w:rPr>
            </w:pPr>
          </w:p>
        </w:tc>
      </w:tr>
      <w:tr w:rsidR="005C6ABA" w:rsidRPr="00651B46" w:rsidTr="00AD2B6A">
        <w:trPr>
          <w:cnfStyle w:val="000000010000"/>
          <w:trHeight w:val="285"/>
          <w:jc w:val="center"/>
        </w:trPr>
        <w:tc>
          <w:tcPr>
            <w:tcW w:w="11284" w:type="dxa"/>
            <w:gridSpan w:val="6"/>
            <w:hideMark/>
          </w:tcPr>
          <w:p w:rsidR="005C6ABA" w:rsidRPr="005C6ABA" w:rsidRDefault="005C6ABA" w:rsidP="005C6ABA">
            <w:pPr>
              <w:pStyle w:val="nouk"/>
              <w:spacing w:line="276" w:lineRule="auto"/>
            </w:pPr>
            <w:r w:rsidRPr="005A464E">
              <w:t>*</w:t>
            </w:r>
            <w:r w:rsidRPr="005A464E">
              <w:rPr>
                <w:lang w:val="en-US"/>
              </w:rPr>
              <w:t xml:space="preserve">ANOVA </w:t>
            </w:r>
          </w:p>
        </w:tc>
      </w:tr>
    </w:tbl>
    <w:p w:rsidR="007E28F2" w:rsidRPr="005A464E" w:rsidRDefault="007E28F2" w:rsidP="005A464E">
      <w:pPr>
        <w:pStyle w:val="nouk"/>
        <w:rPr>
          <w:lang w:val="en-US"/>
        </w:rPr>
      </w:pPr>
    </w:p>
    <w:p w:rsidR="007E28F2" w:rsidRPr="005A464E" w:rsidRDefault="007E28F2" w:rsidP="005A464E">
      <w:pPr>
        <w:pStyle w:val="nouk"/>
      </w:pPr>
      <w:r w:rsidRPr="005A464E">
        <w:t>Δεν διέφεραν σημαντικά οι μεταβολές στις διαστάσεις «</w:t>
      </w:r>
      <w:r w:rsidR="003A7874" w:rsidRPr="005A464E">
        <w:t>Ευεξία</w:t>
      </w:r>
      <w:r w:rsidRPr="005A464E">
        <w:t>» και «</w:t>
      </w:r>
      <w:r w:rsidR="00D225F5" w:rsidRPr="005A464E">
        <w:t>Πνευματικότητα</w:t>
      </w:r>
      <w:r w:rsidRPr="005A464E">
        <w:t xml:space="preserve">» ανάλογα με τα στοιχεία του παραπάνω πίνακα. </w:t>
      </w:r>
    </w:p>
    <w:p w:rsidR="007E28F2" w:rsidRPr="005A464E" w:rsidRDefault="007E28F2" w:rsidP="005A464E">
      <w:pPr>
        <w:pStyle w:val="nouk"/>
      </w:pPr>
    </w:p>
    <w:p w:rsidR="007E28F2" w:rsidRPr="005A464E" w:rsidRDefault="007E28F2" w:rsidP="005A464E">
      <w:pPr>
        <w:pStyle w:val="nouk"/>
      </w:pPr>
      <w:r w:rsidRPr="005A464E">
        <w:t xml:space="preserve">Στον πίνακα που ακολουθεί </w:t>
      </w:r>
      <w:r w:rsidR="00F6061C">
        <w:t>(Πίν 30</w:t>
      </w:r>
      <w:r w:rsidR="00D95F8B">
        <w:t xml:space="preserve">) </w:t>
      </w:r>
      <w:r w:rsidRPr="005A464E">
        <w:t xml:space="preserve">δίνονται οι συντελεστές συσχέτισης του </w:t>
      </w:r>
      <w:r w:rsidRPr="005A464E">
        <w:rPr>
          <w:lang w:val="en-US"/>
        </w:rPr>
        <w:t>Pearson</w:t>
      </w:r>
      <w:r w:rsidRPr="005A464E">
        <w:t xml:space="preserve"> των μεταβολών στις διαστάσεις «</w:t>
      </w:r>
      <w:r w:rsidR="003A7874" w:rsidRPr="005A464E">
        <w:t>Ευεξία</w:t>
      </w:r>
      <w:r w:rsidRPr="005A464E">
        <w:t>» και «</w:t>
      </w:r>
      <w:r w:rsidR="00D225F5" w:rsidRPr="005A464E">
        <w:t>Πνευματικότητα</w:t>
      </w:r>
      <w:r w:rsidRPr="005A464E">
        <w:t xml:space="preserve">» των ατόμων της ομάδας παρέμβασης με την ηλικία τους, στοιχεία που αφορούν στην ΧΝΝ και </w:t>
      </w:r>
      <w:r w:rsidR="00DE45CF">
        <w:t>αιμοκάθαρση</w:t>
      </w:r>
      <w:r w:rsidRPr="005A464E">
        <w:t xml:space="preserve"> και τον ημερήσιο αριθμό </w:t>
      </w:r>
      <w:r w:rsidR="00B0098B">
        <w:t>δισκίων</w:t>
      </w:r>
      <w:r w:rsidRPr="005A464E">
        <w:t xml:space="preserve">. </w:t>
      </w:r>
    </w:p>
    <w:p w:rsidR="0025283E" w:rsidRDefault="0025283E" w:rsidP="0025283E">
      <w:pPr>
        <w:spacing w:after="0" w:line="360" w:lineRule="auto"/>
        <w:jc w:val="both"/>
        <w:rPr>
          <w:rFonts w:asciiTheme="minorHAnsi" w:eastAsia="Times New Roman" w:hAnsiTheme="minorHAnsi" w:cs="Arial"/>
          <w:color w:val="000000"/>
        </w:rPr>
      </w:pPr>
    </w:p>
    <w:p w:rsidR="0025283E" w:rsidRPr="00F918EC" w:rsidRDefault="00F6061C" w:rsidP="0025283E">
      <w:pPr>
        <w:spacing w:after="0" w:line="360" w:lineRule="auto"/>
        <w:jc w:val="both"/>
        <w:rPr>
          <w:rFonts w:asciiTheme="minorHAnsi" w:eastAsia="Times New Roman" w:hAnsiTheme="minorHAnsi" w:cs="Arial"/>
          <w:color w:val="000000"/>
        </w:rPr>
      </w:pPr>
      <w:r>
        <w:rPr>
          <w:rFonts w:asciiTheme="minorHAnsi" w:eastAsia="Times New Roman" w:hAnsiTheme="minorHAnsi" w:cs="Arial"/>
          <w:color w:val="000000"/>
        </w:rPr>
        <w:t>Πίνακας 30</w:t>
      </w:r>
    </w:p>
    <w:p w:rsidR="007E28F2" w:rsidRPr="005A464E" w:rsidRDefault="0025283E" w:rsidP="0025283E">
      <w:pPr>
        <w:pStyle w:val="nouk"/>
      </w:pPr>
      <w:r w:rsidRPr="008847F1">
        <w:rPr>
          <w:rFonts w:asciiTheme="minorHAnsi" w:eastAsiaTheme="minorHAnsi" w:hAnsiTheme="minorHAnsi" w:cstheme="minorBidi"/>
          <w:bCs/>
          <w:i/>
          <w:color w:val="000000"/>
        </w:rPr>
        <w:t>Μεταβολές στις διαστάσεις «Ευεξία» και «Πνευματικότητα» των ατόμων της ομάδας παρέμβασης ανάλογα με δημογραφικά και κλινικά στοιχεία</w:t>
      </w:r>
    </w:p>
    <w:tbl>
      <w:tblPr>
        <w:tblStyle w:val="-41"/>
        <w:tblW w:w="8113" w:type="dxa"/>
        <w:jc w:val="center"/>
        <w:tblLook w:val="0400"/>
      </w:tblPr>
      <w:tblGrid>
        <w:gridCol w:w="2961"/>
        <w:gridCol w:w="334"/>
        <w:gridCol w:w="1712"/>
        <w:gridCol w:w="3106"/>
      </w:tblGrid>
      <w:tr w:rsidR="007E28F2" w:rsidRPr="00872FD2" w:rsidTr="0025283E">
        <w:trPr>
          <w:cnfStyle w:val="000000100000"/>
          <w:trHeight w:val="285"/>
          <w:jc w:val="center"/>
        </w:trPr>
        <w:tc>
          <w:tcPr>
            <w:tcW w:w="3295" w:type="dxa"/>
            <w:gridSpan w:val="2"/>
            <w:hideMark/>
          </w:tcPr>
          <w:p w:rsidR="007E28F2" w:rsidRPr="00872FD2" w:rsidRDefault="007E28F2" w:rsidP="00872FD2">
            <w:pPr>
              <w:spacing w:after="0" w:line="360" w:lineRule="auto"/>
              <w:jc w:val="center"/>
              <w:rPr>
                <w:rFonts w:asciiTheme="minorHAnsi" w:eastAsia="Times New Roman" w:hAnsiTheme="minorHAnsi" w:cs="Arial"/>
                <w:b/>
                <w:bCs/>
                <w:color w:val="000000"/>
              </w:rPr>
            </w:pPr>
          </w:p>
        </w:tc>
        <w:tc>
          <w:tcPr>
            <w:tcW w:w="1712" w:type="dxa"/>
            <w:hideMark/>
          </w:tcPr>
          <w:p w:rsidR="007E28F2" w:rsidRPr="00872FD2" w:rsidRDefault="003A7874" w:rsidP="00872FD2">
            <w:pPr>
              <w:spacing w:after="0" w:line="360" w:lineRule="auto"/>
              <w:jc w:val="center"/>
              <w:rPr>
                <w:rFonts w:asciiTheme="minorHAnsi" w:eastAsia="Times New Roman" w:hAnsiTheme="minorHAnsi" w:cs="Arial"/>
                <w:b/>
                <w:bCs/>
                <w:color w:val="000000"/>
              </w:rPr>
            </w:pPr>
            <w:r w:rsidRPr="00E56E5A">
              <w:rPr>
                <w:rFonts w:asciiTheme="minorHAnsi" w:eastAsia="Times New Roman" w:hAnsiTheme="minorHAnsi" w:cs="Arial"/>
                <w:bCs/>
                <w:i/>
                <w:color w:val="000000"/>
              </w:rPr>
              <w:t>Ευεξία</w:t>
            </w:r>
            <w:r w:rsidR="00BA566F">
              <w:rPr>
                <w:rFonts w:asciiTheme="minorHAnsi" w:eastAsia="Times New Roman" w:hAnsiTheme="minorHAnsi" w:cs="Arial"/>
                <w:bCs/>
                <w:i/>
                <w:color w:val="000000"/>
              </w:rPr>
              <w:t xml:space="preserve"> </w:t>
            </w:r>
            <w:r w:rsidR="007E28F2" w:rsidRPr="00872FD2">
              <w:rPr>
                <w:rFonts w:asciiTheme="minorHAnsi" w:eastAsia="Times New Roman" w:hAnsiTheme="minorHAnsi" w:cs="Arial"/>
                <w:b/>
                <w:bCs/>
                <w:color w:val="000000"/>
              </w:rPr>
              <w:t>(μεταβολή)</w:t>
            </w:r>
          </w:p>
        </w:tc>
        <w:tc>
          <w:tcPr>
            <w:tcW w:w="3106" w:type="dxa"/>
            <w:hideMark/>
          </w:tcPr>
          <w:p w:rsidR="00BA566F" w:rsidRDefault="00D225F5" w:rsidP="00BA566F">
            <w:pPr>
              <w:spacing w:after="0" w:line="360" w:lineRule="auto"/>
              <w:jc w:val="center"/>
              <w:rPr>
                <w:rFonts w:asciiTheme="minorHAnsi" w:eastAsia="Times New Roman" w:hAnsiTheme="minorHAnsi" w:cs="Arial"/>
                <w:b/>
                <w:bCs/>
                <w:color w:val="000000"/>
              </w:rPr>
            </w:pPr>
            <w:r w:rsidRPr="00E56E5A">
              <w:rPr>
                <w:rFonts w:asciiTheme="minorHAnsi" w:eastAsia="Times New Roman" w:hAnsiTheme="minorHAnsi" w:cs="Arial"/>
                <w:bCs/>
                <w:i/>
                <w:color w:val="000000"/>
              </w:rPr>
              <w:t>Πνευματικότητα</w:t>
            </w:r>
          </w:p>
          <w:p w:rsidR="007E28F2" w:rsidRPr="00872FD2" w:rsidRDefault="007E28F2" w:rsidP="00BA566F">
            <w:pPr>
              <w:spacing w:after="0" w:line="360" w:lineRule="auto"/>
              <w:jc w:val="center"/>
              <w:rPr>
                <w:rFonts w:asciiTheme="minorHAnsi" w:eastAsia="Times New Roman" w:hAnsiTheme="minorHAnsi" w:cs="Arial"/>
                <w:b/>
                <w:bCs/>
                <w:color w:val="000000"/>
              </w:rPr>
            </w:pPr>
            <w:r w:rsidRPr="00872FD2">
              <w:rPr>
                <w:rFonts w:asciiTheme="minorHAnsi" w:eastAsia="Times New Roman" w:hAnsiTheme="minorHAnsi" w:cs="Arial"/>
                <w:b/>
                <w:bCs/>
                <w:color w:val="000000"/>
              </w:rPr>
              <w:t>(μεταβολή)</w:t>
            </w:r>
          </w:p>
        </w:tc>
      </w:tr>
      <w:tr w:rsidR="007E28F2" w:rsidRPr="00872FD2" w:rsidTr="0025283E">
        <w:trPr>
          <w:cnfStyle w:val="000000010000"/>
          <w:trHeight w:val="285"/>
          <w:jc w:val="center"/>
        </w:trPr>
        <w:tc>
          <w:tcPr>
            <w:tcW w:w="2961" w:type="dxa"/>
            <w:vMerge w:val="restart"/>
            <w:hideMark/>
          </w:tcPr>
          <w:p w:rsidR="007E28F2" w:rsidRPr="002B5862" w:rsidRDefault="007E28F2" w:rsidP="00872FD2">
            <w:pPr>
              <w:spacing w:after="0" w:line="360" w:lineRule="auto"/>
              <w:rPr>
                <w:rFonts w:asciiTheme="minorHAnsi" w:eastAsia="Times New Roman" w:hAnsiTheme="minorHAnsi" w:cs="Arial"/>
                <w:b/>
                <w:bCs/>
              </w:rPr>
            </w:pPr>
            <w:r w:rsidRPr="002B5862">
              <w:rPr>
                <w:rFonts w:asciiTheme="minorHAnsi" w:eastAsia="Times New Roman" w:hAnsiTheme="minorHAnsi" w:cs="Arial"/>
              </w:rPr>
              <w:t>Ηλικία</w:t>
            </w:r>
          </w:p>
        </w:tc>
        <w:tc>
          <w:tcPr>
            <w:tcW w:w="334"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1712"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-0,11</w:t>
            </w:r>
          </w:p>
        </w:tc>
        <w:tc>
          <w:tcPr>
            <w:tcW w:w="310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0,64</w:t>
            </w:r>
          </w:p>
        </w:tc>
      </w:tr>
      <w:tr w:rsidR="007E28F2" w:rsidRPr="00872FD2" w:rsidTr="0025283E">
        <w:trPr>
          <w:cnfStyle w:val="000000100000"/>
          <w:trHeight w:val="285"/>
          <w:jc w:val="center"/>
        </w:trPr>
        <w:tc>
          <w:tcPr>
            <w:tcW w:w="2961" w:type="dxa"/>
            <w:vMerge/>
            <w:hideMark/>
          </w:tcPr>
          <w:p w:rsidR="007E28F2" w:rsidRPr="002B5862" w:rsidRDefault="007E28F2" w:rsidP="00872FD2">
            <w:pPr>
              <w:spacing w:after="0" w:line="360" w:lineRule="auto"/>
              <w:rPr>
                <w:rFonts w:asciiTheme="minorHAnsi" w:eastAsia="Times New Roman" w:hAnsiTheme="minorHAnsi" w:cs="Arial"/>
                <w:b/>
                <w:bCs/>
              </w:rPr>
            </w:pPr>
          </w:p>
        </w:tc>
        <w:tc>
          <w:tcPr>
            <w:tcW w:w="334"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1712"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0,586</w:t>
            </w:r>
          </w:p>
        </w:tc>
        <w:tc>
          <w:tcPr>
            <w:tcW w:w="3106" w:type="dxa"/>
            <w:noWrap/>
            <w:hideMark/>
          </w:tcPr>
          <w:p w:rsidR="007E28F2" w:rsidRPr="00872FD2" w:rsidRDefault="007E28F2" w:rsidP="00872FD2">
            <w:pPr>
              <w:spacing w:after="0" w:line="360" w:lineRule="auto"/>
              <w:jc w:val="center"/>
              <w:rPr>
                <w:rFonts w:asciiTheme="minorHAnsi" w:eastAsia="Times New Roman" w:hAnsiTheme="minorHAnsi" w:cs="Arial"/>
                <w:b/>
                <w:bCs/>
                <w:color w:val="000000"/>
              </w:rPr>
            </w:pPr>
            <w:r w:rsidRPr="00872FD2">
              <w:rPr>
                <w:rFonts w:asciiTheme="minorHAnsi" w:eastAsia="Times New Roman" w:hAnsiTheme="minorHAnsi" w:cs="Arial"/>
                <w:b/>
                <w:bCs/>
                <w:color w:val="000000"/>
              </w:rPr>
              <w:t>0,001</w:t>
            </w:r>
          </w:p>
        </w:tc>
      </w:tr>
      <w:tr w:rsidR="007E28F2" w:rsidRPr="00872FD2" w:rsidTr="0025283E">
        <w:trPr>
          <w:cnfStyle w:val="000000010000"/>
          <w:trHeight w:val="285"/>
          <w:jc w:val="center"/>
        </w:trPr>
        <w:tc>
          <w:tcPr>
            <w:tcW w:w="2961" w:type="dxa"/>
            <w:vMerge w:val="restart"/>
            <w:hideMark/>
          </w:tcPr>
          <w:p w:rsidR="007E28F2" w:rsidRPr="002B5862" w:rsidRDefault="007E28F2" w:rsidP="00872FD2">
            <w:pPr>
              <w:spacing w:after="0" w:line="360" w:lineRule="auto"/>
              <w:rPr>
                <w:rFonts w:asciiTheme="minorHAnsi" w:eastAsia="Times New Roman" w:hAnsiTheme="minorHAnsi" w:cs="Arial"/>
                <w:b/>
                <w:bCs/>
              </w:rPr>
            </w:pPr>
            <w:r w:rsidRPr="002B5862">
              <w:rPr>
                <w:rFonts w:asciiTheme="minorHAnsi" w:eastAsia="Times New Roman" w:hAnsiTheme="minorHAnsi" w:cs="Arial"/>
              </w:rPr>
              <w:t>Έτη από διάγνωση ΧΝΝ</w:t>
            </w:r>
          </w:p>
        </w:tc>
        <w:tc>
          <w:tcPr>
            <w:tcW w:w="334"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1712"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0,06</w:t>
            </w:r>
          </w:p>
        </w:tc>
        <w:tc>
          <w:tcPr>
            <w:tcW w:w="310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-0,10</w:t>
            </w:r>
          </w:p>
        </w:tc>
      </w:tr>
      <w:tr w:rsidR="007E28F2" w:rsidRPr="00872FD2" w:rsidTr="0025283E">
        <w:trPr>
          <w:cnfStyle w:val="000000100000"/>
          <w:trHeight w:val="285"/>
          <w:jc w:val="center"/>
        </w:trPr>
        <w:tc>
          <w:tcPr>
            <w:tcW w:w="2961" w:type="dxa"/>
            <w:vMerge/>
            <w:hideMark/>
          </w:tcPr>
          <w:p w:rsidR="007E28F2" w:rsidRPr="002B5862" w:rsidRDefault="007E28F2" w:rsidP="00872FD2">
            <w:pPr>
              <w:spacing w:after="0" w:line="360" w:lineRule="auto"/>
              <w:rPr>
                <w:rFonts w:asciiTheme="minorHAnsi" w:eastAsia="Times New Roman" w:hAnsiTheme="minorHAnsi" w:cs="Arial"/>
                <w:b/>
                <w:bCs/>
              </w:rPr>
            </w:pPr>
          </w:p>
        </w:tc>
        <w:tc>
          <w:tcPr>
            <w:tcW w:w="334"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1712"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0,789</w:t>
            </w:r>
          </w:p>
        </w:tc>
        <w:tc>
          <w:tcPr>
            <w:tcW w:w="310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0,633</w:t>
            </w:r>
          </w:p>
        </w:tc>
      </w:tr>
      <w:tr w:rsidR="007E28F2" w:rsidRPr="00872FD2" w:rsidTr="0025283E">
        <w:trPr>
          <w:cnfStyle w:val="000000010000"/>
          <w:trHeight w:val="285"/>
          <w:jc w:val="center"/>
        </w:trPr>
        <w:tc>
          <w:tcPr>
            <w:tcW w:w="2961" w:type="dxa"/>
            <w:vMerge w:val="restart"/>
            <w:hideMark/>
          </w:tcPr>
          <w:p w:rsidR="007E28F2" w:rsidRPr="002B5862" w:rsidRDefault="007E28F2" w:rsidP="00872FD2">
            <w:pPr>
              <w:spacing w:after="0" w:line="360" w:lineRule="auto"/>
              <w:rPr>
                <w:rFonts w:asciiTheme="minorHAnsi" w:eastAsia="Times New Roman" w:hAnsiTheme="minorHAnsi" w:cs="Arial"/>
                <w:b/>
                <w:bCs/>
              </w:rPr>
            </w:pPr>
            <w:r w:rsidRPr="002B5862">
              <w:rPr>
                <w:rFonts w:asciiTheme="minorHAnsi" w:eastAsia="Times New Roman" w:hAnsiTheme="minorHAnsi" w:cs="Arial"/>
              </w:rPr>
              <w:t xml:space="preserve">Έτη </w:t>
            </w:r>
            <w:r w:rsidR="002B5862" w:rsidRPr="002B5862">
              <w:rPr>
                <w:rFonts w:asciiTheme="minorHAnsi" w:eastAsia="Times New Roman" w:hAnsiTheme="minorHAnsi" w:cs="Arial"/>
              </w:rPr>
              <w:t>υπό αιμοκάθαρση</w:t>
            </w:r>
          </w:p>
        </w:tc>
        <w:tc>
          <w:tcPr>
            <w:tcW w:w="334"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1712"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0,05</w:t>
            </w:r>
          </w:p>
        </w:tc>
        <w:tc>
          <w:tcPr>
            <w:tcW w:w="310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0,12</w:t>
            </w:r>
          </w:p>
        </w:tc>
      </w:tr>
      <w:tr w:rsidR="007E28F2" w:rsidRPr="00872FD2" w:rsidTr="0025283E">
        <w:trPr>
          <w:cnfStyle w:val="000000100000"/>
          <w:trHeight w:val="285"/>
          <w:jc w:val="center"/>
        </w:trPr>
        <w:tc>
          <w:tcPr>
            <w:tcW w:w="2961" w:type="dxa"/>
            <w:vMerge/>
            <w:hideMark/>
          </w:tcPr>
          <w:p w:rsidR="007E28F2" w:rsidRPr="002B5862" w:rsidRDefault="007E28F2" w:rsidP="00872FD2">
            <w:pPr>
              <w:spacing w:after="0" w:line="360" w:lineRule="auto"/>
              <w:rPr>
                <w:rFonts w:asciiTheme="minorHAnsi" w:eastAsia="Times New Roman" w:hAnsiTheme="minorHAnsi" w:cs="Arial"/>
                <w:b/>
                <w:bCs/>
              </w:rPr>
            </w:pPr>
          </w:p>
        </w:tc>
        <w:tc>
          <w:tcPr>
            <w:tcW w:w="334"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1712"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0,821</w:t>
            </w:r>
          </w:p>
        </w:tc>
        <w:tc>
          <w:tcPr>
            <w:tcW w:w="310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0,581</w:t>
            </w:r>
          </w:p>
        </w:tc>
      </w:tr>
      <w:tr w:rsidR="007E28F2" w:rsidRPr="00872FD2" w:rsidTr="0025283E">
        <w:trPr>
          <w:cnfStyle w:val="000000010000"/>
          <w:trHeight w:val="285"/>
          <w:jc w:val="center"/>
        </w:trPr>
        <w:tc>
          <w:tcPr>
            <w:tcW w:w="2961" w:type="dxa"/>
            <w:vMerge w:val="restart"/>
            <w:hideMark/>
          </w:tcPr>
          <w:p w:rsidR="007E28F2" w:rsidRPr="002B5862" w:rsidRDefault="007E28F2" w:rsidP="00872FD2">
            <w:pPr>
              <w:spacing w:after="0" w:line="360" w:lineRule="auto"/>
              <w:rPr>
                <w:rFonts w:asciiTheme="minorHAnsi" w:eastAsia="Times New Roman" w:hAnsiTheme="minorHAnsi" w:cs="Arial"/>
                <w:b/>
                <w:bCs/>
              </w:rPr>
            </w:pPr>
            <w:r w:rsidRPr="002B5862">
              <w:rPr>
                <w:rFonts w:asciiTheme="minorHAnsi" w:eastAsia="Times New Roman" w:hAnsiTheme="minorHAnsi" w:cs="Arial"/>
              </w:rPr>
              <w:t xml:space="preserve">Διάρκεια </w:t>
            </w:r>
            <w:r w:rsidR="00A27068" w:rsidRPr="002B5862">
              <w:rPr>
                <w:rFonts w:asciiTheme="minorHAnsi" w:eastAsia="Times New Roman" w:hAnsiTheme="minorHAnsi" w:cs="Arial"/>
              </w:rPr>
              <w:t xml:space="preserve">αιμοκάθαρσης </w:t>
            </w:r>
            <w:r w:rsidRPr="002B5862">
              <w:rPr>
                <w:rFonts w:asciiTheme="minorHAnsi" w:eastAsia="Times New Roman" w:hAnsiTheme="minorHAnsi" w:cs="Arial"/>
              </w:rPr>
              <w:t>(ώρες)</w:t>
            </w:r>
          </w:p>
        </w:tc>
        <w:tc>
          <w:tcPr>
            <w:tcW w:w="334"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1712"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-0,31</w:t>
            </w:r>
          </w:p>
        </w:tc>
        <w:tc>
          <w:tcPr>
            <w:tcW w:w="310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-0,06</w:t>
            </w:r>
          </w:p>
        </w:tc>
      </w:tr>
      <w:tr w:rsidR="007E28F2" w:rsidRPr="00872FD2" w:rsidTr="0025283E">
        <w:trPr>
          <w:cnfStyle w:val="000000100000"/>
          <w:trHeight w:val="285"/>
          <w:jc w:val="center"/>
        </w:trPr>
        <w:tc>
          <w:tcPr>
            <w:tcW w:w="2961" w:type="dxa"/>
            <w:vMerge/>
            <w:hideMark/>
          </w:tcPr>
          <w:p w:rsidR="007E28F2" w:rsidRPr="002B5862" w:rsidRDefault="007E28F2" w:rsidP="00872FD2">
            <w:pPr>
              <w:spacing w:after="0" w:line="360" w:lineRule="auto"/>
              <w:rPr>
                <w:rFonts w:asciiTheme="minorHAnsi" w:eastAsia="Times New Roman" w:hAnsiTheme="minorHAnsi" w:cs="Arial"/>
                <w:b/>
                <w:bCs/>
              </w:rPr>
            </w:pPr>
          </w:p>
        </w:tc>
        <w:tc>
          <w:tcPr>
            <w:tcW w:w="334"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1712"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0,128</w:t>
            </w:r>
          </w:p>
        </w:tc>
        <w:tc>
          <w:tcPr>
            <w:tcW w:w="310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0,758</w:t>
            </w:r>
          </w:p>
        </w:tc>
      </w:tr>
      <w:tr w:rsidR="007E28F2" w:rsidRPr="00872FD2" w:rsidTr="0025283E">
        <w:trPr>
          <w:cnfStyle w:val="000000010000"/>
          <w:trHeight w:val="285"/>
          <w:jc w:val="center"/>
        </w:trPr>
        <w:tc>
          <w:tcPr>
            <w:tcW w:w="2961" w:type="dxa"/>
            <w:vMerge w:val="restart"/>
            <w:hideMark/>
          </w:tcPr>
          <w:p w:rsidR="007E28F2" w:rsidRPr="002B5862" w:rsidRDefault="007E28F2" w:rsidP="00872FD2">
            <w:pPr>
              <w:spacing w:after="0" w:line="360" w:lineRule="auto"/>
              <w:rPr>
                <w:rFonts w:asciiTheme="minorHAnsi" w:eastAsia="Times New Roman" w:hAnsiTheme="minorHAnsi" w:cs="Arial"/>
                <w:b/>
                <w:bCs/>
              </w:rPr>
            </w:pPr>
            <w:r w:rsidRPr="002B5862">
              <w:rPr>
                <w:rFonts w:asciiTheme="minorHAnsi" w:eastAsia="Times New Roman" w:hAnsiTheme="minorHAnsi" w:cs="Arial"/>
              </w:rPr>
              <w:t xml:space="preserve">Εβδομαδιαίος αριθμός συνεδριών </w:t>
            </w:r>
            <w:r w:rsidR="00A27068" w:rsidRPr="002B5862">
              <w:rPr>
                <w:rFonts w:asciiTheme="minorHAnsi" w:eastAsia="Times New Roman" w:hAnsiTheme="minorHAnsi" w:cs="Arial"/>
              </w:rPr>
              <w:t xml:space="preserve">αιμοκάθαρσης </w:t>
            </w:r>
          </w:p>
        </w:tc>
        <w:tc>
          <w:tcPr>
            <w:tcW w:w="334"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1712"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0,36</w:t>
            </w:r>
          </w:p>
        </w:tc>
        <w:tc>
          <w:tcPr>
            <w:tcW w:w="310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-0,03</w:t>
            </w:r>
          </w:p>
        </w:tc>
      </w:tr>
      <w:tr w:rsidR="007E28F2" w:rsidRPr="00872FD2" w:rsidTr="0025283E">
        <w:trPr>
          <w:cnfStyle w:val="000000100000"/>
          <w:trHeight w:val="285"/>
          <w:jc w:val="center"/>
        </w:trPr>
        <w:tc>
          <w:tcPr>
            <w:tcW w:w="2961" w:type="dxa"/>
            <w:vMerge/>
            <w:hideMark/>
          </w:tcPr>
          <w:p w:rsidR="007E28F2" w:rsidRPr="002B5862" w:rsidRDefault="007E28F2" w:rsidP="00872FD2">
            <w:pPr>
              <w:spacing w:after="0" w:line="360" w:lineRule="auto"/>
              <w:rPr>
                <w:rFonts w:asciiTheme="minorHAnsi" w:eastAsia="Times New Roman" w:hAnsiTheme="minorHAnsi" w:cs="Arial"/>
                <w:b/>
                <w:bCs/>
              </w:rPr>
            </w:pPr>
          </w:p>
        </w:tc>
        <w:tc>
          <w:tcPr>
            <w:tcW w:w="334"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1712"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0,078</w:t>
            </w:r>
          </w:p>
        </w:tc>
        <w:tc>
          <w:tcPr>
            <w:tcW w:w="310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0,892</w:t>
            </w:r>
          </w:p>
        </w:tc>
      </w:tr>
      <w:tr w:rsidR="007E28F2" w:rsidRPr="00872FD2" w:rsidTr="0025283E">
        <w:trPr>
          <w:cnfStyle w:val="000000010000"/>
          <w:trHeight w:val="285"/>
          <w:jc w:val="center"/>
        </w:trPr>
        <w:tc>
          <w:tcPr>
            <w:tcW w:w="2961" w:type="dxa"/>
            <w:vMerge w:val="restart"/>
            <w:hideMark/>
          </w:tcPr>
          <w:p w:rsidR="007E28F2" w:rsidRPr="002B5862" w:rsidRDefault="007E28F2" w:rsidP="00872FD2">
            <w:pPr>
              <w:spacing w:after="0" w:line="360" w:lineRule="auto"/>
              <w:rPr>
                <w:rFonts w:asciiTheme="minorHAnsi" w:eastAsia="Times New Roman" w:hAnsiTheme="minorHAnsi" w:cs="Arial"/>
                <w:b/>
                <w:bCs/>
              </w:rPr>
            </w:pPr>
            <w:r w:rsidRPr="002B5862">
              <w:rPr>
                <w:rFonts w:asciiTheme="minorHAnsi" w:eastAsia="Times New Roman" w:hAnsiTheme="minorHAnsi" w:cs="Arial"/>
              </w:rPr>
              <w:t xml:space="preserve">Ημερήσιος αριθμός </w:t>
            </w:r>
            <w:r w:rsidR="00B0098B">
              <w:rPr>
                <w:rFonts w:asciiTheme="minorHAnsi" w:eastAsia="Times New Roman" w:hAnsiTheme="minorHAnsi" w:cs="Arial"/>
              </w:rPr>
              <w:t>δισκίων</w:t>
            </w:r>
          </w:p>
        </w:tc>
        <w:tc>
          <w:tcPr>
            <w:tcW w:w="334"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r</w:t>
            </w:r>
          </w:p>
        </w:tc>
        <w:tc>
          <w:tcPr>
            <w:tcW w:w="1712"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0,02</w:t>
            </w:r>
          </w:p>
        </w:tc>
        <w:tc>
          <w:tcPr>
            <w:tcW w:w="310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-0,18</w:t>
            </w:r>
          </w:p>
        </w:tc>
      </w:tr>
      <w:tr w:rsidR="007E28F2" w:rsidRPr="00872FD2" w:rsidTr="0025283E">
        <w:trPr>
          <w:cnfStyle w:val="000000100000"/>
          <w:trHeight w:val="285"/>
          <w:jc w:val="center"/>
        </w:trPr>
        <w:tc>
          <w:tcPr>
            <w:tcW w:w="2961" w:type="dxa"/>
            <w:vMerge/>
            <w:hideMark/>
          </w:tcPr>
          <w:p w:rsidR="007E28F2" w:rsidRPr="00872FD2" w:rsidRDefault="007E28F2" w:rsidP="00872FD2">
            <w:pPr>
              <w:spacing w:after="0" w:line="360" w:lineRule="auto"/>
              <w:rPr>
                <w:rFonts w:asciiTheme="minorHAnsi" w:eastAsia="Times New Roman" w:hAnsiTheme="minorHAnsi" w:cs="Arial"/>
                <w:b/>
                <w:bCs/>
                <w:color w:val="000000"/>
              </w:rPr>
            </w:pPr>
          </w:p>
        </w:tc>
        <w:tc>
          <w:tcPr>
            <w:tcW w:w="334" w:type="dxa"/>
            <w:hideMark/>
          </w:tcPr>
          <w:p w:rsidR="007E28F2" w:rsidRPr="00872FD2" w:rsidRDefault="007E28F2" w:rsidP="00872FD2">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P</w:t>
            </w:r>
          </w:p>
        </w:tc>
        <w:tc>
          <w:tcPr>
            <w:tcW w:w="1712"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0,935</w:t>
            </w:r>
          </w:p>
        </w:tc>
        <w:tc>
          <w:tcPr>
            <w:tcW w:w="3106" w:type="dxa"/>
            <w:noWrap/>
            <w:hideMark/>
          </w:tcPr>
          <w:p w:rsidR="007E28F2" w:rsidRPr="00872FD2" w:rsidRDefault="007E28F2" w:rsidP="00872FD2">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0,388</w:t>
            </w:r>
          </w:p>
        </w:tc>
      </w:tr>
    </w:tbl>
    <w:p w:rsidR="007E28F2" w:rsidRPr="005A464E" w:rsidRDefault="007E28F2" w:rsidP="005A464E">
      <w:pPr>
        <w:pStyle w:val="nouk"/>
      </w:pPr>
    </w:p>
    <w:p w:rsidR="007E28F2" w:rsidRPr="005A464E" w:rsidRDefault="007E28F2" w:rsidP="005A464E">
      <w:pPr>
        <w:spacing w:line="360" w:lineRule="auto"/>
        <w:rPr>
          <w:rFonts w:cstheme="minorHAnsi"/>
          <w:sz w:val="24"/>
          <w:szCs w:val="24"/>
        </w:rPr>
      </w:pPr>
      <w:r w:rsidRPr="005A464E">
        <w:rPr>
          <w:sz w:val="24"/>
          <w:szCs w:val="24"/>
        </w:rPr>
        <w:t xml:space="preserve">Στο παρακάτω γράφημα </w:t>
      </w:r>
      <w:r w:rsidR="00D95F8B">
        <w:rPr>
          <w:sz w:val="24"/>
          <w:szCs w:val="24"/>
        </w:rPr>
        <w:t xml:space="preserve">(Γρ 10) </w:t>
      </w:r>
      <w:r w:rsidRPr="005A464E">
        <w:rPr>
          <w:sz w:val="24"/>
          <w:szCs w:val="24"/>
        </w:rPr>
        <w:t>δίνεται η συσχέτιση της ηλικίας των συμμετεχόντων με τη μεταβολή στη διάσταση «</w:t>
      </w:r>
      <w:r w:rsidR="00D225F5" w:rsidRPr="005A464E">
        <w:rPr>
          <w:sz w:val="24"/>
          <w:szCs w:val="24"/>
        </w:rPr>
        <w:t>Πνευματικότητα</w:t>
      </w:r>
      <w:r w:rsidRPr="005A464E">
        <w:rPr>
          <w:sz w:val="24"/>
          <w:szCs w:val="24"/>
        </w:rPr>
        <w:t xml:space="preserve">». </w:t>
      </w:r>
    </w:p>
    <w:p w:rsidR="007E28F2" w:rsidRPr="005A464E" w:rsidRDefault="007E28F2" w:rsidP="005A464E">
      <w:pPr>
        <w:pStyle w:val="nouk"/>
      </w:pPr>
    </w:p>
    <w:p w:rsidR="007E28F2" w:rsidRPr="005A464E" w:rsidRDefault="00464728" w:rsidP="00D95F8B">
      <w:pPr>
        <w:pStyle w:val="nouk"/>
        <w:jc w:val="center"/>
      </w:pPr>
      <w:r>
        <w:rPr>
          <w:noProof/>
          <w:lang w:eastAsia="el-GR"/>
        </w:rPr>
        <w:drawing>
          <wp:inline distT="0" distB="0" distL="0" distR="0">
            <wp:extent cx="3686175" cy="2943225"/>
            <wp:effectExtent l="19050" t="0" r="9525" b="0"/>
            <wp:docPr id="10" name="Εικόνα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5" cstate="print"/>
                    <a:srcRect/>
                    <a:stretch>
                      <a:fillRect/>
                    </a:stretch>
                  </pic:blipFill>
                  <pic:spPr bwMode="auto">
                    <a:xfrm>
                      <a:off x="0" y="0"/>
                      <a:ext cx="3686175" cy="2943225"/>
                    </a:xfrm>
                    <a:prstGeom prst="rect">
                      <a:avLst/>
                    </a:prstGeom>
                    <a:noFill/>
                    <a:ln w="9525">
                      <a:noFill/>
                      <a:miter lim="800000"/>
                      <a:headEnd/>
                      <a:tailEnd/>
                    </a:ln>
                  </pic:spPr>
                </pic:pic>
              </a:graphicData>
            </a:graphic>
          </wp:inline>
        </w:drawing>
      </w:r>
    </w:p>
    <w:p w:rsidR="007E28F2" w:rsidRPr="005A464E" w:rsidRDefault="007E28F2" w:rsidP="005A464E">
      <w:pPr>
        <w:pStyle w:val="nouk"/>
      </w:pPr>
    </w:p>
    <w:p w:rsidR="005E7B34" w:rsidRDefault="00D95F8B" w:rsidP="005A464E">
      <w:pPr>
        <w:pStyle w:val="nouk"/>
        <w:rPr>
          <w:sz w:val="22"/>
          <w:szCs w:val="22"/>
        </w:rPr>
      </w:pPr>
      <w:r w:rsidRPr="00846E7B">
        <w:rPr>
          <w:i/>
          <w:sz w:val="22"/>
          <w:szCs w:val="22"/>
        </w:rPr>
        <w:t>Γρ</w:t>
      </w:r>
      <w:r w:rsidR="005E7B34" w:rsidRPr="00846E7B">
        <w:rPr>
          <w:i/>
          <w:sz w:val="22"/>
          <w:szCs w:val="22"/>
        </w:rPr>
        <w:t>άφημα</w:t>
      </w:r>
      <w:r w:rsidRPr="00846E7B">
        <w:rPr>
          <w:i/>
          <w:sz w:val="22"/>
          <w:szCs w:val="22"/>
        </w:rPr>
        <w:t xml:space="preserve"> </w:t>
      </w:r>
      <w:r w:rsidR="005E7B34" w:rsidRPr="00846E7B">
        <w:rPr>
          <w:i/>
          <w:sz w:val="22"/>
          <w:szCs w:val="22"/>
        </w:rPr>
        <w:t>10</w:t>
      </w:r>
      <w:r w:rsidR="005E7B34" w:rsidRPr="005E7B34">
        <w:rPr>
          <w:sz w:val="22"/>
          <w:szCs w:val="22"/>
        </w:rPr>
        <w:t xml:space="preserve"> Συσχέτιση της ηλικίας των συμμετεχόντων με τη μεταβολή στη διάσταση «Πνευματικότητα».</w:t>
      </w:r>
    </w:p>
    <w:p w:rsidR="00651B46" w:rsidRPr="00BA566F" w:rsidRDefault="00651B46" w:rsidP="005A464E">
      <w:pPr>
        <w:pStyle w:val="nouk"/>
        <w:rPr>
          <w:sz w:val="22"/>
          <w:szCs w:val="22"/>
        </w:rPr>
      </w:pPr>
    </w:p>
    <w:p w:rsidR="007E28F2" w:rsidRPr="005A464E" w:rsidRDefault="007E28F2" w:rsidP="005A464E">
      <w:pPr>
        <w:pStyle w:val="nouk"/>
      </w:pPr>
      <w:r w:rsidRPr="005A464E">
        <w:t xml:space="preserve">Στον πίνακα που ακολουθεί </w:t>
      </w:r>
      <w:r w:rsidR="00F6061C">
        <w:t>(Πίν 31</w:t>
      </w:r>
      <w:r w:rsidR="005E7B34">
        <w:t xml:space="preserve">) </w:t>
      </w:r>
      <w:r w:rsidRPr="005A464E">
        <w:t>δίνονται οι μεταβολές στη συνολική βαθμολογία ποιότητας ζωής</w:t>
      </w:r>
      <w:r w:rsidR="0078495A">
        <w:t xml:space="preserve"> </w:t>
      </w:r>
      <w:r w:rsidRPr="005A464E">
        <w:t xml:space="preserve">των ατόμων της ομάδας παρέμβασης ανάλογα με δημογραφικά και κλινικά τους στοιχεία. </w:t>
      </w:r>
    </w:p>
    <w:p w:rsidR="0025283E" w:rsidRDefault="0025283E" w:rsidP="0025283E">
      <w:pPr>
        <w:pStyle w:val="nouk"/>
        <w:rPr>
          <w:rFonts w:asciiTheme="minorHAnsi" w:eastAsia="Times New Roman" w:hAnsiTheme="minorHAnsi" w:cs="Arial"/>
          <w:bCs/>
          <w:color w:val="000000"/>
          <w:sz w:val="22"/>
          <w:szCs w:val="22"/>
        </w:rPr>
      </w:pPr>
    </w:p>
    <w:p w:rsidR="0025283E" w:rsidRPr="00F918EC" w:rsidRDefault="00F6061C" w:rsidP="0025283E">
      <w:pPr>
        <w:pStyle w:val="nouk"/>
        <w:rPr>
          <w:rFonts w:asciiTheme="minorHAnsi" w:eastAsia="Times New Roman" w:hAnsiTheme="minorHAnsi" w:cs="Arial"/>
          <w:bCs/>
          <w:color w:val="000000"/>
          <w:sz w:val="22"/>
          <w:szCs w:val="22"/>
        </w:rPr>
      </w:pPr>
      <w:r>
        <w:rPr>
          <w:rFonts w:asciiTheme="minorHAnsi" w:eastAsia="Times New Roman" w:hAnsiTheme="minorHAnsi" w:cs="Arial"/>
          <w:bCs/>
          <w:color w:val="000000"/>
          <w:sz w:val="22"/>
          <w:szCs w:val="22"/>
        </w:rPr>
        <w:t>Πίνακας 31</w:t>
      </w:r>
    </w:p>
    <w:p w:rsidR="007E28F2" w:rsidRPr="005A464E" w:rsidRDefault="0025283E" w:rsidP="0025283E">
      <w:pPr>
        <w:pStyle w:val="nouk"/>
      </w:pPr>
      <w:r w:rsidRPr="008847F1">
        <w:rPr>
          <w:rFonts w:asciiTheme="minorHAnsi" w:eastAsiaTheme="minorHAnsi" w:hAnsiTheme="minorHAnsi" w:cstheme="minorHAnsi"/>
          <w:bCs/>
          <w:i/>
          <w:color w:val="000000"/>
        </w:rPr>
        <w:t>Μεταβολές στη συνολική βαθμολογία ποιότητας ζωής</w:t>
      </w:r>
      <w:r>
        <w:rPr>
          <w:rFonts w:asciiTheme="minorHAnsi" w:eastAsiaTheme="minorHAnsi" w:hAnsiTheme="minorHAnsi" w:cstheme="minorHAnsi"/>
          <w:bCs/>
          <w:i/>
          <w:color w:val="000000"/>
        </w:rPr>
        <w:t xml:space="preserve"> </w:t>
      </w:r>
      <w:r w:rsidRPr="008847F1">
        <w:rPr>
          <w:rFonts w:asciiTheme="minorHAnsi" w:eastAsiaTheme="minorHAnsi" w:hAnsiTheme="minorHAnsi" w:cstheme="minorHAnsi"/>
          <w:bCs/>
          <w:i/>
          <w:color w:val="000000"/>
        </w:rPr>
        <w:t>των ατόμων της ομάδας παρέμβασης ανάλογα με δημογραφικά και κλινικά τους στοιχεία.</w:t>
      </w:r>
    </w:p>
    <w:tbl>
      <w:tblPr>
        <w:tblStyle w:val="-41"/>
        <w:tblW w:w="8522" w:type="dxa"/>
        <w:tblLook w:val="0400"/>
      </w:tblPr>
      <w:tblGrid>
        <w:gridCol w:w="2830"/>
        <w:gridCol w:w="2519"/>
        <w:gridCol w:w="2019"/>
        <w:gridCol w:w="1154"/>
      </w:tblGrid>
      <w:tr w:rsidR="007E28F2" w:rsidRPr="00651B46" w:rsidTr="00651B46">
        <w:trPr>
          <w:cnfStyle w:val="000000100000"/>
          <w:trHeight w:val="285"/>
        </w:trPr>
        <w:tc>
          <w:tcPr>
            <w:tcW w:w="2832" w:type="dxa"/>
            <w:noWrap/>
            <w:hideMark/>
          </w:tcPr>
          <w:p w:rsidR="007E28F2" w:rsidRPr="00651B46" w:rsidRDefault="007E28F2" w:rsidP="00872FD2">
            <w:pPr>
              <w:spacing w:after="0" w:line="360" w:lineRule="auto"/>
              <w:rPr>
                <w:rFonts w:asciiTheme="minorHAnsi" w:eastAsia="Times New Roman" w:hAnsiTheme="minorHAnsi" w:cs="Arial"/>
                <w:b/>
                <w:bCs/>
                <w:color w:val="000000"/>
                <w:sz w:val="24"/>
                <w:szCs w:val="24"/>
              </w:rPr>
            </w:pPr>
            <w:r w:rsidRPr="00651B46">
              <w:rPr>
                <w:rFonts w:asciiTheme="minorHAnsi" w:eastAsia="Times New Roman" w:hAnsiTheme="minorHAnsi" w:cs="Arial"/>
                <w:b/>
                <w:bCs/>
                <w:color w:val="000000"/>
                <w:sz w:val="24"/>
                <w:szCs w:val="24"/>
              </w:rPr>
              <w:t> </w:t>
            </w:r>
          </w:p>
        </w:tc>
        <w:tc>
          <w:tcPr>
            <w:tcW w:w="2521" w:type="dxa"/>
            <w:noWrap/>
            <w:hideMark/>
          </w:tcPr>
          <w:p w:rsidR="007E28F2" w:rsidRPr="00651B46" w:rsidRDefault="007E28F2" w:rsidP="00872FD2">
            <w:pPr>
              <w:spacing w:after="0" w:line="360" w:lineRule="auto"/>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 </w:t>
            </w:r>
          </w:p>
        </w:tc>
        <w:tc>
          <w:tcPr>
            <w:tcW w:w="2021" w:type="dxa"/>
            <w:hideMark/>
          </w:tcPr>
          <w:p w:rsidR="007E28F2" w:rsidRPr="00651B46" w:rsidRDefault="007E45D7" w:rsidP="00872FD2">
            <w:pPr>
              <w:spacing w:after="0" w:line="360" w:lineRule="auto"/>
              <w:jc w:val="center"/>
              <w:rPr>
                <w:rFonts w:asciiTheme="minorHAnsi" w:eastAsia="Times New Roman" w:hAnsiTheme="minorHAnsi" w:cs="Arial"/>
                <w:b/>
                <w:bCs/>
                <w:color w:val="000000"/>
                <w:sz w:val="24"/>
                <w:szCs w:val="24"/>
              </w:rPr>
            </w:pPr>
            <w:r w:rsidRPr="00651B46">
              <w:rPr>
                <w:rFonts w:asciiTheme="minorHAnsi" w:eastAsia="Times New Roman" w:hAnsiTheme="minorHAnsi" w:cs="Arial"/>
                <w:b/>
                <w:bCs/>
                <w:color w:val="000000"/>
                <w:sz w:val="24"/>
                <w:szCs w:val="24"/>
              </w:rPr>
              <w:t>Συνολικό σκορ</w:t>
            </w:r>
            <w:r w:rsidR="007E28F2" w:rsidRPr="00651B46">
              <w:rPr>
                <w:rFonts w:asciiTheme="minorHAnsi" w:eastAsia="Times New Roman" w:hAnsiTheme="minorHAnsi" w:cs="Arial"/>
                <w:b/>
                <w:bCs/>
                <w:color w:val="000000"/>
                <w:sz w:val="24"/>
                <w:szCs w:val="24"/>
              </w:rPr>
              <w:t xml:space="preserve"> (μεταβολή)</w:t>
            </w:r>
          </w:p>
        </w:tc>
        <w:tc>
          <w:tcPr>
            <w:tcW w:w="1148"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p>
        </w:tc>
      </w:tr>
      <w:tr w:rsidR="007E28F2" w:rsidRPr="00651B46" w:rsidTr="00651B46">
        <w:trPr>
          <w:cnfStyle w:val="000000010000"/>
          <w:trHeight w:val="285"/>
        </w:trPr>
        <w:tc>
          <w:tcPr>
            <w:tcW w:w="2832" w:type="dxa"/>
            <w:noWrap/>
            <w:hideMark/>
          </w:tcPr>
          <w:p w:rsidR="007E28F2" w:rsidRPr="00651B46" w:rsidRDefault="007E28F2" w:rsidP="00872FD2">
            <w:pPr>
              <w:spacing w:after="0" w:line="360" w:lineRule="auto"/>
              <w:rPr>
                <w:rFonts w:asciiTheme="minorHAnsi" w:eastAsia="Times New Roman" w:hAnsiTheme="minorHAnsi" w:cs="Arial"/>
                <w:b/>
                <w:bCs/>
                <w:color w:val="000000"/>
                <w:sz w:val="24"/>
                <w:szCs w:val="24"/>
              </w:rPr>
            </w:pPr>
            <w:r w:rsidRPr="00651B46">
              <w:rPr>
                <w:rFonts w:asciiTheme="minorHAnsi" w:eastAsia="Times New Roman" w:hAnsiTheme="minorHAnsi" w:cs="Arial"/>
                <w:color w:val="000000"/>
                <w:sz w:val="24"/>
                <w:szCs w:val="24"/>
              </w:rPr>
              <w:t> </w:t>
            </w:r>
          </w:p>
        </w:tc>
        <w:tc>
          <w:tcPr>
            <w:tcW w:w="2521" w:type="dxa"/>
            <w:noWrap/>
            <w:hideMark/>
          </w:tcPr>
          <w:p w:rsidR="007E28F2" w:rsidRPr="00651B46" w:rsidRDefault="007E28F2" w:rsidP="00872FD2">
            <w:pPr>
              <w:spacing w:after="0" w:line="360" w:lineRule="auto"/>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 </w:t>
            </w:r>
          </w:p>
        </w:tc>
        <w:tc>
          <w:tcPr>
            <w:tcW w:w="2021" w:type="dxa"/>
            <w:hideMark/>
          </w:tcPr>
          <w:p w:rsidR="007E28F2" w:rsidRPr="00651B46" w:rsidRDefault="007E28F2" w:rsidP="00872FD2">
            <w:pPr>
              <w:spacing w:after="0" w:line="360" w:lineRule="auto"/>
              <w:jc w:val="center"/>
              <w:rPr>
                <w:rFonts w:asciiTheme="minorHAnsi" w:eastAsia="Times New Roman" w:hAnsiTheme="minorHAnsi" w:cs="Arial"/>
                <w:b/>
                <w:bCs/>
                <w:color w:val="000000"/>
                <w:sz w:val="24"/>
                <w:szCs w:val="24"/>
              </w:rPr>
            </w:pPr>
            <w:r w:rsidRPr="00651B46">
              <w:rPr>
                <w:rFonts w:asciiTheme="minorHAnsi" w:eastAsia="Times New Roman" w:hAnsiTheme="minorHAnsi" w:cs="Arial"/>
                <w:b/>
                <w:bCs/>
                <w:color w:val="000000"/>
                <w:sz w:val="24"/>
                <w:szCs w:val="24"/>
              </w:rPr>
              <w:t>Μέση τιμή (</w:t>
            </w:r>
            <w:r w:rsidR="00D225F5" w:rsidRPr="00651B46">
              <w:rPr>
                <w:rFonts w:asciiTheme="minorHAnsi" w:eastAsia="Times New Roman" w:hAnsiTheme="minorHAnsi" w:cs="Arial"/>
                <w:b/>
                <w:bCs/>
                <w:color w:val="000000"/>
                <w:sz w:val="24"/>
                <w:szCs w:val="24"/>
              </w:rPr>
              <w:t>ΤΑ</w:t>
            </w:r>
            <w:r w:rsidRPr="00651B46">
              <w:rPr>
                <w:rFonts w:asciiTheme="minorHAnsi" w:eastAsia="Times New Roman" w:hAnsiTheme="minorHAnsi" w:cs="Arial"/>
                <w:b/>
                <w:bCs/>
                <w:color w:val="000000"/>
                <w:sz w:val="24"/>
                <w:szCs w:val="24"/>
              </w:rPr>
              <w:t>)</w:t>
            </w:r>
          </w:p>
        </w:tc>
        <w:tc>
          <w:tcPr>
            <w:tcW w:w="1148" w:type="dxa"/>
            <w:noWrap/>
            <w:hideMark/>
          </w:tcPr>
          <w:p w:rsidR="007E28F2" w:rsidRPr="00651B46" w:rsidRDefault="007E28F2" w:rsidP="00872FD2">
            <w:pPr>
              <w:spacing w:after="0" w:line="360" w:lineRule="auto"/>
              <w:jc w:val="center"/>
              <w:rPr>
                <w:rFonts w:asciiTheme="minorHAnsi" w:eastAsia="Times New Roman" w:hAnsiTheme="minorHAnsi" w:cs="Arial"/>
                <w:b/>
                <w:bCs/>
                <w:color w:val="000000"/>
                <w:sz w:val="24"/>
                <w:szCs w:val="24"/>
              </w:rPr>
            </w:pPr>
            <w:r w:rsidRPr="00651B46">
              <w:rPr>
                <w:rFonts w:asciiTheme="minorHAnsi" w:eastAsia="Times New Roman" w:hAnsiTheme="minorHAnsi" w:cs="Arial"/>
                <w:b/>
                <w:bCs/>
                <w:color w:val="000000"/>
                <w:sz w:val="24"/>
                <w:szCs w:val="24"/>
              </w:rPr>
              <w:t>P Student's t-test</w:t>
            </w:r>
          </w:p>
        </w:tc>
      </w:tr>
      <w:tr w:rsidR="007E28F2" w:rsidRPr="00651B46" w:rsidTr="00651B46">
        <w:trPr>
          <w:cnfStyle w:val="000000100000"/>
          <w:trHeight w:val="285"/>
        </w:trPr>
        <w:tc>
          <w:tcPr>
            <w:tcW w:w="2832" w:type="dxa"/>
            <w:vMerge w:val="restart"/>
            <w:hideMark/>
          </w:tcPr>
          <w:p w:rsidR="007E28F2" w:rsidRPr="00651B46" w:rsidRDefault="007E28F2" w:rsidP="00872FD2">
            <w:pPr>
              <w:spacing w:after="0" w:line="360" w:lineRule="auto"/>
              <w:rPr>
                <w:rFonts w:asciiTheme="minorHAnsi" w:eastAsia="Times New Roman" w:hAnsiTheme="minorHAnsi" w:cs="Arial"/>
                <w:b/>
                <w:bCs/>
                <w:color w:val="000000"/>
                <w:sz w:val="24"/>
                <w:szCs w:val="24"/>
              </w:rPr>
            </w:pPr>
            <w:r w:rsidRPr="00651B46">
              <w:rPr>
                <w:rFonts w:asciiTheme="minorHAnsi" w:eastAsia="Times New Roman" w:hAnsiTheme="minorHAnsi" w:cs="Arial"/>
                <w:color w:val="000000"/>
                <w:sz w:val="24"/>
                <w:szCs w:val="24"/>
              </w:rPr>
              <w:t>Φύλο</w:t>
            </w:r>
          </w:p>
        </w:tc>
        <w:tc>
          <w:tcPr>
            <w:tcW w:w="2521" w:type="dxa"/>
            <w:hideMark/>
          </w:tcPr>
          <w:p w:rsidR="007E28F2" w:rsidRPr="00651B46" w:rsidRDefault="00BA566F" w:rsidP="00872FD2">
            <w:pPr>
              <w:spacing w:after="0" w:line="360" w:lineRule="auto"/>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Άνδρας</w:t>
            </w:r>
          </w:p>
        </w:tc>
        <w:tc>
          <w:tcPr>
            <w:tcW w:w="2021"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0,95 (0,81)</w:t>
            </w:r>
          </w:p>
        </w:tc>
        <w:tc>
          <w:tcPr>
            <w:tcW w:w="1148"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0,272</w:t>
            </w:r>
          </w:p>
        </w:tc>
      </w:tr>
      <w:tr w:rsidR="007E28F2" w:rsidRPr="00651B46" w:rsidTr="00651B46">
        <w:trPr>
          <w:cnfStyle w:val="000000010000"/>
          <w:trHeight w:val="285"/>
        </w:trPr>
        <w:tc>
          <w:tcPr>
            <w:tcW w:w="2832" w:type="dxa"/>
            <w:vMerge/>
            <w:hideMark/>
          </w:tcPr>
          <w:p w:rsidR="007E28F2" w:rsidRPr="00651B46" w:rsidRDefault="007E28F2" w:rsidP="00872FD2">
            <w:pPr>
              <w:spacing w:after="0" w:line="360" w:lineRule="auto"/>
              <w:rPr>
                <w:rFonts w:asciiTheme="minorHAnsi" w:eastAsia="Times New Roman" w:hAnsiTheme="minorHAnsi" w:cs="Arial"/>
                <w:b/>
                <w:bCs/>
                <w:color w:val="000000"/>
                <w:sz w:val="24"/>
                <w:szCs w:val="24"/>
              </w:rPr>
            </w:pPr>
          </w:p>
        </w:tc>
        <w:tc>
          <w:tcPr>
            <w:tcW w:w="2521" w:type="dxa"/>
            <w:hideMark/>
          </w:tcPr>
          <w:p w:rsidR="007E28F2" w:rsidRPr="00651B46" w:rsidRDefault="00BA566F" w:rsidP="00872FD2">
            <w:pPr>
              <w:spacing w:after="0" w:line="360" w:lineRule="auto"/>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Γυναίκα</w:t>
            </w:r>
          </w:p>
        </w:tc>
        <w:tc>
          <w:tcPr>
            <w:tcW w:w="2021"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1,43 (1,32)</w:t>
            </w:r>
          </w:p>
        </w:tc>
        <w:tc>
          <w:tcPr>
            <w:tcW w:w="1148"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p>
        </w:tc>
      </w:tr>
      <w:tr w:rsidR="007E28F2" w:rsidRPr="00651B46" w:rsidTr="00651B46">
        <w:trPr>
          <w:cnfStyle w:val="000000100000"/>
          <w:trHeight w:val="285"/>
        </w:trPr>
        <w:tc>
          <w:tcPr>
            <w:tcW w:w="2832" w:type="dxa"/>
            <w:vMerge w:val="restart"/>
            <w:hideMark/>
          </w:tcPr>
          <w:p w:rsidR="007E28F2" w:rsidRPr="00651B46" w:rsidRDefault="007E28F2" w:rsidP="00872FD2">
            <w:pPr>
              <w:spacing w:after="0" w:line="360" w:lineRule="auto"/>
              <w:rPr>
                <w:rFonts w:asciiTheme="minorHAnsi" w:eastAsia="Times New Roman" w:hAnsiTheme="minorHAnsi" w:cs="Arial"/>
                <w:b/>
                <w:bCs/>
                <w:color w:val="000000"/>
                <w:sz w:val="24"/>
                <w:szCs w:val="24"/>
              </w:rPr>
            </w:pPr>
            <w:r w:rsidRPr="00651B46">
              <w:rPr>
                <w:rFonts w:asciiTheme="minorHAnsi" w:eastAsia="Times New Roman" w:hAnsiTheme="minorHAnsi" w:cs="Arial"/>
                <w:color w:val="000000"/>
                <w:sz w:val="24"/>
                <w:szCs w:val="24"/>
              </w:rPr>
              <w:t>Έγγαμοι</w:t>
            </w:r>
          </w:p>
        </w:tc>
        <w:tc>
          <w:tcPr>
            <w:tcW w:w="2521" w:type="dxa"/>
            <w:hideMark/>
          </w:tcPr>
          <w:p w:rsidR="007E28F2" w:rsidRPr="00651B46" w:rsidRDefault="007E28F2" w:rsidP="00872FD2">
            <w:pPr>
              <w:spacing w:after="0" w:line="360" w:lineRule="auto"/>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Όχι</w:t>
            </w:r>
          </w:p>
        </w:tc>
        <w:tc>
          <w:tcPr>
            <w:tcW w:w="2021"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0,96 (1,19)</w:t>
            </w:r>
          </w:p>
        </w:tc>
        <w:tc>
          <w:tcPr>
            <w:tcW w:w="1148"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0,455</w:t>
            </w:r>
          </w:p>
        </w:tc>
      </w:tr>
      <w:tr w:rsidR="007E28F2" w:rsidRPr="00651B46" w:rsidTr="00651B46">
        <w:trPr>
          <w:cnfStyle w:val="000000010000"/>
          <w:trHeight w:val="285"/>
        </w:trPr>
        <w:tc>
          <w:tcPr>
            <w:tcW w:w="2832" w:type="dxa"/>
            <w:vMerge/>
            <w:hideMark/>
          </w:tcPr>
          <w:p w:rsidR="007E28F2" w:rsidRPr="00651B46" w:rsidRDefault="007E28F2" w:rsidP="00872FD2">
            <w:pPr>
              <w:spacing w:after="0" w:line="360" w:lineRule="auto"/>
              <w:rPr>
                <w:rFonts w:asciiTheme="minorHAnsi" w:eastAsia="Times New Roman" w:hAnsiTheme="minorHAnsi" w:cs="Arial"/>
                <w:b/>
                <w:bCs/>
                <w:color w:val="000000"/>
                <w:sz w:val="24"/>
                <w:szCs w:val="24"/>
              </w:rPr>
            </w:pPr>
          </w:p>
        </w:tc>
        <w:tc>
          <w:tcPr>
            <w:tcW w:w="2521" w:type="dxa"/>
            <w:hideMark/>
          </w:tcPr>
          <w:p w:rsidR="007E28F2" w:rsidRPr="00651B46" w:rsidRDefault="007E28F2" w:rsidP="00872FD2">
            <w:pPr>
              <w:spacing w:after="0" w:line="360" w:lineRule="auto"/>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Ναι</w:t>
            </w:r>
          </w:p>
        </w:tc>
        <w:tc>
          <w:tcPr>
            <w:tcW w:w="2021"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1,29 (0,93)</w:t>
            </w:r>
          </w:p>
        </w:tc>
        <w:tc>
          <w:tcPr>
            <w:tcW w:w="1148"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p>
        </w:tc>
      </w:tr>
      <w:tr w:rsidR="007E28F2" w:rsidRPr="00651B46" w:rsidTr="00651B46">
        <w:trPr>
          <w:cnfStyle w:val="000000100000"/>
          <w:trHeight w:val="285"/>
        </w:trPr>
        <w:tc>
          <w:tcPr>
            <w:tcW w:w="2832" w:type="dxa"/>
            <w:vMerge w:val="restart"/>
            <w:hideMark/>
          </w:tcPr>
          <w:p w:rsidR="007E28F2" w:rsidRPr="00651B46" w:rsidRDefault="007E28F2" w:rsidP="00872FD2">
            <w:pPr>
              <w:spacing w:after="0" w:line="360" w:lineRule="auto"/>
              <w:rPr>
                <w:rFonts w:asciiTheme="minorHAnsi" w:eastAsia="Times New Roman" w:hAnsiTheme="minorHAnsi" w:cs="Arial"/>
                <w:b/>
                <w:bCs/>
                <w:color w:val="000000"/>
                <w:sz w:val="24"/>
                <w:szCs w:val="24"/>
              </w:rPr>
            </w:pPr>
            <w:r w:rsidRPr="00651B46">
              <w:rPr>
                <w:rFonts w:asciiTheme="minorHAnsi" w:eastAsia="Times New Roman" w:hAnsiTheme="minorHAnsi" w:cs="Arial"/>
                <w:color w:val="000000"/>
                <w:sz w:val="24"/>
                <w:szCs w:val="24"/>
              </w:rPr>
              <w:t>Παιδιά</w:t>
            </w:r>
          </w:p>
        </w:tc>
        <w:tc>
          <w:tcPr>
            <w:tcW w:w="2521" w:type="dxa"/>
            <w:hideMark/>
          </w:tcPr>
          <w:p w:rsidR="007E28F2" w:rsidRPr="00651B46" w:rsidRDefault="007E28F2" w:rsidP="00872FD2">
            <w:pPr>
              <w:spacing w:after="0" w:line="360" w:lineRule="auto"/>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Όχι</w:t>
            </w:r>
          </w:p>
        </w:tc>
        <w:tc>
          <w:tcPr>
            <w:tcW w:w="2021"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0,78 (0,98)</w:t>
            </w:r>
          </w:p>
        </w:tc>
        <w:tc>
          <w:tcPr>
            <w:tcW w:w="1148"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0,194</w:t>
            </w:r>
          </w:p>
        </w:tc>
      </w:tr>
      <w:tr w:rsidR="007E28F2" w:rsidRPr="00651B46" w:rsidTr="00651B46">
        <w:trPr>
          <w:cnfStyle w:val="000000010000"/>
          <w:trHeight w:val="285"/>
        </w:trPr>
        <w:tc>
          <w:tcPr>
            <w:tcW w:w="2832" w:type="dxa"/>
            <w:vMerge/>
            <w:hideMark/>
          </w:tcPr>
          <w:p w:rsidR="007E28F2" w:rsidRPr="00651B46" w:rsidRDefault="007E28F2" w:rsidP="00872FD2">
            <w:pPr>
              <w:spacing w:after="0" w:line="360" w:lineRule="auto"/>
              <w:rPr>
                <w:rFonts w:asciiTheme="minorHAnsi" w:eastAsia="Times New Roman" w:hAnsiTheme="minorHAnsi" w:cs="Arial"/>
                <w:b/>
                <w:bCs/>
                <w:color w:val="000000"/>
                <w:sz w:val="24"/>
                <w:szCs w:val="24"/>
              </w:rPr>
            </w:pPr>
          </w:p>
        </w:tc>
        <w:tc>
          <w:tcPr>
            <w:tcW w:w="2521" w:type="dxa"/>
            <w:hideMark/>
          </w:tcPr>
          <w:p w:rsidR="007E28F2" w:rsidRPr="00651B46" w:rsidRDefault="007E28F2" w:rsidP="00872FD2">
            <w:pPr>
              <w:spacing w:after="0" w:line="360" w:lineRule="auto"/>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Ναι</w:t>
            </w:r>
          </w:p>
        </w:tc>
        <w:tc>
          <w:tcPr>
            <w:tcW w:w="2021"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1,35 (1,05)</w:t>
            </w:r>
          </w:p>
        </w:tc>
        <w:tc>
          <w:tcPr>
            <w:tcW w:w="1148"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p>
        </w:tc>
      </w:tr>
      <w:tr w:rsidR="007E28F2" w:rsidRPr="00651B46" w:rsidTr="00651B46">
        <w:trPr>
          <w:cnfStyle w:val="000000100000"/>
          <w:trHeight w:val="285"/>
        </w:trPr>
        <w:tc>
          <w:tcPr>
            <w:tcW w:w="2832" w:type="dxa"/>
            <w:vMerge w:val="restart"/>
            <w:hideMark/>
          </w:tcPr>
          <w:p w:rsidR="007E28F2" w:rsidRPr="00651B46" w:rsidRDefault="007E28F2" w:rsidP="00872FD2">
            <w:pPr>
              <w:spacing w:after="0" w:line="360" w:lineRule="auto"/>
              <w:rPr>
                <w:rFonts w:asciiTheme="minorHAnsi" w:eastAsia="Times New Roman" w:hAnsiTheme="minorHAnsi" w:cs="Arial"/>
                <w:b/>
                <w:bCs/>
                <w:color w:val="000000"/>
                <w:sz w:val="24"/>
                <w:szCs w:val="24"/>
              </w:rPr>
            </w:pPr>
            <w:r w:rsidRPr="00651B46">
              <w:rPr>
                <w:rFonts w:asciiTheme="minorHAnsi" w:eastAsia="Times New Roman" w:hAnsiTheme="minorHAnsi" w:cs="Arial"/>
                <w:color w:val="000000"/>
                <w:sz w:val="24"/>
                <w:szCs w:val="24"/>
              </w:rPr>
              <w:t>Μένετε μόνος;</w:t>
            </w:r>
          </w:p>
        </w:tc>
        <w:tc>
          <w:tcPr>
            <w:tcW w:w="2521" w:type="dxa"/>
            <w:hideMark/>
          </w:tcPr>
          <w:p w:rsidR="007E28F2" w:rsidRPr="00651B46" w:rsidRDefault="00BA566F" w:rsidP="00872FD2">
            <w:pPr>
              <w:spacing w:after="0" w:line="360" w:lineRule="auto"/>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Ναι</w:t>
            </w:r>
          </w:p>
        </w:tc>
        <w:tc>
          <w:tcPr>
            <w:tcW w:w="2021"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0,48 (0,46)</w:t>
            </w:r>
          </w:p>
        </w:tc>
        <w:tc>
          <w:tcPr>
            <w:tcW w:w="1148"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0,113</w:t>
            </w:r>
          </w:p>
        </w:tc>
      </w:tr>
      <w:tr w:rsidR="007E28F2" w:rsidRPr="00651B46" w:rsidTr="00651B46">
        <w:trPr>
          <w:cnfStyle w:val="000000010000"/>
          <w:trHeight w:val="285"/>
        </w:trPr>
        <w:tc>
          <w:tcPr>
            <w:tcW w:w="2832" w:type="dxa"/>
            <w:vMerge/>
            <w:hideMark/>
          </w:tcPr>
          <w:p w:rsidR="007E28F2" w:rsidRPr="00651B46" w:rsidRDefault="007E28F2" w:rsidP="00872FD2">
            <w:pPr>
              <w:spacing w:after="0" w:line="360" w:lineRule="auto"/>
              <w:rPr>
                <w:rFonts w:asciiTheme="minorHAnsi" w:eastAsia="Times New Roman" w:hAnsiTheme="minorHAnsi" w:cs="Arial"/>
                <w:b/>
                <w:bCs/>
                <w:color w:val="000000"/>
                <w:sz w:val="24"/>
                <w:szCs w:val="24"/>
              </w:rPr>
            </w:pPr>
          </w:p>
        </w:tc>
        <w:tc>
          <w:tcPr>
            <w:tcW w:w="2521" w:type="dxa"/>
            <w:hideMark/>
          </w:tcPr>
          <w:p w:rsidR="007E28F2" w:rsidRPr="00651B46" w:rsidRDefault="00BA566F" w:rsidP="00872FD2">
            <w:pPr>
              <w:spacing w:after="0" w:line="360" w:lineRule="auto"/>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Όχι</w:t>
            </w:r>
          </w:p>
        </w:tc>
        <w:tc>
          <w:tcPr>
            <w:tcW w:w="2021"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1,31 (1,09)</w:t>
            </w:r>
          </w:p>
        </w:tc>
        <w:tc>
          <w:tcPr>
            <w:tcW w:w="1148"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p>
        </w:tc>
      </w:tr>
      <w:tr w:rsidR="007E28F2" w:rsidRPr="00651B46" w:rsidTr="00651B46">
        <w:trPr>
          <w:cnfStyle w:val="000000100000"/>
          <w:trHeight w:val="285"/>
        </w:trPr>
        <w:tc>
          <w:tcPr>
            <w:tcW w:w="2832" w:type="dxa"/>
            <w:vMerge w:val="restart"/>
            <w:hideMark/>
          </w:tcPr>
          <w:p w:rsidR="007E28F2" w:rsidRPr="00651B46" w:rsidRDefault="000D053B" w:rsidP="00872FD2">
            <w:pPr>
              <w:spacing w:after="0" w:line="360" w:lineRule="auto"/>
              <w:rPr>
                <w:rFonts w:asciiTheme="minorHAnsi" w:eastAsia="Times New Roman" w:hAnsiTheme="minorHAnsi" w:cs="Arial"/>
                <w:b/>
                <w:bCs/>
                <w:color w:val="000000"/>
                <w:sz w:val="24"/>
                <w:szCs w:val="24"/>
              </w:rPr>
            </w:pPr>
            <w:r w:rsidRPr="00651B46">
              <w:rPr>
                <w:rFonts w:asciiTheme="minorHAnsi" w:eastAsia="Times New Roman" w:hAnsiTheme="minorHAnsi" w:cs="Arial"/>
                <w:color w:val="000000"/>
                <w:sz w:val="24"/>
                <w:szCs w:val="24"/>
              </w:rPr>
              <w:t>Εκπαιδευτικό</w:t>
            </w:r>
            <w:r w:rsidR="007E28F2" w:rsidRPr="00651B46">
              <w:rPr>
                <w:rFonts w:asciiTheme="minorHAnsi" w:eastAsia="Times New Roman" w:hAnsiTheme="minorHAnsi" w:cs="Arial"/>
                <w:color w:val="000000"/>
                <w:sz w:val="24"/>
                <w:szCs w:val="24"/>
              </w:rPr>
              <w:t xml:space="preserve"> επίπεδο</w:t>
            </w:r>
          </w:p>
        </w:tc>
        <w:tc>
          <w:tcPr>
            <w:tcW w:w="2521" w:type="dxa"/>
            <w:hideMark/>
          </w:tcPr>
          <w:p w:rsidR="007E28F2" w:rsidRPr="00651B46" w:rsidRDefault="007E28F2" w:rsidP="00872FD2">
            <w:pPr>
              <w:spacing w:after="0" w:line="360" w:lineRule="auto"/>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Μέχρι και Λύκειο</w:t>
            </w:r>
          </w:p>
        </w:tc>
        <w:tc>
          <w:tcPr>
            <w:tcW w:w="2021"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1,36 (1,08)</w:t>
            </w:r>
          </w:p>
        </w:tc>
        <w:tc>
          <w:tcPr>
            <w:tcW w:w="1148"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0,060</w:t>
            </w:r>
          </w:p>
        </w:tc>
      </w:tr>
      <w:tr w:rsidR="007E28F2" w:rsidRPr="00651B46" w:rsidTr="00651B46">
        <w:trPr>
          <w:cnfStyle w:val="000000010000"/>
          <w:trHeight w:val="285"/>
        </w:trPr>
        <w:tc>
          <w:tcPr>
            <w:tcW w:w="2832" w:type="dxa"/>
            <w:vMerge/>
            <w:hideMark/>
          </w:tcPr>
          <w:p w:rsidR="007E28F2" w:rsidRPr="00651B46" w:rsidRDefault="007E28F2" w:rsidP="00872FD2">
            <w:pPr>
              <w:spacing w:after="0" w:line="360" w:lineRule="auto"/>
              <w:rPr>
                <w:rFonts w:asciiTheme="minorHAnsi" w:eastAsia="Times New Roman" w:hAnsiTheme="minorHAnsi" w:cs="Arial"/>
                <w:b/>
                <w:bCs/>
                <w:color w:val="000000"/>
                <w:sz w:val="24"/>
                <w:szCs w:val="24"/>
              </w:rPr>
            </w:pPr>
          </w:p>
        </w:tc>
        <w:tc>
          <w:tcPr>
            <w:tcW w:w="2521" w:type="dxa"/>
            <w:hideMark/>
          </w:tcPr>
          <w:p w:rsidR="007E28F2" w:rsidRPr="00651B46" w:rsidRDefault="007E28F2" w:rsidP="00872FD2">
            <w:pPr>
              <w:spacing w:after="0" w:line="360" w:lineRule="auto"/>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Πάνω από Λύκειο</w:t>
            </w:r>
          </w:p>
        </w:tc>
        <w:tc>
          <w:tcPr>
            <w:tcW w:w="2021"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0,45 (0,48)</w:t>
            </w:r>
          </w:p>
        </w:tc>
        <w:tc>
          <w:tcPr>
            <w:tcW w:w="1148"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p>
        </w:tc>
      </w:tr>
      <w:tr w:rsidR="007E28F2" w:rsidRPr="00651B46" w:rsidTr="00651B46">
        <w:trPr>
          <w:cnfStyle w:val="000000100000"/>
          <w:trHeight w:val="285"/>
        </w:trPr>
        <w:tc>
          <w:tcPr>
            <w:tcW w:w="2832" w:type="dxa"/>
            <w:vMerge w:val="restart"/>
            <w:hideMark/>
          </w:tcPr>
          <w:p w:rsidR="007E28F2" w:rsidRPr="00651B46" w:rsidRDefault="007E28F2" w:rsidP="00872FD2">
            <w:pPr>
              <w:spacing w:after="0" w:line="360" w:lineRule="auto"/>
              <w:rPr>
                <w:rFonts w:asciiTheme="minorHAnsi" w:eastAsia="Times New Roman" w:hAnsiTheme="minorHAnsi" w:cs="Arial"/>
                <w:b/>
                <w:bCs/>
                <w:color w:val="000000"/>
                <w:sz w:val="24"/>
                <w:szCs w:val="24"/>
              </w:rPr>
            </w:pPr>
            <w:r w:rsidRPr="00651B46">
              <w:rPr>
                <w:rFonts w:asciiTheme="minorHAnsi" w:eastAsia="Times New Roman" w:hAnsiTheme="minorHAnsi" w:cs="Arial"/>
                <w:color w:val="000000"/>
                <w:sz w:val="24"/>
                <w:szCs w:val="24"/>
              </w:rPr>
              <w:t xml:space="preserve">Πάσχετε από </w:t>
            </w:r>
            <w:r w:rsidR="0095691A">
              <w:rPr>
                <w:rFonts w:asciiTheme="minorHAnsi" w:eastAsia="Times New Roman" w:hAnsiTheme="minorHAnsi" w:cs="Arial"/>
                <w:color w:val="000000"/>
                <w:sz w:val="24"/>
                <w:szCs w:val="24"/>
              </w:rPr>
              <w:t>Σακχαρώδη Διαβήτη</w:t>
            </w:r>
            <w:r w:rsidR="0095691A" w:rsidRPr="00651B46">
              <w:rPr>
                <w:rFonts w:asciiTheme="minorHAnsi" w:eastAsia="Times New Roman" w:hAnsiTheme="minorHAnsi" w:cs="Arial"/>
                <w:color w:val="000000"/>
                <w:sz w:val="24"/>
                <w:szCs w:val="24"/>
              </w:rPr>
              <w:t>,</w:t>
            </w:r>
            <w:r w:rsidRPr="00651B46">
              <w:rPr>
                <w:rFonts w:asciiTheme="minorHAnsi" w:eastAsia="Times New Roman" w:hAnsiTheme="minorHAnsi" w:cs="Arial"/>
                <w:color w:val="000000"/>
                <w:sz w:val="24"/>
                <w:szCs w:val="24"/>
              </w:rPr>
              <w:t xml:space="preserve"> υπέρταση, σπειραματονεφρίτιδα, πολυκυστική νόσο ή άλλο;</w:t>
            </w:r>
          </w:p>
        </w:tc>
        <w:tc>
          <w:tcPr>
            <w:tcW w:w="2521" w:type="dxa"/>
            <w:hideMark/>
          </w:tcPr>
          <w:p w:rsidR="007E28F2" w:rsidRPr="00651B46" w:rsidRDefault="0095691A" w:rsidP="00872FD2">
            <w:pPr>
              <w:spacing w:after="0" w:line="360" w:lineRule="auto"/>
              <w:rPr>
                <w:rFonts w:asciiTheme="minorHAnsi" w:eastAsia="Times New Roman" w:hAnsiTheme="minorHAnsi" w:cs="Arial"/>
                <w:color w:val="000000"/>
                <w:sz w:val="24"/>
                <w:szCs w:val="24"/>
              </w:rPr>
            </w:pPr>
            <w:r>
              <w:rPr>
                <w:rFonts w:asciiTheme="minorHAnsi" w:eastAsia="Times New Roman" w:hAnsiTheme="minorHAnsi" w:cs="Arial"/>
                <w:color w:val="000000"/>
                <w:sz w:val="24"/>
                <w:szCs w:val="24"/>
              </w:rPr>
              <w:t>Σακχαρώδη Διαβήτη</w:t>
            </w:r>
          </w:p>
        </w:tc>
        <w:tc>
          <w:tcPr>
            <w:tcW w:w="2021"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0,87 (0,74)</w:t>
            </w:r>
          </w:p>
        </w:tc>
        <w:tc>
          <w:tcPr>
            <w:tcW w:w="1148" w:type="dxa"/>
            <w:noWrap/>
            <w:hideMark/>
          </w:tcPr>
          <w:p w:rsidR="007E28F2" w:rsidRPr="00651B46" w:rsidRDefault="007E28F2" w:rsidP="00872FD2">
            <w:pPr>
              <w:spacing w:after="0" w:line="360" w:lineRule="auto"/>
              <w:jc w:val="center"/>
              <w:rPr>
                <w:rFonts w:asciiTheme="minorHAnsi" w:eastAsia="Times New Roman" w:hAnsiTheme="minorHAnsi" w:cs="Arial"/>
                <w:b/>
                <w:bCs/>
                <w:color w:val="000000"/>
                <w:sz w:val="24"/>
                <w:szCs w:val="24"/>
              </w:rPr>
            </w:pPr>
            <w:r w:rsidRPr="00651B46">
              <w:rPr>
                <w:rFonts w:asciiTheme="minorHAnsi" w:eastAsia="Times New Roman" w:hAnsiTheme="minorHAnsi" w:cs="Arial"/>
                <w:b/>
                <w:bCs/>
                <w:color w:val="000000"/>
                <w:sz w:val="24"/>
                <w:szCs w:val="24"/>
              </w:rPr>
              <w:t>0,050*</w:t>
            </w:r>
          </w:p>
        </w:tc>
      </w:tr>
      <w:tr w:rsidR="007E28F2" w:rsidRPr="00651B46" w:rsidTr="00651B46">
        <w:trPr>
          <w:cnfStyle w:val="000000010000"/>
          <w:trHeight w:val="285"/>
        </w:trPr>
        <w:tc>
          <w:tcPr>
            <w:tcW w:w="2832" w:type="dxa"/>
            <w:vMerge/>
            <w:hideMark/>
          </w:tcPr>
          <w:p w:rsidR="007E28F2" w:rsidRPr="00651B46" w:rsidRDefault="007E28F2" w:rsidP="00872FD2">
            <w:pPr>
              <w:spacing w:after="0" w:line="360" w:lineRule="auto"/>
              <w:rPr>
                <w:rFonts w:asciiTheme="minorHAnsi" w:eastAsia="Times New Roman" w:hAnsiTheme="minorHAnsi" w:cs="Arial"/>
                <w:b/>
                <w:bCs/>
                <w:color w:val="000000"/>
                <w:sz w:val="24"/>
                <w:szCs w:val="24"/>
              </w:rPr>
            </w:pPr>
          </w:p>
        </w:tc>
        <w:tc>
          <w:tcPr>
            <w:tcW w:w="2521" w:type="dxa"/>
            <w:hideMark/>
          </w:tcPr>
          <w:p w:rsidR="007E28F2" w:rsidRPr="00651B46" w:rsidRDefault="002B5862" w:rsidP="00872FD2">
            <w:pPr>
              <w:spacing w:after="0" w:line="360" w:lineRule="auto"/>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Υ</w:t>
            </w:r>
            <w:r w:rsidR="007E28F2" w:rsidRPr="00651B46">
              <w:rPr>
                <w:rFonts w:asciiTheme="minorHAnsi" w:eastAsia="Times New Roman" w:hAnsiTheme="minorHAnsi" w:cs="Arial"/>
                <w:color w:val="000000"/>
                <w:sz w:val="24"/>
                <w:szCs w:val="24"/>
              </w:rPr>
              <w:t>πέρταση</w:t>
            </w:r>
          </w:p>
        </w:tc>
        <w:tc>
          <w:tcPr>
            <w:tcW w:w="2021"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1,81 (1,31)</w:t>
            </w:r>
          </w:p>
        </w:tc>
        <w:tc>
          <w:tcPr>
            <w:tcW w:w="1148"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p>
        </w:tc>
      </w:tr>
      <w:tr w:rsidR="007E28F2" w:rsidRPr="00651B46" w:rsidTr="00651B46">
        <w:trPr>
          <w:cnfStyle w:val="000000100000"/>
          <w:trHeight w:val="285"/>
        </w:trPr>
        <w:tc>
          <w:tcPr>
            <w:tcW w:w="2832" w:type="dxa"/>
            <w:vMerge/>
            <w:hideMark/>
          </w:tcPr>
          <w:p w:rsidR="007E28F2" w:rsidRPr="00651B46" w:rsidRDefault="007E28F2" w:rsidP="00872FD2">
            <w:pPr>
              <w:spacing w:after="0" w:line="360" w:lineRule="auto"/>
              <w:rPr>
                <w:rFonts w:asciiTheme="minorHAnsi" w:eastAsia="Times New Roman" w:hAnsiTheme="minorHAnsi" w:cs="Arial"/>
                <w:b/>
                <w:bCs/>
                <w:color w:val="000000"/>
                <w:sz w:val="24"/>
                <w:szCs w:val="24"/>
              </w:rPr>
            </w:pPr>
          </w:p>
        </w:tc>
        <w:tc>
          <w:tcPr>
            <w:tcW w:w="2521" w:type="dxa"/>
            <w:hideMark/>
          </w:tcPr>
          <w:p w:rsidR="007E28F2" w:rsidRPr="00651B46" w:rsidRDefault="002B5862" w:rsidP="00872FD2">
            <w:pPr>
              <w:spacing w:after="0" w:line="360" w:lineRule="auto"/>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Σ</w:t>
            </w:r>
            <w:r w:rsidR="007E28F2" w:rsidRPr="00651B46">
              <w:rPr>
                <w:rFonts w:asciiTheme="minorHAnsi" w:eastAsia="Times New Roman" w:hAnsiTheme="minorHAnsi" w:cs="Arial"/>
                <w:color w:val="000000"/>
                <w:sz w:val="24"/>
                <w:szCs w:val="24"/>
              </w:rPr>
              <w:t>πειραματονεφρίτιδα</w:t>
            </w:r>
          </w:p>
        </w:tc>
        <w:tc>
          <w:tcPr>
            <w:tcW w:w="2021"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0,61 (0,65)</w:t>
            </w:r>
          </w:p>
        </w:tc>
        <w:tc>
          <w:tcPr>
            <w:tcW w:w="1148" w:type="dxa"/>
            <w:noWrap/>
            <w:hideMark/>
          </w:tcPr>
          <w:p w:rsidR="007E28F2" w:rsidRPr="00651B46" w:rsidRDefault="007E28F2" w:rsidP="00872FD2">
            <w:pPr>
              <w:spacing w:after="0" w:line="360" w:lineRule="auto"/>
              <w:jc w:val="center"/>
              <w:rPr>
                <w:rFonts w:asciiTheme="minorHAnsi" w:eastAsia="Times New Roman" w:hAnsiTheme="minorHAnsi" w:cs="Arial"/>
                <w:color w:val="000000"/>
                <w:sz w:val="24"/>
                <w:szCs w:val="24"/>
              </w:rPr>
            </w:pPr>
          </w:p>
        </w:tc>
      </w:tr>
    </w:tbl>
    <w:p w:rsidR="007E28F2" w:rsidRPr="005A464E" w:rsidRDefault="007E28F2" w:rsidP="005A464E">
      <w:pPr>
        <w:pStyle w:val="nouk"/>
      </w:pPr>
    </w:p>
    <w:p w:rsidR="007E28F2" w:rsidRDefault="007E28F2" w:rsidP="005A464E">
      <w:pPr>
        <w:pStyle w:val="nouk"/>
      </w:pPr>
      <w:r w:rsidRPr="005A464E">
        <w:t xml:space="preserve">Μετά τη διόρθωση κατά </w:t>
      </w:r>
      <w:r w:rsidRPr="005A464E">
        <w:rPr>
          <w:lang w:val="en-US"/>
        </w:rPr>
        <w:t>Bonferroni</w:t>
      </w:r>
      <w:r w:rsidRPr="005A464E">
        <w:t xml:space="preserve"> δεν βρέθηκε σημαντική διαφορά στη βελτίωση της ποιότητας ζωής των συμμετεχόντων ανάλογα με το νόσημα από το οποίο έπασχαν.</w:t>
      </w:r>
    </w:p>
    <w:p w:rsidR="00651B46" w:rsidRPr="005A464E" w:rsidRDefault="00651B46" w:rsidP="005A464E">
      <w:pPr>
        <w:pStyle w:val="nouk"/>
      </w:pPr>
    </w:p>
    <w:p w:rsidR="007E28F2" w:rsidRPr="005A464E" w:rsidRDefault="007E28F2" w:rsidP="005A464E">
      <w:pPr>
        <w:pStyle w:val="nouk"/>
      </w:pPr>
      <w:r w:rsidRPr="005A464E">
        <w:t xml:space="preserve">Στον πίνακα που ακολουθεί </w:t>
      </w:r>
      <w:r w:rsidR="00F6061C">
        <w:t>(Πίν 32</w:t>
      </w:r>
      <w:r w:rsidR="005E7B34">
        <w:t xml:space="preserve">) </w:t>
      </w:r>
      <w:r w:rsidRPr="005A464E">
        <w:t xml:space="preserve">δίνονται οι συντελεστές συσχέτισης του </w:t>
      </w:r>
      <w:r w:rsidRPr="005A464E">
        <w:rPr>
          <w:lang w:val="en-US"/>
        </w:rPr>
        <w:t>Pearson</w:t>
      </w:r>
      <w:r w:rsidRPr="005A464E">
        <w:t xml:space="preserve"> της μεταβολής στη συνολική βαθμολογία ποιότητας ζωής των ατόμων της ομάδας παρέμβασης με την ηλικία τους, στοιχεία που αφορούν στην ΧΝΝ και </w:t>
      </w:r>
      <w:r w:rsidR="00DE45CF">
        <w:t>αιμοκάθαρση</w:t>
      </w:r>
      <w:r w:rsidRPr="005A464E">
        <w:t xml:space="preserve"> και τον ημερήσιο αριθμό </w:t>
      </w:r>
      <w:r w:rsidR="00B0098B">
        <w:t>δισκίων</w:t>
      </w:r>
      <w:r w:rsidRPr="005A464E">
        <w:t>.</w:t>
      </w:r>
    </w:p>
    <w:p w:rsidR="0025283E" w:rsidRDefault="0025283E" w:rsidP="0025283E">
      <w:pPr>
        <w:spacing w:after="0" w:line="480" w:lineRule="auto"/>
        <w:jc w:val="both"/>
        <w:rPr>
          <w:rFonts w:asciiTheme="minorHAnsi" w:eastAsia="Times New Roman" w:hAnsiTheme="minorHAnsi" w:cs="Arial"/>
          <w:color w:val="000000"/>
        </w:rPr>
      </w:pPr>
    </w:p>
    <w:p w:rsidR="0025283E" w:rsidRPr="00F918EC" w:rsidRDefault="00F6061C" w:rsidP="0025283E">
      <w:pPr>
        <w:spacing w:after="0" w:line="480" w:lineRule="auto"/>
        <w:jc w:val="both"/>
        <w:rPr>
          <w:rFonts w:asciiTheme="minorHAnsi" w:eastAsia="Times New Roman" w:hAnsiTheme="minorHAnsi" w:cs="Arial"/>
          <w:color w:val="000000"/>
        </w:rPr>
      </w:pPr>
      <w:r>
        <w:rPr>
          <w:rFonts w:asciiTheme="minorHAnsi" w:eastAsia="Times New Roman" w:hAnsiTheme="minorHAnsi" w:cs="Arial"/>
          <w:color w:val="000000"/>
        </w:rPr>
        <w:t>Πίνακας 32</w:t>
      </w:r>
      <w:r w:rsidR="0025283E" w:rsidRPr="004B1F82">
        <w:rPr>
          <w:rFonts w:asciiTheme="minorHAnsi" w:eastAsia="Times New Roman" w:hAnsiTheme="minorHAnsi" w:cs="Arial"/>
          <w:color w:val="000000"/>
        </w:rPr>
        <w:t xml:space="preserve"> </w:t>
      </w:r>
    </w:p>
    <w:p w:rsidR="003E649A" w:rsidRPr="001A15D2" w:rsidRDefault="0025283E" w:rsidP="0025283E">
      <w:pPr>
        <w:pStyle w:val="nouk"/>
      </w:pPr>
      <w:r w:rsidRPr="008847F1">
        <w:rPr>
          <w:rFonts w:asciiTheme="minorHAnsi" w:eastAsiaTheme="minorHAnsi" w:hAnsiTheme="minorHAnsi" w:cstheme="minorBidi"/>
          <w:bCs/>
          <w:i/>
          <w:color w:val="000000"/>
        </w:rPr>
        <w:t>Μεταβολή στη συνολική βαθμολογία ποιότητας ζωής των ατόμων της ομάδας παρέμβασης ανάλογα με δημογραφικά και κλινικά στοιχεία</w:t>
      </w:r>
    </w:p>
    <w:tbl>
      <w:tblPr>
        <w:tblStyle w:val="-41"/>
        <w:tblW w:w="7854" w:type="dxa"/>
        <w:jc w:val="center"/>
        <w:tblLook w:val="0400"/>
      </w:tblPr>
      <w:tblGrid>
        <w:gridCol w:w="4735"/>
        <w:gridCol w:w="340"/>
        <w:gridCol w:w="2779"/>
      </w:tblGrid>
      <w:tr w:rsidR="007E28F2" w:rsidRPr="00651B46" w:rsidTr="0025283E">
        <w:trPr>
          <w:cnfStyle w:val="000000100000"/>
          <w:trHeight w:val="285"/>
          <w:jc w:val="center"/>
        </w:trPr>
        <w:tc>
          <w:tcPr>
            <w:tcW w:w="5075" w:type="dxa"/>
            <w:gridSpan w:val="2"/>
            <w:hideMark/>
          </w:tcPr>
          <w:p w:rsidR="007E28F2" w:rsidRPr="00651B46" w:rsidRDefault="007E28F2" w:rsidP="00872FD2">
            <w:pPr>
              <w:spacing w:after="0" w:line="360" w:lineRule="auto"/>
              <w:jc w:val="center"/>
              <w:rPr>
                <w:rFonts w:asciiTheme="minorHAnsi" w:eastAsia="Times New Roman" w:hAnsiTheme="minorHAnsi" w:cstheme="minorHAnsi"/>
                <w:b/>
                <w:bCs/>
                <w:color w:val="000000"/>
                <w:sz w:val="24"/>
                <w:szCs w:val="24"/>
              </w:rPr>
            </w:pPr>
          </w:p>
        </w:tc>
        <w:tc>
          <w:tcPr>
            <w:tcW w:w="2779" w:type="dxa"/>
            <w:hideMark/>
          </w:tcPr>
          <w:p w:rsidR="007E28F2" w:rsidRPr="00651B46" w:rsidRDefault="002B5862" w:rsidP="00872FD2">
            <w:pPr>
              <w:spacing w:after="0" w:line="360" w:lineRule="auto"/>
              <w:jc w:val="center"/>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b/>
                <w:bCs/>
                <w:color w:val="000000"/>
                <w:sz w:val="24"/>
                <w:szCs w:val="24"/>
              </w:rPr>
              <w:t>Συνολικό σκορ</w:t>
            </w:r>
            <w:r w:rsidR="007E28F2" w:rsidRPr="00651B46">
              <w:rPr>
                <w:rFonts w:asciiTheme="minorHAnsi" w:eastAsia="Times New Roman" w:hAnsiTheme="minorHAnsi" w:cstheme="minorHAnsi"/>
                <w:b/>
                <w:bCs/>
                <w:color w:val="000000"/>
                <w:sz w:val="24"/>
                <w:szCs w:val="24"/>
              </w:rPr>
              <w:t xml:space="preserve"> (μεταβολή)</w:t>
            </w:r>
          </w:p>
        </w:tc>
      </w:tr>
      <w:tr w:rsidR="007E28F2" w:rsidRPr="00651B46" w:rsidTr="0025283E">
        <w:trPr>
          <w:cnfStyle w:val="000000010000"/>
          <w:trHeight w:val="285"/>
          <w:jc w:val="center"/>
        </w:trPr>
        <w:tc>
          <w:tcPr>
            <w:tcW w:w="4738" w:type="dxa"/>
            <w:vMerge w:val="restart"/>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Ηλικία</w:t>
            </w:r>
          </w:p>
        </w:tc>
        <w:tc>
          <w:tcPr>
            <w:tcW w:w="337"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r</w:t>
            </w:r>
          </w:p>
        </w:tc>
        <w:tc>
          <w:tcPr>
            <w:tcW w:w="2779"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0,56</w:t>
            </w:r>
          </w:p>
        </w:tc>
      </w:tr>
      <w:tr w:rsidR="007E28F2" w:rsidRPr="00651B46" w:rsidTr="0025283E">
        <w:trPr>
          <w:cnfStyle w:val="000000100000"/>
          <w:trHeight w:val="285"/>
          <w:jc w:val="center"/>
        </w:trPr>
        <w:tc>
          <w:tcPr>
            <w:tcW w:w="4738"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337"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P</w:t>
            </w:r>
          </w:p>
        </w:tc>
        <w:tc>
          <w:tcPr>
            <w:tcW w:w="2779" w:type="dxa"/>
            <w:noWrap/>
            <w:hideMark/>
          </w:tcPr>
          <w:p w:rsidR="007E28F2" w:rsidRPr="00651B46" w:rsidRDefault="007E28F2" w:rsidP="00872FD2">
            <w:pPr>
              <w:spacing w:after="0" w:line="360" w:lineRule="auto"/>
              <w:jc w:val="center"/>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b/>
                <w:bCs/>
                <w:color w:val="000000"/>
                <w:sz w:val="24"/>
                <w:szCs w:val="24"/>
              </w:rPr>
              <w:t>0,003</w:t>
            </w:r>
          </w:p>
        </w:tc>
      </w:tr>
      <w:tr w:rsidR="007E28F2" w:rsidRPr="00651B46" w:rsidTr="0025283E">
        <w:trPr>
          <w:cnfStyle w:val="000000010000"/>
          <w:trHeight w:val="285"/>
          <w:jc w:val="center"/>
        </w:trPr>
        <w:tc>
          <w:tcPr>
            <w:tcW w:w="4738" w:type="dxa"/>
            <w:vMerge w:val="restart"/>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Έτη από διάγνωση ΧΝΝ</w:t>
            </w:r>
          </w:p>
        </w:tc>
        <w:tc>
          <w:tcPr>
            <w:tcW w:w="337"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r</w:t>
            </w:r>
          </w:p>
        </w:tc>
        <w:tc>
          <w:tcPr>
            <w:tcW w:w="2779"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-0,07</w:t>
            </w:r>
          </w:p>
        </w:tc>
      </w:tr>
      <w:tr w:rsidR="007E28F2" w:rsidRPr="00651B46" w:rsidTr="0025283E">
        <w:trPr>
          <w:cnfStyle w:val="000000100000"/>
          <w:trHeight w:val="285"/>
          <w:jc w:val="center"/>
        </w:trPr>
        <w:tc>
          <w:tcPr>
            <w:tcW w:w="4738"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337"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P</w:t>
            </w:r>
          </w:p>
        </w:tc>
        <w:tc>
          <w:tcPr>
            <w:tcW w:w="2779"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0,752</w:t>
            </w:r>
          </w:p>
        </w:tc>
      </w:tr>
      <w:tr w:rsidR="007E28F2" w:rsidRPr="00651B46" w:rsidTr="0025283E">
        <w:trPr>
          <w:cnfStyle w:val="000000010000"/>
          <w:trHeight w:val="285"/>
          <w:jc w:val="center"/>
        </w:trPr>
        <w:tc>
          <w:tcPr>
            <w:tcW w:w="4738" w:type="dxa"/>
            <w:vMerge w:val="restart"/>
            <w:hideMark/>
          </w:tcPr>
          <w:p w:rsidR="007E28F2" w:rsidRPr="00651B46" w:rsidRDefault="00A27068"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Έτη υπό</w:t>
            </w:r>
            <w:r w:rsidR="007E28F2" w:rsidRPr="00651B46">
              <w:rPr>
                <w:rFonts w:asciiTheme="minorHAnsi" w:eastAsia="Times New Roman" w:hAnsiTheme="minorHAnsi" w:cstheme="minorHAnsi"/>
                <w:color w:val="000000"/>
                <w:sz w:val="24"/>
                <w:szCs w:val="24"/>
              </w:rPr>
              <w:t xml:space="preserve"> </w:t>
            </w:r>
            <w:r w:rsidRPr="00651B46">
              <w:rPr>
                <w:rFonts w:asciiTheme="minorHAnsi" w:eastAsia="Times New Roman" w:hAnsiTheme="minorHAnsi" w:cstheme="minorHAnsi"/>
                <w:color w:val="000000"/>
                <w:sz w:val="24"/>
                <w:szCs w:val="24"/>
              </w:rPr>
              <w:t>αιμοκάθαρση</w:t>
            </w:r>
          </w:p>
        </w:tc>
        <w:tc>
          <w:tcPr>
            <w:tcW w:w="337"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r</w:t>
            </w:r>
          </w:p>
        </w:tc>
        <w:tc>
          <w:tcPr>
            <w:tcW w:w="2779"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0,20</w:t>
            </w:r>
          </w:p>
        </w:tc>
      </w:tr>
      <w:tr w:rsidR="007E28F2" w:rsidRPr="00651B46" w:rsidTr="0025283E">
        <w:trPr>
          <w:cnfStyle w:val="000000100000"/>
          <w:trHeight w:val="285"/>
          <w:jc w:val="center"/>
        </w:trPr>
        <w:tc>
          <w:tcPr>
            <w:tcW w:w="4738"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337"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P</w:t>
            </w:r>
          </w:p>
        </w:tc>
        <w:tc>
          <w:tcPr>
            <w:tcW w:w="2779"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0,350</w:t>
            </w:r>
          </w:p>
        </w:tc>
      </w:tr>
      <w:tr w:rsidR="007E28F2" w:rsidRPr="00651B46" w:rsidTr="0025283E">
        <w:trPr>
          <w:cnfStyle w:val="000000010000"/>
          <w:trHeight w:val="285"/>
          <w:jc w:val="center"/>
        </w:trPr>
        <w:tc>
          <w:tcPr>
            <w:tcW w:w="4738" w:type="dxa"/>
            <w:vMerge w:val="restart"/>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 xml:space="preserve">Διάρκεια </w:t>
            </w:r>
            <w:r w:rsidR="00A27068" w:rsidRPr="00651B46">
              <w:rPr>
                <w:rFonts w:asciiTheme="minorHAnsi" w:eastAsia="Times New Roman" w:hAnsiTheme="minorHAnsi" w:cstheme="minorHAnsi"/>
                <w:color w:val="000000"/>
                <w:sz w:val="24"/>
                <w:szCs w:val="24"/>
              </w:rPr>
              <w:t xml:space="preserve">αιμοκάθαρσης </w:t>
            </w:r>
            <w:r w:rsidRPr="00651B46">
              <w:rPr>
                <w:rFonts w:asciiTheme="minorHAnsi" w:eastAsia="Times New Roman" w:hAnsiTheme="minorHAnsi" w:cstheme="minorHAnsi"/>
                <w:color w:val="000000"/>
                <w:sz w:val="24"/>
                <w:szCs w:val="24"/>
              </w:rPr>
              <w:t>(ώρες)</w:t>
            </w:r>
          </w:p>
        </w:tc>
        <w:tc>
          <w:tcPr>
            <w:tcW w:w="337"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r</w:t>
            </w:r>
          </w:p>
        </w:tc>
        <w:tc>
          <w:tcPr>
            <w:tcW w:w="2779"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-0,10</w:t>
            </w:r>
          </w:p>
        </w:tc>
      </w:tr>
      <w:tr w:rsidR="007E28F2" w:rsidRPr="00651B46" w:rsidTr="0025283E">
        <w:trPr>
          <w:cnfStyle w:val="000000100000"/>
          <w:trHeight w:val="285"/>
          <w:jc w:val="center"/>
        </w:trPr>
        <w:tc>
          <w:tcPr>
            <w:tcW w:w="4738"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337"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P</w:t>
            </w:r>
          </w:p>
        </w:tc>
        <w:tc>
          <w:tcPr>
            <w:tcW w:w="2779"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0,621</w:t>
            </w:r>
          </w:p>
        </w:tc>
      </w:tr>
      <w:tr w:rsidR="007E28F2" w:rsidRPr="00651B46" w:rsidTr="0025283E">
        <w:trPr>
          <w:cnfStyle w:val="000000010000"/>
          <w:trHeight w:val="285"/>
          <w:jc w:val="center"/>
        </w:trPr>
        <w:tc>
          <w:tcPr>
            <w:tcW w:w="4738" w:type="dxa"/>
            <w:vMerge w:val="restart"/>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 xml:space="preserve">Εβδομαδιαίος αριθμός συνεδριών </w:t>
            </w:r>
            <w:r w:rsidR="00DE45CF" w:rsidRPr="00651B46">
              <w:rPr>
                <w:rFonts w:asciiTheme="minorHAnsi" w:eastAsia="Times New Roman" w:hAnsiTheme="minorHAnsi" w:cstheme="minorHAnsi"/>
                <w:color w:val="000000"/>
                <w:sz w:val="24"/>
                <w:szCs w:val="24"/>
              </w:rPr>
              <w:t>αιμοκάθαρσης</w:t>
            </w:r>
          </w:p>
        </w:tc>
        <w:tc>
          <w:tcPr>
            <w:tcW w:w="337"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r</w:t>
            </w:r>
          </w:p>
        </w:tc>
        <w:tc>
          <w:tcPr>
            <w:tcW w:w="2779"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0,03</w:t>
            </w:r>
          </w:p>
        </w:tc>
      </w:tr>
      <w:tr w:rsidR="007E28F2" w:rsidRPr="00651B46" w:rsidTr="0025283E">
        <w:trPr>
          <w:cnfStyle w:val="000000100000"/>
          <w:trHeight w:val="285"/>
          <w:jc w:val="center"/>
        </w:trPr>
        <w:tc>
          <w:tcPr>
            <w:tcW w:w="4738"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337"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P</w:t>
            </w:r>
          </w:p>
        </w:tc>
        <w:tc>
          <w:tcPr>
            <w:tcW w:w="2779"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0,883</w:t>
            </w:r>
          </w:p>
        </w:tc>
      </w:tr>
      <w:tr w:rsidR="007E28F2" w:rsidRPr="00651B46" w:rsidTr="0025283E">
        <w:trPr>
          <w:cnfStyle w:val="000000010000"/>
          <w:trHeight w:val="285"/>
          <w:jc w:val="center"/>
        </w:trPr>
        <w:tc>
          <w:tcPr>
            <w:tcW w:w="4738" w:type="dxa"/>
            <w:vMerge w:val="restart"/>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 xml:space="preserve">Ημερήσιος αριθμός </w:t>
            </w:r>
            <w:r w:rsidR="00B0098B">
              <w:rPr>
                <w:rFonts w:asciiTheme="minorHAnsi" w:eastAsia="Times New Roman" w:hAnsiTheme="minorHAnsi" w:cstheme="minorHAnsi"/>
                <w:color w:val="000000"/>
                <w:sz w:val="24"/>
                <w:szCs w:val="24"/>
              </w:rPr>
              <w:t>δισκίων</w:t>
            </w:r>
          </w:p>
        </w:tc>
        <w:tc>
          <w:tcPr>
            <w:tcW w:w="337"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r</w:t>
            </w:r>
          </w:p>
        </w:tc>
        <w:tc>
          <w:tcPr>
            <w:tcW w:w="2779"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-0,07</w:t>
            </w:r>
          </w:p>
        </w:tc>
      </w:tr>
      <w:tr w:rsidR="007E28F2" w:rsidRPr="00651B46" w:rsidTr="0025283E">
        <w:trPr>
          <w:cnfStyle w:val="000000100000"/>
          <w:trHeight w:val="285"/>
          <w:jc w:val="center"/>
        </w:trPr>
        <w:tc>
          <w:tcPr>
            <w:tcW w:w="4738"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337"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P</w:t>
            </w:r>
          </w:p>
        </w:tc>
        <w:tc>
          <w:tcPr>
            <w:tcW w:w="2779" w:type="dxa"/>
            <w:noWrap/>
            <w:hideMark/>
          </w:tcPr>
          <w:p w:rsidR="007E28F2" w:rsidRPr="00651B46" w:rsidRDefault="007E28F2" w:rsidP="00872FD2">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0,739</w:t>
            </w:r>
          </w:p>
        </w:tc>
      </w:tr>
    </w:tbl>
    <w:p w:rsidR="00A86545" w:rsidRDefault="00A86545" w:rsidP="005A464E">
      <w:pPr>
        <w:spacing w:line="360" w:lineRule="auto"/>
        <w:rPr>
          <w:sz w:val="24"/>
          <w:szCs w:val="24"/>
        </w:rPr>
      </w:pPr>
    </w:p>
    <w:p w:rsidR="00651B46" w:rsidRDefault="00651B46" w:rsidP="005A464E">
      <w:pPr>
        <w:spacing w:line="360" w:lineRule="auto"/>
        <w:rPr>
          <w:sz w:val="24"/>
          <w:szCs w:val="24"/>
        </w:rPr>
      </w:pPr>
    </w:p>
    <w:p w:rsidR="00651B46" w:rsidRPr="00651B46" w:rsidRDefault="00651B46" w:rsidP="005A464E">
      <w:pPr>
        <w:spacing w:line="360" w:lineRule="auto"/>
        <w:rPr>
          <w:sz w:val="24"/>
          <w:szCs w:val="24"/>
        </w:rPr>
      </w:pPr>
    </w:p>
    <w:p w:rsidR="007E28F2" w:rsidRPr="005A464E" w:rsidRDefault="007E28F2" w:rsidP="005A464E">
      <w:pPr>
        <w:spacing w:line="360" w:lineRule="auto"/>
        <w:rPr>
          <w:rFonts w:cstheme="minorHAnsi"/>
          <w:sz w:val="24"/>
          <w:szCs w:val="24"/>
        </w:rPr>
      </w:pPr>
      <w:r w:rsidRPr="005A464E">
        <w:rPr>
          <w:sz w:val="24"/>
          <w:szCs w:val="24"/>
        </w:rPr>
        <w:t xml:space="preserve">Στο παρακάτω γράφημα </w:t>
      </w:r>
      <w:r w:rsidR="005E7B34">
        <w:rPr>
          <w:sz w:val="24"/>
          <w:szCs w:val="24"/>
        </w:rPr>
        <w:t xml:space="preserve">(Γρ 11) </w:t>
      </w:r>
      <w:r w:rsidRPr="005A464E">
        <w:rPr>
          <w:sz w:val="24"/>
          <w:szCs w:val="24"/>
        </w:rPr>
        <w:t>δίνεται η συσχέτιση της ηλικίας των συμμετεχόντων με τη μεταβολή στη συνολική βαθμολογία ποιότητα ζωής.</w:t>
      </w:r>
    </w:p>
    <w:p w:rsidR="007E28F2" w:rsidRPr="005A464E" w:rsidRDefault="007E28F2" w:rsidP="005A464E">
      <w:pPr>
        <w:pStyle w:val="nouk"/>
      </w:pPr>
    </w:p>
    <w:p w:rsidR="007E28F2" w:rsidRPr="005A464E" w:rsidRDefault="00464728" w:rsidP="00651B46">
      <w:pPr>
        <w:pStyle w:val="nouk"/>
        <w:jc w:val="center"/>
      </w:pPr>
      <w:r>
        <w:rPr>
          <w:noProof/>
          <w:lang w:eastAsia="el-GR"/>
        </w:rPr>
        <w:drawing>
          <wp:inline distT="0" distB="0" distL="0" distR="0">
            <wp:extent cx="3600450" cy="2876550"/>
            <wp:effectExtent l="19050" t="0" r="0" b="0"/>
            <wp:docPr id="11" name="Εικόνα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6" cstate="print"/>
                    <a:srcRect/>
                    <a:stretch>
                      <a:fillRect/>
                    </a:stretch>
                  </pic:blipFill>
                  <pic:spPr bwMode="auto">
                    <a:xfrm>
                      <a:off x="0" y="0"/>
                      <a:ext cx="3600450" cy="2876550"/>
                    </a:xfrm>
                    <a:prstGeom prst="rect">
                      <a:avLst/>
                    </a:prstGeom>
                    <a:noFill/>
                    <a:ln w="9525">
                      <a:noFill/>
                      <a:miter lim="800000"/>
                      <a:headEnd/>
                      <a:tailEnd/>
                    </a:ln>
                  </pic:spPr>
                </pic:pic>
              </a:graphicData>
            </a:graphic>
          </wp:inline>
        </w:drawing>
      </w:r>
    </w:p>
    <w:p w:rsidR="007E28F2" w:rsidRPr="002B5862" w:rsidRDefault="005E7B34" w:rsidP="002B5862">
      <w:pPr>
        <w:spacing w:line="360" w:lineRule="auto"/>
        <w:rPr>
          <w:rFonts w:cstheme="minorHAnsi"/>
          <w:sz w:val="24"/>
          <w:szCs w:val="24"/>
        </w:rPr>
      </w:pPr>
      <w:r w:rsidRPr="00846E7B">
        <w:rPr>
          <w:i/>
          <w:sz w:val="24"/>
          <w:szCs w:val="24"/>
        </w:rPr>
        <w:t>Γράφημα 11</w:t>
      </w:r>
      <w:r w:rsidR="0078495A">
        <w:rPr>
          <w:i/>
          <w:sz w:val="24"/>
          <w:szCs w:val="24"/>
        </w:rPr>
        <w:t xml:space="preserve"> </w:t>
      </w:r>
      <w:r>
        <w:rPr>
          <w:sz w:val="24"/>
          <w:szCs w:val="24"/>
        </w:rPr>
        <w:t>Σ</w:t>
      </w:r>
      <w:r w:rsidRPr="005A464E">
        <w:rPr>
          <w:sz w:val="24"/>
          <w:szCs w:val="24"/>
        </w:rPr>
        <w:t>υσχέτιση της ηλικίας των συμμετεχόντων με τη μεταβολή στη συνολική βαθμολογία ποιότητα ζωής.</w:t>
      </w:r>
    </w:p>
    <w:p w:rsidR="007E28F2" w:rsidRPr="005A464E" w:rsidRDefault="007E28F2" w:rsidP="005A464E">
      <w:pPr>
        <w:pStyle w:val="nouk"/>
      </w:pPr>
    </w:p>
    <w:p w:rsidR="007E28F2" w:rsidRPr="00651B46" w:rsidRDefault="00D225F5" w:rsidP="002B5862">
      <w:pPr>
        <w:spacing w:line="360" w:lineRule="auto"/>
        <w:rPr>
          <w:rFonts w:cstheme="minorHAnsi"/>
          <w:sz w:val="24"/>
          <w:szCs w:val="24"/>
        </w:rPr>
      </w:pPr>
      <w:r w:rsidRPr="00651B46">
        <w:rPr>
          <w:b/>
          <w:sz w:val="24"/>
          <w:szCs w:val="24"/>
        </w:rPr>
        <w:t>Δείγμα 321 ατόμων</w:t>
      </w:r>
    </w:p>
    <w:p w:rsidR="0025283E" w:rsidRDefault="007E28F2" w:rsidP="005A464E">
      <w:pPr>
        <w:pStyle w:val="nouk"/>
      </w:pPr>
      <w:r w:rsidRPr="005A464E">
        <w:t>Καταγράφηκαν στοιχεία 321 ατόμων, δημογραφικά στοιχεία των οποίων δίνονται στον πίνακα που ακολουθεί</w:t>
      </w:r>
      <w:r w:rsidR="00F6061C">
        <w:t xml:space="preserve"> (Πίν 33</w:t>
      </w:r>
      <w:r w:rsidR="00554B38">
        <w:t>)</w:t>
      </w:r>
      <w:r w:rsidRPr="005A464E">
        <w:t xml:space="preserve">. </w:t>
      </w:r>
    </w:p>
    <w:p w:rsidR="00651B46" w:rsidRPr="005A464E" w:rsidRDefault="00651B46" w:rsidP="005A464E">
      <w:pPr>
        <w:pStyle w:val="nouk"/>
      </w:pPr>
    </w:p>
    <w:p w:rsidR="0025283E" w:rsidRPr="00651B46" w:rsidRDefault="00F6061C" w:rsidP="0025283E">
      <w:pPr>
        <w:spacing w:after="0" w:line="360" w:lineRule="auto"/>
        <w:contextualSpacing/>
        <w:jc w:val="both"/>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Πίνακας 33</w:t>
      </w:r>
    </w:p>
    <w:p w:rsidR="007E28F2" w:rsidRPr="005A464E" w:rsidRDefault="0025283E" w:rsidP="0025283E">
      <w:pPr>
        <w:pStyle w:val="nouk"/>
      </w:pPr>
      <w:r w:rsidRPr="00651B46">
        <w:rPr>
          <w:rFonts w:asciiTheme="minorHAnsi" w:eastAsiaTheme="minorHAnsi" w:hAnsiTheme="minorHAnsi" w:cstheme="minorBidi"/>
          <w:bCs/>
          <w:i/>
          <w:color w:val="000000"/>
        </w:rPr>
        <w:t>Δημογραφικά στοιχεία των</w:t>
      </w:r>
      <w:r w:rsidRPr="008847F1">
        <w:rPr>
          <w:rFonts w:asciiTheme="minorHAnsi" w:eastAsiaTheme="minorHAnsi" w:hAnsiTheme="minorHAnsi" w:cstheme="minorBidi"/>
          <w:bCs/>
          <w:i/>
          <w:color w:val="000000"/>
        </w:rPr>
        <w:t xml:space="preserve"> συμμετεχόντων (Ν=321</w:t>
      </w:r>
      <w:r w:rsidRPr="00872FD2">
        <w:rPr>
          <w:rFonts w:asciiTheme="minorHAnsi" w:eastAsiaTheme="minorHAnsi" w:hAnsiTheme="minorHAnsi" w:cstheme="minorBidi"/>
          <w:bCs/>
          <w:color w:val="000000"/>
        </w:rPr>
        <w:t>)</w:t>
      </w:r>
    </w:p>
    <w:tbl>
      <w:tblPr>
        <w:tblStyle w:val="-41"/>
        <w:tblW w:w="7382" w:type="dxa"/>
        <w:jc w:val="center"/>
        <w:tblLook w:val="0400"/>
      </w:tblPr>
      <w:tblGrid>
        <w:gridCol w:w="2749"/>
        <w:gridCol w:w="2408"/>
        <w:gridCol w:w="1337"/>
        <w:gridCol w:w="888"/>
      </w:tblGrid>
      <w:tr w:rsidR="007E28F2" w:rsidRPr="00651B46" w:rsidTr="0025283E">
        <w:trPr>
          <w:cnfStyle w:val="000000100000"/>
          <w:trHeight w:val="285"/>
          <w:jc w:val="center"/>
        </w:trPr>
        <w:tc>
          <w:tcPr>
            <w:tcW w:w="5157" w:type="dxa"/>
            <w:gridSpan w:val="2"/>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1337" w:type="dxa"/>
            <w:hideMark/>
          </w:tcPr>
          <w:p w:rsidR="007E28F2" w:rsidRPr="00651B46" w:rsidRDefault="007E28F2" w:rsidP="00872FD2">
            <w:pPr>
              <w:spacing w:after="0" w:line="360" w:lineRule="auto"/>
              <w:contextualSpacing/>
              <w:jc w:val="center"/>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b/>
                <w:bCs/>
                <w:color w:val="000000"/>
                <w:sz w:val="24"/>
                <w:szCs w:val="24"/>
              </w:rPr>
              <w:t>Ν</w:t>
            </w:r>
          </w:p>
        </w:tc>
        <w:tc>
          <w:tcPr>
            <w:tcW w:w="888" w:type="dxa"/>
            <w:hideMark/>
          </w:tcPr>
          <w:p w:rsidR="007E28F2" w:rsidRPr="00651B46" w:rsidRDefault="007E28F2" w:rsidP="00872FD2">
            <w:pPr>
              <w:spacing w:after="0" w:line="360" w:lineRule="auto"/>
              <w:contextualSpacing/>
              <w:jc w:val="center"/>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b/>
                <w:bCs/>
                <w:color w:val="000000"/>
                <w:sz w:val="24"/>
                <w:szCs w:val="24"/>
              </w:rPr>
              <w:t>%</w:t>
            </w:r>
          </w:p>
        </w:tc>
      </w:tr>
      <w:tr w:rsidR="007E28F2" w:rsidRPr="00651B46" w:rsidTr="0025283E">
        <w:trPr>
          <w:cnfStyle w:val="000000010000"/>
          <w:trHeight w:val="285"/>
          <w:jc w:val="center"/>
        </w:trPr>
        <w:tc>
          <w:tcPr>
            <w:tcW w:w="5157" w:type="dxa"/>
            <w:gridSpan w:val="2"/>
            <w:hideMark/>
          </w:tcPr>
          <w:p w:rsidR="007E28F2" w:rsidRPr="00651B46" w:rsidRDefault="00540593"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Ηλικία, Μέση Τ</w:t>
            </w:r>
            <w:r w:rsidR="007E28F2" w:rsidRPr="00651B46">
              <w:rPr>
                <w:rFonts w:asciiTheme="minorHAnsi" w:eastAsia="Times New Roman" w:hAnsiTheme="minorHAnsi" w:cstheme="minorHAnsi"/>
                <w:color w:val="000000"/>
                <w:sz w:val="24"/>
                <w:szCs w:val="24"/>
              </w:rPr>
              <w:t>ιμή (</w:t>
            </w:r>
            <w:r w:rsidR="00D225F5" w:rsidRPr="00651B46">
              <w:rPr>
                <w:rFonts w:asciiTheme="minorHAnsi" w:eastAsia="Times New Roman" w:hAnsiTheme="minorHAnsi" w:cstheme="minorHAnsi"/>
                <w:color w:val="000000"/>
                <w:sz w:val="24"/>
                <w:szCs w:val="24"/>
              </w:rPr>
              <w:t>ΤΑ</w:t>
            </w:r>
            <w:r w:rsidR="007E28F2" w:rsidRPr="00651B46">
              <w:rPr>
                <w:rFonts w:asciiTheme="minorHAnsi" w:eastAsia="Times New Roman" w:hAnsiTheme="minorHAnsi" w:cstheme="minorHAnsi"/>
                <w:color w:val="000000"/>
                <w:sz w:val="24"/>
                <w:szCs w:val="24"/>
              </w:rPr>
              <w:t>)</w:t>
            </w:r>
          </w:p>
        </w:tc>
        <w:tc>
          <w:tcPr>
            <w:tcW w:w="1337" w:type="dxa"/>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56,5 (10,0)</w:t>
            </w:r>
          </w:p>
        </w:tc>
        <w:tc>
          <w:tcPr>
            <w:tcW w:w="888" w:type="dxa"/>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highlight w:val="green"/>
              </w:rPr>
            </w:pPr>
          </w:p>
        </w:tc>
      </w:tr>
      <w:tr w:rsidR="007E28F2" w:rsidRPr="00651B46" w:rsidTr="0025283E">
        <w:trPr>
          <w:cnfStyle w:val="000000100000"/>
          <w:trHeight w:val="285"/>
          <w:jc w:val="center"/>
        </w:trPr>
        <w:tc>
          <w:tcPr>
            <w:tcW w:w="2932" w:type="dxa"/>
            <w:vMerge w:val="restart"/>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Φύλο</w:t>
            </w: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Άνδρας</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206</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65,0</w:t>
            </w:r>
          </w:p>
        </w:tc>
      </w:tr>
      <w:tr w:rsidR="007E28F2" w:rsidRPr="00651B46" w:rsidTr="0025283E">
        <w:trPr>
          <w:cnfStyle w:val="000000010000"/>
          <w:trHeight w:val="285"/>
          <w:jc w:val="center"/>
        </w:trPr>
        <w:tc>
          <w:tcPr>
            <w:tcW w:w="2932"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Γυναίκα</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111</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35,0</w:t>
            </w:r>
          </w:p>
        </w:tc>
      </w:tr>
      <w:tr w:rsidR="007E28F2" w:rsidRPr="00651B46" w:rsidTr="0025283E">
        <w:trPr>
          <w:cnfStyle w:val="000000100000"/>
          <w:trHeight w:val="285"/>
          <w:jc w:val="center"/>
        </w:trPr>
        <w:tc>
          <w:tcPr>
            <w:tcW w:w="2932" w:type="dxa"/>
            <w:vMerge w:val="restart"/>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Τόπος διαμονής</w:t>
            </w: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Αγροτικός</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87</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27,8</w:t>
            </w:r>
          </w:p>
        </w:tc>
      </w:tr>
      <w:tr w:rsidR="007E28F2" w:rsidRPr="00651B46" w:rsidTr="0025283E">
        <w:trPr>
          <w:cnfStyle w:val="000000010000"/>
          <w:trHeight w:val="285"/>
          <w:jc w:val="center"/>
        </w:trPr>
        <w:tc>
          <w:tcPr>
            <w:tcW w:w="2932"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Ημιαστικός</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27</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8,6</w:t>
            </w:r>
          </w:p>
        </w:tc>
      </w:tr>
      <w:tr w:rsidR="007E28F2" w:rsidRPr="00651B46" w:rsidTr="0025283E">
        <w:trPr>
          <w:cnfStyle w:val="000000100000"/>
          <w:trHeight w:val="285"/>
          <w:jc w:val="center"/>
        </w:trPr>
        <w:tc>
          <w:tcPr>
            <w:tcW w:w="2932"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225" w:type="dxa"/>
            <w:hideMark/>
          </w:tcPr>
          <w:p w:rsidR="007E28F2" w:rsidRPr="00651B46" w:rsidRDefault="00BA566F"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Ά</w:t>
            </w:r>
            <w:r w:rsidR="007E28F2" w:rsidRPr="00651B46">
              <w:rPr>
                <w:rFonts w:asciiTheme="minorHAnsi" w:eastAsia="Times New Roman" w:hAnsiTheme="minorHAnsi" w:cstheme="minorHAnsi"/>
                <w:color w:val="000000"/>
                <w:sz w:val="24"/>
                <w:szCs w:val="24"/>
              </w:rPr>
              <w:t>στικός</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199</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63,6</w:t>
            </w:r>
          </w:p>
        </w:tc>
      </w:tr>
      <w:tr w:rsidR="007E28F2" w:rsidRPr="00651B46" w:rsidTr="0025283E">
        <w:trPr>
          <w:cnfStyle w:val="000000010000"/>
          <w:trHeight w:val="285"/>
          <w:jc w:val="center"/>
        </w:trPr>
        <w:tc>
          <w:tcPr>
            <w:tcW w:w="2932" w:type="dxa"/>
            <w:vMerge w:val="restart"/>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Οικογενειακή κατάσταση</w:t>
            </w:r>
          </w:p>
        </w:tc>
        <w:tc>
          <w:tcPr>
            <w:tcW w:w="2225" w:type="dxa"/>
            <w:hideMark/>
          </w:tcPr>
          <w:p w:rsidR="007E28F2" w:rsidRPr="00651B46" w:rsidRDefault="00BA566F"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‘Α</w:t>
            </w:r>
            <w:r w:rsidR="007E28F2" w:rsidRPr="00651B46">
              <w:rPr>
                <w:rFonts w:asciiTheme="minorHAnsi" w:eastAsia="Times New Roman" w:hAnsiTheme="minorHAnsi" w:cstheme="minorHAnsi"/>
                <w:color w:val="000000"/>
                <w:sz w:val="24"/>
                <w:szCs w:val="24"/>
              </w:rPr>
              <w:t>γαμος</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71</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22,3</w:t>
            </w:r>
          </w:p>
        </w:tc>
      </w:tr>
      <w:tr w:rsidR="007E28F2" w:rsidRPr="00651B46" w:rsidTr="0025283E">
        <w:trPr>
          <w:cnfStyle w:val="000000100000"/>
          <w:trHeight w:val="285"/>
          <w:jc w:val="center"/>
        </w:trPr>
        <w:tc>
          <w:tcPr>
            <w:tcW w:w="2932"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Εγγαμος</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177</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55,7</w:t>
            </w:r>
          </w:p>
        </w:tc>
      </w:tr>
      <w:tr w:rsidR="007E28F2" w:rsidRPr="00651B46" w:rsidTr="0025283E">
        <w:trPr>
          <w:cnfStyle w:val="000000010000"/>
          <w:trHeight w:val="285"/>
          <w:jc w:val="center"/>
        </w:trPr>
        <w:tc>
          <w:tcPr>
            <w:tcW w:w="2932"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Διαζευγμένος</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27</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8,5</w:t>
            </w:r>
          </w:p>
        </w:tc>
      </w:tr>
      <w:tr w:rsidR="007E28F2" w:rsidRPr="00651B46" w:rsidTr="0025283E">
        <w:trPr>
          <w:cnfStyle w:val="000000100000"/>
          <w:trHeight w:val="285"/>
          <w:jc w:val="center"/>
        </w:trPr>
        <w:tc>
          <w:tcPr>
            <w:tcW w:w="2932"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Χήρος</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43</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13,5</w:t>
            </w:r>
          </w:p>
        </w:tc>
      </w:tr>
      <w:tr w:rsidR="007E28F2" w:rsidRPr="00651B46" w:rsidTr="0025283E">
        <w:trPr>
          <w:cnfStyle w:val="000000010000"/>
          <w:trHeight w:val="285"/>
          <w:jc w:val="center"/>
        </w:trPr>
        <w:tc>
          <w:tcPr>
            <w:tcW w:w="2932" w:type="dxa"/>
            <w:vMerge w:val="restart"/>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Παιδιά</w:t>
            </w: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Όχι</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90</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28,3</w:t>
            </w:r>
          </w:p>
        </w:tc>
      </w:tr>
      <w:tr w:rsidR="007E28F2" w:rsidRPr="00651B46" w:rsidTr="0025283E">
        <w:trPr>
          <w:cnfStyle w:val="000000100000"/>
          <w:trHeight w:val="285"/>
          <w:jc w:val="center"/>
        </w:trPr>
        <w:tc>
          <w:tcPr>
            <w:tcW w:w="2932"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Ναι</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228</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71,7</w:t>
            </w:r>
          </w:p>
        </w:tc>
      </w:tr>
      <w:tr w:rsidR="007E28F2" w:rsidRPr="00651B46" w:rsidTr="0025283E">
        <w:trPr>
          <w:cnfStyle w:val="000000010000"/>
          <w:trHeight w:val="285"/>
          <w:jc w:val="center"/>
        </w:trPr>
        <w:tc>
          <w:tcPr>
            <w:tcW w:w="2932" w:type="dxa"/>
            <w:vMerge w:val="restart"/>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Αριθμός παιδιών</w:t>
            </w: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1</w:t>
            </w:r>
          </w:p>
        </w:tc>
        <w:tc>
          <w:tcPr>
            <w:tcW w:w="1337" w:type="dxa"/>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67</w:t>
            </w:r>
          </w:p>
        </w:tc>
        <w:tc>
          <w:tcPr>
            <w:tcW w:w="888" w:type="dxa"/>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29,4</w:t>
            </w:r>
          </w:p>
        </w:tc>
      </w:tr>
      <w:tr w:rsidR="007E28F2" w:rsidRPr="00651B46" w:rsidTr="0025283E">
        <w:trPr>
          <w:cnfStyle w:val="000000100000"/>
          <w:trHeight w:val="285"/>
          <w:jc w:val="center"/>
        </w:trPr>
        <w:tc>
          <w:tcPr>
            <w:tcW w:w="2932"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2</w:t>
            </w:r>
          </w:p>
        </w:tc>
        <w:tc>
          <w:tcPr>
            <w:tcW w:w="1337" w:type="dxa"/>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108</w:t>
            </w:r>
          </w:p>
        </w:tc>
        <w:tc>
          <w:tcPr>
            <w:tcW w:w="888" w:type="dxa"/>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47,4</w:t>
            </w:r>
          </w:p>
        </w:tc>
      </w:tr>
      <w:tr w:rsidR="007E28F2" w:rsidRPr="00651B46" w:rsidTr="0025283E">
        <w:trPr>
          <w:cnfStyle w:val="000000010000"/>
          <w:trHeight w:val="285"/>
          <w:jc w:val="center"/>
        </w:trPr>
        <w:tc>
          <w:tcPr>
            <w:tcW w:w="2932"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2+</w:t>
            </w:r>
          </w:p>
        </w:tc>
        <w:tc>
          <w:tcPr>
            <w:tcW w:w="1337" w:type="dxa"/>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53</w:t>
            </w:r>
          </w:p>
        </w:tc>
        <w:tc>
          <w:tcPr>
            <w:tcW w:w="888" w:type="dxa"/>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23,2</w:t>
            </w:r>
          </w:p>
        </w:tc>
      </w:tr>
      <w:tr w:rsidR="007E28F2" w:rsidRPr="00651B46" w:rsidTr="0025283E">
        <w:trPr>
          <w:cnfStyle w:val="000000100000"/>
          <w:trHeight w:val="285"/>
          <w:jc w:val="center"/>
        </w:trPr>
        <w:tc>
          <w:tcPr>
            <w:tcW w:w="2932" w:type="dxa"/>
            <w:vMerge w:val="restart"/>
            <w:hideMark/>
          </w:tcPr>
          <w:p w:rsidR="007E28F2" w:rsidRPr="00651B46" w:rsidRDefault="009D0526"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Μέ</w:t>
            </w:r>
            <w:r w:rsidR="007E28F2" w:rsidRPr="00651B46">
              <w:rPr>
                <w:rFonts w:asciiTheme="minorHAnsi" w:eastAsia="Times New Roman" w:hAnsiTheme="minorHAnsi" w:cstheme="minorHAnsi"/>
                <w:color w:val="000000"/>
                <w:sz w:val="24"/>
                <w:szCs w:val="24"/>
              </w:rPr>
              <w:t>νετε μόνος;</w:t>
            </w:r>
          </w:p>
        </w:tc>
        <w:tc>
          <w:tcPr>
            <w:tcW w:w="2225" w:type="dxa"/>
            <w:hideMark/>
          </w:tcPr>
          <w:p w:rsidR="007E28F2" w:rsidRPr="00651B46" w:rsidRDefault="00554B38"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Ν</w:t>
            </w:r>
            <w:r w:rsidR="007E28F2" w:rsidRPr="00651B46">
              <w:rPr>
                <w:rFonts w:asciiTheme="minorHAnsi" w:eastAsia="Times New Roman" w:hAnsiTheme="minorHAnsi" w:cstheme="minorHAnsi"/>
                <w:color w:val="000000"/>
                <w:sz w:val="24"/>
                <w:szCs w:val="24"/>
              </w:rPr>
              <w:t>αι</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50</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16,0</w:t>
            </w:r>
          </w:p>
        </w:tc>
      </w:tr>
      <w:tr w:rsidR="007E28F2" w:rsidRPr="00651B46" w:rsidTr="0025283E">
        <w:trPr>
          <w:cnfStyle w:val="000000010000"/>
          <w:trHeight w:val="285"/>
          <w:jc w:val="center"/>
        </w:trPr>
        <w:tc>
          <w:tcPr>
            <w:tcW w:w="2932"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225" w:type="dxa"/>
            <w:hideMark/>
          </w:tcPr>
          <w:p w:rsidR="007E28F2" w:rsidRPr="00651B46" w:rsidRDefault="00554B38"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Ό</w:t>
            </w:r>
            <w:r w:rsidR="007E28F2" w:rsidRPr="00651B46">
              <w:rPr>
                <w:rFonts w:asciiTheme="minorHAnsi" w:eastAsia="Times New Roman" w:hAnsiTheme="minorHAnsi" w:cstheme="minorHAnsi"/>
                <w:color w:val="000000"/>
                <w:sz w:val="24"/>
                <w:szCs w:val="24"/>
              </w:rPr>
              <w:t>χι</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263</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84,0</w:t>
            </w:r>
          </w:p>
        </w:tc>
      </w:tr>
      <w:tr w:rsidR="007E28F2" w:rsidRPr="00651B46" w:rsidTr="0025283E">
        <w:trPr>
          <w:cnfStyle w:val="000000100000"/>
          <w:trHeight w:val="285"/>
          <w:jc w:val="center"/>
        </w:trPr>
        <w:tc>
          <w:tcPr>
            <w:tcW w:w="2932" w:type="dxa"/>
            <w:vMerge w:val="restart"/>
            <w:hideMark/>
          </w:tcPr>
          <w:p w:rsidR="007E28F2" w:rsidRPr="00651B46" w:rsidRDefault="000D053B"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Εκπαιδευτικό</w:t>
            </w:r>
            <w:r w:rsidR="007E28F2" w:rsidRPr="00651B46">
              <w:rPr>
                <w:rFonts w:asciiTheme="minorHAnsi" w:eastAsia="Times New Roman" w:hAnsiTheme="minorHAnsi" w:cstheme="minorHAnsi"/>
                <w:color w:val="000000"/>
                <w:sz w:val="24"/>
                <w:szCs w:val="24"/>
              </w:rPr>
              <w:t xml:space="preserve"> επίπεδο</w:t>
            </w:r>
          </w:p>
        </w:tc>
        <w:tc>
          <w:tcPr>
            <w:tcW w:w="2225" w:type="dxa"/>
            <w:hideMark/>
          </w:tcPr>
          <w:p w:rsidR="007E28F2" w:rsidRPr="00651B46" w:rsidRDefault="002B586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Α</w:t>
            </w:r>
            <w:r w:rsidR="007E28F2" w:rsidRPr="00651B46">
              <w:rPr>
                <w:rFonts w:asciiTheme="minorHAnsi" w:eastAsia="Times New Roman" w:hAnsiTheme="minorHAnsi" w:cstheme="minorHAnsi"/>
                <w:color w:val="000000"/>
                <w:sz w:val="24"/>
                <w:szCs w:val="24"/>
              </w:rPr>
              <w:t>ναλφάβητος</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21</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6,6</w:t>
            </w:r>
          </w:p>
        </w:tc>
      </w:tr>
      <w:tr w:rsidR="007E28F2" w:rsidRPr="00651B46" w:rsidTr="0025283E">
        <w:trPr>
          <w:cnfStyle w:val="000000010000"/>
          <w:trHeight w:val="285"/>
          <w:jc w:val="center"/>
        </w:trPr>
        <w:tc>
          <w:tcPr>
            <w:tcW w:w="2932"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Δημοτικό</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104</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32,6</w:t>
            </w:r>
          </w:p>
        </w:tc>
      </w:tr>
      <w:tr w:rsidR="007E28F2" w:rsidRPr="00651B46" w:rsidTr="0025283E">
        <w:trPr>
          <w:cnfStyle w:val="000000100000"/>
          <w:trHeight w:val="285"/>
          <w:jc w:val="center"/>
        </w:trPr>
        <w:tc>
          <w:tcPr>
            <w:tcW w:w="2932"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Γυμνάσιο</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71</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22,3</w:t>
            </w:r>
          </w:p>
        </w:tc>
      </w:tr>
      <w:tr w:rsidR="007E28F2" w:rsidRPr="00651B46" w:rsidTr="0025283E">
        <w:trPr>
          <w:cnfStyle w:val="000000010000"/>
          <w:trHeight w:val="285"/>
          <w:jc w:val="center"/>
        </w:trPr>
        <w:tc>
          <w:tcPr>
            <w:tcW w:w="2932"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Λύκειο</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72</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22,6</w:t>
            </w:r>
          </w:p>
        </w:tc>
      </w:tr>
      <w:tr w:rsidR="007E28F2" w:rsidRPr="00651B46" w:rsidTr="0025283E">
        <w:trPr>
          <w:cnfStyle w:val="000000100000"/>
          <w:trHeight w:val="285"/>
          <w:jc w:val="center"/>
        </w:trPr>
        <w:tc>
          <w:tcPr>
            <w:tcW w:w="2932"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225" w:type="dxa"/>
            <w:hideMark/>
          </w:tcPr>
          <w:p w:rsidR="007E28F2" w:rsidRPr="00651B46" w:rsidRDefault="002B586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Φ</w:t>
            </w:r>
            <w:r w:rsidR="007E28F2" w:rsidRPr="00651B46">
              <w:rPr>
                <w:rFonts w:asciiTheme="minorHAnsi" w:eastAsia="Times New Roman" w:hAnsiTheme="minorHAnsi" w:cstheme="minorHAnsi"/>
                <w:color w:val="000000"/>
                <w:sz w:val="24"/>
                <w:szCs w:val="24"/>
              </w:rPr>
              <w:t>οιτητής</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11</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3,4</w:t>
            </w:r>
          </w:p>
        </w:tc>
      </w:tr>
      <w:tr w:rsidR="007E28F2" w:rsidRPr="00651B46" w:rsidTr="0025283E">
        <w:trPr>
          <w:cnfStyle w:val="000000010000"/>
          <w:trHeight w:val="285"/>
          <w:jc w:val="center"/>
        </w:trPr>
        <w:tc>
          <w:tcPr>
            <w:tcW w:w="2932"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Απόφοιτος ΑΕΙ/ΤΕΙ</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40</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12,5</w:t>
            </w:r>
          </w:p>
        </w:tc>
      </w:tr>
      <w:tr w:rsidR="007E28F2" w:rsidRPr="00651B46" w:rsidTr="0025283E">
        <w:trPr>
          <w:cnfStyle w:val="000000100000"/>
          <w:trHeight w:val="285"/>
          <w:jc w:val="center"/>
        </w:trPr>
        <w:tc>
          <w:tcPr>
            <w:tcW w:w="2932" w:type="dxa"/>
            <w:vMerge w:val="restart"/>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Επαγγελματική κατάσταση</w:t>
            </w: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Άνεργος</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50</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15,7</w:t>
            </w:r>
          </w:p>
        </w:tc>
      </w:tr>
      <w:tr w:rsidR="007E28F2" w:rsidRPr="00651B46" w:rsidTr="0025283E">
        <w:trPr>
          <w:cnfStyle w:val="000000010000"/>
          <w:trHeight w:val="285"/>
          <w:jc w:val="center"/>
        </w:trPr>
        <w:tc>
          <w:tcPr>
            <w:tcW w:w="2932"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Οικιακά</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35</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11,0</w:t>
            </w:r>
          </w:p>
        </w:tc>
      </w:tr>
      <w:tr w:rsidR="007E28F2" w:rsidRPr="00651B46" w:rsidTr="0025283E">
        <w:trPr>
          <w:cnfStyle w:val="000000100000"/>
          <w:trHeight w:val="285"/>
          <w:jc w:val="center"/>
        </w:trPr>
        <w:tc>
          <w:tcPr>
            <w:tcW w:w="2932"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Αυτοαπασχολούμενος</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23</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7,2</w:t>
            </w:r>
          </w:p>
        </w:tc>
      </w:tr>
      <w:tr w:rsidR="007E28F2" w:rsidRPr="00651B46" w:rsidTr="0025283E">
        <w:trPr>
          <w:cnfStyle w:val="000000010000"/>
          <w:trHeight w:val="285"/>
          <w:jc w:val="center"/>
        </w:trPr>
        <w:tc>
          <w:tcPr>
            <w:tcW w:w="2932"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 xml:space="preserve">Ιδιωτικός </w:t>
            </w:r>
            <w:r w:rsidR="00BA566F" w:rsidRPr="00651B46">
              <w:rPr>
                <w:rFonts w:asciiTheme="minorHAnsi" w:eastAsia="Times New Roman" w:hAnsiTheme="minorHAnsi" w:cstheme="minorHAnsi"/>
                <w:color w:val="000000"/>
                <w:sz w:val="24"/>
                <w:szCs w:val="24"/>
              </w:rPr>
              <w:t>Υπάλληλος</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17</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5,3</w:t>
            </w:r>
          </w:p>
        </w:tc>
      </w:tr>
      <w:tr w:rsidR="007E28F2" w:rsidRPr="00651B46" w:rsidTr="0025283E">
        <w:trPr>
          <w:cnfStyle w:val="000000100000"/>
          <w:trHeight w:val="285"/>
          <w:jc w:val="center"/>
        </w:trPr>
        <w:tc>
          <w:tcPr>
            <w:tcW w:w="2932"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 xml:space="preserve">Δημόσιος </w:t>
            </w:r>
            <w:r w:rsidR="00BA566F" w:rsidRPr="00651B46">
              <w:rPr>
                <w:rFonts w:asciiTheme="minorHAnsi" w:eastAsia="Times New Roman" w:hAnsiTheme="minorHAnsi" w:cstheme="minorHAnsi"/>
                <w:color w:val="000000"/>
                <w:sz w:val="24"/>
                <w:szCs w:val="24"/>
              </w:rPr>
              <w:t>Υπάλληλος</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11</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3,5</w:t>
            </w:r>
          </w:p>
        </w:tc>
      </w:tr>
      <w:tr w:rsidR="007E28F2" w:rsidRPr="00651B46" w:rsidTr="0025283E">
        <w:trPr>
          <w:cnfStyle w:val="000000010000"/>
          <w:trHeight w:val="285"/>
          <w:jc w:val="center"/>
        </w:trPr>
        <w:tc>
          <w:tcPr>
            <w:tcW w:w="2932"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Συν/χος</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182</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57,2</w:t>
            </w:r>
          </w:p>
        </w:tc>
      </w:tr>
      <w:tr w:rsidR="007E28F2" w:rsidRPr="00651B46" w:rsidTr="0025283E">
        <w:trPr>
          <w:cnfStyle w:val="000000100000"/>
          <w:trHeight w:val="285"/>
          <w:jc w:val="center"/>
        </w:trPr>
        <w:tc>
          <w:tcPr>
            <w:tcW w:w="2932"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225"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Άλλο</w:t>
            </w:r>
          </w:p>
        </w:tc>
        <w:tc>
          <w:tcPr>
            <w:tcW w:w="1337"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0</w:t>
            </w:r>
          </w:p>
        </w:tc>
        <w:tc>
          <w:tcPr>
            <w:tcW w:w="888"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,0</w:t>
            </w:r>
          </w:p>
        </w:tc>
      </w:tr>
    </w:tbl>
    <w:p w:rsidR="007E28F2" w:rsidRPr="005A464E" w:rsidRDefault="007E28F2" w:rsidP="005A464E">
      <w:pPr>
        <w:pStyle w:val="nouk"/>
        <w:rPr>
          <w:lang w:val="en-US"/>
        </w:rPr>
      </w:pPr>
    </w:p>
    <w:p w:rsidR="007E28F2" w:rsidRPr="005A464E" w:rsidRDefault="007E28F2" w:rsidP="00554B38">
      <w:pPr>
        <w:pStyle w:val="nouk"/>
      </w:pPr>
      <w:r w:rsidRPr="005A464E">
        <w:t>Η μέση ηλικία των συμμετεχόντων ήταν 56,5 έτη (</w:t>
      </w:r>
      <w:r w:rsidR="00D225F5" w:rsidRPr="005A464E">
        <w:t>ΤΑ</w:t>
      </w:r>
      <w:r w:rsidRPr="005A464E">
        <w:t xml:space="preserve">=10,0 έτη). Το 65,0% των συμμετεχόντων ήταν άντρες και το 63,6% έμενε σε αστική περιοχή. Το ποσοστό των έγγαμων ήταν 55,7% και το ποσοστό εκείνων που είχαν παιδιά ήταν 71,7%. Από αυτούς που είχαν παιδιά, το 47,4% είχε </w:t>
      </w:r>
      <w:r w:rsidR="00D8735E">
        <w:t>2</w:t>
      </w:r>
      <w:r w:rsidRPr="005A464E">
        <w:t xml:space="preserve"> παιδιά. Επίσης, το 16,0% των συμμετεχόντων έμεναν μόνοι το</w:t>
      </w:r>
      <w:r w:rsidR="00472330">
        <w:t>υς και το 32,6% ήταν απόφοιτοι Δ</w:t>
      </w:r>
      <w:r w:rsidRPr="005A464E">
        <w:t>ημοτικού. Τέλος, το 57,2% των συμμετεχόντων ήτ</w:t>
      </w:r>
      <w:r w:rsidR="00554B38">
        <w:t>αν συνταξιούχοι.</w:t>
      </w:r>
    </w:p>
    <w:p w:rsidR="007E28F2" w:rsidRPr="005A464E" w:rsidRDefault="007E28F2" w:rsidP="005A464E">
      <w:pPr>
        <w:pStyle w:val="nouk"/>
      </w:pPr>
    </w:p>
    <w:p w:rsidR="007E28F2" w:rsidRPr="005A464E" w:rsidRDefault="007E28F2" w:rsidP="005A464E">
      <w:pPr>
        <w:pStyle w:val="nouk"/>
      </w:pPr>
      <w:r w:rsidRPr="005A464E">
        <w:t xml:space="preserve">Στον πίνακα που ακολουθεί </w:t>
      </w:r>
      <w:r w:rsidR="00F6061C">
        <w:t>(Πίν 34</w:t>
      </w:r>
      <w:r w:rsidR="00554B38">
        <w:t xml:space="preserve">) </w:t>
      </w:r>
      <w:r w:rsidRPr="005A464E">
        <w:t>δίνονται κλινικά στοιχεία των συμμετεχόντων.</w:t>
      </w:r>
    </w:p>
    <w:p w:rsidR="0025283E" w:rsidRDefault="0025283E" w:rsidP="0025283E">
      <w:pPr>
        <w:spacing w:after="0" w:line="360" w:lineRule="auto"/>
        <w:contextualSpacing/>
        <w:jc w:val="both"/>
        <w:rPr>
          <w:rFonts w:asciiTheme="minorHAnsi" w:eastAsia="Times New Roman" w:hAnsiTheme="minorHAnsi" w:cs="Arial"/>
          <w:color w:val="000000"/>
        </w:rPr>
      </w:pPr>
    </w:p>
    <w:p w:rsidR="0025283E" w:rsidRPr="00651B46" w:rsidRDefault="00F6061C" w:rsidP="0025283E">
      <w:pPr>
        <w:spacing w:after="0" w:line="360" w:lineRule="auto"/>
        <w:contextualSpacing/>
        <w:jc w:val="both"/>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Πίνακας 34</w:t>
      </w:r>
    </w:p>
    <w:p w:rsidR="007E28F2" w:rsidRPr="003E649A" w:rsidRDefault="0025283E" w:rsidP="0025283E">
      <w:pPr>
        <w:pStyle w:val="nouk"/>
      </w:pPr>
      <w:r w:rsidRPr="008847F1">
        <w:rPr>
          <w:rFonts w:asciiTheme="minorHAnsi" w:eastAsiaTheme="minorHAnsi" w:hAnsiTheme="minorHAnsi" w:cstheme="minorBidi"/>
          <w:bCs/>
          <w:i/>
          <w:color w:val="000000"/>
        </w:rPr>
        <w:t>Κλινικά στοιχεία των συμμετεχόντων (Ν=321)</w:t>
      </w:r>
    </w:p>
    <w:tbl>
      <w:tblPr>
        <w:tblStyle w:val="-41"/>
        <w:tblW w:w="8698" w:type="dxa"/>
        <w:tblInd w:w="-176" w:type="dxa"/>
        <w:tblLook w:val="0400"/>
      </w:tblPr>
      <w:tblGrid>
        <w:gridCol w:w="3613"/>
        <w:gridCol w:w="2362"/>
        <w:gridCol w:w="910"/>
        <w:gridCol w:w="1813"/>
      </w:tblGrid>
      <w:tr w:rsidR="007E28F2" w:rsidRPr="00651B46" w:rsidTr="00651B46">
        <w:trPr>
          <w:cnfStyle w:val="000000100000"/>
          <w:trHeight w:val="285"/>
        </w:trPr>
        <w:tc>
          <w:tcPr>
            <w:tcW w:w="5975" w:type="dxa"/>
            <w:gridSpan w:val="2"/>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910" w:type="dxa"/>
            <w:hideMark/>
          </w:tcPr>
          <w:p w:rsidR="007E28F2" w:rsidRPr="00651B46" w:rsidRDefault="007E28F2" w:rsidP="00872FD2">
            <w:pPr>
              <w:spacing w:after="0" w:line="360" w:lineRule="auto"/>
              <w:contextualSpacing/>
              <w:jc w:val="center"/>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b/>
                <w:bCs/>
                <w:color w:val="000000"/>
                <w:sz w:val="24"/>
                <w:szCs w:val="24"/>
              </w:rPr>
              <w:t>Ν</w:t>
            </w:r>
          </w:p>
        </w:tc>
        <w:tc>
          <w:tcPr>
            <w:tcW w:w="1813" w:type="dxa"/>
            <w:hideMark/>
          </w:tcPr>
          <w:p w:rsidR="007E28F2" w:rsidRPr="00651B46" w:rsidRDefault="007E28F2" w:rsidP="00872FD2">
            <w:pPr>
              <w:spacing w:after="0" w:line="360" w:lineRule="auto"/>
              <w:contextualSpacing/>
              <w:jc w:val="center"/>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b/>
                <w:bCs/>
                <w:color w:val="000000"/>
                <w:sz w:val="24"/>
                <w:szCs w:val="24"/>
              </w:rPr>
              <w:t>%</w:t>
            </w:r>
          </w:p>
        </w:tc>
      </w:tr>
      <w:tr w:rsidR="007E28F2" w:rsidRPr="00651B46" w:rsidTr="00651B46">
        <w:trPr>
          <w:cnfStyle w:val="000000010000"/>
          <w:trHeight w:val="285"/>
        </w:trPr>
        <w:tc>
          <w:tcPr>
            <w:tcW w:w="5975" w:type="dxa"/>
            <w:gridSpan w:val="2"/>
            <w:hideMark/>
          </w:tcPr>
          <w:p w:rsidR="007E28F2" w:rsidRPr="00651B46" w:rsidRDefault="00540593"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Έτη από διάγνωση ΧΝΝ, Μέση Τ</w:t>
            </w:r>
            <w:r w:rsidR="007E28F2" w:rsidRPr="00651B46">
              <w:rPr>
                <w:rFonts w:asciiTheme="minorHAnsi" w:eastAsia="Times New Roman" w:hAnsiTheme="minorHAnsi" w:cstheme="minorHAnsi"/>
                <w:color w:val="000000"/>
                <w:sz w:val="24"/>
                <w:szCs w:val="24"/>
              </w:rPr>
              <w:t>ιμή (</w:t>
            </w:r>
            <w:r w:rsidR="00D225F5" w:rsidRPr="00651B46">
              <w:rPr>
                <w:rFonts w:asciiTheme="minorHAnsi" w:eastAsia="Times New Roman" w:hAnsiTheme="minorHAnsi" w:cstheme="minorHAnsi"/>
                <w:color w:val="000000"/>
                <w:sz w:val="24"/>
                <w:szCs w:val="24"/>
              </w:rPr>
              <w:t>ΤΑ</w:t>
            </w:r>
            <w:r w:rsidR="007E28F2" w:rsidRPr="00651B46">
              <w:rPr>
                <w:rFonts w:asciiTheme="minorHAnsi" w:eastAsia="Times New Roman" w:hAnsiTheme="minorHAnsi" w:cstheme="minorHAnsi"/>
                <w:color w:val="000000"/>
                <w:sz w:val="24"/>
                <w:szCs w:val="24"/>
              </w:rPr>
              <w:t>)</w:t>
            </w:r>
          </w:p>
        </w:tc>
        <w:tc>
          <w:tcPr>
            <w:tcW w:w="2723" w:type="dxa"/>
            <w:gridSpan w:val="2"/>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10,7 (8,3)</w:t>
            </w:r>
          </w:p>
        </w:tc>
      </w:tr>
      <w:tr w:rsidR="007E28F2" w:rsidRPr="00651B46" w:rsidTr="00651B46">
        <w:trPr>
          <w:cnfStyle w:val="000000100000"/>
          <w:trHeight w:val="285"/>
        </w:trPr>
        <w:tc>
          <w:tcPr>
            <w:tcW w:w="3629" w:type="dxa"/>
            <w:vMerge w:val="restart"/>
            <w:hideMark/>
          </w:tcPr>
          <w:p w:rsidR="0095691A"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 xml:space="preserve">Πάσχετε από </w:t>
            </w:r>
            <w:r w:rsidR="0095691A">
              <w:rPr>
                <w:rFonts w:asciiTheme="minorHAnsi" w:eastAsia="Times New Roman" w:hAnsiTheme="minorHAnsi" w:cstheme="minorHAnsi"/>
                <w:color w:val="000000"/>
                <w:sz w:val="24"/>
                <w:szCs w:val="24"/>
              </w:rPr>
              <w:t>Σακχαρώδη Διαβήτη,</w:t>
            </w:r>
            <w:r w:rsidRPr="00651B46">
              <w:rPr>
                <w:rFonts w:asciiTheme="minorHAnsi" w:eastAsia="Times New Roman" w:hAnsiTheme="minorHAnsi" w:cstheme="minorHAnsi"/>
                <w:color w:val="000000"/>
                <w:sz w:val="24"/>
                <w:szCs w:val="24"/>
              </w:rPr>
              <w:t>υπέρταση,</w:t>
            </w:r>
          </w:p>
          <w:p w:rsidR="007E28F2" w:rsidRPr="00651B46" w:rsidRDefault="00DE45CF"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σ</w:t>
            </w:r>
            <w:r w:rsidR="007E28F2" w:rsidRPr="00651B46">
              <w:rPr>
                <w:rFonts w:asciiTheme="minorHAnsi" w:eastAsia="Times New Roman" w:hAnsiTheme="minorHAnsi" w:cstheme="minorHAnsi"/>
                <w:color w:val="000000"/>
                <w:sz w:val="24"/>
                <w:szCs w:val="24"/>
              </w:rPr>
              <w:t>π</w:t>
            </w:r>
            <w:r w:rsidR="00651B46">
              <w:rPr>
                <w:rFonts w:asciiTheme="minorHAnsi" w:eastAsia="Times New Roman" w:hAnsiTheme="minorHAnsi" w:cstheme="minorHAnsi"/>
                <w:color w:val="000000"/>
                <w:sz w:val="24"/>
                <w:szCs w:val="24"/>
              </w:rPr>
              <w:t>ειραματονεφρίτιδα,</w:t>
            </w:r>
            <w:r w:rsidR="0095691A">
              <w:rPr>
                <w:rFonts w:asciiTheme="minorHAnsi" w:eastAsia="Times New Roman" w:hAnsiTheme="minorHAnsi" w:cstheme="minorHAnsi"/>
                <w:color w:val="000000"/>
                <w:sz w:val="24"/>
                <w:szCs w:val="24"/>
              </w:rPr>
              <w:t xml:space="preserve"> </w:t>
            </w:r>
            <w:r w:rsidR="007E28F2" w:rsidRPr="00651B46">
              <w:rPr>
                <w:rFonts w:asciiTheme="minorHAnsi" w:eastAsia="Times New Roman" w:hAnsiTheme="minorHAnsi" w:cstheme="minorHAnsi"/>
                <w:color w:val="000000"/>
                <w:sz w:val="24"/>
                <w:szCs w:val="24"/>
              </w:rPr>
              <w:t>πολυκυστική νόσο ή άλλο;</w:t>
            </w:r>
          </w:p>
        </w:tc>
        <w:tc>
          <w:tcPr>
            <w:tcW w:w="2346" w:type="dxa"/>
            <w:hideMark/>
          </w:tcPr>
          <w:p w:rsidR="007E28F2" w:rsidRPr="00651B46" w:rsidRDefault="0095691A" w:rsidP="00872FD2">
            <w:pPr>
              <w:spacing w:after="0" w:line="360" w:lineRule="auto"/>
              <w:rPr>
                <w:rFonts w:asciiTheme="minorHAnsi" w:eastAsia="Times New Roman" w:hAnsiTheme="minorHAnsi" w:cstheme="minorHAnsi"/>
                <w:color w:val="000000"/>
                <w:sz w:val="24"/>
                <w:szCs w:val="24"/>
              </w:rPr>
            </w:pPr>
            <w:r>
              <w:rPr>
                <w:rFonts w:asciiTheme="minorHAnsi" w:eastAsia="Times New Roman" w:hAnsiTheme="minorHAnsi" w:cstheme="minorHAnsi"/>
                <w:color w:val="000000"/>
                <w:sz w:val="24"/>
                <w:szCs w:val="24"/>
              </w:rPr>
              <w:t>Σακχαρώδη Διαβήτη</w:t>
            </w:r>
          </w:p>
        </w:tc>
        <w:tc>
          <w:tcPr>
            <w:tcW w:w="910"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70</w:t>
            </w:r>
          </w:p>
        </w:tc>
        <w:tc>
          <w:tcPr>
            <w:tcW w:w="1813"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23,0</w:t>
            </w:r>
          </w:p>
        </w:tc>
      </w:tr>
      <w:tr w:rsidR="007E28F2" w:rsidRPr="00651B46" w:rsidTr="00651B46">
        <w:trPr>
          <w:cnfStyle w:val="000000010000"/>
          <w:trHeight w:val="285"/>
        </w:trPr>
        <w:tc>
          <w:tcPr>
            <w:tcW w:w="3629"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346" w:type="dxa"/>
            <w:hideMark/>
          </w:tcPr>
          <w:p w:rsidR="007E28F2" w:rsidRPr="00651B46" w:rsidRDefault="00554B38"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Υ</w:t>
            </w:r>
            <w:r w:rsidR="007E28F2" w:rsidRPr="00651B46">
              <w:rPr>
                <w:rFonts w:asciiTheme="minorHAnsi" w:eastAsia="Times New Roman" w:hAnsiTheme="minorHAnsi" w:cstheme="minorHAnsi"/>
                <w:color w:val="000000"/>
                <w:sz w:val="24"/>
                <w:szCs w:val="24"/>
              </w:rPr>
              <w:t>πέρταση</w:t>
            </w:r>
          </w:p>
        </w:tc>
        <w:tc>
          <w:tcPr>
            <w:tcW w:w="910"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81</w:t>
            </w:r>
          </w:p>
        </w:tc>
        <w:tc>
          <w:tcPr>
            <w:tcW w:w="1813"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26,6</w:t>
            </w:r>
          </w:p>
        </w:tc>
      </w:tr>
      <w:tr w:rsidR="007E28F2" w:rsidRPr="00651B46" w:rsidTr="00651B46">
        <w:trPr>
          <w:cnfStyle w:val="000000100000"/>
          <w:trHeight w:val="285"/>
        </w:trPr>
        <w:tc>
          <w:tcPr>
            <w:tcW w:w="3629"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346" w:type="dxa"/>
            <w:hideMark/>
          </w:tcPr>
          <w:p w:rsidR="007E28F2" w:rsidRPr="00651B46" w:rsidRDefault="002B586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Σ</w:t>
            </w:r>
            <w:r w:rsidR="007E28F2" w:rsidRPr="00651B46">
              <w:rPr>
                <w:rFonts w:asciiTheme="minorHAnsi" w:eastAsia="Times New Roman" w:hAnsiTheme="minorHAnsi" w:cstheme="minorHAnsi"/>
                <w:color w:val="000000"/>
                <w:sz w:val="24"/>
                <w:szCs w:val="24"/>
              </w:rPr>
              <w:t>πειραματονεφρίτιδα</w:t>
            </w:r>
          </w:p>
        </w:tc>
        <w:tc>
          <w:tcPr>
            <w:tcW w:w="910"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58</w:t>
            </w:r>
          </w:p>
        </w:tc>
        <w:tc>
          <w:tcPr>
            <w:tcW w:w="1813"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19,0</w:t>
            </w:r>
          </w:p>
        </w:tc>
      </w:tr>
      <w:tr w:rsidR="007E28F2" w:rsidRPr="00651B46" w:rsidTr="00651B46">
        <w:trPr>
          <w:cnfStyle w:val="000000010000"/>
          <w:trHeight w:val="285"/>
        </w:trPr>
        <w:tc>
          <w:tcPr>
            <w:tcW w:w="3629"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346" w:type="dxa"/>
            <w:hideMark/>
          </w:tcPr>
          <w:p w:rsidR="007E28F2" w:rsidRPr="00651B46" w:rsidRDefault="002B586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Π</w:t>
            </w:r>
            <w:r w:rsidR="007E28F2" w:rsidRPr="00651B46">
              <w:rPr>
                <w:rFonts w:asciiTheme="minorHAnsi" w:eastAsia="Times New Roman" w:hAnsiTheme="minorHAnsi" w:cstheme="minorHAnsi"/>
                <w:color w:val="000000"/>
                <w:sz w:val="24"/>
                <w:szCs w:val="24"/>
              </w:rPr>
              <w:t>ολυκυστική νόσο</w:t>
            </w:r>
          </w:p>
        </w:tc>
        <w:tc>
          <w:tcPr>
            <w:tcW w:w="910"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35</w:t>
            </w:r>
          </w:p>
        </w:tc>
        <w:tc>
          <w:tcPr>
            <w:tcW w:w="1813"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11,5</w:t>
            </w:r>
          </w:p>
        </w:tc>
      </w:tr>
      <w:tr w:rsidR="007E28F2" w:rsidRPr="00651B46" w:rsidTr="00651B46">
        <w:trPr>
          <w:cnfStyle w:val="000000100000"/>
          <w:trHeight w:val="285"/>
        </w:trPr>
        <w:tc>
          <w:tcPr>
            <w:tcW w:w="3629"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346" w:type="dxa"/>
            <w:hideMark/>
          </w:tcPr>
          <w:p w:rsidR="007E28F2" w:rsidRPr="00651B46" w:rsidRDefault="00554B38"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Ά</w:t>
            </w:r>
            <w:r w:rsidR="007E28F2" w:rsidRPr="00651B46">
              <w:rPr>
                <w:rFonts w:asciiTheme="minorHAnsi" w:eastAsia="Times New Roman" w:hAnsiTheme="minorHAnsi" w:cstheme="minorHAnsi"/>
                <w:color w:val="000000"/>
                <w:sz w:val="24"/>
                <w:szCs w:val="24"/>
              </w:rPr>
              <w:t>λλο</w:t>
            </w:r>
          </w:p>
        </w:tc>
        <w:tc>
          <w:tcPr>
            <w:tcW w:w="910"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61</w:t>
            </w:r>
          </w:p>
        </w:tc>
        <w:tc>
          <w:tcPr>
            <w:tcW w:w="1813"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20,0</w:t>
            </w:r>
          </w:p>
        </w:tc>
      </w:tr>
      <w:tr w:rsidR="007E28F2" w:rsidRPr="00651B46" w:rsidTr="00651B46">
        <w:trPr>
          <w:cnfStyle w:val="000000010000"/>
          <w:trHeight w:val="285"/>
        </w:trPr>
        <w:tc>
          <w:tcPr>
            <w:tcW w:w="5975" w:type="dxa"/>
            <w:gridSpan w:val="2"/>
            <w:hideMark/>
          </w:tcPr>
          <w:p w:rsidR="007E28F2" w:rsidRPr="00651B46" w:rsidRDefault="00A27068"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Έτη υπό αιμοκάθαρση</w:t>
            </w:r>
            <w:r w:rsidR="00540593" w:rsidRPr="00651B46">
              <w:rPr>
                <w:rFonts w:asciiTheme="minorHAnsi" w:eastAsia="Times New Roman" w:hAnsiTheme="minorHAnsi" w:cstheme="minorHAnsi"/>
                <w:color w:val="000000"/>
                <w:sz w:val="24"/>
                <w:szCs w:val="24"/>
              </w:rPr>
              <w:t>, Μέση Τ</w:t>
            </w:r>
            <w:r w:rsidR="007E28F2" w:rsidRPr="00651B46">
              <w:rPr>
                <w:rFonts w:asciiTheme="minorHAnsi" w:eastAsia="Times New Roman" w:hAnsiTheme="minorHAnsi" w:cstheme="minorHAnsi"/>
                <w:color w:val="000000"/>
                <w:sz w:val="24"/>
                <w:szCs w:val="24"/>
              </w:rPr>
              <w:t>ιμή (</w:t>
            </w:r>
            <w:r w:rsidR="00D225F5" w:rsidRPr="00651B46">
              <w:rPr>
                <w:rFonts w:asciiTheme="minorHAnsi" w:eastAsia="Times New Roman" w:hAnsiTheme="minorHAnsi" w:cstheme="minorHAnsi"/>
                <w:color w:val="000000"/>
                <w:sz w:val="24"/>
                <w:szCs w:val="24"/>
              </w:rPr>
              <w:t>ΤΑ</w:t>
            </w:r>
            <w:r w:rsidR="007E28F2" w:rsidRPr="00651B46">
              <w:rPr>
                <w:rFonts w:asciiTheme="minorHAnsi" w:eastAsia="Times New Roman" w:hAnsiTheme="minorHAnsi" w:cstheme="minorHAnsi"/>
                <w:color w:val="000000"/>
                <w:sz w:val="24"/>
                <w:szCs w:val="24"/>
              </w:rPr>
              <w:t>)</w:t>
            </w:r>
          </w:p>
        </w:tc>
        <w:tc>
          <w:tcPr>
            <w:tcW w:w="2723" w:type="dxa"/>
            <w:gridSpan w:val="2"/>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6,5 (5,3)</w:t>
            </w:r>
          </w:p>
        </w:tc>
      </w:tr>
      <w:tr w:rsidR="007E28F2" w:rsidRPr="00651B46" w:rsidTr="00651B46">
        <w:trPr>
          <w:cnfStyle w:val="000000100000"/>
          <w:trHeight w:val="285"/>
        </w:trPr>
        <w:tc>
          <w:tcPr>
            <w:tcW w:w="5975" w:type="dxa"/>
            <w:gridSpan w:val="2"/>
            <w:hideMark/>
          </w:tcPr>
          <w:p w:rsidR="007E28F2" w:rsidRPr="00651B46" w:rsidRDefault="00540593"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 xml:space="preserve">Διάρκεια </w:t>
            </w:r>
            <w:r w:rsidR="00A27068" w:rsidRPr="00651B46">
              <w:rPr>
                <w:rFonts w:asciiTheme="minorHAnsi" w:eastAsia="Times New Roman" w:hAnsiTheme="minorHAnsi" w:cstheme="minorHAnsi"/>
                <w:color w:val="000000"/>
                <w:sz w:val="24"/>
                <w:szCs w:val="24"/>
              </w:rPr>
              <w:t>αιμοκάθαρσης</w:t>
            </w:r>
            <w:r w:rsidRPr="00651B46">
              <w:rPr>
                <w:rFonts w:asciiTheme="minorHAnsi" w:eastAsia="Times New Roman" w:hAnsiTheme="minorHAnsi" w:cstheme="minorHAnsi"/>
                <w:color w:val="000000"/>
                <w:sz w:val="24"/>
                <w:szCs w:val="24"/>
              </w:rPr>
              <w:t xml:space="preserve"> (ώρες), Μέση Τ</w:t>
            </w:r>
            <w:r w:rsidR="007E28F2" w:rsidRPr="00651B46">
              <w:rPr>
                <w:rFonts w:asciiTheme="minorHAnsi" w:eastAsia="Times New Roman" w:hAnsiTheme="minorHAnsi" w:cstheme="minorHAnsi"/>
                <w:color w:val="000000"/>
                <w:sz w:val="24"/>
                <w:szCs w:val="24"/>
              </w:rPr>
              <w:t>ιμή (</w:t>
            </w:r>
            <w:r w:rsidR="00D225F5" w:rsidRPr="00651B46">
              <w:rPr>
                <w:rFonts w:asciiTheme="minorHAnsi" w:eastAsia="Times New Roman" w:hAnsiTheme="minorHAnsi" w:cstheme="minorHAnsi"/>
                <w:color w:val="000000"/>
                <w:sz w:val="24"/>
                <w:szCs w:val="24"/>
              </w:rPr>
              <w:t>ΤΑ</w:t>
            </w:r>
            <w:r w:rsidR="007E28F2" w:rsidRPr="00651B46">
              <w:rPr>
                <w:rFonts w:asciiTheme="minorHAnsi" w:eastAsia="Times New Roman" w:hAnsiTheme="minorHAnsi" w:cstheme="minorHAnsi"/>
                <w:color w:val="000000"/>
                <w:sz w:val="24"/>
                <w:szCs w:val="24"/>
              </w:rPr>
              <w:t>)</w:t>
            </w:r>
          </w:p>
        </w:tc>
        <w:tc>
          <w:tcPr>
            <w:tcW w:w="2723" w:type="dxa"/>
            <w:gridSpan w:val="2"/>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3,9 (0,3)</w:t>
            </w:r>
          </w:p>
        </w:tc>
      </w:tr>
      <w:tr w:rsidR="007E28F2" w:rsidRPr="00651B46" w:rsidTr="00651B46">
        <w:trPr>
          <w:cnfStyle w:val="000000010000"/>
          <w:trHeight w:val="285"/>
        </w:trPr>
        <w:tc>
          <w:tcPr>
            <w:tcW w:w="5975" w:type="dxa"/>
            <w:gridSpan w:val="2"/>
            <w:hideMark/>
          </w:tcPr>
          <w:p w:rsid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Εβδομ</w:t>
            </w:r>
            <w:r w:rsidR="00540593" w:rsidRPr="00651B46">
              <w:rPr>
                <w:rFonts w:asciiTheme="minorHAnsi" w:eastAsia="Times New Roman" w:hAnsiTheme="minorHAnsi" w:cstheme="minorHAnsi"/>
                <w:color w:val="000000"/>
                <w:sz w:val="24"/>
                <w:szCs w:val="24"/>
              </w:rPr>
              <w:t xml:space="preserve">αδιαίος αριθμός συνεδριών </w:t>
            </w:r>
            <w:r w:rsidR="00651B46" w:rsidRPr="00651B46">
              <w:rPr>
                <w:rFonts w:asciiTheme="minorHAnsi" w:eastAsia="Times New Roman" w:hAnsiTheme="minorHAnsi" w:cstheme="minorHAnsi"/>
                <w:color w:val="000000"/>
                <w:sz w:val="24"/>
                <w:szCs w:val="24"/>
              </w:rPr>
              <w:t>αιμοκάθαρση</w:t>
            </w:r>
            <w:r w:rsidR="00651B46">
              <w:rPr>
                <w:rFonts w:asciiTheme="minorHAnsi" w:eastAsia="Times New Roman" w:hAnsiTheme="minorHAnsi" w:cstheme="minorHAnsi"/>
                <w:color w:val="000000"/>
                <w:sz w:val="24"/>
                <w:szCs w:val="24"/>
              </w:rPr>
              <w:t>ς</w:t>
            </w:r>
            <w:r w:rsidR="00540593" w:rsidRPr="00651B46">
              <w:rPr>
                <w:rFonts w:asciiTheme="minorHAnsi" w:eastAsia="Times New Roman" w:hAnsiTheme="minorHAnsi" w:cstheme="minorHAnsi"/>
                <w:color w:val="000000"/>
                <w:sz w:val="24"/>
                <w:szCs w:val="24"/>
              </w:rPr>
              <w:t xml:space="preserve"> , </w:t>
            </w:r>
          </w:p>
          <w:p w:rsidR="007E28F2" w:rsidRPr="00651B46" w:rsidRDefault="00540593"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Μέση Τ</w:t>
            </w:r>
            <w:r w:rsidR="007E28F2" w:rsidRPr="00651B46">
              <w:rPr>
                <w:rFonts w:asciiTheme="minorHAnsi" w:eastAsia="Times New Roman" w:hAnsiTheme="minorHAnsi" w:cstheme="minorHAnsi"/>
                <w:color w:val="000000"/>
                <w:sz w:val="24"/>
                <w:szCs w:val="24"/>
              </w:rPr>
              <w:t>ιμή (</w:t>
            </w:r>
            <w:r w:rsidR="00D225F5" w:rsidRPr="00651B46">
              <w:rPr>
                <w:rFonts w:asciiTheme="minorHAnsi" w:eastAsia="Times New Roman" w:hAnsiTheme="minorHAnsi" w:cstheme="minorHAnsi"/>
                <w:color w:val="000000"/>
                <w:sz w:val="24"/>
                <w:szCs w:val="24"/>
              </w:rPr>
              <w:t>ΤΑ</w:t>
            </w:r>
            <w:r w:rsidR="007E28F2" w:rsidRPr="00651B46">
              <w:rPr>
                <w:rFonts w:asciiTheme="minorHAnsi" w:eastAsia="Times New Roman" w:hAnsiTheme="minorHAnsi" w:cstheme="minorHAnsi"/>
                <w:color w:val="000000"/>
                <w:sz w:val="24"/>
                <w:szCs w:val="24"/>
              </w:rPr>
              <w:t>)</w:t>
            </w:r>
          </w:p>
        </w:tc>
        <w:tc>
          <w:tcPr>
            <w:tcW w:w="2723" w:type="dxa"/>
            <w:gridSpan w:val="2"/>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3,0 (0,1)</w:t>
            </w:r>
          </w:p>
        </w:tc>
      </w:tr>
      <w:tr w:rsidR="007E28F2" w:rsidRPr="00651B46" w:rsidTr="00651B46">
        <w:trPr>
          <w:cnfStyle w:val="000000100000"/>
          <w:trHeight w:val="285"/>
        </w:trPr>
        <w:tc>
          <w:tcPr>
            <w:tcW w:w="3629" w:type="dxa"/>
            <w:vMerge w:val="restart"/>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Με τι οδικό μέσο πηγαίνετε στη μονάδα;</w:t>
            </w:r>
          </w:p>
        </w:tc>
        <w:tc>
          <w:tcPr>
            <w:tcW w:w="2346" w:type="dxa"/>
            <w:hideMark/>
          </w:tcPr>
          <w:p w:rsidR="007E28F2" w:rsidRPr="00651B46" w:rsidRDefault="00554B38"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Τ</w:t>
            </w:r>
            <w:r w:rsidR="007E28F2" w:rsidRPr="00651B46">
              <w:rPr>
                <w:rFonts w:asciiTheme="minorHAnsi" w:eastAsia="Times New Roman" w:hAnsiTheme="minorHAnsi" w:cstheme="minorHAnsi"/>
                <w:color w:val="000000"/>
                <w:sz w:val="24"/>
                <w:szCs w:val="24"/>
              </w:rPr>
              <w:t>αξί</w:t>
            </w:r>
          </w:p>
        </w:tc>
        <w:tc>
          <w:tcPr>
            <w:tcW w:w="910"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87</w:t>
            </w:r>
          </w:p>
        </w:tc>
        <w:tc>
          <w:tcPr>
            <w:tcW w:w="1813"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28,0</w:t>
            </w:r>
          </w:p>
        </w:tc>
      </w:tr>
      <w:tr w:rsidR="007E28F2" w:rsidRPr="00651B46" w:rsidTr="00651B46">
        <w:trPr>
          <w:cnfStyle w:val="000000010000"/>
          <w:trHeight w:val="285"/>
        </w:trPr>
        <w:tc>
          <w:tcPr>
            <w:tcW w:w="3629"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346" w:type="dxa"/>
            <w:hideMark/>
          </w:tcPr>
          <w:p w:rsidR="007E28F2" w:rsidRPr="00651B46" w:rsidRDefault="007E28F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ΙΧ</w:t>
            </w:r>
          </w:p>
        </w:tc>
        <w:tc>
          <w:tcPr>
            <w:tcW w:w="910"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178</w:t>
            </w:r>
          </w:p>
        </w:tc>
        <w:tc>
          <w:tcPr>
            <w:tcW w:w="1813"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57,2</w:t>
            </w:r>
          </w:p>
        </w:tc>
      </w:tr>
      <w:tr w:rsidR="007E28F2" w:rsidRPr="00651B46" w:rsidTr="00651B46">
        <w:trPr>
          <w:cnfStyle w:val="000000100000"/>
          <w:trHeight w:val="285"/>
        </w:trPr>
        <w:tc>
          <w:tcPr>
            <w:tcW w:w="3629"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346" w:type="dxa"/>
            <w:hideMark/>
          </w:tcPr>
          <w:p w:rsidR="007E28F2" w:rsidRPr="00651B46" w:rsidRDefault="002B5862"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Α</w:t>
            </w:r>
            <w:r w:rsidR="007E28F2" w:rsidRPr="00651B46">
              <w:rPr>
                <w:rFonts w:asciiTheme="minorHAnsi" w:eastAsia="Times New Roman" w:hAnsiTheme="minorHAnsi" w:cstheme="minorHAnsi"/>
                <w:color w:val="000000"/>
                <w:sz w:val="24"/>
                <w:szCs w:val="24"/>
              </w:rPr>
              <w:t>σθενοφόρο</w:t>
            </w:r>
          </w:p>
        </w:tc>
        <w:tc>
          <w:tcPr>
            <w:tcW w:w="910"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7</w:t>
            </w:r>
          </w:p>
        </w:tc>
        <w:tc>
          <w:tcPr>
            <w:tcW w:w="1813"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2,3</w:t>
            </w:r>
          </w:p>
        </w:tc>
      </w:tr>
      <w:tr w:rsidR="007E28F2" w:rsidRPr="00651B46" w:rsidTr="00651B46">
        <w:trPr>
          <w:cnfStyle w:val="000000010000"/>
          <w:trHeight w:val="285"/>
        </w:trPr>
        <w:tc>
          <w:tcPr>
            <w:tcW w:w="3629"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346" w:type="dxa"/>
            <w:hideMark/>
          </w:tcPr>
          <w:p w:rsidR="007E28F2" w:rsidRPr="00651B46" w:rsidRDefault="00E52E4D" w:rsidP="00872FD2">
            <w:pPr>
              <w:spacing w:after="0" w:line="360" w:lineRule="auto"/>
              <w:rPr>
                <w:rFonts w:asciiTheme="minorHAnsi" w:eastAsia="Times New Roman" w:hAnsiTheme="minorHAnsi" w:cstheme="minorHAnsi"/>
                <w:color w:val="000000"/>
                <w:sz w:val="24"/>
                <w:szCs w:val="24"/>
              </w:rPr>
            </w:pPr>
            <w:r>
              <w:rPr>
                <w:rFonts w:asciiTheme="minorHAnsi" w:eastAsia="Times New Roman" w:hAnsiTheme="minorHAnsi" w:cstheme="minorHAnsi"/>
                <w:color w:val="000000"/>
                <w:sz w:val="24"/>
                <w:szCs w:val="24"/>
              </w:rPr>
              <w:t>Μέ</w:t>
            </w:r>
            <w:r w:rsidR="007E28F2" w:rsidRPr="00651B46">
              <w:rPr>
                <w:rFonts w:asciiTheme="minorHAnsi" w:eastAsia="Times New Roman" w:hAnsiTheme="minorHAnsi" w:cstheme="minorHAnsi"/>
                <w:color w:val="000000"/>
                <w:sz w:val="24"/>
                <w:szCs w:val="24"/>
              </w:rPr>
              <w:t>σα Μαζικής Μεταφοράς</w:t>
            </w:r>
          </w:p>
        </w:tc>
        <w:tc>
          <w:tcPr>
            <w:tcW w:w="910"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39</w:t>
            </w:r>
          </w:p>
        </w:tc>
        <w:tc>
          <w:tcPr>
            <w:tcW w:w="1813"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12,5</w:t>
            </w:r>
          </w:p>
        </w:tc>
      </w:tr>
      <w:tr w:rsidR="007E28F2" w:rsidRPr="00651B46" w:rsidTr="00651B46">
        <w:trPr>
          <w:cnfStyle w:val="000000100000"/>
          <w:trHeight w:val="285"/>
        </w:trPr>
        <w:tc>
          <w:tcPr>
            <w:tcW w:w="3629" w:type="dxa"/>
            <w:vMerge w:val="restart"/>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Έχετε κάνει ποτέ ΠΚ;</w:t>
            </w:r>
          </w:p>
        </w:tc>
        <w:tc>
          <w:tcPr>
            <w:tcW w:w="2346" w:type="dxa"/>
            <w:hideMark/>
          </w:tcPr>
          <w:p w:rsidR="007E28F2" w:rsidRPr="00651B46" w:rsidRDefault="00554B38"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Ν</w:t>
            </w:r>
            <w:r w:rsidR="007E28F2" w:rsidRPr="00651B46">
              <w:rPr>
                <w:rFonts w:asciiTheme="minorHAnsi" w:eastAsia="Times New Roman" w:hAnsiTheme="minorHAnsi" w:cstheme="minorHAnsi"/>
                <w:color w:val="000000"/>
                <w:sz w:val="24"/>
                <w:szCs w:val="24"/>
              </w:rPr>
              <w:t>αι</w:t>
            </w:r>
          </w:p>
        </w:tc>
        <w:tc>
          <w:tcPr>
            <w:tcW w:w="910"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9</w:t>
            </w:r>
          </w:p>
        </w:tc>
        <w:tc>
          <w:tcPr>
            <w:tcW w:w="1813"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2,8</w:t>
            </w:r>
          </w:p>
        </w:tc>
      </w:tr>
      <w:tr w:rsidR="007E28F2" w:rsidRPr="00651B46" w:rsidTr="00651B46">
        <w:trPr>
          <w:cnfStyle w:val="000000010000"/>
          <w:trHeight w:val="285"/>
        </w:trPr>
        <w:tc>
          <w:tcPr>
            <w:tcW w:w="3629"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346" w:type="dxa"/>
            <w:hideMark/>
          </w:tcPr>
          <w:p w:rsidR="007E28F2" w:rsidRPr="00651B46" w:rsidRDefault="00554B38"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Ό</w:t>
            </w:r>
            <w:r w:rsidR="007E28F2" w:rsidRPr="00651B46">
              <w:rPr>
                <w:rFonts w:asciiTheme="minorHAnsi" w:eastAsia="Times New Roman" w:hAnsiTheme="minorHAnsi" w:cstheme="minorHAnsi"/>
                <w:color w:val="000000"/>
                <w:sz w:val="24"/>
                <w:szCs w:val="24"/>
              </w:rPr>
              <w:t>χι</w:t>
            </w:r>
          </w:p>
        </w:tc>
        <w:tc>
          <w:tcPr>
            <w:tcW w:w="910"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308</w:t>
            </w:r>
          </w:p>
        </w:tc>
        <w:tc>
          <w:tcPr>
            <w:tcW w:w="1813"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97,2</w:t>
            </w:r>
          </w:p>
        </w:tc>
      </w:tr>
      <w:tr w:rsidR="007E28F2" w:rsidRPr="00651B46" w:rsidTr="00651B46">
        <w:trPr>
          <w:cnfStyle w:val="000000100000"/>
          <w:trHeight w:val="285"/>
        </w:trPr>
        <w:tc>
          <w:tcPr>
            <w:tcW w:w="5975" w:type="dxa"/>
            <w:gridSpan w:val="2"/>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 xml:space="preserve">Έτη από ΠΚ, </w:t>
            </w:r>
            <w:r w:rsidR="00540593" w:rsidRPr="00651B46">
              <w:rPr>
                <w:rFonts w:asciiTheme="minorHAnsi" w:eastAsia="Times New Roman" w:hAnsiTheme="minorHAnsi" w:cstheme="minorHAnsi"/>
                <w:color w:val="000000"/>
                <w:sz w:val="24"/>
                <w:szCs w:val="24"/>
              </w:rPr>
              <w:t>Μέση Τιμή</w:t>
            </w:r>
            <w:r w:rsidRPr="00651B46">
              <w:rPr>
                <w:rFonts w:asciiTheme="minorHAnsi" w:eastAsia="Times New Roman" w:hAnsiTheme="minorHAnsi" w:cstheme="minorHAnsi"/>
                <w:color w:val="000000"/>
                <w:sz w:val="24"/>
                <w:szCs w:val="24"/>
              </w:rPr>
              <w:t xml:space="preserve"> (</w:t>
            </w:r>
            <w:r w:rsidR="00D225F5" w:rsidRPr="00651B46">
              <w:rPr>
                <w:rFonts w:asciiTheme="minorHAnsi" w:eastAsia="Times New Roman" w:hAnsiTheme="minorHAnsi" w:cstheme="minorHAnsi"/>
                <w:color w:val="000000"/>
                <w:sz w:val="24"/>
                <w:szCs w:val="24"/>
              </w:rPr>
              <w:t>ΤΑ</w:t>
            </w:r>
            <w:r w:rsidRPr="00651B46">
              <w:rPr>
                <w:rFonts w:asciiTheme="minorHAnsi" w:eastAsia="Times New Roman" w:hAnsiTheme="minorHAnsi" w:cstheme="minorHAnsi"/>
                <w:color w:val="000000"/>
                <w:sz w:val="24"/>
                <w:szCs w:val="24"/>
              </w:rPr>
              <w:t>)</w:t>
            </w:r>
          </w:p>
        </w:tc>
        <w:tc>
          <w:tcPr>
            <w:tcW w:w="910" w:type="dxa"/>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8,2 (5,4)</w:t>
            </w:r>
          </w:p>
        </w:tc>
        <w:tc>
          <w:tcPr>
            <w:tcW w:w="1813" w:type="dxa"/>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rPr>
            </w:pPr>
          </w:p>
        </w:tc>
      </w:tr>
      <w:tr w:rsidR="007E28F2" w:rsidRPr="00651B46" w:rsidTr="00651B46">
        <w:trPr>
          <w:cnfStyle w:val="000000010000"/>
          <w:trHeight w:val="285"/>
        </w:trPr>
        <w:tc>
          <w:tcPr>
            <w:tcW w:w="5975" w:type="dxa"/>
            <w:gridSpan w:val="2"/>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 xml:space="preserve">Έτη που κράτησε η ΠΚ, </w:t>
            </w:r>
            <w:r w:rsidR="00540593" w:rsidRPr="00651B46">
              <w:rPr>
                <w:rFonts w:asciiTheme="minorHAnsi" w:eastAsia="Times New Roman" w:hAnsiTheme="minorHAnsi" w:cstheme="minorHAnsi"/>
                <w:color w:val="000000"/>
                <w:sz w:val="24"/>
                <w:szCs w:val="24"/>
              </w:rPr>
              <w:t>Μέση Τιμή</w:t>
            </w:r>
            <w:r w:rsidRPr="00651B46">
              <w:rPr>
                <w:rFonts w:asciiTheme="minorHAnsi" w:eastAsia="Times New Roman" w:hAnsiTheme="minorHAnsi" w:cstheme="minorHAnsi"/>
                <w:color w:val="000000"/>
                <w:sz w:val="24"/>
                <w:szCs w:val="24"/>
              </w:rPr>
              <w:t xml:space="preserve"> (</w:t>
            </w:r>
            <w:r w:rsidR="00D225F5" w:rsidRPr="00651B46">
              <w:rPr>
                <w:rFonts w:asciiTheme="minorHAnsi" w:eastAsia="Times New Roman" w:hAnsiTheme="minorHAnsi" w:cstheme="minorHAnsi"/>
                <w:color w:val="000000"/>
                <w:sz w:val="24"/>
                <w:szCs w:val="24"/>
              </w:rPr>
              <w:t>ΤΑ</w:t>
            </w:r>
            <w:r w:rsidRPr="00651B46">
              <w:rPr>
                <w:rFonts w:asciiTheme="minorHAnsi" w:eastAsia="Times New Roman" w:hAnsiTheme="minorHAnsi" w:cstheme="minorHAnsi"/>
                <w:color w:val="000000"/>
                <w:sz w:val="24"/>
                <w:szCs w:val="24"/>
              </w:rPr>
              <w:t>)</w:t>
            </w:r>
          </w:p>
        </w:tc>
        <w:tc>
          <w:tcPr>
            <w:tcW w:w="910" w:type="dxa"/>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1,4 (0,5)</w:t>
            </w:r>
          </w:p>
        </w:tc>
        <w:tc>
          <w:tcPr>
            <w:tcW w:w="1813" w:type="dxa"/>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rPr>
            </w:pPr>
          </w:p>
        </w:tc>
      </w:tr>
      <w:tr w:rsidR="007E28F2" w:rsidRPr="00651B46" w:rsidTr="00651B46">
        <w:trPr>
          <w:cnfStyle w:val="000000100000"/>
          <w:trHeight w:val="285"/>
        </w:trPr>
        <w:tc>
          <w:tcPr>
            <w:tcW w:w="3629" w:type="dxa"/>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Έχετε κάνει μεταμόσχευση ποτέ;</w:t>
            </w:r>
          </w:p>
        </w:tc>
        <w:tc>
          <w:tcPr>
            <w:tcW w:w="2346" w:type="dxa"/>
            <w:hideMark/>
          </w:tcPr>
          <w:p w:rsidR="007E28F2" w:rsidRPr="00651B46" w:rsidRDefault="00554B38"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Ν</w:t>
            </w:r>
            <w:r w:rsidR="007E28F2" w:rsidRPr="00651B46">
              <w:rPr>
                <w:rFonts w:asciiTheme="minorHAnsi" w:eastAsia="Times New Roman" w:hAnsiTheme="minorHAnsi" w:cstheme="minorHAnsi"/>
                <w:color w:val="000000"/>
                <w:sz w:val="24"/>
                <w:szCs w:val="24"/>
              </w:rPr>
              <w:t>αι</w:t>
            </w:r>
          </w:p>
        </w:tc>
        <w:tc>
          <w:tcPr>
            <w:tcW w:w="910" w:type="dxa"/>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19</w:t>
            </w:r>
          </w:p>
        </w:tc>
        <w:tc>
          <w:tcPr>
            <w:tcW w:w="1813" w:type="dxa"/>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6,0</w:t>
            </w:r>
          </w:p>
        </w:tc>
      </w:tr>
      <w:tr w:rsidR="007E28F2" w:rsidRPr="00651B46" w:rsidTr="00651B46">
        <w:trPr>
          <w:cnfStyle w:val="000000010000"/>
          <w:trHeight w:val="285"/>
        </w:trPr>
        <w:tc>
          <w:tcPr>
            <w:tcW w:w="3629" w:type="dxa"/>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 </w:t>
            </w:r>
          </w:p>
        </w:tc>
        <w:tc>
          <w:tcPr>
            <w:tcW w:w="2346" w:type="dxa"/>
            <w:hideMark/>
          </w:tcPr>
          <w:p w:rsidR="007E28F2" w:rsidRPr="00651B46" w:rsidRDefault="00554B38"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Ό</w:t>
            </w:r>
            <w:r w:rsidR="007E28F2" w:rsidRPr="00651B46">
              <w:rPr>
                <w:rFonts w:asciiTheme="minorHAnsi" w:eastAsia="Times New Roman" w:hAnsiTheme="minorHAnsi" w:cstheme="minorHAnsi"/>
                <w:color w:val="000000"/>
                <w:sz w:val="24"/>
                <w:szCs w:val="24"/>
              </w:rPr>
              <w:t>χι</w:t>
            </w:r>
          </w:p>
        </w:tc>
        <w:tc>
          <w:tcPr>
            <w:tcW w:w="910" w:type="dxa"/>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298</w:t>
            </w:r>
          </w:p>
        </w:tc>
        <w:tc>
          <w:tcPr>
            <w:tcW w:w="1813" w:type="dxa"/>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94,0</w:t>
            </w:r>
          </w:p>
        </w:tc>
      </w:tr>
      <w:tr w:rsidR="007E28F2" w:rsidRPr="00651B46" w:rsidTr="00651B46">
        <w:trPr>
          <w:cnfStyle w:val="000000100000"/>
          <w:trHeight w:val="285"/>
        </w:trPr>
        <w:tc>
          <w:tcPr>
            <w:tcW w:w="5975" w:type="dxa"/>
            <w:gridSpan w:val="2"/>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 xml:space="preserve">Έτη από μεταμόσχευση, </w:t>
            </w:r>
            <w:r w:rsidR="00540593" w:rsidRPr="00651B46">
              <w:rPr>
                <w:rFonts w:asciiTheme="minorHAnsi" w:eastAsia="Times New Roman" w:hAnsiTheme="minorHAnsi" w:cstheme="minorHAnsi"/>
                <w:color w:val="000000"/>
                <w:sz w:val="24"/>
                <w:szCs w:val="24"/>
              </w:rPr>
              <w:t>Μέση Τιμή</w:t>
            </w:r>
            <w:r w:rsidRPr="00651B46">
              <w:rPr>
                <w:rFonts w:asciiTheme="minorHAnsi" w:eastAsia="Times New Roman" w:hAnsiTheme="minorHAnsi" w:cstheme="minorHAnsi"/>
                <w:color w:val="000000"/>
                <w:sz w:val="24"/>
                <w:szCs w:val="24"/>
              </w:rPr>
              <w:t xml:space="preserve"> (</w:t>
            </w:r>
            <w:r w:rsidR="00D225F5" w:rsidRPr="00651B46">
              <w:rPr>
                <w:rFonts w:asciiTheme="minorHAnsi" w:eastAsia="Times New Roman" w:hAnsiTheme="minorHAnsi" w:cstheme="minorHAnsi"/>
                <w:color w:val="000000"/>
                <w:sz w:val="24"/>
                <w:szCs w:val="24"/>
              </w:rPr>
              <w:t>ΤΑ</w:t>
            </w:r>
            <w:r w:rsidRPr="00651B46">
              <w:rPr>
                <w:rFonts w:asciiTheme="minorHAnsi" w:eastAsia="Times New Roman" w:hAnsiTheme="minorHAnsi" w:cstheme="minorHAnsi"/>
                <w:color w:val="000000"/>
                <w:sz w:val="24"/>
                <w:szCs w:val="24"/>
              </w:rPr>
              <w:t>)</w:t>
            </w:r>
          </w:p>
        </w:tc>
        <w:tc>
          <w:tcPr>
            <w:tcW w:w="2723" w:type="dxa"/>
            <w:gridSpan w:val="2"/>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17,1 (5,5)</w:t>
            </w:r>
          </w:p>
        </w:tc>
      </w:tr>
      <w:tr w:rsidR="007E28F2" w:rsidRPr="00651B46" w:rsidTr="00651B46">
        <w:trPr>
          <w:cnfStyle w:val="000000010000"/>
          <w:trHeight w:val="285"/>
        </w:trPr>
        <w:tc>
          <w:tcPr>
            <w:tcW w:w="5975" w:type="dxa"/>
            <w:gridSpan w:val="2"/>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 xml:space="preserve">Έτη που κράτησε η μεταμόσχευση, </w:t>
            </w:r>
            <w:r w:rsidR="00540593" w:rsidRPr="00651B46">
              <w:rPr>
                <w:rFonts w:asciiTheme="minorHAnsi" w:eastAsia="Times New Roman" w:hAnsiTheme="minorHAnsi" w:cstheme="minorHAnsi"/>
                <w:color w:val="000000"/>
                <w:sz w:val="24"/>
                <w:szCs w:val="24"/>
              </w:rPr>
              <w:t>Μέση Τιμή</w:t>
            </w:r>
            <w:r w:rsidRPr="00651B46">
              <w:rPr>
                <w:rFonts w:asciiTheme="minorHAnsi" w:eastAsia="Times New Roman" w:hAnsiTheme="minorHAnsi" w:cstheme="minorHAnsi"/>
                <w:color w:val="000000"/>
                <w:sz w:val="24"/>
                <w:szCs w:val="24"/>
              </w:rPr>
              <w:t xml:space="preserve"> (</w:t>
            </w:r>
            <w:r w:rsidR="00D225F5" w:rsidRPr="00651B46">
              <w:rPr>
                <w:rFonts w:asciiTheme="minorHAnsi" w:eastAsia="Times New Roman" w:hAnsiTheme="minorHAnsi" w:cstheme="minorHAnsi"/>
                <w:color w:val="000000"/>
                <w:sz w:val="24"/>
                <w:szCs w:val="24"/>
              </w:rPr>
              <w:t>ΤΑ</w:t>
            </w:r>
            <w:r w:rsidRPr="00651B46">
              <w:rPr>
                <w:rFonts w:asciiTheme="minorHAnsi" w:eastAsia="Times New Roman" w:hAnsiTheme="minorHAnsi" w:cstheme="minorHAnsi"/>
                <w:color w:val="000000"/>
                <w:sz w:val="24"/>
                <w:szCs w:val="24"/>
              </w:rPr>
              <w:t>)</w:t>
            </w:r>
          </w:p>
        </w:tc>
        <w:tc>
          <w:tcPr>
            <w:tcW w:w="2723" w:type="dxa"/>
            <w:gridSpan w:val="2"/>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8,2 (4,3)</w:t>
            </w:r>
          </w:p>
        </w:tc>
      </w:tr>
      <w:tr w:rsidR="007E28F2" w:rsidRPr="00651B46" w:rsidTr="00651B46">
        <w:trPr>
          <w:cnfStyle w:val="000000100000"/>
          <w:trHeight w:val="285"/>
        </w:trPr>
        <w:tc>
          <w:tcPr>
            <w:tcW w:w="5975" w:type="dxa"/>
            <w:gridSpan w:val="2"/>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 xml:space="preserve">Ημερήσιος αριθμός </w:t>
            </w:r>
            <w:r w:rsidR="00B0098B">
              <w:rPr>
                <w:rFonts w:asciiTheme="minorHAnsi" w:eastAsia="Times New Roman" w:hAnsiTheme="minorHAnsi" w:cstheme="minorHAnsi"/>
                <w:color w:val="000000"/>
                <w:sz w:val="24"/>
                <w:szCs w:val="24"/>
              </w:rPr>
              <w:t>δισκίων</w:t>
            </w:r>
            <w:r w:rsidRPr="00651B46">
              <w:rPr>
                <w:rFonts w:asciiTheme="minorHAnsi" w:eastAsia="Times New Roman" w:hAnsiTheme="minorHAnsi" w:cstheme="minorHAnsi"/>
                <w:color w:val="000000"/>
                <w:sz w:val="24"/>
                <w:szCs w:val="24"/>
              </w:rPr>
              <w:t xml:space="preserve">, </w:t>
            </w:r>
            <w:r w:rsidR="00540593" w:rsidRPr="00651B46">
              <w:rPr>
                <w:rFonts w:asciiTheme="minorHAnsi" w:eastAsia="Times New Roman" w:hAnsiTheme="minorHAnsi" w:cstheme="minorHAnsi"/>
                <w:color w:val="000000"/>
                <w:sz w:val="24"/>
                <w:szCs w:val="24"/>
              </w:rPr>
              <w:t>Μέση Τιμή</w:t>
            </w:r>
            <w:r w:rsidRPr="00651B46">
              <w:rPr>
                <w:rFonts w:asciiTheme="minorHAnsi" w:eastAsia="Times New Roman" w:hAnsiTheme="minorHAnsi" w:cstheme="minorHAnsi"/>
                <w:color w:val="000000"/>
                <w:sz w:val="24"/>
                <w:szCs w:val="24"/>
              </w:rPr>
              <w:t xml:space="preserve"> (</w:t>
            </w:r>
            <w:r w:rsidR="00D225F5" w:rsidRPr="00651B46">
              <w:rPr>
                <w:rFonts w:asciiTheme="minorHAnsi" w:eastAsia="Times New Roman" w:hAnsiTheme="minorHAnsi" w:cstheme="minorHAnsi"/>
                <w:color w:val="000000"/>
                <w:sz w:val="24"/>
                <w:szCs w:val="24"/>
              </w:rPr>
              <w:t>ΤΑ</w:t>
            </w:r>
            <w:r w:rsidRPr="00651B46">
              <w:rPr>
                <w:rFonts w:asciiTheme="minorHAnsi" w:eastAsia="Times New Roman" w:hAnsiTheme="minorHAnsi" w:cstheme="minorHAnsi"/>
                <w:color w:val="000000"/>
                <w:sz w:val="24"/>
                <w:szCs w:val="24"/>
              </w:rPr>
              <w:t>)</w:t>
            </w:r>
          </w:p>
        </w:tc>
        <w:tc>
          <w:tcPr>
            <w:tcW w:w="2723" w:type="dxa"/>
            <w:gridSpan w:val="2"/>
            <w:noWrap/>
            <w:hideMark/>
          </w:tcPr>
          <w:p w:rsidR="007E28F2" w:rsidRPr="00651B46" w:rsidRDefault="007E28F2" w:rsidP="00872FD2">
            <w:pPr>
              <w:spacing w:after="0" w:line="360" w:lineRule="auto"/>
              <w:contextualSpacing/>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7,1 (5,4)</w:t>
            </w:r>
          </w:p>
        </w:tc>
      </w:tr>
      <w:tr w:rsidR="007E28F2" w:rsidRPr="00651B46" w:rsidTr="00651B46">
        <w:trPr>
          <w:cnfStyle w:val="000000010000"/>
          <w:trHeight w:val="285"/>
        </w:trPr>
        <w:tc>
          <w:tcPr>
            <w:tcW w:w="3629" w:type="dxa"/>
            <w:vMerge w:val="restart"/>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color w:val="000000"/>
                <w:sz w:val="24"/>
                <w:szCs w:val="24"/>
              </w:rPr>
              <w:t xml:space="preserve">Κάνετε </w:t>
            </w:r>
            <w:r w:rsidRPr="004F3A28">
              <w:rPr>
                <w:rFonts w:asciiTheme="minorHAnsi" w:eastAsia="Times New Roman" w:hAnsiTheme="minorHAnsi" w:cstheme="minorHAnsi"/>
                <w:sz w:val="24"/>
                <w:szCs w:val="24"/>
              </w:rPr>
              <w:t>αιμοκάθαρση από φίστουλα, μόσχευμα, καθετήρα</w:t>
            </w:r>
            <w:r w:rsidRPr="00651B46">
              <w:rPr>
                <w:rFonts w:asciiTheme="minorHAnsi" w:eastAsia="Times New Roman" w:hAnsiTheme="minorHAnsi" w:cstheme="minorHAnsi"/>
                <w:color w:val="000000"/>
                <w:sz w:val="24"/>
                <w:szCs w:val="24"/>
              </w:rPr>
              <w:t>;</w:t>
            </w:r>
          </w:p>
        </w:tc>
        <w:tc>
          <w:tcPr>
            <w:tcW w:w="2346" w:type="dxa"/>
            <w:hideMark/>
          </w:tcPr>
          <w:p w:rsidR="007E28F2" w:rsidRPr="00651B46" w:rsidRDefault="00554B38"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Φ</w:t>
            </w:r>
            <w:r w:rsidR="007E28F2" w:rsidRPr="00651B46">
              <w:rPr>
                <w:rFonts w:asciiTheme="minorHAnsi" w:eastAsia="Times New Roman" w:hAnsiTheme="minorHAnsi" w:cstheme="minorHAnsi"/>
                <w:color w:val="000000"/>
                <w:sz w:val="24"/>
                <w:szCs w:val="24"/>
              </w:rPr>
              <w:t>ίστουλα</w:t>
            </w:r>
          </w:p>
        </w:tc>
        <w:tc>
          <w:tcPr>
            <w:tcW w:w="910"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206</w:t>
            </w:r>
          </w:p>
        </w:tc>
        <w:tc>
          <w:tcPr>
            <w:tcW w:w="1813"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64,6</w:t>
            </w:r>
          </w:p>
        </w:tc>
      </w:tr>
      <w:tr w:rsidR="007E28F2" w:rsidRPr="00651B46" w:rsidTr="00651B46">
        <w:trPr>
          <w:cnfStyle w:val="000000100000"/>
          <w:trHeight w:val="285"/>
        </w:trPr>
        <w:tc>
          <w:tcPr>
            <w:tcW w:w="3629"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346" w:type="dxa"/>
            <w:hideMark/>
          </w:tcPr>
          <w:p w:rsidR="007E28F2" w:rsidRPr="00651B46" w:rsidRDefault="00554B38"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Μ</w:t>
            </w:r>
            <w:r w:rsidR="007E28F2" w:rsidRPr="00651B46">
              <w:rPr>
                <w:rFonts w:asciiTheme="minorHAnsi" w:eastAsia="Times New Roman" w:hAnsiTheme="minorHAnsi" w:cstheme="minorHAnsi"/>
                <w:color w:val="000000"/>
                <w:sz w:val="24"/>
                <w:szCs w:val="24"/>
              </w:rPr>
              <w:t>όσχευμα</w:t>
            </w:r>
          </w:p>
        </w:tc>
        <w:tc>
          <w:tcPr>
            <w:tcW w:w="910"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45</w:t>
            </w:r>
          </w:p>
        </w:tc>
        <w:tc>
          <w:tcPr>
            <w:tcW w:w="1813"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14,1</w:t>
            </w:r>
          </w:p>
        </w:tc>
      </w:tr>
      <w:tr w:rsidR="007E28F2" w:rsidRPr="00651B46" w:rsidTr="00651B46">
        <w:trPr>
          <w:cnfStyle w:val="000000010000"/>
          <w:trHeight w:val="285"/>
        </w:trPr>
        <w:tc>
          <w:tcPr>
            <w:tcW w:w="3629" w:type="dxa"/>
            <w:vMerge/>
            <w:hideMark/>
          </w:tcPr>
          <w:p w:rsidR="007E28F2" w:rsidRPr="00651B46" w:rsidRDefault="007E28F2" w:rsidP="00872FD2">
            <w:pPr>
              <w:spacing w:after="0" w:line="360" w:lineRule="auto"/>
              <w:rPr>
                <w:rFonts w:asciiTheme="minorHAnsi" w:eastAsia="Times New Roman" w:hAnsiTheme="minorHAnsi" w:cstheme="minorHAnsi"/>
                <w:b/>
                <w:bCs/>
                <w:color w:val="000000"/>
                <w:sz w:val="24"/>
                <w:szCs w:val="24"/>
              </w:rPr>
            </w:pPr>
          </w:p>
        </w:tc>
        <w:tc>
          <w:tcPr>
            <w:tcW w:w="2346" w:type="dxa"/>
            <w:hideMark/>
          </w:tcPr>
          <w:p w:rsidR="007E28F2" w:rsidRPr="00651B46" w:rsidRDefault="00554B38" w:rsidP="00872FD2">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Κ</w:t>
            </w:r>
            <w:r w:rsidR="007E28F2" w:rsidRPr="00651B46">
              <w:rPr>
                <w:rFonts w:asciiTheme="minorHAnsi" w:eastAsia="Times New Roman" w:hAnsiTheme="minorHAnsi" w:cstheme="minorHAnsi"/>
                <w:color w:val="000000"/>
                <w:sz w:val="24"/>
                <w:szCs w:val="24"/>
              </w:rPr>
              <w:t>αθετήρα</w:t>
            </w:r>
            <w:r w:rsidR="009E3DE6">
              <w:rPr>
                <w:rFonts w:asciiTheme="minorHAnsi" w:eastAsia="Times New Roman" w:hAnsiTheme="minorHAnsi" w:cstheme="minorHAnsi"/>
                <w:color w:val="000000"/>
                <w:sz w:val="24"/>
                <w:szCs w:val="24"/>
              </w:rPr>
              <w:t>ς</w:t>
            </w:r>
          </w:p>
        </w:tc>
        <w:tc>
          <w:tcPr>
            <w:tcW w:w="910"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68</w:t>
            </w:r>
          </w:p>
        </w:tc>
        <w:tc>
          <w:tcPr>
            <w:tcW w:w="1813" w:type="dxa"/>
            <w:noWrap/>
            <w:hideMark/>
          </w:tcPr>
          <w:p w:rsidR="007E28F2" w:rsidRPr="00651B46" w:rsidRDefault="007E28F2" w:rsidP="00872FD2">
            <w:pPr>
              <w:spacing w:after="0" w:line="360" w:lineRule="auto"/>
              <w:contextualSpacing/>
              <w:jc w:val="center"/>
              <w:rPr>
                <w:rFonts w:asciiTheme="minorHAnsi" w:eastAsiaTheme="minorHAnsi" w:hAnsiTheme="minorHAnsi" w:cstheme="minorHAnsi"/>
                <w:color w:val="000000"/>
                <w:sz w:val="24"/>
                <w:szCs w:val="24"/>
              </w:rPr>
            </w:pPr>
            <w:r w:rsidRPr="00651B46">
              <w:rPr>
                <w:rFonts w:asciiTheme="minorHAnsi" w:eastAsiaTheme="minorHAnsi" w:hAnsiTheme="minorHAnsi" w:cstheme="minorHAnsi"/>
                <w:color w:val="000000"/>
                <w:sz w:val="24"/>
                <w:szCs w:val="24"/>
              </w:rPr>
              <w:t>21,3</w:t>
            </w:r>
          </w:p>
        </w:tc>
      </w:tr>
    </w:tbl>
    <w:p w:rsidR="007E28F2" w:rsidRPr="00554B38" w:rsidRDefault="007E28F2" w:rsidP="005A464E">
      <w:pPr>
        <w:pStyle w:val="nouk"/>
      </w:pPr>
    </w:p>
    <w:p w:rsidR="007E28F2" w:rsidRPr="005A464E" w:rsidRDefault="007E28F2" w:rsidP="005A464E">
      <w:pPr>
        <w:pStyle w:val="nouk"/>
      </w:pPr>
      <w:r w:rsidRPr="005A464E">
        <w:t>Ο μέσος χρόνος από τη διάγνωση ΧΝΝ ήταν 10,7 έτη (</w:t>
      </w:r>
      <w:r w:rsidR="00D225F5" w:rsidRPr="005A464E">
        <w:t>ΤΑ</w:t>
      </w:r>
      <w:r w:rsidRPr="005A464E">
        <w:t xml:space="preserve">=8,3 έτη). Το 26,6% των ατόμων είχε υπέρταση και το 23,0% </w:t>
      </w:r>
      <w:r w:rsidRPr="005C6ABA">
        <w:t>είχε</w:t>
      </w:r>
      <w:r w:rsidR="0078495A" w:rsidRPr="005C6ABA">
        <w:t xml:space="preserve"> </w:t>
      </w:r>
      <w:r w:rsidR="004563A5" w:rsidRPr="005C6ABA">
        <w:t xml:space="preserve">σακχαρώδη </w:t>
      </w:r>
      <w:r w:rsidRPr="005C6ABA">
        <w:t>διαβήτη.</w:t>
      </w:r>
      <w:r w:rsidRPr="005A464E">
        <w:t xml:space="preserve"> Το 57,2% των συμμετεχόντων πήγαινε στη μονάδα με ΙΧ. Επίσης, το 2,8% των συμμετεχόντων είχε κάνει ΠΚ και το 6,0% είχε κάνει μεταμόσχευση. Το 64,6% των ατόμων της ομάδας ελέγχου έκανε αιμοκάθαρση με φίστουλα, το 14,1% με μόσχευμα και το 21,3% με καθετήρα.</w:t>
      </w:r>
    </w:p>
    <w:p w:rsidR="007E28F2" w:rsidRPr="005A464E" w:rsidRDefault="007E28F2" w:rsidP="005A464E">
      <w:pPr>
        <w:pStyle w:val="nouk"/>
      </w:pPr>
    </w:p>
    <w:p w:rsidR="007E28F2" w:rsidRPr="005A464E" w:rsidRDefault="007E28F2" w:rsidP="005A464E">
      <w:pPr>
        <w:pStyle w:val="nouk"/>
      </w:pPr>
      <w:r w:rsidRPr="005A464E">
        <w:t xml:space="preserve">Στο γράφημα που ακολουθεί </w:t>
      </w:r>
      <w:r w:rsidR="00651B46">
        <w:t>(Γρ 12) δίνεται η</w:t>
      </w:r>
      <w:r w:rsidR="00554B38">
        <w:t xml:space="preserve"> </w:t>
      </w:r>
      <w:r w:rsidR="00ED66FF">
        <w:t>μέθοδος</w:t>
      </w:r>
      <w:r w:rsidR="00554B38">
        <w:t xml:space="preserve"> αγγειακής πρσπέλασης</w:t>
      </w:r>
      <w:r w:rsidRPr="005A464E">
        <w:t xml:space="preserve"> των συμμετεχόντων.</w:t>
      </w:r>
    </w:p>
    <w:p w:rsidR="007E28F2" w:rsidRDefault="00464728" w:rsidP="00ED3C0B">
      <w:pPr>
        <w:pStyle w:val="nouk"/>
        <w:jc w:val="center"/>
      </w:pPr>
      <w:r>
        <w:rPr>
          <w:noProof/>
          <w:lang w:eastAsia="el-GR"/>
        </w:rPr>
        <w:drawing>
          <wp:inline distT="0" distB="0" distL="0" distR="0">
            <wp:extent cx="3333750" cy="2828925"/>
            <wp:effectExtent l="19050" t="0" r="0" b="0"/>
            <wp:docPr id="12" name="Εικόνα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7" cstate="print"/>
                    <a:srcRect/>
                    <a:stretch>
                      <a:fillRect/>
                    </a:stretch>
                  </pic:blipFill>
                  <pic:spPr bwMode="auto">
                    <a:xfrm>
                      <a:off x="0" y="0"/>
                      <a:ext cx="3333750" cy="2828925"/>
                    </a:xfrm>
                    <a:prstGeom prst="rect">
                      <a:avLst/>
                    </a:prstGeom>
                    <a:noFill/>
                    <a:ln w="9525">
                      <a:noFill/>
                      <a:miter lim="800000"/>
                      <a:headEnd/>
                      <a:tailEnd/>
                    </a:ln>
                  </pic:spPr>
                </pic:pic>
              </a:graphicData>
            </a:graphic>
          </wp:inline>
        </w:drawing>
      </w:r>
    </w:p>
    <w:p w:rsidR="00554B38" w:rsidRPr="005A464E" w:rsidRDefault="00554B38" w:rsidP="00554B38">
      <w:pPr>
        <w:pStyle w:val="nouk"/>
      </w:pPr>
      <w:r w:rsidRPr="00846E7B">
        <w:rPr>
          <w:i/>
        </w:rPr>
        <w:t>Γράφημα 12</w:t>
      </w:r>
      <w:r>
        <w:rPr>
          <w:b/>
        </w:rPr>
        <w:t xml:space="preserve"> </w:t>
      </w:r>
      <w:r w:rsidR="00ED66FF">
        <w:t>Μέθοδος</w:t>
      </w:r>
      <w:r>
        <w:t xml:space="preserve"> αγγειακής πρ</w:t>
      </w:r>
      <w:r w:rsidR="009E3DE6">
        <w:t>ο</w:t>
      </w:r>
      <w:r>
        <w:t>σπέλασης</w:t>
      </w:r>
      <w:r w:rsidRPr="005A464E">
        <w:t xml:space="preserve"> των συμμετεχόντων.</w:t>
      </w:r>
    </w:p>
    <w:p w:rsidR="00554B38" w:rsidRDefault="00554B38" w:rsidP="00554B38">
      <w:pPr>
        <w:pStyle w:val="nouk"/>
        <w:rPr>
          <w:b/>
        </w:rPr>
      </w:pPr>
    </w:p>
    <w:p w:rsidR="00651B46" w:rsidRPr="00554B38" w:rsidRDefault="00651B46" w:rsidP="00554B38">
      <w:pPr>
        <w:pStyle w:val="nouk"/>
        <w:rPr>
          <w:b/>
        </w:rPr>
      </w:pPr>
    </w:p>
    <w:p w:rsidR="007E28F2" w:rsidRPr="005A464E" w:rsidRDefault="007E28F2" w:rsidP="005A464E">
      <w:pPr>
        <w:pStyle w:val="nouk"/>
      </w:pPr>
      <w:r w:rsidRPr="005A464E">
        <w:t xml:space="preserve">Στο γράφημα που ακολουθεί </w:t>
      </w:r>
      <w:r w:rsidR="00554B38">
        <w:t xml:space="preserve">(Γρ 13) </w:t>
      </w:r>
      <w:r w:rsidRPr="005A464E">
        <w:t xml:space="preserve">δίνονται οι νόσοι από τις οποίες πάσχουν οι συμμετέχοντες. </w:t>
      </w:r>
    </w:p>
    <w:p w:rsidR="007E28F2" w:rsidRPr="005A464E" w:rsidRDefault="00464728" w:rsidP="00ED3C0B">
      <w:pPr>
        <w:pStyle w:val="nouk"/>
        <w:jc w:val="center"/>
      </w:pPr>
      <w:r>
        <w:rPr>
          <w:noProof/>
          <w:lang w:eastAsia="el-GR"/>
        </w:rPr>
        <w:drawing>
          <wp:inline distT="0" distB="0" distL="0" distR="0">
            <wp:extent cx="3686175" cy="2943225"/>
            <wp:effectExtent l="19050" t="0" r="9525" b="0"/>
            <wp:docPr id="13" name="Εικόνα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8" cstate="print"/>
                    <a:srcRect/>
                    <a:stretch>
                      <a:fillRect/>
                    </a:stretch>
                  </pic:blipFill>
                  <pic:spPr bwMode="auto">
                    <a:xfrm>
                      <a:off x="0" y="0"/>
                      <a:ext cx="3686175" cy="2943225"/>
                    </a:xfrm>
                    <a:prstGeom prst="rect">
                      <a:avLst/>
                    </a:prstGeom>
                    <a:noFill/>
                    <a:ln w="9525">
                      <a:noFill/>
                      <a:miter lim="800000"/>
                      <a:headEnd/>
                      <a:tailEnd/>
                    </a:ln>
                  </pic:spPr>
                </pic:pic>
              </a:graphicData>
            </a:graphic>
          </wp:inline>
        </w:drawing>
      </w:r>
    </w:p>
    <w:p w:rsidR="00554B38" w:rsidRPr="005A464E" w:rsidRDefault="00554B38" w:rsidP="00554B38">
      <w:pPr>
        <w:pStyle w:val="nouk"/>
      </w:pPr>
      <w:r w:rsidRPr="00846E7B">
        <w:rPr>
          <w:i/>
        </w:rPr>
        <w:t>Γράφημα 13</w:t>
      </w:r>
      <w:r w:rsidRPr="00554B38">
        <w:rPr>
          <w:b/>
        </w:rPr>
        <w:t xml:space="preserve"> </w:t>
      </w:r>
      <w:r>
        <w:t xml:space="preserve">Νόσηματα από τα οποία </w:t>
      </w:r>
      <w:r w:rsidRPr="005A464E">
        <w:t xml:space="preserve">πάσχουν οι συμμετέχοντες. </w:t>
      </w:r>
    </w:p>
    <w:p w:rsidR="008847F1" w:rsidRPr="00F918EC" w:rsidRDefault="008847F1" w:rsidP="005A464E">
      <w:pPr>
        <w:pStyle w:val="nouk"/>
        <w:rPr>
          <w:b/>
        </w:rPr>
      </w:pPr>
    </w:p>
    <w:p w:rsidR="007E28F2" w:rsidRPr="005A464E" w:rsidRDefault="00540593" w:rsidP="005A464E">
      <w:pPr>
        <w:pStyle w:val="nouk"/>
      </w:pPr>
      <w:r w:rsidRPr="005A464E">
        <w:rPr>
          <w:b/>
        </w:rPr>
        <w:t>Γνώσεις</w:t>
      </w:r>
      <w:r w:rsidR="007E28F2" w:rsidRPr="005A464E">
        <w:t xml:space="preserve"> </w:t>
      </w:r>
    </w:p>
    <w:p w:rsidR="007E28F2" w:rsidRDefault="007E28F2" w:rsidP="005A464E">
      <w:pPr>
        <w:pStyle w:val="nouk"/>
      </w:pPr>
      <w:r w:rsidRPr="005A464E">
        <w:t>Στον ακόλουθο πίνακα</w:t>
      </w:r>
      <w:r w:rsidR="00F6061C">
        <w:t xml:space="preserve"> (Πίν 35</w:t>
      </w:r>
      <w:r w:rsidR="00554B38">
        <w:t>)</w:t>
      </w:r>
      <w:r w:rsidR="0078495A">
        <w:t xml:space="preserve"> </w:t>
      </w:r>
      <w:r w:rsidRPr="005A464E">
        <w:t xml:space="preserve">δίνεται η βαθμολογία γνώσεων των συμμετεχόντων. Η βαθμολογία μπορεί να κυμανθεί από 0 έως 26 μονάδες, με τις υψηλότερες τιμές να υποδηλώνουν μεγαλύτερη γνώση. </w:t>
      </w:r>
    </w:p>
    <w:p w:rsidR="00510761" w:rsidRPr="005A464E" w:rsidRDefault="00510761" w:rsidP="005A464E">
      <w:pPr>
        <w:pStyle w:val="nouk"/>
      </w:pPr>
    </w:p>
    <w:p w:rsidR="00510761" w:rsidRPr="00F918EC" w:rsidRDefault="00F6061C" w:rsidP="00510761">
      <w:pPr>
        <w:spacing w:after="0" w:line="360" w:lineRule="auto"/>
        <w:jc w:val="both"/>
        <w:rPr>
          <w:rFonts w:asciiTheme="minorHAnsi" w:eastAsia="Times New Roman" w:hAnsiTheme="minorHAnsi" w:cs="Arial"/>
          <w:color w:val="000000"/>
        </w:rPr>
      </w:pPr>
      <w:r>
        <w:rPr>
          <w:rFonts w:asciiTheme="minorHAnsi" w:eastAsia="Times New Roman" w:hAnsiTheme="minorHAnsi" w:cs="Arial"/>
          <w:color w:val="000000"/>
        </w:rPr>
        <w:t>Πίνακας 35</w:t>
      </w:r>
      <w:r w:rsidR="00510761" w:rsidRPr="00872FD2">
        <w:rPr>
          <w:rFonts w:asciiTheme="minorHAnsi" w:eastAsia="Times New Roman" w:hAnsiTheme="minorHAnsi" w:cs="Arial"/>
          <w:color w:val="000000"/>
        </w:rPr>
        <w:t xml:space="preserve"> </w:t>
      </w:r>
    </w:p>
    <w:p w:rsidR="007E28F2" w:rsidRPr="005A464E" w:rsidRDefault="00510761" w:rsidP="00510761">
      <w:pPr>
        <w:pStyle w:val="nouk"/>
      </w:pPr>
      <w:r w:rsidRPr="008847F1">
        <w:rPr>
          <w:rFonts w:asciiTheme="minorHAnsi" w:eastAsiaTheme="minorHAnsi" w:hAnsiTheme="minorHAnsi" w:cstheme="minorBidi"/>
          <w:bCs/>
          <w:i/>
          <w:color w:val="000000"/>
        </w:rPr>
        <w:t>Βαθμολογία γνώσεων των συμμετεχόντων (Ν=321)</w:t>
      </w:r>
    </w:p>
    <w:tbl>
      <w:tblPr>
        <w:tblStyle w:val="-41"/>
        <w:tblW w:w="7870" w:type="dxa"/>
        <w:tblLook w:val="0400"/>
      </w:tblPr>
      <w:tblGrid>
        <w:gridCol w:w="2297"/>
        <w:gridCol w:w="1134"/>
        <w:gridCol w:w="1072"/>
        <w:gridCol w:w="1554"/>
        <w:gridCol w:w="1813"/>
      </w:tblGrid>
      <w:tr w:rsidR="007E28F2" w:rsidRPr="00651B46" w:rsidTr="00651B46">
        <w:trPr>
          <w:cnfStyle w:val="000000100000"/>
          <w:trHeight w:val="345"/>
        </w:trPr>
        <w:tc>
          <w:tcPr>
            <w:tcW w:w="2297" w:type="dxa"/>
            <w:hideMark/>
          </w:tcPr>
          <w:p w:rsidR="007E28F2" w:rsidRPr="00651B46" w:rsidRDefault="007E28F2" w:rsidP="00872FD2">
            <w:pPr>
              <w:spacing w:after="0" w:line="240" w:lineRule="auto"/>
              <w:rPr>
                <w:rFonts w:asciiTheme="minorHAnsi" w:eastAsia="Times New Roman" w:hAnsiTheme="minorHAnsi" w:cs="Arial"/>
                <w:b/>
                <w:bCs/>
                <w:color w:val="000000"/>
                <w:sz w:val="24"/>
                <w:szCs w:val="24"/>
              </w:rPr>
            </w:pPr>
          </w:p>
        </w:tc>
        <w:tc>
          <w:tcPr>
            <w:tcW w:w="1134" w:type="dxa"/>
            <w:hideMark/>
          </w:tcPr>
          <w:p w:rsidR="007E28F2" w:rsidRPr="00651B46" w:rsidRDefault="007E28F2" w:rsidP="00872FD2">
            <w:pPr>
              <w:spacing w:after="0" w:line="240" w:lineRule="auto"/>
              <w:jc w:val="center"/>
              <w:rPr>
                <w:rFonts w:asciiTheme="minorHAnsi" w:eastAsia="Times New Roman" w:hAnsiTheme="minorHAnsi" w:cs="Arial"/>
                <w:b/>
                <w:bCs/>
                <w:color w:val="000000"/>
                <w:sz w:val="24"/>
                <w:szCs w:val="24"/>
              </w:rPr>
            </w:pPr>
            <w:r w:rsidRPr="00651B46">
              <w:rPr>
                <w:rFonts w:asciiTheme="minorHAnsi" w:eastAsia="Times New Roman" w:hAnsiTheme="minorHAnsi" w:cs="Arial"/>
                <w:b/>
                <w:bCs/>
                <w:color w:val="000000"/>
                <w:sz w:val="24"/>
                <w:szCs w:val="24"/>
              </w:rPr>
              <w:t>Ελάχιστη τιμή</w:t>
            </w:r>
          </w:p>
        </w:tc>
        <w:tc>
          <w:tcPr>
            <w:tcW w:w="1072" w:type="dxa"/>
            <w:hideMark/>
          </w:tcPr>
          <w:p w:rsidR="007E28F2" w:rsidRPr="00651B46" w:rsidRDefault="007E28F2" w:rsidP="00872FD2">
            <w:pPr>
              <w:spacing w:after="0" w:line="240" w:lineRule="auto"/>
              <w:jc w:val="center"/>
              <w:rPr>
                <w:rFonts w:asciiTheme="minorHAnsi" w:eastAsia="Times New Roman" w:hAnsiTheme="minorHAnsi" w:cs="Arial"/>
                <w:b/>
                <w:bCs/>
                <w:color w:val="000000"/>
                <w:sz w:val="24"/>
                <w:szCs w:val="24"/>
              </w:rPr>
            </w:pPr>
            <w:r w:rsidRPr="00651B46">
              <w:rPr>
                <w:rFonts w:asciiTheme="minorHAnsi" w:eastAsia="Times New Roman" w:hAnsiTheme="minorHAnsi" w:cs="Arial"/>
                <w:b/>
                <w:bCs/>
                <w:color w:val="000000"/>
                <w:sz w:val="24"/>
                <w:szCs w:val="24"/>
              </w:rPr>
              <w:t>Μέγιστη τιμή</w:t>
            </w:r>
          </w:p>
        </w:tc>
        <w:tc>
          <w:tcPr>
            <w:tcW w:w="1554" w:type="dxa"/>
            <w:noWrap/>
            <w:hideMark/>
          </w:tcPr>
          <w:p w:rsidR="007E28F2" w:rsidRPr="00651B46" w:rsidRDefault="00540593" w:rsidP="00872FD2">
            <w:pPr>
              <w:spacing w:after="0" w:line="240" w:lineRule="auto"/>
              <w:jc w:val="center"/>
              <w:rPr>
                <w:rFonts w:asciiTheme="minorHAnsi" w:eastAsia="Times New Roman" w:hAnsiTheme="minorHAnsi" w:cs="Arial"/>
                <w:b/>
                <w:bCs/>
                <w:color w:val="000000"/>
                <w:sz w:val="24"/>
                <w:szCs w:val="24"/>
              </w:rPr>
            </w:pPr>
            <w:r w:rsidRPr="00651B46">
              <w:rPr>
                <w:rFonts w:asciiTheme="minorHAnsi" w:eastAsia="Times New Roman" w:hAnsiTheme="minorHAnsi" w:cs="Arial"/>
                <w:b/>
                <w:bCs/>
                <w:color w:val="000000"/>
                <w:sz w:val="24"/>
                <w:szCs w:val="24"/>
              </w:rPr>
              <w:t>Μέση Τιμή</w:t>
            </w:r>
            <w:r w:rsidR="00554B38" w:rsidRPr="00651B46">
              <w:rPr>
                <w:rFonts w:asciiTheme="minorHAnsi" w:eastAsia="Times New Roman" w:hAnsiTheme="minorHAnsi" w:cs="Arial"/>
                <w:b/>
                <w:bCs/>
                <w:color w:val="000000"/>
                <w:sz w:val="24"/>
                <w:szCs w:val="24"/>
              </w:rPr>
              <w:t xml:space="preserve"> </w:t>
            </w:r>
            <w:r w:rsidR="007E28F2" w:rsidRPr="00651B46">
              <w:rPr>
                <w:rFonts w:asciiTheme="minorHAnsi" w:eastAsia="Times New Roman" w:hAnsiTheme="minorHAnsi" w:cs="Arial"/>
                <w:b/>
                <w:bCs/>
                <w:color w:val="000000"/>
                <w:sz w:val="24"/>
                <w:szCs w:val="24"/>
              </w:rPr>
              <w:t>(</w:t>
            </w:r>
            <w:r w:rsidR="00D225F5" w:rsidRPr="00651B46">
              <w:rPr>
                <w:rFonts w:asciiTheme="minorHAnsi" w:eastAsia="Times New Roman" w:hAnsiTheme="minorHAnsi" w:cs="Arial"/>
                <w:b/>
                <w:bCs/>
                <w:color w:val="000000"/>
                <w:sz w:val="24"/>
                <w:szCs w:val="24"/>
              </w:rPr>
              <w:t>ΤΑ</w:t>
            </w:r>
            <w:r w:rsidR="007E28F2" w:rsidRPr="00651B46">
              <w:rPr>
                <w:rFonts w:asciiTheme="minorHAnsi" w:eastAsia="Times New Roman" w:hAnsiTheme="minorHAnsi" w:cs="Arial"/>
                <w:b/>
                <w:bCs/>
                <w:color w:val="000000"/>
                <w:sz w:val="24"/>
                <w:szCs w:val="24"/>
              </w:rPr>
              <w:t>)</w:t>
            </w:r>
          </w:p>
        </w:tc>
        <w:tc>
          <w:tcPr>
            <w:tcW w:w="1813" w:type="dxa"/>
          </w:tcPr>
          <w:p w:rsidR="007E28F2" w:rsidRPr="00651B46" w:rsidRDefault="00540593" w:rsidP="00872FD2">
            <w:pPr>
              <w:spacing w:after="0" w:line="240" w:lineRule="auto"/>
              <w:jc w:val="center"/>
              <w:rPr>
                <w:rFonts w:asciiTheme="minorHAnsi" w:eastAsia="Times New Roman" w:hAnsiTheme="minorHAnsi" w:cs="Arial"/>
                <w:b/>
                <w:bCs/>
                <w:color w:val="000000"/>
                <w:sz w:val="24"/>
                <w:szCs w:val="24"/>
              </w:rPr>
            </w:pPr>
            <w:r w:rsidRPr="00651B46">
              <w:rPr>
                <w:rFonts w:asciiTheme="minorHAnsi" w:eastAsia="Times New Roman" w:hAnsiTheme="minorHAnsi" w:cs="Arial"/>
                <w:b/>
                <w:bCs/>
                <w:color w:val="000000"/>
                <w:sz w:val="24"/>
                <w:szCs w:val="24"/>
              </w:rPr>
              <w:t>Μέση Τιμή</w:t>
            </w:r>
            <w:r w:rsidR="007E28F2" w:rsidRPr="00651B46">
              <w:rPr>
                <w:rFonts w:asciiTheme="minorHAnsi" w:eastAsia="Times New Roman" w:hAnsiTheme="minorHAnsi" w:cs="Arial"/>
                <w:b/>
                <w:bCs/>
                <w:color w:val="000000"/>
                <w:sz w:val="24"/>
                <w:szCs w:val="24"/>
              </w:rPr>
              <w:t xml:space="preserve"> (</w:t>
            </w:r>
            <w:r w:rsidR="00D225F5" w:rsidRPr="00651B46">
              <w:rPr>
                <w:rFonts w:asciiTheme="minorHAnsi" w:eastAsia="Times New Roman" w:hAnsiTheme="minorHAnsi" w:cs="Arial"/>
                <w:b/>
                <w:bCs/>
                <w:color w:val="000000"/>
                <w:sz w:val="24"/>
                <w:szCs w:val="24"/>
              </w:rPr>
              <w:t>ΤΑ</w:t>
            </w:r>
            <w:r w:rsidR="007E28F2" w:rsidRPr="00651B46">
              <w:rPr>
                <w:rFonts w:asciiTheme="minorHAnsi" w:eastAsia="Times New Roman" w:hAnsiTheme="minorHAnsi" w:cs="Arial"/>
                <w:b/>
                <w:bCs/>
                <w:color w:val="000000"/>
                <w:sz w:val="24"/>
                <w:szCs w:val="24"/>
              </w:rPr>
              <w:t>)*</w:t>
            </w:r>
          </w:p>
        </w:tc>
      </w:tr>
      <w:tr w:rsidR="007E28F2" w:rsidRPr="00651B46" w:rsidTr="00510761">
        <w:trPr>
          <w:cnfStyle w:val="000000010000"/>
          <w:trHeight w:val="345"/>
        </w:trPr>
        <w:tc>
          <w:tcPr>
            <w:tcW w:w="2330" w:type="dxa"/>
            <w:hideMark/>
          </w:tcPr>
          <w:p w:rsidR="007E28F2" w:rsidRPr="00651B46" w:rsidRDefault="007E28F2" w:rsidP="00872FD2">
            <w:pPr>
              <w:spacing w:after="0" w:line="240" w:lineRule="auto"/>
              <w:rPr>
                <w:rFonts w:asciiTheme="minorHAnsi" w:eastAsia="Times New Roman" w:hAnsiTheme="minorHAnsi" w:cs="Arial"/>
                <w:b/>
                <w:bCs/>
                <w:color w:val="000000"/>
                <w:sz w:val="24"/>
                <w:szCs w:val="24"/>
              </w:rPr>
            </w:pPr>
            <w:r w:rsidRPr="00651B46">
              <w:rPr>
                <w:rFonts w:asciiTheme="minorHAnsi" w:eastAsia="Times New Roman" w:hAnsiTheme="minorHAnsi" w:cs="Arial"/>
                <w:color w:val="000000"/>
                <w:sz w:val="24"/>
                <w:szCs w:val="24"/>
              </w:rPr>
              <w:t>Βαθμολογία γνώσεων</w:t>
            </w:r>
          </w:p>
        </w:tc>
        <w:tc>
          <w:tcPr>
            <w:tcW w:w="1134" w:type="dxa"/>
            <w:noWrap/>
            <w:hideMark/>
          </w:tcPr>
          <w:p w:rsidR="007E28F2" w:rsidRPr="00651B46" w:rsidRDefault="007E28F2" w:rsidP="00872FD2">
            <w:pPr>
              <w:spacing w:after="0" w:line="240" w:lineRule="auto"/>
              <w:jc w:val="center"/>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2,00</w:t>
            </w:r>
          </w:p>
        </w:tc>
        <w:tc>
          <w:tcPr>
            <w:tcW w:w="1001" w:type="dxa"/>
            <w:noWrap/>
            <w:hideMark/>
          </w:tcPr>
          <w:p w:rsidR="007E28F2" w:rsidRPr="00651B46" w:rsidRDefault="007E28F2" w:rsidP="00872FD2">
            <w:pPr>
              <w:spacing w:after="0" w:line="240" w:lineRule="auto"/>
              <w:jc w:val="center"/>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24,00</w:t>
            </w:r>
          </w:p>
        </w:tc>
        <w:tc>
          <w:tcPr>
            <w:tcW w:w="1554" w:type="dxa"/>
            <w:noWrap/>
            <w:hideMark/>
          </w:tcPr>
          <w:p w:rsidR="007E28F2" w:rsidRPr="00651B46" w:rsidRDefault="007E28F2" w:rsidP="00872FD2">
            <w:pPr>
              <w:spacing w:after="0" w:line="240" w:lineRule="auto"/>
              <w:jc w:val="center"/>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13,1 (5)</w:t>
            </w:r>
          </w:p>
        </w:tc>
        <w:tc>
          <w:tcPr>
            <w:tcW w:w="1851" w:type="dxa"/>
          </w:tcPr>
          <w:p w:rsidR="007E28F2" w:rsidRPr="00651B46" w:rsidRDefault="007E28F2" w:rsidP="00872FD2">
            <w:pPr>
              <w:spacing w:after="0" w:line="240" w:lineRule="auto"/>
              <w:jc w:val="center"/>
              <w:rPr>
                <w:rFonts w:asciiTheme="minorHAnsi" w:eastAsia="Times New Roman" w:hAnsiTheme="minorHAnsi" w:cs="Arial"/>
                <w:color w:val="000000"/>
                <w:sz w:val="24"/>
                <w:szCs w:val="24"/>
              </w:rPr>
            </w:pPr>
            <w:r w:rsidRPr="00651B46">
              <w:rPr>
                <w:rFonts w:asciiTheme="minorHAnsi" w:eastAsia="Times New Roman" w:hAnsiTheme="minorHAnsi" w:cs="Arial"/>
                <w:color w:val="000000"/>
                <w:sz w:val="24"/>
                <w:szCs w:val="24"/>
              </w:rPr>
              <w:t>50,4 (19,2)</w:t>
            </w:r>
          </w:p>
        </w:tc>
      </w:tr>
      <w:tr w:rsidR="00651B46" w:rsidRPr="00651B46" w:rsidTr="00651B46">
        <w:trPr>
          <w:cnfStyle w:val="000000100000"/>
          <w:trHeight w:val="345"/>
        </w:trPr>
        <w:tc>
          <w:tcPr>
            <w:tcW w:w="7870" w:type="dxa"/>
            <w:gridSpan w:val="5"/>
            <w:hideMark/>
          </w:tcPr>
          <w:p w:rsidR="00651B46" w:rsidRPr="00651B46" w:rsidRDefault="00651B46" w:rsidP="00651B46">
            <w:pPr>
              <w:pStyle w:val="nouk"/>
              <w:rPr>
                <w:i/>
                <w:sz w:val="20"/>
                <w:szCs w:val="20"/>
              </w:rPr>
            </w:pPr>
            <w:r w:rsidRPr="00651B46">
              <w:rPr>
                <w:i/>
                <w:sz w:val="20"/>
                <w:szCs w:val="20"/>
              </w:rPr>
              <w:t>*αφορά στη % βαθμολογία γνώσεων</w:t>
            </w:r>
          </w:p>
        </w:tc>
      </w:tr>
    </w:tbl>
    <w:p w:rsidR="007E28F2" w:rsidRPr="005A464E" w:rsidRDefault="007E28F2" w:rsidP="005A464E">
      <w:pPr>
        <w:pStyle w:val="nouk"/>
      </w:pPr>
    </w:p>
    <w:p w:rsidR="007E28F2" w:rsidRPr="005A464E" w:rsidRDefault="007E28F2" w:rsidP="005A464E">
      <w:pPr>
        <w:pStyle w:val="nouk"/>
      </w:pPr>
      <w:r w:rsidRPr="005A464E">
        <w:t xml:space="preserve">Η βαθμολογία γνώσεων κυμαινόταν από 2 έως 24 μονάδες με τη </w:t>
      </w:r>
      <w:r w:rsidR="00540593" w:rsidRPr="005A464E">
        <w:t>Μέση Τιμή</w:t>
      </w:r>
      <w:r w:rsidRPr="005A464E">
        <w:t xml:space="preserve"> να είναι 13,1 μονάδες (</w:t>
      </w:r>
      <w:r w:rsidR="00D225F5" w:rsidRPr="005A464E">
        <w:t>ΤΑ</w:t>
      </w:r>
      <w:r w:rsidRPr="005A464E">
        <w:t>=5,0 μονάδες). Κανείς από τους συμμετέχοντες δεν είχε την ελάχιστη ή τη μέγιστη βαθμολογία γνώσεων. Η μέση βαθμολογία στην ποσοστιαία κλίμακα ήταν 50,4% (</w:t>
      </w:r>
      <w:r w:rsidR="00D225F5" w:rsidRPr="005A464E">
        <w:t>ΤΑ</w:t>
      </w:r>
      <w:r w:rsidRPr="005A464E">
        <w:t>=19,2%).</w:t>
      </w:r>
    </w:p>
    <w:p w:rsidR="007E28F2" w:rsidRDefault="007E28F2" w:rsidP="009D0526">
      <w:pPr>
        <w:pStyle w:val="nouk"/>
      </w:pPr>
      <w:r w:rsidRPr="005A464E">
        <w:t>Στη συνέχεια έγινε πολυπαραγοντική γραμμική παλινδρόμηση έχοντας σαν εξαρτημένη μεταβλητή τη βαθμολογία γνώσεων και σαν ανεξάρτητες τα δημογραφικά και κλινικά στοιχεία των συμμετεχόντων. Με τη μέθοδο διαδοχικής ένταξης/αφαίρεσης (</w:t>
      </w:r>
      <w:r w:rsidRPr="005A464E">
        <w:rPr>
          <w:lang w:val="en-US"/>
        </w:rPr>
        <w:t>stepwise</w:t>
      </w:r>
      <w:r w:rsidRPr="005A464E">
        <w:t xml:space="preserve"> </w:t>
      </w:r>
      <w:r w:rsidRPr="005A464E">
        <w:rPr>
          <w:lang w:val="en-US"/>
        </w:rPr>
        <w:t>method</w:t>
      </w:r>
      <w:r w:rsidRPr="005A464E">
        <w:t>) βρέθηκαν τα αποτελέσματα του παρακάτω πίνακα</w:t>
      </w:r>
      <w:r w:rsidR="00F6061C">
        <w:t xml:space="preserve"> (Πίν 36</w:t>
      </w:r>
      <w:r w:rsidR="00ED3C0B">
        <w:t>)</w:t>
      </w:r>
      <w:r w:rsidRPr="005A464E">
        <w:t xml:space="preserve">. </w:t>
      </w:r>
    </w:p>
    <w:p w:rsidR="00510761" w:rsidRDefault="00510761" w:rsidP="00510761">
      <w:pPr>
        <w:spacing w:after="0" w:line="360" w:lineRule="auto"/>
        <w:jc w:val="both"/>
        <w:rPr>
          <w:rFonts w:asciiTheme="minorHAnsi" w:eastAsia="Times New Roman" w:hAnsiTheme="minorHAnsi" w:cs="Arial"/>
          <w:bCs/>
          <w:color w:val="000000"/>
        </w:rPr>
      </w:pPr>
    </w:p>
    <w:p w:rsidR="00510761" w:rsidRPr="00510761" w:rsidRDefault="00F6061C" w:rsidP="00510761">
      <w:pPr>
        <w:spacing w:after="0" w:line="360" w:lineRule="auto"/>
        <w:jc w:val="both"/>
        <w:rPr>
          <w:rFonts w:asciiTheme="minorHAnsi" w:eastAsia="Times New Roman" w:hAnsiTheme="minorHAnsi" w:cs="Arial"/>
          <w:bCs/>
          <w:color w:val="000000"/>
        </w:rPr>
      </w:pPr>
      <w:r>
        <w:rPr>
          <w:rFonts w:asciiTheme="minorHAnsi" w:eastAsia="Times New Roman" w:hAnsiTheme="minorHAnsi" w:cs="Arial"/>
          <w:bCs/>
          <w:color w:val="000000"/>
        </w:rPr>
        <w:t>Πίνακας 36</w:t>
      </w:r>
    </w:p>
    <w:p w:rsidR="009D0526" w:rsidRPr="005A464E" w:rsidRDefault="00510761" w:rsidP="00510761">
      <w:pPr>
        <w:pStyle w:val="nouk"/>
      </w:pPr>
      <w:r w:rsidRPr="008847F1">
        <w:rPr>
          <w:rFonts w:asciiTheme="minorHAnsi" w:eastAsiaTheme="minorHAnsi" w:hAnsiTheme="minorHAnsi" w:cstheme="minorBidi"/>
          <w:i/>
        </w:rPr>
        <w:t>Πολυπαραγοντική γραμμική παλινδρόμηση</w:t>
      </w:r>
      <w:r w:rsidRPr="00510761">
        <w:t xml:space="preserve"> </w:t>
      </w:r>
      <w:r w:rsidRPr="005A464E">
        <w:t>τη</w:t>
      </w:r>
      <w:r>
        <w:t>ς</w:t>
      </w:r>
      <w:r w:rsidRPr="005A464E">
        <w:t xml:space="preserve"> βαθμολογία</w:t>
      </w:r>
      <w:r>
        <w:t>ς</w:t>
      </w:r>
      <w:r w:rsidRPr="005A464E">
        <w:t xml:space="preserve"> γνώσεων </w:t>
      </w:r>
      <w:r>
        <w:t xml:space="preserve">με </w:t>
      </w:r>
      <w:r w:rsidRPr="005A464E">
        <w:t>τα δημογραφικά και κλινικά στοιχεία των συμμετεχόντων</w:t>
      </w:r>
    </w:p>
    <w:tbl>
      <w:tblPr>
        <w:tblStyle w:val="-41"/>
        <w:tblW w:w="9119" w:type="dxa"/>
        <w:jc w:val="center"/>
        <w:tblLook w:val="0400"/>
      </w:tblPr>
      <w:tblGrid>
        <w:gridCol w:w="3615"/>
        <w:gridCol w:w="2624"/>
        <w:gridCol w:w="960"/>
        <w:gridCol w:w="960"/>
        <w:gridCol w:w="960"/>
      </w:tblGrid>
      <w:tr w:rsidR="007E28F2" w:rsidRPr="00651B46" w:rsidTr="00510761">
        <w:trPr>
          <w:cnfStyle w:val="000000100000"/>
          <w:trHeight w:val="345"/>
          <w:jc w:val="center"/>
        </w:trPr>
        <w:tc>
          <w:tcPr>
            <w:tcW w:w="3615" w:type="dxa"/>
            <w:hideMark/>
          </w:tcPr>
          <w:p w:rsidR="007E28F2" w:rsidRPr="00651B46" w:rsidRDefault="007E28F2" w:rsidP="005A464E">
            <w:pPr>
              <w:spacing w:after="0" w:line="360" w:lineRule="auto"/>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b/>
                <w:bCs/>
                <w:color w:val="000000"/>
                <w:sz w:val="24"/>
                <w:szCs w:val="24"/>
              </w:rPr>
              <w:t> </w:t>
            </w:r>
          </w:p>
        </w:tc>
        <w:tc>
          <w:tcPr>
            <w:tcW w:w="2624" w:type="dxa"/>
            <w:hideMark/>
          </w:tcPr>
          <w:p w:rsidR="007E28F2" w:rsidRPr="00651B46" w:rsidRDefault="007E28F2" w:rsidP="005A464E">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 </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b/>
                <w:bCs/>
                <w:color w:val="000000"/>
                <w:sz w:val="24"/>
                <w:szCs w:val="24"/>
              </w:rPr>
              <w:t>β+</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b/>
                <w:bCs/>
                <w:color w:val="000000"/>
                <w:sz w:val="24"/>
                <w:szCs w:val="24"/>
              </w:rPr>
              <w:t>SE++</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b/>
                <w:bCs/>
                <w:color w:val="000000"/>
                <w:sz w:val="24"/>
                <w:szCs w:val="24"/>
              </w:rPr>
            </w:pPr>
            <w:r w:rsidRPr="00651B46">
              <w:rPr>
                <w:rFonts w:asciiTheme="minorHAnsi" w:eastAsia="Times New Roman" w:hAnsiTheme="minorHAnsi" w:cstheme="minorHAnsi"/>
                <w:b/>
                <w:bCs/>
                <w:color w:val="000000"/>
                <w:sz w:val="24"/>
                <w:szCs w:val="24"/>
              </w:rPr>
              <w:t>P</w:t>
            </w:r>
          </w:p>
        </w:tc>
      </w:tr>
      <w:tr w:rsidR="007E28F2" w:rsidRPr="00651B46" w:rsidTr="00510761">
        <w:trPr>
          <w:cnfStyle w:val="000000010000"/>
          <w:trHeight w:val="345"/>
          <w:jc w:val="center"/>
        </w:trPr>
        <w:tc>
          <w:tcPr>
            <w:tcW w:w="3615" w:type="dxa"/>
            <w:hideMark/>
          </w:tcPr>
          <w:p w:rsidR="007E28F2" w:rsidRPr="00651B46" w:rsidRDefault="007E28F2" w:rsidP="005A464E">
            <w:pPr>
              <w:spacing w:after="0" w:line="360" w:lineRule="auto"/>
              <w:rPr>
                <w:rFonts w:asciiTheme="minorHAnsi" w:eastAsia="Times New Roman" w:hAnsiTheme="minorHAnsi" w:cstheme="minorHAnsi"/>
                <w:bCs/>
                <w:color w:val="000000"/>
                <w:sz w:val="24"/>
                <w:szCs w:val="24"/>
              </w:rPr>
            </w:pPr>
            <w:r w:rsidRPr="00651B46">
              <w:rPr>
                <w:rFonts w:asciiTheme="minorHAnsi" w:eastAsia="Times New Roman" w:hAnsiTheme="minorHAnsi" w:cstheme="minorHAnsi"/>
                <w:bCs/>
                <w:color w:val="000000"/>
                <w:sz w:val="24"/>
                <w:szCs w:val="24"/>
              </w:rPr>
              <w:t>Ηλικία</w:t>
            </w:r>
          </w:p>
        </w:tc>
        <w:tc>
          <w:tcPr>
            <w:tcW w:w="2624" w:type="dxa"/>
            <w:noWrap/>
            <w:hideMark/>
          </w:tcPr>
          <w:p w:rsidR="007E28F2" w:rsidRPr="00651B46" w:rsidRDefault="007E28F2" w:rsidP="005A464E">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 </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-0,05</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0,02</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b/>
                <w:color w:val="000000"/>
                <w:sz w:val="24"/>
                <w:szCs w:val="24"/>
              </w:rPr>
            </w:pPr>
            <w:r w:rsidRPr="00651B46">
              <w:rPr>
                <w:rFonts w:asciiTheme="minorHAnsi" w:eastAsia="Times New Roman" w:hAnsiTheme="minorHAnsi" w:cstheme="minorHAnsi"/>
                <w:b/>
                <w:color w:val="000000"/>
                <w:sz w:val="24"/>
                <w:szCs w:val="24"/>
              </w:rPr>
              <w:t>0,030</w:t>
            </w:r>
          </w:p>
        </w:tc>
      </w:tr>
      <w:tr w:rsidR="007E28F2" w:rsidRPr="00651B46" w:rsidTr="00510761">
        <w:trPr>
          <w:cnfStyle w:val="000000100000"/>
          <w:trHeight w:val="345"/>
          <w:jc w:val="center"/>
        </w:trPr>
        <w:tc>
          <w:tcPr>
            <w:tcW w:w="3615" w:type="dxa"/>
            <w:vMerge w:val="restart"/>
            <w:hideMark/>
          </w:tcPr>
          <w:p w:rsidR="007E28F2" w:rsidRPr="00651B46" w:rsidRDefault="007E28F2" w:rsidP="005A464E">
            <w:pPr>
              <w:spacing w:after="0" w:line="360" w:lineRule="auto"/>
              <w:rPr>
                <w:rFonts w:asciiTheme="minorHAnsi" w:eastAsia="Times New Roman" w:hAnsiTheme="minorHAnsi" w:cstheme="minorHAnsi"/>
                <w:bCs/>
                <w:color w:val="000000"/>
                <w:sz w:val="24"/>
                <w:szCs w:val="24"/>
              </w:rPr>
            </w:pPr>
            <w:r w:rsidRPr="00651B46">
              <w:rPr>
                <w:rFonts w:asciiTheme="minorHAnsi" w:eastAsia="Times New Roman" w:hAnsiTheme="minorHAnsi" w:cstheme="minorHAnsi"/>
                <w:bCs/>
                <w:color w:val="000000"/>
                <w:sz w:val="24"/>
                <w:szCs w:val="24"/>
              </w:rPr>
              <w:t>Μένετε μόνος;</w:t>
            </w:r>
          </w:p>
        </w:tc>
        <w:tc>
          <w:tcPr>
            <w:tcW w:w="2624" w:type="dxa"/>
            <w:hideMark/>
          </w:tcPr>
          <w:p w:rsidR="007E28F2" w:rsidRPr="00651B46" w:rsidRDefault="007E28F2" w:rsidP="005A464E">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Ναι (αναφορά)</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color w:val="000000"/>
                <w:sz w:val="24"/>
                <w:szCs w:val="24"/>
              </w:rPr>
            </w:pP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color w:val="000000"/>
                <w:sz w:val="24"/>
                <w:szCs w:val="24"/>
              </w:rPr>
            </w:pP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b/>
                <w:color w:val="000000"/>
                <w:sz w:val="24"/>
                <w:szCs w:val="24"/>
              </w:rPr>
            </w:pPr>
          </w:p>
        </w:tc>
      </w:tr>
      <w:tr w:rsidR="007E28F2" w:rsidRPr="00651B46" w:rsidTr="00510761">
        <w:trPr>
          <w:cnfStyle w:val="000000010000"/>
          <w:trHeight w:val="345"/>
          <w:jc w:val="center"/>
        </w:trPr>
        <w:tc>
          <w:tcPr>
            <w:tcW w:w="3615" w:type="dxa"/>
            <w:vMerge/>
            <w:hideMark/>
          </w:tcPr>
          <w:p w:rsidR="007E28F2" w:rsidRPr="00651B46" w:rsidRDefault="007E28F2" w:rsidP="005A464E">
            <w:pPr>
              <w:spacing w:after="0" w:line="360" w:lineRule="auto"/>
              <w:rPr>
                <w:rFonts w:asciiTheme="minorHAnsi" w:eastAsia="Times New Roman" w:hAnsiTheme="minorHAnsi" w:cstheme="minorHAnsi"/>
                <w:bCs/>
                <w:color w:val="000000"/>
                <w:sz w:val="24"/>
                <w:szCs w:val="24"/>
              </w:rPr>
            </w:pPr>
          </w:p>
        </w:tc>
        <w:tc>
          <w:tcPr>
            <w:tcW w:w="2624" w:type="dxa"/>
            <w:hideMark/>
          </w:tcPr>
          <w:p w:rsidR="007E28F2" w:rsidRPr="00651B46" w:rsidRDefault="007E28F2" w:rsidP="005A464E">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Όχι</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-1,81</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0,72</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b/>
                <w:color w:val="000000"/>
                <w:sz w:val="24"/>
                <w:szCs w:val="24"/>
              </w:rPr>
            </w:pPr>
            <w:r w:rsidRPr="00651B46">
              <w:rPr>
                <w:rFonts w:asciiTheme="minorHAnsi" w:eastAsia="Times New Roman" w:hAnsiTheme="minorHAnsi" w:cstheme="minorHAnsi"/>
                <w:b/>
                <w:color w:val="000000"/>
                <w:sz w:val="24"/>
                <w:szCs w:val="24"/>
              </w:rPr>
              <w:t>0,013</w:t>
            </w:r>
          </w:p>
        </w:tc>
      </w:tr>
      <w:tr w:rsidR="007E28F2" w:rsidRPr="00651B46" w:rsidTr="00510761">
        <w:trPr>
          <w:cnfStyle w:val="000000100000"/>
          <w:trHeight w:val="345"/>
          <w:jc w:val="center"/>
        </w:trPr>
        <w:tc>
          <w:tcPr>
            <w:tcW w:w="3615" w:type="dxa"/>
            <w:vMerge w:val="restart"/>
            <w:hideMark/>
          </w:tcPr>
          <w:p w:rsidR="007E28F2" w:rsidRPr="00651B46" w:rsidRDefault="000D053B" w:rsidP="005A464E">
            <w:pPr>
              <w:spacing w:after="0" w:line="360" w:lineRule="auto"/>
              <w:rPr>
                <w:rFonts w:asciiTheme="minorHAnsi" w:eastAsia="Times New Roman" w:hAnsiTheme="minorHAnsi" w:cstheme="minorHAnsi"/>
                <w:bCs/>
                <w:color w:val="000000"/>
                <w:sz w:val="24"/>
                <w:szCs w:val="24"/>
              </w:rPr>
            </w:pPr>
            <w:r w:rsidRPr="00651B46">
              <w:rPr>
                <w:rFonts w:asciiTheme="minorHAnsi" w:eastAsia="Times New Roman" w:hAnsiTheme="minorHAnsi" w:cstheme="minorHAnsi"/>
                <w:bCs/>
                <w:color w:val="000000"/>
                <w:sz w:val="24"/>
                <w:szCs w:val="24"/>
              </w:rPr>
              <w:t>Εκπαιδευτικό</w:t>
            </w:r>
            <w:r w:rsidR="007E28F2" w:rsidRPr="00651B46">
              <w:rPr>
                <w:rFonts w:asciiTheme="minorHAnsi" w:eastAsia="Times New Roman" w:hAnsiTheme="minorHAnsi" w:cstheme="minorHAnsi"/>
                <w:bCs/>
                <w:color w:val="000000"/>
                <w:sz w:val="24"/>
                <w:szCs w:val="24"/>
              </w:rPr>
              <w:t xml:space="preserve"> επίπεδο</w:t>
            </w:r>
          </w:p>
        </w:tc>
        <w:tc>
          <w:tcPr>
            <w:tcW w:w="2624" w:type="dxa"/>
            <w:hideMark/>
          </w:tcPr>
          <w:p w:rsidR="007E28F2" w:rsidRPr="00651B46" w:rsidRDefault="007E28F2" w:rsidP="005A464E">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Αναλφάβητος/ Δημοτικό (αναφορά)</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color w:val="000000"/>
                <w:sz w:val="24"/>
                <w:szCs w:val="24"/>
              </w:rPr>
            </w:pP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color w:val="000000"/>
                <w:sz w:val="24"/>
                <w:szCs w:val="24"/>
              </w:rPr>
            </w:pP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b/>
                <w:color w:val="000000"/>
                <w:sz w:val="24"/>
                <w:szCs w:val="24"/>
              </w:rPr>
            </w:pPr>
          </w:p>
        </w:tc>
      </w:tr>
      <w:tr w:rsidR="007E28F2" w:rsidRPr="00651B46" w:rsidTr="00510761">
        <w:trPr>
          <w:cnfStyle w:val="000000010000"/>
          <w:trHeight w:val="345"/>
          <w:jc w:val="center"/>
        </w:trPr>
        <w:tc>
          <w:tcPr>
            <w:tcW w:w="3615" w:type="dxa"/>
            <w:vMerge/>
            <w:hideMark/>
          </w:tcPr>
          <w:p w:rsidR="007E28F2" w:rsidRPr="00651B46" w:rsidRDefault="007E28F2" w:rsidP="005A464E">
            <w:pPr>
              <w:spacing w:after="0" w:line="360" w:lineRule="auto"/>
              <w:rPr>
                <w:rFonts w:asciiTheme="minorHAnsi" w:eastAsia="Times New Roman" w:hAnsiTheme="minorHAnsi" w:cstheme="minorHAnsi"/>
                <w:bCs/>
                <w:color w:val="000000"/>
                <w:sz w:val="24"/>
                <w:szCs w:val="24"/>
              </w:rPr>
            </w:pPr>
          </w:p>
        </w:tc>
        <w:tc>
          <w:tcPr>
            <w:tcW w:w="2624" w:type="dxa"/>
            <w:hideMark/>
          </w:tcPr>
          <w:p w:rsidR="007E28F2" w:rsidRPr="00651B46" w:rsidRDefault="007E28F2" w:rsidP="005A464E">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Γυμνάσιο/ Λύκειο</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2,34</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0,61</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b/>
                <w:color w:val="000000"/>
                <w:sz w:val="24"/>
                <w:szCs w:val="24"/>
              </w:rPr>
            </w:pPr>
            <w:r w:rsidRPr="00651B46">
              <w:rPr>
                <w:rFonts w:asciiTheme="minorHAnsi" w:eastAsia="Times New Roman" w:hAnsiTheme="minorHAnsi" w:cstheme="minorHAnsi"/>
                <w:b/>
                <w:color w:val="000000"/>
                <w:sz w:val="24"/>
                <w:szCs w:val="24"/>
              </w:rPr>
              <w:t>&lt;0,001</w:t>
            </w:r>
          </w:p>
        </w:tc>
      </w:tr>
      <w:tr w:rsidR="007E28F2" w:rsidRPr="00651B46" w:rsidTr="00510761">
        <w:trPr>
          <w:cnfStyle w:val="000000100000"/>
          <w:trHeight w:val="345"/>
          <w:jc w:val="center"/>
        </w:trPr>
        <w:tc>
          <w:tcPr>
            <w:tcW w:w="3615" w:type="dxa"/>
            <w:vMerge/>
            <w:hideMark/>
          </w:tcPr>
          <w:p w:rsidR="007E28F2" w:rsidRPr="00651B46" w:rsidRDefault="007E28F2" w:rsidP="005A464E">
            <w:pPr>
              <w:spacing w:after="0" w:line="360" w:lineRule="auto"/>
              <w:rPr>
                <w:rFonts w:asciiTheme="minorHAnsi" w:eastAsia="Times New Roman" w:hAnsiTheme="minorHAnsi" w:cstheme="minorHAnsi"/>
                <w:bCs/>
                <w:color w:val="000000"/>
                <w:sz w:val="24"/>
                <w:szCs w:val="24"/>
              </w:rPr>
            </w:pPr>
          </w:p>
        </w:tc>
        <w:tc>
          <w:tcPr>
            <w:tcW w:w="2624" w:type="dxa"/>
            <w:hideMark/>
          </w:tcPr>
          <w:p w:rsidR="007E28F2" w:rsidRPr="00651B46" w:rsidRDefault="007E28F2" w:rsidP="005A464E">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Φοιτητής/ Απόφοιτος ΑΕΙ/ΤΕΙ</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3,65</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0,81</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b/>
                <w:color w:val="000000"/>
                <w:sz w:val="24"/>
                <w:szCs w:val="24"/>
              </w:rPr>
            </w:pPr>
            <w:r w:rsidRPr="00651B46">
              <w:rPr>
                <w:rFonts w:asciiTheme="minorHAnsi" w:eastAsia="Times New Roman" w:hAnsiTheme="minorHAnsi" w:cstheme="minorHAnsi"/>
                <w:b/>
                <w:color w:val="000000"/>
                <w:sz w:val="24"/>
                <w:szCs w:val="24"/>
              </w:rPr>
              <w:t>&lt;0,001</w:t>
            </w:r>
          </w:p>
        </w:tc>
      </w:tr>
      <w:tr w:rsidR="007E28F2" w:rsidRPr="00651B46" w:rsidTr="00510761">
        <w:trPr>
          <w:cnfStyle w:val="000000010000"/>
          <w:trHeight w:val="345"/>
          <w:jc w:val="center"/>
        </w:trPr>
        <w:tc>
          <w:tcPr>
            <w:tcW w:w="3615" w:type="dxa"/>
            <w:hideMark/>
          </w:tcPr>
          <w:p w:rsidR="007E28F2" w:rsidRPr="00651B46" w:rsidRDefault="007E28F2" w:rsidP="005A464E">
            <w:pPr>
              <w:spacing w:after="0" w:line="360" w:lineRule="auto"/>
              <w:rPr>
                <w:rFonts w:asciiTheme="minorHAnsi" w:eastAsia="Times New Roman" w:hAnsiTheme="minorHAnsi" w:cstheme="minorHAnsi"/>
                <w:bCs/>
                <w:color w:val="000000"/>
                <w:sz w:val="24"/>
                <w:szCs w:val="24"/>
              </w:rPr>
            </w:pPr>
            <w:r w:rsidRPr="00651B46">
              <w:rPr>
                <w:rFonts w:asciiTheme="minorHAnsi" w:eastAsia="Times New Roman" w:hAnsiTheme="minorHAnsi" w:cstheme="minorHAnsi"/>
                <w:bCs/>
                <w:color w:val="000000"/>
                <w:sz w:val="24"/>
                <w:szCs w:val="24"/>
              </w:rPr>
              <w:t>Έτη από διάγνωση ΧΝΝ</w:t>
            </w:r>
          </w:p>
        </w:tc>
        <w:tc>
          <w:tcPr>
            <w:tcW w:w="2624" w:type="dxa"/>
            <w:noWrap/>
            <w:hideMark/>
          </w:tcPr>
          <w:p w:rsidR="007E28F2" w:rsidRPr="00651B46" w:rsidRDefault="007E28F2" w:rsidP="005A464E">
            <w:pPr>
              <w:spacing w:after="0" w:line="360" w:lineRule="auto"/>
              <w:rPr>
                <w:rFonts w:asciiTheme="minorHAnsi" w:eastAsia="Times New Roman" w:hAnsiTheme="minorHAnsi" w:cstheme="minorHAnsi"/>
                <w:color w:val="000000"/>
                <w:sz w:val="24"/>
                <w:szCs w:val="24"/>
              </w:rPr>
            </w:pP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0,13</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0,03</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b/>
                <w:color w:val="000000"/>
                <w:sz w:val="24"/>
                <w:szCs w:val="24"/>
              </w:rPr>
            </w:pPr>
            <w:r w:rsidRPr="00651B46">
              <w:rPr>
                <w:rFonts w:asciiTheme="minorHAnsi" w:eastAsia="Times New Roman" w:hAnsiTheme="minorHAnsi" w:cstheme="minorHAnsi"/>
                <w:b/>
                <w:color w:val="000000"/>
                <w:sz w:val="24"/>
                <w:szCs w:val="24"/>
              </w:rPr>
              <w:t>&lt;0,001</w:t>
            </w:r>
          </w:p>
        </w:tc>
      </w:tr>
      <w:tr w:rsidR="007E28F2" w:rsidRPr="00651B46" w:rsidTr="00510761">
        <w:trPr>
          <w:cnfStyle w:val="000000100000"/>
          <w:trHeight w:val="345"/>
          <w:jc w:val="center"/>
        </w:trPr>
        <w:tc>
          <w:tcPr>
            <w:tcW w:w="3615" w:type="dxa"/>
            <w:vMerge w:val="restart"/>
            <w:hideMark/>
          </w:tcPr>
          <w:p w:rsidR="007E28F2" w:rsidRPr="00651B46" w:rsidRDefault="007E28F2" w:rsidP="005A464E">
            <w:pPr>
              <w:spacing w:after="0" w:line="360" w:lineRule="auto"/>
              <w:rPr>
                <w:rFonts w:asciiTheme="minorHAnsi" w:eastAsia="Times New Roman" w:hAnsiTheme="minorHAnsi" w:cstheme="minorHAnsi"/>
                <w:bCs/>
                <w:color w:val="000000"/>
                <w:sz w:val="24"/>
                <w:szCs w:val="24"/>
              </w:rPr>
            </w:pPr>
            <w:r w:rsidRPr="00651B46">
              <w:rPr>
                <w:rFonts w:asciiTheme="minorHAnsi" w:eastAsia="Times New Roman" w:hAnsiTheme="minorHAnsi" w:cstheme="minorHAnsi"/>
                <w:bCs/>
                <w:color w:val="000000"/>
                <w:sz w:val="24"/>
                <w:szCs w:val="24"/>
              </w:rPr>
              <w:t>Κάνετε αιμοκάθαρση από φίστουλα, μόσχευμα, καθετήρα;</w:t>
            </w:r>
          </w:p>
        </w:tc>
        <w:tc>
          <w:tcPr>
            <w:tcW w:w="2624" w:type="dxa"/>
            <w:hideMark/>
          </w:tcPr>
          <w:p w:rsidR="007E28F2" w:rsidRPr="00651B46" w:rsidRDefault="007E28F2" w:rsidP="005A464E">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Φίστουλα (αναφορά)</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color w:val="000000"/>
                <w:sz w:val="24"/>
                <w:szCs w:val="24"/>
              </w:rPr>
            </w:pP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color w:val="000000"/>
                <w:sz w:val="24"/>
                <w:szCs w:val="24"/>
              </w:rPr>
            </w:pP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color w:val="000000"/>
                <w:sz w:val="24"/>
                <w:szCs w:val="24"/>
              </w:rPr>
            </w:pPr>
          </w:p>
        </w:tc>
      </w:tr>
      <w:tr w:rsidR="007E28F2" w:rsidRPr="00651B46" w:rsidTr="00510761">
        <w:trPr>
          <w:cnfStyle w:val="000000010000"/>
          <w:trHeight w:val="345"/>
          <w:jc w:val="center"/>
        </w:trPr>
        <w:tc>
          <w:tcPr>
            <w:tcW w:w="3615" w:type="dxa"/>
            <w:vMerge/>
            <w:hideMark/>
          </w:tcPr>
          <w:p w:rsidR="007E28F2" w:rsidRPr="00651B46" w:rsidRDefault="007E28F2" w:rsidP="005A464E">
            <w:pPr>
              <w:spacing w:after="0" w:line="360" w:lineRule="auto"/>
              <w:rPr>
                <w:rFonts w:asciiTheme="minorHAnsi" w:eastAsia="Times New Roman" w:hAnsiTheme="minorHAnsi" w:cstheme="minorHAnsi"/>
                <w:b/>
                <w:bCs/>
                <w:color w:val="000000"/>
                <w:sz w:val="24"/>
                <w:szCs w:val="24"/>
              </w:rPr>
            </w:pPr>
          </w:p>
        </w:tc>
        <w:tc>
          <w:tcPr>
            <w:tcW w:w="2624" w:type="dxa"/>
            <w:hideMark/>
          </w:tcPr>
          <w:p w:rsidR="007E28F2" w:rsidRPr="00651B46" w:rsidRDefault="007E28F2" w:rsidP="005A464E">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Μόσχευμα</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-0,66</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0,83</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0,424</w:t>
            </w:r>
          </w:p>
        </w:tc>
      </w:tr>
      <w:tr w:rsidR="007E28F2" w:rsidRPr="00651B46" w:rsidTr="00510761">
        <w:trPr>
          <w:cnfStyle w:val="000000100000"/>
          <w:trHeight w:val="345"/>
          <w:jc w:val="center"/>
        </w:trPr>
        <w:tc>
          <w:tcPr>
            <w:tcW w:w="3615" w:type="dxa"/>
            <w:vMerge/>
            <w:hideMark/>
          </w:tcPr>
          <w:p w:rsidR="007E28F2" w:rsidRPr="00651B46" w:rsidRDefault="007E28F2" w:rsidP="005A464E">
            <w:pPr>
              <w:spacing w:after="0" w:line="360" w:lineRule="auto"/>
              <w:rPr>
                <w:rFonts w:asciiTheme="minorHAnsi" w:eastAsia="Times New Roman" w:hAnsiTheme="minorHAnsi" w:cstheme="minorHAnsi"/>
                <w:b/>
                <w:bCs/>
                <w:color w:val="000000"/>
                <w:sz w:val="24"/>
                <w:szCs w:val="24"/>
              </w:rPr>
            </w:pPr>
          </w:p>
        </w:tc>
        <w:tc>
          <w:tcPr>
            <w:tcW w:w="2624" w:type="dxa"/>
            <w:hideMark/>
          </w:tcPr>
          <w:p w:rsidR="007E28F2" w:rsidRPr="00651B46" w:rsidRDefault="007E28F2" w:rsidP="005A464E">
            <w:pPr>
              <w:spacing w:after="0" w:line="360" w:lineRule="auto"/>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Καθετήρα</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-2,13</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color w:val="000000"/>
                <w:sz w:val="24"/>
                <w:szCs w:val="24"/>
              </w:rPr>
            </w:pPr>
            <w:r w:rsidRPr="00651B46">
              <w:rPr>
                <w:rFonts w:asciiTheme="minorHAnsi" w:eastAsia="Times New Roman" w:hAnsiTheme="minorHAnsi" w:cstheme="minorHAnsi"/>
                <w:color w:val="000000"/>
                <w:sz w:val="24"/>
                <w:szCs w:val="24"/>
              </w:rPr>
              <w:t>0,64</w:t>
            </w:r>
          </w:p>
        </w:tc>
        <w:tc>
          <w:tcPr>
            <w:tcW w:w="960" w:type="dxa"/>
            <w:noWrap/>
            <w:hideMark/>
          </w:tcPr>
          <w:p w:rsidR="007E28F2" w:rsidRPr="00651B46" w:rsidRDefault="007E28F2" w:rsidP="005A464E">
            <w:pPr>
              <w:spacing w:after="0" w:line="360" w:lineRule="auto"/>
              <w:jc w:val="center"/>
              <w:rPr>
                <w:rFonts w:asciiTheme="minorHAnsi" w:eastAsia="Times New Roman" w:hAnsiTheme="minorHAnsi" w:cstheme="minorHAnsi"/>
                <w:b/>
                <w:color w:val="000000"/>
                <w:sz w:val="24"/>
                <w:szCs w:val="24"/>
              </w:rPr>
            </w:pPr>
            <w:r w:rsidRPr="00651B46">
              <w:rPr>
                <w:rFonts w:asciiTheme="minorHAnsi" w:eastAsia="Times New Roman" w:hAnsiTheme="minorHAnsi" w:cstheme="minorHAnsi"/>
                <w:b/>
                <w:color w:val="000000"/>
                <w:sz w:val="24"/>
                <w:szCs w:val="24"/>
              </w:rPr>
              <w:t>0,001</w:t>
            </w:r>
          </w:p>
        </w:tc>
      </w:tr>
      <w:tr w:rsidR="00651B46" w:rsidRPr="00651B46" w:rsidTr="00651B46">
        <w:trPr>
          <w:cnfStyle w:val="000000010000"/>
          <w:trHeight w:val="345"/>
          <w:jc w:val="center"/>
        </w:trPr>
        <w:tc>
          <w:tcPr>
            <w:tcW w:w="9119" w:type="dxa"/>
            <w:gridSpan w:val="5"/>
            <w:hideMark/>
          </w:tcPr>
          <w:p w:rsidR="00651B46" w:rsidRPr="00651B46" w:rsidRDefault="00651B46" w:rsidP="00651B46">
            <w:pPr>
              <w:pStyle w:val="nouk"/>
              <w:rPr>
                <w:i/>
              </w:rPr>
            </w:pPr>
            <w:r w:rsidRPr="00651B46">
              <w:rPr>
                <w:i/>
                <w:vertAlign w:val="superscript"/>
              </w:rPr>
              <w:t>+</w:t>
            </w:r>
            <w:r w:rsidRPr="00651B46">
              <w:rPr>
                <w:i/>
              </w:rPr>
              <w:t xml:space="preserve">συντελεστής εξάρτησης </w:t>
            </w:r>
            <w:r w:rsidRPr="00651B46">
              <w:rPr>
                <w:i/>
                <w:vertAlign w:val="superscript"/>
              </w:rPr>
              <w:t>++</w:t>
            </w:r>
            <w:r w:rsidRPr="00651B46">
              <w:rPr>
                <w:i/>
              </w:rPr>
              <w:t>τυπικό σφάλμα συντελεστή εξάρτησης</w:t>
            </w:r>
          </w:p>
        </w:tc>
      </w:tr>
    </w:tbl>
    <w:p w:rsidR="007E28F2" w:rsidRPr="005A464E" w:rsidRDefault="007E28F2" w:rsidP="005A464E">
      <w:pPr>
        <w:pStyle w:val="nouk"/>
      </w:pPr>
    </w:p>
    <w:p w:rsidR="007E28F2" w:rsidRPr="005A464E" w:rsidRDefault="007E28F2" w:rsidP="005A464E">
      <w:pPr>
        <w:pStyle w:val="nouk"/>
      </w:pPr>
      <w:r w:rsidRPr="005A464E">
        <w:t xml:space="preserve">Η ηλικία, το αν έμεναν μόνοι τους, το </w:t>
      </w:r>
      <w:r w:rsidR="000D053B">
        <w:t>εκπαιδευτικό</w:t>
      </w:r>
      <w:r w:rsidRPr="005A464E">
        <w:t xml:space="preserve"> επίπεδο, τα έτη από τη δ</w:t>
      </w:r>
      <w:r w:rsidR="006E0A0A">
        <w:t xml:space="preserve">ιάγνωση και ο </w:t>
      </w:r>
      <w:r w:rsidR="00ED66FF">
        <w:t>μέθοδος</w:t>
      </w:r>
      <w:r w:rsidR="004F3A28">
        <w:t xml:space="preserve"> αγγειακής προ</w:t>
      </w:r>
      <w:r w:rsidR="006E0A0A">
        <w:t>σπέλαση</w:t>
      </w:r>
      <w:r w:rsidRPr="005A464E">
        <w:t xml:space="preserve">ς βρέθηκαν να σχετίζονται ανεξάρτητα με τη βαθμολογία γνώσεων. </w:t>
      </w:r>
    </w:p>
    <w:p w:rsidR="00651B46" w:rsidRDefault="00651B46" w:rsidP="00ED3C0B">
      <w:pPr>
        <w:pStyle w:val="nouk"/>
        <w:spacing w:before="240"/>
      </w:pPr>
    </w:p>
    <w:p w:rsidR="00651B46" w:rsidRDefault="00651B46" w:rsidP="00ED3C0B">
      <w:pPr>
        <w:pStyle w:val="nouk"/>
        <w:spacing w:before="240"/>
      </w:pPr>
    </w:p>
    <w:p w:rsidR="007E28F2" w:rsidRPr="005A464E" w:rsidRDefault="007E28F2" w:rsidP="00ED3C0B">
      <w:pPr>
        <w:pStyle w:val="nouk"/>
        <w:spacing w:before="240"/>
      </w:pPr>
      <w:r w:rsidRPr="005A464E">
        <w:t>Στο γράφημα που ακολουθεί</w:t>
      </w:r>
      <w:r w:rsidR="0078495A">
        <w:t xml:space="preserve"> </w:t>
      </w:r>
      <w:r w:rsidR="00ED3C0B">
        <w:t xml:space="preserve">(Γρ 14) </w:t>
      </w:r>
      <w:r w:rsidRPr="005A464E">
        <w:t>δίνεται η βαθμολογία γνώσεων α</w:t>
      </w:r>
      <w:r w:rsidR="00ED3C0B">
        <w:t xml:space="preserve">νάλογα με </w:t>
      </w:r>
      <w:r w:rsidR="002D3BEF">
        <w:t>την μέθοδο</w:t>
      </w:r>
      <w:r w:rsidR="00ED3C0B">
        <w:t xml:space="preserve"> αγγειακής προσπέλασης</w:t>
      </w:r>
      <w:r w:rsidRPr="005A464E">
        <w:t xml:space="preserve">. </w:t>
      </w:r>
    </w:p>
    <w:p w:rsidR="007E28F2" w:rsidRPr="005A464E" w:rsidRDefault="007E28F2" w:rsidP="005A464E">
      <w:pPr>
        <w:pStyle w:val="nouk"/>
      </w:pPr>
    </w:p>
    <w:p w:rsidR="007E28F2" w:rsidRPr="005A464E" w:rsidRDefault="00464728" w:rsidP="00ED3C0B">
      <w:pPr>
        <w:pStyle w:val="nouk"/>
        <w:jc w:val="center"/>
      </w:pPr>
      <w:r>
        <w:rPr>
          <w:noProof/>
          <w:lang w:eastAsia="el-GR"/>
        </w:rPr>
        <w:drawing>
          <wp:inline distT="0" distB="0" distL="0" distR="0">
            <wp:extent cx="3914775" cy="3095625"/>
            <wp:effectExtent l="19050" t="0" r="9525" b="0"/>
            <wp:docPr id="14" name="Εικόνα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9" cstate="print"/>
                    <a:srcRect/>
                    <a:stretch>
                      <a:fillRect/>
                    </a:stretch>
                  </pic:blipFill>
                  <pic:spPr bwMode="auto">
                    <a:xfrm>
                      <a:off x="0" y="0"/>
                      <a:ext cx="3914775" cy="3095625"/>
                    </a:xfrm>
                    <a:prstGeom prst="rect">
                      <a:avLst/>
                    </a:prstGeom>
                    <a:noFill/>
                    <a:ln w="9525">
                      <a:noFill/>
                      <a:miter lim="800000"/>
                      <a:headEnd/>
                      <a:tailEnd/>
                    </a:ln>
                  </pic:spPr>
                </pic:pic>
              </a:graphicData>
            </a:graphic>
          </wp:inline>
        </w:drawing>
      </w:r>
    </w:p>
    <w:p w:rsidR="00ED3C0B" w:rsidRPr="005A464E" w:rsidRDefault="00ED3C0B" w:rsidP="00ED3C0B">
      <w:pPr>
        <w:pStyle w:val="nouk"/>
        <w:spacing w:before="240"/>
      </w:pPr>
      <w:r w:rsidRPr="00846E7B">
        <w:rPr>
          <w:i/>
        </w:rPr>
        <w:t>Γράφημα 14.</w:t>
      </w:r>
      <w:r>
        <w:rPr>
          <w:b/>
        </w:rPr>
        <w:t xml:space="preserve"> </w:t>
      </w:r>
      <w:r>
        <w:t>Β</w:t>
      </w:r>
      <w:r w:rsidRPr="005A464E">
        <w:t>αθμολογία γνώσεων α</w:t>
      </w:r>
      <w:r>
        <w:t xml:space="preserve">νάλογα με </w:t>
      </w:r>
      <w:r w:rsidR="002D3BEF">
        <w:t>την μέθοδο</w:t>
      </w:r>
      <w:r>
        <w:t xml:space="preserve"> αγγειακής προσπέλασης</w:t>
      </w:r>
      <w:r w:rsidRPr="005A464E">
        <w:t xml:space="preserve">. </w:t>
      </w:r>
    </w:p>
    <w:p w:rsidR="007E28F2" w:rsidRPr="00ED3C0B" w:rsidRDefault="007E28F2" w:rsidP="005A464E">
      <w:pPr>
        <w:pStyle w:val="nouk"/>
        <w:rPr>
          <w:b/>
        </w:rPr>
      </w:pPr>
    </w:p>
    <w:p w:rsidR="007E28F2" w:rsidRPr="005A464E" w:rsidRDefault="00540593" w:rsidP="005A464E">
      <w:pPr>
        <w:pStyle w:val="nouk"/>
        <w:rPr>
          <w:b/>
        </w:rPr>
      </w:pPr>
      <w:r w:rsidRPr="005A464E">
        <w:rPr>
          <w:b/>
        </w:rPr>
        <w:t>Κλίμακα συμμόφωσης</w:t>
      </w:r>
    </w:p>
    <w:p w:rsidR="007E28F2" w:rsidRPr="005A464E" w:rsidRDefault="007E28F2" w:rsidP="005A464E">
      <w:pPr>
        <w:pStyle w:val="nouk"/>
      </w:pPr>
    </w:p>
    <w:p w:rsidR="007E28F2" w:rsidRDefault="007E28F2" w:rsidP="00A27068">
      <w:pPr>
        <w:spacing w:line="360" w:lineRule="auto"/>
        <w:jc w:val="both"/>
        <w:rPr>
          <w:sz w:val="24"/>
          <w:szCs w:val="24"/>
        </w:rPr>
      </w:pPr>
      <w:r w:rsidRPr="005A464E">
        <w:rPr>
          <w:sz w:val="24"/>
          <w:szCs w:val="24"/>
        </w:rPr>
        <w:t xml:space="preserve">Στον πίνακα που ακολουθεί </w:t>
      </w:r>
      <w:r w:rsidR="00F6061C">
        <w:rPr>
          <w:sz w:val="24"/>
          <w:szCs w:val="24"/>
        </w:rPr>
        <w:t>(Πίν 37</w:t>
      </w:r>
      <w:r w:rsidR="00ED3C0B">
        <w:rPr>
          <w:sz w:val="24"/>
          <w:szCs w:val="24"/>
        </w:rPr>
        <w:t xml:space="preserve">) </w:t>
      </w:r>
      <w:r w:rsidRPr="005A464E">
        <w:rPr>
          <w:sz w:val="24"/>
          <w:szCs w:val="24"/>
        </w:rPr>
        <w:t>δίνονται οι βαθμολογίες των συμμετεχόντων στις διαστάσεις συμμόρφωσης.</w:t>
      </w:r>
    </w:p>
    <w:p w:rsidR="00510761" w:rsidRPr="00651B46" w:rsidRDefault="00F6061C" w:rsidP="00510761">
      <w:pPr>
        <w:spacing w:after="0" w:line="360" w:lineRule="auto"/>
        <w:jc w:val="both"/>
        <w:rPr>
          <w:rFonts w:asciiTheme="minorHAnsi" w:eastAsiaTheme="minorHAnsi" w:hAnsiTheme="minorHAnsi" w:cstheme="minorBidi"/>
          <w:bCs/>
          <w:color w:val="000000"/>
          <w:sz w:val="24"/>
          <w:szCs w:val="24"/>
        </w:rPr>
      </w:pPr>
      <w:r w:rsidRPr="00651B46">
        <w:rPr>
          <w:rFonts w:asciiTheme="minorHAnsi" w:eastAsiaTheme="minorHAnsi" w:hAnsiTheme="minorHAnsi" w:cstheme="minorBidi"/>
          <w:bCs/>
          <w:color w:val="000000"/>
          <w:sz w:val="24"/>
          <w:szCs w:val="24"/>
        </w:rPr>
        <w:t>Πίνακας 37</w:t>
      </w:r>
    </w:p>
    <w:p w:rsidR="00510761" w:rsidRPr="00651B46" w:rsidRDefault="00510761" w:rsidP="00510761">
      <w:pPr>
        <w:spacing w:line="360" w:lineRule="auto"/>
        <w:jc w:val="both"/>
        <w:rPr>
          <w:sz w:val="24"/>
          <w:szCs w:val="24"/>
        </w:rPr>
      </w:pPr>
      <w:r w:rsidRPr="00651B46">
        <w:rPr>
          <w:rFonts w:asciiTheme="minorHAnsi" w:eastAsiaTheme="minorHAnsi" w:hAnsiTheme="minorHAnsi" w:cstheme="minorBidi"/>
          <w:bCs/>
          <w:i/>
          <w:color w:val="000000"/>
          <w:sz w:val="24"/>
          <w:szCs w:val="24"/>
        </w:rPr>
        <w:t>Βαθμολ</w:t>
      </w:r>
      <w:r w:rsidRPr="00651B46">
        <w:rPr>
          <w:rFonts w:asciiTheme="minorHAnsi" w:eastAsiaTheme="minorHAnsi" w:hAnsiTheme="minorHAnsi" w:cstheme="minorBidi"/>
          <w:bCs/>
          <w:i/>
          <w:color w:val="000000"/>
          <w:sz w:val="24"/>
          <w:szCs w:val="24"/>
          <w:lang w:val="en-US"/>
        </w:rPr>
        <w:t>o</w:t>
      </w:r>
      <w:r w:rsidRPr="00651B46">
        <w:rPr>
          <w:rFonts w:asciiTheme="minorHAnsi" w:eastAsiaTheme="minorHAnsi" w:hAnsiTheme="minorHAnsi" w:cstheme="minorBidi"/>
          <w:bCs/>
          <w:i/>
          <w:color w:val="000000"/>
          <w:sz w:val="24"/>
          <w:szCs w:val="24"/>
        </w:rPr>
        <w:t>γία των συμμετεχόντων στις διαστάσεις συμμόρφωσης (Ν=321)</w:t>
      </w:r>
    </w:p>
    <w:tbl>
      <w:tblPr>
        <w:tblStyle w:val="-41"/>
        <w:tblW w:w="8379" w:type="dxa"/>
        <w:jc w:val="center"/>
        <w:tblLook w:val="0400"/>
      </w:tblPr>
      <w:tblGrid>
        <w:gridCol w:w="2391"/>
        <w:gridCol w:w="1701"/>
        <w:gridCol w:w="1418"/>
        <w:gridCol w:w="1701"/>
        <w:gridCol w:w="1168"/>
      </w:tblGrid>
      <w:tr w:rsidR="007E28F2" w:rsidRPr="00651B46" w:rsidTr="00510761">
        <w:trPr>
          <w:cnfStyle w:val="000000100000"/>
          <w:trHeight w:val="345"/>
          <w:jc w:val="center"/>
        </w:trPr>
        <w:tc>
          <w:tcPr>
            <w:tcW w:w="2425" w:type="dxa"/>
            <w:hideMark/>
          </w:tcPr>
          <w:p w:rsidR="007E28F2" w:rsidRPr="00651B46" w:rsidRDefault="007E28F2" w:rsidP="00872FD2">
            <w:pPr>
              <w:spacing w:after="0" w:line="240" w:lineRule="auto"/>
              <w:rPr>
                <w:rFonts w:asciiTheme="minorHAnsi" w:eastAsiaTheme="minorHAnsi" w:hAnsiTheme="minorHAnsi" w:cs="Arial"/>
                <w:b/>
                <w:bCs/>
                <w:color w:val="000000"/>
                <w:sz w:val="24"/>
                <w:szCs w:val="24"/>
              </w:rPr>
            </w:pPr>
            <w:r w:rsidRPr="00651B46">
              <w:rPr>
                <w:rFonts w:asciiTheme="minorHAnsi" w:eastAsiaTheme="minorHAnsi" w:hAnsiTheme="minorHAnsi" w:cs="Arial"/>
                <w:color w:val="000000"/>
                <w:sz w:val="24"/>
                <w:szCs w:val="24"/>
              </w:rPr>
              <w:t> </w:t>
            </w:r>
          </w:p>
        </w:tc>
        <w:tc>
          <w:tcPr>
            <w:tcW w:w="1701" w:type="dxa"/>
            <w:hideMark/>
          </w:tcPr>
          <w:p w:rsidR="007E28F2" w:rsidRPr="00651B46" w:rsidRDefault="007E28F2" w:rsidP="00872FD2">
            <w:pPr>
              <w:spacing w:after="0" w:line="240" w:lineRule="auto"/>
              <w:jc w:val="center"/>
              <w:rPr>
                <w:rFonts w:asciiTheme="minorHAnsi" w:eastAsiaTheme="minorHAnsi" w:hAnsiTheme="minorHAnsi" w:cs="Arial"/>
                <w:b/>
                <w:bCs/>
                <w:color w:val="000000"/>
                <w:sz w:val="24"/>
                <w:szCs w:val="24"/>
              </w:rPr>
            </w:pPr>
            <w:r w:rsidRPr="00651B46">
              <w:rPr>
                <w:rFonts w:asciiTheme="minorHAnsi" w:eastAsiaTheme="minorHAnsi" w:hAnsiTheme="minorHAnsi" w:cs="Arial"/>
                <w:b/>
                <w:bCs/>
                <w:color w:val="000000"/>
                <w:sz w:val="24"/>
                <w:szCs w:val="24"/>
              </w:rPr>
              <w:t>Ελάχιστη τιμή</w:t>
            </w:r>
          </w:p>
        </w:tc>
        <w:tc>
          <w:tcPr>
            <w:tcW w:w="1418" w:type="dxa"/>
            <w:hideMark/>
          </w:tcPr>
          <w:p w:rsidR="007E28F2" w:rsidRPr="00651B46" w:rsidRDefault="007E28F2" w:rsidP="00872FD2">
            <w:pPr>
              <w:spacing w:after="0" w:line="240" w:lineRule="auto"/>
              <w:jc w:val="center"/>
              <w:rPr>
                <w:rFonts w:asciiTheme="minorHAnsi" w:eastAsiaTheme="minorHAnsi" w:hAnsiTheme="minorHAnsi" w:cs="Arial"/>
                <w:b/>
                <w:bCs/>
                <w:color w:val="000000"/>
                <w:sz w:val="24"/>
                <w:szCs w:val="24"/>
              </w:rPr>
            </w:pPr>
            <w:r w:rsidRPr="00651B46">
              <w:rPr>
                <w:rFonts w:asciiTheme="minorHAnsi" w:eastAsiaTheme="minorHAnsi" w:hAnsiTheme="minorHAnsi" w:cs="Arial"/>
                <w:b/>
                <w:bCs/>
                <w:color w:val="000000"/>
                <w:sz w:val="24"/>
                <w:szCs w:val="24"/>
              </w:rPr>
              <w:t>Μέγιστη τιμή</w:t>
            </w:r>
          </w:p>
        </w:tc>
        <w:tc>
          <w:tcPr>
            <w:tcW w:w="1701" w:type="dxa"/>
            <w:noWrap/>
            <w:hideMark/>
          </w:tcPr>
          <w:p w:rsidR="007E28F2" w:rsidRPr="00651B46" w:rsidRDefault="00540593" w:rsidP="00872FD2">
            <w:pPr>
              <w:spacing w:after="0" w:line="240" w:lineRule="auto"/>
              <w:jc w:val="center"/>
              <w:rPr>
                <w:rFonts w:asciiTheme="minorHAnsi" w:eastAsiaTheme="minorHAnsi" w:hAnsiTheme="minorHAnsi" w:cs="Arial"/>
                <w:b/>
                <w:bCs/>
                <w:color w:val="000000"/>
                <w:sz w:val="24"/>
                <w:szCs w:val="24"/>
              </w:rPr>
            </w:pPr>
            <w:r w:rsidRPr="00651B46">
              <w:rPr>
                <w:rFonts w:asciiTheme="minorHAnsi" w:eastAsiaTheme="minorHAnsi" w:hAnsiTheme="minorHAnsi" w:cs="Arial"/>
                <w:b/>
                <w:bCs/>
                <w:color w:val="000000"/>
                <w:sz w:val="24"/>
                <w:szCs w:val="24"/>
              </w:rPr>
              <w:t>Μέση Τιμή</w:t>
            </w:r>
            <w:r w:rsidR="007E28F2" w:rsidRPr="00651B46">
              <w:rPr>
                <w:rFonts w:asciiTheme="minorHAnsi" w:eastAsiaTheme="minorHAnsi" w:hAnsiTheme="minorHAnsi" w:cs="Arial"/>
                <w:b/>
                <w:bCs/>
                <w:color w:val="000000"/>
                <w:sz w:val="24"/>
                <w:szCs w:val="24"/>
              </w:rPr>
              <w:t xml:space="preserve"> (</w:t>
            </w:r>
            <w:r w:rsidR="00D225F5" w:rsidRPr="00651B46">
              <w:rPr>
                <w:rFonts w:asciiTheme="minorHAnsi" w:eastAsiaTheme="minorHAnsi" w:hAnsiTheme="minorHAnsi" w:cs="Arial"/>
                <w:b/>
                <w:bCs/>
                <w:color w:val="000000"/>
                <w:sz w:val="24"/>
                <w:szCs w:val="24"/>
              </w:rPr>
              <w:t>ΤΑ</w:t>
            </w:r>
            <w:r w:rsidR="007E28F2" w:rsidRPr="00651B46">
              <w:rPr>
                <w:rFonts w:asciiTheme="minorHAnsi" w:eastAsiaTheme="minorHAnsi" w:hAnsiTheme="minorHAnsi" w:cs="Arial"/>
                <w:b/>
                <w:bCs/>
                <w:color w:val="000000"/>
                <w:sz w:val="24"/>
                <w:szCs w:val="24"/>
              </w:rPr>
              <w:t>)</w:t>
            </w:r>
          </w:p>
        </w:tc>
        <w:tc>
          <w:tcPr>
            <w:tcW w:w="1134" w:type="dxa"/>
            <w:noWrap/>
            <w:hideMark/>
          </w:tcPr>
          <w:p w:rsidR="007E28F2" w:rsidRPr="00651B46" w:rsidRDefault="007E28F2" w:rsidP="00872FD2">
            <w:pPr>
              <w:spacing w:after="0" w:line="240" w:lineRule="auto"/>
              <w:jc w:val="center"/>
              <w:rPr>
                <w:rFonts w:asciiTheme="minorHAnsi" w:eastAsiaTheme="minorHAnsi" w:hAnsiTheme="minorHAnsi" w:cs="Arial"/>
                <w:b/>
                <w:bCs/>
                <w:color w:val="000000"/>
                <w:sz w:val="24"/>
                <w:szCs w:val="24"/>
              </w:rPr>
            </w:pPr>
            <w:r w:rsidRPr="00651B46">
              <w:rPr>
                <w:rFonts w:asciiTheme="minorHAnsi" w:eastAsiaTheme="minorHAnsi" w:hAnsiTheme="minorHAnsi" w:cs="Arial"/>
                <w:b/>
                <w:bCs/>
                <w:color w:val="000000"/>
                <w:sz w:val="24"/>
                <w:szCs w:val="24"/>
              </w:rPr>
              <w:t>Διάμεσος (Ενδ. εύρος)</w:t>
            </w:r>
          </w:p>
        </w:tc>
      </w:tr>
      <w:tr w:rsidR="007E28F2" w:rsidRPr="00651B46" w:rsidTr="00510761">
        <w:trPr>
          <w:cnfStyle w:val="000000010000"/>
          <w:trHeight w:val="345"/>
          <w:jc w:val="center"/>
        </w:trPr>
        <w:tc>
          <w:tcPr>
            <w:tcW w:w="2425" w:type="dxa"/>
            <w:hideMark/>
          </w:tcPr>
          <w:p w:rsidR="00540593" w:rsidRPr="00651B46" w:rsidRDefault="007E28F2" w:rsidP="00872FD2">
            <w:pPr>
              <w:spacing w:after="0" w:line="240" w:lineRule="auto"/>
              <w:rPr>
                <w:rFonts w:asciiTheme="minorHAnsi" w:eastAsiaTheme="minorHAnsi" w:hAnsiTheme="minorHAnsi" w:cs="Arial"/>
                <w:b/>
                <w:bCs/>
                <w:color w:val="000000"/>
                <w:sz w:val="24"/>
                <w:szCs w:val="24"/>
              </w:rPr>
            </w:pPr>
            <w:r w:rsidRPr="00651B46">
              <w:rPr>
                <w:rFonts w:asciiTheme="minorHAnsi" w:eastAsiaTheme="minorHAnsi" w:hAnsiTheme="minorHAnsi" w:cs="Arial"/>
                <w:color w:val="000000"/>
                <w:sz w:val="24"/>
                <w:szCs w:val="24"/>
              </w:rPr>
              <w:t xml:space="preserve">Κλίμακα συμμόρφωσης </w:t>
            </w:r>
          </w:p>
          <w:p w:rsidR="007E28F2" w:rsidRPr="00651B46" w:rsidRDefault="007E28F2" w:rsidP="00872FD2">
            <w:pPr>
              <w:spacing w:after="0" w:line="240" w:lineRule="auto"/>
              <w:rPr>
                <w:rFonts w:asciiTheme="minorHAnsi" w:eastAsiaTheme="minorHAnsi" w:hAnsiTheme="minorHAnsi" w:cs="Arial"/>
                <w:b/>
                <w:bCs/>
                <w:color w:val="000000"/>
                <w:sz w:val="24"/>
                <w:szCs w:val="24"/>
              </w:rPr>
            </w:pPr>
            <w:r w:rsidRPr="00651B46">
              <w:rPr>
                <w:rFonts w:asciiTheme="minorHAnsi" w:eastAsiaTheme="minorHAnsi" w:hAnsiTheme="minorHAnsi" w:cs="Arial"/>
                <w:color w:val="000000"/>
                <w:sz w:val="24"/>
                <w:szCs w:val="24"/>
              </w:rPr>
              <w:t>(</w:t>
            </w:r>
            <w:r w:rsidR="00540593" w:rsidRPr="00651B46">
              <w:rPr>
                <w:rFonts w:asciiTheme="minorHAnsi" w:eastAsiaTheme="minorHAnsi" w:hAnsiTheme="minorHAnsi" w:cs="Arial"/>
                <w:color w:val="000000"/>
                <w:sz w:val="24"/>
                <w:szCs w:val="24"/>
                <w:lang w:val="en-US"/>
              </w:rPr>
              <w:t>GR</w:t>
            </w:r>
            <w:r w:rsidR="00540593" w:rsidRPr="00651B46">
              <w:rPr>
                <w:rFonts w:asciiTheme="minorHAnsi" w:eastAsiaTheme="minorHAnsi" w:hAnsiTheme="minorHAnsi" w:cs="Arial"/>
                <w:color w:val="000000"/>
                <w:sz w:val="24"/>
                <w:szCs w:val="24"/>
              </w:rPr>
              <w:t>-</w:t>
            </w:r>
            <w:r w:rsidRPr="00651B46">
              <w:rPr>
                <w:rFonts w:asciiTheme="minorHAnsi" w:eastAsiaTheme="minorHAnsi" w:hAnsiTheme="minorHAnsi" w:cs="Arial"/>
                <w:color w:val="000000"/>
                <w:sz w:val="24"/>
                <w:szCs w:val="24"/>
              </w:rPr>
              <w:t>SMAQ</w:t>
            </w:r>
            <w:r w:rsidR="00540593" w:rsidRPr="00651B46">
              <w:rPr>
                <w:rFonts w:asciiTheme="minorHAnsi" w:eastAsiaTheme="minorHAnsi" w:hAnsiTheme="minorHAnsi" w:cs="Arial"/>
                <w:color w:val="000000"/>
                <w:sz w:val="24"/>
                <w:szCs w:val="24"/>
              </w:rPr>
              <w:t>-</w:t>
            </w:r>
            <w:r w:rsidR="00540593" w:rsidRPr="00651B46">
              <w:rPr>
                <w:rFonts w:asciiTheme="minorHAnsi" w:eastAsiaTheme="minorHAnsi" w:hAnsiTheme="minorHAnsi" w:cs="Arial"/>
                <w:color w:val="000000"/>
                <w:sz w:val="24"/>
                <w:szCs w:val="24"/>
                <w:lang w:val="en-US"/>
              </w:rPr>
              <w:t>HD</w:t>
            </w:r>
            <w:r w:rsidRPr="00651B46">
              <w:rPr>
                <w:rFonts w:asciiTheme="minorHAnsi" w:eastAsiaTheme="minorHAnsi" w:hAnsiTheme="minorHAnsi" w:cs="Arial"/>
                <w:color w:val="000000"/>
                <w:sz w:val="24"/>
                <w:szCs w:val="24"/>
              </w:rPr>
              <w:t>)</w:t>
            </w:r>
          </w:p>
        </w:tc>
        <w:tc>
          <w:tcPr>
            <w:tcW w:w="1701" w:type="dxa"/>
            <w:noWrap/>
            <w:hideMark/>
          </w:tcPr>
          <w:p w:rsidR="007E28F2" w:rsidRPr="00651B46" w:rsidRDefault="007E28F2" w:rsidP="00872FD2">
            <w:pPr>
              <w:spacing w:after="0" w:line="240" w:lineRule="auto"/>
              <w:jc w:val="center"/>
              <w:rPr>
                <w:rFonts w:asciiTheme="minorHAnsi" w:eastAsiaTheme="minorHAnsi" w:hAnsiTheme="minorHAnsi" w:cs="Arial"/>
                <w:color w:val="000000"/>
                <w:sz w:val="24"/>
                <w:szCs w:val="24"/>
              </w:rPr>
            </w:pPr>
            <w:r w:rsidRPr="00651B46">
              <w:rPr>
                <w:rFonts w:asciiTheme="minorHAnsi" w:eastAsiaTheme="minorHAnsi" w:hAnsiTheme="minorHAnsi" w:cs="Arial"/>
                <w:color w:val="000000"/>
                <w:sz w:val="24"/>
                <w:szCs w:val="24"/>
              </w:rPr>
              <w:t>1,00</w:t>
            </w:r>
          </w:p>
        </w:tc>
        <w:tc>
          <w:tcPr>
            <w:tcW w:w="1418" w:type="dxa"/>
            <w:noWrap/>
            <w:hideMark/>
          </w:tcPr>
          <w:p w:rsidR="007E28F2" w:rsidRPr="00651B46" w:rsidRDefault="007E28F2" w:rsidP="00872FD2">
            <w:pPr>
              <w:spacing w:after="0" w:line="240" w:lineRule="auto"/>
              <w:jc w:val="center"/>
              <w:rPr>
                <w:rFonts w:asciiTheme="minorHAnsi" w:eastAsiaTheme="minorHAnsi" w:hAnsiTheme="minorHAnsi" w:cs="Arial"/>
                <w:color w:val="000000"/>
                <w:sz w:val="24"/>
                <w:szCs w:val="24"/>
              </w:rPr>
            </w:pPr>
            <w:r w:rsidRPr="00651B46">
              <w:rPr>
                <w:rFonts w:asciiTheme="minorHAnsi" w:eastAsiaTheme="minorHAnsi" w:hAnsiTheme="minorHAnsi" w:cs="Arial"/>
                <w:color w:val="000000"/>
                <w:sz w:val="24"/>
                <w:szCs w:val="24"/>
              </w:rPr>
              <w:t>8,00</w:t>
            </w:r>
          </w:p>
        </w:tc>
        <w:tc>
          <w:tcPr>
            <w:tcW w:w="1701" w:type="dxa"/>
            <w:noWrap/>
            <w:hideMark/>
          </w:tcPr>
          <w:p w:rsidR="007E28F2" w:rsidRPr="00651B46" w:rsidRDefault="007E28F2" w:rsidP="00872FD2">
            <w:pPr>
              <w:spacing w:after="0" w:line="240" w:lineRule="auto"/>
              <w:jc w:val="center"/>
              <w:rPr>
                <w:rFonts w:asciiTheme="minorHAnsi" w:eastAsiaTheme="minorHAnsi" w:hAnsiTheme="minorHAnsi" w:cs="Arial"/>
                <w:color w:val="000000"/>
                <w:sz w:val="24"/>
                <w:szCs w:val="24"/>
              </w:rPr>
            </w:pPr>
            <w:r w:rsidRPr="00651B46">
              <w:rPr>
                <w:rFonts w:asciiTheme="minorHAnsi" w:eastAsiaTheme="minorHAnsi" w:hAnsiTheme="minorHAnsi" w:cs="Arial"/>
                <w:color w:val="000000"/>
                <w:sz w:val="24"/>
                <w:szCs w:val="24"/>
              </w:rPr>
              <w:t>6,35 (1,64)</w:t>
            </w:r>
          </w:p>
        </w:tc>
        <w:tc>
          <w:tcPr>
            <w:tcW w:w="1134" w:type="dxa"/>
            <w:noWrap/>
            <w:hideMark/>
          </w:tcPr>
          <w:p w:rsidR="007E28F2" w:rsidRPr="00651B46" w:rsidRDefault="007E28F2" w:rsidP="00872FD2">
            <w:pPr>
              <w:spacing w:after="0" w:line="240" w:lineRule="auto"/>
              <w:jc w:val="center"/>
              <w:rPr>
                <w:rFonts w:asciiTheme="minorHAnsi" w:eastAsiaTheme="minorHAnsi" w:hAnsiTheme="minorHAnsi" w:cs="Arial"/>
                <w:color w:val="000000"/>
                <w:sz w:val="24"/>
                <w:szCs w:val="24"/>
              </w:rPr>
            </w:pPr>
            <w:r w:rsidRPr="00651B46">
              <w:rPr>
                <w:rFonts w:asciiTheme="minorHAnsi" w:eastAsiaTheme="minorHAnsi" w:hAnsiTheme="minorHAnsi" w:cs="Arial"/>
                <w:color w:val="000000"/>
                <w:sz w:val="24"/>
                <w:szCs w:val="24"/>
              </w:rPr>
              <w:t>7 (5 - 8)</w:t>
            </w:r>
          </w:p>
        </w:tc>
      </w:tr>
      <w:tr w:rsidR="007E28F2" w:rsidRPr="00651B46" w:rsidTr="00510761">
        <w:trPr>
          <w:cnfStyle w:val="000000100000"/>
          <w:trHeight w:val="345"/>
          <w:jc w:val="center"/>
        </w:trPr>
        <w:tc>
          <w:tcPr>
            <w:tcW w:w="2425" w:type="dxa"/>
            <w:hideMark/>
          </w:tcPr>
          <w:p w:rsidR="007E28F2" w:rsidRPr="00651B46" w:rsidRDefault="0076474F" w:rsidP="00872FD2">
            <w:pPr>
              <w:spacing w:after="0" w:line="240" w:lineRule="auto"/>
              <w:rPr>
                <w:rFonts w:asciiTheme="minorHAnsi" w:eastAsiaTheme="minorHAnsi" w:hAnsiTheme="minorHAnsi" w:cs="Arial"/>
                <w:b/>
                <w:bCs/>
                <w:i/>
                <w:color w:val="000000"/>
                <w:sz w:val="24"/>
                <w:szCs w:val="24"/>
              </w:rPr>
            </w:pPr>
            <w:r w:rsidRPr="00651B46">
              <w:rPr>
                <w:rFonts w:asciiTheme="minorHAnsi" w:eastAsiaTheme="minorHAnsi" w:hAnsiTheme="minorHAnsi" w:cs="Arial"/>
                <w:i/>
                <w:color w:val="000000"/>
                <w:sz w:val="24"/>
                <w:szCs w:val="24"/>
              </w:rPr>
              <w:t>Φαρμακευτική αγωγή</w:t>
            </w:r>
          </w:p>
        </w:tc>
        <w:tc>
          <w:tcPr>
            <w:tcW w:w="1701" w:type="dxa"/>
            <w:noWrap/>
            <w:hideMark/>
          </w:tcPr>
          <w:p w:rsidR="007E28F2" w:rsidRPr="00651B46" w:rsidRDefault="007E28F2" w:rsidP="00872FD2">
            <w:pPr>
              <w:spacing w:after="0" w:line="240" w:lineRule="auto"/>
              <w:jc w:val="center"/>
              <w:rPr>
                <w:rFonts w:asciiTheme="minorHAnsi" w:eastAsiaTheme="minorHAnsi" w:hAnsiTheme="minorHAnsi" w:cs="Arial"/>
                <w:color w:val="000000"/>
                <w:sz w:val="24"/>
                <w:szCs w:val="24"/>
              </w:rPr>
            </w:pPr>
            <w:r w:rsidRPr="00651B46">
              <w:rPr>
                <w:rFonts w:asciiTheme="minorHAnsi" w:eastAsiaTheme="minorHAnsi" w:hAnsiTheme="minorHAnsi" w:cs="Arial"/>
                <w:color w:val="000000"/>
                <w:sz w:val="24"/>
                <w:szCs w:val="24"/>
              </w:rPr>
              <w:t>0,00</w:t>
            </w:r>
          </w:p>
        </w:tc>
        <w:tc>
          <w:tcPr>
            <w:tcW w:w="1418" w:type="dxa"/>
            <w:noWrap/>
            <w:hideMark/>
          </w:tcPr>
          <w:p w:rsidR="007E28F2" w:rsidRPr="00651B46" w:rsidRDefault="007E28F2" w:rsidP="00872FD2">
            <w:pPr>
              <w:spacing w:after="0" w:line="240" w:lineRule="auto"/>
              <w:jc w:val="center"/>
              <w:rPr>
                <w:rFonts w:asciiTheme="minorHAnsi" w:eastAsiaTheme="minorHAnsi" w:hAnsiTheme="minorHAnsi" w:cs="Arial"/>
                <w:color w:val="000000"/>
                <w:sz w:val="24"/>
                <w:szCs w:val="24"/>
              </w:rPr>
            </w:pPr>
            <w:r w:rsidRPr="00651B46">
              <w:rPr>
                <w:rFonts w:asciiTheme="minorHAnsi" w:eastAsiaTheme="minorHAnsi" w:hAnsiTheme="minorHAnsi" w:cs="Arial"/>
                <w:color w:val="000000"/>
                <w:sz w:val="24"/>
                <w:szCs w:val="24"/>
              </w:rPr>
              <w:t>4,00</w:t>
            </w:r>
          </w:p>
        </w:tc>
        <w:tc>
          <w:tcPr>
            <w:tcW w:w="1701" w:type="dxa"/>
            <w:noWrap/>
            <w:hideMark/>
          </w:tcPr>
          <w:p w:rsidR="007E28F2" w:rsidRPr="00651B46" w:rsidRDefault="007E28F2" w:rsidP="00872FD2">
            <w:pPr>
              <w:spacing w:after="0" w:line="240" w:lineRule="auto"/>
              <w:jc w:val="center"/>
              <w:rPr>
                <w:rFonts w:asciiTheme="minorHAnsi" w:eastAsiaTheme="minorHAnsi" w:hAnsiTheme="minorHAnsi" w:cs="Arial"/>
                <w:color w:val="000000"/>
                <w:sz w:val="24"/>
                <w:szCs w:val="24"/>
              </w:rPr>
            </w:pPr>
            <w:r w:rsidRPr="00651B46">
              <w:rPr>
                <w:rFonts w:asciiTheme="minorHAnsi" w:eastAsiaTheme="minorHAnsi" w:hAnsiTheme="minorHAnsi" w:cs="Arial"/>
                <w:color w:val="000000"/>
                <w:sz w:val="24"/>
                <w:szCs w:val="24"/>
              </w:rPr>
              <w:t>3,06 (1,11)</w:t>
            </w:r>
          </w:p>
        </w:tc>
        <w:tc>
          <w:tcPr>
            <w:tcW w:w="1134" w:type="dxa"/>
            <w:noWrap/>
            <w:hideMark/>
          </w:tcPr>
          <w:p w:rsidR="007E28F2" w:rsidRPr="00651B46" w:rsidRDefault="007E28F2" w:rsidP="00872FD2">
            <w:pPr>
              <w:spacing w:after="0" w:line="240" w:lineRule="auto"/>
              <w:jc w:val="center"/>
              <w:rPr>
                <w:rFonts w:asciiTheme="minorHAnsi" w:eastAsiaTheme="minorHAnsi" w:hAnsiTheme="minorHAnsi" w:cs="Arial"/>
                <w:color w:val="000000"/>
                <w:sz w:val="24"/>
                <w:szCs w:val="24"/>
              </w:rPr>
            </w:pPr>
            <w:r w:rsidRPr="00651B46">
              <w:rPr>
                <w:rFonts w:asciiTheme="minorHAnsi" w:eastAsiaTheme="minorHAnsi" w:hAnsiTheme="minorHAnsi" w:cs="Arial"/>
                <w:color w:val="000000"/>
                <w:sz w:val="24"/>
                <w:szCs w:val="24"/>
              </w:rPr>
              <w:t>3 (2 - 4)</w:t>
            </w:r>
          </w:p>
        </w:tc>
      </w:tr>
      <w:tr w:rsidR="007E28F2" w:rsidRPr="00651B46" w:rsidTr="00510761">
        <w:trPr>
          <w:cnfStyle w:val="000000010000"/>
          <w:trHeight w:val="345"/>
          <w:jc w:val="center"/>
        </w:trPr>
        <w:tc>
          <w:tcPr>
            <w:tcW w:w="2425" w:type="dxa"/>
            <w:hideMark/>
          </w:tcPr>
          <w:p w:rsidR="007E28F2" w:rsidRPr="00651B46" w:rsidRDefault="0076474F" w:rsidP="00872FD2">
            <w:pPr>
              <w:spacing w:after="0" w:line="240" w:lineRule="auto"/>
              <w:rPr>
                <w:rFonts w:asciiTheme="minorHAnsi" w:eastAsiaTheme="minorHAnsi" w:hAnsiTheme="minorHAnsi" w:cs="Arial"/>
                <w:b/>
                <w:bCs/>
                <w:i/>
                <w:color w:val="000000"/>
                <w:sz w:val="24"/>
                <w:szCs w:val="24"/>
              </w:rPr>
            </w:pPr>
            <w:r w:rsidRPr="00651B46">
              <w:rPr>
                <w:rFonts w:asciiTheme="minorHAnsi" w:eastAsiaTheme="minorHAnsi" w:hAnsiTheme="minorHAnsi" w:cs="Arial"/>
                <w:i/>
                <w:color w:val="000000"/>
                <w:sz w:val="24"/>
                <w:szCs w:val="24"/>
              </w:rPr>
              <w:t>Παρουσία στη συνεδρία</w:t>
            </w:r>
          </w:p>
        </w:tc>
        <w:tc>
          <w:tcPr>
            <w:tcW w:w="1701" w:type="dxa"/>
            <w:noWrap/>
            <w:hideMark/>
          </w:tcPr>
          <w:p w:rsidR="007E28F2" w:rsidRPr="00651B46" w:rsidRDefault="007E28F2" w:rsidP="00872FD2">
            <w:pPr>
              <w:spacing w:after="0" w:line="240" w:lineRule="auto"/>
              <w:jc w:val="center"/>
              <w:rPr>
                <w:rFonts w:asciiTheme="minorHAnsi" w:eastAsiaTheme="minorHAnsi" w:hAnsiTheme="minorHAnsi" w:cs="Arial"/>
                <w:color w:val="000000"/>
                <w:sz w:val="24"/>
                <w:szCs w:val="24"/>
              </w:rPr>
            </w:pPr>
            <w:r w:rsidRPr="00651B46">
              <w:rPr>
                <w:rFonts w:asciiTheme="minorHAnsi" w:eastAsiaTheme="minorHAnsi" w:hAnsiTheme="minorHAnsi" w:cs="Arial"/>
                <w:color w:val="000000"/>
                <w:sz w:val="24"/>
                <w:szCs w:val="24"/>
              </w:rPr>
              <w:t>0,00</w:t>
            </w:r>
          </w:p>
        </w:tc>
        <w:tc>
          <w:tcPr>
            <w:tcW w:w="1418" w:type="dxa"/>
            <w:noWrap/>
            <w:hideMark/>
          </w:tcPr>
          <w:p w:rsidR="007E28F2" w:rsidRPr="00651B46" w:rsidRDefault="007E28F2" w:rsidP="00872FD2">
            <w:pPr>
              <w:spacing w:after="0" w:line="240" w:lineRule="auto"/>
              <w:jc w:val="center"/>
              <w:rPr>
                <w:rFonts w:asciiTheme="minorHAnsi" w:eastAsiaTheme="minorHAnsi" w:hAnsiTheme="minorHAnsi" w:cs="Arial"/>
                <w:color w:val="000000"/>
                <w:sz w:val="24"/>
                <w:szCs w:val="24"/>
              </w:rPr>
            </w:pPr>
            <w:r w:rsidRPr="00651B46">
              <w:rPr>
                <w:rFonts w:asciiTheme="minorHAnsi" w:eastAsiaTheme="minorHAnsi" w:hAnsiTheme="minorHAnsi" w:cs="Arial"/>
                <w:color w:val="000000"/>
                <w:sz w:val="24"/>
                <w:szCs w:val="24"/>
              </w:rPr>
              <w:t>2,00</w:t>
            </w:r>
          </w:p>
        </w:tc>
        <w:tc>
          <w:tcPr>
            <w:tcW w:w="1701" w:type="dxa"/>
            <w:noWrap/>
            <w:hideMark/>
          </w:tcPr>
          <w:p w:rsidR="007E28F2" w:rsidRPr="00651B46" w:rsidRDefault="007E28F2" w:rsidP="00872FD2">
            <w:pPr>
              <w:spacing w:after="0" w:line="240" w:lineRule="auto"/>
              <w:jc w:val="center"/>
              <w:rPr>
                <w:rFonts w:asciiTheme="minorHAnsi" w:eastAsiaTheme="minorHAnsi" w:hAnsiTheme="minorHAnsi" w:cs="Arial"/>
                <w:color w:val="000000"/>
                <w:sz w:val="24"/>
                <w:szCs w:val="24"/>
              </w:rPr>
            </w:pPr>
            <w:r w:rsidRPr="00651B46">
              <w:rPr>
                <w:rFonts w:asciiTheme="minorHAnsi" w:eastAsiaTheme="minorHAnsi" w:hAnsiTheme="minorHAnsi" w:cs="Arial"/>
                <w:color w:val="000000"/>
                <w:sz w:val="24"/>
                <w:szCs w:val="24"/>
              </w:rPr>
              <w:t>1,79 (0,52)</w:t>
            </w:r>
          </w:p>
        </w:tc>
        <w:tc>
          <w:tcPr>
            <w:tcW w:w="1134" w:type="dxa"/>
            <w:noWrap/>
            <w:hideMark/>
          </w:tcPr>
          <w:p w:rsidR="007E28F2" w:rsidRPr="00651B46" w:rsidRDefault="007E28F2" w:rsidP="00872FD2">
            <w:pPr>
              <w:spacing w:after="0" w:line="240" w:lineRule="auto"/>
              <w:jc w:val="center"/>
              <w:rPr>
                <w:rFonts w:asciiTheme="minorHAnsi" w:eastAsiaTheme="minorHAnsi" w:hAnsiTheme="minorHAnsi" w:cs="Arial"/>
                <w:color w:val="000000"/>
                <w:sz w:val="24"/>
                <w:szCs w:val="24"/>
              </w:rPr>
            </w:pPr>
            <w:r w:rsidRPr="00651B46">
              <w:rPr>
                <w:rFonts w:asciiTheme="minorHAnsi" w:eastAsiaTheme="minorHAnsi" w:hAnsiTheme="minorHAnsi" w:cs="Arial"/>
                <w:color w:val="000000"/>
                <w:sz w:val="24"/>
                <w:szCs w:val="24"/>
              </w:rPr>
              <w:t>2 (2 - 2)</w:t>
            </w:r>
          </w:p>
        </w:tc>
      </w:tr>
      <w:tr w:rsidR="007E28F2" w:rsidRPr="00651B46" w:rsidTr="00510761">
        <w:trPr>
          <w:cnfStyle w:val="000000100000"/>
          <w:trHeight w:val="345"/>
          <w:jc w:val="center"/>
        </w:trPr>
        <w:tc>
          <w:tcPr>
            <w:tcW w:w="2425" w:type="dxa"/>
            <w:hideMark/>
          </w:tcPr>
          <w:p w:rsidR="007E28F2" w:rsidRPr="00651B46" w:rsidRDefault="003A7874" w:rsidP="00872FD2">
            <w:pPr>
              <w:spacing w:after="0" w:line="240" w:lineRule="auto"/>
              <w:rPr>
                <w:rFonts w:asciiTheme="minorHAnsi" w:eastAsiaTheme="minorHAnsi" w:hAnsiTheme="minorHAnsi" w:cs="Arial"/>
                <w:b/>
                <w:bCs/>
                <w:i/>
                <w:color w:val="000000"/>
                <w:sz w:val="24"/>
                <w:szCs w:val="24"/>
              </w:rPr>
            </w:pPr>
            <w:r w:rsidRPr="00651B46">
              <w:rPr>
                <w:rFonts w:asciiTheme="minorHAnsi" w:eastAsiaTheme="minorHAnsi" w:hAnsiTheme="minorHAnsi" w:cs="Arial"/>
                <w:i/>
                <w:color w:val="000000"/>
                <w:sz w:val="24"/>
                <w:szCs w:val="24"/>
              </w:rPr>
              <w:t>Δίαι</w:t>
            </w:r>
            <w:r w:rsidR="0076474F" w:rsidRPr="00651B46">
              <w:rPr>
                <w:rFonts w:asciiTheme="minorHAnsi" w:eastAsiaTheme="minorHAnsi" w:hAnsiTheme="minorHAnsi" w:cs="Arial"/>
                <w:i/>
                <w:color w:val="000000"/>
                <w:sz w:val="24"/>
                <w:szCs w:val="24"/>
              </w:rPr>
              <w:t>τα/Υγρά</w:t>
            </w:r>
          </w:p>
        </w:tc>
        <w:tc>
          <w:tcPr>
            <w:tcW w:w="1701" w:type="dxa"/>
            <w:noWrap/>
            <w:hideMark/>
          </w:tcPr>
          <w:p w:rsidR="007E28F2" w:rsidRPr="00651B46" w:rsidRDefault="007E28F2" w:rsidP="00872FD2">
            <w:pPr>
              <w:spacing w:after="0" w:line="240" w:lineRule="auto"/>
              <w:jc w:val="center"/>
              <w:rPr>
                <w:rFonts w:asciiTheme="minorHAnsi" w:eastAsiaTheme="minorHAnsi" w:hAnsiTheme="minorHAnsi" w:cs="Arial"/>
                <w:color w:val="000000"/>
                <w:sz w:val="24"/>
                <w:szCs w:val="24"/>
              </w:rPr>
            </w:pPr>
            <w:r w:rsidRPr="00651B46">
              <w:rPr>
                <w:rFonts w:asciiTheme="minorHAnsi" w:eastAsiaTheme="minorHAnsi" w:hAnsiTheme="minorHAnsi" w:cs="Arial"/>
                <w:color w:val="000000"/>
                <w:sz w:val="24"/>
                <w:szCs w:val="24"/>
              </w:rPr>
              <w:t>0,00</w:t>
            </w:r>
          </w:p>
        </w:tc>
        <w:tc>
          <w:tcPr>
            <w:tcW w:w="1418" w:type="dxa"/>
            <w:noWrap/>
            <w:hideMark/>
          </w:tcPr>
          <w:p w:rsidR="007E28F2" w:rsidRPr="00651B46" w:rsidRDefault="007E28F2" w:rsidP="00872FD2">
            <w:pPr>
              <w:spacing w:after="0" w:line="240" w:lineRule="auto"/>
              <w:jc w:val="center"/>
              <w:rPr>
                <w:rFonts w:asciiTheme="minorHAnsi" w:eastAsiaTheme="minorHAnsi" w:hAnsiTheme="minorHAnsi" w:cs="Arial"/>
                <w:color w:val="000000"/>
                <w:sz w:val="24"/>
                <w:szCs w:val="24"/>
              </w:rPr>
            </w:pPr>
            <w:r w:rsidRPr="00651B46">
              <w:rPr>
                <w:rFonts w:asciiTheme="minorHAnsi" w:eastAsiaTheme="minorHAnsi" w:hAnsiTheme="minorHAnsi" w:cs="Arial"/>
                <w:color w:val="000000"/>
                <w:sz w:val="24"/>
                <w:szCs w:val="24"/>
              </w:rPr>
              <w:t>2,00</w:t>
            </w:r>
          </w:p>
        </w:tc>
        <w:tc>
          <w:tcPr>
            <w:tcW w:w="1701" w:type="dxa"/>
            <w:noWrap/>
            <w:hideMark/>
          </w:tcPr>
          <w:p w:rsidR="007E28F2" w:rsidRPr="00651B46" w:rsidRDefault="007E28F2" w:rsidP="00872FD2">
            <w:pPr>
              <w:spacing w:after="0" w:line="240" w:lineRule="auto"/>
              <w:jc w:val="center"/>
              <w:rPr>
                <w:rFonts w:asciiTheme="minorHAnsi" w:eastAsiaTheme="minorHAnsi" w:hAnsiTheme="minorHAnsi" w:cs="Arial"/>
                <w:color w:val="000000"/>
                <w:sz w:val="24"/>
                <w:szCs w:val="24"/>
              </w:rPr>
            </w:pPr>
            <w:r w:rsidRPr="00651B46">
              <w:rPr>
                <w:rFonts w:asciiTheme="minorHAnsi" w:eastAsiaTheme="minorHAnsi" w:hAnsiTheme="minorHAnsi" w:cs="Arial"/>
                <w:color w:val="000000"/>
                <w:sz w:val="24"/>
                <w:szCs w:val="24"/>
              </w:rPr>
              <w:t>1,5 (0,73)</w:t>
            </w:r>
          </w:p>
        </w:tc>
        <w:tc>
          <w:tcPr>
            <w:tcW w:w="1134" w:type="dxa"/>
            <w:noWrap/>
            <w:hideMark/>
          </w:tcPr>
          <w:p w:rsidR="007E28F2" w:rsidRPr="00651B46" w:rsidRDefault="007E28F2" w:rsidP="00872FD2">
            <w:pPr>
              <w:spacing w:after="0" w:line="240" w:lineRule="auto"/>
              <w:jc w:val="center"/>
              <w:rPr>
                <w:rFonts w:asciiTheme="minorHAnsi" w:eastAsiaTheme="minorHAnsi" w:hAnsiTheme="minorHAnsi" w:cs="Arial"/>
                <w:color w:val="000000"/>
                <w:sz w:val="24"/>
                <w:szCs w:val="24"/>
              </w:rPr>
            </w:pPr>
            <w:r w:rsidRPr="00651B46">
              <w:rPr>
                <w:rFonts w:asciiTheme="minorHAnsi" w:eastAsiaTheme="minorHAnsi" w:hAnsiTheme="minorHAnsi" w:cs="Arial"/>
                <w:color w:val="000000"/>
                <w:sz w:val="24"/>
                <w:szCs w:val="24"/>
              </w:rPr>
              <w:t>2 (1 - 2)</w:t>
            </w:r>
          </w:p>
        </w:tc>
      </w:tr>
    </w:tbl>
    <w:p w:rsidR="007E28F2" w:rsidRPr="00ED3C0B" w:rsidRDefault="007E28F2" w:rsidP="005A464E">
      <w:pPr>
        <w:spacing w:after="0" w:line="360" w:lineRule="auto"/>
      </w:pPr>
      <w:r w:rsidRPr="005A464E">
        <w:t xml:space="preserve"> </w:t>
      </w:r>
    </w:p>
    <w:p w:rsidR="007E28F2" w:rsidRDefault="007E28F2" w:rsidP="005A464E">
      <w:pPr>
        <w:pStyle w:val="nouk"/>
      </w:pPr>
      <w:r w:rsidRPr="005A464E">
        <w:t xml:space="preserve">Η συνολική βαθμολογία συμμόρφωσης κυμαινόταν από 1 έως 8 μονάδες, με τη </w:t>
      </w:r>
      <w:r w:rsidR="00540593" w:rsidRPr="005A464E">
        <w:t>Μέση Τιμή</w:t>
      </w:r>
      <w:r w:rsidRPr="005A464E">
        <w:t xml:space="preserve"> να είναι 6,35 μονάδες (</w:t>
      </w:r>
      <w:r w:rsidR="00D225F5" w:rsidRPr="005A464E">
        <w:t>ΤΑ</w:t>
      </w:r>
      <w:r w:rsidRPr="005A464E">
        <w:t xml:space="preserve">=1,64 μονάδες). Επίσης, η βαθμολογία συμμόρφωσης με την αγωγή κυμαινόταν από 0 έως 4 μονάδες με τη </w:t>
      </w:r>
      <w:r w:rsidR="00540593" w:rsidRPr="005A464E">
        <w:t>Μέση Τιμή</w:t>
      </w:r>
      <w:r w:rsidRPr="005A464E">
        <w:t xml:space="preserve"> να είναι 3,06 μονάδες (</w:t>
      </w:r>
      <w:r w:rsidR="00D225F5" w:rsidRPr="005A464E">
        <w:t>ΤΑ</w:t>
      </w:r>
      <w:r w:rsidRPr="005A464E">
        <w:t xml:space="preserve">=1,11 μονάδες), η βαθμολογία συμμόρφωσης με την παρουσία στη συνεδρία κυμαινόταν από 0 έως 2 μονάδες με τη </w:t>
      </w:r>
      <w:r w:rsidR="00540593" w:rsidRPr="005A464E">
        <w:t>Μέση Τιμή</w:t>
      </w:r>
      <w:r w:rsidRPr="005A464E">
        <w:t xml:space="preserve"> να είναι 1,79 μονάδες (</w:t>
      </w:r>
      <w:r w:rsidR="00D225F5" w:rsidRPr="005A464E">
        <w:t>ΤΑ</w:t>
      </w:r>
      <w:r w:rsidRPr="005A464E">
        <w:t xml:space="preserve">=0,52 μονάδες) και η βαθμολογία συμμόρφωσης με τα υγρά και τη διαιτητική συμπεριφορά κυμαινόταν από 0 έως 2 μονάδες με τη </w:t>
      </w:r>
      <w:r w:rsidR="00540593" w:rsidRPr="005A464E">
        <w:t>Μέση Τιμή</w:t>
      </w:r>
      <w:r w:rsidRPr="005A464E">
        <w:t xml:space="preserve"> να είναι 1,5 μονάδες (</w:t>
      </w:r>
      <w:r w:rsidR="00D225F5" w:rsidRPr="005A464E">
        <w:t>ΤΑ</w:t>
      </w:r>
      <w:r w:rsidRPr="005A464E">
        <w:t>=0,73 μονάδες).</w:t>
      </w:r>
    </w:p>
    <w:p w:rsidR="00651B46" w:rsidRPr="005A464E" w:rsidRDefault="00651B46" w:rsidP="005A464E">
      <w:pPr>
        <w:pStyle w:val="nouk"/>
      </w:pPr>
    </w:p>
    <w:p w:rsidR="007E28F2" w:rsidRDefault="007E28F2" w:rsidP="001B0D74">
      <w:pPr>
        <w:spacing w:line="360" w:lineRule="auto"/>
        <w:jc w:val="both"/>
        <w:rPr>
          <w:sz w:val="24"/>
          <w:szCs w:val="24"/>
        </w:rPr>
      </w:pPr>
      <w:r w:rsidRPr="005A464E">
        <w:rPr>
          <w:sz w:val="24"/>
          <w:szCs w:val="24"/>
        </w:rPr>
        <w:t>Στη συνέχεια έγινε πολυπαραγοντική γραμμική παλινδρόμηση έχοντας σαν εξαρτημένη μεταβλητή τη συνολική βαθμολογία συμμόρφωσης και σαν ανεξάρτητες τα δημογραφικά και κλινικά στοιχεία των συμμετεχόντων καθώς και τη γνώση. Με τη μέθοδο διαδοχικής ένταξης/αφαίρεσης (</w:t>
      </w:r>
      <w:r w:rsidRPr="005A464E">
        <w:rPr>
          <w:sz w:val="24"/>
          <w:szCs w:val="24"/>
          <w:lang w:val="en-US"/>
        </w:rPr>
        <w:t>stepwise</w:t>
      </w:r>
      <w:r w:rsidRPr="005A464E">
        <w:rPr>
          <w:sz w:val="24"/>
          <w:szCs w:val="24"/>
        </w:rPr>
        <w:t xml:space="preserve"> </w:t>
      </w:r>
      <w:r w:rsidRPr="005A464E">
        <w:rPr>
          <w:sz w:val="24"/>
          <w:szCs w:val="24"/>
          <w:lang w:val="en-US"/>
        </w:rPr>
        <w:t>method</w:t>
      </w:r>
      <w:r w:rsidRPr="005A464E">
        <w:rPr>
          <w:sz w:val="24"/>
          <w:szCs w:val="24"/>
        </w:rPr>
        <w:t>) και με τη χρήση λογαριθμικών μετασχηματισμών βρέθηκαν τα αποτελέσματα του παρακάτω πίνακα</w:t>
      </w:r>
      <w:r w:rsidR="00F6061C">
        <w:rPr>
          <w:sz w:val="24"/>
          <w:szCs w:val="24"/>
        </w:rPr>
        <w:t xml:space="preserve"> (Πίν 38</w:t>
      </w:r>
      <w:r w:rsidR="001B0D74">
        <w:rPr>
          <w:sz w:val="24"/>
          <w:szCs w:val="24"/>
        </w:rPr>
        <w:t>)</w:t>
      </w:r>
      <w:r w:rsidRPr="005A464E">
        <w:rPr>
          <w:sz w:val="24"/>
          <w:szCs w:val="24"/>
        </w:rPr>
        <w:t xml:space="preserve">. </w:t>
      </w:r>
    </w:p>
    <w:p w:rsidR="00510761" w:rsidRPr="00651B46" w:rsidRDefault="00F6061C" w:rsidP="00510761">
      <w:pPr>
        <w:spacing w:after="0" w:line="360" w:lineRule="auto"/>
        <w:jc w:val="both"/>
        <w:rPr>
          <w:rFonts w:asciiTheme="minorHAnsi" w:eastAsia="Times New Roman" w:hAnsiTheme="minorHAnsi" w:cs="Arial"/>
          <w:bCs/>
          <w:color w:val="000000"/>
          <w:sz w:val="24"/>
          <w:szCs w:val="24"/>
        </w:rPr>
      </w:pPr>
      <w:r w:rsidRPr="00651B46">
        <w:rPr>
          <w:rFonts w:asciiTheme="minorHAnsi" w:eastAsia="Times New Roman" w:hAnsiTheme="minorHAnsi" w:cs="Arial"/>
          <w:bCs/>
          <w:color w:val="000000"/>
          <w:sz w:val="24"/>
          <w:szCs w:val="24"/>
        </w:rPr>
        <w:t>Πίνακας 38</w:t>
      </w:r>
      <w:r w:rsidR="00510761" w:rsidRPr="00651B46">
        <w:rPr>
          <w:rFonts w:asciiTheme="minorHAnsi" w:eastAsia="Times New Roman" w:hAnsiTheme="minorHAnsi" w:cs="Arial"/>
          <w:bCs/>
          <w:color w:val="000000"/>
          <w:sz w:val="24"/>
          <w:szCs w:val="24"/>
        </w:rPr>
        <w:t xml:space="preserve"> </w:t>
      </w:r>
    </w:p>
    <w:p w:rsidR="00510761" w:rsidRPr="00651B46" w:rsidRDefault="00510761" w:rsidP="00651B46">
      <w:pPr>
        <w:spacing w:after="0" w:line="360" w:lineRule="auto"/>
        <w:jc w:val="both"/>
        <w:rPr>
          <w:rFonts w:cstheme="minorHAnsi"/>
          <w:sz w:val="24"/>
          <w:szCs w:val="24"/>
        </w:rPr>
      </w:pPr>
      <w:r w:rsidRPr="00651B46">
        <w:rPr>
          <w:rFonts w:asciiTheme="minorHAnsi" w:eastAsiaTheme="minorHAnsi" w:hAnsiTheme="minorHAnsi" w:cstheme="minorBidi"/>
          <w:i/>
          <w:sz w:val="24"/>
          <w:szCs w:val="24"/>
        </w:rPr>
        <w:t>Πολυπαραγοντική γραμμική παλινδρόμηση</w:t>
      </w:r>
      <w:r w:rsidRPr="00651B46">
        <w:rPr>
          <w:i/>
          <w:sz w:val="24"/>
          <w:szCs w:val="24"/>
        </w:rPr>
        <w:t xml:space="preserve"> της συνολικής βαθμολογίας συμμόρφωσης με τα δημογραφικά και κλινικά στοιχεία των συμμετεχόντων και τη γνώση</w:t>
      </w:r>
    </w:p>
    <w:tbl>
      <w:tblPr>
        <w:tblStyle w:val="-41"/>
        <w:tblW w:w="8260" w:type="dxa"/>
        <w:jc w:val="center"/>
        <w:tblLook w:val="0400"/>
      </w:tblPr>
      <w:tblGrid>
        <w:gridCol w:w="1982"/>
        <w:gridCol w:w="3398"/>
        <w:gridCol w:w="960"/>
        <w:gridCol w:w="960"/>
        <w:gridCol w:w="960"/>
      </w:tblGrid>
      <w:tr w:rsidR="007E28F2" w:rsidRPr="00872FD2" w:rsidTr="00510761">
        <w:trPr>
          <w:cnfStyle w:val="000000100000"/>
          <w:trHeight w:val="345"/>
          <w:jc w:val="center"/>
        </w:trPr>
        <w:tc>
          <w:tcPr>
            <w:tcW w:w="1982" w:type="dxa"/>
            <w:hideMark/>
          </w:tcPr>
          <w:p w:rsidR="007E28F2" w:rsidRPr="00872FD2" w:rsidRDefault="007E28F2" w:rsidP="005A464E">
            <w:pPr>
              <w:spacing w:after="0" w:line="360" w:lineRule="auto"/>
              <w:rPr>
                <w:rFonts w:asciiTheme="minorHAnsi" w:eastAsia="Times New Roman" w:hAnsiTheme="minorHAnsi" w:cs="Arial"/>
                <w:b/>
                <w:bCs/>
                <w:color w:val="000000"/>
              </w:rPr>
            </w:pPr>
            <w:r w:rsidRPr="00872FD2">
              <w:rPr>
                <w:rFonts w:asciiTheme="minorHAnsi" w:eastAsia="Times New Roman" w:hAnsiTheme="minorHAnsi" w:cs="Arial"/>
                <w:b/>
                <w:bCs/>
                <w:color w:val="000000"/>
              </w:rPr>
              <w:t> </w:t>
            </w:r>
          </w:p>
        </w:tc>
        <w:tc>
          <w:tcPr>
            <w:tcW w:w="3398" w:type="dxa"/>
            <w:hideMark/>
          </w:tcPr>
          <w:p w:rsidR="007E28F2" w:rsidRPr="00872FD2" w:rsidRDefault="007E28F2" w:rsidP="005A464E">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 </w:t>
            </w: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b/>
                <w:bCs/>
                <w:color w:val="000000"/>
              </w:rPr>
            </w:pPr>
            <w:r w:rsidRPr="00872FD2">
              <w:rPr>
                <w:rFonts w:asciiTheme="minorHAnsi" w:eastAsia="Times New Roman" w:hAnsiTheme="minorHAnsi" w:cs="Arial"/>
                <w:b/>
                <w:bCs/>
                <w:color w:val="000000"/>
              </w:rPr>
              <w:t>β+</w:t>
            </w: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b/>
                <w:bCs/>
                <w:color w:val="000000"/>
              </w:rPr>
            </w:pPr>
            <w:r w:rsidRPr="00872FD2">
              <w:rPr>
                <w:rFonts w:asciiTheme="minorHAnsi" w:eastAsia="Times New Roman" w:hAnsiTheme="minorHAnsi" w:cs="Arial"/>
                <w:b/>
                <w:bCs/>
                <w:color w:val="000000"/>
              </w:rPr>
              <w:t>SE++</w:t>
            </w: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b/>
                <w:bCs/>
                <w:color w:val="000000"/>
              </w:rPr>
            </w:pPr>
            <w:r w:rsidRPr="00872FD2">
              <w:rPr>
                <w:rFonts w:asciiTheme="minorHAnsi" w:eastAsia="Times New Roman" w:hAnsiTheme="minorHAnsi" w:cs="Arial"/>
                <w:b/>
                <w:bCs/>
                <w:color w:val="000000"/>
              </w:rPr>
              <w:t>P</w:t>
            </w:r>
          </w:p>
        </w:tc>
      </w:tr>
      <w:tr w:rsidR="007E28F2" w:rsidRPr="00872FD2" w:rsidTr="00510761">
        <w:trPr>
          <w:cnfStyle w:val="000000010000"/>
          <w:trHeight w:val="345"/>
          <w:jc w:val="center"/>
        </w:trPr>
        <w:tc>
          <w:tcPr>
            <w:tcW w:w="1982" w:type="dxa"/>
            <w:vMerge w:val="restart"/>
            <w:hideMark/>
          </w:tcPr>
          <w:p w:rsidR="007E28F2" w:rsidRPr="009D0526" w:rsidRDefault="000D053B" w:rsidP="005A464E">
            <w:pPr>
              <w:spacing w:after="0" w:line="360" w:lineRule="auto"/>
              <w:rPr>
                <w:rFonts w:asciiTheme="minorHAnsi" w:eastAsia="Times New Roman" w:hAnsiTheme="minorHAnsi" w:cs="Arial"/>
                <w:bCs/>
                <w:color w:val="000000"/>
              </w:rPr>
            </w:pPr>
            <w:r w:rsidRPr="009D0526">
              <w:rPr>
                <w:rFonts w:asciiTheme="minorHAnsi" w:eastAsia="Times New Roman" w:hAnsiTheme="minorHAnsi" w:cs="Arial"/>
                <w:bCs/>
                <w:color w:val="000000"/>
              </w:rPr>
              <w:t>Εκπαιδευτικό</w:t>
            </w:r>
            <w:r w:rsidR="007E28F2" w:rsidRPr="009D0526">
              <w:rPr>
                <w:rFonts w:asciiTheme="minorHAnsi" w:eastAsia="Times New Roman" w:hAnsiTheme="minorHAnsi" w:cs="Arial"/>
                <w:bCs/>
                <w:color w:val="000000"/>
              </w:rPr>
              <w:t xml:space="preserve"> επίπεδο</w:t>
            </w:r>
          </w:p>
        </w:tc>
        <w:tc>
          <w:tcPr>
            <w:tcW w:w="3398" w:type="dxa"/>
            <w:hideMark/>
          </w:tcPr>
          <w:p w:rsidR="007E28F2" w:rsidRPr="00872FD2" w:rsidRDefault="007E28F2" w:rsidP="005A464E">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Αναλφάβητος/ Δημοτικό (αναφορά)</w:t>
            </w: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color w:val="000000"/>
              </w:rPr>
            </w:pP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color w:val="000000"/>
              </w:rPr>
            </w:pP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color w:val="000000"/>
              </w:rPr>
            </w:pPr>
          </w:p>
        </w:tc>
      </w:tr>
      <w:tr w:rsidR="007E28F2" w:rsidRPr="00872FD2" w:rsidTr="00510761">
        <w:trPr>
          <w:cnfStyle w:val="000000100000"/>
          <w:trHeight w:val="345"/>
          <w:jc w:val="center"/>
        </w:trPr>
        <w:tc>
          <w:tcPr>
            <w:tcW w:w="1982" w:type="dxa"/>
            <w:vMerge/>
            <w:hideMark/>
          </w:tcPr>
          <w:p w:rsidR="007E28F2" w:rsidRPr="009D0526" w:rsidRDefault="007E28F2" w:rsidP="005A464E">
            <w:pPr>
              <w:spacing w:after="0" w:line="360" w:lineRule="auto"/>
              <w:rPr>
                <w:rFonts w:asciiTheme="minorHAnsi" w:eastAsia="Times New Roman" w:hAnsiTheme="minorHAnsi" w:cs="Arial"/>
                <w:bCs/>
                <w:color w:val="000000"/>
              </w:rPr>
            </w:pPr>
          </w:p>
        </w:tc>
        <w:tc>
          <w:tcPr>
            <w:tcW w:w="3398" w:type="dxa"/>
            <w:hideMark/>
          </w:tcPr>
          <w:p w:rsidR="007E28F2" w:rsidRPr="00872FD2" w:rsidRDefault="007E28F2" w:rsidP="005A464E">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Γυμνάσιο/ Λύκειο</w:t>
            </w: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0,08</w:t>
            </w: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0,02</w:t>
            </w: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b/>
                <w:color w:val="000000"/>
              </w:rPr>
            </w:pPr>
            <w:r w:rsidRPr="00872FD2">
              <w:rPr>
                <w:rFonts w:asciiTheme="minorHAnsi" w:eastAsia="Times New Roman" w:hAnsiTheme="minorHAnsi" w:cs="Arial"/>
                <w:b/>
                <w:color w:val="000000"/>
              </w:rPr>
              <w:t>&lt;0,001</w:t>
            </w:r>
          </w:p>
        </w:tc>
      </w:tr>
      <w:tr w:rsidR="007E28F2" w:rsidRPr="00872FD2" w:rsidTr="00510761">
        <w:trPr>
          <w:cnfStyle w:val="000000010000"/>
          <w:trHeight w:val="345"/>
          <w:jc w:val="center"/>
        </w:trPr>
        <w:tc>
          <w:tcPr>
            <w:tcW w:w="1982" w:type="dxa"/>
            <w:vMerge/>
            <w:hideMark/>
          </w:tcPr>
          <w:p w:rsidR="007E28F2" w:rsidRPr="009D0526" w:rsidRDefault="007E28F2" w:rsidP="005A464E">
            <w:pPr>
              <w:spacing w:after="0" w:line="360" w:lineRule="auto"/>
              <w:rPr>
                <w:rFonts w:asciiTheme="minorHAnsi" w:eastAsia="Times New Roman" w:hAnsiTheme="minorHAnsi" w:cs="Arial"/>
                <w:bCs/>
                <w:color w:val="000000"/>
              </w:rPr>
            </w:pPr>
          </w:p>
        </w:tc>
        <w:tc>
          <w:tcPr>
            <w:tcW w:w="3398" w:type="dxa"/>
            <w:hideMark/>
          </w:tcPr>
          <w:p w:rsidR="007E28F2" w:rsidRPr="00872FD2" w:rsidRDefault="007E28F2" w:rsidP="005A464E">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Φοιτητής/ Απόφοιτος ΑΕΙ/ΤΕΙ</w:t>
            </w: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0,10</w:t>
            </w: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0,02</w:t>
            </w: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b/>
                <w:color w:val="000000"/>
              </w:rPr>
            </w:pPr>
            <w:r w:rsidRPr="00872FD2">
              <w:rPr>
                <w:rFonts w:asciiTheme="minorHAnsi" w:eastAsia="Times New Roman" w:hAnsiTheme="minorHAnsi" w:cs="Arial"/>
                <w:b/>
                <w:color w:val="000000"/>
              </w:rPr>
              <w:t>&lt;0,001</w:t>
            </w:r>
          </w:p>
        </w:tc>
      </w:tr>
      <w:tr w:rsidR="007E28F2" w:rsidRPr="00872FD2" w:rsidTr="00510761">
        <w:trPr>
          <w:cnfStyle w:val="000000100000"/>
          <w:trHeight w:val="345"/>
          <w:jc w:val="center"/>
        </w:trPr>
        <w:tc>
          <w:tcPr>
            <w:tcW w:w="1982" w:type="dxa"/>
            <w:hideMark/>
          </w:tcPr>
          <w:p w:rsidR="007E28F2" w:rsidRPr="009D0526" w:rsidRDefault="007E28F2" w:rsidP="005A464E">
            <w:pPr>
              <w:spacing w:after="0" w:line="360" w:lineRule="auto"/>
              <w:rPr>
                <w:rFonts w:asciiTheme="minorHAnsi" w:eastAsia="Times New Roman" w:hAnsiTheme="minorHAnsi" w:cs="Arial"/>
                <w:bCs/>
                <w:color w:val="000000"/>
              </w:rPr>
            </w:pPr>
            <w:r w:rsidRPr="009D0526">
              <w:rPr>
                <w:rFonts w:asciiTheme="minorHAnsi" w:eastAsia="Times New Roman" w:hAnsiTheme="minorHAnsi" w:cs="Arial"/>
                <w:bCs/>
                <w:color w:val="000000"/>
              </w:rPr>
              <w:t>Βαθμολογία γνώσης</w:t>
            </w:r>
          </w:p>
        </w:tc>
        <w:tc>
          <w:tcPr>
            <w:tcW w:w="3398" w:type="dxa"/>
            <w:hideMark/>
          </w:tcPr>
          <w:p w:rsidR="007E28F2" w:rsidRPr="00872FD2" w:rsidRDefault="007E28F2" w:rsidP="005A464E">
            <w:pPr>
              <w:spacing w:after="0" w:line="360" w:lineRule="auto"/>
              <w:rPr>
                <w:rFonts w:asciiTheme="minorHAnsi" w:eastAsia="Times New Roman" w:hAnsiTheme="minorHAnsi" w:cs="Arial"/>
                <w:color w:val="000000"/>
              </w:rPr>
            </w:pP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0,01</w:t>
            </w: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0,002</w:t>
            </w: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b/>
                <w:color w:val="000000"/>
              </w:rPr>
              <w:t>&lt;0,001</w:t>
            </w:r>
          </w:p>
        </w:tc>
      </w:tr>
      <w:tr w:rsidR="007E28F2" w:rsidRPr="00872FD2" w:rsidTr="00510761">
        <w:trPr>
          <w:cnfStyle w:val="000000010000"/>
          <w:trHeight w:val="345"/>
          <w:jc w:val="center"/>
        </w:trPr>
        <w:tc>
          <w:tcPr>
            <w:tcW w:w="1982" w:type="dxa"/>
            <w:vMerge w:val="restart"/>
            <w:hideMark/>
          </w:tcPr>
          <w:p w:rsidR="007E28F2" w:rsidRPr="009D0526" w:rsidRDefault="007E28F2" w:rsidP="005A464E">
            <w:pPr>
              <w:spacing w:after="0" w:line="360" w:lineRule="auto"/>
              <w:rPr>
                <w:rFonts w:asciiTheme="minorHAnsi" w:eastAsia="Times New Roman" w:hAnsiTheme="minorHAnsi" w:cs="Arial"/>
                <w:bCs/>
                <w:color w:val="000000"/>
              </w:rPr>
            </w:pPr>
            <w:r w:rsidRPr="009D0526">
              <w:rPr>
                <w:rFonts w:asciiTheme="minorHAnsi" w:eastAsia="Times New Roman" w:hAnsiTheme="minorHAnsi" w:cs="Arial"/>
                <w:bCs/>
                <w:color w:val="000000"/>
              </w:rPr>
              <w:t>Κάνετε αιμοκάθαρση από</w:t>
            </w:r>
            <w:r w:rsidR="001B0D74" w:rsidRPr="009D0526">
              <w:rPr>
                <w:rFonts w:asciiTheme="minorHAnsi" w:eastAsia="Times New Roman" w:hAnsiTheme="minorHAnsi" w:cs="Arial"/>
                <w:bCs/>
                <w:color w:val="000000"/>
              </w:rPr>
              <w:t>:</w:t>
            </w:r>
            <w:r w:rsidRPr="009D0526">
              <w:rPr>
                <w:rFonts w:asciiTheme="minorHAnsi" w:eastAsia="Times New Roman" w:hAnsiTheme="minorHAnsi" w:cs="Arial"/>
                <w:bCs/>
                <w:color w:val="000000"/>
              </w:rPr>
              <w:t xml:space="preserve"> </w:t>
            </w:r>
            <w:r w:rsidR="0076474F" w:rsidRPr="009D0526">
              <w:rPr>
                <w:rFonts w:asciiTheme="minorHAnsi" w:eastAsia="Times New Roman" w:hAnsiTheme="minorHAnsi" w:cs="Arial"/>
                <w:bCs/>
                <w:color w:val="000000"/>
              </w:rPr>
              <w:t>φίστουλα</w:t>
            </w:r>
            <w:r w:rsidRPr="009D0526">
              <w:rPr>
                <w:rFonts w:asciiTheme="minorHAnsi" w:eastAsia="Times New Roman" w:hAnsiTheme="minorHAnsi" w:cs="Arial"/>
                <w:bCs/>
                <w:color w:val="000000"/>
              </w:rPr>
              <w:t>,</w:t>
            </w:r>
            <w:r w:rsidR="0076474F" w:rsidRPr="009D0526">
              <w:rPr>
                <w:rFonts w:asciiTheme="minorHAnsi" w:eastAsia="Times New Roman" w:hAnsiTheme="minorHAnsi" w:cs="Arial"/>
                <w:bCs/>
                <w:color w:val="000000"/>
              </w:rPr>
              <w:t xml:space="preserve"> </w:t>
            </w:r>
            <w:r w:rsidRPr="009D0526">
              <w:rPr>
                <w:rFonts w:asciiTheme="minorHAnsi" w:eastAsia="Times New Roman" w:hAnsiTheme="minorHAnsi" w:cs="Arial"/>
                <w:bCs/>
                <w:color w:val="000000"/>
              </w:rPr>
              <w:t>μόσχευμα, καθετήρα;</w:t>
            </w:r>
          </w:p>
        </w:tc>
        <w:tc>
          <w:tcPr>
            <w:tcW w:w="3398" w:type="dxa"/>
            <w:hideMark/>
          </w:tcPr>
          <w:p w:rsidR="007E28F2" w:rsidRPr="00872FD2" w:rsidRDefault="007E28F2" w:rsidP="005A464E">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Φίστουλα (αναφορά)</w:t>
            </w: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color w:val="000000"/>
              </w:rPr>
            </w:pP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color w:val="000000"/>
              </w:rPr>
            </w:pP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color w:val="000000"/>
              </w:rPr>
            </w:pPr>
          </w:p>
        </w:tc>
      </w:tr>
      <w:tr w:rsidR="007E28F2" w:rsidRPr="00872FD2" w:rsidTr="00510761">
        <w:trPr>
          <w:cnfStyle w:val="000000100000"/>
          <w:trHeight w:val="345"/>
          <w:jc w:val="center"/>
        </w:trPr>
        <w:tc>
          <w:tcPr>
            <w:tcW w:w="1982" w:type="dxa"/>
            <w:vMerge/>
            <w:hideMark/>
          </w:tcPr>
          <w:p w:rsidR="007E28F2" w:rsidRPr="00872FD2" w:rsidRDefault="007E28F2" w:rsidP="005A464E">
            <w:pPr>
              <w:spacing w:after="0" w:line="360" w:lineRule="auto"/>
              <w:rPr>
                <w:rFonts w:asciiTheme="minorHAnsi" w:eastAsia="Times New Roman" w:hAnsiTheme="minorHAnsi" w:cs="Arial"/>
                <w:b/>
                <w:bCs/>
                <w:color w:val="000000"/>
              </w:rPr>
            </w:pPr>
          </w:p>
        </w:tc>
        <w:tc>
          <w:tcPr>
            <w:tcW w:w="3398" w:type="dxa"/>
            <w:hideMark/>
          </w:tcPr>
          <w:p w:rsidR="007E28F2" w:rsidRPr="00872FD2" w:rsidRDefault="007E28F2" w:rsidP="005A464E">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Μόσχευμα</w:t>
            </w: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0,02</w:t>
            </w: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0,02</w:t>
            </w: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0,433</w:t>
            </w:r>
          </w:p>
        </w:tc>
      </w:tr>
      <w:tr w:rsidR="007E28F2" w:rsidRPr="00872FD2" w:rsidTr="00510761">
        <w:trPr>
          <w:cnfStyle w:val="000000010000"/>
          <w:trHeight w:val="345"/>
          <w:jc w:val="center"/>
        </w:trPr>
        <w:tc>
          <w:tcPr>
            <w:tcW w:w="1982" w:type="dxa"/>
            <w:vMerge/>
            <w:hideMark/>
          </w:tcPr>
          <w:p w:rsidR="007E28F2" w:rsidRPr="00872FD2" w:rsidRDefault="007E28F2" w:rsidP="005A464E">
            <w:pPr>
              <w:spacing w:after="0" w:line="360" w:lineRule="auto"/>
              <w:rPr>
                <w:rFonts w:asciiTheme="minorHAnsi" w:eastAsia="Times New Roman" w:hAnsiTheme="minorHAnsi" w:cs="Arial"/>
                <w:b/>
                <w:bCs/>
                <w:color w:val="000000"/>
              </w:rPr>
            </w:pPr>
          </w:p>
        </w:tc>
        <w:tc>
          <w:tcPr>
            <w:tcW w:w="3398" w:type="dxa"/>
            <w:hideMark/>
          </w:tcPr>
          <w:p w:rsidR="007E28F2" w:rsidRPr="00872FD2" w:rsidRDefault="007E28F2" w:rsidP="005A464E">
            <w:pPr>
              <w:spacing w:after="0" w:line="360" w:lineRule="auto"/>
              <w:rPr>
                <w:rFonts w:asciiTheme="minorHAnsi" w:eastAsia="Times New Roman" w:hAnsiTheme="minorHAnsi" w:cs="Arial"/>
                <w:color w:val="000000"/>
              </w:rPr>
            </w:pPr>
            <w:r w:rsidRPr="00872FD2">
              <w:rPr>
                <w:rFonts w:asciiTheme="minorHAnsi" w:eastAsia="Times New Roman" w:hAnsiTheme="minorHAnsi" w:cs="Arial"/>
                <w:color w:val="000000"/>
              </w:rPr>
              <w:t>Καθετήρα</w:t>
            </w: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-0,07</w:t>
            </w: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color w:val="000000"/>
              </w:rPr>
            </w:pPr>
            <w:r w:rsidRPr="00872FD2">
              <w:rPr>
                <w:rFonts w:asciiTheme="minorHAnsi" w:eastAsia="Times New Roman" w:hAnsiTheme="minorHAnsi" w:cs="Arial"/>
                <w:color w:val="000000"/>
              </w:rPr>
              <w:t>0,02</w:t>
            </w:r>
          </w:p>
        </w:tc>
        <w:tc>
          <w:tcPr>
            <w:tcW w:w="960" w:type="dxa"/>
            <w:noWrap/>
            <w:hideMark/>
          </w:tcPr>
          <w:p w:rsidR="007E28F2" w:rsidRPr="00872FD2" w:rsidRDefault="007E28F2" w:rsidP="005A464E">
            <w:pPr>
              <w:spacing w:after="0" w:line="360" w:lineRule="auto"/>
              <w:jc w:val="center"/>
              <w:rPr>
                <w:rFonts w:asciiTheme="minorHAnsi" w:eastAsia="Times New Roman" w:hAnsiTheme="minorHAnsi" w:cs="Arial"/>
                <w:b/>
                <w:color w:val="000000"/>
              </w:rPr>
            </w:pPr>
            <w:r w:rsidRPr="00872FD2">
              <w:rPr>
                <w:rFonts w:asciiTheme="minorHAnsi" w:eastAsia="Times New Roman" w:hAnsiTheme="minorHAnsi" w:cs="Arial"/>
                <w:b/>
                <w:color w:val="000000"/>
              </w:rPr>
              <w:t>&lt;0,001</w:t>
            </w:r>
          </w:p>
        </w:tc>
      </w:tr>
      <w:tr w:rsidR="009F1AE0" w:rsidRPr="00872FD2" w:rsidTr="00001CDF">
        <w:trPr>
          <w:cnfStyle w:val="000000100000"/>
          <w:trHeight w:val="345"/>
          <w:jc w:val="center"/>
        </w:trPr>
        <w:tc>
          <w:tcPr>
            <w:tcW w:w="8260" w:type="dxa"/>
            <w:gridSpan w:val="5"/>
            <w:hideMark/>
          </w:tcPr>
          <w:p w:rsidR="009F1AE0" w:rsidRPr="009F1AE0" w:rsidRDefault="009F1AE0" w:rsidP="009F1AE0">
            <w:pPr>
              <w:pStyle w:val="nouk"/>
              <w:rPr>
                <w:i/>
                <w:sz w:val="22"/>
                <w:szCs w:val="22"/>
              </w:rPr>
            </w:pPr>
            <w:r w:rsidRPr="001B0D74">
              <w:rPr>
                <w:i/>
                <w:sz w:val="22"/>
                <w:szCs w:val="22"/>
                <w:vertAlign w:val="superscript"/>
              </w:rPr>
              <w:t>+</w:t>
            </w:r>
            <w:r w:rsidRPr="001B0D74">
              <w:rPr>
                <w:i/>
                <w:sz w:val="22"/>
                <w:szCs w:val="22"/>
              </w:rPr>
              <w:t xml:space="preserve">συντελεστής εξάρτησης </w:t>
            </w:r>
            <w:r w:rsidRPr="001B0D74">
              <w:rPr>
                <w:i/>
                <w:sz w:val="22"/>
                <w:szCs w:val="22"/>
                <w:vertAlign w:val="superscript"/>
              </w:rPr>
              <w:t>++</w:t>
            </w:r>
            <w:r w:rsidRPr="001B0D74">
              <w:rPr>
                <w:i/>
                <w:sz w:val="22"/>
                <w:szCs w:val="22"/>
              </w:rPr>
              <w:t>τυπικό σφάλμα συντελεστή εξάρτησης</w:t>
            </w:r>
          </w:p>
        </w:tc>
      </w:tr>
    </w:tbl>
    <w:p w:rsidR="007E28F2" w:rsidRPr="005A464E" w:rsidRDefault="007E28F2" w:rsidP="005A464E">
      <w:pPr>
        <w:pStyle w:val="nouk"/>
      </w:pPr>
    </w:p>
    <w:p w:rsidR="007E28F2" w:rsidRDefault="007E28F2" w:rsidP="005A464E">
      <w:pPr>
        <w:pStyle w:val="nouk"/>
      </w:pPr>
      <w:r w:rsidRPr="005A464E">
        <w:t xml:space="preserve">Το </w:t>
      </w:r>
      <w:r w:rsidR="000D053B">
        <w:t>εκπαιδευτικό</w:t>
      </w:r>
      <w:r w:rsidRPr="005A464E">
        <w:t xml:space="preserve"> επίπ</w:t>
      </w:r>
      <w:r w:rsidR="00A816E5" w:rsidRPr="005A464E">
        <w:t xml:space="preserve">εδο, η γνώση και ο </w:t>
      </w:r>
      <w:r w:rsidR="00ED66FF">
        <w:t>μέθοδος</w:t>
      </w:r>
      <w:r w:rsidR="00A816E5" w:rsidRPr="005A464E">
        <w:t xml:space="preserve"> αγγειακής προσπέλασης</w:t>
      </w:r>
      <w:r w:rsidR="0078495A">
        <w:t xml:space="preserve"> </w:t>
      </w:r>
      <w:r w:rsidRPr="005A464E">
        <w:t xml:space="preserve">βρέθηκαν να σχετίζονται ανεξάρτητα με τη συνολική βαθμολογία συμμόρφωσης των συμμετεχόντων. </w:t>
      </w:r>
    </w:p>
    <w:p w:rsidR="009F1AE0" w:rsidRPr="005A464E" w:rsidRDefault="009F1AE0" w:rsidP="005A464E">
      <w:pPr>
        <w:pStyle w:val="nouk"/>
      </w:pPr>
    </w:p>
    <w:p w:rsidR="007E28F2" w:rsidRPr="001B0D74" w:rsidRDefault="007E28F2" w:rsidP="001B0D74">
      <w:pPr>
        <w:spacing w:line="360" w:lineRule="auto"/>
        <w:rPr>
          <w:rFonts w:cstheme="minorHAnsi"/>
          <w:sz w:val="24"/>
          <w:szCs w:val="24"/>
        </w:rPr>
      </w:pPr>
      <w:r w:rsidRPr="005A464E">
        <w:rPr>
          <w:sz w:val="24"/>
          <w:szCs w:val="24"/>
        </w:rPr>
        <w:t xml:space="preserve">Στο γράφημα που ακολουθεί </w:t>
      </w:r>
      <w:r w:rsidR="001B0D74">
        <w:rPr>
          <w:sz w:val="24"/>
          <w:szCs w:val="24"/>
        </w:rPr>
        <w:t xml:space="preserve">(Γρ 15) </w:t>
      </w:r>
      <w:r w:rsidRPr="005A464E">
        <w:rPr>
          <w:sz w:val="24"/>
          <w:szCs w:val="24"/>
        </w:rPr>
        <w:t xml:space="preserve">δίνεται η συνολική βαθμολογία συμμόρφωσης ανάλογα με </w:t>
      </w:r>
      <w:r w:rsidR="002D3BEF">
        <w:rPr>
          <w:sz w:val="24"/>
          <w:szCs w:val="24"/>
        </w:rPr>
        <w:t>την μέθοδο</w:t>
      </w:r>
      <w:r w:rsidRPr="005A464E">
        <w:rPr>
          <w:sz w:val="24"/>
          <w:szCs w:val="24"/>
        </w:rPr>
        <w:t xml:space="preserve"> </w:t>
      </w:r>
      <w:r w:rsidR="001B0D74">
        <w:rPr>
          <w:sz w:val="24"/>
          <w:szCs w:val="24"/>
        </w:rPr>
        <w:t>αγγειακής προσπέλασης</w:t>
      </w:r>
      <w:r w:rsidR="001B0D74" w:rsidRPr="005A464E">
        <w:rPr>
          <w:sz w:val="24"/>
          <w:szCs w:val="24"/>
        </w:rPr>
        <w:t xml:space="preserve">. </w:t>
      </w:r>
    </w:p>
    <w:p w:rsidR="007E28F2" w:rsidRPr="005A464E" w:rsidRDefault="00464728" w:rsidP="001B0D74">
      <w:pPr>
        <w:pStyle w:val="nouk"/>
        <w:jc w:val="center"/>
      </w:pPr>
      <w:r>
        <w:rPr>
          <w:noProof/>
          <w:lang w:eastAsia="el-GR"/>
        </w:rPr>
        <w:drawing>
          <wp:inline distT="0" distB="0" distL="0" distR="0">
            <wp:extent cx="3686175" cy="2943225"/>
            <wp:effectExtent l="19050" t="0" r="9525" b="0"/>
            <wp:docPr id="15" name="Εικόνα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0" cstate="print"/>
                    <a:srcRect/>
                    <a:stretch>
                      <a:fillRect/>
                    </a:stretch>
                  </pic:blipFill>
                  <pic:spPr bwMode="auto">
                    <a:xfrm>
                      <a:off x="0" y="0"/>
                      <a:ext cx="3686175" cy="2943225"/>
                    </a:xfrm>
                    <a:prstGeom prst="rect">
                      <a:avLst/>
                    </a:prstGeom>
                    <a:noFill/>
                    <a:ln w="9525">
                      <a:noFill/>
                      <a:miter lim="800000"/>
                      <a:headEnd/>
                      <a:tailEnd/>
                    </a:ln>
                  </pic:spPr>
                </pic:pic>
              </a:graphicData>
            </a:graphic>
          </wp:inline>
        </w:drawing>
      </w:r>
    </w:p>
    <w:p w:rsidR="007E28F2" w:rsidRPr="009F1AE0" w:rsidRDefault="001B0D74" w:rsidP="001B0D74">
      <w:pPr>
        <w:spacing w:line="360" w:lineRule="auto"/>
        <w:rPr>
          <w:rFonts w:cstheme="minorHAnsi"/>
          <w:sz w:val="24"/>
          <w:szCs w:val="24"/>
        </w:rPr>
      </w:pPr>
      <w:r w:rsidRPr="00846E7B">
        <w:rPr>
          <w:i/>
          <w:sz w:val="24"/>
          <w:szCs w:val="24"/>
        </w:rPr>
        <w:t>Γράφημα 15</w:t>
      </w:r>
      <w:r w:rsidR="0078495A">
        <w:t xml:space="preserve"> </w:t>
      </w:r>
      <w:r w:rsidR="00F6061C">
        <w:t xml:space="preserve"> </w:t>
      </w:r>
      <w:r w:rsidRPr="009F1AE0">
        <w:rPr>
          <w:sz w:val="24"/>
          <w:szCs w:val="24"/>
        </w:rPr>
        <w:t xml:space="preserve">Συνολική βαθμολογία συμμόρφωσης ανάλογα με </w:t>
      </w:r>
      <w:r w:rsidR="002D3BEF" w:rsidRPr="009F1AE0">
        <w:rPr>
          <w:sz w:val="24"/>
          <w:szCs w:val="24"/>
        </w:rPr>
        <w:t>την μέθοδο</w:t>
      </w:r>
      <w:r w:rsidRPr="009F1AE0">
        <w:rPr>
          <w:sz w:val="24"/>
          <w:szCs w:val="24"/>
        </w:rPr>
        <w:t xml:space="preserve"> αγγειακής προσπέλασης. </w:t>
      </w:r>
    </w:p>
    <w:p w:rsidR="00510761" w:rsidRDefault="007E28F2" w:rsidP="00F6061C">
      <w:pPr>
        <w:pStyle w:val="nouk"/>
      </w:pPr>
      <w:r w:rsidRPr="005A464E">
        <w:t>Στη συνέχεια έγινε πολυπαραγοντική γραμμική παλινδρόμηση έχοντας σαν εξαρτημένη μεταβλητή τη βαθμολογία συμμόρφωσης με την αγωγή και σαν ανεξάρτητες τα δημογραφικά και κλινικά στοιχεία των συμμετεχόντων καθώς και τη γνώση. Με τη μέθοδο διαδοχικής ένταξης/αφαίρεσης (</w:t>
      </w:r>
      <w:r w:rsidRPr="005A464E">
        <w:rPr>
          <w:lang w:val="en-US"/>
        </w:rPr>
        <w:t>stepwise</w:t>
      </w:r>
      <w:r w:rsidRPr="005A464E">
        <w:t xml:space="preserve"> </w:t>
      </w:r>
      <w:r w:rsidRPr="005A464E">
        <w:rPr>
          <w:lang w:val="en-US"/>
        </w:rPr>
        <w:t>method</w:t>
      </w:r>
      <w:r w:rsidRPr="005A464E">
        <w:t>) και με τη χρήση λογαριθμικών μετασχηματισμών βρέθηκαν τα αποτελέσματα του παρακάτω πίνακα</w:t>
      </w:r>
      <w:r w:rsidR="00F6061C">
        <w:t xml:space="preserve"> (Πίν 39</w:t>
      </w:r>
      <w:r w:rsidR="001B0D74">
        <w:t>)</w:t>
      </w:r>
      <w:r w:rsidRPr="005A464E">
        <w:t xml:space="preserve">. </w:t>
      </w:r>
    </w:p>
    <w:p w:rsidR="00F6061C" w:rsidRDefault="00F6061C" w:rsidP="00F6061C">
      <w:pPr>
        <w:pStyle w:val="nouk"/>
      </w:pPr>
    </w:p>
    <w:p w:rsidR="009F1AE0" w:rsidRDefault="009F1AE0" w:rsidP="00F6061C">
      <w:pPr>
        <w:pStyle w:val="nouk"/>
      </w:pPr>
    </w:p>
    <w:p w:rsidR="009F1AE0" w:rsidRPr="00F6061C" w:rsidRDefault="009F1AE0" w:rsidP="00F6061C">
      <w:pPr>
        <w:pStyle w:val="nouk"/>
      </w:pPr>
    </w:p>
    <w:p w:rsidR="00510761" w:rsidRPr="009F1AE0" w:rsidRDefault="00F6061C" w:rsidP="00510761">
      <w:pPr>
        <w:spacing w:after="0" w:line="480" w:lineRule="auto"/>
        <w:jc w:val="both"/>
        <w:rPr>
          <w:rFonts w:asciiTheme="minorHAnsi" w:eastAsia="Times New Roman" w:hAnsiTheme="minorHAnsi" w:cs="Arial"/>
          <w:bCs/>
          <w:color w:val="000000"/>
          <w:sz w:val="24"/>
          <w:szCs w:val="24"/>
        </w:rPr>
      </w:pPr>
      <w:r w:rsidRPr="009F1AE0">
        <w:rPr>
          <w:rFonts w:asciiTheme="minorHAnsi" w:eastAsia="Times New Roman" w:hAnsiTheme="minorHAnsi" w:cs="Arial"/>
          <w:bCs/>
          <w:color w:val="000000"/>
          <w:sz w:val="24"/>
          <w:szCs w:val="24"/>
        </w:rPr>
        <w:t>Πίνακας 39</w:t>
      </w:r>
    </w:p>
    <w:p w:rsidR="007E28F2" w:rsidRPr="009F1AE0" w:rsidRDefault="00510761" w:rsidP="00510761">
      <w:pPr>
        <w:pStyle w:val="nouk"/>
        <w:rPr>
          <w:vertAlign w:val="superscript"/>
        </w:rPr>
      </w:pPr>
      <w:r w:rsidRPr="009F1AE0">
        <w:rPr>
          <w:rFonts w:asciiTheme="minorHAnsi" w:eastAsiaTheme="minorHAnsi" w:hAnsiTheme="minorHAnsi" w:cstheme="minorBidi"/>
          <w:i/>
        </w:rPr>
        <w:t>Πολυπαραγοντική γραμμική παλινδρόμηση</w:t>
      </w:r>
      <w:r w:rsidRPr="009F1AE0">
        <w:rPr>
          <w:i/>
        </w:rPr>
        <w:t xml:space="preserve"> της βαθμολογίας συμμόρφωσης στην φαρμ. αγωγή με τα δημογραφικά και κλινικά στοιχεία των συμμετεχόντων και τη γνώση</w:t>
      </w:r>
    </w:p>
    <w:tbl>
      <w:tblPr>
        <w:tblStyle w:val="-41"/>
        <w:tblW w:w="9754" w:type="dxa"/>
        <w:tblLook w:val="0400"/>
      </w:tblPr>
      <w:tblGrid>
        <w:gridCol w:w="3563"/>
        <w:gridCol w:w="3311"/>
        <w:gridCol w:w="960"/>
        <w:gridCol w:w="960"/>
        <w:gridCol w:w="960"/>
      </w:tblGrid>
      <w:tr w:rsidR="007E28F2" w:rsidRPr="009F1AE0" w:rsidTr="00510761">
        <w:trPr>
          <w:cnfStyle w:val="000000100000"/>
          <w:trHeight w:val="345"/>
        </w:trPr>
        <w:tc>
          <w:tcPr>
            <w:tcW w:w="3563" w:type="dxa"/>
            <w:hideMark/>
          </w:tcPr>
          <w:p w:rsidR="007E28F2" w:rsidRPr="009F1AE0" w:rsidRDefault="007E28F2" w:rsidP="005A464E">
            <w:pPr>
              <w:spacing w:after="0" w:line="360" w:lineRule="auto"/>
              <w:rPr>
                <w:rFonts w:asciiTheme="minorHAnsi" w:eastAsia="Times New Roman" w:hAnsiTheme="minorHAnsi" w:cstheme="minorHAnsi"/>
                <w:b/>
                <w:bCs/>
                <w:color w:val="000000"/>
                <w:sz w:val="24"/>
                <w:szCs w:val="24"/>
              </w:rPr>
            </w:pPr>
            <w:r w:rsidRPr="009F1AE0">
              <w:rPr>
                <w:rFonts w:asciiTheme="minorHAnsi" w:eastAsia="Times New Roman" w:hAnsiTheme="minorHAnsi" w:cstheme="minorHAnsi"/>
                <w:b/>
                <w:bCs/>
                <w:color w:val="000000"/>
                <w:sz w:val="24"/>
                <w:szCs w:val="24"/>
              </w:rPr>
              <w:t> </w:t>
            </w:r>
          </w:p>
        </w:tc>
        <w:tc>
          <w:tcPr>
            <w:tcW w:w="3311" w:type="dxa"/>
            <w:hideMark/>
          </w:tcPr>
          <w:p w:rsidR="007E28F2" w:rsidRPr="009F1AE0" w:rsidRDefault="007E28F2" w:rsidP="005A464E">
            <w:pPr>
              <w:spacing w:after="0" w:line="360" w:lineRule="auto"/>
              <w:rPr>
                <w:rFonts w:asciiTheme="minorHAnsi" w:eastAsia="Times New Roman" w:hAnsiTheme="minorHAnsi" w:cstheme="minorHAnsi"/>
                <w:color w:val="000000"/>
                <w:sz w:val="24"/>
                <w:szCs w:val="24"/>
              </w:rPr>
            </w:pPr>
            <w:r w:rsidRPr="009F1AE0">
              <w:rPr>
                <w:rFonts w:asciiTheme="minorHAnsi" w:eastAsia="Times New Roman" w:hAnsiTheme="minorHAnsi" w:cstheme="minorHAnsi"/>
                <w:color w:val="000000"/>
                <w:sz w:val="24"/>
                <w:szCs w:val="24"/>
              </w:rPr>
              <w:t> </w:t>
            </w: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b/>
                <w:bCs/>
                <w:color w:val="000000"/>
                <w:sz w:val="24"/>
                <w:szCs w:val="24"/>
              </w:rPr>
            </w:pPr>
            <w:r w:rsidRPr="009F1AE0">
              <w:rPr>
                <w:rFonts w:asciiTheme="minorHAnsi" w:eastAsia="Times New Roman" w:hAnsiTheme="minorHAnsi" w:cstheme="minorHAnsi"/>
                <w:b/>
                <w:bCs/>
                <w:color w:val="000000"/>
                <w:sz w:val="24"/>
                <w:szCs w:val="24"/>
              </w:rPr>
              <w:t>β+</w:t>
            </w: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b/>
                <w:bCs/>
                <w:color w:val="000000"/>
                <w:sz w:val="24"/>
                <w:szCs w:val="24"/>
              </w:rPr>
            </w:pPr>
            <w:r w:rsidRPr="009F1AE0">
              <w:rPr>
                <w:rFonts w:asciiTheme="minorHAnsi" w:eastAsia="Times New Roman" w:hAnsiTheme="minorHAnsi" w:cstheme="minorHAnsi"/>
                <w:b/>
                <w:bCs/>
                <w:color w:val="000000"/>
                <w:sz w:val="24"/>
                <w:szCs w:val="24"/>
              </w:rPr>
              <w:t>SE++</w:t>
            </w: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b/>
                <w:bCs/>
                <w:color w:val="000000"/>
                <w:sz w:val="24"/>
                <w:szCs w:val="24"/>
              </w:rPr>
            </w:pPr>
            <w:r w:rsidRPr="009F1AE0">
              <w:rPr>
                <w:rFonts w:asciiTheme="minorHAnsi" w:eastAsia="Times New Roman" w:hAnsiTheme="minorHAnsi" w:cstheme="minorHAnsi"/>
                <w:b/>
                <w:bCs/>
                <w:color w:val="000000"/>
                <w:sz w:val="24"/>
                <w:szCs w:val="24"/>
              </w:rPr>
              <w:t>P</w:t>
            </w:r>
          </w:p>
        </w:tc>
      </w:tr>
      <w:tr w:rsidR="007E28F2" w:rsidRPr="009F1AE0" w:rsidTr="00510761">
        <w:trPr>
          <w:cnfStyle w:val="000000010000"/>
          <w:trHeight w:val="345"/>
        </w:trPr>
        <w:tc>
          <w:tcPr>
            <w:tcW w:w="3563" w:type="dxa"/>
            <w:vMerge w:val="restart"/>
            <w:hideMark/>
          </w:tcPr>
          <w:p w:rsidR="007E28F2" w:rsidRPr="009F1AE0" w:rsidRDefault="000D053B" w:rsidP="005A464E">
            <w:pPr>
              <w:spacing w:after="0" w:line="360" w:lineRule="auto"/>
              <w:rPr>
                <w:rFonts w:asciiTheme="minorHAnsi" w:eastAsia="Times New Roman" w:hAnsiTheme="minorHAnsi" w:cstheme="minorHAnsi"/>
                <w:bCs/>
                <w:color w:val="000000"/>
                <w:sz w:val="24"/>
                <w:szCs w:val="24"/>
              </w:rPr>
            </w:pPr>
            <w:r w:rsidRPr="009F1AE0">
              <w:rPr>
                <w:rFonts w:asciiTheme="minorHAnsi" w:eastAsia="Times New Roman" w:hAnsiTheme="minorHAnsi" w:cstheme="minorHAnsi"/>
                <w:bCs/>
                <w:color w:val="000000"/>
                <w:sz w:val="24"/>
                <w:szCs w:val="24"/>
              </w:rPr>
              <w:t>Εκπαιδευτικό</w:t>
            </w:r>
            <w:r w:rsidR="007E28F2" w:rsidRPr="009F1AE0">
              <w:rPr>
                <w:rFonts w:asciiTheme="minorHAnsi" w:eastAsia="Times New Roman" w:hAnsiTheme="minorHAnsi" w:cstheme="minorHAnsi"/>
                <w:bCs/>
                <w:color w:val="000000"/>
                <w:sz w:val="24"/>
                <w:szCs w:val="24"/>
              </w:rPr>
              <w:t xml:space="preserve"> επίπεδο</w:t>
            </w:r>
          </w:p>
        </w:tc>
        <w:tc>
          <w:tcPr>
            <w:tcW w:w="3311" w:type="dxa"/>
            <w:hideMark/>
          </w:tcPr>
          <w:p w:rsidR="007E28F2" w:rsidRPr="009F1AE0" w:rsidRDefault="002B5862" w:rsidP="005A464E">
            <w:pPr>
              <w:spacing w:after="0" w:line="360" w:lineRule="auto"/>
              <w:rPr>
                <w:rFonts w:asciiTheme="minorHAnsi" w:eastAsia="Times New Roman" w:hAnsiTheme="minorHAnsi" w:cstheme="minorHAnsi"/>
                <w:color w:val="000000"/>
                <w:sz w:val="24"/>
                <w:szCs w:val="24"/>
              </w:rPr>
            </w:pPr>
            <w:r w:rsidRPr="009F1AE0">
              <w:rPr>
                <w:rFonts w:asciiTheme="minorHAnsi" w:eastAsia="Times New Roman" w:hAnsiTheme="minorHAnsi" w:cstheme="minorHAnsi"/>
                <w:color w:val="000000"/>
                <w:sz w:val="24"/>
                <w:szCs w:val="24"/>
              </w:rPr>
              <w:t>Α</w:t>
            </w:r>
            <w:r w:rsidR="00472330" w:rsidRPr="009F1AE0">
              <w:rPr>
                <w:rFonts w:asciiTheme="minorHAnsi" w:eastAsia="Times New Roman" w:hAnsiTheme="minorHAnsi" w:cstheme="minorHAnsi"/>
                <w:color w:val="000000"/>
                <w:sz w:val="24"/>
                <w:szCs w:val="24"/>
              </w:rPr>
              <w:t>ναλφάβητος/ Δημοτικό (Α</w:t>
            </w:r>
            <w:r w:rsidR="007E28F2" w:rsidRPr="009F1AE0">
              <w:rPr>
                <w:rFonts w:asciiTheme="minorHAnsi" w:eastAsia="Times New Roman" w:hAnsiTheme="minorHAnsi" w:cstheme="minorHAnsi"/>
                <w:color w:val="000000"/>
                <w:sz w:val="24"/>
                <w:szCs w:val="24"/>
              </w:rPr>
              <w:t>ναφορά)</w:t>
            </w: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color w:val="000000"/>
                <w:sz w:val="24"/>
                <w:szCs w:val="24"/>
              </w:rPr>
            </w:pPr>
            <w:r w:rsidRPr="009F1AE0">
              <w:rPr>
                <w:rFonts w:asciiTheme="minorHAnsi" w:eastAsia="Times New Roman" w:hAnsiTheme="minorHAnsi" w:cstheme="minorHAnsi"/>
                <w:color w:val="000000"/>
                <w:sz w:val="24"/>
                <w:szCs w:val="24"/>
              </w:rPr>
              <w:t> </w:t>
            </w: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color w:val="000000"/>
                <w:sz w:val="24"/>
                <w:szCs w:val="24"/>
              </w:rPr>
            </w:pPr>
            <w:r w:rsidRPr="009F1AE0">
              <w:rPr>
                <w:rFonts w:asciiTheme="minorHAnsi" w:eastAsia="Times New Roman" w:hAnsiTheme="minorHAnsi" w:cstheme="minorHAnsi"/>
                <w:color w:val="000000"/>
                <w:sz w:val="24"/>
                <w:szCs w:val="24"/>
              </w:rPr>
              <w:t> </w:t>
            </w: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color w:val="000000"/>
                <w:sz w:val="24"/>
                <w:szCs w:val="24"/>
              </w:rPr>
            </w:pPr>
            <w:r w:rsidRPr="009F1AE0">
              <w:rPr>
                <w:rFonts w:asciiTheme="minorHAnsi" w:eastAsia="Times New Roman" w:hAnsiTheme="minorHAnsi" w:cstheme="minorHAnsi"/>
                <w:color w:val="000000"/>
                <w:sz w:val="24"/>
                <w:szCs w:val="24"/>
              </w:rPr>
              <w:t> </w:t>
            </w:r>
          </w:p>
        </w:tc>
      </w:tr>
      <w:tr w:rsidR="007E28F2" w:rsidRPr="009F1AE0" w:rsidTr="00510761">
        <w:trPr>
          <w:cnfStyle w:val="000000100000"/>
          <w:trHeight w:val="345"/>
        </w:trPr>
        <w:tc>
          <w:tcPr>
            <w:tcW w:w="3563" w:type="dxa"/>
            <w:vMerge/>
            <w:hideMark/>
          </w:tcPr>
          <w:p w:rsidR="007E28F2" w:rsidRPr="009F1AE0" w:rsidRDefault="007E28F2" w:rsidP="005A464E">
            <w:pPr>
              <w:spacing w:after="0" w:line="360" w:lineRule="auto"/>
              <w:rPr>
                <w:rFonts w:asciiTheme="minorHAnsi" w:eastAsia="Times New Roman" w:hAnsiTheme="minorHAnsi" w:cstheme="minorHAnsi"/>
                <w:bCs/>
                <w:color w:val="000000"/>
                <w:sz w:val="24"/>
                <w:szCs w:val="24"/>
              </w:rPr>
            </w:pPr>
          </w:p>
        </w:tc>
        <w:tc>
          <w:tcPr>
            <w:tcW w:w="3311" w:type="dxa"/>
            <w:hideMark/>
          </w:tcPr>
          <w:p w:rsidR="007E28F2" w:rsidRPr="009F1AE0" w:rsidRDefault="00472330" w:rsidP="005A464E">
            <w:pPr>
              <w:spacing w:after="0" w:line="360" w:lineRule="auto"/>
              <w:rPr>
                <w:rFonts w:asciiTheme="minorHAnsi" w:eastAsia="Times New Roman" w:hAnsiTheme="minorHAnsi" w:cstheme="minorHAnsi"/>
                <w:color w:val="000000"/>
                <w:sz w:val="24"/>
                <w:szCs w:val="24"/>
              </w:rPr>
            </w:pPr>
            <w:r w:rsidRPr="009F1AE0">
              <w:rPr>
                <w:rFonts w:asciiTheme="minorHAnsi" w:eastAsia="Times New Roman" w:hAnsiTheme="minorHAnsi" w:cstheme="minorHAnsi"/>
                <w:color w:val="000000"/>
                <w:sz w:val="24"/>
                <w:szCs w:val="24"/>
              </w:rPr>
              <w:t>Γυμνάσιο/Λύκειο</w:t>
            </w: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color w:val="000000"/>
                <w:sz w:val="24"/>
                <w:szCs w:val="24"/>
              </w:rPr>
            </w:pPr>
            <w:r w:rsidRPr="009F1AE0">
              <w:rPr>
                <w:rFonts w:asciiTheme="minorHAnsi" w:eastAsia="Times New Roman" w:hAnsiTheme="minorHAnsi" w:cstheme="minorHAnsi"/>
                <w:color w:val="000000"/>
                <w:sz w:val="24"/>
                <w:szCs w:val="24"/>
              </w:rPr>
              <w:t>0,07</w:t>
            </w: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color w:val="000000"/>
                <w:sz w:val="24"/>
                <w:szCs w:val="24"/>
              </w:rPr>
            </w:pPr>
            <w:r w:rsidRPr="009F1AE0">
              <w:rPr>
                <w:rFonts w:asciiTheme="minorHAnsi" w:eastAsia="Times New Roman" w:hAnsiTheme="minorHAnsi" w:cstheme="minorHAnsi"/>
                <w:color w:val="000000"/>
                <w:sz w:val="24"/>
                <w:szCs w:val="24"/>
              </w:rPr>
              <w:t>0,02</w:t>
            </w: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b/>
                <w:color w:val="000000"/>
                <w:sz w:val="24"/>
                <w:szCs w:val="24"/>
              </w:rPr>
            </w:pPr>
            <w:r w:rsidRPr="009F1AE0">
              <w:rPr>
                <w:rFonts w:asciiTheme="minorHAnsi" w:eastAsia="Times New Roman" w:hAnsiTheme="minorHAnsi" w:cstheme="minorHAnsi"/>
                <w:b/>
                <w:color w:val="000000"/>
                <w:sz w:val="24"/>
                <w:szCs w:val="24"/>
              </w:rPr>
              <w:t>&lt;0,001</w:t>
            </w:r>
          </w:p>
        </w:tc>
      </w:tr>
      <w:tr w:rsidR="007E28F2" w:rsidRPr="009F1AE0" w:rsidTr="00510761">
        <w:trPr>
          <w:cnfStyle w:val="000000010000"/>
          <w:trHeight w:val="345"/>
        </w:trPr>
        <w:tc>
          <w:tcPr>
            <w:tcW w:w="3563" w:type="dxa"/>
            <w:vMerge/>
            <w:hideMark/>
          </w:tcPr>
          <w:p w:rsidR="007E28F2" w:rsidRPr="009F1AE0" w:rsidRDefault="007E28F2" w:rsidP="005A464E">
            <w:pPr>
              <w:spacing w:after="0" w:line="360" w:lineRule="auto"/>
              <w:rPr>
                <w:rFonts w:asciiTheme="minorHAnsi" w:eastAsia="Times New Roman" w:hAnsiTheme="minorHAnsi" w:cstheme="minorHAnsi"/>
                <w:bCs/>
                <w:color w:val="000000"/>
                <w:sz w:val="24"/>
                <w:szCs w:val="24"/>
              </w:rPr>
            </w:pPr>
          </w:p>
        </w:tc>
        <w:tc>
          <w:tcPr>
            <w:tcW w:w="3311" w:type="dxa"/>
            <w:hideMark/>
          </w:tcPr>
          <w:p w:rsidR="007E28F2" w:rsidRPr="009F1AE0" w:rsidRDefault="002B5862" w:rsidP="005A464E">
            <w:pPr>
              <w:spacing w:after="0" w:line="360" w:lineRule="auto"/>
              <w:rPr>
                <w:rFonts w:asciiTheme="minorHAnsi" w:eastAsia="Times New Roman" w:hAnsiTheme="minorHAnsi" w:cstheme="minorHAnsi"/>
                <w:color w:val="000000"/>
                <w:sz w:val="24"/>
                <w:szCs w:val="24"/>
              </w:rPr>
            </w:pPr>
            <w:r w:rsidRPr="009F1AE0">
              <w:rPr>
                <w:rFonts w:asciiTheme="minorHAnsi" w:eastAsia="Times New Roman" w:hAnsiTheme="minorHAnsi" w:cstheme="minorHAnsi"/>
                <w:color w:val="000000"/>
                <w:sz w:val="24"/>
                <w:szCs w:val="24"/>
              </w:rPr>
              <w:t>Φ</w:t>
            </w:r>
            <w:r w:rsidR="007E28F2" w:rsidRPr="009F1AE0">
              <w:rPr>
                <w:rFonts w:asciiTheme="minorHAnsi" w:eastAsia="Times New Roman" w:hAnsiTheme="minorHAnsi" w:cstheme="minorHAnsi"/>
                <w:color w:val="000000"/>
                <w:sz w:val="24"/>
                <w:szCs w:val="24"/>
              </w:rPr>
              <w:t>οιτητής</w:t>
            </w:r>
            <w:r w:rsidR="00472330" w:rsidRPr="009F1AE0">
              <w:rPr>
                <w:rFonts w:asciiTheme="minorHAnsi" w:eastAsia="Times New Roman" w:hAnsiTheme="minorHAnsi" w:cstheme="minorHAnsi"/>
                <w:color w:val="000000"/>
                <w:sz w:val="24"/>
                <w:szCs w:val="24"/>
              </w:rPr>
              <w:t xml:space="preserve">/ Απόφοιτος </w:t>
            </w:r>
            <w:r w:rsidR="007E28F2" w:rsidRPr="009F1AE0">
              <w:rPr>
                <w:rFonts w:asciiTheme="minorHAnsi" w:eastAsia="Times New Roman" w:hAnsiTheme="minorHAnsi" w:cstheme="minorHAnsi"/>
                <w:color w:val="000000"/>
                <w:sz w:val="24"/>
                <w:szCs w:val="24"/>
              </w:rPr>
              <w:t>ΑΕΙ</w:t>
            </w:r>
            <w:r w:rsidR="00472330" w:rsidRPr="009F1AE0">
              <w:rPr>
                <w:rFonts w:asciiTheme="minorHAnsi" w:eastAsia="Times New Roman" w:hAnsiTheme="minorHAnsi" w:cstheme="minorHAnsi"/>
                <w:color w:val="000000"/>
                <w:sz w:val="24"/>
                <w:szCs w:val="24"/>
              </w:rPr>
              <w:t>/</w:t>
            </w:r>
            <w:r w:rsidR="007E28F2" w:rsidRPr="009F1AE0">
              <w:rPr>
                <w:rFonts w:asciiTheme="minorHAnsi" w:eastAsia="Times New Roman" w:hAnsiTheme="minorHAnsi" w:cstheme="minorHAnsi"/>
                <w:color w:val="000000"/>
                <w:sz w:val="24"/>
                <w:szCs w:val="24"/>
              </w:rPr>
              <w:t>ΤΕΙ</w:t>
            </w: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color w:val="000000"/>
                <w:sz w:val="24"/>
                <w:szCs w:val="24"/>
              </w:rPr>
            </w:pPr>
            <w:r w:rsidRPr="009F1AE0">
              <w:rPr>
                <w:rFonts w:asciiTheme="minorHAnsi" w:eastAsia="Times New Roman" w:hAnsiTheme="minorHAnsi" w:cstheme="minorHAnsi"/>
                <w:color w:val="000000"/>
                <w:sz w:val="24"/>
                <w:szCs w:val="24"/>
              </w:rPr>
              <w:t>0,11</w:t>
            </w: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color w:val="000000"/>
                <w:sz w:val="24"/>
                <w:szCs w:val="24"/>
              </w:rPr>
            </w:pPr>
            <w:r w:rsidRPr="009F1AE0">
              <w:rPr>
                <w:rFonts w:asciiTheme="minorHAnsi" w:eastAsia="Times New Roman" w:hAnsiTheme="minorHAnsi" w:cstheme="minorHAnsi"/>
                <w:color w:val="000000"/>
                <w:sz w:val="24"/>
                <w:szCs w:val="24"/>
              </w:rPr>
              <w:t>0,02</w:t>
            </w: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b/>
                <w:color w:val="000000"/>
                <w:sz w:val="24"/>
                <w:szCs w:val="24"/>
              </w:rPr>
            </w:pPr>
            <w:r w:rsidRPr="009F1AE0">
              <w:rPr>
                <w:rFonts w:asciiTheme="minorHAnsi" w:eastAsia="Times New Roman" w:hAnsiTheme="minorHAnsi" w:cstheme="minorHAnsi"/>
                <w:b/>
                <w:color w:val="000000"/>
                <w:sz w:val="24"/>
                <w:szCs w:val="24"/>
              </w:rPr>
              <w:t>&lt;0,001</w:t>
            </w:r>
          </w:p>
        </w:tc>
      </w:tr>
      <w:tr w:rsidR="007E28F2" w:rsidRPr="009F1AE0" w:rsidTr="00510761">
        <w:trPr>
          <w:cnfStyle w:val="000000100000"/>
          <w:trHeight w:val="345"/>
        </w:trPr>
        <w:tc>
          <w:tcPr>
            <w:tcW w:w="3563" w:type="dxa"/>
            <w:vMerge w:val="restart"/>
            <w:hideMark/>
          </w:tcPr>
          <w:p w:rsidR="007E28F2" w:rsidRPr="009F1AE0" w:rsidRDefault="007E28F2" w:rsidP="005A464E">
            <w:pPr>
              <w:spacing w:after="0" w:line="360" w:lineRule="auto"/>
              <w:rPr>
                <w:rFonts w:asciiTheme="minorHAnsi" w:eastAsia="Times New Roman" w:hAnsiTheme="minorHAnsi" w:cstheme="minorHAnsi"/>
                <w:bCs/>
                <w:color w:val="000000"/>
                <w:sz w:val="24"/>
                <w:szCs w:val="24"/>
              </w:rPr>
            </w:pPr>
            <w:r w:rsidRPr="009F1AE0">
              <w:rPr>
                <w:rFonts w:asciiTheme="minorHAnsi" w:eastAsia="Times New Roman" w:hAnsiTheme="minorHAnsi" w:cstheme="minorHAnsi"/>
                <w:bCs/>
                <w:color w:val="000000"/>
                <w:sz w:val="24"/>
                <w:szCs w:val="24"/>
              </w:rPr>
              <w:t xml:space="preserve">Κάνετε αιμοκάθαρση από </w:t>
            </w:r>
            <w:r w:rsidR="0076474F" w:rsidRPr="009F1AE0">
              <w:rPr>
                <w:rFonts w:asciiTheme="minorHAnsi" w:eastAsia="Times New Roman" w:hAnsiTheme="minorHAnsi" w:cstheme="minorHAnsi"/>
                <w:bCs/>
                <w:color w:val="000000"/>
                <w:sz w:val="24"/>
                <w:szCs w:val="24"/>
              </w:rPr>
              <w:t>φίστουλα</w:t>
            </w:r>
            <w:r w:rsidRPr="009F1AE0">
              <w:rPr>
                <w:rFonts w:asciiTheme="minorHAnsi" w:eastAsia="Times New Roman" w:hAnsiTheme="minorHAnsi" w:cstheme="minorHAnsi"/>
                <w:bCs/>
                <w:color w:val="000000"/>
                <w:sz w:val="24"/>
                <w:szCs w:val="24"/>
              </w:rPr>
              <w:t>,</w:t>
            </w:r>
            <w:r w:rsidR="0076474F" w:rsidRPr="009F1AE0">
              <w:rPr>
                <w:rFonts w:asciiTheme="minorHAnsi" w:eastAsia="Times New Roman" w:hAnsiTheme="minorHAnsi" w:cstheme="minorHAnsi"/>
                <w:bCs/>
                <w:color w:val="000000"/>
                <w:sz w:val="24"/>
                <w:szCs w:val="24"/>
              </w:rPr>
              <w:t xml:space="preserve"> </w:t>
            </w:r>
            <w:r w:rsidRPr="009F1AE0">
              <w:rPr>
                <w:rFonts w:asciiTheme="minorHAnsi" w:eastAsia="Times New Roman" w:hAnsiTheme="minorHAnsi" w:cstheme="minorHAnsi"/>
                <w:bCs/>
                <w:color w:val="000000"/>
                <w:sz w:val="24"/>
                <w:szCs w:val="24"/>
              </w:rPr>
              <w:t>μόσχευμα, καθετήρα;</w:t>
            </w:r>
          </w:p>
        </w:tc>
        <w:tc>
          <w:tcPr>
            <w:tcW w:w="3311" w:type="dxa"/>
            <w:hideMark/>
          </w:tcPr>
          <w:p w:rsidR="007E28F2" w:rsidRPr="009F1AE0" w:rsidRDefault="002B5862" w:rsidP="005A464E">
            <w:pPr>
              <w:spacing w:after="0" w:line="360" w:lineRule="auto"/>
              <w:rPr>
                <w:rFonts w:asciiTheme="minorHAnsi" w:eastAsia="Times New Roman" w:hAnsiTheme="minorHAnsi" w:cstheme="minorHAnsi"/>
                <w:color w:val="000000"/>
                <w:sz w:val="24"/>
                <w:szCs w:val="24"/>
              </w:rPr>
            </w:pPr>
            <w:r w:rsidRPr="009F1AE0">
              <w:rPr>
                <w:rFonts w:asciiTheme="minorHAnsi" w:eastAsia="Times New Roman" w:hAnsiTheme="minorHAnsi" w:cstheme="minorHAnsi"/>
                <w:color w:val="000000"/>
                <w:sz w:val="24"/>
                <w:szCs w:val="24"/>
              </w:rPr>
              <w:t>Φ</w:t>
            </w:r>
            <w:r w:rsidR="007E28F2" w:rsidRPr="009F1AE0">
              <w:rPr>
                <w:rFonts w:asciiTheme="minorHAnsi" w:eastAsia="Times New Roman" w:hAnsiTheme="minorHAnsi" w:cstheme="minorHAnsi"/>
                <w:color w:val="000000"/>
                <w:sz w:val="24"/>
                <w:szCs w:val="24"/>
              </w:rPr>
              <w:t xml:space="preserve">ίστουλα </w:t>
            </w:r>
            <w:r w:rsidR="00472330" w:rsidRPr="009F1AE0">
              <w:rPr>
                <w:rFonts w:asciiTheme="minorHAnsi" w:eastAsia="Times New Roman" w:hAnsiTheme="minorHAnsi" w:cstheme="minorHAnsi"/>
                <w:color w:val="000000"/>
                <w:sz w:val="24"/>
                <w:szCs w:val="24"/>
              </w:rPr>
              <w:t>(Αναφορά)</w:t>
            </w: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color w:val="000000"/>
                <w:sz w:val="24"/>
                <w:szCs w:val="24"/>
              </w:rPr>
            </w:pP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color w:val="000000"/>
                <w:sz w:val="24"/>
                <w:szCs w:val="24"/>
              </w:rPr>
            </w:pP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b/>
                <w:color w:val="000000"/>
                <w:sz w:val="24"/>
                <w:szCs w:val="24"/>
              </w:rPr>
            </w:pPr>
          </w:p>
        </w:tc>
      </w:tr>
      <w:tr w:rsidR="007E28F2" w:rsidRPr="009F1AE0" w:rsidTr="00510761">
        <w:trPr>
          <w:cnfStyle w:val="000000010000"/>
          <w:trHeight w:val="345"/>
        </w:trPr>
        <w:tc>
          <w:tcPr>
            <w:tcW w:w="3563" w:type="dxa"/>
            <w:vMerge/>
            <w:hideMark/>
          </w:tcPr>
          <w:p w:rsidR="007E28F2" w:rsidRPr="009F1AE0" w:rsidRDefault="007E28F2" w:rsidP="005A464E">
            <w:pPr>
              <w:spacing w:after="0" w:line="360" w:lineRule="auto"/>
              <w:rPr>
                <w:rFonts w:asciiTheme="minorHAnsi" w:eastAsia="Times New Roman" w:hAnsiTheme="minorHAnsi" w:cstheme="minorHAnsi"/>
                <w:bCs/>
                <w:color w:val="000000"/>
                <w:sz w:val="24"/>
                <w:szCs w:val="24"/>
              </w:rPr>
            </w:pPr>
          </w:p>
        </w:tc>
        <w:tc>
          <w:tcPr>
            <w:tcW w:w="3311" w:type="dxa"/>
            <w:hideMark/>
          </w:tcPr>
          <w:p w:rsidR="007E28F2" w:rsidRPr="009F1AE0" w:rsidRDefault="002B5862" w:rsidP="005A464E">
            <w:pPr>
              <w:spacing w:after="0" w:line="360" w:lineRule="auto"/>
              <w:rPr>
                <w:rFonts w:asciiTheme="minorHAnsi" w:eastAsia="Times New Roman" w:hAnsiTheme="minorHAnsi" w:cstheme="minorHAnsi"/>
                <w:color w:val="000000"/>
                <w:sz w:val="24"/>
                <w:szCs w:val="24"/>
              </w:rPr>
            </w:pPr>
            <w:r w:rsidRPr="009F1AE0">
              <w:rPr>
                <w:rFonts w:asciiTheme="minorHAnsi" w:eastAsia="Times New Roman" w:hAnsiTheme="minorHAnsi" w:cstheme="minorHAnsi"/>
                <w:color w:val="000000"/>
                <w:sz w:val="24"/>
                <w:szCs w:val="24"/>
              </w:rPr>
              <w:t>Μ</w:t>
            </w:r>
            <w:r w:rsidR="007E28F2" w:rsidRPr="009F1AE0">
              <w:rPr>
                <w:rFonts w:asciiTheme="minorHAnsi" w:eastAsia="Times New Roman" w:hAnsiTheme="minorHAnsi" w:cstheme="minorHAnsi"/>
                <w:color w:val="000000"/>
                <w:sz w:val="24"/>
                <w:szCs w:val="24"/>
              </w:rPr>
              <w:t>όσχευμα</w:t>
            </w: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color w:val="000000"/>
                <w:sz w:val="24"/>
                <w:szCs w:val="24"/>
              </w:rPr>
            </w:pPr>
            <w:r w:rsidRPr="009F1AE0">
              <w:rPr>
                <w:rFonts w:asciiTheme="minorHAnsi" w:eastAsia="Times New Roman" w:hAnsiTheme="minorHAnsi" w:cstheme="minorHAnsi"/>
                <w:color w:val="000000"/>
                <w:sz w:val="24"/>
                <w:szCs w:val="24"/>
              </w:rPr>
              <w:t>0,01</w:t>
            </w: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color w:val="000000"/>
                <w:sz w:val="24"/>
                <w:szCs w:val="24"/>
              </w:rPr>
            </w:pPr>
            <w:r w:rsidRPr="009F1AE0">
              <w:rPr>
                <w:rFonts w:asciiTheme="minorHAnsi" w:eastAsia="Times New Roman" w:hAnsiTheme="minorHAnsi" w:cstheme="minorHAnsi"/>
                <w:color w:val="000000"/>
                <w:sz w:val="24"/>
                <w:szCs w:val="24"/>
              </w:rPr>
              <w:t>0,02</w:t>
            </w: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color w:val="000000"/>
                <w:sz w:val="24"/>
                <w:szCs w:val="24"/>
              </w:rPr>
            </w:pPr>
            <w:r w:rsidRPr="009F1AE0">
              <w:rPr>
                <w:rFonts w:asciiTheme="minorHAnsi" w:eastAsia="Times New Roman" w:hAnsiTheme="minorHAnsi" w:cstheme="minorHAnsi"/>
                <w:color w:val="000000"/>
                <w:sz w:val="24"/>
                <w:szCs w:val="24"/>
              </w:rPr>
              <w:t>0,603</w:t>
            </w:r>
          </w:p>
        </w:tc>
      </w:tr>
      <w:tr w:rsidR="007E28F2" w:rsidRPr="009F1AE0" w:rsidTr="00510761">
        <w:trPr>
          <w:cnfStyle w:val="000000100000"/>
          <w:trHeight w:val="345"/>
        </w:trPr>
        <w:tc>
          <w:tcPr>
            <w:tcW w:w="3563" w:type="dxa"/>
            <w:vMerge/>
            <w:hideMark/>
          </w:tcPr>
          <w:p w:rsidR="007E28F2" w:rsidRPr="009F1AE0" w:rsidRDefault="007E28F2" w:rsidP="005A464E">
            <w:pPr>
              <w:spacing w:after="0" w:line="360" w:lineRule="auto"/>
              <w:rPr>
                <w:rFonts w:asciiTheme="minorHAnsi" w:eastAsia="Times New Roman" w:hAnsiTheme="minorHAnsi" w:cstheme="minorHAnsi"/>
                <w:bCs/>
                <w:color w:val="000000"/>
                <w:sz w:val="24"/>
                <w:szCs w:val="24"/>
              </w:rPr>
            </w:pPr>
          </w:p>
        </w:tc>
        <w:tc>
          <w:tcPr>
            <w:tcW w:w="3311" w:type="dxa"/>
            <w:hideMark/>
          </w:tcPr>
          <w:p w:rsidR="007E28F2" w:rsidRPr="009F1AE0" w:rsidRDefault="002B5862" w:rsidP="005A464E">
            <w:pPr>
              <w:spacing w:after="0" w:line="360" w:lineRule="auto"/>
              <w:rPr>
                <w:rFonts w:asciiTheme="minorHAnsi" w:eastAsia="Times New Roman" w:hAnsiTheme="minorHAnsi" w:cstheme="minorHAnsi"/>
                <w:color w:val="000000"/>
                <w:sz w:val="24"/>
                <w:szCs w:val="24"/>
              </w:rPr>
            </w:pPr>
            <w:r w:rsidRPr="009F1AE0">
              <w:rPr>
                <w:rFonts w:asciiTheme="minorHAnsi" w:eastAsia="Times New Roman" w:hAnsiTheme="minorHAnsi" w:cstheme="minorHAnsi"/>
                <w:color w:val="000000"/>
                <w:sz w:val="24"/>
                <w:szCs w:val="24"/>
              </w:rPr>
              <w:t>Κ</w:t>
            </w:r>
            <w:r w:rsidR="007E28F2" w:rsidRPr="009F1AE0">
              <w:rPr>
                <w:rFonts w:asciiTheme="minorHAnsi" w:eastAsia="Times New Roman" w:hAnsiTheme="minorHAnsi" w:cstheme="minorHAnsi"/>
                <w:color w:val="000000"/>
                <w:sz w:val="24"/>
                <w:szCs w:val="24"/>
              </w:rPr>
              <w:t>αθετήρα</w:t>
            </w: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color w:val="000000"/>
                <w:sz w:val="24"/>
                <w:szCs w:val="24"/>
              </w:rPr>
            </w:pPr>
            <w:r w:rsidRPr="009F1AE0">
              <w:rPr>
                <w:rFonts w:asciiTheme="minorHAnsi" w:eastAsia="Times New Roman" w:hAnsiTheme="minorHAnsi" w:cstheme="minorHAnsi"/>
                <w:color w:val="000000"/>
                <w:sz w:val="24"/>
                <w:szCs w:val="24"/>
              </w:rPr>
              <w:t>-0,08</w:t>
            </w: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color w:val="000000"/>
                <w:sz w:val="24"/>
                <w:szCs w:val="24"/>
              </w:rPr>
            </w:pPr>
            <w:r w:rsidRPr="009F1AE0">
              <w:rPr>
                <w:rFonts w:asciiTheme="minorHAnsi" w:eastAsia="Times New Roman" w:hAnsiTheme="minorHAnsi" w:cstheme="minorHAnsi"/>
                <w:color w:val="000000"/>
                <w:sz w:val="24"/>
                <w:szCs w:val="24"/>
              </w:rPr>
              <w:t>0,02</w:t>
            </w: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b/>
                <w:color w:val="000000"/>
                <w:sz w:val="24"/>
                <w:szCs w:val="24"/>
              </w:rPr>
            </w:pPr>
            <w:r w:rsidRPr="009F1AE0">
              <w:rPr>
                <w:rFonts w:asciiTheme="minorHAnsi" w:eastAsia="Times New Roman" w:hAnsiTheme="minorHAnsi" w:cstheme="minorHAnsi"/>
                <w:b/>
                <w:color w:val="000000"/>
                <w:sz w:val="24"/>
                <w:szCs w:val="24"/>
              </w:rPr>
              <w:t>&lt;0,001</w:t>
            </w:r>
          </w:p>
        </w:tc>
      </w:tr>
      <w:tr w:rsidR="007E28F2" w:rsidRPr="009F1AE0" w:rsidTr="00510761">
        <w:trPr>
          <w:cnfStyle w:val="000000010000"/>
          <w:trHeight w:val="345"/>
        </w:trPr>
        <w:tc>
          <w:tcPr>
            <w:tcW w:w="3563" w:type="dxa"/>
            <w:hideMark/>
          </w:tcPr>
          <w:p w:rsidR="007E28F2" w:rsidRPr="009F1AE0" w:rsidRDefault="007E28F2" w:rsidP="005A464E">
            <w:pPr>
              <w:spacing w:after="0" w:line="360" w:lineRule="auto"/>
              <w:rPr>
                <w:rFonts w:asciiTheme="minorHAnsi" w:eastAsia="Times New Roman" w:hAnsiTheme="minorHAnsi" w:cstheme="minorHAnsi"/>
                <w:bCs/>
                <w:color w:val="000000"/>
                <w:sz w:val="24"/>
                <w:szCs w:val="24"/>
              </w:rPr>
            </w:pPr>
            <w:r w:rsidRPr="009F1AE0">
              <w:rPr>
                <w:rFonts w:asciiTheme="minorHAnsi" w:eastAsia="Times New Roman" w:hAnsiTheme="minorHAnsi" w:cstheme="minorHAnsi"/>
                <w:bCs/>
                <w:color w:val="000000"/>
                <w:sz w:val="24"/>
                <w:szCs w:val="24"/>
              </w:rPr>
              <w:t xml:space="preserve">Ημερήσιος αριθμός </w:t>
            </w:r>
            <w:r w:rsidR="00B0098B">
              <w:rPr>
                <w:rFonts w:asciiTheme="minorHAnsi" w:eastAsia="Times New Roman" w:hAnsiTheme="minorHAnsi" w:cstheme="minorHAnsi"/>
                <w:bCs/>
                <w:color w:val="000000"/>
                <w:sz w:val="24"/>
                <w:szCs w:val="24"/>
              </w:rPr>
              <w:t>δισκίων</w:t>
            </w:r>
          </w:p>
        </w:tc>
        <w:tc>
          <w:tcPr>
            <w:tcW w:w="3311" w:type="dxa"/>
            <w:noWrap/>
            <w:hideMark/>
          </w:tcPr>
          <w:p w:rsidR="007E28F2" w:rsidRPr="009F1AE0" w:rsidRDefault="007E28F2" w:rsidP="005A464E">
            <w:pPr>
              <w:spacing w:after="0" w:line="360" w:lineRule="auto"/>
              <w:rPr>
                <w:rFonts w:asciiTheme="minorHAnsi" w:eastAsia="Times New Roman" w:hAnsiTheme="minorHAnsi" w:cstheme="minorHAnsi"/>
                <w:color w:val="000000"/>
                <w:sz w:val="24"/>
                <w:szCs w:val="24"/>
              </w:rPr>
            </w:pPr>
            <w:r w:rsidRPr="009F1AE0">
              <w:rPr>
                <w:rFonts w:asciiTheme="minorHAnsi" w:eastAsia="Times New Roman" w:hAnsiTheme="minorHAnsi" w:cstheme="minorHAnsi"/>
                <w:color w:val="000000"/>
                <w:sz w:val="24"/>
                <w:szCs w:val="24"/>
              </w:rPr>
              <w:t> </w:t>
            </w: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color w:val="000000"/>
                <w:sz w:val="24"/>
                <w:szCs w:val="24"/>
              </w:rPr>
            </w:pPr>
            <w:r w:rsidRPr="009F1AE0">
              <w:rPr>
                <w:rFonts w:asciiTheme="minorHAnsi" w:eastAsia="Times New Roman" w:hAnsiTheme="minorHAnsi" w:cstheme="minorHAnsi"/>
                <w:color w:val="000000"/>
                <w:sz w:val="24"/>
                <w:szCs w:val="24"/>
              </w:rPr>
              <w:t>-0,004</w:t>
            </w: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color w:val="000000"/>
                <w:sz w:val="24"/>
                <w:szCs w:val="24"/>
              </w:rPr>
            </w:pPr>
            <w:r w:rsidRPr="009F1AE0">
              <w:rPr>
                <w:rFonts w:asciiTheme="minorHAnsi" w:eastAsia="Times New Roman" w:hAnsiTheme="minorHAnsi" w:cstheme="minorHAnsi"/>
                <w:color w:val="000000"/>
                <w:sz w:val="24"/>
                <w:szCs w:val="24"/>
              </w:rPr>
              <w:t>0,002</w:t>
            </w:r>
          </w:p>
        </w:tc>
        <w:tc>
          <w:tcPr>
            <w:tcW w:w="960" w:type="dxa"/>
            <w:noWrap/>
            <w:hideMark/>
          </w:tcPr>
          <w:p w:rsidR="007E28F2" w:rsidRPr="009F1AE0" w:rsidRDefault="007E28F2" w:rsidP="005A464E">
            <w:pPr>
              <w:spacing w:after="0" w:line="360" w:lineRule="auto"/>
              <w:jc w:val="center"/>
              <w:rPr>
                <w:rFonts w:asciiTheme="minorHAnsi" w:eastAsia="Times New Roman" w:hAnsiTheme="minorHAnsi" w:cstheme="minorHAnsi"/>
                <w:b/>
                <w:color w:val="000000"/>
                <w:sz w:val="24"/>
                <w:szCs w:val="24"/>
              </w:rPr>
            </w:pPr>
            <w:r w:rsidRPr="009F1AE0">
              <w:rPr>
                <w:rFonts w:asciiTheme="minorHAnsi" w:eastAsia="Times New Roman" w:hAnsiTheme="minorHAnsi" w:cstheme="minorHAnsi"/>
                <w:b/>
                <w:color w:val="000000"/>
                <w:sz w:val="24"/>
                <w:szCs w:val="24"/>
              </w:rPr>
              <w:t>0,026</w:t>
            </w:r>
          </w:p>
        </w:tc>
      </w:tr>
      <w:tr w:rsidR="001B0D74" w:rsidRPr="009F1AE0" w:rsidTr="00510761">
        <w:trPr>
          <w:cnfStyle w:val="000000100000"/>
          <w:trHeight w:val="345"/>
        </w:trPr>
        <w:tc>
          <w:tcPr>
            <w:tcW w:w="8794" w:type="dxa"/>
            <w:gridSpan w:val="4"/>
            <w:hideMark/>
          </w:tcPr>
          <w:p w:rsidR="001B0D74" w:rsidRPr="009F1AE0" w:rsidRDefault="001B0D74" w:rsidP="001B0D74">
            <w:pPr>
              <w:pStyle w:val="nouk"/>
              <w:rPr>
                <w:rFonts w:asciiTheme="minorHAnsi" w:eastAsiaTheme="minorHAnsi" w:hAnsiTheme="minorHAnsi" w:cstheme="minorHAnsi"/>
                <w:i/>
              </w:rPr>
            </w:pPr>
            <w:r w:rsidRPr="009F1AE0">
              <w:rPr>
                <w:rFonts w:asciiTheme="minorHAnsi" w:eastAsiaTheme="minorHAnsi" w:hAnsiTheme="minorHAnsi" w:cstheme="minorHAnsi"/>
                <w:vertAlign w:val="superscript"/>
              </w:rPr>
              <w:t>+</w:t>
            </w:r>
            <w:r w:rsidRPr="009F1AE0">
              <w:rPr>
                <w:rFonts w:asciiTheme="minorHAnsi" w:eastAsiaTheme="minorHAnsi" w:hAnsiTheme="minorHAnsi" w:cstheme="minorHAnsi"/>
                <w:i/>
              </w:rPr>
              <w:t xml:space="preserve">συντελεστής εξάρτησης </w:t>
            </w:r>
            <w:r w:rsidRPr="009F1AE0">
              <w:rPr>
                <w:rFonts w:asciiTheme="minorHAnsi" w:eastAsiaTheme="minorHAnsi" w:hAnsiTheme="minorHAnsi" w:cstheme="minorHAnsi"/>
                <w:i/>
                <w:vertAlign w:val="superscript"/>
              </w:rPr>
              <w:t>++</w:t>
            </w:r>
            <w:r w:rsidRPr="009F1AE0">
              <w:rPr>
                <w:rFonts w:asciiTheme="minorHAnsi" w:eastAsiaTheme="minorHAnsi" w:hAnsiTheme="minorHAnsi" w:cstheme="minorHAnsi"/>
                <w:i/>
              </w:rPr>
              <w:t>τυπικό σφάλμα συντελεστή εξάρτησης</w:t>
            </w:r>
          </w:p>
          <w:p w:rsidR="001B0D74" w:rsidRPr="009F1AE0" w:rsidRDefault="001B0D74" w:rsidP="005A464E">
            <w:pPr>
              <w:spacing w:after="0" w:line="360" w:lineRule="auto"/>
              <w:jc w:val="center"/>
              <w:rPr>
                <w:rFonts w:asciiTheme="minorHAnsi" w:eastAsia="Times New Roman" w:hAnsiTheme="minorHAnsi" w:cstheme="minorHAnsi"/>
                <w:color w:val="000000"/>
                <w:sz w:val="24"/>
                <w:szCs w:val="24"/>
              </w:rPr>
            </w:pPr>
          </w:p>
        </w:tc>
        <w:tc>
          <w:tcPr>
            <w:tcW w:w="960" w:type="dxa"/>
            <w:noWrap/>
            <w:hideMark/>
          </w:tcPr>
          <w:p w:rsidR="001B0D74" w:rsidRPr="009F1AE0" w:rsidRDefault="001B0D74" w:rsidP="005A464E">
            <w:pPr>
              <w:spacing w:after="0" w:line="360" w:lineRule="auto"/>
              <w:jc w:val="center"/>
              <w:rPr>
                <w:rFonts w:asciiTheme="minorHAnsi" w:eastAsia="Times New Roman" w:hAnsiTheme="minorHAnsi" w:cstheme="minorHAnsi"/>
                <w:b/>
                <w:color w:val="000000"/>
                <w:sz w:val="24"/>
                <w:szCs w:val="24"/>
              </w:rPr>
            </w:pPr>
          </w:p>
        </w:tc>
      </w:tr>
    </w:tbl>
    <w:p w:rsidR="007E28F2" w:rsidRPr="005A464E" w:rsidRDefault="007E28F2" w:rsidP="005A464E">
      <w:pPr>
        <w:pStyle w:val="nouk"/>
      </w:pPr>
    </w:p>
    <w:p w:rsidR="009F1AE0" w:rsidRDefault="007E28F2" w:rsidP="009F1AE0">
      <w:pPr>
        <w:pStyle w:val="nouk"/>
      </w:pPr>
      <w:r w:rsidRPr="005A464E">
        <w:t xml:space="preserve">Το </w:t>
      </w:r>
      <w:r w:rsidR="000D053B">
        <w:t>εκπαιδευτικό</w:t>
      </w:r>
      <w:r w:rsidR="006E0A0A">
        <w:t xml:space="preserve"> επίπεδο, ο </w:t>
      </w:r>
      <w:r w:rsidR="00ED66FF">
        <w:t>μέθοδος</w:t>
      </w:r>
      <w:r w:rsidR="006E0A0A">
        <w:t xml:space="preserve"> αγγειακής προσπέλα</w:t>
      </w:r>
      <w:r w:rsidRPr="005A464E">
        <w:t xml:space="preserve">σης και ο ημερήσιος αριθμός </w:t>
      </w:r>
      <w:r w:rsidR="00B0098B">
        <w:t>δισκίων</w:t>
      </w:r>
      <w:r w:rsidRPr="005A464E">
        <w:t xml:space="preserve"> βρέθηκαν να σχετίζονται ανεξάρτητα με τη βαθμολογία συμμόρφωσης των συμμετεχόντων με την αγωγή. </w:t>
      </w:r>
    </w:p>
    <w:p w:rsidR="009F1AE0" w:rsidRDefault="009F1AE0" w:rsidP="009F1AE0">
      <w:pPr>
        <w:pStyle w:val="nouk"/>
      </w:pPr>
    </w:p>
    <w:p w:rsidR="007E28F2" w:rsidRPr="009F1AE0" w:rsidRDefault="007E28F2" w:rsidP="009F1AE0">
      <w:pPr>
        <w:pStyle w:val="nouk"/>
      </w:pPr>
      <w:r w:rsidRPr="005A464E">
        <w:t xml:space="preserve">Στο γράφημα που ακολουθεί </w:t>
      </w:r>
      <w:r w:rsidR="001B0D74">
        <w:t xml:space="preserve">(Γρ 16) </w:t>
      </w:r>
      <w:r w:rsidRPr="005A464E">
        <w:t xml:space="preserve">δίνεται η βαθμολογία συμμόρφωσης με την αγωγή ανάλογα με </w:t>
      </w:r>
      <w:r w:rsidR="002D3BEF">
        <w:t>την μέθοδο</w:t>
      </w:r>
      <w:r w:rsidR="0051054C" w:rsidRPr="0051054C">
        <w:rPr>
          <w:i/>
          <w:sz w:val="22"/>
          <w:szCs w:val="22"/>
        </w:rPr>
        <w:t xml:space="preserve"> </w:t>
      </w:r>
      <w:r w:rsidR="0051054C" w:rsidRPr="0051054C">
        <w:t>αγγειακής προσπέλασης</w:t>
      </w:r>
      <w:r w:rsidR="0051054C">
        <w:t>.</w:t>
      </w:r>
    </w:p>
    <w:p w:rsidR="007E28F2" w:rsidRPr="005A464E" w:rsidRDefault="00464728" w:rsidP="001B0D74">
      <w:pPr>
        <w:pStyle w:val="nouk"/>
        <w:jc w:val="center"/>
      </w:pPr>
      <w:r>
        <w:rPr>
          <w:noProof/>
          <w:lang w:eastAsia="el-GR"/>
        </w:rPr>
        <w:drawing>
          <wp:inline distT="0" distB="0" distL="0" distR="0">
            <wp:extent cx="3686175" cy="2943225"/>
            <wp:effectExtent l="19050" t="0" r="9525" b="0"/>
            <wp:docPr id="16" name="Εικόνα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1" cstate="print"/>
                    <a:srcRect/>
                    <a:stretch>
                      <a:fillRect/>
                    </a:stretch>
                  </pic:blipFill>
                  <pic:spPr bwMode="auto">
                    <a:xfrm>
                      <a:off x="0" y="0"/>
                      <a:ext cx="3686175" cy="2943225"/>
                    </a:xfrm>
                    <a:prstGeom prst="rect">
                      <a:avLst/>
                    </a:prstGeom>
                    <a:noFill/>
                    <a:ln w="9525">
                      <a:noFill/>
                      <a:miter lim="800000"/>
                      <a:headEnd/>
                      <a:tailEnd/>
                    </a:ln>
                  </pic:spPr>
                </pic:pic>
              </a:graphicData>
            </a:graphic>
          </wp:inline>
        </w:drawing>
      </w:r>
    </w:p>
    <w:p w:rsidR="007E28F2" w:rsidRPr="009F1AE0" w:rsidRDefault="001B0D74" w:rsidP="005A464E">
      <w:pPr>
        <w:pStyle w:val="nouk"/>
      </w:pPr>
      <w:r w:rsidRPr="009F1AE0">
        <w:rPr>
          <w:i/>
        </w:rPr>
        <w:t>Γράφημα 16</w:t>
      </w:r>
      <w:r w:rsidR="0078495A" w:rsidRPr="009F1AE0">
        <w:rPr>
          <w:b/>
        </w:rPr>
        <w:t xml:space="preserve"> </w:t>
      </w:r>
      <w:r w:rsidR="00846E7B" w:rsidRPr="009F1AE0">
        <w:rPr>
          <w:b/>
        </w:rPr>
        <w:t xml:space="preserve"> </w:t>
      </w:r>
      <w:r w:rsidRPr="009F1AE0">
        <w:t>Βαθμολογία συμμόρφωσης στ</w:t>
      </w:r>
      <w:r w:rsidR="0051054C" w:rsidRPr="009F1AE0">
        <w:t xml:space="preserve">ην αγωγή ανάλογα με </w:t>
      </w:r>
      <w:r w:rsidR="002D3BEF" w:rsidRPr="009F1AE0">
        <w:t>την μέθοδο</w:t>
      </w:r>
      <w:r w:rsidR="0051054C" w:rsidRPr="009F1AE0">
        <w:t xml:space="preserve"> αγγειακής προσπέλασης</w:t>
      </w:r>
    </w:p>
    <w:p w:rsidR="0051054C" w:rsidRPr="001B0D74" w:rsidRDefault="0051054C" w:rsidP="005A464E">
      <w:pPr>
        <w:pStyle w:val="nouk"/>
        <w:rPr>
          <w:b/>
        </w:rPr>
      </w:pPr>
    </w:p>
    <w:p w:rsidR="00E771E9" w:rsidRDefault="007E28F2" w:rsidP="005A464E">
      <w:pPr>
        <w:pStyle w:val="nouk"/>
      </w:pPr>
      <w:r w:rsidRPr="005A464E">
        <w:t>Στη συνέχεια έγινε πολυπαραγοντική γραμμική παλινδρόμηση έχοντας σαν εξαρτημένη μεταβλητή τη βαθμολογία συμμόρφωσης με την παρουσία στη συνεδρία και σαν ανεξάρτητες τα δημογραφικά και κλινικά στοιχεία των συμμετεχόντων καθώς και τη γνώση. Με τη μέθοδο διαδοχικής ένταξης/αφαίρεσης (</w:t>
      </w:r>
      <w:r w:rsidRPr="005A464E">
        <w:rPr>
          <w:lang w:val="en-US"/>
        </w:rPr>
        <w:t>stepwise</w:t>
      </w:r>
      <w:r w:rsidRPr="005A464E">
        <w:t xml:space="preserve"> </w:t>
      </w:r>
      <w:r w:rsidRPr="005A464E">
        <w:rPr>
          <w:lang w:val="en-US"/>
        </w:rPr>
        <w:t>method</w:t>
      </w:r>
      <w:r w:rsidRPr="005A464E">
        <w:t>) και με τη χρήση λογαριθμικών μετασχηματισμών βρέθηκαν τα αποτελέσματα του παρακάτω πίνακα</w:t>
      </w:r>
      <w:r w:rsidR="00F6061C">
        <w:t xml:space="preserve"> (Πίν 40</w:t>
      </w:r>
      <w:r w:rsidR="0051054C">
        <w:t>)</w:t>
      </w:r>
      <w:r w:rsidRPr="005A464E">
        <w:t xml:space="preserve">. </w:t>
      </w:r>
    </w:p>
    <w:p w:rsidR="00510761" w:rsidRDefault="00510761" w:rsidP="005A464E">
      <w:pPr>
        <w:pStyle w:val="nouk"/>
      </w:pPr>
    </w:p>
    <w:p w:rsidR="00510761" w:rsidRPr="009F1AE0" w:rsidRDefault="00510761" w:rsidP="00510761">
      <w:pPr>
        <w:spacing w:after="0" w:line="360" w:lineRule="auto"/>
        <w:jc w:val="both"/>
        <w:rPr>
          <w:rFonts w:asciiTheme="minorHAnsi" w:eastAsiaTheme="minorHAnsi" w:hAnsiTheme="minorHAnsi" w:cstheme="minorBidi"/>
          <w:sz w:val="24"/>
          <w:szCs w:val="24"/>
        </w:rPr>
      </w:pPr>
      <w:r w:rsidRPr="009F1AE0">
        <w:rPr>
          <w:rFonts w:asciiTheme="minorHAnsi" w:eastAsia="Times New Roman" w:hAnsiTheme="minorHAnsi" w:cs="Arial"/>
          <w:bCs/>
          <w:color w:val="000000"/>
          <w:sz w:val="24"/>
          <w:szCs w:val="24"/>
        </w:rPr>
        <w:t xml:space="preserve">Πίνακας </w:t>
      </w:r>
      <w:r w:rsidR="00F6061C" w:rsidRPr="009F1AE0">
        <w:rPr>
          <w:rFonts w:asciiTheme="minorHAnsi" w:eastAsia="Times New Roman" w:hAnsiTheme="minorHAnsi" w:cs="Arial"/>
          <w:bCs/>
          <w:color w:val="000000"/>
          <w:sz w:val="24"/>
          <w:szCs w:val="24"/>
        </w:rPr>
        <w:t>40</w:t>
      </w:r>
      <w:r w:rsidRPr="009F1AE0">
        <w:rPr>
          <w:rFonts w:asciiTheme="minorHAnsi" w:eastAsia="Times New Roman" w:hAnsiTheme="minorHAnsi" w:cs="Arial"/>
          <w:b/>
          <w:bCs/>
          <w:color w:val="000000"/>
          <w:sz w:val="24"/>
          <w:szCs w:val="24"/>
        </w:rPr>
        <w:t xml:space="preserve"> </w:t>
      </w:r>
    </w:p>
    <w:p w:rsidR="00E771E9" w:rsidRPr="0051054C" w:rsidRDefault="00510761" w:rsidP="00510761">
      <w:pPr>
        <w:pStyle w:val="nouk"/>
      </w:pPr>
      <w:r w:rsidRPr="005A6389">
        <w:rPr>
          <w:rFonts w:asciiTheme="minorHAnsi" w:eastAsiaTheme="minorHAnsi" w:hAnsiTheme="minorHAnsi" w:cstheme="minorBidi"/>
          <w:i/>
        </w:rPr>
        <w:t>Πολυπαραγοντική γραμμική παλινδρόμηση</w:t>
      </w:r>
      <w:r w:rsidRPr="005A6389">
        <w:rPr>
          <w:i/>
        </w:rPr>
        <w:t xml:space="preserve"> τη</w:t>
      </w:r>
      <w:r>
        <w:rPr>
          <w:i/>
        </w:rPr>
        <w:t>ς</w:t>
      </w:r>
      <w:r w:rsidRPr="005A6389">
        <w:rPr>
          <w:i/>
        </w:rPr>
        <w:t xml:space="preserve"> βαθμολογία</w:t>
      </w:r>
      <w:r>
        <w:rPr>
          <w:i/>
        </w:rPr>
        <w:t>ς συμμόρφωσης σ</w:t>
      </w:r>
      <w:r w:rsidRPr="005A6389">
        <w:rPr>
          <w:i/>
        </w:rPr>
        <w:t xml:space="preserve">την παρουσία στη συνεδρία </w:t>
      </w:r>
      <w:r>
        <w:rPr>
          <w:i/>
        </w:rPr>
        <w:t xml:space="preserve">με </w:t>
      </w:r>
      <w:r w:rsidRPr="005A6389">
        <w:rPr>
          <w:i/>
        </w:rPr>
        <w:t>τα δημογραφικά και κλινικά στοιχεία των συμμετεχόντων και τη γνώση</w:t>
      </w:r>
    </w:p>
    <w:tbl>
      <w:tblPr>
        <w:tblStyle w:val="-41"/>
        <w:tblW w:w="9569" w:type="dxa"/>
        <w:jc w:val="center"/>
        <w:tblLook w:val="04A0"/>
      </w:tblPr>
      <w:tblGrid>
        <w:gridCol w:w="3292"/>
        <w:gridCol w:w="3397"/>
        <w:gridCol w:w="960"/>
        <w:gridCol w:w="960"/>
        <w:gridCol w:w="960"/>
      </w:tblGrid>
      <w:tr w:rsidR="007E28F2" w:rsidRPr="009F1AE0" w:rsidTr="00510761">
        <w:trPr>
          <w:cnfStyle w:val="100000000000"/>
          <w:trHeight w:val="345"/>
          <w:jc w:val="center"/>
        </w:trPr>
        <w:tc>
          <w:tcPr>
            <w:cnfStyle w:val="001000000000"/>
            <w:tcW w:w="3292" w:type="dxa"/>
            <w:hideMark/>
          </w:tcPr>
          <w:p w:rsidR="007E28F2" w:rsidRPr="009F1AE0" w:rsidRDefault="007E28F2" w:rsidP="005A464E">
            <w:pPr>
              <w:spacing w:after="0" w:line="360" w:lineRule="auto"/>
              <w:rPr>
                <w:rFonts w:asciiTheme="minorHAnsi" w:eastAsia="Times New Roman" w:hAnsiTheme="minorHAnsi" w:cs="Arial"/>
                <w:b w:val="0"/>
                <w:bCs w:val="0"/>
                <w:color w:val="000000"/>
                <w:sz w:val="24"/>
                <w:szCs w:val="24"/>
              </w:rPr>
            </w:pPr>
            <w:r w:rsidRPr="009F1AE0">
              <w:rPr>
                <w:rFonts w:asciiTheme="minorHAnsi" w:eastAsia="Times New Roman" w:hAnsiTheme="minorHAnsi" w:cs="Arial"/>
                <w:b w:val="0"/>
                <w:bCs w:val="0"/>
                <w:color w:val="000000"/>
                <w:sz w:val="24"/>
                <w:szCs w:val="24"/>
              </w:rPr>
              <w:t> </w:t>
            </w:r>
          </w:p>
        </w:tc>
        <w:tc>
          <w:tcPr>
            <w:tcW w:w="3397" w:type="dxa"/>
            <w:hideMark/>
          </w:tcPr>
          <w:p w:rsidR="007E28F2" w:rsidRPr="009F1AE0" w:rsidRDefault="007E28F2" w:rsidP="005A464E">
            <w:pPr>
              <w:spacing w:after="0" w:line="360" w:lineRule="auto"/>
              <w:cnfStyle w:val="1000000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 </w:t>
            </w:r>
          </w:p>
        </w:tc>
        <w:tc>
          <w:tcPr>
            <w:tcW w:w="960" w:type="dxa"/>
            <w:noWrap/>
            <w:hideMark/>
          </w:tcPr>
          <w:p w:rsidR="007E28F2" w:rsidRPr="009F1AE0" w:rsidRDefault="007E28F2" w:rsidP="005A464E">
            <w:pPr>
              <w:spacing w:after="0" w:line="360" w:lineRule="auto"/>
              <w:jc w:val="center"/>
              <w:cnfStyle w:val="100000000000"/>
              <w:rPr>
                <w:rFonts w:asciiTheme="minorHAnsi" w:eastAsia="Times New Roman" w:hAnsiTheme="minorHAnsi" w:cs="Arial"/>
                <w:b w:val="0"/>
                <w:bCs w:val="0"/>
                <w:color w:val="000000"/>
                <w:sz w:val="24"/>
                <w:szCs w:val="24"/>
              </w:rPr>
            </w:pPr>
            <w:r w:rsidRPr="009F1AE0">
              <w:rPr>
                <w:rFonts w:asciiTheme="minorHAnsi" w:eastAsia="Times New Roman" w:hAnsiTheme="minorHAnsi" w:cs="Arial"/>
                <w:b w:val="0"/>
                <w:bCs w:val="0"/>
                <w:color w:val="000000"/>
                <w:sz w:val="24"/>
                <w:szCs w:val="24"/>
              </w:rPr>
              <w:t>β+</w:t>
            </w:r>
          </w:p>
        </w:tc>
        <w:tc>
          <w:tcPr>
            <w:tcW w:w="960" w:type="dxa"/>
            <w:noWrap/>
            <w:hideMark/>
          </w:tcPr>
          <w:p w:rsidR="007E28F2" w:rsidRPr="009F1AE0" w:rsidRDefault="007E28F2" w:rsidP="005A464E">
            <w:pPr>
              <w:spacing w:after="0" w:line="360" w:lineRule="auto"/>
              <w:jc w:val="center"/>
              <w:cnfStyle w:val="100000000000"/>
              <w:rPr>
                <w:rFonts w:asciiTheme="minorHAnsi" w:eastAsia="Times New Roman" w:hAnsiTheme="minorHAnsi" w:cs="Arial"/>
                <w:b w:val="0"/>
                <w:bCs w:val="0"/>
                <w:color w:val="000000"/>
                <w:sz w:val="24"/>
                <w:szCs w:val="24"/>
              </w:rPr>
            </w:pPr>
            <w:r w:rsidRPr="009F1AE0">
              <w:rPr>
                <w:rFonts w:asciiTheme="minorHAnsi" w:eastAsia="Times New Roman" w:hAnsiTheme="minorHAnsi" w:cs="Arial"/>
                <w:b w:val="0"/>
                <w:bCs w:val="0"/>
                <w:color w:val="000000"/>
                <w:sz w:val="24"/>
                <w:szCs w:val="24"/>
              </w:rPr>
              <w:t>SE++</w:t>
            </w:r>
          </w:p>
        </w:tc>
        <w:tc>
          <w:tcPr>
            <w:tcW w:w="960" w:type="dxa"/>
            <w:noWrap/>
            <w:hideMark/>
          </w:tcPr>
          <w:p w:rsidR="007E28F2" w:rsidRPr="009F1AE0" w:rsidRDefault="007E28F2" w:rsidP="005A464E">
            <w:pPr>
              <w:spacing w:after="0" w:line="360" w:lineRule="auto"/>
              <w:jc w:val="center"/>
              <w:cnfStyle w:val="100000000000"/>
              <w:rPr>
                <w:rFonts w:asciiTheme="minorHAnsi" w:eastAsia="Times New Roman" w:hAnsiTheme="minorHAnsi" w:cs="Arial"/>
                <w:b w:val="0"/>
                <w:bCs w:val="0"/>
                <w:color w:val="000000"/>
                <w:sz w:val="24"/>
                <w:szCs w:val="24"/>
              </w:rPr>
            </w:pPr>
            <w:r w:rsidRPr="009F1AE0">
              <w:rPr>
                <w:rFonts w:asciiTheme="minorHAnsi" w:eastAsia="Times New Roman" w:hAnsiTheme="minorHAnsi" w:cs="Arial"/>
                <w:b w:val="0"/>
                <w:bCs w:val="0"/>
                <w:color w:val="000000"/>
                <w:sz w:val="24"/>
                <w:szCs w:val="24"/>
              </w:rPr>
              <w:t>P</w:t>
            </w:r>
          </w:p>
        </w:tc>
      </w:tr>
      <w:tr w:rsidR="007E28F2" w:rsidRPr="009F1AE0" w:rsidTr="00510761">
        <w:trPr>
          <w:cnfStyle w:val="000000100000"/>
          <w:trHeight w:val="345"/>
          <w:jc w:val="center"/>
        </w:trPr>
        <w:tc>
          <w:tcPr>
            <w:cnfStyle w:val="001000000000"/>
            <w:tcW w:w="3292" w:type="dxa"/>
            <w:hideMark/>
          </w:tcPr>
          <w:p w:rsidR="007E28F2" w:rsidRPr="009F1AE0" w:rsidRDefault="007E28F2" w:rsidP="005A464E">
            <w:pPr>
              <w:spacing w:after="0" w:line="360" w:lineRule="auto"/>
              <w:rPr>
                <w:rFonts w:asciiTheme="minorHAnsi" w:eastAsia="Times New Roman" w:hAnsiTheme="minorHAnsi" w:cs="Arial"/>
                <w:bCs w:val="0"/>
                <w:color w:val="000000"/>
                <w:sz w:val="24"/>
                <w:szCs w:val="24"/>
              </w:rPr>
            </w:pPr>
            <w:r w:rsidRPr="009F1AE0">
              <w:rPr>
                <w:rFonts w:asciiTheme="minorHAnsi" w:eastAsia="Times New Roman" w:hAnsiTheme="minorHAnsi" w:cs="Arial"/>
                <w:bCs w:val="0"/>
                <w:color w:val="000000"/>
                <w:sz w:val="24"/>
                <w:szCs w:val="24"/>
              </w:rPr>
              <w:t xml:space="preserve">Ημερήσιος αριθμός </w:t>
            </w:r>
            <w:r w:rsidR="00B0098B">
              <w:rPr>
                <w:rFonts w:asciiTheme="minorHAnsi" w:eastAsia="Times New Roman" w:hAnsiTheme="minorHAnsi" w:cs="Arial"/>
                <w:bCs w:val="0"/>
                <w:color w:val="000000"/>
                <w:sz w:val="24"/>
                <w:szCs w:val="24"/>
              </w:rPr>
              <w:t>δισκίων</w:t>
            </w:r>
          </w:p>
        </w:tc>
        <w:tc>
          <w:tcPr>
            <w:tcW w:w="3397" w:type="dxa"/>
            <w:noWrap/>
            <w:hideMark/>
          </w:tcPr>
          <w:p w:rsidR="007E28F2" w:rsidRPr="009F1AE0" w:rsidRDefault="007E28F2" w:rsidP="005A464E">
            <w:pPr>
              <w:spacing w:after="0" w:line="360" w:lineRule="auto"/>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 </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0,004</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0,002</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b/>
                <w:color w:val="000000"/>
                <w:sz w:val="24"/>
                <w:szCs w:val="24"/>
              </w:rPr>
            </w:pPr>
            <w:r w:rsidRPr="009F1AE0">
              <w:rPr>
                <w:rFonts w:asciiTheme="minorHAnsi" w:eastAsia="Times New Roman" w:hAnsiTheme="minorHAnsi" w:cs="Arial"/>
                <w:b/>
                <w:color w:val="000000"/>
                <w:sz w:val="24"/>
                <w:szCs w:val="24"/>
              </w:rPr>
              <w:t>0,020</w:t>
            </w:r>
          </w:p>
        </w:tc>
      </w:tr>
      <w:tr w:rsidR="007E28F2" w:rsidRPr="009F1AE0" w:rsidTr="00510761">
        <w:trPr>
          <w:cnfStyle w:val="000000010000"/>
          <w:trHeight w:val="345"/>
          <w:jc w:val="center"/>
        </w:trPr>
        <w:tc>
          <w:tcPr>
            <w:cnfStyle w:val="001000000000"/>
            <w:tcW w:w="3292" w:type="dxa"/>
            <w:vMerge w:val="restart"/>
            <w:hideMark/>
          </w:tcPr>
          <w:p w:rsidR="007E28F2" w:rsidRPr="009F1AE0" w:rsidRDefault="000D053B" w:rsidP="005A464E">
            <w:pPr>
              <w:spacing w:after="0" w:line="360" w:lineRule="auto"/>
              <w:rPr>
                <w:rFonts w:asciiTheme="minorHAnsi" w:eastAsia="Times New Roman" w:hAnsiTheme="minorHAnsi" w:cs="Arial"/>
                <w:bCs w:val="0"/>
                <w:color w:val="000000"/>
                <w:sz w:val="24"/>
                <w:szCs w:val="24"/>
              </w:rPr>
            </w:pPr>
            <w:r w:rsidRPr="009F1AE0">
              <w:rPr>
                <w:rFonts w:asciiTheme="minorHAnsi" w:eastAsia="Times New Roman" w:hAnsiTheme="minorHAnsi" w:cs="Arial"/>
                <w:bCs w:val="0"/>
                <w:color w:val="000000"/>
                <w:sz w:val="24"/>
                <w:szCs w:val="24"/>
              </w:rPr>
              <w:t>Εκπαιδευτικό</w:t>
            </w:r>
            <w:r w:rsidR="007E28F2" w:rsidRPr="009F1AE0">
              <w:rPr>
                <w:rFonts w:asciiTheme="minorHAnsi" w:eastAsia="Times New Roman" w:hAnsiTheme="minorHAnsi" w:cs="Arial"/>
                <w:bCs w:val="0"/>
                <w:color w:val="000000"/>
                <w:sz w:val="24"/>
                <w:szCs w:val="24"/>
              </w:rPr>
              <w:t xml:space="preserve"> επίπεδο</w:t>
            </w:r>
          </w:p>
        </w:tc>
        <w:tc>
          <w:tcPr>
            <w:tcW w:w="3397" w:type="dxa"/>
            <w:hideMark/>
          </w:tcPr>
          <w:p w:rsidR="007E28F2" w:rsidRPr="009F1AE0" w:rsidRDefault="007E28F2" w:rsidP="005A464E">
            <w:pPr>
              <w:spacing w:after="0" w:line="360" w:lineRule="auto"/>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Αναλφάβητος/ Δημοτικό (αναφορά)</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color w:val="000000"/>
                <w:sz w:val="24"/>
                <w:szCs w:val="24"/>
              </w:rPr>
            </w:pP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color w:val="000000"/>
                <w:sz w:val="24"/>
                <w:szCs w:val="24"/>
              </w:rPr>
            </w:pP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b/>
                <w:color w:val="000000"/>
                <w:sz w:val="24"/>
                <w:szCs w:val="24"/>
              </w:rPr>
            </w:pPr>
          </w:p>
        </w:tc>
      </w:tr>
      <w:tr w:rsidR="007E28F2" w:rsidRPr="009F1AE0" w:rsidTr="00510761">
        <w:trPr>
          <w:cnfStyle w:val="000000100000"/>
          <w:trHeight w:val="345"/>
          <w:jc w:val="center"/>
        </w:trPr>
        <w:tc>
          <w:tcPr>
            <w:cnfStyle w:val="001000000000"/>
            <w:tcW w:w="3292" w:type="dxa"/>
            <w:vMerge/>
            <w:hideMark/>
          </w:tcPr>
          <w:p w:rsidR="007E28F2" w:rsidRPr="009F1AE0" w:rsidRDefault="007E28F2" w:rsidP="005A464E">
            <w:pPr>
              <w:spacing w:after="0" w:line="360" w:lineRule="auto"/>
              <w:rPr>
                <w:rFonts w:asciiTheme="minorHAnsi" w:eastAsia="Times New Roman" w:hAnsiTheme="minorHAnsi" w:cs="Arial"/>
                <w:bCs w:val="0"/>
                <w:color w:val="000000"/>
                <w:sz w:val="24"/>
                <w:szCs w:val="24"/>
              </w:rPr>
            </w:pPr>
          </w:p>
        </w:tc>
        <w:tc>
          <w:tcPr>
            <w:tcW w:w="3397" w:type="dxa"/>
            <w:hideMark/>
          </w:tcPr>
          <w:p w:rsidR="007E28F2" w:rsidRPr="009F1AE0" w:rsidRDefault="007E28F2" w:rsidP="005A464E">
            <w:pPr>
              <w:spacing w:after="0" w:line="360" w:lineRule="auto"/>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Γυμνάσιο/ Λύκειο</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0,05</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0,01</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b/>
                <w:color w:val="000000"/>
                <w:sz w:val="24"/>
                <w:szCs w:val="24"/>
              </w:rPr>
            </w:pPr>
            <w:r w:rsidRPr="009F1AE0">
              <w:rPr>
                <w:rFonts w:asciiTheme="minorHAnsi" w:eastAsia="Times New Roman" w:hAnsiTheme="minorHAnsi" w:cs="Arial"/>
                <w:b/>
                <w:color w:val="000000"/>
                <w:sz w:val="24"/>
                <w:szCs w:val="24"/>
              </w:rPr>
              <w:t>0,001</w:t>
            </w:r>
          </w:p>
        </w:tc>
      </w:tr>
      <w:tr w:rsidR="007E28F2" w:rsidRPr="009F1AE0" w:rsidTr="00510761">
        <w:trPr>
          <w:cnfStyle w:val="000000010000"/>
          <w:trHeight w:val="345"/>
          <w:jc w:val="center"/>
        </w:trPr>
        <w:tc>
          <w:tcPr>
            <w:cnfStyle w:val="001000000000"/>
            <w:tcW w:w="3292" w:type="dxa"/>
            <w:vMerge/>
            <w:hideMark/>
          </w:tcPr>
          <w:p w:rsidR="007E28F2" w:rsidRPr="009F1AE0" w:rsidRDefault="007E28F2" w:rsidP="005A464E">
            <w:pPr>
              <w:spacing w:after="0" w:line="360" w:lineRule="auto"/>
              <w:rPr>
                <w:rFonts w:asciiTheme="minorHAnsi" w:eastAsia="Times New Roman" w:hAnsiTheme="minorHAnsi" w:cs="Arial"/>
                <w:bCs w:val="0"/>
                <w:color w:val="000000"/>
                <w:sz w:val="24"/>
                <w:szCs w:val="24"/>
              </w:rPr>
            </w:pPr>
          </w:p>
        </w:tc>
        <w:tc>
          <w:tcPr>
            <w:tcW w:w="3397" w:type="dxa"/>
            <w:hideMark/>
          </w:tcPr>
          <w:p w:rsidR="007E28F2" w:rsidRPr="009F1AE0" w:rsidRDefault="007E28F2" w:rsidP="005A464E">
            <w:pPr>
              <w:spacing w:after="0" w:line="360" w:lineRule="auto"/>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Φοιτητής/ Απόφοιτος ΑΕΙ/ΤΕΙ</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0,06</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0,02</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b/>
                <w:color w:val="000000"/>
                <w:sz w:val="24"/>
                <w:szCs w:val="24"/>
              </w:rPr>
            </w:pPr>
            <w:r w:rsidRPr="009F1AE0">
              <w:rPr>
                <w:rFonts w:asciiTheme="minorHAnsi" w:eastAsia="Times New Roman" w:hAnsiTheme="minorHAnsi" w:cs="Arial"/>
                <w:b/>
                <w:color w:val="000000"/>
                <w:sz w:val="24"/>
                <w:szCs w:val="24"/>
              </w:rPr>
              <w:t>0,003</w:t>
            </w:r>
          </w:p>
        </w:tc>
      </w:tr>
      <w:tr w:rsidR="007E28F2" w:rsidRPr="009F1AE0" w:rsidTr="00510761">
        <w:trPr>
          <w:cnfStyle w:val="000000100000"/>
          <w:trHeight w:val="345"/>
          <w:jc w:val="center"/>
        </w:trPr>
        <w:tc>
          <w:tcPr>
            <w:cnfStyle w:val="001000000000"/>
            <w:tcW w:w="3292" w:type="dxa"/>
            <w:vMerge w:val="restart"/>
            <w:hideMark/>
          </w:tcPr>
          <w:p w:rsidR="007E28F2" w:rsidRPr="009F1AE0" w:rsidRDefault="007E28F2" w:rsidP="005A464E">
            <w:pPr>
              <w:spacing w:after="0" w:line="360" w:lineRule="auto"/>
              <w:rPr>
                <w:rFonts w:asciiTheme="minorHAnsi" w:eastAsia="Times New Roman" w:hAnsiTheme="minorHAnsi" w:cs="Arial"/>
                <w:bCs w:val="0"/>
                <w:color w:val="000000"/>
                <w:sz w:val="24"/>
                <w:szCs w:val="24"/>
              </w:rPr>
            </w:pPr>
            <w:r w:rsidRPr="009F1AE0">
              <w:rPr>
                <w:rFonts w:asciiTheme="minorHAnsi" w:eastAsia="Times New Roman" w:hAnsiTheme="minorHAnsi" w:cs="Arial"/>
                <w:bCs w:val="0"/>
                <w:color w:val="000000"/>
                <w:sz w:val="24"/>
                <w:szCs w:val="24"/>
              </w:rPr>
              <w:t>Παιδιά</w:t>
            </w:r>
          </w:p>
        </w:tc>
        <w:tc>
          <w:tcPr>
            <w:tcW w:w="3397" w:type="dxa"/>
            <w:hideMark/>
          </w:tcPr>
          <w:p w:rsidR="007E28F2" w:rsidRPr="009F1AE0" w:rsidRDefault="007E28F2" w:rsidP="005A464E">
            <w:pPr>
              <w:spacing w:after="0" w:line="360" w:lineRule="auto"/>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Όχι (αναφορά)</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b/>
                <w:color w:val="000000"/>
                <w:sz w:val="24"/>
                <w:szCs w:val="24"/>
              </w:rPr>
            </w:pPr>
          </w:p>
        </w:tc>
      </w:tr>
      <w:tr w:rsidR="007E28F2" w:rsidRPr="009F1AE0" w:rsidTr="00510761">
        <w:trPr>
          <w:cnfStyle w:val="000000010000"/>
          <w:trHeight w:val="345"/>
          <w:jc w:val="center"/>
        </w:trPr>
        <w:tc>
          <w:tcPr>
            <w:cnfStyle w:val="001000000000"/>
            <w:tcW w:w="3292" w:type="dxa"/>
            <w:vMerge/>
            <w:hideMark/>
          </w:tcPr>
          <w:p w:rsidR="007E28F2" w:rsidRPr="009F1AE0" w:rsidRDefault="007E28F2" w:rsidP="005A464E">
            <w:pPr>
              <w:spacing w:after="0" w:line="360" w:lineRule="auto"/>
              <w:rPr>
                <w:rFonts w:asciiTheme="minorHAnsi" w:eastAsia="Times New Roman" w:hAnsiTheme="minorHAnsi" w:cs="Arial"/>
                <w:b w:val="0"/>
                <w:bCs w:val="0"/>
                <w:color w:val="000000"/>
                <w:sz w:val="24"/>
                <w:szCs w:val="24"/>
              </w:rPr>
            </w:pPr>
          </w:p>
        </w:tc>
        <w:tc>
          <w:tcPr>
            <w:tcW w:w="3397" w:type="dxa"/>
            <w:hideMark/>
          </w:tcPr>
          <w:p w:rsidR="007E28F2" w:rsidRPr="009F1AE0" w:rsidRDefault="007E28F2" w:rsidP="005A464E">
            <w:pPr>
              <w:spacing w:after="0" w:line="360" w:lineRule="auto"/>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Ναι</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0,04</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0,01</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b/>
                <w:color w:val="000000"/>
                <w:sz w:val="24"/>
                <w:szCs w:val="24"/>
              </w:rPr>
            </w:pPr>
            <w:r w:rsidRPr="009F1AE0">
              <w:rPr>
                <w:rFonts w:asciiTheme="minorHAnsi" w:eastAsia="Times New Roman" w:hAnsiTheme="minorHAnsi" w:cs="Arial"/>
                <w:b/>
                <w:color w:val="000000"/>
                <w:sz w:val="24"/>
                <w:szCs w:val="24"/>
              </w:rPr>
              <w:t>0,007</w:t>
            </w:r>
          </w:p>
        </w:tc>
      </w:tr>
      <w:tr w:rsidR="009F1AE0" w:rsidRPr="009F1AE0" w:rsidTr="00001CDF">
        <w:trPr>
          <w:cnfStyle w:val="000000100000"/>
          <w:trHeight w:val="345"/>
          <w:jc w:val="center"/>
        </w:trPr>
        <w:tc>
          <w:tcPr>
            <w:cnfStyle w:val="001000000000"/>
            <w:tcW w:w="9569" w:type="dxa"/>
            <w:gridSpan w:val="5"/>
            <w:hideMark/>
          </w:tcPr>
          <w:p w:rsidR="009F1AE0" w:rsidRPr="009F1AE0" w:rsidRDefault="009F1AE0" w:rsidP="009F1AE0">
            <w:pPr>
              <w:pStyle w:val="nouk"/>
              <w:rPr>
                <w:b w:val="0"/>
              </w:rPr>
            </w:pPr>
            <w:r w:rsidRPr="009F1AE0">
              <w:rPr>
                <w:b w:val="0"/>
                <w:vertAlign w:val="superscript"/>
              </w:rPr>
              <w:t>+</w:t>
            </w:r>
            <w:r w:rsidRPr="009F1AE0">
              <w:rPr>
                <w:b w:val="0"/>
                <w:i/>
                <w:sz w:val="22"/>
                <w:szCs w:val="22"/>
              </w:rPr>
              <w:t xml:space="preserve">συντελεστής εξάρτησης </w:t>
            </w:r>
            <w:r w:rsidRPr="009F1AE0">
              <w:rPr>
                <w:b w:val="0"/>
                <w:i/>
                <w:sz w:val="22"/>
                <w:szCs w:val="22"/>
                <w:vertAlign w:val="superscript"/>
              </w:rPr>
              <w:t>++</w:t>
            </w:r>
            <w:r w:rsidRPr="009F1AE0">
              <w:rPr>
                <w:b w:val="0"/>
                <w:i/>
                <w:sz w:val="22"/>
                <w:szCs w:val="22"/>
              </w:rPr>
              <w:t>τυπικό σφάλμα συντελεστή εξάρτησης</w:t>
            </w:r>
          </w:p>
        </w:tc>
      </w:tr>
    </w:tbl>
    <w:p w:rsidR="007E28F2" w:rsidRPr="005A464E" w:rsidRDefault="007E28F2" w:rsidP="005A464E">
      <w:pPr>
        <w:pStyle w:val="nouk"/>
      </w:pPr>
    </w:p>
    <w:p w:rsidR="007E28F2" w:rsidRPr="005A464E" w:rsidRDefault="007E28F2" w:rsidP="005A464E">
      <w:pPr>
        <w:pStyle w:val="nouk"/>
        <w:rPr>
          <w:highlight w:val="cyan"/>
        </w:rPr>
      </w:pPr>
      <w:r w:rsidRPr="005A464E">
        <w:t xml:space="preserve">Το </w:t>
      </w:r>
      <w:r w:rsidR="000D053B">
        <w:t>εκπαιδευτικό</w:t>
      </w:r>
      <w:r w:rsidRPr="005A464E">
        <w:t xml:space="preserve"> επίπεδο, η ύπαρξη παιδιών και ο ημερήσιος αριθμός </w:t>
      </w:r>
      <w:r w:rsidR="00B0098B">
        <w:t>δισκίων</w:t>
      </w:r>
      <w:r w:rsidRPr="005A464E">
        <w:t xml:space="preserve"> βρέθηκαν να σχετίζονται ανεξάρτητα με τη βαθμολογία συμμόρφωσης των συμμετεχόντων με την παρουσία στη συνεδρία. </w:t>
      </w:r>
    </w:p>
    <w:p w:rsidR="007E28F2" w:rsidRPr="005A464E" w:rsidRDefault="007E28F2" w:rsidP="005A464E">
      <w:pPr>
        <w:pStyle w:val="nouk"/>
      </w:pPr>
    </w:p>
    <w:p w:rsidR="007E28F2" w:rsidRDefault="007E28F2" w:rsidP="0051054C">
      <w:pPr>
        <w:spacing w:line="360" w:lineRule="auto"/>
        <w:jc w:val="both"/>
        <w:rPr>
          <w:sz w:val="24"/>
          <w:szCs w:val="24"/>
        </w:rPr>
      </w:pPr>
      <w:r w:rsidRPr="005A464E">
        <w:rPr>
          <w:sz w:val="24"/>
          <w:szCs w:val="24"/>
        </w:rPr>
        <w:t>Στη συνέχεια έγινε πολυπαραγοντική γραμμική παλινδρόμηση έχοντας σαν εξαρτημένη μεταβλητή τη βαθμολογία συμμόρφωσης με τα υγρά και τη διαιτητική συμπεριφορά και σαν ανεξάρτητες τα δημογραφικά και κλινικά στοιχεία των συμμετεχόντων καθώς και τη γνώση. Με τη μέθοδο διαδοχικής ένταξης/αφαίρεσης (</w:t>
      </w:r>
      <w:r w:rsidRPr="005A464E">
        <w:rPr>
          <w:sz w:val="24"/>
          <w:szCs w:val="24"/>
          <w:lang w:val="en-US"/>
        </w:rPr>
        <w:t>stepwise</w:t>
      </w:r>
      <w:r w:rsidRPr="005A464E">
        <w:rPr>
          <w:sz w:val="24"/>
          <w:szCs w:val="24"/>
        </w:rPr>
        <w:t xml:space="preserve"> </w:t>
      </w:r>
      <w:r w:rsidRPr="005A464E">
        <w:rPr>
          <w:sz w:val="24"/>
          <w:szCs w:val="24"/>
          <w:lang w:val="en-US"/>
        </w:rPr>
        <w:t>method</w:t>
      </w:r>
      <w:r w:rsidRPr="005A464E">
        <w:rPr>
          <w:sz w:val="24"/>
          <w:szCs w:val="24"/>
        </w:rPr>
        <w:t>) και με τη χρήση λογαριθμικών μετασχηματισμών βρέθηκαν τα αποτελέσματα του παρακάτω πίνακα</w:t>
      </w:r>
      <w:r w:rsidR="00F6061C">
        <w:rPr>
          <w:sz w:val="24"/>
          <w:szCs w:val="24"/>
        </w:rPr>
        <w:t xml:space="preserve"> (Πίν 41</w:t>
      </w:r>
      <w:r w:rsidR="00263C7B">
        <w:rPr>
          <w:sz w:val="24"/>
          <w:szCs w:val="24"/>
        </w:rPr>
        <w:t>)</w:t>
      </w:r>
      <w:r w:rsidRPr="005A464E">
        <w:rPr>
          <w:sz w:val="24"/>
          <w:szCs w:val="24"/>
        </w:rPr>
        <w:t xml:space="preserve">. </w:t>
      </w:r>
    </w:p>
    <w:p w:rsidR="00510761" w:rsidRPr="009F1AE0" w:rsidRDefault="00F6061C" w:rsidP="00510761">
      <w:pPr>
        <w:spacing w:after="0" w:line="360" w:lineRule="auto"/>
        <w:jc w:val="both"/>
        <w:rPr>
          <w:rFonts w:asciiTheme="minorHAnsi" w:eastAsia="Times New Roman" w:hAnsiTheme="minorHAnsi" w:cs="Arial"/>
          <w:bCs/>
          <w:color w:val="000000"/>
          <w:sz w:val="24"/>
          <w:szCs w:val="24"/>
        </w:rPr>
      </w:pPr>
      <w:r w:rsidRPr="009F1AE0">
        <w:rPr>
          <w:rFonts w:asciiTheme="minorHAnsi" w:eastAsia="Times New Roman" w:hAnsiTheme="minorHAnsi" w:cs="Arial"/>
          <w:bCs/>
          <w:color w:val="000000"/>
          <w:sz w:val="24"/>
          <w:szCs w:val="24"/>
        </w:rPr>
        <w:t>Πίνακας 41</w:t>
      </w:r>
    </w:p>
    <w:p w:rsidR="00510761" w:rsidRPr="009F1AE0" w:rsidRDefault="00510761" w:rsidP="00510761">
      <w:pPr>
        <w:spacing w:line="360" w:lineRule="auto"/>
        <w:jc w:val="both"/>
        <w:rPr>
          <w:rFonts w:cstheme="minorHAnsi"/>
          <w:sz w:val="24"/>
          <w:szCs w:val="24"/>
        </w:rPr>
      </w:pPr>
      <w:r w:rsidRPr="009F1AE0">
        <w:rPr>
          <w:rFonts w:asciiTheme="minorHAnsi" w:eastAsiaTheme="minorHAnsi" w:hAnsiTheme="minorHAnsi" w:cstheme="minorBidi"/>
          <w:i/>
          <w:sz w:val="24"/>
          <w:szCs w:val="24"/>
        </w:rPr>
        <w:t>Πολυπαραγοντική γραμμική παλινδρόμηση</w:t>
      </w:r>
      <w:r w:rsidRPr="009F1AE0">
        <w:rPr>
          <w:i/>
          <w:sz w:val="24"/>
          <w:szCs w:val="24"/>
        </w:rPr>
        <w:t xml:space="preserve"> της βαθμολογίας συμμόρφωσης  στα υγρά και τη δίαιτα με τα δημογραφικά και κλινικά στοιχεία των συμμετεχόντων και τη γνώση</w:t>
      </w:r>
    </w:p>
    <w:tbl>
      <w:tblPr>
        <w:tblStyle w:val="-41"/>
        <w:tblW w:w="8812" w:type="dxa"/>
        <w:tblLook w:val="04A0"/>
      </w:tblPr>
      <w:tblGrid>
        <w:gridCol w:w="2535"/>
        <w:gridCol w:w="3397"/>
        <w:gridCol w:w="960"/>
        <w:gridCol w:w="960"/>
        <w:gridCol w:w="960"/>
      </w:tblGrid>
      <w:tr w:rsidR="007E28F2" w:rsidRPr="009F1AE0" w:rsidTr="00510761">
        <w:trPr>
          <w:cnfStyle w:val="100000000000"/>
          <w:trHeight w:val="345"/>
        </w:trPr>
        <w:tc>
          <w:tcPr>
            <w:cnfStyle w:val="001000000000"/>
            <w:tcW w:w="2535" w:type="dxa"/>
            <w:hideMark/>
          </w:tcPr>
          <w:p w:rsidR="007E28F2" w:rsidRPr="009F1AE0" w:rsidRDefault="007E28F2" w:rsidP="005A464E">
            <w:pPr>
              <w:spacing w:after="0" w:line="360" w:lineRule="auto"/>
              <w:rPr>
                <w:rFonts w:asciiTheme="minorHAnsi" w:eastAsia="Times New Roman" w:hAnsiTheme="minorHAnsi" w:cs="Arial"/>
                <w:b w:val="0"/>
                <w:bCs w:val="0"/>
                <w:color w:val="000000"/>
                <w:sz w:val="24"/>
                <w:szCs w:val="24"/>
              </w:rPr>
            </w:pPr>
            <w:r w:rsidRPr="009F1AE0">
              <w:rPr>
                <w:rFonts w:asciiTheme="minorHAnsi" w:eastAsia="Times New Roman" w:hAnsiTheme="minorHAnsi" w:cs="Arial"/>
                <w:b w:val="0"/>
                <w:bCs w:val="0"/>
                <w:color w:val="000000"/>
                <w:sz w:val="24"/>
                <w:szCs w:val="24"/>
              </w:rPr>
              <w:t> </w:t>
            </w:r>
          </w:p>
        </w:tc>
        <w:tc>
          <w:tcPr>
            <w:tcW w:w="3397" w:type="dxa"/>
            <w:hideMark/>
          </w:tcPr>
          <w:p w:rsidR="007E28F2" w:rsidRPr="009F1AE0" w:rsidRDefault="007E28F2" w:rsidP="005A464E">
            <w:pPr>
              <w:spacing w:after="0" w:line="360" w:lineRule="auto"/>
              <w:cnfStyle w:val="1000000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 </w:t>
            </w:r>
          </w:p>
        </w:tc>
        <w:tc>
          <w:tcPr>
            <w:tcW w:w="960" w:type="dxa"/>
            <w:noWrap/>
            <w:hideMark/>
          </w:tcPr>
          <w:p w:rsidR="007E28F2" w:rsidRPr="009F1AE0" w:rsidRDefault="007E28F2" w:rsidP="005A464E">
            <w:pPr>
              <w:spacing w:after="0" w:line="360" w:lineRule="auto"/>
              <w:jc w:val="center"/>
              <w:cnfStyle w:val="100000000000"/>
              <w:rPr>
                <w:rFonts w:asciiTheme="minorHAnsi" w:eastAsia="Times New Roman" w:hAnsiTheme="minorHAnsi" w:cs="Arial"/>
                <w:b w:val="0"/>
                <w:bCs w:val="0"/>
                <w:color w:val="000000"/>
                <w:sz w:val="24"/>
                <w:szCs w:val="24"/>
              </w:rPr>
            </w:pPr>
            <w:r w:rsidRPr="009F1AE0">
              <w:rPr>
                <w:rFonts w:asciiTheme="minorHAnsi" w:eastAsia="Times New Roman" w:hAnsiTheme="minorHAnsi" w:cs="Arial"/>
                <w:b w:val="0"/>
                <w:bCs w:val="0"/>
                <w:color w:val="000000"/>
                <w:sz w:val="24"/>
                <w:szCs w:val="24"/>
              </w:rPr>
              <w:t>β</w:t>
            </w:r>
            <w:r w:rsidRPr="009F1AE0">
              <w:rPr>
                <w:rFonts w:asciiTheme="minorHAnsi" w:eastAsia="Times New Roman" w:hAnsiTheme="minorHAnsi" w:cs="Arial"/>
                <w:b w:val="0"/>
                <w:bCs w:val="0"/>
                <w:color w:val="000000"/>
                <w:sz w:val="24"/>
                <w:szCs w:val="24"/>
                <w:vertAlign w:val="superscript"/>
              </w:rPr>
              <w:t>+</w:t>
            </w:r>
          </w:p>
        </w:tc>
        <w:tc>
          <w:tcPr>
            <w:tcW w:w="960" w:type="dxa"/>
            <w:noWrap/>
            <w:hideMark/>
          </w:tcPr>
          <w:p w:rsidR="007E28F2" w:rsidRPr="009F1AE0" w:rsidRDefault="007E28F2" w:rsidP="005A464E">
            <w:pPr>
              <w:spacing w:after="0" w:line="360" w:lineRule="auto"/>
              <w:jc w:val="center"/>
              <w:cnfStyle w:val="100000000000"/>
              <w:rPr>
                <w:rFonts w:asciiTheme="minorHAnsi" w:eastAsia="Times New Roman" w:hAnsiTheme="minorHAnsi" w:cs="Arial"/>
                <w:b w:val="0"/>
                <w:bCs w:val="0"/>
                <w:color w:val="000000"/>
                <w:sz w:val="24"/>
                <w:szCs w:val="24"/>
              </w:rPr>
            </w:pPr>
            <w:r w:rsidRPr="009F1AE0">
              <w:rPr>
                <w:rFonts w:asciiTheme="minorHAnsi" w:eastAsia="Times New Roman" w:hAnsiTheme="minorHAnsi" w:cs="Arial"/>
                <w:b w:val="0"/>
                <w:bCs w:val="0"/>
                <w:color w:val="000000"/>
                <w:sz w:val="24"/>
                <w:szCs w:val="24"/>
              </w:rPr>
              <w:t>SE</w:t>
            </w:r>
            <w:r w:rsidRPr="009F1AE0">
              <w:rPr>
                <w:rFonts w:asciiTheme="minorHAnsi" w:eastAsia="Times New Roman" w:hAnsiTheme="minorHAnsi" w:cs="Arial"/>
                <w:b w:val="0"/>
                <w:bCs w:val="0"/>
                <w:color w:val="000000"/>
                <w:sz w:val="24"/>
                <w:szCs w:val="24"/>
                <w:vertAlign w:val="superscript"/>
              </w:rPr>
              <w:t>++</w:t>
            </w:r>
          </w:p>
        </w:tc>
        <w:tc>
          <w:tcPr>
            <w:tcW w:w="960" w:type="dxa"/>
            <w:noWrap/>
            <w:hideMark/>
          </w:tcPr>
          <w:p w:rsidR="007E28F2" w:rsidRPr="009F1AE0" w:rsidRDefault="007E28F2" w:rsidP="005A464E">
            <w:pPr>
              <w:spacing w:after="0" w:line="360" w:lineRule="auto"/>
              <w:jc w:val="center"/>
              <w:cnfStyle w:val="100000000000"/>
              <w:rPr>
                <w:rFonts w:asciiTheme="minorHAnsi" w:eastAsia="Times New Roman" w:hAnsiTheme="minorHAnsi" w:cs="Arial"/>
                <w:b w:val="0"/>
                <w:bCs w:val="0"/>
                <w:color w:val="000000"/>
                <w:sz w:val="24"/>
                <w:szCs w:val="24"/>
              </w:rPr>
            </w:pPr>
            <w:r w:rsidRPr="009F1AE0">
              <w:rPr>
                <w:rFonts w:asciiTheme="minorHAnsi" w:eastAsia="Times New Roman" w:hAnsiTheme="minorHAnsi" w:cs="Arial"/>
                <w:b w:val="0"/>
                <w:bCs w:val="0"/>
                <w:color w:val="000000"/>
                <w:sz w:val="24"/>
                <w:szCs w:val="24"/>
              </w:rPr>
              <w:t>P</w:t>
            </w:r>
          </w:p>
        </w:tc>
      </w:tr>
      <w:tr w:rsidR="007E28F2" w:rsidRPr="009F1AE0" w:rsidTr="00510761">
        <w:trPr>
          <w:cnfStyle w:val="000000100000"/>
          <w:trHeight w:val="345"/>
        </w:trPr>
        <w:tc>
          <w:tcPr>
            <w:cnfStyle w:val="001000000000"/>
            <w:tcW w:w="2535" w:type="dxa"/>
            <w:hideMark/>
          </w:tcPr>
          <w:p w:rsidR="007E28F2" w:rsidRPr="009F1AE0" w:rsidRDefault="007E28F2" w:rsidP="005A464E">
            <w:pPr>
              <w:spacing w:after="0" w:line="360" w:lineRule="auto"/>
              <w:rPr>
                <w:rFonts w:asciiTheme="minorHAnsi" w:eastAsia="Times New Roman" w:hAnsiTheme="minorHAnsi" w:cs="Arial"/>
                <w:bCs w:val="0"/>
                <w:color w:val="000000"/>
                <w:sz w:val="24"/>
                <w:szCs w:val="24"/>
              </w:rPr>
            </w:pPr>
            <w:r w:rsidRPr="009F1AE0">
              <w:rPr>
                <w:rFonts w:asciiTheme="minorHAnsi" w:eastAsia="Times New Roman" w:hAnsiTheme="minorHAnsi" w:cs="Arial"/>
                <w:bCs w:val="0"/>
                <w:color w:val="000000"/>
                <w:sz w:val="24"/>
                <w:szCs w:val="24"/>
              </w:rPr>
              <w:t>Βαθμολογία γνώσης</w:t>
            </w:r>
          </w:p>
        </w:tc>
        <w:tc>
          <w:tcPr>
            <w:tcW w:w="3397" w:type="dxa"/>
            <w:hideMark/>
          </w:tcPr>
          <w:p w:rsidR="007E28F2" w:rsidRPr="009F1AE0" w:rsidRDefault="007E28F2" w:rsidP="005A464E">
            <w:pPr>
              <w:spacing w:after="0" w:line="360" w:lineRule="auto"/>
              <w:cnfStyle w:val="000000100000"/>
              <w:rPr>
                <w:rFonts w:asciiTheme="minorHAnsi" w:eastAsia="Times New Roman" w:hAnsiTheme="minorHAnsi" w:cs="Arial"/>
                <w:color w:val="000000"/>
                <w:sz w:val="24"/>
                <w:szCs w:val="24"/>
              </w:rPr>
            </w:pP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0,006</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0,002</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b/>
                <w:color w:val="000000"/>
                <w:sz w:val="24"/>
                <w:szCs w:val="24"/>
              </w:rPr>
            </w:pPr>
            <w:r w:rsidRPr="009F1AE0">
              <w:rPr>
                <w:rFonts w:asciiTheme="minorHAnsi" w:eastAsia="Times New Roman" w:hAnsiTheme="minorHAnsi" w:cs="Arial"/>
                <w:b/>
                <w:color w:val="000000"/>
                <w:sz w:val="24"/>
                <w:szCs w:val="24"/>
              </w:rPr>
              <w:t>0,005</w:t>
            </w:r>
          </w:p>
        </w:tc>
      </w:tr>
      <w:tr w:rsidR="007E28F2" w:rsidRPr="009F1AE0" w:rsidTr="00510761">
        <w:trPr>
          <w:cnfStyle w:val="000000010000"/>
          <w:trHeight w:val="345"/>
        </w:trPr>
        <w:tc>
          <w:tcPr>
            <w:cnfStyle w:val="001000000000"/>
            <w:tcW w:w="2535" w:type="dxa"/>
            <w:vMerge w:val="restart"/>
            <w:hideMark/>
          </w:tcPr>
          <w:p w:rsidR="007E28F2" w:rsidRPr="009F1AE0" w:rsidRDefault="000D053B" w:rsidP="005A464E">
            <w:pPr>
              <w:spacing w:after="0" w:line="360" w:lineRule="auto"/>
              <w:rPr>
                <w:rFonts w:asciiTheme="minorHAnsi" w:eastAsia="Times New Roman" w:hAnsiTheme="minorHAnsi" w:cs="Arial"/>
                <w:bCs w:val="0"/>
                <w:color w:val="000000"/>
                <w:sz w:val="24"/>
                <w:szCs w:val="24"/>
              </w:rPr>
            </w:pPr>
            <w:r w:rsidRPr="009F1AE0">
              <w:rPr>
                <w:rFonts w:asciiTheme="minorHAnsi" w:eastAsia="Times New Roman" w:hAnsiTheme="minorHAnsi" w:cs="Arial"/>
                <w:bCs w:val="0"/>
                <w:color w:val="000000"/>
                <w:sz w:val="24"/>
                <w:szCs w:val="24"/>
              </w:rPr>
              <w:t>Εκπαιδευτικό</w:t>
            </w:r>
            <w:r w:rsidR="007E28F2" w:rsidRPr="009F1AE0">
              <w:rPr>
                <w:rFonts w:asciiTheme="minorHAnsi" w:eastAsia="Times New Roman" w:hAnsiTheme="minorHAnsi" w:cs="Arial"/>
                <w:bCs w:val="0"/>
                <w:color w:val="000000"/>
                <w:sz w:val="24"/>
                <w:szCs w:val="24"/>
              </w:rPr>
              <w:t xml:space="preserve"> επίπεδο</w:t>
            </w:r>
          </w:p>
        </w:tc>
        <w:tc>
          <w:tcPr>
            <w:tcW w:w="3397" w:type="dxa"/>
            <w:hideMark/>
          </w:tcPr>
          <w:p w:rsidR="007E28F2" w:rsidRPr="009F1AE0" w:rsidRDefault="002B5862" w:rsidP="005A464E">
            <w:pPr>
              <w:spacing w:after="0" w:line="360" w:lineRule="auto"/>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Α</w:t>
            </w:r>
            <w:r w:rsidR="007E28F2" w:rsidRPr="009F1AE0">
              <w:rPr>
                <w:rFonts w:asciiTheme="minorHAnsi" w:eastAsia="Times New Roman" w:hAnsiTheme="minorHAnsi" w:cs="Arial"/>
                <w:color w:val="000000"/>
                <w:sz w:val="24"/>
                <w:szCs w:val="24"/>
              </w:rPr>
              <w:t>ναλφάβητος</w:t>
            </w:r>
            <w:r w:rsidRPr="009F1AE0">
              <w:rPr>
                <w:rFonts w:asciiTheme="minorHAnsi" w:eastAsia="Times New Roman" w:hAnsiTheme="minorHAnsi" w:cs="Arial"/>
                <w:color w:val="000000"/>
                <w:sz w:val="24"/>
                <w:szCs w:val="24"/>
              </w:rPr>
              <w:t>/ Δημοτικό (Αναφορά)</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 </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 </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b/>
                <w:color w:val="000000"/>
                <w:sz w:val="24"/>
                <w:szCs w:val="24"/>
              </w:rPr>
            </w:pPr>
            <w:r w:rsidRPr="009F1AE0">
              <w:rPr>
                <w:rFonts w:asciiTheme="minorHAnsi" w:eastAsia="Times New Roman" w:hAnsiTheme="minorHAnsi" w:cs="Arial"/>
                <w:b/>
                <w:color w:val="000000"/>
                <w:sz w:val="24"/>
                <w:szCs w:val="24"/>
              </w:rPr>
              <w:t> </w:t>
            </w:r>
          </w:p>
        </w:tc>
      </w:tr>
      <w:tr w:rsidR="007E28F2" w:rsidRPr="009F1AE0" w:rsidTr="00510761">
        <w:trPr>
          <w:cnfStyle w:val="000000100000"/>
          <w:trHeight w:val="345"/>
        </w:trPr>
        <w:tc>
          <w:tcPr>
            <w:cnfStyle w:val="001000000000"/>
            <w:tcW w:w="2535" w:type="dxa"/>
            <w:vMerge/>
            <w:hideMark/>
          </w:tcPr>
          <w:p w:rsidR="007E28F2" w:rsidRPr="009F1AE0" w:rsidRDefault="007E28F2" w:rsidP="005A464E">
            <w:pPr>
              <w:spacing w:after="0" w:line="360" w:lineRule="auto"/>
              <w:rPr>
                <w:rFonts w:asciiTheme="minorHAnsi" w:eastAsia="Times New Roman" w:hAnsiTheme="minorHAnsi" w:cs="Arial"/>
                <w:bCs w:val="0"/>
                <w:color w:val="000000"/>
                <w:sz w:val="24"/>
                <w:szCs w:val="24"/>
              </w:rPr>
            </w:pPr>
          </w:p>
        </w:tc>
        <w:tc>
          <w:tcPr>
            <w:tcW w:w="3397" w:type="dxa"/>
            <w:hideMark/>
          </w:tcPr>
          <w:p w:rsidR="007E28F2" w:rsidRPr="009F1AE0" w:rsidRDefault="007E28F2" w:rsidP="005A464E">
            <w:pPr>
              <w:spacing w:after="0" w:line="360" w:lineRule="auto"/>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Γυμνάσιο/ Λύκειο</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0,07</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0,02</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b/>
                <w:color w:val="000000"/>
                <w:sz w:val="24"/>
                <w:szCs w:val="24"/>
              </w:rPr>
            </w:pPr>
            <w:r w:rsidRPr="009F1AE0">
              <w:rPr>
                <w:rFonts w:asciiTheme="minorHAnsi" w:eastAsia="Times New Roman" w:hAnsiTheme="minorHAnsi" w:cs="Arial"/>
                <w:b/>
                <w:color w:val="000000"/>
                <w:sz w:val="24"/>
                <w:szCs w:val="24"/>
              </w:rPr>
              <w:t>0,001</w:t>
            </w:r>
          </w:p>
        </w:tc>
      </w:tr>
      <w:tr w:rsidR="007E28F2" w:rsidRPr="009F1AE0" w:rsidTr="00510761">
        <w:trPr>
          <w:cnfStyle w:val="000000010000"/>
          <w:trHeight w:val="345"/>
        </w:trPr>
        <w:tc>
          <w:tcPr>
            <w:cnfStyle w:val="001000000000"/>
            <w:tcW w:w="2535" w:type="dxa"/>
            <w:vMerge/>
            <w:hideMark/>
          </w:tcPr>
          <w:p w:rsidR="007E28F2" w:rsidRPr="009F1AE0" w:rsidRDefault="007E28F2" w:rsidP="005A464E">
            <w:pPr>
              <w:spacing w:after="0" w:line="360" w:lineRule="auto"/>
              <w:rPr>
                <w:rFonts w:asciiTheme="minorHAnsi" w:eastAsia="Times New Roman" w:hAnsiTheme="minorHAnsi" w:cs="Arial"/>
                <w:bCs w:val="0"/>
                <w:color w:val="000000"/>
                <w:sz w:val="24"/>
                <w:szCs w:val="24"/>
              </w:rPr>
            </w:pPr>
          </w:p>
        </w:tc>
        <w:tc>
          <w:tcPr>
            <w:tcW w:w="3397" w:type="dxa"/>
            <w:hideMark/>
          </w:tcPr>
          <w:p w:rsidR="007E28F2" w:rsidRPr="009F1AE0" w:rsidRDefault="007E28F2" w:rsidP="005A464E">
            <w:pPr>
              <w:spacing w:after="0" w:line="360" w:lineRule="auto"/>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φοιτητής/ απόφοιτος ΑΕΙ/ΤΕΙ</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0,03</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0,03</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0,202</w:t>
            </w:r>
          </w:p>
        </w:tc>
      </w:tr>
      <w:tr w:rsidR="007E28F2" w:rsidRPr="009F1AE0" w:rsidTr="00510761">
        <w:trPr>
          <w:cnfStyle w:val="000000100000"/>
          <w:trHeight w:val="345"/>
        </w:trPr>
        <w:tc>
          <w:tcPr>
            <w:cnfStyle w:val="001000000000"/>
            <w:tcW w:w="2535" w:type="dxa"/>
            <w:hideMark/>
          </w:tcPr>
          <w:p w:rsidR="007E28F2" w:rsidRPr="009F1AE0" w:rsidRDefault="007E28F2" w:rsidP="005A464E">
            <w:pPr>
              <w:spacing w:after="0" w:line="360" w:lineRule="auto"/>
              <w:rPr>
                <w:rFonts w:asciiTheme="minorHAnsi" w:eastAsia="Times New Roman" w:hAnsiTheme="minorHAnsi" w:cs="Arial"/>
                <w:bCs w:val="0"/>
                <w:color w:val="000000"/>
                <w:sz w:val="24"/>
                <w:szCs w:val="24"/>
              </w:rPr>
            </w:pPr>
            <w:r w:rsidRPr="009F1AE0">
              <w:rPr>
                <w:rFonts w:asciiTheme="minorHAnsi" w:eastAsia="Times New Roman" w:hAnsiTheme="minorHAnsi" w:cs="Arial"/>
                <w:bCs w:val="0"/>
                <w:color w:val="000000"/>
                <w:sz w:val="24"/>
                <w:szCs w:val="24"/>
              </w:rPr>
              <w:t>Έτη από διάγνωση ΧΝΝ</w:t>
            </w:r>
          </w:p>
        </w:tc>
        <w:tc>
          <w:tcPr>
            <w:tcW w:w="3397" w:type="dxa"/>
            <w:noWrap/>
            <w:hideMark/>
          </w:tcPr>
          <w:p w:rsidR="007E28F2" w:rsidRPr="009F1AE0" w:rsidRDefault="007E28F2" w:rsidP="005A464E">
            <w:pPr>
              <w:spacing w:after="0" w:line="360" w:lineRule="auto"/>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 </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0,004</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0,001</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b/>
                <w:color w:val="000000"/>
                <w:sz w:val="24"/>
                <w:szCs w:val="24"/>
              </w:rPr>
            </w:pPr>
            <w:r w:rsidRPr="009F1AE0">
              <w:rPr>
                <w:rFonts w:asciiTheme="minorHAnsi" w:eastAsia="Times New Roman" w:hAnsiTheme="minorHAnsi" w:cs="Arial"/>
                <w:b/>
                <w:color w:val="000000"/>
                <w:sz w:val="24"/>
                <w:szCs w:val="24"/>
              </w:rPr>
              <w:t>0,001</w:t>
            </w:r>
          </w:p>
        </w:tc>
      </w:tr>
      <w:tr w:rsidR="009F1AE0" w:rsidRPr="009F1AE0" w:rsidTr="00001CDF">
        <w:trPr>
          <w:cnfStyle w:val="000000010000"/>
          <w:trHeight w:val="345"/>
        </w:trPr>
        <w:tc>
          <w:tcPr>
            <w:cnfStyle w:val="001000000000"/>
            <w:tcW w:w="8812" w:type="dxa"/>
            <w:gridSpan w:val="5"/>
            <w:hideMark/>
          </w:tcPr>
          <w:p w:rsidR="009F1AE0" w:rsidRPr="009F1AE0" w:rsidRDefault="009F1AE0" w:rsidP="009F1AE0">
            <w:pPr>
              <w:pStyle w:val="nouk"/>
              <w:rPr>
                <w:b w:val="0"/>
                <w:i/>
                <w:sz w:val="22"/>
                <w:szCs w:val="22"/>
              </w:rPr>
            </w:pPr>
            <w:r w:rsidRPr="009F1AE0">
              <w:rPr>
                <w:b w:val="0"/>
                <w:i/>
                <w:sz w:val="22"/>
                <w:szCs w:val="22"/>
                <w:vertAlign w:val="superscript"/>
              </w:rPr>
              <w:t>+</w:t>
            </w:r>
            <w:r w:rsidRPr="009F1AE0">
              <w:rPr>
                <w:b w:val="0"/>
                <w:i/>
                <w:sz w:val="22"/>
                <w:szCs w:val="22"/>
              </w:rPr>
              <w:t xml:space="preserve">συντελεστής εξάρτησης </w:t>
            </w:r>
            <w:r w:rsidRPr="009F1AE0">
              <w:rPr>
                <w:b w:val="0"/>
                <w:i/>
                <w:sz w:val="22"/>
                <w:szCs w:val="22"/>
                <w:vertAlign w:val="superscript"/>
              </w:rPr>
              <w:t>++</w:t>
            </w:r>
            <w:r w:rsidRPr="009F1AE0">
              <w:rPr>
                <w:b w:val="0"/>
                <w:i/>
                <w:sz w:val="22"/>
                <w:szCs w:val="22"/>
              </w:rPr>
              <w:t>τυπικό σφάλμα συντελεστή εξάρτησης</w:t>
            </w:r>
          </w:p>
        </w:tc>
      </w:tr>
    </w:tbl>
    <w:p w:rsidR="00510761" w:rsidRPr="00510761" w:rsidRDefault="00510761" w:rsidP="005A464E">
      <w:pPr>
        <w:pStyle w:val="nouk"/>
        <w:rPr>
          <w:i/>
          <w:sz w:val="22"/>
          <w:szCs w:val="22"/>
        </w:rPr>
      </w:pPr>
    </w:p>
    <w:p w:rsidR="007E28F2" w:rsidRDefault="007E28F2" w:rsidP="009F1AE0">
      <w:pPr>
        <w:pStyle w:val="nouk"/>
      </w:pPr>
      <w:r w:rsidRPr="005A464E">
        <w:t xml:space="preserve">Το </w:t>
      </w:r>
      <w:r w:rsidR="000D053B">
        <w:t>εκπαιδευτικό</w:t>
      </w:r>
      <w:r w:rsidRPr="005A464E">
        <w:t xml:space="preserve"> επίπεδο, η γνώση και τα έτη από τη διάγνωση βρέθηκαν να σχετίζονται ανεξάρτητα με τη βαθμολογία συμμόρφωσης με τα υγρά και τη διαιτητική συμπεριφορά. </w:t>
      </w:r>
    </w:p>
    <w:p w:rsidR="009F1AE0" w:rsidRPr="009F1AE0" w:rsidRDefault="009F1AE0" w:rsidP="009F1AE0">
      <w:pPr>
        <w:pStyle w:val="nouk"/>
        <w:rPr>
          <w:highlight w:val="cyan"/>
        </w:rPr>
      </w:pPr>
    </w:p>
    <w:p w:rsidR="007E28F2" w:rsidRDefault="00A816E5" w:rsidP="005A464E">
      <w:pPr>
        <w:pStyle w:val="nouk"/>
        <w:rPr>
          <w:b/>
        </w:rPr>
      </w:pPr>
      <w:r w:rsidRPr="005A464E">
        <w:rPr>
          <w:b/>
        </w:rPr>
        <w:t>Ποιότητα ζωής</w:t>
      </w:r>
    </w:p>
    <w:p w:rsidR="009F1AE0" w:rsidRPr="009F1AE0" w:rsidRDefault="009F1AE0" w:rsidP="005A464E">
      <w:pPr>
        <w:pStyle w:val="nouk"/>
        <w:rPr>
          <w:b/>
        </w:rPr>
      </w:pPr>
    </w:p>
    <w:p w:rsidR="007E28F2" w:rsidRPr="005A464E" w:rsidRDefault="007E28F2" w:rsidP="005A464E">
      <w:pPr>
        <w:pStyle w:val="nouk"/>
      </w:pPr>
      <w:r w:rsidRPr="005A464E">
        <w:t xml:space="preserve">Στον πίνακα που ακολουθεί </w:t>
      </w:r>
      <w:r w:rsidR="00F6061C">
        <w:t>(Πίν 42</w:t>
      </w:r>
      <w:r w:rsidR="0051054C">
        <w:t xml:space="preserve">) </w:t>
      </w:r>
      <w:r w:rsidRPr="005A464E">
        <w:t xml:space="preserve">δίνονται οι βαθμολογίες των συμμετεχόντων στις διαστάσεις ποιότητας ζωής. </w:t>
      </w:r>
    </w:p>
    <w:p w:rsidR="00510761" w:rsidRDefault="00510761" w:rsidP="00510761">
      <w:pPr>
        <w:pStyle w:val="nouk"/>
        <w:rPr>
          <w:rFonts w:asciiTheme="minorHAnsi" w:eastAsia="Times New Roman" w:hAnsiTheme="minorHAnsi" w:cs="Arial"/>
          <w:color w:val="000000"/>
          <w:sz w:val="22"/>
          <w:szCs w:val="22"/>
        </w:rPr>
      </w:pPr>
    </w:p>
    <w:p w:rsidR="00510761" w:rsidRPr="009F1AE0" w:rsidRDefault="00F6061C" w:rsidP="00510761">
      <w:pPr>
        <w:pStyle w:val="nouk"/>
        <w:rPr>
          <w:rFonts w:asciiTheme="minorHAnsi" w:eastAsia="Times New Roman" w:hAnsiTheme="minorHAnsi" w:cs="Arial"/>
          <w:color w:val="000000"/>
        </w:rPr>
      </w:pPr>
      <w:r w:rsidRPr="009F1AE0">
        <w:rPr>
          <w:rFonts w:asciiTheme="minorHAnsi" w:eastAsia="Times New Roman" w:hAnsiTheme="minorHAnsi" w:cs="Arial"/>
          <w:color w:val="000000"/>
        </w:rPr>
        <w:t>Πίνακας 42</w:t>
      </w:r>
    </w:p>
    <w:p w:rsidR="007E28F2" w:rsidRPr="009F1AE0" w:rsidRDefault="00510761" w:rsidP="00510761">
      <w:pPr>
        <w:pStyle w:val="nouk"/>
      </w:pPr>
      <w:r w:rsidRPr="009F1AE0">
        <w:rPr>
          <w:rFonts w:asciiTheme="minorHAnsi" w:eastAsiaTheme="minorHAnsi" w:hAnsiTheme="minorHAnsi" w:cstheme="minorHAnsi"/>
          <w:bCs/>
          <w:i/>
          <w:color w:val="000000"/>
        </w:rPr>
        <w:t>Βαθμολογίες των συμμετεχόντων στις διαστάσεις ποιότητας ζωής (Ν=321)</w:t>
      </w:r>
    </w:p>
    <w:tbl>
      <w:tblPr>
        <w:tblStyle w:val="-41"/>
        <w:tblW w:w="8139" w:type="dxa"/>
        <w:tblLook w:val="04A0"/>
      </w:tblPr>
      <w:tblGrid>
        <w:gridCol w:w="2265"/>
        <w:gridCol w:w="1948"/>
        <w:gridCol w:w="1382"/>
        <w:gridCol w:w="2544"/>
      </w:tblGrid>
      <w:tr w:rsidR="007E28F2" w:rsidRPr="009F1AE0" w:rsidTr="00510761">
        <w:trPr>
          <w:cnfStyle w:val="100000000000"/>
          <w:trHeight w:val="345"/>
        </w:trPr>
        <w:tc>
          <w:tcPr>
            <w:cnfStyle w:val="001000000000"/>
            <w:tcW w:w="2265" w:type="dxa"/>
            <w:hideMark/>
          </w:tcPr>
          <w:p w:rsidR="007E28F2" w:rsidRPr="009F1AE0" w:rsidRDefault="007E28F2" w:rsidP="00872FD2">
            <w:pPr>
              <w:spacing w:after="0" w:line="360" w:lineRule="auto"/>
              <w:rPr>
                <w:rFonts w:asciiTheme="minorHAnsi" w:eastAsia="Times New Roman" w:hAnsiTheme="minorHAnsi" w:cs="Arial"/>
                <w:b w:val="0"/>
                <w:bCs w:val="0"/>
                <w:color w:val="000000"/>
                <w:sz w:val="24"/>
                <w:szCs w:val="24"/>
              </w:rPr>
            </w:pPr>
            <w:r w:rsidRPr="009F1AE0">
              <w:rPr>
                <w:rFonts w:asciiTheme="minorHAnsi" w:eastAsia="Times New Roman" w:hAnsiTheme="minorHAnsi" w:cs="Arial"/>
                <w:color w:val="000000"/>
                <w:sz w:val="24"/>
                <w:szCs w:val="24"/>
              </w:rPr>
              <w:t> </w:t>
            </w:r>
          </w:p>
        </w:tc>
        <w:tc>
          <w:tcPr>
            <w:tcW w:w="1948" w:type="dxa"/>
            <w:hideMark/>
          </w:tcPr>
          <w:p w:rsidR="007E28F2" w:rsidRPr="009F1AE0" w:rsidRDefault="007E28F2" w:rsidP="00872FD2">
            <w:pPr>
              <w:spacing w:after="0" w:line="360" w:lineRule="auto"/>
              <w:jc w:val="center"/>
              <w:cnfStyle w:val="100000000000"/>
              <w:rPr>
                <w:rFonts w:asciiTheme="minorHAnsi" w:eastAsia="Times New Roman" w:hAnsiTheme="minorHAnsi" w:cs="Arial"/>
                <w:b w:val="0"/>
                <w:bCs w:val="0"/>
                <w:color w:val="000000"/>
                <w:sz w:val="24"/>
                <w:szCs w:val="24"/>
              </w:rPr>
            </w:pPr>
            <w:r w:rsidRPr="009F1AE0">
              <w:rPr>
                <w:rFonts w:asciiTheme="minorHAnsi" w:eastAsia="Times New Roman" w:hAnsiTheme="minorHAnsi" w:cs="Arial"/>
                <w:b w:val="0"/>
                <w:bCs w:val="0"/>
                <w:color w:val="000000"/>
                <w:sz w:val="24"/>
                <w:szCs w:val="24"/>
              </w:rPr>
              <w:t>Ελάχιστη τιμή</w:t>
            </w:r>
          </w:p>
        </w:tc>
        <w:tc>
          <w:tcPr>
            <w:tcW w:w="1382" w:type="dxa"/>
            <w:hideMark/>
          </w:tcPr>
          <w:p w:rsidR="007E28F2" w:rsidRPr="009F1AE0" w:rsidRDefault="007E28F2" w:rsidP="00872FD2">
            <w:pPr>
              <w:spacing w:after="0" w:line="360" w:lineRule="auto"/>
              <w:jc w:val="center"/>
              <w:cnfStyle w:val="100000000000"/>
              <w:rPr>
                <w:rFonts w:asciiTheme="minorHAnsi" w:eastAsia="Times New Roman" w:hAnsiTheme="minorHAnsi" w:cs="Arial"/>
                <w:b w:val="0"/>
                <w:bCs w:val="0"/>
                <w:color w:val="000000"/>
                <w:sz w:val="24"/>
                <w:szCs w:val="24"/>
              </w:rPr>
            </w:pPr>
            <w:r w:rsidRPr="009F1AE0">
              <w:rPr>
                <w:rFonts w:asciiTheme="minorHAnsi" w:eastAsia="Times New Roman" w:hAnsiTheme="minorHAnsi" w:cs="Arial"/>
                <w:b w:val="0"/>
                <w:bCs w:val="0"/>
                <w:color w:val="000000"/>
                <w:sz w:val="24"/>
                <w:szCs w:val="24"/>
              </w:rPr>
              <w:t>Μέγιστη τιμή</w:t>
            </w:r>
          </w:p>
        </w:tc>
        <w:tc>
          <w:tcPr>
            <w:tcW w:w="2544" w:type="dxa"/>
            <w:noWrap/>
            <w:hideMark/>
          </w:tcPr>
          <w:p w:rsidR="007E28F2" w:rsidRPr="009F1AE0" w:rsidRDefault="00540593" w:rsidP="00872FD2">
            <w:pPr>
              <w:spacing w:after="0" w:line="360" w:lineRule="auto"/>
              <w:jc w:val="center"/>
              <w:cnfStyle w:val="100000000000"/>
              <w:rPr>
                <w:rFonts w:asciiTheme="minorHAnsi" w:eastAsia="Times New Roman" w:hAnsiTheme="minorHAnsi" w:cs="Arial"/>
                <w:b w:val="0"/>
                <w:bCs w:val="0"/>
                <w:color w:val="000000"/>
                <w:sz w:val="24"/>
                <w:szCs w:val="24"/>
              </w:rPr>
            </w:pPr>
            <w:r w:rsidRPr="009F1AE0">
              <w:rPr>
                <w:rFonts w:asciiTheme="minorHAnsi" w:eastAsia="Times New Roman" w:hAnsiTheme="minorHAnsi" w:cs="Arial"/>
                <w:b w:val="0"/>
                <w:bCs w:val="0"/>
                <w:color w:val="000000"/>
                <w:sz w:val="24"/>
                <w:szCs w:val="24"/>
              </w:rPr>
              <w:t>Μέση Τιμή</w:t>
            </w:r>
            <w:r w:rsidR="007E28F2" w:rsidRPr="009F1AE0">
              <w:rPr>
                <w:rFonts w:asciiTheme="minorHAnsi" w:eastAsia="Times New Roman" w:hAnsiTheme="minorHAnsi" w:cs="Arial"/>
                <w:b w:val="0"/>
                <w:bCs w:val="0"/>
                <w:color w:val="000000"/>
                <w:sz w:val="24"/>
                <w:szCs w:val="24"/>
              </w:rPr>
              <w:t xml:space="preserve"> (</w:t>
            </w:r>
            <w:r w:rsidR="00D225F5" w:rsidRPr="009F1AE0">
              <w:rPr>
                <w:rFonts w:asciiTheme="minorHAnsi" w:eastAsia="Times New Roman" w:hAnsiTheme="minorHAnsi" w:cs="Arial"/>
                <w:b w:val="0"/>
                <w:bCs w:val="0"/>
                <w:color w:val="000000"/>
                <w:sz w:val="24"/>
                <w:szCs w:val="24"/>
              </w:rPr>
              <w:t>ΤΑ</w:t>
            </w:r>
            <w:r w:rsidR="007E28F2" w:rsidRPr="009F1AE0">
              <w:rPr>
                <w:rFonts w:asciiTheme="minorHAnsi" w:eastAsia="Times New Roman" w:hAnsiTheme="minorHAnsi" w:cs="Arial"/>
                <w:b w:val="0"/>
                <w:bCs w:val="0"/>
                <w:color w:val="000000"/>
                <w:sz w:val="24"/>
                <w:szCs w:val="24"/>
              </w:rPr>
              <w:t>)</w:t>
            </w:r>
          </w:p>
        </w:tc>
      </w:tr>
      <w:tr w:rsidR="007E28F2" w:rsidRPr="009F1AE0" w:rsidTr="00510761">
        <w:trPr>
          <w:cnfStyle w:val="000000100000"/>
          <w:trHeight w:val="345"/>
        </w:trPr>
        <w:tc>
          <w:tcPr>
            <w:cnfStyle w:val="001000000000"/>
            <w:tcW w:w="2265" w:type="dxa"/>
            <w:hideMark/>
          </w:tcPr>
          <w:p w:rsidR="007E28F2" w:rsidRPr="009F1AE0" w:rsidRDefault="0076474F" w:rsidP="00872FD2">
            <w:pPr>
              <w:spacing w:after="0" w:line="360" w:lineRule="auto"/>
              <w:rPr>
                <w:rFonts w:asciiTheme="minorHAnsi" w:eastAsia="Times New Roman" w:hAnsiTheme="minorHAnsi" w:cs="Arial"/>
                <w:b w:val="0"/>
                <w:bCs w:val="0"/>
                <w:i/>
                <w:color w:val="000000"/>
                <w:sz w:val="24"/>
                <w:szCs w:val="24"/>
              </w:rPr>
            </w:pPr>
            <w:r w:rsidRPr="009F1AE0">
              <w:rPr>
                <w:rFonts w:asciiTheme="minorHAnsi" w:eastAsia="Times New Roman" w:hAnsiTheme="minorHAnsi" w:cs="Arial"/>
                <w:b w:val="0"/>
                <w:i/>
                <w:color w:val="000000"/>
                <w:sz w:val="24"/>
                <w:szCs w:val="24"/>
              </w:rPr>
              <w:t>Συμπτώματα</w:t>
            </w:r>
            <w:r w:rsidR="007E28F2" w:rsidRPr="009F1AE0">
              <w:rPr>
                <w:rFonts w:asciiTheme="minorHAnsi" w:eastAsia="Times New Roman" w:hAnsiTheme="minorHAnsi" w:cs="Arial"/>
                <w:b w:val="0"/>
                <w:i/>
                <w:color w:val="000000"/>
                <w:sz w:val="24"/>
                <w:szCs w:val="24"/>
              </w:rPr>
              <w:t xml:space="preserve"> </w:t>
            </w:r>
          </w:p>
        </w:tc>
        <w:tc>
          <w:tcPr>
            <w:tcW w:w="1948" w:type="dxa"/>
            <w:noWrap/>
            <w:hideMark/>
          </w:tcPr>
          <w:p w:rsidR="007E28F2" w:rsidRPr="009F1AE0" w:rsidRDefault="007E28F2" w:rsidP="00872FD2">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-30,00</w:t>
            </w:r>
          </w:p>
        </w:tc>
        <w:tc>
          <w:tcPr>
            <w:tcW w:w="1382" w:type="dxa"/>
            <w:noWrap/>
            <w:hideMark/>
          </w:tcPr>
          <w:p w:rsidR="007E28F2" w:rsidRPr="009F1AE0" w:rsidRDefault="007E28F2" w:rsidP="00872FD2">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30,00</w:t>
            </w:r>
          </w:p>
        </w:tc>
        <w:tc>
          <w:tcPr>
            <w:tcW w:w="2544" w:type="dxa"/>
            <w:noWrap/>
            <w:hideMark/>
          </w:tcPr>
          <w:p w:rsidR="007E28F2" w:rsidRPr="009F1AE0" w:rsidRDefault="007E28F2" w:rsidP="00872FD2">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5 (9,62)</w:t>
            </w:r>
          </w:p>
        </w:tc>
      </w:tr>
      <w:tr w:rsidR="007E28F2" w:rsidRPr="009F1AE0" w:rsidTr="00510761">
        <w:trPr>
          <w:cnfStyle w:val="000000010000"/>
          <w:trHeight w:val="345"/>
        </w:trPr>
        <w:tc>
          <w:tcPr>
            <w:cnfStyle w:val="001000000000"/>
            <w:tcW w:w="2265" w:type="dxa"/>
            <w:hideMark/>
          </w:tcPr>
          <w:p w:rsidR="007E28F2" w:rsidRPr="009F1AE0" w:rsidRDefault="003A7874" w:rsidP="00872FD2">
            <w:pPr>
              <w:spacing w:after="0" w:line="360" w:lineRule="auto"/>
              <w:rPr>
                <w:rFonts w:asciiTheme="minorHAnsi" w:eastAsia="Times New Roman" w:hAnsiTheme="minorHAnsi" w:cs="Arial"/>
                <w:b w:val="0"/>
                <w:bCs w:val="0"/>
                <w:i/>
                <w:color w:val="000000"/>
                <w:sz w:val="24"/>
                <w:szCs w:val="24"/>
              </w:rPr>
            </w:pPr>
            <w:r w:rsidRPr="009F1AE0">
              <w:rPr>
                <w:rFonts w:asciiTheme="minorHAnsi" w:eastAsia="Times New Roman" w:hAnsiTheme="minorHAnsi" w:cs="Arial"/>
                <w:b w:val="0"/>
                <w:i/>
                <w:color w:val="000000"/>
                <w:sz w:val="24"/>
                <w:szCs w:val="24"/>
              </w:rPr>
              <w:t>Λειτουργικότητα</w:t>
            </w:r>
            <w:r w:rsidR="007E28F2" w:rsidRPr="009F1AE0">
              <w:rPr>
                <w:rFonts w:asciiTheme="minorHAnsi" w:eastAsia="Times New Roman" w:hAnsiTheme="minorHAnsi" w:cs="Arial"/>
                <w:b w:val="0"/>
                <w:i/>
                <w:color w:val="000000"/>
                <w:sz w:val="24"/>
                <w:szCs w:val="24"/>
              </w:rPr>
              <w:t xml:space="preserve"> </w:t>
            </w:r>
          </w:p>
        </w:tc>
        <w:tc>
          <w:tcPr>
            <w:tcW w:w="1948" w:type="dxa"/>
            <w:noWrap/>
            <w:hideMark/>
          </w:tcPr>
          <w:p w:rsidR="007E28F2" w:rsidRPr="009F1AE0" w:rsidRDefault="007E28F2" w:rsidP="00872FD2">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-16,00</w:t>
            </w:r>
          </w:p>
        </w:tc>
        <w:tc>
          <w:tcPr>
            <w:tcW w:w="1382" w:type="dxa"/>
            <w:noWrap/>
            <w:hideMark/>
          </w:tcPr>
          <w:p w:rsidR="007E28F2" w:rsidRPr="009F1AE0" w:rsidRDefault="007E28F2" w:rsidP="00872FD2">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30,00</w:t>
            </w:r>
          </w:p>
        </w:tc>
        <w:tc>
          <w:tcPr>
            <w:tcW w:w="2544" w:type="dxa"/>
            <w:noWrap/>
            <w:hideMark/>
          </w:tcPr>
          <w:p w:rsidR="007E28F2" w:rsidRPr="009F1AE0" w:rsidRDefault="007E28F2" w:rsidP="00872FD2">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4,64 (8,66)</w:t>
            </w:r>
          </w:p>
        </w:tc>
      </w:tr>
      <w:tr w:rsidR="007E28F2" w:rsidRPr="009F1AE0" w:rsidTr="00510761">
        <w:trPr>
          <w:cnfStyle w:val="000000100000"/>
          <w:trHeight w:val="345"/>
        </w:trPr>
        <w:tc>
          <w:tcPr>
            <w:cnfStyle w:val="001000000000"/>
            <w:tcW w:w="2265" w:type="dxa"/>
            <w:hideMark/>
          </w:tcPr>
          <w:p w:rsidR="007E28F2" w:rsidRPr="009F1AE0" w:rsidRDefault="00A816E5" w:rsidP="00872FD2">
            <w:pPr>
              <w:spacing w:after="0" w:line="360" w:lineRule="auto"/>
              <w:rPr>
                <w:rFonts w:asciiTheme="minorHAnsi" w:eastAsia="Times New Roman" w:hAnsiTheme="minorHAnsi" w:cs="Arial"/>
                <w:b w:val="0"/>
                <w:bCs w:val="0"/>
                <w:i/>
                <w:color w:val="000000"/>
                <w:sz w:val="24"/>
                <w:szCs w:val="24"/>
              </w:rPr>
            </w:pPr>
            <w:r w:rsidRPr="009F1AE0">
              <w:rPr>
                <w:rFonts w:asciiTheme="minorHAnsi" w:eastAsia="Times New Roman" w:hAnsiTheme="minorHAnsi" w:cs="Arial"/>
                <w:b w:val="0"/>
                <w:i/>
                <w:color w:val="000000"/>
                <w:sz w:val="24"/>
                <w:szCs w:val="24"/>
              </w:rPr>
              <w:t>Διαπροσωπικές σχέσεις</w:t>
            </w:r>
          </w:p>
        </w:tc>
        <w:tc>
          <w:tcPr>
            <w:tcW w:w="1948" w:type="dxa"/>
            <w:noWrap/>
            <w:hideMark/>
          </w:tcPr>
          <w:p w:rsidR="007E28F2" w:rsidRPr="009F1AE0" w:rsidRDefault="007E28F2" w:rsidP="00872FD2">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-30,00</w:t>
            </w:r>
          </w:p>
        </w:tc>
        <w:tc>
          <w:tcPr>
            <w:tcW w:w="1382" w:type="dxa"/>
            <w:noWrap/>
            <w:hideMark/>
          </w:tcPr>
          <w:p w:rsidR="007E28F2" w:rsidRPr="009F1AE0" w:rsidRDefault="007E28F2" w:rsidP="00872FD2">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30,00</w:t>
            </w:r>
          </w:p>
        </w:tc>
        <w:tc>
          <w:tcPr>
            <w:tcW w:w="2544" w:type="dxa"/>
            <w:noWrap/>
            <w:hideMark/>
          </w:tcPr>
          <w:p w:rsidR="007E28F2" w:rsidRPr="009F1AE0" w:rsidRDefault="007E28F2" w:rsidP="00872FD2">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11,97 (11,14)</w:t>
            </w:r>
          </w:p>
        </w:tc>
      </w:tr>
      <w:tr w:rsidR="007E28F2" w:rsidRPr="009F1AE0" w:rsidTr="00510761">
        <w:trPr>
          <w:cnfStyle w:val="000000010000"/>
          <w:trHeight w:val="345"/>
        </w:trPr>
        <w:tc>
          <w:tcPr>
            <w:cnfStyle w:val="001000000000"/>
            <w:tcW w:w="2265" w:type="dxa"/>
            <w:hideMark/>
          </w:tcPr>
          <w:p w:rsidR="007E28F2" w:rsidRPr="009F1AE0" w:rsidRDefault="003A7874" w:rsidP="00872FD2">
            <w:pPr>
              <w:spacing w:after="0" w:line="360" w:lineRule="auto"/>
              <w:rPr>
                <w:rFonts w:asciiTheme="minorHAnsi" w:eastAsia="Times New Roman" w:hAnsiTheme="minorHAnsi" w:cs="Arial"/>
                <w:b w:val="0"/>
                <w:bCs w:val="0"/>
                <w:i/>
                <w:color w:val="000000"/>
                <w:sz w:val="24"/>
                <w:szCs w:val="24"/>
              </w:rPr>
            </w:pPr>
            <w:r w:rsidRPr="009F1AE0">
              <w:rPr>
                <w:rFonts w:asciiTheme="minorHAnsi" w:eastAsia="Times New Roman" w:hAnsiTheme="minorHAnsi" w:cs="Arial"/>
                <w:b w:val="0"/>
                <w:i/>
                <w:color w:val="000000"/>
                <w:sz w:val="24"/>
                <w:szCs w:val="24"/>
              </w:rPr>
              <w:t>Ευεξία</w:t>
            </w:r>
            <w:r w:rsidR="007E28F2" w:rsidRPr="009F1AE0">
              <w:rPr>
                <w:rFonts w:asciiTheme="minorHAnsi" w:eastAsia="Times New Roman" w:hAnsiTheme="minorHAnsi" w:cs="Arial"/>
                <w:b w:val="0"/>
                <w:i/>
                <w:color w:val="000000"/>
                <w:sz w:val="24"/>
                <w:szCs w:val="24"/>
              </w:rPr>
              <w:t xml:space="preserve"> </w:t>
            </w:r>
          </w:p>
        </w:tc>
        <w:tc>
          <w:tcPr>
            <w:tcW w:w="1948" w:type="dxa"/>
            <w:noWrap/>
            <w:hideMark/>
          </w:tcPr>
          <w:p w:rsidR="007E28F2" w:rsidRPr="009F1AE0" w:rsidRDefault="007E28F2" w:rsidP="00872FD2">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-30,00</w:t>
            </w:r>
          </w:p>
        </w:tc>
        <w:tc>
          <w:tcPr>
            <w:tcW w:w="1382" w:type="dxa"/>
            <w:noWrap/>
            <w:hideMark/>
          </w:tcPr>
          <w:p w:rsidR="007E28F2" w:rsidRPr="009F1AE0" w:rsidRDefault="007E28F2" w:rsidP="00872FD2">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30,00</w:t>
            </w:r>
          </w:p>
        </w:tc>
        <w:tc>
          <w:tcPr>
            <w:tcW w:w="2544" w:type="dxa"/>
            <w:noWrap/>
            <w:hideMark/>
          </w:tcPr>
          <w:p w:rsidR="007E28F2" w:rsidRPr="009F1AE0" w:rsidRDefault="007E28F2" w:rsidP="00872FD2">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-6,82 (12,41)</w:t>
            </w:r>
          </w:p>
        </w:tc>
      </w:tr>
      <w:tr w:rsidR="007E28F2" w:rsidRPr="009F1AE0" w:rsidTr="00510761">
        <w:trPr>
          <w:cnfStyle w:val="000000100000"/>
          <w:trHeight w:val="345"/>
        </w:trPr>
        <w:tc>
          <w:tcPr>
            <w:cnfStyle w:val="001000000000"/>
            <w:tcW w:w="2265" w:type="dxa"/>
            <w:hideMark/>
          </w:tcPr>
          <w:p w:rsidR="007E28F2" w:rsidRPr="009F1AE0" w:rsidRDefault="00D225F5" w:rsidP="00872FD2">
            <w:pPr>
              <w:spacing w:after="0" w:line="360" w:lineRule="auto"/>
              <w:rPr>
                <w:rFonts w:asciiTheme="minorHAnsi" w:eastAsia="Times New Roman" w:hAnsiTheme="minorHAnsi" w:cs="Arial"/>
                <w:b w:val="0"/>
                <w:bCs w:val="0"/>
                <w:i/>
                <w:color w:val="000000"/>
                <w:sz w:val="24"/>
                <w:szCs w:val="24"/>
              </w:rPr>
            </w:pPr>
            <w:r w:rsidRPr="009F1AE0">
              <w:rPr>
                <w:rFonts w:asciiTheme="minorHAnsi" w:eastAsia="Times New Roman" w:hAnsiTheme="minorHAnsi" w:cs="Arial"/>
                <w:b w:val="0"/>
                <w:i/>
                <w:color w:val="000000"/>
                <w:sz w:val="24"/>
                <w:szCs w:val="24"/>
              </w:rPr>
              <w:t>Πνευματικότητα</w:t>
            </w:r>
            <w:r w:rsidR="007E28F2" w:rsidRPr="009F1AE0">
              <w:rPr>
                <w:rFonts w:asciiTheme="minorHAnsi" w:eastAsia="Times New Roman" w:hAnsiTheme="minorHAnsi" w:cs="Arial"/>
                <w:b w:val="0"/>
                <w:i/>
                <w:color w:val="000000"/>
                <w:sz w:val="24"/>
                <w:szCs w:val="24"/>
              </w:rPr>
              <w:t xml:space="preserve"> </w:t>
            </w:r>
          </w:p>
        </w:tc>
        <w:tc>
          <w:tcPr>
            <w:tcW w:w="1948" w:type="dxa"/>
            <w:noWrap/>
            <w:hideMark/>
          </w:tcPr>
          <w:p w:rsidR="007E28F2" w:rsidRPr="009F1AE0" w:rsidRDefault="007E28F2" w:rsidP="00872FD2">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-30,00</w:t>
            </w:r>
          </w:p>
        </w:tc>
        <w:tc>
          <w:tcPr>
            <w:tcW w:w="1382" w:type="dxa"/>
            <w:noWrap/>
            <w:hideMark/>
          </w:tcPr>
          <w:p w:rsidR="007E28F2" w:rsidRPr="009F1AE0" w:rsidRDefault="007E28F2" w:rsidP="00872FD2">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30,00</w:t>
            </w:r>
          </w:p>
        </w:tc>
        <w:tc>
          <w:tcPr>
            <w:tcW w:w="2544" w:type="dxa"/>
            <w:noWrap/>
            <w:hideMark/>
          </w:tcPr>
          <w:p w:rsidR="007E28F2" w:rsidRPr="009F1AE0" w:rsidRDefault="007E28F2" w:rsidP="00872FD2">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6,22 (12,46)</w:t>
            </w:r>
          </w:p>
        </w:tc>
      </w:tr>
      <w:tr w:rsidR="007E28F2" w:rsidRPr="009F1AE0" w:rsidTr="00510761">
        <w:trPr>
          <w:cnfStyle w:val="000000010000"/>
          <w:trHeight w:val="345"/>
        </w:trPr>
        <w:tc>
          <w:tcPr>
            <w:cnfStyle w:val="001000000000"/>
            <w:tcW w:w="2265" w:type="dxa"/>
            <w:hideMark/>
          </w:tcPr>
          <w:p w:rsidR="007E28F2" w:rsidRPr="009F1AE0" w:rsidRDefault="00A816E5" w:rsidP="00872FD2">
            <w:pPr>
              <w:spacing w:after="0" w:line="360" w:lineRule="auto"/>
              <w:rPr>
                <w:rFonts w:asciiTheme="minorHAnsi" w:eastAsia="Times New Roman" w:hAnsiTheme="minorHAnsi" w:cs="Arial"/>
                <w:b w:val="0"/>
                <w:bCs w:val="0"/>
                <w:color w:val="000000"/>
                <w:sz w:val="24"/>
                <w:szCs w:val="24"/>
              </w:rPr>
            </w:pPr>
            <w:r w:rsidRPr="009F1AE0">
              <w:rPr>
                <w:rFonts w:asciiTheme="minorHAnsi" w:eastAsia="Times New Roman" w:hAnsiTheme="minorHAnsi" w:cs="Arial"/>
                <w:b w:val="0"/>
                <w:color w:val="000000"/>
                <w:sz w:val="24"/>
                <w:szCs w:val="24"/>
              </w:rPr>
              <w:t>Συνολικό σκορ</w:t>
            </w:r>
          </w:p>
        </w:tc>
        <w:tc>
          <w:tcPr>
            <w:tcW w:w="1948" w:type="dxa"/>
            <w:noWrap/>
            <w:hideMark/>
          </w:tcPr>
          <w:p w:rsidR="007E28F2" w:rsidRPr="009F1AE0" w:rsidRDefault="007E28F2" w:rsidP="00872FD2">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6,30</w:t>
            </w:r>
          </w:p>
        </w:tc>
        <w:tc>
          <w:tcPr>
            <w:tcW w:w="1382" w:type="dxa"/>
            <w:noWrap/>
            <w:hideMark/>
          </w:tcPr>
          <w:p w:rsidR="007E28F2" w:rsidRPr="009F1AE0" w:rsidRDefault="007E28F2" w:rsidP="00872FD2">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26,00</w:t>
            </w:r>
          </w:p>
        </w:tc>
        <w:tc>
          <w:tcPr>
            <w:tcW w:w="2544" w:type="dxa"/>
            <w:noWrap/>
            <w:hideMark/>
          </w:tcPr>
          <w:p w:rsidR="007E28F2" w:rsidRPr="009F1AE0" w:rsidRDefault="007E28F2" w:rsidP="00872FD2">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17,06 (3,49)</w:t>
            </w:r>
          </w:p>
        </w:tc>
      </w:tr>
    </w:tbl>
    <w:p w:rsidR="007E28F2" w:rsidRPr="005A464E" w:rsidRDefault="007E28F2" w:rsidP="005A464E">
      <w:pPr>
        <w:pStyle w:val="nouk"/>
      </w:pPr>
    </w:p>
    <w:p w:rsidR="0051054C" w:rsidRPr="005A464E" w:rsidRDefault="007E28F2" w:rsidP="005A464E">
      <w:pPr>
        <w:pStyle w:val="nouk"/>
      </w:pPr>
      <w:r w:rsidRPr="005A464E">
        <w:t>Η μέση βαθμολογία στη διάσταση «</w:t>
      </w:r>
      <w:r w:rsidR="0076474F" w:rsidRPr="005A464E">
        <w:t>Συμπτώματα</w:t>
      </w:r>
      <w:r w:rsidRPr="005A464E">
        <w:t>» ήταν 5 μονάδες (</w:t>
      </w:r>
      <w:r w:rsidR="00D225F5" w:rsidRPr="005A464E">
        <w:t>ΤΑ</w:t>
      </w:r>
      <w:r w:rsidRPr="005A464E">
        <w:t>=9,62 μονάδες), στη διάσταση «</w:t>
      </w:r>
      <w:r w:rsidR="003A7874" w:rsidRPr="005A464E">
        <w:t>Λειτουργικότητα</w:t>
      </w:r>
      <w:r w:rsidRPr="005A464E">
        <w:t>» ήταν 4,64 μονάδες (</w:t>
      </w:r>
      <w:r w:rsidR="00D225F5" w:rsidRPr="005A464E">
        <w:t>ΤΑ</w:t>
      </w:r>
      <w:r w:rsidRPr="005A464E">
        <w:t>=8,66 μονάδες) και στη διάσταση</w:t>
      </w:r>
      <w:r w:rsidR="00A816E5" w:rsidRPr="005A464E">
        <w:t xml:space="preserve"> «Διαπροσωπικές σχέσεις</w:t>
      </w:r>
      <w:r w:rsidRPr="005A464E">
        <w:t>» ήταν 11,97 μονάδες (</w:t>
      </w:r>
      <w:r w:rsidR="00D225F5" w:rsidRPr="005A464E">
        <w:t>ΤΑ</w:t>
      </w:r>
      <w:r w:rsidRPr="005A464E">
        <w:t>=11,14 μονάδες). Επίσης, η μέση βαθμολογία στη διάσταση «</w:t>
      </w:r>
      <w:r w:rsidR="003A7874" w:rsidRPr="005A464E">
        <w:t>Ευεξία</w:t>
      </w:r>
      <w:r w:rsidRPr="005A464E">
        <w:t>» ήταν 6,82 μονάδες (</w:t>
      </w:r>
      <w:r w:rsidR="00D225F5" w:rsidRPr="005A464E">
        <w:t>ΤΑ</w:t>
      </w:r>
      <w:r w:rsidRPr="005A464E">
        <w:t>=12,41 μονά</w:t>
      </w:r>
      <w:r w:rsidR="00F00349" w:rsidRPr="005A464E">
        <w:t>δες), στη διάσταση «Πνευματικότητα</w:t>
      </w:r>
      <w:r w:rsidRPr="005A464E">
        <w:t>» ήταν 6,22 μονάδες (</w:t>
      </w:r>
      <w:r w:rsidR="00D225F5" w:rsidRPr="005A464E">
        <w:t>ΤΑ</w:t>
      </w:r>
      <w:r w:rsidRPr="005A464E">
        <w:t xml:space="preserve">=12,46 μονάδες) </w:t>
      </w:r>
      <w:r w:rsidR="00A27068">
        <w:t>συν</w:t>
      </w:r>
      <w:r w:rsidRPr="005A464E">
        <w:t>ολικά ήταν 17,06 μονάδες (</w:t>
      </w:r>
      <w:r w:rsidR="00D225F5" w:rsidRPr="005A464E">
        <w:t>ΤΑ</w:t>
      </w:r>
      <w:r w:rsidRPr="005A464E">
        <w:t>=3,49 μονάδες).</w:t>
      </w:r>
    </w:p>
    <w:p w:rsidR="007E28F2" w:rsidRPr="005A464E" w:rsidRDefault="007E28F2" w:rsidP="005A464E">
      <w:pPr>
        <w:pStyle w:val="nouk"/>
      </w:pPr>
      <w:r w:rsidRPr="005A464E">
        <w:t>Στη συνέχεια έγινε πολυπαραγοντική γραμμική παλινδρόμηση έχοντας σαν εξαρτημένη μεταβλητή τη βαθμολογία στη διάσταση «</w:t>
      </w:r>
      <w:r w:rsidR="0076474F" w:rsidRPr="005A464E">
        <w:t>Συμπτώματα</w:t>
      </w:r>
      <w:r w:rsidRPr="005A464E">
        <w:t>» και σαν ανεξάρτητες τα δημογραφικά και κλινικά στοιχεία των συμμετεχόντων καθώς και τη συμμόρφωση - γνώση. Με τη μέθοδο διαδοχικής ένταξης/αφαίρεσης (</w:t>
      </w:r>
      <w:r w:rsidRPr="005A464E">
        <w:rPr>
          <w:lang w:val="en-US"/>
        </w:rPr>
        <w:t>stepwise</w:t>
      </w:r>
      <w:r w:rsidRPr="005A464E">
        <w:t xml:space="preserve"> </w:t>
      </w:r>
      <w:r w:rsidRPr="005A464E">
        <w:rPr>
          <w:lang w:val="en-US"/>
        </w:rPr>
        <w:t>method</w:t>
      </w:r>
      <w:r w:rsidRPr="005A464E">
        <w:t xml:space="preserve">) βρέθηκαν τα </w:t>
      </w:r>
      <w:r w:rsidR="00496628">
        <w:t>αποτελέσματα του παρακάτω πίνακ</w:t>
      </w:r>
      <w:r w:rsidR="00496628" w:rsidRPr="00496628">
        <w:t xml:space="preserve"> (</w:t>
      </w:r>
      <w:r w:rsidR="00F6061C">
        <w:t>Πίν 43</w:t>
      </w:r>
      <w:r w:rsidR="00496628">
        <w:t>)</w:t>
      </w:r>
      <w:r w:rsidRPr="005A464E">
        <w:t xml:space="preserve">. </w:t>
      </w:r>
    </w:p>
    <w:p w:rsidR="00510761" w:rsidRDefault="00510761" w:rsidP="00510761">
      <w:pPr>
        <w:spacing w:after="0" w:line="360" w:lineRule="auto"/>
        <w:jc w:val="both"/>
        <w:rPr>
          <w:rFonts w:asciiTheme="minorHAnsi" w:eastAsia="Times New Roman" w:hAnsiTheme="minorHAnsi" w:cs="Arial"/>
          <w:bCs/>
          <w:color w:val="000000"/>
        </w:rPr>
      </w:pPr>
    </w:p>
    <w:p w:rsidR="00510761" w:rsidRPr="009F1AE0" w:rsidRDefault="00F6061C" w:rsidP="00510761">
      <w:pPr>
        <w:spacing w:after="0" w:line="360" w:lineRule="auto"/>
        <w:jc w:val="both"/>
        <w:rPr>
          <w:rFonts w:asciiTheme="minorHAnsi" w:eastAsia="Times New Roman" w:hAnsiTheme="minorHAnsi" w:cs="Arial"/>
          <w:bCs/>
          <w:color w:val="000000"/>
          <w:sz w:val="24"/>
          <w:szCs w:val="24"/>
        </w:rPr>
      </w:pPr>
      <w:r w:rsidRPr="009F1AE0">
        <w:rPr>
          <w:rFonts w:asciiTheme="minorHAnsi" w:eastAsia="Times New Roman" w:hAnsiTheme="minorHAnsi" w:cs="Arial"/>
          <w:bCs/>
          <w:color w:val="000000"/>
          <w:sz w:val="24"/>
          <w:szCs w:val="24"/>
        </w:rPr>
        <w:t>Πίνακας 43</w:t>
      </w:r>
    </w:p>
    <w:p w:rsidR="007E28F2" w:rsidRPr="005A464E" w:rsidRDefault="00510761" w:rsidP="00510761">
      <w:pPr>
        <w:pStyle w:val="nouk"/>
      </w:pPr>
      <w:r w:rsidRPr="00872FD2">
        <w:rPr>
          <w:rFonts w:asciiTheme="minorHAnsi" w:eastAsia="Times New Roman" w:hAnsiTheme="minorHAnsi" w:cs="Arial"/>
          <w:b/>
          <w:bCs/>
          <w:color w:val="000000"/>
        </w:rPr>
        <w:t xml:space="preserve"> </w:t>
      </w:r>
      <w:r w:rsidRPr="00846E7B">
        <w:rPr>
          <w:rFonts w:asciiTheme="minorHAnsi" w:eastAsiaTheme="minorHAnsi" w:hAnsiTheme="minorHAnsi" w:cstheme="minorBidi"/>
          <w:i/>
        </w:rPr>
        <w:t xml:space="preserve">Πολυπαραγοντική γραμμική </w:t>
      </w:r>
      <w:r w:rsidRPr="005A6389">
        <w:rPr>
          <w:rFonts w:asciiTheme="minorHAnsi" w:eastAsiaTheme="minorHAnsi" w:hAnsiTheme="minorHAnsi" w:cstheme="minorBidi"/>
          <w:i/>
        </w:rPr>
        <w:t>παλινδρόμηση</w:t>
      </w:r>
      <w:r w:rsidRPr="005A6389">
        <w:rPr>
          <w:i/>
        </w:rPr>
        <w:t xml:space="preserve"> της διάσταση</w:t>
      </w:r>
      <w:r>
        <w:rPr>
          <w:i/>
        </w:rPr>
        <w:t>ς</w:t>
      </w:r>
      <w:r w:rsidRPr="005A6389">
        <w:rPr>
          <w:i/>
        </w:rPr>
        <w:t xml:space="preserve"> «Συμπτώματα» με τα δημογραφικά και κλινικά στοιχεία των συμμετεχόντων καθώς και τη συμμόρφωση - γνώση</w:t>
      </w:r>
    </w:p>
    <w:tbl>
      <w:tblPr>
        <w:tblStyle w:val="-41"/>
        <w:tblW w:w="8201" w:type="dxa"/>
        <w:tblLook w:val="04A0"/>
      </w:tblPr>
      <w:tblGrid>
        <w:gridCol w:w="2989"/>
        <w:gridCol w:w="2083"/>
        <w:gridCol w:w="960"/>
        <w:gridCol w:w="960"/>
        <w:gridCol w:w="1209"/>
      </w:tblGrid>
      <w:tr w:rsidR="007E28F2" w:rsidRPr="00872FD2" w:rsidTr="00510761">
        <w:trPr>
          <w:cnfStyle w:val="100000000000"/>
          <w:trHeight w:val="345"/>
        </w:trPr>
        <w:tc>
          <w:tcPr>
            <w:cnfStyle w:val="001000000000"/>
            <w:tcW w:w="2989" w:type="dxa"/>
            <w:hideMark/>
          </w:tcPr>
          <w:p w:rsidR="007E28F2" w:rsidRPr="00872FD2" w:rsidRDefault="007E28F2" w:rsidP="005A464E">
            <w:pPr>
              <w:spacing w:after="0" w:line="360" w:lineRule="auto"/>
              <w:rPr>
                <w:rFonts w:asciiTheme="minorHAnsi" w:eastAsia="Times New Roman" w:hAnsiTheme="minorHAnsi" w:cs="Arial"/>
                <w:b w:val="0"/>
                <w:bCs w:val="0"/>
                <w:color w:val="000000"/>
              </w:rPr>
            </w:pPr>
            <w:r w:rsidRPr="00872FD2">
              <w:rPr>
                <w:rFonts w:asciiTheme="minorHAnsi" w:eastAsia="Times New Roman" w:hAnsiTheme="minorHAnsi" w:cs="Arial"/>
                <w:b w:val="0"/>
                <w:bCs w:val="0"/>
                <w:color w:val="000000"/>
              </w:rPr>
              <w:t> </w:t>
            </w:r>
          </w:p>
        </w:tc>
        <w:tc>
          <w:tcPr>
            <w:tcW w:w="2083" w:type="dxa"/>
            <w:hideMark/>
          </w:tcPr>
          <w:p w:rsidR="007E28F2" w:rsidRPr="00872FD2" w:rsidRDefault="007E28F2" w:rsidP="005A464E">
            <w:pPr>
              <w:spacing w:after="0" w:line="360" w:lineRule="auto"/>
              <w:cnfStyle w:val="100000000000"/>
              <w:rPr>
                <w:rFonts w:asciiTheme="minorHAnsi" w:eastAsia="Times New Roman" w:hAnsiTheme="minorHAnsi" w:cs="Arial"/>
                <w:color w:val="000000"/>
              </w:rPr>
            </w:pPr>
            <w:r w:rsidRPr="00872FD2">
              <w:rPr>
                <w:rFonts w:asciiTheme="minorHAnsi" w:eastAsia="Times New Roman" w:hAnsiTheme="minorHAnsi" w:cs="Arial"/>
                <w:color w:val="000000"/>
              </w:rPr>
              <w:t> </w:t>
            </w:r>
          </w:p>
        </w:tc>
        <w:tc>
          <w:tcPr>
            <w:tcW w:w="960" w:type="dxa"/>
            <w:noWrap/>
            <w:hideMark/>
          </w:tcPr>
          <w:p w:rsidR="007E28F2" w:rsidRPr="00872FD2" w:rsidRDefault="007E28F2" w:rsidP="005A464E">
            <w:pPr>
              <w:spacing w:after="0" w:line="360" w:lineRule="auto"/>
              <w:jc w:val="center"/>
              <w:cnfStyle w:val="100000000000"/>
              <w:rPr>
                <w:rFonts w:asciiTheme="minorHAnsi" w:eastAsia="Times New Roman" w:hAnsiTheme="minorHAnsi" w:cs="Arial"/>
                <w:b w:val="0"/>
                <w:bCs w:val="0"/>
                <w:color w:val="000000"/>
              </w:rPr>
            </w:pPr>
            <w:r w:rsidRPr="00872FD2">
              <w:rPr>
                <w:rFonts w:asciiTheme="minorHAnsi" w:eastAsia="Times New Roman" w:hAnsiTheme="minorHAnsi" w:cs="Arial"/>
                <w:b w:val="0"/>
                <w:bCs w:val="0"/>
                <w:color w:val="000000"/>
              </w:rPr>
              <w:t>β</w:t>
            </w:r>
            <w:r w:rsidRPr="00872FD2">
              <w:rPr>
                <w:rFonts w:asciiTheme="minorHAnsi" w:eastAsia="Times New Roman" w:hAnsiTheme="minorHAnsi" w:cs="Arial"/>
                <w:b w:val="0"/>
                <w:bCs w:val="0"/>
                <w:color w:val="000000"/>
                <w:vertAlign w:val="superscript"/>
              </w:rPr>
              <w:t>+</w:t>
            </w:r>
          </w:p>
        </w:tc>
        <w:tc>
          <w:tcPr>
            <w:tcW w:w="960" w:type="dxa"/>
            <w:noWrap/>
            <w:hideMark/>
          </w:tcPr>
          <w:p w:rsidR="007E28F2" w:rsidRPr="00872FD2" w:rsidRDefault="007E28F2" w:rsidP="005A464E">
            <w:pPr>
              <w:spacing w:after="0" w:line="360" w:lineRule="auto"/>
              <w:jc w:val="center"/>
              <w:cnfStyle w:val="100000000000"/>
              <w:rPr>
                <w:rFonts w:asciiTheme="minorHAnsi" w:eastAsia="Times New Roman" w:hAnsiTheme="minorHAnsi" w:cs="Arial"/>
                <w:b w:val="0"/>
                <w:bCs w:val="0"/>
                <w:color w:val="000000"/>
              </w:rPr>
            </w:pPr>
            <w:r w:rsidRPr="00872FD2">
              <w:rPr>
                <w:rFonts w:asciiTheme="minorHAnsi" w:eastAsia="Times New Roman" w:hAnsiTheme="minorHAnsi" w:cs="Arial"/>
                <w:b w:val="0"/>
                <w:bCs w:val="0"/>
                <w:color w:val="000000"/>
              </w:rPr>
              <w:t>SE</w:t>
            </w:r>
            <w:r w:rsidRPr="00872FD2">
              <w:rPr>
                <w:rFonts w:asciiTheme="minorHAnsi" w:eastAsia="Times New Roman" w:hAnsiTheme="minorHAnsi" w:cs="Arial"/>
                <w:b w:val="0"/>
                <w:bCs w:val="0"/>
                <w:color w:val="000000"/>
                <w:vertAlign w:val="superscript"/>
              </w:rPr>
              <w:t>++</w:t>
            </w:r>
          </w:p>
        </w:tc>
        <w:tc>
          <w:tcPr>
            <w:tcW w:w="1209" w:type="dxa"/>
            <w:noWrap/>
            <w:hideMark/>
          </w:tcPr>
          <w:p w:rsidR="007E28F2" w:rsidRPr="00872FD2" w:rsidRDefault="007E28F2" w:rsidP="005A464E">
            <w:pPr>
              <w:spacing w:after="0" w:line="360" w:lineRule="auto"/>
              <w:jc w:val="center"/>
              <w:cnfStyle w:val="100000000000"/>
              <w:rPr>
                <w:rFonts w:asciiTheme="minorHAnsi" w:eastAsia="Times New Roman" w:hAnsiTheme="minorHAnsi" w:cs="Arial"/>
                <w:b w:val="0"/>
                <w:bCs w:val="0"/>
                <w:color w:val="000000"/>
              </w:rPr>
            </w:pPr>
            <w:r w:rsidRPr="00872FD2">
              <w:rPr>
                <w:rFonts w:asciiTheme="minorHAnsi" w:eastAsia="Times New Roman" w:hAnsiTheme="minorHAnsi" w:cs="Arial"/>
                <w:b w:val="0"/>
                <w:bCs w:val="0"/>
                <w:color w:val="000000"/>
              </w:rPr>
              <w:t>P</w:t>
            </w:r>
          </w:p>
        </w:tc>
      </w:tr>
      <w:tr w:rsidR="007E28F2" w:rsidRPr="00872FD2" w:rsidTr="00510761">
        <w:trPr>
          <w:cnfStyle w:val="000000100000"/>
          <w:trHeight w:val="345"/>
        </w:trPr>
        <w:tc>
          <w:tcPr>
            <w:cnfStyle w:val="001000000000"/>
            <w:tcW w:w="2989" w:type="dxa"/>
            <w:hideMark/>
          </w:tcPr>
          <w:p w:rsidR="007E28F2" w:rsidRPr="00E771E9" w:rsidRDefault="007E28F2" w:rsidP="005A464E">
            <w:pPr>
              <w:spacing w:after="0" w:line="360" w:lineRule="auto"/>
              <w:rPr>
                <w:rFonts w:asciiTheme="minorHAnsi" w:eastAsia="Times New Roman" w:hAnsiTheme="minorHAnsi" w:cs="Arial"/>
                <w:bCs w:val="0"/>
                <w:color w:val="000000"/>
              </w:rPr>
            </w:pPr>
            <w:r w:rsidRPr="00E771E9">
              <w:rPr>
                <w:rFonts w:asciiTheme="minorHAnsi" w:eastAsiaTheme="minorHAnsi" w:hAnsiTheme="minorHAnsi" w:cs="Arial"/>
                <w:bCs w:val="0"/>
                <w:color w:val="000000"/>
              </w:rPr>
              <w:t>Κλίμακα συμμόρφωσης (</w:t>
            </w:r>
            <w:r w:rsidR="00F60413" w:rsidRPr="00E771E9">
              <w:rPr>
                <w:rFonts w:asciiTheme="minorHAnsi" w:eastAsiaTheme="minorHAnsi" w:hAnsiTheme="minorHAnsi" w:cs="Arial"/>
                <w:bCs w:val="0"/>
                <w:color w:val="000000"/>
                <w:lang w:val="en-US"/>
              </w:rPr>
              <w:t>GR</w:t>
            </w:r>
            <w:r w:rsidR="00F60413" w:rsidRPr="00E771E9">
              <w:rPr>
                <w:rFonts w:asciiTheme="minorHAnsi" w:eastAsiaTheme="minorHAnsi" w:hAnsiTheme="minorHAnsi" w:cs="Arial"/>
                <w:bCs w:val="0"/>
                <w:color w:val="000000"/>
              </w:rPr>
              <w:t>-</w:t>
            </w:r>
            <w:r w:rsidRPr="00E771E9">
              <w:rPr>
                <w:rFonts w:asciiTheme="minorHAnsi" w:eastAsiaTheme="minorHAnsi" w:hAnsiTheme="minorHAnsi" w:cs="Arial"/>
                <w:bCs w:val="0"/>
                <w:color w:val="000000"/>
              </w:rPr>
              <w:t>SMAQ</w:t>
            </w:r>
            <w:r w:rsidR="00F60413" w:rsidRPr="00E771E9">
              <w:rPr>
                <w:rFonts w:asciiTheme="minorHAnsi" w:eastAsiaTheme="minorHAnsi" w:hAnsiTheme="minorHAnsi" w:cs="Arial"/>
                <w:bCs w:val="0"/>
                <w:color w:val="000000"/>
              </w:rPr>
              <w:t>-</w:t>
            </w:r>
            <w:r w:rsidR="00F60413" w:rsidRPr="00E771E9">
              <w:rPr>
                <w:rFonts w:asciiTheme="minorHAnsi" w:eastAsiaTheme="minorHAnsi" w:hAnsiTheme="minorHAnsi" w:cs="Arial"/>
                <w:bCs w:val="0"/>
                <w:color w:val="000000"/>
                <w:lang w:val="en-US"/>
              </w:rPr>
              <w:t>HD</w:t>
            </w:r>
            <w:r w:rsidRPr="00E771E9">
              <w:rPr>
                <w:rFonts w:asciiTheme="minorHAnsi" w:eastAsiaTheme="minorHAnsi" w:hAnsiTheme="minorHAnsi" w:cs="Arial"/>
                <w:bCs w:val="0"/>
                <w:color w:val="000000"/>
              </w:rPr>
              <w:t>)</w:t>
            </w:r>
          </w:p>
        </w:tc>
        <w:tc>
          <w:tcPr>
            <w:tcW w:w="2083" w:type="dxa"/>
            <w:noWrap/>
            <w:hideMark/>
          </w:tcPr>
          <w:p w:rsidR="007E28F2" w:rsidRPr="00872FD2" w:rsidRDefault="007E28F2" w:rsidP="005A464E">
            <w:pPr>
              <w:spacing w:after="0" w:line="360" w:lineRule="auto"/>
              <w:cnfStyle w:val="000000100000"/>
              <w:rPr>
                <w:rFonts w:asciiTheme="minorHAnsi" w:eastAsia="Times New Roman" w:hAnsiTheme="minorHAnsi" w:cs="Arial"/>
                <w:color w:val="000000"/>
              </w:rPr>
            </w:pPr>
          </w:p>
        </w:tc>
        <w:tc>
          <w:tcPr>
            <w:tcW w:w="960"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0,94</w:t>
            </w:r>
          </w:p>
        </w:tc>
        <w:tc>
          <w:tcPr>
            <w:tcW w:w="960"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0,32</w:t>
            </w:r>
          </w:p>
        </w:tc>
        <w:tc>
          <w:tcPr>
            <w:tcW w:w="1209"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b/>
                <w:color w:val="000000"/>
              </w:rPr>
            </w:pPr>
            <w:r w:rsidRPr="00872FD2">
              <w:rPr>
                <w:rFonts w:asciiTheme="minorHAnsi" w:eastAsia="Times New Roman" w:hAnsiTheme="minorHAnsi" w:cs="Arial"/>
                <w:b/>
                <w:color w:val="000000"/>
              </w:rPr>
              <w:t>0,004</w:t>
            </w:r>
          </w:p>
        </w:tc>
      </w:tr>
      <w:tr w:rsidR="007E28F2" w:rsidRPr="00872FD2" w:rsidTr="00510761">
        <w:trPr>
          <w:cnfStyle w:val="000000010000"/>
          <w:trHeight w:val="345"/>
        </w:trPr>
        <w:tc>
          <w:tcPr>
            <w:cnfStyle w:val="001000000000"/>
            <w:tcW w:w="2989" w:type="dxa"/>
            <w:hideMark/>
          </w:tcPr>
          <w:p w:rsidR="007E28F2" w:rsidRPr="00E771E9" w:rsidRDefault="007E28F2" w:rsidP="005A464E">
            <w:pPr>
              <w:spacing w:after="0" w:line="360" w:lineRule="auto"/>
              <w:rPr>
                <w:rFonts w:asciiTheme="minorHAnsi" w:eastAsia="Times New Roman" w:hAnsiTheme="minorHAnsi" w:cs="Arial"/>
                <w:bCs w:val="0"/>
                <w:color w:val="000000"/>
              </w:rPr>
            </w:pPr>
            <w:r w:rsidRPr="00E771E9">
              <w:rPr>
                <w:rFonts w:asciiTheme="minorHAnsi" w:eastAsia="Times New Roman" w:hAnsiTheme="minorHAnsi" w:cs="Arial"/>
                <w:bCs w:val="0"/>
                <w:color w:val="000000"/>
              </w:rPr>
              <w:t>Ηλικία</w:t>
            </w:r>
          </w:p>
        </w:tc>
        <w:tc>
          <w:tcPr>
            <w:tcW w:w="2083" w:type="dxa"/>
            <w:noWrap/>
            <w:hideMark/>
          </w:tcPr>
          <w:p w:rsidR="007E28F2" w:rsidRPr="00872FD2" w:rsidRDefault="007E28F2" w:rsidP="005A464E">
            <w:pPr>
              <w:spacing w:after="0" w:line="360" w:lineRule="auto"/>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 </w:t>
            </w:r>
          </w:p>
        </w:tc>
        <w:tc>
          <w:tcPr>
            <w:tcW w:w="960" w:type="dxa"/>
            <w:noWrap/>
            <w:hideMark/>
          </w:tcPr>
          <w:p w:rsidR="007E28F2" w:rsidRPr="00872FD2" w:rsidRDefault="007E28F2" w:rsidP="005A464E">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-0,18</w:t>
            </w:r>
          </w:p>
        </w:tc>
        <w:tc>
          <w:tcPr>
            <w:tcW w:w="960" w:type="dxa"/>
            <w:noWrap/>
            <w:hideMark/>
          </w:tcPr>
          <w:p w:rsidR="007E28F2" w:rsidRPr="00872FD2" w:rsidRDefault="007E28F2" w:rsidP="005A464E">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0,05</w:t>
            </w:r>
          </w:p>
        </w:tc>
        <w:tc>
          <w:tcPr>
            <w:tcW w:w="1209" w:type="dxa"/>
            <w:noWrap/>
            <w:hideMark/>
          </w:tcPr>
          <w:p w:rsidR="007E28F2" w:rsidRPr="00872FD2" w:rsidRDefault="007E28F2" w:rsidP="005A464E">
            <w:pPr>
              <w:spacing w:after="0" w:line="360" w:lineRule="auto"/>
              <w:jc w:val="center"/>
              <w:cnfStyle w:val="000000010000"/>
              <w:rPr>
                <w:rFonts w:asciiTheme="minorHAnsi" w:eastAsia="Times New Roman" w:hAnsiTheme="minorHAnsi" w:cs="Arial"/>
                <w:b/>
                <w:color w:val="000000"/>
              </w:rPr>
            </w:pPr>
            <w:r w:rsidRPr="00872FD2">
              <w:rPr>
                <w:rFonts w:asciiTheme="minorHAnsi" w:eastAsia="Times New Roman" w:hAnsiTheme="minorHAnsi" w:cs="Arial"/>
                <w:b/>
                <w:color w:val="000000"/>
              </w:rPr>
              <w:t>&lt;0,001</w:t>
            </w:r>
          </w:p>
        </w:tc>
      </w:tr>
      <w:tr w:rsidR="007E28F2" w:rsidRPr="00872FD2" w:rsidTr="00510761">
        <w:trPr>
          <w:cnfStyle w:val="000000100000"/>
          <w:trHeight w:val="345"/>
        </w:trPr>
        <w:tc>
          <w:tcPr>
            <w:cnfStyle w:val="001000000000"/>
            <w:tcW w:w="2989" w:type="dxa"/>
            <w:vMerge w:val="restart"/>
            <w:hideMark/>
          </w:tcPr>
          <w:p w:rsidR="007E28F2" w:rsidRPr="00E771E9" w:rsidRDefault="007E28F2" w:rsidP="005A464E">
            <w:pPr>
              <w:spacing w:after="0" w:line="360" w:lineRule="auto"/>
              <w:rPr>
                <w:rFonts w:asciiTheme="minorHAnsi" w:eastAsia="Times New Roman" w:hAnsiTheme="minorHAnsi" w:cs="Arial"/>
                <w:bCs w:val="0"/>
                <w:color w:val="000000"/>
              </w:rPr>
            </w:pPr>
            <w:r w:rsidRPr="00E771E9">
              <w:rPr>
                <w:rFonts w:asciiTheme="minorHAnsi" w:eastAsia="Times New Roman" w:hAnsiTheme="minorHAnsi" w:cs="Arial"/>
                <w:bCs w:val="0"/>
                <w:color w:val="000000"/>
              </w:rPr>
              <w:t>Κάνετε αιμοκάθαρση από φίστουλα, μόσχευμα, καθετήρα;</w:t>
            </w:r>
          </w:p>
        </w:tc>
        <w:tc>
          <w:tcPr>
            <w:tcW w:w="2083" w:type="dxa"/>
            <w:hideMark/>
          </w:tcPr>
          <w:p w:rsidR="007E28F2" w:rsidRPr="00872FD2" w:rsidRDefault="002B5862" w:rsidP="005A464E">
            <w:pPr>
              <w:spacing w:after="0" w:line="360" w:lineRule="auto"/>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Φίστουλα (Αναφορά)</w:t>
            </w:r>
          </w:p>
        </w:tc>
        <w:tc>
          <w:tcPr>
            <w:tcW w:w="960"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color w:val="000000"/>
              </w:rPr>
            </w:pPr>
          </w:p>
        </w:tc>
        <w:tc>
          <w:tcPr>
            <w:tcW w:w="960"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color w:val="000000"/>
              </w:rPr>
            </w:pPr>
          </w:p>
        </w:tc>
        <w:tc>
          <w:tcPr>
            <w:tcW w:w="1209"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b/>
                <w:color w:val="000000"/>
              </w:rPr>
            </w:pPr>
          </w:p>
        </w:tc>
      </w:tr>
      <w:tr w:rsidR="007E28F2" w:rsidRPr="00872FD2" w:rsidTr="00510761">
        <w:trPr>
          <w:cnfStyle w:val="000000010000"/>
          <w:trHeight w:val="345"/>
        </w:trPr>
        <w:tc>
          <w:tcPr>
            <w:cnfStyle w:val="001000000000"/>
            <w:tcW w:w="2989" w:type="dxa"/>
            <w:vMerge/>
            <w:hideMark/>
          </w:tcPr>
          <w:p w:rsidR="007E28F2" w:rsidRPr="00872FD2" w:rsidRDefault="007E28F2" w:rsidP="005A464E">
            <w:pPr>
              <w:spacing w:after="0" w:line="360" w:lineRule="auto"/>
              <w:rPr>
                <w:rFonts w:asciiTheme="minorHAnsi" w:eastAsia="Times New Roman" w:hAnsiTheme="minorHAnsi" w:cs="Arial"/>
                <w:b w:val="0"/>
                <w:bCs w:val="0"/>
                <w:color w:val="000000"/>
              </w:rPr>
            </w:pPr>
          </w:p>
        </w:tc>
        <w:tc>
          <w:tcPr>
            <w:tcW w:w="2083" w:type="dxa"/>
            <w:hideMark/>
          </w:tcPr>
          <w:p w:rsidR="007E28F2" w:rsidRPr="00872FD2" w:rsidRDefault="002B5862" w:rsidP="005A464E">
            <w:pPr>
              <w:spacing w:after="0" w:line="360" w:lineRule="auto"/>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Μόσχευμα</w:t>
            </w:r>
          </w:p>
        </w:tc>
        <w:tc>
          <w:tcPr>
            <w:tcW w:w="960" w:type="dxa"/>
            <w:noWrap/>
            <w:hideMark/>
          </w:tcPr>
          <w:p w:rsidR="007E28F2" w:rsidRPr="00872FD2" w:rsidRDefault="007E28F2" w:rsidP="005A464E">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3,67</w:t>
            </w:r>
          </w:p>
        </w:tc>
        <w:tc>
          <w:tcPr>
            <w:tcW w:w="960" w:type="dxa"/>
            <w:noWrap/>
            <w:hideMark/>
          </w:tcPr>
          <w:p w:rsidR="007E28F2" w:rsidRPr="00872FD2" w:rsidRDefault="007E28F2" w:rsidP="005A464E">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1,61</w:t>
            </w:r>
          </w:p>
        </w:tc>
        <w:tc>
          <w:tcPr>
            <w:tcW w:w="1209" w:type="dxa"/>
            <w:noWrap/>
            <w:hideMark/>
          </w:tcPr>
          <w:p w:rsidR="007E28F2" w:rsidRPr="00872FD2" w:rsidRDefault="007E28F2" w:rsidP="005A464E">
            <w:pPr>
              <w:spacing w:after="0" w:line="360" w:lineRule="auto"/>
              <w:jc w:val="center"/>
              <w:cnfStyle w:val="000000010000"/>
              <w:rPr>
                <w:rFonts w:asciiTheme="minorHAnsi" w:eastAsia="Times New Roman" w:hAnsiTheme="minorHAnsi" w:cs="Arial"/>
                <w:b/>
                <w:color w:val="000000"/>
              </w:rPr>
            </w:pPr>
            <w:r w:rsidRPr="00872FD2">
              <w:rPr>
                <w:rFonts w:asciiTheme="minorHAnsi" w:eastAsia="Times New Roman" w:hAnsiTheme="minorHAnsi" w:cs="Arial"/>
                <w:b/>
                <w:color w:val="000000"/>
              </w:rPr>
              <w:t>0,023</w:t>
            </w:r>
          </w:p>
        </w:tc>
      </w:tr>
      <w:tr w:rsidR="007E28F2" w:rsidRPr="00872FD2" w:rsidTr="00510761">
        <w:trPr>
          <w:cnfStyle w:val="000000100000"/>
          <w:trHeight w:val="345"/>
        </w:trPr>
        <w:tc>
          <w:tcPr>
            <w:cnfStyle w:val="001000000000"/>
            <w:tcW w:w="2989" w:type="dxa"/>
            <w:vMerge/>
            <w:hideMark/>
          </w:tcPr>
          <w:p w:rsidR="007E28F2" w:rsidRPr="00872FD2" w:rsidRDefault="007E28F2" w:rsidP="005A464E">
            <w:pPr>
              <w:spacing w:after="0" w:line="360" w:lineRule="auto"/>
              <w:rPr>
                <w:rFonts w:asciiTheme="minorHAnsi" w:eastAsia="Times New Roman" w:hAnsiTheme="minorHAnsi" w:cs="Arial"/>
                <w:b w:val="0"/>
                <w:bCs w:val="0"/>
                <w:color w:val="000000"/>
              </w:rPr>
            </w:pPr>
          </w:p>
        </w:tc>
        <w:tc>
          <w:tcPr>
            <w:tcW w:w="2083" w:type="dxa"/>
            <w:hideMark/>
          </w:tcPr>
          <w:p w:rsidR="007E28F2" w:rsidRPr="00872FD2" w:rsidRDefault="002B5862" w:rsidP="005A464E">
            <w:pPr>
              <w:spacing w:after="0" w:line="360" w:lineRule="auto"/>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Καθετήρα</w:t>
            </w:r>
          </w:p>
        </w:tc>
        <w:tc>
          <w:tcPr>
            <w:tcW w:w="960"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-1,71</w:t>
            </w:r>
          </w:p>
        </w:tc>
        <w:tc>
          <w:tcPr>
            <w:tcW w:w="960"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1,33</w:t>
            </w:r>
          </w:p>
        </w:tc>
        <w:tc>
          <w:tcPr>
            <w:tcW w:w="1209"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0,197</w:t>
            </w:r>
          </w:p>
        </w:tc>
      </w:tr>
      <w:tr w:rsidR="005C6ABA" w:rsidRPr="00872FD2" w:rsidTr="00AD2B6A">
        <w:trPr>
          <w:cnfStyle w:val="000000010000"/>
          <w:trHeight w:val="345"/>
        </w:trPr>
        <w:tc>
          <w:tcPr>
            <w:cnfStyle w:val="001000000000"/>
            <w:tcW w:w="8201" w:type="dxa"/>
            <w:gridSpan w:val="5"/>
            <w:hideMark/>
          </w:tcPr>
          <w:p w:rsidR="005C6ABA" w:rsidRPr="005C6ABA" w:rsidRDefault="005C6ABA" w:rsidP="005C6ABA">
            <w:pPr>
              <w:pStyle w:val="nouk"/>
              <w:spacing w:line="276" w:lineRule="auto"/>
              <w:rPr>
                <w:b w:val="0"/>
                <w:i/>
                <w:sz w:val="20"/>
                <w:szCs w:val="20"/>
              </w:rPr>
            </w:pPr>
            <w:r w:rsidRPr="005C6ABA">
              <w:rPr>
                <w:b w:val="0"/>
                <w:sz w:val="20"/>
                <w:szCs w:val="20"/>
                <w:vertAlign w:val="superscript"/>
              </w:rPr>
              <w:t>+</w:t>
            </w:r>
            <w:r w:rsidRPr="005C6ABA">
              <w:rPr>
                <w:b w:val="0"/>
                <w:i/>
                <w:sz w:val="20"/>
                <w:szCs w:val="20"/>
              </w:rPr>
              <w:t xml:space="preserve">συντελεστής εξάρτησης </w:t>
            </w:r>
            <w:r w:rsidRPr="005C6ABA">
              <w:rPr>
                <w:b w:val="0"/>
                <w:i/>
                <w:sz w:val="20"/>
                <w:szCs w:val="20"/>
                <w:vertAlign w:val="superscript"/>
              </w:rPr>
              <w:t>++</w:t>
            </w:r>
            <w:r w:rsidRPr="005C6ABA">
              <w:rPr>
                <w:b w:val="0"/>
                <w:i/>
                <w:sz w:val="20"/>
                <w:szCs w:val="20"/>
              </w:rPr>
              <w:t>τυπικό σφάλμα συντελεστή εξάρτησης</w:t>
            </w:r>
          </w:p>
        </w:tc>
      </w:tr>
    </w:tbl>
    <w:p w:rsidR="007E28F2" w:rsidRPr="005A464E" w:rsidRDefault="007E28F2" w:rsidP="005A464E">
      <w:pPr>
        <w:pStyle w:val="nouk"/>
      </w:pPr>
    </w:p>
    <w:p w:rsidR="007E28F2" w:rsidRPr="00E771E9" w:rsidRDefault="007E28F2" w:rsidP="005A464E">
      <w:pPr>
        <w:pStyle w:val="nouk"/>
        <w:rPr>
          <w:highlight w:val="cyan"/>
        </w:rPr>
      </w:pPr>
      <w:r w:rsidRPr="005A464E">
        <w:t>Η ηλικία, η συμμόρφωση και η μέθοδος α</w:t>
      </w:r>
      <w:r w:rsidR="00F60413" w:rsidRPr="005A464E">
        <w:t>γγειακής προσπέλασης</w:t>
      </w:r>
      <w:r w:rsidRPr="005A464E">
        <w:t xml:space="preserve"> βρέθηκαν να σχετίζονται ανεξάρτητα με τη βαθμολογία στη διάσταση «</w:t>
      </w:r>
      <w:r w:rsidR="0076474F" w:rsidRPr="005A464E">
        <w:t>Συμπτώματα</w:t>
      </w:r>
      <w:r w:rsidRPr="005A464E">
        <w:t xml:space="preserve">». </w:t>
      </w:r>
    </w:p>
    <w:p w:rsidR="007E28F2" w:rsidRPr="005A464E" w:rsidRDefault="007E28F2" w:rsidP="005A464E">
      <w:pPr>
        <w:pStyle w:val="nouk"/>
      </w:pPr>
      <w:r w:rsidRPr="005A464E">
        <w:t>Στο γράφημα που ακολουθεί</w:t>
      </w:r>
      <w:r w:rsidR="0051054C">
        <w:t xml:space="preserve"> (Γρ </w:t>
      </w:r>
      <w:r w:rsidR="00A71379">
        <w:t>17)</w:t>
      </w:r>
      <w:r w:rsidRPr="005A464E">
        <w:t xml:space="preserve"> δίνεται η βαθμολογία των συμμετεχόντων στη διάσταση «</w:t>
      </w:r>
      <w:r w:rsidR="0076474F" w:rsidRPr="005A464E">
        <w:t>Συμπτώματα</w:t>
      </w:r>
      <w:r w:rsidR="00A71379">
        <w:t xml:space="preserve">» ανάλογα με </w:t>
      </w:r>
      <w:r w:rsidR="002D3BEF">
        <w:t>την μέθοδο</w:t>
      </w:r>
      <w:r w:rsidR="00A71379">
        <w:t xml:space="preserve"> αγγειακής προσπέλασης.</w:t>
      </w:r>
    </w:p>
    <w:p w:rsidR="007E28F2" w:rsidRPr="005A464E" w:rsidRDefault="007E28F2" w:rsidP="005A464E">
      <w:pPr>
        <w:pStyle w:val="nouk"/>
      </w:pPr>
    </w:p>
    <w:p w:rsidR="007E28F2" w:rsidRPr="005A464E" w:rsidRDefault="00464728" w:rsidP="00636022">
      <w:pPr>
        <w:pStyle w:val="nouk"/>
        <w:jc w:val="center"/>
      </w:pPr>
      <w:r>
        <w:rPr>
          <w:noProof/>
          <w:lang w:eastAsia="el-GR"/>
        </w:rPr>
        <w:drawing>
          <wp:inline distT="0" distB="0" distL="0" distR="0">
            <wp:extent cx="3686175" cy="2943225"/>
            <wp:effectExtent l="19050" t="0" r="9525" b="0"/>
            <wp:docPr id="17" name="Εικόνα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2" cstate="print"/>
                    <a:srcRect/>
                    <a:stretch>
                      <a:fillRect/>
                    </a:stretch>
                  </pic:blipFill>
                  <pic:spPr bwMode="auto">
                    <a:xfrm>
                      <a:off x="0" y="0"/>
                      <a:ext cx="3686175" cy="2943225"/>
                    </a:xfrm>
                    <a:prstGeom prst="rect">
                      <a:avLst/>
                    </a:prstGeom>
                    <a:noFill/>
                    <a:ln w="9525">
                      <a:noFill/>
                      <a:miter lim="800000"/>
                      <a:headEnd/>
                      <a:tailEnd/>
                    </a:ln>
                  </pic:spPr>
                </pic:pic>
              </a:graphicData>
            </a:graphic>
          </wp:inline>
        </w:drawing>
      </w:r>
    </w:p>
    <w:p w:rsidR="007E28F2" w:rsidRPr="005A464E" w:rsidRDefault="007E28F2" w:rsidP="005A464E">
      <w:pPr>
        <w:pStyle w:val="nouk"/>
      </w:pPr>
    </w:p>
    <w:p w:rsidR="00581F8D" w:rsidRDefault="0051054C" w:rsidP="00A86545">
      <w:pPr>
        <w:spacing w:line="360" w:lineRule="auto"/>
        <w:jc w:val="both"/>
        <w:rPr>
          <w:sz w:val="24"/>
          <w:szCs w:val="24"/>
        </w:rPr>
      </w:pPr>
      <w:r w:rsidRPr="009F1AE0">
        <w:rPr>
          <w:i/>
          <w:sz w:val="24"/>
          <w:szCs w:val="24"/>
        </w:rPr>
        <w:t>Γράφημα</w:t>
      </w:r>
      <w:r w:rsidR="00A71379" w:rsidRPr="009F1AE0">
        <w:rPr>
          <w:i/>
          <w:sz w:val="24"/>
          <w:szCs w:val="24"/>
        </w:rPr>
        <w:t xml:space="preserve"> 17</w:t>
      </w:r>
      <w:r w:rsidRPr="009F1AE0">
        <w:rPr>
          <w:sz w:val="24"/>
          <w:szCs w:val="24"/>
        </w:rPr>
        <w:t xml:space="preserve"> </w:t>
      </w:r>
      <w:r w:rsidR="009F1AE0" w:rsidRPr="009F1AE0">
        <w:rPr>
          <w:sz w:val="24"/>
          <w:szCs w:val="24"/>
        </w:rPr>
        <w:t xml:space="preserve"> </w:t>
      </w:r>
      <w:r w:rsidR="00A71379" w:rsidRPr="009F1AE0">
        <w:rPr>
          <w:sz w:val="24"/>
          <w:szCs w:val="24"/>
        </w:rPr>
        <w:t xml:space="preserve">Βαθμολογία των συμμετεχόντων στη διάσταση «Συμπτώματα» ανάλογα με </w:t>
      </w:r>
      <w:r w:rsidR="002D3BEF" w:rsidRPr="009F1AE0">
        <w:rPr>
          <w:sz w:val="24"/>
          <w:szCs w:val="24"/>
        </w:rPr>
        <w:t>την μέθοδο</w:t>
      </w:r>
      <w:r w:rsidR="00A71379" w:rsidRPr="009F1AE0">
        <w:rPr>
          <w:sz w:val="24"/>
          <w:szCs w:val="24"/>
        </w:rPr>
        <w:t xml:space="preserve"> αγγειακής προσπέλασης</w:t>
      </w:r>
      <w:r w:rsidR="009F1AE0">
        <w:rPr>
          <w:sz w:val="24"/>
          <w:szCs w:val="24"/>
        </w:rPr>
        <w:t>.</w:t>
      </w:r>
    </w:p>
    <w:p w:rsidR="009F1AE0" w:rsidRPr="009F1AE0" w:rsidRDefault="009F1AE0" w:rsidP="00A86545">
      <w:pPr>
        <w:spacing w:line="360" w:lineRule="auto"/>
        <w:jc w:val="both"/>
        <w:rPr>
          <w:sz w:val="24"/>
          <w:szCs w:val="24"/>
        </w:rPr>
      </w:pPr>
    </w:p>
    <w:p w:rsidR="00581F8D" w:rsidRDefault="007E28F2" w:rsidP="00496628">
      <w:pPr>
        <w:spacing w:line="360" w:lineRule="auto"/>
        <w:jc w:val="both"/>
        <w:rPr>
          <w:sz w:val="24"/>
          <w:szCs w:val="24"/>
        </w:rPr>
      </w:pPr>
      <w:r w:rsidRPr="00A86545">
        <w:rPr>
          <w:sz w:val="24"/>
          <w:szCs w:val="24"/>
        </w:rPr>
        <w:t>Στη συνέχεια έγινε πολυπαραγοντική γραμμική παλινδρόμηση έχοντας σαν εξαρτημένη μεταβλητή τη βαθμολογία στη διάσταση «</w:t>
      </w:r>
      <w:r w:rsidR="003A7874" w:rsidRPr="00A86545">
        <w:rPr>
          <w:sz w:val="24"/>
          <w:szCs w:val="24"/>
        </w:rPr>
        <w:t>Λειτουργικότητα</w:t>
      </w:r>
      <w:r w:rsidRPr="00A86545">
        <w:rPr>
          <w:sz w:val="24"/>
          <w:szCs w:val="24"/>
        </w:rPr>
        <w:t>» και σαν ανεξάρτητες τα δημογραφικά και κλινικά στοιχεία των συμμετεχόντων καθώς και τη συμμόρφωση - γνώση. Με τη μέθοδο διαδοχικής ένταξης/αφαίρεσης (</w:t>
      </w:r>
      <w:r w:rsidRPr="00A86545">
        <w:rPr>
          <w:sz w:val="24"/>
          <w:szCs w:val="24"/>
          <w:lang w:val="en-US"/>
        </w:rPr>
        <w:t>stepwise</w:t>
      </w:r>
      <w:r w:rsidRPr="00A86545">
        <w:rPr>
          <w:sz w:val="24"/>
          <w:szCs w:val="24"/>
        </w:rPr>
        <w:t xml:space="preserve"> </w:t>
      </w:r>
      <w:r w:rsidRPr="00A86545">
        <w:rPr>
          <w:sz w:val="24"/>
          <w:szCs w:val="24"/>
          <w:lang w:val="en-US"/>
        </w:rPr>
        <w:t>method</w:t>
      </w:r>
      <w:r w:rsidRPr="00A86545">
        <w:rPr>
          <w:sz w:val="24"/>
          <w:szCs w:val="24"/>
        </w:rPr>
        <w:t>) βρέθηκαν τα αποτελέσματα του παρακάτω πίνακα</w:t>
      </w:r>
      <w:r w:rsidR="00496628">
        <w:rPr>
          <w:sz w:val="24"/>
          <w:szCs w:val="24"/>
        </w:rPr>
        <w:t xml:space="preserve"> (Πίν 4</w:t>
      </w:r>
      <w:r w:rsidR="00F6061C">
        <w:rPr>
          <w:sz w:val="24"/>
          <w:szCs w:val="24"/>
        </w:rPr>
        <w:t>4</w:t>
      </w:r>
      <w:r w:rsidR="00A71379" w:rsidRPr="00A86545">
        <w:rPr>
          <w:sz w:val="24"/>
          <w:szCs w:val="24"/>
        </w:rPr>
        <w:t>)</w:t>
      </w:r>
      <w:r w:rsidRPr="00A86545">
        <w:rPr>
          <w:sz w:val="24"/>
          <w:szCs w:val="24"/>
        </w:rPr>
        <w:t xml:space="preserve">. </w:t>
      </w:r>
    </w:p>
    <w:p w:rsidR="00510761" w:rsidRPr="009F1AE0" w:rsidRDefault="00F6061C" w:rsidP="00510761">
      <w:pPr>
        <w:spacing w:after="0" w:line="360" w:lineRule="auto"/>
        <w:contextualSpacing/>
        <w:jc w:val="both"/>
        <w:rPr>
          <w:rFonts w:asciiTheme="minorHAnsi" w:eastAsia="Times New Roman" w:hAnsiTheme="minorHAnsi" w:cs="Arial"/>
          <w:bCs/>
          <w:color w:val="000000"/>
          <w:sz w:val="24"/>
          <w:szCs w:val="24"/>
        </w:rPr>
      </w:pPr>
      <w:r w:rsidRPr="009F1AE0">
        <w:rPr>
          <w:rFonts w:asciiTheme="minorHAnsi" w:eastAsia="Times New Roman" w:hAnsiTheme="minorHAnsi" w:cs="Arial"/>
          <w:bCs/>
          <w:color w:val="000000"/>
          <w:sz w:val="24"/>
          <w:szCs w:val="24"/>
        </w:rPr>
        <w:t>Πίνακας 44</w:t>
      </w:r>
    </w:p>
    <w:p w:rsidR="00510761" w:rsidRPr="009F1AE0" w:rsidRDefault="00510761" w:rsidP="005C6ABA">
      <w:pPr>
        <w:spacing w:after="0" w:line="360" w:lineRule="auto"/>
        <w:jc w:val="both"/>
        <w:rPr>
          <w:rFonts w:cstheme="minorHAnsi"/>
          <w:sz w:val="24"/>
          <w:szCs w:val="24"/>
        </w:rPr>
      </w:pPr>
      <w:r w:rsidRPr="009F1AE0">
        <w:rPr>
          <w:rFonts w:asciiTheme="minorHAnsi" w:eastAsiaTheme="minorHAnsi" w:hAnsiTheme="minorHAnsi" w:cstheme="minorBidi"/>
          <w:i/>
          <w:sz w:val="24"/>
          <w:szCs w:val="24"/>
        </w:rPr>
        <w:t>Πολυπαραγοντική γραμμική παλινδρόμηση</w:t>
      </w:r>
      <w:r w:rsidRPr="009F1AE0">
        <w:rPr>
          <w:i/>
          <w:sz w:val="24"/>
          <w:szCs w:val="24"/>
        </w:rPr>
        <w:t xml:space="preserve"> της βαθμολογίας στη διάσταση «Λειτουργικότητα» με τα δημογραφικά και κλινικά στοιχεία των συμμετεχόντων και τη συμμόρφωση - γνώση</w:t>
      </w:r>
    </w:p>
    <w:tbl>
      <w:tblPr>
        <w:tblStyle w:val="-41"/>
        <w:tblW w:w="8983" w:type="dxa"/>
        <w:tblLook w:val="04A0"/>
      </w:tblPr>
      <w:tblGrid>
        <w:gridCol w:w="2995"/>
        <w:gridCol w:w="3108"/>
        <w:gridCol w:w="960"/>
        <w:gridCol w:w="960"/>
        <w:gridCol w:w="960"/>
      </w:tblGrid>
      <w:tr w:rsidR="007E28F2" w:rsidRPr="00872FD2" w:rsidTr="00510761">
        <w:trPr>
          <w:cnfStyle w:val="100000000000"/>
          <w:trHeight w:val="345"/>
        </w:trPr>
        <w:tc>
          <w:tcPr>
            <w:cnfStyle w:val="001000000000"/>
            <w:tcW w:w="2995" w:type="dxa"/>
            <w:hideMark/>
          </w:tcPr>
          <w:p w:rsidR="007E28F2" w:rsidRPr="00872FD2" w:rsidRDefault="007E28F2" w:rsidP="005A464E">
            <w:pPr>
              <w:spacing w:after="0" w:line="360" w:lineRule="auto"/>
              <w:contextualSpacing/>
              <w:rPr>
                <w:rFonts w:asciiTheme="minorHAnsi" w:eastAsia="Times New Roman" w:hAnsiTheme="minorHAnsi" w:cs="Arial"/>
                <w:b w:val="0"/>
                <w:bCs w:val="0"/>
                <w:color w:val="000000"/>
              </w:rPr>
            </w:pPr>
            <w:r w:rsidRPr="00872FD2">
              <w:rPr>
                <w:rFonts w:asciiTheme="minorHAnsi" w:eastAsia="Times New Roman" w:hAnsiTheme="minorHAnsi" w:cs="Arial"/>
                <w:b w:val="0"/>
                <w:bCs w:val="0"/>
                <w:color w:val="000000"/>
              </w:rPr>
              <w:t> </w:t>
            </w:r>
          </w:p>
        </w:tc>
        <w:tc>
          <w:tcPr>
            <w:tcW w:w="3108" w:type="dxa"/>
            <w:hideMark/>
          </w:tcPr>
          <w:p w:rsidR="007E28F2" w:rsidRPr="00872FD2" w:rsidRDefault="007E28F2" w:rsidP="005A464E">
            <w:pPr>
              <w:spacing w:after="0" w:line="360" w:lineRule="auto"/>
              <w:contextualSpacing/>
              <w:cnfStyle w:val="100000000000"/>
              <w:rPr>
                <w:rFonts w:asciiTheme="minorHAnsi" w:eastAsia="Times New Roman" w:hAnsiTheme="minorHAnsi" w:cs="Arial"/>
                <w:color w:val="000000"/>
              </w:rPr>
            </w:pPr>
            <w:r w:rsidRPr="00872FD2">
              <w:rPr>
                <w:rFonts w:asciiTheme="minorHAnsi" w:eastAsia="Times New Roman" w:hAnsiTheme="minorHAnsi" w:cs="Arial"/>
                <w:color w:val="000000"/>
              </w:rPr>
              <w:t> </w:t>
            </w:r>
          </w:p>
        </w:tc>
        <w:tc>
          <w:tcPr>
            <w:tcW w:w="960" w:type="dxa"/>
            <w:noWrap/>
            <w:hideMark/>
          </w:tcPr>
          <w:p w:rsidR="007E28F2" w:rsidRPr="00872FD2" w:rsidRDefault="007E28F2" w:rsidP="005A464E">
            <w:pPr>
              <w:spacing w:after="0" w:line="360" w:lineRule="auto"/>
              <w:contextualSpacing/>
              <w:jc w:val="center"/>
              <w:cnfStyle w:val="100000000000"/>
              <w:rPr>
                <w:rFonts w:asciiTheme="minorHAnsi" w:eastAsia="Times New Roman" w:hAnsiTheme="minorHAnsi" w:cs="Arial"/>
                <w:b w:val="0"/>
                <w:bCs w:val="0"/>
                <w:color w:val="000000"/>
              </w:rPr>
            </w:pPr>
            <w:r w:rsidRPr="00872FD2">
              <w:rPr>
                <w:rFonts w:asciiTheme="minorHAnsi" w:eastAsia="Times New Roman" w:hAnsiTheme="minorHAnsi" w:cs="Arial"/>
                <w:b w:val="0"/>
                <w:bCs w:val="0"/>
                <w:color w:val="000000"/>
              </w:rPr>
              <w:t>β</w:t>
            </w:r>
            <w:r w:rsidRPr="00872FD2">
              <w:rPr>
                <w:rFonts w:asciiTheme="minorHAnsi" w:eastAsia="Times New Roman" w:hAnsiTheme="minorHAnsi" w:cs="Arial"/>
                <w:b w:val="0"/>
                <w:bCs w:val="0"/>
                <w:color w:val="000000"/>
                <w:vertAlign w:val="superscript"/>
              </w:rPr>
              <w:t>+</w:t>
            </w:r>
          </w:p>
        </w:tc>
        <w:tc>
          <w:tcPr>
            <w:tcW w:w="960" w:type="dxa"/>
            <w:noWrap/>
            <w:hideMark/>
          </w:tcPr>
          <w:p w:rsidR="007E28F2" w:rsidRPr="00872FD2" w:rsidRDefault="007E28F2" w:rsidP="005A464E">
            <w:pPr>
              <w:spacing w:after="0" w:line="360" w:lineRule="auto"/>
              <w:contextualSpacing/>
              <w:jc w:val="center"/>
              <w:cnfStyle w:val="100000000000"/>
              <w:rPr>
                <w:rFonts w:asciiTheme="minorHAnsi" w:eastAsia="Times New Roman" w:hAnsiTheme="minorHAnsi" w:cs="Arial"/>
                <w:b w:val="0"/>
                <w:bCs w:val="0"/>
                <w:color w:val="000000"/>
              </w:rPr>
            </w:pPr>
            <w:r w:rsidRPr="00872FD2">
              <w:rPr>
                <w:rFonts w:asciiTheme="minorHAnsi" w:eastAsia="Times New Roman" w:hAnsiTheme="minorHAnsi" w:cs="Arial"/>
                <w:b w:val="0"/>
                <w:bCs w:val="0"/>
                <w:color w:val="000000"/>
              </w:rPr>
              <w:t>SE</w:t>
            </w:r>
            <w:r w:rsidRPr="00872FD2">
              <w:rPr>
                <w:rFonts w:asciiTheme="minorHAnsi" w:eastAsia="Times New Roman" w:hAnsiTheme="minorHAnsi" w:cs="Arial"/>
                <w:b w:val="0"/>
                <w:bCs w:val="0"/>
                <w:color w:val="000000"/>
                <w:vertAlign w:val="superscript"/>
              </w:rPr>
              <w:t>++</w:t>
            </w:r>
          </w:p>
        </w:tc>
        <w:tc>
          <w:tcPr>
            <w:tcW w:w="960" w:type="dxa"/>
            <w:noWrap/>
            <w:hideMark/>
          </w:tcPr>
          <w:p w:rsidR="007E28F2" w:rsidRPr="00872FD2" w:rsidRDefault="007E28F2" w:rsidP="005A464E">
            <w:pPr>
              <w:spacing w:after="0" w:line="360" w:lineRule="auto"/>
              <w:contextualSpacing/>
              <w:jc w:val="center"/>
              <w:cnfStyle w:val="100000000000"/>
              <w:rPr>
                <w:rFonts w:asciiTheme="minorHAnsi" w:eastAsia="Times New Roman" w:hAnsiTheme="minorHAnsi" w:cs="Arial"/>
                <w:b w:val="0"/>
                <w:bCs w:val="0"/>
                <w:color w:val="000000"/>
              </w:rPr>
            </w:pPr>
            <w:r w:rsidRPr="00872FD2">
              <w:rPr>
                <w:rFonts w:asciiTheme="minorHAnsi" w:eastAsia="Times New Roman" w:hAnsiTheme="minorHAnsi" w:cs="Arial"/>
                <w:b w:val="0"/>
                <w:bCs w:val="0"/>
                <w:color w:val="000000"/>
              </w:rPr>
              <w:t>P</w:t>
            </w:r>
          </w:p>
        </w:tc>
      </w:tr>
      <w:tr w:rsidR="007E28F2" w:rsidRPr="00872FD2" w:rsidTr="00510761">
        <w:trPr>
          <w:cnfStyle w:val="000000100000"/>
          <w:trHeight w:val="345"/>
        </w:trPr>
        <w:tc>
          <w:tcPr>
            <w:cnfStyle w:val="001000000000"/>
            <w:tcW w:w="2995" w:type="dxa"/>
            <w:vMerge w:val="restart"/>
            <w:hideMark/>
          </w:tcPr>
          <w:p w:rsidR="007E28F2" w:rsidRPr="00E771E9" w:rsidRDefault="007E28F2" w:rsidP="005A464E">
            <w:pPr>
              <w:spacing w:after="0" w:line="360" w:lineRule="auto"/>
              <w:contextualSpacing/>
              <w:rPr>
                <w:rFonts w:asciiTheme="minorHAnsi" w:eastAsia="Times New Roman" w:hAnsiTheme="minorHAnsi" w:cs="Arial"/>
                <w:bCs w:val="0"/>
                <w:color w:val="000000"/>
              </w:rPr>
            </w:pPr>
            <w:r w:rsidRPr="00E771E9">
              <w:rPr>
                <w:rFonts w:asciiTheme="minorHAnsi" w:eastAsia="Times New Roman" w:hAnsiTheme="minorHAnsi" w:cs="Arial"/>
                <w:bCs w:val="0"/>
                <w:color w:val="000000"/>
              </w:rPr>
              <w:t>Κάνετε αιμοκάθαρση από φίστουλα, μόσχευμα, καθετήρα;</w:t>
            </w:r>
          </w:p>
        </w:tc>
        <w:tc>
          <w:tcPr>
            <w:tcW w:w="3108" w:type="dxa"/>
            <w:hideMark/>
          </w:tcPr>
          <w:p w:rsidR="007E28F2" w:rsidRPr="00872FD2" w:rsidRDefault="002B5862" w:rsidP="005A464E">
            <w:pPr>
              <w:spacing w:after="0" w:line="360" w:lineRule="auto"/>
              <w:contextualSpacing/>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Φίστουλα (Αναφορά)</w:t>
            </w:r>
          </w:p>
        </w:tc>
        <w:tc>
          <w:tcPr>
            <w:tcW w:w="960" w:type="dxa"/>
            <w:noWrap/>
            <w:hideMark/>
          </w:tcPr>
          <w:p w:rsidR="007E28F2" w:rsidRPr="00872FD2" w:rsidRDefault="007E28F2" w:rsidP="005A464E">
            <w:pPr>
              <w:spacing w:after="0" w:line="360" w:lineRule="auto"/>
              <w:contextualSpacing/>
              <w:jc w:val="center"/>
              <w:cnfStyle w:val="000000100000"/>
              <w:rPr>
                <w:rFonts w:asciiTheme="minorHAnsi" w:eastAsia="Times New Roman" w:hAnsiTheme="minorHAnsi" w:cs="Arial"/>
                <w:color w:val="000000"/>
              </w:rPr>
            </w:pPr>
          </w:p>
        </w:tc>
        <w:tc>
          <w:tcPr>
            <w:tcW w:w="960" w:type="dxa"/>
            <w:noWrap/>
            <w:hideMark/>
          </w:tcPr>
          <w:p w:rsidR="007E28F2" w:rsidRPr="00872FD2" w:rsidRDefault="007E28F2" w:rsidP="005A464E">
            <w:pPr>
              <w:spacing w:after="0" w:line="360" w:lineRule="auto"/>
              <w:contextualSpacing/>
              <w:jc w:val="center"/>
              <w:cnfStyle w:val="000000100000"/>
              <w:rPr>
                <w:rFonts w:asciiTheme="minorHAnsi" w:eastAsia="Times New Roman" w:hAnsiTheme="minorHAnsi" w:cs="Arial"/>
                <w:color w:val="000000"/>
              </w:rPr>
            </w:pPr>
          </w:p>
        </w:tc>
        <w:tc>
          <w:tcPr>
            <w:tcW w:w="960" w:type="dxa"/>
            <w:noWrap/>
            <w:hideMark/>
          </w:tcPr>
          <w:p w:rsidR="007E28F2" w:rsidRPr="00872FD2" w:rsidRDefault="007E28F2" w:rsidP="005A464E">
            <w:pPr>
              <w:spacing w:after="0" w:line="360" w:lineRule="auto"/>
              <w:contextualSpacing/>
              <w:jc w:val="center"/>
              <w:cnfStyle w:val="000000100000"/>
              <w:rPr>
                <w:rFonts w:asciiTheme="minorHAnsi" w:eastAsia="Times New Roman" w:hAnsiTheme="minorHAnsi" w:cs="Arial"/>
                <w:color w:val="000000"/>
              </w:rPr>
            </w:pPr>
          </w:p>
        </w:tc>
      </w:tr>
      <w:tr w:rsidR="007E28F2" w:rsidRPr="00872FD2" w:rsidTr="00510761">
        <w:trPr>
          <w:cnfStyle w:val="000000010000"/>
          <w:trHeight w:val="345"/>
        </w:trPr>
        <w:tc>
          <w:tcPr>
            <w:cnfStyle w:val="001000000000"/>
            <w:tcW w:w="2995" w:type="dxa"/>
            <w:vMerge/>
            <w:hideMark/>
          </w:tcPr>
          <w:p w:rsidR="007E28F2" w:rsidRPr="00E771E9" w:rsidRDefault="007E28F2" w:rsidP="005A464E">
            <w:pPr>
              <w:spacing w:after="0" w:line="360" w:lineRule="auto"/>
              <w:contextualSpacing/>
              <w:rPr>
                <w:rFonts w:asciiTheme="minorHAnsi" w:eastAsia="Times New Roman" w:hAnsiTheme="minorHAnsi" w:cs="Arial"/>
                <w:bCs w:val="0"/>
                <w:color w:val="000000"/>
              </w:rPr>
            </w:pPr>
          </w:p>
        </w:tc>
        <w:tc>
          <w:tcPr>
            <w:tcW w:w="3108" w:type="dxa"/>
            <w:hideMark/>
          </w:tcPr>
          <w:p w:rsidR="007E28F2" w:rsidRPr="00872FD2" w:rsidRDefault="002B5862" w:rsidP="005A464E">
            <w:pPr>
              <w:spacing w:after="0" w:line="360" w:lineRule="auto"/>
              <w:contextualSpacing/>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Μόσχευμα</w:t>
            </w:r>
          </w:p>
        </w:tc>
        <w:tc>
          <w:tcPr>
            <w:tcW w:w="960" w:type="dxa"/>
            <w:noWrap/>
            <w:hideMark/>
          </w:tcPr>
          <w:p w:rsidR="007E28F2" w:rsidRPr="00872FD2" w:rsidRDefault="007E28F2" w:rsidP="005A464E">
            <w:pPr>
              <w:spacing w:after="0" w:line="360" w:lineRule="auto"/>
              <w:contextualSpacing/>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-0,88</w:t>
            </w:r>
          </w:p>
        </w:tc>
        <w:tc>
          <w:tcPr>
            <w:tcW w:w="960" w:type="dxa"/>
            <w:noWrap/>
            <w:hideMark/>
          </w:tcPr>
          <w:p w:rsidR="007E28F2" w:rsidRPr="00872FD2" w:rsidRDefault="007E28F2" w:rsidP="005A464E">
            <w:pPr>
              <w:spacing w:after="0" w:line="360" w:lineRule="auto"/>
              <w:contextualSpacing/>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1,38</w:t>
            </w:r>
          </w:p>
        </w:tc>
        <w:tc>
          <w:tcPr>
            <w:tcW w:w="960" w:type="dxa"/>
            <w:noWrap/>
            <w:hideMark/>
          </w:tcPr>
          <w:p w:rsidR="007E28F2" w:rsidRPr="00872FD2" w:rsidRDefault="007E28F2" w:rsidP="005A464E">
            <w:pPr>
              <w:spacing w:after="0" w:line="360" w:lineRule="auto"/>
              <w:contextualSpacing/>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0,527</w:t>
            </w:r>
          </w:p>
        </w:tc>
      </w:tr>
      <w:tr w:rsidR="007E28F2" w:rsidRPr="00872FD2" w:rsidTr="00510761">
        <w:trPr>
          <w:cnfStyle w:val="000000100000"/>
          <w:trHeight w:val="345"/>
        </w:trPr>
        <w:tc>
          <w:tcPr>
            <w:cnfStyle w:val="001000000000"/>
            <w:tcW w:w="2995" w:type="dxa"/>
            <w:vMerge/>
            <w:hideMark/>
          </w:tcPr>
          <w:p w:rsidR="007E28F2" w:rsidRPr="00E771E9" w:rsidRDefault="007E28F2" w:rsidP="005A464E">
            <w:pPr>
              <w:spacing w:after="0" w:line="360" w:lineRule="auto"/>
              <w:contextualSpacing/>
              <w:rPr>
                <w:rFonts w:asciiTheme="minorHAnsi" w:eastAsia="Times New Roman" w:hAnsiTheme="minorHAnsi" w:cs="Arial"/>
                <w:bCs w:val="0"/>
                <w:color w:val="000000"/>
              </w:rPr>
            </w:pPr>
          </w:p>
        </w:tc>
        <w:tc>
          <w:tcPr>
            <w:tcW w:w="3108" w:type="dxa"/>
            <w:hideMark/>
          </w:tcPr>
          <w:p w:rsidR="007E28F2" w:rsidRPr="00872FD2" w:rsidRDefault="002B5862" w:rsidP="005A464E">
            <w:pPr>
              <w:spacing w:after="0" w:line="360" w:lineRule="auto"/>
              <w:contextualSpacing/>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Καθετήρα</w:t>
            </w:r>
          </w:p>
        </w:tc>
        <w:tc>
          <w:tcPr>
            <w:tcW w:w="960" w:type="dxa"/>
            <w:noWrap/>
            <w:hideMark/>
          </w:tcPr>
          <w:p w:rsidR="007E28F2" w:rsidRPr="00872FD2" w:rsidRDefault="007E28F2" w:rsidP="005A464E">
            <w:pPr>
              <w:spacing w:after="0" w:line="360" w:lineRule="auto"/>
              <w:contextualSpacing/>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-2,90</w:t>
            </w:r>
          </w:p>
        </w:tc>
        <w:tc>
          <w:tcPr>
            <w:tcW w:w="960" w:type="dxa"/>
            <w:noWrap/>
            <w:hideMark/>
          </w:tcPr>
          <w:p w:rsidR="007E28F2" w:rsidRPr="00872FD2" w:rsidRDefault="007E28F2" w:rsidP="005A464E">
            <w:pPr>
              <w:spacing w:after="0" w:line="360" w:lineRule="auto"/>
              <w:contextualSpacing/>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1,20</w:t>
            </w:r>
          </w:p>
        </w:tc>
        <w:tc>
          <w:tcPr>
            <w:tcW w:w="960" w:type="dxa"/>
            <w:noWrap/>
            <w:hideMark/>
          </w:tcPr>
          <w:p w:rsidR="007E28F2" w:rsidRPr="00872FD2" w:rsidRDefault="007E28F2" w:rsidP="005A464E">
            <w:pPr>
              <w:spacing w:after="0" w:line="360" w:lineRule="auto"/>
              <w:contextualSpacing/>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0,017</w:t>
            </w:r>
          </w:p>
        </w:tc>
      </w:tr>
      <w:tr w:rsidR="007E28F2" w:rsidRPr="00872FD2" w:rsidTr="00510761">
        <w:trPr>
          <w:cnfStyle w:val="000000010000"/>
          <w:trHeight w:val="345"/>
        </w:trPr>
        <w:tc>
          <w:tcPr>
            <w:cnfStyle w:val="001000000000"/>
            <w:tcW w:w="2995" w:type="dxa"/>
            <w:vMerge w:val="restart"/>
            <w:hideMark/>
          </w:tcPr>
          <w:p w:rsidR="007E28F2" w:rsidRPr="00E771E9" w:rsidRDefault="007E28F2" w:rsidP="005A464E">
            <w:pPr>
              <w:spacing w:after="0" w:line="360" w:lineRule="auto"/>
              <w:contextualSpacing/>
              <w:rPr>
                <w:rFonts w:asciiTheme="minorHAnsi" w:eastAsia="Times New Roman" w:hAnsiTheme="minorHAnsi" w:cs="Arial"/>
                <w:bCs w:val="0"/>
                <w:color w:val="000000"/>
              </w:rPr>
            </w:pPr>
            <w:r w:rsidRPr="00E771E9">
              <w:rPr>
                <w:rFonts w:asciiTheme="minorHAnsi" w:eastAsia="Times New Roman" w:hAnsiTheme="minorHAnsi" w:cs="Arial"/>
                <w:bCs w:val="0"/>
                <w:color w:val="000000"/>
              </w:rPr>
              <w:t>Τόπος διαμονής</w:t>
            </w:r>
          </w:p>
        </w:tc>
        <w:tc>
          <w:tcPr>
            <w:tcW w:w="3108" w:type="dxa"/>
            <w:hideMark/>
          </w:tcPr>
          <w:p w:rsidR="007E28F2" w:rsidRPr="00872FD2" w:rsidRDefault="002B5862" w:rsidP="005A464E">
            <w:pPr>
              <w:spacing w:after="0" w:line="360" w:lineRule="auto"/>
              <w:contextualSpacing/>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Αγροτικός/ Ημιαστικός (Αναφορά)</w:t>
            </w:r>
          </w:p>
        </w:tc>
        <w:tc>
          <w:tcPr>
            <w:tcW w:w="960" w:type="dxa"/>
            <w:noWrap/>
            <w:hideMark/>
          </w:tcPr>
          <w:p w:rsidR="007E28F2" w:rsidRPr="00872FD2" w:rsidRDefault="007E28F2" w:rsidP="005A464E">
            <w:pPr>
              <w:spacing w:after="0" w:line="360" w:lineRule="auto"/>
              <w:contextualSpacing/>
              <w:jc w:val="center"/>
              <w:cnfStyle w:val="000000010000"/>
              <w:rPr>
                <w:rFonts w:asciiTheme="minorHAnsi" w:eastAsia="Times New Roman" w:hAnsiTheme="minorHAnsi" w:cs="Arial"/>
                <w:color w:val="000000"/>
              </w:rPr>
            </w:pPr>
          </w:p>
        </w:tc>
        <w:tc>
          <w:tcPr>
            <w:tcW w:w="960" w:type="dxa"/>
            <w:noWrap/>
            <w:hideMark/>
          </w:tcPr>
          <w:p w:rsidR="007E28F2" w:rsidRPr="00872FD2" w:rsidRDefault="007E28F2" w:rsidP="005A464E">
            <w:pPr>
              <w:spacing w:after="0" w:line="360" w:lineRule="auto"/>
              <w:contextualSpacing/>
              <w:jc w:val="center"/>
              <w:cnfStyle w:val="000000010000"/>
              <w:rPr>
                <w:rFonts w:asciiTheme="minorHAnsi" w:eastAsia="Times New Roman" w:hAnsiTheme="minorHAnsi" w:cs="Arial"/>
                <w:color w:val="000000"/>
              </w:rPr>
            </w:pPr>
          </w:p>
        </w:tc>
        <w:tc>
          <w:tcPr>
            <w:tcW w:w="960" w:type="dxa"/>
            <w:noWrap/>
            <w:hideMark/>
          </w:tcPr>
          <w:p w:rsidR="007E28F2" w:rsidRPr="00872FD2" w:rsidRDefault="007E28F2" w:rsidP="005A464E">
            <w:pPr>
              <w:spacing w:after="0" w:line="360" w:lineRule="auto"/>
              <w:contextualSpacing/>
              <w:jc w:val="center"/>
              <w:cnfStyle w:val="000000010000"/>
              <w:rPr>
                <w:rFonts w:asciiTheme="minorHAnsi" w:eastAsia="Times New Roman" w:hAnsiTheme="minorHAnsi" w:cs="Arial"/>
                <w:color w:val="000000"/>
              </w:rPr>
            </w:pPr>
          </w:p>
        </w:tc>
      </w:tr>
      <w:tr w:rsidR="007E28F2" w:rsidRPr="00872FD2" w:rsidTr="00510761">
        <w:trPr>
          <w:cnfStyle w:val="000000100000"/>
          <w:trHeight w:val="345"/>
        </w:trPr>
        <w:tc>
          <w:tcPr>
            <w:cnfStyle w:val="001000000000"/>
            <w:tcW w:w="2995" w:type="dxa"/>
            <w:vMerge/>
            <w:hideMark/>
          </w:tcPr>
          <w:p w:rsidR="007E28F2" w:rsidRPr="00E771E9" w:rsidRDefault="007E28F2" w:rsidP="005A464E">
            <w:pPr>
              <w:spacing w:after="0" w:line="360" w:lineRule="auto"/>
              <w:contextualSpacing/>
              <w:rPr>
                <w:rFonts w:asciiTheme="minorHAnsi" w:eastAsia="Times New Roman" w:hAnsiTheme="minorHAnsi" w:cs="Arial"/>
                <w:bCs w:val="0"/>
                <w:color w:val="000000"/>
              </w:rPr>
            </w:pPr>
          </w:p>
        </w:tc>
        <w:tc>
          <w:tcPr>
            <w:tcW w:w="3108" w:type="dxa"/>
            <w:hideMark/>
          </w:tcPr>
          <w:p w:rsidR="007E28F2" w:rsidRPr="00872FD2" w:rsidRDefault="002B5862" w:rsidP="005A464E">
            <w:pPr>
              <w:spacing w:after="0" w:line="360" w:lineRule="auto"/>
              <w:contextualSpacing/>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Αστικός</w:t>
            </w:r>
          </w:p>
        </w:tc>
        <w:tc>
          <w:tcPr>
            <w:tcW w:w="960" w:type="dxa"/>
            <w:noWrap/>
            <w:hideMark/>
          </w:tcPr>
          <w:p w:rsidR="007E28F2" w:rsidRPr="00872FD2" w:rsidRDefault="007E28F2" w:rsidP="005A464E">
            <w:pPr>
              <w:spacing w:after="0" w:line="360" w:lineRule="auto"/>
              <w:contextualSpacing/>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3,34</w:t>
            </w:r>
          </w:p>
        </w:tc>
        <w:tc>
          <w:tcPr>
            <w:tcW w:w="960" w:type="dxa"/>
            <w:noWrap/>
            <w:hideMark/>
          </w:tcPr>
          <w:p w:rsidR="007E28F2" w:rsidRPr="00872FD2" w:rsidRDefault="007E28F2" w:rsidP="005A464E">
            <w:pPr>
              <w:spacing w:after="0" w:line="360" w:lineRule="auto"/>
              <w:contextualSpacing/>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1,02</w:t>
            </w:r>
          </w:p>
        </w:tc>
        <w:tc>
          <w:tcPr>
            <w:tcW w:w="960" w:type="dxa"/>
            <w:noWrap/>
            <w:hideMark/>
          </w:tcPr>
          <w:p w:rsidR="007E28F2" w:rsidRPr="00872FD2" w:rsidRDefault="007E28F2" w:rsidP="005A464E">
            <w:pPr>
              <w:spacing w:after="0" w:line="360" w:lineRule="auto"/>
              <w:contextualSpacing/>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0,001</w:t>
            </w:r>
          </w:p>
        </w:tc>
      </w:tr>
      <w:tr w:rsidR="007E28F2" w:rsidRPr="00872FD2" w:rsidTr="00510761">
        <w:trPr>
          <w:cnfStyle w:val="000000010000"/>
          <w:trHeight w:val="345"/>
        </w:trPr>
        <w:tc>
          <w:tcPr>
            <w:cnfStyle w:val="001000000000"/>
            <w:tcW w:w="2995" w:type="dxa"/>
            <w:vMerge w:val="restart"/>
            <w:hideMark/>
          </w:tcPr>
          <w:p w:rsidR="007E28F2" w:rsidRPr="00E771E9" w:rsidRDefault="007E28F2" w:rsidP="005A464E">
            <w:pPr>
              <w:spacing w:after="0" w:line="360" w:lineRule="auto"/>
              <w:contextualSpacing/>
              <w:rPr>
                <w:rFonts w:asciiTheme="minorHAnsi" w:eastAsia="Times New Roman" w:hAnsiTheme="minorHAnsi" w:cs="Arial"/>
                <w:bCs w:val="0"/>
                <w:color w:val="000000"/>
              </w:rPr>
            </w:pPr>
            <w:r w:rsidRPr="00E771E9">
              <w:rPr>
                <w:rFonts w:asciiTheme="minorHAnsi" w:eastAsia="Times New Roman" w:hAnsiTheme="minorHAnsi" w:cs="Arial"/>
                <w:bCs w:val="0"/>
                <w:color w:val="000000"/>
              </w:rPr>
              <w:t>Μένετε μόνος;</w:t>
            </w:r>
          </w:p>
        </w:tc>
        <w:tc>
          <w:tcPr>
            <w:tcW w:w="3108" w:type="dxa"/>
            <w:hideMark/>
          </w:tcPr>
          <w:p w:rsidR="007E28F2" w:rsidRPr="00872FD2" w:rsidRDefault="002B5862" w:rsidP="005A464E">
            <w:pPr>
              <w:spacing w:after="0" w:line="360" w:lineRule="auto"/>
              <w:contextualSpacing/>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Ναι (Αναφορά)</w:t>
            </w:r>
          </w:p>
        </w:tc>
        <w:tc>
          <w:tcPr>
            <w:tcW w:w="960" w:type="dxa"/>
            <w:noWrap/>
            <w:hideMark/>
          </w:tcPr>
          <w:p w:rsidR="007E28F2" w:rsidRPr="00872FD2" w:rsidRDefault="007E28F2" w:rsidP="005A464E">
            <w:pPr>
              <w:spacing w:after="0" w:line="360" w:lineRule="auto"/>
              <w:contextualSpacing/>
              <w:jc w:val="center"/>
              <w:cnfStyle w:val="000000010000"/>
              <w:rPr>
                <w:rFonts w:asciiTheme="minorHAnsi" w:eastAsia="Times New Roman" w:hAnsiTheme="minorHAnsi" w:cs="Arial"/>
                <w:color w:val="000000"/>
              </w:rPr>
            </w:pPr>
          </w:p>
        </w:tc>
        <w:tc>
          <w:tcPr>
            <w:tcW w:w="960" w:type="dxa"/>
            <w:noWrap/>
            <w:hideMark/>
          </w:tcPr>
          <w:p w:rsidR="007E28F2" w:rsidRPr="00872FD2" w:rsidRDefault="007E28F2" w:rsidP="005A464E">
            <w:pPr>
              <w:spacing w:after="0" w:line="360" w:lineRule="auto"/>
              <w:contextualSpacing/>
              <w:jc w:val="center"/>
              <w:cnfStyle w:val="000000010000"/>
              <w:rPr>
                <w:rFonts w:asciiTheme="minorHAnsi" w:eastAsia="Times New Roman" w:hAnsiTheme="minorHAnsi" w:cs="Arial"/>
                <w:color w:val="000000"/>
              </w:rPr>
            </w:pPr>
          </w:p>
        </w:tc>
        <w:tc>
          <w:tcPr>
            <w:tcW w:w="960" w:type="dxa"/>
            <w:noWrap/>
            <w:hideMark/>
          </w:tcPr>
          <w:p w:rsidR="007E28F2" w:rsidRPr="00872FD2" w:rsidRDefault="007E28F2" w:rsidP="005A464E">
            <w:pPr>
              <w:spacing w:after="0" w:line="360" w:lineRule="auto"/>
              <w:contextualSpacing/>
              <w:jc w:val="center"/>
              <w:cnfStyle w:val="000000010000"/>
              <w:rPr>
                <w:rFonts w:asciiTheme="minorHAnsi" w:eastAsia="Times New Roman" w:hAnsiTheme="minorHAnsi" w:cs="Arial"/>
                <w:color w:val="000000"/>
              </w:rPr>
            </w:pPr>
          </w:p>
        </w:tc>
      </w:tr>
      <w:tr w:rsidR="007E28F2" w:rsidRPr="00872FD2" w:rsidTr="00510761">
        <w:trPr>
          <w:cnfStyle w:val="000000100000"/>
          <w:trHeight w:val="345"/>
        </w:trPr>
        <w:tc>
          <w:tcPr>
            <w:cnfStyle w:val="001000000000"/>
            <w:tcW w:w="2995" w:type="dxa"/>
            <w:vMerge/>
            <w:hideMark/>
          </w:tcPr>
          <w:p w:rsidR="007E28F2" w:rsidRPr="00E771E9" w:rsidRDefault="007E28F2" w:rsidP="005A464E">
            <w:pPr>
              <w:spacing w:after="0" w:line="360" w:lineRule="auto"/>
              <w:contextualSpacing/>
              <w:rPr>
                <w:rFonts w:asciiTheme="minorHAnsi" w:eastAsia="Times New Roman" w:hAnsiTheme="minorHAnsi" w:cs="Arial"/>
                <w:bCs w:val="0"/>
                <w:color w:val="000000"/>
              </w:rPr>
            </w:pPr>
          </w:p>
        </w:tc>
        <w:tc>
          <w:tcPr>
            <w:tcW w:w="3108" w:type="dxa"/>
            <w:hideMark/>
          </w:tcPr>
          <w:p w:rsidR="007E28F2" w:rsidRPr="00872FD2" w:rsidRDefault="002B5862" w:rsidP="005A464E">
            <w:pPr>
              <w:spacing w:after="0" w:line="360" w:lineRule="auto"/>
              <w:contextualSpacing/>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Όχι</w:t>
            </w:r>
          </w:p>
        </w:tc>
        <w:tc>
          <w:tcPr>
            <w:tcW w:w="960" w:type="dxa"/>
            <w:noWrap/>
            <w:hideMark/>
          </w:tcPr>
          <w:p w:rsidR="007E28F2" w:rsidRPr="00872FD2" w:rsidRDefault="007E28F2" w:rsidP="005A464E">
            <w:pPr>
              <w:spacing w:after="0" w:line="360" w:lineRule="auto"/>
              <w:contextualSpacing/>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3,12</w:t>
            </w:r>
          </w:p>
        </w:tc>
        <w:tc>
          <w:tcPr>
            <w:tcW w:w="960" w:type="dxa"/>
            <w:noWrap/>
            <w:hideMark/>
          </w:tcPr>
          <w:p w:rsidR="007E28F2" w:rsidRPr="00872FD2" w:rsidRDefault="007E28F2" w:rsidP="005A464E">
            <w:pPr>
              <w:spacing w:after="0" w:line="360" w:lineRule="auto"/>
              <w:contextualSpacing/>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1,31</w:t>
            </w:r>
          </w:p>
        </w:tc>
        <w:tc>
          <w:tcPr>
            <w:tcW w:w="960" w:type="dxa"/>
            <w:noWrap/>
            <w:hideMark/>
          </w:tcPr>
          <w:p w:rsidR="007E28F2" w:rsidRPr="00872FD2" w:rsidRDefault="007E28F2" w:rsidP="005A464E">
            <w:pPr>
              <w:spacing w:after="0" w:line="360" w:lineRule="auto"/>
              <w:contextualSpacing/>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0,018</w:t>
            </w:r>
          </w:p>
        </w:tc>
      </w:tr>
      <w:tr w:rsidR="007E28F2" w:rsidRPr="00872FD2" w:rsidTr="00510761">
        <w:trPr>
          <w:cnfStyle w:val="000000010000"/>
          <w:trHeight w:val="345"/>
        </w:trPr>
        <w:tc>
          <w:tcPr>
            <w:cnfStyle w:val="001000000000"/>
            <w:tcW w:w="2995" w:type="dxa"/>
            <w:vMerge w:val="restart"/>
            <w:hideMark/>
          </w:tcPr>
          <w:p w:rsidR="007E28F2" w:rsidRPr="00E771E9" w:rsidRDefault="007E28F2" w:rsidP="005A464E">
            <w:pPr>
              <w:spacing w:after="0" w:line="360" w:lineRule="auto"/>
              <w:contextualSpacing/>
              <w:rPr>
                <w:rFonts w:asciiTheme="minorHAnsi" w:eastAsia="Times New Roman" w:hAnsiTheme="minorHAnsi" w:cs="Arial"/>
                <w:bCs w:val="0"/>
                <w:color w:val="000000"/>
              </w:rPr>
            </w:pPr>
            <w:r w:rsidRPr="00E771E9">
              <w:rPr>
                <w:rFonts w:asciiTheme="minorHAnsi" w:eastAsia="Times New Roman" w:hAnsiTheme="minorHAnsi" w:cs="Arial"/>
                <w:bCs w:val="0"/>
                <w:color w:val="000000"/>
              </w:rPr>
              <w:t>Έχετε κάνει ποτέ ΠΚ;</w:t>
            </w:r>
          </w:p>
        </w:tc>
        <w:tc>
          <w:tcPr>
            <w:tcW w:w="3108" w:type="dxa"/>
            <w:hideMark/>
          </w:tcPr>
          <w:p w:rsidR="007E28F2" w:rsidRPr="00872FD2" w:rsidRDefault="002B5862" w:rsidP="005A464E">
            <w:pPr>
              <w:spacing w:after="0" w:line="360" w:lineRule="auto"/>
              <w:contextualSpacing/>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Ναι (Αναφορά)</w:t>
            </w:r>
          </w:p>
        </w:tc>
        <w:tc>
          <w:tcPr>
            <w:tcW w:w="960" w:type="dxa"/>
            <w:noWrap/>
            <w:hideMark/>
          </w:tcPr>
          <w:p w:rsidR="007E28F2" w:rsidRPr="00872FD2" w:rsidRDefault="007E28F2" w:rsidP="005A464E">
            <w:pPr>
              <w:spacing w:after="0" w:line="360" w:lineRule="auto"/>
              <w:contextualSpacing/>
              <w:jc w:val="center"/>
              <w:cnfStyle w:val="000000010000"/>
              <w:rPr>
                <w:rFonts w:asciiTheme="minorHAnsi" w:eastAsia="Times New Roman" w:hAnsiTheme="minorHAnsi" w:cs="Arial"/>
                <w:color w:val="000000"/>
              </w:rPr>
            </w:pPr>
          </w:p>
        </w:tc>
        <w:tc>
          <w:tcPr>
            <w:tcW w:w="960" w:type="dxa"/>
            <w:noWrap/>
            <w:hideMark/>
          </w:tcPr>
          <w:p w:rsidR="007E28F2" w:rsidRPr="00872FD2" w:rsidRDefault="007E28F2" w:rsidP="005A464E">
            <w:pPr>
              <w:spacing w:after="0" w:line="360" w:lineRule="auto"/>
              <w:contextualSpacing/>
              <w:jc w:val="center"/>
              <w:cnfStyle w:val="000000010000"/>
              <w:rPr>
                <w:rFonts w:asciiTheme="minorHAnsi" w:eastAsia="Times New Roman" w:hAnsiTheme="minorHAnsi" w:cs="Arial"/>
                <w:color w:val="000000"/>
              </w:rPr>
            </w:pPr>
          </w:p>
        </w:tc>
        <w:tc>
          <w:tcPr>
            <w:tcW w:w="960" w:type="dxa"/>
            <w:noWrap/>
            <w:hideMark/>
          </w:tcPr>
          <w:p w:rsidR="007E28F2" w:rsidRPr="00872FD2" w:rsidRDefault="007E28F2" w:rsidP="005A464E">
            <w:pPr>
              <w:spacing w:after="0" w:line="360" w:lineRule="auto"/>
              <w:contextualSpacing/>
              <w:jc w:val="center"/>
              <w:cnfStyle w:val="000000010000"/>
              <w:rPr>
                <w:rFonts w:asciiTheme="minorHAnsi" w:eastAsia="Times New Roman" w:hAnsiTheme="minorHAnsi" w:cs="Arial"/>
                <w:color w:val="000000"/>
              </w:rPr>
            </w:pPr>
          </w:p>
        </w:tc>
      </w:tr>
      <w:tr w:rsidR="007E28F2" w:rsidRPr="00872FD2" w:rsidTr="00510761">
        <w:trPr>
          <w:cnfStyle w:val="000000100000"/>
          <w:trHeight w:val="345"/>
        </w:trPr>
        <w:tc>
          <w:tcPr>
            <w:cnfStyle w:val="001000000000"/>
            <w:tcW w:w="2995" w:type="dxa"/>
            <w:vMerge/>
            <w:hideMark/>
          </w:tcPr>
          <w:p w:rsidR="007E28F2" w:rsidRPr="00872FD2" w:rsidRDefault="007E28F2" w:rsidP="005A464E">
            <w:pPr>
              <w:spacing w:after="0" w:line="360" w:lineRule="auto"/>
              <w:contextualSpacing/>
              <w:rPr>
                <w:rFonts w:asciiTheme="minorHAnsi" w:eastAsia="Times New Roman" w:hAnsiTheme="minorHAnsi" w:cs="Arial"/>
                <w:b w:val="0"/>
                <w:bCs w:val="0"/>
                <w:color w:val="000000"/>
              </w:rPr>
            </w:pPr>
          </w:p>
        </w:tc>
        <w:tc>
          <w:tcPr>
            <w:tcW w:w="3108" w:type="dxa"/>
            <w:hideMark/>
          </w:tcPr>
          <w:p w:rsidR="007E28F2" w:rsidRPr="00872FD2" w:rsidRDefault="002B5862" w:rsidP="005A464E">
            <w:pPr>
              <w:spacing w:after="0" w:line="360" w:lineRule="auto"/>
              <w:contextualSpacing/>
              <w:cnfStyle w:val="000000100000"/>
              <w:rPr>
                <w:rFonts w:asciiTheme="minorHAnsi" w:eastAsia="Times New Roman" w:hAnsiTheme="minorHAnsi" w:cs="Arial"/>
                <w:color w:val="000000"/>
              </w:rPr>
            </w:pPr>
            <w:r>
              <w:rPr>
                <w:rFonts w:asciiTheme="minorHAnsi" w:eastAsia="Times New Roman" w:hAnsiTheme="minorHAnsi" w:cs="Arial"/>
                <w:color w:val="000000"/>
              </w:rPr>
              <w:t>Ό</w:t>
            </w:r>
            <w:r w:rsidR="007E28F2" w:rsidRPr="00872FD2">
              <w:rPr>
                <w:rFonts w:asciiTheme="minorHAnsi" w:eastAsia="Times New Roman" w:hAnsiTheme="minorHAnsi" w:cs="Arial"/>
                <w:color w:val="000000"/>
              </w:rPr>
              <w:t>χι</w:t>
            </w:r>
          </w:p>
        </w:tc>
        <w:tc>
          <w:tcPr>
            <w:tcW w:w="960" w:type="dxa"/>
            <w:noWrap/>
            <w:hideMark/>
          </w:tcPr>
          <w:p w:rsidR="007E28F2" w:rsidRPr="00872FD2" w:rsidRDefault="007E28F2" w:rsidP="005A464E">
            <w:pPr>
              <w:spacing w:after="0" w:line="360" w:lineRule="auto"/>
              <w:contextualSpacing/>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6,41</w:t>
            </w:r>
          </w:p>
        </w:tc>
        <w:tc>
          <w:tcPr>
            <w:tcW w:w="960" w:type="dxa"/>
            <w:noWrap/>
            <w:hideMark/>
          </w:tcPr>
          <w:p w:rsidR="007E28F2" w:rsidRPr="00872FD2" w:rsidRDefault="007E28F2" w:rsidP="005A464E">
            <w:pPr>
              <w:spacing w:after="0" w:line="360" w:lineRule="auto"/>
              <w:contextualSpacing/>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2,84</w:t>
            </w:r>
          </w:p>
        </w:tc>
        <w:tc>
          <w:tcPr>
            <w:tcW w:w="960" w:type="dxa"/>
            <w:noWrap/>
            <w:hideMark/>
          </w:tcPr>
          <w:p w:rsidR="007E28F2" w:rsidRPr="00872FD2" w:rsidRDefault="007E28F2" w:rsidP="005A464E">
            <w:pPr>
              <w:spacing w:after="0" w:line="360" w:lineRule="auto"/>
              <w:contextualSpacing/>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0,025</w:t>
            </w:r>
          </w:p>
        </w:tc>
      </w:tr>
      <w:tr w:rsidR="009F1AE0" w:rsidRPr="00872FD2" w:rsidTr="00001CDF">
        <w:trPr>
          <w:cnfStyle w:val="000000010000"/>
          <w:trHeight w:val="345"/>
        </w:trPr>
        <w:tc>
          <w:tcPr>
            <w:cnfStyle w:val="001000000000"/>
            <w:tcW w:w="8983" w:type="dxa"/>
            <w:gridSpan w:val="5"/>
            <w:hideMark/>
          </w:tcPr>
          <w:p w:rsidR="009F1AE0" w:rsidRPr="00E50302" w:rsidRDefault="009F1AE0" w:rsidP="005C6ABA">
            <w:pPr>
              <w:pStyle w:val="nouk"/>
              <w:spacing w:line="276" w:lineRule="auto"/>
              <w:rPr>
                <w:b w:val="0"/>
                <w:i/>
                <w:sz w:val="20"/>
                <w:szCs w:val="20"/>
              </w:rPr>
            </w:pPr>
            <w:r w:rsidRPr="00E50302">
              <w:rPr>
                <w:b w:val="0"/>
                <w:sz w:val="20"/>
                <w:szCs w:val="20"/>
                <w:vertAlign w:val="superscript"/>
              </w:rPr>
              <w:t>+</w:t>
            </w:r>
            <w:r w:rsidRPr="00E50302">
              <w:rPr>
                <w:b w:val="0"/>
                <w:i/>
                <w:sz w:val="20"/>
                <w:szCs w:val="20"/>
              </w:rPr>
              <w:t xml:space="preserve">συντελεστής εξάρτησης </w:t>
            </w:r>
            <w:r w:rsidRPr="00E50302">
              <w:rPr>
                <w:b w:val="0"/>
                <w:i/>
                <w:sz w:val="20"/>
                <w:szCs w:val="20"/>
                <w:vertAlign w:val="superscript"/>
              </w:rPr>
              <w:t>++</w:t>
            </w:r>
            <w:r w:rsidRPr="00E50302">
              <w:rPr>
                <w:b w:val="0"/>
                <w:i/>
                <w:sz w:val="20"/>
                <w:szCs w:val="20"/>
              </w:rPr>
              <w:t>τυπικό σφάλμα συντελεστή εξάρτησης</w:t>
            </w:r>
          </w:p>
        </w:tc>
      </w:tr>
    </w:tbl>
    <w:p w:rsidR="007E28F2" w:rsidRPr="005A464E" w:rsidRDefault="007E28F2" w:rsidP="005A464E">
      <w:pPr>
        <w:pStyle w:val="nouk"/>
      </w:pPr>
    </w:p>
    <w:p w:rsidR="007E28F2" w:rsidRDefault="00F00349" w:rsidP="005A464E">
      <w:pPr>
        <w:pStyle w:val="nouk"/>
      </w:pPr>
      <w:r w:rsidRPr="005A464E">
        <w:t>Η μέθοδος αγγειακής προσπέλασης</w:t>
      </w:r>
      <w:r w:rsidR="007E28F2" w:rsidRPr="005A464E">
        <w:t>, ο τόπος διαμονής, το αν έμεναν μόνοι τους και το αν είχαν κάνει ποτέ ΠΚ βρέθηκαν να σχετίζονται ανεξάρτητα με τη βαθμολογία στη διάσταση «</w:t>
      </w:r>
      <w:r w:rsidR="003A7874" w:rsidRPr="005A464E">
        <w:t>Λειτουργικότητα</w:t>
      </w:r>
      <w:r w:rsidR="007E28F2" w:rsidRPr="005A464E">
        <w:t xml:space="preserve">». </w:t>
      </w:r>
    </w:p>
    <w:p w:rsidR="009F1AE0" w:rsidRPr="005A464E" w:rsidRDefault="009F1AE0" w:rsidP="005A464E">
      <w:pPr>
        <w:pStyle w:val="nouk"/>
      </w:pPr>
    </w:p>
    <w:p w:rsidR="007E28F2" w:rsidRDefault="007E28F2" w:rsidP="005A464E">
      <w:pPr>
        <w:pStyle w:val="nouk"/>
      </w:pPr>
      <w:r w:rsidRPr="005A464E">
        <w:t xml:space="preserve">Στο γράφημα που ακολουθεί </w:t>
      </w:r>
      <w:r w:rsidR="00A71379">
        <w:t xml:space="preserve">(Γρ 18) </w:t>
      </w:r>
      <w:r w:rsidRPr="005A464E">
        <w:t>δίνεται η βαθμολογία των συμμετεχόντων στη διάσταση «</w:t>
      </w:r>
      <w:r w:rsidR="003A7874" w:rsidRPr="005A464E">
        <w:t>Λειτουργικότητα</w:t>
      </w:r>
      <w:r w:rsidRPr="005A464E">
        <w:t xml:space="preserve">» ανάλογα με </w:t>
      </w:r>
      <w:r w:rsidR="002D3BEF">
        <w:t>την μέθοδο</w:t>
      </w:r>
      <w:r w:rsidR="00A71379">
        <w:t xml:space="preserve"> αγγειακής προσπέλασης</w:t>
      </w:r>
      <w:r w:rsidRPr="005A464E">
        <w:t xml:space="preserve">. </w:t>
      </w:r>
    </w:p>
    <w:p w:rsidR="009F1AE0" w:rsidRPr="005A464E" w:rsidRDefault="009F1AE0" w:rsidP="005A464E">
      <w:pPr>
        <w:pStyle w:val="nouk"/>
      </w:pPr>
    </w:p>
    <w:p w:rsidR="007E28F2" w:rsidRPr="005A464E" w:rsidRDefault="00464728" w:rsidP="00A71379">
      <w:pPr>
        <w:pStyle w:val="nouk"/>
        <w:jc w:val="center"/>
      </w:pPr>
      <w:r>
        <w:rPr>
          <w:noProof/>
          <w:lang w:eastAsia="el-GR"/>
        </w:rPr>
        <w:drawing>
          <wp:inline distT="0" distB="0" distL="0" distR="0">
            <wp:extent cx="3638550" cy="2886075"/>
            <wp:effectExtent l="19050" t="0" r="0" b="0"/>
            <wp:docPr id="18" name="Εικόνα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3" cstate="print"/>
                    <a:srcRect/>
                    <a:stretch>
                      <a:fillRect/>
                    </a:stretch>
                  </pic:blipFill>
                  <pic:spPr bwMode="auto">
                    <a:xfrm>
                      <a:off x="0" y="0"/>
                      <a:ext cx="3638550" cy="2886075"/>
                    </a:xfrm>
                    <a:prstGeom prst="rect">
                      <a:avLst/>
                    </a:prstGeom>
                    <a:noFill/>
                    <a:ln w="9525">
                      <a:noFill/>
                      <a:miter lim="800000"/>
                      <a:headEnd/>
                      <a:tailEnd/>
                    </a:ln>
                  </pic:spPr>
                </pic:pic>
              </a:graphicData>
            </a:graphic>
          </wp:inline>
        </w:drawing>
      </w:r>
    </w:p>
    <w:p w:rsidR="007E28F2" w:rsidRPr="00A71379" w:rsidRDefault="00A71379" w:rsidP="005A464E">
      <w:pPr>
        <w:pStyle w:val="nouk"/>
        <w:rPr>
          <w:sz w:val="22"/>
          <w:szCs w:val="22"/>
        </w:rPr>
      </w:pPr>
      <w:r w:rsidRPr="00846E7B">
        <w:rPr>
          <w:i/>
        </w:rPr>
        <w:t>Γράφημα 18</w:t>
      </w:r>
      <w:r w:rsidR="0078495A">
        <w:t xml:space="preserve"> </w:t>
      </w:r>
      <w:r w:rsidRPr="00A71379">
        <w:rPr>
          <w:sz w:val="22"/>
          <w:szCs w:val="22"/>
        </w:rPr>
        <w:t xml:space="preserve">Βαθμολογία των συμμετεχόντων στη διάσταση «Λειτουργικότητα» ανάλογα με </w:t>
      </w:r>
      <w:r w:rsidR="002D3BEF">
        <w:rPr>
          <w:sz w:val="22"/>
          <w:szCs w:val="22"/>
        </w:rPr>
        <w:t>την μέθοδο</w:t>
      </w:r>
      <w:r w:rsidRPr="00A71379">
        <w:rPr>
          <w:sz w:val="22"/>
          <w:szCs w:val="22"/>
        </w:rPr>
        <w:t xml:space="preserve"> α</w:t>
      </w:r>
      <w:r>
        <w:rPr>
          <w:sz w:val="22"/>
          <w:szCs w:val="22"/>
        </w:rPr>
        <w:t>γγειακής προσπέλασης</w:t>
      </w:r>
    </w:p>
    <w:p w:rsidR="00A71379" w:rsidRPr="005A464E" w:rsidRDefault="00A71379" w:rsidP="005A464E">
      <w:pPr>
        <w:pStyle w:val="nouk"/>
      </w:pPr>
    </w:p>
    <w:p w:rsidR="007E28F2" w:rsidRPr="005A464E" w:rsidRDefault="007E28F2" w:rsidP="005A464E">
      <w:pPr>
        <w:pStyle w:val="nouk"/>
      </w:pPr>
      <w:r w:rsidRPr="005A464E">
        <w:t>Στη συνέχεια έγινε πολυπαραγοντική γραμμική παλινδρόμηση έχοντας σαν εξαρτημένη μεταβλητή τη βαθμολογία στη διάσταση «</w:t>
      </w:r>
      <w:r w:rsidR="00F60413" w:rsidRPr="005A464E">
        <w:t>Διαπροσωπικές σχέσεις</w:t>
      </w:r>
      <w:r w:rsidRPr="005A464E">
        <w:t>» και σαν ανεξάρτητες τα δημογραφικά και κλινικά στοιχεία των συμμετεχόντων καθώς και τη συμμόρφωση - γνώση. Με τη μέθοδο διαδοχικής ένταξης/αφαίρεσης (</w:t>
      </w:r>
      <w:r w:rsidRPr="005A464E">
        <w:rPr>
          <w:lang w:val="en-US"/>
        </w:rPr>
        <w:t>stepwise</w:t>
      </w:r>
      <w:r w:rsidRPr="005A464E">
        <w:t xml:space="preserve"> </w:t>
      </w:r>
      <w:r w:rsidRPr="005A464E">
        <w:rPr>
          <w:lang w:val="en-US"/>
        </w:rPr>
        <w:t>method</w:t>
      </w:r>
      <w:r w:rsidRPr="005A464E">
        <w:t>) βρέθηκαν τα αποτελέσματα του παρακάτω πίνακα</w:t>
      </w:r>
      <w:r w:rsidR="00263C7B">
        <w:t xml:space="preserve"> (Π</w:t>
      </w:r>
      <w:r w:rsidR="00F6061C">
        <w:t>ίν 45</w:t>
      </w:r>
      <w:r w:rsidR="00A71379">
        <w:t>)</w:t>
      </w:r>
      <w:r w:rsidRPr="005A464E">
        <w:t xml:space="preserve">. </w:t>
      </w:r>
    </w:p>
    <w:p w:rsidR="00F6061C" w:rsidRDefault="00F6061C" w:rsidP="00510761">
      <w:pPr>
        <w:spacing w:after="0" w:line="360" w:lineRule="auto"/>
        <w:jc w:val="both"/>
        <w:rPr>
          <w:rFonts w:asciiTheme="minorHAnsi" w:eastAsia="Times New Roman" w:hAnsiTheme="minorHAnsi" w:cs="Arial"/>
          <w:bCs/>
          <w:color w:val="000000"/>
        </w:rPr>
      </w:pPr>
    </w:p>
    <w:p w:rsidR="00510761" w:rsidRPr="009F1AE0" w:rsidRDefault="00F6061C" w:rsidP="00510761">
      <w:pPr>
        <w:spacing w:after="0" w:line="360" w:lineRule="auto"/>
        <w:jc w:val="both"/>
        <w:rPr>
          <w:rFonts w:asciiTheme="minorHAnsi" w:eastAsia="Times New Roman" w:hAnsiTheme="minorHAnsi" w:cs="Arial"/>
          <w:bCs/>
          <w:color w:val="000000"/>
          <w:sz w:val="24"/>
          <w:szCs w:val="24"/>
        </w:rPr>
      </w:pPr>
      <w:r w:rsidRPr="009F1AE0">
        <w:rPr>
          <w:rFonts w:asciiTheme="minorHAnsi" w:eastAsia="Times New Roman" w:hAnsiTheme="minorHAnsi" w:cs="Arial"/>
          <w:bCs/>
          <w:color w:val="000000"/>
          <w:sz w:val="24"/>
          <w:szCs w:val="24"/>
        </w:rPr>
        <w:t>Πίνακας 45</w:t>
      </w:r>
    </w:p>
    <w:p w:rsidR="007E28F2" w:rsidRPr="005A464E" w:rsidRDefault="00510761" w:rsidP="00510761">
      <w:pPr>
        <w:pStyle w:val="nouk"/>
        <w:rPr>
          <w:vertAlign w:val="superscript"/>
        </w:rPr>
      </w:pPr>
      <w:r w:rsidRPr="005A6389">
        <w:rPr>
          <w:rFonts w:asciiTheme="minorHAnsi" w:eastAsiaTheme="minorHAnsi" w:hAnsiTheme="minorHAnsi" w:cstheme="minorBidi"/>
          <w:i/>
        </w:rPr>
        <w:t>Πολυπαραγοντική γραμμική παλινδρόμηση</w:t>
      </w:r>
      <w:r w:rsidRPr="005A6389">
        <w:rPr>
          <w:i/>
        </w:rPr>
        <w:t xml:space="preserve"> της βαθμολογίας στη διάσταση «Διαπροσωπικές σχέσεις» με τα δημογραφικά και κλινικά στοιχεία των συμμετεχόντων καθώς και τη συμμόρφωση - γνώση</w:t>
      </w:r>
    </w:p>
    <w:tbl>
      <w:tblPr>
        <w:tblStyle w:val="-41"/>
        <w:tblW w:w="8992" w:type="dxa"/>
        <w:jc w:val="center"/>
        <w:tblLook w:val="04A0"/>
      </w:tblPr>
      <w:tblGrid>
        <w:gridCol w:w="2715"/>
        <w:gridCol w:w="3397"/>
        <w:gridCol w:w="960"/>
        <w:gridCol w:w="960"/>
        <w:gridCol w:w="960"/>
      </w:tblGrid>
      <w:tr w:rsidR="007E28F2" w:rsidRPr="009F1AE0" w:rsidTr="000656A4">
        <w:trPr>
          <w:cnfStyle w:val="100000000000"/>
          <w:trHeight w:val="345"/>
          <w:jc w:val="center"/>
        </w:trPr>
        <w:tc>
          <w:tcPr>
            <w:cnfStyle w:val="001000000000"/>
            <w:tcW w:w="2715" w:type="dxa"/>
            <w:hideMark/>
          </w:tcPr>
          <w:p w:rsidR="007E28F2" w:rsidRPr="009F1AE0" w:rsidRDefault="007E28F2" w:rsidP="005A464E">
            <w:pPr>
              <w:spacing w:after="0" w:line="360" w:lineRule="auto"/>
              <w:rPr>
                <w:rFonts w:asciiTheme="minorHAnsi" w:eastAsia="Times New Roman" w:hAnsiTheme="minorHAnsi" w:cs="Arial"/>
                <w:b w:val="0"/>
                <w:bCs w:val="0"/>
                <w:color w:val="000000"/>
                <w:sz w:val="24"/>
                <w:szCs w:val="24"/>
              </w:rPr>
            </w:pPr>
            <w:r w:rsidRPr="009F1AE0">
              <w:rPr>
                <w:rFonts w:asciiTheme="minorHAnsi" w:eastAsia="Times New Roman" w:hAnsiTheme="minorHAnsi" w:cs="Arial"/>
                <w:b w:val="0"/>
                <w:bCs w:val="0"/>
                <w:color w:val="000000"/>
                <w:sz w:val="24"/>
                <w:szCs w:val="24"/>
              </w:rPr>
              <w:t> </w:t>
            </w:r>
          </w:p>
        </w:tc>
        <w:tc>
          <w:tcPr>
            <w:tcW w:w="3397" w:type="dxa"/>
            <w:hideMark/>
          </w:tcPr>
          <w:p w:rsidR="007E28F2" w:rsidRPr="009F1AE0" w:rsidRDefault="007E28F2" w:rsidP="005A464E">
            <w:pPr>
              <w:spacing w:after="0" w:line="360" w:lineRule="auto"/>
              <w:cnfStyle w:val="1000000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 </w:t>
            </w:r>
          </w:p>
        </w:tc>
        <w:tc>
          <w:tcPr>
            <w:tcW w:w="960" w:type="dxa"/>
            <w:noWrap/>
            <w:hideMark/>
          </w:tcPr>
          <w:p w:rsidR="007E28F2" w:rsidRPr="009F1AE0" w:rsidRDefault="007E28F2" w:rsidP="005A464E">
            <w:pPr>
              <w:spacing w:after="0" w:line="360" w:lineRule="auto"/>
              <w:jc w:val="center"/>
              <w:cnfStyle w:val="100000000000"/>
              <w:rPr>
                <w:rFonts w:asciiTheme="minorHAnsi" w:eastAsia="Times New Roman" w:hAnsiTheme="minorHAnsi" w:cs="Arial"/>
                <w:b w:val="0"/>
                <w:bCs w:val="0"/>
                <w:color w:val="000000"/>
                <w:sz w:val="24"/>
                <w:szCs w:val="24"/>
              </w:rPr>
            </w:pPr>
            <w:r w:rsidRPr="009F1AE0">
              <w:rPr>
                <w:rFonts w:asciiTheme="minorHAnsi" w:eastAsia="Times New Roman" w:hAnsiTheme="minorHAnsi" w:cs="Arial"/>
                <w:b w:val="0"/>
                <w:bCs w:val="0"/>
                <w:color w:val="000000"/>
                <w:sz w:val="24"/>
                <w:szCs w:val="24"/>
              </w:rPr>
              <w:t>β+</w:t>
            </w:r>
          </w:p>
        </w:tc>
        <w:tc>
          <w:tcPr>
            <w:tcW w:w="960" w:type="dxa"/>
            <w:noWrap/>
            <w:hideMark/>
          </w:tcPr>
          <w:p w:rsidR="007E28F2" w:rsidRPr="009F1AE0" w:rsidRDefault="007E28F2" w:rsidP="005A464E">
            <w:pPr>
              <w:spacing w:after="0" w:line="360" w:lineRule="auto"/>
              <w:jc w:val="center"/>
              <w:cnfStyle w:val="100000000000"/>
              <w:rPr>
                <w:rFonts w:asciiTheme="minorHAnsi" w:eastAsia="Times New Roman" w:hAnsiTheme="minorHAnsi" w:cs="Arial"/>
                <w:b w:val="0"/>
                <w:bCs w:val="0"/>
                <w:color w:val="000000"/>
                <w:sz w:val="24"/>
                <w:szCs w:val="24"/>
              </w:rPr>
            </w:pPr>
            <w:r w:rsidRPr="009F1AE0">
              <w:rPr>
                <w:rFonts w:asciiTheme="minorHAnsi" w:eastAsia="Times New Roman" w:hAnsiTheme="minorHAnsi" w:cs="Arial"/>
                <w:b w:val="0"/>
                <w:bCs w:val="0"/>
                <w:color w:val="000000"/>
                <w:sz w:val="24"/>
                <w:szCs w:val="24"/>
              </w:rPr>
              <w:t>SE++</w:t>
            </w:r>
          </w:p>
        </w:tc>
        <w:tc>
          <w:tcPr>
            <w:tcW w:w="960" w:type="dxa"/>
            <w:noWrap/>
            <w:hideMark/>
          </w:tcPr>
          <w:p w:rsidR="007E28F2" w:rsidRPr="009F1AE0" w:rsidRDefault="007E28F2" w:rsidP="005A464E">
            <w:pPr>
              <w:spacing w:after="0" w:line="360" w:lineRule="auto"/>
              <w:jc w:val="center"/>
              <w:cnfStyle w:val="100000000000"/>
              <w:rPr>
                <w:rFonts w:asciiTheme="minorHAnsi" w:eastAsia="Times New Roman" w:hAnsiTheme="minorHAnsi" w:cs="Arial"/>
                <w:b w:val="0"/>
                <w:bCs w:val="0"/>
                <w:color w:val="000000"/>
                <w:sz w:val="24"/>
                <w:szCs w:val="24"/>
              </w:rPr>
            </w:pPr>
            <w:r w:rsidRPr="009F1AE0">
              <w:rPr>
                <w:rFonts w:asciiTheme="minorHAnsi" w:eastAsia="Times New Roman" w:hAnsiTheme="minorHAnsi" w:cs="Arial"/>
                <w:b w:val="0"/>
                <w:bCs w:val="0"/>
                <w:color w:val="000000"/>
                <w:sz w:val="24"/>
                <w:szCs w:val="24"/>
              </w:rPr>
              <w:t>P</w:t>
            </w:r>
          </w:p>
        </w:tc>
      </w:tr>
      <w:tr w:rsidR="007E28F2" w:rsidRPr="009F1AE0" w:rsidTr="000656A4">
        <w:trPr>
          <w:cnfStyle w:val="000000100000"/>
          <w:trHeight w:val="345"/>
          <w:jc w:val="center"/>
        </w:trPr>
        <w:tc>
          <w:tcPr>
            <w:cnfStyle w:val="001000000000"/>
            <w:tcW w:w="2715" w:type="dxa"/>
            <w:vMerge w:val="restart"/>
            <w:hideMark/>
          </w:tcPr>
          <w:p w:rsidR="007E28F2" w:rsidRPr="009F1AE0" w:rsidRDefault="00E771E9" w:rsidP="005A464E">
            <w:pPr>
              <w:spacing w:after="0" w:line="360" w:lineRule="auto"/>
              <w:rPr>
                <w:rFonts w:asciiTheme="minorHAnsi" w:eastAsia="Times New Roman" w:hAnsiTheme="minorHAnsi" w:cs="Arial"/>
                <w:bCs w:val="0"/>
                <w:color w:val="000000"/>
                <w:sz w:val="24"/>
                <w:szCs w:val="24"/>
              </w:rPr>
            </w:pPr>
            <w:r w:rsidRPr="009F1AE0">
              <w:rPr>
                <w:rFonts w:asciiTheme="minorHAnsi" w:eastAsia="Times New Roman" w:hAnsiTheme="minorHAnsi" w:cs="Arial"/>
                <w:bCs w:val="0"/>
                <w:color w:val="000000"/>
                <w:sz w:val="24"/>
                <w:szCs w:val="24"/>
              </w:rPr>
              <w:t>Μέ</w:t>
            </w:r>
            <w:r w:rsidR="007E28F2" w:rsidRPr="009F1AE0">
              <w:rPr>
                <w:rFonts w:asciiTheme="minorHAnsi" w:eastAsia="Times New Roman" w:hAnsiTheme="minorHAnsi" w:cs="Arial"/>
                <w:bCs w:val="0"/>
                <w:color w:val="000000"/>
                <w:sz w:val="24"/>
                <w:szCs w:val="24"/>
              </w:rPr>
              <w:t>νετε μόνος;</w:t>
            </w:r>
          </w:p>
        </w:tc>
        <w:tc>
          <w:tcPr>
            <w:tcW w:w="3397" w:type="dxa"/>
            <w:hideMark/>
          </w:tcPr>
          <w:p w:rsidR="007E28F2" w:rsidRPr="009F1AE0" w:rsidRDefault="002B5862" w:rsidP="005A464E">
            <w:pPr>
              <w:spacing w:after="0" w:line="360" w:lineRule="auto"/>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Ναι (Αναφορά)</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 </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 </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 </w:t>
            </w:r>
          </w:p>
        </w:tc>
      </w:tr>
      <w:tr w:rsidR="007E28F2" w:rsidRPr="009F1AE0" w:rsidTr="000656A4">
        <w:trPr>
          <w:cnfStyle w:val="000000010000"/>
          <w:trHeight w:val="345"/>
          <w:jc w:val="center"/>
        </w:trPr>
        <w:tc>
          <w:tcPr>
            <w:cnfStyle w:val="001000000000"/>
            <w:tcW w:w="2715" w:type="dxa"/>
            <w:vMerge/>
            <w:hideMark/>
          </w:tcPr>
          <w:p w:rsidR="007E28F2" w:rsidRPr="009F1AE0" w:rsidRDefault="007E28F2" w:rsidP="005A464E">
            <w:pPr>
              <w:spacing w:after="0" w:line="360" w:lineRule="auto"/>
              <w:rPr>
                <w:rFonts w:asciiTheme="minorHAnsi" w:eastAsia="Times New Roman" w:hAnsiTheme="minorHAnsi" w:cs="Arial"/>
                <w:bCs w:val="0"/>
                <w:color w:val="000000"/>
                <w:sz w:val="24"/>
                <w:szCs w:val="24"/>
              </w:rPr>
            </w:pPr>
          </w:p>
        </w:tc>
        <w:tc>
          <w:tcPr>
            <w:tcW w:w="3397" w:type="dxa"/>
            <w:hideMark/>
          </w:tcPr>
          <w:p w:rsidR="007E28F2" w:rsidRPr="009F1AE0" w:rsidRDefault="002B5862" w:rsidP="005A464E">
            <w:pPr>
              <w:spacing w:after="0" w:line="360" w:lineRule="auto"/>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Όχι</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10,55</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1,65</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b/>
                <w:color w:val="000000"/>
                <w:sz w:val="24"/>
                <w:szCs w:val="24"/>
              </w:rPr>
            </w:pPr>
            <w:r w:rsidRPr="009F1AE0">
              <w:rPr>
                <w:rFonts w:asciiTheme="minorHAnsi" w:eastAsia="Times New Roman" w:hAnsiTheme="minorHAnsi" w:cs="Arial"/>
                <w:b/>
                <w:color w:val="000000"/>
                <w:sz w:val="24"/>
                <w:szCs w:val="24"/>
              </w:rPr>
              <w:t>&lt;0,001</w:t>
            </w:r>
          </w:p>
        </w:tc>
      </w:tr>
      <w:tr w:rsidR="007E28F2" w:rsidRPr="009F1AE0" w:rsidTr="000656A4">
        <w:trPr>
          <w:cnfStyle w:val="000000100000"/>
          <w:trHeight w:val="345"/>
          <w:jc w:val="center"/>
        </w:trPr>
        <w:tc>
          <w:tcPr>
            <w:cnfStyle w:val="001000000000"/>
            <w:tcW w:w="2715" w:type="dxa"/>
            <w:hideMark/>
          </w:tcPr>
          <w:p w:rsidR="007E28F2" w:rsidRPr="009F1AE0" w:rsidRDefault="007E28F2" w:rsidP="005A464E">
            <w:pPr>
              <w:spacing w:after="0" w:line="360" w:lineRule="auto"/>
              <w:rPr>
                <w:rFonts w:asciiTheme="minorHAnsi" w:eastAsia="Times New Roman" w:hAnsiTheme="minorHAnsi" w:cs="Arial"/>
                <w:bCs w:val="0"/>
                <w:color w:val="000000"/>
                <w:sz w:val="24"/>
                <w:szCs w:val="24"/>
              </w:rPr>
            </w:pPr>
            <w:r w:rsidRPr="009F1AE0">
              <w:rPr>
                <w:rFonts w:asciiTheme="minorHAnsi" w:eastAsia="Times New Roman" w:hAnsiTheme="minorHAnsi" w:cs="Arial"/>
                <w:bCs w:val="0"/>
                <w:color w:val="000000"/>
                <w:sz w:val="24"/>
                <w:szCs w:val="24"/>
              </w:rPr>
              <w:t>Ηλικία</w:t>
            </w:r>
          </w:p>
        </w:tc>
        <w:tc>
          <w:tcPr>
            <w:tcW w:w="3397" w:type="dxa"/>
            <w:noWrap/>
            <w:hideMark/>
          </w:tcPr>
          <w:p w:rsidR="007E28F2" w:rsidRPr="009F1AE0" w:rsidRDefault="007E28F2" w:rsidP="005A464E">
            <w:pPr>
              <w:spacing w:after="0" w:line="360" w:lineRule="auto"/>
              <w:cnfStyle w:val="000000100000"/>
              <w:rPr>
                <w:rFonts w:asciiTheme="minorHAnsi" w:eastAsia="Times New Roman" w:hAnsiTheme="minorHAnsi" w:cs="Arial"/>
                <w:color w:val="000000"/>
                <w:sz w:val="24"/>
                <w:szCs w:val="24"/>
              </w:rPr>
            </w:pP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-0,18</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0,05</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b/>
                <w:color w:val="000000"/>
                <w:sz w:val="24"/>
                <w:szCs w:val="24"/>
              </w:rPr>
            </w:pPr>
            <w:r w:rsidRPr="009F1AE0">
              <w:rPr>
                <w:rFonts w:asciiTheme="minorHAnsi" w:eastAsia="Times New Roman" w:hAnsiTheme="minorHAnsi" w:cs="Arial"/>
                <w:b/>
                <w:color w:val="000000"/>
                <w:sz w:val="24"/>
                <w:szCs w:val="24"/>
              </w:rPr>
              <w:t>0,001</w:t>
            </w:r>
          </w:p>
        </w:tc>
      </w:tr>
      <w:tr w:rsidR="007E28F2" w:rsidRPr="009F1AE0" w:rsidTr="000656A4">
        <w:trPr>
          <w:cnfStyle w:val="000000010000"/>
          <w:trHeight w:val="345"/>
          <w:jc w:val="center"/>
        </w:trPr>
        <w:tc>
          <w:tcPr>
            <w:cnfStyle w:val="001000000000"/>
            <w:tcW w:w="2715" w:type="dxa"/>
            <w:hideMark/>
          </w:tcPr>
          <w:p w:rsidR="00F60413" w:rsidRPr="009F1AE0" w:rsidRDefault="007E28F2" w:rsidP="005A464E">
            <w:pPr>
              <w:spacing w:after="0" w:line="360" w:lineRule="auto"/>
              <w:rPr>
                <w:rFonts w:asciiTheme="minorHAnsi" w:eastAsiaTheme="minorHAnsi" w:hAnsiTheme="minorHAnsi" w:cs="Arial"/>
                <w:bCs w:val="0"/>
                <w:color w:val="000000"/>
                <w:sz w:val="24"/>
                <w:szCs w:val="24"/>
              </w:rPr>
            </w:pPr>
            <w:r w:rsidRPr="009F1AE0">
              <w:rPr>
                <w:rFonts w:asciiTheme="minorHAnsi" w:eastAsiaTheme="minorHAnsi" w:hAnsiTheme="minorHAnsi" w:cs="Arial"/>
                <w:bCs w:val="0"/>
                <w:color w:val="000000"/>
                <w:sz w:val="24"/>
                <w:szCs w:val="24"/>
              </w:rPr>
              <w:t xml:space="preserve">Κλίμακα συμμόρφωσης </w:t>
            </w:r>
          </w:p>
          <w:p w:rsidR="00F60413" w:rsidRPr="009F1AE0" w:rsidRDefault="007E28F2" w:rsidP="005A464E">
            <w:pPr>
              <w:spacing w:after="0" w:line="360" w:lineRule="auto"/>
              <w:rPr>
                <w:rFonts w:asciiTheme="minorHAnsi" w:eastAsiaTheme="minorHAnsi" w:hAnsiTheme="minorHAnsi" w:cs="Arial"/>
                <w:bCs w:val="0"/>
                <w:color w:val="000000"/>
                <w:sz w:val="24"/>
                <w:szCs w:val="24"/>
              </w:rPr>
            </w:pPr>
            <w:r w:rsidRPr="009F1AE0">
              <w:rPr>
                <w:rFonts w:asciiTheme="minorHAnsi" w:eastAsiaTheme="minorHAnsi" w:hAnsiTheme="minorHAnsi" w:cs="Arial"/>
                <w:bCs w:val="0"/>
                <w:color w:val="000000"/>
                <w:sz w:val="24"/>
                <w:szCs w:val="24"/>
              </w:rPr>
              <w:t>(</w:t>
            </w:r>
            <w:r w:rsidR="00F60413" w:rsidRPr="009F1AE0">
              <w:rPr>
                <w:rFonts w:asciiTheme="minorHAnsi" w:eastAsiaTheme="minorHAnsi" w:hAnsiTheme="minorHAnsi" w:cs="Arial"/>
                <w:bCs w:val="0"/>
                <w:color w:val="000000"/>
                <w:sz w:val="24"/>
                <w:szCs w:val="24"/>
                <w:lang w:val="en-US"/>
              </w:rPr>
              <w:t>GR</w:t>
            </w:r>
            <w:r w:rsidR="00F60413" w:rsidRPr="009F1AE0">
              <w:rPr>
                <w:rFonts w:asciiTheme="minorHAnsi" w:eastAsiaTheme="minorHAnsi" w:hAnsiTheme="minorHAnsi" w:cs="Arial"/>
                <w:bCs w:val="0"/>
                <w:color w:val="000000"/>
                <w:sz w:val="24"/>
                <w:szCs w:val="24"/>
              </w:rPr>
              <w:t>-</w:t>
            </w:r>
            <w:r w:rsidRPr="009F1AE0">
              <w:rPr>
                <w:rFonts w:asciiTheme="minorHAnsi" w:eastAsiaTheme="minorHAnsi" w:hAnsiTheme="minorHAnsi" w:cs="Arial"/>
                <w:bCs w:val="0"/>
                <w:color w:val="000000"/>
                <w:sz w:val="24"/>
                <w:szCs w:val="24"/>
              </w:rPr>
              <w:t>SMAQ</w:t>
            </w:r>
            <w:r w:rsidR="00F60413" w:rsidRPr="009F1AE0">
              <w:rPr>
                <w:rFonts w:asciiTheme="minorHAnsi" w:eastAsiaTheme="minorHAnsi" w:hAnsiTheme="minorHAnsi" w:cs="Arial"/>
                <w:bCs w:val="0"/>
                <w:color w:val="000000"/>
                <w:sz w:val="24"/>
                <w:szCs w:val="24"/>
              </w:rPr>
              <w:t>-</w:t>
            </w:r>
            <w:r w:rsidR="00F60413" w:rsidRPr="009F1AE0">
              <w:rPr>
                <w:rFonts w:asciiTheme="minorHAnsi" w:eastAsiaTheme="minorHAnsi" w:hAnsiTheme="minorHAnsi" w:cs="Arial"/>
                <w:bCs w:val="0"/>
                <w:color w:val="000000"/>
                <w:sz w:val="24"/>
                <w:szCs w:val="24"/>
                <w:lang w:val="en-US"/>
              </w:rPr>
              <w:t>HD</w:t>
            </w:r>
            <w:r w:rsidRPr="009F1AE0">
              <w:rPr>
                <w:rFonts w:asciiTheme="minorHAnsi" w:eastAsiaTheme="minorHAnsi" w:hAnsiTheme="minorHAnsi" w:cs="Arial"/>
                <w:bCs w:val="0"/>
                <w:color w:val="000000"/>
                <w:sz w:val="24"/>
                <w:szCs w:val="24"/>
              </w:rPr>
              <w:t>)</w:t>
            </w:r>
          </w:p>
          <w:p w:rsidR="00F60413" w:rsidRPr="009F1AE0" w:rsidRDefault="00F60413" w:rsidP="005A464E">
            <w:pPr>
              <w:spacing w:after="0" w:line="360" w:lineRule="auto"/>
              <w:rPr>
                <w:rFonts w:asciiTheme="minorHAnsi" w:eastAsiaTheme="minorHAnsi" w:hAnsiTheme="minorHAnsi" w:cs="Arial"/>
                <w:bCs w:val="0"/>
                <w:color w:val="000000"/>
                <w:sz w:val="24"/>
                <w:szCs w:val="24"/>
              </w:rPr>
            </w:pPr>
          </w:p>
        </w:tc>
        <w:tc>
          <w:tcPr>
            <w:tcW w:w="3397" w:type="dxa"/>
            <w:hideMark/>
          </w:tcPr>
          <w:p w:rsidR="007E28F2" w:rsidRPr="009F1AE0" w:rsidRDefault="007E28F2" w:rsidP="005A464E">
            <w:pPr>
              <w:spacing w:after="0" w:line="360" w:lineRule="auto"/>
              <w:cnfStyle w:val="000000010000"/>
              <w:rPr>
                <w:rFonts w:asciiTheme="minorHAnsi" w:eastAsia="Times New Roman" w:hAnsiTheme="minorHAnsi" w:cs="Arial"/>
                <w:color w:val="000000"/>
                <w:sz w:val="24"/>
                <w:szCs w:val="24"/>
              </w:rPr>
            </w:pP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1,01</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0,38</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b/>
                <w:color w:val="000000"/>
                <w:sz w:val="24"/>
                <w:szCs w:val="24"/>
              </w:rPr>
            </w:pPr>
            <w:r w:rsidRPr="009F1AE0">
              <w:rPr>
                <w:rFonts w:asciiTheme="minorHAnsi" w:eastAsia="Times New Roman" w:hAnsiTheme="minorHAnsi" w:cs="Arial"/>
                <w:b/>
                <w:color w:val="000000"/>
                <w:sz w:val="24"/>
                <w:szCs w:val="24"/>
              </w:rPr>
              <w:t>0,010</w:t>
            </w:r>
          </w:p>
        </w:tc>
      </w:tr>
      <w:tr w:rsidR="007E28F2" w:rsidRPr="009F1AE0" w:rsidTr="000656A4">
        <w:trPr>
          <w:cnfStyle w:val="000000100000"/>
          <w:trHeight w:val="345"/>
          <w:jc w:val="center"/>
        </w:trPr>
        <w:tc>
          <w:tcPr>
            <w:cnfStyle w:val="001000000000"/>
            <w:tcW w:w="2715" w:type="dxa"/>
            <w:vMerge w:val="restart"/>
            <w:hideMark/>
          </w:tcPr>
          <w:p w:rsidR="007E28F2" w:rsidRPr="009F1AE0" w:rsidRDefault="000D053B" w:rsidP="005A464E">
            <w:pPr>
              <w:spacing w:after="0" w:line="360" w:lineRule="auto"/>
              <w:rPr>
                <w:rFonts w:asciiTheme="minorHAnsi" w:eastAsia="Times New Roman" w:hAnsiTheme="minorHAnsi" w:cs="Arial"/>
                <w:bCs w:val="0"/>
                <w:color w:val="000000"/>
                <w:sz w:val="24"/>
                <w:szCs w:val="24"/>
              </w:rPr>
            </w:pPr>
            <w:r w:rsidRPr="009F1AE0">
              <w:rPr>
                <w:rFonts w:asciiTheme="minorHAnsi" w:eastAsia="Times New Roman" w:hAnsiTheme="minorHAnsi" w:cs="Arial"/>
                <w:bCs w:val="0"/>
                <w:color w:val="000000"/>
                <w:sz w:val="24"/>
                <w:szCs w:val="24"/>
              </w:rPr>
              <w:t>Εκπαιδευτικό</w:t>
            </w:r>
            <w:r w:rsidR="007E28F2" w:rsidRPr="009F1AE0">
              <w:rPr>
                <w:rFonts w:asciiTheme="minorHAnsi" w:eastAsia="Times New Roman" w:hAnsiTheme="minorHAnsi" w:cs="Arial"/>
                <w:bCs w:val="0"/>
                <w:color w:val="000000"/>
                <w:sz w:val="24"/>
                <w:szCs w:val="24"/>
              </w:rPr>
              <w:t xml:space="preserve"> επίπεδο</w:t>
            </w:r>
          </w:p>
        </w:tc>
        <w:tc>
          <w:tcPr>
            <w:tcW w:w="3397" w:type="dxa"/>
            <w:hideMark/>
          </w:tcPr>
          <w:p w:rsidR="007E28F2" w:rsidRPr="009F1AE0" w:rsidRDefault="002B5862" w:rsidP="005A464E">
            <w:pPr>
              <w:spacing w:after="0" w:line="360" w:lineRule="auto"/>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Αναλφάβητος/ Δημοτικό (Αναφορά)</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p>
        </w:tc>
      </w:tr>
      <w:tr w:rsidR="007E28F2" w:rsidRPr="009F1AE0" w:rsidTr="000656A4">
        <w:trPr>
          <w:cnfStyle w:val="000000010000"/>
          <w:trHeight w:val="345"/>
          <w:jc w:val="center"/>
        </w:trPr>
        <w:tc>
          <w:tcPr>
            <w:cnfStyle w:val="001000000000"/>
            <w:tcW w:w="2715" w:type="dxa"/>
            <w:vMerge/>
            <w:hideMark/>
          </w:tcPr>
          <w:p w:rsidR="007E28F2" w:rsidRPr="009F1AE0" w:rsidRDefault="007E28F2" w:rsidP="005A464E">
            <w:pPr>
              <w:spacing w:after="0" w:line="360" w:lineRule="auto"/>
              <w:rPr>
                <w:rFonts w:asciiTheme="minorHAnsi" w:eastAsia="Times New Roman" w:hAnsiTheme="minorHAnsi" w:cs="Arial"/>
                <w:b w:val="0"/>
                <w:bCs w:val="0"/>
                <w:color w:val="000000"/>
                <w:sz w:val="24"/>
                <w:szCs w:val="24"/>
              </w:rPr>
            </w:pPr>
          </w:p>
        </w:tc>
        <w:tc>
          <w:tcPr>
            <w:tcW w:w="3397" w:type="dxa"/>
            <w:hideMark/>
          </w:tcPr>
          <w:p w:rsidR="007E28F2" w:rsidRPr="009F1AE0" w:rsidRDefault="002B5862" w:rsidP="005A464E">
            <w:pPr>
              <w:spacing w:after="0" w:line="360" w:lineRule="auto"/>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Γυμνάσιο/ Λύκειο</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-0,10</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1,34</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0,943</w:t>
            </w:r>
          </w:p>
        </w:tc>
      </w:tr>
      <w:tr w:rsidR="007E28F2" w:rsidRPr="009F1AE0" w:rsidTr="000656A4">
        <w:trPr>
          <w:cnfStyle w:val="000000100000"/>
          <w:trHeight w:val="345"/>
          <w:jc w:val="center"/>
        </w:trPr>
        <w:tc>
          <w:tcPr>
            <w:cnfStyle w:val="001000000000"/>
            <w:tcW w:w="2715" w:type="dxa"/>
            <w:vMerge/>
            <w:hideMark/>
          </w:tcPr>
          <w:p w:rsidR="007E28F2" w:rsidRPr="009F1AE0" w:rsidRDefault="007E28F2" w:rsidP="005A464E">
            <w:pPr>
              <w:spacing w:after="0" w:line="360" w:lineRule="auto"/>
              <w:rPr>
                <w:rFonts w:asciiTheme="minorHAnsi" w:eastAsia="Times New Roman" w:hAnsiTheme="minorHAnsi" w:cs="Arial"/>
                <w:b w:val="0"/>
                <w:bCs w:val="0"/>
                <w:color w:val="000000"/>
                <w:sz w:val="24"/>
                <w:szCs w:val="24"/>
              </w:rPr>
            </w:pPr>
          </w:p>
        </w:tc>
        <w:tc>
          <w:tcPr>
            <w:tcW w:w="3397" w:type="dxa"/>
            <w:hideMark/>
          </w:tcPr>
          <w:p w:rsidR="007E28F2" w:rsidRPr="009F1AE0" w:rsidRDefault="002B5862" w:rsidP="005A464E">
            <w:pPr>
              <w:spacing w:after="0" w:line="360" w:lineRule="auto"/>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 xml:space="preserve">Φοιτητής/ Απόφοιτος </w:t>
            </w:r>
            <w:r w:rsidR="007E28F2" w:rsidRPr="009F1AE0">
              <w:rPr>
                <w:rFonts w:asciiTheme="minorHAnsi" w:eastAsia="Times New Roman" w:hAnsiTheme="minorHAnsi" w:cs="Arial"/>
                <w:color w:val="000000"/>
                <w:sz w:val="24"/>
                <w:szCs w:val="24"/>
              </w:rPr>
              <w:t>ΑΕΙ</w:t>
            </w:r>
            <w:r w:rsidRPr="009F1AE0">
              <w:rPr>
                <w:rFonts w:asciiTheme="minorHAnsi" w:eastAsia="Times New Roman" w:hAnsiTheme="minorHAnsi" w:cs="Arial"/>
                <w:color w:val="000000"/>
                <w:sz w:val="24"/>
                <w:szCs w:val="24"/>
              </w:rPr>
              <w:t>/</w:t>
            </w:r>
            <w:r w:rsidR="007E28F2" w:rsidRPr="009F1AE0">
              <w:rPr>
                <w:rFonts w:asciiTheme="minorHAnsi" w:eastAsia="Times New Roman" w:hAnsiTheme="minorHAnsi" w:cs="Arial"/>
                <w:color w:val="000000"/>
                <w:sz w:val="24"/>
                <w:szCs w:val="24"/>
              </w:rPr>
              <w:t>ΤΕΙ</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4,80</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1,79</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b/>
                <w:color w:val="000000"/>
                <w:sz w:val="24"/>
                <w:szCs w:val="24"/>
              </w:rPr>
            </w:pPr>
            <w:r w:rsidRPr="009F1AE0">
              <w:rPr>
                <w:rFonts w:asciiTheme="minorHAnsi" w:eastAsia="Times New Roman" w:hAnsiTheme="minorHAnsi" w:cs="Arial"/>
                <w:b/>
                <w:color w:val="000000"/>
                <w:sz w:val="24"/>
                <w:szCs w:val="24"/>
              </w:rPr>
              <w:t>0,008</w:t>
            </w:r>
          </w:p>
        </w:tc>
      </w:tr>
      <w:tr w:rsidR="009F1AE0" w:rsidRPr="009F1AE0" w:rsidTr="000656A4">
        <w:trPr>
          <w:cnfStyle w:val="000000010000"/>
          <w:trHeight w:val="345"/>
          <w:jc w:val="center"/>
        </w:trPr>
        <w:tc>
          <w:tcPr>
            <w:cnfStyle w:val="001000000000"/>
            <w:tcW w:w="8992" w:type="dxa"/>
            <w:gridSpan w:val="5"/>
            <w:hideMark/>
          </w:tcPr>
          <w:p w:rsidR="009F1AE0" w:rsidRPr="00E50302" w:rsidRDefault="009F1AE0" w:rsidP="00E50302">
            <w:pPr>
              <w:pStyle w:val="nouk"/>
              <w:spacing w:line="276" w:lineRule="auto"/>
              <w:rPr>
                <w:b w:val="0"/>
                <w:i/>
                <w:sz w:val="20"/>
                <w:szCs w:val="20"/>
              </w:rPr>
            </w:pPr>
            <w:r w:rsidRPr="00E50302">
              <w:rPr>
                <w:b w:val="0"/>
                <w:i/>
                <w:sz w:val="20"/>
                <w:szCs w:val="20"/>
                <w:vertAlign w:val="superscript"/>
              </w:rPr>
              <w:t>+</w:t>
            </w:r>
            <w:r w:rsidRPr="00E50302">
              <w:rPr>
                <w:b w:val="0"/>
                <w:i/>
                <w:sz w:val="20"/>
                <w:szCs w:val="20"/>
              </w:rPr>
              <w:t xml:space="preserve">συντελεστής εξάρτησης </w:t>
            </w:r>
            <w:r w:rsidRPr="00E50302">
              <w:rPr>
                <w:b w:val="0"/>
                <w:i/>
                <w:sz w:val="20"/>
                <w:szCs w:val="20"/>
                <w:vertAlign w:val="superscript"/>
              </w:rPr>
              <w:t>++</w:t>
            </w:r>
            <w:r w:rsidRPr="00E50302">
              <w:rPr>
                <w:b w:val="0"/>
                <w:i/>
                <w:sz w:val="20"/>
                <w:szCs w:val="20"/>
              </w:rPr>
              <w:t>τυπικό σφάλμα συντελεστή εξάρτησης</w:t>
            </w:r>
          </w:p>
        </w:tc>
      </w:tr>
    </w:tbl>
    <w:p w:rsidR="007E28F2" w:rsidRPr="005A464E" w:rsidRDefault="007E28F2" w:rsidP="005A464E">
      <w:pPr>
        <w:pStyle w:val="nouk"/>
      </w:pPr>
    </w:p>
    <w:p w:rsidR="007E28F2" w:rsidRPr="00E771E9" w:rsidRDefault="007E28F2" w:rsidP="005A464E">
      <w:pPr>
        <w:pStyle w:val="nouk"/>
        <w:rPr>
          <w:highlight w:val="cyan"/>
        </w:rPr>
      </w:pPr>
      <w:r w:rsidRPr="005A464E">
        <w:t xml:space="preserve">Το αν έμεναν μόνοι τους, η ηλικία, η συμμόρφωση και το </w:t>
      </w:r>
      <w:r w:rsidR="000D053B">
        <w:t>εκπαιδευτικό</w:t>
      </w:r>
      <w:r w:rsidRPr="005A464E">
        <w:t xml:space="preserve"> επίπεδο των συμμετεχόντων βρέθηκαν να σχετίζονται ανεξάρτητα με τη βαθμολογία στη διάσταση «</w:t>
      </w:r>
      <w:r w:rsidR="0046526E" w:rsidRPr="005A464E">
        <w:t>Διαπροσωπικές σχέσεις</w:t>
      </w:r>
      <w:r w:rsidRPr="005A464E">
        <w:t xml:space="preserve">». </w:t>
      </w:r>
    </w:p>
    <w:p w:rsidR="007E28F2" w:rsidRPr="005A464E" w:rsidRDefault="007E28F2" w:rsidP="005A464E">
      <w:pPr>
        <w:pStyle w:val="nouk"/>
      </w:pPr>
      <w:r w:rsidRPr="005A464E">
        <w:t>Στο γράφημα που ακολουθεί</w:t>
      </w:r>
      <w:r w:rsidR="00A71379">
        <w:t xml:space="preserve"> (Γρ 19)</w:t>
      </w:r>
      <w:r w:rsidRPr="005A464E">
        <w:t xml:space="preserve"> δίνεται η βαθμολογία των συμμετεχόντων στη διάσταση «</w:t>
      </w:r>
      <w:r w:rsidR="00F60413" w:rsidRPr="005A464E">
        <w:t>Διαπροσωπικές σχέσεις</w:t>
      </w:r>
      <w:r w:rsidRPr="005A464E">
        <w:t xml:space="preserve">» ανάλογα με το </w:t>
      </w:r>
      <w:r w:rsidR="000D053B">
        <w:t>εκπαιδευτικό</w:t>
      </w:r>
      <w:r w:rsidRPr="005A464E">
        <w:t xml:space="preserve"> τους επίπεδο. </w:t>
      </w:r>
    </w:p>
    <w:p w:rsidR="007E28F2" w:rsidRPr="005A464E" w:rsidRDefault="007E28F2" w:rsidP="005A464E">
      <w:pPr>
        <w:pStyle w:val="nouk"/>
      </w:pPr>
    </w:p>
    <w:p w:rsidR="007E28F2" w:rsidRPr="005A464E" w:rsidRDefault="00464728" w:rsidP="00636022">
      <w:pPr>
        <w:pStyle w:val="nouk"/>
        <w:jc w:val="center"/>
      </w:pPr>
      <w:r>
        <w:rPr>
          <w:noProof/>
          <w:lang w:eastAsia="el-GR"/>
        </w:rPr>
        <w:drawing>
          <wp:inline distT="0" distB="0" distL="0" distR="0">
            <wp:extent cx="3724275" cy="2981325"/>
            <wp:effectExtent l="19050" t="0" r="9525" b="0"/>
            <wp:docPr id="19" name="Εικόνα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4" cstate="print"/>
                    <a:srcRect/>
                    <a:stretch>
                      <a:fillRect/>
                    </a:stretch>
                  </pic:blipFill>
                  <pic:spPr bwMode="auto">
                    <a:xfrm>
                      <a:off x="0" y="0"/>
                      <a:ext cx="3724275" cy="2981325"/>
                    </a:xfrm>
                    <a:prstGeom prst="rect">
                      <a:avLst/>
                    </a:prstGeom>
                    <a:noFill/>
                    <a:ln w="9525">
                      <a:noFill/>
                      <a:miter lim="800000"/>
                      <a:headEnd/>
                      <a:tailEnd/>
                    </a:ln>
                  </pic:spPr>
                </pic:pic>
              </a:graphicData>
            </a:graphic>
          </wp:inline>
        </w:drawing>
      </w:r>
    </w:p>
    <w:p w:rsidR="007E28F2" w:rsidRDefault="00A71379" w:rsidP="005A464E">
      <w:pPr>
        <w:pStyle w:val="nouk"/>
        <w:rPr>
          <w:sz w:val="22"/>
          <w:szCs w:val="22"/>
        </w:rPr>
      </w:pPr>
      <w:r w:rsidRPr="00846E7B">
        <w:rPr>
          <w:i/>
          <w:sz w:val="22"/>
          <w:szCs w:val="22"/>
        </w:rPr>
        <w:t>Γράφημα 19</w:t>
      </w:r>
      <w:r w:rsidRPr="00A71379">
        <w:t xml:space="preserve"> </w:t>
      </w:r>
      <w:r w:rsidRPr="00A71379">
        <w:rPr>
          <w:sz w:val="22"/>
          <w:szCs w:val="22"/>
        </w:rPr>
        <w:t xml:space="preserve">Βαθμολογία των συμμετεχόντων στη διάσταση «Διαπροσωπικές σχέσεις» ανάλογα με το </w:t>
      </w:r>
      <w:r w:rsidR="000D053B">
        <w:rPr>
          <w:sz w:val="22"/>
          <w:szCs w:val="22"/>
        </w:rPr>
        <w:t>εκπαιδευτικό</w:t>
      </w:r>
      <w:r w:rsidRPr="00A71379">
        <w:rPr>
          <w:sz w:val="22"/>
          <w:szCs w:val="22"/>
        </w:rPr>
        <w:t xml:space="preserve"> τους επίπεδο</w:t>
      </w:r>
    </w:p>
    <w:p w:rsidR="00A71379" w:rsidRPr="00A71379" w:rsidRDefault="00A71379" w:rsidP="005A464E">
      <w:pPr>
        <w:pStyle w:val="nouk"/>
        <w:rPr>
          <w:b/>
          <w:sz w:val="22"/>
          <w:szCs w:val="22"/>
        </w:rPr>
      </w:pPr>
    </w:p>
    <w:p w:rsidR="007E28F2" w:rsidRDefault="007E28F2" w:rsidP="002B5862">
      <w:pPr>
        <w:spacing w:line="360" w:lineRule="auto"/>
        <w:jc w:val="both"/>
      </w:pPr>
      <w:r w:rsidRPr="005A464E">
        <w:rPr>
          <w:sz w:val="24"/>
          <w:szCs w:val="24"/>
        </w:rPr>
        <w:t>Στη συνέχεια έγινε πολυπαραγοντική γραμμική παλινδρόμηση έχοντας σαν εξαρτημένη μεταβλητή τη βαθμολογία στη διάσταση «</w:t>
      </w:r>
      <w:r w:rsidR="003A7874" w:rsidRPr="005A464E">
        <w:rPr>
          <w:sz w:val="24"/>
          <w:szCs w:val="24"/>
        </w:rPr>
        <w:t>Ευεξία</w:t>
      </w:r>
      <w:r w:rsidRPr="005A464E">
        <w:rPr>
          <w:sz w:val="24"/>
          <w:szCs w:val="24"/>
        </w:rPr>
        <w:t>» και σαν ανεξάρτητες τα δημογραφικά και κλινικά στοιχεία των συμμετεχόντων καθώς και τη συμμόρφωση - γνώση. Με τη μέθοδο διαδοχικής ένταξης/αφαίρεσης (</w:t>
      </w:r>
      <w:r w:rsidRPr="005A464E">
        <w:rPr>
          <w:sz w:val="24"/>
          <w:szCs w:val="24"/>
          <w:lang w:val="en-US"/>
        </w:rPr>
        <w:t>stepwise</w:t>
      </w:r>
      <w:r w:rsidRPr="005A464E">
        <w:rPr>
          <w:sz w:val="24"/>
          <w:szCs w:val="24"/>
        </w:rPr>
        <w:t xml:space="preserve"> </w:t>
      </w:r>
      <w:r w:rsidRPr="005A464E">
        <w:rPr>
          <w:sz w:val="24"/>
          <w:szCs w:val="24"/>
          <w:lang w:val="en-US"/>
        </w:rPr>
        <w:t>method</w:t>
      </w:r>
      <w:r w:rsidRPr="005A464E">
        <w:rPr>
          <w:sz w:val="24"/>
          <w:szCs w:val="24"/>
        </w:rPr>
        <w:t>) βρέθηκαν τα αποτελέσματα του παρακάτω πίνακα</w:t>
      </w:r>
      <w:r w:rsidR="00F6061C">
        <w:rPr>
          <w:sz w:val="24"/>
          <w:szCs w:val="24"/>
        </w:rPr>
        <w:t xml:space="preserve"> (Πίν 46</w:t>
      </w:r>
      <w:r w:rsidR="00A71379">
        <w:rPr>
          <w:sz w:val="24"/>
          <w:szCs w:val="24"/>
        </w:rPr>
        <w:t>)</w:t>
      </w:r>
      <w:r w:rsidRPr="005A464E">
        <w:t xml:space="preserve">. </w:t>
      </w:r>
    </w:p>
    <w:p w:rsidR="00510761" w:rsidRPr="009F1AE0" w:rsidRDefault="00F6061C" w:rsidP="00510761">
      <w:pPr>
        <w:spacing w:after="0" w:line="360" w:lineRule="auto"/>
        <w:jc w:val="both"/>
        <w:rPr>
          <w:rFonts w:asciiTheme="minorHAnsi" w:eastAsia="Times New Roman" w:hAnsiTheme="minorHAnsi" w:cs="Arial"/>
          <w:bCs/>
          <w:color w:val="000000"/>
          <w:sz w:val="24"/>
          <w:szCs w:val="24"/>
        </w:rPr>
      </w:pPr>
      <w:r w:rsidRPr="009F1AE0">
        <w:rPr>
          <w:rFonts w:asciiTheme="minorHAnsi" w:eastAsia="Times New Roman" w:hAnsiTheme="minorHAnsi" w:cs="Arial"/>
          <w:bCs/>
          <w:color w:val="000000"/>
          <w:sz w:val="24"/>
          <w:szCs w:val="24"/>
        </w:rPr>
        <w:t>Πίνακας 46</w:t>
      </w:r>
      <w:r w:rsidR="00510761" w:rsidRPr="009F1AE0">
        <w:rPr>
          <w:rFonts w:asciiTheme="minorHAnsi" w:eastAsia="Times New Roman" w:hAnsiTheme="minorHAnsi" w:cs="Arial"/>
          <w:bCs/>
          <w:color w:val="000000"/>
          <w:sz w:val="24"/>
          <w:szCs w:val="24"/>
        </w:rPr>
        <w:t xml:space="preserve"> </w:t>
      </w:r>
    </w:p>
    <w:p w:rsidR="00E771E9" w:rsidRPr="002B5862" w:rsidRDefault="00510761" w:rsidP="00510761">
      <w:pPr>
        <w:spacing w:line="360" w:lineRule="auto"/>
        <w:jc w:val="both"/>
        <w:rPr>
          <w:rFonts w:cstheme="minorHAnsi"/>
          <w:sz w:val="24"/>
          <w:szCs w:val="24"/>
        </w:rPr>
      </w:pPr>
      <w:r w:rsidRPr="005A6389">
        <w:rPr>
          <w:rFonts w:asciiTheme="minorHAnsi" w:eastAsiaTheme="minorHAnsi" w:hAnsiTheme="minorHAnsi" w:cstheme="minorBidi"/>
          <w:i/>
        </w:rPr>
        <w:t>Πολυπαραγοντική γραμμική παλινδρόμηση</w:t>
      </w:r>
      <w:r w:rsidRPr="005A6389">
        <w:rPr>
          <w:i/>
        </w:rPr>
        <w:t xml:space="preserve"> της βαθμολογίας στη διάσταση «Ευεξία» </w:t>
      </w:r>
      <w:r>
        <w:rPr>
          <w:i/>
        </w:rPr>
        <w:t xml:space="preserve">με </w:t>
      </w:r>
      <w:r w:rsidRPr="005A6389">
        <w:rPr>
          <w:i/>
        </w:rPr>
        <w:t xml:space="preserve">τα δημογραφικά και κλινικά </w:t>
      </w:r>
      <w:r>
        <w:rPr>
          <w:i/>
        </w:rPr>
        <w:t>στοιχεία των συμμετεχόντων</w:t>
      </w:r>
      <w:r w:rsidRPr="005A6389">
        <w:rPr>
          <w:i/>
        </w:rPr>
        <w:t xml:space="preserve"> και τη συμμόρφωση - γνώση</w:t>
      </w:r>
    </w:p>
    <w:tbl>
      <w:tblPr>
        <w:tblStyle w:val="-41"/>
        <w:tblW w:w="8115" w:type="dxa"/>
        <w:jc w:val="center"/>
        <w:tblLook w:val="04A0"/>
      </w:tblPr>
      <w:tblGrid>
        <w:gridCol w:w="3615"/>
        <w:gridCol w:w="1620"/>
        <w:gridCol w:w="960"/>
        <w:gridCol w:w="960"/>
        <w:gridCol w:w="960"/>
      </w:tblGrid>
      <w:tr w:rsidR="007E28F2" w:rsidRPr="009F1AE0" w:rsidTr="00510761">
        <w:trPr>
          <w:cnfStyle w:val="100000000000"/>
          <w:trHeight w:val="345"/>
          <w:jc w:val="center"/>
        </w:trPr>
        <w:tc>
          <w:tcPr>
            <w:cnfStyle w:val="001000000000"/>
            <w:tcW w:w="3615" w:type="dxa"/>
            <w:hideMark/>
          </w:tcPr>
          <w:p w:rsidR="007E28F2" w:rsidRPr="009F1AE0" w:rsidRDefault="007E28F2" w:rsidP="005A464E">
            <w:pPr>
              <w:spacing w:after="0" w:line="360" w:lineRule="auto"/>
              <w:rPr>
                <w:rFonts w:asciiTheme="minorHAnsi" w:eastAsia="Times New Roman" w:hAnsiTheme="minorHAnsi" w:cs="Arial"/>
                <w:b w:val="0"/>
                <w:bCs w:val="0"/>
                <w:color w:val="000000"/>
                <w:sz w:val="24"/>
                <w:szCs w:val="24"/>
              </w:rPr>
            </w:pPr>
            <w:r w:rsidRPr="009F1AE0">
              <w:rPr>
                <w:rFonts w:asciiTheme="minorHAnsi" w:eastAsia="Times New Roman" w:hAnsiTheme="minorHAnsi" w:cs="Arial"/>
                <w:b w:val="0"/>
                <w:bCs w:val="0"/>
                <w:color w:val="000000"/>
                <w:sz w:val="24"/>
                <w:szCs w:val="24"/>
              </w:rPr>
              <w:t> </w:t>
            </w:r>
          </w:p>
        </w:tc>
        <w:tc>
          <w:tcPr>
            <w:tcW w:w="1620" w:type="dxa"/>
            <w:hideMark/>
          </w:tcPr>
          <w:p w:rsidR="007E28F2" w:rsidRPr="009F1AE0" w:rsidRDefault="007E28F2" w:rsidP="005A464E">
            <w:pPr>
              <w:spacing w:after="0" w:line="360" w:lineRule="auto"/>
              <w:cnfStyle w:val="1000000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 </w:t>
            </w:r>
          </w:p>
        </w:tc>
        <w:tc>
          <w:tcPr>
            <w:tcW w:w="960" w:type="dxa"/>
            <w:noWrap/>
            <w:hideMark/>
          </w:tcPr>
          <w:p w:rsidR="007E28F2" w:rsidRPr="009F1AE0" w:rsidRDefault="007E28F2" w:rsidP="005A464E">
            <w:pPr>
              <w:spacing w:after="0" w:line="360" w:lineRule="auto"/>
              <w:jc w:val="center"/>
              <w:cnfStyle w:val="100000000000"/>
              <w:rPr>
                <w:rFonts w:asciiTheme="minorHAnsi" w:eastAsia="Times New Roman" w:hAnsiTheme="minorHAnsi" w:cs="Arial"/>
                <w:b w:val="0"/>
                <w:bCs w:val="0"/>
                <w:color w:val="000000"/>
                <w:sz w:val="24"/>
                <w:szCs w:val="24"/>
              </w:rPr>
            </w:pPr>
            <w:r w:rsidRPr="009F1AE0">
              <w:rPr>
                <w:rFonts w:asciiTheme="minorHAnsi" w:eastAsia="Times New Roman" w:hAnsiTheme="minorHAnsi" w:cs="Arial"/>
                <w:b w:val="0"/>
                <w:bCs w:val="0"/>
                <w:color w:val="000000"/>
                <w:sz w:val="24"/>
                <w:szCs w:val="24"/>
              </w:rPr>
              <w:t>β+</w:t>
            </w:r>
          </w:p>
        </w:tc>
        <w:tc>
          <w:tcPr>
            <w:tcW w:w="960" w:type="dxa"/>
            <w:noWrap/>
            <w:hideMark/>
          </w:tcPr>
          <w:p w:rsidR="007E28F2" w:rsidRPr="009F1AE0" w:rsidRDefault="007E28F2" w:rsidP="005A464E">
            <w:pPr>
              <w:spacing w:after="0" w:line="360" w:lineRule="auto"/>
              <w:jc w:val="center"/>
              <w:cnfStyle w:val="100000000000"/>
              <w:rPr>
                <w:rFonts w:asciiTheme="minorHAnsi" w:eastAsia="Times New Roman" w:hAnsiTheme="minorHAnsi" w:cs="Arial"/>
                <w:b w:val="0"/>
                <w:bCs w:val="0"/>
                <w:color w:val="000000"/>
                <w:sz w:val="24"/>
                <w:szCs w:val="24"/>
              </w:rPr>
            </w:pPr>
            <w:r w:rsidRPr="009F1AE0">
              <w:rPr>
                <w:rFonts w:asciiTheme="minorHAnsi" w:eastAsia="Times New Roman" w:hAnsiTheme="minorHAnsi" w:cs="Arial"/>
                <w:b w:val="0"/>
                <w:bCs w:val="0"/>
                <w:color w:val="000000"/>
                <w:sz w:val="24"/>
                <w:szCs w:val="24"/>
              </w:rPr>
              <w:t>SE++</w:t>
            </w:r>
          </w:p>
        </w:tc>
        <w:tc>
          <w:tcPr>
            <w:tcW w:w="960" w:type="dxa"/>
            <w:noWrap/>
            <w:hideMark/>
          </w:tcPr>
          <w:p w:rsidR="007E28F2" w:rsidRPr="009F1AE0" w:rsidRDefault="007E28F2" w:rsidP="005A464E">
            <w:pPr>
              <w:spacing w:after="0" w:line="360" w:lineRule="auto"/>
              <w:jc w:val="center"/>
              <w:cnfStyle w:val="100000000000"/>
              <w:rPr>
                <w:rFonts w:asciiTheme="minorHAnsi" w:eastAsia="Times New Roman" w:hAnsiTheme="minorHAnsi" w:cs="Arial"/>
                <w:b w:val="0"/>
                <w:bCs w:val="0"/>
                <w:color w:val="000000"/>
                <w:sz w:val="24"/>
                <w:szCs w:val="24"/>
              </w:rPr>
            </w:pPr>
            <w:r w:rsidRPr="009F1AE0">
              <w:rPr>
                <w:rFonts w:asciiTheme="minorHAnsi" w:eastAsia="Times New Roman" w:hAnsiTheme="minorHAnsi" w:cs="Arial"/>
                <w:b w:val="0"/>
                <w:bCs w:val="0"/>
                <w:color w:val="000000"/>
                <w:sz w:val="24"/>
                <w:szCs w:val="24"/>
              </w:rPr>
              <w:t>P</w:t>
            </w:r>
          </w:p>
        </w:tc>
      </w:tr>
      <w:tr w:rsidR="007E28F2" w:rsidRPr="009F1AE0" w:rsidTr="00510761">
        <w:trPr>
          <w:cnfStyle w:val="000000100000"/>
          <w:trHeight w:val="345"/>
          <w:jc w:val="center"/>
        </w:trPr>
        <w:tc>
          <w:tcPr>
            <w:cnfStyle w:val="001000000000"/>
            <w:tcW w:w="3615" w:type="dxa"/>
            <w:hideMark/>
          </w:tcPr>
          <w:p w:rsidR="007E28F2" w:rsidRPr="009F1AE0" w:rsidRDefault="007E28F2" w:rsidP="005A464E">
            <w:pPr>
              <w:spacing w:after="0" w:line="360" w:lineRule="auto"/>
              <w:rPr>
                <w:rFonts w:asciiTheme="minorHAnsi" w:eastAsia="Times New Roman" w:hAnsiTheme="minorHAnsi" w:cs="Arial"/>
                <w:bCs w:val="0"/>
                <w:color w:val="000000"/>
                <w:sz w:val="24"/>
                <w:szCs w:val="24"/>
              </w:rPr>
            </w:pPr>
            <w:r w:rsidRPr="009F1AE0">
              <w:rPr>
                <w:rFonts w:asciiTheme="minorHAnsi" w:eastAsia="Times New Roman" w:hAnsiTheme="minorHAnsi" w:cs="Arial"/>
                <w:bCs w:val="0"/>
                <w:color w:val="000000"/>
                <w:sz w:val="24"/>
                <w:szCs w:val="24"/>
              </w:rPr>
              <w:t>Ηλικία</w:t>
            </w:r>
          </w:p>
        </w:tc>
        <w:tc>
          <w:tcPr>
            <w:tcW w:w="1620" w:type="dxa"/>
            <w:noWrap/>
            <w:hideMark/>
          </w:tcPr>
          <w:p w:rsidR="007E28F2" w:rsidRPr="009F1AE0" w:rsidRDefault="007E28F2" w:rsidP="005A464E">
            <w:pPr>
              <w:spacing w:after="0" w:line="360" w:lineRule="auto"/>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 </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-0,25</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0,06</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b/>
                <w:color w:val="000000"/>
                <w:sz w:val="24"/>
                <w:szCs w:val="24"/>
              </w:rPr>
            </w:pPr>
            <w:r w:rsidRPr="009F1AE0">
              <w:rPr>
                <w:rFonts w:asciiTheme="minorHAnsi" w:eastAsia="Times New Roman" w:hAnsiTheme="minorHAnsi" w:cs="Arial"/>
                <w:b/>
                <w:color w:val="000000"/>
                <w:sz w:val="24"/>
                <w:szCs w:val="24"/>
              </w:rPr>
              <w:t>&lt;0,001</w:t>
            </w:r>
          </w:p>
        </w:tc>
      </w:tr>
      <w:tr w:rsidR="007E28F2" w:rsidRPr="009F1AE0" w:rsidTr="00510761">
        <w:trPr>
          <w:cnfStyle w:val="000000010000"/>
          <w:trHeight w:val="345"/>
          <w:jc w:val="center"/>
        </w:trPr>
        <w:tc>
          <w:tcPr>
            <w:cnfStyle w:val="001000000000"/>
            <w:tcW w:w="3615" w:type="dxa"/>
            <w:hideMark/>
          </w:tcPr>
          <w:p w:rsidR="007E28F2" w:rsidRPr="009F1AE0" w:rsidRDefault="007E28F2" w:rsidP="005A464E">
            <w:pPr>
              <w:spacing w:after="0" w:line="360" w:lineRule="auto"/>
              <w:rPr>
                <w:rFonts w:asciiTheme="minorHAnsi" w:eastAsia="Times New Roman" w:hAnsiTheme="minorHAnsi" w:cs="Arial"/>
                <w:bCs w:val="0"/>
                <w:color w:val="000000"/>
                <w:sz w:val="24"/>
                <w:szCs w:val="24"/>
              </w:rPr>
            </w:pPr>
            <w:r w:rsidRPr="009F1AE0">
              <w:rPr>
                <w:rFonts w:asciiTheme="minorHAnsi" w:eastAsia="Times New Roman" w:hAnsiTheme="minorHAnsi" w:cs="Arial"/>
                <w:bCs w:val="0"/>
                <w:color w:val="000000"/>
                <w:sz w:val="24"/>
                <w:szCs w:val="24"/>
              </w:rPr>
              <w:t>Έτη από διάγνωση ΧΝΝ</w:t>
            </w:r>
          </w:p>
        </w:tc>
        <w:tc>
          <w:tcPr>
            <w:tcW w:w="1620" w:type="dxa"/>
            <w:noWrap/>
            <w:hideMark/>
          </w:tcPr>
          <w:p w:rsidR="007E28F2" w:rsidRPr="009F1AE0" w:rsidRDefault="007E28F2" w:rsidP="005A464E">
            <w:pPr>
              <w:spacing w:after="0" w:line="360" w:lineRule="auto"/>
              <w:cnfStyle w:val="000000010000"/>
              <w:rPr>
                <w:rFonts w:asciiTheme="minorHAnsi" w:eastAsia="Times New Roman" w:hAnsiTheme="minorHAnsi" w:cs="Arial"/>
                <w:color w:val="000000"/>
                <w:sz w:val="24"/>
                <w:szCs w:val="24"/>
              </w:rPr>
            </w:pP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-0,20</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0,09</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b/>
                <w:color w:val="000000"/>
                <w:sz w:val="24"/>
                <w:szCs w:val="24"/>
              </w:rPr>
            </w:pPr>
            <w:r w:rsidRPr="009F1AE0">
              <w:rPr>
                <w:rFonts w:asciiTheme="minorHAnsi" w:eastAsia="Times New Roman" w:hAnsiTheme="minorHAnsi" w:cs="Arial"/>
                <w:b/>
                <w:color w:val="000000"/>
                <w:sz w:val="24"/>
                <w:szCs w:val="24"/>
              </w:rPr>
              <w:t>0,025</w:t>
            </w:r>
          </w:p>
        </w:tc>
      </w:tr>
      <w:tr w:rsidR="007E28F2" w:rsidRPr="009F1AE0" w:rsidTr="00510761">
        <w:trPr>
          <w:cnfStyle w:val="000000100000"/>
          <w:trHeight w:val="345"/>
          <w:jc w:val="center"/>
        </w:trPr>
        <w:tc>
          <w:tcPr>
            <w:cnfStyle w:val="001000000000"/>
            <w:tcW w:w="3615" w:type="dxa"/>
            <w:hideMark/>
          </w:tcPr>
          <w:p w:rsidR="007E28F2" w:rsidRPr="009F1AE0" w:rsidRDefault="007E28F2" w:rsidP="005A464E">
            <w:pPr>
              <w:spacing w:after="0" w:line="360" w:lineRule="auto"/>
              <w:rPr>
                <w:rFonts w:asciiTheme="minorHAnsi" w:eastAsia="Times New Roman" w:hAnsiTheme="minorHAnsi" w:cs="Arial"/>
                <w:bCs w:val="0"/>
                <w:color w:val="000000"/>
                <w:sz w:val="24"/>
                <w:szCs w:val="24"/>
              </w:rPr>
            </w:pPr>
            <w:r w:rsidRPr="009F1AE0">
              <w:rPr>
                <w:rFonts w:asciiTheme="minorHAnsi" w:eastAsia="Times New Roman" w:hAnsiTheme="minorHAnsi" w:cs="Arial"/>
                <w:bCs w:val="0"/>
                <w:color w:val="000000"/>
                <w:sz w:val="24"/>
                <w:szCs w:val="24"/>
              </w:rPr>
              <w:t xml:space="preserve">Ημερήσιος αριθμός </w:t>
            </w:r>
            <w:r w:rsidR="00B0098B">
              <w:rPr>
                <w:rFonts w:asciiTheme="minorHAnsi" w:eastAsia="Times New Roman" w:hAnsiTheme="minorHAnsi" w:cs="Arial"/>
                <w:bCs w:val="0"/>
                <w:color w:val="000000"/>
                <w:sz w:val="24"/>
                <w:szCs w:val="24"/>
              </w:rPr>
              <w:t>δισκίων</w:t>
            </w:r>
          </w:p>
        </w:tc>
        <w:tc>
          <w:tcPr>
            <w:tcW w:w="1620" w:type="dxa"/>
            <w:noWrap/>
            <w:hideMark/>
          </w:tcPr>
          <w:p w:rsidR="007E28F2" w:rsidRPr="009F1AE0" w:rsidRDefault="007E28F2" w:rsidP="005A464E">
            <w:pPr>
              <w:spacing w:after="0" w:line="360" w:lineRule="auto"/>
              <w:cnfStyle w:val="000000100000"/>
              <w:rPr>
                <w:rFonts w:asciiTheme="minorHAnsi" w:eastAsia="Times New Roman" w:hAnsiTheme="minorHAnsi" w:cs="Arial"/>
                <w:color w:val="000000"/>
                <w:sz w:val="24"/>
                <w:szCs w:val="24"/>
              </w:rPr>
            </w:pP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0,37</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0,17</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b/>
                <w:color w:val="000000"/>
                <w:sz w:val="24"/>
                <w:szCs w:val="24"/>
              </w:rPr>
            </w:pPr>
            <w:r w:rsidRPr="009F1AE0">
              <w:rPr>
                <w:rFonts w:asciiTheme="minorHAnsi" w:eastAsia="Times New Roman" w:hAnsiTheme="minorHAnsi" w:cs="Arial"/>
                <w:b/>
                <w:color w:val="000000"/>
                <w:sz w:val="24"/>
                <w:szCs w:val="24"/>
              </w:rPr>
              <w:t>0,029</w:t>
            </w:r>
          </w:p>
        </w:tc>
      </w:tr>
      <w:tr w:rsidR="007E28F2" w:rsidRPr="009F1AE0" w:rsidTr="00510761">
        <w:trPr>
          <w:cnfStyle w:val="000000010000"/>
          <w:trHeight w:val="345"/>
          <w:jc w:val="center"/>
        </w:trPr>
        <w:tc>
          <w:tcPr>
            <w:cnfStyle w:val="001000000000"/>
            <w:tcW w:w="3615" w:type="dxa"/>
            <w:vMerge w:val="restart"/>
            <w:hideMark/>
          </w:tcPr>
          <w:p w:rsidR="007E28F2" w:rsidRPr="009F1AE0" w:rsidRDefault="007E28F2" w:rsidP="005A464E">
            <w:pPr>
              <w:spacing w:after="0" w:line="360" w:lineRule="auto"/>
              <w:rPr>
                <w:rFonts w:asciiTheme="minorHAnsi" w:eastAsia="Times New Roman" w:hAnsiTheme="minorHAnsi" w:cs="Arial"/>
                <w:bCs w:val="0"/>
                <w:color w:val="000000"/>
                <w:sz w:val="24"/>
                <w:szCs w:val="24"/>
              </w:rPr>
            </w:pPr>
            <w:r w:rsidRPr="009F1AE0">
              <w:rPr>
                <w:rFonts w:asciiTheme="minorHAnsi" w:eastAsia="Times New Roman" w:hAnsiTheme="minorHAnsi" w:cs="Arial"/>
                <w:bCs w:val="0"/>
                <w:color w:val="000000"/>
                <w:sz w:val="24"/>
                <w:szCs w:val="24"/>
              </w:rPr>
              <w:t>Έγγαμοι</w:t>
            </w:r>
          </w:p>
        </w:tc>
        <w:tc>
          <w:tcPr>
            <w:tcW w:w="1620" w:type="dxa"/>
            <w:hideMark/>
          </w:tcPr>
          <w:p w:rsidR="007E28F2" w:rsidRPr="009F1AE0" w:rsidRDefault="007E28F2" w:rsidP="005A464E">
            <w:pPr>
              <w:spacing w:after="0" w:line="360" w:lineRule="auto"/>
              <w:cnfStyle w:val="00000001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Όχι (αναφορά)</w:t>
            </w: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color w:val="000000"/>
                <w:sz w:val="24"/>
                <w:szCs w:val="24"/>
              </w:rPr>
            </w:pP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color w:val="000000"/>
                <w:sz w:val="24"/>
                <w:szCs w:val="24"/>
              </w:rPr>
            </w:pPr>
          </w:p>
        </w:tc>
        <w:tc>
          <w:tcPr>
            <w:tcW w:w="960" w:type="dxa"/>
            <w:noWrap/>
            <w:hideMark/>
          </w:tcPr>
          <w:p w:rsidR="007E28F2" w:rsidRPr="009F1AE0" w:rsidRDefault="007E28F2" w:rsidP="005A464E">
            <w:pPr>
              <w:spacing w:after="0" w:line="360" w:lineRule="auto"/>
              <w:jc w:val="center"/>
              <w:cnfStyle w:val="000000010000"/>
              <w:rPr>
                <w:rFonts w:asciiTheme="minorHAnsi" w:eastAsia="Times New Roman" w:hAnsiTheme="minorHAnsi" w:cs="Arial"/>
                <w:b/>
                <w:color w:val="000000"/>
                <w:sz w:val="24"/>
                <w:szCs w:val="24"/>
              </w:rPr>
            </w:pPr>
          </w:p>
        </w:tc>
      </w:tr>
      <w:tr w:rsidR="007E28F2" w:rsidRPr="009F1AE0" w:rsidTr="00510761">
        <w:trPr>
          <w:cnfStyle w:val="000000100000"/>
          <w:trHeight w:val="345"/>
          <w:jc w:val="center"/>
        </w:trPr>
        <w:tc>
          <w:tcPr>
            <w:cnfStyle w:val="001000000000"/>
            <w:tcW w:w="3615" w:type="dxa"/>
            <w:vMerge/>
            <w:hideMark/>
          </w:tcPr>
          <w:p w:rsidR="007E28F2" w:rsidRPr="009F1AE0" w:rsidRDefault="007E28F2" w:rsidP="005A464E">
            <w:pPr>
              <w:spacing w:after="0" w:line="360" w:lineRule="auto"/>
              <w:rPr>
                <w:rFonts w:asciiTheme="minorHAnsi" w:eastAsia="Times New Roman" w:hAnsiTheme="minorHAnsi" w:cs="Arial"/>
                <w:b w:val="0"/>
                <w:bCs w:val="0"/>
                <w:color w:val="000000"/>
                <w:sz w:val="24"/>
                <w:szCs w:val="24"/>
              </w:rPr>
            </w:pPr>
          </w:p>
        </w:tc>
        <w:tc>
          <w:tcPr>
            <w:tcW w:w="1620" w:type="dxa"/>
            <w:hideMark/>
          </w:tcPr>
          <w:p w:rsidR="007E28F2" w:rsidRPr="009F1AE0" w:rsidRDefault="007E28F2" w:rsidP="005A464E">
            <w:pPr>
              <w:spacing w:after="0" w:line="360" w:lineRule="auto"/>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Ναι</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-3,06</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color w:val="000000"/>
                <w:sz w:val="24"/>
                <w:szCs w:val="24"/>
              </w:rPr>
            </w:pPr>
            <w:r w:rsidRPr="009F1AE0">
              <w:rPr>
                <w:rFonts w:asciiTheme="minorHAnsi" w:eastAsia="Times New Roman" w:hAnsiTheme="minorHAnsi" w:cs="Arial"/>
                <w:color w:val="000000"/>
                <w:sz w:val="24"/>
                <w:szCs w:val="24"/>
              </w:rPr>
              <w:t>1,46</w:t>
            </w:r>
          </w:p>
        </w:tc>
        <w:tc>
          <w:tcPr>
            <w:tcW w:w="960" w:type="dxa"/>
            <w:noWrap/>
            <w:hideMark/>
          </w:tcPr>
          <w:p w:rsidR="007E28F2" w:rsidRPr="009F1AE0" w:rsidRDefault="007E28F2" w:rsidP="005A464E">
            <w:pPr>
              <w:spacing w:after="0" w:line="360" w:lineRule="auto"/>
              <w:jc w:val="center"/>
              <w:cnfStyle w:val="000000100000"/>
              <w:rPr>
                <w:rFonts w:asciiTheme="minorHAnsi" w:eastAsia="Times New Roman" w:hAnsiTheme="minorHAnsi" w:cs="Arial"/>
                <w:b/>
                <w:color w:val="000000"/>
                <w:sz w:val="24"/>
                <w:szCs w:val="24"/>
              </w:rPr>
            </w:pPr>
            <w:r w:rsidRPr="009F1AE0">
              <w:rPr>
                <w:rFonts w:asciiTheme="minorHAnsi" w:eastAsia="Times New Roman" w:hAnsiTheme="minorHAnsi" w:cs="Arial"/>
                <w:b/>
                <w:color w:val="000000"/>
                <w:sz w:val="24"/>
                <w:szCs w:val="24"/>
              </w:rPr>
              <w:t>0,037</w:t>
            </w:r>
          </w:p>
        </w:tc>
      </w:tr>
      <w:tr w:rsidR="009F1AE0" w:rsidRPr="009F1AE0" w:rsidTr="00001CDF">
        <w:trPr>
          <w:cnfStyle w:val="000000010000"/>
          <w:trHeight w:val="345"/>
          <w:jc w:val="center"/>
        </w:trPr>
        <w:tc>
          <w:tcPr>
            <w:cnfStyle w:val="001000000000"/>
            <w:tcW w:w="8115" w:type="dxa"/>
            <w:gridSpan w:val="5"/>
            <w:hideMark/>
          </w:tcPr>
          <w:p w:rsidR="009F1AE0" w:rsidRPr="00E50302" w:rsidRDefault="009F1AE0" w:rsidP="00E50302">
            <w:pPr>
              <w:pStyle w:val="nouk"/>
              <w:spacing w:line="276" w:lineRule="auto"/>
              <w:rPr>
                <w:b w:val="0"/>
                <w:i/>
                <w:sz w:val="20"/>
                <w:szCs w:val="20"/>
              </w:rPr>
            </w:pPr>
            <w:r w:rsidRPr="00E50302">
              <w:rPr>
                <w:b w:val="0"/>
                <w:i/>
                <w:sz w:val="20"/>
                <w:szCs w:val="20"/>
                <w:vertAlign w:val="superscript"/>
              </w:rPr>
              <w:t>+</w:t>
            </w:r>
            <w:r w:rsidRPr="00E50302">
              <w:rPr>
                <w:b w:val="0"/>
                <w:i/>
                <w:sz w:val="20"/>
                <w:szCs w:val="20"/>
              </w:rPr>
              <w:t xml:space="preserve">συντελεστής εξάρτησης </w:t>
            </w:r>
            <w:r w:rsidRPr="00E50302">
              <w:rPr>
                <w:b w:val="0"/>
                <w:i/>
                <w:sz w:val="20"/>
                <w:szCs w:val="20"/>
                <w:vertAlign w:val="superscript"/>
              </w:rPr>
              <w:t>++</w:t>
            </w:r>
            <w:r w:rsidRPr="00E50302">
              <w:rPr>
                <w:b w:val="0"/>
                <w:i/>
                <w:sz w:val="20"/>
                <w:szCs w:val="20"/>
              </w:rPr>
              <w:t>τυπικό σφάλμα συντελεστή εξάρτησης</w:t>
            </w:r>
          </w:p>
        </w:tc>
      </w:tr>
    </w:tbl>
    <w:p w:rsidR="007E28F2" w:rsidRPr="005A464E" w:rsidRDefault="007E28F2" w:rsidP="005A464E">
      <w:pPr>
        <w:pStyle w:val="nouk"/>
      </w:pPr>
    </w:p>
    <w:p w:rsidR="001F0A07" w:rsidRPr="005A464E" w:rsidRDefault="007E28F2" w:rsidP="005A464E">
      <w:pPr>
        <w:pStyle w:val="nouk"/>
      </w:pPr>
      <w:r w:rsidRPr="005A464E">
        <w:t xml:space="preserve">Η ηλικία, τα έτη από τη διάγνωση ΧΝΝ, ο ημερήσιος αριθμός </w:t>
      </w:r>
      <w:r w:rsidR="00B0098B">
        <w:t>δισκίων</w:t>
      </w:r>
      <w:r w:rsidRPr="005A464E">
        <w:t xml:space="preserve"> και η οικογενειακή κατάσταση βρέθηκαν να σχετίζονται ανεξάρτητα με τη βαθμολογία στη διάσταση «</w:t>
      </w:r>
      <w:r w:rsidR="003A7874" w:rsidRPr="005A464E">
        <w:t>Ευεξία</w:t>
      </w:r>
      <w:r w:rsidRPr="005A464E">
        <w:t xml:space="preserve">». </w:t>
      </w:r>
    </w:p>
    <w:p w:rsidR="007E28F2" w:rsidRPr="005A464E" w:rsidRDefault="007E28F2" w:rsidP="005A464E">
      <w:pPr>
        <w:pStyle w:val="nouk"/>
        <w:rPr>
          <w:highlight w:val="cyan"/>
        </w:rPr>
      </w:pPr>
      <w:r w:rsidRPr="005A464E">
        <w:t xml:space="preserve">Στο ακόλουθο γράφημα </w:t>
      </w:r>
      <w:r w:rsidR="00B77C09">
        <w:t xml:space="preserve">(Γρ 20) </w:t>
      </w:r>
      <w:r w:rsidRPr="005A464E">
        <w:t>δίνεται η συσχέτιση των ετών από τη διάγνωση με τη βαθμολογία στη διάσταση «</w:t>
      </w:r>
      <w:r w:rsidR="003A7874" w:rsidRPr="005A464E">
        <w:t>Ευεξία</w:t>
      </w:r>
      <w:r w:rsidRPr="005A464E">
        <w:t>».</w:t>
      </w:r>
    </w:p>
    <w:p w:rsidR="007E28F2" w:rsidRPr="005A464E" w:rsidRDefault="007E28F2" w:rsidP="005A464E">
      <w:pPr>
        <w:spacing w:line="360" w:lineRule="auto"/>
      </w:pPr>
    </w:p>
    <w:p w:rsidR="007E28F2" w:rsidRPr="005A464E" w:rsidRDefault="00464728" w:rsidP="00536BFF">
      <w:pPr>
        <w:spacing w:line="360" w:lineRule="auto"/>
        <w:jc w:val="center"/>
      </w:pPr>
      <w:r>
        <w:rPr>
          <w:noProof/>
          <w:lang w:eastAsia="el-GR"/>
        </w:rPr>
        <w:drawing>
          <wp:inline distT="0" distB="0" distL="0" distR="0">
            <wp:extent cx="3600450" cy="2876550"/>
            <wp:effectExtent l="19050" t="0" r="0" b="0"/>
            <wp:docPr id="20" name="Εικόνα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5" cstate="print"/>
                    <a:srcRect/>
                    <a:stretch>
                      <a:fillRect/>
                    </a:stretch>
                  </pic:blipFill>
                  <pic:spPr bwMode="auto">
                    <a:xfrm>
                      <a:off x="0" y="0"/>
                      <a:ext cx="3600450" cy="2876550"/>
                    </a:xfrm>
                    <a:prstGeom prst="rect">
                      <a:avLst/>
                    </a:prstGeom>
                    <a:noFill/>
                    <a:ln w="9525">
                      <a:noFill/>
                      <a:miter lim="800000"/>
                      <a:headEnd/>
                      <a:tailEnd/>
                    </a:ln>
                  </pic:spPr>
                </pic:pic>
              </a:graphicData>
            </a:graphic>
          </wp:inline>
        </w:drawing>
      </w:r>
    </w:p>
    <w:p w:rsidR="007E28F2" w:rsidRDefault="00B77C09" w:rsidP="00B77C09">
      <w:pPr>
        <w:pStyle w:val="nouk"/>
        <w:rPr>
          <w:sz w:val="20"/>
          <w:szCs w:val="20"/>
        </w:rPr>
      </w:pPr>
      <w:r w:rsidRPr="00846E7B">
        <w:rPr>
          <w:i/>
          <w:sz w:val="22"/>
          <w:szCs w:val="22"/>
        </w:rPr>
        <w:t>Γράφημα 20</w:t>
      </w:r>
      <w:r w:rsidRPr="00B77C09">
        <w:rPr>
          <w:sz w:val="22"/>
          <w:szCs w:val="22"/>
        </w:rPr>
        <w:t xml:space="preserve"> Συσχέτιση των ετών από τη διάγνωση με τη βαθμολογία στη διάσταση «Ευεξία».</w:t>
      </w:r>
    </w:p>
    <w:p w:rsidR="00B77C09" w:rsidRPr="00B77C09" w:rsidRDefault="00B77C09" w:rsidP="00B77C09">
      <w:pPr>
        <w:pStyle w:val="nouk"/>
        <w:rPr>
          <w:sz w:val="20"/>
          <w:szCs w:val="20"/>
          <w:highlight w:val="cyan"/>
        </w:rPr>
      </w:pPr>
    </w:p>
    <w:p w:rsidR="00B77C09" w:rsidRPr="00846E7B" w:rsidRDefault="007E28F2" w:rsidP="005A464E">
      <w:pPr>
        <w:pStyle w:val="nouk"/>
      </w:pPr>
      <w:r w:rsidRPr="005A464E">
        <w:t>Στη συνέχεια έγινε πολυπαραγοντική γραμμική παλινδρόμηση έχοντας σαν εξαρτημένη μεταβλητή τη βαθμολογία στη διάσταση «</w:t>
      </w:r>
      <w:r w:rsidR="00D225F5" w:rsidRPr="005A464E">
        <w:t>Πνευματικότητα</w:t>
      </w:r>
      <w:r w:rsidRPr="005A464E">
        <w:t>» και σαν ανεξάρτητες τα δημογραφικά και κλινικά στοιχεία των συμμετεχόντων καθώς και τη συμμόρφωση - γνώση. Με τη μέθοδο διαδοχικής ένταξης/αφαίρεσης (</w:t>
      </w:r>
      <w:r w:rsidRPr="005A464E">
        <w:rPr>
          <w:lang w:val="en-US"/>
        </w:rPr>
        <w:t>stepwise</w:t>
      </w:r>
      <w:r w:rsidRPr="005A464E">
        <w:t xml:space="preserve"> </w:t>
      </w:r>
      <w:r w:rsidRPr="005A464E">
        <w:rPr>
          <w:lang w:val="en-US"/>
        </w:rPr>
        <w:t>method</w:t>
      </w:r>
      <w:r w:rsidRPr="005A464E">
        <w:t>) βρέθηκαν τα αποτελέσματα του παρακάτω πίνακα</w:t>
      </w:r>
      <w:r w:rsidR="00F6061C">
        <w:t xml:space="preserve"> (Πίν 47</w:t>
      </w:r>
      <w:r w:rsidR="00B77C09">
        <w:t>)</w:t>
      </w:r>
      <w:r w:rsidRPr="005A464E">
        <w:t xml:space="preserve">. </w:t>
      </w:r>
    </w:p>
    <w:p w:rsidR="00510761" w:rsidRDefault="00510761" w:rsidP="00510761">
      <w:pPr>
        <w:pStyle w:val="nouk"/>
        <w:rPr>
          <w:rFonts w:asciiTheme="minorHAnsi" w:eastAsiaTheme="minorHAnsi" w:hAnsiTheme="minorHAnsi" w:cstheme="minorHAnsi"/>
          <w:sz w:val="22"/>
          <w:szCs w:val="22"/>
        </w:rPr>
      </w:pPr>
    </w:p>
    <w:p w:rsidR="00510761" w:rsidRPr="005A6389" w:rsidRDefault="00F6061C" w:rsidP="00510761">
      <w:pPr>
        <w:pStyle w:val="nouk"/>
        <w:rPr>
          <w:rFonts w:asciiTheme="minorHAnsi" w:eastAsiaTheme="minorHAnsi" w:hAnsiTheme="minorHAnsi" w:cstheme="minorHAnsi"/>
          <w:sz w:val="22"/>
          <w:szCs w:val="22"/>
        </w:rPr>
      </w:pPr>
      <w:r>
        <w:rPr>
          <w:rFonts w:asciiTheme="minorHAnsi" w:eastAsiaTheme="minorHAnsi" w:hAnsiTheme="minorHAnsi" w:cstheme="minorHAnsi"/>
          <w:sz w:val="22"/>
          <w:szCs w:val="22"/>
        </w:rPr>
        <w:t>Πίνακας 47</w:t>
      </w:r>
    </w:p>
    <w:p w:rsidR="00B77C09" w:rsidRPr="00B77C09" w:rsidRDefault="00510761" w:rsidP="00510761">
      <w:pPr>
        <w:pStyle w:val="nouk"/>
        <w:rPr>
          <w:sz w:val="22"/>
          <w:szCs w:val="22"/>
        </w:rPr>
      </w:pPr>
      <w:r w:rsidRPr="005A6389">
        <w:rPr>
          <w:rFonts w:asciiTheme="minorHAnsi" w:eastAsiaTheme="minorHAnsi" w:hAnsiTheme="minorHAnsi" w:cstheme="minorHAnsi"/>
          <w:i/>
          <w:sz w:val="22"/>
          <w:szCs w:val="22"/>
        </w:rPr>
        <w:t>Πολυπαραγοντική γραμμική παλινδρόμηση</w:t>
      </w:r>
      <w:r w:rsidRPr="005A6389">
        <w:rPr>
          <w:i/>
          <w:sz w:val="22"/>
          <w:szCs w:val="22"/>
        </w:rPr>
        <w:t xml:space="preserve"> της διάστασης «Πνευματικότητα» με τα δημογραφικά και κλινικά στοιχεία των συμμετεχόντων και τη συμμόρφωση - γνώση</w:t>
      </w:r>
    </w:p>
    <w:tbl>
      <w:tblPr>
        <w:tblStyle w:val="-41"/>
        <w:tblW w:w="8515" w:type="dxa"/>
        <w:tblLook w:val="04A0"/>
      </w:tblPr>
      <w:tblGrid>
        <w:gridCol w:w="2175"/>
        <w:gridCol w:w="3460"/>
        <w:gridCol w:w="960"/>
        <w:gridCol w:w="960"/>
        <w:gridCol w:w="960"/>
      </w:tblGrid>
      <w:tr w:rsidR="007E28F2" w:rsidRPr="00872FD2" w:rsidTr="00510761">
        <w:trPr>
          <w:cnfStyle w:val="100000000000"/>
          <w:trHeight w:val="345"/>
        </w:trPr>
        <w:tc>
          <w:tcPr>
            <w:cnfStyle w:val="001000000000"/>
            <w:tcW w:w="2175" w:type="dxa"/>
            <w:hideMark/>
          </w:tcPr>
          <w:p w:rsidR="007E28F2" w:rsidRPr="00872FD2" w:rsidRDefault="007E28F2" w:rsidP="005A464E">
            <w:pPr>
              <w:spacing w:after="0" w:line="360" w:lineRule="auto"/>
              <w:rPr>
                <w:rFonts w:asciiTheme="minorHAnsi" w:eastAsia="Times New Roman" w:hAnsiTheme="minorHAnsi" w:cs="Arial"/>
                <w:b w:val="0"/>
                <w:bCs w:val="0"/>
                <w:color w:val="000000"/>
              </w:rPr>
            </w:pPr>
            <w:r w:rsidRPr="00872FD2">
              <w:rPr>
                <w:rFonts w:asciiTheme="minorHAnsi" w:eastAsia="Times New Roman" w:hAnsiTheme="minorHAnsi" w:cs="Arial"/>
                <w:b w:val="0"/>
                <w:bCs w:val="0"/>
                <w:color w:val="000000"/>
              </w:rPr>
              <w:t> </w:t>
            </w:r>
          </w:p>
        </w:tc>
        <w:tc>
          <w:tcPr>
            <w:tcW w:w="3460" w:type="dxa"/>
            <w:hideMark/>
          </w:tcPr>
          <w:p w:rsidR="007E28F2" w:rsidRPr="00872FD2" w:rsidRDefault="007E28F2" w:rsidP="005A464E">
            <w:pPr>
              <w:spacing w:after="0" w:line="360" w:lineRule="auto"/>
              <w:cnfStyle w:val="100000000000"/>
              <w:rPr>
                <w:rFonts w:asciiTheme="minorHAnsi" w:eastAsia="Times New Roman" w:hAnsiTheme="minorHAnsi" w:cs="Arial"/>
                <w:color w:val="000000"/>
              </w:rPr>
            </w:pPr>
            <w:r w:rsidRPr="00872FD2">
              <w:rPr>
                <w:rFonts w:asciiTheme="minorHAnsi" w:eastAsia="Times New Roman" w:hAnsiTheme="minorHAnsi" w:cs="Arial"/>
                <w:color w:val="000000"/>
              </w:rPr>
              <w:t> </w:t>
            </w:r>
          </w:p>
        </w:tc>
        <w:tc>
          <w:tcPr>
            <w:tcW w:w="960" w:type="dxa"/>
            <w:noWrap/>
            <w:hideMark/>
          </w:tcPr>
          <w:p w:rsidR="007E28F2" w:rsidRPr="00872FD2" w:rsidRDefault="007E28F2" w:rsidP="005A464E">
            <w:pPr>
              <w:spacing w:after="0" w:line="360" w:lineRule="auto"/>
              <w:jc w:val="center"/>
              <w:cnfStyle w:val="100000000000"/>
              <w:rPr>
                <w:rFonts w:asciiTheme="minorHAnsi" w:eastAsia="Times New Roman" w:hAnsiTheme="minorHAnsi" w:cs="Arial"/>
                <w:b w:val="0"/>
                <w:bCs w:val="0"/>
                <w:color w:val="000000"/>
              </w:rPr>
            </w:pPr>
            <w:r w:rsidRPr="00872FD2">
              <w:rPr>
                <w:rFonts w:asciiTheme="minorHAnsi" w:eastAsia="Times New Roman" w:hAnsiTheme="minorHAnsi" w:cs="Arial"/>
                <w:b w:val="0"/>
                <w:bCs w:val="0"/>
                <w:color w:val="000000"/>
              </w:rPr>
              <w:t>β+</w:t>
            </w:r>
          </w:p>
        </w:tc>
        <w:tc>
          <w:tcPr>
            <w:tcW w:w="960" w:type="dxa"/>
            <w:noWrap/>
            <w:hideMark/>
          </w:tcPr>
          <w:p w:rsidR="007E28F2" w:rsidRPr="00872FD2" w:rsidRDefault="007E28F2" w:rsidP="005A464E">
            <w:pPr>
              <w:spacing w:after="0" w:line="360" w:lineRule="auto"/>
              <w:jc w:val="center"/>
              <w:cnfStyle w:val="100000000000"/>
              <w:rPr>
                <w:rFonts w:asciiTheme="minorHAnsi" w:eastAsia="Times New Roman" w:hAnsiTheme="minorHAnsi" w:cs="Arial"/>
                <w:b w:val="0"/>
                <w:bCs w:val="0"/>
                <w:color w:val="000000"/>
              </w:rPr>
            </w:pPr>
            <w:r w:rsidRPr="00872FD2">
              <w:rPr>
                <w:rFonts w:asciiTheme="minorHAnsi" w:eastAsia="Times New Roman" w:hAnsiTheme="minorHAnsi" w:cs="Arial"/>
                <w:b w:val="0"/>
                <w:bCs w:val="0"/>
                <w:color w:val="000000"/>
              </w:rPr>
              <w:t>SE++</w:t>
            </w:r>
          </w:p>
        </w:tc>
        <w:tc>
          <w:tcPr>
            <w:tcW w:w="960" w:type="dxa"/>
            <w:noWrap/>
            <w:hideMark/>
          </w:tcPr>
          <w:p w:rsidR="007E28F2" w:rsidRPr="00872FD2" w:rsidRDefault="007E28F2" w:rsidP="005A464E">
            <w:pPr>
              <w:spacing w:after="0" w:line="360" w:lineRule="auto"/>
              <w:jc w:val="center"/>
              <w:cnfStyle w:val="100000000000"/>
              <w:rPr>
                <w:rFonts w:asciiTheme="minorHAnsi" w:eastAsia="Times New Roman" w:hAnsiTheme="minorHAnsi" w:cs="Arial"/>
                <w:b w:val="0"/>
                <w:bCs w:val="0"/>
                <w:color w:val="000000"/>
              </w:rPr>
            </w:pPr>
            <w:r w:rsidRPr="00872FD2">
              <w:rPr>
                <w:rFonts w:asciiTheme="minorHAnsi" w:eastAsia="Times New Roman" w:hAnsiTheme="minorHAnsi" w:cs="Arial"/>
                <w:b w:val="0"/>
                <w:bCs w:val="0"/>
                <w:color w:val="000000"/>
              </w:rPr>
              <w:t>P</w:t>
            </w:r>
          </w:p>
        </w:tc>
      </w:tr>
      <w:tr w:rsidR="007E28F2" w:rsidRPr="00872FD2" w:rsidTr="00510761">
        <w:trPr>
          <w:cnfStyle w:val="000000100000"/>
          <w:trHeight w:val="345"/>
        </w:trPr>
        <w:tc>
          <w:tcPr>
            <w:cnfStyle w:val="001000000000"/>
            <w:tcW w:w="2175" w:type="dxa"/>
            <w:hideMark/>
          </w:tcPr>
          <w:p w:rsidR="007E28F2" w:rsidRPr="00E771E9" w:rsidRDefault="007E28F2" w:rsidP="005A464E">
            <w:pPr>
              <w:spacing w:after="0" w:line="360" w:lineRule="auto"/>
              <w:rPr>
                <w:rFonts w:asciiTheme="minorHAnsi" w:eastAsia="Times New Roman" w:hAnsiTheme="minorHAnsi" w:cs="Arial"/>
                <w:bCs w:val="0"/>
                <w:color w:val="000000"/>
              </w:rPr>
            </w:pPr>
            <w:r w:rsidRPr="00E771E9">
              <w:rPr>
                <w:rFonts w:asciiTheme="minorHAnsi" w:eastAsia="Times New Roman" w:hAnsiTheme="minorHAnsi" w:cs="Arial"/>
                <w:bCs w:val="0"/>
                <w:color w:val="000000"/>
              </w:rPr>
              <w:t>Ηλικία</w:t>
            </w:r>
          </w:p>
        </w:tc>
        <w:tc>
          <w:tcPr>
            <w:tcW w:w="3460" w:type="dxa"/>
            <w:noWrap/>
            <w:hideMark/>
          </w:tcPr>
          <w:p w:rsidR="007E28F2" w:rsidRPr="00872FD2" w:rsidRDefault="007E28F2" w:rsidP="005A464E">
            <w:pPr>
              <w:spacing w:after="0" w:line="360" w:lineRule="auto"/>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 </w:t>
            </w:r>
          </w:p>
        </w:tc>
        <w:tc>
          <w:tcPr>
            <w:tcW w:w="960"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-0,32</w:t>
            </w:r>
          </w:p>
        </w:tc>
        <w:tc>
          <w:tcPr>
            <w:tcW w:w="960"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0,06</w:t>
            </w:r>
          </w:p>
        </w:tc>
        <w:tc>
          <w:tcPr>
            <w:tcW w:w="960"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b/>
                <w:color w:val="000000"/>
              </w:rPr>
            </w:pPr>
            <w:r w:rsidRPr="00872FD2">
              <w:rPr>
                <w:rFonts w:asciiTheme="minorHAnsi" w:eastAsia="Times New Roman" w:hAnsiTheme="minorHAnsi" w:cs="Arial"/>
                <w:b/>
                <w:color w:val="000000"/>
              </w:rPr>
              <w:t>&lt;0,001</w:t>
            </w:r>
          </w:p>
        </w:tc>
      </w:tr>
      <w:tr w:rsidR="007E28F2" w:rsidRPr="00872FD2" w:rsidTr="00510761">
        <w:trPr>
          <w:cnfStyle w:val="000000010000"/>
          <w:trHeight w:val="345"/>
        </w:trPr>
        <w:tc>
          <w:tcPr>
            <w:cnfStyle w:val="001000000000"/>
            <w:tcW w:w="2175" w:type="dxa"/>
            <w:hideMark/>
          </w:tcPr>
          <w:p w:rsidR="007E28F2" w:rsidRPr="00E771E9" w:rsidRDefault="007E28F2" w:rsidP="005A464E">
            <w:pPr>
              <w:spacing w:after="0" w:line="360" w:lineRule="auto"/>
              <w:rPr>
                <w:rFonts w:asciiTheme="minorHAnsi" w:eastAsia="Times New Roman" w:hAnsiTheme="minorHAnsi" w:cs="Arial"/>
                <w:bCs w:val="0"/>
                <w:color w:val="000000"/>
              </w:rPr>
            </w:pPr>
            <w:r w:rsidRPr="00E771E9">
              <w:rPr>
                <w:rFonts w:asciiTheme="minorHAnsi" w:eastAsia="Times New Roman" w:hAnsiTheme="minorHAnsi" w:cs="Arial"/>
                <w:bCs w:val="0"/>
                <w:color w:val="000000"/>
              </w:rPr>
              <w:t>Βαθμολογία γνώσης</w:t>
            </w:r>
          </w:p>
        </w:tc>
        <w:tc>
          <w:tcPr>
            <w:tcW w:w="3460" w:type="dxa"/>
            <w:hideMark/>
          </w:tcPr>
          <w:p w:rsidR="007E28F2" w:rsidRPr="00872FD2" w:rsidRDefault="007E28F2" w:rsidP="005A464E">
            <w:pPr>
              <w:spacing w:after="0" w:line="360" w:lineRule="auto"/>
              <w:cnfStyle w:val="000000010000"/>
              <w:rPr>
                <w:rFonts w:asciiTheme="minorHAnsi" w:eastAsia="Times New Roman" w:hAnsiTheme="minorHAnsi" w:cs="Arial"/>
                <w:color w:val="000000"/>
              </w:rPr>
            </w:pPr>
          </w:p>
        </w:tc>
        <w:tc>
          <w:tcPr>
            <w:tcW w:w="960" w:type="dxa"/>
            <w:noWrap/>
            <w:hideMark/>
          </w:tcPr>
          <w:p w:rsidR="007E28F2" w:rsidRPr="00872FD2" w:rsidRDefault="007E28F2" w:rsidP="005A464E">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0,33</w:t>
            </w:r>
          </w:p>
        </w:tc>
        <w:tc>
          <w:tcPr>
            <w:tcW w:w="960" w:type="dxa"/>
            <w:noWrap/>
            <w:hideMark/>
          </w:tcPr>
          <w:p w:rsidR="007E28F2" w:rsidRPr="00872FD2" w:rsidRDefault="007E28F2" w:rsidP="005A464E">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0,15</w:t>
            </w:r>
          </w:p>
        </w:tc>
        <w:tc>
          <w:tcPr>
            <w:tcW w:w="960" w:type="dxa"/>
            <w:noWrap/>
            <w:hideMark/>
          </w:tcPr>
          <w:p w:rsidR="007E28F2" w:rsidRPr="00872FD2" w:rsidRDefault="007E28F2" w:rsidP="005A464E">
            <w:pPr>
              <w:spacing w:after="0" w:line="360" w:lineRule="auto"/>
              <w:jc w:val="center"/>
              <w:cnfStyle w:val="000000010000"/>
              <w:rPr>
                <w:rFonts w:asciiTheme="minorHAnsi" w:eastAsia="Times New Roman" w:hAnsiTheme="minorHAnsi" w:cs="Arial"/>
                <w:b/>
                <w:color w:val="000000"/>
              </w:rPr>
            </w:pPr>
            <w:r w:rsidRPr="00872FD2">
              <w:rPr>
                <w:rFonts w:asciiTheme="minorHAnsi" w:eastAsia="Times New Roman" w:hAnsiTheme="minorHAnsi" w:cs="Arial"/>
                <w:b/>
                <w:color w:val="000000"/>
              </w:rPr>
              <w:t>0,022</w:t>
            </w:r>
          </w:p>
        </w:tc>
      </w:tr>
      <w:tr w:rsidR="007E28F2" w:rsidRPr="00872FD2" w:rsidTr="00510761">
        <w:trPr>
          <w:cnfStyle w:val="000000100000"/>
          <w:trHeight w:val="345"/>
        </w:trPr>
        <w:tc>
          <w:tcPr>
            <w:cnfStyle w:val="001000000000"/>
            <w:tcW w:w="2175" w:type="dxa"/>
            <w:vMerge w:val="restart"/>
            <w:hideMark/>
          </w:tcPr>
          <w:p w:rsidR="007E28F2" w:rsidRPr="00E771E9" w:rsidRDefault="007E28F2" w:rsidP="005A464E">
            <w:pPr>
              <w:spacing w:after="0" w:line="360" w:lineRule="auto"/>
              <w:rPr>
                <w:rFonts w:asciiTheme="minorHAnsi" w:eastAsia="Times New Roman" w:hAnsiTheme="minorHAnsi" w:cs="Arial"/>
                <w:bCs w:val="0"/>
                <w:color w:val="000000"/>
              </w:rPr>
            </w:pPr>
            <w:r w:rsidRPr="00E771E9">
              <w:rPr>
                <w:rFonts w:asciiTheme="minorHAnsi" w:eastAsia="Times New Roman" w:hAnsiTheme="minorHAnsi" w:cs="Arial"/>
                <w:bCs w:val="0"/>
                <w:color w:val="000000"/>
              </w:rPr>
              <w:t>Τόπος διαμονής</w:t>
            </w:r>
          </w:p>
        </w:tc>
        <w:tc>
          <w:tcPr>
            <w:tcW w:w="3460" w:type="dxa"/>
            <w:hideMark/>
          </w:tcPr>
          <w:p w:rsidR="007E28F2" w:rsidRPr="00872FD2" w:rsidRDefault="007E28F2" w:rsidP="005A464E">
            <w:pPr>
              <w:spacing w:after="0" w:line="360" w:lineRule="auto"/>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Αγροτικός/ Ημιαστικός (αναφορά)</w:t>
            </w:r>
          </w:p>
        </w:tc>
        <w:tc>
          <w:tcPr>
            <w:tcW w:w="960"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color w:val="000000"/>
              </w:rPr>
            </w:pPr>
          </w:p>
        </w:tc>
        <w:tc>
          <w:tcPr>
            <w:tcW w:w="960"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color w:val="000000"/>
              </w:rPr>
            </w:pPr>
          </w:p>
        </w:tc>
        <w:tc>
          <w:tcPr>
            <w:tcW w:w="960"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b/>
                <w:color w:val="000000"/>
              </w:rPr>
            </w:pPr>
          </w:p>
        </w:tc>
      </w:tr>
      <w:tr w:rsidR="007E28F2" w:rsidRPr="00872FD2" w:rsidTr="00510761">
        <w:trPr>
          <w:cnfStyle w:val="000000010000"/>
          <w:trHeight w:val="345"/>
        </w:trPr>
        <w:tc>
          <w:tcPr>
            <w:cnfStyle w:val="001000000000"/>
            <w:tcW w:w="2175" w:type="dxa"/>
            <w:vMerge/>
            <w:hideMark/>
          </w:tcPr>
          <w:p w:rsidR="007E28F2" w:rsidRPr="00E771E9" w:rsidRDefault="007E28F2" w:rsidP="005A464E">
            <w:pPr>
              <w:spacing w:after="0" w:line="360" w:lineRule="auto"/>
              <w:rPr>
                <w:rFonts w:asciiTheme="minorHAnsi" w:eastAsia="Times New Roman" w:hAnsiTheme="minorHAnsi" w:cs="Arial"/>
                <w:bCs w:val="0"/>
                <w:color w:val="000000"/>
              </w:rPr>
            </w:pPr>
          </w:p>
        </w:tc>
        <w:tc>
          <w:tcPr>
            <w:tcW w:w="3460" w:type="dxa"/>
            <w:hideMark/>
          </w:tcPr>
          <w:p w:rsidR="007E28F2" w:rsidRPr="00872FD2" w:rsidRDefault="007E28F2" w:rsidP="005A464E">
            <w:pPr>
              <w:spacing w:after="0" w:line="360" w:lineRule="auto"/>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Αστικός</w:t>
            </w:r>
          </w:p>
        </w:tc>
        <w:tc>
          <w:tcPr>
            <w:tcW w:w="960" w:type="dxa"/>
            <w:noWrap/>
            <w:hideMark/>
          </w:tcPr>
          <w:p w:rsidR="007E28F2" w:rsidRPr="00872FD2" w:rsidRDefault="007E28F2" w:rsidP="005A464E">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4,89</w:t>
            </w:r>
          </w:p>
        </w:tc>
        <w:tc>
          <w:tcPr>
            <w:tcW w:w="960" w:type="dxa"/>
            <w:noWrap/>
            <w:hideMark/>
          </w:tcPr>
          <w:p w:rsidR="007E28F2" w:rsidRPr="00872FD2" w:rsidRDefault="007E28F2" w:rsidP="005A464E">
            <w:pPr>
              <w:spacing w:after="0" w:line="360" w:lineRule="auto"/>
              <w:jc w:val="center"/>
              <w:cnfStyle w:val="000000010000"/>
              <w:rPr>
                <w:rFonts w:asciiTheme="minorHAnsi" w:eastAsia="Times New Roman" w:hAnsiTheme="minorHAnsi" w:cs="Arial"/>
                <w:color w:val="000000"/>
              </w:rPr>
            </w:pPr>
            <w:r w:rsidRPr="00872FD2">
              <w:rPr>
                <w:rFonts w:asciiTheme="minorHAnsi" w:eastAsia="Times New Roman" w:hAnsiTheme="minorHAnsi" w:cs="Arial"/>
                <w:color w:val="000000"/>
              </w:rPr>
              <w:t>1,43</w:t>
            </w:r>
          </w:p>
        </w:tc>
        <w:tc>
          <w:tcPr>
            <w:tcW w:w="960" w:type="dxa"/>
            <w:noWrap/>
            <w:hideMark/>
          </w:tcPr>
          <w:p w:rsidR="007E28F2" w:rsidRPr="00872FD2" w:rsidRDefault="007E28F2" w:rsidP="005A464E">
            <w:pPr>
              <w:spacing w:after="0" w:line="360" w:lineRule="auto"/>
              <w:jc w:val="center"/>
              <w:cnfStyle w:val="000000010000"/>
              <w:rPr>
                <w:rFonts w:asciiTheme="minorHAnsi" w:eastAsia="Times New Roman" w:hAnsiTheme="minorHAnsi" w:cs="Arial"/>
                <w:b/>
                <w:color w:val="000000"/>
              </w:rPr>
            </w:pPr>
            <w:r w:rsidRPr="00872FD2">
              <w:rPr>
                <w:rFonts w:asciiTheme="minorHAnsi" w:eastAsia="Times New Roman" w:hAnsiTheme="minorHAnsi" w:cs="Arial"/>
                <w:b/>
                <w:color w:val="000000"/>
              </w:rPr>
              <w:t>0,001</w:t>
            </w:r>
          </w:p>
        </w:tc>
      </w:tr>
      <w:tr w:rsidR="007E28F2" w:rsidRPr="00872FD2" w:rsidTr="00510761">
        <w:trPr>
          <w:cnfStyle w:val="000000100000"/>
          <w:trHeight w:val="345"/>
        </w:trPr>
        <w:tc>
          <w:tcPr>
            <w:cnfStyle w:val="001000000000"/>
            <w:tcW w:w="2175" w:type="dxa"/>
            <w:hideMark/>
          </w:tcPr>
          <w:p w:rsidR="007E28F2" w:rsidRPr="00E771E9" w:rsidRDefault="007E28F2" w:rsidP="005A464E">
            <w:pPr>
              <w:spacing w:after="0" w:line="360" w:lineRule="auto"/>
              <w:rPr>
                <w:rFonts w:asciiTheme="minorHAnsi" w:eastAsia="Times New Roman" w:hAnsiTheme="minorHAnsi" w:cs="Arial"/>
                <w:bCs w:val="0"/>
                <w:color w:val="000000"/>
              </w:rPr>
            </w:pPr>
            <w:r w:rsidRPr="00E771E9">
              <w:rPr>
                <w:rFonts w:asciiTheme="minorHAnsi" w:eastAsia="Times New Roman" w:hAnsiTheme="minorHAnsi" w:cs="Arial"/>
                <w:bCs w:val="0"/>
                <w:color w:val="000000"/>
              </w:rPr>
              <w:t>Έτη από διάγνωση ΧΝΝ</w:t>
            </w:r>
          </w:p>
        </w:tc>
        <w:tc>
          <w:tcPr>
            <w:tcW w:w="3460" w:type="dxa"/>
            <w:noWrap/>
            <w:hideMark/>
          </w:tcPr>
          <w:p w:rsidR="007E28F2" w:rsidRPr="00872FD2" w:rsidRDefault="007E28F2" w:rsidP="005A464E">
            <w:pPr>
              <w:spacing w:after="0" w:line="360" w:lineRule="auto"/>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 </w:t>
            </w:r>
          </w:p>
        </w:tc>
        <w:tc>
          <w:tcPr>
            <w:tcW w:w="960"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-0,19</w:t>
            </w:r>
          </w:p>
        </w:tc>
        <w:tc>
          <w:tcPr>
            <w:tcW w:w="960"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color w:val="000000"/>
              </w:rPr>
            </w:pPr>
            <w:r w:rsidRPr="00872FD2">
              <w:rPr>
                <w:rFonts w:asciiTheme="minorHAnsi" w:eastAsia="Times New Roman" w:hAnsiTheme="minorHAnsi" w:cs="Arial"/>
                <w:color w:val="000000"/>
              </w:rPr>
              <w:t>0,09</w:t>
            </w:r>
          </w:p>
        </w:tc>
        <w:tc>
          <w:tcPr>
            <w:tcW w:w="960" w:type="dxa"/>
            <w:noWrap/>
            <w:hideMark/>
          </w:tcPr>
          <w:p w:rsidR="007E28F2" w:rsidRPr="00872FD2" w:rsidRDefault="007E28F2" w:rsidP="005A464E">
            <w:pPr>
              <w:spacing w:after="0" w:line="360" w:lineRule="auto"/>
              <w:jc w:val="center"/>
              <w:cnfStyle w:val="000000100000"/>
              <w:rPr>
                <w:rFonts w:asciiTheme="minorHAnsi" w:eastAsia="Times New Roman" w:hAnsiTheme="minorHAnsi" w:cs="Arial"/>
                <w:b/>
                <w:color w:val="000000"/>
              </w:rPr>
            </w:pPr>
            <w:r w:rsidRPr="00872FD2">
              <w:rPr>
                <w:rFonts w:asciiTheme="minorHAnsi" w:eastAsia="Times New Roman" w:hAnsiTheme="minorHAnsi" w:cs="Arial"/>
                <w:b/>
                <w:color w:val="000000"/>
              </w:rPr>
              <w:t>0,027</w:t>
            </w:r>
          </w:p>
        </w:tc>
      </w:tr>
      <w:tr w:rsidR="009F1AE0" w:rsidRPr="00872FD2" w:rsidTr="00001CDF">
        <w:trPr>
          <w:cnfStyle w:val="000000010000"/>
          <w:trHeight w:val="345"/>
        </w:trPr>
        <w:tc>
          <w:tcPr>
            <w:cnfStyle w:val="001000000000"/>
            <w:tcW w:w="8515" w:type="dxa"/>
            <w:gridSpan w:val="5"/>
            <w:hideMark/>
          </w:tcPr>
          <w:p w:rsidR="009F1AE0" w:rsidRPr="00E50302" w:rsidRDefault="009F1AE0" w:rsidP="00E50302">
            <w:pPr>
              <w:pStyle w:val="nouk"/>
              <w:spacing w:line="276" w:lineRule="auto"/>
              <w:rPr>
                <w:b w:val="0"/>
                <w:i/>
                <w:sz w:val="20"/>
                <w:szCs w:val="20"/>
              </w:rPr>
            </w:pPr>
            <w:r w:rsidRPr="00E50302">
              <w:rPr>
                <w:b w:val="0"/>
                <w:sz w:val="20"/>
                <w:szCs w:val="20"/>
                <w:vertAlign w:val="superscript"/>
              </w:rPr>
              <w:t>+</w:t>
            </w:r>
            <w:r w:rsidRPr="00E50302">
              <w:rPr>
                <w:b w:val="0"/>
                <w:i/>
                <w:sz w:val="20"/>
                <w:szCs w:val="20"/>
              </w:rPr>
              <w:t xml:space="preserve">συντελεστής εξάρτησης </w:t>
            </w:r>
            <w:r w:rsidRPr="00E50302">
              <w:rPr>
                <w:b w:val="0"/>
                <w:i/>
                <w:sz w:val="20"/>
                <w:szCs w:val="20"/>
                <w:vertAlign w:val="superscript"/>
              </w:rPr>
              <w:t>++</w:t>
            </w:r>
            <w:r w:rsidRPr="00E50302">
              <w:rPr>
                <w:b w:val="0"/>
                <w:i/>
                <w:sz w:val="20"/>
                <w:szCs w:val="20"/>
              </w:rPr>
              <w:t>τυπικό σφάλμα συντελεστή εξάρτησης</w:t>
            </w:r>
          </w:p>
        </w:tc>
      </w:tr>
    </w:tbl>
    <w:p w:rsidR="007E28F2" w:rsidRPr="005A464E" w:rsidRDefault="007E28F2" w:rsidP="005A464E">
      <w:pPr>
        <w:pStyle w:val="nouk"/>
      </w:pPr>
    </w:p>
    <w:p w:rsidR="00636022" w:rsidRDefault="007E28F2" w:rsidP="005A464E">
      <w:pPr>
        <w:pStyle w:val="nouk"/>
      </w:pPr>
      <w:r w:rsidRPr="005A464E">
        <w:t>Η ηλικία, η γνώση, τα έτη από τη διάγνωση ΧΝΝ και ο τόπος διαμονής βρέθηκαν να σχετίζονται ανεξάρτητα με τη βαθμολογία στη διάσταση «</w:t>
      </w:r>
      <w:r w:rsidR="0046526E" w:rsidRPr="005A464E">
        <w:t>Διαπροσωπικές σχέσεις</w:t>
      </w:r>
      <w:r w:rsidRPr="005A464E">
        <w:t xml:space="preserve">». </w:t>
      </w:r>
    </w:p>
    <w:p w:rsidR="007E28F2" w:rsidRPr="005A464E" w:rsidRDefault="007E28F2" w:rsidP="005A464E">
      <w:pPr>
        <w:pStyle w:val="nouk"/>
      </w:pPr>
      <w:r w:rsidRPr="005A464E">
        <w:t xml:space="preserve">Στο ακόλουθο γράφημα </w:t>
      </w:r>
      <w:r w:rsidR="00B77C09">
        <w:t xml:space="preserve">(Γρ 21) </w:t>
      </w:r>
      <w:r w:rsidRPr="005A464E">
        <w:t>δίνεται η συσχέτιση των ετών από τη διάγνωση με τη βαθμολογία στη διάσταση «</w:t>
      </w:r>
      <w:r w:rsidR="00D225F5" w:rsidRPr="005A464E">
        <w:t>Πνευματικότητα</w:t>
      </w:r>
      <w:r w:rsidRPr="005A464E">
        <w:t>».</w:t>
      </w:r>
    </w:p>
    <w:p w:rsidR="007E28F2" w:rsidRPr="005A464E" w:rsidRDefault="007E28F2" w:rsidP="005A464E">
      <w:pPr>
        <w:pStyle w:val="nouk"/>
      </w:pPr>
    </w:p>
    <w:p w:rsidR="007E28F2" w:rsidRPr="005A464E" w:rsidRDefault="00464728" w:rsidP="00636022">
      <w:pPr>
        <w:pStyle w:val="nouk"/>
        <w:jc w:val="center"/>
      </w:pPr>
      <w:r>
        <w:rPr>
          <w:noProof/>
          <w:lang w:eastAsia="el-GR"/>
        </w:rPr>
        <w:drawing>
          <wp:inline distT="0" distB="0" distL="0" distR="0">
            <wp:extent cx="3600450" cy="2876550"/>
            <wp:effectExtent l="19050" t="0" r="0" b="0"/>
            <wp:docPr id="21" name="Εικόνα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6" cstate="print"/>
                    <a:srcRect/>
                    <a:stretch>
                      <a:fillRect/>
                    </a:stretch>
                  </pic:blipFill>
                  <pic:spPr bwMode="auto">
                    <a:xfrm>
                      <a:off x="0" y="0"/>
                      <a:ext cx="3600450" cy="2876550"/>
                    </a:xfrm>
                    <a:prstGeom prst="rect">
                      <a:avLst/>
                    </a:prstGeom>
                    <a:noFill/>
                    <a:ln w="9525">
                      <a:noFill/>
                      <a:miter lim="800000"/>
                      <a:headEnd/>
                      <a:tailEnd/>
                    </a:ln>
                  </pic:spPr>
                </pic:pic>
              </a:graphicData>
            </a:graphic>
          </wp:inline>
        </w:drawing>
      </w:r>
    </w:p>
    <w:p w:rsidR="007E28F2" w:rsidRPr="005A464E" w:rsidRDefault="007E28F2" w:rsidP="005A464E">
      <w:pPr>
        <w:pStyle w:val="nouk"/>
      </w:pPr>
    </w:p>
    <w:p w:rsidR="007E28F2" w:rsidRPr="00263C7B" w:rsidRDefault="00B77C09" w:rsidP="00263C7B">
      <w:pPr>
        <w:pStyle w:val="nouk"/>
      </w:pPr>
      <w:r w:rsidRPr="00846E7B">
        <w:rPr>
          <w:i/>
          <w:sz w:val="22"/>
          <w:szCs w:val="22"/>
        </w:rPr>
        <w:t>Γράφημα 21</w:t>
      </w:r>
      <w:r w:rsidRPr="00846E7B">
        <w:rPr>
          <w:sz w:val="22"/>
          <w:szCs w:val="22"/>
        </w:rPr>
        <w:t xml:space="preserve"> </w:t>
      </w:r>
      <w:r w:rsidRPr="00B77C09">
        <w:rPr>
          <w:sz w:val="22"/>
          <w:szCs w:val="22"/>
        </w:rPr>
        <w:t>Συσχέτιση των ετών από τη διάγνωση με τη βαθμολογία στη διάσταση «Πνευματικότητα</w:t>
      </w:r>
      <w:r>
        <w:t>»</w:t>
      </w:r>
      <w:r w:rsidRPr="005A464E">
        <w:t>.</w:t>
      </w:r>
    </w:p>
    <w:p w:rsidR="007E28F2" w:rsidRDefault="007E28F2" w:rsidP="005A464E">
      <w:pPr>
        <w:pStyle w:val="nouk"/>
      </w:pPr>
      <w:r w:rsidRPr="005A464E">
        <w:t>Στη συνέχεια έγινε πολυπαραγοντική γραμμική παλινδρόμηση έχοντας σαν εξαρτημένη μεταβλητή τη συνολική βαθμολογία ποιότητας ζωής και σαν ανεξάρτητες τα δημογραφικά και κλινικά στοιχεία των συμμετεχόντων καθώς και τη συμμόρφωση - γνώση. Με τη μέθοδο διαδοχικής ένταξης/αφαίρεσης (</w:t>
      </w:r>
      <w:r w:rsidRPr="005A464E">
        <w:rPr>
          <w:lang w:val="en-US"/>
        </w:rPr>
        <w:t>stepwise</w:t>
      </w:r>
      <w:r w:rsidRPr="005A464E">
        <w:t xml:space="preserve"> </w:t>
      </w:r>
      <w:r w:rsidRPr="005A464E">
        <w:rPr>
          <w:lang w:val="en-US"/>
        </w:rPr>
        <w:t>method</w:t>
      </w:r>
      <w:r w:rsidRPr="005A464E">
        <w:t xml:space="preserve">) βρέθηκαν τα </w:t>
      </w:r>
      <w:r w:rsidR="00B77C09">
        <w:t>αποτελέσματ</w:t>
      </w:r>
      <w:r w:rsidR="00263C7B">
        <w:t>α του παρακάτω πίνακ</w:t>
      </w:r>
      <w:r w:rsidR="009F1376">
        <w:t>α</w:t>
      </w:r>
      <w:r w:rsidR="00F6061C">
        <w:t xml:space="preserve"> (Πίν 48</w:t>
      </w:r>
      <w:r w:rsidR="00B77C09">
        <w:t>)</w:t>
      </w:r>
      <w:r w:rsidRPr="005A464E">
        <w:t xml:space="preserve">. </w:t>
      </w:r>
    </w:p>
    <w:p w:rsidR="00510761" w:rsidRDefault="00510761" w:rsidP="00510761">
      <w:pPr>
        <w:spacing w:after="0" w:line="360" w:lineRule="auto"/>
        <w:jc w:val="both"/>
        <w:rPr>
          <w:rFonts w:asciiTheme="minorHAnsi" w:eastAsiaTheme="minorHAnsi" w:hAnsiTheme="minorHAnsi" w:cstheme="minorBidi"/>
        </w:rPr>
      </w:pPr>
    </w:p>
    <w:p w:rsidR="00510761" w:rsidRPr="009F1376" w:rsidRDefault="00F6061C" w:rsidP="00510761">
      <w:pPr>
        <w:spacing w:after="0" w:line="360" w:lineRule="auto"/>
        <w:jc w:val="both"/>
        <w:rPr>
          <w:rFonts w:asciiTheme="minorHAnsi" w:eastAsiaTheme="minorHAnsi" w:hAnsiTheme="minorHAnsi" w:cstheme="minorBidi"/>
        </w:rPr>
      </w:pPr>
      <w:r>
        <w:rPr>
          <w:rFonts w:asciiTheme="minorHAnsi" w:eastAsiaTheme="minorHAnsi" w:hAnsiTheme="minorHAnsi" w:cstheme="minorBidi"/>
        </w:rPr>
        <w:t>Πίνακας 48</w:t>
      </w:r>
    </w:p>
    <w:p w:rsidR="00E771E9" w:rsidRPr="00E771E9" w:rsidRDefault="00510761" w:rsidP="005A464E">
      <w:pPr>
        <w:pStyle w:val="nouk"/>
      </w:pPr>
      <w:r w:rsidRPr="009F1376">
        <w:rPr>
          <w:rFonts w:asciiTheme="minorHAnsi" w:eastAsiaTheme="minorHAnsi" w:hAnsiTheme="minorHAnsi" w:cstheme="minorBidi"/>
          <w:i/>
        </w:rPr>
        <w:t xml:space="preserve"> Πολυπαραγοντική γραμμική παλινδρόμηση</w:t>
      </w:r>
      <w:r w:rsidRPr="009F1376">
        <w:rPr>
          <w:i/>
        </w:rPr>
        <w:t xml:space="preserve"> της συνολικής βαθμολογίας ποιότητας ζωής με τα δημογραφικά και κλινικά στοιχεία των συμμετεχόντων και τη συμμόρφωση - γνώση</w:t>
      </w:r>
    </w:p>
    <w:tbl>
      <w:tblPr>
        <w:tblStyle w:val="-41"/>
        <w:tblW w:w="8575" w:type="dxa"/>
        <w:jc w:val="center"/>
        <w:tblLook w:val="04A0"/>
      </w:tblPr>
      <w:tblGrid>
        <w:gridCol w:w="2235"/>
        <w:gridCol w:w="3460"/>
        <w:gridCol w:w="960"/>
        <w:gridCol w:w="960"/>
        <w:gridCol w:w="960"/>
      </w:tblGrid>
      <w:tr w:rsidR="007E28F2" w:rsidRPr="00872FD2" w:rsidTr="00510761">
        <w:trPr>
          <w:cnfStyle w:val="100000000000"/>
          <w:trHeight w:val="345"/>
          <w:jc w:val="center"/>
        </w:trPr>
        <w:tc>
          <w:tcPr>
            <w:cnfStyle w:val="001000000000"/>
            <w:tcW w:w="2235" w:type="dxa"/>
            <w:hideMark/>
          </w:tcPr>
          <w:p w:rsidR="007E28F2" w:rsidRPr="002B5862" w:rsidRDefault="007E28F2" w:rsidP="005A464E">
            <w:pPr>
              <w:spacing w:after="0" w:line="360" w:lineRule="auto"/>
              <w:rPr>
                <w:rFonts w:asciiTheme="minorHAnsi" w:eastAsia="Times New Roman" w:hAnsiTheme="minorHAnsi" w:cs="Arial"/>
                <w:b w:val="0"/>
                <w:bCs w:val="0"/>
                <w:color w:val="000000"/>
              </w:rPr>
            </w:pPr>
            <w:r w:rsidRPr="002B5862">
              <w:rPr>
                <w:rFonts w:asciiTheme="minorHAnsi" w:eastAsia="Times New Roman" w:hAnsiTheme="minorHAnsi" w:cs="Arial"/>
                <w:b w:val="0"/>
                <w:bCs w:val="0"/>
                <w:color w:val="000000"/>
              </w:rPr>
              <w:t> </w:t>
            </w:r>
          </w:p>
        </w:tc>
        <w:tc>
          <w:tcPr>
            <w:tcW w:w="3460" w:type="dxa"/>
            <w:hideMark/>
          </w:tcPr>
          <w:p w:rsidR="007E28F2" w:rsidRPr="002B5862" w:rsidRDefault="007E28F2" w:rsidP="005A464E">
            <w:pPr>
              <w:spacing w:after="0" w:line="360" w:lineRule="auto"/>
              <w:cnfStyle w:val="100000000000"/>
              <w:rPr>
                <w:rFonts w:asciiTheme="minorHAnsi" w:eastAsia="Times New Roman" w:hAnsiTheme="minorHAnsi" w:cs="Arial"/>
                <w:color w:val="000000"/>
              </w:rPr>
            </w:pPr>
            <w:r w:rsidRPr="002B5862">
              <w:rPr>
                <w:rFonts w:asciiTheme="minorHAnsi" w:eastAsia="Times New Roman" w:hAnsiTheme="minorHAnsi" w:cs="Arial"/>
                <w:color w:val="000000"/>
              </w:rPr>
              <w:t> </w:t>
            </w:r>
          </w:p>
        </w:tc>
        <w:tc>
          <w:tcPr>
            <w:tcW w:w="960" w:type="dxa"/>
            <w:noWrap/>
            <w:hideMark/>
          </w:tcPr>
          <w:p w:rsidR="007E28F2" w:rsidRPr="002B5862" w:rsidRDefault="007E28F2" w:rsidP="005A464E">
            <w:pPr>
              <w:spacing w:after="0" w:line="360" w:lineRule="auto"/>
              <w:jc w:val="center"/>
              <w:cnfStyle w:val="100000000000"/>
              <w:rPr>
                <w:rFonts w:asciiTheme="minorHAnsi" w:eastAsia="Times New Roman" w:hAnsiTheme="minorHAnsi" w:cs="Arial"/>
                <w:b w:val="0"/>
                <w:bCs w:val="0"/>
                <w:color w:val="000000"/>
              </w:rPr>
            </w:pPr>
            <w:r w:rsidRPr="002B5862">
              <w:rPr>
                <w:rFonts w:asciiTheme="minorHAnsi" w:eastAsia="Times New Roman" w:hAnsiTheme="minorHAnsi" w:cs="Arial"/>
                <w:b w:val="0"/>
                <w:bCs w:val="0"/>
                <w:color w:val="000000"/>
              </w:rPr>
              <w:t>β+</w:t>
            </w:r>
          </w:p>
        </w:tc>
        <w:tc>
          <w:tcPr>
            <w:tcW w:w="960" w:type="dxa"/>
            <w:noWrap/>
            <w:hideMark/>
          </w:tcPr>
          <w:p w:rsidR="007E28F2" w:rsidRPr="002B5862" w:rsidRDefault="007E28F2" w:rsidP="005A464E">
            <w:pPr>
              <w:spacing w:after="0" w:line="360" w:lineRule="auto"/>
              <w:jc w:val="center"/>
              <w:cnfStyle w:val="100000000000"/>
              <w:rPr>
                <w:rFonts w:asciiTheme="minorHAnsi" w:eastAsia="Times New Roman" w:hAnsiTheme="minorHAnsi" w:cs="Arial"/>
                <w:b w:val="0"/>
                <w:bCs w:val="0"/>
                <w:color w:val="000000"/>
              </w:rPr>
            </w:pPr>
            <w:r w:rsidRPr="002B5862">
              <w:rPr>
                <w:rFonts w:asciiTheme="minorHAnsi" w:eastAsia="Times New Roman" w:hAnsiTheme="minorHAnsi" w:cs="Arial"/>
                <w:b w:val="0"/>
                <w:bCs w:val="0"/>
                <w:color w:val="000000"/>
              </w:rPr>
              <w:t>SE++</w:t>
            </w:r>
          </w:p>
        </w:tc>
        <w:tc>
          <w:tcPr>
            <w:tcW w:w="960" w:type="dxa"/>
            <w:noWrap/>
            <w:hideMark/>
          </w:tcPr>
          <w:p w:rsidR="007E28F2" w:rsidRPr="002B5862" w:rsidRDefault="007E28F2" w:rsidP="005A464E">
            <w:pPr>
              <w:spacing w:after="0" w:line="360" w:lineRule="auto"/>
              <w:jc w:val="center"/>
              <w:cnfStyle w:val="100000000000"/>
              <w:rPr>
                <w:rFonts w:asciiTheme="minorHAnsi" w:eastAsia="Times New Roman" w:hAnsiTheme="minorHAnsi" w:cs="Arial"/>
                <w:b w:val="0"/>
                <w:bCs w:val="0"/>
                <w:color w:val="000000"/>
              </w:rPr>
            </w:pPr>
            <w:r w:rsidRPr="002B5862">
              <w:rPr>
                <w:rFonts w:asciiTheme="minorHAnsi" w:eastAsia="Times New Roman" w:hAnsiTheme="minorHAnsi" w:cs="Arial"/>
                <w:b w:val="0"/>
                <w:bCs w:val="0"/>
                <w:color w:val="000000"/>
              </w:rPr>
              <w:t>P</w:t>
            </w:r>
          </w:p>
        </w:tc>
      </w:tr>
      <w:tr w:rsidR="007E28F2" w:rsidRPr="00872FD2" w:rsidTr="00510761">
        <w:trPr>
          <w:cnfStyle w:val="000000100000"/>
          <w:trHeight w:val="345"/>
          <w:jc w:val="center"/>
        </w:trPr>
        <w:tc>
          <w:tcPr>
            <w:cnfStyle w:val="001000000000"/>
            <w:tcW w:w="2235" w:type="dxa"/>
            <w:hideMark/>
          </w:tcPr>
          <w:p w:rsidR="007E28F2" w:rsidRPr="00E771E9" w:rsidRDefault="007E28F2" w:rsidP="005A464E">
            <w:pPr>
              <w:spacing w:after="0" w:line="360" w:lineRule="auto"/>
              <w:rPr>
                <w:rFonts w:asciiTheme="minorHAnsi" w:eastAsia="Times New Roman" w:hAnsiTheme="minorHAnsi" w:cs="Arial"/>
                <w:bCs w:val="0"/>
                <w:color w:val="000000"/>
              </w:rPr>
            </w:pPr>
            <w:r w:rsidRPr="00E771E9">
              <w:rPr>
                <w:rFonts w:asciiTheme="minorHAnsi" w:eastAsia="Times New Roman" w:hAnsiTheme="minorHAnsi" w:cs="Arial"/>
                <w:bCs w:val="0"/>
                <w:color w:val="000000"/>
              </w:rPr>
              <w:t>Ηλικία</w:t>
            </w:r>
          </w:p>
        </w:tc>
        <w:tc>
          <w:tcPr>
            <w:tcW w:w="3460" w:type="dxa"/>
            <w:noWrap/>
            <w:hideMark/>
          </w:tcPr>
          <w:p w:rsidR="007E28F2" w:rsidRPr="002B5862" w:rsidRDefault="007E28F2" w:rsidP="005A464E">
            <w:pPr>
              <w:spacing w:after="0" w:line="360" w:lineRule="auto"/>
              <w:cnfStyle w:val="000000100000"/>
              <w:rPr>
                <w:rFonts w:asciiTheme="minorHAnsi" w:eastAsia="Times New Roman" w:hAnsiTheme="minorHAnsi" w:cs="Arial"/>
                <w:color w:val="000000"/>
              </w:rPr>
            </w:pPr>
            <w:r w:rsidRPr="002B5862">
              <w:rPr>
                <w:rFonts w:asciiTheme="minorHAnsi" w:eastAsia="Times New Roman" w:hAnsiTheme="minorHAnsi" w:cs="Arial"/>
                <w:color w:val="000000"/>
              </w:rPr>
              <w:t> </w:t>
            </w:r>
          </w:p>
        </w:tc>
        <w:tc>
          <w:tcPr>
            <w:tcW w:w="960" w:type="dxa"/>
            <w:noWrap/>
            <w:hideMark/>
          </w:tcPr>
          <w:p w:rsidR="007E28F2" w:rsidRPr="002B5862" w:rsidRDefault="007E28F2" w:rsidP="005A464E">
            <w:pPr>
              <w:spacing w:after="0" w:line="360" w:lineRule="auto"/>
              <w:jc w:val="center"/>
              <w:cnfStyle w:val="000000100000"/>
              <w:rPr>
                <w:rFonts w:asciiTheme="minorHAnsi" w:eastAsia="Times New Roman" w:hAnsiTheme="minorHAnsi" w:cs="Arial"/>
                <w:color w:val="000000"/>
              </w:rPr>
            </w:pPr>
            <w:r w:rsidRPr="002B5862">
              <w:rPr>
                <w:rFonts w:asciiTheme="minorHAnsi" w:eastAsia="Times New Roman" w:hAnsiTheme="minorHAnsi" w:cs="Arial"/>
                <w:color w:val="000000"/>
              </w:rPr>
              <w:t>-0,10</w:t>
            </w:r>
          </w:p>
        </w:tc>
        <w:tc>
          <w:tcPr>
            <w:tcW w:w="960" w:type="dxa"/>
            <w:noWrap/>
            <w:hideMark/>
          </w:tcPr>
          <w:p w:rsidR="007E28F2" w:rsidRPr="002B5862" w:rsidRDefault="007E28F2" w:rsidP="005A464E">
            <w:pPr>
              <w:spacing w:after="0" w:line="360" w:lineRule="auto"/>
              <w:jc w:val="center"/>
              <w:cnfStyle w:val="000000100000"/>
              <w:rPr>
                <w:rFonts w:asciiTheme="minorHAnsi" w:eastAsia="Times New Roman" w:hAnsiTheme="minorHAnsi" w:cs="Arial"/>
                <w:color w:val="000000"/>
              </w:rPr>
            </w:pPr>
            <w:r w:rsidRPr="002B5862">
              <w:rPr>
                <w:rFonts w:asciiTheme="minorHAnsi" w:eastAsia="Times New Roman" w:hAnsiTheme="minorHAnsi" w:cs="Arial"/>
                <w:color w:val="000000"/>
              </w:rPr>
              <w:t>0,02</w:t>
            </w:r>
          </w:p>
        </w:tc>
        <w:tc>
          <w:tcPr>
            <w:tcW w:w="960" w:type="dxa"/>
            <w:noWrap/>
            <w:hideMark/>
          </w:tcPr>
          <w:p w:rsidR="007E28F2" w:rsidRPr="002B5862" w:rsidRDefault="007E28F2" w:rsidP="005A464E">
            <w:pPr>
              <w:spacing w:after="0" w:line="360" w:lineRule="auto"/>
              <w:jc w:val="center"/>
              <w:cnfStyle w:val="000000100000"/>
              <w:rPr>
                <w:rFonts w:asciiTheme="minorHAnsi" w:eastAsia="Times New Roman" w:hAnsiTheme="minorHAnsi" w:cs="Arial"/>
                <w:b/>
                <w:color w:val="000000"/>
              </w:rPr>
            </w:pPr>
            <w:r w:rsidRPr="002B5862">
              <w:rPr>
                <w:rFonts w:asciiTheme="minorHAnsi" w:eastAsia="Times New Roman" w:hAnsiTheme="minorHAnsi" w:cs="Arial"/>
                <w:b/>
                <w:color w:val="000000"/>
              </w:rPr>
              <w:t>&lt;0,001</w:t>
            </w:r>
          </w:p>
        </w:tc>
      </w:tr>
      <w:tr w:rsidR="007E28F2" w:rsidRPr="00872FD2" w:rsidTr="00510761">
        <w:trPr>
          <w:cnfStyle w:val="000000010000"/>
          <w:trHeight w:val="345"/>
          <w:jc w:val="center"/>
        </w:trPr>
        <w:tc>
          <w:tcPr>
            <w:cnfStyle w:val="001000000000"/>
            <w:tcW w:w="2235" w:type="dxa"/>
            <w:hideMark/>
          </w:tcPr>
          <w:p w:rsidR="007E28F2" w:rsidRPr="00E771E9" w:rsidRDefault="007E28F2" w:rsidP="005A464E">
            <w:pPr>
              <w:spacing w:after="0" w:line="360" w:lineRule="auto"/>
              <w:rPr>
                <w:rFonts w:asciiTheme="minorHAnsi" w:eastAsia="Times New Roman" w:hAnsiTheme="minorHAnsi" w:cs="Arial"/>
                <w:bCs w:val="0"/>
                <w:color w:val="000000"/>
              </w:rPr>
            </w:pPr>
            <w:r w:rsidRPr="00E771E9">
              <w:rPr>
                <w:rFonts w:asciiTheme="minorHAnsi" w:eastAsia="Times New Roman" w:hAnsiTheme="minorHAnsi" w:cs="Arial"/>
                <w:bCs w:val="0"/>
                <w:color w:val="000000"/>
              </w:rPr>
              <w:t>Βαθμολογία γνώσης</w:t>
            </w:r>
          </w:p>
        </w:tc>
        <w:tc>
          <w:tcPr>
            <w:tcW w:w="3460" w:type="dxa"/>
            <w:hideMark/>
          </w:tcPr>
          <w:p w:rsidR="007E28F2" w:rsidRPr="002B5862" w:rsidRDefault="007E28F2" w:rsidP="005A464E">
            <w:pPr>
              <w:spacing w:after="0" w:line="360" w:lineRule="auto"/>
              <w:cnfStyle w:val="000000010000"/>
              <w:rPr>
                <w:rFonts w:asciiTheme="minorHAnsi" w:eastAsia="Times New Roman" w:hAnsiTheme="minorHAnsi" w:cs="Arial"/>
                <w:color w:val="000000"/>
              </w:rPr>
            </w:pPr>
          </w:p>
        </w:tc>
        <w:tc>
          <w:tcPr>
            <w:tcW w:w="960" w:type="dxa"/>
            <w:noWrap/>
            <w:hideMark/>
          </w:tcPr>
          <w:p w:rsidR="007E28F2" w:rsidRPr="002B5862" w:rsidRDefault="007E28F2" w:rsidP="005A464E">
            <w:pPr>
              <w:spacing w:after="0" w:line="360" w:lineRule="auto"/>
              <w:jc w:val="center"/>
              <w:cnfStyle w:val="000000010000"/>
              <w:rPr>
                <w:rFonts w:asciiTheme="minorHAnsi" w:eastAsia="Times New Roman" w:hAnsiTheme="minorHAnsi" w:cs="Arial"/>
                <w:color w:val="000000"/>
              </w:rPr>
            </w:pPr>
            <w:r w:rsidRPr="002B5862">
              <w:rPr>
                <w:rFonts w:asciiTheme="minorHAnsi" w:eastAsia="Times New Roman" w:hAnsiTheme="minorHAnsi" w:cs="Arial"/>
                <w:color w:val="000000"/>
              </w:rPr>
              <w:t>0,10</w:t>
            </w:r>
          </w:p>
        </w:tc>
        <w:tc>
          <w:tcPr>
            <w:tcW w:w="960" w:type="dxa"/>
            <w:noWrap/>
            <w:hideMark/>
          </w:tcPr>
          <w:p w:rsidR="007E28F2" w:rsidRPr="002B5862" w:rsidRDefault="007E28F2" w:rsidP="005A464E">
            <w:pPr>
              <w:spacing w:after="0" w:line="360" w:lineRule="auto"/>
              <w:jc w:val="center"/>
              <w:cnfStyle w:val="000000010000"/>
              <w:rPr>
                <w:rFonts w:asciiTheme="minorHAnsi" w:eastAsia="Times New Roman" w:hAnsiTheme="minorHAnsi" w:cs="Arial"/>
                <w:color w:val="000000"/>
              </w:rPr>
            </w:pPr>
            <w:r w:rsidRPr="002B5862">
              <w:rPr>
                <w:rFonts w:asciiTheme="minorHAnsi" w:eastAsia="Times New Roman" w:hAnsiTheme="minorHAnsi" w:cs="Arial"/>
                <w:color w:val="000000"/>
              </w:rPr>
              <w:t>0,04</w:t>
            </w:r>
          </w:p>
        </w:tc>
        <w:tc>
          <w:tcPr>
            <w:tcW w:w="960" w:type="dxa"/>
            <w:noWrap/>
            <w:hideMark/>
          </w:tcPr>
          <w:p w:rsidR="007E28F2" w:rsidRPr="002B5862" w:rsidRDefault="007E28F2" w:rsidP="005A464E">
            <w:pPr>
              <w:spacing w:after="0" w:line="360" w:lineRule="auto"/>
              <w:jc w:val="center"/>
              <w:cnfStyle w:val="000000010000"/>
              <w:rPr>
                <w:rFonts w:asciiTheme="minorHAnsi" w:eastAsia="Times New Roman" w:hAnsiTheme="minorHAnsi" w:cs="Arial"/>
                <w:b/>
                <w:color w:val="000000"/>
              </w:rPr>
            </w:pPr>
            <w:r w:rsidRPr="002B5862">
              <w:rPr>
                <w:rFonts w:asciiTheme="minorHAnsi" w:eastAsia="Times New Roman" w:hAnsiTheme="minorHAnsi" w:cs="Arial"/>
                <w:b/>
                <w:color w:val="000000"/>
              </w:rPr>
              <w:t>0,027</w:t>
            </w:r>
          </w:p>
        </w:tc>
      </w:tr>
      <w:tr w:rsidR="007E28F2" w:rsidRPr="00872FD2" w:rsidTr="00510761">
        <w:trPr>
          <w:cnfStyle w:val="000000100000"/>
          <w:trHeight w:val="345"/>
          <w:jc w:val="center"/>
        </w:trPr>
        <w:tc>
          <w:tcPr>
            <w:cnfStyle w:val="001000000000"/>
            <w:tcW w:w="2235" w:type="dxa"/>
            <w:hideMark/>
          </w:tcPr>
          <w:p w:rsidR="007E28F2" w:rsidRPr="00E771E9" w:rsidRDefault="007E28F2" w:rsidP="005A464E">
            <w:pPr>
              <w:spacing w:after="0" w:line="360" w:lineRule="auto"/>
              <w:rPr>
                <w:rFonts w:asciiTheme="minorHAnsi" w:eastAsia="Times New Roman" w:hAnsiTheme="minorHAnsi" w:cs="Arial"/>
                <w:bCs w:val="0"/>
                <w:color w:val="000000"/>
              </w:rPr>
            </w:pPr>
            <w:r w:rsidRPr="00E771E9">
              <w:rPr>
                <w:rFonts w:asciiTheme="minorHAnsi" w:eastAsia="Times New Roman" w:hAnsiTheme="minorHAnsi" w:cs="Arial"/>
                <w:bCs w:val="0"/>
                <w:color w:val="000000"/>
              </w:rPr>
              <w:t>Κλίμακα συμμόρφωσης (</w:t>
            </w:r>
            <w:r w:rsidR="00F60413" w:rsidRPr="00E771E9">
              <w:rPr>
                <w:rFonts w:asciiTheme="minorHAnsi" w:eastAsia="Times New Roman" w:hAnsiTheme="minorHAnsi" w:cs="Arial"/>
                <w:bCs w:val="0"/>
                <w:color w:val="000000"/>
                <w:lang w:val="en-US"/>
              </w:rPr>
              <w:t>GR</w:t>
            </w:r>
            <w:r w:rsidR="00F60413" w:rsidRPr="00E771E9">
              <w:rPr>
                <w:rFonts w:asciiTheme="minorHAnsi" w:eastAsia="Times New Roman" w:hAnsiTheme="minorHAnsi" w:cs="Arial"/>
                <w:bCs w:val="0"/>
                <w:color w:val="000000"/>
              </w:rPr>
              <w:t>-</w:t>
            </w:r>
            <w:r w:rsidRPr="00E771E9">
              <w:rPr>
                <w:rFonts w:asciiTheme="minorHAnsi" w:eastAsia="Times New Roman" w:hAnsiTheme="minorHAnsi" w:cs="Arial"/>
                <w:bCs w:val="0"/>
                <w:color w:val="000000"/>
              </w:rPr>
              <w:t>SMAQ</w:t>
            </w:r>
            <w:r w:rsidR="00F60413" w:rsidRPr="00E771E9">
              <w:rPr>
                <w:rFonts w:asciiTheme="minorHAnsi" w:eastAsia="Times New Roman" w:hAnsiTheme="minorHAnsi" w:cs="Arial"/>
                <w:bCs w:val="0"/>
                <w:color w:val="000000"/>
              </w:rPr>
              <w:t>-</w:t>
            </w:r>
            <w:r w:rsidR="00F60413" w:rsidRPr="00E771E9">
              <w:rPr>
                <w:rFonts w:asciiTheme="minorHAnsi" w:eastAsia="Times New Roman" w:hAnsiTheme="minorHAnsi" w:cs="Arial"/>
                <w:bCs w:val="0"/>
                <w:color w:val="000000"/>
                <w:lang w:val="en-US"/>
              </w:rPr>
              <w:t>HD</w:t>
            </w:r>
            <w:r w:rsidRPr="00E771E9">
              <w:rPr>
                <w:rFonts w:asciiTheme="minorHAnsi" w:eastAsia="Times New Roman" w:hAnsiTheme="minorHAnsi" w:cs="Arial"/>
                <w:bCs w:val="0"/>
                <w:color w:val="000000"/>
              </w:rPr>
              <w:t>)</w:t>
            </w:r>
          </w:p>
        </w:tc>
        <w:tc>
          <w:tcPr>
            <w:tcW w:w="3460" w:type="dxa"/>
            <w:hideMark/>
          </w:tcPr>
          <w:p w:rsidR="007E28F2" w:rsidRPr="002B5862" w:rsidRDefault="007E28F2" w:rsidP="005A464E">
            <w:pPr>
              <w:spacing w:after="0" w:line="360" w:lineRule="auto"/>
              <w:cnfStyle w:val="000000100000"/>
              <w:rPr>
                <w:rFonts w:asciiTheme="minorHAnsi" w:eastAsia="Times New Roman" w:hAnsiTheme="minorHAnsi" w:cs="Arial"/>
                <w:color w:val="000000"/>
              </w:rPr>
            </w:pPr>
          </w:p>
        </w:tc>
        <w:tc>
          <w:tcPr>
            <w:tcW w:w="960" w:type="dxa"/>
            <w:noWrap/>
            <w:hideMark/>
          </w:tcPr>
          <w:p w:rsidR="007E28F2" w:rsidRPr="002B5862" w:rsidRDefault="007E28F2" w:rsidP="005A464E">
            <w:pPr>
              <w:spacing w:after="0" w:line="360" w:lineRule="auto"/>
              <w:jc w:val="center"/>
              <w:cnfStyle w:val="000000100000"/>
              <w:rPr>
                <w:rFonts w:asciiTheme="minorHAnsi" w:eastAsia="Times New Roman" w:hAnsiTheme="minorHAnsi" w:cs="Arial"/>
                <w:color w:val="000000"/>
              </w:rPr>
            </w:pPr>
            <w:r w:rsidRPr="002B5862">
              <w:rPr>
                <w:rFonts w:asciiTheme="minorHAnsi" w:eastAsia="Times New Roman" w:hAnsiTheme="minorHAnsi" w:cs="Arial"/>
                <w:color w:val="000000"/>
              </w:rPr>
              <w:t>0,29</w:t>
            </w:r>
          </w:p>
        </w:tc>
        <w:tc>
          <w:tcPr>
            <w:tcW w:w="960" w:type="dxa"/>
            <w:noWrap/>
            <w:hideMark/>
          </w:tcPr>
          <w:p w:rsidR="007E28F2" w:rsidRPr="002B5862" w:rsidRDefault="007E28F2" w:rsidP="005A464E">
            <w:pPr>
              <w:spacing w:after="0" w:line="360" w:lineRule="auto"/>
              <w:jc w:val="center"/>
              <w:cnfStyle w:val="000000100000"/>
              <w:rPr>
                <w:rFonts w:asciiTheme="minorHAnsi" w:eastAsia="Times New Roman" w:hAnsiTheme="minorHAnsi" w:cs="Arial"/>
                <w:color w:val="000000"/>
              </w:rPr>
            </w:pPr>
            <w:r w:rsidRPr="002B5862">
              <w:rPr>
                <w:rFonts w:asciiTheme="minorHAnsi" w:eastAsia="Times New Roman" w:hAnsiTheme="minorHAnsi" w:cs="Arial"/>
                <w:color w:val="000000"/>
              </w:rPr>
              <w:t>0,12</w:t>
            </w:r>
          </w:p>
        </w:tc>
        <w:tc>
          <w:tcPr>
            <w:tcW w:w="960" w:type="dxa"/>
            <w:noWrap/>
            <w:hideMark/>
          </w:tcPr>
          <w:p w:rsidR="007E28F2" w:rsidRPr="002B5862" w:rsidRDefault="007E28F2" w:rsidP="005A464E">
            <w:pPr>
              <w:spacing w:after="0" w:line="360" w:lineRule="auto"/>
              <w:jc w:val="center"/>
              <w:cnfStyle w:val="000000100000"/>
              <w:rPr>
                <w:rFonts w:asciiTheme="minorHAnsi" w:eastAsia="Times New Roman" w:hAnsiTheme="minorHAnsi" w:cs="Arial"/>
                <w:b/>
                <w:color w:val="000000"/>
              </w:rPr>
            </w:pPr>
            <w:r w:rsidRPr="002B5862">
              <w:rPr>
                <w:rFonts w:asciiTheme="minorHAnsi" w:eastAsia="Times New Roman" w:hAnsiTheme="minorHAnsi" w:cs="Arial"/>
                <w:b/>
                <w:color w:val="000000"/>
              </w:rPr>
              <w:t>0,025</w:t>
            </w:r>
          </w:p>
        </w:tc>
      </w:tr>
      <w:tr w:rsidR="007E28F2" w:rsidRPr="00872FD2" w:rsidTr="00510761">
        <w:trPr>
          <w:cnfStyle w:val="000000010000"/>
          <w:trHeight w:val="345"/>
          <w:jc w:val="center"/>
        </w:trPr>
        <w:tc>
          <w:tcPr>
            <w:cnfStyle w:val="001000000000"/>
            <w:tcW w:w="2235" w:type="dxa"/>
            <w:vMerge w:val="restart"/>
            <w:hideMark/>
          </w:tcPr>
          <w:p w:rsidR="007E28F2" w:rsidRPr="00E771E9" w:rsidRDefault="007E28F2" w:rsidP="005A464E">
            <w:pPr>
              <w:spacing w:after="0" w:line="360" w:lineRule="auto"/>
              <w:rPr>
                <w:rFonts w:asciiTheme="minorHAnsi" w:eastAsia="Times New Roman" w:hAnsiTheme="minorHAnsi" w:cs="Arial"/>
                <w:bCs w:val="0"/>
                <w:color w:val="000000"/>
              </w:rPr>
            </w:pPr>
            <w:r w:rsidRPr="00E771E9">
              <w:rPr>
                <w:rFonts w:asciiTheme="minorHAnsi" w:eastAsia="Times New Roman" w:hAnsiTheme="minorHAnsi" w:cs="Arial"/>
                <w:bCs w:val="0"/>
                <w:color w:val="000000"/>
              </w:rPr>
              <w:t>Τόπος διαμονής</w:t>
            </w:r>
          </w:p>
        </w:tc>
        <w:tc>
          <w:tcPr>
            <w:tcW w:w="3460" w:type="dxa"/>
            <w:hideMark/>
          </w:tcPr>
          <w:p w:rsidR="007E28F2" w:rsidRPr="002B5862" w:rsidRDefault="007E28F2" w:rsidP="005A464E">
            <w:pPr>
              <w:spacing w:after="0" w:line="360" w:lineRule="auto"/>
              <w:cnfStyle w:val="000000010000"/>
              <w:rPr>
                <w:rFonts w:asciiTheme="minorHAnsi" w:eastAsia="Times New Roman" w:hAnsiTheme="minorHAnsi" w:cs="Arial"/>
                <w:color w:val="000000"/>
              </w:rPr>
            </w:pPr>
            <w:r w:rsidRPr="002B5862">
              <w:rPr>
                <w:rFonts w:asciiTheme="minorHAnsi" w:eastAsia="Times New Roman" w:hAnsiTheme="minorHAnsi" w:cs="Arial"/>
                <w:color w:val="000000"/>
              </w:rPr>
              <w:t>Αγροτικός/ Ημιαστικός (αναφορά)</w:t>
            </w:r>
          </w:p>
        </w:tc>
        <w:tc>
          <w:tcPr>
            <w:tcW w:w="960" w:type="dxa"/>
            <w:noWrap/>
            <w:hideMark/>
          </w:tcPr>
          <w:p w:rsidR="007E28F2" w:rsidRPr="002B5862" w:rsidRDefault="007E28F2" w:rsidP="005A464E">
            <w:pPr>
              <w:spacing w:after="0" w:line="360" w:lineRule="auto"/>
              <w:jc w:val="center"/>
              <w:cnfStyle w:val="000000010000"/>
              <w:rPr>
                <w:rFonts w:asciiTheme="minorHAnsi" w:eastAsia="Times New Roman" w:hAnsiTheme="minorHAnsi" w:cs="Arial"/>
                <w:color w:val="000000"/>
              </w:rPr>
            </w:pPr>
          </w:p>
        </w:tc>
        <w:tc>
          <w:tcPr>
            <w:tcW w:w="960" w:type="dxa"/>
            <w:noWrap/>
            <w:hideMark/>
          </w:tcPr>
          <w:p w:rsidR="007E28F2" w:rsidRPr="002B5862" w:rsidRDefault="007E28F2" w:rsidP="005A464E">
            <w:pPr>
              <w:spacing w:after="0" w:line="360" w:lineRule="auto"/>
              <w:jc w:val="center"/>
              <w:cnfStyle w:val="000000010000"/>
              <w:rPr>
                <w:rFonts w:asciiTheme="minorHAnsi" w:eastAsia="Times New Roman" w:hAnsiTheme="minorHAnsi" w:cs="Arial"/>
                <w:color w:val="000000"/>
              </w:rPr>
            </w:pPr>
          </w:p>
        </w:tc>
        <w:tc>
          <w:tcPr>
            <w:tcW w:w="960" w:type="dxa"/>
            <w:noWrap/>
            <w:hideMark/>
          </w:tcPr>
          <w:p w:rsidR="007E28F2" w:rsidRPr="002B5862" w:rsidRDefault="007E28F2" w:rsidP="005A464E">
            <w:pPr>
              <w:spacing w:after="0" w:line="360" w:lineRule="auto"/>
              <w:jc w:val="center"/>
              <w:cnfStyle w:val="000000010000"/>
              <w:rPr>
                <w:rFonts w:asciiTheme="minorHAnsi" w:eastAsia="Times New Roman" w:hAnsiTheme="minorHAnsi" w:cs="Arial"/>
                <w:b/>
                <w:color w:val="000000"/>
              </w:rPr>
            </w:pPr>
          </w:p>
        </w:tc>
      </w:tr>
      <w:tr w:rsidR="007E28F2" w:rsidRPr="00872FD2" w:rsidTr="00510761">
        <w:trPr>
          <w:cnfStyle w:val="000000100000"/>
          <w:trHeight w:val="345"/>
          <w:jc w:val="center"/>
        </w:trPr>
        <w:tc>
          <w:tcPr>
            <w:cnfStyle w:val="001000000000"/>
            <w:tcW w:w="2235" w:type="dxa"/>
            <w:vMerge/>
            <w:hideMark/>
          </w:tcPr>
          <w:p w:rsidR="007E28F2" w:rsidRPr="00E771E9" w:rsidRDefault="007E28F2" w:rsidP="005A464E">
            <w:pPr>
              <w:spacing w:after="0" w:line="360" w:lineRule="auto"/>
              <w:rPr>
                <w:rFonts w:asciiTheme="minorHAnsi" w:eastAsia="Times New Roman" w:hAnsiTheme="minorHAnsi" w:cs="Arial"/>
                <w:bCs w:val="0"/>
                <w:color w:val="000000"/>
              </w:rPr>
            </w:pPr>
          </w:p>
        </w:tc>
        <w:tc>
          <w:tcPr>
            <w:tcW w:w="3460" w:type="dxa"/>
            <w:hideMark/>
          </w:tcPr>
          <w:p w:rsidR="007E28F2" w:rsidRPr="002B5862" w:rsidRDefault="007E28F2" w:rsidP="005A464E">
            <w:pPr>
              <w:spacing w:after="0" w:line="360" w:lineRule="auto"/>
              <w:cnfStyle w:val="000000100000"/>
              <w:rPr>
                <w:rFonts w:asciiTheme="minorHAnsi" w:eastAsia="Times New Roman" w:hAnsiTheme="minorHAnsi" w:cs="Arial"/>
                <w:color w:val="000000"/>
              </w:rPr>
            </w:pPr>
            <w:r w:rsidRPr="002B5862">
              <w:rPr>
                <w:rFonts w:asciiTheme="minorHAnsi" w:eastAsia="Times New Roman" w:hAnsiTheme="minorHAnsi" w:cs="Arial"/>
                <w:color w:val="000000"/>
              </w:rPr>
              <w:t>Αστικός</w:t>
            </w:r>
          </w:p>
        </w:tc>
        <w:tc>
          <w:tcPr>
            <w:tcW w:w="960" w:type="dxa"/>
            <w:noWrap/>
            <w:hideMark/>
          </w:tcPr>
          <w:p w:rsidR="007E28F2" w:rsidRPr="002B5862" w:rsidRDefault="007E28F2" w:rsidP="005A464E">
            <w:pPr>
              <w:spacing w:after="0" w:line="360" w:lineRule="auto"/>
              <w:jc w:val="center"/>
              <w:cnfStyle w:val="000000100000"/>
              <w:rPr>
                <w:rFonts w:asciiTheme="minorHAnsi" w:eastAsia="Times New Roman" w:hAnsiTheme="minorHAnsi" w:cs="Arial"/>
                <w:color w:val="000000"/>
              </w:rPr>
            </w:pPr>
            <w:r w:rsidRPr="002B5862">
              <w:rPr>
                <w:rFonts w:asciiTheme="minorHAnsi" w:eastAsia="Times New Roman" w:hAnsiTheme="minorHAnsi" w:cs="Arial"/>
                <w:color w:val="000000"/>
              </w:rPr>
              <w:t>1,37</w:t>
            </w:r>
          </w:p>
        </w:tc>
        <w:tc>
          <w:tcPr>
            <w:tcW w:w="960" w:type="dxa"/>
            <w:noWrap/>
            <w:hideMark/>
          </w:tcPr>
          <w:p w:rsidR="007E28F2" w:rsidRPr="002B5862" w:rsidRDefault="007E28F2" w:rsidP="005A464E">
            <w:pPr>
              <w:spacing w:after="0" w:line="360" w:lineRule="auto"/>
              <w:jc w:val="center"/>
              <w:cnfStyle w:val="000000100000"/>
              <w:rPr>
                <w:rFonts w:asciiTheme="minorHAnsi" w:eastAsia="Times New Roman" w:hAnsiTheme="minorHAnsi" w:cs="Arial"/>
                <w:color w:val="000000"/>
              </w:rPr>
            </w:pPr>
            <w:r w:rsidRPr="002B5862">
              <w:rPr>
                <w:rFonts w:asciiTheme="minorHAnsi" w:eastAsia="Times New Roman" w:hAnsiTheme="minorHAnsi" w:cs="Arial"/>
                <w:color w:val="000000"/>
              </w:rPr>
              <w:t>0,41</w:t>
            </w:r>
          </w:p>
        </w:tc>
        <w:tc>
          <w:tcPr>
            <w:tcW w:w="960" w:type="dxa"/>
            <w:noWrap/>
            <w:hideMark/>
          </w:tcPr>
          <w:p w:rsidR="007E28F2" w:rsidRPr="002B5862" w:rsidRDefault="007E28F2" w:rsidP="005A464E">
            <w:pPr>
              <w:spacing w:after="0" w:line="360" w:lineRule="auto"/>
              <w:jc w:val="center"/>
              <w:cnfStyle w:val="000000100000"/>
              <w:rPr>
                <w:rFonts w:asciiTheme="minorHAnsi" w:eastAsia="Times New Roman" w:hAnsiTheme="minorHAnsi" w:cs="Arial"/>
                <w:b/>
                <w:color w:val="000000"/>
              </w:rPr>
            </w:pPr>
            <w:r w:rsidRPr="002B5862">
              <w:rPr>
                <w:rFonts w:asciiTheme="minorHAnsi" w:eastAsia="Times New Roman" w:hAnsiTheme="minorHAnsi" w:cs="Arial"/>
                <w:b/>
                <w:color w:val="000000"/>
              </w:rPr>
              <w:t>0,001</w:t>
            </w:r>
          </w:p>
        </w:tc>
      </w:tr>
      <w:tr w:rsidR="007E28F2" w:rsidRPr="00872FD2" w:rsidTr="00510761">
        <w:trPr>
          <w:cnfStyle w:val="000000010000"/>
          <w:trHeight w:val="345"/>
          <w:jc w:val="center"/>
        </w:trPr>
        <w:tc>
          <w:tcPr>
            <w:cnfStyle w:val="001000000000"/>
            <w:tcW w:w="2235" w:type="dxa"/>
            <w:vMerge w:val="restart"/>
            <w:hideMark/>
          </w:tcPr>
          <w:p w:rsidR="007E28F2" w:rsidRPr="00E771E9" w:rsidRDefault="007E28F2" w:rsidP="005A464E">
            <w:pPr>
              <w:spacing w:after="0" w:line="360" w:lineRule="auto"/>
              <w:rPr>
                <w:rFonts w:asciiTheme="minorHAnsi" w:eastAsia="Times New Roman" w:hAnsiTheme="minorHAnsi" w:cs="Arial"/>
                <w:bCs w:val="0"/>
                <w:color w:val="000000"/>
              </w:rPr>
            </w:pPr>
            <w:r w:rsidRPr="00E771E9">
              <w:rPr>
                <w:rFonts w:asciiTheme="minorHAnsi" w:eastAsia="Times New Roman" w:hAnsiTheme="minorHAnsi" w:cs="Arial"/>
                <w:bCs w:val="0"/>
                <w:color w:val="000000"/>
              </w:rPr>
              <w:t>Μένετε μόνος;</w:t>
            </w:r>
          </w:p>
        </w:tc>
        <w:tc>
          <w:tcPr>
            <w:tcW w:w="3460" w:type="dxa"/>
            <w:hideMark/>
          </w:tcPr>
          <w:p w:rsidR="007E28F2" w:rsidRPr="002B5862" w:rsidRDefault="007E28F2" w:rsidP="005A464E">
            <w:pPr>
              <w:spacing w:after="0" w:line="360" w:lineRule="auto"/>
              <w:cnfStyle w:val="000000010000"/>
              <w:rPr>
                <w:rFonts w:asciiTheme="minorHAnsi" w:eastAsia="Times New Roman" w:hAnsiTheme="minorHAnsi" w:cs="Arial"/>
                <w:color w:val="000000"/>
              </w:rPr>
            </w:pPr>
            <w:r w:rsidRPr="002B5862">
              <w:rPr>
                <w:rFonts w:asciiTheme="minorHAnsi" w:eastAsia="Times New Roman" w:hAnsiTheme="minorHAnsi" w:cs="Arial"/>
                <w:color w:val="000000"/>
              </w:rPr>
              <w:t>Ναι (αναφορά)</w:t>
            </w:r>
          </w:p>
        </w:tc>
        <w:tc>
          <w:tcPr>
            <w:tcW w:w="960" w:type="dxa"/>
            <w:noWrap/>
            <w:hideMark/>
          </w:tcPr>
          <w:p w:rsidR="007E28F2" w:rsidRPr="002B5862" w:rsidRDefault="007E28F2" w:rsidP="005A464E">
            <w:pPr>
              <w:spacing w:after="0" w:line="360" w:lineRule="auto"/>
              <w:jc w:val="center"/>
              <w:cnfStyle w:val="000000010000"/>
              <w:rPr>
                <w:rFonts w:asciiTheme="minorHAnsi" w:eastAsia="Times New Roman" w:hAnsiTheme="minorHAnsi" w:cs="Arial"/>
                <w:color w:val="000000"/>
              </w:rPr>
            </w:pPr>
          </w:p>
        </w:tc>
        <w:tc>
          <w:tcPr>
            <w:tcW w:w="960" w:type="dxa"/>
            <w:noWrap/>
            <w:hideMark/>
          </w:tcPr>
          <w:p w:rsidR="007E28F2" w:rsidRPr="002B5862" w:rsidRDefault="007E28F2" w:rsidP="005A464E">
            <w:pPr>
              <w:spacing w:after="0" w:line="360" w:lineRule="auto"/>
              <w:jc w:val="center"/>
              <w:cnfStyle w:val="000000010000"/>
              <w:rPr>
                <w:rFonts w:asciiTheme="minorHAnsi" w:eastAsia="Times New Roman" w:hAnsiTheme="minorHAnsi" w:cs="Arial"/>
                <w:color w:val="000000"/>
              </w:rPr>
            </w:pPr>
          </w:p>
        </w:tc>
        <w:tc>
          <w:tcPr>
            <w:tcW w:w="960" w:type="dxa"/>
            <w:noWrap/>
            <w:hideMark/>
          </w:tcPr>
          <w:p w:rsidR="007E28F2" w:rsidRPr="002B5862" w:rsidRDefault="007E28F2" w:rsidP="005A464E">
            <w:pPr>
              <w:spacing w:after="0" w:line="360" w:lineRule="auto"/>
              <w:jc w:val="center"/>
              <w:cnfStyle w:val="000000010000"/>
              <w:rPr>
                <w:rFonts w:asciiTheme="minorHAnsi" w:eastAsia="Times New Roman" w:hAnsiTheme="minorHAnsi" w:cs="Arial"/>
                <w:b/>
                <w:color w:val="000000"/>
              </w:rPr>
            </w:pPr>
          </w:p>
        </w:tc>
      </w:tr>
      <w:tr w:rsidR="007E28F2" w:rsidRPr="00872FD2" w:rsidTr="00510761">
        <w:trPr>
          <w:cnfStyle w:val="000000100000"/>
          <w:trHeight w:val="345"/>
          <w:jc w:val="center"/>
        </w:trPr>
        <w:tc>
          <w:tcPr>
            <w:cnfStyle w:val="001000000000"/>
            <w:tcW w:w="2235" w:type="dxa"/>
            <w:vMerge/>
            <w:hideMark/>
          </w:tcPr>
          <w:p w:rsidR="007E28F2" w:rsidRPr="002B5862" w:rsidRDefault="007E28F2" w:rsidP="005A464E">
            <w:pPr>
              <w:spacing w:after="0" w:line="360" w:lineRule="auto"/>
              <w:rPr>
                <w:rFonts w:asciiTheme="minorHAnsi" w:eastAsia="Times New Roman" w:hAnsiTheme="minorHAnsi" w:cs="Arial"/>
                <w:b w:val="0"/>
                <w:bCs w:val="0"/>
                <w:color w:val="000000"/>
              </w:rPr>
            </w:pPr>
          </w:p>
        </w:tc>
        <w:tc>
          <w:tcPr>
            <w:tcW w:w="3460" w:type="dxa"/>
            <w:hideMark/>
          </w:tcPr>
          <w:p w:rsidR="007E28F2" w:rsidRPr="002B5862" w:rsidRDefault="007E28F2" w:rsidP="005A464E">
            <w:pPr>
              <w:spacing w:after="0" w:line="360" w:lineRule="auto"/>
              <w:cnfStyle w:val="000000100000"/>
              <w:rPr>
                <w:rFonts w:asciiTheme="minorHAnsi" w:eastAsia="Times New Roman" w:hAnsiTheme="minorHAnsi" w:cs="Arial"/>
                <w:color w:val="000000"/>
              </w:rPr>
            </w:pPr>
            <w:r w:rsidRPr="002B5862">
              <w:rPr>
                <w:rFonts w:asciiTheme="minorHAnsi" w:eastAsia="Times New Roman" w:hAnsiTheme="minorHAnsi" w:cs="Arial"/>
                <w:color w:val="000000"/>
              </w:rPr>
              <w:t>Όχι</w:t>
            </w:r>
          </w:p>
        </w:tc>
        <w:tc>
          <w:tcPr>
            <w:tcW w:w="960" w:type="dxa"/>
            <w:noWrap/>
            <w:hideMark/>
          </w:tcPr>
          <w:p w:rsidR="007E28F2" w:rsidRPr="002B5862" w:rsidRDefault="007E28F2" w:rsidP="005A464E">
            <w:pPr>
              <w:spacing w:after="0" w:line="360" w:lineRule="auto"/>
              <w:jc w:val="center"/>
              <w:cnfStyle w:val="000000100000"/>
              <w:rPr>
                <w:rFonts w:asciiTheme="minorHAnsi" w:eastAsia="Times New Roman" w:hAnsiTheme="minorHAnsi" w:cs="Arial"/>
                <w:color w:val="000000"/>
              </w:rPr>
            </w:pPr>
            <w:r w:rsidRPr="002B5862">
              <w:rPr>
                <w:rFonts w:asciiTheme="minorHAnsi" w:eastAsia="Times New Roman" w:hAnsiTheme="minorHAnsi" w:cs="Arial"/>
                <w:color w:val="000000"/>
              </w:rPr>
              <w:t>1,18</w:t>
            </w:r>
          </w:p>
        </w:tc>
        <w:tc>
          <w:tcPr>
            <w:tcW w:w="960" w:type="dxa"/>
            <w:noWrap/>
            <w:hideMark/>
          </w:tcPr>
          <w:p w:rsidR="007E28F2" w:rsidRPr="002B5862" w:rsidRDefault="007E28F2" w:rsidP="005A464E">
            <w:pPr>
              <w:spacing w:after="0" w:line="360" w:lineRule="auto"/>
              <w:jc w:val="center"/>
              <w:cnfStyle w:val="000000100000"/>
              <w:rPr>
                <w:rFonts w:asciiTheme="minorHAnsi" w:eastAsia="Times New Roman" w:hAnsiTheme="minorHAnsi" w:cs="Arial"/>
                <w:color w:val="000000"/>
              </w:rPr>
            </w:pPr>
            <w:r w:rsidRPr="002B5862">
              <w:rPr>
                <w:rFonts w:asciiTheme="minorHAnsi" w:eastAsia="Times New Roman" w:hAnsiTheme="minorHAnsi" w:cs="Arial"/>
                <w:color w:val="000000"/>
              </w:rPr>
              <w:t>0,52</w:t>
            </w:r>
          </w:p>
        </w:tc>
        <w:tc>
          <w:tcPr>
            <w:tcW w:w="960" w:type="dxa"/>
            <w:noWrap/>
            <w:hideMark/>
          </w:tcPr>
          <w:p w:rsidR="007E28F2" w:rsidRPr="002B5862" w:rsidRDefault="007E28F2" w:rsidP="005A464E">
            <w:pPr>
              <w:spacing w:after="0" w:line="360" w:lineRule="auto"/>
              <w:jc w:val="center"/>
              <w:cnfStyle w:val="000000100000"/>
              <w:rPr>
                <w:rFonts w:asciiTheme="minorHAnsi" w:eastAsia="Times New Roman" w:hAnsiTheme="minorHAnsi" w:cs="Arial"/>
                <w:b/>
                <w:color w:val="000000"/>
              </w:rPr>
            </w:pPr>
            <w:r w:rsidRPr="002B5862">
              <w:rPr>
                <w:rFonts w:asciiTheme="minorHAnsi" w:eastAsia="Times New Roman" w:hAnsiTheme="minorHAnsi" w:cs="Arial"/>
                <w:b/>
                <w:color w:val="000000"/>
              </w:rPr>
              <w:t>0,022</w:t>
            </w:r>
          </w:p>
        </w:tc>
      </w:tr>
      <w:tr w:rsidR="009F1AE0" w:rsidRPr="00872FD2" w:rsidTr="00001CDF">
        <w:trPr>
          <w:cnfStyle w:val="000000010000"/>
          <w:trHeight w:val="345"/>
          <w:jc w:val="center"/>
        </w:trPr>
        <w:tc>
          <w:tcPr>
            <w:cnfStyle w:val="001000000000"/>
            <w:tcW w:w="8575" w:type="dxa"/>
            <w:gridSpan w:val="5"/>
            <w:hideMark/>
          </w:tcPr>
          <w:p w:rsidR="009F1AE0" w:rsidRPr="009F1AE0" w:rsidRDefault="009F1AE0" w:rsidP="00E50302">
            <w:pPr>
              <w:pStyle w:val="nouk"/>
              <w:spacing w:line="276" w:lineRule="auto"/>
              <w:rPr>
                <w:b w:val="0"/>
                <w:i/>
                <w:sz w:val="20"/>
                <w:szCs w:val="20"/>
              </w:rPr>
            </w:pPr>
            <w:r w:rsidRPr="009F1AE0">
              <w:rPr>
                <w:b w:val="0"/>
                <w:i/>
                <w:sz w:val="20"/>
                <w:szCs w:val="20"/>
                <w:vertAlign w:val="superscript"/>
              </w:rPr>
              <w:t>+</w:t>
            </w:r>
            <w:r w:rsidRPr="009F1AE0">
              <w:rPr>
                <w:b w:val="0"/>
                <w:i/>
                <w:sz w:val="20"/>
                <w:szCs w:val="20"/>
              </w:rPr>
              <w:t xml:space="preserve">συντελεστής εξάρτησης </w:t>
            </w:r>
            <w:r w:rsidRPr="009F1AE0">
              <w:rPr>
                <w:b w:val="0"/>
                <w:i/>
                <w:sz w:val="20"/>
                <w:szCs w:val="20"/>
                <w:vertAlign w:val="superscript"/>
              </w:rPr>
              <w:t>++</w:t>
            </w:r>
            <w:r w:rsidRPr="009F1AE0">
              <w:rPr>
                <w:b w:val="0"/>
                <w:i/>
                <w:sz w:val="20"/>
                <w:szCs w:val="20"/>
              </w:rPr>
              <w:t>τυπικό σφάλμα συντελεστή εξάρτησης</w:t>
            </w:r>
          </w:p>
        </w:tc>
      </w:tr>
    </w:tbl>
    <w:p w:rsidR="007E28F2" w:rsidRPr="005A464E" w:rsidRDefault="007E28F2" w:rsidP="005A464E">
      <w:pPr>
        <w:pStyle w:val="nouk"/>
      </w:pPr>
    </w:p>
    <w:p w:rsidR="007E28F2" w:rsidRPr="00E771E9" w:rsidRDefault="007E28F2" w:rsidP="005A464E">
      <w:pPr>
        <w:pStyle w:val="nouk"/>
        <w:rPr>
          <w:highlight w:val="cyan"/>
        </w:rPr>
      </w:pPr>
      <w:r w:rsidRPr="005A464E">
        <w:t xml:space="preserve">Η ηλικία,η γνώση, η συμμόρφωση, ο τόπος διαμονής και το αν έμεναν μόνοι τους βρέθηκαν να σχετίζονται ανεξάρτητα με τη συνολική βαθμολογία ποιότητας ζωής. </w:t>
      </w:r>
    </w:p>
    <w:p w:rsidR="007E28F2" w:rsidRPr="00636022" w:rsidRDefault="007E28F2" w:rsidP="00636022">
      <w:pPr>
        <w:spacing w:line="360" w:lineRule="auto"/>
        <w:rPr>
          <w:rFonts w:cstheme="minorHAnsi"/>
          <w:sz w:val="24"/>
          <w:szCs w:val="24"/>
        </w:rPr>
      </w:pPr>
      <w:r w:rsidRPr="005A464E">
        <w:rPr>
          <w:sz w:val="24"/>
          <w:szCs w:val="24"/>
        </w:rPr>
        <w:t xml:space="preserve">Στο ακόλουθο γράφημα </w:t>
      </w:r>
      <w:r w:rsidR="00636022">
        <w:rPr>
          <w:sz w:val="24"/>
          <w:szCs w:val="24"/>
        </w:rPr>
        <w:t xml:space="preserve">(Γρ 22) </w:t>
      </w:r>
      <w:r w:rsidRPr="005A464E">
        <w:rPr>
          <w:sz w:val="24"/>
          <w:szCs w:val="24"/>
        </w:rPr>
        <w:t>δίνεται η συσχέτιση της ηλικίας των συμμετεχόντων με τη συνολική βαθμολογία ποιότητας ζωής.</w:t>
      </w:r>
    </w:p>
    <w:p w:rsidR="007E28F2" w:rsidRPr="005A464E" w:rsidRDefault="00464728" w:rsidP="00636022">
      <w:pPr>
        <w:pStyle w:val="nouk"/>
        <w:jc w:val="center"/>
      </w:pPr>
      <w:r>
        <w:rPr>
          <w:noProof/>
          <w:lang w:eastAsia="el-GR"/>
        </w:rPr>
        <w:drawing>
          <wp:inline distT="0" distB="0" distL="0" distR="0">
            <wp:extent cx="3686175" cy="2943225"/>
            <wp:effectExtent l="19050" t="0" r="9525" b="0"/>
            <wp:docPr id="22" name="Εικόνα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7" cstate="print"/>
                    <a:srcRect/>
                    <a:stretch>
                      <a:fillRect/>
                    </a:stretch>
                  </pic:blipFill>
                  <pic:spPr bwMode="auto">
                    <a:xfrm>
                      <a:off x="0" y="0"/>
                      <a:ext cx="3686175" cy="2943225"/>
                    </a:xfrm>
                    <a:prstGeom prst="rect">
                      <a:avLst/>
                    </a:prstGeom>
                    <a:noFill/>
                    <a:ln w="9525">
                      <a:noFill/>
                      <a:miter lim="800000"/>
                      <a:headEnd/>
                      <a:tailEnd/>
                    </a:ln>
                  </pic:spPr>
                </pic:pic>
              </a:graphicData>
            </a:graphic>
          </wp:inline>
        </w:drawing>
      </w:r>
    </w:p>
    <w:p w:rsidR="007E28F2" w:rsidRPr="00636022" w:rsidRDefault="00636022" w:rsidP="00636022">
      <w:pPr>
        <w:spacing w:line="360" w:lineRule="auto"/>
        <w:rPr>
          <w:rFonts w:cstheme="minorHAnsi"/>
        </w:rPr>
      </w:pPr>
      <w:r w:rsidRPr="00846E7B">
        <w:rPr>
          <w:i/>
        </w:rPr>
        <w:t>Γράφημα 22</w:t>
      </w:r>
      <w:r>
        <w:t xml:space="preserve"> </w:t>
      </w:r>
      <w:r w:rsidRPr="00636022">
        <w:t>Συσχέτιση της ηλικίας των συμμετεχόντων με τη συνολική βαθμολογία ποιότητας ζωής.</w:t>
      </w:r>
    </w:p>
    <w:p w:rsidR="007E28F2" w:rsidRPr="005A464E" w:rsidRDefault="007E28F2" w:rsidP="005A464E">
      <w:pPr>
        <w:pStyle w:val="nouk"/>
      </w:pPr>
      <w:r w:rsidRPr="005A464E">
        <w:t xml:space="preserve">Στο γράφημα που ακολουθεί </w:t>
      </w:r>
      <w:r w:rsidR="00636022">
        <w:t xml:space="preserve">(Γρ 23) </w:t>
      </w:r>
      <w:r w:rsidRPr="005A464E">
        <w:t xml:space="preserve">δίνεται η συνολική βαθμολογία ποιότητας ζωής των συμμετεχόντων ανάλογα με τον τόπο διαμονής τους. </w:t>
      </w:r>
    </w:p>
    <w:p w:rsidR="007E28F2" w:rsidRPr="005A464E" w:rsidRDefault="007E28F2" w:rsidP="005A464E">
      <w:pPr>
        <w:pStyle w:val="nouk"/>
      </w:pPr>
    </w:p>
    <w:p w:rsidR="007E28F2" w:rsidRPr="005A464E" w:rsidRDefault="00464728" w:rsidP="00636022">
      <w:pPr>
        <w:pStyle w:val="nouk"/>
        <w:jc w:val="center"/>
      </w:pPr>
      <w:r>
        <w:rPr>
          <w:noProof/>
          <w:lang w:eastAsia="el-GR"/>
        </w:rPr>
        <w:drawing>
          <wp:inline distT="0" distB="0" distL="0" distR="0">
            <wp:extent cx="3609975" cy="2876550"/>
            <wp:effectExtent l="19050" t="0" r="9525" b="0"/>
            <wp:docPr id="23" name="Εικόνα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8" cstate="print"/>
                    <a:srcRect/>
                    <a:stretch>
                      <a:fillRect/>
                    </a:stretch>
                  </pic:blipFill>
                  <pic:spPr bwMode="auto">
                    <a:xfrm>
                      <a:off x="0" y="0"/>
                      <a:ext cx="3609975" cy="2876550"/>
                    </a:xfrm>
                    <a:prstGeom prst="rect">
                      <a:avLst/>
                    </a:prstGeom>
                    <a:noFill/>
                    <a:ln w="9525">
                      <a:noFill/>
                      <a:miter lim="800000"/>
                      <a:headEnd/>
                      <a:tailEnd/>
                    </a:ln>
                  </pic:spPr>
                </pic:pic>
              </a:graphicData>
            </a:graphic>
          </wp:inline>
        </w:drawing>
      </w:r>
    </w:p>
    <w:p w:rsidR="00636022" w:rsidRPr="009F1AE0" w:rsidRDefault="00636022" w:rsidP="005A464E">
      <w:pPr>
        <w:pStyle w:val="nouk"/>
        <w:rPr>
          <w:sz w:val="22"/>
          <w:szCs w:val="22"/>
        </w:rPr>
      </w:pPr>
      <w:r w:rsidRPr="00846E7B">
        <w:rPr>
          <w:i/>
          <w:sz w:val="22"/>
          <w:szCs w:val="22"/>
        </w:rPr>
        <w:t>Γράφημα 23</w:t>
      </w:r>
      <w:r w:rsidRPr="00636022">
        <w:rPr>
          <w:sz w:val="22"/>
          <w:szCs w:val="22"/>
        </w:rPr>
        <w:t xml:space="preserve"> Συνολική βαθμολογία ποιότητας ζωής των συμμετεχόντων ανάλογα με τον τόπο διαμονής τους. </w:t>
      </w:r>
    </w:p>
    <w:p w:rsidR="00636022" w:rsidRDefault="00636022" w:rsidP="005A464E">
      <w:pPr>
        <w:pStyle w:val="nouk"/>
      </w:pPr>
    </w:p>
    <w:p w:rsidR="007E28F2" w:rsidRPr="005A464E" w:rsidRDefault="007E28F2" w:rsidP="005A464E">
      <w:pPr>
        <w:pStyle w:val="nouk"/>
      </w:pPr>
      <w:r w:rsidRPr="005A464E">
        <w:t xml:space="preserve">Στο ακόλουθο γράφημα </w:t>
      </w:r>
      <w:r w:rsidR="00636022">
        <w:t xml:space="preserve">(Γρ 24) </w:t>
      </w:r>
      <w:r w:rsidRPr="005A464E">
        <w:t>δίνεται η συσχέτιση της γνώσης των συμμετεχόντων με τη συνολική βαθμολογία ποιότητας ζωής.</w:t>
      </w:r>
    </w:p>
    <w:p w:rsidR="007E28F2" w:rsidRPr="005A464E" w:rsidRDefault="00464728" w:rsidP="009F1AE0">
      <w:pPr>
        <w:pStyle w:val="nouk"/>
        <w:jc w:val="center"/>
      </w:pPr>
      <w:r>
        <w:rPr>
          <w:noProof/>
          <w:lang w:eastAsia="el-GR"/>
        </w:rPr>
        <w:drawing>
          <wp:inline distT="0" distB="0" distL="0" distR="0">
            <wp:extent cx="4305300" cy="3419475"/>
            <wp:effectExtent l="19050" t="0" r="0" b="0"/>
            <wp:docPr id="24" name="Εικόνα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9" cstate="print"/>
                    <a:srcRect/>
                    <a:stretch>
                      <a:fillRect/>
                    </a:stretch>
                  </pic:blipFill>
                  <pic:spPr bwMode="auto">
                    <a:xfrm>
                      <a:off x="0" y="0"/>
                      <a:ext cx="4305300" cy="3419475"/>
                    </a:xfrm>
                    <a:prstGeom prst="rect">
                      <a:avLst/>
                    </a:prstGeom>
                    <a:noFill/>
                    <a:ln w="9525">
                      <a:noFill/>
                      <a:miter lim="800000"/>
                      <a:headEnd/>
                      <a:tailEnd/>
                    </a:ln>
                  </pic:spPr>
                </pic:pic>
              </a:graphicData>
            </a:graphic>
          </wp:inline>
        </w:drawing>
      </w:r>
    </w:p>
    <w:p w:rsidR="00636022" w:rsidRDefault="00636022" w:rsidP="005A464E">
      <w:pPr>
        <w:pStyle w:val="nouk"/>
        <w:rPr>
          <w:sz w:val="22"/>
          <w:szCs w:val="22"/>
        </w:rPr>
      </w:pPr>
      <w:r w:rsidRPr="00846E7B">
        <w:rPr>
          <w:i/>
          <w:sz w:val="22"/>
          <w:szCs w:val="22"/>
        </w:rPr>
        <w:t>Γράφημα 24</w:t>
      </w:r>
      <w:r w:rsidRPr="00636022">
        <w:rPr>
          <w:sz w:val="22"/>
          <w:szCs w:val="22"/>
        </w:rPr>
        <w:t xml:space="preserve"> </w:t>
      </w:r>
      <w:r>
        <w:rPr>
          <w:sz w:val="22"/>
          <w:szCs w:val="22"/>
        </w:rPr>
        <w:t>Σ</w:t>
      </w:r>
      <w:r w:rsidRPr="00636022">
        <w:rPr>
          <w:sz w:val="22"/>
          <w:szCs w:val="22"/>
        </w:rPr>
        <w:t>υσχέτιση της γνώσης των συμμετεχόντων με τη συνολική βαθμολογία π</w:t>
      </w:r>
      <w:r>
        <w:rPr>
          <w:sz w:val="22"/>
          <w:szCs w:val="22"/>
        </w:rPr>
        <w:t>οιότητας ζωής.</w:t>
      </w:r>
    </w:p>
    <w:p w:rsidR="009F1AE0" w:rsidRPr="00636022" w:rsidRDefault="009F1AE0" w:rsidP="005A464E">
      <w:pPr>
        <w:pStyle w:val="nouk"/>
        <w:rPr>
          <w:sz w:val="22"/>
          <w:szCs w:val="22"/>
        </w:rPr>
      </w:pPr>
    </w:p>
    <w:p w:rsidR="007E28F2" w:rsidRDefault="007E28F2" w:rsidP="005A464E">
      <w:pPr>
        <w:pStyle w:val="nouk"/>
      </w:pPr>
      <w:r w:rsidRPr="005A464E">
        <w:t xml:space="preserve">Στο ακόλουθο γράφημα </w:t>
      </w:r>
      <w:r w:rsidR="00636022">
        <w:t xml:space="preserve">(Γρ 25) </w:t>
      </w:r>
      <w:r w:rsidRPr="005A464E">
        <w:t>δίνεται η συσχέτιση της συμμόρφωσης των συμμετεχόντων με τη συνολική βαθμολογία ποιότητας ζωής.</w:t>
      </w:r>
    </w:p>
    <w:p w:rsidR="00636022" w:rsidRPr="005A464E" w:rsidRDefault="00636022" w:rsidP="005A464E">
      <w:pPr>
        <w:pStyle w:val="nouk"/>
      </w:pPr>
    </w:p>
    <w:p w:rsidR="007E28F2" w:rsidRPr="005A464E" w:rsidRDefault="00464728" w:rsidP="000656A4">
      <w:pPr>
        <w:pStyle w:val="nouk"/>
        <w:jc w:val="center"/>
      </w:pPr>
      <w:r>
        <w:rPr>
          <w:noProof/>
          <w:lang w:eastAsia="el-GR"/>
        </w:rPr>
        <w:drawing>
          <wp:inline distT="0" distB="0" distL="0" distR="0">
            <wp:extent cx="4305300" cy="3419475"/>
            <wp:effectExtent l="19050" t="0" r="0" b="0"/>
            <wp:docPr id="25" name="Εικόνα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0" cstate="print"/>
                    <a:srcRect/>
                    <a:stretch>
                      <a:fillRect/>
                    </a:stretch>
                  </pic:blipFill>
                  <pic:spPr bwMode="auto">
                    <a:xfrm>
                      <a:off x="0" y="0"/>
                      <a:ext cx="4305300" cy="3419475"/>
                    </a:xfrm>
                    <a:prstGeom prst="rect">
                      <a:avLst/>
                    </a:prstGeom>
                    <a:noFill/>
                    <a:ln w="9525">
                      <a:noFill/>
                      <a:miter lim="800000"/>
                      <a:headEnd/>
                      <a:tailEnd/>
                    </a:ln>
                  </pic:spPr>
                </pic:pic>
              </a:graphicData>
            </a:graphic>
          </wp:inline>
        </w:drawing>
      </w:r>
    </w:p>
    <w:p w:rsidR="009F1376" w:rsidRDefault="00636022" w:rsidP="005A464E">
      <w:pPr>
        <w:spacing w:line="360" w:lineRule="auto"/>
      </w:pPr>
      <w:r w:rsidRPr="00846E7B">
        <w:rPr>
          <w:i/>
          <w:lang w:eastAsia="el-GR"/>
        </w:rPr>
        <w:t>Γράφημα 25</w:t>
      </w:r>
      <w:r w:rsidRPr="00636022">
        <w:rPr>
          <w:b/>
          <w:lang w:eastAsia="el-GR"/>
        </w:rPr>
        <w:t xml:space="preserve"> </w:t>
      </w:r>
      <w:r w:rsidR="006527B6">
        <w:rPr>
          <w:b/>
          <w:lang w:eastAsia="el-GR"/>
        </w:rPr>
        <w:t xml:space="preserve"> </w:t>
      </w:r>
      <w:r>
        <w:t>Σ</w:t>
      </w:r>
      <w:r w:rsidRPr="005A464E">
        <w:t>υσχέτιση της συμμόρφωσης των συμμετεχόντων με τη συνολική βαθμολογία ποιότητας ζωής.</w:t>
      </w:r>
    </w:p>
    <w:p w:rsidR="009F1AE0" w:rsidRDefault="009F1AE0" w:rsidP="005A464E">
      <w:pPr>
        <w:spacing w:line="360" w:lineRule="auto"/>
      </w:pPr>
    </w:p>
    <w:p w:rsidR="009F1AE0" w:rsidRDefault="009F1AE0" w:rsidP="005A464E">
      <w:pPr>
        <w:spacing w:line="360" w:lineRule="auto"/>
      </w:pPr>
    </w:p>
    <w:p w:rsidR="009F1AE0" w:rsidRDefault="009F1AE0" w:rsidP="005A464E">
      <w:pPr>
        <w:spacing w:line="360" w:lineRule="auto"/>
      </w:pPr>
    </w:p>
    <w:p w:rsidR="009F1AE0" w:rsidRDefault="009F1AE0" w:rsidP="005A464E">
      <w:pPr>
        <w:spacing w:line="360" w:lineRule="auto"/>
      </w:pPr>
    </w:p>
    <w:p w:rsidR="009F1AE0" w:rsidRDefault="009F1AE0" w:rsidP="005A464E">
      <w:pPr>
        <w:spacing w:line="360" w:lineRule="auto"/>
      </w:pPr>
    </w:p>
    <w:p w:rsidR="009F1AE0" w:rsidRDefault="009F1AE0" w:rsidP="005A464E">
      <w:pPr>
        <w:spacing w:line="360" w:lineRule="auto"/>
      </w:pPr>
    </w:p>
    <w:p w:rsidR="009F1AE0" w:rsidRDefault="009F1AE0" w:rsidP="005A464E">
      <w:pPr>
        <w:spacing w:line="360" w:lineRule="auto"/>
      </w:pPr>
    </w:p>
    <w:p w:rsidR="00470415" w:rsidRPr="00893874" w:rsidRDefault="0066526D" w:rsidP="0066526D">
      <w:pPr>
        <w:pStyle w:val="1a"/>
        <w:rPr>
          <w:rFonts w:asciiTheme="minorHAnsi" w:hAnsiTheme="minorHAnsi" w:cstheme="minorHAnsi"/>
          <w:lang w:eastAsia="el-GR"/>
        </w:rPr>
      </w:pPr>
      <w:bookmarkStart w:id="79" w:name="_Toc495951474"/>
      <w:r w:rsidRPr="00893874">
        <w:rPr>
          <w:rFonts w:asciiTheme="minorHAnsi" w:hAnsiTheme="minorHAnsi" w:cstheme="minorHAnsi"/>
          <w:lang w:eastAsia="el-GR"/>
        </w:rPr>
        <w:t>8</w:t>
      </w:r>
      <w:r w:rsidRPr="00893874">
        <w:rPr>
          <w:rFonts w:asciiTheme="minorHAnsi" w:hAnsiTheme="minorHAnsi" w:cstheme="minorHAnsi"/>
          <w:vertAlign w:val="superscript"/>
          <w:lang w:eastAsia="el-GR"/>
        </w:rPr>
        <w:t xml:space="preserve">ο </w:t>
      </w:r>
      <w:r w:rsidRPr="00893874">
        <w:rPr>
          <w:rFonts w:asciiTheme="minorHAnsi" w:hAnsiTheme="minorHAnsi" w:cstheme="minorHAnsi"/>
          <w:lang w:eastAsia="el-GR"/>
        </w:rPr>
        <w:t xml:space="preserve">ΚΕΦΑΛΑΙΟ:  </w:t>
      </w:r>
      <w:r w:rsidR="00222E7E" w:rsidRPr="00893874">
        <w:rPr>
          <w:rFonts w:asciiTheme="minorHAnsi" w:hAnsiTheme="minorHAnsi" w:cstheme="minorHAnsi"/>
          <w:lang w:eastAsia="el-GR"/>
        </w:rPr>
        <w:t>ΣΥΖΗΤΗΣΗ</w:t>
      </w:r>
      <w:bookmarkStart w:id="80" w:name="_Toc461315092"/>
      <w:bookmarkStart w:id="81" w:name="_Toc462593229"/>
      <w:bookmarkEnd w:id="79"/>
    </w:p>
    <w:p w:rsidR="008523A0" w:rsidRDefault="008523A0" w:rsidP="005A464E">
      <w:pPr>
        <w:pStyle w:val="Web"/>
        <w:shd w:val="clear" w:color="auto" w:fill="FFFFFF"/>
        <w:spacing w:before="166" w:after="166" w:line="360" w:lineRule="auto"/>
        <w:jc w:val="both"/>
        <w:rPr>
          <w:rFonts w:asciiTheme="minorHAnsi" w:hAnsiTheme="minorHAnsi"/>
        </w:rPr>
      </w:pPr>
      <w:r>
        <w:rPr>
          <w:rFonts w:asciiTheme="minorHAnsi" w:hAnsiTheme="minorHAnsi" w:cstheme="minorHAnsi"/>
        </w:rPr>
        <w:t>Στην παρούσα μελέτη διερευνήθηκε η επίδραση της συμβουλευτικής παρέμβασης στη μεταβολή του</w:t>
      </w:r>
      <w:r w:rsidRPr="00CB5628">
        <w:rPr>
          <w:rFonts w:asciiTheme="minorHAnsi" w:hAnsiTheme="minorHAnsi"/>
          <w:sz w:val="28"/>
          <w:szCs w:val="28"/>
        </w:rPr>
        <w:t xml:space="preserve"> </w:t>
      </w:r>
      <w:r>
        <w:rPr>
          <w:rFonts w:asciiTheme="minorHAnsi" w:hAnsiTheme="minorHAnsi"/>
        </w:rPr>
        <w:t>επιπέδου γνώσεων, της ποιότητας ζωής και στη συμμόρφωση ασθενών υπο αιμοκάθαρση στο θεραπευτικό σχή</w:t>
      </w:r>
      <w:r w:rsidRPr="008523A0">
        <w:rPr>
          <w:rFonts w:asciiTheme="minorHAnsi" w:hAnsiTheme="minorHAnsi"/>
        </w:rPr>
        <w:t>μα</w:t>
      </w:r>
      <w:r>
        <w:rPr>
          <w:rFonts w:asciiTheme="minorHAnsi" w:hAnsiTheme="minorHAnsi"/>
        </w:rPr>
        <w:t>.</w:t>
      </w:r>
      <w:r w:rsidR="00B42A2B" w:rsidRPr="00B42A2B">
        <w:rPr>
          <w:rFonts w:asciiTheme="minorHAnsi" w:hAnsiTheme="minorHAnsi"/>
        </w:rPr>
        <w:t xml:space="preserve"> </w:t>
      </w:r>
      <w:r w:rsidR="00B42A2B">
        <w:rPr>
          <w:rFonts w:asciiTheme="minorHAnsi" w:hAnsiTheme="minorHAnsi"/>
        </w:rPr>
        <w:t xml:space="preserve">Η μελέτη της συσχέτισης μεταξύ αυτών των μεταβλητών είναι σημαντική καθώς η ελλιπής πληροφόρηση και η μη συμμόρφωση του ασθενούς μπορεί να επιδράσει αρνητικά στην ποιότητα ζωής και να αυξήσει </w:t>
      </w:r>
      <w:r w:rsidR="00AA0B39">
        <w:rPr>
          <w:rFonts w:asciiTheme="minorHAnsi" w:hAnsiTheme="minorHAnsi"/>
        </w:rPr>
        <w:t xml:space="preserve">το κόστος νοσηλείας αλλά και </w:t>
      </w:r>
      <w:r w:rsidR="00B42A2B">
        <w:rPr>
          <w:rFonts w:asciiTheme="minorHAnsi" w:hAnsiTheme="minorHAnsi"/>
        </w:rPr>
        <w:t>τον κίνδυνο θνησιμότητας και νοσηρότητας αυτής της ομάδας ασθενών.</w:t>
      </w:r>
    </w:p>
    <w:p w:rsidR="00B42A2B" w:rsidRDefault="00B42A2B" w:rsidP="005A464E">
      <w:pPr>
        <w:pStyle w:val="Web"/>
        <w:shd w:val="clear" w:color="auto" w:fill="FFFFFF"/>
        <w:spacing w:before="166" w:after="166" w:line="360" w:lineRule="auto"/>
        <w:jc w:val="both"/>
        <w:rPr>
          <w:rFonts w:asciiTheme="minorHAnsi" w:hAnsiTheme="minorHAnsi"/>
        </w:rPr>
      </w:pPr>
      <w:r>
        <w:rPr>
          <w:rFonts w:asciiTheme="minorHAnsi" w:hAnsiTheme="minorHAnsi"/>
        </w:rPr>
        <w:t xml:space="preserve">Για την υλοποίηση της συγκεκριμένης μελέτης χρησιμοποιήθηκαν </w:t>
      </w:r>
      <w:r w:rsidR="00ED7D80">
        <w:rPr>
          <w:rFonts w:asciiTheme="minorHAnsi" w:hAnsiTheme="minorHAnsi"/>
        </w:rPr>
        <w:t>τα ερευνητικά εργαλεία</w:t>
      </w:r>
      <w:r w:rsidR="00ED7D80" w:rsidRPr="00ED7D80">
        <w:rPr>
          <w:rFonts w:asciiTheme="minorHAnsi" w:hAnsiTheme="minorHAnsi"/>
        </w:rPr>
        <w:t xml:space="preserve"> </w:t>
      </w:r>
      <w:r w:rsidR="00ED7D80">
        <w:rPr>
          <w:rFonts w:asciiTheme="minorHAnsi" w:hAnsiTheme="minorHAnsi"/>
        </w:rPr>
        <w:t xml:space="preserve">μέτρησης γνώσεων του ασθενούς </w:t>
      </w:r>
      <w:r w:rsidR="002B5862">
        <w:rPr>
          <w:rFonts w:asciiTheme="minorHAnsi" w:hAnsiTheme="minorHAnsi"/>
        </w:rPr>
        <w:t xml:space="preserve">για τη ΧΝΝ και την αιμοκάθαρση </w:t>
      </w:r>
      <w:r w:rsidR="00ED7D80">
        <w:rPr>
          <w:rFonts w:asciiTheme="minorHAnsi" w:hAnsiTheme="minorHAnsi"/>
        </w:rPr>
        <w:t>(</w:t>
      </w:r>
      <w:r w:rsidR="00ED7D80">
        <w:rPr>
          <w:rFonts w:asciiTheme="minorHAnsi" w:hAnsiTheme="minorHAnsi"/>
          <w:lang w:val="en-US"/>
        </w:rPr>
        <w:t>Kidney</w:t>
      </w:r>
      <w:r w:rsidR="00ED7D80" w:rsidRPr="00ED7D80">
        <w:rPr>
          <w:rFonts w:asciiTheme="minorHAnsi" w:hAnsiTheme="minorHAnsi"/>
        </w:rPr>
        <w:t xml:space="preserve"> </w:t>
      </w:r>
      <w:r w:rsidR="00ED7D80">
        <w:rPr>
          <w:rFonts w:asciiTheme="minorHAnsi" w:hAnsiTheme="minorHAnsi"/>
          <w:lang w:val="en-US"/>
        </w:rPr>
        <w:t>Disease</w:t>
      </w:r>
      <w:r w:rsidR="00ED7D80" w:rsidRPr="00ED7D80">
        <w:rPr>
          <w:rFonts w:asciiTheme="minorHAnsi" w:hAnsiTheme="minorHAnsi"/>
        </w:rPr>
        <w:t xml:space="preserve"> </w:t>
      </w:r>
      <w:r w:rsidR="00ED7D80">
        <w:rPr>
          <w:rFonts w:asciiTheme="minorHAnsi" w:hAnsiTheme="minorHAnsi"/>
          <w:lang w:val="en-US"/>
        </w:rPr>
        <w:t>Questionnaire</w:t>
      </w:r>
      <w:r w:rsidR="00ED7D80">
        <w:rPr>
          <w:rFonts w:asciiTheme="minorHAnsi" w:hAnsiTheme="minorHAnsi"/>
        </w:rPr>
        <w:t xml:space="preserve">, </w:t>
      </w:r>
      <w:r w:rsidR="00ED7D80">
        <w:rPr>
          <w:rFonts w:asciiTheme="minorHAnsi" w:hAnsiTheme="minorHAnsi"/>
          <w:lang w:val="en-US"/>
        </w:rPr>
        <w:t>Devins</w:t>
      </w:r>
      <w:r w:rsidR="00ED7D80" w:rsidRPr="00ED7D80">
        <w:rPr>
          <w:rFonts w:asciiTheme="minorHAnsi" w:hAnsiTheme="minorHAnsi"/>
        </w:rPr>
        <w:t xml:space="preserve"> </w:t>
      </w:r>
      <w:r w:rsidR="00ED7D80">
        <w:rPr>
          <w:rFonts w:asciiTheme="minorHAnsi" w:hAnsiTheme="minorHAnsi"/>
          <w:lang w:val="en-US"/>
        </w:rPr>
        <w:t>et</w:t>
      </w:r>
      <w:r w:rsidR="00ED7D80" w:rsidRPr="00ED7D80">
        <w:rPr>
          <w:rFonts w:asciiTheme="minorHAnsi" w:hAnsiTheme="minorHAnsi"/>
        </w:rPr>
        <w:t xml:space="preserve"> </w:t>
      </w:r>
      <w:r w:rsidR="00ED7D80">
        <w:rPr>
          <w:rFonts w:asciiTheme="minorHAnsi" w:hAnsiTheme="minorHAnsi"/>
          <w:lang w:val="en-US"/>
        </w:rPr>
        <w:t>al</w:t>
      </w:r>
      <w:r w:rsidR="00ED7D80">
        <w:rPr>
          <w:rFonts w:asciiTheme="minorHAnsi" w:hAnsiTheme="minorHAnsi"/>
        </w:rPr>
        <w:t>.</w:t>
      </w:r>
      <w:r w:rsidR="00ED7D80" w:rsidRPr="00ED7D80">
        <w:rPr>
          <w:rFonts w:asciiTheme="minorHAnsi" w:hAnsiTheme="minorHAnsi"/>
        </w:rPr>
        <w:t xml:space="preserve">, 1990), </w:t>
      </w:r>
      <w:r w:rsidR="00ED7D80">
        <w:rPr>
          <w:rFonts w:asciiTheme="minorHAnsi" w:hAnsiTheme="minorHAnsi"/>
        </w:rPr>
        <w:t>συμμόρφωσης του ασθενούς στην αιμοκάθαρση (</w:t>
      </w:r>
      <w:r w:rsidR="00ED7D80">
        <w:rPr>
          <w:rFonts w:asciiTheme="minorHAnsi" w:hAnsiTheme="minorHAnsi"/>
          <w:lang w:val="en-US"/>
        </w:rPr>
        <w:t>GR</w:t>
      </w:r>
      <w:r w:rsidR="00ED7D80" w:rsidRPr="00ED7D80">
        <w:rPr>
          <w:rFonts w:asciiTheme="minorHAnsi" w:hAnsiTheme="minorHAnsi"/>
        </w:rPr>
        <w:t>-</w:t>
      </w:r>
      <w:r w:rsidR="00ED7D80">
        <w:rPr>
          <w:rFonts w:asciiTheme="minorHAnsi" w:hAnsiTheme="minorHAnsi"/>
          <w:lang w:val="en-US"/>
        </w:rPr>
        <w:t>Simplified</w:t>
      </w:r>
      <w:r w:rsidR="00ED7D80" w:rsidRPr="00ED7D80">
        <w:rPr>
          <w:rFonts w:asciiTheme="minorHAnsi" w:hAnsiTheme="minorHAnsi"/>
        </w:rPr>
        <w:t xml:space="preserve"> </w:t>
      </w:r>
      <w:r w:rsidR="00ED7D80">
        <w:rPr>
          <w:rFonts w:asciiTheme="minorHAnsi" w:hAnsiTheme="minorHAnsi"/>
          <w:lang w:val="en-US"/>
        </w:rPr>
        <w:t>Medication</w:t>
      </w:r>
      <w:r w:rsidR="00ED7D80" w:rsidRPr="00ED7D80">
        <w:rPr>
          <w:rFonts w:asciiTheme="minorHAnsi" w:hAnsiTheme="minorHAnsi"/>
        </w:rPr>
        <w:t xml:space="preserve"> </w:t>
      </w:r>
      <w:r w:rsidR="00ED7D80">
        <w:rPr>
          <w:rFonts w:asciiTheme="minorHAnsi" w:hAnsiTheme="minorHAnsi"/>
          <w:lang w:val="en-US"/>
        </w:rPr>
        <w:t>Adherence</w:t>
      </w:r>
      <w:r w:rsidR="00ED7D80" w:rsidRPr="00ED7D80">
        <w:rPr>
          <w:rFonts w:asciiTheme="minorHAnsi" w:hAnsiTheme="minorHAnsi"/>
        </w:rPr>
        <w:t xml:space="preserve"> </w:t>
      </w:r>
      <w:r w:rsidR="00ED7D80">
        <w:rPr>
          <w:rFonts w:asciiTheme="minorHAnsi" w:hAnsiTheme="minorHAnsi"/>
          <w:lang w:val="en-US"/>
        </w:rPr>
        <w:t>Questionnaire</w:t>
      </w:r>
      <w:r w:rsidR="00925353">
        <w:rPr>
          <w:rFonts w:asciiTheme="minorHAnsi" w:hAnsiTheme="minorHAnsi"/>
        </w:rPr>
        <w:t xml:space="preserve"> - </w:t>
      </w:r>
      <w:r w:rsidR="00ED7D80">
        <w:rPr>
          <w:rFonts w:asciiTheme="minorHAnsi" w:hAnsiTheme="minorHAnsi"/>
          <w:lang w:val="en-US"/>
        </w:rPr>
        <w:t>Hemodialysis</w:t>
      </w:r>
      <w:r w:rsidR="00ED7D80">
        <w:rPr>
          <w:rFonts w:asciiTheme="minorHAnsi" w:hAnsiTheme="minorHAnsi"/>
        </w:rPr>
        <w:t xml:space="preserve">, </w:t>
      </w:r>
      <w:r w:rsidR="00ED7D80">
        <w:rPr>
          <w:rFonts w:asciiTheme="minorHAnsi" w:hAnsiTheme="minorHAnsi"/>
          <w:lang w:val="en-US"/>
        </w:rPr>
        <w:t>Alikari</w:t>
      </w:r>
      <w:r w:rsidR="00ED7D80" w:rsidRPr="00ED7D80">
        <w:rPr>
          <w:rFonts w:asciiTheme="minorHAnsi" w:hAnsiTheme="minorHAnsi"/>
        </w:rPr>
        <w:t xml:space="preserve"> </w:t>
      </w:r>
      <w:r w:rsidR="00ED7D80">
        <w:rPr>
          <w:rFonts w:asciiTheme="minorHAnsi" w:hAnsiTheme="minorHAnsi"/>
          <w:lang w:val="en-US"/>
        </w:rPr>
        <w:t>et</w:t>
      </w:r>
      <w:r w:rsidR="00ED7D80" w:rsidRPr="00ED7D80">
        <w:rPr>
          <w:rFonts w:asciiTheme="minorHAnsi" w:hAnsiTheme="minorHAnsi"/>
        </w:rPr>
        <w:t xml:space="preserve"> </w:t>
      </w:r>
      <w:r w:rsidR="00ED7D80">
        <w:rPr>
          <w:rFonts w:asciiTheme="minorHAnsi" w:hAnsiTheme="minorHAnsi"/>
          <w:lang w:val="en-US"/>
        </w:rPr>
        <w:t>al</w:t>
      </w:r>
      <w:r w:rsidR="00ED7D80" w:rsidRPr="00ED7D80">
        <w:rPr>
          <w:rFonts w:asciiTheme="minorHAnsi" w:hAnsiTheme="minorHAnsi"/>
        </w:rPr>
        <w:t xml:space="preserve">., 2017) </w:t>
      </w:r>
      <w:r w:rsidR="00ED7D80">
        <w:rPr>
          <w:rFonts w:asciiTheme="minorHAnsi" w:hAnsiTheme="minorHAnsi"/>
        </w:rPr>
        <w:t>και ποιότητας ζωής (</w:t>
      </w:r>
      <w:r w:rsidR="00ED7D80">
        <w:rPr>
          <w:rFonts w:asciiTheme="minorHAnsi" w:hAnsiTheme="minorHAnsi"/>
          <w:lang w:val="en-US"/>
        </w:rPr>
        <w:t>Missoula</w:t>
      </w:r>
      <w:r w:rsidR="00ED7D80" w:rsidRPr="00ED7D80">
        <w:rPr>
          <w:rFonts w:asciiTheme="minorHAnsi" w:hAnsiTheme="minorHAnsi"/>
        </w:rPr>
        <w:t xml:space="preserve"> </w:t>
      </w:r>
      <w:r w:rsidR="00ED7D80">
        <w:rPr>
          <w:rFonts w:asciiTheme="minorHAnsi" w:hAnsiTheme="minorHAnsi"/>
          <w:lang w:val="en-US"/>
        </w:rPr>
        <w:t>Vitas</w:t>
      </w:r>
      <w:r w:rsidR="00ED7D80" w:rsidRPr="00ED7D80">
        <w:rPr>
          <w:rFonts w:asciiTheme="minorHAnsi" w:hAnsiTheme="minorHAnsi"/>
        </w:rPr>
        <w:t xml:space="preserve"> </w:t>
      </w:r>
      <w:r w:rsidR="00ED7D80">
        <w:rPr>
          <w:rFonts w:asciiTheme="minorHAnsi" w:hAnsiTheme="minorHAnsi"/>
          <w:lang w:val="en-US"/>
        </w:rPr>
        <w:t>Quality</w:t>
      </w:r>
      <w:r w:rsidR="00ED7D80" w:rsidRPr="00ED7D80">
        <w:rPr>
          <w:rFonts w:asciiTheme="minorHAnsi" w:hAnsiTheme="minorHAnsi"/>
        </w:rPr>
        <w:t xml:space="preserve"> </w:t>
      </w:r>
      <w:r w:rsidR="00ED7D80">
        <w:rPr>
          <w:rFonts w:asciiTheme="minorHAnsi" w:hAnsiTheme="minorHAnsi"/>
          <w:lang w:val="en-US"/>
        </w:rPr>
        <w:t>of</w:t>
      </w:r>
      <w:r w:rsidR="00ED7D80" w:rsidRPr="00ED7D80">
        <w:rPr>
          <w:rFonts w:asciiTheme="minorHAnsi" w:hAnsiTheme="minorHAnsi"/>
        </w:rPr>
        <w:t xml:space="preserve"> </w:t>
      </w:r>
      <w:r w:rsidR="00ED7D80">
        <w:rPr>
          <w:rFonts w:asciiTheme="minorHAnsi" w:hAnsiTheme="minorHAnsi"/>
          <w:lang w:val="en-US"/>
        </w:rPr>
        <w:t>Life</w:t>
      </w:r>
      <w:r w:rsidR="00ED7D80" w:rsidRPr="00ED7D80">
        <w:rPr>
          <w:rFonts w:asciiTheme="minorHAnsi" w:hAnsiTheme="minorHAnsi"/>
        </w:rPr>
        <w:t xml:space="preserve"> </w:t>
      </w:r>
      <w:r w:rsidR="00ED7D80">
        <w:rPr>
          <w:rFonts w:asciiTheme="minorHAnsi" w:hAnsiTheme="minorHAnsi"/>
          <w:lang w:val="en-US"/>
        </w:rPr>
        <w:t>Index</w:t>
      </w:r>
      <w:r w:rsidR="00ED7D80">
        <w:rPr>
          <w:rFonts w:asciiTheme="minorHAnsi" w:hAnsiTheme="minorHAnsi"/>
        </w:rPr>
        <w:t xml:space="preserve">-15, </w:t>
      </w:r>
      <w:r w:rsidR="00ED7D80">
        <w:rPr>
          <w:rFonts w:asciiTheme="minorHAnsi" w:hAnsiTheme="minorHAnsi"/>
          <w:lang w:val="en-US"/>
        </w:rPr>
        <w:t>Theofilou</w:t>
      </w:r>
      <w:r w:rsidR="00ED7D80" w:rsidRPr="00ED7D80">
        <w:rPr>
          <w:rFonts w:asciiTheme="minorHAnsi" w:hAnsiTheme="minorHAnsi"/>
        </w:rPr>
        <w:t xml:space="preserve"> </w:t>
      </w:r>
      <w:r w:rsidR="00ED7D80">
        <w:rPr>
          <w:rFonts w:asciiTheme="minorHAnsi" w:hAnsiTheme="minorHAnsi"/>
          <w:lang w:val="en-US"/>
        </w:rPr>
        <w:t>et</w:t>
      </w:r>
      <w:r w:rsidR="00ED7D80" w:rsidRPr="00ED7D80">
        <w:rPr>
          <w:rFonts w:asciiTheme="minorHAnsi" w:hAnsiTheme="minorHAnsi"/>
        </w:rPr>
        <w:t xml:space="preserve"> </w:t>
      </w:r>
      <w:r w:rsidR="00ED7D80">
        <w:rPr>
          <w:rFonts w:asciiTheme="minorHAnsi" w:hAnsiTheme="minorHAnsi"/>
          <w:lang w:val="en-US"/>
        </w:rPr>
        <w:t>al</w:t>
      </w:r>
      <w:r w:rsidR="00ED7D80" w:rsidRPr="00ED7D80">
        <w:rPr>
          <w:rFonts w:asciiTheme="minorHAnsi" w:hAnsiTheme="minorHAnsi"/>
        </w:rPr>
        <w:t>., 2013).</w:t>
      </w:r>
      <w:r w:rsidR="00ED7D80">
        <w:rPr>
          <w:rFonts w:asciiTheme="minorHAnsi" w:hAnsiTheme="minorHAnsi"/>
        </w:rPr>
        <w:t xml:space="preserve"> </w:t>
      </w:r>
    </w:p>
    <w:p w:rsidR="00C17E19" w:rsidRPr="00B27DBE" w:rsidRDefault="00ED7D80" w:rsidP="00925353">
      <w:pPr>
        <w:pStyle w:val="Web"/>
        <w:shd w:val="clear" w:color="auto" w:fill="FFFFFF"/>
        <w:spacing w:before="166" w:after="166" w:line="360" w:lineRule="auto"/>
        <w:jc w:val="both"/>
        <w:rPr>
          <w:rFonts w:asciiTheme="minorHAnsi" w:hAnsiTheme="minorHAnsi" w:cstheme="minorHAnsi"/>
        </w:rPr>
      </w:pPr>
      <w:r>
        <w:rPr>
          <w:rFonts w:asciiTheme="minorHAnsi" w:hAnsiTheme="minorHAnsi"/>
        </w:rPr>
        <w:t xml:space="preserve">Για τη χορήγηση του ερωτηματολογίου </w:t>
      </w:r>
      <w:r>
        <w:rPr>
          <w:rFonts w:asciiTheme="minorHAnsi" w:hAnsiTheme="minorHAnsi"/>
          <w:lang w:val="en-US"/>
        </w:rPr>
        <w:t>Kidney</w:t>
      </w:r>
      <w:r w:rsidRPr="00ED7D80">
        <w:rPr>
          <w:rFonts w:asciiTheme="minorHAnsi" w:hAnsiTheme="minorHAnsi"/>
        </w:rPr>
        <w:t xml:space="preserve"> </w:t>
      </w:r>
      <w:r>
        <w:rPr>
          <w:rFonts w:asciiTheme="minorHAnsi" w:hAnsiTheme="minorHAnsi"/>
          <w:lang w:val="en-US"/>
        </w:rPr>
        <w:t>Disease</w:t>
      </w:r>
      <w:r w:rsidRPr="00ED7D80">
        <w:rPr>
          <w:rFonts w:asciiTheme="minorHAnsi" w:hAnsiTheme="minorHAnsi"/>
        </w:rPr>
        <w:t xml:space="preserve"> </w:t>
      </w:r>
      <w:r>
        <w:rPr>
          <w:rFonts w:asciiTheme="minorHAnsi" w:hAnsiTheme="minorHAnsi"/>
          <w:lang w:val="en-US"/>
        </w:rPr>
        <w:t>Questionnaire</w:t>
      </w:r>
      <w:r>
        <w:rPr>
          <w:rFonts w:asciiTheme="minorHAnsi" w:hAnsiTheme="minorHAnsi"/>
        </w:rPr>
        <w:t xml:space="preserve"> διεξήχθη μετάφραση και πολιτισμική προσαρμογή της</w:t>
      </w:r>
      <w:r w:rsidR="00925353">
        <w:rPr>
          <w:rFonts w:asciiTheme="minorHAnsi" w:hAnsiTheme="minorHAnsi"/>
        </w:rPr>
        <w:t xml:space="preserve"> κλίμακας στον</w:t>
      </w:r>
      <w:r>
        <w:rPr>
          <w:rFonts w:asciiTheme="minorHAnsi" w:hAnsiTheme="minorHAnsi"/>
        </w:rPr>
        <w:t xml:space="preserve"> πληθυσμό</w:t>
      </w:r>
      <w:r w:rsidR="00925353">
        <w:rPr>
          <w:rFonts w:asciiTheme="minorHAnsi" w:hAnsiTheme="minorHAnsi"/>
        </w:rPr>
        <w:t xml:space="preserve"> Ελλήνων</w:t>
      </w:r>
      <w:r>
        <w:rPr>
          <w:rFonts w:asciiTheme="minorHAnsi" w:hAnsiTheme="minorHAnsi"/>
        </w:rPr>
        <w:t xml:space="preserve"> ασθενών υπό αιμοκάθαρση και στη συνέχεια έλεγχος της αξιοπιστίας του.</w:t>
      </w:r>
      <w:r w:rsidR="00925353">
        <w:rPr>
          <w:rFonts w:asciiTheme="minorHAnsi" w:hAnsiTheme="minorHAnsi"/>
        </w:rPr>
        <w:t xml:space="preserve"> Για</w:t>
      </w:r>
      <w:r w:rsidR="00925353" w:rsidRPr="00925353">
        <w:rPr>
          <w:rFonts w:asciiTheme="minorHAnsi" w:hAnsiTheme="minorHAnsi"/>
        </w:rPr>
        <w:t xml:space="preserve"> </w:t>
      </w:r>
      <w:r w:rsidR="00925353">
        <w:rPr>
          <w:rFonts w:asciiTheme="minorHAnsi" w:hAnsiTheme="minorHAnsi"/>
        </w:rPr>
        <w:t>τη</w:t>
      </w:r>
      <w:r w:rsidR="00925353" w:rsidRPr="00925353">
        <w:rPr>
          <w:rFonts w:asciiTheme="minorHAnsi" w:hAnsiTheme="minorHAnsi"/>
        </w:rPr>
        <w:t xml:space="preserve"> </w:t>
      </w:r>
      <w:r w:rsidR="00925353">
        <w:rPr>
          <w:rFonts w:asciiTheme="minorHAnsi" w:hAnsiTheme="minorHAnsi"/>
        </w:rPr>
        <w:t xml:space="preserve">μελέτη του επιπέδου συμμόρφωσης των σθενών στην αιμοκάθαρση έγινε </w:t>
      </w:r>
      <w:r w:rsidR="00925353" w:rsidRPr="00925353">
        <w:rPr>
          <w:rFonts w:asciiTheme="minorHAnsi" w:hAnsiTheme="minorHAnsi"/>
        </w:rPr>
        <w:t>τρο</w:t>
      </w:r>
      <w:r w:rsidR="00925353" w:rsidRPr="00925353">
        <w:rPr>
          <w:rFonts w:asciiTheme="minorHAnsi" w:hAnsiTheme="minorHAnsi" w:cstheme="minorHAnsi"/>
        </w:rPr>
        <w:t xml:space="preserve">ποποίηση και προσαρμογή της κλίμακας </w:t>
      </w:r>
      <w:r w:rsidR="00925353" w:rsidRPr="00925353">
        <w:rPr>
          <w:rFonts w:asciiTheme="minorHAnsi" w:hAnsiTheme="minorHAnsi" w:cstheme="minorHAnsi"/>
          <w:lang w:val="en-US"/>
        </w:rPr>
        <w:t>GR</w:t>
      </w:r>
      <w:r w:rsidR="00925353" w:rsidRPr="00925353">
        <w:rPr>
          <w:rFonts w:asciiTheme="minorHAnsi" w:hAnsiTheme="minorHAnsi" w:cstheme="minorHAnsi"/>
        </w:rPr>
        <w:t>-</w:t>
      </w:r>
      <w:r w:rsidR="00925353" w:rsidRPr="00925353">
        <w:rPr>
          <w:rFonts w:asciiTheme="minorHAnsi" w:hAnsiTheme="minorHAnsi" w:cstheme="minorHAnsi"/>
          <w:lang w:val="en-US"/>
        </w:rPr>
        <w:t>SMAQ</w:t>
      </w:r>
      <w:r w:rsidR="002B5862">
        <w:rPr>
          <w:rFonts w:asciiTheme="minorHAnsi" w:hAnsiTheme="minorHAnsi" w:cstheme="minorHAnsi"/>
        </w:rPr>
        <w:t xml:space="preserve"> σε πληθυσμό ασθενώ</w:t>
      </w:r>
      <w:r w:rsidR="00925353">
        <w:rPr>
          <w:rFonts w:asciiTheme="minorHAnsi" w:hAnsiTheme="minorHAnsi" w:cstheme="minorHAnsi"/>
        </w:rPr>
        <w:t xml:space="preserve">ν υπό αιμοκάθαρση. </w:t>
      </w:r>
      <w:r w:rsidR="00925353">
        <w:rPr>
          <w:rFonts w:asciiTheme="minorHAnsi" w:hAnsiTheme="minorHAnsi"/>
        </w:rPr>
        <w:t>Μετά</w:t>
      </w:r>
      <w:r w:rsidR="00925353" w:rsidRPr="00925353">
        <w:rPr>
          <w:rFonts w:asciiTheme="minorHAnsi" w:hAnsiTheme="minorHAnsi"/>
        </w:rPr>
        <w:t xml:space="preserve"> </w:t>
      </w:r>
      <w:r w:rsidR="00925353">
        <w:rPr>
          <w:rFonts w:asciiTheme="minorHAnsi" w:hAnsiTheme="minorHAnsi"/>
        </w:rPr>
        <w:t>τη</w:t>
      </w:r>
      <w:r w:rsidR="00925353" w:rsidRPr="00925353">
        <w:rPr>
          <w:rFonts w:asciiTheme="minorHAnsi" w:hAnsiTheme="minorHAnsi"/>
        </w:rPr>
        <w:t xml:space="preserve"> </w:t>
      </w:r>
      <w:r w:rsidR="00925353">
        <w:rPr>
          <w:rFonts w:asciiTheme="minorHAnsi" w:hAnsiTheme="minorHAnsi"/>
        </w:rPr>
        <w:t>διαδικασία</w:t>
      </w:r>
      <w:r w:rsidR="00925353" w:rsidRPr="00925353">
        <w:rPr>
          <w:rFonts w:asciiTheme="minorHAnsi" w:hAnsiTheme="minorHAnsi"/>
        </w:rPr>
        <w:t xml:space="preserve"> </w:t>
      </w:r>
      <w:r w:rsidR="00925353">
        <w:rPr>
          <w:rFonts w:asciiTheme="minorHAnsi" w:hAnsiTheme="minorHAnsi"/>
        </w:rPr>
        <w:t>αυτή</w:t>
      </w:r>
      <w:r w:rsidR="00925353" w:rsidRPr="00925353">
        <w:rPr>
          <w:rFonts w:asciiTheme="minorHAnsi" w:hAnsiTheme="minorHAnsi"/>
        </w:rPr>
        <w:t xml:space="preserve"> </w:t>
      </w:r>
      <w:r w:rsidR="00925353">
        <w:rPr>
          <w:rFonts w:asciiTheme="minorHAnsi" w:hAnsiTheme="minorHAnsi"/>
        </w:rPr>
        <w:t>προέκυψε</w:t>
      </w:r>
      <w:r w:rsidR="00925353" w:rsidRPr="00925353">
        <w:rPr>
          <w:rFonts w:asciiTheme="minorHAnsi" w:hAnsiTheme="minorHAnsi"/>
        </w:rPr>
        <w:t xml:space="preserve"> </w:t>
      </w:r>
      <w:r w:rsidR="00925353">
        <w:rPr>
          <w:rFonts w:asciiTheme="minorHAnsi" w:hAnsiTheme="minorHAnsi"/>
        </w:rPr>
        <w:t>η</w:t>
      </w:r>
      <w:r w:rsidR="00925353" w:rsidRPr="00925353">
        <w:rPr>
          <w:rFonts w:asciiTheme="minorHAnsi" w:hAnsiTheme="minorHAnsi"/>
        </w:rPr>
        <w:t xml:space="preserve"> </w:t>
      </w:r>
      <w:r w:rsidR="00925353">
        <w:rPr>
          <w:rFonts w:asciiTheme="minorHAnsi" w:hAnsiTheme="minorHAnsi"/>
        </w:rPr>
        <w:t>κλίμακα</w:t>
      </w:r>
      <w:r w:rsidR="00925353" w:rsidRPr="00925353">
        <w:rPr>
          <w:rFonts w:asciiTheme="minorHAnsi" w:hAnsiTheme="minorHAnsi"/>
        </w:rPr>
        <w:t xml:space="preserve"> </w:t>
      </w:r>
      <w:r w:rsidR="00925353">
        <w:rPr>
          <w:rFonts w:asciiTheme="minorHAnsi" w:hAnsiTheme="minorHAnsi"/>
          <w:lang w:val="en-US"/>
        </w:rPr>
        <w:t>GR</w:t>
      </w:r>
      <w:r w:rsidR="00925353" w:rsidRPr="00925353">
        <w:rPr>
          <w:rFonts w:asciiTheme="minorHAnsi" w:hAnsiTheme="minorHAnsi"/>
        </w:rPr>
        <w:t>-</w:t>
      </w:r>
      <w:r w:rsidR="00925353">
        <w:rPr>
          <w:rFonts w:asciiTheme="minorHAnsi" w:hAnsiTheme="minorHAnsi"/>
          <w:lang w:val="en-US"/>
        </w:rPr>
        <w:t>SMAQ</w:t>
      </w:r>
      <w:r w:rsidR="00925353" w:rsidRPr="00925353">
        <w:rPr>
          <w:rFonts w:asciiTheme="minorHAnsi" w:hAnsiTheme="minorHAnsi"/>
        </w:rPr>
        <w:t>-</w:t>
      </w:r>
      <w:r w:rsidR="00925353">
        <w:rPr>
          <w:rFonts w:asciiTheme="minorHAnsi" w:hAnsiTheme="minorHAnsi"/>
          <w:lang w:val="en-US"/>
        </w:rPr>
        <w:t>HD</w:t>
      </w:r>
      <w:r w:rsidR="00925353" w:rsidRPr="00925353">
        <w:rPr>
          <w:rFonts w:asciiTheme="minorHAnsi" w:hAnsiTheme="minorHAnsi"/>
        </w:rPr>
        <w:t>.</w:t>
      </w:r>
      <w:r w:rsidR="00B27DBE" w:rsidRPr="00925353">
        <w:rPr>
          <w:rFonts w:asciiTheme="minorHAnsi" w:hAnsiTheme="minorHAnsi" w:cstheme="minorHAnsi"/>
          <w:b/>
          <w:i/>
        </w:rPr>
        <w:t xml:space="preserve"> </w:t>
      </w:r>
    </w:p>
    <w:p w:rsidR="00FD3CD2" w:rsidRPr="005A464E" w:rsidRDefault="00FD3CD2" w:rsidP="005A464E">
      <w:pPr>
        <w:pStyle w:val="Web"/>
        <w:shd w:val="clear" w:color="auto" w:fill="FFFFFF"/>
        <w:spacing w:before="166" w:after="166" w:line="360" w:lineRule="auto"/>
        <w:jc w:val="both"/>
        <w:rPr>
          <w:rFonts w:asciiTheme="minorHAnsi" w:hAnsiTheme="minorHAnsi" w:cstheme="minorHAnsi"/>
          <w:b/>
        </w:rPr>
      </w:pPr>
      <w:r w:rsidRPr="005A464E">
        <w:rPr>
          <w:rFonts w:asciiTheme="minorHAnsi" w:hAnsiTheme="minorHAnsi" w:cstheme="minorHAnsi"/>
          <w:b/>
        </w:rPr>
        <w:t>Συμβουλευτική παρέμβαση</w:t>
      </w:r>
    </w:p>
    <w:p w:rsidR="00816C74" w:rsidRPr="000A37D7" w:rsidRDefault="00DF4830" w:rsidP="000B7506">
      <w:pPr>
        <w:pStyle w:val="Web"/>
        <w:shd w:val="clear" w:color="auto" w:fill="FFFFFF"/>
        <w:spacing w:after="0" w:line="360" w:lineRule="auto"/>
        <w:jc w:val="both"/>
        <w:rPr>
          <w:rFonts w:asciiTheme="minorHAnsi" w:hAnsiTheme="minorHAnsi"/>
        </w:rPr>
      </w:pPr>
      <w:r>
        <w:rPr>
          <w:rFonts w:asciiTheme="minorHAnsi" w:hAnsiTheme="minorHAnsi" w:cstheme="minorHAnsi"/>
        </w:rPr>
        <w:t>Το ποσοστό συμμετοχής στη</w:t>
      </w:r>
      <w:r w:rsidR="00C17E19" w:rsidRPr="005A464E">
        <w:rPr>
          <w:rFonts w:asciiTheme="minorHAnsi" w:hAnsiTheme="minorHAnsi" w:cstheme="minorHAnsi"/>
        </w:rPr>
        <w:t xml:space="preserve"> </w:t>
      </w:r>
      <w:r>
        <w:rPr>
          <w:rFonts w:asciiTheme="minorHAnsi" w:hAnsiTheme="minorHAnsi" w:cstheme="minorHAnsi"/>
        </w:rPr>
        <w:t>μελέτη</w:t>
      </w:r>
      <w:r w:rsidR="00C17E19" w:rsidRPr="005A464E">
        <w:rPr>
          <w:rFonts w:asciiTheme="minorHAnsi" w:hAnsiTheme="minorHAnsi" w:cstheme="minorHAnsi"/>
        </w:rPr>
        <w:t xml:space="preserve"> ήταν αρκετά μεγάλο κα</w:t>
      </w:r>
      <w:r w:rsidR="008672B6" w:rsidRPr="005A464E">
        <w:rPr>
          <w:rFonts w:asciiTheme="minorHAnsi" w:hAnsiTheme="minorHAnsi" w:cstheme="minorHAnsi"/>
        </w:rPr>
        <w:t>ι σε αυτό συνέβαλε η προσεκτική</w:t>
      </w:r>
      <w:r w:rsidR="00C17E19" w:rsidRPr="005A464E">
        <w:rPr>
          <w:rFonts w:asciiTheme="minorHAnsi" w:hAnsiTheme="minorHAnsi" w:cstheme="minorHAnsi"/>
        </w:rPr>
        <w:t xml:space="preserve"> και προσωπική προσέγγιση των ασθενών αλλά και η εξοικείωση της ερευνήτριας με αυτήν την ομάδα πληθυσμού</w:t>
      </w:r>
      <w:r w:rsidR="00C17E19" w:rsidRPr="005A464E">
        <w:rPr>
          <w:rFonts w:asciiTheme="minorHAnsi" w:hAnsiTheme="minorHAnsi"/>
        </w:rPr>
        <w:t>.</w:t>
      </w:r>
    </w:p>
    <w:p w:rsidR="00ED666C" w:rsidRPr="000A37D7" w:rsidRDefault="00ED666C" w:rsidP="000B7506">
      <w:pPr>
        <w:pStyle w:val="Web"/>
        <w:shd w:val="clear" w:color="auto" w:fill="FFFFFF"/>
        <w:spacing w:after="0" w:line="360" w:lineRule="auto"/>
        <w:jc w:val="both"/>
        <w:rPr>
          <w:rFonts w:asciiTheme="minorHAnsi" w:hAnsiTheme="minorHAnsi"/>
        </w:rPr>
      </w:pPr>
    </w:p>
    <w:p w:rsidR="000B7506" w:rsidRPr="000B7506" w:rsidRDefault="0056745C" w:rsidP="00ED666C">
      <w:pPr>
        <w:pStyle w:val="Web"/>
        <w:shd w:val="clear" w:color="auto" w:fill="FFFFFF"/>
        <w:spacing w:after="0" w:line="360" w:lineRule="auto"/>
        <w:jc w:val="both"/>
        <w:rPr>
          <w:rFonts w:asciiTheme="minorHAnsi" w:hAnsiTheme="minorHAnsi"/>
        </w:rPr>
      </w:pPr>
      <w:r w:rsidRPr="005A464E">
        <w:rPr>
          <w:rFonts w:asciiTheme="minorHAnsi" w:hAnsiTheme="minorHAnsi" w:cstheme="minorHAnsi"/>
        </w:rPr>
        <w:t xml:space="preserve">Πριν την παρέμβαση οι </w:t>
      </w:r>
      <w:r w:rsidR="00AA0B39">
        <w:rPr>
          <w:rFonts w:asciiTheme="minorHAnsi" w:hAnsiTheme="minorHAnsi" w:cstheme="minorHAnsi"/>
        </w:rPr>
        <w:t>δύο</w:t>
      </w:r>
      <w:r w:rsidRPr="005A464E">
        <w:rPr>
          <w:rFonts w:asciiTheme="minorHAnsi" w:hAnsiTheme="minorHAnsi" w:cstheme="minorHAnsi"/>
        </w:rPr>
        <w:t xml:space="preserve"> ομάδες είχαν παρόμοια</w:t>
      </w:r>
      <w:r w:rsidR="00DC0A3D" w:rsidRPr="005A464E">
        <w:rPr>
          <w:rFonts w:asciiTheme="minorHAnsi" w:hAnsiTheme="minorHAnsi" w:cstheme="minorHAnsi"/>
        </w:rPr>
        <w:t xml:space="preserve"> </w:t>
      </w:r>
      <w:r w:rsidR="00DC0A3D" w:rsidRPr="00E50302">
        <w:rPr>
          <w:rFonts w:asciiTheme="minorHAnsi" w:hAnsiTheme="minorHAnsi" w:cstheme="minorHAnsi"/>
        </w:rPr>
        <w:t>επίπεδα</w:t>
      </w:r>
      <w:r w:rsidRPr="00E50302">
        <w:rPr>
          <w:rFonts w:asciiTheme="minorHAnsi" w:hAnsiTheme="minorHAnsi" w:cstheme="minorHAnsi"/>
        </w:rPr>
        <w:t xml:space="preserve"> γνώση</w:t>
      </w:r>
      <w:r w:rsidR="00DC0A3D" w:rsidRPr="00E50302">
        <w:rPr>
          <w:rFonts w:asciiTheme="minorHAnsi" w:hAnsiTheme="minorHAnsi" w:cstheme="minorHAnsi"/>
        </w:rPr>
        <w:t>ς</w:t>
      </w:r>
      <w:r w:rsidRPr="00E50302">
        <w:rPr>
          <w:rFonts w:asciiTheme="minorHAnsi" w:hAnsiTheme="minorHAnsi" w:cstheme="minorHAnsi"/>
        </w:rPr>
        <w:t>.</w:t>
      </w:r>
      <w:r w:rsidR="0078495A" w:rsidRPr="00E50302">
        <w:rPr>
          <w:rFonts w:asciiTheme="minorHAnsi" w:hAnsiTheme="minorHAnsi" w:cstheme="minorHAnsi"/>
        </w:rPr>
        <w:t xml:space="preserve"> </w:t>
      </w:r>
      <w:r w:rsidRPr="00E50302">
        <w:rPr>
          <w:rFonts w:asciiTheme="minorHAnsi" w:hAnsiTheme="minorHAnsi" w:cstheme="minorHAnsi"/>
        </w:rPr>
        <w:t xml:space="preserve">Μετά την παρέμβαση, ενώ σημειώθηκε σημαντική αύξηση και στις </w:t>
      </w:r>
      <w:r w:rsidR="00AA0B39" w:rsidRPr="00E50302">
        <w:rPr>
          <w:rFonts w:asciiTheme="minorHAnsi" w:hAnsiTheme="minorHAnsi" w:cstheme="minorHAnsi"/>
        </w:rPr>
        <w:t>δύο</w:t>
      </w:r>
      <w:r w:rsidRPr="00E50302">
        <w:rPr>
          <w:rFonts w:asciiTheme="minorHAnsi" w:hAnsiTheme="minorHAnsi" w:cstheme="minorHAnsi"/>
        </w:rPr>
        <w:t xml:space="preserve"> ομάδες, η αύξηση στην ομάδα παρέμβασης ήταν σημαντικά υψηλότερη, καταλήγοντας να έχει σημαντικά υψηλότερη βαθμολογία σε σύγκριση με την ομάδα ελέγχου μετά την παρέμβαση. </w:t>
      </w:r>
      <w:r w:rsidR="004A0B04" w:rsidRPr="00E50302">
        <w:rPr>
          <w:rFonts w:asciiTheme="minorHAnsi" w:hAnsiTheme="minorHAnsi" w:cstheme="minorHAnsi"/>
        </w:rPr>
        <w:t>Ο</w:t>
      </w:r>
      <w:r w:rsidR="000B1E01" w:rsidRPr="00E50302">
        <w:rPr>
          <w:rFonts w:asciiTheme="minorHAnsi" w:hAnsiTheme="minorHAnsi" w:cstheme="minorHAnsi"/>
        </w:rPr>
        <w:t xml:space="preserve"> </w:t>
      </w:r>
      <w:r w:rsidR="000B1E01" w:rsidRPr="00E50302">
        <w:rPr>
          <w:rFonts w:asciiTheme="minorHAnsi" w:hAnsiTheme="minorHAnsi" w:cstheme="minorHAnsi"/>
          <w:lang w:val="en-US"/>
        </w:rPr>
        <w:t>Narimani</w:t>
      </w:r>
      <w:r w:rsidR="000B1E01" w:rsidRPr="00E50302">
        <w:rPr>
          <w:rFonts w:asciiTheme="minorHAnsi" w:hAnsiTheme="minorHAnsi" w:cstheme="minorHAnsi"/>
        </w:rPr>
        <w:t xml:space="preserve"> (2009) </w:t>
      </w:r>
      <w:r w:rsidR="004A0B04" w:rsidRPr="00E50302">
        <w:rPr>
          <w:rStyle w:val="element-citation"/>
          <w:rFonts w:asciiTheme="minorHAnsi" w:hAnsiTheme="minorHAnsi" w:cstheme="minorHAnsi"/>
          <w:shd w:val="clear" w:color="auto" w:fill="FFFEF1"/>
        </w:rPr>
        <w:t>έδειξε</w:t>
      </w:r>
      <w:r w:rsidR="000B1E01" w:rsidRPr="00E50302">
        <w:rPr>
          <w:rStyle w:val="element-citation"/>
          <w:rFonts w:asciiTheme="minorHAnsi" w:hAnsiTheme="minorHAnsi" w:cstheme="minorHAnsi"/>
          <w:shd w:val="clear" w:color="auto" w:fill="FFFEF1"/>
        </w:rPr>
        <w:t xml:space="preserve"> τη θετική επίδραση της </w:t>
      </w:r>
      <w:r w:rsidR="000B1E01" w:rsidRPr="00E50302">
        <w:rPr>
          <w:rFonts w:asciiTheme="minorHAnsi" w:hAnsiTheme="minorHAnsi" w:cstheme="minorHAnsi"/>
        </w:rPr>
        <w:t>εκπαίδευσης στο επίπεδο πληροφόρησης.</w:t>
      </w:r>
      <w:r w:rsidR="000B1E01" w:rsidRPr="00E50302">
        <w:rPr>
          <w:rFonts w:asciiTheme="minorHAnsi" w:hAnsiTheme="minorHAnsi" w:cstheme="minorHAnsi"/>
          <w:vertAlign w:val="superscript"/>
        </w:rPr>
        <w:t xml:space="preserve"> </w:t>
      </w:r>
      <w:r w:rsidR="000B1E01" w:rsidRPr="00E50302">
        <w:rPr>
          <w:rStyle w:val="apple-converted-space"/>
          <w:rFonts w:asciiTheme="minorHAnsi" w:hAnsiTheme="minorHAnsi" w:cstheme="minorHAnsi"/>
        </w:rPr>
        <w:t xml:space="preserve">Το χαμηλό επίπεδο γνώσης πριν την παρέμβαση φέρνει στην επιφάνεια τις εκπαιδευτικές ανάγκες των ασθενών. </w:t>
      </w:r>
      <w:r w:rsidR="008672B6" w:rsidRPr="00E50302">
        <w:rPr>
          <w:rFonts w:asciiTheme="minorHAnsi" w:hAnsiTheme="minorHAnsi" w:cstheme="minorHAnsi"/>
          <w:color w:val="000000"/>
        </w:rPr>
        <w:t xml:space="preserve">Σε ερευνητική μελέτη στη Βορειοδυτική Λουιζιάνα ο </w:t>
      </w:r>
      <w:r w:rsidR="008672B6" w:rsidRPr="00E50302">
        <w:rPr>
          <w:rFonts w:asciiTheme="minorHAnsi" w:hAnsiTheme="minorHAnsi" w:cstheme="minorHAnsi"/>
          <w:color w:val="000000"/>
          <w:lang w:val="en-US"/>
        </w:rPr>
        <w:t>Wells</w:t>
      </w:r>
      <w:r w:rsidR="008672B6" w:rsidRPr="00E50302">
        <w:rPr>
          <w:rFonts w:asciiTheme="minorHAnsi" w:hAnsiTheme="minorHAnsi" w:cstheme="minorHAnsi"/>
          <w:color w:val="000000"/>
        </w:rPr>
        <w:t xml:space="preserve"> (2011) ανέφερε σημαντική αύξη</w:t>
      </w:r>
      <w:r w:rsidR="008672B6" w:rsidRPr="005A464E">
        <w:rPr>
          <w:rFonts w:asciiTheme="minorHAnsi" w:hAnsiTheme="minorHAnsi" w:cstheme="minorHAnsi"/>
          <w:color w:val="000000"/>
        </w:rPr>
        <w:t xml:space="preserve">ση στο επίπεδο γνώσεων μετά από συμβουλευτική παρέμβαση. Αυτό συμφωνεί με τα αποτελέσματα της μελέτης αυτής όμως ο </w:t>
      </w:r>
      <w:r w:rsidR="008672B6" w:rsidRPr="005A464E">
        <w:rPr>
          <w:rFonts w:asciiTheme="minorHAnsi" w:hAnsiTheme="minorHAnsi" w:cstheme="minorHAnsi"/>
          <w:color w:val="000000"/>
          <w:lang w:val="en-US"/>
        </w:rPr>
        <w:t>Wells</w:t>
      </w:r>
      <w:r w:rsidR="008672B6" w:rsidRPr="005A464E">
        <w:rPr>
          <w:rFonts w:asciiTheme="minorHAnsi" w:hAnsiTheme="minorHAnsi" w:cstheme="minorHAnsi"/>
          <w:color w:val="000000"/>
        </w:rPr>
        <w:t xml:space="preserve"> (2011) δεν ανέφερε σημαντική αύξηση στο επίπεδο συμμόρφωσης αποδίδοντας το εύρημα αυτό στον μικρό αριθμό των εκπαιδευτικών συνεδριών.</w:t>
      </w:r>
      <w:r w:rsidR="003D684B" w:rsidRPr="005A464E">
        <w:rPr>
          <w:rFonts w:asciiTheme="minorHAnsi" w:hAnsiTheme="minorHAnsi" w:cstheme="minorHAnsi"/>
          <w:color w:val="000000"/>
        </w:rPr>
        <w:t xml:space="preserve"> Οι </w:t>
      </w:r>
      <w:r w:rsidR="003D684B" w:rsidRPr="005A464E">
        <w:rPr>
          <w:rFonts w:asciiTheme="minorHAnsi" w:hAnsiTheme="minorHAnsi" w:cstheme="minorHAnsi"/>
          <w:color w:val="000000"/>
          <w:lang w:val="en-US"/>
        </w:rPr>
        <w:t>Ebrahimi</w:t>
      </w:r>
      <w:r w:rsidR="001C2D3A" w:rsidRPr="00197BA9">
        <w:rPr>
          <w:rFonts w:asciiTheme="minorHAnsi" w:hAnsiTheme="minorHAnsi" w:cstheme="minorHAnsi"/>
          <w:color w:val="000000"/>
        </w:rPr>
        <w:t xml:space="preserve">, </w:t>
      </w:r>
      <w:hyperlink r:id="rId81" w:history="1">
        <w:r w:rsidR="001C2D3A" w:rsidRPr="00197BA9">
          <w:rPr>
            <w:rStyle w:val="-"/>
            <w:rFonts w:asciiTheme="minorHAnsi" w:hAnsiTheme="minorHAnsi" w:cstheme="minorHAnsi"/>
            <w:color w:val="auto"/>
            <w:u w:val="none"/>
            <w:shd w:val="clear" w:color="auto" w:fill="FFFFFF"/>
            <w:lang w:val="en-US"/>
          </w:rPr>
          <w:t>Sadeghi</w:t>
        </w:r>
        <w:r w:rsidR="001C2D3A" w:rsidRPr="00197BA9">
          <w:rPr>
            <w:rStyle w:val="-"/>
            <w:rFonts w:asciiTheme="minorHAnsi" w:hAnsiTheme="minorHAnsi" w:cstheme="minorHAnsi"/>
            <w:color w:val="auto"/>
            <w:u w:val="none"/>
            <w:shd w:val="clear" w:color="auto" w:fill="FFFFFF"/>
          </w:rPr>
          <w:t>,</w:t>
        </w:r>
      </w:hyperlink>
      <w:r w:rsidR="001C2D3A" w:rsidRPr="00197BA9">
        <w:rPr>
          <w:rFonts w:asciiTheme="minorHAnsi" w:hAnsiTheme="minorHAnsi" w:cstheme="minorHAnsi"/>
          <w:shd w:val="clear" w:color="auto" w:fill="FFFFFF"/>
          <w:lang w:val="en-US"/>
        </w:rPr>
        <w:t> </w:t>
      </w:r>
      <w:hyperlink r:id="rId82" w:history="1">
        <w:r w:rsidR="001C2D3A" w:rsidRPr="00197BA9">
          <w:rPr>
            <w:rStyle w:val="-"/>
            <w:rFonts w:asciiTheme="minorHAnsi" w:hAnsiTheme="minorHAnsi" w:cstheme="minorHAnsi"/>
            <w:color w:val="auto"/>
            <w:u w:val="none"/>
            <w:shd w:val="clear" w:color="auto" w:fill="FFFFFF"/>
            <w:lang w:val="en-US"/>
          </w:rPr>
          <w:t>Amanpour</w:t>
        </w:r>
        <w:r w:rsidR="00197BA9" w:rsidRPr="00197BA9">
          <w:rPr>
            <w:rStyle w:val="-"/>
            <w:rFonts w:asciiTheme="minorHAnsi" w:hAnsiTheme="minorHAnsi" w:cstheme="minorHAnsi"/>
            <w:color w:val="auto"/>
            <w:u w:val="none"/>
            <w:shd w:val="clear" w:color="auto" w:fill="FFFFFF"/>
          </w:rPr>
          <w:t>,</w:t>
        </w:r>
      </w:hyperlink>
      <w:r w:rsidR="001C2D3A" w:rsidRPr="00197BA9">
        <w:rPr>
          <w:rFonts w:asciiTheme="minorHAnsi" w:hAnsiTheme="minorHAnsi" w:cstheme="minorHAnsi"/>
          <w:shd w:val="clear" w:color="auto" w:fill="FFFFFF"/>
          <w:lang w:val="en-US"/>
        </w:rPr>
        <w:t> </w:t>
      </w:r>
      <w:r w:rsidR="0063629E">
        <w:rPr>
          <w:rFonts w:asciiTheme="minorHAnsi" w:hAnsiTheme="minorHAnsi" w:cstheme="minorHAnsi"/>
          <w:shd w:val="clear" w:color="auto" w:fill="FFFFFF"/>
        </w:rPr>
        <w:t>και</w:t>
      </w:r>
      <w:r w:rsidR="001C2D3A" w:rsidRPr="00197BA9">
        <w:rPr>
          <w:rFonts w:asciiTheme="minorHAnsi" w:hAnsiTheme="minorHAnsi" w:cstheme="minorHAnsi"/>
          <w:shd w:val="clear" w:color="auto" w:fill="FFFFFF"/>
        </w:rPr>
        <w:t xml:space="preserve"> </w:t>
      </w:r>
      <w:hyperlink r:id="rId83" w:history="1">
        <w:r w:rsidR="001C2D3A" w:rsidRPr="00197BA9">
          <w:rPr>
            <w:rStyle w:val="-"/>
            <w:rFonts w:asciiTheme="minorHAnsi" w:hAnsiTheme="minorHAnsi" w:cstheme="minorHAnsi"/>
            <w:color w:val="auto"/>
            <w:u w:val="none"/>
            <w:shd w:val="clear" w:color="auto" w:fill="FFFFFF"/>
            <w:lang w:val="en-US"/>
          </w:rPr>
          <w:t>Dadgari</w:t>
        </w:r>
      </w:hyperlink>
      <w:r w:rsidR="00197BA9">
        <w:rPr>
          <w:rFonts w:asciiTheme="minorHAnsi" w:hAnsiTheme="minorHAnsi" w:cstheme="minorHAnsi"/>
        </w:rPr>
        <w:t>,</w:t>
      </w:r>
      <w:r w:rsidR="0078495A">
        <w:t xml:space="preserve"> </w:t>
      </w:r>
      <w:r w:rsidR="00A84FBE" w:rsidRPr="005A464E">
        <w:rPr>
          <w:rFonts w:asciiTheme="minorHAnsi" w:hAnsiTheme="minorHAnsi" w:cstheme="minorHAnsi"/>
          <w:color w:val="000000"/>
        </w:rPr>
        <w:t>(2016)</w:t>
      </w:r>
      <w:r w:rsidR="003D684B" w:rsidRPr="005A464E">
        <w:rPr>
          <w:rFonts w:asciiTheme="minorHAnsi" w:hAnsiTheme="minorHAnsi" w:cstheme="minorHAnsi"/>
          <w:color w:val="000000"/>
        </w:rPr>
        <w:t xml:space="preserve"> αναφέρουν σημαντική αύξηση του επιπέδου γν</w:t>
      </w:r>
      <w:r w:rsidR="00A84FBE" w:rsidRPr="005A464E">
        <w:rPr>
          <w:rFonts w:asciiTheme="minorHAnsi" w:hAnsiTheme="minorHAnsi" w:cstheme="minorHAnsi"/>
          <w:color w:val="000000"/>
        </w:rPr>
        <w:t>ώ</w:t>
      </w:r>
      <w:r w:rsidR="003D684B" w:rsidRPr="005A464E">
        <w:rPr>
          <w:rFonts w:asciiTheme="minorHAnsi" w:hAnsiTheme="minorHAnsi" w:cstheme="minorHAnsi"/>
          <w:color w:val="000000"/>
        </w:rPr>
        <w:t>σεων των ασθενών τους σχετικά με τη δίαιτα μετά από παροχή οδηγιών.</w:t>
      </w:r>
      <w:r w:rsidR="0078495A">
        <w:rPr>
          <w:rFonts w:asciiTheme="minorHAnsi" w:hAnsiTheme="minorHAnsi" w:cstheme="minorHAnsi"/>
          <w:color w:val="000000"/>
        </w:rPr>
        <w:t xml:space="preserve"> </w:t>
      </w:r>
      <w:r w:rsidR="00A43379">
        <w:rPr>
          <w:rFonts w:asciiTheme="minorHAnsi" w:hAnsiTheme="minorHAnsi" w:cstheme="minorHAnsi"/>
          <w:color w:val="000000"/>
        </w:rPr>
        <w:t>Παρόμοια αποτελέσματα βρήκαν επίσης και</w:t>
      </w:r>
      <w:r w:rsidR="00A84FBE" w:rsidRPr="005A464E">
        <w:rPr>
          <w:rFonts w:asciiTheme="minorHAnsi" w:hAnsiTheme="minorHAnsi" w:cstheme="minorHAnsi"/>
          <w:color w:val="000000"/>
        </w:rPr>
        <w:t xml:space="preserve"> οι </w:t>
      </w:r>
      <w:r w:rsidR="00A84FBE" w:rsidRPr="005A464E">
        <w:rPr>
          <w:rFonts w:asciiTheme="minorHAnsi" w:hAnsiTheme="minorHAnsi"/>
          <w:color w:val="000000"/>
          <w:lang w:val="en-US"/>
        </w:rPr>
        <w:t>Ford</w:t>
      </w:r>
      <w:r w:rsidR="00197BA9">
        <w:rPr>
          <w:rFonts w:asciiTheme="minorHAnsi" w:hAnsiTheme="minorHAnsi"/>
          <w:color w:val="000000"/>
        </w:rPr>
        <w:t>,</w:t>
      </w:r>
      <w:r w:rsidR="00A84FBE" w:rsidRPr="005A464E">
        <w:rPr>
          <w:rFonts w:asciiTheme="minorHAnsi" w:hAnsiTheme="minorHAnsi"/>
          <w:color w:val="000000"/>
        </w:rPr>
        <w:t xml:space="preserve"> </w:t>
      </w:r>
      <w:r w:rsidR="00197BA9">
        <w:rPr>
          <w:rFonts w:asciiTheme="minorHAnsi" w:hAnsiTheme="minorHAnsi" w:cs="Arial"/>
          <w:color w:val="000000"/>
          <w:shd w:val="clear" w:color="auto" w:fill="FFFFFF"/>
          <w:lang w:val="en-US"/>
        </w:rPr>
        <w:t>Pope</w:t>
      </w:r>
      <w:r w:rsidR="00197BA9">
        <w:rPr>
          <w:rFonts w:asciiTheme="minorHAnsi" w:hAnsiTheme="minorHAnsi" w:cs="Arial"/>
          <w:color w:val="000000"/>
          <w:shd w:val="clear" w:color="auto" w:fill="FFFFFF"/>
        </w:rPr>
        <w:t xml:space="preserve">, </w:t>
      </w:r>
      <w:r w:rsidR="00197BA9">
        <w:rPr>
          <w:rFonts w:asciiTheme="minorHAnsi" w:hAnsiTheme="minorHAnsi" w:cs="Arial"/>
          <w:color w:val="000000"/>
          <w:shd w:val="clear" w:color="auto" w:fill="FFFFFF"/>
          <w:lang w:val="en-US"/>
        </w:rPr>
        <w:t>Hunt</w:t>
      </w:r>
      <w:r w:rsidR="0063629E">
        <w:rPr>
          <w:rFonts w:asciiTheme="minorHAnsi" w:hAnsiTheme="minorHAnsi" w:cs="Arial"/>
          <w:color w:val="000000"/>
          <w:shd w:val="clear" w:color="auto" w:fill="FFFFFF"/>
        </w:rPr>
        <w:t>, και</w:t>
      </w:r>
      <w:r w:rsidR="00197BA9" w:rsidRPr="00197BA9">
        <w:rPr>
          <w:rFonts w:asciiTheme="minorHAnsi" w:hAnsiTheme="minorHAnsi" w:cs="Arial"/>
          <w:color w:val="000000"/>
          <w:shd w:val="clear" w:color="auto" w:fill="FFFFFF"/>
        </w:rPr>
        <w:t xml:space="preserve"> </w:t>
      </w:r>
      <w:r w:rsidR="00197BA9" w:rsidRPr="005A464E">
        <w:rPr>
          <w:rFonts w:asciiTheme="minorHAnsi" w:hAnsiTheme="minorHAnsi" w:cs="Arial"/>
          <w:color w:val="000000"/>
          <w:shd w:val="clear" w:color="auto" w:fill="FFFFFF"/>
          <w:lang w:val="en-US"/>
        </w:rPr>
        <w:t>Gerald</w:t>
      </w:r>
      <w:r w:rsidR="00197BA9" w:rsidRPr="005A464E">
        <w:rPr>
          <w:rFonts w:asciiTheme="minorHAnsi" w:hAnsiTheme="minorHAnsi"/>
          <w:color w:val="000000"/>
        </w:rPr>
        <w:t xml:space="preserve"> </w:t>
      </w:r>
      <w:r w:rsidR="00A84FBE" w:rsidRPr="005A464E">
        <w:rPr>
          <w:rFonts w:asciiTheme="minorHAnsi" w:hAnsiTheme="minorHAnsi"/>
          <w:color w:val="000000"/>
        </w:rPr>
        <w:t>(2004)</w:t>
      </w:r>
      <w:r w:rsidR="00197BA9">
        <w:rPr>
          <w:rFonts w:asciiTheme="minorHAnsi" w:hAnsiTheme="minorHAnsi"/>
          <w:color w:val="000000"/>
        </w:rPr>
        <w:t>,</w:t>
      </w:r>
      <w:r w:rsidR="00AA0B39">
        <w:rPr>
          <w:rFonts w:asciiTheme="minorHAnsi" w:hAnsiTheme="minorHAnsi"/>
          <w:color w:val="000000"/>
        </w:rPr>
        <w:t xml:space="preserve"> καθώς και οι</w:t>
      </w:r>
      <w:r w:rsidR="00A84FBE" w:rsidRPr="005A464E">
        <w:rPr>
          <w:rFonts w:asciiTheme="minorHAnsi" w:hAnsiTheme="minorHAnsi"/>
          <w:color w:val="000000"/>
        </w:rPr>
        <w:t xml:space="preserve"> </w:t>
      </w:r>
      <w:r w:rsidR="00A84FBE" w:rsidRPr="005A464E">
        <w:rPr>
          <w:rFonts w:asciiTheme="minorHAnsi" w:hAnsiTheme="minorHAnsi"/>
          <w:color w:val="000000"/>
          <w:lang w:val="en-US"/>
        </w:rPr>
        <w:t>Hasanzadeh</w:t>
      </w:r>
      <w:r w:rsidR="00516D72">
        <w:rPr>
          <w:rFonts w:asciiTheme="minorHAnsi" w:hAnsiTheme="minorHAnsi"/>
          <w:color w:val="000000"/>
        </w:rPr>
        <w:t xml:space="preserve">, </w:t>
      </w:r>
      <w:r w:rsidR="00516D72" w:rsidRPr="005A464E">
        <w:rPr>
          <w:rFonts w:asciiTheme="minorHAnsi" w:hAnsiTheme="minorHAnsi" w:cs="Arial"/>
          <w:color w:val="000000"/>
          <w:shd w:val="clear" w:color="auto" w:fill="FFFFFF"/>
          <w:lang w:val="en-US"/>
        </w:rPr>
        <w:t>Shamsoddinim</w:t>
      </w:r>
      <w:r w:rsidR="00516D72" w:rsidRPr="00516D72">
        <w:rPr>
          <w:rFonts w:asciiTheme="minorHAnsi" w:hAnsiTheme="minorHAnsi" w:cs="Arial"/>
          <w:color w:val="000000"/>
          <w:shd w:val="clear" w:color="auto" w:fill="FFFFFF"/>
        </w:rPr>
        <w:t xml:space="preserve">, </w:t>
      </w:r>
      <w:r w:rsidR="00516D72" w:rsidRPr="005A464E">
        <w:rPr>
          <w:rFonts w:asciiTheme="minorHAnsi" w:hAnsiTheme="minorHAnsi" w:cs="Arial"/>
          <w:color w:val="000000"/>
          <w:shd w:val="clear" w:color="auto" w:fill="FFFFFF"/>
          <w:lang w:val="en-US"/>
        </w:rPr>
        <w:t>Karimi</w:t>
      </w:r>
      <w:r w:rsidR="00516D72" w:rsidRPr="00516D72">
        <w:rPr>
          <w:rFonts w:asciiTheme="minorHAnsi" w:hAnsiTheme="minorHAnsi" w:cs="Arial"/>
          <w:color w:val="000000"/>
          <w:shd w:val="clear" w:color="auto" w:fill="FFFFFF"/>
        </w:rPr>
        <w:t xml:space="preserve">, </w:t>
      </w:r>
      <w:r w:rsidR="00516D72" w:rsidRPr="005A464E">
        <w:rPr>
          <w:rFonts w:asciiTheme="minorHAnsi" w:hAnsiTheme="minorHAnsi" w:cs="Arial"/>
          <w:color w:val="000000"/>
          <w:shd w:val="clear" w:color="auto" w:fill="FFFFFF"/>
          <w:lang w:val="en-US"/>
        </w:rPr>
        <w:t>Moonaghi</w:t>
      </w:r>
      <w:r w:rsidR="0063629E">
        <w:rPr>
          <w:rFonts w:asciiTheme="minorHAnsi" w:hAnsiTheme="minorHAnsi" w:cs="Arial"/>
          <w:color w:val="000000"/>
          <w:shd w:val="clear" w:color="auto" w:fill="FFFFFF"/>
        </w:rPr>
        <w:t>, και</w:t>
      </w:r>
      <w:r w:rsidR="00516D72" w:rsidRPr="00516D72">
        <w:rPr>
          <w:rFonts w:asciiTheme="minorHAnsi" w:hAnsiTheme="minorHAnsi" w:cs="Arial"/>
          <w:color w:val="000000"/>
          <w:shd w:val="clear" w:color="auto" w:fill="FFFFFF"/>
        </w:rPr>
        <w:t xml:space="preserve"> </w:t>
      </w:r>
      <w:r w:rsidR="00516D72" w:rsidRPr="005A464E">
        <w:rPr>
          <w:rFonts w:asciiTheme="minorHAnsi" w:hAnsiTheme="minorHAnsi" w:cs="Arial"/>
          <w:color w:val="000000"/>
          <w:shd w:val="clear" w:color="auto" w:fill="FFFFFF"/>
          <w:lang w:val="en-US"/>
        </w:rPr>
        <w:t>Ebrahimzadeh</w:t>
      </w:r>
      <w:r w:rsidR="00516D72" w:rsidRPr="005A464E">
        <w:rPr>
          <w:rFonts w:asciiTheme="minorHAnsi" w:hAnsiTheme="minorHAnsi"/>
          <w:color w:val="000000"/>
        </w:rPr>
        <w:t xml:space="preserve"> </w:t>
      </w:r>
      <w:r w:rsidR="00A84FBE" w:rsidRPr="005A464E">
        <w:rPr>
          <w:rFonts w:asciiTheme="minorHAnsi" w:hAnsiTheme="minorHAnsi"/>
          <w:color w:val="000000"/>
        </w:rPr>
        <w:t xml:space="preserve">(2011) σε πληθυσμό Ιρανών ασθενών. </w:t>
      </w:r>
    </w:p>
    <w:p w:rsidR="0056745C" w:rsidRPr="00E50302" w:rsidRDefault="0056745C" w:rsidP="000B7506">
      <w:pPr>
        <w:pStyle w:val="Web"/>
        <w:shd w:val="clear" w:color="auto" w:fill="FFFFFF"/>
        <w:spacing w:after="0" w:line="360" w:lineRule="auto"/>
        <w:jc w:val="both"/>
        <w:rPr>
          <w:rFonts w:asciiTheme="minorHAnsi" w:hAnsiTheme="minorHAnsi" w:cstheme="minorHAnsi"/>
        </w:rPr>
      </w:pPr>
      <w:r w:rsidRPr="00E50302">
        <w:rPr>
          <w:rFonts w:asciiTheme="minorHAnsi" w:hAnsiTheme="minorHAnsi" w:cstheme="minorHAnsi"/>
        </w:rPr>
        <w:t xml:space="preserve">Τόσο πριν όσο και μετά την παρέμβαση, η συμμόρφωση συνολικά ήταν υψηλότερη στην ομάδα παρέμβασης σε σύγκριση με την ομάδα ελέγχου. Επίσης, σημειώθηκε σημαντική βελτίωση στη συμμόρφωση μόνο στην ομάδα παρέμβασης ενώ στην ομάδα ελέγχου παρέμεινε σε παρόμοια επίπεδα. Κατά συνέπεια, ο βαθμός μεταβολής της συνολικής βαθμολογίας συμμόρφωσης βρέθηκε να διαφέρει σημαντικά μεταξύ των </w:t>
      </w:r>
      <w:r w:rsidR="00AA0B39" w:rsidRPr="00E50302">
        <w:rPr>
          <w:rFonts w:asciiTheme="minorHAnsi" w:hAnsiTheme="minorHAnsi" w:cstheme="minorHAnsi"/>
        </w:rPr>
        <w:t>δύο</w:t>
      </w:r>
      <w:r w:rsidRPr="00E50302">
        <w:rPr>
          <w:rFonts w:asciiTheme="minorHAnsi" w:hAnsiTheme="minorHAnsi" w:cstheme="minorHAnsi"/>
        </w:rPr>
        <w:t xml:space="preserve"> ομάδων. </w:t>
      </w:r>
    </w:p>
    <w:p w:rsidR="00C21971" w:rsidRPr="00E50302" w:rsidRDefault="0056745C" w:rsidP="005A464E">
      <w:pPr>
        <w:pStyle w:val="nouk"/>
        <w:rPr>
          <w:color w:val="00B050"/>
        </w:rPr>
      </w:pPr>
      <w:r w:rsidRPr="00E50302">
        <w:t xml:space="preserve">Σχετικά με τη συμμόρφωση </w:t>
      </w:r>
      <w:r w:rsidR="00FD3CD2" w:rsidRPr="00E50302">
        <w:t>σ</w:t>
      </w:r>
      <w:r w:rsidRPr="00E50302">
        <w:t xml:space="preserve">τα υγρά και </w:t>
      </w:r>
      <w:r w:rsidR="00ED66FF" w:rsidRPr="00E50302">
        <w:t>σ</w:t>
      </w:r>
      <w:r w:rsidRPr="00E50302">
        <w:t>τη διαιτητική συμπεριφορά, ούτε π</w:t>
      </w:r>
      <w:r w:rsidR="00FD3CD2" w:rsidRPr="00E50302">
        <w:t>ριν ούτε μετά την παρέμβαση</w:t>
      </w:r>
      <w:r w:rsidRPr="00E50302">
        <w:t xml:space="preserve"> υπήρχαν διαφορές μεταξύ των ομάδων. Ωστόσο σημειώθηκε σημαντική βελτίωση στη συμμόρφωση μόνο στην ομάδα παρέμβασης ενώ στην ομάδα ελέγχου παρέμεινε σε παρόμοια επίπεδα. Κατά συνέπεια, ο βαθμός μεταβολής</w:t>
      </w:r>
      <w:r w:rsidR="00ED66FF" w:rsidRPr="00E50302">
        <w:t xml:space="preserve"> της βαθμολογίας συμμόρφωσης σ</w:t>
      </w:r>
      <w:r w:rsidRPr="00E50302">
        <w:t xml:space="preserve">τα υγρά και </w:t>
      </w:r>
      <w:r w:rsidR="00ED66FF" w:rsidRPr="00E50302">
        <w:t>σ</w:t>
      </w:r>
      <w:r w:rsidRPr="00E50302">
        <w:t xml:space="preserve">τη διαιτητική συμπεριφορά βρέθηκε να διαφέρει σημαντικά μεταξύ των </w:t>
      </w:r>
      <w:r w:rsidR="00AA0B39" w:rsidRPr="00E50302">
        <w:t xml:space="preserve">δύο </w:t>
      </w:r>
      <w:r w:rsidRPr="00E50302">
        <w:t xml:space="preserve">ομάδων. </w:t>
      </w:r>
      <w:r w:rsidR="000B1E01" w:rsidRPr="00E50302">
        <w:t>Οι</w:t>
      </w:r>
      <w:r w:rsidR="000B1E01" w:rsidRPr="00E50302">
        <w:rPr>
          <w:color w:val="00B050"/>
        </w:rPr>
        <w:t xml:space="preserve"> </w:t>
      </w:r>
      <w:r w:rsidR="000B1E01" w:rsidRPr="00E50302">
        <w:rPr>
          <w:rStyle w:val="element-citation"/>
          <w:color w:val="000000"/>
          <w:lang w:val="en-US"/>
        </w:rPr>
        <w:t>Sandlin</w:t>
      </w:r>
      <w:r w:rsidR="000B1E01" w:rsidRPr="00E50302">
        <w:rPr>
          <w:rStyle w:val="element-citation"/>
          <w:color w:val="000000"/>
        </w:rPr>
        <w:t xml:space="preserve"> </w:t>
      </w:r>
      <w:r w:rsidR="00566CAA" w:rsidRPr="00E50302">
        <w:rPr>
          <w:rStyle w:val="element-citation"/>
          <w:color w:val="000000"/>
        </w:rPr>
        <w:t>et al</w:t>
      </w:r>
      <w:r w:rsidR="004B226D" w:rsidRPr="00E50302">
        <w:rPr>
          <w:rStyle w:val="element-citation"/>
          <w:color w:val="000000"/>
        </w:rPr>
        <w:t>.</w:t>
      </w:r>
      <w:r w:rsidR="000B1E01" w:rsidRPr="00E50302">
        <w:rPr>
          <w:rStyle w:val="element-citation"/>
          <w:color w:val="000000"/>
        </w:rPr>
        <w:t xml:space="preserve"> (2013) </w:t>
      </w:r>
      <w:r w:rsidR="000B1E01" w:rsidRPr="00E50302">
        <w:rPr>
          <w:color w:val="000000"/>
        </w:rPr>
        <w:t>έδειξαν</w:t>
      </w:r>
      <w:r w:rsidR="00FD3CD2" w:rsidRPr="00E50302">
        <w:rPr>
          <w:color w:val="000000"/>
        </w:rPr>
        <w:t>, επίσης,</w:t>
      </w:r>
      <w:r w:rsidR="000B1E01" w:rsidRPr="00E50302">
        <w:rPr>
          <w:color w:val="000000"/>
        </w:rPr>
        <w:t xml:space="preserve"> σημαντική αύξηση του επιπέδου συμμόρφωσης στα φωσφοροδεσμευτικά από 44% πριν την</w:t>
      </w:r>
      <w:r w:rsidR="0078495A" w:rsidRPr="00E50302">
        <w:rPr>
          <w:color w:val="000000"/>
        </w:rPr>
        <w:t xml:space="preserve"> </w:t>
      </w:r>
      <w:r w:rsidR="000B1E01" w:rsidRPr="00E50302">
        <w:rPr>
          <w:color w:val="000000"/>
        </w:rPr>
        <w:t>παρέμβαση στο 72% μετά την παρέμβαση</w:t>
      </w:r>
      <w:r w:rsidR="00FD3CD2" w:rsidRPr="00E50302">
        <w:rPr>
          <w:color w:val="000000"/>
        </w:rPr>
        <w:t>.</w:t>
      </w:r>
    </w:p>
    <w:p w:rsidR="00AA0B39" w:rsidRPr="00E50302" w:rsidRDefault="00AA0B39" w:rsidP="005A464E">
      <w:pPr>
        <w:pStyle w:val="nouk"/>
      </w:pPr>
    </w:p>
    <w:p w:rsidR="000B1E01" w:rsidRDefault="000B1E01" w:rsidP="005A464E">
      <w:pPr>
        <w:pStyle w:val="nouk"/>
      </w:pPr>
      <w:r w:rsidRPr="00E50302">
        <w:t xml:space="preserve">Η μελέτη αυτή έδειξε ότι η εκπαιδευτική παρέμβαση μπορεί να βελτιώσει την </w:t>
      </w:r>
      <w:r w:rsidR="00A43379" w:rsidRPr="00E50302">
        <w:t>ΣΥ</w:t>
      </w:r>
      <w:r w:rsidRPr="00E50302">
        <w:t>ΠΖ μέσα από τη βελτίωση της ενημέρωσης και την εξάλειψη των παρερμηνειών</w:t>
      </w:r>
      <w:r w:rsidRPr="005A464E">
        <w:t xml:space="preserve"> σχετικά με τη νόσο και τη διαχείρισή της από τους ασθενείς. Πριν την παρέμβαση, η </w:t>
      </w:r>
      <w:r w:rsidRPr="00E50302">
        <w:t>συνολική βαθμολογία ποιότητας ζωής δεν διέφερε</w:t>
      </w:r>
      <w:r w:rsidRPr="005A464E">
        <w:t xml:space="preserve"> σημαντικά μεταξύ των ομάδων. Μετά την παρέμβαση</w:t>
      </w:r>
      <w:r w:rsidR="00ED66FF">
        <w:t>,</w:t>
      </w:r>
      <w:r w:rsidRPr="005A464E">
        <w:t xml:space="preserve"> </w:t>
      </w:r>
      <w:r w:rsidR="00ED66FF">
        <w:t>όμως,</w:t>
      </w:r>
      <w:r w:rsidRPr="005A464E">
        <w:t xml:space="preserve"> τα άτομα της ομάδας παρέμβασης είχαν σημαντικά υψηλότερη βαθμολογία, δηλαδή καλύτερη ποιότητα ζωής σε σύγκριση με τα άτομα της ομάδας ελέγχου. Επίσης, μετά την παρέμβαση, η ποιότητα ζωής βελτιώθηκε σημαντικά μόνο στην ομάδα παρέμβασης, ενώ στην ομάδα ελέγχου παρέμεινε σταθερή. Όπως ήταν αναμενόμενο, ο βαθμός βελτίωσης της ποιότητας ζωής διέφερε σημαντικά μεταξύ των ομάδων.</w:t>
      </w:r>
      <w:r w:rsidR="0078495A">
        <w:t xml:space="preserve"> </w:t>
      </w:r>
    </w:p>
    <w:p w:rsidR="00F80C9B" w:rsidRPr="005A464E" w:rsidRDefault="00F80C9B" w:rsidP="005A464E">
      <w:pPr>
        <w:pStyle w:val="nouk"/>
      </w:pPr>
    </w:p>
    <w:p w:rsidR="0046526E" w:rsidRPr="00E50302" w:rsidRDefault="00ED66FF" w:rsidP="005A464E">
      <w:pPr>
        <w:pStyle w:val="nouk"/>
        <w:rPr>
          <w:szCs w:val="18"/>
        </w:rPr>
      </w:pPr>
      <w:r>
        <w:t>Όσον</w:t>
      </w:r>
      <w:r w:rsidR="0078495A">
        <w:t xml:space="preserve"> </w:t>
      </w:r>
      <w:r w:rsidR="00FD3CD2" w:rsidRPr="005A464E">
        <w:t xml:space="preserve">αφορά τη </w:t>
      </w:r>
      <w:r w:rsidR="00FD3CD2" w:rsidRPr="00E50302">
        <w:t>διάσταση «</w:t>
      </w:r>
      <w:r w:rsidR="00FD3CD2" w:rsidRPr="00E50302">
        <w:rPr>
          <w:szCs w:val="18"/>
        </w:rPr>
        <w:t xml:space="preserve">Διαπροσωπικές σχέσεις», </w:t>
      </w:r>
      <w:r w:rsidR="00FD3CD2" w:rsidRPr="00E50302">
        <w:t>η</w:t>
      </w:r>
      <w:r w:rsidR="0046526E" w:rsidRPr="00E50302">
        <w:t xml:space="preserve"> βαθμολογία στη διάσταση </w:t>
      </w:r>
      <w:r w:rsidR="00FD3CD2" w:rsidRPr="00E50302">
        <w:t xml:space="preserve">αυτή </w:t>
      </w:r>
      <w:r w:rsidR="0046526E" w:rsidRPr="00E50302">
        <w:rPr>
          <w:szCs w:val="18"/>
        </w:rPr>
        <w:t xml:space="preserve">δεν βρέθηκε να διαφέρει σημαντικά μεταξύ των ομάδων ούτε πριν αλλά ούτε και μετά την παρέμβαση. Επίσης, σε καμία από τις </w:t>
      </w:r>
      <w:r w:rsidR="00F80C9B" w:rsidRPr="00E50302">
        <w:rPr>
          <w:szCs w:val="18"/>
        </w:rPr>
        <w:t>δύο</w:t>
      </w:r>
      <w:r w:rsidR="0046526E" w:rsidRPr="00E50302">
        <w:rPr>
          <w:szCs w:val="18"/>
        </w:rPr>
        <w:t xml:space="preserve"> ομάδες δεν σημειώθηκε σημαντική μεταβολή στη διάσταση αυτή. Συνεπώς, και ο βαθμός μεταβολής ήταν παρόμοιος στις </w:t>
      </w:r>
      <w:r w:rsidR="00F80C9B" w:rsidRPr="00E50302">
        <w:rPr>
          <w:szCs w:val="18"/>
        </w:rPr>
        <w:t>δύο</w:t>
      </w:r>
      <w:r w:rsidR="0046526E" w:rsidRPr="00E50302">
        <w:rPr>
          <w:szCs w:val="18"/>
        </w:rPr>
        <w:t xml:space="preserve"> ομάδες. </w:t>
      </w:r>
    </w:p>
    <w:p w:rsidR="00F80C9B" w:rsidRPr="00E50302" w:rsidRDefault="00F80C9B" w:rsidP="005A464E">
      <w:pPr>
        <w:pStyle w:val="nouk"/>
        <w:rPr>
          <w:szCs w:val="18"/>
        </w:rPr>
      </w:pPr>
    </w:p>
    <w:p w:rsidR="0046526E" w:rsidRPr="00E50302" w:rsidRDefault="0046526E" w:rsidP="005A464E">
      <w:pPr>
        <w:pStyle w:val="nouk"/>
      </w:pPr>
      <w:r w:rsidRPr="00E50302">
        <w:t>Ού</w:t>
      </w:r>
      <w:r w:rsidR="00FD3CD2" w:rsidRPr="00E50302">
        <w:t>τε πριν ούτε μετά την παρέμβαση</w:t>
      </w:r>
      <w:r w:rsidRPr="00E50302">
        <w:t xml:space="preserve"> υπήρχαν διαφορές στις διαστάσεις «</w:t>
      </w:r>
      <w:r w:rsidR="00FD3CD2" w:rsidRPr="00E50302">
        <w:rPr>
          <w:szCs w:val="18"/>
        </w:rPr>
        <w:t>Ευεξία</w:t>
      </w:r>
      <w:r w:rsidRPr="00E50302">
        <w:rPr>
          <w:szCs w:val="18"/>
        </w:rPr>
        <w:t>» και «</w:t>
      </w:r>
      <w:r w:rsidR="00FD3CD2" w:rsidRPr="00E50302">
        <w:rPr>
          <w:szCs w:val="18"/>
        </w:rPr>
        <w:t>Πνευματικότητα</w:t>
      </w:r>
      <w:r w:rsidRPr="00E50302">
        <w:rPr>
          <w:szCs w:val="18"/>
        </w:rPr>
        <w:t xml:space="preserve">» </w:t>
      </w:r>
      <w:r w:rsidRPr="00E50302">
        <w:t>μεταξύ των ομάδων. Ωστόσο</w:t>
      </w:r>
      <w:r w:rsidR="00ED66FF" w:rsidRPr="00E50302">
        <w:t>,</w:t>
      </w:r>
      <w:r w:rsidRPr="00E50302">
        <w:t xml:space="preserve"> σημειώθηκε σημαντική βελτίωση στις διαστάσεις αυτές μόνο στην ομάδα παρέμβασης ενώ στην ομάδα ελέγχου παρέμειναν σε παρόμοια επίπεδα. Κατά συνέπεια, ο βαθμός μεταβολής των βαθμολογιών στις διαστάσεις αυτές βρέθηκε να διαφέρει σημαντικά μεταξύ των </w:t>
      </w:r>
      <w:r w:rsidR="00F80C9B" w:rsidRPr="00E50302">
        <w:t>δύο</w:t>
      </w:r>
      <w:r w:rsidRPr="00E50302">
        <w:t xml:space="preserve"> ομάδων.</w:t>
      </w:r>
    </w:p>
    <w:p w:rsidR="000B7506" w:rsidRDefault="0056745C" w:rsidP="000B7506">
      <w:pPr>
        <w:pStyle w:val="nouk"/>
        <w:rPr>
          <w:color w:val="00B050"/>
        </w:rPr>
      </w:pPr>
      <w:r w:rsidRPr="00E50302">
        <w:t>Τόσο πριν όσο και μετά την παρέμβαση, η βαθμολογία στη διάσταση «</w:t>
      </w:r>
      <w:r w:rsidR="003A7874" w:rsidRPr="00E50302">
        <w:rPr>
          <w:szCs w:val="18"/>
        </w:rPr>
        <w:t>Λειτουργικότητα</w:t>
      </w:r>
      <w:r w:rsidRPr="00E50302">
        <w:rPr>
          <w:szCs w:val="18"/>
        </w:rPr>
        <w:t>»</w:t>
      </w:r>
      <w:r w:rsidRPr="00E50302">
        <w:t xml:space="preserve"> ήταν</w:t>
      </w:r>
      <w:r w:rsidRPr="005A464E">
        <w:t xml:space="preserve"> υψηλότερη στην ομάδα παρέμβασης, που υποδηλώνει καλύτερη λειτουργικότητα, σε σύγκριση με την ομάδα ελέγχου. Επίσης, σημειώθηκε σημαντική βελτίωση στη λειτουργικότητα μόνο στην ομάδα παρέμβασης ενώ στην ομάδα ελέγχου παρέμεινε σε παρόμοια επίπεδα. Κατά συνέπεια, ο βαθμός μεταβολής της βαθμολογίας στη διάσταση αυτή βρέθηκε να διαφέρει σημαντικά μεταξύ των </w:t>
      </w:r>
      <w:r w:rsidR="00F80C9B">
        <w:t>δύο</w:t>
      </w:r>
      <w:r w:rsidRPr="005A464E">
        <w:t xml:space="preserve"> </w:t>
      </w:r>
      <w:r w:rsidRPr="00F80C9B">
        <w:t>ομάδων</w:t>
      </w:r>
      <w:r w:rsidR="00F80C9B" w:rsidRPr="00F80C9B">
        <w:t>.</w:t>
      </w:r>
    </w:p>
    <w:p w:rsidR="00F80C9B" w:rsidRPr="000B7506" w:rsidRDefault="00F80C9B" w:rsidP="000B7506">
      <w:pPr>
        <w:pStyle w:val="nouk"/>
        <w:rPr>
          <w:color w:val="00B050"/>
        </w:rPr>
      </w:pPr>
    </w:p>
    <w:p w:rsidR="000B1E01" w:rsidRDefault="000B1E01" w:rsidP="000B7506">
      <w:pPr>
        <w:pStyle w:val="nouk"/>
        <w:rPr>
          <w:rFonts w:asciiTheme="minorHAnsi" w:hAnsiTheme="minorHAnsi" w:cstheme="minorHAnsi"/>
        </w:rPr>
      </w:pPr>
      <w:r w:rsidRPr="005A464E">
        <w:rPr>
          <w:rFonts w:asciiTheme="minorHAnsi" w:hAnsiTheme="minorHAnsi" w:cstheme="minorHAnsi"/>
        </w:rPr>
        <w:t xml:space="preserve">Τα </w:t>
      </w:r>
      <w:r w:rsidRPr="00E50302">
        <w:rPr>
          <w:rFonts w:asciiTheme="minorHAnsi" w:hAnsiTheme="minorHAnsi" w:cstheme="minorHAnsi"/>
        </w:rPr>
        <w:t>αποτ</w:t>
      </w:r>
      <w:r w:rsidR="00453C96" w:rsidRPr="00E50302">
        <w:rPr>
          <w:rFonts w:asciiTheme="minorHAnsi" w:hAnsiTheme="minorHAnsi" w:cstheme="minorHAnsi"/>
        </w:rPr>
        <w:t>ελέσματα συμφωνούν</w:t>
      </w:r>
      <w:r w:rsidRPr="00E50302">
        <w:rPr>
          <w:rFonts w:asciiTheme="minorHAnsi" w:hAnsiTheme="minorHAnsi" w:cstheme="minorHAnsi"/>
        </w:rPr>
        <w:t xml:space="preserve"> και με προηγούμενες</w:t>
      </w:r>
      <w:r w:rsidRPr="005A464E">
        <w:rPr>
          <w:rFonts w:asciiTheme="minorHAnsi" w:hAnsiTheme="minorHAnsi" w:cstheme="minorHAnsi"/>
        </w:rPr>
        <w:t xml:space="preserve"> έρευνες που τονίζουν τις θετικές επιδράσεις της εκπαίδευσης στην ψυχική και κοινωνική πτυχή της ποιότητας ζωής. </w:t>
      </w:r>
      <w:r w:rsidRPr="00E06D8C">
        <w:rPr>
          <w:rFonts w:asciiTheme="minorHAnsi" w:hAnsiTheme="minorHAnsi" w:cstheme="minorHAnsi"/>
        </w:rPr>
        <w:t xml:space="preserve">Συγκεκριμένα, οι </w:t>
      </w:r>
      <w:hyperlink r:id="rId84" w:anchor="ref2" w:history="1">
        <w:r w:rsidRPr="00E06D8C">
          <w:rPr>
            <w:rStyle w:val="-"/>
            <w:rFonts w:asciiTheme="minorHAnsi" w:hAnsiTheme="minorHAnsi" w:cstheme="minorHAnsi"/>
            <w:color w:val="auto"/>
            <w:u w:val="none"/>
            <w:lang w:val="en-US"/>
          </w:rPr>
          <w:t>Baraz</w:t>
        </w:r>
        <w:r w:rsidR="00AB454B">
          <w:rPr>
            <w:rStyle w:val="-"/>
            <w:rFonts w:asciiTheme="minorHAnsi" w:hAnsiTheme="minorHAnsi" w:cstheme="minorHAnsi"/>
            <w:color w:val="auto"/>
            <w:u w:val="none"/>
          </w:rPr>
          <w:t>,</w:t>
        </w:r>
        <w:hyperlink r:id="rId85" w:history="1">
          <w:r w:rsidR="000A3662" w:rsidRPr="00E06D8C">
            <w:rPr>
              <w:rStyle w:val="-"/>
              <w:rFonts w:asciiTheme="minorHAnsi" w:hAnsiTheme="minorHAnsi" w:cstheme="minorHAnsi"/>
              <w:color w:val="auto"/>
              <w:u w:val="none"/>
              <w:bdr w:val="none" w:sz="0" w:space="0" w:color="auto" w:frame="1"/>
              <w:shd w:val="clear" w:color="auto" w:fill="FFFFFF"/>
            </w:rPr>
            <w:t xml:space="preserve"> </w:t>
          </w:r>
          <w:r w:rsidR="000A3662" w:rsidRPr="00E06D8C">
            <w:rPr>
              <w:rStyle w:val="-"/>
              <w:rFonts w:asciiTheme="minorHAnsi" w:hAnsiTheme="minorHAnsi" w:cstheme="minorHAnsi"/>
              <w:color w:val="auto"/>
              <w:u w:val="none"/>
              <w:bdr w:val="none" w:sz="0" w:space="0" w:color="auto" w:frame="1"/>
              <w:shd w:val="clear" w:color="auto" w:fill="FFFFFF"/>
              <w:lang w:val="en-US"/>
            </w:rPr>
            <w:t>Mohammadi</w:t>
          </w:r>
        </w:hyperlink>
        <w:r w:rsidR="00AF10FE" w:rsidRPr="00C71CA6">
          <w:t>,</w:t>
        </w:r>
        <w:r w:rsidR="0063629E">
          <w:rPr>
            <w:rFonts w:asciiTheme="minorHAnsi" w:hAnsiTheme="minorHAnsi" w:cstheme="minorHAnsi"/>
            <w:shd w:val="clear" w:color="auto" w:fill="FFFFFF"/>
          </w:rPr>
          <w:t xml:space="preserve"> και</w:t>
        </w:r>
        <w:hyperlink r:id="rId86" w:history="1">
          <w:r w:rsidR="000A3662" w:rsidRPr="00E06D8C">
            <w:rPr>
              <w:rStyle w:val="-"/>
              <w:rFonts w:asciiTheme="minorHAnsi" w:hAnsiTheme="minorHAnsi" w:cstheme="minorHAnsi"/>
              <w:color w:val="auto"/>
              <w:u w:val="none"/>
              <w:bdr w:val="none" w:sz="0" w:space="0" w:color="auto" w:frame="1"/>
              <w:shd w:val="clear" w:color="auto" w:fill="FFFFFF"/>
            </w:rPr>
            <w:t xml:space="preserve"> </w:t>
          </w:r>
          <w:r w:rsidR="000A3662" w:rsidRPr="00E06D8C">
            <w:rPr>
              <w:rStyle w:val="-"/>
              <w:rFonts w:asciiTheme="minorHAnsi" w:hAnsiTheme="minorHAnsi" w:cstheme="minorHAnsi"/>
              <w:color w:val="auto"/>
              <w:u w:val="none"/>
              <w:bdr w:val="none" w:sz="0" w:space="0" w:color="auto" w:frame="1"/>
              <w:shd w:val="clear" w:color="auto" w:fill="FFFFFF"/>
              <w:lang w:val="en-US"/>
            </w:rPr>
            <w:t>Broumand</w:t>
          </w:r>
        </w:hyperlink>
        <w:r w:rsidR="00AF10FE" w:rsidRPr="00C71CA6">
          <w:t>,</w:t>
        </w:r>
        <w:r w:rsidR="000A3662" w:rsidRPr="00E06D8C">
          <w:rPr>
            <w:rStyle w:val="-"/>
            <w:rFonts w:asciiTheme="minorHAnsi" w:hAnsiTheme="minorHAnsi" w:cstheme="minorHAnsi"/>
            <w:color w:val="auto"/>
            <w:u w:val="none"/>
          </w:rPr>
          <w:t xml:space="preserve"> </w:t>
        </w:r>
        <w:r w:rsidRPr="00E06D8C">
          <w:rPr>
            <w:rStyle w:val="-"/>
            <w:rFonts w:asciiTheme="minorHAnsi" w:hAnsiTheme="minorHAnsi" w:cstheme="minorHAnsi"/>
            <w:color w:val="auto"/>
            <w:u w:val="none"/>
          </w:rPr>
          <w:t>(2005</w:t>
        </w:r>
      </w:hyperlink>
      <w:r w:rsidRPr="00E06D8C">
        <w:rPr>
          <w:rFonts w:asciiTheme="minorHAnsi" w:hAnsiTheme="minorHAnsi" w:cstheme="minorHAnsi"/>
        </w:rPr>
        <w:t xml:space="preserve">) </w:t>
      </w:r>
      <w:r w:rsidR="00E06D8C" w:rsidRPr="00E06D8C">
        <w:rPr>
          <w:rFonts w:asciiTheme="minorHAnsi" w:hAnsiTheme="minorHAnsi" w:cstheme="minorHAnsi"/>
        </w:rPr>
        <w:t>και οι</w:t>
      </w:r>
      <w:r w:rsidR="00E06D8C">
        <w:rPr>
          <w:rFonts w:asciiTheme="minorHAnsi" w:hAnsiTheme="minorHAnsi" w:cstheme="minorHAnsi"/>
        </w:rPr>
        <w:t xml:space="preserve"> </w:t>
      </w:r>
      <w:r w:rsidR="00E06D8C" w:rsidRPr="00E06D8C">
        <w:rPr>
          <w:rFonts w:asciiTheme="minorHAnsi" w:hAnsiTheme="minorHAnsi" w:cstheme="minorHAnsi"/>
          <w:shd w:val="clear" w:color="auto" w:fill="FFFFFF"/>
          <w:lang w:val="en-US"/>
        </w:rPr>
        <w:t>Ghadam</w:t>
      </w:r>
      <w:r w:rsidR="00E06D8C" w:rsidRPr="005A464E">
        <w:rPr>
          <w:rFonts w:asciiTheme="minorHAnsi" w:hAnsiTheme="minorHAnsi" w:cstheme="minorHAnsi"/>
        </w:rPr>
        <w:t xml:space="preserve"> </w:t>
      </w:r>
      <w:r w:rsidR="00E06D8C">
        <w:rPr>
          <w:rFonts w:asciiTheme="minorHAnsi" w:hAnsiTheme="minorHAnsi" w:cstheme="minorHAnsi"/>
          <w:lang w:val="en-US"/>
        </w:rPr>
        <w:t>et</w:t>
      </w:r>
      <w:r w:rsidR="00E06D8C" w:rsidRPr="00E06D8C">
        <w:rPr>
          <w:rFonts w:asciiTheme="minorHAnsi" w:hAnsiTheme="minorHAnsi" w:cstheme="minorHAnsi"/>
        </w:rPr>
        <w:t xml:space="preserve"> </w:t>
      </w:r>
      <w:r w:rsidR="00E06D8C">
        <w:rPr>
          <w:rFonts w:asciiTheme="minorHAnsi" w:hAnsiTheme="minorHAnsi" w:cstheme="minorHAnsi"/>
          <w:lang w:val="en-US"/>
        </w:rPr>
        <w:t>al</w:t>
      </w:r>
      <w:r w:rsidR="00E06D8C" w:rsidRPr="00E06D8C">
        <w:rPr>
          <w:rFonts w:asciiTheme="minorHAnsi" w:hAnsiTheme="minorHAnsi" w:cstheme="minorHAnsi"/>
        </w:rPr>
        <w:t xml:space="preserve">. </w:t>
      </w:r>
      <w:r w:rsidR="00E06D8C">
        <w:rPr>
          <w:rFonts w:asciiTheme="minorHAnsi" w:hAnsiTheme="minorHAnsi" w:cstheme="minorHAnsi"/>
        </w:rPr>
        <w:t xml:space="preserve">(2016) </w:t>
      </w:r>
      <w:r w:rsidRPr="005A464E">
        <w:rPr>
          <w:rFonts w:asciiTheme="minorHAnsi" w:hAnsiTheme="minorHAnsi" w:cstheme="minorHAnsi"/>
        </w:rPr>
        <w:t xml:space="preserve">έδειξαν την αύξηση </w:t>
      </w:r>
      <w:r w:rsidR="00F80C9B">
        <w:rPr>
          <w:rFonts w:asciiTheme="minorHAnsi" w:hAnsiTheme="minorHAnsi" w:cstheme="minorHAnsi"/>
        </w:rPr>
        <w:t>του επιπέδου</w:t>
      </w:r>
      <w:r w:rsidRPr="005A464E">
        <w:rPr>
          <w:rFonts w:asciiTheme="minorHAnsi" w:hAnsiTheme="minorHAnsi" w:cstheme="minorHAnsi"/>
        </w:rPr>
        <w:t xml:space="preserve"> ψυχικής ευεξίας μετά από συμβουλευτική παρέμβαση αυτοφροντίδας σε ασθενείς υπό </w:t>
      </w:r>
      <w:r w:rsidR="000B7506">
        <w:rPr>
          <w:rFonts w:asciiTheme="minorHAnsi" w:hAnsiTheme="minorHAnsi" w:cstheme="minorHAnsi"/>
        </w:rPr>
        <w:t>αιμοκάθαρση</w:t>
      </w:r>
      <w:r w:rsidRPr="005A464E">
        <w:rPr>
          <w:rFonts w:asciiTheme="minorHAnsi" w:hAnsiTheme="minorHAnsi" w:cstheme="minorHAnsi"/>
        </w:rPr>
        <w:t xml:space="preserve">. Επιπλέον, σύμφωνα με τους </w:t>
      </w:r>
      <w:hyperlink r:id="rId87" w:anchor="ref17" w:history="1">
        <w:r w:rsidRPr="005A464E">
          <w:rPr>
            <w:rStyle w:val="-"/>
            <w:rFonts w:asciiTheme="minorHAnsi" w:hAnsiTheme="minorHAnsi" w:cstheme="minorHAnsi"/>
            <w:color w:val="auto"/>
            <w:u w:val="none"/>
            <w:lang w:val="en-US"/>
          </w:rPr>
          <w:t>Loos</w:t>
        </w:r>
        <w:r w:rsidRPr="005A464E">
          <w:rPr>
            <w:rStyle w:val="-"/>
            <w:rFonts w:asciiTheme="minorHAnsi" w:hAnsiTheme="minorHAnsi" w:cstheme="minorHAnsi"/>
            <w:color w:val="auto"/>
            <w:u w:val="none"/>
          </w:rPr>
          <w:t>-</w:t>
        </w:r>
        <w:r w:rsidRPr="005A464E">
          <w:rPr>
            <w:rStyle w:val="-"/>
            <w:rFonts w:asciiTheme="minorHAnsi" w:hAnsiTheme="minorHAnsi" w:cstheme="minorHAnsi"/>
            <w:color w:val="auto"/>
            <w:u w:val="none"/>
            <w:lang w:val="en-US"/>
          </w:rPr>
          <w:t>Ayav</w:t>
        </w:r>
        <w:r w:rsidRPr="005A464E">
          <w:rPr>
            <w:rStyle w:val="-"/>
            <w:rFonts w:asciiTheme="minorHAnsi" w:hAnsiTheme="minorHAnsi" w:cstheme="minorHAnsi"/>
            <w:color w:val="auto"/>
            <w:u w:val="none"/>
          </w:rPr>
          <w:t xml:space="preserve"> </w:t>
        </w:r>
        <w:r w:rsidR="00566CAA">
          <w:rPr>
            <w:rStyle w:val="-"/>
            <w:rFonts w:asciiTheme="minorHAnsi" w:hAnsiTheme="minorHAnsi" w:cstheme="minorHAnsi"/>
            <w:color w:val="auto"/>
            <w:u w:val="none"/>
          </w:rPr>
          <w:t>et al</w:t>
        </w:r>
        <w:r w:rsidR="00083EB0">
          <w:rPr>
            <w:rStyle w:val="-"/>
            <w:rFonts w:asciiTheme="minorHAnsi" w:hAnsiTheme="minorHAnsi" w:cstheme="minorHAnsi"/>
            <w:color w:val="auto"/>
            <w:u w:val="none"/>
          </w:rPr>
          <w:t>.</w:t>
        </w:r>
        <w:r w:rsidRPr="005A464E">
          <w:rPr>
            <w:rStyle w:val="-"/>
            <w:rFonts w:asciiTheme="minorHAnsi" w:hAnsiTheme="minorHAnsi" w:cstheme="minorHAnsi"/>
            <w:color w:val="auto"/>
            <w:u w:val="none"/>
          </w:rPr>
          <w:t xml:space="preserve"> (2008</w:t>
        </w:r>
      </w:hyperlink>
      <w:r w:rsidRPr="005A464E">
        <w:rPr>
          <w:rFonts w:asciiTheme="minorHAnsi" w:hAnsiTheme="minorHAnsi" w:cstheme="minorHAnsi"/>
        </w:rPr>
        <w:t>) η συμβουλευτική παρέμβαση αύξησε διαφορετικές πτυχές της ποιότητας ζωής για ένα χρόνο σε ασθενείς που υποβάλλονταν σε αιμοκάθαρση.</w:t>
      </w:r>
    </w:p>
    <w:p w:rsidR="00F80C9B" w:rsidRPr="000B7506" w:rsidRDefault="00F80C9B" w:rsidP="000B7506">
      <w:pPr>
        <w:pStyle w:val="nouk"/>
        <w:rPr>
          <w:color w:val="00B050"/>
        </w:rPr>
      </w:pPr>
    </w:p>
    <w:p w:rsidR="00427854" w:rsidRPr="005A464E" w:rsidRDefault="00427854" w:rsidP="005A464E">
      <w:pPr>
        <w:spacing w:line="360" w:lineRule="auto"/>
        <w:jc w:val="both"/>
        <w:rPr>
          <w:rFonts w:eastAsia="Times New Roman"/>
          <w:color w:val="000000"/>
          <w:sz w:val="27"/>
          <w:szCs w:val="27"/>
          <w:lang w:eastAsia="el-GR"/>
        </w:rPr>
      </w:pPr>
      <w:r w:rsidRPr="005A464E">
        <w:rPr>
          <w:color w:val="000000"/>
          <w:sz w:val="24"/>
          <w:szCs w:val="24"/>
          <w:lang w:val="en-US"/>
        </w:rPr>
        <w:t>To</w:t>
      </w:r>
      <w:r w:rsidRPr="005A464E">
        <w:rPr>
          <w:color w:val="000000"/>
          <w:sz w:val="24"/>
          <w:szCs w:val="24"/>
        </w:rPr>
        <w:t xml:space="preserve"> χαμηλό επίπεδο γνώσεων σχετίζεται με φτωχή ΠΖ (</w:t>
      </w:r>
      <w:r w:rsidR="0063629E" w:rsidRPr="001C2D3A">
        <w:rPr>
          <w:rFonts w:asciiTheme="minorHAnsi" w:eastAsia="Times New Roman" w:hAnsiTheme="minorHAnsi" w:cstheme="minorHAnsi"/>
          <w:color w:val="000000"/>
          <w:sz w:val="24"/>
          <w:szCs w:val="24"/>
          <w:lang w:val="en-US" w:eastAsia="el-GR"/>
        </w:rPr>
        <w:t>Durose</w:t>
      </w:r>
      <w:r w:rsidR="0063629E" w:rsidRPr="001C2D3A">
        <w:rPr>
          <w:rFonts w:asciiTheme="minorHAnsi" w:eastAsia="Times New Roman" w:hAnsiTheme="minorHAnsi" w:cstheme="minorHAnsi"/>
          <w:color w:val="000000"/>
          <w:sz w:val="24"/>
          <w:szCs w:val="24"/>
          <w:lang w:eastAsia="el-GR"/>
        </w:rPr>
        <w:t xml:space="preserve">, </w:t>
      </w:r>
      <w:r w:rsidR="0063629E" w:rsidRPr="001C2D3A">
        <w:rPr>
          <w:rFonts w:asciiTheme="minorHAnsi" w:hAnsiTheme="minorHAnsi" w:cstheme="minorHAnsi"/>
          <w:color w:val="000000"/>
          <w:sz w:val="24"/>
          <w:szCs w:val="24"/>
          <w:lang w:val="en-US"/>
        </w:rPr>
        <w:t>Holdsworth</w:t>
      </w:r>
      <w:r w:rsidR="0063629E" w:rsidRPr="001C2D3A">
        <w:rPr>
          <w:rFonts w:asciiTheme="minorHAnsi" w:hAnsiTheme="minorHAnsi" w:cstheme="minorHAnsi"/>
          <w:color w:val="000000"/>
          <w:sz w:val="24"/>
          <w:szCs w:val="24"/>
        </w:rPr>
        <w:t xml:space="preserve">, </w:t>
      </w:r>
      <w:r w:rsidR="0063629E" w:rsidRPr="001C2D3A">
        <w:rPr>
          <w:rFonts w:asciiTheme="minorHAnsi" w:hAnsiTheme="minorHAnsi" w:cstheme="minorHAnsi"/>
          <w:color w:val="000000"/>
          <w:sz w:val="24"/>
          <w:szCs w:val="24"/>
          <w:lang w:val="en-US"/>
        </w:rPr>
        <w:t>Watson</w:t>
      </w:r>
      <w:r w:rsidR="0063629E" w:rsidRPr="001C2D3A">
        <w:rPr>
          <w:rFonts w:asciiTheme="minorHAnsi" w:hAnsiTheme="minorHAnsi" w:cstheme="minorHAnsi"/>
          <w:color w:val="000000"/>
          <w:sz w:val="24"/>
          <w:szCs w:val="24"/>
        </w:rPr>
        <w:t xml:space="preserve">, &amp; </w:t>
      </w:r>
      <w:r w:rsidR="0063629E" w:rsidRPr="001C2D3A">
        <w:rPr>
          <w:rFonts w:asciiTheme="minorHAnsi" w:hAnsiTheme="minorHAnsi" w:cstheme="minorHAnsi"/>
          <w:color w:val="000000"/>
          <w:sz w:val="24"/>
          <w:szCs w:val="24"/>
          <w:lang w:val="en-US"/>
        </w:rPr>
        <w:t>Przygrodzka</w:t>
      </w:r>
      <w:r w:rsidR="0063629E" w:rsidRPr="001C2D3A">
        <w:rPr>
          <w:rFonts w:asciiTheme="minorHAnsi" w:eastAsia="Times New Roman" w:hAnsiTheme="minorHAnsi" w:cstheme="minorHAnsi"/>
          <w:color w:val="000000"/>
          <w:sz w:val="24"/>
          <w:szCs w:val="24"/>
          <w:lang w:eastAsia="el-GR"/>
        </w:rPr>
        <w:t xml:space="preserve"> 2004</w:t>
      </w:r>
      <w:r w:rsidR="0063629E">
        <w:rPr>
          <w:rFonts w:asciiTheme="minorHAnsi" w:eastAsia="Times New Roman" w:hAnsiTheme="minorHAnsi" w:cstheme="minorHAnsi"/>
          <w:color w:val="000000"/>
          <w:sz w:val="24"/>
          <w:szCs w:val="24"/>
          <w:lang w:eastAsia="el-GR"/>
        </w:rPr>
        <w:t xml:space="preserve">; </w:t>
      </w:r>
      <w:r w:rsidRPr="005A464E">
        <w:rPr>
          <w:color w:val="000000"/>
          <w:sz w:val="24"/>
          <w:szCs w:val="24"/>
        </w:rPr>
        <w:t xml:space="preserve">Cavanaugh </w:t>
      </w:r>
      <w:r w:rsidR="00566CAA">
        <w:rPr>
          <w:color w:val="000000"/>
          <w:sz w:val="24"/>
          <w:szCs w:val="24"/>
        </w:rPr>
        <w:t>et al</w:t>
      </w:r>
      <w:r w:rsidR="00675208" w:rsidRPr="00675208">
        <w:rPr>
          <w:color w:val="000000"/>
          <w:sz w:val="24"/>
          <w:szCs w:val="24"/>
        </w:rPr>
        <w:t>.</w:t>
      </w:r>
      <w:r w:rsidR="001C2D3A">
        <w:rPr>
          <w:color w:val="000000"/>
          <w:sz w:val="24"/>
          <w:szCs w:val="24"/>
        </w:rPr>
        <w:t>,</w:t>
      </w:r>
      <w:r w:rsidR="00B82577">
        <w:rPr>
          <w:color w:val="000000"/>
          <w:sz w:val="24"/>
          <w:szCs w:val="24"/>
        </w:rPr>
        <w:t xml:space="preserve"> 2010</w:t>
      </w:r>
      <w:r w:rsidRPr="005A464E">
        <w:rPr>
          <w:rFonts w:eastAsia="Times New Roman"/>
          <w:color w:val="000000"/>
          <w:sz w:val="24"/>
          <w:szCs w:val="24"/>
          <w:lang w:eastAsia="el-GR"/>
        </w:rPr>
        <w:t>)</w:t>
      </w:r>
      <w:r w:rsidR="007B006D" w:rsidRPr="005A464E">
        <w:rPr>
          <w:rFonts w:eastAsia="Times New Roman"/>
          <w:color w:val="000000"/>
          <w:sz w:val="24"/>
          <w:szCs w:val="24"/>
          <w:lang w:eastAsia="el-GR"/>
        </w:rPr>
        <w:t xml:space="preserve">. </w:t>
      </w:r>
      <w:r w:rsidR="007B006D" w:rsidRPr="005A464E">
        <w:rPr>
          <w:rFonts w:eastAsia="Times New Roman"/>
          <w:color w:val="000000"/>
          <w:sz w:val="24"/>
          <w:szCs w:val="24"/>
          <w:lang w:val="en-US" w:eastAsia="el-GR"/>
        </w:rPr>
        <w:t>O</w:t>
      </w:r>
      <w:r w:rsidR="007B006D" w:rsidRPr="005A464E">
        <w:rPr>
          <w:rFonts w:eastAsia="Times New Roman"/>
          <w:color w:val="000000"/>
          <w:sz w:val="24"/>
          <w:szCs w:val="24"/>
          <w:lang w:eastAsia="el-GR"/>
        </w:rPr>
        <w:t xml:space="preserve">ι </w:t>
      </w:r>
      <w:r w:rsidR="007B006D" w:rsidRPr="005A464E">
        <w:rPr>
          <w:color w:val="000000"/>
          <w:sz w:val="24"/>
          <w:szCs w:val="24"/>
          <w:lang w:val="en-US"/>
        </w:rPr>
        <w:t>Moshtagh</w:t>
      </w:r>
      <w:r w:rsidR="004A7CDC" w:rsidRPr="004A7CDC">
        <w:rPr>
          <w:color w:val="000000"/>
          <w:sz w:val="24"/>
          <w:szCs w:val="24"/>
        </w:rPr>
        <w:t xml:space="preserve">, </w:t>
      </w:r>
      <w:r w:rsidR="004A7CDC" w:rsidRPr="004A7CDC">
        <w:rPr>
          <w:rFonts w:asciiTheme="minorHAnsi" w:hAnsiTheme="minorHAnsi"/>
          <w:color w:val="000000"/>
          <w:sz w:val="24"/>
          <w:szCs w:val="24"/>
          <w:lang w:val="en-US"/>
        </w:rPr>
        <w:t>Naeeni</w:t>
      </w:r>
      <w:r w:rsidR="004A7CDC" w:rsidRPr="004A7CDC">
        <w:rPr>
          <w:rFonts w:asciiTheme="minorHAnsi" w:hAnsiTheme="minorHAnsi"/>
          <w:color w:val="000000"/>
          <w:sz w:val="24"/>
          <w:szCs w:val="24"/>
        </w:rPr>
        <w:t xml:space="preserve">, </w:t>
      </w:r>
      <w:r w:rsidR="004A7CDC" w:rsidRPr="004A7CDC">
        <w:rPr>
          <w:rFonts w:asciiTheme="minorHAnsi" w:hAnsiTheme="minorHAnsi"/>
          <w:color w:val="000000"/>
          <w:sz w:val="24"/>
          <w:szCs w:val="24"/>
          <w:lang w:val="en-US"/>
        </w:rPr>
        <w:t>Hamzezade</w:t>
      </w:r>
      <w:r w:rsidR="004A7CDC" w:rsidRPr="004A7CDC">
        <w:rPr>
          <w:rFonts w:asciiTheme="minorHAnsi" w:hAnsiTheme="minorHAnsi"/>
          <w:color w:val="000000"/>
          <w:sz w:val="24"/>
          <w:szCs w:val="24"/>
        </w:rPr>
        <w:t>,</w:t>
      </w:r>
      <w:r w:rsidR="0063629E">
        <w:rPr>
          <w:rFonts w:asciiTheme="minorHAnsi" w:hAnsiTheme="minorHAnsi"/>
          <w:color w:val="000000"/>
          <w:sz w:val="24"/>
          <w:szCs w:val="24"/>
        </w:rPr>
        <w:t xml:space="preserve"> και</w:t>
      </w:r>
      <w:r w:rsidR="004A7CDC" w:rsidRPr="004A7CDC">
        <w:rPr>
          <w:rFonts w:asciiTheme="minorHAnsi" w:hAnsiTheme="minorHAnsi"/>
          <w:color w:val="000000"/>
          <w:sz w:val="24"/>
          <w:szCs w:val="24"/>
        </w:rPr>
        <w:t xml:space="preserve"> </w:t>
      </w:r>
      <w:r w:rsidR="004A7CDC" w:rsidRPr="004A7CDC">
        <w:rPr>
          <w:rFonts w:asciiTheme="minorHAnsi" w:hAnsiTheme="minorHAnsi"/>
          <w:color w:val="000000"/>
          <w:sz w:val="24"/>
          <w:szCs w:val="24"/>
          <w:lang w:val="en-US"/>
        </w:rPr>
        <w:t>Arasteh</w:t>
      </w:r>
      <w:r w:rsidR="004A7CDC" w:rsidRPr="004A7CDC">
        <w:rPr>
          <w:color w:val="000000"/>
          <w:sz w:val="24"/>
          <w:szCs w:val="24"/>
        </w:rPr>
        <w:t xml:space="preserve"> </w:t>
      </w:r>
      <w:r w:rsidR="00083EB0" w:rsidRPr="004A7CDC">
        <w:rPr>
          <w:color w:val="000000"/>
          <w:sz w:val="24"/>
          <w:szCs w:val="24"/>
        </w:rPr>
        <w:t>(2013)</w:t>
      </w:r>
      <w:r w:rsidR="007B006D" w:rsidRPr="004A7CDC">
        <w:rPr>
          <w:color w:val="000000"/>
          <w:sz w:val="24"/>
          <w:szCs w:val="24"/>
        </w:rPr>
        <w:t xml:space="preserve"> έδειξαν ότι η διαιτητική συμβουλευτική παρέμβαση</w:t>
      </w:r>
      <w:r w:rsidR="007B006D" w:rsidRPr="005A464E">
        <w:rPr>
          <w:color w:val="000000"/>
          <w:sz w:val="24"/>
          <w:szCs w:val="24"/>
        </w:rPr>
        <w:t xml:space="preserve"> μπορεί να βελτιώσει την ψυχική υγεία αλλά και τη φυσική και κονωνική διάσταση </w:t>
      </w:r>
      <w:r w:rsidR="00E771C7">
        <w:rPr>
          <w:color w:val="000000"/>
          <w:sz w:val="24"/>
          <w:szCs w:val="24"/>
        </w:rPr>
        <w:t>της ΠΖ μειώνοντας τα επίπεδα α</w:t>
      </w:r>
      <w:r w:rsidR="00083EB0">
        <w:rPr>
          <w:color w:val="000000"/>
          <w:sz w:val="24"/>
          <w:szCs w:val="24"/>
        </w:rPr>
        <w:t>νησυχίας και κατάθλιψης</w:t>
      </w:r>
      <w:r w:rsidR="00382E33" w:rsidRPr="005A464E">
        <w:rPr>
          <w:color w:val="000000"/>
          <w:sz w:val="24"/>
          <w:szCs w:val="24"/>
        </w:rPr>
        <w:t xml:space="preserve"> ενώ οι </w:t>
      </w:r>
      <w:r w:rsidR="00382E33" w:rsidRPr="005A464E">
        <w:rPr>
          <w:rFonts w:eastAsia="Times New Roman"/>
          <w:color w:val="000000"/>
          <w:sz w:val="24"/>
          <w:szCs w:val="24"/>
          <w:lang w:eastAsia="el-GR"/>
        </w:rPr>
        <w:t>Aghakha</w:t>
      </w:r>
      <w:r w:rsidR="00E771C7">
        <w:rPr>
          <w:rFonts w:eastAsia="Times New Roman"/>
          <w:color w:val="000000"/>
          <w:sz w:val="24"/>
          <w:szCs w:val="24"/>
          <w:lang w:eastAsia="el-GR"/>
        </w:rPr>
        <w:t>ni </w:t>
      </w:r>
      <w:r w:rsidR="00566CAA">
        <w:rPr>
          <w:rFonts w:eastAsia="Times New Roman"/>
          <w:color w:val="000000"/>
          <w:sz w:val="24"/>
          <w:szCs w:val="24"/>
          <w:lang w:eastAsia="el-GR"/>
        </w:rPr>
        <w:t>et al</w:t>
      </w:r>
      <w:r w:rsidR="00B649CB">
        <w:rPr>
          <w:rFonts w:eastAsia="Times New Roman"/>
          <w:color w:val="000000"/>
          <w:sz w:val="24"/>
          <w:szCs w:val="24"/>
          <w:lang w:eastAsia="el-GR"/>
        </w:rPr>
        <w:t>.</w:t>
      </w:r>
      <w:r w:rsidR="00E771C7">
        <w:rPr>
          <w:rFonts w:eastAsia="Times New Roman"/>
          <w:color w:val="000000"/>
          <w:sz w:val="24"/>
          <w:szCs w:val="24"/>
          <w:lang w:eastAsia="el-GR"/>
        </w:rPr>
        <w:t xml:space="preserve"> (2012) αναφέρουν ότι</w:t>
      </w:r>
      <w:r w:rsidR="00382E33" w:rsidRPr="005A464E">
        <w:rPr>
          <w:rFonts w:eastAsia="Times New Roman"/>
          <w:color w:val="000000"/>
          <w:sz w:val="24"/>
          <w:szCs w:val="24"/>
          <w:lang w:eastAsia="el-GR"/>
        </w:rPr>
        <w:t xml:space="preserve"> η </w:t>
      </w:r>
      <w:r w:rsidR="00526093" w:rsidRPr="005A464E">
        <w:rPr>
          <w:color w:val="000000"/>
          <w:sz w:val="24"/>
          <w:szCs w:val="24"/>
        </w:rPr>
        <w:t>διαιτητική</w:t>
      </w:r>
      <w:r w:rsidR="00526093" w:rsidRPr="005A464E">
        <w:rPr>
          <w:rFonts w:eastAsia="Times New Roman"/>
          <w:color w:val="000000"/>
          <w:sz w:val="24"/>
          <w:szCs w:val="24"/>
          <w:lang w:eastAsia="el-GR"/>
        </w:rPr>
        <w:t xml:space="preserve"> </w:t>
      </w:r>
      <w:r w:rsidR="00382E33" w:rsidRPr="005A464E">
        <w:rPr>
          <w:rFonts w:eastAsia="Times New Roman"/>
          <w:color w:val="000000"/>
          <w:sz w:val="24"/>
          <w:szCs w:val="24"/>
          <w:lang w:eastAsia="el-GR"/>
        </w:rPr>
        <w:t>συμβουλευτική παρέμβαση</w:t>
      </w:r>
      <w:r w:rsidR="00526093" w:rsidRPr="005A464E">
        <w:rPr>
          <w:rFonts w:eastAsia="Times New Roman"/>
          <w:color w:val="000000"/>
          <w:sz w:val="24"/>
          <w:szCs w:val="24"/>
          <w:lang w:eastAsia="el-GR"/>
        </w:rPr>
        <w:t xml:space="preserve"> θα μπορούσε να βελτιώσει μόνο τη φυσική διάσταση της ΠΖ. Οι ερευνητές αποδίδουν τις διαφορές αυτές στο διαφορετικό εκπαιδευτικό επίπεδο και την ηλικιακή διαφορά μεταξυ των ομάδων του δείγματος.</w:t>
      </w:r>
      <w:r w:rsidR="0078495A">
        <w:rPr>
          <w:rFonts w:eastAsia="Times New Roman"/>
          <w:color w:val="000000"/>
          <w:sz w:val="24"/>
          <w:szCs w:val="24"/>
          <w:lang w:eastAsia="el-GR"/>
        </w:rPr>
        <w:t xml:space="preserve"> </w:t>
      </w:r>
      <w:r w:rsidR="00382E33" w:rsidRPr="005A464E">
        <w:rPr>
          <w:color w:val="000000"/>
          <w:sz w:val="24"/>
          <w:szCs w:val="24"/>
        </w:rPr>
        <w:t xml:space="preserve"> </w:t>
      </w:r>
      <w:r w:rsidR="00382E33" w:rsidRPr="005A464E">
        <w:rPr>
          <w:color w:val="000000"/>
          <w:sz w:val="24"/>
          <w:szCs w:val="24"/>
          <w:lang w:val="en-US"/>
        </w:rPr>
        <w:t>O</w:t>
      </w:r>
      <w:r w:rsidR="00382E33" w:rsidRPr="005A464E">
        <w:rPr>
          <w:color w:val="000000"/>
          <w:sz w:val="24"/>
          <w:szCs w:val="24"/>
        </w:rPr>
        <w:t xml:space="preserve">ι </w:t>
      </w:r>
      <w:r w:rsidR="00382E33" w:rsidRPr="005A464E">
        <w:rPr>
          <w:color w:val="000000"/>
          <w:sz w:val="24"/>
          <w:szCs w:val="24"/>
          <w:lang w:val="en-US"/>
        </w:rPr>
        <w:t>Thomas</w:t>
      </w:r>
      <w:r w:rsidR="00382E33" w:rsidRPr="005A464E">
        <w:rPr>
          <w:color w:val="000000"/>
          <w:sz w:val="24"/>
          <w:szCs w:val="24"/>
        </w:rPr>
        <w:t xml:space="preserve"> </w:t>
      </w:r>
      <w:r w:rsidR="00566CAA">
        <w:rPr>
          <w:color w:val="000000"/>
          <w:sz w:val="24"/>
          <w:szCs w:val="24"/>
        </w:rPr>
        <w:t>et al</w:t>
      </w:r>
      <w:r w:rsidR="006744A0" w:rsidRPr="00872FD2">
        <w:rPr>
          <w:color w:val="000000"/>
          <w:sz w:val="24"/>
          <w:szCs w:val="24"/>
        </w:rPr>
        <w:t>.</w:t>
      </w:r>
      <w:r w:rsidR="00382E33" w:rsidRPr="005A464E">
        <w:rPr>
          <w:color w:val="000000"/>
          <w:sz w:val="24"/>
          <w:szCs w:val="24"/>
        </w:rPr>
        <w:t xml:space="preserve"> (2009) συμπέραναν ότι οι διαιτητικές οδηγίες θα μπορούσαν να αποτελούν σημαντικό μέρος της εκπαιδευτικής παρέμβασης ενώ οι </w:t>
      </w:r>
      <w:r w:rsidR="00382E33" w:rsidRPr="005A464E">
        <w:rPr>
          <w:color w:val="000000"/>
          <w:sz w:val="24"/>
          <w:szCs w:val="24"/>
          <w:lang w:val="en-US"/>
        </w:rPr>
        <w:t>Rahimi</w:t>
      </w:r>
      <w:r w:rsidR="00642ED2">
        <w:rPr>
          <w:color w:val="000000"/>
          <w:sz w:val="24"/>
          <w:szCs w:val="24"/>
        </w:rPr>
        <w:t xml:space="preserve">, </w:t>
      </w:r>
      <w:r w:rsidR="00642ED2" w:rsidRPr="00642ED2">
        <w:rPr>
          <w:rFonts w:asciiTheme="minorHAnsi" w:hAnsiTheme="minorHAnsi"/>
          <w:color w:val="000000"/>
          <w:sz w:val="24"/>
          <w:szCs w:val="24"/>
          <w:lang w:val="en-US"/>
        </w:rPr>
        <w:t>Ahmadi</w:t>
      </w:r>
      <w:r w:rsidR="00A600AE" w:rsidRPr="00A600AE">
        <w:rPr>
          <w:rFonts w:asciiTheme="minorHAnsi" w:hAnsiTheme="minorHAnsi"/>
          <w:color w:val="000000"/>
          <w:sz w:val="24"/>
          <w:szCs w:val="24"/>
        </w:rPr>
        <w:t>,</w:t>
      </w:r>
      <w:r w:rsidR="0063629E">
        <w:rPr>
          <w:rFonts w:asciiTheme="minorHAnsi" w:hAnsiTheme="minorHAnsi"/>
          <w:color w:val="000000"/>
          <w:sz w:val="24"/>
          <w:szCs w:val="24"/>
        </w:rPr>
        <w:t xml:space="preserve"> και</w:t>
      </w:r>
      <w:r w:rsidR="00642ED2" w:rsidRPr="00642ED2">
        <w:rPr>
          <w:rFonts w:asciiTheme="minorHAnsi" w:hAnsiTheme="minorHAnsi"/>
          <w:color w:val="000000"/>
          <w:sz w:val="24"/>
          <w:szCs w:val="24"/>
        </w:rPr>
        <w:t xml:space="preserve"> </w:t>
      </w:r>
      <w:r w:rsidR="00642ED2" w:rsidRPr="00642ED2">
        <w:rPr>
          <w:rFonts w:asciiTheme="minorHAnsi" w:hAnsiTheme="minorHAnsi"/>
          <w:color w:val="000000"/>
          <w:sz w:val="24"/>
          <w:szCs w:val="24"/>
          <w:lang w:val="en-US"/>
        </w:rPr>
        <w:t>Ghalyaf</w:t>
      </w:r>
      <w:r w:rsidR="00382E33" w:rsidRPr="00642ED2">
        <w:rPr>
          <w:color w:val="000000"/>
          <w:sz w:val="24"/>
          <w:szCs w:val="24"/>
        </w:rPr>
        <w:t xml:space="preserve"> (1996</w:t>
      </w:r>
      <w:r w:rsidR="00382E33" w:rsidRPr="005A464E">
        <w:rPr>
          <w:color w:val="000000"/>
          <w:sz w:val="24"/>
          <w:szCs w:val="24"/>
        </w:rPr>
        <w:t>) έδειξαν ότι το συν</w:t>
      </w:r>
      <w:r w:rsidR="000319BD" w:rsidRPr="005A464E">
        <w:rPr>
          <w:color w:val="000000"/>
          <w:sz w:val="24"/>
          <w:szCs w:val="24"/>
        </w:rPr>
        <w:t>ε</w:t>
      </w:r>
      <w:r w:rsidR="00382E33" w:rsidRPr="005A464E">
        <w:rPr>
          <w:color w:val="000000"/>
          <w:sz w:val="24"/>
          <w:szCs w:val="24"/>
        </w:rPr>
        <w:t>χές μοντέλο φροντ</w:t>
      </w:r>
      <w:r w:rsidR="000319BD" w:rsidRPr="005A464E">
        <w:rPr>
          <w:color w:val="000000"/>
          <w:sz w:val="24"/>
          <w:szCs w:val="24"/>
        </w:rPr>
        <w:t>ί</w:t>
      </w:r>
      <w:r w:rsidR="00382E33" w:rsidRPr="005A464E">
        <w:rPr>
          <w:color w:val="000000"/>
          <w:sz w:val="24"/>
          <w:szCs w:val="24"/>
        </w:rPr>
        <w:t>δας θα μπορούσε να βελτιώσει πολλές διαστάσεις της ΠΖ.</w:t>
      </w:r>
    </w:p>
    <w:p w:rsidR="00D15770" w:rsidRPr="005A464E" w:rsidRDefault="00FC4321" w:rsidP="005A464E">
      <w:pPr>
        <w:pStyle w:val="nouk"/>
        <w:rPr>
          <w:b/>
        </w:rPr>
      </w:pPr>
      <w:r w:rsidRPr="005A464E">
        <w:rPr>
          <w:b/>
        </w:rPr>
        <w:t>Συσχέτιση μεταξύ των κλιμάκων</w:t>
      </w:r>
      <w:r w:rsidR="00526093" w:rsidRPr="005A464E">
        <w:rPr>
          <w:b/>
        </w:rPr>
        <w:t xml:space="preserve"> </w:t>
      </w:r>
      <w:r w:rsidRPr="005A464E">
        <w:rPr>
          <w:b/>
        </w:rPr>
        <w:t>της μελέτης πριν την παρέμβαση στο σύνολο του δείγματος</w:t>
      </w:r>
    </w:p>
    <w:p w:rsidR="00D7127A" w:rsidRDefault="000B1E01" w:rsidP="005A464E">
      <w:pPr>
        <w:pStyle w:val="nouk"/>
      </w:pPr>
      <w:r w:rsidRPr="005A464E">
        <w:t xml:space="preserve">Σε καμία από τις </w:t>
      </w:r>
      <w:r w:rsidR="00264F66">
        <w:t>δύο</w:t>
      </w:r>
      <w:r w:rsidRPr="005A464E">
        <w:t xml:space="preserve"> ομάδες δ</w:t>
      </w:r>
      <w:r w:rsidR="00D7127A" w:rsidRPr="005A464E">
        <w:t>εν υπήρξε σημαντική συσχέτιση μεταξύ της κλίμακας γνώσεων και των διαστάσεων της κλίμακας συμμόρφωσης, πριν την παρέμβαση.</w:t>
      </w:r>
      <w:r w:rsidR="007338BC" w:rsidRPr="005A464E">
        <w:t xml:space="preserve"> Το έυρημα αυτό μπορεί να αποδοθεί στο μικρό μέγεθος του δείγματος (</w:t>
      </w:r>
      <w:r w:rsidR="007338BC" w:rsidRPr="005A464E">
        <w:rPr>
          <w:lang w:val="en-US"/>
        </w:rPr>
        <w:t>N</w:t>
      </w:r>
      <w:r w:rsidR="007338BC" w:rsidRPr="005A464E">
        <w:t>=50).</w:t>
      </w:r>
      <w:r w:rsidR="00D7127A" w:rsidRPr="005A464E">
        <w:t xml:space="preserve"> </w:t>
      </w:r>
    </w:p>
    <w:p w:rsidR="00264F66" w:rsidRPr="005A464E" w:rsidRDefault="00264F66" w:rsidP="005A464E">
      <w:pPr>
        <w:pStyle w:val="nouk"/>
      </w:pPr>
    </w:p>
    <w:p w:rsidR="00D7127A" w:rsidRPr="00E50302" w:rsidRDefault="00D7127A" w:rsidP="005A464E">
      <w:pPr>
        <w:spacing w:line="360" w:lineRule="auto"/>
        <w:jc w:val="both"/>
        <w:rPr>
          <w:sz w:val="24"/>
          <w:szCs w:val="24"/>
          <w:lang w:eastAsia="el-GR"/>
        </w:rPr>
      </w:pPr>
      <w:r w:rsidRPr="00E50302">
        <w:rPr>
          <w:sz w:val="24"/>
          <w:szCs w:val="24"/>
        </w:rPr>
        <w:t>Υπήρξε</w:t>
      </w:r>
      <w:r w:rsidR="00264F66" w:rsidRPr="00E50302">
        <w:rPr>
          <w:sz w:val="24"/>
          <w:szCs w:val="24"/>
        </w:rPr>
        <w:t xml:space="preserve">, όμως, </w:t>
      </w:r>
      <w:r w:rsidRPr="00E50302">
        <w:rPr>
          <w:sz w:val="24"/>
          <w:szCs w:val="24"/>
        </w:rPr>
        <w:t xml:space="preserve"> σημαντική θετική συσχέτιση της διάστασης «</w:t>
      </w:r>
      <w:r w:rsidR="0076474F" w:rsidRPr="00E50302">
        <w:rPr>
          <w:sz w:val="24"/>
          <w:szCs w:val="24"/>
        </w:rPr>
        <w:t>Συμπτώματα</w:t>
      </w:r>
      <w:r w:rsidRPr="00E50302">
        <w:rPr>
          <w:sz w:val="24"/>
          <w:szCs w:val="24"/>
        </w:rPr>
        <w:t>» με τη συνολική βαθμολογία συμμόρφωση</w:t>
      </w:r>
      <w:r w:rsidR="00264F66" w:rsidRPr="00E50302">
        <w:rPr>
          <w:sz w:val="24"/>
          <w:szCs w:val="24"/>
        </w:rPr>
        <w:t>ς καθώς και με τη συμμόρφωση σ</w:t>
      </w:r>
      <w:r w:rsidRPr="00E50302">
        <w:rPr>
          <w:sz w:val="24"/>
          <w:szCs w:val="24"/>
        </w:rPr>
        <w:t>τ</w:t>
      </w:r>
      <w:r w:rsidR="00264F66" w:rsidRPr="00E50302">
        <w:rPr>
          <w:sz w:val="24"/>
          <w:szCs w:val="24"/>
        </w:rPr>
        <w:t>ην παρουσία στη συνεδρία και σ</w:t>
      </w:r>
      <w:r w:rsidRPr="00E50302">
        <w:rPr>
          <w:sz w:val="24"/>
          <w:szCs w:val="24"/>
        </w:rPr>
        <w:t>τα υγρ</w:t>
      </w:r>
      <w:r w:rsidR="00264F66" w:rsidRPr="00E50302">
        <w:rPr>
          <w:sz w:val="24"/>
          <w:szCs w:val="24"/>
        </w:rPr>
        <w:t>ά / διαιτητική συμπεριφορά. Επομένως,</w:t>
      </w:r>
      <w:r w:rsidRPr="00E50302">
        <w:rPr>
          <w:sz w:val="24"/>
          <w:szCs w:val="24"/>
        </w:rPr>
        <w:t xml:space="preserve"> όσο μεγαλύτερη ήταν η συμμόρφωση των συμμετεχόντων γενικά αλλά και στους συγκεκριμένους τομείς, τόσο λιγότερα συμπτώματα είχαν.</w:t>
      </w:r>
      <w:r w:rsidR="000319BD" w:rsidRPr="00E50302">
        <w:rPr>
          <w:sz w:val="24"/>
          <w:szCs w:val="24"/>
          <w:lang w:eastAsia="el-GR"/>
        </w:rPr>
        <w:t xml:space="preserve"> Δύο άλλες μελέτες</w:t>
      </w:r>
      <w:r w:rsidR="007338BC" w:rsidRPr="00E50302">
        <w:rPr>
          <w:sz w:val="24"/>
          <w:szCs w:val="24"/>
          <w:lang w:eastAsia="el-GR"/>
        </w:rPr>
        <w:t xml:space="preserve"> μελετώντας τον ρόλο της συμμόρφωσης στην ποιότητα ζωής και τις ψυχοκοινωνικές μεταβλητές όπως την κατάθλιψη, το άγχος και το στρες έδειξαν ότι η χαμηλή συμμόρφωση μπορεί να μειώσει την φυσική διάσταση της ποιότητας ζωής (</w:t>
      </w:r>
      <w:r w:rsidR="007338BC" w:rsidRPr="00E50302">
        <w:rPr>
          <w:sz w:val="24"/>
          <w:szCs w:val="24"/>
          <w:lang w:val="en-US"/>
        </w:rPr>
        <w:t>Garc</w:t>
      </w:r>
      <w:r w:rsidR="007338BC" w:rsidRPr="00E50302">
        <w:rPr>
          <w:sz w:val="24"/>
          <w:szCs w:val="24"/>
        </w:rPr>
        <w:t>í</w:t>
      </w:r>
      <w:r w:rsidR="007338BC" w:rsidRPr="00E50302">
        <w:rPr>
          <w:sz w:val="24"/>
          <w:szCs w:val="24"/>
          <w:lang w:val="en-US"/>
        </w:rPr>
        <w:t>a</w:t>
      </w:r>
      <w:r w:rsidR="007338BC" w:rsidRPr="00E50302">
        <w:rPr>
          <w:sz w:val="24"/>
          <w:szCs w:val="24"/>
        </w:rPr>
        <w:t>-</w:t>
      </w:r>
      <w:r w:rsidR="007338BC" w:rsidRPr="00E50302">
        <w:rPr>
          <w:sz w:val="24"/>
          <w:szCs w:val="24"/>
          <w:lang w:val="en-US"/>
        </w:rPr>
        <w:t>Llana</w:t>
      </w:r>
      <w:r w:rsidR="00197BA9" w:rsidRPr="00E50302">
        <w:rPr>
          <w:sz w:val="24"/>
          <w:szCs w:val="24"/>
        </w:rPr>
        <w:t xml:space="preserve"> </w:t>
      </w:r>
      <w:r w:rsidR="00197BA9" w:rsidRPr="00E50302">
        <w:rPr>
          <w:sz w:val="24"/>
          <w:szCs w:val="24"/>
          <w:lang w:val="en-US"/>
        </w:rPr>
        <w:t>et</w:t>
      </w:r>
      <w:r w:rsidR="00197BA9" w:rsidRPr="00E50302">
        <w:rPr>
          <w:sz w:val="24"/>
          <w:szCs w:val="24"/>
        </w:rPr>
        <w:t xml:space="preserve"> </w:t>
      </w:r>
      <w:r w:rsidR="00197BA9" w:rsidRPr="00E50302">
        <w:rPr>
          <w:sz w:val="24"/>
          <w:szCs w:val="24"/>
          <w:lang w:val="en-US"/>
        </w:rPr>
        <w:t>al</w:t>
      </w:r>
      <w:r w:rsidR="00197BA9" w:rsidRPr="00E50302">
        <w:rPr>
          <w:sz w:val="24"/>
          <w:szCs w:val="24"/>
        </w:rPr>
        <w:t xml:space="preserve">., </w:t>
      </w:r>
      <w:r w:rsidR="007338BC" w:rsidRPr="00E50302">
        <w:rPr>
          <w:sz w:val="24"/>
          <w:szCs w:val="24"/>
        </w:rPr>
        <w:t>2013) αλλά και την διάσταση της ζωτικότητας και των κοινωνικών λειτουργιών (</w:t>
      </w:r>
      <w:r w:rsidR="007338BC" w:rsidRPr="00E50302">
        <w:rPr>
          <w:sz w:val="24"/>
          <w:szCs w:val="24"/>
          <w:lang w:val="en-US"/>
        </w:rPr>
        <w:t>Patel</w:t>
      </w:r>
      <w:r w:rsidR="007338BC" w:rsidRPr="00E50302">
        <w:rPr>
          <w:sz w:val="24"/>
          <w:szCs w:val="24"/>
        </w:rPr>
        <w:t xml:space="preserve"> </w:t>
      </w:r>
      <w:r w:rsidR="00566CAA" w:rsidRPr="00E50302">
        <w:rPr>
          <w:sz w:val="24"/>
          <w:szCs w:val="24"/>
        </w:rPr>
        <w:t>et al</w:t>
      </w:r>
      <w:r w:rsidR="00573981" w:rsidRPr="00E50302">
        <w:rPr>
          <w:sz w:val="24"/>
          <w:szCs w:val="24"/>
        </w:rPr>
        <w:t>.</w:t>
      </w:r>
      <w:r w:rsidR="00A600AE" w:rsidRPr="00E50302">
        <w:rPr>
          <w:sz w:val="24"/>
          <w:szCs w:val="24"/>
        </w:rPr>
        <w:t>,</w:t>
      </w:r>
      <w:r w:rsidR="007338BC" w:rsidRPr="00E50302">
        <w:rPr>
          <w:sz w:val="24"/>
          <w:szCs w:val="24"/>
        </w:rPr>
        <w:t xml:space="preserve"> 2002).</w:t>
      </w:r>
    </w:p>
    <w:p w:rsidR="00D7127A" w:rsidRPr="00E50302" w:rsidRDefault="00D7127A" w:rsidP="005A464E">
      <w:pPr>
        <w:pStyle w:val="nouk"/>
        <w:rPr>
          <w:b/>
        </w:rPr>
      </w:pPr>
      <w:r w:rsidRPr="00E50302">
        <w:rPr>
          <w:b/>
        </w:rPr>
        <w:t>Συσχέτιση μεταξύ των μεταβολών των κλιμάκων της μελέτης στην ομάδα παρέμβασης</w:t>
      </w:r>
    </w:p>
    <w:p w:rsidR="00D7127A" w:rsidRPr="00E50302" w:rsidRDefault="00461615" w:rsidP="005A464E">
      <w:pPr>
        <w:autoSpaceDE w:val="0"/>
        <w:autoSpaceDN w:val="0"/>
        <w:adjustRightInd w:val="0"/>
        <w:spacing w:after="0" w:line="360" w:lineRule="auto"/>
        <w:jc w:val="both"/>
        <w:rPr>
          <w:rFonts w:cstheme="minorHAnsi"/>
          <w:sz w:val="24"/>
          <w:szCs w:val="24"/>
        </w:rPr>
      </w:pPr>
      <w:r w:rsidRPr="00E50302">
        <w:rPr>
          <w:sz w:val="24"/>
          <w:szCs w:val="24"/>
        </w:rPr>
        <w:t>Στη συγκεκριμένη μελέτη δ</w:t>
      </w:r>
      <w:r w:rsidR="00D7127A" w:rsidRPr="00E50302">
        <w:rPr>
          <w:sz w:val="24"/>
          <w:szCs w:val="24"/>
        </w:rPr>
        <w:t xml:space="preserve">εν υπήρξε σημαντική συσχέτιση μεταξύ της μεταβολής της κλίμακας γνώσεων και των μεταβολών των διαστάσεων της κλίμακας συμμόρφωσης. </w:t>
      </w:r>
      <w:r w:rsidRPr="00E50302">
        <w:rPr>
          <w:sz w:val="24"/>
          <w:szCs w:val="24"/>
        </w:rPr>
        <w:t>Παρόμοια αποτελέσματα έδειξαν και οι</w:t>
      </w:r>
      <w:r w:rsidR="0078495A" w:rsidRPr="00E50302">
        <w:rPr>
          <w:sz w:val="24"/>
          <w:szCs w:val="24"/>
        </w:rPr>
        <w:t xml:space="preserve"> </w:t>
      </w:r>
      <w:r w:rsidR="00642ED2" w:rsidRPr="00E50302">
        <w:rPr>
          <w:sz w:val="24"/>
          <w:szCs w:val="24"/>
          <w:lang w:val="en-US"/>
        </w:rPr>
        <w:t>Bhavana</w:t>
      </w:r>
      <w:r w:rsidR="00642ED2" w:rsidRPr="00E50302">
        <w:rPr>
          <w:sz w:val="24"/>
          <w:szCs w:val="24"/>
        </w:rPr>
        <w:t>,</w:t>
      </w:r>
      <w:r w:rsidR="00642ED2" w:rsidRPr="00E50302">
        <w:rPr>
          <w:rFonts w:asciiTheme="minorHAnsi" w:hAnsiTheme="minorHAnsi" w:cstheme="minorHAnsi"/>
          <w:sz w:val="24"/>
          <w:szCs w:val="24"/>
        </w:rPr>
        <w:t xml:space="preserve"> </w:t>
      </w:r>
      <w:r w:rsidR="00642ED2" w:rsidRPr="00E50302">
        <w:rPr>
          <w:rFonts w:asciiTheme="minorHAnsi" w:hAnsiTheme="minorHAnsi" w:cstheme="minorHAnsi"/>
          <w:sz w:val="24"/>
          <w:szCs w:val="24"/>
          <w:lang w:val="en-US"/>
        </w:rPr>
        <w:t>Ushadevi</w:t>
      </w:r>
      <w:r w:rsidR="00A92ABA" w:rsidRPr="00E50302">
        <w:rPr>
          <w:rFonts w:asciiTheme="minorHAnsi" w:hAnsiTheme="minorHAnsi" w:cstheme="minorHAnsi"/>
          <w:sz w:val="24"/>
          <w:szCs w:val="24"/>
        </w:rPr>
        <w:t xml:space="preserve"> και</w:t>
      </w:r>
      <w:r w:rsidR="00642ED2" w:rsidRPr="00E50302">
        <w:rPr>
          <w:rFonts w:asciiTheme="minorHAnsi" w:hAnsiTheme="minorHAnsi" w:cstheme="minorHAnsi"/>
          <w:sz w:val="24"/>
          <w:szCs w:val="24"/>
        </w:rPr>
        <w:t xml:space="preserve"> </w:t>
      </w:r>
      <w:r w:rsidR="00642ED2" w:rsidRPr="00E50302">
        <w:rPr>
          <w:rFonts w:asciiTheme="minorHAnsi" w:hAnsiTheme="minorHAnsi" w:cstheme="minorHAnsi"/>
          <w:sz w:val="24"/>
          <w:szCs w:val="24"/>
          <w:lang w:val="en-US"/>
        </w:rPr>
        <w:t>Prashant</w:t>
      </w:r>
      <w:r w:rsidR="00642ED2" w:rsidRPr="00E50302">
        <w:rPr>
          <w:sz w:val="24"/>
          <w:szCs w:val="24"/>
        </w:rPr>
        <w:t xml:space="preserve"> </w:t>
      </w:r>
      <w:r w:rsidRPr="00E50302">
        <w:rPr>
          <w:sz w:val="24"/>
          <w:szCs w:val="24"/>
        </w:rPr>
        <w:t xml:space="preserve">(2014) </w:t>
      </w:r>
      <w:r w:rsidRPr="00E50302">
        <w:rPr>
          <w:sz w:val="24"/>
          <w:szCs w:val="24"/>
          <w:lang w:eastAsia="el-GR"/>
        </w:rPr>
        <w:t xml:space="preserve">στην πιλοτική τους μελέτη μεταξύ Ινδών ασθενών υπό </w:t>
      </w:r>
      <w:r w:rsidR="0063629E" w:rsidRPr="00E50302">
        <w:rPr>
          <w:sz w:val="24"/>
          <w:szCs w:val="24"/>
          <w:lang w:eastAsia="el-GR"/>
        </w:rPr>
        <w:t>αιμοκάθαρση</w:t>
      </w:r>
      <w:r w:rsidRPr="00E50302">
        <w:rPr>
          <w:sz w:val="24"/>
          <w:szCs w:val="24"/>
          <w:lang w:eastAsia="el-GR"/>
        </w:rPr>
        <w:t xml:space="preserve"> οι οποίοι δεν βρήκαν συσχέτιση μεταξύ του επιπέδου γνώσης και της συμπεριφοράς συμμόρφωσης στη διαιτητική αγωγή και </w:t>
      </w:r>
      <w:r w:rsidR="00E771C7" w:rsidRPr="00E50302">
        <w:rPr>
          <w:sz w:val="24"/>
          <w:szCs w:val="24"/>
          <w:lang w:eastAsia="el-GR"/>
        </w:rPr>
        <w:t>σ</w:t>
      </w:r>
      <w:r w:rsidRPr="00E50302">
        <w:rPr>
          <w:sz w:val="24"/>
          <w:szCs w:val="24"/>
          <w:lang w:eastAsia="el-GR"/>
        </w:rPr>
        <w:t>τα υγρά.</w:t>
      </w:r>
      <w:r w:rsidRPr="00E50302">
        <w:rPr>
          <w:rFonts w:cstheme="minorHAnsi"/>
          <w:sz w:val="24"/>
          <w:szCs w:val="24"/>
        </w:rPr>
        <w:t xml:space="preserve"> Πολλές μελέτες έχουν δείξει ότι η αύξηση στη γνώση από μόνη της δεν αυξάνει τη συμμόρφωση στην φαρμακευτική αγωγή (</w:t>
      </w:r>
      <w:r w:rsidR="0063629E" w:rsidRPr="00E50302">
        <w:rPr>
          <w:rFonts w:cstheme="minorHAnsi"/>
          <w:sz w:val="24"/>
          <w:szCs w:val="24"/>
          <w:lang w:val="en-US"/>
        </w:rPr>
        <w:t>Lorig</w:t>
      </w:r>
      <w:r w:rsidR="0063629E" w:rsidRPr="00E50302">
        <w:rPr>
          <w:rFonts w:cstheme="minorHAnsi"/>
          <w:sz w:val="24"/>
          <w:szCs w:val="24"/>
        </w:rPr>
        <w:t xml:space="preserve"> et al., 2001; </w:t>
      </w:r>
      <w:r w:rsidRPr="00E50302">
        <w:rPr>
          <w:rFonts w:cstheme="minorHAnsi"/>
          <w:sz w:val="24"/>
          <w:szCs w:val="24"/>
          <w:lang w:val="en-US"/>
        </w:rPr>
        <w:t>Bodenheimer</w:t>
      </w:r>
      <w:r w:rsidRPr="00E50302">
        <w:rPr>
          <w:rFonts w:cstheme="minorHAnsi"/>
          <w:sz w:val="24"/>
          <w:szCs w:val="24"/>
        </w:rPr>
        <w:t xml:space="preserve"> </w:t>
      </w:r>
      <w:r w:rsidR="00566CAA" w:rsidRPr="00E50302">
        <w:rPr>
          <w:rFonts w:cstheme="minorHAnsi"/>
          <w:sz w:val="24"/>
          <w:szCs w:val="24"/>
        </w:rPr>
        <w:t>et al</w:t>
      </w:r>
      <w:r w:rsidR="004B226D" w:rsidRPr="00E50302">
        <w:rPr>
          <w:rFonts w:cstheme="minorHAnsi"/>
          <w:sz w:val="24"/>
          <w:szCs w:val="24"/>
        </w:rPr>
        <w:t>.</w:t>
      </w:r>
      <w:r w:rsidR="0062205E" w:rsidRPr="00E50302">
        <w:rPr>
          <w:rFonts w:cstheme="minorHAnsi"/>
          <w:sz w:val="24"/>
          <w:szCs w:val="24"/>
        </w:rPr>
        <w:t>,</w:t>
      </w:r>
      <w:r w:rsidRPr="00E50302">
        <w:rPr>
          <w:rFonts w:cstheme="minorHAnsi"/>
          <w:sz w:val="24"/>
          <w:szCs w:val="24"/>
        </w:rPr>
        <w:t xml:space="preserve"> 2002;</w:t>
      </w:r>
      <w:r w:rsidR="0063629E" w:rsidRPr="00E50302">
        <w:rPr>
          <w:rFonts w:cstheme="minorHAnsi"/>
          <w:sz w:val="24"/>
          <w:szCs w:val="24"/>
        </w:rPr>
        <w:t xml:space="preserve"> </w:t>
      </w:r>
      <w:r w:rsidR="0063629E" w:rsidRPr="00E50302">
        <w:rPr>
          <w:rFonts w:cstheme="minorHAnsi"/>
          <w:sz w:val="24"/>
          <w:szCs w:val="24"/>
          <w:lang w:val="en-US"/>
        </w:rPr>
        <w:t>Hill</w:t>
      </w:r>
      <w:r w:rsidR="0063629E" w:rsidRPr="00E50302">
        <w:rPr>
          <w:rFonts w:cstheme="minorHAnsi"/>
          <w:sz w:val="24"/>
          <w:szCs w:val="24"/>
        </w:rPr>
        <w:t>-</w:t>
      </w:r>
      <w:r w:rsidR="0063629E" w:rsidRPr="00E50302">
        <w:rPr>
          <w:rFonts w:cstheme="minorHAnsi"/>
          <w:sz w:val="24"/>
          <w:szCs w:val="24"/>
          <w:lang w:val="en-US"/>
        </w:rPr>
        <w:t>Briggs</w:t>
      </w:r>
      <w:r w:rsidR="0063629E" w:rsidRPr="00E50302">
        <w:rPr>
          <w:rFonts w:cstheme="minorHAnsi"/>
          <w:sz w:val="24"/>
          <w:szCs w:val="24"/>
        </w:rPr>
        <w:t>, 2003;</w:t>
      </w:r>
      <w:r w:rsidRPr="00E50302">
        <w:rPr>
          <w:rFonts w:cstheme="minorHAnsi"/>
          <w:sz w:val="24"/>
          <w:szCs w:val="24"/>
        </w:rPr>
        <w:t xml:space="preserve"> </w:t>
      </w:r>
      <w:r w:rsidRPr="00E50302">
        <w:rPr>
          <w:rFonts w:cstheme="minorHAnsi"/>
          <w:sz w:val="24"/>
          <w:szCs w:val="24"/>
          <w:lang w:val="en-US"/>
        </w:rPr>
        <w:t>Hain</w:t>
      </w:r>
      <w:r w:rsidR="00516D72" w:rsidRPr="00E50302">
        <w:rPr>
          <w:rFonts w:cstheme="minorHAnsi"/>
          <w:sz w:val="24"/>
          <w:szCs w:val="24"/>
        </w:rPr>
        <w:t xml:space="preserve"> </w:t>
      </w:r>
      <w:r w:rsidR="00516D72" w:rsidRPr="00E50302">
        <w:rPr>
          <w:rFonts w:cstheme="minorHAnsi"/>
          <w:sz w:val="24"/>
          <w:szCs w:val="24"/>
          <w:lang w:val="en-US"/>
        </w:rPr>
        <w:t>et</w:t>
      </w:r>
      <w:r w:rsidR="00516D72" w:rsidRPr="00E50302">
        <w:rPr>
          <w:rFonts w:cstheme="minorHAnsi"/>
          <w:sz w:val="24"/>
          <w:szCs w:val="24"/>
        </w:rPr>
        <w:t xml:space="preserve"> </w:t>
      </w:r>
      <w:r w:rsidR="00516D72" w:rsidRPr="00E50302">
        <w:rPr>
          <w:rFonts w:cstheme="minorHAnsi"/>
          <w:sz w:val="24"/>
          <w:szCs w:val="24"/>
          <w:lang w:val="en-US"/>
        </w:rPr>
        <w:t>al</w:t>
      </w:r>
      <w:r w:rsidR="00516D72" w:rsidRPr="00E50302">
        <w:rPr>
          <w:rFonts w:cstheme="minorHAnsi"/>
          <w:sz w:val="24"/>
          <w:szCs w:val="24"/>
        </w:rPr>
        <w:t>.,</w:t>
      </w:r>
      <w:r w:rsidR="0063629E" w:rsidRPr="00E50302">
        <w:rPr>
          <w:rFonts w:cstheme="minorHAnsi"/>
          <w:sz w:val="24"/>
          <w:szCs w:val="24"/>
        </w:rPr>
        <w:t xml:space="preserve"> 2009</w:t>
      </w:r>
      <w:r w:rsidR="007E6CFF" w:rsidRPr="00E50302">
        <w:rPr>
          <w:rFonts w:cstheme="minorHAnsi"/>
          <w:sz w:val="24"/>
          <w:szCs w:val="24"/>
        </w:rPr>
        <w:t>)</w:t>
      </w:r>
      <w:r w:rsidRPr="00E50302">
        <w:rPr>
          <w:rFonts w:cstheme="minorHAnsi"/>
          <w:sz w:val="24"/>
          <w:szCs w:val="24"/>
        </w:rPr>
        <w:t xml:space="preserve">. Αυτά τα ευρήματα </w:t>
      </w:r>
      <w:r w:rsidR="00607E7C" w:rsidRPr="00E50302">
        <w:rPr>
          <w:rFonts w:cstheme="minorHAnsi"/>
          <w:sz w:val="24"/>
          <w:szCs w:val="24"/>
        </w:rPr>
        <w:t>συμφωνούν και με τα ευρήματα των</w:t>
      </w:r>
      <w:r w:rsidRPr="00E50302">
        <w:rPr>
          <w:rFonts w:cstheme="minorHAnsi"/>
          <w:sz w:val="24"/>
          <w:szCs w:val="24"/>
        </w:rPr>
        <w:t xml:space="preserve"> </w:t>
      </w:r>
      <w:r w:rsidRPr="00E50302">
        <w:rPr>
          <w:rFonts w:cstheme="minorHAnsi"/>
          <w:sz w:val="24"/>
          <w:szCs w:val="24"/>
          <w:lang w:val="en-US"/>
        </w:rPr>
        <w:t>Long</w:t>
      </w:r>
      <w:r w:rsidR="00607E7C" w:rsidRPr="00E50302">
        <w:rPr>
          <w:rFonts w:cstheme="minorHAnsi"/>
          <w:sz w:val="24"/>
          <w:szCs w:val="24"/>
        </w:rPr>
        <w:t>,</w:t>
      </w:r>
      <w:r w:rsidR="00607E7C" w:rsidRPr="00E50302">
        <w:rPr>
          <w:rFonts w:asciiTheme="minorHAnsi" w:hAnsiTheme="minorHAnsi" w:cstheme="minorHAnsi"/>
        </w:rPr>
        <w:t xml:space="preserve"> </w:t>
      </w:r>
      <w:r w:rsidR="00607E7C" w:rsidRPr="00E50302">
        <w:rPr>
          <w:rFonts w:asciiTheme="minorHAnsi" w:hAnsiTheme="minorHAnsi" w:cstheme="minorHAnsi"/>
          <w:sz w:val="24"/>
          <w:szCs w:val="24"/>
          <w:lang w:val="en-US"/>
        </w:rPr>
        <w:t>Kee</w:t>
      </w:r>
      <w:r w:rsidR="00607E7C" w:rsidRPr="00E50302">
        <w:rPr>
          <w:rFonts w:asciiTheme="minorHAnsi" w:hAnsiTheme="minorHAnsi" w:cstheme="minorHAnsi"/>
          <w:sz w:val="24"/>
          <w:szCs w:val="24"/>
        </w:rPr>
        <w:t xml:space="preserve">, </w:t>
      </w:r>
      <w:r w:rsidR="00607E7C" w:rsidRPr="00E50302">
        <w:rPr>
          <w:rFonts w:asciiTheme="minorHAnsi" w:hAnsiTheme="minorHAnsi" w:cstheme="minorHAnsi"/>
          <w:sz w:val="24"/>
          <w:szCs w:val="24"/>
          <w:lang w:val="en-US"/>
        </w:rPr>
        <w:t>Graham</w:t>
      </w:r>
      <w:r w:rsidR="00607E7C" w:rsidRPr="00E50302">
        <w:rPr>
          <w:rFonts w:asciiTheme="minorHAnsi" w:hAnsiTheme="minorHAnsi" w:cstheme="minorHAnsi"/>
          <w:sz w:val="24"/>
          <w:szCs w:val="24"/>
        </w:rPr>
        <w:t xml:space="preserve">, </w:t>
      </w:r>
      <w:r w:rsidR="00607E7C" w:rsidRPr="00E50302">
        <w:rPr>
          <w:rFonts w:asciiTheme="minorHAnsi" w:hAnsiTheme="minorHAnsi" w:cstheme="minorHAnsi"/>
          <w:sz w:val="24"/>
          <w:szCs w:val="24"/>
          <w:lang w:val="en-US"/>
        </w:rPr>
        <w:t>Saethang</w:t>
      </w:r>
      <w:r w:rsidR="0063629E" w:rsidRPr="00E50302">
        <w:rPr>
          <w:rFonts w:cs="Calibri"/>
          <w:sz w:val="24"/>
          <w:szCs w:val="24"/>
        </w:rPr>
        <w:t>, και</w:t>
      </w:r>
      <w:r w:rsidR="00607E7C" w:rsidRPr="00E50302">
        <w:rPr>
          <w:rFonts w:asciiTheme="minorHAnsi" w:hAnsiTheme="minorHAnsi" w:cstheme="minorHAnsi"/>
          <w:sz w:val="24"/>
          <w:szCs w:val="24"/>
        </w:rPr>
        <w:t xml:space="preserve"> </w:t>
      </w:r>
      <w:r w:rsidR="00607E7C" w:rsidRPr="00E50302">
        <w:rPr>
          <w:rFonts w:asciiTheme="minorHAnsi" w:hAnsiTheme="minorHAnsi" w:cstheme="minorHAnsi"/>
          <w:sz w:val="24"/>
          <w:szCs w:val="24"/>
          <w:lang w:val="en-US"/>
        </w:rPr>
        <w:t>Dames</w:t>
      </w:r>
      <w:r w:rsidR="00607E7C" w:rsidRPr="00E50302">
        <w:rPr>
          <w:rFonts w:cstheme="minorHAnsi"/>
          <w:sz w:val="24"/>
          <w:szCs w:val="24"/>
        </w:rPr>
        <w:t xml:space="preserve"> </w:t>
      </w:r>
      <w:r w:rsidR="0063629E" w:rsidRPr="00E50302">
        <w:rPr>
          <w:rFonts w:cstheme="minorHAnsi"/>
          <w:sz w:val="24"/>
          <w:szCs w:val="24"/>
        </w:rPr>
        <w:t>(1998) που έδειξαν</w:t>
      </w:r>
      <w:r w:rsidRPr="00E50302">
        <w:rPr>
          <w:rFonts w:cstheme="minorHAnsi"/>
          <w:sz w:val="24"/>
          <w:szCs w:val="24"/>
        </w:rPr>
        <w:t xml:space="preserve"> ότι η συμμόρφωση στη φαρμακευτική αγωγή δεν αυξήθηκε μετά από μια συμβουλευτική παρέμβαση. Οι </w:t>
      </w:r>
      <w:r w:rsidRPr="00E50302">
        <w:rPr>
          <w:rFonts w:cstheme="minorHAnsi"/>
          <w:sz w:val="24"/>
          <w:szCs w:val="24"/>
          <w:lang w:val="en-US"/>
        </w:rPr>
        <w:t>Devins</w:t>
      </w:r>
      <w:r w:rsidRPr="00E50302">
        <w:rPr>
          <w:rFonts w:cstheme="minorHAnsi"/>
          <w:sz w:val="24"/>
          <w:szCs w:val="24"/>
        </w:rPr>
        <w:t xml:space="preserve"> </w:t>
      </w:r>
      <w:r w:rsidR="00566CAA" w:rsidRPr="00E50302">
        <w:rPr>
          <w:rFonts w:cstheme="minorHAnsi"/>
          <w:sz w:val="24"/>
          <w:szCs w:val="24"/>
        </w:rPr>
        <w:t>et al</w:t>
      </w:r>
      <w:r w:rsidR="00642ED2" w:rsidRPr="00E50302">
        <w:rPr>
          <w:rFonts w:cstheme="minorHAnsi"/>
          <w:sz w:val="24"/>
          <w:szCs w:val="24"/>
        </w:rPr>
        <w:t>.</w:t>
      </w:r>
      <w:r w:rsidRPr="00E50302">
        <w:rPr>
          <w:rFonts w:cstheme="minorHAnsi"/>
          <w:sz w:val="24"/>
          <w:szCs w:val="24"/>
        </w:rPr>
        <w:t xml:space="preserve"> (1990) έδειξαν ότι η συμβουλευτική παρέμβαση αυξάνει μόνο τη γνώση και όχι τη συμμόρφωση.</w:t>
      </w:r>
      <w:r w:rsidR="00FF3109" w:rsidRPr="00E50302">
        <w:rPr>
          <w:rFonts w:cstheme="minorHAnsi"/>
          <w:sz w:val="24"/>
          <w:szCs w:val="24"/>
        </w:rPr>
        <w:t xml:space="preserve"> Τα ευρήματα αυτά έρχονται σε αντίθεση με πρόσφατη μελέτη που έγινε από τους Barnett </w:t>
      </w:r>
      <w:r w:rsidR="00566CAA" w:rsidRPr="00E50302">
        <w:rPr>
          <w:rFonts w:cstheme="minorHAnsi"/>
          <w:sz w:val="24"/>
          <w:szCs w:val="24"/>
        </w:rPr>
        <w:t>et al</w:t>
      </w:r>
      <w:r w:rsidR="0010246A" w:rsidRPr="00E50302">
        <w:rPr>
          <w:rFonts w:cstheme="minorHAnsi"/>
          <w:sz w:val="24"/>
          <w:szCs w:val="24"/>
        </w:rPr>
        <w:t>.</w:t>
      </w:r>
      <w:r w:rsidR="00264F66" w:rsidRPr="00E50302">
        <w:rPr>
          <w:rFonts w:cstheme="minorHAnsi"/>
          <w:sz w:val="24"/>
          <w:szCs w:val="24"/>
        </w:rPr>
        <w:t xml:space="preserve"> (2008), σύμφωνα με την οποία</w:t>
      </w:r>
      <w:r w:rsidR="00FF3109" w:rsidRPr="00E50302">
        <w:rPr>
          <w:rFonts w:cstheme="minorHAnsi"/>
          <w:sz w:val="24"/>
          <w:szCs w:val="24"/>
        </w:rPr>
        <w:t xml:space="preserve"> η εκπαίδευση επηρέασε την συμμόρφωση.</w:t>
      </w:r>
    </w:p>
    <w:p w:rsidR="00D7127A" w:rsidRPr="00E50302" w:rsidRDefault="00FF3109" w:rsidP="005A464E">
      <w:pPr>
        <w:pStyle w:val="nouk"/>
      </w:pPr>
      <w:r w:rsidRPr="00E50302">
        <w:t>Στη μελέτη αυτή υ</w:t>
      </w:r>
      <w:r w:rsidR="00D7127A" w:rsidRPr="00E50302">
        <w:t>πήρξε σημαντική θετική συσχέτιση της μεταβολής της συνολ</w:t>
      </w:r>
      <w:r w:rsidRPr="00E50302">
        <w:t>ικής βαθμολογίας ποιότητας ζωής</w:t>
      </w:r>
      <w:r w:rsidR="00D7127A" w:rsidRPr="00E50302">
        <w:rPr>
          <w:szCs w:val="18"/>
        </w:rPr>
        <w:t xml:space="preserve"> με τις μεταβολές στη συνολική βαθμολογία συμμόρφωσης καθώς και στη συμμόρφωση </w:t>
      </w:r>
      <w:r w:rsidR="00D7127A" w:rsidRPr="00E50302">
        <w:t xml:space="preserve">με τα υγρά και </w:t>
      </w:r>
      <w:r w:rsidR="000319BD" w:rsidRPr="00E50302">
        <w:t>τη διαιτητική συμπεριφορά. Επομένως,</w:t>
      </w:r>
      <w:r w:rsidR="00D7127A" w:rsidRPr="00E50302">
        <w:t xml:space="preserve"> όσο μεγαλύτερη ήταν η βελτίωση στη συμμόρφωση των συμμετεχόντων γενικά αλλά και με τα υγρά και τη διαιτητική συμπεριφορά, τόσο μεγαλύτερη βελτίωση είχαν στην ποιότητα ζωής τους συνολικά.</w:t>
      </w:r>
    </w:p>
    <w:p w:rsidR="00EC3C38" w:rsidRPr="00E50302" w:rsidRDefault="00EC3C38" w:rsidP="005A464E">
      <w:pPr>
        <w:pStyle w:val="nouk"/>
      </w:pPr>
    </w:p>
    <w:p w:rsidR="00EC3C38" w:rsidRPr="00E50302" w:rsidRDefault="00FC4321" w:rsidP="005A464E">
      <w:pPr>
        <w:pStyle w:val="nouk"/>
        <w:rPr>
          <w:b/>
          <w:u w:val="single"/>
        </w:rPr>
      </w:pPr>
      <w:r w:rsidRPr="00E50302">
        <w:rPr>
          <w:b/>
        </w:rPr>
        <w:t xml:space="preserve">Συσχέτιση των μεταβολών των κλιμάκων της μελέτης με δημογραφικά και κλινικά στοιχεία των συμμετεχόντων της </w:t>
      </w:r>
      <w:r w:rsidRPr="00E50302">
        <w:rPr>
          <w:b/>
          <w:u w:val="single"/>
        </w:rPr>
        <w:t>ομάδας παρέμβασης</w:t>
      </w:r>
    </w:p>
    <w:p w:rsidR="00D7127A" w:rsidRPr="005A464E" w:rsidRDefault="00D7127A" w:rsidP="005A464E">
      <w:pPr>
        <w:pStyle w:val="nouk"/>
      </w:pPr>
      <w:r w:rsidRPr="00E50302">
        <w:t>Η μεταβολή στη βαθμολογία γνώσεων βρέθηκε να σχετίζεται</w:t>
      </w:r>
      <w:r w:rsidR="00EC3C38" w:rsidRPr="00E50302">
        <w:t xml:space="preserve"> αρνητικά σημαντικά με τα έτη υπό</w:t>
      </w:r>
      <w:r w:rsidRPr="00E50302">
        <w:t xml:space="preserve"> </w:t>
      </w:r>
      <w:r w:rsidR="00DF4830" w:rsidRPr="00E50302">
        <w:t>αιμοκάθαρση</w:t>
      </w:r>
      <w:r w:rsidRPr="00E50302">
        <w:t>. Ο</w:t>
      </w:r>
      <w:r w:rsidR="00EC3C38" w:rsidRPr="00E50302">
        <w:t xml:space="preserve">πότε, </w:t>
      </w:r>
      <w:r w:rsidR="00E771C7" w:rsidRPr="00E50302">
        <w:t>όσο περισσότερα έτη υποβάλλονταν</w:t>
      </w:r>
      <w:r w:rsidR="00EC3C38" w:rsidRPr="00E50302">
        <w:t xml:space="preserve"> σε</w:t>
      </w:r>
      <w:r w:rsidRPr="00E50302">
        <w:t xml:space="preserve"> </w:t>
      </w:r>
      <w:r w:rsidR="000B7506" w:rsidRPr="00E50302">
        <w:t>αιμοκάθαρση</w:t>
      </w:r>
      <w:r w:rsidRPr="00E50302">
        <w:t xml:space="preserve"> τόσο μικρότερη ήταν</w:t>
      </w:r>
      <w:r w:rsidRPr="005A464E">
        <w:t xml:space="preserve"> η αύξηση στις γνώσεις τους.</w:t>
      </w:r>
    </w:p>
    <w:p w:rsidR="00D7127A" w:rsidRPr="00E50302" w:rsidRDefault="00D7127A" w:rsidP="005A464E">
      <w:pPr>
        <w:pStyle w:val="nouk"/>
      </w:pPr>
      <w:r w:rsidRPr="005A464E">
        <w:t>Πριν την παρέμβαση ήταν ενδεικτική η διαφορά στη διάσταση «</w:t>
      </w:r>
      <w:r w:rsidR="0076474F" w:rsidRPr="00E50302">
        <w:t>Συμπτώματα</w:t>
      </w:r>
      <w:r w:rsidRPr="00E50302">
        <w:t>» μεταξύ αντρών και γυναικών (</w:t>
      </w:r>
      <w:r w:rsidRPr="00E50302">
        <w:rPr>
          <w:lang w:val="en-US"/>
        </w:rPr>
        <w:t>p</w:t>
      </w:r>
      <w:r w:rsidR="00D66B21" w:rsidRPr="00E50302">
        <w:t>=</w:t>
      </w:r>
      <w:r w:rsidR="00EF6A06" w:rsidRPr="00E50302">
        <w:t>0,</w:t>
      </w:r>
      <w:r w:rsidRPr="00E50302">
        <w:t>084). Ωστόσο, σημειώθηκε σημαντική αύξηση μετά την παρέμβαση μόνο στις γυναίκες (</w:t>
      </w:r>
      <w:r w:rsidRPr="00E50302">
        <w:rPr>
          <w:lang w:val="en-US"/>
        </w:rPr>
        <w:t>p</w:t>
      </w:r>
      <w:r w:rsidR="00EF6A06" w:rsidRPr="00E50302">
        <w:t>=0,</w:t>
      </w:r>
      <w:r w:rsidRPr="00E50302">
        <w:t>004), φτάνοντας σε παρόμοια επίπεδα με τους άντρες (</w:t>
      </w:r>
      <w:r w:rsidRPr="00E50302">
        <w:rPr>
          <w:lang w:val="en-US"/>
        </w:rPr>
        <w:t>p</w:t>
      </w:r>
      <w:r w:rsidR="00EF6A06" w:rsidRPr="00E50302">
        <w:t>=0,</w:t>
      </w:r>
      <w:r w:rsidRPr="00E50302">
        <w:t xml:space="preserve">686). </w:t>
      </w:r>
      <w:r w:rsidR="00A43272" w:rsidRPr="00E50302">
        <w:t xml:space="preserve">Ο </w:t>
      </w:r>
      <w:r w:rsidR="00A43272" w:rsidRPr="00E50302">
        <w:rPr>
          <w:lang w:val="en-US"/>
        </w:rPr>
        <w:t>Santos</w:t>
      </w:r>
      <w:r w:rsidR="00A43272" w:rsidRPr="00E50302">
        <w:t xml:space="preserve"> (</w:t>
      </w:r>
      <w:r w:rsidR="008C2B91" w:rsidRPr="00E50302">
        <w:t>2006</w:t>
      </w:r>
      <w:r w:rsidR="00A43272" w:rsidRPr="00E50302">
        <w:t>) δεν ανέδειξ</w:t>
      </w:r>
      <w:r w:rsidR="008C2B91" w:rsidRPr="00E50302">
        <w:t>ε</w:t>
      </w:r>
      <w:r w:rsidR="00A43272" w:rsidRPr="00E50302">
        <w:t xml:space="preserve"> συσχέτιση μεταξύ γένους και ΠΖ</w:t>
      </w:r>
      <w:r w:rsidR="008C2B91" w:rsidRPr="00E50302">
        <w:t>.</w:t>
      </w:r>
    </w:p>
    <w:p w:rsidR="0017184E" w:rsidRPr="00E50302" w:rsidRDefault="00D7127A" w:rsidP="005A464E">
      <w:pPr>
        <w:pStyle w:val="nouk"/>
      </w:pPr>
      <w:r w:rsidRPr="00E50302">
        <w:t>Υπήρξε σημαντική θετική συσχέτιση της ηλικίας των συμμετεχόντων με την βελ</w:t>
      </w:r>
      <w:r w:rsidR="00D15770" w:rsidRPr="00E50302">
        <w:t>τίωση στη διάσταση «Πνευματικότητα</w:t>
      </w:r>
      <w:r w:rsidRPr="00E50302">
        <w:t xml:space="preserve">». Συνεπώς, όσο μεγαλύτεροι σε ηλικία ήταν οι συμμετέχοντες τόσο περισσότερο </w:t>
      </w:r>
      <w:r w:rsidR="00D15770" w:rsidRPr="00E50302">
        <w:t>βελτιώθηκαν στη διάσταση «Πνευματικότητα</w:t>
      </w:r>
      <w:r w:rsidRPr="00E50302">
        <w:t>».</w:t>
      </w:r>
      <w:r w:rsidR="00A43272" w:rsidRPr="00E50302">
        <w:t xml:space="preserve"> </w:t>
      </w:r>
    </w:p>
    <w:p w:rsidR="00D7127A" w:rsidRDefault="00D7127A" w:rsidP="005A464E">
      <w:pPr>
        <w:pStyle w:val="nouk"/>
      </w:pPr>
      <w:r w:rsidRPr="00E50302">
        <w:t>Υπήρξε σημαντική θετική συσχέτιση της ηλικίας των συμμετεχόντων με την βελτίωση στη ποιότητα ζωής συνολικά. Συνεπώς, όσο μεγαλύτεροι σε ηλικία ήταν οι συμμετέχοντες τόσο περισσότερο βελτιώθηκε η ποιότητα ζωής</w:t>
      </w:r>
      <w:r w:rsidRPr="005A464E">
        <w:t xml:space="preserve"> τους.</w:t>
      </w:r>
      <w:r w:rsidR="00A43272" w:rsidRPr="005A464E">
        <w:t xml:space="preserve"> Ο </w:t>
      </w:r>
      <w:r w:rsidR="00A43272" w:rsidRPr="005A464E">
        <w:rPr>
          <w:lang w:val="en-US"/>
        </w:rPr>
        <w:t>Santos</w:t>
      </w:r>
      <w:r w:rsidR="00A43272" w:rsidRPr="005A464E">
        <w:t xml:space="preserve"> (</w:t>
      </w:r>
      <w:r w:rsidR="008C2B91" w:rsidRPr="005A464E">
        <w:t>2006</w:t>
      </w:r>
      <w:r w:rsidR="00A43272" w:rsidRPr="005A464E">
        <w:t>) αναφέ</w:t>
      </w:r>
      <w:r w:rsidR="008C2B91" w:rsidRPr="005A464E">
        <w:t>ρει</w:t>
      </w:r>
      <w:r w:rsidR="00A43272" w:rsidRPr="005A464E">
        <w:t xml:space="preserve"> </w:t>
      </w:r>
      <w:r w:rsidR="00817853">
        <w:t>μια</w:t>
      </w:r>
      <w:r w:rsidR="00A43272" w:rsidRPr="005A464E">
        <w:t xml:space="preserve"> αρνητική συσχέτιση μεταξύ της ηλικίας και της φυσικής διάστασης της ΠΖ.</w:t>
      </w:r>
    </w:p>
    <w:p w:rsidR="00A43379" w:rsidRPr="005A464E" w:rsidRDefault="00A43379" w:rsidP="005A464E">
      <w:pPr>
        <w:pStyle w:val="nouk"/>
      </w:pPr>
    </w:p>
    <w:p w:rsidR="00EC3C38" w:rsidRPr="005A464E" w:rsidRDefault="00EC3C38" w:rsidP="005A464E">
      <w:pPr>
        <w:pStyle w:val="nouk"/>
        <w:rPr>
          <w:b/>
        </w:rPr>
      </w:pPr>
      <w:r w:rsidRPr="005A464E">
        <w:rPr>
          <w:b/>
        </w:rPr>
        <w:t>Συσχέτιση των κλιμάκων στο συνολικό δείγμα</w:t>
      </w:r>
      <w:r w:rsidR="00264F66">
        <w:rPr>
          <w:b/>
        </w:rPr>
        <w:t xml:space="preserve"> (Ν=321) </w:t>
      </w:r>
    </w:p>
    <w:p w:rsidR="00EC3C38" w:rsidRPr="005A464E" w:rsidRDefault="00EC3C38" w:rsidP="005A464E">
      <w:pPr>
        <w:pStyle w:val="nouk"/>
        <w:ind w:left="360"/>
        <w:rPr>
          <w:b/>
          <w:color w:val="00B050"/>
        </w:rPr>
      </w:pPr>
    </w:p>
    <w:p w:rsidR="00D15770" w:rsidRPr="006C17AA" w:rsidRDefault="00D15770" w:rsidP="006C17AA">
      <w:pPr>
        <w:pStyle w:val="nouk"/>
        <w:rPr>
          <w:b/>
          <w:i/>
        </w:rPr>
      </w:pPr>
      <w:r w:rsidRPr="006C17AA">
        <w:rPr>
          <w:b/>
          <w:i/>
        </w:rPr>
        <w:t xml:space="preserve">Γνώσεις </w:t>
      </w:r>
    </w:p>
    <w:p w:rsidR="00474E2F" w:rsidRPr="005A464E" w:rsidRDefault="00474E2F" w:rsidP="005A464E">
      <w:pPr>
        <w:pStyle w:val="nouk"/>
      </w:pPr>
      <w:r w:rsidRPr="005A464E">
        <w:t>Η μέση βαθμολογία στην ποσοστιαία κλίμακα ήταν 50,4% (</w:t>
      </w:r>
      <w:r w:rsidR="00D225F5" w:rsidRPr="005A464E">
        <w:t>ΤΑ</w:t>
      </w:r>
      <w:r w:rsidRPr="005A464E">
        <w:t xml:space="preserve">=19,2%). </w:t>
      </w:r>
    </w:p>
    <w:p w:rsidR="00474E2F" w:rsidRPr="005A464E" w:rsidRDefault="00D15770" w:rsidP="005A464E">
      <w:pPr>
        <w:pStyle w:val="nouk"/>
      </w:pPr>
      <w:r w:rsidRPr="005A464E">
        <w:t xml:space="preserve">Η ηλικία, το αν έμεναν μόνοι τους, το </w:t>
      </w:r>
      <w:r w:rsidR="000D053B">
        <w:t>εκπαιδευτικό</w:t>
      </w:r>
      <w:r w:rsidRPr="005A464E">
        <w:t xml:space="preserve"> επίπε</w:t>
      </w:r>
      <w:r w:rsidR="00264F66">
        <w:t>δο, τα έτη από τη διάγνωση και η</w:t>
      </w:r>
      <w:r w:rsidRPr="005A464E">
        <w:t xml:space="preserve"> </w:t>
      </w:r>
      <w:r w:rsidR="00E771C7">
        <w:t>μέθοδ</w:t>
      </w:r>
      <w:r w:rsidR="006E0A0A">
        <w:t>ος αγγειακής προσπέλασης</w:t>
      </w:r>
      <w:r w:rsidRPr="005A464E">
        <w:t xml:space="preserve"> βρέθηκαν να σχετίζονται ανεξάρτητα με τη βαθμολογία γνώσεων. Συγκεκριμένα</w:t>
      </w:r>
      <w:r w:rsidR="00EC3C38" w:rsidRPr="005A464E">
        <w:t>, ό</w:t>
      </w:r>
      <w:r w:rsidR="00474E2F" w:rsidRPr="005A464E">
        <w:t>σο αυξάνεται η ηλικία τόσο χαμηλότερη βαθμολογία είχαν, που υποδηλώνει μικρότερη γνώση.</w:t>
      </w:r>
      <w:r w:rsidR="00264F66">
        <w:t xml:space="preserve"> </w:t>
      </w:r>
      <w:r w:rsidR="00474E2F" w:rsidRPr="005A464E">
        <w:t>Οι συμμετέχοντες που δεν έμεναν μόνοι τους είχαν κατά 1,81 μονάδες χαμηλότερη βαθμολογία σε σύγκριση με τους συμμετέχοντες που έ</w:t>
      </w:r>
      <w:r w:rsidR="00A43379">
        <w:t>μεναν μόνοι τους. Οι απόφοιτοι Γυμνασίου/Λ</w:t>
      </w:r>
      <w:r w:rsidR="00474E2F" w:rsidRPr="005A464E">
        <w:t>υκείου είχαν κατά 2,34 μονάδες υψηλότερη βαθμολογία σε σύγκριση με τους αν</w:t>
      </w:r>
      <w:r w:rsidR="00264F66">
        <w:t>αλφάβητους και τους απόφοιτους Δ</w:t>
      </w:r>
      <w:r w:rsidR="00474E2F" w:rsidRPr="005A464E">
        <w:t>ημοτικού.</w:t>
      </w:r>
      <w:r w:rsidR="00E771C7">
        <w:t xml:space="preserve"> </w:t>
      </w:r>
      <w:r w:rsidR="00474E2F" w:rsidRPr="005A464E">
        <w:t>Οι φοιτητές και οι πτυχιούχοι ΤΕΙ/ΑΕΙ είχαν κατά 3,65 μονάδες υψηλότερη βαθμολογία σε σύγκριση με τους αναλφάβητο</w:t>
      </w:r>
      <w:r w:rsidR="00264F66">
        <w:t>υς και τους απόφοιτους Δ</w:t>
      </w:r>
      <w:r w:rsidR="00474E2F" w:rsidRPr="005A464E">
        <w:t>η</w:t>
      </w:r>
      <w:r w:rsidR="00E771C7">
        <w:t>μοτικού. Όσο περισσότερα έτη είχα</w:t>
      </w:r>
      <w:r w:rsidR="00474E2F" w:rsidRPr="005A464E">
        <w:t>ν διαγνωστεί με ΧΝΝ τόσο υψηλότερη βαθμολογία είχαν. Οι συμ</w:t>
      </w:r>
      <w:r w:rsidR="00E771C7">
        <w:t>μετέχοντες που έκαναν αιμοκάθαρ</w:t>
      </w:r>
      <w:r w:rsidR="00474E2F" w:rsidRPr="005A464E">
        <w:t xml:space="preserve">ση με </w:t>
      </w:r>
      <w:r w:rsidR="006C17AA">
        <w:t xml:space="preserve">κεντρικό φλεβικό </w:t>
      </w:r>
      <w:r w:rsidR="00474E2F" w:rsidRPr="005A464E">
        <w:t>καθετήρα είχαν κατά 2,13 μονάδες χαμηλότερη βαθμολογία σε σύγκριση με τους συμ</w:t>
      </w:r>
      <w:r w:rsidR="00E771C7">
        <w:t>μετέχοντες που έκαναν αιμοκάθαρ</w:t>
      </w:r>
      <w:r w:rsidR="00474E2F" w:rsidRPr="005A464E">
        <w:t xml:space="preserve">ση με φίστουλα. </w:t>
      </w:r>
    </w:p>
    <w:p w:rsidR="00474E2F" w:rsidRPr="005A464E" w:rsidRDefault="00474E2F" w:rsidP="005A464E">
      <w:pPr>
        <w:pStyle w:val="nouk"/>
        <w:ind w:left="720"/>
        <w:rPr>
          <w:b/>
          <w:color w:val="00B050"/>
        </w:rPr>
      </w:pPr>
    </w:p>
    <w:p w:rsidR="00D15770" w:rsidRPr="005A464E" w:rsidRDefault="00D15770" w:rsidP="006C17AA">
      <w:pPr>
        <w:pStyle w:val="nouk"/>
        <w:spacing w:after="240"/>
        <w:rPr>
          <w:b/>
          <w:i/>
        </w:rPr>
      </w:pPr>
      <w:r w:rsidRPr="005A464E">
        <w:rPr>
          <w:b/>
          <w:i/>
        </w:rPr>
        <w:t xml:space="preserve">Συμμόρφωση </w:t>
      </w:r>
    </w:p>
    <w:p w:rsidR="00D66B21" w:rsidRDefault="006E06CC" w:rsidP="005A464E">
      <w:pPr>
        <w:pStyle w:val="nouk"/>
      </w:pPr>
      <w:r w:rsidRPr="005A464E">
        <w:t xml:space="preserve">Η </w:t>
      </w:r>
      <w:r w:rsidR="00D66B21" w:rsidRPr="005A464E">
        <w:t>μέση τ</w:t>
      </w:r>
      <w:r w:rsidR="00540593" w:rsidRPr="005A464E">
        <w:t>ιμή</w:t>
      </w:r>
      <w:r w:rsidRPr="005A464E">
        <w:t xml:space="preserve"> </w:t>
      </w:r>
      <w:r w:rsidR="006C17AA">
        <w:t xml:space="preserve">στην κλίμακα της συμμόρφωσης </w:t>
      </w:r>
      <w:r w:rsidRPr="005A464E">
        <w:t>ήταν ίση με 6,35 μονάδες (</w:t>
      </w:r>
      <w:r w:rsidR="00D225F5" w:rsidRPr="005A464E">
        <w:t>ΤΑ</w:t>
      </w:r>
      <w:r w:rsidRPr="005A464E">
        <w:t>=1,64 μονάδες).</w:t>
      </w:r>
      <w:r w:rsidR="0078495A">
        <w:t xml:space="preserve"> </w:t>
      </w:r>
    </w:p>
    <w:p w:rsidR="006C17AA" w:rsidRPr="005A464E" w:rsidRDefault="006C17AA" w:rsidP="005A464E">
      <w:pPr>
        <w:pStyle w:val="nouk"/>
      </w:pPr>
    </w:p>
    <w:p w:rsidR="00D66B21" w:rsidRDefault="006E06CC" w:rsidP="005A464E">
      <w:pPr>
        <w:pStyle w:val="nouk"/>
      </w:pPr>
      <w:r w:rsidRPr="005A464E">
        <w:t xml:space="preserve">Το </w:t>
      </w:r>
      <w:r w:rsidR="000D053B">
        <w:t>εκπαιδευτικό</w:t>
      </w:r>
      <w:r w:rsidR="006C17AA">
        <w:t xml:space="preserve"> επίπεδο, η γνώση και η</w:t>
      </w:r>
      <w:r w:rsidR="00E771C7">
        <w:t xml:space="preserve"> μέθοδ</w:t>
      </w:r>
      <w:r w:rsidRPr="005A464E">
        <w:t xml:space="preserve">ος </w:t>
      </w:r>
      <w:r w:rsidR="006E0A0A">
        <w:t>αγειακής προσπέλασ</w:t>
      </w:r>
      <w:r w:rsidRPr="005A464E">
        <w:t xml:space="preserve">ης βρέθηκαν να σχετίζονται ανεξάρτητα με τη συνολική βαθμολογία συμμόρφωσης των συμμετεχόντων. </w:t>
      </w:r>
    </w:p>
    <w:p w:rsidR="006C17AA" w:rsidRPr="005A464E" w:rsidRDefault="006C17AA" w:rsidP="005A464E">
      <w:pPr>
        <w:pStyle w:val="nouk"/>
      </w:pPr>
    </w:p>
    <w:p w:rsidR="00EC3C38" w:rsidRDefault="00EC3C38" w:rsidP="005A464E">
      <w:pPr>
        <w:pStyle w:val="nouk"/>
      </w:pPr>
      <w:r w:rsidRPr="005A464E">
        <w:t>Ο</w:t>
      </w:r>
      <w:r w:rsidR="00A43379">
        <w:t>ι απόφοιτοι Γυμνασίου/Λ</w:t>
      </w:r>
      <w:r w:rsidR="00474E2F" w:rsidRPr="005A464E">
        <w:t>υκείου είχαν σημαντικά υψηλότερη βαθμολογία, δηλαδή καλύτερη συμμόρφωση συνολικά, σε σύγκριση με τους αν</w:t>
      </w:r>
      <w:r w:rsidR="006C17AA">
        <w:t>αλφάβητους και τους απόφοιτους Δ</w:t>
      </w:r>
      <w:r w:rsidR="00474E2F" w:rsidRPr="005A464E">
        <w:t>ημοτικού.</w:t>
      </w:r>
      <w:r w:rsidR="00D66B21" w:rsidRPr="005A464E">
        <w:t xml:space="preserve"> </w:t>
      </w:r>
      <w:r w:rsidR="00474E2F" w:rsidRPr="005A464E">
        <w:t>Οι φοιτητές και οι πτυχιούχοι ΤΕΙ/ΑΕΙ είχαν σημαντικά υψηλότερη βαθμολογία σε σύγκριση με τους αν</w:t>
      </w:r>
      <w:r w:rsidR="006C17AA">
        <w:t>αλφάβητους και τους απόφοιτους Δ</w:t>
      </w:r>
      <w:r w:rsidR="00474E2F" w:rsidRPr="005A464E">
        <w:t>ημοτικού.</w:t>
      </w:r>
      <w:r w:rsidR="00D66B21" w:rsidRPr="005A464E">
        <w:t xml:space="preserve"> </w:t>
      </w:r>
      <w:r w:rsidR="00474E2F" w:rsidRPr="005A464E">
        <w:t>Ό</w:t>
      </w:r>
      <w:r w:rsidR="00E771C7">
        <w:t>σο υψηλότερα επίπεδα γνώσης είχα</w:t>
      </w:r>
      <w:r w:rsidR="00474E2F" w:rsidRPr="005A464E">
        <w:t xml:space="preserve">ν τόσο υψηλότερη </w:t>
      </w:r>
      <w:r w:rsidR="00E771C7">
        <w:t>ήταν η βαθμολογία συμμόρφωσης</w:t>
      </w:r>
      <w:r w:rsidR="00474E2F" w:rsidRPr="005A464E">
        <w:t>.</w:t>
      </w:r>
      <w:r w:rsidR="00D66B21" w:rsidRPr="005A464E">
        <w:t xml:space="preserve"> </w:t>
      </w:r>
      <w:r w:rsidR="00474E2F" w:rsidRPr="005A464E">
        <w:t>Οι συμ</w:t>
      </w:r>
      <w:r w:rsidR="00E771C7">
        <w:t>μετέχοντες που έκαναν αιμοκάθαρ</w:t>
      </w:r>
      <w:r w:rsidR="00474E2F" w:rsidRPr="005A464E">
        <w:t xml:space="preserve">ση με </w:t>
      </w:r>
      <w:r w:rsidR="00E771C7">
        <w:t xml:space="preserve">κεντρικό φλεβικό </w:t>
      </w:r>
      <w:r w:rsidR="00474E2F" w:rsidRPr="005A464E">
        <w:t>καθετήρα είχαν σημαντικά χαμηλότερη βαθμολογία σε σύγκριση με τους συμ</w:t>
      </w:r>
      <w:r w:rsidR="00E771C7">
        <w:t>μετέχοντες που έκαναν αιμοκάθαρ</w:t>
      </w:r>
      <w:r w:rsidR="00474E2F" w:rsidRPr="005A464E">
        <w:t>ση με φίστουλα</w:t>
      </w:r>
      <w:r w:rsidRPr="005A464E">
        <w:t>.</w:t>
      </w:r>
    </w:p>
    <w:p w:rsidR="006C17AA" w:rsidRPr="000B7506" w:rsidRDefault="006C17AA" w:rsidP="005A464E">
      <w:pPr>
        <w:pStyle w:val="nouk"/>
      </w:pPr>
    </w:p>
    <w:p w:rsidR="006E06CC" w:rsidRDefault="006E06CC" w:rsidP="005A464E">
      <w:pPr>
        <w:pStyle w:val="nouk"/>
        <w:rPr>
          <w:i/>
        </w:rPr>
      </w:pPr>
      <w:r w:rsidRPr="005A464E">
        <w:t xml:space="preserve">Το </w:t>
      </w:r>
      <w:r w:rsidR="000D053B">
        <w:t>εκπαιδευτικό</w:t>
      </w:r>
      <w:r w:rsidR="006C17AA">
        <w:t xml:space="preserve"> επίπεδο, η</w:t>
      </w:r>
      <w:r w:rsidRPr="005A464E">
        <w:t xml:space="preserve"> </w:t>
      </w:r>
      <w:r w:rsidR="00E771C7">
        <w:t>μέθοδος</w:t>
      </w:r>
      <w:r w:rsidR="006E0A0A">
        <w:t xml:space="preserve"> αγγειακής προσπέλα</w:t>
      </w:r>
      <w:r w:rsidRPr="005A464E">
        <w:t xml:space="preserve">σης και ο ημερήσιος αριθμός </w:t>
      </w:r>
      <w:r w:rsidR="00B0098B">
        <w:t>δισκίων</w:t>
      </w:r>
      <w:r w:rsidRPr="005A464E">
        <w:t xml:space="preserve"> βρέθηκαν να σχετίζονται ανεξάρτητα με τη βαθμολογία </w:t>
      </w:r>
      <w:r w:rsidR="00E771C7">
        <w:t>συμμόρφωσης των συμμετεχόντων σ</w:t>
      </w:r>
      <w:r w:rsidRPr="005A464E">
        <w:t>την αγωγή</w:t>
      </w:r>
      <w:r w:rsidRPr="005A464E">
        <w:rPr>
          <w:i/>
        </w:rPr>
        <w:t xml:space="preserve">. </w:t>
      </w:r>
    </w:p>
    <w:p w:rsidR="006C17AA" w:rsidRPr="005A464E" w:rsidRDefault="006C17AA" w:rsidP="005A464E">
      <w:pPr>
        <w:pStyle w:val="nouk"/>
        <w:rPr>
          <w:i/>
        </w:rPr>
      </w:pPr>
    </w:p>
    <w:p w:rsidR="006E06CC" w:rsidRDefault="00A43379" w:rsidP="005A464E">
      <w:pPr>
        <w:pStyle w:val="nouk"/>
      </w:pPr>
      <w:r>
        <w:t>Οι απόφοιτοι Γυμνασίου/Λ</w:t>
      </w:r>
      <w:r w:rsidR="00940571" w:rsidRPr="005A464E">
        <w:t>υκείου είχαν σημαντικά υψηλότερη βαθμολογία</w:t>
      </w:r>
      <w:r w:rsidR="00E771C7">
        <w:t>, δηλαδή καλύτερη συμμόρφωση σ</w:t>
      </w:r>
      <w:r w:rsidR="00940571" w:rsidRPr="005A464E">
        <w:t>την αγωγή, σε σύγκριση με τους αν</w:t>
      </w:r>
      <w:r w:rsidR="006C17AA">
        <w:t>αλφάβητους και τους απόφοιτους Δ</w:t>
      </w:r>
      <w:r w:rsidR="00940571" w:rsidRPr="005A464E">
        <w:t>ημοτικού.</w:t>
      </w:r>
      <w:r w:rsidR="00D66B21" w:rsidRPr="005A464E">
        <w:t xml:space="preserve"> </w:t>
      </w:r>
      <w:r w:rsidR="00940571" w:rsidRPr="005A464E">
        <w:t>Οι φοιτητές και οι πτυχιούχοι ΤΕΙ/ΑΕΙ είχαν σημαντικά υψηλότερη βαθμολογία σε σύγκριση με τους αναλφάβη</w:t>
      </w:r>
      <w:r w:rsidR="006C17AA">
        <w:t>τους και τους απόφοιτους Δ</w:t>
      </w:r>
      <w:r w:rsidR="00940571" w:rsidRPr="005A464E">
        <w:t>ημοτικού.</w:t>
      </w:r>
      <w:r w:rsidR="00D66B21" w:rsidRPr="005A464E">
        <w:t xml:space="preserve"> </w:t>
      </w:r>
      <w:r w:rsidR="00940571" w:rsidRPr="005A464E">
        <w:t>Οι συμ</w:t>
      </w:r>
      <w:r>
        <w:t>μετέχοντες που έκαναν αιμ</w:t>
      </w:r>
      <w:r w:rsidR="00E771C7">
        <w:t>οκάθαρ</w:t>
      </w:r>
      <w:r w:rsidR="00940571" w:rsidRPr="005A464E">
        <w:t xml:space="preserve">ση με </w:t>
      </w:r>
      <w:r w:rsidR="00E771C7">
        <w:t>κεντ</w:t>
      </w:r>
      <w:r>
        <w:t>ρ</w:t>
      </w:r>
      <w:r w:rsidR="00E771C7">
        <w:t xml:space="preserve">ικό φλεβικό </w:t>
      </w:r>
      <w:r w:rsidR="00940571" w:rsidRPr="005A464E">
        <w:t>καθετήρα είχαν σημαντικά χαμηλότερη βαθμολογία σε σύγκριση με τους συμ</w:t>
      </w:r>
      <w:r w:rsidR="00E771C7">
        <w:t>μετέχοντες που έκαναν αιμοκάθαρ</w:t>
      </w:r>
      <w:r w:rsidR="00940571" w:rsidRPr="005A464E">
        <w:t>ση με φίστουλα.</w:t>
      </w:r>
      <w:r w:rsidR="00D66B21" w:rsidRPr="005A464E">
        <w:t xml:space="preserve"> </w:t>
      </w:r>
      <w:r w:rsidR="00940571" w:rsidRPr="005A464E">
        <w:t xml:space="preserve">Όσο περισσότερα </w:t>
      </w:r>
      <w:r w:rsidR="00B0098B">
        <w:t>δισκία</w:t>
      </w:r>
      <w:r w:rsidR="00940571" w:rsidRPr="005A464E">
        <w:t xml:space="preserve"> έπαιρναν οι συμμετέχοντες την ημέρα τόσο χει</w:t>
      </w:r>
      <w:r w:rsidR="00E771C7">
        <w:t>ρότερη ήταν η συμμόρφωσή τους</w:t>
      </w:r>
      <w:r w:rsidR="00940571" w:rsidRPr="005A464E">
        <w:t xml:space="preserve"> </w:t>
      </w:r>
      <w:r w:rsidR="00E771C7">
        <w:t>σ</w:t>
      </w:r>
      <w:r w:rsidR="00940571" w:rsidRPr="005A464E">
        <w:t>την αγωγή.</w:t>
      </w:r>
    </w:p>
    <w:p w:rsidR="006C17AA" w:rsidRPr="000B7506" w:rsidRDefault="006C17AA" w:rsidP="005A464E">
      <w:pPr>
        <w:pStyle w:val="nouk"/>
      </w:pPr>
    </w:p>
    <w:p w:rsidR="00940571" w:rsidRDefault="006E06CC" w:rsidP="005A464E">
      <w:pPr>
        <w:pStyle w:val="nouk"/>
      </w:pPr>
      <w:r w:rsidRPr="005A464E">
        <w:t xml:space="preserve">Το </w:t>
      </w:r>
      <w:r w:rsidR="000D053B">
        <w:t>εκπαιδευτικό</w:t>
      </w:r>
      <w:r w:rsidRPr="005A464E">
        <w:t xml:space="preserve"> επίπεδο, η ύπαρξη παιδιών και ο ημερήσιος αριθμός </w:t>
      </w:r>
      <w:r w:rsidR="00B0098B">
        <w:t>δισκίων</w:t>
      </w:r>
      <w:r w:rsidRPr="005A464E">
        <w:t xml:space="preserve"> βρέθηκαν να σχετίζονται ανεξάρτητα με τη βαθμολογία συμμόρφωσης των συμμετεχόντων με την παρουσία στη συνεδρία. </w:t>
      </w:r>
      <w:r w:rsidR="00940571" w:rsidRPr="005A464E">
        <w:t xml:space="preserve">Οι απόφοιτοι </w:t>
      </w:r>
      <w:r w:rsidR="00A43379" w:rsidRPr="005A464E">
        <w:t xml:space="preserve">Γυμνασίου/Λυκείου </w:t>
      </w:r>
      <w:r w:rsidR="00940571" w:rsidRPr="005A464E">
        <w:t>είχαν σημαντικά υψηλότερη βαθμολογία, δηλαδή καλύτερη συμμόρφωση με την παρουσία στη συνεδρία, σε σύγκριση με τους αναλφάβητους και τους απόφοιτους δημοτικού.</w:t>
      </w:r>
      <w:r w:rsidR="00E771C7">
        <w:t xml:space="preserve"> </w:t>
      </w:r>
      <w:r w:rsidR="00940571" w:rsidRPr="005A464E">
        <w:t>Οι φοιτητές και οι πτυχιούχοι ΤΕΙ/ΑΕΙ είχαν σημαντικά υψηλότερη βαθμολογία σε σύγκριση με τους αν</w:t>
      </w:r>
      <w:r w:rsidR="006C17AA">
        <w:t>αλφάβητους και τους απόφοιτους Δ</w:t>
      </w:r>
      <w:r w:rsidR="00940571" w:rsidRPr="005A464E">
        <w:t>ημοτικού.</w:t>
      </w:r>
    </w:p>
    <w:p w:rsidR="006C17AA" w:rsidRPr="005A464E" w:rsidRDefault="006C17AA" w:rsidP="005A464E">
      <w:pPr>
        <w:pStyle w:val="nouk"/>
      </w:pPr>
    </w:p>
    <w:p w:rsidR="006C17AA" w:rsidRDefault="00940571" w:rsidP="000B7506">
      <w:pPr>
        <w:pStyle w:val="nouk"/>
      </w:pPr>
      <w:r w:rsidRPr="005A464E">
        <w:t xml:space="preserve">Όσο περισσότερα </w:t>
      </w:r>
      <w:r w:rsidR="00B0098B">
        <w:t>δισκία</w:t>
      </w:r>
      <w:r w:rsidRPr="005A464E">
        <w:t xml:space="preserve"> έπαιρναν οι συμμετέχοντες την ημέρα τόσο χειρότερη ήταν η συμμόρφωσή τους με την παρουσία στη συνεδρία.</w:t>
      </w:r>
      <w:r w:rsidR="00E771C7">
        <w:t xml:space="preserve"> </w:t>
      </w:r>
    </w:p>
    <w:p w:rsidR="006C17AA" w:rsidRDefault="006C17AA" w:rsidP="000B7506">
      <w:pPr>
        <w:pStyle w:val="nouk"/>
      </w:pPr>
    </w:p>
    <w:p w:rsidR="00611B43" w:rsidRDefault="00940571" w:rsidP="005A464E">
      <w:pPr>
        <w:pStyle w:val="nouk"/>
      </w:pPr>
      <w:r w:rsidRPr="005A464E">
        <w:t xml:space="preserve">Οι συμμετέχοντες με παιδιά είχαν σημαντικά υψηλότερη βαθμολογία σε σύγκριση με τους συμμετέχοντες χωρίς παιδιά. </w:t>
      </w:r>
      <w:r w:rsidR="00611B43" w:rsidRPr="00E50302">
        <w:rPr>
          <w:lang w:val="en-US"/>
        </w:rPr>
        <w:t>H</w:t>
      </w:r>
      <w:r w:rsidR="00611B43" w:rsidRPr="00E50302">
        <w:t xml:space="preserve"> οικογενεική κατάσταση και στήριξη (ύπαρξη παιδιών)</w:t>
      </w:r>
      <w:r w:rsidR="0078495A" w:rsidRPr="00E50302">
        <w:t xml:space="preserve"> </w:t>
      </w:r>
      <w:r w:rsidR="00611B43" w:rsidRPr="00E50302">
        <w:t>φαίνεται ότι στην παρούσα μελέτη συσχετίζεται θετικά με τα επίπεδα συμμόρφωσης όπως και σε προηγούμενες (</w:t>
      </w:r>
      <w:r w:rsidR="00197BA9" w:rsidRPr="00E50302">
        <w:t>Frazier,</w:t>
      </w:r>
      <w:r w:rsidR="00611B43" w:rsidRPr="00E50302">
        <w:t xml:space="preserve"> </w:t>
      </w:r>
      <w:r w:rsidR="00197BA9" w:rsidRPr="00E50302">
        <w:rPr>
          <w:rFonts w:asciiTheme="minorHAnsi" w:hAnsiTheme="minorHAnsi"/>
          <w:lang w:val="en-US"/>
        </w:rPr>
        <w:t>Davis</w:t>
      </w:r>
      <w:r w:rsidR="00197BA9" w:rsidRPr="00E50302">
        <w:rPr>
          <w:rFonts w:asciiTheme="minorHAnsi" w:hAnsiTheme="minorHAnsi"/>
        </w:rPr>
        <w:t>-</w:t>
      </w:r>
      <w:r w:rsidR="00197BA9" w:rsidRPr="00E50302">
        <w:rPr>
          <w:rFonts w:asciiTheme="minorHAnsi" w:hAnsiTheme="minorHAnsi"/>
          <w:lang w:val="en-US"/>
        </w:rPr>
        <w:t>Ali</w:t>
      </w:r>
      <w:r w:rsidR="00197BA9" w:rsidRPr="00E50302">
        <w:rPr>
          <w:rFonts w:asciiTheme="minorHAnsi" w:hAnsiTheme="minorHAnsi"/>
        </w:rPr>
        <w:t xml:space="preserve">, &amp; </w:t>
      </w:r>
      <w:r w:rsidR="00197BA9" w:rsidRPr="00E50302">
        <w:rPr>
          <w:rFonts w:asciiTheme="minorHAnsi" w:hAnsiTheme="minorHAnsi"/>
          <w:lang w:val="en-US"/>
        </w:rPr>
        <w:t>Dahl</w:t>
      </w:r>
      <w:r w:rsidR="00197BA9" w:rsidRPr="00E50302">
        <w:rPr>
          <w:rFonts w:asciiTheme="minorHAnsi" w:hAnsiTheme="minorHAnsi"/>
        </w:rPr>
        <w:t xml:space="preserve">, </w:t>
      </w:r>
      <w:r w:rsidR="00611B43" w:rsidRPr="00E50302">
        <w:t>1994</w:t>
      </w:r>
      <w:r w:rsidR="00B27DBE" w:rsidRPr="00E50302">
        <w:t xml:space="preserve">; </w:t>
      </w:r>
      <w:r w:rsidR="00B27DBE" w:rsidRPr="00E50302">
        <w:rPr>
          <w:lang w:val="en-US"/>
        </w:rPr>
        <w:t>Sarna</w:t>
      </w:r>
      <w:r w:rsidR="00B27DBE" w:rsidRPr="00E50302">
        <w:t xml:space="preserve"> et al., 2003</w:t>
      </w:r>
      <w:r w:rsidR="00611B43" w:rsidRPr="00E50302">
        <w:t>). Ωστόσο, η οικογενειακή κατάσταση δεν</w:t>
      </w:r>
      <w:r w:rsidR="00611B43" w:rsidRPr="005A464E">
        <w:t xml:space="preserve"> βρέθηκ</w:t>
      </w:r>
      <w:r w:rsidR="00553335" w:rsidRPr="005A464E">
        <w:t>ε να σχετίζεται με την συμμόρφω</w:t>
      </w:r>
      <w:r w:rsidR="00611B43" w:rsidRPr="005A464E">
        <w:t>ση των ασθενών σ</w:t>
      </w:r>
      <w:r w:rsidR="00553335" w:rsidRPr="005A464E">
        <w:t>ε δύο μελέτες (Ghods &amp; Nasrollahzadeh</w:t>
      </w:r>
      <w:r w:rsidR="00AB454B">
        <w:t>,</w:t>
      </w:r>
      <w:r w:rsidR="00553335" w:rsidRPr="005A464E">
        <w:t xml:space="preserve"> 2003; Spikmans </w:t>
      </w:r>
      <w:r w:rsidR="00566CAA">
        <w:t>et al</w:t>
      </w:r>
      <w:r w:rsidR="00642ED2">
        <w:t>.</w:t>
      </w:r>
      <w:r w:rsidR="00C71CA6" w:rsidRPr="00C71CA6">
        <w:t>,</w:t>
      </w:r>
      <w:r w:rsidR="00553335" w:rsidRPr="005A464E">
        <w:t xml:space="preserve"> 2003)</w:t>
      </w:r>
      <w:r w:rsidR="00611B43" w:rsidRPr="005A464E">
        <w:t xml:space="preserve">. Η έλλειψη κοινωνικής / οικογενειακής υποστήριξης είναι μερικές φορές </w:t>
      </w:r>
      <w:r w:rsidR="0015362F" w:rsidRPr="005A464E">
        <w:t>ένα εμπόδιο</w:t>
      </w:r>
      <w:r w:rsidR="009D0D88">
        <w:t xml:space="preserve"> στη συμμόρφωση </w:t>
      </w:r>
      <w:r w:rsidR="006C17AA">
        <w:t>στη</w:t>
      </w:r>
      <w:r w:rsidR="0015362F" w:rsidRPr="005A464E">
        <w:t xml:space="preserve">ν </w:t>
      </w:r>
      <w:r w:rsidR="00453C96">
        <w:t>αιμοκάθαρση</w:t>
      </w:r>
      <w:r w:rsidR="0015362F" w:rsidRPr="005A464E">
        <w:t xml:space="preserve"> </w:t>
      </w:r>
      <w:r w:rsidR="00611B43" w:rsidRPr="005A464E">
        <w:t>σύμφωνα με την αναθεωρημένη βιβλιογραφία</w:t>
      </w:r>
      <w:r w:rsidR="0015362F" w:rsidRPr="005A464E">
        <w:t xml:space="preserve"> (Zrinyi </w:t>
      </w:r>
      <w:r w:rsidR="00566CAA">
        <w:t>et al</w:t>
      </w:r>
      <w:r w:rsidR="004577BE" w:rsidRPr="004577BE">
        <w:t>.</w:t>
      </w:r>
      <w:r w:rsidR="00D31BD9">
        <w:t>,</w:t>
      </w:r>
      <w:r w:rsidR="0015362F" w:rsidRPr="005A464E">
        <w:t xml:space="preserve"> 2003; Kugler </w:t>
      </w:r>
      <w:r w:rsidR="00566CAA">
        <w:t>et al</w:t>
      </w:r>
      <w:r w:rsidR="006460B8">
        <w:t>.</w:t>
      </w:r>
      <w:r w:rsidR="007B503D" w:rsidRPr="007B503D">
        <w:t>,</w:t>
      </w:r>
      <w:r w:rsidR="00642ED2">
        <w:t xml:space="preserve"> 2005;</w:t>
      </w:r>
      <w:r w:rsidR="0078495A">
        <w:t xml:space="preserve"> </w:t>
      </w:r>
      <w:r w:rsidR="00642ED2">
        <w:t>Julius,</w:t>
      </w:r>
      <w:r w:rsidR="00642ED2" w:rsidRPr="00642ED2">
        <w:rPr>
          <w:rFonts w:asciiTheme="minorHAnsi" w:hAnsiTheme="minorHAnsi"/>
        </w:rPr>
        <w:t xml:space="preserve"> </w:t>
      </w:r>
      <w:r w:rsidR="00642ED2" w:rsidRPr="005A464E">
        <w:rPr>
          <w:rFonts w:asciiTheme="minorHAnsi" w:hAnsiTheme="minorHAnsi"/>
          <w:lang w:val="en-US"/>
        </w:rPr>
        <w:t>Novitsky</w:t>
      </w:r>
      <w:r w:rsidR="00AC5B2C" w:rsidRPr="00AC5B2C">
        <w:rPr>
          <w:rFonts w:asciiTheme="minorHAnsi" w:hAnsiTheme="minorHAnsi"/>
        </w:rPr>
        <w:t>,</w:t>
      </w:r>
      <w:r w:rsidR="00642ED2" w:rsidRPr="00642ED2">
        <w:rPr>
          <w:rFonts w:asciiTheme="minorHAnsi" w:hAnsiTheme="minorHAnsi"/>
        </w:rPr>
        <w:t xml:space="preserve"> </w:t>
      </w:r>
      <w:r w:rsidR="00642ED2">
        <w:rPr>
          <w:rFonts w:asciiTheme="minorHAnsi" w:hAnsiTheme="minorHAnsi"/>
        </w:rPr>
        <w:t xml:space="preserve">&amp; </w:t>
      </w:r>
      <w:r w:rsidR="00642ED2" w:rsidRPr="005A464E">
        <w:rPr>
          <w:rFonts w:asciiTheme="minorHAnsi" w:hAnsiTheme="minorHAnsi"/>
          <w:lang w:val="en-US"/>
        </w:rPr>
        <w:t>Dubin</w:t>
      </w:r>
      <w:r w:rsidR="00AB454B">
        <w:rPr>
          <w:rFonts w:asciiTheme="minorHAnsi" w:hAnsiTheme="minorHAnsi"/>
        </w:rPr>
        <w:t>,</w:t>
      </w:r>
      <w:r w:rsidR="00642ED2" w:rsidRPr="00642ED2">
        <w:rPr>
          <w:rFonts w:asciiTheme="minorHAnsi" w:hAnsiTheme="minorHAnsi"/>
        </w:rPr>
        <w:t xml:space="preserve"> </w:t>
      </w:r>
      <w:r w:rsidR="0015362F" w:rsidRPr="005A464E">
        <w:t xml:space="preserve">2009). </w:t>
      </w:r>
      <w:r w:rsidR="00611B43" w:rsidRPr="005A464E">
        <w:t>Ωστόσο, η κοινωνική υποστήριξη επηρεάζει θετικά τα αποτελέσματα κα</w:t>
      </w:r>
      <w:r w:rsidR="0015362F" w:rsidRPr="005A464E">
        <w:t>ι αποτελεί</w:t>
      </w:r>
      <w:r w:rsidR="00611B43" w:rsidRPr="005A464E">
        <w:t xml:space="preserve"> </w:t>
      </w:r>
      <w:r w:rsidR="0015362F" w:rsidRPr="005A464E">
        <w:t xml:space="preserve">ένα κρίκο </w:t>
      </w:r>
      <w:r w:rsidR="00611B43" w:rsidRPr="005A464E">
        <w:t xml:space="preserve">μεταξύ ασθενών </w:t>
      </w:r>
      <w:r w:rsidR="0015362F" w:rsidRPr="005A464E">
        <w:t xml:space="preserve">υπό </w:t>
      </w:r>
      <w:r w:rsidR="00453C96">
        <w:t>αιμοκάθαρση</w:t>
      </w:r>
      <w:r w:rsidR="0015362F" w:rsidRPr="005A464E">
        <w:t xml:space="preserve"> </w:t>
      </w:r>
      <w:r w:rsidR="00611B43" w:rsidRPr="005A464E">
        <w:t>και συμμόρφωσης</w:t>
      </w:r>
      <w:r w:rsidR="009D0D88">
        <w:t xml:space="preserve"> σ</w:t>
      </w:r>
      <w:r w:rsidR="00611B43" w:rsidRPr="005A464E">
        <w:t>το θεραπευτικό σχήμα.</w:t>
      </w:r>
    </w:p>
    <w:p w:rsidR="006C17AA" w:rsidRPr="000B7506" w:rsidRDefault="006C17AA" w:rsidP="005A464E">
      <w:pPr>
        <w:pStyle w:val="nouk"/>
      </w:pPr>
    </w:p>
    <w:p w:rsidR="00EC3C38" w:rsidRDefault="006E06CC" w:rsidP="000B7506">
      <w:pPr>
        <w:pStyle w:val="nouk"/>
      </w:pPr>
      <w:r w:rsidRPr="005A464E">
        <w:t xml:space="preserve">Το </w:t>
      </w:r>
      <w:r w:rsidR="000D053B">
        <w:t>εκπαιδευτικό</w:t>
      </w:r>
      <w:r w:rsidRPr="005A464E">
        <w:t xml:space="preserve"> επίπεδο, η γνώση και τα έτη από τη διάγνωση </w:t>
      </w:r>
      <w:r w:rsidR="009D0D88">
        <w:t xml:space="preserve">της ΧΝΝ </w:t>
      </w:r>
      <w:r w:rsidRPr="005A464E">
        <w:t>βρέθηκαν να σχετίζονται ανεξάρτητα με τη βαθμολογία συμμόρφωσης με τα υγρά και τη διαιτητική συμπεριφορά.</w:t>
      </w:r>
      <w:r w:rsidR="009D0D88">
        <w:t xml:space="preserve"> </w:t>
      </w:r>
      <w:r w:rsidR="00940571" w:rsidRPr="005A464E">
        <w:t xml:space="preserve">Οι απόφοιτοι </w:t>
      </w:r>
      <w:r w:rsidR="00A43379" w:rsidRPr="005A464E">
        <w:t xml:space="preserve">Γυμνασίου/Λυκείου </w:t>
      </w:r>
      <w:r w:rsidR="00940571" w:rsidRPr="005A464E">
        <w:t>είχαν σημαντικά υψηλότερη βαθμολογία, δηλαδή καλύτερη συμμόρφωση</w:t>
      </w:r>
      <w:r w:rsidR="0078495A">
        <w:t xml:space="preserve"> </w:t>
      </w:r>
      <w:r w:rsidR="009D0D88">
        <w:t>σ</w:t>
      </w:r>
      <w:r w:rsidR="00940571" w:rsidRPr="005A464E">
        <w:t xml:space="preserve">τα υγρά και </w:t>
      </w:r>
      <w:r w:rsidR="009D0D88">
        <w:t>σ</w:t>
      </w:r>
      <w:r w:rsidR="00940571" w:rsidRPr="005A464E">
        <w:t xml:space="preserve">τη διαιτητική συμπεριφορά, σε σύγκριση με τους αναλφάβητους και τους απόφοιτους </w:t>
      </w:r>
      <w:r w:rsidR="006C17AA">
        <w:t>Δ</w:t>
      </w:r>
      <w:r w:rsidR="00940571" w:rsidRPr="005A464E">
        <w:t>ημοτικού.</w:t>
      </w:r>
      <w:r w:rsidR="000B7506" w:rsidRPr="000B7506">
        <w:t xml:space="preserve"> </w:t>
      </w:r>
      <w:r w:rsidR="00940571" w:rsidRPr="005A464E">
        <w:t>Ό</w:t>
      </w:r>
      <w:r w:rsidR="009D0D88">
        <w:t>σο υψηλότερα επίπεδα γνώσης είχα</w:t>
      </w:r>
      <w:r w:rsidR="00940571" w:rsidRPr="005A464E">
        <w:t>ν τόσο υψηλότερη</w:t>
      </w:r>
      <w:r w:rsidR="009D0D88">
        <w:t xml:space="preserve"> ήταν η βαθμολογία συμμόρφωσης σ</w:t>
      </w:r>
      <w:r w:rsidR="00940571" w:rsidRPr="005A464E">
        <w:t xml:space="preserve">τα υγρά και </w:t>
      </w:r>
      <w:r w:rsidR="009D0D88">
        <w:t>στη δίαιτα</w:t>
      </w:r>
      <w:r w:rsidR="00940571" w:rsidRPr="005A464E">
        <w:t>.</w:t>
      </w:r>
      <w:r w:rsidR="000B7506" w:rsidRPr="000B7506">
        <w:t xml:space="preserve"> </w:t>
      </w:r>
      <w:r w:rsidR="00940571" w:rsidRPr="005A464E">
        <w:t xml:space="preserve">Όσο περισσότερα έτη έχουν διαγνωστεί με ΧΝΝ τόσο καλύτερη συμμόρφωση είχαν. </w:t>
      </w:r>
    </w:p>
    <w:p w:rsidR="006C17AA" w:rsidRPr="000B7506" w:rsidRDefault="006C17AA" w:rsidP="000B7506">
      <w:pPr>
        <w:pStyle w:val="nouk"/>
        <w:rPr>
          <w:color w:val="00B050"/>
        </w:rPr>
      </w:pPr>
    </w:p>
    <w:p w:rsidR="00A758BA" w:rsidRPr="005A464E" w:rsidRDefault="00A758BA" w:rsidP="005A464E">
      <w:pPr>
        <w:pStyle w:val="nouk"/>
      </w:pPr>
      <w:r w:rsidRPr="005A464E">
        <w:t>Αρκετές</w:t>
      </w:r>
      <w:r w:rsidRPr="001C081D">
        <w:t xml:space="preserve"> </w:t>
      </w:r>
      <w:r w:rsidRPr="005A464E">
        <w:t>μελέτες</w:t>
      </w:r>
      <w:r w:rsidRPr="001C081D">
        <w:t xml:space="preserve"> </w:t>
      </w:r>
      <w:r w:rsidRPr="005A464E">
        <w:t>διαπίστωσαν</w:t>
      </w:r>
      <w:r w:rsidRPr="001C081D">
        <w:t xml:space="preserve"> </w:t>
      </w:r>
      <w:r w:rsidRPr="00E50302">
        <w:t>ότι το υψηλό επίπεδο εκπαίδευσης μπορεί να οδηγήσει σε καλύτερα ποσοστά συμμόρφωσης, (</w:t>
      </w:r>
      <w:r w:rsidRPr="00E50302">
        <w:rPr>
          <w:lang w:val="en-US"/>
        </w:rPr>
        <w:t>Safdar</w:t>
      </w:r>
      <w:r w:rsidRPr="00E50302">
        <w:t xml:space="preserve"> </w:t>
      </w:r>
      <w:r w:rsidR="00566CAA" w:rsidRPr="00E50302">
        <w:rPr>
          <w:lang w:val="en-US"/>
        </w:rPr>
        <w:t>et</w:t>
      </w:r>
      <w:r w:rsidR="00566CAA" w:rsidRPr="00E50302">
        <w:t xml:space="preserve"> </w:t>
      </w:r>
      <w:r w:rsidR="00566CAA" w:rsidRPr="00E50302">
        <w:rPr>
          <w:lang w:val="en-US"/>
        </w:rPr>
        <w:t>al</w:t>
      </w:r>
      <w:r w:rsidR="006460B8" w:rsidRPr="00E50302">
        <w:t>.</w:t>
      </w:r>
      <w:r w:rsidR="00682CF3" w:rsidRPr="00E50302">
        <w:t>,</w:t>
      </w:r>
      <w:r w:rsidRPr="00E50302">
        <w:t xml:space="preserve"> 1995; </w:t>
      </w:r>
      <w:r w:rsidRPr="00E50302">
        <w:rPr>
          <w:lang w:val="en-US"/>
        </w:rPr>
        <w:t>Unruh</w:t>
      </w:r>
      <w:r w:rsidRPr="00E50302">
        <w:t xml:space="preserve"> </w:t>
      </w:r>
      <w:r w:rsidR="00566CAA" w:rsidRPr="00E50302">
        <w:rPr>
          <w:lang w:val="en-US"/>
        </w:rPr>
        <w:t>et</w:t>
      </w:r>
      <w:r w:rsidR="00566CAA" w:rsidRPr="00E50302">
        <w:t xml:space="preserve"> </w:t>
      </w:r>
      <w:r w:rsidR="00566CAA" w:rsidRPr="00E50302">
        <w:rPr>
          <w:lang w:val="en-US"/>
        </w:rPr>
        <w:t>al</w:t>
      </w:r>
      <w:r w:rsidR="003041EB" w:rsidRPr="00E50302">
        <w:t>.</w:t>
      </w:r>
      <w:r w:rsidR="00D75F89" w:rsidRPr="00E50302">
        <w:t>,</w:t>
      </w:r>
      <w:r w:rsidRPr="00E50302">
        <w:t xml:space="preserve"> 2005; </w:t>
      </w:r>
      <w:r w:rsidR="00B27DBE" w:rsidRPr="00E50302">
        <w:rPr>
          <w:lang w:val="en-US"/>
        </w:rPr>
        <w:t>Zrinyi</w:t>
      </w:r>
      <w:r w:rsidR="00B27DBE" w:rsidRPr="00E50302">
        <w:t xml:space="preserve"> </w:t>
      </w:r>
      <w:r w:rsidR="00B27DBE" w:rsidRPr="00E50302">
        <w:rPr>
          <w:lang w:val="en-US"/>
        </w:rPr>
        <w:t>et</w:t>
      </w:r>
      <w:r w:rsidR="00B27DBE" w:rsidRPr="00E50302">
        <w:t xml:space="preserve"> </w:t>
      </w:r>
      <w:r w:rsidR="00B27DBE" w:rsidRPr="00E50302">
        <w:rPr>
          <w:lang w:val="en-US"/>
        </w:rPr>
        <w:t>al</w:t>
      </w:r>
      <w:r w:rsidR="00B27DBE" w:rsidRPr="00E50302">
        <w:t xml:space="preserve">., 2003; </w:t>
      </w:r>
      <w:r w:rsidRPr="00E50302">
        <w:rPr>
          <w:lang w:val="en-US"/>
        </w:rPr>
        <w:t>Bland</w:t>
      </w:r>
      <w:r w:rsidR="003041EB" w:rsidRPr="00E50302">
        <w:t>,</w:t>
      </w:r>
      <w:r w:rsidRPr="00E50302">
        <w:t xml:space="preserve"> </w:t>
      </w:r>
      <w:r w:rsidR="003041EB" w:rsidRPr="00E50302">
        <w:rPr>
          <w:rFonts w:eastAsia="Times New Roman"/>
          <w:lang w:val="en-US" w:eastAsia="el-GR"/>
        </w:rPr>
        <w:t>Cottrell</w:t>
      </w:r>
      <w:r w:rsidR="003041EB" w:rsidRPr="00E50302">
        <w:rPr>
          <w:rFonts w:eastAsia="Times New Roman"/>
          <w:lang w:eastAsia="el-GR"/>
        </w:rPr>
        <w:t xml:space="preserve"> &amp; </w:t>
      </w:r>
      <w:r w:rsidR="003041EB" w:rsidRPr="00E50302">
        <w:rPr>
          <w:rFonts w:eastAsia="Times New Roman"/>
          <w:lang w:val="en-US" w:eastAsia="el-GR"/>
        </w:rPr>
        <w:t>Guyler</w:t>
      </w:r>
      <w:r w:rsidR="00AB454B" w:rsidRPr="00E50302">
        <w:rPr>
          <w:rFonts w:eastAsia="Times New Roman"/>
          <w:lang w:eastAsia="el-GR"/>
        </w:rPr>
        <w:t>,</w:t>
      </w:r>
      <w:r w:rsidR="003041EB" w:rsidRPr="00E50302">
        <w:t xml:space="preserve"> </w:t>
      </w:r>
      <w:r w:rsidRPr="00E50302">
        <w:t>2008;) ενώ</w:t>
      </w:r>
      <w:r w:rsidRPr="001C081D">
        <w:t xml:space="preserve"> </w:t>
      </w:r>
      <w:r w:rsidRPr="005A464E">
        <w:t>άλλες</w:t>
      </w:r>
      <w:r w:rsidRPr="001C081D">
        <w:t xml:space="preserve"> </w:t>
      </w:r>
      <w:r w:rsidRPr="005A464E">
        <w:t>μελέτες</w:t>
      </w:r>
      <w:r w:rsidRPr="001C081D">
        <w:t xml:space="preserve"> </w:t>
      </w:r>
      <w:r w:rsidRPr="005A464E">
        <w:t>δεν</w:t>
      </w:r>
      <w:r w:rsidRPr="001C081D">
        <w:t xml:space="preserve"> </w:t>
      </w:r>
      <w:r w:rsidRPr="005A464E">
        <w:t>διαπίστωσαν</w:t>
      </w:r>
      <w:r w:rsidRPr="001C081D">
        <w:t xml:space="preserve"> </w:t>
      </w:r>
      <w:r w:rsidRPr="005A464E">
        <w:t>συσχέτιση</w:t>
      </w:r>
      <w:r w:rsidRPr="001C081D">
        <w:t xml:space="preserve"> (</w:t>
      </w:r>
      <w:r w:rsidRPr="005A464E">
        <w:rPr>
          <w:lang w:val="en-US"/>
        </w:rPr>
        <w:t>Saran</w:t>
      </w:r>
      <w:r w:rsidRPr="001C081D">
        <w:t xml:space="preserve"> </w:t>
      </w:r>
      <w:r w:rsidR="00566CAA" w:rsidRPr="000B7506">
        <w:rPr>
          <w:lang w:val="en-US"/>
        </w:rPr>
        <w:t>et</w:t>
      </w:r>
      <w:r w:rsidR="00566CAA" w:rsidRPr="001C081D">
        <w:t xml:space="preserve"> </w:t>
      </w:r>
      <w:r w:rsidR="00566CAA" w:rsidRPr="000B7506">
        <w:rPr>
          <w:lang w:val="en-US"/>
        </w:rPr>
        <w:t>al</w:t>
      </w:r>
      <w:r w:rsidR="003041EB" w:rsidRPr="001C081D">
        <w:t>.</w:t>
      </w:r>
      <w:r w:rsidR="0010246A" w:rsidRPr="001C081D">
        <w:t>,</w:t>
      </w:r>
      <w:r w:rsidRPr="001C081D">
        <w:t xml:space="preserve"> 2003; </w:t>
      </w:r>
      <w:r w:rsidRPr="005A464E">
        <w:rPr>
          <w:lang w:val="en-US"/>
        </w:rPr>
        <w:t>Hain</w:t>
      </w:r>
      <w:r w:rsidR="003041EB" w:rsidRPr="001C081D">
        <w:t>,</w:t>
      </w:r>
      <w:r w:rsidRPr="001C081D">
        <w:t xml:space="preserve"> 2008). </w:t>
      </w:r>
      <w:r w:rsidRPr="005A464E">
        <w:t xml:space="preserve">Οι Baraz </w:t>
      </w:r>
      <w:r w:rsidR="00566CAA">
        <w:t>et al</w:t>
      </w:r>
      <w:r w:rsidR="004577BE" w:rsidRPr="00872FD2">
        <w:t>.</w:t>
      </w:r>
      <w:r w:rsidRPr="005A464E">
        <w:t xml:space="preserve"> (2010) ισχυρίζονται ότι όσο υψηλότερο είναι το εκπαιδευτικό επίπεδο, τόσο υψηλότερο είναι το επίπεδο γνώσης και συμμόρφωσης. Οι Baraz </w:t>
      </w:r>
      <w:r w:rsidR="00566CAA">
        <w:t>et al</w:t>
      </w:r>
      <w:r w:rsidR="004577BE" w:rsidRPr="00872FD2">
        <w:t>.</w:t>
      </w:r>
      <w:r w:rsidRPr="005A464E">
        <w:t xml:space="preserve"> </w:t>
      </w:r>
      <w:r w:rsidR="00611B43" w:rsidRPr="005A464E">
        <w:t>(2010)</w:t>
      </w:r>
      <w:r w:rsidRPr="005A464E">
        <w:t xml:space="preserve"> υποστηρίζουν ότι ένας ασθενής</w:t>
      </w:r>
      <w:r w:rsidR="009D0D88">
        <w:t xml:space="preserve"> υψηλού εκπαιδευτικού επιπέδου </w:t>
      </w:r>
      <w:r w:rsidRPr="005A464E">
        <w:t>μπορεί να κατανοήσει ευκολότερα τη χρησιμότητα της θεραπείας ενώ ο</w:t>
      </w:r>
      <w:r w:rsidR="00516D72">
        <w:t>ι Grierson</w:t>
      </w:r>
      <w:r w:rsidR="00516D72" w:rsidRPr="00516D72">
        <w:t xml:space="preserve">, </w:t>
      </w:r>
      <w:r w:rsidR="00516D72" w:rsidRPr="005A464E">
        <w:rPr>
          <w:rFonts w:asciiTheme="minorHAnsi" w:hAnsiTheme="minorHAnsi"/>
          <w:lang w:val="en-US"/>
        </w:rPr>
        <w:t>Bartos</w:t>
      </w:r>
      <w:r w:rsidR="00516D72" w:rsidRPr="00516D72">
        <w:rPr>
          <w:rFonts w:asciiTheme="minorHAnsi" w:hAnsiTheme="minorHAnsi"/>
        </w:rPr>
        <w:t xml:space="preserve">, </w:t>
      </w:r>
      <w:r w:rsidR="00516D72" w:rsidRPr="005A464E">
        <w:rPr>
          <w:rFonts w:asciiTheme="minorHAnsi" w:hAnsiTheme="minorHAnsi"/>
          <w:lang w:val="en-US"/>
        </w:rPr>
        <w:t>De</w:t>
      </w:r>
      <w:r w:rsidR="00516D72" w:rsidRPr="00516D72">
        <w:rPr>
          <w:rFonts w:asciiTheme="minorHAnsi" w:hAnsiTheme="minorHAnsi"/>
        </w:rPr>
        <w:t xml:space="preserve"> </w:t>
      </w:r>
      <w:r w:rsidR="00516D72" w:rsidRPr="005A464E">
        <w:rPr>
          <w:rFonts w:asciiTheme="minorHAnsi" w:hAnsiTheme="minorHAnsi"/>
          <w:lang w:val="en-US"/>
        </w:rPr>
        <w:t>Visser</w:t>
      </w:r>
      <w:r w:rsidR="00516D72" w:rsidRPr="00516D72">
        <w:rPr>
          <w:rFonts w:asciiTheme="minorHAnsi" w:hAnsiTheme="minorHAnsi"/>
        </w:rPr>
        <w:t xml:space="preserve">, </w:t>
      </w:r>
      <w:r w:rsidR="00453C96">
        <w:rPr>
          <w:rFonts w:asciiTheme="minorHAnsi" w:hAnsiTheme="minorHAnsi"/>
        </w:rPr>
        <w:t>και</w:t>
      </w:r>
      <w:r w:rsidR="00516D72" w:rsidRPr="00516D72">
        <w:rPr>
          <w:rFonts w:asciiTheme="minorHAnsi" w:hAnsiTheme="minorHAnsi"/>
        </w:rPr>
        <w:t xml:space="preserve"> </w:t>
      </w:r>
      <w:r w:rsidR="00516D72" w:rsidRPr="005A464E">
        <w:rPr>
          <w:rFonts w:asciiTheme="minorHAnsi" w:hAnsiTheme="minorHAnsi"/>
          <w:lang w:val="en-US"/>
        </w:rPr>
        <w:t>McDonald</w:t>
      </w:r>
      <w:r w:rsidR="00611B43" w:rsidRPr="005A464E">
        <w:t xml:space="preserve"> (2000)</w:t>
      </w:r>
      <w:r w:rsidRPr="005A464E">
        <w:t xml:space="preserve"> αναφέρουν ότι είναι δύσκολο για τους ασθενείς υψηλού εκπαιδευτικού επιπέδου να συμμορφωθούν λόγω της απασχόλησης και των επαγγελματικών τους υποχρεώσεων.</w:t>
      </w:r>
    </w:p>
    <w:p w:rsidR="00A758BA" w:rsidRPr="005A464E" w:rsidRDefault="00A758BA" w:rsidP="005A464E">
      <w:pPr>
        <w:pStyle w:val="nouk"/>
        <w:ind w:left="720"/>
        <w:rPr>
          <w:b/>
        </w:rPr>
      </w:pPr>
    </w:p>
    <w:p w:rsidR="00940571" w:rsidRPr="005A464E" w:rsidRDefault="006E06CC" w:rsidP="006C17AA">
      <w:pPr>
        <w:pStyle w:val="nouk"/>
        <w:spacing w:after="240"/>
        <w:rPr>
          <w:b/>
          <w:i/>
        </w:rPr>
      </w:pPr>
      <w:r w:rsidRPr="005A464E">
        <w:rPr>
          <w:b/>
          <w:i/>
        </w:rPr>
        <w:t xml:space="preserve">Ποιότητα ζωής </w:t>
      </w:r>
    </w:p>
    <w:p w:rsidR="00D66B21" w:rsidRDefault="00940571" w:rsidP="000B7506">
      <w:pPr>
        <w:pStyle w:val="nouk"/>
      </w:pPr>
      <w:r w:rsidRPr="005A464E">
        <w:t xml:space="preserve">Η ηλικία, η συμμόρφωση και η μέθοδος </w:t>
      </w:r>
      <w:r w:rsidR="009D0D88">
        <w:t xml:space="preserve">αγγειακής προσπέλασης </w:t>
      </w:r>
      <w:r w:rsidRPr="005A464E">
        <w:t>βρέθηκαν να σχετίζονται ανεξάρτητα με τη βαθμολογία στη διάσταση «</w:t>
      </w:r>
      <w:r w:rsidR="0076474F" w:rsidRPr="005A464E">
        <w:t>Συμπτώματα</w:t>
      </w:r>
      <w:r w:rsidR="00EC3C38" w:rsidRPr="005A464E">
        <w:t>». Συγκεκριμένα, ό</w:t>
      </w:r>
      <w:r w:rsidRPr="005A464E">
        <w:t>σο αυξάνεται η ηλικία των συμμετεχόντων τόσο μειώνεται η βαθμολογία στη διάσταση «</w:t>
      </w:r>
      <w:r w:rsidR="0076474F" w:rsidRPr="005A464E">
        <w:t>Συμπτώματα</w:t>
      </w:r>
      <w:r w:rsidRPr="005A464E">
        <w:t>», υποδηλώνοντας επιδείνωση των συμπτωμάτων. Όσο αυξάνεται η συμμόρφωση των συμμετεχόντων τόσο αυξάνεται η βαθμολογία στη διάσταση «</w:t>
      </w:r>
      <w:r w:rsidR="0076474F" w:rsidRPr="005A464E">
        <w:t>Συμπτώματα</w:t>
      </w:r>
      <w:r w:rsidRPr="005A464E">
        <w:t>», υποδηλώνοντας βελτίωση των συμπτωμάτων.</w:t>
      </w:r>
      <w:r w:rsidR="0078495A">
        <w:t xml:space="preserve"> </w:t>
      </w:r>
      <w:r w:rsidRPr="005A464E">
        <w:t>Οι συμμετέχο</w:t>
      </w:r>
      <w:r w:rsidR="009D0D88">
        <w:t>ντες που έκαναν αιμοκάθαρ</w:t>
      </w:r>
      <w:r w:rsidRPr="005A464E">
        <w:t>ση με μόσχευμα είχαν κατά 3,67 μονάδες υψηλότερη βαθμολογία σε σύγκριση με τους συμ</w:t>
      </w:r>
      <w:r w:rsidR="004C1678" w:rsidRPr="005A464E">
        <w:t>μετέχοντες που έκαναν αιμοκάθαρ</w:t>
      </w:r>
      <w:r w:rsidRPr="005A464E">
        <w:t xml:space="preserve">ση με φίστουλα. </w:t>
      </w:r>
    </w:p>
    <w:p w:rsidR="006C17AA" w:rsidRPr="000B7506" w:rsidRDefault="006C17AA" w:rsidP="000B7506">
      <w:pPr>
        <w:pStyle w:val="nouk"/>
      </w:pPr>
    </w:p>
    <w:p w:rsidR="00940571" w:rsidRDefault="00940571" w:rsidP="005A464E">
      <w:pPr>
        <w:pStyle w:val="nouk"/>
      </w:pPr>
      <w:r w:rsidRPr="00E50302">
        <w:t>Η μέθοδος</w:t>
      </w:r>
      <w:r w:rsidR="006E06CC" w:rsidRPr="00E50302">
        <w:t xml:space="preserve"> αγγειακής προσπέλασης</w:t>
      </w:r>
      <w:r w:rsidRPr="00E50302">
        <w:t>, ο</w:t>
      </w:r>
      <w:r w:rsidRPr="005A464E">
        <w:t xml:space="preserve"> τόπος διαμονής, το αν έμεναν μόνοι τους και το αν είχαν κάνει ποτέ ΠΚ βρέθηκαν να σχετίζονται ανεξάρτητα με τη βαθμολογία στη διάσταση «</w:t>
      </w:r>
      <w:r w:rsidR="003A7874" w:rsidRPr="005A464E">
        <w:t>Λειτουργικότητα</w:t>
      </w:r>
      <w:r w:rsidRPr="005A464E">
        <w:t>». Συγκεκριμένα</w:t>
      </w:r>
      <w:r w:rsidR="00D66B21" w:rsidRPr="005A464E">
        <w:t>, ο</w:t>
      </w:r>
      <w:r w:rsidRPr="005A464E">
        <w:t>ι συμ</w:t>
      </w:r>
      <w:r w:rsidR="00BC1D9F" w:rsidRPr="005A464E">
        <w:t>μετέχοντες που έκαναν αιμοκάθαρ</w:t>
      </w:r>
      <w:r w:rsidRPr="005A464E">
        <w:t xml:space="preserve">ση με </w:t>
      </w:r>
      <w:r w:rsidR="007924FC">
        <w:t xml:space="preserve">κεντρικό φλεβικό </w:t>
      </w:r>
      <w:r w:rsidRPr="005A464E">
        <w:t xml:space="preserve">καθετήρα είχαν κατά 2,90 μονάδες χαμηλότερη βαθμολογία, δηλαδή χειρότερη λειτουργικότητα, σε σύγκριση με τους συμμετέχοντες </w:t>
      </w:r>
      <w:r w:rsidR="00B21E0E" w:rsidRPr="005A464E">
        <w:t>που έκαναν αιμοκάθαρ</w:t>
      </w:r>
      <w:r w:rsidRPr="005A464E">
        <w:t>ση με φίστουλα. Οι συμμετέχοντες που έμεναν σε αστική περιοχή είχαν κατά 3,34 μονάδες υψηλότερη βαθμολογία, σε σύγκριση με τους συμμετέχοντες που έμεναν σε αγροτική/ημιαστική περιοχή. Οι συμμετέχοντες που δεν έμεναν μόνοι τους είχαν κατά 3,12 μονάδες υψηλότερη βαθμολογία, σε σύγκριση με τους συμμετέχοντες που έμεναν μόνοι τους.</w:t>
      </w:r>
      <w:r w:rsidR="00D66B21" w:rsidRPr="005A464E">
        <w:t xml:space="preserve"> </w:t>
      </w:r>
      <w:r w:rsidRPr="005A464E">
        <w:t>Οι σ</w:t>
      </w:r>
      <w:r w:rsidR="00453C96">
        <w:t>υμμετέχοντες που δεν είχαν υποβληθεί σε</w:t>
      </w:r>
      <w:r w:rsidRPr="005A464E">
        <w:t xml:space="preserve"> ΠΚ είχαν κατά 6,41 μονάδες υψηλότερη βαθμολογία, σε σύγκριση με τους συμμετέχοντες που είχαν κάνει ΠΚ.</w:t>
      </w:r>
    </w:p>
    <w:p w:rsidR="006C17AA" w:rsidRPr="005A464E" w:rsidRDefault="006C17AA" w:rsidP="005A464E">
      <w:pPr>
        <w:pStyle w:val="nouk"/>
      </w:pPr>
    </w:p>
    <w:p w:rsidR="00940571" w:rsidRPr="00E50302" w:rsidRDefault="00B21E0E" w:rsidP="005A464E">
      <w:pPr>
        <w:pStyle w:val="nouk"/>
      </w:pPr>
      <w:r w:rsidRPr="00E50302">
        <w:t>Η</w:t>
      </w:r>
      <w:r w:rsidR="00840449" w:rsidRPr="00E50302">
        <w:t xml:space="preserve"> αρτηριοφλε</w:t>
      </w:r>
      <w:r w:rsidRPr="00E50302">
        <w:t>βική αναστόμωση (</w:t>
      </w:r>
      <w:r w:rsidRPr="00E50302">
        <w:rPr>
          <w:lang w:val="en-US"/>
        </w:rPr>
        <w:t>fistula</w:t>
      </w:r>
      <w:r w:rsidRPr="00E50302">
        <w:t xml:space="preserve">) </w:t>
      </w:r>
      <w:r w:rsidR="00840449" w:rsidRPr="00E50302">
        <w:t>θ</w:t>
      </w:r>
      <w:r w:rsidRPr="00E50302">
        <w:t xml:space="preserve">εωρείται η βέλτιστη μορφή αγγειακής προσπέλασης για </w:t>
      </w:r>
      <w:r w:rsidR="00453C96" w:rsidRPr="00E50302">
        <w:t>αιμοκάθαρση</w:t>
      </w:r>
      <w:r w:rsidRPr="00E50302">
        <w:t>. Το</w:t>
      </w:r>
      <w:r w:rsidR="0078495A" w:rsidRPr="00E50302">
        <w:t xml:space="preserve"> </w:t>
      </w:r>
      <w:r w:rsidRPr="00E50302">
        <w:t xml:space="preserve">NKF-KDOQI </w:t>
      </w:r>
      <w:r w:rsidR="00840449" w:rsidRPr="00E50302">
        <w:t>(</w:t>
      </w:r>
      <w:r w:rsidR="00840449" w:rsidRPr="00E50302">
        <w:rPr>
          <w:lang w:val="en-US"/>
        </w:rPr>
        <w:t>Estrella</w:t>
      </w:r>
      <w:r w:rsidR="00840449" w:rsidRPr="00E50302">
        <w:t xml:space="preserve"> </w:t>
      </w:r>
      <w:r w:rsidR="00566CAA" w:rsidRPr="00E50302">
        <w:t>et al</w:t>
      </w:r>
      <w:r w:rsidR="00B84879" w:rsidRPr="00E50302">
        <w:t>.</w:t>
      </w:r>
      <w:r w:rsidR="00840449" w:rsidRPr="00E50302">
        <w:t xml:space="preserve"> 2013) </w:t>
      </w:r>
      <w:r w:rsidRPr="00E50302">
        <w:t>συνι</w:t>
      </w:r>
      <w:r w:rsidR="00840449" w:rsidRPr="00E50302">
        <w:t>στά την πρώιμη δημιουργία και χρή</w:t>
      </w:r>
      <w:r w:rsidRPr="00E50302">
        <w:t>ση της</w:t>
      </w:r>
      <w:r w:rsidR="00840449" w:rsidRPr="00E50302">
        <w:t xml:space="preserve"> αρτηριοφλε</w:t>
      </w:r>
      <w:r w:rsidRPr="00E50302">
        <w:t>βικής αναστόμωσης. Η χρήση των κεντ</w:t>
      </w:r>
      <w:r w:rsidR="007924FC" w:rsidRPr="00E50302">
        <w:t>ρ</w:t>
      </w:r>
      <w:r w:rsidRPr="00E50302">
        <w:t>ικών φλεβικών καθετήρων που χρησιμοποι</w:t>
      </w:r>
      <w:r w:rsidR="007924FC" w:rsidRPr="00E50302">
        <w:t>ούνται</w:t>
      </w:r>
      <w:r w:rsidRPr="00E50302">
        <w:t xml:space="preserve"> ιδιαίτερα κατά την ένταξη των ασθενών στην αιμοκάθαρση επηρεάζει αρνητικά ό</w:t>
      </w:r>
      <w:r w:rsidR="00840449" w:rsidRPr="00E50302">
        <w:t>χι μόνο την ΠΖ αλλά και την θνησιμ</w:t>
      </w:r>
      <w:r w:rsidRPr="00E50302">
        <w:t>ότητα</w:t>
      </w:r>
      <w:r w:rsidR="00840449" w:rsidRPr="00E50302">
        <w:t xml:space="preserve"> λόγω του αυξημένου κινδύνου λοιμώξεων που σχετίζονται με αυτούς (</w:t>
      </w:r>
      <w:r w:rsidR="00840449" w:rsidRPr="00E50302">
        <w:rPr>
          <w:lang w:val="en-US"/>
        </w:rPr>
        <w:t>Astor</w:t>
      </w:r>
      <w:r w:rsidR="00840449" w:rsidRPr="00E50302">
        <w:t xml:space="preserve"> </w:t>
      </w:r>
      <w:r w:rsidR="00566CAA" w:rsidRPr="00E50302">
        <w:t>et al</w:t>
      </w:r>
      <w:r w:rsidR="00642ED2" w:rsidRPr="00E50302">
        <w:t>.</w:t>
      </w:r>
      <w:r w:rsidR="0010246A" w:rsidRPr="00E50302">
        <w:t>,</w:t>
      </w:r>
      <w:r w:rsidR="00840449" w:rsidRPr="00E50302">
        <w:t xml:space="preserve"> 2005).</w:t>
      </w:r>
    </w:p>
    <w:p w:rsidR="006C17AA" w:rsidRPr="00E50302" w:rsidRDefault="006C17AA" w:rsidP="005A464E">
      <w:pPr>
        <w:pStyle w:val="nouk"/>
      </w:pPr>
    </w:p>
    <w:p w:rsidR="00EB0E47" w:rsidRPr="00E50302" w:rsidRDefault="00940571" w:rsidP="005A464E">
      <w:pPr>
        <w:pStyle w:val="nouk"/>
      </w:pPr>
      <w:r w:rsidRPr="00E50302">
        <w:t xml:space="preserve">Το αν έμεναν μόνοι τους, η ηλικία, η συμμόρφωση και το </w:t>
      </w:r>
      <w:r w:rsidR="000D053B" w:rsidRPr="00E50302">
        <w:t>εκπαιδευτικό</w:t>
      </w:r>
      <w:r w:rsidRPr="00E50302">
        <w:t xml:space="preserve"> επίπεδο των συμμετεχόντων βρέθηκαν να σχετίζονται ανεξάρτητα με τη βαθμολογία στη </w:t>
      </w:r>
      <w:r w:rsidR="00EB5EED" w:rsidRPr="00E50302">
        <w:t>διάσταση «Διαπροσωπικές σχέσεις</w:t>
      </w:r>
      <w:r w:rsidRPr="00E50302">
        <w:t>». Συγκεκριμένα</w:t>
      </w:r>
      <w:r w:rsidR="00D66B21" w:rsidRPr="00E50302">
        <w:t>, ο</w:t>
      </w:r>
      <w:r w:rsidRPr="00E50302">
        <w:t>ι συμμετέχοντες που δεν έμεναν μόνοι τους είχαν κατά 10,55 μονάδες υψηλότερη βαθμολογία</w:t>
      </w:r>
      <w:r w:rsidR="0078495A" w:rsidRPr="00E50302">
        <w:t xml:space="preserve"> </w:t>
      </w:r>
      <w:r w:rsidRPr="00E50302">
        <w:t>σε σύγκριση με τους συμμετέχοντες που έμεναν μόνοι τους.</w:t>
      </w:r>
      <w:r w:rsidR="00BC1D9F" w:rsidRPr="00E50302">
        <w:t xml:space="preserve"> </w:t>
      </w:r>
      <w:r w:rsidRPr="00E50302">
        <w:t xml:space="preserve">Όσο αυξάνεται η ηλικία των συμμετεχόντων τόσο μειώνεται η βαθμολογία τους στη διάσταση αυτή. </w:t>
      </w:r>
      <w:r w:rsidR="00BC1D9F" w:rsidRPr="00E50302">
        <w:t>Όσο αυξάνεται η συμμόρφωση των συμμετεχόντων τόσο αυξάνεται η βαθμο</w:t>
      </w:r>
      <w:r w:rsidR="00BF1839" w:rsidRPr="00E50302">
        <w:t>λογία στη διάσταση «Διαπροσωπικέ</w:t>
      </w:r>
      <w:r w:rsidR="00BC1D9F" w:rsidRPr="00E50302">
        <w:t>ς σχέσεις». Οι φοιτητές και οι πτυχιούχοι ΤΕΙ/ΑΕΙ είχαν κατά 4,80 μονάδες υψηλότερη βαθμολογία σε σύγκριση με τους συμμετέχοντες πο</w:t>
      </w:r>
      <w:r w:rsidR="00A43379" w:rsidRPr="00E50302">
        <w:t>υ ήταν αναλφάβητοι ή απόφοιτοι Δ</w:t>
      </w:r>
      <w:r w:rsidR="00BC1D9F" w:rsidRPr="00E50302">
        <w:t xml:space="preserve">ημοτικού. </w:t>
      </w:r>
    </w:p>
    <w:p w:rsidR="006C17AA" w:rsidRPr="00E50302" w:rsidRDefault="006C17AA" w:rsidP="005A464E">
      <w:pPr>
        <w:pStyle w:val="nouk"/>
      </w:pPr>
    </w:p>
    <w:p w:rsidR="00BC1D9F" w:rsidRPr="00E50302" w:rsidRDefault="00BC1D9F" w:rsidP="005A464E">
      <w:pPr>
        <w:pStyle w:val="nouk"/>
      </w:pPr>
      <w:r w:rsidRPr="00E50302">
        <w:t xml:space="preserve">Η ηλικία, τα έτη από τη διάγνωση ΧΝΝ, ο ημερήσιος αριθμός </w:t>
      </w:r>
      <w:r w:rsidR="00B0098B" w:rsidRPr="00E50302">
        <w:t>δισκίων</w:t>
      </w:r>
      <w:r w:rsidRPr="00E50302">
        <w:t xml:space="preserve"> και η οικογενειακή κατάσταση βρέθηκαν να σχετίζονται ανεξάρτητα με τη βαθμολογία στη διάσταση «Ευεξία». </w:t>
      </w:r>
      <w:r w:rsidR="00EB0E47" w:rsidRPr="00E50302">
        <w:t>Συγκεκριμένα, ό</w:t>
      </w:r>
      <w:r w:rsidRPr="00E50302">
        <w:t xml:space="preserve">σο αυξάνεται η ηλικία των συμμετεχόντων τόσο μειώνεται η βαθμολογία τους στη διάσταση αυτή. Όσο περισσότερα έτη είχαν διαγνωσθεί με ΧΝΝ τόσο χαμηλότερη ήταν η βαθμολογία των συμμετεχόντων στη διάσταση αυτή. Όσο περισσότερα </w:t>
      </w:r>
      <w:r w:rsidR="00B0098B" w:rsidRPr="00E50302">
        <w:t>δισκία</w:t>
      </w:r>
      <w:r w:rsidRPr="00E50302">
        <w:t xml:space="preserve"> έπαιρναν την ημέρα τόσο υψηλότερη ήταν η βαθμολογία των συμμετεχόντων στη διάσταση αυτή. Οι έγγαμοι είχαν κατά 3,06 μονάδες χαμηλότερη βαθμολογία σε σύγκριση με τους μη έγγαμους. </w:t>
      </w:r>
    </w:p>
    <w:p w:rsidR="00706ABD" w:rsidRPr="00E50302" w:rsidRDefault="00706ABD" w:rsidP="005A464E">
      <w:pPr>
        <w:pStyle w:val="nouk"/>
      </w:pPr>
    </w:p>
    <w:p w:rsidR="00940571" w:rsidRDefault="00706ABD" w:rsidP="005A464E">
      <w:pPr>
        <w:pStyle w:val="nouk"/>
      </w:pPr>
      <w:r w:rsidRPr="00E50302">
        <w:t xml:space="preserve">Ο μέσος αριθμός </w:t>
      </w:r>
      <w:r w:rsidR="00B0098B" w:rsidRPr="00E50302">
        <w:t>δισκίων</w:t>
      </w:r>
      <w:r w:rsidRPr="00E50302">
        <w:t xml:space="preserve"> στο σύνολο των 321 ασθενών</w:t>
      </w:r>
      <w:r w:rsidR="007924FC" w:rsidRPr="00E50302">
        <w:t xml:space="preserve"> </w:t>
      </w:r>
      <w:r w:rsidRPr="00E50302">
        <w:t>του δείγματος</w:t>
      </w:r>
      <w:r w:rsidR="0078495A" w:rsidRPr="00E50302">
        <w:t xml:space="preserve"> </w:t>
      </w:r>
      <w:r w:rsidRPr="00E50302">
        <w:t xml:space="preserve">ήταν </w:t>
      </w:r>
      <w:r w:rsidR="00B05131" w:rsidRPr="00E50302">
        <w:t>7,</w:t>
      </w:r>
      <w:r w:rsidRPr="00E50302">
        <w:t>1, στην ομάδα ελέγχου</w:t>
      </w:r>
      <w:r w:rsidR="007924FC" w:rsidRPr="00E50302">
        <w:t xml:space="preserve"> </w:t>
      </w:r>
      <w:r w:rsidR="00B05131" w:rsidRPr="00E50302">
        <w:t>7,</w:t>
      </w:r>
      <w:r w:rsidRPr="00E50302">
        <w:t xml:space="preserve">2 και στην ομάδα παρέμβασης </w:t>
      </w:r>
      <w:r w:rsidR="00B05131" w:rsidRPr="00E50302">
        <w:t>8,</w:t>
      </w:r>
      <w:r w:rsidRPr="00E50302">
        <w:t>9. Ο αριθμός αυτός φαίνεται ότι είνα</w:t>
      </w:r>
      <w:r w:rsidR="00D855BC" w:rsidRPr="00E50302">
        <w:t>ι χαμηλότερος</w:t>
      </w:r>
      <w:r w:rsidR="00D855BC" w:rsidRPr="005A464E">
        <w:t xml:space="preserve"> από τον γενικό μέ</w:t>
      </w:r>
      <w:r w:rsidRPr="005A464E">
        <w:t xml:space="preserve">σο όρο </w:t>
      </w:r>
      <w:r w:rsidR="00D855BC" w:rsidRPr="005A464E">
        <w:t>(10-12) που αναφέρει</w:t>
      </w:r>
      <w:r w:rsidR="0078495A">
        <w:t xml:space="preserve"> </w:t>
      </w:r>
      <w:r w:rsidR="00D855BC" w:rsidRPr="005A464E">
        <w:t>η βιβλιογ</w:t>
      </w:r>
      <w:r w:rsidRPr="005A464E">
        <w:t>ραφία</w:t>
      </w:r>
      <w:r w:rsidR="00E156DF" w:rsidRPr="005A464E">
        <w:t xml:space="preserve"> (</w:t>
      </w:r>
      <w:r w:rsidR="00B27DBE" w:rsidRPr="005A464E">
        <w:rPr>
          <w:rFonts w:cs="Lucida Sans Unicode"/>
          <w:color w:val="222222"/>
          <w:shd w:val="clear" w:color="auto" w:fill="FFFFFF"/>
          <w:lang w:val="en-US"/>
        </w:rPr>
        <w:t>URRDS</w:t>
      </w:r>
      <w:r w:rsidR="00B27DBE" w:rsidRPr="00210189">
        <w:rPr>
          <w:rFonts w:cs="Lucida Sans Unicode"/>
          <w:color w:val="222222"/>
          <w:shd w:val="clear" w:color="auto" w:fill="FFFFFF"/>
        </w:rPr>
        <w:t xml:space="preserve">, </w:t>
      </w:r>
      <w:r w:rsidR="00B27DBE" w:rsidRPr="005A464E">
        <w:rPr>
          <w:rFonts w:cs="Lucida Sans Unicode"/>
          <w:color w:val="222222"/>
          <w:shd w:val="clear" w:color="auto" w:fill="FFFFFF"/>
        </w:rPr>
        <w:t>1997</w:t>
      </w:r>
      <w:r w:rsidR="00B27DBE">
        <w:rPr>
          <w:rFonts w:cs="Lucida Sans Unicode"/>
          <w:color w:val="222222"/>
          <w:shd w:val="clear" w:color="auto" w:fill="FFFFFF"/>
        </w:rPr>
        <w:t xml:space="preserve">; </w:t>
      </w:r>
      <w:r w:rsidR="00E156DF" w:rsidRPr="005A464E">
        <w:rPr>
          <w:rFonts w:cs="Lucida Sans Unicode"/>
          <w:color w:val="222222"/>
          <w:shd w:val="clear" w:color="auto" w:fill="FFFFFF"/>
        </w:rPr>
        <w:t xml:space="preserve">Manley </w:t>
      </w:r>
      <w:r w:rsidR="00566CAA">
        <w:rPr>
          <w:rFonts w:cs="Lucida Sans Unicode"/>
          <w:color w:val="222222"/>
          <w:shd w:val="clear" w:color="auto" w:fill="FFFFFF"/>
        </w:rPr>
        <w:t>et al</w:t>
      </w:r>
      <w:r w:rsidR="00210189" w:rsidRPr="00210189">
        <w:rPr>
          <w:rFonts w:cs="Lucida Sans Unicode"/>
          <w:color w:val="222222"/>
          <w:shd w:val="clear" w:color="auto" w:fill="FFFFFF"/>
        </w:rPr>
        <w:t>.</w:t>
      </w:r>
      <w:r w:rsidR="0010246A" w:rsidRPr="0010246A">
        <w:rPr>
          <w:rFonts w:cs="Lucida Sans Unicode"/>
          <w:color w:val="222222"/>
          <w:shd w:val="clear" w:color="auto" w:fill="FFFFFF"/>
        </w:rPr>
        <w:t>,</w:t>
      </w:r>
      <w:r w:rsidR="0010246A">
        <w:rPr>
          <w:rFonts w:cs="Lucida Sans Unicode"/>
          <w:color w:val="222222"/>
          <w:shd w:val="clear" w:color="auto" w:fill="FFFFFF"/>
        </w:rPr>
        <w:t xml:space="preserve"> 2004</w:t>
      </w:r>
      <w:r w:rsidR="00210189" w:rsidRPr="00210189">
        <w:rPr>
          <w:rFonts w:cs="Lucida Sans Unicode"/>
          <w:color w:val="222222"/>
          <w:shd w:val="clear" w:color="auto" w:fill="FFFFFF"/>
        </w:rPr>
        <w:t>)</w:t>
      </w:r>
      <w:r w:rsidR="00D855BC" w:rsidRPr="005A464E">
        <w:t>.</w:t>
      </w:r>
      <w:r w:rsidR="006C17AA">
        <w:t xml:space="preserve"> Παρ’ όλ’ </w:t>
      </w:r>
      <w:r w:rsidR="007924FC">
        <w:t>αυτά ο αριθμό</w:t>
      </w:r>
      <w:r w:rsidR="00D855BC" w:rsidRPr="005A464E">
        <w:t>ς αυτός είναι προγνωστικός παράγοντας</w:t>
      </w:r>
      <w:r w:rsidR="00E156DF" w:rsidRPr="005A464E">
        <w:t xml:space="preserve"> </w:t>
      </w:r>
      <w:r w:rsidR="00D855BC" w:rsidRPr="005A464E">
        <w:t xml:space="preserve">της ΠΖ και της συμμόρφωσης στην συγκεκριμένη μελέτη. </w:t>
      </w:r>
      <w:r w:rsidR="001E16EF" w:rsidRPr="005A464E">
        <w:t xml:space="preserve">Οι </w:t>
      </w:r>
      <w:r w:rsidR="001E16EF" w:rsidRPr="005A464E">
        <w:rPr>
          <w:lang w:val="en-US"/>
        </w:rPr>
        <w:t>Chiu</w:t>
      </w:r>
      <w:r w:rsidR="001E16EF" w:rsidRPr="005A464E">
        <w:t xml:space="preserve"> </w:t>
      </w:r>
      <w:r w:rsidR="00566CAA">
        <w:t>et al</w:t>
      </w:r>
      <w:r w:rsidR="00210189" w:rsidRPr="00872FD2">
        <w:t>.</w:t>
      </w:r>
      <w:r w:rsidR="007924FC">
        <w:t xml:space="preserve"> (2009), στη μοναδική ως τώ</w:t>
      </w:r>
      <w:r w:rsidR="001E16EF" w:rsidRPr="005A464E">
        <w:t xml:space="preserve">ρα μελέτη της επίδρασης του αριθμού των </w:t>
      </w:r>
      <w:r w:rsidR="00B0098B">
        <w:t>δισκίων</w:t>
      </w:r>
      <w:r w:rsidR="001E16EF" w:rsidRPr="005A464E">
        <w:t xml:space="preserve"> στη</w:t>
      </w:r>
      <w:r w:rsidR="007924FC">
        <w:t xml:space="preserve"> </w:t>
      </w:r>
      <w:r w:rsidR="001E16EF" w:rsidRPr="005A464E">
        <w:t xml:space="preserve">συμμόρφωση και την ΠΖ, αναφέρουν παρόμοια αποτελέσματα. </w:t>
      </w:r>
      <w:r w:rsidR="00D855BC" w:rsidRPr="005A464E">
        <w:t xml:space="preserve">Η συμβολή των διαφορετικών κατηγοριών φαρμάκων στο ημερήσιο βάρος </w:t>
      </w:r>
      <w:r w:rsidR="00B0098B">
        <w:t>δισκίων</w:t>
      </w:r>
      <w:r w:rsidR="00D855BC" w:rsidRPr="005A464E">
        <w:t xml:space="preserve"> σε ασθενείς υπό αιμοκάθαρση δεν έχει μέχρι τώρα ερευνηθεί. </w:t>
      </w:r>
      <w:r w:rsidR="006C17AA">
        <w:t>Το επίπεδο</w:t>
      </w:r>
      <w:r w:rsidR="00E156DF" w:rsidRPr="005A464E">
        <w:t xml:space="preserve"> φωσφόρου του ορού έχ</w:t>
      </w:r>
      <w:r w:rsidR="006C17AA">
        <w:t xml:space="preserve">ει πλέον </w:t>
      </w:r>
      <w:r w:rsidR="007924FC">
        <w:t>δειχθεί</w:t>
      </w:r>
      <w:r w:rsidR="006C17AA">
        <w:t xml:space="preserve"> ότι αποτελεί</w:t>
      </w:r>
      <w:r w:rsidR="00E156DF" w:rsidRPr="005A464E">
        <w:t xml:space="preserve"> ανεξάρτητο παράγοντα πρόβλεψης του κινδύνου θανάτου (Κ</w:t>
      </w:r>
      <w:r w:rsidR="00E156DF" w:rsidRPr="005A464E">
        <w:rPr>
          <w:lang w:val="en-US"/>
        </w:rPr>
        <w:t>aplakian</w:t>
      </w:r>
      <w:r w:rsidR="00E156DF" w:rsidRPr="005A464E">
        <w:t xml:space="preserve"> </w:t>
      </w:r>
      <w:r w:rsidR="00210189" w:rsidRPr="00210189">
        <w:rPr>
          <w:rFonts w:eastAsia="Times New Roman" w:cs="Lucida Sans Unicode"/>
          <w:color w:val="222222"/>
          <w:lang w:eastAsia="el-GR"/>
        </w:rPr>
        <w:t xml:space="preserve">&amp; </w:t>
      </w:r>
      <w:r w:rsidR="00210189" w:rsidRPr="005A464E">
        <w:rPr>
          <w:rFonts w:eastAsia="Times New Roman" w:cs="Lucida Sans Unicode"/>
          <w:color w:val="222222"/>
          <w:lang w:val="en-US" w:eastAsia="el-GR"/>
        </w:rPr>
        <w:t>Mehrotra</w:t>
      </w:r>
      <w:r w:rsidR="00AB454B">
        <w:rPr>
          <w:rFonts w:eastAsia="Times New Roman" w:cs="Lucida Sans Unicode"/>
          <w:color w:val="222222"/>
          <w:lang w:eastAsia="el-GR"/>
        </w:rPr>
        <w:t>,</w:t>
      </w:r>
      <w:r w:rsidR="00210189" w:rsidRPr="005A464E">
        <w:t xml:space="preserve"> </w:t>
      </w:r>
      <w:r w:rsidR="00E156DF" w:rsidRPr="005A464E">
        <w:t>2007</w:t>
      </w:r>
      <w:r w:rsidR="00961E0E" w:rsidRPr="005A464E">
        <w:t xml:space="preserve">). </w:t>
      </w:r>
      <w:r w:rsidR="00D855BC" w:rsidRPr="005A464E">
        <w:t xml:space="preserve">Η κλινική εμπειρία υποδεικνύει ότι τα φωσφοροδεσμευτικά είναι πιθανώς ο μεγαλύτερος συντελεστής στο καθημερινό βάρος των </w:t>
      </w:r>
      <w:r w:rsidR="00B0098B">
        <w:t>δισκίων</w:t>
      </w:r>
      <w:r w:rsidR="00E156DF" w:rsidRPr="005A464E">
        <w:t xml:space="preserve"> (</w:t>
      </w:r>
      <w:r w:rsidR="00E156DF" w:rsidRPr="005A464E">
        <w:rPr>
          <w:lang w:val="en-US"/>
        </w:rPr>
        <w:t>Karamanidou</w:t>
      </w:r>
      <w:r w:rsidR="002F68C8" w:rsidRPr="002F68C8">
        <w:t xml:space="preserve"> </w:t>
      </w:r>
      <w:r w:rsidR="002F68C8">
        <w:rPr>
          <w:lang w:val="en-US"/>
        </w:rPr>
        <w:t>et</w:t>
      </w:r>
      <w:r w:rsidR="002F68C8" w:rsidRPr="002F68C8">
        <w:t xml:space="preserve"> </w:t>
      </w:r>
      <w:r w:rsidR="002F68C8">
        <w:rPr>
          <w:lang w:val="en-US"/>
        </w:rPr>
        <w:t>al</w:t>
      </w:r>
      <w:r w:rsidR="002F68C8" w:rsidRPr="002F68C8">
        <w:t>.</w:t>
      </w:r>
      <w:r w:rsidR="007B503D" w:rsidRPr="007B503D">
        <w:t>,</w:t>
      </w:r>
      <w:r w:rsidR="00642ED2">
        <w:t xml:space="preserve"> </w:t>
      </w:r>
      <w:r w:rsidR="00E156DF" w:rsidRPr="005A464E">
        <w:t xml:space="preserve">2008). </w:t>
      </w:r>
    </w:p>
    <w:p w:rsidR="006C17AA" w:rsidRPr="000B7506" w:rsidRDefault="006C17AA" w:rsidP="005A464E">
      <w:pPr>
        <w:pStyle w:val="nouk"/>
      </w:pPr>
    </w:p>
    <w:p w:rsidR="006C17AA" w:rsidRDefault="00EB0E47" w:rsidP="005A464E">
      <w:pPr>
        <w:pStyle w:val="nouk"/>
      </w:pPr>
      <w:r w:rsidRPr="005A464E">
        <w:t xml:space="preserve">Η ηλικία, η γνώση, τα έτη από τη διάγνωση ΧΝΝ και ο τόπος διαμονής βρέθηκαν να σχετίζονται ανεξάρτητα με τη βαθμολογία στη </w:t>
      </w:r>
      <w:r w:rsidRPr="00E50302">
        <w:t>διάσταση «Πνευματικότητα». Συγκεκριμένα, όσο αυξάνεται η ηλικία των συμμετεχόντων τόσο μειώνεται η</w:t>
      </w:r>
      <w:r w:rsidRPr="005A464E">
        <w:t xml:space="preserve"> βαθμολογία τους στη διάσταση αυτή.</w:t>
      </w:r>
      <w:r w:rsidR="0078495A">
        <w:t xml:space="preserve"> </w:t>
      </w:r>
      <w:r w:rsidRPr="005A464E">
        <w:t>Όσο αυξάνεται η γνώση των συμμετεχόντων τόσο αυξάνεται η βαθμολογία στη διάσταση «Πνευματικότητα». Όσο περισσότερα έτη είχαν διαγνωσθεί με ΧΝΝ τόσο χαμηλότερη ήταν η βαθμολογία των συμμετεχόντων στη διάσταση αυτή.</w:t>
      </w:r>
      <w:r w:rsidR="0078495A">
        <w:t xml:space="preserve"> </w:t>
      </w:r>
      <w:r w:rsidR="007924FC">
        <w:t>Το εύρημα αυτό δεί</w:t>
      </w:r>
      <w:r w:rsidR="0017184E" w:rsidRPr="005A464E">
        <w:t>χνει πως με το πέρασμα των ετών ο αριθμός των φυσικών και ψυχοκοινωνικών στρεσσογόνων παρα</w:t>
      </w:r>
      <w:r w:rsidR="007924FC">
        <w:t>γόντων αυξάνεται</w:t>
      </w:r>
      <w:r w:rsidR="0017184E" w:rsidRPr="005A464E">
        <w:t xml:space="preserve"> κάτι το οποίο οδηγεί σε</w:t>
      </w:r>
      <w:r w:rsidR="0078495A">
        <w:t xml:space="preserve"> </w:t>
      </w:r>
      <w:r w:rsidR="0017184E" w:rsidRPr="005A464E">
        <w:t>εκτενέστερη χρήση των στρατηγικών αντιμετώπισης.</w:t>
      </w:r>
      <w:r w:rsidR="00472330">
        <w:t xml:space="preserve"> </w:t>
      </w:r>
      <w:r w:rsidRPr="005A464E">
        <w:t>Οι συμμετέχοντες που έμεναν σε αστική περιοχή είχαν κατά 4,89 μονάδες υψηλότερη βαθμολογία σε σύγκριση με τους συμμετέχοντες που έμεναν σε αγροτική/ ημιαστική περιοχή.</w:t>
      </w:r>
    </w:p>
    <w:p w:rsidR="006C17AA" w:rsidRDefault="006C17AA" w:rsidP="005A464E">
      <w:pPr>
        <w:pStyle w:val="nouk"/>
      </w:pPr>
    </w:p>
    <w:p w:rsidR="00E15667" w:rsidRPr="00E50302" w:rsidRDefault="00940571" w:rsidP="005A464E">
      <w:pPr>
        <w:pStyle w:val="nouk"/>
      </w:pPr>
      <w:r w:rsidRPr="005A464E">
        <w:t xml:space="preserve">Η ηλικία, η γνώση, η συμμόρφωση, ο </w:t>
      </w:r>
      <w:r w:rsidRPr="00E50302">
        <w:t>τόπος διαμονής και το αν έμεναν μόνοι τους βρέθηκαν να σχετίζονται ανεξάρτητα με τη συνολική βαθμολογία ποιότητας ζωής. Συγκεκριμένα</w:t>
      </w:r>
      <w:r w:rsidR="00D66B21" w:rsidRPr="00E50302">
        <w:t>, ό</w:t>
      </w:r>
      <w:r w:rsidRPr="00E50302">
        <w:t>σο αυξάνεται η ηλικία των συμμετεχόντων τόσο μειώνεται η βαθμολογία τους, που υποδηλώνει χειρότερη ποιότητα ζωής. Όσο αυξάνεται η γνώση των συμμετεχόντων τόσο αυξάνεται η βαθμολογία στη συνολική βαθμολογία ποιότητας ζωής.</w:t>
      </w:r>
      <w:r w:rsidR="007924FC" w:rsidRPr="00E50302">
        <w:t xml:space="preserve"> </w:t>
      </w:r>
      <w:r w:rsidRPr="00E50302">
        <w:t>Όσο αυξάνεται η συμμόρφωση των συμμετεχόντων τόσο αυξάνεται η βαθμολογία στη συνολική βαθμολογία ποιότητας ζωής.</w:t>
      </w:r>
      <w:r w:rsidR="007924FC" w:rsidRPr="00E50302">
        <w:t xml:space="preserve"> </w:t>
      </w:r>
      <w:r w:rsidRPr="00E50302">
        <w:t>Οι συμμετέχοντες που έμεναν σε αστική περιοχή είχαν κατά 1,37 μονάδες υψηλότερη βαθμολογία σε σύγκριση με τους συμμετέχοντες που έμεναν σε αγροτική/ ημιαστική περιοχή.</w:t>
      </w:r>
      <w:r w:rsidR="007924FC" w:rsidRPr="00E50302">
        <w:t xml:space="preserve"> </w:t>
      </w:r>
      <w:r w:rsidRPr="00E50302">
        <w:t>Οι συμμετέχοντες που δεν έμεναν μόνοι τους είχαν κατά 1,18 μονάδες υψηλότερη βαθμολογία σε σύγκριση με τους συμμετέχοντες που έμεναν μόνοι τους.</w:t>
      </w:r>
    </w:p>
    <w:p w:rsidR="006C17AA" w:rsidRPr="00E50302" w:rsidRDefault="006C17AA" w:rsidP="005A464E">
      <w:pPr>
        <w:pStyle w:val="nouk"/>
      </w:pPr>
    </w:p>
    <w:p w:rsidR="0059754E" w:rsidRDefault="00E15667" w:rsidP="005A464E">
      <w:pPr>
        <w:pStyle w:val="nouk"/>
      </w:pPr>
      <w:r w:rsidRPr="00E50302">
        <w:t xml:space="preserve">Πολλοί κοινωνικοδημογραφικοί πράγοντες μπορούν να επηρεάσουν την ΠΖ των ασθενών υπό </w:t>
      </w:r>
      <w:r w:rsidR="00B27DBE" w:rsidRPr="00E50302">
        <w:t>αιμοκάθαρση</w:t>
      </w:r>
      <w:r w:rsidR="004C1678" w:rsidRPr="00E50302">
        <w:t>. Οι ποικιλομορφί</w:t>
      </w:r>
      <w:r w:rsidRPr="00E50302">
        <w:t>ες μπορεί να οφεί</w:t>
      </w:r>
      <w:r w:rsidR="00B21E0E" w:rsidRPr="00E50302">
        <w:t>λονται στις διαφορές των κοινων</w:t>
      </w:r>
      <w:r w:rsidRPr="00E50302">
        <w:t>ικ</w:t>
      </w:r>
      <w:r w:rsidR="00B21E0E" w:rsidRPr="00E50302">
        <w:t>οδημογραφικώ</w:t>
      </w:r>
      <w:r w:rsidR="0059754E" w:rsidRPr="00E50302">
        <w:t>ν και κλινικών χαρακτηρ</w:t>
      </w:r>
      <w:r w:rsidRPr="00E50302">
        <w:t>στικώ</w:t>
      </w:r>
      <w:r w:rsidR="0059754E" w:rsidRPr="00E50302">
        <w:t xml:space="preserve">ν </w:t>
      </w:r>
      <w:r w:rsidRPr="00E50302">
        <w:t xml:space="preserve">όπως </w:t>
      </w:r>
      <w:r w:rsidR="00E068BD" w:rsidRPr="00E50302">
        <w:t>η η</w:t>
      </w:r>
      <w:r w:rsidR="00E156DF" w:rsidRPr="00E50302">
        <w:t xml:space="preserve">λικία, η διάρκεια </w:t>
      </w:r>
      <w:r w:rsidR="00472330" w:rsidRPr="00E50302">
        <w:t xml:space="preserve">ένταξης στην </w:t>
      </w:r>
      <w:r w:rsidR="00453C96" w:rsidRPr="00E50302">
        <w:t>αιμοκάθαρση</w:t>
      </w:r>
      <w:r w:rsidR="00E156DF" w:rsidRPr="00E50302">
        <w:t xml:space="preserve"> κα</w:t>
      </w:r>
      <w:r w:rsidR="00472330" w:rsidRPr="00E50302">
        <w:t>θώ</w:t>
      </w:r>
      <w:r w:rsidR="0059754E" w:rsidRPr="00E50302">
        <w:t>ς και η παρουσία άλλων νοσημάτων. Πολλοί ασθενείς, επιπλέον, δεν αναζητούν ιατρική βοήθεια ως και την εμφάνιση των επιπλοκών καθυστερώντας έτσι τη διάγνωση και τη θεραπεία και αυξάνοντας την πιθανότητα εμφάνισης επιππλοκών.</w:t>
      </w:r>
      <w:r w:rsidR="00D16C29" w:rsidRPr="00E50302">
        <w:t xml:space="preserve"> </w:t>
      </w:r>
      <w:r w:rsidR="0059754E" w:rsidRPr="00E50302">
        <w:t>Στη συγκεκριμένη μελέτη</w:t>
      </w:r>
      <w:r w:rsidR="00DE068C" w:rsidRPr="00E50302">
        <w:t xml:space="preserve"> φαίνεται</w:t>
      </w:r>
      <w:r w:rsidR="0059754E" w:rsidRPr="00E50302">
        <w:t xml:space="preserve"> </w:t>
      </w:r>
      <w:r w:rsidR="007924FC" w:rsidRPr="00E50302">
        <w:t xml:space="preserve">ότι </w:t>
      </w:r>
      <w:r w:rsidR="0059754E" w:rsidRPr="00E50302">
        <w:t>η αύξηση της</w:t>
      </w:r>
      <w:r w:rsidR="00DE068C" w:rsidRPr="00E50302">
        <w:t xml:space="preserve"> ηλικίας συνοδεύεται</w:t>
      </w:r>
      <w:r w:rsidR="0059754E" w:rsidRPr="00E50302">
        <w:t xml:space="preserve"> και από επιδείνωση στην ΠΖ. Παρόμοι</w:t>
      </w:r>
      <w:r w:rsidR="007924FC" w:rsidRPr="00E50302">
        <w:t>ες</w:t>
      </w:r>
      <w:r w:rsidR="007924FC">
        <w:t xml:space="preserve"> μελέτες αν</w:t>
      </w:r>
      <w:r w:rsidR="00472330">
        <w:t>α</w:t>
      </w:r>
      <w:r w:rsidR="007924FC">
        <w:t>φέρουν τα ίδια ευρή</w:t>
      </w:r>
      <w:r w:rsidR="0059754E" w:rsidRPr="005A464E">
        <w:t xml:space="preserve">ματα. Οι </w:t>
      </w:r>
      <w:r w:rsidR="0059754E" w:rsidRPr="005A464E">
        <w:rPr>
          <w:lang w:val="en-US"/>
        </w:rPr>
        <w:t>Kang</w:t>
      </w:r>
      <w:r w:rsidR="0059754E" w:rsidRPr="005A464E">
        <w:t xml:space="preserve"> </w:t>
      </w:r>
      <w:r w:rsidR="00566CAA">
        <w:t>et al</w:t>
      </w:r>
      <w:r w:rsidR="008C2C81">
        <w:t>.</w:t>
      </w:r>
      <w:r w:rsidR="0059754E" w:rsidRPr="005A464E">
        <w:t xml:space="preserve"> (2015) έδειξαν ότι η ηλικία ήταν σημαντικός παράγοντας πρόγνωσης της ΠΖ σε Κορεάτες ασθενείς υπό </w:t>
      </w:r>
      <w:r w:rsidR="00453C96">
        <w:t>αιμοκάθαρση</w:t>
      </w:r>
      <w:r w:rsidR="00453C96" w:rsidRPr="005A464E">
        <w:t>.</w:t>
      </w:r>
      <w:r w:rsidR="0059754E" w:rsidRPr="005A464E">
        <w:t xml:space="preserve"> Οι νεαρότεροι ασθενείς στην παρούσα μελέτη ανέφεραν καλύτερη ΠΖ πιθανόν λόγω της μικρότερη</w:t>
      </w:r>
      <w:r w:rsidR="00D16C29">
        <w:t xml:space="preserve">ς χρονικής περιόδου ένταξης στην αιμοκάθαρση </w:t>
      </w:r>
      <w:r w:rsidR="0059754E" w:rsidRPr="005A464E">
        <w:t>και των λιγότερων επιπλοκών.</w:t>
      </w:r>
    </w:p>
    <w:p w:rsidR="00D16C29" w:rsidRPr="005A464E" w:rsidRDefault="00D16C29" w:rsidP="005A464E">
      <w:pPr>
        <w:pStyle w:val="nouk"/>
      </w:pPr>
    </w:p>
    <w:p w:rsidR="00CC63A7" w:rsidRPr="00E50302" w:rsidRDefault="00CC63A7" w:rsidP="005A464E">
      <w:pPr>
        <w:pStyle w:val="nouk"/>
      </w:pPr>
      <w:r w:rsidRPr="005A464E">
        <w:t xml:space="preserve">Επιπρόσθετα, στη συγκεκριμένη μελέτη </w:t>
      </w:r>
      <w:r w:rsidRPr="00E50302">
        <w:t>το υψηλ</w:t>
      </w:r>
      <w:r w:rsidR="008544EC" w:rsidRPr="00E50302">
        <w:t>ό εκπαιδευτικό επίπεδο</w:t>
      </w:r>
      <w:r w:rsidR="008544EC" w:rsidRPr="005A464E">
        <w:t xml:space="preserve"> συσχετίσ</w:t>
      </w:r>
      <w:r w:rsidRPr="005A464E">
        <w:t>θηκε και με καλύτερη ΠΖ και ιδιαίτερα σ</w:t>
      </w:r>
      <w:r w:rsidR="00E068BD" w:rsidRPr="005A464E">
        <w:t>τον τομέα των διαπροσωπικών σχέ</w:t>
      </w:r>
      <w:r w:rsidRPr="005A464E">
        <w:t>σεων. Αυτό μπορεί ν</w:t>
      </w:r>
      <w:r w:rsidR="00D16C29">
        <w:t>α οφείλεται στο ότι οι</w:t>
      </w:r>
      <w:r w:rsidRPr="005A464E">
        <w:t xml:space="preserve"> ασθενείς </w:t>
      </w:r>
      <w:r w:rsidR="00D16C29">
        <w:t xml:space="preserve">με υψηλό εκπαιδευτικό επίπεδο </w:t>
      </w:r>
      <w:r w:rsidRPr="005A464E">
        <w:t>ίσως κατανοούν κα</w:t>
      </w:r>
      <w:r w:rsidR="00E068BD" w:rsidRPr="005A464E">
        <w:t>λ</w:t>
      </w:r>
      <w:r w:rsidRPr="005A464E">
        <w:t xml:space="preserve">ύτερα την ασθένεια και τις </w:t>
      </w:r>
      <w:r w:rsidR="00E068BD" w:rsidRPr="005A464E">
        <w:t>παρενέργειές της, διαχειρίζοντ</w:t>
      </w:r>
      <w:r w:rsidRPr="005A464E">
        <w:t>α</w:t>
      </w:r>
      <w:r w:rsidR="00E068BD" w:rsidRPr="005A464E">
        <w:t>ι</w:t>
      </w:r>
      <w:r w:rsidRPr="005A464E">
        <w:t xml:space="preserve"> καλύτερα την ασθενειά τους ή έχουν π</w:t>
      </w:r>
      <w:r w:rsidR="00E068BD" w:rsidRPr="005A464E">
        <w:t xml:space="preserve">ερισσότερη πληροφόρηση σχετικά </w:t>
      </w:r>
      <w:r w:rsidRPr="005A464E">
        <w:t>μ</w:t>
      </w:r>
      <w:r w:rsidR="00E068BD" w:rsidRPr="005A464E">
        <w:t>ε</w:t>
      </w:r>
      <w:r w:rsidRPr="005A464E">
        <w:t xml:space="preserve"> τη</w:t>
      </w:r>
      <w:r w:rsidR="00E068BD" w:rsidRPr="005A464E">
        <w:t>ν</w:t>
      </w:r>
      <w:r w:rsidRPr="005A464E">
        <w:t xml:space="preserve"> ασθένεια, υψηλότερη συμμόρφωση αλλά και καλύτερη σχέση με την ομάδα υγείας </w:t>
      </w:r>
      <w:r w:rsidRPr="00472330">
        <w:t>(</w:t>
      </w:r>
      <w:r w:rsidRPr="00472330">
        <w:rPr>
          <w:rFonts w:cs="Arial"/>
          <w:iCs/>
          <w:shd w:val="clear" w:color="auto" w:fill="FFFFFF"/>
        </w:rPr>
        <w:t>García-Llan</w:t>
      </w:r>
      <w:r w:rsidR="00197BA9" w:rsidRPr="00472330">
        <w:rPr>
          <w:rFonts w:cs="Arial"/>
          <w:iCs/>
          <w:shd w:val="clear" w:color="auto" w:fill="FFFFFF"/>
          <w:lang w:val="en-US"/>
        </w:rPr>
        <w:t>a</w:t>
      </w:r>
      <w:r w:rsidR="00197BA9" w:rsidRPr="00472330">
        <w:rPr>
          <w:rFonts w:cs="Arial"/>
          <w:iCs/>
          <w:shd w:val="clear" w:color="auto" w:fill="FFFFFF"/>
        </w:rPr>
        <w:t xml:space="preserve"> </w:t>
      </w:r>
      <w:r w:rsidR="00197BA9" w:rsidRPr="00472330">
        <w:rPr>
          <w:rFonts w:cs="Arial"/>
          <w:iCs/>
          <w:shd w:val="clear" w:color="auto" w:fill="FFFFFF"/>
          <w:lang w:val="en-US"/>
        </w:rPr>
        <w:t>et</w:t>
      </w:r>
      <w:r w:rsidR="00197BA9" w:rsidRPr="00472330">
        <w:rPr>
          <w:rFonts w:cs="Arial"/>
          <w:iCs/>
          <w:shd w:val="clear" w:color="auto" w:fill="FFFFFF"/>
        </w:rPr>
        <w:t xml:space="preserve"> </w:t>
      </w:r>
      <w:r w:rsidR="00197BA9" w:rsidRPr="00472330">
        <w:rPr>
          <w:rFonts w:cs="Arial"/>
          <w:iCs/>
          <w:shd w:val="clear" w:color="auto" w:fill="FFFFFF"/>
          <w:lang w:val="en-US"/>
        </w:rPr>
        <w:t>al</w:t>
      </w:r>
      <w:r w:rsidR="00197BA9" w:rsidRPr="00472330">
        <w:rPr>
          <w:rFonts w:cs="Arial"/>
          <w:iCs/>
          <w:shd w:val="clear" w:color="auto" w:fill="FFFFFF"/>
        </w:rPr>
        <w:t xml:space="preserve">., </w:t>
      </w:r>
      <w:r w:rsidRPr="00472330">
        <w:rPr>
          <w:rFonts w:cs="Arial"/>
          <w:iCs/>
          <w:shd w:val="clear" w:color="auto" w:fill="FFFFFF"/>
        </w:rPr>
        <w:t>2013)</w:t>
      </w:r>
      <w:r w:rsidRPr="00472330">
        <w:t xml:space="preserve">. </w:t>
      </w:r>
      <w:r w:rsidR="00DE068C" w:rsidRPr="00472330">
        <w:t>Ο</w:t>
      </w:r>
      <w:r w:rsidR="00DE068C" w:rsidRPr="005A464E">
        <w:t xml:space="preserve"> ρόλος του</w:t>
      </w:r>
      <w:r w:rsidR="0078495A">
        <w:t xml:space="preserve"> </w:t>
      </w:r>
      <w:r w:rsidR="00DE068C" w:rsidRPr="005A464E">
        <w:t>υψηλού</w:t>
      </w:r>
      <w:r w:rsidRPr="005A464E">
        <w:t xml:space="preserve"> εκπαιδε</w:t>
      </w:r>
      <w:r w:rsidR="00DE068C" w:rsidRPr="005A464E">
        <w:t>υτικού επιπέ</w:t>
      </w:r>
      <w:r w:rsidRPr="005A464E">
        <w:t>δο</w:t>
      </w:r>
      <w:r w:rsidR="00DE068C" w:rsidRPr="005A464E">
        <w:t>υ</w:t>
      </w:r>
      <w:r w:rsidRPr="005A464E">
        <w:t xml:space="preserve"> ως προγνωστικός παράγ</w:t>
      </w:r>
      <w:r w:rsidR="00DE068C" w:rsidRPr="005A464E">
        <w:t>οντας ΠΖ επιβεβαιώνεται και από</w:t>
      </w:r>
      <w:r w:rsidRPr="005A464E">
        <w:t xml:space="preserve"> άλλες μελέτες</w:t>
      </w:r>
      <w:r w:rsidR="00DE068C" w:rsidRPr="005A464E">
        <w:t xml:space="preserve"> (</w:t>
      </w:r>
      <w:r w:rsidR="00472330" w:rsidRPr="005A464E">
        <w:t>Μ</w:t>
      </w:r>
      <w:r w:rsidR="00472330" w:rsidRPr="00E50302">
        <w:rPr>
          <w:lang w:val="en-US"/>
        </w:rPr>
        <w:t>anns</w:t>
      </w:r>
      <w:r w:rsidR="00472330" w:rsidRPr="00E50302">
        <w:t xml:space="preserve"> et al., 2003; </w:t>
      </w:r>
      <w:r w:rsidR="00DE068C" w:rsidRPr="00E50302">
        <w:rPr>
          <w:lang w:val="en-US"/>
        </w:rPr>
        <w:t>Lopes</w:t>
      </w:r>
      <w:r w:rsidR="00DE068C" w:rsidRPr="00E50302">
        <w:t xml:space="preserve"> </w:t>
      </w:r>
      <w:r w:rsidR="00566CAA" w:rsidRPr="00E50302">
        <w:t>et al</w:t>
      </w:r>
      <w:r w:rsidR="002F68C8" w:rsidRPr="00E50302">
        <w:t>.</w:t>
      </w:r>
      <w:r w:rsidR="0010246A" w:rsidRPr="00E50302">
        <w:t xml:space="preserve">, </w:t>
      </w:r>
      <w:r w:rsidR="00DE068C" w:rsidRPr="00E50302">
        <w:t>2007;</w:t>
      </w:r>
      <w:r w:rsidR="00472330" w:rsidRPr="00E50302">
        <w:t xml:space="preserve"> </w:t>
      </w:r>
      <w:r w:rsidR="00472330" w:rsidRPr="00E50302">
        <w:rPr>
          <w:lang w:val="en-US"/>
        </w:rPr>
        <w:t>Kao</w:t>
      </w:r>
      <w:r w:rsidR="00472330" w:rsidRPr="00E50302">
        <w:t xml:space="preserve"> et al., 2009</w:t>
      </w:r>
      <w:r w:rsidR="00DE068C" w:rsidRPr="00E50302">
        <w:t>).</w:t>
      </w:r>
    </w:p>
    <w:p w:rsidR="00D16C29" w:rsidRPr="00E50302" w:rsidRDefault="00D16C29" w:rsidP="005A464E">
      <w:pPr>
        <w:pStyle w:val="nouk"/>
      </w:pPr>
    </w:p>
    <w:p w:rsidR="00DE068C" w:rsidRDefault="00DE068C" w:rsidP="005A464E">
      <w:pPr>
        <w:pStyle w:val="nouk"/>
      </w:pPr>
      <w:r w:rsidRPr="00E50302">
        <w:t>Ο τόπος διαμονής φαίνεται</w:t>
      </w:r>
      <w:r w:rsidRPr="005A464E">
        <w:t xml:space="preserve"> ότι στην παρούσα μελέτη συσχετίζεται με την ΠΖ αφού οι κ</w:t>
      </w:r>
      <w:r w:rsidR="00D16C29">
        <w:t>άτοικοι των επαρχιακών πό</w:t>
      </w:r>
      <w:r w:rsidR="007924FC">
        <w:t>λεων εί</w:t>
      </w:r>
      <w:r w:rsidRPr="005A464E">
        <w:t>χαν χειρότερη ΠΖ σε σύγκριση με τους κατοίκους των πόλεων. Τα αποτελέσματα αυτά έρχονται σε αντίθεση με αυτά άλλων μελετών (</w:t>
      </w:r>
      <w:r w:rsidR="00AD5D14" w:rsidRPr="005A464E">
        <w:rPr>
          <w:rFonts w:cs="Arial"/>
          <w:iCs/>
          <w:shd w:val="clear" w:color="auto" w:fill="FFFFFF"/>
        </w:rPr>
        <w:t>Sabbah</w:t>
      </w:r>
      <w:r w:rsidR="00682CF3" w:rsidRPr="00682CF3">
        <w:rPr>
          <w:rFonts w:cs="Arial"/>
          <w:iCs/>
          <w:shd w:val="clear" w:color="auto" w:fill="FFFFFF"/>
        </w:rPr>
        <w:t xml:space="preserve"> </w:t>
      </w:r>
      <w:r w:rsidR="00682CF3">
        <w:rPr>
          <w:rFonts w:cs="Arial"/>
          <w:iCs/>
          <w:shd w:val="clear" w:color="auto" w:fill="FFFFFF"/>
          <w:lang w:val="en-US"/>
        </w:rPr>
        <w:t>I</w:t>
      </w:r>
      <w:r w:rsidR="00682CF3" w:rsidRPr="00682CF3">
        <w:rPr>
          <w:rFonts w:cs="Arial"/>
          <w:iCs/>
          <w:shd w:val="clear" w:color="auto" w:fill="FFFFFF"/>
        </w:rPr>
        <w:t>,</w:t>
      </w:r>
      <w:r w:rsidR="00AD5D14" w:rsidRPr="005A464E">
        <w:rPr>
          <w:rFonts w:cs="Arial"/>
          <w:iCs/>
          <w:shd w:val="clear" w:color="auto" w:fill="FFFFFF"/>
        </w:rPr>
        <w:t xml:space="preserve"> </w:t>
      </w:r>
      <w:r w:rsidR="00682CF3" w:rsidRPr="005A464E">
        <w:rPr>
          <w:rFonts w:asciiTheme="minorHAnsi" w:hAnsiTheme="minorHAnsi"/>
          <w:color w:val="000000"/>
          <w:shd w:val="clear" w:color="auto" w:fill="FFFFFF"/>
          <w:lang w:val="en-US"/>
        </w:rPr>
        <w:t>Drouby</w:t>
      </w:r>
      <w:r w:rsidR="00682CF3">
        <w:rPr>
          <w:rFonts w:asciiTheme="minorHAnsi" w:hAnsiTheme="minorHAnsi"/>
          <w:color w:val="000000"/>
          <w:shd w:val="clear" w:color="auto" w:fill="FFFFFF"/>
        </w:rPr>
        <w:t>,</w:t>
      </w:r>
      <w:r w:rsidR="00682CF3" w:rsidRPr="00682CF3">
        <w:rPr>
          <w:rFonts w:asciiTheme="minorHAnsi" w:hAnsiTheme="minorHAnsi"/>
          <w:color w:val="000000"/>
          <w:shd w:val="clear" w:color="auto" w:fill="FFFFFF"/>
        </w:rPr>
        <w:t xml:space="preserve"> </w:t>
      </w:r>
      <w:r w:rsidR="00682CF3" w:rsidRPr="005A464E">
        <w:rPr>
          <w:rFonts w:asciiTheme="minorHAnsi" w:hAnsiTheme="minorHAnsi"/>
          <w:color w:val="000000"/>
          <w:shd w:val="clear" w:color="auto" w:fill="FFFFFF"/>
          <w:lang w:val="en-US"/>
        </w:rPr>
        <w:t>Sabbah</w:t>
      </w:r>
      <w:r w:rsidR="00682CF3" w:rsidRPr="00682CF3">
        <w:rPr>
          <w:rFonts w:asciiTheme="minorHAnsi" w:hAnsiTheme="minorHAnsi"/>
          <w:color w:val="000000"/>
          <w:shd w:val="clear" w:color="auto" w:fill="FFFFFF"/>
        </w:rPr>
        <w:t xml:space="preserve"> </w:t>
      </w:r>
      <w:r w:rsidR="00682CF3">
        <w:rPr>
          <w:rFonts w:asciiTheme="minorHAnsi" w:hAnsiTheme="minorHAnsi"/>
          <w:color w:val="000000"/>
          <w:shd w:val="clear" w:color="auto" w:fill="FFFFFF"/>
          <w:lang w:val="en-US"/>
        </w:rPr>
        <w:t>S</w:t>
      </w:r>
      <w:r w:rsidR="00682CF3">
        <w:rPr>
          <w:rFonts w:asciiTheme="minorHAnsi" w:hAnsiTheme="minorHAnsi"/>
          <w:color w:val="000000"/>
          <w:shd w:val="clear" w:color="auto" w:fill="FFFFFF"/>
        </w:rPr>
        <w:t>,</w:t>
      </w:r>
      <w:r w:rsidR="00682CF3" w:rsidRPr="00682CF3">
        <w:rPr>
          <w:rFonts w:asciiTheme="minorHAnsi" w:hAnsiTheme="minorHAnsi"/>
          <w:color w:val="000000"/>
          <w:shd w:val="clear" w:color="auto" w:fill="FFFFFF"/>
        </w:rPr>
        <w:t xml:space="preserve"> </w:t>
      </w:r>
      <w:r w:rsidR="00682CF3" w:rsidRPr="005A464E">
        <w:rPr>
          <w:rFonts w:asciiTheme="minorHAnsi" w:hAnsiTheme="minorHAnsi"/>
          <w:color w:val="000000"/>
          <w:shd w:val="clear" w:color="auto" w:fill="FFFFFF"/>
          <w:lang w:val="en-US"/>
        </w:rPr>
        <w:t>Retel</w:t>
      </w:r>
      <w:r w:rsidR="00682CF3" w:rsidRPr="00682CF3">
        <w:rPr>
          <w:rFonts w:asciiTheme="minorHAnsi" w:hAnsiTheme="minorHAnsi"/>
          <w:color w:val="000000"/>
          <w:shd w:val="clear" w:color="auto" w:fill="FFFFFF"/>
        </w:rPr>
        <w:t>-</w:t>
      </w:r>
      <w:r w:rsidR="00682CF3" w:rsidRPr="005A464E">
        <w:rPr>
          <w:rFonts w:asciiTheme="minorHAnsi" w:hAnsiTheme="minorHAnsi"/>
          <w:color w:val="000000"/>
          <w:shd w:val="clear" w:color="auto" w:fill="FFFFFF"/>
          <w:lang w:val="en-US"/>
        </w:rPr>
        <w:t>Rude</w:t>
      </w:r>
      <w:r w:rsidR="00682CF3" w:rsidRPr="00682CF3">
        <w:rPr>
          <w:rFonts w:asciiTheme="minorHAnsi" w:hAnsiTheme="minorHAnsi"/>
          <w:color w:val="000000"/>
          <w:shd w:val="clear" w:color="auto" w:fill="FFFFFF"/>
        </w:rPr>
        <w:t xml:space="preserve">, &amp; </w:t>
      </w:r>
      <w:r w:rsidR="00682CF3" w:rsidRPr="005A464E">
        <w:rPr>
          <w:rFonts w:asciiTheme="minorHAnsi" w:hAnsiTheme="minorHAnsi"/>
          <w:color w:val="000000"/>
          <w:shd w:val="clear" w:color="auto" w:fill="FFFFFF"/>
          <w:lang w:val="en-US"/>
        </w:rPr>
        <w:t>Mercier</w:t>
      </w:r>
      <w:r w:rsidR="00682CF3" w:rsidRPr="00682CF3">
        <w:rPr>
          <w:rFonts w:asciiTheme="minorHAnsi" w:hAnsiTheme="minorHAnsi"/>
          <w:color w:val="000000"/>
          <w:shd w:val="clear" w:color="auto" w:fill="FFFFFF"/>
        </w:rPr>
        <w:t xml:space="preserve">, </w:t>
      </w:r>
      <w:r w:rsidR="00AD5D14" w:rsidRPr="005A464E">
        <w:rPr>
          <w:rFonts w:cs="Arial"/>
          <w:iCs/>
          <w:shd w:val="clear" w:color="auto" w:fill="FFFFFF"/>
        </w:rPr>
        <w:t>2003</w:t>
      </w:r>
      <w:r w:rsidR="00B27DBE">
        <w:rPr>
          <w:rFonts w:cs="Arial"/>
          <w:iCs/>
          <w:shd w:val="clear" w:color="auto" w:fill="FFFFFF"/>
        </w:rPr>
        <w:t>;</w:t>
      </w:r>
      <w:r w:rsidR="00B27DBE" w:rsidRPr="00B27DBE">
        <w:rPr>
          <w:rFonts w:cs="Arial"/>
          <w:iCs/>
          <w:shd w:val="clear" w:color="auto" w:fill="FFFFFF"/>
        </w:rPr>
        <w:t xml:space="preserve"> </w:t>
      </w:r>
      <w:r w:rsidR="00B27DBE" w:rsidRPr="005A464E">
        <w:rPr>
          <w:rFonts w:cs="Arial"/>
          <w:iCs/>
          <w:shd w:val="clear" w:color="auto" w:fill="FFFFFF"/>
        </w:rPr>
        <w:t>Saffari </w:t>
      </w:r>
      <w:r w:rsidR="00B27DBE">
        <w:rPr>
          <w:rFonts w:cs="Arial"/>
          <w:iCs/>
          <w:shd w:val="clear" w:color="auto" w:fill="FFFFFF"/>
        </w:rPr>
        <w:t>et al.</w:t>
      </w:r>
      <w:r w:rsidR="00B27DBE" w:rsidRPr="00682CF3">
        <w:rPr>
          <w:rFonts w:cs="Arial"/>
          <w:iCs/>
          <w:shd w:val="clear" w:color="auto" w:fill="FFFFFF"/>
        </w:rPr>
        <w:t>,</w:t>
      </w:r>
      <w:r w:rsidR="00B27DBE">
        <w:rPr>
          <w:rFonts w:cs="Arial"/>
          <w:iCs/>
          <w:shd w:val="clear" w:color="auto" w:fill="FFFFFF"/>
        </w:rPr>
        <w:t xml:space="preserve"> 2013</w:t>
      </w:r>
      <w:r w:rsidR="00AD5D14" w:rsidRPr="005A464E">
        <w:rPr>
          <w:rFonts w:cs="Arial"/>
          <w:iCs/>
          <w:shd w:val="clear" w:color="auto" w:fill="FFFFFF"/>
        </w:rPr>
        <w:t>)</w:t>
      </w:r>
      <w:r w:rsidRPr="005A464E">
        <w:t xml:space="preserve"> σύμφωνα με τα οπ</w:t>
      </w:r>
      <w:r w:rsidR="007924FC">
        <w:t>οία οι κάτοικοι των επαρχικών πό</w:t>
      </w:r>
      <w:r w:rsidRPr="005A464E">
        <w:t>λεων/χωριών βιώνουν καλύτερη ΠΖ. Παρ’ όλ΄αυτά</w:t>
      </w:r>
      <w:r w:rsidR="00D16C29">
        <w:t>,</w:t>
      </w:r>
      <w:r w:rsidRPr="005A464E">
        <w:t xml:space="preserve"> είναι δύσκολο να συγκρίνουμε τα αποτελέσματα με αυτά άλλων μελετών αφού υπάρχει μεγάλη διαφορά στον τρόπο λ</w:t>
      </w:r>
      <w:r w:rsidR="007924FC">
        <w:t>ειτουργίας των συστημάτων</w:t>
      </w:r>
      <w:r w:rsidRPr="005A464E">
        <w:t xml:space="preserve"> υγείας </w:t>
      </w:r>
      <w:r w:rsidR="008544EC" w:rsidRPr="005A464E">
        <w:t>τ</w:t>
      </w:r>
      <w:r w:rsidR="00AD5D14" w:rsidRPr="005A464E">
        <w:t>ων χωρών.</w:t>
      </w:r>
    </w:p>
    <w:p w:rsidR="00472330" w:rsidRPr="00472330" w:rsidRDefault="00472330" w:rsidP="0066526D">
      <w:pPr>
        <w:pStyle w:val="Web"/>
        <w:shd w:val="clear" w:color="auto" w:fill="FFFFFF"/>
        <w:spacing w:before="166" w:after="166" w:line="360" w:lineRule="auto"/>
        <w:jc w:val="both"/>
        <w:rPr>
          <w:rFonts w:asciiTheme="minorHAnsi" w:hAnsiTheme="minorHAnsi" w:cstheme="minorHAnsi"/>
          <w:b/>
          <w:color w:val="000000"/>
          <w:shd w:val="clear" w:color="auto" w:fill="FFFFFF"/>
        </w:rPr>
      </w:pPr>
      <w:r w:rsidRPr="00472330">
        <w:rPr>
          <w:rFonts w:asciiTheme="minorHAnsi" w:hAnsiTheme="minorHAnsi" w:cstheme="minorHAnsi"/>
          <w:b/>
          <w:color w:val="000000"/>
          <w:shd w:val="clear" w:color="auto" w:fill="FFFFFF"/>
        </w:rPr>
        <w:t xml:space="preserve">Κατασκευή της κλίμακας </w:t>
      </w:r>
      <w:r w:rsidRPr="00472330">
        <w:rPr>
          <w:rFonts w:asciiTheme="minorHAnsi" w:hAnsiTheme="minorHAnsi" w:cstheme="minorHAnsi"/>
          <w:b/>
          <w:color w:val="000000"/>
          <w:shd w:val="clear" w:color="auto" w:fill="FFFFFF"/>
          <w:lang w:val="en-US"/>
        </w:rPr>
        <w:t>GR</w:t>
      </w:r>
      <w:r w:rsidRPr="00472330">
        <w:rPr>
          <w:rFonts w:asciiTheme="minorHAnsi" w:hAnsiTheme="minorHAnsi" w:cstheme="minorHAnsi"/>
          <w:b/>
          <w:color w:val="000000"/>
          <w:shd w:val="clear" w:color="auto" w:fill="FFFFFF"/>
        </w:rPr>
        <w:t>-</w:t>
      </w:r>
      <w:r w:rsidRPr="00472330">
        <w:rPr>
          <w:rFonts w:asciiTheme="minorHAnsi" w:hAnsiTheme="minorHAnsi" w:cstheme="minorHAnsi"/>
          <w:b/>
          <w:color w:val="000000"/>
          <w:shd w:val="clear" w:color="auto" w:fill="FFFFFF"/>
          <w:lang w:val="en-US"/>
        </w:rPr>
        <w:t>SMAQ</w:t>
      </w:r>
      <w:r w:rsidRPr="00472330">
        <w:rPr>
          <w:rFonts w:asciiTheme="minorHAnsi" w:hAnsiTheme="minorHAnsi" w:cstheme="minorHAnsi"/>
          <w:b/>
          <w:color w:val="000000"/>
          <w:shd w:val="clear" w:color="auto" w:fill="FFFFFF"/>
        </w:rPr>
        <w:t>-</w:t>
      </w:r>
      <w:r w:rsidRPr="00472330">
        <w:rPr>
          <w:rFonts w:asciiTheme="minorHAnsi" w:hAnsiTheme="minorHAnsi" w:cstheme="minorHAnsi"/>
          <w:b/>
          <w:color w:val="000000"/>
          <w:shd w:val="clear" w:color="auto" w:fill="FFFFFF"/>
          <w:lang w:val="en-US"/>
        </w:rPr>
        <w:t>HD</w:t>
      </w:r>
    </w:p>
    <w:p w:rsidR="00D66B21" w:rsidRPr="00CF11D9" w:rsidRDefault="0066526D" w:rsidP="00CF11D9">
      <w:pPr>
        <w:pStyle w:val="Web"/>
        <w:shd w:val="clear" w:color="auto" w:fill="FFFFFF"/>
        <w:spacing w:before="166" w:after="166" w:line="360" w:lineRule="auto"/>
        <w:jc w:val="both"/>
        <w:rPr>
          <w:rFonts w:asciiTheme="minorHAnsi" w:hAnsiTheme="minorHAnsi" w:cstheme="minorHAnsi"/>
        </w:rPr>
      </w:pPr>
      <w:r w:rsidRPr="00925353">
        <w:rPr>
          <w:rFonts w:asciiTheme="minorHAnsi" w:hAnsiTheme="minorHAnsi" w:cstheme="minorHAnsi"/>
          <w:color w:val="000000"/>
          <w:shd w:val="clear" w:color="auto" w:fill="FFFFFF"/>
        </w:rPr>
        <w:t xml:space="preserve">Το κύριο όφελος από τη χρήση του </w:t>
      </w:r>
      <w:r w:rsidRPr="00925353">
        <w:rPr>
          <w:rFonts w:asciiTheme="minorHAnsi" w:hAnsiTheme="minorHAnsi" w:cstheme="minorHAnsi"/>
          <w:color w:val="000000"/>
          <w:shd w:val="clear" w:color="auto" w:fill="FFFFFF"/>
          <w:lang w:val="en-US"/>
        </w:rPr>
        <w:t>GR</w:t>
      </w:r>
      <w:r w:rsidRPr="00925353">
        <w:rPr>
          <w:rFonts w:asciiTheme="minorHAnsi" w:hAnsiTheme="minorHAnsi" w:cstheme="minorHAnsi"/>
          <w:color w:val="000000"/>
          <w:shd w:val="clear" w:color="auto" w:fill="FFFFFF"/>
        </w:rPr>
        <w:t>-</w:t>
      </w:r>
      <w:r w:rsidRPr="00925353">
        <w:rPr>
          <w:rFonts w:asciiTheme="minorHAnsi" w:hAnsiTheme="minorHAnsi" w:cstheme="minorHAnsi"/>
          <w:color w:val="000000"/>
          <w:shd w:val="clear" w:color="auto" w:fill="FFFFFF"/>
          <w:lang w:val="en-US"/>
        </w:rPr>
        <w:t>SMAQ</w:t>
      </w:r>
      <w:r w:rsidRPr="00925353">
        <w:rPr>
          <w:rFonts w:asciiTheme="minorHAnsi" w:hAnsiTheme="minorHAnsi" w:cstheme="minorHAnsi"/>
          <w:color w:val="000000"/>
          <w:shd w:val="clear" w:color="auto" w:fill="FFFFFF"/>
        </w:rPr>
        <w:t>-</w:t>
      </w:r>
      <w:r w:rsidRPr="00925353">
        <w:rPr>
          <w:rFonts w:asciiTheme="minorHAnsi" w:hAnsiTheme="minorHAnsi" w:cstheme="minorHAnsi"/>
          <w:color w:val="000000"/>
          <w:shd w:val="clear" w:color="auto" w:fill="FFFFFF"/>
          <w:lang w:val="en-US"/>
        </w:rPr>
        <w:t>HD</w:t>
      </w:r>
      <w:r w:rsidRPr="00925353">
        <w:rPr>
          <w:rFonts w:asciiTheme="minorHAnsi" w:hAnsiTheme="minorHAnsi" w:cstheme="minorHAnsi"/>
          <w:color w:val="000000"/>
          <w:shd w:val="clear" w:color="auto" w:fill="FFFFFF"/>
        </w:rPr>
        <w:t xml:space="preserve"> είναι ο προσδιορισμός των επιπέδων συμμόρφωσης ώστε να επιτευχθεί στοχευμένη παρέμβαση. Επιπλέον, ένας επαγγελματίας υγείας θα μπορούσε να αναγνωρίσει συγκεκριμένα τη διάσταση (τομέα) κατά την οποία ένας ασθενής που υποβάλεται σε αιμοκάθαρση δεν είναι συμμορφωμένος. Η ανάγκη έγκαιρης αναγνώρισης και αξιολόγησης της μη συμμόρφωσης είναι ζωτικής σημασίας για τον ασθενή που υποβάλλεται σε αιμοκάθαρση (</w:t>
      </w:r>
      <w:r w:rsidRPr="00925353">
        <w:rPr>
          <w:rFonts w:asciiTheme="minorHAnsi" w:hAnsiTheme="minorHAnsi" w:cstheme="minorHAnsi"/>
          <w:color w:val="000000"/>
          <w:shd w:val="clear" w:color="auto" w:fill="FFFFFF"/>
          <w:lang w:val="en-US"/>
        </w:rPr>
        <w:t>Karamanidou</w:t>
      </w:r>
      <w:r w:rsidRPr="00925353">
        <w:rPr>
          <w:rFonts w:asciiTheme="minorHAnsi" w:hAnsiTheme="minorHAnsi" w:cstheme="minorHAnsi"/>
          <w:i/>
          <w:color w:val="000000"/>
          <w:shd w:val="clear" w:color="auto" w:fill="FFFFFF"/>
        </w:rPr>
        <w:t xml:space="preserve"> </w:t>
      </w:r>
      <w:r w:rsidRPr="00925353">
        <w:rPr>
          <w:rFonts w:asciiTheme="minorHAnsi" w:hAnsiTheme="minorHAnsi" w:cstheme="minorHAnsi"/>
          <w:color w:val="000000"/>
          <w:shd w:val="clear" w:color="auto" w:fill="FFFFFF"/>
        </w:rPr>
        <w:t>et al., 2008)</w:t>
      </w:r>
      <w:r w:rsidRPr="00925353">
        <w:rPr>
          <w:rFonts w:asciiTheme="minorHAnsi" w:eastAsia="Times New Roman" w:hAnsiTheme="minorHAnsi" w:cstheme="minorHAnsi"/>
          <w:lang w:eastAsia="el-GR"/>
        </w:rPr>
        <w:t xml:space="preserve">. Ωστόσο, δεδομένης της πολυπλοκότητας της παθογένειας της συμμόρφωσης και της έλλειψης πολυδιάστατων εργαλείων, η αποτελεσματική παρέμβαση των νοσηλευτών νεφρολογίας είναι δύσκολη. Ως εκ τούτου, οι νοσηλευτές και οι επαγγελματίες της υγείας των μονάδων αιμοκάθαρσης και των νεφρολογικών κλινικών θα πρέπει να επαγρυπνούν για την ανίχνευση μη συμμόρφωσης προκειμένου να βελτιώσουν το σχέδιο φροντίδας και να βοηθήσουν τους ασθενείς να αναπτύξουν στρατηγικές αντιμετώπισης </w:t>
      </w:r>
      <w:r w:rsidRPr="00925353">
        <w:rPr>
          <w:rFonts w:asciiTheme="minorHAnsi" w:eastAsia="WarnockPro-Regular" w:hAnsiTheme="minorHAnsi" w:cstheme="minorHAnsi"/>
        </w:rPr>
        <w:t>(</w:t>
      </w:r>
      <w:r w:rsidRPr="00925353">
        <w:rPr>
          <w:rFonts w:asciiTheme="minorHAnsi" w:eastAsia="WarnockPro-Regular" w:hAnsiTheme="minorHAnsi" w:cstheme="minorHAnsi"/>
          <w:lang w:val="en-US"/>
        </w:rPr>
        <w:t>Davison</w:t>
      </w:r>
      <w:r w:rsidRPr="00925353">
        <w:rPr>
          <w:rFonts w:asciiTheme="minorHAnsi" w:eastAsia="WarnockPro-Regular" w:hAnsiTheme="minorHAnsi" w:cstheme="minorHAnsi"/>
        </w:rPr>
        <w:t xml:space="preserve"> &amp; </w:t>
      </w:r>
      <w:r w:rsidRPr="00925353">
        <w:rPr>
          <w:rFonts w:asciiTheme="minorHAnsi" w:eastAsia="WarnockPro-Regular" w:hAnsiTheme="minorHAnsi" w:cstheme="minorHAnsi"/>
          <w:lang w:val="en-US"/>
        </w:rPr>
        <w:t>Cooke</w:t>
      </w:r>
      <w:r w:rsidRPr="00925353">
        <w:rPr>
          <w:rFonts w:asciiTheme="minorHAnsi" w:eastAsia="WarnockPro-Regular" w:hAnsiTheme="minorHAnsi" w:cstheme="minorHAnsi"/>
        </w:rPr>
        <w:t xml:space="preserve"> 2015).</w:t>
      </w:r>
      <w:r w:rsidRPr="00925353">
        <w:rPr>
          <w:rFonts w:asciiTheme="minorHAnsi" w:hAnsiTheme="minorHAnsi" w:cstheme="minorHAnsi"/>
        </w:rPr>
        <w:t xml:space="preserve"> </w:t>
      </w:r>
      <w:r w:rsidRPr="00925353">
        <w:rPr>
          <w:rFonts w:asciiTheme="minorHAnsi" w:eastAsia="WarnockPro-Regular" w:hAnsiTheme="minorHAnsi" w:cstheme="minorHAnsi"/>
        </w:rPr>
        <w:t>Λόγω της επαφής τους με τους ασθενείς που υποβάλλονται σε αιμοκάθαρση, οι νοσηλευτές νεφρολογίας θα μπορούσαν να συμβάλουν στη βελτίωση των επιπέδων συμμόρφωσης, δημιουργώντας μια σχέση εμπιστοσύνης με τους ασθενείς μέσω της προσέγγισης με αυτούς</w:t>
      </w:r>
      <w:r w:rsidRPr="00925353">
        <w:rPr>
          <w:rFonts w:asciiTheme="minorHAnsi" w:hAnsiTheme="minorHAnsi" w:cstheme="minorHAnsi"/>
        </w:rPr>
        <w:t>. Είναι γνωστό ότι οι παρεμβάσεις πρέπει να επικεντρώνονται στην εκπαίδευση των ασθενών και στην παροχή συμβουλών και ότι όσο υψηλότερο είναι το επίπεδο γνώσεων τόσο υψηλότερο είναι το επίπεδο συμμόρφωσης και ποιότητας ζωής (</w:t>
      </w:r>
      <w:r w:rsidRPr="00925353">
        <w:rPr>
          <w:rFonts w:asciiTheme="minorHAnsi" w:hAnsiTheme="minorHAnsi" w:cstheme="minorHAnsi"/>
          <w:lang w:val="en-US"/>
        </w:rPr>
        <w:t>Sandlin</w:t>
      </w:r>
      <w:r w:rsidRPr="00925353">
        <w:rPr>
          <w:rFonts w:asciiTheme="minorHAnsi" w:hAnsiTheme="minorHAnsi" w:cstheme="minorHAnsi"/>
        </w:rPr>
        <w:t xml:space="preserve"> et al., 2013; </w:t>
      </w:r>
      <w:r w:rsidRPr="00925353">
        <w:rPr>
          <w:rFonts w:asciiTheme="minorHAnsi" w:hAnsiTheme="minorHAnsi" w:cstheme="minorHAnsi"/>
          <w:lang w:val="en-US"/>
        </w:rPr>
        <w:t>Barnes</w:t>
      </w:r>
      <w:r w:rsidRPr="00925353">
        <w:rPr>
          <w:rFonts w:asciiTheme="minorHAnsi" w:hAnsiTheme="minorHAnsi" w:cstheme="minorHAnsi"/>
        </w:rPr>
        <w:t>,</w:t>
      </w:r>
      <w:r w:rsidRPr="00925353">
        <w:rPr>
          <w:rFonts w:asciiTheme="minorHAnsi" w:hAnsiTheme="minorHAnsi" w:cstheme="minorHAnsi"/>
          <w:lang w:eastAsia="el-GR"/>
        </w:rPr>
        <w:t xml:space="preserve"> Hancock, &amp; Dainton,</w:t>
      </w:r>
      <w:r w:rsidRPr="00925353">
        <w:rPr>
          <w:rFonts w:asciiTheme="minorHAnsi" w:hAnsiTheme="minorHAnsi" w:cstheme="minorHAnsi"/>
        </w:rPr>
        <w:t xml:space="preserve"> 2013; </w:t>
      </w:r>
      <w:r w:rsidRPr="00925353">
        <w:rPr>
          <w:rFonts w:asciiTheme="minorHAnsi" w:hAnsiTheme="minorHAnsi" w:cstheme="minorHAnsi"/>
          <w:lang w:val="en-US"/>
        </w:rPr>
        <w:t>Cowperthwaite</w:t>
      </w:r>
      <w:r w:rsidRPr="00925353">
        <w:rPr>
          <w:rFonts w:asciiTheme="minorHAnsi" w:hAnsiTheme="minorHAnsi" w:cstheme="minorHAnsi"/>
        </w:rPr>
        <w:t xml:space="preserve">, </w:t>
      </w:r>
      <w:r w:rsidRPr="00925353">
        <w:rPr>
          <w:rFonts w:asciiTheme="minorHAnsi" w:hAnsiTheme="minorHAnsi" w:cstheme="minorHAnsi"/>
          <w:lang w:val="en-US" w:eastAsia="el-GR"/>
        </w:rPr>
        <w:t>Schutt</w:t>
      </w:r>
      <w:r w:rsidRPr="00925353">
        <w:rPr>
          <w:rFonts w:asciiTheme="minorHAnsi" w:hAnsiTheme="minorHAnsi" w:cstheme="minorHAnsi"/>
          <w:lang w:eastAsia="el-GR"/>
        </w:rPr>
        <w:t>-</w:t>
      </w:r>
      <w:r w:rsidRPr="00925353">
        <w:rPr>
          <w:rFonts w:asciiTheme="minorHAnsi" w:hAnsiTheme="minorHAnsi" w:cstheme="minorHAnsi"/>
          <w:lang w:val="en-US" w:eastAsia="el-GR"/>
        </w:rPr>
        <w:t>Aine</w:t>
      </w:r>
      <w:r w:rsidRPr="00925353">
        <w:rPr>
          <w:rFonts w:asciiTheme="minorHAnsi" w:hAnsiTheme="minorHAnsi" w:cstheme="minorHAnsi"/>
          <w:lang w:eastAsia="el-GR"/>
        </w:rPr>
        <w:t xml:space="preserve">, </w:t>
      </w:r>
      <w:r w:rsidRPr="00925353">
        <w:rPr>
          <w:rFonts w:asciiTheme="minorHAnsi" w:hAnsiTheme="minorHAnsi" w:cstheme="minorHAnsi"/>
          <w:lang w:val="en-US" w:eastAsia="el-GR"/>
        </w:rPr>
        <w:t>Herranen</w:t>
      </w:r>
      <w:r w:rsidRPr="00925353">
        <w:rPr>
          <w:rFonts w:asciiTheme="minorHAnsi" w:hAnsiTheme="minorHAnsi" w:cstheme="minorHAnsi"/>
          <w:lang w:eastAsia="el-GR"/>
        </w:rPr>
        <w:t xml:space="preserve">, &amp; </w:t>
      </w:r>
      <w:r w:rsidRPr="00925353">
        <w:rPr>
          <w:rFonts w:asciiTheme="minorHAnsi" w:hAnsiTheme="minorHAnsi" w:cstheme="minorHAnsi"/>
          <w:lang w:val="en-US" w:eastAsia="el-GR"/>
        </w:rPr>
        <w:t>Sorribes</w:t>
      </w:r>
      <w:r w:rsidRPr="00925353">
        <w:rPr>
          <w:rFonts w:asciiTheme="minorHAnsi" w:hAnsiTheme="minorHAnsi" w:cstheme="minorHAnsi"/>
          <w:lang w:eastAsia="el-GR"/>
        </w:rPr>
        <w:t xml:space="preserve">, </w:t>
      </w:r>
      <w:r w:rsidRPr="00925353">
        <w:rPr>
          <w:rFonts w:asciiTheme="minorHAnsi" w:hAnsiTheme="minorHAnsi" w:cstheme="minorHAnsi"/>
        </w:rPr>
        <w:t xml:space="preserve">2012). </w:t>
      </w:r>
      <w:r w:rsidRPr="00925353">
        <w:rPr>
          <w:rFonts w:asciiTheme="minorHAnsi" w:eastAsia="Times New Roman" w:hAnsiTheme="minorHAnsi" w:cstheme="minorHAnsi"/>
          <w:lang w:eastAsia="el-GR"/>
        </w:rPr>
        <w:t xml:space="preserve">Η κλίμακα </w:t>
      </w:r>
      <w:r w:rsidRPr="00925353">
        <w:rPr>
          <w:rFonts w:asciiTheme="minorHAnsi" w:eastAsia="Times New Roman" w:hAnsiTheme="minorHAnsi" w:cstheme="minorHAnsi"/>
          <w:lang w:val="en-US" w:eastAsia="el-GR"/>
        </w:rPr>
        <w:t>GR</w:t>
      </w:r>
      <w:r w:rsidRPr="00925353">
        <w:rPr>
          <w:rFonts w:asciiTheme="minorHAnsi" w:eastAsia="Times New Roman" w:hAnsiTheme="minorHAnsi" w:cstheme="minorHAnsi"/>
          <w:lang w:eastAsia="el-GR"/>
        </w:rPr>
        <w:t>-</w:t>
      </w:r>
      <w:r w:rsidRPr="00925353">
        <w:rPr>
          <w:rFonts w:asciiTheme="minorHAnsi" w:eastAsia="Times New Roman" w:hAnsiTheme="minorHAnsi" w:cstheme="minorHAnsi"/>
          <w:lang w:val="en-US" w:eastAsia="el-GR"/>
        </w:rPr>
        <w:t>SMAQ</w:t>
      </w:r>
      <w:r w:rsidRPr="00925353">
        <w:rPr>
          <w:rFonts w:asciiTheme="minorHAnsi" w:eastAsia="Times New Roman" w:hAnsiTheme="minorHAnsi" w:cstheme="minorHAnsi"/>
          <w:lang w:eastAsia="el-GR"/>
        </w:rPr>
        <w:t>-</w:t>
      </w:r>
      <w:r w:rsidRPr="00925353">
        <w:rPr>
          <w:rFonts w:asciiTheme="minorHAnsi" w:eastAsia="Times New Roman" w:hAnsiTheme="minorHAnsi" w:cstheme="minorHAnsi"/>
          <w:lang w:val="en-US" w:eastAsia="el-GR"/>
        </w:rPr>
        <w:t>HD</w:t>
      </w:r>
      <w:r w:rsidRPr="00925353">
        <w:rPr>
          <w:rFonts w:asciiTheme="minorHAnsi" w:eastAsia="Times New Roman" w:hAnsiTheme="minorHAnsi" w:cstheme="minorHAnsi"/>
          <w:lang w:eastAsia="el-GR"/>
        </w:rPr>
        <w:t xml:space="preserve"> μπορεί να χρησιμοπο</w:t>
      </w:r>
      <w:r w:rsidR="00472330">
        <w:rPr>
          <w:rFonts w:asciiTheme="minorHAnsi" w:eastAsia="Times New Roman" w:hAnsiTheme="minorHAnsi" w:cstheme="minorHAnsi"/>
          <w:lang w:eastAsia="el-GR"/>
        </w:rPr>
        <w:t>ιηθεί σε μελλοντική μελέτη ως μι</w:t>
      </w:r>
      <w:r w:rsidRPr="00925353">
        <w:rPr>
          <w:rFonts w:asciiTheme="minorHAnsi" w:eastAsia="Times New Roman" w:hAnsiTheme="minorHAnsi" w:cstheme="minorHAnsi"/>
          <w:lang w:eastAsia="el-GR"/>
        </w:rPr>
        <w:t>α σύντομη, πολυδιάστατη κλίμακα συμμόρφωσης προκειμένου να αναγνωρίσει με επιτυχία τους τομείς στους οποίους οι νοσηλευτές νεφρολογίας θα μπορούσαν να παρέμβουν με σκοπό την βελτίωση των αποτελεσμάτων.</w:t>
      </w:r>
      <w:r w:rsidRPr="00925353">
        <w:rPr>
          <w:rFonts w:asciiTheme="minorHAnsi" w:hAnsiTheme="minorHAnsi" w:cstheme="minorHAnsi"/>
        </w:rPr>
        <w:t xml:space="preserve"> Επιπρόσθετα, θα μπορούσε να είναι χρήσιμο αν συγκριθεί με άλλες αντικειμενικές μετρήσεις ώστε να ερευνηθεί</w:t>
      </w:r>
      <w:r w:rsidR="00472330">
        <w:rPr>
          <w:rFonts w:asciiTheme="minorHAnsi" w:hAnsiTheme="minorHAnsi" w:cstheme="minorHAnsi"/>
        </w:rPr>
        <w:t xml:space="preserve"> η ευαισθησία και ειδικότητά της</w:t>
      </w:r>
      <w:r w:rsidRPr="00925353">
        <w:rPr>
          <w:rFonts w:asciiTheme="minorHAnsi" w:hAnsiTheme="minorHAnsi" w:cstheme="minorHAnsi"/>
        </w:rPr>
        <w:t xml:space="preserve">. </w:t>
      </w:r>
      <w:bookmarkEnd w:id="80"/>
      <w:bookmarkEnd w:id="81"/>
    </w:p>
    <w:p w:rsidR="00CF11D9" w:rsidRPr="00CF11D9" w:rsidRDefault="00CF11D9" w:rsidP="00CF11D9">
      <w:pPr>
        <w:pStyle w:val="Web"/>
        <w:shd w:val="clear" w:color="auto" w:fill="FFFFFF"/>
        <w:spacing w:before="166" w:after="166" w:line="360" w:lineRule="auto"/>
        <w:jc w:val="both"/>
        <w:rPr>
          <w:rFonts w:asciiTheme="minorHAnsi" w:hAnsiTheme="minorHAnsi" w:cstheme="minorHAnsi"/>
          <w:b/>
          <w:i/>
        </w:rPr>
      </w:pPr>
    </w:p>
    <w:p w:rsidR="00CF11D9" w:rsidRPr="00CF11D9" w:rsidRDefault="00CF11D9" w:rsidP="0066526D">
      <w:pPr>
        <w:pStyle w:val="1a"/>
        <w:spacing w:before="0"/>
      </w:pPr>
    </w:p>
    <w:p w:rsidR="00CF11D9" w:rsidRPr="00CF11D9" w:rsidRDefault="00CF11D9" w:rsidP="0066526D">
      <w:pPr>
        <w:pStyle w:val="1a"/>
        <w:spacing w:before="0"/>
      </w:pPr>
    </w:p>
    <w:p w:rsidR="00CF11D9" w:rsidRPr="00CF11D9" w:rsidRDefault="00CF11D9" w:rsidP="0066526D">
      <w:pPr>
        <w:pStyle w:val="1a"/>
        <w:spacing w:before="0"/>
      </w:pPr>
    </w:p>
    <w:p w:rsidR="00CF11D9" w:rsidRPr="00CF11D9" w:rsidRDefault="00CF11D9" w:rsidP="0066526D">
      <w:pPr>
        <w:pStyle w:val="1a"/>
        <w:spacing w:before="0"/>
      </w:pPr>
    </w:p>
    <w:p w:rsidR="00CF11D9" w:rsidRPr="00CF11D9" w:rsidRDefault="00CF11D9" w:rsidP="0066526D">
      <w:pPr>
        <w:pStyle w:val="1a"/>
        <w:spacing w:before="0"/>
      </w:pPr>
    </w:p>
    <w:p w:rsidR="00CF11D9" w:rsidRPr="00CF11D9" w:rsidRDefault="00CF11D9" w:rsidP="0066526D">
      <w:pPr>
        <w:pStyle w:val="1a"/>
        <w:spacing w:before="0"/>
      </w:pPr>
    </w:p>
    <w:p w:rsidR="00CF11D9" w:rsidRPr="00CF11D9" w:rsidRDefault="00CF11D9" w:rsidP="0066526D">
      <w:pPr>
        <w:pStyle w:val="1a"/>
        <w:spacing w:before="0"/>
      </w:pPr>
    </w:p>
    <w:p w:rsidR="00CF11D9" w:rsidRPr="00CF11D9" w:rsidRDefault="00CF11D9" w:rsidP="0066526D">
      <w:pPr>
        <w:pStyle w:val="1a"/>
        <w:spacing w:before="0"/>
      </w:pPr>
    </w:p>
    <w:p w:rsidR="00CF11D9" w:rsidRPr="00CF11D9" w:rsidRDefault="00CF11D9" w:rsidP="0066526D">
      <w:pPr>
        <w:pStyle w:val="1a"/>
        <w:spacing w:before="0"/>
      </w:pPr>
    </w:p>
    <w:p w:rsidR="00CF11D9" w:rsidRPr="00CF11D9" w:rsidRDefault="00CF11D9" w:rsidP="0066526D">
      <w:pPr>
        <w:pStyle w:val="1a"/>
        <w:spacing w:before="0"/>
      </w:pPr>
    </w:p>
    <w:p w:rsidR="00CF11D9" w:rsidRPr="00CF11D9" w:rsidRDefault="00CF11D9" w:rsidP="0066526D">
      <w:pPr>
        <w:pStyle w:val="1a"/>
        <w:spacing w:before="0"/>
      </w:pPr>
    </w:p>
    <w:p w:rsidR="00CF11D9" w:rsidRPr="00B8771B" w:rsidRDefault="00CF11D9" w:rsidP="0066526D">
      <w:pPr>
        <w:pStyle w:val="1a"/>
        <w:spacing w:before="0"/>
      </w:pPr>
    </w:p>
    <w:p w:rsidR="00CF11D9" w:rsidRPr="00B8771B" w:rsidRDefault="00CF11D9" w:rsidP="00CF11D9"/>
    <w:p w:rsidR="00CF11D9" w:rsidRPr="00B8771B" w:rsidRDefault="00CF11D9" w:rsidP="00CF11D9"/>
    <w:p w:rsidR="00893874" w:rsidRPr="00B8771B" w:rsidRDefault="00893874" w:rsidP="0066526D">
      <w:pPr>
        <w:pStyle w:val="1a"/>
        <w:spacing w:before="0"/>
        <w:rPr>
          <w:rFonts w:ascii="Calibri" w:eastAsia="Calibri" w:hAnsi="Calibri"/>
          <w:b w:val="0"/>
          <w:bCs w:val="0"/>
          <w:color w:val="auto"/>
          <w:sz w:val="22"/>
          <w:szCs w:val="22"/>
        </w:rPr>
      </w:pPr>
    </w:p>
    <w:p w:rsidR="00893874" w:rsidRPr="00B8771B" w:rsidRDefault="00893874" w:rsidP="0066526D">
      <w:pPr>
        <w:pStyle w:val="1a"/>
        <w:spacing w:before="0"/>
        <w:rPr>
          <w:rFonts w:ascii="Calibri" w:eastAsia="Calibri" w:hAnsi="Calibri"/>
          <w:b w:val="0"/>
          <w:bCs w:val="0"/>
          <w:color w:val="auto"/>
          <w:sz w:val="22"/>
          <w:szCs w:val="22"/>
        </w:rPr>
      </w:pPr>
    </w:p>
    <w:p w:rsidR="00893874" w:rsidRPr="00B8771B" w:rsidRDefault="00893874" w:rsidP="00893874"/>
    <w:p w:rsidR="0066526D" w:rsidRPr="00893874" w:rsidRDefault="00A227C8" w:rsidP="0066526D">
      <w:pPr>
        <w:pStyle w:val="1a"/>
        <w:spacing w:before="0"/>
        <w:rPr>
          <w:rFonts w:asciiTheme="minorHAnsi" w:hAnsiTheme="minorHAnsi" w:cstheme="minorHAnsi"/>
        </w:rPr>
      </w:pPr>
      <w:bookmarkStart w:id="82" w:name="_Toc495951475"/>
      <w:r w:rsidRPr="00893874">
        <w:rPr>
          <w:rFonts w:asciiTheme="minorHAnsi" w:hAnsiTheme="minorHAnsi" w:cstheme="minorHAnsi"/>
        </w:rPr>
        <w:t>9</w:t>
      </w:r>
      <w:r w:rsidRPr="00893874">
        <w:rPr>
          <w:rFonts w:asciiTheme="minorHAnsi" w:hAnsiTheme="minorHAnsi" w:cstheme="minorHAnsi"/>
          <w:vertAlign w:val="superscript"/>
          <w:lang w:val="en-US"/>
        </w:rPr>
        <w:t>o</w:t>
      </w:r>
      <w:r w:rsidRPr="00893874">
        <w:rPr>
          <w:rFonts w:asciiTheme="minorHAnsi" w:hAnsiTheme="minorHAnsi" w:cstheme="minorHAnsi"/>
          <w:vertAlign w:val="superscript"/>
        </w:rPr>
        <w:t xml:space="preserve">  </w:t>
      </w:r>
      <w:r w:rsidRPr="00893874">
        <w:rPr>
          <w:rFonts w:asciiTheme="minorHAnsi" w:hAnsiTheme="minorHAnsi" w:cstheme="minorHAnsi"/>
        </w:rPr>
        <w:t xml:space="preserve">  </w:t>
      </w:r>
      <w:r w:rsidRPr="00893874">
        <w:rPr>
          <w:rFonts w:asciiTheme="minorHAnsi" w:hAnsiTheme="minorHAnsi" w:cstheme="minorHAnsi"/>
          <w:lang w:val="en-US"/>
        </w:rPr>
        <w:t>KE</w:t>
      </w:r>
      <w:r w:rsidRPr="00893874">
        <w:rPr>
          <w:rFonts w:asciiTheme="minorHAnsi" w:hAnsiTheme="minorHAnsi" w:cstheme="minorHAnsi"/>
        </w:rPr>
        <w:t>ΦΑΛΑΙΟ</w:t>
      </w:r>
      <w:bookmarkEnd w:id="82"/>
    </w:p>
    <w:p w:rsidR="00CC5E2D" w:rsidRPr="0066526D" w:rsidRDefault="00A227C8" w:rsidP="0066526D">
      <w:pPr>
        <w:pStyle w:val="1a"/>
        <w:spacing w:after="240"/>
      </w:pPr>
      <w:r>
        <w:t xml:space="preserve"> </w:t>
      </w:r>
      <w:bookmarkStart w:id="83" w:name="_Toc492121012"/>
      <w:bookmarkStart w:id="84" w:name="_Toc495951476"/>
      <w:r w:rsidR="0066526D">
        <w:rPr>
          <w:rFonts w:asciiTheme="minorHAnsi" w:hAnsiTheme="minorHAnsi" w:cstheme="minorHAnsi"/>
          <w:color w:val="auto"/>
          <w:sz w:val="24"/>
          <w:szCs w:val="24"/>
        </w:rPr>
        <w:t>Περιορισμοί</w:t>
      </w:r>
      <w:bookmarkEnd w:id="83"/>
      <w:r w:rsidR="009E3DE6">
        <w:rPr>
          <w:rFonts w:asciiTheme="minorHAnsi" w:hAnsiTheme="minorHAnsi" w:cstheme="minorHAnsi"/>
          <w:color w:val="auto"/>
          <w:sz w:val="24"/>
          <w:szCs w:val="24"/>
        </w:rPr>
        <w:t xml:space="preserve"> της μελέτης</w:t>
      </w:r>
      <w:bookmarkEnd w:id="84"/>
    </w:p>
    <w:p w:rsidR="0066526D" w:rsidRPr="00B8771B" w:rsidRDefault="00CC5E2D" w:rsidP="0066526D">
      <w:pPr>
        <w:autoSpaceDE w:val="0"/>
        <w:autoSpaceDN w:val="0"/>
        <w:adjustRightInd w:val="0"/>
        <w:spacing w:after="0" w:line="360" w:lineRule="auto"/>
        <w:jc w:val="both"/>
        <w:rPr>
          <w:rFonts w:cs="BaskervilleBE-Regular"/>
          <w:sz w:val="24"/>
          <w:szCs w:val="24"/>
        </w:rPr>
      </w:pPr>
      <w:r w:rsidRPr="005A464E">
        <w:rPr>
          <w:rFonts w:cs="BaskervilleBE-Regular"/>
          <w:sz w:val="24"/>
          <w:szCs w:val="24"/>
        </w:rPr>
        <w:t xml:space="preserve">Ως προς τους περιορισμούς της μελέτης σημειώνεται ότι </w:t>
      </w:r>
      <w:r w:rsidR="009E3DE6">
        <w:rPr>
          <w:rFonts w:cs="BaskervilleBE-Regular"/>
          <w:sz w:val="24"/>
          <w:szCs w:val="24"/>
        </w:rPr>
        <w:t>χρησιμοποιήθηκε δείγμα ευκολίας σ</w:t>
      </w:r>
      <w:r w:rsidRPr="005A464E">
        <w:rPr>
          <w:rFonts w:cs="BaskervilleBE-Regular"/>
          <w:sz w:val="24"/>
          <w:szCs w:val="24"/>
        </w:rPr>
        <w:t xml:space="preserve">το οποίο </w:t>
      </w:r>
      <w:r w:rsidR="009E3DE6">
        <w:rPr>
          <w:rFonts w:cs="BaskervilleBE-Regular"/>
          <w:sz w:val="24"/>
          <w:szCs w:val="24"/>
        </w:rPr>
        <w:t>είχε πρόσβαση η</w:t>
      </w:r>
      <w:r w:rsidRPr="005A464E">
        <w:rPr>
          <w:rFonts w:cs="BaskervilleBE-Regular"/>
          <w:sz w:val="24"/>
          <w:szCs w:val="24"/>
        </w:rPr>
        <w:t xml:space="preserve"> ερευνήτρια</w:t>
      </w:r>
      <w:r w:rsidR="0078495A">
        <w:rPr>
          <w:rFonts w:cs="BaskervilleBE-Regular"/>
          <w:sz w:val="24"/>
          <w:szCs w:val="24"/>
        </w:rPr>
        <w:t xml:space="preserve"> </w:t>
      </w:r>
      <w:r w:rsidRPr="005A464E">
        <w:rPr>
          <w:rFonts w:cs="BaskervilleBE-Regular"/>
          <w:sz w:val="24"/>
          <w:szCs w:val="24"/>
        </w:rPr>
        <w:t>και κατά συνέπεια δεν είναι δυνατή</w:t>
      </w:r>
      <w:r w:rsidR="0078495A">
        <w:rPr>
          <w:rFonts w:cs="BaskervilleBE-Regular"/>
          <w:sz w:val="24"/>
          <w:szCs w:val="24"/>
        </w:rPr>
        <w:t xml:space="preserve"> </w:t>
      </w:r>
      <w:r w:rsidRPr="005A464E">
        <w:rPr>
          <w:rFonts w:cs="BaskervilleBE-Regular"/>
          <w:sz w:val="24"/>
          <w:szCs w:val="24"/>
        </w:rPr>
        <w:t>η γενίκευση των αποτελεσμάτων στο σύνολο του πληθυσμού</w:t>
      </w:r>
      <w:r w:rsidR="003451CD" w:rsidRPr="005A464E">
        <w:rPr>
          <w:rFonts w:cs="BaskervilleBE-Regular"/>
          <w:sz w:val="24"/>
          <w:szCs w:val="24"/>
        </w:rPr>
        <w:t xml:space="preserve"> των</w:t>
      </w:r>
      <w:r w:rsidR="009E3DE6">
        <w:rPr>
          <w:rFonts w:cs="BaskervilleBE-Regular"/>
          <w:sz w:val="24"/>
          <w:szCs w:val="24"/>
        </w:rPr>
        <w:t xml:space="preserve"> ασθενών με ΤΣΧΝΝ που υποβάλλονται σε αιμοκάθαρση</w:t>
      </w:r>
      <w:r w:rsidRPr="005A464E">
        <w:rPr>
          <w:rFonts w:cs="BaskervilleBE-Regular"/>
          <w:sz w:val="24"/>
          <w:szCs w:val="24"/>
        </w:rPr>
        <w:t>. Επιπλέον, η δυσκολία στην κατανόηση της ορολογίας στα ερευνητικά εργαλεία αλλά και η παρεμβολή εξωτερικών μεταβλητών (διακοπές από άλλους, θερμοκρασία δωματίου, επίπεδο θορύβου και κόπωση των συμμετεχόντων και των ατόμων με υποκείμενα νοσήματα), πιθανώς να επηρέασε τις απαντήσεις των ερωτηθέντων.</w:t>
      </w:r>
      <w:r w:rsidRPr="005A464E">
        <w:t xml:space="preserve"> </w:t>
      </w:r>
      <w:r w:rsidRPr="005A464E">
        <w:rPr>
          <w:rFonts w:cs="BaskervilleBE-Regular"/>
          <w:sz w:val="24"/>
          <w:szCs w:val="24"/>
        </w:rPr>
        <w:t>Υπήρξε περιορισμός ως προς τον διαθέσιμο χρόνο για την κάλυψη</w:t>
      </w:r>
      <w:r w:rsidR="0078495A">
        <w:rPr>
          <w:rFonts w:cs="BaskervilleBE-Regular"/>
          <w:sz w:val="24"/>
          <w:szCs w:val="24"/>
        </w:rPr>
        <w:t xml:space="preserve"> </w:t>
      </w:r>
      <w:r w:rsidRPr="005A464E">
        <w:rPr>
          <w:rFonts w:cs="BaskervilleBE-Regular"/>
          <w:sz w:val="24"/>
          <w:szCs w:val="24"/>
        </w:rPr>
        <w:t>όλων των θεματικών ενοτήτων και την επεξήγηση των αποριών καθώς οι</w:t>
      </w:r>
      <w:r w:rsidR="0078495A">
        <w:rPr>
          <w:rFonts w:cs="BaskervilleBE-Regular"/>
          <w:sz w:val="24"/>
          <w:szCs w:val="24"/>
        </w:rPr>
        <w:t xml:space="preserve"> </w:t>
      </w:r>
      <w:r w:rsidR="00A43379">
        <w:rPr>
          <w:rFonts w:cs="BaskervilleBE-Regular"/>
          <w:sz w:val="24"/>
          <w:szCs w:val="24"/>
        </w:rPr>
        <w:t>συμμετέχοντες είχαν μόνο μι</w:t>
      </w:r>
      <w:r w:rsidRPr="005A464E">
        <w:rPr>
          <w:rFonts w:cs="BaskervilleBE-Regular"/>
          <w:sz w:val="24"/>
          <w:szCs w:val="24"/>
        </w:rPr>
        <w:t>α εκπαιδευτική συνεδρία, η οποία περιελάμβανε ποικίλες θεματικές ενότητες σχετικά με τη ΧΝΝ.</w:t>
      </w:r>
      <w:r w:rsidRPr="005A464E">
        <w:t xml:space="preserve"> </w:t>
      </w:r>
      <w:r w:rsidRPr="005A464E">
        <w:rPr>
          <w:rFonts w:cs="BaskervilleBE-Regular"/>
          <w:sz w:val="24"/>
          <w:szCs w:val="24"/>
        </w:rPr>
        <w:t>Για τον λόγο αυτό και προκειμένου να ενισχυθ</w:t>
      </w:r>
      <w:r w:rsidR="003451CD" w:rsidRPr="005A464E">
        <w:rPr>
          <w:rFonts w:cs="BaskervilleBE-Regular"/>
          <w:sz w:val="24"/>
          <w:szCs w:val="24"/>
        </w:rPr>
        <w:t>εί το συμβουλευ</w:t>
      </w:r>
      <w:r w:rsidRPr="005A464E">
        <w:rPr>
          <w:rFonts w:cs="BaskervilleBE-Regular"/>
          <w:sz w:val="24"/>
          <w:szCs w:val="24"/>
        </w:rPr>
        <w:t xml:space="preserve">τικό αποτέλεσμα, τα έντυπα δόθηκαν στον κάθε συμμετέχοντα ξεχωριστά </w:t>
      </w:r>
      <w:r w:rsidR="003451CD" w:rsidRPr="005A464E">
        <w:rPr>
          <w:rFonts w:cs="BaskervilleBE-Regular"/>
          <w:sz w:val="24"/>
          <w:szCs w:val="24"/>
        </w:rPr>
        <w:t>μετά την συμβουλ</w:t>
      </w:r>
      <w:r w:rsidRPr="005A464E">
        <w:rPr>
          <w:rFonts w:cs="BaskervilleBE-Regular"/>
          <w:sz w:val="24"/>
          <w:szCs w:val="24"/>
        </w:rPr>
        <w:t>ευτική παρέμβαση.</w:t>
      </w:r>
    </w:p>
    <w:p w:rsidR="00893874" w:rsidRPr="00B8771B" w:rsidRDefault="00893874" w:rsidP="0066526D">
      <w:pPr>
        <w:autoSpaceDE w:val="0"/>
        <w:autoSpaceDN w:val="0"/>
        <w:adjustRightInd w:val="0"/>
        <w:spacing w:after="0" w:line="360" w:lineRule="auto"/>
        <w:jc w:val="both"/>
        <w:rPr>
          <w:rFonts w:cs="BaskervilleBE-Regular"/>
          <w:sz w:val="24"/>
          <w:szCs w:val="24"/>
        </w:rPr>
      </w:pPr>
    </w:p>
    <w:p w:rsidR="00893874" w:rsidRPr="00B8771B" w:rsidRDefault="00893874" w:rsidP="0066526D">
      <w:pPr>
        <w:autoSpaceDE w:val="0"/>
        <w:autoSpaceDN w:val="0"/>
        <w:adjustRightInd w:val="0"/>
        <w:spacing w:after="0" w:line="360" w:lineRule="auto"/>
        <w:jc w:val="both"/>
        <w:rPr>
          <w:rFonts w:cs="BaskervilleBE-Regular"/>
          <w:sz w:val="24"/>
          <w:szCs w:val="24"/>
        </w:rPr>
      </w:pPr>
    </w:p>
    <w:p w:rsidR="00893874" w:rsidRPr="00B8771B" w:rsidRDefault="00893874" w:rsidP="0066526D">
      <w:pPr>
        <w:autoSpaceDE w:val="0"/>
        <w:autoSpaceDN w:val="0"/>
        <w:adjustRightInd w:val="0"/>
        <w:spacing w:after="0" w:line="360" w:lineRule="auto"/>
        <w:jc w:val="both"/>
        <w:rPr>
          <w:rFonts w:cs="BaskervilleBE-Regular"/>
          <w:sz w:val="24"/>
          <w:szCs w:val="24"/>
        </w:rPr>
      </w:pPr>
    </w:p>
    <w:p w:rsidR="00893874" w:rsidRPr="00B8771B" w:rsidRDefault="00893874" w:rsidP="0066526D">
      <w:pPr>
        <w:autoSpaceDE w:val="0"/>
        <w:autoSpaceDN w:val="0"/>
        <w:adjustRightInd w:val="0"/>
        <w:spacing w:after="0" w:line="360" w:lineRule="auto"/>
        <w:jc w:val="both"/>
        <w:rPr>
          <w:rFonts w:cs="BaskervilleBE-Regular"/>
          <w:sz w:val="24"/>
          <w:szCs w:val="24"/>
        </w:rPr>
      </w:pPr>
    </w:p>
    <w:p w:rsidR="00893874" w:rsidRPr="00B8771B" w:rsidRDefault="00893874" w:rsidP="0066526D">
      <w:pPr>
        <w:autoSpaceDE w:val="0"/>
        <w:autoSpaceDN w:val="0"/>
        <w:adjustRightInd w:val="0"/>
        <w:spacing w:after="0" w:line="360" w:lineRule="auto"/>
        <w:jc w:val="both"/>
        <w:rPr>
          <w:rFonts w:cs="BaskervilleBE-Regular"/>
          <w:sz w:val="24"/>
          <w:szCs w:val="24"/>
        </w:rPr>
      </w:pPr>
    </w:p>
    <w:p w:rsidR="00893874" w:rsidRPr="00B8771B" w:rsidRDefault="00893874" w:rsidP="0066526D">
      <w:pPr>
        <w:autoSpaceDE w:val="0"/>
        <w:autoSpaceDN w:val="0"/>
        <w:adjustRightInd w:val="0"/>
        <w:spacing w:after="0" w:line="360" w:lineRule="auto"/>
        <w:jc w:val="both"/>
        <w:rPr>
          <w:rFonts w:cs="BaskervilleBE-Regular"/>
          <w:sz w:val="24"/>
          <w:szCs w:val="24"/>
        </w:rPr>
      </w:pPr>
    </w:p>
    <w:p w:rsidR="00893874" w:rsidRPr="00B8771B" w:rsidRDefault="00893874" w:rsidP="0066526D">
      <w:pPr>
        <w:autoSpaceDE w:val="0"/>
        <w:autoSpaceDN w:val="0"/>
        <w:adjustRightInd w:val="0"/>
        <w:spacing w:after="0" w:line="360" w:lineRule="auto"/>
        <w:jc w:val="both"/>
        <w:rPr>
          <w:rFonts w:cs="BaskervilleBE-Regular"/>
          <w:sz w:val="24"/>
          <w:szCs w:val="24"/>
        </w:rPr>
      </w:pPr>
    </w:p>
    <w:p w:rsidR="00893874" w:rsidRPr="00B8771B" w:rsidRDefault="00893874" w:rsidP="0066526D">
      <w:pPr>
        <w:autoSpaceDE w:val="0"/>
        <w:autoSpaceDN w:val="0"/>
        <w:adjustRightInd w:val="0"/>
        <w:spacing w:after="0" w:line="360" w:lineRule="auto"/>
        <w:jc w:val="both"/>
        <w:rPr>
          <w:rFonts w:cs="BaskervilleBE-Regular"/>
          <w:sz w:val="24"/>
          <w:szCs w:val="24"/>
        </w:rPr>
      </w:pPr>
    </w:p>
    <w:p w:rsidR="00893874" w:rsidRPr="00B8771B" w:rsidRDefault="00893874" w:rsidP="0066526D">
      <w:pPr>
        <w:autoSpaceDE w:val="0"/>
        <w:autoSpaceDN w:val="0"/>
        <w:adjustRightInd w:val="0"/>
        <w:spacing w:after="0" w:line="360" w:lineRule="auto"/>
        <w:jc w:val="both"/>
        <w:rPr>
          <w:rFonts w:cs="BaskervilleBE-Regular"/>
          <w:sz w:val="24"/>
          <w:szCs w:val="24"/>
        </w:rPr>
      </w:pPr>
    </w:p>
    <w:p w:rsidR="00893874" w:rsidRPr="00B8771B" w:rsidRDefault="00893874" w:rsidP="0066526D">
      <w:pPr>
        <w:autoSpaceDE w:val="0"/>
        <w:autoSpaceDN w:val="0"/>
        <w:adjustRightInd w:val="0"/>
        <w:spacing w:after="0" w:line="360" w:lineRule="auto"/>
        <w:jc w:val="both"/>
        <w:rPr>
          <w:rFonts w:cs="BaskervilleBE-Regular"/>
          <w:sz w:val="24"/>
          <w:szCs w:val="24"/>
        </w:rPr>
      </w:pPr>
    </w:p>
    <w:p w:rsidR="00893874" w:rsidRPr="00B8771B" w:rsidRDefault="00893874" w:rsidP="0066526D">
      <w:pPr>
        <w:autoSpaceDE w:val="0"/>
        <w:autoSpaceDN w:val="0"/>
        <w:adjustRightInd w:val="0"/>
        <w:spacing w:after="0" w:line="360" w:lineRule="auto"/>
        <w:jc w:val="both"/>
        <w:rPr>
          <w:rFonts w:cs="BaskervilleBE-Regular"/>
          <w:sz w:val="24"/>
          <w:szCs w:val="24"/>
        </w:rPr>
      </w:pPr>
    </w:p>
    <w:p w:rsidR="0066526D" w:rsidRPr="00DB6A65" w:rsidRDefault="0066526D" w:rsidP="007B64BD">
      <w:pPr>
        <w:pStyle w:val="1a"/>
        <w:spacing w:after="240"/>
        <w:rPr>
          <w:rFonts w:asciiTheme="minorHAnsi" w:hAnsiTheme="minorHAnsi" w:cstheme="minorHAnsi"/>
          <w:sz w:val="24"/>
          <w:szCs w:val="24"/>
        </w:rPr>
      </w:pPr>
      <w:bookmarkStart w:id="85" w:name="_Toc495951477"/>
      <w:r w:rsidRPr="00DB6A65">
        <w:rPr>
          <w:rFonts w:asciiTheme="minorHAnsi" w:hAnsiTheme="minorHAnsi" w:cstheme="minorHAnsi"/>
        </w:rPr>
        <w:t>10</w:t>
      </w:r>
      <w:r w:rsidRPr="00DB6A65">
        <w:rPr>
          <w:rFonts w:asciiTheme="minorHAnsi" w:hAnsiTheme="minorHAnsi" w:cstheme="minorHAnsi"/>
          <w:vertAlign w:val="superscript"/>
        </w:rPr>
        <w:t xml:space="preserve">ο  </w:t>
      </w:r>
      <w:r w:rsidRPr="00DB6A65">
        <w:rPr>
          <w:rFonts w:asciiTheme="minorHAnsi" w:hAnsiTheme="minorHAnsi" w:cstheme="minorHAnsi"/>
        </w:rPr>
        <w:t>ΚΕΦΑΛΑΙΟ</w:t>
      </w:r>
      <w:r w:rsidR="007B64BD" w:rsidRPr="00DB6A65">
        <w:rPr>
          <w:rFonts w:asciiTheme="minorHAnsi" w:hAnsiTheme="minorHAnsi" w:cstheme="minorHAnsi"/>
        </w:rPr>
        <w:t xml:space="preserve">: </w:t>
      </w:r>
      <w:r w:rsidRPr="00DB6A65">
        <w:rPr>
          <w:rFonts w:asciiTheme="minorHAnsi" w:hAnsiTheme="minorHAnsi" w:cstheme="minorHAnsi"/>
        </w:rPr>
        <w:t>ΓΕΝΙΚΑ ΣΥΜΠΕΡΑΣΜΑΤΑ-ΠΡΟΤΑΣΕΙΣ</w:t>
      </w:r>
      <w:bookmarkEnd w:id="85"/>
    </w:p>
    <w:p w:rsidR="000B7506" w:rsidRPr="000B7506" w:rsidRDefault="00DD2D76" w:rsidP="000B7506">
      <w:pPr>
        <w:spacing w:after="0" w:line="360" w:lineRule="auto"/>
        <w:jc w:val="both"/>
        <w:rPr>
          <w:sz w:val="24"/>
          <w:szCs w:val="24"/>
        </w:rPr>
      </w:pPr>
      <w:r w:rsidRPr="005A464E">
        <w:rPr>
          <w:sz w:val="24"/>
          <w:szCs w:val="24"/>
        </w:rPr>
        <w:t>Η αιμοκάθαρ</w:t>
      </w:r>
      <w:r w:rsidR="00E65575" w:rsidRPr="005A464E">
        <w:rPr>
          <w:sz w:val="24"/>
          <w:szCs w:val="24"/>
        </w:rPr>
        <w:t xml:space="preserve">ση θέτει πολλαπλές και αναπόφευκτες απαιτήσεις για τον τρόπο ζωής ενός </w:t>
      </w:r>
      <w:r w:rsidR="00C710BF">
        <w:rPr>
          <w:sz w:val="24"/>
          <w:szCs w:val="24"/>
        </w:rPr>
        <w:t>ασθενή</w:t>
      </w:r>
      <w:r w:rsidR="00A43379">
        <w:rPr>
          <w:sz w:val="24"/>
          <w:szCs w:val="24"/>
        </w:rPr>
        <w:t>, που σχετίζον</w:t>
      </w:r>
      <w:r w:rsidR="00E65575" w:rsidRPr="005A464E">
        <w:rPr>
          <w:sz w:val="24"/>
          <w:szCs w:val="24"/>
        </w:rPr>
        <w:t xml:space="preserve">ται με το σχήμα της αιμοκάθαρσης, τους περιορισμούς </w:t>
      </w:r>
      <w:r w:rsidRPr="005A464E">
        <w:rPr>
          <w:sz w:val="24"/>
          <w:szCs w:val="24"/>
        </w:rPr>
        <w:t>στη διατροφή</w:t>
      </w:r>
      <w:r w:rsidR="00E65575" w:rsidRPr="005A464E">
        <w:rPr>
          <w:sz w:val="24"/>
          <w:szCs w:val="24"/>
        </w:rPr>
        <w:t xml:space="preserve"> και </w:t>
      </w:r>
      <w:r w:rsidRPr="005A464E">
        <w:rPr>
          <w:sz w:val="24"/>
          <w:szCs w:val="24"/>
        </w:rPr>
        <w:t xml:space="preserve">την πρόσληψη των υγρών, τη λήψη </w:t>
      </w:r>
      <w:r w:rsidR="00E65575" w:rsidRPr="005A464E">
        <w:rPr>
          <w:sz w:val="24"/>
          <w:szCs w:val="24"/>
        </w:rPr>
        <w:t>πολλών φαρμάκων με πιθανές παρενέργειες καθώς και τη διαχείρι</w:t>
      </w:r>
      <w:r w:rsidRPr="005A464E">
        <w:rPr>
          <w:sz w:val="24"/>
          <w:szCs w:val="24"/>
        </w:rPr>
        <w:t xml:space="preserve">ση πολλαπλών συνυπαρχουσών παθήσεων. </w:t>
      </w:r>
      <w:r w:rsidR="00E65575" w:rsidRPr="005A464E">
        <w:rPr>
          <w:sz w:val="24"/>
          <w:szCs w:val="24"/>
        </w:rPr>
        <w:t>Ο ποσοτικός προσδ</w:t>
      </w:r>
      <w:r w:rsidRPr="005A464E">
        <w:rPr>
          <w:sz w:val="24"/>
          <w:szCs w:val="24"/>
        </w:rPr>
        <w:t>ιορισμός του βαθμού της μη συμμόρφω</w:t>
      </w:r>
      <w:r w:rsidR="00E65575" w:rsidRPr="005A464E">
        <w:rPr>
          <w:sz w:val="24"/>
          <w:szCs w:val="24"/>
        </w:rPr>
        <w:t xml:space="preserve">σης </w:t>
      </w:r>
      <w:r w:rsidRPr="005A464E">
        <w:rPr>
          <w:sz w:val="24"/>
          <w:szCs w:val="24"/>
        </w:rPr>
        <w:t xml:space="preserve">και της ποιότητας ζωής </w:t>
      </w:r>
      <w:r w:rsidR="00E65575" w:rsidRPr="005A464E">
        <w:rPr>
          <w:sz w:val="24"/>
          <w:szCs w:val="24"/>
        </w:rPr>
        <w:t xml:space="preserve">απαιτείται για να κατανοηθεί ο αντίκτυπος της θεραπείας στη ζωή ενός </w:t>
      </w:r>
      <w:r w:rsidR="00C710BF">
        <w:rPr>
          <w:sz w:val="24"/>
          <w:szCs w:val="24"/>
        </w:rPr>
        <w:t>ασθενή</w:t>
      </w:r>
      <w:r w:rsidR="00E65575" w:rsidRPr="005A464E">
        <w:rPr>
          <w:sz w:val="24"/>
          <w:szCs w:val="24"/>
        </w:rPr>
        <w:t xml:space="preserve">. </w:t>
      </w:r>
      <w:r w:rsidR="006E0A0A">
        <w:rPr>
          <w:sz w:val="24"/>
          <w:szCs w:val="24"/>
        </w:rPr>
        <w:t>Σ</w:t>
      </w:r>
      <w:r w:rsidRPr="005A464E">
        <w:rPr>
          <w:sz w:val="24"/>
          <w:szCs w:val="24"/>
        </w:rPr>
        <w:t>τη βελτίωση της συμμόρφω</w:t>
      </w:r>
      <w:r w:rsidR="00E65575" w:rsidRPr="005A464E">
        <w:rPr>
          <w:sz w:val="24"/>
          <w:szCs w:val="24"/>
        </w:rPr>
        <w:t>σης σε αυτούς τους ασθενείς συμπεριλαμβάνεται η προώθηση θετικών</w:t>
      </w:r>
      <w:r w:rsidRPr="005A464E">
        <w:rPr>
          <w:sz w:val="24"/>
          <w:szCs w:val="24"/>
        </w:rPr>
        <w:t xml:space="preserve"> συμπεριφορών μεταξύ των ασθενών</w:t>
      </w:r>
      <w:r w:rsidR="00E65575" w:rsidRPr="005A464E">
        <w:rPr>
          <w:sz w:val="24"/>
          <w:szCs w:val="24"/>
        </w:rPr>
        <w:t xml:space="preserve"> σχετικά με τον έλεγχο της συμπεριφοράς</w:t>
      </w:r>
      <w:r w:rsidRPr="005A464E">
        <w:rPr>
          <w:sz w:val="24"/>
          <w:szCs w:val="24"/>
        </w:rPr>
        <w:t xml:space="preserve"> συμμόρφωσης.</w:t>
      </w:r>
      <w:r w:rsidR="00E65575" w:rsidRPr="005A464E">
        <w:rPr>
          <w:sz w:val="24"/>
          <w:szCs w:val="24"/>
        </w:rPr>
        <w:t xml:space="preserve"> Η βελτιωμέ</w:t>
      </w:r>
      <w:r w:rsidRPr="005A464E">
        <w:rPr>
          <w:sz w:val="24"/>
          <w:szCs w:val="24"/>
        </w:rPr>
        <w:t>νη συμμόρφω</w:t>
      </w:r>
      <w:r w:rsidR="00E65575" w:rsidRPr="005A464E">
        <w:rPr>
          <w:sz w:val="24"/>
          <w:szCs w:val="24"/>
        </w:rPr>
        <w:t>ση μεταξύ των ασθενών που υποβάλλονται σε αιμοκάθαρση είναι πιθανό να οδηγήσει σε μει</w:t>
      </w:r>
      <w:r w:rsidRPr="005A464E">
        <w:rPr>
          <w:sz w:val="24"/>
          <w:szCs w:val="24"/>
        </w:rPr>
        <w:t>ωμένη συχνότητα εμφάνισης κλινικ</w:t>
      </w:r>
      <w:r w:rsidR="00E65575" w:rsidRPr="005A464E">
        <w:rPr>
          <w:sz w:val="24"/>
          <w:szCs w:val="24"/>
        </w:rPr>
        <w:t>ών επιπλοκών π</w:t>
      </w:r>
      <w:r w:rsidRPr="005A464E">
        <w:rPr>
          <w:sz w:val="24"/>
          <w:szCs w:val="24"/>
        </w:rPr>
        <w:t>ου συνδέονται με τη μη συμμόρφω</w:t>
      </w:r>
      <w:r w:rsidR="00E65575" w:rsidRPr="005A464E">
        <w:rPr>
          <w:sz w:val="24"/>
          <w:szCs w:val="24"/>
        </w:rPr>
        <w:t>ση και στη συνέχεια να μειώσει</w:t>
      </w:r>
      <w:r w:rsidRPr="005A464E">
        <w:rPr>
          <w:sz w:val="24"/>
          <w:szCs w:val="24"/>
        </w:rPr>
        <w:t xml:space="preserve"> το ποσοστό θνησιμότητας από </w:t>
      </w:r>
      <w:r w:rsidR="00A43379">
        <w:rPr>
          <w:sz w:val="24"/>
          <w:szCs w:val="24"/>
        </w:rPr>
        <w:t>ΤΣΧΝΝ</w:t>
      </w:r>
      <w:r w:rsidR="00E65575" w:rsidRPr="005A464E">
        <w:rPr>
          <w:sz w:val="24"/>
          <w:szCs w:val="24"/>
        </w:rPr>
        <w:t>.</w:t>
      </w:r>
    </w:p>
    <w:p w:rsidR="00183144" w:rsidRPr="000B7506" w:rsidRDefault="002C0FA5" w:rsidP="000B7506">
      <w:pPr>
        <w:spacing w:line="360" w:lineRule="auto"/>
        <w:jc w:val="both"/>
        <w:rPr>
          <w:sz w:val="24"/>
          <w:szCs w:val="24"/>
        </w:rPr>
      </w:pPr>
      <w:r w:rsidRPr="005A464E">
        <w:rPr>
          <w:rFonts w:cstheme="minorHAnsi"/>
          <w:sz w:val="24"/>
          <w:szCs w:val="24"/>
        </w:rPr>
        <w:t xml:space="preserve">Η παροχή εκπαίδευσης και ενθάρρυνσης στους ασθενείς ήταν </w:t>
      </w:r>
      <w:r w:rsidR="006E0A0A">
        <w:rPr>
          <w:rFonts w:cstheme="minorHAnsi"/>
          <w:sz w:val="24"/>
          <w:szCs w:val="24"/>
        </w:rPr>
        <w:t>πάντα ένα ζωτικό συστατικό της Ν</w:t>
      </w:r>
      <w:r w:rsidRPr="005A464E">
        <w:rPr>
          <w:rFonts w:cstheme="minorHAnsi"/>
          <w:sz w:val="24"/>
          <w:szCs w:val="24"/>
        </w:rPr>
        <w:t xml:space="preserve">οσηλευτικής. Η διαρκής παροχή εκπαίδευσης και η ενθάρρυνση των </w:t>
      </w:r>
      <w:r w:rsidR="00F175B6" w:rsidRPr="005A464E">
        <w:rPr>
          <w:rFonts w:cstheme="minorHAnsi"/>
          <w:sz w:val="24"/>
          <w:szCs w:val="24"/>
        </w:rPr>
        <w:t>ασθενών να παραμείνουν συμμορφω</w:t>
      </w:r>
      <w:r w:rsidRPr="005A464E">
        <w:rPr>
          <w:rFonts w:cstheme="minorHAnsi"/>
          <w:sz w:val="24"/>
          <w:szCs w:val="24"/>
        </w:rPr>
        <w:t>μένοι</w:t>
      </w:r>
      <w:r w:rsidR="00F175B6" w:rsidRPr="005A464E">
        <w:rPr>
          <w:rFonts w:cstheme="minorHAnsi"/>
          <w:sz w:val="24"/>
          <w:szCs w:val="24"/>
        </w:rPr>
        <w:t xml:space="preserve"> στις πολλαπλές απαιτήσεις του θεραπευτικού σχήματος της</w:t>
      </w:r>
      <w:r w:rsidRPr="005A464E">
        <w:rPr>
          <w:rFonts w:cstheme="minorHAnsi"/>
          <w:sz w:val="24"/>
          <w:szCs w:val="24"/>
        </w:rPr>
        <w:t xml:space="preserve"> αιμοκάθαρσης μπορεί συχνά να φαίνεται </w:t>
      </w:r>
      <w:r w:rsidR="00F175B6" w:rsidRPr="005A464E">
        <w:rPr>
          <w:rFonts w:cstheme="minorHAnsi"/>
          <w:color w:val="000000"/>
          <w:sz w:val="24"/>
          <w:szCs w:val="24"/>
          <w:shd w:val="clear" w:color="auto" w:fill="FFFFFF"/>
        </w:rPr>
        <w:t xml:space="preserve">αφόρητη </w:t>
      </w:r>
      <w:r w:rsidRPr="005A464E">
        <w:rPr>
          <w:rFonts w:cstheme="minorHAnsi"/>
          <w:sz w:val="24"/>
          <w:szCs w:val="24"/>
        </w:rPr>
        <w:t>τόσο στο προσωπικό όσο και στους ασθενείς.</w:t>
      </w:r>
      <w:r w:rsidR="00E65575" w:rsidRPr="005A464E">
        <w:rPr>
          <w:rFonts w:cstheme="minorHAnsi"/>
          <w:sz w:val="24"/>
          <w:szCs w:val="24"/>
        </w:rPr>
        <w:t xml:space="preserve"> </w:t>
      </w:r>
      <w:r w:rsidR="00F175B6" w:rsidRPr="005A464E">
        <w:rPr>
          <w:rFonts w:cstheme="minorHAnsi"/>
          <w:sz w:val="24"/>
          <w:szCs w:val="24"/>
        </w:rPr>
        <w:t>Αν και</w:t>
      </w:r>
      <w:r w:rsidR="00E65575" w:rsidRPr="005A464E">
        <w:rPr>
          <w:rFonts w:cstheme="minorHAnsi"/>
          <w:sz w:val="24"/>
          <w:szCs w:val="24"/>
        </w:rPr>
        <w:t xml:space="preserve"> η κοινωνική στήριξη από τα μέλη της οικογένειας και τους φίλους έχ</w:t>
      </w:r>
      <w:r w:rsidR="00F175B6" w:rsidRPr="005A464E">
        <w:rPr>
          <w:rFonts w:cstheme="minorHAnsi"/>
          <w:sz w:val="24"/>
          <w:szCs w:val="24"/>
        </w:rPr>
        <w:t>ει θετικό αντίκτυπο στην συμμόρφω</w:t>
      </w:r>
      <w:r w:rsidR="00E65575" w:rsidRPr="005A464E">
        <w:rPr>
          <w:rFonts w:cstheme="minorHAnsi"/>
          <w:sz w:val="24"/>
          <w:szCs w:val="24"/>
        </w:rPr>
        <w:t>ση των ασθενών</w:t>
      </w:r>
      <w:r w:rsidR="00F175B6" w:rsidRPr="005A464E">
        <w:rPr>
          <w:rFonts w:cstheme="minorHAnsi"/>
          <w:sz w:val="24"/>
          <w:szCs w:val="24"/>
        </w:rPr>
        <w:t>, η υποστήριξη από τους επαγγελματίες υγείας</w:t>
      </w:r>
      <w:r w:rsidR="00E65575" w:rsidRPr="005A464E">
        <w:rPr>
          <w:rFonts w:cstheme="minorHAnsi"/>
          <w:sz w:val="24"/>
          <w:szCs w:val="24"/>
        </w:rPr>
        <w:t xml:space="preserve"> έχει ακόμη μεγαλύτερη θετική επίδραση</w:t>
      </w:r>
      <w:r w:rsidR="00B40D0C" w:rsidRPr="005A464E">
        <w:rPr>
          <w:rFonts w:cstheme="minorHAnsi"/>
          <w:sz w:val="24"/>
          <w:szCs w:val="24"/>
        </w:rPr>
        <w:t>.</w:t>
      </w:r>
      <w:r w:rsidR="00E65575" w:rsidRPr="005A464E">
        <w:rPr>
          <w:rFonts w:cstheme="minorHAnsi"/>
          <w:sz w:val="24"/>
          <w:szCs w:val="24"/>
        </w:rPr>
        <w:t xml:space="preserve"> Αυτό υποδεικνύει την τεράστια επιρροή που μπορεί να έχει μια διεπιστημονική ομάδα υγείας στην ποιότητα ζωής π</w:t>
      </w:r>
      <w:r w:rsidR="00F175B6" w:rsidRPr="005A464E">
        <w:rPr>
          <w:rFonts w:cstheme="minorHAnsi"/>
          <w:sz w:val="24"/>
          <w:szCs w:val="24"/>
        </w:rPr>
        <w:t>ου απολαμβάνουν οι ασθενείς</w:t>
      </w:r>
      <w:r w:rsidR="00E65575" w:rsidRPr="005A464E">
        <w:rPr>
          <w:rFonts w:cstheme="minorHAnsi"/>
          <w:sz w:val="24"/>
          <w:szCs w:val="24"/>
        </w:rPr>
        <w:t xml:space="preserve">. </w:t>
      </w:r>
    </w:p>
    <w:p w:rsidR="002343C4" w:rsidRPr="005A464E" w:rsidRDefault="002343C4" w:rsidP="005A464E">
      <w:pPr>
        <w:autoSpaceDE w:val="0"/>
        <w:autoSpaceDN w:val="0"/>
        <w:adjustRightInd w:val="0"/>
        <w:spacing w:after="0" w:line="360" w:lineRule="auto"/>
        <w:jc w:val="both"/>
        <w:rPr>
          <w:rFonts w:cstheme="minorHAnsi"/>
          <w:color w:val="000000"/>
          <w:sz w:val="24"/>
          <w:szCs w:val="24"/>
        </w:rPr>
      </w:pPr>
      <w:r w:rsidRPr="005A464E">
        <w:rPr>
          <w:rFonts w:cs="BaskervilleBE-Regular"/>
          <w:sz w:val="24"/>
          <w:szCs w:val="24"/>
        </w:rPr>
        <w:t>Οι εφαρμογές αυτής της μελέτης για</w:t>
      </w:r>
      <w:r w:rsidRPr="005A464E">
        <w:rPr>
          <w:rFonts w:cs="BaskervilleBE-Regular"/>
          <w:b/>
          <w:sz w:val="24"/>
          <w:szCs w:val="24"/>
        </w:rPr>
        <w:t xml:space="preserve"> </w:t>
      </w:r>
      <w:r w:rsidRPr="005A464E">
        <w:rPr>
          <w:rFonts w:cs="BaskervilleBE-Regular"/>
          <w:sz w:val="24"/>
          <w:szCs w:val="24"/>
        </w:rPr>
        <w:t>τους νοσηλευτές νεφρολογίας σχετίζονται με τη</w:t>
      </w:r>
      <w:r w:rsidR="00DF4830">
        <w:rPr>
          <w:rFonts w:cs="BaskervilleBE-Regular"/>
          <w:sz w:val="24"/>
          <w:szCs w:val="24"/>
        </w:rPr>
        <w:t>ν εκπαίδευση των ασθενών και τη</w:t>
      </w:r>
      <w:r w:rsidRPr="005A464E">
        <w:rPr>
          <w:rFonts w:cs="BaskervilleBE-Regular"/>
          <w:sz w:val="24"/>
          <w:szCs w:val="24"/>
        </w:rPr>
        <w:t xml:space="preserve"> </w:t>
      </w:r>
      <w:r w:rsidR="00DF4830">
        <w:rPr>
          <w:rFonts w:cs="BaskervilleBE-Regular"/>
          <w:sz w:val="24"/>
          <w:szCs w:val="24"/>
        </w:rPr>
        <w:t>μελέτη</w:t>
      </w:r>
      <w:r w:rsidRPr="005A464E">
        <w:rPr>
          <w:rFonts w:cs="BaskervilleBE-Regular"/>
          <w:sz w:val="24"/>
          <w:szCs w:val="24"/>
        </w:rPr>
        <w:t xml:space="preserve">. Οι ασθενείς υπό </w:t>
      </w:r>
      <w:r w:rsidR="007B64BD">
        <w:rPr>
          <w:rFonts w:cs="BaskervilleBE-Regular"/>
          <w:sz w:val="24"/>
          <w:szCs w:val="24"/>
        </w:rPr>
        <w:t>αιμοκάθαρση</w:t>
      </w:r>
      <w:r w:rsidR="007B64BD" w:rsidRPr="005A464E">
        <w:rPr>
          <w:rFonts w:cs="BaskervilleBE-Regular"/>
          <w:sz w:val="24"/>
          <w:szCs w:val="24"/>
        </w:rPr>
        <w:t xml:space="preserve"> </w:t>
      </w:r>
      <w:r w:rsidRPr="005A464E">
        <w:rPr>
          <w:rFonts w:cs="BaskervilleBE-Regular"/>
          <w:sz w:val="24"/>
          <w:szCs w:val="24"/>
        </w:rPr>
        <w:t>πρέπει να εκπαιδεύονται σε όλους τους τομείς</w:t>
      </w:r>
      <w:r w:rsidR="0078495A">
        <w:rPr>
          <w:rFonts w:cs="BaskervilleBE-Regular"/>
          <w:sz w:val="24"/>
          <w:szCs w:val="24"/>
        </w:rPr>
        <w:t xml:space="preserve"> </w:t>
      </w:r>
      <w:r w:rsidRPr="005A464E">
        <w:rPr>
          <w:rFonts w:cs="BaskervilleBE-Regular"/>
          <w:sz w:val="24"/>
          <w:szCs w:val="24"/>
        </w:rPr>
        <w:t>της ΧΝΝ.</w:t>
      </w:r>
      <w:r w:rsidRPr="005A464E">
        <w:t xml:space="preserve"> </w:t>
      </w:r>
      <w:r w:rsidRPr="005A464E">
        <w:rPr>
          <w:rFonts w:cs="BaskervilleBE-Regular"/>
          <w:sz w:val="24"/>
          <w:szCs w:val="24"/>
        </w:rPr>
        <w:t>Οι νοσηλευτές των Μ</w:t>
      </w:r>
      <w:r w:rsidR="00453C96">
        <w:rPr>
          <w:rFonts w:cs="BaskervilleBE-Regular"/>
          <w:sz w:val="24"/>
          <w:szCs w:val="24"/>
        </w:rPr>
        <w:t>ΤΝ</w:t>
      </w:r>
      <w:r w:rsidRPr="005A464E">
        <w:rPr>
          <w:rFonts w:cs="BaskervilleBE-Regular"/>
          <w:sz w:val="24"/>
          <w:szCs w:val="24"/>
        </w:rPr>
        <w:t xml:space="preserve"> έχουν την ευκαιρία να έχουν συνεχόμενες αλληλεπιδράσεις με τους ασθενείς και να εξασφαλίσουν αποτελεσματική διδασκαλία. Η ενθάρρυνση από τα μέλη του προσωπικού της μονάδας αιμοκάθαρσης </w:t>
      </w:r>
      <w:r w:rsidRPr="005A464E">
        <w:rPr>
          <w:rFonts w:cstheme="minorHAnsi"/>
          <w:sz w:val="24"/>
          <w:szCs w:val="24"/>
        </w:rPr>
        <w:t>έχει δειχθεί ότι βελτιώνει την συμμόρφωση στον περιορισμό των υγρών</w:t>
      </w:r>
      <w:r w:rsidRPr="005A464E">
        <w:rPr>
          <w:rFonts w:cstheme="minorHAnsi"/>
          <w:color w:val="000000"/>
          <w:sz w:val="24"/>
          <w:szCs w:val="24"/>
        </w:rPr>
        <w:t>. Προτείνεται να διεξαχθούν περισσότερες μελέτες για να κατασκευασθούν αξιόπιστα εργαλεία τα οποία να μετρούν με ακρίβεια τη γνώση και τη συμμόρφωση στο θεραπευτικό σχήμα της αιμοκάθαρσης.</w:t>
      </w:r>
    </w:p>
    <w:p w:rsidR="002343C4" w:rsidRPr="005A464E" w:rsidRDefault="002343C4" w:rsidP="000B7506">
      <w:pPr>
        <w:spacing w:after="0" w:line="360" w:lineRule="auto"/>
        <w:jc w:val="both"/>
        <w:rPr>
          <w:sz w:val="24"/>
          <w:szCs w:val="24"/>
        </w:rPr>
      </w:pPr>
      <w:r w:rsidRPr="005A464E">
        <w:rPr>
          <w:sz w:val="24"/>
          <w:szCs w:val="24"/>
        </w:rPr>
        <w:t>Με βάση τα ευρήματα της παρούσας μελέτης, προτείνονται οι ακόλουθες συστάσεις:</w:t>
      </w:r>
    </w:p>
    <w:p w:rsidR="00F175B6" w:rsidRPr="005A464E" w:rsidRDefault="003B50F3" w:rsidP="005A464E">
      <w:pPr>
        <w:spacing w:line="360" w:lineRule="auto"/>
        <w:jc w:val="both"/>
        <w:rPr>
          <w:sz w:val="24"/>
          <w:szCs w:val="24"/>
        </w:rPr>
      </w:pPr>
      <w:r w:rsidRPr="005A464E">
        <w:rPr>
          <w:sz w:val="24"/>
          <w:szCs w:val="24"/>
        </w:rPr>
        <w:t xml:space="preserve">Οι ασθενείς με </w:t>
      </w:r>
      <w:r w:rsidR="00997596">
        <w:rPr>
          <w:sz w:val="24"/>
          <w:szCs w:val="24"/>
        </w:rPr>
        <w:t xml:space="preserve">ΤΣΧΝΝ </w:t>
      </w:r>
      <w:r w:rsidRPr="005A464E">
        <w:rPr>
          <w:sz w:val="24"/>
          <w:szCs w:val="24"/>
        </w:rPr>
        <w:t>πρέπει να έχουν ενεργό ρόλο προ</w:t>
      </w:r>
      <w:r w:rsidR="006E0A0A">
        <w:rPr>
          <w:sz w:val="24"/>
          <w:szCs w:val="24"/>
        </w:rPr>
        <w:t>κειμένου να ακολουθήσουν αυστηρά το</w:t>
      </w:r>
      <w:r w:rsidRPr="005A464E">
        <w:rPr>
          <w:sz w:val="24"/>
          <w:szCs w:val="24"/>
        </w:rPr>
        <w:t xml:space="preserve"> θεραπευτικό σχήμα αιμοκάθαρσης, </w:t>
      </w:r>
      <w:r w:rsidR="006E0A0A">
        <w:rPr>
          <w:sz w:val="24"/>
          <w:szCs w:val="24"/>
        </w:rPr>
        <w:t xml:space="preserve">τη </w:t>
      </w:r>
      <w:r w:rsidRPr="005A464E">
        <w:rPr>
          <w:sz w:val="24"/>
          <w:szCs w:val="24"/>
        </w:rPr>
        <w:t xml:space="preserve">φαρμακευτική αγωγή και </w:t>
      </w:r>
      <w:r w:rsidR="006E0A0A">
        <w:rPr>
          <w:sz w:val="24"/>
          <w:szCs w:val="24"/>
        </w:rPr>
        <w:t xml:space="preserve">τις </w:t>
      </w:r>
      <w:r w:rsidRPr="005A464E">
        <w:rPr>
          <w:sz w:val="24"/>
          <w:szCs w:val="24"/>
        </w:rPr>
        <w:t>συμβουλές διατροφής</w:t>
      </w:r>
      <w:r w:rsidR="00F175B6" w:rsidRPr="005A464E">
        <w:rPr>
          <w:sz w:val="24"/>
          <w:szCs w:val="24"/>
        </w:rPr>
        <w:t>.</w:t>
      </w:r>
      <w:r w:rsidRPr="005A464E">
        <w:rPr>
          <w:sz w:val="24"/>
          <w:szCs w:val="24"/>
        </w:rPr>
        <w:t xml:space="preserve"> </w:t>
      </w:r>
    </w:p>
    <w:p w:rsidR="003B50F3" w:rsidRPr="00E50302" w:rsidRDefault="00997596" w:rsidP="000B7506">
      <w:pPr>
        <w:spacing w:after="0" w:line="360" w:lineRule="auto"/>
        <w:jc w:val="both"/>
        <w:rPr>
          <w:sz w:val="24"/>
          <w:szCs w:val="24"/>
        </w:rPr>
      </w:pPr>
      <w:r w:rsidRPr="00E50302">
        <w:rPr>
          <w:sz w:val="24"/>
          <w:szCs w:val="24"/>
        </w:rPr>
        <w:t>Θα ήταν χρήσιμη η δ</w:t>
      </w:r>
      <w:r w:rsidR="003B50F3" w:rsidRPr="00E50302">
        <w:rPr>
          <w:sz w:val="24"/>
          <w:szCs w:val="24"/>
        </w:rPr>
        <w:t>ημιουργία εκπαιδευτικών κέντρων ασθενών σε νοσοκομεία</w:t>
      </w:r>
      <w:r w:rsidR="00F175B6" w:rsidRPr="00E50302">
        <w:rPr>
          <w:sz w:val="24"/>
          <w:szCs w:val="24"/>
        </w:rPr>
        <w:t>, Μονάδες Τεχνητού Νεφρού,</w:t>
      </w:r>
      <w:r w:rsidR="003B50F3" w:rsidRPr="00E50302">
        <w:rPr>
          <w:sz w:val="24"/>
          <w:szCs w:val="24"/>
        </w:rPr>
        <w:t xml:space="preserve"> μέσα ενημέρωσης και οπτικοακουστικά βοηθήματα για τη διδασκαλία όλων των ασθενών που υποβάλλονται σε αιμοκ</w:t>
      </w:r>
      <w:r w:rsidR="00F175B6" w:rsidRPr="00E50302">
        <w:rPr>
          <w:sz w:val="24"/>
          <w:szCs w:val="24"/>
        </w:rPr>
        <w:t>άθαρση</w:t>
      </w:r>
      <w:r w:rsidR="003B50F3" w:rsidRPr="00E50302">
        <w:rPr>
          <w:sz w:val="24"/>
          <w:szCs w:val="24"/>
        </w:rPr>
        <w:t>.</w:t>
      </w:r>
    </w:p>
    <w:p w:rsidR="00F175B6" w:rsidRPr="00E50302" w:rsidRDefault="00997596" w:rsidP="000B7506">
      <w:pPr>
        <w:spacing w:after="0" w:line="360" w:lineRule="auto"/>
        <w:jc w:val="both"/>
        <w:rPr>
          <w:sz w:val="24"/>
          <w:szCs w:val="24"/>
        </w:rPr>
      </w:pPr>
      <w:r w:rsidRPr="00E50302">
        <w:rPr>
          <w:sz w:val="24"/>
          <w:szCs w:val="24"/>
        </w:rPr>
        <w:t>Επίσης, η δ</w:t>
      </w:r>
      <w:r w:rsidR="006E0A0A" w:rsidRPr="00E50302">
        <w:rPr>
          <w:sz w:val="24"/>
          <w:szCs w:val="24"/>
        </w:rPr>
        <w:t>ημιουργία μιας διεπιστημονικής ομ</w:t>
      </w:r>
      <w:r w:rsidR="00F175B6" w:rsidRPr="00E50302">
        <w:rPr>
          <w:sz w:val="24"/>
          <w:szCs w:val="24"/>
        </w:rPr>
        <w:t>άδας αποτελούμενη από νοσηλ</w:t>
      </w:r>
      <w:r w:rsidR="00B27DBE" w:rsidRPr="00E50302">
        <w:rPr>
          <w:sz w:val="24"/>
          <w:szCs w:val="24"/>
        </w:rPr>
        <w:t>ευτές νεφρολογίας, νεφρολόγους,</w:t>
      </w:r>
      <w:r w:rsidR="00F175B6" w:rsidRPr="00E50302">
        <w:rPr>
          <w:sz w:val="24"/>
          <w:szCs w:val="24"/>
        </w:rPr>
        <w:t xml:space="preserve"> ψυχολόγος, κοινωνικούς λειτουργούς και διαιτολόγους</w:t>
      </w:r>
      <w:r w:rsidRPr="00E50302">
        <w:rPr>
          <w:sz w:val="24"/>
          <w:szCs w:val="24"/>
        </w:rPr>
        <w:t xml:space="preserve"> θα οδηγούσε σε καλύτερα αποτελέσματα</w:t>
      </w:r>
      <w:r w:rsidR="00F175B6" w:rsidRPr="00E50302">
        <w:rPr>
          <w:sz w:val="24"/>
          <w:szCs w:val="24"/>
        </w:rPr>
        <w:t>.</w:t>
      </w:r>
    </w:p>
    <w:p w:rsidR="00FF4386" w:rsidRPr="005A464E" w:rsidRDefault="00997596" w:rsidP="000B7506">
      <w:pPr>
        <w:spacing w:after="0" w:line="360" w:lineRule="auto"/>
        <w:jc w:val="both"/>
        <w:rPr>
          <w:sz w:val="24"/>
          <w:szCs w:val="24"/>
        </w:rPr>
      </w:pPr>
      <w:r w:rsidRPr="00E50302">
        <w:rPr>
          <w:sz w:val="24"/>
          <w:szCs w:val="24"/>
        </w:rPr>
        <w:t>Προτείν</w:t>
      </w:r>
      <w:r w:rsidR="002568DB" w:rsidRPr="00E50302">
        <w:rPr>
          <w:sz w:val="24"/>
          <w:szCs w:val="24"/>
        </w:rPr>
        <w:t>ε</w:t>
      </w:r>
      <w:r w:rsidRPr="00E50302">
        <w:rPr>
          <w:sz w:val="24"/>
          <w:szCs w:val="24"/>
        </w:rPr>
        <w:t>ται, επίσης, ο σ</w:t>
      </w:r>
      <w:r w:rsidR="003B50F3" w:rsidRPr="00E50302">
        <w:rPr>
          <w:sz w:val="24"/>
          <w:szCs w:val="24"/>
        </w:rPr>
        <w:t>χεδιασμό</w:t>
      </w:r>
      <w:r w:rsidRPr="00E50302">
        <w:rPr>
          <w:sz w:val="24"/>
          <w:szCs w:val="24"/>
        </w:rPr>
        <w:t>ς</w:t>
      </w:r>
      <w:r w:rsidR="003B50F3" w:rsidRPr="00E50302">
        <w:rPr>
          <w:sz w:val="24"/>
          <w:szCs w:val="24"/>
        </w:rPr>
        <w:t xml:space="preserve"> και εφαρμογή ένα εκπαιδευτικού </w:t>
      </w:r>
      <w:r w:rsidR="00FF4386" w:rsidRPr="00E50302">
        <w:rPr>
          <w:sz w:val="24"/>
          <w:szCs w:val="24"/>
        </w:rPr>
        <w:t>προγράμματος</w:t>
      </w:r>
      <w:r w:rsidR="003B50F3" w:rsidRPr="00E50302">
        <w:rPr>
          <w:sz w:val="24"/>
          <w:szCs w:val="24"/>
        </w:rPr>
        <w:t xml:space="preserve"> για τους νοσηλευτές </w:t>
      </w:r>
      <w:r w:rsidR="00F175B6" w:rsidRPr="00E50302">
        <w:rPr>
          <w:sz w:val="24"/>
          <w:szCs w:val="24"/>
        </w:rPr>
        <w:t>που</w:t>
      </w:r>
      <w:r w:rsidR="003B50F3" w:rsidRPr="00E50302">
        <w:rPr>
          <w:sz w:val="24"/>
          <w:szCs w:val="24"/>
        </w:rPr>
        <w:t xml:space="preserve"> παρέχουν νοσηλευτικές</w:t>
      </w:r>
      <w:r w:rsidR="003B50F3" w:rsidRPr="005A464E">
        <w:rPr>
          <w:sz w:val="24"/>
          <w:szCs w:val="24"/>
        </w:rPr>
        <w:t xml:space="preserve"> παρεμβάσεις σε ασθενείς που υποβάλλονται σε αιμοκάθαρση για να βελτιώσουν τα θέματα που σχετίζονται με την υγεία τους. </w:t>
      </w:r>
    </w:p>
    <w:p w:rsidR="003B50F3" w:rsidRPr="005A464E" w:rsidRDefault="003B50F3" w:rsidP="000B7506">
      <w:pPr>
        <w:spacing w:after="0" w:line="360" w:lineRule="auto"/>
        <w:jc w:val="both"/>
        <w:rPr>
          <w:sz w:val="24"/>
          <w:szCs w:val="24"/>
        </w:rPr>
      </w:pPr>
      <w:r w:rsidRPr="005A464E">
        <w:rPr>
          <w:sz w:val="24"/>
          <w:szCs w:val="24"/>
        </w:rPr>
        <w:t xml:space="preserve">Η εκπαίδευση και η παροχή συμβουλών πρέπει να αρχίζουν πριν από την </w:t>
      </w:r>
      <w:r w:rsidR="00476C00" w:rsidRPr="005A464E">
        <w:rPr>
          <w:sz w:val="24"/>
          <w:szCs w:val="24"/>
        </w:rPr>
        <w:t xml:space="preserve">ένταξη των ασθενών στη </w:t>
      </w:r>
      <w:r w:rsidRPr="005A464E">
        <w:rPr>
          <w:sz w:val="24"/>
          <w:szCs w:val="24"/>
        </w:rPr>
        <w:t>αιμοκάθαρση για να βοηθήσουν τους ασθενείς να εντοπίσουν τις υπάρχ</w:t>
      </w:r>
      <w:r w:rsidR="00523F61" w:rsidRPr="005A464E">
        <w:rPr>
          <w:sz w:val="24"/>
          <w:szCs w:val="24"/>
        </w:rPr>
        <w:t>ουσες στρατηγικές αντιμετώπισης.</w:t>
      </w:r>
    </w:p>
    <w:p w:rsidR="00AC41D0" w:rsidRDefault="00E65575" w:rsidP="005A464E">
      <w:pPr>
        <w:spacing w:line="360" w:lineRule="auto"/>
        <w:jc w:val="both"/>
        <w:rPr>
          <w:sz w:val="24"/>
          <w:szCs w:val="24"/>
        </w:rPr>
      </w:pPr>
      <w:r w:rsidRPr="005A464E">
        <w:rPr>
          <w:sz w:val="24"/>
          <w:szCs w:val="24"/>
        </w:rPr>
        <w:t xml:space="preserve">Περαιτέρω μελέτες θα πρέπει να διερευνούν τους παράγοντες που συμβάλλουν στη μη τήρηση του θεραπευτικού σχήματος από τους ασθενείς προκειμένου να αναπτυχθούν παρεμβάσεις για την υπέρβαση των εμποδίων. Αυτοί οι παράγοντες </w:t>
      </w:r>
      <w:r w:rsidR="009D0733" w:rsidRPr="005A464E">
        <w:rPr>
          <w:sz w:val="24"/>
          <w:szCs w:val="24"/>
        </w:rPr>
        <w:t>πιθανόν να π</w:t>
      </w:r>
      <w:r w:rsidR="00AC41D0" w:rsidRPr="005A464E">
        <w:rPr>
          <w:sz w:val="24"/>
          <w:szCs w:val="24"/>
        </w:rPr>
        <w:t>εριλαμβάνουν</w:t>
      </w:r>
      <w:r w:rsidR="00F175B6" w:rsidRPr="005A464E">
        <w:rPr>
          <w:sz w:val="24"/>
          <w:szCs w:val="24"/>
        </w:rPr>
        <w:t xml:space="preserve"> </w:t>
      </w:r>
      <w:r w:rsidRPr="005A464E">
        <w:rPr>
          <w:sz w:val="24"/>
          <w:szCs w:val="24"/>
        </w:rPr>
        <w:t>ψυχοκοινωνικούς και περιβαλλοντικούς προσδιοριστές, αλλά και τους βιολογικούς παράγοντες που επηρεάζουν την τήρηση του θεραπευτικού σχήματος.</w:t>
      </w:r>
    </w:p>
    <w:p w:rsidR="005A52AF" w:rsidRDefault="005A52AF" w:rsidP="005A464E">
      <w:pPr>
        <w:spacing w:line="360" w:lineRule="auto"/>
        <w:jc w:val="both"/>
        <w:rPr>
          <w:sz w:val="24"/>
          <w:szCs w:val="24"/>
        </w:rPr>
      </w:pPr>
    </w:p>
    <w:p w:rsidR="00997596" w:rsidRDefault="00997596" w:rsidP="00997596">
      <w:pPr>
        <w:pStyle w:val="1a"/>
        <w:spacing w:line="240" w:lineRule="auto"/>
        <w:rPr>
          <w:rFonts w:ascii="Calibri" w:eastAsia="Calibri" w:hAnsi="Calibri"/>
          <w:b w:val="0"/>
          <w:bCs w:val="0"/>
          <w:color w:val="auto"/>
          <w:sz w:val="24"/>
          <w:szCs w:val="24"/>
        </w:rPr>
      </w:pPr>
    </w:p>
    <w:p w:rsidR="00997596" w:rsidRPr="00997596" w:rsidRDefault="00997596" w:rsidP="00997596"/>
    <w:p w:rsidR="005A52AF" w:rsidRPr="00DB6A65" w:rsidRDefault="005A52AF" w:rsidP="00997596">
      <w:pPr>
        <w:pStyle w:val="1a"/>
        <w:spacing w:after="240" w:line="240" w:lineRule="auto"/>
        <w:rPr>
          <w:rFonts w:asciiTheme="minorHAnsi" w:hAnsiTheme="minorHAnsi" w:cstheme="minorHAnsi"/>
        </w:rPr>
      </w:pPr>
      <w:bookmarkStart w:id="86" w:name="_Toc495951478"/>
      <w:r w:rsidRPr="00DB6A65">
        <w:rPr>
          <w:rFonts w:asciiTheme="minorHAnsi" w:hAnsiTheme="minorHAnsi" w:cstheme="minorHAnsi"/>
        </w:rPr>
        <w:t>ΑΝΤΙ ΕΠΙΛΟΓΟΥ</w:t>
      </w:r>
      <w:bookmarkEnd w:id="86"/>
    </w:p>
    <w:p w:rsidR="005A52AF" w:rsidRDefault="005A52AF" w:rsidP="005A52AF">
      <w:pPr>
        <w:spacing w:line="360" w:lineRule="auto"/>
        <w:jc w:val="both"/>
        <w:rPr>
          <w:i/>
          <w:sz w:val="24"/>
          <w:szCs w:val="24"/>
        </w:rPr>
      </w:pPr>
      <w:r>
        <w:rPr>
          <w:i/>
          <w:sz w:val="24"/>
          <w:szCs w:val="24"/>
        </w:rPr>
        <w:t>«</w:t>
      </w:r>
      <w:r w:rsidRPr="005A52AF">
        <w:rPr>
          <w:i/>
          <w:sz w:val="24"/>
          <w:szCs w:val="24"/>
        </w:rPr>
        <w:t>Δεν υπάρχει τίποτα στον κόσμο, θα τολμήσω να πω, που θα βοηθούσε αποτελεσματικά κάποιον να επιβιώσει ακόμη και στις χειρότερες συνθήκες όσο η γνώση ότι υπάρχει ένα νόημα στη ζωή του. Υπάρχει μεγάλη σοφία στα λόγια του Νίτσε: «Αυτός που έχει ένα γιατί για να ζήσει, μπορεί να υπομείνει σχεδόν το κάθε τι» («He who has a why to live for, can bear almost any how»)</w:t>
      </w:r>
      <w:r>
        <w:rPr>
          <w:i/>
          <w:sz w:val="24"/>
          <w:szCs w:val="24"/>
        </w:rPr>
        <w:t>.</w:t>
      </w:r>
    </w:p>
    <w:p w:rsidR="005A52AF" w:rsidRDefault="005A52AF" w:rsidP="005A52AF">
      <w:pPr>
        <w:spacing w:line="360" w:lineRule="auto"/>
        <w:jc w:val="both"/>
        <w:rPr>
          <w:i/>
          <w:sz w:val="24"/>
          <w:szCs w:val="24"/>
        </w:rPr>
      </w:pPr>
      <w:r>
        <w:rPr>
          <w:i/>
          <w:sz w:val="24"/>
          <w:szCs w:val="24"/>
        </w:rPr>
        <w:t>«</w:t>
      </w:r>
      <w:r w:rsidRPr="005A52AF">
        <w:rPr>
          <w:i/>
          <w:sz w:val="24"/>
          <w:szCs w:val="24"/>
        </w:rPr>
        <w:t>Δυνάμεις πέρα από τον έλεγχο σου μπορούν να σου πάρουν όλα όσα έχεις, εκτός από ένα, την ελευθερία σου να επιλέξεις πως θα αντιδράσεις στην κατάσταση. Δεν μπορείς πάντα να ελέγχεις τι συμβαίνει στη ζωή σου, αλλά πάντα μπορείς να ελέγχεις τι θα αισθανθείς και τι θα κάνεις σχετικά με αυτό που σου συμβαίνει. Έτσι ποτέ δεν μένουμε δίχως τίποτα εφόσον διατηρούμε την ελευθερία να επιλέξουμε πως θα αντιδράσουμε»</w:t>
      </w:r>
      <w:r>
        <w:rPr>
          <w:i/>
          <w:sz w:val="24"/>
          <w:szCs w:val="24"/>
        </w:rPr>
        <w:t>.</w:t>
      </w:r>
    </w:p>
    <w:p w:rsidR="005A52AF" w:rsidRDefault="005A52AF" w:rsidP="005A52AF">
      <w:pPr>
        <w:spacing w:line="360" w:lineRule="auto"/>
        <w:jc w:val="both"/>
        <w:rPr>
          <w:i/>
          <w:sz w:val="24"/>
          <w:szCs w:val="24"/>
        </w:rPr>
      </w:pPr>
    </w:p>
    <w:p w:rsidR="005A52AF" w:rsidRPr="005A52AF" w:rsidRDefault="005A52AF" w:rsidP="005A52AF">
      <w:pPr>
        <w:spacing w:line="360" w:lineRule="auto"/>
        <w:jc w:val="right"/>
        <w:rPr>
          <w:i/>
          <w:sz w:val="24"/>
          <w:szCs w:val="24"/>
        </w:rPr>
      </w:pPr>
      <w:r>
        <w:rPr>
          <w:i/>
          <w:sz w:val="24"/>
          <w:szCs w:val="24"/>
        </w:rPr>
        <w:t xml:space="preserve"> </w:t>
      </w:r>
      <w:r w:rsidRPr="005A52AF">
        <w:rPr>
          <w:i/>
          <w:sz w:val="24"/>
          <w:szCs w:val="24"/>
        </w:rPr>
        <w:t>Βίκτωρ Φρανκλ, «Το νόημα της Ζωής»</w:t>
      </w:r>
    </w:p>
    <w:p w:rsidR="00997596" w:rsidRDefault="00997596" w:rsidP="0066526D">
      <w:pPr>
        <w:pStyle w:val="1a"/>
        <w:spacing w:after="240"/>
        <w:rPr>
          <w:lang w:eastAsia="el-GR"/>
        </w:rPr>
      </w:pPr>
    </w:p>
    <w:p w:rsidR="00997596" w:rsidRDefault="00997596" w:rsidP="00997596">
      <w:pPr>
        <w:rPr>
          <w:lang w:eastAsia="el-GR"/>
        </w:rPr>
      </w:pPr>
    </w:p>
    <w:p w:rsidR="00997596" w:rsidRDefault="00997596" w:rsidP="00997596">
      <w:pPr>
        <w:rPr>
          <w:lang w:eastAsia="el-GR"/>
        </w:rPr>
      </w:pPr>
    </w:p>
    <w:p w:rsidR="00997596" w:rsidRDefault="00997596" w:rsidP="00997596">
      <w:pPr>
        <w:rPr>
          <w:lang w:eastAsia="el-GR"/>
        </w:rPr>
      </w:pPr>
    </w:p>
    <w:p w:rsidR="00997596" w:rsidRDefault="00997596" w:rsidP="00997596">
      <w:pPr>
        <w:rPr>
          <w:lang w:eastAsia="el-GR"/>
        </w:rPr>
      </w:pPr>
    </w:p>
    <w:p w:rsidR="00997596" w:rsidRDefault="00997596" w:rsidP="00997596">
      <w:pPr>
        <w:rPr>
          <w:lang w:eastAsia="el-GR"/>
        </w:rPr>
      </w:pPr>
    </w:p>
    <w:p w:rsidR="00997596" w:rsidRDefault="00997596" w:rsidP="00997596">
      <w:pPr>
        <w:rPr>
          <w:lang w:eastAsia="el-GR"/>
        </w:rPr>
      </w:pPr>
    </w:p>
    <w:p w:rsidR="00997596" w:rsidRDefault="00997596" w:rsidP="00997596">
      <w:pPr>
        <w:rPr>
          <w:lang w:eastAsia="el-GR"/>
        </w:rPr>
      </w:pPr>
    </w:p>
    <w:p w:rsidR="00997596" w:rsidRDefault="00997596" w:rsidP="00997596">
      <w:pPr>
        <w:rPr>
          <w:lang w:eastAsia="el-GR"/>
        </w:rPr>
      </w:pPr>
    </w:p>
    <w:p w:rsidR="005F5344" w:rsidRDefault="005F5344" w:rsidP="00997596">
      <w:pPr>
        <w:rPr>
          <w:lang w:eastAsia="el-GR"/>
        </w:rPr>
      </w:pPr>
    </w:p>
    <w:p w:rsidR="005F5344" w:rsidRPr="00997596" w:rsidRDefault="005F5344" w:rsidP="00997596">
      <w:pPr>
        <w:rPr>
          <w:lang w:eastAsia="el-GR"/>
        </w:rPr>
      </w:pPr>
    </w:p>
    <w:p w:rsidR="007A51AB" w:rsidRPr="00DB6A65" w:rsidRDefault="003C410F" w:rsidP="0066526D">
      <w:pPr>
        <w:pStyle w:val="1a"/>
        <w:spacing w:after="240"/>
        <w:rPr>
          <w:rFonts w:asciiTheme="minorHAnsi" w:hAnsiTheme="minorHAnsi" w:cstheme="minorHAnsi"/>
          <w:lang w:val="en-US"/>
        </w:rPr>
      </w:pPr>
      <w:bookmarkStart w:id="87" w:name="_Toc495951479"/>
      <w:r w:rsidRPr="00DB6A65">
        <w:rPr>
          <w:rFonts w:asciiTheme="minorHAnsi" w:hAnsiTheme="minorHAnsi" w:cstheme="minorHAnsi"/>
          <w:lang w:eastAsia="el-GR"/>
        </w:rPr>
        <w:t>ΒΙΒΛΙΟΓΡΑΦΙ</w:t>
      </w:r>
      <w:r w:rsidR="0066526D" w:rsidRPr="00DB6A65">
        <w:rPr>
          <w:rFonts w:asciiTheme="minorHAnsi" w:hAnsiTheme="minorHAnsi" w:cstheme="minorHAnsi"/>
          <w:lang w:eastAsia="el-GR"/>
        </w:rPr>
        <w:t>ΚΕΣ</w:t>
      </w:r>
      <w:r w:rsidR="0066526D" w:rsidRPr="00DB6A65">
        <w:rPr>
          <w:rFonts w:asciiTheme="minorHAnsi" w:hAnsiTheme="minorHAnsi" w:cstheme="minorHAnsi"/>
          <w:lang w:val="en-US" w:eastAsia="el-GR"/>
        </w:rPr>
        <w:t xml:space="preserve"> </w:t>
      </w:r>
      <w:r w:rsidR="0066526D" w:rsidRPr="00DB6A65">
        <w:rPr>
          <w:rFonts w:asciiTheme="minorHAnsi" w:hAnsiTheme="minorHAnsi" w:cstheme="minorHAnsi"/>
          <w:lang w:eastAsia="el-GR"/>
        </w:rPr>
        <w:t>ΠΗΓΕΣ</w:t>
      </w:r>
      <w:bookmarkEnd w:id="87"/>
    </w:p>
    <w:p w:rsidR="0020380A" w:rsidRPr="005A464E" w:rsidRDefault="007A51AB"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Abraham</w:t>
      </w:r>
      <w:r w:rsidRPr="006269EC">
        <w:rPr>
          <w:rFonts w:asciiTheme="minorHAnsi" w:hAnsiTheme="minorHAnsi" w:cstheme="minorHAnsi"/>
          <w:lang w:val="en-US"/>
        </w:rPr>
        <w:t xml:space="preserve">, </w:t>
      </w:r>
      <w:r w:rsidRPr="005A464E">
        <w:rPr>
          <w:rFonts w:asciiTheme="minorHAnsi" w:hAnsiTheme="minorHAnsi" w:cstheme="minorHAnsi"/>
          <w:lang w:val="en-US"/>
        </w:rPr>
        <w:t>S</w:t>
      </w:r>
      <w:r w:rsidRPr="006269EC">
        <w:rPr>
          <w:rFonts w:asciiTheme="minorHAnsi" w:hAnsiTheme="minorHAnsi" w:cstheme="minorHAnsi"/>
          <w:lang w:val="en-US"/>
        </w:rPr>
        <w:t xml:space="preserve">., </w:t>
      </w:r>
      <w:r w:rsidRPr="005A464E">
        <w:rPr>
          <w:rFonts w:asciiTheme="minorHAnsi" w:hAnsiTheme="minorHAnsi" w:cstheme="minorHAnsi"/>
          <w:lang w:val="en-US"/>
        </w:rPr>
        <w:t>Venu</w:t>
      </w:r>
      <w:r w:rsidRPr="006269EC">
        <w:rPr>
          <w:rFonts w:asciiTheme="minorHAnsi" w:hAnsiTheme="minorHAnsi" w:cstheme="minorHAnsi"/>
          <w:lang w:val="en-US"/>
        </w:rPr>
        <w:t xml:space="preserve">, </w:t>
      </w:r>
      <w:r w:rsidRPr="005A464E">
        <w:rPr>
          <w:rFonts w:asciiTheme="minorHAnsi" w:hAnsiTheme="minorHAnsi" w:cstheme="minorHAnsi"/>
          <w:lang w:val="en-US"/>
        </w:rPr>
        <w:t>A</w:t>
      </w:r>
      <w:r w:rsidRPr="006269EC">
        <w:rPr>
          <w:rFonts w:asciiTheme="minorHAnsi" w:hAnsiTheme="minorHAnsi" w:cstheme="minorHAnsi"/>
          <w:lang w:val="en-US"/>
        </w:rPr>
        <w:t xml:space="preserve">., </w:t>
      </w:r>
      <w:r w:rsidRPr="005A464E">
        <w:rPr>
          <w:rFonts w:asciiTheme="minorHAnsi" w:hAnsiTheme="minorHAnsi" w:cstheme="minorHAnsi"/>
          <w:lang w:val="en-US"/>
        </w:rPr>
        <w:t>Ramachandran</w:t>
      </w:r>
      <w:r w:rsidRPr="006269EC">
        <w:rPr>
          <w:rFonts w:asciiTheme="minorHAnsi" w:hAnsiTheme="minorHAnsi" w:cstheme="minorHAnsi"/>
          <w:lang w:val="en-US"/>
        </w:rPr>
        <w:t xml:space="preserve">, </w:t>
      </w:r>
      <w:r w:rsidRPr="005A464E">
        <w:rPr>
          <w:rFonts w:asciiTheme="minorHAnsi" w:hAnsiTheme="minorHAnsi" w:cstheme="minorHAnsi"/>
          <w:lang w:val="en-US"/>
        </w:rPr>
        <w:t>A</w:t>
      </w:r>
      <w:r w:rsidRPr="006269EC">
        <w:rPr>
          <w:rFonts w:asciiTheme="minorHAnsi" w:hAnsiTheme="minorHAnsi" w:cstheme="minorHAnsi"/>
          <w:lang w:val="en-US"/>
        </w:rPr>
        <w:t xml:space="preserve">., </w:t>
      </w:r>
      <w:r w:rsidRPr="005A464E">
        <w:rPr>
          <w:rFonts w:asciiTheme="minorHAnsi" w:hAnsiTheme="minorHAnsi" w:cstheme="minorHAnsi"/>
          <w:lang w:val="en-US"/>
        </w:rPr>
        <w:t>Chandran</w:t>
      </w:r>
      <w:r w:rsidRPr="006269EC">
        <w:rPr>
          <w:rFonts w:asciiTheme="minorHAnsi" w:hAnsiTheme="minorHAnsi" w:cstheme="minorHAnsi"/>
          <w:lang w:val="en-US"/>
        </w:rPr>
        <w:t xml:space="preserve">, </w:t>
      </w:r>
      <w:r w:rsidRPr="005A464E">
        <w:rPr>
          <w:rFonts w:asciiTheme="minorHAnsi" w:hAnsiTheme="minorHAnsi" w:cstheme="minorHAnsi"/>
          <w:lang w:val="en-US"/>
        </w:rPr>
        <w:t>P</w:t>
      </w:r>
      <w:r w:rsidRPr="006269EC">
        <w:rPr>
          <w:rFonts w:asciiTheme="minorHAnsi" w:hAnsiTheme="minorHAnsi" w:cstheme="minorHAnsi"/>
          <w:lang w:val="en-US"/>
        </w:rPr>
        <w:t>.</w:t>
      </w:r>
      <w:r w:rsidRPr="005A464E">
        <w:rPr>
          <w:rFonts w:asciiTheme="minorHAnsi" w:hAnsiTheme="minorHAnsi" w:cstheme="minorHAnsi"/>
          <w:lang w:val="en-US"/>
        </w:rPr>
        <w:t>M</w:t>
      </w:r>
      <w:r w:rsidRPr="006269EC">
        <w:rPr>
          <w:rFonts w:asciiTheme="minorHAnsi" w:hAnsiTheme="minorHAnsi" w:cstheme="minorHAnsi"/>
          <w:lang w:val="en-US"/>
        </w:rPr>
        <w:t xml:space="preserve">., </w:t>
      </w:r>
      <w:r w:rsidR="00A9792B" w:rsidRPr="006269EC">
        <w:rPr>
          <w:rFonts w:asciiTheme="minorHAnsi" w:hAnsiTheme="minorHAnsi" w:cstheme="minorHAnsi"/>
          <w:lang w:val="en-US"/>
        </w:rPr>
        <w:t xml:space="preserve">&amp; </w:t>
      </w:r>
      <w:r w:rsidRPr="005A464E">
        <w:rPr>
          <w:rFonts w:asciiTheme="minorHAnsi" w:hAnsiTheme="minorHAnsi" w:cstheme="minorHAnsi"/>
          <w:lang w:val="en-US"/>
        </w:rPr>
        <w:t>Raman</w:t>
      </w:r>
      <w:r w:rsidRPr="006269EC">
        <w:rPr>
          <w:rFonts w:asciiTheme="minorHAnsi" w:hAnsiTheme="minorHAnsi" w:cstheme="minorHAnsi"/>
          <w:lang w:val="en-US"/>
        </w:rPr>
        <w:t xml:space="preserve">, </w:t>
      </w:r>
      <w:r w:rsidRPr="005A464E">
        <w:rPr>
          <w:rFonts w:asciiTheme="minorHAnsi" w:hAnsiTheme="minorHAnsi" w:cstheme="minorHAnsi"/>
          <w:lang w:val="en-US"/>
        </w:rPr>
        <w:t>S</w:t>
      </w:r>
      <w:r w:rsidRPr="006269EC">
        <w:rPr>
          <w:rFonts w:asciiTheme="minorHAnsi" w:hAnsiTheme="minorHAnsi" w:cstheme="minorHAnsi"/>
          <w:lang w:val="en-US"/>
        </w:rPr>
        <w:t xml:space="preserve">. (2012). </w:t>
      </w:r>
      <w:r w:rsidRPr="005A464E">
        <w:rPr>
          <w:rFonts w:asciiTheme="minorHAnsi" w:hAnsiTheme="minorHAnsi" w:cstheme="minorHAnsi"/>
          <w:lang w:val="en-US"/>
        </w:rPr>
        <w:t xml:space="preserve">Assessment of quality of life in patients on hemodialysis and the impact of counseling. </w:t>
      </w:r>
      <w:r w:rsidRPr="005A464E">
        <w:rPr>
          <w:rFonts w:asciiTheme="minorHAnsi" w:hAnsiTheme="minorHAnsi" w:cstheme="minorHAnsi"/>
          <w:i/>
          <w:lang w:val="en-US"/>
        </w:rPr>
        <w:t>Saudi Journal of Kidney Disease &amp; Transplantation,</w:t>
      </w:r>
      <w:r w:rsidRPr="005A464E">
        <w:rPr>
          <w:rFonts w:asciiTheme="minorHAnsi" w:hAnsiTheme="minorHAnsi" w:cstheme="minorHAnsi"/>
          <w:lang w:val="en-US"/>
        </w:rPr>
        <w:t xml:space="preserve"> </w:t>
      </w:r>
      <w:r w:rsidRPr="009148A2">
        <w:rPr>
          <w:rFonts w:asciiTheme="minorHAnsi" w:hAnsiTheme="minorHAnsi" w:cstheme="minorHAnsi"/>
          <w:i/>
          <w:lang w:val="en-US"/>
        </w:rPr>
        <w:t>23</w:t>
      </w:r>
      <w:r w:rsidRPr="005A464E">
        <w:rPr>
          <w:rFonts w:asciiTheme="minorHAnsi" w:hAnsiTheme="minorHAnsi" w:cstheme="minorHAnsi"/>
          <w:lang w:val="en-US"/>
        </w:rPr>
        <w:t>,</w:t>
      </w:r>
      <w:r w:rsidR="009148A2">
        <w:rPr>
          <w:rFonts w:asciiTheme="minorHAnsi" w:hAnsiTheme="minorHAnsi" w:cstheme="minorHAnsi"/>
          <w:lang w:val="en-US"/>
        </w:rPr>
        <w:t xml:space="preserve"> </w:t>
      </w:r>
      <w:r w:rsidRPr="005A464E">
        <w:rPr>
          <w:rFonts w:asciiTheme="minorHAnsi" w:hAnsiTheme="minorHAnsi" w:cstheme="minorHAnsi"/>
          <w:lang w:val="en-US"/>
        </w:rPr>
        <w:t xml:space="preserve">953-977. </w:t>
      </w:r>
      <w:r w:rsidR="00292B29" w:rsidRPr="005A464E">
        <w:rPr>
          <w:rFonts w:asciiTheme="minorHAnsi" w:hAnsiTheme="minorHAnsi" w:cstheme="minorHAnsi"/>
          <w:lang w:val="en-US"/>
        </w:rPr>
        <w:t>DOI</w:t>
      </w:r>
      <w:r w:rsidRPr="005A464E">
        <w:rPr>
          <w:rFonts w:asciiTheme="minorHAnsi" w:hAnsiTheme="minorHAnsi" w:cstheme="minorHAnsi"/>
          <w:lang w:val="en-US"/>
        </w:rPr>
        <w:t>: 10.4103/1319-2442.100875.</w:t>
      </w:r>
    </w:p>
    <w:p w:rsidR="0020380A" w:rsidRPr="005A464E" w:rsidRDefault="0020380A" w:rsidP="005A464E">
      <w:pPr>
        <w:pStyle w:val="Web"/>
        <w:spacing w:after="166" w:line="360" w:lineRule="auto"/>
        <w:ind w:left="415" w:hanging="415"/>
        <w:jc w:val="both"/>
        <w:rPr>
          <w:rFonts w:asciiTheme="minorHAnsi" w:hAnsiTheme="minorHAnsi" w:cstheme="minorHAnsi"/>
          <w:spacing w:val="3"/>
          <w:shd w:val="clear" w:color="auto" w:fill="FCFCFC"/>
          <w:lang w:val="en-US"/>
        </w:rPr>
      </w:pPr>
      <w:r w:rsidRPr="005A464E">
        <w:rPr>
          <w:rFonts w:asciiTheme="minorHAnsi" w:hAnsiTheme="minorHAnsi" w:cstheme="minorHAnsi"/>
          <w:lang w:val="en-US"/>
        </w:rPr>
        <w:t xml:space="preserve">Acaray, A. &amp; Pinar, R. (2005). Quality of life in Turkish haemodialysis patients. </w:t>
      </w:r>
      <w:r w:rsidRPr="005A464E">
        <w:rPr>
          <w:rFonts w:asciiTheme="minorHAnsi" w:hAnsiTheme="minorHAnsi" w:cstheme="minorHAnsi"/>
          <w:i/>
          <w:iCs/>
          <w:lang w:val="en-US"/>
        </w:rPr>
        <w:t>International Urology and Nephrology Journal</w:t>
      </w:r>
      <w:r w:rsidRPr="005A464E">
        <w:rPr>
          <w:rFonts w:asciiTheme="minorHAnsi" w:hAnsiTheme="minorHAnsi" w:cstheme="minorHAnsi"/>
          <w:iCs/>
          <w:lang w:val="en-US"/>
        </w:rPr>
        <w:t>, 37</w:t>
      </w:r>
      <w:r w:rsidRPr="005A464E">
        <w:rPr>
          <w:rFonts w:asciiTheme="minorHAnsi" w:hAnsiTheme="minorHAnsi" w:cstheme="minorHAnsi"/>
          <w:lang w:val="en-US"/>
        </w:rPr>
        <w:t>, 595-602.</w:t>
      </w:r>
      <w:r w:rsidRPr="005A464E">
        <w:rPr>
          <w:rFonts w:asciiTheme="minorHAnsi" w:hAnsiTheme="minorHAnsi" w:cstheme="minorHAnsi"/>
          <w:spacing w:val="3"/>
          <w:shd w:val="clear" w:color="auto" w:fill="FCFCFC"/>
          <w:lang w:val="en-US"/>
        </w:rPr>
        <w:t xml:space="preserve"> </w:t>
      </w:r>
      <w:r w:rsidR="00292B29" w:rsidRPr="005A464E">
        <w:rPr>
          <w:rFonts w:asciiTheme="minorHAnsi" w:hAnsiTheme="minorHAnsi" w:cstheme="minorHAnsi"/>
          <w:spacing w:val="3"/>
          <w:shd w:val="clear" w:color="auto" w:fill="FCFCFC"/>
          <w:lang w:val="en-US"/>
        </w:rPr>
        <w:t>DOI</w:t>
      </w:r>
      <w:r w:rsidRPr="005A464E">
        <w:rPr>
          <w:rFonts w:asciiTheme="minorHAnsi" w:hAnsiTheme="minorHAnsi" w:cstheme="minorHAnsi"/>
          <w:spacing w:val="3"/>
          <w:shd w:val="clear" w:color="auto" w:fill="FCFCFC"/>
          <w:lang w:val="en-US"/>
        </w:rPr>
        <w:t>:10.1007/s11255-005-0397-8</w:t>
      </w:r>
      <w:r w:rsidR="00A9792B" w:rsidRPr="005A464E">
        <w:rPr>
          <w:rFonts w:asciiTheme="minorHAnsi" w:hAnsiTheme="minorHAnsi" w:cstheme="minorHAnsi"/>
          <w:spacing w:val="3"/>
          <w:shd w:val="clear" w:color="auto" w:fill="FCFCFC"/>
          <w:lang w:val="en-US"/>
        </w:rPr>
        <w:t>.</w:t>
      </w:r>
    </w:p>
    <w:p w:rsidR="0020380A" w:rsidRPr="005A464E" w:rsidRDefault="0020380A" w:rsidP="005A464E">
      <w:pPr>
        <w:pStyle w:val="Web"/>
        <w:spacing w:after="166" w:line="360" w:lineRule="auto"/>
        <w:ind w:left="415" w:hanging="415"/>
        <w:jc w:val="both"/>
        <w:rPr>
          <w:rFonts w:asciiTheme="minorHAnsi" w:hAnsiTheme="minorHAnsi" w:cstheme="minorHAnsi"/>
          <w:lang w:val="en-US"/>
        </w:rPr>
      </w:pPr>
      <w:r w:rsidRPr="005A464E">
        <w:rPr>
          <w:rStyle w:val="af1"/>
          <w:rFonts w:asciiTheme="minorHAnsi" w:hAnsiTheme="minorHAnsi" w:cs="Arial"/>
          <w:i w:val="0"/>
          <w:lang w:val="en-US"/>
        </w:rPr>
        <w:t xml:space="preserve">Akkuzu, G., Kurt, G., Guvenc, G., Kok., G, Simsek, S., Dogrusoy, S, </w:t>
      </w:r>
      <w:r w:rsidR="00A9792B" w:rsidRPr="005A464E">
        <w:rPr>
          <w:rStyle w:val="af1"/>
          <w:rFonts w:asciiTheme="minorHAnsi" w:hAnsiTheme="minorHAnsi" w:cs="Arial"/>
          <w:i w:val="0"/>
          <w:lang w:val="en-US"/>
        </w:rPr>
        <w:t xml:space="preserve">&amp; </w:t>
      </w:r>
      <w:r w:rsidRPr="005A464E">
        <w:rPr>
          <w:rStyle w:val="af1"/>
          <w:rFonts w:asciiTheme="minorHAnsi" w:hAnsiTheme="minorHAnsi" w:cs="Arial"/>
          <w:i w:val="0"/>
          <w:lang w:val="en-US"/>
        </w:rPr>
        <w:t>Ayhan, A. (2016).</w:t>
      </w:r>
      <w:r w:rsidR="0078495A">
        <w:rPr>
          <w:rStyle w:val="af1"/>
          <w:rFonts w:asciiTheme="minorHAnsi" w:hAnsiTheme="minorHAnsi" w:cs="Arial"/>
          <w:i w:val="0"/>
          <w:lang w:val="en-US"/>
        </w:rPr>
        <w:t xml:space="preserve"> </w:t>
      </w:r>
      <w:r w:rsidRPr="005A464E">
        <w:rPr>
          <w:rFonts w:asciiTheme="minorHAnsi" w:hAnsiTheme="minorHAnsi" w:cs="Arial"/>
          <w:color w:val="000000"/>
          <w:lang w:val="en-US"/>
        </w:rPr>
        <w:t xml:space="preserve">Learning </w:t>
      </w:r>
      <w:r w:rsidR="00A9792B" w:rsidRPr="005A464E">
        <w:rPr>
          <w:rFonts w:asciiTheme="minorHAnsi" w:hAnsiTheme="minorHAnsi" w:cs="Arial"/>
          <w:color w:val="000000"/>
          <w:lang w:val="en-US"/>
        </w:rPr>
        <w:t>needs of gynecologic cancer survivors</w:t>
      </w:r>
      <w:r w:rsidRPr="005A464E">
        <w:rPr>
          <w:rFonts w:asciiTheme="minorHAnsi" w:hAnsiTheme="minorHAnsi" w:cs="Arial"/>
          <w:color w:val="000000"/>
          <w:lang w:val="en-US"/>
        </w:rPr>
        <w:t xml:space="preserve">. </w:t>
      </w:r>
      <w:r w:rsidRPr="005A464E">
        <w:rPr>
          <w:rStyle w:val="af1"/>
          <w:rFonts w:asciiTheme="minorHAnsi" w:hAnsiTheme="minorHAnsi" w:cs="Arial"/>
          <w:lang w:val="en-US"/>
        </w:rPr>
        <w:t xml:space="preserve">Journal of Cancer Education, </w:t>
      </w:r>
      <w:r w:rsidR="00292B29" w:rsidRPr="005A464E">
        <w:rPr>
          <w:rFonts w:asciiTheme="minorHAnsi" w:hAnsiTheme="minorHAnsi" w:cs="Arial"/>
          <w:lang w:val="en-US"/>
        </w:rPr>
        <w:t>DOI</w:t>
      </w:r>
      <w:r w:rsidRPr="005A464E">
        <w:rPr>
          <w:rFonts w:asciiTheme="minorHAnsi" w:hAnsiTheme="minorHAnsi" w:cs="Arial"/>
          <w:lang w:val="en-US"/>
        </w:rPr>
        <w:t>:</w:t>
      </w:r>
      <w:hyperlink r:id="rId88" w:history="1">
        <w:r w:rsidRPr="005A464E">
          <w:rPr>
            <w:rStyle w:val="-"/>
            <w:rFonts w:asciiTheme="minorHAnsi" w:hAnsiTheme="minorHAnsi" w:cs="Arial"/>
            <w:color w:val="auto"/>
            <w:u w:val="none"/>
            <w:lang w:val="en-US"/>
          </w:rPr>
          <w:t>10.1007/s13187-016-1118-y</w:t>
        </w:r>
      </w:hyperlink>
      <w:r w:rsidR="00A9792B"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Achieng, L., Musangi, H., Billingsley, K., Onguit, S</w:t>
      </w:r>
      <w:r w:rsidR="00A9792B" w:rsidRPr="005A464E">
        <w:rPr>
          <w:rFonts w:asciiTheme="minorHAnsi" w:eastAsia="Times New Roman" w:hAnsiTheme="minorHAnsi" w:cstheme="minorHAnsi"/>
          <w:lang w:val="en-US" w:eastAsia="el-GR"/>
        </w:rPr>
        <w:t xml:space="preserve">., Ombegoh, E., Bryant, </w:t>
      </w:r>
      <w:r w:rsidR="00A9792B" w:rsidRPr="00D051B9">
        <w:rPr>
          <w:rFonts w:asciiTheme="minorHAnsi" w:eastAsia="Times New Roman" w:hAnsiTheme="minorHAnsi" w:cstheme="minorHAnsi"/>
          <w:lang w:val="en-US" w:eastAsia="el-GR"/>
        </w:rPr>
        <w:t xml:space="preserve">L., </w:t>
      </w:r>
      <w:r w:rsidR="00D051B9" w:rsidRPr="00D051B9">
        <w:rPr>
          <w:rFonts w:asciiTheme="minorHAnsi" w:hAnsiTheme="minorHAnsi"/>
          <w:lang w:val="en-US"/>
        </w:rPr>
        <w:t>… &amp;</w:t>
      </w:r>
      <w:r w:rsidR="00D051B9">
        <w:rPr>
          <w:lang w:val="en-US"/>
        </w:rPr>
        <w:t xml:space="preserve"> </w:t>
      </w:r>
      <w:hyperlink r:id="rId89" w:history="1">
        <w:r w:rsidR="00A9792B" w:rsidRPr="005A464E">
          <w:rPr>
            <w:rStyle w:val="-"/>
            <w:rFonts w:asciiTheme="minorHAnsi" w:hAnsiTheme="minorHAnsi" w:cs="Arial"/>
            <w:color w:val="auto"/>
            <w:u w:val="none"/>
            <w:shd w:val="clear" w:color="auto" w:fill="FFFFFF"/>
            <w:lang w:val="en-US"/>
          </w:rPr>
          <w:t>Keiser, P</w:t>
        </w:r>
      </w:hyperlink>
      <w:r w:rsidR="00A9792B" w:rsidRPr="005A464E">
        <w:rPr>
          <w:rFonts w:asciiTheme="minorHAnsi" w:hAnsiTheme="minorHAnsi" w:cs="Arial"/>
          <w:shd w:val="clear" w:color="auto" w:fill="FFFFFF"/>
          <w:lang w:val="en-US"/>
        </w:rPr>
        <w:t>.</w:t>
      </w:r>
      <w:r w:rsidRPr="005A464E">
        <w:rPr>
          <w:rFonts w:asciiTheme="minorHAnsi" w:eastAsia="Times New Roman" w:hAnsiTheme="minorHAnsi" w:cstheme="minorHAnsi"/>
          <w:lang w:val="en-US" w:eastAsia="el-GR"/>
        </w:rPr>
        <w:t xml:space="preserve"> (2013). The use of pill counts as a facilitator of adherence with antiretroviral therapy in resource limited settings. </w:t>
      </w:r>
      <w:r w:rsidRPr="005A464E">
        <w:rPr>
          <w:rFonts w:asciiTheme="minorHAnsi" w:eastAsia="Times New Roman" w:hAnsiTheme="minorHAnsi" w:cstheme="minorHAnsi"/>
          <w:i/>
          <w:lang w:val="en-US" w:eastAsia="el-GR"/>
        </w:rPr>
        <w:t>PLoS ONE</w:t>
      </w:r>
      <w:r w:rsidR="009148A2">
        <w:rPr>
          <w:rFonts w:asciiTheme="minorHAnsi" w:eastAsia="Times New Roman" w:hAnsiTheme="minorHAnsi" w:cstheme="minorHAnsi"/>
          <w:lang w:val="en-US" w:eastAsia="el-GR"/>
        </w:rPr>
        <w:t xml:space="preserve">, </w:t>
      </w:r>
      <w:r w:rsidR="009148A2" w:rsidRPr="009148A2">
        <w:rPr>
          <w:rFonts w:asciiTheme="minorHAnsi" w:eastAsia="Times New Roman" w:hAnsiTheme="minorHAnsi" w:cstheme="minorHAnsi"/>
          <w:i/>
          <w:lang w:val="en-US" w:eastAsia="el-GR"/>
        </w:rPr>
        <w:t>8</w:t>
      </w:r>
      <w:r w:rsidRPr="005A464E">
        <w:rPr>
          <w:rFonts w:asciiTheme="minorHAnsi" w:eastAsia="Times New Roman" w:hAnsiTheme="minorHAnsi" w:cstheme="minorHAnsi"/>
          <w:lang w:val="en-US" w:eastAsia="el-GR"/>
        </w:rPr>
        <w:t xml:space="preserve">, e67259.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 10.1371/journal.pone.0067259</w:t>
      </w:r>
      <w:r w:rsidR="00A9792B" w:rsidRPr="005A464E">
        <w:rPr>
          <w:rFonts w:asciiTheme="minorHAnsi" w:hAnsiTheme="minorHAnsi" w:cstheme="minorHAnsi"/>
          <w:shd w:val="clear" w:color="auto" w:fill="FFFFFF"/>
          <w:lang w:val="en-US"/>
        </w:rPr>
        <w:t>.</w:t>
      </w:r>
    </w:p>
    <w:p w:rsidR="003C410F" w:rsidRPr="005A464E" w:rsidRDefault="00A9792B"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Aday, L.</w:t>
      </w:r>
      <w:r w:rsidR="003C410F" w:rsidRPr="005A464E">
        <w:rPr>
          <w:rFonts w:asciiTheme="minorHAnsi" w:eastAsia="Times New Roman" w:hAnsiTheme="minorHAnsi" w:cstheme="minorHAnsi"/>
          <w:lang w:val="en-US" w:eastAsia="el-GR"/>
        </w:rPr>
        <w:t xml:space="preserve"> (2001). </w:t>
      </w:r>
      <w:r w:rsidR="003C410F" w:rsidRPr="005A464E">
        <w:rPr>
          <w:rFonts w:asciiTheme="minorHAnsi" w:eastAsia="Times New Roman" w:hAnsiTheme="minorHAnsi" w:cstheme="minorHAnsi"/>
          <w:i/>
          <w:lang w:val="en-US" w:eastAsia="el-GR"/>
        </w:rPr>
        <w:t>At risk in America: The health and health care needs of vulnerable populations in the United States</w:t>
      </w:r>
      <w:r w:rsidR="003C410F" w:rsidRPr="005A464E">
        <w:rPr>
          <w:rFonts w:asciiTheme="minorHAnsi" w:eastAsia="Times New Roman" w:hAnsiTheme="minorHAnsi" w:cstheme="minorHAnsi"/>
          <w:lang w:val="en-US" w:eastAsia="el-GR"/>
        </w:rPr>
        <w:t>,</w:t>
      </w:r>
      <w:r w:rsidR="0078495A">
        <w:rPr>
          <w:rFonts w:asciiTheme="minorHAnsi" w:eastAsia="Times New Roman" w:hAnsiTheme="minorHAnsi" w:cstheme="minorHAnsi"/>
          <w:lang w:val="en-US" w:eastAsia="el-GR"/>
        </w:rPr>
        <w:t xml:space="preserve"> </w:t>
      </w:r>
      <w:r w:rsidR="003C410F" w:rsidRPr="005A464E">
        <w:rPr>
          <w:rFonts w:asciiTheme="minorHAnsi" w:eastAsia="Times New Roman" w:hAnsiTheme="minorHAnsi" w:cstheme="minorHAnsi"/>
          <w:lang w:val="en-US" w:eastAsia="el-GR"/>
        </w:rPr>
        <w:t>2nd Edition. San Francisco: Jossey-Bass</w:t>
      </w:r>
      <w:r w:rsidRPr="005A464E">
        <w:rPr>
          <w:rFonts w:asciiTheme="minorHAnsi" w:eastAsia="Times New Roman" w:hAnsiTheme="minorHAnsi" w:cstheme="minorHAnsi"/>
          <w:lang w:val="en-US" w:eastAsia="el-GR"/>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hAnsiTheme="minorHAnsi" w:cstheme="minorHAnsi"/>
          <w:lang w:val="en-US"/>
        </w:rPr>
        <w:t xml:space="preserve">Afifi, A., El-Sayed, H., El-Setouhi, M., Ahmed, H. &amp; Khalifa, N.(2005). Hyperphosphatemia among end-stage renal disease patients in developing countries: a forgotten issue? </w:t>
      </w:r>
      <w:r w:rsidRPr="005A464E">
        <w:rPr>
          <w:rFonts w:asciiTheme="minorHAnsi" w:hAnsiTheme="minorHAnsi" w:cstheme="minorHAnsi"/>
          <w:i/>
          <w:lang w:val="en-US"/>
        </w:rPr>
        <w:t>Hemodialysis International,</w:t>
      </w:r>
      <w:r w:rsidR="009148A2">
        <w:rPr>
          <w:rFonts w:asciiTheme="minorHAnsi" w:hAnsiTheme="minorHAnsi" w:cstheme="minorHAnsi"/>
          <w:i/>
          <w:lang w:val="en-US"/>
        </w:rPr>
        <w:t xml:space="preserve"> </w:t>
      </w:r>
      <w:r w:rsidR="009148A2" w:rsidRPr="009148A2">
        <w:rPr>
          <w:rFonts w:asciiTheme="minorHAnsi" w:hAnsiTheme="minorHAnsi" w:cstheme="minorHAnsi"/>
          <w:i/>
          <w:lang w:val="en-US"/>
        </w:rPr>
        <w:t>9</w:t>
      </w:r>
      <w:r w:rsidRPr="005A464E">
        <w:rPr>
          <w:rFonts w:asciiTheme="minorHAnsi" w:hAnsiTheme="minorHAnsi" w:cstheme="minorHAnsi"/>
          <w:lang w:val="en-US"/>
        </w:rPr>
        <w:t>,</w:t>
      </w:r>
      <w:r w:rsidR="009148A2">
        <w:rPr>
          <w:rFonts w:asciiTheme="minorHAnsi" w:hAnsiTheme="minorHAnsi" w:cstheme="minorHAnsi"/>
          <w:lang w:val="en-US"/>
        </w:rPr>
        <w:t xml:space="preserve"> </w:t>
      </w:r>
      <w:r w:rsidRPr="005A464E">
        <w:rPr>
          <w:rFonts w:asciiTheme="minorHAnsi" w:hAnsiTheme="minorHAnsi" w:cstheme="minorHAnsi"/>
          <w:lang w:val="en-US"/>
        </w:rPr>
        <w:t xml:space="preserve">409-15. </w:t>
      </w:r>
      <w:hyperlink r:id="rId90"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.org/10.1371/journal.pone.0121376</w:t>
        </w:r>
      </w:hyperlink>
      <w:r w:rsidR="00A9792B"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Aghakhani, N., Samadzadeh, S., Mafi, T.M. &amp; Rahbar, N. (2012).The impact of education on nutrition on the quality of life in patients on hemodialysis: a comparative study from teaching hospitals. </w:t>
      </w:r>
      <w:r w:rsidRPr="005A464E">
        <w:rPr>
          <w:rFonts w:asciiTheme="minorHAnsi" w:hAnsiTheme="minorHAnsi" w:cstheme="minorHAnsi"/>
          <w:i/>
          <w:lang w:val="en-US"/>
        </w:rPr>
        <w:t>Saudi Journal of</w:t>
      </w:r>
      <w:r w:rsidR="0078495A">
        <w:rPr>
          <w:rFonts w:asciiTheme="minorHAnsi" w:hAnsiTheme="minorHAnsi" w:cstheme="minorHAnsi"/>
          <w:i/>
          <w:lang w:val="en-US"/>
        </w:rPr>
        <w:t xml:space="preserve"> </w:t>
      </w:r>
      <w:r w:rsidRPr="005A464E">
        <w:rPr>
          <w:rFonts w:asciiTheme="minorHAnsi" w:hAnsiTheme="minorHAnsi" w:cstheme="minorHAnsi"/>
          <w:i/>
          <w:lang w:val="en-US"/>
        </w:rPr>
        <w:t>Kidney Disease &amp; Transplantation</w:t>
      </w:r>
      <w:r w:rsidR="009148A2" w:rsidRPr="009148A2">
        <w:rPr>
          <w:rFonts w:asciiTheme="minorHAnsi" w:hAnsiTheme="minorHAnsi" w:cstheme="minorHAnsi"/>
          <w:i/>
          <w:lang w:val="en-US"/>
        </w:rPr>
        <w:t>, 23</w:t>
      </w:r>
      <w:r w:rsidRPr="005A464E">
        <w:rPr>
          <w:rFonts w:asciiTheme="minorHAnsi" w:hAnsiTheme="minorHAnsi" w:cstheme="minorHAnsi"/>
          <w:lang w:val="en-US"/>
        </w:rPr>
        <w:t>, 26-30.</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Akerblad, A.C., Bengtsson, F., Ekselius, L. &amp; von Knorring, L. (2003). Effects of an educational compliance enhancement programm and therapeutic drug monitoring on treatment adherence in depressed patients managed by general practitioners. </w:t>
      </w:r>
      <w:r w:rsidRPr="005A464E">
        <w:rPr>
          <w:rFonts w:asciiTheme="minorHAnsi" w:hAnsiTheme="minorHAnsi" w:cstheme="minorHAnsi"/>
          <w:i/>
          <w:lang w:val="en-US"/>
        </w:rPr>
        <w:t>International Clinical of Psychopharmacology</w:t>
      </w:r>
      <w:r w:rsidRPr="005A464E">
        <w:rPr>
          <w:rFonts w:asciiTheme="minorHAnsi" w:hAnsiTheme="minorHAnsi" w:cstheme="minorHAnsi"/>
          <w:lang w:val="en-US"/>
        </w:rPr>
        <w:t xml:space="preserve">, </w:t>
      </w:r>
      <w:r w:rsidRPr="00ED3043">
        <w:rPr>
          <w:rFonts w:asciiTheme="minorHAnsi" w:hAnsiTheme="minorHAnsi" w:cstheme="minorHAnsi"/>
          <w:i/>
          <w:lang w:val="en-US"/>
        </w:rPr>
        <w:t>18</w:t>
      </w:r>
      <w:r w:rsidRPr="005A464E">
        <w:rPr>
          <w:rFonts w:asciiTheme="minorHAnsi" w:hAnsiTheme="minorHAnsi" w:cstheme="minorHAnsi"/>
          <w:lang w:val="en-US"/>
        </w:rPr>
        <w:t>, 347-354.</w:t>
      </w:r>
    </w:p>
    <w:p w:rsidR="003C410F"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eastAsia="Times New Roman" w:hAnsiTheme="minorHAnsi" w:cstheme="minorHAnsi"/>
          <w:lang w:val="en-US" w:eastAsia="el-GR"/>
        </w:rPr>
        <w:t xml:space="preserve">Akman, B., Uyar, M., Afsar, B., Sezer, S., Ozdemir, F.N. &amp; Haberal M. (2007). Adherence, depression and quality of life in patients on a renal transplantation waiting list. </w:t>
      </w:r>
      <w:r w:rsidRPr="005A464E">
        <w:rPr>
          <w:rFonts w:asciiTheme="minorHAnsi" w:eastAsia="Times New Roman" w:hAnsiTheme="minorHAnsi" w:cstheme="minorHAnsi"/>
          <w:i/>
          <w:lang w:val="en-US" w:eastAsia="el-GR"/>
        </w:rPr>
        <w:t>Transplant International</w:t>
      </w:r>
      <w:r w:rsidR="00ED3043">
        <w:rPr>
          <w:rFonts w:asciiTheme="minorHAnsi" w:eastAsia="Times New Roman" w:hAnsiTheme="minorHAnsi" w:cstheme="minorHAnsi"/>
          <w:lang w:val="en-US" w:eastAsia="el-GR"/>
        </w:rPr>
        <w:t xml:space="preserve">, </w:t>
      </w:r>
      <w:r w:rsidR="00ED3043" w:rsidRPr="00ED3043">
        <w:rPr>
          <w:rFonts w:asciiTheme="minorHAnsi" w:eastAsia="Times New Roman" w:hAnsiTheme="minorHAnsi" w:cstheme="minorHAnsi"/>
          <w:i/>
          <w:lang w:val="en-US" w:eastAsia="el-GR"/>
        </w:rPr>
        <w:t>5,</w:t>
      </w:r>
      <w:r w:rsidR="00ED3043">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1–6.</w:t>
      </w:r>
      <w:r w:rsidRPr="005A464E">
        <w:rPr>
          <w:rStyle w:val="1Char"/>
          <w:rFonts w:asciiTheme="minorHAnsi" w:eastAsia="Calibri" w:hAnsiTheme="minorHAnsi" w:cstheme="minorHAnsi"/>
          <w:b w:val="0"/>
          <w:bCs w:val="0"/>
          <w:color w:val="auto"/>
          <w:sz w:val="24"/>
          <w:szCs w:val="24"/>
          <w:bdr w:val="none" w:sz="0" w:space="0" w:color="auto" w:frame="1"/>
          <w:shd w:val="clear" w:color="auto" w:fill="FFFFFF"/>
          <w:lang w:val="en-US"/>
        </w:rPr>
        <w:t xml:space="preserve">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:10.1111/j.1432-2277.2007.00495.x</w:t>
      </w:r>
      <w:r w:rsidR="00A9792B" w:rsidRPr="005A464E">
        <w:rPr>
          <w:rFonts w:asciiTheme="minorHAnsi" w:hAnsiTheme="minorHAnsi" w:cstheme="minorHAnsi"/>
          <w:shd w:val="clear" w:color="auto" w:fill="FFFFFF"/>
          <w:lang w:val="en-US"/>
        </w:rPr>
        <w:t>.</w:t>
      </w:r>
    </w:p>
    <w:p w:rsidR="00D26A51" w:rsidRPr="00D26A51" w:rsidRDefault="00D26A51" w:rsidP="005A464E">
      <w:pPr>
        <w:pStyle w:val="Web"/>
        <w:spacing w:after="166" w:line="360" w:lineRule="auto"/>
        <w:ind w:left="415" w:hanging="415"/>
        <w:jc w:val="both"/>
        <w:rPr>
          <w:rStyle w:val="article-headermeta-info-label"/>
          <w:rFonts w:asciiTheme="minorHAnsi" w:hAnsiTheme="minorHAnsi" w:cstheme="minorHAnsi"/>
          <w:b/>
          <w:bCs/>
          <w:bdr w:val="none" w:sz="0" w:space="0" w:color="auto" w:frame="1"/>
          <w:shd w:val="clear" w:color="auto" w:fill="FFFFFF"/>
          <w:lang w:val="en-US"/>
        </w:rPr>
      </w:pPr>
      <w:r>
        <w:rPr>
          <w:rFonts w:asciiTheme="minorHAnsi" w:hAnsiTheme="minorHAnsi" w:cstheme="minorHAnsi"/>
          <w:shd w:val="clear" w:color="auto" w:fill="FFFFFF"/>
          <w:lang w:val="en-US"/>
        </w:rPr>
        <w:t>Alam, M.M., Hoque, M.M., Begum, S.M.F., &amp; Khan, N.</w:t>
      </w:r>
      <w:r w:rsidRPr="00D26A51">
        <w:rPr>
          <w:rFonts w:asciiTheme="minorHAnsi" w:hAnsiTheme="minorHAnsi" w:cstheme="minorHAnsi"/>
          <w:shd w:val="clear" w:color="auto" w:fill="FFFFFF"/>
          <w:lang w:val="en-US"/>
        </w:rPr>
        <w:t>A. (2016). Estimated GFR (eGFR) by prediction equation in staging of chronic kidney disease compared to gamma camera GFR. </w:t>
      </w:r>
      <w:r w:rsidRPr="00FB0D48">
        <w:rPr>
          <w:rFonts w:asciiTheme="minorHAnsi" w:hAnsiTheme="minorHAnsi" w:cstheme="minorHAnsi"/>
          <w:i/>
          <w:iCs/>
          <w:shd w:val="clear" w:color="auto" w:fill="FFFFFF"/>
          <w:lang w:val="en-US"/>
        </w:rPr>
        <w:t>Bangabandhu Sheikh Mujib Medical University Journal</w:t>
      </w:r>
      <w:r w:rsidRPr="00FB0D48">
        <w:rPr>
          <w:rFonts w:asciiTheme="minorHAnsi" w:hAnsiTheme="minorHAnsi" w:cstheme="minorHAnsi"/>
          <w:shd w:val="clear" w:color="auto" w:fill="FFFFFF"/>
          <w:lang w:val="en-US"/>
        </w:rPr>
        <w:t>, </w:t>
      </w:r>
      <w:r w:rsidRPr="00FB0D48">
        <w:rPr>
          <w:rFonts w:asciiTheme="minorHAnsi" w:hAnsiTheme="minorHAnsi" w:cstheme="minorHAnsi"/>
          <w:i/>
          <w:iCs/>
          <w:shd w:val="clear" w:color="auto" w:fill="FFFFFF"/>
          <w:lang w:val="en-US"/>
        </w:rPr>
        <w:t>8</w:t>
      </w:r>
      <w:r>
        <w:rPr>
          <w:rFonts w:asciiTheme="minorHAnsi" w:hAnsiTheme="minorHAnsi" w:cstheme="minorHAnsi"/>
          <w:shd w:val="clear" w:color="auto" w:fill="FFFFFF"/>
          <w:lang w:val="en-US"/>
        </w:rPr>
        <w:t>,</w:t>
      </w:r>
      <w:r w:rsidRPr="00FB0D48">
        <w:rPr>
          <w:rFonts w:asciiTheme="minorHAnsi" w:hAnsiTheme="minorHAnsi" w:cstheme="minorHAnsi"/>
          <w:shd w:val="clear" w:color="auto" w:fill="FFFFFF"/>
          <w:lang w:val="en-US"/>
        </w:rPr>
        <w:t xml:space="preserve"> 44-49.</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D26A51">
        <w:rPr>
          <w:rFonts w:asciiTheme="minorHAnsi" w:hAnsiTheme="minorHAnsi" w:cstheme="minorHAnsi"/>
          <w:lang w:val="en-US"/>
        </w:rPr>
        <w:t>Al-Arabi, S. (2006). Quality of life: subjective descriptions of challenges to</w:t>
      </w:r>
      <w:r w:rsidRPr="005A464E">
        <w:rPr>
          <w:rFonts w:asciiTheme="minorHAnsi" w:hAnsiTheme="minorHAnsi" w:cstheme="minorHAnsi"/>
          <w:lang w:val="en-US"/>
        </w:rPr>
        <w:t xml:space="preserve"> patients with end stage renal disease. </w:t>
      </w:r>
      <w:r w:rsidRPr="005A464E">
        <w:rPr>
          <w:rFonts w:asciiTheme="minorHAnsi" w:hAnsiTheme="minorHAnsi" w:cstheme="minorHAnsi"/>
          <w:i/>
          <w:lang w:val="en-US"/>
        </w:rPr>
        <w:t>Nephrology</w:t>
      </w:r>
      <w:r w:rsidR="0078495A">
        <w:rPr>
          <w:rFonts w:asciiTheme="minorHAnsi" w:hAnsiTheme="minorHAnsi" w:cstheme="minorHAnsi"/>
          <w:i/>
          <w:lang w:val="en-US"/>
        </w:rPr>
        <w:t xml:space="preserve"> </w:t>
      </w:r>
      <w:r w:rsidRPr="005A464E">
        <w:rPr>
          <w:rFonts w:asciiTheme="minorHAnsi" w:hAnsiTheme="minorHAnsi" w:cstheme="minorHAnsi"/>
          <w:i/>
          <w:lang w:val="en-US"/>
        </w:rPr>
        <w:t>Nursing Journal</w:t>
      </w:r>
      <w:r w:rsidRPr="005A464E">
        <w:rPr>
          <w:rFonts w:asciiTheme="minorHAnsi" w:hAnsiTheme="minorHAnsi" w:cstheme="minorHAnsi"/>
          <w:lang w:val="en-US"/>
        </w:rPr>
        <w:t xml:space="preserve">, </w:t>
      </w:r>
      <w:r w:rsidRPr="00ED3043">
        <w:rPr>
          <w:rFonts w:asciiTheme="minorHAnsi" w:hAnsiTheme="minorHAnsi" w:cstheme="minorHAnsi"/>
          <w:i/>
          <w:lang w:val="en-US"/>
        </w:rPr>
        <w:t>33</w:t>
      </w:r>
      <w:r w:rsidR="00ED3043">
        <w:rPr>
          <w:rFonts w:asciiTheme="minorHAnsi" w:hAnsiTheme="minorHAnsi" w:cstheme="minorHAnsi"/>
          <w:lang w:val="en-US"/>
        </w:rPr>
        <w:t>,</w:t>
      </w:r>
      <w:r w:rsidRPr="005A464E">
        <w:rPr>
          <w:rFonts w:asciiTheme="minorHAnsi" w:hAnsiTheme="minorHAnsi" w:cstheme="minorHAnsi"/>
          <w:lang w:val="en-US"/>
        </w:rPr>
        <w:t>285-92.</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Alcoba, M., Cuevas, M.J., Perez-Simon, M.R., Mostaza, J.L., Ortega</w:t>
      </w:r>
      <w:r w:rsidR="00A9792B" w:rsidRPr="005A464E">
        <w:rPr>
          <w:rFonts w:asciiTheme="minorHAnsi" w:hAnsiTheme="minorHAnsi" w:cstheme="minorHAnsi"/>
          <w:lang w:val="en-US"/>
        </w:rPr>
        <w:t>, L., Ortiz de Urbina, J</w:t>
      </w:r>
      <w:r w:rsidR="00A9792B" w:rsidRPr="00267243">
        <w:rPr>
          <w:rFonts w:asciiTheme="minorHAnsi" w:hAnsiTheme="minorHAnsi" w:cstheme="minorHAnsi"/>
          <w:lang w:val="en-US"/>
        </w:rPr>
        <w:t xml:space="preserve">., </w:t>
      </w:r>
      <w:r w:rsidR="00267243" w:rsidRPr="00267243">
        <w:rPr>
          <w:rFonts w:asciiTheme="minorHAnsi" w:hAnsiTheme="minorHAnsi"/>
          <w:lang w:val="en-US"/>
        </w:rPr>
        <w:t xml:space="preserve">… &amp; </w:t>
      </w:r>
      <w:hyperlink r:id="rId91" w:history="1">
        <w:r w:rsidR="00A9792B" w:rsidRPr="00267243">
          <w:rPr>
            <w:rStyle w:val="-"/>
            <w:rFonts w:asciiTheme="minorHAnsi" w:hAnsiTheme="minorHAnsi" w:cs="Arial"/>
            <w:color w:val="auto"/>
            <w:u w:val="none"/>
            <w:shd w:val="clear" w:color="auto" w:fill="FFFFFF"/>
            <w:lang w:val="en-US"/>
          </w:rPr>
          <w:t>Martin, V</w:t>
        </w:r>
      </w:hyperlink>
      <w:r w:rsidR="00A9792B" w:rsidRPr="005A464E">
        <w:rPr>
          <w:rFonts w:asciiTheme="minorHAnsi" w:hAnsiTheme="minorHAnsi" w:cs="Arial"/>
          <w:shd w:val="clear" w:color="auto" w:fill="FFFFFF"/>
          <w:lang w:val="en-US"/>
        </w:rPr>
        <w:t>; </w:t>
      </w:r>
      <w:hyperlink r:id="rId92" w:history="1">
        <w:r w:rsidR="00A9792B" w:rsidRPr="005A464E">
          <w:rPr>
            <w:rStyle w:val="-"/>
            <w:rFonts w:asciiTheme="minorHAnsi" w:hAnsiTheme="minorHAnsi" w:cs="Arial"/>
            <w:color w:val="auto"/>
            <w:u w:val="none"/>
            <w:shd w:val="clear" w:color="auto" w:fill="FFFFFF"/>
            <w:lang w:val="en-US"/>
          </w:rPr>
          <w:t>HAART </w:t>
        </w:r>
        <w:r w:rsidR="00A9792B" w:rsidRPr="005A464E">
          <w:rPr>
            <w:rStyle w:val="highlight"/>
            <w:rFonts w:asciiTheme="minorHAnsi" w:hAnsiTheme="minorHAnsi" w:cs="Arial"/>
            <w:shd w:val="clear" w:color="auto" w:fill="FFFFFF"/>
            <w:lang w:val="en-US"/>
          </w:rPr>
          <w:t>Adherence</w:t>
        </w:r>
        <w:r w:rsidR="00A9792B" w:rsidRPr="005A464E">
          <w:rPr>
            <w:rStyle w:val="-"/>
            <w:rFonts w:asciiTheme="minorHAnsi" w:hAnsiTheme="minorHAnsi" w:cs="Arial"/>
            <w:color w:val="auto"/>
            <w:u w:val="none"/>
            <w:shd w:val="clear" w:color="auto" w:fill="FFFFFF"/>
            <w:lang w:val="en-US"/>
          </w:rPr>
          <w:t> Working Group for the Province of Leon, Spain</w:t>
        </w:r>
      </w:hyperlink>
      <w:r w:rsidR="00A9792B" w:rsidRPr="005A464E">
        <w:rPr>
          <w:rFonts w:asciiTheme="minorHAnsi" w:hAnsiTheme="minorHAnsi" w:cs="Arial"/>
          <w:color w:val="000000"/>
          <w:shd w:val="clear" w:color="auto" w:fill="FFFFFF"/>
          <w:lang w:val="en-US"/>
        </w:rPr>
        <w:t>.</w:t>
      </w:r>
      <w:r w:rsidRPr="005A464E">
        <w:rPr>
          <w:rFonts w:asciiTheme="minorHAnsi" w:hAnsiTheme="minorHAnsi" w:cstheme="minorHAnsi"/>
          <w:lang w:val="en-US"/>
        </w:rPr>
        <w:t xml:space="preserve"> (2003). </w:t>
      </w:r>
      <w:r w:rsidRPr="005A464E">
        <w:rPr>
          <w:rFonts w:asciiTheme="minorHAnsi" w:hAnsiTheme="minorHAnsi" w:cstheme="minorHAnsi"/>
          <w:i/>
          <w:lang w:val="en-US"/>
        </w:rPr>
        <w:t>Journal of Acquired Immune Deficiency Syndromes</w:t>
      </w:r>
      <w:r w:rsidR="00ED3043">
        <w:rPr>
          <w:rFonts w:asciiTheme="minorHAnsi" w:hAnsiTheme="minorHAnsi" w:cstheme="minorHAnsi"/>
          <w:lang w:val="en-US"/>
        </w:rPr>
        <w:t xml:space="preserve">, </w:t>
      </w:r>
      <w:r w:rsidR="00ED3043" w:rsidRPr="00ED3043">
        <w:rPr>
          <w:rFonts w:asciiTheme="minorHAnsi" w:hAnsiTheme="minorHAnsi" w:cstheme="minorHAnsi"/>
          <w:i/>
          <w:lang w:val="en-US"/>
        </w:rPr>
        <w:t>33</w:t>
      </w:r>
      <w:r w:rsidRPr="00ED3043">
        <w:rPr>
          <w:rFonts w:asciiTheme="minorHAnsi" w:hAnsiTheme="minorHAnsi" w:cstheme="minorHAnsi"/>
          <w:i/>
          <w:lang w:val="en-US"/>
        </w:rPr>
        <w:t>,</w:t>
      </w:r>
      <w:r w:rsidRPr="005A464E">
        <w:rPr>
          <w:rFonts w:asciiTheme="minorHAnsi" w:hAnsiTheme="minorHAnsi" w:cstheme="minorHAnsi"/>
          <w:lang w:val="en-US"/>
        </w:rPr>
        <w:t xml:space="preserve"> 253-258.</w:t>
      </w:r>
    </w:p>
    <w:p w:rsidR="00711BB9" w:rsidRDefault="008F3609" w:rsidP="00711BB9">
      <w:pPr>
        <w:pStyle w:val="Web"/>
        <w:spacing w:after="166" w:line="360" w:lineRule="auto"/>
        <w:ind w:left="415" w:hanging="415"/>
        <w:jc w:val="both"/>
        <w:rPr>
          <w:rFonts w:asciiTheme="minorHAnsi" w:hAnsiTheme="minorHAnsi"/>
          <w:lang w:val="en-US"/>
        </w:rPr>
      </w:pPr>
      <w:hyperlink r:id="rId93" w:history="1">
        <w:r w:rsidR="003C410F" w:rsidRPr="005A464E">
          <w:rPr>
            <w:rFonts w:asciiTheme="minorHAnsi" w:eastAsia="Times New Roman" w:hAnsiTheme="minorHAnsi" w:cstheme="minorHAnsi"/>
            <w:lang w:val="en-US" w:eastAsia="el-GR"/>
          </w:rPr>
          <w:t>Al-Hilali, N</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w:t>
      </w:r>
      <w:r w:rsidR="0078495A">
        <w:rPr>
          <w:rFonts w:asciiTheme="minorHAnsi" w:eastAsia="Times New Roman" w:hAnsiTheme="minorHAnsi" w:cstheme="minorHAnsi"/>
          <w:lang w:val="en-US" w:eastAsia="el-GR"/>
        </w:rPr>
        <w:t xml:space="preserve"> </w:t>
      </w:r>
      <w:hyperlink r:id="rId94" w:history="1">
        <w:r w:rsidR="003C410F" w:rsidRPr="005A464E">
          <w:rPr>
            <w:rFonts w:asciiTheme="minorHAnsi" w:eastAsia="Times New Roman" w:hAnsiTheme="minorHAnsi" w:cstheme="minorHAnsi"/>
            <w:lang w:val="en-US" w:eastAsia="el-GR"/>
          </w:rPr>
          <w:t>Al-Humoud, H.M</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95" w:history="1">
        <w:r w:rsidR="003C410F" w:rsidRPr="005A464E">
          <w:rPr>
            <w:rFonts w:asciiTheme="minorHAnsi" w:eastAsia="Times New Roman" w:hAnsiTheme="minorHAnsi" w:cstheme="minorHAnsi"/>
            <w:lang w:val="en-US" w:eastAsia="el-GR"/>
          </w:rPr>
          <w:t>Ninan, V.T</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96" w:history="1">
        <w:r w:rsidR="003C410F" w:rsidRPr="005A464E">
          <w:rPr>
            <w:rFonts w:asciiTheme="minorHAnsi" w:eastAsia="Times New Roman" w:hAnsiTheme="minorHAnsi" w:cstheme="minorHAnsi"/>
            <w:lang w:val="en-US" w:eastAsia="el-GR"/>
          </w:rPr>
          <w:t>Nampoory, M.R</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97" w:history="1">
        <w:r w:rsidR="003C410F" w:rsidRPr="005A464E">
          <w:rPr>
            <w:rFonts w:asciiTheme="minorHAnsi" w:eastAsia="Times New Roman" w:hAnsiTheme="minorHAnsi" w:cstheme="minorHAnsi"/>
            <w:lang w:val="en-US" w:eastAsia="el-GR"/>
          </w:rPr>
          <w:t>Ali, J.H</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xml:space="preserve"> &amp; </w:t>
      </w:r>
      <w:hyperlink r:id="rId98" w:history="1">
        <w:r w:rsidR="003C410F" w:rsidRPr="005A464E">
          <w:rPr>
            <w:rFonts w:asciiTheme="minorHAnsi" w:eastAsia="Times New Roman" w:hAnsiTheme="minorHAnsi" w:cstheme="minorHAnsi"/>
            <w:lang w:val="en-US" w:eastAsia="el-GR"/>
          </w:rPr>
          <w:t>Johny, K.V</w:t>
        </w:r>
      </w:hyperlink>
      <w:r w:rsidR="003C410F" w:rsidRPr="005A464E">
        <w:rPr>
          <w:rFonts w:asciiTheme="minorHAnsi" w:eastAsia="Times New Roman" w:hAnsiTheme="minorHAnsi" w:cstheme="minorHAnsi"/>
          <w:lang w:val="en-US" w:eastAsia="el-GR"/>
        </w:rPr>
        <w:t xml:space="preserve">. (2004). </w:t>
      </w:r>
      <w:r w:rsidR="003C410F" w:rsidRPr="005A464E">
        <w:rPr>
          <w:rFonts w:asciiTheme="minorHAnsi" w:eastAsia="Times New Roman" w:hAnsiTheme="minorHAnsi" w:cstheme="minorHAnsi"/>
          <w:bCs/>
          <w:kern w:val="36"/>
          <w:lang w:val="en-US" w:eastAsia="el-GR"/>
        </w:rPr>
        <w:t xml:space="preserve">Profiled hemodialysis reduces intradialytic symptoms. </w:t>
      </w:r>
      <w:hyperlink r:id="rId99" w:tooltip="Transplantation proceedings." w:history="1">
        <w:r w:rsidR="003C410F" w:rsidRPr="005A464E">
          <w:rPr>
            <w:rFonts w:asciiTheme="minorHAnsi" w:eastAsia="Times New Roman" w:hAnsiTheme="minorHAnsi" w:cstheme="minorHAnsi"/>
            <w:i/>
            <w:lang w:val="en-US" w:eastAsia="el-GR"/>
          </w:rPr>
          <w:t>Transplantation Proceedings,</w:t>
        </w:r>
      </w:hyperlink>
      <w:r w:rsidR="003C410F" w:rsidRPr="005A464E">
        <w:rPr>
          <w:rFonts w:asciiTheme="minorHAnsi" w:eastAsia="Times New Roman" w:hAnsiTheme="minorHAnsi" w:cstheme="minorHAnsi"/>
          <w:lang w:val="en-US" w:eastAsia="el-GR"/>
        </w:rPr>
        <w:t xml:space="preserve"> </w:t>
      </w:r>
      <w:r w:rsidR="003C410F" w:rsidRPr="00ED3043">
        <w:rPr>
          <w:rFonts w:asciiTheme="minorHAnsi" w:eastAsia="Times New Roman" w:hAnsiTheme="minorHAnsi" w:cstheme="minorHAnsi"/>
          <w:i/>
          <w:lang w:val="en-US" w:eastAsia="el-GR"/>
        </w:rPr>
        <w:t>36</w:t>
      </w:r>
      <w:r w:rsidR="003C410F" w:rsidRPr="005A464E">
        <w:rPr>
          <w:rFonts w:asciiTheme="minorHAnsi" w:eastAsia="Times New Roman" w:hAnsiTheme="minorHAnsi" w:cstheme="minorHAnsi"/>
          <w:lang w:val="en-US" w:eastAsia="el-GR"/>
        </w:rPr>
        <w:t>,</w:t>
      </w:r>
      <w:r w:rsidR="004E5F91" w:rsidRPr="005A464E">
        <w:rPr>
          <w:rFonts w:asciiTheme="minorHAnsi" w:eastAsia="Times New Roman" w:hAnsiTheme="minorHAnsi" w:cstheme="minorHAnsi"/>
          <w:lang w:val="en-US" w:eastAsia="el-GR"/>
        </w:rPr>
        <w:t xml:space="preserve"> </w:t>
      </w:r>
      <w:r w:rsidR="003C410F" w:rsidRPr="005A464E">
        <w:rPr>
          <w:rFonts w:asciiTheme="minorHAnsi" w:eastAsia="Times New Roman" w:hAnsiTheme="minorHAnsi" w:cstheme="minorHAnsi"/>
          <w:lang w:val="en-US" w:eastAsia="el-GR"/>
        </w:rPr>
        <w:t>1827-1828.</w:t>
      </w:r>
      <w:r w:rsidR="0078495A">
        <w:rPr>
          <w:rStyle w:val="apple-converted-space"/>
          <w:rFonts w:asciiTheme="minorHAnsi" w:hAnsiTheme="minorHAnsi" w:cstheme="minorHAnsi"/>
          <w:lang w:val="en-US"/>
        </w:rPr>
        <w:t xml:space="preserve"> </w:t>
      </w:r>
      <w:hyperlink r:id="rId100" w:history="1">
        <w:r w:rsidR="003C410F" w:rsidRPr="005A464E">
          <w:rPr>
            <w:rStyle w:val="-"/>
            <w:rFonts w:asciiTheme="minorHAnsi" w:hAnsiTheme="minorHAnsi" w:cstheme="minorHAnsi"/>
            <w:color w:val="auto"/>
            <w:u w:val="none"/>
            <w:lang w:val="en-US"/>
          </w:rPr>
          <w:t>http:</w:t>
        </w:r>
        <w:r w:rsidR="004E5F91" w:rsidRPr="005A464E">
          <w:rPr>
            <w:rStyle w:val="-"/>
            <w:rFonts w:asciiTheme="minorHAnsi" w:hAnsiTheme="minorHAnsi" w:cstheme="minorHAnsi"/>
            <w:color w:val="auto"/>
            <w:u w:val="none"/>
            <w:lang w:val="en-US"/>
          </w:rPr>
          <w:t xml:space="preserve"> </w:t>
        </w:r>
        <w:r w:rsidR="003C410F" w:rsidRPr="005A464E">
          <w:rPr>
            <w:rStyle w:val="-"/>
            <w:rFonts w:asciiTheme="minorHAnsi" w:hAnsiTheme="minorHAnsi" w:cstheme="minorHAnsi"/>
            <w:color w:val="auto"/>
            <w:u w:val="none"/>
            <w:lang w:val="en-US"/>
          </w:rPr>
          <w:t>//dx.</w:t>
        </w:r>
        <w:r w:rsidR="00292B29" w:rsidRPr="005A464E">
          <w:rPr>
            <w:rStyle w:val="-"/>
            <w:rFonts w:asciiTheme="minorHAnsi" w:hAnsiTheme="minorHAnsi" w:cstheme="minorHAnsi"/>
            <w:color w:val="auto"/>
            <w:u w:val="none"/>
            <w:lang w:val="en-US"/>
          </w:rPr>
          <w:t>DOI</w:t>
        </w:r>
        <w:r w:rsidR="003C410F" w:rsidRPr="005A464E">
          <w:rPr>
            <w:rStyle w:val="-"/>
            <w:rFonts w:asciiTheme="minorHAnsi" w:hAnsiTheme="minorHAnsi" w:cstheme="minorHAnsi"/>
            <w:color w:val="auto"/>
            <w:u w:val="none"/>
            <w:lang w:val="en-US"/>
          </w:rPr>
          <w:t>.org/10.1016/j.transproceed.</w:t>
        </w:r>
        <w:r w:rsidR="004E5F91" w:rsidRPr="005A464E">
          <w:rPr>
            <w:rStyle w:val="-"/>
            <w:rFonts w:asciiTheme="minorHAnsi" w:hAnsiTheme="minorHAnsi" w:cstheme="minorHAnsi"/>
            <w:color w:val="auto"/>
            <w:u w:val="none"/>
            <w:lang w:val="en-US"/>
          </w:rPr>
          <w:t xml:space="preserve"> </w:t>
        </w:r>
        <w:r w:rsidR="003C410F" w:rsidRPr="005A464E">
          <w:rPr>
            <w:rStyle w:val="-"/>
            <w:rFonts w:asciiTheme="minorHAnsi" w:hAnsiTheme="minorHAnsi" w:cstheme="minorHAnsi"/>
            <w:color w:val="auto"/>
            <w:u w:val="none"/>
            <w:lang w:val="en-US"/>
          </w:rPr>
          <w:t>2004.06.023</w:t>
        </w:r>
      </w:hyperlink>
      <w:r w:rsidR="00A9792B" w:rsidRPr="005A464E">
        <w:rPr>
          <w:rFonts w:asciiTheme="minorHAnsi" w:hAnsiTheme="minorHAnsi"/>
          <w:lang w:val="en-US"/>
        </w:rPr>
        <w:t>.</w:t>
      </w:r>
    </w:p>
    <w:p w:rsidR="00711BB9" w:rsidRPr="00666053" w:rsidRDefault="00711BB9" w:rsidP="00711BB9">
      <w:pPr>
        <w:pStyle w:val="Web"/>
        <w:spacing w:after="166" w:line="360" w:lineRule="auto"/>
        <w:ind w:left="415" w:hanging="415"/>
        <w:jc w:val="both"/>
        <w:rPr>
          <w:rFonts w:ascii="Calibri" w:hAnsi="Calibri" w:cs="Calibri"/>
          <w:color w:val="000000"/>
          <w:lang w:val="en-US" w:eastAsia="el-GR"/>
        </w:rPr>
      </w:pPr>
      <w:r>
        <w:rPr>
          <w:rFonts w:asciiTheme="minorHAnsi" w:hAnsiTheme="minorHAnsi"/>
          <w:lang w:val="en-US"/>
        </w:rPr>
        <w:t xml:space="preserve">Alikari, V. &amp; Zyga, S. (2014). </w:t>
      </w:r>
      <w:r w:rsidRPr="00711BB9">
        <w:rPr>
          <w:rFonts w:ascii="Calibri" w:hAnsi="Calibri" w:cs="Calibri"/>
          <w:color w:val="000000"/>
          <w:lang w:val="en-US" w:eastAsia="el-GR"/>
        </w:rPr>
        <w:t xml:space="preserve"> Conceptual analysis of patient compliance in treatment</w:t>
      </w:r>
      <w:r>
        <w:rPr>
          <w:rFonts w:ascii="Calibri" w:hAnsi="Calibri" w:cs="Calibri"/>
          <w:color w:val="000000"/>
          <w:lang w:val="en-US" w:eastAsia="el-GR"/>
        </w:rPr>
        <w:t xml:space="preserve">. </w:t>
      </w:r>
      <w:r w:rsidRPr="00711BB9">
        <w:rPr>
          <w:rFonts w:ascii="Calibri" w:hAnsi="Calibri" w:cs="Calibri"/>
          <w:i/>
          <w:color w:val="000000"/>
          <w:lang w:val="en-US" w:eastAsia="el-GR"/>
        </w:rPr>
        <w:t>Health Science Journal, 8,</w:t>
      </w:r>
      <w:r>
        <w:rPr>
          <w:rFonts w:ascii="Calibri" w:hAnsi="Calibri" w:cs="Calibri"/>
          <w:color w:val="000000"/>
          <w:lang w:val="en-US" w:eastAsia="el-GR"/>
        </w:rPr>
        <w:t xml:space="preserve"> 179-186.</w:t>
      </w:r>
    </w:p>
    <w:p w:rsidR="00526882" w:rsidRPr="00666053" w:rsidRDefault="00526882" w:rsidP="00711BB9">
      <w:pPr>
        <w:pStyle w:val="Web"/>
        <w:spacing w:after="166" w:line="360" w:lineRule="auto"/>
        <w:ind w:left="415" w:hanging="415"/>
        <w:jc w:val="both"/>
        <w:rPr>
          <w:rFonts w:asciiTheme="minorHAnsi" w:hAnsiTheme="minorHAnsi" w:cstheme="minorHAnsi"/>
          <w:shd w:val="clear" w:color="auto" w:fill="FFFFFF"/>
          <w:lang w:val="en-US"/>
        </w:rPr>
      </w:pPr>
      <w:r w:rsidRPr="00526882">
        <w:rPr>
          <w:rFonts w:asciiTheme="minorHAnsi" w:hAnsiTheme="minorHAnsi" w:cstheme="minorHAnsi"/>
          <w:shd w:val="clear" w:color="auto" w:fill="FFFFFF"/>
          <w:lang w:val="en-US"/>
        </w:rPr>
        <w:t>Alikari, V., Matziou, V., Tsironi, M., Theofilou, P., Devins, G., Zyga, S. (2015)</w:t>
      </w:r>
      <w:r w:rsidR="00FE7892">
        <w:rPr>
          <w:rFonts w:asciiTheme="minorHAnsi" w:hAnsiTheme="minorHAnsi" w:cstheme="minorHAnsi"/>
          <w:shd w:val="clear" w:color="auto" w:fill="FFFFFF"/>
          <w:lang w:val="en-US"/>
        </w:rPr>
        <w:t>.</w:t>
      </w:r>
      <w:r w:rsidRPr="00526882">
        <w:rPr>
          <w:rFonts w:asciiTheme="minorHAnsi" w:hAnsiTheme="minorHAnsi" w:cstheme="minorHAnsi"/>
          <w:lang w:val="en-US"/>
        </w:rPr>
        <w:t xml:space="preserve"> </w:t>
      </w:r>
      <w:hyperlink r:id="rId101" w:history="1">
        <w:r w:rsidR="00721218">
          <w:rPr>
            <w:rStyle w:val="-"/>
            <w:rFonts w:asciiTheme="minorHAnsi" w:hAnsiTheme="minorHAnsi" w:cstheme="minorHAnsi"/>
            <w:color w:val="auto"/>
            <w:u w:val="none"/>
            <w:shd w:val="clear" w:color="auto" w:fill="FFFFFF"/>
            <w:lang w:val="en-US"/>
          </w:rPr>
          <w:t>The “</w:t>
        </w:r>
        <w:r w:rsidRPr="00526882">
          <w:rPr>
            <w:rStyle w:val="-"/>
            <w:rFonts w:asciiTheme="minorHAnsi" w:hAnsiTheme="minorHAnsi" w:cstheme="minorHAnsi"/>
            <w:color w:val="auto"/>
            <w:u w:val="none"/>
            <w:shd w:val="clear" w:color="auto" w:fill="FFFFFF"/>
            <w:lang w:val="en-US"/>
          </w:rPr>
          <w:t>Kidney Disease Questionnaire” for Haemodialysis Patients: Cultural Adaptation and Translation of the Questionnaire in the Greek Language</w:t>
        </w:r>
      </w:hyperlink>
      <w:r w:rsidRPr="00526882">
        <w:rPr>
          <w:rFonts w:asciiTheme="minorHAnsi" w:hAnsiTheme="minorHAnsi" w:cstheme="minorHAnsi"/>
          <w:lang w:val="en-US"/>
        </w:rPr>
        <w:t xml:space="preserve">. </w:t>
      </w:r>
      <w:r w:rsidRPr="00526882">
        <w:rPr>
          <w:rFonts w:asciiTheme="minorHAnsi" w:hAnsiTheme="minorHAnsi" w:cstheme="minorHAnsi"/>
          <w:i/>
          <w:shd w:val="clear" w:color="auto" w:fill="FFFFFF"/>
          <w:lang w:val="en-US"/>
        </w:rPr>
        <w:t xml:space="preserve">International Journal of Caring Sciences, 8, </w:t>
      </w:r>
      <w:r w:rsidRPr="00526882">
        <w:rPr>
          <w:rFonts w:asciiTheme="minorHAnsi" w:hAnsiTheme="minorHAnsi" w:cstheme="minorHAnsi"/>
          <w:shd w:val="clear" w:color="auto" w:fill="FFFFFF"/>
          <w:lang w:val="en-US"/>
        </w:rPr>
        <w:t>301-307.</w:t>
      </w:r>
    </w:p>
    <w:p w:rsidR="00D67E62" w:rsidRPr="00D67E62" w:rsidRDefault="00D67E62" w:rsidP="00711BB9">
      <w:pPr>
        <w:pStyle w:val="Web"/>
        <w:spacing w:after="166" w:line="360" w:lineRule="auto"/>
        <w:ind w:left="415" w:hanging="415"/>
        <w:jc w:val="both"/>
        <w:rPr>
          <w:rFonts w:asciiTheme="minorHAnsi" w:hAnsiTheme="minorHAnsi" w:cstheme="minorHAnsi"/>
          <w:lang w:val="en-US"/>
        </w:rPr>
      </w:pPr>
      <w:r w:rsidRPr="00D67E62">
        <w:rPr>
          <w:rFonts w:asciiTheme="minorHAnsi" w:hAnsiTheme="minorHAnsi" w:cstheme="minorHAnsi"/>
          <w:shd w:val="clear" w:color="auto" w:fill="FFFFFF"/>
          <w:lang w:val="en-US"/>
        </w:rPr>
        <w:t xml:space="preserve">Alikari, V., Fradelos, E., Zyga, S. (2015). </w:t>
      </w:r>
      <w:hyperlink r:id="rId102" w:history="1">
        <w:r w:rsidRPr="00D67E62">
          <w:rPr>
            <w:rStyle w:val="-"/>
            <w:rFonts w:asciiTheme="minorHAnsi" w:hAnsiTheme="minorHAnsi" w:cstheme="minorHAnsi"/>
            <w:color w:val="auto"/>
            <w:u w:val="none"/>
            <w:shd w:val="clear" w:color="auto" w:fill="FFFFFF"/>
            <w:lang w:val="en-US"/>
          </w:rPr>
          <w:t>Family support, social and demographic correlations of non-adherence among haemodialysis patients</w:t>
        </w:r>
      </w:hyperlink>
      <w:r w:rsidRPr="00D67E62">
        <w:rPr>
          <w:rFonts w:asciiTheme="minorHAnsi" w:hAnsiTheme="minorHAnsi" w:cstheme="minorHAnsi"/>
          <w:i/>
          <w:lang w:val="en-US"/>
        </w:rPr>
        <w:t>.</w:t>
      </w:r>
      <w:r w:rsidRPr="00D67E62">
        <w:rPr>
          <w:rFonts w:asciiTheme="minorHAnsi" w:hAnsiTheme="minorHAnsi" w:cstheme="minorHAnsi"/>
          <w:i/>
          <w:color w:val="222222"/>
          <w:shd w:val="clear" w:color="auto" w:fill="FFFFFF"/>
          <w:lang w:val="en-US"/>
        </w:rPr>
        <w:t xml:space="preserve"> </w:t>
      </w:r>
      <w:r w:rsidRPr="00666053">
        <w:rPr>
          <w:rFonts w:asciiTheme="minorHAnsi" w:hAnsiTheme="minorHAnsi" w:cstheme="minorHAnsi"/>
          <w:i/>
          <w:color w:val="222222"/>
          <w:shd w:val="clear" w:color="auto" w:fill="FFFFFF"/>
          <w:lang w:val="en-US"/>
        </w:rPr>
        <w:t>American Journal of Nursing, 4,</w:t>
      </w:r>
      <w:r w:rsidRPr="00666053">
        <w:rPr>
          <w:rFonts w:asciiTheme="minorHAnsi" w:hAnsiTheme="minorHAnsi" w:cstheme="minorHAnsi"/>
          <w:color w:val="222222"/>
          <w:shd w:val="clear" w:color="auto" w:fill="FFFFFF"/>
          <w:lang w:val="en-US"/>
        </w:rPr>
        <w:t xml:space="preserve"> 60-65.</w:t>
      </w:r>
    </w:p>
    <w:p w:rsidR="004E5F91" w:rsidRDefault="004E5F91" w:rsidP="005A464E">
      <w:pPr>
        <w:pStyle w:val="Web"/>
        <w:spacing w:after="166" w:line="360" w:lineRule="auto"/>
        <w:ind w:left="415" w:hanging="415"/>
        <w:jc w:val="both"/>
        <w:rPr>
          <w:rFonts w:asciiTheme="minorHAnsi" w:hAnsiTheme="minorHAnsi"/>
        </w:rPr>
      </w:pPr>
      <w:r w:rsidRPr="005A464E">
        <w:rPr>
          <w:rFonts w:asciiTheme="minorHAnsi" w:hAnsiTheme="minorHAnsi" w:cstheme="minorHAnsi"/>
          <w:color w:val="111111"/>
          <w:shd w:val="clear" w:color="auto" w:fill="FFFFFF"/>
          <w:lang w:val="en-US"/>
        </w:rPr>
        <w:t>Alikari, V.,</w:t>
      </w:r>
      <w:r w:rsidR="0078495A">
        <w:rPr>
          <w:rFonts w:asciiTheme="minorHAnsi" w:hAnsiTheme="minorHAnsi" w:cstheme="minorHAnsi"/>
          <w:color w:val="111111"/>
          <w:shd w:val="clear" w:color="auto" w:fill="FFFFFF"/>
          <w:lang w:val="en-US"/>
        </w:rPr>
        <w:t xml:space="preserve"> </w:t>
      </w:r>
      <w:r w:rsidRPr="005A464E">
        <w:rPr>
          <w:rFonts w:asciiTheme="minorHAnsi" w:hAnsiTheme="minorHAnsi" w:cstheme="minorHAnsi"/>
          <w:color w:val="111111"/>
          <w:shd w:val="clear" w:color="auto" w:fill="FFFFFF"/>
          <w:lang w:val="en-US"/>
        </w:rPr>
        <w:t>Matziou, V.,</w:t>
      </w:r>
      <w:r w:rsidR="0078495A">
        <w:rPr>
          <w:rFonts w:asciiTheme="minorHAnsi" w:hAnsiTheme="minorHAnsi" w:cstheme="minorHAnsi"/>
          <w:color w:val="111111"/>
          <w:shd w:val="clear" w:color="auto" w:fill="FFFFFF"/>
          <w:lang w:val="en-US"/>
        </w:rPr>
        <w:t xml:space="preserve"> </w:t>
      </w:r>
      <w:r w:rsidRPr="005A464E">
        <w:rPr>
          <w:rFonts w:asciiTheme="minorHAnsi" w:hAnsiTheme="minorHAnsi" w:cstheme="minorHAnsi"/>
          <w:color w:val="111111"/>
          <w:shd w:val="clear" w:color="auto" w:fill="FFFFFF"/>
          <w:lang w:val="en-US"/>
        </w:rPr>
        <w:t>Tsironi, M., Kollia,</w:t>
      </w:r>
      <w:r w:rsidR="00267243">
        <w:rPr>
          <w:rFonts w:asciiTheme="minorHAnsi" w:hAnsiTheme="minorHAnsi" w:cstheme="minorHAnsi"/>
          <w:color w:val="111111"/>
          <w:shd w:val="clear" w:color="auto" w:fill="FFFFFF"/>
          <w:lang w:val="en-US"/>
        </w:rPr>
        <w:t xml:space="preserve"> N., Theofilou, P., Aroni, A., … &amp; </w:t>
      </w:r>
      <w:r w:rsidRPr="005A464E">
        <w:rPr>
          <w:rFonts w:asciiTheme="minorHAnsi" w:hAnsiTheme="minorHAnsi" w:cstheme="minorHAnsi"/>
          <w:color w:val="111111"/>
          <w:shd w:val="clear" w:color="auto" w:fill="FFFFFF"/>
          <w:lang w:val="en-US"/>
        </w:rPr>
        <w:t>Zyga</w:t>
      </w:r>
      <w:r w:rsidRPr="005A464E">
        <w:rPr>
          <w:rFonts w:asciiTheme="minorHAnsi" w:hAnsiTheme="minorHAnsi" w:cstheme="minorHAnsi"/>
          <w:lang w:val="en-US"/>
        </w:rPr>
        <w:t>, S. (2017).</w:t>
      </w:r>
      <w:r w:rsidRPr="005A464E">
        <w:rPr>
          <w:rFonts w:asciiTheme="minorHAnsi" w:hAnsiTheme="minorHAnsi" w:cs="CorinthianBoldPlain"/>
          <w:b/>
          <w:bCs/>
          <w:lang w:val="en-US"/>
        </w:rPr>
        <w:t xml:space="preserve"> </w:t>
      </w:r>
      <w:r w:rsidRPr="005A464E">
        <w:rPr>
          <w:rFonts w:asciiTheme="minorHAnsi" w:hAnsiTheme="minorHAnsi" w:cstheme="minorHAnsi"/>
          <w:bCs/>
          <w:lang w:val="en-US"/>
        </w:rPr>
        <w:t>A modified version of the Greek Simplified Medication Adherence</w:t>
      </w:r>
      <w:r w:rsidRPr="005A464E">
        <w:rPr>
          <w:rFonts w:asciiTheme="minorHAnsi" w:hAnsiTheme="minorHAnsi"/>
          <w:lang w:val="en-US"/>
        </w:rPr>
        <w:t xml:space="preserve"> </w:t>
      </w:r>
      <w:r w:rsidRPr="005A464E">
        <w:rPr>
          <w:rFonts w:asciiTheme="minorHAnsi" w:hAnsiTheme="minorHAnsi" w:cstheme="minorHAnsi"/>
          <w:bCs/>
          <w:lang w:val="en-US"/>
        </w:rPr>
        <w:t xml:space="preserve">Questionnaire for hemodialysis patients. </w:t>
      </w:r>
      <w:r w:rsidRPr="005A464E">
        <w:rPr>
          <w:rFonts w:asciiTheme="minorHAnsi" w:hAnsiTheme="minorHAnsi" w:cstheme="minorHAnsi"/>
          <w:bCs/>
          <w:i/>
          <w:lang w:val="en-US"/>
        </w:rPr>
        <w:t>Health</w:t>
      </w:r>
      <w:r w:rsidRPr="00A1457E">
        <w:rPr>
          <w:rFonts w:asciiTheme="minorHAnsi" w:hAnsiTheme="minorHAnsi" w:cstheme="minorHAnsi"/>
          <w:bCs/>
          <w:i/>
        </w:rPr>
        <w:t xml:space="preserve"> </w:t>
      </w:r>
      <w:r w:rsidRPr="005A464E">
        <w:rPr>
          <w:rFonts w:asciiTheme="minorHAnsi" w:hAnsiTheme="minorHAnsi" w:cstheme="minorHAnsi"/>
          <w:bCs/>
          <w:i/>
          <w:lang w:val="en-US"/>
        </w:rPr>
        <w:t>Psychology</w:t>
      </w:r>
      <w:r w:rsidRPr="00A1457E">
        <w:rPr>
          <w:rFonts w:asciiTheme="minorHAnsi" w:hAnsiTheme="minorHAnsi" w:cstheme="minorHAnsi"/>
          <w:bCs/>
          <w:i/>
        </w:rPr>
        <w:t xml:space="preserve"> </w:t>
      </w:r>
      <w:r w:rsidRPr="005A464E">
        <w:rPr>
          <w:rFonts w:asciiTheme="minorHAnsi" w:hAnsiTheme="minorHAnsi" w:cstheme="minorHAnsi"/>
          <w:bCs/>
          <w:i/>
          <w:lang w:val="en-US"/>
        </w:rPr>
        <w:t>Research</w:t>
      </w:r>
      <w:r w:rsidRPr="00A1457E">
        <w:rPr>
          <w:rFonts w:asciiTheme="minorHAnsi" w:hAnsiTheme="minorHAnsi" w:cstheme="minorHAnsi"/>
          <w:bCs/>
        </w:rPr>
        <w:t xml:space="preserve">, </w:t>
      </w:r>
      <w:r w:rsidRPr="00A1457E">
        <w:rPr>
          <w:rFonts w:asciiTheme="minorHAnsi" w:hAnsiTheme="minorHAnsi" w:cstheme="minorHAnsi"/>
          <w:bCs/>
          <w:i/>
        </w:rPr>
        <w:t>5</w:t>
      </w:r>
      <w:r w:rsidRPr="00A1457E">
        <w:rPr>
          <w:rFonts w:asciiTheme="minorHAnsi" w:hAnsiTheme="minorHAnsi" w:cstheme="minorHAnsi"/>
          <w:bCs/>
        </w:rPr>
        <w:t xml:space="preserve">: 6647, </w:t>
      </w:r>
      <w:r w:rsidR="00292B29" w:rsidRPr="005A464E">
        <w:rPr>
          <w:rFonts w:asciiTheme="minorHAnsi" w:hAnsiTheme="minorHAnsi" w:cstheme="minorHAnsi"/>
          <w:bCs/>
          <w:color w:val="111111"/>
          <w:shd w:val="clear" w:color="auto" w:fill="FFFFFF"/>
          <w:lang w:val="en-US"/>
        </w:rPr>
        <w:t>DOI</w:t>
      </w:r>
      <w:r w:rsidRPr="00A1457E">
        <w:rPr>
          <w:rFonts w:asciiTheme="minorHAnsi" w:hAnsiTheme="minorHAnsi" w:cstheme="minorHAnsi"/>
          <w:b/>
          <w:bCs/>
          <w:color w:val="111111"/>
          <w:shd w:val="clear" w:color="auto" w:fill="FFFFFF"/>
        </w:rPr>
        <w:t>:</w:t>
      </w:r>
      <w:r w:rsidRPr="005A464E">
        <w:rPr>
          <w:rStyle w:val="apple-converted-space"/>
          <w:rFonts w:asciiTheme="minorHAnsi" w:hAnsiTheme="minorHAnsi" w:cstheme="minorHAnsi"/>
          <w:color w:val="111111"/>
          <w:shd w:val="clear" w:color="auto" w:fill="FFFFFF"/>
          <w:lang w:val="en-US"/>
        </w:rPr>
        <w:t> </w:t>
      </w:r>
      <w:hyperlink r:id="rId103" w:tgtFrame="_blank" w:history="1">
        <w:r w:rsidRPr="00A1457E">
          <w:rPr>
            <w:rStyle w:val="-"/>
            <w:rFonts w:asciiTheme="minorHAnsi" w:hAnsiTheme="minorHAnsi" w:cstheme="minorHAnsi"/>
            <w:color w:val="000000"/>
            <w:u w:val="none"/>
            <w:shd w:val="clear" w:color="auto" w:fill="FFFFFF"/>
          </w:rPr>
          <w:t>10.4081/</w:t>
        </w:r>
        <w:r w:rsidRPr="005A464E">
          <w:rPr>
            <w:rStyle w:val="-"/>
            <w:rFonts w:asciiTheme="minorHAnsi" w:hAnsiTheme="minorHAnsi" w:cstheme="minorHAnsi"/>
            <w:color w:val="000000"/>
            <w:u w:val="none"/>
            <w:shd w:val="clear" w:color="auto" w:fill="FFFFFF"/>
            <w:lang w:val="en-US"/>
          </w:rPr>
          <w:t>hpr</w:t>
        </w:r>
        <w:r w:rsidRPr="00A1457E">
          <w:rPr>
            <w:rStyle w:val="-"/>
            <w:rFonts w:asciiTheme="minorHAnsi" w:hAnsiTheme="minorHAnsi" w:cstheme="minorHAnsi"/>
            <w:color w:val="000000"/>
            <w:u w:val="none"/>
            <w:shd w:val="clear" w:color="auto" w:fill="FFFFFF"/>
          </w:rPr>
          <w:t>.2017.6647</w:t>
        </w:r>
      </w:hyperlink>
      <w:r w:rsidR="00A9792B" w:rsidRPr="00A1457E">
        <w:rPr>
          <w:rFonts w:asciiTheme="minorHAnsi" w:hAnsiTheme="minorHAnsi"/>
        </w:rPr>
        <w:t>.</w:t>
      </w:r>
    </w:p>
    <w:p w:rsidR="00E50302" w:rsidRPr="00E50302" w:rsidRDefault="00E50302" w:rsidP="005A464E">
      <w:pPr>
        <w:pStyle w:val="Web"/>
        <w:spacing w:after="166" w:line="360" w:lineRule="auto"/>
        <w:ind w:left="415" w:hanging="415"/>
        <w:jc w:val="both"/>
        <w:rPr>
          <w:rFonts w:asciiTheme="minorHAnsi" w:hAnsiTheme="minorHAnsi"/>
        </w:rPr>
      </w:pPr>
      <w:r>
        <w:rPr>
          <w:rFonts w:asciiTheme="minorHAnsi" w:hAnsiTheme="minorHAnsi" w:cstheme="minorHAnsi"/>
          <w:color w:val="111111"/>
          <w:shd w:val="clear" w:color="auto" w:fill="FFFFFF"/>
        </w:rPr>
        <w:t>Αλικάρη, Β</w:t>
      </w:r>
      <w:r w:rsidRPr="00E50302">
        <w:rPr>
          <w:rFonts w:asciiTheme="minorHAnsi" w:hAnsiTheme="minorHAnsi"/>
        </w:rPr>
        <w:t>.</w:t>
      </w:r>
      <w:r>
        <w:rPr>
          <w:rFonts w:asciiTheme="minorHAnsi" w:hAnsiTheme="minorHAnsi"/>
        </w:rPr>
        <w:t xml:space="preserve"> (2017). Αιμοκάθαρση. Απαντήσεις σε συνήθη ερωτήματα. Εκδ ΒΗΤΑ, Αθήνα, 2017.</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Allen</w:t>
      </w:r>
      <w:r w:rsidRPr="00E50302">
        <w:rPr>
          <w:rFonts w:asciiTheme="minorHAnsi" w:eastAsia="Times New Roman" w:hAnsiTheme="minorHAnsi" w:cstheme="minorHAnsi"/>
          <w:lang w:eastAsia="el-GR"/>
        </w:rPr>
        <w:t xml:space="preserve">, </w:t>
      </w:r>
      <w:r w:rsidRPr="005A464E">
        <w:rPr>
          <w:rFonts w:asciiTheme="minorHAnsi" w:eastAsia="Times New Roman" w:hAnsiTheme="minorHAnsi" w:cstheme="minorHAnsi"/>
          <w:lang w:val="en-US" w:eastAsia="el-GR"/>
        </w:rPr>
        <w:t>K</w:t>
      </w:r>
      <w:r w:rsidRPr="00E50302">
        <w:rPr>
          <w:rFonts w:asciiTheme="minorHAnsi" w:eastAsia="Times New Roman" w:hAnsiTheme="minorHAnsi" w:cstheme="minorHAnsi"/>
          <w:lang w:eastAsia="el-GR"/>
        </w:rPr>
        <w:t>.</w:t>
      </w:r>
      <w:r w:rsidRPr="005A464E">
        <w:rPr>
          <w:rFonts w:asciiTheme="minorHAnsi" w:eastAsia="Times New Roman" w:hAnsiTheme="minorHAnsi" w:cstheme="minorHAnsi"/>
          <w:lang w:val="en-US" w:eastAsia="el-GR"/>
        </w:rPr>
        <w:t>L</w:t>
      </w:r>
      <w:r w:rsidRPr="00E50302">
        <w:rPr>
          <w:rFonts w:asciiTheme="minorHAnsi" w:eastAsia="Times New Roman" w:hAnsiTheme="minorHAnsi" w:cstheme="minorHAnsi"/>
          <w:lang w:eastAsia="el-GR"/>
        </w:rPr>
        <w:t xml:space="preserve">., </w:t>
      </w:r>
      <w:r w:rsidRPr="005A464E">
        <w:rPr>
          <w:rFonts w:asciiTheme="minorHAnsi" w:eastAsia="Times New Roman" w:hAnsiTheme="minorHAnsi" w:cstheme="minorHAnsi"/>
          <w:lang w:val="en-US" w:eastAsia="el-GR"/>
        </w:rPr>
        <w:t>Miskulin</w:t>
      </w:r>
      <w:r w:rsidRPr="00E50302">
        <w:rPr>
          <w:rFonts w:asciiTheme="minorHAnsi" w:eastAsia="Times New Roman" w:hAnsiTheme="minorHAnsi" w:cstheme="minorHAnsi"/>
          <w:lang w:eastAsia="el-GR"/>
        </w:rPr>
        <w:t xml:space="preserve">, </w:t>
      </w:r>
      <w:r w:rsidRPr="005A464E">
        <w:rPr>
          <w:rFonts w:asciiTheme="minorHAnsi" w:eastAsia="Times New Roman" w:hAnsiTheme="minorHAnsi" w:cstheme="minorHAnsi"/>
          <w:lang w:val="en-US" w:eastAsia="el-GR"/>
        </w:rPr>
        <w:t>D</w:t>
      </w:r>
      <w:r w:rsidRPr="00E50302">
        <w:rPr>
          <w:rFonts w:asciiTheme="minorHAnsi" w:eastAsia="Times New Roman" w:hAnsiTheme="minorHAnsi" w:cstheme="minorHAnsi"/>
          <w:lang w:eastAsia="el-GR"/>
        </w:rPr>
        <w:t xml:space="preserve">., </w:t>
      </w:r>
      <w:r w:rsidRPr="005A464E">
        <w:rPr>
          <w:rFonts w:asciiTheme="minorHAnsi" w:eastAsia="Times New Roman" w:hAnsiTheme="minorHAnsi" w:cstheme="minorHAnsi"/>
          <w:lang w:val="en-US" w:eastAsia="el-GR"/>
        </w:rPr>
        <w:t>Yan</w:t>
      </w:r>
      <w:r w:rsidRPr="00E50302">
        <w:rPr>
          <w:rFonts w:asciiTheme="minorHAnsi" w:eastAsia="Times New Roman" w:hAnsiTheme="minorHAnsi" w:cstheme="minorHAnsi"/>
          <w:lang w:eastAsia="el-GR"/>
        </w:rPr>
        <w:t xml:space="preserve">, </w:t>
      </w:r>
      <w:r w:rsidRPr="005A464E">
        <w:rPr>
          <w:rFonts w:asciiTheme="minorHAnsi" w:eastAsia="Times New Roman" w:hAnsiTheme="minorHAnsi" w:cstheme="minorHAnsi"/>
          <w:lang w:val="en-US" w:eastAsia="el-GR"/>
        </w:rPr>
        <w:t>G</w:t>
      </w:r>
      <w:r w:rsidRPr="00E50302">
        <w:rPr>
          <w:rFonts w:asciiTheme="minorHAnsi" w:eastAsia="Times New Roman" w:hAnsiTheme="minorHAnsi" w:cstheme="minorHAnsi"/>
          <w:lang w:eastAsia="el-GR"/>
        </w:rPr>
        <w:t xml:space="preserve">., </w:t>
      </w:r>
      <w:r w:rsidRPr="005A464E">
        <w:rPr>
          <w:rFonts w:asciiTheme="minorHAnsi" w:eastAsia="Times New Roman" w:hAnsiTheme="minorHAnsi" w:cstheme="minorHAnsi"/>
          <w:lang w:val="en-US" w:eastAsia="el-GR"/>
        </w:rPr>
        <w:t>Dwyer</w:t>
      </w:r>
      <w:r w:rsidRPr="00E50302">
        <w:rPr>
          <w:rFonts w:asciiTheme="minorHAnsi" w:eastAsia="Times New Roman" w:hAnsiTheme="minorHAnsi" w:cstheme="minorHAnsi"/>
          <w:lang w:eastAsia="el-GR"/>
        </w:rPr>
        <w:t xml:space="preserve">, </w:t>
      </w:r>
      <w:r w:rsidRPr="005A464E">
        <w:rPr>
          <w:rFonts w:asciiTheme="minorHAnsi" w:eastAsia="Times New Roman" w:hAnsiTheme="minorHAnsi" w:cstheme="minorHAnsi"/>
          <w:lang w:val="en-US" w:eastAsia="el-GR"/>
        </w:rPr>
        <w:t>J</w:t>
      </w:r>
      <w:r w:rsidRPr="00E50302">
        <w:rPr>
          <w:rFonts w:asciiTheme="minorHAnsi" w:eastAsia="Times New Roman" w:hAnsiTheme="minorHAnsi" w:cstheme="minorHAnsi"/>
          <w:lang w:eastAsia="el-GR"/>
        </w:rPr>
        <w:t>.</w:t>
      </w:r>
      <w:r w:rsidRPr="005A464E">
        <w:rPr>
          <w:rFonts w:asciiTheme="minorHAnsi" w:eastAsia="Times New Roman" w:hAnsiTheme="minorHAnsi" w:cstheme="minorHAnsi"/>
          <w:lang w:val="en-US" w:eastAsia="el-GR"/>
        </w:rPr>
        <w:t>T</w:t>
      </w:r>
      <w:r w:rsidRPr="00E50302">
        <w:rPr>
          <w:rFonts w:asciiTheme="minorHAnsi" w:eastAsia="Times New Roman" w:hAnsiTheme="minorHAnsi" w:cstheme="minorHAnsi"/>
          <w:lang w:eastAsia="el-GR"/>
        </w:rPr>
        <w:t xml:space="preserve">., </w:t>
      </w:r>
      <w:r w:rsidRPr="005A464E">
        <w:rPr>
          <w:rFonts w:asciiTheme="minorHAnsi" w:eastAsia="Times New Roman" w:hAnsiTheme="minorHAnsi" w:cstheme="minorHAnsi"/>
          <w:lang w:val="en-US" w:eastAsia="el-GR"/>
        </w:rPr>
        <w:t>Frydrych</w:t>
      </w:r>
      <w:r w:rsidRPr="00E50302">
        <w:rPr>
          <w:rFonts w:asciiTheme="minorHAnsi" w:eastAsia="Times New Roman" w:hAnsiTheme="minorHAnsi" w:cstheme="minorHAnsi"/>
          <w:lang w:eastAsia="el-GR"/>
        </w:rPr>
        <w:t xml:space="preserve">, </w:t>
      </w:r>
      <w:r w:rsidRPr="005A464E">
        <w:rPr>
          <w:rFonts w:asciiTheme="minorHAnsi" w:eastAsia="Times New Roman" w:hAnsiTheme="minorHAnsi" w:cstheme="minorHAnsi"/>
          <w:lang w:val="en-US" w:eastAsia="el-GR"/>
        </w:rPr>
        <w:t>A</w:t>
      </w:r>
      <w:r w:rsidRPr="00E50302">
        <w:rPr>
          <w:rFonts w:asciiTheme="minorHAnsi" w:eastAsia="Times New Roman" w:hAnsiTheme="minorHAnsi" w:cstheme="minorHAnsi"/>
          <w:lang w:eastAsia="el-GR"/>
        </w:rPr>
        <w:t xml:space="preserve">., </w:t>
      </w:r>
      <w:r w:rsidRPr="005A464E">
        <w:rPr>
          <w:rFonts w:asciiTheme="minorHAnsi" w:eastAsia="Times New Roman" w:hAnsiTheme="minorHAnsi" w:cstheme="minorHAnsi"/>
          <w:lang w:val="en-US" w:eastAsia="el-GR"/>
        </w:rPr>
        <w:t>Leung</w:t>
      </w:r>
      <w:r w:rsidRPr="00E50302">
        <w:rPr>
          <w:rFonts w:asciiTheme="minorHAnsi" w:eastAsia="Times New Roman" w:hAnsiTheme="minorHAnsi" w:cstheme="minorHAnsi"/>
          <w:lang w:eastAsia="el-GR"/>
        </w:rPr>
        <w:t xml:space="preserve">, </w:t>
      </w:r>
      <w:r w:rsidRPr="005A464E">
        <w:rPr>
          <w:rFonts w:asciiTheme="minorHAnsi" w:eastAsia="Times New Roman" w:hAnsiTheme="minorHAnsi" w:cstheme="minorHAnsi"/>
          <w:lang w:val="en-US" w:eastAsia="el-GR"/>
        </w:rPr>
        <w:t>J</w:t>
      </w:r>
      <w:r w:rsidRPr="00E50302">
        <w:rPr>
          <w:rFonts w:asciiTheme="minorHAnsi" w:eastAsia="Times New Roman" w:hAnsiTheme="minorHAnsi" w:cstheme="minorHAnsi"/>
          <w:lang w:eastAsia="el-GR"/>
        </w:rPr>
        <w:t xml:space="preserve">., </w:t>
      </w:r>
      <w:r w:rsidR="00267243" w:rsidRPr="00E50302">
        <w:rPr>
          <w:rFonts w:asciiTheme="minorHAnsi" w:eastAsia="Times New Roman" w:hAnsiTheme="minorHAnsi" w:cstheme="minorHAnsi"/>
          <w:lang w:eastAsia="el-GR"/>
        </w:rPr>
        <w:t xml:space="preserve">… </w:t>
      </w:r>
      <w:r w:rsidRPr="00A1457E">
        <w:rPr>
          <w:rFonts w:asciiTheme="minorHAnsi" w:eastAsia="Times New Roman" w:hAnsiTheme="minorHAnsi" w:cstheme="minorHAnsi"/>
          <w:lang w:val="en-US" w:eastAsia="el-GR"/>
        </w:rPr>
        <w:t xml:space="preserve">&amp; </w:t>
      </w:r>
      <w:r w:rsidRPr="005A464E">
        <w:rPr>
          <w:rFonts w:asciiTheme="minorHAnsi" w:eastAsia="Times New Roman" w:hAnsiTheme="minorHAnsi" w:cstheme="minorHAnsi"/>
          <w:lang w:val="en-US" w:eastAsia="el-GR"/>
        </w:rPr>
        <w:t>the</w:t>
      </w:r>
      <w:r w:rsidRPr="00A1457E">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Hemodialysis</w:t>
      </w:r>
      <w:r w:rsidRPr="00A1457E">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HEMO</w:t>
      </w:r>
      <w:r w:rsidRPr="00A1457E">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Study</w:t>
      </w:r>
      <w:r w:rsidRPr="00A1457E">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Group</w:t>
      </w:r>
      <w:r w:rsidRPr="00A1457E">
        <w:rPr>
          <w:rFonts w:asciiTheme="minorHAnsi" w:eastAsia="Times New Roman" w:hAnsiTheme="minorHAnsi" w:cstheme="minorHAnsi"/>
          <w:lang w:val="en-US" w:eastAsia="el-GR"/>
        </w:rPr>
        <w:t xml:space="preserve">. (2002). </w:t>
      </w:r>
      <w:r w:rsidRPr="005A464E">
        <w:rPr>
          <w:rFonts w:asciiTheme="minorHAnsi" w:eastAsia="Times New Roman" w:hAnsiTheme="minorHAnsi" w:cstheme="minorHAnsi"/>
          <w:lang w:val="en-US" w:eastAsia="el-GR"/>
        </w:rPr>
        <w:t xml:space="preserve">Association of nutritional markers with physical and mental health status in prevalent hemodialysis patients from HEMO study. </w:t>
      </w:r>
      <w:r w:rsidRPr="005A464E">
        <w:rPr>
          <w:rFonts w:asciiTheme="minorHAnsi" w:eastAsia="Times New Roman" w:hAnsiTheme="minorHAnsi" w:cstheme="minorHAnsi"/>
          <w:i/>
          <w:lang w:val="en-US" w:eastAsia="el-GR"/>
        </w:rPr>
        <w:t>Journal of Renal Nutrition</w:t>
      </w:r>
      <w:r w:rsidRPr="005A464E">
        <w:rPr>
          <w:rFonts w:asciiTheme="minorHAnsi" w:eastAsia="Times New Roman" w:hAnsiTheme="minorHAnsi" w:cstheme="minorHAnsi"/>
          <w:lang w:val="en-US" w:eastAsia="el-GR"/>
        </w:rPr>
        <w:t xml:space="preserve">, </w:t>
      </w:r>
      <w:r w:rsidRPr="00ED3043">
        <w:rPr>
          <w:rFonts w:asciiTheme="minorHAnsi" w:eastAsia="Times New Roman" w:hAnsiTheme="minorHAnsi" w:cstheme="minorHAnsi"/>
          <w:i/>
          <w:lang w:val="en-US" w:eastAsia="el-GR"/>
        </w:rPr>
        <w:t>12</w:t>
      </w:r>
      <w:r w:rsidRPr="005A464E">
        <w:rPr>
          <w:rFonts w:asciiTheme="minorHAnsi" w:eastAsia="Times New Roman" w:hAnsiTheme="minorHAnsi" w:cstheme="minorHAnsi"/>
          <w:lang w:val="en-US" w:eastAsia="el-GR"/>
        </w:rPr>
        <w:t>, 160-169.</w:t>
      </w:r>
      <w:r w:rsidRPr="005A464E">
        <w:rPr>
          <w:rFonts w:asciiTheme="minorHAnsi" w:hAnsiTheme="minorHAnsi" w:cstheme="minorHAnsi"/>
          <w:lang w:val="en-US"/>
        </w:rPr>
        <w:t xml:space="preserve"> </w:t>
      </w:r>
      <w:r w:rsidRPr="005A464E">
        <w:rPr>
          <w:rFonts w:asciiTheme="minorHAnsi" w:hAnsiTheme="minorHAnsi" w:cstheme="minorHAnsi"/>
          <w:lang w:val="en-US"/>
        </w:rPr>
        <w:br/>
      </w:r>
      <w:r w:rsidRPr="005A464E">
        <w:rPr>
          <w:rStyle w:val="apple-converted-space"/>
          <w:rFonts w:asciiTheme="minorHAnsi" w:hAnsiTheme="minorHAnsi" w:cstheme="minorHAnsi"/>
          <w:shd w:val="clear" w:color="auto" w:fill="FFFFFF"/>
          <w:lang w:val="en-US"/>
        </w:rPr>
        <w:t> </w:t>
      </w:r>
      <w:hyperlink r:id="rId104" w:history="1">
        <w:r w:rsidRPr="005A464E">
          <w:rPr>
            <w:rStyle w:val="-"/>
            <w:rFonts w:asciiTheme="minorHAnsi" w:hAnsiTheme="minorHAnsi" w:cstheme="minorHAnsi"/>
            <w:color w:val="auto"/>
            <w:u w:val="none"/>
            <w:shd w:val="clear" w:color="auto" w:fill="FFFFFF"/>
            <w:lang w:val="en-US"/>
          </w:rPr>
          <w:t>http://dx.</w:t>
        </w:r>
        <w:r w:rsidR="00292B29" w:rsidRPr="005A464E">
          <w:rPr>
            <w:rStyle w:val="-"/>
            <w:rFonts w:asciiTheme="minorHAnsi" w:hAnsiTheme="minorHAnsi" w:cstheme="minorHAnsi"/>
            <w:color w:val="auto"/>
            <w:u w:val="none"/>
            <w:shd w:val="clear" w:color="auto" w:fill="FFFFFF"/>
            <w:lang w:val="en-US"/>
          </w:rPr>
          <w:t>DOI</w:t>
        </w:r>
        <w:r w:rsidRPr="005A464E">
          <w:rPr>
            <w:rStyle w:val="-"/>
            <w:rFonts w:asciiTheme="minorHAnsi" w:hAnsiTheme="minorHAnsi" w:cstheme="minorHAnsi"/>
            <w:color w:val="auto"/>
            <w:u w:val="none"/>
            <w:shd w:val="clear" w:color="auto" w:fill="FFFFFF"/>
            <w:lang w:val="en-US"/>
          </w:rPr>
          <w:t>.org/10.1053/jren.2002.33512</w:t>
        </w:r>
      </w:hyperlink>
      <w:r w:rsidR="00A9792B"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Alonso, J., Regidor, E., Barrio, G., Prieto, L., Rodriguez, C. &amp; Fuente, L. (1998). Valores poblacionales de referencia de la versión española del cuestionario de salud SF-36. </w:t>
      </w:r>
      <w:r w:rsidRPr="005A464E">
        <w:rPr>
          <w:rFonts w:asciiTheme="minorHAnsi" w:eastAsia="Times New Roman" w:hAnsiTheme="minorHAnsi" w:cstheme="minorHAnsi"/>
          <w:i/>
          <w:lang w:val="en-US" w:eastAsia="el-GR"/>
        </w:rPr>
        <w:t>Medicina Clínica</w:t>
      </w:r>
      <w:r w:rsidR="00A9792B" w:rsidRPr="005A464E">
        <w:rPr>
          <w:rFonts w:asciiTheme="minorHAnsi" w:eastAsia="Times New Roman" w:hAnsiTheme="minorHAnsi" w:cstheme="minorHAnsi"/>
          <w:i/>
          <w:lang w:val="en-US" w:eastAsia="el-GR"/>
        </w:rPr>
        <w:t>,</w:t>
      </w:r>
      <w:r w:rsidRPr="005A464E">
        <w:rPr>
          <w:rFonts w:asciiTheme="minorHAnsi" w:eastAsia="Times New Roman" w:hAnsiTheme="minorHAnsi" w:cstheme="minorHAnsi"/>
          <w:lang w:val="en-US" w:eastAsia="el-GR"/>
        </w:rPr>
        <w:t xml:space="preserve"> </w:t>
      </w:r>
      <w:r w:rsidRPr="00ED3043">
        <w:rPr>
          <w:rFonts w:asciiTheme="minorHAnsi" w:eastAsia="Times New Roman" w:hAnsiTheme="minorHAnsi" w:cstheme="minorHAnsi"/>
          <w:i/>
          <w:lang w:val="en-US" w:eastAsia="el-GR"/>
        </w:rPr>
        <w:t>111</w:t>
      </w:r>
      <w:r w:rsidRPr="005A464E">
        <w:rPr>
          <w:rFonts w:asciiTheme="minorHAnsi" w:eastAsia="Times New Roman" w:hAnsiTheme="minorHAnsi" w:cstheme="minorHAnsi"/>
          <w:lang w:val="en-US" w:eastAsia="el-GR"/>
        </w:rPr>
        <w:t>, 410-416.</w:t>
      </w:r>
    </w:p>
    <w:p w:rsidR="003D7F16" w:rsidRPr="005A464E" w:rsidRDefault="003D7F16"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hAnsiTheme="minorHAnsi" w:cstheme="minorHAnsi"/>
          <w:lang w:val="en-US"/>
        </w:rPr>
        <w:t>Amany</w:t>
      </w:r>
      <w:r w:rsidR="00A9792B" w:rsidRPr="005A464E">
        <w:rPr>
          <w:rFonts w:asciiTheme="minorHAnsi" w:hAnsiTheme="minorHAnsi" w:cstheme="minorHAnsi"/>
          <w:lang w:val="en-US"/>
        </w:rPr>
        <w:t>,</w:t>
      </w:r>
      <w:r w:rsidRPr="005A464E">
        <w:rPr>
          <w:rFonts w:asciiTheme="minorHAnsi" w:hAnsiTheme="minorHAnsi" w:cstheme="minorHAnsi"/>
          <w:lang w:val="en-US"/>
        </w:rPr>
        <w:t xml:space="preserve"> Y</w:t>
      </w:r>
      <w:r w:rsidR="00BB4BB3" w:rsidRPr="005A464E">
        <w:rPr>
          <w:rFonts w:asciiTheme="minorHAnsi" w:hAnsiTheme="minorHAnsi" w:cstheme="minorHAnsi"/>
          <w:lang w:val="en-US"/>
        </w:rPr>
        <w:t>.S.</w:t>
      </w:r>
      <w:r w:rsidRPr="005A464E">
        <w:rPr>
          <w:rFonts w:asciiTheme="minorHAnsi" w:hAnsiTheme="minorHAnsi" w:cstheme="minorHAnsi"/>
          <w:lang w:val="en-US"/>
        </w:rPr>
        <w:t xml:space="preserve"> (2016). The impact of educational interventions on hemodialysis patients' adherence to fluid and sodium restrictions. </w:t>
      </w:r>
      <w:r w:rsidRPr="005A464E">
        <w:rPr>
          <w:rFonts w:asciiTheme="minorHAnsi" w:hAnsiTheme="minorHAnsi" w:cstheme="minorHAnsi"/>
          <w:i/>
          <w:lang w:val="en-US"/>
        </w:rPr>
        <w:t>Journal of Nursing and Health Science</w:t>
      </w:r>
      <w:r w:rsidRPr="005A464E">
        <w:rPr>
          <w:rFonts w:asciiTheme="minorHAnsi" w:hAnsiTheme="minorHAnsi" w:cstheme="minorHAnsi"/>
          <w:lang w:val="en-US"/>
        </w:rPr>
        <w:t xml:space="preserve">, </w:t>
      </w:r>
      <w:r w:rsidRPr="00ED3043">
        <w:rPr>
          <w:rFonts w:asciiTheme="minorHAnsi" w:hAnsiTheme="minorHAnsi" w:cstheme="minorHAnsi"/>
          <w:i/>
          <w:lang w:val="en-US"/>
        </w:rPr>
        <w:t>5</w:t>
      </w:r>
      <w:r w:rsidRPr="005A464E">
        <w:rPr>
          <w:rFonts w:asciiTheme="minorHAnsi" w:hAnsiTheme="minorHAnsi" w:cstheme="minorHAnsi"/>
          <w:lang w:val="en-US"/>
        </w:rPr>
        <w:t>, 55-60.</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Amarantos, E., Martinez, A., &amp; Dwyer, J. (2001). Nutrition and quality of life in older adults. </w:t>
      </w:r>
      <w:r w:rsidRPr="005A464E">
        <w:rPr>
          <w:rFonts w:asciiTheme="minorHAnsi" w:hAnsiTheme="minorHAnsi" w:cstheme="minorHAnsi"/>
          <w:i/>
          <w:iCs/>
          <w:lang w:val="en-US"/>
        </w:rPr>
        <w:t>The Journal of Gerontology</w:t>
      </w:r>
      <w:r w:rsidRPr="005A464E">
        <w:rPr>
          <w:rFonts w:asciiTheme="minorHAnsi" w:hAnsiTheme="minorHAnsi" w:cstheme="minorHAnsi"/>
          <w:iCs/>
          <w:lang w:val="en-US"/>
        </w:rPr>
        <w:t xml:space="preserve">, </w:t>
      </w:r>
      <w:r w:rsidRPr="00ED3043">
        <w:rPr>
          <w:rFonts w:asciiTheme="minorHAnsi" w:hAnsiTheme="minorHAnsi" w:cstheme="minorHAnsi"/>
          <w:i/>
          <w:iCs/>
          <w:lang w:val="en-US"/>
        </w:rPr>
        <w:t>56</w:t>
      </w:r>
      <w:r w:rsidRPr="005A464E">
        <w:rPr>
          <w:rFonts w:asciiTheme="minorHAnsi" w:hAnsiTheme="minorHAnsi" w:cstheme="minorHAnsi"/>
          <w:lang w:val="en-US"/>
        </w:rPr>
        <w:t>, 54-64</w:t>
      </w:r>
      <w:r w:rsidR="00A9792B" w:rsidRPr="005A464E">
        <w:rPr>
          <w:rFonts w:asciiTheme="minorHAnsi" w:hAnsiTheme="minorHAnsi" w:cstheme="minorHAnsi"/>
          <w:lang w:val="en-US"/>
        </w:rPr>
        <w:t>.</w:t>
      </w:r>
    </w:p>
    <w:p w:rsidR="003C410F" w:rsidRPr="005A464E" w:rsidRDefault="004824C4"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American </w:t>
      </w:r>
      <w:r w:rsidRPr="005A464E">
        <w:rPr>
          <w:rFonts w:asciiTheme="minorHAnsi" w:hAnsiTheme="minorHAnsi" w:cstheme="minorHAnsi"/>
        </w:rPr>
        <w:t>Η</w:t>
      </w:r>
      <w:r w:rsidRPr="005A464E">
        <w:rPr>
          <w:rFonts w:asciiTheme="minorHAnsi" w:hAnsiTheme="minorHAnsi" w:cstheme="minorHAnsi"/>
          <w:lang w:val="en-US"/>
        </w:rPr>
        <w:t xml:space="preserve">ospital </w:t>
      </w:r>
      <w:r w:rsidRPr="005A464E">
        <w:rPr>
          <w:rFonts w:asciiTheme="minorHAnsi" w:hAnsiTheme="minorHAnsi" w:cstheme="minorHAnsi"/>
        </w:rPr>
        <w:t>Α</w:t>
      </w:r>
      <w:r w:rsidR="003C410F" w:rsidRPr="005A464E">
        <w:rPr>
          <w:rFonts w:asciiTheme="minorHAnsi" w:hAnsiTheme="minorHAnsi" w:cstheme="minorHAnsi"/>
          <w:lang w:val="en-US"/>
        </w:rPr>
        <w:t>ssociation. (1975). Statemen</w:t>
      </w:r>
      <w:r w:rsidR="00BB4BB3" w:rsidRPr="005A464E">
        <w:rPr>
          <w:rFonts w:asciiTheme="minorHAnsi" w:hAnsiTheme="minorHAnsi" w:cstheme="minorHAnsi"/>
          <w:lang w:val="en-US"/>
        </w:rPr>
        <w:t>t of patient education. Chicago</w:t>
      </w:r>
      <w:r w:rsidR="003C410F" w:rsidRPr="005A464E">
        <w:rPr>
          <w:rFonts w:asciiTheme="minorHAnsi" w:hAnsiTheme="minorHAnsi" w:cstheme="minorHAnsi"/>
          <w:lang w:val="en-US"/>
        </w:rPr>
        <w:t>: American hospital association.</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Anderson, K.L. &amp; Burckhardt, C.S. (1999). Conceptualization and measurement of quality of life as an outcome variable for healthcare intervention and research. </w:t>
      </w:r>
      <w:r w:rsidRPr="005A464E">
        <w:rPr>
          <w:rFonts w:asciiTheme="minorHAnsi" w:hAnsiTheme="minorHAnsi" w:cstheme="minorHAnsi"/>
          <w:i/>
          <w:iCs/>
          <w:lang w:val="en-US"/>
        </w:rPr>
        <w:t>Journal of Advanced Nursing,</w:t>
      </w:r>
      <w:r w:rsidRPr="005A464E">
        <w:rPr>
          <w:rFonts w:asciiTheme="minorHAnsi" w:hAnsiTheme="minorHAnsi" w:cstheme="minorHAnsi"/>
          <w:iCs/>
          <w:lang w:val="en-US"/>
        </w:rPr>
        <w:t xml:space="preserve"> </w:t>
      </w:r>
      <w:r w:rsidRPr="00ED3043">
        <w:rPr>
          <w:rFonts w:asciiTheme="minorHAnsi" w:hAnsiTheme="minorHAnsi" w:cstheme="minorHAnsi"/>
          <w:i/>
          <w:iCs/>
          <w:lang w:val="en-US"/>
        </w:rPr>
        <w:t>29</w:t>
      </w:r>
      <w:r w:rsidRPr="005A464E">
        <w:rPr>
          <w:rFonts w:asciiTheme="minorHAnsi" w:hAnsiTheme="minorHAnsi" w:cstheme="minorHAnsi"/>
          <w:lang w:val="en-US"/>
        </w:rPr>
        <w:t>, 298-306</w:t>
      </w:r>
      <w:r w:rsidR="00BB4BB3" w:rsidRPr="005A464E">
        <w:rPr>
          <w:rFonts w:asciiTheme="minorHAnsi" w:hAnsiTheme="minorHAnsi" w:cstheme="minorHAnsi"/>
          <w:lang w:val="en-US"/>
        </w:rPr>
        <w:t>.</w:t>
      </w:r>
      <w:r w:rsidRPr="005A464E">
        <w:rPr>
          <w:rFonts w:asciiTheme="minorHAnsi" w:hAnsiTheme="minorHAnsi" w:cstheme="minorHAnsi"/>
          <w:lang w:val="en-US"/>
        </w:rPr>
        <w:t xml:space="preserve"> </w:t>
      </w:r>
      <w:r w:rsidR="00292B29" w:rsidRPr="005A464E">
        <w:rPr>
          <w:rFonts w:asciiTheme="minorHAnsi" w:hAnsiTheme="minorHAnsi" w:cstheme="minorHAnsi"/>
          <w:lang w:val="en-US"/>
        </w:rPr>
        <w:t>DOI</w:t>
      </w:r>
      <w:r w:rsidRPr="005A464E">
        <w:rPr>
          <w:rFonts w:asciiTheme="minorHAnsi" w:hAnsiTheme="minorHAnsi" w:cstheme="minorHAnsi"/>
          <w:lang w:val="en-US"/>
        </w:rPr>
        <w:t>:</w:t>
      </w:r>
      <w:r w:rsidRPr="005A464E">
        <w:rPr>
          <w:rFonts w:asciiTheme="minorHAnsi" w:hAnsiTheme="minorHAnsi" w:cstheme="minorHAnsi"/>
          <w:shd w:val="clear" w:color="auto" w:fill="FFFFFF"/>
          <w:lang w:val="en-US"/>
        </w:rPr>
        <w:t>10.1046/j.1365-2648.1999.00889.x</w:t>
      </w:r>
      <w:r w:rsidR="00A9792B" w:rsidRPr="005A464E">
        <w:rPr>
          <w:rFonts w:asciiTheme="minorHAnsi" w:hAnsiTheme="minorHAnsi" w:cstheme="minorHAnsi"/>
          <w:shd w:val="clear" w:color="auto" w:fill="FFFFFF"/>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lang w:val="en-US"/>
        </w:rPr>
        <w:t xml:space="preserve">Anon. (1997). Compliance - a broken concept. </w:t>
      </w:r>
      <w:r w:rsidRPr="005A464E">
        <w:rPr>
          <w:rFonts w:asciiTheme="minorHAnsi" w:hAnsiTheme="minorHAnsi" w:cstheme="minorHAnsi"/>
          <w:i/>
          <w:lang w:val="en-US"/>
        </w:rPr>
        <w:t>British Medical Journal,</w:t>
      </w:r>
      <w:r w:rsidRPr="005A464E">
        <w:rPr>
          <w:rFonts w:asciiTheme="minorHAnsi" w:hAnsiTheme="minorHAnsi" w:cstheme="minorHAnsi"/>
          <w:lang w:val="en-US"/>
        </w:rPr>
        <w:t xml:space="preserve"> 314</w:t>
      </w:r>
      <w:r w:rsidRPr="005A464E">
        <w:rPr>
          <w:rFonts w:asciiTheme="minorHAnsi" w:hAnsiTheme="minorHAnsi" w:cstheme="minorHAnsi"/>
          <w:shd w:val="clear" w:color="auto" w:fill="FFFFFF"/>
          <w:lang w:val="en-US"/>
        </w:rPr>
        <w:t xml:space="preserve"> (7082)</w:t>
      </w:r>
      <w:r w:rsidRPr="005A464E">
        <w:rPr>
          <w:rFonts w:asciiTheme="minorHAnsi" w:hAnsiTheme="minorHAnsi" w:cstheme="minorHAnsi"/>
          <w:bCs/>
          <w:bdr w:val="none" w:sz="0" w:space="0" w:color="auto" w:frame="1"/>
          <w:shd w:val="clear" w:color="auto" w:fill="FFFFFF"/>
          <w:lang w:val="en-US"/>
        </w:rPr>
        <w:t>,</w:t>
      </w:r>
      <w:r w:rsidRPr="005A464E">
        <w:rPr>
          <w:rStyle w:val="pagefirst"/>
          <w:rFonts w:asciiTheme="minorHAnsi" w:hAnsiTheme="minorHAnsi" w:cstheme="minorHAnsi"/>
          <w:bdr w:val="none" w:sz="0" w:space="0" w:color="auto" w:frame="1"/>
          <w:shd w:val="clear" w:color="auto" w:fill="FFFFFF"/>
          <w:lang w:val="en-US"/>
        </w:rPr>
        <w:t>1</w:t>
      </w:r>
      <w:r w:rsidRPr="005A464E">
        <w:rPr>
          <w:rFonts w:asciiTheme="minorHAnsi" w:hAnsiTheme="minorHAnsi" w:cstheme="minorHAnsi"/>
          <w:shd w:val="clear" w:color="auto" w:fill="FFFFFF"/>
          <w:lang w:val="en-US"/>
        </w:rPr>
        <w:t>–</w:t>
      </w:r>
      <w:r w:rsidRPr="005A464E">
        <w:rPr>
          <w:rStyle w:val="pagelast"/>
          <w:rFonts w:asciiTheme="minorHAnsi" w:hAnsiTheme="minorHAnsi" w:cstheme="minorHAnsi"/>
          <w:bdr w:val="none" w:sz="0" w:space="0" w:color="auto" w:frame="1"/>
          <w:shd w:val="clear" w:color="auto" w:fill="FFFFFF"/>
          <w:lang w:val="en-US"/>
        </w:rPr>
        <w:t>1</w:t>
      </w:r>
      <w:r w:rsidRPr="005A464E">
        <w:rPr>
          <w:rFonts w:asciiTheme="minorHAnsi" w:hAnsiTheme="minorHAnsi" w:cstheme="minorHAnsi"/>
          <w:shd w:val="clear" w:color="auto" w:fill="FFFFFF"/>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Ansell, D. &amp; Feest, T. (2004). UK renal registry report. Bristol: UK Renal Registry.</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Arenas, M.D., Malek, T., Álvarez-Ude, F., Gil, M.T., Moledous, A. &amp; Reig-Ferrer</w:t>
      </w:r>
      <w:r w:rsidR="00267243">
        <w:rPr>
          <w:rFonts w:asciiTheme="minorHAnsi" w:eastAsia="Times New Roman" w:hAnsiTheme="minorHAnsi" w:cstheme="minorHAnsi"/>
          <w:lang w:val="en-US" w:eastAsia="el-GR"/>
        </w:rPr>
        <w:t>,</w:t>
      </w:r>
      <w:r w:rsidRPr="005A464E">
        <w:rPr>
          <w:rFonts w:asciiTheme="minorHAnsi" w:eastAsia="Times New Roman" w:hAnsiTheme="minorHAnsi" w:cstheme="minorHAnsi"/>
          <w:lang w:val="en-US" w:eastAsia="el-GR"/>
        </w:rPr>
        <w:t xml:space="preserve"> A.</w:t>
      </w:r>
      <w:r w:rsidR="00267243">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 xml:space="preserve">(2010a). Phosphorus binders: preferences of patients on haemodialysis and its impact on treatment compliance and phosphorus control. </w:t>
      </w:r>
      <w:r w:rsidRPr="005A464E">
        <w:rPr>
          <w:rFonts w:asciiTheme="minorHAnsi" w:eastAsia="Times New Roman" w:hAnsiTheme="minorHAnsi" w:cstheme="minorHAnsi"/>
          <w:i/>
          <w:lang w:val="en-US" w:eastAsia="el-GR"/>
        </w:rPr>
        <w:t>Nefrologia</w:t>
      </w:r>
      <w:r w:rsidR="00ED3043">
        <w:rPr>
          <w:rFonts w:asciiTheme="minorHAnsi" w:eastAsia="Times New Roman" w:hAnsiTheme="minorHAnsi" w:cstheme="minorHAnsi"/>
          <w:lang w:val="en-US" w:eastAsia="el-GR"/>
        </w:rPr>
        <w:t xml:space="preserve">, </w:t>
      </w:r>
      <w:r w:rsidR="00ED3043" w:rsidRPr="00ED3043">
        <w:rPr>
          <w:rFonts w:asciiTheme="minorHAnsi" w:eastAsia="Times New Roman" w:hAnsiTheme="minorHAnsi" w:cstheme="minorHAnsi"/>
          <w:i/>
          <w:lang w:val="en-US" w:eastAsia="el-GR"/>
        </w:rPr>
        <w:t>30</w:t>
      </w:r>
      <w:r w:rsidR="00ED3043">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522–530.</w:t>
      </w:r>
      <w:r w:rsidRPr="005A464E">
        <w:rPr>
          <w:rFonts w:asciiTheme="minorHAnsi" w:hAnsiTheme="minorHAnsi" w:cstheme="minorHAnsi"/>
          <w:shd w:val="clear" w:color="auto" w:fill="FFFFFF"/>
          <w:lang w:val="en-US"/>
        </w:rPr>
        <w:t xml:space="preserve">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 10.3265/</w:t>
      </w:r>
      <w:r w:rsidRPr="005A464E">
        <w:rPr>
          <w:rStyle w:val="highlight"/>
          <w:rFonts w:asciiTheme="minorHAnsi" w:hAnsiTheme="minorHAnsi" w:cstheme="minorHAnsi"/>
          <w:shd w:val="clear" w:color="auto" w:fill="FFFFFF"/>
          <w:lang w:val="en-US"/>
        </w:rPr>
        <w:t>Nefrologia</w:t>
      </w:r>
      <w:r w:rsidRPr="005A464E">
        <w:rPr>
          <w:rFonts w:asciiTheme="minorHAnsi" w:hAnsiTheme="minorHAnsi" w:cstheme="minorHAnsi"/>
          <w:shd w:val="clear" w:color="auto" w:fill="FFFFFF"/>
          <w:lang w:val="en-US"/>
        </w:rPr>
        <w:t>.pre2010.may.10275.</w:t>
      </w:r>
    </w:p>
    <w:p w:rsidR="003C410F"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Arenas, M.D., Malek, T., Gil, M.T., Moledous, A., Alvarez-Ude, F. &amp; Reig-Ferrer</w:t>
      </w:r>
      <w:r w:rsidR="00B03F53" w:rsidRPr="005A464E">
        <w:rPr>
          <w:rFonts w:asciiTheme="minorHAnsi" w:eastAsia="Times New Roman" w:hAnsiTheme="minorHAnsi" w:cstheme="minorHAnsi"/>
          <w:lang w:val="en-US" w:eastAsia="el-GR"/>
        </w:rPr>
        <w:t>,</w:t>
      </w:r>
      <w:r w:rsidRPr="005A464E">
        <w:rPr>
          <w:rFonts w:asciiTheme="minorHAnsi" w:eastAsia="Times New Roman" w:hAnsiTheme="minorHAnsi" w:cstheme="minorHAnsi"/>
          <w:lang w:val="en-US" w:eastAsia="el-GR"/>
        </w:rPr>
        <w:t xml:space="preserve"> A. (2010b). Challenge of phosphorus control in hemodialysis patients: a problem of adherence? </w:t>
      </w:r>
      <w:r w:rsidRPr="005A464E">
        <w:rPr>
          <w:rFonts w:asciiTheme="minorHAnsi" w:eastAsia="Times New Roman" w:hAnsiTheme="minorHAnsi" w:cstheme="minorHAnsi"/>
          <w:i/>
          <w:lang w:val="en-US" w:eastAsia="el-GR"/>
        </w:rPr>
        <w:t xml:space="preserve">Journal of </w:t>
      </w:r>
      <w:r w:rsidRPr="00ED3043">
        <w:rPr>
          <w:rFonts w:asciiTheme="minorHAnsi" w:eastAsia="Times New Roman" w:hAnsiTheme="minorHAnsi" w:cstheme="minorHAnsi"/>
          <w:i/>
          <w:lang w:val="en-US" w:eastAsia="el-GR"/>
        </w:rPr>
        <w:t>Nephrology, 23</w:t>
      </w:r>
      <w:r w:rsidRPr="005A464E">
        <w:rPr>
          <w:rFonts w:asciiTheme="minorHAnsi" w:eastAsia="Times New Roman" w:hAnsiTheme="minorHAnsi" w:cstheme="minorHAnsi"/>
          <w:lang w:val="en-US" w:eastAsia="el-GR"/>
        </w:rPr>
        <w:t>, 525-534.</w:t>
      </w:r>
    </w:p>
    <w:p w:rsidR="008D1D4D" w:rsidRPr="008D1D4D" w:rsidRDefault="008D1D4D" w:rsidP="005A464E">
      <w:pPr>
        <w:pStyle w:val="Web"/>
        <w:spacing w:after="166" w:line="360" w:lineRule="auto"/>
        <w:ind w:left="415" w:hanging="415"/>
        <w:jc w:val="both"/>
        <w:rPr>
          <w:rFonts w:asciiTheme="minorHAnsi" w:eastAsia="Times New Roman" w:hAnsiTheme="minorHAnsi" w:cstheme="minorHAnsi"/>
          <w:lang w:val="en-US" w:eastAsia="el-GR"/>
        </w:rPr>
      </w:pPr>
      <w:r w:rsidRPr="008D1D4D">
        <w:rPr>
          <w:rFonts w:asciiTheme="minorHAnsi" w:hAnsiTheme="minorHAnsi" w:cstheme="minorHAnsi"/>
          <w:shd w:val="clear" w:color="auto" w:fill="FFFFFF"/>
          <w:lang w:val="en-US"/>
        </w:rPr>
        <w:t>Arnold, R., Issar, T., Krishnan, A. V., &amp; Pussell, B. A. (2016). Neurological complications in chronic kidney disease. </w:t>
      </w:r>
      <w:r w:rsidRPr="008D1D4D">
        <w:rPr>
          <w:rFonts w:asciiTheme="minorHAnsi" w:hAnsiTheme="minorHAnsi" w:cstheme="minorHAnsi"/>
          <w:i/>
          <w:iCs/>
          <w:shd w:val="clear" w:color="auto" w:fill="FFFFFF"/>
          <w:lang w:val="en-US"/>
        </w:rPr>
        <w:t>JRSM Cardiovascular Disease</w:t>
      </w:r>
      <w:r w:rsidRPr="008D1D4D">
        <w:rPr>
          <w:rFonts w:asciiTheme="minorHAnsi" w:hAnsiTheme="minorHAnsi" w:cstheme="minorHAnsi"/>
          <w:shd w:val="clear" w:color="auto" w:fill="FFFFFF"/>
          <w:lang w:val="en-US"/>
        </w:rPr>
        <w:t>, </w:t>
      </w:r>
      <w:r w:rsidRPr="008D1D4D">
        <w:rPr>
          <w:rFonts w:asciiTheme="minorHAnsi" w:hAnsiTheme="minorHAnsi" w:cstheme="minorHAnsi"/>
          <w:i/>
          <w:iCs/>
          <w:shd w:val="clear" w:color="auto" w:fill="FFFFFF"/>
          <w:lang w:val="en-US"/>
        </w:rPr>
        <w:t>5</w:t>
      </w:r>
      <w:r w:rsidRPr="008D1D4D">
        <w:rPr>
          <w:rFonts w:asciiTheme="minorHAnsi" w:hAnsiTheme="minorHAnsi" w:cstheme="minorHAnsi"/>
          <w:shd w:val="clear" w:color="auto" w:fill="FFFFFF"/>
          <w:lang w:val="en-US"/>
        </w:rPr>
        <w:t>, 2048004016677687. http://doi.org/10.1177/2048004016677687</w:t>
      </w:r>
    </w:p>
    <w:p w:rsidR="00840449" w:rsidRPr="005A464E" w:rsidRDefault="00840449"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hAnsiTheme="minorHAnsi"/>
          <w:lang w:val="en-US"/>
        </w:rPr>
        <w:t xml:space="preserve">Astor, B.C., Eustace, J.A., Powe, N.R., Klag, M.J., Fink, N.E., Coresh, J. (2005). Type of vascular access and survival among incident hemodialysis patients: the Choices for Healthy Outcomes in Caring for ESRD (CHOICE) Study. </w:t>
      </w:r>
      <w:r w:rsidRPr="005A464E">
        <w:rPr>
          <w:rFonts w:asciiTheme="minorHAnsi" w:hAnsiTheme="minorHAnsi"/>
          <w:i/>
          <w:lang w:val="en-US"/>
        </w:rPr>
        <w:t>Journal of the American Society of Nephrology</w:t>
      </w:r>
      <w:r w:rsidRPr="005A464E">
        <w:rPr>
          <w:rFonts w:asciiTheme="minorHAnsi" w:hAnsiTheme="minorHAnsi"/>
          <w:lang w:val="en-US"/>
        </w:rPr>
        <w:t xml:space="preserve">, </w:t>
      </w:r>
      <w:r w:rsidRPr="00ED3043">
        <w:rPr>
          <w:rFonts w:asciiTheme="minorHAnsi" w:hAnsiTheme="minorHAnsi"/>
          <w:i/>
          <w:lang w:val="en-US"/>
        </w:rPr>
        <w:t>16</w:t>
      </w:r>
      <w:r w:rsidRPr="005A464E">
        <w:rPr>
          <w:rFonts w:asciiTheme="minorHAnsi" w:hAnsiTheme="minorHAnsi"/>
          <w:lang w:val="en-US"/>
        </w:rPr>
        <w:t>, 1449-1455.</w:t>
      </w:r>
    </w:p>
    <w:p w:rsidR="00D2083A" w:rsidRDefault="00624D5A" w:rsidP="00D2083A">
      <w:pPr>
        <w:pStyle w:val="Web"/>
        <w:spacing w:after="166" w:line="360" w:lineRule="auto"/>
        <w:ind w:left="415" w:hanging="415"/>
        <w:jc w:val="both"/>
        <w:rPr>
          <w:rFonts w:asciiTheme="minorHAnsi" w:hAnsiTheme="minorHAnsi" w:cstheme="minorHAnsi"/>
          <w:bCs/>
          <w:shd w:val="clear" w:color="auto" w:fill="FFFFFF"/>
          <w:lang w:val="en-US"/>
        </w:rPr>
      </w:pPr>
      <w:r w:rsidRPr="005A464E">
        <w:rPr>
          <w:rFonts w:asciiTheme="minorHAnsi" w:hAnsiTheme="minorHAnsi" w:cstheme="minorHAnsi"/>
          <w:iCs/>
          <w:shd w:val="clear" w:color="auto" w:fill="FFFFFF"/>
          <w:lang w:val="en-US"/>
        </w:rPr>
        <w:t>Atik, D., Karatepe, H., Karatepe, C., Demir, S., Sökmen, S., &amp;</w:t>
      </w:r>
      <w:r w:rsidR="006A245E" w:rsidRPr="005A464E">
        <w:rPr>
          <w:rFonts w:asciiTheme="minorHAnsi" w:hAnsiTheme="minorHAnsi" w:cstheme="minorHAnsi"/>
          <w:iCs/>
          <w:shd w:val="clear" w:color="auto" w:fill="FFFFFF"/>
          <w:lang w:val="en-US"/>
        </w:rPr>
        <w:t xml:space="preserve"> </w:t>
      </w:r>
      <w:r w:rsidRPr="005A464E">
        <w:rPr>
          <w:rFonts w:asciiTheme="minorHAnsi" w:hAnsiTheme="minorHAnsi" w:cstheme="minorHAnsi"/>
          <w:iCs/>
          <w:shd w:val="clear" w:color="auto" w:fill="FFFFFF"/>
          <w:lang w:val="en-US"/>
        </w:rPr>
        <w:t>Çınar</w:t>
      </w:r>
      <w:r w:rsidR="006A245E" w:rsidRPr="005A464E">
        <w:rPr>
          <w:rFonts w:asciiTheme="minorHAnsi" w:hAnsiTheme="minorHAnsi" w:cstheme="minorHAnsi"/>
          <w:iCs/>
          <w:shd w:val="clear" w:color="auto" w:fill="FFFFFF"/>
          <w:lang w:val="en-US"/>
        </w:rPr>
        <w:t xml:space="preserve">, S. (2016). </w:t>
      </w:r>
      <w:r w:rsidR="006A245E" w:rsidRPr="005A464E">
        <w:rPr>
          <w:rFonts w:asciiTheme="minorHAnsi" w:hAnsiTheme="minorHAnsi" w:cstheme="minorHAnsi"/>
          <w:bCs/>
          <w:shd w:val="clear" w:color="auto" w:fill="FFFFFF"/>
          <w:lang w:val="en-US"/>
        </w:rPr>
        <w:t xml:space="preserve">Stress level and stress management in patients with arteriovenous fistula. </w:t>
      </w:r>
      <w:r w:rsidR="006A245E" w:rsidRPr="005A464E">
        <w:rPr>
          <w:rFonts w:asciiTheme="minorHAnsi" w:hAnsiTheme="minorHAnsi" w:cstheme="minorHAnsi"/>
          <w:bCs/>
          <w:i/>
          <w:shd w:val="clear" w:color="auto" w:fill="FFFFFF"/>
          <w:lang w:val="en-US"/>
        </w:rPr>
        <w:t>J</w:t>
      </w:r>
      <w:r w:rsidR="006A245E" w:rsidRPr="005A464E">
        <w:rPr>
          <w:rFonts w:asciiTheme="minorHAnsi" w:hAnsiTheme="minorHAnsi" w:cstheme="minorHAnsi"/>
          <w:bCs/>
          <w:i/>
          <w:color w:val="242424"/>
          <w:shd w:val="clear" w:color="auto" w:fill="FFFFFF"/>
          <w:lang w:val="en-US"/>
        </w:rPr>
        <w:t>ournal of Contemp</w:t>
      </w:r>
      <w:r w:rsidR="00D2083A">
        <w:rPr>
          <w:rFonts w:asciiTheme="minorHAnsi" w:hAnsiTheme="minorHAnsi" w:cstheme="minorHAnsi"/>
          <w:bCs/>
          <w:i/>
          <w:color w:val="242424"/>
          <w:shd w:val="clear" w:color="auto" w:fill="FFFFFF"/>
          <w:lang w:val="en-US"/>
        </w:rPr>
        <w:t xml:space="preserve"> </w:t>
      </w:r>
      <w:r w:rsidR="006A245E" w:rsidRPr="005A464E">
        <w:rPr>
          <w:rFonts w:asciiTheme="minorHAnsi" w:hAnsiTheme="minorHAnsi" w:cstheme="minorHAnsi"/>
          <w:bCs/>
          <w:i/>
          <w:color w:val="242424"/>
          <w:shd w:val="clear" w:color="auto" w:fill="FFFFFF"/>
          <w:lang w:val="en-US"/>
        </w:rPr>
        <w:t>Medicine,</w:t>
      </w:r>
      <w:r w:rsidR="006A245E" w:rsidRPr="00ED3043">
        <w:rPr>
          <w:rFonts w:asciiTheme="minorHAnsi" w:hAnsiTheme="minorHAnsi" w:cstheme="minorHAnsi"/>
          <w:bCs/>
          <w:i/>
          <w:color w:val="242424"/>
          <w:shd w:val="clear" w:color="auto" w:fill="FFFFFF"/>
          <w:lang w:val="en-US"/>
        </w:rPr>
        <w:t xml:space="preserve"> </w:t>
      </w:r>
      <w:r w:rsidR="006A245E" w:rsidRPr="00ED3043">
        <w:rPr>
          <w:rFonts w:asciiTheme="minorHAnsi" w:hAnsiTheme="minorHAnsi" w:cstheme="minorHAnsi"/>
          <w:bCs/>
          <w:i/>
          <w:shd w:val="clear" w:color="auto" w:fill="FFFFFF"/>
          <w:lang w:val="en-US"/>
        </w:rPr>
        <w:t>6</w:t>
      </w:r>
      <w:r w:rsidR="006A245E" w:rsidRPr="005A464E">
        <w:rPr>
          <w:rFonts w:asciiTheme="minorHAnsi" w:hAnsiTheme="minorHAnsi" w:cstheme="minorHAnsi"/>
          <w:bCs/>
          <w:shd w:val="clear" w:color="auto" w:fill="FFFFFF"/>
          <w:lang w:val="en-US"/>
        </w:rPr>
        <w:t>, 310-318.</w:t>
      </w:r>
    </w:p>
    <w:p w:rsidR="00D2083A" w:rsidRPr="00D2083A" w:rsidRDefault="00D2083A" w:rsidP="00D2083A">
      <w:pPr>
        <w:pStyle w:val="Web"/>
        <w:spacing w:after="166" w:line="360" w:lineRule="auto"/>
        <w:ind w:left="415" w:hanging="415"/>
        <w:jc w:val="both"/>
        <w:rPr>
          <w:rFonts w:asciiTheme="minorHAnsi" w:hAnsiTheme="minorHAnsi" w:cstheme="minorHAnsi"/>
          <w:bCs/>
          <w:shd w:val="clear" w:color="auto" w:fill="FFFFFF"/>
          <w:lang w:val="en-US"/>
        </w:rPr>
      </w:pPr>
      <w:r w:rsidRPr="00D2083A">
        <w:rPr>
          <w:rFonts w:asciiTheme="minorHAnsi" w:hAnsiTheme="minorHAnsi" w:cstheme="minorHAnsi"/>
          <w:lang w:val="en-US"/>
        </w:rPr>
        <w:t>Babayev</w:t>
      </w:r>
      <w:r>
        <w:rPr>
          <w:rFonts w:asciiTheme="minorHAnsi" w:hAnsiTheme="minorHAnsi" w:cstheme="minorHAnsi"/>
          <w:lang w:val="en-US"/>
        </w:rPr>
        <w:t>,</w:t>
      </w:r>
      <w:r w:rsidRPr="00D2083A">
        <w:rPr>
          <w:rFonts w:asciiTheme="minorHAnsi" w:hAnsiTheme="minorHAnsi" w:cstheme="minorHAnsi"/>
          <w:lang w:val="en-US"/>
        </w:rPr>
        <w:t xml:space="preserve"> R</w:t>
      </w:r>
      <w:r>
        <w:rPr>
          <w:rFonts w:asciiTheme="minorHAnsi" w:hAnsiTheme="minorHAnsi" w:cstheme="minorHAnsi"/>
          <w:lang w:val="en-US"/>
        </w:rPr>
        <w:t>., &amp;</w:t>
      </w:r>
      <w:r w:rsidRPr="00D2083A">
        <w:rPr>
          <w:rFonts w:asciiTheme="minorHAnsi" w:hAnsiTheme="minorHAnsi" w:cstheme="minorHAnsi"/>
          <w:lang w:val="en-US"/>
        </w:rPr>
        <w:t xml:space="preserve"> Nickolas</w:t>
      </w:r>
      <w:r>
        <w:rPr>
          <w:rFonts w:asciiTheme="minorHAnsi" w:hAnsiTheme="minorHAnsi" w:cstheme="minorHAnsi"/>
          <w:lang w:val="en-US"/>
        </w:rPr>
        <w:t>,</w:t>
      </w:r>
      <w:r w:rsidRPr="00D2083A">
        <w:rPr>
          <w:rFonts w:asciiTheme="minorHAnsi" w:hAnsiTheme="minorHAnsi" w:cstheme="minorHAnsi"/>
          <w:lang w:val="en-US"/>
        </w:rPr>
        <w:t xml:space="preserve"> T</w:t>
      </w:r>
      <w:r>
        <w:rPr>
          <w:rFonts w:asciiTheme="minorHAnsi" w:hAnsiTheme="minorHAnsi" w:cstheme="minorHAnsi"/>
          <w:lang w:val="en-US"/>
        </w:rPr>
        <w:t>.</w:t>
      </w:r>
      <w:r w:rsidRPr="00D2083A">
        <w:rPr>
          <w:rFonts w:asciiTheme="minorHAnsi" w:hAnsiTheme="minorHAnsi" w:cstheme="minorHAnsi"/>
          <w:lang w:val="en-US"/>
        </w:rPr>
        <w:t>L.</w:t>
      </w:r>
      <w:r>
        <w:rPr>
          <w:rFonts w:asciiTheme="minorHAnsi" w:hAnsiTheme="minorHAnsi" w:cstheme="minorHAnsi"/>
          <w:lang w:val="en-US"/>
        </w:rPr>
        <w:t xml:space="preserve"> (2015).</w:t>
      </w:r>
      <w:r w:rsidRPr="00D2083A">
        <w:rPr>
          <w:rFonts w:asciiTheme="minorHAnsi" w:hAnsiTheme="minorHAnsi" w:cstheme="minorHAnsi"/>
          <w:lang w:val="en-US"/>
        </w:rPr>
        <w:t xml:space="preserve"> </w:t>
      </w:r>
      <w:hyperlink r:id="rId105" w:history="1">
        <w:r>
          <w:rPr>
            <w:rStyle w:val="-"/>
            <w:rFonts w:asciiTheme="minorHAnsi" w:hAnsiTheme="minorHAnsi" w:cstheme="minorHAnsi"/>
            <w:bCs/>
            <w:color w:val="auto"/>
            <w:u w:val="none"/>
            <w:lang w:val="en-US"/>
          </w:rPr>
          <w:t>Bone d</w:t>
        </w:r>
        <w:r w:rsidRPr="00D2083A">
          <w:rPr>
            <w:rStyle w:val="-"/>
            <w:rFonts w:asciiTheme="minorHAnsi" w:hAnsiTheme="minorHAnsi" w:cstheme="minorHAnsi"/>
            <w:bCs/>
            <w:color w:val="auto"/>
            <w:u w:val="none"/>
            <w:lang w:val="en-US"/>
          </w:rPr>
          <w:t>isorders</w:t>
        </w:r>
        <w:r w:rsidRPr="00D2083A">
          <w:rPr>
            <w:rStyle w:val="-"/>
            <w:rFonts w:asciiTheme="minorHAnsi" w:hAnsiTheme="minorHAnsi" w:cstheme="minorHAnsi"/>
            <w:color w:val="auto"/>
            <w:u w:val="none"/>
            <w:lang w:val="en-US"/>
          </w:rPr>
          <w:t> in </w:t>
        </w:r>
        <w:r w:rsidRPr="00D2083A">
          <w:rPr>
            <w:rStyle w:val="-"/>
            <w:rFonts w:asciiTheme="minorHAnsi" w:hAnsiTheme="minorHAnsi" w:cstheme="minorHAnsi"/>
            <w:bCs/>
            <w:color w:val="auto"/>
            <w:u w:val="none"/>
            <w:lang w:val="en-US"/>
          </w:rPr>
          <w:t>chronic kidney disease</w:t>
        </w:r>
        <w:r w:rsidRPr="00D2083A">
          <w:rPr>
            <w:rStyle w:val="-"/>
            <w:rFonts w:asciiTheme="minorHAnsi" w:hAnsiTheme="minorHAnsi" w:cstheme="minorHAnsi"/>
            <w:color w:val="auto"/>
            <w:u w:val="none"/>
            <w:lang w:val="en-US"/>
          </w:rPr>
          <w:t>: An update in diagnosis and management.</w:t>
        </w:r>
      </w:hyperlink>
      <w:r w:rsidRPr="00D2083A">
        <w:rPr>
          <w:rFonts w:asciiTheme="minorHAnsi" w:hAnsiTheme="minorHAnsi" w:cstheme="minorHAnsi"/>
          <w:lang w:val="en-US"/>
        </w:rPr>
        <w:t xml:space="preserve"> </w:t>
      </w:r>
      <w:r w:rsidRPr="00D2083A">
        <w:rPr>
          <w:rStyle w:val="jrnl"/>
          <w:rFonts w:asciiTheme="minorHAnsi" w:hAnsiTheme="minorHAnsi" w:cstheme="minorHAnsi"/>
          <w:i/>
          <w:lang w:val="en-US"/>
        </w:rPr>
        <w:t xml:space="preserve">Seminars in Dialysis. </w:t>
      </w:r>
      <w:r w:rsidRPr="00D2083A">
        <w:rPr>
          <w:rFonts w:asciiTheme="minorHAnsi" w:hAnsiTheme="minorHAnsi" w:cstheme="minorHAnsi"/>
          <w:i/>
          <w:lang w:val="en-US"/>
        </w:rPr>
        <w:t>28</w:t>
      </w:r>
      <w:r>
        <w:rPr>
          <w:rFonts w:asciiTheme="minorHAnsi" w:hAnsiTheme="minorHAnsi" w:cstheme="minorHAnsi"/>
          <w:lang w:val="en-US"/>
        </w:rPr>
        <w:t>, 645-53. DOI</w:t>
      </w:r>
      <w:r w:rsidRPr="00D2083A">
        <w:rPr>
          <w:rFonts w:asciiTheme="minorHAnsi" w:hAnsiTheme="minorHAnsi" w:cstheme="minorHAnsi"/>
          <w:lang w:val="en-US"/>
        </w:rPr>
        <w:t>: 10.1111/sdi.12423.</w:t>
      </w:r>
    </w:p>
    <w:p w:rsidR="00994789" w:rsidRDefault="00994789" w:rsidP="005A464E">
      <w:pPr>
        <w:pStyle w:val="Web"/>
        <w:spacing w:after="166" w:line="360" w:lineRule="auto"/>
        <w:ind w:left="415" w:hanging="415"/>
        <w:jc w:val="both"/>
        <w:rPr>
          <w:rFonts w:asciiTheme="minorHAnsi" w:hAnsiTheme="minorHAnsi" w:cstheme="minorHAnsi"/>
          <w:shd w:val="clear" w:color="auto" w:fill="FFFFFF"/>
          <w:lang w:val="en-US"/>
        </w:rPr>
      </w:pPr>
      <w:r w:rsidRPr="00994789">
        <w:rPr>
          <w:rFonts w:asciiTheme="minorHAnsi" w:hAnsiTheme="minorHAnsi" w:cstheme="minorHAnsi"/>
          <w:shd w:val="clear" w:color="auto" w:fill="FFFFFF"/>
          <w:lang w:val="en-US"/>
        </w:rPr>
        <w:t>Babitt, J. L., &amp; Lin, H. Y. (2012). Mechanisms of Anemia in CKD. </w:t>
      </w:r>
      <w:r w:rsidRPr="00994789">
        <w:rPr>
          <w:rFonts w:asciiTheme="minorHAnsi" w:hAnsiTheme="minorHAnsi" w:cstheme="minorHAnsi"/>
          <w:i/>
          <w:iCs/>
          <w:shd w:val="clear" w:color="auto" w:fill="FFFFFF"/>
          <w:lang w:val="en-US"/>
        </w:rPr>
        <w:t>Journal of the American Society of Nephrology : J</w:t>
      </w:r>
      <w:r>
        <w:rPr>
          <w:rFonts w:asciiTheme="minorHAnsi" w:hAnsiTheme="minorHAnsi" w:cstheme="minorHAnsi"/>
          <w:i/>
          <w:iCs/>
          <w:shd w:val="clear" w:color="auto" w:fill="FFFFFF"/>
          <w:lang w:val="en-US"/>
        </w:rPr>
        <w:t xml:space="preserve">ournal of </w:t>
      </w:r>
      <w:r w:rsidRPr="00994789">
        <w:rPr>
          <w:rFonts w:asciiTheme="minorHAnsi" w:hAnsiTheme="minorHAnsi" w:cstheme="minorHAnsi"/>
          <w:i/>
          <w:iCs/>
          <w:shd w:val="clear" w:color="auto" w:fill="FFFFFF"/>
          <w:lang w:val="en-US"/>
        </w:rPr>
        <w:t>A</w:t>
      </w:r>
      <w:r>
        <w:rPr>
          <w:rFonts w:asciiTheme="minorHAnsi" w:hAnsiTheme="minorHAnsi" w:cstheme="minorHAnsi"/>
          <w:i/>
          <w:iCs/>
          <w:shd w:val="clear" w:color="auto" w:fill="FFFFFF"/>
          <w:lang w:val="en-US"/>
        </w:rPr>
        <w:t xml:space="preserve">merican </w:t>
      </w:r>
      <w:r w:rsidRPr="00994789">
        <w:rPr>
          <w:rFonts w:asciiTheme="minorHAnsi" w:hAnsiTheme="minorHAnsi" w:cstheme="minorHAnsi"/>
          <w:i/>
          <w:iCs/>
          <w:shd w:val="clear" w:color="auto" w:fill="FFFFFF"/>
          <w:lang w:val="en-US"/>
        </w:rPr>
        <w:t>S</w:t>
      </w:r>
      <w:r>
        <w:rPr>
          <w:rFonts w:asciiTheme="minorHAnsi" w:hAnsiTheme="minorHAnsi" w:cstheme="minorHAnsi"/>
          <w:i/>
          <w:iCs/>
          <w:shd w:val="clear" w:color="auto" w:fill="FFFFFF"/>
          <w:lang w:val="en-US"/>
        </w:rPr>
        <w:t xml:space="preserve">ociety of </w:t>
      </w:r>
      <w:r w:rsidRPr="00994789">
        <w:rPr>
          <w:rFonts w:asciiTheme="minorHAnsi" w:hAnsiTheme="minorHAnsi" w:cstheme="minorHAnsi"/>
          <w:i/>
          <w:iCs/>
          <w:shd w:val="clear" w:color="auto" w:fill="FFFFFF"/>
          <w:lang w:val="en-US"/>
        </w:rPr>
        <w:t>N</w:t>
      </w:r>
      <w:r>
        <w:rPr>
          <w:rFonts w:asciiTheme="minorHAnsi" w:hAnsiTheme="minorHAnsi" w:cstheme="minorHAnsi"/>
          <w:i/>
          <w:iCs/>
          <w:shd w:val="clear" w:color="auto" w:fill="FFFFFF"/>
          <w:lang w:val="en-US"/>
        </w:rPr>
        <w:t>ephrology</w:t>
      </w:r>
      <w:r w:rsidRPr="00994789">
        <w:rPr>
          <w:rFonts w:asciiTheme="minorHAnsi" w:hAnsiTheme="minorHAnsi" w:cstheme="minorHAnsi"/>
          <w:shd w:val="clear" w:color="auto" w:fill="FFFFFF"/>
          <w:lang w:val="en-US"/>
        </w:rPr>
        <w:t>, </w:t>
      </w:r>
      <w:r w:rsidRPr="00994789">
        <w:rPr>
          <w:rFonts w:asciiTheme="minorHAnsi" w:hAnsiTheme="minorHAnsi" w:cstheme="minorHAnsi"/>
          <w:i/>
          <w:iCs/>
          <w:shd w:val="clear" w:color="auto" w:fill="FFFFFF"/>
          <w:lang w:val="en-US"/>
        </w:rPr>
        <w:t>23</w:t>
      </w:r>
      <w:r>
        <w:rPr>
          <w:rFonts w:asciiTheme="minorHAnsi" w:hAnsiTheme="minorHAnsi" w:cstheme="minorHAnsi"/>
          <w:shd w:val="clear" w:color="auto" w:fill="FFFFFF"/>
          <w:lang w:val="en-US"/>
        </w:rPr>
        <w:t>,</w:t>
      </w:r>
      <w:r w:rsidRPr="00994789">
        <w:rPr>
          <w:rFonts w:asciiTheme="minorHAnsi" w:hAnsiTheme="minorHAnsi" w:cstheme="minorHAnsi"/>
          <w:shd w:val="clear" w:color="auto" w:fill="FFFFFF"/>
          <w:lang w:val="en-US"/>
        </w:rPr>
        <w:t xml:space="preserve"> 1631–1634. </w:t>
      </w:r>
      <w:hyperlink r:id="rId106" w:history="1">
        <w:r w:rsidR="00666053" w:rsidRPr="00D022F1">
          <w:rPr>
            <w:rStyle w:val="-"/>
            <w:rFonts w:asciiTheme="minorHAnsi" w:hAnsiTheme="minorHAnsi" w:cstheme="minorHAnsi"/>
            <w:shd w:val="clear" w:color="auto" w:fill="FFFFFF"/>
            <w:lang w:val="en-US"/>
          </w:rPr>
          <w:t>http://doi.org/10.1681/ASN.2011111078</w:t>
        </w:r>
      </w:hyperlink>
      <w:r w:rsidR="00666053">
        <w:rPr>
          <w:rFonts w:asciiTheme="minorHAnsi" w:hAnsiTheme="minorHAnsi" w:cstheme="minorHAnsi"/>
          <w:shd w:val="clear" w:color="auto" w:fill="FFFFFF"/>
          <w:lang w:val="en-US"/>
        </w:rPr>
        <w:t>.</w:t>
      </w:r>
    </w:p>
    <w:p w:rsidR="00666053" w:rsidRPr="00666053" w:rsidRDefault="00666053" w:rsidP="005A464E">
      <w:pPr>
        <w:pStyle w:val="Web"/>
        <w:spacing w:after="166" w:line="360" w:lineRule="auto"/>
        <w:ind w:left="415" w:hanging="415"/>
        <w:jc w:val="both"/>
        <w:rPr>
          <w:rFonts w:asciiTheme="minorHAnsi" w:hAnsiTheme="minorHAnsi" w:cstheme="minorHAnsi"/>
          <w:bCs/>
          <w:shd w:val="clear" w:color="auto" w:fill="FFFFFF"/>
          <w:lang w:val="en-US"/>
        </w:rPr>
      </w:pPr>
      <w:r w:rsidRPr="00666053">
        <w:rPr>
          <w:rFonts w:asciiTheme="minorHAnsi" w:hAnsiTheme="minorHAnsi" w:cstheme="minorHAnsi"/>
          <w:shd w:val="clear" w:color="auto" w:fill="FFFFFF"/>
          <w:lang w:val="en-US"/>
        </w:rPr>
        <w:t>Baghe</w:t>
      </w:r>
      <w:r>
        <w:rPr>
          <w:rFonts w:asciiTheme="minorHAnsi" w:hAnsiTheme="minorHAnsi" w:cstheme="minorHAnsi"/>
          <w:shd w:val="clear" w:color="auto" w:fill="FFFFFF"/>
          <w:lang w:val="en-US"/>
        </w:rPr>
        <w:t>l, N., Awasthi, S., &amp; Kumar, S.</w:t>
      </w:r>
      <w:r w:rsidRPr="00666053">
        <w:rPr>
          <w:rFonts w:asciiTheme="minorHAnsi" w:hAnsiTheme="minorHAnsi" w:cstheme="minorHAnsi"/>
          <w:shd w:val="clear" w:color="auto" w:fill="FFFFFF"/>
          <w:lang w:val="en-US"/>
        </w:rPr>
        <w:t>S. (2017). Cutaneous manifestations in patients with chronic kidney diseases on haemodialysis. </w:t>
      </w:r>
      <w:r w:rsidRPr="00666053">
        <w:rPr>
          <w:rFonts w:asciiTheme="minorHAnsi" w:hAnsiTheme="minorHAnsi" w:cstheme="minorHAnsi"/>
          <w:i/>
          <w:iCs/>
          <w:shd w:val="clear" w:color="auto" w:fill="FFFFFF"/>
          <w:lang w:val="en-US"/>
        </w:rPr>
        <w:t>International Journal of Research in Medical Sciences</w:t>
      </w:r>
      <w:r w:rsidRPr="00666053">
        <w:rPr>
          <w:rFonts w:asciiTheme="minorHAnsi" w:hAnsiTheme="minorHAnsi" w:cstheme="minorHAnsi"/>
          <w:shd w:val="clear" w:color="auto" w:fill="FFFFFF"/>
          <w:lang w:val="en-US"/>
        </w:rPr>
        <w:t>, </w:t>
      </w:r>
      <w:r w:rsidRPr="00666053">
        <w:rPr>
          <w:rFonts w:asciiTheme="minorHAnsi" w:hAnsiTheme="minorHAnsi" w:cstheme="minorHAnsi"/>
          <w:i/>
          <w:iCs/>
          <w:shd w:val="clear" w:color="auto" w:fill="FFFFFF"/>
          <w:lang w:val="en-US"/>
        </w:rPr>
        <w:t>5</w:t>
      </w:r>
      <w:r>
        <w:rPr>
          <w:rFonts w:asciiTheme="minorHAnsi" w:hAnsiTheme="minorHAnsi" w:cstheme="minorHAnsi"/>
          <w:shd w:val="clear" w:color="auto" w:fill="FFFFFF"/>
          <w:lang w:val="en-US"/>
        </w:rPr>
        <w:t>,</w:t>
      </w:r>
      <w:r w:rsidRPr="00666053">
        <w:rPr>
          <w:rFonts w:asciiTheme="minorHAnsi" w:hAnsiTheme="minorHAnsi" w:cstheme="minorHAnsi"/>
          <w:shd w:val="clear" w:color="auto" w:fill="FFFFFF"/>
          <w:lang w:val="en-US"/>
        </w:rPr>
        <w:t xml:space="preserve"> 1673-1678.</w:t>
      </w:r>
    </w:p>
    <w:p w:rsidR="00A94625" w:rsidRPr="005A464E" w:rsidRDefault="008F3609" w:rsidP="005A464E">
      <w:pPr>
        <w:pStyle w:val="Web"/>
        <w:spacing w:after="166" w:line="360" w:lineRule="auto"/>
        <w:ind w:left="415" w:hanging="415"/>
        <w:jc w:val="both"/>
        <w:rPr>
          <w:rFonts w:asciiTheme="minorHAnsi" w:hAnsiTheme="minorHAnsi" w:cstheme="minorHAnsi"/>
          <w:bCs/>
          <w:shd w:val="clear" w:color="auto" w:fill="FFFFFF"/>
          <w:lang w:val="en-US"/>
        </w:rPr>
      </w:pPr>
      <w:hyperlink r:id="rId107" w:tgtFrame="_blank" w:history="1">
        <w:r w:rsidR="00A94625" w:rsidRPr="005A464E">
          <w:rPr>
            <w:rStyle w:val="-"/>
            <w:rFonts w:asciiTheme="minorHAnsi" w:hAnsiTheme="minorHAnsi" w:cstheme="minorHAnsi"/>
            <w:color w:val="auto"/>
            <w:u w:val="none"/>
            <w:shd w:val="clear" w:color="auto" w:fill="FFFFFF"/>
            <w:lang w:val="en-US"/>
          </w:rPr>
          <w:t>Bahadori</w:t>
        </w:r>
      </w:hyperlink>
      <w:r w:rsidR="00B03F53" w:rsidRPr="005A464E">
        <w:rPr>
          <w:rFonts w:asciiTheme="minorHAnsi" w:hAnsiTheme="minorHAnsi" w:cstheme="minorHAnsi"/>
          <w:lang w:val="en-US"/>
        </w:rPr>
        <w:t>,</w:t>
      </w:r>
      <w:r w:rsidR="00A94625" w:rsidRPr="005A464E">
        <w:rPr>
          <w:rFonts w:asciiTheme="minorHAnsi" w:hAnsiTheme="minorHAnsi" w:cstheme="minorHAnsi"/>
          <w:lang w:val="en-US"/>
        </w:rPr>
        <w:t xml:space="preserve"> M.</w:t>
      </w:r>
      <w:r w:rsidR="00BB4BB3" w:rsidRPr="005A464E">
        <w:rPr>
          <w:rFonts w:asciiTheme="minorHAnsi" w:hAnsiTheme="minorHAnsi" w:cstheme="minorHAnsi"/>
          <w:lang w:val="en-US"/>
        </w:rPr>
        <w:t>,</w:t>
      </w:r>
      <w:r w:rsidR="00A94625" w:rsidRPr="005A464E">
        <w:rPr>
          <w:rStyle w:val="apple-converted-space"/>
          <w:rFonts w:asciiTheme="minorHAnsi" w:hAnsiTheme="minorHAnsi" w:cstheme="minorHAnsi"/>
          <w:bCs/>
          <w:shd w:val="clear" w:color="auto" w:fill="FFFFFF"/>
          <w:lang w:val="en-US"/>
        </w:rPr>
        <w:t> </w:t>
      </w:r>
      <w:hyperlink r:id="rId108" w:tgtFrame="_blank" w:history="1">
        <w:r w:rsidR="00A94625" w:rsidRPr="005A464E">
          <w:rPr>
            <w:rStyle w:val="-"/>
            <w:rFonts w:asciiTheme="minorHAnsi" w:hAnsiTheme="minorHAnsi" w:cstheme="minorHAnsi"/>
            <w:color w:val="auto"/>
            <w:u w:val="none"/>
            <w:shd w:val="clear" w:color="auto" w:fill="FFFFFF"/>
            <w:lang w:val="en-US"/>
          </w:rPr>
          <w:t>Ghavidel</w:t>
        </w:r>
      </w:hyperlink>
      <w:r w:rsidR="00B03F53" w:rsidRPr="005A464E">
        <w:rPr>
          <w:rFonts w:asciiTheme="minorHAnsi" w:hAnsiTheme="minorHAnsi" w:cstheme="minorHAnsi"/>
          <w:lang w:val="en-US"/>
        </w:rPr>
        <w:t>,</w:t>
      </w:r>
      <w:r w:rsidR="00A94625" w:rsidRPr="005A464E">
        <w:rPr>
          <w:rFonts w:asciiTheme="minorHAnsi" w:hAnsiTheme="minorHAnsi" w:cstheme="minorHAnsi"/>
          <w:lang w:val="en-US"/>
        </w:rPr>
        <w:t xml:space="preserve"> F.,</w:t>
      </w:r>
      <w:r w:rsidR="00A94625" w:rsidRPr="005A464E">
        <w:rPr>
          <w:rStyle w:val="apple-converted-space"/>
          <w:rFonts w:asciiTheme="minorHAnsi" w:hAnsiTheme="minorHAnsi" w:cstheme="minorHAnsi"/>
          <w:bCs/>
          <w:shd w:val="clear" w:color="auto" w:fill="FFFFFF"/>
          <w:lang w:val="en-US"/>
        </w:rPr>
        <w:t> </w:t>
      </w:r>
      <w:hyperlink r:id="rId109" w:tgtFrame="_blank" w:history="1">
        <w:r w:rsidR="00A94625" w:rsidRPr="005A464E">
          <w:rPr>
            <w:rStyle w:val="-"/>
            <w:rFonts w:asciiTheme="minorHAnsi" w:hAnsiTheme="minorHAnsi" w:cstheme="minorHAnsi"/>
            <w:color w:val="auto"/>
            <w:u w:val="none"/>
            <w:shd w:val="clear" w:color="auto" w:fill="FFFFFF"/>
            <w:lang w:val="en-US"/>
          </w:rPr>
          <w:t xml:space="preserve"> Mohammadzadeh</w:t>
        </w:r>
      </w:hyperlink>
      <w:r w:rsidR="00B03F53" w:rsidRPr="005A464E">
        <w:rPr>
          <w:rFonts w:asciiTheme="minorHAnsi" w:hAnsiTheme="minorHAnsi" w:cstheme="minorHAnsi"/>
          <w:lang w:val="en-US"/>
        </w:rPr>
        <w:t>,</w:t>
      </w:r>
      <w:r w:rsidR="00A94625" w:rsidRPr="005A464E">
        <w:rPr>
          <w:rFonts w:asciiTheme="minorHAnsi" w:hAnsiTheme="minorHAnsi" w:cstheme="minorHAnsi"/>
          <w:lang w:val="en-US"/>
        </w:rPr>
        <w:t xml:space="preserve"> S., </w:t>
      </w:r>
      <w:r w:rsidR="00B03F53" w:rsidRPr="005A464E">
        <w:rPr>
          <w:rFonts w:asciiTheme="minorHAnsi" w:hAnsiTheme="minorHAnsi" w:cstheme="minorHAnsi"/>
          <w:lang w:val="en-US"/>
        </w:rPr>
        <w:t>&amp;</w:t>
      </w:r>
      <w:r w:rsidR="00A94625" w:rsidRPr="005A464E">
        <w:rPr>
          <w:rStyle w:val="apple-converted-space"/>
          <w:rFonts w:asciiTheme="minorHAnsi" w:hAnsiTheme="minorHAnsi" w:cstheme="minorHAnsi"/>
          <w:bCs/>
          <w:shd w:val="clear" w:color="auto" w:fill="FFFFFF"/>
          <w:lang w:val="en-US"/>
        </w:rPr>
        <w:t> </w:t>
      </w:r>
      <w:hyperlink r:id="rId110" w:tgtFrame="_blank" w:history="1">
        <w:r w:rsidR="00A94625" w:rsidRPr="005A464E">
          <w:rPr>
            <w:rStyle w:val="-"/>
            <w:rFonts w:asciiTheme="minorHAnsi" w:hAnsiTheme="minorHAnsi" w:cstheme="minorHAnsi"/>
            <w:color w:val="auto"/>
            <w:u w:val="none"/>
            <w:shd w:val="clear" w:color="auto" w:fill="FFFFFF"/>
            <w:lang w:val="en-US"/>
          </w:rPr>
          <w:t>Ravangard</w:t>
        </w:r>
      </w:hyperlink>
      <w:r w:rsidR="00B03F53" w:rsidRPr="005A464E">
        <w:rPr>
          <w:rFonts w:asciiTheme="minorHAnsi" w:hAnsiTheme="minorHAnsi" w:cstheme="minorHAnsi"/>
          <w:lang w:val="en-US"/>
        </w:rPr>
        <w:t>,</w:t>
      </w:r>
      <w:r w:rsidR="00A94625" w:rsidRPr="005A464E">
        <w:rPr>
          <w:rFonts w:asciiTheme="minorHAnsi" w:hAnsiTheme="minorHAnsi" w:cstheme="minorHAnsi"/>
          <w:bCs/>
          <w:shd w:val="clear" w:color="auto" w:fill="FFFFFF"/>
          <w:vertAlign w:val="superscript"/>
          <w:lang w:val="en-US"/>
        </w:rPr>
        <w:t xml:space="preserve"> </w:t>
      </w:r>
      <w:r w:rsidR="00A94625" w:rsidRPr="005A464E">
        <w:rPr>
          <w:rFonts w:asciiTheme="minorHAnsi" w:hAnsiTheme="minorHAnsi" w:cstheme="minorHAnsi"/>
          <w:bCs/>
          <w:shd w:val="clear" w:color="auto" w:fill="FFFFFF"/>
          <w:lang w:val="en-US"/>
        </w:rPr>
        <w:t>R. (2014).</w:t>
      </w:r>
      <w:r w:rsidR="00A94625" w:rsidRPr="005A464E">
        <w:rPr>
          <w:rFonts w:asciiTheme="minorHAnsi" w:hAnsiTheme="minorHAnsi" w:cstheme="minorHAnsi"/>
          <w:b/>
          <w:bCs/>
          <w:shd w:val="clear" w:color="auto" w:fill="FFFFFF"/>
          <w:lang w:val="en-US"/>
        </w:rPr>
        <w:t xml:space="preserve"> </w:t>
      </w:r>
      <w:r w:rsidR="00A94625" w:rsidRPr="005A464E">
        <w:rPr>
          <w:rFonts w:asciiTheme="minorHAnsi" w:hAnsiTheme="minorHAnsi" w:cstheme="minorHAnsi"/>
          <w:bCs/>
          <w:shd w:val="clear" w:color="auto" w:fill="FFFFFF"/>
          <w:lang w:val="en-US"/>
        </w:rPr>
        <w:t>The effects of an interventional program based on self-care model on health-related quality of life outcomes in hemodialysis patients.</w:t>
      </w:r>
      <w:r w:rsidR="00A94625" w:rsidRPr="005A464E">
        <w:rPr>
          <w:rFonts w:asciiTheme="minorHAnsi" w:hAnsiTheme="minorHAnsi" w:cstheme="minorHAnsi"/>
          <w:b/>
          <w:bCs/>
          <w:shd w:val="clear" w:color="auto" w:fill="FFFFFF"/>
          <w:lang w:val="en-US"/>
        </w:rPr>
        <w:t xml:space="preserve"> </w:t>
      </w:r>
      <w:r w:rsidR="00A94625" w:rsidRPr="005A464E">
        <w:rPr>
          <w:rFonts w:asciiTheme="minorHAnsi" w:hAnsiTheme="minorHAnsi" w:cstheme="minorHAnsi"/>
          <w:bCs/>
          <w:i/>
          <w:shd w:val="clear" w:color="auto" w:fill="FFFFFF"/>
          <w:lang w:val="en-US"/>
        </w:rPr>
        <w:t>Journal of education and health promotion,</w:t>
      </w:r>
      <w:r w:rsidR="00A94625" w:rsidRPr="005A464E">
        <w:rPr>
          <w:rFonts w:asciiTheme="minorHAnsi" w:hAnsiTheme="minorHAnsi" w:cstheme="minorHAnsi"/>
          <w:b/>
          <w:bCs/>
          <w:i/>
          <w:shd w:val="clear" w:color="auto" w:fill="FFFFFF"/>
          <w:lang w:val="en-US"/>
        </w:rPr>
        <w:t xml:space="preserve"> </w:t>
      </w:r>
      <w:r w:rsidR="00A94625" w:rsidRPr="00ED3043">
        <w:rPr>
          <w:rFonts w:asciiTheme="minorHAnsi" w:hAnsiTheme="minorHAnsi" w:cstheme="minorHAnsi"/>
          <w:bCs/>
          <w:i/>
          <w:shd w:val="clear" w:color="auto" w:fill="FFFFFF"/>
          <w:lang w:val="en-US"/>
        </w:rPr>
        <w:t>3</w:t>
      </w:r>
      <w:r w:rsidR="00A94625" w:rsidRPr="005A464E">
        <w:rPr>
          <w:rFonts w:asciiTheme="minorHAnsi" w:hAnsiTheme="minorHAnsi" w:cstheme="minorHAnsi"/>
          <w:bCs/>
          <w:shd w:val="clear" w:color="auto" w:fill="FFFFFF"/>
          <w:lang w:val="en-US"/>
        </w:rPr>
        <w:t xml:space="preserve">:110. </w:t>
      </w:r>
      <w:r w:rsidR="00292B29" w:rsidRPr="005A464E">
        <w:rPr>
          <w:rFonts w:asciiTheme="minorHAnsi" w:hAnsiTheme="minorHAnsi" w:cstheme="minorHAnsi"/>
          <w:bCs/>
          <w:shd w:val="clear" w:color="auto" w:fill="FFFFFF"/>
          <w:lang w:val="en-US"/>
        </w:rPr>
        <w:t>DOI</w:t>
      </w:r>
      <w:r w:rsidR="00A94625" w:rsidRPr="005A464E">
        <w:rPr>
          <w:rFonts w:asciiTheme="minorHAnsi" w:hAnsiTheme="minorHAnsi" w:cstheme="minorHAnsi"/>
          <w:bCs/>
          <w:shd w:val="clear" w:color="auto" w:fill="FFFFFF"/>
          <w:lang w:val="en-US"/>
        </w:rPr>
        <w:t>:</w:t>
      </w:r>
      <w:r w:rsidR="00A94625" w:rsidRPr="005A464E">
        <w:rPr>
          <w:rFonts w:asciiTheme="minorHAnsi" w:hAnsiTheme="minorHAnsi" w:cstheme="minorHAnsi"/>
          <w:shd w:val="clear" w:color="auto" w:fill="FFFFFF"/>
          <w:lang w:val="en-US"/>
        </w:rPr>
        <w:t> 10.4103/2277-9531.145899</w:t>
      </w:r>
      <w:r w:rsidR="00B03F53" w:rsidRPr="005A464E">
        <w:rPr>
          <w:rFonts w:asciiTheme="minorHAnsi" w:hAnsiTheme="minorHAnsi" w:cstheme="minorHAnsi"/>
          <w:shd w:val="clear" w:color="auto" w:fill="FFFFFF"/>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Bahrami Nejad, N., Hanifi, N., &amp; Mousavi Nasab, N. (2008). Compariso</w:t>
      </w:r>
      <w:r w:rsidR="00BB4BB3" w:rsidRPr="005A464E">
        <w:rPr>
          <w:rFonts w:asciiTheme="minorHAnsi" w:hAnsiTheme="minorHAnsi" w:cstheme="minorHAnsi"/>
          <w:lang w:val="en-US"/>
        </w:rPr>
        <w:t>n of the effects of two family-and individual-</w:t>
      </w:r>
      <w:r w:rsidRPr="005A464E">
        <w:rPr>
          <w:rFonts w:asciiTheme="minorHAnsi" w:hAnsiTheme="minorHAnsi" w:cstheme="minorHAnsi"/>
          <w:lang w:val="en-US"/>
        </w:rPr>
        <w:t>based intervention on blood pressure and lifestyle. </w:t>
      </w:r>
      <w:r w:rsidRPr="005A464E">
        <w:rPr>
          <w:rFonts w:asciiTheme="minorHAnsi" w:hAnsiTheme="minorHAnsi" w:cstheme="minorHAnsi"/>
          <w:i/>
          <w:lang w:val="en-US"/>
        </w:rPr>
        <w:t>Journal of Qazvin University of Medical Sciences</w:t>
      </w:r>
      <w:r w:rsidRPr="005A464E">
        <w:rPr>
          <w:rFonts w:asciiTheme="minorHAnsi" w:hAnsiTheme="minorHAnsi" w:cstheme="minorHAnsi"/>
          <w:lang w:val="en-US"/>
        </w:rPr>
        <w:t>,</w:t>
      </w:r>
      <w:r w:rsidRPr="00ED3043">
        <w:rPr>
          <w:rFonts w:asciiTheme="minorHAnsi" w:hAnsiTheme="minorHAnsi" w:cstheme="minorHAnsi"/>
          <w:i/>
          <w:lang w:val="en-US"/>
        </w:rPr>
        <w:t xml:space="preserve"> 12</w:t>
      </w:r>
      <w:r w:rsidRPr="005A464E">
        <w:rPr>
          <w:rFonts w:asciiTheme="minorHAnsi" w:hAnsiTheme="minorHAnsi" w:cstheme="minorHAnsi"/>
          <w:lang w:val="en-US"/>
        </w:rPr>
        <w:t>,</w:t>
      </w:r>
      <w:r w:rsidR="00ED3043">
        <w:rPr>
          <w:rFonts w:asciiTheme="minorHAnsi" w:hAnsiTheme="minorHAnsi" w:cstheme="minorHAnsi"/>
          <w:lang w:val="en-US"/>
        </w:rPr>
        <w:t xml:space="preserve"> </w:t>
      </w:r>
      <w:r w:rsidRPr="005A464E">
        <w:rPr>
          <w:rFonts w:asciiTheme="minorHAnsi" w:hAnsiTheme="minorHAnsi" w:cstheme="minorHAnsi"/>
          <w:lang w:val="en-US"/>
        </w:rPr>
        <w:t>62–79.</w:t>
      </w:r>
    </w:p>
    <w:p w:rsidR="003C410F" w:rsidRPr="004B226D"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Bakewell, A.B., Higgins, R.M. &amp; Edmunds, M.E. (2001)</w:t>
      </w:r>
      <w:r w:rsidR="005D0561" w:rsidRPr="005A464E">
        <w:rPr>
          <w:rFonts w:asciiTheme="minorHAnsi" w:eastAsia="Times New Roman" w:hAnsiTheme="minorHAnsi" w:cstheme="minorHAnsi"/>
          <w:lang w:val="en-US" w:eastAsia="el-GR"/>
        </w:rPr>
        <w:t>.</w:t>
      </w:r>
      <w:r w:rsidRPr="005A464E">
        <w:rPr>
          <w:rFonts w:asciiTheme="minorHAnsi" w:eastAsia="Times New Roman" w:hAnsiTheme="minorHAnsi" w:cstheme="minorHAnsi"/>
          <w:lang w:val="en-US" w:eastAsia="el-GR"/>
        </w:rPr>
        <w:t xml:space="preserve"> Does ethnicity influence perceived quality of life of patients on dialysis and following renal transplant? </w:t>
      </w:r>
      <w:r w:rsidRPr="005A464E">
        <w:rPr>
          <w:rFonts w:asciiTheme="minorHAnsi" w:eastAsia="Times New Roman" w:hAnsiTheme="minorHAnsi" w:cstheme="minorHAnsi"/>
          <w:i/>
          <w:lang w:val="en-US" w:eastAsia="el-GR"/>
        </w:rPr>
        <w:t>Nephrology Dialysis Transplantation</w:t>
      </w:r>
      <w:r w:rsidR="00ED3043">
        <w:rPr>
          <w:rFonts w:asciiTheme="minorHAnsi" w:eastAsia="Times New Roman" w:hAnsiTheme="minorHAnsi" w:cstheme="minorHAnsi"/>
          <w:lang w:val="en-US" w:eastAsia="el-GR"/>
        </w:rPr>
        <w:t xml:space="preserve">, </w:t>
      </w:r>
      <w:r w:rsidR="00ED3043" w:rsidRPr="00ED3043">
        <w:rPr>
          <w:rFonts w:asciiTheme="minorHAnsi" w:eastAsia="Times New Roman" w:hAnsiTheme="minorHAnsi" w:cstheme="minorHAnsi"/>
          <w:i/>
          <w:lang w:val="en-US" w:eastAsia="el-GR"/>
        </w:rPr>
        <w:t>16</w:t>
      </w:r>
      <w:r w:rsidRPr="00ED3043">
        <w:rPr>
          <w:rFonts w:asciiTheme="minorHAnsi" w:eastAsia="Times New Roman" w:hAnsiTheme="minorHAnsi" w:cstheme="minorHAnsi"/>
          <w:i/>
          <w:lang w:val="en-US" w:eastAsia="el-GR"/>
        </w:rPr>
        <w:t>,</w:t>
      </w:r>
      <w:r w:rsidRPr="005A464E">
        <w:rPr>
          <w:rFonts w:asciiTheme="minorHAnsi" w:eastAsia="Times New Roman" w:hAnsiTheme="minorHAnsi" w:cstheme="minorHAnsi"/>
          <w:lang w:val="en-US" w:eastAsia="el-GR"/>
        </w:rPr>
        <w:t>1395-401</w:t>
      </w:r>
      <w:r w:rsidR="005D0561" w:rsidRPr="005A464E">
        <w:rPr>
          <w:rFonts w:asciiTheme="minorHAnsi" w:eastAsia="Times New Roman" w:hAnsiTheme="minorHAnsi" w:cstheme="minorHAnsi"/>
          <w:lang w:val="en-US" w:eastAsia="el-GR"/>
        </w:rPr>
        <w:t>.</w:t>
      </w:r>
    </w:p>
    <w:p w:rsidR="0040519B" w:rsidRPr="004B226D" w:rsidRDefault="0040519B" w:rsidP="0040519B">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Bakewell, A., Higgins, R.M., &amp; Edmunds, M.E. (2002). Quality of life in peritoneal dialysis patients: Decline over time and association with clinical outcomes. </w:t>
      </w:r>
      <w:r w:rsidRPr="005A464E">
        <w:rPr>
          <w:rFonts w:asciiTheme="minorHAnsi" w:hAnsiTheme="minorHAnsi" w:cstheme="minorHAnsi"/>
          <w:i/>
          <w:iCs/>
          <w:lang w:val="en-US"/>
        </w:rPr>
        <w:t>Kidney International,</w:t>
      </w:r>
      <w:r w:rsidRPr="005A464E">
        <w:rPr>
          <w:rFonts w:asciiTheme="minorHAnsi" w:hAnsiTheme="minorHAnsi" w:cstheme="minorHAnsi"/>
          <w:iCs/>
          <w:lang w:val="en-US"/>
        </w:rPr>
        <w:t xml:space="preserve"> </w:t>
      </w:r>
      <w:r w:rsidRPr="00ED3043">
        <w:rPr>
          <w:rFonts w:asciiTheme="minorHAnsi" w:hAnsiTheme="minorHAnsi" w:cstheme="minorHAnsi"/>
          <w:i/>
          <w:iCs/>
          <w:lang w:val="en-US"/>
        </w:rPr>
        <w:t>61</w:t>
      </w:r>
      <w:r w:rsidRPr="005A464E">
        <w:rPr>
          <w:rFonts w:asciiTheme="minorHAnsi" w:hAnsiTheme="minorHAnsi" w:cstheme="minorHAnsi"/>
          <w:lang w:val="en-US"/>
        </w:rPr>
        <w:t xml:space="preserve">, 239-248. </w:t>
      </w:r>
      <w:hyperlink r:id="rId111" w:history="1">
        <w:r w:rsidRPr="005A464E">
          <w:rPr>
            <w:rStyle w:val="-"/>
            <w:rFonts w:asciiTheme="minorHAnsi" w:hAnsiTheme="minorHAnsi" w:cstheme="minorHAnsi"/>
            <w:color w:val="auto"/>
            <w:u w:val="none"/>
            <w:lang w:val="en-US"/>
          </w:rPr>
          <w:t>http://dx.DOI.org/10.1046/j.1523-1755.2002.00096.x</w:t>
        </w:r>
      </w:hyperlink>
      <w:r w:rsidRPr="005A464E">
        <w:rPr>
          <w:rFonts w:asciiTheme="minorHAnsi" w:hAnsiTheme="minorHAnsi"/>
          <w:lang w:val="en-US"/>
        </w:rPr>
        <w:t>.</w:t>
      </w:r>
    </w:p>
    <w:p w:rsidR="00E251CC" w:rsidRDefault="003C410F" w:rsidP="00E251CC">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Balkrishnan, R. (2005). The importance of medication adherence in improving chronic-disease related outcomes: what we know and what we need to further know. </w:t>
      </w:r>
      <w:r w:rsidRPr="005A464E">
        <w:rPr>
          <w:rFonts w:asciiTheme="minorHAnsi" w:eastAsia="Times New Roman" w:hAnsiTheme="minorHAnsi" w:cstheme="minorHAnsi"/>
          <w:i/>
          <w:lang w:val="en-US" w:eastAsia="el-GR"/>
        </w:rPr>
        <w:t>Medical Care</w:t>
      </w:r>
      <w:r w:rsidR="00ED3043">
        <w:rPr>
          <w:rFonts w:asciiTheme="minorHAnsi" w:eastAsia="Times New Roman" w:hAnsiTheme="minorHAnsi" w:cstheme="minorHAnsi"/>
          <w:lang w:val="en-US" w:eastAsia="el-GR"/>
        </w:rPr>
        <w:t xml:space="preserve">, </w:t>
      </w:r>
      <w:r w:rsidR="00ED3043" w:rsidRPr="00ED3043">
        <w:rPr>
          <w:rFonts w:asciiTheme="minorHAnsi" w:eastAsia="Times New Roman" w:hAnsiTheme="minorHAnsi" w:cstheme="minorHAnsi"/>
          <w:i/>
          <w:lang w:val="en-US" w:eastAsia="el-GR"/>
        </w:rPr>
        <w:t>43</w:t>
      </w:r>
      <w:r w:rsidRPr="00ED3043">
        <w:rPr>
          <w:rFonts w:asciiTheme="minorHAnsi" w:eastAsia="Times New Roman" w:hAnsiTheme="minorHAnsi" w:cstheme="minorHAnsi"/>
          <w:i/>
          <w:lang w:val="en-US" w:eastAsia="el-GR"/>
        </w:rPr>
        <w:t>,</w:t>
      </w:r>
      <w:r w:rsidR="005D0561" w:rsidRPr="005A464E">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517-520.</w:t>
      </w:r>
    </w:p>
    <w:p w:rsidR="00E251CC" w:rsidRPr="00E251CC" w:rsidRDefault="008F3609" w:rsidP="00E251CC">
      <w:pPr>
        <w:pStyle w:val="Web"/>
        <w:spacing w:after="166" w:line="360" w:lineRule="auto"/>
        <w:ind w:left="415" w:hanging="415"/>
        <w:jc w:val="both"/>
        <w:rPr>
          <w:rFonts w:asciiTheme="minorHAnsi" w:eastAsia="Times New Roman" w:hAnsiTheme="minorHAnsi" w:cstheme="minorHAnsi"/>
          <w:lang w:val="en-US" w:eastAsia="el-GR"/>
        </w:rPr>
      </w:pPr>
      <w:hyperlink r:id="rId112" w:history="1">
        <w:r w:rsidR="00E251CC" w:rsidRPr="00E251CC">
          <w:rPr>
            <w:rStyle w:val="-"/>
            <w:rFonts w:asciiTheme="minorHAnsi" w:hAnsiTheme="minorHAnsi" w:cstheme="minorHAnsi"/>
            <w:color w:val="auto"/>
            <w:u w:val="none"/>
            <w:bdr w:val="none" w:sz="0" w:space="0" w:color="auto" w:frame="1"/>
            <w:shd w:val="clear" w:color="auto" w:fill="FFFFFF"/>
            <w:lang w:val="en-US"/>
          </w:rPr>
          <w:t>Baraz</w:t>
        </w:r>
        <w:r w:rsidR="00E251CC">
          <w:rPr>
            <w:rStyle w:val="-"/>
            <w:rFonts w:asciiTheme="minorHAnsi" w:hAnsiTheme="minorHAnsi" w:cstheme="minorHAnsi"/>
            <w:color w:val="auto"/>
            <w:u w:val="none"/>
            <w:bdr w:val="none" w:sz="0" w:space="0" w:color="auto" w:frame="1"/>
            <w:shd w:val="clear" w:color="auto" w:fill="FFFFFF"/>
            <w:lang w:val="en-US"/>
          </w:rPr>
          <w:t>, S.H.,</w:t>
        </w:r>
        <w:r w:rsidR="00E251CC" w:rsidRPr="00E251CC">
          <w:rPr>
            <w:rStyle w:val="-"/>
            <w:rFonts w:asciiTheme="minorHAnsi" w:hAnsiTheme="minorHAnsi" w:cstheme="minorHAnsi"/>
            <w:color w:val="auto"/>
            <w:u w:val="none"/>
            <w:bdr w:val="none" w:sz="0" w:space="0" w:color="auto" w:frame="1"/>
            <w:shd w:val="clear" w:color="auto" w:fill="FFFFFF"/>
            <w:lang w:val="en-US"/>
          </w:rPr>
          <w:t> </w:t>
        </w:r>
      </w:hyperlink>
      <w:r w:rsidR="00E251CC" w:rsidRPr="00E251CC">
        <w:rPr>
          <w:rFonts w:asciiTheme="minorHAnsi" w:hAnsiTheme="minorHAnsi" w:cstheme="minorHAnsi"/>
          <w:shd w:val="clear" w:color="auto" w:fill="FFFFFF"/>
          <w:lang w:val="en-US"/>
        </w:rPr>
        <w:t> </w:t>
      </w:r>
      <w:hyperlink r:id="rId113" w:history="1">
        <w:r w:rsidR="00E251CC" w:rsidRPr="00E251CC">
          <w:rPr>
            <w:rStyle w:val="-"/>
            <w:rFonts w:asciiTheme="minorHAnsi" w:hAnsiTheme="minorHAnsi" w:cstheme="minorHAnsi"/>
            <w:color w:val="auto"/>
            <w:u w:val="none"/>
            <w:bdr w:val="none" w:sz="0" w:space="0" w:color="auto" w:frame="1"/>
            <w:shd w:val="clear" w:color="auto" w:fill="FFFFFF"/>
            <w:lang w:val="en-US"/>
          </w:rPr>
          <w:t xml:space="preserve"> Mohammadi</w:t>
        </w:r>
      </w:hyperlink>
      <w:r w:rsidR="00E251CC" w:rsidRPr="00E251CC">
        <w:rPr>
          <w:rFonts w:asciiTheme="minorHAnsi" w:hAnsiTheme="minorHAnsi" w:cstheme="minorHAnsi"/>
          <w:shd w:val="clear" w:color="auto" w:fill="FFFFFF"/>
          <w:lang w:val="en-US"/>
        </w:rPr>
        <w:t>,</w:t>
      </w:r>
      <w:r w:rsidR="00E251CC">
        <w:rPr>
          <w:rFonts w:asciiTheme="minorHAnsi" w:hAnsiTheme="minorHAnsi" w:cstheme="minorHAnsi"/>
          <w:shd w:val="clear" w:color="auto" w:fill="FFFFFF"/>
          <w:lang w:val="en-US"/>
        </w:rPr>
        <w:t xml:space="preserve"> E.,</w:t>
      </w:r>
      <w:r w:rsidR="00E251CC" w:rsidRPr="00E251CC">
        <w:rPr>
          <w:rFonts w:asciiTheme="minorHAnsi" w:hAnsiTheme="minorHAnsi" w:cstheme="minorHAnsi"/>
          <w:shd w:val="clear" w:color="auto" w:fill="FFFFFF"/>
          <w:lang w:val="en-US"/>
        </w:rPr>
        <w:t> </w:t>
      </w:r>
      <w:hyperlink r:id="rId114" w:history="1">
        <w:r w:rsidR="00E251CC" w:rsidRPr="00E251CC">
          <w:rPr>
            <w:rStyle w:val="-"/>
            <w:rFonts w:asciiTheme="minorHAnsi" w:hAnsiTheme="minorHAnsi" w:cstheme="minorHAnsi"/>
            <w:color w:val="auto"/>
            <w:u w:val="none"/>
            <w:bdr w:val="none" w:sz="0" w:space="0" w:color="auto" w:frame="1"/>
            <w:shd w:val="clear" w:color="auto" w:fill="FFFFFF"/>
            <w:lang w:val="en-US"/>
          </w:rPr>
          <w:t xml:space="preserve"> Broumand</w:t>
        </w:r>
      </w:hyperlink>
      <w:r w:rsidR="00E251CC">
        <w:rPr>
          <w:rFonts w:asciiTheme="minorHAnsi" w:hAnsiTheme="minorHAnsi" w:cstheme="minorHAnsi"/>
          <w:lang w:val="en-US"/>
        </w:rPr>
        <w:t xml:space="preserve">, B. (2005). </w:t>
      </w:r>
      <w:hyperlink r:id="rId115" w:history="1">
        <w:r w:rsidR="00E251CC" w:rsidRPr="00E251CC">
          <w:rPr>
            <w:rFonts w:asciiTheme="minorHAnsi" w:eastAsia="Times New Roman" w:hAnsiTheme="minorHAnsi" w:cstheme="minorHAnsi"/>
            <w:bCs/>
            <w:lang w:val="en-US" w:eastAsia="el-GR"/>
          </w:rPr>
          <w:t>The effect of self - care educational program on decreasing the problems and improving the quality of life of dialysis patients</w:t>
        </w:r>
      </w:hyperlink>
      <w:r w:rsidR="00E251CC">
        <w:rPr>
          <w:rFonts w:asciiTheme="minorHAnsi" w:eastAsia="Times New Roman" w:hAnsiTheme="minorHAnsi" w:cstheme="minorHAnsi"/>
          <w:bCs/>
          <w:lang w:val="en-US" w:eastAsia="el-GR"/>
        </w:rPr>
        <w:t xml:space="preserve">. </w:t>
      </w:r>
      <w:r w:rsidR="00E251CC" w:rsidRPr="00E251CC">
        <w:rPr>
          <w:rFonts w:asciiTheme="minorHAnsi" w:eastAsia="Times New Roman" w:hAnsiTheme="minorHAnsi" w:cstheme="minorHAnsi"/>
          <w:bCs/>
          <w:i/>
          <w:lang w:val="en-US" w:eastAsia="el-GR"/>
        </w:rPr>
        <w:t xml:space="preserve">Journal of Hayat, </w:t>
      </w:r>
      <w:r w:rsidR="00E251CC">
        <w:rPr>
          <w:rFonts w:asciiTheme="minorHAnsi" w:eastAsia="Times New Roman" w:hAnsiTheme="minorHAnsi" w:cstheme="minorHAnsi"/>
          <w:bCs/>
          <w:i/>
          <w:lang w:val="en-US" w:eastAsia="el-GR"/>
        </w:rPr>
        <w:t>11</w:t>
      </w:r>
      <w:r w:rsidR="00E251CC" w:rsidRPr="00E251CC">
        <w:rPr>
          <w:rFonts w:asciiTheme="minorHAnsi" w:eastAsia="Times New Roman" w:hAnsiTheme="minorHAnsi" w:cstheme="minorHAnsi"/>
          <w:bCs/>
          <w:lang w:val="en-US" w:eastAsia="el-GR"/>
        </w:rPr>
        <w:t>,</w:t>
      </w:r>
      <w:r w:rsidR="00E251CC">
        <w:rPr>
          <w:rFonts w:asciiTheme="minorHAnsi" w:eastAsia="Times New Roman" w:hAnsiTheme="minorHAnsi" w:cstheme="minorHAnsi"/>
          <w:bCs/>
          <w:lang w:val="en-US" w:eastAsia="el-GR"/>
        </w:rPr>
        <w:t xml:space="preserve"> 51-62.</w:t>
      </w:r>
    </w:p>
    <w:p w:rsidR="003C410F" w:rsidRPr="005A464E"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shd w:val="clear" w:color="auto" w:fill="FFFFFF"/>
          <w:lang w:val="en-US"/>
        </w:rPr>
        <w:t>Baraz, S.H., Mohammadi, E., &amp; Borumand, B. (2006). The effect of self-care educational program on decreasing the problems and improving the quality of life of dialysis patients.</w:t>
      </w:r>
      <w:r w:rsidRPr="005A464E">
        <w:rPr>
          <w:rStyle w:val="apple-converted-space"/>
          <w:rFonts w:asciiTheme="minorHAnsi" w:hAnsiTheme="minorHAnsi" w:cstheme="minorHAnsi"/>
          <w:i/>
          <w:shd w:val="clear" w:color="auto" w:fill="FFFFFF"/>
          <w:lang w:val="en-US"/>
        </w:rPr>
        <w:t> </w:t>
      </w:r>
      <w:r w:rsidRPr="005A464E">
        <w:rPr>
          <w:rStyle w:val="ref-journal"/>
          <w:rFonts w:asciiTheme="minorHAnsi" w:hAnsiTheme="minorHAnsi" w:cstheme="minorHAnsi"/>
          <w:i/>
          <w:shd w:val="clear" w:color="auto" w:fill="FFFFFF"/>
          <w:lang w:val="en-US"/>
        </w:rPr>
        <w:t>Scientific</w:t>
      </w:r>
      <w:r w:rsidRPr="005A464E">
        <w:rPr>
          <w:rStyle w:val="ref-journal"/>
          <w:rFonts w:asciiTheme="minorHAnsi" w:hAnsiTheme="minorHAnsi" w:cstheme="minorHAnsi"/>
          <w:shd w:val="clear" w:color="auto" w:fill="FFFFFF"/>
          <w:lang w:val="en-US"/>
        </w:rPr>
        <w:t xml:space="preserve"> </w:t>
      </w:r>
      <w:r w:rsidRPr="005A464E">
        <w:rPr>
          <w:rStyle w:val="ref-journal"/>
          <w:rFonts w:asciiTheme="minorHAnsi" w:hAnsiTheme="minorHAnsi" w:cstheme="minorHAnsi"/>
          <w:i/>
          <w:shd w:val="clear" w:color="auto" w:fill="FFFFFF"/>
          <w:lang w:val="en-US"/>
        </w:rPr>
        <w:t>Journal of Kurdistan University of Medical Sciences,</w:t>
      </w:r>
      <w:r w:rsidRPr="005A464E">
        <w:rPr>
          <w:rStyle w:val="ref-vol"/>
          <w:rFonts w:asciiTheme="minorHAnsi" w:hAnsiTheme="minorHAnsi" w:cstheme="minorHAnsi"/>
          <w:shd w:val="clear" w:color="auto" w:fill="FFFFFF"/>
          <w:lang w:val="en-US"/>
        </w:rPr>
        <w:t xml:space="preserve"> </w:t>
      </w:r>
      <w:r w:rsidRPr="00ED3043">
        <w:rPr>
          <w:rStyle w:val="ref-vol"/>
          <w:rFonts w:asciiTheme="minorHAnsi" w:hAnsiTheme="minorHAnsi" w:cstheme="minorHAnsi"/>
          <w:i/>
          <w:shd w:val="clear" w:color="auto" w:fill="FFFFFF"/>
          <w:lang w:val="en-US"/>
        </w:rPr>
        <w:t>10</w:t>
      </w:r>
      <w:r w:rsidRPr="005A464E">
        <w:rPr>
          <w:rFonts w:asciiTheme="minorHAnsi" w:hAnsiTheme="minorHAnsi" w:cstheme="minorHAnsi"/>
          <w:shd w:val="clear" w:color="auto" w:fill="FFFFFF"/>
          <w:lang w:val="en-US"/>
        </w:rPr>
        <w:t>,</w:t>
      </w:r>
      <w:r w:rsidR="005D0561" w:rsidRPr="005A464E">
        <w:rPr>
          <w:rFonts w:asciiTheme="minorHAnsi" w:hAnsiTheme="minorHAnsi" w:cstheme="minorHAnsi"/>
          <w:shd w:val="clear" w:color="auto" w:fill="FFFFFF"/>
          <w:lang w:val="en-US"/>
        </w:rPr>
        <w:t xml:space="preserve"> </w:t>
      </w:r>
      <w:r w:rsidRPr="005A464E">
        <w:rPr>
          <w:rFonts w:asciiTheme="minorHAnsi" w:hAnsiTheme="minorHAnsi" w:cstheme="minorHAnsi"/>
          <w:shd w:val="clear" w:color="auto" w:fill="FFFFFF"/>
          <w:lang w:val="en-US"/>
        </w:rPr>
        <w:t>69–79</w:t>
      </w:r>
      <w:r w:rsidR="0078495A">
        <w:rPr>
          <w:rStyle w:val="1Char"/>
          <w:rFonts w:asciiTheme="minorHAnsi" w:eastAsia="Calibri" w:hAnsiTheme="minorHAnsi" w:cstheme="minorHAnsi"/>
          <w:color w:val="auto"/>
          <w:sz w:val="24"/>
          <w:szCs w:val="24"/>
          <w:shd w:val="clear" w:color="auto" w:fill="FFFFFF"/>
          <w:lang w:val="en-US"/>
        </w:rPr>
        <w:t xml:space="preserve"> </w:t>
      </w:r>
      <w:hyperlink r:id="rId116" w:history="1">
        <w:r w:rsidRPr="005A464E">
          <w:rPr>
            <w:rStyle w:val="-"/>
            <w:rFonts w:asciiTheme="minorHAnsi" w:hAnsiTheme="minorHAnsi" w:cstheme="minorHAnsi"/>
            <w:color w:val="auto"/>
            <w:u w:val="none"/>
            <w:bdr w:val="none" w:sz="0" w:space="0" w:color="auto" w:frame="1"/>
            <w:shd w:val="clear" w:color="auto" w:fill="FFFFFF"/>
            <w:lang w:val="en-US"/>
          </w:rPr>
          <w:t>http://hayat.tums.ac.ir/article-1-238-en.html</w:t>
        </w:r>
      </w:hyperlink>
      <w:r w:rsidR="005D0561" w:rsidRPr="005A464E">
        <w:rPr>
          <w:rFonts w:asciiTheme="minorHAnsi" w:hAnsiTheme="minorHAnsi"/>
          <w:lang w:val="en-US"/>
        </w:rPr>
        <w:t>.</w:t>
      </w:r>
    </w:p>
    <w:p w:rsidR="001D1EAA" w:rsidRPr="005A464E"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lang w:val="en-US"/>
        </w:rPr>
        <w:t>Baraz, S.H., Parvardeh, S.,</w:t>
      </w:r>
      <w:r w:rsidR="0078495A">
        <w:rPr>
          <w:rFonts w:asciiTheme="minorHAnsi" w:hAnsiTheme="minorHAnsi" w:cstheme="minorHAnsi"/>
          <w:lang w:val="en-US"/>
        </w:rPr>
        <w:t xml:space="preserve"> </w:t>
      </w:r>
      <w:r w:rsidRPr="005A464E">
        <w:rPr>
          <w:rFonts w:asciiTheme="minorHAnsi" w:hAnsiTheme="minorHAnsi" w:cstheme="minorHAnsi"/>
          <w:lang w:val="en-US"/>
        </w:rPr>
        <w:t>Mohammadi, E., &amp;</w:t>
      </w:r>
      <w:r w:rsidR="0078495A">
        <w:rPr>
          <w:rFonts w:asciiTheme="minorHAnsi" w:hAnsiTheme="minorHAnsi" w:cstheme="minorHAnsi"/>
          <w:lang w:val="en-US"/>
        </w:rPr>
        <w:t xml:space="preserve"> </w:t>
      </w:r>
      <w:r w:rsidRPr="005A464E">
        <w:rPr>
          <w:rFonts w:asciiTheme="minorHAnsi" w:hAnsiTheme="minorHAnsi" w:cstheme="minorHAnsi"/>
          <w:lang w:val="en-US"/>
        </w:rPr>
        <w:t xml:space="preserve">Broumand, B. (2010). Dietary and fluid compliance: an educational intervention for patients having haemodialysis. </w:t>
      </w:r>
      <w:r w:rsidRPr="005A464E">
        <w:rPr>
          <w:rFonts w:asciiTheme="minorHAnsi" w:hAnsiTheme="minorHAnsi" w:cstheme="minorHAnsi"/>
          <w:i/>
          <w:lang w:val="en-US"/>
        </w:rPr>
        <w:t>Journal of Advanced Nursing,</w:t>
      </w:r>
      <w:r w:rsidR="00ED3043">
        <w:rPr>
          <w:rFonts w:asciiTheme="minorHAnsi" w:hAnsiTheme="minorHAnsi" w:cstheme="minorHAnsi"/>
          <w:lang w:val="en-US"/>
        </w:rPr>
        <w:t xml:space="preserve"> 66</w:t>
      </w:r>
      <w:r w:rsidRPr="005A464E">
        <w:rPr>
          <w:rFonts w:asciiTheme="minorHAnsi" w:hAnsiTheme="minorHAnsi" w:cstheme="minorHAnsi"/>
          <w:lang w:val="en-US"/>
        </w:rPr>
        <w:t>, 60-68.</w:t>
      </w:r>
      <w:r w:rsidRPr="005A464E">
        <w:rPr>
          <w:rFonts w:asciiTheme="minorHAnsi" w:hAnsiTheme="minorHAnsi" w:cstheme="minorHAnsi"/>
          <w:shd w:val="clear" w:color="auto" w:fill="FFFFFF"/>
          <w:lang w:val="en-US"/>
        </w:rPr>
        <w:t xml:space="preserve">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 10.1111/j.1365-2648.2009.05142.x.</w:t>
      </w:r>
    </w:p>
    <w:p w:rsidR="00AF10FE" w:rsidRDefault="008F3609" w:rsidP="00AF10FE">
      <w:pPr>
        <w:pStyle w:val="Web"/>
        <w:spacing w:after="166" w:line="360" w:lineRule="auto"/>
        <w:ind w:left="415" w:hanging="415"/>
        <w:jc w:val="both"/>
        <w:rPr>
          <w:rStyle w:val="apple-converted-space"/>
          <w:rFonts w:asciiTheme="minorHAnsi" w:hAnsiTheme="minorHAnsi" w:cstheme="minorHAnsi"/>
          <w:shd w:val="clear" w:color="auto" w:fill="FFFFFF"/>
          <w:lang w:val="en-US"/>
        </w:rPr>
      </w:pPr>
      <w:hyperlink r:id="rId117" w:history="1">
        <w:r w:rsidR="001D1EAA" w:rsidRPr="005A464E">
          <w:rPr>
            <w:rStyle w:val="-"/>
            <w:rFonts w:asciiTheme="minorHAnsi" w:hAnsiTheme="minorHAnsi" w:cstheme="minorHAnsi"/>
            <w:color w:val="auto"/>
            <w:u w:val="none"/>
            <w:shd w:val="clear" w:color="auto" w:fill="FFFFFF"/>
            <w:lang w:val="en-US"/>
          </w:rPr>
          <w:t>Baraz</w:t>
        </w:r>
        <w:r w:rsidR="005D0561" w:rsidRPr="005A464E">
          <w:rPr>
            <w:rStyle w:val="-"/>
            <w:rFonts w:asciiTheme="minorHAnsi" w:hAnsiTheme="minorHAnsi" w:cstheme="minorHAnsi"/>
            <w:color w:val="auto"/>
            <w:u w:val="none"/>
            <w:shd w:val="clear" w:color="auto" w:fill="FFFFFF"/>
            <w:lang w:val="en-US"/>
          </w:rPr>
          <w:t>,</w:t>
        </w:r>
        <w:r w:rsidR="001D1EAA" w:rsidRPr="005A464E">
          <w:rPr>
            <w:rStyle w:val="-"/>
            <w:rFonts w:asciiTheme="minorHAnsi" w:hAnsiTheme="minorHAnsi" w:cstheme="minorHAnsi"/>
            <w:color w:val="auto"/>
            <w:u w:val="none"/>
            <w:shd w:val="clear" w:color="auto" w:fill="FFFFFF"/>
            <w:lang w:val="en-US"/>
          </w:rPr>
          <w:t xml:space="preserve"> S</w:t>
        </w:r>
      </w:hyperlink>
      <w:r w:rsidR="008B6859" w:rsidRPr="005A464E">
        <w:rPr>
          <w:rFonts w:asciiTheme="minorHAnsi" w:hAnsiTheme="minorHAnsi" w:cstheme="minorHAnsi"/>
          <w:lang w:val="en-US"/>
        </w:rPr>
        <w:t>.</w:t>
      </w:r>
      <w:r w:rsidR="001D1EAA" w:rsidRPr="005A464E">
        <w:rPr>
          <w:rFonts w:asciiTheme="minorHAnsi" w:hAnsiTheme="minorHAnsi" w:cstheme="minorHAnsi"/>
          <w:shd w:val="clear" w:color="auto" w:fill="FFFFFF"/>
          <w:lang w:val="en-US"/>
        </w:rPr>
        <w:t>,</w:t>
      </w:r>
      <w:r w:rsidR="0078495A">
        <w:rPr>
          <w:rStyle w:val="apple-converted-space"/>
          <w:rFonts w:asciiTheme="minorHAnsi" w:hAnsiTheme="minorHAnsi" w:cstheme="minorHAnsi"/>
          <w:shd w:val="clear" w:color="auto" w:fill="FFFFFF"/>
          <w:lang w:val="en-US"/>
        </w:rPr>
        <w:t xml:space="preserve"> </w:t>
      </w:r>
      <w:hyperlink r:id="rId118" w:history="1">
        <w:r w:rsidR="001D1EAA" w:rsidRPr="005A464E">
          <w:rPr>
            <w:rStyle w:val="-"/>
            <w:rFonts w:asciiTheme="minorHAnsi" w:hAnsiTheme="minorHAnsi" w:cstheme="minorHAnsi"/>
            <w:color w:val="auto"/>
            <w:u w:val="none"/>
            <w:shd w:val="clear" w:color="auto" w:fill="FFFFFF"/>
            <w:lang w:val="en-US"/>
          </w:rPr>
          <w:t>Zarea</w:t>
        </w:r>
        <w:r w:rsidR="005D0561" w:rsidRPr="005A464E">
          <w:rPr>
            <w:rStyle w:val="-"/>
            <w:rFonts w:asciiTheme="minorHAnsi" w:hAnsiTheme="minorHAnsi" w:cstheme="minorHAnsi"/>
            <w:color w:val="auto"/>
            <w:u w:val="none"/>
            <w:shd w:val="clear" w:color="auto" w:fill="FFFFFF"/>
            <w:lang w:val="en-US"/>
          </w:rPr>
          <w:t>,</w:t>
        </w:r>
        <w:r w:rsidR="001D1EAA" w:rsidRPr="005A464E">
          <w:rPr>
            <w:rStyle w:val="-"/>
            <w:rFonts w:asciiTheme="minorHAnsi" w:hAnsiTheme="minorHAnsi" w:cstheme="minorHAnsi"/>
            <w:color w:val="auto"/>
            <w:u w:val="none"/>
            <w:shd w:val="clear" w:color="auto" w:fill="FFFFFF"/>
            <w:lang w:val="en-US"/>
          </w:rPr>
          <w:t xml:space="preserve"> K</w:t>
        </w:r>
      </w:hyperlink>
      <w:r w:rsidR="008B6859" w:rsidRPr="005A464E">
        <w:rPr>
          <w:rFonts w:asciiTheme="minorHAnsi" w:hAnsiTheme="minorHAnsi" w:cstheme="minorHAnsi"/>
          <w:lang w:val="en-US"/>
        </w:rPr>
        <w:t>.</w:t>
      </w:r>
      <w:r w:rsidR="001D1EAA" w:rsidRPr="005A464E">
        <w:rPr>
          <w:rFonts w:asciiTheme="minorHAnsi" w:hAnsiTheme="minorHAnsi" w:cstheme="minorHAnsi"/>
          <w:shd w:val="clear" w:color="auto" w:fill="FFFFFF"/>
          <w:lang w:val="en-US"/>
        </w:rPr>
        <w:t>,</w:t>
      </w:r>
      <w:r w:rsidR="001D1EAA" w:rsidRPr="005A464E">
        <w:rPr>
          <w:rStyle w:val="apple-converted-space"/>
          <w:rFonts w:asciiTheme="minorHAnsi" w:hAnsiTheme="minorHAnsi" w:cstheme="minorHAnsi"/>
          <w:shd w:val="clear" w:color="auto" w:fill="FFFFFF"/>
          <w:lang w:val="en-US"/>
        </w:rPr>
        <w:t xml:space="preserve"> </w:t>
      </w:r>
      <w:r w:rsidR="005D0561" w:rsidRPr="005A464E">
        <w:rPr>
          <w:rStyle w:val="apple-converted-space"/>
          <w:rFonts w:asciiTheme="minorHAnsi" w:hAnsiTheme="minorHAnsi" w:cstheme="minorHAnsi"/>
          <w:shd w:val="clear" w:color="auto" w:fill="FFFFFF"/>
          <w:lang w:val="en-US"/>
        </w:rPr>
        <w:t xml:space="preserve">&amp; </w:t>
      </w:r>
      <w:hyperlink r:id="rId119" w:history="1">
        <w:r w:rsidR="001D1EAA" w:rsidRPr="005A464E">
          <w:rPr>
            <w:rStyle w:val="-"/>
            <w:rFonts w:asciiTheme="minorHAnsi" w:hAnsiTheme="minorHAnsi" w:cstheme="minorHAnsi"/>
            <w:color w:val="auto"/>
            <w:u w:val="none"/>
            <w:shd w:val="clear" w:color="auto" w:fill="FFFFFF"/>
            <w:lang w:val="en-US"/>
          </w:rPr>
          <w:t>Dashtbozorgi</w:t>
        </w:r>
        <w:r w:rsidR="005D0561" w:rsidRPr="005A464E">
          <w:rPr>
            <w:rStyle w:val="-"/>
            <w:rFonts w:asciiTheme="minorHAnsi" w:hAnsiTheme="minorHAnsi" w:cstheme="minorHAnsi"/>
            <w:color w:val="auto"/>
            <w:u w:val="none"/>
            <w:shd w:val="clear" w:color="auto" w:fill="FFFFFF"/>
            <w:lang w:val="en-US"/>
          </w:rPr>
          <w:t>,</w:t>
        </w:r>
        <w:r w:rsidR="001D1EAA" w:rsidRPr="005A464E">
          <w:rPr>
            <w:rStyle w:val="-"/>
            <w:rFonts w:asciiTheme="minorHAnsi" w:hAnsiTheme="minorHAnsi" w:cstheme="minorHAnsi"/>
            <w:color w:val="auto"/>
            <w:u w:val="none"/>
            <w:shd w:val="clear" w:color="auto" w:fill="FFFFFF"/>
            <w:lang w:val="en-US"/>
          </w:rPr>
          <w:t xml:space="preserve"> B</w:t>
        </w:r>
      </w:hyperlink>
      <w:r w:rsidR="001D1EAA" w:rsidRPr="005A464E">
        <w:rPr>
          <w:rFonts w:asciiTheme="minorHAnsi" w:hAnsiTheme="minorHAnsi" w:cstheme="minorHAnsi"/>
          <w:shd w:val="clear" w:color="auto" w:fill="FFFFFF"/>
          <w:lang w:val="en-US"/>
        </w:rPr>
        <w:t>. (2014).</w:t>
      </w:r>
      <w:r w:rsidR="008B6859" w:rsidRPr="005A464E">
        <w:rPr>
          <w:rFonts w:asciiTheme="minorHAnsi" w:hAnsiTheme="minorHAnsi" w:cstheme="minorHAnsi"/>
          <w:shd w:val="clear" w:color="auto" w:fill="FFFFFF"/>
          <w:lang w:val="en-US"/>
        </w:rPr>
        <w:t xml:space="preserve"> </w:t>
      </w:r>
      <w:r w:rsidR="001D1EAA" w:rsidRPr="005A464E">
        <w:rPr>
          <w:rStyle w:val="highlight"/>
          <w:rFonts w:asciiTheme="minorHAnsi" w:hAnsiTheme="minorHAnsi" w:cstheme="minorHAnsi"/>
          <w:lang w:val="en-US"/>
        </w:rPr>
        <w:t>Comparing</w:t>
      </w:r>
      <w:r w:rsidR="001D1EAA" w:rsidRPr="005A464E">
        <w:rPr>
          <w:rStyle w:val="apple-converted-space"/>
          <w:rFonts w:asciiTheme="minorHAnsi" w:hAnsiTheme="minorHAnsi" w:cstheme="minorHAnsi"/>
          <w:lang w:val="en-US"/>
        </w:rPr>
        <w:t> </w:t>
      </w:r>
      <w:r w:rsidR="001D1EAA" w:rsidRPr="005A464E">
        <w:rPr>
          <w:rFonts w:asciiTheme="minorHAnsi" w:hAnsiTheme="minorHAnsi" w:cstheme="minorHAnsi"/>
          <w:lang w:val="en-US"/>
        </w:rPr>
        <w:t>the</w:t>
      </w:r>
      <w:r w:rsidR="001D1EAA" w:rsidRPr="005A464E">
        <w:rPr>
          <w:rStyle w:val="apple-converted-space"/>
          <w:rFonts w:asciiTheme="minorHAnsi" w:hAnsiTheme="minorHAnsi" w:cstheme="minorHAnsi"/>
          <w:lang w:val="en-US"/>
        </w:rPr>
        <w:t> </w:t>
      </w:r>
      <w:r w:rsidR="001D1EAA" w:rsidRPr="005A464E">
        <w:rPr>
          <w:rStyle w:val="highlight"/>
          <w:rFonts w:asciiTheme="minorHAnsi" w:hAnsiTheme="minorHAnsi" w:cstheme="minorHAnsi"/>
          <w:lang w:val="en-US"/>
        </w:rPr>
        <w:t>effect</w:t>
      </w:r>
      <w:r w:rsidR="001D1EAA" w:rsidRPr="005A464E">
        <w:rPr>
          <w:rStyle w:val="apple-converted-space"/>
          <w:rFonts w:asciiTheme="minorHAnsi" w:hAnsiTheme="minorHAnsi" w:cstheme="minorHAnsi"/>
          <w:lang w:val="en-US"/>
        </w:rPr>
        <w:t> </w:t>
      </w:r>
      <w:r w:rsidR="001D1EAA" w:rsidRPr="005A464E">
        <w:rPr>
          <w:rFonts w:asciiTheme="minorHAnsi" w:hAnsiTheme="minorHAnsi" w:cstheme="minorHAnsi"/>
          <w:lang w:val="en-US"/>
        </w:rPr>
        <w:t>of</w:t>
      </w:r>
      <w:r w:rsidR="001D1EAA" w:rsidRPr="005A464E">
        <w:rPr>
          <w:rStyle w:val="apple-converted-space"/>
          <w:rFonts w:asciiTheme="minorHAnsi" w:hAnsiTheme="minorHAnsi" w:cstheme="minorHAnsi"/>
          <w:lang w:val="en-US"/>
        </w:rPr>
        <w:t> </w:t>
      </w:r>
      <w:r w:rsidR="001D1EAA" w:rsidRPr="005A464E">
        <w:rPr>
          <w:rStyle w:val="highlight"/>
          <w:rFonts w:asciiTheme="minorHAnsi" w:hAnsiTheme="minorHAnsi" w:cstheme="minorHAnsi"/>
          <w:lang w:val="en-US"/>
        </w:rPr>
        <w:t>two</w:t>
      </w:r>
      <w:r w:rsidR="001D1EAA" w:rsidRPr="005A464E">
        <w:rPr>
          <w:rStyle w:val="apple-converted-space"/>
          <w:rFonts w:asciiTheme="minorHAnsi" w:hAnsiTheme="minorHAnsi" w:cstheme="minorHAnsi"/>
          <w:lang w:val="en-US"/>
        </w:rPr>
        <w:t> </w:t>
      </w:r>
      <w:r w:rsidR="001D1EAA" w:rsidRPr="005A464E">
        <w:rPr>
          <w:rStyle w:val="highlight"/>
          <w:rFonts w:asciiTheme="minorHAnsi" w:hAnsiTheme="minorHAnsi" w:cstheme="minorHAnsi"/>
          <w:lang w:val="en-US"/>
        </w:rPr>
        <w:t>educational</w:t>
      </w:r>
      <w:r w:rsidR="001D1EAA" w:rsidRPr="005A464E">
        <w:rPr>
          <w:rStyle w:val="apple-converted-space"/>
          <w:rFonts w:asciiTheme="minorHAnsi" w:hAnsiTheme="minorHAnsi" w:cstheme="minorHAnsi"/>
          <w:lang w:val="en-US"/>
        </w:rPr>
        <w:t> </w:t>
      </w:r>
      <w:r w:rsidR="001D1EAA" w:rsidRPr="005A464E">
        <w:rPr>
          <w:rStyle w:val="highlight"/>
          <w:rFonts w:asciiTheme="minorHAnsi" w:hAnsiTheme="minorHAnsi" w:cstheme="minorHAnsi"/>
          <w:lang w:val="en-US"/>
        </w:rPr>
        <w:t>programs</w:t>
      </w:r>
      <w:r w:rsidR="001D1EAA" w:rsidRPr="005A464E">
        <w:rPr>
          <w:rStyle w:val="apple-converted-space"/>
          <w:rFonts w:asciiTheme="minorHAnsi" w:hAnsiTheme="minorHAnsi" w:cstheme="minorHAnsi"/>
          <w:lang w:val="en-US"/>
        </w:rPr>
        <w:t> </w:t>
      </w:r>
      <w:r w:rsidR="001D1EAA" w:rsidRPr="005A464E">
        <w:rPr>
          <w:rFonts w:asciiTheme="minorHAnsi" w:hAnsiTheme="minorHAnsi" w:cstheme="minorHAnsi"/>
          <w:lang w:val="en-US"/>
        </w:rPr>
        <w:t>onthe</w:t>
      </w:r>
      <w:r w:rsidR="001D1EAA" w:rsidRPr="005A464E">
        <w:rPr>
          <w:rStyle w:val="apple-converted-space"/>
          <w:rFonts w:asciiTheme="minorHAnsi" w:hAnsiTheme="minorHAnsi" w:cstheme="minorHAnsi"/>
          <w:lang w:val="en-US"/>
        </w:rPr>
        <w:t> </w:t>
      </w:r>
      <w:r w:rsidR="001D1EAA" w:rsidRPr="005A464E">
        <w:rPr>
          <w:rStyle w:val="highlight"/>
          <w:rFonts w:asciiTheme="minorHAnsi" w:hAnsiTheme="minorHAnsi" w:cstheme="minorHAnsi"/>
          <w:lang w:val="en-US"/>
        </w:rPr>
        <w:t>quality</w:t>
      </w:r>
      <w:r w:rsidR="001D1EAA" w:rsidRPr="005A464E">
        <w:rPr>
          <w:rStyle w:val="apple-converted-space"/>
          <w:rFonts w:asciiTheme="minorHAnsi" w:hAnsiTheme="minorHAnsi" w:cstheme="minorHAnsi"/>
          <w:lang w:val="en-US"/>
        </w:rPr>
        <w:t> </w:t>
      </w:r>
      <w:r w:rsidR="001D1EAA" w:rsidRPr="005A464E">
        <w:rPr>
          <w:rFonts w:asciiTheme="minorHAnsi" w:hAnsiTheme="minorHAnsi" w:cstheme="minorHAnsi"/>
          <w:lang w:val="en-US"/>
        </w:rPr>
        <w:t>of</w:t>
      </w:r>
      <w:r w:rsidR="001D1EAA" w:rsidRPr="005A464E">
        <w:rPr>
          <w:rStyle w:val="apple-converted-space"/>
          <w:rFonts w:asciiTheme="minorHAnsi" w:hAnsiTheme="minorHAnsi" w:cstheme="minorHAnsi"/>
          <w:lang w:val="en-US"/>
        </w:rPr>
        <w:t> </w:t>
      </w:r>
      <w:r w:rsidR="001D1EAA" w:rsidRPr="005A464E">
        <w:rPr>
          <w:rStyle w:val="highlight"/>
          <w:rFonts w:asciiTheme="minorHAnsi" w:hAnsiTheme="minorHAnsi" w:cstheme="minorHAnsi"/>
          <w:lang w:val="en-US"/>
        </w:rPr>
        <w:t>life</w:t>
      </w:r>
      <w:r w:rsidR="001D1EAA" w:rsidRPr="005A464E">
        <w:rPr>
          <w:rStyle w:val="apple-converted-space"/>
          <w:rFonts w:asciiTheme="minorHAnsi" w:hAnsiTheme="minorHAnsi" w:cstheme="minorHAnsi"/>
          <w:lang w:val="en-US"/>
        </w:rPr>
        <w:t> </w:t>
      </w:r>
      <w:r w:rsidR="001D1EAA" w:rsidRPr="005A464E">
        <w:rPr>
          <w:rFonts w:asciiTheme="minorHAnsi" w:hAnsiTheme="minorHAnsi" w:cstheme="minorHAnsi"/>
          <w:lang w:val="en-US"/>
        </w:rPr>
        <w:t>of</w:t>
      </w:r>
      <w:r w:rsidR="001D1EAA" w:rsidRPr="005A464E">
        <w:rPr>
          <w:rStyle w:val="apple-converted-space"/>
          <w:rFonts w:asciiTheme="minorHAnsi" w:hAnsiTheme="minorHAnsi" w:cstheme="minorHAnsi"/>
          <w:lang w:val="en-US"/>
        </w:rPr>
        <w:t> </w:t>
      </w:r>
      <w:r w:rsidR="001D1EAA" w:rsidRPr="005A464E">
        <w:rPr>
          <w:rStyle w:val="highlight"/>
          <w:rFonts w:asciiTheme="minorHAnsi" w:hAnsiTheme="minorHAnsi" w:cstheme="minorHAnsi"/>
          <w:lang w:val="en-US"/>
        </w:rPr>
        <w:t>hemodialysis</w:t>
      </w:r>
      <w:r w:rsidR="001D1EAA" w:rsidRPr="005A464E">
        <w:rPr>
          <w:rStyle w:val="apple-converted-space"/>
          <w:rFonts w:asciiTheme="minorHAnsi" w:hAnsiTheme="minorHAnsi" w:cstheme="minorHAnsi"/>
          <w:lang w:val="en-US"/>
        </w:rPr>
        <w:t> </w:t>
      </w:r>
      <w:r w:rsidR="001D1EAA" w:rsidRPr="005A464E">
        <w:rPr>
          <w:rStyle w:val="highlight"/>
          <w:rFonts w:asciiTheme="minorHAnsi" w:hAnsiTheme="minorHAnsi" w:cstheme="minorHAnsi"/>
          <w:lang w:val="en-US"/>
        </w:rPr>
        <w:t>patients</w:t>
      </w:r>
      <w:r w:rsidR="001D1EAA" w:rsidRPr="005A464E">
        <w:rPr>
          <w:rStyle w:val="apple-converted-space"/>
          <w:rFonts w:asciiTheme="minorHAnsi" w:hAnsiTheme="minorHAnsi" w:cstheme="minorHAnsi"/>
          <w:lang w:val="en-US"/>
        </w:rPr>
        <w:t> </w:t>
      </w:r>
      <w:r w:rsidR="001D1EAA" w:rsidRPr="005A464E">
        <w:rPr>
          <w:rFonts w:asciiTheme="minorHAnsi" w:hAnsiTheme="minorHAnsi" w:cstheme="minorHAnsi"/>
          <w:lang w:val="en-US"/>
        </w:rPr>
        <w:t>in</w:t>
      </w:r>
      <w:r w:rsidR="001D1EAA" w:rsidRPr="005A464E">
        <w:rPr>
          <w:rStyle w:val="apple-converted-space"/>
          <w:rFonts w:asciiTheme="minorHAnsi" w:hAnsiTheme="minorHAnsi" w:cstheme="minorHAnsi"/>
          <w:lang w:val="en-US"/>
        </w:rPr>
        <w:t> </w:t>
      </w:r>
      <w:r w:rsidR="005D0561" w:rsidRPr="005A464E">
        <w:rPr>
          <w:rStyle w:val="highlight"/>
          <w:rFonts w:asciiTheme="minorHAnsi" w:hAnsiTheme="minorHAnsi" w:cstheme="minorHAnsi"/>
          <w:lang w:val="en-US"/>
        </w:rPr>
        <w:t>I</w:t>
      </w:r>
      <w:r w:rsidR="001D1EAA" w:rsidRPr="005A464E">
        <w:rPr>
          <w:rStyle w:val="highlight"/>
          <w:rFonts w:asciiTheme="minorHAnsi" w:hAnsiTheme="minorHAnsi" w:cstheme="minorHAnsi"/>
          <w:lang w:val="en-US"/>
        </w:rPr>
        <w:t>ran</w:t>
      </w:r>
      <w:r w:rsidR="001D1EAA" w:rsidRPr="005A464E">
        <w:rPr>
          <w:rFonts w:asciiTheme="minorHAnsi" w:hAnsiTheme="minorHAnsi" w:cstheme="minorHAnsi"/>
          <w:lang w:val="en-US"/>
        </w:rPr>
        <w:t>.</w:t>
      </w:r>
      <w:r w:rsidR="001D1EAA" w:rsidRPr="005A464E">
        <w:rPr>
          <w:rFonts w:asciiTheme="minorHAnsi" w:hAnsiTheme="minorHAnsi" w:cstheme="minorHAnsi"/>
          <w:shd w:val="clear" w:color="auto" w:fill="FFFFFF"/>
          <w:lang w:val="en-US"/>
        </w:rPr>
        <w:t xml:space="preserve"> </w:t>
      </w:r>
      <w:hyperlink r:id="rId120" w:tooltip="Iranian Red Crescent medical journal." w:history="1">
        <w:r w:rsidR="005D0561" w:rsidRPr="005A464E">
          <w:rPr>
            <w:rStyle w:val="highlight"/>
            <w:rFonts w:asciiTheme="minorHAnsi" w:hAnsiTheme="minorHAnsi" w:cstheme="minorHAnsi"/>
            <w:i/>
            <w:shd w:val="clear" w:color="auto" w:fill="FFFFFF"/>
            <w:lang w:val="en-US"/>
          </w:rPr>
          <w:t>Iran</w:t>
        </w:r>
        <w:r w:rsidR="001D1EAA" w:rsidRPr="005A464E">
          <w:rPr>
            <w:rStyle w:val="highlight"/>
            <w:rFonts w:asciiTheme="minorHAnsi" w:hAnsiTheme="minorHAnsi" w:cstheme="minorHAnsi"/>
            <w:i/>
            <w:shd w:val="clear" w:color="auto" w:fill="FFFFFF"/>
            <w:lang w:val="en-US"/>
          </w:rPr>
          <w:t>i</w:t>
        </w:r>
        <w:r w:rsidR="005D0561" w:rsidRPr="005A464E">
          <w:rPr>
            <w:rStyle w:val="highlight"/>
            <w:rFonts w:asciiTheme="minorHAnsi" w:hAnsiTheme="minorHAnsi" w:cstheme="minorHAnsi"/>
            <w:i/>
            <w:shd w:val="clear" w:color="auto" w:fill="FFFFFF"/>
            <w:lang w:val="en-US"/>
          </w:rPr>
          <w:t>a</w:t>
        </w:r>
        <w:r w:rsidR="001D1EAA" w:rsidRPr="005A464E">
          <w:rPr>
            <w:rStyle w:val="highlight"/>
            <w:rFonts w:asciiTheme="minorHAnsi" w:hAnsiTheme="minorHAnsi" w:cstheme="minorHAnsi"/>
            <w:i/>
            <w:shd w:val="clear" w:color="auto" w:fill="FFFFFF"/>
            <w:lang w:val="en-US"/>
          </w:rPr>
          <w:t>n</w:t>
        </w:r>
        <w:r w:rsidR="0078495A">
          <w:rPr>
            <w:rStyle w:val="highlight"/>
            <w:rFonts w:asciiTheme="minorHAnsi" w:hAnsiTheme="minorHAnsi" w:cstheme="minorHAnsi"/>
            <w:i/>
            <w:shd w:val="clear" w:color="auto" w:fill="FFFFFF"/>
            <w:lang w:val="en-US"/>
          </w:rPr>
          <w:t xml:space="preserve"> </w:t>
        </w:r>
        <w:r w:rsidR="001D1EAA" w:rsidRPr="005A464E">
          <w:rPr>
            <w:rStyle w:val="-"/>
            <w:rFonts w:asciiTheme="minorHAnsi" w:hAnsiTheme="minorHAnsi" w:cstheme="minorHAnsi"/>
            <w:i/>
            <w:color w:val="auto"/>
            <w:u w:val="none"/>
            <w:shd w:val="clear" w:color="auto" w:fill="FFFFFF"/>
            <w:lang w:val="en-US"/>
          </w:rPr>
          <w:t>Red Crescent Medical Journal</w:t>
        </w:r>
        <w:r w:rsidR="005D0561" w:rsidRPr="005A464E">
          <w:rPr>
            <w:rStyle w:val="-"/>
            <w:rFonts w:asciiTheme="minorHAnsi" w:hAnsiTheme="minorHAnsi" w:cstheme="minorHAnsi"/>
            <w:color w:val="auto"/>
            <w:u w:val="none"/>
            <w:shd w:val="clear" w:color="auto" w:fill="FFFFFF"/>
            <w:lang w:val="en-US"/>
          </w:rPr>
          <w:t xml:space="preserve">, </w:t>
        </w:r>
      </w:hyperlink>
      <w:r w:rsidR="001D1EAA" w:rsidRPr="005A464E">
        <w:rPr>
          <w:rFonts w:asciiTheme="minorHAnsi" w:hAnsiTheme="minorHAnsi" w:cstheme="minorHAnsi"/>
          <w:shd w:val="clear" w:color="auto" w:fill="FFFFFF"/>
          <w:lang w:val="en-US"/>
        </w:rPr>
        <w:t xml:space="preserve"> </w:t>
      </w:r>
      <w:r w:rsidR="001D1EAA" w:rsidRPr="00ED3043">
        <w:rPr>
          <w:rFonts w:asciiTheme="minorHAnsi" w:hAnsiTheme="minorHAnsi" w:cstheme="minorHAnsi"/>
          <w:i/>
          <w:shd w:val="clear" w:color="auto" w:fill="FFFFFF"/>
          <w:lang w:val="en-US"/>
        </w:rPr>
        <w:t>16</w:t>
      </w:r>
      <w:r w:rsidR="00ED3043">
        <w:rPr>
          <w:rFonts w:asciiTheme="minorHAnsi" w:hAnsiTheme="minorHAnsi" w:cstheme="minorHAnsi"/>
          <w:shd w:val="clear" w:color="auto" w:fill="FFFFFF"/>
          <w:lang w:val="en-US"/>
        </w:rPr>
        <w:t xml:space="preserve">, </w:t>
      </w:r>
      <w:r w:rsidR="001D1EAA" w:rsidRPr="005A464E">
        <w:rPr>
          <w:rFonts w:asciiTheme="minorHAnsi" w:hAnsiTheme="minorHAnsi" w:cstheme="minorHAnsi"/>
          <w:shd w:val="clear" w:color="auto" w:fill="FFFFFF"/>
          <w:lang w:val="en-US"/>
        </w:rPr>
        <w:t xml:space="preserve">e19368. </w:t>
      </w:r>
      <w:r w:rsidR="00292B29" w:rsidRPr="005A464E">
        <w:rPr>
          <w:rFonts w:asciiTheme="minorHAnsi" w:hAnsiTheme="minorHAnsi" w:cstheme="minorHAnsi"/>
          <w:shd w:val="clear" w:color="auto" w:fill="FFFFFF"/>
          <w:lang w:val="en-US"/>
        </w:rPr>
        <w:t>DOI</w:t>
      </w:r>
      <w:r w:rsidR="001D1EAA" w:rsidRPr="005A464E">
        <w:rPr>
          <w:rFonts w:asciiTheme="minorHAnsi" w:hAnsiTheme="minorHAnsi" w:cstheme="minorHAnsi"/>
          <w:shd w:val="clear" w:color="auto" w:fill="FFFFFF"/>
          <w:lang w:val="en-US"/>
        </w:rPr>
        <w:t>: 10.5812/ircmj.19368.</w:t>
      </w:r>
      <w:r w:rsidR="001D1EAA" w:rsidRPr="005A464E">
        <w:rPr>
          <w:rStyle w:val="apple-converted-space"/>
          <w:rFonts w:asciiTheme="minorHAnsi" w:hAnsiTheme="minorHAnsi" w:cstheme="minorHAnsi"/>
          <w:shd w:val="clear" w:color="auto" w:fill="FFFFFF"/>
          <w:lang w:val="en-US"/>
        </w:rPr>
        <w:t> </w:t>
      </w:r>
    </w:p>
    <w:p w:rsidR="009C32D8" w:rsidRPr="009C32D8" w:rsidRDefault="009C32D8" w:rsidP="00AF10FE">
      <w:pPr>
        <w:pStyle w:val="Web"/>
        <w:spacing w:after="166" w:line="360" w:lineRule="auto"/>
        <w:ind w:left="415" w:hanging="415"/>
        <w:jc w:val="both"/>
        <w:rPr>
          <w:rFonts w:asciiTheme="minorHAnsi" w:hAnsiTheme="minorHAnsi" w:cstheme="minorHAnsi"/>
          <w:shd w:val="clear" w:color="auto" w:fill="FFFFFF"/>
          <w:lang w:val="en-US"/>
        </w:rPr>
      </w:pPr>
      <w:r w:rsidRPr="009C32D8">
        <w:rPr>
          <w:rFonts w:asciiTheme="minorHAnsi" w:hAnsiTheme="minorHAnsi" w:cstheme="minorHAnsi"/>
          <w:lang w:val="en-US" w:eastAsia="el-GR"/>
        </w:rPr>
        <w:t xml:space="preserve">Barnes, T., Hancock, K. &amp; Dainton, M. (2013).Training nurses to support greater patient engagement in haemodialysis. </w:t>
      </w:r>
      <w:r w:rsidRPr="009C32D8">
        <w:rPr>
          <w:rFonts w:asciiTheme="minorHAnsi" w:hAnsiTheme="minorHAnsi" w:cstheme="minorHAnsi"/>
          <w:i/>
          <w:iCs/>
          <w:lang w:val="en-US" w:eastAsia="el-GR"/>
        </w:rPr>
        <w:t>Journal</w:t>
      </w:r>
      <w:r w:rsidRPr="000729FE">
        <w:rPr>
          <w:rFonts w:asciiTheme="minorHAnsi" w:hAnsiTheme="minorHAnsi" w:cstheme="minorHAnsi"/>
          <w:shd w:val="clear" w:color="auto" w:fill="FFFFFF"/>
          <w:lang w:val="en-US"/>
        </w:rPr>
        <w:t xml:space="preserve"> </w:t>
      </w:r>
      <w:r w:rsidRPr="009C32D8">
        <w:rPr>
          <w:rFonts w:asciiTheme="minorHAnsi" w:hAnsiTheme="minorHAnsi" w:cstheme="minorHAnsi"/>
          <w:i/>
          <w:iCs/>
          <w:lang w:val="en-US" w:eastAsia="el-GR"/>
        </w:rPr>
        <w:t xml:space="preserve">of Renal Care, </w:t>
      </w:r>
      <w:r w:rsidRPr="00ED3043">
        <w:rPr>
          <w:rFonts w:asciiTheme="minorHAnsi" w:hAnsiTheme="minorHAnsi" w:cstheme="minorHAnsi"/>
          <w:i/>
          <w:iCs/>
          <w:lang w:val="en-US" w:eastAsia="el-GR"/>
        </w:rPr>
        <w:t xml:space="preserve">39 </w:t>
      </w:r>
      <w:r w:rsidRPr="009C32D8">
        <w:rPr>
          <w:rFonts w:asciiTheme="minorHAnsi" w:hAnsiTheme="minorHAnsi" w:cstheme="minorHAnsi"/>
          <w:lang w:val="en-US" w:eastAsia="el-GR"/>
        </w:rPr>
        <w:t>Suppl 2:10-8.</w:t>
      </w:r>
    </w:p>
    <w:p w:rsidR="003C410F" w:rsidRPr="005A464E" w:rsidRDefault="003C410F" w:rsidP="005A464E">
      <w:pPr>
        <w:pStyle w:val="Web"/>
        <w:spacing w:after="166" w:line="360" w:lineRule="auto"/>
        <w:ind w:left="415" w:hanging="415"/>
        <w:jc w:val="both"/>
        <w:rPr>
          <w:rStyle w:val="mixed-citation"/>
          <w:rFonts w:asciiTheme="minorHAnsi" w:hAnsiTheme="minorHAnsi" w:cstheme="minorHAnsi"/>
          <w:lang w:val="en-US"/>
        </w:rPr>
      </w:pPr>
      <w:r w:rsidRPr="005A464E">
        <w:rPr>
          <w:rStyle w:val="mixed-citation"/>
          <w:rFonts w:asciiTheme="minorHAnsi" w:hAnsiTheme="minorHAnsi" w:cstheme="minorHAnsi"/>
          <w:lang w:val="en-US"/>
        </w:rPr>
        <w:t>Barnett</w:t>
      </w:r>
      <w:r w:rsidR="005D0561" w:rsidRPr="005A464E">
        <w:rPr>
          <w:rStyle w:val="mixed-citation"/>
          <w:rFonts w:asciiTheme="minorHAnsi" w:hAnsiTheme="minorHAnsi" w:cstheme="minorHAnsi"/>
          <w:lang w:val="en-US"/>
        </w:rPr>
        <w:t>,</w:t>
      </w:r>
      <w:r w:rsidRPr="005A464E">
        <w:rPr>
          <w:rStyle w:val="mixed-citation"/>
          <w:rFonts w:asciiTheme="minorHAnsi" w:hAnsiTheme="minorHAnsi" w:cstheme="minorHAnsi"/>
          <w:lang w:val="en-US"/>
        </w:rPr>
        <w:t>T</w:t>
      </w:r>
      <w:r w:rsidR="005D0561" w:rsidRPr="005A464E">
        <w:rPr>
          <w:rStyle w:val="mixed-citation"/>
          <w:rFonts w:asciiTheme="minorHAnsi" w:hAnsiTheme="minorHAnsi" w:cstheme="minorHAnsi"/>
          <w:lang w:val="en-US"/>
        </w:rPr>
        <w:t xml:space="preserve">., Li </w:t>
      </w:r>
      <w:r w:rsidRPr="005A464E">
        <w:rPr>
          <w:rStyle w:val="mixed-citation"/>
          <w:rFonts w:asciiTheme="minorHAnsi" w:hAnsiTheme="minorHAnsi" w:cstheme="minorHAnsi"/>
          <w:lang w:val="en-US"/>
        </w:rPr>
        <w:t>Yoong</w:t>
      </w:r>
      <w:r w:rsidR="005D0561" w:rsidRPr="005A464E">
        <w:rPr>
          <w:rStyle w:val="mixed-citation"/>
          <w:rFonts w:asciiTheme="minorHAnsi" w:hAnsiTheme="minorHAnsi" w:cstheme="minorHAnsi"/>
          <w:lang w:val="en-US"/>
        </w:rPr>
        <w:t>,</w:t>
      </w:r>
      <w:r w:rsidRPr="005A464E">
        <w:rPr>
          <w:rStyle w:val="mixed-citation"/>
          <w:rFonts w:asciiTheme="minorHAnsi" w:hAnsiTheme="minorHAnsi" w:cstheme="minorHAnsi"/>
          <w:lang w:val="en-US"/>
        </w:rPr>
        <w:t xml:space="preserve"> T</w:t>
      </w:r>
      <w:r w:rsidR="005D0561" w:rsidRPr="005A464E">
        <w:rPr>
          <w:rStyle w:val="mixed-citation"/>
          <w:rFonts w:asciiTheme="minorHAnsi" w:hAnsiTheme="minorHAnsi" w:cstheme="minorHAnsi"/>
          <w:lang w:val="en-US"/>
        </w:rPr>
        <w:t>.</w:t>
      </w:r>
      <w:r w:rsidRPr="005A464E">
        <w:rPr>
          <w:rStyle w:val="mixed-citation"/>
          <w:rFonts w:asciiTheme="minorHAnsi" w:hAnsiTheme="minorHAnsi" w:cstheme="minorHAnsi"/>
          <w:lang w:val="en-US"/>
        </w:rPr>
        <w:t>, Pinikahana</w:t>
      </w:r>
      <w:r w:rsidR="005D0561" w:rsidRPr="005A464E">
        <w:rPr>
          <w:rStyle w:val="mixed-citation"/>
          <w:rFonts w:asciiTheme="minorHAnsi" w:hAnsiTheme="minorHAnsi" w:cstheme="minorHAnsi"/>
          <w:lang w:val="en-US"/>
        </w:rPr>
        <w:t>,</w:t>
      </w:r>
      <w:r w:rsidRPr="005A464E">
        <w:rPr>
          <w:rStyle w:val="mixed-citation"/>
          <w:rFonts w:asciiTheme="minorHAnsi" w:hAnsiTheme="minorHAnsi" w:cstheme="minorHAnsi"/>
          <w:lang w:val="en-US"/>
        </w:rPr>
        <w:t xml:space="preserve"> J</w:t>
      </w:r>
      <w:r w:rsidR="005D0561" w:rsidRPr="005A464E">
        <w:rPr>
          <w:rStyle w:val="mixed-citation"/>
          <w:rFonts w:asciiTheme="minorHAnsi" w:hAnsiTheme="minorHAnsi" w:cstheme="minorHAnsi"/>
          <w:lang w:val="en-US"/>
        </w:rPr>
        <w:t>.</w:t>
      </w:r>
      <w:r w:rsidRPr="005A464E">
        <w:rPr>
          <w:rStyle w:val="mixed-citation"/>
          <w:rFonts w:asciiTheme="minorHAnsi" w:hAnsiTheme="minorHAnsi" w:cstheme="minorHAnsi"/>
          <w:lang w:val="en-US"/>
        </w:rPr>
        <w:t>, Si-Yen</w:t>
      </w:r>
      <w:r w:rsidR="005D0561" w:rsidRPr="005A464E">
        <w:rPr>
          <w:rStyle w:val="mixed-citation"/>
          <w:rFonts w:asciiTheme="minorHAnsi" w:hAnsiTheme="minorHAnsi" w:cstheme="minorHAnsi"/>
          <w:lang w:val="en-US"/>
        </w:rPr>
        <w:t>,</w:t>
      </w:r>
      <w:r w:rsidRPr="005A464E">
        <w:rPr>
          <w:rStyle w:val="mixed-citation"/>
          <w:rFonts w:asciiTheme="minorHAnsi" w:hAnsiTheme="minorHAnsi" w:cstheme="minorHAnsi"/>
          <w:lang w:val="en-US"/>
        </w:rPr>
        <w:t xml:space="preserve"> T. (2008). Fluid compliance among patients having haemodialysis: can an educational programme make a difference? </w:t>
      </w:r>
      <w:r w:rsidRPr="005A464E">
        <w:rPr>
          <w:rStyle w:val="mixed-citation"/>
          <w:rFonts w:asciiTheme="minorHAnsi" w:hAnsiTheme="minorHAnsi" w:cstheme="minorHAnsi"/>
          <w:i/>
          <w:lang w:val="en-US"/>
        </w:rPr>
        <w:t>Journal of Advanced Nursing</w:t>
      </w:r>
      <w:r w:rsidR="00ED3043">
        <w:rPr>
          <w:rStyle w:val="mixed-citation"/>
          <w:rFonts w:asciiTheme="minorHAnsi" w:hAnsiTheme="minorHAnsi" w:cstheme="minorHAnsi"/>
          <w:lang w:val="en-US"/>
        </w:rPr>
        <w:t xml:space="preserve">, </w:t>
      </w:r>
      <w:r w:rsidR="00ED3043" w:rsidRPr="00ED3043">
        <w:rPr>
          <w:rStyle w:val="mixed-citation"/>
          <w:rFonts w:asciiTheme="minorHAnsi" w:hAnsiTheme="minorHAnsi" w:cstheme="minorHAnsi"/>
          <w:i/>
          <w:lang w:val="en-US"/>
        </w:rPr>
        <w:t>61</w:t>
      </w:r>
      <w:r w:rsidRPr="00ED3043">
        <w:rPr>
          <w:rStyle w:val="mixed-citation"/>
          <w:rFonts w:asciiTheme="minorHAnsi" w:hAnsiTheme="minorHAnsi" w:cstheme="minorHAnsi"/>
          <w:i/>
          <w:lang w:val="en-US"/>
        </w:rPr>
        <w:t>,</w:t>
      </w:r>
      <w:r w:rsidRPr="005A464E">
        <w:rPr>
          <w:rStyle w:val="mixed-citation"/>
          <w:rFonts w:asciiTheme="minorHAnsi" w:hAnsiTheme="minorHAnsi" w:cstheme="minorHAnsi"/>
          <w:lang w:val="en-US"/>
        </w:rPr>
        <w:t>300-</w:t>
      </w:r>
      <w:r w:rsidR="005D0561" w:rsidRPr="005A464E">
        <w:rPr>
          <w:rStyle w:val="mixed-citation"/>
          <w:rFonts w:asciiTheme="minorHAnsi" w:hAnsiTheme="minorHAnsi" w:cstheme="minorHAnsi"/>
          <w:lang w:val="en-US"/>
        </w:rPr>
        <w:t>30</w:t>
      </w:r>
      <w:r w:rsidRPr="005A464E">
        <w:rPr>
          <w:rStyle w:val="mixed-citation"/>
          <w:rFonts w:asciiTheme="minorHAnsi" w:hAnsiTheme="minorHAnsi" w:cstheme="minorHAnsi"/>
          <w:lang w:val="en-US"/>
        </w:rPr>
        <w:t>6.</w:t>
      </w:r>
    </w:p>
    <w:p w:rsidR="003C410F" w:rsidRPr="005A464E" w:rsidRDefault="003C410F" w:rsidP="005A464E">
      <w:pPr>
        <w:pStyle w:val="Web"/>
        <w:spacing w:after="166" w:line="360" w:lineRule="auto"/>
        <w:ind w:left="415" w:hanging="415"/>
        <w:jc w:val="both"/>
        <w:rPr>
          <w:rStyle w:val="mixed-citation"/>
          <w:rFonts w:asciiTheme="minorHAnsi" w:hAnsiTheme="minorHAnsi" w:cstheme="minorHAnsi"/>
          <w:lang w:val="en-US"/>
        </w:rPr>
      </w:pPr>
      <w:r w:rsidRPr="005A464E">
        <w:rPr>
          <w:rStyle w:val="mixed-citation"/>
          <w:rFonts w:asciiTheme="minorHAnsi" w:hAnsiTheme="minorHAnsi" w:cstheme="minorHAnsi"/>
          <w:lang w:val="en-US"/>
        </w:rPr>
        <w:t>Bastable, S.B. (2003). Nurse as educator: principles of teaching and learning for nursing practice. 2th ed.</w:t>
      </w:r>
      <w:r w:rsidRPr="005A464E">
        <w:rPr>
          <w:rFonts w:asciiTheme="minorHAnsi" w:hAnsiTheme="minorHAnsi" w:cstheme="minorHAnsi"/>
          <w:lang w:val="en-US"/>
        </w:rPr>
        <w:t xml:space="preserve"> State University of New York,</w:t>
      </w:r>
      <w:r w:rsidRPr="005A464E">
        <w:rPr>
          <w:rStyle w:val="mixed-citation"/>
          <w:rFonts w:asciiTheme="minorHAnsi" w:hAnsiTheme="minorHAnsi" w:cstheme="minorHAnsi"/>
          <w:lang w:val="en-US"/>
        </w:rPr>
        <w:t xml:space="preserve"> Jones and Bartlett Publishers</w:t>
      </w:r>
      <w:r w:rsidR="005D0561" w:rsidRPr="005A464E">
        <w:rPr>
          <w:rStyle w:val="mixed-citation"/>
          <w:rFonts w:asciiTheme="minorHAnsi" w:hAnsiTheme="minorHAnsi" w:cstheme="minorHAnsi"/>
          <w:lang w:val="en-US"/>
        </w:rPr>
        <w:t>.</w:t>
      </w:r>
    </w:p>
    <w:p w:rsidR="00033101" w:rsidRDefault="003C410F" w:rsidP="00033101">
      <w:pPr>
        <w:pStyle w:val="Web"/>
        <w:spacing w:after="166" w:line="360" w:lineRule="auto"/>
        <w:ind w:left="415" w:hanging="415"/>
        <w:jc w:val="both"/>
        <w:rPr>
          <w:rStyle w:val="mixed-citation"/>
          <w:rFonts w:asciiTheme="minorHAnsi" w:hAnsiTheme="minorHAnsi" w:cstheme="minorHAnsi"/>
          <w:lang w:val="en-US"/>
        </w:rPr>
      </w:pPr>
      <w:r w:rsidRPr="005A464E">
        <w:rPr>
          <w:rStyle w:val="mixed-citation"/>
          <w:rFonts w:asciiTheme="minorHAnsi" w:hAnsiTheme="minorHAnsi" w:cstheme="minorHAnsi"/>
          <w:lang w:val="en-US"/>
        </w:rPr>
        <w:t>Beanlands, H., Horsburgh,E., Fox, S., Howe, A., Locking-Cusolito, H., Pare, K.</w:t>
      </w:r>
      <w:r w:rsidR="001A252E" w:rsidRPr="005A464E">
        <w:rPr>
          <w:rStyle w:val="mixed-citation"/>
          <w:rFonts w:asciiTheme="minorHAnsi" w:hAnsiTheme="minorHAnsi" w:cstheme="minorHAnsi"/>
          <w:lang w:val="en-US"/>
        </w:rPr>
        <w:t>,</w:t>
      </w:r>
      <w:r w:rsidRPr="005A464E">
        <w:rPr>
          <w:rStyle w:val="mixed-citation"/>
          <w:rFonts w:asciiTheme="minorHAnsi" w:hAnsiTheme="minorHAnsi" w:cstheme="minorHAnsi"/>
          <w:lang w:val="en-US"/>
        </w:rPr>
        <w:t xml:space="preserve"> </w:t>
      </w:r>
      <w:r w:rsidR="005D0561" w:rsidRPr="005A464E">
        <w:rPr>
          <w:rStyle w:val="mixed-citation"/>
          <w:rFonts w:asciiTheme="minorHAnsi" w:hAnsiTheme="minorHAnsi" w:cstheme="minorHAnsi"/>
          <w:lang w:val="en-US"/>
        </w:rPr>
        <w:t xml:space="preserve">&amp; </w:t>
      </w:r>
      <w:hyperlink r:id="rId121" w:history="1">
        <w:r w:rsidR="001A252E" w:rsidRPr="005A464E">
          <w:rPr>
            <w:rStyle w:val="-"/>
            <w:rFonts w:asciiTheme="minorHAnsi" w:hAnsiTheme="minorHAnsi" w:cstheme="minorHAnsi"/>
            <w:color w:val="auto"/>
            <w:u w:val="none"/>
            <w:shd w:val="clear" w:color="auto" w:fill="FFFFFF"/>
            <w:lang w:val="en-US"/>
          </w:rPr>
          <w:t>Thrasher, C</w:t>
        </w:r>
      </w:hyperlink>
      <w:r w:rsidRPr="005A464E">
        <w:rPr>
          <w:rStyle w:val="mixed-citation"/>
          <w:rFonts w:asciiTheme="minorHAnsi" w:hAnsiTheme="minorHAnsi" w:cstheme="minorHAnsi"/>
          <w:lang w:val="en-US"/>
        </w:rPr>
        <w:t xml:space="preserve">. (2005). Caregiving by family and friends of adults receiving dialysis. </w:t>
      </w:r>
      <w:r w:rsidRPr="005A464E">
        <w:rPr>
          <w:rStyle w:val="mixed-citation"/>
          <w:rFonts w:asciiTheme="minorHAnsi" w:hAnsiTheme="minorHAnsi" w:cstheme="minorHAnsi"/>
          <w:i/>
          <w:lang w:val="en-US"/>
        </w:rPr>
        <w:t>Nephrology Nursing Journal,</w:t>
      </w:r>
      <w:r w:rsidR="00ED3043">
        <w:rPr>
          <w:rStyle w:val="mixed-citation"/>
          <w:rFonts w:asciiTheme="minorHAnsi" w:hAnsiTheme="minorHAnsi" w:cstheme="minorHAnsi"/>
          <w:lang w:val="en-US"/>
        </w:rPr>
        <w:t xml:space="preserve"> </w:t>
      </w:r>
      <w:r w:rsidR="00ED3043" w:rsidRPr="00ED3043">
        <w:rPr>
          <w:rStyle w:val="mixed-citation"/>
          <w:rFonts w:asciiTheme="minorHAnsi" w:hAnsiTheme="minorHAnsi" w:cstheme="minorHAnsi"/>
          <w:i/>
          <w:lang w:val="en-US"/>
        </w:rPr>
        <w:t>32</w:t>
      </w:r>
      <w:r w:rsidRPr="00ED3043">
        <w:rPr>
          <w:rStyle w:val="mixed-citation"/>
          <w:rFonts w:asciiTheme="minorHAnsi" w:hAnsiTheme="minorHAnsi" w:cstheme="minorHAnsi"/>
          <w:i/>
          <w:lang w:val="en-US"/>
        </w:rPr>
        <w:t>,</w:t>
      </w:r>
      <w:r w:rsidR="00ED3043">
        <w:rPr>
          <w:rStyle w:val="mixed-citation"/>
          <w:rFonts w:asciiTheme="minorHAnsi" w:hAnsiTheme="minorHAnsi" w:cstheme="minorHAnsi"/>
          <w:lang w:val="en-US"/>
        </w:rPr>
        <w:t xml:space="preserve"> </w:t>
      </w:r>
      <w:r w:rsidRPr="005A464E">
        <w:rPr>
          <w:rStyle w:val="mixed-citation"/>
          <w:rFonts w:asciiTheme="minorHAnsi" w:hAnsiTheme="minorHAnsi" w:cstheme="minorHAnsi"/>
          <w:lang w:val="en-US"/>
        </w:rPr>
        <w:t>621-631.</w:t>
      </w:r>
    </w:p>
    <w:p w:rsidR="00033101" w:rsidRDefault="008F3609" w:rsidP="00033101">
      <w:pPr>
        <w:pStyle w:val="Web"/>
        <w:spacing w:after="166" w:line="360" w:lineRule="auto"/>
        <w:ind w:left="415" w:hanging="415"/>
        <w:jc w:val="both"/>
        <w:rPr>
          <w:rFonts w:asciiTheme="minorHAnsi" w:hAnsiTheme="minorHAnsi" w:cstheme="minorHAnsi"/>
          <w:lang w:val="en-US"/>
        </w:rPr>
      </w:pPr>
      <w:hyperlink r:id="rId122" w:history="1">
        <w:r w:rsidR="00033101" w:rsidRPr="00033101">
          <w:rPr>
            <w:rStyle w:val="-"/>
            <w:rFonts w:asciiTheme="minorHAnsi" w:hAnsiTheme="minorHAnsi" w:cstheme="minorHAnsi"/>
            <w:color w:val="auto"/>
            <w:u w:val="none"/>
            <w:lang w:val="en-US"/>
          </w:rPr>
          <w:t>Beauvais C</w:t>
        </w:r>
      </w:hyperlink>
      <w:r w:rsidR="00033101">
        <w:rPr>
          <w:rFonts w:asciiTheme="minorHAnsi" w:hAnsiTheme="minorHAnsi" w:cstheme="minorHAnsi"/>
          <w:lang w:val="en-US"/>
        </w:rPr>
        <w:t>. (2015).</w:t>
      </w:r>
      <w:r w:rsidR="00033101" w:rsidRPr="00033101">
        <w:rPr>
          <w:rFonts w:asciiTheme="minorHAnsi" w:hAnsiTheme="minorHAnsi" w:cstheme="minorHAnsi"/>
          <w:b/>
          <w:lang w:val="en-US"/>
        </w:rPr>
        <w:t xml:space="preserve"> </w:t>
      </w:r>
      <w:r w:rsidR="00033101" w:rsidRPr="00033101">
        <w:rPr>
          <w:rFonts w:asciiTheme="minorHAnsi" w:hAnsiTheme="minorHAnsi" w:cstheme="minorHAnsi"/>
          <w:lang w:val="en-US"/>
        </w:rPr>
        <w:t>Include </w:t>
      </w:r>
      <w:r w:rsidR="00033101" w:rsidRPr="00033101">
        <w:rPr>
          <w:rStyle w:val="highlight"/>
          <w:rFonts w:asciiTheme="minorHAnsi" w:hAnsiTheme="minorHAnsi" w:cstheme="minorHAnsi"/>
          <w:lang w:val="en-US"/>
        </w:rPr>
        <w:t>patient education</w:t>
      </w:r>
      <w:r w:rsidR="00033101" w:rsidRPr="00033101">
        <w:rPr>
          <w:rFonts w:asciiTheme="minorHAnsi" w:hAnsiTheme="minorHAnsi" w:cstheme="minorHAnsi"/>
          <w:lang w:val="en-US"/>
        </w:rPr>
        <w:t> in daily practice: Promoting the </w:t>
      </w:r>
      <w:r w:rsidR="00033101" w:rsidRPr="00033101">
        <w:rPr>
          <w:rStyle w:val="highlight"/>
          <w:rFonts w:asciiTheme="minorHAnsi" w:hAnsiTheme="minorHAnsi" w:cstheme="minorHAnsi"/>
          <w:lang w:val="en-US"/>
        </w:rPr>
        <w:t>patient</w:t>
      </w:r>
      <w:r w:rsidR="00033101" w:rsidRPr="00033101">
        <w:rPr>
          <w:rFonts w:asciiTheme="minorHAnsi" w:hAnsiTheme="minorHAnsi" w:cstheme="minorHAnsi"/>
          <w:lang w:val="en-US"/>
        </w:rPr>
        <w:t>-</w:t>
      </w:r>
      <w:r w:rsidR="00033101" w:rsidRPr="00033101">
        <w:rPr>
          <w:rStyle w:val="highlight"/>
          <w:rFonts w:asciiTheme="minorHAnsi" w:hAnsiTheme="minorHAnsi" w:cstheme="minorHAnsi"/>
          <w:lang w:val="en-US"/>
        </w:rPr>
        <w:t>centered</w:t>
      </w:r>
      <w:r w:rsidR="00033101" w:rsidRPr="00033101">
        <w:rPr>
          <w:rFonts w:asciiTheme="minorHAnsi" w:hAnsiTheme="minorHAnsi" w:cstheme="minorHAnsi"/>
          <w:lang w:val="en-US"/>
        </w:rPr>
        <w:t> care </w:t>
      </w:r>
      <w:r w:rsidR="00033101" w:rsidRPr="00033101">
        <w:rPr>
          <w:rStyle w:val="highlight"/>
          <w:rFonts w:asciiTheme="minorHAnsi" w:hAnsiTheme="minorHAnsi" w:cstheme="minorHAnsi"/>
          <w:lang w:val="en-US"/>
        </w:rPr>
        <w:t>approach</w:t>
      </w:r>
      <w:r w:rsidR="00033101" w:rsidRPr="00033101">
        <w:rPr>
          <w:rFonts w:asciiTheme="minorHAnsi" w:hAnsiTheme="minorHAnsi" w:cstheme="minorHAnsi"/>
          <w:lang w:val="en-US"/>
        </w:rPr>
        <w:t>.</w:t>
      </w:r>
      <w:r w:rsidR="00033101">
        <w:rPr>
          <w:rFonts w:asciiTheme="minorHAnsi" w:hAnsiTheme="minorHAnsi" w:cstheme="minorHAnsi"/>
          <w:lang w:val="en-US"/>
        </w:rPr>
        <w:t xml:space="preserve"> </w:t>
      </w:r>
      <w:hyperlink r:id="rId123" w:tooltip="Joint, bone, spine : revue du rhumatisme." w:history="1">
        <w:r w:rsidR="00033101" w:rsidRPr="00033101">
          <w:rPr>
            <w:rStyle w:val="-"/>
            <w:rFonts w:asciiTheme="minorHAnsi" w:hAnsiTheme="minorHAnsi" w:cstheme="minorHAnsi"/>
            <w:i/>
            <w:color w:val="auto"/>
            <w:u w:val="none"/>
            <w:lang w:val="en-US"/>
          </w:rPr>
          <w:t>Joint Bone Spine</w:t>
        </w:r>
      </w:hyperlink>
      <w:r w:rsidR="00033101" w:rsidRPr="00033101">
        <w:rPr>
          <w:rFonts w:asciiTheme="minorHAnsi" w:hAnsiTheme="minorHAnsi" w:cstheme="minorHAnsi"/>
          <w:i/>
          <w:lang w:val="en-US"/>
        </w:rPr>
        <w:t>,</w:t>
      </w:r>
      <w:r w:rsidR="00033101">
        <w:rPr>
          <w:rFonts w:asciiTheme="minorHAnsi" w:hAnsiTheme="minorHAnsi" w:cstheme="minorHAnsi"/>
          <w:lang w:val="en-US"/>
        </w:rPr>
        <w:t xml:space="preserve"> </w:t>
      </w:r>
      <w:r w:rsidR="00033101" w:rsidRPr="00033101">
        <w:rPr>
          <w:rFonts w:asciiTheme="minorHAnsi" w:hAnsiTheme="minorHAnsi" w:cstheme="minorHAnsi"/>
          <w:i/>
          <w:lang w:val="en-US"/>
        </w:rPr>
        <w:t>82</w:t>
      </w:r>
      <w:r w:rsidR="00033101">
        <w:rPr>
          <w:rFonts w:asciiTheme="minorHAnsi" w:hAnsiTheme="minorHAnsi" w:cstheme="minorHAnsi"/>
          <w:lang w:val="en-US"/>
        </w:rPr>
        <w:t xml:space="preserve">, </w:t>
      </w:r>
      <w:r w:rsidR="00033101" w:rsidRPr="00033101">
        <w:rPr>
          <w:rFonts w:asciiTheme="minorHAnsi" w:hAnsiTheme="minorHAnsi" w:cstheme="minorHAnsi"/>
          <w:lang w:val="en-US"/>
        </w:rPr>
        <w:t>219-</w:t>
      </w:r>
      <w:r w:rsidR="00033101">
        <w:rPr>
          <w:rFonts w:asciiTheme="minorHAnsi" w:hAnsiTheme="minorHAnsi" w:cstheme="minorHAnsi"/>
          <w:lang w:val="en-US"/>
        </w:rPr>
        <w:t>221. DOI</w:t>
      </w:r>
      <w:r w:rsidR="00033101" w:rsidRPr="00033101">
        <w:rPr>
          <w:rFonts w:asciiTheme="minorHAnsi" w:hAnsiTheme="minorHAnsi" w:cstheme="minorHAnsi"/>
          <w:lang w:val="en-US"/>
        </w:rPr>
        <w:t>: 10.1016/j.jbsp</w:t>
      </w:r>
      <w:r w:rsidR="00033101">
        <w:rPr>
          <w:rFonts w:asciiTheme="minorHAnsi" w:hAnsiTheme="minorHAnsi" w:cstheme="minorHAnsi"/>
          <w:lang w:val="en-US"/>
        </w:rPr>
        <w:t>in.2014.12.014.</w:t>
      </w:r>
    </w:p>
    <w:p w:rsidR="003C410F" w:rsidRPr="00033101" w:rsidRDefault="003C410F" w:rsidP="00033101">
      <w:pPr>
        <w:pStyle w:val="Web"/>
        <w:spacing w:after="166" w:line="360" w:lineRule="auto"/>
        <w:ind w:left="415" w:hanging="415"/>
        <w:jc w:val="both"/>
        <w:rPr>
          <w:rFonts w:asciiTheme="minorHAnsi" w:hAnsiTheme="minorHAnsi" w:cstheme="minorHAnsi"/>
          <w:lang w:val="en-US"/>
        </w:rPr>
      </w:pPr>
      <w:r w:rsidRPr="005A464E">
        <w:rPr>
          <w:rStyle w:val="mixed-citation"/>
          <w:rFonts w:asciiTheme="minorHAnsi" w:hAnsiTheme="minorHAnsi" w:cstheme="minorHAnsi"/>
          <w:lang w:val="en-US"/>
        </w:rPr>
        <w:t xml:space="preserve">Behrend, S.W. (2014). Update on…patient education and counseling. </w:t>
      </w:r>
      <w:r w:rsidRPr="005A464E">
        <w:rPr>
          <w:rStyle w:val="mixed-citation"/>
          <w:rFonts w:asciiTheme="minorHAnsi" w:hAnsiTheme="minorHAnsi" w:cstheme="minorHAnsi"/>
          <w:i/>
          <w:lang w:val="en-US"/>
        </w:rPr>
        <w:t>Oncology Nursing Forum,</w:t>
      </w:r>
      <w:r w:rsidR="00ED3043">
        <w:rPr>
          <w:rStyle w:val="mixed-citation"/>
          <w:rFonts w:asciiTheme="minorHAnsi" w:hAnsiTheme="minorHAnsi" w:cstheme="minorHAnsi"/>
          <w:lang w:val="en-US"/>
        </w:rPr>
        <w:t xml:space="preserve"> </w:t>
      </w:r>
      <w:r w:rsidR="00ED3043" w:rsidRPr="00ED3043">
        <w:rPr>
          <w:rStyle w:val="mixed-citation"/>
          <w:rFonts w:asciiTheme="minorHAnsi" w:hAnsiTheme="minorHAnsi" w:cstheme="minorHAnsi"/>
          <w:i/>
          <w:lang w:val="en-US"/>
        </w:rPr>
        <w:t>41</w:t>
      </w:r>
      <w:r w:rsidRPr="00ED3043">
        <w:rPr>
          <w:rStyle w:val="mixed-citation"/>
          <w:rFonts w:asciiTheme="minorHAnsi" w:hAnsiTheme="minorHAnsi" w:cstheme="minorHAnsi"/>
          <w:i/>
          <w:lang w:val="en-US"/>
        </w:rPr>
        <w:t>,</w:t>
      </w:r>
      <w:r w:rsidRPr="005A464E">
        <w:rPr>
          <w:rStyle w:val="mixed-citation"/>
          <w:rFonts w:asciiTheme="minorHAnsi" w:hAnsiTheme="minorHAnsi" w:cstheme="minorHAnsi"/>
          <w:lang w:val="en-US"/>
        </w:rPr>
        <w:t xml:space="preserve"> 103-104.</w:t>
      </w:r>
      <w:r w:rsidR="0078495A">
        <w:rPr>
          <w:rStyle w:val="1Char"/>
          <w:rFonts w:asciiTheme="minorHAnsi" w:eastAsia="Calibri" w:hAnsiTheme="minorHAnsi" w:cstheme="minorHAnsi"/>
          <w:color w:val="auto"/>
          <w:sz w:val="24"/>
          <w:szCs w:val="24"/>
          <w:shd w:val="clear" w:color="auto" w:fill="FFFFFF"/>
          <w:lang w:val="en-US"/>
        </w:rPr>
        <w:t xml:space="preserve">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 10.1188/14.ONF.103-104.</w:t>
      </w:r>
    </w:p>
    <w:p w:rsidR="003C410F" w:rsidRPr="005A464E" w:rsidRDefault="003C410F" w:rsidP="005A464E">
      <w:pPr>
        <w:pStyle w:val="Web"/>
        <w:spacing w:after="166" w:line="360" w:lineRule="auto"/>
        <w:ind w:left="415" w:hanging="415"/>
        <w:jc w:val="both"/>
        <w:rPr>
          <w:rFonts w:asciiTheme="minorHAnsi" w:hAnsiTheme="minorHAnsi"/>
          <w:lang w:val="en-US"/>
        </w:rPr>
      </w:pPr>
      <w:r w:rsidRPr="005A464E">
        <w:rPr>
          <w:rFonts w:asciiTheme="minorHAnsi" w:hAnsiTheme="minorHAnsi" w:cstheme="minorHAnsi"/>
          <w:lang w:val="en-US"/>
        </w:rPr>
        <w:t>Berlim, M.T.,</w:t>
      </w:r>
      <w:r w:rsidR="0078495A">
        <w:rPr>
          <w:rFonts w:asciiTheme="minorHAnsi" w:hAnsiTheme="minorHAnsi" w:cstheme="minorHAnsi"/>
          <w:lang w:val="en-US"/>
        </w:rPr>
        <w:t xml:space="preserve"> </w:t>
      </w:r>
      <w:r w:rsidRPr="005A464E">
        <w:rPr>
          <w:rFonts w:asciiTheme="minorHAnsi" w:hAnsiTheme="minorHAnsi" w:cstheme="minorHAnsi"/>
          <w:lang w:val="en-US"/>
        </w:rPr>
        <w:t xml:space="preserve">Mattevi, B.S., Duarte, A.P.G., Thomé, F.S., Barros, E.J.G. &amp; Fleck, M.P. (2006). Quality of life and depressive symptoms in patients with major depression and end-stage renal disease: A matched-pair study. </w:t>
      </w:r>
      <w:r w:rsidRPr="005A464E">
        <w:rPr>
          <w:rFonts w:asciiTheme="minorHAnsi" w:hAnsiTheme="minorHAnsi" w:cstheme="minorHAnsi"/>
          <w:i/>
          <w:lang w:val="en-US"/>
        </w:rPr>
        <w:t>Journal of Psychosomatic Research,</w:t>
      </w:r>
      <w:r w:rsidR="00ED3043">
        <w:rPr>
          <w:rFonts w:asciiTheme="minorHAnsi" w:hAnsiTheme="minorHAnsi" w:cstheme="minorHAnsi"/>
          <w:lang w:val="en-US"/>
        </w:rPr>
        <w:t xml:space="preserve"> </w:t>
      </w:r>
      <w:r w:rsidR="00ED3043" w:rsidRPr="00ED3043">
        <w:rPr>
          <w:rFonts w:asciiTheme="minorHAnsi" w:hAnsiTheme="minorHAnsi" w:cstheme="minorHAnsi"/>
          <w:i/>
          <w:lang w:val="en-US"/>
        </w:rPr>
        <w:t>61</w:t>
      </w:r>
      <w:r w:rsidRPr="00ED3043">
        <w:rPr>
          <w:rFonts w:asciiTheme="minorHAnsi" w:hAnsiTheme="minorHAnsi" w:cstheme="minorHAnsi"/>
          <w:i/>
          <w:lang w:val="en-US"/>
        </w:rPr>
        <w:t>,</w:t>
      </w:r>
      <w:r w:rsidRPr="005A464E">
        <w:rPr>
          <w:rFonts w:asciiTheme="minorHAnsi" w:hAnsiTheme="minorHAnsi" w:cstheme="minorHAnsi"/>
          <w:lang w:val="en-US"/>
        </w:rPr>
        <w:t xml:space="preserve"> 731-734 </w:t>
      </w:r>
      <w:r w:rsidR="00292B29" w:rsidRPr="005A464E">
        <w:rPr>
          <w:rFonts w:asciiTheme="minorHAnsi" w:hAnsiTheme="minorHAnsi" w:cstheme="minorHAnsi"/>
          <w:lang w:val="en-US"/>
        </w:rPr>
        <w:t>DOI</w:t>
      </w:r>
      <w:r w:rsidRPr="005A464E">
        <w:rPr>
          <w:rFonts w:asciiTheme="minorHAnsi" w:hAnsiTheme="minorHAnsi" w:cstheme="minorHAnsi"/>
          <w:lang w:val="en-US"/>
        </w:rPr>
        <w:t>:</w:t>
      </w:r>
      <w:hyperlink r:id="rId124" w:history="1">
        <w:r w:rsidRPr="005A464E">
          <w:rPr>
            <w:rStyle w:val="-"/>
            <w:rFonts w:asciiTheme="minorHAnsi" w:hAnsiTheme="minorHAnsi" w:cstheme="minorHAnsi"/>
            <w:color w:val="auto"/>
            <w:u w:val="none"/>
            <w:lang w:val="en-US"/>
          </w:rPr>
          <w:t>10.1016/j.jpsychores.2006.04.011</w:t>
        </w:r>
      </w:hyperlink>
      <w:r w:rsidR="001A252E" w:rsidRPr="005A464E">
        <w:rPr>
          <w:rFonts w:asciiTheme="minorHAnsi" w:hAnsiTheme="minorHAnsi"/>
          <w:lang w:val="en-US"/>
        </w:rPr>
        <w:t>.</w:t>
      </w:r>
    </w:p>
    <w:p w:rsidR="00675D57" w:rsidRPr="005A464E" w:rsidRDefault="00675D57"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Bhavana</w:t>
      </w:r>
      <w:r w:rsidR="002C0FA5" w:rsidRPr="005A464E">
        <w:rPr>
          <w:rFonts w:asciiTheme="minorHAnsi" w:hAnsiTheme="minorHAnsi" w:cstheme="minorHAnsi"/>
          <w:lang w:val="en-US"/>
        </w:rPr>
        <w:t>,</w:t>
      </w:r>
      <w:r w:rsidRPr="005A464E">
        <w:rPr>
          <w:rFonts w:asciiTheme="minorHAnsi" w:hAnsiTheme="minorHAnsi" w:cstheme="minorHAnsi"/>
          <w:lang w:val="en-US"/>
        </w:rPr>
        <w:t xml:space="preserve"> S., Ushadevi</w:t>
      </w:r>
      <w:r w:rsidR="002C0FA5" w:rsidRPr="005A464E">
        <w:rPr>
          <w:rFonts w:asciiTheme="minorHAnsi" w:hAnsiTheme="minorHAnsi" w:cstheme="minorHAnsi"/>
          <w:lang w:val="en-US"/>
        </w:rPr>
        <w:t>,</w:t>
      </w:r>
      <w:r w:rsidRPr="005A464E">
        <w:rPr>
          <w:rFonts w:asciiTheme="minorHAnsi" w:hAnsiTheme="minorHAnsi" w:cstheme="minorHAnsi"/>
          <w:lang w:val="en-US"/>
        </w:rPr>
        <w:t xml:space="preserve"> C., Prashant</w:t>
      </w:r>
      <w:r w:rsidR="002C0FA5" w:rsidRPr="005A464E">
        <w:rPr>
          <w:rFonts w:asciiTheme="minorHAnsi" w:hAnsiTheme="minorHAnsi" w:cstheme="minorHAnsi"/>
          <w:lang w:val="en-US"/>
        </w:rPr>
        <w:t>,</w:t>
      </w:r>
      <w:r w:rsidRPr="005A464E">
        <w:rPr>
          <w:rFonts w:asciiTheme="minorHAnsi" w:hAnsiTheme="minorHAnsi" w:cstheme="minorHAnsi"/>
          <w:lang w:val="en-US"/>
        </w:rPr>
        <w:t xml:space="preserve"> G.K.</w:t>
      </w:r>
      <w:r w:rsidR="002C0FA5" w:rsidRPr="005A464E">
        <w:rPr>
          <w:rFonts w:asciiTheme="minorHAnsi" w:hAnsiTheme="minorHAnsi" w:cstheme="minorHAnsi"/>
          <w:lang w:val="en-US"/>
        </w:rPr>
        <w:t xml:space="preserve"> (2014).</w:t>
      </w:r>
      <w:r w:rsidRPr="005A464E">
        <w:rPr>
          <w:rFonts w:asciiTheme="minorHAnsi" w:hAnsiTheme="minorHAnsi" w:cstheme="minorHAnsi"/>
          <w:lang w:val="en-US"/>
        </w:rPr>
        <w:t xml:space="preserve"> Impact of Knowledge, Attitude and Behavior among Maintenance Hemodialysis Patients for Adherence to Dietary Regimen – A Single Centre Experience. </w:t>
      </w:r>
      <w:r w:rsidRPr="005A464E">
        <w:rPr>
          <w:rFonts w:asciiTheme="minorHAnsi" w:hAnsiTheme="minorHAnsi" w:cstheme="minorHAnsi"/>
          <w:i/>
          <w:lang w:val="en-US"/>
        </w:rPr>
        <w:t>International Journal of Humanities and Social Science</w:t>
      </w:r>
      <w:r w:rsidR="00ED3043">
        <w:rPr>
          <w:rFonts w:asciiTheme="minorHAnsi" w:hAnsiTheme="minorHAnsi" w:cstheme="minorHAnsi"/>
          <w:lang w:val="en-US"/>
        </w:rPr>
        <w:t xml:space="preserve">, </w:t>
      </w:r>
      <w:r w:rsidR="00ED3043" w:rsidRPr="00ED3043">
        <w:rPr>
          <w:rFonts w:asciiTheme="minorHAnsi" w:hAnsiTheme="minorHAnsi" w:cstheme="minorHAnsi"/>
          <w:i/>
          <w:lang w:val="en-US"/>
        </w:rPr>
        <w:t>4</w:t>
      </w:r>
      <w:r w:rsidR="002C0FA5" w:rsidRPr="00ED3043">
        <w:rPr>
          <w:rFonts w:asciiTheme="minorHAnsi" w:hAnsiTheme="minorHAnsi" w:cstheme="minorHAnsi"/>
          <w:i/>
          <w:lang w:val="en-US"/>
        </w:rPr>
        <w:t>,</w:t>
      </w:r>
      <w:r w:rsidR="002C0FA5" w:rsidRPr="005A464E">
        <w:rPr>
          <w:rFonts w:asciiTheme="minorHAnsi" w:hAnsiTheme="minorHAnsi" w:cstheme="minorHAnsi"/>
          <w:lang w:val="en-US"/>
        </w:rPr>
        <w:t xml:space="preserve"> 257-262.</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Bissonnette, J.M.</w:t>
      </w:r>
      <w:r w:rsidR="001A252E" w:rsidRPr="005A464E">
        <w:rPr>
          <w:rFonts w:asciiTheme="minorHAnsi" w:hAnsiTheme="minorHAnsi" w:cstheme="minorHAnsi"/>
          <w:lang w:val="en-US"/>
        </w:rPr>
        <w:t xml:space="preserve"> </w:t>
      </w:r>
      <w:r w:rsidRPr="005A464E">
        <w:rPr>
          <w:rFonts w:asciiTheme="minorHAnsi" w:hAnsiTheme="minorHAnsi" w:cstheme="minorHAnsi"/>
          <w:lang w:val="en-US"/>
        </w:rPr>
        <w:t xml:space="preserve">(2008). Adherence: a concept analysis. </w:t>
      </w:r>
      <w:r w:rsidRPr="005A464E">
        <w:rPr>
          <w:rFonts w:asciiTheme="minorHAnsi" w:hAnsiTheme="minorHAnsi" w:cstheme="minorHAnsi"/>
          <w:i/>
          <w:lang w:val="en-US"/>
        </w:rPr>
        <w:t>Journal of Advanced Nursing</w:t>
      </w:r>
      <w:r w:rsidRPr="00ED3043">
        <w:rPr>
          <w:rFonts w:asciiTheme="minorHAnsi" w:hAnsiTheme="minorHAnsi" w:cstheme="minorHAnsi"/>
          <w:i/>
          <w:lang w:val="en-US"/>
        </w:rPr>
        <w:t xml:space="preserve">, </w:t>
      </w:r>
      <w:r w:rsidR="00ED3043" w:rsidRPr="00ED3043">
        <w:rPr>
          <w:rFonts w:asciiTheme="minorHAnsi" w:hAnsiTheme="minorHAnsi" w:cstheme="minorHAnsi"/>
          <w:i/>
          <w:lang w:val="en-US"/>
        </w:rPr>
        <w:t>63</w:t>
      </w:r>
      <w:r w:rsidRPr="00ED3043">
        <w:rPr>
          <w:rFonts w:asciiTheme="minorHAnsi" w:hAnsiTheme="minorHAnsi" w:cstheme="minorHAnsi"/>
          <w:i/>
          <w:lang w:val="en-US"/>
        </w:rPr>
        <w:t>,</w:t>
      </w:r>
      <w:r w:rsidRPr="005A464E">
        <w:rPr>
          <w:rFonts w:asciiTheme="minorHAnsi" w:hAnsiTheme="minorHAnsi" w:cstheme="minorHAnsi"/>
          <w:lang w:val="en-US"/>
        </w:rPr>
        <w:t xml:space="preserve"> 634-643. </w:t>
      </w:r>
      <w:r w:rsidR="00292B29" w:rsidRPr="005A464E">
        <w:rPr>
          <w:rFonts w:asciiTheme="minorHAnsi" w:hAnsiTheme="minorHAnsi" w:cstheme="minorHAnsi"/>
          <w:lang w:val="en-US"/>
        </w:rPr>
        <w:t>DOI</w:t>
      </w:r>
      <w:r w:rsidRPr="005A464E">
        <w:rPr>
          <w:rFonts w:asciiTheme="minorHAnsi" w:hAnsiTheme="minorHAnsi" w:cstheme="minorHAnsi"/>
          <w:lang w:val="en-US"/>
        </w:rPr>
        <w:t xml:space="preserve">: </w:t>
      </w:r>
      <w:hyperlink r:id="rId125" w:history="1">
        <w:r w:rsidRPr="005A464E">
          <w:rPr>
            <w:rStyle w:val="-"/>
            <w:rFonts w:asciiTheme="minorHAnsi" w:hAnsiTheme="minorHAnsi" w:cstheme="minorHAnsi"/>
            <w:color w:val="auto"/>
            <w:u w:val="none"/>
            <w:lang w:val="en-US"/>
          </w:rPr>
          <w:t>10.1111/j.1365-2648.2008.04932.x</w:t>
        </w:r>
      </w:hyperlink>
      <w:r w:rsidR="001A252E" w:rsidRPr="005A464E">
        <w:rPr>
          <w:rFonts w:asciiTheme="minorHAnsi" w:hAnsiTheme="minorHAnsi"/>
          <w:lang w:val="en-US"/>
        </w:rPr>
        <w:t>.</w:t>
      </w:r>
    </w:p>
    <w:p w:rsidR="00A92ABA" w:rsidRPr="00C71CA6" w:rsidRDefault="003C410F" w:rsidP="00A92ABA">
      <w:pPr>
        <w:pStyle w:val="Web"/>
        <w:spacing w:after="166" w:line="360" w:lineRule="auto"/>
        <w:ind w:left="415" w:hanging="415"/>
        <w:jc w:val="both"/>
        <w:rPr>
          <w:rStyle w:val="article-headermeta-info-data"/>
          <w:rFonts w:asciiTheme="minorHAnsi" w:hAnsiTheme="minorHAnsi" w:cstheme="minorHAnsi"/>
          <w:bdr w:val="none" w:sz="0" w:space="0" w:color="auto" w:frame="1"/>
          <w:shd w:val="clear" w:color="auto" w:fill="FFFFFF"/>
          <w:lang w:val="en-US"/>
        </w:rPr>
      </w:pPr>
      <w:r w:rsidRPr="005A464E">
        <w:rPr>
          <w:rFonts w:asciiTheme="minorHAnsi" w:eastAsia="Times New Roman" w:hAnsiTheme="minorHAnsi" w:cstheme="minorHAnsi"/>
          <w:lang w:val="en-US" w:eastAsia="el-GR"/>
        </w:rPr>
        <w:t>Bland, R.J., Cottrell, R. &amp;</w:t>
      </w:r>
      <w:r w:rsidR="0078495A">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 xml:space="preserve">Guyler, L. (2008). Medication compliance of haemodialysis patients and factors contributing to non-compliance. </w:t>
      </w:r>
      <w:r w:rsidRPr="005A464E">
        <w:rPr>
          <w:rFonts w:asciiTheme="minorHAnsi" w:eastAsia="Times New Roman" w:hAnsiTheme="minorHAnsi" w:cstheme="minorHAnsi"/>
          <w:i/>
          <w:lang w:val="en-US" w:eastAsia="el-GR"/>
        </w:rPr>
        <w:t>Dialysis &amp; Transplantation,</w:t>
      </w:r>
      <w:r w:rsidR="00ED3043">
        <w:rPr>
          <w:rFonts w:asciiTheme="minorHAnsi" w:eastAsia="Times New Roman" w:hAnsiTheme="minorHAnsi" w:cstheme="minorHAnsi"/>
          <w:lang w:val="en-US" w:eastAsia="el-GR"/>
        </w:rPr>
        <w:t xml:space="preserve"> </w:t>
      </w:r>
      <w:r w:rsidR="00ED3043" w:rsidRPr="00ED3043">
        <w:rPr>
          <w:rFonts w:asciiTheme="minorHAnsi" w:eastAsia="Times New Roman" w:hAnsiTheme="minorHAnsi" w:cstheme="minorHAnsi"/>
          <w:i/>
          <w:lang w:val="en-US" w:eastAsia="el-GR"/>
        </w:rPr>
        <w:t>37</w:t>
      </w:r>
      <w:r w:rsidRPr="00ED3043">
        <w:rPr>
          <w:rFonts w:asciiTheme="minorHAnsi" w:eastAsia="Times New Roman" w:hAnsiTheme="minorHAnsi" w:cstheme="minorHAnsi"/>
          <w:i/>
          <w:lang w:val="en-US" w:eastAsia="el-GR"/>
        </w:rPr>
        <w:t>,</w:t>
      </w:r>
      <w:r w:rsidRPr="005A464E">
        <w:rPr>
          <w:rFonts w:asciiTheme="minorHAnsi" w:eastAsia="Times New Roman" w:hAnsiTheme="minorHAnsi" w:cstheme="minorHAnsi"/>
          <w:lang w:val="en-US" w:eastAsia="el-GR"/>
        </w:rPr>
        <w:t xml:space="preserve"> 174–178.</w:t>
      </w:r>
      <w:r w:rsidRPr="005A464E">
        <w:rPr>
          <w:rStyle w:val="1Char"/>
          <w:rFonts w:asciiTheme="minorHAnsi" w:eastAsia="Calibri" w:hAnsiTheme="minorHAnsi" w:cstheme="minorHAnsi"/>
          <w:b w:val="0"/>
          <w:bCs w:val="0"/>
          <w:color w:val="auto"/>
          <w:sz w:val="24"/>
          <w:szCs w:val="24"/>
          <w:bdr w:val="none" w:sz="0" w:space="0" w:color="auto" w:frame="1"/>
          <w:shd w:val="clear" w:color="auto" w:fill="FFFFFF"/>
          <w:lang w:val="en-US"/>
        </w:rPr>
        <w:t xml:space="preserve"> </w:t>
      </w:r>
      <w:r w:rsidR="00292B29" w:rsidRPr="005A464E">
        <w:rPr>
          <w:rStyle w:val="article-headermeta-info-label"/>
          <w:rFonts w:asciiTheme="minorHAnsi" w:hAnsiTheme="minorHAnsi" w:cstheme="minorHAnsi"/>
          <w:bCs/>
          <w:bdr w:val="none" w:sz="0" w:space="0" w:color="auto" w:frame="1"/>
          <w:shd w:val="clear" w:color="auto" w:fill="FFFFFF"/>
          <w:lang w:val="en-US"/>
        </w:rPr>
        <w:t>DOI</w:t>
      </w:r>
      <w:r w:rsidRPr="005A464E">
        <w:rPr>
          <w:rStyle w:val="article-headermeta-info-label"/>
          <w:rFonts w:asciiTheme="minorHAnsi" w:hAnsiTheme="minorHAnsi" w:cstheme="minorHAnsi"/>
          <w:bCs/>
          <w:bdr w:val="none" w:sz="0" w:space="0" w:color="auto" w:frame="1"/>
          <w:shd w:val="clear" w:color="auto" w:fill="FFFFFF"/>
          <w:lang w:val="en-US"/>
        </w:rPr>
        <w:t>:</w:t>
      </w:r>
      <w:r w:rsidRPr="005A464E">
        <w:rPr>
          <w:rStyle w:val="apple-converted-space"/>
          <w:rFonts w:asciiTheme="minorHAnsi" w:hAnsiTheme="minorHAnsi" w:cstheme="minorHAnsi"/>
          <w:bCs/>
          <w:bdr w:val="none" w:sz="0" w:space="0" w:color="auto" w:frame="1"/>
          <w:shd w:val="clear" w:color="auto" w:fill="FFFFFF"/>
          <w:lang w:val="en-US"/>
        </w:rPr>
        <w:t> </w:t>
      </w:r>
      <w:r w:rsidRPr="005A464E">
        <w:rPr>
          <w:rStyle w:val="article-headermeta-info-data"/>
          <w:rFonts w:asciiTheme="minorHAnsi" w:hAnsiTheme="minorHAnsi" w:cstheme="minorHAnsi"/>
          <w:bdr w:val="none" w:sz="0" w:space="0" w:color="auto" w:frame="1"/>
          <w:shd w:val="clear" w:color="auto" w:fill="FFFFFF"/>
          <w:lang w:val="en-US"/>
        </w:rPr>
        <w:t>10.1002/dat.20207</w:t>
      </w:r>
      <w:r w:rsidR="001A252E" w:rsidRPr="005A464E">
        <w:rPr>
          <w:rStyle w:val="article-headermeta-info-data"/>
          <w:rFonts w:asciiTheme="minorHAnsi" w:hAnsiTheme="minorHAnsi" w:cstheme="minorHAnsi"/>
          <w:bdr w:val="none" w:sz="0" w:space="0" w:color="auto" w:frame="1"/>
          <w:shd w:val="clear" w:color="auto" w:fill="FFFFFF"/>
          <w:lang w:val="en-US"/>
        </w:rPr>
        <w:t>.</w:t>
      </w:r>
    </w:p>
    <w:p w:rsidR="003C410F" w:rsidRPr="00A92ABA" w:rsidRDefault="003C410F" w:rsidP="00A92ABA">
      <w:pPr>
        <w:pStyle w:val="Web"/>
        <w:spacing w:after="166" w:line="360" w:lineRule="auto"/>
        <w:ind w:left="415" w:hanging="415"/>
        <w:jc w:val="both"/>
        <w:rPr>
          <w:rFonts w:asciiTheme="minorHAnsi" w:eastAsia="Times New Roman" w:hAnsiTheme="minorHAnsi" w:cstheme="minorHAnsi"/>
          <w:lang w:val="en-US" w:eastAsia="el-GR"/>
        </w:rPr>
      </w:pPr>
      <w:r w:rsidRPr="00A92ABA">
        <w:rPr>
          <w:rFonts w:asciiTheme="minorHAnsi" w:hAnsiTheme="minorHAnsi" w:cstheme="minorHAnsi"/>
          <w:lang w:val="en-US"/>
        </w:rPr>
        <w:t>Blumenfield, M., Levy, N.B., Spinowitz, B., Charytan, C., Bea</w:t>
      </w:r>
      <w:r w:rsidR="001A252E" w:rsidRPr="00A92ABA">
        <w:rPr>
          <w:rFonts w:asciiTheme="minorHAnsi" w:hAnsiTheme="minorHAnsi" w:cstheme="minorHAnsi"/>
          <w:lang w:val="en-US"/>
        </w:rPr>
        <w:t>sley, C.M.Jr, Dubey, A.K.,</w:t>
      </w:r>
      <w:r w:rsidR="0078495A">
        <w:rPr>
          <w:rFonts w:asciiTheme="minorHAnsi" w:hAnsiTheme="minorHAnsi" w:cstheme="minorHAnsi"/>
          <w:lang w:val="en-US"/>
        </w:rPr>
        <w:t xml:space="preserve"> </w:t>
      </w:r>
      <w:r w:rsidR="00267243" w:rsidRPr="00267243">
        <w:rPr>
          <w:rFonts w:asciiTheme="minorHAnsi" w:hAnsiTheme="minorHAnsi"/>
          <w:lang w:val="en-US"/>
        </w:rPr>
        <w:t>…</w:t>
      </w:r>
      <w:r w:rsidR="001A252E" w:rsidRPr="00267243">
        <w:rPr>
          <w:rFonts w:asciiTheme="minorHAnsi" w:hAnsiTheme="minorHAnsi" w:cstheme="minorHAnsi"/>
          <w:lang w:val="en-US"/>
        </w:rPr>
        <w:t xml:space="preserve"> &amp; </w:t>
      </w:r>
      <w:hyperlink r:id="rId126" w:history="1">
        <w:r w:rsidR="001A252E" w:rsidRPr="00267243">
          <w:rPr>
            <w:rStyle w:val="-"/>
            <w:rFonts w:asciiTheme="minorHAnsi" w:hAnsiTheme="minorHAnsi" w:cstheme="minorHAnsi"/>
            <w:color w:val="auto"/>
            <w:u w:val="none"/>
            <w:lang w:val="en-US"/>
          </w:rPr>
          <w:t>Bergstrom., R.F</w:t>
        </w:r>
      </w:hyperlink>
      <w:r w:rsidR="001A252E" w:rsidRPr="00A92ABA">
        <w:rPr>
          <w:rFonts w:asciiTheme="minorHAnsi" w:hAnsiTheme="minorHAnsi" w:cstheme="minorHAnsi"/>
          <w:lang w:val="en-US"/>
        </w:rPr>
        <w:t xml:space="preserve">. </w:t>
      </w:r>
      <w:r w:rsidRPr="00A92ABA">
        <w:rPr>
          <w:rFonts w:asciiTheme="minorHAnsi" w:hAnsiTheme="minorHAnsi" w:cstheme="minorHAnsi"/>
          <w:lang w:val="en-US"/>
        </w:rPr>
        <w:t xml:space="preserve">(1997). Fluoxetine in depressed patients on dialysis. </w:t>
      </w:r>
      <w:r w:rsidRPr="00A92ABA">
        <w:rPr>
          <w:rFonts w:asciiTheme="minorHAnsi" w:hAnsiTheme="minorHAnsi" w:cstheme="minorHAnsi"/>
          <w:i/>
          <w:lang w:val="en-US"/>
        </w:rPr>
        <w:t>The International Journal of Psychiatry in Medicine,</w:t>
      </w:r>
      <w:r w:rsidR="00ED3043">
        <w:rPr>
          <w:rFonts w:asciiTheme="minorHAnsi" w:hAnsiTheme="minorHAnsi" w:cstheme="minorHAnsi"/>
          <w:lang w:val="en-US"/>
        </w:rPr>
        <w:t xml:space="preserve"> </w:t>
      </w:r>
      <w:r w:rsidR="00ED3043" w:rsidRPr="00ED3043">
        <w:rPr>
          <w:rFonts w:asciiTheme="minorHAnsi" w:hAnsiTheme="minorHAnsi" w:cstheme="minorHAnsi"/>
          <w:i/>
          <w:lang w:val="en-US"/>
        </w:rPr>
        <w:t>27</w:t>
      </w:r>
      <w:r w:rsidRPr="00ED3043">
        <w:rPr>
          <w:rFonts w:asciiTheme="minorHAnsi" w:hAnsiTheme="minorHAnsi" w:cstheme="minorHAnsi"/>
          <w:i/>
          <w:lang w:val="en-US"/>
        </w:rPr>
        <w:t>,</w:t>
      </w:r>
      <w:r w:rsidRPr="00A92ABA">
        <w:rPr>
          <w:rFonts w:asciiTheme="minorHAnsi" w:hAnsiTheme="minorHAnsi" w:cstheme="minorHAnsi"/>
          <w:lang w:val="en-US"/>
        </w:rPr>
        <w:t xml:space="preserve">71-80. </w:t>
      </w:r>
      <w:r w:rsidR="00292B29" w:rsidRPr="00A92ABA">
        <w:rPr>
          <w:rFonts w:asciiTheme="minorHAnsi" w:hAnsiTheme="minorHAnsi" w:cstheme="minorHAnsi"/>
          <w:lang w:val="en-US"/>
        </w:rPr>
        <w:t>DOI</w:t>
      </w:r>
      <w:r w:rsidRPr="00A92ABA">
        <w:rPr>
          <w:rFonts w:asciiTheme="minorHAnsi" w:hAnsiTheme="minorHAnsi" w:cstheme="minorHAnsi"/>
          <w:lang w:val="en-US"/>
        </w:rPr>
        <w:t>:</w:t>
      </w:r>
      <w:hyperlink r:id="rId127" w:history="1">
        <w:r w:rsidRPr="00A92ABA">
          <w:rPr>
            <w:rStyle w:val="-"/>
            <w:rFonts w:asciiTheme="minorHAnsi" w:hAnsiTheme="minorHAnsi" w:cstheme="minorHAnsi"/>
            <w:color w:val="auto"/>
            <w:u w:val="none"/>
            <w:lang w:val="en-US"/>
          </w:rPr>
          <w:t>10.2190/WQ33-M54T-XN7L-V8MX</w:t>
        </w:r>
      </w:hyperlink>
      <w:r w:rsidR="001A252E" w:rsidRPr="005A464E">
        <w:rPr>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Bodenheimer, T., Lorig, K., Holman, H. &amp; Grumbach, K. (2002). Patient self-management of chronic disease in primary care. </w:t>
      </w:r>
      <w:r w:rsidRPr="005A464E">
        <w:rPr>
          <w:rFonts w:asciiTheme="minorHAnsi" w:hAnsiTheme="minorHAnsi" w:cstheme="minorHAnsi"/>
          <w:i/>
          <w:lang w:val="en-US"/>
        </w:rPr>
        <w:t>JAMA</w:t>
      </w:r>
      <w:r w:rsidRPr="00ED3043">
        <w:rPr>
          <w:rFonts w:asciiTheme="minorHAnsi" w:hAnsiTheme="minorHAnsi" w:cstheme="minorHAnsi"/>
          <w:i/>
          <w:lang w:val="en-US"/>
        </w:rPr>
        <w:t>,</w:t>
      </w:r>
      <w:r w:rsidR="00ED3043" w:rsidRPr="00ED3043">
        <w:rPr>
          <w:rFonts w:asciiTheme="minorHAnsi" w:hAnsiTheme="minorHAnsi" w:cstheme="minorHAnsi"/>
          <w:i/>
          <w:lang w:val="en-US"/>
        </w:rPr>
        <w:t xml:space="preserve"> 288</w:t>
      </w:r>
      <w:r w:rsidRPr="00ED3043">
        <w:rPr>
          <w:rFonts w:asciiTheme="minorHAnsi" w:hAnsiTheme="minorHAnsi" w:cstheme="minorHAnsi"/>
          <w:i/>
          <w:lang w:val="en-US"/>
        </w:rPr>
        <w:t>,</w:t>
      </w:r>
      <w:r w:rsidRPr="005A464E">
        <w:rPr>
          <w:rFonts w:asciiTheme="minorHAnsi" w:hAnsiTheme="minorHAnsi" w:cstheme="minorHAnsi"/>
          <w:lang w:val="en-US"/>
        </w:rPr>
        <w:t xml:space="preserve"> 2469-2475.</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Bohlke, M., Nunes, D.L., Marini, S.S., Kitamura, C., Andrade, M., &amp; Von-Gysel, M.P.</w:t>
      </w:r>
      <w:r w:rsidRPr="005A464E">
        <w:rPr>
          <w:rFonts w:asciiTheme="minorHAnsi" w:hAnsiTheme="minorHAnsi" w:cstheme="minorHAnsi"/>
          <w:b/>
          <w:lang w:val="en-US"/>
        </w:rPr>
        <w:t xml:space="preserve"> </w:t>
      </w:r>
      <w:r w:rsidRPr="005A464E">
        <w:rPr>
          <w:rFonts w:asciiTheme="minorHAnsi" w:hAnsiTheme="minorHAnsi" w:cstheme="minorHAnsi"/>
          <w:lang w:val="en-US"/>
        </w:rPr>
        <w:t xml:space="preserve">(2008). Predictors of quality of life among patients on dialysis in southern Brazil. </w:t>
      </w:r>
      <w:r w:rsidRPr="005A464E">
        <w:rPr>
          <w:rFonts w:asciiTheme="minorHAnsi" w:hAnsiTheme="minorHAnsi" w:cstheme="minorHAnsi"/>
          <w:i/>
          <w:iCs/>
          <w:lang w:val="en-US"/>
        </w:rPr>
        <w:t>Sao Paulo Medical Journal,</w:t>
      </w:r>
      <w:r w:rsidR="00ED3043">
        <w:rPr>
          <w:rFonts w:asciiTheme="minorHAnsi" w:hAnsiTheme="minorHAnsi" w:cstheme="minorHAnsi"/>
          <w:iCs/>
          <w:lang w:val="en-US"/>
        </w:rPr>
        <w:t xml:space="preserve"> </w:t>
      </w:r>
      <w:r w:rsidR="00ED3043" w:rsidRPr="00ED3043">
        <w:rPr>
          <w:rFonts w:asciiTheme="minorHAnsi" w:hAnsiTheme="minorHAnsi" w:cstheme="minorHAnsi"/>
          <w:i/>
          <w:iCs/>
          <w:lang w:val="en-US"/>
        </w:rPr>
        <w:t>126</w:t>
      </w:r>
      <w:r w:rsidRPr="00ED3043">
        <w:rPr>
          <w:rFonts w:asciiTheme="minorHAnsi" w:hAnsiTheme="minorHAnsi" w:cstheme="minorHAnsi"/>
          <w:i/>
          <w:lang w:val="en-US"/>
        </w:rPr>
        <w:t>,</w:t>
      </w:r>
      <w:r w:rsidRPr="005A464E">
        <w:rPr>
          <w:rFonts w:asciiTheme="minorHAnsi" w:hAnsiTheme="minorHAnsi" w:cstheme="minorHAnsi"/>
          <w:lang w:val="en-US"/>
        </w:rPr>
        <w:t xml:space="preserve"> 252-256.</w:t>
      </w:r>
      <w:r w:rsidRPr="005A464E">
        <w:rPr>
          <w:rFonts w:asciiTheme="minorHAnsi" w:hAnsiTheme="minorHAnsi" w:cstheme="minorHAnsi"/>
          <w:bCs/>
          <w:lang w:val="en-US"/>
        </w:rPr>
        <w:t xml:space="preserve"> </w:t>
      </w:r>
      <w:hyperlink r:id="rId128"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.org/10.1590/S1516</w:t>
        </w:r>
      </w:hyperlink>
      <w:r w:rsidRPr="005A464E">
        <w:rPr>
          <w:rFonts w:asciiTheme="minorHAnsi" w:hAnsiTheme="minorHAnsi" w:cstheme="minorHAnsi"/>
          <w:bCs/>
          <w:lang w:val="en-US"/>
        </w:rPr>
        <w:t xml:space="preserve"> 31802008000500002</w:t>
      </w:r>
      <w:r w:rsidR="001A252E" w:rsidRPr="005A464E">
        <w:rPr>
          <w:rFonts w:asciiTheme="minorHAnsi" w:hAnsiTheme="minorHAnsi" w:cstheme="minorHAnsi"/>
          <w:bCs/>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Bowling, A. (1995). What things are important in people's lives? A survey of the public's judgment to inform scales of health related to quality of life. </w:t>
      </w:r>
      <w:r w:rsidRPr="005A464E">
        <w:rPr>
          <w:rFonts w:asciiTheme="minorHAnsi" w:hAnsiTheme="minorHAnsi" w:cstheme="minorHAnsi"/>
          <w:i/>
          <w:iCs/>
          <w:lang w:val="en-US"/>
        </w:rPr>
        <w:t>Social Science &amp; Medicine,</w:t>
      </w:r>
      <w:r w:rsidRPr="005A464E">
        <w:rPr>
          <w:rFonts w:asciiTheme="minorHAnsi" w:hAnsiTheme="minorHAnsi" w:cstheme="minorHAnsi"/>
          <w:iCs/>
          <w:lang w:val="en-US"/>
        </w:rPr>
        <w:t xml:space="preserve"> 41</w:t>
      </w:r>
      <w:r w:rsidRPr="005A464E">
        <w:rPr>
          <w:rFonts w:asciiTheme="minorHAnsi" w:hAnsiTheme="minorHAnsi" w:cstheme="minorHAnsi"/>
          <w:lang w:val="en-US"/>
        </w:rPr>
        <w:t>(10), 1447-1462.</w:t>
      </w:r>
      <w:r w:rsidRPr="005A464E">
        <w:rPr>
          <w:rFonts w:asciiTheme="minorHAnsi" w:hAnsiTheme="minorHAnsi"/>
          <w:lang w:val="en-US"/>
        </w:rPr>
        <w:t xml:space="preserve"> </w:t>
      </w:r>
      <w:hyperlink r:id="rId129" w:tgtFrame="_blank" w:tooltip="Persistent link using digital object identifier" w:history="1">
        <w:r w:rsidRPr="005A464E">
          <w:rPr>
            <w:rStyle w:val="-"/>
            <w:rFonts w:asciiTheme="minorHAnsi" w:hAnsiTheme="minorHAnsi" w:cs="Arial"/>
            <w:color w:val="auto"/>
            <w:u w:val="none"/>
            <w:lang w:val="en-US"/>
          </w:rPr>
          <w:t>https://</w:t>
        </w:r>
        <w:r w:rsidR="00292B29" w:rsidRPr="005A464E">
          <w:rPr>
            <w:rStyle w:val="-"/>
            <w:rFonts w:asciiTheme="minorHAnsi" w:hAnsiTheme="minorHAnsi" w:cs="Arial"/>
            <w:color w:val="auto"/>
            <w:u w:val="none"/>
            <w:lang w:val="en-US"/>
          </w:rPr>
          <w:t>DOI</w:t>
        </w:r>
        <w:r w:rsidRPr="005A464E">
          <w:rPr>
            <w:rStyle w:val="-"/>
            <w:rFonts w:asciiTheme="minorHAnsi" w:hAnsiTheme="minorHAnsi" w:cs="Arial"/>
            <w:color w:val="auto"/>
            <w:u w:val="none"/>
            <w:lang w:val="en-US"/>
          </w:rPr>
          <w:t>.org/10.1016/0277-9536(95)00113-L</w:t>
        </w:r>
      </w:hyperlink>
      <w:r w:rsidR="001A252E"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Breiterman-White, R. (2005). Functional ability of patients on dialysis: The critical role of anemia</w:t>
      </w:r>
      <w:r w:rsidRPr="005A464E">
        <w:rPr>
          <w:rFonts w:asciiTheme="minorHAnsi" w:hAnsiTheme="minorHAnsi" w:cstheme="minorHAnsi"/>
          <w:i/>
          <w:lang w:val="en-US"/>
        </w:rPr>
        <w:t xml:space="preserve">. </w:t>
      </w:r>
      <w:r w:rsidRPr="005A464E">
        <w:rPr>
          <w:rFonts w:asciiTheme="minorHAnsi" w:hAnsiTheme="minorHAnsi" w:cstheme="minorHAnsi"/>
          <w:i/>
          <w:iCs/>
          <w:lang w:val="en-US"/>
        </w:rPr>
        <w:t>Nephrology Nursing Journal</w:t>
      </w:r>
      <w:r w:rsidRPr="00ED3043">
        <w:rPr>
          <w:rFonts w:asciiTheme="minorHAnsi" w:hAnsiTheme="minorHAnsi" w:cstheme="minorHAnsi"/>
          <w:i/>
          <w:iCs/>
          <w:lang w:val="en-US"/>
        </w:rPr>
        <w:t>, 32</w:t>
      </w:r>
      <w:r w:rsidRPr="00ED3043">
        <w:rPr>
          <w:rFonts w:asciiTheme="minorHAnsi" w:hAnsiTheme="minorHAnsi" w:cstheme="minorHAnsi"/>
          <w:i/>
          <w:lang w:val="en-US"/>
        </w:rPr>
        <w:t>,</w:t>
      </w:r>
      <w:r w:rsidRPr="005A464E">
        <w:rPr>
          <w:rFonts w:asciiTheme="minorHAnsi" w:hAnsiTheme="minorHAnsi" w:cstheme="minorHAnsi"/>
          <w:lang w:val="en-US"/>
        </w:rPr>
        <w:t xml:space="preserve"> 79-82</w:t>
      </w:r>
      <w:r w:rsidR="001A252E" w:rsidRPr="005A464E">
        <w:rPr>
          <w:rFonts w:asciiTheme="minorHAnsi" w:hAnsiTheme="minorHAnsi" w:cs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Brown, S.A., &amp; Grimes, D.E. (1995). A meta-analysis of nurse practitioners and nurse midwives in prima</w:t>
      </w:r>
      <w:r w:rsidR="00ED3043">
        <w:rPr>
          <w:rFonts w:asciiTheme="minorHAnsi" w:hAnsiTheme="minorHAnsi" w:cstheme="minorHAnsi"/>
          <w:lang w:val="en-US"/>
        </w:rPr>
        <w:t>ry care. Nursing Research</w:t>
      </w:r>
      <w:r w:rsidR="00ED3043" w:rsidRPr="00ED3043">
        <w:rPr>
          <w:rFonts w:asciiTheme="minorHAnsi" w:hAnsiTheme="minorHAnsi" w:cstheme="minorHAnsi"/>
          <w:i/>
          <w:lang w:val="en-US"/>
        </w:rPr>
        <w:t>, 44</w:t>
      </w:r>
      <w:r w:rsidRPr="00ED3043">
        <w:rPr>
          <w:rFonts w:asciiTheme="minorHAnsi" w:hAnsiTheme="minorHAnsi" w:cstheme="minorHAnsi"/>
          <w:i/>
          <w:lang w:val="en-US"/>
        </w:rPr>
        <w:t>,</w:t>
      </w:r>
      <w:r w:rsidR="00ED3043">
        <w:rPr>
          <w:rFonts w:asciiTheme="minorHAnsi" w:hAnsiTheme="minorHAnsi" w:cstheme="minorHAnsi"/>
          <w:i/>
          <w:lang w:val="en-US"/>
        </w:rPr>
        <w:t xml:space="preserve"> </w:t>
      </w:r>
      <w:r w:rsidRPr="005A464E">
        <w:rPr>
          <w:rFonts w:asciiTheme="minorHAnsi" w:hAnsiTheme="minorHAnsi" w:cstheme="minorHAnsi"/>
          <w:lang w:val="en-US"/>
        </w:rPr>
        <w:t>332-339.</w:t>
      </w:r>
    </w:p>
    <w:p w:rsidR="001A252E" w:rsidRPr="005A464E" w:rsidRDefault="001A252E"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Brown, M. T., &amp; Bussell, J. K. (2011). Medication adherence: WHO cares? </w:t>
      </w:r>
      <w:r w:rsidRPr="005A464E">
        <w:rPr>
          <w:rFonts w:asciiTheme="minorHAnsi" w:hAnsiTheme="minorHAnsi" w:cstheme="minorHAnsi"/>
          <w:i/>
          <w:lang w:val="en-US"/>
        </w:rPr>
        <w:t>Mayo Clinic Proceedings</w:t>
      </w:r>
      <w:r w:rsidRPr="00ED3043">
        <w:rPr>
          <w:rFonts w:asciiTheme="minorHAnsi" w:hAnsiTheme="minorHAnsi" w:cstheme="minorHAnsi"/>
          <w:i/>
          <w:lang w:val="en-US"/>
        </w:rPr>
        <w:t xml:space="preserve">, </w:t>
      </w:r>
      <w:r w:rsidR="00ED3043" w:rsidRPr="00ED3043">
        <w:rPr>
          <w:rFonts w:asciiTheme="minorHAnsi" w:hAnsiTheme="minorHAnsi" w:cstheme="minorHAnsi"/>
          <w:i/>
          <w:lang w:val="en-US"/>
        </w:rPr>
        <w:t>86</w:t>
      </w:r>
      <w:r w:rsidRPr="005A464E">
        <w:rPr>
          <w:rFonts w:asciiTheme="minorHAnsi" w:hAnsiTheme="minorHAnsi" w:cstheme="minorHAnsi"/>
          <w:lang w:val="en-US"/>
        </w:rPr>
        <w:t xml:space="preserve">, 304–314. </w:t>
      </w:r>
      <w:hyperlink r:id="rId130" w:history="1">
        <w:r w:rsidRPr="005A464E">
          <w:rPr>
            <w:rStyle w:val="-"/>
            <w:rFonts w:asciiTheme="minorHAnsi" w:hAnsiTheme="minorHAnsi" w:cstheme="minorHAnsi"/>
            <w:color w:val="auto"/>
            <w:u w:val="none"/>
            <w:lang w:val="en-US"/>
          </w:rPr>
          <w:t>http://</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.org/10.4065/mcp.2010.0575</w:t>
        </w:r>
      </w:hyperlink>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Brownson, K. (1998). Educational handouts: Are we wasting our time? </w:t>
      </w:r>
      <w:r w:rsidRPr="005A464E">
        <w:rPr>
          <w:rFonts w:asciiTheme="minorHAnsi" w:hAnsiTheme="minorHAnsi" w:cstheme="minorHAnsi"/>
          <w:i/>
          <w:lang w:val="en-US"/>
        </w:rPr>
        <w:t>Journal for Nurses in Staff Development</w:t>
      </w:r>
      <w:r w:rsidRPr="00ED3043">
        <w:rPr>
          <w:rFonts w:asciiTheme="minorHAnsi" w:hAnsiTheme="minorHAnsi" w:cstheme="minorHAnsi"/>
          <w:i/>
          <w:lang w:val="en-US"/>
        </w:rPr>
        <w:t>, 14,</w:t>
      </w:r>
      <w:r w:rsidRPr="005A464E">
        <w:rPr>
          <w:rFonts w:asciiTheme="minorHAnsi" w:hAnsiTheme="minorHAnsi" w:cstheme="minorHAnsi"/>
          <w:lang w:val="en-US"/>
        </w:rPr>
        <w:t xml:space="preserve"> 176- 182.</w:t>
      </w:r>
    </w:p>
    <w:p w:rsidR="00987B26"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Burckhardt, C.S.(1986). Ethical issues in compliance. </w:t>
      </w:r>
      <w:r w:rsidRPr="005A464E">
        <w:rPr>
          <w:rFonts w:asciiTheme="minorHAnsi" w:hAnsiTheme="minorHAnsi" w:cstheme="minorHAnsi"/>
          <w:i/>
          <w:lang w:val="en-US"/>
        </w:rPr>
        <w:t xml:space="preserve">Topics in Clinical </w:t>
      </w:r>
      <w:r w:rsidRPr="00ED3043">
        <w:rPr>
          <w:rFonts w:asciiTheme="minorHAnsi" w:hAnsiTheme="minorHAnsi" w:cstheme="minorHAnsi"/>
          <w:i/>
          <w:lang w:val="en-US"/>
        </w:rPr>
        <w:t>Nursing,</w:t>
      </w:r>
      <w:r w:rsidR="00ED3043" w:rsidRPr="00ED3043">
        <w:rPr>
          <w:rFonts w:asciiTheme="minorHAnsi" w:hAnsiTheme="minorHAnsi" w:cstheme="minorHAnsi"/>
          <w:i/>
          <w:lang w:val="en-US"/>
        </w:rPr>
        <w:t xml:space="preserve"> 7</w:t>
      </w:r>
      <w:r w:rsidRPr="00ED3043">
        <w:rPr>
          <w:rFonts w:asciiTheme="minorHAnsi" w:hAnsiTheme="minorHAnsi" w:cstheme="minorHAnsi"/>
          <w:i/>
          <w:lang w:val="en-US"/>
        </w:rPr>
        <w:t>,</w:t>
      </w:r>
      <w:r w:rsidRPr="005A464E">
        <w:rPr>
          <w:rFonts w:asciiTheme="minorHAnsi" w:hAnsiTheme="minorHAnsi" w:cstheme="minorHAnsi"/>
          <w:lang w:val="en-US"/>
        </w:rPr>
        <w:t xml:space="preserve"> 9-16.</w:t>
      </w:r>
    </w:p>
    <w:p w:rsidR="00987B26" w:rsidRPr="005A464E" w:rsidRDefault="00987B26"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Burge, S., White, D., Bajorek, E., Bazaldua, O., Trevino, J., Albright, T., </w:t>
      </w:r>
      <w:r w:rsidR="00267243">
        <w:rPr>
          <w:rFonts w:asciiTheme="minorHAnsi" w:hAnsiTheme="minorHAnsi" w:cstheme="minorHAnsi"/>
          <w:lang w:val="en-US"/>
        </w:rPr>
        <w:t xml:space="preserve">… </w:t>
      </w:r>
      <w:r w:rsidRPr="005A464E">
        <w:rPr>
          <w:rFonts w:asciiTheme="minorHAnsi" w:hAnsiTheme="minorHAnsi" w:cstheme="minorHAnsi"/>
          <w:lang w:val="en-US"/>
        </w:rPr>
        <w:t xml:space="preserve">&amp; Cigarroa, L. (2005). Correlates of medication knowledge and adherence: findings from the residency research network of South Texas. </w:t>
      </w:r>
      <w:r w:rsidRPr="005A464E">
        <w:rPr>
          <w:rFonts w:asciiTheme="minorHAnsi" w:hAnsiTheme="minorHAnsi" w:cstheme="minorHAnsi"/>
          <w:i/>
          <w:lang w:val="en-US"/>
        </w:rPr>
        <w:t>Family Medicine</w:t>
      </w:r>
      <w:r w:rsidR="00ED3043">
        <w:rPr>
          <w:rFonts w:asciiTheme="minorHAnsi" w:hAnsiTheme="minorHAnsi" w:cstheme="minorHAnsi"/>
          <w:lang w:val="en-US"/>
        </w:rPr>
        <w:t xml:space="preserve">, </w:t>
      </w:r>
      <w:r w:rsidR="00ED3043" w:rsidRPr="00ED3043">
        <w:rPr>
          <w:rFonts w:asciiTheme="minorHAnsi" w:hAnsiTheme="minorHAnsi" w:cstheme="minorHAnsi"/>
          <w:i/>
          <w:lang w:val="en-US"/>
        </w:rPr>
        <w:t>37</w:t>
      </w:r>
      <w:r w:rsidRPr="00ED3043">
        <w:rPr>
          <w:rFonts w:asciiTheme="minorHAnsi" w:hAnsiTheme="minorHAnsi" w:cstheme="minorHAnsi"/>
          <w:i/>
          <w:lang w:val="en-US"/>
        </w:rPr>
        <w:t>,</w:t>
      </w:r>
      <w:r w:rsidR="00ED3043">
        <w:rPr>
          <w:rFonts w:asciiTheme="minorHAnsi" w:hAnsiTheme="minorHAnsi" w:cstheme="minorHAnsi"/>
          <w:i/>
          <w:lang w:val="en-US"/>
        </w:rPr>
        <w:t xml:space="preserve"> </w:t>
      </w:r>
      <w:r w:rsidRPr="005A464E">
        <w:rPr>
          <w:rFonts w:asciiTheme="minorHAnsi" w:hAnsiTheme="minorHAnsi" w:cstheme="minorHAnsi"/>
          <w:lang w:val="en-US"/>
        </w:rPr>
        <w:t>712-718.</w:t>
      </w:r>
    </w:p>
    <w:p w:rsidR="001D00C0" w:rsidRPr="001D00C0" w:rsidRDefault="003C410F" w:rsidP="001D00C0">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Caiman, K.C. (1984). Quality of life in cancer patients-a hypothesis. </w:t>
      </w:r>
      <w:r w:rsidRPr="005A464E">
        <w:rPr>
          <w:rFonts w:asciiTheme="minorHAnsi" w:hAnsiTheme="minorHAnsi" w:cstheme="minorHAnsi"/>
          <w:i/>
          <w:iCs/>
          <w:lang w:val="en-US"/>
        </w:rPr>
        <w:t xml:space="preserve">Journal of Medical Ethics, </w:t>
      </w:r>
      <w:r w:rsidRPr="00ED3043">
        <w:rPr>
          <w:rFonts w:asciiTheme="minorHAnsi" w:hAnsiTheme="minorHAnsi" w:cstheme="minorHAnsi"/>
          <w:i/>
          <w:iCs/>
          <w:lang w:val="en-US"/>
        </w:rPr>
        <w:t>10</w:t>
      </w:r>
      <w:r w:rsidRPr="00ED3043">
        <w:rPr>
          <w:rFonts w:asciiTheme="minorHAnsi" w:hAnsiTheme="minorHAnsi" w:cstheme="minorHAnsi"/>
          <w:i/>
          <w:lang w:val="en-US"/>
        </w:rPr>
        <w:t>,</w:t>
      </w:r>
      <w:r w:rsidRPr="005A464E">
        <w:rPr>
          <w:rFonts w:asciiTheme="minorHAnsi" w:hAnsiTheme="minorHAnsi" w:cstheme="minorHAnsi"/>
          <w:lang w:val="en-US"/>
        </w:rPr>
        <w:t xml:space="preserve"> 124-127.</w:t>
      </w:r>
    </w:p>
    <w:p w:rsidR="001D00C0" w:rsidRPr="001D00C0" w:rsidRDefault="008F3609" w:rsidP="001D00C0">
      <w:pPr>
        <w:pStyle w:val="Web"/>
        <w:spacing w:after="166" w:line="360" w:lineRule="auto"/>
        <w:ind w:left="415" w:hanging="415"/>
        <w:jc w:val="both"/>
        <w:rPr>
          <w:rFonts w:asciiTheme="minorHAnsi" w:hAnsiTheme="minorHAnsi" w:cstheme="minorHAnsi"/>
          <w:lang w:val="en-US"/>
        </w:rPr>
      </w:pPr>
      <w:hyperlink r:id="rId131" w:history="1">
        <w:r w:rsidR="001D00C0" w:rsidRPr="001D00C0">
          <w:rPr>
            <w:rStyle w:val="-"/>
            <w:rFonts w:asciiTheme="minorHAnsi" w:hAnsiTheme="minorHAnsi" w:cs="Arial"/>
            <w:color w:val="auto"/>
            <w:u w:val="none"/>
            <w:shd w:val="clear" w:color="auto" w:fill="FFFFFF"/>
            <w:lang w:val="en-US"/>
          </w:rPr>
          <w:t>Campo-Arias, A</w:t>
        </w:r>
      </w:hyperlink>
      <w:r w:rsidR="001D00C0" w:rsidRPr="001D00C0">
        <w:rPr>
          <w:rFonts w:asciiTheme="minorHAnsi" w:hAnsiTheme="minorHAnsi"/>
          <w:lang w:val="en-US"/>
        </w:rPr>
        <w:t>.,</w:t>
      </w:r>
      <w:r w:rsidR="001D00C0" w:rsidRPr="001D00C0">
        <w:rPr>
          <w:rFonts w:asciiTheme="minorHAnsi" w:hAnsiTheme="minorHAnsi" w:cs="Arial"/>
          <w:shd w:val="clear" w:color="auto" w:fill="FFFFFF"/>
          <w:lang w:val="en-US"/>
        </w:rPr>
        <w:t xml:space="preserve"> &amp;  </w:t>
      </w:r>
      <w:hyperlink r:id="rId132" w:history="1">
        <w:r w:rsidR="001D00C0" w:rsidRPr="001D00C0">
          <w:rPr>
            <w:rStyle w:val="-"/>
            <w:rFonts w:asciiTheme="minorHAnsi" w:hAnsiTheme="minorHAnsi" w:cs="Arial"/>
            <w:color w:val="auto"/>
            <w:u w:val="none"/>
            <w:shd w:val="clear" w:color="auto" w:fill="FFFFFF"/>
            <w:lang w:val="en-US"/>
          </w:rPr>
          <w:t>Oviedo, H.C</w:t>
        </w:r>
      </w:hyperlink>
      <w:r w:rsidR="001D00C0" w:rsidRPr="001D00C0">
        <w:rPr>
          <w:rFonts w:asciiTheme="minorHAnsi" w:hAnsiTheme="minorHAnsi" w:cs="Arial"/>
          <w:shd w:val="clear" w:color="auto" w:fill="FFFFFF"/>
          <w:lang w:val="en-US"/>
        </w:rPr>
        <w:t xml:space="preserve"> (2008).</w:t>
      </w:r>
      <w:r w:rsidR="001D00C0" w:rsidRPr="001D00C0">
        <w:rPr>
          <w:rFonts w:asciiTheme="minorHAnsi" w:hAnsiTheme="minorHAnsi" w:cs="Arial"/>
          <w:lang w:val="en-US"/>
        </w:rPr>
        <w:t xml:space="preserve"> Psychometric properties of a scale: internal consistency.</w:t>
      </w:r>
      <w:r w:rsidR="001D00C0" w:rsidRPr="001D00C0">
        <w:rPr>
          <w:rFonts w:asciiTheme="minorHAnsi" w:hAnsiTheme="minorHAnsi" w:cs="Arial"/>
          <w:shd w:val="clear" w:color="auto" w:fill="FFFFFF"/>
          <w:lang w:val="en-US"/>
        </w:rPr>
        <w:t xml:space="preserve"> </w:t>
      </w:r>
      <w:hyperlink r:id="rId133" w:tooltip="Revista de salud publica (Bogota, Colombia)." w:history="1">
        <w:r w:rsidR="001D00C0" w:rsidRPr="001D00C0">
          <w:rPr>
            <w:rStyle w:val="-"/>
            <w:rFonts w:asciiTheme="minorHAnsi" w:hAnsiTheme="minorHAnsi" w:cs="Arial"/>
            <w:color w:val="auto"/>
            <w:u w:val="none"/>
            <w:shd w:val="clear" w:color="auto" w:fill="FFFFFF"/>
            <w:lang w:val="en-US"/>
          </w:rPr>
          <w:t>R</w:t>
        </w:r>
        <w:r w:rsidR="001D00C0" w:rsidRPr="001D00C0">
          <w:rPr>
            <w:rStyle w:val="-"/>
            <w:rFonts w:asciiTheme="minorHAnsi" w:hAnsiTheme="minorHAnsi" w:cs="Arial"/>
            <w:i/>
            <w:color w:val="auto"/>
            <w:u w:val="none"/>
            <w:shd w:val="clear" w:color="auto" w:fill="FFFFFF"/>
            <w:lang w:val="en-US"/>
          </w:rPr>
          <w:t>ev</w:t>
        </w:r>
        <w:r w:rsidR="001D00C0" w:rsidRPr="001D00C0">
          <w:rPr>
            <w:rStyle w:val="-"/>
            <w:rFonts w:asciiTheme="minorHAnsi" w:hAnsiTheme="minorHAnsi" w:cs="Arial"/>
            <w:i/>
            <w:color w:val="auto"/>
            <w:u w:val="none"/>
            <w:shd w:val="clear" w:color="auto" w:fill="FFFFFF"/>
          </w:rPr>
          <w:t>ι</w:t>
        </w:r>
        <w:r w:rsidR="001D00C0" w:rsidRPr="001D00C0">
          <w:rPr>
            <w:rStyle w:val="-"/>
            <w:rFonts w:asciiTheme="minorHAnsi" w:hAnsiTheme="minorHAnsi" w:cs="Arial"/>
            <w:i/>
            <w:color w:val="auto"/>
            <w:u w:val="none"/>
            <w:shd w:val="clear" w:color="auto" w:fill="FFFFFF"/>
            <w:lang w:val="en-US"/>
          </w:rPr>
          <w:t>sta de Salud Publica</w:t>
        </w:r>
        <w:r w:rsidR="001D00C0">
          <w:rPr>
            <w:rStyle w:val="-"/>
            <w:rFonts w:asciiTheme="minorHAnsi" w:hAnsiTheme="minorHAnsi" w:cs="Arial"/>
            <w:color w:val="auto"/>
            <w:u w:val="none"/>
            <w:shd w:val="clear" w:color="auto" w:fill="FFFFFF"/>
            <w:lang w:val="en-US"/>
          </w:rPr>
          <w:t xml:space="preserve">, </w:t>
        </w:r>
      </w:hyperlink>
      <w:r w:rsidR="001C2698" w:rsidRPr="001C2698">
        <w:rPr>
          <w:rFonts w:asciiTheme="minorHAnsi" w:hAnsiTheme="minorHAnsi" w:cs="Arial"/>
          <w:i/>
          <w:shd w:val="clear" w:color="auto" w:fill="FFFFFF"/>
          <w:lang w:val="en-US"/>
        </w:rPr>
        <w:t>10,</w:t>
      </w:r>
      <w:r w:rsidR="001C2698">
        <w:rPr>
          <w:rFonts w:asciiTheme="minorHAnsi" w:hAnsiTheme="minorHAnsi" w:cs="Arial"/>
          <w:shd w:val="clear" w:color="auto" w:fill="FFFFFF"/>
          <w:lang w:val="en-US"/>
        </w:rPr>
        <w:t xml:space="preserve"> </w:t>
      </w:r>
      <w:r w:rsidR="001D00C0" w:rsidRPr="001D00C0">
        <w:rPr>
          <w:rFonts w:asciiTheme="minorHAnsi" w:hAnsiTheme="minorHAnsi" w:cs="Arial"/>
          <w:shd w:val="clear" w:color="auto" w:fill="FFFFFF"/>
          <w:lang w:val="en-US"/>
        </w:rPr>
        <w:t>831-</w:t>
      </w:r>
      <w:r w:rsidR="001C2698">
        <w:rPr>
          <w:rFonts w:asciiTheme="minorHAnsi" w:hAnsiTheme="minorHAnsi" w:cs="Arial"/>
          <w:shd w:val="clear" w:color="auto" w:fill="FFFFFF"/>
          <w:lang w:val="en-US"/>
        </w:rPr>
        <w:t>83</w:t>
      </w:r>
      <w:r w:rsidR="001D00C0" w:rsidRPr="001D00C0">
        <w:rPr>
          <w:rFonts w:asciiTheme="minorHAnsi" w:hAnsiTheme="minorHAnsi" w:cs="Arial"/>
          <w:shd w:val="clear" w:color="auto" w:fill="FFFFFF"/>
          <w:lang w:val="en-US"/>
        </w:rPr>
        <w:t>9.</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Camsari, T., Cavdar, C., Yemez, B., Ozkahya, </w:t>
      </w:r>
      <w:r w:rsidR="001A252E" w:rsidRPr="005A464E">
        <w:rPr>
          <w:rFonts w:asciiTheme="minorHAnsi" w:hAnsiTheme="minorHAnsi" w:cstheme="minorHAnsi"/>
          <w:lang w:val="en-US"/>
        </w:rPr>
        <w:t>M., Atabay, G. &amp; Alkin, T., &amp;</w:t>
      </w:r>
      <w:r w:rsidR="001A252E" w:rsidRPr="005A464E">
        <w:rPr>
          <w:rFonts w:asciiTheme="minorHAnsi" w:hAnsiTheme="minorHAnsi"/>
          <w:color w:val="000000"/>
          <w:shd w:val="clear" w:color="auto" w:fill="FFFFFF"/>
          <w:lang w:val="en-US"/>
        </w:rPr>
        <w:t> Akçiçek, F</w:t>
      </w:r>
      <w:r w:rsidRPr="005A464E">
        <w:rPr>
          <w:rFonts w:asciiTheme="minorHAnsi" w:hAnsiTheme="minorHAnsi" w:cstheme="minorHAnsi"/>
          <w:lang w:val="en-US"/>
        </w:rPr>
        <w:t>.</w:t>
      </w:r>
      <w:r w:rsidRPr="005A464E">
        <w:rPr>
          <w:rFonts w:asciiTheme="minorHAnsi" w:eastAsia="Times New Roman" w:hAnsiTheme="minorHAnsi" w:cstheme="minorHAnsi"/>
          <w:lang w:val="en-US" w:eastAsia="el-GR"/>
        </w:rPr>
        <w:t xml:space="preserve"> </w:t>
      </w:r>
      <w:r w:rsidRPr="005A464E">
        <w:rPr>
          <w:rFonts w:asciiTheme="minorHAnsi" w:hAnsiTheme="minorHAnsi" w:cstheme="minorHAnsi"/>
          <w:lang w:val="en-US"/>
        </w:rPr>
        <w:t xml:space="preserve">(1999). Psychosexual function in CAPD and hemodialysis patients. </w:t>
      </w:r>
      <w:r w:rsidRPr="005A464E">
        <w:rPr>
          <w:rFonts w:asciiTheme="minorHAnsi" w:hAnsiTheme="minorHAnsi" w:cstheme="minorHAnsi"/>
          <w:i/>
          <w:iCs/>
          <w:lang w:val="en-US"/>
        </w:rPr>
        <w:t>Peritoneal Dialysis International,</w:t>
      </w:r>
      <w:r w:rsidRPr="005A464E">
        <w:rPr>
          <w:rFonts w:asciiTheme="minorHAnsi" w:hAnsiTheme="minorHAnsi" w:cstheme="minorHAnsi"/>
          <w:iCs/>
          <w:lang w:val="en-US"/>
        </w:rPr>
        <w:t xml:space="preserve"> </w:t>
      </w:r>
      <w:r w:rsidRPr="00ED3043">
        <w:rPr>
          <w:rFonts w:asciiTheme="minorHAnsi" w:hAnsiTheme="minorHAnsi" w:cstheme="minorHAnsi"/>
          <w:i/>
          <w:iCs/>
          <w:lang w:val="en-US"/>
        </w:rPr>
        <w:t>19</w:t>
      </w:r>
      <w:r w:rsidRPr="00ED3043">
        <w:rPr>
          <w:rFonts w:asciiTheme="minorHAnsi" w:hAnsiTheme="minorHAnsi" w:cstheme="minorHAnsi"/>
          <w:i/>
          <w:lang w:val="en-US"/>
        </w:rPr>
        <w:t>,</w:t>
      </w:r>
      <w:r w:rsidRPr="005A464E">
        <w:rPr>
          <w:rFonts w:asciiTheme="minorHAnsi" w:hAnsiTheme="minorHAnsi" w:cstheme="minorHAnsi"/>
          <w:lang w:val="en-US"/>
        </w:rPr>
        <w:t xml:space="preserve"> 585-588.</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Carr, AJ., &amp; Higginson, I.J. (2001). Measuring quality of life: Are quality of life measures patient centered? </w:t>
      </w:r>
      <w:r w:rsidRPr="005A464E">
        <w:rPr>
          <w:rFonts w:asciiTheme="minorHAnsi" w:hAnsiTheme="minorHAnsi" w:cstheme="minorHAnsi"/>
          <w:i/>
          <w:iCs/>
          <w:lang w:val="en-US"/>
        </w:rPr>
        <w:t>British Medical Journal,</w:t>
      </w:r>
      <w:r w:rsidRPr="005A464E">
        <w:rPr>
          <w:rFonts w:asciiTheme="minorHAnsi" w:hAnsiTheme="minorHAnsi" w:cstheme="minorHAnsi"/>
          <w:iCs/>
          <w:lang w:val="en-US"/>
        </w:rPr>
        <w:t xml:space="preserve"> </w:t>
      </w:r>
      <w:r w:rsidRPr="00ED3043">
        <w:rPr>
          <w:rFonts w:asciiTheme="minorHAnsi" w:hAnsiTheme="minorHAnsi" w:cstheme="minorHAnsi"/>
          <w:i/>
          <w:iCs/>
          <w:lang w:val="en-US"/>
        </w:rPr>
        <w:t>322</w:t>
      </w:r>
      <w:r w:rsidRPr="005A464E">
        <w:rPr>
          <w:rFonts w:asciiTheme="minorHAnsi" w:hAnsiTheme="minorHAnsi" w:cstheme="minorHAnsi"/>
          <w:lang w:val="en-US"/>
        </w:rPr>
        <w:t>(7298), 1357-1360.</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Casey, J., Johnson, V., &amp; McClelland, P. (2002). Impact of stepped verbal and written reinforcement of fluid balance advice within an outpatient haemodialysis unit: a pilot study. </w:t>
      </w:r>
      <w:r w:rsidRPr="005A464E">
        <w:rPr>
          <w:rFonts w:asciiTheme="minorHAnsi" w:hAnsiTheme="minorHAnsi" w:cstheme="minorHAnsi"/>
          <w:i/>
          <w:lang w:val="en-US"/>
        </w:rPr>
        <w:t>Journal</w:t>
      </w:r>
      <w:r w:rsidR="0078495A">
        <w:rPr>
          <w:rFonts w:asciiTheme="minorHAnsi" w:hAnsiTheme="minorHAnsi" w:cstheme="minorHAnsi"/>
          <w:i/>
          <w:lang w:val="en-US"/>
        </w:rPr>
        <w:t xml:space="preserve"> </w:t>
      </w:r>
      <w:r w:rsidRPr="005A464E">
        <w:rPr>
          <w:rFonts w:asciiTheme="minorHAnsi" w:hAnsiTheme="minorHAnsi" w:cstheme="minorHAnsi"/>
          <w:i/>
          <w:lang w:val="en-US"/>
        </w:rPr>
        <w:t>Human Nutrition and Dietetics</w:t>
      </w:r>
      <w:r w:rsidR="00ED3043">
        <w:rPr>
          <w:rFonts w:asciiTheme="minorHAnsi" w:hAnsiTheme="minorHAnsi" w:cstheme="minorHAnsi"/>
          <w:lang w:val="en-US"/>
        </w:rPr>
        <w:t xml:space="preserve">, </w:t>
      </w:r>
      <w:r w:rsidR="00ED3043" w:rsidRPr="00ED3043">
        <w:rPr>
          <w:rFonts w:asciiTheme="minorHAnsi" w:hAnsiTheme="minorHAnsi" w:cstheme="minorHAnsi"/>
          <w:i/>
          <w:lang w:val="en-US"/>
        </w:rPr>
        <w:t>15</w:t>
      </w:r>
      <w:r w:rsidRPr="00ED3043">
        <w:rPr>
          <w:rFonts w:asciiTheme="minorHAnsi" w:hAnsiTheme="minorHAnsi" w:cstheme="minorHAnsi"/>
          <w:i/>
          <w:lang w:val="en-US"/>
        </w:rPr>
        <w:t>,</w:t>
      </w:r>
      <w:r w:rsidRPr="005A464E">
        <w:rPr>
          <w:rFonts w:asciiTheme="minorHAnsi" w:hAnsiTheme="minorHAnsi" w:cstheme="minorHAnsi"/>
          <w:lang w:val="en-US"/>
        </w:rPr>
        <w:t xml:space="preserve"> 43-47.</w:t>
      </w:r>
      <w:r w:rsidRPr="005A464E">
        <w:rPr>
          <w:rStyle w:val="1Char"/>
          <w:rFonts w:asciiTheme="minorHAnsi" w:eastAsia="Calibri" w:hAnsiTheme="minorHAnsi" w:cs="Arial"/>
          <w:b w:val="0"/>
          <w:bCs w:val="0"/>
          <w:color w:val="auto"/>
          <w:sz w:val="24"/>
          <w:szCs w:val="24"/>
          <w:bdr w:val="none" w:sz="0" w:space="0" w:color="auto" w:frame="1"/>
          <w:shd w:val="clear" w:color="auto" w:fill="FFFFFF"/>
          <w:lang w:val="en-US"/>
        </w:rPr>
        <w:t xml:space="preserve"> </w:t>
      </w:r>
      <w:r w:rsidR="00292B29" w:rsidRPr="005A464E">
        <w:rPr>
          <w:rStyle w:val="article-headermeta-info-label"/>
          <w:rFonts w:asciiTheme="minorHAnsi" w:hAnsiTheme="minorHAnsi" w:cstheme="minorHAnsi"/>
          <w:bCs/>
          <w:bdr w:val="none" w:sz="0" w:space="0" w:color="auto" w:frame="1"/>
          <w:shd w:val="clear" w:color="auto" w:fill="FFFFFF"/>
          <w:lang w:val="en-US"/>
        </w:rPr>
        <w:t>DOI</w:t>
      </w:r>
      <w:r w:rsidRPr="005A464E">
        <w:rPr>
          <w:rStyle w:val="article-headermeta-info-label"/>
          <w:rFonts w:asciiTheme="minorHAnsi" w:hAnsiTheme="minorHAnsi" w:cstheme="minorHAnsi"/>
          <w:bCs/>
          <w:bdr w:val="none" w:sz="0" w:space="0" w:color="auto" w:frame="1"/>
          <w:shd w:val="clear" w:color="auto" w:fill="FFFFFF"/>
          <w:lang w:val="en-US"/>
        </w:rPr>
        <w:t>:</w:t>
      </w:r>
      <w:r w:rsidRPr="005A464E">
        <w:rPr>
          <w:rStyle w:val="apple-converted-space"/>
          <w:rFonts w:asciiTheme="minorHAnsi" w:hAnsiTheme="minorHAnsi" w:cstheme="minorHAnsi"/>
          <w:bCs/>
          <w:bdr w:val="none" w:sz="0" w:space="0" w:color="auto" w:frame="1"/>
          <w:shd w:val="clear" w:color="auto" w:fill="FFFFFF"/>
          <w:lang w:val="en-US"/>
        </w:rPr>
        <w:t> </w:t>
      </w:r>
      <w:r w:rsidRPr="005A464E">
        <w:rPr>
          <w:rStyle w:val="article-headermeta-info-data"/>
          <w:rFonts w:asciiTheme="minorHAnsi" w:hAnsiTheme="minorHAnsi" w:cstheme="minorHAnsi"/>
          <w:bdr w:val="none" w:sz="0" w:space="0" w:color="auto" w:frame="1"/>
          <w:shd w:val="clear" w:color="auto" w:fill="FFFFFF"/>
          <w:lang w:val="en-US"/>
        </w:rPr>
        <w:t>10.1046/j.1365-277X.2002.00331.x</w:t>
      </w:r>
      <w:r w:rsidR="001A252E" w:rsidRPr="005A464E">
        <w:rPr>
          <w:rStyle w:val="article-headermeta-info-data"/>
          <w:rFonts w:asciiTheme="minorHAnsi" w:hAnsiTheme="minorHAnsi" w:cstheme="minorHAnsi"/>
          <w:bdr w:val="none" w:sz="0" w:space="0" w:color="auto" w:frame="1"/>
          <w:shd w:val="clear" w:color="auto" w:fill="FFFFFF"/>
          <w:lang w:val="en-US"/>
        </w:rPr>
        <w:t>.</w:t>
      </w:r>
    </w:p>
    <w:p w:rsidR="007B006D"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Cavanaugh, K.L., Wingard, R.L., Hakim, R.M., Elasy, T.A., &amp; Ikizler TA. </w:t>
      </w:r>
      <w:r w:rsidR="007B006D" w:rsidRPr="005A464E">
        <w:rPr>
          <w:rFonts w:asciiTheme="minorHAnsi" w:hAnsiTheme="minorHAnsi" w:cstheme="minorHAnsi"/>
          <w:lang w:val="en-US"/>
        </w:rPr>
        <w:t xml:space="preserve">(2009). </w:t>
      </w:r>
      <w:r w:rsidRPr="005A464E">
        <w:rPr>
          <w:rFonts w:asciiTheme="minorHAnsi" w:hAnsiTheme="minorHAnsi" w:cstheme="minorHAnsi"/>
          <w:lang w:val="en-US"/>
        </w:rPr>
        <w:t xml:space="preserve">Patient dialysis knowledge is associated with permanent arteriovenous access use in chronic hemodialysis. </w:t>
      </w:r>
      <w:r w:rsidRPr="005A464E">
        <w:rPr>
          <w:rFonts w:asciiTheme="minorHAnsi" w:hAnsiTheme="minorHAnsi" w:cstheme="minorHAnsi"/>
          <w:i/>
          <w:lang w:val="en-US"/>
        </w:rPr>
        <w:t>Clinical Journal of American Society Nephrology,</w:t>
      </w:r>
      <w:r w:rsidR="0078495A">
        <w:rPr>
          <w:rFonts w:asciiTheme="minorHAnsi" w:hAnsiTheme="minorHAnsi" w:cstheme="minorHAnsi"/>
          <w:lang w:val="en-US"/>
        </w:rPr>
        <w:t xml:space="preserve"> </w:t>
      </w:r>
      <w:r w:rsidR="00ED3043" w:rsidRPr="00ED3043">
        <w:rPr>
          <w:rFonts w:asciiTheme="minorHAnsi" w:hAnsiTheme="minorHAnsi" w:cstheme="minorHAnsi"/>
          <w:i/>
          <w:lang w:val="en-US"/>
        </w:rPr>
        <w:t>4</w:t>
      </w:r>
      <w:r w:rsidRPr="005A464E">
        <w:rPr>
          <w:rFonts w:asciiTheme="minorHAnsi" w:hAnsiTheme="minorHAnsi" w:cstheme="minorHAnsi"/>
          <w:lang w:val="en-US"/>
        </w:rPr>
        <w:t>,</w:t>
      </w:r>
      <w:r w:rsidR="00ED3043">
        <w:rPr>
          <w:rFonts w:asciiTheme="minorHAnsi" w:hAnsiTheme="minorHAnsi" w:cstheme="minorHAnsi"/>
          <w:lang w:val="en-US"/>
        </w:rPr>
        <w:t xml:space="preserve"> </w:t>
      </w:r>
      <w:r w:rsidRPr="005A464E">
        <w:rPr>
          <w:rFonts w:asciiTheme="minorHAnsi" w:hAnsiTheme="minorHAnsi" w:cstheme="minorHAnsi"/>
          <w:lang w:val="en-US"/>
        </w:rPr>
        <w:t>950-956.</w:t>
      </w:r>
    </w:p>
    <w:p w:rsidR="007B006D" w:rsidRPr="005A464E" w:rsidRDefault="007B006D" w:rsidP="005A464E">
      <w:pPr>
        <w:pStyle w:val="Web"/>
        <w:spacing w:after="166" w:line="360" w:lineRule="auto"/>
        <w:ind w:left="415" w:hanging="415"/>
        <w:jc w:val="both"/>
        <w:rPr>
          <w:rFonts w:asciiTheme="minorHAnsi" w:hAnsiTheme="minorHAnsi" w:cstheme="minorHAnsi"/>
          <w:lang w:val="en-US"/>
        </w:rPr>
      </w:pPr>
      <w:r w:rsidRPr="005A464E">
        <w:rPr>
          <w:rFonts w:asciiTheme="minorHAnsi" w:eastAsia="Times New Roman" w:hAnsiTheme="minorHAnsi"/>
          <w:color w:val="000000"/>
          <w:lang w:val="en-US" w:eastAsia="el-GR"/>
        </w:rPr>
        <w:t>Cavanaugh, K.L., Wingard, R.L., Hakim, R.M.,</w:t>
      </w:r>
      <w:r w:rsidRPr="005A464E">
        <w:rPr>
          <w:rFonts w:asciiTheme="minorHAnsi" w:hAnsiTheme="minorHAnsi"/>
          <w:lang w:val="en-US"/>
        </w:rPr>
        <w:t xml:space="preserve"> </w:t>
      </w:r>
      <w:hyperlink r:id="rId134" w:history="1">
        <w:r w:rsidRPr="005A464E">
          <w:rPr>
            <w:rStyle w:val="-"/>
            <w:rFonts w:asciiTheme="minorHAnsi" w:hAnsiTheme="minorHAnsi" w:cs="Arial"/>
            <w:color w:val="auto"/>
            <w:u w:val="none"/>
            <w:shd w:val="clear" w:color="auto" w:fill="FFFFFF"/>
            <w:lang w:val="en-US"/>
          </w:rPr>
          <w:t>Eden</w:t>
        </w:r>
        <w:r w:rsidR="00A07F2D" w:rsidRPr="005A464E">
          <w:rPr>
            <w:rStyle w:val="-"/>
            <w:rFonts w:asciiTheme="minorHAnsi" w:hAnsiTheme="minorHAnsi" w:cs="Arial"/>
            <w:color w:val="auto"/>
            <w:u w:val="none"/>
            <w:shd w:val="clear" w:color="auto" w:fill="FFFFFF"/>
            <w:lang w:val="en-US"/>
          </w:rPr>
          <w:t>,</w:t>
        </w:r>
        <w:r w:rsidRPr="005A464E">
          <w:rPr>
            <w:rStyle w:val="-"/>
            <w:rFonts w:asciiTheme="minorHAnsi" w:hAnsiTheme="minorHAnsi" w:cs="Arial"/>
            <w:color w:val="auto"/>
            <w:u w:val="none"/>
            <w:shd w:val="clear" w:color="auto" w:fill="FFFFFF"/>
            <w:lang w:val="en-US"/>
          </w:rPr>
          <w:t xml:space="preserve"> S</w:t>
        </w:r>
      </w:hyperlink>
      <w:r w:rsidR="00A07F2D" w:rsidRPr="005A464E">
        <w:rPr>
          <w:rFonts w:asciiTheme="minorHAnsi" w:hAnsiTheme="minorHAnsi"/>
          <w:lang w:val="en-US"/>
        </w:rPr>
        <w:t>.</w:t>
      </w:r>
      <w:r w:rsidRPr="005A464E">
        <w:rPr>
          <w:rFonts w:asciiTheme="minorHAnsi" w:hAnsiTheme="minorHAnsi" w:cs="Arial"/>
          <w:shd w:val="clear" w:color="auto" w:fill="FFFFFF"/>
          <w:lang w:val="en-US"/>
        </w:rPr>
        <w:t>, </w:t>
      </w:r>
      <w:hyperlink r:id="rId135" w:history="1">
        <w:r w:rsidRPr="005A464E">
          <w:rPr>
            <w:rStyle w:val="-"/>
            <w:rFonts w:asciiTheme="minorHAnsi" w:hAnsiTheme="minorHAnsi" w:cs="Arial"/>
            <w:color w:val="auto"/>
            <w:u w:val="none"/>
            <w:shd w:val="clear" w:color="auto" w:fill="FFFFFF"/>
            <w:lang w:val="en-US"/>
          </w:rPr>
          <w:t>Shintani</w:t>
        </w:r>
        <w:r w:rsidR="00A07F2D" w:rsidRPr="005A464E">
          <w:rPr>
            <w:rStyle w:val="-"/>
            <w:rFonts w:asciiTheme="minorHAnsi" w:hAnsiTheme="minorHAnsi" w:cs="Arial"/>
            <w:color w:val="auto"/>
            <w:u w:val="none"/>
            <w:shd w:val="clear" w:color="auto" w:fill="FFFFFF"/>
            <w:lang w:val="en-US"/>
          </w:rPr>
          <w:t>,</w:t>
        </w:r>
        <w:r w:rsidRPr="005A464E">
          <w:rPr>
            <w:rStyle w:val="-"/>
            <w:rFonts w:asciiTheme="minorHAnsi" w:hAnsiTheme="minorHAnsi" w:cs="Arial"/>
            <w:color w:val="auto"/>
            <w:u w:val="none"/>
            <w:shd w:val="clear" w:color="auto" w:fill="FFFFFF"/>
            <w:lang w:val="en-US"/>
          </w:rPr>
          <w:t xml:space="preserve"> A</w:t>
        </w:r>
      </w:hyperlink>
      <w:r w:rsidR="00A07F2D" w:rsidRPr="005A464E">
        <w:rPr>
          <w:rFonts w:asciiTheme="minorHAnsi" w:hAnsiTheme="minorHAnsi"/>
          <w:lang w:val="en-US"/>
        </w:rPr>
        <w:t>.</w:t>
      </w:r>
      <w:r w:rsidRPr="005A464E">
        <w:rPr>
          <w:rFonts w:asciiTheme="minorHAnsi" w:hAnsiTheme="minorHAnsi" w:cs="Arial"/>
          <w:shd w:val="clear" w:color="auto" w:fill="FFFFFF"/>
          <w:lang w:val="en-US"/>
        </w:rPr>
        <w:t>, </w:t>
      </w:r>
      <w:hyperlink r:id="rId136" w:history="1">
        <w:r w:rsidRPr="005A464E">
          <w:rPr>
            <w:rStyle w:val="-"/>
            <w:rFonts w:asciiTheme="minorHAnsi" w:hAnsiTheme="minorHAnsi" w:cs="Arial"/>
            <w:color w:val="auto"/>
            <w:u w:val="none"/>
            <w:shd w:val="clear" w:color="auto" w:fill="FFFFFF"/>
            <w:lang w:val="en-US"/>
          </w:rPr>
          <w:t>Wallston</w:t>
        </w:r>
        <w:r w:rsidR="00A07F2D" w:rsidRPr="005A464E">
          <w:rPr>
            <w:rStyle w:val="-"/>
            <w:rFonts w:asciiTheme="minorHAnsi" w:hAnsiTheme="minorHAnsi" w:cs="Arial"/>
            <w:color w:val="auto"/>
            <w:u w:val="none"/>
            <w:shd w:val="clear" w:color="auto" w:fill="FFFFFF"/>
            <w:lang w:val="en-US"/>
          </w:rPr>
          <w:t>,</w:t>
        </w:r>
        <w:r w:rsidRPr="005A464E">
          <w:rPr>
            <w:rStyle w:val="-"/>
            <w:rFonts w:asciiTheme="minorHAnsi" w:hAnsiTheme="minorHAnsi" w:cs="Arial"/>
            <w:color w:val="auto"/>
            <w:u w:val="none"/>
            <w:shd w:val="clear" w:color="auto" w:fill="FFFFFF"/>
            <w:lang w:val="en-US"/>
          </w:rPr>
          <w:t xml:space="preserve"> K</w:t>
        </w:r>
        <w:r w:rsidR="00A07F2D" w:rsidRPr="005A464E">
          <w:rPr>
            <w:rStyle w:val="-"/>
            <w:rFonts w:asciiTheme="minorHAnsi" w:hAnsiTheme="minorHAnsi" w:cs="Arial"/>
            <w:color w:val="auto"/>
            <w:u w:val="none"/>
            <w:shd w:val="clear" w:color="auto" w:fill="FFFFFF"/>
            <w:lang w:val="en-US"/>
          </w:rPr>
          <w:t>.</w:t>
        </w:r>
        <w:r w:rsidRPr="005A464E">
          <w:rPr>
            <w:rStyle w:val="-"/>
            <w:rFonts w:asciiTheme="minorHAnsi" w:hAnsiTheme="minorHAnsi" w:cs="Arial"/>
            <w:color w:val="auto"/>
            <w:u w:val="none"/>
            <w:shd w:val="clear" w:color="auto" w:fill="FFFFFF"/>
            <w:lang w:val="en-US"/>
          </w:rPr>
          <w:t>A</w:t>
        </w:r>
      </w:hyperlink>
      <w:r w:rsidR="00A07F2D" w:rsidRPr="005A464E">
        <w:rPr>
          <w:rFonts w:asciiTheme="minorHAnsi" w:hAnsiTheme="minorHAnsi"/>
          <w:lang w:val="en-US"/>
        </w:rPr>
        <w:t>.</w:t>
      </w:r>
      <w:r w:rsidRPr="005A464E">
        <w:rPr>
          <w:rFonts w:asciiTheme="minorHAnsi" w:hAnsiTheme="minorHAnsi" w:cs="Arial"/>
          <w:shd w:val="clear" w:color="auto" w:fill="FFFFFF"/>
          <w:lang w:val="en-US"/>
        </w:rPr>
        <w:t>, </w:t>
      </w:r>
      <w:r w:rsidR="00267243" w:rsidRPr="00267243">
        <w:rPr>
          <w:rFonts w:asciiTheme="minorHAnsi" w:hAnsiTheme="minorHAnsi"/>
          <w:lang w:val="en-US"/>
        </w:rPr>
        <w:t>… &amp;</w:t>
      </w:r>
      <w:r w:rsidRPr="00267243">
        <w:rPr>
          <w:rFonts w:asciiTheme="minorHAnsi" w:hAnsiTheme="minorHAnsi" w:cs="Arial"/>
          <w:shd w:val="clear" w:color="auto" w:fill="FFFFFF"/>
          <w:lang w:val="en-US"/>
        </w:rPr>
        <w:t> </w:t>
      </w:r>
      <w:hyperlink r:id="rId137" w:history="1">
        <w:r w:rsidRPr="00267243">
          <w:rPr>
            <w:rStyle w:val="-"/>
            <w:rFonts w:asciiTheme="minorHAnsi" w:hAnsiTheme="minorHAnsi" w:cs="Arial"/>
            <w:color w:val="auto"/>
            <w:u w:val="none"/>
            <w:shd w:val="clear" w:color="auto" w:fill="FFFFFF"/>
            <w:lang w:val="en-US"/>
          </w:rPr>
          <w:t>Ikizler</w:t>
        </w:r>
        <w:r w:rsidR="00A07F2D" w:rsidRPr="00267243">
          <w:rPr>
            <w:rStyle w:val="-"/>
            <w:rFonts w:asciiTheme="minorHAnsi" w:hAnsiTheme="minorHAnsi" w:cs="Arial"/>
            <w:color w:val="auto"/>
            <w:u w:val="none"/>
            <w:shd w:val="clear" w:color="auto" w:fill="FFFFFF"/>
            <w:lang w:val="en-US"/>
          </w:rPr>
          <w:t>,</w:t>
        </w:r>
        <w:r w:rsidRPr="00267243">
          <w:rPr>
            <w:rStyle w:val="-"/>
            <w:rFonts w:asciiTheme="minorHAnsi" w:hAnsiTheme="minorHAnsi" w:cs="Arial"/>
            <w:color w:val="auto"/>
            <w:u w:val="none"/>
            <w:shd w:val="clear" w:color="auto" w:fill="FFFFFF"/>
            <w:lang w:val="en-US"/>
          </w:rPr>
          <w:t xml:space="preserve"> T</w:t>
        </w:r>
        <w:r w:rsidR="00A07F2D" w:rsidRPr="00267243">
          <w:rPr>
            <w:rStyle w:val="-"/>
            <w:rFonts w:asciiTheme="minorHAnsi" w:hAnsiTheme="minorHAnsi" w:cs="Arial"/>
            <w:color w:val="auto"/>
            <w:u w:val="none"/>
            <w:shd w:val="clear" w:color="auto" w:fill="FFFFFF"/>
            <w:lang w:val="en-US"/>
          </w:rPr>
          <w:t>.</w:t>
        </w:r>
        <w:r w:rsidRPr="00267243">
          <w:rPr>
            <w:rStyle w:val="-"/>
            <w:rFonts w:asciiTheme="minorHAnsi" w:hAnsiTheme="minorHAnsi" w:cs="Arial"/>
            <w:color w:val="auto"/>
            <w:u w:val="none"/>
            <w:shd w:val="clear" w:color="auto" w:fill="FFFFFF"/>
            <w:lang w:val="en-US"/>
          </w:rPr>
          <w:t>A</w:t>
        </w:r>
      </w:hyperlink>
      <w:r w:rsidR="00A07F2D" w:rsidRPr="00267243">
        <w:rPr>
          <w:rFonts w:asciiTheme="minorHAnsi" w:hAnsiTheme="minorHAnsi"/>
          <w:lang w:val="en-US"/>
        </w:rPr>
        <w:t>.</w:t>
      </w:r>
      <w:r w:rsidR="001A252E" w:rsidRPr="00267243">
        <w:rPr>
          <w:rFonts w:asciiTheme="minorHAnsi" w:hAnsiTheme="minorHAnsi" w:cs="Arial"/>
          <w:shd w:val="clear" w:color="auto" w:fill="FFFFFF"/>
          <w:lang w:val="en-US"/>
        </w:rPr>
        <w:t xml:space="preserve"> (2010</w:t>
      </w:r>
      <w:r w:rsidR="00A07F2D" w:rsidRPr="00267243">
        <w:rPr>
          <w:rFonts w:asciiTheme="minorHAnsi" w:hAnsiTheme="minorHAnsi" w:cs="Arial"/>
          <w:shd w:val="clear" w:color="auto" w:fill="FFFFFF"/>
          <w:lang w:val="en-US"/>
        </w:rPr>
        <w:t>).</w:t>
      </w:r>
      <w:r w:rsidRPr="00267243">
        <w:rPr>
          <w:rFonts w:asciiTheme="minorHAnsi" w:eastAsia="Times New Roman" w:hAnsiTheme="minorHAnsi"/>
          <w:color w:val="000000"/>
          <w:lang w:val="en-US" w:eastAsia="el-GR"/>
        </w:rPr>
        <w:t xml:space="preserve"> Low health literacy associates with increased mortality</w:t>
      </w:r>
      <w:r w:rsidRPr="005A464E">
        <w:rPr>
          <w:rFonts w:asciiTheme="minorHAnsi" w:eastAsia="Times New Roman" w:hAnsiTheme="minorHAnsi"/>
          <w:color w:val="000000"/>
          <w:lang w:val="en-US" w:eastAsia="el-GR"/>
        </w:rPr>
        <w:t xml:space="preserve"> in ESRD. </w:t>
      </w:r>
      <w:r w:rsidRPr="005A464E">
        <w:rPr>
          <w:rFonts w:asciiTheme="minorHAnsi" w:eastAsia="Times New Roman" w:hAnsiTheme="minorHAnsi"/>
          <w:i/>
          <w:color w:val="000000"/>
          <w:lang w:val="en-US" w:eastAsia="el-GR"/>
        </w:rPr>
        <w:t>Journal of American Society of Nephrology,</w:t>
      </w:r>
      <w:r w:rsidRPr="005A464E">
        <w:rPr>
          <w:rFonts w:asciiTheme="minorHAnsi" w:eastAsia="Times New Roman" w:hAnsiTheme="minorHAnsi"/>
          <w:color w:val="000000"/>
          <w:lang w:val="en-US" w:eastAsia="el-GR"/>
        </w:rPr>
        <w:t xml:space="preserve"> </w:t>
      </w:r>
      <w:r w:rsidRPr="00ED3043">
        <w:rPr>
          <w:rFonts w:asciiTheme="minorHAnsi" w:eastAsia="Times New Roman" w:hAnsiTheme="minorHAnsi"/>
          <w:i/>
          <w:color w:val="000000"/>
          <w:lang w:val="en-US" w:eastAsia="el-GR"/>
        </w:rPr>
        <w:t>21</w:t>
      </w:r>
      <w:r w:rsidRPr="005A464E">
        <w:rPr>
          <w:rFonts w:asciiTheme="minorHAnsi" w:eastAsia="Times New Roman" w:hAnsiTheme="minorHAnsi"/>
          <w:color w:val="000000"/>
          <w:lang w:val="en-US" w:eastAsia="el-GR"/>
        </w:rPr>
        <w:t>:1979-19</w:t>
      </w:r>
      <w:r w:rsidRPr="005A464E">
        <w:rPr>
          <w:rFonts w:asciiTheme="minorHAnsi" w:eastAsia="Times New Roman" w:hAnsiTheme="minorHAnsi"/>
          <w:lang w:val="en-US" w:eastAsia="el-GR"/>
        </w:rPr>
        <w:t>85.</w:t>
      </w:r>
      <w:r w:rsidRPr="005A464E">
        <w:rPr>
          <w:rFonts w:asciiTheme="minorHAnsi" w:hAnsiTheme="minorHAnsi" w:cs="Arial"/>
          <w:lang w:val="en-US"/>
        </w:rPr>
        <w:t xml:space="preserve"> </w:t>
      </w:r>
      <w:r w:rsidR="00292B29" w:rsidRPr="005A464E">
        <w:rPr>
          <w:rFonts w:asciiTheme="minorHAnsi" w:hAnsiTheme="minorHAnsi" w:cs="Arial"/>
          <w:lang w:val="en-US"/>
        </w:rPr>
        <w:t>DOI</w:t>
      </w:r>
      <w:r w:rsidRPr="005A464E">
        <w:rPr>
          <w:rFonts w:asciiTheme="minorHAnsi" w:hAnsiTheme="minorHAnsi" w:cs="Arial"/>
          <w:lang w:val="en-US"/>
        </w:rPr>
        <w:t>:</w:t>
      </w:r>
      <w:hyperlink r:id="rId138" w:history="1">
        <w:r w:rsidRPr="005A464E">
          <w:rPr>
            <w:rStyle w:val="-"/>
            <w:rFonts w:asciiTheme="minorHAnsi" w:hAnsiTheme="minorHAnsi" w:cs="Arial"/>
            <w:color w:val="auto"/>
            <w:u w:val="none"/>
            <w:lang w:val="en-US"/>
          </w:rPr>
          <w:t>10.1681/ASN.2009111163</w:t>
        </w:r>
      </w:hyperlink>
      <w:r w:rsidR="000525C6"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Chan, C., &amp; Greene, G. (1994). Dietary compliance among young hemodialysis patients. </w:t>
      </w:r>
      <w:r w:rsidRPr="005A464E">
        <w:rPr>
          <w:rFonts w:asciiTheme="minorHAnsi" w:hAnsiTheme="minorHAnsi" w:cstheme="minorHAnsi"/>
          <w:i/>
          <w:lang w:val="en-US"/>
        </w:rPr>
        <w:t>Dialysis &amp;</w:t>
      </w:r>
      <w:r w:rsidR="000525C6" w:rsidRPr="005A464E">
        <w:rPr>
          <w:rFonts w:asciiTheme="minorHAnsi" w:hAnsiTheme="minorHAnsi" w:cstheme="minorHAnsi"/>
          <w:i/>
          <w:lang w:val="en-US"/>
        </w:rPr>
        <w:t xml:space="preserve"> </w:t>
      </w:r>
      <w:r w:rsidRPr="005A464E">
        <w:rPr>
          <w:rFonts w:asciiTheme="minorHAnsi" w:hAnsiTheme="minorHAnsi" w:cstheme="minorHAnsi"/>
          <w:i/>
          <w:lang w:val="en-US"/>
        </w:rPr>
        <w:t>Transplantation,</w:t>
      </w:r>
      <w:r w:rsidR="00ED3043">
        <w:rPr>
          <w:rFonts w:asciiTheme="minorHAnsi" w:hAnsiTheme="minorHAnsi" w:cstheme="minorHAnsi"/>
          <w:lang w:val="en-US"/>
        </w:rPr>
        <w:t xml:space="preserve"> </w:t>
      </w:r>
      <w:r w:rsidR="00ED3043" w:rsidRPr="00ED3043">
        <w:rPr>
          <w:rFonts w:asciiTheme="minorHAnsi" w:hAnsiTheme="minorHAnsi" w:cstheme="minorHAnsi"/>
          <w:i/>
          <w:lang w:val="en-US"/>
        </w:rPr>
        <w:t>23</w:t>
      </w:r>
      <w:r w:rsidRPr="00ED3043">
        <w:rPr>
          <w:rFonts w:asciiTheme="minorHAnsi" w:hAnsiTheme="minorHAnsi" w:cstheme="minorHAnsi"/>
          <w:i/>
          <w:lang w:val="en-US"/>
        </w:rPr>
        <w:t>,</w:t>
      </w:r>
      <w:r w:rsidRPr="005A464E">
        <w:rPr>
          <w:rFonts w:asciiTheme="minorHAnsi" w:hAnsiTheme="minorHAnsi" w:cstheme="minorHAnsi"/>
          <w:lang w:val="en-US"/>
        </w:rPr>
        <w:t xml:space="preserve"> 184- 189.</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Chan, Y., Zalilah, M., &amp; Hii, S. (2012). Determinants of compliance behaviours among patients undergoing haemodialysis in Malaysia. </w:t>
      </w:r>
      <w:r w:rsidRPr="005A464E">
        <w:rPr>
          <w:rFonts w:asciiTheme="minorHAnsi" w:hAnsiTheme="minorHAnsi" w:cstheme="minorHAnsi"/>
          <w:i/>
          <w:lang w:val="en-US"/>
        </w:rPr>
        <w:t>PLoSOne</w:t>
      </w:r>
      <w:r w:rsidR="000525C6" w:rsidRPr="005A464E">
        <w:rPr>
          <w:rFonts w:asciiTheme="minorHAnsi" w:hAnsiTheme="minorHAnsi" w:cstheme="minorHAnsi"/>
          <w:lang w:val="en-US"/>
        </w:rPr>
        <w:t>,</w:t>
      </w:r>
      <w:r w:rsidR="000525C6" w:rsidRPr="00ED3043">
        <w:rPr>
          <w:rFonts w:asciiTheme="minorHAnsi" w:hAnsiTheme="minorHAnsi" w:cstheme="minorHAnsi"/>
          <w:i/>
          <w:lang w:val="en-US"/>
        </w:rPr>
        <w:t xml:space="preserve"> 7</w:t>
      </w:r>
      <w:r w:rsidR="000525C6" w:rsidRPr="005A464E">
        <w:rPr>
          <w:rFonts w:asciiTheme="minorHAnsi" w:hAnsiTheme="minorHAnsi" w:cstheme="minorHAnsi"/>
          <w:lang w:val="en-US"/>
        </w:rPr>
        <w:t xml:space="preserve">: </w:t>
      </w:r>
      <w:r w:rsidRPr="005A464E">
        <w:rPr>
          <w:rFonts w:asciiTheme="minorHAnsi" w:hAnsiTheme="minorHAnsi" w:cstheme="minorHAnsi"/>
          <w:lang w:val="en-US"/>
        </w:rPr>
        <w:t>e41362.</w:t>
      </w:r>
      <w:r w:rsidRPr="005A464E">
        <w:rPr>
          <w:rFonts w:asciiTheme="minorHAnsi" w:hAnsiTheme="minorHAnsi" w:cs="Arial"/>
          <w:lang w:val="en-US"/>
        </w:rPr>
        <w:t xml:space="preserve"> </w:t>
      </w:r>
      <w:hyperlink r:id="rId139"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.org/10.1371/journal.pone.0041362</w:t>
        </w:r>
      </w:hyperlink>
      <w:r w:rsidR="000525C6"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lang w:val="en-US"/>
        </w:rPr>
        <w:t xml:space="preserve">Charalambous, A., Papadopoulos, I.R., &amp; Beadsmoore, A. (2008). Listening to the voices of patients with cancer, their advocates and their nurses: A hermeneutic-phenomenological study of quality nursing care. </w:t>
      </w:r>
      <w:r w:rsidRPr="005A464E">
        <w:rPr>
          <w:rFonts w:asciiTheme="minorHAnsi" w:hAnsiTheme="minorHAnsi" w:cstheme="minorHAnsi"/>
          <w:i/>
          <w:lang w:val="en-US"/>
        </w:rPr>
        <w:t>European Journal of Oncology Nursing,</w:t>
      </w:r>
      <w:r w:rsidR="003C5A96">
        <w:rPr>
          <w:rFonts w:asciiTheme="minorHAnsi" w:hAnsiTheme="minorHAnsi" w:cstheme="minorHAnsi"/>
          <w:lang w:val="en-US"/>
        </w:rPr>
        <w:t xml:space="preserve"> </w:t>
      </w:r>
      <w:r w:rsidR="003C5A96" w:rsidRPr="003C5A96">
        <w:rPr>
          <w:rFonts w:asciiTheme="minorHAnsi" w:hAnsiTheme="minorHAnsi" w:cstheme="minorHAnsi"/>
          <w:i/>
          <w:lang w:val="en-US"/>
        </w:rPr>
        <w:t>12</w:t>
      </w:r>
      <w:r w:rsidRPr="003C5A96">
        <w:rPr>
          <w:rFonts w:asciiTheme="minorHAnsi" w:hAnsiTheme="minorHAnsi" w:cstheme="minorHAnsi"/>
          <w:i/>
          <w:lang w:val="en-US"/>
        </w:rPr>
        <w:t>,</w:t>
      </w:r>
      <w:r w:rsidR="000525C6" w:rsidRPr="005A464E">
        <w:rPr>
          <w:rFonts w:asciiTheme="minorHAnsi" w:hAnsiTheme="minorHAnsi" w:cstheme="minorHAnsi"/>
          <w:lang w:val="en-US"/>
        </w:rPr>
        <w:t xml:space="preserve"> </w:t>
      </w:r>
      <w:r w:rsidRPr="005A464E">
        <w:rPr>
          <w:rFonts w:asciiTheme="minorHAnsi" w:hAnsiTheme="minorHAnsi" w:cstheme="minorHAnsi"/>
          <w:lang w:val="en-US"/>
        </w:rPr>
        <w:t xml:space="preserve">436-442.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 10.1016/j.ejon.2008.05.008</w:t>
      </w:r>
      <w:r w:rsidR="000525C6" w:rsidRPr="005A464E">
        <w:rPr>
          <w:rFonts w:asciiTheme="minorHAnsi" w:hAnsiTheme="minorHAnsi" w:cstheme="minorHAnsi"/>
          <w:shd w:val="clear" w:color="auto" w:fill="FFFFFF"/>
          <w:lang w:val="en-US"/>
        </w:rPr>
        <w:t>.</w:t>
      </w:r>
    </w:p>
    <w:p w:rsidR="003C410F" w:rsidRPr="005A464E" w:rsidRDefault="003C410F" w:rsidP="005A464E">
      <w:pPr>
        <w:pStyle w:val="Web"/>
        <w:spacing w:after="166" w:line="360" w:lineRule="auto"/>
        <w:ind w:left="415" w:hanging="415"/>
        <w:jc w:val="both"/>
        <w:rPr>
          <w:rStyle w:val="article-headermeta-info-data"/>
          <w:rFonts w:asciiTheme="minorHAnsi" w:hAnsiTheme="minorHAnsi" w:cstheme="minorHAnsi"/>
          <w:bdr w:val="none" w:sz="0" w:space="0" w:color="auto" w:frame="1"/>
          <w:shd w:val="clear" w:color="auto" w:fill="FFFFFF"/>
          <w:lang w:val="en-US"/>
        </w:rPr>
      </w:pPr>
      <w:r w:rsidRPr="005A464E">
        <w:rPr>
          <w:rFonts w:asciiTheme="minorHAnsi" w:hAnsiTheme="minorHAnsi" w:cstheme="minorHAnsi"/>
          <w:lang w:val="en-US"/>
        </w:rPr>
        <w:t xml:space="preserve">Chisholm, M.A. (2000). Enhancing transplant patients' adherence to medication therapy. </w:t>
      </w:r>
      <w:r w:rsidRPr="005A464E">
        <w:rPr>
          <w:rFonts w:asciiTheme="minorHAnsi" w:hAnsiTheme="minorHAnsi" w:cstheme="minorHAnsi"/>
          <w:i/>
          <w:lang w:val="en-US"/>
        </w:rPr>
        <w:t>Clinical Transplantation,</w:t>
      </w:r>
      <w:r w:rsidR="003C5A96">
        <w:rPr>
          <w:rFonts w:asciiTheme="minorHAnsi" w:hAnsiTheme="minorHAnsi" w:cstheme="minorHAnsi"/>
          <w:lang w:val="en-US"/>
        </w:rPr>
        <w:t xml:space="preserve"> </w:t>
      </w:r>
      <w:r w:rsidR="003C5A96" w:rsidRPr="003C5A96">
        <w:rPr>
          <w:rFonts w:asciiTheme="minorHAnsi" w:hAnsiTheme="minorHAnsi" w:cstheme="minorHAnsi"/>
          <w:i/>
          <w:lang w:val="en-US"/>
        </w:rPr>
        <w:t>16</w:t>
      </w:r>
      <w:r w:rsidR="000525C6" w:rsidRPr="003C5A96">
        <w:rPr>
          <w:rFonts w:asciiTheme="minorHAnsi" w:hAnsiTheme="minorHAnsi" w:cstheme="minorHAnsi"/>
          <w:i/>
          <w:lang w:val="en-US"/>
        </w:rPr>
        <w:t>,</w:t>
      </w:r>
      <w:r w:rsidR="000525C6" w:rsidRPr="005A464E">
        <w:rPr>
          <w:rFonts w:asciiTheme="minorHAnsi" w:hAnsiTheme="minorHAnsi" w:cstheme="minorHAnsi"/>
          <w:lang w:val="en-US"/>
        </w:rPr>
        <w:t xml:space="preserve"> </w:t>
      </w:r>
      <w:r w:rsidRPr="005A464E">
        <w:rPr>
          <w:rFonts w:asciiTheme="minorHAnsi" w:hAnsiTheme="minorHAnsi" w:cstheme="minorHAnsi"/>
          <w:lang w:val="en-US"/>
        </w:rPr>
        <w:t>30-38.</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Chiu, Y.W, Teitelbaum, I., Misra, M., de Leon, E.M., Adzize, T., &amp; Mehrotra</w:t>
      </w:r>
      <w:r w:rsidR="000525C6" w:rsidRPr="005A464E">
        <w:rPr>
          <w:rFonts w:asciiTheme="minorHAnsi" w:eastAsia="Times New Roman" w:hAnsiTheme="minorHAnsi" w:cstheme="minorHAnsi"/>
          <w:lang w:val="en-US" w:eastAsia="el-GR"/>
        </w:rPr>
        <w:t>,</w:t>
      </w:r>
      <w:r w:rsidRPr="005A464E">
        <w:rPr>
          <w:rFonts w:asciiTheme="minorHAnsi" w:eastAsia="Times New Roman" w:hAnsiTheme="minorHAnsi" w:cstheme="minorHAnsi"/>
          <w:lang w:val="en-US" w:eastAsia="el-GR"/>
        </w:rPr>
        <w:t xml:space="preserve"> R</w:t>
      </w:r>
      <w:r w:rsidR="000525C6" w:rsidRPr="005A464E">
        <w:rPr>
          <w:rFonts w:asciiTheme="minorHAnsi" w:eastAsia="Times New Roman" w:hAnsiTheme="minorHAnsi" w:cstheme="minorHAnsi"/>
          <w:lang w:val="en-US" w:eastAsia="el-GR"/>
        </w:rPr>
        <w:t>.</w:t>
      </w:r>
      <w:r w:rsidRPr="005A464E">
        <w:rPr>
          <w:rFonts w:asciiTheme="minorHAnsi" w:eastAsia="Times New Roman" w:hAnsiTheme="minorHAnsi" w:cstheme="minorHAnsi"/>
          <w:lang w:val="en-US" w:eastAsia="el-GR"/>
        </w:rPr>
        <w:t xml:space="preserve"> (2009). Pill burden, adherence, hyperphosphatemia, and quality of life in maintenance dialysis patients. </w:t>
      </w:r>
      <w:r w:rsidRPr="005A464E">
        <w:rPr>
          <w:rFonts w:asciiTheme="minorHAnsi" w:eastAsia="Times New Roman" w:hAnsiTheme="minorHAnsi" w:cstheme="minorHAnsi"/>
          <w:i/>
          <w:lang w:val="en-US" w:eastAsia="el-GR"/>
        </w:rPr>
        <w:t>Clinical Journal of American Society of Nephrology</w:t>
      </w:r>
      <w:r w:rsidR="003C5A96">
        <w:rPr>
          <w:rFonts w:asciiTheme="minorHAnsi" w:eastAsia="Times New Roman" w:hAnsiTheme="minorHAnsi" w:cstheme="minorHAnsi"/>
          <w:lang w:val="en-US" w:eastAsia="el-GR"/>
        </w:rPr>
        <w:t xml:space="preserve">, </w:t>
      </w:r>
      <w:r w:rsidR="003C5A96" w:rsidRPr="003C5A96">
        <w:rPr>
          <w:rFonts w:asciiTheme="minorHAnsi" w:eastAsia="Times New Roman" w:hAnsiTheme="minorHAnsi" w:cstheme="minorHAnsi"/>
          <w:i/>
          <w:lang w:val="en-US" w:eastAsia="el-GR"/>
        </w:rPr>
        <w:t>4</w:t>
      </w:r>
      <w:r w:rsidRPr="005A464E">
        <w:rPr>
          <w:rFonts w:asciiTheme="minorHAnsi" w:eastAsia="Times New Roman" w:hAnsiTheme="minorHAnsi" w:cstheme="minorHAnsi"/>
          <w:lang w:val="en-US" w:eastAsia="el-GR"/>
        </w:rPr>
        <w:t>,</w:t>
      </w:r>
      <w:r w:rsidR="003C5A96">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1089–1096.</w:t>
      </w:r>
      <w:r w:rsidRPr="005A464E">
        <w:rPr>
          <w:rFonts w:asciiTheme="minorHAnsi" w:hAnsiTheme="minorHAnsi" w:cstheme="minorHAnsi"/>
          <w:shd w:val="clear" w:color="auto" w:fill="FFFFFF"/>
          <w:lang w:val="en-US"/>
        </w:rPr>
        <w:t xml:space="preserve">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 10.2215/CJN.00290109</w:t>
      </w:r>
      <w:r w:rsidR="000525C6" w:rsidRPr="005A464E">
        <w:rPr>
          <w:rFonts w:asciiTheme="minorHAnsi" w:hAnsiTheme="minorHAnsi" w:cstheme="minorHAnsi"/>
          <w:shd w:val="clear" w:color="auto" w:fill="FFFFFF"/>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eastAsia="Times New Roman" w:hAnsiTheme="minorHAnsi" w:cstheme="minorHAnsi"/>
          <w:lang w:val="en-US" w:eastAsia="el-GR"/>
        </w:rPr>
        <w:t xml:space="preserve">Chow, S., </w:t>
      </w:r>
      <w:r w:rsidR="000525C6" w:rsidRPr="005A464E">
        <w:rPr>
          <w:rFonts w:asciiTheme="minorHAnsi" w:eastAsia="Times New Roman" w:hAnsiTheme="minorHAnsi" w:cstheme="minorHAnsi"/>
          <w:lang w:val="en-US" w:eastAsia="el-GR"/>
        </w:rPr>
        <w:t xml:space="preserve">&amp; </w:t>
      </w:r>
      <w:r w:rsidRPr="005A464E">
        <w:rPr>
          <w:rFonts w:asciiTheme="minorHAnsi" w:eastAsia="Times New Roman" w:hAnsiTheme="minorHAnsi" w:cstheme="minorHAnsi"/>
          <w:lang w:val="en-US" w:eastAsia="el-GR"/>
        </w:rPr>
        <w:t xml:space="preserve">Wong F. (2010). Health-related quality of life in patients undergoing peritoneal dialysis: effects of a nurse-led case management programme. </w:t>
      </w:r>
      <w:r w:rsidRPr="005A464E">
        <w:rPr>
          <w:rFonts w:asciiTheme="minorHAnsi" w:eastAsia="Times New Roman" w:hAnsiTheme="minorHAnsi" w:cstheme="minorHAnsi"/>
          <w:i/>
          <w:lang w:val="en-US" w:eastAsia="el-GR"/>
        </w:rPr>
        <w:t>Journal of Advanced Nursing</w:t>
      </w:r>
      <w:r w:rsidR="000525C6" w:rsidRPr="005A464E">
        <w:rPr>
          <w:rFonts w:asciiTheme="minorHAnsi" w:eastAsia="Times New Roman" w:hAnsiTheme="minorHAnsi" w:cstheme="minorHAnsi"/>
          <w:lang w:val="en-US" w:eastAsia="el-GR"/>
        </w:rPr>
        <w:t xml:space="preserve">, </w:t>
      </w:r>
      <w:r w:rsidR="000525C6" w:rsidRPr="003C5A96">
        <w:rPr>
          <w:rFonts w:asciiTheme="minorHAnsi" w:eastAsia="Times New Roman" w:hAnsiTheme="minorHAnsi" w:cstheme="minorHAnsi"/>
          <w:i/>
          <w:lang w:val="en-US" w:eastAsia="el-GR"/>
        </w:rPr>
        <w:t>66</w:t>
      </w:r>
      <w:r w:rsidR="000525C6" w:rsidRPr="005A464E">
        <w:rPr>
          <w:rFonts w:asciiTheme="minorHAnsi" w:eastAsia="Times New Roman" w:hAnsiTheme="minorHAnsi" w:cstheme="minorHAnsi"/>
          <w:lang w:val="en-US" w:eastAsia="el-GR"/>
        </w:rPr>
        <w:t>:</w:t>
      </w:r>
      <w:r w:rsidRPr="005A464E">
        <w:rPr>
          <w:rFonts w:asciiTheme="minorHAnsi" w:eastAsia="Times New Roman" w:hAnsiTheme="minorHAnsi" w:cstheme="minorHAnsi"/>
          <w:lang w:val="en-US" w:eastAsia="el-GR"/>
        </w:rPr>
        <w:t>1780-1792.</w:t>
      </w:r>
      <w:r w:rsidRPr="005A464E">
        <w:rPr>
          <w:rFonts w:asciiTheme="minorHAnsi" w:hAnsiTheme="minorHAnsi" w:cstheme="minorHAnsi"/>
          <w:shd w:val="clear" w:color="auto" w:fill="FFFFFF"/>
          <w:lang w:val="en-US"/>
        </w:rPr>
        <w:t xml:space="preserve">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 10.1111/j.1365-2648.2010.05324.x</w:t>
      </w:r>
      <w:r w:rsidR="000525C6" w:rsidRPr="005A464E">
        <w:rPr>
          <w:rFonts w:asciiTheme="minorHAnsi" w:hAnsiTheme="minorHAnsi" w:cstheme="minorHAnsi"/>
          <w:shd w:val="clear" w:color="auto" w:fill="FFFFFF"/>
          <w:lang w:val="en-US"/>
        </w:rPr>
        <w:t>.</w:t>
      </w:r>
    </w:p>
    <w:p w:rsidR="003C410F" w:rsidRPr="005A464E" w:rsidRDefault="003C410F" w:rsidP="005A464E">
      <w:pPr>
        <w:pStyle w:val="Web"/>
        <w:spacing w:after="166" w:line="360" w:lineRule="auto"/>
        <w:ind w:left="415" w:hanging="415"/>
        <w:jc w:val="both"/>
        <w:rPr>
          <w:rFonts w:asciiTheme="minorHAnsi" w:hAnsiTheme="minorHAnsi"/>
          <w:lang w:val="en-US"/>
        </w:rPr>
      </w:pPr>
      <w:r w:rsidRPr="005A464E">
        <w:rPr>
          <w:rFonts w:asciiTheme="minorHAnsi" w:eastAsia="Times New Roman" w:hAnsiTheme="minorHAnsi" w:cstheme="minorHAnsi"/>
          <w:lang w:val="en-US" w:eastAsia="el-GR"/>
        </w:rPr>
        <w:t xml:space="preserve">Christensen, A.J., &amp; Ehlers, S.L. (2002). Psychological factors in end-stage renal disease: an emerging context for behavioral medicine research. </w:t>
      </w:r>
      <w:r w:rsidRPr="005A464E">
        <w:rPr>
          <w:rFonts w:asciiTheme="minorHAnsi" w:eastAsia="Times New Roman" w:hAnsiTheme="minorHAnsi" w:cstheme="minorHAnsi"/>
          <w:i/>
          <w:lang w:val="en-US" w:eastAsia="el-GR"/>
        </w:rPr>
        <w:t>Journal of Consulting and Clinical Psychology,</w:t>
      </w:r>
      <w:r w:rsidRPr="005A464E">
        <w:rPr>
          <w:rFonts w:asciiTheme="minorHAnsi" w:eastAsia="Times New Roman" w:hAnsiTheme="minorHAnsi" w:cstheme="minorHAnsi"/>
          <w:lang w:val="en-US" w:eastAsia="el-GR"/>
        </w:rPr>
        <w:t xml:space="preserve"> </w:t>
      </w:r>
      <w:r w:rsidRPr="003C5A96">
        <w:rPr>
          <w:rFonts w:asciiTheme="minorHAnsi" w:eastAsia="Times New Roman" w:hAnsiTheme="minorHAnsi" w:cstheme="minorHAnsi"/>
          <w:i/>
          <w:lang w:val="en-US" w:eastAsia="el-GR"/>
        </w:rPr>
        <w:t>70</w:t>
      </w:r>
      <w:r w:rsidRPr="005A464E">
        <w:rPr>
          <w:rFonts w:asciiTheme="minorHAnsi" w:eastAsia="Times New Roman" w:hAnsiTheme="minorHAnsi" w:cstheme="minorHAnsi"/>
          <w:lang w:val="en-US" w:eastAsia="el-GR"/>
        </w:rPr>
        <w:t>, 712-724.</w:t>
      </w:r>
      <w:r w:rsidRPr="005A464E">
        <w:rPr>
          <w:rFonts w:asciiTheme="minorHAnsi" w:hAnsiTheme="minorHAnsi"/>
          <w:lang w:val="en-US"/>
        </w:rPr>
        <w:t xml:space="preserve"> </w:t>
      </w:r>
      <w:hyperlink r:id="rId140" w:tgtFrame="_blank"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.org/10.1037/0022-006X.70.3.712</w:t>
        </w:r>
      </w:hyperlink>
      <w:r w:rsidR="000525C6" w:rsidRPr="005A464E">
        <w:rPr>
          <w:rFonts w:asciiTheme="minorHAnsi" w:hAnsiTheme="minorHAnsi"/>
          <w:lang w:val="en-US"/>
        </w:rPr>
        <w:t>.</w:t>
      </w:r>
    </w:p>
    <w:p w:rsidR="006623A7" w:rsidRPr="005A464E" w:rsidRDefault="006623A7"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Christensen, A.J. (2004).</w:t>
      </w:r>
      <w:r w:rsidR="0078495A">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Patient adherence to medical treatment regimens: Bridging the gap between behavioral science and biomedicine. New Haven and London. Eds., Yale University Press.</w:t>
      </w:r>
    </w:p>
    <w:p w:rsidR="003C410F" w:rsidRPr="005A464E" w:rsidRDefault="003C410F" w:rsidP="005A464E">
      <w:pPr>
        <w:pStyle w:val="Web"/>
        <w:spacing w:after="166" w:line="360" w:lineRule="auto"/>
        <w:ind w:left="415" w:hanging="415"/>
        <w:jc w:val="both"/>
        <w:rPr>
          <w:rFonts w:asciiTheme="minorHAnsi" w:hAnsiTheme="minorHAnsi" w:cstheme="minorHAnsi"/>
          <w:bCs/>
          <w:shd w:val="clear" w:color="auto" w:fill="FFFFFF"/>
          <w:lang w:val="en-US"/>
        </w:rPr>
      </w:pPr>
      <w:r w:rsidRPr="005A464E">
        <w:rPr>
          <w:rFonts w:asciiTheme="minorHAnsi" w:eastAsia="Times New Roman" w:hAnsiTheme="minorHAnsi" w:cstheme="minorHAnsi"/>
          <w:lang w:val="en-US" w:eastAsia="el-GR"/>
        </w:rPr>
        <w:t>Cl</w:t>
      </w:r>
      <w:r w:rsidR="00292B29" w:rsidRPr="005A464E">
        <w:rPr>
          <w:rFonts w:asciiTheme="minorHAnsi" w:eastAsia="Times New Roman" w:hAnsiTheme="minorHAnsi" w:cstheme="minorHAnsi"/>
          <w:lang w:val="en-US" w:eastAsia="el-GR"/>
        </w:rPr>
        <w:t>ark,</w:t>
      </w:r>
      <w:r w:rsidR="005A464E" w:rsidRPr="005A464E">
        <w:rPr>
          <w:rFonts w:asciiTheme="minorHAnsi" w:eastAsia="Times New Roman" w:hAnsiTheme="minorHAnsi" w:cstheme="minorHAnsi"/>
          <w:lang w:val="en-US" w:eastAsia="el-GR"/>
        </w:rPr>
        <w:t xml:space="preserve"> </w:t>
      </w:r>
      <w:r w:rsidR="00292B29" w:rsidRPr="005A464E">
        <w:rPr>
          <w:rFonts w:asciiTheme="minorHAnsi" w:eastAsia="Times New Roman" w:hAnsiTheme="minorHAnsi" w:cstheme="minorHAnsi"/>
          <w:lang w:val="en-US" w:eastAsia="el-GR"/>
        </w:rPr>
        <w:t>W.R., Gao,</w:t>
      </w:r>
      <w:r w:rsidR="005A464E" w:rsidRPr="005A464E">
        <w:rPr>
          <w:rFonts w:asciiTheme="minorHAnsi" w:eastAsia="Times New Roman" w:hAnsiTheme="minorHAnsi" w:cstheme="minorHAnsi"/>
          <w:lang w:val="en-US" w:eastAsia="el-GR"/>
        </w:rPr>
        <w:t xml:space="preserve"> D., &amp; Ronco, </w:t>
      </w:r>
      <w:r w:rsidR="000525C6" w:rsidRPr="005A464E">
        <w:rPr>
          <w:rFonts w:asciiTheme="minorHAnsi" w:eastAsia="Times New Roman" w:hAnsiTheme="minorHAnsi" w:cstheme="minorHAnsi"/>
          <w:lang w:val="en-US" w:eastAsia="el-GR"/>
        </w:rPr>
        <w:t xml:space="preserve">C. </w:t>
      </w:r>
      <w:r w:rsidRPr="005A464E">
        <w:rPr>
          <w:rFonts w:asciiTheme="minorHAnsi" w:eastAsia="Times New Roman" w:hAnsiTheme="minorHAnsi" w:cstheme="minorHAnsi"/>
          <w:lang w:val="en-US" w:eastAsia="el-GR"/>
        </w:rPr>
        <w:t>(2002).</w:t>
      </w:r>
      <w:r w:rsidR="00292B29" w:rsidRPr="005A464E">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kern w:val="36"/>
          <w:lang w:val="en-US" w:eastAsia="el-GR"/>
        </w:rPr>
        <w:t xml:space="preserve">Membranes for dialysis. Composition, structure and function. </w:t>
      </w:r>
      <w:hyperlink r:id="rId141" w:tooltip="Contributions to nephrology." w:history="1">
        <w:r w:rsidRPr="005A464E">
          <w:rPr>
            <w:rFonts w:asciiTheme="minorHAnsi" w:hAnsiTheme="minorHAnsi" w:cstheme="minorHAnsi"/>
            <w:bCs/>
            <w:i/>
            <w:lang w:val="en-US"/>
          </w:rPr>
          <w:t>Contributions to Nephrology,</w:t>
        </w:r>
        <w:r w:rsidRPr="005A464E">
          <w:rPr>
            <w:rFonts w:asciiTheme="minorHAnsi" w:hAnsiTheme="minorHAnsi" w:cstheme="minorHAnsi"/>
            <w:bCs/>
            <w:lang w:val="en-US"/>
          </w:rPr>
          <w:t xml:space="preserve"> </w:t>
        </w:r>
      </w:hyperlink>
      <w:r w:rsidRPr="003C5A96">
        <w:rPr>
          <w:rFonts w:asciiTheme="minorHAnsi" w:hAnsiTheme="minorHAnsi" w:cstheme="minorHAnsi"/>
          <w:bCs/>
          <w:i/>
          <w:shd w:val="clear" w:color="auto" w:fill="FFFFFF"/>
          <w:lang w:val="en-US"/>
        </w:rPr>
        <w:t>137,</w:t>
      </w:r>
      <w:r w:rsidRPr="005A464E">
        <w:rPr>
          <w:rFonts w:asciiTheme="minorHAnsi" w:hAnsiTheme="minorHAnsi" w:cstheme="minorHAnsi"/>
          <w:bCs/>
          <w:shd w:val="clear" w:color="auto" w:fill="FFFFFF"/>
          <w:lang w:val="en-US"/>
        </w:rPr>
        <w:t xml:space="preserve"> 70-77.</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Claxton, A.J., Cramer, J., &amp; Pierce, C. (2001). A systematic review of the associations between dose regimens and medication compliance. </w:t>
      </w:r>
      <w:r w:rsidRPr="005A464E">
        <w:rPr>
          <w:rFonts w:asciiTheme="minorHAnsi" w:eastAsia="Times New Roman" w:hAnsiTheme="minorHAnsi" w:cstheme="minorHAnsi"/>
          <w:i/>
          <w:lang w:val="en-US" w:eastAsia="el-GR"/>
        </w:rPr>
        <w:t>Clinical Therapeutics</w:t>
      </w:r>
      <w:r w:rsidR="003C5A96">
        <w:rPr>
          <w:rFonts w:asciiTheme="minorHAnsi" w:eastAsia="Times New Roman" w:hAnsiTheme="minorHAnsi" w:cstheme="minorHAnsi"/>
          <w:lang w:val="en-US" w:eastAsia="el-GR"/>
        </w:rPr>
        <w:t xml:space="preserve">, </w:t>
      </w:r>
      <w:r w:rsidR="003C5A96" w:rsidRPr="003C5A96">
        <w:rPr>
          <w:rFonts w:asciiTheme="minorHAnsi" w:eastAsia="Times New Roman" w:hAnsiTheme="minorHAnsi" w:cstheme="minorHAnsi"/>
          <w:i/>
          <w:lang w:val="en-US" w:eastAsia="el-GR"/>
        </w:rPr>
        <w:t>23</w:t>
      </w:r>
      <w:r w:rsidRPr="005A464E">
        <w:rPr>
          <w:rFonts w:asciiTheme="minorHAnsi" w:eastAsia="Times New Roman" w:hAnsiTheme="minorHAnsi" w:cstheme="minorHAnsi"/>
          <w:lang w:val="en-US" w:eastAsia="el-GR"/>
        </w:rPr>
        <w:t>,1296-</w:t>
      </w:r>
      <w:r w:rsidR="000525C6" w:rsidRPr="005A464E">
        <w:rPr>
          <w:rFonts w:asciiTheme="minorHAnsi" w:eastAsia="Times New Roman" w:hAnsiTheme="minorHAnsi" w:cstheme="minorHAnsi"/>
          <w:lang w:val="en-US" w:eastAsia="el-GR"/>
        </w:rPr>
        <w:t>1</w:t>
      </w:r>
      <w:r w:rsidRPr="005A464E">
        <w:rPr>
          <w:rFonts w:asciiTheme="minorHAnsi" w:eastAsia="Times New Roman" w:hAnsiTheme="minorHAnsi" w:cstheme="minorHAnsi"/>
          <w:lang w:val="en-US" w:eastAsia="el-GR"/>
        </w:rPr>
        <w:t>310.</w:t>
      </w:r>
      <w:r w:rsidRPr="005A464E">
        <w:rPr>
          <w:rStyle w:val="apple-converted-space"/>
          <w:rFonts w:asciiTheme="minorHAnsi" w:hAnsiTheme="minorHAnsi"/>
          <w:lang w:val="en-US"/>
        </w:rPr>
        <w:t> </w:t>
      </w:r>
      <w:hyperlink r:id="rId142"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.org/10.1016/S0149-2918(01)80109-0</w:t>
        </w:r>
      </w:hyperlink>
      <w:r w:rsidR="000525C6"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Style w:val="article-headermeta-info-data"/>
          <w:rFonts w:asciiTheme="minorHAnsi" w:hAnsiTheme="minorHAnsi" w:cstheme="minorHAnsi"/>
          <w:bdr w:val="none" w:sz="0" w:space="0" w:color="auto" w:frame="1"/>
          <w:shd w:val="clear" w:color="auto" w:fill="FFFFFF"/>
          <w:lang w:val="en-US"/>
        </w:rPr>
      </w:pPr>
      <w:r w:rsidRPr="005A464E">
        <w:rPr>
          <w:rFonts w:asciiTheme="minorHAnsi" w:hAnsiTheme="minorHAnsi" w:cstheme="minorHAnsi"/>
          <w:lang w:val="en-US"/>
        </w:rPr>
        <w:t xml:space="preserve">Cleary, J. (2005). Quality of life of patients on haemodialysis for end-stage renal disease. </w:t>
      </w:r>
      <w:r w:rsidRPr="005A464E">
        <w:rPr>
          <w:rFonts w:asciiTheme="minorHAnsi" w:hAnsiTheme="minorHAnsi" w:cstheme="minorHAnsi"/>
          <w:i/>
          <w:iCs/>
          <w:lang w:val="en-US"/>
        </w:rPr>
        <w:t>Journal of Advanced Nursing</w:t>
      </w:r>
      <w:r w:rsidRPr="005A464E">
        <w:rPr>
          <w:rFonts w:asciiTheme="minorHAnsi" w:hAnsiTheme="minorHAnsi" w:cstheme="minorHAnsi"/>
          <w:iCs/>
          <w:lang w:val="en-US"/>
        </w:rPr>
        <w:t xml:space="preserve">, </w:t>
      </w:r>
      <w:r w:rsidRPr="003C5A96">
        <w:rPr>
          <w:rFonts w:asciiTheme="minorHAnsi" w:hAnsiTheme="minorHAnsi" w:cstheme="minorHAnsi"/>
          <w:i/>
          <w:iCs/>
          <w:lang w:val="en-US"/>
        </w:rPr>
        <w:t>51</w:t>
      </w:r>
      <w:r w:rsidRPr="005A464E">
        <w:rPr>
          <w:rFonts w:asciiTheme="minorHAnsi" w:hAnsiTheme="minorHAnsi" w:cstheme="minorHAnsi"/>
          <w:lang w:val="en-US"/>
        </w:rPr>
        <w:t>, 577-586.</w:t>
      </w:r>
      <w:r w:rsidRPr="005A464E">
        <w:rPr>
          <w:rStyle w:val="1Char"/>
          <w:rFonts w:asciiTheme="minorHAnsi" w:eastAsia="Calibri" w:hAnsiTheme="minorHAnsi" w:cstheme="minorHAnsi"/>
          <w:b w:val="0"/>
          <w:bCs w:val="0"/>
          <w:color w:val="auto"/>
          <w:sz w:val="24"/>
          <w:szCs w:val="24"/>
          <w:bdr w:val="none" w:sz="0" w:space="0" w:color="auto" w:frame="1"/>
          <w:shd w:val="clear" w:color="auto" w:fill="FFFFFF"/>
          <w:lang w:val="en-US"/>
        </w:rPr>
        <w:t xml:space="preserve"> </w:t>
      </w:r>
      <w:r w:rsidR="00292B29" w:rsidRPr="005A464E">
        <w:rPr>
          <w:rStyle w:val="article-headermeta-info-label"/>
          <w:rFonts w:asciiTheme="minorHAnsi" w:hAnsiTheme="minorHAnsi" w:cstheme="minorHAnsi"/>
          <w:bCs/>
          <w:bdr w:val="none" w:sz="0" w:space="0" w:color="auto" w:frame="1"/>
          <w:shd w:val="clear" w:color="auto" w:fill="FFFFFF"/>
          <w:lang w:val="en-US"/>
        </w:rPr>
        <w:t>DOI</w:t>
      </w:r>
      <w:r w:rsidRPr="005A464E">
        <w:rPr>
          <w:rStyle w:val="article-headermeta-info-label"/>
          <w:rFonts w:asciiTheme="minorHAnsi" w:hAnsiTheme="minorHAnsi" w:cstheme="minorHAnsi"/>
          <w:bCs/>
          <w:bdr w:val="none" w:sz="0" w:space="0" w:color="auto" w:frame="1"/>
          <w:shd w:val="clear" w:color="auto" w:fill="FFFFFF"/>
          <w:lang w:val="en-US"/>
        </w:rPr>
        <w:t>:</w:t>
      </w:r>
      <w:r w:rsidRPr="005A464E">
        <w:rPr>
          <w:rStyle w:val="apple-converted-space"/>
          <w:rFonts w:asciiTheme="minorHAnsi" w:hAnsiTheme="minorHAnsi" w:cstheme="minorHAnsi"/>
          <w:bCs/>
          <w:bdr w:val="none" w:sz="0" w:space="0" w:color="auto" w:frame="1"/>
          <w:shd w:val="clear" w:color="auto" w:fill="FFFFFF"/>
          <w:lang w:val="en-US"/>
        </w:rPr>
        <w:t> </w:t>
      </w:r>
      <w:r w:rsidRPr="005A464E">
        <w:rPr>
          <w:rStyle w:val="article-headermeta-info-data"/>
          <w:rFonts w:asciiTheme="minorHAnsi" w:hAnsiTheme="minorHAnsi" w:cstheme="minorHAnsi"/>
          <w:bdr w:val="none" w:sz="0" w:space="0" w:color="auto" w:frame="1"/>
          <w:shd w:val="clear" w:color="auto" w:fill="FFFFFF"/>
          <w:lang w:val="en-US"/>
        </w:rPr>
        <w:t>10.1111/j.1365-2648.2005.03547.x</w:t>
      </w:r>
      <w:r w:rsidR="000525C6" w:rsidRPr="005A464E">
        <w:rPr>
          <w:rStyle w:val="article-headermeta-info-data"/>
          <w:rFonts w:asciiTheme="minorHAnsi" w:hAnsiTheme="minorHAnsi" w:cstheme="minorHAnsi"/>
          <w:bdr w:val="none" w:sz="0" w:space="0" w:color="auto" w:frame="1"/>
          <w:shd w:val="clear" w:color="auto" w:fill="FFFFFF"/>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eastAsia="Times New Roman" w:hAnsiTheme="minorHAnsi" w:cstheme="minorHAnsi"/>
          <w:lang w:val="en-US" w:eastAsia="el-GR"/>
        </w:rPr>
        <w:t xml:space="preserve">Coelho, R., Ramos, S., Prata, J., Bettencourt, P., Ferreira, A., &amp; Cerqueira-Gomes M. (2005). Heart failure and health related quality of life. </w:t>
      </w:r>
      <w:r w:rsidRPr="005A464E">
        <w:rPr>
          <w:rFonts w:asciiTheme="minorHAnsi" w:eastAsia="Times New Roman" w:hAnsiTheme="minorHAnsi" w:cstheme="minorHAnsi"/>
          <w:i/>
          <w:lang w:val="en-US" w:eastAsia="el-GR"/>
        </w:rPr>
        <w:t>Clinical Practice an</w:t>
      </w:r>
      <w:r w:rsidR="000525C6" w:rsidRPr="005A464E">
        <w:rPr>
          <w:rFonts w:asciiTheme="minorHAnsi" w:eastAsia="Times New Roman" w:hAnsiTheme="minorHAnsi" w:cstheme="minorHAnsi"/>
          <w:i/>
          <w:lang w:val="en-US" w:eastAsia="el-GR"/>
        </w:rPr>
        <w:t>d Epidemiology in Mental Health,</w:t>
      </w:r>
      <w:r w:rsidR="0078495A">
        <w:rPr>
          <w:rFonts w:asciiTheme="minorHAnsi" w:eastAsia="Times New Roman" w:hAnsiTheme="minorHAnsi" w:cstheme="minorHAnsi"/>
          <w:i/>
          <w:lang w:val="en-US" w:eastAsia="el-GR"/>
        </w:rPr>
        <w:t xml:space="preserve"> </w:t>
      </w:r>
      <w:r w:rsidR="000525C6" w:rsidRPr="003C5A96">
        <w:rPr>
          <w:rFonts w:asciiTheme="minorHAnsi" w:eastAsia="Times New Roman" w:hAnsiTheme="minorHAnsi" w:cstheme="minorHAnsi"/>
          <w:i/>
          <w:lang w:val="en-US" w:eastAsia="el-GR"/>
        </w:rPr>
        <w:t>1</w:t>
      </w:r>
      <w:r w:rsidR="000525C6" w:rsidRPr="005A464E">
        <w:rPr>
          <w:rFonts w:asciiTheme="minorHAnsi" w:eastAsia="Times New Roman" w:hAnsiTheme="minorHAnsi" w:cstheme="minorHAnsi"/>
          <w:lang w:val="en-US" w:eastAsia="el-GR"/>
        </w:rPr>
        <w:t>:</w:t>
      </w:r>
      <w:r w:rsidRPr="005A464E">
        <w:rPr>
          <w:rFonts w:asciiTheme="minorHAnsi" w:eastAsia="Times New Roman" w:hAnsiTheme="minorHAnsi" w:cstheme="minorHAnsi"/>
          <w:lang w:val="en-US" w:eastAsia="el-GR"/>
        </w:rPr>
        <w:t>19.</w:t>
      </w:r>
      <w:r w:rsidRPr="005A464E">
        <w:rPr>
          <w:rFonts w:asciiTheme="minorHAnsi" w:hAnsiTheme="minorHAnsi" w:cstheme="minorHAnsi"/>
          <w:lang w:val="en-US"/>
        </w:rPr>
        <w:t xml:space="preserve"> </w:t>
      </w:r>
      <w:r w:rsidR="00292B29" w:rsidRPr="005A464E">
        <w:rPr>
          <w:rFonts w:asciiTheme="minorHAnsi" w:hAnsiTheme="minorHAnsi" w:cstheme="minorHAnsi"/>
          <w:lang w:val="en-US"/>
        </w:rPr>
        <w:t>DOI</w:t>
      </w:r>
      <w:r w:rsidRPr="005A464E">
        <w:rPr>
          <w:rFonts w:asciiTheme="minorHAnsi" w:hAnsiTheme="minorHAnsi" w:cstheme="minorHAnsi"/>
          <w:lang w:val="en-US"/>
        </w:rPr>
        <w:t>:</w:t>
      </w:r>
      <w:hyperlink r:id="rId143" w:history="1">
        <w:r w:rsidRPr="005A464E">
          <w:rPr>
            <w:rStyle w:val="-"/>
            <w:rFonts w:asciiTheme="minorHAnsi" w:hAnsiTheme="minorHAnsi" w:cstheme="minorHAnsi"/>
            <w:color w:val="auto"/>
            <w:u w:val="none"/>
            <w:lang w:val="en-US"/>
          </w:rPr>
          <w:t>10.1186/1745-0179-1-19</w:t>
        </w:r>
      </w:hyperlink>
      <w:r w:rsidR="000525C6" w:rsidRPr="005A464E">
        <w:rPr>
          <w:rFonts w:asciiTheme="minorHAnsi" w:hAnsiTheme="minorHAnsi"/>
          <w:lang w:val="en-US"/>
        </w:rPr>
        <w:t>.</w:t>
      </w:r>
    </w:p>
    <w:p w:rsidR="009C32D8" w:rsidRPr="009C32D8" w:rsidRDefault="003C410F" w:rsidP="009C32D8">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Cohen, L.M., Germain, M.J., &amp; Poppel, D. (2003). Practical considerations in dialysis withdrawal.</w:t>
      </w:r>
      <w:r w:rsidRPr="005A464E">
        <w:rPr>
          <w:rFonts w:asciiTheme="minorHAnsi" w:hAnsiTheme="minorHAnsi" w:cstheme="minorHAnsi"/>
          <w:shd w:val="clear" w:color="auto" w:fill="FFFFFF"/>
          <w:lang w:val="en-US"/>
        </w:rPr>
        <w:t xml:space="preserve"> “To have that option is a blessing.”</w:t>
      </w:r>
      <w:r w:rsidRPr="005A464E">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i/>
          <w:lang w:val="en-US" w:eastAsia="el-GR"/>
        </w:rPr>
        <w:t>The Journal of the American Medical Association,</w:t>
      </w:r>
      <w:r w:rsidRPr="003C5A96">
        <w:rPr>
          <w:rFonts w:asciiTheme="minorHAnsi" w:eastAsia="Times New Roman" w:hAnsiTheme="minorHAnsi" w:cstheme="minorHAnsi"/>
          <w:i/>
          <w:lang w:val="en-US" w:eastAsia="el-GR"/>
        </w:rPr>
        <w:t xml:space="preserve"> 289</w:t>
      </w:r>
      <w:r w:rsidRPr="005A464E">
        <w:rPr>
          <w:rFonts w:asciiTheme="minorHAnsi" w:eastAsia="Times New Roman" w:hAnsiTheme="minorHAnsi" w:cstheme="minorHAnsi"/>
          <w:lang w:val="en-US" w:eastAsia="el-GR"/>
        </w:rPr>
        <w:t>, 2113-2119.</w:t>
      </w:r>
    </w:p>
    <w:p w:rsidR="009C32D8" w:rsidRPr="009C32D8" w:rsidRDefault="009C32D8" w:rsidP="009C32D8">
      <w:pPr>
        <w:pStyle w:val="Web"/>
        <w:spacing w:after="166" w:line="360" w:lineRule="auto"/>
        <w:ind w:left="415" w:hanging="415"/>
        <w:jc w:val="both"/>
        <w:rPr>
          <w:rFonts w:asciiTheme="minorHAnsi" w:eastAsia="Times New Roman" w:hAnsiTheme="minorHAnsi" w:cstheme="minorHAnsi"/>
          <w:lang w:val="en-US" w:eastAsia="el-GR"/>
        </w:rPr>
      </w:pPr>
      <w:r w:rsidRPr="009C32D8">
        <w:rPr>
          <w:rFonts w:asciiTheme="minorHAnsi" w:hAnsiTheme="minorHAnsi" w:cstheme="minorHAnsi"/>
          <w:lang w:val="en-US" w:eastAsia="el-GR"/>
        </w:rPr>
        <w:t xml:space="preserve">Cowperthwaite, J., Schutt-Aine, R., Herranen, M. &amp; Sorribes, M.P. (2012). Introduction of a competency based haemodialysis education programme: 5 years experience. </w:t>
      </w:r>
      <w:r w:rsidRPr="009C32D8">
        <w:rPr>
          <w:rFonts w:asciiTheme="minorHAnsi" w:hAnsiTheme="minorHAnsi" w:cstheme="minorHAnsi"/>
          <w:i/>
          <w:iCs/>
          <w:lang w:val="en-US" w:eastAsia="el-GR"/>
        </w:rPr>
        <w:t>Journal of Renal</w:t>
      </w:r>
      <w:r w:rsidRPr="000729FE">
        <w:rPr>
          <w:rFonts w:asciiTheme="minorHAnsi" w:eastAsia="Times New Roman" w:hAnsiTheme="minorHAnsi" w:cstheme="minorHAnsi"/>
          <w:lang w:val="en-US" w:eastAsia="el-GR"/>
        </w:rPr>
        <w:t xml:space="preserve"> </w:t>
      </w:r>
      <w:r w:rsidRPr="009C32D8">
        <w:rPr>
          <w:rFonts w:asciiTheme="minorHAnsi" w:hAnsiTheme="minorHAnsi" w:cstheme="minorHAnsi"/>
          <w:i/>
          <w:iCs/>
          <w:lang w:val="en-US" w:eastAsia="el-GR"/>
        </w:rPr>
        <w:t>Care,</w:t>
      </w:r>
      <w:r w:rsidRPr="003C5A96">
        <w:rPr>
          <w:rFonts w:asciiTheme="minorHAnsi" w:hAnsiTheme="minorHAnsi" w:cstheme="minorHAnsi"/>
          <w:i/>
          <w:iCs/>
          <w:lang w:val="en-US" w:eastAsia="el-GR"/>
        </w:rPr>
        <w:t xml:space="preserve"> 38</w:t>
      </w:r>
      <w:r w:rsidRPr="009C32D8">
        <w:rPr>
          <w:rFonts w:asciiTheme="minorHAnsi" w:hAnsiTheme="minorHAnsi" w:cstheme="minorHAnsi"/>
          <w:lang w:val="en-US" w:eastAsia="el-GR"/>
        </w:rPr>
        <w:t>, 162-169.</w:t>
      </w:r>
    </w:p>
    <w:p w:rsidR="0087478C" w:rsidRDefault="003C410F" w:rsidP="0087478C">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eastAsia="Times New Roman" w:hAnsiTheme="minorHAnsi" w:cstheme="minorHAnsi"/>
          <w:lang w:val="en-US" w:eastAsia="el-GR"/>
        </w:rPr>
        <w:t xml:space="preserve">Coulter, A., Edwards, A., Elwyn, G., &amp; Thomson, R. (2011). Implementing shared decision making in the UK. </w:t>
      </w:r>
      <w:r w:rsidRPr="005A464E">
        <w:rPr>
          <w:rFonts w:asciiTheme="minorHAnsi" w:hAnsiTheme="minorHAnsi" w:cstheme="minorHAnsi"/>
          <w:i/>
          <w:lang w:val="en-US"/>
        </w:rPr>
        <w:t>Z</w:t>
      </w:r>
      <w:r w:rsidR="000525C6" w:rsidRPr="005A464E">
        <w:rPr>
          <w:rFonts w:asciiTheme="minorHAnsi" w:hAnsiTheme="minorHAnsi" w:cstheme="minorHAnsi"/>
          <w:i/>
          <w:lang w:val="en-US"/>
        </w:rPr>
        <w:t>eitschrift fur</w:t>
      </w:r>
      <w:r w:rsidRPr="005A464E">
        <w:rPr>
          <w:rFonts w:asciiTheme="minorHAnsi" w:hAnsiTheme="minorHAnsi" w:cstheme="minorHAnsi"/>
          <w:i/>
          <w:lang w:val="en-US"/>
        </w:rPr>
        <w:t xml:space="preserve"> </w:t>
      </w:r>
      <w:r w:rsidRPr="005A464E">
        <w:rPr>
          <w:rFonts w:asciiTheme="minorHAnsi" w:eastAsia="Times New Roman" w:hAnsiTheme="minorHAnsi" w:cstheme="minorHAnsi"/>
          <w:i/>
          <w:lang w:val="en-US" w:eastAsia="el-GR"/>
        </w:rPr>
        <w:t>Evid</w:t>
      </w:r>
      <w:r w:rsidR="000525C6" w:rsidRPr="005A464E">
        <w:rPr>
          <w:rFonts w:asciiTheme="minorHAnsi" w:eastAsia="Times New Roman" w:hAnsiTheme="minorHAnsi" w:cstheme="minorHAnsi"/>
          <w:i/>
          <w:lang w:val="en-US" w:eastAsia="el-GR"/>
        </w:rPr>
        <w:t>enz,</w:t>
      </w:r>
      <w:r w:rsidRPr="005A464E">
        <w:rPr>
          <w:rFonts w:asciiTheme="minorHAnsi" w:eastAsia="Times New Roman" w:hAnsiTheme="minorHAnsi" w:cstheme="minorHAnsi"/>
          <w:i/>
          <w:lang w:val="en-US" w:eastAsia="el-GR"/>
        </w:rPr>
        <w:t xml:space="preserve"> Fortbild</w:t>
      </w:r>
      <w:r w:rsidR="000525C6" w:rsidRPr="005A464E">
        <w:rPr>
          <w:rFonts w:asciiTheme="minorHAnsi" w:eastAsia="Times New Roman" w:hAnsiTheme="minorHAnsi" w:cstheme="minorHAnsi"/>
          <w:i/>
          <w:lang w:val="en-US" w:eastAsia="el-GR"/>
        </w:rPr>
        <w:t>ung und</w:t>
      </w:r>
      <w:r w:rsidRPr="005A464E">
        <w:rPr>
          <w:rFonts w:asciiTheme="minorHAnsi" w:eastAsia="Times New Roman" w:hAnsiTheme="minorHAnsi" w:cstheme="minorHAnsi"/>
          <w:i/>
          <w:lang w:val="en-US" w:eastAsia="el-GR"/>
        </w:rPr>
        <w:t xml:space="preserve"> Qual</w:t>
      </w:r>
      <w:r w:rsidR="000525C6" w:rsidRPr="005A464E">
        <w:rPr>
          <w:rFonts w:asciiTheme="minorHAnsi" w:eastAsia="Times New Roman" w:hAnsiTheme="minorHAnsi" w:cstheme="minorHAnsi"/>
          <w:i/>
          <w:lang w:val="en-US" w:eastAsia="el-GR"/>
        </w:rPr>
        <w:t>itat im</w:t>
      </w:r>
      <w:r w:rsidRPr="005A464E">
        <w:rPr>
          <w:rFonts w:asciiTheme="minorHAnsi" w:eastAsia="Times New Roman" w:hAnsiTheme="minorHAnsi" w:cstheme="minorHAnsi"/>
          <w:i/>
          <w:lang w:val="en-US" w:eastAsia="el-GR"/>
        </w:rPr>
        <w:t xml:space="preserve"> </w:t>
      </w:r>
      <w:r w:rsidRPr="003C5A96">
        <w:rPr>
          <w:rFonts w:asciiTheme="minorHAnsi" w:eastAsia="Times New Roman" w:hAnsiTheme="minorHAnsi" w:cstheme="minorHAnsi"/>
          <w:i/>
          <w:lang w:val="en-US" w:eastAsia="el-GR"/>
        </w:rPr>
        <w:t>Gesundh</w:t>
      </w:r>
      <w:r w:rsidR="000525C6" w:rsidRPr="003C5A96">
        <w:rPr>
          <w:rFonts w:asciiTheme="minorHAnsi" w:eastAsia="Times New Roman" w:hAnsiTheme="minorHAnsi" w:cstheme="minorHAnsi"/>
          <w:i/>
          <w:lang w:val="en-US" w:eastAsia="el-GR"/>
        </w:rPr>
        <w:t>eits</w:t>
      </w:r>
      <w:r w:rsidRPr="003C5A96">
        <w:rPr>
          <w:rFonts w:asciiTheme="minorHAnsi" w:eastAsia="Times New Roman" w:hAnsiTheme="minorHAnsi" w:cstheme="minorHAnsi"/>
          <w:i/>
          <w:lang w:val="en-US" w:eastAsia="el-GR"/>
        </w:rPr>
        <w:t>wes</w:t>
      </w:r>
      <w:r w:rsidR="000525C6" w:rsidRPr="003C5A96">
        <w:rPr>
          <w:rFonts w:asciiTheme="minorHAnsi" w:eastAsia="Times New Roman" w:hAnsiTheme="minorHAnsi" w:cstheme="minorHAnsi"/>
          <w:i/>
          <w:lang w:val="en-US" w:eastAsia="el-GR"/>
        </w:rPr>
        <w:t>en</w:t>
      </w:r>
      <w:r w:rsidR="003C5A96" w:rsidRPr="003C5A96">
        <w:rPr>
          <w:rFonts w:asciiTheme="minorHAnsi" w:eastAsia="Times New Roman" w:hAnsiTheme="minorHAnsi" w:cstheme="minorHAnsi"/>
          <w:i/>
          <w:lang w:val="en-US" w:eastAsia="el-GR"/>
        </w:rPr>
        <w:t>, 105</w:t>
      </w:r>
      <w:r w:rsidRPr="003C5A96">
        <w:rPr>
          <w:rFonts w:asciiTheme="minorHAnsi" w:eastAsia="Times New Roman" w:hAnsiTheme="minorHAnsi" w:cstheme="minorHAnsi"/>
          <w:i/>
          <w:lang w:val="en-US" w:eastAsia="el-GR"/>
        </w:rPr>
        <w:t>,</w:t>
      </w:r>
      <w:r w:rsidR="000525C6" w:rsidRPr="005A464E">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300-304.</w:t>
      </w:r>
      <w:r w:rsidR="0078495A">
        <w:rPr>
          <w:rStyle w:val="1Char"/>
          <w:rFonts w:asciiTheme="minorHAnsi" w:eastAsia="Calibri" w:hAnsiTheme="minorHAnsi" w:cs="Arial"/>
          <w:color w:val="auto"/>
          <w:sz w:val="24"/>
          <w:szCs w:val="24"/>
          <w:shd w:val="clear" w:color="auto" w:fill="FFFFFF"/>
          <w:lang w:val="en-US"/>
        </w:rPr>
        <w:t xml:space="preserve">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 10.1016/j.zefq.2011.04.014.</w:t>
      </w:r>
      <w:bookmarkStart w:id="88" w:name="_ENREF_2"/>
    </w:p>
    <w:bookmarkEnd w:id="88"/>
    <w:p w:rsidR="003C410F" w:rsidRPr="005A464E"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eastAsia="Times New Roman" w:hAnsiTheme="minorHAnsi" w:cstheme="minorHAnsi"/>
          <w:lang w:val="en-US" w:eastAsia="el-GR"/>
        </w:rPr>
        <w:t xml:space="preserve">Covic, A., &amp; Rastogi, A. (2013). Hyperphosphatemia in patients with ESRD: assessing the current evidence linking outcomes with treatment adherence. </w:t>
      </w:r>
      <w:r w:rsidRPr="005A464E">
        <w:rPr>
          <w:rFonts w:asciiTheme="minorHAnsi" w:eastAsia="Times New Roman" w:hAnsiTheme="minorHAnsi" w:cstheme="minorHAnsi"/>
          <w:i/>
          <w:lang w:val="en-US" w:eastAsia="el-GR"/>
        </w:rPr>
        <w:t>BMC Nephrology</w:t>
      </w:r>
      <w:r w:rsidR="000525C6" w:rsidRPr="005A464E">
        <w:rPr>
          <w:rFonts w:asciiTheme="minorHAnsi" w:eastAsia="Times New Roman" w:hAnsiTheme="minorHAnsi" w:cstheme="minorHAnsi"/>
          <w:i/>
          <w:lang w:val="en-US" w:eastAsia="el-GR"/>
        </w:rPr>
        <w:t>,</w:t>
      </w:r>
      <w:r w:rsidR="000525C6" w:rsidRPr="005A464E">
        <w:rPr>
          <w:rFonts w:asciiTheme="minorHAnsi" w:eastAsia="Times New Roman" w:hAnsiTheme="minorHAnsi" w:cstheme="minorHAnsi"/>
          <w:lang w:val="en-US" w:eastAsia="el-GR"/>
        </w:rPr>
        <w:t xml:space="preserve"> </w:t>
      </w:r>
      <w:r w:rsidR="000525C6" w:rsidRPr="003C5A96">
        <w:rPr>
          <w:rFonts w:asciiTheme="minorHAnsi" w:eastAsia="Times New Roman" w:hAnsiTheme="minorHAnsi" w:cstheme="minorHAnsi"/>
          <w:i/>
          <w:lang w:val="en-US" w:eastAsia="el-GR"/>
        </w:rPr>
        <w:t>14</w:t>
      </w:r>
      <w:r w:rsidR="000525C6" w:rsidRPr="005A464E">
        <w:rPr>
          <w:rFonts w:asciiTheme="minorHAnsi" w:eastAsia="Times New Roman" w:hAnsiTheme="minorHAnsi" w:cstheme="minorHAnsi"/>
          <w:lang w:val="en-US" w:eastAsia="el-GR"/>
        </w:rPr>
        <w:t>:</w:t>
      </w:r>
      <w:r w:rsidRPr="005A464E">
        <w:rPr>
          <w:rFonts w:asciiTheme="minorHAnsi" w:eastAsia="Times New Roman" w:hAnsiTheme="minorHAnsi" w:cstheme="minorHAnsi"/>
          <w:lang w:val="en-US" w:eastAsia="el-GR"/>
        </w:rPr>
        <w:t xml:space="preserve">153.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 10.1186/1471-2369-14-153.</w:t>
      </w:r>
    </w:p>
    <w:p w:rsidR="003C410F" w:rsidRPr="005A464E"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lang w:val="en-US"/>
        </w:rPr>
        <w:t xml:space="preserve">Cukor, D., Cohen, S., Peterson, R., &amp; Kimmel, P. (2007). Psychosocial aspects of chronic disease: ESRD as a paradigmatic iIlness. </w:t>
      </w:r>
      <w:r w:rsidRPr="005A464E">
        <w:rPr>
          <w:rFonts w:asciiTheme="minorHAnsi" w:hAnsiTheme="minorHAnsi" w:cstheme="minorHAnsi"/>
          <w:i/>
          <w:iCs/>
          <w:lang w:val="en-US"/>
        </w:rPr>
        <w:t>Journal of the American Society of Nephrology</w:t>
      </w:r>
      <w:r w:rsidRPr="005A464E">
        <w:rPr>
          <w:rFonts w:asciiTheme="minorHAnsi" w:hAnsiTheme="minorHAnsi" w:cstheme="minorHAnsi"/>
          <w:iCs/>
          <w:lang w:val="en-US"/>
        </w:rPr>
        <w:t xml:space="preserve">, </w:t>
      </w:r>
      <w:r w:rsidRPr="003C5A96">
        <w:rPr>
          <w:rFonts w:asciiTheme="minorHAnsi" w:hAnsiTheme="minorHAnsi" w:cstheme="minorHAnsi"/>
          <w:i/>
          <w:iCs/>
          <w:lang w:val="en-US"/>
        </w:rPr>
        <w:t>18</w:t>
      </w:r>
      <w:r w:rsidRPr="005A464E">
        <w:rPr>
          <w:rFonts w:asciiTheme="minorHAnsi" w:hAnsiTheme="minorHAnsi" w:cstheme="minorHAnsi"/>
          <w:lang w:val="en-US"/>
        </w:rPr>
        <w:t xml:space="preserve">, 3042-3055. </w:t>
      </w:r>
      <w:r w:rsidR="00292B29" w:rsidRPr="005A464E">
        <w:rPr>
          <w:rFonts w:asciiTheme="minorHAnsi" w:hAnsiTheme="minorHAnsi" w:cstheme="minorHAnsi"/>
          <w:lang w:val="en-US"/>
        </w:rPr>
        <w:t>DOI</w:t>
      </w:r>
      <w:r w:rsidRPr="005A464E">
        <w:rPr>
          <w:rFonts w:asciiTheme="minorHAnsi" w:hAnsiTheme="minorHAnsi" w:cstheme="minorHAnsi"/>
          <w:lang w:val="en-US"/>
        </w:rPr>
        <w:t>:</w:t>
      </w:r>
      <w:hyperlink r:id="rId144" w:history="1">
        <w:r w:rsidRPr="005A464E">
          <w:rPr>
            <w:rStyle w:val="-"/>
            <w:rFonts w:asciiTheme="minorHAnsi" w:hAnsiTheme="minorHAnsi" w:cstheme="minorHAnsi"/>
            <w:color w:val="auto"/>
            <w:u w:val="none"/>
            <w:lang w:val="en-US"/>
          </w:rPr>
          <w:t>10.1681/ASN.2007030345</w:t>
        </w:r>
      </w:hyperlink>
      <w:r w:rsidR="000525C6"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Cukor, D., Rosenthal, D.S.,</w:t>
      </w:r>
      <w:r w:rsidR="0078495A">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Jindal, R.M.,</w:t>
      </w:r>
      <w:r w:rsidR="0078495A">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 xml:space="preserve">Brown, C.D., &amp; Kimmel, P.L. (2009). Depression is an important contributor to low medication adherence in hemodialyzed patients and transplant recipients. </w:t>
      </w:r>
      <w:r w:rsidRPr="005A464E">
        <w:rPr>
          <w:rFonts w:asciiTheme="minorHAnsi" w:eastAsia="Times New Roman" w:hAnsiTheme="minorHAnsi" w:cstheme="minorHAnsi"/>
          <w:i/>
          <w:lang w:val="en-US" w:eastAsia="el-GR"/>
        </w:rPr>
        <w:t>Kidney International</w:t>
      </w:r>
      <w:r w:rsidR="003C5A96" w:rsidRPr="003C5A96">
        <w:rPr>
          <w:rFonts w:asciiTheme="minorHAnsi" w:eastAsia="Times New Roman" w:hAnsiTheme="minorHAnsi" w:cstheme="minorHAnsi"/>
          <w:i/>
          <w:lang w:val="en-US" w:eastAsia="el-GR"/>
        </w:rPr>
        <w:t>, 75</w:t>
      </w:r>
      <w:r w:rsidRPr="003C5A96">
        <w:rPr>
          <w:rFonts w:asciiTheme="minorHAnsi" w:eastAsia="Times New Roman" w:hAnsiTheme="minorHAnsi" w:cstheme="minorHAnsi"/>
          <w:i/>
          <w:lang w:val="en-US" w:eastAsia="el-GR"/>
        </w:rPr>
        <w:t>,</w:t>
      </w:r>
      <w:r w:rsidRPr="005A464E">
        <w:rPr>
          <w:rFonts w:asciiTheme="minorHAnsi" w:eastAsia="Times New Roman" w:hAnsiTheme="minorHAnsi" w:cstheme="minorHAnsi"/>
          <w:lang w:val="en-US" w:eastAsia="el-GR"/>
        </w:rPr>
        <w:t xml:space="preserve"> 1223-1229.</w:t>
      </w:r>
      <w:r w:rsidRPr="005A464E">
        <w:rPr>
          <w:rFonts w:asciiTheme="minorHAnsi" w:hAnsiTheme="minorHAnsi" w:cstheme="minorHAnsi"/>
          <w:shd w:val="clear" w:color="auto" w:fill="FFFFFF"/>
          <w:lang w:val="en-US"/>
        </w:rPr>
        <w:t xml:space="preserve">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 10.1038/ki.2009.51</w:t>
      </w:r>
      <w:r w:rsidR="000525C6" w:rsidRPr="005A464E">
        <w:rPr>
          <w:rFonts w:asciiTheme="minorHAnsi" w:hAnsiTheme="minorHAnsi" w:cstheme="minorHAnsi"/>
          <w:shd w:val="clear" w:color="auto" w:fill="FFFFFF"/>
          <w:lang w:val="en-US"/>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Culig, J. &amp; Leppée M. (2014). From Morisky to Hill-bone; self-reports scales for measuring adherence to medication. </w:t>
      </w:r>
      <w:r w:rsidRPr="005A464E">
        <w:rPr>
          <w:rFonts w:asciiTheme="minorHAnsi" w:eastAsia="Times New Roman" w:hAnsiTheme="minorHAnsi" w:cstheme="minorHAnsi"/>
          <w:i/>
          <w:lang w:val="en-US" w:eastAsia="el-GR"/>
        </w:rPr>
        <w:t>Collegium Antropologicum</w:t>
      </w:r>
      <w:r w:rsidR="003C5A96">
        <w:rPr>
          <w:rFonts w:asciiTheme="minorHAnsi" w:eastAsia="Times New Roman" w:hAnsiTheme="minorHAnsi" w:cstheme="minorHAnsi"/>
          <w:lang w:val="en-US" w:eastAsia="el-GR"/>
        </w:rPr>
        <w:t>,</w:t>
      </w:r>
      <w:r w:rsidR="003C5A96" w:rsidRPr="003C5A96">
        <w:rPr>
          <w:rFonts w:asciiTheme="minorHAnsi" w:eastAsia="Times New Roman" w:hAnsiTheme="minorHAnsi" w:cstheme="minorHAnsi"/>
          <w:i/>
          <w:lang w:val="en-US" w:eastAsia="el-GR"/>
        </w:rPr>
        <w:t xml:space="preserve"> 38</w:t>
      </w:r>
      <w:r w:rsidR="003C5A96">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 55–62.</w:t>
      </w:r>
    </w:p>
    <w:p w:rsidR="003C410F" w:rsidRPr="005A464E" w:rsidRDefault="000525C6"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Cummings, K.M., Becker, M.H., Kirscht, J. P., &amp; Levin, N.</w:t>
      </w:r>
      <w:r w:rsidR="003C410F" w:rsidRPr="005A464E">
        <w:rPr>
          <w:rFonts w:asciiTheme="minorHAnsi" w:eastAsia="Times New Roman" w:hAnsiTheme="minorHAnsi" w:cstheme="minorHAnsi"/>
          <w:lang w:val="en-US" w:eastAsia="el-GR"/>
        </w:rPr>
        <w:t xml:space="preserve">W. (1982). Psychosocial factors affecting adherence to medical regiments in a group of hemodialysis patients. </w:t>
      </w:r>
      <w:r w:rsidR="003C410F" w:rsidRPr="005A464E">
        <w:rPr>
          <w:rFonts w:asciiTheme="minorHAnsi" w:eastAsia="Times New Roman" w:hAnsiTheme="minorHAnsi" w:cstheme="minorHAnsi"/>
          <w:i/>
          <w:lang w:val="en-US" w:eastAsia="el-GR"/>
        </w:rPr>
        <w:t>Medical Care</w:t>
      </w:r>
      <w:r w:rsidR="003C5A96" w:rsidRPr="003C5A96">
        <w:rPr>
          <w:rFonts w:asciiTheme="minorHAnsi" w:eastAsia="Times New Roman" w:hAnsiTheme="minorHAnsi" w:cstheme="minorHAnsi"/>
          <w:i/>
          <w:lang w:val="en-US" w:eastAsia="el-GR"/>
        </w:rPr>
        <w:t>, 20</w:t>
      </w:r>
      <w:r w:rsidR="003C410F" w:rsidRPr="003C5A96">
        <w:rPr>
          <w:rFonts w:asciiTheme="minorHAnsi" w:eastAsia="Times New Roman" w:hAnsiTheme="minorHAnsi" w:cstheme="minorHAnsi"/>
          <w:i/>
          <w:lang w:val="en-US" w:eastAsia="el-GR"/>
        </w:rPr>
        <w:t>,</w:t>
      </w:r>
      <w:r w:rsidR="003C410F" w:rsidRPr="005A464E">
        <w:rPr>
          <w:rFonts w:asciiTheme="minorHAnsi" w:eastAsia="Times New Roman" w:hAnsiTheme="minorHAnsi" w:cstheme="minorHAnsi"/>
          <w:lang w:val="en-US" w:eastAsia="el-GR"/>
        </w:rPr>
        <w:t xml:space="preserve"> 567 – 580.</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Cummins, R.A., McCabe, M., Gullone, E., &amp; Romeo, Y. (1994). The Comprehensive quality of life scale (ComQOL): Instrument development and psychometric evaluation on college staff and students. </w:t>
      </w:r>
      <w:r w:rsidRPr="005A464E">
        <w:rPr>
          <w:rFonts w:asciiTheme="minorHAnsi" w:hAnsiTheme="minorHAnsi" w:cstheme="minorHAnsi"/>
          <w:i/>
          <w:iCs/>
          <w:lang w:val="en-US"/>
        </w:rPr>
        <w:t xml:space="preserve">Educational and Psychological Measurement, </w:t>
      </w:r>
      <w:r w:rsidRPr="003C5A96">
        <w:rPr>
          <w:rFonts w:asciiTheme="minorHAnsi" w:hAnsiTheme="minorHAnsi" w:cstheme="minorHAnsi"/>
          <w:i/>
          <w:iCs/>
          <w:lang w:val="en-US"/>
        </w:rPr>
        <w:t>54</w:t>
      </w:r>
      <w:r w:rsidRPr="003C5A96">
        <w:rPr>
          <w:rFonts w:asciiTheme="minorHAnsi" w:hAnsiTheme="minorHAnsi" w:cstheme="minorHAnsi"/>
          <w:i/>
          <w:lang w:val="en-US"/>
        </w:rPr>
        <w:t>,</w:t>
      </w:r>
      <w:r w:rsidRPr="005A464E">
        <w:rPr>
          <w:rFonts w:asciiTheme="minorHAnsi" w:hAnsiTheme="minorHAnsi" w:cstheme="minorHAnsi"/>
          <w:lang w:val="en-US"/>
        </w:rPr>
        <w:t xml:space="preserve"> 372-382. </w:t>
      </w:r>
      <w:hyperlink r:id="rId145" w:history="1">
        <w:r w:rsidRPr="005A464E">
          <w:rPr>
            <w:rStyle w:val="-"/>
            <w:rFonts w:asciiTheme="minorHAnsi" w:hAnsiTheme="minorHAnsi" w:cstheme="minorHAnsi"/>
            <w:color w:val="auto"/>
            <w:u w:val="none"/>
            <w:shd w:val="clear" w:color="auto" w:fill="FFFFFF"/>
            <w:lang w:val="en-US"/>
          </w:rPr>
          <w:t>10.1177/0013164494054002011</w:t>
        </w:r>
      </w:hyperlink>
      <w:r w:rsidR="000525C6"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Curtin, R.B., &amp; Mapes, D.L. (2001). Health care management strategies of long-term dialysis survivors. </w:t>
      </w:r>
      <w:r w:rsidRPr="005A464E">
        <w:rPr>
          <w:rFonts w:asciiTheme="minorHAnsi" w:eastAsia="Times New Roman" w:hAnsiTheme="minorHAnsi" w:cstheme="minorHAnsi"/>
          <w:i/>
          <w:lang w:val="en-US" w:eastAsia="el-GR"/>
        </w:rPr>
        <w:t>Nephrology Nursing Journal,</w:t>
      </w:r>
      <w:r w:rsidR="003C5A96">
        <w:rPr>
          <w:rFonts w:asciiTheme="minorHAnsi" w:eastAsia="Times New Roman" w:hAnsiTheme="minorHAnsi" w:cstheme="minorHAnsi"/>
          <w:lang w:val="en-US" w:eastAsia="el-GR"/>
        </w:rPr>
        <w:t xml:space="preserve"> </w:t>
      </w:r>
      <w:r w:rsidR="003C5A96" w:rsidRPr="003C5A96">
        <w:rPr>
          <w:rFonts w:asciiTheme="minorHAnsi" w:eastAsia="Times New Roman" w:hAnsiTheme="minorHAnsi" w:cstheme="minorHAnsi"/>
          <w:i/>
          <w:lang w:val="en-US" w:eastAsia="el-GR"/>
        </w:rPr>
        <w:t>28</w:t>
      </w:r>
      <w:r w:rsidRPr="005A464E">
        <w:rPr>
          <w:rFonts w:asciiTheme="minorHAnsi" w:eastAsia="Times New Roman" w:hAnsiTheme="minorHAnsi" w:cstheme="minorHAnsi"/>
          <w:lang w:val="en-US" w:eastAsia="el-GR"/>
        </w:rPr>
        <w:t>, 385- 394.</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Curtin, R.B., Bultman, D.C., Thomas-Hawkins, C., Walters, B., &amp; Schatell, D. (2002). Hemodialysis patients' symptom experiences: Effects on physical and mental functioning. </w:t>
      </w:r>
      <w:r w:rsidRPr="005A464E">
        <w:rPr>
          <w:rFonts w:asciiTheme="minorHAnsi" w:hAnsiTheme="minorHAnsi" w:cstheme="minorHAnsi"/>
          <w:i/>
          <w:iCs/>
          <w:lang w:val="en-US"/>
        </w:rPr>
        <w:t>NephroLogy Nursing Journal</w:t>
      </w:r>
      <w:r w:rsidRPr="005A464E">
        <w:rPr>
          <w:rFonts w:asciiTheme="minorHAnsi" w:hAnsiTheme="minorHAnsi" w:cstheme="minorHAnsi"/>
          <w:iCs/>
          <w:lang w:val="en-US"/>
        </w:rPr>
        <w:t xml:space="preserve">, </w:t>
      </w:r>
      <w:r w:rsidR="003C5A96" w:rsidRPr="003C5A96">
        <w:rPr>
          <w:rFonts w:asciiTheme="minorHAnsi" w:hAnsiTheme="minorHAnsi" w:cstheme="minorHAnsi"/>
          <w:i/>
          <w:lang w:val="en-US"/>
        </w:rPr>
        <w:t>29</w:t>
      </w:r>
      <w:r w:rsidRPr="003C5A96">
        <w:rPr>
          <w:rFonts w:asciiTheme="minorHAnsi" w:hAnsiTheme="minorHAnsi" w:cstheme="minorHAnsi"/>
          <w:i/>
          <w:lang w:val="en-US"/>
        </w:rPr>
        <w:t>,</w:t>
      </w:r>
      <w:r w:rsidRPr="005A464E">
        <w:rPr>
          <w:rFonts w:asciiTheme="minorHAnsi" w:hAnsiTheme="minorHAnsi" w:cstheme="minorHAnsi"/>
          <w:lang w:val="en-US"/>
        </w:rPr>
        <w:t xml:space="preserve"> 562, 567-574.</w:t>
      </w:r>
    </w:p>
    <w:p w:rsidR="003C410F" w:rsidRPr="005A464E" w:rsidRDefault="003C410F" w:rsidP="005A464E">
      <w:pPr>
        <w:pStyle w:val="Web"/>
        <w:spacing w:after="166" w:line="360" w:lineRule="auto"/>
        <w:ind w:left="415" w:hanging="415"/>
        <w:jc w:val="both"/>
        <w:rPr>
          <w:rStyle w:val="mixed-citation"/>
          <w:rFonts w:asciiTheme="minorHAnsi" w:hAnsiTheme="minorHAnsi" w:cstheme="minorHAnsi"/>
          <w:lang w:val="en-US"/>
        </w:rPr>
      </w:pPr>
      <w:r w:rsidRPr="005A464E">
        <w:rPr>
          <w:rStyle w:val="mixed-citation"/>
          <w:rFonts w:asciiTheme="minorHAnsi" w:hAnsiTheme="minorHAnsi" w:cstheme="minorHAnsi"/>
          <w:lang w:val="en-US"/>
        </w:rPr>
        <w:t xml:space="preserve">Curtin, R.B., Sitter, D.C., Schatell, D., &amp; Chewning, B.A. (2004). Self-management, knowledge, and functioning and well-being of patients on hemodialysis. </w:t>
      </w:r>
      <w:r w:rsidRPr="005A464E">
        <w:rPr>
          <w:rStyle w:val="mixed-citation"/>
          <w:rFonts w:asciiTheme="minorHAnsi" w:hAnsiTheme="minorHAnsi" w:cstheme="minorHAnsi"/>
          <w:i/>
          <w:lang w:val="en-US"/>
        </w:rPr>
        <w:t>Nephrology Nursing Journal</w:t>
      </w:r>
      <w:r w:rsidR="003C5A96">
        <w:rPr>
          <w:rStyle w:val="mixed-citation"/>
          <w:rFonts w:asciiTheme="minorHAnsi" w:hAnsiTheme="minorHAnsi" w:cstheme="minorHAnsi"/>
          <w:lang w:val="en-US"/>
        </w:rPr>
        <w:t xml:space="preserve">, </w:t>
      </w:r>
      <w:r w:rsidR="003C5A96" w:rsidRPr="003C5A96">
        <w:rPr>
          <w:rStyle w:val="mixed-citation"/>
          <w:rFonts w:asciiTheme="minorHAnsi" w:hAnsiTheme="minorHAnsi" w:cstheme="minorHAnsi"/>
          <w:i/>
          <w:lang w:val="en-US"/>
        </w:rPr>
        <w:t>31</w:t>
      </w:r>
      <w:r w:rsidRPr="003C5A96">
        <w:rPr>
          <w:rStyle w:val="mixed-citation"/>
          <w:rFonts w:asciiTheme="minorHAnsi" w:hAnsiTheme="minorHAnsi" w:cstheme="minorHAnsi"/>
          <w:i/>
          <w:lang w:val="en-US"/>
        </w:rPr>
        <w:t>,</w:t>
      </w:r>
      <w:r w:rsidRPr="005A464E">
        <w:rPr>
          <w:rStyle w:val="mixed-citation"/>
          <w:rFonts w:asciiTheme="minorHAnsi" w:hAnsiTheme="minorHAnsi" w:cstheme="minorHAnsi"/>
          <w:lang w:val="en-US"/>
        </w:rPr>
        <w:t xml:space="preserve"> 378-386</w:t>
      </w:r>
      <w:r w:rsidR="000525C6" w:rsidRPr="005A464E">
        <w:rPr>
          <w:rStyle w:val="mixed-citation"/>
          <w:rFonts w:asciiTheme="minorHAnsi" w:hAnsiTheme="minorHAnsi" w:cstheme="minorHAnsi"/>
          <w:lang w:val="en-US"/>
        </w:rPr>
        <w:t>.</w:t>
      </w:r>
    </w:p>
    <w:p w:rsidR="003C410F" w:rsidRPr="005A464E" w:rsidRDefault="003C410F" w:rsidP="005A464E">
      <w:pPr>
        <w:pStyle w:val="Web"/>
        <w:spacing w:after="166" w:line="360" w:lineRule="auto"/>
        <w:ind w:left="415" w:hanging="415"/>
        <w:jc w:val="both"/>
        <w:rPr>
          <w:rStyle w:val="mixed-citation"/>
          <w:rFonts w:asciiTheme="minorHAnsi" w:hAnsiTheme="minorHAnsi" w:cstheme="minorHAnsi"/>
          <w:lang w:val="en-US"/>
        </w:rPr>
      </w:pPr>
      <w:r w:rsidRPr="005A464E">
        <w:rPr>
          <w:rStyle w:val="mixed-citation"/>
          <w:rFonts w:asciiTheme="minorHAnsi" w:hAnsiTheme="minorHAnsi" w:cstheme="minorHAnsi"/>
          <w:lang w:val="en-US"/>
        </w:rPr>
        <w:t xml:space="preserve">Datta, M., &amp; Mani., M.K. (2005). Community-based approach to prevention of chronic kidney disease: the Chennai experience. In: El Nahas AM, </w:t>
      </w:r>
      <w:r w:rsidR="003C5A96">
        <w:rPr>
          <w:rStyle w:val="mixed-citation"/>
          <w:rFonts w:asciiTheme="minorHAnsi" w:hAnsiTheme="minorHAnsi" w:cstheme="minorHAnsi"/>
          <w:lang w:val="en-US"/>
        </w:rPr>
        <w:t>(Ed),</w:t>
      </w:r>
      <w:r w:rsidRPr="005A464E">
        <w:rPr>
          <w:rStyle w:val="mixed-citation"/>
          <w:rFonts w:asciiTheme="minorHAnsi" w:hAnsiTheme="minorHAnsi" w:cstheme="minorHAnsi"/>
          <w:lang w:val="en-US"/>
        </w:rPr>
        <w:t xml:space="preserve"> </w:t>
      </w:r>
      <w:r w:rsidRPr="005A464E">
        <w:rPr>
          <w:rStyle w:val="mixed-citation"/>
          <w:rFonts w:asciiTheme="minorHAnsi" w:hAnsiTheme="minorHAnsi" w:cstheme="minorHAnsi"/>
          <w:i/>
          <w:lang w:val="en-US"/>
        </w:rPr>
        <w:t>Kidney diseases in the developing world and ethnic minorities</w:t>
      </w:r>
      <w:r w:rsidR="003C5A96" w:rsidRPr="003C5A96">
        <w:rPr>
          <w:rStyle w:val="mixed-citation"/>
          <w:rFonts w:asciiTheme="minorHAnsi" w:hAnsiTheme="minorHAnsi" w:cstheme="minorHAnsi"/>
          <w:lang w:val="en-US"/>
        </w:rPr>
        <w:t xml:space="preserve"> </w:t>
      </w:r>
      <w:r w:rsidR="003C5A96">
        <w:rPr>
          <w:rStyle w:val="mixed-citation"/>
          <w:rFonts w:asciiTheme="minorHAnsi" w:hAnsiTheme="minorHAnsi" w:cstheme="minorHAnsi"/>
          <w:lang w:val="en-US"/>
        </w:rPr>
        <w:t>(</w:t>
      </w:r>
      <w:r w:rsidR="003C5A96" w:rsidRPr="005A464E">
        <w:rPr>
          <w:rStyle w:val="mixed-citation"/>
          <w:rFonts w:asciiTheme="minorHAnsi" w:hAnsiTheme="minorHAnsi" w:cstheme="minorHAnsi"/>
          <w:lang w:val="en-US"/>
        </w:rPr>
        <w:t>p</w:t>
      </w:r>
      <w:r w:rsidR="003C5A96">
        <w:rPr>
          <w:rStyle w:val="mixed-citation"/>
          <w:rFonts w:asciiTheme="minorHAnsi" w:hAnsiTheme="minorHAnsi" w:cstheme="minorHAnsi"/>
          <w:lang w:val="en-US"/>
        </w:rPr>
        <w:t>p.</w:t>
      </w:r>
      <w:r w:rsidR="003C5A96" w:rsidRPr="005A464E">
        <w:rPr>
          <w:rStyle w:val="mixed-citation"/>
          <w:rFonts w:asciiTheme="minorHAnsi" w:hAnsiTheme="minorHAnsi" w:cstheme="minorHAnsi"/>
          <w:lang w:val="en-US"/>
        </w:rPr>
        <w:t xml:space="preserve"> 395-409</w:t>
      </w:r>
      <w:r w:rsidR="003C5A96">
        <w:rPr>
          <w:rStyle w:val="mixed-citation"/>
          <w:rFonts w:asciiTheme="minorHAnsi" w:hAnsiTheme="minorHAnsi" w:cstheme="minorHAnsi"/>
          <w:lang w:val="en-US"/>
        </w:rPr>
        <w:t>)</w:t>
      </w:r>
      <w:r w:rsidRPr="005A464E">
        <w:rPr>
          <w:rStyle w:val="mixed-citation"/>
          <w:rFonts w:asciiTheme="minorHAnsi" w:hAnsiTheme="minorHAnsi" w:cstheme="minorHAnsi"/>
          <w:lang w:val="en-US"/>
        </w:rPr>
        <w:t xml:space="preserve"> New York: Taylor and Francis,</w:t>
      </w:r>
      <w:r w:rsidR="000525C6" w:rsidRPr="005A464E">
        <w:rPr>
          <w:rStyle w:val="mixed-citation"/>
          <w:rFonts w:asciiTheme="minorHAnsi" w:hAnsiTheme="minorHAnsi" w:cstheme="minorHAnsi"/>
          <w:lang w:val="en-US"/>
        </w:rPr>
        <w:t>.</w:t>
      </w:r>
    </w:p>
    <w:p w:rsidR="009C32D8" w:rsidRPr="000729FE" w:rsidRDefault="009C32D8" w:rsidP="009C32D8">
      <w:pPr>
        <w:pStyle w:val="Web"/>
        <w:spacing w:after="166" w:line="360" w:lineRule="auto"/>
        <w:ind w:left="415" w:hanging="415"/>
        <w:jc w:val="both"/>
        <w:rPr>
          <w:rFonts w:asciiTheme="minorHAnsi" w:hAnsiTheme="minorHAnsi"/>
          <w:lang w:val="en-US"/>
        </w:rPr>
      </w:pPr>
      <w:r w:rsidRPr="009C32D8">
        <w:rPr>
          <w:rFonts w:asciiTheme="minorHAnsi" w:hAnsiTheme="minorHAnsi" w:cstheme="minorHAnsi"/>
          <w:lang w:val="en-US" w:eastAsia="el-GR"/>
        </w:rPr>
        <w:t xml:space="preserve">Davison, I. &amp; Cooke, S. (2015). How nurses’ attitudes and actions can influence shared care. </w:t>
      </w:r>
      <w:r w:rsidRPr="009C32D8">
        <w:rPr>
          <w:rFonts w:asciiTheme="minorHAnsi" w:hAnsiTheme="minorHAnsi" w:cstheme="minorHAnsi"/>
          <w:i/>
          <w:iCs/>
          <w:lang w:val="en-US" w:eastAsia="el-GR"/>
        </w:rPr>
        <w:t>Journal of Renal Care,</w:t>
      </w:r>
      <w:r w:rsidRPr="003C5A96">
        <w:rPr>
          <w:rFonts w:asciiTheme="minorHAnsi" w:hAnsiTheme="minorHAnsi" w:cstheme="minorHAnsi"/>
          <w:i/>
          <w:iCs/>
          <w:lang w:val="en-US" w:eastAsia="el-GR"/>
        </w:rPr>
        <w:t xml:space="preserve"> 41</w:t>
      </w:r>
      <w:r w:rsidRPr="009C32D8">
        <w:rPr>
          <w:rFonts w:asciiTheme="minorHAnsi" w:hAnsiTheme="minorHAnsi" w:cstheme="minorHAnsi"/>
          <w:lang w:val="en-US" w:eastAsia="el-GR"/>
        </w:rPr>
        <w:t>, 96-103.</w:t>
      </w:r>
    </w:p>
    <w:p w:rsidR="003C410F" w:rsidRPr="005A464E" w:rsidRDefault="003C410F" w:rsidP="005A464E">
      <w:pPr>
        <w:pStyle w:val="Web"/>
        <w:spacing w:after="166" w:line="360" w:lineRule="auto"/>
        <w:jc w:val="both"/>
        <w:rPr>
          <w:rStyle w:val="mixed-citation"/>
          <w:rFonts w:asciiTheme="minorHAnsi" w:hAnsiTheme="minorHAnsi" w:cstheme="minorHAnsi"/>
          <w:lang w:val="en-US"/>
        </w:rPr>
      </w:pPr>
      <w:r w:rsidRPr="005A464E">
        <w:rPr>
          <w:rStyle w:val="mixed-citation"/>
          <w:rFonts w:asciiTheme="minorHAnsi" w:hAnsiTheme="minorHAnsi" w:cstheme="minorHAnsi"/>
          <w:lang w:val="en-US"/>
        </w:rPr>
        <w:t xml:space="preserve">Delamater, M. (2006). Improving Patient Adherence. </w:t>
      </w:r>
      <w:r w:rsidRPr="005A464E">
        <w:rPr>
          <w:rStyle w:val="mixed-citation"/>
          <w:rFonts w:asciiTheme="minorHAnsi" w:hAnsiTheme="minorHAnsi" w:cstheme="minorHAnsi"/>
          <w:i/>
          <w:lang w:val="en-US"/>
        </w:rPr>
        <w:t>Clinical Diabetes,</w:t>
      </w:r>
      <w:r w:rsidRPr="005A464E">
        <w:rPr>
          <w:rStyle w:val="mixed-citation"/>
          <w:rFonts w:asciiTheme="minorHAnsi" w:hAnsiTheme="minorHAnsi" w:cstheme="minorHAnsi"/>
          <w:lang w:val="en-US"/>
        </w:rPr>
        <w:t xml:space="preserve"> 24 (2), 71-77.</w:t>
      </w:r>
    </w:p>
    <w:p w:rsidR="0034667B" w:rsidRDefault="003C410F" w:rsidP="0034667B">
      <w:pPr>
        <w:pStyle w:val="Web"/>
        <w:spacing w:after="166" w:line="360" w:lineRule="auto"/>
        <w:ind w:left="415" w:hanging="415"/>
        <w:jc w:val="both"/>
        <w:rPr>
          <w:rFonts w:asciiTheme="minorHAnsi" w:hAnsiTheme="minorHAnsi"/>
          <w:lang w:val="en-US"/>
        </w:rPr>
      </w:pPr>
      <w:r w:rsidRPr="005A464E">
        <w:rPr>
          <w:rFonts w:asciiTheme="minorHAnsi" w:hAnsiTheme="minorHAnsi" w:cstheme="minorHAnsi"/>
          <w:lang w:val="en-US"/>
        </w:rPr>
        <w:t>Devins, G.M., Binik, Y.M., Mandin, H., Letourneau, P.K., Ho</w:t>
      </w:r>
      <w:r w:rsidR="00ED5440" w:rsidRPr="005A464E">
        <w:rPr>
          <w:rFonts w:asciiTheme="minorHAnsi" w:hAnsiTheme="minorHAnsi" w:cstheme="minorHAnsi"/>
          <w:lang w:val="en-US"/>
        </w:rPr>
        <w:t xml:space="preserve">llomby, D.J., Barre, P.E., &amp; </w:t>
      </w:r>
      <w:hyperlink r:id="rId146" w:history="1">
        <w:r w:rsidR="00ED5440" w:rsidRPr="005A464E">
          <w:rPr>
            <w:rStyle w:val="-"/>
            <w:rFonts w:asciiTheme="minorHAnsi" w:hAnsiTheme="minorHAnsi" w:cstheme="minorHAnsi"/>
            <w:color w:val="auto"/>
            <w:u w:val="none"/>
            <w:shd w:val="clear" w:color="auto" w:fill="FFFFFF"/>
            <w:lang w:val="en-US"/>
          </w:rPr>
          <w:t>Prichard, S</w:t>
        </w:r>
      </w:hyperlink>
      <w:r w:rsidR="00ED5440" w:rsidRPr="005A464E">
        <w:rPr>
          <w:rFonts w:asciiTheme="minorHAnsi" w:hAnsiTheme="minorHAnsi" w:cstheme="minorHAnsi"/>
          <w:shd w:val="clear" w:color="auto" w:fill="FFFFFF"/>
          <w:lang w:val="en-US"/>
        </w:rPr>
        <w:t>.</w:t>
      </w:r>
      <w:r w:rsidRPr="005A464E">
        <w:rPr>
          <w:rFonts w:asciiTheme="minorHAnsi" w:hAnsiTheme="minorHAnsi" w:cstheme="minorHAnsi"/>
          <w:lang w:val="en-US"/>
        </w:rPr>
        <w:t xml:space="preserve"> (1990). The Kidney Disease Questionnaire: a test for measuring patient knowledge about end-stage renal disease. </w:t>
      </w:r>
      <w:r w:rsidRPr="005A464E">
        <w:rPr>
          <w:rFonts w:asciiTheme="minorHAnsi" w:hAnsiTheme="minorHAnsi" w:cstheme="minorHAnsi"/>
          <w:i/>
          <w:lang w:val="en-US"/>
        </w:rPr>
        <w:t>Journal of Clinical Epidemiology</w:t>
      </w:r>
      <w:r w:rsidR="003C5A96">
        <w:rPr>
          <w:rFonts w:asciiTheme="minorHAnsi" w:hAnsiTheme="minorHAnsi" w:cstheme="minorHAnsi"/>
          <w:lang w:val="en-US"/>
        </w:rPr>
        <w:t>,</w:t>
      </w:r>
      <w:r w:rsidR="003C5A96" w:rsidRPr="003C5A96">
        <w:rPr>
          <w:rFonts w:asciiTheme="minorHAnsi" w:hAnsiTheme="minorHAnsi" w:cstheme="minorHAnsi"/>
          <w:lang w:val="en-US"/>
        </w:rPr>
        <w:t xml:space="preserve"> </w:t>
      </w:r>
      <w:r w:rsidR="003C5A96" w:rsidRPr="003C5A96">
        <w:rPr>
          <w:rFonts w:asciiTheme="minorHAnsi" w:hAnsiTheme="minorHAnsi" w:cstheme="minorHAnsi"/>
          <w:i/>
          <w:lang w:val="en-US"/>
        </w:rPr>
        <w:t>43,</w:t>
      </w:r>
      <w:r w:rsidR="003C5A96">
        <w:rPr>
          <w:rFonts w:asciiTheme="minorHAnsi" w:hAnsiTheme="minorHAnsi" w:cstheme="minorHAnsi"/>
          <w:lang w:val="en-US"/>
        </w:rPr>
        <w:t xml:space="preserve"> </w:t>
      </w:r>
      <w:r w:rsidRPr="005A464E">
        <w:rPr>
          <w:rFonts w:asciiTheme="minorHAnsi" w:hAnsiTheme="minorHAnsi" w:cstheme="minorHAnsi"/>
          <w:lang w:val="en-US"/>
        </w:rPr>
        <w:t xml:space="preserve">297-307 </w:t>
      </w:r>
      <w:hyperlink r:id="rId147"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.org/10.1016/0895-4356(90)90010-M</w:t>
        </w:r>
      </w:hyperlink>
      <w:r w:rsidR="00ED5440" w:rsidRPr="005A464E">
        <w:rPr>
          <w:rFonts w:asciiTheme="minorHAnsi" w:hAnsiTheme="minorHAnsi"/>
          <w:lang w:val="en-US"/>
        </w:rPr>
        <w:t>.</w:t>
      </w:r>
    </w:p>
    <w:p w:rsidR="0034667B" w:rsidRPr="0034667B" w:rsidRDefault="0034667B" w:rsidP="004853F5">
      <w:pPr>
        <w:pStyle w:val="Web"/>
        <w:spacing w:after="166" w:line="360" w:lineRule="auto"/>
        <w:ind w:left="415" w:hanging="415"/>
        <w:jc w:val="both"/>
        <w:rPr>
          <w:rFonts w:asciiTheme="minorHAnsi" w:hAnsiTheme="minorHAnsi" w:cstheme="minorHAnsi"/>
          <w:lang w:val="en-US"/>
        </w:rPr>
      </w:pPr>
      <w:r w:rsidRPr="0034667B">
        <w:rPr>
          <w:rFonts w:asciiTheme="minorHAnsi" w:hAnsiTheme="minorHAnsi" w:cstheme="minorHAnsi"/>
          <w:shd w:val="clear" w:color="auto" w:fill="FFFFFF"/>
          <w:lang w:val="en-US"/>
        </w:rPr>
        <w:t>Dhondup</w:t>
      </w:r>
      <w:r>
        <w:rPr>
          <w:rFonts w:asciiTheme="minorHAnsi" w:hAnsiTheme="minorHAnsi" w:cstheme="minorHAnsi"/>
          <w:shd w:val="clear" w:color="auto" w:fill="FFFFFF"/>
          <w:lang w:val="en-US"/>
        </w:rPr>
        <w:t>,</w:t>
      </w:r>
      <w:r w:rsidRPr="0034667B">
        <w:rPr>
          <w:rFonts w:asciiTheme="minorHAnsi" w:hAnsiTheme="minorHAnsi" w:cstheme="minorHAnsi"/>
          <w:shd w:val="clear" w:color="auto" w:fill="FFFFFF"/>
          <w:lang w:val="en-US"/>
        </w:rPr>
        <w:t xml:space="preserve"> T.</w:t>
      </w:r>
      <w:r>
        <w:rPr>
          <w:rFonts w:asciiTheme="minorHAnsi" w:hAnsiTheme="minorHAnsi" w:cstheme="minorHAnsi"/>
          <w:shd w:val="clear" w:color="auto" w:fill="FFFFFF"/>
          <w:lang w:val="en-US"/>
        </w:rPr>
        <w:t xml:space="preserve"> &amp; </w:t>
      </w:r>
      <w:r w:rsidRPr="0034667B">
        <w:rPr>
          <w:rFonts w:asciiTheme="minorHAnsi" w:hAnsiTheme="minorHAnsi" w:cstheme="minorHAnsi"/>
          <w:shd w:val="clear" w:color="auto" w:fill="FFFFFF"/>
          <w:lang w:val="en-US"/>
        </w:rPr>
        <w:t> Qian</w:t>
      </w:r>
      <w:r>
        <w:rPr>
          <w:rFonts w:asciiTheme="minorHAnsi" w:hAnsiTheme="minorHAnsi" w:cstheme="minorHAnsi"/>
          <w:shd w:val="clear" w:color="auto" w:fill="FFFFFF"/>
          <w:lang w:val="en-US"/>
        </w:rPr>
        <w:t>,</w:t>
      </w:r>
      <w:r w:rsidRPr="0034667B">
        <w:rPr>
          <w:rFonts w:asciiTheme="minorHAnsi" w:hAnsiTheme="minorHAnsi" w:cstheme="minorHAnsi"/>
          <w:shd w:val="clear" w:color="auto" w:fill="FFFFFF"/>
          <w:lang w:val="en-US"/>
        </w:rPr>
        <w:t xml:space="preserve"> Q.</w:t>
      </w:r>
      <w:r>
        <w:rPr>
          <w:rFonts w:asciiTheme="minorHAnsi" w:hAnsiTheme="minorHAnsi" w:cstheme="minorHAnsi"/>
          <w:shd w:val="clear" w:color="auto" w:fill="FFFFFF"/>
          <w:lang w:val="en-US"/>
        </w:rPr>
        <w:t xml:space="preserve"> (2017). </w:t>
      </w:r>
      <w:r w:rsidRPr="0034667B">
        <w:rPr>
          <w:rFonts w:asciiTheme="minorHAnsi" w:hAnsiTheme="minorHAnsi" w:cstheme="minorHAnsi"/>
          <w:shd w:val="clear" w:color="auto" w:fill="FFFFFF"/>
          <w:lang w:val="en-US"/>
        </w:rPr>
        <w:t> </w:t>
      </w:r>
      <w:r w:rsidRPr="0034667B">
        <w:rPr>
          <w:rFonts w:asciiTheme="minorHAnsi" w:hAnsiTheme="minorHAnsi" w:cstheme="minorHAnsi"/>
          <w:bCs/>
          <w:lang w:val="en-US"/>
        </w:rPr>
        <w:t xml:space="preserve">Electrolyte and Acid-Base Disorders in Chronic Kidney Disease and End-Stage Kidney Failure. </w:t>
      </w:r>
      <w:r w:rsidRPr="0034667B">
        <w:rPr>
          <w:rFonts w:asciiTheme="minorHAnsi" w:hAnsiTheme="minorHAnsi" w:cstheme="minorHAnsi"/>
          <w:bCs/>
          <w:i/>
          <w:lang w:val="en-US"/>
        </w:rPr>
        <w:t xml:space="preserve">Blood Purification, </w:t>
      </w:r>
      <w:r w:rsidRPr="0034667B">
        <w:rPr>
          <w:rFonts w:asciiTheme="minorHAnsi" w:hAnsiTheme="minorHAnsi" w:cstheme="minorHAnsi"/>
          <w:i/>
          <w:shd w:val="clear" w:color="auto" w:fill="FFFFFF"/>
          <w:lang w:val="en-US"/>
        </w:rPr>
        <w:t>43,</w:t>
      </w:r>
      <w:r>
        <w:rPr>
          <w:rFonts w:asciiTheme="minorHAnsi" w:hAnsiTheme="minorHAnsi" w:cstheme="minorHAnsi"/>
          <w:i/>
          <w:shd w:val="clear" w:color="auto" w:fill="FFFFFF"/>
          <w:lang w:val="en-US"/>
        </w:rPr>
        <w:t xml:space="preserve"> </w:t>
      </w:r>
      <w:r w:rsidRPr="0034667B">
        <w:rPr>
          <w:rFonts w:asciiTheme="minorHAnsi" w:hAnsiTheme="minorHAnsi" w:cstheme="minorHAnsi"/>
          <w:shd w:val="clear" w:color="auto" w:fill="FFFFFF"/>
          <w:lang w:val="en-US"/>
        </w:rPr>
        <w:t>179-188</w:t>
      </w:r>
      <w:r>
        <w:rPr>
          <w:rFonts w:asciiTheme="minorHAnsi" w:hAnsiTheme="minorHAnsi" w:cstheme="minorHAnsi"/>
          <w:shd w:val="clear" w:color="auto" w:fill="FFFFFF"/>
          <w:lang w:val="en-US"/>
        </w:rPr>
        <w:t>.</w:t>
      </w:r>
      <w:r w:rsidRPr="0034667B">
        <w:rPr>
          <w:rFonts w:asciiTheme="minorHAnsi" w:hAnsiTheme="minorHAnsi" w:cstheme="minorHAnsi"/>
          <w:shd w:val="clear" w:color="auto" w:fill="FFFFFF"/>
          <w:lang w:val="en-US"/>
        </w:rPr>
        <w:t xml:space="preserve"> </w:t>
      </w:r>
      <w:hyperlink r:id="rId148" w:history="1">
        <w:r w:rsidRPr="0034667B">
          <w:rPr>
            <w:rStyle w:val="-"/>
            <w:rFonts w:asciiTheme="minorHAnsi" w:hAnsiTheme="minorHAnsi" w:cstheme="minorHAnsi"/>
            <w:color w:val="auto"/>
            <w:u w:val="none"/>
            <w:shd w:val="clear" w:color="auto" w:fill="FFFFFF"/>
            <w:lang w:val="en-US"/>
          </w:rPr>
          <w:t>https://doi.org/10.1159/000452725</w:t>
        </w:r>
      </w:hyperlink>
      <w:r>
        <w:rPr>
          <w:rFonts w:asciiTheme="minorHAnsi" w:hAnsiTheme="minorHAnsi" w:cs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Diaz, E.W., Levine, H.B., Sullivan, M.C.,</w:t>
      </w:r>
      <w:r w:rsidR="0078495A">
        <w:rPr>
          <w:rFonts w:asciiTheme="minorHAnsi" w:hAnsiTheme="minorHAnsi" w:cstheme="minorHAnsi"/>
          <w:lang w:val="en-US"/>
        </w:rPr>
        <w:t xml:space="preserve"> </w:t>
      </w:r>
      <w:hyperlink r:id="rId149" w:history="1">
        <w:r w:rsidRPr="005A464E">
          <w:rPr>
            <w:rStyle w:val="-"/>
            <w:rFonts w:asciiTheme="minorHAnsi" w:hAnsiTheme="minorHAnsi" w:cstheme="minorHAnsi"/>
            <w:color w:val="auto"/>
            <w:u w:val="none"/>
            <w:shd w:val="clear" w:color="auto" w:fill="FFFFFF"/>
            <w:lang w:val="en-US"/>
          </w:rPr>
          <w:t>Sernyak, M.J</w:t>
        </w:r>
      </w:hyperlink>
      <w:r w:rsidRPr="005A464E">
        <w:rPr>
          <w:rFonts w:asciiTheme="minorHAnsi" w:hAnsiTheme="minorHAnsi" w:cstheme="minorHAnsi"/>
          <w:lang w:val="en-US"/>
        </w:rPr>
        <w:t>.</w:t>
      </w:r>
      <w:r w:rsidRPr="005A464E">
        <w:rPr>
          <w:rFonts w:asciiTheme="minorHAnsi" w:hAnsiTheme="minorHAnsi" w:cstheme="minorHAnsi"/>
          <w:shd w:val="clear" w:color="auto" w:fill="FFFFFF"/>
          <w:lang w:val="en-US"/>
        </w:rPr>
        <w:t>,</w:t>
      </w:r>
      <w:r w:rsidRPr="005A464E">
        <w:rPr>
          <w:rStyle w:val="apple-converted-space"/>
          <w:rFonts w:asciiTheme="minorHAnsi" w:hAnsiTheme="minorHAnsi" w:cstheme="minorHAnsi"/>
          <w:shd w:val="clear" w:color="auto" w:fill="FFFFFF"/>
          <w:lang w:val="en-US"/>
        </w:rPr>
        <w:t> </w:t>
      </w:r>
      <w:hyperlink r:id="rId150" w:history="1">
        <w:r w:rsidRPr="005A464E">
          <w:rPr>
            <w:rStyle w:val="-"/>
            <w:rFonts w:asciiTheme="minorHAnsi" w:hAnsiTheme="minorHAnsi" w:cstheme="minorHAnsi"/>
            <w:color w:val="auto"/>
            <w:u w:val="none"/>
            <w:shd w:val="clear" w:color="auto" w:fill="FFFFFF"/>
            <w:lang w:val="en-US"/>
          </w:rPr>
          <w:t>Hawkins,, K.A</w:t>
        </w:r>
      </w:hyperlink>
      <w:r w:rsidRPr="005A464E">
        <w:rPr>
          <w:rFonts w:asciiTheme="minorHAnsi" w:hAnsiTheme="minorHAnsi" w:cstheme="minorHAnsi"/>
          <w:lang w:val="en-US"/>
        </w:rPr>
        <w:t>.</w:t>
      </w:r>
      <w:r w:rsidRPr="005A464E">
        <w:rPr>
          <w:rFonts w:asciiTheme="minorHAnsi" w:hAnsiTheme="minorHAnsi" w:cstheme="minorHAnsi"/>
          <w:shd w:val="clear" w:color="auto" w:fill="FFFFFF"/>
          <w:lang w:val="en-US"/>
        </w:rPr>
        <w:t>,</w:t>
      </w:r>
      <w:r w:rsidRPr="005A464E">
        <w:rPr>
          <w:rStyle w:val="apple-converted-space"/>
          <w:rFonts w:asciiTheme="minorHAnsi" w:hAnsiTheme="minorHAnsi" w:cstheme="minorHAnsi"/>
          <w:shd w:val="clear" w:color="auto" w:fill="FFFFFF"/>
          <w:lang w:val="en-US"/>
        </w:rPr>
        <w:t> </w:t>
      </w:r>
      <w:hyperlink r:id="rId151" w:history="1">
        <w:r w:rsidRPr="005A464E">
          <w:rPr>
            <w:rStyle w:val="-"/>
            <w:rFonts w:asciiTheme="minorHAnsi" w:hAnsiTheme="minorHAnsi" w:cstheme="minorHAnsi"/>
            <w:color w:val="auto"/>
            <w:u w:val="none"/>
            <w:shd w:val="clear" w:color="auto" w:fill="FFFFFF"/>
            <w:lang w:val="en-US"/>
          </w:rPr>
          <w:t>Cramer, J.A</w:t>
        </w:r>
      </w:hyperlink>
      <w:r w:rsidRPr="005A464E">
        <w:rPr>
          <w:rFonts w:asciiTheme="minorHAnsi" w:hAnsiTheme="minorHAnsi" w:cstheme="minorHAnsi"/>
          <w:lang w:val="en-US"/>
        </w:rPr>
        <w:t>.</w:t>
      </w:r>
      <w:r w:rsidR="00ED5440" w:rsidRPr="005A464E">
        <w:rPr>
          <w:rFonts w:asciiTheme="minorHAnsi" w:hAnsiTheme="minorHAnsi" w:cstheme="minorHAnsi"/>
          <w:shd w:val="clear" w:color="auto" w:fill="FFFFFF"/>
          <w:lang w:val="en-US"/>
        </w:rPr>
        <w:t>, &amp; Woods S.W</w:t>
      </w:r>
      <w:r w:rsidRPr="005A464E">
        <w:rPr>
          <w:rFonts w:asciiTheme="minorHAnsi" w:hAnsiTheme="minorHAnsi" w:cstheme="minorHAnsi"/>
          <w:shd w:val="clear" w:color="auto" w:fill="FFFFFF"/>
          <w:lang w:val="en-US"/>
        </w:rPr>
        <w:t>.</w:t>
      </w:r>
      <w:r w:rsidRPr="005A464E">
        <w:rPr>
          <w:rFonts w:asciiTheme="minorHAnsi" w:hAnsiTheme="minorHAnsi" w:cstheme="minorHAnsi"/>
          <w:lang w:val="en-US"/>
        </w:rPr>
        <w:t xml:space="preserve"> (2001). Use of the medication event monitoring system to estimate medication compliance in patients with schizophrenia. </w:t>
      </w:r>
      <w:r w:rsidRPr="005A464E">
        <w:rPr>
          <w:rFonts w:asciiTheme="minorHAnsi" w:hAnsiTheme="minorHAnsi" w:cstheme="minorHAnsi"/>
          <w:i/>
          <w:lang w:val="en-US"/>
        </w:rPr>
        <w:t>Journal of Psychiatry and Neuroscience</w:t>
      </w:r>
      <w:r w:rsidR="003C5A96">
        <w:rPr>
          <w:rFonts w:asciiTheme="minorHAnsi" w:hAnsiTheme="minorHAnsi" w:cstheme="minorHAnsi"/>
          <w:lang w:val="en-US"/>
        </w:rPr>
        <w:t xml:space="preserve">, </w:t>
      </w:r>
      <w:r w:rsidR="003C5A96" w:rsidRPr="003C5A96">
        <w:rPr>
          <w:rFonts w:asciiTheme="minorHAnsi" w:hAnsiTheme="minorHAnsi" w:cstheme="minorHAnsi"/>
          <w:i/>
          <w:lang w:val="en-US"/>
        </w:rPr>
        <w:t>26</w:t>
      </w:r>
      <w:r w:rsidRPr="003C5A96">
        <w:rPr>
          <w:rFonts w:asciiTheme="minorHAnsi" w:hAnsiTheme="minorHAnsi" w:cstheme="minorHAnsi"/>
          <w:i/>
          <w:lang w:val="en-US"/>
        </w:rPr>
        <w:t>,</w:t>
      </w:r>
      <w:r w:rsidRPr="005A464E">
        <w:rPr>
          <w:rFonts w:asciiTheme="minorHAnsi" w:hAnsiTheme="minorHAnsi" w:cstheme="minorHAnsi"/>
          <w:lang w:val="en-US"/>
        </w:rPr>
        <w:t xml:space="preserve"> 325–329.</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Dijkers, M.P. (2005). Quality of life of individuals with spinal cord injury: A review of conceptualization, measurement, and research findings. </w:t>
      </w:r>
      <w:r w:rsidRPr="005A464E">
        <w:rPr>
          <w:rFonts w:asciiTheme="minorHAnsi" w:hAnsiTheme="minorHAnsi" w:cstheme="minorHAnsi"/>
          <w:i/>
          <w:iCs/>
          <w:lang w:val="en-US"/>
        </w:rPr>
        <w:t>Journal of Rehabilitation Research and Development,</w:t>
      </w:r>
      <w:r w:rsidRPr="005A464E">
        <w:rPr>
          <w:rFonts w:asciiTheme="minorHAnsi" w:hAnsiTheme="minorHAnsi" w:cstheme="minorHAnsi"/>
          <w:iCs/>
          <w:lang w:val="en-US"/>
        </w:rPr>
        <w:t xml:space="preserve"> </w:t>
      </w:r>
      <w:r w:rsidRPr="003C5A96">
        <w:rPr>
          <w:rFonts w:asciiTheme="minorHAnsi" w:hAnsiTheme="minorHAnsi" w:cstheme="minorHAnsi"/>
          <w:i/>
          <w:iCs/>
          <w:lang w:val="en-US"/>
        </w:rPr>
        <w:t>42</w:t>
      </w:r>
      <w:r w:rsidRPr="003C5A96">
        <w:rPr>
          <w:rFonts w:asciiTheme="minorHAnsi" w:hAnsiTheme="minorHAnsi" w:cstheme="minorHAnsi"/>
          <w:i/>
          <w:lang w:val="en-US"/>
        </w:rPr>
        <w:t>,</w:t>
      </w:r>
      <w:r w:rsidRPr="005A464E">
        <w:rPr>
          <w:rFonts w:asciiTheme="minorHAnsi" w:hAnsiTheme="minorHAnsi" w:cstheme="minorHAnsi"/>
          <w:lang w:val="en-US"/>
        </w:rPr>
        <w:t xml:space="preserve"> 87-102.</w:t>
      </w:r>
    </w:p>
    <w:p w:rsidR="006623A7" w:rsidRPr="005A464E" w:rsidRDefault="006623A7"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DiMatteo, M.R., Giordani, P.J., Lepper, H.S., Croghan, T.W. (2002). Patient adherence and medical treatment outcomes: a meta-analysis. </w:t>
      </w:r>
      <w:r w:rsidRPr="005A464E">
        <w:rPr>
          <w:rFonts w:asciiTheme="minorHAnsi" w:hAnsiTheme="minorHAnsi" w:cstheme="minorHAnsi"/>
          <w:i/>
          <w:lang w:val="en-US"/>
        </w:rPr>
        <w:t>Medical Care</w:t>
      </w:r>
      <w:r w:rsidR="003C5A96">
        <w:rPr>
          <w:rFonts w:asciiTheme="minorHAnsi" w:hAnsiTheme="minorHAnsi" w:cstheme="minorHAnsi"/>
          <w:lang w:val="en-US"/>
        </w:rPr>
        <w:t>,</w:t>
      </w:r>
      <w:r w:rsidR="003C5A96" w:rsidRPr="003C5A96">
        <w:rPr>
          <w:rFonts w:asciiTheme="minorHAnsi" w:hAnsiTheme="minorHAnsi" w:cstheme="minorHAnsi"/>
          <w:i/>
          <w:lang w:val="en-US"/>
        </w:rPr>
        <w:t xml:space="preserve"> 40</w:t>
      </w:r>
      <w:r w:rsidR="00ED5440" w:rsidRPr="005A464E">
        <w:rPr>
          <w:rFonts w:asciiTheme="minorHAnsi" w:hAnsiTheme="minorHAnsi" w:cstheme="minorHAnsi"/>
          <w:lang w:val="en-US"/>
        </w:rPr>
        <w:t xml:space="preserve">, </w:t>
      </w:r>
      <w:r w:rsidRPr="005A464E">
        <w:rPr>
          <w:rFonts w:asciiTheme="minorHAnsi" w:hAnsiTheme="minorHAnsi" w:cstheme="minorHAnsi"/>
          <w:lang w:val="en-US"/>
        </w:rPr>
        <w:t>794-811</w:t>
      </w:r>
      <w:r w:rsidR="00ED5440" w:rsidRPr="005A464E">
        <w:rPr>
          <w:rFonts w:asciiTheme="minorHAnsi" w:hAnsiTheme="minorHAnsi" w:cstheme="minorHAnsi"/>
          <w:lang w:val="en-US"/>
        </w:rPr>
        <w:t>.</w:t>
      </w:r>
      <w:r w:rsidRPr="005A464E">
        <w:rPr>
          <w:rFonts w:asciiTheme="minorHAnsi" w:hAnsiTheme="minorHAnsi" w:cstheme="minorHAnsi"/>
          <w:lang w:val="en-US"/>
        </w:rPr>
        <w:t xml:space="preserve"> </w:t>
      </w:r>
      <w:r w:rsidR="00292B29" w:rsidRPr="005A464E">
        <w:rPr>
          <w:rFonts w:asciiTheme="minorHAnsi" w:hAnsiTheme="minorHAnsi" w:cstheme="minorHAnsi"/>
          <w:lang w:val="en-US"/>
        </w:rPr>
        <w:t>DOI</w:t>
      </w:r>
      <w:r w:rsidRPr="005A464E">
        <w:rPr>
          <w:rFonts w:asciiTheme="minorHAnsi" w:hAnsiTheme="minorHAnsi" w:cstheme="minorHAnsi"/>
          <w:lang w:val="en-US"/>
        </w:rPr>
        <w:t>:</w:t>
      </w:r>
      <w:hyperlink r:id="rId152" w:history="1">
        <w:r w:rsidRPr="005A464E">
          <w:rPr>
            <w:rStyle w:val="-"/>
            <w:rFonts w:asciiTheme="minorHAnsi" w:hAnsiTheme="minorHAnsi" w:cstheme="minorHAnsi"/>
            <w:color w:val="auto"/>
            <w:u w:val="none"/>
            <w:lang w:val="en-US"/>
          </w:rPr>
          <w:t>10.1097/01.MLR.0000024612.61915.2D</w:t>
        </w:r>
      </w:hyperlink>
    </w:p>
    <w:p w:rsidR="003C410F" w:rsidRPr="005A464E" w:rsidRDefault="003C410F" w:rsidP="005A464E">
      <w:pPr>
        <w:pStyle w:val="Web"/>
        <w:spacing w:after="166" w:line="360" w:lineRule="auto"/>
        <w:ind w:left="415" w:hanging="415"/>
        <w:jc w:val="both"/>
        <w:rPr>
          <w:rFonts w:asciiTheme="minorHAnsi" w:hAnsiTheme="minorHAnsi"/>
          <w:lang w:val="en-US"/>
        </w:rPr>
      </w:pPr>
      <w:r w:rsidRPr="005A464E">
        <w:rPr>
          <w:rFonts w:asciiTheme="minorHAnsi" w:hAnsiTheme="minorHAnsi" w:cstheme="minorHAnsi"/>
          <w:lang w:val="en-US"/>
        </w:rPr>
        <w:t xml:space="preserve">DiMatteo, M.R. (2004). Variations in patients' adherence to medical recommendations: a quantitative review of 50 years of research. </w:t>
      </w:r>
      <w:r w:rsidRPr="005A464E">
        <w:rPr>
          <w:rFonts w:asciiTheme="minorHAnsi" w:hAnsiTheme="minorHAnsi" w:cstheme="minorHAnsi"/>
          <w:i/>
          <w:lang w:val="en-US"/>
        </w:rPr>
        <w:t>Medical Care,</w:t>
      </w:r>
      <w:r w:rsidR="003C5A96">
        <w:rPr>
          <w:rFonts w:asciiTheme="minorHAnsi" w:hAnsiTheme="minorHAnsi" w:cstheme="minorHAnsi"/>
          <w:lang w:val="en-US"/>
        </w:rPr>
        <w:t xml:space="preserve"> </w:t>
      </w:r>
      <w:r w:rsidR="003C5A96" w:rsidRPr="003C5A96">
        <w:rPr>
          <w:rFonts w:asciiTheme="minorHAnsi" w:hAnsiTheme="minorHAnsi" w:cstheme="minorHAnsi"/>
          <w:i/>
          <w:lang w:val="en-US"/>
        </w:rPr>
        <w:t>42</w:t>
      </w:r>
      <w:r w:rsidRPr="003C5A96">
        <w:rPr>
          <w:rFonts w:asciiTheme="minorHAnsi" w:hAnsiTheme="minorHAnsi" w:cstheme="minorHAnsi"/>
          <w:i/>
          <w:lang w:val="en-US"/>
        </w:rPr>
        <w:t>,</w:t>
      </w:r>
      <w:r w:rsidRPr="005A464E">
        <w:rPr>
          <w:rFonts w:asciiTheme="minorHAnsi" w:hAnsiTheme="minorHAnsi" w:cstheme="minorHAnsi"/>
          <w:lang w:val="en-US"/>
        </w:rPr>
        <w:t xml:space="preserve"> 200-209.</w:t>
      </w:r>
      <w:r w:rsidRPr="005A464E">
        <w:rPr>
          <w:rFonts w:asciiTheme="minorHAnsi" w:hAnsiTheme="minorHAnsi"/>
          <w:lang w:val="en-US"/>
        </w:rPr>
        <w:t xml:space="preserve"> </w:t>
      </w:r>
      <w:r w:rsidR="00292B29" w:rsidRPr="005A464E">
        <w:rPr>
          <w:rFonts w:asciiTheme="minorHAnsi" w:hAnsiTheme="minorHAnsi"/>
          <w:lang w:val="en-US"/>
        </w:rPr>
        <w:t>DOI</w:t>
      </w:r>
      <w:r w:rsidRPr="005A464E">
        <w:rPr>
          <w:rFonts w:asciiTheme="minorHAnsi" w:hAnsiTheme="minorHAnsi"/>
          <w:lang w:val="en-US"/>
        </w:rPr>
        <w:t>: 10.1097/01.mlr.0000114908.90348.f9</w:t>
      </w:r>
      <w:r w:rsidR="00ED5440"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Doak, C.C., Doak, L.G., &amp; Root, J.H. </w:t>
      </w:r>
      <w:r w:rsidR="003C5A96">
        <w:rPr>
          <w:rFonts w:asciiTheme="minorHAnsi" w:hAnsiTheme="minorHAnsi" w:cstheme="minorHAnsi"/>
          <w:lang w:val="en-US"/>
        </w:rPr>
        <w:t xml:space="preserve">(Eds). </w:t>
      </w:r>
      <w:r w:rsidRPr="005A464E">
        <w:rPr>
          <w:rFonts w:asciiTheme="minorHAnsi" w:hAnsiTheme="minorHAnsi" w:cstheme="minorHAnsi"/>
          <w:lang w:val="en-US"/>
        </w:rPr>
        <w:t xml:space="preserve">( 1996). </w:t>
      </w:r>
      <w:r w:rsidRPr="003C5A96">
        <w:rPr>
          <w:rFonts w:asciiTheme="minorHAnsi" w:hAnsiTheme="minorHAnsi" w:cstheme="minorHAnsi"/>
          <w:i/>
          <w:lang w:val="en-US"/>
        </w:rPr>
        <w:t>Teaching patients with low literacy skills.</w:t>
      </w:r>
      <w:r w:rsidRPr="005A464E">
        <w:rPr>
          <w:rFonts w:asciiTheme="minorHAnsi" w:hAnsiTheme="minorHAnsi" w:cstheme="minorHAnsi"/>
          <w:lang w:val="en-US"/>
        </w:rPr>
        <w:t xml:space="preserve"> Philadelphia: Lippincott</w:t>
      </w:r>
      <w:r w:rsidR="00ED5440" w:rsidRPr="005A464E">
        <w:rPr>
          <w:rFonts w:asciiTheme="minorHAnsi" w:hAnsiTheme="minorHAnsi" w:cstheme="minorHAnsi"/>
          <w:lang w:val="en-US"/>
        </w:rPr>
        <w:t xml:space="preserve"> </w:t>
      </w:r>
      <w:r w:rsidRPr="005A464E">
        <w:rPr>
          <w:rFonts w:asciiTheme="minorHAnsi" w:hAnsiTheme="minorHAnsi" w:cstheme="minorHAnsi"/>
          <w:lang w:val="en-US"/>
        </w:rPr>
        <w:t>Publishers.</w:t>
      </w:r>
    </w:p>
    <w:p w:rsidR="005D5005" w:rsidRPr="005A464E" w:rsidRDefault="003C410F" w:rsidP="005A464E">
      <w:pPr>
        <w:pStyle w:val="Web"/>
        <w:spacing w:after="166" w:line="360" w:lineRule="auto"/>
        <w:ind w:left="415" w:hanging="415"/>
        <w:jc w:val="both"/>
        <w:rPr>
          <w:rFonts w:asciiTheme="minorHAnsi" w:hAnsiTheme="minorHAnsi"/>
          <w:lang w:val="en-US"/>
        </w:rPr>
      </w:pPr>
      <w:r w:rsidRPr="005A464E">
        <w:rPr>
          <w:rFonts w:asciiTheme="minorHAnsi" w:hAnsiTheme="minorHAnsi" w:cstheme="minorHAnsi"/>
          <w:lang w:val="en-US"/>
        </w:rPr>
        <w:t>Dobrof, J., Dolinko, A, Lichtiger, E., Uribarri, J., &amp; Epstein, I. (2001). Dialysis patient characteristics and outcomes: The complexity of social work practice with the end stage renal disease population</w:t>
      </w:r>
      <w:r w:rsidRPr="005A464E">
        <w:rPr>
          <w:rFonts w:asciiTheme="minorHAnsi" w:hAnsiTheme="minorHAnsi" w:cstheme="minorHAnsi"/>
          <w:i/>
          <w:lang w:val="en-US"/>
        </w:rPr>
        <w:t xml:space="preserve">. </w:t>
      </w:r>
      <w:r w:rsidRPr="005A464E">
        <w:rPr>
          <w:rFonts w:asciiTheme="minorHAnsi" w:hAnsiTheme="minorHAnsi" w:cstheme="minorHAnsi"/>
          <w:i/>
          <w:iCs/>
          <w:lang w:val="en-US"/>
        </w:rPr>
        <w:t>Social Work in Health Care</w:t>
      </w:r>
      <w:r w:rsidRPr="005A464E">
        <w:rPr>
          <w:rFonts w:asciiTheme="minorHAnsi" w:hAnsiTheme="minorHAnsi" w:cstheme="minorHAnsi"/>
          <w:iCs/>
          <w:lang w:val="en-US"/>
        </w:rPr>
        <w:t xml:space="preserve">, </w:t>
      </w:r>
      <w:r w:rsidR="00353037" w:rsidRPr="00353037">
        <w:rPr>
          <w:rFonts w:asciiTheme="minorHAnsi" w:hAnsiTheme="minorHAnsi" w:cstheme="minorHAnsi"/>
          <w:i/>
          <w:lang w:val="en-US"/>
        </w:rPr>
        <w:t>33</w:t>
      </w:r>
      <w:r w:rsidRPr="005A464E">
        <w:rPr>
          <w:rFonts w:asciiTheme="minorHAnsi" w:hAnsiTheme="minorHAnsi" w:cstheme="minorHAnsi"/>
          <w:lang w:val="en-US"/>
        </w:rPr>
        <w:t>, 105-128</w:t>
      </w:r>
      <w:r w:rsidR="00ED5440" w:rsidRPr="005A464E">
        <w:rPr>
          <w:rFonts w:asciiTheme="minorHAnsi" w:hAnsiTheme="minorHAnsi" w:cstheme="minorHAnsi"/>
          <w:lang w:val="en-US"/>
        </w:rPr>
        <w:t>.</w:t>
      </w:r>
      <w:r w:rsidRPr="005A464E">
        <w:rPr>
          <w:rFonts w:asciiTheme="minorHAnsi" w:hAnsiTheme="minorHAnsi" w:cstheme="minorHAnsi"/>
          <w:lang w:val="en-US"/>
        </w:rPr>
        <w:t xml:space="preserve"> </w:t>
      </w:r>
      <w:hyperlink r:id="rId153"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.org/10.1300/J010v33n03_08</w:t>
        </w:r>
      </w:hyperlink>
    </w:p>
    <w:p w:rsidR="005D5005" w:rsidRPr="005A464E" w:rsidRDefault="005D5005"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iCs/>
          <w:lang w:val="en-US"/>
        </w:rPr>
        <w:t>Dombros</w:t>
      </w:r>
      <w:r w:rsidR="007A490B" w:rsidRPr="005A464E">
        <w:rPr>
          <w:rFonts w:asciiTheme="minorHAnsi" w:hAnsiTheme="minorHAnsi" w:cstheme="minorHAnsi"/>
          <w:iCs/>
          <w:lang w:val="en-US"/>
        </w:rPr>
        <w:t>,</w:t>
      </w:r>
      <w:r w:rsidRPr="005A464E">
        <w:rPr>
          <w:rFonts w:asciiTheme="minorHAnsi" w:hAnsiTheme="minorHAnsi" w:cstheme="minorHAnsi"/>
          <w:iCs/>
          <w:lang w:val="en-US"/>
        </w:rPr>
        <w:t xml:space="preserve"> N</w:t>
      </w:r>
      <w:r w:rsidR="007A490B" w:rsidRPr="005A464E">
        <w:rPr>
          <w:rFonts w:asciiTheme="minorHAnsi" w:hAnsiTheme="minorHAnsi" w:cstheme="minorHAnsi"/>
          <w:iCs/>
          <w:lang w:val="en-US"/>
        </w:rPr>
        <w:t>.</w:t>
      </w:r>
      <w:r w:rsidRPr="005A464E">
        <w:rPr>
          <w:rFonts w:asciiTheme="minorHAnsi" w:hAnsiTheme="minorHAnsi" w:cstheme="minorHAnsi"/>
          <w:iCs/>
          <w:lang w:val="en-US"/>
        </w:rPr>
        <w:t>V</w:t>
      </w:r>
      <w:r w:rsidRPr="005A464E">
        <w:rPr>
          <w:rFonts w:asciiTheme="minorHAnsi" w:hAnsiTheme="minorHAnsi" w:cstheme="minorHAnsi"/>
          <w:lang w:val="en-US"/>
        </w:rPr>
        <w:t>.</w:t>
      </w:r>
      <w:r w:rsidR="007A490B" w:rsidRPr="005A464E">
        <w:rPr>
          <w:rFonts w:asciiTheme="minorHAnsi" w:hAnsiTheme="minorHAnsi" w:cstheme="minorHAnsi"/>
          <w:lang w:val="en-US"/>
        </w:rPr>
        <w:t xml:space="preserve"> (1995).</w:t>
      </w:r>
      <w:r w:rsidRPr="005A464E">
        <w:rPr>
          <w:rFonts w:asciiTheme="minorHAnsi" w:hAnsiTheme="minorHAnsi" w:cstheme="minorHAnsi"/>
          <w:lang w:val="en-US"/>
        </w:rPr>
        <w:t xml:space="preserve"> Renal replacement therapy in Greece 1993-1995. </w:t>
      </w:r>
      <w:r w:rsidRPr="005A464E">
        <w:rPr>
          <w:rFonts w:asciiTheme="minorHAnsi" w:hAnsiTheme="minorHAnsi" w:cstheme="minorHAnsi"/>
          <w:i/>
          <w:lang w:val="en-US"/>
        </w:rPr>
        <w:t>Hellenic Nephrology</w:t>
      </w:r>
      <w:r w:rsidR="007A490B" w:rsidRPr="005A464E">
        <w:rPr>
          <w:rFonts w:asciiTheme="minorHAnsi" w:hAnsiTheme="minorHAnsi" w:cstheme="minorHAnsi"/>
          <w:i/>
          <w:lang w:val="en-US"/>
        </w:rPr>
        <w:t>,</w:t>
      </w:r>
      <w:r w:rsidRPr="005A464E">
        <w:rPr>
          <w:rFonts w:asciiTheme="minorHAnsi" w:hAnsiTheme="minorHAnsi" w:cstheme="minorHAnsi"/>
          <w:lang w:val="en-US"/>
        </w:rPr>
        <w:t xml:space="preserve"> </w:t>
      </w:r>
      <w:r w:rsidRPr="00353037">
        <w:rPr>
          <w:rFonts w:asciiTheme="minorHAnsi" w:hAnsiTheme="minorHAnsi" w:cstheme="minorHAnsi"/>
          <w:i/>
          <w:lang w:val="en-US"/>
        </w:rPr>
        <w:t xml:space="preserve">7 </w:t>
      </w:r>
      <w:r w:rsidRPr="005A464E">
        <w:rPr>
          <w:rFonts w:asciiTheme="minorHAnsi" w:hAnsiTheme="minorHAnsi" w:cstheme="minorHAnsi"/>
          <w:lang w:val="en-US"/>
        </w:rPr>
        <w:t>(Suppl)</w:t>
      </w:r>
      <w:r w:rsidR="007A490B" w:rsidRPr="005A464E">
        <w:rPr>
          <w:rFonts w:asciiTheme="minorHAnsi" w:hAnsiTheme="minorHAnsi" w:cstheme="minorHAnsi"/>
          <w:lang w:val="en-US"/>
        </w:rPr>
        <w:t>,</w:t>
      </w:r>
      <w:r w:rsidRPr="005A464E">
        <w:rPr>
          <w:rFonts w:asciiTheme="minorHAnsi" w:hAnsiTheme="minorHAnsi" w:cstheme="minorHAnsi"/>
          <w:lang w:val="en-US"/>
        </w:rPr>
        <w:t xml:space="preserve"> 897-900</w:t>
      </w:r>
      <w:r w:rsidR="00ED5440" w:rsidRPr="005A464E">
        <w:rPr>
          <w:rFonts w:asciiTheme="minorHAnsi" w:hAnsiTheme="minorHAnsi" w:cs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iCs/>
          <w:lang w:val="en-US"/>
        </w:rPr>
      </w:pPr>
      <w:r w:rsidRPr="005A464E">
        <w:rPr>
          <w:rFonts w:asciiTheme="minorHAnsi" w:hAnsiTheme="minorHAnsi" w:cstheme="minorHAnsi"/>
          <w:iCs/>
          <w:lang w:val="en-US"/>
        </w:rPr>
        <w:t xml:space="preserve">Dracup, K.A., &amp; Meleis, A.I. (1982). Compliance: an interactional approach. </w:t>
      </w:r>
      <w:r w:rsidRPr="005A464E">
        <w:rPr>
          <w:rFonts w:asciiTheme="minorHAnsi" w:hAnsiTheme="minorHAnsi" w:cstheme="minorHAnsi"/>
          <w:i/>
          <w:iCs/>
          <w:lang w:val="en-US"/>
        </w:rPr>
        <w:t>Nursing Research</w:t>
      </w:r>
      <w:r w:rsidR="00353037">
        <w:rPr>
          <w:rFonts w:asciiTheme="minorHAnsi" w:hAnsiTheme="minorHAnsi" w:cstheme="minorHAnsi"/>
          <w:iCs/>
          <w:lang w:val="en-US"/>
        </w:rPr>
        <w:t xml:space="preserve">, </w:t>
      </w:r>
      <w:r w:rsidR="00353037" w:rsidRPr="00353037">
        <w:rPr>
          <w:rFonts w:asciiTheme="minorHAnsi" w:hAnsiTheme="minorHAnsi" w:cstheme="minorHAnsi"/>
          <w:i/>
          <w:iCs/>
          <w:lang w:val="en-US"/>
        </w:rPr>
        <w:t>31</w:t>
      </w:r>
      <w:r w:rsidRPr="00353037">
        <w:rPr>
          <w:rFonts w:asciiTheme="minorHAnsi" w:hAnsiTheme="minorHAnsi" w:cstheme="minorHAnsi"/>
          <w:i/>
          <w:iCs/>
          <w:lang w:val="en-US"/>
        </w:rPr>
        <w:t>,</w:t>
      </w:r>
      <w:r w:rsidRPr="005A464E">
        <w:rPr>
          <w:rFonts w:asciiTheme="minorHAnsi" w:hAnsiTheme="minorHAnsi" w:cstheme="minorHAnsi"/>
          <w:iCs/>
          <w:lang w:val="en-US"/>
        </w:rPr>
        <w:t xml:space="preserve"> 31-36.</w:t>
      </w:r>
    </w:p>
    <w:p w:rsidR="003C410F" w:rsidRPr="005A464E" w:rsidRDefault="003C410F" w:rsidP="005A464E">
      <w:pPr>
        <w:pStyle w:val="Web"/>
        <w:spacing w:after="166" w:line="360" w:lineRule="auto"/>
        <w:ind w:left="415" w:hanging="415"/>
        <w:jc w:val="both"/>
        <w:rPr>
          <w:rFonts w:asciiTheme="minorHAnsi" w:hAnsiTheme="minorHAnsi" w:cstheme="minorHAnsi"/>
          <w:iCs/>
          <w:lang w:val="en-US"/>
        </w:rPr>
      </w:pPr>
      <w:r w:rsidRPr="005A464E">
        <w:rPr>
          <w:rFonts w:asciiTheme="minorHAnsi" w:eastAsia="Times New Roman" w:hAnsiTheme="minorHAnsi" w:cstheme="minorHAnsi"/>
          <w:lang w:val="en-US" w:eastAsia="el-GR"/>
        </w:rPr>
        <w:t>Drayer, R.A., Piraino, B., Reynolds, C.F.</w:t>
      </w:r>
      <w:r w:rsidR="00267243">
        <w:rPr>
          <w:rFonts w:asciiTheme="minorHAnsi" w:eastAsia="Times New Roman" w:hAnsiTheme="minorHAnsi" w:cstheme="minorHAnsi"/>
          <w:lang w:val="en-US" w:eastAsia="el-GR"/>
        </w:rPr>
        <w:t>,</w:t>
      </w:r>
      <w:r w:rsidRPr="005A464E">
        <w:rPr>
          <w:rFonts w:asciiTheme="minorHAnsi" w:eastAsia="Times New Roman" w:hAnsiTheme="minorHAnsi" w:cstheme="minorHAnsi"/>
          <w:lang w:val="en-US" w:eastAsia="el-GR"/>
        </w:rPr>
        <w:t xml:space="preserve"> 3rd, Houc</w:t>
      </w:r>
      <w:r w:rsidR="00267243">
        <w:rPr>
          <w:rFonts w:asciiTheme="minorHAnsi" w:eastAsia="Times New Roman" w:hAnsiTheme="minorHAnsi" w:cstheme="minorHAnsi"/>
          <w:lang w:val="en-US" w:eastAsia="el-GR"/>
        </w:rPr>
        <w:t xml:space="preserve">k, P.R., Mazumdar, S., Bernardini J., … </w:t>
      </w:r>
      <w:r w:rsidR="00ED5440" w:rsidRPr="005A464E">
        <w:rPr>
          <w:rFonts w:asciiTheme="minorHAnsi" w:eastAsia="Times New Roman" w:hAnsiTheme="minorHAnsi" w:cstheme="minorHAnsi"/>
          <w:lang w:val="en-US" w:eastAsia="el-GR"/>
        </w:rPr>
        <w:t xml:space="preserve">&amp; </w:t>
      </w:r>
      <w:r w:rsidRPr="005A464E">
        <w:rPr>
          <w:rFonts w:asciiTheme="minorHAnsi" w:eastAsia="Times New Roman" w:hAnsiTheme="minorHAnsi" w:cstheme="minorHAnsi"/>
          <w:lang w:val="en-US" w:eastAsia="el-GR"/>
        </w:rPr>
        <w:t xml:space="preserve">Rollman BL. (2006). Characteristics of depression in hemodialysis patients: symptoms, quality of life and mortality risk. </w:t>
      </w:r>
      <w:r w:rsidRPr="005A464E">
        <w:rPr>
          <w:rFonts w:asciiTheme="minorHAnsi" w:eastAsia="Times New Roman" w:hAnsiTheme="minorHAnsi" w:cstheme="minorHAnsi"/>
          <w:i/>
          <w:lang w:val="en-US" w:eastAsia="el-GR"/>
        </w:rPr>
        <w:t>General Hospital Psychiatry,</w:t>
      </w:r>
      <w:r w:rsidR="00353037">
        <w:rPr>
          <w:rFonts w:asciiTheme="minorHAnsi" w:eastAsia="Times New Roman" w:hAnsiTheme="minorHAnsi" w:cstheme="minorHAnsi"/>
          <w:lang w:val="en-US" w:eastAsia="el-GR"/>
        </w:rPr>
        <w:t xml:space="preserve"> </w:t>
      </w:r>
      <w:r w:rsidR="00353037" w:rsidRPr="00353037">
        <w:rPr>
          <w:rFonts w:asciiTheme="minorHAnsi" w:eastAsia="Times New Roman" w:hAnsiTheme="minorHAnsi" w:cstheme="minorHAnsi"/>
          <w:i/>
          <w:lang w:val="en-US" w:eastAsia="el-GR"/>
        </w:rPr>
        <w:t>28</w:t>
      </w:r>
      <w:r w:rsidRPr="005A464E">
        <w:rPr>
          <w:rFonts w:asciiTheme="minorHAnsi" w:eastAsia="Times New Roman" w:hAnsiTheme="minorHAnsi" w:cstheme="minorHAnsi"/>
          <w:lang w:val="en-US" w:eastAsia="el-GR"/>
        </w:rPr>
        <w:t>, 306-312.</w:t>
      </w:r>
      <w:r w:rsidRPr="005A464E">
        <w:rPr>
          <w:rFonts w:asciiTheme="minorHAnsi" w:hAnsiTheme="minorHAnsi" w:cstheme="minorHAnsi"/>
          <w:lang w:val="en-US"/>
        </w:rPr>
        <w:t xml:space="preserve"> </w:t>
      </w:r>
      <w:r w:rsidR="00292B29" w:rsidRPr="005A464E">
        <w:rPr>
          <w:rFonts w:asciiTheme="minorHAnsi" w:hAnsiTheme="minorHAnsi" w:cstheme="minorHAnsi"/>
          <w:lang w:val="en-US"/>
        </w:rPr>
        <w:t>DOI</w:t>
      </w:r>
      <w:r w:rsidRPr="005A464E">
        <w:rPr>
          <w:rFonts w:asciiTheme="minorHAnsi" w:hAnsiTheme="minorHAnsi" w:cstheme="minorHAnsi"/>
          <w:lang w:val="en-US"/>
        </w:rPr>
        <w:t>:</w:t>
      </w:r>
      <w:hyperlink r:id="rId154" w:history="1">
        <w:r w:rsidRPr="005A464E">
          <w:rPr>
            <w:rStyle w:val="-"/>
            <w:rFonts w:asciiTheme="minorHAnsi" w:hAnsiTheme="minorHAnsi" w:cstheme="minorHAnsi"/>
            <w:color w:val="auto"/>
            <w:u w:val="none"/>
            <w:lang w:val="en-US"/>
          </w:rPr>
          <w:t>10.1016/j.genhosppsych.2006.03.008</w:t>
        </w:r>
      </w:hyperlink>
      <w:r w:rsidR="00ED5440"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Drüeke, T.B., &amp; Eckardt, K.U. (2002). Role of secondary hyperparathyroidism in erythropoietin resistance of chronic renal failure patients. </w:t>
      </w:r>
      <w:r w:rsidRPr="005A464E">
        <w:rPr>
          <w:rFonts w:asciiTheme="minorHAnsi" w:hAnsiTheme="minorHAnsi" w:cstheme="minorHAnsi"/>
          <w:i/>
          <w:iCs/>
          <w:lang w:val="en-US"/>
        </w:rPr>
        <w:t>Nephrology Dialysis Transplantation Journal</w:t>
      </w:r>
      <w:r w:rsidRPr="00353037">
        <w:rPr>
          <w:rFonts w:asciiTheme="minorHAnsi" w:hAnsiTheme="minorHAnsi" w:cstheme="minorHAnsi"/>
          <w:i/>
          <w:iCs/>
          <w:lang w:val="en-US"/>
        </w:rPr>
        <w:t>, 1</w:t>
      </w:r>
      <w:r w:rsidR="00353037" w:rsidRPr="00353037">
        <w:rPr>
          <w:rFonts w:asciiTheme="minorHAnsi" w:hAnsiTheme="minorHAnsi" w:cstheme="minorHAnsi"/>
          <w:i/>
          <w:lang w:val="en-US"/>
        </w:rPr>
        <w:t>7</w:t>
      </w:r>
      <w:r w:rsidRPr="00353037">
        <w:rPr>
          <w:rFonts w:asciiTheme="minorHAnsi" w:hAnsiTheme="minorHAnsi" w:cstheme="minorHAnsi"/>
          <w:i/>
          <w:lang w:val="en-US"/>
        </w:rPr>
        <w:t>,</w:t>
      </w:r>
      <w:r w:rsidRPr="005A464E">
        <w:rPr>
          <w:rFonts w:asciiTheme="minorHAnsi" w:hAnsiTheme="minorHAnsi" w:cstheme="minorHAnsi"/>
          <w:lang w:val="en-US"/>
        </w:rPr>
        <w:t xml:space="preserve"> 28-31.</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Dunn, S., Lewis, S., Bonner, P., &amp; Meize-Grochowski, R. (1994). Quality of life for spouses of CAPD patients. </w:t>
      </w:r>
      <w:r w:rsidRPr="005A464E">
        <w:rPr>
          <w:rFonts w:asciiTheme="minorHAnsi" w:hAnsiTheme="minorHAnsi" w:cstheme="minorHAnsi"/>
          <w:i/>
          <w:iCs/>
          <w:lang w:val="en-US"/>
        </w:rPr>
        <w:t>American Nephrology Nurses Association Journal</w:t>
      </w:r>
      <w:r w:rsidRPr="00353037">
        <w:rPr>
          <w:rFonts w:asciiTheme="minorHAnsi" w:hAnsiTheme="minorHAnsi" w:cstheme="minorHAnsi"/>
          <w:i/>
          <w:iCs/>
          <w:lang w:val="en-US"/>
        </w:rPr>
        <w:t>, 21</w:t>
      </w:r>
      <w:r w:rsidRPr="00353037">
        <w:rPr>
          <w:rFonts w:asciiTheme="minorHAnsi" w:hAnsiTheme="minorHAnsi" w:cstheme="minorHAnsi"/>
          <w:i/>
          <w:lang w:val="en-US"/>
        </w:rPr>
        <w:t>,</w:t>
      </w:r>
      <w:r w:rsidRPr="005A464E">
        <w:rPr>
          <w:rFonts w:asciiTheme="minorHAnsi" w:hAnsiTheme="minorHAnsi" w:cstheme="minorHAnsi"/>
          <w:lang w:val="en-US"/>
        </w:rPr>
        <w:t xml:space="preserve"> 237-246</w:t>
      </w:r>
      <w:r w:rsidR="00ED5440" w:rsidRPr="005A464E">
        <w:rPr>
          <w:rFonts w:asciiTheme="minorHAnsi" w:hAnsiTheme="minorHAnsi" w:cstheme="minorHAnsi"/>
          <w:lang w:val="en-US"/>
        </w:rPr>
        <w:t>.</w:t>
      </w:r>
    </w:p>
    <w:p w:rsidR="00A84FBE" w:rsidRPr="005A464E" w:rsidRDefault="003C410F" w:rsidP="005A464E">
      <w:pPr>
        <w:pStyle w:val="Web"/>
        <w:spacing w:after="166" w:line="360" w:lineRule="auto"/>
        <w:ind w:left="415" w:hanging="415"/>
        <w:jc w:val="both"/>
        <w:rPr>
          <w:rFonts w:asciiTheme="minorHAnsi" w:hAnsiTheme="minorHAnsi" w:cstheme="minorHAnsi"/>
          <w:iCs/>
          <w:lang w:val="en-US"/>
        </w:rPr>
      </w:pPr>
      <w:r w:rsidRPr="005A464E">
        <w:rPr>
          <w:rFonts w:asciiTheme="minorHAnsi" w:hAnsiTheme="minorHAnsi" w:cstheme="minorHAnsi"/>
          <w:iCs/>
          <w:lang w:val="en-US"/>
        </w:rPr>
        <w:t xml:space="preserve">Dunning, T., &amp; Manias, E. (2005). </w:t>
      </w:r>
      <w:r w:rsidRPr="005A464E">
        <w:rPr>
          <w:rFonts w:asciiTheme="minorHAnsi" w:hAnsiTheme="minorHAnsi" w:cstheme="minorHAnsi"/>
          <w:lang w:val="en-US"/>
        </w:rPr>
        <w:t>Medication knowledge and self-management by people with type 2 diabetes.</w:t>
      </w:r>
      <w:r w:rsidRPr="005A464E">
        <w:rPr>
          <w:rFonts w:asciiTheme="minorHAnsi" w:hAnsiTheme="minorHAnsi" w:cstheme="minorHAnsi"/>
          <w:iCs/>
          <w:lang w:val="en-US"/>
        </w:rPr>
        <w:t xml:space="preserve"> </w:t>
      </w:r>
      <w:r w:rsidRPr="005A464E">
        <w:rPr>
          <w:rFonts w:asciiTheme="minorHAnsi" w:hAnsiTheme="minorHAnsi" w:cstheme="minorHAnsi"/>
          <w:i/>
          <w:iCs/>
          <w:lang w:val="en-US"/>
        </w:rPr>
        <w:t>Australian Journal of Advanced Nursing</w:t>
      </w:r>
      <w:r w:rsidRPr="00353037">
        <w:rPr>
          <w:rFonts w:asciiTheme="minorHAnsi" w:hAnsiTheme="minorHAnsi" w:cstheme="minorHAnsi"/>
          <w:i/>
          <w:iCs/>
          <w:lang w:val="en-US"/>
        </w:rPr>
        <w:t>,</w:t>
      </w:r>
      <w:r w:rsidR="0078495A">
        <w:rPr>
          <w:rFonts w:asciiTheme="minorHAnsi" w:hAnsiTheme="minorHAnsi" w:cstheme="minorHAnsi"/>
          <w:i/>
          <w:iCs/>
          <w:lang w:val="en-US"/>
        </w:rPr>
        <w:t xml:space="preserve"> </w:t>
      </w:r>
      <w:r w:rsidR="00353037" w:rsidRPr="00353037">
        <w:rPr>
          <w:rFonts w:asciiTheme="minorHAnsi" w:hAnsiTheme="minorHAnsi" w:cstheme="minorHAnsi"/>
          <w:i/>
          <w:iCs/>
          <w:lang w:val="en-US"/>
        </w:rPr>
        <w:t>23</w:t>
      </w:r>
      <w:r w:rsidRPr="005A464E">
        <w:rPr>
          <w:rFonts w:asciiTheme="minorHAnsi" w:hAnsiTheme="minorHAnsi" w:cstheme="minorHAnsi"/>
          <w:iCs/>
          <w:lang w:val="en-US"/>
        </w:rPr>
        <w:t>, 7-14.</w:t>
      </w:r>
    </w:p>
    <w:p w:rsidR="00427854" w:rsidRPr="005A464E" w:rsidRDefault="00427854" w:rsidP="005A464E">
      <w:pPr>
        <w:pStyle w:val="Web"/>
        <w:spacing w:after="166" w:line="360" w:lineRule="auto"/>
        <w:ind w:left="415" w:hanging="415"/>
        <w:jc w:val="both"/>
        <w:rPr>
          <w:rFonts w:asciiTheme="minorHAnsi" w:hAnsiTheme="minorHAnsi" w:cstheme="minorHAnsi"/>
          <w:iCs/>
          <w:lang w:val="en-US"/>
        </w:rPr>
      </w:pPr>
      <w:r w:rsidRPr="005A464E">
        <w:rPr>
          <w:rFonts w:asciiTheme="minorHAnsi" w:hAnsiTheme="minorHAnsi"/>
          <w:color w:val="000000"/>
          <w:lang w:val="en-US"/>
        </w:rPr>
        <w:t xml:space="preserve">Durose, C.L, Holdsworth, M., Watson, V., </w:t>
      </w:r>
      <w:r w:rsidR="00ED5440" w:rsidRPr="005A464E">
        <w:rPr>
          <w:rFonts w:asciiTheme="minorHAnsi" w:hAnsiTheme="minorHAnsi"/>
          <w:color w:val="000000"/>
          <w:lang w:val="en-US"/>
        </w:rPr>
        <w:t xml:space="preserve">&amp; </w:t>
      </w:r>
      <w:r w:rsidRPr="005A464E">
        <w:rPr>
          <w:rFonts w:asciiTheme="minorHAnsi" w:hAnsiTheme="minorHAnsi"/>
          <w:color w:val="000000"/>
          <w:lang w:val="en-US"/>
        </w:rPr>
        <w:t xml:space="preserve">Przygrodzka, F. (2004). Knowledge of dietary restrictions and the medical consequences of noncompliance by patients on hemodialysis are not predictive of dietary compliance. </w:t>
      </w:r>
      <w:r w:rsidRPr="005A464E">
        <w:rPr>
          <w:rFonts w:asciiTheme="minorHAnsi" w:hAnsiTheme="minorHAnsi"/>
          <w:i/>
          <w:color w:val="000000"/>
          <w:lang w:val="en-US"/>
        </w:rPr>
        <w:t>Journal of</w:t>
      </w:r>
      <w:r w:rsidR="0078495A">
        <w:rPr>
          <w:rFonts w:asciiTheme="minorHAnsi" w:hAnsiTheme="minorHAnsi"/>
          <w:i/>
          <w:color w:val="000000"/>
          <w:lang w:val="en-US"/>
        </w:rPr>
        <w:t xml:space="preserve"> </w:t>
      </w:r>
      <w:r w:rsidRPr="005A464E">
        <w:rPr>
          <w:rFonts w:asciiTheme="minorHAnsi" w:hAnsiTheme="minorHAnsi"/>
          <w:i/>
          <w:color w:val="000000"/>
          <w:lang w:val="en-US"/>
        </w:rPr>
        <w:t>American Dietary Association</w:t>
      </w:r>
      <w:r w:rsidR="00353037" w:rsidRPr="00353037">
        <w:rPr>
          <w:rFonts w:asciiTheme="minorHAnsi" w:hAnsiTheme="minorHAnsi"/>
          <w:i/>
          <w:color w:val="000000"/>
          <w:lang w:val="en-US"/>
        </w:rPr>
        <w:t>, 104</w:t>
      </w:r>
      <w:r w:rsidR="00353037">
        <w:rPr>
          <w:rFonts w:asciiTheme="minorHAnsi" w:hAnsiTheme="minorHAnsi"/>
          <w:color w:val="000000"/>
          <w:lang w:val="en-US"/>
        </w:rPr>
        <w:t xml:space="preserve">, </w:t>
      </w:r>
      <w:r w:rsidRPr="005A464E">
        <w:rPr>
          <w:rFonts w:asciiTheme="minorHAnsi" w:hAnsiTheme="minorHAnsi"/>
          <w:color w:val="000000"/>
          <w:lang w:val="en-US"/>
        </w:rPr>
        <w:t>35-41.</w:t>
      </w:r>
    </w:p>
    <w:p w:rsidR="00A84FBE" w:rsidRDefault="008F3609" w:rsidP="005A464E">
      <w:pPr>
        <w:pStyle w:val="Web"/>
        <w:spacing w:after="166" w:line="360" w:lineRule="auto"/>
        <w:ind w:left="415" w:hanging="415"/>
        <w:jc w:val="both"/>
        <w:rPr>
          <w:rFonts w:asciiTheme="minorHAnsi" w:hAnsiTheme="minorHAnsi" w:cs="Arial"/>
          <w:shd w:val="clear" w:color="auto" w:fill="FFFFFF"/>
          <w:lang w:val="en-US"/>
        </w:rPr>
      </w:pPr>
      <w:hyperlink r:id="rId155" w:history="1">
        <w:r w:rsidR="00A84FBE" w:rsidRPr="005A464E">
          <w:rPr>
            <w:rStyle w:val="-"/>
            <w:rFonts w:asciiTheme="minorHAnsi" w:hAnsiTheme="minorHAnsi" w:cs="Arial"/>
            <w:color w:val="auto"/>
            <w:u w:val="none"/>
            <w:shd w:val="clear" w:color="auto" w:fill="FFFFFF"/>
            <w:lang w:val="en-US"/>
          </w:rPr>
          <w:t>Ebrahimi, H</w:t>
        </w:r>
      </w:hyperlink>
      <w:r w:rsidR="00A84FBE" w:rsidRPr="005A464E">
        <w:rPr>
          <w:rFonts w:asciiTheme="minorHAnsi" w:hAnsiTheme="minorHAnsi" w:cs="Arial"/>
          <w:shd w:val="clear" w:color="auto" w:fill="FFFFFF"/>
          <w:lang w:val="en-US"/>
        </w:rPr>
        <w:t>., </w:t>
      </w:r>
      <w:hyperlink r:id="rId156" w:history="1">
        <w:r w:rsidR="00A84FBE" w:rsidRPr="005A464E">
          <w:rPr>
            <w:rStyle w:val="-"/>
            <w:rFonts w:asciiTheme="minorHAnsi" w:hAnsiTheme="minorHAnsi" w:cs="Arial"/>
            <w:color w:val="auto"/>
            <w:u w:val="none"/>
            <w:shd w:val="clear" w:color="auto" w:fill="FFFFFF"/>
            <w:lang w:val="en-US"/>
          </w:rPr>
          <w:t>Sadeghi, M</w:t>
        </w:r>
      </w:hyperlink>
      <w:r w:rsidR="00A84FBE" w:rsidRPr="005A464E">
        <w:rPr>
          <w:rFonts w:asciiTheme="minorHAnsi" w:hAnsiTheme="minorHAnsi"/>
          <w:lang w:val="en-US"/>
        </w:rPr>
        <w:t>.</w:t>
      </w:r>
      <w:r w:rsidR="00A84FBE" w:rsidRPr="005A464E">
        <w:rPr>
          <w:rFonts w:asciiTheme="minorHAnsi" w:hAnsiTheme="minorHAnsi" w:cs="Arial"/>
          <w:shd w:val="clear" w:color="auto" w:fill="FFFFFF"/>
          <w:lang w:val="en-US"/>
        </w:rPr>
        <w:t>, </w:t>
      </w:r>
      <w:hyperlink r:id="rId157" w:history="1">
        <w:r w:rsidR="00A84FBE" w:rsidRPr="005A464E">
          <w:rPr>
            <w:rStyle w:val="-"/>
            <w:rFonts w:asciiTheme="minorHAnsi" w:hAnsiTheme="minorHAnsi" w:cs="Arial"/>
            <w:color w:val="auto"/>
            <w:u w:val="none"/>
            <w:shd w:val="clear" w:color="auto" w:fill="FFFFFF"/>
            <w:lang w:val="en-US"/>
          </w:rPr>
          <w:t>Amanpour, F</w:t>
        </w:r>
      </w:hyperlink>
      <w:r w:rsidR="00A84FBE" w:rsidRPr="005A464E">
        <w:rPr>
          <w:rFonts w:asciiTheme="minorHAnsi" w:hAnsiTheme="minorHAnsi"/>
          <w:lang w:val="en-US"/>
        </w:rPr>
        <w:t>.</w:t>
      </w:r>
      <w:r w:rsidR="00A84FBE" w:rsidRPr="005A464E">
        <w:rPr>
          <w:rFonts w:asciiTheme="minorHAnsi" w:hAnsiTheme="minorHAnsi" w:cs="Arial"/>
          <w:shd w:val="clear" w:color="auto" w:fill="FFFFFF"/>
          <w:lang w:val="en-US"/>
        </w:rPr>
        <w:t>, </w:t>
      </w:r>
      <w:r w:rsidR="00ED5440" w:rsidRPr="005A464E">
        <w:rPr>
          <w:rFonts w:asciiTheme="minorHAnsi" w:hAnsiTheme="minorHAnsi" w:cs="Arial"/>
          <w:shd w:val="clear" w:color="auto" w:fill="FFFFFF"/>
          <w:lang w:val="en-US"/>
        </w:rPr>
        <w:t xml:space="preserve">&amp; </w:t>
      </w:r>
      <w:hyperlink r:id="rId158" w:history="1">
        <w:r w:rsidR="00A84FBE" w:rsidRPr="005A464E">
          <w:rPr>
            <w:rStyle w:val="-"/>
            <w:rFonts w:asciiTheme="minorHAnsi" w:hAnsiTheme="minorHAnsi" w:cs="Arial"/>
            <w:color w:val="auto"/>
            <w:u w:val="none"/>
            <w:shd w:val="clear" w:color="auto" w:fill="FFFFFF"/>
            <w:lang w:val="en-US"/>
          </w:rPr>
          <w:t>Dadgari, A</w:t>
        </w:r>
      </w:hyperlink>
      <w:r w:rsidR="00A84FBE" w:rsidRPr="005A464E">
        <w:rPr>
          <w:rFonts w:asciiTheme="minorHAnsi" w:hAnsiTheme="minorHAnsi" w:cs="Arial"/>
          <w:shd w:val="clear" w:color="auto" w:fill="FFFFFF"/>
          <w:lang w:val="en-US"/>
        </w:rPr>
        <w:t>. (2016).</w:t>
      </w:r>
      <w:r w:rsidR="00A84FBE" w:rsidRPr="005A464E">
        <w:rPr>
          <w:rFonts w:asciiTheme="minorHAnsi" w:hAnsiTheme="minorHAnsi" w:cs="Arial"/>
          <w:lang w:val="en-US"/>
        </w:rPr>
        <w:t xml:space="preserve"> Influence of nutritional education on hemodialysis patients' knowledge and quality of life.</w:t>
      </w:r>
      <w:r w:rsidR="00A84FBE" w:rsidRPr="005A464E">
        <w:rPr>
          <w:rFonts w:asciiTheme="minorHAnsi" w:hAnsiTheme="minorHAnsi" w:cs="Arial"/>
          <w:shd w:val="clear" w:color="auto" w:fill="FFFFFF"/>
          <w:lang w:val="en-US"/>
        </w:rPr>
        <w:t xml:space="preserve"> </w:t>
      </w:r>
      <w:hyperlink r:id="rId159" w:tooltip="Saudi journal of kidney diseases and transplantation : an official publication of the Saudi Center for Organ Transplantation, Saudi Arabia." w:history="1">
        <w:r w:rsidR="00A84FBE" w:rsidRPr="005A464E">
          <w:rPr>
            <w:rStyle w:val="-"/>
            <w:rFonts w:asciiTheme="minorHAnsi" w:hAnsiTheme="minorHAnsi" w:cs="Arial"/>
            <w:i/>
            <w:color w:val="auto"/>
            <w:u w:val="none"/>
            <w:shd w:val="clear" w:color="auto" w:fill="FFFFFF"/>
            <w:lang w:val="en-US"/>
          </w:rPr>
          <w:t>Saudi Journal of Kidney Disease &amp; Transplantation,</w:t>
        </w:r>
      </w:hyperlink>
      <w:r w:rsidR="00353037">
        <w:rPr>
          <w:rFonts w:asciiTheme="minorHAnsi" w:hAnsiTheme="minorHAnsi" w:cs="Arial"/>
          <w:shd w:val="clear" w:color="auto" w:fill="FFFFFF"/>
          <w:lang w:val="en-US"/>
        </w:rPr>
        <w:t xml:space="preserve"> </w:t>
      </w:r>
      <w:r w:rsidR="00353037" w:rsidRPr="00353037">
        <w:rPr>
          <w:rFonts w:asciiTheme="minorHAnsi" w:hAnsiTheme="minorHAnsi" w:cs="Arial"/>
          <w:i/>
          <w:shd w:val="clear" w:color="auto" w:fill="FFFFFF"/>
          <w:lang w:val="en-US"/>
        </w:rPr>
        <w:t>27</w:t>
      </w:r>
      <w:r w:rsidR="00A84FBE" w:rsidRPr="00353037">
        <w:rPr>
          <w:rFonts w:asciiTheme="minorHAnsi" w:hAnsiTheme="minorHAnsi" w:cs="Arial"/>
          <w:i/>
          <w:shd w:val="clear" w:color="auto" w:fill="FFFFFF"/>
          <w:lang w:val="en-US"/>
        </w:rPr>
        <w:t>,</w:t>
      </w:r>
      <w:r w:rsidR="00353037">
        <w:rPr>
          <w:rFonts w:asciiTheme="minorHAnsi" w:hAnsiTheme="minorHAnsi" w:cs="Arial"/>
          <w:i/>
          <w:shd w:val="clear" w:color="auto" w:fill="FFFFFF"/>
          <w:lang w:val="en-US"/>
        </w:rPr>
        <w:t xml:space="preserve"> </w:t>
      </w:r>
      <w:r w:rsidR="00A84FBE" w:rsidRPr="005A464E">
        <w:rPr>
          <w:rFonts w:asciiTheme="minorHAnsi" w:hAnsiTheme="minorHAnsi" w:cs="Arial"/>
          <w:shd w:val="clear" w:color="auto" w:fill="FFFFFF"/>
          <w:lang w:val="en-US"/>
        </w:rPr>
        <w:t xml:space="preserve">250-255. </w:t>
      </w:r>
      <w:r w:rsidR="00292B29" w:rsidRPr="005A464E">
        <w:rPr>
          <w:rFonts w:asciiTheme="minorHAnsi" w:hAnsiTheme="minorHAnsi" w:cs="Arial"/>
          <w:shd w:val="clear" w:color="auto" w:fill="FFFFFF"/>
          <w:lang w:val="en-US"/>
        </w:rPr>
        <w:t>DOI</w:t>
      </w:r>
      <w:r w:rsidR="00A84FBE" w:rsidRPr="005A464E">
        <w:rPr>
          <w:rFonts w:asciiTheme="minorHAnsi" w:hAnsiTheme="minorHAnsi" w:cs="Arial"/>
          <w:shd w:val="clear" w:color="auto" w:fill="FFFFFF"/>
          <w:lang w:val="en-US"/>
        </w:rPr>
        <w:t>: 10.4103/1319-2442.178253.</w:t>
      </w:r>
    </w:p>
    <w:p w:rsidR="00A6223C" w:rsidRPr="00A6223C" w:rsidRDefault="00A6223C" w:rsidP="005A464E">
      <w:pPr>
        <w:pStyle w:val="Web"/>
        <w:spacing w:after="166" w:line="360" w:lineRule="auto"/>
        <w:ind w:left="415" w:hanging="415"/>
        <w:jc w:val="both"/>
        <w:rPr>
          <w:rFonts w:asciiTheme="minorHAnsi" w:hAnsiTheme="minorHAnsi" w:cstheme="minorHAnsi"/>
          <w:shd w:val="clear" w:color="auto" w:fill="FFFFFF"/>
          <w:lang w:val="en-US"/>
        </w:rPr>
      </w:pPr>
      <w:r w:rsidRPr="00A6223C">
        <w:rPr>
          <w:rFonts w:asciiTheme="minorHAnsi" w:hAnsiTheme="minorHAnsi" w:cstheme="minorHAnsi"/>
          <w:shd w:val="clear" w:color="auto" w:fill="FFFFFF"/>
          <w:lang w:val="en-US"/>
        </w:rPr>
        <w:t>Eckardt, K., Coresh, J., Devuyst, O., Johnson</w:t>
      </w:r>
      <w:r>
        <w:rPr>
          <w:rFonts w:asciiTheme="minorHAnsi" w:hAnsiTheme="minorHAnsi" w:cstheme="minorHAnsi"/>
          <w:shd w:val="clear" w:color="auto" w:fill="FFFFFF"/>
          <w:lang w:val="en-US"/>
        </w:rPr>
        <w:t xml:space="preserve">, R. J., Köttgen, A., Levey, A.S., </w:t>
      </w:r>
      <w:r w:rsidRPr="00A6223C">
        <w:rPr>
          <w:rFonts w:asciiTheme="minorHAnsi" w:hAnsiTheme="minorHAnsi" w:cstheme="minorHAnsi"/>
          <w:shd w:val="clear" w:color="auto" w:fill="FFFFFF"/>
          <w:lang w:val="en-US"/>
        </w:rPr>
        <w:t>... &amp; García, F. (2016). Capturing the diagnosis of chronic kidney disease in the electronic medical record and its influence on therapeutic management. </w:t>
      </w:r>
      <w:r w:rsidRPr="00A6223C">
        <w:rPr>
          <w:rFonts w:asciiTheme="minorHAnsi" w:hAnsiTheme="minorHAnsi" w:cstheme="minorHAnsi"/>
          <w:i/>
          <w:iCs/>
          <w:shd w:val="clear" w:color="auto" w:fill="FFFFFF"/>
          <w:lang w:val="en-US"/>
        </w:rPr>
        <w:t>Nefrología</w:t>
      </w:r>
      <w:r w:rsidRPr="00A6223C">
        <w:rPr>
          <w:rFonts w:asciiTheme="minorHAnsi" w:hAnsiTheme="minorHAnsi" w:cstheme="minorHAnsi"/>
          <w:shd w:val="clear" w:color="auto" w:fill="FFFFFF"/>
          <w:lang w:val="en-US"/>
        </w:rPr>
        <w:t>, </w:t>
      </w:r>
      <w:r w:rsidRPr="00A6223C">
        <w:rPr>
          <w:rFonts w:asciiTheme="minorHAnsi" w:hAnsiTheme="minorHAnsi" w:cstheme="minorHAnsi"/>
          <w:i/>
          <w:iCs/>
          <w:shd w:val="clear" w:color="auto" w:fill="FFFFFF"/>
          <w:lang w:val="en-US"/>
        </w:rPr>
        <w:t>36</w:t>
      </w:r>
      <w:r>
        <w:rPr>
          <w:rFonts w:asciiTheme="minorHAnsi" w:hAnsiTheme="minorHAnsi" w:cstheme="minorHAnsi"/>
          <w:shd w:val="clear" w:color="auto" w:fill="FFFFFF"/>
          <w:lang w:val="en-US"/>
        </w:rPr>
        <w:t>,</w:t>
      </w:r>
      <w:r w:rsidRPr="00A6223C">
        <w:rPr>
          <w:rFonts w:ascii="Arial" w:hAnsi="Arial" w:cs="Arial"/>
          <w:color w:val="767676"/>
          <w:sz w:val="17"/>
          <w:szCs w:val="17"/>
          <w:shd w:val="clear" w:color="auto" w:fill="FFFFFF"/>
          <w:lang w:val="en-US"/>
        </w:rPr>
        <w:t xml:space="preserve"> </w:t>
      </w:r>
      <w:r w:rsidRPr="00A6223C">
        <w:rPr>
          <w:rFonts w:asciiTheme="minorHAnsi" w:hAnsiTheme="minorHAnsi" w:cstheme="minorHAnsi"/>
          <w:shd w:val="clear" w:color="auto" w:fill="FFFFFF"/>
          <w:lang w:val="en-US"/>
        </w:rPr>
        <w:t>315-</w:t>
      </w:r>
      <w:r>
        <w:rPr>
          <w:rFonts w:asciiTheme="minorHAnsi" w:hAnsiTheme="minorHAnsi" w:cstheme="minorHAnsi"/>
          <w:shd w:val="clear" w:color="auto" w:fill="FFFFFF"/>
          <w:lang w:val="en-US"/>
        </w:rPr>
        <w:t>31</w:t>
      </w:r>
      <w:r w:rsidRPr="00A6223C">
        <w:rPr>
          <w:rFonts w:asciiTheme="minorHAnsi" w:hAnsiTheme="minorHAnsi" w:cstheme="minorHAnsi"/>
          <w:shd w:val="clear" w:color="auto" w:fill="FFFFFF"/>
          <w:lang w:val="en-US"/>
        </w:rPr>
        <w:t>7</w:t>
      </w:r>
      <w:r>
        <w:rPr>
          <w:rFonts w:asciiTheme="minorHAnsi" w:hAnsiTheme="minorHAnsi" w:cstheme="minorHAnsi"/>
          <w:shd w:val="clear" w:color="auto" w:fill="FFFFFF"/>
          <w:lang w:val="en-US"/>
        </w:rPr>
        <w:t>.</w:t>
      </w:r>
      <w:r w:rsidRPr="00A6223C">
        <w:rPr>
          <w:rFonts w:asciiTheme="minorHAnsi" w:hAnsiTheme="minorHAnsi" w:cstheme="minorHAnsi"/>
          <w:shd w:val="clear" w:color="auto" w:fill="FFFFFF"/>
          <w:lang w:val="en-US"/>
        </w:rPr>
        <w:t xml:space="preserve"> DOI: 10.1016/j.nefroe.2016.04.011</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Edel, M.K. (1985). Noncompliance: An appropriate nursing diagnosis? </w:t>
      </w:r>
      <w:r w:rsidRPr="005A464E">
        <w:rPr>
          <w:rFonts w:asciiTheme="minorHAnsi" w:eastAsia="Times New Roman" w:hAnsiTheme="minorHAnsi" w:cstheme="minorHAnsi"/>
          <w:i/>
          <w:lang w:val="en-US" w:eastAsia="el-GR"/>
        </w:rPr>
        <w:t>Nursing Outlook,</w:t>
      </w:r>
      <w:r w:rsidR="00353037">
        <w:rPr>
          <w:rFonts w:asciiTheme="minorHAnsi" w:eastAsia="Times New Roman" w:hAnsiTheme="minorHAnsi" w:cstheme="minorHAnsi"/>
          <w:lang w:val="en-US" w:eastAsia="el-GR"/>
        </w:rPr>
        <w:t xml:space="preserve"> </w:t>
      </w:r>
      <w:r w:rsidR="00353037" w:rsidRPr="00353037">
        <w:rPr>
          <w:rFonts w:asciiTheme="minorHAnsi" w:eastAsia="Times New Roman" w:hAnsiTheme="minorHAnsi" w:cstheme="minorHAnsi"/>
          <w:i/>
          <w:lang w:val="en-US" w:eastAsia="el-GR"/>
        </w:rPr>
        <w:t>33</w:t>
      </w:r>
      <w:r w:rsidRPr="00353037">
        <w:rPr>
          <w:rFonts w:asciiTheme="minorHAnsi" w:eastAsia="Times New Roman" w:hAnsiTheme="minorHAnsi" w:cstheme="minorHAnsi"/>
          <w:i/>
          <w:lang w:val="en-US" w:eastAsia="el-GR"/>
        </w:rPr>
        <w:t>,</w:t>
      </w:r>
      <w:r w:rsidRPr="005A464E">
        <w:rPr>
          <w:rFonts w:asciiTheme="minorHAnsi" w:eastAsia="Times New Roman" w:hAnsiTheme="minorHAnsi" w:cstheme="minorHAnsi"/>
          <w:lang w:val="en-US" w:eastAsia="el-GR"/>
        </w:rPr>
        <w:t xml:space="preserve"> 183-185.</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Edlund, M. &amp; Tancredi, L. (1985). Quality of life: An ideological critique. </w:t>
      </w:r>
      <w:r w:rsidRPr="005A464E">
        <w:rPr>
          <w:rFonts w:asciiTheme="minorHAnsi" w:hAnsiTheme="minorHAnsi" w:cstheme="minorHAnsi"/>
          <w:i/>
          <w:iCs/>
          <w:lang w:val="en-US"/>
        </w:rPr>
        <w:t>Perspectives in Biology and Medicine</w:t>
      </w:r>
      <w:r w:rsidRPr="005A464E">
        <w:rPr>
          <w:rFonts w:asciiTheme="minorHAnsi" w:hAnsiTheme="minorHAnsi" w:cstheme="minorHAnsi"/>
          <w:i/>
          <w:lang w:val="en-US"/>
        </w:rPr>
        <w:t>,</w:t>
      </w:r>
      <w:r w:rsidRPr="005A464E">
        <w:rPr>
          <w:rFonts w:asciiTheme="minorHAnsi" w:hAnsiTheme="minorHAnsi" w:cstheme="minorHAnsi"/>
          <w:lang w:val="en-US"/>
        </w:rPr>
        <w:t xml:space="preserve"> </w:t>
      </w:r>
      <w:r w:rsidRPr="00353037">
        <w:rPr>
          <w:rFonts w:asciiTheme="minorHAnsi" w:hAnsiTheme="minorHAnsi" w:cstheme="minorHAnsi"/>
          <w:i/>
          <w:iCs/>
          <w:lang w:val="en-US"/>
        </w:rPr>
        <w:t>28</w:t>
      </w:r>
      <w:r w:rsidR="00353037" w:rsidRPr="00353037">
        <w:rPr>
          <w:rFonts w:asciiTheme="minorHAnsi" w:hAnsiTheme="minorHAnsi" w:cstheme="minorHAnsi"/>
          <w:i/>
          <w:lang w:val="en-US"/>
        </w:rPr>
        <w:t>,</w:t>
      </w:r>
      <w:r w:rsidRPr="005A464E">
        <w:rPr>
          <w:rFonts w:asciiTheme="minorHAnsi" w:hAnsiTheme="minorHAnsi" w:cstheme="minorHAnsi"/>
          <w:lang w:val="en-US"/>
        </w:rPr>
        <w:t xml:space="preserve"> 591-607.</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Einwohner, R., Bernardini, J., Fried, L., &amp; Piraino, B. (2004). The effect of depressive symptoms on survival in peritoneal dialysis patients. </w:t>
      </w:r>
      <w:r w:rsidRPr="005A464E">
        <w:rPr>
          <w:rFonts w:asciiTheme="minorHAnsi" w:eastAsia="Times New Roman" w:hAnsiTheme="minorHAnsi" w:cstheme="minorHAnsi"/>
          <w:i/>
          <w:lang w:val="en-US" w:eastAsia="el-GR"/>
        </w:rPr>
        <w:t>Peritoneal Dialysis International</w:t>
      </w:r>
      <w:r w:rsidR="00353037">
        <w:rPr>
          <w:rFonts w:asciiTheme="minorHAnsi" w:eastAsia="Times New Roman" w:hAnsiTheme="minorHAnsi" w:cstheme="minorHAnsi"/>
          <w:lang w:val="en-US" w:eastAsia="el-GR"/>
        </w:rPr>
        <w:t xml:space="preserve">, </w:t>
      </w:r>
      <w:r w:rsidR="00353037" w:rsidRPr="00353037">
        <w:rPr>
          <w:rFonts w:asciiTheme="minorHAnsi" w:eastAsia="Times New Roman" w:hAnsiTheme="minorHAnsi" w:cstheme="minorHAnsi"/>
          <w:i/>
          <w:lang w:val="en-US" w:eastAsia="el-GR"/>
        </w:rPr>
        <w:t>24</w:t>
      </w:r>
      <w:r w:rsidRPr="00353037">
        <w:rPr>
          <w:rFonts w:asciiTheme="minorHAnsi" w:eastAsia="Times New Roman" w:hAnsiTheme="minorHAnsi" w:cstheme="minorHAnsi"/>
          <w:i/>
          <w:lang w:val="en-US" w:eastAsia="el-GR"/>
        </w:rPr>
        <w:t>,</w:t>
      </w:r>
      <w:r w:rsidRPr="005A464E">
        <w:rPr>
          <w:rFonts w:asciiTheme="minorHAnsi" w:eastAsia="Times New Roman" w:hAnsiTheme="minorHAnsi" w:cstheme="minorHAnsi"/>
          <w:lang w:val="en-US" w:eastAsia="el-GR"/>
        </w:rPr>
        <w:t xml:space="preserve"> 256-263.</w:t>
      </w:r>
    </w:p>
    <w:p w:rsidR="003C410F" w:rsidRPr="005A464E" w:rsidRDefault="008F3609" w:rsidP="005A464E">
      <w:pPr>
        <w:pStyle w:val="Web"/>
        <w:spacing w:after="166" w:line="360" w:lineRule="auto"/>
        <w:ind w:left="415" w:hanging="415"/>
        <w:jc w:val="both"/>
        <w:rPr>
          <w:rFonts w:asciiTheme="minorHAnsi" w:hAnsiTheme="minorHAnsi" w:cstheme="minorHAnsi"/>
          <w:lang w:val="en-US"/>
        </w:rPr>
      </w:pPr>
      <w:hyperlink r:id="rId160" w:history="1">
        <w:r w:rsidR="003C410F" w:rsidRPr="005A464E">
          <w:rPr>
            <w:rFonts w:asciiTheme="minorHAnsi" w:eastAsia="Times New Roman" w:hAnsiTheme="minorHAnsi" w:cstheme="minorHAnsi"/>
            <w:lang w:val="en-US" w:eastAsia="el-GR"/>
          </w:rPr>
          <w:t>Eknoyan, G</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161" w:history="1">
        <w:r w:rsidR="003C410F" w:rsidRPr="005A464E">
          <w:rPr>
            <w:rFonts w:asciiTheme="minorHAnsi" w:eastAsia="Times New Roman" w:hAnsiTheme="minorHAnsi" w:cstheme="minorHAnsi"/>
            <w:lang w:val="en-US" w:eastAsia="el-GR"/>
          </w:rPr>
          <w:t>Beck, G.J</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162" w:history="1">
        <w:r w:rsidR="003C410F" w:rsidRPr="005A464E">
          <w:rPr>
            <w:rFonts w:asciiTheme="minorHAnsi" w:eastAsia="Times New Roman" w:hAnsiTheme="minorHAnsi" w:cstheme="minorHAnsi"/>
            <w:lang w:val="en-US" w:eastAsia="el-GR"/>
          </w:rPr>
          <w:t>Cheung, A.K</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163" w:history="1">
        <w:r w:rsidR="003C410F" w:rsidRPr="005A464E">
          <w:rPr>
            <w:rFonts w:asciiTheme="minorHAnsi" w:eastAsia="Times New Roman" w:hAnsiTheme="minorHAnsi" w:cstheme="minorHAnsi"/>
            <w:lang w:val="en-US" w:eastAsia="el-GR"/>
          </w:rPr>
          <w:t>Daugirdas, J.T</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164" w:history="1">
        <w:r w:rsidR="003C410F" w:rsidRPr="005A464E">
          <w:rPr>
            <w:rFonts w:asciiTheme="minorHAnsi" w:eastAsia="Times New Roman" w:hAnsiTheme="minorHAnsi" w:cstheme="minorHAnsi"/>
            <w:lang w:val="en-US" w:eastAsia="el-GR"/>
          </w:rPr>
          <w:t>Greene, T</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xml:space="preserve">, &amp; </w:t>
      </w:r>
      <w:hyperlink r:id="rId165" w:history="1">
        <w:r w:rsidR="003C410F" w:rsidRPr="005A464E">
          <w:rPr>
            <w:rFonts w:asciiTheme="minorHAnsi" w:eastAsia="Times New Roman" w:hAnsiTheme="minorHAnsi" w:cstheme="minorHAnsi"/>
            <w:lang w:val="en-US" w:eastAsia="el-GR"/>
          </w:rPr>
          <w:t>Hemodialysis (HEMO) Study Group</w:t>
        </w:r>
      </w:hyperlink>
      <w:r w:rsidR="003C410F" w:rsidRPr="005A464E">
        <w:rPr>
          <w:rFonts w:asciiTheme="minorHAnsi" w:eastAsia="Times New Roman" w:hAnsiTheme="minorHAnsi" w:cstheme="minorHAnsi"/>
          <w:lang w:val="en-US" w:eastAsia="el-GR"/>
        </w:rPr>
        <w:t>. (2002).</w:t>
      </w:r>
      <w:r w:rsidR="0078495A">
        <w:rPr>
          <w:rFonts w:asciiTheme="minorHAnsi" w:eastAsia="Times New Roman" w:hAnsiTheme="minorHAnsi" w:cstheme="minorHAnsi"/>
          <w:lang w:val="en-US" w:eastAsia="el-GR"/>
        </w:rPr>
        <w:t xml:space="preserve"> </w:t>
      </w:r>
      <w:r w:rsidR="003C410F" w:rsidRPr="005A464E">
        <w:rPr>
          <w:rFonts w:asciiTheme="minorHAnsi" w:eastAsia="Times New Roman" w:hAnsiTheme="minorHAnsi" w:cstheme="minorHAnsi"/>
          <w:bCs/>
          <w:kern w:val="36"/>
          <w:lang w:val="en-US" w:eastAsia="el-GR"/>
        </w:rPr>
        <w:t xml:space="preserve">Effect of dialysis dose and membrane flux in maintenance hemodialysis. </w:t>
      </w:r>
      <w:hyperlink r:id="rId166" w:tooltip="The New England journal of medicine." w:history="1">
        <w:r w:rsidR="003C410F" w:rsidRPr="005A464E">
          <w:rPr>
            <w:rFonts w:asciiTheme="minorHAnsi" w:eastAsia="Times New Roman" w:hAnsiTheme="minorHAnsi" w:cstheme="minorHAnsi"/>
            <w:i/>
            <w:lang w:val="en-US" w:eastAsia="el-GR"/>
          </w:rPr>
          <w:t>New England Journal of Medicine,</w:t>
        </w:r>
      </w:hyperlink>
      <w:r w:rsidR="003C410F" w:rsidRPr="005A464E">
        <w:rPr>
          <w:rFonts w:asciiTheme="minorHAnsi" w:hAnsiTheme="minorHAnsi" w:cstheme="minorHAnsi"/>
          <w:i/>
          <w:lang w:val="en-US"/>
        </w:rPr>
        <w:t xml:space="preserve"> </w:t>
      </w:r>
      <w:r w:rsidR="00353037" w:rsidRPr="00353037">
        <w:rPr>
          <w:rFonts w:asciiTheme="minorHAnsi" w:eastAsia="Times New Roman" w:hAnsiTheme="minorHAnsi" w:cstheme="minorHAnsi"/>
          <w:i/>
          <w:lang w:val="en-US" w:eastAsia="el-GR"/>
        </w:rPr>
        <w:t>347</w:t>
      </w:r>
      <w:r w:rsidR="003C410F" w:rsidRPr="00353037">
        <w:rPr>
          <w:rFonts w:asciiTheme="minorHAnsi" w:eastAsia="Times New Roman" w:hAnsiTheme="minorHAnsi" w:cstheme="minorHAnsi"/>
          <w:i/>
          <w:lang w:val="en-US" w:eastAsia="el-GR"/>
        </w:rPr>
        <w:t>,</w:t>
      </w:r>
      <w:r w:rsidR="00353037">
        <w:rPr>
          <w:rFonts w:asciiTheme="minorHAnsi" w:eastAsia="Times New Roman" w:hAnsiTheme="minorHAnsi" w:cstheme="minorHAnsi"/>
          <w:i/>
          <w:lang w:val="en-US" w:eastAsia="el-GR"/>
        </w:rPr>
        <w:t xml:space="preserve"> </w:t>
      </w:r>
      <w:r w:rsidR="003C410F" w:rsidRPr="005A464E">
        <w:rPr>
          <w:rFonts w:asciiTheme="minorHAnsi" w:eastAsia="Times New Roman" w:hAnsiTheme="minorHAnsi" w:cstheme="minorHAnsi"/>
          <w:lang w:val="en-US" w:eastAsia="el-GR"/>
        </w:rPr>
        <w:t>2010-2019.</w:t>
      </w:r>
      <w:r w:rsidR="003C410F" w:rsidRPr="005A464E">
        <w:rPr>
          <w:rFonts w:asciiTheme="minorHAnsi" w:hAnsiTheme="minorHAnsi" w:cstheme="minorHAnsi"/>
          <w:lang w:val="en-US"/>
        </w:rPr>
        <w:t xml:space="preserve"> </w:t>
      </w:r>
      <w:r w:rsidR="00292B29" w:rsidRPr="005A464E">
        <w:rPr>
          <w:rFonts w:asciiTheme="minorHAnsi" w:hAnsiTheme="minorHAnsi" w:cstheme="minorHAnsi"/>
          <w:lang w:val="en-US"/>
        </w:rPr>
        <w:t>DOI</w:t>
      </w:r>
      <w:r w:rsidR="003C410F" w:rsidRPr="005A464E">
        <w:rPr>
          <w:rFonts w:asciiTheme="minorHAnsi" w:hAnsiTheme="minorHAnsi" w:cstheme="minorHAnsi"/>
          <w:lang w:val="en-US"/>
        </w:rPr>
        <w:t>:</w:t>
      </w:r>
      <w:hyperlink r:id="rId167" w:history="1">
        <w:r w:rsidR="003C410F" w:rsidRPr="005A464E">
          <w:rPr>
            <w:rStyle w:val="-"/>
            <w:rFonts w:asciiTheme="minorHAnsi" w:hAnsiTheme="minorHAnsi" w:cstheme="minorHAnsi"/>
            <w:color w:val="auto"/>
            <w:u w:val="none"/>
            <w:lang w:val="en-US"/>
          </w:rPr>
          <w:t>10.1056/NEJMoa021583</w:t>
        </w:r>
      </w:hyperlink>
      <w:r w:rsidR="00ED5440"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Style w:val="article-headermeta-info-data"/>
          <w:rFonts w:asciiTheme="minorHAnsi" w:hAnsiTheme="minorHAnsi" w:cstheme="minorHAnsi"/>
          <w:bdr w:val="none" w:sz="0" w:space="0" w:color="auto" w:frame="1"/>
          <w:shd w:val="clear" w:color="auto" w:fill="FFFFFF"/>
          <w:lang w:val="en-US"/>
        </w:rPr>
      </w:pPr>
      <w:r w:rsidRPr="005A464E">
        <w:rPr>
          <w:rFonts w:asciiTheme="minorHAnsi" w:hAnsiTheme="minorHAnsi" w:cstheme="minorHAnsi"/>
          <w:lang w:val="en-US"/>
        </w:rPr>
        <w:t>Elal, G. &amp; Krespi, M. (1999). Life events, social support and depression in hemodialysis patients</w:t>
      </w:r>
      <w:r w:rsidRPr="005A464E">
        <w:rPr>
          <w:rFonts w:asciiTheme="minorHAnsi" w:hAnsiTheme="minorHAnsi" w:cstheme="minorHAnsi"/>
          <w:i/>
          <w:lang w:val="en-US"/>
        </w:rPr>
        <w:t xml:space="preserve">. </w:t>
      </w:r>
      <w:r w:rsidRPr="005A464E">
        <w:rPr>
          <w:rFonts w:asciiTheme="minorHAnsi" w:hAnsiTheme="minorHAnsi" w:cstheme="minorHAnsi"/>
          <w:i/>
          <w:iCs/>
          <w:lang w:val="en-US"/>
        </w:rPr>
        <w:t xml:space="preserve">Journal of Community and Applied Social </w:t>
      </w:r>
      <w:r w:rsidRPr="00353037">
        <w:rPr>
          <w:rFonts w:asciiTheme="minorHAnsi" w:hAnsiTheme="minorHAnsi" w:cstheme="minorHAnsi"/>
          <w:i/>
          <w:iCs/>
          <w:lang w:val="en-US"/>
        </w:rPr>
        <w:t>Psychology, 9</w:t>
      </w:r>
      <w:r w:rsidRPr="00353037">
        <w:rPr>
          <w:rFonts w:asciiTheme="minorHAnsi" w:hAnsiTheme="minorHAnsi" w:cstheme="minorHAnsi"/>
          <w:i/>
          <w:lang w:val="en-US"/>
        </w:rPr>
        <w:t>,</w:t>
      </w:r>
      <w:r w:rsidRPr="005A464E">
        <w:rPr>
          <w:rFonts w:asciiTheme="minorHAnsi" w:hAnsiTheme="minorHAnsi" w:cstheme="minorHAnsi"/>
          <w:lang w:val="en-US"/>
        </w:rPr>
        <w:t xml:space="preserve"> 23-33</w:t>
      </w:r>
      <w:r w:rsidR="00ED5440" w:rsidRPr="005A464E">
        <w:rPr>
          <w:rFonts w:asciiTheme="minorHAnsi" w:hAnsiTheme="minorHAnsi" w:cstheme="minorHAnsi"/>
          <w:lang w:val="en-US"/>
        </w:rPr>
        <w:t>.</w:t>
      </w:r>
      <w:r w:rsidRPr="005A464E">
        <w:rPr>
          <w:rStyle w:val="1Char"/>
          <w:rFonts w:asciiTheme="minorHAnsi" w:eastAsia="Calibri" w:hAnsiTheme="minorHAnsi" w:cstheme="minorHAnsi"/>
          <w:b w:val="0"/>
          <w:bCs w:val="0"/>
          <w:color w:val="auto"/>
          <w:sz w:val="24"/>
          <w:szCs w:val="24"/>
          <w:bdr w:val="none" w:sz="0" w:space="0" w:color="auto" w:frame="1"/>
          <w:shd w:val="clear" w:color="auto" w:fill="FFFFFF"/>
          <w:lang w:val="en-US"/>
        </w:rPr>
        <w:t xml:space="preserve"> </w:t>
      </w:r>
      <w:r w:rsidR="00292B29" w:rsidRPr="005A464E">
        <w:rPr>
          <w:rStyle w:val="article-headermeta-info-label"/>
          <w:rFonts w:asciiTheme="minorHAnsi" w:hAnsiTheme="minorHAnsi" w:cstheme="minorHAnsi"/>
          <w:bCs/>
          <w:bdr w:val="none" w:sz="0" w:space="0" w:color="auto" w:frame="1"/>
          <w:shd w:val="clear" w:color="auto" w:fill="FFFFFF"/>
          <w:lang w:val="en-US"/>
        </w:rPr>
        <w:t>DOI</w:t>
      </w:r>
      <w:r w:rsidRPr="005A464E">
        <w:rPr>
          <w:rStyle w:val="article-headermeta-info-label"/>
          <w:rFonts w:asciiTheme="minorHAnsi" w:hAnsiTheme="minorHAnsi" w:cstheme="minorHAnsi"/>
          <w:bCs/>
          <w:bdr w:val="none" w:sz="0" w:space="0" w:color="auto" w:frame="1"/>
          <w:shd w:val="clear" w:color="auto" w:fill="FFFFFF"/>
          <w:lang w:val="en-US"/>
        </w:rPr>
        <w:t>:</w:t>
      </w:r>
      <w:r w:rsidRPr="005A464E">
        <w:rPr>
          <w:rStyle w:val="apple-converted-space"/>
          <w:rFonts w:asciiTheme="minorHAnsi" w:hAnsiTheme="minorHAnsi" w:cstheme="minorHAnsi"/>
          <w:b/>
          <w:bCs/>
          <w:bdr w:val="none" w:sz="0" w:space="0" w:color="auto" w:frame="1"/>
          <w:shd w:val="clear" w:color="auto" w:fill="FFFFFF"/>
          <w:lang w:val="en-US"/>
        </w:rPr>
        <w:t> </w:t>
      </w:r>
      <w:r w:rsidRPr="005A464E">
        <w:rPr>
          <w:rStyle w:val="article-headermeta-info-data"/>
          <w:rFonts w:asciiTheme="minorHAnsi" w:hAnsiTheme="minorHAnsi" w:cstheme="minorHAnsi"/>
          <w:bdr w:val="none" w:sz="0" w:space="0" w:color="auto" w:frame="1"/>
          <w:shd w:val="clear" w:color="auto" w:fill="FFFFFF"/>
          <w:lang w:val="en-US"/>
        </w:rPr>
        <w:t>10.1002/(SICI)1099-1298</w:t>
      </w:r>
      <w:r w:rsidR="00ED5440" w:rsidRPr="005A464E">
        <w:rPr>
          <w:rStyle w:val="article-headermeta-info-data"/>
          <w:rFonts w:asciiTheme="minorHAnsi" w:hAnsiTheme="minorHAnsi" w:cstheme="minorHAnsi"/>
          <w:bdr w:val="none" w:sz="0" w:space="0" w:color="auto" w:frame="1"/>
          <w:shd w:val="clear" w:color="auto" w:fill="FFFFFF"/>
          <w:lang w:val="en-US"/>
        </w:rPr>
        <w:t>.</w:t>
      </w:r>
    </w:p>
    <w:p w:rsidR="003C410F" w:rsidRPr="005A464E" w:rsidRDefault="00ED5440"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Elwyn, G., Edwards, A</w:t>
      </w:r>
      <w:r w:rsidR="003C410F" w:rsidRPr="005A464E">
        <w:rPr>
          <w:rFonts w:asciiTheme="minorHAnsi" w:hAnsiTheme="minorHAnsi" w:cstheme="minorHAnsi"/>
          <w:lang w:val="en-US"/>
        </w:rPr>
        <w:t xml:space="preserve">. </w:t>
      </w:r>
      <w:r w:rsidR="00353037">
        <w:rPr>
          <w:rFonts w:asciiTheme="minorHAnsi" w:hAnsiTheme="minorHAnsi" w:cstheme="minorHAnsi"/>
          <w:lang w:val="en-US"/>
        </w:rPr>
        <w:t xml:space="preserve">(Eds). </w:t>
      </w:r>
      <w:r w:rsidR="003C410F" w:rsidRPr="005A464E">
        <w:rPr>
          <w:rFonts w:asciiTheme="minorHAnsi" w:hAnsiTheme="minorHAnsi" w:cstheme="minorHAnsi"/>
          <w:lang w:val="en-US"/>
        </w:rPr>
        <w:t xml:space="preserve">(2009). </w:t>
      </w:r>
      <w:r w:rsidR="003C410F" w:rsidRPr="00353037">
        <w:rPr>
          <w:rFonts w:asciiTheme="minorHAnsi" w:hAnsiTheme="minorHAnsi" w:cstheme="minorHAnsi"/>
          <w:i/>
          <w:lang w:val="en-US"/>
        </w:rPr>
        <w:t>Shared decision making in health care.</w:t>
      </w:r>
      <w:r w:rsidR="003C410F" w:rsidRPr="005A464E">
        <w:rPr>
          <w:rFonts w:asciiTheme="minorHAnsi" w:hAnsiTheme="minorHAnsi" w:cstheme="minorHAnsi"/>
          <w:i/>
          <w:lang w:val="en-US"/>
        </w:rPr>
        <w:t xml:space="preserve"> Achieving evidence – based patient choice</w:t>
      </w:r>
      <w:r w:rsidR="003C410F" w:rsidRPr="005A464E">
        <w:rPr>
          <w:rFonts w:asciiTheme="minorHAnsi" w:hAnsiTheme="minorHAnsi" w:cstheme="minorHAnsi"/>
          <w:lang w:val="en-US"/>
        </w:rPr>
        <w:t>. 2nd ed. Oxford: Oxford University Press.</w:t>
      </w:r>
    </w:p>
    <w:p w:rsidR="003C410F" w:rsidRPr="005A464E" w:rsidRDefault="00ED5440"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lang w:val="en-US"/>
        </w:rPr>
        <w:t>Epstein, R.</w:t>
      </w:r>
      <w:r w:rsidR="003C410F" w:rsidRPr="005A464E">
        <w:rPr>
          <w:rFonts w:asciiTheme="minorHAnsi" w:hAnsiTheme="minorHAnsi" w:cstheme="minorHAnsi"/>
          <w:lang w:val="en-US"/>
        </w:rPr>
        <w:t>M., &amp; Stree</w:t>
      </w:r>
      <w:r w:rsidRPr="005A464E">
        <w:rPr>
          <w:rFonts w:asciiTheme="minorHAnsi" w:hAnsiTheme="minorHAnsi" w:cstheme="minorHAnsi"/>
          <w:lang w:val="en-US"/>
        </w:rPr>
        <w:t>t, R.</w:t>
      </w:r>
      <w:r w:rsidR="003C410F" w:rsidRPr="005A464E">
        <w:rPr>
          <w:rFonts w:asciiTheme="minorHAnsi" w:hAnsiTheme="minorHAnsi" w:cstheme="minorHAnsi"/>
          <w:lang w:val="en-US"/>
        </w:rPr>
        <w:t xml:space="preserve">L. (2011). The values and value of patient-centered care. </w:t>
      </w:r>
      <w:r w:rsidR="003C410F" w:rsidRPr="005A464E">
        <w:rPr>
          <w:rFonts w:asciiTheme="minorHAnsi" w:hAnsiTheme="minorHAnsi" w:cstheme="minorHAnsi"/>
          <w:i/>
          <w:lang w:val="en-US"/>
        </w:rPr>
        <w:t xml:space="preserve">Annals of Family </w:t>
      </w:r>
      <w:r w:rsidR="003C410F" w:rsidRPr="00353037">
        <w:rPr>
          <w:rFonts w:asciiTheme="minorHAnsi" w:hAnsiTheme="minorHAnsi" w:cstheme="minorHAnsi"/>
          <w:i/>
          <w:lang w:val="en-US"/>
        </w:rPr>
        <w:t>Medicine</w:t>
      </w:r>
      <w:r w:rsidR="00353037" w:rsidRPr="00353037">
        <w:rPr>
          <w:rFonts w:asciiTheme="minorHAnsi" w:hAnsiTheme="minorHAnsi" w:cstheme="minorHAnsi"/>
          <w:i/>
          <w:lang w:val="en-US"/>
        </w:rPr>
        <w:t>, 9</w:t>
      </w:r>
      <w:r w:rsidR="003C410F" w:rsidRPr="005A464E">
        <w:rPr>
          <w:rFonts w:asciiTheme="minorHAnsi" w:hAnsiTheme="minorHAnsi" w:cstheme="minorHAnsi"/>
          <w:lang w:val="en-US"/>
        </w:rPr>
        <w:t>, 100–103.</w:t>
      </w:r>
      <w:r w:rsidR="003C410F" w:rsidRPr="005A464E">
        <w:rPr>
          <w:rFonts w:asciiTheme="minorHAnsi" w:hAnsiTheme="minorHAnsi" w:cstheme="minorHAnsi"/>
          <w:shd w:val="clear" w:color="auto" w:fill="FFFFFF"/>
          <w:lang w:val="en-US"/>
        </w:rPr>
        <w:t xml:space="preserve"> </w:t>
      </w:r>
      <w:r w:rsidR="00292B29" w:rsidRPr="005A464E">
        <w:rPr>
          <w:rFonts w:asciiTheme="minorHAnsi" w:hAnsiTheme="minorHAnsi" w:cstheme="minorHAnsi"/>
          <w:shd w:val="clear" w:color="auto" w:fill="FFFFFF"/>
          <w:lang w:val="en-US"/>
        </w:rPr>
        <w:t>DOI</w:t>
      </w:r>
      <w:r w:rsidR="003C410F" w:rsidRPr="005A464E">
        <w:rPr>
          <w:rFonts w:asciiTheme="minorHAnsi" w:hAnsiTheme="minorHAnsi" w:cstheme="minorHAnsi"/>
          <w:shd w:val="clear" w:color="auto" w:fill="FFFFFF"/>
          <w:lang w:val="en-US"/>
        </w:rPr>
        <w:t>: 10.1370/afm.1239</w:t>
      </w:r>
      <w:r w:rsidRPr="005A464E">
        <w:rPr>
          <w:rFonts w:asciiTheme="minorHAnsi" w:hAnsiTheme="minorHAnsi" w:cstheme="minorHAnsi"/>
          <w:shd w:val="clear" w:color="auto" w:fill="FFFFFF"/>
          <w:lang w:val="en-US"/>
        </w:rPr>
        <w:t>.</w:t>
      </w:r>
    </w:p>
    <w:p w:rsidR="003C410F" w:rsidRPr="005A464E" w:rsidRDefault="00A25D9B" w:rsidP="005A464E">
      <w:pPr>
        <w:pStyle w:val="Web"/>
        <w:spacing w:after="166" w:line="360" w:lineRule="auto"/>
        <w:ind w:left="415" w:hanging="415"/>
        <w:jc w:val="both"/>
        <w:rPr>
          <w:rFonts w:asciiTheme="minorHAnsi" w:hAnsiTheme="minorHAnsi" w:cstheme="minorHAnsi"/>
          <w:lang w:val="en-US"/>
        </w:rPr>
      </w:pPr>
      <w:r w:rsidRPr="005A464E">
        <w:rPr>
          <w:rFonts w:asciiTheme="minorHAnsi" w:eastAsia="Times New Roman" w:hAnsiTheme="minorHAnsi" w:cstheme="minorHAnsi"/>
          <w:lang w:val="en-US" w:eastAsia="el-GR"/>
        </w:rPr>
        <w:t>Estrella, M.M., Jaar, B.G., Cavanaugh, K.</w:t>
      </w:r>
      <w:r w:rsidR="003C410F" w:rsidRPr="005A464E">
        <w:rPr>
          <w:rFonts w:asciiTheme="minorHAnsi" w:eastAsia="Times New Roman" w:hAnsiTheme="minorHAnsi" w:cstheme="minorHAnsi"/>
          <w:lang w:val="en-US" w:eastAsia="el-GR"/>
        </w:rPr>
        <w:t>L., Fox, C.H</w:t>
      </w:r>
      <w:r w:rsidR="006623A7" w:rsidRPr="005A464E">
        <w:rPr>
          <w:rFonts w:asciiTheme="minorHAnsi" w:eastAsia="Times New Roman" w:hAnsiTheme="minorHAnsi" w:cstheme="minorHAnsi"/>
          <w:lang w:val="en-US" w:eastAsia="el-GR"/>
        </w:rPr>
        <w:t>., Per</w:t>
      </w:r>
      <w:r w:rsidRPr="005A464E">
        <w:rPr>
          <w:rFonts w:asciiTheme="minorHAnsi" w:eastAsia="Times New Roman" w:hAnsiTheme="minorHAnsi" w:cstheme="minorHAnsi"/>
          <w:lang w:val="en-US" w:eastAsia="el-GR"/>
        </w:rPr>
        <w:t xml:space="preserve">azella, M.A., Soman, S.S., </w:t>
      </w:r>
      <w:r w:rsidR="00267243" w:rsidRPr="00267243">
        <w:rPr>
          <w:rFonts w:asciiTheme="minorHAnsi" w:hAnsiTheme="minorHAnsi"/>
          <w:lang w:val="en-US"/>
        </w:rPr>
        <w:t xml:space="preserve">… </w:t>
      </w:r>
      <w:r w:rsidRPr="005A464E">
        <w:rPr>
          <w:rFonts w:asciiTheme="minorHAnsi" w:hAnsiTheme="minorHAnsi" w:cstheme="minorHAnsi"/>
          <w:shd w:val="clear" w:color="auto" w:fill="FFFFFF"/>
          <w:lang w:val="en-US"/>
        </w:rPr>
        <w:t xml:space="preserve">&amp; </w:t>
      </w:r>
      <w:hyperlink r:id="rId168" w:history="1">
        <w:r w:rsidRPr="005A464E">
          <w:rPr>
            <w:rStyle w:val="-"/>
            <w:rFonts w:asciiTheme="minorHAnsi" w:hAnsiTheme="minorHAnsi" w:cstheme="minorHAnsi"/>
            <w:color w:val="auto"/>
            <w:u w:val="none"/>
            <w:shd w:val="clear" w:color="auto" w:fill="FFFFFF"/>
            <w:lang w:val="en-US"/>
          </w:rPr>
          <w:t>Choi, M.J</w:t>
        </w:r>
      </w:hyperlink>
      <w:r w:rsidRPr="005A464E">
        <w:rPr>
          <w:rFonts w:asciiTheme="minorHAnsi" w:hAnsiTheme="minorHAnsi" w:cstheme="minorHAnsi"/>
          <w:shd w:val="clear" w:color="auto" w:fill="FFFFFF"/>
          <w:lang w:val="en-US"/>
        </w:rPr>
        <w:t>; </w:t>
      </w:r>
      <w:hyperlink r:id="rId169" w:history="1">
        <w:r w:rsidRPr="005A464E">
          <w:rPr>
            <w:rStyle w:val="highlight"/>
            <w:rFonts w:asciiTheme="minorHAnsi" w:hAnsiTheme="minorHAnsi" w:cstheme="minorHAnsi"/>
            <w:shd w:val="clear" w:color="auto" w:fill="FFFFFF"/>
            <w:lang w:val="en-US"/>
          </w:rPr>
          <w:t>National</w:t>
        </w:r>
        <w:r w:rsidRPr="005A464E">
          <w:rPr>
            <w:rStyle w:val="-"/>
            <w:rFonts w:asciiTheme="minorHAnsi" w:hAnsiTheme="minorHAnsi" w:cstheme="minorHAnsi"/>
            <w:color w:val="auto"/>
            <w:u w:val="none"/>
            <w:shd w:val="clear" w:color="auto" w:fill="FFFFFF"/>
            <w:lang w:val="en-US"/>
          </w:rPr>
          <w:t> </w:t>
        </w:r>
        <w:r w:rsidRPr="005A464E">
          <w:rPr>
            <w:rStyle w:val="highlight"/>
            <w:rFonts w:asciiTheme="minorHAnsi" w:hAnsiTheme="minorHAnsi" w:cstheme="minorHAnsi"/>
            <w:shd w:val="clear" w:color="auto" w:fill="FFFFFF"/>
            <w:lang w:val="en-US"/>
          </w:rPr>
          <w:t>Kidney</w:t>
        </w:r>
        <w:r w:rsidRPr="005A464E">
          <w:rPr>
            <w:rStyle w:val="-"/>
            <w:rFonts w:asciiTheme="minorHAnsi" w:hAnsiTheme="minorHAnsi" w:cstheme="minorHAnsi"/>
            <w:color w:val="auto"/>
            <w:u w:val="none"/>
            <w:shd w:val="clear" w:color="auto" w:fill="FFFFFF"/>
            <w:lang w:val="en-US"/>
          </w:rPr>
          <w:t> </w:t>
        </w:r>
        <w:r w:rsidRPr="005A464E">
          <w:rPr>
            <w:rStyle w:val="highlight"/>
            <w:rFonts w:asciiTheme="minorHAnsi" w:hAnsiTheme="minorHAnsi" w:cstheme="minorHAnsi"/>
            <w:shd w:val="clear" w:color="auto" w:fill="FFFFFF"/>
            <w:lang w:val="en-US"/>
          </w:rPr>
          <w:t>Foundation</w:t>
        </w:r>
      </w:hyperlink>
      <w:r w:rsidR="006623A7" w:rsidRPr="005A464E">
        <w:rPr>
          <w:rFonts w:asciiTheme="minorHAnsi" w:eastAsia="Times New Roman" w:hAnsiTheme="minorHAnsi" w:cstheme="minorHAnsi"/>
          <w:lang w:val="en-US" w:eastAsia="el-GR"/>
        </w:rPr>
        <w:t>.</w:t>
      </w:r>
      <w:r w:rsidR="003C410F" w:rsidRPr="005A464E">
        <w:rPr>
          <w:rFonts w:asciiTheme="minorHAnsi" w:eastAsia="Times New Roman" w:hAnsiTheme="minorHAnsi" w:cstheme="minorHAnsi"/>
          <w:lang w:val="en-US" w:eastAsia="el-GR"/>
        </w:rPr>
        <w:t xml:space="preserve"> (2013). Perceptions and use of the national kidney foundation KDOQI guidelines: a survey of U.S. renal healthcare providers. </w:t>
      </w:r>
      <w:r w:rsidR="003C410F" w:rsidRPr="005A464E">
        <w:rPr>
          <w:rFonts w:asciiTheme="minorHAnsi" w:eastAsia="Times New Roman" w:hAnsiTheme="minorHAnsi" w:cstheme="minorHAnsi"/>
          <w:i/>
          <w:lang w:val="en-US" w:eastAsia="el-GR"/>
        </w:rPr>
        <w:t xml:space="preserve">BMC Nephrology, </w:t>
      </w:r>
      <w:r w:rsidR="003C410F" w:rsidRPr="00353037">
        <w:rPr>
          <w:rFonts w:asciiTheme="minorHAnsi" w:eastAsia="Times New Roman" w:hAnsiTheme="minorHAnsi" w:cstheme="minorHAnsi"/>
          <w:i/>
          <w:lang w:val="en-US" w:eastAsia="el-GR"/>
        </w:rPr>
        <w:t>14,</w:t>
      </w:r>
      <w:r w:rsidR="003C410F" w:rsidRPr="005A464E">
        <w:rPr>
          <w:rFonts w:asciiTheme="minorHAnsi" w:eastAsia="Times New Roman" w:hAnsiTheme="minorHAnsi" w:cstheme="minorHAnsi"/>
          <w:lang w:val="en-US" w:eastAsia="el-GR"/>
        </w:rPr>
        <w:t xml:space="preserve"> 230. </w:t>
      </w:r>
      <w:hyperlink r:id="rId170" w:history="1">
        <w:r w:rsidR="003C410F" w:rsidRPr="005A464E">
          <w:rPr>
            <w:rStyle w:val="-"/>
            <w:rFonts w:asciiTheme="minorHAnsi" w:eastAsia="Times New Roman" w:hAnsiTheme="minorHAnsi" w:cstheme="minorHAnsi"/>
            <w:color w:val="auto"/>
            <w:u w:val="none"/>
            <w:lang w:val="en-US" w:eastAsia="el-GR"/>
          </w:rPr>
          <w:t>http://</w:t>
        </w:r>
        <w:r w:rsidR="00292B29" w:rsidRPr="005A464E">
          <w:rPr>
            <w:rStyle w:val="-"/>
            <w:rFonts w:asciiTheme="minorHAnsi" w:eastAsia="Times New Roman" w:hAnsiTheme="minorHAnsi" w:cstheme="minorHAnsi"/>
            <w:color w:val="auto"/>
            <w:u w:val="none"/>
            <w:lang w:val="en-US" w:eastAsia="el-GR"/>
          </w:rPr>
          <w:t>DOI</w:t>
        </w:r>
        <w:r w:rsidR="003C410F" w:rsidRPr="005A464E">
          <w:rPr>
            <w:rStyle w:val="-"/>
            <w:rFonts w:asciiTheme="minorHAnsi" w:eastAsia="Times New Roman" w:hAnsiTheme="minorHAnsi" w:cstheme="minorHAnsi"/>
            <w:color w:val="auto"/>
            <w:u w:val="none"/>
            <w:lang w:val="en-US" w:eastAsia="el-GR"/>
          </w:rPr>
          <w:t>.org/10.1186/1471-2369-14-230</w:t>
        </w:r>
      </w:hyperlink>
      <w:r w:rsidR="003C410F" w:rsidRPr="005A464E">
        <w:rPr>
          <w:rFonts w:asciiTheme="minorHAnsi" w:hAnsiTheme="minorHAnsi" w:cstheme="minorHAnsi"/>
          <w:lang w:val="en-US"/>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Evangelista, L.S. &amp; Dracup, K. (2000).</w:t>
      </w:r>
      <w:r w:rsidR="0078495A">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 xml:space="preserve">A closer look at compliance research in heart failure patients in the last decade. </w:t>
      </w:r>
      <w:r w:rsidRPr="005A464E">
        <w:rPr>
          <w:rFonts w:asciiTheme="minorHAnsi" w:eastAsia="Times New Roman" w:hAnsiTheme="minorHAnsi" w:cstheme="minorHAnsi"/>
          <w:i/>
          <w:lang w:val="en-US" w:eastAsia="el-GR"/>
        </w:rPr>
        <w:t>Progress in Cardiovascular Nursing</w:t>
      </w:r>
      <w:r w:rsidRPr="005A464E">
        <w:rPr>
          <w:rFonts w:asciiTheme="minorHAnsi" w:eastAsia="Times New Roman" w:hAnsiTheme="minorHAnsi" w:cstheme="minorHAnsi"/>
          <w:lang w:val="en-US" w:eastAsia="el-GR"/>
        </w:rPr>
        <w:t xml:space="preserve">, </w:t>
      </w:r>
      <w:r w:rsidRPr="00353037">
        <w:rPr>
          <w:rFonts w:asciiTheme="minorHAnsi" w:eastAsia="Times New Roman" w:hAnsiTheme="minorHAnsi" w:cstheme="minorHAnsi"/>
          <w:i/>
          <w:lang w:val="en-US" w:eastAsia="el-GR"/>
        </w:rPr>
        <w:t>15</w:t>
      </w:r>
      <w:r w:rsidRPr="005A464E">
        <w:rPr>
          <w:rFonts w:asciiTheme="minorHAnsi" w:eastAsia="Times New Roman" w:hAnsiTheme="minorHAnsi" w:cstheme="minorHAnsi"/>
          <w:lang w:val="en-US" w:eastAsia="el-GR"/>
        </w:rPr>
        <w:t>, 97-103.</w:t>
      </w:r>
      <w:r w:rsidRPr="005A464E">
        <w:rPr>
          <w:rStyle w:val="1Char"/>
          <w:rFonts w:asciiTheme="minorHAnsi" w:eastAsia="Calibri" w:hAnsiTheme="minorHAnsi" w:cstheme="minorHAnsi"/>
          <w:b w:val="0"/>
          <w:bCs w:val="0"/>
          <w:color w:val="auto"/>
          <w:sz w:val="24"/>
          <w:szCs w:val="24"/>
          <w:bdr w:val="none" w:sz="0" w:space="0" w:color="auto" w:frame="1"/>
          <w:shd w:val="clear" w:color="auto" w:fill="FFFFFF"/>
          <w:lang w:val="en-US"/>
        </w:rPr>
        <w:t xml:space="preserve"> </w:t>
      </w:r>
      <w:r w:rsidR="00292B29" w:rsidRPr="005A464E">
        <w:rPr>
          <w:rStyle w:val="article-headermeta-info-label"/>
          <w:rFonts w:asciiTheme="minorHAnsi" w:hAnsiTheme="minorHAnsi" w:cstheme="minorHAnsi"/>
          <w:bCs/>
          <w:bdr w:val="none" w:sz="0" w:space="0" w:color="auto" w:frame="1"/>
          <w:shd w:val="clear" w:color="auto" w:fill="FFFFFF"/>
          <w:lang w:val="en-US"/>
        </w:rPr>
        <w:t>DOI</w:t>
      </w:r>
      <w:r w:rsidRPr="005A464E">
        <w:rPr>
          <w:rStyle w:val="article-headermeta-info-label"/>
          <w:rFonts w:asciiTheme="minorHAnsi" w:hAnsiTheme="minorHAnsi" w:cstheme="minorHAnsi"/>
          <w:bCs/>
          <w:bdr w:val="none" w:sz="0" w:space="0" w:color="auto" w:frame="1"/>
          <w:shd w:val="clear" w:color="auto" w:fill="FFFFFF"/>
          <w:lang w:val="en-US"/>
        </w:rPr>
        <w:t>:</w:t>
      </w:r>
      <w:r w:rsidRPr="005A464E">
        <w:rPr>
          <w:rStyle w:val="apple-converted-space"/>
          <w:rFonts w:asciiTheme="minorHAnsi" w:hAnsiTheme="minorHAnsi" w:cstheme="minorHAnsi"/>
          <w:bCs/>
          <w:bdr w:val="none" w:sz="0" w:space="0" w:color="auto" w:frame="1"/>
          <w:shd w:val="clear" w:color="auto" w:fill="FFFFFF"/>
          <w:lang w:val="en-US"/>
        </w:rPr>
        <w:t> </w:t>
      </w:r>
      <w:r w:rsidRPr="005A464E">
        <w:rPr>
          <w:rStyle w:val="article-headermeta-info-data"/>
          <w:rFonts w:asciiTheme="minorHAnsi" w:hAnsiTheme="minorHAnsi" w:cstheme="minorHAnsi"/>
          <w:bdr w:val="none" w:sz="0" w:space="0" w:color="auto" w:frame="1"/>
          <w:shd w:val="clear" w:color="auto" w:fill="FFFFFF"/>
          <w:lang w:val="en-US"/>
        </w:rPr>
        <w:t>10.1111/j.1751-7117.2000.tb00212.x</w:t>
      </w:r>
      <w:r w:rsidR="00A25D9B" w:rsidRPr="005A464E">
        <w:rPr>
          <w:rStyle w:val="article-headermeta-info-data"/>
          <w:rFonts w:asciiTheme="minorHAnsi" w:hAnsiTheme="minorHAnsi" w:cstheme="minorHAnsi"/>
          <w:bdr w:val="none" w:sz="0" w:space="0" w:color="auto" w:frame="1"/>
          <w:shd w:val="clear" w:color="auto" w:fill="FFFFFF"/>
          <w:lang w:val="en-US"/>
        </w:rPr>
        <w:t>.</w:t>
      </w:r>
    </w:p>
    <w:p w:rsidR="003C410F" w:rsidRPr="005A464E" w:rsidRDefault="00A25D9B"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Evans, R.</w:t>
      </w:r>
      <w:r w:rsidR="003C410F" w:rsidRPr="005A464E">
        <w:rPr>
          <w:rFonts w:asciiTheme="minorHAnsi" w:hAnsiTheme="minorHAnsi" w:cstheme="minorHAnsi"/>
          <w:lang w:val="en-US"/>
        </w:rPr>
        <w:t>W., Manninen, D.L., Garrison, L.P., Hart, G., Blagg, C.R., Gutman, R.A.,</w:t>
      </w:r>
      <w:r w:rsidR="00267243">
        <w:rPr>
          <w:lang w:val="en-US"/>
        </w:rPr>
        <w:t xml:space="preserve"> </w:t>
      </w:r>
      <w:r w:rsidR="00267243" w:rsidRPr="00267243">
        <w:rPr>
          <w:rFonts w:asciiTheme="minorHAnsi" w:hAnsiTheme="minorHAnsi"/>
          <w:lang w:val="en-US"/>
        </w:rPr>
        <w:t>… &amp;</w:t>
      </w:r>
      <w:r w:rsidR="003C410F" w:rsidRPr="00267243">
        <w:rPr>
          <w:rStyle w:val="apple-converted-space"/>
          <w:rFonts w:asciiTheme="minorHAnsi" w:hAnsiTheme="minorHAnsi" w:cstheme="minorHAnsi"/>
          <w:shd w:val="clear" w:color="auto" w:fill="FFFFFF"/>
          <w:lang w:val="en-US"/>
        </w:rPr>
        <w:t> </w:t>
      </w:r>
      <w:hyperlink r:id="rId171" w:history="1">
        <w:r w:rsidR="003C410F" w:rsidRPr="00267243">
          <w:rPr>
            <w:rStyle w:val="-"/>
            <w:rFonts w:asciiTheme="minorHAnsi" w:hAnsiTheme="minorHAnsi" w:cstheme="minorHAnsi"/>
            <w:color w:val="auto"/>
            <w:u w:val="none"/>
            <w:shd w:val="clear" w:color="auto" w:fill="FFFFFF"/>
            <w:lang w:val="en-US"/>
          </w:rPr>
          <w:t>Lowrie, E.G</w:t>
        </w:r>
      </w:hyperlink>
      <w:r w:rsidR="003C410F" w:rsidRPr="00267243">
        <w:rPr>
          <w:rFonts w:asciiTheme="minorHAnsi" w:hAnsiTheme="minorHAnsi" w:cstheme="minorHAnsi"/>
          <w:shd w:val="clear" w:color="auto" w:fill="FFFFFF"/>
          <w:lang w:val="en-US"/>
        </w:rPr>
        <w:t>.</w:t>
      </w:r>
      <w:r w:rsidR="003C410F" w:rsidRPr="00267243">
        <w:rPr>
          <w:rFonts w:asciiTheme="minorHAnsi" w:hAnsiTheme="minorHAnsi" w:cstheme="minorHAnsi"/>
          <w:iCs/>
          <w:lang w:val="en-US"/>
        </w:rPr>
        <w:t xml:space="preserve"> </w:t>
      </w:r>
      <w:r w:rsidR="003C410F" w:rsidRPr="00267243">
        <w:rPr>
          <w:rFonts w:asciiTheme="minorHAnsi" w:hAnsiTheme="minorHAnsi" w:cstheme="minorHAnsi"/>
          <w:lang w:val="en-US"/>
        </w:rPr>
        <w:t>(1985). The quality of life of patients with end-stage re</w:t>
      </w:r>
      <w:r w:rsidR="003C410F" w:rsidRPr="005A464E">
        <w:rPr>
          <w:rFonts w:asciiTheme="minorHAnsi" w:hAnsiTheme="minorHAnsi" w:cstheme="minorHAnsi"/>
          <w:lang w:val="en-US"/>
        </w:rPr>
        <w:t xml:space="preserve">nal disease. </w:t>
      </w:r>
      <w:r w:rsidR="003C410F" w:rsidRPr="005A464E">
        <w:rPr>
          <w:rFonts w:asciiTheme="minorHAnsi" w:hAnsiTheme="minorHAnsi" w:cstheme="minorHAnsi"/>
          <w:i/>
          <w:iCs/>
          <w:lang w:val="en-US"/>
        </w:rPr>
        <w:t>New England Journal of Medicine</w:t>
      </w:r>
      <w:r w:rsidR="003C410F" w:rsidRPr="005A464E">
        <w:rPr>
          <w:rFonts w:asciiTheme="minorHAnsi" w:hAnsiTheme="minorHAnsi" w:cstheme="minorHAnsi"/>
          <w:iCs/>
          <w:lang w:val="en-US"/>
        </w:rPr>
        <w:t xml:space="preserve">, </w:t>
      </w:r>
      <w:r w:rsidR="003C410F" w:rsidRPr="00353037">
        <w:rPr>
          <w:rFonts w:asciiTheme="minorHAnsi" w:hAnsiTheme="minorHAnsi" w:cstheme="minorHAnsi"/>
          <w:i/>
          <w:lang w:val="en-US"/>
        </w:rPr>
        <w:t>312,</w:t>
      </w:r>
      <w:r w:rsidR="003C410F" w:rsidRPr="005A464E">
        <w:rPr>
          <w:rFonts w:asciiTheme="minorHAnsi" w:hAnsiTheme="minorHAnsi" w:cstheme="minorHAnsi"/>
          <w:lang w:val="en-US"/>
        </w:rPr>
        <w:t xml:space="preserve"> 553-559.</w:t>
      </w:r>
      <w:r w:rsidR="003C410F" w:rsidRPr="005A464E">
        <w:rPr>
          <w:rFonts w:asciiTheme="minorHAnsi" w:hAnsiTheme="minorHAnsi" w:cstheme="minorHAnsi"/>
          <w:shd w:val="clear" w:color="auto" w:fill="FFFFFF"/>
          <w:lang w:val="en-US"/>
        </w:rPr>
        <w:t xml:space="preserve"> </w:t>
      </w:r>
      <w:r w:rsidR="00292B29" w:rsidRPr="005A464E">
        <w:rPr>
          <w:rFonts w:asciiTheme="minorHAnsi" w:hAnsiTheme="minorHAnsi" w:cstheme="minorHAnsi"/>
          <w:shd w:val="clear" w:color="auto" w:fill="FFFFFF"/>
          <w:lang w:val="en-US"/>
        </w:rPr>
        <w:t>DOI</w:t>
      </w:r>
      <w:r w:rsidR="003C410F" w:rsidRPr="005A464E">
        <w:rPr>
          <w:rFonts w:asciiTheme="minorHAnsi" w:hAnsiTheme="minorHAnsi" w:cstheme="minorHAnsi"/>
          <w:shd w:val="clear" w:color="auto" w:fill="FFFFFF"/>
          <w:lang w:val="en-US"/>
        </w:rPr>
        <w:t>: 10.1056/NEJM198502283120905</w:t>
      </w:r>
      <w:r w:rsidRPr="005A464E">
        <w:rPr>
          <w:rFonts w:asciiTheme="minorHAnsi" w:hAnsiTheme="minorHAnsi" w:cstheme="minorHAnsi"/>
          <w:shd w:val="clear" w:color="auto" w:fill="FFFFFF"/>
          <w:lang w:val="en-US"/>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Falvo, D.R. (2010).</w:t>
      </w:r>
      <w:r w:rsidR="0078495A">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Patient adherence as an outcome of effective patient teaching</w:t>
      </w:r>
      <w:r w:rsidRPr="005A464E">
        <w:rPr>
          <w:rFonts w:asciiTheme="minorHAnsi" w:eastAsia="Times New Roman" w:hAnsiTheme="minorHAnsi" w:cstheme="minorHAnsi"/>
          <w:i/>
          <w:lang w:val="en-US" w:eastAsia="el-GR"/>
        </w:rPr>
        <w:t xml:space="preserve"> In Effective Patient Education: A Guide to Increased Adherence</w:t>
      </w:r>
      <w:r w:rsidRPr="005A464E">
        <w:rPr>
          <w:rFonts w:asciiTheme="minorHAnsi" w:eastAsia="Times New Roman" w:hAnsiTheme="minorHAnsi" w:cstheme="minorHAnsi"/>
          <w:lang w:val="en-US" w:eastAsia="el-GR"/>
        </w:rPr>
        <w:t>. 4th Ed, Jones and Bartlett Publishers, USA</w:t>
      </w:r>
      <w:r w:rsidR="00A25D9B" w:rsidRPr="005A464E">
        <w:rPr>
          <w:rFonts w:asciiTheme="minorHAnsi" w:eastAsia="Times New Roman" w:hAnsiTheme="minorHAnsi" w:cstheme="minorHAnsi"/>
          <w:lang w:val="en-US" w:eastAsia="el-GR"/>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Farmer, K.C. (1999). Methods for measuring and monitoring medication regimen adherence in clinical trials and clinical practice. </w:t>
      </w:r>
      <w:r w:rsidRPr="005A464E">
        <w:rPr>
          <w:rFonts w:asciiTheme="minorHAnsi" w:eastAsia="Times New Roman" w:hAnsiTheme="minorHAnsi" w:cstheme="minorHAnsi"/>
          <w:i/>
          <w:lang w:val="en-US" w:eastAsia="el-GR"/>
        </w:rPr>
        <w:t>Clinical Therapeutics</w:t>
      </w:r>
      <w:r w:rsidRPr="00353037">
        <w:rPr>
          <w:rFonts w:asciiTheme="minorHAnsi" w:eastAsia="Times New Roman" w:hAnsiTheme="minorHAnsi" w:cstheme="minorHAnsi"/>
          <w:i/>
          <w:lang w:val="en-US" w:eastAsia="el-GR"/>
        </w:rPr>
        <w:t>,</w:t>
      </w:r>
      <w:r w:rsidR="00353037" w:rsidRPr="00353037">
        <w:rPr>
          <w:rFonts w:asciiTheme="minorHAnsi" w:eastAsia="Times New Roman" w:hAnsiTheme="minorHAnsi" w:cstheme="minorHAnsi"/>
          <w:i/>
          <w:lang w:val="en-US" w:eastAsia="el-GR"/>
        </w:rPr>
        <w:t xml:space="preserve"> 21</w:t>
      </w:r>
      <w:r w:rsidRPr="00353037">
        <w:rPr>
          <w:rFonts w:asciiTheme="minorHAnsi" w:eastAsia="Times New Roman" w:hAnsiTheme="minorHAnsi" w:cstheme="minorHAnsi"/>
          <w:i/>
          <w:lang w:val="en-US" w:eastAsia="el-GR"/>
        </w:rPr>
        <w:t>,</w:t>
      </w:r>
      <w:r w:rsidRPr="005A464E">
        <w:rPr>
          <w:rFonts w:asciiTheme="minorHAnsi" w:eastAsia="Times New Roman" w:hAnsiTheme="minorHAnsi" w:cstheme="minorHAnsi"/>
          <w:lang w:val="en-US" w:eastAsia="el-GR"/>
        </w:rPr>
        <w:t xml:space="preserve"> 1074-1090.</w:t>
      </w:r>
      <w:r w:rsidRPr="005A464E">
        <w:rPr>
          <w:rFonts w:asciiTheme="minorHAnsi" w:hAnsiTheme="minorHAnsi" w:cstheme="minorHAnsi"/>
          <w:lang w:val="en-US"/>
        </w:rPr>
        <w:t xml:space="preserve"> </w:t>
      </w:r>
      <w:r w:rsidR="00292B29" w:rsidRPr="005A464E">
        <w:rPr>
          <w:rFonts w:asciiTheme="minorHAnsi" w:hAnsiTheme="minorHAnsi" w:cstheme="minorHAnsi"/>
          <w:lang w:val="en-US"/>
        </w:rPr>
        <w:t>DOI</w:t>
      </w:r>
      <w:r w:rsidRPr="005A464E">
        <w:rPr>
          <w:rFonts w:asciiTheme="minorHAnsi" w:hAnsiTheme="minorHAnsi" w:cstheme="minorHAnsi"/>
          <w:lang w:val="en-US"/>
        </w:rPr>
        <w:t>:</w:t>
      </w:r>
      <w:hyperlink r:id="rId172" w:history="1">
        <w:r w:rsidRPr="005A464E">
          <w:rPr>
            <w:rStyle w:val="-"/>
            <w:rFonts w:asciiTheme="minorHAnsi" w:hAnsiTheme="minorHAnsi" w:cstheme="minorHAnsi"/>
            <w:color w:val="auto"/>
            <w:u w:val="none"/>
            <w:lang w:val="en-US"/>
          </w:rPr>
          <w:t>10.1016/S0149-2918(99)80026-5</w:t>
        </w:r>
      </w:hyperlink>
      <w:r w:rsidR="00A25D9B" w:rsidRPr="005A464E">
        <w:rPr>
          <w:rFonts w:asciiTheme="minorHAnsi" w:hAnsiTheme="minorHAnsi"/>
          <w:lang w:val="en-US"/>
        </w:rPr>
        <w:t>.</w:t>
      </w:r>
    </w:p>
    <w:p w:rsidR="006623A7"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Feldman, R.H. (1982). A guide for enhancing health care compliance in ambulatory care settings. </w:t>
      </w:r>
      <w:r w:rsidRPr="005A464E">
        <w:rPr>
          <w:rFonts w:asciiTheme="minorHAnsi" w:hAnsiTheme="minorHAnsi" w:cstheme="minorHAnsi"/>
          <w:i/>
          <w:lang w:val="en-US"/>
        </w:rPr>
        <w:t>Journal of Ambulatory Care Manage</w:t>
      </w:r>
      <w:r w:rsidRPr="005A464E">
        <w:rPr>
          <w:rFonts w:asciiTheme="minorHAnsi" w:hAnsiTheme="minorHAnsi" w:cstheme="minorHAnsi"/>
          <w:lang w:val="en-US"/>
        </w:rPr>
        <w:t xml:space="preserve">, </w:t>
      </w:r>
      <w:r w:rsidRPr="00353037">
        <w:rPr>
          <w:rFonts w:asciiTheme="minorHAnsi" w:hAnsiTheme="minorHAnsi" w:cstheme="minorHAnsi"/>
          <w:i/>
          <w:lang w:val="en-US"/>
        </w:rPr>
        <w:t>5</w:t>
      </w:r>
      <w:r w:rsidR="00353037">
        <w:rPr>
          <w:rFonts w:asciiTheme="minorHAnsi" w:hAnsiTheme="minorHAnsi" w:cstheme="minorHAnsi"/>
          <w:lang w:val="en-US"/>
        </w:rPr>
        <w:t xml:space="preserve">, </w:t>
      </w:r>
      <w:r w:rsidRPr="005A464E">
        <w:rPr>
          <w:rFonts w:asciiTheme="minorHAnsi" w:hAnsiTheme="minorHAnsi" w:cstheme="minorHAnsi"/>
          <w:lang w:val="en-US"/>
        </w:rPr>
        <w:t>1-12</w:t>
      </w:r>
      <w:r w:rsidR="00A25D9B" w:rsidRPr="005A464E">
        <w:rPr>
          <w:rFonts w:asciiTheme="minorHAnsi" w:hAnsiTheme="minorHAnsi" w:cstheme="minorHAnsi"/>
          <w:lang w:val="en-US"/>
        </w:rPr>
        <w:t>.</w:t>
      </w:r>
    </w:p>
    <w:p w:rsidR="006623A7" w:rsidRPr="005A464E" w:rsidRDefault="006623A7"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Ferrans, C.E. (1990). Quality of life: Conceptual issues. </w:t>
      </w:r>
      <w:r w:rsidRPr="005A464E">
        <w:rPr>
          <w:rFonts w:asciiTheme="minorHAnsi" w:hAnsiTheme="minorHAnsi" w:cstheme="minorHAnsi"/>
          <w:i/>
          <w:iCs/>
          <w:lang w:val="en-US"/>
        </w:rPr>
        <w:t>Seminars in Oncology Nursing,</w:t>
      </w:r>
      <w:r w:rsidRPr="005A464E">
        <w:rPr>
          <w:rFonts w:asciiTheme="minorHAnsi" w:hAnsiTheme="minorHAnsi" w:cstheme="minorHAnsi"/>
          <w:iCs/>
          <w:lang w:val="en-US"/>
        </w:rPr>
        <w:t xml:space="preserve"> </w:t>
      </w:r>
      <w:r w:rsidRPr="00353037">
        <w:rPr>
          <w:rFonts w:asciiTheme="minorHAnsi" w:hAnsiTheme="minorHAnsi" w:cstheme="minorHAnsi"/>
          <w:i/>
          <w:iCs/>
          <w:lang w:val="en-US"/>
        </w:rPr>
        <w:t>6</w:t>
      </w:r>
      <w:r w:rsidRPr="00353037">
        <w:rPr>
          <w:rFonts w:asciiTheme="minorHAnsi" w:hAnsiTheme="minorHAnsi" w:cstheme="minorHAnsi"/>
          <w:i/>
          <w:lang w:val="en-US"/>
        </w:rPr>
        <w:t>,</w:t>
      </w:r>
      <w:r w:rsidRPr="005A464E">
        <w:rPr>
          <w:rFonts w:asciiTheme="minorHAnsi" w:hAnsiTheme="minorHAnsi" w:cstheme="minorHAnsi"/>
          <w:lang w:val="en-US"/>
        </w:rPr>
        <w:t xml:space="preserve"> 248-254 </w:t>
      </w:r>
      <w:r w:rsidR="00292B29" w:rsidRPr="005A464E">
        <w:rPr>
          <w:rFonts w:asciiTheme="minorHAnsi" w:hAnsiTheme="minorHAnsi" w:cstheme="minorHAnsi"/>
          <w:lang w:val="en-US"/>
        </w:rPr>
        <w:t>DOI</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hyperlink r:id="rId173"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.org/10.1016/0749-2081(90)90026-2</w:t>
        </w:r>
      </w:hyperlink>
      <w:r w:rsidR="00A25D9B" w:rsidRPr="005A464E">
        <w:rPr>
          <w:rFonts w:asciiTheme="minorHAnsi" w:hAnsiTheme="minorHAnsi"/>
          <w:lang w:val="en-US"/>
        </w:rPr>
        <w:t>.</w:t>
      </w:r>
    </w:p>
    <w:p w:rsidR="006623A7" w:rsidRPr="005A464E" w:rsidRDefault="006623A7"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Ferrans, C.</w:t>
      </w:r>
      <w:r w:rsidR="00A25D9B" w:rsidRPr="005A464E">
        <w:rPr>
          <w:rFonts w:asciiTheme="minorHAnsi" w:hAnsiTheme="minorHAnsi" w:cstheme="minorHAnsi"/>
          <w:lang w:val="en-US"/>
        </w:rPr>
        <w:t>E.</w:t>
      </w:r>
      <w:r w:rsidRPr="005A464E">
        <w:rPr>
          <w:rFonts w:asciiTheme="minorHAnsi" w:hAnsiTheme="minorHAnsi" w:cstheme="minorHAnsi"/>
          <w:lang w:val="en-US"/>
        </w:rPr>
        <w:t xml:space="preserve">, &amp; Powers, M. (1992). Psychometric assessment of the Quality of Life Index. </w:t>
      </w:r>
      <w:r w:rsidRPr="005A464E">
        <w:rPr>
          <w:rFonts w:asciiTheme="minorHAnsi" w:hAnsiTheme="minorHAnsi" w:cstheme="minorHAnsi"/>
          <w:i/>
          <w:iCs/>
          <w:lang w:val="en-US"/>
        </w:rPr>
        <w:t>Research in Nursing and Health</w:t>
      </w:r>
      <w:r w:rsidRPr="005A464E">
        <w:rPr>
          <w:rFonts w:asciiTheme="minorHAnsi" w:hAnsiTheme="minorHAnsi" w:cstheme="minorHAnsi"/>
          <w:iCs/>
          <w:lang w:val="en-US"/>
        </w:rPr>
        <w:t xml:space="preserve">, </w:t>
      </w:r>
      <w:r w:rsidRPr="00353037">
        <w:rPr>
          <w:rFonts w:asciiTheme="minorHAnsi" w:hAnsiTheme="minorHAnsi" w:cstheme="minorHAnsi"/>
          <w:i/>
          <w:iCs/>
          <w:lang w:val="en-US"/>
        </w:rPr>
        <w:t>15</w:t>
      </w:r>
      <w:r w:rsidRPr="005A464E">
        <w:rPr>
          <w:rFonts w:asciiTheme="minorHAnsi" w:hAnsiTheme="minorHAnsi" w:cstheme="minorHAnsi"/>
          <w:lang w:val="en-US"/>
        </w:rPr>
        <w:t>, 29-38.</w:t>
      </w:r>
    </w:p>
    <w:p w:rsidR="003C410F" w:rsidRPr="005A464E" w:rsidRDefault="00A25D9B" w:rsidP="005A464E">
      <w:pPr>
        <w:pStyle w:val="Web"/>
        <w:spacing w:after="166" w:line="360" w:lineRule="auto"/>
        <w:ind w:left="415" w:hanging="415"/>
        <w:jc w:val="both"/>
        <w:rPr>
          <w:rFonts w:asciiTheme="minorHAnsi" w:hAnsiTheme="minorHAnsi" w:cstheme="minorHAnsi"/>
          <w:iCs/>
          <w:lang w:val="en-US"/>
        </w:rPr>
      </w:pPr>
      <w:r w:rsidRPr="005A464E">
        <w:rPr>
          <w:rFonts w:asciiTheme="minorHAnsi" w:hAnsiTheme="minorHAnsi" w:cstheme="minorHAnsi"/>
          <w:lang w:val="en-US"/>
        </w:rPr>
        <w:t>Ferrans, C.E., &amp; Powers, M.</w:t>
      </w:r>
      <w:r w:rsidR="003C410F" w:rsidRPr="005A464E">
        <w:rPr>
          <w:rFonts w:asciiTheme="minorHAnsi" w:hAnsiTheme="minorHAnsi" w:cstheme="minorHAnsi"/>
          <w:lang w:val="en-US"/>
        </w:rPr>
        <w:t xml:space="preserve">J. (1993). Quality of life of hemodialysis patients. </w:t>
      </w:r>
      <w:r w:rsidR="003C410F" w:rsidRPr="005A464E">
        <w:rPr>
          <w:rFonts w:asciiTheme="minorHAnsi" w:hAnsiTheme="minorHAnsi" w:cstheme="minorHAnsi"/>
          <w:i/>
          <w:iCs/>
          <w:lang w:val="en-US"/>
        </w:rPr>
        <w:t>ANNA Journal</w:t>
      </w:r>
      <w:r w:rsidR="00353037" w:rsidRPr="00353037">
        <w:rPr>
          <w:rFonts w:asciiTheme="minorHAnsi" w:hAnsiTheme="minorHAnsi" w:cstheme="minorHAnsi"/>
          <w:i/>
          <w:iCs/>
          <w:lang w:val="en-US"/>
        </w:rPr>
        <w:t>, 20</w:t>
      </w:r>
      <w:r w:rsidR="003C410F" w:rsidRPr="00353037">
        <w:rPr>
          <w:rFonts w:asciiTheme="minorHAnsi" w:hAnsiTheme="minorHAnsi" w:cstheme="minorHAnsi"/>
          <w:i/>
          <w:iCs/>
          <w:lang w:val="en-US"/>
        </w:rPr>
        <w:t>,</w:t>
      </w:r>
      <w:r w:rsidR="003C410F" w:rsidRPr="005A464E">
        <w:rPr>
          <w:rFonts w:asciiTheme="minorHAnsi" w:hAnsiTheme="minorHAnsi" w:cstheme="minorHAnsi"/>
          <w:iCs/>
          <w:lang w:val="en-US"/>
        </w:rPr>
        <w:t xml:space="preserve"> 575-581.</w:t>
      </w:r>
    </w:p>
    <w:p w:rsidR="0066333E" w:rsidRDefault="008F3609" w:rsidP="0066333E">
      <w:pPr>
        <w:pStyle w:val="Web"/>
        <w:spacing w:after="166" w:line="360" w:lineRule="auto"/>
        <w:ind w:left="415" w:hanging="415"/>
        <w:jc w:val="both"/>
        <w:rPr>
          <w:rFonts w:asciiTheme="minorHAnsi" w:hAnsiTheme="minorHAnsi" w:cstheme="minorHAnsi"/>
          <w:lang w:val="en-US"/>
        </w:rPr>
      </w:pPr>
      <w:hyperlink r:id="rId174" w:history="1">
        <w:r w:rsidR="003C410F" w:rsidRPr="005A464E">
          <w:rPr>
            <w:rStyle w:val="-"/>
            <w:rFonts w:asciiTheme="minorHAnsi" w:hAnsiTheme="minorHAnsi" w:cstheme="minorHAnsi"/>
            <w:color w:val="auto"/>
            <w:u w:val="none"/>
            <w:lang w:val="en-US"/>
          </w:rPr>
          <w:t>Ferrans, C.E</w:t>
        </w:r>
      </w:hyperlink>
      <w:r w:rsidR="003C410F" w:rsidRPr="005A464E">
        <w:rPr>
          <w:rFonts w:asciiTheme="minorHAnsi" w:hAnsiTheme="minorHAnsi" w:cstheme="minorHAnsi"/>
          <w:lang w:val="en-US"/>
        </w:rPr>
        <w:t>. (1996).</w:t>
      </w:r>
      <w:r w:rsidR="0078495A">
        <w:rPr>
          <w:rFonts w:asciiTheme="minorHAnsi" w:hAnsiTheme="minorHAnsi" w:cstheme="minorHAnsi"/>
          <w:lang w:val="en-US"/>
        </w:rPr>
        <w:t xml:space="preserve"> </w:t>
      </w:r>
      <w:r w:rsidR="003C410F" w:rsidRPr="005A464E">
        <w:rPr>
          <w:rFonts w:asciiTheme="minorHAnsi" w:hAnsiTheme="minorHAnsi" w:cstheme="minorHAnsi"/>
          <w:lang w:val="en-US"/>
        </w:rPr>
        <w:t xml:space="preserve">Development of a conceptual model of quality of life. </w:t>
      </w:r>
      <w:hyperlink r:id="rId175" w:tooltip="Scholarly inquiry for nursing practice." w:history="1">
        <w:r w:rsidR="003C410F" w:rsidRPr="005A464E">
          <w:rPr>
            <w:rStyle w:val="-"/>
            <w:rFonts w:asciiTheme="minorHAnsi" w:hAnsiTheme="minorHAnsi" w:cstheme="minorHAnsi"/>
            <w:i/>
            <w:color w:val="auto"/>
            <w:u w:val="none"/>
            <w:lang w:val="en-US"/>
          </w:rPr>
          <w:t>Scholarly Inquiry for Nursing Practice,</w:t>
        </w:r>
      </w:hyperlink>
      <w:r w:rsidR="003C410F" w:rsidRPr="005A464E">
        <w:rPr>
          <w:rStyle w:val="apple-converted-space"/>
          <w:rFonts w:asciiTheme="minorHAnsi" w:hAnsiTheme="minorHAnsi" w:cstheme="minorHAnsi"/>
          <w:i/>
          <w:lang w:val="en-US"/>
        </w:rPr>
        <w:t xml:space="preserve"> </w:t>
      </w:r>
      <w:r w:rsidR="00353037">
        <w:rPr>
          <w:rFonts w:asciiTheme="minorHAnsi" w:hAnsiTheme="minorHAnsi" w:cstheme="minorHAnsi"/>
          <w:lang w:val="en-US"/>
        </w:rPr>
        <w:t xml:space="preserve">Fall; </w:t>
      </w:r>
      <w:r w:rsidR="00353037" w:rsidRPr="00353037">
        <w:rPr>
          <w:rFonts w:asciiTheme="minorHAnsi" w:hAnsiTheme="minorHAnsi" w:cstheme="minorHAnsi"/>
          <w:i/>
          <w:lang w:val="en-US"/>
        </w:rPr>
        <w:t>10</w:t>
      </w:r>
      <w:r w:rsidR="003C410F" w:rsidRPr="00353037">
        <w:rPr>
          <w:rFonts w:asciiTheme="minorHAnsi" w:hAnsiTheme="minorHAnsi" w:cstheme="minorHAnsi"/>
          <w:i/>
          <w:lang w:val="en-US"/>
        </w:rPr>
        <w:t>,</w:t>
      </w:r>
      <w:r w:rsidR="003C410F" w:rsidRPr="005A464E">
        <w:rPr>
          <w:rFonts w:asciiTheme="minorHAnsi" w:hAnsiTheme="minorHAnsi" w:cstheme="minorHAnsi"/>
          <w:lang w:val="en-US"/>
        </w:rPr>
        <w:t xml:space="preserve"> 293-304.</w:t>
      </w:r>
    </w:p>
    <w:p w:rsidR="0066333E" w:rsidRPr="0066333E" w:rsidRDefault="0066333E" w:rsidP="0066333E">
      <w:pPr>
        <w:pStyle w:val="Web"/>
        <w:spacing w:after="166" w:line="360" w:lineRule="auto"/>
        <w:ind w:left="415" w:hanging="415"/>
        <w:jc w:val="both"/>
        <w:rPr>
          <w:rFonts w:asciiTheme="minorHAnsi" w:hAnsiTheme="minorHAnsi" w:cstheme="minorHAnsi"/>
          <w:lang w:val="en-US"/>
        </w:rPr>
      </w:pPr>
      <w:r>
        <w:rPr>
          <w:rFonts w:asciiTheme="minorHAnsi" w:hAnsiTheme="minorHAnsi" w:cstheme="minorHAnsi"/>
          <w:color w:val="303030"/>
          <w:shd w:val="clear" w:color="auto" w:fill="FFFFFF"/>
          <w:lang w:val="en-US"/>
        </w:rPr>
        <w:t>Ferreira-Filho, S.R., Cardoso, C.C., de Castro, L.A.V., Oliveira, R.M., &amp; Sá, R.</w:t>
      </w:r>
      <w:r w:rsidRPr="0066333E">
        <w:rPr>
          <w:rFonts w:asciiTheme="minorHAnsi" w:hAnsiTheme="minorHAnsi" w:cstheme="minorHAnsi"/>
          <w:color w:val="303030"/>
          <w:shd w:val="clear" w:color="auto" w:fill="FFFFFF"/>
          <w:lang w:val="en-US"/>
        </w:rPr>
        <w:t>R. (2011). Comparison of Measured Creatinine Clearance and Clearances estimated by Cockcroft-Gault and MDRD Formulas in patients with a single kidney. </w:t>
      </w:r>
      <w:r w:rsidRPr="0066333E">
        <w:rPr>
          <w:rFonts w:asciiTheme="minorHAnsi" w:hAnsiTheme="minorHAnsi" w:cstheme="minorHAnsi"/>
          <w:i/>
          <w:iCs/>
          <w:color w:val="303030"/>
          <w:shd w:val="clear" w:color="auto" w:fill="FFFFFF"/>
          <w:lang w:val="en-US"/>
        </w:rPr>
        <w:t>International Journal of Nephrology</w:t>
      </w:r>
      <w:r w:rsidRPr="0066333E">
        <w:rPr>
          <w:rFonts w:asciiTheme="minorHAnsi" w:hAnsiTheme="minorHAnsi" w:cstheme="minorHAnsi"/>
          <w:color w:val="303030"/>
          <w:shd w:val="clear" w:color="auto" w:fill="FFFFFF"/>
          <w:lang w:val="en-US"/>
        </w:rPr>
        <w:t>, 626178. http://doi.org/10.4061/2011/626178</w:t>
      </w:r>
    </w:p>
    <w:p w:rsidR="003C410F" w:rsidRPr="005A464E"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iCs/>
          <w:lang w:val="en-US"/>
        </w:rPr>
        <w:t xml:space="preserve">FHN Trial Group, </w:t>
      </w:r>
      <w:r w:rsidRPr="005A464E">
        <w:rPr>
          <w:rFonts w:asciiTheme="minorHAnsi" w:hAnsiTheme="minorHAnsi" w:cstheme="minorHAnsi"/>
          <w:shd w:val="clear" w:color="auto" w:fill="FFFFFF"/>
          <w:lang w:val="en-US"/>
        </w:rPr>
        <w:t>Chertow, G.M., Levin, N.W., Beck, G.J., Depner, T.A., Eggers, P.W.,</w:t>
      </w:r>
      <w:r w:rsidR="00267243">
        <w:rPr>
          <w:rFonts w:asciiTheme="minorHAnsi" w:hAnsiTheme="minorHAnsi" w:cstheme="minorHAnsi"/>
          <w:shd w:val="clear" w:color="auto" w:fill="FFFFFF"/>
          <w:lang w:val="en-US"/>
        </w:rPr>
        <w:t xml:space="preserve"> … &amp; Kliger, A.S.</w:t>
      </w:r>
      <w:r w:rsidRPr="005A464E">
        <w:rPr>
          <w:rFonts w:asciiTheme="minorHAnsi" w:hAnsiTheme="minorHAnsi" w:cstheme="minorHAnsi"/>
          <w:iCs/>
          <w:lang w:val="en-US"/>
        </w:rPr>
        <w:t xml:space="preserve"> (2010). In-Center hemodialysis six times per week versus three times per week. </w:t>
      </w:r>
      <w:r w:rsidRPr="005A464E">
        <w:rPr>
          <w:rFonts w:asciiTheme="minorHAnsi" w:hAnsiTheme="minorHAnsi" w:cstheme="minorHAnsi"/>
          <w:i/>
          <w:iCs/>
          <w:lang w:val="en-US"/>
        </w:rPr>
        <w:t>The New England Journal of Medicine,</w:t>
      </w:r>
      <w:r w:rsidR="00353037">
        <w:rPr>
          <w:rFonts w:asciiTheme="minorHAnsi" w:hAnsiTheme="minorHAnsi" w:cstheme="minorHAnsi"/>
          <w:iCs/>
          <w:lang w:val="en-US"/>
        </w:rPr>
        <w:t xml:space="preserve"> </w:t>
      </w:r>
      <w:r w:rsidR="00353037" w:rsidRPr="00353037">
        <w:rPr>
          <w:rFonts w:asciiTheme="minorHAnsi" w:hAnsiTheme="minorHAnsi" w:cstheme="minorHAnsi"/>
          <w:i/>
          <w:iCs/>
          <w:lang w:val="en-US"/>
        </w:rPr>
        <w:t>363</w:t>
      </w:r>
      <w:r w:rsidRPr="005A464E">
        <w:rPr>
          <w:rFonts w:asciiTheme="minorHAnsi" w:hAnsiTheme="minorHAnsi" w:cstheme="minorHAnsi"/>
          <w:iCs/>
          <w:lang w:val="en-US"/>
        </w:rPr>
        <w:t xml:space="preserve">, 2287–2300.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 10.1056/NEJMoa1001593</w:t>
      </w:r>
      <w:r w:rsidR="00A25D9B" w:rsidRPr="005A464E">
        <w:rPr>
          <w:rFonts w:asciiTheme="minorHAnsi" w:hAnsiTheme="minorHAnsi" w:cstheme="minorHAnsi"/>
          <w:shd w:val="clear" w:color="auto" w:fill="FFFFFF"/>
          <w:lang w:val="en-US"/>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Fiks, A.G., Localio, A.R., Alessandrini, E.A., Asch, D.A., &amp; Guevara, J.P. (2010). Shared decision-making in pediatrics: a national perspective. </w:t>
      </w:r>
      <w:r w:rsidRPr="005A464E">
        <w:rPr>
          <w:rFonts w:asciiTheme="minorHAnsi" w:eastAsia="Times New Roman" w:hAnsiTheme="minorHAnsi" w:cstheme="minorHAnsi"/>
          <w:i/>
          <w:lang w:val="en-US" w:eastAsia="el-GR"/>
        </w:rPr>
        <w:t>Pediatrics,</w:t>
      </w:r>
      <w:r w:rsidR="00353037">
        <w:rPr>
          <w:rFonts w:asciiTheme="minorHAnsi" w:eastAsia="Times New Roman" w:hAnsiTheme="minorHAnsi" w:cstheme="minorHAnsi"/>
          <w:lang w:val="en-US" w:eastAsia="el-GR"/>
        </w:rPr>
        <w:t xml:space="preserve"> </w:t>
      </w:r>
      <w:r w:rsidR="00353037" w:rsidRPr="00353037">
        <w:rPr>
          <w:rFonts w:asciiTheme="minorHAnsi" w:eastAsia="Times New Roman" w:hAnsiTheme="minorHAnsi" w:cstheme="minorHAnsi"/>
          <w:i/>
          <w:lang w:val="en-US" w:eastAsia="el-GR"/>
        </w:rPr>
        <w:t>126</w:t>
      </w:r>
      <w:r w:rsidRPr="005A464E">
        <w:rPr>
          <w:rFonts w:asciiTheme="minorHAnsi" w:eastAsia="Times New Roman" w:hAnsiTheme="minorHAnsi" w:cstheme="minorHAnsi"/>
          <w:lang w:val="en-US" w:eastAsia="el-GR"/>
        </w:rPr>
        <w:t>, 306-314.</w:t>
      </w:r>
    </w:p>
    <w:p w:rsidR="006623A7"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shd w:val="clear" w:color="auto" w:fill="FFFFFF"/>
          <w:lang w:val="en-US"/>
        </w:rPr>
        <w:t>Fleming, G.M. (2011). Renal replacement therapy review: Past, present and future.</w:t>
      </w:r>
      <w:r w:rsidRPr="005A464E">
        <w:rPr>
          <w:rStyle w:val="apple-converted-space"/>
          <w:rFonts w:asciiTheme="minorHAnsi" w:hAnsiTheme="minorHAnsi" w:cstheme="minorHAnsi"/>
          <w:shd w:val="clear" w:color="auto" w:fill="FFFFFF"/>
          <w:lang w:val="en-US"/>
        </w:rPr>
        <w:t> </w:t>
      </w:r>
      <w:r w:rsidRPr="005A464E">
        <w:rPr>
          <w:rFonts w:asciiTheme="minorHAnsi" w:hAnsiTheme="minorHAnsi" w:cstheme="minorHAnsi"/>
          <w:i/>
          <w:iCs/>
          <w:shd w:val="clear" w:color="auto" w:fill="FFFFFF"/>
          <w:lang w:val="en-US"/>
        </w:rPr>
        <w:t>Organogenesis</w:t>
      </w:r>
      <w:r w:rsidR="00353037" w:rsidRPr="00353037">
        <w:rPr>
          <w:rFonts w:asciiTheme="minorHAnsi" w:hAnsiTheme="minorHAnsi" w:cstheme="minorHAnsi"/>
          <w:i/>
          <w:shd w:val="clear" w:color="auto" w:fill="FFFFFF"/>
          <w:lang w:val="en-US"/>
        </w:rPr>
        <w:t>, 7</w:t>
      </w:r>
      <w:r w:rsidRPr="00353037">
        <w:rPr>
          <w:rFonts w:asciiTheme="minorHAnsi" w:hAnsiTheme="minorHAnsi" w:cstheme="minorHAnsi"/>
          <w:i/>
          <w:shd w:val="clear" w:color="auto" w:fill="FFFFFF"/>
          <w:lang w:val="en-US"/>
        </w:rPr>
        <w:t>,</w:t>
      </w:r>
      <w:r w:rsidRPr="005A464E">
        <w:rPr>
          <w:rFonts w:asciiTheme="minorHAnsi" w:hAnsiTheme="minorHAnsi" w:cstheme="minorHAnsi"/>
          <w:shd w:val="clear" w:color="auto" w:fill="FFFFFF"/>
          <w:lang w:val="en-US"/>
        </w:rPr>
        <w:t xml:space="preserve"> 2-12.</w:t>
      </w:r>
      <w:r w:rsidRPr="005A464E">
        <w:rPr>
          <w:rFonts w:asciiTheme="minorHAnsi" w:hAnsiTheme="minorHAnsi" w:cstheme="minorHAnsi"/>
          <w:lang w:val="en-US"/>
        </w:rPr>
        <w:t xml:space="preserve"> </w:t>
      </w:r>
      <w:hyperlink r:id="rId176"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.org/10.4161/org.7.1.13997</w:t>
        </w:r>
      </w:hyperlink>
      <w:r w:rsidR="00A25D9B"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Foley, R.N., Parfrey, P.S., &amp; Sarnak M.J. (</w:t>
      </w:r>
      <w:r w:rsidR="00A25D9B" w:rsidRPr="005A464E">
        <w:rPr>
          <w:rFonts w:asciiTheme="minorHAnsi" w:hAnsiTheme="minorHAnsi" w:cstheme="minorHAnsi"/>
          <w:lang w:val="en-US"/>
        </w:rPr>
        <w:t xml:space="preserve">1998). Clinical epidemiology of </w:t>
      </w:r>
      <w:r w:rsidRPr="005A464E">
        <w:rPr>
          <w:rFonts w:asciiTheme="minorHAnsi" w:hAnsiTheme="minorHAnsi" w:cstheme="minorHAnsi"/>
          <w:lang w:val="en-US"/>
        </w:rPr>
        <w:t>cardiovascular disease in chronic renal disease.</w:t>
      </w:r>
      <w:r w:rsidR="00A25D9B" w:rsidRPr="005A464E">
        <w:rPr>
          <w:rFonts w:asciiTheme="minorHAnsi" w:hAnsiTheme="minorHAnsi" w:cstheme="minorHAnsi"/>
          <w:lang w:val="en-US"/>
        </w:rPr>
        <w:t xml:space="preserve"> </w:t>
      </w:r>
      <w:r w:rsidRPr="005A464E">
        <w:rPr>
          <w:rFonts w:asciiTheme="minorHAnsi" w:hAnsiTheme="minorHAnsi" w:cstheme="minorHAnsi"/>
          <w:i/>
          <w:iCs/>
          <w:lang w:val="en-US"/>
        </w:rPr>
        <w:t>American Journal of kidney diseases,</w:t>
      </w:r>
      <w:r w:rsidR="00353037">
        <w:rPr>
          <w:rFonts w:asciiTheme="minorHAnsi" w:hAnsiTheme="minorHAnsi" w:cstheme="minorHAnsi"/>
          <w:i/>
          <w:iCs/>
          <w:lang w:val="en-US"/>
        </w:rPr>
        <w:t xml:space="preserve"> </w:t>
      </w:r>
      <w:r w:rsidRPr="00353037">
        <w:rPr>
          <w:rFonts w:asciiTheme="minorHAnsi" w:hAnsiTheme="minorHAnsi" w:cstheme="minorHAnsi"/>
          <w:i/>
          <w:iCs/>
          <w:lang w:val="en-US"/>
        </w:rPr>
        <w:t>32</w:t>
      </w:r>
      <w:r w:rsidR="00A25D9B" w:rsidRPr="00353037">
        <w:rPr>
          <w:rFonts w:asciiTheme="minorHAnsi" w:hAnsiTheme="minorHAnsi" w:cstheme="minorHAnsi"/>
          <w:i/>
          <w:lang w:val="en-US"/>
        </w:rPr>
        <w:t>,</w:t>
      </w:r>
      <w:r w:rsidR="00353037">
        <w:rPr>
          <w:rFonts w:asciiTheme="minorHAnsi" w:hAnsiTheme="minorHAnsi" w:cstheme="minorHAnsi"/>
          <w:lang w:val="en-US"/>
        </w:rPr>
        <w:t xml:space="preserve"> </w:t>
      </w:r>
      <w:r w:rsidR="00A25D9B" w:rsidRPr="005A464E">
        <w:rPr>
          <w:rFonts w:asciiTheme="minorHAnsi" w:hAnsiTheme="minorHAnsi" w:cstheme="minorHAnsi"/>
          <w:lang w:val="en-US"/>
        </w:rPr>
        <w:t>112-</w:t>
      </w:r>
      <w:r w:rsidRPr="005A464E">
        <w:rPr>
          <w:rFonts w:asciiTheme="minorHAnsi" w:hAnsiTheme="minorHAnsi" w:cstheme="minorHAnsi"/>
          <w:lang w:val="en-US"/>
        </w:rPr>
        <w:t>119</w:t>
      </w:r>
      <w:r w:rsidR="00A25D9B" w:rsidRPr="005A464E">
        <w:rPr>
          <w:rFonts w:asciiTheme="minorHAnsi" w:hAnsiTheme="minorHAnsi" w:cstheme="minorHAnsi"/>
          <w:lang w:val="en-US"/>
        </w:rPr>
        <w:t xml:space="preserve">. </w:t>
      </w:r>
    </w:p>
    <w:p w:rsidR="004C713C" w:rsidRDefault="00A84FBE" w:rsidP="004C713C">
      <w:pPr>
        <w:pStyle w:val="Web"/>
        <w:spacing w:after="166" w:line="360" w:lineRule="auto"/>
        <w:ind w:left="415" w:hanging="415"/>
        <w:jc w:val="both"/>
        <w:rPr>
          <w:rFonts w:asciiTheme="minorHAnsi" w:hAnsiTheme="minorHAnsi" w:cs="Arial"/>
          <w:color w:val="000000"/>
          <w:shd w:val="clear" w:color="auto" w:fill="FFFFFF"/>
          <w:lang w:val="en-US"/>
        </w:rPr>
      </w:pPr>
      <w:r w:rsidRPr="005A464E">
        <w:rPr>
          <w:rFonts w:asciiTheme="minorHAnsi" w:hAnsiTheme="minorHAnsi" w:cs="Arial"/>
          <w:color w:val="000000"/>
          <w:shd w:val="clear" w:color="auto" w:fill="FFFFFF"/>
          <w:lang w:val="en-US"/>
        </w:rPr>
        <w:t xml:space="preserve">Ford, J.C., Pope, J.F., Hunt, A.E., </w:t>
      </w:r>
      <w:r w:rsidR="00C012C3" w:rsidRPr="005A464E">
        <w:rPr>
          <w:rFonts w:asciiTheme="minorHAnsi" w:hAnsiTheme="minorHAnsi" w:cs="Arial"/>
          <w:color w:val="000000"/>
          <w:shd w:val="clear" w:color="auto" w:fill="FFFFFF"/>
          <w:lang w:val="en-US"/>
        </w:rPr>
        <w:t xml:space="preserve">&amp; </w:t>
      </w:r>
      <w:r w:rsidRPr="005A464E">
        <w:rPr>
          <w:rFonts w:asciiTheme="minorHAnsi" w:hAnsiTheme="minorHAnsi" w:cs="Arial"/>
          <w:color w:val="000000"/>
          <w:shd w:val="clear" w:color="auto" w:fill="FFFFFF"/>
          <w:lang w:val="en-US"/>
        </w:rPr>
        <w:t xml:space="preserve">Gerald, B. (2004). The effect of diet education on the laboratory values and knowledge of hemodialysis patients with hyperphosphatemia. </w:t>
      </w:r>
      <w:r w:rsidRPr="005A464E">
        <w:rPr>
          <w:rFonts w:asciiTheme="minorHAnsi" w:hAnsiTheme="minorHAnsi" w:cs="Arial"/>
          <w:i/>
          <w:color w:val="000000"/>
          <w:shd w:val="clear" w:color="auto" w:fill="FFFFFF"/>
          <w:lang w:val="en-US"/>
        </w:rPr>
        <w:t>Journal of Renal Nutrition,</w:t>
      </w:r>
      <w:r w:rsidR="00353037">
        <w:rPr>
          <w:rFonts w:asciiTheme="minorHAnsi" w:hAnsiTheme="minorHAnsi" w:cs="Arial"/>
          <w:color w:val="000000"/>
          <w:shd w:val="clear" w:color="auto" w:fill="FFFFFF"/>
          <w:lang w:val="en-US"/>
        </w:rPr>
        <w:t xml:space="preserve"> </w:t>
      </w:r>
      <w:r w:rsidR="00353037" w:rsidRPr="00353037">
        <w:rPr>
          <w:rFonts w:asciiTheme="minorHAnsi" w:hAnsiTheme="minorHAnsi" w:cs="Arial"/>
          <w:i/>
          <w:color w:val="000000"/>
          <w:shd w:val="clear" w:color="auto" w:fill="FFFFFF"/>
          <w:lang w:val="en-US"/>
        </w:rPr>
        <w:t>14,</w:t>
      </w:r>
      <w:r w:rsidR="00353037">
        <w:rPr>
          <w:rFonts w:asciiTheme="minorHAnsi" w:hAnsiTheme="minorHAnsi" w:cs="Arial"/>
          <w:color w:val="000000"/>
          <w:shd w:val="clear" w:color="auto" w:fill="FFFFFF"/>
          <w:lang w:val="en-US"/>
        </w:rPr>
        <w:t xml:space="preserve"> </w:t>
      </w:r>
      <w:r w:rsidRPr="005A464E">
        <w:rPr>
          <w:rFonts w:asciiTheme="minorHAnsi" w:hAnsiTheme="minorHAnsi" w:cs="Arial"/>
          <w:color w:val="000000"/>
          <w:shd w:val="clear" w:color="auto" w:fill="FFFFFF"/>
          <w:lang w:val="en-US"/>
        </w:rPr>
        <w:t>36-44</w:t>
      </w:r>
      <w:r w:rsidR="00C012C3" w:rsidRPr="005A464E">
        <w:rPr>
          <w:rFonts w:asciiTheme="minorHAnsi" w:hAnsiTheme="minorHAnsi" w:cs="Arial"/>
          <w:color w:val="000000"/>
          <w:shd w:val="clear" w:color="auto" w:fill="FFFFFF"/>
          <w:lang w:val="en-US"/>
        </w:rPr>
        <w:t>.</w:t>
      </w:r>
    </w:p>
    <w:p w:rsidR="004C713C" w:rsidRDefault="008F3609" w:rsidP="004C713C">
      <w:pPr>
        <w:pStyle w:val="Web"/>
        <w:spacing w:after="166" w:line="360" w:lineRule="auto"/>
        <w:ind w:left="415" w:hanging="415"/>
        <w:jc w:val="both"/>
        <w:rPr>
          <w:rFonts w:asciiTheme="minorHAnsi" w:hAnsiTheme="minorHAnsi" w:cstheme="minorHAnsi"/>
          <w:color w:val="000000"/>
          <w:shd w:val="clear" w:color="auto" w:fill="FFFFFF"/>
          <w:lang w:val="en-US"/>
        </w:rPr>
      </w:pPr>
      <w:hyperlink r:id="rId177" w:history="1">
        <w:r w:rsidR="004C713C" w:rsidRPr="008D1D4D">
          <w:rPr>
            <w:rStyle w:val="-"/>
            <w:rFonts w:asciiTheme="minorHAnsi" w:hAnsiTheme="minorHAnsi" w:cstheme="minorHAnsi"/>
            <w:color w:val="auto"/>
            <w:u w:val="none"/>
            <w:shd w:val="clear" w:color="auto" w:fill="FFFFFF"/>
            <w:lang w:val="en-US"/>
          </w:rPr>
          <w:t>Fowler, F.J. Jr</w:t>
        </w:r>
      </w:hyperlink>
      <w:r w:rsidR="004C713C" w:rsidRPr="008D1D4D">
        <w:rPr>
          <w:rFonts w:asciiTheme="minorHAnsi" w:hAnsiTheme="minorHAnsi" w:cstheme="minorHAnsi"/>
          <w:lang w:val="en-US"/>
        </w:rPr>
        <w:t>.</w:t>
      </w:r>
      <w:r w:rsidR="004C713C" w:rsidRPr="008D1D4D">
        <w:rPr>
          <w:rFonts w:asciiTheme="minorHAnsi" w:hAnsiTheme="minorHAnsi" w:cstheme="minorHAnsi"/>
          <w:shd w:val="clear" w:color="auto" w:fill="FFFFFF"/>
          <w:lang w:val="en-US"/>
        </w:rPr>
        <w:t>, </w:t>
      </w:r>
      <w:hyperlink r:id="rId178" w:history="1">
        <w:r w:rsidR="004C713C" w:rsidRPr="008D1D4D">
          <w:rPr>
            <w:rStyle w:val="-"/>
            <w:rFonts w:asciiTheme="minorHAnsi" w:hAnsiTheme="minorHAnsi" w:cstheme="minorHAnsi"/>
            <w:color w:val="auto"/>
            <w:u w:val="none"/>
            <w:shd w:val="clear" w:color="auto" w:fill="FFFFFF"/>
            <w:lang w:val="en-US"/>
          </w:rPr>
          <w:t>Levin, C.A</w:t>
        </w:r>
      </w:hyperlink>
      <w:r w:rsidR="004C713C" w:rsidRPr="008D1D4D">
        <w:rPr>
          <w:rFonts w:asciiTheme="minorHAnsi" w:hAnsiTheme="minorHAnsi" w:cstheme="minorHAnsi"/>
          <w:lang w:val="en-US"/>
        </w:rPr>
        <w:t>.</w:t>
      </w:r>
      <w:r w:rsidR="004C713C" w:rsidRPr="008D1D4D">
        <w:rPr>
          <w:rFonts w:asciiTheme="minorHAnsi" w:hAnsiTheme="minorHAnsi" w:cstheme="minorHAnsi"/>
          <w:shd w:val="clear" w:color="auto" w:fill="FFFFFF"/>
          <w:lang w:val="en-US"/>
        </w:rPr>
        <w:t xml:space="preserve">,  &amp; </w:t>
      </w:r>
      <w:hyperlink r:id="rId179" w:history="1">
        <w:r w:rsidR="004C713C" w:rsidRPr="008D1D4D">
          <w:rPr>
            <w:rStyle w:val="-"/>
            <w:rFonts w:asciiTheme="minorHAnsi" w:hAnsiTheme="minorHAnsi" w:cstheme="minorHAnsi"/>
            <w:color w:val="auto"/>
            <w:u w:val="none"/>
            <w:shd w:val="clear" w:color="auto" w:fill="FFFFFF"/>
            <w:lang w:val="en-US"/>
          </w:rPr>
          <w:t>Sepucha, K.R</w:t>
        </w:r>
      </w:hyperlink>
      <w:r w:rsidR="004C713C" w:rsidRPr="008D1D4D">
        <w:rPr>
          <w:rFonts w:asciiTheme="minorHAnsi" w:hAnsiTheme="minorHAnsi" w:cstheme="minorHAnsi"/>
          <w:shd w:val="clear" w:color="auto" w:fill="FFFFFF"/>
          <w:lang w:val="en-US"/>
        </w:rPr>
        <w:t>.</w:t>
      </w:r>
      <w:r w:rsidR="004C713C" w:rsidRPr="004C713C">
        <w:rPr>
          <w:rFonts w:asciiTheme="minorHAnsi" w:hAnsiTheme="minorHAnsi" w:cstheme="minorHAnsi"/>
          <w:color w:val="000000"/>
          <w:shd w:val="clear" w:color="auto" w:fill="FFFFFF"/>
          <w:lang w:val="en-US"/>
        </w:rPr>
        <w:t xml:space="preserve"> (2011). </w:t>
      </w:r>
      <w:r w:rsidR="004C713C" w:rsidRPr="004C713C">
        <w:rPr>
          <w:rStyle w:val="highlight"/>
          <w:rFonts w:asciiTheme="minorHAnsi" w:hAnsiTheme="minorHAnsi" w:cstheme="minorHAnsi"/>
          <w:color w:val="000000"/>
          <w:lang w:val="en-US"/>
        </w:rPr>
        <w:t>Informing</w:t>
      </w:r>
      <w:r w:rsidR="004C713C" w:rsidRPr="004C713C">
        <w:rPr>
          <w:rFonts w:asciiTheme="minorHAnsi" w:hAnsiTheme="minorHAnsi" w:cstheme="minorHAnsi"/>
          <w:color w:val="000000"/>
          <w:lang w:val="en-US"/>
        </w:rPr>
        <w:t> and </w:t>
      </w:r>
      <w:r w:rsidR="004C713C" w:rsidRPr="004C713C">
        <w:rPr>
          <w:rStyle w:val="highlight"/>
          <w:rFonts w:asciiTheme="minorHAnsi" w:hAnsiTheme="minorHAnsi" w:cstheme="minorHAnsi"/>
          <w:color w:val="000000"/>
          <w:lang w:val="en-US"/>
        </w:rPr>
        <w:t>involving</w:t>
      </w:r>
      <w:r w:rsidR="004C713C" w:rsidRPr="004C713C">
        <w:rPr>
          <w:rFonts w:asciiTheme="minorHAnsi" w:hAnsiTheme="minorHAnsi" w:cstheme="minorHAnsi"/>
          <w:color w:val="000000"/>
          <w:lang w:val="en-US"/>
        </w:rPr>
        <w:t> </w:t>
      </w:r>
      <w:r w:rsidR="004C713C" w:rsidRPr="004C713C">
        <w:rPr>
          <w:rStyle w:val="highlight"/>
          <w:rFonts w:asciiTheme="minorHAnsi" w:hAnsiTheme="minorHAnsi" w:cstheme="minorHAnsi"/>
          <w:color w:val="000000"/>
          <w:lang w:val="en-US"/>
        </w:rPr>
        <w:t>patients</w:t>
      </w:r>
      <w:r w:rsidR="004C713C" w:rsidRPr="004C713C">
        <w:rPr>
          <w:rFonts w:asciiTheme="minorHAnsi" w:hAnsiTheme="minorHAnsi" w:cstheme="minorHAnsi"/>
          <w:color w:val="000000"/>
          <w:lang w:val="en-US"/>
        </w:rPr>
        <w:t> to </w:t>
      </w:r>
      <w:r w:rsidR="004C713C" w:rsidRPr="004C713C">
        <w:rPr>
          <w:rStyle w:val="highlight"/>
          <w:rFonts w:asciiTheme="minorHAnsi" w:hAnsiTheme="minorHAnsi" w:cstheme="minorHAnsi"/>
          <w:color w:val="000000"/>
          <w:lang w:val="en-US"/>
        </w:rPr>
        <w:t>improve</w:t>
      </w:r>
      <w:r w:rsidR="004C713C" w:rsidRPr="004C713C">
        <w:rPr>
          <w:rFonts w:asciiTheme="minorHAnsi" w:hAnsiTheme="minorHAnsi" w:cstheme="minorHAnsi"/>
          <w:color w:val="000000"/>
          <w:lang w:val="en-US"/>
        </w:rPr>
        <w:t> the </w:t>
      </w:r>
      <w:r w:rsidR="004C713C" w:rsidRPr="004C713C">
        <w:rPr>
          <w:rStyle w:val="highlight"/>
          <w:rFonts w:asciiTheme="minorHAnsi" w:hAnsiTheme="minorHAnsi" w:cstheme="minorHAnsi"/>
          <w:color w:val="000000"/>
          <w:lang w:val="en-US"/>
        </w:rPr>
        <w:t>quality</w:t>
      </w:r>
      <w:r w:rsidR="004C713C" w:rsidRPr="004C713C">
        <w:rPr>
          <w:rFonts w:asciiTheme="minorHAnsi" w:hAnsiTheme="minorHAnsi" w:cstheme="minorHAnsi"/>
          <w:color w:val="000000"/>
          <w:lang w:val="en-US"/>
        </w:rPr>
        <w:t> of </w:t>
      </w:r>
      <w:r w:rsidR="004C713C" w:rsidRPr="004C713C">
        <w:rPr>
          <w:rStyle w:val="highlight"/>
          <w:rFonts w:asciiTheme="minorHAnsi" w:hAnsiTheme="minorHAnsi" w:cstheme="minorHAnsi"/>
          <w:color w:val="000000"/>
          <w:lang w:val="en-US"/>
        </w:rPr>
        <w:t>medical</w:t>
      </w:r>
      <w:r w:rsidR="004C713C" w:rsidRPr="004C713C">
        <w:rPr>
          <w:rFonts w:asciiTheme="minorHAnsi" w:hAnsiTheme="minorHAnsi" w:cstheme="minorHAnsi"/>
          <w:color w:val="000000"/>
          <w:lang w:val="en-US"/>
        </w:rPr>
        <w:t> </w:t>
      </w:r>
      <w:r w:rsidR="004C713C" w:rsidRPr="004C713C">
        <w:rPr>
          <w:rStyle w:val="highlight"/>
          <w:rFonts w:asciiTheme="minorHAnsi" w:hAnsiTheme="minorHAnsi" w:cstheme="minorHAnsi"/>
          <w:color w:val="000000"/>
          <w:lang w:val="en-US"/>
        </w:rPr>
        <w:t>decisions</w:t>
      </w:r>
      <w:r w:rsidR="004C713C" w:rsidRPr="004C713C">
        <w:rPr>
          <w:rFonts w:asciiTheme="minorHAnsi" w:hAnsiTheme="minorHAnsi" w:cstheme="minorHAnsi"/>
          <w:color w:val="000000"/>
          <w:lang w:val="en-US"/>
        </w:rPr>
        <w:t>.</w:t>
      </w:r>
      <w:r w:rsidR="004C713C" w:rsidRPr="004C713C">
        <w:rPr>
          <w:rFonts w:asciiTheme="minorHAnsi" w:hAnsiTheme="minorHAnsi" w:cstheme="minorHAnsi"/>
          <w:color w:val="000000"/>
          <w:shd w:val="clear" w:color="auto" w:fill="FFFFFF"/>
          <w:lang w:val="en-US"/>
        </w:rPr>
        <w:t xml:space="preserve"> </w:t>
      </w:r>
      <w:hyperlink r:id="rId180" w:tooltip="Health affairs (Project Hope)." w:history="1">
        <w:r w:rsidR="004C713C" w:rsidRPr="004C713C">
          <w:rPr>
            <w:rStyle w:val="-"/>
            <w:rFonts w:asciiTheme="minorHAnsi" w:hAnsiTheme="minorHAnsi" w:cstheme="minorHAnsi"/>
            <w:i/>
            <w:color w:val="auto"/>
            <w:u w:val="none"/>
            <w:shd w:val="clear" w:color="auto" w:fill="FFFFFF"/>
            <w:lang w:val="en-US"/>
          </w:rPr>
          <w:t>Health Affairs (Millwood)</w:t>
        </w:r>
        <w:r w:rsidR="004C713C" w:rsidRPr="004C713C">
          <w:rPr>
            <w:rStyle w:val="-"/>
            <w:rFonts w:asciiTheme="minorHAnsi" w:hAnsiTheme="minorHAnsi" w:cstheme="minorHAnsi"/>
            <w:i/>
            <w:color w:val="660066"/>
            <w:u w:val="none"/>
            <w:shd w:val="clear" w:color="auto" w:fill="FFFFFF"/>
            <w:lang w:val="en-US"/>
          </w:rPr>
          <w:t>,</w:t>
        </w:r>
      </w:hyperlink>
      <w:r w:rsidR="004C713C" w:rsidRPr="004C713C">
        <w:rPr>
          <w:rFonts w:asciiTheme="minorHAnsi" w:hAnsiTheme="minorHAnsi" w:cstheme="minorHAnsi"/>
          <w:i/>
          <w:color w:val="000000"/>
          <w:shd w:val="clear" w:color="auto" w:fill="FFFFFF"/>
          <w:lang w:val="en-US"/>
        </w:rPr>
        <w:t xml:space="preserve"> 30,</w:t>
      </w:r>
      <w:r w:rsidR="004C713C">
        <w:rPr>
          <w:rFonts w:asciiTheme="minorHAnsi" w:hAnsiTheme="minorHAnsi" w:cstheme="minorHAnsi"/>
          <w:color w:val="000000"/>
          <w:shd w:val="clear" w:color="auto" w:fill="FFFFFF"/>
          <w:lang w:val="en-US"/>
        </w:rPr>
        <w:t xml:space="preserve"> 699-706. DOI</w:t>
      </w:r>
      <w:r w:rsidR="004C713C" w:rsidRPr="004C713C">
        <w:rPr>
          <w:rFonts w:asciiTheme="minorHAnsi" w:hAnsiTheme="minorHAnsi" w:cstheme="minorHAnsi"/>
          <w:color w:val="000000"/>
          <w:shd w:val="clear" w:color="auto" w:fill="FFFFFF"/>
          <w:lang w:val="en-US"/>
        </w:rPr>
        <w:t>: 10.1377/hlthaff.2011.0003.</w:t>
      </w:r>
    </w:p>
    <w:p w:rsidR="00EA03F7" w:rsidRPr="00EA03F7" w:rsidRDefault="00EA03F7" w:rsidP="00EA03F7">
      <w:pPr>
        <w:pStyle w:val="Web"/>
        <w:spacing w:after="166" w:line="360" w:lineRule="auto"/>
        <w:ind w:left="415" w:hanging="415"/>
        <w:jc w:val="both"/>
        <w:rPr>
          <w:rFonts w:ascii="Calibri" w:hAnsi="Calibri" w:cs="Calibri"/>
          <w:shd w:val="clear" w:color="auto" w:fill="FFFFFF"/>
          <w:lang w:val="en-US"/>
        </w:rPr>
      </w:pPr>
      <w:r w:rsidRPr="00EA03F7">
        <w:rPr>
          <w:rFonts w:ascii="Calibri" w:hAnsi="Calibri" w:cs="Calibri"/>
          <w:shd w:val="clear" w:color="auto" w:fill="FFFFFF"/>
          <w:lang w:val="en-US"/>
        </w:rPr>
        <w:t>Fradelos, E. C., Tzavella, F., Koukia, E., Papathanasiou, I. V., Alikari, V., Stathoulis, J., … Zyga, S. (2015). Integrating chronic kidney disease patient’s spirituality in their care: health benefits and research perspectives. </w:t>
      </w:r>
      <w:r w:rsidRPr="00EA03F7">
        <w:rPr>
          <w:rFonts w:ascii="Calibri" w:hAnsi="Calibri" w:cs="Calibri"/>
          <w:i/>
          <w:iCs/>
          <w:shd w:val="clear" w:color="auto" w:fill="FFFFFF"/>
          <w:lang w:val="en-US"/>
        </w:rPr>
        <w:t>Materia Socio-Medica</w:t>
      </w:r>
      <w:r w:rsidRPr="00EA03F7">
        <w:rPr>
          <w:rFonts w:ascii="Calibri" w:hAnsi="Calibri" w:cs="Calibri"/>
          <w:shd w:val="clear" w:color="auto" w:fill="FFFFFF"/>
          <w:lang w:val="en-US"/>
        </w:rPr>
        <w:t>, </w:t>
      </w:r>
      <w:r w:rsidRPr="00EA03F7">
        <w:rPr>
          <w:rFonts w:ascii="Calibri" w:hAnsi="Calibri" w:cs="Calibri"/>
          <w:i/>
          <w:iCs/>
          <w:shd w:val="clear" w:color="auto" w:fill="FFFFFF"/>
          <w:lang w:val="en-US"/>
        </w:rPr>
        <w:t>27</w:t>
      </w:r>
      <w:r w:rsidRPr="00EA03F7">
        <w:rPr>
          <w:rFonts w:ascii="Calibri" w:hAnsi="Calibri" w:cs="Calibri"/>
          <w:shd w:val="clear" w:color="auto" w:fill="FFFFFF"/>
          <w:lang w:val="en-US"/>
        </w:rPr>
        <w:t>, 354–358. http://doi.org/10.5455/msm.2015.27.354-358</w:t>
      </w:r>
      <w:r>
        <w:rPr>
          <w:rFonts w:ascii="Calibri" w:hAnsi="Calibri" w:cs="Calibri"/>
          <w:shd w:val="clear" w:color="auto" w:fill="FFFFFF"/>
          <w:lang w:val="en-US"/>
        </w:rPr>
        <w:t>.</w:t>
      </w:r>
    </w:p>
    <w:p w:rsidR="003C410F"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lang w:val="en-US"/>
        </w:rPr>
        <w:t>Fradelos, E.C., Tzavella, F., Koukia, E., Tsaras, K., Papa</w:t>
      </w:r>
      <w:r w:rsidR="00C012C3" w:rsidRPr="005A464E">
        <w:rPr>
          <w:rFonts w:asciiTheme="minorHAnsi" w:hAnsiTheme="minorHAnsi" w:cstheme="minorHAnsi"/>
          <w:lang w:val="en-US"/>
        </w:rPr>
        <w:t>thanasiou, I.V., Aroni, A</w:t>
      </w:r>
      <w:r w:rsidR="00C012C3" w:rsidRPr="00267243">
        <w:rPr>
          <w:rFonts w:asciiTheme="minorHAnsi" w:hAnsiTheme="minorHAnsi" w:cstheme="minorHAnsi"/>
          <w:lang w:val="en-US"/>
        </w:rPr>
        <w:t>.,</w:t>
      </w:r>
      <w:r w:rsidR="00267243" w:rsidRPr="00267243">
        <w:rPr>
          <w:rFonts w:asciiTheme="minorHAnsi" w:hAnsiTheme="minorHAnsi"/>
          <w:lang w:val="en-US"/>
        </w:rPr>
        <w:t xml:space="preserve"> …</w:t>
      </w:r>
      <w:r w:rsidR="00C012C3" w:rsidRPr="00267243">
        <w:rPr>
          <w:rFonts w:asciiTheme="minorHAnsi" w:hAnsiTheme="minorHAnsi" w:cstheme="minorHAnsi"/>
          <w:shd w:val="clear" w:color="auto" w:fill="FFFFFF"/>
          <w:lang w:val="en-US"/>
        </w:rPr>
        <w:t> &amp;</w:t>
      </w:r>
      <w:r w:rsidR="00C012C3" w:rsidRPr="005A464E">
        <w:rPr>
          <w:rFonts w:asciiTheme="minorHAnsi" w:hAnsiTheme="minorHAnsi" w:cstheme="minorHAnsi"/>
          <w:shd w:val="clear" w:color="auto" w:fill="FFFFFF"/>
          <w:lang w:val="en-US"/>
        </w:rPr>
        <w:t xml:space="preserve"> </w:t>
      </w:r>
      <w:hyperlink r:id="rId181" w:history="1">
        <w:r w:rsidR="00C012C3" w:rsidRPr="005A464E">
          <w:rPr>
            <w:rStyle w:val="-"/>
            <w:rFonts w:asciiTheme="minorHAnsi" w:hAnsiTheme="minorHAnsi" w:cstheme="minorHAnsi"/>
            <w:color w:val="auto"/>
            <w:u w:val="none"/>
            <w:shd w:val="clear" w:color="auto" w:fill="FFFFFF"/>
            <w:lang w:val="en-US"/>
          </w:rPr>
          <w:t>Zyga, S</w:t>
        </w:r>
      </w:hyperlink>
      <w:r w:rsidRPr="005A464E">
        <w:rPr>
          <w:rFonts w:asciiTheme="minorHAnsi" w:hAnsiTheme="minorHAnsi" w:cstheme="minorHAnsi"/>
          <w:lang w:val="en-US"/>
        </w:rPr>
        <w:t xml:space="preserve">. (2016). The translation, validation and cultural adaptation of functional assessment of chronic illness therapy - spiritual well-being 12 (facit-sp12) scale in Greek language. </w:t>
      </w:r>
      <w:r w:rsidR="00C012C3" w:rsidRPr="005A464E">
        <w:rPr>
          <w:rFonts w:asciiTheme="minorHAnsi" w:hAnsiTheme="minorHAnsi" w:cstheme="minorHAnsi"/>
          <w:i/>
          <w:lang w:val="en-US"/>
        </w:rPr>
        <w:t>Materia Socio-m</w:t>
      </w:r>
      <w:r w:rsidRPr="005A464E">
        <w:rPr>
          <w:rFonts w:asciiTheme="minorHAnsi" w:hAnsiTheme="minorHAnsi" w:cstheme="minorHAnsi"/>
          <w:i/>
          <w:lang w:val="en-US"/>
        </w:rPr>
        <w:t>edica,</w:t>
      </w:r>
      <w:r w:rsidR="00353037">
        <w:rPr>
          <w:rFonts w:asciiTheme="minorHAnsi" w:hAnsiTheme="minorHAnsi" w:cstheme="minorHAnsi"/>
          <w:lang w:val="en-US"/>
        </w:rPr>
        <w:t xml:space="preserve"> </w:t>
      </w:r>
      <w:r w:rsidR="00353037" w:rsidRPr="00353037">
        <w:rPr>
          <w:rFonts w:asciiTheme="minorHAnsi" w:hAnsiTheme="minorHAnsi" w:cstheme="minorHAnsi"/>
          <w:i/>
          <w:lang w:val="en-US"/>
        </w:rPr>
        <w:t>28</w:t>
      </w:r>
      <w:r w:rsidRPr="00353037">
        <w:rPr>
          <w:rFonts w:asciiTheme="minorHAnsi" w:hAnsiTheme="minorHAnsi" w:cstheme="minorHAnsi"/>
          <w:i/>
          <w:lang w:val="en-US"/>
        </w:rPr>
        <w:t>,</w:t>
      </w:r>
      <w:r w:rsidRPr="005A464E">
        <w:rPr>
          <w:rFonts w:asciiTheme="minorHAnsi" w:hAnsiTheme="minorHAnsi" w:cstheme="minorHAnsi"/>
          <w:lang w:val="en-US"/>
        </w:rPr>
        <w:t xml:space="preserve"> 229–234.</w:t>
      </w:r>
      <w:r w:rsidR="0078495A">
        <w:rPr>
          <w:rFonts w:asciiTheme="minorHAnsi" w:hAnsiTheme="minorHAnsi" w:cstheme="minorHAnsi"/>
          <w:lang w:val="en-US"/>
        </w:rPr>
        <w:t xml:space="preserve">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 10.5455/msm.2016.28.229-234</w:t>
      </w:r>
      <w:r w:rsidR="00C012C3" w:rsidRPr="005A464E">
        <w:rPr>
          <w:rFonts w:asciiTheme="minorHAnsi" w:hAnsiTheme="minorHAnsi" w:cstheme="minorHAnsi"/>
          <w:shd w:val="clear" w:color="auto" w:fill="FFFFFF"/>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Frank, A., Auslander, G. K., &amp; Weissgarten, J. (2003). Quality of life of patients with end-stage renal disease at various stages of the illness. </w:t>
      </w:r>
      <w:r w:rsidRPr="005A464E">
        <w:rPr>
          <w:rFonts w:asciiTheme="minorHAnsi" w:hAnsiTheme="minorHAnsi" w:cstheme="minorHAnsi"/>
          <w:i/>
          <w:iCs/>
          <w:lang w:val="en-US"/>
        </w:rPr>
        <w:t>Social Work in Health Care,</w:t>
      </w:r>
      <w:r w:rsidRPr="005A464E">
        <w:rPr>
          <w:rFonts w:asciiTheme="minorHAnsi" w:hAnsiTheme="minorHAnsi" w:cstheme="minorHAnsi"/>
          <w:iCs/>
          <w:lang w:val="en-US"/>
        </w:rPr>
        <w:t xml:space="preserve"> </w:t>
      </w:r>
      <w:r w:rsidR="00353037" w:rsidRPr="00353037">
        <w:rPr>
          <w:rFonts w:asciiTheme="minorHAnsi" w:hAnsiTheme="minorHAnsi" w:cstheme="minorHAnsi"/>
          <w:i/>
          <w:lang w:val="en-US"/>
        </w:rPr>
        <w:t>38</w:t>
      </w:r>
      <w:r w:rsidRPr="005A464E">
        <w:rPr>
          <w:rFonts w:asciiTheme="minorHAnsi" w:hAnsiTheme="minorHAnsi" w:cstheme="minorHAnsi"/>
          <w:lang w:val="en-US"/>
        </w:rPr>
        <w:t>, 1-27.</w:t>
      </w:r>
    </w:p>
    <w:p w:rsidR="003C410F" w:rsidRPr="005A464E" w:rsidRDefault="003C410F" w:rsidP="005A464E">
      <w:pPr>
        <w:pStyle w:val="Web"/>
        <w:spacing w:after="166" w:line="360" w:lineRule="auto"/>
        <w:ind w:left="415" w:hanging="415"/>
        <w:jc w:val="both"/>
        <w:rPr>
          <w:rFonts w:asciiTheme="minorHAnsi" w:hAnsiTheme="minorHAnsi"/>
          <w:lang w:val="en-US"/>
        </w:rPr>
      </w:pPr>
      <w:r w:rsidRPr="005A464E">
        <w:rPr>
          <w:rFonts w:asciiTheme="minorHAnsi" w:eastAsia="Times New Roman" w:hAnsiTheme="minorHAnsi" w:cstheme="minorHAnsi"/>
          <w:lang w:val="en-US" w:eastAsia="el-GR"/>
        </w:rPr>
        <w:t xml:space="preserve">Fraser, S. (2010). Concordance, compliance, preference or adherence. </w:t>
      </w:r>
      <w:r w:rsidRPr="005A464E">
        <w:rPr>
          <w:rFonts w:asciiTheme="minorHAnsi" w:eastAsia="Times New Roman" w:hAnsiTheme="minorHAnsi" w:cstheme="minorHAnsi"/>
          <w:i/>
          <w:lang w:val="en-US" w:eastAsia="el-GR"/>
        </w:rPr>
        <w:t>Patient Preference &amp; Adherence</w:t>
      </w:r>
      <w:r w:rsidR="00353037">
        <w:rPr>
          <w:rFonts w:asciiTheme="minorHAnsi" w:eastAsia="Times New Roman" w:hAnsiTheme="minorHAnsi" w:cstheme="minorHAnsi"/>
          <w:lang w:val="en-US" w:eastAsia="el-GR"/>
        </w:rPr>
        <w:t xml:space="preserve">, </w:t>
      </w:r>
      <w:r w:rsidR="00353037" w:rsidRPr="00353037">
        <w:rPr>
          <w:rFonts w:asciiTheme="minorHAnsi" w:eastAsia="Times New Roman" w:hAnsiTheme="minorHAnsi" w:cstheme="minorHAnsi"/>
          <w:i/>
          <w:lang w:val="en-US" w:eastAsia="el-GR"/>
        </w:rPr>
        <w:t>4,</w:t>
      </w:r>
      <w:r w:rsidR="00353037">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95-96.</w:t>
      </w:r>
      <w:r w:rsidRPr="005A464E">
        <w:rPr>
          <w:rFonts w:asciiTheme="minorHAnsi" w:hAnsiTheme="minorHAnsi" w:cstheme="minorHAnsi"/>
          <w:shd w:val="clear" w:color="auto" w:fill="FFFFFF"/>
          <w:lang w:val="en-US"/>
        </w:rPr>
        <w:t xml:space="preserve">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w:t>
      </w:r>
      <w:r w:rsidR="0078495A">
        <w:rPr>
          <w:rFonts w:asciiTheme="minorHAnsi" w:hAnsiTheme="minorHAnsi" w:cstheme="minorHAnsi"/>
          <w:shd w:val="clear" w:color="auto" w:fill="FFFFFF"/>
          <w:lang w:val="en-US"/>
        </w:rPr>
        <w:t xml:space="preserve"> </w:t>
      </w:r>
      <w:hyperlink r:id="rId182" w:tgtFrame="pmc_ext" w:history="1">
        <w:r w:rsidRPr="005A464E">
          <w:rPr>
            <w:rStyle w:val="-"/>
            <w:rFonts w:asciiTheme="minorHAnsi" w:hAnsiTheme="minorHAnsi" w:cstheme="minorHAnsi"/>
            <w:color w:val="auto"/>
            <w:u w:val="none"/>
            <w:shd w:val="clear" w:color="auto" w:fill="FFFFFF"/>
            <w:lang w:val="en-US"/>
          </w:rPr>
          <w:t>10.2147/PPA.S17167</w:t>
        </w:r>
      </w:hyperlink>
      <w:r w:rsidR="004C33EB" w:rsidRPr="005A464E">
        <w:rPr>
          <w:rFonts w:asciiTheme="minorHAnsi" w:hAnsiTheme="minorHAnsi"/>
          <w:lang w:val="en-US"/>
        </w:rPr>
        <w:t>.</w:t>
      </w:r>
    </w:p>
    <w:p w:rsidR="00611B43" w:rsidRPr="005A464E" w:rsidRDefault="00611B43"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lang w:val="en-US"/>
        </w:rPr>
        <w:t>Frazier, P.,</w:t>
      </w:r>
      <w:r w:rsidR="0078495A">
        <w:rPr>
          <w:rFonts w:asciiTheme="minorHAnsi" w:hAnsiTheme="minorHAnsi"/>
          <w:lang w:val="en-US"/>
        </w:rPr>
        <w:t xml:space="preserve"> </w:t>
      </w:r>
      <w:r w:rsidRPr="005A464E">
        <w:rPr>
          <w:rFonts w:asciiTheme="minorHAnsi" w:hAnsiTheme="minorHAnsi"/>
          <w:lang w:val="en-US"/>
        </w:rPr>
        <w:t xml:space="preserve">Davis-Ali, S., Dahl K. (1994). Correlates of noncompliance among renal transplant recipients. </w:t>
      </w:r>
      <w:r w:rsidRPr="005A464E">
        <w:rPr>
          <w:rFonts w:asciiTheme="minorHAnsi" w:hAnsiTheme="minorHAnsi"/>
          <w:i/>
          <w:lang w:val="en-US"/>
        </w:rPr>
        <w:t>Clinical Transplantation</w:t>
      </w:r>
      <w:r w:rsidR="00353037">
        <w:rPr>
          <w:rFonts w:asciiTheme="minorHAnsi" w:hAnsiTheme="minorHAnsi"/>
          <w:lang w:val="en-US"/>
        </w:rPr>
        <w:t>,</w:t>
      </w:r>
      <w:r w:rsidR="0078495A">
        <w:rPr>
          <w:rFonts w:asciiTheme="minorHAnsi" w:hAnsiTheme="minorHAnsi"/>
          <w:lang w:val="en-US"/>
        </w:rPr>
        <w:t xml:space="preserve"> </w:t>
      </w:r>
      <w:r w:rsidR="00353037" w:rsidRPr="00353037">
        <w:rPr>
          <w:rFonts w:asciiTheme="minorHAnsi" w:hAnsiTheme="minorHAnsi"/>
          <w:i/>
          <w:lang w:val="en-US"/>
        </w:rPr>
        <w:t>8,</w:t>
      </w:r>
      <w:r w:rsidRPr="005A464E">
        <w:rPr>
          <w:rFonts w:asciiTheme="minorHAnsi" w:hAnsiTheme="minorHAnsi"/>
          <w:lang w:val="en-US"/>
        </w:rPr>
        <w:t xml:space="preserve"> 550–557.</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Freedman, B.I., Iskandar, S.S., &amp; Appel, R.G. (1995). The link between hypertension and nephrosclerosis. </w:t>
      </w:r>
      <w:r w:rsidRPr="005A464E">
        <w:rPr>
          <w:rFonts w:asciiTheme="minorHAnsi" w:eastAsia="Times New Roman" w:hAnsiTheme="minorHAnsi" w:cstheme="minorHAnsi"/>
          <w:i/>
          <w:lang w:val="en-US" w:eastAsia="el-GR"/>
        </w:rPr>
        <w:t>American Journal of Kidney Disease,</w:t>
      </w:r>
      <w:r w:rsidR="00353037">
        <w:rPr>
          <w:rFonts w:asciiTheme="minorHAnsi" w:eastAsia="Times New Roman" w:hAnsiTheme="minorHAnsi" w:cstheme="minorHAnsi"/>
          <w:lang w:val="en-US" w:eastAsia="el-GR"/>
        </w:rPr>
        <w:t xml:space="preserve"> </w:t>
      </w:r>
      <w:r w:rsidR="00353037" w:rsidRPr="00353037">
        <w:rPr>
          <w:rFonts w:asciiTheme="minorHAnsi" w:eastAsia="Times New Roman" w:hAnsiTheme="minorHAnsi" w:cstheme="minorHAnsi"/>
          <w:i/>
          <w:lang w:val="en-US" w:eastAsia="el-GR"/>
        </w:rPr>
        <w:t>25</w:t>
      </w:r>
      <w:r w:rsidR="004C33EB" w:rsidRPr="005A464E">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207-</w:t>
      </w:r>
      <w:r w:rsidR="004C33EB" w:rsidRPr="005A464E">
        <w:rPr>
          <w:rFonts w:asciiTheme="minorHAnsi" w:eastAsia="Times New Roman" w:hAnsiTheme="minorHAnsi" w:cstheme="minorHAnsi"/>
          <w:lang w:val="en-US" w:eastAsia="el-GR"/>
        </w:rPr>
        <w:t>2</w:t>
      </w:r>
      <w:r w:rsidRPr="005A464E">
        <w:rPr>
          <w:rFonts w:asciiTheme="minorHAnsi" w:eastAsia="Times New Roman" w:hAnsiTheme="minorHAnsi" w:cstheme="minorHAnsi"/>
          <w:lang w:val="en-US" w:eastAsia="el-GR"/>
        </w:rPr>
        <w:t>21.</w:t>
      </w:r>
      <w:r w:rsidR="0078495A">
        <w:rPr>
          <w:rStyle w:val="1Char"/>
          <w:rFonts w:asciiTheme="minorHAnsi" w:eastAsia="Calibri" w:hAnsiTheme="minorHAnsi" w:cstheme="minorHAnsi"/>
          <w:color w:val="auto"/>
          <w:sz w:val="24"/>
          <w:szCs w:val="24"/>
          <w:shd w:val="clear" w:color="auto" w:fill="FFFFFF"/>
          <w:lang w:val="en-US"/>
        </w:rPr>
        <w:t xml:space="preserve"> </w:t>
      </w:r>
      <w:hyperlink r:id="rId183" w:history="1">
        <w:r w:rsidRPr="005A464E">
          <w:rPr>
            <w:rStyle w:val="-"/>
            <w:rFonts w:asciiTheme="minorHAnsi" w:hAnsiTheme="minorHAnsi" w:cstheme="minorHAnsi"/>
            <w:color w:val="auto"/>
            <w:u w:val="none"/>
            <w:shd w:val="clear" w:color="auto" w:fill="FFFFFF"/>
            <w:lang w:val="en-US"/>
          </w:rPr>
          <w:t>http://dx.</w:t>
        </w:r>
        <w:r w:rsidR="00292B29" w:rsidRPr="005A464E">
          <w:rPr>
            <w:rStyle w:val="-"/>
            <w:rFonts w:asciiTheme="minorHAnsi" w:hAnsiTheme="minorHAnsi" w:cstheme="minorHAnsi"/>
            <w:color w:val="auto"/>
            <w:u w:val="none"/>
            <w:shd w:val="clear" w:color="auto" w:fill="FFFFFF"/>
            <w:lang w:val="en-US"/>
          </w:rPr>
          <w:t>DOI</w:t>
        </w:r>
        <w:r w:rsidRPr="005A464E">
          <w:rPr>
            <w:rStyle w:val="-"/>
            <w:rFonts w:asciiTheme="minorHAnsi" w:hAnsiTheme="minorHAnsi" w:cstheme="minorHAnsi"/>
            <w:color w:val="auto"/>
            <w:u w:val="none"/>
            <w:shd w:val="clear" w:color="auto" w:fill="FFFFFF"/>
            <w:lang w:val="en-US"/>
          </w:rPr>
          <w:t>.org/10.1016/0272-6386(95)90001-2</w:t>
        </w:r>
      </w:hyperlink>
      <w:r w:rsidR="004C33EB"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Fukuhara, S., Yamazaki, S., Marumo, </w:t>
      </w:r>
      <w:r w:rsidR="004C33EB" w:rsidRPr="005A464E">
        <w:rPr>
          <w:rFonts w:asciiTheme="minorHAnsi" w:hAnsiTheme="minorHAnsi" w:cstheme="minorHAnsi"/>
          <w:lang w:val="en-US"/>
        </w:rPr>
        <w:t>F., Akiba, T., Akizawa, T.,</w:t>
      </w:r>
      <w:r w:rsidR="004C33EB" w:rsidRPr="005A464E">
        <w:rPr>
          <w:rFonts w:asciiTheme="minorHAnsi" w:hAnsiTheme="minorHAnsi"/>
          <w:lang w:val="en-US"/>
        </w:rPr>
        <w:t xml:space="preserve"> </w:t>
      </w:r>
      <w:hyperlink r:id="rId184" w:history="1">
        <w:r w:rsidR="004C33EB" w:rsidRPr="005A464E">
          <w:rPr>
            <w:rStyle w:val="-"/>
            <w:rFonts w:asciiTheme="minorHAnsi" w:hAnsiTheme="minorHAnsi" w:cstheme="minorHAnsi"/>
            <w:color w:val="auto"/>
            <w:u w:val="none"/>
            <w:shd w:val="clear" w:color="auto" w:fill="FFFFFF"/>
            <w:lang w:val="en-US"/>
          </w:rPr>
          <w:t>Fujimi, S</w:t>
        </w:r>
      </w:hyperlink>
      <w:r w:rsidR="004C33EB" w:rsidRPr="005A464E">
        <w:rPr>
          <w:rFonts w:asciiTheme="minorHAnsi" w:hAnsiTheme="minorHAnsi" w:cstheme="minorHAnsi"/>
          <w:lang w:val="en-US"/>
        </w:rPr>
        <w:t>.</w:t>
      </w:r>
      <w:r w:rsidR="004C33EB" w:rsidRPr="005A464E">
        <w:rPr>
          <w:rFonts w:asciiTheme="minorHAnsi" w:hAnsiTheme="minorHAnsi" w:cstheme="minorHAnsi"/>
          <w:shd w:val="clear" w:color="auto" w:fill="FFFFFF"/>
          <w:lang w:val="en-US"/>
        </w:rPr>
        <w:t>, </w:t>
      </w:r>
      <w:r w:rsidR="00267243" w:rsidRPr="00267243">
        <w:rPr>
          <w:rFonts w:asciiTheme="minorHAnsi" w:hAnsiTheme="minorHAnsi"/>
          <w:lang w:val="en-US"/>
        </w:rPr>
        <w:t>… &amp;</w:t>
      </w:r>
      <w:r w:rsidR="00267243" w:rsidRPr="00267243">
        <w:rPr>
          <w:lang w:val="en-US"/>
        </w:rPr>
        <w:t xml:space="preserve"> </w:t>
      </w:r>
      <w:hyperlink r:id="rId185" w:history="1">
        <w:r w:rsidR="004C33EB" w:rsidRPr="005A464E">
          <w:rPr>
            <w:rStyle w:val="-"/>
            <w:rFonts w:asciiTheme="minorHAnsi" w:hAnsiTheme="minorHAnsi" w:cstheme="minorHAnsi"/>
            <w:color w:val="auto"/>
            <w:u w:val="none"/>
            <w:shd w:val="clear" w:color="auto" w:fill="FFFFFF"/>
            <w:lang w:val="en-US"/>
          </w:rPr>
          <w:t>Maeda, T</w:t>
        </w:r>
      </w:hyperlink>
      <w:r w:rsidR="004C33EB" w:rsidRPr="005A464E">
        <w:rPr>
          <w:rFonts w:asciiTheme="minorHAnsi" w:hAnsiTheme="minorHAnsi" w:cstheme="minorHAnsi"/>
          <w:shd w:val="clear" w:color="auto" w:fill="FFFFFF"/>
          <w:lang w:val="en-US"/>
        </w:rPr>
        <w:t>.</w:t>
      </w:r>
      <w:r w:rsidRPr="005A464E">
        <w:rPr>
          <w:rFonts w:asciiTheme="minorHAnsi" w:hAnsiTheme="minorHAnsi" w:cstheme="minorHAnsi"/>
          <w:lang w:val="en-US"/>
        </w:rPr>
        <w:t>(2006). Health-related quality of life of predialysis patients with chronic renal failure</w:t>
      </w:r>
      <w:r w:rsidRPr="005A464E">
        <w:rPr>
          <w:rFonts w:asciiTheme="minorHAnsi" w:hAnsiTheme="minorHAnsi" w:cstheme="minorHAnsi"/>
          <w:iCs/>
          <w:lang w:val="en-US"/>
        </w:rPr>
        <w:t xml:space="preserve">. </w:t>
      </w:r>
      <w:r w:rsidRPr="005A464E">
        <w:rPr>
          <w:rFonts w:asciiTheme="minorHAnsi" w:hAnsiTheme="minorHAnsi" w:cstheme="minorHAnsi"/>
          <w:i/>
          <w:iCs/>
          <w:lang w:val="en-US"/>
        </w:rPr>
        <w:t>Clinical Practice Journal,</w:t>
      </w:r>
      <w:r w:rsidRPr="005A464E">
        <w:rPr>
          <w:rFonts w:asciiTheme="minorHAnsi" w:hAnsiTheme="minorHAnsi" w:cstheme="minorHAnsi"/>
          <w:iCs/>
          <w:lang w:val="en-US"/>
        </w:rPr>
        <w:t xml:space="preserve"> </w:t>
      </w:r>
      <w:r w:rsidRPr="00353037">
        <w:rPr>
          <w:rFonts w:asciiTheme="minorHAnsi" w:hAnsiTheme="minorHAnsi" w:cstheme="minorHAnsi"/>
          <w:i/>
          <w:iCs/>
          <w:lang w:val="en-US"/>
        </w:rPr>
        <w:t>105</w:t>
      </w:r>
      <w:r w:rsidRPr="00353037">
        <w:rPr>
          <w:rFonts w:asciiTheme="minorHAnsi" w:hAnsiTheme="minorHAnsi" w:cstheme="minorHAnsi"/>
          <w:i/>
          <w:lang w:val="en-US"/>
        </w:rPr>
        <w:t>,</w:t>
      </w:r>
      <w:r w:rsidRPr="005A464E">
        <w:rPr>
          <w:rFonts w:asciiTheme="minorHAnsi" w:hAnsiTheme="minorHAnsi" w:cstheme="minorHAnsi"/>
          <w:lang w:val="en-US"/>
        </w:rPr>
        <w:t xml:space="preserve"> 1-8. </w:t>
      </w:r>
      <w:hyperlink r:id="rId186" w:history="1">
        <w:r w:rsidRPr="005A464E">
          <w:rPr>
            <w:rStyle w:val="-"/>
            <w:rFonts w:asciiTheme="minorHAnsi" w:hAnsiTheme="minorHAnsi" w:cstheme="minorHAnsi"/>
            <w:color w:val="auto"/>
            <w:u w:val="none"/>
            <w:shd w:val="clear" w:color="auto" w:fill="FFFFFF"/>
            <w:lang w:val="en-US"/>
          </w:rPr>
          <w:t>https://</w:t>
        </w:r>
        <w:r w:rsidR="00292B29" w:rsidRPr="005A464E">
          <w:rPr>
            <w:rStyle w:val="-"/>
            <w:rFonts w:asciiTheme="minorHAnsi" w:hAnsiTheme="minorHAnsi" w:cstheme="minorHAnsi"/>
            <w:color w:val="auto"/>
            <w:u w:val="none"/>
            <w:shd w:val="clear" w:color="auto" w:fill="FFFFFF"/>
            <w:lang w:val="en-US"/>
          </w:rPr>
          <w:t>DOI</w:t>
        </w:r>
        <w:r w:rsidRPr="005A464E">
          <w:rPr>
            <w:rStyle w:val="-"/>
            <w:rFonts w:asciiTheme="minorHAnsi" w:hAnsiTheme="minorHAnsi" w:cstheme="minorHAnsi"/>
            <w:color w:val="auto"/>
            <w:u w:val="none"/>
            <w:shd w:val="clear" w:color="auto" w:fill="FFFFFF"/>
            <w:lang w:val="en-US"/>
          </w:rPr>
          <w:t>.org/10.1159/000096802</w:t>
        </w:r>
      </w:hyperlink>
      <w:r w:rsidR="004C33EB" w:rsidRPr="005A464E">
        <w:rPr>
          <w:rFonts w:asciiTheme="minorHAnsi" w:hAnsiTheme="minorHAnsi"/>
          <w:lang w:val="en-US"/>
        </w:rPr>
        <w:t>.</w:t>
      </w:r>
    </w:p>
    <w:p w:rsidR="00292B29"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Furr, L.A.</w:t>
      </w:r>
      <w:r w:rsidR="0078495A">
        <w:rPr>
          <w:rFonts w:asciiTheme="minorHAnsi" w:hAnsiTheme="minorHAnsi" w:cstheme="minorHAnsi"/>
          <w:lang w:val="en-US"/>
        </w:rPr>
        <w:t xml:space="preserve"> </w:t>
      </w:r>
      <w:r w:rsidRPr="005A464E">
        <w:rPr>
          <w:rFonts w:asciiTheme="minorHAnsi" w:hAnsiTheme="minorHAnsi" w:cstheme="minorHAnsi"/>
          <w:lang w:val="en-US"/>
        </w:rPr>
        <w:t xml:space="preserve">(1998). Psycho-social aspects of serious renal disease and dialysis: A review of the literature. </w:t>
      </w:r>
      <w:r w:rsidRPr="005A464E">
        <w:rPr>
          <w:rFonts w:asciiTheme="minorHAnsi" w:hAnsiTheme="minorHAnsi" w:cstheme="minorHAnsi"/>
          <w:i/>
          <w:iCs/>
          <w:lang w:val="en-US"/>
        </w:rPr>
        <w:t>Social Work in Health Care,</w:t>
      </w:r>
      <w:r w:rsidRPr="005A464E">
        <w:rPr>
          <w:rFonts w:asciiTheme="minorHAnsi" w:hAnsiTheme="minorHAnsi" w:cstheme="minorHAnsi"/>
          <w:iCs/>
          <w:lang w:val="en-US"/>
        </w:rPr>
        <w:t xml:space="preserve"> </w:t>
      </w:r>
      <w:r w:rsidR="00353037" w:rsidRPr="00353037">
        <w:rPr>
          <w:rFonts w:asciiTheme="minorHAnsi" w:hAnsiTheme="minorHAnsi" w:cstheme="minorHAnsi"/>
          <w:i/>
          <w:lang w:val="en-US"/>
        </w:rPr>
        <w:t>27</w:t>
      </w:r>
      <w:r w:rsidRPr="00353037">
        <w:rPr>
          <w:rFonts w:asciiTheme="minorHAnsi" w:hAnsiTheme="minorHAnsi" w:cstheme="minorHAnsi"/>
          <w:i/>
          <w:lang w:val="en-US"/>
        </w:rPr>
        <w:t>,</w:t>
      </w:r>
      <w:r w:rsidRPr="005A464E">
        <w:rPr>
          <w:rFonts w:asciiTheme="minorHAnsi" w:hAnsiTheme="minorHAnsi" w:cstheme="minorHAnsi"/>
          <w:lang w:val="en-US"/>
        </w:rPr>
        <w:t xml:space="preserve"> 97-118. </w:t>
      </w:r>
    </w:p>
    <w:p w:rsidR="008D1D4D" w:rsidRPr="008D1D4D" w:rsidRDefault="008D1D4D" w:rsidP="005A464E">
      <w:pPr>
        <w:pStyle w:val="Web"/>
        <w:spacing w:after="166" w:line="360" w:lineRule="auto"/>
        <w:ind w:left="415" w:hanging="415"/>
        <w:jc w:val="both"/>
        <w:rPr>
          <w:rFonts w:asciiTheme="minorHAnsi" w:hAnsiTheme="minorHAnsi" w:cstheme="minorHAnsi"/>
          <w:lang w:val="en-US"/>
        </w:rPr>
      </w:pPr>
      <w:r w:rsidRPr="008D1D4D">
        <w:rPr>
          <w:rFonts w:asciiTheme="minorHAnsi" w:hAnsiTheme="minorHAnsi" w:cstheme="minorHAnsi"/>
          <w:color w:val="303030"/>
          <w:shd w:val="clear" w:color="auto" w:fill="FFFFFF"/>
          <w:lang w:val="en-US"/>
        </w:rPr>
        <w:t>Gagnon, A.L., &amp; Desai, T. (2013). Dermatological diseases in patients with chronic kidney disease. </w:t>
      </w:r>
      <w:r>
        <w:rPr>
          <w:rFonts w:asciiTheme="minorHAnsi" w:hAnsiTheme="minorHAnsi" w:cstheme="minorHAnsi"/>
          <w:color w:val="303030"/>
          <w:shd w:val="clear" w:color="auto" w:fill="FFFFFF"/>
          <w:lang w:val="en-US"/>
        </w:rPr>
        <w:t xml:space="preserve"> </w:t>
      </w:r>
      <w:r w:rsidRPr="008D1D4D">
        <w:rPr>
          <w:rFonts w:asciiTheme="minorHAnsi" w:hAnsiTheme="minorHAnsi" w:cstheme="minorHAnsi"/>
          <w:i/>
          <w:iCs/>
          <w:color w:val="303030"/>
          <w:shd w:val="clear" w:color="auto" w:fill="FFFFFF"/>
          <w:lang w:val="en-US"/>
        </w:rPr>
        <w:t>Journal of Nephropathology</w:t>
      </w:r>
      <w:r w:rsidRPr="008D1D4D">
        <w:rPr>
          <w:rFonts w:asciiTheme="minorHAnsi" w:hAnsiTheme="minorHAnsi" w:cstheme="minorHAnsi"/>
          <w:color w:val="303030"/>
          <w:shd w:val="clear" w:color="auto" w:fill="FFFFFF"/>
          <w:lang w:val="en-US"/>
        </w:rPr>
        <w:t>, </w:t>
      </w:r>
      <w:r w:rsidRPr="008D1D4D">
        <w:rPr>
          <w:rFonts w:asciiTheme="minorHAnsi" w:hAnsiTheme="minorHAnsi" w:cstheme="minorHAnsi"/>
          <w:i/>
          <w:iCs/>
          <w:color w:val="303030"/>
          <w:shd w:val="clear" w:color="auto" w:fill="FFFFFF"/>
          <w:lang w:val="en-US"/>
        </w:rPr>
        <w:t>2</w:t>
      </w:r>
      <w:r>
        <w:rPr>
          <w:rFonts w:asciiTheme="minorHAnsi" w:hAnsiTheme="minorHAnsi" w:cstheme="minorHAnsi"/>
          <w:color w:val="303030"/>
          <w:shd w:val="clear" w:color="auto" w:fill="FFFFFF"/>
          <w:lang w:val="en-US"/>
        </w:rPr>
        <w:t>,</w:t>
      </w:r>
      <w:r w:rsidRPr="008D1D4D">
        <w:rPr>
          <w:rFonts w:asciiTheme="minorHAnsi" w:hAnsiTheme="minorHAnsi" w:cstheme="minorHAnsi"/>
          <w:color w:val="303030"/>
          <w:shd w:val="clear" w:color="auto" w:fill="FFFFFF"/>
          <w:lang w:val="en-US"/>
        </w:rPr>
        <w:t xml:space="preserve"> 104–109. </w:t>
      </w:r>
      <w:r w:rsidRPr="008D1D4D">
        <w:rPr>
          <w:rFonts w:asciiTheme="minorHAnsi" w:hAnsiTheme="minorHAnsi" w:cstheme="minorHAnsi"/>
          <w:color w:val="000000"/>
          <w:shd w:val="clear" w:color="auto" w:fill="FFFFFF"/>
          <w:lang w:val="en-US"/>
        </w:rPr>
        <w:t>DOI: </w:t>
      </w:r>
      <w:r w:rsidRPr="008D1D4D">
        <w:rPr>
          <w:rFonts w:asciiTheme="minorHAnsi" w:hAnsiTheme="minorHAnsi" w:cstheme="minorHAnsi"/>
          <w:shd w:val="clear" w:color="auto" w:fill="FFFFFF"/>
          <w:lang w:val="en-US"/>
        </w:rPr>
        <w:t> </w:t>
      </w:r>
      <w:hyperlink r:id="rId187" w:tgtFrame="pmc_ext" w:history="1">
        <w:r w:rsidRPr="008D1D4D">
          <w:rPr>
            <w:rStyle w:val="-"/>
            <w:rFonts w:asciiTheme="minorHAnsi" w:hAnsiTheme="minorHAnsi" w:cstheme="minorHAnsi"/>
            <w:color w:val="auto"/>
            <w:u w:val="none"/>
            <w:shd w:val="clear" w:color="auto" w:fill="FFFFFF"/>
            <w:lang w:val="en-US"/>
          </w:rPr>
          <w:t>10.12860/JNP.2013.17</w:t>
        </w:r>
      </w:hyperlink>
    </w:p>
    <w:p w:rsidR="003C410F" w:rsidRPr="005A464E" w:rsidRDefault="008F3609" w:rsidP="005A464E">
      <w:pPr>
        <w:pStyle w:val="Web"/>
        <w:spacing w:after="166" w:line="360" w:lineRule="auto"/>
        <w:ind w:left="415" w:hanging="415"/>
        <w:jc w:val="both"/>
        <w:rPr>
          <w:rFonts w:asciiTheme="minorHAnsi" w:eastAsia="Times New Roman" w:hAnsiTheme="minorHAnsi" w:cstheme="minorHAnsi"/>
          <w:lang w:val="en-US" w:eastAsia="el-GR"/>
        </w:rPr>
      </w:pPr>
      <w:hyperlink r:id="rId188" w:history="1">
        <w:bookmarkStart w:id="89" w:name="_Toc461315094"/>
        <w:bookmarkStart w:id="90" w:name="_Toc462593232"/>
        <w:bookmarkStart w:id="91" w:name="_Toc468045211"/>
        <w:bookmarkStart w:id="92" w:name="_Toc478059816"/>
        <w:bookmarkStart w:id="93" w:name="_Toc478060913"/>
        <w:r w:rsidR="003C410F" w:rsidRPr="005A464E">
          <w:rPr>
            <w:rFonts w:asciiTheme="minorHAnsi" w:eastAsia="Times New Roman" w:hAnsiTheme="minorHAnsi" w:cstheme="minorHAnsi"/>
            <w:lang w:val="en-US" w:eastAsia="el-GR"/>
          </w:rPr>
          <w:t>García-Llana, H</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189" w:history="1">
        <w:r w:rsidR="003C410F" w:rsidRPr="005A464E">
          <w:rPr>
            <w:rFonts w:asciiTheme="minorHAnsi" w:eastAsia="Times New Roman" w:hAnsiTheme="minorHAnsi" w:cstheme="minorHAnsi"/>
            <w:lang w:val="en-US" w:eastAsia="el-GR"/>
          </w:rPr>
          <w:t>Remor, E</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xml:space="preserve">, &amp; </w:t>
      </w:r>
      <w:hyperlink r:id="rId190" w:history="1">
        <w:r w:rsidR="003C410F" w:rsidRPr="005A464E">
          <w:rPr>
            <w:rFonts w:asciiTheme="minorHAnsi" w:eastAsia="Times New Roman" w:hAnsiTheme="minorHAnsi" w:cstheme="minorHAnsi"/>
            <w:lang w:val="en-US" w:eastAsia="el-GR"/>
          </w:rPr>
          <w:t>Selgas, R</w:t>
        </w:r>
      </w:hyperlink>
      <w:r w:rsidR="003C410F" w:rsidRPr="005A464E">
        <w:rPr>
          <w:rFonts w:asciiTheme="minorHAnsi" w:eastAsia="Times New Roman" w:hAnsiTheme="minorHAnsi" w:cstheme="minorHAnsi"/>
          <w:lang w:val="en-US" w:eastAsia="el-GR"/>
        </w:rPr>
        <w:t xml:space="preserve">. (2013). </w:t>
      </w:r>
      <w:r w:rsidR="003C410F" w:rsidRPr="005A464E">
        <w:rPr>
          <w:rFonts w:asciiTheme="minorHAnsi" w:eastAsia="Times New Roman" w:hAnsiTheme="minorHAnsi" w:cstheme="minorHAnsi"/>
          <w:bCs/>
          <w:kern w:val="36"/>
          <w:lang w:val="en-US" w:eastAsia="el-GR"/>
        </w:rPr>
        <w:t xml:space="preserve">Adherence to treatment, emotional state and quality of life in patients with end-stage renal disease undergoing dialysis. </w:t>
      </w:r>
      <w:hyperlink r:id="rId191" w:tooltip="Psicothema." w:history="1">
        <w:r w:rsidR="003C410F" w:rsidRPr="005A464E">
          <w:rPr>
            <w:rFonts w:asciiTheme="minorHAnsi" w:eastAsia="Times New Roman" w:hAnsiTheme="minorHAnsi" w:cstheme="minorHAnsi"/>
            <w:i/>
            <w:lang w:val="en-US" w:eastAsia="el-GR"/>
          </w:rPr>
          <w:t>Psicothema</w:t>
        </w:r>
        <w:r w:rsidR="001E16D7" w:rsidRPr="005A464E">
          <w:rPr>
            <w:rFonts w:asciiTheme="minorHAnsi" w:eastAsia="Times New Roman" w:hAnsiTheme="minorHAnsi" w:cstheme="minorHAnsi"/>
            <w:i/>
            <w:lang w:val="en-US" w:eastAsia="el-GR"/>
          </w:rPr>
          <w:t>,</w:t>
        </w:r>
      </w:hyperlink>
      <w:r w:rsidR="00353037">
        <w:rPr>
          <w:rFonts w:asciiTheme="minorHAnsi" w:eastAsia="Times New Roman" w:hAnsiTheme="minorHAnsi" w:cstheme="minorHAnsi"/>
          <w:lang w:val="en-US" w:eastAsia="el-GR"/>
        </w:rPr>
        <w:t xml:space="preserve"> </w:t>
      </w:r>
      <w:r w:rsidR="00353037" w:rsidRPr="00353037">
        <w:rPr>
          <w:rFonts w:asciiTheme="minorHAnsi" w:eastAsia="Times New Roman" w:hAnsiTheme="minorHAnsi" w:cstheme="minorHAnsi"/>
          <w:i/>
          <w:lang w:val="en-US" w:eastAsia="el-GR"/>
        </w:rPr>
        <w:t>25</w:t>
      </w:r>
      <w:r w:rsidR="003C410F" w:rsidRPr="00353037">
        <w:rPr>
          <w:rFonts w:asciiTheme="minorHAnsi" w:eastAsia="Times New Roman" w:hAnsiTheme="minorHAnsi" w:cstheme="minorHAnsi"/>
          <w:i/>
          <w:lang w:val="en-US" w:eastAsia="el-GR"/>
        </w:rPr>
        <w:t>,</w:t>
      </w:r>
      <w:r w:rsidR="003C410F" w:rsidRPr="005A464E">
        <w:rPr>
          <w:rFonts w:asciiTheme="minorHAnsi" w:eastAsia="Times New Roman" w:hAnsiTheme="minorHAnsi" w:cstheme="minorHAnsi"/>
          <w:lang w:val="en-US" w:eastAsia="el-GR"/>
        </w:rPr>
        <w:t xml:space="preserve"> 79-86</w:t>
      </w:r>
      <w:bookmarkEnd w:id="89"/>
      <w:bookmarkEnd w:id="90"/>
      <w:bookmarkEnd w:id="91"/>
      <w:bookmarkEnd w:id="92"/>
      <w:bookmarkEnd w:id="93"/>
      <w:r w:rsidR="003C410F" w:rsidRPr="005A464E">
        <w:rPr>
          <w:rFonts w:asciiTheme="minorHAnsi" w:eastAsia="Times New Roman" w:hAnsiTheme="minorHAnsi" w:cstheme="minorHAnsi"/>
          <w:lang w:val="en-US" w:eastAsia="el-GR"/>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Garrat, A., Schmidt, L., MacKintosh, A., &amp; Fitzpatrick, R. (2002). Quality of life measurement:bibliographic study of patient assessed health outcome measures. </w:t>
      </w:r>
      <w:r w:rsidRPr="005A464E">
        <w:rPr>
          <w:rFonts w:asciiTheme="minorHAnsi" w:hAnsiTheme="minorHAnsi" w:cstheme="minorHAnsi"/>
          <w:i/>
          <w:lang w:val="en-US"/>
        </w:rPr>
        <w:t>British Medical Journal,</w:t>
      </w:r>
      <w:r w:rsidR="0078495A">
        <w:rPr>
          <w:rFonts w:asciiTheme="minorHAnsi" w:hAnsiTheme="minorHAnsi" w:cstheme="minorHAnsi"/>
          <w:lang w:val="en-US"/>
        </w:rPr>
        <w:t xml:space="preserve"> </w:t>
      </w:r>
      <w:r w:rsidR="00353037" w:rsidRPr="00353037">
        <w:rPr>
          <w:rFonts w:asciiTheme="minorHAnsi" w:hAnsiTheme="minorHAnsi" w:cstheme="minorHAnsi"/>
          <w:i/>
          <w:lang w:val="en-US"/>
        </w:rPr>
        <w:t>324</w:t>
      </w:r>
      <w:r w:rsidRPr="00353037">
        <w:rPr>
          <w:rFonts w:asciiTheme="minorHAnsi" w:hAnsiTheme="minorHAnsi" w:cstheme="minorHAnsi"/>
          <w:i/>
          <w:lang w:val="en-US"/>
        </w:rPr>
        <w:t>,</w:t>
      </w:r>
      <w:r w:rsidRPr="005A464E">
        <w:rPr>
          <w:rFonts w:asciiTheme="minorHAnsi" w:hAnsiTheme="minorHAnsi" w:cstheme="minorHAnsi"/>
          <w:lang w:val="en-US"/>
        </w:rPr>
        <w:t xml:space="preserve"> 1417-1419.</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Gencoz, T., &amp; Astan, G. (2006). Social support, locus of control, and depressive symptoms in hemodialysis patients. </w:t>
      </w:r>
      <w:r w:rsidRPr="005A464E">
        <w:rPr>
          <w:rFonts w:asciiTheme="minorHAnsi" w:hAnsiTheme="minorHAnsi" w:cstheme="minorHAnsi"/>
          <w:i/>
          <w:iCs/>
          <w:lang w:val="en-US"/>
        </w:rPr>
        <w:t>Scandinavian Journal of Psychology</w:t>
      </w:r>
      <w:r w:rsidRPr="005A464E">
        <w:rPr>
          <w:rFonts w:asciiTheme="minorHAnsi" w:hAnsiTheme="minorHAnsi" w:cstheme="minorHAnsi"/>
          <w:iCs/>
          <w:lang w:val="en-US"/>
        </w:rPr>
        <w:t xml:space="preserve">, </w:t>
      </w:r>
      <w:r w:rsidRPr="00353037">
        <w:rPr>
          <w:rFonts w:asciiTheme="minorHAnsi" w:hAnsiTheme="minorHAnsi" w:cstheme="minorHAnsi"/>
          <w:i/>
          <w:iCs/>
          <w:lang w:val="en-US"/>
        </w:rPr>
        <w:t>47</w:t>
      </w:r>
      <w:r w:rsidRPr="005A464E">
        <w:rPr>
          <w:rFonts w:asciiTheme="minorHAnsi" w:hAnsiTheme="minorHAnsi" w:cstheme="minorHAnsi"/>
          <w:lang w:val="en-US"/>
        </w:rPr>
        <w:t>, 203-208.</w:t>
      </w:r>
    </w:p>
    <w:p w:rsidR="003C410F"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Ghembaza, M.A., Senoussaoui, Y., Tani, M.K., &amp; Meguenni, K. (2014). Impact of patient knowledge of hypertension complications on adherence to antihypertensive therapy. </w:t>
      </w:r>
      <w:r w:rsidRPr="005A464E">
        <w:rPr>
          <w:rFonts w:asciiTheme="minorHAnsi" w:hAnsiTheme="minorHAnsi" w:cstheme="minorHAnsi"/>
          <w:i/>
          <w:lang w:val="en-US"/>
        </w:rPr>
        <w:t>Current Hypertension Review,</w:t>
      </w:r>
      <w:r w:rsidR="00353037">
        <w:rPr>
          <w:rFonts w:asciiTheme="minorHAnsi" w:hAnsiTheme="minorHAnsi" w:cstheme="minorHAnsi"/>
          <w:lang w:val="en-US"/>
        </w:rPr>
        <w:t xml:space="preserve"> </w:t>
      </w:r>
      <w:r w:rsidR="00353037" w:rsidRPr="00353037">
        <w:rPr>
          <w:rFonts w:asciiTheme="minorHAnsi" w:hAnsiTheme="minorHAnsi" w:cstheme="minorHAnsi"/>
          <w:i/>
          <w:lang w:val="en-US"/>
        </w:rPr>
        <w:t>10</w:t>
      </w:r>
      <w:r w:rsidRPr="00353037">
        <w:rPr>
          <w:rFonts w:asciiTheme="minorHAnsi" w:hAnsiTheme="minorHAnsi" w:cstheme="minorHAnsi"/>
          <w:i/>
          <w:lang w:val="en-US"/>
        </w:rPr>
        <w:t>,</w:t>
      </w:r>
      <w:r w:rsidRPr="005A464E">
        <w:rPr>
          <w:rFonts w:asciiTheme="minorHAnsi" w:hAnsiTheme="minorHAnsi" w:cstheme="minorHAnsi"/>
          <w:lang w:val="en-US"/>
        </w:rPr>
        <w:t xml:space="preserve"> 41-8.</w:t>
      </w:r>
    </w:p>
    <w:p w:rsidR="00E06D8C" w:rsidRPr="00E06D8C" w:rsidRDefault="00E06D8C" w:rsidP="005A464E">
      <w:pPr>
        <w:pStyle w:val="Web"/>
        <w:spacing w:after="166" w:line="360" w:lineRule="auto"/>
        <w:ind w:left="415" w:hanging="415"/>
        <w:jc w:val="both"/>
        <w:rPr>
          <w:rFonts w:asciiTheme="minorHAnsi" w:hAnsiTheme="minorHAnsi" w:cstheme="minorHAnsi"/>
          <w:lang w:val="en-US"/>
        </w:rPr>
      </w:pPr>
      <w:r w:rsidRPr="00E06D8C">
        <w:rPr>
          <w:rFonts w:asciiTheme="minorHAnsi" w:hAnsiTheme="minorHAnsi" w:cstheme="minorHAnsi"/>
          <w:shd w:val="clear" w:color="auto" w:fill="FFFFFF"/>
          <w:lang w:val="en-US"/>
        </w:rPr>
        <w:t>Ghadam, M. S., Poorgholami, F., Jahromi, Z. B., Parandavar, N., Kalani, N., &amp; Rahmanian, E. (2016). Effect of self-care education by face-to-face method on the quality of life in hemodialysis patients </w:t>
      </w:r>
      <w:r w:rsidRPr="00E06D8C">
        <w:rPr>
          <w:rFonts w:asciiTheme="minorHAnsi" w:hAnsiTheme="minorHAnsi" w:cstheme="minorHAnsi"/>
          <w:i/>
          <w:iCs/>
          <w:shd w:val="clear" w:color="auto" w:fill="FFFFFF"/>
          <w:lang w:val="en-US"/>
        </w:rPr>
        <w:t>(Relying on Ferrans and Powers Questionnaire)</w:t>
      </w:r>
      <w:r w:rsidRPr="00E06D8C">
        <w:rPr>
          <w:rFonts w:asciiTheme="minorHAnsi" w:hAnsiTheme="minorHAnsi" w:cstheme="minorHAnsi"/>
          <w:shd w:val="clear" w:color="auto" w:fill="FFFFFF"/>
          <w:lang w:val="en-US"/>
        </w:rPr>
        <w:t>. </w:t>
      </w:r>
      <w:r w:rsidRPr="00E06D8C">
        <w:rPr>
          <w:rFonts w:asciiTheme="minorHAnsi" w:hAnsiTheme="minorHAnsi" w:cstheme="minorHAnsi"/>
          <w:i/>
          <w:iCs/>
          <w:shd w:val="clear" w:color="auto" w:fill="FFFFFF"/>
          <w:lang w:val="en-US"/>
        </w:rPr>
        <w:t>Global Journal of Health Science</w:t>
      </w:r>
      <w:r w:rsidRPr="00E06D8C">
        <w:rPr>
          <w:rFonts w:asciiTheme="minorHAnsi" w:hAnsiTheme="minorHAnsi" w:cstheme="minorHAnsi"/>
          <w:shd w:val="clear" w:color="auto" w:fill="FFFFFF"/>
          <w:lang w:val="en-US"/>
        </w:rPr>
        <w:t>,</w:t>
      </w:r>
      <w:r w:rsidR="0078495A">
        <w:rPr>
          <w:rFonts w:asciiTheme="minorHAnsi" w:hAnsiTheme="minorHAnsi" w:cstheme="minorHAnsi"/>
          <w:shd w:val="clear" w:color="auto" w:fill="FFFFFF"/>
          <w:lang w:val="en-US"/>
        </w:rPr>
        <w:t xml:space="preserve"> </w:t>
      </w:r>
      <w:r w:rsidRPr="00353037">
        <w:rPr>
          <w:rFonts w:asciiTheme="minorHAnsi" w:hAnsiTheme="minorHAnsi" w:cstheme="minorHAnsi"/>
          <w:i/>
          <w:iCs/>
          <w:shd w:val="clear" w:color="auto" w:fill="FFFFFF"/>
          <w:lang w:val="en-US"/>
        </w:rPr>
        <w:t>8</w:t>
      </w:r>
      <w:r w:rsidRPr="00E06D8C">
        <w:rPr>
          <w:rFonts w:asciiTheme="minorHAnsi" w:hAnsiTheme="minorHAnsi" w:cstheme="minorHAnsi"/>
          <w:shd w:val="clear" w:color="auto" w:fill="FFFFFF"/>
          <w:lang w:val="en-US"/>
        </w:rPr>
        <w:t>,</w:t>
      </w:r>
      <w:r>
        <w:rPr>
          <w:rFonts w:asciiTheme="minorHAnsi" w:hAnsiTheme="minorHAnsi" w:cstheme="minorHAnsi"/>
          <w:shd w:val="clear" w:color="auto" w:fill="FFFFFF"/>
          <w:lang w:val="en-US"/>
        </w:rPr>
        <w:t xml:space="preserve"> </w:t>
      </w:r>
      <w:r w:rsidRPr="00E06D8C">
        <w:rPr>
          <w:rFonts w:asciiTheme="minorHAnsi" w:hAnsiTheme="minorHAnsi" w:cstheme="minorHAnsi"/>
          <w:shd w:val="clear" w:color="auto" w:fill="FFFFFF"/>
          <w:lang w:val="en-US"/>
        </w:rPr>
        <w:t>121–127. http://doi.org/10.5539/gjhs.v8n6p121</w:t>
      </w:r>
    </w:p>
    <w:p w:rsidR="00553335" w:rsidRPr="005A464E" w:rsidRDefault="00553335"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lang w:val="en-US"/>
        </w:rPr>
        <w:t xml:space="preserve">Ghods. </w:t>
      </w:r>
      <w:r w:rsidRPr="005A464E">
        <w:rPr>
          <w:rFonts w:asciiTheme="minorHAnsi" w:hAnsiTheme="minorHAnsi"/>
        </w:rPr>
        <w:t>Α</w:t>
      </w:r>
      <w:r w:rsidRPr="005A464E">
        <w:rPr>
          <w:rFonts w:asciiTheme="minorHAnsi" w:hAnsiTheme="minorHAnsi"/>
          <w:lang w:val="en-US"/>
        </w:rPr>
        <w:t xml:space="preserve">., &amp; Nasrollahzadeh, D. (2003). Noncompliance with immunnosuppressive medications after renal transplantation, </w:t>
      </w:r>
      <w:r w:rsidRPr="005A464E">
        <w:rPr>
          <w:rFonts w:asciiTheme="minorHAnsi" w:hAnsiTheme="minorHAnsi"/>
          <w:i/>
          <w:lang w:val="en-US"/>
        </w:rPr>
        <w:t>Experimental and Clinical Transplantation</w:t>
      </w:r>
      <w:r w:rsidR="00353037">
        <w:rPr>
          <w:rFonts w:asciiTheme="minorHAnsi" w:hAnsiTheme="minorHAnsi"/>
          <w:lang w:val="en-US"/>
        </w:rPr>
        <w:t xml:space="preserve">, </w:t>
      </w:r>
      <w:r w:rsidR="00353037" w:rsidRPr="00353037">
        <w:rPr>
          <w:rFonts w:asciiTheme="minorHAnsi" w:hAnsiTheme="minorHAnsi"/>
          <w:i/>
          <w:lang w:val="en-US"/>
        </w:rPr>
        <w:t>1,</w:t>
      </w:r>
      <w:r w:rsidR="00353037">
        <w:rPr>
          <w:rFonts w:asciiTheme="minorHAnsi" w:hAnsiTheme="minorHAnsi"/>
          <w:lang w:val="en-US"/>
        </w:rPr>
        <w:t xml:space="preserve"> </w:t>
      </w:r>
      <w:r w:rsidRPr="005A464E">
        <w:rPr>
          <w:rFonts w:asciiTheme="minorHAnsi" w:hAnsiTheme="minorHAnsi"/>
          <w:lang w:val="en-US"/>
        </w:rPr>
        <w:t>39–47.</w:t>
      </w:r>
    </w:p>
    <w:p w:rsidR="00611B43" w:rsidRPr="005A464E" w:rsidRDefault="00611B43"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lang w:val="en-US"/>
        </w:rPr>
        <w:t>Grierson, J., Bartos, M., De Visser, R.,</w:t>
      </w:r>
      <w:r w:rsidR="0078495A">
        <w:rPr>
          <w:rFonts w:asciiTheme="minorHAnsi" w:hAnsiTheme="minorHAnsi"/>
          <w:lang w:val="en-US"/>
        </w:rPr>
        <w:t xml:space="preserve"> </w:t>
      </w:r>
      <w:r w:rsidR="00292B29" w:rsidRPr="005A464E">
        <w:rPr>
          <w:rFonts w:asciiTheme="minorHAnsi" w:hAnsiTheme="minorHAnsi"/>
          <w:lang w:val="en-US"/>
        </w:rPr>
        <w:t xml:space="preserve">&amp; </w:t>
      </w:r>
      <w:r w:rsidRPr="005A464E">
        <w:rPr>
          <w:rFonts w:asciiTheme="minorHAnsi" w:hAnsiTheme="minorHAnsi"/>
          <w:lang w:val="en-US"/>
        </w:rPr>
        <w:t>McDonald, K. (2000)</w:t>
      </w:r>
      <w:r w:rsidR="00292B29" w:rsidRPr="005A464E">
        <w:rPr>
          <w:rFonts w:asciiTheme="minorHAnsi" w:hAnsiTheme="minorHAnsi"/>
          <w:lang w:val="en-US"/>
        </w:rPr>
        <w:t>.</w:t>
      </w:r>
      <w:r w:rsidRPr="005A464E">
        <w:rPr>
          <w:rFonts w:asciiTheme="minorHAnsi" w:hAnsiTheme="minorHAnsi"/>
          <w:lang w:val="en-US"/>
        </w:rPr>
        <w:t xml:space="preserve"> “HIV future II. The health and well-being of people with HIV/AIDS in Australia,” La Trobe University.</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Gill, T.M., &amp; Feinstein, A.R. (1994). A critical appraisal of the quality of quality of-life measurements. </w:t>
      </w:r>
      <w:r w:rsidRPr="005A464E">
        <w:rPr>
          <w:rFonts w:asciiTheme="minorHAnsi" w:hAnsiTheme="minorHAnsi" w:cstheme="minorHAnsi"/>
          <w:i/>
          <w:iCs/>
          <w:lang w:val="en-US"/>
        </w:rPr>
        <w:t>Journal of American Medical Association,</w:t>
      </w:r>
      <w:r w:rsidRPr="005A464E">
        <w:rPr>
          <w:rFonts w:asciiTheme="minorHAnsi" w:hAnsiTheme="minorHAnsi" w:cstheme="minorHAnsi"/>
          <w:iCs/>
          <w:lang w:val="en-US"/>
        </w:rPr>
        <w:t xml:space="preserve"> </w:t>
      </w:r>
      <w:r w:rsidRPr="00353037">
        <w:rPr>
          <w:rFonts w:asciiTheme="minorHAnsi" w:hAnsiTheme="minorHAnsi" w:cstheme="minorHAnsi"/>
          <w:i/>
          <w:iCs/>
          <w:lang w:val="en-US"/>
        </w:rPr>
        <w:t>272</w:t>
      </w:r>
      <w:r w:rsidRPr="00353037">
        <w:rPr>
          <w:rFonts w:asciiTheme="minorHAnsi" w:hAnsiTheme="minorHAnsi" w:cstheme="minorHAnsi"/>
          <w:i/>
          <w:lang w:val="en-US"/>
        </w:rPr>
        <w:t>,</w:t>
      </w:r>
      <w:r w:rsidRPr="005A464E">
        <w:rPr>
          <w:rFonts w:asciiTheme="minorHAnsi" w:hAnsiTheme="minorHAnsi" w:cstheme="minorHAnsi"/>
          <w:lang w:val="en-US"/>
        </w:rPr>
        <w:t xml:space="preserve"> 619-626</w:t>
      </w:r>
      <w:r w:rsidR="004C33EB" w:rsidRPr="005A464E">
        <w:rPr>
          <w:rFonts w:asciiTheme="minorHAnsi" w:hAnsiTheme="minorHAnsi" w:cs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Gimenes, H., Zanetti, M., &amp;</w:t>
      </w:r>
      <w:r w:rsidR="0078495A">
        <w:rPr>
          <w:rFonts w:asciiTheme="minorHAnsi" w:hAnsiTheme="minorHAnsi" w:cstheme="minorHAnsi"/>
          <w:lang w:val="en-US"/>
        </w:rPr>
        <w:t xml:space="preserve"> </w:t>
      </w:r>
      <w:r w:rsidRPr="005A464E">
        <w:rPr>
          <w:rFonts w:asciiTheme="minorHAnsi" w:hAnsiTheme="minorHAnsi" w:cstheme="minorHAnsi"/>
          <w:lang w:val="en-US"/>
        </w:rPr>
        <w:t>Haas, V. (2009).</w:t>
      </w:r>
      <w:r w:rsidR="0078495A">
        <w:rPr>
          <w:rFonts w:asciiTheme="minorHAnsi" w:hAnsiTheme="minorHAnsi" w:cstheme="minorHAnsi"/>
          <w:lang w:val="en-US"/>
        </w:rPr>
        <w:t xml:space="preserve"> </w:t>
      </w:r>
      <w:r w:rsidRPr="005A464E">
        <w:rPr>
          <w:rFonts w:asciiTheme="minorHAnsi" w:hAnsiTheme="minorHAnsi" w:cstheme="minorHAnsi"/>
          <w:lang w:val="en-US"/>
        </w:rPr>
        <w:t>Factors related to patient adherence to antidiabetic drug therapy.</w:t>
      </w:r>
      <w:r w:rsidR="0078495A">
        <w:rPr>
          <w:rFonts w:asciiTheme="minorHAnsi" w:hAnsiTheme="minorHAnsi" w:cstheme="minorHAnsi"/>
          <w:lang w:val="en-US"/>
        </w:rPr>
        <w:t xml:space="preserve"> </w:t>
      </w:r>
      <w:r w:rsidRPr="005A464E">
        <w:rPr>
          <w:rFonts w:asciiTheme="minorHAnsi" w:hAnsiTheme="minorHAnsi" w:cstheme="minorHAnsi"/>
          <w:i/>
          <w:lang w:val="en-US"/>
        </w:rPr>
        <w:t>Revista Lationo-americana Enfermagem</w:t>
      </w:r>
      <w:r w:rsidR="001E16D7" w:rsidRPr="005A464E">
        <w:rPr>
          <w:rFonts w:asciiTheme="minorHAnsi" w:hAnsiTheme="minorHAnsi" w:cstheme="minorHAnsi"/>
          <w:lang w:val="en-US"/>
        </w:rPr>
        <w:t>,</w:t>
      </w:r>
      <w:r w:rsidR="00353037">
        <w:rPr>
          <w:rFonts w:asciiTheme="minorHAnsi" w:hAnsiTheme="minorHAnsi" w:cstheme="minorHAnsi"/>
          <w:lang w:val="en-US"/>
        </w:rPr>
        <w:t xml:space="preserve"> </w:t>
      </w:r>
      <w:r w:rsidR="00353037" w:rsidRPr="00353037">
        <w:rPr>
          <w:rFonts w:asciiTheme="minorHAnsi" w:hAnsiTheme="minorHAnsi" w:cstheme="minorHAnsi"/>
          <w:i/>
          <w:lang w:val="en-US"/>
        </w:rPr>
        <w:t>17</w:t>
      </w:r>
      <w:r w:rsidRPr="005A464E">
        <w:rPr>
          <w:rFonts w:asciiTheme="minorHAnsi" w:hAnsiTheme="minorHAnsi" w:cstheme="minorHAnsi"/>
          <w:lang w:val="en-US"/>
        </w:rPr>
        <w:t>, 46-51.</w:t>
      </w:r>
      <w:r w:rsidRPr="005A464E">
        <w:rPr>
          <w:rFonts w:asciiTheme="minorHAnsi" w:hAnsiTheme="minorHAnsi" w:cstheme="minorHAnsi"/>
          <w:bCs/>
          <w:lang w:val="en-US"/>
        </w:rPr>
        <w:t xml:space="preserve"> http://dx.</w:t>
      </w:r>
      <w:r w:rsidR="00292B29" w:rsidRPr="005A464E">
        <w:rPr>
          <w:rFonts w:asciiTheme="minorHAnsi" w:hAnsiTheme="minorHAnsi" w:cstheme="minorHAnsi"/>
          <w:bCs/>
          <w:lang w:val="en-US"/>
        </w:rPr>
        <w:t>DOI</w:t>
      </w:r>
      <w:r w:rsidRPr="005A464E">
        <w:rPr>
          <w:rFonts w:asciiTheme="minorHAnsi" w:hAnsiTheme="minorHAnsi" w:cstheme="minorHAnsi"/>
          <w:bCs/>
          <w:lang w:val="en-US"/>
        </w:rPr>
        <w:t>.org/10.1590/S0104-11692009000100008</w:t>
      </w:r>
      <w:r w:rsidR="004C33EB" w:rsidRPr="005A464E">
        <w:rPr>
          <w:rFonts w:asciiTheme="minorHAnsi" w:hAnsiTheme="minorHAnsi" w:cstheme="minorHAnsi"/>
          <w:bCs/>
          <w:lang w:val="en-US"/>
        </w:rPr>
        <w:t>.</w:t>
      </w:r>
      <w:r w:rsidRPr="005A464E">
        <w:rPr>
          <w:rFonts w:asciiTheme="minorHAnsi" w:hAnsiTheme="minorHAnsi" w:cstheme="minorHAnsi"/>
          <w:bCs/>
          <w:lang w:val="en-US"/>
        </w:rPr>
        <w:t> </w:t>
      </w:r>
    </w:p>
    <w:p w:rsidR="003C410F" w:rsidRPr="005A464E"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eastAsia="Times New Roman" w:hAnsiTheme="minorHAnsi" w:cstheme="minorHAnsi"/>
          <w:lang w:val="en-US" w:eastAsia="el-GR"/>
        </w:rPr>
        <w:t xml:space="preserve">Ginieri-Coccossis, M., Theofilou, P., Synodinou, C., Tomaras, V., Soldatos, C. (2008). Quality of life, mental health and health beliefs in haemodialysis and peritoneal dialysis patients: Investigating differences in early and later years of current treatment. </w:t>
      </w:r>
      <w:r w:rsidRPr="005A464E">
        <w:rPr>
          <w:rFonts w:asciiTheme="minorHAnsi" w:eastAsia="Times New Roman" w:hAnsiTheme="minorHAnsi" w:cstheme="minorHAnsi"/>
          <w:i/>
          <w:lang w:val="en-US" w:eastAsia="el-GR"/>
        </w:rPr>
        <w:t>BMC Nephrology</w:t>
      </w:r>
      <w:r w:rsidRPr="00353037">
        <w:rPr>
          <w:rFonts w:asciiTheme="minorHAnsi" w:eastAsia="Times New Roman" w:hAnsiTheme="minorHAnsi" w:cstheme="minorHAnsi"/>
          <w:i/>
          <w:lang w:val="en-US" w:eastAsia="el-GR"/>
        </w:rPr>
        <w:t>,</w:t>
      </w:r>
      <w:r w:rsidR="00353037" w:rsidRPr="00353037">
        <w:rPr>
          <w:rFonts w:asciiTheme="minorHAnsi" w:eastAsia="Times New Roman" w:hAnsiTheme="minorHAnsi" w:cstheme="minorHAnsi"/>
          <w:i/>
          <w:lang w:val="en-US" w:eastAsia="el-GR"/>
        </w:rPr>
        <w:t xml:space="preserve"> 9,</w:t>
      </w:r>
      <w:r w:rsidRPr="005A464E">
        <w:rPr>
          <w:rFonts w:asciiTheme="minorHAnsi" w:eastAsia="Times New Roman" w:hAnsiTheme="minorHAnsi" w:cstheme="minorHAnsi"/>
          <w:lang w:val="en-US" w:eastAsia="el-GR"/>
        </w:rPr>
        <w:t xml:space="preserve"> 14</w:t>
      </w:r>
      <w:r w:rsidR="0078495A">
        <w:rPr>
          <w:rFonts w:asciiTheme="minorHAnsi" w:hAnsiTheme="minorHAnsi" w:cstheme="minorHAnsi"/>
          <w:shd w:val="clear" w:color="auto" w:fill="FFFFFF"/>
          <w:lang w:val="en-US"/>
        </w:rPr>
        <w:t xml:space="preserve">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 10.1186/1471-2369-9-14.</w:t>
      </w:r>
    </w:p>
    <w:p w:rsidR="003C410F" w:rsidRPr="005A464E" w:rsidRDefault="008F3609" w:rsidP="005A464E">
      <w:pPr>
        <w:pStyle w:val="Web"/>
        <w:spacing w:after="166" w:line="360" w:lineRule="auto"/>
        <w:ind w:left="415" w:hanging="415"/>
        <w:jc w:val="both"/>
        <w:rPr>
          <w:rFonts w:asciiTheme="minorHAnsi" w:hAnsiTheme="minorHAnsi" w:cstheme="minorHAnsi"/>
          <w:shd w:val="clear" w:color="auto" w:fill="FFFFFF"/>
          <w:lang w:val="en-US"/>
        </w:rPr>
      </w:pPr>
      <w:hyperlink r:id="rId192" w:history="1">
        <w:r w:rsidR="003C410F" w:rsidRPr="005A464E">
          <w:rPr>
            <w:rStyle w:val="-"/>
            <w:rFonts w:asciiTheme="minorHAnsi" w:hAnsiTheme="minorHAnsi" w:cstheme="minorHAnsi"/>
            <w:color w:val="auto"/>
            <w:u w:val="none"/>
            <w:shd w:val="clear" w:color="auto" w:fill="FFFFFF"/>
            <w:lang w:val="en-US"/>
          </w:rPr>
          <w:t>Girndt, M. (2017).</w:t>
        </w:r>
        <w:r w:rsidR="003C410F" w:rsidRPr="005A464E">
          <w:rPr>
            <w:rStyle w:val="apple-converted-space"/>
            <w:rFonts w:asciiTheme="minorHAnsi" w:hAnsiTheme="minorHAnsi" w:cstheme="minorHAnsi"/>
            <w:shd w:val="clear" w:color="auto" w:fill="FFFFFF"/>
            <w:lang w:val="en-US"/>
          </w:rPr>
          <w:t> </w:t>
        </w:r>
      </w:hyperlink>
      <w:r w:rsidR="003C410F" w:rsidRPr="005A464E">
        <w:rPr>
          <w:rStyle w:val="highlight"/>
          <w:rFonts w:asciiTheme="minorHAnsi" w:hAnsiTheme="minorHAnsi" w:cstheme="minorHAnsi"/>
          <w:lang w:val="en-US"/>
        </w:rPr>
        <w:t>Diagnosis</w:t>
      </w:r>
      <w:r w:rsidR="003C410F" w:rsidRPr="005A464E">
        <w:rPr>
          <w:rStyle w:val="apple-converted-space"/>
          <w:rFonts w:asciiTheme="minorHAnsi" w:hAnsiTheme="minorHAnsi" w:cstheme="minorHAnsi"/>
          <w:lang w:val="en-US"/>
        </w:rPr>
        <w:t> </w:t>
      </w:r>
      <w:r w:rsidR="003C410F" w:rsidRPr="005A464E">
        <w:rPr>
          <w:rFonts w:asciiTheme="minorHAnsi" w:hAnsiTheme="minorHAnsi" w:cstheme="minorHAnsi"/>
          <w:lang w:val="en-US"/>
        </w:rPr>
        <w:t>and treatment of</w:t>
      </w:r>
      <w:r w:rsidR="003C410F" w:rsidRPr="005A464E">
        <w:rPr>
          <w:rStyle w:val="apple-converted-space"/>
          <w:rFonts w:asciiTheme="minorHAnsi" w:hAnsiTheme="minorHAnsi" w:cstheme="minorHAnsi"/>
          <w:lang w:val="en-US"/>
        </w:rPr>
        <w:t> </w:t>
      </w:r>
      <w:r w:rsidR="003C410F" w:rsidRPr="005A464E">
        <w:rPr>
          <w:rStyle w:val="highlight"/>
          <w:rFonts w:asciiTheme="minorHAnsi" w:hAnsiTheme="minorHAnsi" w:cstheme="minorHAnsi"/>
          <w:lang w:val="en-US"/>
        </w:rPr>
        <w:t>chronic kidney disease</w:t>
      </w:r>
      <w:r w:rsidR="003C410F" w:rsidRPr="005A464E">
        <w:rPr>
          <w:rFonts w:asciiTheme="minorHAnsi" w:hAnsiTheme="minorHAnsi" w:cstheme="minorHAnsi"/>
          <w:i/>
          <w:lang w:val="en-US"/>
        </w:rPr>
        <w:t>.</w:t>
      </w:r>
      <w:r w:rsidR="003C410F" w:rsidRPr="005A464E">
        <w:rPr>
          <w:rFonts w:asciiTheme="minorHAnsi" w:hAnsiTheme="minorHAnsi" w:cstheme="minorHAnsi"/>
          <w:i/>
          <w:shd w:val="clear" w:color="auto" w:fill="FFFFFF"/>
          <w:lang w:val="en-US"/>
        </w:rPr>
        <w:t xml:space="preserve"> Der </w:t>
      </w:r>
      <w:hyperlink r:id="rId193" w:tooltip="Der Internist." w:history="1">
        <w:r w:rsidR="003C410F" w:rsidRPr="005A464E">
          <w:rPr>
            <w:rStyle w:val="-"/>
            <w:rFonts w:asciiTheme="minorHAnsi" w:hAnsiTheme="minorHAnsi" w:cstheme="minorHAnsi"/>
            <w:i/>
            <w:color w:val="auto"/>
            <w:u w:val="none"/>
            <w:shd w:val="clear" w:color="auto" w:fill="FFFFFF"/>
            <w:lang w:val="en-US"/>
          </w:rPr>
          <w:t>Internist (Berl).</w:t>
        </w:r>
      </w:hyperlink>
      <w:r w:rsidR="003C410F" w:rsidRPr="005A464E">
        <w:rPr>
          <w:rStyle w:val="apple-converted-space"/>
          <w:rFonts w:asciiTheme="minorHAnsi" w:hAnsiTheme="minorHAnsi" w:cstheme="minorHAnsi"/>
          <w:shd w:val="clear" w:color="auto" w:fill="FFFFFF"/>
          <w:lang w:val="en-US"/>
        </w:rPr>
        <w:t> </w:t>
      </w:r>
      <w:r w:rsidR="00353037" w:rsidRPr="00353037">
        <w:rPr>
          <w:rFonts w:asciiTheme="minorHAnsi" w:hAnsiTheme="minorHAnsi" w:cstheme="minorHAnsi"/>
          <w:i/>
          <w:shd w:val="clear" w:color="auto" w:fill="FFFFFF"/>
          <w:lang w:val="en-US"/>
        </w:rPr>
        <w:t>58</w:t>
      </w:r>
      <w:r w:rsidR="003C410F" w:rsidRPr="00353037">
        <w:rPr>
          <w:rFonts w:asciiTheme="minorHAnsi" w:hAnsiTheme="minorHAnsi" w:cstheme="minorHAnsi"/>
          <w:i/>
          <w:shd w:val="clear" w:color="auto" w:fill="FFFFFF"/>
          <w:lang w:val="en-US"/>
        </w:rPr>
        <w:t>,</w:t>
      </w:r>
      <w:r w:rsidR="003C410F" w:rsidRPr="005A464E">
        <w:rPr>
          <w:rFonts w:asciiTheme="minorHAnsi" w:hAnsiTheme="minorHAnsi" w:cstheme="minorHAnsi"/>
          <w:shd w:val="clear" w:color="auto" w:fill="FFFFFF"/>
          <w:lang w:val="en-US"/>
        </w:rPr>
        <w:t xml:space="preserve"> 243-256.</w:t>
      </w:r>
      <w:r w:rsidR="0078495A">
        <w:rPr>
          <w:rStyle w:val="1Char"/>
          <w:rFonts w:asciiTheme="minorHAnsi" w:eastAsia="Calibri" w:hAnsiTheme="minorHAnsi" w:cstheme="minorHAnsi"/>
          <w:color w:val="auto"/>
          <w:sz w:val="24"/>
          <w:szCs w:val="24"/>
          <w:shd w:val="clear" w:color="auto" w:fill="FFFFFF"/>
          <w:lang w:val="en-US"/>
        </w:rPr>
        <w:t xml:space="preserve"> </w:t>
      </w:r>
      <w:r w:rsidR="00292B29" w:rsidRPr="005A464E">
        <w:rPr>
          <w:rFonts w:asciiTheme="minorHAnsi" w:hAnsiTheme="minorHAnsi" w:cstheme="minorHAnsi"/>
          <w:shd w:val="clear" w:color="auto" w:fill="FFFFFF"/>
          <w:lang w:val="en-US"/>
        </w:rPr>
        <w:t>DOI</w:t>
      </w:r>
      <w:r w:rsidR="003C410F" w:rsidRPr="005A464E">
        <w:rPr>
          <w:rFonts w:asciiTheme="minorHAnsi" w:hAnsiTheme="minorHAnsi" w:cstheme="minorHAnsi"/>
          <w:shd w:val="clear" w:color="auto" w:fill="FFFFFF"/>
          <w:lang w:val="en-US"/>
        </w:rPr>
        <w:t>: 10.1007/s00108-017-0195-2.</w:t>
      </w:r>
    </w:p>
    <w:p w:rsidR="003C410F" w:rsidRPr="005A464E"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lang w:val="en-US"/>
        </w:rPr>
        <w:t>Goldstein, M.G., DePue,</w:t>
      </w:r>
      <w:r w:rsidR="0078495A">
        <w:rPr>
          <w:rFonts w:asciiTheme="minorHAnsi" w:hAnsiTheme="minorHAnsi" w:cstheme="minorHAnsi"/>
          <w:lang w:val="en-US"/>
        </w:rPr>
        <w:t xml:space="preserve"> </w:t>
      </w:r>
      <w:r w:rsidRPr="005A464E">
        <w:rPr>
          <w:rFonts w:asciiTheme="minorHAnsi" w:hAnsiTheme="minorHAnsi" w:cstheme="minorHAnsi"/>
          <w:lang w:val="en-US"/>
        </w:rPr>
        <w:t>J.D., Monroe, A.D., Lessne, C.W., Rakowski, W., Prokhorov, A</w:t>
      </w:r>
      <w:r w:rsidRPr="005A464E">
        <w:rPr>
          <w:rFonts w:asciiTheme="minorHAnsi" w:hAnsiTheme="minorHAnsi" w:cstheme="minorHAnsi"/>
          <w:shd w:val="clear" w:color="auto" w:fill="FFFFFF"/>
          <w:lang w:val="en-US"/>
        </w:rPr>
        <w:t>.,</w:t>
      </w:r>
      <w:r w:rsidR="00267243">
        <w:rPr>
          <w:rFonts w:asciiTheme="minorHAnsi" w:hAnsiTheme="minorHAnsi" w:cstheme="minorHAnsi"/>
          <w:shd w:val="clear" w:color="auto" w:fill="FFFFFF"/>
          <w:lang w:val="en-US"/>
        </w:rPr>
        <w:t xml:space="preserve"> … &amp; </w:t>
      </w:r>
      <w:r w:rsidR="004C33EB" w:rsidRPr="005A464E">
        <w:rPr>
          <w:rFonts w:asciiTheme="minorHAnsi" w:hAnsiTheme="minorHAnsi" w:cstheme="minorHAnsi"/>
          <w:color w:val="000000"/>
          <w:shd w:val="clear" w:color="auto" w:fill="FFFFFF"/>
          <w:lang w:val="en-US"/>
        </w:rPr>
        <w:t>Dubé, C.E.</w:t>
      </w:r>
      <w:r w:rsidR="004C33EB" w:rsidRPr="005A464E">
        <w:rPr>
          <w:rFonts w:asciiTheme="minorHAnsi" w:hAnsiTheme="minorHAnsi" w:cstheme="minorHAnsi"/>
          <w:lang w:val="en-US"/>
        </w:rPr>
        <w:t xml:space="preserve"> </w:t>
      </w:r>
      <w:r w:rsidRPr="005A464E">
        <w:rPr>
          <w:rFonts w:asciiTheme="minorHAnsi" w:hAnsiTheme="minorHAnsi" w:cstheme="minorHAnsi"/>
          <w:lang w:val="en-US"/>
        </w:rPr>
        <w:t xml:space="preserve">(1998). A population-based survey of physician smoking cessation counseling practices. </w:t>
      </w:r>
      <w:r w:rsidRPr="005A464E">
        <w:rPr>
          <w:rFonts w:asciiTheme="minorHAnsi" w:hAnsiTheme="minorHAnsi" w:cstheme="minorHAnsi"/>
          <w:i/>
          <w:lang w:val="en-US"/>
        </w:rPr>
        <w:t>Preventive Medicine</w:t>
      </w:r>
      <w:r w:rsidRPr="005A464E">
        <w:rPr>
          <w:rFonts w:asciiTheme="minorHAnsi" w:hAnsiTheme="minorHAnsi" w:cstheme="minorHAnsi"/>
          <w:lang w:val="en-US"/>
        </w:rPr>
        <w:t>,</w:t>
      </w:r>
      <w:r w:rsidR="001E16D7" w:rsidRPr="005A464E">
        <w:rPr>
          <w:rFonts w:asciiTheme="minorHAnsi" w:hAnsiTheme="minorHAnsi" w:cstheme="minorHAnsi"/>
          <w:lang w:val="en-US"/>
        </w:rPr>
        <w:t xml:space="preserve"> </w:t>
      </w:r>
      <w:r w:rsidRPr="00353037">
        <w:rPr>
          <w:rFonts w:asciiTheme="minorHAnsi" w:hAnsiTheme="minorHAnsi" w:cstheme="minorHAnsi"/>
          <w:i/>
          <w:lang w:val="en-US"/>
        </w:rPr>
        <w:t>27</w:t>
      </w:r>
      <w:r w:rsidRPr="005A464E">
        <w:rPr>
          <w:rFonts w:asciiTheme="minorHAnsi" w:hAnsiTheme="minorHAnsi" w:cstheme="minorHAnsi"/>
          <w:lang w:val="en-US"/>
        </w:rPr>
        <w:t xml:space="preserve">, 720-729. </w:t>
      </w:r>
      <w:r w:rsidR="00292B29" w:rsidRPr="005A464E">
        <w:rPr>
          <w:rFonts w:asciiTheme="minorHAnsi" w:hAnsiTheme="minorHAnsi" w:cstheme="minorHAnsi"/>
          <w:lang w:val="en-US"/>
        </w:rPr>
        <w:t>DOI</w:t>
      </w:r>
      <w:r w:rsidRPr="005A464E">
        <w:rPr>
          <w:rFonts w:asciiTheme="minorHAnsi" w:hAnsiTheme="minorHAnsi" w:cstheme="minorHAnsi"/>
          <w:lang w:val="en-US"/>
        </w:rPr>
        <w:t>:</w:t>
      </w:r>
      <w:hyperlink r:id="rId194" w:history="1">
        <w:r w:rsidRPr="005A464E">
          <w:rPr>
            <w:rStyle w:val="-"/>
            <w:rFonts w:asciiTheme="minorHAnsi" w:hAnsiTheme="minorHAnsi" w:cstheme="minorHAnsi"/>
            <w:color w:val="auto"/>
            <w:u w:val="none"/>
            <w:lang w:val="en-US"/>
          </w:rPr>
          <w:t>10.1006/pmed.1998.0350</w:t>
        </w:r>
      </w:hyperlink>
      <w:r w:rsidR="004C33EB"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Gomez, R., &amp; Fisher, J.W. (2003). Domains of spiritual well-being and development and validation of the spiritual well-being questionnaire. </w:t>
      </w:r>
      <w:r w:rsidRPr="005A464E">
        <w:rPr>
          <w:rFonts w:asciiTheme="minorHAnsi" w:eastAsia="Times New Roman" w:hAnsiTheme="minorHAnsi" w:cstheme="minorHAnsi"/>
          <w:i/>
          <w:lang w:val="en-US" w:eastAsia="el-GR"/>
        </w:rPr>
        <w:t>Personality and individual differences,</w:t>
      </w:r>
      <w:r w:rsidR="00353037">
        <w:rPr>
          <w:rFonts w:asciiTheme="minorHAnsi" w:eastAsia="Times New Roman" w:hAnsiTheme="minorHAnsi" w:cstheme="minorHAnsi"/>
          <w:lang w:val="en-US" w:eastAsia="el-GR"/>
        </w:rPr>
        <w:t xml:space="preserve"> </w:t>
      </w:r>
      <w:r w:rsidR="00353037" w:rsidRPr="00353037">
        <w:rPr>
          <w:rFonts w:asciiTheme="minorHAnsi" w:eastAsia="Times New Roman" w:hAnsiTheme="minorHAnsi" w:cstheme="minorHAnsi"/>
          <w:i/>
          <w:lang w:val="en-US" w:eastAsia="el-GR"/>
        </w:rPr>
        <w:t>35</w:t>
      </w:r>
      <w:r w:rsidRPr="005A464E">
        <w:rPr>
          <w:rFonts w:asciiTheme="minorHAnsi" w:eastAsia="Times New Roman" w:hAnsiTheme="minorHAnsi" w:cstheme="minorHAnsi"/>
          <w:lang w:val="en-US" w:eastAsia="el-GR"/>
        </w:rPr>
        <w:t>, 1975-1991.</w:t>
      </w:r>
      <w:r w:rsidRPr="005A464E">
        <w:rPr>
          <w:rFonts w:asciiTheme="minorHAnsi" w:hAnsiTheme="minorHAnsi" w:cstheme="minorHAnsi"/>
          <w:lang w:val="en-US"/>
        </w:rPr>
        <w:t xml:space="preserve"> </w:t>
      </w:r>
      <w:hyperlink r:id="rId195" w:tgtFrame="doilink" w:history="1">
        <w:r w:rsidRPr="005A464E">
          <w:rPr>
            <w:rStyle w:val="-"/>
            <w:rFonts w:asciiTheme="minorHAnsi" w:hAnsiTheme="minorHAnsi" w:cstheme="minorHAnsi"/>
            <w:color w:val="auto"/>
            <w:u w:val="none"/>
            <w:bdr w:val="none" w:sz="0" w:space="0" w:color="auto" w:frame="1"/>
            <w:shd w:val="clear" w:color="auto" w:fill="FFFFFF"/>
            <w:lang w:val="en-US"/>
          </w:rPr>
          <w:t>http://</w:t>
        </w:r>
        <w:r w:rsidR="00292B29" w:rsidRPr="005A464E">
          <w:rPr>
            <w:rStyle w:val="-"/>
            <w:rFonts w:asciiTheme="minorHAnsi" w:hAnsiTheme="minorHAnsi" w:cstheme="minorHAnsi"/>
            <w:color w:val="auto"/>
            <w:u w:val="none"/>
            <w:bdr w:val="none" w:sz="0" w:space="0" w:color="auto" w:frame="1"/>
            <w:shd w:val="clear" w:color="auto" w:fill="FFFFFF"/>
            <w:lang w:val="en-US"/>
          </w:rPr>
          <w:t>DOI</w:t>
        </w:r>
        <w:r w:rsidRPr="005A464E">
          <w:rPr>
            <w:rStyle w:val="-"/>
            <w:rFonts w:asciiTheme="minorHAnsi" w:hAnsiTheme="minorHAnsi" w:cstheme="minorHAnsi"/>
            <w:color w:val="auto"/>
            <w:u w:val="none"/>
            <w:bdr w:val="none" w:sz="0" w:space="0" w:color="auto" w:frame="1"/>
            <w:shd w:val="clear" w:color="auto" w:fill="FFFFFF"/>
            <w:lang w:val="en-US"/>
          </w:rPr>
          <w:t>.org/10.1016/S0191-8869(03)00045-X</w:t>
        </w:r>
      </w:hyperlink>
      <w:r w:rsidR="004C33EB"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Gordon, E.J., Leon, J.B., &amp; Sehgal, A.R. (2003). Why are hemodialysis treatments shortened and skipped?</w:t>
      </w:r>
      <w:r w:rsidR="001E16D7" w:rsidRPr="005A464E">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 xml:space="preserve">Development of a taxonomy and relationship to patient subgroups. </w:t>
      </w:r>
      <w:r w:rsidRPr="005A464E">
        <w:rPr>
          <w:rFonts w:asciiTheme="minorHAnsi" w:eastAsia="Times New Roman" w:hAnsiTheme="minorHAnsi" w:cstheme="minorHAnsi"/>
          <w:i/>
          <w:lang w:val="en-US" w:eastAsia="el-GR"/>
        </w:rPr>
        <w:t>Nephrology Nursing Journal</w:t>
      </w:r>
      <w:r w:rsidRPr="005A464E">
        <w:rPr>
          <w:rFonts w:asciiTheme="minorHAnsi" w:eastAsia="Times New Roman" w:hAnsiTheme="minorHAnsi" w:cstheme="minorHAnsi"/>
          <w:lang w:val="en-US" w:eastAsia="el-GR"/>
        </w:rPr>
        <w:t>,</w:t>
      </w:r>
      <w:r w:rsidR="001E16D7" w:rsidRPr="005A464E">
        <w:rPr>
          <w:rFonts w:asciiTheme="minorHAnsi" w:eastAsia="Times New Roman" w:hAnsiTheme="minorHAnsi" w:cstheme="minorHAnsi"/>
          <w:lang w:val="en-US" w:eastAsia="el-GR"/>
        </w:rPr>
        <w:t xml:space="preserve"> </w:t>
      </w:r>
      <w:r w:rsidR="00353037" w:rsidRPr="00353037">
        <w:rPr>
          <w:rFonts w:asciiTheme="minorHAnsi" w:eastAsia="Times New Roman" w:hAnsiTheme="minorHAnsi" w:cstheme="minorHAnsi"/>
          <w:i/>
          <w:lang w:val="en-US" w:eastAsia="el-GR"/>
        </w:rPr>
        <w:t>30</w:t>
      </w:r>
      <w:r w:rsidRPr="00353037">
        <w:rPr>
          <w:rFonts w:asciiTheme="minorHAnsi" w:eastAsia="Times New Roman" w:hAnsiTheme="minorHAnsi" w:cstheme="minorHAnsi"/>
          <w:i/>
          <w:lang w:val="en-US" w:eastAsia="el-GR"/>
        </w:rPr>
        <w:t>,</w:t>
      </w:r>
      <w:r w:rsidRPr="005A464E">
        <w:rPr>
          <w:rFonts w:asciiTheme="minorHAnsi" w:eastAsia="Times New Roman" w:hAnsiTheme="minorHAnsi" w:cstheme="minorHAnsi"/>
          <w:lang w:val="en-US" w:eastAsia="el-GR"/>
        </w:rPr>
        <w:t xml:space="preserve"> 209-217.</w:t>
      </w:r>
    </w:p>
    <w:p w:rsidR="003C410F" w:rsidRPr="005A464E" w:rsidRDefault="003C410F" w:rsidP="005A464E">
      <w:pPr>
        <w:shd w:val="clear" w:color="auto" w:fill="FFFFFF"/>
        <w:spacing w:line="360" w:lineRule="auto"/>
        <w:jc w:val="both"/>
        <w:rPr>
          <w:rFonts w:cstheme="minorHAnsi"/>
          <w:sz w:val="24"/>
          <w:szCs w:val="24"/>
          <w:lang w:val="en-US"/>
        </w:rPr>
      </w:pPr>
      <w:r w:rsidRPr="005A464E">
        <w:rPr>
          <w:rFonts w:cstheme="minorHAnsi"/>
          <w:sz w:val="24"/>
          <w:szCs w:val="24"/>
          <w:shd w:val="clear" w:color="auto" w:fill="FFFFFF"/>
          <w:lang w:val="en-US"/>
        </w:rPr>
        <w:t xml:space="preserve">Gottschalk, C.W., </w:t>
      </w:r>
      <w:r w:rsidR="004C33EB" w:rsidRPr="005A464E">
        <w:rPr>
          <w:rFonts w:cstheme="minorHAnsi"/>
          <w:sz w:val="24"/>
          <w:szCs w:val="24"/>
          <w:shd w:val="clear" w:color="auto" w:fill="FFFFFF"/>
          <w:lang w:val="en-US"/>
        </w:rPr>
        <w:t xml:space="preserve">&amp; </w:t>
      </w:r>
      <w:r w:rsidRPr="005A464E">
        <w:rPr>
          <w:rFonts w:cstheme="minorHAnsi"/>
          <w:sz w:val="24"/>
          <w:szCs w:val="24"/>
          <w:shd w:val="clear" w:color="auto" w:fill="FFFFFF"/>
          <w:lang w:val="en-US"/>
        </w:rPr>
        <w:t xml:space="preserve">Fellner, S.K. (1997). History of the science of dialysis. </w:t>
      </w:r>
      <w:r w:rsidRPr="005A464E">
        <w:rPr>
          <w:rStyle w:val="jrnl"/>
          <w:rFonts w:cstheme="minorHAnsi"/>
          <w:i/>
          <w:sz w:val="24"/>
          <w:szCs w:val="24"/>
          <w:shd w:val="clear" w:color="auto" w:fill="FFFFFF"/>
          <w:lang w:val="en-US"/>
        </w:rPr>
        <w:t>American Journal of Nephrology</w:t>
      </w:r>
      <w:r w:rsidRPr="005A464E">
        <w:rPr>
          <w:rFonts w:cstheme="minorHAnsi"/>
          <w:i/>
          <w:sz w:val="24"/>
          <w:szCs w:val="24"/>
          <w:shd w:val="clear" w:color="auto" w:fill="FFFFFF"/>
          <w:lang w:val="en-US"/>
        </w:rPr>
        <w:t>,</w:t>
      </w:r>
      <w:r w:rsidR="00353037">
        <w:rPr>
          <w:rFonts w:cstheme="minorHAnsi"/>
          <w:sz w:val="24"/>
          <w:szCs w:val="24"/>
          <w:shd w:val="clear" w:color="auto" w:fill="FFFFFF"/>
          <w:lang w:val="en-US"/>
        </w:rPr>
        <w:t xml:space="preserve"> </w:t>
      </w:r>
      <w:r w:rsidR="00353037" w:rsidRPr="00353037">
        <w:rPr>
          <w:rFonts w:cstheme="minorHAnsi"/>
          <w:i/>
          <w:sz w:val="24"/>
          <w:szCs w:val="24"/>
          <w:shd w:val="clear" w:color="auto" w:fill="FFFFFF"/>
          <w:lang w:val="en-US"/>
        </w:rPr>
        <w:t>17</w:t>
      </w:r>
      <w:r w:rsidRPr="005A464E">
        <w:rPr>
          <w:rFonts w:cstheme="minorHAnsi"/>
          <w:sz w:val="24"/>
          <w:szCs w:val="24"/>
          <w:shd w:val="clear" w:color="auto" w:fill="FFFFFF"/>
          <w:lang w:val="en-US"/>
        </w:rPr>
        <w:t>, 289-298.</w:t>
      </w:r>
      <w:r w:rsidRPr="005A464E">
        <w:rPr>
          <w:rFonts w:cstheme="minorHAnsi"/>
          <w:sz w:val="24"/>
          <w:szCs w:val="24"/>
          <w:lang w:val="en-US"/>
        </w:rPr>
        <w:t xml:space="preserve"> </w:t>
      </w:r>
      <w:hyperlink r:id="rId196" w:history="1">
        <w:r w:rsidRPr="005A464E">
          <w:rPr>
            <w:rStyle w:val="-"/>
            <w:rFonts w:cstheme="minorHAnsi"/>
            <w:color w:val="auto"/>
            <w:sz w:val="24"/>
            <w:szCs w:val="24"/>
            <w:u w:val="none"/>
            <w:lang w:val="en-US"/>
          </w:rPr>
          <w:t>https://</w:t>
        </w:r>
        <w:r w:rsidR="00292B29" w:rsidRPr="005A464E">
          <w:rPr>
            <w:rStyle w:val="-"/>
            <w:rFonts w:cstheme="minorHAnsi"/>
            <w:color w:val="auto"/>
            <w:sz w:val="24"/>
            <w:szCs w:val="24"/>
            <w:u w:val="none"/>
            <w:lang w:val="en-US"/>
          </w:rPr>
          <w:t>DOI</w:t>
        </w:r>
        <w:r w:rsidRPr="005A464E">
          <w:rPr>
            <w:rStyle w:val="-"/>
            <w:rFonts w:cstheme="minorHAnsi"/>
            <w:color w:val="auto"/>
            <w:sz w:val="24"/>
            <w:szCs w:val="24"/>
            <w:u w:val="none"/>
            <w:lang w:val="en-US"/>
          </w:rPr>
          <w:t>.org/10.1159/000169116</w:t>
        </w:r>
      </w:hyperlink>
      <w:r w:rsidR="004C33EB" w:rsidRPr="005A464E">
        <w:rPr>
          <w:sz w:val="24"/>
          <w:szCs w:val="24"/>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Grapsa, I., &amp; Oreopoulos, D</w:t>
      </w:r>
      <w:r w:rsidR="004C33EB" w:rsidRPr="005A464E">
        <w:rPr>
          <w:rFonts w:asciiTheme="minorHAnsi" w:hAnsiTheme="minorHAnsi" w:cstheme="minorHAnsi"/>
          <w:lang w:val="en-US"/>
        </w:rPr>
        <w:t>.</w:t>
      </w:r>
      <w:r w:rsidRPr="005A464E">
        <w:rPr>
          <w:rFonts w:asciiTheme="minorHAnsi" w:hAnsiTheme="minorHAnsi" w:cstheme="minorHAnsi"/>
          <w:lang w:val="en-US"/>
        </w:rPr>
        <w:t xml:space="preserve">G. (1996). Practical ethical issues of dialysis in the elderly. </w:t>
      </w:r>
      <w:r w:rsidRPr="005A464E">
        <w:rPr>
          <w:rFonts w:asciiTheme="minorHAnsi" w:hAnsiTheme="minorHAnsi" w:cstheme="minorHAnsi"/>
          <w:i/>
          <w:iCs/>
          <w:lang w:val="en-US"/>
        </w:rPr>
        <w:t>Seminar on Nephrology</w:t>
      </w:r>
      <w:r w:rsidRPr="00353037">
        <w:rPr>
          <w:rFonts w:asciiTheme="minorHAnsi" w:hAnsiTheme="minorHAnsi" w:cstheme="minorHAnsi"/>
          <w:i/>
          <w:iCs/>
          <w:lang w:val="en-US"/>
        </w:rPr>
        <w:t>, 16</w:t>
      </w:r>
      <w:r w:rsidRPr="00353037">
        <w:rPr>
          <w:rFonts w:asciiTheme="minorHAnsi" w:hAnsiTheme="minorHAnsi" w:cstheme="minorHAnsi"/>
          <w:i/>
          <w:lang w:val="en-US"/>
        </w:rPr>
        <w:t>,</w:t>
      </w:r>
      <w:r w:rsidRPr="005A464E">
        <w:rPr>
          <w:rFonts w:asciiTheme="minorHAnsi" w:hAnsiTheme="minorHAnsi" w:cstheme="minorHAnsi"/>
          <w:lang w:val="en-US"/>
        </w:rPr>
        <w:t xml:space="preserve"> 339-352</w:t>
      </w:r>
      <w:r w:rsidR="004C33EB" w:rsidRPr="005A464E">
        <w:rPr>
          <w:rFonts w:asciiTheme="minorHAnsi" w:hAnsiTheme="minorHAnsi" w:cstheme="minorHAnsi"/>
          <w:lang w:val="en-US"/>
        </w:rPr>
        <w:t>.</w:t>
      </w:r>
    </w:p>
    <w:p w:rsidR="004C33EB"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Gray, R., Wykes, T., Gournay, K. (2002). From compliance to concordance: a review of the literature on interventions to enhance compliance with antipsychotic medication. </w:t>
      </w:r>
      <w:r w:rsidRPr="005A464E">
        <w:rPr>
          <w:rFonts w:asciiTheme="minorHAnsi" w:hAnsiTheme="minorHAnsi" w:cstheme="minorHAnsi"/>
          <w:i/>
          <w:lang w:val="en-US"/>
        </w:rPr>
        <w:t>Journal of Psychiatry &amp; Mental Health Nursing</w:t>
      </w:r>
      <w:r w:rsidRPr="00353037">
        <w:rPr>
          <w:rFonts w:asciiTheme="minorHAnsi" w:hAnsiTheme="minorHAnsi" w:cstheme="minorHAnsi"/>
          <w:i/>
          <w:lang w:val="en-US"/>
        </w:rPr>
        <w:t>,</w:t>
      </w:r>
      <w:r w:rsidR="00353037" w:rsidRPr="00353037">
        <w:rPr>
          <w:rFonts w:asciiTheme="minorHAnsi" w:hAnsiTheme="minorHAnsi" w:cstheme="minorHAnsi"/>
          <w:i/>
          <w:lang w:val="en-US"/>
        </w:rPr>
        <w:t xml:space="preserve"> 9,</w:t>
      </w:r>
      <w:r w:rsidR="00353037">
        <w:rPr>
          <w:rFonts w:asciiTheme="minorHAnsi" w:hAnsiTheme="minorHAnsi" w:cstheme="minorHAnsi"/>
          <w:i/>
          <w:lang w:val="en-US"/>
        </w:rPr>
        <w:t xml:space="preserve"> </w:t>
      </w:r>
      <w:r w:rsidRPr="005A464E">
        <w:rPr>
          <w:rFonts w:asciiTheme="minorHAnsi" w:hAnsiTheme="minorHAnsi" w:cstheme="minorHAnsi"/>
          <w:lang w:val="en-US"/>
        </w:rPr>
        <w:t>277-</w:t>
      </w:r>
      <w:r w:rsidR="00353037">
        <w:rPr>
          <w:rFonts w:asciiTheme="minorHAnsi" w:hAnsiTheme="minorHAnsi" w:cstheme="minorHAnsi"/>
          <w:lang w:val="en-US"/>
        </w:rPr>
        <w:t>2</w:t>
      </w:r>
      <w:r w:rsidRPr="005A464E">
        <w:rPr>
          <w:rFonts w:asciiTheme="minorHAnsi" w:hAnsiTheme="minorHAnsi" w:cstheme="minorHAnsi"/>
          <w:lang w:val="en-US"/>
        </w:rPr>
        <w:t xml:space="preserve">84. </w:t>
      </w:r>
      <w:r w:rsidR="00292B29" w:rsidRPr="005A464E">
        <w:rPr>
          <w:rFonts w:asciiTheme="minorHAnsi" w:hAnsiTheme="minorHAnsi" w:cstheme="minorHAnsi"/>
          <w:lang w:val="en-US"/>
        </w:rPr>
        <w:t>DOI</w:t>
      </w:r>
      <w:r w:rsidR="004C33EB" w:rsidRPr="005A464E">
        <w:rPr>
          <w:rFonts w:asciiTheme="minorHAnsi" w:hAnsiTheme="minorHAnsi" w:cstheme="minorHAnsi"/>
          <w:lang w:val="en-US"/>
        </w:rPr>
        <w:t>:10.1046/j.1365-2850.2002.00474.x.</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Gurklis, J.A, &amp; Menke, E.M. (1988). Identification of stressors and use of coping methods in chronic hemodialysis patients. </w:t>
      </w:r>
      <w:r w:rsidRPr="005A464E">
        <w:rPr>
          <w:rFonts w:asciiTheme="minorHAnsi" w:hAnsiTheme="minorHAnsi" w:cstheme="minorHAnsi"/>
          <w:i/>
          <w:iCs/>
          <w:lang w:val="en-US"/>
        </w:rPr>
        <w:t>Nursing Research,</w:t>
      </w:r>
      <w:r w:rsidRPr="005A464E">
        <w:rPr>
          <w:rFonts w:asciiTheme="minorHAnsi" w:hAnsiTheme="minorHAnsi" w:cstheme="minorHAnsi"/>
          <w:iCs/>
          <w:lang w:val="en-US"/>
        </w:rPr>
        <w:t xml:space="preserve"> </w:t>
      </w:r>
      <w:r w:rsidR="00353037" w:rsidRPr="00353037">
        <w:rPr>
          <w:rFonts w:asciiTheme="minorHAnsi" w:hAnsiTheme="minorHAnsi" w:cstheme="minorHAnsi"/>
          <w:i/>
          <w:lang w:val="en-US"/>
        </w:rPr>
        <w:t>37</w:t>
      </w:r>
      <w:r w:rsidRPr="005A464E">
        <w:rPr>
          <w:rFonts w:asciiTheme="minorHAnsi" w:hAnsiTheme="minorHAnsi" w:cstheme="minorHAnsi"/>
          <w:lang w:val="en-US"/>
        </w:rPr>
        <w:t>, 236-239, 248.</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Gurklis, J.A, &amp; Menke, E.M. (1995). Chronic hemodialysis patients' perceptions of stress, coping, and social support</w:t>
      </w:r>
      <w:r w:rsidRPr="005A464E">
        <w:rPr>
          <w:rFonts w:asciiTheme="minorHAnsi" w:hAnsiTheme="minorHAnsi" w:cstheme="minorHAnsi"/>
          <w:i/>
          <w:lang w:val="en-US"/>
        </w:rPr>
        <w:t>. ANNA Journal</w:t>
      </w:r>
      <w:r w:rsidR="00353037" w:rsidRPr="00353037">
        <w:rPr>
          <w:rFonts w:asciiTheme="minorHAnsi" w:hAnsiTheme="minorHAnsi" w:cstheme="minorHAnsi"/>
          <w:i/>
          <w:lang w:val="en-US"/>
        </w:rPr>
        <w:t>, 22</w:t>
      </w:r>
      <w:r w:rsidRPr="00353037">
        <w:rPr>
          <w:rFonts w:asciiTheme="minorHAnsi" w:hAnsiTheme="minorHAnsi" w:cstheme="minorHAnsi"/>
          <w:i/>
          <w:lang w:val="en-US"/>
        </w:rPr>
        <w:t>,</w:t>
      </w:r>
      <w:r w:rsidRPr="005A464E">
        <w:rPr>
          <w:rFonts w:asciiTheme="minorHAnsi" w:hAnsiTheme="minorHAnsi" w:cstheme="minorHAnsi"/>
          <w:lang w:val="en-US"/>
        </w:rPr>
        <w:t xml:space="preserve"> 381-388.</w:t>
      </w:r>
    </w:p>
    <w:p w:rsidR="004C33EB"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Guyatt, G.H., Feeny, D.H., &amp; Patrick, D.L. (1993). Measuring health-related quality of life. </w:t>
      </w:r>
      <w:r w:rsidRPr="005A464E">
        <w:rPr>
          <w:rFonts w:asciiTheme="minorHAnsi" w:hAnsiTheme="minorHAnsi" w:cstheme="minorHAnsi"/>
          <w:i/>
          <w:lang w:val="en-US"/>
        </w:rPr>
        <w:t>Annals of Internal Medicine</w:t>
      </w:r>
      <w:r w:rsidR="00156254">
        <w:rPr>
          <w:rFonts w:asciiTheme="minorHAnsi" w:hAnsiTheme="minorHAnsi" w:cstheme="minorHAnsi"/>
          <w:lang w:val="en-US"/>
        </w:rPr>
        <w:t xml:space="preserve">, </w:t>
      </w:r>
      <w:r w:rsidR="00156254" w:rsidRPr="00156254">
        <w:rPr>
          <w:rFonts w:asciiTheme="minorHAnsi" w:hAnsiTheme="minorHAnsi" w:cstheme="minorHAnsi"/>
          <w:i/>
          <w:lang w:val="en-US"/>
        </w:rPr>
        <w:t>118</w:t>
      </w:r>
      <w:r w:rsidRPr="005A464E">
        <w:rPr>
          <w:rFonts w:asciiTheme="minorHAnsi" w:hAnsiTheme="minorHAnsi" w:cstheme="minorHAnsi"/>
          <w:lang w:val="en-US"/>
        </w:rPr>
        <w:t>, 622-</w:t>
      </w:r>
      <w:r w:rsidR="003F7269" w:rsidRPr="005A464E">
        <w:rPr>
          <w:rFonts w:asciiTheme="minorHAnsi" w:hAnsiTheme="minorHAnsi" w:cstheme="minorHAnsi"/>
          <w:lang w:val="en-US"/>
        </w:rPr>
        <w:t>62</w:t>
      </w:r>
      <w:r w:rsidRPr="005A464E">
        <w:rPr>
          <w:rFonts w:asciiTheme="minorHAnsi" w:hAnsiTheme="minorHAnsi" w:cstheme="minorHAnsi"/>
          <w:lang w:val="en-US"/>
        </w:rPr>
        <w:t>9</w:t>
      </w:r>
      <w:r w:rsidR="004C33EB" w:rsidRPr="005A464E">
        <w:rPr>
          <w:rFonts w:asciiTheme="minorHAnsi" w:hAnsiTheme="minorHAnsi" w:cstheme="minorHAnsi"/>
          <w:lang w:val="en-US"/>
        </w:rPr>
        <w:t>.</w:t>
      </w:r>
      <w:r w:rsidR="003F7269" w:rsidRPr="005A464E">
        <w:rPr>
          <w:rFonts w:asciiTheme="minorHAnsi" w:hAnsiTheme="minorHAnsi" w:cstheme="minorHAnsi"/>
          <w:lang w:val="en-US"/>
        </w:rPr>
        <w:t xml:space="preserve"> </w:t>
      </w:r>
      <w:r w:rsidR="00292B29" w:rsidRPr="005A464E">
        <w:rPr>
          <w:rFonts w:asciiTheme="minorHAnsi" w:hAnsiTheme="minorHAnsi" w:cstheme="minorHAnsi"/>
          <w:lang w:val="en-US"/>
        </w:rPr>
        <w:t>DOI</w:t>
      </w:r>
      <w:r w:rsidR="003F7269" w:rsidRPr="005A464E">
        <w:rPr>
          <w:rFonts w:asciiTheme="minorHAnsi" w:hAnsiTheme="minorHAnsi" w:cstheme="minorHAnsi"/>
          <w:lang w:val="en-US"/>
        </w:rPr>
        <w:t>: 10.7326/0003-4819-118-8-199304150-00009.</w:t>
      </w:r>
    </w:p>
    <w:p w:rsidR="003C410F" w:rsidRPr="005A464E" w:rsidRDefault="003F7269"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Ha, J.</w:t>
      </w:r>
      <w:r w:rsidR="00516D72">
        <w:rPr>
          <w:rFonts w:asciiTheme="minorHAnsi" w:hAnsiTheme="minorHAnsi" w:cstheme="minorHAnsi"/>
          <w:lang w:val="en-US"/>
        </w:rPr>
        <w:t>F., &amp;</w:t>
      </w:r>
      <w:r w:rsidR="003C410F" w:rsidRPr="005A464E">
        <w:rPr>
          <w:rFonts w:asciiTheme="minorHAnsi" w:hAnsiTheme="minorHAnsi" w:cstheme="minorHAnsi"/>
          <w:lang w:val="en-US"/>
        </w:rPr>
        <w:t xml:space="preserve"> Longnecker</w:t>
      </w:r>
      <w:r w:rsidR="0078495A">
        <w:rPr>
          <w:rFonts w:asciiTheme="minorHAnsi" w:hAnsiTheme="minorHAnsi" w:cstheme="minorHAnsi"/>
          <w:lang w:val="en-US"/>
        </w:rPr>
        <w:t xml:space="preserve"> </w:t>
      </w:r>
      <w:r w:rsidR="003C410F" w:rsidRPr="005A464E">
        <w:rPr>
          <w:rFonts w:asciiTheme="minorHAnsi" w:hAnsiTheme="minorHAnsi" w:cstheme="minorHAnsi"/>
          <w:lang w:val="en-US"/>
        </w:rPr>
        <w:t>N. (2010).</w:t>
      </w:r>
      <w:r w:rsidR="0078495A">
        <w:rPr>
          <w:rFonts w:asciiTheme="minorHAnsi" w:hAnsiTheme="minorHAnsi" w:cstheme="minorHAnsi"/>
          <w:lang w:val="en-US"/>
        </w:rPr>
        <w:t xml:space="preserve"> </w:t>
      </w:r>
      <w:r w:rsidR="003C410F" w:rsidRPr="005A464E">
        <w:rPr>
          <w:rFonts w:asciiTheme="minorHAnsi" w:hAnsiTheme="minorHAnsi" w:cstheme="minorHAnsi"/>
          <w:lang w:val="en-US"/>
        </w:rPr>
        <w:t>Doctor-</w:t>
      </w:r>
      <w:r w:rsidRPr="005A464E">
        <w:rPr>
          <w:rFonts w:asciiTheme="minorHAnsi" w:hAnsiTheme="minorHAnsi" w:cstheme="minorHAnsi"/>
          <w:lang w:val="en-US"/>
        </w:rPr>
        <w:t>patient communication: A r</w:t>
      </w:r>
      <w:r w:rsidR="003C410F" w:rsidRPr="005A464E">
        <w:rPr>
          <w:rFonts w:asciiTheme="minorHAnsi" w:hAnsiTheme="minorHAnsi" w:cstheme="minorHAnsi"/>
          <w:lang w:val="en-US"/>
        </w:rPr>
        <w:t xml:space="preserve">eview. </w:t>
      </w:r>
      <w:r w:rsidR="003C410F" w:rsidRPr="005A464E">
        <w:rPr>
          <w:rFonts w:asciiTheme="minorHAnsi" w:hAnsiTheme="minorHAnsi" w:cstheme="minorHAnsi"/>
          <w:i/>
          <w:lang w:val="en-US"/>
        </w:rPr>
        <w:t>The Ochsner Journal</w:t>
      </w:r>
      <w:r w:rsidR="00156254">
        <w:rPr>
          <w:rFonts w:asciiTheme="minorHAnsi" w:hAnsiTheme="minorHAnsi" w:cstheme="minorHAnsi"/>
          <w:lang w:val="en-US"/>
        </w:rPr>
        <w:t>,</w:t>
      </w:r>
      <w:r w:rsidR="00156254" w:rsidRPr="00156254">
        <w:rPr>
          <w:rFonts w:asciiTheme="minorHAnsi" w:hAnsiTheme="minorHAnsi" w:cstheme="minorHAnsi"/>
          <w:i/>
          <w:lang w:val="en-US"/>
        </w:rPr>
        <w:t xml:space="preserve"> 10</w:t>
      </w:r>
      <w:r w:rsidR="003C410F" w:rsidRPr="005A464E">
        <w:rPr>
          <w:rFonts w:asciiTheme="minorHAnsi" w:hAnsiTheme="minorHAnsi" w:cstheme="minorHAnsi"/>
          <w:lang w:val="en-US"/>
        </w:rPr>
        <w:t>, 38–43.</w:t>
      </w:r>
    </w:p>
    <w:p w:rsidR="007A490B" w:rsidRPr="005A464E" w:rsidRDefault="003F7269"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Haas, G. (</w:t>
      </w:r>
      <w:r w:rsidR="003C410F" w:rsidRPr="005A464E">
        <w:rPr>
          <w:rFonts w:asciiTheme="minorHAnsi" w:hAnsiTheme="minorHAnsi" w:cstheme="minorHAnsi"/>
          <w:lang w:val="en-US"/>
        </w:rPr>
        <w:t xml:space="preserve">1925). Experiments on cleansing of blood in vivo by means of dialysis. </w:t>
      </w:r>
      <w:r w:rsidR="003C410F" w:rsidRPr="005A464E">
        <w:rPr>
          <w:rFonts w:asciiTheme="minorHAnsi" w:hAnsiTheme="minorHAnsi" w:cstheme="minorHAnsi"/>
          <w:i/>
          <w:lang w:val="en-US"/>
        </w:rPr>
        <w:t xml:space="preserve">Klin Wochenschr, </w:t>
      </w:r>
      <w:r w:rsidRPr="005A464E">
        <w:rPr>
          <w:rFonts w:asciiTheme="minorHAnsi" w:hAnsiTheme="minorHAnsi" w:cstheme="minorHAnsi"/>
          <w:lang w:val="en-US"/>
        </w:rPr>
        <w:t>13-18.</w:t>
      </w:r>
    </w:p>
    <w:p w:rsidR="007A490B" w:rsidRDefault="007A490B"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iCs/>
          <w:lang w:val="en-US"/>
        </w:rPr>
        <w:t>Hadjiconstantinou, V</w:t>
      </w:r>
      <w:r w:rsidRPr="005A464E">
        <w:rPr>
          <w:rFonts w:asciiTheme="minorHAnsi" w:hAnsiTheme="minorHAnsi" w:cstheme="minorHAnsi"/>
          <w:lang w:val="en-US"/>
        </w:rPr>
        <w:t xml:space="preserve">. (1995). Hellenic National Registry of patients on dialysis and kidney graft recipients. Purpose and targets. </w:t>
      </w:r>
      <w:r w:rsidRPr="005A464E">
        <w:rPr>
          <w:rFonts w:asciiTheme="minorHAnsi" w:hAnsiTheme="minorHAnsi" w:cstheme="minorHAnsi"/>
          <w:i/>
          <w:lang w:val="en-US"/>
        </w:rPr>
        <w:t>Hellenic Nephrology,</w:t>
      </w:r>
      <w:r w:rsidRPr="005A464E">
        <w:rPr>
          <w:rFonts w:asciiTheme="minorHAnsi" w:hAnsiTheme="minorHAnsi" w:cstheme="minorHAnsi"/>
          <w:lang w:val="en-US"/>
        </w:rPr>
        <w:t xml:space="preserve"> 7 (Suppl), 901-905</w:t>
      </w:r>
      <w:r w:rsidR="003F7269" w:rsidRPr="005A464E">
        <w:rPr>
          <w:rFonts w:asciiTheme="minorHAnsi" w:hAnsiTheme="minorHAnsi" w:cstheme="minorHAnsi"/>
          <w:lang w:val="en-US"/>
        </w:rPr>
        <w:t>.</w:t>
      </w:r>
    </w:p>
    <w:p w:rsidR="004853F5" w:rsidRPr="004853F5" w:rsidRDefault="004853F5" w:rsidP="005A464E">
      <w:pPr>
        <w:pStyle w:val="Web"/>
        <w:spacing w:after="166" w:line="360" w:lineRule="auto"/>
        <w:ind w:left="415" w:hanging="415"/>
        <w:jc w:val="both"/>
        <w:rPr>
          <w:rFonts w:asciiTheme="minorHAnsi" w:hAnsiTheme="minorHAnsi" w:cstheme="minorHAnsi"/>
          <w:lang w:val="en-US"/>
        </w:rPr>
      </w:pPr>
      <w:r w:rsidRPr="004853F5">
        <w:rPr>
          <w:rFonts w:asciiTheme="minorHAnsi" w:hAnsiTheme="minorHAnsi" w:cstheme="minorHAnsi"/>
          <w:shd w:val="clear" w:color="auto" w:fill="FFFFFF"/>
          <w:lang w:val="en-US"/>
        </w:rPr>
        <w:t>Haffner, D., &amp; Rees, L. (2016). Growth and puberty in chronic kidney disease. In </w:t>
      </w:r>
      <w:r w:rsidRPr="004853F5">
        <w:rPr>
          <w:rFonts w:asciiTheme="minorHAnsi" w:hAnsiTheme="minorHAnsi" w:cstheme="minorHAnsi"/>
          <w:i/>
          <w:iCs/>
          <w:shd w:val="clear" w:color="auto" w:fill="FFFFFF"/>
          <w:lang w:val="en-US"/>
        </w:rPr>
        <w:t>Pediatric Kidney Disease</w:t>
      </w:r>
      <w:r>
        <w:rPr>
          <w:rFonts w:asciiTheme="minorHAnsi" w:hAnsiTheme="minorHAnsi" w:cstheme="minorHAnsi"/>
          <w:shd w:val="clear" w:color="auto" w:fill="FFFFFF"/>
          <w:lang w:val="en-US"/>
        </w:rPr>
        <w:t>, pp. 1425-1454</w:t>
      </w:r>
      <w:r w:rsidRPr="004853F5">
        <w:rPr>
          <w:rFonts w:asciiTheme="minorHAnsi" w:hAnsiTheme="minorHAnsi" w:cstheme="minorHAnsi"/>
          <w:shd w:val="clear" w:color="auto" w:fill="FFFFFF"/>
          <w:lang w:val="en-US"/>
        </w:rPr>
        <w:t>. Springer Berlin Heidelberg.</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Hagren, B., Pettersen, I-M., Severinsson, E., Lutzen, K., &amp; Clyne, N. (2001). The haemodialysis machine as a lifeline: Experiences of suffering from end-stage renal disease. </w:t>
      </w:r>
      <w:r w:rsidRPr="005A464E">
        <w:rPr>
          <w:rFonts w:asciiTheme="minorHAnsi" w:hAnsiTheme="minorHAnsi" w:cstheme="minorHAnsi"/>
          <w:i/>
          <w:lang w:val="en-US"/>
        </w:rPr>
        <w:t>Journal of Advanced Nursing,</w:t>
      </w:r>
      <w:r w:rsidR="00156254">
        <w:rPr>
          <w:rFonts w:asciiTheme="minorHAnsi" w:hAnsiTheme="minorHAnsi" w:cstheme="minorHAnsi"/>
          <w:lang w:val="en-US"/>
        </w:rPr>
        <w:t xml:space="preserve"> </w:t>
      </w:r>
      <w:r w:rsidR="00156254" w:rsidRPr="00156254">
        <w:rPr>
          <w:rFonts w:asciiTheme="minorHAnsi" w:hAnsiTheme="minorHAnsi" w:cstheme="minorHAnsi"/>
          <w:i/>
          <w:lang w:val="en-US"/>
        </w:rPr>
        <w:t>34</w:t>
      </w:r>
      <w:r w:rsidRPr="005A464E">
        <w:rPr>
          <w:rFonts w:asciiTheme="minorHAnsi" w:hAnsiTheme="minorHAnsi" w:cstheme="minorHAnsi"/>
          <w:lang w:val="en-US"/>
        </w:rPr>
        <w:t>, 196-202.</w:t>
      </w:r>
      <w:r w:rsidRPr="005A464E">
        <w:rPr>
          <w:rStyle w:val="1Char"/>
          <w:rFonts w:asciiTheme="minorHAnsi" w:eastAsia="Calibri" w:hAnsiTheme="minorHAnsi" w:cstheme="minorHAnsi"/>
          <w:b w:val="0"/>
          <w:bCs w:val="0"/>
          <w:color w:val="auto"/>
          <w:sz w:val="24"/>
          <w:szCs w:val="24"/>
          <w:bdr w:val="none" w:sz="0" w:space="0" w:color="auto" w:frame="1"/>
          <w:shd w:val="clear" w:color="auto" w:fill="FFFFFF"/>
          <w:lang w:val="en-US"/>
        </w:rPr>
        <w:t xml:space="preserve"> </w:t>
      </w:r>
      <w:r w:rsidR="00292B29" w:rsidRPr="005A464E">
        <w:rPr>
          <w:rStyle w:val="article-headermeta-info-label"/>
          <w:rFonts w:asciiTheme="minorHAnsi" w:hAnsiTheme="minorHAnsi" w:cstheme="minorHAnsi"/>
          <w:bCs/>
          <w:bdr w:val="none" w:sz="0" w:space="0" w:color="auto" w:frame="1"/>
          <w:shd w:val="clear" w:color="auto" w:fill="FFFFFF"/>
          <w:lang w:val="en-US"/>
        </w:rPr>
        <w:t>DOI</w:t>
      </w:r>
      <w:r w:rsidRPr="005A464E">
        <w:rPr>
          <w:rStyle w:val="article-headermeta-info-label"/>
          <w:rFonts w:asciiTheme="minorHAnsi" w:hAnsiTheme="minorHAnsi" w:cstheme="minorHAnsi"/>
          <w:bCs/>
          <w:bdr w:val="none" w:sz="0" w:space="0" w:color="auto" w:frame="1"/>
          <w:shd w:val="clear" w:color="auto" w:fill="FFFFFF"/>
          <w:lang w:val="en-US"/>
        </w:rPr>
        <w:t>:</w:t>
      </w:r>
      <w:r w:rsidRPr="005A464E">
        <w:rPr>
          <w:rStyle w:val="apple-converted-space"/>
          <w:rFonts w:asciiTheme="minorHAnsi" w:hAnsiTheme="minorHAnsi" w:cstheme="minorHAnsi"/>
          <w:bCs/>
          <w:bdr w:val="none" w:sz="0" w:space="0" w:color="auto" w:frame="1"/>
          <w:shd w:val="clear" w:color="auto" w:fill="FFFFFF"/>
          <w:lang w:val="en-US"/>
        </w:rPr>
        <w:t> </w:t>
      </w:r>
      <w:r w:rsidRPr="005A464E">
        <w:rPr>
          <w:rStyle w:val="article-headermeta-info-data"/>
          <w:rFonts w:asciiTheme="minorHAnsi" w:hAnsiTheme="minorHAnsi" w:cstheme="minorHAnsi"/>
          <w:bdr w:val="none" w:sz="0" w:space="0" w:color="auto" w:frame="1"/>
          <w:shd w:val="clear" w:color="auto" w:fill="FFFFFF"/>
          <w:lang w:val="en-US"/>
        </w:rPr>
        <w:t>10.1046/j.1365-2648.2001.01745.x</w:t>
      </w:r>
      <w:r w:rsidR="003F7269" w:rsidRPr="005A464E">
        <w:rPr>
          <w:rStyle w:val="article-headermeta-info-data"/>
          <w:rFonts w:asciiTheme="minorHAnsi" w:hAnsiTheme="minorHAnsi" w:cstheme="minorHAnsi"/>
          <w:bdr w:val="none" w:sz="0" w:space="0" w:color="auto" w:frame="1"/>
          <w:shd w:val="clear" w:color="auto" w:fill="FFFFFF"/>
          <w:lang w:val="en-US"/>
        </w:rPr>
        <w:t>.</w:t>
      </w:r>
    </w:p>
    <w:p w:rsidR="00987B26"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Hain, D. (2008). Cognitive function and adherence of older adults undergoing haemodialysis. </w:t>
      </w:r>
      <w:r w:rsidRPr="005A464E">
        <w:rPr>
          <w:rFonts w:asciiTheme="minorHAnsi" w:hAnsiTheme="minorHAnsi" w:cstheme="minorHAnsi"/>
          <w:i/>
          <w:lang w:val="en-US"/>
        </w:rPr>
        <w:t>Nephrology Nursing Journal,</w:t>
      </w:r>
      <w:r w:rsidRPr="005A464E">
        <w:rPr>
          <w:rFonts w:asciiTheme="minorHAnsi" w:hAnsiTheme="minorHAnsi" w:cstheme="minorHAnsi"/>
          <w:lang w:val="en-US"/>
        </w:rPr>
        <w:t xml:space="preserve"> </w:t>
      </w:r>
      <w:r w:rsidRPr="00156254">
        <w:rPr>
          <w:rFonts w:asciiTheme="minorHAnsi" w:hAnsiTheme="minorHAnsi" w:cstheme="minorHAnsi"/>
          <w:i/>
          <w:lang w:val="en-US"/>
        </w:rPr>
        <w:t>35</w:t>
      </w:r>
      <w:r w:rsidR="00156254">
        <w:rPr>
          <w:rFonts w:asciiTheme="minorHAnsi" w:hAnsiTheme="minorHAnsi" w:cstheme="minorHAnsi"/>
          <w:lang w:val="en-US"/>
        </w:rPr>
        <w:t>,</w:t>
      </w:r>
      <w:r w:rsidRPr="005A464E">
        <w:rPr>
          <w:rFonts w:asciiTheme="minorHAnsi" w:hAnsiTheme="minorHAnsi" w:cstheme="minorHAnsi"/>
          <w:lang w:val="en-US"/>
        </w:rPr>
        <w:t xml:space="preserve"> 23-29</w:t>
      </w:r>
      <w:r w:rsidR="003F7269" w:rsidRPr="005A464E">
        <w:rPr>
          <w:rFonts w:asciiTheme="minorHAnsi" w:hAnsiTheme="minorHAnsi" w:cstheme="minorHAnsi"/>
          <w:lang w:val="en-US"/>
        </w:rPr>
        <w:t>.</w:t>
      </w:r>
    </w:p>
    <w:p w:rsidR="00987B26" w:rsidRPr="005A464E" w:rsidRDefault="00987B26"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Hain, D., Calvin, D.J., &amp; Simmons, D.E. Jr. (2009). CKD education: an evolving concept.</w:t>
      </w:r>
      <w:r w:rsidR="0078495A">
        <w:rPr>
          <w:rFonts w:asciiTheme="minorHAnsi" w:hAnsiTheme="minorHAnsi" w:cstheme="minorHAnsi"/>
          <w:lang w:val="en-US"/>
        </w:rPr>
        <w:t xml:space="preserve"> </w:t>
      </w:r>
      <w:r w:rsidRPr="005A464E">
        <w:rPr>
          <w:rFonts w:asciiTheme="minorHAnsi" w:hAnsiTheme="minorHAnsi" w:cstheme="minorHAnsi"/>
          <w:i/>
          <w:lang w:val="en-US"/>
        </w:rPr>
        <w:t>Nephrology Nursing Journal</w:t>
      </w:r>
      <w:r w:rsidR="00156254">
        <w:rPr>
          <w:rFonts w:asciiTheme="minorHAnsi" w:hAnsiTheme="minorHAnsi" w:cstheme="minorHAnsi"/>
          <w:lang w:val="en-US"/>
        </w:rPr>
        <w:t xml:space="preserve">, </w:t>
      </w:r>
      <w:r w:rsidR="00156254" w:rsidRPr="00156254">
        <w:rPr>
          <w:rFonts w:asciiTheme="minorHAnsi" w:hAnsiTheme="minorHAnsi" w:cstheme="minorHAnsi"/>
          <w:i/>
          <w:lang w:val="en-US"/>
        </w:rPr>
        <w:t>36</w:t>
      </w:r>
      <w:r w:rsidRPr="005A464E">
        <w:rPr>
          <w:rFonts w:asciiTheme="minorHAnsi" w:hAnsiTheme="minorHAnsi" w:cstheme="minorHAnsi"/>
          <w:lang w:val="en-US"/>
        </w:rPr>
        <w:t>,317-319.</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Hajjar, E.R., Cafiero, A.C., &amp; Hanlon, J.T. (2007).</w:t>
      </w:r>
      <w:r w:rsidR="0078495A">
        <w:rPr>
          <w:rFonts w:asciiTheme="minorHAnsi" w:hAnsiTheme="minorHAnsi" w:cstheme="minorHAnsi"/>
          <w:lang w:val="en-US"/>
        </w:rPr>
        <w:t xml:space="preserve"> </w:t>
      </w:r>
      <w:r w:rsidRPr="005A464E">
        <w:rPr>
          <w:rFonts w:asciiTheme="minorHAnsi" w:hAnsiTheme="minorHAnsi" w:cstheme="minorHAnsi"/>
          <w:lang w:val="en-US"/>
        </w:rPr>
        <w:t xml:space="preserve">Polypharmacy in elderly patients. </w:t>
      </w:r>
      <w:r w:rsidRPr="005A464E">
        <w:rPr>
          <w:rFonts w:asciiTheme="minorHAnsi" w:hAnsiTheme="minorHAnsi" w:cstheme="minorHAnsi"/>
          <w:i/>
          <w:lang w:val="en-US"/>
        </w:rPr>
        <w:t>American Journal of Geriatric Pharmacotherapy</w:t>
      </w:r>
      <w:r w:rsidR="00156254">
        <w:rPr>
          <w:rFonts w:asciiTheme="minorHAnsi" w:hAnsiTheme="minorHAnsi" w:cstheme="minorHAnsi"/>
          <w:lang w:val="en-US"/>
        </w:rPr>
        <w:t xml:space="preserve">, </w:t>
      </w:r>
      <w:r w:rsidR="00156254" w:rsidRPr="00156254">
        <w:rPr>
          <w:rFonts w:asciiTheme="minorHAnsi" w:hAnsiTheme="minorHAnsi" w:cstheme="minorHAnsi"/>
          <w:i/>
          <w:lang w:val="en-US"/>
        </w:rPr>
        <w:t>5</w:t>
      </w:r>
      <w:r w:rsidRPr="005A464E">
        <w:rPr>
          <w:rFonts w:asciiTheme="minorHAnsi" w:hAnsiTheme="minorHAnsi" w:cstheme="minorHAnsi"/>
          <w:lang w:val="en-US"/>
        </w:rPr>
        <w:t>,</w:t>
      </w:r>
      <w:r w:rsidR="00156254">
        <w:rPr>
          <w:rFonts w:asciiTheme="minorHAnsi" w:hAnsiTheme="minorHAnsi" w:cstheme="minorHAnsi"/>
          <w:lang w:val="en-US"/>
        </w:rPr>
        <w:t xml:space="preserve"> </w:t>
      </w:r>
      <w:r w:rsidRPr="005A464E">
        <w:rPr>
          <w:rFonts w:asciiTheme="minorHAnsi" w:hAnsiTheme="minorHAnsi" w:cstheme="minorHAnsi"/>
          <w:lang w:val="en-US"/>
        </w:rPr>
        <w:t>345–351</w:t>
      </w:r>
      <w:r w:rsidR="003F7269" w:rsidRPr="005A464E">
        <w:rPr>
          <w:rFonts w:asciiTheme="minorHAnsi" w:hAnsiTheme="minorHAnsi" w:cstheme="minorHAnsi"/>
          <w:lang w:val="en-US"/>
        </w:rPr>
        <w:t>.</w:t>
      </w:r>
      <w:r w:rsidRPr="005A464E">
        <w:rPr>
          <w:rFonts w:asciiTheme="minorHAnsi" w:hAnsiTheme="minorHAnsi" w:cstheme="minorHAnsi"/>
          <w:shd w:val="clear" w:color="auto" w:fill="FFFFFF"/>
          <w:lang w:val="en-US"/>
        </w:rPr>
        <w:t xml:space="preserve">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 10.1016/j.amjopharm.2007.12.002.</w:t>
      </w:r>
    </w:p>
    <w:p w:rsidR="002042AF" w:rsidRDefault="003C410F" w:rsidP="002042AF">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Hala I. A</w:t>
      </w:r>
      <w:r w:rsidR="00516D72">
        <w:rPr>
          <w:rFonts w:asciiTheme="minorHAnsi" w:hAnsiTheme="minorHAnsi" w:cstheme="minorHAnsi"/>
          <w:lang w:val="en-US"/>
        </w:rPr>
        <w:t>bo Deif., Elsawi, K., Mohga S.,</w:t>
      </w:r>
      <w:r w:rsidRPr="005A464E">
        <w:rPr>
          <w:rFonts w:asciiTheme="minorHAnsi" w:hAnsiTheme="minorHAnsi" w:cstheme="minorHAnsi"/>
          <w:lang w:val="en-US"/>
        </w:rPr>
        <w:t xml:space="preserve"> &amp; NasrAllah M.M. (2015). Effect of an educational program on adherence to therapeutic regimen among chronic kidney disease stage 5 (CKD5</w:t>
      </w:r>
      <w:r w:rsidR="003F7269" w:rsidRPr="005A464E">
        <w:rPr>
          <w:rFonts w:asciiTheme="minorHAnsi" w:hAnsiTheme="minorHAnsi" w:cstheme="minorHAnsi"/>
          <w:lang w:val="en-US"/>
        </w:rPr>
        <w:t>) patients under maintenance hemodialysis</w:t>
      </w:r>
      <w:r w:rsidRPr="005A464E">
        <w:rPr>
          <w:rFonts w:asciiTheme="minorHAnsi" w:hAnsiTheme="minorHAnsi" w:cstheme="minorHAnsi"/>
          <w:lang w:val="en-US"/>
        </w:rPr>
        <w:t xml:space="preserve">. </w:t>
      </w:r>
      <w:r w:rsidRPr="005A464E">
        <w:rPr>
          <w:rFonts w:asciiTheme="minorHAnsi" w:hAnsiTheme="minorHAnsi" w:cstheme="minorHAnsi"/>
          <w:i/>
          <w:lang w:val="en-US"/>
        </w:rPr>
        <w:t xml:space="preserve">Journal of Education and Practice, </w:t>
      </w:r>
      <w:r w:rsidR="00156254" w:rsidRPr="00156254">
        <w:rPr>
          <w:rFonts w:asciiTheme="minorHAnsi" w:hAnsiTheme="minorHAnsi" w:cstheme="minorHAnsi"/>
          <w:i/>
          <w:lang w:val="en-US"/>
        </w:rPr>
        <w:t>6</w:t>
      </w:r>
      <w:r w:rsidRPr="00156254">
        <w:rPr>
          <w:rFonts w:asciiTheme="minorHAnsi" w:hAnsiTheme="minorHAnsi" w:cstheme="minorHAnsi"/>
          <w:i/>
          <w:lang w:val="en-US"/>
        </w:rPr>
        <w:t>,</w:t>
      </w:r>
      <w:r w:rsidRPr="005A464E">
        <w:rPr>
          <w:rFonts w:asciiTheme="minorHAnsi" w:hAnsiTheme="minorHAnsi" w:cstheme="minorHAnsi"/>
          <w:lang w:val="en-US"/>
        </w:rPr>
        <w:t xml:space="preserve"> 21-33.</w:t>
      </w:r>
    </w:p>
    <w:p w:rsidR="002042AF" w:rsidRPr="00EF6A06" w:rsidRDefault="002042AF" w:rsidP="006269EC">
      <w:pPr>
        <w:pStyle w:val="Web"/>
        <w:spacing w:after="166" w:line="360" w:lineRule="auto"/>
        <w:ind w:left="415" w:hanging="415"/>
        <w:jc w:val="both"/>
        <w:rPr>
          <w:rFonts w:asciiTheme="minorHAnsi" w:hAnsiTheme="minorHAnsi" w:cstheme="minorHAnsi"/>
          <w:lang w:val="en-US"/>
        </w:rPr>
      </w:pPr>
      <w:r w:rsidRPr="002042AF">
        <w:rPr>
          <w:rFonts w:asciiTheme="minorHAnsi" w:hAnsiTheme="minorHAnsi" w:cstheme="minorHAnsi"/>
          <w:lang w:val="en-US"/>
        </w:rPr>
        <w:t>Halle</w:t>
      </w:r>
      <w:r>
        <w:rPr>
          <w:rFonts w:asciiTheme="minorHAnsi" w:hAnsiTheme="minorHAnsi" w:cstheme="minorHAnsi"/>
          <w:lang w:val="en-US"/>
        </w:rPr>
        <w:t>,</w:t>
      </w:r>
      <w:r w:rsidRPr="002042AF">
        <w:rPr>
          <w:rFonts w:asciiTheme="minorHAnsi" w:hAnsiTheme="minorHAnsi" w:cstheme="minorHAnsi"/>
          <w:lang w:val="en-US"/>
        </w:rPr>
        <w:t xml:space="preserve"> M</w:t>
      </w:r>
      <w:r>
        <w:rPr>
          <w:rFonts w:asciiTheme="minorHAnsi" w:hAnsiTheme="minorHAnsi" w:cstheme="minorHAnsi"/>
          <w:lang w:val="en-US"/>
        </w:rPr>
        <w:t>.</w:t>
      </w:r>
      <w:r w:rsidRPr="002042AF">
        <w:rPr>
          <w:rFonts w:asciiTheme="minorHAnsi" w:hAnsiTheme="minorHAnsi" w:cstheme="minorHAnsi"/>
          <w:lang w:val="en-US"/>
        </w:rPr>
        <w:t>P</w:t>
      </w:r>
      <w:r>
        <w:rPr>
          <w:rFonts w:asciiTheme="minorHAnsi" w:hAnsiTheme="minorHAnsi" w:cstheme="minorHAnsi"/>
          <w:lang w:val="en-US"/>
        </w:rPr>
        <w:t>.</w:t>
      </w:r>
      <w:r w:rsidRPr="002042AF">
        <w:rPr>
          <w:rFonts w:asciiTheme="minorHAnsi" w:hAnsiTheme="minorHAnsi" w:cstheme="minorHAnsi"/>
          <w:lang w:val="en-US"/>
        </w:rPr>
        <w:t>, Hertig</w:t>
      </w:r>
      <w:r>
        <w:rPr>
          <w:rFonts w:asciiTheme="minorHAnsi" w:hAnsiTheme="minorHAnsi" w:cstheme="minorHAnsi"/>
          <w:lang w:val="en-US"/>
        </w:rPr>
        <w:t>,</w:t>
      </w:r>
      <w:r w:rsidRPr="002042AF">
        <w:rPr>
          <w:rFonts w:asciiTheme="minorHAnsi" w:hAnsiTheme="minorHAnsi" w:cstheme="minorHAnsi"/>
          <w:lang w:val="en-US"/>
        </w:rPr>
        <w:t xml:space="preserve"> A</w:t>
      </w:r>
      <w:r>
        <w:rPr>
          <w:rFonts w:asciiTheme="minorHAnsi" w:hAnsiTheme="minorHAnsi" w:cstheme="minorHAnsi"/>
          <w:lang w:val="en-US"/>
        </w:rPr>
        <w:t>.</w:t>
      </w:r>
      <w:r w:rsidRPr="002042AF">
        <w:rPr>
          <w:rFonts w:asciiTheme="minorHAnsi" w:hAnsiTheme="minorHAnsi" w:cstheme="minorHAnsi"/>
          <w:lang w:val="en-US"/>
        </w:rPr>
        <w:t>, Kengne A</w:t>
      </w:r>
      <w:r w:rsidR="008D1D4D">
        <w:rPr>
          <w:rFonts w:asciiTheme="minorHAnsi" w:hAnsiTheme="minorHAnsi" w:cstheme="minorHAnsi"/>
          <w:lang w:val="en-US"/>
        </w:rPr>
        <w:t>.</w:t>
      </w:r>
      <w:r w:rsidRPr="002042AF">
        <w:rPr>
          <w:rFonts w:asciiTheme="minorHAnsi" w:hAnsiTheme="minorHAnsi" w:cstheme="minorHAnsi"/>
          <w:lang w:val="en-US"/>
        </w:rPr>
        <w:t>P</w:t>
      </w:r>
      <w:r w:rsidR="008D1D4D">
        <w:rPr>
          <w:rFonts w:asciiTheme="minorHAnsi" w:hAnsiTheme="minorHAnsi" w:cstheme="minorHAnsi"/>
          <w:lang w:val="en-US"/>
        </w:rPr>
        <w:t>,</w:t>
      </w:r>
      <w:r>
        <w:rPr>
          <w:rFonts w:asciiTheme="minorHAnsi" w:hAnsiTheme="minorHAnsi" w:cstheme="minorHAnsi"/>
          <w:lang w:val="en-US"/>
        </w:rPr>
        <w:t>,</w:t>
      </w:r>
      <w:r w:rsidRPr="002042AF">
        <w:rPr>
          <w:rFonts w:asciiTheme="minorHAnsi" w:hAnsiTheme="minorHAnsi" w:cstheme="minorHAnsi"/>
          <w:lang w:val="en-US"/>
        </w:rPr>
        <w:t xml:space="preserve"> Ashuntantang</w:t>
      </w:r>
      <w:r>
        <w:rPr>
          <w:rFonts w:asciiTheme="minorHAnsi" w:hAnsiTheme="minorHAnsi" w:cstheme="minorHAnsi"/>
          <w:lang w:val="en-US"/>
        </w:rPr>
        <w:t>,</w:t>
      </w:r>
      <w:r w:rsidRPr="002042AF">
        <w:rPr>
          <w:rFonts w:asciiTheme="minorHAnsi" w:hAnsiTheme="minorHAnsi" w:cstheme="minorHAnsi"/>
          <w:lang w:val="en-US"/>
        </w:rPr>
        <w:t xml:space="preserve"> G</w:t>
      </w:r>
      <w:r>
        <w:rPr>
          <w:rFonts w:asciiTheme="minorHAnsi" w:hAnsiTheme="minorHAnsi" w:cstheme="minorHAnsi"/>
          <w:lang w:val="en-US"/>
        </w:rPr>
        <w:t>.</w:t>
      </w:r>
      <w:r w:rsidRPr="002042AF">
        <w:rPr>
          <w:rFonts w:asciiTheme="minorHAnsi" w:hAnsiTheme="minorHAnsi" w:cstheme="minorHAnsi"/>
          <w:lang w:val="en-US"/>
        </w:rPr>
        <w:t>, Rondeau</w:t>
      </w:r>
      <w:r>
        <w:rPr>
          <w:rFonts w:asciiTheme="minorHAnsi" w:hAnsiTheme="minorHAnsi" w:cstheme="minorHAnsi"/>
          <w:lang w:val="en-US"/>
        </w:rPr>
        <w:t>,</w:t>
      </w:r>
      <w:r w:rsidRPr="002042AF">
        <w:rPr>
          <w:rFonts w:asciiTheme="minorHAnsi" w:hAnsiTheme="minorHAnsi" w:cstheme="minorHAnsi"/>
          <w:lang w:val="en-US"/>
        </w:rPr>
        <w:t xml:space="preserve"> E</w:t>
      </w:r>
      <w:r>
        <w:rPr>
          <w:rFonts w:asciiTheme="minorHAnsi" w:hAnsiTheme="minorHAnsi" w:cstheme="minorHAnsi"/>
          <w:lang w:val="en-US"/>
        </w:rPr>
        <w:t>.</w:t>
      </w:r>
      <w:r w:rsidRPr="002042AF">
        <w:rPr>
          <w:rFonts w:asciiTheme="minorHAnsi" w:hAnsiTheme="minorHAnsi" w:cstheme="minorHAnsi"/>
          <w:lang w:val="en-US"/>
        </w:rPr>
        <w:t>, Ridel</w:t>
      </w:r>
      <w:r>
        <w:rPr>
          <w:rFonts w:asciiTheme="minorHAnsi" w:hAnsiTheme="minorHAnsi" w:cstheme="minorHAnsi"/>
          <w:lang w:val="en-US"/>
        </w:rPr>
        <w:t>,</w:t>
      </w:r>
      <w:r w:rsidRPr="002042AF">
        <w:rPr>
          <w:rFonts w:asciiTheme="minorHAnsi" w:hAnsiTheme="minorHAnsi" w:cstheme="minorHAnsi"/>
          <w:lang w:val="en-US"/>
        </w:rPr>
        <w:t xml:space="preserve"> C.</w:t>
      </w:r>
      <w:r>
        <w:rPr>
          <w:rFonts w:asciiTheme="minorHAnsi" w:hAnsiTheme="minorHAnsi" w:cstheme="minorHAnsi"/>
          <w:lang w:val="en-US"/>
        </w:rPr>
        <w:t xml:space="preserve"> (2012).</w:t>
      </w:r>
      <w:r w:rsidRPr="002042AF">
        <w:rPr>
          <w:rFonts w:asciiTheme="minorHAnsi" w:hAnsiTheme="minorHAnsi" w:cstheme="minorHAnsi"/>
          <w:lang w:val="en-US"/>
        </w:rPr>
        <w:t xml:space="preserve"> </w:t>
      </w:r>
      <w:hyperlink r:id="rId197" w:history="1">
        <w:r w:rsidRPr="002042AF">
          <w:rPr>
            <w:rStyle w:val="-"/>
            <w:rFonts w:asciiTheme="minorHAnsi" w:hAnsiTheme="minorHAnsi" w:cstheme="minorHAnsi"/>
            <w:bCs/>
            <w:color w:val="auto"/>
            <w:u w:val="none"/>
            <w:lang w:val="en-US"/>
          </w:rPr>
          <w:t>Acute</w:t>
        </w:r>
        <w:r w:rsidRPr="002042AF">
          <w:rPr>
            <w:rStyle w:val="-"/>
            <w:rFonts w:asciiTheme="minorHAnsi" w:hAnsiTheme="minorHAnsi" w:cstheme="minorHAnsi"/>
            <w:color w:val="auto"/>
            <w:u w:val="none"/>
            <w:lang w:val="en-US"/>
          </w:rPr>
          <w:t> </w:t>
        </w:r>
        <w:r w:rsidRPr="002042AF">
          <w:rPr>
            <w:rStyle w:val="-"/>
            <w:rFonts w:asciiTheme="minorHAnsi" w:hAnsiTheme="minorHAnsi" w:cstheme="minorHAnsi"/>
            <w:bCs/>
            <w:color w:val="auto"/>
            <w:u w:val="none"/>
            <w:lang w:val="en-US"/>
          </w:rPr>
          <w:t>pulmonary oedema</w:t>
        </w:r>
        <w:r w:rsidRPr="002042AF">
          <w:rPr>
            <w:rStyle w:val="-"/>
            <w:rFonts w:asciiTheme="minorHAnsi" w:hAnsiTheme="minorHAnsi" w:cstheme="minorHAnsi"/>
            <w:color w:val="auto"/>
            <w:u w:val="none"/>
            <w:lang w:val="en-US"/>
          </w:rPr>
          <w:t> in </w:t>
        </w:r>
        <w:r w:rsidRPr="002042AF">
          <w:rPr>
            <w:rStyle w:val="-"/>
            <w:rFonts w:asciiTheme="minorHAnsi" w:hAnsiTheme="minorHAnsi" w:cstheme="minorHAnsi"/>
            <w:bCs/>
            <w:color w:val="auto"/>
            <w:u w:val="none"/>
            <w:lang w:val="en-US"/>
          </w:rPr>
          <w:t>chronic</w:t>
        </w:r>
        <w:r w:rsidRPr="002042AF">
          <w:rPr>
            <w:rStyle w:val="-"/>
            <w:rFonts w:asciiTheme="minorHAnsi" w:hAnsiTheme="minorHAnsi" w:cstheme="minorHAnsi"/>
            <w:color w:val="auto"/>
            <w:u w:val="none"/>
            <w:lang w:val="en-US"/>
          </w:rPr>
          <w:t> </w:t>
        </w:r>
        <w:r w:rsidRPr="002042AF">
          <w:rPr>
            <w:rStyle w:val="-"/>
            <w:rFonts w:asciiTheme="minorHAnsi" w:hAnsiTheme="minorHAnsi" w:cstheme="minorHAnsi"/>
            <w:bCs/>
            <w:color w:val="auto"/>
            <w:u w:val="none"/>
            <w:lang w:val="en-US"/>
          </w:rPr>
          <w:t>dialysis</w:t>
        </w:r>
        <w:r w:rsidRPr="002042AF">
          <w:rPr>
            <w:rStyle w:val="-"/>
            <w:rFonts w:asciiTheme="minorHAnsi" w:hAnsiTheme="minorHAnsi" w:cstheme="minorHAnsi"/>
            <w:color w:val="auto"/>
            <w:u w:val="none"/>
            <w:lang w:val="en-US"/>
          </w:rPr>
          <w:t> </w:t>
        </w:r>
        <w:r w:rsidRPr="002042AF">
          <w:rPr>
            <w:rStyle w:val="-"/>
            <w:rFonts w:asciiTheme="minorHAnsi" w:hAnsiTheme="minorHAnsi" w:cstheme="minorHAnsi"/>
            <w:bCs/>
            <w:color w:val="auto"/>
            <w:u w:val="none"/>
            <w:lang w:val="en-US"/>
          </w:rPr>
          <w:t>patients</w:t>
        </w:r>
        <w:r w:rsidRPr="002042AF">
          <w:rPr>
            <w:rStyle w:val="-"/>
            <w:rFonts w:asciiTheme="minorHAnsi" w:hAnsiTheme="minorHAnsi" w:cstheme="minorHAnsi"/>
            <w:color w:val="auto"/>
            <w:u w:val="none"/>
            <w:lang w:val="en-US"/>
          </w:rPr>
          <w:t> </w:t>
        </w:r>
        <w:r w:rsidRPr="002042AF">
          <w:rPr>
            <w:rStyle w:val="-"/>
            <w:rFonts w:asciiTheme="minorHAnsi" w:hAnsiTheme="minorHAnsi" w:cstheme="minorHAnsi"/>
            <w:bCs/>
            <w:color w:val="auto"/>
            <w:u w:val="none"/>
            <w:lang w:val="en-US"/>
          </w:rPr>
          <w:t>admitted</w:t>
        </w:r>
        <w:r w:rsidRPr="002042AF">
          <w:rPr>
            <w:rStyle w:val="-"/>
            <w:rFonts w:asciiTheme="minorHAnsi" w:hAnsiTheme="minorHAnsi" w:cstheme="minorHAnsi"/>
            <w:color w:val="auto"/>
            <w:u w:val="none"/>
            <w:lang w:val="en-US"/>
          </w:rPr>
          <w:t> into an </w:t>
        </w:r>
        <w:r w:rsidRPr="002042AF">
          <w:rPr>
            <w:rStyle w:val="-"/>
            <w:rFonts w:asciiTheme="minorHAnsi" w:hAnsiTheme="minorHAnsi" w:cstheme="minorHAnsi"/>
            <w:bCs/>
            <w:color w:val="auto"/>
            <w:u w:val="none"/>
            <w:lang w:val="en-US"/>
          </w:rPr>
          <w:t>intensive care unit</w:t>
        </w:r>
        <w:r w:rsidRPr="002042AF">
          <w:rPr>
            <w:rStyle w:val="-"/>
            <w:rFonts w:asciiTheme="minorHAnsi" w:hAnsiTheme="minorHAnsi" w:cstheme="minorHAnsi"/>
            <w:color w:val="auto"/>
            <w:u w:val="none"/>
            <w:lang w:val="en-US"/>
          </w:rPr>
          <w:t>.</w:t>
        </w:r>
      </w:hyperlink>
      <w:r w:rsidRPr="002042AF">
        <w:rPr>
          <w:rFonts w:asciiTheme="minorHAnsi" w:hAnsiTheme="minorHAnsi" w:cstheme="minorHAnsi"/>
          <w:lang w:val="en-US"/>
        </w:rPr>
        <w:t xml:space="preserve"> </w:t>
      </w:r>
      <w:r w:rsidRPr="002042AF">
        <w:rPr>
          <w:rStyle w:val="jrnl"/>
          <w:rFonts w:asciiTheme="minorHAnsi" w:hAnsiTheme="minorHAnsi" w:cstheme="minorHAnsi"/>
          <w:i/>
          <w:lang w:val="en-US"/>
        </w:rPr>
        <w:t xml:space="preserve">Nephrology Dialysis &amp; Transplantation, </w:t>
      </w:r>
      <w:r w:rsidRPr="002042AF">
        <w:rPr>
          <w:rFonts w:asciiTheme="minorHAnsi" w:hAnsiTheme="minorHAnsi" w:cstheme="minorHAnsi"/>
          <w:i/>
          <w:lang w:val="en-US"/>
        </w:rPr>
        <w:t>27,</w:t>
      </w:r>
      <w:r>
        <w:rPr>
          <w:rFonts w:asciiTheme="minorHAnsi" w:hAnsiTheme="minorHAnsi" w:cstheme="minorHAnsi"/>
          <w:lang w:val="en-US"/>
        </w:rPr>
        <w:t xml:space="preserve"> </w:t>
      </w:r>
      <w:r w:rsidRPr="002042AF">
        <w:rPr>
          <w:rFonts w:asciiTheme="minorHAnsi" w:hAnsiTheme="minorHAnsi" w:cstheme="minorHAnsi"/>
          <w:lang w:val="en-US"/>
        </w:rPr>
        <w:t>603-</w:t>
      </w:r>
      <w:r>
        <w:rPr>
          <w:rFonts w:asciiTheme="minorHAnsi" w:hAnsiTheme="minorHAnsi" w:cstheme="minorHAnsi"/>
          <w:lang w:val="en-US"/>
        </w:rPr>
        <w:t>607. DOI</w:t>
      </w:r>
      <w:r w:rsidRPr="002042AF">
        <w:rPr>
          <w:rFonts w:asciiTheme="minorHAnsi" w:hAnsiTheme="minorHAnsi" w:cstheme="minorHAnsi"/>
          <w:lang w:val="en-US"/>
        </w:rPr>
        <w:t>: 10.1093/ndt/gfr290</w:t>
      </w:r>
    </w:p>
    <w:p w:rsidR="003C410F" w:rsidRPr="005A464E" w:rsidRDefault="003C410F" w:rsidP="005A464E">
      <w:pPr>
        <w:pStyle w:val="Web"/>
        <w:spacing w:after="166" w:line="360" w:lineRule="auto"/>
        <w:ind w:left="415" w:hanging="415"/>
        <w:jc w:val="both"/>
        <w:rPr>
          <w:rStyle w:val="element-citation"/>
          <w:rFonts w:asciiTheme="minorHAnsi" w:hAnsiTheme="minorHAnsi" w:cstheme="minorHAnsi"/>
          <w:lang w:val="en-US"/>
        </w:rPr>
      </w:pPr>
      <w:r w:rsidRPr="005A464E">
        <w:rPr>
          <w:rStyle w:val="element-citation"/>
          <w:rFonts w:asciiTheme="minorHAnsi" w:hAnsiTheme="minorHAnsi" w:cstheme="minorHAnsi"/>
          <w:lang w:val="en-US"/>
        </w:rPr>
        <w:t>Harirchi, A.M., Rasooli, A., &amp;</w:t>
      </w:r>
      <w:r w:rsidR="0078495A">
        <w:rPr>
          <w:rStyle w:val="element-citation"/>
          <w:rFonts w:asciiTheme="minorHAnsi" w:hAnsiTheme="minorHAnsi" w:cstheme="minorHAnsi"/>
          <w:lang w:val="en-US"/>
        </w:rPr>
        <w:t xml:space="preserve"> </w:t>
      </w:r>
      <w:r w:rsidRPr="005A464E">
        <w:rPr>
          <w:rStyle w:val="element-citation"/>
          <w:rFonts w:asciiTheme="minorHAnsi" w:hAnsiTheme="minorHAnsi" w:cstheme="minorHAnsi"/>
          <w:lang w:val="en-US"/>
        </w:rPr>
        <w:t>Montazeri, A. (2004). The comparative quality of life in patient undergoing hemodialysis and kidney transplant patients.</w:t>
      </w:r>
      <w:r w:rsidRPr="005A464E">
        <w:rPr>
          <w:rStyle w:val="apple-converted-space"/>
          <w:rFonts w:asciiTheme="minorHAnsi" w:hAnsiTheme="minorHAnsi" w:cstheme="minorHAnsi"/>
          <w:lang w:val="en-US"/>
        </w:rPr>
        <w:t> </w:t>
      </w:r>
      <w:r w:rsidRPr="005A464E">
        <w:rPr>
          <w:rStyle w:val="ref-journal"/>
          <w:rFonts w:asciiTheme="minorHAnsi" w:hAnsiTheme="minorHAnsi" w:cstheme="minorHAnsi"/>
          <w:i/>
          <w:lang w:val="en-US"/>
        </w:rPr>
        <w:t>Payesh</w:t>
      </w:r>
      <w:r w:rsidRPr="00156254">
        <w:rPr>
          <w:rStyle w:val="ref-journal"/>
          <w:rFonts w:asciiTheme="minorHAnsi" w:hAnsiTheme="minorHAnsi" w:cstheme="minorHAnsi"/>
          <w:i/>
          <w:lang w:val="en-US"/>
        </w:rPr>
        <w:t xml:space="preserve">, </w:t>
      </w:r>
      <w:r w:rsidRPr="00156254">
        <w:rPr>
          <w:rStyle w:val="ref-vol"/>
          <w:rFonts w:asciiTheme="minorHAnsi" w:hAnsiTheme="minorHAnsi" w:cstheme="minorHAnsi"/>
          <w:i/>
          <w:lang w:val="en-US"/>
        </w:rPr>
        <w:t>3</w:t>
      </w:r>
      <w:r w:rsidR="00156254" w:rsidRPr="00156254">
        <w:rPr>
          <w:rStyle w:val="element-citation"/>
          <w:rFonts w:asciiTheme="minorHAnsi" w:hAnsiTheme="minorHAnsi" w:cstheme="minorHAnsi"/>
          <w:i/>
          <w:lang w:val="en-US"/>
        </w:rPr>
        <w:t>,</w:t>
      </w:r>
      <w:r w:rsidR="00156254">
        <w:rPr>
          <w:rStyle w:val="element-citation"/>
          <w:rFonts w:asciiTheme="minorHAnsi" w:hAnsiTheme="minorHAnsi" w:cstheme="minorHAnsi"/>
          <w:lang w:val="en-US"/>
        </w:rPr>
        <w:t xml:space="preserve"> </w:t>
      </w:r>
      <w:r w:rsidRPr="005A464E">
        <w:rPr>
          <w:rStyle w:val="element-citation"/>
          <w:rFonts w:asciiTheme="minorHAnsi" w:hAnsiTheme="minorHAnsi" w:cstheme="minorHAnsi"/>
          <w:lang w:val="en-US"/>
        </w:rPr>
        <w:t>117–121</w:t>
      </w:r>
      <w:r w:rsidR="003F7269" w:rsidRPr="005A464E">
        <w:rPr>
          <w:rStyle w:val="element-citation"/>
          <w:rFonts w:asciiTheme="minorHAnsi" w:hAnsiTheme="minorHAnsi" w:cstheme="minorHAnsi"/>
          <w:lang w:val="en-US"/>
        </w:rPr>
        <w:t>.</w:t>
      </w:r>
      <w:r w:rsidRPr="005A464E">
        <w:rPr>
          <w:rFonts w:asciiTheme="minorHAnsi" w:hAnsiTheme="minorHAnsi" w:cstheme="minorHAnsi"/>
          <w:bCs/>
          <w:lang w:val="en-US"/>
        </w:rPr>
        <w:t xml:space="preserve"> http://dx.</w:t>
      </w:r>
      <w:r w:rsidR="00292B29" w:rsidRPr="005A464E">
        <w:rPr>
          <w:rFonts w:asciiTheme="minorHAnsi" w:hAnsiTheme="minorHAnsi" w:cstheme="minorHAnsi"/>
          <w:bCs/>
          <w:lang w:val="en-US"/>
        </w:rPr>
        <w:t>DOI</w:t>
      </w:r>
      <w:r w:rsidRPr="005A464E">
        <w:rPr>
          <w:rFonts w:asciiTheme="minorHAnsi" w:hAnsiTheme="minorHAnsi" w:cstheme="minorHAnsi"/>
          <w:bCs/>
          <w:lang w:val="en-US"/>
        </w:rPr>
        <w:t>.org/10.1590/S0101-28002011000200008</w:t>
      </w:r>
      <w:r w:rsidRPr="005A464E">
        <w:rPr>
          <w:rFonts w:asciiTheme="minorHAnsi" w:hAnsiTheme="minorHAnsi" w:cstheme="minorHAnsi"/>
          <w:b/>
          <w:bCs/>
          <w:lang w:val="en-US"/>
        </w:rPr>
        <w:t> </w:t>
      </w:r>
    </w:p>
    <w:p w:rsidR="003C410F" w:rsidRPr="005A464E" w:rsidRDefault="008F3609" w:rsidP="005A464E">
      <w:pPr>
        <w:pStyle w:val="Web"/>
        <w:spacing w:after="166" w:line="360" w:lineRule="auto"/>
        <w:ind w:left="415" w:hanging="415"/>
        <w:jc w:val="both"/>
        <w:rPr>
          <w:rFonts w:asciiTheme="minorHAnsi" w:eastAsia="Times New Roman" w:hAnsiTheme="minorHAnsi" w:cstheme="minorHAnsi"/>
          <w:lang w:val="en-US" w:eastAsia="el-GR"/>
        </w:rPr>
      </w:pPr>
      <w:hyperlink r:id="rId198" w:history="1">
        <w:r w:rsidR="003F7269" w:rsidRPr="005A464E">
          <w:rPr>
            <w:rFonts w:asciiTheme="minorHAnsi" w:eastAsia="Times New Roman" w:hAnsiTheme="minorHAnsi" w:cstheme="minorHAnsi"/>
            <w:lang w:val="en-US" w:eastAsia="el-GR"/>
          </w:rPr>
          <w:t xml:space="preserve">Harris, </w:t>
        </w:r>
        <w:r w:rsidR="003C410F" w:rsidRPr="005A464E">
          <w:rPr>
            <w:rFonts w:asciiTheme="minorHAnsi" w:eastAsia="Times New Roman" w:hAnsiTheme="minorHAnsi" w:cstheme="minorHAnsi"/>
            <w:lang w:val="en-US" w:eastAsia="el-GR"/>
          </w:rPr>
          <w:t>S.A</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w:t>
      </w:r>
      <w:r w:rsidR="0078495A">
        <w:rPr>
          <w:rFonts w:asciiTheme="minorHAnsi" w:eastAsia="Times New Roman" w:hAnsiTheme="minorHAnsi" w:cstheme="minorHAnsi"/>
          <w:lang w:val="en-US" w:eastAsia="el-GR"/>
        </w:rPr>
        <w:t xml:space="preserve"> </w:t>
      </w:r>
      <w:hyperlink r:id="rId199" w:history="1">
        <w:r w:rsidR="003C410F" w:rsidRPr="005A464E">
          <w:rPr>
            <w:rFonts w:asciiTheme="minorHAnsi" w:eastAsia="Times New Roman" w:hAnsiTheme="minorHAnsi" w:cstheme="minorHAnsi"/>
            <w:lang w:val="en-US" w:eastAsia="el-GR"/>
          </w:rPr>
          <w:t>Lamping, D.L</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w:t>
      </w:r>
      <w:r w:rsidR="0078495A">
        <w:rPr>
          <w:rFonts w:asciiTheme="minorHAnsi" w:eastAsia="Times New Roman" w:hAnsiTheme="minorHAnsi" w:cstheme="minorHAnsi"/>
          <w:lang w:val="en-US" w:eastAsia="el-GR"/>
        </w:rPr>
        <w:t xml:space="preserve"> </w:t>
      </w:r>
      <w:hyperlink r:id="rId200" w:history="1">
        <w:r w:rsidR="003C410F" w:rsidRPr="005A464E">
          <w:rPr>
            <w:rFonts w:asciiTheme="minorHAnsi" w:eastAsia="Times New Roman" w:hAnsiTheme="minorHAnsi" w:cstheme="minorHAnsi"/>
            <w:lang w:val="en-US" w:eastAsia="el-GR"/>
          </w:rPr>
          <w:t>Brown, E.A</w:t>
        </w:r>
      </w:hyperlink>
      <w:r w:rsidR="003C410F" w:rsidRPr="005A464E">
        <w:rPr>
          <w:rFonts w:asciiTheme="minorHAnsi" w:eastAsia="Times New Roman" w:hAnsiTheme="minorHAnsi" w:cstheme="minorHAnsi"/>
          <w:lang w:val="en-US" w:eastAsia="el-GR"/>
        </w:rPr>
        <w:t xml:space="preserve">. &amp; </w:t>
      </w:r>
      <w:hyperlink r:id="rId201" w:history="1">
        <w:r w:rsidR="003C410F" w:rsidRPr="005A464E">
          <w:rPr>
            <w:rFonts w:asciiTheme="minorHAnsi" w:eastAsia="Times New Roman" w:hAnsiTheme="minorHAnsi" w:cstheme="minorHAnsi"/>
            <w:lang w:val="en-US" w:eastAsia="el-GR"/>
          </w:rPr>
          <w:t>Co</w:t>
        </w:r>
        <w:r w:rsidR="003F7269" w:rsidRPr="005A464E">
          <w:rPr>
            <w:rFonts w:asciiTheme="minorHAnsi" w:eastAsia="Times New Roman" w:hAnsiTheme="minorHAnsi" w:cstheme="minorHAnsi"/>
            <w:lang w:val="en-US" w:eastAsia="el-GR"/>
          </w:rPr>
          <w:t xml:space="preserve">nstantinovici, </w:t>
        </w:r>
        <w:r w:rsidR="003C410F" w:rsidRPr="005A464E">
          <w:rPr>
            <w:rFonts w:asciiTheme="minorHAnsi" w:eastAsia="Times New Roman" w:hAnsiTheme="minorHAnsi" w:cstheme="minorHAnsi"/>
            <w:lang w:val="en-US" w:eastAsia="el-GR"/>
          </w:rPr>
          <w:t>N</w:t>
        </w:r>
      </w:hyperlink>
      <w:r w:rsidR="003C410F" w:rsidRPr="005A464E">
        <w:rPr>
          <w:rFonts w:asciiTheme="minorHAnsi" w:eastAsia="Times New Roman" w:hAnsiTheme="minorHAnsi" w:cstheme="minorHAnsi"/>
          <w:lang w:val="en-US" w:eastAsia="el-GR"/>
        </w:rPr>
        <w:t>; </w:t>
      </w:r>
      <w:hyperlink r:id="rId202" w:history="1">
        <w:r w:rsidR="003C410F" w:rsidRPr="005A464E">
          <w:rPr>
            <w:rFonts w:asciiTheme="minorHAnsi" w:eastAsia="Times New Roman" w:hAnsiTheme="minorHAnsi" w:cstheme="minorHAnsi"/>
            <w:lang w:val="en-US" w:eastAsia="el-GR"/>
          </w:rPr>
          <w:t>North Thames Dialysis Study (NTDS) Group</w:t>
        </w:r>
      </w:hyperlink>
      <w:r w:rsidR="003C410F" w:rsidRPr="005A464E">
        <w:rPr>
          <w:rFonts w:asciiTheme="minorHAnsi" w:eastAsia="Times New Roman" w:hAnsiTheme="minorHAnsi" w:cstheme="minorHAnsi"/>
          <w:lang w:val="en-US" w:eastAsia="el-GR"/>
        </w:rPr>
        <w:t>. (2002).</w:t>
      </w:r>
      <w:r w:rsidR="0078495A">
        <w:rPr>
          <w:rFonts w:asciiTheme="minorHAnsi" w:eastAsia="Times New Roman" w:hAnsiTheme="minorHAnsi" w:cstheme="minorHAnsi"/>
          <w:lang w:val="en-US" w:eastAsia="el-GR"/>
        </w:rPr>
        <w:t xml:space="preserve"> </w:t>
      </w:r>
      <w:r w:rsidR="003C410F" w:rsidRPr="005A464E">
        <w:rPr>
          <w:rFonts w:asciiTheme="minorHAnsi" w:eastAsia="Times New Roman" w:hAnsiTheme="minorHAnsi" w:cstheme="minorHAnsi"/>
          <w:bCs/>
          <w:kern w:val="36"/>
          <w:lang w:val="en-US" w:eastAsia="el-GR"/>
        </w:rPr>
        <w:t xml:space="preserve">Clinical outcomes and quality of life in elderly patients on peritoneal dialysis versus hemodialysis. </w:t>
      </w:r>
      <w:hyperlink r:id="rId203" w:tooltip="Peritoneal dialysis international : journal of the International Society for Peritoneal Dialysis." w:history="1">
        <w:r w:rsidR="003C410F" w:rsidRPr="005A464E">
          <w:rPr>
            <w:rFonts w:asciiTheme="minorHAnsi" w:eastAsia="Times New Roman" w:hAnsiTheme="minorHAnsi" w:cstheme="minorHAnsi"/>
            <w:i/>
            <w:lang w:val="en-US" w:eastAsia="el-GR"/>
          </w:rPr>
          <w:t xml:space="preserve">Peritoneal Dialysis International, </w:t>
        </w:r>
      </w:hyperlink>
      <w:r w:rsidR="00156254" w:rsidRPr="00156254">
        <w:rPr>
          <w:rFonts w:asciiTheme="minorHAnsi" w:eastAsia="Times New Roman" w:hAnsiTheme="minorHAnsi" w:cstheme="minorHAnsi"/>
          <w:i/>
          <w:lang w:val="en-US" w:eastAsia="el-GR"/>
        </w:rPr>
        <w:t>22</w:t>
      </w:r>
      <w:r w:rsidR="003C410F" w:rsidRPr="005A464E">
        <w:rPr>
          <w:rFonts w:asciiTheme="minorHAnsi" w:eastAsia="Times New Roman" w:hAnsiTheme="minorHAnsi" w:cstheme="minorHAnsi"/>
          <w:lang w:val="en-US" w:eastAsia="el-GR"/>
        </w:rPr>
        <w:t>, 463-470.</w:t>
      </w:r>
    </w:p>
    <w:p w:rsidR="00A30A32" w:rsidRPr="005A464E" w:rsidRDefault="00A84FBE" w:rsidP="005A464E">
      <w:pPr>
        <w:pStyle w:val="Web"/>
        <w:spacing w:after="166" w:line="360" w:lineRule="auto"/>
        <w:ind w:left="415" w:hanging="415"/>
        <w:jc w:val="both"/>
        <w:rPr>
          <w:rFonts w:asciiTheme="minorHAnsi" w:hAnsiTheme="minorHAnsi" w:cs="Arial"/>
          <w:color w:val="000000"/>
          <w:shd w:val="clear" w:color="auto" w:fill="FFFFFF"/>
          <w:lang w:val="en-US"/>
        </w:rPr>
      </w:pPr>
      <w:r w:rsidRPr="005A464E">
        <w:rPr>
          <w:rFonts w:asciiTheme="minorHAnsi" w:hAnsiTheme="minorHAnsi" w:cs="Arial"/>
          <w:color w:val="000000"/>
          <w:shd w:val="clear" w:color="auto" w:fill="FFFFFF"/>
          <w:lang w:val="en-US"/>
        </w:rPr>
        <w:t>Hasanzadeh, F., Shamsoddinim S., Karimi, Moonaghi, H.,</w:t>
      </w:r>
      <w:r w:rsidR="003F7269" w:rsidRPr="005A464E">
        <w:rPr>
          <w:rFonts w:asciiTheme="minorHAnsi" w:hAnsiTheme="minorHAnsi" w:cs="Arial"/>
          <w:color w:val="000000"/>
          <w:shd w:val="clear" w:color="auto" w:fill="FFFFFF"/>
          <w:lang w:val="en-US"/>
        </w:rPr>
        <w:t xml:space="preserve"> &amp;</w:t>
      </w:r>
      <w:r w:rsidRPr="005A464E">
        <w:rPr>
          <w:rFonts w:asciiTheme="minorHAnsi" w:hAnsiTheme="minorHAnsi" w:cs="Arial"/>
          <w:color w:val="000000"/>
          <w:shd w:val="clear" w:color="auto" w:fill="FFFFFF"/>
          <w:lang w:val="en-US"/>
        </w:rPr>
        <w:t xml:space="preserve"> Ebrahimzadeh, S. (2011). A comparison of face to face and video-based education on attitude related to diet and fluids adherence in hemodialysis patients. </w:t>
      </w:r>
      <w:r w:rsidRPr="005A464E">
        <w:rPr>
          <w:rFonts w:asciiTheme="minorHAnsi" w:hAnsiTheme="minorHAnsi" w:cs="Arial"/>
          <w:i/>
          <w:color w:val="000000"/>
          <w:shd w:val="clear" w:color="auto" w:fill="FFFFFF"/>
          <w:lang w:val="en-US"/>
        </w:rPr>
        <w:t>Horizon Medical Science,</w:t>
      </w:r>
      <w:r w:rsidR="00156254">
        <w:rPr>
          <w:rFonts w:asciiTheme="minorHAnsi" w:hAnsiTheme="minorHAnsi" w:cs="Arial"/>
          <w:color w:val="000000"/>
          <w:shd w:val="clear" w:color="auto" w:fill="FFFFFF"/>
          <w:lang w:val="en-US"/>
        </w:rPr>
        <w:t xml:space="preserve"> </w:t>
      </w:r>
      <w:r w:rsidR="00156254" w:rsidRPr="00156254">
        <w:rPr>
          <w:rFonts w:asciiTheme="minorHAnsi" w:hAnsiTheme="minorHAnsi" w:cs="Arial"/>
          <w:i/>
          <w:color w:val="000000"/>
          <w:shd w:val="clear" w:color="auto" w:fill="FFFFFF"/>
          <w:lang w:val="en-US"/>
        </w:rPr>
        <w:t>17,</w:t>
      </w:r>
      <w:r w:rsidR="00156254">
        <w:rPr>
          <w:rFonts w:asciiTheme="minorHAnsi" w:hAnsiTheme="minorHAnsi" w:cs="Arial"/>
          <w:color w:val="000000"/>
          <w:shd w:val="clear" w:color="auto" w:fill="FFFFFF"/>
          <w:lang w:val="en-US"/>
        </w:rPr>
        <w:t xml:space="preserve"> </w:t>
      </w:r>
      <w:r w:rsidRPr="005A464E">
        <w:rPr>
          <w:rFonts w:asciiTheme="minorHAnsi" w:hAnsiTheme="minorHAnsi" w:cs="Arial"/>
          <w:color w:val="000000"/>
          <w:shd w:val="clear" w:color="auto" w:fill="FFFFFF"/>
          <w:lang w:val="en-US"/>
        </w:rPr>
        <w:t>34-43.</w:t>
      </w:r>
      <w:r w:rsidR="0078495A">
        <w:rPr>
          <w:rFonts w:asciiTheme="minorHAnsi" w:hAnsiTheme="minorHAnsi" w:cs="Arial"/>
          <w:color w:val="000000"/>
          <w:shd w:val="clear" w:color="auto" w:fill="FFFFFF"/>
          <w:lang w:val="en-US"/>
        </w:rPr>
        <w:t xml:space="preserve"> </w:t>
      </w:r>
    </w:p>
    <w:p w:rsidR="00A30A32" w:rsidRPr="005A464E" w:rsidRDefault="008F3609" w:rsidP="005A464E">
      <w:pPr>
        <w:pStyle w:val="Web"/>
        <w:spacing w:after="166" w:line="360" w:lineRule="auto"/>
        <w:ind w:left="415" w:hanging="415"/>
        <w:jc w:val="both"/>
        <w:rPr>
          <w:rFonts w:asciiTheme="minorHAnsi" w:hAnsiTheme="minorHAnsi" w:cs="Arial"/>
          <w:shd w:val="clear" w:color="auto" w:fill="FFFFFF"/>
          <w:lang w:val="en-US"/>
        </w:rPr>
      </w:pPr>
      <w:hyperlink r:id="rId204" w:history="1">
        <w:r w:rsidR="00A30A32" w:rsidRPr="005A464E">
          <w:rPr>
            <w:rStyle w:val="-"/>
            <w:rFonts w:asciiTheme="minorHAnsi" w:hAnsiTheme="minorHAnsi" w:cs="Arial"/>
            <w:color w:val="auto"/>
            <w:u w:val="none"/>
            <w:lang w:val="en-US"/>
          </w:rPr>
          <w:t>Haskard, K.B</w:t>
        </w:r>
      </w:hyperlink>
      <w:r w:rsidR="00A30A32" w:rsidRPr="005A464E">
        <w:rPr>
          <w:rFonts w:asciiTheme="minorHAnsi" w:hAnsiTheme="minorHAnsi" w:cs="Arial"/>
          <w:lang w:val="en-US"/>
        </w:rPr>
        <w:t>., </w:t>
      </w:r>
      <w:hyperlink r:id="rId205" w:history="1">
        <w:r w:rsidR="00A30A32" w:rsidRPr="005A464E">
          <w:rPr>
            <w:rStyle w:val="-"/>
            <w:rFonts w:asciiTheme="minorHAnsi" w:hAnsiTheme="minorHAnsi" w:cs="Arial"/>
            <w:color w:val="auto"/>
            <w:u w:val="none"/>
            <w:lang w:val="en-US"/>
          </w:rPr>
          <w:t>Williams, S.L</w:t>
        </w:r>
      </w:hyperlink>
      <w:r w:rsidR="00A30A32" w:rsidRPr="005A464E">
        <w:rPr>
          <w:rFonts w:asciiTheme="minorHAnsi" w:hAnsiTheme="minorHAnsi" w:cs="Arial"/>
          <w:lang w:val="en-US"/>
        </w:rPr>
        <w:t>., </w:t>
      </w:r>
      <w:hyperlink r:id="rId206" w:history="1">
        <w:r w:rsidR="00A30A32" w:rsidRPr="005A464E">
          <w:rPr>
            <w:rStyle w:val="-"/>
            <w:rFonts w:asciiTheme="minorHAnsi" w:hAnsiTheme="minorHAnsi" w:cs="Arial"/>
            <w:color w:val="auto"/>
            <w:u w:val="none"/>
            <w:lang w:val="en-US"/>
          </w:rPr>
          <w:t>DiMatteo, M.R</w:t>
        </w:r>
      </w:hyperlink>
      <w:r w:rsidR="00A30A32" w:rsidRPr="005A464E">
        <w:rPr>
          <w:rFonts w:asciiTheme="minorHAnsi" w:hAnsiTheme="minorHAnsi" w:cs="Arial"/>
          <w:lang w:val="en-US"/>
        </w:rPr>
        <w:t>., </w:t>
      </w:r>
      <w:hyperlink r:id="rId207" w:history="1">
        <w:r w:rsidR="00A30A32" w:rsidRPr="005A464E">
          <w:rPr>
            <w:rStyle w:val="-"/>
            <w:rFonts w:asciiTheme="minorHAnsi" w:hAnsiTheme="minorHAnsi" w:cs="Arial"/>
            <w:color w:val="auto"/>
            <w:u w:val="none"/>
            <w:lang w:val="en-US"/>
          </w:rPr>
          <w:t>Rosenthal, R</w:t>
        </w:r>
      </w:hyperlink>
      <w:r w:rsidR="00A30A32" w:rsidRPr="005A464E">
        <w:rPr>
          <w:rFonts w:asciiTheme="minorHAnsi" w:hAnsiTheme="minorHAnsi" w:cs="Arial"/>
          <w:lang w:val="en-US"/>
        </w:rPr>
        <w:t>., </w:t>
      </w:r>
      <w:hyperlink r:id="rId208" w:history="1">
        <w:r w:rsidR="00A30A32" w:rsidRPr="005A464E">
          <w:rPr>
            <w:rStyle w:val="-"/>
            <w:rFonts w:asciiTheme="minorHAnsi" w:hAnsiTheme="minorHAnsi" w:cs="Arial"/>
            <w:color w:val="auto"/>
            <w:u w:val="none"/>
            <w:lang w:val="en-US"/>
          </w:rPr>
          <w:t>White, M.K</w:t>
        </w:r>
      </w:hyperlink>
      <w:r w:rsidR="00A30A32" w:rsidRPr="005A464E">
        <w:rPr>
          <w:rFonts w:asciiTheme="minorHAnsi" w:hAnsiTheme="minorHAnsi" w:cs="Arial"/>
          <w:lang w:val="en-US"/>
        </w:rPr>
        <w:t>.,</w:t>
      </w:r>
      <w:r w:rsidR="003F7269" w:rsidRPr="005A464E">
        <w:rPr>
          <w:rFonts w:asciiTheme="minorHAnsi" w:hAnsiTheme="minorHAnsi" w:cs="Arial"/>
          <w:lang w:val="en-US"/>
        </w:rPr>
        <w:t xml:space="preserve"> &amp;</w:t>
      </w:r>
      <w:r w:rsidR="00A30A32" w:rsidRPr="005A464E">
        <w:rPr>
          <w:rFonts w:asciiTheme="minorHAnsi" w:hAnsiTheme="minorHAnsi" w:cs="Arial"/>
          <w:lang w:val="en-US"/>
        </w:rPr>
        <w:t> </w:t>
      </w:r>
      <w:hyperlink r:id="rId209" w:history="1">
        <w:r w:rsidR="00A30A32" w:rsidRPr="005A464E">
          <w:rPr>
            <w:rStyle w:val="-"/>
            <w:rFonts w:asciiTheme="minorHAnsi" w:hAnsiTheme="minorHAnsi" w:cs="Arial"/>
            <w:color w:val="auto"/>
            <w:u w:val="none"/>
            <w:lang w:val="en-US"/>
          </w:rPr>
          <w:t>Goldstein, M.G</w:t>
        </w:r>
      </w:hyperlink>
      <w:r w:rsidR="00A30A32" w:rsidRPr="005A464E">
        <w:rPr>
          <w:rFonts w:asciiTheme="minorHAnsi" w:hAnsiTheme="minorHAnsi" w:cs="Arial"/>
          <w:lang w:val="en-US"/>
        </w:rPr>
        <w:t>.</w:t>
      </w:r>
      <w:r w:rsidR="00A30A32" w:rsidRPr="005A464E">
        <w:rPr>
          <w:rFonts w:asciiTheme="minorHAnsi" w:hAnsiTheme="minorHAnsi" w:cs="Arial"/>
          <w:shd w:val="clear" w:color="auto" w:fill="FFFFFF"/>
          <w:lang w:val="en-US"/>
        </w:rPr>
        <w:t xml:space="preserve"> (2008). </w:t>
      </w:r>
      <w:r w:rsidR="00A30A32" w:rsidRPr="005A464E">
        <w:rPr>
          <w:rFonts w:asciiTheme="minorHAnsi" w:hAnsiTheme="minorHAnsi" w:cs="Arial"/>
          <w:lang w:val="en-US"/>
        </w:rPr>
        <w:t>Physician and </w:t>
      </w:r>
      <w:r w:rsidR="00A30A32" w:rsidRPr="005A464E">
        <w:rPr>
          <w:rStyle w:val="highlight"/>
          <w:rFonts w:asciiTheme="minorHAnsi" w:hAnsiTheme="minorHAnsi" w:cs="Arial"/>
          <w:lang w:val="en-US"/>
        </w:rPr>
        <w:t>patient</w:t>
      </w:r>
      <w:r w:rsidR="00A30A32" w:rsidRPr="005A464E">
        <w:rPr>
          <w:rFonts w:asciiTheme="minorHAnsi" w:hAnsiTheme="minorHAnsi" w:cs="Arial"/>
          <w:lang w:val="en-US"/>
        </w:rPr>
        <w:t xml:space="preserve"> communication training in primary care: effects on participation and satisfaction. </w:t>
      </w:r>
      <w:hyperlink r:id="rId210" w:tooltip="Health psychology : official journal of the Division of Health Psychology, American Psychological Association." w:history="1">
        <w:r w:rsidR="00A30A32" w:rsidRPr="005A464E">
          <w:rPr>
            <w:rStyle w:val="-"/>
            <w:rFonts w:asciiTheme="minorHAnsi" w:hAnsiTheme="minorHAnsi" w:cs="Arial"/>
            <w:i/>
            <w:color w:val="auto"/>
            <w:u w:val="none"/>
            <w:lang w:val="en-US"/>
          </w:rPr>
          <w:t>Health Psychology,</w:t>
        </w:r>
        <w:r w:rsidR="00A30A32" w:rsidRPr="005A464E">
          <w:rPr>
            <w:rStyle w:val="-"/>
            <w:rFonts w:asciiTheme="minorHAnsi" w:hAnsiTheme="minorHAnsi" w:cs="Arial"/>
            <w:color w:val="auto"/>
            <w:u w:val="none"/>
            <w:lang w:val="en-US"/>
          </w:rPr>
          <w:t xml:space="preserve"> </w:t>
        </w:r>
      </w:hyperlink>
      <w:r w:rsidR="00A30A32" w:rsidRPr="00156254">
        <w:rPr>
          <w:rFonts w:asciiTheme="minorHAnsi" w:hAnsiTheme="minorHAnsi" w:cs="Arial"/>
          <w:i/>
          <w:lang w:val="en-US"/>
        </w:rPr>
        <w:t>27</w:t>
      </w:r>
      <w:r w:rsidR="00A30A32" w:rsidRPr="005A464E">
        <w:rPr>
          <w:rFonts w:asciiTheme="minorHAnsi" w:hAnsiTheme="minorHAnsi" w:cs="Arial"/>
          <w:lang w:val="en-US"/>
        </w:rPr>
        <w:t xml:space="preserve">,513-22. </w:t>
      </w:r>
      <w:r w:rsidR="00292B29" w:rsidRPr="005A464E">
        <w:rPr>
          <w:rFonts w:asciiTheme="minorHAnsi" w:hAnsiTheme="minorHAnsi" w:cs="Arial"/>
          <w:lang w:val="en-US"/>
        </w:rPr>
        <w:t>DOI</w:t>
      </w:r>
      <w:r w:rsidR="00A30A32" w:rsidRPr="005A464E">
        <w:rPr>
          <w:rFonts w:asciiTheme="minorHAnsi" w:hAnsiTheme="minorHAnsi" w:cs="Arial"/>
          <w:lang w:val="en-US"/>
        </w:rPr>
        <w:t>: 10.1037/0278-6133.27.5.513.</w:t>
      </w:r>
    </w:p>
    <w:p w:rsidR="001E16D7" w:rsidRPr="005A464E" w:rsidRDefault="001E16D7" w:rsidP="005A464E">
      <w:pPr>
        <w:pStyle w:val="Web"/>
        <w:spacing w:after="166" w:line="360" w:lineRule="auto"/>
        <w:ind w:left="415" w:hanging="415"/>
        <w:jc w:val="both"/>
        <w:rPr>
          <w:rFonts w:asciiTheme="minorHAnsi" w:hAnsiTheme="minorHAnsi" w:cs="Arial"/>
          <w:shd w:val="clear" w:color="auto" w:fill="FFFFFF"/>
          <w:lang w:val="en-US"/>
        </w:rPr>
      </w:pPr>
      <w:r w:rsidRPr="005A464E">
        <w:rPr>
          <w:rFonts w:asciiTheme="minorHAnsi" w:hAnsiTheme="minorHAnsi" w:cstheme="minorHAnsi"/>
          <w:lang w:val="en-US"/>
        </w:rPr>
        <w:t xml:space="preserve">Haynes, R.B., Taylor, D.W., &amp; Sackett, D.L. </w:t>
      </w:r>
      <w:r w:rsidR="00156254">
        <w:rPr>
          <w:rFonts w:asciiTheme="minorHAnsi" w:hAnsiTheme="minorHAnsi" w:cstheme="minorHAnsi"/>
          <w:lang w:val="en-US"/>
        </w:rPr>
        <w:t>(Eds).</w:t>
      </w:r>
      <w:r w:rsidRPr="005A464E">
        <w:rPr>
          <w:rFonts w:asciiTheme="minorHAnsi" w:hAnsiTheme="minorHAnsi" w:cstheme="minorHAnsi"/>
          <w:lang w:val="en-US"/>
        </w:rPr>
        <w:t xml:space="preserve">(1979). </w:t>
      </w:r>
      <w:r w:rsidRPr="00156254">
        <w:rPr>
          <w:rFonts w:asciiTheme="minorHAnsi" w:hAnsiTheme="minorHAnsi" w:cstheme="minorHAnsi"/>
          <w:i/>
          <w:lang w:val="en-US"/>
        </w:rPr>
        <w:t>C</w:t>
      </w:r>
      <w:r w:rsidR="00156254" w:rsidRPr="00156254">
        <w:rPr>
          <w:rFonts w:asciiTheme="minorHAnsi" w:hAnsiTheme="minorHAnsi" w:cstheme="minorHAnsi"/>
          <w:i/>
          <w:lang w:val="en-US"/>
        </w:rPr>
        <w:t>ompliance in health care</w:t>
      </w:r>
      <w:r w:rsidR="00156254">
        <w:rPr>
          <w:rFonts w:asciiTheme="minorHAnsi" w:hAnsiTheme="minorHAnsi" w:cstheme="minorHAnsi"/>
          <w:lang w:val="en-US"/>
        </w:rPr>
        <w:t xml:space="preserve">. </w:t>
      </w:r>
      <w:r w:rsidRPr="005A464E">
        <w:rPr>
          <w:rFonts w:asciiTheme="minorHAnsi" w:hAnsiTheme="minorHAnsi" w:cstheme="minorHAnsi"/>
          <w:lang w:val="en-US"/>
        </w:rPr>
        <w:t>John Hopkins University Press, Baltimore.</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iCs/>
          <w:lang w:val="en-US" w:eastAsia="el-GR"/>
        </w:rPr>
      </w:pPr>
      <w:r w:rsidRPr="005A464E">
        <w:rPr>
          <w:rFonts w:asciiTheme="minorHAnsi" w:eastAsia="Times New Roman" w:hAnsiTheme="minorHAnsi" w:cstheme="minorHAnsi"/>
          <w:iCs/>
          <w:lang w:val="en-US" w:eastAsia="el-GR"/>
        </w:rPr>
        <w:t xml:space="preserve">Haynes, R.B., McKibbon, K.A., &amp; Kanani, R. (1996). </w:t>
      </w:r>
      <w:r w:rsidRPr="005A464E">
        <w:rPr>
          <w:rFonts w:asciiTheme="minorHAnsi" w:eastAsia="Times New Roman" w:hAnsiTheme="minorHAnsi" w:cstheme="minorHAnsi"/>
          <w:shd w:val="clear" w:color="auto" w:fill="FFFFFF"/>
          <w:lang w:val="en-US" w:eastAsia="el-GR"/>
        </w:rPr>
        <w:t>Systematic review of randomized trials of interventions to assist patients to follow prescriptions for medications.</w:t>
      </w:r>
      <w:r w:rsidR="00156254">
        <w:rPr>
          <w:rFonts w:asciiTheme="minorHAnsi" w:eastAsia="Times New Roman" w:hAnsiTheme="minorHAnsi" w:cstheme="minorHAnsi"/>
          <w:shd w:val="clear" w:color="auto" w:fill="FFFFFF"/>
          <w:lang w:val="en-US" w:eastAsia="el-GR"/>
        </w:rPr>
        <w:t xml:space="preserve"> </w:t>
      </w:r>
      <w:r w:rsidRPr="005A464E">
        <w:rPr>
          <w:rFonts w:asciiTheme="minorHAnsi" w:eastAsia="Times New Roman" w:hAnsiTheme="minorHAnsi" w:cstheme="minorHAnsi"/>
          <w:i/>
          <w:iCs/>
          <w:lang w:val="en-US" w:eastAsia="el-GR"/>
        </w:rPr>
        <w:t>Lancet</w:t>
      </w:r>
      <w:r w:rsidR="003F7269" w:rsidRPr="005A464E">
        <w:rPr>
          <w:rFonts w:asciiTheme="minorHAnsi" w:eastAsia="Times New Roman" w:hAnsiTheme="minorHAnsi" w:cstheme="minorHAnsi"/>
          <w:iCs/>
          <w:lang w:val="en-US" w:eastAsia="el-GR"/>
        </w:rPr>
        <w:t xml:space="preserve">, </w:t>
      </w:r>
      <w:r w:rsidR="00156254" w:rsidRPr="00156254">
        <w:rPr>
          <w:rFonts w:asciiTheme="minorHAnsi" w:eastAsia="Times New Roman" w:hAnsiTheme="minorHAnsi" w:cstheme="minorHAnsi"/>
          <w:i/>
          <w:iCs/>
          <w:lang w:val="en-US" w:eastAsia="el-GR"/>
        </w:rPr>
        <w:t>348,</w:t>
      </w:r>
      <w:r w:rsidR="00156254">
        <w:rPr>
          <w:rFonts w:asciiTheme="minorHAnsi" w:eastAsia="Times New Roman" w:hAnsiTheme="minorHAnsi" w:cstheme="minorHAnsi"/>
          <w:iCs/>
          <w:lang w:val="en-US" w:eastAsia="el-GR"/>
        </w:rPr>
        <w:t xml:space="preserve"> </w:t>
      </w:r>
      <w:r w:rsidRPr="005A464E">
        <w:rPr>
          <w:rFonts w:asciiTheme="minorHAnsi" w:eastAsia="Times New Roman" w:hAnsiTheme="minorHAnsi" w:cstheme="minorHAnsi"/>
          <w:iCs/>
          <w:lang w:val="en-US" w:eastAsia="el-GR"/>
        </w:rPr>
        <w:t>383-</w:t>
      </w:r>
      <w:r w:rsidR="003F7269" w:rsidRPr="005A464E">
        <w:rPr>
          <w:rFonts w:asciiTheme="minorHAnsi" w:eastAsia="Times New Roman" w:hAnsiTheme="minorHAnsi" w:cstheme="minorHAnsi"/>
          <w:iCs/>
          <w:lang w:val="en-US" w:eastAsia="el-GR"/>
        </w:rPr>
        <w:t>38</w:t>
      </w:r>
      <w:r w:rsidRPr="005A464E">
        <w:rPr>
          <w:rFonts w:asciiTheme="minorHAnsi" w:eastAsia="Times New Roman" w:hAnsiTheme="minorHAnsi" w:cstheme="minorHAnsi"/>
          <w:iCs/>
          <w:lang w:val="en-US" w:eastAsia="el-GR"/>
        </w:rPr>
        <w:t>6</w:t>
      </w:r>
      <w:r w:rsidR="003F7269" w:rsidRPr="005A464E">
        <w:rPr>
          <w:rFonts w:asciiTheme="minorHAnsi" w:eastAsia="Times New Roman" w:hAnsiTheme="minorHAnsi" w:cstheme="minorHAnsi"/>
          <w:iCs/>
          <w:lang w:val="en-US" w:eastAsia="el-GR"/>
        </w:rPr>
        <w:t>.</w:t>
      </w:r>
      <w:r w:rsidR="003F7269" w:rsidRPr="005A464E">
        <w:rPr>
          <w:rFonts w:asciiTheme="minorHAnsi" w:hAnsiTheme="minorHAnsi" w:cstheme="minorHAnsi"/>
          <w:shd w:val="clear" w:color="auto" w:fill="FFFFFF"/>
          <w:lang w:val="en-US"/>
        </w:rPr>
        <w:t xml:space="preserve">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w:t>
      </w:r>
      <w:r w:rsidRPr="005A464E">
        <w:rPr>
          <w:rStyle w:val="apple-converted-space"/>
          <w:rFonts w:asciiTheme="minorHAnsi" w:hAnsiTheme="minorHAnsi" w:cstheme="minorHAnsi"/>
          <w:shd w:val="clear" w:color="auto" w:fill="FFFFFF"/>
          <w:lang w:val="en-US"/>
        </w:rPr>
        <w:t> </w:t>
      </w:r>
      <w:hyperlink r:id="rId211" w:history="1">
        <w:r w:rsidR="003F7269" w:rsidRPr="005A464E">
          <w:rPr>
            <w:rStyle w:val="-"/>
            <w:rFonts w:asciiTheme="minorHAnsi" w:hAnsiTheme="minorHAnsi" w:cstheme="minorHAnsi"/>
            <w:color w:val="auto"/>
            <w:u w:val="none"/>
            <w:shd w:val="clear" w:color="auto" w:fill="FFFFFF"/>
            <w:lang w:val="en-US"/>
          </w:rPr>
          <w:t>http://dx.</w:t>
        </w:r>
        <w:r w:rsidR="00292B29" w:rsidRPr="005A464E">
          <w:rPr>
            <w:rStyle w:val="-"/>
            <w:rFonts w:asciiTheme="minorHAnsi" w:hAnsiTheme="minorHAnsi" w:cstheme="minorHAnsi"/>
            <w:color w:val="auto"/>
            <w:u w:val="none"/>
            <w:shd w:val="clear" w:color="auto" w:fill="FFFFFF"/>
            <w:lang w:val="en-US"/>
          </w:rPr>
          <w:t>DOI</w:t>
        </w:r>
        <w:r w:rsidR="003F7269" w:rsidRPr="005A464E">
          <w:rPr>
            <w:rStyle w:val="-"/>
            <w:rFonts w:asciiTheme="minorHAnsi" w:hAnsiTheme="minorHAnsi" w:cstheme="minorHAnsi"/>
            <w:color w:val="auto"/>
            <w:u w:val="none"/>
            <w:shd w:val="clear" w:color="auto" w:fill="FFFFFF"/>
            <w:lang w:val="en-US"/>
          </w:rPr>
          <w:t>.org/10.1016/S0140-6736(96)01073-2</w:t>
        </w:r>
      </w:hyperlink>
      <w:r w:rsidR="007D7AE2"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iCs/>
          <w:lang w:val="en-US" w:eastAsia="el-GR"/>
        </w:rPr>
      </w:pPr>
      <w:r w:rsidRPr="005A464E">
        <w:rPr>
          <w:rFonts w:asciiTheme="minorHAnsi" w:eastAsia="Times New Roman" w:hAnsiTheme="minorHAnsi" w:cstheme="minorHAnsi"/>
          <w:iCs/>
          <w:lang w:val="en-US" w:eastAsia="el-GR"/>
        </w:rPr>
        <w:t xml:space="preserve">Haynes, R.B., Yao, X., Degani, A., Kripalani, S., Garg, A., &amp; McDonald, H.P. (2005). Interventions for enhancing medication adherence. </w:t>
      </w:r>
      <w:r w:rsidRPr="005A464E">
        <w:rPr>
          <w:rFonts w:asciiTheme="minorHAnsi" w:eastAsia="Times New Roman" w:hAnsiTheme="minorHAnsi" w:cstheme="minorHAnsi"/>
          <w:i/>
          <w:iCs/>
          <w:lang w:val="en-US" w:eastAsia="el-GR"/>
        </w:rPr>
        <w:t>Cochrane Database of</w:t>
      </w:r>
      <w:r w:rsidRPr="005A464E">
        <w:rPr>
          <w:rFonts w:asciiTheme="minorHAnsi" w:eastAsia="Times New Roman" w:hAnsiTheme="minorHAnsi" w:cstheme="minorHAnsi"/>
          <w:iCs/>
          <w:lang w:val="en-US" w:eastAsia="el-GR"/>
        </w:rPr>
        <w:t xml:space="preserve"> </w:t>
      </w:r>
      <w:r w:rsidRPr="005A464E">
        <w:rPr>
          <w:rFonts w:asciiTheme="minorHAnsi" w:eastAsia="Times New Roman" w:hAnsiTheme="minorHAnsi" w:cstheme="minorHAnsi"/>
          <w:i/>
          <w:iCs/>
          <w:lang w:val="en-US" w:eastAsia="el-GR"/>
        </w:rPr>
        <w:t>Systematic Reviews</w:t>
      </w:r>
      <w:r w:rsidR="00156254">
        <w:rPr>
          <w:rFonts w:asciiTheme="minorHAnsi" w:eastAsia="Times New Roman" w:hAnsiTheme="minorHAnsi" w:cstheme="minorHAnsi"/>
          <w:iCs/>
          <w:lang w:val="en-US" w:eastAsia="el-GR"/>
        </w:rPr>
        <w:t xml:space="preserve">, </w:t>
      </w:r>
      <w:r w:rsidR="00156254" w:rsidRPr="00156254">
        <w:rPr>
          <w:rFonts w:asciiTheme="minorHAnsi" w:eastAsia="Times New Roman" w:hAnsiTheme="minorHAnsi" w:cstheme="minorHAnsi"/>
          <w:i/>
          <w:iCs/>
          <w:lang w:val="en-US" w:eastAsia="el-GR"/>
        </w:rPr>
        <w:t>4,</w:t>
      </w:r>
      <w:r w:rsidR="00156254">
        <w:rPr>
          <w:rFonts w:asciiTheme="minorHAnsi" w:eastAsia="Times New Roman" w:hAnsiTheme="minorHAnsi" w:cstheme="minorHAnsi"/>
          <w:iCs/>
          <w:lang w:val="en-US" w:eastAsia="el-GR"/>
        </w:rPr>
        <w:t xml:space="preserve"> </w:t>
      </w:r>
      <w:r w:rsidRPr="005A464E">
        <w:rPr>
          <w:rFonts w:asciiTheme="minorHAnsi" w:eastAsia="Times New Roman" w:hAnsiTheme="minorHAnsi" w:cstheme="minorHAnsi"/>
          <w:iCs/>
          <w:lang w:val="en-US" w:eastAsia="el-GR"/>
        </w:rPr>
        <w:t>1-77</w:t>
      </w:r>
      <w:r w:rsidRPr="005A464E">
        <w:rPr>
          <w:rFonts w:asciiTheme="minorHAnsi" w:hAnsiTheme="minorHAnsi" w:cstheme="minorHAnsi"/>
          <w:shd w:val="clear" w:color="auto" w:fill="FFFFFF"/>
          <w:lang w:val="en-US"/>
        </w:rPr>
        <w:t xml:space="preserve">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 10.1002/14651858.CD000011.pub3.</w:t>
      </w:r>
    </w:p>
    <w:p w:rsidR="008B6859" w:rsidRPr="005A464E" w:rsidRDefault="003C410F" w:rsidP="005A464E">
      <w:pPr>
        <w:pStyle w:val="Web"/>
        <w:spacing w:after="166" w:line="360" w:lineRule="auto"/>
        <w:ind w:left="415" w:hanging="415"/>
        <w:jc w:val="both"/>
        <w:rPr>
          <w:rFonts w:asciiTheme="minorHAnsi" w:hAnsiTheme="minorHAnsi" w:cstheme="minorHAnsi"/>
          <w:spacing w:val="3"/>
          <w:shd w:val="clear" w:color="auto" w:fill="FCFCFC"/>
          <w:lang w:val="en-US"/>
        </w:rPr>
      </w:pPr>
      <w:r w:rsidRPr="005A464E">
        <w:rPr>
          <w:rFonts w:asciiTheme="minorHAnsi" w:eastAsia="Times New Roman" w:hAnsiTheme="minorHAnsi" w:cstheme="minorHAnsi"/>
          <w:iCs/>
          <w:lang w:val="en-US" w:eastAsia="el-GR"/>
        </w:rPr>
        <w:t>Hays, R.D., Kallich, J.D., Mapes, D.L., Coons, S.J.,</w:t>
      </w:r>
      <w:r w:rsidR="007D7AE2" w:rsidRPr="005A464E">
        <w:rPr>
          <w:rFonts w:asciiTheme="minorHAnsi" w:eastAsia="Times New Roman" w:hAnsiTheme="minorHAnsi" w:cstheme="minorHAnsi"/>
          <w:iCs/>
          <w:lang w:val="en-US" w:eastAsia="el-GR"/>
        </w:rPr>
        <w:t xml:space="preserve"> </w:t>
      </w:r>
      <w:r w:rsidRPr="005A464E">
        <w:rPr>
          <w:rFonts w:asciiTheme="minorHAnsi" w:eastAsia="Times New Roman" w:hAnsiTheme="minorHAnsi" w:cstheme="minorHAnsi"/>
          <w:iCs/>
          <w:lang w:val="en-US" w:eastAsia="el-GR"/>
        </w:rPr>
        <w:t>&amp; Carter, W.B. (1994). Development of Kidney Disease Quality of Life (KDQOL) instrument.</w:t>
      </w:r>
      <w:r w:rsidRPr="005A464E">
        <w:rPr>
          <w:rFonts w:asciiTheme="minorHAnsi" w:eastAsia="Times New Roman" w:hAnsiTheme="minorHAnsi" w:cstheme="minorHAnsi"/>
          <w:i/>
          <w:iCs/>
          <w:lang w:val="en-US" w:eastAsia="el-GR"/>
        </w:rPr>
        <w:t xml:space="preserve"> Quality of Life Research,</w:t>
      </w:r>
      <w:r w:rsidR="00156254">
        <w:rPr>
          <w:rFonts w:asciiTheme="minorHAnsi" w:eastAsia="Times New Roman" w:hAnsiTheme="minorHAnsi" w:cstheme="minorHAnsi"/>
          <w:iCs/>
          <w:lang w:val="en-US" w:eastAsia="el-GR"/>
        </w:rPr>
        <w:t xml:space="preserve"> </w:t>
      </w:r>
      <w:r w:rsidR="00156254" w:rsidRPr="00156254">
        <w:rPr>
          <w:rFonts w:asciiTheme="minorHAnsi" w:eastAsia="Times New Roman" w:hAnsiTheme="minorHAnsi" w:cstheme="minorHAnsi"/>
          <w:i/>
          <w:iCs/>
          <w:lang w:val="en-US" w:eastAsia="el-GR"/>
        </w:rPr>
        <w:t>3</w:t>
      </w:r>
      <w:r w:rsidRPr="00156254">
        <w:rPr>
          <w:rFonts w:asciiTheme="minorHAnsi" w:eastAsia="Times New Roman" w:hAnsiTheme="minorHAnsi" w:cstheme="minorHAnsi"/>
          <w:i/>
          <w:iCs/>
          <w:lang w:val="en-US" w:eastAsia="el-GR"/>
        </w:rPr>
        <w:t>,</w:t>
      </w:r>
      <w:r w:rsidRPr="005A464E">
        <w:rPr>
          <w:rFonts w:asciiTheme="minorHAnsi" w:eastAsia="Times New Roman" w:hAnsiTheme="minorHAnsi" w:cstheme="minorHAnsi"/>
          <w:iCs/>
          <w:lang w:val="en-US" w:eastAsia="el-GR"/>
        </w:rPr>
        <w:t xml:space="preserve"> 329-338</w:t>
      </w:r>
      <w:r w:rsidRPr="005A464E">
        <w:rPr>
          <w:rFonts w:asciiTheme="minorHAnsi" w:hAnsiTheme="minorHAnsi" w:cstheme="minorHAnsi"/>
          <w:lang w:val="en-US"/>
        </w:rPr>
        <w:t xml:space="preserve"> </w:t>
      </w:r>
      <w:r w:rsidR="00292B29" w:rsidRPr="005A464E">
        <w:rPr>
          <w:rFonts w:asciiTheme="minorHAnsi" w:hAnsiTheme="minorHAnsi" w:cstheme="minorHAnsi"/>
          <w:lang w:val="en-US"/>
        </w:rPr>
        <w:t>DOI</w:t>
      </w:r>
      <w:r w:rsidRPr="005A464E">
        <w:rPr>
          <w:rFonts w:asciiTheme="minorHAnsi" w:hAnsiTheme="minorHAnsi" w:cstheme="minorHAnsi"/>
          <w:spacing w:val="3"/>
          <w:shd w:val="clear" w:color="auto" w:fill="FCFCFC"/>
          <w:lang w:val="en-US"/>
        </w:rPr>
        <w:t>: 10.1007/BF00451725</w:t>
      </w:r>
      <w:r w:rsidR="007D7AE2" w:rsidRPr="005A464E">
        <w:rPr>
          <w:rFonts w:asciiTheme="minorHAnsi" w:hAnsiTheme="minorHAnsi" w:cstheme="minorHAnsi"/>
          <w:spacing w:val="3"/>
          <w:shd w:val="clear" w:color="auto" w:fill="FCFCFC"/>
          <w:lang w:val="en-US"/>
        </w:rPr>
        <w:t>.</w:t>
      </w:r>
    </w:p>
    <w:p w:rsidR="00481E8D" w:rsidRPr="005A464E" w:rsidRDefault="008F3609" w:rsidP="005A464E">
      <w:pPr>
        <w:pStyle w:val="Web"/>
        <w:spacing w:after="166" w:line="360" w:lineRule="auto"/>
        <w:ind w:left="415" w:hanging="415"/>
        <w:jc w:val="both"/>
        <w:rPr>
          <w:rFonts w:asciiTheme="minorHAnsi" w:hAnsiTheme="minorHAnsi" w:cstheme="minorHAnsi"/>
          <w:color w:val="000000"/>
          <w:shd w:val="clear" w:color="auto" w:fill="FFFFFF"/>
          <w:lang w:val="en-US"/>
        </w:rPr>
      </w:pPr>
      <w:hyperlink r:id="rId212" w:history="1">
        <w:r w:rsidR="008B6859" w:rsidRPr="005A464E">
          <w:rPr>
            <w:rStyle w:val="-"/>
            <w:rFonts w:asciiTheme="minorHAnsi" w:hAnsiTheme="minorHAnsi" w:cstheme="minorHAnsi"/>
            <w:color w:val="auto"/>
            <w:u w:val="none"/>
            <w:shd w:val="clear" w:color="auto" w:fill="FFFFFF"/>
            <w:lang w:val="en-US"/>
          </w:rPr>
          <w:t>Hemmati Maslakpak M</w:t>
        </w:r>
      </w:hyperlink>
      <w:r w:rsidR="008B6859" w:rsidRPr="005A464E">
        <w:rPr>
          <w:rFonts w:asciiTheme="minorHAnsi" w:hAnsiTheme="minorHAnsi" w:cstheme="minorHAnsi"/>
          <w:lang w:val="en-US"/>
        </w:rPr>
        <w:t>.</w:t>
      </w:r>
      <w:r w:rsidR="008B6859" w:rsidRPr="005A464E">
        <w:rPr>
          <w:rFonts w:asciiTheme="minorHAnsi" w:hAnsiTheme="minorHAnsi" w:cstheme="minorHAnsi"/>
          <w:shd w:val="clear" w:color="auto" w:fill="FFFFFF"/>
          <w:lang w:val="en-US"/>
        </w:rPr>
        <w:t>,</w:t>
      </w:r>
      <w:r w:rsidR="008B6859" w:rsidRPr="005A464E">
        <w:rPr>
          <w:rStyle w:val="apple-converted-space"/>
          <w:rFonts w:asciiTheme="minorHAnsi" w:hAnsiTheme="minorHAnsi" w:cstheme="minorHAnsi"/>
          <w:shd w:val="clear" w:color="auto" w:fill="FFFFFF"/>
          <w:lang w:val="en-US"/>
        </w:rPr>
        <w:t> </w:t>
      </w:r>
      <w:hyperlink r:id="rId213" w:history="1">
        <w:r w:rsidR="008B6859" w:rsidRPr="005A464E">
          <w:rPr>
            <w:rStyle w:val="-"/>
            <w:rFonts w:asciiTheme="minorHAnsi" w:hAnsiTheme="minorHAnsi" w:cstheme="minorHAnsi"/>
            <w:color w:val="auto"/>
            <w:u w:val="none"/>
            <w:shd w:val="clear" w:color="auto" w:fill="FFFFFF"/>
            <w:lang w:val="en-US"/>
          </w:rPr>
          <w:t>Shams</w:t>
        </w:r>
      </w:hyperlink>
      <w:r w:rsidR="008B6859" w:rsidRPr="005A464E">
        <w:rPr>
          <w:rFonts w:asciiTheme="minorHAnsi" w:hAnsiTheme="minorHAnsi" w:cstheme="minorHAnsi"/>
          <w:lang w:val="en-US"/>
        </w:rPr>
        <w:t xml:space="preserve">, S. (2015). A </w:t>
      </w:r>
      <w:r w:rsidR="007D7AE2" w:rsidRPr="005A464E">
        <w:rPr>
          <w:rFonts w:asciiTheme="minorHAnsi" w:hAnsiTheme="minorHAnsi" w:cstheme="minorHAnsi"/>
          <w:lang w:val="en-US"/>
        </w:rPr>
        <w:t>comparison of face to face and video-based self care education on quality of life of hemodialysis patients</w:t>
      </w:r>
      <w:r w:rsidR="008B6859" w:rsidRPr="005A464E">
        <w:rPr>
          <w:rFonts w:asciiTheme="minorHAnsi" w:hAnsiTheme="minorHAnsi" w:cstheme="minorHAnsi"/>
          <w:lang w:val="en-US"/>
        </w:rPr>
        <w:t>.</w:t>
      </w:r>
      <w:r w:rsidR="008B6859" w:rsidRPr="005A464E">
        <w:rPr>
          <w:rFonts w:asciiTheme="minorHAnsi" w:hAnsiTheme="minorHAnsi" w:cs="Arial"/>
          <w:color w:val="000000"/>
          <w:shd w:val="clear" w:color="auto" w:fill="FFFFFF"/>
          <w:lang w:val="en-US"/>
        </w:rPr>
        <w:t xml:space="preserve"> </w:t>
      </w:r>
      <w:hyperlink r:id="rId214" w:tooltip="International journal of community based nursing and midwifery." w:history="1">
        <w:r w:rsidR="008B6859" w:rsidRPr="00156254">
          <w:rPr>
            <w:rStyle w:val="-"/>
            <w:rFonts w:asciiTheme="minorHAnsi" w:hAnsiTheme="minorHAnsi" w:cstheme="minorHAnsi"/>
            <w:i/>
            <w:color w:val="auto"/>
            <w:u w:val="none"/>
            <w:shd w:val="clear" w:color="auto" w:fill="FFFFFF"/>
            <w:lang w:val="en-US"/>
          </w:rPr>
          <w:t>International</w:t>
        </w:r>
        <w:r w:rsidR="0078495A">
          <w:rPr>
            <w:rStyle w:val="-"/>
            <w:rFonts w:asciiTheme="minorHAnsi" w:hAnsiTheme="minorHAnsi" w:cstheme="minorHAnsi"/>
            <w:i/>
            <w:color w:val="auto"/>
            <w:u w:val="none"/>
            <w:shd w:val="clear" w:color="auto" w:fill="FFFFFF"/>
            <w:lang w:val="en-US"/>
          </w:rPr>
          <w:t xml:space="preserve"> </w:t>
        </w:r>
        <w:r w:rsidR="008B6859" w:rsidRPr="00156254">
          <w:rPr>
            <w:rStyle w:val="-"/>
            <w:rFonts w:asciiTheme="minorHAnsi" w:hAnsiTheme="minorHAnsi" w:cstheme="minorHAnsi"/>
            <w:i/>
            <w:color w:val="auto"/>
            <w:u w:val="none"/>
            <w:shd w:val="clear" w:color="auto" w:fill="FFFFFF"/>
            <w:lang w:val="en-US"/>
          </w:rPr>
          <w:t>Journal of Community Based Nursing Midwifery,</w:t>
        </w:r>
      </w:hyperlink>
      <w:r w:rsidR="008B6859" w:rsidRPr="00156254">
        <w:rPr>
          <w:rStyle w:val="apple-converted-space"/>
          <w:rFonts w:asciiTheme="minorHAnsi" w:hAnsiTheme="minorHAnsi" w:cstheme="minorHAnsi"/>
          <w:i/>
          <w:shd w:val="clear" w:color="auto" w:fill="FFFFFF"/>
          <w:lang w:val="en-US"/>
        </w:rPr>
        <w:t> </w:t>
      </w:r>
      <w:r w:rsidR="00156254" w:rsidRPr="00156254">
        <w:rPr>
          <w:rFonts w:asciiTheme="minorHAnsi" w:hAnsiTheme="minorHAnsi" w:cstheme="minorHAnsi"/>
          <w:i/>
          <w:color w:val="000000"/>
          <w:shd w:val="clear" w:color="auto" w:fill="FFFFFF"/>
          <w:lang w:val="en-US"/>
        </w:rPr>
        <w:t>3,</w:t>
      </w:r>
      <w:r w:rsidR="00156254">
        <w:rPr>
          <w:rFonts w:asciiTheme="minorHAnsi" w:hAnsiTheme="minorHAnsi" w:cstheme="minorHAnsi"/>
          <w:color w:val="000000"/>
          <w:shd w:val="clear" w:color="auto" w:fill="FFFFFF"/>
          <w:lang w:val="en-US"/>
        </w:rPr>
        <w:t xml:space="preserve"> </w:t>
      </w:r>
      <w:r w:rsidR="008B6859" w:rsidRPr="005A464E">
        <w:rPr>
          <w:rFonts w:asciiTheme="minorHAnsi" w:hAnsiTheme="minorHAnsi" w:cstheme="minorHAnsi"/>
          <w:color w:val="000000"/>
          <w:shd w:val="clear" w:color="auto" w:fill="FFFFFF"/>
          <w:lang w:val="en-US"/>
        </w:rPr>
        <w:t>234-43.</w:t>
      </w:r>
    </w:p>
    <w:p w:rsidR="00481E8D" w:rsidRPr="005A464E" w:rsidRDefault="00481E8D"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eastAsia="Times New Roman" w:hAnsiTheme="minorHAnsi" w:cs="Arial"/>
          <w:iCs/>
          <w:lang w:val="en-US" w:eastAsia="el-GR"/>
        </w:rPr>
        <w:t>Henke, R.M., Johann, J., Senathirajah, M., Crandell, M., Parker, L., Riley, L.,</w:t>
      </w:r>
      <w:r w:rsidR="007C2040">
        <w:rPr>
          <w:rFonts w:asciiTheme="minorHAnsi" w:eastAsia="Times New Roman" w:hAnsiTheme="minorHAnsi" w:cs="Arial"/>
          <w:iCs/>
          <w:lang w:val="en-US" w:eastAsia="el-GR"/>
        </w:rPr>
        <w:t xml:space="preserve"> … &amp;</w:t>
      </w:r>
      <w:r w:rsidR="007D7AE2" w:rsidRPr="005A464E">
        <w:rPr>
          <w:rFonts w:asciiTheme="minorHAnsi" w:hAnsiTheme="minorHAnsi" w:cstheme="minorHAnsi"/>
          <w:shd w:val="clear" w:color="auto" w:fill="FFFFFF"/>
          <w:lang w:val="en-US"/>
        </w:rPr>
        <w:t> </w:t>
      </w:r>
      <w:hyperlink r:id="rId215" w:history="1">
        <w:r w:rsidR="007D7AE2" w:rsidRPr="005A464E">
          <w:rPr>
            <w:rStyle w:val="-"/>
            <w:rFonts w:asciiTheme="minorHAnsi" w:hAnsiTheme="minorHAnsi" w:cstheme="minorHAnsi"/>
            <w:color w:val="auto"/>
            <w:u w:val="none"/>
            <w:shd w:val="clear" w:color="auto" w:fill="FFFFFF"/>
            <w:lang w:val="en-US"/>
          </w:rPr>
          <w:t>Tulloch, W</w:t>
        </w:r>
      </w:hyperlink>
      <w:r w:rsidR="007D7AE2" w:rsidRPr="005A464E">
        <w:rPr>
          <w:rFonts w:asciiTheme="minorHAnsi" w:hAnsiTheme="minorHAnsi" w:cs="Arial"/>
          <w:color w:val="000000"/>
          <w:shd w:val="clear" w:color="auto" w:fill="FFFFFF"/>
          <w:lang w:val="en-US"/>
        </w:rPr>
        <w:t>.</w:t>
      </w:r>
      <w:r w:rsidRPr="005A464E">
        <w:rPr>
          <w:rFonts w:asciiTheme="minorHAnsi" w:eastAsia="Times New Roman" w:hAnsiTheme="minorHAnsi" w:cs="Arial"/>
          <w:iCs/>
          <w:lang w:val="en-US" w:eastAsia="el-GR"/>
        </w:rPr>
        <w:t xml:space="preserve"> (2016).</w:t>
      </w:r>
      <w:r w:rsidRPr="005A464E">
        <w:rPr>
          <w:rFonts w:asciiTheme="minorHAnsi" w:eastAsia="Times New Roman" w:hAnsiTheme="minorHAnsi" w:cs="Arial"/>
          <w:shd w:val="clear" w:color="auto" w:fill="FFFFFF"/>
          <w:lang w:val="en-US" w:eastAsia="el-GR"/>
        </w:rPr>
        <w:t xml:space="preserve"> Implementation of the </w:t>
      </w:r>
      <w:r w:rsidRPr="005A464E">
        <w:rPr>
          <w:rFonts w:asciiTheme="minorHAnsi" w:eastAsia="Times New Roman" w:hAnsiTheme="minorHAnsi" w:cs="Arial"/>
          <w:bCs/>
          <w:lang w:val="en-US" w:eastAsia="el-GR"/>
        </w:rPr>
        <w:t>Patient</w:t>
      </w:r>
      <w:r w:rsidRPr="005A464E">
        <w:rPr>
          <w:rFonts w:asciiTheme="minorHAnsi" w:eastAsia="Times New Roman" w:hAnsiTheme="minorHAnsi" w:cs="Arial"/>
          <w:shd w:val="clear" w:color="auto" w:fill="FFFFFF"/>
          <w:lang w:val="en-US" w:eastAsia="el-GR"/>
        </w:rPr>
        <w:t>-</w:t>
      </w:r>
      <w:r w:rsidRPr="005A464E">
        <w:rPr>
          <w:rFonts w:asciiTheme="minorHAnsi" w:eastAsia="Times New Roman" w:hAnsiTheme="minorHAnsi" w:cs="Arial"/>
          <w:bCs/>
          <w:lang w:val="en-US" w:eastAsia="el-GR"/>
        </w:rPr>
        <w:t>Centered</w:t>
      </w:r>
      <w:r w:rsidRPr="005A464E">
        <w:rPr>
          <w:rFonts w:asciiTheme="minorHAnsi" w:eastAsia="Times New Roman" w:hAnsiTheme="minorHAnsi" w:cs="Arial"/>
          <w:shd w:val="clear" w:color="auto" w:fill="FFFFFF"/>
          <w:lang w:val="en-US" w:eastAsia="el-GR"/>
        </w:rPr>
        <w:t> Medical Home </w:t>
      </w:r>
      <w:r w:rsidRPr="005A464E">
        <w:rPr>
          <w:rFonts w:asciiTheme="minorHAnsi" w:eastAsia="Times New Roman" w:hAnsiTheme="minorHAnsi" w:cs="Arial"/>
          <w:bCs/>
          <w:lang w:val="en-US" w:eastAsia="el-GR"/>
        </w:rPr>
        <w:t>Model</w:t>
      </w:r>
      <w:r w:rsidRPr="005A464E">
        <w:rPr>
          <w:rFonts w:asciiTheme="minorHAnsi" w:eastAsia="Times New Roman" w:hAnsiTheme="minorHAnsi" w:cs="Arial"/>
          <w:shd w:val="clear" w:color="auto" w:fill="FFFFFF"/>
          <w:lang w:val="en-US" w:eastAsia="el-GR"/>
        </w:rPr>
        <w:t> in facilities providing comprehensive </w:t>
      </w:r>
      <w:r w:rsidRPr="005A464E">
        <w:rPr>
          <w:rFonts w:asciiTheme="minorHAnsi" w:eastAsia="Times New Roman" w:hAnsiTheme="minorHAnsi" w:cs="Arial"/>
          <w:bCs/>
          <w:lang w:val="en-US" w:eastAsia="el-GR"/>
        </w:rPr>
        <w:t>care</w:t>
      </w:r>
      <w:r w:rsidRPr="005A464E">
        <w:rPr>
          <w:rFonts w:asciiTheme="minorHAnsi" w:eastAsia="Times New Roman" w:hAnsiTheme="minorHAnsi" w:cs="Arial"/>
          <w:shd w:val="clear" w:color="auto" w:fill="FFFFFF"/>
          <w:lang w:val="en-US" w:eastAsia="el-GR"/>
        </w:rPr>
        <w:t> to medically underserved populations</w:t>
      </w:r>
      <w:r w:rsidRPr="005A464E">
        <w:rPr>
          <w:rFonts w:asciiTheme="minorHAnsi" w:eastAsia="Times New Roman" w:hAnsiTheme="minorHAnsi" w:cs="Arial"/>
          <w:i/>
          <w:iCs/>
          <w:lang w:val="en-US" w:eastAsia="el-GR"/>
        </w:rPr>
        <w:t>. Journal of Health Care Poor Underserved,</w:t>
      </w:r>
      <w:r w:rsidRPr="00156254">
        <w:rPr>
          <w:rFonts w:asciiTheme="minorHAnsi" w:eastAsia="Times New Roman" w:hAnsiTheme="minorHAnsi" w:cs="Arial"/>
          <w:i/>
          <w:iCs/>
          <w:lang w:val="en-US" w:eastAsia="el-GR"/>
        </w:rPr>
        <w:t xml:space="preserve"> 27</w:t>
      </w:r>
      <w:r w:rsidR="00156254">
        <w:rPr>
          <w:rFonts w:asciiTheme="minorHAnsi" w:eastAsia="Times New Roman" w:hAnsiTheme="minorHAnsi" w:cs="Arial"/>
          <w:iCs/>
          <w:lang w:val="en-US" w:eastAsia="el-GR"/>
        </w:rPr>
        <w:t>,</w:t>
      </w:r>
      <w:r w:rsidRPr="005A464E">
        <w:rPr>
          <w:rFonts w:asciiTheme="minorHAnsi" w:eastAsia="Times New Roman" w:hAnsiTheme="minorHAnsi" w:cs="Arial"/>
          <w:i/>
          <w:iCs/>
          <w:lang w:val="en-US" w:eastAsia="el-GR"/>
        </w:rPr>
        <w:t xml:space="preserve"> 1638-1646.</w:t>
      </w:r>
    </w:p>
    <w:p w:rsidR="003C410F" w:rsidRPr="005A464E" w:rsidRDefault="003C410F" w:rsidP="005A464E">
      <w:pPr>
        <w:pStyle w:val="Web"/>
        <w:spacing w:after="166" w:line="360" w:lineRule="auto"/>
        <w:ind w:left="415" w:hanging="415"/>
        <w:jc w:val="both"/>
        <w:rPr>
          <w:rStyle w:val="element-citation"/>
          <w:rFonts w:asciiTheme="minorHAnsi" w:hAnsiTheme="minorHAnsi" w:cstheme="minorHAnsi"/>
          <w:lang w:val="en-US"/>
        </w:rPr>
      </w:pPr>
      <w:r w:rsidRPr="005A464E">
        <w:rPr>
          <w:rStyle w:val="element-citation"/>
          <w:rFonts w:asciiTheme="minorHAnsi" w:hAnsiTheme="minorHAnsi" w:cstheme="minorHAnsi"/>
          <w:lang w:val="en-US"/>
        </w:rPr>
        <w:t xml:space="preserve">Hentinen, M., </w:t>
      </w:r>
      <w:r w:rsidR="007D7AE2" w:rsidRPr="005A464E">
        <w:rPr>
          <w:rStyle w:val="element-citation"/>
          <w:rFonts w:asciiTheme="minorHAnsi" w:hAnsiTheme="minorHAnsi" w:cstheme="minorHAnsi"/>
          <w:lang w:val="en-US"/>
        </w:rPr>
        <w:t xml:space="preserve">&amp; </w:t>
      </w:r>
      <w:r w:rsidRPr="005A464E">
        <w:rPr>
          <w:rStyle w:val="element-citation"/>
          <w:rFonts w:asciiTheme="minorHAnsi" w:hAnsiTheme="minorHAnsi" w:cstheme="minorHAnsi"/>
          <w:lang w:val="en-US"/>
        </w:rPr>
        <w:t>Kyngäs, H. (1996).</w:t>
      </w:r>
      <w:r w:rsidR="0078495A">
        <w:rPr>
          <w:rStyle w:val="element-citation"/>
          <w:rFonts w:asciiTheme="minorHAnsi" w:hAnsiTheme="minorHAnsi" w:cstheme="minorHAnsi"/>
          <w:lang w:val="en-US"/>
        </w:rPr>
        <w:t xml:space="preserve"> </w:t>
      </w:r>
      <w:r w:rsidRPr="005A464E">
        <w:rPr>
          <w:rStyle w:val="element-citation"/>
          <w:rFonts w:asciiTheme="minorHAnsi" w:hAnsiTheme="minorHAnsi" w:cstheme="minorHAnsi"/>
          <w:lang w:val="en-US"/>
        </w:rPr>
        <w:t xml:space="preserve">Diabetic adolescents' compliance with health regimens and associated factors. </w:t>
      </w:r>
      <w:r w:rsidRPr="005A464E">
        <w:rPr>
          <w:rStyle w:val="element-citation"/>
          <w:rFonts w:asciiTheme="minorHAnsi" w:hAnsiTheme="minorHAnsi" w:cstheme="minorHAnsi"/>
          <w:i/>
          <w:lang w:val="en-US"/>
        </w:rPr>
        <w:t>International Journal of Nursing Studies,</w:t>
      </w:r>
      <w:r w:rsidR="00156254">
        <w:rPr>
          <w:rStyle w:val="element-citation"/>
          <w:rFonts w:asciiTheme="minorHAnsi" w:hAnsiTheme="minorHAnsi" w:cstheme="minorHAnsi"/>
          <w:lang w:val="en-US"/>
        </w:rPr>
        <w:t xml:space="preserve"> </w:t>
      </w:r>
      <w:r w:rsidR="00156254" w:rsidRPr="00156254">
        <w:rPr>
          <w:rStyle w:val="element-citation"/>
          <w:rFonts w:asciiTheme="minorHAnsi" w:hAnsiTheme="minorHAnsi" w:cstheme="minorHAnsi"/>
          <w:i/>
          <w:lang w:val="en-US"/>
        </w:rPr>
        <w:t>33</w:t>
      </w:r>
      <w:r w:rsidRPr="005A464E">
        <w:rPr>
          <w:rStyle w:val="element-citation"/>
          <w:rFonts w:asciiTheme="minorHAnsi" w:hAnsiTheme="minorHAnsi" w:cstheme="minorHAnsi"/>
          <w:lang w:val="en-US"/>
        </w:rPr>
        <w:t>,</w:t>
      </w:r>
      <w:r w:rsidR="00156254">
        <w:rPr>
          <w:rStyle w:val="element-citation"/>
          <w:rFonts w:asciiTheme="minorHAnsi" w:hAnsiTheme="minorHAnsi" w:cstheme="minorHAnsi"/>
          <w:lang w:val="en-US"/>
        </w:rPr>
        <w:t xml:space="preserve"> </w:t>
      </w:r>
      <w:r w:rsidRPr="005A464E">
        <w:rPr>
          <w:rStyle w:val="element-citation"/>
          <w:rFonts w:asciiTheme="minorHAnsi" w:hAnsiTheme="minorHAnsi" w:cstheme="minorHAnsi"/>
          <w:lang w:val="en-US"/>
        </w:rPr>
        <w:t>325-337</w:t>
      </w:r>
      <w:r w:rsidR="007D7AE2" w:rsidRPr="005A464E">
        <w:rPr>
          <w:rStyle w:val="element-citation"/>
          <w:rFonts w:asciiTheme="minorHAnsi" w:hAnsiTheme="minorHAnsi" w:cstheme="minorHAnsi"/>
          <w:lang w:val="en-US"/>
        </w:rPr>
        <w:t>.</w:t>
      </w:r>
      <w:r w:rsidRPr="005A464E">
        <w:rPr>
          <w:rFonts w:asciiTheme="minorHAnsi" w:hAnsiTheme="minorHAnsi" w:cstheme="minorHAnsi"/>
          <w:lang w:val="en-US"/>
        </w:rPr>
        <w:t xml:space="preserve"> </w:t>
      </w:r>
      <w:hyperlink r:id="rId216" w:tgtFrame="_blank" w:tooltip="Persistent link using digital object identifier" w:history="1">
        <w:r w:rsidRPr="005A464E">
          <w:rPr>
            <w:rStyle w:val="-"/>
            <w:rFonts w:asciiTheme="minorHAnsi" w:hAnsiTheme="minorHAnsi" w:cstheme="minorHAnsi"/>
            <w:color w:val="auto"/>
            <w:u w:val="none"/>
            <w:lang w:val="en-US"/>
          </w:rPr>
          <w:t>https://</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.org/10.1016/0020-7489(95)00055-0</w:t>
        </w:r>
      </w:hyperlink>
      <w:r w:rsidR="007D7AE2"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Style w:val="element-citation"/>
          <w:rFonts w:asciiTheme="minorHAnsi" w:hAnsiTheme="minorHAnsi" w:cstheme="minorHAnsi"/>
          <w:lang w:val="en-US"/>
        </w:rPr>
      </w:pPr>
      <w:r w:rsidRPr="005A464E">
        <w:rPr>
          <w:rStyle w:val="element-citation"/>
          <w:rFonts w:asciiTheme="minorHAnsi" w:hAnsiTheme="minorHAnsi" w:cstheme="minorHAnsi"/>
          <w:lang w:val="en-US"/>
        </w:rPr>
        <w:t xml:space="preserve">Hess, J.D. (1996). The ethics of compliance: dialectic. </w:t>
      </w:r>
      <w:r w:rsidRPr="005A464E">
        <w:rPr>
          <w:rStyle w:val="element-citation"/>
          <w:rFonts w:asciiTheme="minorHAnsi" w:hAnsiTheme="minorHAnsi" w:cstheme="minorHAnsi"/>
          <w:i/>
          <w:lang w:val="en-US"/>
        </w:rPr>
        <w:t>Advances in Nursing Science</w:t>
      </w:r>
      <w:r w:rsidR="001E16D7" w:rsidRPr="005A464E">
        <w:rPr>
          <w:rStyle w:val="element-citation"/>
          <w:rFonts w:asciiTheme="minorHAnsi" w:hAnsiTheme="minorHAnsi" w:cstheme="minorHAnsi"/>
          <w:i/>
          <w:lang w:val="en-US"/>
        </w:rPr>
        <w:t>,</w:t>
      </w:r>
      <w:r w:rsidR="00156254">
        <w:rPr>
          <w:rStyle w:val="element-citation"/>
          <w:rFonts w:asciiTheme="minorHAnsi" w:hAnsiTheme="minorHAnsi" w:cstheme="minorHAnsi"/>
          <w:lang w:val="en-US"/>
        </w:rPr>
        <w:t xml:space="preserve"> </w:t>
      </w:r>
      <w:r w:rsidR="00156254" w:rsidRPr="00156254">
        <w:rPr>
          <w:rStyle w:val="element-citation"/>
          <w:rFonts w:asciiTheme="minorHAnsi" w:hAnsiTheme="minorHAnsi" w:cstheme="minorHAnsi"/>
          <w:i/>
          <w:lang w:val="en-US"/>
        </w:rPr>
        <w:t>19</w:t>
      </w:r>
      <w:r w:rsidR="007D7AE2" w:rsidRPr="005A464E">
        <w:rPr>
          <w:rStyle w:val="element-citation"/>
          <w:rFonts w:asciiTheme="minorHAnsi" w:hAnsiTheme="minorHAnsi" w:cstheme="minorHAnsi"/>
          <w:lang w:val="en-US"/>
        </w:rPr>
        <w:t xml:space="preserve">, </w:t>
      </w:r>
      <w:r w:rsidRPr="005A464E">
        <w:rPr>
          <w:rStyle w:val="element-citation"/>
          <w:rFonts w:asciiTheme="minorHAnsi" w:hAnsiTheme="minorHAnsi" w:cstheme="minorHAnsi"/>
          <w:lang w:val="en-US"/>
        </w:rPr>
        <w:t>18-27.</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Hicks, L.S., Cleary, P.D., Epstein, A.M., &amp; Ayanian, J.Z. (2004). Differences in health-related quality of life and treatment preferences among black and white patients with end-stage renal disease. </w:t>
      </w:r>
      <w:r w:rsidRPr="005A464E">
        <w:rPr>
          <w:rFonts w:asciiTheme="minorHAnsi" w:hAnsiTheme="minorHAnsi" w:cstheme="minorHAnsi"/>
          <w:i/>
          <w:iCs/>
          <w:lang w:val="en-US"/>
        </w:rPr>
        <w:t>Quality of Life Research Journal</w:t>
      </w:r>
      <w:r w:rsidRPr="005A464E">
        <w:rPr>
          <w:rFonts w:asciiTheme="minorHAnsi" w:hAnsiTheme="minorHAnsi" w:cstheme="minorHAnsi"/>
          <w:iCs/>
          <w:lang w:val="en-US"/>
        </w:rPr>
        <w:t xml:space="preserve">, </w:t>
      </w:r>
      <w:r w:rsidRPr="00156254">
        <w:rPr>
          <w:rFonts w:asciiTheme="minorHAnsi" w:hAnsiTheme="minorHAnsi" w:cstheme="minorHAnsi"/>
          <w:i/>
          <w:iCs/>
          <w:lang w:val="en-US"/>
        </w:rPr>
        <w:t>13</w:t>
      </w:r>
      <w:r w:rsidRPr="005A464E">
        <w:rPr>
          <w:rFonts w:asciiTheme="minorHAnsi" w:hAnsiTheme="minorHAnsi" w:cstheme="minorHAnsi"/>
          <w:lang w:val="en-US"/>
        </w:rPr>
        <w:t>, 1129-1137.</w:t>
      </w:r>
      <w:r w:rsidRPr="005A464E">
        <w:rPr>
          <w:rFonts w:asciiTheme="minorHAnsi" w:hAnsiTheme="minorHAnsi" w:cstheme="minorHAnsi"/>
          <w:shd w:val="clear" w:color="auto" w:fill="FFFFFF"/>
          <w:lang w:val="en-US"/>
        </w:rPr>
        <w:t xml:space="preserve">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w:t>
      </w:r>
      <w:r w:rsidRPr="005A464E">
        <w:rPr>
          <w:rStyle w:val="apple-converted-space"/>
          <w:rFonts w:asciiTheme="minorHAnsi" w:hAnsiTheme="minorHAnsi" w:cstheme="minorHAnsi"/>
          <w:shd w:val="clear" w:color="auto" w:fill="FFFFFF"/>
          <w:lang w:val="en-US"/>
        </w:rPr>
        <w:t> </w:t>
      </w:r>
      <w:hyperlink r:id="rId217" w:history="1">
        <w:r w:rsidRPr="005A464E">
          <w:rPr>
            <w:rStyle w:val="-"/>
            <w:rFonts w:asciiTheme="minorHAnsi" w:hAnsiTheme="minorHAnsi" w:cstheme="minorHAnsi"/>
            <w:color w:val="auto"/>
            <w:u w:val="none"/>
            <w:shd w:val="clear" w:color="auto" w:fill="FFFFFF"/>
            <w:lang w:val="en-US"/>
          </w:rPr>
          <w:t>10.1023/B:QURE.0000031350.56924.cc</w:t>
        </w:r>
      </w:hyperlink>
    </w:p>
    <w:p w:rsidR="003C410F" w:rsidRPr="005A464E" w:rsidRDefault="003C410F" w:rsidP="005A464E">
      <w:pPr>
        <w:pStyle w:val="Web"/>
        <w:spacing w:after="166" w:line="360" w:lineRule="auto"/>
        <w:ind w:left="415" w:hanging="415"/>
        <w:jc w:val="both"/>
        <w:rPr>
          <w:rStyle w:val="element-citation"/>
          <w:rFonts w:asciiTheme="minorHAnsi" w:hAnsiTheme="minorHAnsi" w:cstheme="minorHAnsi"/>
          <w:lang w:val="en-US"/>
        </w:rPr>
      </w:pPr>
      <w:r w:rsidRPr="005A464E">
        <w:rPr>
          <w:rStyle w:val="element-citation"/>
          <w:rFonts w:asciiTheme="minorHAnsi" w:hAnsiTheme="minorHAnsi" w:cstheme="minorHAnsi"/>
          <w:lang w:val="en-US"/>
        </w:rPr>
        <w:t xml:space="preserve">Hill-Briggs, F. (2003). Problem solving in diabetes self-management: a model of chronic illness self-management behavior. </w:t>
      </w:r>
      <w:r w:rsidRPr="005A464E">
        <w:rPr>
          <w:rStyle w:val="element-citation"/>
          <w:rFonts w:asciiTheme="minorHAnsi" w:hAnsiTheme="minorHAnsi" w:cstheme="minorHAnsi"/>
          <w:i/>
          <w:lang w:val="en-US"/>
        </w:rPr>
        <w:t xml:space="preserve">Annals of Behavioral </w:t>
      </w:r>
      <w:r w:rsidRPr="00156254">
        <w:rPr>
          <w:rStyle w:val="element-citation"/>
          <w:rFonts w:asciiTheme="minorHAnsi" w:hAnsiTheme="minorHAnsi" w:cstheme="minorHAnsi"/>
          <w:i/>
          <w:lang w:val="en-US"/>
        </w:rPr>
        <w:t xml:space="preserve">Medicine, </w:t>
      </w:r>
      <w:r w:rsidR="00156254" w:rsidRPr="00156254">
        <w:rPr>
          <w:rStyle w:val="element-citation"/>
          <w:rFonts w:asciiTheme="minorHAnsi" w:hAnsiTheme="minorHAnsi" w:cstheme="minorHAnsi"/>
          <w:i/>
          <w:lang w:val="en-US"/>
        </w:rPr>
        <w:t>25</w:t>
      </w:r>
      <w:r w:rsidR="00156254">
        <w:rPr>
          <w:rStyle w:val="element-citation"/>
          <w:rFonts w:asciiTheme="minorHAnsi" w:hAnsiTheme="minorHAnsi" w:cstheme="minorHAnsi"/>
          <w:lang w:val="en-US"/>
        </w:rPr>
        <w:t xml:space="preserve">, </w:t>
      </w:r>
      <w:r w:rsidRPr="005A464E">
        <w:rPr>
          <w:rStyle w:val="element-citation"/>
          <w:rFonts w:asciiTheme="minorHAnsi" w:hAnsiTheme="minorHAnsi" w:cstheme="minorHAnsi"/>
          <w:lang w:val="en-US"/>
        </w:rPr>
        <w:t>182-93</w:t>
      </w:r>
      <w:r w:rsidRPr="005A464E">
        <w:rPr>
          <w:rFonts w:asciiTheme="minorHAnsi" w:hAnsiTheme="minorHAnsi" w:cstheme="minorHAnsi"/>
          <w:lang w:val="en-US"/>
        </w:rPr>
        <w:t xml:space="preserve"> </w:t>
      </w:r>
      <w:r w:rsidR="00292B29" w:rsidRPr="005A464E">
        <w:rPr>
          <w:rFonts w:asciiTheme="minorHAnsi" w:hAnsiTheme="minorHAnsi" w:cstheme="minorHAnsi"/>
          <w:lang w:val="en-US"/>
        </w:rPr>
        <w:t>DOI</w:t>
      </w:r>
      <w:r w:rsidRPr="005A464E">
        <w:rPr>
          <w:rFonts w:asciiTheme="minorHAnsi" w:hAnsiTheme="minorHAnsi" w:cstheme="minorHAnsi"/>
          <w:spacing w:val="3"/>
          <w:shd w:val="clear" w:color="auto" w:fill="FCFCFC"/>
          <w:lang w:val="en-US"/>
        </w:rPr>
        <w:t>: 10.1207/S15324796ABM2503_04</w:t>
      </w:r>
    </w:p>
    <w:p w:rsidR="003C410F" w:rsidRPr="005A464E" w:rsidRDefault="003C410F" w:rsidP="005A464E">
      <w:pPr>
        <w:pStyle w:val="Web"/>
        <w:spacing w:after="166" w:line="360" w:lineRule="auto"/>
        <w:ind w:left="415" w:hanging="415"/>
        <w:jc w:val="both"/>
        <w:rPr>
          <w:rStyle w:val="element-citation"/>
          <w:rFonts w:asciiTheme="minorHAnsi" w:hAnsiTheme="minorHAnsi" w:cstheme="minorHAnsi"/>
          <w:lang w:val="en-US"/>
        </w:rPr>
      </w:pPr>
      <w:r w:rsidRPr="005A464E">
        <w:rPr>
          <w:rStyle w:val="element-citation"/>
          <w:rFonts w:asciiTheme="minorHAnsi" w:hAnsiTheme="minorHAnsi" w:cstheme="minorHAnsi"/>
          <w:lang w:val="en-US"/>
        </w:rPr>
        <w:t>Hillege, H.L., Janssen, W.M., Bak, A.A., Diercks, G.F., Grobbee, D.E., Crijns, H.J,</w:t>
      </w:r>
      <w:r w:rsidRPr="005A464E">
        <w:rPr>
          <w:rStyle w:val="apple-converted-space"/>
          <w:rFonts w:asciiTheme="minorHAnsi" w:hAnsiTheme="minorHAnsi" w:cstheme="minorHAnsi"/>
          <w:shd w:val="clear" w:color="auto" w:fill="FFFFFF"/>
          <w:lang w:val="en-US"/>
        </w:rPr>
        <w:t> </w:t>
      </w:r>
      <w:r w:rsidR="007D7AE2" w:rsidRPr="005A464E">
        <w:rPr>
          <w:rStyle w:val="apple-converted-space"/>
          <w:rFonts w:asciiTheme="minorHAnsi" w:hAnsiTheme="minorHAnsi" w:cstheme="minorHAnsi"/>
          <w:shd w:val="clear" w:color="auto" w:fill="FFFFFF"/>
          <w:lang w:val="en-US"/>
        </w:rPr>
        <w:t>&amp;</w:t>
      </w:r>
      <w:r w:rsidRPr="005A464E">
        <w:rPr>
          <w:rStyle w:val="element-citation"/>
          <w:rFonts w:asciiTheme="minorHAnsi" w:hAnsiTheme="minorHAnsi" w:cstheme="minorHAnsi"/>
          <w:lang w:val="en-US"/>
        </w:rPr>
        <w:t xml:space="preserve"> Prevend Study Group</w:t>
      </w:r>
      <w:r w:rsidR="00417697" w:rsidRPr="005A464E">
        <w:rPr>
          <w:rStyle w:val="element-citation"/>
          <w:rFonts w:asciiTheme="minorHAnsi" w:hAnsiTheme="minorHAnsi" w:cstheme="minorHAnsi"/>
          <w:lang w:val="en-US"/>
        </w:rPr>
        <w:t xml:space="preserve"> (2001)</w:t>
      </w:r>
      <w:r w:rsidRPr="005A464E">
        <w:rPr>
          <w:rStyle w:val="element-citation"/>
          <w:rFonts w:asciiTheme="minorHAnsi" w:hAnsiTheme="minorHAnsi" w:cstheme="minorHAnsi"/>
          <w:lang w:val="en-US"/>
        </w:rPr>
        <w:t xml:space="preserve">. Microalbuminuria is common, also in a nondiabetic, nonhypertensive population, and an independent indicator of cardiovascular risk factors and cardiovascular morbidity. </w:t>
      </w:r>
      <w:r w:rsidRPr="005A464E">
        <w:rPr>
          <w:rStyle w:val="element-citation"/>
          <w:rFonts w:asciiTheme="minorHAnsi" w:hAnsiTheme="minorHAnsi" w:cstheme="minorHAnsi"/>
          <w:i/>
          <w:lang w:val="en-US"/>
        </w:rPr>
        <w:t>Journal of Internal</w:t>
      </w:r>
      <w:r w:rsidRPr="005A464E">
        <w:rPr>
          <w:rStyle w:val="element-citation"/>
          <w:rFonts w:asciiTheme="minorHAnsi" w:hAnsiTheme="minorHAnsi" w:cstheme="minorHAnsi"/>
          <w:lang w:val="en-US"/>
        </w:rPr>
        <w:t xml:space="preserve"> </w:t>
      </w:r>
      <w:r w:rsidRPr="005A464E">
        <w:rPr>
          <w:rStyle w:val="element-citation"/>
          <w:rFonts w:asciiTheme="minorHAnsi" w:hAnsiTheme="minorHAnsi" w:cstheme="minorHAnsi"/>
          <w:i/>
          <w:lang w:val="en-US"/>
        </w:rPr>
        <w:t>Medicine</w:t>
      </w:r>
      <w:r w:rsidR="00156254">
        <w:rPr>
          <w:rStyle w:val="element-citation"/>
          <w:rFonts w:asciiTheme="minorHAnsi" w:hAnsiTheme="minorHAnsi" w:cstheme="minorHAnsi"/>
          <w:lang w:val="en-US"/>
        </w:rPr>
        <w:t xml:space="preserve">, </w:t>
      </w:r>
      <w:r w:rsidR="00156254" w:rsidRPr="00156254">
        <w:rPr>
          <w:rStyle w:val="element-citation"/>
          <w:rFonts w:asciiTheme="minorHAnsi" w:hAnsiTheme="minorHAnsi" w:cstheme="minorHAnsi"/>
          <w:i/>
          <w:lang w:val="en-US"/>
        </w:rPr>
        <w:t>249,</w:t>
      </w:r>
      <w:r w:rsidRPr="005A464E">
        <w:rPr>
          <w:rStyle w:val="element-citation"/>
          <w:rFonts w:asciiTheme="minorHAnsi" w:hAnsiTheme="minorHAnsi" w:cstheme="minorHAnsi"/>
          <w:lang w:val="en-US"/>
        </w:rPr>
        <w:t xml:space="preserve"> 519-</w:t>
      </w:r>
      <w:r w:rsidR="007D7AE2" w:rsidRPr="005A464E">
        <w:rPr>
          <w:rStyle w:val="element-citation"/>
          <w:rFonts w:asciiTheme="minorHAnsi" w:hAnsiTheme="minorHAnsi" w:cstheme="minorHAnsi"/>
          <w:lang w:val="en-US"/>
        </w:rPr>
        <w:t>5</w:t>
      </w:r>
      <w:r w:rsidRPr="005A464E">
        <w:rPr>
          <w:rStyle w:val="element-citation"/>
          <w:rFonts w:asciiTheme="minorHAnsi" w:hAnsiTheme="minorHAnsi" w:cstheme="minorHAnsi"/>
          <w:lang w:val="en-US"/>
        </w:rPr>
        <w:t>26.</w:t>
      </w:r>
      <w:r w:rsidRPr="005A464E">
        <w:rPr>
          <w:rStyle w:val="1Char"/>
          <w:rFonts w:asciiTheme="minorHAnsi" w:eastAsia="Calibri" w:hAnsiTheme="minorHAnsi" w:cs="Arial"/>
          <w:b w:val="0"/>
          <w:bCs w:val="0"/>
          <w:color w:val="auto"/>
          <w:sz w:val="24"/>
          <w:szCs w:val="24"/>
          <w:bdr w:val="none" w:sz="0" w:space="0" w:color="auto" w:frame="1"/>
          <w:shd w:val="clear" w:color="auto" w:fill="FFFFFF"/>
          <w:lang w:val="en-US"/>
        </w:rPr>
        <w:t xml:space="preserve"> </w:t>
      </w:r>
      <w:r w:rsidR="00292B29" w:rsidRPr="005A464E">
        <w:rPr>
          <w:rStyle w:val="article-headermeta-info-label"/>
          <w:rFonts w:asciiTheme="minorHAnsi" w:hAnsiTheme="minorHAnsi" w:cstheme="minorHAnsi"/>
          <w:bCs/>
          <w:bdr w:val="none" w:sz="0" w:space="0" w:color="auto" w:frame="1"/>
          <w:shd w:val="clear" w:color="auto" w:fill="FFFFFF"/>
          <w:lang w:val="en-US"/>
        </w:rPr>
        <w:t>DOI</w:t>
      </w:r>
      <w:r w:rsidRPr="005A464E">
        <w:rPr>
          <w:rStyle w:val="article-headermeta-info-label"/>
          <w:rFonts w:asciiTheme="minorHAnsi" w:hAnsiTheme="minorHAnsi" w:cstheme="minorHAnsi"/>
          <w:bCs/>
          <w:bdr w:val="none" w:sz="0" w:space="0" w:color="auto" w:frame="1"/>
          <w:shd w:val="clear" w:color="auto" w:fill="FFFFFF"/>
          <w:lang w:val="en-US"/>
        </w:rPr>
        <w:t>:</w:t>
      </w:r>
      <w:r w:rsidRPr="005A464E">
        <w:rPr>
          <w:rStyle w:val="apple-converted-space"/>
          <w:rFonts w:asciiTheme="minorHAnsi" w:hAnsiTheme="minorHAnsi" w:cstheme="minorHAnsi"/>
          <w:bCs/>
          <w:bdr w:val="none" w:sz="0" w:space="0" w:color="auto" w:frame="1"/>
          <w:shd w:val="clear" w:color="auto" w:fill="FFFFFF"/>
          <w:lang w:val="en-US"/>
        </w:rPr>
        <w:t> </w:t>
      </w:r>
      <w:r w:rsidRPr="005A464E">
        <w:rPr>
          <w:rStyle w:val="article-headermeta-info-data"/>
          <w:rFonts w:asciiTheme="minorHAnsi" w:hAnsiTheme="minorHAnsi" w:cstheme="minorHAnsi"/>
          <w:bdr w:val="none" w:sz="0" w:space="0" w:color="auto" w:frame="1"/>
          <w:shd w:val="clear" w:color="auto" w:fill="FFFFFF"/>
          <w:lang w:val="en-US"/>
        </w:rPr>
        <w:t>10.1046/j.1365-2796.2001.00833.x</w:t>
      </w:r>
      <w:r w:rsidR="007D7AE2" w:rsidRPr="005A464E">
        <w:rPr>
          <w:rStyle w:val="article-headermeta-info-data"/>
          <w:rFonts w:asciiTheme="minorHAnsi" w:hAnsiTheme="minorHAnsi" w:cstheme="minorHAnsi"/>
          <w:bdr w:val="none" w:sz="0" w:space="0" w:color="auto" w:frame="1"/>
          <w:shd w:val="clear" w:color="auto" w:fill="FFFFFF"/>
          <w:lang w:val="en-US"/>
        </w:rPr>
        <w:t>.</w:t>
      </w:r>
    </w:p>
    <w:p w:rsidR="003C410F" w:rsidRPr="005A464E" w:rsidRDefault="008F3609" w:rsidP="005A464E">
      <w:pPr>
        <w:pStyle w:val="Web"/>
        <w:spacing w:after="166" w:line="360" w:lineRule="auto"/>
        <w:ind w:left="415" w:hanging="415"/>
        <w:jc w:val="both"/>
        <w:rPr>
          <w:rFonts w:asciiTheme="minorHAnsi" w:eastAsia="Times New Roman" w:hAnsiTheme="minorHAnsi" w:cstheme="minorHAnsi"/>
          <w:lang w:val="en-US" w:eastAsia="el-GR"/>
        </w:rPr>
      </w:pPr>
      <w:hyperlink r:id="rId218" w:history="1">
        <w:r w:rsidR="003C410F" w:rsidRPr="005A464E">
          <w:rPr>
            <w:rFonts w:asciiTheme="minorHAnsi" w:eastAsia="Times New Roman" w:hAnsiTheme="minorHAnsi" w:cstheme="minorHAnsi"/>
            <w:lang w:val="en-US" w:eastAsia="el-GR"/>
          </w:rPr>
          <w:t>Himmelfarb, J</w:t>
        </w:r>
      </w:hyperlink>
      <w:r w:rsidR="003C410F" w:rsidRPr="005A464E">
        <w:rPr>
          <w:rFonts w:asciiTheme="minorHAnsi" w:hAnsiTheme="minorHAnsi" w:cstheme="minorHAnsi"/>
          <w:lang w:val="en-US"/>
        </w:rPr>
        <w:t xml:space="preserve">., </w:t>
      </w:r>
      <w:r w:rsidR="003C410F" w:rsidRPr="005A464E">
        <w:rPr>
          <w:rFonts w:asciiTheme="minorHAnsi" w:eastAsia="Times New Roman" w:hAnsiTheme="minorHAnsi" w:cstheme="minorHAnsi"/>
          <w:lang w:val="en-US" w:eastAsia="el-GR"/>
        </w:rPr>
        <w:t>&amp; </w:t>
      </w:r>
      <w:hyperlink r:id="rId219" w:history="1">
        <w:r w:rsidR="003C410F" w:rsidRPr="005A464E">
          <w:rPr>
            <w:rFonts w:asciiTheme="minorHAnsi" w:eastAsia="Times New Roman" w:hAnsiTheme="minorHAnsi" w:cstheme="minorHAnsi"/>
            <w:lang w:val="en-US" w:eastAsia="el-GR"/>
          </w:rPr>
          <w:t>Ikizler, T.A</w:t>
        </w:r>
      </w:hyperlink>
      <w:r w:rsidR="00292B29" w:rsidRPr="005A464E">
        <w:rPr>
          <w:rFonts w:asciiTheme="minorHAnsi" w:eastAsia="Times New Roman" w:hAnsiTheme="minorHAnsi" w:cstheme="minorHAnsi"/>
          <w:lang w:val="en-US" w:eastAsia="el-GR"/>
        </w:rPr>
        <w:t>. (2010).</w:t>
      </w:r>
      <w:r w:rsidR="003C410F" w:rsidRPr="005A464E">
        <w:rPr>
          <w:rFonts w:asciiTheme="minorHAnsi" w:eastAsia="Times New Roman" w:hAnsiTheme="minorHAnsi" w:cstheme="minorHAnsi"/>
          <w:lang w:val="en-US" w:eastAsia="el-GR"/>
        </w:rPr>
        <w:t xml:space="preserve"> </w:t>
      </w:r>
      <w:r w:rsidR="003C410F" w:rsidRPr="005A464E">
        <w:rPr>
          <w:rFonts w:asciiTheme="minorHAnsi" w:eastAsia="Times New Roman" w:hAnsiTheme="minorHAnsi" w:cstheme="minorHAnsi"/>
          <w:bCs/>
          <w:kern w:val="36"/>
          <w:lang w:val="en-US" w:eastAsia="el-GR"/>
        </w:rPr>
        <w:t xml:space="preserve">Hemodialysis. </w:t>
      </w:r>
      <w:hyperlink r:id="rId220" w:tooltip="The New England journal of medicine." w:history="1">
        <w:r w:rsidR="003C410F" w:rsidRPr="005A464E">
          <w:rPr>
            <w:rFonts w:asciiTheme="minorHAnsi" w:eastAsia="Times New Roman" w:hAnsiTheme="minorHAnsi" w:cstheme="minorHAnsi"/>
            <w:i/>
            <w:lang w:val="en-US" w:eastAsia="el-GR"/>
          </w:rPr>
          <w:t>New England Journal of Medicine</w:t>
        </w:r>
        <w:r w:rsidR="003C410F" w:rsidRPr="005A464E">
          <w:rPr>
            <w:rFonts w:asciiTheme="minorHAnsi" w:eastAsia="Times New Roman" w:hAnsiTheme="minorHAnsi" w:cstheme="minorHAnsi"/>
            <w:lang w:val="en-US" w:eastAsia="el-GR"/>
          </w:rPr>
          <w:t>,</w:t>
        </w:r>
      </w:hyperlink>
      <w:r w:rsidR="0078495A">
        <w:rPr>
          <w:rFonts w:asciiTheme="minorHAnsi" w:hAnsiTheme="minorHAnsi" w:cstheme="minorHAnsi"/>
          <w:lang w:val="en-US"/>
        </w:rPr>
        <w:t xml:space="preserve"> </w:t>
      </w:r>
      <w:r w:rsidR="007D7AE2" w:rsidRPr="005A464E">
        <w:rPr>
          <w:rFonts w:asciiTheme="minorHAnsi" w:eastAsia="Times New Roman" w:hAnsiTheme="minorHAnsi" w:cstheme="minorHAnsi"/>
          <w:lang w:val="en-US" w:eastAsia="el-GR"/>
        </w:rPr>
        <w:t xml:space="preserve"> </w:t>
      </w:r>
      <w:r w:rsidR="007D7AE2" w:rsidRPr="00156254">
        <w:rPr>
          <w:rFonts w:asciiTheme="minorHAnsi" w:eastAsia="Times New Roman" w:hAnsiTheme="minorHAnsi" w:cstheme="minorHAnsi"/>
          <w:i/>
          <w:lang w:val="en-US" w:eastAsia="el-GR"/>
        </w:rPr>
        <w:t>363</w:t>
      </w:r>
      <w:r w:rsidR="007D7AE2" w:rsidRPr="005A464E">
        <w:rPr>
          <w:rFonts w:asciiTheme="minorHAnsi" w:eastAsia="Times New Roman" w:hAnsiTheme="minorHAnsi" w:cstheme="minorHAnsi"/>
          <w:lang w:val="en-US" w:eastAsia="el-GR"/>
        </w:rPr>
        <w:t xml:space="preserve">, </w:t>
      </w:r>
      <w:r w:rsidR="003C410F" w:rsidRPr="005A464E">
        <w:rPr>
          <w:rFonts w:asciiTheme="minorHAnsi" w:eastAsia="Times New Roman" w:hAnsiTheme="minorHAnsi" w:cstheme="minorHAnsi"/>
          <w:lang w:val="en-US" w:eastAsia="el-GR"/>
        </w:rPr>
        <w:t>1833-</w:t>
      </w:r>
      <w:r w:rsidR="007D7AE2" w:rsidRPr="005A464E">
        <w:rPr>
          <w:rFonts w:asciiTheme="minorHAnsi" w:eastAsia="Times New Roman" w:hAnsiTheme="minorHAnsi" w:cstheme="minorHAnsi"/>
          <w:lang w:val="en-US" w:eastAsia="el-GR"/>
        </w:rPr>
        <w:t>18</w:t>
      </w:r>
      <w:r w:rsidR="003C410F" w:rsidRPr="005A464E">
        <w:rPr>
          <w:rFonts w:asciiTheme="minorHAnsi" w:eastAsia="Times New Roman" w:hAnsiTheme="minorHAnsi" w:cstheme="minorHAnsi"/>
          <w:lang w:val="en-US" w:eastAsia="el-GR"/>
        </w:rPr>
        <w:t>45.</w:t>
      </w:r>
      <w:r w:rsidR="003C410F" w:rsidRPr="005A464E">
        <w:rPr>
          <w:rFonts w:asciiTheme="minorHAnsi" w:hAnsiTheme="minorHAnsi" w:cs="Arial"/>
          <w:shd w:val="clear" w:color="auto" w:fill="FFFFFF"/>
          <w:lang w:val="en-US"/>
        </w:rPr>
        <w:t xml:space="preserve"> </w:t>
      </w:r>
      <w:r w:rsidR="00292B29" w:rsidRPr="005A464E">
        <w:rPr>
          <w:rFonts w:asciiTheme="minorHAnsi" w:hAnsiTheme="minorHAnsi" w:cstheme="minorHAnsi"/>
          <w:shd w:val="clear" w:color="auto" w:fill="FFFFFF"/>
          <w:lang w:val="en-US"/>
        </w:rPr>
        <w:t>DOI</w:t>
      </w:r>
      <w:r w:rsidR="003C410F" w:rsidRPr="005A464E">
        <w:rPr>
          <w:rFonts w:asciiTheme="minorHAnsi" w:hAnsiTheme="minorHAnsi" w:cstheme="minorHAnsi"/>
          <w:shd w:val="clear" w:color="auto" w:fill="FFFFFF"/>
          <w:lang w:val="en-US"/>
        </w:rPr>
        <w:t>: 10.1056/NEJMra0902710</w:t>
      </w:r>
      <w:r w:rsidR="007D7AE2" w:rsidRPr="005A464E">
        <w:rPr>
          <w:rFonts w:asciiTheme="minorHAnsi" w:hAnsiTheme="minorHAnsi" w:cstheme="minorHAnsi"/>
          <w:shd w:val="clear" w:color="auto" w:fill="FFFFFF"/>
          <w:lang w:val="en-US"/>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Holder, B. (1997).</w:t>
      </w:r>
      <w:r w:rsidR="0078495A">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 xml:space="preserve">Family support and survival among African-American end-stage renal disease patients. </w:t>
      </w:r>
      <w:r w:rsidRPr="005A464E">
        <w:rPr>
          <w:rFonts w:asciiTheme="minorHAnsi" w:eastAsia="Times New Roman" w:hAnsiTheme="minorHAnsi" w:cstheme="minorHAnsi"/>
          <w:i/>
          <w:lang w:val="en-US" w:eastAsia="el-GR"/>
        </w:rPr>
        <w:t>Advances in Renal Replace Therapy,</w:t>
      </w:r>
      <w:r w:rsidR="001E16D7" w:rsidRPr="005A464E">
        <w:rPr>
          <w:rFonts w:asciiTheme="minorHAnsi" w:eastAsia="Times New Roman" w:hAnsiTheme="minorHAnsi" w:cstheme="minorHAnsi"/>
          <w:lang w:val="en-US" w:eastAsia="el-GR"/>
        </w:rPr>
        <w:t xml:space="preserve"> </w:t>
      </w:r>
      <w:r w:rsidR="001E16D7" w:rsidRPr="00156254">
        <w:rPr>
          <w:rFonts w:asciiTheme="minorHAnsi" w:eastAsia="Times New Roman" w:hAnsiTheme="minorHAnsi" w:cstheme="minorHAnsi"/>
          <w:i/>
          <w:lang w:val="en-US" w:eastAsia="el-GR"/>
        </w:rPr>
        <w:t>4</w:t>
      </w:r>
      <w:r w:rsidR="001E16D7" w:rsidRPr="005A464E">
        <w:rPr>
          <w:rFonts w:asciiTheme="minorHAnsi" w:eastAsia="Times New Roman" w:hAnsiTheme="minorHAnsi" w:cstheme="minorHAnsi"/>
          <w:lang w:val="en-US" w:eastAsia="el-GR"/>
        </w:rPr>
        <w:t>,</w:t>
      </w:r>
      <w:r w:rsidR="00156254">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13-21.</w:t>
      </w:r>
      <w:r w:rsidRPr="005A464E">
        <w:rPr>
          <w:rFonts w:asciiTheme="minorHAnsi" w:hAnsiTheme="minorHAnsi"/>
          <w:lang w:val="en-US"/>
        </w:rPr>
        <w:t xml:space="preserve"> </w:t>
      </w:r>
      <w:r w:rsidRPr="005A464E">
        <w:rPr>
          <w:rFonts w:asciiTheme="minorHAnsi" w:hAnsiTheme="minorHAnsi"/>
          <w:lang w:val="en-US"/>
        </w:rPr>
        <w:br/>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w:t>
      </w:r>
      <w:r w:rsidRPr="005A464E">
        <w:rPr>
          <w:rStyle w:val="apple-converted-space"/>
          <w:rFonts w:asciiTheme="minorHAnsi" w:hAnsiTheme="minorHAnsi" w:cstheme="minorHAnsi"/>
          <w:shd w:val="clear" w:color="auto" w:fill="FFFFFF"/>
          <w:lang w:val="en-US"/>
        </w:rPr>
        <w:t> </w:t>
      </w:r>
      <w:hyperlink r:id="rId221" w:history="1">
        <w:r w:rsidRPr="005A464E">
          <w:rPr>
            <w:rStyle w:val="-"/>
            <w:rFonts w:asciiTheme="minorHAnsi" w:hAnsiTheme="minorHAnsi" w:cstheme="minorHAnsi"/>
            <w:color w:val="auto"/>
            <w:u w:val="none"/>
            <w:shd w:val="clear" w:color="auto" w:fill="FFFFFF"/>
            <w:lang w:val="en-US"/>
          </w:rPr>
          <w:t>http://dx.</w:t>
        </w:r>
        <w:r w:rsidR="00292B29" w:rsidRPr="005A464E">
          <w:rPr>
            <w:rStyle w:val="-"/>
            <w:rFonts w:asciiTheme="minorHAnsi" w:hAnsiTheme="minorHAnsi" w:cstheme="minorHAnsi"/>
            <w:color w:val="auto"/>
            <w:u w:val="none"/>
            <w:shd w:val="clear" w:color="auto" w:fill="FFFFFF"/>
            <w:lang w:val="en-US"/>
          </w:rPr>
          <w:t>DOI</w:t>
        </w:r>
        <w:r w:rsidRPr="005A464E">
          <w:rPr>
            <w:rStyle w:val="-"/>
            <w:rFonts w:asciiTheme="minorHAnsi" w:hAnsiTheme="minorHAnsi" w:cstheme="minorHAnsi"/>
            <w:color w:val="auto"/>
            <w:u w:val="none"/>
            <w:shd w:val="clear" w:color="auto" w:fill="FFFFFF"/>
            <w:lang w:val="en-US"/>
          </w:rPr>
          <w:t>.org/10.1016/S1073-4449(97)70012-8</w:t>
        </w:r>
      </w:hyperlink>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Hopman, W.M., Towheed, T., Anastasiades, T., Tenehouse, A.,</w:t>
      </w:r>
      <w:r w:rsidR="007D7AE2" w:rsidRPr="005A464E">
        <w:rPr>
          <w:rFonts w:asciiTheme="minorHAnsi" w:eastAsia="Times New Roman" w:hAnsiTheme="minorHAnsi" w:cstheme="minorHAnsi"/>
          <w:lang w:val="en-US" w:eastAsia="el-GR"/>
        </w:rPr>
        <w:t xml:space="preserve"> Poliquin, S., Berger, C.,</w:t>
      </w:r>
      <w:r w:rsidR="007C2040">
        <w:rPr>
          <w:lang w:val="en-US"/>
        </w:rPr>
        <w:t xml:space="preserve"> </w:t>
      </w:r>
      <w:r w:rsidR="007C2040" w:rsidRPr="007C2040">
        <w:rPr>
          <w:rFonts w:asciiTheme="minorHAnsi" w:hAnsiTheme="minorHAnsi"/>
          <w:lang w:val="en-US"/>
        </w:rPr>
        <w:t>&amp;</w:t>
      </w:r>
      <w:r w:rsidR="007D7AE2" w:rsidRPr="007C2040">
        <w:rPr>
          <w:rFonts w:asciiTheme="minorHAnsi" w:hAnsiTheme="minorHAnsi" w:cstheme="minorHAnsi"/>
          <w:shd w:val="clear" w:color="auto" w:fill="FFFFFF"/>
          <w:lang w:val="en-US"/>
        </w:rPr>
        <w:t> </w:t>
      </w:r>
      <w:hyperlink r:id="rId222" w:history="1">
        <w:r w:rsidR="007D7AE2" w:rsidRPr="007C2040">
          <w:rPr>
            <w:rStyle w:val="-"/>
            <w:rFonts w:asciiTheme="minorHAnsi" w:hAnsiTheme="minorHAnsi" w:cstheme="minorHAnsi"/>
            <w:color w:val="auto"/>
            <w:u w:val="none"/>
            <w:shd w:val="clear" w:color="auto" w:fill="FFFFFF"/>
            <w:lang w:val="en-US"/>
          </w:rPr>
          <w:t>Papadimitropoulos,</w:t>
        </w:r>
        <w:r w:rsidR="0078495A">
          <w:rPr>
            <w:rStyle w:val="-"/>
            <w:rFonts w:asciiTheme="minorHAnsi" w:hAnsiTheme="minorHAnsi" w:cstheme="minorHAnsi"/>
            <w:color w:val="auto"/>
            <w:u w:val="none"/>
            <w:shd w:val="clear" w:color="auto" w:fill="FFFFFF"/>
            <w:lang w:val="en-US"/>
          </w:rPr>
          <w:t xml:space="preserve"> </w:t>
        </w:r>
        <w:r w:rsidR="007D7AE2" w:rsidRPr="007C2040">
          <w:rPr>
            <w:rStyle w:val="-"/>
            <w:rFonts w:asciiTheme="minorHAnsi" w:hAnsiTheme="minorHAnsi" w:cstheme="minorHAnsi"/>
            <w:color w:val="auto"/>
            <w:u w:val="none"/>
            <w:shd w:val="clear" w:color="auto" w:fill="FFFFFF"/>
            <w:lang w:val="en-US"/>
          </w:rPr>
          <w:t>E</w:t>
        </w:r>
      </w:hyperlink>
      <w:r w:rsidR="007D7AE2" w:rsidRPr="005A464E">
        <w:rPr>
          <w:rFonts w:asciiTheme="minorHAnsi" w:hAnsiTheme="minorHAnsi" w:cstheme="minorHAnsi"/>
          <w:shd w:val="clear" w:color="auto" w:fill="FFFFFF"/>
          <w:lang w:val="en-US"/>
        </w:rPr>
        <w:t>.</w:t>
      </w:r>
      <w:r w:rsidR="007D7AE2" w:rsidRPr="005A464E">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 xml:space="preserve">(2000). Canadian normative data for the SF-36 health survey. </w:t>
      </w:r>
      <w:r w:rsidRPr="005A464E">
        <w:rPr>
          <w:rFonts w:asciiTheme="minorHAnsi" w:eastAsia="Times New Roman" w:hAnsiTheme="minorHAnsi" w:cstheme="minorHAnsi"/>
          <w:i/>
          <w:lang w:val="en-US" w:eastAsia="el-GR"/>
        </w:rPr>
        <w:t>Canadian Medical Association Journal,</w:t>
      </w:r>
      <w:r w:rsidR="00156254">
        <w:rPr>
          <w:rFonts w:asciiTheme="minorHAnsi" w:eastAsia="Times New Roman" w:hAnsiTheme="minorHAnsi" w:cstheme="minorHAnsi"/>
          <w:lang w:val="en-US" w:eastAsia="el-GR"/>
        </w:rPr>
        <w:t xml:space="preserve"> </w:t>
      </w:r>
      <w:r w:rsidR="00156254" w:rsidRPr="00156254">
        <w:rPr>
          <w:rFonts w:asciiTheme="minorHAnsi" w:eastAsia="Times New Roman" w:hAnsiTheme="minorHAnsi" w:cstheme="minorHAnsi"/>
          <w:i/>
          <w:lang w:val="en-US" w:eastAsia="el-GR"/>
        </w:rPr>
        <w:t>163</w:t>
      </w:r>
      <w:r w:rsidRPr="005A464E">
        <w:rPr>
          <w:rFonts w:asciiTheme="minorHAnsi" w:eastAsia="Times New Roman" w:hAnsiTheme="minorHAnsi" w:cstheme="minorHAnsi"/>
          <w:lang w:val="en-US" w:eastAsia="el-GR"/>
        </w:rPr>
        <w:t>, 265-271</w:t>
      </w:r>
      <w:r w:rsidR="007D7AE2" w:rsidRPr="005A464E">
        <w:rPr>
          <w:rFonts w:asciiTheme="minorHAnsi" w:eastAsia="Times New Roman" w:hAnsiTheme="minorHAnsi" w:cstheme="minorHAnsi"/>
          <w:lang w:val="en-US" w:eastAsia="el-GR"/>
        </w:rPr>
        <w:t>.</w:t>
      </w:r>
    </w:p>
    <w:p w:rsidR="003C410F" w:rsidRPr="005A464E" w:rsidRDefault="003C410F" w:rsidP="005A464E">
      <w:pPr>
        <w:pStyle w:val="Web"/>
        <w:spacing w:after="166" w:line="360" w:lineRule="auto"/>
        <w:ind w:left="415" w:hanging="415"/>
        <w:jc w:val="both"/>
        <w:rPr>
          <w:rStyle w:val="element-citation"/>
          <w:rFonts w:asciiTheme="minorHAnsi" w:hAnsiTheme="minorHAnsi" w:cstheme="minorHAnsi"/>
          <w:lang w:val="en-US"/>
        </w:rPr>
      </w:pPr>
      <w:r w:rsidRPr="005A464E">
        <w:rPr>
          <w:rStyle w:val="element-citation"/>
          <w:rFonts w:asciiTheme="minorHAnsi" w:hAnsiTheme="minorHAnsi" w:cstheme="minorHAnsi"/>
          <w:lang w:val="en-US"/>
        </w:rPr>
        <w:t xml:space="preserve">Horne, R., </w:t>
      </w:r>
      <w:r w:rsidR="007D7AE2" w:rsidRPr="005A464E">
        <w:rPr>
          <w:rStyle w:val="element-citation"/>
          <w:rFonts w:asciiTheme="minorHAnsi" w:hAnsiTheme="minorHAnsi" w:cstheme="minorHAnsi"/>
          <w:lang w:val="en-US"/>
        </w:rPr>
        <w:t xml:space="preserve">&amp; </w:t>
      </w:r>
      <w:r w:rsidRPr="005A464E">
        <w:rPr>
          <w:rStyle w:val="element-citation"/>
          <w:rFonts w:asciiTheme="minorHAnsi" w:hAnsiTheme="minorHAnsi" w:cstheme="minorHAnsi"/>
          <w:lang w:val="en-US"/>
        </w:rPr>
        <w:t>Weinman, J. (2004).</w:t>
      </w:r>
      <w:r w:rsidR="0078495A">
        <w:rPr>
          <w:rStyle w:val="element-citation"/>
          <w:rFonts w:asciiTheme="minorHAnsi" w:hAnsiTheme="minorHAnsi" w:cstheme="minorHAnsi"/>
          <w:lang w:val="en-US"/>
        </w:rPr>
        <w:t xml:space="preserve"> </w:t>
      </w:r>
      <w:r w:rsidRPr="005A464E">
        <w:rPr>
          <w:rStyle w:val="element-citation"/>
          <w:rFonts w:asciiTheme="minorHAnsi" w:hAnsiTheme="minorHAnsi" w:cstheme="minorHAnsi"/>
          <w:lang w:val="en-US"/>
        </w:rPr>
        <w:t xml:space="preserve">The theoretical basis of concordance and issues for research. In: </w:t>
      </w:r>
      <w:r w:rsidRPr="005A464E">
        <w:rPr>
          <w:rStyle w:val="element-citation"/>
          <w:rFonts w:asciiTheme="minorHAnsi" w:hAnsiTheme="minorHAnsi" w:cstheme="minorHAnsi"/>
          <w:i/>
          <w:lang w:val="en-US"/>
        </w:rPr>
        <w:t xml:space="preserve">Bond C </w:t>
      </w:r>
      <w:r w:rsidRPr="00156254">
        <w:rPr>
          <w:rStyle w:val="element-citation"/>
          <w:rFonts w:asciiTheme="minorHAnsi" w:hAnsiTheme="minorHAnsi" w:cstheme="minorHAnsi"/>
          <w:lang w:val="en-US"/>
        </w:rPr>
        <w:t>(Ed</w:t>
      </w:r>
      <w:r w:rsidR="00156254">
        <w:rPr>
          <w:rStyle w:val="element-citation"/>
          <w:rFonts w:asciiTheme="minorHAnsi" w:hAnsiTheme="minorHAnsi" w:cstheme="minorHAnsi"/>
          <w:lang w:val="en-US"/>
        </w:rPr>
        <w:t>.</w:t>
      </w:r>
      <w:r w:rsidRPr="00156254">
        <w:rPr>
          <w:rStyle w:val="element-citation"/>
          <w:rFonts w:asciiTheme="minorHAnsi" w:hAnsiTheme="minorHAnsi" w:cstheme="minorHAnsi"/>
          <w:lang w:val="en-US"/>
        </w:rPr>
        <w:t>)</w:t>
      </w:r>
      <w:r w:rsidR="00156254">
        <w:rPr>
          <w:rStyle w:val="element-citation"/>
          <w:rFonts w:asciiTheme="minorHAnsi" w:hAnsiTheme="minorHAnsi" w:cstheme="minorHAnsi"/>
          <w:lang w:val="en-US"/>
        </w:rPr>
        <w:t>,</w:t>
      </w:r>
      <w:r w:rsidRPr="005A464E">
        <w:rPr>
          <w:rStyle w:val="element-citation"/>
          <w:rFonts w:asciiTheme="minorHAnsi" w:hAnsiTheme="minorHAnsi" w:cstheme="minorHAnsi"/>
          <w:i/>
          <w:lang w:val="en-US"/>
        </w:rPr>
        <w:t xml:space="preserve"> Concordance: a partnership in medicine –taking.</w:t>
      </w:r>
      <w:r w:rsidRPr="005A464E">
        <w:rPr>
          <w:rStyle w:val="element-citation"/>
          <w:rFonts w:asciiTheme="minorHAnsi" w:hAnsiTheme="minorHAnsi" w:cstheme="minorHAnsi"/>
          <w:lang w:val="en-US"/>
        </w:rPr>
        <w:t xml:space="preserve"> Pharmaceutical Press London.</w:t>
      </w:r>
    </w:p>
    <w:p w:rsidR="003C410F" w:rsidRPr="005A464E" w:rsidRDefault="003C410F" w:rsidP="005A464E">
      <w:pPr>
        <w:pStyle w:val="Web"/>
        <w:spacing w:after="166" w:line="360" w:lineRule="auto"/>
        <w:ind w:left="415" w:hanging="415"/>
        <w:jc w:val="both"/>
        <w:rPr>
          <w:rStyle w:val="element-citation"/>
          <w:rFonts w:asciiTheme="minorHAnsi" w:hAnsiTheme="minorHAnsi" w:cstheme="minorHAnsi"/>
          <w:lang w:val="en-US"/>
        </w:rPr>
      </w:pPr>
      <w:r w:rsidRPr="005A464E">
        <w:rPr>
          <w:rStyle w:val="element-citation"/>
          <w:rFonts w:asciiTheme="minorHAnsi" w:hAnsiTheme="minorHAnsi" w:cstheme="minorHAnsi"/>
          <w:lang w:val="en-US"/>
        </w:rPr>
        <w:t>Horne, R., Weinman, J., Barber, N., Elliot, R., &amp; Morgan, M. (2005). Concordance, adherence and compliance in medicine taking.</w:t>
      </w:r>
      <w:r w:rsidRPr="005A464E">
        <w:rPr>
          <w:rFonts w:asciiTheme="minorHAnsi" w:hAnsiTheme="minorHAnsi"/>
          <w:lang w:val="en-US"/>
        </w:rPr>
        <w:t xml:space="preserve"> </w:t>
      </w:r>
      <w:r w:rsidRPr="005A464E">
        <w:rPr>
          <w:rFonts w:asciiTheme="minorHAnsi" w:hAnsiTheme="minorHAnsi" w:cstheme="minorHAnsi"/>
          <w:i/>
          <w:lang w:val="en-US"/>
        </w:rPr>
        <w:t>Report for the National Co-ordinating Centre for NHS Service Delivery and Organisation R &amp; D (NCC</w:t>
      </w:r>
      <w:r w:rsidR="00D225F5" w:rsidRPr="005A464E">
        <w:rPr>
          <w:rFonts w:asciiTheme="minorHAnsi" w:hAnsiTheme="minorHAnsi" w:cstheme="minorHAnsi"/>
          <w:i/>
          <w:lang w:val="en-US"/>
        </w:rPr>
        <w:t>ΤΑ</w:t>
      </w:r>
      <w:r w:rsidRPr="005A464E">
        <w:rPr>
          <w:rFonts w:asciiTheme="minorHAnsi" w:hAnsiTheme="minorHAnsi" w:cstheme="minorHAnsi"/>
          <w:i/>
          <w:lang w:val="en-US"/>
        </w:rPr>
        <w:t>O)</w:t>
      </w:r>
      <w:r w:rsidRPr="005A464E">
        <w:rPr>
          <w:rFonts w:asciiTheme="minorHAnsi" w:hAnsiTheme="minorHAnsi"/>
          <w:lang w:val="en-US"/>
        </w:rPr>
        <w:t xml:space="preserve"> </w:t>
      </w:r>
      <w:r w:rsidRPr="005A464E">
        <w:rPr>
          <w:rStyle w:val="element-citation"/>
          <w:rFonts w:asciiTheme="minorHAnsi" w:hAnsiTheme="minorHAnsi" w:cstheme="minorHAnsi"/>
          <w:lang w:val="en-US"/>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Hoy, W.E., Chennakesavan, S.K., McDonald, S.P., Cass, A., Singh, G.R., Bertram, J.F., &amp; Hughson, M.D. (2005). Chronic kidney disease in Aboriginal Australians. In: El Nahas AM, </w:t>
      </w:r>
      <w:r w:rsidR="00156254">
        <w:rPr>
          <w:rFonts w:asciiTheme="minorHAnsi" w:eastAsia="Times New Roman" w:hAnsiTheme="minorHAnsi" w:cstheme="minorHAnsi"/>
          <w:lang w:val="en-US" w:eastAsia="el-GR"/>
        </w:rPr>
        <w:t>(E</w:t>
      </w:r>
      <w:r w:rsidRPr="005A464E">
        <w:rPr>
          <w:rFonts w:asciiTheme="minorHAnsi" w:eastAsia="Times New Roman" w:hAnsiTheme="minorHAnsi" w:cstheme="minorHAnsi"/>
          <w:lang w:val="en-US" w:eastAsia="el-GR"/>
        </w:rPr>
        <w:t>d.</w:t>
      </w:r>
      <w:r w:rsidR="00156254">
        <w:rPr>
          <w:rFonts w:asciiTheme="minorHAnsi" w:eastAsia="Times New Roman" w:hAnsiTheme="minorHAnsi" w:cstheme="minorHAnsi"/>
          <w:lang w:val="en-US" w:eastAsia="el-GR"/>
        </w:rPr>
        <w:t>),</w:t>
      </w:r>
      <w:r w:rsidRPr="005A464E">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i/>
          <w:lang w:val="en-US" w:eastAsia="el-GR"/>
        </w:rPr>
        <w:t>Kidney diseases in the developing world and ethnic minorities</w:t>
      </w:r>
      <w:r w:rsidRPr="005A464E">
        <w:rPr>
          <w:rFonts w:asciiTheme="minorHAnsi" w:eastAsia="Times New Roman" w:hAnsiTheme="minorHAnsi" w:cstheme="minorHAnsi"/>
          <w:lang w:val="en-US" w:eastAsia="el-GR"/>
        </w:rPr>
        <w:t>, p: 305-333. New York: Taylor and Francis.</w:t>
      </w:r>
    </w:p>
    <w:p w:rsidR="003C410F" w:rsidRPr="005A464E" w:rsidRDefault="003C410F" w:rsidP="005A464E">
      <w:pPr>
        <w:pStyle w:val="Web"/>
        <w:spacing w:after="166" w:line="360" w:lineRule="auto"/>
        <w:ind w:left="415" w:hanging="415"/>
        <w:jc w:val="both"/>
        <w:rPr>
          <w:rStyle w:val="element-citation"/>
          <w:rFonts w:asciiTheme="minorHAnsi" w:hAnsiTheme="minorHAnsi" w:cstheme="minorHAnsi"/>
          <w:lang w:val="en-US"/>
        </w:rPr>
      </w:pPr>
      <w:r w:rsidRPr="005A464E">
        <w:rPr>
          <w:rStyle w:val="element-citation"/>
          <w:rFonts w:asciiTheme="minorHAnsi" w:hAnsiTheme="minorHAnsi" w:cstheme="minorHAnsi"/>
          <w:lang w:val="en-US"/>
        </w:rPr>
        <w:t xml:space="preserve">Hugtenburg, J. G., Timmers, L., Elders, P. J., Vervloet, M., &amp; van Dijk, L. (2013). Definitions, variants, and causes of nonadherence with medication: a challenge for tailored interventions. </w:t>
      </w:r>
      <w:r w:rsidRPr="005A464E">
        <w:rPr>
          <w:rStyle w:val="element-citation"/>
          <w:rFonts w:asciiTheme="minorHAnsi" w:hAnsiTheme="minorHAnsi" w:cstheme="minorHAnsi"/>
          <w:i/>
          <w:lang w:val="en-US"/>
        </w:rPr>
        <w:t>Patient Preference and Adherence</w:t>
      </w:r>
      <w:r w:rsidRPr="005A464E">
        <w:rPr>
          <w:rStyle w:val="element-citation"/>
          <w:rFonts w:asciiTheme="minorHAnsi" w:hAnsiTheme="minorHAnsi" w:cstheme="minorHAnsi"/>
          <w:lang w:val="en-US"/>
        </w:rPr>
        <w:t xml:space="preserve">, </w:t>
      </w:r>
      <w:r w:rsidRPr="00156254">
        <w:rPr>
          <w:rStyle w:val="element-citation"/>
          <w:rFonts w:asciiTheme="minorHAnsi" w:hAnsiTheme="minorHAnsi" w:cstheme="minorHAnsi"/>
          <w:i/>
          <w:lang w:val="en-US"/>
        </w:rPr>
        <w:t>7,</w:t>
      </w:r>
      <w:r w:rsidRPr="005A464E">
        <w:rPr>
          <w:rStyle w:val="element-citation"/>
          <w:rFonts w:asciiTheme="minorHAnsi" w:hAnsiTheme="minorHAnsi" w:cstheme="minorHAnsi"/>
          <w:lang w:val="en-US"/>
        </w:rPr>
        <w:t xml:space="preserve"> 675–682.</w:t>
      </w:r>
      <w:r w:rsidR="0078495A">
        <w:rPr>
          <w:rStyle w:val="1Char"/>
          <w:rFonts w:asciiTheme="minorHAnsi" w:eastAsia="Calibri" w:hAnsiTheme="minorHAnsi" w:cs="Arial"/>
          <w:color w:val="auto"/>
          <w:sz w:val="24"/>
          <w:szCs w:val="24"/>
          <w:shd w:val="clear" w:color="auto" w:fill="FFFFFF"/>
          <w:lang w:val="en-US"/>
        </w:rPr>
        <w:t xml:space="preserve">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 10.2147/PPA.S29549. Print 2013.</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Hussey, L.C., </w:t>
      </w:r>
      <w:r w:rsidR="00187166" w:rsidRPr="005A464E">
        <w:rPr>
          <w:rFonts w:asciiTheme="minorHAnsi" w:eastAsia="Times New Roman" w:hAnsiTheme="minorHAnsi" w:cstheme="minorHAnsi"/>
          <w:lang w:val="en-US" w:eastAsia="el-GR"/>
        </w:rPr>
        <w:t xml:space="preserve">&amp; </w:t>
      </w:r>
      <w:r w:rsidRPr="005A464E">
        <w:rPr>
          <w:rFonts w:asciiTheme="minorHAnsi" w:eastAsia="Times New Roman" w:hAnsiTheme="minorHAnsi" w:cstheme="minorHAnsi"/>
          <w:lang w:val="en-US" w:eastAsia="el-GR"/>
        </w:rPr>
        <w:t xml:space="preserve">Gilliland, K. (1989). Compliance, low literacy and locus of control. </w:t>
      </w:r>
      <w:r w:rsidRPr="005A464E">
        <w:rPr>
          <w:rFonts w:asciiTheme="minorHAnsi" w:eastAsia="Times New Roman" w:hAnsiTheme="minorHAnsi" w:cstheme="minorHAnsi"/>
          <w:i/>
          <w:lang w:val="en-US" w:eastAsia="el-GR"/>
        </w:rPr>
        <w:t>Nursing</w:t>
      </w:r>
      <w:r w:rsidR="0078495A">
        <w:rPr>
          <w:rFonts w:asciiTheme="minorHAnsi" w:eastAsia="Times New Roman" w:hAnsiTheme="minorHAnsi" w:cstheme="minorHAnsi"/>
          <w:i/>
          <w:lang w:val="en-US" w:eastAsia="el-GR"/>
        </w:rPr>
        <w:t xml:space="preserve"> </w:t>
      </w:r>
      <w:r w:rsidRPr="005A464E">
        <w:rPr>
          <w:rFonts w:asciiTheme="minorHAnsi" w:eastAsia="Times New Roman" w:hAnsiTheme="minorHAnsi" w:cstheme="minorHAnsi"/>
          <w:i/>
          <w:lang w:val="en-US" w:eastAsia="el-GR"/>
        </w:rPr>
        <w:t xml:space="preserve">Clinics of North America, </w:t>
      </w:r>
      <w:r w:rsidR="00156254" w:rsidRPr="00156254">
        <w:rPr>
          <w:rFonts w:asciiTheme="minorHAnsi" w:eastAsia="Times New Roman" w:hAnsiTheme="minorHAnsi" w:cstheme="minorHAnsi"/>
          <w:i/>
          <w:lang w:val="en-US" w:eastAsia="el-GR"/>
        </w:rPr>
        <w:t>24</w:t>
      </w:r>
      <w:r w:rsidRPr="005A464E">
        <w:rPr>
          <w:rFonts w:asciiTheme="minorHAnsi" w:eastAsia="Times New Roman" w:hAnsiTheme="minorHAnsi" w:cstheme="minorHAnsi"/>
          <w:lang w:val="en-US" w:eastAsia="el-GR"/>
        </w:rPr>
        <w:t>, 605-611.</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Hutchful, C. (1980). Psychosocial stressors impacting on adults on hemodialyis. </w:t>
      </w:r>
      <w:r w:rsidRPr="005A464E">
        <w:rPr>
          <w:rFonts w:asciiTheme="minorHAnsi" w:hAnsiTheme="minorHAnsi" w:cstheme="minorHAnsi"/>
          <w:i/>
          <w:iCs/>
          <w:lang w:val="en-US"/>
        </w:rPr>
        <w:t>Nephrology Nurse</w:t>
      </w:r>
      <w:r w:rsidRPr="00156254">
        <w:rPr>
          <w:rFonts w:asciiTheme="minorHAnsi" w:hAnsiTheme="minorHAnsi" w:cstheme="minorHAnsi"/>
          <w:i/>
          <w:iCs/>
          <w:lang w:val="en-US"/>
        </w:rPr>
        <w:t>, 2</w:t>
      </w:r>
      <w:r w:rsidRPr="00156254">
        <w:rPr>
          <w:rFonts w:asciiTheme="minorHAnsi" w:hAnsiTheme="minorHAnsi" w:cstheme="minorHAnsi"/>
          <w:i/>
          <w:lang w:val="en-US"/>
        </w:rPr>
        <w:t>,</w:t>
      </w:r>
      <w:r w:rsidRPr="005A464E">
        <w:rPr>
          <w:rFonts w:asciiTheme="minorHAnsi" w:hAnsiTheme="minorHAnsi" w:cstheme="minorHAnsi"/>
          <w:lang w:val="en-US"/>
        </w:rPr>
        <w:t xml:space="preserve"> 31-34</w:t>
      </w:r>
      <w:r w:rsidR="00187166" w:rsidRPr="005A464E">
        <w:rPr>
          <w:rFonts w:asciiTheme="minorHAnsi" w:hAnsiTheme="minorHAnsi" w:cstheme="minorHAnsi"/>
          <w:lang w:val="en-US"/>
        </w:rPr>
        <w:t>.</w:t>
      </w:r>
    </w:p>
    <w:p w:rsidR="003C410F" w:rsidRPr="00EF6A06"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Ingram, T.L. (2009). Compliance: a concept analysis. </w:t>
      </w:r>
      <w:r w:rsidRPr="005A464E">
        <w:rPr>
          <w:rFonts w:asciiTheme="minorHAnsi" w:hAnsiTheme="minorHAnsi" w:cstheme="minorHAnsi"/>
          <w:i/>
          <w:lang w:val="en-US"/>
        </w:rPr>
        <w:t>Nursing Forum,</w:t>
      </w:r>
      <w:r w:rsidR="00156254">
        <w:rPr>
          <w:rFonts w:asciiTheme="minorHAnsi" w:hAnsiTheme="minorHAnsi" w:cstheme="minorHAnsi"/>
          <w:lang w:val="en-US"/>
        </w:rPr>
        <w:t xml:space="preserve"> </w:t>
      </w:r>
      <w:r w:rsidR="00156254" w:rsidRPr="00156254">
        <w:rPr>
          <w:rFonts w:asciiTheme="minorHAnsi" w:hAnsiTheme="minorHAnsi" w:cstheme="minorHAnsi"/>
          <w:i/>
          <w:lang w:val="en-US"/>
        </w:rPr>
        <w:t>44</w:t>
      </w:r>
      <w:r w:rsidRPr="00156254">
        <w:rPr>
          <w:rFonts w:asciiTheme="minorHAnsi" w:hAnsiTheme="minorHAnsi" w:cstheme="minorHAnsi"/>
          <w:i/>
          <w:lang w:val="en-US"/>
        </w:rPr>
        <w:t>,</w:t>
      </w:r>
      <w:r w:rsidRPr="005A464E">
        <w:rPr>
          <w:rFonts w:asciiTheme="minorHAnsi" w:hAnsiTheme="minorHAnsi" w:cstheme="minorHAnsi"/>
          <w:lang w:val="en-US"/>
        </w:rPr>
        <w:t xml:space="preserve"> 189-194.</w:t>
      </w:r>
    </w:p>
    <w:p w:rsidR="006269EC" w:rsidRPr="006269EC" w:rsidRDefault="006269EC" w:rsidP="006269EC">
      <w:pPr>
        <w:pStyle w:val="Web"/>
        <w:spacing w:after="180" w:line="360" w:lineRule="auto"/>
        <w:ind w:left="450" w:hanging="450"/>
        <w:jc w:val="both"/>
        <w:rPr>
          <w:rFonts w:asciiTheme="minorHAnsi" w:eastAsia="Times New Roman" w:hAnsiTheme="minorHAnsi" w:cstheme="minorHAnsi"/>
          <w:lang w:eastAsia="el-GR"/>
        </w:rPr>
      </w:pPr>
      <w:r w:rsidRPr="005A464E">
        <w:rPr>
          <w:rFonts w:asciiTheme="minorHAnsi" w:hAnsiTheme="minorHAnsi" w:cstheme="minorHAnsi"/>
          <w:bCs/>
        </w:rPr>
        <w:t>Ιωαννίδης, Γ., και Ο. Παπαδάκη. (2013). Στατιστικά και επιδημιολογικά δεδομένα θεραπείας υποκατάστασης νεφρικής λειτουργίας στην Ελλάδα, 2000-2011. Έκθεση δεδομένων της 12ετούς λειτουργίας</w:t>
      </w:r>
      <w:r>
        <w:rPr>
          <w:rFonts w:asciiTheme="minorHAnsi" w:hAnsiTheme="minorHAnsi" w:cstheme="minorHAnsi"/>
          <w:bCs/>
        </w:rPr>
        <w:t xml:space="preserve"> </w:t>
      </w:r>
      <w:r w:rsidRPr="005A464E">
        <w:rPr>
          <w:rFonts w:asciiTheme="minorHAnsi" w:hAnsiTheme="minorHAnsi" w:cstheme="minorHAnsi"/>
          <w:bCs/>
        </w:rPr>
        <w:t>του Εθνικού Αρχείου Καταγραφής Νεφροπαθών.</w:t>
      </w:r>
      <w:r w:rsidRPr="005A464E">
        <w:rPr>
          <w:rFonts w:asciiTheme="minorHAnsi" w:hAnsiTheme="minorHAnsi" w:cstheme="minorHAnsi"/>
          <w:i/>
          <w:iCs/>
        </w:rPr>
        <w:t xml:space="preserve"> Ελληνική</w:t>
      </w:r>
      <w:r w:rsidRPr="000729FE">
        <w:rPr>
          <w:rFonts w:asciiTheme="minorHAnsi" w:hAnsiTheme="minorHAnsi" w:cstheme="minorHAnsi"/>
          <w:i/>
          <w:iCs/>
        </w:rPr>
        <w:t xml:space="preserve"> </w:t>
      </w:r>
      <w:r w:rsidRPr="005A464E">
        <w:rPr>
          <w:rFonts w:asciiTheme="minorHAnsi" w:hAnsiTheme="minorHAnsi" w:cstheme="minorHAnsi"/>
          <w:i/>
          <w:iCs/>
        </w:rPr>
        <w:t>Νεφρολογία</w:t>
      </w:r>
      <w:r w:rsidRPr="000729FE">
        <w:rPr>
          <w:rFonts w:asciiTheme="minorHAnsi" w:hAnsiTheme="minorHAnsi" w:cstheme="minorHAnsi"/>
          <w:i/>
          <w:iCs/>
        </w:rPr>
        <w:t xml:space="preserve">, </w:t>
      </w:r>
      <w:r w:rsidRPr="000729FE">
        <w:rPr>
          <w:rFonts w:asciiTheme="minorHAnsi" w:hAnsiTheme="minorHAnsi" w:cstheme="minorHAnsi"/>
          <w:iCs/>
        </w:rPr>
        <w:t>25 (4), 266 - 284.</w:t>
      </w:r>
    </w:p>
    <w:p w:rsidR="00295D47" w:rsidRDefault="003C410F" w:rsidP="00295D47">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lang w:val="en-US"/>
        </w:rPr>
        <w:t>Jager</w:t>
      </w:r>
      <w:r w:rsidRPr="00EF6A06">
        <w:rPr>
          <w:rFonts w:asciiTheme="minorHAnsi" w:hAnsiTheme="minorHAnsi" w:cstheme="minorHAnsi"/>
        </w:rPr>
        <w:t xml:space="preserve">, </w:t>
      </w:r>
      <w:r w:rsidRPr="005A464E">
        <w:rPr>
          <w:rFonts w:asciiTheme="minorHAnsi" w:hAnsiTheme="minorHAnsi" w:cstheme="minorHAnsi"/>
          <w:lang w:val="en-US"/>
        </w:rPr>
        <w:t>KJ</w:t>
      </w:r>
      <w:r w:rsidRPr="00EF6A06">
        <w:rPr>
          <w:rFonts w:asciiTheme="minorHAnsi" w:hAnsiTheme="minorHAnsi" w:cstheme="minorHAnsi"/>
        </w:rPr>
        <w:t xml:space="preserve">., </w:t>
      </w:r>
      <w:r w:rsidRPr="005A464E">
        <w:rPr>
          <w:rFonts w:asciiTheme="minorHAnsi" w:hAnsiTheme="minorHAnsi" w:cstheme="minorHAnsi"/>
          <w:lang w:val="en-US"/>
        </w:rPr>
        <w:t>van</w:t>
      </w:r>
      <w:r w:rsidRPr="00EF6A06">
        <w:rPr>
          <w:rFonts w:asciiTheme="minorHAnsi" w:hAnsiTheme="minorHAnsi" w:cstheme="minorHAnsi"/>
        </w:rPr>
        <w:t xml:space="preserve"> </w:t>
      </w:r>
      <w:r w:rsidRPr="005A464E">
        <w:rPr>
          <w:rFonts w:asciiTheme="minorHAnsi" w:hAnsiTheme="minorHAnsi" w:cstheme="minorHAnsi"/>
          <w:lang w:val="en-US"/>
        </w:rPr>
        <w:t>Dijk</w:t>
      </w:r>
      <w:r w:rsidRPr="00EF6A06">
        <w:rPr>
          <w:rFonts w:asciiTheme="minorHAnsi" w:hAnsiTheme="minorHAnsi" w:cstheme="minorHAnsi"/>
        </w:rPr>
        <w:t xml:space="preserve">, </w:t>
      </w:r>
      <w:r w:rsidRPr="005A464E">
        <w:rPr>
          <w:rFonts w:asciiTheme="minorHAnsi" w:hAnsiTheme="minorHAnsi" w:cstheme="minorHAnsi"/>
          <w:lang w:val="en-US"/>
        </w:rPr>
        <w:t>P</w:t>
      </w:r>
      <w:r w:rsidRPr="00EF6A06">
        <w:rPr>
          <w:rFonts w:asciiTheme="minorHAnsi" w:hAnsiTheme="minorHAnsi" w:cstheme="minorHAnsi"/>
        </w:rPr>
        <w:t>.</w:t>
      </w:r>
      <w:r w:rsidRPr="005A464E">
        <w:rPr>
          <w:rFonts w:asciiTheme="minorHAnsi" w:hAnsiTheme="minorHAnsi" w:cstheme="minorHAnsi"/>
          <w:lang w:val="en-US"/>
        </w:rPr>
        <w:t>C</w:t>
      </w:r>
      <w:r w:rsidRPr="00EF6A06">
        <w:rPr>
          <w:rFonts w:asciiTheme="minorHAnsi" w:hAnsiTheme="minorHAnsi" w:cstheme="minorHAnsi"/>
        </w:rPr>
        <w:t xml:space="preserve">., </w:t>
      </w:r>
      <w:r w:rsidRPr="005A464E">
        <w:rPr>
          <w:rFonts w:asciiTheme="minorHAnsi" w:hAnsiTheme="minorHAnsi" w:cstheme="minorHAnsi"/>
          <w:lang w:val="en-US"/>
        </w:rPr>
        <w:t>Dekker</w:t>
      </w:r>
      <w:r w:rsidRPr="00EF6A06">
        <w:rPr>
          <w:rFonts w:asciiTheme="minorHAnsi" w:hAnsiTheme="minorHAnsi" w:cstheme="minorHAnsi"/>
        </w:rPr>
        <w:t xml:space="preserve">, </w:t>
      </w:r>
      <w:r w:rsidRPr="005A464E">
        <w:rPr>
          <w:rFonts w:asciiTheme="minorHAnsi" w:hAnsiTheme="minorHAnsi" w:cstheme="minorHAnsi"/>
          <w:lang w:val="en-US"/>
        </w:rPr>
        <w:t>F</w:t>
      </w:r>
      <w:r w:rsidRPr="00EF6A06">
        <w:rPr>
          <w:rFonts w:asciiTheme="minorHAnsi" w:hAnsiTheme="minorHAnsi" w:cstheme="minorHAnsi"/>
        </w:rPr>
        <w:t>.</w:t>
      </w:r>
      <w:r w:rsidRPr="005A464E">
        <w:rPr>
          <w:rFonts w:asciiTheme="minorHAnsi" w:hAnsiTheme="minorHAnsi" w:cstheme="minorHAnsi"/>
          <w:lang w:val="en-US"/>
        </w:rPr>
        <w:t>W</w:t>
      </w:r>
      <w:r w:rsidRPr="00EF6A06">
        <w:rPr>
          <w:rFonts w:asciiTheme="minorHAnsi" w:hAnsiTheme="minorHAnsi" w:cstheme="minorHAnsi"/>
        </w:rPr>
        <w:t xml:space="preserve">. </w:t>
      </w:r>
      <w:r w:rsidRPr="005A464E">
        <w:rPr>
          <w:rFonts w:asciiTheme="minorHAnsi" w:hAnsiTheme="minorHAnsi" w:cstheme="minorHAnsi"/>
          <w:lang w:val="en-US"/>
        </w:rPr>
        <w:t>Stengel</w:t>
      </w:r>
      <w:r w:rsidRPr="00EF6A06">
        <w:rPr>
          <w:rFonts w:asciiTheme="minorHAnsi" w:hAnsiTheme="minorHAnsi" w:cstheme="minorHAnsi"/>
        </w:rPr>
        <w:t xml:space="preserve">, </w:t>
      </w:r>
      <w:r w:rsidRPr="005A464E">
        <w:rPr>
          <w:rFonts w:asciiTheme="minorHAnsi" w:hAnsiTheme="minorHAnsi" w:cstheme="minorHAnsi"/>
          <w:lang w:val="en-US"/>
        </w:rPr>
        <w:t>B</w:t>
      </w:r>
      <w:r w:rsidRPr="00EF6A06">
        <w:rPr>
          <w:rFonts w:asciiTheme="minorHAnsi" w:hAnsiTheme="minorHAnsi" w:cstheme="minorHAnsi"/>
        </w:rPr>
        <w:t xml:space="preserve">., </w:t>
      </w:r>
      <w:r w:rsidRPr="005A464E">
        <w:rPr>
          <w:rFonts w:asciiTheme="minorHAnsi" w:hAnsiTheme="minorHAnsi" w:cstheme="minorHAnsi"/>
          <w:lang w:val="en-US"/>
        </w:rPr>
        <w:t>Simpson</w:t>
      </w:r>
      <w:r w:rsidRPr="00EF6A06">
        <w:rPr>
          <w:rFonts w:asciiTheme="minorHAnsi" w:hAnsiTheme="minorHAnsi" w:cstheme="minorHAnsi"/>
        </w:rPr>
        <w:t xml:space="preserve">, </w:t>
      </w:r>
      <w:r w:rsidRPr="005A464E">
        <w:rPr>
          <w:rFonts w:asciiTheme="minorHAnsi" w:hAnsiTheme="minorHAnsi" w:cstheme="minorHAnsi"/>
          <w:lang w:val="en-US"/>
        </w:rPr>
        <w:t>K</w:t>
      </w:r>
      <w:r w:rsidRPr="00EF6A06">
        <w:rPr>
          <w:rFonts w:asciiTheme="minorHAnsi" w:hAnsiTheme="minorHAnsi" w:cstheme="minorHAnsi"/>
        </w:rPr>
        <w:t xml:space="preserve">., </w:t>
      </w:r>
      <w:r w:rsidRPr="005A464E">
        <w:rPr>
          <w:rFonts w:asciiTheme="minorHAnsi" w:hAnsiTheme="minorHAnsi" w:cstheme="minorHAnsi"/>
          <w:lang w:val="en-US"/>
        </w:rPr>
        <w:t>Briggs</w:t>
      </w:r>
      <w:r w:rsidRPr="00EF6A06">
        <w:rPr>
          <w:rFonts w:asciiTheme="minorHAnsi" w:hAnsiTheme="minorHAnsi" w:cstheme="minorHAnsi"/>
        </w:rPr>
        <w:t xml:space="preserve">, </w:t>
      </w:r>
      <w:r w:rsidRPr="005A464E">
        <w:rPr>
          <w:rFonts w:asciiTheme="minorHAnsi" w:hAnsiTheme="minorHAnsi" w:cstheme="minorHAnsi"/>
          <w:lang w:val="en-US"/>
        </w:rPr>
        <w:t>J</w:t>
      </w:r>
      <w:r w:rsidRPr="00EF6A06">
        <w:rPr>
          <w:rFonts w:asciiTheme="minorHAnsi" w:hAnsiTheme="minorHAnsi" w:cstheme="minorHAnsi"/>
        </w:rPr>
        <w:t>.</w:t>
      </w:r>
      <w:r w:rsidRPr="005A464E">
        <w:rPr>
          <w:rFonts w:asciiTheme="minorHAnsi" w:hAnsiTheme="minorHAnsi" w:cstheme="minorHAnsi"/>
          <w:lang w:val="en-US"/>
        </w:rPr>
        <w:t>D</w:t>
      </w:r>
      <w:r w:rsidRPr="00EF6A06">
        <w:rPr>
          <w:rFonts w:asciiTheme="minorHAnsi" w:hAnsiTheme="minorHAnsi" w:cstheme="minorHAnsi"/>
        </w:rPr>
        <w:t xml:space="preserve">., &amp; </w:t>
      </w:r>
      <w:r w:rsidRPr="005A464E">
        <w:rPr>
          <w:rFonts w:asciiTheme="minorHAnsi" w:hAnsiTheme="minorHAnsi" w:cstheme="minorHAnsi"/>
          <w:lang w:val="en-US"/>
        </w:rPr>
        <w:t>ERA</w:t>
      </w:r>
      <w:r w:rsidRPr="00EF6A06">
        <w:rPr>
          <w:rFonts w:asciiTheme="minorHAnsi" w:hAnsiTheme="minorHAnsi" w:cstheme="minorHAnsi"/>
        </w:rPr>
        <w:t>-</w:t>
      </w:r>
      <w:r w:rsidRPr="005A464E">
        <w:rPr>
          <w:rFonts w:asciiTheme="minorHAnsi" w:hAnsiTheme="minorHAnsi" w:cstheme="minorHAnsi"/>
          <w:lang w:val="en-US"/>
        </w:rPr>
        <w:t>EDTA</w:t>
      </w:r>
      <w:r w:rsidRPr="00EF6A06">
        <w:rPr>
          <w:rFonts w:asciiTheme="minorHAnsi" w:hAnsiTheme="minorHAnsi" w:cstheme="minorHAnsi"/>
        </w:rPr>
        <w:t xml:space="preserve"> </w:t>
      </w:r>
      <w:r w:rsidRPr="005A464E">
        <w:rPr>
          <w:rFonts w:asciiTheme="minorHAnsi" w:hAnsiTheme="minorHAnsi" w:cstheme="minorHAnsi"/>
          <w:lang w:val="en-US"/>
        </w:rPr>
        <w:t>Registry</w:t>
      </w:r>
      <w:r w:rsidRPr="00EF6A06">
        <w:rPr>
          <w:rFonts w:asciiTheme="minorHAnsi" w:hAnsiTheme="minorHAnsi" w:cstheme="minorHAnsi"/>
        </w:rPr>
        <w:t xml:space="preserve"> </w:t>
      </w:r>
      <w:r w:rsidRPr="005A464E">
        <w:rPr>
          <w:rFonts w:asciiTheme="minorHAnsi" w:hAnsiTheme="minorHAnsi" w:cstheme="minorHAnsi"/>
          <w:lang w:val="en-US"/>
        </w:rPr>
        <w:t>Committee</w:t>
      </w:r>
      <w:r w:rsidRPr="00EF6A06">
        <w:rPr>
          <w:rFonts w:asciiTheme="minorHAnsi" w:hAnsiTheme="minorHAnsi" w:cstheme="minorHAnsi"/>
        </w:rPr>
        <w:t xml:space="preserve">. </w:t>
      </w:r>
      <w:r w:rsidRPr="005A464E">
        <w:rPr>
          <w:rFonts w:asciiTheme="minorHAnsi" w:hAnsiTheme="minorHAnsi" w:cstheme="minorHAnsi"/>
          <w:lang w:val="en-US"/>
        </w:rPr>
        <w:t xml:space="preserve">(2003). The epidemic of aging in renal replacement therapy: An update on elderly patients and their outcomes. </w:t>
      </w:r>
      <w:r w:rsidRPr="005A464E">
        <w:rPr>
          <w:rFonts w:asciiTheme="minorHAnsi" w:hAnsiTheme="minorHAnsi" w:cstheme="minorHAnsi"/>
          <w:i/>
          <w:iCs/>
          <w:lang w:val="en-US"/>
        </w:rPr>
        <w:t>Clinical Nephrology Journal,</w:t>
      </w:r>
      <w:r w:rsidRPr="00156254">
        <w:rPr>
          <w:rFonts w:asciiTheme="minorHAnsi" w:hAnsiTheme="minorHAnsi" w:cstheme="minorHAnsi"/>
          <w:i/>
          <w:iCs/>
          <w:lang w:val="en-US"/>
        </w:rPr>
        <w:t xml:space="preserve"> 60</w:t>
      </w:r>
      <w:r w:rsidRPr="005A464E">
        <w:rPr>
          <w:rFonts w:asciiTheme="minorHAnsi" w:hAnsiTheme="minorHAnsi" w:cstheme="minorHAnsi"/>
          <w:lang w:val="en-US"/>
        </w:rPr>
        <w:t>, 352-360.</w:t>
      </w:r>
      <w:r w:rsidRPr="005A464E">
        <w:rPr>
          <w:rFonts w:asciiTheme="minorHAnsi" w:hAnsiTheme="minorHAnsi" w:cs="Arial"/>
          <w:shd w:val="clear" w:color="auto" w:fill="FFFFFF"/>
          <w:lang w:val="en-US"/>
        </w:rPr>
        <w:t xml:space="preserve">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 10.5414/CNP60352</w:t>
      </w:r>
      <w:r w:rsidR="00187166" w:rsidRPr="005A464E">
        <w:rPr>
          <w:rFonts w:asciiTheme="minorHAnsi" w:hAnsiTheme="minorHAnsi" w:cstheme="minorHAnsi"/>
          <w:shd w:val="clear" w:color="auto" w:fill="FFFFFF"/>
          <w:lang w:val="en-US"/>
        </w:rPr>
        <w:t>.</w:t>
      </w:r>
    </w:p>
    <w:p w:rsidR="00295D47" w:rsidRPr="00295D47" w:rsidRDefault="008F3609" w:rsidP="00295D47">
      <w:pPr>
        <w:pStyle w:val="Web"/>
        <w:spacing w:after="166" w:line="360" w:lineRule="auto"/>
        <w:ind w:left="415" w:hanging="415"/>
        <w:jc w:val="both"/>
        <w:rPr>
          <w:rFonts w:asciiTheme="minorHAnsi" w:hAnsiTheme="minorHAnsi" w:cstheme="minorHAnsi"/>
          <w:shd w:val="clear" w:color="auto" w:fill="FFFFFF"/>
          <w:lang w:val="en-US"/>
        </w:rPr>
      </w:pPr>
      <w:hyperlink r:id="rId223" w:history="1">
        <w:r w:rsidR="00295D47" w:rsidRPr="00295D47">
          <w:rPr>
            <w:rStyle w:val="-"/>
            <w:rFonts w:asciiTheme="minorHAnsi" w:hAnsiTheme="minorHAnsi" w:cstheme="minorHAnsi"/>
            <w:color w:val="auto"/>
            <w:u w:val="none"/>
            <w:shd w:val="clear" w:color="auto" w:fill="FFFFFF"/>
            <w:lang w:val="en-US"/>
          </w:rPr>
          <w:t>Jalal, D.I</w:t>
        </w:r>
      </w:hyperlink>
      <w:r w:rsidR="00295D47" w:rsidRPr="00295D47">
        <w:rPr>
          <w:rFonts w:asciiTheme="minorHAnsi" w:hAnsiTheme="minorHAnsi" w:cstheme="minorHAnsi"/>
          <w:lang w:val="en-US"/>
        </w:rPr>
        <w:t>.</w:t>
      </w:r>
      <w:r w:rsidR="00295D47" w:rsidRPr="00295D47">
        <w:rPr>
          <w:rFonts w:asciiTheme="minorHAnsi" w:hAnsiTheme="minorHAnsi" w:cstheme="minorHAnsi"/>
          <w:shd w:val="clear" w:color="auto" w:fill="FFFFFF"/>
          <w:lang w:val="en-US"/>
        </w:rPr>
        <w:t>, </w:t>
      </w:r>
      <w:hyperlink r:id="rId224" w:history="1">
        <w:r w:rsidR="00295D47" w:rsidRPr="00295D47">
          <w:rPr>
            <w:rStyle w:val="-"/>
            <w:rFonts w:asciiTheme="minorHAnsi" w:hAnsiTheme="minorHAnsi" w:cstheme="minorHAnsi"/>
            <w:color w:val="auto"/>
            <w:u w:val="none"/>
            <w:shd w:val="clear" w:color="auto" w:fill="FFFFFF"/>
            <w:lang w:val="en-US"/>
          </w:rPr>
          <w:t>Chonchol, M</w:t>
        </w:r>
      </w:hyperlink>
      <w:r w:rsidR="00295D47" w:rsidRPr="00295D47">
        <w:rPr>
          <w:rFonts w:asciiTheme="minorHAnsi" w:hAnsiTheme="minorHAnsi" w:cstheme="minorHAnsi"/>
          <w:lang w:val="en-US"/>
        </w:rPr>
        <w:t>.</w:t>
      </w:r>
      <w:r w:rsidR="00295D47" w:rsidRPr="00295D47">
        <w:rPr>
          <w:rFonts w:asciiTheme="minorHAnsi" w:hAnsiTheme="minorHAnsi" w:cstheme="minorHAnsi"/>
          <w:shd w:val="clear" w:color="auto" w:fill="FFFFFF"/>
          <w:lang w:val="en-US"/>
        </w:rPr>
        <w:t>, </w:t>
      </w:r>
      <w:hyperlink r:id="rId225" w:history="1">
        <w:r w:rsidR="00295D47" w:rsidRPr="00295D47">
          <w:rPr>
            <w:rStyle w:val="-"/>
            <w:rFonts w:asciiTheme="minorHAnsi" w:hAnsiTheme="minorHAnsi" w:cstheme="minorHAnsi"/>
            <w:color w:val="auto"/>
            <w:u w:val="none"/>
            <w:shd w:val="clear" w:color="auto" w:fill="FFFFFF"/>
            <w:lang w:val="en-US"/>
          </w:rPr>
          <w:t>Targher, G</w:t>
        </w:r>
      </w:hyperlink>
      <w:r w:rsidR="00295D47" w:rsidRPr="00295D47">
        <w:rPr>
          <w:rFonts w:asciiTheme="minorHAnsi" w:hAnsiTheme="minorHAnsi" w:cstheme="minorHAnsi"/>
          <w:shd w:val="clear" w:color="auto" w:fill="FFFFFF"/>
          <w:lang w:val="en-US"/>
        </w:rPr>
        <w:t>. (2010).</w:t>
      </w:r>
      <w:r w:rsidR="00295D47" w:rsidRPr="00295D47">
        <w:rPr>
          <w:rFonts w:asciiTheme="minorHAnsi" w:hAnsiTheme="minorHAnsi" w:cstheme="minorHAnsi"/>
          <w:lang w:val="en-US"/>
        </w:rPr>
        <w:t xml:space="preserve"> Disorders of hemostasis associated with chronic kidney disease.</w:t>
      </w:r>
      <w:r w:rsidR="00295D47" w:rsidRPr="00295D47">
        <w:rPr>
          <w:rFonts w:asciiTheme="minorHAnsi" w:hAnsiTheme="minorHAnsi" w:cstheme="minorHAnsi"/>
          <w:i/>
          <w:shd w:val="clear" w:color="auto" w:fill="FFFFFF"/>
          <w:lang w:val="en-US"/>
        </w:rPr>
        <w:t xml:space="preserve"> </w:t>
      </w:r>
      <w:hyperlink r:id="rId226" w:tooltip="Seminars in thrombosis and hemostasis." w:history="1">
        <w:r w:rsidR="00295D47" w:rsidRPr="00295D47">
          <w:rPr>
            <w:rStyle w:val="-"/>
            <w:rFonts w:asciiTheme="minorHAnsi" w:hAnsiTheme="minorHAnsi" w:cstheme="minorHAnsi"/>
            <w:i/>
            <w:color w:val="auto"/>
            <w:u w:val="none"/>
            <w:shd w:val="clear" w:color="auto" w:fill="FFFFFF"/>
            <w:lang w:val="en-US"/>
          </w:rPr>
          <w:t>Seminars in Thrombosis and Hemostasis,</w:t>
        </w:r>
      </w:hyperlink>
      <w:r w:rsidR="00295D47" w:rsidRPr="00295D47">
        <w:rPr>
          <w:rFonts w:asciiTheme="minorHAnsi" w:hAnsiTheme="minorHAnsi" w:cstheme="minorHAnsi"/>
          <w:i/>
          <w:shd w:val="clear" w:color="auto" w:fill="FFFFFF"/>
          <w:lang w:val="en-US"/>
        </w:rPr>
        <w:t xml:space="preserve"> 36,</w:t>
      </w:r>
      <w:r w:rsidR="00295D47">
        <w:rPr>
          <w:rFonts w:asciiTheme="minorHAnsi" w:hAnsiTheme="minorHAnsi" w:cstheme="minorHAnsi"/>
          <w:shd w:val="clear" w:color="auto" w:fill="FFFFFF"/>
          <w:lang w:val="en-US"/>
        </w:rPr>
        <w:t xml:space="preserve"> 34-40. DOI</w:t>
      </w:r>
      <w:r w:rsidR="00295D47" w:rsidRPr="00295D47">
        <w:rPr>
          <w:rFonts w:asciiTheme="minorHAnsi" w:hAnsiTheme="minorHAnsi" w:cstheme="minorHAnsi"/>
          <w:shd w:val="clear" w:color="auto" w:fill="FFFFFF"/>
          <w:lang w:val="en-US"/>
        </w:rPr>
        <w:t>: 10.1055/s-0030-1248722</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Jansen, D., Rijken, M., Heijmans, M., &amp; Boeschoten†, E. (2010). Perceived autonomy and self-esteem in Dutch dialysis patients: The importance of illness and treatment perceptions.</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Psychology &amp; Health</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156254">
        <w:rPr>
          <w:rFonts w:asciiTheme="minorHAnsi" w:hAnsiTheme="minorHAnsi" w:cstheme="minorHAnsi"/>
          <w:i/>
          <w:iCs/>
          <w:lang w:val="en-US"/>
        </w:rPr>
        <w:t>25</w:t>
      </w:r>
      <w:r w:rsidRPr="00156254">
        <w:rPr>
          <w:rFonts w:asciiTheme="minorHAnsi" w:hAnsiTheme="minorHAnsi" w:cstheme="minorHAnsi"/>
          <w:i/>
          <w:lang w:val="en-US"/>
        </w:rPr>
        <w:t>,</w:t>
      </w:r>
      <w:r w:rsidRPr="005A464E">
        <w:rPr>
          <w:rFonts w:asciiTheme="minorHAnsi" w:hAnsiTheme="minorHAnsi" w:cstheme="minorHAnsi"/>
          <w:lang w:val="en-US"/>
        </w:rPr>
        <w:t xml:space="preserve"> 733-749. </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Jansen, D., Rijken, M., Kaptein, A., Boeschoten, E., Dekker, F., &amp; Groenewegen, P. (2014). The role of social support in dialysis patients’ feelings of autonomy and self-esteem: Is support more beneficial for patients with specific illness perceptions?</w:t>
      </w:r>
      <w:r w:rsidRPr="005A464E">
        <w:rPr>
          <w:rStyle w:val="apple-converted-space"/>
          <w:rFonts w:asciiTheme="minorHAnsi" w:hAnsiTheme="minorHAnsi" w:cstheme="minorHAnsi"/>
          <w:lang w:val="en-US"/>
        </w:rPr>
        <w:t> </w:t>
      </w:r>
      <w:r w:rsidR="00292B29" w:rsidRPr="005A464E">
        <w:rPr>
          <w:rFonts w:asciiTheme="minorHAnsi" w:hAnsiTheme="minorHAnsi" w:cstheme="minorHAnsi"/>
          <w:i/>
          <w:iCs/>
          <w:lang w:val="en-US"/>
        </w:rPr>
        <w:t>Families Systems</w:t>
      </w:r>
      <w:r w:rsidRPr="005A464E">
        <w:rPr>
          <w:rFonts w:asciiTheme="minorHAnsi" w:hAnsiTheme="minorHAnsi" w:cstheme="minorHAnsi"/>
          <w:i/>
          <w:iCs/>
          <w:lang w:val="en-US"/>
        </w:rPr>
        <w:t xml:space="preserve"> &amp; Health</w:t>
      </w:r>
      <w:r w:rsidRPr="005A464E">
        <w:rPr>
          <w:rFonts w:asciiTheme="minorHAnsi" w:hAnsiTheme="minorHAnsi" w:cstheme="minorHAnsi"/>
          <w:lang w:val="en-US"/>
        </w:rPr>
        <w:t>,</w:t>
      </w:r>
      <w:r w:rsidR="0078495A">
        <w:rPr>
          <w:rStyle w:val="apple-converted-space"/>
          <w:rFonts w:asciiTheme="minorHAnsi" w:hAnsiTheme="minorHAnsi" w:cstheme="minorHAnsi"/>
          <w:lang w:val="en-US"/>
        </w:rPr>
        <w:t xml:space="preserve"> </w:t>
      </w:r>
      <w:r w:rsidRPr="00156254">
        <w:rPr>
          <w:rFonts w:asciiTheme="minorHAnsi" w:hAnsiTheme="minorHAnsi" w:cstheme="minorHAnsi"/>
          <w:i/>
          <w:iCs/>
          <w:lang w:val="en-US"/>
        </w:rPr>
        <w:t>32</w:t>
      </w:r>
      <w:r w:rsidR="00292B29" w:rsidRPr="005A464E">
        <w:rPr>
          <w:rFonts w:asciiTheme="minorHAnsi" w:hAnsiTheme="minorHAnsi" w:cstheme="minorHAnsi"/>
          <w:lang w:val="en-US"/>
        </w:rPr>
        <w:t>, 313-327.</w:t>
      </w:r>
    </w:p>
    <w:p w:rsidR="003C410F" w:rsidRPr="005A464E" w:rsidRDefault="003C410F" w:rsidP="005A464E">
      <w:pPr>
        <w:spacing w:line="360" w:lineRule="auto"/>
        <w:jc w:val="both"/>
        <w:rPr>
          <w:rFonts w:cstheme="minorHAnsi"/>
          <w:sz w:val="24"/>
          <w:szCs w:val="24"/>
          <w:lang w:val="en-US"/>
        </w:rPr>
      </w:pPr>
      <w:r w:rsidRPr="005A464E">
        <w:rPr>
          <w:rFonts w:cstheme="minorHAnsi"/>
          <w:sz w:val="24"/>
          <w:szCs w:val="24"/>
          <w:lang w:val="en-US"/>
        </w:rPr>
        <w:t>Janssen Quality-of-life Studies. (2</w:t>
      </w:r>
      <w:r w:rsidR="00187166" w:rsidRPr="005A464E">
        <w:rPr>
          <w:rFonts w:cstheme="minorHAnsi"/>
          <w:sz w:val="24"/>
          <w:szCs w:val="24"/>
          <w:lang w:val="en-US"/>
        </w:rPr>
        <w:t>006). Notes on “quality of life</w:t>
      </w:r>
      <w:r w:rsidRPr="005A464E">
        <w:rPr>
          <w:rFonts w:cstheme="minorHAnsi"/>
          <w:sz w:val="24"/>
          <w:szCs w:val="24"/>
          <w:lang w:val="en-US"/>
        </w:rPr>
        <w:t xml:space="preserve">". </w:t>
      </w:r>
      <w:r w:rsidR="00156254">
        <w:rPr>
          <w:rFonts w:cstheme="minorHAnsi"/>
          <w:sz w:val="24"/>
          <w:szCs w:val="24"/>
          <w:lang w:val="en-US"/>
        </w:rPr>
        <w:t>Retrieved 2</w:t>
      </w:r>
      <w:r w:rsidR="00156254" w:rsidRPr="00156254">
        <w:rPr>
          <w:rFonts w:cstheme="minorHAnsi"/>
          <w:sz w:val="24"/>
          <w:szCs w:val="24"/>
          <w:vertAlign w:val="superscript"/>
          <w:lang w:val="en-US"/>
        </w:rPr>
        <w:t>th</w:t>
      </w:r>
      <w:r w:rsidR="00D26220" w:rsidRPr="005A464E">
        <w:rPr>
          <w:rFonts w:cstheme="minorHAnsi"/>
          <w:sz w:val="24"/>
          <w:szCs w:val="24"/>
          <w:lang w:val="en-US"/>
        </w:rPr>
        <w:t xml:space="preserve"> of June 2016</w:t>
      </w:r>
      <w:r w:rsidRPr="005A464E">
        <w:rPr>
          <w:rFonts w:cstheme="minorHAnsi"/>
          <w:sz w:val="24"/>
          <w:szCs w:val="24"/>
          <w:lang w:val="en-US"/>
        </w:rPr>
        <w:t xml:space="preserve"> from</w:t>
      </w:r>
      <w:r w:rsidR="0078495A">
        <w:rPr>
          <w:rFonts w:cstheme="minorHAnsi"/>
          <w:sz w:val="24"/>
          <w:szCs w:val="24"/>
          <w:lang w:val="en-US"/>
        </w:rPr>
        <w:t xml:space="preserve"> </w:t>
      </w:r>
      <w:r w:rsidR="00D26220" w:rsidRPr="005A464E">
        <w:rPr>
          <w:sz w:val="24"/>
          <w:szCs w:val="24"/>
          <w:lang w:val="en-US"/>
        </w:rPr>
        <w:t>https://www.gdrc.org/uem/qol-define.html</w:t>
      </w:r>
      <w:r w:rsidR="00187166" w:rsidRPr="005A464E">
        <w:rPr>
          <w:sz w:val="24"/>
          <w:szCs w:val="24"/>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Jenkinson, C., Stewart-Brown, S., Petersen, S., &amp; Paice, C. (1999). Assessment of the SF-36 version 2 in the United Kingdom.</w:t>
      </w:r>
      <w:r w:rsidRPr="005A464E">
        <w:rPr>
          <w:rStyle w:val="apple-converted-space"/>
          <w:rFonts w:asciiTheme="minorHAnsi" w:hAnsiTheme="minorHAnsi" w:cstheme="minorHAnsi"/>
          <w:lang w:val="en-US"/>
        </w:rPr>
        <w:t> </w:t>
      </w:r>
      <w:r w:rsidR="00187166" w:rsidRPr="005A464E">
        <w:rPr>
          <w:rFonts w:asciiTheme="minorHAnsi" w:hAnsiTheme="minorHAnsi" w:cstheme="minorHAnsi"/>
          <w:i/>
          <w:iCs/>
          <w:lang w:val="en-US"/>
        </w:rPr>
        <w:t>Journal o</w:t>
      </w:r>
      <w:r w:rsidRPr="005A464E">
        <w:rPr>
          <w:rFonts w:asciiTheme="minorHAnsi" w:hAnsiTheme="minorHAnsi" w:cstheme="minorHAnsi"/>
          <w:i/>
          <w:iCs/>
          <w:lang w:val="en-US"/>
        </w:rPr>
        <w:t>f Epidemiology &amp; Community Health</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156254">
        <w:rPr>
          <w:rFonts w:asciiTheme="minorHAnsi" w:hAnsiTheme="minorHAnsi" w:cstheme="minorHAnsi"/>
          <w:i/>
          <w:iCs/>
          <w:lang w:val="en-US"/>
        </w:rPr>
        <w:t>53</w:t>
      </w:r>
      <w:r w:rsidRPr="005A464E">
        <w:rPr>
          <w:rFonts w:asciiTheme="minorHAnsi" w:hAnsiTheme="minorHAnsi" w:cstheme="minorHAnsi"/>
          <w:lang w:val="en-US"/>
        </w:rPr>
        <w:t xml:space="preserve">, 46-50. </w:t>
      </w:r>
      <w:hyperlink r:id="rId227"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.org/10.1136/jech.53.1.46</w:t>
        </w:r>
      </w:hyperlink>
      <w:r w:rsidR="00187166" w:rsidRPr="005A464E">
        <w:rPr>
          <w:rFonts w:asciiTheme="minorHAnsi" w:hAnsiTheme="minorHAnsi"/>
          <w:lang w:val="en-US"/>
        </w:rPr>
        <w:t>.</w:t>
      </w:r>
    </w:p>
    <w:p w:rsidR="00292B29" w:rsidRPr="005A464E" w:rsidRDefault="003C410F" w:rsidP="005A464E">
      <w:pPr>
        <w:pStyle w:val="Web"/>
        <w:spacing w:after="166" w:line="360" w:lineRule="auto"/>
        <w:ind w:left="415" w:hanging="415"/>
        <w:jc w:val="both"/>
        <w:rPr>
          <w:rFonts w:asciiTheme="minorHAnsi" w:hAnsiTheme="minorHAnsi"/>
          <w:lang w:val="en-US"/>
        </w:rPr>
      </w:pPr>
      <w:r w:rsidRPr="005A464E">
        <w:rPr>
          <w:rStyle w:val="mixed-citation"/>
          <w:rFonts w:asciiTheme="minorHAnsi" w:hAnsiTheme="minorHAnsi" w:cstheme="minorHAnsi"/>
          <w:lang w:val="en-US"/>
        </w:rPr>
        <w:t xml:space="preserve">Jimmy, B., &amp; Jose, J. (2011). Patient </w:t>
      </w:r>
      <w:r w:rsidR="00187166" w:rsidRPr="005A464E">
        <w:rPr>
          <w:rStyle w:val="mixed-citation"/>
          <w:rFonts w:asciiTheme="minorHAnsi" w:hAnsiTheme="minorHAnsi" w:cstheme="minorHAnsi"/>
          <w:lang w:val="en-US"/>
        </w:rPr>
        <w:t>medication a</w:t>
      </w:r>
      <w:r w:rsidRPr="005A464E">
        <w:rPr>
          <w:rStyle w:val="mixed-citation"/>
          <w:rFonts w:asciiTheme="minorHAnsi" w:hAnsiTheme="minorHAnsi" w:cstheme="minorHAnsi"/>
          <w:lang w:val="en-US"/>
        </w:rPr>
        <w:t xml:space="preserve">dherence: Measures in </w:t>
      </w:r>
      <w:r w:rsidR="00187166" w:rsidRPr="005A464E">
        <w:rPr>
          <w:rStyle w:val="mixed-citation"/>
          <w:rFonts w:asciiTheme="minorHAnsi" w:hAnsiTheme="minorHAnsi" w:cstheme="minorHAnsi"/>
          <w:lang w:val="en-US"/>
        </w:rPr>
        <w:t>daily pr</w:t>
      </w:r>
      <w:r w:rsidRPr="005A464E">
        <w:rPr>
          <w:rStyle w:val="mixed-citation"/>
          <w:rFonts w:asciiTheme="minorHAnsi" w:hAnsiTheme="minorHAnsi" w:cstheme="minorHAnsi"/>
          <w:lang w:val="en-US"/>
        </w:rPr>
        <w:t>actice.</w:t>
      </w:r>
      <w:r w:rsidR="00187166" w:rsidRPr="005A464E">
        <w:rPr>
          <w:rStyle w:val="mixed-citation"/>
          <w:rFonts w:asciiTheme="minorHAnsi" w:hAnsiTheme="minorHAnsi" w:cstheme="minorHAnsi"/>
          <w:lang w:val="en-US"/>
        </w:rPr>
        <w:t xml:space="preserve"> </w:t>
      </w:r>
      <w:r w:rsidR="00187166" w:rsidRPr="005A464E">
        <w:rPr>
          <w:rStyle w:val="mixed-citation"/>
          <w:rFonts w:asciiTheme="minorHAnsi" w:hAnsiTheme="minorHAnsi" w:cstheme="minorHAnsi"/>
          <w:i/>
          <w:lang w:val="en-US"/>
        </w:rPr>
        <w:t xml:space="preserve">Oman </w:t>
      </w:r>
      <w:r w:rsidRPr="005A464E">
        <w:rPr>
          <w:rStyle w:val="mixed-citation"/>
          <w:rFonts w:asciiTheme="minorHAnsi" w:hAnsiTheme="minorHAnsi" w:cstheme="minorHAnsi"/>
          <w:i/>
          <w:lang w:val="en-US"/>
        </w:rPr>
        <w:t>Medical Journal</w:t>
      </w:r>
      <w:r w:rsidR="00156254">
        <w:rPr>
          <w:rStyle w:val="mixed-citation"/>
          <w:rFonts w:asciiTheme="minorHAnsi" w:hAnsiTheme="minorHAnsi" w:cstheme="minorHAnsi"/>
          <w:lang w:val="en-US"/>
        </w:rPr>
        <w:t xml:space="preserve">, </w:t>
      </w:r>
      <w:r w:rsidR="00156254" w:rsidRPr="00156254">
        <w:rPr>
          <w:rStyle w:val="mixed-citation"/>
          <w:rFonts w:asciiTheme="minorHAnsi" w:hAnsiTheme="minorHAnsi" w:cstheme="minorHAnsi"/>
          <w:i/>
          <w:lang w:val="en-US"/>
        </w:rPr>
        <w:t>26</w:t>
      </w:r>
      <w:r w:rsidRPr="00156254">
        <w:rPr>
          <w:rStyle w:val="mixed-citation"/>
          <w:rFonts w:asciiTheme="minorHAnsi" w:hAnsiTheme="minorHAnsi" w:cstheme="minorHAnsi"/>
          <w:i/>
          <w:lang w:val="en-US"/>
        </w:rPr>
        <w:t>,</w:t>
      </w:r>
      <w:r w:rsidRPr="005A464E">
        <w:rPr>
          <w:rStyle w:val="mixed-citation"/>
          <w:rFonts w:asciiTheme="minorHAnsi" w:hAnsiTheme="minorHAnsi" w:cstheme="minorHAnsi"/>
          <w:lang w:val="en-US"/>
        </w:rPr>
        <w:t xml:space="preserve"> 155–159. </w:t>
      </w:r>
    </w:p>
    <w:p w:rsidR="003C410F" w:rsidRPr="005A464E" w:rsidRDefault="003C410F" w:rsidP="005A464E">
      <w:pPr>
        <w:pStyle w:val="Web"/>
        <w:spacing w:after="166" w:line="360" w:lineRule="auto"/>
        <w:ind w:left="415" w:hanging="415"/>
        <w:jc w:val="both"/>
        <w:rPr>
          <w:rFonts w:asciiTheme="minorHAnsi" w:hAnsiTheme="minorHAnsi"/>
          <w:lang w:val="en-US"/>
        </w:rPr>
      </w:pPr>
      <w:r w:rsidRPr="005A464E">
        <w:rPr>
          <w:rStyle w:val="element-citation"/>
          <w:rFonts w:asciiTheme="minorHAnsi" w:eastAsia="Times New Roman" w:hAnsiTheme="minorHAnsi" w:cstheme="minorHAnsi"/>
          <w:lang w:val="en-US" w:eastAsia="el-GR"/>
        </w:rPr>
        <w:t xml:space="preserve">Johnson, J.P., McCauley, C.R., &amp; Copley, J.B. (1982). The quality of life of hemodialysis and transplant patients. </w:t>
      </w:r>
      <w:r w:rsidRPr="005A464E">
        <w:rPr>
          <w:rStyle w:val="element-citation"/>
          <w:rFonts w:asciiTheme="minorHAnsi" w:eastAsia="Times New Roman" w:hAnsiTheme="minorHAnsi" w:cstheme="minorHAnsi"/>
          <w:i/>
          <w:lang w:val="en-US" w:eastAsia="el-GR"/>
        </w:rPr>
        <w:t>Kidney International,</w:t>
      </w:r>
      <w:r w:rsidR="00156254">
        <w:rPr>
          <w:rStyle w:val="element-citation"/>
          <w:rFonts w:asciiTheme="minorHAnsi" w:eastAsia="Times New Roman" w:hAnsiTheme="minorHAnsi" w:cstheme="minorHAnsi"/>
          <w:lang w:val="en-US" w:eastAsia="el-GR"/>
        </w:rPr>
        <w:t xml:space="preserve"> </w:t>
      </w:r>
      <w:r w:rsidR="00156254" w:rsidRPr="00156254">
        <w:rPr>
          <w:rStyle w:val="element-citation"/>
          <w:rFonts w:asciiTheme="minorHAnsi" w:eastAsia="Times New Roman" w:hAnsiTheme="minorHAnsi" w:cstheme="minorHAnsi"/>
          <w:i/>
          <w:lang w:val="en-US" w:eastAsia="el-GR"/>
        </w:rPr>
        <w:t>22</w:t>
      </w:r>
      <w:r w:rsidRPr="005A464E">
        <w:rPr>
          <w:rStyle w:val="element-citation"/>
          <w:rFonts w:asciiTheme="minorHAnsi" w:eastAsia="Times New Roman" w:hAnsiTheme="minorHAnsi" w:cstheme="minorHAnsi"/>
          <w:lang w:val="en-US" w:eastAsia="el-GR"/>
        </w:rPr>
        <w:t>, 286-291.</w:t>
      </w:r>
      <w:r w:rsidRPr="005A464E">
        <w:rPr>
          <w:rFonts w:asciiTheme="minorHAnsi" w:hAnsiTheme="minorHAnsi"/>
          <w:lang w:val="en-US"/>
        </w:rPr>
        <w:t xml:space="preserve"> </w:t>
      </w:r>
      <w:r w:rsidR="00292B29" w:rsidRPr="005A464E">
        <w:rPr>
          <w:rFonts w:asciiTheme="minorHAnsi" w:hAnsiTheme="minorHAnsi" w:cstheme="minorHAnsi"/>
          <w:lang w:val="en-US"/>
        </w:rPr>
        <w:t>DOI</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hyperlink r:id="rId228"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.org/10.1038/ki.1982.167</w:t>
        </w:r>
      </w:hyperlink>
      <w:r w:rsidR="00187166" w:rsidRPr="005A464E">
        <w:rPr>
          <w:rFonts w:asciiTheme="minorHAnsi" w:hAnsiTheme="minorHAnsi"/>
          <w:lang w:val="en-US"/>
        </w:rPr>
        <w:t>.</w:t>
      </w:r>
    </w:p>
    <w:p w:rsidR="00F06EDE" w:rsidRPr="005A464E" w:rsidRDefault="00F06EDE" w:rsidP="005A464E">
      <w:pPr>
        <w:pStyle w:val="Web"/>
        <w:spacing w:after="166" w:line="360" w:lineRule="auto"/>
        <w:ind w:left="415" w:hanging="415"/>
        <w:jc w:val="both"/>
        <w:rPr>
          <w:rStyle w:val="element-citation"/>
          <w:rFonts w:asciiTheme="minorHAnsi" w:eastAsia="Times New Roman" w:hAnsiTheme="minorHAnsi" w:cstheme="minorHAnsi"/>
          <w:iCs/>
          <w:lang w:val="en-US" w:eastAsia="el-GR"/>
        </w:rPr>
      </w:pPr>
      <w:r w:rsidRPr="005A464E">
        <w:rPr>
          <w:rFonts w:asciiTheme="minorHAnsi" w:eastAsia="Times New Roman" w:hAnsiTheme="minorHAnsi" w:cstheme="minorHAnsi"/>
          <w:iCs/>
          <w:lang w:val="en-US" w:eastAsia="el-GR"/>
        </w:rPr>
        <w:t xml:space="preserve">Johnson, J.P., &amp; Mighten, A. (2005). A comparison of teaching strategies: lecture notes combined with structured group discussion versus lecture only. </w:t>
      </w:r>
      <w:r w:rsidRPr="005A464E">
        <w:rPr>
          <w:rFonts w:asciiTheme="minorHAnsi" w:eastAsia="Times New Roman" w:hAnsiTheme="minorHAnsi" w:cstheme="minorHAnsi"/>
          <w:i/>
          <w:iCs/>
          <w:lang w:val="en-US" w:eastAsia="el-GR"/>
        </w:rPr>
        <w:t>Journal of Nursing Education,</w:t>
      </w:r>
      <w:r w:rsidR="00156254">
        <w:rPr>
          <w:rFonts w:asciiTheme="minorHAnsi" w:eastAsia="Times New Roman" w:hAnsiTheme="minorHAnsi" w:cstheme="minorHAnsi"/>
          <w:iCs/>
          <w:lang w:val="en-US" w:eastAsia="el-GR"/>
        </w:rPr>
        <w:t xml:space="preserve"> </w:t>
      </w:r>
      <w:r w:rsidR="00156254" w:rsidRPr="00156254">
        <w:rPr>
          <w:rFonts w:asciiTheme="minorHAnsi" w:eastAsia="Times New Roman" w:hAnsiTheme="minorHAnsi" w:cstheme="minorHAnsi"/>
          <w:i/>
          <w:iCs/>
          <w:lang w:val="en-US" w:eastAsia="el-GR"/>
        </w:rPr>
        <w:t>44</w:t>
      </w:r>
      <w:r w:rsidR="00156254">
        <w:rPr>
          <w:rFonts w:asciiTheme="minorHAnsi" w:eastAsia="Times New Roman" w:hAnsiTheme="minorHAnsi" w:cstheme="minorHAnsi"/>
          <w:iCs/>
          <w:lang w:val="en-US" w:eastAsia="el-GR"/>
        </w:rPr>
        <w:t>,</w:t>
      </w:r>
      <w:r w:rsidRPr="005A464E">
        <w:rPr>
          <w:rFonts w:asciiTheme="minorHAnsi" w:eastAsia="Times New Roman" w:hAnsiTheme="minorHAnsi" w:cstheme="minorHAnsi"/>
          <w:iCs/>
          <w:lang w:val="en-US" w:eastAsia="el-GR"/>
        </w:rPr>
        <w:t xml:space="preserve"> 319-322</w:t>
      </w:r>
      <w:r w:rsidR="00187166" w:rsidRPr="005A464E">
        <w:rPr>
          <w:rFonts w:asciiTheme="minorHAnsi" w:eastAsia="Times New Roman" w:hAnsiTheme="minorHAnsi" w:cstheme="minorHAnsi"/>
          <w:iCs/>
          <w:lang w:val="en-US" w:eastAsia="el-GR"/>
        </w:rPr>
        <w:t>.</w:t>
      </w:r>
    </w:p>
    <w:p w:rsidR="006D4C51" w:rsidRDefault="003C410F" w:rsidP="006D4C51">
      <w:pPr>
        <w:pStyle w:val="Web"/>
        <w:spacing w:after="166" w:line="360" w:lineRule="auto"/>
        <w:ind w:left="415" w:hanging="415"/>
        <w:jc w:val="both"/>
        <w:rPr>
          <w:rFonts w:asciiTheme="minorHAnsi" w:eastAsia="Times New Roman" w:hAnsiTheme="minorHAnsi" w:cstheme="minorHAnsi"/>
          <w:iCs/>
          <w:lang w:val="en-US" w:eastAsia="el-GR"/>
        </w:rPr>
      </w:pPr>
      <w:r w:rsidRPr="005A464E">
        <w:rPr>
          <w:rFonts w:asciiTheme="minorHAnsi" w:eastAsia="Times New Roman" w:hAnsiTheme="minorHAnsi" w:cstheme="minorHAnsi"/>
          <w:iCs/>
          <w:lang w:val="en-US" w:eastAsia="el-GR"/>
        </w:rPr>
        <w:t>Jones, G. (2003).</w:t>
      </w:r>
      <w:r w:rsidR="0078495A">
        <w:rPr>
          <w:rFonts w:asciiTheme="minorHAnsi" w:eastAsia="Times New Roman" w:hAnsiTheme="minorHAnsi" w:cstheme="minorHAnsi"/>
          <w:iCs/>
          <w:lang w:val="en-US" w:eastAsia="el-GR"/>
        </w:rPr>
        <w:t xml:space="preserve"> </w:t>
      </w:r>
      <w:r w:rsidRPr="005A464E">
        <w:rPr>
          <w:rFonts w:asciiTheme="minorHAnsi" w:eastAsia="Times New Roman" w:hAnsiTheme="minorHAnsi" w:cstheme="minorHAnsi"/>
          <w:iCs/>
          <w:lang w:val="en-US" w:eastAsia="el-GR"/>
        </w:rPr>
        <w:t xml:space="preserve">Prescribing and taking medicines. Concordance is a fine theory but is mostly not being practiced. </w:t>
      </w:r>
      <w:r w:rsidRPr="005A464E">
        <w:rPr>
          <w:rFonts w:asciiTheme="minorHAnsi" w:eastAsia="Times New Roman" w:hAnsiTheme="minorHAnsi" w:cstheme="minorHAnsi"/>
          <w:i/>
          <w:iCs/>
          <w:lang w:val="en-US" w:eastAsia="el-GR"/>
        </w:rPr>
        <w:t>BMJ,</w:t>
      </w:r>
      <w:r w:rsidR="00156254">
        <w:rPr>
          <w:rFonts w:asciiTheme="minorHAnsi" w:eastAsia="Times New Roman" w:hAnsiTheme="minorHAnsi" w:cstheme="minorHAnsi"/>
          <w:iCs/>
          <w:lang w:val="en-US" w:eastAsia="el-GR"/>
        </w:rPr>
        <w:t xml:space="preserve"> </w:t>
      </w:r>
      <w:r w:rsidR="00156254" w:rsidRPr="00156254">
        <w:rPr>
          <w:rFonts w:asciiTheme="minorHAnsi" w:eastAsia="Times New Roman" w:hAnsiTheme="minorHAnsi" w:cstheme="minorHAnsi"/>
          <w:i/>
          <w:iCs/>
          <w:lang w:val="en-US" w:eastAsia="el-GR"/>
        </w:rPr>
        <w:t>327,</w:t>
      </w:r>
      <w:r w:rsidR="00156254">
        <w:rPr>
          <w:rFonts w:asciiTheme="minorHAnsi" w:eastAsia="Times New Roman" w:hAnsiTheme="minorHAnsi" w:cstheme="minorHAnsi"/>
          <w:iCs/>
          <w:lang w:val="en-US" w:eastAsia="el-GR"/>
        </w:rPr>
        <w:t xml:space="preserve"> </w:t>
      </w:r>
      <w:r w:rsidRPr="005A464E">
        <w:rPr>
          <w:rFonts w:asciiTheme="minorHAnsi" w:eastAsia="Times New Roman" w:hAnsiTheme="minorHAnsi" w:cstheme="minorHAnsi"/>
          <w:iCs/>
          <w:lang w:val="en-US" w:eastAsia="el-GR"/>
        </w:rPr>
        <w:t>819-20</w:t>
      </w:r>
      <w:r w:rsidR="00187166" w:rsidRPr="005A464E">
        <w:rPr>
          <w:rFonts w:asciiTheme="minorHAnsi" w:eastAsia="Times New Roman" w:hAnsiTheme="minorHAnsi" w:cstheme="minorHAnsi"/>
          <w:iCs/>
          <w:lang w:val="en-US" w:eastAsia="el-GR"/>
        </w:rPr>
        <w:t>.</w:t>
      </w:r>
    </w:p>
    <w:p w:rsidR="006D4C51" w:rsidRPr="005A464E" w:rsidRDefault="008F3609" w:rsidP="006D4C51">
      <w:pPr>
        <w:pStyle w:val="Web"/>
        <w:spacing w:after="166" w:line="360" w:lineRule="auto"/>
        <w:ind w:left="415" w:hanging="415"/>
        <w:jc w:val="both"/>
        <w:rPr>
          <w:rFonts w:asciiTheme="minorHAnsi" w:eastAsia="Times New Roman" w:hAnsiTheme="minorHAnsi" w:cstheme="minorHAnsi"/>
          <w:iCs/>
          <w:lang w:val="en-US" w:eastAsia="el-GR"/>
        </w:rPr>
      </w:pPr>
      <w:hyperlink r:id="rId229" w:history="1">
        <w:r w:rsidR="006D4C51" w:rsidRPr="006D4C51">
          <w:rPr>
            <w:rStyle w:val="-"/>
            <w:rFonts w:asciiTheme="minorHAnsi" w:hAnsiTheme="minorHAnsi" w:cstheme="minorHAnsi"/>
            <w:color w:val="auto"/>
            <w:u w:val="none"/>
            <w:lang w:val="en-US"/>
          </w:rPr>
          <w:t>Jucks R</w:t>
        </w:r>
      </w:hyperlink>
      <w:r w:rsidR="006D4C51" w:rsidRPr="006D4C51">
        <w:rPr>
          <w:rFonts w:asciiTheme="minorHAnsi" w:hAnsiTheme="minorHAnsi" w:cstheme="minorHAnsi"/>
          <w:lang w:val="en-US"/>
        </w:rPr>
        <w:t>, </w:t>
      </w:r>
      <w:hyperlink r:id="rId230" w:history="1">
        <w:r w:rsidR="006D4C51" w:rsidRPr="006D4C51">
          <w:rPr>
            <w:rStyle w:val="-"/>
            <w:rFonts w:asciiTheme="minorHAnsi" w:hAnsiTheme="minorHAnsi" w:cstheme="minorHAnsi"/>
            <w:color w:val="auto"/>
            <w:u w:val="none"/>
            <w:lang w:val="en-US"/>
          </w:rPr>
          <w:t>Paus E</w:t>
        </w:r>
      </w:hyperlink>
      <w:r w:rsidR="006D4C51" w:rsidRPr="006D4C51">
        <w:rPr>
          <w:rFonts w:asciiTheme="minorHAnsi" w:hAnsiTheme="minorHAnsi" w:cstheme="minorHAnsi"/>
          <w:lang w:val="en-US"/>
        </w:rPr>
        <w:t>, </w:t>
      </w:r>
      <w:hyperlink r:id="rId231" w:history="1">
        <w:r w:rsidR="006D4C51" w:rsidRPr="006D4C51">
          <w:rPr>
            <w:rStyle w:val="-"/>
            <w:rFonts w:asciiTheme="minorHAnsi" w:hAnsiTheme="minorHAnsi" w:cstheme="minorHAnsi"/>
            <w:color w:val="auto"/>
            <w:u w:val="none"/>
            <w:lang w:val="en-US"/>
          </w:rPr>
          <w:t>Bromme R</w:t>
        </w:r>
      </w:hyperlink>
      <w:r w:rsidR="006D4C51" w:rsidRPr="006D4C51">
        <w:rPr>
          <w:rFonts w:asciiTheme="minorHAnsi" w:hAnsiTheme="minorHAnsi" w:cstheme="minorHAnsi"/>
          <w:lang w:val="en-US"/>
        </w:rPr>
        <w:t>.</w:t>
      </w:r>
      <w:r w:rsidR="006D4C51">
        <w:rPr>
          <w:rFonts w:asciiTheme="minorHAnsi" w:hAnsiTheme="minorHAnsi" w:cstheme="minorHAnsi"/>
          <w:lang w:val="en-US"/>
        </w:rPr>
        <w:t xml:space="preserve"> (2012). </w:t>
      </w:r>
      <w:r w:rsidR="006D4C51" w:rsidRPr="006D4C51">
        <w:rPr>
          <w:rStyle w:val="highlight"/>
          <w:rFonts w:asciiTheme="minorHAnsi" w:hAnsiTheme="minorHAnsi" w:cstheme="minorHAnsi"/>
          <w:lang w:val="en-US"/>
        </w:rPr>
        <w:t>Patients</w:t>
      </w:r>
      <w:r w:rsidR="006D4C51" w:rsidRPr="006D4C51">
        <w:rPr>
          <w:rFonts w:asciiTheme="minorHAnsi" w:hAnsiTheme="minorHAnsi" w:cstheme="minorHAnsi"/>
          <w:lang w:val="en-US"/>
        </w:rPr>
        <w:t>' medical knowledge and health counseling: what kind of </w:t>
      </w:r>
      <w:r w:rsidR="006D4C51" w:rsidRPr="006D4C51">
        <w:rPr>
          <w:rStyle w:val="highlight"/>
          <w:rFonts w:asciiTheme="minorHAnsi" w:hAnsiTheme="minorHAnsi" w:cstheme="minorHAnsi"/>
          <w:lang w:val="en-US"/>
        </w:rPr>
        <w:t>information</w:t>
      </w:r>
      <w:r w:rsidR="006D4C51" w:rsidRPr="006D4C51">
        <w:rPr>
          <w:rFonts w:asciiTheme="minorHAnsi" w:hAnsiTheme="minorHAnsi" w:cstheme="minorHAnsi"/>
          <w:lang w:val="en-US"/>
        </w:rPr>
        <w:t> helps to make communication </w:t>
      </w:r>
      <w:r w:rsidR="006D4C51" w:rsidRPr="006D4C51">
        <w:rPr>
          <w:rStyle w:val="highlight"/>
          <w:rFonts w:asciiTheme="minorHAnsi" w:hAnsiTheme="minorHAnsi" w:cstheme="minorHAnsi"/>
          <w:lang w:val="en-US"/>
        </w:rPr>
        <w:t>patient</w:t>
      </w:r>
      <w:r w:rsidR="006D4C51" w:rsidRPr="006D4C51">
        <w:rPr>
          <w:rFonts w:asciiTheme="minorHAnsi" w:hAnsiTheme="minorHAnsi" w:cstheme="minorHAnsi"/>
          <w:lang w:val="en-US"/>
        </w:rPr>
        <w:t xml:space="preserve">-centered? </w:t>
      </w:r>
      <w:hyperlink r:id="rId232" w:tooltip="Patient education and counseling." w:history="1">
        <w:r w:rsidR="006D4C51" w:rsidRPr="006D4C51">
          <w:rPr>
            <w:rStyle w:val="highlight"/>
            <w:rFonts w:asciiTheme="minorHAnsi" w:hAnsiTheme="minorHAnsi" w:cstheme="minorHAnsi"/>
            <w:i/>
            <w:lang w:val="en-US"/>
          </w:rPr>
          <w:t>Patient</w:t>
        </w:r>
        <w:r w:rsidR="006D4C51" w:rsidRPr="006D4C51">
          <w:rPr>
            <w:rStyle w:val="-"/>
            <w:rFonts w:asciiTheme="minorHAnsi" w:hAnsiTheme="minorHAnsi" w:cstheme="minorHAnsi"/>
            <w:i/>
            <w:color w:val="auto"/>
            <w:u w:val="none"/>
            <w:lang w:val="en-US"/>
          </w:rPr>
          <w:t> Education &amp; Counseling,</w:t>
        </w:r>
      </w:hyperlink>
      <w:r w:rsidR="006D4C51" w:rsidRPr="006D4C51">
        <w:rPr>
          <w:rFonts w:asciiTheme="minorHAnsi" w:hAnsiTheme="minorHAnsi" w:cstheme="minorHAnsi"/>
          <w:i/>
          <w:lang w:val="en-US"/>
        </w:rPr>
        <w:t xml:space="preserve"> 88,</w:t>
      </w:r>
      <w:r w:rsidR="006D4C51">
        <w:rPr>
          <w:rFonts w:asciiTheme="minorHAnsi" w:hAnsiTheme="minorHAnsi" w:cstheme="minorHAnsi"/>
          <w:lang w:val="en-US"/>
        </w:rPr>
        <w:t xml:space="preserve"> </w:t>
      </w:r>
      <w:r w:rsidR="006D4C51" w:rsidRPr="006D4C51">
        <w:rPr>
          <w:rFonts w:asciiTheme="minorHAnsi" w:hAnsiTheme="minorHAnsi" w:cstheme="minorHAnsi"/>
          <w:lang w:val="en-US"/>
        </w:rPr>
        <w:t>177-</w:t>
      </w:r>
      <w:r w:rsidR="006D4C51">
        <w:rPr>
          <w:rFonts w:asciiTheme="minorHAnsi" w:hAnsiTheme="minorHAnsi" w:cstheme="minorHAnsi"/>
          <w:lang w:val="en-US"/>
        </w:rPr>
        <w:t>183. DOI</w:t>
      </w:r>
      <w:r w:rsidR="006D4C51" w:rsidRPr="006D4C51">
        <w:rPr>
          <w:rFonts w:asciiTheme="minorHAnsi" w:hAnsiTheme="minorHAnsi" w:cstheme="minorHAnsi"/>
          <w:lang w:val="en-US"/>
        </w:rPr>
        <w:t>:</w:t>
      </w:r>
      <w:r w:rsidR="006D4C51">
        <w:rPr>
          <w:rFonts w:asciiTheme="minorHAnsi" w:hAnsiTheme="minorHAnsi" w:cstheme="minorHAnsi"/>
          <w:lang w:val="en-US"/>
        </w:rPr>
        <w:t xml:space="preserve"> 10.1016/j.pec.2012.01.011.</w:t>
      </w:r>
    </w:p>
    <w:p w:rsidR="0015362F" w:rsidRPr="005A464E" w:rsidRDefault="0015362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lang w:val="en-US"/>
        </w:rPr>
        <w:t>Julius, R., Novitsky, M., Dubin, W. (2009). Medication adherence: a review of the literature and implications for clinical practice.</w:t>
      </w:r>
      <w:r w:rsidR="0078495A">
        <w:rPr>
          <w:rFonts w:asciiTheme="minorHAnsi" w:hAnsiTheme="minorHAnsi"/>
          <w:lang w:val="en-US"/>
        </w:rPr>
        <w:t xml:space="preserve"> </w:t>
      </w:r>
      <w:r w:rsidRPr="005A464E">
        <w:rPr>
          <w:rFonts w:asciiTheme="minorHAnsi" w:hAnsiTheme="minorHAnsi"/>
          <w:i/>
          <w:lang w:val="en-US"/>
        </w:rPr>
        <w:t>Journal of Psychiatric Practice,</w:t>
      </w:r>
      <w:r w:rsidR="00156254">
        <w:rPr>
          <w:rFonts w:asciiTheme="minorHAnsi" w:hAnsiTheme="minorHAnsi"/>
          <w:lang w:val="en-US"/>
        </w:rPr>
        <w:t xml:space="preserve"> </w:t>
      </w:r>
      <w:r w:rsidR="00156254" w:rsidRPr="00156254">
        <w:rPr>
          <w:rFonts w:asciiTheme="minorHAnsi" w:hAnsiTheme="minorHAnsi"/>
          <w:i/>
          <w:lang w:val="en-US"/>
        </w:rPr>
        <w:t>15</w:t>
      </w:r>
      <w:r w:rsidR="00156254">
        <w:rPr>
          <w:rFonts w:asciiTheme="minorHAnsi" w:hAnsiTheme="minorHAnsi"/>
          <w:lang w:val="en-US"/>
        </w:rPr>
        <w:t>,</w:t>
      </w:r>
      <w:r w:rsidRPr="005A464E">
        <w:rPr>
          <w:rFonts w:asciiTheme="minorHAnsi" w:hAnsiTheme="minorHAnsi"/>
          <w:lang w:val="en-US"/>
        </w:rPr>
        <w:t xml:space="preserve">34–44. </w:t>
      </w:r>
      <w:hyperlink r:id="rId233" w:history="1">
        <w:r w:rsidRPr="005A464E">
          <w:rPr>
            <w:rStyle w:val="-"/>
            <w:rFonts w:asciiTheme="minorHAnsi" w:hAnsiTheme="minorHAnsi" w:cs="Arial"/>
            <w:color w:val="333333"/>
            <w:u w:val="none"/>
            <w:shd w:val="clear" w:color="auto" w:fill="FFFFFF"/>
            <w:lang w:val="en-US"/>
          </w:rPr>
          <w:t>10.1097/01.pra.0000344917.43780.77</w:t>
        </w:r>
      </w:hyperlink>
      <w:r w:rsidR="00187166"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Jungers, P. (2001). Longer duration of predialysis nephrological care is associated with improved long-term survival of dialysis patients.</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Nephrology Dialysis Transplantation</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156254">
        <w:rPr>
          <w:rFonts w:asciiTheme="minorHAnsi" w:hAnsiTheme="minorHAnsi" w:cstheme="minorHAnsi"/>
          <w:i/>
          <w:iCs/>
          <w:lang w:val="en-US"/>
        </w:rPr>
        <w:t>16</w:t>
      </w:r>
      <w:r w:rsidRPr="00156254">
        <w:rPr>
          <w:rFonts w:asciiTheme="minorHAnsi" w:hAnsiTheme="minorHAnsi" w:cstheme="minorHAnsi"/>
          <w:i/>
          <w:lang w:val="en-US"/>
        </w:rPr>
        <w:t>,</w:t>
      </w:r>
      <w:r w:rsidRPr="005A464E">
        <w:rPr>
          <w:rFonts w:asciiTheme="minorHAnsi" w:hAnsiTheme="minorHAnsi" w:cstheme="minorHAnsi"/>
          <w:lang w:val="en-US"/>
        </w:rPr>
        <w:t xml:space="preserve"> 2357-2364. http://dx.</w:t>
      </w:r>
      <w:r w:rsidR="00292B29" w:rsidRPr="005A464E">
        <w:rPr>
          <w:rFonts w:asciiTheme="minorHAnsi" w:hAnsiTheme="minorHAnsi" w:cstheme="minorHAnsi"/>
          <w:lang w:val="en-US"/>
        </w:rPr>
        <w:t>DOI</w:t>
      </w:r>
      <w:r w:rsidRPr="005A464E">
        <w:rPr>
          <w:rFonts w:asciiTheme="minorHAnsi" w:hAnsiTheme="minorHAnsi" w:cstheme="minorHAnsi"/>
          <w:lang w:val="en-US"/>
        </w:rPr>
        <w:t>.org/10.1093/ndt/16.12.2357</w:t>
      </w:r>
      <w:r w:rsidR="00187166" w:rsidRPr="005A464E">
        <w:rPr>
          <w:rFonts w:asciiTheme="minorHAnsi" w:hAnsiTheme="minorHAnsi" w:cs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Kahn, A., &amp; Pannbacker, M. (2000). Readability </w:t>
      </w:r>
      <w:r w:rsidR="00F06EDE" w:rsidRPr="005A464E">
        <w:rPr>
          <w:rFonts w:asciiTheme="minorHAnsi" w:hAnsiTheme="minorHAnsi" w:cstheme="minorHAnsi"/>
          <w:lang w:val="en-US"/>
        </w:rPr>
        <w:t>of educational materials for clients with cleft lip/palate and their families</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00187166" w:rsidRPr="005A464E">
        <w:rPr>
          <w:rFonts w:asciiTheme="minorHAnsi" w:hAnsiTheme="minorHAnsi" w:cstheme="minorHAnsi"/>
          <w:i/>
          <w:iCs/>
          <w:lang w:val="en-US"/>
        </w:rPr>
        <w:t>American Journal o</w:t>
      </w:r>
      <w:r w:rsidRPr="005A464E">
        <w:rPr>
          <w:rFonts w:asciiTheme="minorHAnsi" w:hAnsiTheme="minorHAnsi" w:cstheme="minorHAnsi"/>
          <w:i/>
          <w:iCs/>
          <w:lang w:val="en-US"/>
        </w:rPr>
        <w:t>f Speech-Language Pathology</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156254">
        <w:rPr>
          <w:rFonts w:asciiTheme="minorHAnsi" w:hAnsiTheme="minorHAnsi" w:cstheme="minorHAnsi"/>
          <w:i/>
          <w:iCs/>
          <w:lang w:val="en-US"/>
        </w:rPr>
        <w:t>9</w:t>
      </w:r>
      <w:r w:rsidRPr="005A464E">
        <w:rPr>
          <w:rFonts w:asciiTheme="minorHAnsi" w:hAnsiTheme="minorHAnsi" w:cstheme="minorHAnsi"/>
          <w:lang w:val="en-US"/>
        </w:rPr>
        <w:t xml:space="preserve">, 3. </w:t>
      </w:r>
      <w:hyperlink r:id="rId234"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.org/10.1044/1058-0360.0901.03</w:t>
        </w:r>
      </w:hyperlink>
      <w:r w:rsidR="00187166"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Kalantar-Zadeh, K., Kopple, J. Block, G. &amp; Humphreys</w:t>
      </w:r>
      <w:r w:rsidR="00F06EDE" w:rsidRPr="005A464E">
        <w:rPr>
          <w:rFonts w:asciiTheme="minorHAnsi" w:hAnsiTheme="minorHAnsi" w:cstheme="minorHAnsi"/>
          <w:lang w:val="en-US"/>
        </w:rPr>
        <w:t>,</w:t>
      </w:r>
      <w:r w:rsidRPr="005A464E">
        <w:rPr>
          <w:rFonts w:asciiTheme="minorHAnsi" w:hAnsiTheme="minorHAnsi" w:cstheme="minorHAnsi"/>
          <w:lang w:val="en-US"/>
        </w:rPr>
        <w:t xml:space="preserve"> M</w:t>
      </w:r>
      <w:r w:rsidR="00F06EDE" w:rsidRPr="005A464E">
        <w:rPr>
          <w:rFonts w:asciiTheme="minorHAnsi" w:hAnsiTheme="minorHAnsi" w:cstheme="minorHAnsi"/>
          <w:lang w:val="en-US"/>
        </w:rPr>
        <w:t>.</w:t>
      </w:r>
      <w:r w:rsidRPr="005A464E">
        <w:rPr>
          <w:rFonts w:asciiTheme="minorHAnsi" w:hAnsiTheme="minorHAnsi" w:cstheme="minorHAnsi"/>
          <w:lang w:val="en-US"/>
        </w:rPr>
        <w:t xml:space="preserve">H. (2001). Association among SF-36 QOL measures and nutrition, hospitalization, and mortality in haemodialysis. </w:t>
      </w:r>
      <w:r w:rsidRPr="005A464E">
        <w:rPr>
          <w:rFonts w:asciiTheme="minorHAnsi" w:hAnsiTheme="minorHAnsi" w:cstheme="minorHAnsi"/>
          <w:i/>
          <w:iCs/>
          <w:lang w:val="en-US"/>
        </w:rPr>
        <w:t>Journal of American Society of Nephrology</w:t>
      </w:r>
      <w:r w:rsidRPr="00156254">
        <w:rPr>
          <w:rFonts w:asciiTheme="minorHAnsi" w:hAnsiTheme="minorHAnsi" w:cstheme="minorHAnsi"/>
          <w:i/>
          <w:iCs/>
          <w:lang w:val="en-US"/>
        </w:rPr>
        <w:t>, 12</w:t>
      </w:r>
      <w:r w:rsidRPr="00156254">
        <w:rPr>
          <w:rFonts w:asciiTheme="minorHAnsi" w:hAnsiTheme="minorHAnsi" w:cstheme="minorHAnsi"/>
          <w:i/>
          <w:lang w:val="en-US"/>
        </w:rPr>
        <w:t>,</w:t>
      </w:r>
      <w:r w:rsidRPr="005A464E">
        <w:rPr>
          <w:rFonts w:asciiTheme="minorHAnsi" w:hAnsiTheme="minorHAnsi" w:cstheme="minorHAnsi"/>
          <w:lang w:val="en-US"/>
        </w:rPr>
        <w:t xml:space="preserve"> 2797-2806</w:t>
      </w:r>
      <w:r w:rsidR="00187166" w:rsidRPr="005A464E">
        <w:rPr>
          <w:rFonts w:asciiTheme="minorHAnsi" w:hAnsiTheme="minorHAnsi" w:cs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Kalantar-Zadeh, K., McAllister, C., Lehn, R., Lee, G., Nissenson, A., &amp; Kopple, J. (2003). Effect of malnutrition-inflammation complex syndrome on EPO hyporesponsiveness in maintenance hemodialysis patients.</w:t>
      </w:r>
      <w:r w:rsidRPr="005A464E">
        <w:rPr>
          <w:rStyle w:val="apple-converted-space"/>
          <w:rFonts w:asciiTheme="minorHAnsi" w:hAnsiTheme="minorHAnsi" w:cstheme="minorHAnsi"/>
          <w:lang w:val="en-US"/>
        </w:rPr>
        <w:t> </w:t>
      </w:r>
      <w:r w:rsidR="00187166" w:rsidRPr="005A464E">
        <w:rPr>
          <w:rFonts w:asciiTheme="minorHAnsi" w:hAnsiTheme="minorHAnsi" w:cstheme="minorHAnsi"/>
          <w:i/>
          <w:iCs/>
          <w:lang w:val="en-US"/>
        </w:rPr>
        <w:t>American Journal o</w:t>
      </w:r>
      <w:r w:rsidRPr="005A464E">
        <w:rPr>
          <w:rFonts w:asciiTheme="minorHAnsi" w:hAnsiTheme="minorHAnsi" w:cstheme="minorHAnsi"/>
          <w:i/>
          <w:iCs/>
          <w:lang w:val="en-US"/>
        </w:rPr>
        <w:t>f Kidney Diseases</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156254">
        <w:rPr>
          <w:rFonts w:asciiTheme="minorHAnsi" w:hAnsiTheme="minorHAnsi" w:cstheme="minorHAnsi"/>
          <w:i/>
          <w:iCs/>
          <w:lang w:val="en-US"/>
        </w:rPr>
        <w:t>42</w:t>
      </w:r>
      <w:r w:rsidRPr="005A464E">
        <w:rPr>
          <w:rFonts w:asciiTheme="minorHAnsi" w:hAnsiTheme="minorHAnsi" w:cstheme="minorHAnsi"/>
          <w:lang w:val="en-US"/>
        </w:rPr>
        <w:t>, 761-773.</w:t>
      </w:r>
    </w:p>
    <w:p w:rsidR="00F06EDE" w:rsidRPr="005A464E" w:rsidRDefault="00F06EDE"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Kalantar-Zadeh, K., Kopple, J., Humphreys, M., &amp; Block, G. (2004). Comparing outcome predictability of markers of malnutrition-inflammation complex syndrome in haemodialysis patients.</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Nephrology</w:t>
      </w:r>
      <w:r w:rsidR="00187166" w:rsidRPr="005A464E">
        <w:rPr>
          <w:rFonts w:asciiTheme="minorHAnsi" w:hAnsiTheme="minorHAnsi" w:cstheme="minorHAnsi"/>
          <w:i/>
          <w:iCs/>
          <w:lang w:val="en-US"/>
        </w:rPr>
        <w:t xml:space="preserve"> </w:t>
      </w:r>
      <w:r w:rsidRPr="005A464E">
        <w:rPr>
          <w:rFonts w:asciiTheme="minorHAnsi" w:hAnsiTheme="minorHAnsi" w:cstheme="minorHAnsi"/>
          <w:i/>
          <w:iCs/>
          <w:lang w:val="en-US"/>
        </w:rPr>
        <w:t>Dialysis Transplantation</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156254">
        <w:rPr>
          <w:rFonts w:asciiTheme="minorHAnsi" w:hAnsiTheme="minorHAnsi" w:cstheme="minorHAnsi"/>
          <w:i/>
          <w:iCs/>
          <w:lang w:val="en-US"/>
        </w:rPr>
        <w:t>19</w:t>
      </w:r>
      <w:r w:rsidRPr="00156254">
        <w:rPr>
          <w:rFonts w:asciiTheme="minorHAnsi" w:hAnsiTheme="minorHAnsi" w:cstheme="minorHAnsi"/>
          <w:i/>
          <w:lang w:val="en-US"/>
        </w:rPr>
        <w:t>,</w:t>
      </w:r>
      <w:r w:rsidRPr="005A464E">
        <w:rPr>
          <w:rFonts w:asciiTheme="minorHAnsi" w:hAnsiTheme="minorHAnsi" w:cstheme="minorHAnsi"/>
          <w:lang w:val="en-US"/>
        </w:rPr>
        <w:t xml:space="preserve"> 1507-1519. </w:t>
      </w:r>
      <w:hyperlink r:id="rId235"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.org/10.1093/ndt/gfh143</w:t>
        </w:r>
      </w:hyperlink>
      <w:r w:rsidR="00187166"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Kallenbach, J</w:t>
      </w:r>
      <w:r w:rsidR="005D3805" w:rsidRPr="005A464E">
        <w:rPr>
          <w:rFonts w:asciiTheme="minorHAnsi" w:hAnsiTheme="minorHAnsi" w:cstheme="minorHAnsi"/>
          <w:lang w:val="en-US"/>
        </w:rPr>
        <w:t>.Z</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00B27A1C">
        <w:rPr>
          <w:rStyle w:val="apple-converted-space"/>
          <w:rFonts w:asciiTheme="minorHAnsi" w:hAnsiTheme="minorHAnsi" w:cstheme="minorHAnsi"/>
          <w:lang w:val="en-US"/>
        </w:rPr>
        <w:t xml:space="preserve">(2011). </w:t>
      </w:r>
      <w:r w:rsidRPr="005A464E">
        <w:rPr>
          <w:rFonts w:asciiTheme="minorHAnsi" w:hAnsiTheme="minorHAnsi" w:cstheme="minorHAnsi"/>
          <w:i/>
          <w:iCs/>
          <w:lang w:val="en-US"/>
        </w:rPr>
        <w:t>Review of hemodialysis for nurses and dialysis personnel</w:t>
      </w:r>
      <w:r w:rsidR="00187166" w:rsidRPr="005A464E">
        <w:rPr>
          <w:rStyle w:val="apple-converted-space"/>
          <w:rFonts w:asciiTheme="minorHAnsi" w:hAnsiTheme="minorHAnsi" w:cstheme="minorHAnsi"/>
          <w:lang w:val="en-US"/>
        </w:rPr>
        <w:t xml:space="preserve">. Elsevier, Eds, </w:t>
      </w:r>
      <w:r w:rsidR="005D3805" w:rsidRPr="005A464E">
        <w:rPr>
          <w:rFonts w:asciiTheme="minorHAnsi" w:hAnsiTheme="minorHAnsi" w:cstheme="minorHAnsi"/>
          <w:lang w:val="en-US"/>
        </w:rPr>
        <w:t>8th</w:t>
      </w:r>
      <w:r w:rsidR="00B27A1C">
        <w:rPr>
          <w:rFonts w:asciiTheme="minorHAnsi" w:hAnsiTheme="minorHAnsi" w:cstheme="minorHAnsi"/>
          <w:lang w:val="en-US"/>
        </w:rPr>
        <w:t xml:space="preserve"> ed</w:t>
      </w:r>
      <w:r w:rsidR="00187166" w:rsidRPr="005A464E">
        <w:rPr>
          <w:rFonts w:asciiTheme="minorHAnsi" w:hAnsiTheme="minorHAnsi" w:cstheme="minorHAnsi"/>
          <w:lang w:val="en-US"/>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iCs/>
          <w:lang w:val="en-US" w:eastAsia="el-GR"/>
        </w:rPr>
      </w:pPr>
      <w:r w:rsidRPr="005A464E">
        <w:rPr>
          <w:rFonts w:asciiTheme="minorHAnsi" w:eastAsia="Times New Roman" w:hAnsiTheme="minorHAnsi" w:cstheme="minorHAnsi"/>
          <w:iCs/>
          <w:lang w:val="en-US" w:eastAsia="el-GR"/>
        </w:rPr>
        <w:t>Kammerer, J., Garry, G., Hartigan, M., Carter, B.,</w:t>
      </w:r>
      <w:r w:rsidR="005D3805" w:rsidRPr="005A464E">
        <w:rPr>
          <w:rFonts w:asciiTheme="minorHAnsi" w:eastAsia="Times New Roman" w:hAnsiTheme="minorHAnsi" w:cstheme="minorHAnsi"/>
          <w:iCs/>
          <w:lang w:val="en-US" w:eastAsia="el-GR"/>
        </w:rPr>
        <w:t xml:space="preserve"> &amp;</w:t>
      </w:r>
      <w:r w:rsidRPr="005A464E">
        <w:rPr>
          <w:rFonts w:asciiTheme="minorHAnsi" w:eastAsia="Times New Roman" w:hAnsiTheme="minorHAnsi" w:cstheme="minorHAnsi"/>
          <w:iCs/>
          <w:lang w:val="en-US" w:eastAsia="el-GR"/>
        </w:rPr>
        <w:t xml:space="preserve"> Erlich, L. (2007).</w:t>
      </w:r>
      <w:r w:rsidR="0078495A">
        <w:rPr>
          <w:rFonts w:asciiTheme="minorHAnsi" w:eastAsia="Times New Roman" w:hAnsiTheme="minorHAnsi" w:cstheme="minorHAnsi"/>
          <w:iCs/>
          <w:lang w:val="en-US" w:eastAsia="el-GR"/>
        </w:rPr>
        <w:t xml:space="preserve"> </w:t>
      </w:r>
      <w:r w:rsidRPr="005A464E">
        <w:rPr>
          <w:rFonts w:asciiTheme="minorHAnsi" w:eastAsia="Times New Roman" w:hAnsiTheme="minorHAnsi" w:cstheme="minorHAnsi"/>
          <w:shd w:val="clear" w:color="auto" w:fill="FFFFFF"/>
          <w:lang w:val="en-US" w:eastAsia="el-GR"/>
        </w:rPr>
        <w:t>Adherence in patients on dialysis: strategies for success.</w:t>
      </w:r>
      <w:r w:rsidRPr="005A464E">
        <w:rPr>
          <w:rFonts w:asciiTheme="minorHAnsi" w:eastAsia="Times New Roman" w:hAnsiTheme="minorHAnsi" w:cstheme="minorHAnsi"/>
          <w:iCs/>
          <w:lang w:val="en-US" w:eastAsia="el-GR"/>
        </w:rPr>
        <w:t xml:space="preserve"> </w:t>
      </w:r>
      <w:r w:rsidRPr="005A464E">
        <w:rPr>
          <w:rFonts w:asciiTheme="minorHAnsi" w:eastAsia="Times New Roman" w:hAnsiTheme="minorHAnsi" w:cstheme="minorHAnsi"/>
          <w:i/>
          <w:iCs/>
          <w:lang w:val="en-US" w:eastAsia="el-GR"/>
        </w:rPr>
        <w:t>Nephrology Nursing Journal,</w:t>
      </w:r>
      <w:r w:rsidR="00B27A1C">
        <w:rPr>
          <w:rFonts w:asciiTheme="minorHAnsi" w:eastAsia="Times New Roman" w:hAnsiTheme="minorHAnsi" w:cstheme="minorHAnsi"/>
          <w:iCs/>
          <w:lang w:val="en-US" w:eastAsia="el-GR"/>
        </w:rPr>
        <w:t xml:space="preserve"> </w:t>
      </w:r>
      <w:r w:rsidR="00B27A1C" w:rsidRPr="00B27A1C">
        <w:rPr>
          <w:rFonts w:asciiTheme="minorHAnsi" w:eastAsia="Times New Roman" w:hAnsiTheme="minorHAnsi" w:cstheme="minorHAnsi"/>
          <w:i/>
          <w:iCs/>
          <w:lang w:val="en-US" w:eastAsia="el-GR"/>
        </w:rPr>
        <w:t>34</w:t>
      </w:r>
      <w:r w:rsidRPr="00B27A1C">
        <w:rPr>
          <w:rFonts w:asciiTheme="minorHAnsi" w:eastAsia="Times New Roman" w:hAnsiTheme="minorHAnsi" w:cstheme="minorHAnsi"/>
          <w:i/>
          <w:iCs/>
          <w:lang w:val="en-US" w:eastAsia="el-GR"/>
        </w:rPr>
        <w:t>,</w:t>
      </w:r>
      <w:r w:rsidRPr="005A464E">
        <w:rPr>
          <w:rFonts w:asciiTheme="minorHAnsi" w:eastAsia="Times New Roman" w:hAnsiTheme="minorHAnsi" w:cstheme="minorHAnsi"/>
          <w:iCs/>
          <w:lang w:val="en-US" w:eastAsia="el-GR"/>
        </w:rPr>
        <w:t xml:space="preserve"> 479-486</w:t>
      </w:r>
      <w:r w:rsidR="005D3805" w:rsidRPr="005A464E">
        <w:rPr>
          <w:rFonts w:asciiTheme="minorHAnsi" w:eastAsia="Times New Roman" w:hAnsiTheme="minorHAnsi" w:cstheme="minorHAnsi"/>
          <w:iCs/>
          <w:lang w:val="en-US" w:eastAsia="el-GR"/>
        </w:rPr>
        <w:t>.</w:t>
      </w:r>
    </w:p>
    <w:p w:rsidR="0059754E" w:rsidRPr="005A464E" w:rsidRDefault="0059754E"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olor w:val="000000"/>
          <w:shd w:val="clear" w:color="auto" w:fill="FFFFFF"/>
          <w:lang w:val="en-US"/>
        </w:rPr>
        <w:t xml:space="preserve">Kang, G.W., Lee, I.H., Ahn, K.S., Lee, J., Ji, Y., </w:t>
      </w:r>
      <w:r w:rsidR="005D3805" w:rsidRPr="005A464E">
        <w:rPr>
          <w:rFonts w:asciiTheme="minorHAnsi" w:hAnsiTheme="minorHAnsi"/>
          <w:color w:val="000000"/>
          <w:shd w:val="clear" w:color="auto" w:fill="FFFFFF"/>
          <w:lang w:val="en-US"/>
        </w:rPr>
        <w:t xml:space="preserve">&amp; </w:t>
      </w:r>
      <w:r w:rsidRPr="005A464E">
        <w:rPr>
          <w:rFonts w:asciiTheme="minorHAnsi" w:hAnsiTheme="minorHAnsi"/>
          <w:color w:val="000000"/>
          <w:shd w:val="clear" w:color="auto" w:fill="FFFFFF"/>
          <w:lang w:val="en-US"/>
        </w:rPr>
        <w:t>Woo, J.(2015). Clinical and psychosocial factors predicting health-related quality of life in hemodialysis patients. </w:t>
      </w:r>
      <w:r w:rsidRPr="005A464E">
        <w:rPr>
          <w:rStyle w:val="ref-journal"/>
          <w:rFonts w:asciiTheme="minorHAnsi" w:hAnsiTheme="minorHAnsi"/>
          <w:i/>
          <w:color w:val="000000"/>
          <w:shd w:val="clear" w:color="auto" w:fill="FFFFFF"/>
          <w:lang w:val="en-US"/>
        </w:rPr>
        <w:t>Hemodialysis</w:t>
      </w:r>
      <w:r w:rsidR="0078495A">
        <w:rPr>
          <w:rStyle w:val="ref-journal"/>
          <w:rFonts w:asciiTheme="minorHAnsi" w:hAnsiTheme="minorHAnsi"/>
          <w:i/>
          <w:color w:val="000000"/>
          <w:shd w:val="clear" w:color="auto" w:fill="FFFFFF"/>
          <w:lang w:val="en-US"/>
        </w:rPr>
        <w:t xml:space="preserve"> </w:t>
      </w:r>
      <w:r w:rsidRPr="005A464E">
        <w:rPr>
          <w:rStyle w:val="ref-journal"/>
          <w:rFonts w:asciiTheme="minorHAnsi" w:hAnsiTheme="minorHAnsi"/>
          <w:i/>
          <w:color w:val="000000"/>
          <w:shd w:val="clear" w:color="auto" w:fill="FFFFFF"/>
          <w:lang w:val="en-US"/>
        </w:rPr>
        <w:t>International</w:t>
      </w:r>
      <w:r w:rsidRPr="00B27A1C">
        <w:rPr>
          <w:rStyle w:val="ref-journal"/>
          <w:rFonts w:asciiTheme="minorHAnsi" w:hAnsiTheme="minorHAnsi"/>
          <w:i/>
          <w:color w:val="000000"/>
          <w:shd w:val="clear" w:color="auto" w:fill="FFFFFF"/>
          <w:lang w:val="en-US"/>
        </w:rPr>
        <w:t>, </w:t>
      </w:r>
      <w:r w:rsidRPr="00B27A1C">
        <w:rPr>
          <w:rStyle w:val="ref-vol"/>
          <w:rFonts w:asciiTheme="minorHAnsi" w:hAnsiTheme="minorHAnsi"/>
          <w:i/>
          <w:color w:val="000000"/>
          <w:shd w:val="clear" w:color="auto" w:fill="FFFFFF"/>
          <w:lang w:val="en-US"/>
        </w:rPr>
        <w:t>19</w:t>
      </w:r>
      <w:r w:rsidRPr="00B27A1C">
        <w:rPr>
          <w:rFonts w:asciiTheme="minorHAnsi" w:hAnsiTheme="minorHAnsi"/>
          <w:i/>
          <w:color w:val="000000"/>
          <w:shd w:val="clear" w:color="auto" w:fill="FFFFFF"/>
          <w:lang w:val="en-US"/>
        </w:rPr>
        <w:t>,</w:t>
      </w:r>
      <w:r w:rsidRPr="005A464E">
        <w:rPr>
          <w:rFonts w:asciiTheme="minorHAnsi" w:hAnsiTheme="minorHAnsi"/>
          <w:color w:val="000000"/>
          <w:shd w:val="clear" w:color="auto" w:fill="FFFFFF"/>
          <w:lang w:val="en-US"/>
        </w:rPr>
        <w:t xml:space="preserve"> 439–446. </w:t>
      </w:r>
      <w:r w:rsidR="00292B29" w:rsidRPr="005A464E">
        <w:rPr>
          <w:rFonts w:asciiTheme="minorHAnsi" w:hAnsiTheme="minorHAnsi"/>
          <w:color w:val="000000"/>
          <w:shd w:val="clear" w:color="auto" w:fill="FFFFFF"/>
          <w:lang w:val="en-US"/>
        </w:rPr>
        <w:t>DOI</w:t>
      </w:r>
      <w:r w:rsidRPr="005A464E">
        <w:rPr>
          <w:rFonts w:asciiTheme="minorHAnsi" w:hAnsiTheme="minorHAnsi"/>
          <w:color w:val="000000"/>
          <w:shd w:val="clear" w:color="auto" w:fill="FFFFFF"/>
          <w:lang w:val="en-US"/>
        </w:rPr>
        <w:t>: 10.1111/hdi.12271. </w:t>
      </w:r>
    </w:p>
    <w:p w:rsidR="00E156D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Kao, T., Lai, M., Tsai, T., Jan, C., Chie, W., &amp; Chen, W. (2009). </w:t>
      </w:r>
      <w:r w:rsidR="00F06EDE" w:rsidRPr="005A464E">
        <w:rPr>
          <w:rFonts w:asciiTheme="minorHAnsi" w:hAnsiTheme="minorHAnsi" w:cstheme="minorHAnsi"/>
        </w:rPr>
        <w:t>Ε</w:t>
      </w:r>
      <w:r w:rsidR="00F06EDE" w:rsidRPr="005A464E">
        <w:rPr>
          <w:rFonts w:asciiTheme="minorHAnsi" w:hAnsiTheme="minorHAnsi" w:cstheme="minorHAnsi"/>
          <w:lang w:val="en-US"/>
        </w:rPr>
        <w:t xml:space="preserve">conomic, social, and psychological factors associated with health-related quality of life of chronic hemodialysis patients in </w:t>
      </w:r>
      <w:r w:rsidRPr="005A464E">
        <w:rPr>
          <w:rFonts w:asciiTheme="minorHAnsi" w:hAnsiTheme="minorHAnsi" w:cstheme="minorHAnsi"/>
          <w:lang w:val="en-US"/>
        </w:rPr>
        <w:t>Northern Taiwan: A Multicenter Study.</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Artificial Organs</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B27A1C">
        <w:rPr>
          <w:rFonts w:asciiTheme="minorHAnsi" w:hAnsiTheme="minorHAnsi" w:cstheme="minorHAnsi"/>
          <w:i/>
          <w:iCs/>
          <w:lang w:val="en-US"/>
        </w:rPr>
        <w:t>33</w:t>
      </w:r>
      <w:r w:rsidRPr="005A464E">
        <w:rPr>
          <w:rFonts w:asciiTheme="minorHAnsi" w:hAnsiTheme="minorHAnsi" w:cstheme="minorHAnsi"/>
          <w:lang w:val="en-US"/>
        </w:rPr>
        <w:t xml:space="preserve">, 61-68. </w:t>
      </w:r>
      <w:hyperlink r:id="rId236" w:history="1">
        <w:r w:rsidR="00E156DF"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00E156DF" w:rsidRPr="005A464E">
          <w:rPr>
            <w:rStyle w:val="-"/>
            <w:rFonts w:asciiTheme="minorHAnsi" w:hAnsiTheme="minorHAnsi" w:cstheme="minorHAnsi"/>
            <w:color w:val="auto"/>
            <w:u w:val="none"/>
            <w:lang w:val="en-US"/>
          </w:rPr>
          <w:t>.org/10.1111/j.1525-1594.2008.00675.x</w:t>
        </w:r>
      </w:hyperlink>
      <w:r w:rsidR="005D3805" w:rsidRPr="005A464E">
        <w:rPr>
          <w:rFonts w:asciiTheme="minorHAnsi" w:hAnsiTheme="minorHAnsi" w:cstheme="minorHAnsi"/>
          <w:lang w:val="en-US"/>
        </w:rPr>
        <w:t>.</w:t>
      </w:r>
    </w:p>
    <w:p w:rsidR="00E156DF" w:rsidRPr="005A464E" w:rsidRDefault="00E156DF" w:rsidP="005A464E">
      <w:pPr>
        <w:pStyle w:val="Web"/>
        <w:spacing w:after="166" w:line="360" w:lineRule="auto"/>
        <w:ind w:left="415" w:hanging="415"/>
        <w:jc w:val="both"/>
        <w:rPr>
          <w:rFonts w:asciiTheme="minorHAnsi" w:hAnsiTheme="minorHAnsi" w:cstheme="minorHAnsi"/>
          <w:lang w:val="en-US"/>
        </w:rPr>
      </w:pPr>
      <w:r w:rsidRPr="005A464E">
        <w:rPr>
          <w:rFonts w:asciiTheme="minorHAnsi" w:eastAsia="Times New Roman" w:hAnsiTheme="minorHAnsi" w:cs="Lucida Sans Unicode"/>
          <w:color w:val="222222"/>
          <w:lang w:val="en-US" w:eastAsia="el-GR"/>
        </w:rPr>
        <w:t xml:space="preserve">Kalpakian, M.A., </w:t>
      </w:r>
      <w:r w:rsidR="005D3805" w:rsidRPr="005A464E">
        <w:rPr>
          <w:rFonts w:asciiTheme="minorHAnsi" w:eastAsia="Times New Roman" w:hAnsiTheme="minorHAnsi" w:cs="Lucida Sans Unicode"/>
          <w:color w:val="222222"/>
          <w:lang w:val="en-US" w:eastAsia="el-GR"/>
        </w:rPr>
        <w:t xml:space="preserve">&amp; </w:t>
      </w:r>
      <w:r w:rsidRPr="005A464E">
        <w:rPr>
          <w:rFonts w:asciiTheme="minorHAnsi" w:eastAsia="Times New Roman" w:hAnsiTheme="minorHAnsi" w:cs="Lucida Sans Unicode"/>
          <w:color w:val="222222"/>
          <w:lang w:val="en-US" w:eastAsia="el-GR"/>
        </w:rPr>
        <w:t>Mehrotra, R</w:t>
      </w:r>
      <w:r w:rsidR="005D3805" w:rsidRPr="005A464E">
        <w:rPr>
          <w:rFonts w:asciiTheme="minorHAnsi" w:eastAsia="Times New Roman" w:hAnsiTheme="minorHAnsi" w:cs="Lucida Sans Unicode"/>
          <w:color w:val="222222"/>
          <w:lang w:val="en-US" w:eastAsia="el-GR"/>
        </w:rPr>
        <w:t>.</w:t>
      </w:r>
      <w:r w:rsidRPr="005A464E">
        <w:rPr>
          <w:rFonts w:asciiTheme="minorHAnsi" w:eastAsia="Times New Roman" w:hAnsiTheme="minorHAnsi" w:cs="Lucida Sans Unicode"/>
          <w:color w:val="222222"/>
          <w:lang w:val="en-US" w:eastAsia="el-GR"/>
        </w:rPr>
        <w:t xml:space="preserve"> (2007). Vascular calcification and disordered mineral metabolism in dialysis patients. </w:t>
      </w:r>
      <w:r w:rsidRPr="005A464E">
        <w:rPr>
          <w:rFonts w:asciiTheme="minorHAnsi" w:eastAsia="Times New Roman" w:hAnsiTheme="minorHAnsi" w:cs="Lucida Sans Unicode"/>
          <w:i/>
          <w:iCs/>
          <w:color w:val="222222"/>
          <w:lang w:val="en-US" w:eastAsia="el-GR"/>
        </w:rPr>
        <w:t>Seminars in Dialysis,</w:t>
      </w:r>
      <w:r w:rsidRPr="00B27A1C">
        <w:rPr>
          <w:rFonts w:asciiTheme="minorHAnsi" w:eastAsia="Times New Roman" w:hAnsiTheme="minorHAnsi" w:cs="Lucida Sans Unicode"/>
          <w:i/>
          <w:iCs/>
          <w:color w:val="222222"/>
          <w:lang w:val="en-US" w:eastAsia="el-GR"/>
        </w:rPr>
        <w:t xml:space="preserve"> </w:t>
      </w:r>
      <w:r w:rsidRPr="00B27A1C">
        <w:rPr>
          <w:rFonts w:asciiTheme="minorHAnsi" w:eastAsia="Times New Roman" w:hAnsiTheme="minorHAnsi" w:cs="Lucida Sans Unicode"/>
          <w:bCs/>
          <w:i/>
          <w:color w:val="222222"/>
          <w:lang w:val="en-US" w:eastAsia="el-GR"/>
        </w:rPr>
        <w:t>20</w:t>
      </w:r>
      <w:r w:rsidRPr="005A464E">
        <w:rPr>
          <w:rFonts w:asciiTheme="minorHAnsi" w:eastAsia="Times New Roman" w:hAnsiTheme="minorHAnsi" w:cs="Lucida Sans Unicode"/>
          <w:color w:val="222222"/>
          <w:lang w:val="en-US" w:eastAsia="el-GR"/>
        </w:rPr>
        <w:t>, 139– 143</w:t>
      </w:r>
      <w:r w:rsidR="005D3805" w:rsidRPr="005A464E">
        <w:rPr>
          <w:rFonts w:asciiTheme="minorHAnsi" w:eastAsia="Times New Roman" w:hAnsiTheme="minorHAnsi" w:cs="Lucida Sans Unicode"/>
          <w:color w:val="222222"/>
          <w:lang w:val="en-US" w:eastAsia="el-GR"/>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Kaplan, B., Mason, N., Shimp, L., &amp; Ascione, F. (1994). Chronic </w:t>
      </w:r>
      <w:r w:rsidR="00F06EDE" w:rsidRPr="005A464E">
        <w:rPr>
          <w:rFonts w:asciiTheme="minorHAnsi" w:hAnsiTheme="minorHAnsi" w:cstheme="minorHAnsi"/>
          <w:lang w:val="en-US"/>
        </w:rPr>
        <w:t>hemodialysis patients</w:t>
      </w:r>
      <w:r w:rsidR="00292B29" w:rsidRPr="005A464E">
        <w:rPr>
          <w:rFonts w:asciiTheme="minorHAnsi" w:hAnsiTheme="minorHAnsi" w:cstheme="minorHAnsi"/>
          <w:lang w:val="en-US"/>
        </w:rPr>
        <w:t>. Part I:</w:t>
      </w:r>
      <w:r w:rsidRPr="005A464E">
        <w:rPr>
          <w:rFonts w:asciiTheme="minorHAnsi" w:hAnsiTheme="minorHAnsi" w:cstheme="minorHAnsi"/>
          <w:lang w:val="en-US"/>
        </w:rPr>
        <w:t xml:space="preserve">Characterization and </w:t>
      </w:r>
      <w:r w:rsidR="00F06EDE" w:rsidRPr="005A464E">
        <w:rPr>
          <w:rFonts w:asciiTheme="minorHAnsi" w:hAnsiTheme="minorHAnsi" w:cstheme="minorHAnsi"/>
          <w:lang w:val="en-US"/>
        </w:rPr>
        <w:t>drug-related problems</w:t>
      </w:r>
      <w:r w:rsidRPr="005A464E">
        <w:rPr>
          <w:rFonts w:asciiTheme="minorHAnsi" w:hAnsiTheme="minorHAnsi" w:cstheme="minorHAnsi"/>
          <w:lang w:val="en-US"/>
        </w:rPr>
        <w:t>.</w:t>
      </w:r>
      <w:r w:rsidR="0078495A">
        <w:rPr>
          <w:rStyle w:val="apple-converted-space"/>
          <w:rFonts w:asciiTheme="minorHAnsi" w:hAnsiTheme="minorHAnsi" w:cstheme="minorHAnsi"/>
          <w:lang w:val="en-US"/>
        </w:rPr>
        <w:t xml:space="preserve"> </w:t>
      </w:r>
      <w:r w:rsidR="005D3805" w:rsidRPr="005A464E">
        <w:rPr>
          <w:rFonts w:asciiTheme="minorHAnsi" w:hAnsiTheme="minorHAnsi" w:cstheme="minorHAnsi"/>
          <w:i/>
          <w:iCs/>
          <w:lang w:val="en-US"/>
        </w:rPr>
        <w:t>Annals o</w:t>
      </w:r>
      <w:r w:rsidR="003F7269" w:rsidRPr="005A464E">
        <w:rPr>
          <w:rFonts w:asciiTheme="minorHAnsi" w:hAnsiTheme="minorHAnsi" w:cstheme="minorHAnsi"/>
          <w:i/>
          <w:iCs/>
          <w:lang w:val="en-US"/>
        </w:rPr>
        <w:t xml:space="preserve">f </w:t>
      </w:r>
      <w:r w:rsidRPr="005A464E">
        <w:rPr>
          <w:rFonts w:asciiTheme="minorHAnsi" w:hAnsiTheme="minorHAnsi" w:cstheme="minorHAnsi"/>
          <w:i/>
          <w:iCs/>
          <w:lang w:val="en-US"/>
        </w:rPr>
        <w:t>Pharmacotherapy</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B27A1C">
        <w:rPr>
          <w:rFonts w:asciiTheme="minorHAnsi" w:hAnsiTheme="minorHAnsi" w:cstheme="minorHAnsi"/>
          <w:i/>
          <w:iCs/>
          <w:lang w:val="en-US"/>
        </w:rPr>
        <w:t>28</w:t>
      </w:r>
      <w:r w:rsidR="005D3805" w:rsidRPr="00B27A1C">
        <w:rPr>
          <w:rFonts w:asciiTheme="minorHAnsi" w:hAnsiTheme="minorHAnsi" w:cstheme="minorHAnsi"/>
          <w:i/>
          <w:lang w:val="en-US"/>
        </w:rPr>
        <w:t>,</w:t>
      </w:r>
      <w:r w:rsidR="003F7269" w:rsidRPr="005A464E">
        <w:rPr>
          <w:rFonts w:asciiTheme="minorHAnsi" w:hAnsiTheme="minorHAnsi" w:cstheme="minorHAnsi"/>
          <w:lang w:val="en-US"/>
        </w:rPr>
        <w:t>316-</w:t>
      </w:r>
      <w:r w:rsidR="005D3805" w:rsidRPr="005A464E">
        <w:rPr>
          <w:rFonts w:asciiTheme="minorHAnsi" w:hAnsiTheme="minorHAnsi" w:cstheme="minorHAnsi"/>
          <w:lang w:val="en-US"/>
        </w:rPr>
        <w:t>319.</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Kaplan, M.R., Stashenko, C.L.L., Bl</w:t>
      </w:r>
      <w:r w:rsidR="00F06EDE" w:rsidRPr="005A464E">
        <w:rPr>
          <w:rFonts w:asciiTheme="minorHAnsi" w:hAnsiTheme="minorHAnsi" w:cstheme="minorHAnsi"/>
          <w:lang w:val="en-US"/>
        </w:rPr>
        <w:t xml:space="preserve">edsoe, A.L., </w:t>
      </w:r>
      <w:r w:rsidR="005D3805" w:rsidRPr="005A464E">
        <w:rPr>
          <w:rFonts w:asciiTheme="minorHAnsi" w:hAnsiTheme="minorHAnsi" w:cstheme="minorHAnsi"/>
          <w:lang w:val="en-US"/>
        </w:rPr>
        <w:t xml:space="preserve">&amp; </w:t>
      </w:r>
      <w:r w:rsidR="00F06EDE" w:rsidRPr="005A464E">
        <w:rPr>
          <w:rFonts w:asciiTheme="minorHAnsi" w:hAnsiTheme="minorHAnsi" w:cstheme="minorHAnsi"/>
          <w:lang w:val="en-US"/>
        </w:rPr>
        <w:t>McGowan, J. (2002</w:t>
      </w:r>
      <w:r w:rsidRPr="005A464E">
        <w:rPr>
          <w:rFonts w:asciiTheme="minorHAnsi" w:hAnsiTheme="minorHAnsi" w:cstheme="minorHAnsi"/>
          <w:lang w:val="en-US"/>
        </w:rPr>
        <w:t xml:space="preserve">). A preference study: calcium acetate tablets versus gelcaps in hemodialysis patients. </w:t>
      </w:r>
      <w:r w:rsidRPr="005A464E">
        <w:rPr>
          <w:rFonts w:asciiTheme="minorHAnsi" w:hAnsiTheme="minorHAnsi" w:cstheme="minorHAnsi"/>
          <w:i/>
          <w:lang w:val="en-US"/>
        </w:rPr>
        <w:t>Nephrology Nursing</w:t>
      </w:r>
      <w:r w:rsidR="0078495A">
        <w:rPr>
          <w:rFonts w:asciiTheme="minorHAnsi" w:hAnsiTheme="minorHAnsi" w:cstheme="minorHAnsi"/>
          <w:i/>
          <w:lang w:val="en-US"/>
        </w:rPr>
        <w:t xml:space="preserve"> </w:t>
      </w:r>
      <w:r w:rsidRPr="005A464E">
        <w:rPr>
          <w:rFonts w:asciiTheme="minorHAnsi" w:hAnsiTheme="minorHAnsi" w:cstheme="minorHAnsi"/>
          <w:i/>
          <w:lang w:val="en-US"/>
        </w:rPr>
        <w:t>Journal</w:t>
      </w:r>
      <w:r w:rsidR="00B27A1C">
        <w:rPr>
          <w:rFonts w:asciiTheme="minorHAnsi" w:hAnsiTheme="minorHAnsi" w:cstheme="minorHAnsi"/>
          <w:lang w:val="en-US"/>
        </w:rPr>
        <w:t xml:space="preserve">, </w:t>
      </w:r>
      <w:r w:rsidR="00B27A1C" w:rsidRPr="00B27A1C">
        <w:rPr>
          <w:rFonts w:asciiTheme="minorHAnsi" w:hAnsiTheme="minorHAnsi" w:cstheme="minorHAnsi"/>
          <w:i/>
          <w:lang w:val="en-US"/>
        </w:rPr>
        <w:t>4</w:t>
      </w:r>
      <w:r w:rsidR="00B27A1C">
        <w:rPr>
          <w:rFonts w:asciiTheme="minorHAnsi" w:hAnsiTheme="minorHAnsi" w:cstheme="minorHAnsi"/>
          <w:lang w:val="en-US"/>
        </w:rPr>
        <w:t xml:space="preserve">, </w:t>
      </w:r>
      <w:r w:rsidRPr="005A464E">
        <w:rPr>
          <w:rFonts w:asciiTheme="minorHAnsi" w:hAnsiTheme="minorHAnsi" w:cstheme="minorHAnsi"/>
          <w:lang w:val="en-US"/>
        </w:rPr>
        <w:t>363-365.</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Kara, B., Caglar, K., &amp; Kilic, S. (2007). Non-adherence </w:t>
      </w:r>
      <w:r w:rsidR="00F06EDE" w:rsidRPr="005A464E">
        <w:rPr>
          <w:rFonts w:asciiTheme="minorHAnsi" w:hAnsiTheme="minorHAnsi" w:cstheme="minorHAnsi"/>
          <w:lang w:val="en-US"/>
        </w:rPr>
        <w:t>with diet and fluid restrictions and perceived social support in patients receiving hemodialysis</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00F06EDE" w:rsidRPr="005A464E">
        <w:rPr>
          <w:rFonts w:asciiTheme="minorHAnsi" w:hAnsiTheme="minorHAnsi" w:cstheme="minorHAnsi"/>
          <w:i/>
          <w:iCs/>
          <w:lang w:val="en-US"/>
        </w:rPr>
        <w:t xml:space="preserve">Journal </w:t>
      </w:r>
      <w:r w:rsidR="00F06EDE" w:rsidRPr="005A464E">
        <w:rPr>
          <w:rFonts w:asciiTheme="minorHAnsi" w:hAnsiTheme="minorHAnsi" w:cstheme="minorHAnsi"/>
          <w:i/>
          <w:iCs/>
        </w:rPr>
        <w:t>ο</w:t>
      </w:r>
      <w:r w:rsidR="005D3805" w:rsidRPr="005A464E">
        <w:rPr>
          <w:rFonts w:asciiTheme="minorHAnsi" w:hAnsiTheme="minorHAnsi" w:cstheme="minorHAnsi"/>
          <w:i/>
          <w:iCs/>
          <w:lang w:val="en-US"/>
        </w:rPr>
        <w:t>f Nursing</w:t>
      </w:r>
      <w:r w:rsidRPr="005A464E">
        <w:rPr>
          <w:rFonts w:asciiTheme="minorHAnsi" w:hAnsiTheme="minorHAnsi" w:cstheme="minorHAnsi"/>
          <w:i/>
          <w:iCs/>
          <w:lang w:val="en-US"/>
        </w:rPr>
        <w:t xml:space="preserve"> Scholarship</w:t>
      </w:r>
      <w:r w:rsidRPr="005A464E">
        <w:rPr>
          <w:rFonts w:asciiTheme="minorHAnsi" w:hAnsiTheme="minorHAnsi" w:cstheme="minorHAnsi"/>
          <w:lang w:val="en-US"/>
        </w:rPr>
        <w:t>,</w:t>
      </w:r>
      <w:r w:rsidR="0078495A">
        <w:rPr>
          <w:rStyle w:val="apple-converted-space"/>
          <w:rFonts w:asciiTheme="minorHAnsi" w:hAnsiTheme="minorHAnsi" w:cstheme="minorHAnsi"/>
          <w:lang w:val="en-US"/>
        </w:rPr>
        <w:t xml:space="preserve"> </w:t>
      </w:r>
      <w:r w:rsidRPr="00B27A1C">
        <w:rPr>
          <w:rFonts w:asciiTheme="minorHAnsi" w:hAnsiTheme="minorHAnsi" w:cstheme="minorHAnsi"/>
          <w:i/>
          <w:iCs/>
          <w:lang w:val="en-US"/>
        </w:rPr>
        <w:t>39</w:t>
      </w:r>
      <w:r w:rsidRPr="00B27A1C">
        <w:rPr>
          <w:rFonts w:asciiTheme="minorHAnsi" w:hAnsiTheme="minorHAnsi" w:cstheme="minorHAnsi"/>
          <w:i/>
          <w:lang w:val="en-US"/>
        </w:rPr>
        <w:t>,</w:t>
      </w:r>
      <w:r w:rsidR="00B27A1C">
        <w:rPr>
          <w:rFonts w:asciiTheme="minorHAnsi" w:hAnsiTheme="minorHAnsi" w:cstheme="minorHAnsi"/>
          <w:lang w:val="en-US"/>
        </w:rPr>
        <w:t xml:space="preserve"> </w:t>
      </w:r>
      <w:r w:rsidRPr="005A464E">
        <w:rPr>
          <w:rFonts w:asciiTheme="minorHAnsi" w:hAnsiTheme="minorHAnsi" w:cstheme="minorHAnsi"/>
          <w:lang w:val="en-US"/>
        </w:rPr>
        <w:t xml:space="preserve">243-248. </w:t>
      </w:r>
      <w:hyperlink r:id="rId237"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.org/10.1111/j.1547-5069.2007.00175.x</w:t>
        </w:r>
      </w:hyperlink>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Karamanidou, C., Clatworthy, J., Weinman, J., &amp; Horne, R. (2008). A systematic review of the prevalence and determinants of non-adherence to phosphate binding medication in patients with end-stage renal disease.</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BMC Nephrology</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B27A1C">
        <w:rPr>
          <w:rFonts w:asciiTheme="minorHAnsi" w:hAnsiTheme="minorHAnsi" w:cstheme="minorHAnsi"/>
          <w:i/>
          <w:iCs/>
          <w:lang w:val="en-US"/>
        </w:rPr>
        <w:t>9</w:t>
      </w:r>
      <w:r w:rsidR="00B27A1C">
        <w:rPr>
          <w:rFonts w:asciiTheme="minorHAnsi" w:hAnsiTheme="minorHAnsi" w:cstheme="minorHAnsi"/>
          <w:lang w:val="en-US"/>
        </w:rPr>
        <w:t>:2</w:t>
      </w:r>
      <w:r w:rsidRPr="005A464E">
        <w:rPr>
          <w:rFonts w:asciiTheme="minorHAnsi" w:hAnsiTheme="minorHAnsi" w:cstheme="minorHAnsi"/>
          <w:lang w:val="en-US"/>
        </w:rPr>
        <w:t>. http://dx.</w:t>
      </w:r>
      <w:r w:rsidR="00292B29" w:rsidRPr="005A464E">
        <w:rPr>
          <w:rFonts w:asciiTheme="minorHAnsi" w:hAnsiTheme="minorHAnsi" w:cstheme="minorHAnsi"/>
          <w:lang w:val="en-US"/>
        </w:rPr>
        <w:t>DOI</w:t>
      </w:r>
      <w:r w:rsidRPr="005A464E">
        <w:rPr>
          <w:rFonts w:asciiTheme="minorHAnsi" w:hAnsiTheme="minorHAnsi" w:cstheme="minorHAnsi"/>
          <w:lang w:val="en-US"/>
        </w:rPr>
        <w:t>.org/10.1186/1471-2369-9-2</w:t>
      </w:r>
      <w:r w:rsidR="00BC4DDB" w:rsidRPr="005A464E">
        <w:rPr>
          <w:rFonts w:asciiTheme="minorHAnsi" w:hAnsiTheme="minorHAnsi" w:cstheme="minorHAnsi"/>
          <w:lang w:val="en-US"/>
        </w:rPr>
        <w:t>.</w:t>
      </w:r>
    </w:p>
    <w:p w:rsidR="003C410F" w:rsidRPr="005A464E" w:rsidRDefault="00F06EDE"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Kauric-Klein</w:t>
      </w:r>
      <w:r w:rsidR="00BC4DDB" w:rsidRPr="005A464E">
        <w:rPr>
          <w:rFonts w:asciiTheme="minorHAnsi" w:hAnsiTheme="minorHAnsi" w:cstheme="minorHAnsi"/>
          <w:lang w:val="en-US"/>
        </w:rPr>
        <w:t>, Z.</w:t>
      </w:r>
      <w:r w:rsidR="003C410F" w:rsidRPr="005A464E">
        <w:rPr>
          <w:rFonts w:asciiTheme="minorHAnsi" w:hAnsiTheme="minorHAnsi" w:cstheme="minorHAnsi"/>
          <w:lang w:val="en-US"/>
        </w:rPr>
        <w:t xml:space="preserve"> (2013). </w:t>
      </w:r>
      <w:r w:rsidR="003C410F" w:rsidRPr="005A464E">
        <w:rPr>
          <w:rFonts w:asciiTheme="minorHAnsi" w:hAnsiTheme="minorHAnsi" w:cstheme="minorHAnsi"/>
          <w:i/>
          <w:iCs/>
          <w:lang w:val="en-US"/>
        </w:rPr>
        <w:t>Pati</w:t>
      </w:r>
      <w:r w:rsidR="003F7269" w:rsidRPr="005A464E">
        <w:rPr>
          <w:rFonts w:asciiTheme="minorHAnsi" w:hAnsiTheme="minorHAnsi" w:cstheme="minorHAnsi"/>
          <w:i/>
          <w:iCs/>
          <w:lang w:val="en-US"/>
        </w:rPr>
        <w:t xml:space="preserve">ent Preference </w:t>
      </w:r>
      <w:r w:rsidR="00BC4DDB" w:rsidRPr="005A464E">
        <w:rPr>
          <w:rFonts w:asciiTheme="minorHAnsi" w:hAnsiTheme="minorHAnsi" w:cstheme="minorHAnsi"/>
          <w:i/>
          <w:iCs/>
          <w:lang w:val="en-US"/>
        </w:rPr>
        <w:t>a</w:t>
      </w:r>
      <w:r w:rsidR="003F7269" w:rsidRPr="005A464E">
        <w:rPr>
          <w:rFonts w:asciiTheme="minorHAnsi" w:hAnsiTheme="minorHAnsi" w:cstheme="minorHAnsi"/>
          <w:i/>
          <w:iCs/>
          <w:lang w:val="en-US"/>
        </w:rPr>
        <w:t xml:space="preserve">nd </w:t>
      </w:r>
      <w:r w:rsidR="003C410F" w:rsidRPr="005A464E">
        <w:rPr>
          <w:rFonts w:asciiTheme="minorHAnsi" w:hAnsiTheme="minorHAnsi" w:cstheme="minorHAnsi"/>
          <w:i/>
          <w:iCs/>
          <w:lang w:val="en-US"/>
        </w:rPr>
        <w:t>Adherence</w:t>
      </w:r>
      <w:r w:rsidR="003F7269" w:rsidRPr="00B27A1C">
        <w:rPr>
          <w:rFonts w:asciiTheme="minorHAnsi" w:hAnsiTheme="minorHAnsi" w:cstheme="minorHAnsi"/>
          <w:i/>
          <w:lang w:val="en-US"/>
        </w:rPr>
        <w:t xml:space="preserve">, </w:t>
      </w:r>
      <w:r w:rsidR="00B27A1C" w:rsidRPr="00B27A1C">
        <w:rPr>
          <w:rFonts w:asciiTheme="minorHAnsi" w:hAnsiTheme="minorHAnsi" w:cstheme="minorHAnsi"/>
          <w:i/>
          <w:lang w:val="en-US"/>
        </w:rPr>
        <w:t>7</w:t>
      </w:r>
      <w:r w:rsidR="00B27A1C">
        <w:rPr>
          <w:rFonts w:asciiTheme="minorHAnsi" w:hAnsiTheme="minorHAnsi" w:cstheme="minorHAnsi"/>
          <w:lang w:val="en-US"/>
        </w:rPr>
        <w:t xml:space="preserve">, </w:t>
      </w:r>
      <w:r w:rsidR="003C410F" w:rsidRPr="005A464E">
        <w:rPr>
          <w:rFonts w:asciiTheme="minorHAnsi" w:hAnsiTheme="minorHAnsi" w:cstheme="minorHAnsi"/>
          <w:lang w:val="en-US"/>
        </w:rPr>
        <w:t>973</w:t>
      </w:r>
      <w:r w:rsidR="00BC4DDB" w:rsidRPr="005A464E">
        <w:rPr>
          <w:rFonts w:asciiTheme="minorHAnsi" w:hAnsiTheme="minorHAnsi" w:cstheme="minorHAnsi"/>
          <w:lang w:val="en-US"/>
        </w:rPr>
        <w:t>-980</w:t>
      </w:r>
      <w:r w:rsidR="003F7269" w:rsidRPr="005A464E">
        <w:rPr>
          <w:rFonts w:asciiTheme="minorHAnsi" w:hAnsiTheme="minorHAnsi" w:cstheme="minorHAnsi"/>
          <w:lang w:val="en-US"/>
        </w:rPr>
        <w:t xml:space="preserve">. </w:t>
      </w:r>
      <w:r w:rsidR="003C410F" w:rsidRPr="005A464E">
        <w:rPr>
          <w:rFonts w:asciiTheme="minorHAnsi" w:hAnsiTheme="minorHAnsi" w:cstheme="minorHAnsi"/>
          <w:lang w:val="en-US"/>
        </w:rPr>
        <w:t>http://dx.</w:t>
      </w:r>
      <w:r w:rsidR="00292B29" w:rsidRPr="005A464E">
        <w:rPr>
          <w:rFonts w:asciiTheme="minorHAnsi" w:hAnsiTheme="minorHAnsi" w:cstheme="minorHAnsi"/>
          <w:lang w:val="en-US"/>
        </w:rPr>
        <w:t>DOI</w:t>
      </w:r>
      <w:r w:rsidR="003C410F" w:rsidRPr="005A464E">
        <w:rPr>
          <w:rFonts w:asciiTheme="minorHAnsi" w:hAnsiTheme="minorHAnsi" w:cstheme="minorHAnsi"/>
          <w:lang w:val="en-US"/>
        </w:rPr>
        <w:t>.org/10.2147/ppa.s45369</w:t>
      </w:r>
      <w:r w:rsidR="00BC4DDB" w:rsidRPr="005A464E">
        <w:rPr>
          <w:rFonts w:asciiTheme="minorHAnsi" w:hAnsiTheme="minorHAnsi" w:cstheme="minorHAnsi"/>
          <w:lang w:val="en-US"/>
        </w:rPr>
        <w:t>.</w:t>
      </w:r>
    </w:p>
    <w:p w:rsidR="003C410F"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Kelley, K.T. (2004). </w:t>
      </w:r>
      <w:hyperlink r:id="rId238" w:history="1">
        <w:r w:rsidRPr="005A464E">
          <w:rPr>
            <w:rStyle w:val="-"/>
            <w:rFonts w:asciiTheme="minorHAnsi" w:hAnsiTheme="minorHAnsi" w:cstheme="minorHAnsi"/>
            <w:color w:val="auto"/>
            <w:u w:val="none"/>
            <w:lang w:val="en-US"/>
          </w:rPr>
          <w:t>How</w:t>
        </w:r>
        <w:r w:rsidRPr="005A464E">
          <w:rPr>
            <w:rStyle w:val="apple-converted-space"/>
            <w:rFonts w:asciiTheme="minorHAnsi" w:hAnsiTheme="minorHAnsi" w:cstheme="minorHAnsi"/>
            <w:lang w:val="en-US"/>
          </w:rPr>
          <w:t> </w:t>
        </w:r>
        <w:r w:rsidRPr="005A464E">
          <w:rPr>
            <w:rStyle w:val="-"/>
            <w:rFonts w:asciiTheme="minorHAnsi" w:hAnsiTheme="minorHAnsi" w:cstheme="minorHAnsi"/>
            <w:bCs/>
            <w:color w:val="auto"/>
            <w:u w:val="none"/>
            <w:lang w:val="en-US"/>
          </w:rPr>
          <w:t>peritoneal dialysis</w:t>
        </w:r>
        <w:r w:rsidRPr="005A464E">
          <w:rPr>
            <w:rStyle w:val="apple-converted-space"/>
            <w:rFonts w:asciiTheme="minorHAnsi" w:hAnsiTheme="minorHAnsi" w:cstheme="minorHAnsi"/>
            <w:lang w:val="en-US"/>
          </w:rPr>
          <w:t> </w:t>
        </w:r>
        <w:r w:rsidRPr="005A464E">
          <w:rPr>
            <w:rStyle w:val="-"/>
            <w:rFonts w:asciiTheme="minorHAnsi" w:hAnsiTheme="minorHAnsi" w:cstheme="minorHAnsi"/>
            <w:color w:val="auto"/>
            <w:u w:val="none"/>
            <w:lang w:val="en-US"/>
          </w:rPr>
          <w:t>works.</w:t>
        </w:r>
      </w:hyperlink>
      <w:r w:rsidRPr="005A464E">
        <w:rPr>
          <w:rFonts w:asciiTheme="minorHAnsi" w:hAnsiTheme="minorHAnsi" w:cstheme="minorHAnsi"/>
          <w:lang w:val="en-US"/>
        </w:rPr>
        <w:t xml:space="preserve"> </w:t>
      </w:r>
      <w:r w:rsidRPr="005A464E">
        <w:rPr>
          <w:rStyle w:val="jrnl"/>
          <w:rFonts w:asciiTheme="minorHAnsi" w:hAnsiTheme="minorHAnsi" w:cstheme="minorHAnsi"/>
          <w:i/>
          <w:lang w:val="en-US"/>
        </w:rPr>
        <w:t>Nephrology Nursing Journal</w:t>
      </w:r>
      <w:r w:rsidRPr="005A464E">
        <w:rPr>
          <w:rFonts w:asciiTheme="minorHAnsi" w:hAnsiTheme="minorHAnsi" w:cstheme="minorHAnsi"/>
          <w:i/>
          <w:lang w:val="en-US"/>
        </w:rPr>
        <w:t>,</w:t>
      </w:r>
      <w:r w:rsidR="00B27A1C">
        <w:rPr>
          <w:rFonts w:asciiTheme="minorHAnsi" w:hAnsiTheme="minorHAnsi" w:cstheme="minorHAnsi"/>
          <w:lang w:val="en-US"/>
        </w:rPr>
        <w:t xml:space="preserve"> </w:t>
      </w:r>
      <w:r w:rsidR="00B27A1C" w:rsidRPr="00B27A1C">
        <w:rPr>
          <w:rFonts w:asciiTheme="minorHAnsi" w:hAnsiTheme="minorHAnsi" w:cstheme="minorHAnsi"/>
          <w:i/>
          <w:lang w:val="en-US"/>
        </w:rPr>
        <w:t>31</w:t>
      </w:r>
      <w:r w:rsidR="00F06EDE" w:rsidRPr="00B27A1C">
        <w:rPr>
          <w:rFonts w:asciiTheme="minorHAnsi" w:hAnsiTheme="minorHAnsi" w:cstheme="minorHAnsi"/>
          <w:i/>
          <w:lang w:val="en-US"/>
        </w:rPr>
        <w:t>,</w:t>
      </w:r>
      <w:r w:rsidR="00F06EDE" w:rsidRPr="005A464E">
        <w:rPr>
          <w:rFonts w:asciiTheme="minorHAnsi" w:hAnsiTheme="minorHAnsi" w:cstheme="minorHAnsi"/>
          <w:lang w:val="en-US"/>
        </w:rPr>
        <w:t xml:space="preserve"> 481-482, 488-489</w:t>
      </w:r>
      <w:r w:rsidR="00BC4DDB" w:rsidRPr="005A464E">
        <w:rPr>
          <w:rFonts w:asciiTheme="minorHAnsi" w:hAnsiTheme="minorHAnsi" w:cstheme="minorHAnsi"/>
          <w:lang w:val="en-US"/>
        </w:rPr>
        <w:t>.</w:t>
      </w:r>
    </w:p>
    <w:p w:rsidR="001444B7" w:rsidRPr="001444B7" w:rsidRDefault="001444B7" w:rsidP="005A464E">
      <w:pPr>
        <w:pStyle w:val="Web"/>
        <w:spacing w:after="166" w:line="360" w:lineRule="auto"/>
        <w:ind w:left="415" w:hanging="415"/>
        <w:jc w:val="both"/>
        <w:rPr>
          <w:rFonts w:asciiTheme="minorHAnsi" w:hAnsiTheme="minorHAnsi" w:cstheme="minorHAnsi"/>
          <w:lang w:val="en-US"/>
        </w:rPr>
      </w:pPr>
      <w:r w:rsidRPr="001444B7">
        <w:rPr>
          <w:rFonts w:asciiTheme="minorHAnsi" w:hAnsiTheme="minorHAnsi" w:cstheme="minorHAnsi"/>
          <w:lang w:val="en-US"/>
        </w:rPr>
        <w:t>Kenta, S., Hideaki, M., Kunihiko, Y., Noritoshi, E., Kei, M., Shoji, H., &amp; Masato, F.</w:t>
      </w:r>
      <w:r>
        <w:rPr>
          <w:rFonts w:asciiTheme="minorHAnsi" w:hAnsiTheme="minorHAnsi" w:cstheme="minorHAnsi"/>
          <w:lang w:val="en-US"/>
        </w:rPr>
        <w:t xml:space="preserve"> (2016).</w:t>
      </w:r>
      <w:r w:rsidRPr="001444B7">
        <w:rPr>
          <w:lang w:val="en-US"/>
        </w:rPr>
        <w:t xml:space="preserve"> </w:t>
      </w:r>
      <w:r w:rsidRPr="001444B7">
        <w:rPr>
          <w:rFonts w:asciiTheme="minorHAnsi" w:hAnsiTheme="minorHAnsi" w:cstheme="minorHAnsi"/>
          <w:lang w:val="en-US"/>
        </w:rPr>
        <w:t>Erectile function and its impact on quality of life in Japanese men on hemodialysis</w:t>
      </w:r>
      <w:r>
        <w:rPr>
          <w:rFonts w:asciiTheme="minorHAnsi" w:hAnsiTheme="minorHAnsi" w:cstheme="minorHAnsi"/>
          <w:lang w:val="en-US"/>
        </w:rPr>
        <w:t xml:space="preserve">. </w:t>
      </w:r>
      <w:r w:rsidRPr="001444B7">
        <w:rPr>
          <w:rFonts w:asciiTheme="minorHAnsi" w:hAnsiTheme="minorHAnsi" w:cstheme="minorHAnsi"/>
          <w:i/>
          <w:lang w:val="en-US"/>
        </w:rPr>
        <w:t>Cogent Medicine, 3</w:t>
      </w:r>
      <w:r>
        <w:rPr>
          <w:rFonts w:asciiTheme="minorHAnsi" w:hAnsiTheme="minorHAnsi" w:cstheme="minorHAnsi"/>
          <w:i/>
          <w:lang w:val="en-US"/>
        </w:rPr>
        <w:t>.</w:t>
      </w:r>
      <w:r w:rsidRPr="001444B7">
        <w:rPr>
          <w:lang w:val="en-US"/>
        </w:rPr>
        <w:t xml:space="preserve"> </w:t>
      </w:r>
      <w:hyperlink r:id="rId239" w:tgtFrame="_blank" w:history="1">
        <w:r>
          <w:rPr>
            <w:rStyle w:val="-"/>
            <w:rFonts w:asciiTheme="minorHAnsi" w:hAnsiTheme="minorHAnsi" w:cstheme="minorHAnsi"/>
            <w:color w:val="auto"/>
            <w:u w:val="none"/>
            <w:lang w:val="en-US"/>
          </w:rPr>
          <w:t xml:space="preserve"> DOI</w:t>
        </w:r>
        <w:r w:rsidRPr="001444B7">
          <w:rPr>
            <w:rStyle w:val="-"/>
            <w:rFonts w:asciiTheme="minorHAnsi" w:hAnsiTheme="minorHAnsi" w:cstheme="minorHAnsi"/>
            <w:color w:val="auto"/>
            <w:u w:val="none"/>
            <w:lang w:val="en-US"/>
          </w:rPr>
          <w:t>.org/10.1080/2331205X.2016.1211594</w:t>
        </w:r>
      </w:hyperlink>
      <w:r>
        <w:rPr>
          <w:rFonts w:asciiTheme="minorHAnsi" w:hAnsiTheme="minorHAnsi" w:cstheme="minorHAnsi"/>
          <w:lang w:val="en-US"/>
        </w:rPr>
        <w:t>.</w:t>
      </w:r>
    </w:p>
    <w:p w:rsidR="003C410F" w:rsidRPr="005A464E" w:rsidRDefault="003C410F" w:rsidP="005A464E">
      <w:pPr>
        <w:pStyle w:val="Web"/>
        <w:spacing w:after="166" w:line="360" w:lineRule="auto"/>
        <w:ind w:left="415" w:hanging="415"/>
        <w:jc w:val="both"/>
        <w:rPr>
          <w:rFonts w:asciiTheme="minorHAnsi" w:hAnsiTheme="minorHAnsi"/>
          <w:lang w:val="en-US"/>
        </w:rPr>
      </w:pPr>
      <w:r w:rsidRPr="005A464E">
        <w:rPr>
          <w:rFonts w:asciiTheme="minorHAnsi" w:hAnsiTheme="minorHAnsi" w:cstheme="minorHAnsi"/>
          <w:lang w:val="en-US"/>
        </w:rPr>
        <w:t xml:space="preserve">Kerse, N., </w:t>
      </w:r>
      <w:r w:rsidRPr="005A464E">
        <w:rPr>
          <w:rFonts w:asciiTheme="minorHAnsi" w:eastAsia="Times New Roman" w:hAnsiTheme="minorHAnsi" w:cstheme="minorHAnsi"/>
          <w:lang w:val="en-US" w:eastAsia="el-GR"/>
        </w:rPr>
        <w:t>Buetow, S., Mainous A.G., Young G., Coster G., Arroll, B.</w:t>
      </w:r>
      <w:r w:rsidRPr="005A464E">
        <w:rPr>
          <w:rFonts w:asciiTheme="minorHAnsi" w:hAnsiTheme="minorHAnsi" w:cstheme="minorHAnsi"/>
          <w:lang w:val="en-US"/>
        </w:rPr>
        <w:t xml:space="preserve"> (2004). Physician-</w:t>
      </w:r>
      <w:r w:rsidR="00F06EDE" w:rsidRPr="005A464E">
        <w:rPr>
          <w:rFonts w:asciiTheme="minorHAnsi" w:hAnsiTheme="minorHAnsi" w:cstheme="minorHAnsi"/>
          <w:lang w:val="en-US"/>
        </w:rPr>
        <w:t>patient relationship and medication compliance: a primary care investigation</w:t>
      </w:r>
      <w:r w:rsidRPr="005A464E">
        <w:rPr>
          <w:rFonts w:asciiTheme="minorHAnsi" w:hAnsiTheme="minorHAnsi" w:cstheme="minorHAnsi"/>
          <w:lang w:val="en-US"/>
        </w:rPr>
        <w:t>.</w:t>
      </w:r>
      <w:r w:rsidR="0078495A">
        <w:rPr>
          <w:rStyle w:val="apple-converted-space"/>
          <w:rFonts w:asciiTheme="minorHAnsi" w:hAnsiTheme="minorHAnsi" w:cstheme="minorHAnsi"/>
          <w:lang w:val="en-US"/>
        </w:rPr>
        <w:t xml:space="preserve"> </w:t>
      </w:r>
      <w:r w:rsidR="00BC4DDB" w:rsidRPr="005A464E">
        <w:rPr>
          <w:rFonts w:asciiTheme="minorHAnsi" w:hAnsiTheme="minorHAnsi" w:cstheme="minorHAnsi"/>
          <w:i/>
          <w:iCs/>
          <w:lang w:val="en-US"/>
        </w:rPr>
        <w:t>The Annals o</w:t>
      </w:r>
      <w:r w:rsidRPr="005A464E">
        <w:rPr>
          <w:rFonts w:asciiTheme="minorHAnsi" w:hAnsiTheme="minorHAnsi" w:cstheme="minorHAnsi"/>
          <w:i/>
          <w:iCs/>
          <w:lang w:val="en-US"/>
        </w:rPr>
        <w:t>f Family Medicine</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B27A1C">
        <w:rPr>
          <w:rFonts w:asciiTheme="minorHAnsi" w:hAnsiTheme="minorHAnsi" w:cstheme="minorHAnsi"/>
          <w:i/>
          <w:iCs/>
          <w:lang w:val="en-US"/>
        </w:rPr>
        <w:t>2</w:t>
      </w:r>
      <w:r w:rsidRPr="00B27A1C">
        <w:rPr>
          <w:rFonts w:asciiTheme="minorHAnsi" w:hAnsiTheme="minorHAnsi" w:cstheme="minorHAnsi"/>
          <w:i/>
          <w:lang w:val="en-US"/>
        </w:rPr>
        <w:t>,</w:t>
      </w:r>
      <w:r w:rsidR="00B27A1C">
        <w:rPr>
          <w:rFonts w:asciiTheme="minorHAnsi" w:hAnsiTheme="minorHAnsi" w:cstheme="minorHAnsi"/>
          <w:i/>
          <w:lang w:val="en-US"/>
        </w:rPr>
        <w:t xml:space="preserve"> </w:t>
      </w:r>
      <w:r w:rsidRPr="005A464E">
        <w:rPr>
          <w:rFonts w:asciiTheme="minorHAnsi" w:hAnsiTheme="minorHAnsi" w:cstheme="minorHAnsi"/>
          <w:lang w:val="en-US"/>
        </w:rPr>
        <w:t xml:space="preserve">455-461. </w:t>
      </w:r>
      <w:hyperlink r:id="rId240"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.org/10.1370/afm.139</w:t>
        </w:r>
      </w:hyperlink>
      <w:r w:rsidR="00BC4DDB" w:rsidRPr="005A464E">
        <w:rPr>
          <w:rFonts w:asciiTheme="minorHAnsi" w:hAnsiTheme="minorHAnsi"/>
          <w:lang w:val="en-US"/>
        </w:rPr>
        <w:t>.</w:t>
      </w:r>
    </w:p>
    <w:p w:rsidR="00F06EDE" w:rsidRPr="005A464E" w:rsidRDefault="00F06EDE" w:rsidP="005A464E">
      <w:pPr>
        <w:pStyle w:val="Web"/>
        <w:spacing w:after="166" w:line="360" w:lineRule="auto"/>
        <w:ind w:left="415" w:hanging="415"/>
        <w:jc w:val="both"/>
        <w:rPr>
          <w:rFonts w:asciiTheme="minorHAnsi" w:hAnsiTheme="minorHAnsi" w:cstheme="minorHAnsi"/>
          <w:lang w:val="en-US"/>
        </w:rPr>
      </w:pPr>
      <w:r w:rsidRPr="005A464E">
        <w:rPr>
          <w:rFonts w:asciiTheme="minorHAnsi" w:eastAsia="Times New Roman" w:hAnsiTheme="minorHAnsi" w:cstheme="minorHAnsi"/>
          <w:lang w:val="en-US" w:eastAsia="el-GR"/>
        </w:rPr>
        <w:t xml:space="preserve">Kim, M.J., Moritz, D.A. (1982). </w:t>
      </w:r>
      <w:r w:rsidR="00B27A1C">
        <w:rPr>
          <w:rFonts w:asciiTheme="minorHAnsi" w:eastAsia="Times New Roman" w:hAnsiTheme="minorHAnsi" w:cstheme="minorHAnsi"/>
          <w:lang w:val="en-US" w:eastAsia="el-GR"/>
        </w:rPr>
        <w:t>(Eds).</w:t>
      </w:r>
      <w:r w:rsidRPr="005A464E">
        <w:rPr>
          <w:rFonts w:asciiTheme="minorHAnsi" w:eastAsia="Times New Roman" w:hAnsiTheme="minorHAnsi" w:cstheme="minorHAnsi"/>
          <w:lang w:val="en-US" w:eastAsia="el-GR"/>
        </w:rPr>
        <w:t xml:space="preserve"> </w:t>
      </w:r>
      <w:r w:rsidRPr="00B27A1C">
        <w:rPr>
          <w:rFonts w:asciiTheme="minorHAnsi" w:eastAsia="Times New Roman" w:hAnsiTheme="minorHAnsi" w:cstheme="minorHAnsi"/>
          <w:i/>
          <w:lang w:val="en-US" w:eastAsia="el-GR"/>
        </w:rPr>
        <w:t>Classification of Nursing Diagnoses:</w:t>
      </w:r>
      <w:r w:rsidRPr="005A464E">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i/>
          <w:lang w:val="en-US" w:eastAsia="el-GR"/>
        </w:rPr>
        <w:t xml:space="preserve">Proceedings of the </w:t>
      </w:r>
      <w:r w:rsidR="00B27A1C" w:rsidRPr="005A464E">
        <w:rPr>
          <w:rFonts w:asciiTheme="minorHAnsi" w:eastAsia="Times New Roman" w:hAnsiTheme="minorHAnsi" w:cstheme="minorHAnsi"/>
          <w:i/>
          <w:lang w:val="en-US" w:eastAsia="el-GR"/>
        </w:rPr>
        <w:t>third and fourth national conferences</w:t>
      </w:r>
      <w:r w:rsidRPr="005A464E">
        <w:rPr>
          <w:rFonts w:asciiTheme="minorHAnsi" w:eastAsia="Times New Roman" w:hAnsiTheme="minorHAnsi" w:cstheme="minorHAnsi"/>
          <w:i/>
          <w:lang w:val="en-US" w:eastAsia="el-GR"/>
        </w:rPr>
        <w:t xml:space="preserve">. </w:t>
      </w:r>
      <w:r w:rsidR="00B27A1C">
        <w:rPr>
          <w:rFonts w:asciiTheme="minorHAnsi" w:eastAsia="Times New Roman" w:hAnsiTheme="minorHAnsi" w:cstheme="minorHAnsi"/>
          <w:lang w:val="en-US" w:eastAsia="el-GR"/>
        </w:rPr>
        <w:t>McGraw-Hill, Co, New York</w:t>
      </w:r>
      <w:r w:rsidR="00BC4DDB" w:rsidRPr="005A464E">
        <w:rPr>
          <w:rFonts w:asciiTheme="minorHAnsi" w:eastAsia="Times New Roman" w:hAnsiTheme="minorHAnsi" w:cstheme="minorHAnsi"/>
          <w:lang w:val="en-US" w:eastAsia="el-GR"/>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Kim, M., Hill, M., Bone, L., &amp; Levine, D. (2000). Development </w:t>
      </w:r>
      <w:r w:rsidR="00DB39FD" w:rsidRPr="005A464E">
        <w:rPr>
          <w:rFonts w:asciiTheme="minorHAnsi" w:hAnsiTheme="minorHAnsi" w:cstheme="minorHAnsi"/>
          <w:lang w:val="en-US"/>
        </w:rPr>
        <w:t xml:space="preserve">and testing </w:t>
      </w:r>
      <w:r w:rsidRPr="005A464E">
        <w:rPr>
          <w:rFonts w:asciiTheme="minorHAnsi" w:hAnsiTheme="minorHAnsi" w:cstheme="minorHAnsi"/>
          <w:lang w:val="en-US"/>
        </w:rPr>
        <w:t>of the Hill-Bone Compliance to High Blood Pressure Therapy Scale.</w:t>
      </w:r>
      <w:r w:rsidR="00B27A1C">
        <w:rPr>
          <w:rFonts w:asciiTheme="minorHAnsi" w:hAnsiTheme="minorHAnsi" w:cstheme="minorHAnsi"/>
          <w:lang w:val="en-US"/>
        </w:rPr>
        <w:t xml:space="preserve"> </w:t>
      </w:r>
      <w:r w:rsidR="00B27A1C">
        <w:rPr>
          <w:rFonts w:asciiTheme="minorHAnsi" w:hAnsiTheme="minorHAnsi" w:cstheme="minorHAnsi"/>
          <w:i/>
          <w:iCs/>
          <w:lang w:val="en-US"/>
        </w:rPr>
        <w:t>Progress i</w:t>
      </w:r>
      <w:r w:rsidRPr="005A464E">
        <w:rPr>
          <w:rFonts w:asciiTheme="minorHAnsi" w:hAnsiTheme="minorHAnsi" w:cstheme="minorHAnsi"/>
          <w:i/>
          <w:iCs/>
          <w:lang w:val="en-US"/>
        </w:rPr>
        <w:t>n Cardiovascular Nursing</w:t>
      </w:r>
      <w:r w:rsidRPr="005A464E">
        <w:rPr>
          <w:rFonts w:asciiTheme="minorHAnsi" w:hAnsiTheme="minorHAnsi" w:cstheme="minorHAnsi"/>
          <w:lang w:val="en-US"/>
        </w:rPr>
        <w:t>,</w:t>
      </w:r>
      <w:r w:rsidR="0078495A">
        <w:rPr>
          <w:rStyle w:val="apple-converted-space"/>
          <w:rFonts w:asciiTheme="minorHAnsi" w:hAnsiTheme="minorHAnsi" w:cstheme="minorHAnsi"/>
          <w:lang w:val="en-US"/>
        </w:rPr>
        <w:t xml:space="preserve"> </w:t>
      </w:r>
      <w:r w:rsidRPr="00B27A1C">
        <w:rPr>
          <w:rFonts w:asciiTheme="minorHAnsi" w:hAnsiTheme="minorHAnsi" w:cstheme="minorHAnsi"/>
          <w:i/>
          <w:iCs/>
          <w:lang w:val="en-US"/>
        </w:rPr>
        <w:t>15</w:t>
      </w:r>
      <w:r w:rsidRPr="00B27A1C">
        <w:rPr>
          <w:rFonts w:asciiTheme="minorHAnsi" w:hAnsiTheme="minorHAnsi" w:cstheme="minorHAnsi"/>
          <w:i/>
          <w:lang w:val="en-US"/>
        </w:rPr>
        <w:t>,</w:t>
      </w:r>
      <w:r w:rsidRPr="005A464E">
        <w:rPr>
          <w:rFonts w:asciiTheme="minorHAnsi" w:hAnsiTheme="minorHAnsi" w:cstheme="minorHAnsi"/>
          <w:lang w:val="en-US"/>
        </w:rPr>
        <w:t xml:space="preserve"> 90-96. </w:t>
      </w:r>
      <w:hyperlink r:id="rId241" w:history="1">
        <w:r w:rsidR="00F06EDE"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00F06EDE" w:rsidRPr="005A464E">
          <w:rPr>
            <w:rStyle w:val="-"/>
            <w:rFonts w:asciiTheme="minorHAnsi" w:hAnsiTheme="minorHAnsi" w:cstheme="minorHAnsi"/>
            <w:color w:val="auto"/>
            <w:u w:val="none"/>
            <w:lang w:val="en-US"/>
          </w:rPr>
          <w:t>.org/10.1111/j.1751-7117.2000.tb00211.x</w:t>
        </w:r>
      </w:hyperlink>
      <w:r w:rsidR="00BC4DDB" w:rsidRPr="005A464E">
        <w:rPr>
          <w:rFonts w:asciiTheme="minorHAnsi" w:hAnsiTheme="minorHAnsi"/>
          <w:lang w:val="en-US"/>
        </w:rPr>
        <w:t>.</w:t>
      </w:r>
    </w:p>
    <w:p w:rsidR="00F06EDE" w:rsidRPr="005A464E" w:rsidRDefault="00F06EDE"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Kim, Y., Evangelista, L.S. (2010). Relationship between illness perceptions, treatment adherence, and clinical outcomes in patients on maintenance hemodialysis. </w:t>
      </w:r>
      <w:r w:rsidRPr="005A464E">
        <w:rPr>
          <w:rFonts w:asciiTheme="minorHAnsi" w:eastAsia="Times New Roman" w:hAnsiTheme="minorHAnsi" w:cstheme="minorHAnsi"/>
          <w:i/>
          <w:lang w:val="en-US" w:eastAsia="el-GR"/>
        </w:rPr>
        <w:t>Nephrology Nursing Journal,</w:t>
      </w:r>
      <w:r w:rsidR="00B27A1C">
        <w:rPr>
          <w:rFonts w:asciiTheme="minorHAnsi" w:eastAsia="Times New Roman" w:hAnsiTheme="minorHAnsi" w:cstheme="minorHAnsi"/>
          <w:lang w:val="en-US" w:eastAsia="el-GR"/>
        </w:rPr>
        <w:t xml:space="preserve"> </w:t>
      </w:r>
      <w:r w:rsidR="00B27A1C" w:rsidRPr="00B27A1C">
        <w:rPr>
          <w:rFonts w:asciiTheme="minorHAnsi" w:eastAsia="Times New Roman" w:hAnsiTheme="minorHAnsi" w:cstheme="minorHAnsi"/>
          <w:i/>
          <w:lang w:val="en-US" w:eastAsia="el-GR"/>
        </w:rPr>
        <w:t>37</w:t>
      </w:r>
      <w:r w:rsidRPr="00B27A1C">
        <w:rPr>
          <w:rFonts w:asciiTheme="minorHAnsi" w:eastAsia="Times New Roman" w:hAnsiTheme="minorHAnsi" w:cstheme="minorHAnsi"/>
          <w:i/>
          <w:lang w:val="en-US" w:eastAsia="el-GR"/>
        </w:rPr>
        <w:t>,</w:t>
      </w:r>
      <w:r w:rsidRPr="005A464E">
        <w:rPr>
          <w:rFonts w:asciiTheme="minorHAnsi" w:eastAsia="Times New Roman" w:hAnsiTheme="minorHAnsi" w:cstheme="minorHAnsi"/>
          <w:lang w:val="en-US" w:eastAsia="el-GR"/>
        </w:rPr>
        <w:t>271-280</w:t>
      </w:r>
      <w:r w:rsidR="00BC4DDB" w:rsidRPr="005A464E">
        <w:rPr>
          <w:rFonts w:asciiTheme="minorHAnsi" w:eastAsia="Times New Roman" w:hAnsiTheme="minorHAnsi" w:cstheme="minorHAnsi"/>
          <w:lang w:val="en-US" w:eastAsia="el-GR"/>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Kimmel</w:t>
      </w:r>
      <w:r w:rsidR="00DB39FD" w:rsidRPr="005A464E">
        <w:rPr>
          <w:rFonts w:asciiTheme="minorHAnsi" w:hAnsiTheme="minorHAnsi" w:cstheme="minorHAnsi"/>
          <w:lang w:val="en-US"/>
        </w:rPr>
        <w:t>,</w:t>
      </w:r>
      <w:r w:rsidRPr="005A464E">
        <w:rPr>
          <w:rFonts w:asciiTheme="minorHAnsi" w:hAnsiTheme="minorHAnsi" w:cstheme="minorHAnsi"/>
          <w:lang w:val="en-US"/>
        </w:rPr>
        <w:t xml:space="preserve"> P</w:t>
      </w:r>
      <w:r w:rsidR="00DB39FD" w:rsidRPr="005A464E">
        <w:rPr>
          <w:rFonts w:asciiTheme="minorHAnsi" w:hAnsiTheme="minorHAnsi" w:cstheme="minorHAnsi"/>
          <w:lang w:val="en-US"/>
        </w:rPr>
        <w:t>.</w:t>
      </w:r>
      <w:r w:rsidRPr="005A464E">
        <w:rPr>
          <w:rFonts w:asciiTheme="minorHAnsi" w:hAnsiTheme="minorHAnsi" w:cstheme="minorHAnsi"/>
          <w:lang w:val="en-US"/>
        </w:rPr>
        <w:t>L</w:t>
      </w:r>
      <w:r w:rsidR="00DB39FD" w:rsidRPr="005A464E">
        <w:rPr>
          <w:rFonts w:asciiTheme="minorHAnsi" w:hAnsiTheme="minorHAnsi" w:cstheme="minorHAnsi"/>
          <w:lang w:val="en-US"/>
        </w:rPr>
        <w:t>.</w:t>
      </w:r>
      <w:r w:rsidRPr="005A464E">
        <w:rPr>
          <w:rFonts w:asciiTheme="minorHAnsi" w:hAnsiTheme="minorHAnsi" w:cstheme="minorHAnsi"/>
          <w:lang w:val="en-US"/>
        </w:rPr>
        <w:t>, Peterson</w:t>
      </w:r>
      <w:r w:rsidR="00DB39FD" w:rsidRPr="005A464E">
        <w:rPr>
          <w:rFonts w:asciiTheme="minorHAnsi" w:hAnsiTheme="minorHAnsi" w:cstheme="minorHAnsi"/>
          <w:lang w:val="en-US"/>
        </w:rPr>
        <w:t>,</w:t>
      </w:r>
      <w:r w:rsidRPr="005A464E">
        <w:rPr>
          <w:rFonts w:asciiTheme="minorHAnsi" w:hAnsiTheme="minorHAnsi" w:cstheme="minorHAnsi"/>
          <w:lang w:val="en-US"/>
        </w:rPr>
        <w:t xml:space="preserve"> R</w:t>
      </w:r>
      <w:r w:rsidR="00DB39FD" w:rsidRPr="005A464E">
        <w:rPr>
          <w:rFonts w:asciiTheme="minorHAnsi" w:hAnsiTheme="minorHAnsi" w:cstheme="minorHAnsi"/>
          <w:lang w:val="en-US"/>
        </w:rPr>
        <w:t>.</w:t>
      </w:r>
      <w:r w:rsidRPr="005A464E">
        <w:rPr>
          <w:rFonts w:asciiTheme="minorHAnsi" w:hAnsiTheme="minorHAnsi" w:cstheme="minorHAnsi"/>
          <w:lang w:val="en-US"/>
        </w:rPr>
        <w:t>A</w:t>
      </w:r>
      <w:r w:rsidR="00DB39FD" w:rsidRPr="005A464E">
        <w:rPr>
          <w:rFonts w:asciiTheme="minorHAnsi" w:hAnsiTheme="minorHAnsi" w:cstheme="minorHAnsi"/>
          <w:lang w:val="en-US"/>
        </w:rPr>
        <w:t>.</w:t>
      </w:r>
      <w:r w:rsidRPr="005A464E">
        <w:rPr>
          <w:rFonts w:asciiTheme="minorHAnsi" w:hAnsiTheme="minorHAnsi" w:cstheme="minorHAnsi"/>
          <w:lang w:val="en-US"/>
        </w:rPr>
        <w:t>, Weihs</w:t>
      </w:r>
      <w:r w:rsidR="00DB39FD" w:rsidRPr="005A464E">
        <w:rPr>
          <w:rFonts w:asciiTheme="minorHAnsi" w:hAnsiTheme="minorHAnsi" w:cstheme="minorHAnsi"/>
          <w:lang w:val="en-US"/>
        </w:rPr>
        <w:t>,</w:t>
      </w:r>
      <w:r w:rsidRPr="005A464E">
        <w:rPr>
          <w:rFonts w:asciiTheme="minorHAnsi" w:hAnsiTheme="minorHAnsi" w:cstheme="minorHAnsi"/>
          <w:lang w:val="en-US"/>
        </w:rPr>
        <w:t xml:space="preserve"> K</w:t>
      </w:r>
      <w:r w:rsidR="00DB39FD" w:rsidRPr="005A464E">
        <w:rPr>
          <w:rFonts w:asciiTheme="minorHAnsi" w:hAnsiTheme="minorHAnsi" w:cstheme="minorHAnsi"/>
          <w:lang w:val="en-US"/>
        </w:rPr>
        <w:t>.</w:t>
      </w:r>
      <w:r w:rsidRPr="005A464E">
        <w:rPr>
          <w:rFonts w:asciiTheme="minorHAnsi" w:hAnsiTheme="minorHAnsi" w:cstheme="minorHAnsi"/>
          <w:lang w:val="en-US"/>
        </w:rPr>
        <w:t>L</w:t>
      </w:r>
      <w:r w:rsidR="00DB39FD" w:rsidRPr="005A464E">
        <w:rPr>
          <w:rFonts w:asciiTheme="minorHAnsi" w:hAnsiTheme="minorHAnsi" w:cstheme="minorHAnsi"/>
          <w:lang w:val="en-US"/>
        </w:rPr>
        <w:t>.</w:t>
      </w:r>
      <w:r w:rsidRPr="005A464E">
        <w:rPr>
          <w:rFonts w:asciiTheme="minorHAnsi" w:hAnsiTheme="minorHAnsi" w:cstheme="minorHAnsi"/>
          <w:lang w:val="en-US"/>
        </w:rPr>
        <w:t>, Simmens</w:t>
      </w:r>
      <w:r w:rsidR="00DB39FD" w:rsidRPr="005A464E">
        <w:rPr>
          <w:rFonts w:asciiTheme="minorHAnsi" w:hAnsiTheme="minorHAnsi" w:cstheme="minorHAnsi"/>
          <w:lang w:val="en-US"/>
        </w:rPr>
        <w:t>,</w:t>
      </w:r>
      <w:r w:rsidRPr="005A464E">
        <w:rPr>
          <w:rFonts w:asciiTheme="minorHAnsi" w:hAnsiTheme="minorHAnsi" w:cstheme="minorHAnsi"/>
          <w:lang w:val="en-US"/>
        </w:rPr>
        <w:t xml:space="preserve"> S</w:t>
      </w:r>
      <w:r w:rsidR="00DB39FD" w:rsidRPr="005A464E">
        <w:rPr>
          <w:rFonts w:asciiTheme="minorHAnsi" w:hAnsiTheme="minorHAnsi" w:cstheme="minorHAnsi"/>
          <w:lang w:val="en-US"/>
        </w:rPr>
        <w:t>.</w:t>
      </w:r>
      <w:r w:rsidRPr="005A464E">
        <w:rPr>
          <w:rFonts w:asciiTheme="minorHAnsi" w:hAnsiTheme="minorHAnsi" w:cstheme="minorHAnsi"/>
          <w:lang w:val="en-US"/>
        </w:rPr>
        <w:t>J</w:t>
      </w:r>
      <w:r w:rsidR="00DB39FD" w:rsidRPr="005A464E">
        <w:rPr>
          <w:rFonts w:asciiTheme="minorHAnsi" w:hAnsiTheme="minorHAnsi" w:cstheme="minorHAnsi"/>
          <w:lang w:val="en-US"/>
        </w:rPr>
        <w:t>.</w:t>
      </w:r>
      <w:r w:rsidRPr="005A464E">
        <w:rPr>
          <w:rFonts w:asciiTheme="minorHAnsi" w:hAnsiTheme="minorHAnsi" w:cstheme="minorHAnsi"/>
          <w:lang w:val="en-US"/>
        </w:rPr>
        <w:t>, Boyle</w:t>
      </w:r>
      <w:r w:rsidR="00DB39FD" w:rsidRPr="005A464E">
        <w:rPr>
          <w:rFonts w:asciiTheme="minorHAnsi" w:hAnsiTheme="minorHAnsi" w:cstheme="minorHAnsi"/>
          <w:lang w:val="en-US"/>
        </w:rPr>
        <w:t>,</w:t>
      </w:r>
      <w:r w:rsidRPr="005A464E">
        <w:rPr>
          <w:rFonts w:asciiTheme="minorHAnsi" w:hAnsiTheme="minorHAnsi" w:cstheme="minorHAnsi"/>
          <w:lang w:val="en-US"/>
        </w:rPr>
        <w:t xml:space="preserve"> D</w:t>
      </w:r>
      <w:r w:rsidR="00DB39FD" w:rsidRPr="005A464E">
        <w:rPr>
          <w:rFonts w:asciiTheme="minorHAnsi" w:hAnsiTheme="minorHAnsi" w:cstheme="minorHAnsi"/>
          <w:lang w:val="en-US"/>
        </w:rPr>
        <w:t>.</w:t>
      </w:r>
      <w:r w:rsidRPr="005A464E">
        <w:rPr>
          <w:rFonts w:asciiTheme="minorHAnsi" w:hAnsiTheme="minorHAnsi" w:cstheme="minorHAnsi"/>
          <w:lang w:val="en-US"/>
        </w:rPr>
        <w:t>H</w:t>
      </w:r>
      <w:r w:rsidR="00DB39FD" w:rsidRPr="005A464E">
        <w:rPr>
          <w:rFonts w:asciiTheme="minorHAnsi" w:hAnsiTheme="minorHAnsi" w:cstheme="minorHAnsi"/>
          <w:lang w:val="en-US"/>
        </w:rPr>
        <w:t>.</w:t>
      </w:r>
      <w:r w:rsidRPr="005A464E">
        <w:rPr>
          <w:rFonts w:asciiTheme="minorHAnsi" w:hAnsiTheme="minorHAnsi" w:cstheme="minorHAnsi"/>
          <w:lang w:val="en-US"/>
        </w:rPr>
        <w:t>, Cruz</w:t>
      </w:r>
      <w:r w:rsidR="00DB39FD" w:rsidRPr="007C2040">
        <w:rPr>
          <w:rFonts w:asciiTheme="minorHAnsi" w:hAnsiTheme="minorHAnsi" w:cstheme="minorHAnsi"/>
          <w:lang w:val="en-US"/>
        </w:rPr>
        <w:t>,</w:t>
      </w:r>
      <w:r w:rsidRPr="007C2040">
        <w:rPr>
          <w:rFonts w:asciiTheme="minorHAnsi" w:hAnsiTheme="minorHAnsi" w:cstheme="minorHAnsi"/>
          <w:lang w:val="en-US"/>
        </w:rPr>
        <w:t xml:space="preserve"> I</w:t>
      </w:r>
      <w:r w:rsidR="00DB39FD" w:rsidRPr="007C2040">
        <w:rPr>
          <w:rFonts w:asciiTheme="minorHAnsi" w:hAnsiTheme="minorHAnsi" w:cstheme="minorHAnsi"/>
          <w:lang w:val="en-US"/>
        </w:rPr>
        <w:t>.</w:t>
      </w:r>
      <w:r w:rsidRPr="007C2040">
        <w:rPr>
          <w:rFonts w:asciiTheme="minorHAnsi" w:hAnsiTheme="minorHAnsi" w:cstheme="minorHAnsi"/>
          <w:lang w:val="en-US"/>
        </w:rPr>
        <w:t xml:space="preserve">, </w:t>
      </w:r>
      <w:r w:rsidR="007C2040" w:rsidRPr="007C2040">
        <w:rPr>
          <w:rFonts w:asciiTheme="minorHAnsi" w:hAnsiTheme="minorHAnsi"/>
          <w:lang w:val="en-US"/>
        </w:rPr>
        <w:t xml:space="preserve">… </w:t>
      </w:r>
      <w:r w:rsidR="00BC4DDB" w:rsidRPr="007C2040">
        <w:rPr>
          <w:rFonts w:asciiTheme="minorHAnsi" w:hAnsiTheme="minorHAnsi" w:cstheme="minorHAnsi"/>
          <w:shd w:val="clear" w:color="auto" w:fill="FFFFFF"/>
          <w:lang w:val="en-US"/>
        </w:rPr>
        <w:t>&amp;</w:t>
      </w:r>
      <w:r w:rsidR="00BC4DDB" w:rsidRPr="005A464E">
        <w:rPr>
          <w:rFonts w:asciiTheme="minorHAnsi" w:hAnsiTheme="minorHAnsi" w:cstheme="minorHAnsi"/>
          <w:shd w:val="clear" w:color="auto" w:fill="FFFFFF"/>
          <w:lang w:val="en-US"/>
        </w:rPr>
        <w:t xml:space="preserve"> </w:t>
      </w:r>
      <w:hyperlink r:id="rId242" w:history="1">
        <w:r w:rsidR="00BC4DDB" w:rsidRPr="005A464E">
          <w:rPr>
            <w:rStyle w:val="-"/>
            <w:rFonts w:asciiTheme="minorHAnsi" w:hAnsiTheme="minorHAnsi" w:cstheme="minorHAnsi"/>
            <w:color w:val="auto"/>
            <w:u w:val="none"/>
            <w:shd w:val="clear" w:color="auto" w:fill="FFFFFF"/>
            <w:lang w:val="en-US"/>
          </w:rPr>
          <w:t>Veis, J.H</w:t>
        </w:r>
      </w:hyperlink>
      <w:r w:rsidR="00BC4DDB" w:rsidRPr="005A464E">
        <w:rPr>
          <w:rFonts w:asciiTheme="minorHAnsi" w:hAnsiTheme="minorHAnsi" w:cstheme="minorHAnsi"/>
          <w:shd w:val="clear" w:color="auto" w:fill="FFFFFF"/>
          <w:lang w:val="en-US"/>
        </w:rPr>
        <w:t>.</w:t>
      </w:r>
      <w:r w:rsidR="00DB39FD" w:rsidRPr="005A464E">
        <w:rPr>
          <w:rFonts w:asciiTheme="minorHAnsi" w:hAnsiTheme="minorHAnsi" w:cstheme="minorHAnsi"/>
          <w:lang w:val="en-US"/>
        </w:rPr>
        <w:t xml:space="preserve"> (1995).</w:t>
      </w:r>
      <w:r w:rsidRPr="005A464E">
        <w:rPr>
          <w:rFonts w:asciiTheme="minorHAnsi" w:hAnsiTheme="minorHAnsi" w:cstheme="minorHAnsi"/>
          <w:lang w:val="en-US"/>
        </w:rPr>
        <w:t xml:space="preserve"> Aspects of quality of life in hemodialysis patients. </w:t>
      </w:r>
      <w:r w:rsidRPr="005A464E">
        <w:rPr>
          <w:rFonts w:asciiTheme="minorHAnsi" w:hAnsiTheme="minorHAnsi" w:cstheme="minorHAnsi"/>
          <w:i/>
          <w:lang w:val="en-US"/>
        </w:rPr>
        <w:t>J</w:t>
      </w:r>
      <w:r w:rsidR="00DB39FD" w:rsidRPr="005A464E">
        <w:rPr>
          <w:rFonts w:asciiTheme="minorHAnsi" w:hAnsiTheme="minorHAnsi" w:cstheme="minorHAnsi"/>
          <w:i/>
          <w:lang w:val="en-US"/>
        </w:rPr>
        <w:t>ournal of</w:t>
      </w:r>
      <w:r w:rsidRPr="005A464E">
        <w:rPr>
          <w:rFonts w:asciiTheme="minorHAnsi" w:hAnsiTheme="minorHAnsi" w:cstheme="minorHAnsi"/>
          <w:i/>
          <w:lang w:val="en-US"/>
        </w:rPr>
        <w:t xml:space="preserve"> Am</w:t>
      </w:r>
      <w:r w:rsidR="00DB39FD" w:rsidRPr="005A464E">
        <w:rPr>
          <w:rFonts w:asciiTheme="minorHAnsi" w:hAnsiTheme="minorHAnsi" w:cstheme="minorHAnsi"/>
          <w:i/>
          <w:lang w:val="en-US"/>
        </w:rPr>
        <w:t>erican</w:t>
      </w:r>
      <w:r w:rsidRPr="005A464E">
        <w:rPr>
          <w:rFonts w:asciiTheme="minorHAnsi" w:hAnsiTheme="minorHAnsi" w:cstheme="minorHAnsi"/>
          <w:i/>
          <w:lang w:val="en-US"/>
        </w:rPr>
        <w:t xml:space="preserve"> Soc</w:t>
      </w:r>
      <w:r w:rsidR="00DB39FD" w:rsidRPr="005A464E">
        <w:rPr>
          <w:rFonts w:asciiTheme="minorHAnsi" w:hAnsiTheme="minorHAnsi" w:cstheme="minorHAnsi"/>
          <w:i/>
          <w:lang w:val="en-US"/>
        </w:rPr>
        <w:t>iety of Nephrology,</w:t>
      </w:r>
      <w:r w:rsidRPr="005A464E">
        <w:rPr>
          <w:rFonts w:asciiTheme="minorHAnsi" w:hAnsiTheme="minorHAnsi" w:cstheme="minorHAnsi"/>
          <w:i/>
          <w:lang w:val="en-US"/>
        </w:rPr>
        <w:t xml:space="preserve"> </w:t>
      </w:r>
      <w:r w:rsidR="00B27A1C" w:rsidRPr="00B27A1C">
        <w:rPr>
          <w:rFonts w:asciiTheme="minorHAnsi" w:hAnsiTheme="minorHAnsi" w:cstheme="minorHAnsi"/>
          <w:i/>
          <w:lang w:val="en-US"/>
        </w:rPr>
        <w:t>6</w:t>
      </w:r>
      <w:r w:rsidR="00DB39FD" w:rsidRPr="00B27A1C">
        <w:rPr>
          <w:rFonts w:asciiTheme="minorHAnsi" w:hAnsiTheme="minorHAnsi" w:cstheme="minorHAnsi"/>
          <w:i/>
          <w:lang w:val="en-US"/>
        </w:rPr>
        <w:t>,</w:t>
      </w:r>
      <w:r w:rsidRPr="005A464E">
        <w:rPr>
          <w:rFonts w:asciiTheme="minorHAnsi" w:hAnsiTheme="minorHAnsi" w:cstheme="minorHAnsi"/>
          <w:lang w:val="en-US"/>
        </w:rPr>
        <w:t>1418-</w:t>
      </w:r>
      <w:r w:rsidR="00DB39FD" w:rsidRPr="005A464E">
        <w:rPr>
          <w:rFonts w:asciiTheme="minorHAnsi" w:hAnsiTheme="minorHAnsi" w:cstheme="minorHAnsi"/>
          <w:lang w:val="en-US"/>
        </w:rPr>
        <w:t>14</w:t>
      </w:r>
      <w:r w:rsidRPr="005A464E">
        <w:rPr>
          <w:rFonts w:asciiTheme="minorHAnsi" w:hAnsiTheme="minorHAnsi" w:cstheme="minorHAnsi"/>
          <w:lang w:val="en-US"/>
        </w:rPr>
        <w:t>26.</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Kimmel, P., Emont, S., Newmann, J., Danko, H., &amp; Moss, A. (2003). ESRD patient quality of life: symptoms, spiritual beliefs, psychosocial factors, and ethnicity.</w:t>
      </w:r>
      <w:r w:rsidRPr="005A464E">
        <w:rPr>
          <w:rStyle w:val="apple-converted-space"/>
          <w:rFonts w:asciiTheme="minorHAnsi" w:hAnsiTheme="minorHAnsi" w:cstheme="minorHAnsi"/>
          <w:lang w:val="en-US"/>
        </w:rPr>
        <w:t> </w:t>
      </w:r>
      <w:r w:rsidR="00DB39FD" w:rsidRPr="005A464E">
        <w:rPr>
          <w:rFonts w:asciiTheme="minorHAnsi" w:hAnsiTheme="minorHAnsi" w:cstheme="minorHAnsi"/>
          <w:i/>
          <w:iCs/>
          <w:lang w:val="en-US"/>
        </w:rPr>
        <w:t>American Journal o</w:t>
      </w:r>
      <w:r w:rsidRPr="005A464E">
        <w:rPr>
          <w:rFonts w:asciiTheme="minorHAnsi" w:hAnsiTheme="minorHAnsi" w:cstheme="minorHAnsi"/>
          <w:i/>
          <w:iCs/>
          <w:lang w:val="en-US"/>
        </w:rPr>
        <w:t>f Kidney Diseases</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B27A1C">
        <w:rPr>
          <w:rFonts w:asciiTheme="minorHAnsi" w:hAnsiTheme="minorHAnsi" w:cstheme="minorHAnsi"/>
          <w:i/>
          <w:iCs/>
          <w:lang w:val="en-US"/>
        </w:rPr>
        <w:t>42</w:t>
      </w:r>
      <w:r w:rsidRPr="005A464E">
        <w:rPr>
          <w:rFonts w:asciiTheme="minorHAnsi" w:hAnsiTheme="minorHAnsi" w:cstheme="minorHAnsi"/>
          <w:lang w:val="en-US"/>
        </w:rPr>
        <w:t>, 713-721.</w:t>
      </w:r>
    </w:p>
    <w:p w:rsidR="00617224" w:rsidRPr="005A464E" w:rsidRDefault="00617224"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Kimmel, P. (2006). Depression in </w:t>
      </w:r>
      <w:r w:rsidR="00BC4DDB" w:rsidRPr="005A464E">
        <w:rPr>
          <w:rFonts w:asciiTheme="minorHAnsi" w:hAnsiTheme="minorHAnsi" w:cstheme="minorHAnsi"/>
          <w:lang w:val="en-US"/>
        </w:rPr>
        <w:t>patients with end-stage renal disease treated with dialysis: has the time to treat arrived</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Clinical Journal of The American Society of Nephrology</w:t>
      </w:r>
      <w:r w:rsidRPr="00B27A1C">
        <w:rPr>
          <w:rFonts w:asciiTheme="minorHAnsi" w:hAnsiTheme="minorHAnsi" w:cstheme="minorHAnsi"/>
          <w:i/>
          <w:lang w:val="en-US"/>
        </w:rPr>
        <w:t>,</w:t>
      </w:r>
      <w:r w:rsidRPr="00B27A1C">
        <w:rPr>
          <w:rStyle w:val="apple-converted-space"/>
          <w:rFonts w:asciiTheme="minorHAnsi" w:hAnsiTheme="minorHAnsi" w:cstheme="minorHAnsi"/>
          <w:i/>
          <w:lang w:val="en-US"/>
        </w:rPr>
        <w:t> </w:t>
      </w:r>
      <w:r w:rsidRPr="00B27A1C">
        <w:rPr>
          <w:rFonts w:asciiTheme="minorHAnsi" w:hAnsiTheme="minorHAnsi" w:cstheme="minorHAnsi"/>
          <w:i/>
          <w:iCs/>
          <w:lang w:val="en-US"/>
        </w:rPr>
        <w:t>1</w:t>
      </w:r>
      <w:r w:rsidRPr="00B27A1C">
        <w:rPr>
          <w:rFonts w:asciiTheme="minorHAnsi" w:hAnsiTheme="minorHAnsi" w:cstheme="minorHAnsi"/>
          <w:i/>
          <w:lang w:val="en-US"/>
        </w:rPr>
        <w:t>,</w:t>
      </w:r>
      <w:r w:rsidRPr="005A464E">
        <w:rPr>
          <w:rFonts w:asciiTheme="minorHAnsi" w:hAnsiTheme="minorHAnsi" w:cstheme="minorHAnsi"/>
          <w:lang w:val="en-US"/>
        </w:rPr>
        <w:t xml:space="preserve"> 349-352. http://dx.</w:t>
      </w:r>
      <w:r w:rsidR="00292B29" w:rsidRPr="005A464E">
        <w:rPr>
          <w:rFonts w:asciiTheme="minorHAnsi" w:hAnsiTheme="minorHAnsi" w:cstheme="minorHAnsi"/>
          <w:lang w:val="en-US"/>
        </w:rPr>
        <w:t>DOI</w:t>
      </w:r>
      <w:r w:rsidRPr="005A464E">
        <w:rPr>
          <w:rFonts w:asciiTheme="minorHAnsi" w:hAnsiTheme="minorHAnsi" w:cstheme="minorHAnsi"/>
          <w:lang w:val="en-US"/>
        </w:rPr>
        <w:t>.org/10.2215/cjn.00890306</w:t>
      </w:r>
      <w:r w:rsidR="00BC4DDB" w:rsidRPr="005A464E">
        <w:rPr>
          <w:rFonts w:asciiTheme="minorHAnsi" w:hAnsiTheme="minorHAnsi" w:cs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Klang, B., &amp; Clyne, N. (1997). Well-being and functional ability in uraemic patients before and after having started dialysis Treatment.</w:t>
      </w:r>
      <w:r w:rsidR="00BC4DDB" w:rsidRPr="005A464E">
        <w:rPr>
          <w:rFonts w:asciiTheme="minorHAnsi" w:hAnsiTheme="minorHAnsi" w:cstheme="minorHAnsi"/>
          <w:lang w:val="en-US"/>
        </w:rPr>
        <w:t xml:space="preserve"> </w:t>
      </w:r>
      <w:r w:rsidR="00617224" w:rsidRPr="005A464E">
        <w:rPr>
          <w:rFonts w:asciiTheme="minorHAnsi" w:hAnsiTheme="minorHAnsi" w:cstheme="minorHAnsi"/>
          <w:i/>
          <w:iCs/>
          <w:lang w:val="en-US"/>
        </w:rPr>
        <w:t>Scandinavian Journal o</w:t>
      </w:r>
      <w:r w:rsidRPr="005A464E">
        <w:rPr>
          <w:rFonts w:asciiTheme="minorHAnsi" w:hAnsiTheme="minorHAnsi" w:cstheme="minorHAnsi"/>
          <w:i/>
          <w:iCs/>
          <w:lang w:val="en-US"/>
        </w:rPr>
        <w:t xml:space="preserve">f </w:t>
      </w:r>
      <w:r w:rsidR="00BC4DDB" w:rsidRPr="005A464E">
        <w:rPr>
          <w:rFonts w:asciiTheme="minorHAnsi" w:hAnsiTheme="minorHAnsi" w:cstheme="minorHAnsi"/>
          <w:i/>
          <w:iCs/>
          <w:lang w:val="en-US"/>
        </w:rPr>
        <w:t xml:space="preserve">Caring </w:t>
      </w:r>
      <w:r w:rsidRPr="005A464E">
        <w:rPr>
          <w:rFonts w:asciiTheme="minorHAnsi" w:hAnsiTheme="minorHAnsi" w:cstheme="minorHAnsi"/>
          <w:i/>
          <w:iCs/>
          <w:lang w:val="en-US"/>
        </w:rPr>
        <w:t>Sciences</w:t>
      </w:r>
      <w:r w:rsidRPr="005A464E">
        <w:rPr>
          <w:rFonts w:asciiTheme="minorHAnsi" w:hAnsiTheme="minorHAnsi" w:cstheme="minorHAnsi"/>
          <w:lang w:val="en-US"/>
        </w:rPr>
        <w:t>,</w:t>
      </w:r>
      <w:r w:rsidR="0078495A">
        <w:rPr>
          <w:rFonts w:asciiTheme="minorHAnsi" w:hAnsiTheme="minorHAnsi" w:cstheme="minorHAnsi"/>
          <w:lang w:val="en-US"/>
        </w:rPr>
        <w:t xml:space="preserve"> </w:t>
      </w:r>
      <w:r w:rsidRPr="00B27A1C">
        <w:rPr>
          <w:rFonts w:asciiTheme="minorHAnsi" w:hAnsiTheme="minorHAnsi" w:cstheme="minorHAnsi"/>
          <w:i/>
          <w:iCs/>
          <w:lang w:val="en-US"/>
        </w:rPr>
        <w:t>11</w:t>
      </w:r>
      <w:r w:rsidR="00292B29" w:rsidRPr="005A464E">
        <w:rPr>
          <w:rFonts w:asciiTheme="minorHAnsi" w:hAnsiTheme="minorHAnsi" w:cstheme="minorHAnsi"/>
          <w:lang w:val="en-US"/>
        </w:rPr>
        <w:t>, 159-166.</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Klang, B., Björvell, H., Berglund, J., Sundstedt, C., &amp; Clyne, N. (1998). Predialysis patient education: effects on functioning and well-being in uraemic patients.</w:t>
      </w:r>
      <w:r w:rsidRPr="005A464E">
        <w:rPr>
          <w:rStyle w:val="apple-converted-space"/>
          <w:rFonts w:asciiTheme="minorHAnsi" w:hAnsiTheme="minorHAnsi" w:cstheme="minorHAnsi"/>
          <w:lang w:val="en-US"/>
        </w:rPr>
        <w:t> </w:t>
      </w:r>
      <w:r w:rsidR="00617224" w:rsidRPr="005A464E">
        <w:rPr>
          <w:rFonts w:asciiTheme="minorHAnsi" w:hAnsiTheme="minorHAnsi" w:cstheme="minorHAnsi"/>
          <w:i/>
          <w:iCs/>
          <w:lang w:val="en-US"/>
        </w:rPr>
        <w:t>Journal o</w:t>
      </w:r>
      <w:r w:rsidRPr="005A464E">
        <w:rPr>
          <w:rFonts w:asciiTheme="minorHAnsi" w:hAnsiTheme="minorHAnsi" w:cstheme="minorHAnsi"/>
          <w:i/>
          <w:iCs/>
          <w:lang w:val="en-US"/>
        </w:rPr>
        <w:t>f Advanced Nursing</w:t>
      </w:r>
      <w:r w:rsidRPr="005A464E">
        <w:rPr>
          <w:rFonts w:asciiTheme="minorHAnsi" w:hAnsiTheme="minorHAnsi" w:cstheme="minorHAnsi"/>
          <w:lang w:val="en-US"/>
        </w:rPr>
        <w:t>,</w:t>
      </w:r>
      <w:r w:rsidR="0078495A">
        <w:rPr>
          <w:rStyle w:val="apple-converted-space"/>
          <w:rFonts w:asciiTheme="minorHAnsi" w:hAnsiTheme="minorHAnsi" w:cstheme="minorHAnsi"/>
          <w:lang w:val="en-US"/>
        </w:rPr>
        <w:t xml:space="preserve"> </w:t>
      </w:r>
      <w:r w:rsidRPr="00B27A1C">
        <w:rPr>
          <w:rFonts w:asciiTheme="minorHAnsi" w:hAnsiTheme="minorHAnsi" w:cstheme="minorHAnsi"/>
          <w:i/>
          <w:iCs/>
          <w:lang w:val="en-US"/>
        </w:rPr>
        <w:t>28</w:t>
      </w:r>
      <w:r w:rsidRPr="00B27A1C">
        <w:rPr>
          <w:rFonts w:asciiTheme="minorHAnsi" w:hAnsiTheme="minorHAnsi" w:cstheme="minorHAnsi"/>
          <w:i/>
          <w:lang w:val="en-US"/>
        </w:rPr>
        <w:t>,</w:t>
      </w:r>
      <w:r w:rsidRPr="005A464E">
        <w:rPr>
          <w:rFonts w:asciiTheme="minorHAnsi" w:hAnsiTheme="minorHAnsi" w:cstheme="minorHAnsi"/>
          <w:lang w:val="en-US"/>
        </w:rPr>
        <w:t xml:space="preserve"> 36-44</w:t>
      </w:r>
      <w:r w:rsidR="00BC4DDB" w:rsidRPr="005A464E">
        <w:rPr>
          <w:rFonts w:asciiTheme="minorHAnsi" w:hAnsiTheme="minorHAnsi"/>
          <w:lang w:val="en-US"/>
        </w:rPr>
        <w:t>.</w:t>
      </w:r>
    </w:p>
    <w:p w:rsidR="006579D3"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Kleinsinger, F. (2003).</w:t>
      </w:r>
      <w:r w:rsidR="0078495A">
        <w:rPr>
          <w:rFonts w:asciiTheme="minorHAnsi" w:hAnsiTheme="minorHAnsi" w:cstheme="minorHAnsi"/>
          <w:lang w:val="en-US"/>
        </w:rPr>
        <w:t xml:space="preserve"> </w:t>
      </w:r>
      <w:r w:rsidRPr="005A464E">
        <w:rPr>
          <w:rFonts w:asciiTheme="minorHAnsi" w:hAnsiTheme="minorHAnsi" w:cstheme="minorHAnsi"/>
          <w:lang w:val="en-US"/>
        </w:rPr>
        <w:t xml:space="preserve">Understanding noncompliant behavior: Definitions and Causes. </w:t>
      </w:r>
      <w:r w:rsidRPr="005A464E">
        <w:rPr>
          <w:rFonts w:asciiTheme="minorHAnsi" w:hAnsiTheme="minorHAnsi" w:cstheme="minorHAnsi"/>
          <w:i/>
          <w:lang w:val="en-US"/>
        </w:rPr>
        <w:t>Permanente Journal</w:t>
      </w:r>
      <w:r w:rsidRPr="00B27A1C">
        <w:rPr>
          <w:rFonts w:asciiTheme="minorHAnsi" w:hAnsiTheme="minorHAnsi" w:cstheme="minorHAnsi"/>
          <w:lang w:val="en-US"/>
        </w:rPr>
        <w:t>,</w:t>
      </w:r>
      <w:r w:rsidR="00B27A1C" w:rsidRPr="00B27A1C">
        <w:rPr>
          <w:rFonts w:asciiTheme="minorHAnsi" w:hAnsiTheme="minorHAnsi" w:cstheme="minorHAnsi"/>
          <w:lang w:val="en-US"/>
        </w:rPr>
        <w:t xml:space="preserve"> 7</w:t>
      </w:r>
      <w:r w:rsidRPr="00B27A1C">
        <w:rPr>
          <w:rFonts w:asciiTheme="minorHAnsi" w:hAnsiTheme="minorHAnsi" w:cstheme="minorHAnsi"/>
          <w:lang w:val="en-US"/>
        </w:rPr>
        <w:t>,</w:t>
      </w:r>
      <w:r w:rsidRPr="005A464E">
        <w:rPr>
          <w:rFonts w:asciiTheme="minorHAnsi" w:hAnsiTheme="minorHAnsi" w:cstheme="minorHAnsi"/>
          <w:lang w:val="en-US"/>
        </w:rPr>
        <w:t xml:space="preserve"> 18-21</w:t>
      </w:r>
      <w:r w:rsidR="00BC4DDB" w:rsidRPr="005A464E">
        <w:rPr>
          <w:rFonts w:asciiTheme="minorHAnsi" w:hAnsiTheme="minorHAnsi" w:cstheme="minorHAnsi"/>
          <w:lang w:val="en-US"/>
        </w:rPr>
        <w:t>.</w:t>
      </w:r>
    </w:p>
    <w:p w:rsidR="00B84F9B" w:rsidRPr="005A464E" w:rsidRDefault="006579D3"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Knobel, H., Alonsom J., Casadom J.L., Collazosm J., Gonzálezm J., Ruiz, I., </w:t>
      </w:r>
      <w:r w:rsidR="007C2040">
        <w:rPr>
          <w:rFonts w:asciiTheme="minorHAnsi" w:hAnsiTheme="minorHAnsi" w:cstheme="minorHAnsi"/>
          <w:lang w:val="en-US"/>
        </w:rPr>
        <w:t xml:space="preserve">… </w:t>
      </w:r>
      <w:r w:rsidRPr="005A464E">
        <w:rPr>
          <w:rFonts w:asciiTheme="minorHAnsi" w:hAnsiTheme="minorHAnsi" w:cstheme="minorHAnsi"/>
          <w:lang w:val="en-US"/>
        </w:rPr>
        <w:t xml:space="preserve">&amp; Ocampo, A. (2002). Validation of a simplified medication adherence questionnaire in a large cohort of HIV-infected patients: the GEEMA Study. </w:t>
      </w:r>
      <w:r w:rsidRPr="005A464E">
        <w:rPr>
          <w:rFonts w:asciiTheme="minorHAnsi" w:hAnsiTheme="minorHAnsi" w:cstheme="minorHAnsi"/>
          <w:i/>
          <w:lang w:val="en-US"/>
        </w:rPr>
        <w:t>AIDS.</w:t>
      </w:r>
      <w:r w:rsidR="00B27A1C">
        <w:rPr>
          <w:rFonts w:asciiTheme="minorHAnsi" w:hAnsiTheme="minorHAnsi" w:cstheme="minorHAnsi"/>
          <w:lang w:val="en-US"/>
        </w:rPr>
        <w:t xml:space="preserve"> </w:t>
      </w:r>
      <w:r w:rsidR="00B27A1C" w:rsidRPr="00B27A1C">
        <w:rPr>
          <w:rFonts w:asciiTheme="minorHAnsi" w:hAnsiTheme="minorHAnsi" w:cstheme="minorHAnsi"/>
          <w:i/>
          <w:lang w:val="en-US"/>
        </w:rPr>
        <w:t>16</w:t>
      </w:r>
      <w:r w:rsidR="00B27A1C">
        <w:rPr>
          <w:rFonts w:asciiTheme="minorHAnsi" w:hAnsiTheme="minorHAnsi" w:cstheme="minorHAnsi"/>
          <w:lang w:val="en-US"/>
        </w:rPr>
        <w:t>,</w:t>
      </w:r>
      <w:r w:rsidRPr="005A464E">
        <w:rPr>
          <w:rFonts w:asciiTheme="minorHAnsi" w:hAnsiTheme="minorHAnsi" w:cstheme="minorHAnsi"/>
          <w:lang w:val="en-US"/>
        </w:rPr>
        <w:t>605-</w:t>
      </w:r>
      <w:r w:rsidR="00B27A1C">
        <w:rPr>
          <w:rFonts w:asciiTheme="minorHAnsi" w:hAnsiTheme="minorHAnsi" w:cstheme="minorHAnsi"/>
          <w:lang w:val="en-US"/>
        </w:rPr>
        <w:t>6</w:t>
      </w:r>
      <w:r w:rsidRPr="005A464E">
        <w:rPr>
          <w:rFonts w:asciiTheme="minorHAnsi" w:hAnsiTheme="minorHAnsi" w:cstheme="minorHAnsi"/>
          <w:lang w:val="en-US"/>
        </w:rPr>
        <w:t>13.</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Knopf, J., Hornung, R., Slap, G., DeVellis, R., &amp; Britto, M. (2008). Views of treatment decision making from adolescents with chronic illne</w:t>
      </w:r>
      <w:r w:rsidR="00B84F9B" w:rsidRPr="005A464E">
        <w:rPr>
          <w:rFonts w:asciiTheme="minorHAnsi" w:hAnsiTheme="minorHAnsi" w:cstheme="minorHAnsi"/>
          <w:lang w:val="en-US"/>
        </w:rPr>
        <w:t xml:space="preserve">sses and </w:t>
      </w:r>
      <w:r w:rsidR="00AD3C44" w:rsidRPr="005A464E">
        <w:rPr>
          <w:rFonts w:asciiTheme="minorHAnsi" w:hAnsiTheme="minorHAnsi" w:cstheme="minorHAnsi"/>
          <w:lang w:val="en-US"/>
        </w:rPr>
        <w:t xml:space="preserve">their parents a pilot </w:t>
      </w:r>
      <w:r w:rsidRPr="005A464E">
        <w:rPr>
          <w:rFonts w:asciiTheme="minorHAnsi" w:hAnsiTheme="minorHAnsi" w:cstheme="minorHAnsi"/>
          <w:lang w:val="en-US"/>
        </w:rPr>
        <w:t>study.</w:t>
      </w:r>
      <w:r w:rsidR="00B84F9B" w:rsidRPr="005A464E">
        <w:rPr>
          <w:rFonts w:asciiTheme="minorHAnsi" w:hAnsiTheme="minorHAnsi" w:cstheme="minorHAnsi"/>
          <w:lang w:val="en-US"/>
        </w:rPr>
        <w:t xml:space="preserve"> </w:t>
      </w:r>
      <w:r w:rsidR="00B84F9B" w:rsidRPr="005A464E">
        <w:rPr>
          <w:rFonts w:asciiTheme="minorHAnsi" w:hAnsiTheme="minorHAnsi" w:cstheme="minorHAnsi"/>
          <w:i/>
          <w:iCs/>
          <w:lang w:val="en-US"/>
        </w:rPr>
        <w:t xml:space="preserve">Health </w:t>
      </w:r>
      <w:r w:rsidRPr="005A464E">
        <w:rPr>
          <w:rFonts w:asciiTheme="minorHAnsi" w:hAnsiTheme="minorHAnsi" w:cstheme="minorHAnsi"/>
          <w:i/>
          <w:iCs/>
          <w:lang w:val="en-US"/>
        </w:rPr>
        <w:t>Expectations</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B27A1C">
        <w:rPr>
          <w:rFonts w:asciiTheme="minorHAnsi" w:hAnsiTheme="minorHAnsi" w:cstheme="minorHAnsi"/>
          <w:i/>
          <w:iCs/>
          <w:lang w:val="en-US"/>
        </w:rPr>
        <w:t>11</w:t>
      </w:r>
      <w:r w:rsidR="00B84F9B" w:rsidRPr="005A464E">
        <w:rPr>
          <w:rFonts w:asciiTheme="minorHAnsi" w:hAnsiTheme="minorHAnsi" w:cstheme="minorHAnsi"/>
          <w:lang w:val="en-US"/>
        </w:rPr>
        <w:t>,</w:t>
      </w:r>
      <w:r w:rsidR="00B27A1C">
        <w:rPr>
          <w:rFonts w:asciiTheme="minorHAnsi" w:hAnsiTheme="minorHAnsi" w:cstheme="minorHAnsi"/>
          <w:lang w:val="en-US"/>
        </w:rPr>
        <w:t xml:space="preserve"> </w:t>
      </w:r>
      <w:r w:rsidRPr="005A464E">
        <w:rPr>
          <w:rFonts w:asciiTheme="minorHAnsi" w:hAnsiTheme="minorHAnsi" w:cstheme="minorHAnsi"/>
          <w:lang w:val="en-US"/>
        </w:rPr>
        <w:t>343-354. http://dx.</w:t>
      </w:r>
      <w:r w:rsidR="00292B29" w:rsidRPr="005A464E">
        <w:rPr>
          <w:rFonts w:asciiTheme="minorHAnsi" w:hAnsiTheme="minorHAnsi" w:cstheme="minorHAnsi"/>
          <w:lang w:val="en-US"/>
        </w:rPr>
        <w:t>DOI</w:t>
      </w:r>
      <w:r w:rsidRPr="005A464E">
        <w:rPr>
          <w:rFonts w:asciiTheme="minorHAnsi" w:hAnsiTheme="minorHAnsi" w:cstheme="minorHAnsi"/>
          <w:lang w:val="en-US"/>
        </w:rPr>
        <w:t>.org/10.1111/j.1369-7625.2008.00508.x</w:t>
      </w:r>
      <w:r w:rsidR="00B84F9B" w:rsidRPr="005A464E">
        <w:rPr>
          <w:rFonts w:asciiTheme="minorHAnsi" w:hAnsiTheme="minorHAnsi" w:cs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Ko, B., Khurana, A., Spencer, J., Scott, B., Hahn, M., &amp; Hammes, M. (2007). Religious beliefs and quali</w:t>
      </w:r>
      <w:r w:rsidR="00617224" w:rsidRPr="005A464E">
        <w:rPr>
          <w:rFonts w:asciiTheme="minorHAnsi" w:hAnsiTheme="minorHAnsi" w:cstheme="minorHAnsi"/>
          <w:lang w:val="en-US"/>
        </w:rPr>
        <w:t>ty of life in an American inner-city</w:t>
      </w:r>
      <w:r w:rsidRPr="005A464E">
        <w:rPr>
          <w:rFonts w:asciiTheme="minorHAnsi" w:hAnsiTheme="minorHAnsi" w:cstheme="minorHAnsi"/>
          <w:lang w:val="en-US"/>
        </w:rPr>
        <w:t xml:space="preserve"> haemodialysis population.</w:t>
      </w:r>
      <w:r w:rsidR="0078495A">
        <w:rPr>
          <w:rStyle w:val="apple-converted-space"/>
          <w:rFonts w:asciiTheme="minorHAnsi" w:hAnsiTheme="minorHAnsi" w:cstheme="minorHAnsi"/>
          <w:lang w:val="en-US"/>
        </w:rPr>
        <w:t xml:space="preserve"> </w:t>
      </w:r>
      <w:r w:rsidR="00BB4BB3" w:rsidRPr="005A464E">
        <w:rPr>
          <w:rFonts w:asciiTheme="minorHAnsi" w:hAnsiTheme="minorHAnsi" w:cstheme="minorHAnsi"/>
          <w:i/>
          <w:iCs/>
          <w:lang w:val="en-US"/>
        </w:rPr>
        <w:t>Nephrology Dialysis</w:t>
      </w:r>
      <w:r w:rsidR="00B84F9B" w:rsidRPr="005A464E">
        <w:rPr>
          <w:rFonts w:asciiTheme="minorHAnsi" w:hAnsiTheme="minorHAnsi" w:cstheme="minorHAnsi"/>
          <w:i/>
          <w:iCs/>
          <w:lang w:val="en-US"/>
        </w:rPr>
        <w:t xml:space="preserve"> </w:t>
      </w:r>
      <w:r w:rsidRPr="005A464E">
        <w:rPr>
          <w:rFonts w:asciiTheme="minorHAnsi" w:hAnsiTheme="minorHAnsi" w:cstheme="minorHAnsi"/>
          <w:i/>
          <w:iCs/>
          <w:lang w:val="en-US"/>
        </w:rPr>
        <w:t>Transplantation</w:t>
      </w:r>
      <w:r w:rsidRPr="00B27A1C">
        <w:rPr>
          <w:rFonts w:asciiTheme="minorHAnsi" w:hAnsiTheme="minorHAnsi" w:cstheme="minorHAnsi"/>
          <w:i/>
          <w:lang w:val="en-US"/>
        </w:rPr>
        <w:t>,</w:t>
      </w:r>
      <w:r w:rsidR="0078495A">
        <w:rPr>
          <w:rStyle w:val="apple-converted-space"/>
          <w:rFonts w:asciiTheme="minorHAnsi" w:hAnsiTheme="minorHAnsi" w:cstheme="minorHAnsi"/>
          <w:i/>
          <w:lang w:val="en-US"/>
        </w:rPr>
        <w:t xml:space="preserve"> </w:t>
      </w:r>
      <w:r w:rsidRPr="00B27A1C">
        <w:rPr>
          <w:rFonts w:asciiTheme="minorHAnsi" w:hAnsiTheme="minorHAnsi" w:cstheme="minorHAnsi"/>
          <w:i/>
          <w:iCs/>
          <w:lang w:val="en-US"/>
        </w:rPr>
        <w:t>22</w:t>
      </w:r>
      <w:r w:rsidR="00B84F9B" w:rsidRPr="00B27A1C">
        <w:rPr>
          <w:rFonts w:asciiTheme="minorHAnsi" w:hAnsiTheme="minorHAnsi" w:cstheme="minorHAnsi"/>
          <w:i/>
          <w:lang w:val="en-US"/>
        </w:rPr>
        <w:t>,</w:t>
      </w:r>
      <w:r w:rsidR="00B27A1C">
        <w:rPr>
          <w:rFonts w:asciiTheme="minorHAnsi" w:hAnsiTheme="minorHAnsi" w:cstheme="minorHAnsi"/>
          <w:i/>
          <w:lang w:val="en-US"/>
        </w:rPr>
        <w:t xml:space="preserve"> </w:t>
      </w:r>
      <w:r w:rsidRPr="005A464E">
        <w:rPr>
          <w:rFonts w:asciiTheme="minorHAnsi" w:hAnsiTheme="minorHAnsi" w:cstheme="minorHAnsi"/>
          <w:lang w:val="en-US"/>
        </w:rPr>
        <w:t>2985-2990.</w:t>
      </w:r>
      <w:r w:rsidR="0078495A">
        <w:rPr>
          <w:rFonts w:asciiTheme="minorHAnsi" w:hAnsiTheme="minorHAnsi" w:cstheme="minorHAnsi"/>
          <w:lang w:val="en-US"/>
        </w:rPr>
        <w:t xml:space="preserve"> </w:t>
      </w:r>
      <w:r w:rsidR="00B84F9B" w:rsidRPr="005A464E">
        <w:rPr>
          <w:rFonts w:asciiTheme="minorHAnsi" w:hAnsiTheme="minorHAnsi" w:cstheme="minorHAnsi"/>
          <w:lang w:val="en-US"/>
        </w:rPr>
        <w:t xml:space="preserve"> </w:t>
      </w:r>
      <w:hyperlink r:id="rId243"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.org/10.1093/ndt/gfm341</w:t>
        </w:r>
      </w:hyperlink>
      <w:r w:rsidR="00B84F9B" w:rsidRPr="005A464E">
        <w:rPr>
          <w:rFonts w:asciiTheme="minorHAnsi" w:hAnsiTheme="minorHAnsi"/>
          <w:lang w:val="en-US"/>
        </w:rPr>
        <w:t>.</w:t>
      </w:r>
    </w:p>
    <w:p w:rsidR="00617224"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Koo, J., Yoon, J., Kim, S., L</w:t>
      </w:r>
      <w:r w:rsidR="007C2040">
        <w:rPr>
          <w:rFonts w:asciiTheme="minorHAnsi" w:hAnsiTheme="minorHAnsi" w:cstheme="minorHAnsi"/>
          <w:lang w:val="en-US"/>
        </w:rPr>
        <w:t>ee, Y., Oh, K.,</w:t>
      </w:r>
      <w:r w:rsidR="00B84F9B" w:rsidRPr="005A464E">
        <w:rPr>
          <w:rFonts w:asciiTheme="minorHAnsi" w:hAnsiTheme="minorHAnsi" w:cstheme="minorHAnsi"/>
          <w:lang w:val="en-US"/>
        </w:rPr>
        <w:t xml:space="preserve"> Kim, H.G</w:t>
      </w:r>
      <w:r w:rsidR="00B84F9B" w:rsidRPr="007C2040">
        <w:rPr>
          <w:rFonts w:asciiTheme="minorHAnsi" w:hAnsiTheme="minorHAnsi" w:cstheme="minorHAnsi"/>
          <w:lang w:val="en-US"/>
        </w:rPr>
        <w:t>.,</w:t>
      </w:r>
      <w:r w:rsidR="00B84F9B" w:rsidRPr="007C2040">
        <w:rPr>
          <w:rFonts w:asciiTheme="minorHAnsi" w:hAnsiTheme="minorHAnsi"/>
          <w:lang w:val="en-US"/>
        </w:rPr>
        <w:t xml:space="preserve"> </w:t>
      </w:r>
      <w:r w:rsidR="007C2040" w:rsidRPr="007C2040">
        <w:rPr>
          <w:rFonts w:asciiTheme="minorHAnsi" w:hAnsiTheme="minorHAnsi"/>
          <w:lang w:val="en-US"/>
        </w:rPr>
        <w:t xml:space="preserve">… </w:t>
      </w:r>
      <w:r w:rsidR="00B84F9B" w:rsidRPr="007C2040">
        <w:rPr>
          <w:rFonts w:asciiTheme="minorHAnsi" w:hAnsiTheme="minorHAnsi" w:cstheme="minorHAnsi"/>
          <w:shd w:val="clear" w:color="auto" w:fill="FFFFFF"/>
          <w:lang w:val="en-US"/>
        </w:rPr>
        <w:t>&amp;</w:t>
      </w:r>
      <w:r w:rsidR="00B84F9B" w:rsidRPr="005A464E">
        <w:rPr>
          <w:rFonts w:asciiTheme="minorHAnsi" w:hAnsiTheme="minorHAnsi" w:cstheme="minorHAnsi"/>
          <w:shd w:val="clear" w:color="auto" w:fill="FFFFFF"/>
          <w:lang w:val="en-US"/>
        </w:rPr>
        <w:t xml:space="preserve"> </w:t>
      </w:r>
      <w:hyperlink r:id="rId244" w:history="1">
        <w:r w:rsidR="00B84F9B" w:rsidRPr="005A464E">
          <w:rPr>
            <w:rStyle w:val="-"/>
            <w:rFonts w:asciiTheme="minorHAnsi" w:hAnsiTheme="minorHAnsi" w:cstheme="minorHAnsi"/>
            <w:color w:val="auto"/>
            <w:u w:val="none"/>
            <w:shd w:val="clear" w:color="auto" w:fill="FFFFFF"/>
            <w:lang w:val="en-US"/>
          </w:rPr>
          <w:t>Son, B.K</w:t>
        </w:r>
      </w:hyperlink>
      <w:r w:rsidR="00B84F9B" w:rsidRPr="005A464E">
        <w:rPr>
          <w:rFonts w:asciiTheme="minorHAnsi" w:hAnsiTheme="minorHAnsi" w:cstheme="minorHAnsi"/>
          <w:shd w:val="clear" w:color="auto" w:fill="FFFFFF"/>
          <w:lang w:val="en-US"/>
        </w:rPr>
        <w:t>.</w:t>
      </w:r>
      <w:r w:rsidRPr="005A464E">
        <w:rPr>
          <w:rFonts w:asciiTheme="minorHAnsi" w:hAnsiTheme="minorHAnsi" w:cstheme="minorHAnsi"/>
          <w:lang w:val="en-US"/>
        </w:rPr>
        <w:t xml:space="preserve"> (2003). Association of depression with malnutrition in chronic hemodialysis patients.</w:t>
      </w:r>
      <w:r w:rsidRPr="005A464E">
        <w:rPr>
          <w:rStyle w:val="apple-converted-space"/>
          <w:rFonts w:asciiTheme="minorHAnsi" w:hAnsiTheme="minorHAnsi" w:cstheme="minorHAnsi"/>
          <w:lang w:val="en-US"/>
        </w:rPr>
        <w:t> </w:t>
      </w:r>
      <w:r w:rsidR="00617224" w:rsidRPr="005A464E">
        <w:rPr>
          <w:rFonts w:asciiTheme="minorHAnsi" w:hAnsiTheme="minorHAnsi" w:cstheme="minorHAnsi"/>
          <w:i/>
          <w:iCs/>
          <w:lang w:val="en-US"/>
        </w:rPr>
        <w:t>American Journal o</w:t>
      </w:r>
      <w:r w:rsidRPr="005A464E">
        <w:rPr>
          <w:rFonts w:asciiTheme="minorHAnsi" w:hAnsiTheme="minorHAnsi" w:cstheme="minorHAnsi"/>
          <w:i/>
          <w:iCs/>
          <w:lang w:val="en-US"/>
        </w:rPr>
        <w:t>f Kidney Diseases</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00B27A1C" w:rsidRPr="00B27A1C">
        <w:rPr>
          <w:rFonts w:asciiTheme="minorHAnsi" w:hAnsiTheme="minorHAnsi" w:cstheme="minorHAnsi"/>
          <w:i/>
          <w:iCs/>
          <w:lang w:val="en-US"/>
        </w:rPr>
        <w:t>41</w:t>
      </w:r>
      <w:r w:rsidRPr="00B27A1C">
        <w:rPr>
          <w:rFonts w:asciiTheme="minorHAnsi" w:hAnsiTheme="minorHAnsi" w:cstheme="minorHAnsi"/>
          <w:i/>
          <w:lang w:val="en-US"/>
        </w:rPr>
        <w:t>,</w:t>
      </w:r>
      <w:r w:rsidRPr="005A464E">
        <w:rPr>
          <w:rFonts w:asciiTheme="minorHAnsi" w:hAnsiTheme="minorHAnsi" w:cstheme="minorHAnsi"/>
          <w:lang w:val="en-US"/>
        </w:rPr>
        <w:t xml:space="preserve">1037-1042. </w:t>
      </w:r>
      <w:hyperlink r:id="rId245" w:history="1">
        <w:r w:rsidR="00617224"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00617224" w:rsidRPr="005A464E">
          <w:rPr>
            <w:rStyle w:val="-"/>
            <w:rFonts w:asciiTheme="minorHAnsi" w:hAnsiTheme="minorHAnsi" w:cstheme="minorHAnsi"/>
            <w:color w:val="auto"/>
            <w:u w:val="none"/>
            <w:lang w:val="en-US"/>
          </w:rPr>
          <w:t>.org/10.1016/s0272-6386(03)00201-4</w:t>
        </w:r>
      </w:hyperlink>
      <w:r w:rsidR="00B84F9B"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Korevaar, J.C., Jansen, M.A., Merkus, M.P., Dekker, F.W., Boeschoten, E.W., &amp; Krediet, R.T. (2002). Quality of life in predialysis end-stage renal disease patients at the initiation of dialysis therapy. The NECOSAD Study Group. </w:t>
      </w:r>
      <w:r w:rsidRPr="005A464E">
        <w:rPr>
          <w:rFonts w:asciiTheme="minorHAnsi" w:hAnsiTheme="minorHAnsi" w:cstheme="minorHAnsi"/>
          <w:i/>
          <w:iCs/>
          <w:lang w:val="en-US"/>
        </w:rPr>
        <w:t>Peritoneal Dialysis International,</w:t>
      </w:r>
      <w:r w:rsidRPr="005A464E">
        <w:rPr>
          <w:rFonts w:asciiTheme="minorHAnsi" w:hAnsiTheme="minorHAnsi" w:cstheme="minorHAnsi"/>
          <w:iCs/>
          <w:lang w:val="en-US"/>
        </w:rPr>
        <w:t xml:space="preserve"> </w:t>
      </w:r>
      <w:r w:rsidRPr="00B27A1C">
        <w:rPr>
          <w:rFonts w:asciiTheme="minorHAnsi" w:hAnsiTheme="minorHAnsi" w:cstheme="minorHAnsi"/>
          <w:i/>
          <w:iCs/>
          <w:lang w:val="en-US"/>
        </w:rPr>
        <w:t>20</w:t>
      </w:r>
      <w:r w:rsidRPr="00B27A1C">
        <w:rPr>
          <w:rFonts w:asciiTheme="minorHAnsi" w:hAnsiTheme="minorHAnsi" w:cstheme="minorHAnsi"/>
          <w:i/>
          <w:lang w:val="en-US"/>
        </w:rPr>
        <w:t>,</w:t>
      </w:r>
      <w:r w:rsidRPr="005A464E">
        <w:rPr>
          <w:rFonts w:asciiTheme="minorHAnsi" w:hAnsiTheme="minorHAnsi" w:cstheme="minorHAnsi"/>
          <w:lang w:val="en-US"/>
        </w:rPr>
        <w:t xml:space="preserve"> 69-75</w:t>
      </w:r>
      <w:r w:rsidR="00B84F9B" w:rsidRPr="005A464E">
        <w:rPr>
          <w:rFonts w:asciiTheme="minorHAnsi" w:hAnsiTheme="minorHAnsi" w:cstheme="minorHAnsi"/>
          <w:lang w:val="en-US"/>
        </w:rPr>
        <w:t>.</w:t>
      </w:r>
    </w:p>
    <w:p w:rsidR="003C410F" w:rsidRDefault="003C410F" w:rsidP="005A464E">
      <w:pPr>
        <w:pStyle w:val="Web"/>
        <w:spacing w:after="156" w:line="360" w:lineRule="auto"/>
        <w:ind w:left="389" w:hanging="389"/>
        <w:jc w:val="both"/>
        <w:rPr>
          <w:rFonts w:asciiTheme="minorHAnsi" w:hAnsiTheme="minorHAnsi" w:cstheme="minorHAnsi"/>
          <w:lang w:val="en-US"/>
        </w:rPr>
      </w:pPr>
      <w:r w:rsidRPr="005A464E">
        <w:rPr>
          <w:rFonts w:asciiTheme="minorHAnsi" w:hAnsiTheme="minorHAnsi" w:cstheme="minorHAnsi"/>
          <w:lang w:val="en-US"/>
        </w:rPr>
        <w:t>Kremer, H., Ironson, G., Schneiderman, N., &amp; Hau</w:t>
      </w:r>
      <w:r w:rsidR="00B84F9B" w:rsidRPr="005A464E">
        <w:rPr>
          <w:rFonts w:asciiTheme="minorHAnsi" w:hAnsiTheme="minorHAnsi" w:cstheme="minorHAnsi"/>
          <w:lang w:val="en-US"/>
        </w:rPr>
        <w:t>tzinger, M. (2007). “It's My Body”</w:t>
      </w:r>
      <w:r w:rsidRPr="005A464E">
        <w:rPr>
          <w:rFonts w:asciiTheme="minorHAnsi" w:hAnsiTheme="minorHAnsi" w:cstheme="minorHAnsi"/>
          <w:lang w:val="en-US"/>
        </w:rPr>
        <w:t xml:space="preserve">: Does </w:t>
      </w:r>
      <w:r w:rsidR="00B84F9B" w:rsidRPr="005A464E">
        <w:rPr>
          <w:rFonts w:asciiTheme="minorHAnsi" w:hAnsiTheme="minorHAnsi" w:cstheme="minorHAnsi"/>
          <w:lang w:val="en-US"/>
        </w:rPr>
        <w:t>patient involvement in decision making reduce decisional conflic</w:t>
      </w:r>
      <w:r w:rsidRPr="005A464E">
        <w:rPr>
          <w:rFonts w:asciiTheme="minorHAnsi" w:hAnsiTheme="minorHAnsi" w:cstheme="minorHAnsi"/>
          <w:lang w:val="en-US"/>
        </w:rPr>
        <w:t>t?.</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Medical Decision Making</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5A464E">
        <w:rPr>
          <w:rFonts w:asciiTheme="minorHAnsi" w:hAnsiTheme="minorHAnsi" w:cstheme="minorHAnsi"/>
          <w:iCs/>
          <w:lang w:val="en-US"/>
        </w:rPr>
        <w:t>27</w:t>
      </w:r>
      <w:r w:rsidRPr="005A464E">
        <w:rPr>
          <w:rFonts w:asciiTheme="minorHAnsi" w:hAnsiTheme="minorHAnsi" w:cstheme="minorHAnsi"/>
          <w:lang w:val="en-US"/>
        </w:rPr>
        <w:t xml:space="preserve">, 522-532. </w:t>
      </w:r>
      <w:hyperlink r:id="rId246" w:history="1">
        <w:r w:rsidR="007C3D2F" w:rsidRPr="00D022F1">
          <w:rPr>
            <w:rStyle w:val="-"/>
            <w:rFonts w:asciiTheme="minorHAnsi" w:hAnsiTheme="minorHAnsi" w:cstheme="minorHAnsi"/>
            <w:lang w:val="en-US"/>
          </w:rPr>
          <w:t>http://dx.DOI.org/10.1177/0272989x07306782</w:t>
        </w:r>
      </w:hyperlink>
      <w:r w:rsidR="00B84F9B" w:rsidRPr="005A464E">
        <w:rPr>
          <w:rFonts w:asciiTheme="minorHAnsi" w:hAnsiTheme="minorHAnsi" w:cstheme="minorHAnsi"/>
          <w:lang w:val="en-US"/>
        </w:rPr>
        <w:t>.</w:t>
      </w:r>
    </w:p>
    <w:p w:rsidR="007C3D2F" w:rsidRPr="007C3D2F" w:rsidRDefault="007C3D2F" w:rsidP="005A464E">
      <w:pPr>
        <w:pStyle w:val="Web"/>
        <w:spacing w:after="156" w:line="360" w:lineRule="auto"/>
        <w:ind w:left="389" w:hanging="389"/>
        <w:jc w:val="both"/>
        <w:rPr>
          <w:rFonts w:asciiTheme="minorHAnsi" w:hAnsiTheme="minorHAnsi" w:cstheme="minorHAnsi"/>
          <w:lang w:val="en-US"/>
        </w:rPr>
      </w:pPr>
      <w:r>
        <w:rPr>
          <w:rFonts w:asciiTheme="minorHAnsi" w:hAnsiTheme="minorHAnsi" w:cstheme="minorHAnsi"/>
          <w:shd w:val="clear" w:color="auto" w:fill="FFFFFF"/>
          <w:lang w:val="en-US"/>
        </w:rPr>
        <w:t>Krishnan, A.R., Trinder, D., Chua, A.C., Chakera, A., Ramm, G.A., &amp; Olynyk, J.</w:t>
      </w:r>
      <w:r w:rsidRPr="007C3D2F">
        <w:rPr>
          <w:rFonts w:asciiTheme="minorHAnsi" w:hAnsiTheme="minorHAnsi" w:cstheme="minorHAnsi"/>
          <w:shd w:val="clear" w:color="auto" w:fill="FFFFFF"/>
          <w:lang w:val="en-US"/>
        </w:rPr>
        <w:t>K. (2017). Anaemia of chronic kidney disease: What We Know Now. </w:t>
      </w:r>
      <w:r w:rsidRPr="007C3D2F">
        <w:rPr>
          <w:rFonts w:asciiTheme="minorHAnsi" w:hAnsiTheme="minorHAnsi" w:cstheme="minorHAnsi"/>
          <w:i/>
          <w:iCs/>
          <w:shd w:val="clear" w:color="auto" w:fill="FFFFFF"/>
          <w:lang w:val="en-US"/>
        </w:rPr>
        <w:t>Journal of Renal and Hepatic Disorders</w:t>
      </w:r>
      <w:r w:rsidRPr="007C3D2F">
        <w:rPr>
          <w:rFonts w:asciiTheme="minorHAnsi" w:hAnsiTheme="minorHAnsi" w:cstheme="minorHAnsi"/>
          <w:shd w:val="clear" w:color="auto" w:fill="FFFFFF"/>
          <w:lang w:val="en-US"/>
        </w:rPr>
        <w:t>, </w:t>
      </w:r>
      <w:r w:rsidRPr="007C3D2F">
        <w:rPr>
          <w:rFonts w:asciiTheme="minorHAnsi" w:hAnsiTheme="minorHAnsi" w:cstheme="minorHAnsi"/>
          <w:i/>
          <w:iCs/>
          <w:shd w:val="clear" w:color="auto" w:fill="FFFFFF"/>
          <w:lang w:val="en-US"/>
        </w:rPr>
        <w:t>1</w:t>
      </w:r>
      <w:r w:rsidRPr="007C3D2F">
        <w:rPr>
          <w:rFonts w:asciiTheme="minorHAnsi" w:hAnsiTheme="minorHAnsi" w:cstheme="minorHAnsi"/>
          <w:shd w:val="clear" w:color="auto" w:fill="FFFFFF"/>
          <w:lang w:val="en-US"/>
        </w:rPr>
        <w:t>, 11-19.</w:t>
      </w:r>
    </w:p>
    <w:p w:rsidR="003C410F" w:rsidRPr="005A464E" w:rsidRDefault="003C410F" w:rsidP="005A464E">
      <w:pPr>
        <w:pStyle w:val="Web"/>
        <w:spacing w:after="156" w:line="360" w:lineRule="auto"/>
        <w:ind w:left="389" w:hanging="389"/>
        <w:jc w:val="both"/>
        <w:rPr>
          <w:rFonts w:asciiTheme="minorHAnsi" w:hAnsiTheme="minorHAnsi" w:cstheme="minorHAnsi"/>
          <w:lang w:val="en-US"/>
        </w:rPr>
      </w:pPr>
      <w:r w:rsidRPr="005A464E">
        <w:rPr>
          <w:rFonts w:asciiTheme="minorHAnsi" w:hAnsiTheme="minorHAnsi" w:cstheme="minorHAnsi"/>
          <w:lang w:val="en-US"/>
        </w:rPr>
        <w:t xml:space="preserve">Krousel-Wood, M., Joyce, C., Holt, E., Levitan, E., Dornelles, A., Webber, L., &amp; Muntner, P. (2013). Development and </w:t>
      </w:r>
      <w:r w:rsidR="00617224" w:rsidRPr="005A464E">
        <w:rPr>
          <w:rFonts w:asciiTheme="minorHAnsi" w:hAnsiTheme="minorHAnsi" w:cstheme="minorHAnsi"/>
          <w:lang w:val="en-US"/>
        </w:rPr>
        <w:t>evaluation of a self-report tool to predict low pharmacy refill adherence in elderly patients with uncontrolled hypertension</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00617224" w:rsidRPr="005A464E">
        <w:rPr>
          <w:rFonts w:asciiTheme="minorHAnsi" w:hAnsiTheme="minorHAnsi" w:cstheme="minorHAnsi"/>
          <w:i/>
          <w:iCs/>
          <w:lang w:val="en-US"/>
        </w:rPr>
        <w:t>Pharmacotherapy: The Journal of Human Pharmacology a</w:t>
      </w:r>
      <w:r w:rsidRPr="005A464E">
        <w:rPr>
          <w:rFonts w:asciiTheme="minorHAnsi" w:hAnsiTheme="minorHAnsi" w:cstheme="minorHAnsi"/>
          <w:i/>
          <w:iCs/>
          <w:lang w:val="en-US"/>
        </w:rPr>
        <w:t>nd Drug Therapy</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B27A1C">
        <w:rPr>
          <w:rFonts w:asciiTheme="minorHAnsi" w:hAnsiTheme="minorHAnsi" w:cstheme="minorHAnsi"/>
          <w:i/>
          <w:iCs/>
          <w:lang w:val="en-US"/>
        </w:rPr>
        <w:t>33</w:t>
      </w:r>
      <w:r w:rsidRPr="00B27A1C">
        <w:rPr>
          <w:rFonts w:asciiTheme="minorHAnsi" w:hAnsiTheme="minorHAnsi" w:cstheme="minorHAnsi"/>
          <w:i/>
          <w:lang w:val="en-US"/>
        </w:rPr>
        <w:t>,</w:t>
      </w:r>
      <w:r w:rsidRPr="005A464E">
        <w:rPr>
          <w:rFonts w:asciiTheme="minorHAnsi" w:hAnsiTheme="minorHAnsi" w:cstheme="minorHAnsi"/>
          <w:lang w:val="en-US"/>
        </w:rPr>
        <w:t xml:space="preserve"> 798-811. http://dx.</w:t>
      </w:r>
      <w:r w:rsidR="00292B29" w:rsidRPr="005A464E">
        <w:rPr>
          <w:rFonts w:asciiTheme="minorHAnsi" w:hAnsiTheme="minorHAnsi" w:cstheme="minorHAnsi"/>
          <w:lang w:val="en-US"/>
        </w:rPr>
        <w:t>DOI</w:t>
      </w:r>
      <w:r w:rsidRPr="005A464E">
        <w:rPr>
          <w:rFonts w:asciiTheme="minorHAnsi" w:hAnsiTheme="minorHAnsi" w:cstheme="minorHAnsi"/>
          <w:lang w:val="en-US"/>
        </w:rPr>
        <w:t>.org/10.1002/phar.1275</w:t>
      </w:r>
      <w:r w:rsidR="00B84F9B" w:rsidRPr="005A464E">
        <w:rPr>
          <w:rFonts w:asciiTheme="minorHAnsi" w:hAnsiTheme="minorHAnsi" w:cstheme="minorHAnsi"/>
          <w:lang w:val="en-US"/>
        </w:rPr>
        <w:t>.</w:t>
      </w:r>
    </w:p>
    <w:p w:rsidR="00994789" w:rsidRDefault="003C410F" w:rsidP="00994789">
      <w:pPr>
        <w:pStyle w:val="Web"/>
        <w:spacing w:after="156" w:line="360" w:lineRule="auto"/>
        <w:ind w:left="389" w:hanging="389"/>
        <w:jc w:val="both"/>
        <w:rPr>
          <w:rFonts w:asciiTheme="minorHAnsi" w:hAnsiTheme="minorHAnsi" w:cstheme="minorHAnsi"/>
          <w:lang w:val="en-US"/>
        </w:rPr>
      </w:pPr>
      <w:r w:rsidRPr="005A464E">
        <w:rPr>
          <w:rFonts w:asciiTheme="minorHAnsi" w:hAnsiTheme="minorHAnsi" w:cstheme="minorHAnsi"/>
          <w:lang w:val="en-US"/>
        </w:rPr>
        <w:t xml:space="preserve">Krueger, K., Berger, B., &amp; Felkey, B. (2005). Medication adherence </w:t>
      </w:r>
      <w:r w:rsidR="00AD3C44" w:rsidRPr="005A464E">
        <w:rPr>
          <w:rFonts w:asciiTheme="minorHAnsi" w:hAnsiTheme="minorHAnsi" w:cstheme="minorHAnsi"/>
          <w:lang w:val="en-US"/>
        </w:rPr>
        <w:t>and persistence.</w:t>
      </w:r>
      <w:r w:rsidRPr="005A464E">
        <w:rPr>
          <w:rFonts w:asciiTheme="minorHAnsi" w:hAnsiTheme="minorHAnsi" w:cstheme="minorHAnsi"/>
          <w:lang w:val="en-US"/>
        </w:rPr>
        <w:t xml:space="preserve"> A comprehensive review.</w:t>
      </w:r>
      <w:r w:rsidR="00B27A1C">
        <w:rPr>
          <w:rFonts w:asciiTheme="minorHAnsi" w:hAnsiTheme="minorHAnsi" w:cstheme="minorHAnsi"/>
          <w:lang w:val="en-US"/>
        </w:rPr>
        <w:t xml:space="preserve"> </w:t>
      </w:r>
      <w:r w:rsidR="00AD3C44" w:rsidRPr="005A464E">
        <w:rPr>
          <w:rFonts w:asciiTheme="minorHAnsi" w:hAnsiTheme="minorHAnsi" w:cstheme="minorHAnsi"/>
          <w:i/>
          <w:iCs/>
          <w:lang w:val="en-US"/>
        </w:rPr>
        <w:t>Advances in</w:t>
      </w:r>
      <w:r w:rsidRPr="005A464E">
        <w:rPr>
          <w:rFonts w:asciiTheme="minorHAnsi" w:hAnsiTheme="minorHAnsi" w:cstheme="minorHAnsi"/>
          <w:i/>
          <w:iCs/>
          <w:lang w:val="en-US"/>
        </w:rPr>
        <w:t xml:space="preserve"> Therapy</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B27A1C">
        <w:rPr>
          <w:rFonts w:asciiTheme="minorHAnsi" w:hAnsiTheme="minorHAnsi" w:cstheme="minorHAnsi"/>
          <w:i/>
          <w:iCs/>
          <w:lang w:val="en-US"/>
        </w:rPr>
        <w:t>22</w:t>
      </w:r>
      <w:r w:rsidR="00B27A1C">
        <w:rPr>
          <w:rFonts w:asciiTheme="minorHAnsi" w:hAnsiTheme="minorHAnsi" w:cstheme="minorHAnsi"/>
          <w:i/>
          <w:lang w:val="en-US"/>
        </w:rPr>
        <w:t>,</w:t>
      </w:r>
      <w:r w:rsidR="00AD3C44" w:rsidRPr="005A464E">
        <w:rPr>
          <w:rFonts w:asciiTheme="minorHAnsi" w:hAnsiTheme="minorHAnsi" w:cstheme="minorHAnsi"/>
          <w:lang w:val="en-US"/>
        </w:rPr>
        <w:t xml:space="preserve"> 313-356. </w:t>
      </w:r>
      <w:hyperlink r:id="rId247" w:history="1">
        <w:r w:rsidR="00994789" w:rsidRPr="00503757">
          <w:rPr>
            <w:rStyle w:val="-"/>
            <w:rFonts w:asciiTheme="minorHAnsi" w:hAnsiTheme="minorHAnsi" w:cstheme="minorHAnsi"/>
            <w:lang w:val="en-US"/>
          </w:rPr>
          <w:t>http://dx.DOI.org/10.1007/bf02850081</w:t>
        </w:r>
      </w:hyperlink>
      <w:r w:rsidR="00B84F9B" w:rsidRPr="005A464E">
        <w:rPr>
          <w:rFonts w:asciiTheme="minorHAnsi" w:hAnsiTheme="minorHAnsi" w:cstheme="minorHAnsi"/>
          <w:lang w:val="en-US"/>
        </w:rPr>
        <w:t>.</w:t>
      </w:r>
    </w:p>
    <w:p w:rsidR="00994789" w:rsidRPr="00994789" w:rsidRDefault="008F3609" w:rsidP="00994789">
      <w:pPr>
        <w:pStyle w:val="Web"/>
        <w:spacing w:after="156" w:line="360" w:lineRule="auto"/>
        <w:ind w:left="389" w:hanging="389"/>
        <w:jc w:val="both"/>
        <w:rPr>
          <w:rFonts w:asciiTheme="minorHAnsi" w:hAnsiTheme="minorHAnsi" w:cstheme="minorHAnsi"/>
          <w:lang w:val="en-US"/>
        </w:rPr>
      </w:pPr>
      <w:hyperlink r:id="rId248" w:history="1">
        <w:r w:rsidR="00994789" w:rsidRPr="00994789">
          <w:rPr>
            <w:rStyle w:val="-"/>
            <w:rFonts w:asciiTheme="minorHAnsi" w:hAnsiTheme="minorHAnsi" w:cstheme="minorHAnsi"/>
            <w:color w:val="auto"/>
            <w:u w:val="none"/>
            <w:lang w:val="en-US"/>
          </w:rPr>
          <w:t>Krysiak</w:t>
        </w:r>
        <w:r w:rsidR="00994789">
          <w:rPr>
            <w:rStyle w:val="-"/>
            <w:rFonts w:asciiTheme="minorHAnsi" w:hAnsiTheme="minorHAnsi" w:cstheme="minorHAnsi"/>
            <w:color w:val="auto"/>
            <w:u w:val="none"/>
            <w:lang w:val="en-US"/>
          </w:rPr>
          <w:t>,</w:t>
        </w:r>
        <w:r w:rsidR="00994789" w:rsidRPr="00994789">
          <w:rPr>
            <w:rStyle w:val="-"/>
            <w:rFonts w:asciiTheme="minorHAnsi" w:hAnsiTheme="minorHAnsi" w:cstheme="minorHAnsi"/>
            <w:color w:val="auto"/>
            <w:u w:val="none"/>
            <w:lang w:val="en-US"/>
          </w:rPr>
          <w:t xml:space="preserve"> R</w:t>
        </w:r>
      </w:hyperlink>
      <w:r w:rsidR="00994789">
        <w:rPr>
          <w:rFonts w:asciiTheme="minorHAnsi" w:hAnsiTheme="minorHAnsi" w:cstheme="minorHAnsi"/>
          <w:lang w:val="en-US"/>
        </w:rPr>
        <w:t xml:space="preserve">., </w:t>
      </w:r>
      <w:hyperlink r:id="rId249" w:history="1">
        <w:r w:rsidR="00994789" w:rsidRPr="00994789">
          <w:rPr>
            <w:rStyle w:val="-"/>
            <w:rFonts w:asciiTheme="minorHAnsi" w:hAnsiTheme="minorHAnsi" w:cstheme="minorHAnsi"/>
            <w:color w:val="auto"/>
            <w:u w:val="none"/>
            <w:lang w:val="en-US"/>
          </w:rPr>
          <w:t>Kędzia</w:t>
        </w:r>
        <w:r w:rsidR="00994789">
          <w:rPr>
            <w:rStyle w:val="-"/>
            <w:rFonts w:asciiTheme="minorHAnsi" w:hAnsiTheme="minorHAnsi" w:cstheme="minorHAnsi"/>
            <w:color w:val="auto"/>
            <w:u w:val="none"/>
            <w:lang w:val="en-US"/>
          </w:rPr>
          <w:t>,</w:t>
        </w:r>
        <w:r w:rsidR="00994789" w:rsidRPr="00994789">
          <w:rPr>
            <w:rStyle w:val="-"/>
            <w:rFonts w:asciiTheme="minorHAnsi" w:hAnsiTheme="minorHAnsi" w:cstheme="minorHAnsi"/>
            <w:color w:val="auto"/>
            <w:u w:val="none"/>
            <w:lang w:val="en-US"/>
          </w:rPr>
          <w:t xml:space="preserve"> A</w:t>
        </w:r>
      </w:hyperlink>
      <w:r w:rsidR="00994789">
        <w:rPr>
          <w:rFonts w:asciiTheme="minorHAnsi" w:hAnsiTheme="minorHAnsi" w:cstheme="minorHAnsi"/>
          <w:lang w:val="en-US"/>
        </w:rPr>
        <w:t>.</w:t>
      </w:r>
      <w:r w:rsidR="00994789" w:rsidRPr="00994789">
        <w:rPr>
          <w:rFonts w:asciiTheme="minorHAnsi" w:hAnsiTheme="minorHAnsi" w:cstheme="minorHAnsi"/>
          <w:lang w:val="en-US"/>
        </w:rPr>
        <w:t>, </w:t>
      </w:r>
      <w:hyperlink r:id="rId250" w:history="1">
        <w:r w:rsidR="00994789" w:rsidRPr="00994789">
          <w:rPr>
            <w:rStyle w:val="-"/>
            <w:rFonts w:asciiTheme="minorHAnsi" w:hAnsiTheme="minorHAnsi" w:cstheme="minorHAnsi"/>
            <w:color w:val="auto"/>
            <w:u w:val="none"/>
            <w:lang w:val="en-US"/>
          </w:rPr>
          <w:t>Krupej</w:t>
        </w:r>
        <w:r w:rsidR="00994789">
          <w:rPr>
            <w:rStyle w:val="-"/>
            <w:rFonts w:asciiTheme="minorHAnsi" w:hAnsiTheme="minorHAnsi" w:cstheme="minorHAnsi"/>
            <w:color w:val="auto"/>
            <w:u w:val="none"/>
            <w:lang w:val="en-US"/>
          </w:rPr>
          <w:t>-</w:t>
        </w:r>
        <w:r w:rsidR="00994789" w:rsidRPr="00994789">
          <w:rPr>
            <w:rStyle w:val="-"/>
            <w:rFonts w:asciiTheme="minorHAnsi" w:hAnsiTheme="minorHAnsi" w:cstheme="minorHAnsi"/>
            <w:color w:val="auto"/>
            <w:u w:val="none"/>
            <w:lang w:val="en-US"/>
          </w:rPr>
          <w:t>Kędzierska</w:t>
        </w:r>
        <w:r w:rsidR="00994789">
          <w:rPr>
            <w:rStyle w:val="-"/>
            <w:rFonts w:asciiTheme="minorHAnsi" w:hAnsiTheme="minorHAnsi" w:cstheme="minorHAnsi"/>
            <w:color w:val="auto"/>
            <w:u w:val="none"/>
            <w:lang w:val="en-US"/>
          </w:rPr>
          <w:t>,</w:t>
        </w:r>
        <w:r w:rsidR="00994789" w:rsidRPr="00994789">
          <w:rPr>
            <w:rStyle w:val="-"/>
            <w:rFonts w:asciiTheme="minorHAnsi" w:hAnsiTheme="minorHAnsi" w:cstheme="minorHAnsi"/>
            <w:color w:val="auto"/>
            <w:u w:val="none"/>
            <w:lang w:val="en-US"/>
          </w:rPr>
          <w:t xml:space="preserve"> J</w:t>
        </w:r>
      </w:hyperlink>
      <w:r w:rsidR="00994789">
        <w:rPr>
          <w:rFonts w:asciiTheme="minorHAnsi" w:hAnsiTheme="minorHAnsi" w:cstheme="minorHAnsi"/>
          <w:lang w:val="en-US"/>
        </w:rPr>
        <w:t>.</w:t>
      </w:r>
      <w:r w:rsidR="00994789" w:rsidRPr="00994789">
        <w:rPr>
          <w:rFonts w:asciiTheme="minorHAnsi" w:hAnsiTheme="minorHAnsi" w:cstheme="minorHAnsi"/>
          <w:lang w:val="en-US"/>
        </w:rPr>
        <w:t>,</w:t>
      </w:r>
      <w:r w:rsidR="00994789">
        <w:rPr>
          <w:rFonts w:asciiTheme="minorHAnsi" w:hAnsiTheme="minorHAnsi" w:cstheme="minorHAnsi"/>
          <w:lang w:val="en-US"/>
        </w:rPr>
        <w:t xml:space="preserve"> </w:t>
      </w:r>
      <w:hyperlink r:id="rId251" w:history="1">
        <w:r w:rsidR="00994789" w:rsidRPr="00994789">
          <w:rPr>
            <w:rStyle w:val="-"/>
            <w:rFonts w:asciiTheme="minorHAnsi" w:hAnsiTheme="minorHAnsi" w:cstheme="minorHAnsi"/>
            <w:color w:val="auto"/>
            <w:u w:val="none"/>
            <w:lang w:val="en-US"/>
          </w:rPr>
          <w:t>Kowalska</w:t>
        </w:r>
        <w:r w:rsidR="00994789">
          <w:rPr>
            <w:rStyle w:val="-"/>
            <w:rFonts w:asciiTheme="minorHAnsi" w:hAnsiTheme="minorHAnsi" w:cstheme="minorHAnsi"/>
            <w:color w:val="auto"/>
            <w:u w:val="none"/>
            <w:lang w:val="en-US"/>
          </w:rPr>
          <w:t>,</w:t>
        </w:r>
        <w:r w:rsidR="00994789" w:rsidRPr="00994789">
          <w:rPr>
            <w:rStyle w:val="-"/>
            <w:rFonts w:asciiTheme="minorHAnsi" w:hAnsiTheme="minorHAnsi" w:cstheme="minorHAnsi"/>
            <w:color w:val="auto"/>
            <w:u w:val="none"/>
            <w:lang w:val="en-US"/>
          </w:rPr>
          <w:t xml:space="preserve"> B</w:t>
        </w:r>
      </w:hyperlink>
      <w:r w:rsidR="00994789">
        <w:rPr>
          <w:rFonts w:asciiTheme="minorHAnsi" w:hAnsiTheme="minorHAnsi" w:cstheme="minorHAnsi"/>
          <w:lang w:val="en-US"/>
        </w:rPr>
        <w:t>.</w:t>
      </w:r>
      <w:r w:rsidR="00994789" w:rsidRPr="00994789">
        <w:rPr>
          <w:rFonts w:asciiTheme="minorHAnsi" w:hAnsiTheme="minorHAnsi" w:cstheme="minorHAnsi"/>
          <w:lang w:val="en-US"/>
        </w:rPr>
        <w:t>, </w:t>
      </w:r>
      <w:hyperlink r:id="rId252" w:history="1">
        <w:r w:rsidR="00994789" w:rsidRPr="00994789">
          <w:rPr>
            <w:rStyle w:val="-"/>
            <w:rFonts w:asciiTheme="minorHAnsi" w:hAnsiTheme="minorHAnsi" w:cstheme="minorHAnsi"/>
            <w:color w:val="auto"/>
            <w:u w:val="none"/>
            <w:lang w:val="en-US"/>
          </w:rPr>
          <w:t>Okopień</w:t>
        </w:r>
        <w:r w:rsidR="00994789">
          <w:rPr>
            <w:rStyle w:val="-"/>
            <w:rFonts w:asciiTheme="minorHAnsi" w:hAnsiTheme="minorHAnsi" w:cstheme="minorHAnsi"/>
            <w:color w:val="auto"/>
            <w:u w:val="none"/>
            <w:lang w:val="en-US"/>
          </w:rPr>
          <w:t>,</w:t>
        </w:r>
        <w:r w:rsidR="00994789" w:rsidRPr="00994789">
          <w:rPr>
            <w:rStyle w:val="-"/>
            <w:rFonts w:asciiTheme="minorHAnsi" w:hAnsiTheme="minorHAnsi" w:cstheme="minorHAnsi"/>
            <w:color w:val="auto"/>
            <w:u w:val="none"/>
            <w:lang w:val="en-US"/>
          </w:rPr>
          <w:t xml:space="preserve"> B</w:t>
        </w:r>
      </w:hyperlink>
      <w:r w:rsidR="00994789">
        <w:rPr>
          <w:rFonts w:asciiTheme="minorHAnsi" w:hAnsiTheme="minorHAnsi" w:cstheme="minorHAnsi"/>
          <w:lang w:val="en-US"/>
        </w:rPr>
        <w:t>. (2015).</w:t>
      </w:r>
      <w:r w:rsidR="00994789">
        <w:rPr>
          <w:rFonts w:asciiTheme="minorHAnsi" w:hAnsiTheme="minorHAnsi" w:cstheme="minorHAnsi"/>
          <w:vertAlign w:val="superscript"/>
          <w:lang w:val="en-US"/>
        </w:rPr>
        <w:t>.</w:t>
      </w:r>
      <w:r w:rsidR="00994789" w:rsidRPr="00994789">
        <w:rPr>
          <w:rFonts w:asciiTheme="minorHAnsi" w:hAnsiTheme="minorHAnsi" w:cstheme="minorHAnsi"/>
          <w:lang w:val="en-US"/>
        </w:rPr>
        <w:t>Endocrine abnormalities in </w:t>
      </w:r>
      <w:r w:rsidR="00994789" w:rsidRPr="00994789">
        <w:rPr>
          <w:rStyle w:val="highlight"/>
          <w:rFonts w:asciiTheme="minorHAnsi" w:hAnsiTheme="minorHAnsi" w:cstheme="minorHAnsi"/>
          <w:lang w:val="en-US"/>
        </w:rPr>
        <w:t>patients</w:t>
      </w:r>
      <w:r w:rsidR="00994789" w:rsidRPr="00994789">
        <w:rPr>
          <w:rFonts w:asciiTheme="minorHAnsi" w:hAnsiTheme="minorHAnsi" w:cstheme="minorHAnsi"/>
          <w:lang w:val="en-US"/>
        </w:rPr>
        <w:t> with </w:t>
      </w:r>
      <w:r w:rsidR="00994789" w:rsidRPr="00994789">
        <w:rPr>
          <w:rStyle w:val="highlight"/>
          <w:rFonts w:asciiTheme="minorHAnsi" w:hAnsiTheme="minorHAnsi" w:cstheme="minorHAnsi"/>
          <w:lang w:val="en-US"/>
        </w:rPr>
        <w:t>chronic</w:t>
      </w:r>
      <w:r w:rsidR="00994789" w:rsidRPr="00994789">
        <w:rPr>
          <w:rFonts w:asciiTheme="minorHAnsi" w:hAnsiTheme="minorHAnsi" w:cstheme="minorHAnsi"/>
          <w:lang w:val="en-US"/>
        </w:rPr>
        <w:t> </w:t>
      </w:r>
      <w:r w:rsidR="00994789" w:rsidRPr="00994789">
        <w:rPr>
          <w:rStyle w:val="highlight"/>
          <w:rFonts w:asciiTheme="minorHAnsi" w:hAnsiTheme="minorHAnsi" w:cstheme="minorHAnsi"/>
          <w:lang w:val="en-US"/>
        </w:rPr>
        <w:t>renal</w:t>
      </w:r>
      <w:r w:rsidR="00994789" w:rsidRPr="00994789">
        <w:rPr>
          <w:rFonts w:asciiTheme="minorHAnsi" w:hAnsiTheme="minorHAnsi" w:cstheme="minorHAnsi"/>
          <w:lang w:val="en-US"/>
        </w:rPr>
        <w:t> failure - part II.</w:t>
      </w:r>
      <w:r w:rsidR="00994789">
        <w:rPr>
          <w:rFonts w:asciiTheme="minorHAnsi" w:hAnsiTheme="minorHAnsi" w:cstheme="minorHAnsi"/>
          <w:lang w:val="en-US"/>
        </w:rPr>
        <w:t xml:space="preserve"> </w:t>
      </w:r>
      <w:hyperlink r:id="rId253" w:tooltip="Polski merkuriusz lekarski : organ Polskiego Towarzystwa Lekarskiego." w:history="1">
        <w:r w:rsidR="00994789" w:rsidRPr="00994789">
          <w:rPr>
            <w:rStyle w:val="-"/>
            <w:rFonts w:asciiTheme="minorHAnsi" w:hAnsiTheme="minorHAnsi" w:cstheme="minorHAnsi"/>
            <w:i/>
            <w:color w:val="auto"/>
            <w:u w:val="none"/>
            <w:lang w:val="en-US"/>
          </w:rPr>
          <w:t>Pol</w:t>
        </w:r>
        <w:r w:rsidR="00994789">
          <w:rPr>
            <w:rStyle w:val="-"/>
            <w:rFonts w:asciiTheme="minorHAnsi" w:hAnsiTheme="minorHAnsi" w:cstheme="minorHAnsi"/>
            <w:i/>
            <w:color w:val="auto"/>
            <w:u w:val="none"/>
            <w:lang w:val="en-US"/>
          </w:rPr>
          <w:t>ski</w:t>
        </w:r>
        <w:r w:rsidR="00994789" w:rsidRPr="00994789">
          <w:rPr>
            <w:rStyle w:val="-"/>
            <w:rFonts w:asciiTheme="minorHAnsi" w:hAnsiTheme="minorHAnsi" w:cstheme="minorHAnsi"/>
            <w:i/>
            <w:color w:val="auto"/>
            <w:u w:val="none"/>
            <w:lang w:val="en-US"/>
          </w:rPr>
          <w:t xml:space="preserve"> Merkur</w:t>
        </w:r>
        <w:r w:rsidR="00994789">
          <w:rPr>
            <w:rStyle w:val="-"/>
            <w:rFonts w:asciiTheme="minorHAnsi" w:hAnsiTheme="minorHAnsi" w:cstheme="minorHAnsi"/>
            <w:i/>
            <w:color w:val="auto"/>
            <w:u w:val="none"/>
            <w:lang w:val="en-US"/>
          </w:rPr>
          <w:t>iusz</w:t>
        </w:r>
        <w:r w:rsidR="00994789" w:rsidRPr="00994789">
          <w:rPr>
            <w:rStyle w:val="-"/>
            <w:rFonts w:asciiTheme="minorHAnsi" w:hAnsiTheme="minorHAnsi" w:cstheme="minorHAnsi"/>
            <w:i/>
            <w:color w:val="auto"/>
            <w:u w:val="none"/>
            <w:lang w:val="en-US"/>
          </w:rPr>
          <w:t xml:space="preserve"> Lekarski</w:t>
        </w:r>
        <w:r w:rsidR="00994789">
          <w:rPr>
            <w:rStyle w:val="-"/>
            <w:rFonts w:asciiTheme="minorHAnsi" w:hAnsiTheme="minorHAnsi" w:cstheme="minorHAnsi"/>
            <w:i/>
            <w:color w:val="auto"/>
            <w:u w:val="none"/>
            <w:lang w:val="en-US"/>
          </w:rPr>
          <w:t>,</w:t>
        </w:r>
      </w:hyperlink>
      <w:r w:rsidR="00994789" w:rsidRPr="00994789">
        <w:rPr>
          <w:rFonts w:asciiTheme="minorHAnsi" w:hAnsiTheme="minorHAnsi" w:cstheme="minorHAnsi"/>
          <w:i/>
          <w:lang w:val="en-US"/>
        </w:rPr>
        <w:t> 38</w:t>
      </w:r>
      <w:r w:rsidR="00994789">
        <w:rPr>
          <w:rFonts w:asciiTheme="minorHAnsi" w:hAnsiTheme="minorHAnsi" w:cstheme="minorHAnsi"/>
          <w:lang w:val="en-US"/>
        </w:rPr>
        <w:t xml:space="preserve">, </w:t>
      </w:r>
      <w:r w:rsidR="00994789" w:rsidRPr="00994789">
        <w:rPr>
          <w:rFonts w:asciiTheme="minorHAnsi" w:hAnsiTheme="minorHAnsi" w:cstheme="minorHAnsi"/>
          <w:lang w:val="en-US"/>
        </w:rPr>
        <w:t>293-</w:t>
      </w:r>
      <w:r w:rsidR="00994789">
        <w:rPr>
          <w:rFonts w:asciiTheme="minorHAnsi" w:hAnsiTheme="minorHAnsi" w:cstheme="minorHAnsi"/>
          <w:lang w:val="en-US"/>
        </w:rPr>
        <w:t>29</w:t>
      </w:r>
      <w:r w:rsidR="00994789" w:rsidRPr="00994789">
        <w:rPr>
          <w:rFonts w:asciiTheme="minorHAnsi" w:hAnsiTheme="minorHAnsi" w:cstheme="minorHAnsi"/>
          <w:lang w:val="en-US"/>
        </w:rPr>
        <w:t>9.</w:t>
      </w:r>
    </w:p>
    <w:p w:rsidR="00A05903" w:rsidRPr="005A464E" w:rsidRDefault="003C410F" w:rsidP="005A464E">
      <w:pPr>
        <w:pStyle w:val="Web"/>
        <w:spacing w:after="156" w:line="360" w:lineRule="auto"/>
        <w:ind w:left="389" w:hanging="389"/>
        <w:jc w:val="both"/>
        <w:rPr>
          <w:rFonts w:asciiTheme="minorHAnsi" w:hAnsiTheme="minorHAnsi"/>
          <w:lang w:val="en-US"/>
        </w:rPr>
      </w:pPr>
      <w:r w:rsidRPr="005A464E">
        <w:rPr>
          <w:rFonts w:asciiTheme="minorHAnsi" w:hAnsiTheme="minorHAnsi" w:cstheme="minorHAnsi"/>
          <w:lang w:val="en-US"/>
        </w:rPr>
        <w:t>Kugler, C., Vlaminck, H., Ha</w:t>
      </w:r>
      <w:r w:rsidR="00617224" w:rsidRPr="005A464E">
        <w:rPr>
          <w:rFonts w:asciiTheme="minorHAnsi" w:hAnsiTheme="minorHAnsi" w:cstheme="minorHAnsi"/>
          <w:lang w:val="en-US"/>
        </w:rPr>
        <w:t>verich, A., &amp; Maes, B. (2005). N</w:t>
      </w:r>
      <w:r w:rsidRPr="005A464E">
        <w:rPr>
          <w:rFonts w:asciiTheme="minorHAnsi" w:hAnsiTheme="minorHAnsi" w:cstheme="minorHAnsi"/>
          <w:lang w:val="en-US"/>
        </w:rPr>
        <w:t>on</w:t>
      </w:r>
      <w:r w:rsidR="00617224" w:rsidRPr="005A464E">
        <w:rPr>
          <w:rFonts w:asciiTheme="minorHAnsi" w:hAnsiTheme="minorHAnsi" w:cstheme="minorHAnsi"/>
          <w:lang w:val="en-US"/>
        </w:rPr>
        <w:t>-</w:t>
      </w:r>
      <w:r w:rsidRPr="005A464E">
        <w:rPr>
          <w:rFonts w:asciiTheme="minorHAnsi" w:hAnsiTheme="minorHAnsi" w:cstheme="minorHAnsi"/>
          <w:lang w:val="en-US"/>
        </w:rPr>
        <w:t>adherence with diet and fluid restrictions among adults having hemodialysis.</w:t>
      </w:r>
      <w:r w:rsidRPr="005A464E">
        <w:rPr>
          <w:rStyle w:val="apple-converted-space"/>
          <w:rFonts w:asciiTheme="minorHAnsi" w:hAnsiTheme="minorHAnsi" w:cstheme="minorHAnsi"/>
          <w:lang w:val="en-US"/>
        </w:rPr>
        <w:t> </w:t>
      </w:r>
      <w:r w:rsidR="00B84F9B" w:rsidRPr="005A464E">
        <w:rPr>
          <w:rFonts w:asciiTheme="minorHAnsi" w:hAnsiTheme="minorHAnsi" w:cstheme="minorHAnsi"/>
          <w:i/>
          <w:iCs/>
          <w:lang w:val="en-US"/>
        </w:rPr>
        <w:t xml:space="preserve">Journal </w:t>
      </w:r>
      <w:r w:rsidR="00B84F9B" w:rsidRPr="005A464E">
        <w:rPr>
          <w:rFonts w:asciiTheme="minorHAnsi" w:hAnsiTheme="minorHAnsi" w:cstheme="minorHAnsi"/>
          <w:i/>
          <w:iCs/>
        </w:rPr>
        <w:t>ο</w:t>
      </w:r>
      <w:r w:rsidRPr="005A464E">
        <w:rPr>
          <w:rFonts w:asciiTheme="minorHAnsi" w:hAnsiTheme="minorHAnsi" w:cstheme="minorHAnsi"/>
          <w:i/>
          <w:iCs/>
          <w:lang w:val="en-US"/>
        </w:rPr>
        <w:t>f Nursing Scholarship</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B27A1C">
        <w:rPr>
          <w:rFonts w:asciiTheme="minorHAnsi" w:hAnsiTheme="minorHAnsi" w:cstheme="minorHAnsi"/>
          <w:i/>
          <w:iCs/>
          <w:lang w:val="en-US"/>
        </w:rPr>
        <w:t>37</w:t>
      </w:r>
      <w:r w:rsidRPr="00B27A1C">
        <w:rPr>
          <w:rFonts w:asciiTheme="minorHAnsi" w:hAnsiTheme="minorHAnsi" w:cstheme="minorHAnsi"/>
          <w:i/>
          <w:lang w:val="en-US"/>
        </w:rPr>
        <w:t>,</w:t>
      </w:r>
      <w:r w:rsidRPr="005A464E">
        <w:rPr>
          <w:rFonts w:asciiTheme="minorHAnsi" w:hAnsiTheme="minorHAnsi" w:cstheme="minorHAnsi"/>
          <w:lang w:val="en-US"/>
        </w:rPr>
        <w:t xml:space="preserve"> 25-29. </w:t>
      </w:r>
      <w:hyperlink r:id="rId254"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.org/10.1111/j.1547-5069.2005.00009.x</w:t>
        </w:r>
      </w:hyperlink>
      <w:r w:rsidR="00B84F9B" w:rsidRPr="005A464E">
        <w:rPr>
          <w:rFonts w:asciiTheme="minorHAnsi" w:hAnsiTheme="minorHAnsi"/>
          <w:lang w:val="en-US"/>
        </w:rPr>
        <w:t>.</w:t>
      </w:r>
    </w:p>
    <w:p w:rsidR="007A583D" w:rsidRPr="005A464E" w:rsidRDefault="008F3609" w:rsidP="005A464E">
      <w:pPr>
        <w:pStyle w:val="Web"/>
        <w:spacing w:after="156" w:line="360" w:lineRule="auto"/>
        <w:ind w:left="389" w:hanging="389"/>
        <w:jc w:val="both"/>
        <w:rPr>
          <w:rFonts w:asciiTheme="minorHAnsi" w:hAnsiTheme="minorHAnsi" w:cstheme="minorHAnsi"/>
          <w:lang w:val="en-US"/>
        </w:rPr>
      </w:pPr>
      <w:hyperlink r:id="rId255" w:history="1">
        <w:r w:rsidR="00A05903" w:rsidRPr="005A464E">
          <w:rPr>
            <w:rStyle w:val="-"/>
            <w:rFonts w:asciiTheme="minorHAnsi" w:hAnsiTheme="minorHAnsi" w:cstheme="minorHAnsi"/>
            <w:color w:val="auto"/>
            <w:u w:val="none"/>
            <w:lang w:val="en-US"/>
          </w:rPr>
          <w:t>Kugler, C</w:t>
        </w:r>
      </w:hyperlink>
      <w:r w:rsidR="00A05903" w:rsidRPr="005A464E">
        <w:rPr>
          <w:rFonts w:asciiTheme="minorHAnsi" w:hAnsiTheme="minorHAnsi" w:cstheme="minorHAnsi"/>
          <w:lang w:val="en-US"/>
        </w:rPr>
        <w:t>.,</w:t>
      </w:r>
      <w:r w:rsidR="00A05903" w:rsidRPr="005A464E">
        <w:rPr>
          <w:rStyle w:val="apple-converted-space"/>
          <w:rFonts w:asciiTheme="minorHAnsi" w:hAnsiTheme="minorHAnsi" w:cstheme="minorHAnsi"/>
          <w:lang w:val="en-US"/>
        </w:rPr>
        <w:t> </w:t>
      </w:r>
      <w:hyperlink r:id="rId256" w:history="1">
        <w:r w:rsidR="00A05903" w:rsidRPr="005A464E">
          <w:rPr>
            <w:rStyle w:val="-"/>
            <w:rFonts w:asciiTheme="minorHAnsi" w:hAnsiTheme="minorHAnsi" w:cstheme="minorHAnsi"/>
            <w:color w:val="auto"/>
            <w:u w:val="none"/>
            <w:lang w:val="en-US"/>
          </w:rPr>
          <w:t>Maeding, I</w:t>
        </w:r>
      </w:hyperlink>
      <w:r w:rsidR="00A05903" w:rsidRPr="005A464E">
        <w:rPr>
          <w:rFonts w:asciiTheme="minorHAnsi" w:hAnsiTheme="minorHAnsi" w:cstheme="minorHAnsi"/>
          <w:lang w:val="en-US"/>
        </w:rPr>
        <w:t>.,</w:t>
      </w:r>
      <w:r w:rsidR="00B84F9B" w:rsidRPr="005A464E">
        <w:rPr>
          <w:rFonts w:asciiTheme="minorHAnsi" w:hAnsiTheme="minorHAnsi" w:cstheme="minorHAnsi"/>
          <w:lang w:val="en-US"/>
        </w:rPr>
        <w:t>&amp;</w:t>
      </w:r>
      <w:r w:rsidR="00A05903" w:rsidRPr="005A464E">
        <w:rPr>
          <w:rStyle w:val="apple-converted-space"/>
          <w:rFonts w:asciiTheme="minorHAnsi" w:hAnsiTheme="minorHAnsi" w:cstheme="minorHAnsi"/>
          <w:lang w:val="en-US"/>
        </w:rPr>
        <w:t> </w:t>
      </w:r>
      <w:hyperlink r:id="rId257" w:history="1">
        <w:r w:rsidR="00A05903" w:rsidRPr="005A464E">
          <w:rPr>
            <w:rStyle w:val="-"/>
            <w:rFonts w:asciiTheme="minorHAnsi" w:hAnsiTheme="minorHAnsi" w:cstheme="minorHAnsi"/>
            <w:color w:val="auto"/>
            <w:u w:val="none"/>
            <w:lang w:val="en-US"/>
          </w:rPr>
          <w:t>Russell, C.L</w:t>
        </w:r>
      </w:hyperlink>
      <w:r w:rsidR="00A05903" w:rsidRPr="005A464E">
        <w:rPr>
          <w:rFonts w:asciiTheme="minorHAnsi" w:hAnsiTheme="minorHAnsi" w:cstheme="minorHAnsi"/>
          <w:lang w:val="en-US"/>
        </w:rPr>
        <w:t xml:space="preserve">. (2011). Non-adherence in patients on chronic hemodialysis: an international comparison study. </w:t>
      </w:r>
      <w:hyperlink r:id="rId258" w:tooltip="Journal of nephrology." w:history="1">
        <w:r w:rsidR="00A05903" w:rsidRPr="005A464E">
          <w:rPr>
            <w:rStyle w:val="-"/>
            <w:rFonts w:asciiTheme="minorHAnsi" w:hAnsiTheme="minorHAnsi" w:cstheme="minorHAnsi"/>
            <w:i/>
            <w:color w:val="auto"/>
            <w:u w:val="none"/>
            <w:lang w:val="en-US"/>
          </w:rPr>
          <w:t>Journal of Nephrology,</w:t>
        </w:r>
      </w:hyperlink>
      <w:r w:rsidR="0078495A">
        <w:rPr>
          <w:rStyle w:val="apple-converted-space"/>
          <w:rFonts w:asciiTheme="minorHAnsi" w:hAnsiTheme="minorHAnsi" w:cstheme="minorHAnsi"/>
          <w:lang w:val="en-US"/>
        </w:rPr>
        <w:t xml:space="preserve"> </w:t>
      </w:r>
      <w:r w:rsidR="00B27A1C" w:rsidRPr="00B27A1C">
        <w:rPr>
          <w:rFonts w:asciiTheme="minorHAnsi" w:hAnsiTheme="minorHAnsi" w:cstheme="minorHAnsi"/>
          <w:i/>
          <w:lang w:val="en-US"/>
        </w:rPr>
        <w:t>24</w:t>
      </w:r>
      <w:r w:rsidR="00A05903" w:rsidRPr="005A464E">
        <w:rPr>
          <w:rFonts w:asciiTheme="minorHAnsi" w:hAnsiTheme="minorHAnsi" w:cstheme="minorHAnsi"/>
          <w:lang w:val="en-US"/>
        </w:rPr>
        <w:t xml:space="preserve">, 366-375. </w:t>
      </w:r>
      <w:r w:rsidR="00292B29" w:rsidRPr="005A464E">
        <w:rPr>
          <w:rFonts w:asciiTheme="minorHAnsi" w:hAnsiTheme="minorHAnsi" w:cstheme="minorHAnsi"/>
          <w:lang w:val="en-US"/>
        </w:rPr>
        <w:t>DOI</w:t>
      </w:r>
      <w:r w:rsidR="00A05903" w:rsidRPr="005A464E">
        <w:rPr>
          <w:rFonts w:asciiTheme="minorHAnsi" w:hAnsiTheme="minorHAnsi" w:cstheme="minorHAnsi"/>
          <w:lang w:val="en-US"/>
        </w:rPr>
        <w:t>: 10.5301/JN.2010.5823.</w:t>
      </w:r>
    </w:p>
    <w:p w:rsidR="007A583D" w:rsidRPr="005A464E" w:rsidRDefault="008F3609" w:rsidP="005A464E">
      <w:pPr>
        <w:pStyle w:val="Web"/>
        <w:spacing w:after="156" w:line="360" w:lineRule="auto"/>
        <w:ind w:left="389" w:hanging="389"/>
        <w:jc w:val="both"/>
        <w:rPr>
          <w:rFonts w:asciiTheme="minorHAnsi" w:hAnsiTheme="minorHAnsi" w:cstheme="minorHAnsi"/>
          <w:lang w:val="en-US"/>
        </w:rPr>
      </w:pPr>
      <w:hyperlink r:id="rId259" w:history="1">
        <w:r w:rsidR="007A583D" w:rsidRPr="005A464E">
          <w:rPr>
            <w:rStyle w:val="-"/>
            <w:rFonts w:asciiTheme="minorHAnsi" w:hAnsiTheme="minorHAnsi" w:cs="Arial"/>
            <w:color w:val="auto"/>
            <w:u w:val="none"/>
            <w:shd w:val="clear" w:color="auto" w:fill="FFFFFF"/>
            <w:lang w:val="en-US"/>
          </w:rPr>
          <w:t>Kumar, C.P</w:t>
        </w:r>
      </w:hyperlink>
      <w:r w:rsidR="00AD3C44" w:rsidRPr="005A464E">
        <w:rPr>
          <w:rFonts w:asciiTheme="minorHAnsi" w:hAnsiTheme="minorHAnsi"/>
          <w:lang w:val="en-US"/>
        </w:rPr>
        <w:t>. (2007).</w:t>
      </w:r>
      <w:r w:rsidR="007A583D" w:rsidRPr="005A464E">
        <w:rPr>
          <w:rFonts w:asciiTheme="minorHAnsi" w:hAnsiTheme="minorHAnsi" w:cs="Arial"/>
          <w:lang w:val="en-US"/>
        </w:rPr>
        <w:t xml:space="preserve"> Application of </w:t>
      </w:r>
      <w:r w:rsidR="007A583D" w:rsidRPr="005A464E">
        <w:rPr>
          <w:rStyle w:val="highlight"/>
          <w:rFonts w:asciiTheme="minorHAnsi" w:hAnsiTheme="minorHAnsi" w:cs="Arial"/>
          <w:lang w:val="en-US"/>
        </w:rPr>
        <w:t>Orem's</w:t>
      </w:r>
      <w:r w:rsidR="007A583D" w:rsidRPr="005A464E">
        <w:rPr>
          <w:rFonts w:asciiTheme="minorHAnsi" w:hAnsiTheme="minorHAnsi" w:cs="Arial"/>
          <w:lang w:val="en-US"/>
        </w:rPr>
        <w:t> </w:t>
      </w:r>
      <w:r w:rsidR="007A583D" w:rsidRPr="005A464E">
        <w:rPr>
          <w:rStyle w:val="highlight"/>
          <w:rFonts w:asciiTheme="minorHAnsi" w:hAnsiTheme="minorHAnsi" w:cs="Arial"/>
          <w:lang w:val="en-US"/>
        </w:rPr>
        <w:t>self</w:t>
      </w:r>
      <w:r w:rsidR="007A583D" w:rsidRPr="005A464E">
        <w:rPr>
          <w:rFonts w:asciiTheme="minorHAnsi" w:hAnsiTheme="minorHAnsi" w:cs="Arial"/>
          <w:lang w:val="en-US"/>
        </w:rPr>
        <w:t>-</w:t>
      </w:r>
      <w:r w:rsidR="007A583D" w:rsidRPr="005A464E">
        <w:rPr>
          <w:rStyle w:val="highlight"/>
          <w:rFonts w:asciiTheme="minorHAnsi" w:hAnsiTheme="minorHAnsi" w:cs="Arial"/>
          <w:lang w:val="en-US"/>
        </w:rPr>
        <w:t>care</w:t>
      </w:r>
      <w:r w:rsidR="007A583D" w:rsidRPr="005A464E">
        <w:rPr>
          <w:rFonts w:asciiTheme="minorHAnsi" w:hAnsiTheme="minorHAnsi" w:cs="Arial"/>
          <w:lang w:val="en-US"/>
        </w:rPr>
        <w:t> deficit </w:t>
      </w:r>
      <w:r w:rsidR="007A583D" w:rsidRPr="005A464E">
        <w:rPr>
          <w:rStyle w:val="highlight"/>
          <w:rFonts w:asciiTheme="minorHAnsi" w:hAnsiTheme="minorHAnsi" w:cs="Arial"/>
          <w:lang w:val="en-US"/>
        </w:rPr>
        <w:t>theory</w:t>
      </w:r>
      <w:r w:rsidR="007A583D" w:rsidRPr="005A464E">
        <w:rPr>
          <w:rFonts w:asciiTheme="minorHAnsi" w:hAnsiTheme="minorHAnsi" w:cs="Arial"/>
          <w:lang w:val="en-US"/>
        </w:rPr>
        <w:t> and standardized </w:t>
      </w:r>
      <w:r w:rsidR="007A583D" w:rsidRPr="005A464E">
        <w:rPr>
          <w:rStyle w:val="highlight"/>
          <w:rFonts w:asciiTheme="minorHAnsi" w:hAnsiTheme="minorHAnsi" w:cs="Arial"/>
          <w:lang w:val="en-US"/>
        </w:rPr>
        <w:t>nursing</w:t>
      </w:r>
      <w:r w:rsidR="007A583D" w:rsidRPr="005A464E">
        <w:rPr>
          <w:rFonts w:asciiTheme="minorHAnsi" w:hAnsiTheme="minorHAnsi" w:cs="Arial"/>
          <w:lang w:val="en-US"/>
        </w:rPr>
        <w:t> languages in a case study of a woman with diabetes.</w:t>
      </w:r>
      <w:r w:rsidR="007A583D" w:rsidRPr="005A464E">
        <w:rPr>
          <w:rFonts w:asciiTheme="minorHAnsi" w:hAnsiTheme="minorHAnsi" w:cs="Arial"/>
          <w:shd w:val="clear" w:color="auto" w:fill="FFFFFF"/>
          <w:lang w:val="en-US"/>
        </w:rPr>
        <w:t xml:space="preserve"> </w:t>
      </w:r>
      <w:hyperlink r:id="rId260" w:tooltip="International journal of nursing terminologies and classifications : the official journal of NANDA International." w:history="1">
        <w:r w:rsidR="007A583D" w:rsidRPr="005A464E">
          <w:rPr>
            <w:rStyle w:val="-"/>
            <w:rFonts w:asciiTheme="minorHAnsi" w:hAnsiTheme="minorHAnsi" w:cs="Arial"/>
            <w:i/>
            <w:color w:val="auto"/>
            <w:u w:val="none"/>
            <w:shd w:val="clear" w:color="auto" w:fill="FFFFFF"/>
            <w:lang w:val="en-US"/>
          </w:rPr>
          <w:t>International Journal of Nursing Terminologies and Classifications,</w:t>
        </w:r>
      </w:hyperlink>
      <w:r w:rsidR="00B27A1C">
        <w:rPr>
          <w:rFonts w:asciiTheme="minorHAnsi" w:hAnsiTheme="minorHAnsi" w:cs="Arial"/>
          <w:shd w:val="clear" w:color="auto" w:fill="FFFFFF"/>
          <w:lang w:val="en-US"/>
        </w:rPr>
        <w:t xml:space="preserve"> </w:t>
      </w:r>
      <w:r w:rsidR="00B27A1C" w:rsidRPr="00B27A1C">
        <w:rPr>
          <w:rFonts w:asciiTheme="minorHAnsi" w:hAnsiTheme="minorHAnsi" w:cs="Arial"/>
          <w:i/>
          <w:shd w:val="clear" w:color="auto" w:fill="FFFFFF"/>
          <w:lang w:val="en-US"/>
        </w:rPr>
        <w:t>18</w:t>
      </w:r>
      <w:r w:rsidR="007A583D" w:rsidRPr="00B27A1C">
        <w:rPr>
          <w:rFonts w:asciiTheme="minorHAnsi" w:hAnsiTheme="minorHAnsi" w:cs="Arial"/>
          <w:i/>
          <w:shd w:val="clear" w:color="auto" w:fill="FFFFFF"/>
          <w:lang w:val="en-US"/>
        </w:rPr>
        <w:t>,</w:t>
      </w:r>
      <w:r w:rsidR="007A583D" w:rsidRPr="005A464E">
        <w:rPr>
          <w:rFonts w:asciiTheme="minorHAnsi" w:hAnsiTheme="minorHAnsi" w:cs="Arial"/>
          <w:shd w:val="clear" w:color="auto" w:fill="FFFFFF"/>
          <w:lang w:val="en-US"/>
        </w:rPr>
        <w:t>103-</w:t>
      </w:r>
      <w:r w:rsidR="00AD3C44" w:rsidRPr="005A464E">
        <w:rPr>
          <w:rFonts w:asciiTheme="minorHAnsi" w:hAnsiTheme="minorHAnsi" w:cs="Arial"/>
          <w:shd w:val="clear" w:color="auto" w:fill="FFFFFF"/>
          <w:lang w:val="en-US"/>
        </w:rPr>
        <w:t>1</w:t>
      </w:r>
      <w:r w:rsidR="007A583D" w:rsidRPr="005A464E">
        <w:rPr>
          <w:rFonts w:asciiTheme="minorHAnsi" w:hAnsiTheme="minorHAnsi" w:cs="Arial"/>
          <w:shd w:val="clear" w:color="auto" w:fill="FFFFFF"/>
          <w:lang w:val="en-US"/>
        </w:rPr>
        <w:t>10.</w:t>
      </w:r>
    </w:p>
    <w:p w:rsidR="003C410F" w:rsidRPr="005A464E" w:rsidRDefault="003C410F" w:rsidP="005A464E">
      <w:pPr>
        <w:pStyle w:val="Web"/>
        <w:spacing w:after="156" w:line="360" w:lineRule="auto"/>
        <w:ind w:left="389" w:hanging="389"/>
        <w:jc w:val="both"/>
        <w:rPr>
          <w:rFonts w:asciiTheme="minorHAnsi" w:hAnsiTheme="minorHAnsi"/>
          <w:lang w:val="en-US"/>
        </w:rPr>
      </w:pPr>
      <w:r w:rsidRPr="005A464E">
        <w:rPr>
          <w:rFonts w:asciiTheme="minorHAnsi" w:hAnsiTheme="minorHAnsi" w:cstheme="minorHAnsi"/>
          <w:lang w:val="en-US"/>
        </w:rPr>
        <w:t>Kutner, N., Brogan, D., &amp; Kutner, M. (1986). End-</w:t>
      </w:r>
      <w:r w:rsidR="00617224" w:rsidRPr="005A464E">
        <w:rPr>
          <w:rFonts w:asciiTheme="minorHAnsi" w:hAnsiTheme="minorHAnsi" w:cstheme="minorHAnsi"/>
          <w:lang w:val="en-US"/>
        </w:rPr>
        <w:t>stage renal disease treatment modality and patients quality of life</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00617224" w:rsidRPr="005A464E">
        <w:rPr>
          <w:rFonts w:asciiTheme="minorHAnsi" w:hAnsiTheme="minorHAnsi" w:cstheme="minorHAnsi"/>
          <w:i/>
          <w:iCs/>
          <w:lang w:val="en-US"/>
        </w:rPr>
        <w:t>American Journal o</w:t>
      </w:r>
      <w:r w:rsidRPr="005A464E">
        <w:rPr>
          <w:rFonts w:asciiTheme="minorHAnsi" w:hAnsiTheme="minorHAnsi" w:cstheme="minorHAnsi"/>
          <w:i/>
          <w:iCs/>
          <w:lang w:val="en-US"/>
        </w:rPr>
        <w:t>f Nephrology</w:t>
      </w:r>
      <w:r w:rsidRPr="00B27A1C">
        <w:rPr>
          <w:rFonts w:asciiTheme="minorHAnsi" w:hAnsiTheme="minorHAnsi" w:cstheme="minorHAnsi"/>
          <w:i/>
          <w:lang w:val="en-US"/>
        </w:rPr>
        <w:t>,</w:t>
      </w:r>
      <w:r w:rsidRPr="00B27A1C">
        <w:rPr>
          <w:rStyle w:val="apple-converted-space"/>
          <w:rFonts w:asciiTheme="minorHAnsi" w:hAnsiTheme="minorHAnsi" w:cstheme="minorHAnsi"/>
          <w:i/>
          <w:lang w:val="en-US"/>
        </w:rPr>
        <w:t> </w:t>
      </w:r>
      <w:r w:rsidRPr="00B27A1C">
        <w:rPr>
          <w:rFonts w:asciiTheme="minorHAnsi" w:hAnsiTheme="minorHAnsi" w:cstheme="minorHAnsi"/>
          <w:i/>
          <w:iCs/>
          <w:lang w:val="en-US"/>
        </w:rPr>
        <w:t>6</w:t>
      </w:r>
      <w:r w:rsidRPr="00B27A1C">
        <w:rPr>
          <w:rFonts w:asciiTheme="minorHAnsi" w:hAnsiTheme="minorHAnsi" w:cstheme="minorHAnsi"/>
          <w:i/>
          <w:lang w:val="en-US"/>
        </w:rPr>
        <w:t>,</w:t>
      </w:r>
      <w:r w:rsidRPr="005A464E">
        <w:rPr>
          <w:rFonts w:asciiTheme="minorHAnsi" w:hAnsiTheme="minorHAnsi" w:cstheme="minorHAnsi"/>
          <w:lang w:val="en-US"/>
        </w:rPr>
        <w:t xml:space="preserve"> 396-402. </w:t>
      </w:r>
      <w:hyperlink r:id="rId261"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.org/10.1159/000167200</w:t>
        </w:r>
      </w:hyperlink>
      <w:r w:rsidR="00B84F9B" w:rsidRPr="005A464E">
        <w:rPr>
          <w:rFonts w:asciiTheme="minorHAnsi" w:hAnsiTheme="minorHAnsi"/>
          <w:lang w:val="en-US"/>
        </w:rPr>
        <w:t>.</w:t>
      </w:r>
    </w:p>
    <w:p w:rsidR="00617224" w:rsidRPr="005A464E" w:rsidRDefault="00617224" w:rsidP="005A464E">
      <w:pPr>
        <w:pStyle w:val="Web"/>
        <w:spacing w:after="156" w:line="360" w:lineRule="auto"/>
        <w:ind w:left="389" w:hanging="389"/>
        <w:jc w:val="both"/>
        <w:rPr>
          <w:rFonts w:asciiTheme="minorHAnsi" w:hAnsiTheme="minorHAnsi" w:cstheme="minorHAnsi"/>
          <w:lang w:val="en-US"/>
        </w:rPr>
      </w:pPr>
      <w:r w:rsidRPr="005A464E">
        <w:rPr>
          <w:rFonts w:asciiTheme="minorHAnsi" w:hAnsiTheme="minorHAnsi" w:cstheme="minorHAnsi"/>
          <w:lang w:val="en-US"/>
        </w:rPr>
        <w:t>Kutner, N., Brogan, D., &amp; Fielding, B. (1991). Employment status and ability to work among working-age chronic dialysis patients.</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American Journal of Nephrology</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B27A1C">
        <w:rPr>
          <w:rFonts w:asciiTheme="minorHAnsi" w:hAnsiTheme="minorHAnsi" w:cstheme="minorHAnsi"/>
          <w:i/>
          <w:iCs/>
          <w:lang w:val="en-US"/>
        </w:rPr>
        <w:t>11</w:t>
      </w:r>
      <w:r w:rsidRPr="00B27A1C">
        <w:rPr>
          <w:rFonts w:asciiTheme="minorHAnsi" w:hAnsiTheme="minorHAnsi" w:cstheme="minorHAnsi"/>
          <w:i/>
          <w:lang w:val="en-US"/>
        </w:rPr>
        <w:t>,</w:t>
      </w:r>
      <w:r w:rsidRPr="005A464E">
        <w:rPr>
          <w:rFonts w:asciiTheme="minorHAnsi" w:hAnsiTheme="minorHAnsi" w:cstheme="minorHAnsi"/>
          <w:lang w:val="en-US"/>
        </w:rPr>
        <w:t xml:space="preserve"> 334-340. http://dx.</w:t>
      </w:r>
      <w:r w:rsidR="00292B29" w:rsidRPr="005A464E">
        <w:rPr>
          <w:rFonts w:asciiTheme="minorHAnsi" w:hAnsiTheme="minorHAnsi" w:cstheme="minorHAnsi"/>
          <w:lang w:val="en-US"/>
        </w:rPr>
        <w:t>DOI</w:t>
      </w:r>
      <w:r w:rsidRPr="005A464E">
        <w:rPr>
          <w:rFonts w:asciiTheme="minorHAnsi" w:hAnsiTheme="minorHAnsi" w:cstheme="minorHAnsi"/>
          <w:lang w:val="en-US"/>
        </w:rPr>
        <w:t>.org/10.1159/000168333</w:t>
      </w:r>
      <w:r w:rsidR="00B84F9B" w:rsidRPr="005A464E">
        <w:rPr>
          <w:rFonts w:asciiTheme="minorHAnsi" w:hAnsiTheme="minorHAnsi" w:cstheme="minorHAnsi"/>
          <w:lang w:val="en-US"/>
        </w:rPr>
        <w:t>.</w:t>
      </w:r>
    </w:p>
    <w:p w:rsidR="003C410F" w:rsidRPr="005A464E" w:rsidRDefault="003C410F" w:rsidP="005A464E">
      <w:pPr>
        <w:pStyle w:val="Web"/>
        <w:spacing w:after="156" w:line="360" w:lineRule="auto"/>
        <w:ind w:left="389" w:hanging="389"/>
        <w:jc w:val="both"/>
        <w:rPr>
          <w:rFonts w:asciiTheme="minorHAnsi" w:hAnsiTheme="minorHAnsi" w:cstheme="minorHAnsi"/>
          <w:lang w:val="en-US"/>
        </w:rPr>
      </w:pPr>
      <w:r w:rsidRPr="005A464E">
        <w:rPr>
          <w:rFonts w:asciiTheme="minorHAnsi" w:hAnsiTheme="minorHAnsi" w:cstheme="minorHAnsi"/>
          <w:lang w:val="en-US"/>
        </w:rPr>
        <w:t xml:space="preserve">Kutner, N.G., &amp; Devins, G.M. (1998). A comparison of the quality of life reported by elderly whites and elderly blacks on dialysis. </w:t>
      </w:r>
      <w:r w:rsidRPr="005A464E">
        <w:rPr>
          <w:rFonts w:asciiTheme="minorHAnsi" w:hAnsiTheme="minorHAnsi" w:cstheme="minorHAnsi"/>
          <w:i/>
          <w:iCs/>
          <w:lang w:val="en-US"/>
        </w:rPr>
        <w:t>Geriatric Nephrology &amp; Urol</w:t>
      </w:r>
      <w:r w:rsidRPr="005A464E">
        <w:rPr>
          <w:rFonts w:asciiTheme="minorHAnsi" w:hAnsiTheme="minorHAnsi" w:cstheme="minorHAnsi"/>
          <w:i/>
          <w:lang w:val="en-US"/>
        </w:rPr>
        <w:t xml:space="preserve">ogy </w:t>
      </w:r>
      <w:r w:rsidRPr="00B27A1C">
        <w:rPr>
          <w:rFonts w:asciiTheme="minorHAnsi" w:hAnsiTheme="minorHAnsi" w:cstheme="minorHAnsi"/>
          <w:i/>
          <w:iCs/>
          <w:lang w:val="en-US"/>
        </w:rPr>
        <w:t>Journal, 8</w:t>
      </w:r>
      <w:r w:rsidRPr="005A464E">
        <w:rPr>
          <w:rFonts w:asciiTheme="minorHAnsi" w:hAnsiTheme="minorHAnsi" w:cstheme="minorHAnsi"/>
          <w:lang w:val="en-US"/>
        </w:rPr>
        <w:t>, 77-83.</w:t>
      </w:r>
    </w:p>
    <w:p w:rsidR="003C410F" w:rsidRPr="005A464E" w:rsidRDefault="003C410F" w:rsidP="005A464E">
      <w:pPr>
        <w:pStyle w:val="Web"/>
        <w:spacing w:after="156" w:line="360" w:lineRule="auto"/>
        <w:ind w:left="389" w:hanging="389"/>
        <w:jc w:val="both"/>
        <w:rPr>
          <w:rFonts w:asciiTheme="minorHAnsi" w:hAnsiTheme="minorHAnsi" w:cstheme="minorHAnsi"/>
          <w:lang w:val="en-US"/>
        </w:rPr>
      </w:pPr>
      <w:r w:rsidRPr="005A464E">
        <w:rPr>
          <w:rFonts w:asciiTheme="minorHAnsi" w:hAnsiTheme="minorHAnsi" w:cstheme="minorHAnsi"/>
          <w:lang w:val="en-US"/>
        </w:rPr>
        <w:t>Kutner, N.G., Brogan, D., Fielding, B., &amp; Hall, W.D. (2000). Black/white differences in health outcomes reported by older ESRD patients on chronic hemodialysis.</w:t>
      </w:r>
      <w:r w:rsidRPr="005A464E">
        <w:rPr>
          <w:rFonts w:asciiTheme="minorHAnsi" w:hAnsiTheme="minorHAnsi" w:cstheme="minorHAnsi"/>
          <w:i/>
          <w:lang w:val="en-US"/>
        </w:rPr>
        <w:t xml:space="preserve"> </w:t>
      </w:r>
      <w:r w:rsidRPr="005A464E">
        <w:rPr>
          <w:rFonts w:asciiTheme="minorHAnsi" w:hAnsiTheme="minorHAnsi" w:cstheme="minorHAnsi"/>
          <w:i/>
          <w:iCs/>
          <w:lang w:val="en-US"/>
        </w:rPr>
        <w:t>Journal of Ethnicity and Diseases,</w:t>
      </w:r>
      <w:r w:rsidRPr="005A464E">
        <w:rPr>
          <w:rFonts w:asciiTheme="minorHAnsi" w:hAnsiTheme="minorHAnsi" w:cstheme="minorHAnsi"/>
          <w:iCs/>
          <w:lang w:val="en-US"/>
        </w:rPr>
        <w:t xml:space="preserve"> </w:t>
      </w:r>
      <w:r w:rsidRPr="00B27A1C">
        <w:rPr>
          <w:rFonts w:asciiTheme="minorHAnsi" w:hAnsiTheme="minorHAnsi" w:cstheme="minorHAnsi"/>
          <w:i/>
          <w:iCs/>
          <w:lang w:val="en-US"/>
        </w:rPr>
        <w:t>10</w:t>
      </w:r>
      <w:r w:rsidRPr="005A464E">
        <w:rPr>
          <w:rFonts w:asciiTheme="minorHAnsi" w:hAnsiTheme="minorHAnsi" w:cstheme="minorHAnsi"/>
          <w:lang w:val="en-US"/>
        </w:rPr>
        <w:t>, 328-333.</w:t>
      </w:r>
    </w:p>
    <w:p w:rsidR="00617224" w:rsidRPr="005A464E" w:rsidRDefault="00617224" w:rsidP="005A464E">
      <w:pPr>
        <w:pStyle w:val="Web"/>
        <w:spacing w:after="156" w:line="360" w:lineRule="auto"/>
        <w:ind w:left="389" w:hanging="389"/>
        <w:jc w:val="both"/>
        <w:rPr>
          <w:rFonts w:asciiTheme="minorHAnsi" w:hAnsiTheme="minorHAnsi" w:cstheme="minorHAnsi"/>
          <w:lang w:val="en-US"/>
        </w:rPr>
      </w:pPr>
      <w:r w:rsidRPr="005A464E">
        <w:rPr>
          <w:rFonts w:asciiTheme="minorHAnsi" w:hAnsiTheme="minorHAnsi" w:cstheme="minorHAnsi"/>
          <w:lang w:val="en-US"/>
        </w:rPr>
        <w:t>Kutner, N., Bliwise, D., Brogan, D., &amp; Zhang, R. (2001). Race and restless sleep complaint in older chronic dialysis patients and nondialysis community controls.</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The Journals of Gerontology: Series B</w:t>
      </w:r>
      <w:r w:rsidRPr="005A464E">
        <w:rPr>
          <w:rFonts w:asciiTheme="minorHAnsi" w:hAnsiTheme="minorHAnsi" w:cstheme="minorHAnsi"/>
          <w:lang w:val="en-US"/>
        </w:rPr>
        <w:t>,</w:t>
      </w:r>
      <w:r w:rsidR="0078495A">
        <w:rPr>
          <w:rStyle w:val="apple-converted-space"/>
          <w:rFonts w:asciiTheme="minorHAnsi" w:hAnsiTheme="minorHAnsi" w:cstheme="minorHAnsi"/>
          <w:lang w:val="en-US"/>
        </w:rPr>
        <w:t xml:space="preserve"> </w:t>
      </w:r>
      <w:r w:rsidRPr="00B27A1C">
        <w:rPr>
          <w:rFonts w:asciiTheme="minorHAnsi" w:hAnsiTheme="minorHAnsi" w:cstheme="minorHAnsi"/>
          <w:i/>
          <w:iCs/>
          <w:lang w:val="en-US"/>
        </w:rPr>
        <w:t>56</w:t>
      </w:r>
      <w:r w:rsidRPr="00B27A1C">
        <w:rPr>
          <w:rFonts w:asciiTheme="minorHAnsi" w:hAnsiTheme="minorHAnsi" w:cstheme="minorHAnsi"/>
          <w:i/>
          <w:lang w:val="en-US"/>
        </w:rPr>
        <w:t>,</w:t>
      </w:r>
      <w:r w:rsidR="00B27A1C">
        <w:rPr>
          <w:rFonts w:asciiTheme="minorHAnsi" w:hAnsiTheme="minorHAnsi" w:cstheme="minorHAnsi"/>
          <w:lang w:val="en-US"/>
        </w:rPr>
        <w:t xml:space="preserve"> 170-</w:t>
      </w:r>
      <w:r w:rsidRPr="005A464E">
        <w:rPr>
          <w:rFonts w:asciiTheme="minorHAnsi" w:hAnsiTheme="minorHAnsi" w:cstheme="minorHAnsi"/>
          <w:lang w:val="en-US"/>
        </w:rPr>
        <w:t>175. http://dx.</w:t>
      </w:r>
      <w:r w:rsidR="00292B29" w:rsidRPr="005A464E">
        <w:rPr>
          <w:rFonts w:asciiTheme="minorHAnsi" w:hAnsiTheme="minorHAnsi" w:cstheme="minorHAnsi"/>
          <w:lang w:val="en-US"/>
        </w:rPr>
        <w:t>DOI</w:t>
      </w:r>
      <w:r w:rsidRPr="005A464E">
        <w:rPr>
          <w:rFonts w:asciiTheme="minorHAnsi" w:hAnsiTheme="minorHAnsi" w:cstheme="minorHAnsi"/>
          <w:lang w:val="en-US"/>
        </w:rPr>
        <w:t>.org/10.1093/geronb/56.3.p170</w:t>
      </w:r>
      <w:r w:rsidR="00B84F9B" w:rsidRPr="005A464E">
        <w:rPr>
          <w:rFonts w:asciiTheme="minorHAnsi" w:hAnsiTheme="minorHAnsi" w:cstheme="minorHAnsi"/>
          <w:lang w:val="en-US"/>
        </w:rPr>
        <w:t>.</w:t>
      </w:r>
    </w:p>
    <w:p w:rsidR="00AD3C44" w:rsidRPr="005A464E" w:rsidRDefault="00A07F2D" w:rsidP="005A464E">
      <w:pPr>
        <w:pStyle w:val="Web"/>
        <w:spacing w:after="156" w:line="360" w:lineRule="auto"/>
        <w:ind w:left="389" w:hanging="389"/>
        <w:jc w:val="both"/>
        <w:rPr>
          <w:rFonts w:asciiTheme="minorHAnsi" w:hAnsiTheme="minorHAnsi" w:cstheme="minorHAnsi"/>
          <w:lang w:val="en-US"/>
        </w:rPr>
      </w:pPr>
      <w:r w:rsidRPr="005A464E">
        <w:rPr>
          <w:rFonts w:asciiTheme="minorHAnsi" w:hAnsiTheme="minorHAnsi" w:cstheme="minorHAnsi"/>
          <w:lang w:val="en-US"/>
        </w:rPr>
        <w:t>Kyngä</w:t>
      </w:r>
      <w:r w:rsidR="003C410F" w:rsidRPr="005A464E">
        <w:rPr>
          <w:rFonts w:asciiTheme="minorHAnsi" w:hAnsiTheme="minorHAnsi" w:cstheme="minorHAnsi"/>
          <w:lang w:val="en-US"/>
        </w:rPr>
        <w:t>s, H., Duffy, M., &amp; Kroll, T. (2000). Conceptual analysis of compliance.</w:t>
      </w:r>
      <w:r w:rsidR="003C410F" w:rsidRPr="005A464E">
        <w:rPr>
          <w:rStyle w:val="apple-converted-space"/>
          <w:rFonts w:asciiTheme="minorHAnsi" w:hAnsiTheme="minorHAnsi" w:cstheme="minorHAnsi"/>
          <w:lang w:val="en-US"/>
        </w:rPr>
        <w:t> </w:t>
      </w:r>
      <w:r w:rsidR="00B91856" w:rsidRPr="005A464E">
        <w:rPr>
          <w:rFonts w:asciiTheme="minorHAnsi" w:hAnsiTheme="minorHAnsi" w:cstheme="minorHAnsi"/>
          <w:i/>
          <w:iCs/>
          <w:lang w:val="en-US"/>
        </w:rPr>
        <w:t>Journal o</w:t>
      </w:r>
      <w:r w:rsidR="003C410F" w:rsidRPr="005A464E">
        <w:rPr>
          <w:rFonts w:asciiTheme="minorHAnsi" w:hAnsiTheme="minorHAnsi" w:cstheme="minorHAnsi"/>
          <w:i/>
          <w:iCs/>
          <w:lang w:val="en-US"/>
        </w:rPr>
        <w:t>f Clinical Nursing</w:t>
      </w:r>
      <w:r w:rsidR="003C410F" w:rsidRPr="005A464E">
        <w:rPr>
          <w:rFonts w:asciiTheme="minorHAnsi" w:hAnsiTheme="minorHAnsi" w:cstheme="minorHAnsi"/>
          <w:lang w:val="en-US"/>
        </w:rPr>
        <w:t>,</w:t>
      </w:r>
      <w:r w:rsidR="003C410F" w:rsidRPr="005A464E">
        <w:rPr>
          <w:rStyle w:val="apple-converted-space"/>
          <w:rFonts w:asciiTheme="minorHAnsi" w:hAnsiTheme="minorHAnsi" w:cstheme="minorHAnsi"/>
          <w:lang w:val="en-US"/>
        </w:rPr>
        <w:t> </w:t>
      </w:r>
      <w:r w:rsidR="003C410F" w:rsidRPr="00B27A1C">
        <w:rPr>
          <w:rFonts w:asciiTheme="minorHAnsi" w:hAnsiTheme="minorHAnsi" w:cstheme="minorHAnsi"/>
          <w:i/>
          <w:iCs/>
          <w:lang w:val="en-US"/>
        </w:rPr>
        <w:t>9</w:t>
      </w:r>
      <w:r w:rsidR="003C410F" w:rsidRPr="00B27A1C">
        <w:rPr>
          <w:rFonts w:asciiTheme="minorHAnsi" w:hAnsiTheme="minorHAnsi" w:cstheme="minorHAnsi"/>
          <w:i/>
          <w:lang w:val="en-US"/>
        </w:rPr>
        <w:t>,</w:t>
      </w:r>
      <w:r w:rsidR="00B91856" w:rsidRPr="005A464E">
        <w:rPr>
          <w:rFonts w:asciiTheme="minorHAnsi" w:hAnsiTheme="minorHAnsi" w:cstheme="minorHAnsi"/>
          <w:lang w:val="en-US"/>
        </w:rPr>
        <w:t xml:space="preserve"> 5-12.</w:t>
      </w:r>
      <w:r w:rsidR="00B84F9B" w:rsidRPr="005A464E">
        <w:rPr>
          <w:rFonts w:asciiTheme="minorHAnsi" w:hAnsiTheme="minorHAnsi" w:cstheme="minorHAnsi"/>
          <w:lang w:val="en-US"/>
        </w:rPr>
        <w:t xml:space="preserve"> </w:t>
      </w:r>
    </w:p>
    <w:p w:rsidR="003C410F" w:rsidRPr="005A464E" w:rsidRDefault="003C410F" w:rsidP="005A464E">
      <w:pPr>
        <w:pStyle w:val="Web"/>
        <w:spacing w:after="156" w:line="360" w:lineRule="auto"/>
        <w:ind w:left="389" w:hanging="389"/>
        <w:jc w:val="both"/>
        <w:rPr>
          <w:rFonts w:asciiTheme="minorHAnsi" w:hAnsiTheme="minorHAnsi" w:cstheme="minorHAnsi"/>
          <w:lang w:val="en-US"/>
        </w:rPr>
      </w:pPr>
      <w:r w:rsidRPr="005A464E">
        <w:rPr>
          <w:rFonts w:asciiTheme="minorHAnsi" w:hAnsiTheme="minorHAnsi" w:cstheme="minorHAnsi"/>
          <w:lang w:val="en-US"/>
        </w:rPr>
        <w:t xml:space="preserve">Lam, W., &amp; Fresco, P. (2015). Medication </w:t>
      </w:r>
      <w:r w:rsidR="001720A0" w:rsidRPr="005A464E">
        <w:rPr>
          <w:rFonts w:asciiTheme="minorHAnsi" w:hAnsiTheme="minorHAnsi" w:cstheme="minorHAnsi"/>
          <w:lang w:val="en-US"/>
        </w:rPr>
        <w:t>adherence mea</w:t>
      </w:r>
      <w:r w:rsidRPr="005A464E">
        <w:rPr>
          <w:rFonts w:asciiTheme="minorHAnsi" w:hAnsiTheme="minorHAnsi" w:cstheme="minorHAnsi"/>
          <w:lang w:val="en-US"/>
        </w:rPr>
        <w:t>sures: An Overview.</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Biomed Research International</w:t>
      </w:r>
      <w:r w:rsidRPr="005A464E">
        <w:rPr>
          <w:rFonts w:asciiTheme="minorHAnsi" w:hAnsiTheme="minorHAnsi" w:cstheme="minorHAnsi"/>
          <w:lang w:val="en-US"/>
        </w:rPr>
        <w:t>,</w:t>
      </w:r>
      <w:r w:rsidR="0078495A">
        <w:rPr>
          <w:rStyle w:val="apple-converted-space"/>
          <w:rFonts w:asciiTheme="minorHAnsi" w:hAnsiTheme="minorHAnsi" w:cstheme="minorHAnsi"/>
          <w:lang w:val="en-US"/>
        </w:rPr>
        <w:t xml:space="preserve"> </w:t>
      </w:r>
      <w:r w:rsidRPr="005A464E">
        <w:rPr>
          <w:rFonts w:asciiTheme="minorHAnsi" w:hAnsiTheme="minorHAnsi" w:cstheme="minorHAnsi"/>
          <w:lang w:val="en-US"/>
        </w:rPr>
        <w:t>1-12. http://dx.</w:t>
      </w:r>
      <w:r w:rsidR="00292B29" w:rsidRPr="005A464E">
        <w:rPr>
          <w:rFonts w:asciiTheme="minorHAnsi" w:hAnsiTheme="minorHAnsi" w:cstheme="minorHAnsi"/>
          <w:lang w:val="en-US"/>
        </w:rPr>
        <w:t>DOI</w:t>
      </w:r>
      <w:r w:rsidRPr="005A464E">
        <w:rPr>
          <w:rFonts w:asciiTheme="minorHAnsi" w:hAnsiTheme="minorHAnsi" w:cstheme="minorHAnsi"/>
          <w:lang w:val="en-US"/>
        </w:rPr>
        <w:t>.org/10.1155/2015/217047</w:t>
      </w:r>
      <w:r w:rsidR="00B91856" w:rsidRPr="005A464E">
        <w:rPr>
          <w:rFonts w:asciiTheme="minorHAnsi" w:hAnsiTheme="minorHAnsi" w:cstheme="minorHAnsi"/>
          <w:lang w:val="en-US"/>
        </w:rPr>
        <w:t>.</w:t>
      </w:r>
    </w:p>
    <w:p w:rsidR="003C410F" w:rsidRDefault="003C410F" w:rsidP="005A464E">
      <w:pPr>
        <w:pStyle w:val="Web"/>
        <w:spacing w:after="156" w:line="360" w:lineRule="auto"/>
        <w:ind w:left="389" w:hanging="389"/>
        <w:jc w:val="both"/>
        <w:rPr>
          <w:rFonts w:asciiTheme="minorHAnsi" w:hAnsiTheme="minorHAnsi" w:cstheme="minorHAnsi"/>
          <w:lang w:val="en-US"/>
        </w:rPr>
      </w:pPr>
      <w:r w:rsidRPr="005A464E">
        <w:rPr>
          <w:rFonts w:asciiTheme="minorHAnsi" w:hAnsiTheme="minorHAnsi" w:cstheme="minorHAnsi"/>
          <w:lang w:val="en-US"/>
        </w:rPr>
        <w:t>Lavsa, S., Holzworth, A., &amp; Ansani, N. (2011). Selection of a validated scale for measuring medication adherence.</w:t>
      </w:r>
      <w:r w:rsidRPr="005A464E">
        <w:rPr>
          <w:rStyle w:val="apple-converted-space"/>
          <w:rFonts w:asciiTheme="minorHAnsi" w:hAnsiTheme="minorHAnsi" w:cstheme="minorHAnsi"/>
          <w:lang w:val="en-US"/>
        </w:rPr>
        <w:t> </w:t>
      </w:r>
      <w:r w:rsidR="00292B29" w:rsidRPr="005A464E">
        <w:rPr>
          <w:rFonts w:asciiTheme="minorHAnsi" w:hAnsiTheme="minorHAnsi" w:cstheme="minorHAnsi"/>
          <w:i/>
          <w:iCs/>
          <w:lang w:val="en-US"/>
        </w:rPr>
        <w:t>Journal o</w:t>
      </w:r>
      <w:r w:rsidRPr="005A464E">
        <w:rPr>
          <w:rFonts w:asciiTheme="minorHAnsi" w:hAnsiTheme="minorHAnsi" w:cstheme="minorHAnsi"/>
          <w:i/>
          <w:iCs/>
          <w:lang w:val="en-US"/>
        </w:rPr>
        <w:t>f The American Pharmacists Association</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8C3704">
        <w:rPr>
          <w:rFonts w:asciiTheme="minorHAnsi" w:hAnsiTheme="minorHAnsi" w:cstheme="minorHAnsi"/>
          <w:i/>
          <w:iCs/>
          <w:lang w:val="en-US"/>
        </w:rPr>
        <w:t>51</w:t>
      </w:r>
      <w:r w:rsidRPr="005A464E">
        <w:rPr>
          <w:rFonts w:asciiTheme="minorHAnsi" w:hAnsiTheme="minorHAnsi" w:cstheme="minorHAnsi"/>
          <w:lang w:val="en-US"/>
        </w:rPr>
        <w:t xml:space="preserve">, 90-94. </w:t>
      </w:r>
      <w:hyperlink r:id="rId262" w:history="1">
        <w:r w:rsidR="00701B9F" w:rsidRPr="00503757">
          <w:rPr>
            <w:rStyle w:val="-"/>
            <w:rFonts w:asciiTheme="minorHAnsi" w:hAnsiTheme="minorHAnsi" w:cstheme="minorHAnsi"/>
            <w:lang w:val="en-US"/>
          </w:rPr>
          <w:t>http://dx.DOI.org/10.1331/japha.2011.09154</w:t>
        </w:r>
      </w:hyperlink>
      <w:r w:rsidR="00B91856" w:rsidRPr="005A464E">
        <w:rPr>
          <w:rFonts w:asciiTheme="minorHAnsi" w:hAnsiTheme="minorHAnsi" w:cstheme="minorHAnsi"/>
          <w:lang w:val="en-US"/>
        </w:rPr>
        <w:t>.</w:t>
      </w:r>
    </w:p>
    <w:p w:rsidR="00701B9F" w:rsidRDefault="00701B9F" w:rsidP="005A464E">
      <w:pPr>
        <w:pStyle w:val="Web"/>
        <w:spacing w:after="156" w:line="360" w:lineRule="auto"/>
        <w:ind w:left="389" w:hanging="389"/>
        <w:jc w:val="both"/>
        <w:rPr>
          <w:rFonts w:asciiTheme="minorHAnsi" w:hAnsiTheme="minorHAnsi" w:cstheme="minorHAnsi"/>
          <w:lang w:val="en-US"/>
        </w:rPr>
      </w:pPr>
      <w:r>
        <w:rPr>
          <w:rFonts w:asciiTheme="minorHAnsi" w:hAnsiTheme="minorHAnsi" w:cstheme="minorHAnsi"/>
          <w:lang w:val="en-US"/>
        </w:rPr>
        <w:t xml:space="preserve">Lederer, E., &amp; Ouseph, R. (2007). </w:t>
      </w:r>
      <w:r w:rsidRPr="00701B9F">
        <w:rPr>
          <w:rFonts w:asciiTheme="minorHAnsi" w:hAnsiTheme="minorHAnsi" w:cstheme="minorHAnsi"/>
          <w:lang w:val="en-US"/>
        </w:rPr>
        <w:t>Chronic Kidney Disease</w:t>
      </w:r>
      <w:r>
        <w:rPr>
          <w:rFonts w:asciiTheme="minorHAnsi" w:hAnsiTheme="minorHAnsi" w:cstheme="minorHAnsi"/>
          <w:lang w:val="en-US"/>
        </w:rPr>
        <w:t xml:space="preserve">. </w:t>
      </w:r>
      <w:r w:rsidRPr="00701B9F">
        <w:rPr>
          <w:rFonts w:asciiTheme="minorHAnsi" w:hAnsiTheme="minorHAnsi" w:cstheme="minorHAnsi"/>
          <w:i/>
          <w:lang w:val="en-US"/>
        </w:rPr>
        <w:t>American Journal of Kidney Disease</w:t>
      </w:r>
      <w:r>
        <w:rPr>
          <w:rFonts w:asciiTheme="minorHAnsi" w:hAnsiTheme="minorHAnsi" w:cstheme="minorHAnsi"/>
          <w:i/>
          <w:lang w:val="en-US"/>
        </w:rPr>
        <w:t>: The official journal of the</w:t>
      </w:r>
      <w:r w:rsidRPr="00701B9F">
        <w:rPr>
          <w:rFonts w:asciiTheme="minorHAnsi" w:hAnsiTheme="minorHAnsi" w:cstheme="minorHAnsi"/>
          <w:i/>
          <w:lang w:val="en-US"/>
        </w:rPr>
        <w:t xml:space="preserve"> National Kidney Foundation</w:t>
      </w:r>
      <w:r w:rsidRPr="00701B9F">
        <w:rPr>
          <w:rFonts w:asciiTheme="minorHAnsi" w:hAnsiTheme="minorHAnsi" w:cstheme="minorHAnsi"/>
          <w:lang w:val="en-US"/>
        </w:rPr>
        <w:t>, 49</w:t>
      </w:r>
      <w:r>
        <w:rPr>
          <w:rFonts w:asciiTheme="minorHAnsi" w:hAnsiTheme="minorHAnsi" w:cstheme="minorHAnsi"/>
          <w:lang w:val="en-US"/>
        </w:rPr>
        <w:t>, 162-171.</w:t>
      </w:r>
    </w:p>
    <w:p w:rsidR="003C410F" w:rsidRPr="005A464E" w:rsidRDefault="003C410F" w:rsidP="005A464E">
      <w:pPr>
        <w:pStyle w:val="Web"/>
        <w:spacing w:after="156" w:line="360" w:lineRule="auto"/>
        <w:ind w:left="389" w:hanging="389"/>
        <w:jc w:val="both"/>
        <w:rPr>
          <w:rFonts w:asciiTheme="minorHAnsi" w:hAnsiTheme="minorHAnsi" w:cstheme="minorHAnsi"/>
          <w:lang w:val="en-US"/>
        </w:rPr>
      </w:pPr>
      <w:r w:rsidRPr="005A464E">
        <w:rPr>
          <w:rFonts w:asciiTheme="minorHAnsi" w:hAnsiTheme="minorHAnsi" w:cstheme="minorHAnsi"/>
          <w:lang w:val="en-US"/>
        </w:rPr>
        <w:t>Lee, S., &amp; Molassiotis, A. (2002). Dietary and fluid compliance in Chinese hemodialysis patients.</w:t>
      </w:r>
      <w:r w:rsidRPr="005A464E">
        <w:rPr>
          <w:rStyle w:val="apple-converted-space"/>
          <w:rFonts w:asciiTheme="minorHAnsi" w:hAnsiTheme="minorHAnsi" w:cstheme="minorHAnsi"/>
          <w:lang w:val="en-US"/>
        </w:rPr>
        <w:t> </w:t>
      </w:r>
      <w:r w:rsidR="001720A0" w:rsidRPr="005A464E">
        <w:rPr>
          <w:rFonts w:asciiTheme="minorHAnsi" w:hAnsiTheme="minorHAnsi" w:cstheme="minorHAnsi"/>
          <w:i/>
          <w:iCs/>
          <w:lang w:val="en-US"/>
        </w:rPr>
        <w:t>International Journal o</w:t>
      </w:r>
      <w:r w:rsidRPr="005A464E">
        <w:rPr>
          <w:rFonts w:asciiTheme="minorHAnsi" w:hAnsiTheme="minorHAnsi" w:cstheme="minorHAnsi"/>
          <w:i/>
          <w:iCs/>
          <w:lang w:val="en-US"/>
        </w:rPr>
        <w:t>f Nursing Studies</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8C3704">
        <w:rPr>
          <w:rFonts w:asciiTheme="minorHAnsi" w:hAnsiTheme="minorHAnsi" w:cstheme="minorHAnsi"/>
          <w:i/>
          <w:iCs/>
          <w:lang w:val="en-US"/>
        </w:rPr>
        <w:t>39</w:t>
      </w:r>
      <w:r w:rsidRPr="005A464E">
        <w:rPr>
          <w:rFonts w:asciiTheme="minorHAnsi" w:hAnsiTheme="minorHAnsi" w:cstheme="minorHAnsi"/>
          <w:lang w:val="en-US"/>
        </w:rPr>
        <w:t>, 695-704. http://dx.</w:t>
      </w:r>
      <w:r w:rsidR="00292B29" w:rsidRPr="005A464E">
        <w:rPr>
          <w:rFonts w:asciiTheme="minorHAnsi" w:hAnsiTheme="minorHAnsi" w:cstheme="minorHAnsi"/>
          <w:lang w:val="en-US"/>
        </w:rPr>
        <w:t>DOI</w:t>
      </w:r>
      <w:r w:rsidRPr="005A464E">
        <w:rPr>
          <w:rFonts w:asciiTheme="minorHAnsi" w:hAnsiTheme="minorHAnsi" w:cstheme="minorHAnsi"/>
          <w:lang w:val="en-US"/>
        </w:rPr>
        <w:t>.org/10.1016/s0020-7489(02)00007-x</w:t>
      </w:r>
      <w:r w:rsidR="008643F6" w:rsidRPr="005A464E">
        <w:rPr>
          <w:rFonts w:asciiTheme="minorHAnsi" w:hAnsiTheme="minorHAnsi" w:cstheme="minorHAnsi"/>
          <w:lang w:val="en-US"/>
        </w:rPr>
        <w:t>.</w:t>
      </w:r>
    </w:p>
    <w:p w:rsidR="003C410F" w:rsidRPr="005A464E" w:rsidRDefault="003C410F" w:rsidP="005A464E">
      <w:pPr>
        <w:pStyle w:val="Web"/>
        <w:spacing w:after="156" w:line="360" w:lineRule="auto"/>
        <w:ind w:left="389" w:hanging="389"/>
        <w:jc w:val="both"/>
        <w:rPr>
          <w:rFonts w:asciiTheme="minorHAnsi" w:hAnsiTheme="minorHAnsi" w:cstheme="minorHAnsi"/>
          <w:lang w:val="en-US"/>
        </w:rPr>
      </w:pPr>
      <w:r w:rsidRPr="005A464E">
        <w:rPr>
          <w:rFonts w:asciiTheme="minorHAnsi" w:hAnsiTheme="minorHAnsi" w:cstheme="minorHAnsi"/>
          <w:lang w:val="en-US"/>
        </w:rPr>
        <w:t xml:space="preserve">Leidy, N. (1994). Functional status and the forward progress of merry-go-rounds: Toward a coherent analytical framework. </w:t>
      </w:r>
      <w:r w:rsidRPr="005A464E">
        <w:rPr>
          <w:rFonts w:asciiTheme="minorHAnsi" w:hAnsiTheme="minorHAnsi" w:cstheme="minorHAnsi"/>
          <w:i/>
          <w:iCs/>
          <w:lang w:val="en-US"/>
        </w:rPr>
        <w:t>Nursing Research</w:t>
      </w:r>
      <w:r w:rsidRPr="005A464E">
        <w:rPr>
          <w:rFonts w:asciiTheme="minorHAnsi" w:hAnsiTheme="minorHAnsi" w:cstheme="minorHAnsi"/>
          <w:i/>
          <w:lang w:val="en-US"/>
        </w:rPr>
        <w:t>,</w:t>
      </w:r>
      <w:r w:rsidRPr="005A464E">
        <w:rPr>
          <w:rFonts w:asciiTheme="minorHAnsi" w:hAnsiTheme="minorHAnsi" w:cstheme="minorHAnsi"/>
          <w:lang w:val="en-US"/>
        </w:rPr>
        <w:t xml:space="preserve"> </w:t>
      </w:r>
      <w:r w:rsidRPr="008C3704">
        <w:rPr>
          <w:rFonts w:asciiTheme="minorHAnsi" w:hAnsiTheme="minorHAnsi" w:cstheme="minorHAnsi"/>
          <w:i/>
          <w:iCs/>
          <w:lang w:val="en-US"/>
        </w:rPr>
        <w:t>43</w:t>
      </w:r>
      <w:r w:rsidRPr="005A464E">
        <w:rPr>
          <w:rFonts w:asciiTheme="minorHAnsi" w:hAnsiTheme="minorHAnsi" w:cstheme="minorHAnsi"/>
          <w:lang w:val="en-US"/>
        </w:rPr>
        <w:t>, 196-202</w:t>
      </w:r>
      <w:r w:rsidR="008643F6" w:rsidRPr="005A464E">
        <w:rPr>
          <w:rFonts w:asciiTheme="minorHAnsi" w:hAnsiTheme="minorHAnsi" w:cstheme="minorHAnsi"/>
          <w:lang w:val="en-US"/>
        </w:rPr>
        <w:t>.</w:t>
      </w:r>
    </w:p>
    <w:p w:rsidR="003C410F" w:rsidRPr="005A464E" w:rsidRDefault="003C410F" w:rsidP="005A464E">
      <w:pPr>
        <w:pStyle w:val="Web"/>
        <w:spacing w:after="156" w:line="360" w:lineRule="auto"/>
        <w:ind w:left="389" w:hanging="389"/>
        <w:jc w:val="both"/>
        <w:rPr>
          <w:rFonts w:asciiTheme="minorHAnsi" w:hAnsiTheme="minorHAnsi" w:cstheme="minorHAnsi"/>
          <w:lang w:val="en-US"/>
        </w:rPr>
      </w:pPr>
      <w:r w:rsidRPr="005A464E">
        <w:rPr>
          <w:rFonts w:asciiTheme="minorHAnsi" w:hAnsiTheme="minorHAnsi" w:cstheme="minorHAnsi"/>
          <w:lang w:val="en-US"/>
        </w:rPr>
        <w:t xml:space="preserve">Lev, E.L, &amp; Owen, S.V. (1998). A prospective study of adjustment to hemodialysis. </w:t>
      </w:r>
      <w:r w:rsidRPr="005A464E">
        <w:rPr>
          <w:rFonts w:asciiTheme="minorHAnsi" w:hAnsiTheme="minorHAnsi" w:cstheme="minorHAnsi"/>
          <w:i/>
          <w:lang w:val="en-US"/>
        </w:rPr>
        <w:t xml:space="preserve">American Nephrology Nurses Association </w:t>
      </w:r>
      <w:r w:rsidRPr="008C3704">
        <w:rPr>
          <w:rFonts w:asciiTheme="minorHAnsi" w:hAnsiTheme="minorHAnsi" w:cstheme="minorHAnsi"/>
          <w:i/>
          <w:lang w:val="en-US"/>
        </w:rPr>
        <w:t>Journal</w:t>
      </w:r>
      <w:r w:rsidR="008C3704">
        <w:rPr>
          <w:rFonts w:asciiTheme="minorHAnsi" w:hAnsiTheme="minorHAnsi" w:cstheme="minorHAnsi"/>
          <w:i/>
          <w:lang w:val="en-US"/>
        </w:rPr>
        <w:t>, 25</w:t>
      </w:r>
      <w:r w:rsidRPr="005A464E">
        <w:rPr>
          <w:rFonts w:asciiTheme="minorHAnsi" w:hAnsiTheme="minorHAnsi" w:cstheme="minorHAnsi"/>
          <w:lang w:val="en-US"/>
        </w:rPr>
        <w:t>, 495-504.</w:t>
      </w:r>
      <w:r w:rsidR="0078495A">
        <w:rPr>
          <w:rFonts w:asciiTheme="minorHAnsi" w:hAnsiTheme="minorHAnsi" w:cstheme="minorHAnsi"/>
          <w:lang w:val="en-US"/>
        </w:rPr>
        <w:t xml:space="preserve"> </w:t>
      </w:r>
    </w:p>
    <w:p w:rsidR="003A1020" w:rsidRPr="003A1020" w:rsidRDefault="003C410F" w:rsidP="003A1020">
      <w:pPr>
        <w:pStyle w:val="Web"/>
        <w:spacing w:after="156" w:line="360" w:lineRule="auto"/>
        <w:ind w:left="389" w:hanging="389"/>
        <w:jc w:val="both"/>
        <w:rPr>
          <w:rFonts w:asciiTheme="minorHAnsi" w:eastAsia="Times New Roman" w:hAnsiTheme="minorHAnsi" w:cstheme="minorHAnsi"/>
          <w:iCs/>
          <w:lang w:val="en-US" w:eastAsia="el-GR"/>
        </w:rPr>
      </w:pPr>
      <w:r w:rsidRPr="005A464E">
        <w:rPr>
          <w:rFonts w:asciiTheme="minorHAnsi" w:eastAsia="Times New Roman" w:hAnsiTheme="minorHAnsi" w:cstheme="minorHAnsi"/>
          <w:iCs/>
          <w:lang w:val="en-US" w:eastAsia="el-GR"/>
        </w:rPr>
        <w:t>Levey, A.S., Coresh, J., Balk, E., Kausz, A.T.,</w:t>
      </w:r>
      <w:r w:rsidR="008643F6" w:rsidRPr="005A464E">
        <w:rPr>
          <w:rFonts w:asciiTheme="minorHAnsi" w:eastAsia="Times New Roman" w:hAnsiTheme="minorHAnsi" w:cstheme="minorHAnsi"/>
          <w:iCs/>
          <w:lang w:val="en-US" w:eastAsia="el-GR"/>
        </w:rPr>
        <w:t xml:space="preserve"> Levin, A., Steffes, M.W.,</w:t>
      </w:r>
      <w:r w:rsidR="007C2040">
        <w:rPr>
          <w:rFonts w:asciiTheme="minorHAnsi" w:hAnsiTheme="minorHAnsi" w:cs="Arial"/>
          <w:color w:val="000000"/>
          <w:shd w:val="clear" w:color="auto" w:fill="FFFFFF"/>
          <w:lang w:val="en-US"/>
        </w:rPr>
        <w:t xml:space="preserve"> … &amp; </w:t>
      </w:r>
      <w:hyperlink r:id="rId263" w:history="1">
        <w:r w:rsidR="008643F6" w:rsidRPr="005A464E">
          <w:rPr>
            <w:rStyle w:val="-"/>
            <w:rFonts w:asciiTheme="minorHAnsi" w:hAnsiTheme="minorHAnsi" w:cs="Arial"/>
            <w:color w:val="auto"/>
            <w:u w:val="none"/>
            <w:shd w:val="clear" w:color="auto" w:fill="FFFFFF"/>
            <w:lang w:val="en-US"/>
          </w:rPr>
          <w:t>Eknoyan,G</w:t>
        </w:r>
      </w:hyperlink>
      <w:r w:rsidR="00AD3C44" w:rsidRPr="005A464E">
        <w:rPr>
          <w:rFonts w:asciiTheme="minorHAnsi" w:hAnsiTheme="minorHAnsi" w:cs="Arial"/>
          <w:shd w:val="clear" w:color="auto" w:fill="FFFFFF"/>
          <w:lang w:val="en-US"/>
        </w:rPr>
        <w:t xml:space="preserve">. </w:t>
      </w:r>
      <w:r w:rsidR="00AD3C44" w:rsidRPr="005A464E">
        <w:rPr>
          <w:rFonts w:asciiTheme="minorHAnsi" w:eastAsia="Times New Roman" w:hAnsiTheme="minorHAnsi" w:cstheme="minorHAnsi"/>
          <w:iCs/>
          <w:lang w:val="en-US" w:eastAsia="el-GR"/>
        </w:rPr>
        <w:t xml:space="preserve">(2003). </w:t>
      </w:r>
      <w:r w:rsidR="00AD3C44" w:rsidRPr="005A464E">
        <w:rPr>
          <w:rFonts w:asciiTheme="minorHAnsi" w:eastAsia="Times New Roman" w:hAnsiTheme="minorHAnsi" w:cstheme="minorHAnsi"/>
          <w:bCs/>
          <w:lang w:val="en-US" w:eastAsia="el-GR"/>
        </w:rPr>
        <w:t xml:space="preserve">National </w:t>
      </w:r>
      <w:r w:rsidRPr="005A464E">
        <w:rPr>
          <w:rFonts w:asciiTheme="minorHAnsi" w:eastAsia="Times New Roman" w:hAnsiTheme="minorHAnsi" w:cstheme="minorHAnsi"/>
          <w:lang w:val="en-US" w:eastAsia="el-GR"/>
        </w:rPr>
        <w:t>Kidney Foundation practice guidelines</w:t>
      </w:r>
      <w:r w:rsidR="0078495A">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for</w:t>
      </w:r>
      <w:r w:rsidRPr="005A464E">
        <w:rPr>
          <w:rFonts w:asciiTheme="minorHAnsi" w:eastAsia="Times New Roman" w:hAnsiTheme="minorHAnsi" w:cstheme="minorHAnsi"/>
          <w:shd w:val="clear" w:color="auto" w:fill="FFFFFF"/>
          <w:lang w:val="en-US" w:eastAsia="el-GR"/>
        </w:rPr>
        <w:t xml:space="preserve"> chronic</w:t>
      </w:r>
      <w:r w:rsidR="0078495A">
        <w:rPr>
          <w:rFonts w:asciiTheme="minorHAnsi" w:eastAsia="Times New Roman" w:hAnsiTheme="minorHAnsi" w:cstheme="minorHAnsi"/>
          <w:shd w:val="clear" w:color="auto" w:fill="FFFFFF"/>
          <w:lang w:val="en-US" w:eastAsia="el-GR"/>
        </w:rPr>
        <w:t xml:space="preserve"> </w:t>
      </w:r>
      <w:r w:rsidRPr="005A464E">
        <w:rPr>
          <w:rFonts w:asciiTheme="minorHAnsi" w:eastAsia="Times New Roman" w:hAnsiTheme="minorHAnsi" w:cstheme="minorHAnsi"/>
          <w:bCs/>
          <w:lang w:val="en-US" w:eastAsia="el-GR"/>
        </w:rPr>
        <w:t>kidney</w:t>
      </w:r>
      <w:r w:rsidRPr="005A464E">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shd w:val="clear" w:color="auto" w:fill="FFFFFF"/>
          <w:lang w:val="en-US" w:eastAsia="el-GR"/>
        </w:rPr>
        <w:t>disease: evaluation, classification, and stratification.</w:t>
      </w:r>
      <w:r w:rsidRPr="005A464E">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i/>
          <w:iCs/>
          <w:lang w:val="en-US" w:eastAsia="el-GR"/>
        </w:rPr>
        <w:t>Annals of Internal Medicine,</w:t>
      </w:r>
      <w:r w:rsidR="008C3704">
        <w:rPr>
          <w:rFonts w:asciiTheme="minorHAnsi" w:eastAsia="Times New Roman" w:hAnsiTheme="minorHAnsi" w:cstheme="minorHAnsi"/>
          <w:iCs/>
          <w:lang w:val="en-US" w:eastAsia="el-GR"/>
        </w:rPr>
        <w:t xml:space="preserve"> </w:t>
      </w:r>
      <w:r w:rsidR="008C3704" w:rsidRPr="008C3704">
        <w:rPr>
          <w:rFonts w:asciiTheme="minorHAnsi" w:eastAsia="Times New Roman" w:hAnsiTheme="minorHAnsi" w:cstheme="minorHAnsi"/>
          <w:i/>
          <w:iCs/>
          <w:lang w:val="en-US" w:eastAsia="el-GR"/>
        </w:rPr>
        <w:t>139</w:t>
      </w:r>
      <w:r w:rsidR="008C3704">
        <w:rPr>
          <w:rFonts w:asciiTheme="minorHAnsi" w:eastAsia="Times New Roman" w:hAnsiTheme="minorHAnsi" w:cstheme="minorHAnsi"/>
          <w:iCs/>
          <w:lang w:val="en-US" w:eastAsia="el-GR"/>
        </w:rPr>
        <w:t xml:space="preserve">, </w:t>
      </w:r>
      <w:r w:rsidRPr="005A464E">
        <w:rPr>
          <w:rFonts w:asciiTheme="minorHAnsi" w:eastAsia="Times New Roman" w:hAnsiTheme="minorHAnsi" w:cstheme="minorHAnsi"/>
          <w:iCs/>
          <w:lang w:val="en-US" w:eastAsia="el-GR"/>
        </w:rPr>
        <w:t>137-</w:t>
      </w:r>
      <w:r w:rsidR="00AD3C44" w:rsidRPr="005A464E">
        <w:rPr>
          <w:rFonts w:asciiTheme="minorHAnsi" w:eastAsia="Times New Roman" w:hAnsiTheme="minorHAnsi" w:cstheme="minorHAnsi"/>
          <w:iCs/>
          <w:lang w:val="en-US" w:eastAsia="el-GR"/>
        </w:rPr>
        <w:t>1</w:t>
      </w:r>
      <w:r w:rsidRPr="005A464E">
        <w:rPr>
          <w:rFonts w:asciiTheme="minorHAnsi" w:eastAsia="Times New Roman" w:hAnsiTheme="minorHAnsi" w:cstheme="minorHAnsi"/>
          <w:iCs/>
          <w:lang w:val="en-US" w:eastAsia="el-GR"/>
        </w:rPr>
        <w:t>47</w:t>
      </w:r>
      <w:r w:rsidR="00AD3C44" w:rsidRPr="005A464E">
        <w:rPr>
          <w:rFonts w:asciiTheme="minorHAnsi" w:eastAsia="Times New Roman" w:hAnsiTheme="minorHAnsi" w:cstheme="minorHAnsi"/>
          <w:iCs/>
          <w:lang w:val="en-US" w:eastAsia="el-GR"/>
        </w:rPr>
        <w:t>.</w:t>
      </w:r>
      <w:r w:rsidR="001720A0" w:rsidRPr="005A464E">
        <w:rPr>
          <w:rFonts w:asciiTheme="minorHAnsi" w:eastAsia="Times New Roman" w:hAnsiTheme="minorHAnsi" w:cstheme="minorHAnsi"/>
          <w:iCs/>
          <w:lang w:val="en-US" w:eastAsia="el-GR"/>
        </w:rPr>
        <w:t xml:space="preserve"> </w:t>
      </w:r>
      <w:r w:rsidR="00292B29" w:rsidRPr="005A464E">
        <w:rPr>
          <w:rFonts w:asciiTheme="minorHAnsi" w:eastAsia="Times New Roman" w:hAnsiTheme="minorHAnsi" w:cstheme="minorHAnsi"/>
          <w:iCs/>
          <w:lang w:val="en-US" w:eastAsia="el-GR"/>
        </w:rPr>
        <w:t>DOI</w:t>
      </w:r>
      <w:r w:rsidR="001720A0" w:rsidRPr="005A464E">
        <w:rPr>
          <w:rFonts w:asciiTheme="minorHAnsi" w:eastAsia="Times New Roman" w:hAnsiTheme="minorHAnsi" w:cstheme="minorHAnsi"/>
          <w:iCs/>
          <w:lang w:val="en-US" w:eastAsia="el-GR"/>
        </w:rPr>
        <w:t>:10.7326/0003-4819-139-2-200307150-00013</w:t>
      </w:r>
      <w:r w:rsidR="008643F6" w:rsidRPr="005A464E">
        <w:rPr>
          <w:rFonts w:asciiTheme="minorHAnsi" w:eastAsia="Times New Roman" w:hAnsiTheme="minorHAnsi" w:cstheme="minorHAnsi"/>
          <w:iCs/>
          <w:lang w:val="en-US" w:eastAsia="el-GR"/>
        </w:rPr>
        <w:t>.</w:t>
      </w:r>
    </w:p>
    <w:p w:rsidR="003A1020" w:rsidRPr="003A1020" w:rsidRDefault="008F3609" w:rsidP="003A1020">
      <w:pPr>
        <w:pStyle w:val="Web"/>
        <w:spacing w:after="156" w:line="360" w:lineRule="auto"/>
        <w:ind w:left="389" w:hanging="389"/>
        <w:jc w:val="both"/>
        <w:rPr>
          <w:rFonts w:asciiTheme="minorHAnsi" w:eastAsia="Times New Roman" w:hAnsiTheme="minorHAnsi" w:cstheme="minorHAnsi"/>
          <w:iCs/>
          <w:lang w:val="en-US" w:eastAsia="el-GR"/>
        </w:rPr>
      </w:pPr>
      <w:hyperlink r:id="rId264" w:history="1">
        <w:r w:rsidR="003A1020" w:rsidRPr="003A1020">
          <w:rPr>
            <w:rStyle w:val="-"/>
            <w:rFonts w:asciiTheme="minorHAnsi" w:hAnsiTheme="minorHAnsi" w:cstheme="minorHAnsi"/>
            <w:color w:val="auto"/>
            <w:u w:val="none"/>
            <w:lang w:val="en-US"/>
          </w:rPr>
          <w:t>Levey</w:t>
        </w:r>
        <w:r w:rsidR="003A1020">
          <w:rPr>
            <w:rStyle w:val="-"/>
            <w:rFonts w:asciiTheme="minorHAnsi" w:hAnsiTheme="minorHAnsi" w:cstheme="minorHAnsi"/>
            <w:color w:val="auto"/>
            <w:u w:val="none"/>
            <w:lang w:val="en-US"/>
          </w:rPr>
          <w:t>,</w:t>
        </w:r>
        <w:r w:rsidR="003A1020" w:rsidRPr="003A1020">
          <w:rPr>
            <w:rStyle w:val="-"/>
            <w:rFonts w:asciiTheme="minorHAnsi" w:hAnsiTheme="minorHAnsi" w:cstheme="minorHAnsi"/>
            <w:color w:val="auto"/>
            <w:u w:val="none"/>
            <w:lang w:val="en-US"/>
          </w:rPr>
          <w:t xml:space="preserve"> A</w:t>
        </w:r>
        <w:r w:rsidR="003A1020">
          <w:rPr>
            <w:rStyle w:val="-"/>
            <w:rFonts w:asciiTheme="minorHAnsi" w:hAnsiTheme="minorHAnsi" w:cstheme="minorHAnsi"/>
            <w:color w:val="auto"/>
            <w:u w:val="none"/>
            <w:lang w:val="en-US"/>
          </w:rPr>
          <w:t>.</w:t>
        </w:r>
        <w:r w:rsidR="003A1020" w:rsidRPr="003A1020">
          <w:rPr>
            <w:rStyle w:val="-"/>
            <w:rFonts w:asciiTheme="minorHAnsi" w:hAnsiTheme="minorHAnsi" w:cstheme="minorHAnsi"/>
            <w:color w:val="auto"/>
            <w:u w:val="none"/>
            <w:lang w:val="en-US"/>
          </w:rPr>
          <w:t>S</w:t>
        </w:r>
      </w:hyperlink>
      <w:r w:rsidR="003A1020" w:rsidRPr="003A1020">
        <w:rPr>
          <w:rFonts w:asciiTheme="minorHAnsi" w:hAnsiTheme="minorHAnsi" w:cstheme="minorHAnsi"/>
          <w:lang w:val="en-US"/>
        </w:rPr>
        <w:t>.</w:t>
      </w:r>
      <w:r w:rsidR="003A1020">
        <w:rPr>
          <w:rFonts w:asciiTheme="minorHAnsi" w:hAnsiTheme="minorHAnsi" w:cstheme="minorHAnsi"/>
          <w:lang w:val="en-US"/>
        </w:rPr>
        <w:t xml:space="preserve"> (2012).</w:t>
      </w:r>
      <w:r w:rsidR="003A1020" w:rsidRPr="003A1020">
        <w:rPr>
          <w:rFonts w:asciiTheme="minorHAnsi" w:hAnsiTheme="minorHAnsi" w:cstheme="minorHAnsi"/>
          <w:lang w:val="en-US"/>
        </w:rPr>
        <w:t xml:space="preserve"> A decade after the KDOQI CKD guidelines.</w:t>
      </w:r>
      <w:r w:rsidR="003A1020">
        <w:rPr>
          <w:rFonts w:asciiTheme="minorHAnsi" w:hAnsiTheme="minorHAnsi" w:cstheme="minorHAnsi"/>
          <w:lang w:val="en-US"/>
        </w:rPr>
        <w:t xml:space="preserve"> </w:t>
      </w:r>
      <w:hyperlink r:id="rId265" w:tooltip="American journal of kidney diseases : the official journal of the National Kidney Foundation." w:history="1">
        <w:r w:rsidR="003A1020" w:rsidRPr="003A1020">
          <w:rPr>
            <w:rStyle w:val="-"/>
            <w:rFonts w:asciiTheme="minorHAnsi" w:hAnsiTheme="minorHAnsi" w:cstheme="minorHAnsi"/>
            <w:i/>
            <w:color w:val="auto"/>
            <w:u w:val="none"/>
            <w:lang w:val="en-US"/>
          </w:rPr>
          <w:t>American Journal of Kidney Disease,</w:t>
        </w:r>
      </w:hyperlink>
      <w:r w:rsidR="003A1020" w:rsidRPr="003A1020">
        <w:rPr>
          <w:rFonts w:asciiTheme="minorHAnsi" w:hAnsiTheme="minorHAnsi" w:cstheme="minorHAnsi"/>
          <w:i/>
          <w:lang w:val="en-US"/>
        </w:rPr>
        <w:t>  60,</w:t>
      </w:r>
      <w:r w:rsidR="003A1020">
        <w:rPr>
          <w:rFonts w:asciiTheme="minorHAnsi" w:hAnsiTheme="minorHAnsi" w:cstheme="minorHAnsi"/>
          <w:lang w:val="en-US"/>
        </w:rPr>
        <w:t xml:space="preserve"> </w:t>
      </w:r>
      <w:r w:rsidR="003A1020" w:rsidRPr="003A1020">
        <w:rPr>
          <w:rFonts w:asciiTheme="minorHAnsi" w:hAnsiTheme="minorHAnsi" w:cstheme="minorHAnsi"/>
          <w:lang w:val="en-US"/>
        </w:rPr>
        <w:t>683-</w:t>
      </w:r>
      <w:r w:rsidR="003A1020">
        <w:rPr>
          <w:rFonts w:asciiTheme="minorHAnsi" w:hAnsiTheme="minorHAnsi" w:cstheme="minorHAnsi"/>
          <w:lang w:val="en-US"/>
        </w:rPr>
        <w:t>685. DOI</w:t>
      </w:r>
      <w:r w:rsidR="003A1020" w:rsidRPr="003A1020">
        <w:rPr>
          <w:rFonts w:asciiTheme="minorHAnsi" w:hAnsiTheme="minorHAnsi" w:cstheme="minorHAnsi"/>
          <w:lang w:val="en-US"/>
        </w:rPr>
        <w:t>: 10.1053/j.ajkd.2012.08.019.</w:t>
      </w:r>
    </w:p>
    <w:p w:rsidR="003C410F" w:rsidRPr="005A464E" w:rsidRDefault="003C410F" w:rsidP="005A464E">
      <w:pPr>
        <w:pStyle w:val="Web"/>
        <w:spacing w:after="156" w:line="360" w:lineRule="auto"/>
        <w:ind w:left="389" w:hanging="389"/>
        <w:jc w:val="both"/>
        <w:rPr>
          <w:rFonts w:asciiTheme="minorHAnsi" w:hAnsiTheme="minorHAnsi" w:cstheme="minorHAnsi"/>
          <w:shd w:val="clear" w:color="auto" w:fill="FFFFFF"/>
          <w:lang w:val="en-US"/>
        </w:rPr>
      </w:pPr>
      <w:r w:rsidRPr="005A464E">
        <w:rPr>
          <w:rFonts w:asciiTheme="minorHAnsi" w:hAnsiTheme="minorHAnsi" w:cstheme="minorHAnsi"/>
          <w:shd w:val="clear" w:color="auto" w:fill="FFFFFF"/>
          <w:lang w:val="en-US"/>
        </w:rPr>
        <w:t>Levin, A., Hemmelgarn, B., Culleton, B.,</w:t>
      </w:r>
      <w:r w:rsidR="0078495A">
        <w:rPr>
          <w:rFonts w:asciiTheme="minorHAnsi" w:hAnsiTheme="minorHAnsi" w:cstheme="minorHAnsi"/>
          <w:shd w:val="clear" w:color="auto" w:fill="FFFFFF"/>
          <w:lang w:val="en-US"/>
        </w:rPr>
        <w:t xml:space="preserve"> </w:t>
      </w:r>
      <w:hyperlink r:id="rId266" w:history="1">
        <w:r w:rsidRPr="005A464E">
          <w:rPr>
            <w:rStyle w:val="-"/>
            <w:rFonts w:asciiTheme="minorHAnsi" w:hAnsiTheme="minorHAnsi" w:cstheme="minorHAnsi"/>
            <w:color w:val="auto"/>
            <w:u w:val="none"/>
            <w:shd w:val="clear" w:color="auto" w:fill="FFFFFF"/>
            <w:lang w:val="en-US"/>
          </w:rPr>
          <w:t>Sheldon, Tobe</w:t>
        </w:r>
      </w:hyperlink>
      <w:r w:rsidRPr="005A464E">
        <w:rPr>
          <w:rFonts w:asciiTheme="minorHAnsi" w:hAnsiTheme="minorHAnsi" w:cstheme="minorHAnsi"/>
          <w:lang w:val="en-US"/>
        </w:rPr>
        <w:t>.</w:t>
      </w:r>
      <w:r w:rsidRPr="005A464E">
        <w:rPr>
          <w:rFonts w:asciiTheme="minorHAnsi" w:hAnsiTheme="minorHAnsi" w:cstheme="minorHAnsi"/>
          <w:shd w:val="clear" w:color="auto" w:fill="FFFFFF"/>
          <w:lang w:val="en-US"/>
        </w:rPr>
        <w:t>,</w:t>
      </w:r>
      <w:r w:rsidRPr="005A464E">
        <w:rPr>
          <w:rFonts w:asciiTheme="minorHAnsi" w:hAnsiTheme="minorHAnsi" w:cstheme="minorHAnsi"/>
          <w:lang w:val="en-US"/>
        </w:rPr>
        <w:t xml:space="preserve"> </w:t>
      </w:r>
      <w:hyperlink r:id="rId267" w:history="1">
        <w:r w:rsidRPr="005A464E">
          <w:rPr>
            <w:rStyle w:val="-"/>
            <w:rFonts w:asciiTheme="minorHAnsi" w:hAnsiTheme="minorHAnsi" w:cstheme="minorHAnsi"/>
            <w:color w:val="auto"/>
            <w:u w:val="none"/>
            <w:shd w:val="clear" w:color="auto" w:fill="FFFFFF"/>
            <w:lang w:val="en-US"/>
          </w:rPr>
          <w:t xml:space="preserve"> McFarlane</w:t>
        </w:r>
      </w:hyperlink>
      <w:r w:rsidRPr="005A464E">
        <w:rPr>
          <w:rFonts w:asciiTheme="minorHAnsi" w:hAnsiTheme="minorHAnsi" w:cstheme="minorHAnsi"/>
          <w:lang w:val="en-US"/>
        </w:rPr>
        <w:t xml:space="preserve"> P.</w:t>
      </w:r>
      <w:r w:rsidRPr="005A464E">
        <w:rPr>
          <w:rFonts w:asciiTheme="minorHAnsi" w:hAnsiTheme="minorHAnsi" w:cstheme="minorHAnsi"/>
          <w:shd w:val="clear" w:color="auto" w:fill="FFFFFF"/>
          <w:lang w:val="en-US"/>
        </w:rPr>
        <w:t>,</w:t>
      </w:r>
      <w:r w:rsidR="007C2040">
        <w:rPr>
          <w:rFonts w:asciiTheme="minorHAnsi" w:hAnsiTheme="minorHAnsi" w:cstheme="minorHAnsi"/>
          <w:shd w:val="clear" w:color="auto" w:fill="FFFFFF"/>
          <w:lang w:val="en-US"/>
        </w:rPr>
        <w:t xml:space="preserve"> … Tonelli, M.</w:t>
      </w:r>
      <w:r w:rsidRPr="005A464E">
        <w:rPr>
          <w:rFonts w:asciiTheme="minorHAnsi" w:hAnsiTheme="minorHAnsi" w:cstheme="minorHAnsi"/>
          <w:lang w:val="en-US"/>
        </w:rPr>
        <w:t xml:space="preserve"> (2008). </w:t>
      </w:r>
      <w:r w:rsidRPr="005A464E">
        <w:rPr>
          <w:rFonts w:asciiTheme="minorHAnsi" w:hAnsiTheme="minorHAnsi" w:cstheme="minorHAnsi"/>
          <w:shd w:val="clear" w:color="auto" w:fill="FFFFFF"/>
          <w:lang w:val="en-US"/>
        </w:rPr>
        <w:t>Guidelines for the management of chronic kidney disease.</w:t>
      </w:r>
      <w:r w:rsidRPr="005A464E">
        <w:rPr>
          <w:rStyle w:val="apple-converted-space"/>
          <w:rFonts w:asciiTheme="minorHAnsi" w:hAnsiTheme="minorHAnsi" w:cstheme="minorHAnsi"/>
          <w:shd w:val="clear" w:color="auto" w:fill="FFFFFF"/>
          <w:lang w:val="en-US"/>
        </w:rPr>
        <w:t> </w:t>
      </w:r>
      <w:r w:rsidRPr="005A464E">
        <w:rPr>
          <w:rFonts w:asciiTheme="minorHAnsi" w:hAnsiTheme="minorHAnsi" w:cstheme="minorHAnsi"/>
          <w:i/>
          <w:iCs/>
          <w:shd w:val="clear" w:color="auto" w:fill="FFFFFF"/>
          <w:lang w:val="en-US"/>
        </w:rPr>
        <w:t>CMAJ : Canadian Medical Association Journal</w:t>
      </w:r>
      <w:r w:rsidR="001720A0" w:rsidRPr="005A464E">
        <w:rPr>
          <w:rFonts w:asciiTheme="minorHAnsi" w:hAnsiTheme="minorHAnsi" w:cstheme="minorHAnsi"/>
          <w:shd w:val="clear" w:color="auto" w:fill="FFFFFF"/>
          <w:lang w:val="en-US"/>
        </w:rPr>
        <w:t xml:space="preserve">, </w:t>
      </w:r>
      <w:r w:rsidR="008C3704" w:rsidRPr="008C3704">
        <w:rPr>
          <w:rFonts w:asciiTheme="minorHAnsi" w:hAnsiTheme="minorHAnsi" w:cstheme="minorHAnsi"/>
          <w:i/>
          <w:shd w:val="clear" w:color="auto" w:fill="FFFFFF"/>
          <w:lang w:val="en-US"/>
        </w:rPr>
        <w:t>179,</w:t>
      </w:r>
      <w:r w:rsidR="008C3704">
        <w:rPr>
          <w:rFonts w:asciiTheme="minorHAnsi" w:hAnsiTheme="minorHAnsi" w:cstheme="minorHAnsi"/>
          <w:i/>
          <w:shd w:val="clear" w:color="auto" w:fill="FFFFFF"/>
          <w:lang w:val="en-US"/>
        </w:rPr>
        <w:t xml:space="preserve"> </w:t>
      </w:r>
      <w:r w:rsidRPr="005A464E">
        <w:rPr>
          <w:rFonts w:asciiTheme="minorHAnsi" w:hAnsiTheme="minorHAnsi" w:cstheme="minorHAnsi"/>
          <w:shd w:val="clear" w:color="auto" w:fill="FFFFFF"/>
          <w:lang w:val="en-US"/>
        </w:rPr>
        <w:t xml:space="preserve">1154-1162.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:10.1503/cmaj.080351.</w:t>
      </w:r>
    </w:p>
    <w:p w:rsidR="003C410F" w:rsidRPr="005A464E" w:rsidRDefault="003C410F" w:rsidP="005A464E">
      <w:pPr>
        <w:pStyle w:val="Web"/>
        <w:spacing w:after="156" w:line="360" w:lineRule="auto"/>
        <w:ind w:left="389" w:hanging="389"/>
        <w:jc w:val="both"/>
        <w:rPr>
          <w:rFonts w:asciiTheme="minorHAnsi" w:hAnsiTheme="minorHAnsi" w:cstheme="minorHAnsi"/>
          <w:lang w:val="en-US"/>
        </w:rPr>
      </w:pPr>
      <w:r w:rsidRPr="005A464E">
        <w:rPr>
          <w:rFonts w:asciiTheme="minorHAnsi" w:hAnsiTheme="minorHAnsi" w:cstheme="minorHAnsi"/>
          <w:lang w:val="en-US"/>
        </w:rPr>
        <w:t>Levy, A., Brown, J., &amp; Umw, E.</w:t>
      </w:r>
      <w:r w:rsidR="008C3704">
        <w:rPr>
          <w:rFonts w:asciiTheme="minorHAnsi" w:hAnsiTheme="minorHAnsi" w:cstheme="minorHAnsi"/>
          <w:lang w:val="en-US"/>
        </w:rPr>
        <w:t xml:space="preserve"> (Eds).</w:t>
      </w:r>
      <w:r w:rsidRPr="005A464E">
        <w:rPr>
          <w:rFonts w:asciiTheme="minorHAnsi" w:hAnsiTheme="minorHAnsi" w:cstheme="minorHAnsi"/>
          <w:lang w:val="en-US"/>
        </w:rPr>
        <w:t xml:space="preserve"> (2004). </w:t>
      </w:r>
      <w:r w:rsidRPr="005A464E">
        <w:rPr>
          <w:rFonts w:asciiTheme="minorHAnsi" w:hAnsiTheme="minorHAnsi" w:cstheme="minorHAnsi"/>
          <w:i/>
          <w:iCs/>
          <w:lang w:val="en-US"/>
        </w:rPr>
        <w:t>Handbook of dialysis</w:t>
      </w:r>
      <w:r w:rsidRPr="005A464E">
        <w:rPr>
          <w:rFonts w:asciiTheme="minorHAnsi" w:hAnsiTheme="minorHAnsi" w:cstheme="minorHAnsi"/>
          <w:lang w:val="en-US"/>
        </w:rPr>
        <w:t>. Oxford University' Press, Oxford.</w:t>
      </w:r>
    </w:p>
    <w:p w:rsidR="003C410F" w:rsidRPr="005A464E" w:rsidRDefault="003C410F" w:rsidP="005A464E">
      <w:pPr>
        <w:pStyle w:val="Web"/>
        <w:spacing w:after="156" w:line="360" w:lineRule="auto"/>
        <w:ind w:left="389" w:hanging="389"/>
        <w:jc w:val="both"/>
        <w:rPr>
          <w:rStyle w:val="article-headermeta-info-data"/>
          <w:rFonts w:asciiTheme="minorHAnsi" w:hAnsiTheme="minorHAnsi" w:cstheme="minorHAnsi"/>
          <w:bdr w:val="none" w:sz="0" w:space="0" w:color="auto" w:frame="1"/>
          <w:shd w:val="clear" w:color="auto" w:fill="FFFFFF"/>
          <w:lang w:val="en-US"/>
        </w:rPr>
      </w:pPr>
      <w:r w:rsidRPr="005A464E">
        <w:rPr>
          <w:rFonts w:asciiTheme="minorHAnsi" w:hAnsiTheme="minorHAnsi" w:cstheme="minorHAnsi"/>
          <w:lang w:val="en-US"/>
        </w:rPr>
        <w:t xml:space="preserve">Lii, Y.C., Tsay, S.L., &amp; Wang, T.J. (2007). Group intervention to improve quality of life in haemodialysis patients. </w:t>
      </w:r>
      <w:r w:rsidRPr="005A464E">
        <w:rPr>
          <w:rFonts w:asciiTheme="minorHAnsi" w:hAnsiTheme="minorHAnsi" w:cstheme="minorHAnsi"/>
          <w:i/>
          <w:lang w:val="en-US"/>
        </w:rPr>
        <w:t>Journal of Clinical Nursing</w:t>
      </w:r>
      <w:r w:rsidR="008C3704">
        <w:rPr>
          <w:rFonts w:asciiTheme="minorHAnsi" w:hAnsiTheme="minorHAnsi" w:cstheme="minorHAnsi"/>
          <w:lang w:val="en-US"/>
        </w:rPr>
        <w:t xml:space="preserve">, </w:t>
      </w:r>
      <w:r w:rsidR="008C3704" w:rsidRPr="008C3704">
        <w:rPr>
          <w:rFonts w:asciiTheme="minorHAnsi" w:hAnsiTheme="minorHAnsi" w:cstheme="minorHAnsi"/>
          <w:i/>
          <w:lang w:val="en-US"/>
        </w:rPr>
        <w:t>16</w:t>
      </w:r>
      <w:r w:rsidR="008C3704">
        <w:rPr>
          <w:rFonts w:asciiTheme="minorHAnsi" w:hAnsiTheme="minorHAnsi" w:cstheme="minorHAnsi"/>
          <w:i/>
          <w:lang w:val="en-US"/>
        </w:rPr>
        <w:t xml:space="preserve"> </w:t>
      </w:r>
      <w:r w:rsidRPr="005A464E">
        <w:rPr>
          <w:rFonts w:asciiTheme="minorHAnsi" w:hAnsiTheme="minorHAnsi" w:cstheme="minorHAnsi"/>
          <w:lang w:val="en-US"/>
        </w:rPr>
        <w:t>268–</w:t>
      </w:r>
      <w:r w:rsidR="008C3704">
        <w:rPr>
          <w:rFonts w:asciiTheme="minorHAnsi" w:hAnsiTheme="minorHAnsi" w:cstheme="minorHAnsi"/>
          <w:lang w:val="en-US"/>
        </w:rPr>
        <w:t>2</w:t>
      </w:r>
      <w:r w:rsidRPr="005A464E">
        <w:rPr>
          <w:rFonts w:asciiTheme="minorHAnsi" w:hAnsiTheme="minorHAnsi" w:cstheme="minorHAnsi"/>
          <w:lang w:val="en-US"/>
        </w:rPr>
        <w:t>75</w:t>
      </w:r>
      <w:r w:rsidR="008643F6" w:rsidRPr="005A464E">
        <w:rPr>
          <w:rFonts w:asciiTheme="minorHAnsi" w:hAnsiTheme="minorHAnsi" w:cstheme="minorHAnsi"/>
          <w:lang w:val="en-US"/>
        </w:rPr>
        <w:t>.</w:t>
      </w:r>
      <w:r w:rsidRPr="005A464E">
        <w:rPr>
          <w:rStyle w:val="1Char"/>
          <w:rFonts w:asciiTheme="minorHAnsi" w:eastAsia="Calibri" w:hAnsiTheme="minorHAnsi" w:cstheme="minorHAnsi"/>
          <w:b w:val="0"/>
          <w:bCs w:val="0"/>
          <w:color w:val="auto"/>
          <w:sz w:val="24"/>
          <w:szCs w:val="24"/>
          <w:bdr w:val="none" w:sz="0" w:space="0" w:color="auto" w:frame="1"/>
          <w:shd w:val="clear" w:color="auto" w:fill="FFFFFF"/>
          <w:lang w:val="en-US"/>
        </w:rPr>
        <w:t xml:space="preserve"> </w:t>
      </w:r>
      <w:r w:rsidR="00292B29" w:rsidRPr="005A464E">
        <w:rPr>
          <w:rStyle w:val="article-headermeta-info-label"/>
          <w:rFonts w:asciiTheme="minorHAnsi" w:hAnsiTheme="minorHAnsi" w:cstheme="minorHAnsi"/>
          <w:bCs/>
          <w:bdr w:val="none" w:sz="0" w:space="0" w:color="auto" w:frame="1"/>
          <w:shd w:val="clear" w:color="auto" w:fill="FFFFFF"/>
          <w:lang w:val="en-US"/>
        </w:rPr>
        <w:t>DOI</w:t>
      </w:r>
      <w:r w:rsidRPr="005A464E">
        <w:rPr>
          <w:rStyle w:val="article-headermeta-info-label"/>
          <w:rFonts w:asciiTheme="minorHAnsi" w:hAnsiTheme="minorHAnsi" w:cstheme="minorHAnsi"/>
          <w:b/>
          <w:bCs/>
          <w:bdr w:val="none" w:sz="0" w:space="0" w:color="auto" w:frame="1"/>
          <w:shd w:val="clear" w:color="auto" w:fill="FFFFFF"/>
          <w:lang w:val="en-US"/>
        </w:rPr>
        <w:t>:</w:t>
      </w:r>
      <w:r w:rsidRPr="005A464E">
        <w:rPr>
          <w:rStyle w:val="apple-converted-space"/>
          <w:rFonts w:asciiTheme="minorHAnsi" w:hAnsiTheme="minorHAnsi" w:cstheme="minorHAnsi"/>
          <w:b/>
          <w:bCs/>
          <w:bdr w:val="none" w:sz="0" w:space="0" w:color="auto" w:frame="1"/>
          <w:shd w:val="clear" w:color="auto" w:fill="FFFFFF"/>
          <w:lang w:val="en-US"/>
        </w:rPr>
        <w:t> </w:t>
      </w:r>
      <w:r w:rsidRPr="005A464E">
        <w:rPr>
          <w:rStyle w:val="article-headermeta-info-data"/>
          <w:rFonts w:asciiTheme="minorHAnsi" w:hAnsiTheme="minorHAnsi" w:cstheme="minorHAnsi"/>
          <w:bdr w:val="none" w:sz="0" w:space="0" w:color="auto" w:frame="1"/>
          <w:shd w:val="clear" w:color="auto" w:fill="FFFFFF"/>
          <w:lang w:val="en-US"/>
        </w:rPr>
        <w:t>10.1111/j.1365-2702.2007.01963.x</w:t>
      </w:r>
    </w:p>
    <w:p w:rsidR="003C410F" w:rsidRPr="005A464E" w:rsidRDefault="001720A0" w:rsidP="005A464E">
      <w:pPr>
        <w:pStyle w:val="Web"/>
        <w:spacing w:after="156" w:line="360" w:lineRule="auto"/>
        <w:ind w:left="389" w:hanging="389"/>
        <w:jc w:val="both"/>
        <w:rPr>
          <w:rFonts w:asciiTheme="minorHAnsi" w:hAnsiTheme="minorHAnsi" w:cstheme="minorHAnsi"/>
          <w:lang w:val="en-US"/>
        </w:rPr>
      </w:pPr>
      <w:r w:rsidRPr="005A464E">
        <w:rPr>
          <w:rFonts w:asciiTheme="minorHAnsi" w:hAnsiTheme="minorHAnsi" w:cstheme="minorHAnsi"/>
          <w:lang w:val="en-US"/>
        </w:rPr>
        <w:t>Lindqvist, R., Carlsson,</w:t>
      </w:r>
      <w:r w:rsidR="003C410F" w:rsidRPr="005A464E">
        <w:rPr>
          <w:rFonts w:asciiTheme="minorHAnsi" w:hAnsiTheme="minorHAnsi" w:cstheme="minorHAnsi"/>
          <w:lang w:val="en-US"/>
        </w:rPr>
        <w:t xml:space="preserve"> M.,</w:t>
      </w:r>
      <w:r w:rsidRPr="005A464E">
        <w:rPr>
          <w:rFonts w:asciiTheme="minorHAnsi" w:hAnsiTheme="minorHAnsi" w:cstheme="minorHAnsi"/>
          <w:lang w:val="en-US"/>
        </w:rPr>
        <w:t xml:space="preserve"> &amp;</w:t>
      </w:r>
      <w:r w:rsidR="003C410F" w:rsidRPr="005A464E">
        <w:rPr>
          <w:rFonts w:asciiTheme="minorHAnsi" w:hAnsiTheme="minorHAnsi" w:cstheme="minorHAnsi"/>
          <w:lang w:val="en-US"/>
        </w:rPr>
        <w:t xml:space="preserve"> Sjödén, P</w:t>
      </w:r>
      <w:r w:rsidRPr="005A464E">
        <w:rPr>
          <w:rFonts w:asciiTheme="minorHAnsi" w:hAnsiTheme="minorHAnsi" w:cstheme="minorHAnsi"/>
          <w:lang w:val="en-US"/>
        </w:rPr>
        <w:t>.</w:t>
      </w:r>
      <w:r w:rsidR="003C410F" w:rsidRPr="005A464E">
        <w:rPr>
          <w:rFonts w:asciiTheme="minorHAnsi" w:hAnsiTheme="minorHAnsi" w:cstheme="minorHAnsi"/>
          <w:lang w:val="en-US"/>
        </w:rPr>
        <w:t xml:space="preserve">O. (2000). Coping strategies and health-related quality of life among spouses of continuous ambulatory peritoneal dialysis, haemodialysis, and transplant patients. </w:t>
      </w:r>
      <w:r w:rsidR="003C410F" w:rsidRPr="005A464E">
        <w:rPr>
          <w:rFonts w:asciiTheme="minorHAnsi" w:hAnsiTheme="minorHAnsi" w:cstheme="minorHAnsi"/>
          <w:i/>
          <w:lang w:val="en-US"/>
        </w:rPr>
        <w:t>Journal of Advanced Nursing</w:t>
      </w:r>
      <w:r w:rsidR="003C410F" w:rsidRPr="008C3704">
        <w:rPr>
          <w:rFonts w:asciiTheme="minorHAnsi" w:hAnsiTheme="minorHAnsi" w:cstheme="minorHAnsi"/>
          <w:i/>
          <w:lang w:val="en-US"/>
        </w:rPr>
        <w:t>,</w:t>
      </w:r>
      <w:r w:rsidR="008C3704" w:rsidRPr="008C3704">
        <w:rPr>
          <w:rFonts w:asciiTheme="minorHAnsi" w:hAnsiTheme="minorHAnsi" w:cstheme="minorHAnsi"/>
          <w:i/>
          <w:lang w:val="en-US"/>
        </w:rPr>
        <w:t xml:space="preserve"> 31</w:t>
      </w:r>
      <w:r w:rsidR="003C410F" w:rsidRPr="008C3704">
        <w:rPr>
          <w:rFonts w:asciiTheme="minorHAnsi" w:hAnsiTheme="minorHAnsi" w:cstheme="minorHAnsi"/>
          <w:i/>
          <w:lang w:val="en-US"/>
        </w:rPr>
        <w:t>,</w:t>
      </w:r>
      <w:r w:rsidR="003C410F" w:rsidRPr="005A464E">
        <w:rPr>
          <w:rFonts w:asciiTheme="minorHAnsi" w:hAnsiTheme="minorHAnsi" w:cstheme="minorHAnsi"/>
          <w:lang w:val="en-US"/>
        </w:rPr>
        <w:t xml:space="preserve"> 1398-408.</w:t>
      </w:r>
      <w:r w:rsidR="003C410F" w:rsidRPr="005A464E">
        <w:rPr>
          <w:rStyle w:val="1Char"/>
          <w:rFonts w:asciiTheme="minorHAnsi" w:eastAsia="Calibri" w:hAnsiTheme="minorHAnsi" w:cstheme="minorHAnsi"/>
          <w:bCs w:val="0"/>
          <w:color w:val="auto"/>
          <w:sz w:val="24"/>
          <w:szCs w:val="24"/>
          <w:bdr w:val="none" w:sz="0" w:space="0" w:color="auto" w:frame="1"/>
          <w:shd w:val="clear" w:color="auto" w:fill="FFFFFF"/>
          <w:lang w:val="en-US"/>
        </w:rPr>
        <w:t xml:space="preserve"> </w:t>
      </w:r>
      <w:r w:rsidR="00292B29" w:rsidRPr="005A464E">
        <w:rPr>
          <w:rStyle w:val="article-headermeta-info-label"/>
          <w:rFonts w:asciiTheme="minorHAnsi" w:hAnsiTheme="minorHAnsi" w:cstheme="minorHAnsi"/>
          <w:bCs/>
          <w:bdr w:val="none" w:sz="0" w:space="0" w:color="auto" w:frame="1"/>
          <w:shd w:val="clear" w:color="auto" w:fill="FFFFFF"/>
          <w:lang w:val="en-US"/>
        </w:rPr>
        <w:t>DOI</w:t>
      </w:r>
      <w:r w:rsidR="003C410F" w:rsidRPr="005A464E">
        <w:rPr>
          <w:rStyle w:val="article-headermeta-info-label"/>
          <w:rFonts w:asciiTheme="minorHAnsi" w:hAnsiTheme="minorHAnsi" w:cstheme="minorHAnsi"/>
          <w:bCs/>
          <w:bdr w:val="none" w:sz="0" w:space="0" w:color="auto" w:frame="1"/>
          <w:shd w:val="clear" w:color="auto" w:fill="FFFFFF"/>
          <w:lang w:val="en-US"/>
        </w:rPr>
        <w:t>:</w:t>
      </w:r>
      <w:r w:rsidR="003C410F" w:rsidRPr="005A464E">
        <w:rPr>
          <w:rStyle w:val="apple-converted-space"/>
          <w:rFonts w:asciiTheme="minorHAnsi" w:hAnsiTheme="minorHAnsi" w:cstheme="minorHAnsi"/>
          <w:bCs/>
          <w:bdr w:val="none" w:sz="0" w:space="0" w:color="auto" w:frame="1"/>
          <w:shd w:val="clear" w:color="auto" w:fill="FFFFFF"/>
          <w:lang w:val="en-US"/>
        </w:rPr>
        <w:t> </w:t>
      </w:r>
      <w:r w:rsidR="003C410F" w:rsidRPr="005A464E">
        <w:rPr>
          <w:rStyle w:val="article-headermeta-info-data"/>
          <w:rFonts w:asciiTheme="minorHAnsi" w:hAnsiTheme="minorHAnsi" w:cstheme="minorHAnsi"/>
          <w:bdr w:val="none" w:sz="0" w:space="0" w:color="auto" w:frame="1"/>
          <w:shd w:val="clear" w:color="auto" w:fill="FFFFFF"/>
          <w:lang w:val="en-US"/>
        </w:rPr>
        <w:t>10.1046/j.1365-2648.2000.01404.x</w:t>
      </w:r>
      <w:r w:rsidR="008643F6" w:rsidRPr="005A464E">
        <w:rPr>
          <w:rStyle w:val="article-headermeta-info-data"/>
          <w:rFonts w:asciiTheme="minorHAnsi" w:hAnsiTheme="minorHAnsi" w:cstheme="minorHAnsi"/>
          <w:bdr w:val="none" w:sz="0" w:space="0" w:color="auto" w:frame="1"/>
          <w:shd w:val="clear" w:color="auto" w:fill="FFFFFF"/>
          <w:lang w:val="en-US"/>
        </w:rPr>
        <w:t>.</w:t>
      </w:r>
    </w:p>
    <w:p w:rsidR="003C410F" w:rsidRPr="005A464E" w:rsidRDefault="003C410F" w:rsidP="005A464E">
      <w:pPr>
        <w:pStyle w:val="Web"/>
        <w:spacing w:after="156" w:line="360" w:lineRule="auto"/>
        <w:ind w:left="389" w:hanging="389"/>
        <w:jc w:val="both"/>
        <w:rPr>
          <w:rStyle w:val="article-headermeta-info-data"/>
          <w:rFonts w:asciiTheme="minorHAnsi" w:hAnsiTheme="minorHAnsi" w:cstheme="minorHAnsi"/>
          <w:bdr w:val="none" w:sz="0" w:space="0" w:color="auto" w:frame="1"/>
          <w:shd w:val="clear" w:color="auto" w:fill="FFFFFF"/>
          <w:lang w:val="en-US"/>
        </w:rPr>
      </w:pPr>
      <w:r w:rsidRPr="005A464E">
        <w:rPr>
          <w:rFonts w:asciiTheme="minorHAnsi" w:hAnsiTheme="minorHAnsi" w:cstheme="minorHAnsi"/>
          <w:lang w:val="en-US"/>
        </w:rPr>
        <w:t xml:space="preserve">Logan, S.M., Pelletier-Hibbertm M, &amp; Hodgins M. (2006). Stressors and coping of in-hospital haemodialysis patients aged 65 years and over. </w:t>
      </w:r>
      <w:r w:rsidRPr="005A464E">
        <w:rPr>
          <w:rFonts w:asciiTheme="minorHAnsi" w:hAnsiTheme="minorHAnsi" w:cstheme="minorHAnsi"/>
          <w:i/>
          <w:lang w:val="en-US"/>
        </w:rPr>
        <w:t>Journal of Advanced Nursing</w:t>
      </w:r>
      <w:r w:rsidR="008643F6" w:rsidRPr="005A464E">
        <w:rPr>
          <w:rFonts w:asciiTheme="minorHAnsi" w:hAnsiTheme="minorHAnsi" w:cstheme="minorHAnsi"/>
          <w:i/>
          <w:lang w:val="en-US"/>
        </w:rPr>
        <w:t>,</w:t>
      </w:r>
      <w:r w:rsidR="0078495A">
        <w:rPr>
          <w:rFonts w:asciiTheme="minorHAnsi" w:hAnsiTheme="minorHAnsi" w:cstheme="minorHAnsi"/>
          <w:i/>
          <w:lang w:val="en-US"/>
        </w:rPr>
        <w:t xml:space="preserve"> </w:t>
      </w:r>
      <w:r w:rsidR="008C3704" w:rsidRPr="008C3704">
        <w:rPr>
          <w:rFonts w:asciiTheme="minorHAnsi" w:hAnsiTheme="minorHAnsi" w:cstheme="minorHAnsi"/>
          <w:i/>
          <w:lang w:val="en-US"/>
        </w:rPr>
        <w:t>56</w:t>
      </w:r>
      <w:r w:rsidRPr="008C3704">
        <w:rPr>
          <w:rFonts w:asciiTheme="minorHAnsi" w:hAnsiTheme="minorHAnsi" w:cstheme="minorHAnsi"/>
          <w:i/>
          <w:lang w:val="en-US"/>
        </w:rPr>
        <w:t>,</w:t>
      </w:r>
      <w:r w:rsidRPr="005A464E">
        <w:rPr>
          <w:rFonts w:asciiTheme="minorHAnsi" w:hAnsiTheme="minorHAnsi" w:cstheme="minorHAnsi"/>
          <w:lang w:val="en-US"/>
        </w:rPr>
        <w:t xml:space="preserve"> 382-</w:t>
      </w:r>
      <w:r w:rsidR="008643F6" w:rsidRPr="005A464E">
        <w:rPr>
          <w:rFonts w:asciiTheme="minorHAnsi" w:hAnsiTheme="minorHAnsi" w:cstheme="minorHAnsi"/>
          <w:lang w:val="en-US"/>
        </w:rPr>
        <w:t>3</w:t>
      </w:r>
      <w:r w:rsidRPr="005A464E">
        <w:rPr>
          <w:rFonts w:asciiTheme="minorHAnsi" w:hAnsiTheme="minorHAnsi" w:cstheme="minorHAnsi"/>
          <w:lang w:val="en-US"/>
        </w:rPr>
        <w:t>91</w:t>
      </w:r>
      <w:r w:rsidRPr="005A464E">
        <w:rPr>
          <w:rStyle w:val="1Char"/>
          <w:rFonts w:asciiTheme="minorHAnsi" w:eastAsia="Calibri" w:hAnsiTheme="minorHAnsi" w:cs="Arial"/>
          <w:b w:val="0"/>
          <w:bCs w:val="0"/>
          <w:color w:val="auto"/>
          <w:sz w:val="24"/>
          <w:szCs w:val="24"/>
          <w:bdr w:val="none" w:sz="0" w:space="0" w:color="auto" w:frame="1"/>
          <w:shd w:val="clear" w:color="auto" w:fill="FFFFFF"/>
          <w:lang w:val="en-US"/>
        </w:rPr>
        <w:t xml:space="preserve"> </w:t>
      </w:r>
      <w:r w:rsidR="00292B29" w:rsidRPr="005A464E">
        <w:rPr>
          <w:rStyle w:val="article-headermeta-info-label"/>
          <w:rFonts w:asciiTheme="minorHAnsi" w:hAnsiTheme="minorHAnsi" w:cstheme="minorHAnsi"/>
          <w:bCs/>
          <w:bdr w:val="none" w:sz="0" w:space="0" w:color="auto" w:frame="1"/>
          <w:shd w:val="clear" w:color="auto" w:fill="FFFFFF"/>
          <w:lang w:val="en-US"/>
        </w:rPr>
        <w:t>DOI</w:t>
      </w:r>
      <w:r w:rsidRPr="005A464E">
        <w:rPr>
          <w:rStyle w:val="article-headermeta-info-label"/>
          <w:rFonts w:asciiTheme="minorHAnsi" w:hAnsiTheme="minorHAnsi" w:cstheme="minorHAnsi"/>
          <w:bCs/>
          <w:bdr w:val="none" w:sz="0" w:space="0" w:color="auto" w:frame="1"/>
          <w:shd w:val="clear" w:color="auto" w:fill="FFFFFF"/>
          <w:lang w:val="en-US"/>
        </w:rPr>
        <w:t>:</w:t>
      </w:r>
      <w:r w:rsidRPr="005A464E">
        <w:rPr>
          <w:rStyle w:val="apple-converted-space"/>
          <w:rFonts w:asciiTheme="minorHAnsi" w:hAnsiTheme="minorHAnsi" w:cstheme="minorHAnsi"/>
          <w:bCs/>
          <w:bdr w:val="none" w:sz="0" w:space="0" w:color="auto" w:frame="1"/>
          <w:shd w:val="clear" w:color="auto" w:fill="FFFFFF"/>
          <w:lang w:val="en-US"/>
        </w:rPr>
        <w:t> </w:t>
      </w:r>
      <w:r w:rsidRPr="005A464E">
        <w:rPr>
          <w:rStyle w:val="article-headermeta-info-data"/>
          <w:rFonts w:asciiTheme="minorHAnsi" w:hAnsiTheme="minorHAnsi" w:cstheme="minorHAnsi"/>
          <w:bdr w:val="none" w:sz="0" w:space="0" w:color="auto" w:frame="1"/>
          <w:shd w:val="clear" w:color="auto" w:fill="FFFFFF"/>
          <w:lang w:val="en-US"/>
        </w:rPr>
        <w:t>10.1111/j.1365-2648.2006.04015.x</w:t>
      </w:r>
      <w:r w:rsidR="008643F6" w:rsidRPr="005A464E">
        <w:rPr>
          <w:rStyle w:val="article-headermeta-info-data"/>
          <w:rFonts w:asciiTheme="minorHAnsi" w:hAnsiTheme="minorHAnsi" w:cstheme="minorHAnsi"/>
          <w:bdr w:val="none" w:sz="0" w:space="0" w:color="auto" w:frame="1"/>
          <w:shd w:val="clear" w:color="auto" w:fill="FFFFFF"/>
          <w:lang w:val="en-US"/>
        </w:rPr>
        <w:t>.</w:t>
      </w:r>
    </w:p>
    <w:p w:rsidR="003C410F" w:rsidRPr="005A464E" w:rsidRDefault="003C410F" w:rsidP="005A464E">
      <w:pPr>
        <w:pStyle w:val="Web"/>
        <w:spacing w:after="156" w:line="360" w:lineRule="auto"/>
        <w:ind w:left="389" w:hanging="389"/>
        <w:jc w:val="both"/>
        <w:rPr>
          <w:rStyle w:val="article-headermeta-info-data"/>
          <w:rFonts w:asciiTheme="minorHAnsi" w:hAnsiTheme="minorHAnsi" w:cstheme="minorHAnsi"/>
          <w:bdr w:val="none" w:sz="0" w:space="0" w:color="auto" w:frame="1"/>
          <w:shd w:val="clear" w:color="auto" w:fill="FFFFFF"/>
          <w:lang w:val="en-US"/>
        </w:rPr>
      </w:pPr>
      <w:r w:rsidRPr="005A464E">
        <w:rPr>
          <w:rFonts w:asciiTheme="minorHAnsi" w:hAnsiTheme="minorHAnsi" w:cstheme="minorHAnsi"/>
          <w:lang w:val="en-US"/>
        </w:rPr>
        <w:t xml:space="preserve">Lok, P. (1996). Stressors, coping mechanisms, and quality of life among dialysis patients in Australia. </w:t>
      </w:r>
      <w:r w:rsidRPr="005A464E">
        <w:rPr>
          <w:rFonts w:asciiTheme="minorHAnsi" w:hAnsiTheme="minorHAnsi" w:cstheme="minorHAnsi"/>
          <w:i/>
          <w:iCs/>
          <w:lang w:val="en-US"/>
        </w:rPr>
        <w:t>Journal of Advanced Nursing,</w:t>
      </w:r>
      <w:r w:rsidRPr="008C3704">
        <w:rPr>
          <w:rFonts w:asciiTheme="minorHAnsi" w:hAnsiTheme="minorHAnsi" w:cstheme="minorHAnsi"/>
          <w:i/>
          <w:iCs/>
          <w:lang w:val="en-US"/>
        </w:rPr>
        <w:t xml:space="preserve"> 23</w:t>
      </w:r>
      <w:r w:rsidRPr="005A464E">
        <w:rPr>
          <w:rFonts w:asciiTheme="minorHAnsi" w:hAnsiTheme="minorHAnsi" w:cstheme="minorHAnsi"/>
          <w:lang w:val="en-US"/>
        </w:rPr>
        <w:t>, 873-882</w:t>
      </w:r>
      <w:r w:rsidR="008C3704">
        <w:rPr>
          <w:rFonts w:asciiTheme="minorHAnsi" w:hAnsiTheme="minorHAnsi" w:cstheme="minorHAnsi"/>
          <w:lang w:val="en-US"/>
        </w:rPr>
        <w:t>.</w:t>
      </w:r>
      <w:r w:rsidRPr="005A464E">
        <w:rPr>
          <w:rStyle w:val="1Char"/>
          <w:rFonts w:asciiTheme="minorHAnsi" w:eastAsia="Calibri" w:hAnsiTheme="minorHAnsi" w:cs="Arial"/>
          <w:b w:val="0"/>
          <w:bCs w:val="0"/>
          <w:color w:val="auto"/>
          <w:sz w:val="24"/>
          <w:szCs w:val="24"/>
          <w:bdr w:val="none" w:sz="0" w:space="0" w:color="auto" w:frame="1"/>
          <w:shd w:val="clear" w:color="auto" w:fill="FFFFFF"/>
          <w:lang w:val="en-US"/>
        </w:rPr>
        <w:t xml:space="preserve"> </w:t>
      </w:r>
      <w:r w:rsidR="00292B29" w:rsidRPr="005A464E">
        <w:rPr>
          <w:rStyle w:val="article-headermeta-info-label"/>
          <w:rFonts w:asciiTheme="minorHAnsi" w:hAnsiTheme="minorHAnsi" w:cstheme="minorHAnsi"/>
          <w:bCs/>
          <w:bdr w:val="none" w:sz="0" w:space="0" w:color="auto" w:frame="1"/>
          <w:shd w:val="clear" w:color="auto" w:fill="FFFFFF"/>
          <w:lang w:val="en-US"/>
        </w:rPr>
        <w:t>DOI</w:t>
      </w:r>
      <w:r w:rsidRPr="005A464E">
        <w:rPr>
          <w:rStyle w:val="article-headermeta-info-label"/>
          <w:rFonts w:asciiTheme="minorHAnsi" w:hAnsiTheme="minorHAnsi" w:cstheme="minorHAnsi"/>
          <w:bCs/>
          <w:bdr w:val="none" w:sz="0" w:space="0" w:color="auto" w:frame="1"/>
          <w:shd w:val="clear" w:color="auto" w:fill="FFFFFF"/>
          <w:lang w:val="en-US"/>
        </w:rPr>
        <w:t>:</w:t>
      </w:r>
      <w:r w:rsidRPr="005A464E">
        <w:rPr>
          <w:rStyle w:val="apple-converted-space"/>
          <w:rFonts w:asciiTheme="minorHAnsi" w:hAnsiTheme="minorHAnsi" w:cstheme="minorHAnsi"/>
          <w:bCs/>
          <w:bdr w:val="none" w:sz="0" w:space="0" w:color="auto" w:frame="1"/>
          <w:shd w:val="clear" w:color="auto" w:fill="FFFFFF"/>
          <w:lang w:val="en-US"/>
        </w:rPr>
        <w:t> </w:t>
      </w:r>
      <w:r w:rsidRPr="005A464E">
        <w:rPr>
          <w:rStyle w:val="article-headermeta-info-data"/>
          <w:rFonts w:asciiTheme="minorHAnsi" w:hAnsiTheme="minorHAnsi" w:cstheme="minorHAnsi"/>
          <w:bdr w:val="none" w:sz="0" w:space="0" w:color="auto" w:frame="1"/>
          <w:shd w:val="clear" w:color="auto" w:fill="FFFFFF"/>
          <w:lang w:val="en-US"/>
        </w:rPr>
        <w:t>10.1046/j.1365-2648.1996.00893.x</w:t>
      </w:r>
      <w:r w:rsidR="008643F6" w:rsidRPr="005A464E">
        <w:rPr>
          <w:rStyle w:val="article-headermeta-info-data"/>
          <w:rFonts w:asciiTheme="minorHAnsi" w:hAnsiTheme="minorHAnsi" w:cstheme="minorHAnsi"/>
          <w:bdr w:val="none" w:sz="0" w:space="0" w:color="auto" w:frame="1"/>
          <w:shd w:val="clear" w:color="auto" w:fill="FFFFFF"/>
          <w:lang w:val="en-US"/>
        </w:rPr>
        <w:t>.</w:t>
      </w:r>
    </w:p>
    <w:p w:rsidR="00B21E78" w:rsidRPr="005A464E" w:rsidRDefault="003C410F" w:rsidP="005A464E">
      <w:pPr>
        <w:pStyle w:val="Web"/>
        <w:spacing w:after="156" w:line="360" w:lineRule="auto"/>
        <w:ind w:left="389" w:hanging="389"/>
        <w:jc w:val="both"/>
        <w:rPr>
          <w:rFonts w:asciiTheme="minorHAnsi" w:hAnsiTheme="minorHAnsi" w:cstheme="minorHAnsi"/>
          <w:lang w:val="en-US"/>
        </w:rPr>
      </w:pPr>
      <w:r w:rsidRPr="005A464E">
        <w:rPr>
          <w:rFonts w:asciiTheme="minorHAnsi" w:hAnsiTheme="minorHAnsi" w:cstheme="minorHAnsi"/>
          <w:lang w:val="en-US"/>
        </w:rPr>
        <w:t xml:space="preserve">London, G.M., Pannier, B., Guerin, A.P., Blacher, J., </w:t>
      </w:r>
      <w:r w:rsidR="008643F6" w:rsidRPr="005A464E">
        <w:rPr>
          <w:rFonts w:asciiTheme="minorHAnsi" w:hAnsiTheme="minorHAnsi" w:cstheme="minorHAnsi"/>
          <w:lang w:val="en-US"/>
        </w:rPr>
        <w:t>Marchais, S.J., Darne, B.,</w:t>
      </w:r>
      <w:r w:rsidR="007C2040" w:rsidRPr="007C2040">
        <w:rPr>
          <w:rFonts w:asciiTheme="minorHAnsi" w:hAnsiTheme="minorHAnsi"/>
          <w:lang w:val="en-US"/>
        </w:rPr>
        <w:t xml:space="preserve"> …</w:t>
      </w:r>
      <w:r w:rsidR="008643F6" w:rsidRPr="005A464E">
        <w:rPr>
          <w:rFonts w:asciiTheme="minorHAnsi" w:hAnsiTheme="minorHAnsi" w:cs="Arial"/>
          <w:shd w:val="clear" w:color="auto" w:fill="FFFFFF"/>
          <w:lang w:val="en-US"/>
        </w:rPr>
        <w:t xml:space="preserve"> &amp; </w:t>
      </w:r>
      <w:hyperlink r:id="rId268" w:history="1">
        <w:r w:rsidR="008643F6" w:rsidRPr="005A464E">
          <w:rPr>
            <w:rStyle w:val="-"/>
            <w:rFonts w:asciiTheme="minorHAnsi" w:hAnsiTheme="minorHAnsi" w:cs="Arial"/>
            <w:color w:val="auto"/>
            <w:u w:val="none"/>
            <w:shd w:val="clear" w:color="auto" w:fill="FFFFFF"/>
            <w:lang w:val="en-US"/>
          </w:rPr>
          <w:t>Safar, M.E</w:t>
        </w:r>
      </w:hyperlink>
      <w:r w:rsidR="008643F6" w:rsidRPr="005A464E">
        <w:rPr>
          <w:rFonts w:asciiTheme="minorHAnsi" w:hAnsiTheme="minorHAnsi" w:cs="Arial"/>
          <w:color w:val="000000"/>
          <w:shd w:val="clear" w:color="auto" w:fill="FFFFFF"/>
          <w:lang w:val="en-US"/>
        </w:rPr>
        <w:t>.</w:t>
      </w:r>
      <w:r w:rsidRPr="005A464E">
        <w:rPr>
          <w:rFonts w:asciiTheme="minorHAnsi" w:hAnsiTheme="minorHAnsi" w:cstheme="minorHAnsi"/>
          <w:lang w:val="en-US"/>
        </w:rPr>
        <w:t xml:space="preserve"> (2001). Alterations of left ventricular hypertrophy in and survival of patients receiving hemodialysis: Follow-up of an interventional study. </w:t>
      </w:r>
      <w:r w:rsidRPr="005A464E">
        <w:rPr>
          <w:rFonts w:asciiTheme="minorHAnsi" w:hAnsiTheme="minorHAnsi" w:cstheme="minorHAnsi"/>
          <w:i/>
          <w:lang w:val="en-US"/>
        </w:rPr>
        <w:t xml:space="preserve">Journal of the American Society of Nephrology, </w:t>
      </w:r>
      <w:r w:rsidR="008C3704" w:rsidRPr="008C3704">
        <w:rPr>
          <w:rFonts w:asciiTheme="minorHAnsi" w:hAnsiTheme="minorHAnsi" w:cstheme="minorHAnsi"/>
          <w:i/>
          <w:lang w:val="en-US"/>
        </w:rPr>
        <w:t>12</w:t>
      </w:r>
      <w:r w:rsidRPr="008C3704">
        <w:rPr>
          <w:rFonts w:asciiTheme="minorHAnsi" w:hAnsiTheme="minorHAnsi" w:cstheme="minorHAnsi"/>
          <w:i/>
          <w:lang w:val="en-US"/>
        </w:rPr>
        <w:t>,</w:t>
      </w:r>
      <w:r w:rsidRPr="005A464E">
        <w:rPr>
          <w:rFonts w:asciiTheme="minorHAnsi" w:hAnsiTheme="minorHAnsi" w:cstheme="minorHAnsi"/>
          <w:lang w:val="en-US"/>
        </w:rPr>
        <w:t xml:space="preserve"> 2759-2767.</w:t>
      </w:r>
    </w:p>
    <w:p w:rsidR="00B21E78" w:rsidRPr="005A464E" w:rsidRDefault="00B21E78" w:rsidP="005A464E">
      <w:pPr>
        <w:pStyle w:val="Web"/>
        <w:spacing w:after="156" w:line="360" w:lineRule="auto"/>
        <w:ind w:left="389" w:hanging="389"/>
        <w:jc w:val="both"/>
        <w:rPr>
          <w:rFonts w:asciiTheme="minorHAnsi" w:hAnsiTheme="minorHAnsi" w:cstheme="minorHAnsi"/>
          <w:lang w:val="en-US"/>
        </w:rPr>
      </w:pPr>
      <w:r w:rsidRPr="005A464E">
        <w:rPr>
          <w:rFonts w:asciiTheme="minorHAnsi" w:hAnsiTheme="minorHAnsi" w:cstheme="minorHAnsi"/>
          <w:lang w:val="en-US"/>
        </w:rPr>
        <w:t xml:space="preserve">Long, J., Kee, C., Graham, </w:t>
      </w:r>
      <w:r w:rsidR="00642ED2">
        <w:rPr>
          <w:rFonts w:asciiTheme="minorHAnsi" w:hAnsiTheme="minorHAnsi" w:cstheme="minorHAnsi"/>
          <w:lang w:val="en-US"/>
        </w:rPr>
        <w:t>M., Saethang, T., &amp; Dames, F. (</w:t>
      </w:r>
      <w:r w:rsidRPr="005A464E">
        <w:rPr>
          <w:rFonts w:asciiTheme="minorHAnsi" w:hAnsiTheme="minorHAnsi" w:cstheme="minorHAnsi"/>
          <w:lang w:val="en-US"/>
        </w:rPr>
        <w:t xml:space="preserve">1998). Medication compliance and the older hemodialysis patient. </w:t>
      </w:r>
      <w:r w:rsidRPr="005A464E">
        <w:rPr>
          <w:rFonts w:asciiTheme="minorHAnsi" w:hAnsiTheme="minorHAnsi" w:cstheme="minorHAnsi"/>
          <w:i/>
          <w:iCs/>
          <w:lang w:val="en-US"/>
        </w:rPr>
        <w:t>Journal of American Nephrology Nurses Association,</w:t>
      </w:r>
      <w:r w:rsidRPr="008C3704">
        <w:rPr>
          <w:rFonts w:asciiTheme="minorHAnsi" w:hAnsiTheme="minorHAnsi" w:cstheme="minorHAnsi"/>
          <w:i/>
          <w:iCs/>
          <w:lang w:val="en-US"/>
        </w:rPr>
        <w:t xml:space="preserve"> 25</w:t>
      </w:r>
      <w:r w:rsidRPr="005A464E">
        <w:rPr>
          <w:rFonts w:asciiTheme="minorHAnsi" w:hAnsiTheme="minorHAnsi" w:cstheme="minorHAnsi"/>
          <w:lang w:val="en-US"/>
        </w:rPr>
        <w:t>, 43- 49.</w:t>
      </w:r>
    </w:p>
    <w:p w:rsidR="003C410F" w:rsidRPr="005A464E" w:rsidRDefault="003C410F" w:rsidP="005A464E">
      <w:pPr>
        <w:pStyle w:val="Web"/>
        <w:spacing w:after="156" w:line="360" w:lineRule="auto"/>
        <w:ind w:left="389" w:hanging="389"/>
        <w:jc w:val="both"/>
        <w:rPr>
          <w:rFonts w:asciiTheme="minorHAnsi" w:hAnsiTheme="minorHAnsi" w:cstheme="minorHAnsi"/>
          <w:lang w:val="en-US"/>
        </w:rPr>
      </w:pPr>
      <w:r w:rsidRPr="005A464E">
        <w:rPr>
          <w:rFonts w:asciiTheme="minorHAnsi" w:hAnsiTheme="minorHAnsi" w:cstheme="minorHAnsi"/>
          <w:lang w:val="en-US"/>
        </w:rPr>
        <w:t xml:space="preserve">Loos, C., Briancon, S., Frimat, L., Hanesse, B., &amp; Kessler, M. (2003). Effect of end stage renal disease on the quality of life of older patients. </w:t>
      </w:r>
      <w:r w:rsidRPr="005A464E">
        <w:rPr>
          <w:rFonts w:asciiTheme="minorHAnsi" w:hAnsiTheme="minorHAnsi" w:cstheme="minorHAnsi"/>
          <w:i/>
          <w:iCs/>
          <w:lang w:val="en-US"/>
        </w:rPr>
        <w:t>Journal of the American Geriatric Society</w:t>
      </w:r>
      <w:r w:rsidRPr="008C3704">
        <w:rPr>
          <w:rFonts w:asciiTheme="minorHAnsi" w:hAnsiTheme="minorHAnsi" w:cstheme="minorHAnsi"/>
          <w:i/>
          <w:iCs/>
          <w:lang w:val="en-US"/>
        </w:rPr>
        <w:t>, 51</w:t>
      </w:r>
      <w:r w:rsidRPr="005A464E">
        <w:rPr>
          <w:rFonts w:asciiTheme="minorHAnsi" w:hAnsiTheme="minorHAnsi" w:cstheme="minorHAnsi"/>
          <w:lang w:val="en-US"/>
        </w:rPr>
        <w:t>, 229-233.</w:t>
      </w:r>
      <w:r w:rsidRPr="005A464E">
        <w:rPr>
          <w:rStyle w:val="1Char"/>
          <w:rFonts w:asciiTheme="minorHAnsi" w:eastAsia="Calibri" w:hAnsiTheme="minorHAnsi" w:cstheme="minorHAnsi"/>
          <w:b w:val="0"/>
          <w:bCs w:val="0"/>
          <w:color w:val="auto"/>
          <w:sz w:val="24"/>
          <w:szCs w:val="24"/>
          <w:bdr w:val="none" w:sz="0" w:space="0" w:color="auto" w:frame="1"/>
          <w:shd w:val="clear" w:color="auto" w:fill="FFFFFF"/>
          <w:lang w:val="en-US"/>
        </w:rPr>
        <w:t xml:space="preserve"> </w:t>
      </w:r>
      <w:r w:rsidR="00292B29" w:rsidRPr="005A464E">
        <w:rPr>
          <w:rStyle w:val="article-headermeta-info-label"/>
          <w:rFonts w:asciiTheme="minorHAnsi" w:hAnsiTheme="minorHAnsi" w:cstheme="minorHAnsi"/>
          <w:bCs/>
          <w:bdr w:val="none" w:sz="0" w:space="0" w:color="auto" w:frame="1"/>
          <w:shd w:val="clear" w:color="auto" w:fill="FFFFFF"/>
          <w:lang w:val="en-US"/>
        </w:rPr>
        <w:t>DOI</w:t>
      </w:r>
      <w:r w:rsidRPr="005A464E">
        <w:rPr>
          <w:rStyle w:val="article-headermeta-info-label"/>
          <w:rFonts w:asciiTheme="minorHAnsi" w:hAnsiTheme="minorHAnsi" w:cstheme="minorHAnsi"/>
          <w:bCs/>
          <w:bdr w:val="none" w:sz="0" w:space="0" w:color="auto" w:frame="1"/>
          <w:shd w:val="clear" w:color="auto" w:fill="FFFFFF"/>
          <w:lang w:val="en-US"/>
        </w:rPr>
        <w:t>:</w:t>
      </w:r>
      <w:r w:rsidRPr="005A464E">
        <w:rPr>
          <w:rStyle w:val="apple-converted-space"/>
          <w:rFonts w:asciiTheme="minorHAnsi" w:hAnsiTheme="minorHAnsi" w:cstheme="minorHAnsi"/>
          <w:bCs/>
          <w:bdr w:val="none" w:sz="0" w:space="0" w:color="auto" w:frame="1"/>
          <w:shd w:val="clear" w:color="auto" w:fill="FFFFFF"/>
          <w:lang w:val="en-US"/>
        </w:rPr>
        <w:t> </w:t>
      </w:r>
      <w:r w:rsidRPr="005A464E">
        <w:rPr>
          <w:rStyle w:val="article-headermeta-info-data"/>
          <w:rFonts w:asciiTheme="minorHAnsi" w:hAnsiTheme="minorHAnsi" w:cstheme="minorHAnsi"/>
          <w:bdr w:val="none" w:sz="0" w:space="0" w:color="auto" w:frame="1"/>
          <w:shd w:val="clear" w:color="auto" w:fill="FFFFFF"/>
          <w:lang w:val="en-US"/>
        </w:rPr>
        <w:t>10.1046/j.1532-5415.2003.51062.x</w:t>
      </w:r>
      <w:r w:rsidR="009D2C70" w:rsidRPr="005A464E">
        <w:rPr>
          <w:rStyle w:val="article-headermeta-info-data"/>
          <w:rFonts w:asciiTheme="minorHAnsi" w:hAnsiTheme="minorHAnsi" w:cstheme="minorHAnsi"/>
          <w:bdr w:val="none" w:sz="0" w:space="0" w:color="auto" w:frame="1"/>
          <w:shd w:val="clear" w:color="auto" w:fill="FFFFFF"/>
          <w:lang w:val="en-US"/>
        </w:rPr>
        <w:t>.</w:t>
      </w:r>
    </w:p>
    <w:p w:rsidR="003C410F" w:rsidRPr="005A464E" w:rsidRDefault="003C410F" w:rsidP="005A464E">
      <w:pPr>
        <w:pStyle w:val="Web"/>
        <w:spacing w:after="188" w:line="360" w:lineRule="auto"/>
        <w:ind w:left="470" w:hanging="470"/>
        <w:jc w:val="both"/>
        <w:rPr>
          <w:rFonts w:asciiTheme="minorHAnsi" w:hAnsiTheme="minorHAnsi" w:cstheme="minorHAnsi"/>
          <w:lang w:val="en-US"/>
        </w:rPr>
      </w:pPr>
      <w:r w:rsidRPr="005A464E">
        <w:rPr>
          <w:rFonts w:asciiTheme="minorHAnsi" w:hAnsiTheme="minorHAnsi" w:cstheme="minorHAnsi"/>
          <w:lang w:val="en-US"/>
        </w:rPr>
        <w:t xml:space="preserve">Lopes, A., Bragg, J., Young, E., Goodkin, </w:t>
      </w:r>
      <w:r w:rsidR="007C2040">
        <w:rPr>
          <w:rFonts w:asciiTheme="minorHAnsi" w:hAnsiTheme="minorHAnsi" w:cstheme="minorHAnsi"/>
          <w:lang w:val="en-US"/>
        </w:rPr>
        <w:t>D., Mapes, D., &amp; Combe, C., … &amp; Port, F.K.</w:t>
      </w:r>
      <w:r w:rsidRPr="005A464E">
        <w:rPr>
          <w:rFonts w:asciiTheme="minorHAnsi" w:hAnsiTheme="minorHAnsi" w:cstheme="minorHAnsi"/>
          <w:lang w:val="en-US"/>
        </w:rPr>
        <w:t xml:space="preserve"> </w:t>
      </w:r>
      <w:hyperlink r:id="rId269" w:history="1">
        <w:r w:rsidR="007C2040" w:rsidRPr="007C2040">
          <w:rPr>
            <w:rStyle w:val="highlight"/>
            <w:rFonts w:asciiTheme="minorHAnsi" w:hAnsiTheme="minorHAnsi" w:cs="Arial"/>
            <w:shd w:val="clear" w:color="auto" w:fill="FFFFFF"/>
            <w:lang w:val="en-US"/>
          </w:rPr>
          <w:t>Dialysis</w:t>
        </w:r>
        <w:r w:rsidR="007C2040" w:rsidRPr="007C2040">
          <w:rPr>
            <w:rStyle w:val="-"/>
            <w:rFonts w:asciiTheme="minorHAnsi" w:hAnsiTheme="minorHAnsi" w:cs="Arial"/>
            <w:color w:val="auto"/>
            <w:u w:val="none"/>
            <w:shd w:val="clear" w:color="auto" w:fill="FFFFFF"/>
            <w:lang w:val="en-US"/>
          </w:rPr>
          <w:t> Outcomes and Practice Patterns Study (DOPPS)</w:t>
        </w:r>
      </w:hyperlink>
      <w:r w:rsidR="007C2040" w:rsidRPr="007C2040">
        <w:rPr>
          <w:rFonts w:asciiTheme="minorHAnsi" w:hAnsiTheme="minorHAnsi" w:cs="Arial"/>
          <w:shd w:val="clear" w:color="auto" w:fill="FFFFFF"/>
          <w:lang w:val="en-US"/>
        </w:rPr>
        <w:t>.</w:t>
      </w:r>
      <w:r w:rsidR="007C2040" w:rsidRPr="007C2040">
        <w:rPr>
          <w:rFonts w:asciiTheme="minorHAnsi" w:hAnsiTheme="minorHAnsi" w:cstheme="minorHAnsi"/>
          <w:lang w:val="en-US"/>
        </w:rPr>
        <w:t xml:space="preserve"> </w:t>
      </w:r>
      <w:r w:rsidRPr="007C2040">
        <w:rPr>
          <w:rFonts w:asciiTheme="minorHAnsi" w:hAnsiTheme="minorHAnsi" w:cstheme="minorHAnsi"/>
          <w:lang w:val="en-US"/>
        </w:rPr>
        <w:t>(2</w:t>
      </w:r>
      <w:r w:rsidRPr="005A464E">
        <w:rPr>
          <w:rFonts w:asciiTheme="minorHAnsi" w:hAnsiTheme="minorHAnsi" w:cstheme="minorHAnsi"/>
          <w:lang w:val="en-US"/>
        </w:rPr>
        <w:t>002). Depression as a predictor of mortality and hospitalization among hemodialysis patients in the United States and Europe.</w:t>
      </w:r>
      <w:r w:rsidR="008C3704">
        <w:rPr>
          <w:rFonts w:asciiTheme="minorHAnsi" w:hAnsiTheme="minorHAnsi" w:cstheme="minorHAnsi"/>
          <w:lang w:val="en-US"/>
        </w:rPr>
        <w:t>,</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Kidney International</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62</w:t>
      </w:r>
      <w:r w:rsidRPr="005A464E">
        <w:rPr>
          <w:rFonts w:asciiTheme="minorHAnsi" w:hAnsiTheme="minorHAnsi" w:cstheme="minorHAnsi"/>
          <w:lang w:val="en-US"/>
        </w:rPr>
        <w:t xml:space="preserve">, 199-207. </w:t>
      </w:r>
      <w:hyperlink r:id="rId270" w:history="1">
        <w:r w:rsidR="001720A0"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001720A0" w:rsidRPr="005A464E">
          <w:rPr>
            <w:rStyle w:val="-"/>
            <w:rFonts w:asciiTheme="minorHAnsi" w:hAnsiTheme="minorHAnsi" w:cstheme="minorHAnsi"/>
            <w:color w:val="auto"/>
            <w:u w:val="none"/>
            <w:lang w:val="en-US"/>
          </w:rPr>
          <w:t>.org/10.1046/j.1523-1755.2002.00411.x</w:t>
        </w:r>
      </w:hyperlink>
      <w:r w:rsidR="009D2C70" w:rsidRPr="005A464E">
        <w:rPr>
          <w:rFonts w:asciiTheme="minorHAnsi" w:hAnsiTheme="minorHAnsi"/>
          <w:lang w:val="en-US"/>
        </w:rPr>
        <w:t>.</w:t>
      </w:r>
    </w:p>
    <w:p w:rsidR="001720A0" w:rsidRPr="007C2040" w:rsidRDefault="001720A0" w:rsidP="005A464E">
      <w:pPr>
        <w:pStyle w:val="Web"/>
        <w:spacing w:after="188" w:line="360" w:lineRule="auto"/>
        <w:ind w:left="470" w:hanging="470"/>
        <w:jc w:val="both"/>
        <w:rPr>
          <w:rFonts w:asciiTheme="minorHAnsi" w:hAnsiTheme="minorHAnsi" w:cstheme="minorHAnsi"/>
          <w:lang w:val="en-US"/>
        </w:rPr>
      </w:pPr>
      <w:r w:rsidRPr="005A464E">
        <w:rPr>
          <w:rFonts w:asciiTheme="minorHAnsi" w:hAnsiTheme="minorHAnsi" w:cstheme="minorHAnsi"/>
          <w:lang w:val="en-US"/>
        </w:rPr>
        <w:t>Lopes, A., Albert, J., Young, E.</w:t>
      </w:r>
      <w:r w:rsidR="009D2C70" w:rsidRPr="005A464E">
        <w:rPr>
          <w:rFonts w:asciiTheme="minorHAnsi" w:hAnsiTheme="minorHAnsi" w:cstheme="minorHAnsi"/>
          <w:lang w:val="en-US"/>
        </w:rPr>
        <w:t xml:space="preserve">, Satayathum, S., Pisoni, R., </w:t>
      </w:r>
      <w:r w:rsidRPr="005A464E">
        <w:rPr>
          <w:rFonts w:asciiTheme="minorHAnsi" w:hAnsiTheme="minorHAnsi" w:cstheme="minorHAnsi"/>
          <w:lang w:val="en-US"/>
        </w:rPr>
        <w:t xml:space="preserve">Andreucci, </w:t>
      </w:r>
      <w:r w:rsidRPr="007C2040">
        <w:rPr>
          <w:rFonts w:asciiTheme="minorHAnsi" w:hAnsiTheme="minorHAnsi" w:cstheme="minorHAnsi"/>
          <w:lang w:val="en-US"/>
        </w:rPr>
        <w:t>V.</w:t>
      </w:r>
      <w:r w:rsidR="007C2040" w:rsidRPr="007C2040">
        <w:rPr>
          <w:rFonts w:asciiTheme="minorHAnsi" w:hAnsiTheme="minorHAnsi"/>
          <w:lang w:val="en-US"/>
        </w:rPr>
        <w:t xml:space="preserve">, </w:t>
      </w:r>
      <w:r w:rsidR="009D2C70" w:rsidRPr="007C2040">
        <w:rPr>
          <w:rFonts w:asciiTheme="minorHAnsi" w:hAnsiTheme="minorHAnsi" w:cs="Arial"/>
          <w:shd w:val="clear" w:color="auto" w:fill="FFFFFF"/>
          <w:lang w:val="en-US"/>
        </w:rPr>
        <w:t>&amp;</w:t>
      </w:r>
      <w:r w:rsidR="009D2C70" w:rsidRPr="005A464E">
        <w:rPr>
          <w:rFonts w:asciiTheme="minorHAnsi" w:hAnsiTheme="minorHAnsi" w:cs="Arial"/>
          <w:shd w:val="clear" w:color="auto" w:fill="FFFFFF"/>
          <w:lang w:val="en-US"/>
        </w:rPr>
        <w:t xml:space="preserve"> </w:t>
      </w:r>
      <w:hyperlink r:id="rId271" w:history="1">
        <w:r w:rsidR="009D2C70" w:rsidRPr="005A464E">
          <w:rPr>
            <w:rStyle w:val="-"/>
            <w:rFonts w:asciiTheme="minorHAnsi" w:hAnsiTheme="minorHAnsi" w:cs="Arial"/>
            <w:color w:val="auto"/>
            <w:u w:val="none"/>
            <w:shd w:val="clear" w:color="auto" w:fill="FFFFFF"/>
            <w:lang w:val="en-US"/>
          </w:rPr>
          <w:t>Port, F.K</w:t>
        </w:r>
      </w:hyperlink>
      <w:r w:rsidR="009D2C70" w:rsidRPr="005A464E">
        <w:rPr>
          <w:rFonts w:asciiTheme="minorHAnsi" w:hAnsiTheme="minorHAnsi" w:cs="Arial"/>
          <w:color w:val="000000"/>
          <w:shd w:val="clear" w:color="auto" w:fill="FFFFFF"/>
          <w:lang w:val="en-US"/>
        </w:rPr>
        <w:t>.</w:t>
      </w:r>
      <w:r w:rsidRPr="005A464E">
        <w:rPr>
          <w:rFonts w:asciiTheme="minorHAnsi" w:hAnsiTheme="minorHAnsi" w:cstheme="minorHAnsi"/>
          <w:lang w:val="en-US"/>
        </w:rPr>
        <w:t xml:space="preserve"> (2004). Screening for depression in hemodialysis patients: Associations with diagnosis, treatment, and outcomes in the DOPPS.</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Kidney International</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8C3704">
        <w:rPr>
          <w:rFonts w:asciiTheme="minorHAnsi" w:hAnsiTheme="minorHAnsi" w:cstheme="minorHAnsi"/>
          <w:i/>
          <w:iCs/>
          <w:lang w:val="en-US"/>
        </w:rPr>
        <w:t>66</w:t>
      </w:r>
      <w:r w:rsidRPr="008C3704">
        <w:rPr>
          <w:rFonts w:asciiTheme="minorHAnsi" w:hAnsiTheme="minorHAnsi" w:cstheme="minorHAnsi"/>
          <w:i/>
          <w:lang w:val="en-US"/>
        </w:rPr>
        <w:t>,</w:t>
      </w:r>
      <w:r w:rsidRPr="005A464E">
        <w:rPr>
          <w:rFonts w:asciiTheme="minorHAnsi" w:hAnsiTheme="minorHAnsi" w:cstheme="minorHAnsi"/>
          <w:lang w:val="en-US"/>
        </w:rPr>
        <w:t xml:space="preserve"> 2047-2053. http://dx.</w:t>
      </w:r>
      <w:r w:rsidR="00292B29" w:rsidRPr="005A464E">
        <w:rPr>
          <w:rFonts w:asciiTheme="minorHAnsi" w:hAnsiTheme="minorHAnsi" w:cstheme="minorHAnsi"/>
          <w:lang w:val="en-US"/>
        </w:rPr>
        <w:t>DOI</w:t>
      </w:r>
      <w:r w:rsidRPr="005A464E">
        <w:rPr>
          <w:rFonts w:asciiTheme="minorHAnsi" w:hAnsiTheme="minorHAnsi" w:cstheme="minorHAnsi"/>
          <w:lang w:val="en-US"/>
        </w:rPr>
        <w:t>.org/10.1111/j.1523-1755.2004.00977.x</w:t>
      </w:r>
      <w:r w:rsidR="009D2C70" w:rsidRPr="005A464E">
        <w:rPr>
          <w:rFonts w:asciiTheme="minorHAnsi" w:hAnsiTheme="minorHAnsi" w:cstheme="minorHAnsi"/>
          <w:lang w:val="en-US"/>
        </w:rPr>
        <w:t>.</w:t>
      </w:r>
    </w:p>
    <w:p w:rsidR="003C410F" w:rsidRPr="005A464E" w:rsidRDefault="003C410F" w:rsidP="005A464E">
      <w:pPr>
        <w:pStyle w:val="Web"/>
        <w:spacing w:after="188" w:line="360" w:lineRule="auto"/>
        <w:ind w:left="470" w:hanging="470"/>
        <w:jc w:val="both"/>
        <w:rPr>
          <w:rFonts w:asciiTheme="minorHAnsi" w:hAnsiTheme="minorHAnsi" w:cstheme="minorHAnsi"/>
          <w:lang w:val="en-US"/>
        </w:rPr>
      </w:pPr>
      <w:r w:rsidRPr="007C2040">
        <w:rPr>
          <w:rFonts w:asciiTheme="minorHAnsi" w:hAnsiTheme="minorHAnsi" w:cstheme="minorHAnsi"/>
          <w:lang w:val="en-US"/>
        </w:rPr>
        <w:t>Lopes, A., Bragg-Gresham, J., Goodkin, D., Fukuhara, S</w:t>
      </w:r>
      <w:r w:rsidR="009D2C70" w:rsidRPr="007C2040">
        <w:rPr>
          <w:rFonts w:asciiTheme="minorHAnsi" w:hAnsiTheme="minorHAnsi" w:cstheme="minorHAnsi"/>
          <w:lang w:val="en-US"/>
        </w:rPr>
        <w:t>., Mapes, D., Young, E.,</w:t>
      </w:r>
      <w:r w:rsidR="007C2040" w:rsidRPr="007C2040">
        <w:rPr>
          <w:rFonts w:asciiTheme="minorHAnsi" w:hAnsiTheme="minorHAnsi"/>
          <w:lang w:val="en-US"/>
        </w:rPr>
        <w:t xml:space="preserve"> … &amp;</w:t>
      </w:r>
      <w:r w:rsidR="009D2C70" w:rsidRPr="007C2040">
        <w:rPr>
          <w:rFonts w:asciiTheme="minorHAnsi" w:hAnsiTheme="minorHAnsi" w:cs="Arial"/>
          <w:shd w:val="clear" w:color="auto" w:fill="FFFFFF"/>
          <w:lang w:val="en-US"/>
        </w:rPr>
        <w:t> </w:t>
      </w:r>
      <w:hyperlink r:id="rId272" w:history="1">
        <w:r w:rsidR="009D2C70" w:rsidRPr="007C2040">
          <w:rPr>
            <w:rStyle w:val="-"/>
            <w:rFonts w:asciiTheme="minorHAnsi" w:hAnsiTheme="minorHAnsi" w:cs="Arial"/>
            <w:color w:val="auto"/>
            <w:u w:val="none"/>
            <w:shd w:val="clear" w:color="auto" w:fill="FFFFFF"/>
            <w:lang w:val="en-US"/>
          </w:rPr>
          <w:t>Port, F.K</w:t>
        </w:r>
      </w:hyperlink>
      <w:r w:rsidR="009D2C70" w:rsidRPr="007C2040">
        <w:rPr>
          <w:rFonts w:asciiTheme="minorHAnsi" w:hAnsiTheme="minorHAnsi" w:cs="Arial"/>
          <w:shd w:val="clear" w:color="auto" w:fill="FFFFFF"/>
          <w:lang w:val="en-US"/>
        </w:rPr>
        <w:t>.</w:t>
      </w:r>
      <w:r w:rsidR="009D2C70" w:rsidRPr="007C2040">
        <w:rPr>
          <w:rFonts w:asciiTheme="minorHAnsi" w:hAnsiTheme="minorHAnsi" w:cstheme="minorHAnsi"/>
          <w:lang w:val="en-US"/>
        </w:rPr>
        <w:t xml:space="preserve"> </w:t>
      </w:r>
      <w:r w:rsidRPr="007C2040">
        <w:rPr>
          <w:rFonts w:asciiTheme="minorHAnsi" w:hAnsiTheme="minorHAnsi" w:cstheme="minorHAnsi"/>
          <w:lang w:val="en-US"/>
        </w:rPr>
        <w:t>(2007). Factors associated with health-related quality of life</w:t>
      </w:r>
      <w:r w:rsidRPr="005A464E">
        <w:rPr>
          <w:rFonts w:asciiTheme="minorHAnsi" w:hAnsiTheme="minorHAnsi" w:cstheme="minorHAnsi"/>
          <w:lang w:val="en-US"/>
        </w:rPr>
        <w:t xml:space="preserve"> among hemodialysis patients in the DOPPS.</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Quality Of Life Research</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8C3704">
        <w:rPr>
          <w:rFonts w:asciiTheme="minorHAnsi" w:hAnsiTheme="minorHAnsi" w:cstheme="minorHAnsi"/>
          <w:i/>
          <w:iCs/>
          <w:lang w:val="en-US"/>
        </w:rPr>
        <w:t>16</w:t>
      </w:r>
      <w:r w:rsidRPr="008C3704">
        <w:rPr>
          <w:rFonts w:asciiTheme="minorHAnsi" w:hAnsiTheme="minorHAnsi" w:cstheme="minorHAnsi"/>
          <w:i/>
          <w:lang w:val="en-US"/>
        </w:rPr>
        <w:t>,</w:t>
      </w:r>
      <w:r w:rsidRPr="005A464E">
        <w:rPr>
          <w:rFonts w:asciiTheme="minorHAnsi" w:hAnsiTheme="minorHAnsi" w:cstheme="minorHAnsi"/>
          <w:lang w:val="en-US"/>
        </w:rPr>
        <w:t xml:space="preserve"> 545-557. http://dx.</w:t>
      </w:r>
      <w:r w:rsidR="00292B29" w:rsidRPr="005A464E">
        <w:rPr>
          <w:rFonts w:asciiTheme="minorHAnsi" w:hAnsiTheme="minorHAnsi" w:cstheme="minorHAnsi"/>
          <w:lang w:val="en-US"/>
        </w:rPr>
        <w:t>DOI</w:t>
      </w:r>
      <w:r w:rsidRPr="005A464E">
        <w:rPr>
          <w:rFonts w:asciiTheme="minorHAnsi" w:hAnsiTheme="minorHAnsi" w:cstheme="minorHAnsi"/>
          <w:lang w:val="en-US"/>
        </w:rPr>
        <w:t>.org/10.1007/s11136-006-9143-7</w:t>
      </w:r>
      <w:r w:rsidR="009D2C70" w:rsidRPr="005A464E">
        <w:rPr>
          <w:rFonts w:asciiTheme="minorHAnsi" w:hAnsiTheme="minorHAnsi" w:cstheme="minorHAnsi"/>
          <w:lang w:val="en-US"/>
        </w:rPr>
        <w:t>.</w:t>
      </w:r>
    </w:p>
    <w:p w:rsidR="003C410F" w:rsidRPr="005A464E" w:rsidRDefault="003C410F" w:rsidP="005A464E">
      <w:pPr>
        <w:pStyle w:val="Web"/>
        <w:spacing w:after="188" w:line="360" w:lineRule="auto"/>
        <w:ind w:left="470" w:hanging="470"/>
        <w:jc w:val="both"/>
        <w:rPr>
          <w:rFonts w:asciiTheme="minorHAnsi" w:hAnsiTheme="minorHAnsi" w:cstheme="minorHAnsi"/>
          <w:lang w:val="en-US"/>
        </w:rPr>
      </w:pPr>
      <w:r w:rsidRPr="005A464E">
        <w:rPr>
          <w:rFonts w:asciiTheme="minorHAnsi" w:hAnsiTheme="minorHAnsi" w:cstheme="minorHAnsi"/>
          <w:lang w:val="en-US"/>
        </w:rPr>
        <w:t>Lopes, A., Tong, L., T</w:t>
      </w:r>
      <w:r w:rsidR="009E3383">
        <w:rPr>
          <w:rFonts w:asciiTheme="minorHAnsi" w:hAnsiTheme="minorHAnsi" w:cstheme="minorHAnsi"/>
          <w:lang w:val="en-US"/>
        </w:rPr>
        <w:t>humma, J., Li, Y., Fuller, D.,</w:t>
      </w:r>
      <w:r w:rsidRPr="005A464E">
        <w:rPr>
          <w:rFonts w:asciiTheme="minorHAnsi" w:hAnsiTheme="minorHAnsi" w:cstheme="minorHAnsi"/>
          <w:lang w:val="en-US"/>
        </w:rPr>
        <w:t xml:space="preserve"> Morgenstern, H</w:t>
      </w:r>
      <w:r w:rsidRPr="009E3383">
        <w:rPr>
          <w:rFonts w:asciiTheme="minorHAnsi" w:hAnsiTheme="minorHAnsi" w:cstheme="minorHAnsi"/>
          <w:lang w:val="en-US"/>
        </w:rPr>
        <w:t>.</w:t>
      </w:r>
      <w:r w:rsidR="003D08D8" w:rsidRPr="009E3383">
        <w:rPr>
          <w:rFonts w:asciiTheme="minorHAnsi" w:hAnsiTheme="minorHAnsi" w:cstheme="minorHAnsi"/>
          <w:lang w:val="en-US"/>
        </w:rPr>
        <w:t>,</w:t>
      </w:r>
      <w:r w:rsidR="009E3383" w:rsidRPr="009E3383">
        <w:rPr>
          <w:rFonts w:asciiTheme="minorHAnsi" w:hAnsiTheme="minorHAnsi"/>
          <w:lang w:val="en-US"/>
        </w:rPr>
        <w:t xml:space="preserve"> …</w:t>
      </w:r>
      <w:r w:rsidR="003D08D8" w:rsidRPr="009E3383">
        <w:rPr>
          <w:rFonts w:asciiTheme="minorHAnsi" w:hAnsiTheme="minorHAnsi" w:cs="Arial"/>
          <w:shd w:val="clear" w:color="auto" w:fill="FFFFFF"/>
          <w:lang w:val="en-US"/>
        </w:rPr>
        <w:t> </w:t>
      </w:r>
      <w:r w:rsidR="009D2C70" w:rsidRPr="009E3383">
        <w:rPr>
          <w:rFonts w:asciiTheme="minorHAnsi" w:hAnsiTheme="minorHAnsi" w:cs="Arial"/>
          <w:shd w:val="clear" w:color="auto" w:fill="FFFFFF"/>
          <w:lang w:val="en-US"/>
        </w:rPr>
        <w:t>&amp;</w:t>
      </w:r>
      <w:r w:rsidR="009D2C70" w:rsidRPr="005A464E">
        <w:rPr>
          <w:rFonts w:asciiTheme="minorHAnsi" w:hAnsiTheme="minorHAnsi" w:cs="Arial"/>
          <w:shd w:val="clear" w:color="auto" w:fill="FFFFFF"/>
          <w:lang w:val="en-US"/>
        </w:rPr>
        <w:t xml:space="preserve"> </w:t>
      </w:r>
      <w:hyperlink r:id="rId273" w:history="1">
        <w:r w:rsidR="003D08D8" w:rsidRPr="005A464E">
          <w:rPr>
            <w:rStyle w:val="-"/>
            <w:rFonts w:asciiTheme="minorHAnsi" w:hAnsiTheme="minorHAnsi" w:cs="Arial"/>
            <w:color w:val="auto"/>
            <w:u w:val="none"/>
            <w:shd w:val="clear" w:color="auto" w:fill="FFFFFF"/>
            <w:lang w:val="en-US"/>
          </w:rPr>
          <w:t>Pisoni, R.L</w:t>
        </w:r>
      </w:hyperlink>
      <w:r w:rsidR="003D08D8" w:rsidRPr="005A464E">
        <w:rPr>
          <w:rFonts w:asciiTheme="minorHAnsi" w:hAnsiTheme="minorHAnsi" w:cs="Arial"/>
          <w:shd w:val="clear" w:color="auto" w:fill="FFFFFF"/>
          <w:lang w:val="en-US"/>
        </w:rPr>
        <w:t>.</w:t>
      </w:r>
      <w:r w:rsidR="0078495A">
        <w:rPr>
          <w:rFonts w:asciiTheme="minorHAnsi" w:hAnsiTheme="minorHAnsi" w:cstheme="minorHAnsi"/>
          <w:lang w:val="en-US"/>
        </w:rPr>
        <w:t xml:space="preserve"> </w:t>
      </w:r>
      <w:r w:rsidRPr="005A464E">
        <w:rPr>
          <w:rFonts w:asciiTheme="minorHAnsi" w:hAnsiTheme="minorHAnsi" w:cstheme="minorHAnsi"/>
          <w:lang w:val="en-US"/>
        </w:rPr>
        <w:t xml:space="preserve">(2012). Phosphate </w:t>
      </w:r>
      <w:r w:rsidR="003D08D8" w:rsidRPr="005A464E">
        <w:rPr>
          <w:rFonts w:asciiTheme="minorHAnsi" w:hAnsiTheme="minorHAnsi" w:cstheme="minorHAnsi"/>
          <w:lang w:val="en-US"/>
        </w:rPr>
        <w:t xml:space="preserve">binder use and mortality among hemodialysis patients </w:t>
      </w:r>
      <w:r w:rsidRPr="005A464E">
        <w:rPr>
          <w:rFonts w:asciiTheme="minorHAnsi" w:hAnsiTheme="minorHAnsi" w:cstheme="minorHAnsi"/>
          <w:lang w:val="en-US"/>
        </w:rPr>
        <w:t xml:space="preserve">in the Dialysis Outcomes and Practice Patterns Study (DOPPS): Evaluation of </w:t>
      </w:r>
      <w:r w:rsidR="003D08D8" w:rsidRPr="005A464E">
        <w:rPr>
          <w:rFonts w:asciiTheme="minorHAnsi" w:hAnsiTheme="minorHAnsi" w:cstheme="minorHAnsi"/>
          <w:lang w:val="en-US"/>
        </w:rPr>
        <w:t>possible confounding by nutritional status</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003D08D8" w:rsidRPr="005A464E">
        <w:rPr>
          <w:rFonts w:asciiTheme="minorHAnsi" w:hAnsiTheme="minorHAnsi" w:cstheme="minorHAnsi"/>
          <w:i/>
          <w:iCs/>
          <w:lang w:val="en-US"/>
        </w:rPr>
        <w:t>American Journal o</w:t>
      </w:r>
      <w:r w:rsidRPr="005A464E">
        <w:rPr>
          <w:rFonts w:asciiTheme="minorHAnsi" w:hAnsiTheme="minorHAnsi" w:cstheme="minorHAnsi"/>
          <w:i/>
          <w:iCs/>
          <w:lang w:val="en-US"/>
        </w:rPr>
        <w:t xml:space="preserve">f Kidney </w:t>
      </w:r>
      <w:r w:rsidRPr="008C3704">
        <w:rPr>
          <w:rFonts w:asciiTheme="minorHAnsi" w:hAnsiTheme="minorHAnsi" w:cstheme="minorHAnsi"/>
          <w:i/>
          <w:iCs/>
          <w:lang w:val="en-US"/>
        </w:rPr>
        <w:t>Diseases</w:t>
      </w:r>
      <w:r w:rsidRPr="008C3704">
        <w:rPr>
          <w:rFonts w:asciiTheme="minorHAnsi" w:hAnsiTheme="minorHAnsi" w:cstheme="minorHAnsi"/>
          <w:i/>
          <w:lang w:val="en-US"/>
        </w:rPr>
        <w:t>,</w:t>
      </w:r>
      <w:r w:rsidRPr="008C3704">
        <w:rPr>
          <w:rStyle w:val="apple-converted-space"/>
          <w:rFonts w:asciiTheme="minorHAnsi" w:hAnsiTheme="minorHAnsi" w:cstheme="minorHAnsi"/>
          <w:i/>
          <w:lang w:val="en-US"/>
        </w:rPr>
        <w:t> </w:t>
      </w:r>
      <w:r w:rsidRPr="008C3704">
        <w:rPr>
          <w:rFonts w:asciiTheme="minorHAnsi" w:hAnsiTheme="minorHAnsi" w:cstheme="minorHAnsi"/>
          <w:i/>
          <w:iCs/>
          <w:lang w:val="en-US"/>
        </w:rPr>
        <w:t>60</w:t>
      </w:r>
      <w:r w:rsidRPr="005A464E">
        <w:rPr>
          <w:rFonts w:asciiTheme="minorHAnsi" w:hAnsiTheme="minorHAnsi" w:cstheme="minorHAnsi"/>
          <w:lang w:val="en-US"/>
        </w:rPr>
        <w:t xml:space="preserve">, 90-101. </w:t>
      </w:r>
      <w:hyperlink r:id="rId274"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.org/10.1053/j.ajkd.2011.12.025</w:t>
        </w:r>
      </w:hyperlink>
      <w:r w:rsidR="003D08D8" w:rsidRPr="005A464E">
        <w:rPr>
          <w:rFonts w:asciiTheme="minorHAnsi" w:hAnsiTheme="minorHAnsi"/>
          <w:lang w:val="en-US"/>
        </w:rPr>
        <w:t>.</w:t>
      </w:r>
    </w:p>
    <w:p w:rsidR="003C410F" w:rsidRPr="005A464E" w:rsidRDefault="003C410F" w:rsidP="005A464E">
      <w:pPr>
        <w:pStyle w:val="Web"/>
        <w:spacing w:after="188" w:line="360" w:lineRule="auto"/>
        <w:ind w:left="470" w:hanging="470"/>
        <w:jc w:val="both"/>
        <w:rPr>
          <w:rFonts w:asciiTheme="minorHAnsi" w:hAnsiTheme="minorHAnsi" w:cstheme="minorHAnsi"/>
          <w:lang w:val="en-US"/>
        </w:rPr>
      </w:pPr>
      <w:r w:rsidRPr="005A464E">
        <w:rPr>
          <w:rFonts w:asciiTheme="minorHAnsi" w:hAnsiTheme="minorHAnsi" w:cstheme="minorHAnsi"/>
          <w:lang w:val="en-US"/>
        </w:rPr>
        <w:t xml:space="preserve">Lorig, K.R., Sobel, D.S., Ritter, P.L., Laurent, D., &amp; Hobbs, M. (2001). Effect of a self-management program on patients with chronic disease. </w:t>
      </w:r>
      <w:r w:rsidRPr="005A464E">
        <w:rPr>
          <w:rFonts w:asciiTheme="minorHAnsi" w:hAnsiTheme="minorHAnsi" w:cstheme="minorHAnsi"/>
          <w:i/>
          <w:lang w:val="en-US"/>
        </w:rPr>
        <w:t>Eff</w:t>
      </w:r>
      <w:r w:rsidR="001720A0" w:rsidRPr="005A464E">
        <w:rPr>
          <w:rFonts w:asciiTheme="minorHAnsi" w:hAnsiTheme="minorHAnsi" w:cstheme="minorHAnsi"/>
          <w:i/>
          <w:lang w:val="en-US"/>
        </w:rPr>
        <w:t>ective</w:t>
      </w:r>
      <w:r w:rsidRPr="005A464E">
        <w:rPr>
          <w:rFonts w:asciiTheme="minorHAnsi" w:hAnsiTheme="minorHAnsi" w:cstheme="minorHAnsi"/>
          <w:i/>
          <w:lang w:val="en-US"/>
        </w:rPr>
        <w:t xml:space="preserve"> Clinical Practice</w:t>
      </w:r>
      <w:r w:rsidR="001720A0" w:rsidRPr="005A464E">
        <w:rPr>
          <w:rFonts w:asciiTheme="minorHAnsi" w:hAnsiTheme="minorHAnsi" w:cstheme="minorHAnsi"/>
          <w:lang w:val="en-US"/>
        </w:rPr>
        <w:t>,</w:t>
      </w:r>
      <w:r w:rsidR="008C3704">
        <w:rPr>
          <w:rFonts w:asciiTheme="minorHAnsi" w:hAnsiTheme="minorHAnsi" w:cstheme="minorHAnsi"/>
          <w:lang w:val="en-US"/>
        </w:rPr>
        <w:t xml:space="preserve"> </w:t>
      </w:r>
      <w:r w:rsidR="008C3704" w:rsidRPr="008C3704">
        <w:rPr>
          <w:rFonts w:asciiTheme="minorHAnsi" w:hAnsiTheme="minorHAnsi" w:cstheme="minorHAnsi"/>
          <w:i/>
          <w:lang w:val="en-US"/>
        </w:rPr>
        <w:t>4</w:t>
      </w:r>
      <w:r w:rsidRPr="008C3704">
        <w:rPr>
          <w:rFonts w:asciiTheme="minorHAnsi" w:hAnsiTheme="minorHAnsi" w:cstheme="minorHAnsi"/>
          <w:i/>
          <w:lang w:val="en-US"/>
        </w:rPr>
        <w:t>,</w:t>
      </w:r>
      <w:r w:rsidRPr="005A464E">
        <w:rPr>
          <w:rFonts w:asciiTheme="minorHAnsi" w:hAnsiTheme="minorHAnsi" w:cstheme="minorHAnsi"/>
          <w:lang w:val="en-US"/>
        </w:rPr>
        <w:t xml:space="preserve"> 256-</w:t>
      </w:r>
      <w:r w:rsidR="001720A0" w:rsidRPr="005A464E">
        <w:rPr>
          <w:rFonts w:asciiTheme="minorHAnsi" w:hAnsiTheme="minorHAnsi" w:cstheme="minorHAnsi"/>
          <w:lang w:val="en-US"/>
        </w:rPr>
        <w:t>2</w:t>
      </w:r>
      <w:r w:rsidRPr="005A464E">
        <w:rPr>
          <w:rFonts w:asciiTheme="minorHAnsi" w:hAnsiTheme="minorHAnsi" w:cstheme="minorHAnsi"/>
          <w:lang w:val="en-US"/>
        </w:rPr>
        <w:t>62.</w:t>
      </w:r>
    </w:p>
    <w:p w:rsidR="003C410F" w:rsidRPr="005A464E" w:rsidRDefault="003C410F" w:rsidP="005A464E">
      <w:pPr>
        <w:pStyle w:val="Web"/>
        <w:spacing w:after="188" w:line="360" w:lineRule="auto"/>
        <w:ind w:left="470" w:hanging="470"/>
        <w:jc w:val="both"/>
        <w:rPr>
          <w:rFonts w:asciiTheme="minorHAnsi" w:hAnsiTheme="minorHAnsi" w:cstheme="minorHAnsi"/>
          <w:lang w:val="en-US"/>
        </w:rPr>
      </w:pPr>
      <w:r w:rsidRPr="005A464E">
        <w:rPr>
          <w:rFonts w:asciiTheme="minorHAnsi" w:hAnsiTheme="minorHAnsi" w:cstheme="minorHAnsi"/>
          <w:lang w:val="en-US"/>
        </w:rPr>
        <w:t>Lowrie, E.G., Curt</w:t>
      </w:r>
      <w:r w:rsidR="009E3383">
        <w:rPr>
          <w:rFonts w:asciiTheme="minorHAnsi" w:hAnsiTheme="minorHAnsi" w:cstheme="minorHAnsi"/>
          <w:lang w:val="en-US"/>
        </w:rPr>
        <w:t>in, R.B., Lepain, N. &amp; Schatell,</w:t>
      </w:r>
      <w:r w:rsidRPr="005A464E">
        <w:rPr>
          <w:rFonts w:asciiTheme="minorHAnsi" w:hAnsiTheme="minorHAnsi" w:cstheme="minorHAnsi"/>
          <w:lang w:val="en-US"/>
        </w:rPr>
        <w:t xml:space="preserve"> D. (2003). Medical Outcomes Study Short Form- 36: a consistent and powerful predictor of morbidity and mortality in dialysis patients. </w:t>
      </w:r>
      <w:r w:rsidRPr="005A464E">
        <w:rPr>
          <w:rFonts w:asciiTheme="minorHAnsi" w:hAnsiTheme="minorHAnsi" w:cstheme="minorHAnsi"/>
          <w:i/>
          <w:lang w:val="en-US"/>
        </w:rPr>
        <w:t>American Journal of Kidney Diseases,</w:t>
      </w:r>
      <w:r w:rsidR="008C3704">
        <w:rPr>
          <w:rFonts w:asciiTheme="minorHAnsi" w:hAnsiTheme="minorHAnsi" w:cstheme="minorHAnsi"/>
          <w:lang w:val="en-US"/>
        </w:rPr>
        <w:t xml:space="preserve"> </w:t>
      </w:r>
      <w:r w:rsidR="008C3704" w:rsidRPr="008C3704">
        <w:rPr>
          <w:rFonts w:asciiTheme="minorHAnsi" w:hAnsiTheme="minorHAnsi" w:cstheme="minorHAnsi"/>
          <w:i/>
          <w:lang w:val="en-US"/>
        </w:rPr>
        <w:t>41</w:t>
      </w:r>
      <w:r w:rsidRPr="005A464E">
        <w:rPr>
          <w:rFonts w:asciiTheme="minorHAnsi" w:hAnsiTheme="minorHAnsi" w:cstheme="minorHAnsi"/>
          <w:lang w:val="en-US"/>
        </w:rPr>
        <w:t>, 1286-1292</w:t>
      </w:r>
      <w:r w:rsidR="003D08D8" w:rsidRPr="005A464E">
        <w:rPr>
          <w:rFonts w:asciiTheme="minorHAnsi" w:hAnsiTheme="minorHAnsi" w:cstheme="minorHAnsi"/>
          <w:lang w:val="en-US"/>
        </w:rPr>
        <w:t>.</w:t>
      </w:r>
      <w:r w:rsidRPr="005A464E">
        <w:rPr>
          <w:rFonts w:asciiTheme="minorHAnsi" w:hAnsiTheme="minorHAnsi" w:cstheme="minorHAnsi"/>
          <w:lang w:val="en-US"/>
        </w:rPr>
        <w:t xml:space="preserve"> </w:t>
      </w:r>
      <w:r w:rsidRPr="005A464E">
        <w:rPr>
          <w:rFonts w:asciiTheme="minorHAnsi" w:hAnsiTheme="minorHAnsi" w:cstheme="minorHAnsi"/>
          <w:lang w:val="en-US"/>
        </w:rPr>
        <w:br/>
      </w:r>
      <w:hyperlink r:id="rId275" w:history="1">
        <w:r w:rsidRPr="005A464E">
          <w:rPr>
            <w:rStyle w:val="-"/>
            <w:rFonts w:asciiTheme="minorHAnsi" w:hAnsiTheme="minorHAnsi" w:cstheme="minorHAnsi"/>
            <w:color w:val="auto"/>
            <w:u w:val="none"/>
            <w:shd w:val="clear" w:color="auto" w:fill="FFFFFF"/>
            <w:lang w:val="en-US"/>
          </w:rPr>
          <w:t>http://dx.</w:t>
        </w:r>
        <w:r w:rsidR="00292B29" w:rsidRPr="005A464E">
          <w:rPr>
            <w:rStyle w:val="-"/>
            <w:rFonts w:asciiTheme="minorHAnsi" w:hAnsiTheme="minorHAnsi" w:cstheme="minorHAnsi"/>
            <w:color w:val="auto"/>
            <w:u w:val="none"/>
            <w:shd w:val="clear" w:color="auto" w:fill="FFFFFF"/>
            <w:lang w:val="en-US"/>
          </w:rPr>
          <w:t>DOI</w:t>
        </w:r>
        <w:r w:rsidRPr="005A464E">
          <w:rPr>
            <w:rStyle w:val="-"/>
            <w:rFonts w:asciiTheme="minorHAnsi" w:hAnsiTheme="minorHAnsi" w:cstheme="minorHAnsi"/>
            <w:color w:val="auto"/>
            <w:u w:val="none"/>
            <w:shd w:val="clear" w:color="auto" w:fill="FFFFFF"/>
            <w:lang w:val="en-US"/>
          </w:rPr>
          <w:t>.org/10.1016/S0272-6386(03)00361-5</w:t>
        </w:r>
      </w:hyperlink>
      <w:r w:rsidR="003D08D8" w:rsidRPr="005A464E">
        <w:rPr>
          <w:rFonts w:asciiTheme="minorHAnsi" w:hAnsiTheme="minorHAnsi"/>
          <w:lang w:val="en-US"/>
        </w:rPr>
        <w:t>.</w:t>
      </w:r>
    </w:p>
    <w:p w:rsidR="003C410F" w:rsidRPr="005A464E" w:rsidRDefault="003C410F" w:rsidP="005A464E">
      <w:pPr>
        <w:pStyle w:val="Web"/>
        <w:spacing w:after="188" w:line="360" w:lineRule="auto"/>
        <w:ind w:left="470" w:hanging="470"/>
        <w:jc w:val="both"/>
        <w:rPr>
          <w:rFonts w:asciiTheme="minorHAnsi" w:hAnsiTheme="minorHAnsi" w:cstheme="minorHAnsi"/>
          <w:lang w:val="en-US"/>
        </w:rPr>
      </w:pPr>
      <w:r w:rsidRPr="005A464E">
        <w:rPr>
          <w:rFonts w:asciiTheme="minorHAnsi" w:hAnsiTheme="minorHAnsi" w:cstheme="minorHAnsi"/>
          <w:lang w:val="en-US"/>
        </w:rPr>
        <w:t>Luscher</w:t>
      </w:r>
      <w:r w:rsidR="003D08D8" w:rsidRPr="005A464E">
        <w:rPr>
          <w:rFonts w:asciiTheme="minorHAnsi" w:hAnsiTheme="minorHAnsi" w:cstheme="minorHAnsi"/>
          <w:lang w:val="en-US"/>
        </w:rPr>
        <w:t>,</w:t>
      </w:r>
      <w:r w:rsidRPr="005A464E">
        <w:rPr>
          <w:rFonts w:asciiTheme="minorHAnsi" w:hAnsiTheme="minorHAnsi" w:cstheme="minorHAnsi"/>
          <w:lang w:val="en-US"/>
        </w:rPr>
        <w:t xml:space="preserve"> T.F</w:t>
      </w:r>
      <w:r w:rsidR="003D08D8" w:rsidRPr="005A464E">
        <w:rPr>
          <w:rFonts w:asciiTheme="minorHAnsi" w:hAnsiTheme="minorHAnsi" w:cstheme="minorHAnsi"/>
          <w:lang w:val="en-US"/>
        </w:rPr>
        <w:t>.</w:t>
      </w:r>
      <w:r w:rsidRPr="005A464E">
        <w:rPr>
          <w:rFonts w:asciiTheme="minorHAnsi" w:hAnsiTheme="minorHAnsi" w:cstheme="minorHAnsi"/>
          <w:lang w:val="en-US"/>
        </w:rPr>
        <w:t>, Vetter</w:t>
      </w:r>
      <w:r w:rsidR="003D08D8" w:rsidRPr="005A464E">
        <w:rPr>
          <w:rFonts w:asciiTheme="minorHAnsi" w:hAnsiTheme="minorHAnsi" w:cstheme="minorHAnsi"/>
          <w:lang w:val="en-US"/>
        </w:rPr>
        <w:t>,</w:t>
      </w:r>
      <w:r w:rsidRPr="005A464E">
        <w:rPr>
          <w:rFonts w:asciiTheme="minorHAnsi" w:hAnsiTheme="minorHAnsi" w:cstheme="minorHAnsi"/>
          <w:lang w:val="en-US"/>
        </w:rPr>
        <w:t xml:space="preserve"> H</w:t>
      </w:r>
      <w:r w:rsidR="003D08D8" w:rsidRPr="005A464E">
        <w:rPr>
          <w:rFonts w:asciiTheme="minorHAnsi" w:hAnsiTheme="minorHAnsi" w:cstheme="minorHAnsi"/>
          <w:lang w:val="en-US"/>
        </w:rPr>
        <w:t>.</w:t>
      </w:r>
      <w:r w:rsidRPr="005A464E">
        <w:rPr>
          <w:rFonts w:asciiTheme="minorHAnsi" w:hAnsiTheme="minorHAnsi" w:cstheme="minorHAnsi"/>
          <w:lang w:val="en-US"/>
        </w:rPr>
        <w:t>, Siegenthaler</w:t>
      </w:r>
      <w:r w:rsidR="003D08D8" w:rsidRPr="005A464E">
        <w:rPr>
          <w:rFonts w:asciiTheme="minorHAnsi" w:hAnsiTheme="minorHAnsi" w:cstheme="minorHAnsi"/>
          <w:lang w:val="en-US"/>
        </w:rPr>
        <w:t>,</w:t>
      </w:r>
      <w:r w:rsidRPr="005A464E">
        <w:rPr>
          <w:rFonts w:asciiTheme="minorHAnsi" w:hAnsiTheme="minorHAnsi" w:cstheme="minorHAnsi"/>
          <w:lang w:val="en-US"/>
        </w:rPr>
        <w:t xml:space="preserve"> W</w:t>
      </w:r>
      <w:r w:rsidR="003D08D8" w:rsidRPr="005A464E">
        <w:rPr>
          <w:rFonts w:asciiTheme="minorHAnsi" w:hAnsiTheme="minorHAnsi" w:cstheme="minorHAnsi"/>
          <w:lang w:val="en-US"/>
        </w:rPr>
        <w:t>.</w:t>
      </w:r>
      <w:r w:rsidRPr="005A464E">
        <w:rPr>
          <w:rFonts w:asciiTheme="minorHAnsi" w:hAnsiTheme="minorHAnsi" w:cstheme="minorHAnsi"/>
          <w:lang w:val="en-US"/>
        </w:rPr>
        <w:t xml:space="preserve">, </w:t>
      </w:r>
      <w:r w:rsidR="003D08D8" w:rsidRPr="005A464E">
        <w:rPr>
          <w:rFonts w:asciiTheme="minorHAnsi" w:hAnsiTheme="minorHAnsi" w:cstheme="minorHAnsi"/>
          <w:lang w:val="en-US"/>
        </w:rPr>
        <w:t xml:space="preserve">&amp; </w:t>
      </w:r>
      <w:r w:rsidRPr="005A464E">
        <w:rPr>
          <w:rFonts w:asciiTheme="minorHAnsi" w:hAnsiTheme="minorHAnsi" w:cstheme="minorHAnsi"/>
          <w:lang w:val="en-US"/>
        </w:rPr>
        <w:t>Vetter</w:t>
      </w:r>
      <w:r w:rsidR="003D08D8" w:rsidRPr="005A464E">
        <w:rPr>
          <w:rFonts w:asciiTheme="minorHAnsi" w:hAnsiTheme="minorHAnsi" w:cstheme="minorHAnsi"/>
          <w:lang w:val="en-US"/>
        </w:rPr>
        <w:t>,</w:t>
      </w:r>
      <w:r w:rsidRPr="005A464E">
        <w:rPr>
          <w:rFonts w:asciiTheme="minorHAnsi" w:hAnsiTheme="minorHAnsi" w:cstheme="minorHAnsi"/>
          <w:lang w:val="en-US"/>
        </w:rPr>
        <w:t xml:space="preserve"> W. </w:t>
      </w:r>
      <w:r w:rsidR="001720A0" w:rsidRPr="005A464E">
        <w:rPr>
          <w:rFonts w:asciiTheme="minorHAnsi" w:hAnsiTheme="minorHAnsi" w:cstheme="minorHAnsi"/>
          <w:lang w:val="en-US"/>
        </w:rPr>
        <w:t xml:space="preserve">(1985). </w:t>
      </w:r>
      <w:r w:rsidRPr="005A464E">
        <w:rPr>
          <w:rFonts w:asciiTheme="minorHAnsi" w:hAnsiTheme="minorHAnsi" w:cstheme="minorHAnsi"/>
          <w:lang w:val="en-US"/>
        </w:rPr>
        <w:t xml:space="preserve">Compliance in hypertension; facts and concepts. </w:t>
      </w:r>
      <w:r w:rsidRPr="005A464E">
        <w:rPr>
          <w:rFonts w:asciiTheme="minorHAnsi" w:hAnsiTheme="minorHAnsi" w:cstheme="minorHAnsi"/>
          <w:i/>
          <w:lang w:val="en-US"/>
        </w:rPr>
        <w:t>J</w:t>
      </w:r>
      <w:r w:rsidR="001720A0" w:rsidRPr="005A464E">
        <w:rPr>
          <w:rFonts w:asciiTheme="minorHAnsi" w:hAnsiTheme="minorHAnsi" w:cstheme="minorHAnsi"/>
          <w:i/>
          <w:lang w:val="en-US"/>
        </w:rPr>
        <w:t>ournal of</w:t>
      </w:r>
      <w:r w:rsidRPr="005A464E">
        <w:rPr>
          <w:rFonts w:asciiTheme="minorHAnsi" w:hAnsiTheme="minorHAnsi" w:cstheme="minorHAnsi"/>
          <w:i/>
          <w:lang w:val="en-US"/>
        </w:rPr>
        <w:t xml:space="preserve"> Hypertens</w:t>
      </w:r>
      <w:r w:rsidR="001720A0" w:rsidRPr="005A464E">
        <w:rPr>
          <w:rFonts w:asciiTheme="minorHAnsi" w:hAnsiTheme="minorHAnsi" w:cstheme="minorHAnsi"/>
          <w:i/>
          <w:lang w:val="en-US"/>
        </w:rPr>
        <w:t>ion</w:t>
      </w:r>
      <w:r w:rsidR="001720A0" w:rsidRPr="005A464E">
        <w:rPr>
          <w:rFonts w:asciiTheme="minorHAnsi" w:hAnsiTheme="minorHAnsi" w:cstheme="minorHAnsi"/>
          <w:lang w:val="en-US"/>
        </w:rPr>
        <w:t>,</w:t>
      </w:r>
      <w:r w:rsidRPr="005A464E">
        <w:rPr>
          <w:rFonts w:asciiTheme="minorHAnsi" w:hAnsiTheme="minorHAnsi" w:cstheme="minorHAnsi"/>
          <w:lang w:val="en-US"/>
        </w:rPr>
        <w:t xml:space="preserve"> Suppl</w:t>
      </w:r>
      <w:r w:rsidRPr="008C3704">
        <w:rPr>
          <w:rFonts w:asciiTheme="minorHAnsi" w:hAnsiTheme="minorHAnsi" w:cstheme="minorHAnsi"/>
          <w:i/>
          <w:lang w:val="en-US"/>
        </w:rPr>
        <w:t xml:space="preserve">. </w:t>
      </w:r>
      <w:r w:rsidR="008C3704" w:rsidRPr="008C3704">
        <w:rPr>
          <w:rFonts w:asciiTheme="minorHAnsi" w:hAnsiTheme="minorHAnsi" w:cstheme="minorHAnsi"/>
          <w:i/>
          <w:lang w:val="en-US"/>
        </w:rPr>
        <w:t>3</w:t>
      </w:r>
      <w:r w:rsidR="001720A0" w:rsidRPr="008C3704">
        <w:rPr>
          <w:rFonts w:asciiTheme="minorHAnsi" w:hAnsiTheme="minorHAnsi" w:cstheme="minorHAnsi"/>
          <w:i/>
          <w:lang w:val="en-US"/>
        </w:rPr>
        <w:t>,</w:t>
      </w:r>
      <w:r w:rsidRPr="005A464E">
        <w:rPr>
          <w:rFonts w:asciiTheme="minorHAnsi" w:hAnsiTheme="minorHAnsi" w:cstheme="minorHAnsi"/>
          <w:lang w:val="en-US"/>
        </w:rPr>
        <w:t xml:space="preserve"> </w:t>
      </w:r>
      <w:r w:rsidR="001720A0" w:rsidRPr="005A464E">
        <w:rPr>
          <w:rFonts w:asciiTheme="minorHAnsi" w:hAnsiTheme="minorHAnsi" w:cstheme="minorHAnsi"/>
          <w:lang w:val="en-US"/>
        </w:rPr>
        <w:t>S</w:t>
      </w:r>
      <w:r w:rsidRPr="005A464E">
        <w:rPr>
          <w:rFonts w:asciiTheme="minorHAnsi" w:hAnsiTheme="minorHAnsi" w:cstheme="minorHAnsi"/>
          <w:lang w:val="en-US"/>
        </w:rPr>
        <w:t>3-10.</w:t>
      </w:r>
    </w:p>
    <w:p w:rsidR="003C410F" w:rsidRPr="005A464E" w:rsidRDefault="003C410F" w:rsidP="005A464E">
      <w:pPr>
        <w:pStyle w:val="Web"/>
        <w:spacing w:after="188" w:line="360" w:lineRule="auto"/>
        <w:ind w:left="470" w:hanging="470"/>
        <w:jc w:val="both"/>
        <w:rPr>
          <w:rFonts w:asciiTheme="minorHAnsi" w:hAnsiTheme="minorHAnsi" w:cstheme="minorHAnsi"/>
          <w:shd w:val="clear" w:color="auto" w:fill="FFFFFF"/>
          <w:lang w:val="en-US"/>
        </w:rPr>
      </w:pPr>
      <w:r w:rsidRPr="005A464E">
        <w:rPr>
          <w:rFonts w:asciiTheme="minorHAnsi" w:hAnsiTheme="minorHAnsi" w:cstheme="minorHAnsi"/>
          <w:lang w:val="en-US"/>
        </w:rPr>
        <w:t xml:space="preserve">Macduff, C. (2000). Respondent-generated quality of life measures: Useful tools for nursing or more fool's gold? </w:t>
      </w:r>
      <w:r w:rsidRPr="005A464E">
        <w:rPr>
          <w:rFonts w:asciiTheme="minorHAnsi" w:hAnsiTheme="minorHAnsi" w:cstheme="minorHAnsi"/>
          <w:i/>
          <w:lang w:val="en-US"/>
        </w:rPr>
        <w:t>Journal of Advanced Nursing</w:t>
      </w:r>
      <w:r w:rsidR="008C3704">
        <w:rPr>
          <w:rFonts w:asciiTheme="minorHAnsi" w:hAnsiTheme="minorHAnsi" w:cstheme="minorHAnsi"/>
          <w:lang w:val="en-US"/>
        </w:rPr>
        <w:t xml:space="preserve">, </w:t>
      </w:r>
      <w:r w:rsidR="008C3704" w:rsidRPr="008C3704">
        <w:rPr>
          <w:rFonts w:asciiTheme="minorHAnsi" w:hAnsiTheme="minorHAnsi" w:cstheme="minorHAnsi"/>
          <w:i/>
          <w:lang w:val="en-US"/>
        </w:rPr>
        <w:t>32</w:t>
      </w:r>
      <w:r w:rsidRPr="005A464E">
        <w:rPr>
          <w:rFonts w:asciiTheme="minorHAnsi" w:hAnsiTheme="minorHAnsi" w:cstheme="minorHAnsi"/>
          <w:lang w:val="en-US"/>
        </w:rPr>
        <w:t>, 375-382</w:t>
      </w:r>
      <w:r w:rsidRPr="005A464E">
        <w:rPr>
          <w:rFonts w:asciiTheme="minorHAnsi" w:hAnsiTheme="minorHAnsi" w:cstheme="minorHAnsi"/>
          <w:shd w:val="clear" w:color="auto" w:fill="FFFFFF"/>
          <w:lang w:val="en-US"/>
        </w:rPr>
        <w:t xml:space="preserve"> 10.1046/j.1365-2648.2000.01486.x</w:t>
      </w:r>
      <w:r w:rsidR="003D08D8" w:rsidRPr="005A464E">
        <w:rPr>
          <w:rFonts w:asciiTheme="minorHAnsi" w:hAnsiTheme="minorHAnsi" w:cstheme="minorHAnsi"/>
          <w:shd w:val="clear" w:color="auto" w:fill="FFFFFF"/>
          <w:lang w:val="en-US"/>
        </w:rPr>
        <w:t>.</w:t>
      </w:r>
    </w:p>
    <w:p w:rsidR="003C410F" w:rsidRPr="005A464E" w:rsidRDefault="003C410F" w:rsidP="005A464E">
      <w:pPr>
        <w:pStyle w:val="Web"/>
        <w:spacing w:after="188" w:line="360" w:lineRule="auto"/>
        <w:ind w:left="470" w:hanging="470"/>
        <w:jc w:val="both"/>
        <w:rPr>
          <w:rFonts w:asciiTheme="minorHAnsi" w:hAnsiTheme="minorHAnsi" w:cstheme="minorHAnsi"/>
          <w:lang w:val="en-US"/>
        </w:rPr>
      </w:pPr>
      <w:r w:rsidRPr="005A464E">
        <w:rPr>
          <w:rFonts w:asciiTheme="minorHAnsi" w:hAnsiTheme="minorHAnsi" w:cstheme="minorHAnsi"/>
          <w:lang w:val="en-US"/>
        </w:rPr>
        <w:t>Madore, F., Lowrie, E.G., Brugnara, C., Lew, N.L., L</w:t>
      </w:r>
      <w:r w:rsidR="003D08D8" w:rsidRPr="005A464E">
        <w:rPr>
          <w:rFonts w:asciiTheme="minorHAnsi" w:hAnsiTheme="minorHAnsi" w:cstheme="minorHAnsi"/>
          <w:lang w:val="en-US"/>
        </w:rPr>
        <w:t>azarus, J.M., Bridges, K., &amp; Owen, W.F.</w:t>
      </w:r>
      <w:r w:rsidRPr="005A464E">
        <w:rPr>
          <w:rFonts w:asciiTheme="minorHAnsi" w:hAnsiTheme="minorHAnsi" w:cstheme="minorHAnsi"/>
          <w:lang w:val="en-US"/>
        </w:rPr>
        <w:t xml:space="preserve"> (1997). Anemia in hemodialysis patients: Variables affecting this outcome predictor. </w:t>
      </w:r>
      <w:r w:rsidRPr="005A464E">
        <w:rPr>
          <w:rFonts w:asciiTheme="minorHAnsi" w:hAnsiTheme="minorHAnsi" w:cstheme="minorHAnsi"/>
          <w:i/>
          <w:iCs/>
          <w:lang w:val="en-US"/>
        </w:rPr>
        <w:t>Journal of American Society Nephrology,</w:t>
      </w:r>
      <w:r w:rsidRPr="008C3704">
        <w:rPr>
          <w:rFonts w:asciiTheme="minorHAnsi" w:hAnsiTheme="minorHAnsi" w:cstheme="minorHAnsi"/>
          <w:i/>
          <w:iCs/>
          <w:lang w:val="en-US"/>
        </w:rPr>
        <w:t xml:space="preserve"> </w:t>
      </w:r>
      <w:r w:rsidR="008C3704" w:rsidRPr="008C3704">
        <w:rPr>
          <w:rFonts w:asciiTheme="minorHAnsi" w:hAnsiTheme="minorHAnsi" w:cstheme="minorHAnsi"/>
          <w:i/>
          <w:lang w:val="en-US"/>
        </w:rPr>
        <w:t>8</w:t>
      </w:r>
      <w:r w:rsidRPr="005A464E">
        <w:rPr>
          <w:rFonts w:asciiTheme="minorHAnsi" w:hAnsiTheme="minorHAnsi" w:cstheme="minorHAnsi"/>
          <w:lang w:val="en-US"/>
        </w:rPr>
        <w:t>, 1921-1929</w:t>
      </w:r>
      <w:r w:rsidR="003D08D8" w:rsidRPr="005A464E">
        <w:rPr>
          <w:rFonts w:asciiTheme="minorHAnsi" w:hAnsiTheme="minorHAnsi" w:cstheme="minorHAnsi"/>
          <w:lang w:val="en-US"/>
        </w:rPr>
        <w:t>.</w:t>
      </w:r>
    </w:p>
    <w:p w:rsidR="00D855BC" w:rsidRPr="005A464E" w:rsidRDefault="003C410F" w:rsidP="005A464E">
      <w:pPr>
        <w:pStyle w:val="Web"/>
        <w:spacing w:after="188" w:line="360" w:lineRule="auto"/>
        <w:ind w:left="470" w:hanging="470"/>
        <w:jc w:val="both"/>
        <w:rPr>
          <w:rFonts w:asciiTheme="minorHAnsi" w:hAnsiTheme="minorHAnsi"/>
          <w:lang w:val="en-US"/>
        </w:rPr>
      </w:pPr>
      <w:r w:rsidRPr="005A464E">
        <w:rPr>
          <w:rFonts w:asciiTheme="minorHAnsi" w:hAnsiTheme="minorHAnsi" w:cstheme="minorHAnsi"/>
          <w:lang w:val="en-US"/>
        </w:rPr>
        <w:t>Manley, H.J., McClaran, M.L., Overbay, D.K., Wright, M.A., Reid, G.M., Bender, W.L.</w:t>
      </w:r>
      <w:r w:rsidR="009E3383">
        <w:rPr>
          <w:rFonts w:asciiTheme="minorHAnsi" w:hAnsiTheme="minorHAnsi" w:cstheme="minorHAnsi"/>
          <w:lang w:val="en-US"/>
        </w:rPr>
        <w:t xml:space="preserve">, … </w:t>
      </w:r>
      <w:r w:rsidR="00AD3C44" w:rsidRPr="005A464E">
        <w:rPr>
          <w:rFonts w:asciiTheme="minorHAnsi" w:hAnsiTheme="minorHAnsi" w:cs="Arial"/>
          <w:shd w:val="clear" w:color="auto" w:fill="FFFFFF"/>
          <w:lang w:val="en-US"/>
        </w:rPr>
        <w:t>&amp;</w:t>
      </w:r>
      <w:r w:rsidR="003D08D8" w:rsidRPr="005A464E">
        <w:rPr>
          <w:rFonts w:asciiTheme="minorHAnsi" w:hAnsiTheme="minorHAnsi" w:cs="Arial"/>
          <w:shd w:val="clear" w:color="auto" w:fill="FFFFFF"/>
          <w:lang w:val="en-US"/>
        </w:rPr>
        <w:t> </w:t>
      </w:r>
      <w:hyperlink r:id="rId276" w:history="1">
        <w:r w:rsidR="003D08D8" w:rsidRPr="005A464E">
          <w:rPr>
            <w:rStyle w:val="-"/>
            <w:rFonts w:asciiTheme="minorHAnsi" w:hAnsiTheme="minorHAnsi" w:cs="Arial"/>
            <w:color w:val="auto"/>
            <w:u w:val="none"/>
            <w:shd w:val="clear" w:color="auto" w:fill="FFFFFF"/>
            <w:lang w:val="en-US"/>
          </w:rPr>
          <w:t>Muther, R.S</w:t>
        </w:r>
      </w:hyperlink>
      <w:r w:rsidR="003D08D8" w:rsidRPr="005A464E">
        <w:rPr>
          <w:rFonts w:asciiTheme="minorHAnsi" w:hAnsiTheme="minorHAnsi" w:cs="Arial"/>
          <w:shd w:val="clear" w:color="auto" w:fill="FFFFFF"/>
          <w:lang w:val="en-US"/>
        </w:rPr>
        <w:t>.</w:t>
      </w:r>
      <w:r w:rsidRPr="005A464E">
        <w:rPr>
          <w:rFonts w:asciiTheme="minorHAnsi" w:hAnsiTheme="minorHAnsi" w:cstheme="minorHAnsi"/>
          <w:lang w:val="en-US"/>
        </w:rPr>
        <w:t xml:space="preserve"> (2003). Factors associated with medication-related problems in ambulatory hemodialysis patients. </w:t>
      </w:r>
      <w:r w:rsidRPr="005A464E">
        <w:rPr>
          <w:rFonts w:asciiTheme="minorHAnsi" w:hAnsiTheme="minorHAnsi" w:cstheme="minorHAnsi"/>
          <w:i/>
          <w:lang w:val="en-US"/>
        </w:rPr>
        <w:t>American Journal of Kidney Diseases,</w:t>
      </w:r>
      <w:r w:rsidR="003D08D8" w:rsidRPr="005A464E">
        <w:rPr>
          <w:rFonts w:asciiTheme="minorHAnsi" w:hAnsiTheme="minorHAnsi" w:cstheme="minorHAnsi"/>
          <w:lang w:val="en-US"/>
        </w:rPr>
        <w:t xml:space="preserve"> </w:t>
      </w:r>
      <w:r w:rsidR="003D08D8" w:rsidRPr="008C3704">
        <w:rPr>
          <w:rFonts w:asciiTheme="minorHAnsi" w:hAnsiTheme="minorHAnsi" w:cstheme="minorHAnsi"/>
          <w:i/>
          <w:lang w:val="en-US"/>
        </w:rPr>
        <w:t>41</w:t>
      </w:r>
      <w:r w:rsidR="003D08D8" w:rsidRPr="005A464E">
        <w:rPr>
          <w:rFonts w:asciiTheme="minorHAnsi" w:hAnsiTheme="minorHAnsi" w:cstheme="minorHAnsi"/>
          <w:lang w:val="en-US"/>
        </w:rPr>
        <w:t xml:space="preserve">, </w:t>
      </w:r>
      <w:r w:rsidRPr="005A464E">
        <w:rPr>
          <w:rFonts w:asciiTheme="minorHAnsi" w:hAnsiTheme="minorHAnsi" w:cstheme="minorHAnsi"/>
          <w:lang w:val="en-US"/>
        </w:rPr>
        <w:t>386–393</w:t>
      </w:r>
      <w:r w:rsidR="00AD3C44" w:rsidRPr="005A464E">
        <w:rPr>
          <w:rFonts w:asciiTheme="minorHAnsi" w:hAnsiTheme="minorHAnsi" w:cstheme="minorHAnsi"/>
          <w:lang w:val="en-US"/>
        </w:rPr>
        <w:t>.</w:t>
      </w:r>
    </w:p>
    <w:p w:rsidR="00D855BC" w:rsidRPr="005A464E" w:rsidRDefault="00D855BC" w:rsidP="005A464E">
      <w:pPr>
        <w:pStyle w:val="Web"/>
        <w:spacing w:after="188" w:line="360" w:lineRule="auto"/>
        <w:ind w:left="470" w:hanging="470"/>
        <w:jc w:val="both"/>
        <w:rPr>
          <w:rFonts w:asciiTheme="minorHAnsi" w:hAnsiTheme="minorHAnsi"/>
          <w:lang w:val="en-US"/>
        </w:rPr>
      </w:pPr>
      <w:r w:rsidRPr="005A464E">
        <w:rPr>
          <w:rFonts w:asciiTheme="minorHAnsi" w:eastAsia="Times New Roman" w:hAnsiTheme="minorHAnsi" w:cs="Lucida Sans Unicode"/>
          <w:color w:val="222222"/>
          <w:lang w:val="en-US" w:eastAsia="el-GR"/>
        </w:rPr>
        <w:t>Manley, H.J., Garvin, C.G., Drayer, D.K., Reid, G.M., Bender, W.L., Neufel</w:t>
      </w:r>
      <w:r w:rsidR="009E3383">
        <w:rPr>
          <w:rFonts w:asciiTheme="minorHAnsi" w:eastAsia="Times New Roman" w:hAnsiTheme="minorHAnsi" w:cs="Lucida Sans Unicode"/>
          <w:color w:val="222222"/>
          <w:lang w:val="en-US" w:eastAsia="el-GR"/>
        </w:rPr>
        <w:t xml:space="preserve">d, T.K., … &amp; </w:t>
      </w:r>
      <w:r w:rsidRPr="005A464E">
        <w:rPr>
          <w:rFonts w:asciiTheme="minorHAnsi" w:eastAsia="Times New Roman" w:hAnsiTheme="minorHAnsi" w:cs="Lucida Sans Unicode"/>
          <w:color w:val="222222"/>
          <w:lang w:val="en-US" w:eastAsia="el-GR"/>
        </w:rPr>
        <w:t>Muther, R.S (2004). Medication prescribing patterns in ambulatory haemodialysis patients: Comparisons of USRDS to a large not-for-profit dialysis provider.</w:t>
      </w:r>
      <w:r w:rsidR="003D08D8" w:rsidRPr="005A464E">
        <w:rPr>
          <w:rFonts w:asciiTheme="minorHAnsi" w:eastAsia="Times New Roman" w:hAnsiTheme="minorHAnsi" w:cs="Lucida Sans Unicode"/>
          <w:color w:val="222222"/>
          <w:lang w:val="en-US" w:eastAsia="el-GR"/>
        </w:rPr>
        <w:t xml:space="preserve"> </w:t>
      </w:r>
      <w:r w:rsidRPr="005A464E">
        <w:rPr>
          <w:rFonts w:asciiTheme="minorHAnsi" w:eastAsia="Times New Roman" w:hAnsiTheme="minorHAnsi" w:cs="Lucida Sans Unicode"/>
          <w:i/>
          <w:iCs/>
          <w:color w:val="222222"/>
          <w:lang w:val="en-US" w:eastAsia="el-GR"/>
        </w:rPr>
        <w:t>Nephrology Dialysis Transplantation,</w:t>
      </w:r>
      <w:r w:rsidRPr="008C3704">
        <w:rPr>
          <w:rFonts w:asciiTheme="minorHAnsi" w:eastAsia="Times New Roman" w:hAnsiTheme="minorHAnsi" w:cs="Lucida Sans Unicode"/>
          <w:i/>
          <w:iCs/>
          <w:color w:val="222222"/>
          <w:lang w:val="en-US" w:eastAsia="el-GR"/>
        </w:rPr>
        <w:t xml:space="preserve"> </w:t>
      </w:r>
      <w:r w:rsidRPr="008C3704">
        <w:rPr>
          <w:rFonts w:asciiTheme="minorHAnsi" w:eastAsia="Times New Roman" w:hAnsiTheme="minorHAnsi" w:cs="Lucida Sans Unicode"/>
          <w:bCs/>
          <w:i/>
          <w:color w:val="222222"/>
          <w:lang w:val="en-US" w:eastAsia="el-GR"/>
        </w:rPr>
        <w:t>19</w:t>
      </w:r>
      <w:r w:rsidR="008C3704">
        <w:rPr>
          <w:rFonts w:asciiTheme="minorHAnsi" w:eastAsia="Times New Roman" w:hAnsiTheme="minorHAnsi" w:cs="Lucida Sans Unicode"/>
          <w:color w:val="222222"/>
          <w:lang w:val="en-US" w:eastAsia="el-GR"/>
        </w:rPr>
        <w:t>,</w:t>
      </w:r>
      <w:r w:rsidRPr="005A464E">
        <w:rPr>
          <w:rFonts w:asciiTheme="minorHAnsi" w:eastAsia="Times New Roman" w:hAnsiTheme="minorHAnsi" w:cs="Lucida Sans Unicode"/>
          <w:color w:val="222222"/>
          <w:lang w:val="en-US" w:eastAsia="el-GR"/>
        </w:rPr>
        <w:t>1842– 1848</w:t>
      </w:r>
      <w:r w:rsidR="003D08D8" w:rsidRPr="005A464E">
        <w:rPr>
          <w:rFonts w:asciiTheme="minorHAnsi" w:eastAsia="Times New Roman" w:hAnsiTheme="minorHAnsi" w:cs="Lucida Sans Unicode"/>
          <w:color w:val="222222"/>
          <w:lang w:val="en-US" w:eastAsia="el-GR"/>
        </w:rPr>
        <w:t>.</w:t>
      </w:r>
    </w:p>
    <w:p w:rsidR="003C410F" w:rsidRPr="005A464E" w:rsidRDefault="003C410F" w:rsidP="005A464E">
      <w:pPr>
        <w:pStyle w:val="Web"/>
        <w:spacing w:after="188" w:line="360" w:lineRule="auto"/>
        <w:ind w:left="470" w:hanging="470"/>
        <w:jc w:val="both"/>
        <w:rPr>
          <w:rFonts w:asciiTheme="minorHAnsi" w:hAnsiTheme="minorHAnsi" w:cstheme="minorHAnsi"/>
          <w:lang w:val="en-US"/>
        </w:rPr>
      </w:pPr>
      <w:r w:rsidRPr="005A464E">
        <w:rPr>
          <w:rFonts w:asciiTheme="minorHAnsi" w:hAnsiTheme="minorHAnsi" w:cstheme="minorHAnsi"/>
          <w:lang w:val="en-US"/>
        </w:rPr>
        <w:t xml:space="preserve">Manns, B., Johnson, J.A., Taub, K., Mortis, G., Ghali, W.A., &amp; Donaldson, C. (2003). Quality of life in patients treated with hemodialysis or peritoneal dialysis: What are the important determinants? </w:t>
      </w:r>
      <w:r w:rsidRPr="005A464E">
        <w:rPr>
          <w:rFonts w:asciiTheme="minorHAnsi" w:hAnsiTheme="minorHAnsi" w:cstheme="minorHAnsi"/>
          <w:i/>
          <w:iCs/>
          <w:lang w:val="en-US"/>
        </w:rPr>
        <w:t>Clinical Nephrology Journal</w:t>
      </w:r>
      <w:r w:rsidRPr="005A464E">
        <w:rPr>
          <w:rFonts w:asciiTheme="minorHAnsi" w:hAnsiTheme="minorHAnsi" w:cstheme="minorHAnsi"/>
          <w:iCs/>
          <w:lang w:val="en-US"/>
        </w:rPr>
        <w:t xml:space="preserve">, </w:t>
      </w:r>
      <w:r w:rsidRPr="008C3704">
        <w:rPr>
          <w:rFonts w:asciiTheme="minorHAnsi" w:hAnsiTheme="minorHAnsi" w:cstheme="minorHAnsi"/>
          <w:i/>
          <w:iCs/>
          <w:lang w:val="en-US"/>
        </w:rPr>
        <w:t>60</w:t>
      </w:r>
      <w:r w:rsidRPr="008C3704">
        <w:rPr>
          <w:rFonts w:asciiTheme="minorHAnsi" w:hAnsiTheme="minorHAnsi" w:cstheme="minorHAnsi"/>
          <w:i/>
          <w:lang w:val="en-US"/>
        </w:rPr>
        <w:t>,</w:t>
      </w:r>
      <w:r w:rsidRPr="005A464E">
        <w:rPr>
          <w:rFonts w:asciiTheme="minorHAnsi" w:hAnsiTheme="minorHAnsi" w:cstheme="minorHAnsi"/>
          <w:lang w:val="en-US"/>
        </w:rPr>
        <w:t xml:space="preserve"> 341-351</w:t>
      </w:r>
      <w:r w:rsidR="004A3D63" w:rsidRPr="005A464E">
        <w:rPr>
          <w:rFonts w:asciiTheme="minorHAnsi" w:hAnsiTheme="minorHAnsi" w:cstheme="minorHAnsi"/>
          <w:lang w:val="en-US"/>
        </w:rPr>
        <w:t>.</w:t>
      </w:r>
    </w:p>
    <w:p w:rsidR="003D08D8" w:rsidRPr="005A464E" w:rsidRDefault="003D08D8"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Manns, B., Hodsman, A., Zimmerman, D., Mendelssohn, D., Soroka, S., &amp; Chan</w:t>
      </w:r>
      <w:r w:rsidRPr="009E3383">
        <w:rPr>
          <w:rFonts w:asciiTheme="minorHAnsi" w:hAnsiTheme="minorHAnsi" w:cstheme="minorHAnsi"/>
          <w:lang w:val="en-US"/>
        </w:rPr>
        <w:t xml:space="preserve">, C., </w:t>
      </w:r>
      <w:r w:rsidR="009E3383" w:rsidRPr="009E3383">
        <w:rPr>
          <w:rFonts w:asciiTheme="minorHAnsi" w:hAnsiTheme="minorHAnsi"/>
          <w:lang w:val="en-US"/>
        </w:rPr>
        <w:t>…</w:t>
      </w:r>
      <w:r w:rsidR="009E3383">
        <w:rPr>
          <w:lang w:val="en-US"/>
        </w:rPr>
        <w:t xml:space="preserve"> </w:t>
      </w:r>
      <w:r w:rsidRPr="005A464E">
        <w:rPr>
          <w:rFonts w:asciiTheme="minorHAnsi" w:hAnsiTheme="minorHAnsi" w:cs="Arial"/>
          <w:shd w:val="clear" w:color="auto" w:fill="FFFFFF"/>
          <w:lang w:val="en-US"/>
        </w:rPr>
        <w:t xml:space="preserve">&amp; </w:t>
      </w:r>
      <w:hyperlink r:id="rId277" w:history="1">
        <w:r w:rsidRPr="005A464E">
          <w:rPr>
            <w:rStyle w:val="-"/>
            <w:rFonts w:asciiTheme="minorHAnsi" w:hAnsiTheme="minorHAnsi" w:cs="Arial"/>
            <w:color w:val="auto"/>
            <w:u w:val="none"/>
            <w:shd w:val="clear" w:color="auto" w:fill="FFFFFF"/>
            <w:lang w:val="en-US"/>
          </w:rPr>
          <w:t>Klarenbach, S</w:t>
        </w:r>
      </w:hyperlink>
      <w:r w:rsidRPr="005A464E">
        <w:rPr>
          <w:rFonts w:asciiTheme="minorHAnsi" w:hAnsiTheme="minorHAnsi" w:cs="Arial"/>
          <w:shd w:val="clear" w:color="auto" w:fill="FFFFFF"/>
          <w:lang w:val="en-US"/>
        </w:rPr>
        <w:t>.</w:t>
      </w:r>
      <w:r w:rsidRPr="005A464E">
        <w:rPr>
          <w:rFonts w:asciiTheme="minorHAnsi" w:hAnsiTheme="minorHAnsi" w:cstheme="minorHAnsi"/>
          <w:lang w:val="en-US"/>
        </w:rPr>
        <w:t xml:space="preserve"> (2010). Canadian Society of Nephrology Commentary on the 2009 KDIGO Clinical Practice Guideline for the Diagnosis, Evaluation, and Treatment of CKD–Mineral and Bone Disorder (CKD-MBD).</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American Journal of Kidney Diseases</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8C3704">
        <w:rPr>
          <w:rFonts w:asciiTheme="minorHAnsi" w:hAnsiTheme="minorHAnsi" w:cstheme="minorHAnsi"/>
          <w:i/>
          <w:iCs/>
          <w:lang w:val="en-US"/>
        </w:rPr>
        <w:t>55</w:t>
      </w:r>
      <w:r w:rsidRPr="005A464E">
        <w:rPr>
          <w:rFonts w:asciiTheme="minorHAnsi" w:hAnsiTheme="minorHAnsi" w:cstheme="minorHAnsi"/>
          <w:lang w:val="en-US"/>
        </w:rPr>
        <w:t xml:space="preserve">, 800-812. </w:t>
      </w:r>
      <w:hyperlink r:id="rId278"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.org/10.1053/j.ajkd.2010.02.339</w:t>
        </w:r>
      </w:hyperlink>
      <w:r w:rsidRPr="005A464E">
        <w:rPr>
          <w:rFonts w:asciiTheme="minorHAnsi" w:hAnsiTheme="minorHAnsi"/>
          <w:lang w:val="en-US"/>
        </w:rPr>
        <w:t>.</w:t>
      </w:r>
    </w:p>
    <w:p w:rsidR="001720A0" w:rsidRPr="005A464E" w:rsidRDefault="001720A0" w:rsidP="005A464E">
      <w:pPr>
        <w:pStyle w:val="Web"/>
        <w:spacing w:after="188" w:line="360" w:lineRule="auto"/>
        <w:ind w:left="470" w:hanging="470"/>
        <w:jc w:val="both"/>
        <w:rPr>
          <w:rFonts w:asciiTheme="minorHAnsi" w:hAnsiTheme="minorHAnsi" w:cstheme="minorHAnsi"/>
          <w:lang w:val="en-US"/>
        </w:rPr>
      </w:pPr>
      <w:r w:rsidRPr="005A464E">
        <w:rPr>
          <w:rFonts w:asciiTheme="minorHAnsi" w:hAnsiTheme="minorHAnsi" w:cstheme="minorHAnsi"/>
          <w:lang w:val="en-US"/>
        </w:rPr>
        <w:t>Mapes, D.L., Lopes, A.A., Stayathum, S., McCullough, K.P., Goo</w:t>
      </w:r>
      <w:r w:rsidR="009E3383">
        <w:rPr>
          <w:rFonts w:asciiTheme="minorHAnsi" w:hAnsiTheme="minorHAnsi" w:cstheme="minorHAnsi"/>
          <w:lang w:val="en-US"/>
        </w:rPr>
        <w:t>dkin, D.A., Locatelli, F., … &amp; Port, F.K.</w:t>
      </w:r>
      <w:r w:rsidRPr="005A464E">
        <w:rPr>
          <w:rFonts w:asciiTheme="minorHAnsi" w:hAnsiTheme="minorHAnsi" w:cstheme="minorHAnsi"/>
          <w:lang w:val="en-US"/>
        </w:rPr>
        <w:t xml:space="preserve"> (2003). Health-related quality of life as a predictor of mortality and hospitlization: The Dialysis Outcomes and Practice Patterns Study (DOPPS). </w:t>
      </w:r>
      <w:r w:rsidRPr="005A464E">
        <w:rPr>
          <w:rFonts w:asciiTheme="minorHAnsi" w:hAnsiTheme="minorHAnsi" w:cstheme="minorHAnsi"/>
          <w:i/>
          <w:lang w:val="en-US"/>
        </w:rPr>
        <w:t>Kidney International,</w:t>
      </w:r>
      <w:r w:rsidR="008C3704">
        <w:rPr>
          <w:rFonts w:asciiTheme="minorHAnsi" w:hAnsiTheme="minorHAnsi" w:cstheme="minorHAnsi"/>
          <w:lang w:val="en-US"/>
        </w:rPr>
        <w:t xml:space="preserve"> </w:t>
      </w:r>
      <w:r w:rsidR="008C3704" w:rsidRPr="008C3704">
        <w:rPr>
          <w:rFonts w:asciiTheme="minorHAnsi" w:hAnsiTheme="minorHAnsi" w:cstheme="minorHAnsi"/>
          <w:i/>
          <w:lang w:val="en-US"/>
        </w:rPr>
        <w:t>64</w:t>
      </w:r>
      <w:r w:rsidRPr="008C3704">
        <w:rPr>
          <w:rFonts w:asciiTheme="minorHAnsi" w:hAnsiTheme="minorHAnsi" w:cstheme="minorHAnsi"/>
          <w:i/>
          <w:lang w:val="en-US"/>
        </w:rPr>
        <w:t>,</w:t>
      </w:r>
      <w:r w:rsidRPr="005A464E">
        <w:rPr>
          <w:rFonts w:asciiTheme="minorHAnsi" w:hAnsiTheme="minorHAnsi" w:cstheme="minorHAnsi"/>
          <w:lang w:val="en-US"/>
        </w:rPr>
        <w:t xml:space="preserve"> 339-349</w:t>
      </w:r>
      <w:r w:rsidR="008C3704">
        <w:rPr>
          <w:rFonts w:asciiTheme="minorHAnsi" w:hAnsiTheme="minorHAnsi" w:cstheme="minorHAnsi"/>
          <w:lang w:val="en-US"/>
        </w:rPr>
        <w:t>.</w:t>
      </w:r>
      <w:r w:rsidR="0078495A">
        <w:rPr>
          <w:rFonts w:asciiTheme="minorHAnsi" w:hAnsiTheme="minorHAnsi" w:cstheme="minorHAnsi"/>
          <w:lang w:val="en-US"/>
        </w:rPr>
        <w:t xml:space="preserve"> </w:t>
      </w:r>
      <w:hyperlink r:id="rId279"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.org/10.1046/j.1523-1755.2003.00072.x</w:t>
        </w:r>
      </w:hyperlink>
      <w:r w:rsidR="004A3D63" w:rsidRPr="005A464E">
        <w:rPr>
          <w:rFonts w:asciiTheme="minorHAnsi" w:hAnsiTheme="minorHAnsi"/>
          <w:lang w:val="en-US"/>
        </w:rPr>
        <w:t>/.</w:t>
      </w:r>
    </w:p>
    <w:p w:rsidR="001720A0" w:rsidRPr="005A464E" w:rsidRDefault="003C410F" w:rsidP="005A464E">
      <w:pPr>
        <w:pStyle w:val="Web"/>
        <w:spacing w:after="188" w:line="360" w:lineRule="auto"/>
        <w:ind w:left="470" w:hanging="470"/>
        <w:jc w:val="both"/>
        <w:rPr>
          <w:rFonts w:asciiTheme="minorHAnsi" w:hAnsiTheme="minorHAnsi"/>
          <w:lang w:val="en-US"/>
        </w:rPr>
      </w:pPr>
      <w:r w:rsidRPr="005A464E">
        <w:rPr>
          <w:rFonts w:asciiTheme="minorHAnsi" w:hAnsiTheme="minorHAnsi" w:cstheme="minorHAnsi"/>
          <w:lang w:val="en-US"/>
        </w:rPr>
        <w:t>Mapes, D.L., Bragg-Gresham, J.L., Bommer, J., Fukuhara, S., M</w:t>
      </w:r>
      <w:r w:rsidR="004A3D63" w:rsidRPr="005A464E">
        <w:rPr>
          <w:rFonts w:asciiTheme="minorHAnsi" w:hAnsiTheme="minorHAnsi" w:cstheme="minorHAnsi"/>
          <w:lang w:val="en-US"/>
        </w:rPr>
        <w:t>cKevitt, P., Wikstrom, B., &amp; Lopes, A.A.</w:t>
      </w:r>
      <w:r w:rsidRPr="005A464E">
        <w:rPr>
          <w:rFonts w:asciiTheme="minorHAnsi" w:hAnsiTheme="minorHAnsi" w:cstheme="minorHAnsi"/>
          <w:lang w:val="en-US"/>
        </w:rPr>
        <w:t xml:space="preserve"> (2004). Health-related quality of life in the Dialysis Outcomes and Practice Patterns Study (DOPPS). </w:t>
      </w:r>
      <w:r w:rsidRPr="005A464E">
        <w:rPr>
          <w:rFonts w:asciiTheme="minorHAnsi" w:hAnsiTheme="minorHAnsi" w:cstheme="minorHAnsi"/>
          <w:i/>
          <w:iCs/>
          <w:lang w:val="en-US"/>
        </w:rPr>
        <w:t>American Journal of Kidney Diseases</w:t>
      </w:r>
      <w:r w:rsidRPr="005A464E">
        <w:rPr>
          <w:rFonts w:asciiTheme="minorHAnsi" w:hAnsiTheme="minorHAnsi" w:cstheme="minorHAnsi"/>
          <w:iCs/>
          <w:lang w:val="en-US"/>
        </w:rPr>
        <w:t xml:space="preserve">, </w:t>
      </w:r>
      <w:r w:rsidRPr="008C3704">
        <w:rPr>
          <w:rFonts w:asciiTheme="minorHAnsi" w:hAnsiTheme="minorHAnsi" w:cstheme="minorHAnsi"/>
          <w:i/>
          <w:iCs/>
          <w:lang w:val="en-US"/>
        </w:rPr>
        <w:t>44</w:t>
      </w:r>
      <w:r w:rsidRPr="005A464E">
        <w:rPr>
          <w:rFonts w:asciiTheme="minorHAnsi" w:hAnsiTheme="minorHAnsi" w:cstheme="minorHAnsi"/>
          <w:lang w:val="en-US"/>
        </w:rPr>
        <w:t>, 54-60</w:t>
      </w:r>
      <w:r w:rsidR="008C3704">
        <w:rPr>
          <w:rFonts w:asciiTheme="minorHAnsi" w:hAnsiTheme="minorHAnsi" w:cstheme="minorHAnsi"/>
          <w:lang w:val="en-US"/>
        </w:rPr>
        <w:t>.</w:t>
      </w:r>
      <w:r w:rsidR="0078495A">
        <w:rPr>
          <w:rFonts w:asciiTheme="minorHAnsi" w:hAnsiTheme="minorHAnsi" w:cstheme="minorHAnsi"/>
          <w:lang w:val="en-US"/>
        </w:rPr>
        <w:t xml:space="preserve"> </w:t>
      </w:r>
      <w:hyperlink r:id="rId280" w:history="1">
        <w:r w:rsidRPr="005A464E">
          <w:rPr>
            <w:rStyle w:val="-"/>
            <w:rFonts w:asciiTheme="minorHAnsi" w:hAnsiTheme="minorHAnsi" w:cstheme="minorHAnsi"/>
            <w:color w:val="auto"/>
            <w:u w:val="none"/>
            <w:shd w:val="clear" w:color="auto" w:fill="FFFFFF"/>
            <w:lang w:val="en-US"/>
          </w:rPr>
          <w:t>http://dx.</w:t>
        </w:r>
        <w:r w:rsidR="00292B29" w:rsidRPr="005A464E">
          <w:rPr>
            <w:rStyle w:val="-"/>
            <w:rFonts w:asciiTheme="minorHAnsi" w:hAnsiTheme="minorHAnsi" w:cstheme="minorHAnsi"/>
            <w:color w:val="auto"/>
            <w:u w:val="none"/>
            <w:shd w:val="clear" w:color="auto" w:fill="FFFFFF"/>
            <w:lang w:val="en-US"/>
          </w:rPr>
          <w:t>DOI</w:t>
        </w:r>
        <w:r w:rsidRPr="005A464E">
          <w:rPr>
            <w:rStyle w:val="-"/>
            <w:rFonts w:asciiTheme="minorHAnsi" w:hAnsiTheme="minorHAnsi" w:cstheme="minorHAnsi"/>
            <w:color w:val="auto"/>
            <w:u w:val="none"/>
            <w:shd w:val="clear" w:color="auto" w:fill="FFFFFF"/>
            <w:lang w:val="en-US"/>
          </w:rPr>
          <w:t>.org/10.1053/j.ajkd.2004.08.012</w:t>
        </w:r>
      </w:hyperlink>
      <w:r w:rsidR="004A3D63" w:rsidRPr="005A464E">
        <w:rPr>
          <w:rFonts w:asciiTheme="minorHAnsi" w:hAnsiTheme="minorHAnsi"/>
          <w:lang w:val="en-US"/>
        </w:rPr>
        <w:t>/.</w:t>
      </w:r>
    </w:p>
    <w:p w:rsidR="003C410F" w:rsidRPr="005A464E" w:rsidRDefault="003C410F" w:rsidP="005A464E">
      <w:pPr>
        <w:pStyle w:val="Web"/>
        <w:spacing w:after="188" w:line="360" w:lineRule="auto"/>
        <w:ind w:left="470" w:hanging="470"/>
        <w:jc w:val="both"/>
        <w:rPr>
          <w:rFonts w:asciiTheme="minorHAnsi" w:hAnsiTheme="minorHAnsi" w:cstheme="minorHAnsi"/>
          <w:lang w:val="en-US"/>
        </w:rPr>
      </w:pPr>
      <w:r w:rsidRPr="005A464E">
        <w:rPr>
          <w:rFonts w:asciiTheme="minorHAnsi" w:hAnsiTheme="minorHAnsi" w:cstheme="minorHAnsi"/>
          <w:lang w:val="en-US"/>
        </w:rPr>
        <w:t>Marinker, M., Blenkinsopp, A., Bond, C., Britten, N.</w:t>
      </w:r>
      <w:r w:rsidR="001720A0" w:rsidRPr="005A464E">
        <w:rPr>
          <w:rFonts w:asciiTheme="minorHAnsi" w:hAnsiTheme="minorHAnsi" w:cstheme="minorHAnsi"/>
          <w:lang w:val="en-US"/>
        </w:rPr>
        <w:t>, Feely, M., &amp; George, C. (1997)</w:t>
      </w:r>
      <w:r w:rsidRPr="005A464E">
        <w:rPr>
          <w:rFonts w:asciiTheme="minorHAnsi" w:hAnsiTheme="minorHAnsi" w:cstheme="minorHAnsi"/>
          <w:lang w:val="en-US"/>
        </w:rPr>
        <w:t>. From compliance to concordance: achieving shared goals in medicine taking. Royal Pharmaceutical Society of Great Britain, London.</w:t>
      </w:r>
    </w:p>
    <w:p w:rsidR="003C410F" w:rsidRPr="005A464E" w:rsidRDefault="003C410F" w:rsidP="005A464E">
      <w:pPr>
        <w:pStyle w:val="Web"/>
        <w:spacing w:after="188" w:line="360" w:lineRule="auto"/>
        <w:ind w:left="470" w:hanging="470"/>
        <w:jc w:val="both"/>
        <w:rPr>
          <w:rFonts w:asciiTheme="minorHAnsi" w:hAnsiTheme="minorHAnsi" w:cstheme="minorHAnsi"/>
          <w:lang w:val="en-US"/>
        </w:rPr>
      </w:pPr>
      <w:r w:rsidRPr="005A464E">
        <w:rPr>
          <w:rFonts w:asciiTheme="minorHAnsi" w:hAnsiTheme="minorHAnsi" w:cstheme="minorHAnsi"/>
          <w:lang w:val="en-US"/>
        </w:rPr>
        <w:t xml:space="preserve">Marston, M.V. (1970). Compliance with medical regimens: a review of the literature. </w:t>
      </w:r>
      <w:r w:rsidRPr="005A464E">
        <w:rPr>
          <w:rFonts w:asciiTheme="minorHAnsi" w:hAnsiTheme="minorHAnsi" w:cstheme="minorHAnsi"/>
          <w:i/>
          <w:lang w:val="en-US"/>
        </w:rPr>
        <w:t>Nursing Research,</w:t>
      </w:r>
      <w:r w:rsidR="008C3704">
        <w:rPr>
          <w:rFonts w:asciiTheme="minorHAnsi" w:hAnsiTheme="minorHAnsi" w:cstheme="minorHAnsi"/>
          <w:lang w:val="en-US"/>
        </w:rPr>
        <w:t xml:space="preserve"> </w:t>
      </w:r>
      <w:r w:rsidR="008C3704" w:rsidRPr="008C3704">
        <w:rPr>
          <w:rFonts w:asciiTheme="minorHAnsi" w:hAnsiTheme="minorHAnsi" w:cstheme="minorHAnsi"/>
          <w:i/>
          <w:lang w:val="en-US"/>
        </w:rPr>
        <w:t>19</w:t>
      </w:r>
      <w:r w:rsidRPr="005A464E">
        <w:rPr>
          <w:rFonts w:asciiTheme="minorHAnsi" w:hAnsiTheme="minorHAnsi" w:cstheme="minorHAnsi"/>
          <w:lang w:val="en-US"/>
        </w:rPr>
        <w:t>, 312-23.</w:t>
      </w:r>
    </w:p>
    <w:p w:rsidR="003C410F" w:rsidRPr="005A464E" w:rsidRDefault="003C410F" w:rsidP="005A464E">
      <w:pPr>
        <w:pStyle w:val="Web"/>
        <w:spacing w:after="188" w:line="360" w:lineRule="auto"/>
        <w:ind w:left="470" w:hanging="470"/>
        <w:jc w:val="both"/>
        <w:rPr>
          <w:rFonts w:asciiTheme="minorHAnsi" w:hAnsiTheme="minorHAnsi" w:cstheme="minorHAnsi"/>
          <w:lang w:val="en-US"/>
        </w:rPr>
      </w:pPr>
      <w:r w:rsidRPr="005A464E">
        <w:rPr>
          <w:rFonts w:asciiTheme="minorHAnsi" w:eastAsia="Times New Roman" w:hAnsiTheme="minorHAnsi" w:cstheme="minorHAnsi"/>
          <w:lang w:val="en-US" w:eastAsia="el-GR"/>
        </w:rPr>
        <w:t xml:space="preserve">Martin, L.R., Williams, S.L., Haskard, K.B., Dimatteo, M.R. (2005). The challenge of patient adherence. </w:t>
      </w:r>
      <w:r w:rsidRPr="005A464E">
        <w:rPr>
          <w:rFonts w:asciiTheme="minorHAnsi" w:eastAsia="Times New Roman" w:hAnsiTheme="minorHAnsi" w:cstheme="minorHAnsi"/>
          <w:i/>
          <w:lang w:val="en-US" w:eastAsia="el-GR"/>
        </w:rPr>
        <w:t>Therapeutics and Clinical Risk Management,</w:t>
      </w:r>
      <w:r w:rsidRPr="005A464E">
        <w:rPr>
          <w:rFonts w:asciiTheme="minorHAnsi" w:eastAsia="Times New Roman" w:hAnsiTheme="minorHAnsi" w:cstheme="minorHAnsi"/>
          <w:lang w:val="en-US" w:eastAsia="el-GR"/>
        </w:rPr>
        <w:t xml:space="preserve"> </w:t>
      </w:r>
      <w:r w:rsidRPr="008C3704">
        <w:rPr>
          <w:rFonts w:asciiTheme="minorHAnsi" w:eastAsia="Times New Roman" w:hAnsiTheme="minorHAnsi" w:cstheme="minorHAnsi"/>
          <w:i/>
          <w:lang w:val="en-US" w:eastAsia="el-GR"/>
        </w:rPr>
        <w:t>1</w:t>
      </w:r>
      <w:r w:rsidRPr="005A464E">
        <w:rPr>
          <w:rFonts w:asciiTheme="minorHAnsi" w:eastAsia="Times New Roman" w:hAnsiTheme="minorHAnsi" w:cstheme="minorHAnsi"/>
          <w:lang w:val="en-US" w:eastAsia="el-GR"/>
        </w:rPr>
        <w:t>, 189-199.</w:t>
      </w:r>
    </w:p>
    <w:p w:rsidR="003C410F"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Martins, M., Silva, L., Kraychete, A., Reis, D., </w:t>
      </w:r>
      <w:r w:rsidR="004A3D63" w:rsidRPr="005A464E">
        <w:rPr>
          <w:rFonts w:asciiTheme="minorHAnsi" w:hAnsiTheme="minorHAnsi" w:cstheme="minorHAnsi"/>
          <w:lang w:val="en-US"/>
        </w:rPr>
        <w:t>Dias, L., Schnitman, G.,</w:t>
      </w:r>
      <w:r w:rsidR="009E3383">
        <w:rPr>
          <w:rFonts w:asciiTheme="minorHAnsi" w:hAnsiTheme="minorHAnsi" w:cstheme="minorHAnsi"/>
          <w:lang w:val="en-US"/>
        </w:rPr>
        <w:t xml:space="preserve"> … </w:t>
      </w:r>
      <w:r w:rsidR="004A3D63" w:rsidRPr="005A464E">
        <w:rPr>
          <w:rFonts w:asciiTheme="minorHAnsi" w:hAnsiTheme="minorHAnsi" w:cs="Arial"/>
          <w:shd w:val="clear" w:color="auto" w:fill="FFFFFF"/>
          <w:lang w:val="en-US"/>
        </w:rPr>
        <w:t xml:space="preserve">&amp; </w:t>
      </w:r>
      <w:hyperlink r:id="rId281" w:history="1">
        <w:r w:rsidR="004A3D63" w:rsidRPr="005A464E">
          <w:rPr>
            <w:rStyle w:val="-"/>
            <w:rFonts w:asciiTheme="minorHAnsi" w:hAnsiTheme="minorHAnsi" w:cs="Arial"/>
            <w:color w:val="auto"/>
            <w:u w:val="none"/>
            <w:shd w:val="clear" w:color="auto" w:fill="FFFFFF"/>
            <w:lang w:val="en-US"/>
          </w:rPr>
          <w:t>Lopes, A.A</w:t>
        </w:r>
      </w:hyperlink>
      <w:r w:rsidR="004A3D63" w:rsidRPr="005A464E">
        <w:rPr>
          <w:rFonts w:asciiTheme="minorHAnsi" w:hAnsiTheme="minorHAnsi" w:cs="Arial"/>
          <w:shd w:val="clear" w:color="auto" w:fill="FFFFFF"/>
          <w:lang w:val="en-US"/>
        </w:rPr>
        <w:t>.</w:t>
      </w:r>
      <w:r w:rsidRPr="005A464E">
        <w:rPr>
          <w:rFonts w:asciiTheme="minorHAnsi" w:hAnsiTheme="minorHAnsi" w:cstheme="minorHAnsi"/>
          <w:lang w:val="en-US"/>
        </w:rPr>
        <w:t xml:space="preserve"> (2013). Potentially modifiable factors associated with non-adherence to phosphate binder use in patients on hemodialysis.</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BMC Nephrology</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8C3704">
        <w:rPr>
          <w:rFonts w:asciiTheme="minorHAnsi" w:hAnsiTheme="minorHAnsi" w:cstheme="minorHAnsi"/>
          <w:i/>
          <w:iCs/>
          <w:lang w:val="en-US"/>
        </w:rPr>
        <w:t>14</w:t>
      </w:r>
      <w:r w:rsidR="008C3704">
        <w:rPr>
          <w:rFonts w:asciiTheme="minorHAnsi" w:hAnsiTheme="minorHAnsi" w:cstheme="minorHAnsi"/>
          <w:lang w:val="en-US"/>
        </w:rPr>
        <w:t>,</w:t>
      </w:r>
      <w:r w:rsidR="005766B3" w:rsidRPr="005A464E">
        <w:rPr>
          <w:rFonts w:asciiTheme="minorHAnsi" w:hAnsiTheme="minorHAnsi" w:cstheme="minorHAnsi"/>
          <w:lang w:val="en-US"/>
        </w:rPr>
        <w:t>208</w:t>
      </w:r>
      <w:r w:rsidRPr="005A464E">
        <w:rPr>
          <w:rFonts w:asciiTheme="minorHAnsi" w:hAnsiTheme="minorHAnsi" w:cstheme="minorHAnsi"/>
          <w:lang w:val="en-US"/>
        </w:rPr>
        <w:t xml:space="preserve"> </w:t>
      </w:r>
      <w:hyperlink r:id="rId282" w:history="1">
        <w:r w:rsidR="00585101" w:rsidRPr="00D022F1">
          <w:rPr>
            <w:rStyle w:val="-"/>
            <w:rFonts w:asciiTheme="minorHAnsi" w:hAnsiTheme="minorHAnsi" w:cstheme="minorHAnsi"/>
            <w:lang w:val="en-US"/>
          </w:rPr>
          <w:t>http://dx.DOI.org/10.1186/1471-2369-14-208</w:t>
        </w:r>
      </w:hyperlink>
      <w:r w:rsidR="00853D3C" w:rsidRPr="005A464E">
        <w:rPr>
          <w:rFonts w:asciiTheme="minorHAnsi" w:hAnsiTheme="minorHAnsi" w:cstheme="minorHAnsi"/>
          <w:lang w:val="en-US"/>
        </w:rPr>
        <w:t>.</w:t>
      </w:r>
    </w:p>
    <w:p w:rsidR="00585101" w:rsidRPr="00585101" w:rsidRDefault="00585101" w:rsidP="005A464E">
      <w:pPr>
        <w:pStyle w:val="Web"/>
        <w:spacing w:after="180" w:line="360" w:lineRule="auto"/>
        <w:ind w:left="450" w:hanging="450"/>
        <w:jc w:val="both"/>
        <w:rPr>
          <w:rFonts w:asciiTheme="minorHAnsi" w:hAnsiTheme="minorHAnsi" w:cstheme="minorHAnsi"/>
          <w:lang w:val="en-US"/>
        </w:rPr>
      </w:pPr>
      <w:r w:rsidRPr="00585101">
        <w:rPr>
          <w:rFonts w:asciiTheme="minorHAnsi" w:hAnsiTheme="minorHAnsi" w:cstheme="minorHAnsi"/>
          <w:shd w:val="clear" w:color="auto" w:fill="FFFFFF"/>
          <w:lang w:val="en-US"/>
        </w:rPr>
        <w:t>Mashkoor, A. (2016, May). The hemodialysis machine case study. In </w:t>
      </w:r>
      <w:r w:rsidRPr="00585101">
        <w:rPr>
          <w:rFonts w:asciiTheme="minorHAnsi" w:hAnsiTheme="minorHAnsi" w:cstheme="minorHAnsi"/>
          <w:i/>
          <w:iCs/>
          <w:shd w:val="clear" w:color="auto" w:fill="FFFFFF"/>
          <w:lang w:val="en-US"/>
        </w:rPr>
        <w:t>International Conference on Abstract State Machines, Alloy, B, TLA, VDM, and Z</w:t>
      </w:r>
      <w:r w:rsidRPr="00585101">
        <w:rPr>
          <w:rFonts w:asciiTheme="minorHAnsi" w:hAnsiTheme="minorHAnsi" w:cstheme="minorHAnsi"/>
          <w:shd w:val="clear" w:color="auto" w:fill="FFFFFF"/>
          <w:lang w:val="en-US"/>
        </w:rPr>
        <w:t> (pp. 329-343). Springer, Cham.</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Matas, A., Smith, J., Skeans, M., Thompson, B., Gustafson, S., </w:t>
      </w:r>
      <w:r w:rsidR="009E3383">
        <w:rPr>
          <w:rFonts w:asciiTheme="minorHAnsi" w:hAnsiTheme="minorHAnsi" w:cstheme="minorHAnsi"/>
          <w:lang w:val="en-US"/>
        </w:rPr>
        <w:t xml:space="preserve">… </w:t>
      </w:r>
      <w:r w:rsidRPr="005A464E">
        <w:rPr>
          <w:rFonts w:asciiTheme="minorHAnsi" w:hAnsiTheme="minorHAnsi" w:cstheme="minorHAnsi"/>
          <w:lang w:val="en-US"/>
        </w:rPr>
        <w:t>&amp;</w:t>
      </w:r>
      <w:r w:rsidR="009E3383">
        <w:rPr>
          <w:rFonts w:asciiTheme="minorHAnsi" w:hAnsiTheme="minorHAnsi" w:cstheme="minorHAnsi"/>
          <w:lang w:val="en-US"/>
        </w:rPr>
        <w:t xml:space="preserve"> Kasiske, B.L</w:t>
      </w:r>
      <w:r w:rsidRPr="005A464E">
        <w:rPr>
          <w:rFonts w:asciiTheme="minorHAnsi" w:hAnsiTheme="minorHAnsi" w:cstheme="minorHAnsi"/>
          <w:lang w:val="en-US"/>
        </w:rPr>
        <w:t>. (2014). OPTN/SRTR 2012 Annual Data Report: Kidney.</w:t>
      </w:r>
      <w:r w:rsidRPr="005A464E">
        <w:rPr>
          <w:rStyle w:val="apple-converted-space"/>
          <w:rFonts w:asciiTheme="minorHAnsi" w:hAnsiTheme="minorHAnsi" w:cstheme="minorHAnsi"/>
          <w:lang w:val="en-US"/>
        </w:rPr>
        <w:t> </w:t>
      </w:r>
      <w:r w:rsidR="005766B3" w:rsidRPr="005A464E">
        <w:rPr>
          <w:rFonts w:asciiTheme="minorHAnsi" w:hAnsiTheme="minorHAnsi" w:cstheme="minorHAnsi"/>
          <w:i/>
          <w:iCs/>
          <w:lang w:val="en-US"/>
        </w:rPr>
        <w:t>American Journal o</w:t>
      </w:r>
      <w:r w:rsidRPr="005A464E">
        <w:rPr>
          <w:rFonts w:asciiTheme="minorHAnsi" w:hAnsiTheme="minorHAnsi" w:cstheme="minorHAnsi"/>
          <w:i/>
          <w:iCs/>
          <w:lang w:val="en-US"/>
        </w:rPr>
        <w:t>f Transplantation</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8C3704">
        <w:rPr>
          <w:rFonts w:asciiTheme="minorHAnsi" w:hAnsiTheme="minorHAnsi" w:cstheme="minorHAnsi"/>
          <w:i/>
          <w:iCs/>
          <w:lang w:val="en-US"/>
        </w:rPr>
        <w:t>14</w:t>
      </w:r>
      <w:r w:rsidRPr="008C3704">
        <w:rPr>
          <w:rFonts w:asciiTheme="minorHAnsi" w:hAnsiTheme="minorHAnsi" w:cstheme="minorHAnsi"/>
          <w:i/>
          <w:lang w:val="en-US"/>
        </w:rPr>
        <w:t>,</w:t>
      </w:r>
      <w:r w:rsidRPr="005A464E">
        <w:rPr>
          <w:rFonts w:asciiTheme="minorHAnsi" w:hAnsiTheme="minorHAnsi" w:cstheme="minorHAnsi"/>
          <w:lang w:val="en-US"/>
        </w:rPr>
        <w:t xml:space="preserve"> 11-44. http://dx.</w:t>
      </w:r>
      <w:r w:rsidR="00292B29" w:rsidRPr="005A464E">
        <w:rPr>
          <w:rFonts w:asciiTheme="minorHAnsi" w:hAnsiTheme="minorHAnsi" w:cstheme="minorHAnsi"/>
          <w:lang w:val="en-US"/>
        </w:rPr>
        <w:t>DOI</w:t>
      </w:r>
      <w:r w:rsidRPr="005A464E">
        <w:rPr>
          <w:rFonts w:asciiTheme="minorHAnsi" w:hAnsiTheme="minorHAnsi" w:cstheme="minorHAnsi"/>
          <w:lang w:val="en-US"/>
        </w:rPr>
        <w:t>.org/10.1111/ajt.12579</w:t>
      </w:r>
      <w:r w:rsidR="004A3D63" w:rsidRPr="005A464E">
        <w:rPr>
          <w:rFonts w:asciiTheme="minorHAnsi" w:hAnsiTheme="minorHAnsi" w:cstheme="minorHAnsi"/>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McGann, E. (1999). Medication Compliance in Adults with </w:t>
      </w:r>
      <w:r w:rsidR="005766B3" w:rsidRPr="005A464E">
        <w:rPr>
          <w:rFonts w:asciiTheme="minorHAnsi" w:hAnsiTheme="minorHAnsi" w:cstheme="minorHAnsi"/>
          <w:lang w:val="en-US"/>
        </w:rPr>
        <w:t>asthma</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008C3704">
        <w:rPr>
          <w:rFonts w:asciiTheme="minorHAnsi" w:hAnsiTheme="minorHAnsi" w:cstheme="minorHAnsi"/>
          <w:i/>
          <w:iCs/>
          <w:lang w:val="en-US"/>
        </w:rPr>
        <w:t>American Journal o</w:t>
      </w:r>
      <w:r w:rsidRPr="005A464E">
        <w:rPr>
          <w:rFonts w:asciiTheme="minorHAnsi" w:hAnsiTheme="minorHAnsi" w:cstheme="minorHAnsi"/>
          <w:i/>
          <w:iCs/>
          <w:lang w:val="en-US"/>
        </w:rPr>
        <w:t>f Nursing</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99</w:t>
      </w:r>
      <w:r w:rsidRPr="005A464E">
        <w:rPr>
          <w:rFonts w:asciiTheme="minorHAnsi" w:hAnsiTheme="minorHAnsi" w:cstheme="minorHAnsi"/>
          <w:lang w:val="en-US"/>
        </w:rPr>
        <w:t>, 45-46. http://dx.</w:t>
      </w:r>
      <w:r w:rsidR="00292B29" w:rsidRPr="005A464E">
        <w:rPr>
          <w:rFonts w:asciiTheme="minorHAnsi" w:hAnsiTheme="minorHAnsi" w:cstheme="minorHAnsi"/>
          <w:lang w:val="en-US"/>
        </w:rPr>
        <w:t>DOI</w:t>
      </w:r>
      <w:r w:rsidRPr="005A464E">
        <w:rPr>
          <w:rFonts w:asciiTheme="minorHAnsi" w:hAnsiTheme="minorHAnsi" w:cstheme="minorHAnsi"/>
          <w:lang w:val="en-US"/>
        </w:rPr>
        <w:t>.org/10.1097/00000446-199903000-00035</w:t>
      </w:r>
      <w:r w:rsidR="004A3D63" w:rsidRPr="005A464E">
        <w:rPr>
          <w:rFonts w:asciiTheme="minorHAnsi" w:hAnsiTheme="minorHAnsi" w:cstheme="minorHAnsi"/>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McLaughlin, K., Manns, B., Culleton, B., Donaldson, C., &amp; Taub, K. (2001). An economic evaluation of early versus late referral of patients with progressive renal insufficiency.</w:t>
      </w:r>
      <w:r w:rsidRPr="005A464E">
        <w:rPr>
          <w:rStyle w:val="apple-converted-space"/>
          <w:rFonts w:asciiTheme="minorHAnsi" w:hAnsiTheme="minorHAnsi" w:cstheme="minorHAnsi"/>
          <w:lang w:val="en-US"/>
        </w:rPr>
        <w:t> </w:t>
      </w:r>
      <w:r w:rsidR="005766B3" w:rsidRPr="005A464E">
        <w:rPr>
          <w:rFonts w:asciiTheme="minorHAnsi" w:hAnsiTheme="minorHAnsi" w:cstheme="minorHAnsi"/>
          <w:i/>
          <w:iCs/>
          <w:lang w:val="en-US"/>
        </w:rPr>
        <w:t>American Journal o</w:t>
      </w:r>
      <w:r w:rsidRPr="005A464E">
        <w:rPr>
          <w:rFonts w:asciiTheme="minorHAnsi" w:hAnsiTheme="minorHAnsi" w:cstheme="minorHAnsi"/>
          <w:i/>
          <w:iCs/>
          <w:lang w:val="en-US"/>
        </w:rPr>
        <w:t>f Kidney Diseases</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8C3704">
        <w:rPr>
          <w:rFonts w:asciiTheme="minorHAnsi" w:hAnsiTheme="minorHAnsi" w:cstheme="minorHAnsi"/>
          <w:i/>
          <w:iCs/>
          <w:lang w:val="en-US"/>
        </w:rPr>
        <w:t>38</w:t>
      </w:r>
      <w:r w:rsidRPr="008C3704">
        <w:rPr>
          <w:rFonts w:asciiTheme="minorHAnsi" w:hAnsiTheme="minorHAnsi" w:cstheme="minorHAnsi"/>
          <w:i/>
          <w:lang w:val="en-US"/>
        </w:rPr>
        <w:t>,</w:t>
      </w:r>
      <w:r w:rsidRPr="005A464E">
        <w:rPr>
          <w:rFonts w:asciiTheme="minorHAnsi" w:hAnsiTheme="minorHAnsi" w:cstheme="minorHAnsi"/>
          <w:lang w:val="en-US"/>
        </w:rPr>
        <w:t>1122-1128. http://dx.</w:t>
      </w:r>
      <w:r w:rsidR="00292B29" w:rsidRPr="005A464E">
        <w:rPr>
          <w:rFonts w:asciiTheme="minorHAnsi" w:hAnsiTheme="minorHAnsi" w:cstheme="minorHAnsi"/>
          <w:lang w:val="en-US"/>
        </w:rPr>
        <w:t>DOI</w:t>
      </w:r>
      <w:r w:rsidRPr="005A464E">
        <w:rPr>
          <w:rFonts w:asciiTheme="minorHAnsi" w:hAnsiTheme="minorHAnsi" w:cstheme="minorHAnsi"/>
          <w:lang w:val="en-US"/>
        </w:rPr>
        <w:t>.org/10.1053/ajkd.2001.28619</w:t>
      </w:r>
      <w:r w:rsidR="00853D3C" w:rsidRPr="005A464E">
        <w:rPr>
          <w:rFonts w:asciiTheme="minorHAnsi" w:hAnsiTheme="minorHAnsi" w:cstheme="minorHAnsi"/>
          <w:lang w:val="en-US"/>
        </w:rPr>
        <w:t>.</w:t>
      </w:r>
    </w:p>
    <w:p w:rsidR="003C410F" w:rsidRPr="005A464E" w:rsidRDefault="00853D3C"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McManus, M.S.</w:t>
      </w:r>
      <w:r w:rsidR="003C410F" w:rsidRPr="005A464E">
        <w:rPr>
          <w:rFonts w:asciiTheme="minorHAnsi" w:hAnsiTheme="minorHAnsi" w:cstheme="minorHAnsi"/>
          <w:lang w:val="en-US"/>
        </w:rPr>
        <w:t xml:space="preserve"> (2011).</w:t>
      </w:r>
      <w:r w:rsidR="003C410F" w:rsidRPr="005A464E">
        <w:rPr>
          <w:rStyle w:val="apple-converted-space"/>
          <w:rFonts w:asciiTheme="minorHAnsi" w:hAnsiTheme="minorHAnsi" w:cstheme="minorHAnsi"/>
          <w:lang w:val="en-US"/>
        </w:rPr>
        <w:t> </w:t>
      </w:r>
      <w:r w:rsidR="003C410F" w:rsidRPr="005A464E">
        <w:rPr>
          <w:rFonts w:asciiTheme="minorHAnsi" w:hAnsiTheme="minorHAnsi" w:cstheme="minorHAnsi"/>
          <w:iCs/>
          <w:lang w:val="en-US"/>
        </w:rPr>
        <w:t>Illness representation and medication adherence of patients with chronic kidney disease</w:t>
      </w:r>
      <w:r w:rsidR="003C410F" w:rsidRPr="005A464E">
        <w:rPr>
          <w:rStyle w:val="apple-converted-space"/>
          <w:rFonts w:asciiTheme="minorHAnsi" w:hAnsiTheme="minorHAnsi" w:cstheme="minorHAnsi"/>
          <w:lang w:val="en-US"/>
        </w:rPr>
        <w:t> </w:t>
      </w:r>
      <w:r w:rsidR="003C410F" w:rsidRPr="005A464E">
        <w:rPr>
          <w:rFonts w:asciiTheme="minorHAnsi" w:hAnsiTheme="minorHAnsi" w:cstheme="minorHAnsi"/>
          <w:lang w:val="en-US"/>
        </w:rPr>
        <w:t xml:space="preserve">(PhD thesis Scholar Works). Indiana University-Purdue </w:t>
      </w:r>
      <w:r w:rsidR="003C410F" w:rsidRPr="005A464E">
        <w:rPr>
          <w:rFonts w:asciiTheme="minorHAnsi" w:hAnsiTheme="minorHAnsi" w:cstheme="minorHAnsi"/>
          <w:i/>
          <w:lang w:val="en-US"/>
        </w:rPr>
        <w:t>University Indianapolis</w:t>
      </w:r>
      <w:r w:rsidR="003C410F" w:rsidRPr="005A464E">
        <w:rPr>
          <w:rFonts w:asciiTheme="minorHAnsi" w:hAnsiTheme="minorHAnsi" w:cstheme="minorHAnsi"/>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Meeberg, G. (1993). Quality of life: a concept analysis.</w:t>
      </w:r>
      <w:r w:rsidRPr="005A464E">
        <w:rPr>
          <w:rStyle w:val="apple-converted-space"/>
          <w:rFonts w:asciiTheme="minorHAnsi" w:hAnsiTheme="minorHAnsi" w:cstheme="minorHAnsi"/>
          <w:lang w:val="en-US"/>
        </w:rPr>
        <w:t> </w:t>
      </w:r>
      <w:r w:rsidR="005766B3" w:rsidRPr="005A464E">
        <w:rPr>
          <w:rFonts w:asciiTheme="minorHAnsi" w:hAnsiTheme="minorHAnsi" w:cstheme="minorHAnsi"/>
          <w:i/>
          <w:iCs/>
          <w:lang w:val="en-US"/>
        </w:rPr>
        <w:t>Journal o</w:t>
      </w:r>
      <w:r w:rsidRPr="005A464E">
        <w:rPr>
          <w:rFonts w:asciiTheme="minorHAnsi" w:hAnsiTheme="minorHAnsi" w:cstheme="minorHAnsi"/>
          <w:i/>
          <w:iCs/>
          <w:lang w:val="en-US"/>
        </w:rPr>
        <w:t>f Advanced Nursing</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18</w:t>
      </w:r>
      <w:r w:rsidRPr="005A464E">
        <w:rPr>
          <w:rFonts w:asciiTheme="minorHAnsi" w:hAnsiTheme="minorHAnsi" w:cstheme="minorHAnsi"/>
          <w:lang w:val="en-US"/>
        </w:rPr>
        <w:t>, 32-38. http://dx.</w:t>
      </w:r>
      <w:r w:rsidR="00292B29" w:rsidRPr="005A464E">
        <w:rPr>
          <w:rFonts w:asciiTheme="minorHAnsi" w:hAnsiTheme="minorHAnsi" w:cstheme="minorHAnsi"/>
          <w:lang w:val="en-US"/>
        </w:rPr>
        <w:t>DOI</w:t>
      </w:r>
      <w:r w:rsidRPr="005A464E">
        <w:rPr>
          <w:rFonts w:asciiTheme="minorHAnsi" w:hAnsiTheme="minorHAnsi" w:cstheme="minorHAnsi"/>
          <w:lang w:val="en-US"/>
        </w:rPr>
        <w:t>.org/10.1046/j.1365-2648.1993.18010032.x</w:t>
      </w:r>
      <w:r w:rsidR="00853D3C" w:rsidRPr="005A464E">
        <w:rPr>
          <w:rFonts w:asciiTheme="minorHAnsi" w:hAnsiTheme="minorHAnsi" w:cstheme="minorHAnsi"/>
          <w:lang w:val="en-US"/>
        </w:rPr>
        <w:t>.</w:t>
      </w:r>
    </w:p>
    <w:p w:rsidR="00AD3C44" w:rsidRDefault="003C410F" w:rsidP="005A464E">
      <w:pPr>
        <w:pStyle w:val="Web"/>
        <w:spacing w:after="180" w:line="360" w:lineRule="auto"/>
        <w:ind w:left="450" w:hanging="450"/>
        <w:jc w:val="both"/>
        <w:rPr>
          <w:rFonts w:asciiTheme="minorHAnsi" w:hAnsiTheme="minorHAnsi" w:cstheme="minorHAnsi"/>
        </w:rPr>
      </w:pPr>
      <w:r w:rsidRPr="005A464E">
        <w:rPr>
          <w:rFonts w:asciiTheme="minorHAnsi" w:hAnsiTheme="minorHAnsi" w:cstheme="minorHAnsi"/>
          <w:lang w:val="en-US"/>
        </w:rPr>
        <w:t>Mehrotra, R., Marsh, D., Vonesh, E., Pete</w:t>
      </w:r>
      <w:r w:rsidR="00853D3C" w:rsidRPr="005A464E">
        <w:rPr>
          <w:rFonts w:asciiTheme="minorHAnsi" w:hAnsiTheme="minorHAnsi" w:cstheme="minorHAnsi"/>
          <w:lang w:val="en-US"/>
        </w:rPr>
        <w:t xml:space="preserve">rs, V., &amp; Nissenson, A. (2005). </w:t>
      </w:r>
      <w:r w:rsidRPr="005A464E">
        <w:rPr>
          <w:rFonts w:asciiTheme="minorHAnsi" w:hAnsiTheme="minorHAnsi" w:cstheme="minorHAnsi"/>
          <w:lang w:val="en-US"/>
        </w:rPr>
        <w:t>Patient education and access of ESRD patients to renal replacement therapies beyond in-center hemodialysis.</w:t>
      </w:r>
      <w:r w:rsidR="0078495A">
        <w:rPr>
          <w:rStyle w:val="apple-converted-space"/>
          <w:rFonts w:asciiTheme="minorHAnsi" w:hAnsiTheme="minorHAnsi" w:cstheme="minorHAnsi"/>
          <w:lang w:val="en-US"/>
        </w:rPr>
        <w:t xml:space="preserve"> </w:t>
      </w:r>
      <w:r w:rsidRPr="005A464E">
        <w:rPr>
          <w:rFonts w:asciiTheme="minorHAnsi" w:hAnsiTheme="minorHAnsi" w:cstheme="minorHAnsi"/>
          <w:i/>
          <w:iCs/>
          <w:lang w:val="en-US"/>
        </w:rPr>
        <w:t>Kidney</w:t>
      </w:r>
      <w:r w:rsidRPr="00EF6A06">
        <w:rPr>
          <w:rFonts w:asciiTheme="minorHAnsi" w:hAnsiTheme="minorHAnsi" w:cstheme="minorHAnsi"/>
          <w:i/>
          <w:iCs/>
        </w:rPr>
        <w:t xml:space="preserve"> </w:t>
      </w:r>
      <w:r w:rsidRPr="005A464E">
        <w:rPr>
          <w:rFonts w:asciiTheme="minorHAnsi" w:hAnsiTheme="minorHAnsi" w:cstheme="minorHAnsi"/>
          <w:i/>
          <w:iCs/>
          <w:lang w:val="en-US"/>
        </w:rPr>
        <w:t>International</w:t>
      </w:r>
      <w:r w:rsidRPr="00EF6A06">
        <w:rPr>
          <w:rFonts w:asciiTheme="minorHAnsi" w:hAnsiTheme="minorHAnsi" w:cstheme="minorHAnsi"/>
        </w:rPr>
        <w:t>,</w:t>
      </w:r>
      <w:r w:rsidRPr="005A464E">
        <w:rPr>
          <w:rStyle w:val="apple-converted-space"/>
          <w:rFonts w:asciiTheme="minorHAnsi" w:hAnsiTheme="minorHAnsi" w:cstheme="minorHAnsi"/>
          <w:lang w:val="en-US"/>
        </w:rPr>
        <w:t> </w:t>
      </w:r>
      <w:r w:rsidRPr="00EF6A06">
        <w:rPr>
          <w:rFonts w:asciiTheme="minorHAnsi" w:hAnsiTheme="minorHAnsi" w:cstheme="minorHAnsi"/>
          <w:i/>
          <w:iCs/>
        </w:rPr>
        <w:t>68</w:t>
      </w:r>
      <w:r w:rsidRPr="00EF6A06">
        <w:rPr>
          <w:rFonts w:asciiTheme="minorHAnsi" w:hAnsiTheme="minorHAnsi" w:cstheme="minorHAnsi"/>
        </w:rPr>
        <w:t xml:space="preserve">, 378-390. </w:t>
      </w:r>
    </w:p>
    <w:p w:rsidR="006269EC" w:rsidRPr="00EF6A06" w:rsidRDefault="006269EC" w:rsidP="006269EC">
      <w:pPr>
        <w:pStyle w:val="Web"/>
        <w:spacing w:after="180" w:line="360" w:lineRule="auto"/>
        <w:ind w:left="450" w:hanging="450"/>
        <w:jc w:val="both"/>
        <w:rPr>
          <w:rFonts w:asciiTheme="minorHAnsi" w:eastAsia="Times New Roman" w:hAnsiTheme="minorHAnsi" w:cstheme="minorHAnsi"/>
          <w:lang w:val="en-US" w:eastAsia="el-GR"/>
        </w:rPr>
      </w:pPr>
      <w:r w:rsidRPr="005A464E">
        <w:rPr>
          <w:rFonts w:asciiTheme="minorHAnsi" w:hAnsiTheme="minorHAnsi" w:cstheme="minorHAnsi"/>
          <w:lang w:eastAsia="el-GR"/>
        </w:rPr>
        <w:t xml:space="preserve">Μερκούρης, Α. (2008). Εμπειρική Φάση </w:t>
      </w:r>
      <w:r w:rsidRPr="005A464E">
        <w:rPr>
          <w:rFonts w:asciiTheme="minorHAnsi" w:hAnsiTheme="minorHAnsi" w:cstheme="minorHAnsi"/>
          <w:i/>
          <w:lang w:eastAsia="el-GR"/>
        </w:rPr>
        <w:t>στο</w:t>
      </w:r>
      <w:r w:rsidRPr="005A464E">
        <w:rPr>
          <w:rFonts w:asciiTheme="minorHAnsi" w:hAnsiTheme="minorHAnsi" w:cstheme="minorHAnsi"/>
          <w:lang w:eastAsia="el-GR"/>
        </w:rPr>
        <w:t xml:space="preserve"> «Μεθοδολογία Νοσηλευτικής Έρευνας»</w:t>
      </w:r>
      <w:r w:rsidRPr="005A464E">
        <w:rPr>
          <w:rFonts w:asciiTheme="minorHAnsi" w:eastAsia="Times New Roman" w:hAnsiTheme="minorHAnsi" w:cstheme="minorHAnsi"/>
          <w:lang w:eastAsia="el-GR"/>
        </w:rPr>
        <w:t xml:space="preserve">, Εκδ. </w:t>
      </w:r>
      <w:r w:rsidRPr="006269EC">
        <w:rPr>
          <w:rFonts w:asciiTheme="minorHAnsi" w:eastAsia="Times New Roman" w:hAnsiTheme="minorHAnsi" w:cstheme="minorHAnsi"/>
          <w:lang w:val="en-US" w:eastAsia="el-GR"/>
        </w:rPr>
        <w:t>«</w:t>
      </w:r>
      <w:r w:rsidRPr="005A464E">
        <w:rPr>
          <w:rFonts w:asciiTheme="minorHAnsi" w:eastAsia="Times New Roman" w:hAnsiTheme="minorHAnsi" w:cstheme="minorHAnsi"/>
          <w:lang w:eastAsia="el-GR"/>
        </w:rPr>
        <w:t>Έλλην</w:t>
      </w:r>
      <w:r w:rsidRPr="006269EC">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eastAsia="el-GR"/>
        </w:rPr>
        <w:t>Αθήνα</w:t>
      </w:r>
      <w:r w:rsidRPr="006269EC">
        <w:rPr>
          <w:rFonts w:asciiTheme="minorHAnsi" w:eastAsia="Times New Roman" w:hAnsiTheme="minorHAnsi" w:cstheme="minorHAnsi"/>
          <w:lang w:val="en-US" w:eastAsia="el-GR"/>
        </w:rPr>
        <w:t>.</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Mingardi, G.</w:t>
      </w:r>
      <w:r w:rsidR="003B4333" w:rsidRPr="003B4333">
        <w:rPr>
          <w:rFonts w:asciiTheme="minorHAnsi" w:hAnsiTheme="minorHAnsi" w:cstheme="minorHAnsi"/>
          <w:lang w:val="en-US"/>
        </w:rPr>
        <w:t xml:space="preserve">, </w:t>
      </w:r>
      <w:hyperlink r:id="rId283" w:history="1">
        <w:r w:rsidR="003B4333" w:rsidRPr="003B4333">
          <w:rPr>
            <w:rStyle w:val="-"/>
            <w:rFonts w:asciiTheme="minorHAnsi" w:hAnsiTheme="minorHAnsi" w:cstheme="minorHAnsi"/>
            <w:color w:val="auto"/>
            <w:u w:val="none"/>
            <w:shd w:val="clear" w:color="auto" w:fill="FFFFFF"/>
            <w:lang w:val="en-US"/>
          </w:rPr>
          <w:t>Cornalba, L</w:t>
        </w:r>
      </w:hyperlink>
      <w:r w:rsidR="003B4333" w:rsidRPr="003B4333">
        <w:rPr>
          <w:rFonts w:asciiTheme="minorHAnsi" w:hAnsiTheme="minorHAnsi" w:cstheme="minorHAnsi"/>
          <w:lang w:val="en-US"/>
        </w:rPr>
        <w:t>.</w:t>
      </w:r>
      <w:r w:rsidR="003B4333" w:rsidRPr="003B4333">
        <w:rPr>
          <w:rFonts w:asciiTheme="minorHAnsi" w:hAnsiTheme="minorHAnsi" w:cstheme="minorHAnsi"/>
          <w:shd w:val="clear" w:color="auto" w:fill="FFFFFF"/>
          <w:lang w:val="en-US"/>
        </w:rPr>
        <w:t>, </w:t>
      </w:r>
      <w:hyperlink r:id="rId284" w:history="1">
        <w:r w:rsidR="003B4333" w:rsidRPr="003B4333">
          <w:rPr>
            <w:rStyle w:val="-"/>
            <w:rFonts w:asciiTheme="minorHAnsi" w:hAnsiTheme="minorHAnsi" w:cstheme="minorHAnsi"/>
            <w:color w:val="auto"/>
            <w:u w:val="none"/>
            <w:shd w:val="clear" w:color="auto" w:fill="FFFFFF"/>
            <w:lang w:val="en-US"/>
          </w:rPr>
          <w:t>Cortinovis, E</w:t>
        </w:r>
      </w:hyperlink>
      <w:r w:rsidR="003B4333" w:rsidRPr="003B4333">
        <w:rPr>
          <w:rFonts w:asciiTheme="minorHAnsi" w:hAnsiTheme="minorHAnsi" w:cstheme="minorHAnsi"/>
          <w:lang w:val="en-US"/>
        </w:rPr>
        <w:t>.</w:t>
      </w:r>
      <w:r w:rsidR="003B4333" w:rsidRPr="003B4333">
        <w:rPr>
          <w:rFonts w:asciiTheme="minorHAnsi" w:hAnsiTheme="minorHAnsi" w:cstheme="minorHAnsi"/>
          <w:shd w:val="clear" w:color="auto" w:fill="FFFFFF"/>
          <w:lang w:val="en-US"/>
        </w:rPr>
        <w:t>, </w:t>
      </w:r>
      <w:hyperlink r:id="rId285" w:history="1">
        <w:r w:rsidR="003B4333" w:rsidRPr="003B4333">
          <w:rPr>
            <w:rStyle w:val="-"/>
            <w:rFonts w:asciiTheme="minorHAnsi" w:hAnsiTheme="minorHAnsi" w:cstheme="minorHAnsi"/>
            <w:color w:val="auto"/>
            <w:u w:val="none"/>
            <w:shd w:val="clear" w:color="auto" w:fill="FFFFFF"/>
            <w:lang w:val="en-US"/>
          </w:rPr>
          <w:t>Ruggiata, R</w:t>
        </w:r>
      </w:hyperlink>
      <w:r w:rsidR="003B4333" w:rsidRPr="003B4333">
        <w:rPr>
          <w:rFonts w:asciiTheme="minorHAnsi" w:hAnsiTheme="minorHAnsi" w:cstheme="minorHAnsi"/>
          <w:lang w:val="en-US"/>
        </w:rPr>
        <w:t>.</w:t>
      </w:r>
      <w:r w:rsidR="003B4333" w:rsidRPr="003B4333">
        <w:rPr>
          <w:rFonts w:asciiTheme="minorHAnsi" w:hAnsiTheme="minorHAnsi" w:cstheme="minorHAnsi"/>
          <w:shd w:val="clear" w:color="auto" w:fill="FFFFFF"/>
          <w:lang w:val="en-US"/>
        </w:rPr>
        <w:t>, </w:t>
      </w:r>
      <w:hyperlink r:id="rId286" w:history="1">
        <w:r w:rsidR="003B4333" w:rsidRPr="003B4333">
          <w:rPr>
            <w:rStyle w:val="-"/>
            <w:rFonts w:asciiTheme="minorHAnsi" w:hAnsiTheme="minorHAnsi" w:cstheme="minorHAnsi"/>
            <w:color w:val="auto"/>
            <w:u w:val="none"/>
            <w:shd w:val="clear" w:color="auto" w:fill="FFFFFF"/>
            <w:lang w:val="en-US"/>
          </w:rPr>
          <w:t>Mosconi, P</w:t>
        </w:r>
      </w:hyperlink>
      <w:r w:rsidR="003B4333" w:rsidRPr="003B4333">
        <w:rPr>
          <w:rFonts w:asciiTheme="minorHAnsi" w:hAnsiTheme="minorHAnsi" w:cstheme="minorHAnsi"/>
          <w:lang w:val="en-US"/>
        </w:rPr>
        <w:t>.</w:t>
      </w:r>
      <w:r w:rsidR="003B4333" w:rsidRPr="003B4333">
        <w:rPr>
          <w:rFonts w:asciiTheme="minorHAnsi" w:hAnsiTheme="minorHAnsi" w:cstheme="minorHAnsi"/>
          <w:shd w:val="clear" w:color="auto" w:fill="FFFFFF"/>
          <w:lang w:val="en-US"/>
        </w:rPr>
        <w:t xml:space="preserve">, &amp; </w:t>
      </w:r>
      <w:hyperlink r:id="rId287" w:history="1">
        <w:r w:rsidR="003B4333" w:rsidRPr="003B4333">
          <w:rPr>
            <w:rStyle w:val="-"/>
            <w:rFonts w:asciiTheme="minorHAnsi" w:hAnsiTheme="minorHAnsi" w:cstheme="minorHAnsi"/>
            <w:color w:val="auto"/>
            <w:u w:val="none"/>
            <w:shd w:val="clear" w:color="auto" w:fill="FFFFFF"/>
            <w:lang w:val="en-US"/>
          </w:rPr>
          <w:t>Apolone, G</w:t>
        </w:r>
      </w:hyperlink>
      <w:r w:rsidR="003B4333" w:rsidRPr="003B4333">
        <w:rPr>
          <w:rFonts w:ascii="Arial" w:hAnsi="Arial" w:cs="Arial"/>
          <w:color w:val="000000"/>
          <w:sz w:val="17"/>
          <w:szCs w:val="17"/>
          <w:shd w:val="clear" w:color="auto" w:fill="FFFFFF"/>
          <w:lang w:val="en-US"/>
        </w:rPr>
        <w:t>.</w:t>
      </w:r>
      <w:r w:rsidRPr="005A464E">
        <w:rPr>
          <w:rFonts w:asciiTheme="minorHAnsi" w:hAnsiTheme="minorHAnsi" w:cstheme="minorHAnsi"/>
          <w:lang w:val="en-US"/>
        </w:rPr>
        <w:t xml:space="preserve"> (1999). Health-related quality of life in dialysis patients. A report from an Italian study using the SF-36 health survey.</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Nephrology</w:t>
      </w:r>
      <w:r w:rsidR="005766B3" w:rsidRPr="005A464E">
        <w:rPr>
          <w:rFonts w:asciiTheme="minorHAnsi" w:hAnsiTheme="minorHAnsi" w:cstheme="minorHAnsi"/>
          <w:i/>
          <w:iCs/>
          <w:lang w:val="en-US"/>
        </w:rPr>
        <w:t>,</w:t>
      </w:r>
      <w:r w:rsidRPr="005A464E">
        <w:rPr>
          <w:rFonts w:asciiTheme="minorHAnsi" w:hAnsiTheme="minorHAnsi" w:cstheme="minorHAnsi"/>
          <w:i/>
          <w:iCs/>
          <w:lang w:val="en-US"/>
        </w:rPr>
        <w:t xml:space="preserve"> Dialysis Transplantation</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8C3704">
        <w:rPr>
          <w:rFonts w:asciiTheme="minorHAnsi" w:hAnsiTheme="minorHAnsi" w:cstheme="minorHAnsi"/>
          <w:i/>
          <w:iCs/>
          <w:lang w:val="en-US"/>
        </w:rPr>
        <w:t>14</w:t>
      </w:r>
      <w:r w:rsidRPr="008C3704">
        <w:rPr>
          <w:rFonts w:asciiTheme="minorHAnsi" w:hAnsiTheme="minorHAnsi" w:cstheme="minorHAnsi"/>
          <w:i/>
          <w:lang w:val="en-US"/>
        </w:rPr>
        <w:t>,</w:t>
      </w:r>
      <w:r w:rsidRPr="005A464E">
        <w:rPr>
          <w:rFonts w:asciiTheme="minorHAnsi" w:hAnsiTheme="minorHAnsi" w:cstheme="minorHAnsi"/>
          <w:lang w:val="en-US"/>
        </w:rPr>
        <w:t xml:space="preserve"> 1503-1510. http://dx.</w:t>
      </w:r>
      <w:r w:rsidR="00292B29" w:rsidRPr="005A464E">
        <w:rPr>
          <w:rFonts w:asciiTheme="minorHAnsi" w:hAnsiTheme="minorHAnsi" w:cstheme="minorHAnsi"/>
          <w:lang w:val="en-US"/>
        </w:rPr>
        <w:t>DOI</w:t>
      </w:r>
      <w:r w:rsidRPr="005A464E">
        <w:rPr>
          <w:rFonts w:asciiTheme="minorHAnsi" w:hAnsiTheme="minorHAnsi" w:cstheme="minorHAnsi"/>
          <w:lang w:val="en-US"/>
        </w:rPr>
        <w:t>.org/10.1093/ndt/14.6.1503</w:t>
      </w:r>
      <w:r w:rsidR="00853D3C" w:rsidRPr="005A464E">
        <w:rPr>
          <w:rFonts w:asciiTheme="minorHAnsi" w:hAnsiTheme="minorHAnsi" w:cstheme="minorHAnsi"/>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Mircescu, G., Garneata, L., Capusa, C., &amp; Ursea, N. (2005). Intravenous iron supplementation for the treatment of anaemia in pre-dialyzed chronic renal failure patients.</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Nephrology Dialysis Transplantation</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8C3704">
        <w:rPr>
          <w:rFonts w:asciiTheme="minorHAnsi" w:hAnsiTheme="minorHAnsi" w:cstheme="minorHAnsi"/>
          <w:i/>
          <w:iCs/>
          <w:lang w:val="en-US"/>
        </w:rPr>
        <w:t>21</w:t>
      </w:r>
      <w:r w:rsidRPr="008C3704">
        <w:rPr>
          <w:rFonts w:asciiTheme="minorHAnsi" w:hAnsiTheme="minorHAnsi" w:cstheme="minorHAnsi"/>
          <w:i/>
          <w:lang w:val="en-US"/>
        </w:rPr>
        <w:t>,</w:t>
      </w:r>
      <w:r w:rsidR="008C3704">
        <w:rPr>
          <w:rFonts w:asciiTheme="minorHAnsi" w:hAnsiTheme="minorHAnsi" w:cstheme="minorHAnsi"/>
          <w:lang w:val="en-US"/>
        </w:rPr>
        <w:t xml:space="preserve"> </w:t>
      </w:r>
      <w:r w:rsidRPr="005A464E">
        <w:rPr>
          <w:rFonts w:asciiTheme="minorHAnsi" w:hAnsiTheme="minorHAnsi" w:cstheme="minorHAnsi"/>
          <w:lang w:val="en-US"/>
        </w:rPr>
        <w:t xml:space="preserve">120-124. </w:t>
      </w:r>
      <w:hyperlink r:id="rId288"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.org/10.1093/ndt/gfi087</w:t>
        </w:r>
      </w:hyperlink>
      <w:r w:rsidR="00853D3C" w:rsidRPr="005A464E">
        <w:rPr>
          <w:rFonts w:asciiTheme="minorHAnsi" w:hAnsiTheme="minorHAnsi"/>
          <w:lang w:val="en-US"/>
        </w:rPr>
        <w:t>.</w:t>
      </w:r>
    </w:p>
    <w:p w:rsidR="003C410F"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Mishra, G., &amp; Schofield, M.J. (1998). Norms for the physical and mental health component summary scores of the SF-36 for young, middle-aged and older Australian women. </w:t>
      </w:r>
      <w:r w:rsidRPr="005A464E">
        <w:rPr>
          <w:rFonts w:asciiTheme="minorHAnsi" w:hAnsiTheme="minorHAnsi" w:cstheme="minorHAnsi"/>
          <w:i/>
          <w:lang w:val="en-US"/>
        </w:rPr>
        <w:t>Quality of Life Research</w:t>
      </w:r>
      <w:r w:rsidR="008C3704">
        <w:rPr>
          <w:rFonts w:asciiTheme="minorHAnsi" w:hAnsiTheme="minorHAnsi" w:cstheme="minorHAnsi"/>
          <w:lang w:val="en-US"/>
        </w:rPr>
        <w:t xml:space="preserve">, </w:t>
      </w:r>
      <w:r w:rsidR="008C3704" w:rsidRPr="008C3704">
        <w:rPr>
          <w:rFonts w:asciiTheme="minorHAnsi" w:hAnsiTheme="minorHAnsi" w:cstheme="minorHAnsi"/>
          <w:i/>
          <w:lang w:val="en-US"/>
        </w:rPr>
        <w:t>7</w:t>
      </w:r>
      <w:r w:rsidRPr="008C3704">
        <w:rPr>
          <w:rFonts w:asciiTheme="minorHAnsi" w:hAnsiTheme="minorHAnsi" w:cstheme="minorHAnsi"/>
          <w:i/>
          <w:lang w:val="en-US"/>
        </w:rPr>
        <w:t>,</w:t>
      </w:r>
      <w:r w:rsidRPr="005A464E">
        <w:rPr>
          <w:rFonts w:asciiTheme="minorHAnsi" w:hAnsiTheme="minorHAnsi" w:cstheme="minorHAnsi"/>
          <w:lang w:val="en-US"/>
        </w:rPr>
        <w:t xml:space="preserve"> 215-220.</w:t>
      </w:r>
    </w:p>
    <w:p w:rsidR="00585101" w:rsidRPr="00585101" w:rsidRDefault="00585101" w:rsidP="005A464E">
      <w:pPr>
        <w:pStyle w:val="Web"/>
        <w:spacing w:after="180" w:line="360" w:lineRule="auto"/>
        <w:ind w:left="450" w:hanging="450"/>
        <w:jc w:val="both"/>
        <w:rPr>
          <w:rFonts w:asciiTheme="minorHAnsi" w:hAnsiTheme="minorHAnsi" w:cstheme="minorHAnsi"/>
          <w:lang w:val="en-US"/>
        </w:rPr>
      </w:pPr>
      <w:r w:rsidRPr="00585101">
        <w:rPr>
          <w:rFonts w:asciiTheme="minorHAnsi" w:hAnsiTheme="minorHAnsi" w:cstheme="minorHAnsi"/>
          <w:shd w:val="clear" w:color="auto" w:fill="FFFFFF"/>
          <w:lang w:val="en-US"/>
        </w:rPr>
        <w:t>Misra, M. (2016). Hemodynamic Considerations During Hemodialysis in the Elderly. In </w:t>
      </w:r>
      <w:r w:rsidRPr="00585101">
        <w:rPr>
          <w:rFonts w:asciiTheme="minorHAnsi" w:hAnsiTheme="minorHAnsi" w:cstheme="minorHAnsi"/>
          <w:i/>
          <w:iCs/>
          <w:shd w:val="clear" w:color="auto" w:fill="FFFFFF"/>
          <w:lang w:val="en-US"/>
        </w:rPr>
        <w:t>Dialysis in Older Adults</w:t>
      </w:r>
      <w:r w:rsidRPr="00585101">
        <w:rPr>
          <w:rFonts w:asciiTheme="minorHAnsi" w:hAnsiTheme="minorHAnsi" w:cstheme="minorHAnsi"/>
          <w:shd w:val="clear" w:color="auto" w:fill="FFFFFF"/>
          <w:lang w:val="en-US"/>
        </w:rPr>
        <w:t> (pp. 21-27). Springer New York.</w:t>
      </w:r>
    </w:p>
    <w:p w:rsidR="003C410F" w:rsidRPr="005A464E" w:rsidRDefault="003C410F" w:rsidP="005A464E">
      <w:pPr>
        <w:pStyle w:val="Web"/>
        <w:spacing w:after="180" w:line="360" w:lineRule="auto"/>
        <w:ind w:left="450" w:hanging="450"/>
        <w:jc w:val="both"/>
        <w:rPr>
          <w:rFonts w:asciiTheme="minorHAnsi" w:hAnsiTheme="minorHAnsi" w:cstheme="minorHAnsi"/>
          <w:color w:val="000000"/>
          <w:lang w:val="en-US"/>
        </w:rPr>
      </w:pPr>
      <w:r w:rsidRPr="005A464E">
        <w:rPr>
          <w:rFonts w:asciiTheme="minorHAnsi" w:hAnsiTheme="minorHAnsi" w:cstheme="minorHAnsi"/>
          <w:color w:val="000000"/>
          <w:lang w:val="en-US"/>
        </w:rPr>
        <w:t xml:space="preserve">Mitchell, J., &amp; Goosby, D. (1997). Nutritional </w:t>
      </w:r>
      <w:r w:rsidR="005766B3" w:rsidRPr="005A464E">
        <w:rPr>
          <w:rFonts w:asciiTheme="minorHAnsi" w:hAnsiTheme="minorHAnsi" w:cstheme="minorHAnsi"/>
          <w:color w:val="000000"/>
          <w:lang w:val="en-US"/>
        </w:rPr>
        <w:t>management of the long-term care resident receiving hemodialysis</w:t>
      </w:r>
      <w:r w:rsidRPr="005A464E">
        <w:rPr>
          <w:rFonts w:asciiTheme="minorHAnsi" w:hAnsiTheme="minorHAnsi" w:cstheme="minorHAnsi"/>
          <w:color w:val="000000"/>
          <w:lang w:val="en-US"/>
        </w:rPr>
        <w:t>.</w:t>
      </w:r>
      <w:r w:rsidRPr="005A464E">
        <w:rPr>
          <w:rStyle w:val="apple-converted-space"/>
          <w:rFonts w:asciiTheme="minorHAnsi" w:hAnsiTheme="minorHAnsi" w:cstheme="minorHAnsi"/>
          <w:color w:val="000000"/>
          <w:lang w:val="en-US"/>
        </w:rPr>
        <w:t> </w:t>
      </w:r>
      <w:r w:rsidR="005766B3" w:rsidRPr="005A464E">
        <w:rPr>
          <w:rFonts w:asciiTheme="minorHAnsi" w:hAnsiTheme="minorHAnsi" w:cstheme="minorHAnsi"/>
          <w:i/>
          <w:iCs/>
          <w:color w:val="000000"/>
          <w:lang w:val="en-US"/>
        </w:rPr>
        <w:t>Topics i</w:t>
      </w:r>
      <w:r w:rsidRPr="005A464E">
        <w:rPr>
          <w:rFonts w:asciiTheme="minorHAnsi" w:hAnsiTheme="minorHAnsi" w:cstheme="minorHAnsi"/>
          <w:i/>
          <w:iCs/>
          <w:color w:val="000000"/>
          <w:lang w:val="en-US"/>
        </w:rPr>
        <w:t>n Clinical Nutrition</w:t>
      </w:r>
      <w:r w:rsidRPr="005A464E">
        <w:rPr>
          <w:rFonts w:asciiTheme="minorHAnsi" w:hAnsiTheme="minorHAnsi" w:cstheme="minorHAnsi"/>
          <w:color w:val="000000"/>
          <w:lang w:val="en-US"/>
        </w:rPr>
        <w:t>,</w:t>
      </w:r>
      <w:r w:rsidRPr="005A464E">
        <w:rPr>
          <w:rStyle w:val="apple-converted-space"/>
          <w:rFonts w:asciiTheme="minorHAnsi" w:hAnsiTheme="minorHAnsi" w:cstheme="minorHAnsi"/>
          <w:color w:val="000000"/>
          <w:lang w:val="en-US"/>
        </w:rPr>
        <w:t> </w:t>
      </w:r>
      <w:r w:rsidRPr="008C3704">
        <w:rPr>
          <w:rFonts w:asciiTheme="minorHAnsi" w:hAnsiTheme="minorHAnsi" w:cstheme="minorHAnsi"/>
          <w:i/>
          <w:iCs/>
          <w:color w:val="000000"/>
          <w:lang w:val="en-US"/>
        </w:rPr>
        <w:t>12</w:t>
      </w:r>
      <w:r w:rsidRPr="005A464E">
        <w:rPr>
          <w:rFonts w:asciiTheme="minorHAnsi" w:hAnsiTheme="minorHAnsi" w:cstheme="minorHAnsi"/>
          <w:color w:val="000000"/>
          <w:lang w:val="en-US"/>
        </w:rPr>
        <w:t>, 57-65. http://dx.</w:t>
      </w:r>
      <w:r w:rsidR="00292B29" w:rsidRPr="005A464E">
        <w:rPr>
          <w:rFonts w:asciiTheme="minorHAnsi" w:hAnsiTheme="minorHAnsi" w:cstheme="minorHAnsi"/>
          <w:color w:val="000000"/>
          <w:lang w:val="en-US"/>
        </w:rPr>
        <w:t>DOI</w:t>
      </w:r>
      <w:r w:rsidRPr="005A464E">
        <w:rPr>
          <w:rFonts w:asciiTheme="minorHAnsi" w:hAnsiTheme="minorHAnsi" w:cstheme="minorHAnsi"/>
          <w:color w:val="000000"/>
          <w:lang w:val="en-US"/>
        </w:rPr>
        <w:t>.org/10.1097/00008486-199612000-00008.</w:t>
      </w:r>
    </w:p>
    <w:p w:rsidR="003C410F" w:rsidRPr="005A464E" w:rsidRDefault="003C410F" w:rsidP="005A464E">
      <w:pPr>
        <w:pStyle w:val="Web"/>
        <w:spacing w:after="180" w:line="360" w:lineRule="auto"/>
        <w:ind w:left="450" w:hanging="450"/>
        <w:jc w:val="both"/>
        <w:rPr>
          <w:rFonts w:asciiTheme="minorHAnsi" w:hAnsiTheme="minorHAnsi" w:cstheme="minorHAnsi"/>
          <w:color w:val="000000"/>
          <w:lang w:val="en-US"/>
        </w:rPr>
      </w:pPr>
      <w:r w:rsidRPr="005A464E">
        <w:rPr>
          <w:rFonts w:asciiTheme="minorHAnsi" w:hAnsiTheme="minorHAnsi" w:cstheme="minorHAnsi"/>
          <w:color w:val="000000"/>
          <w:lang w:val="en-US"/>
        </w:rPr>
        <w:t>Mittal, S</w:t>
      </w:r>
      <w:r w:rsidRPr="000143B4">
        <w:rPr>
          <w:rFonts w:asciiTheme="minorHAnsi" w:hAnsiTheme="minorHAnsi" w:cstheme="minorHAnsi"/>
          <w:color w:val="000000"/>
          <w:lang w:val="en-US"/>
        </w:rPr>
        <w:t>.</w:t>
      </w:r>
      <w:r w:rsidR="000143B4" w:rsidRPr="000143B4">
        <w:rPr>
          <w:rFonts w:asciiTheme="minorHAnsi" w:hAnsiTheme="minorHAnsi" w:cstheme="minorHAnsi"/>
          <w:color w:val="000000"/>
          <w:lang w:val="en-US"/>
        </w:rPr>
        <w:t>,</w:t>
      </w:r>
      <w:r w:rsidRPr="000143B4">
        <w:rPr>
          <w:rFonts w:asciiTheme="minorHAnsi" w:hAnsiTheme="minorHAnsi" w:cstheme="minorHAnsi"/>
          <w:color w:val="000000"/>
          <w:lang w:val="en-US"/>
        </w:rPr>
        <w:t xml:space="preserve"> </w:t>
      </w:r>
      <w:hyperlink r:id="rId289" w:history="1">
        <w:r w:rsidR="000143B4" w:rsidRPr="000143B4">
          <w:rPr>
            <w:rStyle w:val="-"/>
            <w:rFonts w:asciiTheme="minorHAnsi" w:hAnsiTheme="minorHAnsi" w:cs="Arial"/>
            <w:color w:val="auto"/>
            <w:u w:val="none"/>
            <w:shd w:val="clear" w:color="auto" w:fill="FFFFFF"/>
            <w:lang w:val="en-US"/>
          </w:rPr>
          <w:t>Ahern, L</w:t>
        </w:r>
      </w:hyperlink>
      <w:r w:rsidR="000143B4" w:rsidRPr="000143B4">
        <w:rPr>
          <w:rFonts w:asciiTheme="minorHAnsi" w:hAnsiTheme="minorHAnsi"/>
          <w:lang w:val="en-US"/>
        </w:rPr>
        <w:t>.</w:t>
      </w:r>
      <w:r w:rsidR="000143B4" w:rsidRPr="000143B4">
        <w:rPr>
          <w:rFonts w:asciiTheme="minorHAnsi" w:hAnsiTheme="minorHAnsi" w:cs="Arial"/>
          <w:shd w:val="clear" w:color="auto" w:fill="FFFFFF"/>
          <w:lang w:val="en-US"/>
        </w:rPr>
        <w:t>, </w:t>
      </w:r>
      <w:hyperlink r:id="rId290" w:history="1">
        <w:r w:rsidR="000143B4" w:rsidRPr="000143B4">
          <w:rPr>
            <w:rStyle w:val="-"/>
            <w:rFonts w:asciiTheme="minorHAnsi" w:hAnsiTheme="minorHAnsi" w:cs="Arial"/>
            <w:color w:val="auto"/>
            <w:u w:val="none"/>
            <w:shd w:val="clear" w:color="auto" w:fill="FFFFFF"/>
            <w:lang w:val="en-US"/>
          </w:rPr>
          <w:t>Flaster, E</w:t>
        </w:r>
      </w:hyperlink>
      <w:r w:rsidR="000143B4" w:rsidRPr="000143B4">
        <w:rPr>
          <w:rFonts w:asciiTheme="minorHAnsi" w:hAnsiTheme="minorHAnsi"/>
          <w:lang w:val="en-US"/>
        </w:rPr>
        <w:t>.</w:t>
      </w:r>
      <w:r w:rsidR="000143B4" w:rsidRPr="000143B4">
        <w:rPr>
          <w:rFonts w:asciiTheme="minorHAnsi" w:hAnsiTheme="minorHAnsi" w:cs="Arial"/>
          <w:shd w:val="clear" w:color="auto" w:fill="FFFFFF"/>
          <w:lang w:val="en-US"/>
        </w:rPr>
        <w:t>, </w:t>
      </w:r>
      <w:hyperlink r:id="rId291" w:history="1">
        <w:r w:rsidR="000143B4" w:rsidRPr="000143B4">
          <w:rPr>
            <w:rStyle w:val="-"/>
            <w:rFonts w:asciiTheme="minorHAnsi" w:hAnsiTheme="minorHAnsi" w:cs="Arial"/>
            <w:color w:val="auto"/>
            <w:u w:val="none"/>
            <w:shd w:val="clear" w:color="auto" w:fill="FFFFFF"/>
            <w:lang w:val="en-US"/>
          </w:rPr>
          <w:t>Maesaka, J.K</w:t>
        </w:r>
      </w:hyperlink>
      <w:r w:rsidR="000143B4" w:rsidRPr="000143B4">
        <w:rPr>
          <w:rFonts w:asciiTheme="minorHAnsi" w:hAnsiTheme="minorHAnsi"/>
          <w:lang w:val="en-US"/>
        </w:rPr>
        <w:t>.</w:t>
      </w:r>
      <w:r w:rsidR="000143B4" w:rsidRPr="000143B4">
        <w:rPr>
          <w:rFonts w:asciiTheme="minorHAnsi" w:hAnsiTheme="minorHAnsi" w:cs="Arial"/>
          <w:shd w:val="clear" w:color="auto" w:fill="FFFFFF"/>
          <w:lang w:val="en-US"/>
        </w:rPr>
        <w:t xml:space="preserve">, &amp; </w:t>
      </w:r>
      <w:hyperlink r:id="rId292" w:history="1">
        <w:r w:rsidR="000143B4" w:rsidRPr="000143B4">
          <w:rPr>
            <w:rStyle w:val="-"/>
            <w:rFonts w:asciiTheme="minorHAnsi" w:hAnsiTheme="minorHAnsi" w:cs="Arial"/>
            <w:color w:val="auto"/>
            <w:u w:val="none"/>
            <w:shd w:val="clear" w:color="auto" w:fill="FFFFFF"/>
            <w:lang w:val="en-US"/>
          </w:rPr>
          <w:t>Fishbane, S</w:t>
        </w:r>
      </w:hyperlink>
      <w:r w:rsidR="000143B4" w:rsidRPr="000143B4">
        <w:rPr>
          <w:rFonts w:asciiTheme="minorHAnsi" w:hAnsiTheme="minorHAnsi"/>
          <w:lang w:val="en-US"/>
        </w:rPr>
        <w:t>.</w:t>
      </w:r>
      <w:r w:rsidR="000143B4" w:rsidRPr="000143B4">
        <w:rPr>
          <w:rFonts w:asciiTheme="minorHAnsi" w:hAnsiTheme="minorHAnsi" w:cstheme="minorHAnsi"/>
          <w:color w:val="000000"/>
          <w:lang w:val="en-US"/>
        </w:rPr>
        <w:t xml:space="preserve"> </w:t>
      </w:r>
      <w:r w:rsidRPr="000143B4">
        <w:rPr>
          <w:rFonts w:asciiTheme="minorHAnsi" w:hAnsiTheme="minorHAnsi" w:cstheme="minorHAnsi"/>
          <w:color w:val="000000"/>
          <w:lang w:val="en-US"/>
        </w:rPr>
        <w:t>(2001</w:t>
      </w:r>
      <w:r w:rsidRPr="005A464E">
        <w:rPr>
          <w:rFonts w:asciiTheme="minorHAnsi" w:hAnsiTheme="minorHAnsi" w:cstheme="minorHAnsi"/>
          <w:color w:val="000000"/>
          <w:lang w:val="en-US"/>
        </w:rPr>
        <w:t>). Self-assessed physical and mental function of haemodialysis patients.</w:t>
      </w:r>
      <w:r w:rsidRPr="005A464E">
        <w:rPr>
          <w:rStyle w:val="apple-converted-space"/>
          <w:rFonts w:asciiTheme="minorHAnsi" w:hAnsiTheme="minorHAnsi" w:cstheme="minorHAnsi"/>
          <w:color w:val="000000"/>
          <w:lang w:val="en-US"/>
        </w:rPr>
        <w:t> </w:t>
      </w:r>
      <w:r w:rsidRPr="005A464E">
        <w:rPr>
          <w:rFonts w:asciiTheme="minorHAnsi" w:hAnsiTheme="minorHAnsi" w:cstheme="minorHAnsi"/>
          <w:i/>
          <w:iCs/>
          <w:color w:val="000000"/>
          <w:lang w:val="en-US"/>
        </w:rPr>
        <w:t>Nephrology Dialysis Transplantation</w:t>
      </w:r>
      <w:r w:rsidRPr="005A464E">
        <w:rPr>
          <w:rFonts w:asciiTheme="minorHAnsi" w:hAnsiTheme="minorHAnsi" w:cstheme="minorHAnsi"/>
          <w:color w:val="000000"/>
          <w:lang w:val="en-US"/>
        </w:rPr>
        <w:t>,</w:t>
      </w:r>
      <w:r w:rsidR="0078495A">
        <w:rPr>
          <w:rStyle w:val="apple-converted-space"/>
          <w:rFonts w:asciiTheme="minorHAnsi" w:hAnsiTheme="minorHAnsi" w:cstheme="minorHAnsi"/>
          <w:color w:val="000000"/>
          <w:lang w:val="en-US"/>
        </w:rPr>
        <w:t xml:space="preserve"> </w:t>
      </w:r>
      <w:r w:rsidRPr="008C3704">
        <w:rPr>
          <w:rFonts w:asciiTheme="minorHAnsi" w:hAnsiTheme="minorHAnsi" w:cstheme="minorHAnsi"/>
          <w:i/>
          <w:iCs/>
          <w:color w:val="000000"/>
          <w:lang w:val="en-US"/>
        </w:rPr>
        <w:t>16</w:t>
      </w:r>
      <w:r w:rsidRPr="005A464E">
        <w:rPr>
          <w:rFonts w:asciiTheme="minorHAnsi" w:hAnsiTheme="minorHAnsi" w:cstheme="minorHAnsi"/>
          <w:color w:val="000000"/>
          <w:lang w:val="en-US"/>
        </w:rPr>
        <w:t>, 1387-1394. http://dx.</w:t>
      </w:r>
      <w:r w:rsidR="00292B29" w:rsidRPr="005A464E">
        <w:rPr>
          <w:rFonts w:asciiTheme="minorHAnsi" w:hAnsiTheme="minorHAnsi" w:cstheme="minorHAnsi"/>
          <w:color w:val="000000"/>
          <w:lang w:val="en-US"/>
        </w:rPr>
        <w:t>DOI</w:t>
      </w:r>
      <w:r w:rsidRPr="005A464E">
        <w:rPr>
          <w:rFonts w:asciiTheme="minorHAnsi" w:hAnsiTheme="minorHAnsi" w:cstheme="minorHAnsi"/>
          <w:color w:val="000000"/>
          <w:lang w:val="en-US"/>
        </w:rPr>
        <w:t>.org/10.1093/ndt/16.7.1387.</w:t>
      </w:r>
    </w:p>
    <w:p w:rsidR="003C410F" w:rsidRPr="005A464E" w:rsidRDefault="003C410F" w:rsidP="005A464E">
      <w:pPr>
        <w:pStyle w:val="Web"/>
        <w:spacing w:after="180" w:line="360" w:lineRule="auto"/>
        <w:ind w:left="450" w:hanging="450"/>
        <w:jc w:val="both"/>
        <w:rPr>
          <w:rFonts w:asciiTheme="minorHAnsi" w:hAnsiTheme="minorHAnsi" w:cstheme="minorHAnsi"/>
          <w:color w:val="000000"/>
          <w:lang w:val="en-US"/>
        </w:rPr>
      </w:pPr>
      <w:r w:rsidRPr="005A464E">
        <w:rPr>
          <w:rFonts w:asciiTheme="minorHAnsi" w:hAnsiTheme="minorHAnsi" w:cstheme="minorHAnsi"/>
          <w:color w:val="000000"/>
          <w:lang w:val="en-US"/>
        </w:rPr>
        <w:t xml:space="preserve">Moist, L., Bragg-Gresham, J., Pisoni, R., Saran, R., </w:t>
      </w:r>
      <w:r w:rsidR="00853D3C" w:rsidRPr="005A464E">
        <w:rPr>
          <w:rFonts w:asciiTheme="minorHAnsi" w:hAnsiTheme="minorHAnsi" w:cstheme="minorHAnsi"/>
          <w:color w:val="000000"/>
          <w:lang w:val="en-US"/>
        </w:rPr>
        <w:t>Akiba, T., &amp; Jacobson, S</w:t>
      </w:r>
      <w:r w:rsidR="00853D3C" w:rsidRPr="005A464E">
        <w:rPr>
          <w:rFonts w:asciiTheme="minorHAnsi" w:hAnsiTheme="minorHAnsi" w:cstheme="minorHAnsi"/>
          <w:lang w:val="en-US"/>
        </w:rPr>
        <w:t>.,</w:t>
      </w:r>
      <w:r w:rsidR="00202084">
        <w:rPr>
          <w:rFonts w:asciiTheme="minorHAnsi" w:hAnsiTheme="minorHAnsi" w:cstheme="minorHAnsi"/>
          <w:lang w:val="en-US"/>
        </w:rPr>
        <w:t xml:space="preserve"> … &amp; </w:t>
      </w:r>
      <w:hyperlink r:id="rId293" w:history="1">
        <w:r w:rsidR="00853D3C" w:rsidRPr="005A464E">
          <w:rPr>
            <w:rStyle w:val="-"/>
            <w:rFonts w:asciiTheme="minorHAnsi" w:hAnsiTheme="minorHAnsi" w:cs="Arial"/>
            <w:color w:val="auto"/>
            <w:u w:val="none"/>
            <w:shd w:val="clear" w:color="auto" w:fill="FFFFFF"/>
            <w:lang w:val="en-US"/>
          </w:rPr>
          <w:t>Port, F.K</w:t>
        </w:r>
      </w:hyperlink>
      <w:r w:rsidR="00853D3C" w:rsidRPr="005A464E">
        <w:rPr>
          <w:rFonts w:asciiTheme="minorHAnsi" w:hAnsiTheme="minorHAnsi" w:cs="Arial"/>
          <w:shd w:val="clear" w:color="auto" w:fill="FFFFFF"/>
          <w:lang w:val="en-US"/>
        </w:rPr>
        <w:t>.</w:t>
      </w:r>
      <w:r w:rsidRPr="005A464E">
        <w:rPr>
          <w:rFonts w:asciiTheme="minorHAnsi" w:hAnsiTheme="minorHAnsi" w:cstheme="minorHAnsi"/>
          <w:lang w:val="en-US"/>
        </w:rPr>
        <w:t xml:space="preserve"> (</w:t>
      </w:r>
      <w:r w:rsidRPr="005A464E">
        <w:rPr>
          <w:rFonts w:asciiTheme="minorHAnsi" w:hAnsiTheme="minorHAnsi" w:cstheme="minorHAnsi"/>
          <w:color w:val="000000"/>
          <w:lang w:val="en-US"/>
        </w:rPr>
        <w:t xml:space="preserve">2008). Travel </w:t>
      </w:r>
      <w:r w:rsidR="005766B3" w:rsidRPr="005A464E">
        <w:rPr>
          <w:rFonts w:asciiTheme="minorHAnsi" w:hAnsiTheme="minorHAnsi" w:cstheme="minorHAnsi"/>
          <w:color w:val="000000"/>
          <w:lang w:val="en-US"/>
        </w:rPr>
        <w:t>time to dialysis as a predictor of health-related quality of life, adherence, and mortality</w:t>
      </w:r>
      <w:r w:rsidRPr="005A464E">
        <w:rPr>
          <w:rFonts w:asciiTheme="minorHAnsi" w:hAnsiTheme="minorHAnsi" w:cstheme="minorHAnsi"/>
          <w:color w:val="000000"/>
          <w:lang w:val="en-US"/>
        </w:rPr>
        <w:t>: The Dialysis Outcomes and Practice Patterns Study (DOPPS).</w:t>
      </w:r>
      <w:r w:rsidRPr="005A464E">
        <w:rPr>
          <w:rStyle w:val="apple-converted-space"/>
          <w:rFonts w:asciiTheme="minorHAnsi" w:hAnsiTheme="minorHAnsi" w:cstheme="minorHAnsi"/>
          <w:color w:val="000000"/>
          <w:lang w:val="en-US"/>
        </w:rPr>
        <w:t> </w:t>
      </w:r>
      <w:r w:rsidR="005766B3" w:rsidRPr="005A464E">
        <w:rPr>
          <w:rFonts w:asciiTheme="minorHAnsi" w:hAnsiTheme="minorHAnsi" w:cstheme="minorHAnsi"/>
          <w:i/>
          <w:iCs/>
          <w:color w:val="000000"/>
          <w:lang w:val="en-US"/>
        </w:rPr>
        <w:t>American Journal o</w:t>
      </w:r>
      <w:r w:rsidRPr="005A464E">
        <w:rPr>
          <w:rFonts w:asciiTheme="minorHAnsi" w:hAnsiTheme="minorHAnsi" w:cstheme="minorHAnsi"/>
          <w:i/>
          <w:iCs/>
          <w:color w:val="000000"/>
          <w:lang w:val="en-US"/>
        </w:rPr>
        <w:t>f Kidney Diseases</w:t>
      </w:r>
      <w:r w:rsidRPr="005A464E">
        <w:rPr>
          <w:rFonts w:asciiTheme="minorHAnsi" w:hAnsiTheme="minorHAnsi" w:cstheme="minorHAnsi"/>
          <w:color w:val="000000"/>
          <w:lang w:val="en-US"/>
        </w:rPr>
        <w:t>,</w:t>
      </w:r>
      <w:r w:rsidRPr="005A464E">
        <w:rPr>
          <w:rStyle w:val="apple-converted-space"/>
          <w:rFonts w:asciiTheme="minorHAnsi" w:hAnsiTheme="minorHAnsi" w:cstheme="minorHAnsi"/>
          <w:color w:val="000000"/>
          <w:lang w:val="en-US"/>
        </w:rPr>
        <w:t> </w:t>
      </w:r>
      <w:r w:rsidRPr="008C3704">
        <w:rPr>
          <w:rFonts w:asciiTheme="minorHAnsi" w:hAnsiTheme="minorHAnsi" w:cstheme="minorHAnsi"/>
          <w:i/>
          <w:iCs/>
          <w:color w:val="000000"/>
          <w:lang w:val="en-US"/>
        </w:rPr>
        <w:t>51</w:t>
      </w:r>
      <w:r w:rsidRPr="008C3704">
        <w:rPr>
          <w:rFonts w:asciiTheme="minorHAnsi" w:hAnsiTheme="minorHAnsi" w:cstheme="minorHAnsi"/>
          <w:i/>
          <w:color w:val="000000"/>
          <w:lang w:val="en-US"/>
        </w:rPr>
        <w:t>,</w:t>
      </w:r>
      <w:r w:rsidRPr="005A464E">
        <w:rPr>
          <w:rFonts w:asciiTheme="minorHAnsi" w:hAnsiTheme="minorHAnsi" w:cstheme="minorHAnsi"/>
          <w:color w:val="000000"/>
          <w:lang w:val="en-US"/>
        </w:rPr>
        <w:t xml:space="preserve"> 641-650. http://dx.</w:t>
      </w:r>
      <w:r w:rsidR="00292B29" w:rsidRPr="005A464E">
        <w:rPr>
          <w:rFonts w:asciiTheme="minorHAnsi" w:hAnsiTheme="minorHAnsi" w:cstheme="minorHAnsi"/>
          <w:color w:val="000000"/>
          <w:lang w:val="en-US"/>
        </w:rPr>
        <w:t>DOI</w:t>
      </w:r>
      <w:r w:rsidRPr="005A464E">
        <w:rPr>
          <w:rFonts w:asciiTheme="minorHAnsi" w:hAnsiTheme="minorHAnsi" w:cstheme="minorHAnsi"/>
          <w:color w:val="000000"/>
          <w:lang w:val="en-US"/>
        </w:rPr>
        <w:t>.org/10.1053/j.ajkd.2007.12.021.</w:t>
      </w:r>
    </w:p>
    <w:p w:rsidR="003C410F" w:rsidRPr="005A464E" w:rsidRDefault="003C410F" w:rsidP="005A464E">
      <w:pPr>
        <w:pStyle w:val="Web"/>
        <w:spacing w:after="180" w:line="360" w:lineRule="auto"/>
        <w:ind w:left="450" w:hanging="450"/>
        <w:jc w:val="both"/>
        <w:rPr>
          <w:rFonts w:asciiTheme="minorHAnsi" w:hAnsiTheme="minorHAnsi" w:cstheme="minorHAnsi"/>
          <w:color w:val="000000"/>
          <w:lang w:val="en-US"/>
        </w:rPr>
      </w:pPr>
      <w:r w:rsidRPr="005A464E">
        <w:rPr>
          <w:rFonts w:asciiTheme="minorHAnsi" w:hAnsiTheme="minorHAnsi" w:cstheme="minorHAnsi"/>
          <w:color w:val="000000"/>
          <w:lang w:val="en-US"/>
        </w:rPr>
        <w:t>Mok, E., &amp; Tam, B. (2001). Stressors and coping methods among chronic haemodialysis patients in Hong Kong.</w:t>
      </w:r>
      <w:r w:rsidRPr="005A464E">
        <w:rPr>
          <w:rStyle w:val="apple-converted-space"/>
          <w:rFonts w:asciiTheme="minorHAnsi" w:hAnsiTheme="minorHAnsi" w:cstheme="minorHAnsi"/>
          <w:color w:val="000000"/>
          <w:lang w:val="en-US"/>
        </w:rPr>
        <w:t> </w:t>
      </w:r>
      <w:r w:rsidR="005766B3" w:rsidRPr="005A464E">
        <w:rPr>
          <w:rFonts w:asciiTheme="minorHAnsi" w:hAnsiTheme="minorHAnsi" w:cstheme="minorHAnsi"/>
          <w:i/>
          <w:iCs/>
          <w:color w:val="000000"/>
          <w:lang w:val="en-US"/>
        </w:rPr>
        <w:t>Journal of</w:t>
      </w:r>
      <w:r w:rsidRPr="005A464E">
        <w:rPr>
          <w:rFonts w:asciiTheme="minorHAnsi" w:hAnsiTheme="minorHAnsi" w:cstheme="minorHAnsi"/>
          <w:i/>
          <w:iCs/>
          <w:color w:val="000000"/>
          <w:lang w:val="en-US"/>
        </w:rPr>
        <w:t xml:space="preserve"> Clinical Nursing</w:t>
      </w:r>
      <w:r w:rsidRPr="005A464E">
        <w:rPr>
          <w:rFonts w:asciiTheme="minorHAnsi" w:hAnsiTheme="minorHAnsi" w:cstheme="minorHAnsi"/>
          <w:color w:val="000000"/>
          <w:lang w:val="en-US"/>
        </w:rPr>
        <w:t>,</w:t>
      </w:r>
      <w:r w:rsidRPr="008C3704">
        <w:rPr>
          <w:rStyle w:val="apple-converted-space"/>
          <w:rFonts w:asciiTheme="minorHAnsi" w:hAnsiTheme="minorHAnsi" w:cstheme="minorHAnsi"/>
          <w:i/>
          <w:color w:val="000000"/>
          <w:lang w:val="en-US"/>
        </w:rPr>
        <w:t> </w:t>
      </w:r>
      <w:r w:rsidRPr="008C3704">
        <w:rPr>
          <w:rFonts w:asciiTheme="minorHAnsi" w:hAnsiTheme="minorHAnsi" w:cstheme="minorHAnsi"/>
          <w:i/>
          <w:iCs/>
          <w:color w:val="000000"/>
          <w:lang w:val="en-US"/>
        </w:rPr>
        <w:t>10</w:t>
      </w:r>
      <w:r w:rsidRPr="005A464E">
        <w:rPr>
          <w:rFonts w:asciiTheme="minorHAnsi" w:hAnsiTheme="minorHAnsi" w:cstheme="minorHAnsi"/>
          <w:color w:val="000000"/>
          <w:lang w:val="en-US"/>
        </w:rPr>
        <w:t>, 503-511. http://dx.</w:t>
      </w:r>
      <w:r w:rsidR="00292B29" w:rsidRPr="005A464E">
        <w:rPr>
          <w:rFonts w:asciiTheme="minorHAnsi" w:hAnsiTheme="minorHAnsi" w:cstheme="minorHAnsi"/>
          <w:color w:val="000000"/>
          <w:lang w:val="en-US"/>
        </w:rPr>
        <w:t>DOI</w:t>
      </w:r>
      <w:r w:rsidRPr="005A464E">
        <w:rPr>
          <w:rFonts w:asciiTheme="minorHAnsi" w:hAnsiTheme="minorHAnsi" w:cstheme="minorHAnsi"/>
          <w:color w:val="000000"/>
          <w:lang w:val="en-US"/>
        </w:rPr>
        <w:t>.org/10.1046/j.1365-2702.2001.00500.x</w:t>
      </w:r>
      <w:r w:rsidR="00853D3C" w:rsidRPr="005A464E">
        <w:rPr>
          <w:rFonts w:asciiTheme="minorHAnsi" w:hAnsiTheme="minorHAnsi" w:cstheme="minorHAnsi"/>
          <w:color w:val="000000"/>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color w:val="000000"/>
          <w:lang w:val="en-US"/>
        </w:rPr>
      </w:pPr>
      <w:r w:rsidRPr="005A464E">
        <w:rPr>
          <w:rFonts w:asciiTheme="minorHAnsi" w:hAnsiTheme="minorHAnsi" w:cstheme="minorHAnsi"/>
          <w:color w:val="000000"/>
          <w:lang w:val="en-US"/>
        </w:rPr>
        <w:t>Mok, E., Lai, C., &amp; Zhang, Z. (2004). Coping with chronic renal failure in Hong Kong.</w:t>
      </w:r>
      <w:r w:rsidR="0078495A">
        <w:rPr>
          <w:rStyle w:val="apple-converted-space"/>
          <w:rFonts w:asciiTheme="minorHAnsi" w:hAnsiTheme="minorHAnsi" w:cstheme="minorHAnsi"/>
          <w:color w:val="000000"/>
          <w:lang w:val="en-US"/>
        </w:rPr>
        <w:t xml:space="preserve"> </w:t>
      </w:r>
      <w:r w:rsidRPr="005A464E">
        <w:rPr>
          <w:rFonts w:asciiTheme="minorHAnsi" w:hAnsiTheme="minorHAnsi" w:cstheme="minorHAnsi"/>
          <w:i/>
          <w:iCs/>
          <w:color w:val="000000"/>
          <w:lang w:val="en-US"/>
        </w:rPr>
        <w:t>International Jou</w:t>
      </w:r>
      <w:r w:rsidR="005766B3" w:rsidRPr="005A464E">
        <w:rPr>
          <w:rFonts w:asciiTheme="minorHAnsi" w:hAnsiTheme="minorHAnsi" w:cstheme="minorHAnsi"/>
          <w:i/>
          <w:iCs/>
          <w:color w:val="000000"/>
          <w:lang w:val="en-US"/>
        </w:rPr>
        <w:t>rnal o</w:t>
      </w:r>
      <w:r w:rsidRPr="005A464E">
        <w:rPr>
          <w:rFonts w:asciiTheme="minorHAnsi" w:hAnsiTheme="minorHAnsi" w:cstheme="minorHAnsi"/>
          <w:i/>
          <w:iCs/>
          <w:color w:val="000000"/>
          <w:lang w:val="en-US"/>
        </w:rPr>
        <w:t>f Nursing Studies</w:t>
      </w:r>
      <w:r w:rsidRPr="005A464E">
        <w:rPr>
          <w:rFonts w:asciiTheme="minorHAnsi" w:hAnsiTheme="minorHAnsi" w:cstheme="minorHAnsi"/>
          <w:color w:val="000000"/>
          <w:lang w:val="en-US"/>
        </w:rPr>
        <w:t>,</w:t>
      </w:r>
      <w:r w:rsidRPr="005A464E">
        <w:rPr>
          <w:rStyle w:val="apple-converted-space"/>
          <w:rFonts w:asciiTheme="minorHAnsi" w:hAnsiTheme="minorHAnsi" w:cstheme="minorHAnsi"/>
          <w:color w:val="000000"/>
          <w:lang w:val="en-US"/>
        </w:rPr>
        <w:t> </w:t>
      </w:r>
      <w:r w:rsidRPr="008C3704">
        <w:rPr>
          <w:rFonts w:asciiTheme="minorHAnsi" w:hAnsiTheme="minorHAnsi" w:cstheme="minorHAnsi"/>
          <w:i/>
          <w:iCs/>
          <w:color w:val="000000"/>
          <w:lang w:val="en-US"/>
        </w:rPr>
        <w:t>41</w:t>
      </w:r>
      <w:r w:rsidRPr="005A464E">
        <w:rPr>
          <w:rFonts w:asciiTheme="minorHAnsi" w:hAnsiTheme="minorHAnsi" w:cstheme="minorHAnsi"/>
          <w:color w:val="000000"/>
          <w:lang w:val="en-US"/>
        </w:rPr>
        <w:t>, 205-213. http://dx.</w:t>
      </w:r>
      <w:r w:rsidR="00292B29" w:rsidRPr="005A464E">
        <w:rPr>
          <w:rFonts w:asciiTheme="minorHAnsi" w:hAnsiTheme="minorHAnsi" w:cstheme="minorHAnsi"/>
          <w:color w:val="000000"/>
          <w:lang w:val="en-US"/>
        </w:rPr>
        <w:t>DOI</w:t>
      </w:r>
      <w:r w:rsidRPr="005A464E">
        <w:rPr>
          <w:rFonts w:asciiTheme="minorHAnsi" w:hAnsiTheme="minorHAnsi" w:cstheme="minorHAnsi"/>
          <w:color w:val="000000"/>
          <w:lang w:val="en-US"/>
        </w:rPr>
        <w:t>.org/10.1016/j.ijnurstu.2003.10.001</w:t>
      </w:r>
      <w:r w:rsidR="00853D3C" w:rsidRPr="005A464E">
        <w:rPr>
          <w:rFonts w:asciiTheme="minorHAnsi" w:hAnsiTheme="minorHAnsi" w:cstheme="minorHAnsi"/>
          <w:color w:val="000000"/>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color w:val="000000"/>
          <w:lang w:val="en-US"/>
        </w:rPr>
        <w:t>Molsted, S., Aadahl, M., Schou,</w:t>
      </w:r>
      <w:r w:rsidR="005766B3" w:rsidRPr="005A464E">
        <w:rPr>
          <w:rFonts w:asciiTheme="minorHAnsi" w:hAnsiTheme="minorHAnsi" w:cstheme="minorHAnsi"/>
          <w:color w:val="000000"/>
          <w:lang w:val="en-US"/>
        </w:rPr>
        <w:t xml:space="preserve"> L., &amp; Eidemak, I. (2004). Self-</w:t>
      </w:r>
      <w:r w:rsidRPr="005A464E">
        <w:rPr>
          <w:rFonts w:asciiTheme="minorHAnsi" w:hAnsiTheme="minorHAnsi" w:cstheme="minorHAnsi"/>
          <w:color w:val="000000"/>
          <w:lang w:val="en-US"/>
        </w:rPr>
        <w:t>rated health and employment status in chronic haemodialysis patients.</w:t>
      </w:r>
      <w:r w:rsidRPr="005A464E">
        <w:rPr>
          <w:rStyle w:val="apple-converted-space"/>
          <w:rFonts w:asciiTheme="minorHAnsi" w:hAnsiTheme="minorHAnsi" w:cstheme="minorHAnsi"/>
          <w:color w:val="000000"/>
          <w:lang w:val="en-US"/>
        </w:rPr>
        <w:t> </w:t>
      </w:r>
      <w:r w:rsidR="00853D3C" w:rsidRPr="005A464E">
        <w:rPr>
          <w:rFonts w:asciiTheme="minorHAnsi" w:hAnsiTheme="minorHAnsi" w:cstheme="minorHAnsi"/>
          <w:i/>
          <w:iCs/>
          <w:color w:val="000000"/>
          <w:lang w:val="en-US"/>
        </w:rPr>
        <w:t xml:space="preserve">Scandinavian Journal of Urology </w:t>
      </w:r>
      <w:r w:rsidRPr="005A464E">
        <w:rPr>
          <w:rFonts w:asciiTheme="minorHAnsi" w:hAnsiTheme="minorHAnsi" w:cstheme="minorHAnsi"/>
          <w:i/>
          <w:iCs/>
          <w:color w:val="000000"/>
          <w:lang w:val="en-US"/>
        </w:rPr>
        <w:t>and Nephrology</w:t>
      </w:r>
      <w:r w:rsidRPr="005A464E">
        <w:rPr>
          <w:rFonts w:asciiTheme="minorHAnsi" w:hAnsiTheme="minorHAnsi" w:cstheme="minorHAnsi"/>
          <w:color w:val="000000"/>
          <w:lang w:val="en-US"/>
        </w:rPr>
        <w:t>,</w:t>
      </w:r>
      <w:r w:rsidR="0078495A">
        <w:rPr>
          <w:rStyle w:val="apple-converted-space"/>
          <w:rFonts w:asciiTheme="minorHAnsi" w:hAnsiTheme="minorHAnsi" w:cstheme="minorHAnsi"/>
          <w:color w:val="000000"/>
          <w:lang w:val="en-US"/>
        </w:rPr>
        <w:t xml:space="preserve"> </w:t>
      </w:r>
      <w:r w:rsidRPr="003104C9">
        <w:rPr>
          <w:rFonts w:asciiTheme="minorHAnsi" w:hAnsiTheme="minorHAnsi" w:cstheme="minorHAnsi"/>
          <w:i/>
          <w:iCs/>
          <w:color w:val="000000"/>
          <w:lang w:val="en-US"/>
        </w:rPr>
        <w:t>38</w:t>
      </w:r>
      <w:r w:rsidRPr="003104C9">
        <w:rPr>
          <w:rFonts w:asciiTheme="minorHAnsi" w:hAnsiTheme="minorHAnsi" w:cstheme="minorHAnsi"/>
          <w:i/>
          <w:color w:val="000000"/>
          <w:lang w:val="en-US"/>
        </w:rPr>
        <w:t>,</w:t>
      </w:r>
      <w:r w:rsidRPr="005A464E">
        <w:rPr>
          <w:rFonts w:asciiTheme="minorHAnsi" w:hAnsiTheme="minorHAnsi" w:cstheme="minorHAnsi"/>
          <w:color w:val="000000"/>
          <w:lang w:val="en-US"/>
        </w:rPr>
        <w:t xml:space="preserve"> 174-178.</w:t>
      </w:r>
    </w:p>
    <w:p w:rsidR="003C410F" w:rsidRDefault="00853D3C"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Molzahn, A.</w:t>
      </w:r>
      <w:r w:rsidR="003C410F" w:rsidRPr="005A464E">
        <w:rPr>
          <w:rFonts w:asciiTheme="minorHAnsi" w:hAnsiTheme="minorHAnsi" w:cstheme="minorHAnsi"/>
          <w:lang w:val="en-US"/>
        </w:rPr>
        <w:t>E., N</w:t>
      </w:r>
      <w:r w:rsidRPr="005A464E">
        <w:rPr>
          <w:rFonts w:asciiTheme="minorHAnsi" w:hAnsiTheme="minorHAnsi" w:cstheme="minorHAnsi"/>
          <w:lang w:val="en-US"/>
        </w:rPr>
        <w:t>orthcott, H.C., &amp; Dossetor, J.</w:t>
      </w:r>
      <w:r w:rsidR="003C410F" w:rsidRPr="005A464E">
        <w:rPr>
          <w:rFonts w:asciiTheme="minorHAnsi" w:hAnsiTheme="minorHAnsi" w:cstheme="minorHAnsi"/>
          <w:lang w:val="en-US"/>
        </w:rPr>
        <w:t xml:space="preserve">B. (1997). Quality of life of individuals with end stage renal disease: Perceptions of patients, nurses, and physicians. </w:t>
      </w:r>
      <w:r w:rsidR="005766B3" w:rsidRPr="005A464E">
        <w:rPr>
          <w:rFonts w:asciiTheme="minorHAnsi" w:hAnsiTheme="minorHAnsi" w:cstheme="minorHAnsi"/>
          <w:i/>
          <w:iCs/>
          <w:lang w:val="en-US"/>
        </w:rPr>
        <w:t>ANNA Journal</w:t>
      </w:r>
      <w:r w:rsidR="003C410F" w:rsidRPr="005A464E">
        <w:rPr>
          <w:rFonts w:asciiTheme="minorHAnsi" w:hAnsiTheme="minorHAnsi" w:cstheme="minorHAnsi"/>
          <w:i/>
          <w:iCs/>
          <w:lang w:val="en-US"/>
        </w:rPr>
        <w:t>,</w:t>
      </w:r>
      <w:r w:rsidR="003C410F" w:rsidRPr="005A464E">
        <w:rPr>
          <w:rFonts w:asciiTheme="minorHAnsi" w:hAnsiTheme="minorHAnsi" w:cstheme="minorHAnsi"/>
          <w:iCs/>
          <w:lang w:val="en-US"/>
        </w:rPr>
        <w:t xml:space="preserve"> </w:t>
      </w:r>
      <w:r w:rsidR="003104C9" w:rsidRPr="003104C9">
        <w:rPr>
          <w:rFonts w:asciiTheme="minorHAnsi" w:hAnsiTheme="minorHAnsi" w:cstheme="minorHAnsi"/>
          <w:i/>
          <w:lang w:val="en-US"/>
        </w:rPr>
        <w:t>24</w:t>
      </w:r>
      <w:r w:rsidR="003C410F" w:rsidRPr="003104C9">
        <w:rPr>
          <w:rFonts w:asciiTheme="minorHAnsi" w:hAnsiTheme="minorHAnsi" w:cstheme="minorHAnsi"/>
          <w:i/>
          <w:lang w:val="en-US"/>
        </w:rPr>
        <w:t>,</w:t>
      </w:r>
      <w:r w:rsidR="003C410F" w:rsidRPr="005A464E">
        <w:rPr>
          <w:rFonts w:asciiTheme="minorHAnsi" w:hAnsiTheme="minorHAnsi" w:cstheme="minorHAnsi"/>
          <w:lang w:val="en-US"/>
        </w:rPr>
        <w:t xml:space="preserve"> 325-333</w:t>
      </w:r>
      <w:r w:rsidRPr="005A464E">
        <w:rPr>
          <w:rFonts w:asciiTheme="minorHAnsi" w:hAnsiTheme="minorHAnsi" w:cstheme="minorHAnsi"/>
          <w:lang w:val="en-US"/>
        </w:rPr>
        <w:t>.</w:t>
      </w:r>
    </w:p>
    <w:p w:rsidR="00666053" w:rsidRPr="00666053" w:rsidRDefault="00666053" w:rsidP="005A464E">
      <w:pPr>
        <w:pStyle w:val="Web"/>
        <w:spacing w:after="180" w:line="360" w:lineRule="auto"/>
        <w:ind w:left="450" w:hanging="450"/>
        <w:jc w:val="both"/>
        <w:rPr>
          <w:rFonts w:ascii="Calibri" w:hAnsi="Calibri" w:cs="Calibri"/>
          <w:lang w:val="en-US"/>
        </w:rPr>
      </w:pPr>
      <w:r w:rsidRPr="00666053">
        <w:rPr>
          <w:rFonts w:ascii="Calibri" w:hAnsi="Calibri" w:cs="Calibri"/>
          <w:color w:val="222222"/>
          <w:shd w:val="clear" w:color="auto" w:fill="FFFFFF"/>
          <w:lang w:val="en-US"/>
        </w:rPr>
        <w:t>Momeni, A. (2016). Cardiovascular complications of renal failure in hemodialysis patients. </w:t>
      </w:r>
      <w:r w:rsidRPr="00FB0D48">
        <w:rPr>
          <w:rFonts w:ascii="Calibri" w:hAnsi="Calibri" w:cs="Calibri"/>
          <w:i/>
          <w:iCs/>
          <w:color w:val="222222"/>
          <w:shd w:val="clear" w:color="auto" w:fill="FFFFFF"/>
          <w:lang w:val="en-US"/>
        </w:rPr>
        <w:t>Annals of Research in Dialysis</w:t>
      </w:r>
      <w:r w:rsidRPr="00FB0D48">
        <w:rPr>
          <w:rFonts w:ascii="Calibri" w:hAnsi="Calibri" w:cs="Calibri"/>
          <w:color w:val="222222"/>
          <w:shd w:val="clear" w:color="auto" w:fill="FFFFFF"/>
          <w:lang w:val="en-US"/>
        </w:rPr>
        <w:t>, </w:t>
      </w:r>
      <w:r w:rsidRPr="00FB0D48">
        <w:rPr>
          <w:rFonts w:ascii="Calibri" w:hAnsi="Calibri" w:cs="Calibri"/>
          <w:i/>
          <w:iCs/>
          <w:color w:val="222222"/>
          <w:shd w:val="clear" w:color="auto" w:fill="FFFFFF"/>
          <w:lang w:val="en-US"/>
        </w:rPr>
        <w:t>1</w:t>
      </w:r>
      <w:r w:rsidRPr="00FB0D48">
        <w:rPr>
          <w:rFonts w:ascii="Calibri" w:hAnsi="Calibri" w:cs="Calibri"/>
          <w:color w:val="222222"/>
          <w:shd w:val="clear" w:color="auto" w:fill="FFFFFF"/>
          <w:lang w:val="en-US"/>
        </w:rPr>
        <w:t>(1).</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Monsivais, D., &amp; Reynolds, A. (2003 ) . Developing and evaluating patient education materials. </w:t>
      </w:r>
      <w:r w:rsidRPr="005A464E">
        <w:rPr>
          <w:rFonts w:asciiTheme="minorHAnsi" w:hAnsiTheme="minorHAnsi" w:cstheme="minorHAnsi"/>
          <w:i/>
          <w:lang w:val="en-US"/>
        </w:rPr>
        <w:t>The Journal of Continuing Education in Nursing</w:t>
      </w:r>
      <w:r w:rsidR="003104C9">
        <w:rPr>
          <w:rFonts w:asciiTheme="minorHAnsi" w:hAnsiTheme="minorHAnsi" w:cstheme="minorHAnsi"/>
          <w:lang w:val="en-US"/>
        </w:rPr>
        <w:t xml:space="preserve">, </w:t>
      </w:r>
      <w:r w:rsidR="003104C9" w:rsidRPr="003104C9">
        <w:rPr>
          <w:rFonts w:asciiTheme="minorHAnsi" w:hAnsiTheme="minorHAnsi" w:cstheme="minorHAnsi"/>
          <w:i/>
          <w:lang w:val="en-US"/>
        </w:rPr>
        <w:t>34</w:t>
      </w:r>
      <w:r w:rsidRPr="005A464E">
        <w:rPr>
          <w:rFonts w:asciiTheme="minorHAnsi" w:hAnsiTheme="minorHAnsi" w:cstheme="minorHAnsi"/>
          <w:lang w:val="en-US"/>
        </w:rPr>
        <w:t>, 172- 176</w:t>
      </w:r>
      <w:r w:rsidR="00853D3C" w:rsidRPr="005A464E">
        <w:rPr>
          <w:rFonts w:asciiTheme="minorHAnsi" w:hAnsiTheme="minorHAnsi" w:cstheme="minorHAnsi"/>
          <w:lang w:val="en-US"/>
        </w:rPr>
        <w:t>.</w:t>
      </w:r>
    </w:p>
    <w:p w:rsidR="00B21E78"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Moreno, F., Lopez-Gomez, J.M., Sanz-Guajardo, D., Jofre, R., &amp; Valderrabano, F. (1996). Quality of life in dialysis patients: A Spanish multicenter study. Spanish Cooperative </w:t>
      </w:r>
      <w:r w:rsidR="005766B3" w:rsidRPr="005A464E">
        <w:rPr>
          <w:rFonts w:asciiTheme="minorHAnsi" w:hAnsiTheme="minorHAnsi" w:cstheme="minorHAnsi"/>
          <w:lang w:val="en-US"/>
        </w:rPr>
        <w:t xml:space="preserve">renal patients </w:t>
      </w:r>
      <w:r w:rsidRPr="005A464E">
        <w:rPr>
          <w:rFonts w:asciiTheme="minorHAnsi" w:hAnsiTheme="minorHAnsi" w:cstheme="minorHAnsi"/>
          <w:lang w:val="en-US"/>
        </w:rPr>
        <w:t xml:space="preserve">Quality of Life Study Group. </w:t>
      </w:r>
      <w:r w:rsidR="00AD3C44" w:rsidRPr="005A464E">
        <w:rPr>
          <w:rFonts w:asciiTheme="minorHAnsi" w:hAnsiTheme="minorHAnsi" w:cstheme="minorHAnsi"/>
          <w:i/>
          <w:iCs/>
          <w:lang w:val="en-US"/>
        </w:rPr>
        <w:t>Nephrology</w:t>
      </w:r>
      <w:r w:rsidRPr="005A464E">
        <w:rPr>
          <w:rFonts w:asciiTheme="minorHAnsi" w:hAnsiTheme="minorHAnsi" w:cstheme="minorHAnsi"/>
          <w:i/>
          <w:iCs/>
          <w:lang w:val="en-US"/>
        </w:rPr>
        <w:t xml:space="preserve"> Dialysis Transplant</w:t>
      </w:r>
      <w:r w:rsidRPr="005A464E">
        <w:rPr>
          <w:rFonts w:asciiTheme="minorHAnsi" w:hAnsiTheme="minorHAnsi" w:cstheme="minorHAnsi"/>
          <w:i/>
          <w:lang w:val="en-US"/>
        </w:rPr>
        <w:t xml:space="preserve">ation </w:t>
      </w:r>
      <w:r w:rsidRPr="005A464E">
        <w:rPr>
          <w:rFonts w:asciiTheme="minorHAnsi" w:hAnsiTheme="minorHAnsi" w:cstheme="minorHAnsi"/>
          <w:i/>
          <w:iCs/>
          <w:lang w:val="en-US"/>
        </w:rPr>
        <w:t>Journal</w:t>
      </w:r>
      <w:r w:rsidRPr="003104C9">
        <w:rPr>
          <w:rFonts w:asciiTheme="minorHAnsi" w:hAnsiTheme="minorHAnsi" w:cstheme="minorHAnsi"/>
          <w:i/>
          <w:iCs/>
          <w:lang w:val="en-US"/>
        </w:rPr>
        <w:t>, 11</w:t>
      </w:r>
      <w:r w:rsidRPr="003104C9">
        <w:rPr>
          <w:rFonts w:asciiTheme="minorHAnsi" w:hAnsiTheme="minorHAnsi" w:cstheme="minorHAnsi"/>
          <w:i/>
          <w:lang w:val="en-US"/>
        </w:rPr>
        <w:t>,</w:t>
      </w:r>
      <w:r w:rsidRPr="005A464E">
        <w:rPr>
          <w:rFonts w:asciiTheme="minorHAnsi" w:hAnsiTheme="minorHAnsi" w:cstheme="minorHAnsi"/>
          <w:lang w:val="en-US"/>
        </w:rPr>
        <w:t xml:space="preserve"> S125-129</w:t>
      </w:r>
      <w:r w:rsidR="008C1FA6" w:rsidRPr="005A464E">
        <w:rPr>
          <w:rFonts w:asciiTheme="minorHAnsi" w:hAnsiTheme="minorHAnsi" w:cstheme="minorHAnsi"/>
          <w:lang w:val="en-US"/>
        </w:rPr>
        <w:t>.</w:t>
      </w:r>
    </w:p>
    <w:p w:rsidR="00B21E78" w:rsidRPr="005A464E" w:rsidRDefault="00B21E78"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Morgan, L. (2000). A decade review: Methods to improve adherence to the treatment regimen among hemodialysis patients. </w:t>
      </w:r>
      <w:r w:rsidRPr="005A464E">
        <w:rPr>
          <w:rFonts w:asciiTheme="minorHAnsi" w:hAnsiTheme="minorHAnsi" w:cstheme="minorHAnsi"/>
          <w:i/>
          <w:iCs/>
          <w:lang w:val="en-US"/>
        </w:rPr>
        <w:t>Nephrology Nursing</w:t>
      </w:r>
      <w:r w:rsidRPr="005A464E">
        <w:rPr>
          <w:rFonts w:asciiTheme="minorHAnsi" w:hAnsiTheme="minorHAnsi" w:cstheme="minorHAnsi"/>
          <w:lang w:val="en-US"/>
        </w:rPr>
        <w:t xml:space="preserve"> </w:t>
      </w:r>
      <w:r w:rsidRPr="005A464E">
        <w:rPr>
          <w:rFonts w:asciiTheme="minorHAnsi" w:hAnsiTheme="minorHAnsi" w:cstheme="minorHAnsi"/>
          <w:i/>
          <w:iCs/>
          <w:lang w:val="en-US"/>
        </w:rPr>
        <w:t xml:space="preserve">Journal, </w:t>
      </w:r>
      <w:r w:rsidRPr="003104C9">
        <w:rPr>
          <w:rFonts w:asciiTheme="minorHAnsi" w:hAnsiTheme="minorHAnsi" w:cstheme="minorHAnsi"/>
          <w:i/>
          <w:iCs/>
          <w:lang w:val="en-US"/>
        </w:rPr>
        <w:t>27</w:t>
      </w:r>
      <w:r w:rsidRPr="005A464E">
        <w:rPr>
          <w:rFonts w:asciiTheme="minorHAnsi" w:hAnsiTheme="minorHAnsi" w:cstheme="minorHAnsi"/>
          <w:lang w:val="en-US"/>
        </w:rPr>
        <w:t>, 299-304.</w:t>
      </w:r>
    </w:p>
    <w:p w:rsidR="003C410F" w:rsidRPr="005A464E" w:rsidRDefault="003C410F" w:rsidP="005A464E">
      <w:pPr>
        <w:pStyle w:val="Web"/>
        <w:spacing w:after="180" w:line="360" w:lineRule="auto"/>
        <w:ind w:left="450" w:hanging="450"/>
        <w:jc w:val="both"/>
        <w:rPr>
          <w:rFonts w:asciiTheme="minorHAnsi" w:hAnsiTheme="minorHAnsi" w:cstheme="minorHAnsi"/>
          <w:color w:val="000000"/>
          <w:lang w:val="en-US"/>
        </w:rPr>
      </w:pPr>
      <w:r w:rsidRPr="005A464E">
        <w:rPr>
          <w:rFonts w:asciiTheme="minorHAnsi" w:hAnsiTheme="minorHAnsi" w:cstheme="minorHAnsi"/>
          <w:color w:val="000000"/>
          <w:lang w:val="en-US"/>
        </w:rPr>
        <w:t xml:space="preserve">Morisky, D., Ang, A., Krousel-Wood, M., &amp; Ward, H. (2008). Predictive </w:t>
      </w:r>
      <w:r w:rsidR="005766B3" w:rsidRPr="005A464E">
        <w:rPr>
          <w:rFonts w:asciiTheme="minorHAnsi" w:hAnsiTheme="minorHAnsi" w:cstheme="minorHAnsi"/>
          <w:color w:val="000000"/>
          <w:lang w:val="en-US"/>
        </w:rPr>
        <w:t>validity of a medication adherence measure in an outpatient settin</w:t>
      </w:r>
      <w:r w:rsidRPr="005A464E">
        <w:rPr>
          <w:rFonts w:asciiTheme="minorHAnsi" w:hAnsiTheme="minorHAnsi" w:cstheme="minorHAnsi"/>
          <w:color w:val="000000"/>
          <w:lang w:val="en-US"/>
        </w:rPr>
        <w:t>g.</w:t>
      </w:r>
      <w:r w:rsidR="0078495A">
        <w:rPr>
          <w:rStyle w:val="apple-converted-space"/>
          <w:rFonts w:asciiTheme="minorHAnsi" w:hAnsiTheme="minorHAnsi" w:cstheme="minorHAnsi"/>
          <w:color w:val="000000"/>
          <w:lang w:val="en-US"/>
        </w:rPr>
        <w:t xml:space="preserve"> </w:t>
      </w:r>
      <w:r w:rsidR="005766B3" w:rsidRPr="005A464E">
        <w:rPr>
          <w:rFonts w:asciiTheme="minorHAnsi" w:hAnsiTheme="minorHAnsi" w:cstheme="minorHAnsi"/>
          <w:i/>
          <w:iCs/>
          <w:color w:val="000000"/>
          <w:lang w:val="en-US"/>
        </w:rPr>
        <w:t>The Journal o</w:t>
      </w:r>
      <w:r w:rsidRPr="005A464E">
        <w:rPr>
          <w:rFonts w:asciiTheme="minorHAnsi" w:hAnsiTheme="minorHAnsi" w:cstheme="minorHAnsi"/>
          <w:i/>
          <w:iCs/>
          <w:color w:val="000000"/>
          <w:lang w:val="en-US"/>
        </w:rPr>
        <w:t>f Clinical Hypertension</w:t>
      </w:r>
      <w:r w:rsidRPr="005A464E">
        <w:rPr>
          <w:rFonts w:asciiTheme="minorHAnsi" w:hAnsiTheme="minorHAnsi" w:cstheme="minorHAnsi"/>
          <w:color w:val="000000"/>
          <w:lang w:val="en-US"/>
        </w:rPr>
        <w:t>,</w:t>
      </w:r>
      <w:r w:rsidR="003104C9">
        <w:rPr>
          <w:rFonts w:asciiTheme="minorHAnsi" w:hAnsiTheme="minorHAnsi" w:cstheme="minorHAnsi"/>
          <w:color w:val="000000"/>
          <w:lang w:val="en-US"/>
        </w:rPr>
        <w:t xml:space="preserve"> </w:t>
      </w:r>
      <w:r w:rsidRPr="003104C9">
        <w:rPr>
          <w:rFonts w:asciiTheme="minorHAnsi" w:hAnsiTheme="minorHAnsi" w:cstheme="minorHAnsi"/>
          <w:i/>
          <w:iCs/>
          <w:color w:val="000000"/>
          <w:lang w:val="en-US"/>
        </w:rPr>
        <w:t>10</w:t>
      </w:r>
      <w:r w:rsidR="003104C9">
        <w:rPr>
          <w:rFonts w:asciiTheme="minorHAnsi" w:hAnsiTheme="minorHAnsi" w:cstheme="minorHAnsi"/>
          <w:color w:val="000000"/>
          <w:lang w:val="en-US"/>
        </w:rPr>
        <w:t xml:space="preserve">, 348-354. </w:t>
      </w:r>
      <w:r w:rsidRPr="005A464E">
        <w:rPr>
          <w:rFonts w:asciiTheme="minorHAnsi" w:hAnsiTheme="minorHAnsi" w:cstheme="minorHAnsi"/>
          <w:color w:val="000000"/>
          <w:lang w:val="en-US"/>
        </w:rPr>
        <w:t>http://dx.</w:t>
      </w:r>
      <w:r w:rsidR="00292B29" w:rsidRPr="005A464E">
        <w:rPr>
          <w:rFonts w:asciiTheme="minorHAnsi" w:hAnsiTheme="minorHAnsi" w:cstheme="minorHAnsi"/>
          <w:color w:val="000000"/>
          <w:lang w:val="en-US"/>
        </w:rPr>
        <w:t>DOI</w:t>
      </w:r>
      <w:r w:rsidRPr="005A464E">
        <w:rPr>
          <w:rFonts w:asciiTheme="minorHAnsi" w:hAnsiTheme="minorHAnsi" w:cstheme="minorHAnsi"/>
          <w:color w:val="000000"/>
          <w:lang w:val="en-US"/>
        </w:rPr>
        <w:t>.org/10.1111/j.1751-7176.2008.07572.x</w:t>
      </w:r>
      <w:r w:rsidR="008C1FA6" w:rsidRPr="005A464E">
        <w:rPr>
          <w:rFonts w:asciiTheme="minorHAnsi" w:hAnsiTheme="minorHAnsi" w:cstheme="minorHAnsi"/>
          <w:color w:val="000000"/>
          <w:lang w:val="en-US"/>
        </w:rPr>
        <w:t>.</w:t>
      </w:r>
    </w:p>
    <w:p w:rsidR="003C410F" w:rsidRPr="005A464E" w:rsidRDefault="008C1FA6" w:rsidP="005A464E">
      <w:pPr>
        <w:pStyle w:val="Web"/>
        <w:spacing w:after="180" w:line="360" w:lineRule="auto"/>
        <w:ind w:left="450" w:hanging="450"/>
        <w:jc w:val="both"/>
        <w:rPr>
          <w:rFonts w:asciiTheme="minorHAnsi" w:hAnsiTheme="minorHAnsi"/>
          <w:lang w:val="en-US"/>
        </w:rPr>
      </w:pPr>
      <w:r w:rsidRPr="005A464E">
        <w:rPr>
          <w:rFonts w:asciiTheme="minorHAnsi" w:hAnsiTheme="minorHAnsi" w:cstheme="minorHAnsi"/>
          <w:color w:val="000000"/>
          <w:lang w:val="en-US"/>
        </w:rPr>
        <w:t>Morton, A., Meers, C</w:t>
      </w:r>
      <w:r w:rsidR="003C410F" w:rsidRPr="005A464E">
        <w:rPr>
          <w:rFonts w:asciiTheme="minorHAnsi" w:hAnsiTheme="minorHAnsi" w:cstheme="minorHAnsi"/>
          <w:color w:val="000000"/>
          <w:lang w:val="en-US"/>
        </w:rPr>
        <w:t>., Singer, M., Toffelmire, E., Hopman, W., Mccomb, J., &amp; Mac</w:t>
      </w:r>
      <w:r w:rsidR="005766B3" w:rsidRPr="005A464E">
        <w:rPr>
          <w:rFonts w:asciiTheme="minorHAnsi" w:hAnsiTheme="minorHAnsi" w:cstheme="minorHAnsi"/>
          <w:color w:val="000000"/>
          <w:lang w:val="en-US"/>
        </w:rPr>
        <w:t>kenzie, T. (1996). Quantity of d</w:t>
      </w:r>
      <w:r w:rsidR="003C410F" w:rsidRPr="005A464E">
        <w:rPr>
          <w:rFonts w:asciiTheme="minorHAnsi" w:hAnsiTheme="minorHAnsi" w:cstheme="minorHAnsi"/>
          <w:color w:val="000000"/>
          <w:lang w:val="en-US"/>
        </w:rPr>
        <w:t>ialysis.</w:t>
      </w:r>
      <w:r w:rsidR="003C410F" w:rsidRPr="005A464E">
        <w:rPr>
          <w:rStyle w:val="apple-converted-space"/>
          <w:rFonts w:asciiTheme="minorHAnsi" w:hAnsiTheme="minorHAnsi" w:cstheme="minorHAnsi"/>
          <w:color w:val="000000"/>
          <w:lang w:val="en-US"/>
        </w:rPr>
        <w:t> </w:t>
      </w:r>
      <w:r w:rsidR="005766B3" w:rsidRPr="005A464E">
        <w:rPr>
          <w:rFonts w:asciiTheme="minorHAnsi" w:hAnsiTheme="minorHAnsi" w:cstheme="minorHAnsi"/>
          <w:i/>
          <w:iCs/>
          <w:color w:val="000000"/>
          <w:lang w:val="en-US"/>
        </w:rPr>
        <w:t>Asaio Journal</w:t>
      </w:r>
      <w:r w:rsidR="003C410F" w:rsidRPr="005A464E">
        <w:rPr>
          <w:rFonts w:asciiTheme="minorHAnsi" w:hAnsiTheme="minorHAnsi" w:cstheme="minorHAnsi"/>
          <w:color w:val="000000"/>
          <w:lang w:val="en-US"/>
        </w:rPr>
        <w:t>,</w:t>
      </w:r>
      <w:r w:rsidR="003C410F" w:rsidRPr="005A464E">
        <w:rPr>
          <w:rStyle w:val="apple-converted-space"/>
          <w:rFonts w:asciiTheme="minorHAnsi" w:hAnsiTheme="minorHAnsi" w:cstheme="minorHAnsi"/>
          <w:color w:val="000000"/>
          <w:lang w:val="en-US"/>
        </w:rPr>
        <w:t> </w:t>
      </w:r>
      <w:r w:rsidR="003C410F" w:rsidRPr="003104C9">
        <w:rPr>
          <w:rFonts w:asciiTheme="minorHAnsi" w:hAnsiTheme="minorHAnsi" w:cstheme="minorHAnsi"/>
          <w:i/>
          <w:iCs/>
          <w:color w:val="000000"/>
          <w:lang w:val="en-US"/>
        </w:rPr>
        <w:t>42</w:t>
      </w:r>
      <w:r w:rsidR="003C410F" w:rsidRPr="005A464E">
        <w:rPr>
          <w:rFonts w:asciiTheme="minorHAnsi" w:hAnsiTheme="minorHAnsi" w:cstheme="minorHAnsi"/>
          <w:color w:val="000000"/>
          <w:lang w:val="en-US"/>
        </w:rPr>
        <w:t xml:space="preserve">, M713-716. </w:t>
      </w:r>
      <w:hyperlink r:id="rId294" w:history="1">
        <w:r w:rsidR="00F70480"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00F70480" w:rsidRPr="005A464E">
          <w:rPr>
            <w:rStyle w:val="-"/>
            <w:rFonts w:asciiTheme="minorHAnsi" w:hAnsiTheme="minorHAnsi" w:cstheme="minorHAnsi"/>
            <w:color w:val="auto"/>
            <w:u w:val="none"/>
            <w:lang w:val="en-US"/>
          </w:rPr>
          <w:t>.org/10.1097/00002480-199609000-00080</w:t>
        </w:r>
      </w:hyperlink>
      <w:r w:rsidRPr="005A464E">
        <w:rPr>
          <w:rFonts w:asciiTheme="minorHAnsi" w:hAnsiTheme="minorHAnsi"/>
          <w:lang w:val="en-US"/>
        </w:rPr>
        <w:t>.</w:t>
      </w:r>
    </w:p>
    <w:p w:rsidR="007B006D" w:rsidRPr="005A464E" w:rsidRDefault="007B006D" w:rsidP="005A464E">
      <w:pPr>
        <w:pStyle w:val="Web"/>
        <w:spacing w:after="180" w:line="360" w:lineRule="auto"/>
        <w:ind w:left="450" w:hanging="450"/>
        <w:jc w:val="both"/>
        <w:rPr>
          <w:rFonts w:asciiTheme="minorHAnsi" w:hAnsiTheme="minorHAnsi" w:cstheme="minorHAnsi"/>
          <w:color w:val="000000"/>
          <w:lang w:val="en-US"/>
        </w:rPr>
      </w:pPr>
      <w:r w:rsidRPr="005A464E">
        <w:rPr>
          <w:rFonts w:asciiTheme="minorHAnsi" w:hAnsiTheme="minorHAnsi"/>
          <w:color w:val="000000"/>
          <w:lang w:val="en-US"/>
        </w:rPr>
        <w:t>Moshtagh</w:t>
      </w:r>
      <w:r w:rsidR="008C1FA6" w:rsidRPr="005A464E">
        <w:rPr>
          <w:rFonts w:asciiTheme="minorHAnsi" w:hAnsiTheme="minorHAnsi"/>
          <w:color w:val="000000"/>
          <w:lang w:val="en-US"/>
        </w:rPr>
        <w:t>,</w:t>
      </w:r>
      <w:r w:rsidRPr="005A464E">
        <w:rPr>
          <w:rFonts w:asciiTheme="minorHAnsi" w:hAnsiTheme="minorHAnsi"/>
          <w:color w:val="000000"/>
          <w:lang w:val="en-US"/>
        </w:rPr>
        <w:t xml:space="preserve"> Z</w:t>
      </w:r>
      <w:r w:rsidR="008C1FA6" w:rsidRPr="005A464E">
        <w:rPr>
          <w:rFonts w:asciiTheme="minorHAnsi" w:hAnsiTheme="minorHAnsi"/>
          <w:color w:val="000000"/>
          <w:lang w:val="en-US"/>
        </w:rPr>
        <w:t>.</w:t>
      </w:r>
      <w:r w:rsidRPr="005A464E">
        <w:rPr>
          <w:rFonts w:asciiTheme="minorHAnsi" w:hAnsiTheme="minorHAnsi"/>
          <w:color w:val="000000"/>
          <w:lang w:val="en-US"/>
        </w:rPr>
        <w:t>, Naeeni</w:t>
      </w:r>
      <w:r w:rsidR="008C1FA6" w:rsidRPr="005A464E">
        <w:rPr>
          <w:rFonts w:asciiTheme="minorHAnsi" w:hAnsiTheme="minorHAnsi"/>
          <w:color w:val="000000"/>
          <w:lang w:val="en-US"/>
        </w:rPr>
        <w:t>,</w:t>
      </w:r>
      <w:r w:rsidRPr="005A464E">
        <w:rPr>
          <w:rFonts w:asciiTheme="minorHAnsi" w:hAnsiTheme="minorHAnsi"/>
          <w:color w:val="000000"/>
          <w:lang w:val="en-US"/>
        </w:rPr>
        <w:t xml:space="preserve"> K</w:t>
      </w:r>
      <w:r w:rsidR="008C1FA6" w:rsidRPr="005A464E">
        <w:rPr>
          <w:rFonts w:asciiTheme="minorHAnsi" w:hAnsiTheme="minorHAnsi"/>
          <w:color w:val="000000"/>
          <w:lang w:val="en-US"/>
        </w:rPr>
        <w:t>.</w:t>
      </w:r>
      <w:r w:rsidRPr="005A464E">
        <w:rPr>
          <w:rFonts w:asciiTheme="minorHAnsi" w:hAnsiTheme="minorHAnsi"/>
          <w:color w:val="000000"/>
          <w:lang w:val="en-US"/>
        </w:rPr>
        <w:t>, Hamzezade</w:t>
      </w:r>
      <w:r w:rsidR="008C1FA6" w:rsidRPr="005A464E">
        <w:rPr>
          <w:rFonts w:asciiTheme="minorHAnsi" w:hAnsiTheme="minorHAnsi"/>
          <w:color w:val="000000"/>
          <w:lang w:val="en-US"/>
        </w:rPr>
        <w:t>,</w:t>
      </w:r>
      <w:r w:rsidRPr="005A464E">
        <w:rPr>
          <w:rFonts w:asciiTheme="minorHAnsi" w:hAnsiTheme="minorHAnsi"/>
          <w:color w:val="000000"/>
          <w:lang w:val="en-US"/>
        </w:rPr>
        <w:t xml:space="preserve"> M</w:t>
      </w:r>
      <w:r w:rsidR="008C1FA6" w:rsidRPr="005A464E">
        <w:rPr>
          <w:rFonts w:asciiTheme="minorHAnsi" w:hAnsiTheme="minorHAnsi"/>
          <w:color w:val="000000"/>
          <w:lang w:val="en-US"/>
        </w:rPr>
        <w:t>.</w:t>
      </w:r>
      <w:r w:rsidRPr="005A464E">
        <w:rPr>
          <w:rFonts w:asciiTheme="minorHAnsi" w:hAnsiTheme="minorHAnsi"/>
          <w:color w:val="000000"/>
          <w:lang w:val="en-US"/>
        </w:rPr>
        <w:t>, Arasteh</w:t>
      </w:r>
      <w:r w:rsidR="008C1FA6" w:rsidRPr="005A464E">
        <w:rPr>
          <w:rFonts w:asciiTheme="minorHAnsi" w:hAnsiTheme="minorHAnsi"/>
          <w:color w:val="000000"/>
          <w:lang w:val="en-US"/>
        </w:rPr>
        <w:t>,</w:t>
      </w:r>
      <w:r w:rsidRPr="005A464E">
        <w:rPr>
          <w:rFonts w:asciiTheme="minorHAnsi" w:hAnsiTheme="minorHAnsi"/>
          <w:color w:val="000000"/>
          <w:lang w:val="en-US"/>
        </w:rPr>
        <w:t xml:space="preserve"> A. (2013). The effects of nutrition education on mental health of the hemodialysis patients in Maragheh, East-Azerbaijan, Iran. </w:t>
      </w:r>
      <w:r w:rsidRPr="005A464E">
        <w:rPr>
          <w:rFonts w:asciiTheme="minorHAnsi" w:hAnsiTheme="minorHAnsi"/>
          <w:i/>
          <w:color w:val="000000"/>
          <w:lang w:val="en-US"/>
        </w:rPr>
        <w:t>Life Science Journal,</w:t>
      </w:r>
      <w:r w:rsidRPr="005A464E">
        <w:rPr>
          <w:rFonts w:asciiTheme="minorHAnsi" w:hAnsiTheme="minorHAnsi"/>
          <w:color w:val="000000"/>
          <w:lang w:val="en-US"/>
        </w:rPr>
        <w:t xml:space="preserve"> </w:t>
      </w:r>
      <w:r w:rsidRPr="003104C9">
        <w:rPr>
          <w:rFonts w:asciiTheme="minorHAnsi" w:hAnsiTheme="minorHAnsi"/>
          <w:i/>
          <w:color w:val="000000"/>
          <w:lang w:val="en-US"/>
        </w:rPr>
        <w:t>10:</w:t>
      </w:r>
      <w:r w:rsidRPr="005A464E">
        <w:rPr>
          <w:rFonts w:asciiTheme="minorHAnsi" w:hAnsiTheme="minorHAnsi"/>
          <w:color w:val="000000"/>
          <w:lang w:val="en-US"/>
        </w:rPr>
        <w:t>382-</w:t>
      </w:r>
      <w:r w:rsidR="003104C9">
        <w:rPr>
          <w:rFonts w:asciiTheme="minorHAnsi" w:hAnsiTheme="minorHAnsi"/>
          <w:color w:val="000000"/>
          <w:lang w:val="en-US"/>
        </w:rPr>
        <w:t>38</w:t>
      </w:r>
      <w:r w:rsidRPr="005A464E">
        <w:rPr>
          <w:rFonts w:asciiTheme="minorHAnsi" w:hAnsiTheme="minorHAnsi"/>
          <w:color w:val="000000"/>
          <w:lang w:val="en-US"/>
        </w:rPr>
        <w:t>6</w:t>
      </w:r>
      <w:r w:rsidR="008C1FA6" w:rsidRPr="005A464E">
        <w:rPr>
          <w:rFonts w:asciiTheme="minorHAnsi" w:hAnsiTheme="minorHAnsi"/>
          <w:color w:val="000000"/>
          <w:lang w:val="en-US"/>
        </w:rPr>
        <w:t>.</w:t>
      </w:r>
    </w:p>
    <w:p w:rsidR="00F70480" w:rsidRPr="005A464E" w:rsidRDefault="008C1FA6" w:rsidP="005A464E">
      <w:pPr>
        <w:pStyle w:val="Web"/>
        <w:spacing w:after="180" w:line="360" w:lineRule="auto"/>
        <w:ind w:left="450" w:hanging="450"/>
        <w:jc w:val="both"/>
        <w:rPr>
          <w:rFonts w:asciiTheme="minorHAnsi" w:hAnsiTheme="minorHAnsi" w:cstheme="minorHAnsi"/>
          <w:color w:val="000000"/>
          <w:lang w:val="en-US"/>
        </w:rPr>
      </w:pPr>
      <w:r w:rsidRPr="005A464E">
        <w:rPr>
          <w:rFonts w:asciiTheme="minorHAnsi" w:hAnsiTheme="minorHAnsi" w:cstheme="minorHAnsi"/>
          <w:lang w:val="en-US"/>
        </w:rPr>
        <w:t>Moua, M.</w:t>
      </w:r>
      <w:r w:rsidR="00F70480" w:rsidRPr="005A464E">
        <w:rPr>
          <w:rFonts w:asciiTheme="minorHAnsi" w:hAnsiTheme="minorHAnsi" w:cstheme="minorHAnsi"/>
          <w:lang w:val="en-US"/>
        </w:rPr>
        <w:t>N. (2003). Endstage. In K. Culhane-Pera, D. Vawter, P. Xiong, B. Babbitt, &amp; 135 M. Solberg (Eds.), Healing by heart. Clinical and ethical case stories ofHmong families and Western providers (pp. 190-197). Nashville: Vanderbilt University Press.</w:t>
      </w:r>
    </w:p>
    <w:p w:rsidR="003C410F" w:rsidRPr="005A464E" w:rsidRDefault="003C410F" w:rsidP="005A464E">
      <w:pPr>
        <w:pStyle w:val="Web"/>
        <w:spacing w:after="180" w:line="360" w:lineRule="auto"/>
        <w:ind w:left="450" w:hanging="450"/>
        <w:jc w:val="both"/>
        <w:rPr>
          <w:rFonts w:asciiTheme="minorHAnsi" w:hAnsiTheme="minorHAnsi" w:cstheme="minorHAnsi"/>
          <w:color w:val="000000"/>
          <w:lang w:val="en-US"/>
        </w:rPr>
      </w:pPr>
      <w:r w:rsidRPr="005A464E">
        <w:rPr>
          <w:rFonts w:asciiTheme="minorHAnsi" w:hAnsiTheme="minorHAnsi" w:cstheme="minorHAnsi"/>
          <w:color w:val="000000"/>
          <w:lang w:val="en-US"/>
        </w:rPr>
        <w:t xml:space="preserve">Mota-Anaya, E., Yumpo-Cárdenas, D., Alva-Bravo, E., Wright-Nunes, J., &amp; Mayta-Tristán, P. (2016). Spanish version of the Kidney Disease Knowledge Survey (KiKS) in Peru: </w:t>
      </w:r>
      <w:r w:rsidRPr="005A464E">
        <w:rPr>
          <w:rFonts w:asciiTheme="minorHAnsi" w:hAnsiTheme="minorHAnsi" w:cstheme="minorHAnsi"/>
          <w:lang w:val="en-US"/>
        </w:rPr>
        <w:t>cross-cultural adaptation and validation.</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Medwave</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3104C9">
        <w:rPr>
          <w:rFonts w:asciiTheme="minorHAnsi" w:hAnsiTheme="minorHAnsi" w:cstheme="minorHAnsi"/>
          <w:i/>
          <w:iCs/>
          <w:lang w:val="en-US"/>
        </w:rPr>
        <w:t>16</w:t>
      </w:r>
      <w:r w:rsidRPr="003104C9">
        <w:rPr>
          <w:rFonts w:asciiTheme="minorHAnsi" w:hAnsiTheme="minorHAnsi" w:cstheme="minorHAnsi"/>
          <w:i/>
          <w:lang w:val="en-US"/>
        </w:rPr>
        <w:t>,</w:t>
      </w:r>
      <w:r w:rsidRPr="005A464E">
        <w:rPr>
          <w:rFonts w:asciiTheme="minorHAnsi" w:hAnsiTheme="minorHAnsi" w:cstheme="minorHAnsi"/>
          <w:lang w:val="en-US"/>
        </w:rPr>
        <w:t xml:space="preserve"> e6510-e6510. </w:t>
      </w:r>
      <w:hyperlink r:id="rId295"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.org/10.5867/medwave.2016.07.6510</w:t>
        </w:r>
      </w:hyperlink>
      <w:r w:rsidR="008C1FA6" w:rsidRPr="005A464E">
        <w:rPr>
          <w:rFonts w:asciiTheme="minorHAnsi" w:hAnsiTheme="minorHAnsi"/>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color w:val="000000"/>
          <w:lang w:val="en-US"/>
        </w:rPr>
      </w:pPr>
      <w:r w:rsidRPr="005A464E">
        <w:rPr>
          <w:rFonts w:asciiTheme="minorHAnsi" w:hAnsiTheme="minorHAnsi" w:cstheme="minorHAnsi"/>
          <w:color w:val="000000"/>
          <w:lang w:val="en-US"/>
        </w:rPr>
        <w:t>Mozes, B., Shabtai, E., &amp; Zucker, D. (1997). Differences in quality of life among patients receiving dialysis replacement therapy at seven medical centers.</w:t>
      </w:r>
      <w:r w:rsidR="0078495A">
        <w:rPr>
          <w:rFonts w:asciiTheme="minorHAnsi" w:hAnsiTheme="minorHAnsi" w:cstheme="minorHAnsi"/>
          <w:color w:val="000000"/>
          <w:lang w:val="en-US"/>
        </w:rPr>
        <w:t xml:space="preserve"> </w:t>
      </w:r>
      <w:r w:rsidR="005766B3" w:rsidRPr="005A464E">
        <w:rPr>
          <w:rFonts w:asciiTheme="minorHAnsi" w:hAnsiTheme="minorHAnsi" w:cstheme="minorHAnsi"/>
          <w:i/>
          <w:iCs/>
          <w:color w:val="000000"/>
          <w:lang w:val="en-US"/>
        </w:rPr>
        <w:t>Journal o</w:t>
      </w:r>
      <w:r w:rsidRPr="005A464E">
        <w:rPr>
          <w:rFonts w:asciiTheme="minorHAnsi" w:hAnsiTheme="minorHAnsi" w:cstheme="minorHAnsi"/>
          <w:i/>
          <w:iCs/>
          <w:color w:val="000000"/>
          <w:lang w:val="en-US"/>
        </w:rPr>
        <w:t>f Clinical Epidemiology</w:t>
      </w:r>
      <w:r w:rsidRPr="005A464E">
        <w:rPr>
          <w:rFonts w:asciiTheme="minorHAnsi" w:hAnsiTheme="minorHAnsi" w:cstheme="minorHAnsi"/>
          <w:color w:val="000000"/>
          <w:lang w:val="en-US"/>
        </w:rPr>
        <w:t>,</w:t>
      </w:r>
      <w:r w:rsidR="0078495A">
        <w:rPr>
          <w:rStyle w:val="apple-converted-space"/>
          <w:rFonts w:asciiTheme="minorHAnsi" w:hAnsiTheme="minorHAnsi" w:cstheme="minorHAnsi"/>
          <w:color w:val="000000"/>
          <w:lang w:val="en-US"/>
        </w:rPr>
        <w:t xml:space="preserve"> </w:t>
      </w:r>
      <w:r w:rsidRPr="003104C9">
        <w:rPr>
          <w:rFonts w:asciiTheme="minorHAnsi" w:hAnsiTheme="minorHAnsi" w:cstheme="minorHAnsi"/>
          <w:i/>
          <w:iCs/>
          <w:color w:val="000000"/>
          <w:lang w:val="en-US"/>
        </w:rPr>
        <w:t>50</w:t>
      </w:r>
      <w:r w:rsidRPr="005A464E">
        <w:rPr>
          <w:rFonts w:asciiTheme="minorHAnsi" w:hAnsiTheme="minorHAnsi" w:cstheme="minorHAnsi"/>
          <w:color w:val="000000"/>
          <w:lang w:val="en-US"/>
        </w:rPr>
        <w:t>, 1035-1043. http://dx.</w:t>
      </w:r>
      <w:r w:rsidR="00292B29" w:rsidRPr="005A464E">
        <w:rPr>
          <w:rFonts w:asciiTheme="minorHAnsi" w:hAnsiTheme="minorHAnsi" w:cstheme="minorHAnsi"/>
          <w:color w:val="000000"/>
          <w:lang w:val="en-US"/>
        </w:rPr>
        <w:t>DOI</w:t>
      </w:r>
      <w:r w:rsidRPr="005A464E">
        <w:rPr>
          <w:rFonts w:asciiTheme="minorHAnsi" w:hAnsiTheme="minorHAnsi" w:cstheme="minorHAnsi"/>
          <w:color w:val="000000"/>
          <w:lang w:val="en-US"/>
        </w:rPr>
        <w:t>.org/10.1016/s0895-4356(97)00127-3</w:t>
      </w:r>
      <w:r w:rsidR="008C1FA6" w:rsidRPr="005A464E">
        <w:rPr>
          <w:rFonts w:asciiTheme="minorHAnsi" w:hAnsiTheme="minorHAnsi" w:cstheme="minorHAnsi"/>
          <w:color w:val="000000"/>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color w:val="000000"/>
          <w:lang w:val="en-US"/>
        </w:rPr>
      </w:pPr>
      <w:r w:rsidRPr="005A464E">
        <w:rPr>
          <w:rFonts w:asciiTheme="minorHAnsi" w:hAnsiTheme="minorHAnsi" w:cstheme="minorHAnsi"/>
          <w:color w:val="000000"/>
          <w:lang w:val="en-US"/>
        </w:rPr>
        <w:t>Mucsi, I., Molnar, M., Rethelyi</w:t>
      </w:r>
      <w:r w:rsidR="008C1FA6" w:rsidRPr="005A464E">
        <w:rPr>
          <w:rFonts w:asciiTheme="minorHAnsi" w:hAnsiTheme="minorHAnsi" w:cstheme="minorHAnsi"/>
          <w:color w:val="000000"/>
          <w:lang w:val="en-US"/>
        </w:rPr>
        <w:t>, J., Vamos, E., Csepanyi, G.,</w:t>
      </w:r>
      <w:r w:rsidRPr="005A464E">
        <w:rPr>
          <w:rFonts w:asciiTheme="minorHAnsi" w:hAnsiTheme="minorHAnsi" w:cstheme="minorHAnsi"/>
          <w:color w:val="000000"/>
          <w:lang w:val="en-US"/>
        </w:rPr>
        <w:t xml:space="preserve"> Tompa, G.</w:t>
      </w:r>
      <w:r w:rsidR="008C1FA6" w:rsidRPr="005A464E">
        <w:rPr>
          <w:rFonts w:asciiTheme="minorHAnsi" w:hAnsiTheme="minorHAnsi" w:cstheme="minorHAnsi"/>
          <w:color w:val="000000"/>
          <w:lang w:val="en-US"/>
        </w:rPr>
        <w:t>,</w:t>
      </w:r>
      <w:r w:rsidR="008C1FA6" w:rsidRPr="005A464E">
        <w:rPr>
          <w:rFonts w:asciiTheme="minorHAnsi" w:hAnsiTheme="minorHAnsi" w:cs="Arial"/>
          <w:color w:val="000000"/>
          <w:shd w:val="clear" w:color="auto" w:fill="FFFFFF"/>
          <w:lang w:val="en-US"/>
        </w:rPr>
        <w:t xml:space="preserve"> </w:t>
      </w:r>
      <w:r w:rsidR="00202084">
        <w:rPr>
          <w:rFonts w:asciiTheme="minorHAnsi" w:hAnsiTheme="minorHAnsi" w:cs="Arial"/>
          <w:color w:val="000000"/>
          <w:shd w:val="clear" w:color="auto" w:fill="FFFFFF"/>
          <w:lang w:val="en-US"/>
        </w:rPr>
        <w:t>… &amp;</w:t>
      </w:r>
      <w:r w:rsidR="008C1FA6" w:rsidRPr="005A464E">
        <w:rPr>
          <w:rFonts w:asciiTheme="minorHAnsi" w:hAnsiTheme="minorHAnsi" w:cs="Arial"/>
          <w:shd w:val="clear" w:color="auto" w:fill="FFFFFF"/>
          <w:lang w:val="en-US"/>
        </w:rPr>
        <w:t> </w:t>
      </w:r>
      <w:hyperlink r:id="rId296" w:history="1">
        <w:r w:rsidR="008C1FA6" w:rsidRPr="005A464E">
          <w:rPr>
            <w:rStyle w:val="-"/>
            <w:rFonts w:asciiTheme="minorHAnsi" w:hAnsiTheme="minorHAnsi" w:cs="Arial"/>
            <w:color w:val="auto"/>
            <w:u w:val="none"/>
            <w:shd w:val="clear" w:color="auto" w:fill="FFFFFF"/>
            <w:lang w:val="en-US"/>
          </w:rPr>
          <w:t>Novak, M</w:t>
        </w:r>
      </w:hyperlink>
      <w:r w:rsidR="008C1FA6" w:rsidRPr="005A464E">
        <w:rPr>
          <w:rFonts w:asciiTheme="minorHAnsi" w:hAnsiTheme="minorHAnsi" w:cs="Arial"/>
          <w:shd w:val="clear" w:color="auto" w:fill="FFFFFF"/>
          <w:lang w:val="en-US"/>
        </w:rPr>
        <w:t>.</w:t>
      </w:r>
      <w:r w:rsidRPr="005A464E">
        <w:rPr>
          <w:rFonts w:asciiTheme="minorHAnsi" w:hAnsiTheme="minorHAnsi" w:cstheme="minorHAnsi"/>
          <w:lang w:val="en-US"/>
        </w:rPr>
        <w:t xml:space="preserve"> (</w:t>
      </w:r>
      <w:r w:rsidRPr="005A464E">
        <w:rPr>
          <w:rFonts w:asciiTheme="minorHAnsi" w:hAnsiTheme="minorHAnsi" w:cstheme="minorHAnsi"/>
          <w:color w:val="000000"/>
          <w:lang w:val="en-US"/>
        </w:rPr>
        <w:t>2004). Sleep disorders and illness intrusiveness in patients on chronic dialysis.</w:t>
      </w:r>
      <w:r w:rsidR="0078495A">
        <w:rPr>
          <w:rStyle w:val="apple-converted-space"/>
          <w:rFonts w:asciiTheme="minorHAnsi" w:hAnsiTheme="minorHAnsi" w:cstheme="minorHAnsi"/>
          <w:color w:val="000000"/>
          <w:lang w:val="en-US"/>
        </w:rPr>
        <w:t xml:space="preserve"> </w:t>
      </w:r>
      <w:r w:rsidRPr="005A464E">
        <w:rPr>
          <w:rFonts w:asciiTheme="minorHAnsi" w:hAnsiTheme="minorHAnsi" w:cstheme="minorHAnsi"/>
          <w:i/>
          <w:iCs/>
          <w:color w:val="000000"/>
          <w:lang w:val="en-US"/>
        </w:rPr>
        <w:t>Nephrology Dialysis Transplantation</w:t>
      </w:r>
      <w:r w:rsidRPr="005A464E">
        <w:rPr>
          <w:rFonts w:asciiTheme="minorHAnsi" w:hAnsiTheme="minorHAnsi" w:cstheme="minorHAnsi"/>
          <w:color w:val="000000"/>
          <w:lang w:val="en-US"/>
        </w:rPr>
        <w:t>,</w:t>
      </w:r>
      <w:r w:rsidRPr="005A464E">
        <w:rPr>
          <w:rStyle w:val="apple-converted-space"/>
          <w:rFonts w:asciiTheme="minorHAnsi" w:hAnsiTheme="minorHAnsi" w:cstheme="minorHAnsi"/>
          <w:color w:val="000000"/>
          <w:lang w:val="en-US"/>
        </w:rPr>
        <w:t> </w:t>
      </w:r>
      <w:r w:rsidRPr="003104C9">
        <w:rPr>
          <w:rFonts w:asciiTheme="minorHAnsi" w:hAnsiTheme="minorHAnsi" w:cstheme="minorHAnsi"/>
          <w:i/>
          <w:iCs/>
          <w:color w:val="000000"/>
          <w:lang w:val="en-US"/>
        </w:rPr>
        <w:t>19</w:t>
      </w:r>
      <w:r w:rsidR="003104C9">
        <w:rPr>
          <w:rFonts w:asciiTheme="minorHAnsi" w:hAnsiTheme="minorHAnsi" w:cstheme="minorHAnsi"/>
          <w:color w:val="000000"/>
          <w:lang w:val="en-US"/>
        </w:rPr>
        <w:t xml:space="preserve">, </w:t>
      </w:r>
      <w:r w:rsidRPr="005A464E">
        <w:rPr>
          <w:rFonts w:asciiTheme="minorHAnsi" w:hAnsiTheme="minorHAnsi" w:cstheme="minorHAnsi"/>
          <w:color w:val="000000"/>
          <w:lang w:val="en-US"/>
        </w:rPr>
        <w:t>1815-1822. http://dx.</w:t>
      </w:r>
      <w:r w:rsidR="00292B29" w:rsidRPr="005A464E">
        <w:rPr>
          <w:rFonts w:asciiTheme="minorHAnsi" w:hAnsiTheme="minorHAnsi" w:cstheme="minorHAnsi"/>
          <w:color w:val="000000"/>
          <w:lang w:val="en-US"/>
        </w:rPr>
        <w:t>DOI</w:t>
      </w:r>
      <w:r w:rsidRPr="005A464E">
        <w:rPr>
          <w:rFonts w:asciiTheme="minorHAnsi" w:hAnsiTheme="minorHAnsi" w:cstheme="minorHAnsi"/>
          <w:color w:val="000000"/>
          <w:lang w:val="en-US"/>
        </w:rPr>
        <w:t>.org/10.1093/ndt/gfh130</w:t>
      </w:r>
      <w:r w:rsidR="008C1FA6" w:rsidRPr="005A464E">
        <w:rPr>
          <w:rFonts w:asciiTheme="minorHAnsi" w:hAnsiTheme="minorHAnsi" w:cstheme="minorHAnsi"/>
          <w:color w:val="000000"/>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color w:val="000000"/>
          <w:lang w:val="en-US"/>
        </w:rPr>
      </w:pPr>
      <w:r w:rsidRPr="005A464E">
        <w:rPr>
          <w:rFonts w:asciiTheme="minorHAnsi" w:hAnsiTheme="minorHAnsi" w:cstheme="minorHAnsi"/>
          <w:color w:val="000000"/>
          <w:lang w:val="en-US"/>
        </w:rPr>
        <w:t xml:space="preserve">Muldoon, M., Barger, S., </w:t>
      </w:r>
      <w:r w:rsidR="008C1FA6" w:rsidRPr="005A464E">
        <w:rPr>
          <w:rFonts w:asciiTheme="minorHAnsi" w:hAnsiTheme="minorHAnsi" w:cstheme="minorHAnsi"/>
          <w:color w:val="000000"/>
          <w:lang w:val="en-US"/>
        </w:rPr>
        <w:t xml:space="preserve">Flory, J., &amp; Manuck, S. (1998). </w:t>
      </w:r>
      <w:r w:rsidRPr="005A464E">
        <w:rPr>
          <w:rFonts w:asciiTheme="minorHAnsi" w:hAnsiTheme="minorHAnsi" w:cstheme="minorHAnsi"/>
          <w:color w:val="000000"/>
          <w:lang w:val="en-US"/>
        </w:rPr>
        <w:t>What are quality of life measurements measuring?</w:t>
      </w:r>
      <w:r w:rsidR="005766B3" w:rsidRPr="005A464E">
        <w:rPr>
          <w:rFonts w:asciiTheme="minorHAnsi" w:hAnsiTheme="minorHAnsi" w:cstheme="minorHAnsi"/>
          <w:color w:val="000000"/>
          <w:lang w:val="en-US"/>
        </w:rPr>
        <w:t xml:space="preserve"> </w:t>
      </w:r>
      <w:r w:rsidRPr="005A464E">
        <w:rPr>
          <w:rFonts w:asciiTheme="minorHAnsi" w:hAnsiTheme="minorHAnsi" w:cstheme="minorHAnsi"/>
          <w:i/>
          <w:iCs/>
          <w:color w:val="000000"/>
          <w:lang w:val="en-US"/>
        </w:rPr>
        <w:t>BMJ</w:t>
      </w:r>
      <w:r w:rsidRPr="005A464E">
        <w:rPr>
          <w:rFonts w:asciiTheme="minorHAnsi" w:hAnsiTheme="minorHAnsi" w:cstheme="minorHAnsi"/>
          <w:color w:val="000000"/>
          <w:lang w:val="en-US"/>
        </w:rPr>
        <w:t>,</w:t>
      </w:r>
      <w:r w:rsidR="005766B3" w:rsidRPr="005A464E">
        <w:rPr>
          <w:rStyle w:val="apple-converted-space"/>
          <w:rFonts w:asciiTheme="minorHAnsi" w:hAnsiTheme="minorHAnsi" w:cstheme="minorHAnsi"/>
          <w:color w:val="000000"/>
          <w:lang w:val="en-US"/>
        </w:rPr>
        <w:t xml:space="preserve"> </w:t>
      </w:r>
      <w:r w:rsidRPr="003104C9">
        <w:rPr>
          <w:rFonts w:asciiTheme="minorHAnsi" w:hAnsiTheme="minorHAnsi" w:cstheme="minorHAnsi"/>
          <w:i/>
          <w:iCs/>
          <w:color w:val="000000"/>
          <w:lang w:val="en-US"/>
        </w:rPr>
        <w:t>316</w:t>
      </w:r>
      <w:r w:rsidR="005766B3" w:rsidRPr="003104C9">
        <w:rPr>
          <w:rFonts w:asciiTheme="minorHAnsi" w:hAnsiTheme="minorHAnsi" w:cstheme="minorHAnsi"/>
          <w:i/>
          <w:color w:val="000000"/>
          <w:lang w:val="en-US"/>
        </w:rPr>
        <w:t>,</w:t>
      </w:r>
      <w:r w:rsidR="005766B3" w:rsidRPr="005A464E">
        <w:rPr>
          <w:rFonts w:asciiTheme="minorHAnsi" w:hAnsiTheme="minorHAnsi" w:cstheme="minorHAnsi"/>
          <w:color w:val="000000"/>
          <w:lang w:val="en-US"/>
        </w:rPr>
        <w:t xml:space="preserve"> 542-545. </w:t>
      </w:r>
      <w:r w:rsidRPr="005A464E">
        <w:rPr>
          <w:rFonts w:asciiTheme="minorHAnsi" w:hAnsiTheme="minorHAnsi" w:cstheme="minorHAnsi"/>
          <w:color w:val="000000"/>
          <w:lang w:val="en-US"/>
        </w:rPr>
        <w:t>http://dx.</w:t>
      </w:r>
      <w:r w:rsidR="00292B29" w:rsidRPr="005A464E">
        <w:rPr>
          <w:rFonts w:asciiTheme="minorHAnsi" w:hAnsiTheme="minorHAnsi" w:cstheme="minorHAnsi"/>
          <w:color w:val="000000"/>
          <w:lang w:val="en-US"/>
        </w:rPr>
        <w:t>DOI</w:t>
      </w:r>
      <w:r w:rsidRPr="005A464E">
        <w:rPr>
          <w:rFonts w:asciiTheme="minorHAnsi" w:hAnsiTheme="minorHAnsi" w:cstheme="minorHAnsi"/>
          <w:color w:val="000000"/>
          <w:lang w:val="en-US"/>
        </w:rPr>
        <w:t>.org/10.1136/bmj.316.7130.542</w:t>
      </w:r>
      <w:r w:rsidR="008C1FA6" w:rsidRPr="005A464E">
        <w:rPr>
          <w:rFonts w:asciiTheme="minorHAnsi" w:hAnsiTheme="minorHAnsi" w:cstheme="minorHAnsi"/>
          <w:color w:val="000000"/>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color w:val="000000"/>
          <w:lang w:val="en-US"/>
        </w:rPr>
      </w:pPr>
      <w:r w:rsidRPr="005A464E">
        <w:rPr>
          <w:rFonts w:asciiTheme="minorHAnsi" w:hAnsiTheme="minorHAnsi" w:cstheme="minorHAnsi"/>
          <w:color w:val="000000"/>
          <w:lang w:val="en-US"/>
        </w:rPr>
        <w:t>Murphy, N., &amp; Canales, M. (2001). A critical analysis of compliance.</w:t>
      </w:r>
      <w:r w:rsidRPr="005A464E">
        <w:rPr>
          <w:rStyle w:val="apple-converted-space"/>
          <w:rFonts w:asciiTheme="minorHAnsi" w:hAnsiTheme="minorHAnsi" w:cstheme="minorHAnsi"/>
          <w:color w:val="000000"/>
          <w:lang w:val="en-US"/>
        </w:rPr>
        <w:t> </w:t>
      </w:r>
      <w:r w:rsidRPr="005A464E">
        <w:rPr>
          <w:rFonts w:asciiTheme="minorHAnsi" w:hAnsiTheme="minorHAnsi" w:cstheme="minorHAnsi"/>
          <w:i/>
          <w:iCs/>
          <w:color w:val="000000"/>
          <w:lang w:val="en-US"/>
        </w:rPr>
        <w:t>Nursing Inquiry</w:t>
      </w:r>
      <w:r w:rsidRPr="005A464E">
        <w:rPr>
          <w:rFonts w:asciiTheme="minorHAnsi" w:hAnsiTheme="minorHAnsi" w:cstheme="minorHAnsi"/>
          <w:color w:val="000000"/>
          <w:lang w:val="en-US"/>
        </w:rPr>
        <w:t>,</w:t>
      </w:r>
      <w:r w:rsidRPr="005A464E">
        <w:rPr>
          <w:rStyle w:val="apple-converted-space"/>
          <w:rFonts w:asciiTheme="minorHAnsi" w:hAnsiTheme="minorHAnsi" w:cstheme="minorHAnsi"/>
          <w:color w:val="000000"/>
          <w:lang w:val="en-US"/>
        </w:rPr>
        <w:t> </w:t>
      </w:r>
      <w:r w:rsidRPr="003104C9">
        <w:rPr>
          <w:rFonts w:asciiTheme="minorHAnsi" w:hAnsiTheme="minorHAnsi" w:cstheme="minorHAnsi"/>
          <w:i/>
          <w:iCs/>
          <w:color w:val="000000"/>
          <w:lang w:val="en-US"/>
        </w:rPr>
        <w:t>8</w:t>
      </w:r>
      <w:r w:rsidRPr="003104C9">
        <w:rPr>
          <w:rFonts w:asciiTheme="minorHAnsi" w:hAnsiTheme="minorHAnsi" w:cstheme="minorHAnsi"/>
          <w:i/>
          <w:color w:val="000000"/>
          <w:lang w:val="en-US"/>
        </w:rPr>
        <w:t>,</w:t>
      </w:r>
      <w:r w:rsidRPr="005A464E">
        <w:rPr>
          <w:rFonts w:asciiTheme="minorHAnsi" w:hAnsiTheme="minorHAnsi" w:cstheme="minorHAnsi"/>
          <w:color w:val="000000"/>
          <w:lang w:val="en-US"/>
        </w:rPr>
        <w:t xml:space="preserve"> 173-181. http://dx.</w:t>
      </w:r>
      <w:r w:rsidR="00292B29" w:rsidRPr="005A464E">
        <w:rPr>
          <w:rFonts w:asciiTheme="minorHAnsi" w:hAnsiTheme="minorHAnsi" w:cstheme="minorHAnsi"/>
          <w:color w:val="000000"/>
          <w:lang w:val="en-US"/>
        </w:rPr>
        <w:t>DOI</w:t>
      </w:r>
      <w:r w:rsidRPr="005A464E">
        <w:rPr>
          <w:rFonts w:asciiTheme="minorHAnsi" w:hAnsiTheme="minorHAnsi" w:cstheme="minorHAnsi"/>
          <w:color w:val="000000"/>
          <w:lang w:val="en-US"/>
        </w:rPr>
        <w:t>.org/10.1046/j.1440-1800.2001.00106.x</w:t>
      </w:r>
      <w:r w:rsidR="008C1FA6" w:rsidRPr="005A464E">
        <w:rPr>
          <w:rFonts w:asciiTheme="minorHAnsi" w:hAnsiTheme="minorHAnsi" w:cstheme="minorHAnsi"/>
          <w:color w:val="000000"/>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color w:val="000000"/>
          <w:lang w:val="en-US"/>
        </w:rPr>
      </w:pPr>
      <w:r w:rsidRPr="005A464E">
        <w:rPr>
          <w:rFonts w:asciiTheme="minorHAnsi" w:hAnsiTheme="minorHAnsi" w:cstheme="minorHAnsi"/>
          <w:color w:val="000000"/>
          <w:lang w:val="en-US"/>
        </w:rPr>
        <w:t xml:space="preserve">Murray, A. (2008). Cognitive Impairment in </w:t>
      </w:r>
      <w:r w:rsidR="005766B3" w:rsidRPr="005A464E">
        <w:rPr>
          <w:rFonts w:asciiTheme="minorHAnsi" w:hAnsiTheme="minorHAnsi" w:cstheme="minorHAnsi"/>
          <w:color w:val="000000"/>
          <w:lang w:val="en-US"/>
        </w:rPr>
        <w:t>the aging dialysis and chronic kidney disease populations</w:t>
      </w:r>
      <w:r w:rsidRPr="005A464E">
        <w:rPr>
          <w:rFonts w:asciiTheme="minorHAnsi" w:hAnsiTheme="minorHAnsi" w:cstheme="minorHAnsi"/>
          <w:color w:val="000000"/>
          <w:lang w:val="en-US"/>
        </w:rPr>
        <w:t xml:space="preserve">: An </w:t>
      </w:r>
      <w:r w:rsidR="008C1FA6" w:rsidRPr="005A464E">
        <w:rPr>
          <w:rFonts w:asciiTheme="minorHAnsi" w:hAnsiTheme="minorHAnsi" w:cstheme="minorHAnsi"/>
          <w:color w:val="000000"/>
          <w:lang w:val="en-US"/>
        </w:rPr>
        <w:t>occult b</w:t>
      </w:r>
      <w:r w:rsidRPr="005A464E">
        <w:rPr>
          <w:rFonts w:asciiTheme="minorHAnsi" w:hAnsiTheme="minorHAnsi" w:cstheme="minorHAnsi"/>
          <w:color w:val="000000"/>
          <w:lang w:val="en-US"/>
        </w:rPr>
        <w:t>urden.</w:t>
      </w:r>
      <w:r w:rsidRPr="005A464E">
        <w:rPr>
          <w:rStyle w:val="apple-converted-space"/>
          <w:rFonts w:asciiTheme="minorHAnsi" w:hAnsiTheme="minorHAnsi" w:cstheme="minorHAnsi"/>
          <w:color w:val="000000"/>
          <w:lang w:val="en-US"/>
        </w:rPr>
        <w:t> </w:t>
      </w:r>
      <w:r w:rsidR="005766B3" w:rsidRPr="005A464E">
        <w:rPr>
          <w:rFonts w:asciiTheme="minorHAnsi" w:hAnsiTheme="minorHAnsi" w:cstheme="minorHAnsi"/>
          <w:i/>
          <w:iCs/>
          <w:color w:val="000000"/>
          <w:lang w:val="en-US"/>
        </w:rPr>
        <w:t>Advances i</w:t>
      </w:r>
      <w:r w:rsidRPr="005A464E">
        <w:rPr>
          <w:rFonts w:asciiTheme="minorHAnsi" w:hAnsiTheme="minorHAnsi" w:cstheme="minorHAnsi"/>
          <w:i/>
          <w:iCs/>
          <w:color w:val="000000"/>
          <w:lang w:val="en-US"/>
        </w:rPr>
        <w:t>n Chronic Kidney Disease</w:t>
      </w:r>
      <w:r w:rsidRPr="005A464E">
        <w:rPr>
          <w:rFonts w:asciiTheme="minorHAnsi" w:hAnsiTheme="minorHAnsi" w:cstheme="minorHAnsi"/>
          <w:color w:val="000000"/>
          <w:lang w:val="en-US"/>
        </w:rPr>
        <w:t>,</w:t>
      </w:r>
      <w:r w:rsidRPr="005A464E">
        <w:rPr>
          <w:rStyle w:val="apple-converted-space"/>
          <w:rFonts w:asciiTheme="minorHAnsi" w:hAnsiTheme="minorHAnsi" w:cstheme="minorHAnsi"/>
          <w:color w:val="000000"/>
          <w:lang w:val="en-US"/>
        </w:rPr>
        <w:t> </w:t>
      </w:r>
      <w:r w:rsidRPr="003104C9">
        <w:rPr>
          <w:rFonts w:asciiTheme="minorHAnsi" w:hAnsiTheme="minorHAnsi" w:cstheme="minorHAnsi"/>
          <w:i/>
          <w:iCs/>
          <w:color w:val="000000"/>
          <w:lang w:val="en-US"/>
        </w:rPr>
        <w:t>15</w:t>
      </w:r>
      <w:r w:rsidRPr="005A464E">
        <w:rPr>
          <w:rFonts w:asciiTheme="minorHAnsi" w:hAnsiTheme="minorHAnsi" w:cstheme="minorHAnsi"/>
          <w:color w:val="000000"/>
          <w:lang w:val="en-US"/>
        </w:rPr>
        <w:t>, 123-132. http://dx.</w:t>
      </w:r>
      <w:r w:rsidR="00292B29" w:rsidRPr="005A464E">
        <w:rPr>
          <w:rFonts w:asciiTheme="minorHAnsi" w:hAnsiTheme="minorHAnsi" w:cstheme="minorHAnsi"/>
          <w:color w:val="000000"/>
          <w:lang w:val="en-US"/>
        </w:rPr>
        <w:t>DOI</w:t>
      </w:r>
      <w:r w:rsidRPr="005A464E">
        <w:rPr>
          <w:rFonts w:asciiTheme="minorHAnsi" w:hAnsiTheme="minorHAnsi" w:cstheme="minorHAnsi"/>
          <w:color w:val="000000"/>
          <w:lang w:val="en-US"/>
        </w:rPr>
        <w:t>.org/10.1053/j.ackd.2008.01.010</w:t>
      </w:r>
      <w:r w:rsidR="008C1FA6" w:rsidRPr="005A464E">
        <w:rPr>
          <w:rFonts w:asciiTheme="minorHAnsi" w:hAnsiTheme="minorHAnsi" w:cstheme="minorHAnsi"/>
          <w:color w:val="000000"/>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color w:val="000000"/>
          <w:lang w:val="en-US"/>
        </w:rPr>
      </w:pPr>
      <w:r w:rsidRPr="005A464E">
        <w:rPr>
          <w:rFonts w:asciiTheme="minorHAnsi" w:hAnsiTheme="minorHAnsi" w:cstheme="minorHAnsi"/>
          <w:color w:val="000000"/>
          <w:lang w:val="en-US"/>
        </w:rPr>
        <w:t>Nabolsi, M., Wardam, L., &amp; Al-Halabi, J. (2013). Quality of life, depression, adherence to treatment and illness perception of patients on haemodialysis.</w:t>
      </w:r>
      <w:r w:rsidRPr="005A464E">
        <w:rPr>
          <w:rStyle w:val="apple-converted-space"/>
          <w:rFonts w:asciiTheme="minorHAnsi" w:hAnsiTheme="minorHAnsi" w:cstheme="minorHAnsi"/>
          <w:color w:val="000000"/>
          <w:lang w:val="en-US"/>
        </w:rPr>
        <w:t> </w:t>
      </w:r>
      <w:r w:rsidR="005766B3" w:rsidRPr="005A464E">
        <w:rPr>
          <w:rFonts w:asciiTheme="minorHAnsi" w:hAnsiTheme="minorHAnsi" w:cstheme="minorHAnsi"/>
          <w:i/>
          <w:iCs/>
          <w:color w:val="000000"/>
          <w:lang w:val="en-US"/>
        </w:rPr>
        <w:t>International Journal o</w:t>
      </w:r>
      <w:r w:rsidRPr="005A464E">
        <w:rPr>
          <w:rFonts w:asciiTheme="minorHAnsi" w:hAnsiTheme="minorHAnsi" w:cstheme="minorHAnsi"/>
          <w:i/>
          <w:iCs/>
          <w:color w:val="000000"/>
          <w:lang w:val="en-US"/>
        </w:rPr>
        <w:t>f Nursing Practice</w:t>
      </w:r>
      <w:r w:rsidRPr="005A464E">
        <w:rPr>
          <w:rFonts w:asciiTheme="minorHAnsi" w:hAnsiTheme="minorHAnsi" w:cstheme="minorHAnsi"/>
          <w:color w:val="000000"/>
          <w:lang w:val="en-US"/>
        </w:rPr>
        <w:t>,</w:t>
      </w:r>
      <w:r w:rsidRPr="005A464E">
        <w:rPr>
          <w:rStyle w:val="apple-converted-space"/>
          <w:rFonts w:asciiTheme="minorHAnsi" w:hAnsiTheme="minorHAnsi" w:cstheme="minorHAnsi"/>
          <w:color w:val="000000"/>
          <w:lang w:val="en-US"/>
        </w:rPr>
        <w:t> </w:t>
      </w:r>
      <w:r w:rsidRPr="003104C9">
        <w:rPr>
          <w:rFonts w:asciiTheme="minorHAnsi" w:hAnsiTheme="minorHAnsi" w:cstheme="minorHAnsi"/>
          <w:i/>
          <w:iCs/>
          <w:color w:val="000000"/>
          <w:lang w:val="en-US"/>
        </w:rPr>
        <w:t>21</w:t>
      </w:r>
      <w:r w:rsidRPr="005A464E">
        <w:rPr>
          <w:rFonts w:asciiTheme="minorHAnsi" w:hAnsiTheme="minorHAnsi" w:cstheme="minorHAnsi"/>
          <w:color w:val="000000"/>
          <w:lang w:val="en-US"/>
        </w:rPr>
        <w:t>, 1-1</w:t>
      </w:r>
      <w:r w:rsidRPr="005A464E">
        <w:rPr>
          <w:rFonts w:asciiTheme="minorHAnsi" w:hAnsiTheme="minorHAnsi" w:cstheme="minorHAnsi"/>
          <w:lang w:val="en-US"/>
        </w:rPr>
        <w:t xml:space="preserve">0. </w:t>
      </w:r>
      <w:hyperlink r:id="rId297"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.org/10.1111/ijn.12205</w:t>
        </w:r>
      </w:hyperlink>
      <w:r w:rsidR="008C1FA6" w:rsidRPr="005A464E">
        <w:rPr>
          <w:rFonts w:asciiTheme="minorHAnsi" w:hAnsiTheme="minorHAnsi"/>
          <w:lang w:val="en-US"/>
        </w:rPr>
        <w:t>.</w:t>
      </w:r>
    </w:p>
    <w:p w:rsidR="003C410F" w:rsidRPr="005A464E" w:rsidRDefault="003C410F" w:rsidP="005A464E">
      <w:pPr>
        <w:pStyle w:val="Web"/>
        <w:spacing w:after="180" w:line="360" w:lineRule="auto"/>
        <w:ind w:left="450" w:hanging="450"/>
        <w:jc w:val="both"/>
        <w:rPr>
          <w:rStyle w:val="element-citation"/>
          <w:rFonts w:asciiTheme="minorHAnsi" w:hAnsiTheme="minorHAnsi" w:cstheme="minorHAnsi"/>
          <w:lang w:val="en-US"/>
        </w:rPr>
      </w:pPr>
      <w:r w:rsidRPr="005A464E">
        <w:rPr>
          <w:rStyle w:val="element-citation"/>
          <w:rFonts w:asciiTheme="minorHAnsi" w:hAnsiTheme="minorHAnsi" w:cstheme="minorHAnsi"/>
          <w:lang w:val="en-US"/>
        </w:rPr>
        <w:t>Narimani K. (2009). A study of the effect of self-care training on the hemodialysis patients' quality of life.</w:t>
      </w:r>
      <w:r w:rsidRPr="005A464E">
        <w:rPr>
          <w:rStyle w:val="apple-converted-space"/>
          <w:rFonts w:asciiTheme="minorHAnsi" w:hAnsiTheme="minorHAnsi" w:cstheme="minorHAnsi"/>
          <w:lang w:val="en-US"/>
        </w:rPr>
        <w:t> </w:t>
      </w:r>
      <w:r w:rsidRPr="005A464E">
        <w:rPr>
          <w:rStyle w:val="ref-journal"/>
          <w:rFonts w:asciiTheme="minorHAnsi" w:hAnsiTheme="minorHAnsi" w:cstheme="minorHAnsi"/>
          <w:i/>
          <w:lang w:val="en-US"/>
        </w:rPr>
        <w:t>Journal of Shahed University</w:t>
      </w:r>
      <w:r w:rsidRPr="005A464E">
        <w:rPr>
          <w:rStyle w:val="ref-journal"/>
          <w:rFonts w:asciiTheme="minorHAnsi" w:hAnsiTheme="minorHAnsi" w:cstheme="minorHAnsi"/>
          <w:lang w:val="en-US"/>
        </w:rPr>
        <w:t>,</w:t>
      </w:r>
      <w:r w:rsidRPr="003104C9">
        <w:rPr>
          <w:rStyle w:val="ref-vol"/>
          <w:rFonts w:asciiTheme="minorHAnsi" w:hAnsiTheme="minorHAnsi" w:cstheme="minorHAnsi"/>
          <w:i/>
          <w:lang w:val="en-US"/>
        </w:rPr>
        <w:t xml:space="preserve"> 16</w:t>
      </w:r>
      <w:r w:rsidRPr="005A464E">
        <w:rPr>
          <w:rStyle w:val="element-citation"/>
          <w:rFonts w:asciiTheme="minorHAnsi" w:hAnsiTheme="minorHAnsi" w:cstheme="minorHAnsi"/>
          <w:lang w:val="en-US"/>
        </w:rPr>
        <w:t>, 63–70.</w:t>
      </w:r>
    </w:p>
    <w:p w:rsidR="003C410F" w:rsidRDefault="003C410F" w:rsidP="005A464E">
      <w:pPr>
        <w:pStyle w:val="Web"/>
        <w:spacing w:after="180" w:line="360" w:lineRule="auto"/>
        <w:ind w:left="450" w:hanging="450"/>
        <w:jc w:val="both"/>
        <w:rPr>
          <w:rStyle w:val="element-citation"/>
          <w:rFonts w:asciiTheme="minorHAnsi" w:hAnsiTheme="minorHAnsi" w:cstheme="minorHAnsi"/>
          <w:lang w:val="en-US"/>
        </w:rPr>
      </w:pPr>
      <w:r w:rsidRPr="005A464E">
        <w:rPr>
          <w:rStyle w:val="element-citation"/>
          <w:rFonts w:asciiTheme="minorHAnsi" w:hAnsiTheme="minorHAnsi" w:cstheme="minorHAnsi"/>
          <w:lang w:val="en-US"/>
        </w:rPr>
        <w:t xml:space="preserve">National Kidney Foundation. (2002). K/DOQI clinical practice guidelines for chronic kidney disease: evaluation, classification and stratification. </w:t>
      </w:r>
      <w:r w:rsidRPr="005A464E">
        <w:rPr>
          <w:rStyle w:val="element-citation"/>
          <w:rFonts w:asciiTheme="minorHAnsi" w:hAnsiTheme="minorHAnsi" w:cstheme="minorHAnsi"/>
          <w:i/>
          <w:lang w:val="en-US"/>
        </w:rPr>
        <w:t>American Journal of Kidney Diseases,</w:t>
      </w:r>
      <w:r w:rsidR="003104C9">
        <w:rPr>
          <w:rStyle w:val="element-citation"/>
          <w:rFonts w:asciiTheme="minorHAnsi" w:hAnsiTheme="minorHAnsi" w:cstheme="minorHAnsi"/>
          <w:lang w:val="en-US"/>
        </w:rPr>
        <w:t xml:space="preserve"> </w:t>
      </w:r>
      <w:r w:rsidR="003104C9" w:rsidRPr="003104C9">
        <w:rPr>
          <w:rStyle w:val="element-citation"/>
          <w:rFonts w:asciiTheme="minorHAnsi" w:hAnsiTheme="minorHAnsi" w:cstheme="minorHAnsi"/>
          <w:i/>
          <w:lang w:val="en-US"/>
        </w:rPr>
        <w:t>39,</w:t>
      </w:r>
      <w:r w:rsidRPr="005A464E">
        <w:rPr>
          <w:rStyle w:val="element-citation"/>
          <w:rFonts w:asciiTheme="minorHAnsi" w:hAnsiTheme="minorHAnsi" w:cstheme="minorHAnsi"/>
          <w:lang w:val="en-US"/>
        </w:rPr>
        <w:t xml:space="preserve"> 1-246</w:t>
      </w:r>
      <w:r w:rsidR="008C1FA6" w:rsidRPr="005A464E">
        <w:rPr>
          <w:rStyle w:val="element-citation"/>
          <w:rFonts w:asciiTheme="minorHAnsi" w:hAnsiTheme="minorHAnsi" w:cstheme="minorHAnsi"/>
          <w:lang w:val="en-US"/>
        </w:rPr>
        <w:t>.</w:t>
      </w:r>
    </w:p>
    <w:p w:rsidR="00A56623" w:rsidRPr="00A56623" w:rsidRDefault="00A56623" w:rsidP="005A464E">
      <w:pPr>
        <w:pStyle w:val="Web"/>
        <w:spacing w:after="180" w:line="360" w:lineRule="auto"/>
        <w:ind w:left="450" w:hanging="450"/>
        <w:jc w:val="both"/>
        <w:rPr>
          <w:rStyle w:val="element-citation"/>
          <w:rFonts w:asciiTheme="minorHAnsi" w:hAnsiTheme="minorHAnsi" w:cstheme="minorHAnsi"/>
          <w:lang w:val="en-US"/>
        </w:rPr>
      </w:pPr>
      <w:r w:rsidRPr="00A56623">
        <w:rPr>
          <w:rFonts w:asciiTheme="minorHAnsi" w:hAnsiTheme="minorHAnsi" w:cstheme="minorHAnsi"/>
          <w:lang w:val="en-US"/>
        </w:rPr>
        <w:t>Navaneethan</w:t>
      </w:r>
      <w:r>
        <w:rPr>
          <w:rFonts w:asciiTheme="minorHAnsi" w:hAnsiTheme="minorHAnsi" w:cstheme="minorHAnsi"/>
          <w:lang w:val="en-US"/>
        </w:rPr>
        <w:t>,</w:t>
      </w:r>
      <w:r w:rsidRPr="00A56623">
        <w:rPr>
          <w:rFonts w:asciiTheme="minorHAnsi" w:hAnsiTheme="minorHAnsi" w:cstheme="minorHAnsi"/>
          <w:lang w:val="en-US"/>
        </w:rPr>
        <w:t xml:space="preserve"> S</w:t>
      </w:r>
      <w:r>
        <w:rPr>
          <w:rFonts w:asciiTheme="minorHAnsi" w:hAnsiTheme="minorHAnsi" w:cstheme="minorHAnsi"/>
          <w:lang w:val="en-US"/>
        </w:rPr>
        <w:t>.</w:t>
      </w:r>
      <w:r w:rsidRPr="00A56623">
        <w:rPr>
          <w:rFonts w:asciiTheme="minorHAnsi" w:hAnsiTheme="minorHAnsi" w:cstheme="minorHAnsi"/>
          <w:lang w:val="en-US"/>
        </w:rPr>
        <w:t>D</w:t>
      </w:r>
      <w:r>
        <w:rPr>
          <w:rFonts w:asciiTheme="minorHAnsi" w:hAnsiTheme="minorHAnsi" w:cstheme="minorHAnsi"/>
          <w:lang w:val="en-US"/>
        </w:rPr>
        <w:t>.</w:t>
      </w:r>
      <w:r w:rsidRPr="00A56623">
        <w:rPr>
          <w:rFonts w:asciiTheme="minorHAnsi" w:hAnsiTheme="minorHAnsi" w:cstheme="minorHAnsi"/>
          <w:lang w:val="en-US"/>
        </w:rPr>
        <w:t>, Vecchio</w:t>
      </w:r>
      <w:r>
        <w:rPr>
          <w:rFonts w:asciiTheme="minorHAnsi" w:hAnsiTheme="minorHAnsi" w:cstheme="minorHAnsi"/>
          <w:lang w:val="en-US"/>
        </w:rPr>
        <w:t>,</w:t>
      </w:r>
      <w:r w:rsidRPr="00A56623">
        <w:rPr>
          <w:rFonts w:asciiTheme="minorHAnsi" w:hAnsiTheme="minorHAnsi" w:cstheme="minorHAnsi"/>
          <w:lang w:val="en-US"/>
        </w:rPr>
        <w:t xml:space="preserve"> M</w:t>
      </w:r>
      <w:r>
        <w:rPr>
          <w:rFonts w:asciiTheme="minorHAnsi" w:hAnsiTheme="minorHAnsi" w:cstheme="minorHAnsi"/>
          <w:lang w:val="en-US"/>
        </w:rPr>
        <w:t>.</w:t>
      </w:r>
      <w:r w:rsidRPr="00A56623">
        <w:rPr>
          <w:rFonts w:asciiTheme="minorHAnsi" w:hAnsiTheme="minorHAnsi" w:cstheme="minorHAnsi"/>
          <w:lang w:val="en-US"/>
        </w:rPr>
        <w:t>, Johnson</w:t>
      </w:r>
      <w:r>
        <w:rPr>
          <w:rFonts w:asciiTheme="minorHAnsi" w:hAnsiTheme="minorHAnsi" w:cstheme="minorHAnsi"/>
          <w:lang w:val="en-US"/>
        </w:rPr>
        <w:t>,</w:t>
      </w:r>
      <w:r w:rsidRPr="00A56623">
        <w:rPr>
          <w:rFonts w:asciiTheme="minorHAnsi" w:hAnsiTheme="minorHAnsi" w:cstheme="minorHAnsi"/>
          <w:lang w:val="en-US"/>
        </w:rPr>
        <w:t xml:space="preserve"> D</w:t>
      </w:r>
      <w:r>
        <w:rPr>
          <w:rFonts w:asciiTheme="minorHAnsi" w:hAnsiTheme="minorHAnsi" w:cstheme="minorHAnsi"/>
          <w:lang w:val="en-US"/>
        </w:rPr>
        <w:t>.</w:t>
      </w:r>
      <w:r w:rsidRPr="00A56623">
        <w:rPr>
          <w:rFonts w:asciiTheme="minorHAnsi" w:hAnsiTheme="minorHAnsi" w:cstheme="minorHAnsi"/>
          <w:lang w:val="en-US"/>
        </w:rPr>
        <w:t>W</w:t>
      </w:r>
      <w:r>
        <w:rPr>
          <w:rFonts w:asciiTheme="minorHAnsi" w:hAnsiTheme="minorHAnsi" w:cstheme="minorHAnsi"/>
          <w:lang w:val="en-US"/>
        </w:rPr>
        <w:t>.</w:t>
      </w:r>
      <w:r w:rsidRPr="00A56623">
        <w:rPr>
          <w:rFonts w:asciiTheme="minorHAnsi" w:hAnsiTheme="minorHAnsi" w:cstheme="minorHAnsi"/>
          <w:lang w:val="en-US"/>
        </w:rPr>
        <w:t>, Saglimbene</w:t>
      </w:r>
      <w:r>
        <w:rPr>
          <w:rFonts w:asciiTheme="minorHAnsi" w:hAnsiTheme="minorHAnsi" w:cstheme="minorHAnsi"/>
          <w:lang w:val="en-US"/>
        </w:rPr>
        <w:t>,</w:t>
      </w:r>
      <w:r w:rsidRPr="00A56623">
        <w:rPr>
          <w:rFonts w:asciiTheme="minorHAnsi" w:hAnsiTheme="minorHAnsi" w:cstheme="minorHAnsi"/>
          <w:lang w:val="en-US"/>
        </w:rPr>
        <w:t xml:space="preserve"> V</w:t>
      </w:r>
      <w:r>
        <w:rPr>
          <w:rFonts w:asciiTheme="minorHAnsi" w:hAnsiTheme="minorHAnsi" w:cstheme="minorHAnsi"/>
          <w:lang w:val="en-US"/>
        </w:rPr>
        <w:t>.</w:t>
      </w:r>
      <w:r w:rsidRPr="00A56623">
        <w:rPr>
          <w:rFonts w:asciiTheme="minorHAnsi" w:hAnsiTheme="minorHAnsi" w:cstheme="minorHAnsi"/>
          <w:lang w:val="en-US"/>
        </w:rPr>
        <w:t>, Graziano</w:t>
      </w:r>
      <w:r>
        <w:rPr>
          <w:rFonts w:asciiTheme="minorHAnsi" w:hAnsiTheme="minorHAnsi" w:cstheme="minorHAnsi"/>
          <w:lang w:val="en-US"/>
        </w:rPr>
        <w:t>,</w:t>
      </w:r>
      <w:r w:rsidRPr="00A56623">
        <w:rPr>
          <w:rFonts w:asciiTheme="minorHAnsi" w:hAnsiTheme="minorHAnsi" w:cstheme="minorHAnsi"/>
          <w:lang w:val="en-US"/>
        </w:rPr>
        <w:t xml:space="preserve"> G</w:t>
      </w:r>
      <w:r>
        <w:rPr>
          <w:rFonts w:asciiTheme="minorHAnsi" w:hAnsiTheme="minorHAnsi" w:cstheme="minorHAnsi"/>
          <w:lang w:val="en-US"/>
        </w:rPr>
        <w:t>.</w:t>
      </w:r>
      <w:r w:rsidRPr="00A56623">
        <w:rPr>
          <w:rFonts w:asciiTheme="minorHAnsi" w:hAnsiTheme="minorHAnsi" w:cstheme="minorHAnsi"/>
          <w:lang w:val="en-US"/>
        </w:rPr>
        <w:t>, Pellegrini</w:t>
      </w:r>
      <w:r>
        <w:rPr>
          <w:rFonts w:asciiTheme="minorHAnsi" w:hAnsiTheme="minorHAnsi" w:cstheme="minorHAnsi"/>
          <w:lang w:val="en-US"/>
        </w:rPr>
        <w:t>,</w:t>
      </w:r>
      <w:r w:rsidRPr="00A56623">
        <w:rPr>
          <w:rFonts w:asciiTheme="minorHAnsi" w:hAnsiTheme="minorHAnsi" w:cstheme="minorHAnsi"/>
          <w:lang w:val="en-US"/>
        </w:rPr>
        <w:t xml:space="preserve"> F</w:t>
      </w:r>
      <w:r>
        <w:rPr>
          <w:rFonts w:asciiTheme="minorHAnsi" w:hAnsiTheme="minorHAnsi" w:cstheme="minorHAnsi"/>
          <w:lang w:val="en-US"/>
        </w:rPr>
        <w:t xml:space="preserve">., … &amp; </w:t>
      </w:r>
      <w:r w:rsidRPr="00A56623">
        <w:rPr>
          <w:rFonts w:asciiTheme="minorHAnsi" w:hAnsiTheme="minorHAnsi" w:cstheme="minorHAnsi"/>
          <w:lang w:val="en-US"/>
        </w:rPr>
        <w:t>Strippoli</w:t>
      </w:r>
      <w:r>
        <w:rPr>
          <w:rFonts w:asciiTheme="minorHAnsi" w:hAnsiTheme="minorHAnsi" w:cstheme="minorHAnsi"/>
          <w:lang w:val="en-US"/>
        </w:rPr>
        <w:t>,</w:t>
      </w:r>
      <w:r w:rsidRPr="00A56623">
        <w:rPr>
          <w:rFonts w:asciiTheme="minorHAnsi" w:hAnsiTheme="minorHAnsi" w:cstheme="minorHAnsi"/>
          <w:lang w:val="en-US"/>
        </w:rPr>
        <w:t xml:space="preserve"> G</w:t>
      </w:r>
      <w:r>
        <w:rPr>
          <w:rFonts w:asciiTheme="minorHAnsi" w:hAnsiTheme="minorHAnsi" w:cstheme="minorHAnsi"/>
          <w:lang w:val="en-US"/>
        </w:rPr>
        <w:t>.</w:t>
      </w:r>
      <w:r w:rsidRPr="00A56623">
        <w:rPr>
          <w:rFonts w:asciiTheme="minorHAnsi" w:hAnsiTheme="minorHAnsi" w:cstheme="minorHAnsi"/>
          <w:lang w:val="en-US"/>
        </w:rPr>
        <w:t>F</w:t>
      </w:r>
      <w:r>
        <w:rPr>
          <w:rFonts w:asciiTheme="minorHAnsi" w:hAnsiTheme="minorHAnsi" w:cstheme="minorHAnsi"/>
          <w:lang w:val="en-US"/>
        </w:rPr>
        <w:t>. (2010)</w:t>
      </w:r>
      <w:r w:rsidRPr="00A56623">
        <w:rPr>
          <w:rFonts w:asciiTheme="minorHAnsi" w:hAnsiTheme="minorHAnsi" w:cstheme="minorHAnsi"/>
          <w:lang w:val="en-US"/>
        </w:rPr>
        <w:t xml:space="preserve"> Prevalence and correlates of self-reported sexual dysfunction in CKD: A meta-analysis of observational studies. </w:t>
      </w:r>
      <w:r w:rsidRPr="00A56623">
        <w:rPr>
          <w:rFonts w:asciiTheme="minorHAnsi" w:hAnsiTheme="minorHAnsi" w:cstheme="minorHAnsi"/>
          <w:i/>
          <w:lang w:val="en-US"/>
        </w:rPr>
        <w:t>American Journal of Kidney Diseases, 56,</w:t>
      </w:r>
      <w:r w:rsidRPr="00A56623">
        <w:rPr>
          <w:rFonts w:asciiTheme="minorHAnsi" w:hAnsiTheme="minorHAnsi" w:cstheme="minorHAnsi"/>
          <w:lang w:val="en-US"/>
        </w:rPr>
        <w:t xml:space="preserve"> 670–685</w:t>
      </w:r>
      <w:r>
        <w:rPr>
          <w:rFonts w:asciiTheme="minorHAnsi" w:hAnsiTheme="minorHAnsi" w:cstheme="minorHAnsi"/>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Style w:val="element-citation"/>
          <w:rFonts w:asciiTheme="minorHAnsi" w:hAnsiTheme="minorHAnsi" w:cstheme="minorHAnsi"/>
          <w:lang w:val="en-US"/>
        </w:rPr>
        <w:t>Negoi</w:t>
      </w:r>
      <w:r w:rsidR="005766B3" w:rsidRPr="005A464E">
        <w:rPr>
          <w:rStyle w:val="element-citation"/>
          <w:rFonts w:asciiTheme="minorHAnsi" w:hAnsiTheme="minorHAnsi" w:cstheme="minorHAnsi"/>
          <w:lang w:val="en-US"/>
        </w:rPr>
        <w:t>,</w:t>
      </w:r>
      <w:r w:rsidRPr="005A464E">
        <w:rPr>
          <w:rStyle w:val="element-citation"/>
          <w:rFonts w:asciiTheme="minorHAnsi" w:hAnsiTheme="minorHAnsi" w:cstheme="minorHAnsi"/>
          <w:lang w:val="en-US"/>
        </w:rPr>
        <w:t xml:space="preserve"> D</w:t>
      </w:r>
      <w:r w:rsidR="005766B3" w:rsidRPr="005A464E">
        <w:rPr>
          <w:rStyle w:val="element-citation"/>
          <w:rFonts w:asciiTheme="minorHAnsi" w:hAnsiTheme="minorHAnsi" w:cstheme="minorHAnsi"/>
          <w:lang w:val="en-US"/>
        </w:rPr>
        <w:t>.</w:t>
      </w:r>
      <w:r w:rsidRPr="005A464E">
        <w:rPr>
          <w:rStyle w:val="element-citation"/>
          <w:rFonts w:asciiTheme="minorHAnsi" w:hAnsiTheme="minorHAnsi" w:cstheme="minorHAnsi"/>
          <w:lang w:val="en-US"/>
        </w:rPr>
        <w:t xml:space="preserve">, </w:t>
      </w:r>
      <w:r w:rsidR="005766B3" w:rsidRPr="005A464E">
        <w:rPr>
          <w:rStyle w:val="element-citation"/>
          <w:rFonts w:asciiTheme="minorHAnsi" w:hAnsiTheme="minorHAnsi" w:cstheme="minorHAnsi"/>
          <w:lang w:val="en-US"/>
        </w:rPr>
        <w:t xml:space="preserve">&amp; </w:t>
      </w:r>
      <w:r w:rsidRPr="005A464E">
        <w:rPr>
          <w:rStyle w:val="element-citation"/>
          <w:rFonts w:asciiTheme="minorHAnsi" w:hAnsiTheme="minorHAnsi" w:cstheme="minorHAnsi"/>
          <w:lang w:val="en-US"/>
        </w:rPr>
        <w:t>Nolph</w:t>
      </w:r>
      <w:r w:rsidR="005766B3" w:rsidRPr="005A464E">
        <w:rPr>
          <w:rStyle w:val="element-citation"/>
          <w:rFonts w:asciiTheme="minorHAnsi" w:hAnsiTheme="minorHAnsi" w:cstheme="minorHAnsi"/>
          <w:lang w:val="en-US"/>
        </w:rPr>
        <w:t>,</w:t>
      </w:r>
      <w:r w:rsidRPr="005A464E">
        <w:rPr>
          <w:rStyle w:val="element-citation"/>
          <w:rFonts w:asciiTheme="minorHAnsi" w:hAnsiTheme="minorHAnsi" w:cstheme="minorHAnsi"/>
          <w:lang w:val="en-US"/>
        </w:rPr>
        <w:t xml:space="preserve"> K</w:t>
      </w:r>
      <w:r w:rsidR="005766B3" w:rsidRPr="005A464E">
        <w:rPr>
          <w:rStyle w:val="element-citation"/>
          <w:rFonts w:asciiTheme="minorHAnsi" w:hAnsiTheme="minorHAnsi" w:cstheme="minorHAnsi"/>
          <w:lang w:val="en-US"/>
        </w:rPr>
        <w:t>.</w:t>
      </w:r>
      <w:r w:rsidRPr="005A464E">
        <w:rPr>
          <w:rStyle w:val="element-citation"/>
          <w:rFonts w:asciiTheme="minorHAnsi" w:hAnsiTheme="minorHAnsi" w:cstheme="minorHAnsi"/>
          <w:lang w:val="en-US"/>
        </w:rPr>
        <w:t xml:space="preserve">D. (2006). Automated peritoneal dialysis - indications and management. </w:t>
      </w:r>
      <w:r w:rsidRPr="005A464E">
        <w:rPr>
          <w:rStyle w:val="element-citation"/>
          <w:rFonts w:asciiTheme="minorHAnsi" w:hAnsiTheme="minorHAnsi" w:cstheme="minorHAnsi"/>
          <w:i/>
          <w:lang w:val="en-US"/>
        </w:rPr>
        <w:t>Contributions to Nephrology</w:t>
      </w:r>
      <w:r w:rsidR="003104C9">
        <w:rPr>
          <w:rStyle w:val="element-citation"/>
          <w:rFonts w:asciiTheme="minorHAnsi" w:hAnsiTheme="minorHAnsi" w:cstheme="minorHAnsi"/>
          <w:lang w:val="en-US"/>
        </w:rPr>
        <w:t xml:space="preserve">, </w:t>
      </w:r>
      <w:r w:rsidR="003104C9" w:rsidRPr="003104C9">
        <w:rPr>
          <w:rStyle w:val="element-citation"/>
          <w:rFonts w:asciiTheme="minorHAnsi" w:hAnsiTheme="minorHAnsi" w:cstheme="minorHAnsi"/>
          <w:i/>
          <w:lang w:val="en-US"/>
        </w:rPr>
        <w:t>150</w:t>
      </w:r>
      <w:r w:rsidR="003104C9">
        <w:rPr>
          <w:rStyle w:val="element-citation"/>
          <w:rFonts w:asciiTheme="minorHAnsi" w:hAnsiTheme="minorHAnsi" w:cstheme="minorHAnsi"/>
          <w:lang w:val="en-US"/>
        </w:rPr>
        <w:t>,</w:t>
      </w:r>
      <w:r w:rsidRPr="005A464E">
        <w:rPr>
          <w:rStyle w:val="element-citation"/>
          <w:rFonts w:asciiTheme="minorHAnsi" w:hAnsiTheme="minorHAnsi" w:cstheme="minorHAnsi"/>
          <w:lang w:val="en-US"/>
        </w:rPr>
        <w:t>278-284.</w:t>
      </w:r>
      <w:r w:rsidRPr="005A464E">
        <w:rPr>
          <w:rFonts w:asciiTheme="minorHAnsi" w:hAnsiTheme="minorHAnsi" w:cstheme="minorHAnsi"/>
          <w:color w:val="575757"/>
          <w:lang w:val="en-US"/>
        </w:rPr>
        <w:t xml:space="preserve"> </w:t>
      </w:r>
      <w:r w:rsidR="00292B29" w:rsidRPr="005A464E">
        <w:rPr>
          <w:rFonts w:asciiTheme="minorHAnsi" w:hAnsiTheme="minorHAnsi" w:cstheme="minorHAnsi"/>
          <w:lang w:val="en-US"/>
        </w:rPr>
        <w:t>DOI</w:t>
      </w:r>
      <w:r w:rsidRPr="005A464E">
        <w:rPr>
          <w:rFonts w:asciiTheme="minorHAnsi" w:hAnsiTheme="minorHAnsi" w:cstheme="minorHAnsi"/>
          <w:lang w:val="en-US"/>
        </w:rPr>
        <w:t xml:space="preserve">: </w:t>
      </w:r>
      <w:hyperlink r:id="rId298" w:history="1">
        <w:r w:rsidRPr="005A464E">
          <w:rPr>
            <w:rStyle w:val="-"/>
            <w:rFonts w:asciiTheme="minorHAnsi" w:hAnsiTheme="minorHAnsi" w:cstheme="minorHAnsi"/>
            <w:color w:val="auto"/>
            <w:u w:val="none"/>
            <w:lang w:val="en-US"/>
          </w:rPr>
          <w:t>10.1159/000093620</w:t>
        </w:r>
      </w:hyperlink>
    </w:p>
    <w:p w:rsidR="003C410F" w:rsidRPr="005A464E" w:rsidRDefault="008F3609" w:rsidP="005A464E">
      <w:pPr>
        <w:pStyle w:val="Web"/>
        <w:spacing w:after="180" w:line="360" w:lineRule="auto"/>
        <w:ind w:left="450" w:hanging="450"/>
        <w:jc w:val="both"/>
        <w:rPr>
          <w:rFonts w:asciiTheme="minorHAnsi" w:eastAsia="Times New Roman" w:hAnsiTheme="minorHAnsi" w:cstheme="minorHAnsi"/>
          <w:lang w:val="en-US" w:eastAsia="el-GR"/>
        </w:rPr>
      </w:pPr>
      <w:hyperlink r:id="rId299" w:history="1">
        <w:r w:rsidR="003C410F" w:rsidRPr="005A464E">
          <w:rPr>
            <w:rFonts w:asciiTheme="minorHAnsi" w:eastAsia="Times New Roman" w:hAnsiTheme="minorHAnsi" w:cstheme="minorHAnsi"/>
            <w:lang w:val="en-US" w:eastAsia="el-GR"/>
          </w:rPr>
          <w:t>Nerbass, F.B</w:t>
        </w:r>
      </w:hyperlink>
      <w:r w:rsidR="003C410F" w:rsidRPr="005A464E">
        <w:rPr>
          <w:rFonts w:asciiTheme="minorHAnsi" w:eastAsia="Times New Roman" w:hAnsiTheme="minorHAnsi" w:cstheme="minorHAnsi"/>
          <w:lang w:val="en-US" w:eastAsia="el-GR"/>
        </w:rPr>
        <w:t>., </w:t>
      </w:r>
      <w:hyperlink r:id="rId300" w:history="1">
        <w:r w:rsidR="003C410F" w:rsidRPr="005A464E">
          <w:rPr>
            <w:rFonts w:asciiTheme="minorHAnsi" w:eastAsia="Times New Roman" w:hAnsiTheme="minorHAnsi" w:cstheme="minorHAnsi"/>
            <w:lang w:val="en-US" w:eastAsia="el-GR"/>
          </w:rPr>
          <w:t>Morais, J.G</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301" w:history="1">
        <w:r w:rsidR="003C410F" w:rsidRPr="005A464E">
          <w:rPr>
            <w:rFonts w:asciiTheme="minorHAnsi" w:eastAsia="Times New Roman" w:hAnsiTheme="minorHAnsi" w:cstheme="minorHAnsi"/>
            <w:lang w:val="en-US" w:eastAsia="el-GR"/>
          </w:rPr>
          <w:t>dos Santos, R.G</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302" w:history="1">
        <w:r w:rsidR="003C410F" w:rsidRPr="005A464E">
          <w:rPr>
            <w:rFonts w:asciiTheme="minorHAnsi" w:eastAsia="Times New Roman" w:hAnsiTheme="minorHAnsi" w:cstheme="minorHAnsi"/>
            <w:lang w:val="en-US" w:eastAsia="el-GR"/>
          </w:rPr>
          <w:t>Krüger, T.S</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303" w:history="1">
        <w:r w:rsidR="003C410F" w:rsidRPr="005A464E">
          <w:rPr>
            <w:rFonts w:asciiTheme="minorHAnsi" w:eastAsia="Times New Roman" w:hAnsiTheme="minorHAnsi" w:cstheme="minorHAnsi"/>
            <w:lang w:val="en-US" w:eastAsia="el-GR"/>
          </w:rPr>
          <w:t>Koene, T.T</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304" w:history="1">
        <w:r w:rsidR="003C410F" w:rsidRPr="005A464E">
          <w:rPr>
            <w:rFonts w:asciiTheme="minorHAnsi" w:eastAsia="Times New Roman" w:hAnsiTheme="minorHAnsi" w:cstheme="minorHAnsi"/>
            <w:lang w:val="en-US" w:eastAsia="el-GR"/>
          </w:rPr>
          <w:t>da Luz Filho, H.A</w:t>
        </w:r>
      </w:hyperlink>
      <w:r w:rsidR="003C410F" w:rsidRPr="005A464E">
        <w:rPr>
          <w:rFonts w:asciiTheme="minorHAnsi" w:eastAsia="Times New Roman" w:hAnsiTheme="minorHAnsi" w:cstheme="minorHAnsi"/>
          <w:lang w:val="en-US" w:eastAsia="el-GR"/>
        </w:rPr>
        <w:t xml:space="preserve">.(2010). </w:t>
      </w:r>
      <w:r w:rsidR="003C410F" w:rsidRPr="005A464E">
        <w:rPr>
          <w:rFonts w:asciiTheme="minorHAnsi" w:eastAsia="Times New Roman" w:hAnsiTheme="minorHAnsi" w:cstheme="minorHAnsi"/>
          <w:bCs/>
          <w:kern w:val="36"/>
          <w:lang w:val="en-US" w:eastAsia="el-GR"/>
        </w:rPr>
        <w:t xml:space="preserve">Adherence and knowledge about hyperphosphatemia treatment in hemodialysis patients with hyperphosphatemia. </w:t>
      </w:r>
      <w:hyperlink r:id="rId305" w:tooltip="Jornal brasileiro de nefrologia : ʹorgão oficial de Sociedades Brasileira e Latino-Americana de Nefrologia." w:history="1">
        <w:r w:rsidR="003C410F" w:rsidRPr="005A464E">
          <w:rPr>
            <w:rFonts w:asciiTheme="minorHAnsi" w:eastAsia="Times New Roman" w:hAnsiTheme="minorHAnsi" w:cstheme="minorHAnsi"/>
            <w:i/>
            <w:lang w:val="en-US" w:eastAsia="el-GR"/>
          </w:rPr>
          <w:t>Journal</w:t>
        </w:r>
        <w:r w:rsidR="0078495A">
          <w:rPr>
            <w:rFonts w:asciiTheme="minorHAnsi" w:eastAsia="Times New Roman" w:hAnsiTheme="minorHAnsi" w:cstheme="minorHAnsi"/>
            <w:i/>
            <w:lang w:val="en-US" w:eastAsia="el-GR"/>
          </w:rPr>
          <w:t xml:space="preserve"> </w:t>
        </w:r>
        <w:r w:rsidR="003C410F" w:rsidRPr="005A464E">
          <w:rPr>
            <w:rFonts w:asciiTheme="minorHAnsi" w:eastAsia="Times New Roman" w:hAnsiTheme="minorHAnsi" w:cstheme="minorHAnsi"/>
            <w:i/>
            <w:lang w:val="en-US" w:eastAsia="el-GR"/>
          </w:rPr>
          <w:t xml:space="preserve">Brasileiro de Nefrologia, </w:t>
        </w:r>
      </w:hyperlink>
      <w:r w:rsidR="003104C9" w:rsidRPr="003104C9">
        <w:rPr>
          <w:rFonts w:asciiTheme="minorHAnsi" w:eastAsia="Times New Roman" w:hAnsiTheme="minorHAnsi" w:cstheme="minorHAnsi"/>
          <w:i/>
          <w:lang w:val="en-US" w:eastAsia="el-GR"/>
        </w:rPr>
        <w:t>32,</w:t>
      </w:r>
      <w:r w:rsidR="003104C9">
        <w:rPr>
          <w:rFonts w:asciiTheme="minorHAnsi" w:eastAsia="Times New Roman" w:hAnsiTheme="minorHAnsi" w:cstheme="minorHAnsi"/>
          <w:lang w:val="en-US" w:eastAsia="el-GR"/>
        </w:rPr>
        <w:t xml:space="preserve"> </w:t>
      </w:r>
      <w:r w:rsidR="003C410F" w:rsidRPr="005A464E">
        <w:rPr>
          <w:rFonts w:asciiTheme="minorHAnsi" w:eastAsia="Times New Roman" w:hAnsiTheme="minorHAnsi" w:cstheme="minorHAnsi"/>
          <w:lang w:val="en-US" w:eastAsia="el-GR"/>
        </w:rPr>
        <w:t>149-155</w:t>
      </w:r>
      <w:r w:rsidR="0003164D" w:rsidRPr="005A464E">
        <w:rPr>
          <w:rFonts w:asciiTheme="minorHAnsi" w:eastAsia="Times New Roman" w:hAnsiTheme="minorHAnsi" w:cstheme="minorHAnsi"/>
          <w:lang w:val="en-US" w:eastAsia="el-GR"/>
        </w:rPr>
        <w:t>.</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Neri, L., Martini, A., Andreucci, V., Gallieni, M., Rocca Rey, L., &amp; Brancaccio, D. (2011). Regimen </w:t>
      </w:r>
      <w:r w:rsidR="0003164D" w:rsidRPr="005A464E">
        <w:rPr>
          <w:rFonts w:asciiTheme="minorHAnsi" w:hAnsiTheme="minorHAnsi" w:cstheme="minorHAnsi"/>
          <w:lang w:val="en-US"/>
        </w:rPr>
        <w:t>complexity and prescription adherence in dialysis patients</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005766B3" w:rsidRPr="005A464E">
        <w:rPr>
          <w:rFonts w:asciiTheme="minorHAnsi" w:hAnsiTheme="minorHAnsi" w:cstheme="minorHAnsi"/>
          <w:i/>
          <w:iCs/>
          <w:lang w:val="en-US"/>
        </w:rPr>
        <w:t>American Journal o</w:t>
      </w:r>
      <w:r w:rsidRPr="005A464E">
        <w:rPr>
          <w:rFonts w:asciiTheme="minorHAnsi" w:hAnsiTheme="minorHAnsi" w:cstheme="minorHAnsi"/>
          <w:i/>
          <w:iCs/>
          <w:lang w:val="en-US"/>
        </w:rPr>
        <w:t>f Nephrology</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3104C9">
        <w:rPr>
          <w:rFonts w:asciiTheme="minorHAnsi" w:hAnsiTheme="minorHAnsi" w:cstheme="minorHAnsi"/>
          <w:i/>
          <w:iCs/>
          <w:lang w:val="en-US"/>
        </w:rPr>
        <w:t>34</w:t>
      </w:r>
      <w:r w:rsidRPr="003104C9">
        <w:rPr>
          <w:rFonts w:asciiTheme="minorHAnsi" w:hAnsiTheme="minorHAnsi" w:cstheme="minorHAnsi"/>
          <w:i/>
          <w:lang w:val="en-US"/>
        </w:rPr>
        <w:t>,</w:t>
      </w:r>
      <w:r w:rsidRPr="005A464E">
        <w:rPr>
          <w:rFonts w:asciiTheme="minorHAnsi" w:hAnsiTheme="minorHAnsi" w:cstheme="minorHAnsi"/>
          <w:lang w:val="en-US"/>
        </w:rPr>
        <w:t xml:space="preserve"> 71-76. </w:t>
      </w:r>
      <w:hyperlink r:id="rId306"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.org/10.1159/000328391</w:t>
        </w:r>
      </w:hyperlink>
      <w:r w:rsidR="0003164D" w:rsidRPr="005A464E">
        <w:rPr>
          <w:rFonts w:asciiTheme="minorHAnsi" w:hAnsiTheme="minorHAnsi"/>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Neto, J.F., Ferraz, M.B., Cendoroglo, M., Draibe, S., Yu, L. &amp; Sesso, R. (2000). Quality of life at the initiation of maintenance dialysis treatment: A comparison between the SF-36 and KDQ questionnaires. </w:t>
      </w:r>
      <w:r w:rsidRPr="005A464E">
        <w:rPr>
          <w:rFonts w:asciiTheme="minorHAnsi" w:hAnsiTheme="minorHAnsi" w:cstheme="minorHAnsi"/>
          <w:i/>
          <w:iCs/>
          <w:lang w:val="en-US"/>
        </w:rPr>
        <w:t xml:space="preserve">Quality of Life Research </w:t>
      </w:r>
      <w:r w:rsidRPr="003104C9">
        <w:rPr>
          <w:rFonts w:asciiTheme="minorHAnsi" w:hAnsiTheme="minorHAnsi" w:cstheme="minorHAnsi"/>
          <w:i/>
          <w:iCs/>
          <w:lang w:val="en-US"/>
        </w:rPr>
        <w:t>Journal, 9</w:t>
      </w:r>
      <w:r w:rsidRPr="003104C9">
        <w:rPr>
          <w:rFonts w:asciiTheme="minorHAnsi" w:hAnsiTheme="minorHAnsi" w:cstheme="minorHAnsi"/>
          <w:i/>
          <w:lang w:val="en-US"/>
        </w:rPr>
        <w:t>,</w:t>
      </w:r>
      <w:r w:rsidRPr="005A464E">
        <w:rPr>
          <w:rFonts w:asciiTheme="minorHAnsi" w:hAnsiTheme="minorHAnsi" w:cstheme="minorHAnsi"/>
          <w:lang w:val="en-US"/>
        </w:rPr>
        <w:t xml:space="preserve"> 101-107</w:t>
      </w:r>
      <w:r w:rsidR="0003164D" w:rsidRPr="005A464E">
        <w:rPr>
          <w:rFonts w:asciiTheme="minorHAnsi" w:hAnsiTheme="minorHAnsi" w:cstheme="minorHAnsi"/>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color w:val="000000"/>
          <w:lang w:val="en-US"/>
        </w:rPr>
      </w:pPr>
      <w:r w:rsidRPr="005A464E">
        <w:rPr>
          <w:rFonts w:asciiTheme="minorHAnsi" w:hAnsiTheme="minorHAnsi" w:cstheme="minorHAnsi"/>
          <w:color w:val="000000"/>
          <w:lang w:val="en-US"/>
        </w:rPr>
        <w:t>Newby, N. (1996). Chronic illness and the family life-cycle.</w:t>
      </w:r>
      <w:r w:rsidRPr="005A464E">
        <w:rPr>
          <w:rStyle w:val="apple-converted-space"/>
          <w:rFonts w:asciiTheme="minorHAnsi" w:hAnsiTheme="minorHAnsi" w:cstheme="minorHAnsi"/>
          <w:color w:val="000000"/>
          <w:lang w:val="en-US"/>
        </w:rPr>
        <w:t> </w:t>
      </w:r>
      <w:r w:rsidR="005766B3" w:rsidRPr="005A464E">
        <w:rPr>
          <w:rFonts w:asciiTheme="minorHAnsi" w:hAnsiTheme="minorHAnsi" w:cstheme="minorHAnsi"/>
          <w:i/>
          <w:iCs/>
          <w:color w:val="000000"/>
          <w:lang w:val="en-US"/>
        </w:rPr>
        <w:t>Journal o</w:t>
      </w:r>
      <w:r w:rsidRPr="005A464E">
        <w:rPr>
          <w:rFonts w:asciiTheme="minorHAnsi" w:hAnsiTheme="minorHAnsi" w:cstheme="minorHAnsi"/>
          <w:i/>
          <w:iCs/>
          <w:color w:val="000000"/>
          <w:lang w:val="en-US"/>
        </w:rPr>
        <w:t>f Advanced Nursing</w:t>
      </w:r>
      <w:r w:rsidRPr="005A464E">
        <w:rPr>
          <w:rFonts w:asciiTheme="minorHAnsi" w:hAnsiTheme="minorHAnsi" w:cstheme="minorHAnsi"/>
          <w:color w:val="000000"/>
          <w:lang w:val="en-US"/>
        </w:rPr>
        <w:t>,</w:t>
      </w:r>
      <w:r w:rsidRPr="005A464E">
        <w:rPr>
          <w:rStyle w:val="apple-converted-space"/>
          <w:rFonts w:asciiTheme="minorHAnsi" w:hAnsiTheme="minorHAnsi" w:cstheme="minorHAnsi"/>
          <w:color w:val="000000"/>
          <w:lang w:val="en-US"/>
        </w:rPr>
        <w:t> </w:t>
      </w:r>
      <w:r w:rsidRPr="003104C9">
        <w:rPr>
          <w:rFonts w:asciiTheme="minorHAnsi" w:hAnsiTheme="minorHAnsi" w:cstheme="minorHAnsi"/>
          <w:i/>
          <w:iCs/>
          <w:color w:val="000000"/>
          <w:lang w:val="en-US"/>
        </w:rPr>
        <w:t>23</w:t>
      </w:r>
      <w:r w:rsidRPr="003104C9">
        <w:rPr>
          <w:rFonts w:asciiTheme="minorHAnsi" w:hAnsiTheme="minorHAnsi" w:cstheme="minorHAnsi"/>
          <w:i/>
          <w:color w:val="000000"/>
          <w:lang w:val="en-US"/>
        </w:rPr>
        <w:t>,</w:t>
      </w:r>
      <w:r w:rsidRPr="005A464E">
        <w:rPr>
          <w:rFonts w:asciiTheme="minorHAnsi" w:hAnsiTheme="minorHAnsi" w:cstheme="minorHAnsi"/>
          <w:color w:val="000000"/>
          <w:lang w:val="en-US"/>
        </w:rPr>
        <w:t xml:space="preserve"> 786-791. http://dx.</w:t>
      </w:r>
      <w:r w:rsidR="00292B29" w:rsidRPr="005A464E">
        <w:rPr>
          <w:rFonts w:asciiTheme="minorHAnsi" w:hAnsiTheme="minorHAnsi" w:cstheme="minorHAnsi"/>
          <w:color w:val="000000"/>
          <w:lang w:val="en-US"/>
        </w:rPr>
        <w:t>DOI</w:t>
      </w:r>
      <w:r w:rsidRPr="005A464E">
        <w:rPr>
          <w:rFonts w:asciiTheme="minorHAnsi" w:hAnsiTheme="minorHAnsi" w:cstheme="minorHAnsi"/>
          <w:color w:val="000000"/>
          <w:lang w:val="en-US"/>
        </w:rPr>
        <w:t>.org/10.1111/j.1365-2648.1996.tb00052.x</w:t>
      </w:r>
      <w:r w:rsidR="0003164D" w:rsidRPr="005A464E">
        <w:rPr>
          <w:rFonts w:asciiTheme="minorHAnsi" w:hAnsiTheme="minorHAnsi" w:cstheme="minorHAnsi"/>
          <w:color w:val="000000"/>
          <w:lang w:val="en-US"/>
        </w:rPr>
        <w:t>.</w:t>
      </w:r>
    </w:p>
    <w:p w:rsidR="00736090" w:rsidRDefault="003C410F" w:rsidP="00736090">
      <w:pPr>
        <w:pStyle w:val="Web"/>
        <w:spacing w:after="180" w:line="360" w:lineRule="auto"/>
        <w:ind w:left="450" w:hanging="450"/>
        <w:jc w:val="both"/>
        <w:rPr>
          <w:rFonts w:asciiTheme="minorHAnsi" w:hAnsiTheme="minorHAnsi"/>
          <w:lang w:val="en-US"/>
        </w:rPr>
      </w:pPr>
      <w:r w:rsidRPr="005A464E">
        <w:rPr>
          <w:rFonts w:asciiTheme="minorHAnsi" w:hAnsiTheme="minorHAnsi" w:cstheme="minorHAnsi"/>
          <w:color w:val="000000"/>
          <w:lang w:val="en-US"/>
        </w:rPr>
        <w:t>Nguyen, T., Caze, A., &amp; Cottrell, N. (2014). What are validated self-report adh</w:t>
      </w:r>
      <w:r w:rsidR="00BD0410" w:rsidRPr="005A464E">
        <w:rPr>
          <w:rFonts w:asciiTheme="minorHAnsi" w:hAnsiTheme="minorHAnsi" w:cstheme="minorHAnsi"/>
          <w:color w:val="000000"/>
          <w:lang w:val="en-US"/>
        </w:rPr>
        <w:t>erence scales really measuring?</w:t>
      </w:r>
      <w:r w:rsidRPr="005A464E">
        <w:rPr>
          <w:rFonts w:asciiTheme="minorHAnsi" w:hAnsiTheme="minorHAnsi" w:cstheme="minorHAnsi"/>
          <w:color w:val="000000"/>
          <w:lang w:val="en-US"/>
        </w:rPr>
        <w:t xml:space="preserve"> a systematic review.</w:t>
      </w:r>
      <w:r w:rsidRPr="005A464E">
        <w:rPr>
          <w:rStyle w:val="apple-converted-space"/>
          <w:rFonts w:asciiTheme="minorHAnsi" w:hAnsiTheme="minorHAnsi" w:cstheme="minorHAnsi"/>
          <w:color w:val="000000"/>
          <w:lang w:val="en-US"/>
        </w:rPr>
        <w:t> </w:t>
      </w:r>
      <w:r w:rsidR="005766B3" w:rsidRPr="005A464E">
        <w:rPr>
          <w:rFonts w:asciiTheme="minorHAnsi" w:hAnsiTheme="minorHAnsi" w:cstheme="minorHAnsi"/>
          <w:i/>
          <w:iCs/>
          <w:color w:val="000000"/>
          <w:lang w:val="en-US"/>
        </w:rPr>
        <w:t>British Journal o</w:t>
      </w:r>
      <w:r w:rsidRPr="005A464E">
        <w:rPr>
          <w:rFonts w:asciiTheme="minorHAnsi" w:hAnsiTheme="minorHAnsi" w:cstheme="minorHAnsi"/>
          <w:i/>
          <w:iCs/>
          <w:color w:val="000000"/>
          <w:lang w:val="en-US"/>
        </w:rPr>
        <w:t>f Clinical Pharmacology</w:t>
      </w:r>
      <w:r w:rsidRPr="005A464E">
        <w:rPr>
          <w:rFonts w:asciiTheme="minorHAnsi" w:hAnsiTheme="minorHAnsi" w:cstheme="minorHAnsi"/>
          <w:color w:val="000000"/>
          <w:lang w:val="en-US"/>
        </w:rPr>
        <w:t>,</w:t>
      </w:r>
      <w:r w:rsidRPr="003104C9">
        <w:rPr>
          <w:rStyle w:val="apple-converted-space"/>
          <w:rFonts w:asciiTheme="minorHAnsi" w:hAnsiTheme="minorHAnsi" w:cstheme="minorHAnsi"/>
          <w:i/>
          <w:color w:val="000000"/>
          <w:lang w:val="en-US"/>
        </w:rPr>
        <w:t> </w:t>
      </w:r>
      <w:r w:rsidRPr="003104C9">
        <w:rPr>
          <w:rFonts w:asciiTheme="minorHAnsi" w:hAnsiTheme="minorHAnsi" w:cstheme="minorHAnsi"/>
          <w:i/>
          <w:iCs/>
          <w:color w:val="000000"/>
          <w:lang w:val="en-US"/>
        </w:rPr>
        <w:t>77</w:t>
      </w:r>
      <w:r w:rsidRPr="005A464E">
        <w:rPr>
          <w:rFonts w:asciiTheme="minorHAnsi" w:hAnsiTheme="minorHAnsi" w:cstheme="minorHAnsi"/>
          <w:color w:val="000000"/>
          <w:lang w:val="en-US"/>
        </w:rPr>
        <w:t>, 427-</w:t>
      </w:r>
      <w:r w:rsidRPr="005A464E">
        <w:rPr>
          <w:rFonts w:asciiTheme="minorHAnsi" w:hAnsiTheme="minorHAnsi" w:cstheme="minorHAnsi"/>
          <w:lang w:val="en-US"/>
        </w:rPr>
        <w:t xml:space="preserve">445. </w:t>
      </w:r>
      <w:hyperlink r:id="rId307"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.org/10.1111/bcp.12194</w:t>
        </w:r>
      </w:hyperlink>
      <w:r w:rsidR="0003164D" w:rsidRPr="005A464E">
        <w:rPr>
          <w:rFonts w:asciiTheme="minorHAnsi" w:hAnsiTheme="minorHAnsi"/>
          <w:lang w:val="en-US"/>
        </w:rPr>
        <w:t>.</w:t>
      </w:r>
    </w:p>
    <w:p w:rsidR="00736090" w:rsidRPr="00736090" w:rsidRDefault="00736090" w:rsidP="00736090">
      <w:pPr>
        <w:pStyle w:val="Web"/>
        <w:spacing w:after="180" w:line="360" w:lineRule="auto"/>
        <w:ind w:left="450" w:hanging="450"/>
        <w:jc w:val="both"/>
        <w:rPr>
          <w:rFonts w:asciiTheme="minorHAnsi" w:hAnsiTheme="minorHAnsi"/>
          <w:lang w:val="en-US"/>
        </w:rPr>
      </w:pPr>
      <w:r w:rsidRPr="00736090">
        <w:rPr>
          <w:rFonts w:asciiTheme="minorHAnsi" w:hAnsiTheme="minorHAnsi" w:cstheme="minorHAnsi"/>
          <w:lang w:val="en-US"/>
        </w:rPr>
        <w:t>NICE</w:t>
      </w:r>
      <w:r>
        <w:rPr>
          <w:rFonts w:asciiTheme="minorHAnsi" w:hAnsiTheme="minorHAnsi" w:cstheme="minorHAnsi"/>
          <w:lang w:val="en-US"/>
        </w:rPr>
        <w:t xml:space="preserve"> Clinical guideline 73:</w:t>
      </w:r>
      <w:r w:rsidRPr="00736090">
        <w:rPr>
          <w:rFonts w:asciiTheme="minorHAnsi" w:hAnsiTheme="minorHAnsi" w:cstheme="minorHAnsi"/>
          <w:bCs/>
          <w:color w:val="0E0E0E"/>
          <w:lang w:val="en-US"/>
        </w:rPr>
        <w:t xml:space="preserve"> </w:t>
      </w:r>
      <w:r w:rsidRPr="00736090">
        <w:rPr>
          <w:rFonts w:asciiTheme="minorHAnsi" w:hAnsiTheme="minorHAnsi" w:cstheme="minorHAnsi"/>
          <w:bCs/>
          <w:i/>
          <w:color w:val="0E0E0E"/>
          <w:lang w:val="en-US"/>
        </w:rPr>
        <w:t>Chronic kidney disease: early identification and management of chronic kidney disease in adults in primary and secondary care.</w:t>
      </w:r>
      <w:r>
        <w:rPr>
          <w:rFonts w:asciiTheme="minorHAnsi" w:hAnsiTheme="minorHAnsi" w:cstheme="minorHAnsi"/>
          <w:bCs/>
          <w:color w:val="0E0E0E"/>
          <w:lang w:val="en-US"/>
        </w:rPr>
        <w:t xml:space="preserve"> In. September, 2008 ed; 2008.</w:t>
      </w:r>
    </w:p>
    <w:p w:rsidR="003C410F"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Nichols-English, G., Poirier, S. (2000). Optimizing adherence to pharmaceutical care plans</w:t>
      </w:r>
      <w:r w:rsidRPr="005A464E">
        <w:rPr>
          <w:rFonts w:asciiTheme="minorHAnsi" w:hAnsiTheme="minorHAnsi" w:cstheme="minorHAnsi"/>
          <w:i/>
          <w:lang w:val="en-US"/>
        </w:rPr>
        <w:t>. Journal of American Pharmaceutical Association</w:t>
      </w:r>
      <w:r w:rsidRPr="003104C9">
        <w:rPr>
          <w:rFonts w:asciiTheme="minorHAnsi" w:hAnsiTheme="minorHAnsi" w:cstheme="minorHAnsi"/>
          <w:lang w:val="en-US"/>
        </w:rPr>
        <w:t>,</w:t>
      </w:r>
      <w:r w:rsidR="003104C9" w:rsidRPr="003104C9">
        <w:rPr>
          <w:rFonts w:asciiTheme="minorHAnsi" w:hAnsiTheme="minorHAnsi" w:cstheme="minorHAnsi"/>
          <w:lang w:val="en-US"/>
        </w:rPr>
        <w:t xml:space="preserve"> 40</w:t>
      </w:r>
      <w:r w:rsidRPr="003104C9">
        <w:rPr>
          <w:rFonts w:asciiTheme="minorHAnsi" w:hAnsiTheme="minorHAnsi" w:cstheme="minorHAnsi"/>
          <w:lang w:val="en-US"/>
        </w:rPr>
        <w:t>,</w:t>
      </w:r>
      <w:r w:rsidR="003104C9">
        <w:rPr>
          <w:rFonts w:asciiTheme="minorHAnsi" w:hAnsiTheme="minorHAnsi" w:cstheme="minorHAnsi"/>
          <w:lang w:val="en-US"/>
        </w:rPr>
        <w:t xml:space="preserve"> </w:t>
      </w:r>
      <w:r w:rsidRPr="005A464E">
        <w:rPr>
          <w:rFonts w:asciiTheme="minorHAnsi" w:hAnsiTheme="minorHAnsi" w:cstheme="minorHAnsi"/>
          <w:lang w:val="en-US"/>
        </w:rPr>
        <w:t>475-</w:t>
      </w:r>
      <w:r w:rsidR="003104C9">
        <w:rPr>
          <w:rFonts w:asciiTheme="minorHAnsi" w:hAnsiTheme="minorHAnsi" w:cstheme="minorHAnsi"/>
          <w:lang w:val="en-US"/>
        </w:rPr>
        <w:t>4</w:t>
      </w:r>
      <w:r w:rsidRPr="005A464E">
        <w:rPr>
          <w:rFonts w:asciiTheme="minorHAnsi" w:hAnsiTheme="minorHAnsi" w:cstheme="minorHAnsi"/>
          <w:lang w:val="en-US"/>
        </w:rPr>
        <w:t>85</w:t>
      </w:r>
      <w:r w:rsidR="0003164D" w:rsidRPr="005A464E">
        <w:rPr>
          <w:rFonts w:asciiTheme="minorHAnsi" w:hAnsiTheme="minorHAnsi" w:cstheme="minorHAnsi"/>
          <w:lang w:val="en-US"/>
        </w:rPr>
        <w:t>.</w:t>
      </w:r>
    </w:p>
    <w:p w:rsidR="00F15364" w:rsidRPr="00F15364" w:rsidRDefault="00F15364" w:rsidP="005A464E">
      <w:pPr>
        <w:pStyle w:val="Web"/>
        <w:spacing w:after="180" w:line="360" w:lineRule="auto"/>
        <w:ind w:left="450" w:hanging="450"/>
        <w:jc w:val="both"/>
        <w:rPr>
          <w:rFonts w:asciiTheme="minorHAnsi" w:hAnsiTheme="minorHAnsi" w:cstheme="minorHAnsi"/>
          <w:lang w:val="en-US"/>
        </w:rPr>
      </w:pPr>
      <w:r>
        <w:rPr>
          <w:rFonts w:asciiTheme="minorHAnsi" w:hAnsiTheme="minorHAnsi" w:cstheme="minorHAnsi"/>
          <w:shd w:val="clear" w:color="auto" w:fill="FFFFFF"/>
          <w:lang w:val="en-US"/>
        </w:rPr>
        <w:t>Nissenson, A.R., &amp; Fine, R.</w:t>
      </w:r>
      <w:r w:rsidRPr="00F15364">
        <w:rPr>
          <w:rFonts w:asciiTheme="minorHAnsi" w:hAnsiTheme="minorHAnsi" w:cstheme="minorHAnsi"/>
          <w:shd w:val="clear" w:color="auto" w:fill="FFFFFF"/>
          <w:lang w:val="en-US"/>
        </w:rPr>
        <w:t>E. (2016). </w:t>
      </w:r>
      <w:r w:rsidRPr="00F15364">
        <w:rPr>
          <w:rFonts w:asciiTheme="minorHAnsi" w:hAnsiTheme="minorHAnsi" w:cstheme="minorHAnsi"/>
          <w:i/>
          <w:iCs/>
          <w:shd w:val="clear" w:color="auto" w:fill="FFFFFF"/>
          <w:lang w:val="en-US"/>
        </w:rPr>
        <w:t>Handbook of Dialysis Therapy E-Book</w:t>
      </w:r>
      <w:r w:rsidRPr="00F15364">
        <w:rPr>
          <w:rFonts w:asciiTheme="minorHAnsi" w:hAnsiTheme="minorHAnsi" w:cstheme="minorHAnsi"/>
          <w:shd w:val="clear" w:color="auto" w:fill="FFFFFF"/>
          <w:lang w:val="en-US"/>
        </w:rPr>
        <w:t>. Elsevier Health Sciences.</w:t>
      </w:r>
    </w:p>
    <w:p w:rsidR="003C410F" w:rsidRPr="005A464E" w:rsidRDefault="00992F7C" w:rsidP="005A464E">
      <w:pPr>
        <w:pStyle w:val="Web"/>
        <w:spacing w:after="180" w:line="360" w:lineRule="auto"/>
        <w:ind w:left="450" w:hanging="450"/>
        <w:jc w:val="both"/>
        <w:rPr>
          <w:rFonts w:asciiTheme="minorHAnsi" w:hAnsiTheme="minorHAnsi" w:cstheme="minorHAnsi"/>
          <w:lang w:val="en-US"/>
        </w:rPr>
      </w:pPr>
      <w:r>
        <w:rPr>
          <w:rFonts w:asciiTheme="minorHAnsi" w:hAnsiTheme="minorHAnsi" w:cstheme="minorHAnsi"/>
          <w:color w:val="000000"/>
          <w:lang w:val="en-US"/>
        </w:rPr>
        <w:t>Nosé</w:t>
      </w:r>
      <w:r w:rsidR="003C410F" w:rsidRPr="00992F7C">
        <w:rPr>
          <w:rFonts w:asciiTheme="minorHAnsi" w:hAnsiTheme="minorHAnsi" w:cstheme="minorHAnsi"/>
          <w:color w:val="000000"/>
          <w:lang w:val="en-US"/>
        </w:rPr>
        <w:t>, M., Barbui, C., Gray, R., &amp; Tansella, M. (2003). Clinical interventions for treatment non-adherence in psychosis: meta-analysis.</w:t>
      </w:r>
      <w:r w:rsidR="003C410F" w:rsidRPr="00992F7C">
        <w:rPr>
          <w:rStyle w:val="apple-converted-space"/>
          <w:rFonts w:asciiTheme="minorHAnsi" w:hAnsiTheme="minorHAnsi" w:cstheme="minorHAnsi"/>
          <w:color w:val="000000"/>
          <w:lang w:val="en-US"/>
        </w:rPr>
        <w:t> </w:t>
      </w:r>
      <w:r w:rsidR="005766B3" w:rsidRPr="00992F7C">
        <w:rPr>
          <w:rFonts w:asciiTheme="minorHAnsi" w:hAnsiTheme="minorHAnsi" w:cstheme="minorHAnsi"/>
          <w:i/>
          <w:iCs/>
          <w:color w:val="000000"/>
          <w:lang w:val="en-US"/>
        </w:rPr>
        <w:t>The British Journal o</w:t>
      </w:r>
      <w:r w:rsidR="003C410F" w:rsidRPr="00992F7C">
        <w:rPr>
          <w:rFonts w:asciiTheme="minorHAnsi" w:hAnsiTheme="minorHAnsi" w:cstheme="minorHAnsi"/>
          <w:i/>
          <w:iCs/>
          <w:color w:val="000000"/>
          <w:lang w:val="en-US"/>
        </w:rPr>
        <w:t>f Psychiatry</w:t>
      </w:r>
      <w:r w:rsidR="003C410F" w:rsidRPr="00992F7C">
        <w:rPr>
          <w:rFonts w:asciiTheme="minorHAnsi" w:hAnsiTheme="minorHAnsi" w:cstheme="minorHAnsi"/>
          <w:color w:val="000000"/>
          <w:lang w:val="en-US"/>
        </w:rPr>
        <w:t>,</w:t>
      </w:r>
      <w:r w:rsidR="003C410F" w:rsidRPr="00992F7C">
        <w:rPr>
          <w:rStyle w:val="apple-converted-space"/>
          <w:rFonts w:asciiTheme="minorHAnsi" w:hAnsiTheme="minorHAnsi" w:cstheme="minorHAnsi"/>
          <w:color w:val="000000"/>
          <w:lang w:val="en-US"/>
        </w:rPr>
        <w:t> </w:t>
      </w:r>
      <w:r w:rsidR="003C410F" w:rsidRPr="00992F7C">
        <w:rPr>
          <w:rFonts w:asciiTheme="minorHAnsi" w:hAnsiTheme="minorHAnsi" w:cstheme="minorHAnsi"/>
          <w:i/>
          <w:iCs/>
          <w:color w:val="000000"/>
          <w:lang w:val="en-US"/>
        </w:rPr>
        <w:t>183</w:t>
      </w:r>
      <w:r w:rsidR="003C410F" w:rsidRPr="00992F7C">
        <w:rPr>
          <w:rFonts w:asciiTheme="minorHAnsi" w:hAnsiTheme="minorHAnsi" w:cstheme="minorHAnsi"/>
          <w:i/>
          <w:color w:val="000000"/>
          <w:lang w:val="en-US"/>
        </w:rPr>
        <w:t>,</w:t>
      </w:r>
      <w:r w:rsidR="003C410F" w:rsidRPr="00992F7C">
        <w:rPr>
          <w:rFonts w:asciiTheme="minorHAnsi" w:hAnsiTheme="minorHAnsi" w:cstheme="minorHAnsi"/>
          <w:color w:val="000000"/>
          <w:lang w:val="en-US"/>
        </w:rPr>
        <w:t xml:space="preserve"> 197-206.</w:t>
      </w:r>
      <w:r w:rsidR="003C410F" w:rsidRPr="005A464E">
        <w:rPr>
          <w:rFonts w:asciiTheme="minorHAnsi" w:hAnsiTheme="minorHAnsi" w:cstheme="minorHAnsi"/>
          <w:color w:val="000000"/>
          <w:lang w:val="en-US"/>
        </w:rPr>
        <w:t xml:space="preserve"> </w:t>
      </w:r>
      <w:hyperlink r:id="rId308" w:history="1">
        <w:r w:rsidR="003C410F"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003C410F" w:rsidRPr="005A464E">
          <w:rPr>
            <w:rStyle w:val="-"/>
            <w:rFonts w:asciiTheme="minorHAnsi" w:hAnsiTheme="minorHAnsi" w:cstheme="minorHAnsi"/>
            <w:color w:val="auto"/>
            <w:u w:val="none"/>
            <w:lang w:val="en-US"/>
          </w:rPr>
          <w:t>.org/10.1192/bjp.183.3.197</w:t>
        </w:r>
      </w:hyperlink>
      <w:r w:rsidR="00703504" w:rsidRPr="005A464E">
        <w:rPr>
          <w:rFonts w:asciiTheme="minorHAnsi" w:hAnsiTheme="minorHAnsi"/>
          <w:lang w:val="en-US"/>
        </w:rPr>
        <w:t>.</w:t>
      </w:r>
    </w:p>
    <w:p w:rsidR="003C410F" w:rsidRPr="005A464E" w:rsidRDefault="003C410F" w:rsidP="005A464E">
      <w:pPr>
        <w:pStyle w:val="Web"/>
        <w:spacing w:after="180" w:line="360" w:lineRule="auto"/>
        <w:ind w:left="450" w:hanging="450"/>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Oreopoulos, D.G. (2006). Peritoneal dialysis international:</w:t>
      </w:r>
      <w:r w:rsidR="0078495A">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 xml:space="preserve">its past, present, and future. </w:t>
      </w:r>
      <w:r w:rsidRPr="005A464E">
        <w:rPr>
          <w:rFonts w:asciiTheme="minorHAnsi" w:eastAsia="Times New Roman" w:hAnsiTheme="minorHAnsi" w:cstheme="minorHAnsi"/>
          <w:i/>
          <w:lang w:val="en-US" w:eastAsia="el-GR"/>
        </w:rPr>
        <w:t>Peritoneal Dialysis International,</w:t>
      </w:r>
      <w:r w:rsidR="0078495A">
        <w:rPr>
          <w:rFonts w:asciiTheme="minorHAnsi" w:eastAsia="Times New Roman" w:hAnsiTheme="minorHAnsi" w:cstheme="minorHAnsi"/>
          <w:lang w:val="en-US" w:eastAsia="el-GR"/>
        </w:rPr>
        <w:t xml:space="preserve"> </w:t>
      </w:r>
      <w:r w:rsidR="003104C9" w:rsidRPr="003104C9">
        <w:rPr>
          <w:rFonts w:asciiTheme="minorHAnsi" w:eastAsia="Times New Roman" w:hAnsiTheme="minorHAnsi" w:cstheme="minorHAnsi"/>
          <w:i/>
          <w:lang w:val="en-US" w:eastAsia="el-GR"/>
        </w:rPr>
        <w:t>S26,</w:t>
      </w:r>
      <w:r w:rsidR="003104C9">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540-</w:t>
      </w:r>
      <w:r w:rsidR="003104C9">
        <w:rPr>
          <w:rFonts w:asciiTheme="minorHAnsi" w:eastAsia="Times New Roman" w:hAnsiTheme="minorHAnsi" w:cstheme="minorHAnsi"/>
          <w:lang w:val="en-US" w:eastAsia="el-GR"/>
        </w:rPr>
        <w:t>54</w:t>
      </w:r>
      <w:r w:rsidRPr="005A464E">
        <w:rPr>
          <w:rFonts w:asciiTheme="minorHAnsi" w:eastAsia="Times New Roman" w:hAnsiTheme="minorHAnsi" w:cstheme="minorHAnsi"/>
          <w:lang w:val="en-US" w:eastAsia="el-GR"/>
        </w:rPr>
        <w:t>6.</w:t>
      </w:r>
    </w:p>
    <w:p w:rsidR="003C410F" w:rsidRPr="005A464E" w:rsidRDefault="003C410F" w:rsidP="005A464E">
      <w:pPr>
        <w:pStyle w:val="Web"/>
        <w:spacing w:after="180" w:line="360" w:lineRule="auto"/>
        <w:ind w:left="450" w:hanging="450"/>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Osterberg, L., Blaschke, T. (2005). Adherence to medication. </w:t>
      </w:r>
      <w:r w:rsidRPr="005A464E">
        <w:rPr>
          <w:rFonts w:asciiTheme="minorHAnsi" w:eastAsia="Times New Roman" w:hAnsiTheme="minorHAnsi" w:cstheme="minorHAnsi"/>
          <w:i/>
          <w:lang w:val="en-US" w:eastAsia="el-GR"/>
        </w:rPr>
        <w:t>New England Journal of Medicine,</w:t>
      </w:r>
      <w:r w:rsidR="003104C9">
        <w:rPr>
          <w:rFonts w:asciiTheme="minorHAnsi" w:eastAsia="Times New Roman" w:hAnsiTheme="minorHAnsi" w:cstheme="minorHAnsi"/>
          <w:lang w:val="en-US" w:eastAsia="el-GR"/>
        </w:rPr>
        <w:t xml:space="preserve"> </w:t>
      </w:r>
      <w:r w:rsidR="003104C9" w:rsidRPr="003104C9">
        <w:rPr>
          <w:rFonts w:asciiTheme="minorHAnsi" w:eastAsia="Times New Roman" w:hAnsiTheme="minorHAnsi" w:cstheme="minorHAnsi"/>
          <w:i/>
          <w:lang w:val="en-US" w:eastAsia="el-GR"/>
        </w:rPr>
        <w:t>353</w:t>
      </w:r>
      <w:r w:rsidR="003104C9">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487-97</w:t>
      </w:r>
      <w:r w:rsidR="00703504" w:rsidRPr="005A464E">
        <w:rPr>
          <w:rFonts w:asciiTheme="minorHAnsi" w:eastAsia="Times New Roman" w:hAnsiTheme="minorHAnsi" w:cstheme="minorHAnsi"/>
          <w:lang w:val="en-US" w:eastAsia="el-GR"/>
        </w:rPr>
        <w:t>.</w:t>
      </w:r>
    </w:p>
    <w:p w:rsidR="003C410F" w:rsidRPr="005A464E" w:rsidRDefault="003C410F" w:rsidP="005A464E">
      <w:pPr>
        <w:pStyle w:val="Web"/>
        <w:spacing w:after="180" w:line="360" w:lineRule="auto"/>
        <w:ind w:left="450" w:hanging="450"/>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Páez, A.E., Jofré, M.J., Azpiroz, C.R., </w:t>
      </w:r>
      <w:r w:rsidR="001462BA">
        <w:rPr>
          <w:rFonts w:asciiTheme="minorHAnsi" w:eastAsia="Times New Roman" w:hAnsiTheme="minorHAnsi" w:cstheme="minorHAnsi"/>
          <w:lang w:val="en-US" w:eastAsia="el-GR"/>
        </w:rPr>
        <w:t xml:space="preserve">&amp; </w:t>
      </w:r>
      <w:r w:rsidRPr="005A464E">
        <w:rPr>
          <w:rFonts w:asciiTheme="minorHAnsi" w:eastAsia="Times New Roman" w:hAnsiTheme="minorHAnsi" w:cstheme="minorHAnsi"/>
          <w:lang w:val="en-US" w:eastAsia="el-GR"/>
        </w:rPr>
        <w:t xml:space="preserve">De Bortoli, M.A. (2009). Ansiedad y depresión en pacientes con insuficiencia renal crónica en tratamiento de diálisis. </w:t>
      </w:r>
      <w:r w:rsidRPr="005A464E">
        <w:rPr>
          <w:rFonts w:asciiTheme="minorHAnsi" w:eastAsia="Times New Roman" w:hAnsiTheme="minorHAnsi" w:cstheme="minorHAnsi"/>
          <w:i/>
          <w:lang w:val="en-US" w:eastAsia="el-GR"/>
        </w:rPr>
        <w:t>Univ</w:t>
      </w:r>
      <w:r w:rsidR="00703504" w:rsidRPr="005A464E">
        <w:rPr>
          <w:rFonts w:asciiTheme="minorHAnsi" w:eastAsia="Times New Roman" w:hAnsiTheme="minorHAnsi" w:cstheme="minorHAnsi"/>
          <w:i/>
          <w:lang w:val="en-US" w:eastAsia="el-GR"/>
        </w:rPr>
        <w:t>ersitas</w:t>
      </w:r>
      <w:r w:rsidRPr="005A464E">
        <w:rPr>
          <w:rFonts w:asciiTheme="minorHAnsi" w:eastAsia="Times New Roman" w:hAnsiTheme="minorHAnsi" w:cstheme="minorHAnsi"/>
          <w:i/>
          <w:lang w:val="en-US" w:eastAsia="el-GR"/>
        </w:rPr>
        <w:t xml:space="preserve"> Psicol</w:t>
      </w:r>
      <w:r w:rsidR="00703504" w:rsidRPr="005A464E">
        <w:rPr>
          <w:rFonts w:asciiTheme="minorHAnsi" w:eastAsia="Times New Roman" w:hAnsiTheme="minorHAnsi" w:cstheme="minorHAnsi"/>
          <w:i/>
          <w:lang w:val="en-US" w:eastAsia="el-GR"/>
        </w:rPr>
        <w:t>ogica</w:t>
      </w:r>
      <w:r w:rsidR="00703504" w:rsidRPr="003104C9">
        <w:rPr>
          <w:rFonts w:asciiTheme="minorHAnsi" w:eastAsia="Times New Roman" w:hAnsiTheme="minorHAnsi" w:cstheme="minorHAnsi"/>
          <w:i/>
          <w:lang w:val="en-US" w:eastAsia="el-GR"/>
        </w:rPr>
        <w:t>,</w:t>
      </w:r>
      <w:r w:rsidR="003104C9" w:rsidRPr="003104C9">
        <w:rPr>
          <w:rFonts w:asciiTheme="minorHAnsi" w:eastAsia="Times New Roman" w:hAnsiTheme="minorHAnsi" w:cstheme="minorHAnsi"/>
          <w:i/>
          <w:lang w:val="en-US" w:eastAsia="el-GR"/>
        </w:rPr>
        <w:t xml:space="preserve"> 8,</w:t>
      </w:r>
      <w:r w:rsidR="003104C9">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117-</w:t>
      </w:r>
      <w:r w:rsidR="003104C9">
        <w:rPr>
          <w:rFonts w:asciiTheme="minorHAnsi" w:eastAsia="Times New Roman" w:hAnsiTheme="minorHAnsi" w:cstheme="minorHAnsi"/>
          <w:lang w:val="en-US" w:eastAsia="el-GR"/>
        </w:rPr>
        <w:t>1</w:t>
      </w:r>
      <w:r w:rsidRPr="005A464E">
        <w:rPr>
          <w:rFonts w:asciiTheme="minorHAnsi" w:eastAsia="Times New Roman" w:hAnsiTheme="minorHAnsi" w:cstheme="minorHAnsi"/>
          <w:lang w:val="en-US" w:eastAsia="el-GR"/>
        </w:rPr>
        <w:t>24</w:t>
      </w:r>
      <w:r w:rsidR="00703504" w:rsidRPr="005A464E">
        <w:rPr>
          <w:rFonts w:asciiTheme="minorHAnsi" w:eastAsia="Times New Roman" w:hAnsiTheme="minorHAnsi" w:cstheme="minorHAnsi"/>
          <w:lang w:val="en-US" w:eastAsia="el-GR"/>
        </w:rPr>
        <w:t>.</w:t>
      </w:r>
    </w:p>
    <w:p w:rsidR="003C410F" w:rsidRPr="005A464E" w:rsidRDefault="003C410F" w:rsidP="005A464E">
      <w:pPr>
        <w:pStyle w:val="Web"/>
        <w:spacing w:after="180" w:line="360" w:lineRule="auto"/>
        <w:ind w:left="450" w:hanging="450"/>
        <w:jc w:val="both"/>
        <w:rPr>
          <w:rFonts w:asciiTheme="minorHAnsi" w:hAnsiTheme="minorHAnsi" w:cstheme="minorHAnsi"/>
          <w:color w:val="000000"/>
          <w:lang w:val="en-US"/>
        </w:rPr>
      </w:pPr>
      <w:r w:rsidRPr="005A464E">
        <w:rPr>
          <w:rFonts w:asciiTheme="minorHAnsi" w:hAnsiTheme="minorHAnsi" w:cstheme="minorHAnsi"/>
          <w:lang w:val="en-US"/>
        </w:rPr>
        <w:t xml:space="preserve">Pakpour, A., Saffari, M., Yekaninejad, S., Panahi, D., Harrison, A., &amp; Molsted, S. (2010). Health-Related quality of life in a sample of Iranian patients on hemodialysis. </w:t>
      </w:r>
      <w:r w:rsidRPr="005A464E">
        <w:rPr>
          <w:rFonts w:asciiTheme="minorHAnsi" w:hAnsiTheme="minorHAnsi" w:cstheme="minorHAnsi"/>
          <w:i/>
          <w:iCs/>
          <w:lang w:val="en-US"/>
        </w:rPr>
        <w:t>Iranian Journal of Kidney Diseases</w:t>
      </w:r>
      <w:r w:rsidRPr="003104C9">
        <w:rPr>
          <w:rFonts w:asciiTheme="minorHAnsi" w:hAnsiTheme="minorHAnsi" w:cstheme="minorHAnsi"/>
          <w:i/>
          <w:iCs/>
          <w:lang w:val="en-US"/>
        </w:rPr>
        <w:t>, 4</w:t>
      </w:r>
      <w:r w:rsidRPr="003104C9">
        <w:rPr>
          <w:rFonts w:asciiTheme="minorHAnsi" w:hAnsiTheme="minorHAnsi" w:cstheme="minorHAnsi"/>
          <w:i/>
          <w:lang w:val="en-US"/>
        </w:rPr>
        <w:t>,</w:t>
      </w:r>
      <w:r w:rsidRPr="005A464E">
        <w:rPr>
          <w:rFonts w:asciiTheme="minorHAnsi" w:hAnsiTheme="minorHAnsi" w:cstheme="minorHAnsi"/>
          <w:lang w:val="en-US"/>
        </w:rPr>
        <w:t xml:space="preserve"> 50-59.</w:t>
      </w:r>
    </w:p>
    <w:p w:rsidR="003C410F" w:rsidRPr="005A464E" w:rsidRDefault="003C410F" w:rsidP="005A464E">
      <w:pPr>
        <w:pStyle w:val="Web"/>
        <w:spacing w:after="180" w:line="360" w:lineRule="auto"/>
        <w:ind w:left="450" w:hanging="450"/>
        <w:jc w:val="both"/>
        <w:rPr>
          <w:rFonts w:asciiTheme="minorHAnsi" w:hAnsiTheme="minorHAnsi" w:cstheme="minorHAnsi"/>
          <w:color w:val="000000"/>
          <w:lang w:val="en-US"/>
        </w:rPr>
      </w:pPr>
      <w:r w:rsidRPr="005A464E">
        <w:rPr>
          <w:rFonts w:asciiTheme="minorHAnsi" w:hAnsiTheme="minorHAnsi" w:cstheme="minorHAnsi"/>
          <w:color w:val="000000"/>
          <w:lang w:val="en-US"/>
        </w:rPr>
        <w:t>Palmer, B. (2003). Sexual dysfunction in men and women with chronic kidney disease and end-stage kidney disease.</w:t>
      </w:r>
      <w:r w:rsidRPr="005A464E">
        <w:rPr>
          <w:rStyle w:val="apple-converted-space"/>
          <w:rFonts w:asciiTheme="minorHAnsi" w:hAnsiTheme="minorHAnsi" w:cstheme="minorHAnsi"/>
          <w:color w:val="000000"/>
          <w:lang w:val="en-US"/>
        </w:rPr>
        <w:t> </w:t>
      </w:r>
      <w:r w:rsidR="005766B3" w:rsidRPr="005A464E">
        <w:rPr>
          <w:rFonts w:asciiTheme="minorHAnsi" w:hAnsiTheme="minorHAnsi" w:cstheme="minorHAnsi"/>
          <w:i/>
          <w:iCs/>
          <w:color w:val="000000"/>
          <w:lang w:val="en-US"/>
        </w:rPr>
        <w:t>Advances i</w:t>
      </w:r>
      <w:r w:rsidRPr="005A464E">
        <w:rPr>
          <w:rFonts w:asciiTheme="minorHAnsi" w:hAnsiTheme="minorHAnsi" w:cstheme="minorHAnsi"/>
          <w:i/>
          <w:iCs/>
          <w:color w:val="000000"/>
          <w:lang w:val="en-US"/>
        </w:rPr>
        <w:t>n Renal Replacement Therapy</w:t>
      </w:r>
      <w:r w:rsidRPr="003104C9">
        <w:rPr>
          <w:rFonts w:asciiTheme="minorHAnsi" w:hAnsiTheme="minorHAnsi" w:cstheme="minorHAnsi"/>
          <w:i/>
          <w:color w:val="000000"/>
          <w:lang w:val="en-US"/>
        </w:rPr>
        <w:t>,</w:t>
      </w:r>
      <w:r w:rsidRPr="003104C9">
        <w:rPr>
          <w:rStyle w:val="apple-converted-space"/>
          <w:rFonts w:asciiTheme="minorHAnsi" w:hAnsiTheme="minorHAnsi" w:cstheme="minorHAnsi"/>
          <w:i/>
          <w:color w:val="000000"/>
          <w:lang w:val="en-US"/>
        </w:rPr>
        <w:t> </w:t>
      </w:r>
      <w:r w:rsidRPr="003104C9">
        <w:rPr>
          <w:rFonts w:asciiTheme="minorHAnsi" w:hAnsiTheme="minorHAnsi" w:cstheme="minorHAnsi"/>
          <w:i/>
          <w:iCs/>
          <w:color w:val="000000"/>
          <w:lang w:val="en-US"/>
        </w:rPr>
        <w:t>10</w:t>
      </w:r>
      <w:r w:rsidRPr="003104C9">
        <w:rPr>
          <w:rFonts w:asciiTheme="minorHAnsi" w:hAnsiTheme="minorHAnsi" w:cstheme="minorHAnsi"/>
          <w:i/>
          <w:color w:val="000000"/>
          <w:lang w:val="en-US"/>
        </w:rPr>
        <w:t>,</w:t>
      </w:r>
      <w:r w:rsidRPr="005A464E">
        <w:rPr>
          <w:rFonts w:asciiTheme="minorHAnsi" w:hAnsiTheme="minorHAnsi" w:cstheme="minorHAnsi"/>
          <w:color w:val="000000"/>
          <w:lang w:val="en-US"/>
        </w:rPr>
        <w:t xml:space="preserve"> 48-60. http://dx.</w:t>
      </w:r>
      <w:r w:rsidR="00292B29" w:rsidRPr="005A464E">
        <w:rPr>
          <w:rFonts w:asciiTheme="minorHAnsi" w:hAnsiTheme="minorHAnsi" w:cstheme="minorHAnsi"/>
          <w:color w:val="000000"/>
          <w:lang w:val="en-US"/>
        </w:rPr>
        <w:t>DOI</w:t>
      </w:r>
      <w:r w:rsidRPr="005A464E">
        <w:rPr>
          <w:rFonts w:asciiTheme="minorHAnsi" w:hAnsiTheme="minorHAnsi" w:cstheme="minorHAnsi"/>
          <w:color w:val="000000"/>
          <w:lang w:val="en-US"/>
        </w:rPr>
        <w:t>.org/10.1053/jarr.2003.50003</w:t>
      </w:r>
      <w:r w:rsidR="00703504" w:rsidRPr="005A464E">
        <w:rPr>
          <w:rFonts w:asciiTheme="minorHAnsi" w:hAnsiTheme="minorHAnsi" w:cstheme="minorHAnsi"/>
          <w:color w:val="000000"/>
          <w:lang w:val="en-US"/>
        </w:rPr>
        <w:t>.</w:t>
      </w:r>
    </w:p>
    <w:p w:rsidR="007A490B" w:rsidRPr="005A464E" w:rsidRDefault="003C410F" w:rsidP="005A464E">
      <w:pPr>
        <w:pStyle w:val="Web"/>
        <w:spacing w:after="180" w:line="360" w:lineRule="auto"/>
        <w:ind w:left="450" w:hanging="450"/>
        <w:jc w:val="both"/>
        <w:rPr>
          <w:rFonts w:asciiTheme="minorHAnsi" w:hAnsiTheme="minorHAnsi"/>
          <w:lang w:val="en-US"/>
        </w:rPr>
      </w:pPr>
      <w:r w:rsidRPr="005A464E">
        <w:rPr>
          <w:rFonts w:asciiTheme="minorHAnsi" w:hAnsiTheme="minorHAnsi" w:cstheme="minorHAnsi"/>
          <w:color w:val="000000"/>
          <w:lang w:val="en-US"/>
        </w:rPr>
        <w:t>Pang, S., Ip, W., &amp; Chang, A. (2001). Psychosocial correlates of fluid compliance among Chinese haemodialysis patients.</w:t>
      </w:r>
      <w:r w:rsidRPr="005A464E">
        <w:rPr>
          <w:rStyle w:val="apple-converted-space"/>
          <w:rFonts w:asciiTheme="minorHAnsi" w:hAnsiTheme="minorHAnsi" w:cstheme="minorHAnsi"/>
          <w:color w:val="000000"/>
          <w:lang w:val="en-US"/>
        </w:rPr>
        <w:t> </w:t>
      </w:r>
      <w:r w:rsidR="005766B3" w:rsidRPr="005A464E">
        <w:rPr>
          <w:rFonts w:asciiTheme="minorHAnsi" w:hAnsiTheme="minorHAnsi" w:cstheme="minorHAnsi"/>
          <w:i/>
          <w:iCs/>
          <w:color w:val="000000"/>
          <w:lang w:val="en-US"/>
        </w:rPr>
        <w:t>Journal o</w:t>
      </w:r>
      <w:r w:rsidRPr="005A464E">
        <w:rPr>
          <w:rFonts w:asciiTheme="minorHAnsi" w:hAnsiTheme="minorHAnsi" w:cstheme="minorHAnsi"/>
          <w:i/>
          <w:iCs/>
          <w:color w:val="000000"/>
          <w:lang w:val="en-US"/>
        </w:rPr>
        <w:t>f Advan</w:t>
      </w:r>
      <w:r w:rsidRPr="005A464E">
        <w:rPr>
          <w:rFonts w:asciiTheme="minorHAnsi" w:hAnsiTheme="minorHAnsi" w:cstheme="minorHAnsi"/>
          <w:i/>
          <w:iCs/>
          <w:lang w:val="en-US"/>
        </w:rPr>
        <w:t>ced Nursing</w:t>
      </w:r>
      <w:r w:rsidRPr="003104C9">
        <w:rPr>
          <w:rFonts w:asciiTheme="minorHAnsi" w:hAnsiTheme="minorHAnsi" w:cstheme="minorHAnsi"/>
          <w:i/>
          <w:lang w:val="en-US"/>
        </w:rPr>
        <w:t>,</w:t>
      </w:r>
      <w:r w:rsidRPr="003104C9">
        <w:rPr>
          <w:rStyle w:val="apple-converted-space"/>
          <w:rFonts w:asciiTheme="minorHAnsi" w:hAnsiTheme="minorHAnsi" w:cstheme="minorHAnsi"/>
          <w:i/>
          <w:lang w:val="en-US"/>
        </w:rPr>
        <w:t> </w:t>
      </w:r>
      <w:r w:rsidRPr="003104C9">
        <w:rPr>
          <w:rFonts w:asciiTheme="minorHAnsi" w:hAnsiTheme="minorHAnsi" w:cstheme="minorHAnsi"/>
          <w:i/>
          <w:iCs/>
          <w:lang w:val="en-US"/>
        </w:rPr>
        <w:t>35</w:t>
      </w:r>
      <w:r w:rsidRPr="003104C9">
        <w:rPr>
          <w:rFonts w:asciiTheme="minorHAnsi" w:hAnsiTheme="minorHAnsi" w:cstheme="minorHAnsi"/>
          <w:i/>
          <w:lang w:val="en-US"/>
        </w:rPr>
        <w:t>,</w:t>
      </w:r>
      <w:r w:rsidRPr="005A464E">
        <w:rPr>
          <w:rFonts w:asciiTheme="minorHAnsi" w:hAnsiTheme="minorHAnsi" w:cstheme="minorHAnsi"/>
          <w:lang w:val="en-US"/>
        </w:rPr>
        <w:t xml:space="preserve"> 691-698. </w:t>
      </w:r>
      <w:hyperlink r:id="rId309"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.org/10.1046/j.1365-2648.2001.01901.x</w:t>
        </w:r>
      </w:hyperlink>
      <w:r w:rsidR="00703504" w:rsidRPr="005A464E">
        <w:rPr>
          <w:rFonts w:asciiTheme="minorHAnsi" w:hAnsiTheme="minorHAnsi"/>
          <w:lang w:val="en-US"/>
        </w:rPr>
        <w:t>.</w:t>
      </w:r>
    </w:p>
    <w:p w:rsidR="007A490B" w:rsidRPr="005A464E" w:rsidRDefault="007A490B"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iCs/>
          <w:lang w:val="en-US"/>
        </w:rPr>
        <w:t>Papadakis, G</w:t>
      </w:r>
      <w:r w:rsidRPr="005A464E">
        <w:rPr>
          <w:rFonts w:asciiTheme="minorHAnsi" w:hAnsiTheme="minorHAnsi" w:cstheme="minorHAnsi"/>
          <w:lang w:val="en-US"/>
        </w:rPr>
        <w:t>. (1981). Late complications of chronic maintenance dialysis. PhD thesis, Athens.</w:t>
      </w:r>
    </w:p>
    <w:p w:rsidR="006607B8" w:rsidRPr="00D0287F" w:rsidRDefault="008F3609" w:rsidP="005A464E">
      <w:pPr>
        <w:pStyle w:val="Web"/>
        <w:spacing w:after="180" w:line="360" w:lineRule="auto"/>
        <w:ind w:left="450" w:hanging="450"/>
        <w:jc w:val="both"/>
        <w:rPr>
          <w:rFonts w:asciiTheme="minorHAnsi" w:hAnsiTheme="minorHAnsi"/>
          <w:lang w:val="en-US"/>
        </w:rPr>
      </w:pPr>
      <w:hyperlink r:id="rId310" w:history="1">
        <w:r w:rsidR="006607B8" w:rsidRPr="005A464E">
          <w:rPr>
            <w:rStyle w:val="highlight"/>
            <w:rFonts w:asciiTheme="minorHAnsi" w:hAnsiTheme="minorHAnsi" w:cstheme="minorHAnsi"/>
            <w:lang w:val="en-US"/>
          </w:rPr>
          <w:t>Parmar,</w:t>
        </w:r>
        <w:r w:rsidR="006607B8" w:rsidRPr="005A464E">
          <w:rPr>
            <w:rStyle w:val="apple-converted-space"/>
            <w:rFonts w:asciiTheme="minorHAnsi" w:hAnsiTheme="minorHAnsi" w:cstheme="minorHAnsi"/>
            <w:lang w:val="en-US"/>
          </w:rPr>
          <w:t> </w:t>
        </w:r>
        <w:r w:rsidR="006607B8" w:rsidRPr="005A464E">
          <w:rPr>
            <w:rStyle w:val="-"/>
            <w:rFonts w:asciiTheme="minorHAnsi" w:hAnsiTheme="minorHAnsi" w:cstheme="minorHAnsi"/>
            <w:color w:val="auto"/>
            <w:u w:val="none"/>
            <w:lang w:val="en-US"/>
          </w:rPr>
          <w:t>M.S</w:t>
        </w:r>
      </w:hyperlink>
      <w:r w:rsidR="006607B8" w:rsidRPr="005A464E">
        <w:rPr>
          <w:rFonts w:asciiTheme="minorHAnsi" w:hAnsiTheme="minorHAnsi" w:cstheme="minorHAnsi"/>
          <w:lang w:val="en-US"/>
        </w:rPr>
        <w:t>. (2002).</w:t>
      </w:r>
      <w:r w:rsidR="0078495A">
        <w:rPr>
          <w:rFonts w:asciiTheme="minorHAnsi" w:hAnsiTheme="minorHAnsi" w:cstheme="minorHAnsi"/>
          <w:lang w:val="en-US"/>
        </w:rPr>
        <w:t xml:space="preserve"> </w:t>
      </w:r>
      <w:r w:rsidR="006607B8" w:rsidRPr="005A464E">
        <w:rPr>
          <w:rStyle w:val="highlight"/>
          <w:rFonts w:asciiTheme="minorHAnsi" w:hAnsiTheme="minorHAnsi" w:cstheme="minorHAnsi"/>
          <w:lang w:val="en-US"/>
        </w:rPr>
        <w:t>Chronic renal disease</w:t>
      </w:r>
      <w:r w:rsidR="006607B8" w:rsidRPr="005A464E">
        <w:rPr>
          <w:rFonts w:asciiTheme="minorHAnsi" w:hAnsiTheme="minorHAnsi" w:cstheme="minorHAnsi"/>
          <w:lang w:val="en-US"/>
        </w:rPr>
        <w:t xml:space="preserve">. </w:t>
      </w:r>
      <w:hyperlink r:id="rId311" w:tooltip="BMJ (Clinical research ed.)." w:history="1">
        <w:r w:rsidR="006607B8" w:rsidRPr="005A464E">
          <w:rPr>
            <w:rStyle w:val="-"/>
            <w:rFonts w:asciiTheme="minorHAnsi" w:hAnsiTheme="minorHAnsi" w:cstheme="minorHAnsi"/>
            <w:i/>
            <w:color w:val="auto"/>
            <w:u w:val="none"/>
            <w:lang w:val="en-US"/>
          </w:rPr>
          <w:t>BMJ</w:t>
        </w:r>
        <w:r w:rsidR="006607B8" w:rsidRPr="00D0287F">
          <w:rPr>
            <w:rStyle w:val="-"/>
            <w:rFonts w:asciiTheme="minorHAnsi" w:hAnsiTheme="minorHAnsi" w:cstheme="minorHAnsi"/>
            <w:i/>
            <w:color w:val="auto"/>
            <w:u w:val="none"/>
            <w:lang w:val="en-US"/>
          </w:rPr>
          <w:t>,</w:t>
        </w:r>
      </w:hyperlink>
      <w:r w:rsidR="003104C9" w:rsidRPr="00D0287F">
        <w:rPr>
          <w:rFonts w:asciiTheme="minorHAnsi" w:hAnsiTheme="minorHAnsi" w:cstheme="minorHAnsi"/>
          <w:lang w:val="en-US"/>
        </w:rPr>
        <w:t xml:space="preserve"> </w:t>
      </w:r>
      <w:r w:rsidR="003104C9" w:rsidRPr="00D0287F">
        <w:rPr>
          <w:rFonts w:asciiTheme="minorHAnsi" w:hAnsiTheme="minorHAnsi" w:cstheme="minorHAnsi"/>
          <w:i/>
          <w:lang w:val="en-US"/>
        </w:rPr>
        <w:t>325,</w:t>
      </w:r>
      <w:r w:rsidR="006607B8" w:rsidRPr="00D0287F">
        <w:rPr>
          <w:rFonts w:asciiTheme="minorHAnsi" w:hAnsiTheme="minorHAnsi" w:cstheme="minorHAnsi"/>
          <w:lang w:val="en-US"/>
        </w:rPr>
        <w:t xml:space="preserve"> 85-90.</w:t>
      </w:r>
    </w:p>
    <w:p w:rsidR="003C410F" w:rsidRDefault="008F3609" w:rsidP="005A464E">
      <w:pPr>
        <w:pStyle w:val="Web"/>
        <w:spacing w:after="180" w:line="360" w:lineRule="auto"/>
        <w:ind w:left="450" w:hanging="450"/>
        <w:jc w:val="both"/>
        <w:rPr>
          <w:rFonts w:asciiTheme="minorHAnsi" w:eastAsia="Times New Roman" w:hAnsiTheme="minorHAnsi" w:cstheme="minorHAnsi"/>
          <w:lang w:val="en-US" w:eastAsia="el-GR"/>
        </w:rPr>
      </w:pPr>
      <w:hyperlink r:id="rId312" w:history="1">
        <w:r w:rsidR="003C410F" w:rsidRPr="005A464E">
          <w:rPr>
            <w:rFonts w:asciiTheme="minorHAnsi" w:eastAsia="Times New Roman" w:hAnsiTheme="minorHAnsi" w:cstheme="minorHAnsi"/>
            <w:lang w:val="en-US" w:eastAsia="el-GR"/>
          </w:rPr>
          <w:t>Parvan</w:t>
        </w:r>
        <w:r w:rsidR="003C410F" w:rsidRPr="00D0287F">
          <w:rPr>
            <w:rFonts w:asciiTheme="minorHAnsi" w:eastAsia="Times New Roman" w:hAnsiTheme="minorHAnsi" w:cstheme="minorHAnsi"/>
            <w:lang w:val="en-US" w:eastAsia="el-GR"/>
          </w:rPr>
          <w:t xml:space="preserve">, </w:t>
        </w:r>
        <w:r w:rsidR="003C410F" w:rsidRPr="005A464E">
          <w:rPr>
            <w:rFonts w:asciiTheme="minorHAnsi" w:eastAsia="Times New Roman" w:hAnsiTheme="minorHAnsi" w:cstheme="minorHAnsi"/>
            <w:lang w:val="en-US" w:eastAsia="el-GR"/>
          </w:rPr>
          <w:t>K</w:t>
        </w:r>
      </w:hyperlink>
      <w:r w:rsidR="003C410F" w:rsidRPr="00D0287F">
        <w:rPr>
          <w:rFonts w:asciiTheme="minorHAnsi" w:hAnsiTheme="minorHAnsi" w:cstheme="minorHAnsi"/>
          <w:lang w:val="en-US"/>
        </w:rPr>
        <w:t>.</w:t>
      </w:r>
      <w:r w:rsidR="003C410F" w:rsidRPr="00D0287F">
        <w:rPr>
          <w:rFonts w:asciiTheme="minorHAnsi" w:eastAsia="Times New Roman" w:hAnsiTheme="minorHAnsi" w:cstheme="minorHAnsi"/>
          <w:lang w:val="en-US" w:eastAsia="el-GR"/>
        </w:rPr>
        <w:t>,</w:t>
      </w:r>
      <w:r w:rsidR="003C410F" w:rsidRPr="005A464E">
        <w:rPr>
          <w:rFonts w:asciiTheme="minorHAnsi" w:eastAsia="Times New Roman" w:hAnsiTheme="minorHAnsi" w:cstheme="minorHAnsi"/>
          <w:lang w:val="en-US" w:eastAsia="el-GR"/>
        </w:rPr>
        <w:t> </w:t>
      </w:r>
      <w:hyperlink r:id="rId313" w:history="1">
        <w:r w:rsidR="003C410F" w:rsidRPr="005A464E">
          <w:rPr>
            <w:rFonts w:asciiTheme="minorHAnsi" w:eastAsia="Times New Roman" w:hAnsiTheme="minorHAnsi" w:cstheme="minorHAnsi"/>
            <w:lang w:val="en-US" w:eastAsia="el-GR"/>
          </w:rPr>
          <w:t>Ahangar</w:t>
        </w:r>
        <w:r w:rsidR="003C410F" w:rsidRPr="00D0287F">
          <w:rPr>
            <w:rFonts w:asciiTheme="minorHAnsi" w:eastAsia="Times New Roman" w:hAnsiTheme="minorHAnsi" w:cstheme="minorHAnsi"/>
            <w:lang w:val="en-US" w:eastAsia="el-GR"/>
          </w:rPr>
          <w:t xml:space="preserve">, </w:t>
        </w:r>
        <w:r w:rsidR="003C410F" w:rsidRPr="005A464E">
          <w:rPr>
            <w:rFonts w:asciiTheme="minorHAnsi" w:eastAsia="Times New Roman" w:hAnsiTheme="minorHAnsi" w:cstheme="minorHAnsi"/>
            <w:lang w:val="en-US" w:eastAsia="el-GR"/>
          </w:rPr>
          <w:t>R</w:t>
        </w:r>
      </w:hyperlink>
      <w:r w:rsidR="003C410F" w:rsidRPr="00D0287F">
        <w:rPr>
          <w:rFonts w:asciiTheme="minorHAnsi" w:hAnsiTheme="minorHAnsi" w:cstheme="minorHAnsi"/>
          <w:lang w:val="en-US"/>
        </w:rPr>
        <w:t>.</w:t>
      </w:r>
      <w:r w:rsidR="003C410F" w:rsidRPr="00D0287F">
        <w:rPr>
          <w:rFonts w:asciiTheme="minorHAnsi" w:eastAsia="Times New Roman" w:hAnsiTheme="minorHAnsi" w:cstheme="minorHAnsi"/>
          <w:lang w:val="en-US" w:eastAsia="el-GR"/>
        </w:rPr>
        <w:t>,</w:t>
      </w:r>
      <w:r w:rsidR="003C410F" w:rsidRPr="005A464E">
        <w:rPr>
          <w:rFonts w:asciiTheme="minorHAnsi" w:eastAsia="Times New Roman" w:hAnsiTheme="minorHAnsi" w:cstheme="minorHAnsi"/>
          <w:lang w:val="en-US" w:eastAsia="el-GR"/>
        </w:rPr>
        <w:t> </w:t>
      </w:r>
      <w:hyperlink r:id="rId314" w:history="1">
        <w:r w:rsidR="003C410F" w:rsidRPr="005A464E">
          <w:rPr>
            <w:rFonts w:asciiTheme="minorHAnsi" w:eastAsia="Times New Roman" w:hAnsiTheme="minorHAnsi" w:cstheme="minorHAnsi"/>
            <w:lang w:val="en-US" w:eastAsia="el-GR"/>
          </w:rPr>
          <w:t>Hosseini</w:t>
        </w:r>
        <w:r w:rsidR="003C410F" w:rsidRPr="00D0287F">
          <w:rPr>
            <w:rFonts w:asciiTheme="minorHAnsi" w:eastAsia="Times New Roman" w:hAnsiTheme="minorHAnsi" w:cstheme="minorHAnsi"/>
            <w:lang w:val="en-US" w:eastAsia="el-GR"/>
          </w:rPr>
          <w:t xml:space="preserve">, </w:t>
        </w:r>
        <w:r w:rsidR="003C410F" w:rsidRPr="005A464E">
          <w:rPr>
            <w:rFonts w:asciiTheme="minorHAnsi" w:eastAsia="Times New Roman" w:hAnsiTheme="minorHAnsi" w:cstheme="minorHAnsi"/>
            <w:lang w:val="en-US" w:eastAsia="el-GR"/>
          </w:rPr>
          <w:t>F</w:t>
        </w:r>
        <w:r w:rsidR="003C410F" w:rsidRPr="00D0287F">
          <w:rPr>
            <w:rFonts w:asciiTheme="minorHAnsi" w:eastAsia="Times New Roman" w:hAnsiTheme="minorHAnsi" w:cstheme="minorHAnsi"/>
            <w:lang w:val="en-US" w:eastAsia="el-GR"/>
          </w:rPr>
          <w:t>.</w:t>
        </w:r>
        <w:r w:rsidR="003C410F" w:rsidRPr="005A464E">
          <w:rPr>
            <w:rFonts w:asciiTheme="minorHAnsi" w:eastAsia="Times New Roman" w:hAnsiTheme="minorHAnsi" w:cstheme="minorHAnsi"/>
            <w:lang w:val="en-US" w:eastAsia="el-GR"/>
          </w:rPr>
          <w:t>A</w:t>
        </w:r>
      </w:hyperlink>
      <w:r w:rsidR="003C410F" w:rsidRPr="00D0287F">
        <w:rPr>
          <w:rFonts w:asciiTheme="minorHAnsi" w:hAnsiTheme="minorHAnsi" w:cstheme="minorHAnsi"/>
          <w:lang w:val="en-US"/>
        </w:rPr>
        <w:t>.</w:t>
      </w:r>
      <w:r w:rsidR="003C410F" w:rsidRPr="00D0287F">
        <w:rPr>
          <w:rFonts w:asciiTheme="minorHAnsi" w:eastAsia="Times New Roman" w:hAnsiTheme="minorHAnsi" w:cstheme="minorHAnsi"/>
          <w:lang w:val="en-US" w:eastAsia="el-GR"/>
        </w:rPr>
        <w:t>,</w:t>
      </w:r>
      <w:r w:rsidR="003C410F" w:rsidRPr="005A464E">
        <w:rPr>
          <w:rFonts w:asciiTheme="minorHAnsi" w:eastAsia="Times New Roman" w:hAnsiTheme="minorHAnsi" w:cstheme="minorHAnsi"/>
          <w:lang w:val="en-US" w:eastAsia="el-GR"/>
        </w:rPr>
        <w:t> </w:t>
      </w:r>
      <w:hyperlink r:id="rId315" w:history="1">
        <w:r w:rsidR="003C410F" w:rsidRPr="005A464E">
          <w:rPr>
            <w:rFonts w:asciiTheme="minorHAnsi" w:eastAsia="Times New Roman" w:hAnsiTheme="minorHAnsi" w:cstheme="minorHAnsi"/>
            <w:lang w:val="en-US" w:eastAsia="el-GR"/>
          </w:rPr>
          <w:t>Abdollahzadeh</w:t>
        </w:r>
        <w:r w:rsidR="003C410F" w:rsidRPr="00D0287F">
          <w:rPr>
            <w:rFonts w:asciiTheme="minorHAnsi" w:eastAsia="Times New Roman" w:hAnsiTheme="minorHAnsi" w:cstheme="minorHAnsi"/>
            <w:lang w:val="en-US" w:eastAsia="el-GR"/>
          </w:rPr>
          <w:t xml:space="preserve">, </w:t>
        </w:r>
        <w:r w:rsidR="003C410F" w:rsidRPr="005A464E">
          <w:rPr>
            <w:rFonts w:asciiTheme="minorHAnsi" w:eastAsia="Times New Roman" w:hAnsiTheme="minorHAnsi" w:cstheme="minorHAnsi"/>
            <w:lang w:val="en-US" w:eastAsia="el-GR"/>
          </w:rPr>
          <w:t>F</w:t>
        </w:r>
      </w:hyperlink>
      <w:r w:rsidR="003C410F" w:rsidRPr="00D0287F">
        <w:rPr>
          <w:rFonts w:asciiTheme="minorHAnsi" w:hAnsiTheme="minorHAnsi" w:cstheme="minorHAnsi"/>
          <w:lang w:val="en-US"/>
        </w:rPr>
        <w:t>.</w:t>
      </w:r>
      <w:r w:rsidR="003C410F" w:rsidRPr="00D0287F">
        <w:rPr>
          <w:rFonts w:asciiTheme="minorHAnsi" w:eastAsia="Times New Roman" w:hAnsiTheme="minorHAnsi" w:cstheme="minorHAnsi"/>
          <w:lang w:val="en-US" w:eastAsia="el-GR"/>
        </w:rPr>
        <w:t>,</w:t>
      </w:r>
      <w:r w:rsidR="003C410F" w:rsidRPr="005A464E">
        <w:rPr>
          <w:rFonts w:asciiTheme="minorHAnsi" w:eastAsia="Times New Roman" w:hAnsiTheme="minorHAnsi" w:cstheme="minorHAnsi"/>
          <w:lang w:val="en-US" w:eastAsia="el-GR"/>
        </w:rPr>
        <w:t> </w:t>
      </w:r>
      <w:hyperlink r:id="rId316" w:history="1">
        <w:r w:rsidR="003C410F" w:rsidRPr="005A464E">
          <w:rPr>
            <w:rFonts w:asciiTheme="minorHAnsi" w:eastAsia="Times New Roman" w:hAnsiTheme="minorHAnsi" w:cstheme="minorHAnsi"/>
            <w:lang w:val="en-US" w:eastAsia="el-GR"/>
          </w:rPr>
          <w:t>Ghojazadeh</w:t>
        </w:r>
        <w:r w:rsidR="003C410F" w:rsidRPr="00D0287F">
          <w:rPr>
            <w:rFonts w:asciiTheme="minorHAnsi" w:eastAsia="Times New Roman" w:hAnsiTheme="minorHAnsi" w:cstheme="minorHAnsi"/>
            <w:lang w:val="en-US" w:eastAsia="el-GR"/>
          </w:rPr>
          <w:t xml:space="preserve">, </w:t>
        </w:r>
        <w:r w:rsidR="003C410F" w:rsidRPr="005A464E">
          <w:rPr>
            <w:rFonts w:asciiTheme="minorHAnsi" w:eastAsia="Times New Roman" w:hAnsiTheme="minorHAnsi" w:cstheme="minorHAnsi"/>
            <w:lang w:val="en-US" w:eastAsia="el-GR"/>
          </w:rPr>
          <w:t>M</w:t>
        </w:r>
      </w:hyperlink>
      <w:r w:rsidR="003C410F" w:rsidRPr="00D0287F">
        <w:rPr>
          <w:rFonts w:asciiTheme="minorHAnsi" w:hAnsiTheme="minorHAnsi" w:cstheme="minorHAnsi"/>
          <w:lang w:val="en-US"/>
        </w:rPr>
        <w:t>.</w:t>
      </w:r>
      <w:r w:rsidR="003C410F" w:rsidRPr="00D0287F">
        <w:rPr>
          <w:rFonts w:asciiTheme="minorHAnsi" w:eastAsia="Times New Roman" w:hAnsiTheme="minorHAnsi" w:cstheme="minorHAnsi"/>
          <w:lang w:val="en-US" w:eastAsia="el-GR"/>
        </w:rPr>
        <w:t>,</w:t>
      </w:r>
      <w:r w:rsidR="003C410F" w:rsidRPr="005A464E">
        <w:rPr>
          <w:rFonts w:asciiTheme="minorHAnsi" w:eastAsia="Times New Roman" w:hAnsiTheme="minorHAnsi" w:cstheme="minorHAnsi"/>
          <w:lang w:val="en-US" w:eastAsia="el-GR"/>
        </w:rPr>
        <w:t> </w:t>
      </w:r>
      <w:hyperlink r:id="rId317" w:history="1">
        <w:r w:rsidR="003C410F" w:rsidRPr="005A464E">
          <w:rPr>
            <w:rFonts w:asciiTheme="minorHAnsi" w:eastAsia="Times New Roman" w:hAnsiTheme="minorHAnsi" w:cstheme="minorHAnsi"/>
            <w:lang w:val="en-US" w:eastAsia="el-GR"/>
          </w:rPr>
          <w:t>Jasemi</w:t>
        </w:r>
        <w:r w:rsidR="003C410F" w:rsidRPr="00D0287F">
          <w:rPr>
            <w:rFonts w:asciiTheme="minorHAnsi" w:eastAsia="Times New Roman" w:hAnsiTheme="minorHAnsi" w:cstheme="minorHAnsi"/>
            <w:lang w:val="en-US" w:eastAsia="el-GR"/>
          </w:rPr>
          <w:t xml:space="preserve">, </w:t>
        </w:r>
        <w:r w:rsidR="003C410F" w:rsidRPr="005A464E">
          <w:rPr>
            <w:rFonts w:asciiTheme="minorHAnsi" w:eastAsia="Times New Roman" w:hAnsiTheme="minorHAnsi" w:cstheme="minorHAnsi"/>
            <w:lang w:val="en-US" w:eastAsia="el-GR"/>
          </w:rPr>
          <w:t>M</w:t>
        </w:r>
      </w:hyperlink>
      <w:r w:rsidR="003C410F" w:rsidRPr="00D0287F">
        <w:rPr>
          <w:rFonts w:asciiTheme="minorHAnsi" w:eastAsia="Times New Roman" w:hAnsiTheme="minorHAnsi" w:cstheme="minorHAnsi"/>
          <w:lang w:val="en-US" w:eastAsia="el-GR"/>
        </w:rPr>
        <w:t>.</w:t>
      </w:r>
      <w:r w:rsidR="00EF5348" w:rsidRPr="00D0287F">
        <w:rPr>
          <w:rFonts w:asciiTheme="minorHAnsi" w:eastAsia="Times New Roman" w:hAnsiTheme="minorHAnsi" w:cstheme="minorHAnsi"/>
          <w:lang w:val="en-US" w:eastAsia="el-GR"/>
        </w:rPr>
        <w:t xml:space="preserve"> </w:t>
      </w:r>
      <w:r w:rsidR="00E3713D">
        <w:rPr>
          <w:rFonts w:asciiTheme="minorHAnsi" w:eastAsia="Times New Roman" w:hAnsiTheme="minorHAnsi" w:cstheme="minorHAnsi"/>
          <w:lang w:val="en-US" w:eastAsia="el-GR"/>
        </w:rPr>
        <w:t>(2015a</w:t>
      </w:r>
      <w:r w:rsidR="003C410F" w:rsidRPr="005A464E">
        <w:rPr>
          <w:rFonts w:asciiTheme="minorHAnsi" w:eastAsia="Times New Roman" w:hAnsiTheme="minorHAnsi" w:cstheme="minorHAnsi"/>
          <w:lang w:val="en-US" w:eastAsia="el-GR"/>
        </w:rPr>
        <w:t xml:space="preserve">). </w:t>
      </w:r>
      <w:r w:rsidR="003C410F" w:rsidRPr="005A464E">
        <w:rPr>
          <w:rFonts w:asciiTheme="minorHAnsi" w:eastAsia="Times New Roman" w:hAnsiTheme="minorHAnsi" w:cstheme="minorHAnsi"/>
          <w:bCs/>
          <w:kern w:val="36"/>
          <w:lang w:val="en-US" w:eastAsia="el-GR"/>
        </w:rPr>
        <w:t xml:space="preserve">Coping methods to stress among patients on hemodialysis and peritoneal dialysis. </w:t>
      </w:r>
      <w:hyperlink r:id="rId318" w:tooltip="Saudi journal of kidney diseases and transplantation : an official publication of the Saudi Center for Organ Transplantation, Saudi Arabia." w:history="1">
        <w:r w:rsidR="003C410F" w:rsidRPr="005A464E">
          <w:rPr>
            <w:rFonts w:asciiTheme="minorHAnsi" w:eastAsia="Times New Roman" w:hAnsiTheme="minorHAnsi" w:cstheme="minorHAnsi"/>
            <w:i/>
            <w:lang w:val="en-US" w:eastAsia="el-GR"/>
          </w:rPr>
          <w:t>Saudi Journal of Kidney Diseases &amp; Transplantation,</w:t>
        </w:r>
      </w:hyperlink>
      <w:r w:rsidR="003104C9">
        <w:rPr>
          <w:rFonts w:asciiTheme="minorHAnsi" w:eastAsia="Times New Roman" w:hAnsiTheme="minorHAnsi" w:cstheme="minorHAnsi"/>
          <w:lang w:val="en-US" w:eastAsia="el-GR"/>
        </w:rPr>
        <w:t xml:space="preserve"> </w:t>
      </w:r>
      <w:r w:rsidR="003104C9" w:rsidRPr="003104C9">
        <w:rPr>
          <w:rFonts w:asciiTheme="minorHAnsi" w:eastAsia="Times New Roman" w:hAnsiTheme="minorHAnsi" w:cstheme="minorHAnsi"/>
          <w:i/>
          <w:lang w:val="en-US" w:eastAsia="el-GR"/>
        </w:rPr>
        <w:t>26</w:t>
      </w:r>
      <w:r w:rsidR="003C410F" w:rsidRPr="003104C9">
        <w:rPr>
          <w:rFonts w:asciiTheme="minorHAnsi" w:eastAsia="Times New Roman" w:hAnsiTheme="minorHAnsi" w:cstheme="minorHAnsi"/>
          <w:i/>
          <w:lang w:val="en-US" w:eastAsia="el-GR"/>
        </w:rPr>
        <w:t>,</w:t>
      </w:r>
      <w:r w:rsidR="003C410F" w:rsidRPr="005A464E">
        <w:rPr>
          <w:rFonts w:asciiTheme="minorHAnsi" w:eastAsia="Times New Roman" w:hAnsiTheme="minorHAnsi" w:cstheme="minorHAnsi"/>
          <w:lang w:val="en-US" w:eastAsia="el-GR"/>
        </w:rPr>
        <w:t xml:space="preserve"> 255-262</w:t>
      </w:r>
      <w:r w:rsidR="00EF5348" w:rsidRPr="005A464E">
        <w:rPr>
          <w:rFonts w:asciiTheme="minorHAnsi" w:eastAsia="Times New Roman" w:hAnsiTheme="minorHAnsi" w:cstheme="minorHAnsi"/>
          <w:lang w:val="en-US" w:eastAsia="el-GR"/>
        </w:rPr>
        <w:t>.</w:t>
      </w:r>
    </w:p>
    <w:p w:rsidR="00E3713D" w:rsidRPr="00E3713D" w:rsidRDefault="00E3713D" w:rsidP="00E3713D">
      <w:pPr>
        <w:pStyle w:val="Web"/>
        <w:spacing w:after="180" w:line="360" w:lineRule="auto"/>
        <w:ind w:left="450" w:hanging="450"/>
        <w:jc w:val="both"/>
        <w:rPr>
          <w:rFonts w:asciiTheme="minorHAnsi" w:hAnsiTheme="minorHAnsi"/>
          <w:lang w:val="en-US"/>
        </w:rPr>
      </w:pPr>
      <w:r w:rsidRPr="005A464E">
        <w:rPr>
          <w:rFonts w:asciiTheme="minorHAnsi" w:hAnsiTheme="minorHAnsi" w:cstheme="minorHAnsi"/>
          <w:shd w:val="clear" w:color="auto" w:fill="FFFFFF"/>
          <w:lang w:val="en-US"/>
        </w:rPr>
        <w:t>Parvan, K., Hasankhani, H., Seyyedrasooli, A., Ria</w:t>
      </w:r>
      <w:r>
        <w:rPr>
          <w:rFonts w:asciiTheme="minorHAnsi" w:hAnsiTheme="minorHAnsi" w:cstheme="minorHAnsi"/>
          <w:shd w:val="clear" w:color="auto" w:fill="FFFFFF"/>
          <w:lang w:val="en-US"/>
        </w:rPr>
        <w:t>hi, S.M., Ghorbani, M. (2015b</w:t>
      </w:r>
      <w:r w:rsidRPr="005A464E">
        <w:rPr>
          <w:rFonts w:asciiTheme="minorHAnsi" w:hAnsiTheme="minorHAnsi" w:cstheme="minorHAnsi"/>
          <w:shd w:val="clear" w:color="auto" w:fill="FFFFFF"/>
          <w:lang w:val="en-US"/>
        </w:rPr>
        <w:t>). The effect of two educational methods on knowledge and adherence to treatment in hemodialysis patients: clinical trial.</w:t>
      </w:r>
      <w:r w:rsidRPr="005A464E">
        <w:rPr>
          <w:rStyle w:val="apple-converted-space"/>
          <w:rFonts w:asciiTheme="minorHAnsi" w:hAnsiTheme="minorHAnsi" w:cstheme="minorHAnsi"/>
          <w:shd w:val="clear" w:color="auto" w:fill="FFFFFF"/>
          <w:lang w:val="en-US"/>
        </w:rPr>
        <w:t> </w:t>
      </w:r>
      <w:r w:rsidRPr="005A464E">
        <w:rPr>
          <w:rFonts w:asciiTheme="minorHAnsi" w:hAnsiTheme="minorHAnsi" w:cstheme="minorHAnsi"/>
          <w:i/>
          <w:iCs/>
          <w:shd w:val="clear" w:color="auto" w:fill="FFFFFF"/>
          <w:lang w:val="en-US"/>
        </w:rPr>
        <w:t>Journal of Caring Sciences</w:t>
      </w:r>
      <w:r w:rsidR="003104C9">
        <w:rPr>
          <w:rFonts w:asciiTheme="minorHAnsi" w:hAnsiTheme="minorHAnsi" w:cstheme="minorHAnsi"/>
          <w:shd w:val="clear" w:color="auto" w:fill="FFFFFF"/>
          <w:lang w:val="en-US"/>
        </w:rPr>
        <w:t xml:space="preserve">, </w:t>
      </w:r>
      <w:r w:rsidR="003104C9" w:rsidRPr="003104C9">
        <w:rPr>
          <w:rFonts w:asciiTheme="minorHAnsi" w:hAnsiTheme="minorHAnsi" w:cstheme="minorHAnsi"/>
          <w:i/>
          <w:shd w:val="clear" w:color="auto" w:fill="FFFFFF"/>
          <w:lang w:val="en-US"/>
        </w:rPr>
        <w:t>4</w:t>
      </w:r>
      <w:r w:rsidR="003104C9">
        <w:rPr>
          <w:rFonts w:asciiTheme="minorHAnsi" w:hAnsiTheme="minorHAnsi" w:cstheme="minorHAnsi"/>
          <w:shd w:val="clear" w:color="auto" w:fill="FFFFFF"/>
          <w:lang w:val="en-US"/>
        </w:rPr>
        <w:t xml:space="preserve">, </w:t>
      </w:r>
      <w:r w:rsidRPr="005A464E">
        <w:rPr>
          <w:rFonts w:asciiTheme="minorHAnsi" w:hAnsiTheme="minorHAnsi" w:cstheme="minorHAnsi"/>
          <w:shd w:val="clear" w:color="auto" w:fill="FFFFFF"/>
          <w:lang w:val="en-US"/>
        </w:rPr>
        <w:t>83-93.</w:t>
      </w:r>
    </w:p>
    <w:p w:rsidR="003C410F" w:rsidRPr="005A464E" w:rsidRDefault="003C410F" w:rsidP="005A464E">
      <w:pPr>
        <w:pStyle w:val="Web"/>
        <w:spacing w:after="180" w:line="360" w:lineRule="auto"/>
        <w:ind w:left="450" w:hanging="450"/>
        <w:jc w:val="both"/>
        <w:rPr>
          <w:rFonts w:asciiTheme="minorHAnsi" w:eastAsia="Times New Roman" w:hAnsiTheme="minorHAnsi" w:cstheme="minorHAnsi"/>
          <w:highlight w:val="yellow"/>
          <w:lang w:val="en-US" w:eastAsia="el-GR"/>
        </w:rPr>
      </w:pPr>
      <w:r w:rsidRPr="005A464E">
        <w:rPr>
          <w:rFonts w:asciiTheme="minorHAnsi" w:hAnsiTheme="minorHAnsi" w:cstheme="minorHAnsi"/>
          <w:shd w:val="clear" w:color="auto" w:fill="FFFFFF"/>
          <w:lang w:val="en-US"/>
        </w:rPr>
        <w:t>Patel, S., Shah, V., Peterson, R., &amp; Kimmel, P. (2002). Psychosocial variables, quality of life, and religious beliefs in ESRD patients treated with hemodialysis.</w:t>
      </w:r>
      <w:r w:rsidRPr="005A464E">
        <w:rPr>
          <w:rStyle w:val="apple-converted-space"/>
          <w:rFonts w:asciiTheme="minorHAnsi" w:hAnsiTheme="minorHAnsi" w:cstheme="minorHAnsi"/>
          <w:shd w:val="clear" w:color="auto" w:fill="FFFFFF"/>
          <w:lang w:val="en-US"/>
        </w:rPr>
        <w:t> </w:t>
      </w:r>
      <w:r w:rsidR="005766B3" w:rsidRPr="005A464E">
        <w:rPr>
          <w:rFonts w:asciiTheme="minorHAnsi" w:hAnsiTheme="minorHAnsi" w:cstheme="minorHAnsi"/>
          <w:i/>
          <w:iCs/>
          <w:shd w:val="clear" w:color="auto" w:fill="FFFFFF"/>
          <w:lang w:val="en-US"/>
        </w:rPr>
        <w:t>American Journal o</w:t>
      </w:r>
      <w:r w:rsidRPr="005A464E">
        <w:rPr>
          <w:rFonts w:asciiTheme="minorHAnsi" w:hAnsiTheme="minorHAnsi" w:cstheme="minorHAnsi"/>
          <w:i/>
          <w:iCs/>
          <w:shd w:val="clear" w:color="auto" w:fill="FFFFFF"/>
          <w:lang w:val="en-US"/>
        </w:rPr>
        <w:t>f Kidney Diseases</w:t>
      </w:r>
      <w:r w:rsidRPr="005A464E">
        <w:rPr>
          <w:rFonts w:asciiTheme="minorHAnsi" w:hAnsiTheme="minorHAnsi" w:cstheme="minorHAnsi"/>
          <w:shd w:val="clear" w:color="auto" w:fill="FFFFFF"/>
          <w:lang w:val="en-US"/>
        </w:rPr>
        <w:t>,</w:t>
      </w:r>
      <w:r w:rsidRPr="005A464E">
        <w:rPr>
          <w:rStyle w:val="apple-converted-space"/>
          <w:rFonts w:asciiTheme="minorHAnsi" w:hAnsiTheme="minorHAnsi" w:cstheme="minorHAnsi"/>
          <w:shd w:val="clear" w:color="auto" w:fill="FFFFFF"/>
          <w:lang w:val="en-US"/>
        </w:rPr>
        <w:t> </w:t>
      </w:r>
      <w:r w:rsidRPr="003104C9">
        <w:rPr>
          <w:rFonts w:asciiTheme="minorHAnsi" w:hAnsiTheme="minorHAnsi" w:cstheme="minorHAnsi"/>
          <w:i/>
          <w:iCs/>
          <w:shd w:val="clear" w:color="auto" w:fill="FFFFFF"/>
          <w:lang w:val="en-US"/>
        </w:rPr>
        <w:t>40</w:t>
      </w:r>
      <w:r w:rsidRPr="005A464E">
        <w:rPr>
          <w:rFonts w:asciiTheme="minorHAnsi" w:hAnsiTheme="minorHAnsi" w:cstheme="minorHAnsi"/>
          <w:shd w:val="clear" w:color="auto" w:fill="FFFFFF"/>
          <w:lang w:val="en-US"/>
        </w:rPr>
        <w:t>, 1013-1022. http://dx.</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.org/10.1053/ajkd.2002.36336</w:t>
      </w:r>
      <w:r w:rsidRPr="005A464E">
        <w:rPr>
          <w:rFonts w:asciiTheme="minorHAnsi" w:eastAsia="Times New Roman" w:hAnsiTheme="minorHAnsi" w:cstheme="minorHAnsi"/>
          <w:highlight w:val="yellow"/>
          <w:lang w:val="en-US" w:eastAsia="el-GR"/>
        </w:rPr>
        <w:t xml:space="preserve"> </w:t>
      </w:r>
    </w:p>
    <w:p w:rsidR="00441D29" w:rsidRPr="00441D29" w:rsidRDefault="003C410F" w:rsidP="00441D29">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Peplau, H.E. (1994). QOL:</w:t>
      </w:r>
      <w:r w:rsidR="0078495A">
        <w:rPr>
          <w:rFonts w:asciiTheme="minorHAnsi" w:hAnsiTheme="minorHAnsi" w:cstheme="minorHAnsi"/>
          <w:lang w:val="en-US"/>
        </w:rPr>
        <w:t xml:space="preserve"> </w:t>
      </w:r>
      <w:r w:rsidRPr="005A464E">
        <w:rPr>
          <w:rFonts w:asciiTheme="minorHAnsi" w:hAnsiTheme="minorHAnsi" w:cstheme="minorHAnsi"/>
          <w:lang w:val="en-US"/>
        </w:rPr>
        <w:t xml:space="preserve">An interpersonal perspective. </w:t>
      </w:r>
      <w:r w:rsidRPr="005A464E">
        <w:rPr>
          <w:rFonts w:asciiTheme="minorHAnsi" w:hAnsiTheme="minorHAnsi" w:cstheme="minorHAnsi"/>
          <w:i/>
          <w:iCs/>
          <w:lang w:val="en-US"/>
        </w:rPr>
        <w:t xml:space="preserve">Nursing Science </w:t>
      </w:r>
      <w:r w:rsidRPr="003104C9">
        <w:rPr>
          <w:rFonts w:asciiTheme="minorHAnsi" w:hAnsiTheme="minorHAnsi" w:cstheme="minorHAnsi"/>
          <w:i/>
          <w:iCs/>
          <w:lang w:val="en-US"/>
        </w:rPr>
        <w:t>Quarterly</w:t>
      </w:r>
      <w:r w:rsidRPr="003104C9">
        <w:rPr>
          <w:rFonts w:asciiTheme="minorHAnsi" w:hAnsiTheme="minorHAnsi" w:cstheme="minorHAnsi"/>
          <w:i/>
          <w:lang w:val="en-US"/>
        </w:rPr>
        <w:t xml:space="preserve">, </w:t>
      </w:r>
      <w:r w:rsidRPr="003104C9">
        <w:rPr>
          <w:rFonts w:asciiTheme="minorHAnsi" w:hAnsiTheme="minorHAnsi" w:cstheme="minorHAnsi"/>
          <w:i/>
          <w:iCs/>
          <w:lang w:val="en-US"/>
        </w:rPr>
        <w:t>7</w:t>
      </w:r>
      <w:r w:rsidRPr="003104C9">
        <w:rPr>
          <w:rFonts w:asciiTheme="minorHAnsi" w:hAnsiTheme="minorHAnsi" w:cstheme="minorHAnsi"/>
          <w:i/>
          <w:lang w:val="en-US"/>
        </w:rPr>
        <w:t>,</w:t>
      </w:r>
      <w:r w:rsidRPr="005A464E">
        <w:rPr>
          <w:rFonts w:asciiTheme="minorHAnsi" w:hAnsiTheme="minorHAnsi" w:cstheme="minorHAnsi"/>
          <w:lang w:val="en-US"/>
        </w:rPr>
        <w:t xml:space="preserve"> 10-15.</w:t>
      </w:r>
    </w:p>
    <w:p w:rsidR="00441D29" w:rsidRDefault="008F3609" w:rsidP="00441D29">
      <w:pPr>
        <w:pStyle w:val="Web"/>
        <w:spacing w:after="180" w:line="360" w:lineRule="auto"/>
        <w:ind w:left="450" w:hanging="450"/>
        <w:jc w:val="both"/>
        <w:rPr>
          <w:rFonts w:asciiTheme="minorHAnsi" w:hAnsiTheme="minorHAnsi" w:cstheme="minorHAnsi"/>
          <w:color w:val="000000"/>
          <w:lang w:val="en-US"/>
        </w:rPr>
      </w:pPr>
      <w:hyperlink r:id="rId319" w:history="1">
        <w:r w:rsidR="00441D29" w:rsidRPr="00B84ACC">
          <w:rPr>
            <w:rStyle w:val="-"/>
            <w:rFonts w:asciiTheme="minorHAnsi" w:hAnsiTheme="minorHAnsi" w:cstheme="minorHAnsi"/>
            <w:color w:val="auto"/>
            <w:u w:val="none"/>
            <w:lang w:val="en-US"/>
          </w:rPr>
          <w:t>Perico, N</w:t>
        </w:r>
      </w:hyperlink>
      <w:r w:rsidR="00441D29" w:rsidRPr="00B84ACC">
        <w:rPr>
          <w:rFonts w:asciiTheme="minorHAnsi" w:hAnsiTheme="minorHAnsi" w:cstheme="minorHAnsi"/>
          <w:lang w:val="en-US"/>
        </w:rPr>
        <w:t>., &amp; </w:t>
      </w:r>
      <w:hyperlink r:id="rId320" w:history="1">
        <w:r w:rsidR="00441D29" w:rsidRPr="00B84ACC">
          <w:rPr>
            <w:rStyle w:val="-"/>
            <w:rFonts w:asciiTheme="minorHAnsi" w:hAnsiTheme="minorHAnsi" w:cstheme="minorHAnsi"/>
            <w:color w:val="auto"/>
            <w:u w:val="none"/>
            <w:lang w:val="en-US"/>
          </w:rPr>
          <w:t>Remuzzi, G</w:t>
        </w:r>
      </w:hyperlink>
      <w:r w:rsidR="00441D29" w:rsidRPr="00B84ACC">
        <w:rPr>
          <w:rFonts w:asciiTheme="minorHAnsi" w:hAnsiTheme="minorHAnsi" w:cstheme="minorHAnsi"/>
          <w:lang w:val="en-US"/>
        </w:rPr>
        <w:t>. (2015). Ne</w:t>
      </w:r>
      <w:r w:rsidR="00441D29" w:rsidRPr="00441D29">
        <w:rPr>
          <w:rFonts w:asciiTheme="minorHAnsi" w:hAnsiTheme="minorHAnsi" w:cstheme="minorHAnsi"/>
          <w:color w:val="000000"/>
          <w:lang w:val="en-US"/>
        </w:rPr>
        <w:t xml:space="preserve">ed for chronic kidney disease prevention programs in disadvantaged populations. </w:t>
      </w:r>
      <w:hyperlink r:id="rId321" w:tooltip="Clinical nephrology." w:history="1">
        <w:r w:rsidR="00441D29" w:rsidRPr="00441D29">
          <w:rPr>
            <w:rStyle w:val="-"/>
            <w:rFonts w:asciiTheme="minorHAnsi" w:hAnsiTheme="minorHAnsi" w:cstheme="minorHAnsi"/>
            <w:i/>
            <w:color w:val="auto"/>
            <w:u w:val="none"/>
            <w:lang w:val="en-US"/>
          </w:rPr>
          <w:t>Clin</w:t>
        </w:r>
        <w:r w:rsidR="00441D29" w:rsidRPr="00C7603C">
          <w:rPr>
            <w:rStyle w:val="-"/>
            <w:rFonts w:asciiTheme="minorHAnsi" w:hAnsiTheme="minorHAnsi" w:cstheme="minorHAnsi"/>
            <w:i/>
            <w:color w:val="auto"/>
            <w:u w:val="none"/>
            <w:lang w:val="en-US"/>
          </w:rPr>
          <w:t>ical</w:t>
        </w:r>
        <w:r w:rsidR="00441D29" w:rsidRPr="00441D29">
          <w:rPr>
            <w:rStyle w:val="-"/>
            <w:rFonts w:asciiTheme="minorHAnsi" w:hAnsiTheme="minorHAnsi" w:cstheme="minorHAnsi"/>
            <w:i/>
            <w:color w:val="auto"/>
            <w:u w:val="none"/>
            <w:lang w:val="en-US"/>
          </w:rPr>
          <w:t xml:space="preserve"> Nephrology,  </w:t>
        </w:r>
      </w:hyperlink>
      <w:r w:rsidR="00441D29" w:rsidRPr="00441D29">
        <w:rPr>
          <w:rFonts w:asciiTheme="minorHAnsi" w:hAnsiTheme="minorHAnsi" w:cstheme="minorHAnsi"/>
          <w:i/>
          <w:lang w:val="en-US"/>
        </w:rPr>
        <w:t>83</w:t>
      </w:r>
      <w:r w:rsidR="00441D29" w:rsidRPr="00441D29">
        <w:rPr>
          <w:rFonts w:asciiTheme="minorHAnsi" w:hAnsiTheme="minorHAnsi" w:cstheme="minorHAnsi"/>
          <w:lang w:val="en-US"/>
        </w:rPr>
        <w:t xml:space="preserve"> (7 Sup</w:t>
      </w:r>
      <w:r w:rsidR="00441D29" w:rsidRPr="00441D29">
        <w:rPr>
          <w:rFonts w:asciiTheme="minorHAnsi" w:hAnsiTheme="minorHAnsi" w:cstheme="minorHAnsi"/>
          <w:color w:val="000000"/>
          <w:lang w:val="en-US"/>
        </w:rPr>
        <w:t>pl 1):42-</w:t>
      </w:r>
      <w:r w:rsidR="00441D29">
        <w:rPr>
          <w:rFonts w:asciiTheme="minorHAnsi" w:hAnsiTheme="minorHAnsi" w:cstheme="minorHAnsi"/>
          <w:color w:val="000000"/>
          <w:lang w:val="en-US"/>
        </w:rPr>
        <w:t>48.</w:t>
      </w:r>
    </w:p>
    <w:p w:rsidR="003C410F" w:rsidRPr="00441D29" w:rsidRDefault="003C410F" w:rsidP="00441D29">
      <w:pPr>
        <w:pStyle w:val="Web"/>
        <w:spacing w:after="180" w:line="360" w:lineRule="auto"/>
        <w:ind w:left="450" w:hanging="450"/>
        <w:jc w:val="both"/>
        <w:rPr>
          <w:rFonts w:asciiTheme="minorHAnsi" w:hAnsiTheme="minorHAnsi" w:cstheme="minorHAnsi"/>
          <w:color w:val="000000"/>
          <w:lang w:val="en-US"/>
        </w:rPr>
      </w:pPr>
      <w:r w:rsidRPr="005A464E">
        <w:rPr>
          <w:rFonts w:asciiTheme="minorHAnsi" w:hAnsiTheme="minorHAnsi" w:cstheme="minorHAnsi"/>
          <w:shd w:val="clear" w:color="auto" w:fill="FFFFFF"/>
          <w:lang w:val="en-US"/>
        </w:rPr>
        <w:t>Petrie, K., Jago, L., &amp; Devcich, D. (2007). The role of illness perceptions in patients with medical conditions.</w:t>
      </w:r>
      <w:r w:rsidRPr="005A464E">
        <w:rPr>
          <w:rStyle w:val="apple-converted-space"/>
          <w:rFonts w:asciiTheme="minorHAnsi" w:hAnsiTheme="minorHAnsi" w:cstheme="minorHAnsi"/>
          <w:shd w:val="clear" w:color="auto" w:fill="FFFFFF"/>
          <w:lang w:val="en-US"/>
        </w:rPr>
        <w:t> </w:t>
      </w:r>
      <w:r w:rsidRPr="005A464E">
        <w:rPr>
          <w:rFonts w:asciiTheme="minorHAnsi" w:hAnsiTheme="minorHAnsi" w:cstheme="minorHAnsi"/>
          <w:i/>
          <w:iCs/>
          <w:shd w:val="clear" w:color="auto" w:fill="FFFFFF"/>
          <w:lang w:val="en-US"/>
        </w:rPr>
        <w:t xml:space="preserve">Current Opinion In </w:t>
      </w:r>
      <w:r w:rsidRPr="003104C9">
        <w:rPr>
          <w:rFonts w:asciiTheme="minorHAnsi" w:hAnsiTheme="minorHAnsi" w:cstheme="minorHAnsi"/>
          <w:i/>
          <w:iCs/>
          <w:shd w:val="clear" w:color="auto" w:fill="FFFFFF"/>
          <w:lang w:val="en-US"/>
        </w:rPr>
        <w:t>Psychiatry</w:t>
      </w:r>
      <w:r w:rsidRPr="003104C9">
        <w:rPr>
          <w:rFonts w:asciiTheme="minorHAnsi" w:hAnsiTheme="minorHAnsi" w:cstheme="minorHAnsi"/>
          <w:i/>
          <w:shd w:val="clear" w:color="auto" w:fill="FFFFFF"/>
          <w:lang w:val="en-US"/>
        </w:rPr>
        <w:t>,</w:t>
      </w:r>
      <w:r w:rsidRPr="003104C9">
        <w:rPr>
          <w:rStyle w:val="apple-converted-space"/>
          <w:rFonts w:asciiTheme="minorHAnsi" w:hAnsiTheme="minorHAnsi" w:cstheme="minorHAnsi"/>
          <w:i/>
          <w:shd w:val="clear" w:color="auto" w:fill="FFFFFF"/>
          <w:lang w:val="en-US"/>
        </w:rPr>
        <w:t> </w:t>
      </w:r>
      <w:r w:rsidRPr="003104C9">
        <w:rPr>
          <w:rFonts w:asciiTheme="minorHAnsi" w:hAnsiTheme="minorHAnsi" w:cstheme="minorHAnsi"/>
          <w:i/>
          <w:iCs/>
          <w:shd w:val="clear" w:color="auto" w:fill="FFFFFF"/>
          <w:lang w:val="en-US"/>
        </w:rPr>
        <w:t>20</w:t>
      </w:r>
      <w:r w:rsidRPr="003104C9">
        <w:rPr>
          <w:rFonts w:asciiTheme="minorHAnsi" w:hAnsiTheme="minorHAnsi" w:cstheme="minorHAnsi"/>
          <w:i/>
          <w:shd w:val="clear" w:color="auto" w:fill="FFFFFF"/>
          <w:lang w:val="en-US"/>
        </w:rPr>
        <w:t>,</w:t>
      </w:r>
      <w:r w:rsidRPr="005A464E">
        <w:rPr>
          <w:rFonts w:asciiTheme="minorHAnsi" w:hAnsiTheme="minorHAnsi" w:cstheme="minorHAnsi"/>
          <w:shd w:val="clear" w:color="auto" w:fill="FFFFFF"/>
          <w:lang w:val="en-US"/>
        </w:rPr>
        <w:t xml:space="preserve"> 163-167. </w:t>
      </w:r>
      <w:hyperlink r:id="rId322" w:history="1">
        <w:r w:rsidRPr="005A464E">
          <w:rPr>
            <w:rStyle w:val="-"/>
            <w:rFonts w:asciiTheme="minorHAnsi" w:hAnsiTheme="minorHAnsi" w:cstheme="minorHAnsi"/>
            <w:color w:val="auto"/>
            <w:u w:val="none"/>
            <w:shd w:val="clear" w:color="auto" w:fill="FFFFFF"/>
            <w:lang w:val="en-US"/>
          </w:rPr>
          <w:t>http://dx.</w:t>
        </w:r>
        <w:r w:rsidR="00292B29" w:rsidRPr="005A464E">
          <w:rPr>
            <w:rStyle w:val="-"/>
            <w:rFonts w:asciiTheme="minorHAnsi" w:hAnsiTheme="minorHAnsi" w:cstheme="minorHAnsi"/>
            <w:color w:val="auto"/>
            <w:u w:val="none"/>
            <w:shd w:val="clear" w:color="auto" w:fill="FFFFFF"/>
            <w:lang w:val="en-US"/>
          </w:rPr>
          <w:t>DOI</w:t>
        </w:r>
        <w:r w:rsidRPr="005A464E">
          <w:rPr>
            <w:rStyle w:val="-"/>
            <w:rFonts w:asciiTheme="minorHAnsi" w:hAnsiTheme="minorHAnsi" w:cstheme="minorHAnsi"/>
            <w:color w:val="auto"/>
            <w:u w:val="none"/>
            <w:shd w:val="clear" w:color="auto" w:fill="FFFFFF"/>
            <w:lang w:val="en-US"/>
          </w:rPr>
          <w:t>.org/10.1097/yco.0b013e328014a871</w:t>
        </w:r>
      </w:hyperlink>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shd w:val="clear" w:color="auto" w:fill="FFFFFF"/>
          <w:lang w:val="en-US"/>
        </w:rPr>
        <w:t>Piault, E., Doshi, S., Brandt, B., Angün, Ç., Evans, C., Bergqvist, A., &amp; Trocio, J. (2012). Linguistic validation of translation of the self-assessment goal achievement (saga) questionnaire from English.</w:t>
      </w:r>
      <w:r w:rsidRPr="005A464E">
        <w:rPr>
          <w:rStyle w:val="apple-converted-space"/>
          <w:rFonts w:asciiTheme="minorHAnsi" w:hAnsiTheme="minorHAnsi" w:cstheme="minorHAnsi"/>
          <w:shd w:val="clear" w:color="auto" w:fill="FFFFFF"/>
          <w:lang w:val="en-US"/>
        </w:rPr>
        <w:t> </w:t>
      </w:r>
      <w:r w:rsidR="00EF5348" w:rsidRPr="005A464E">
        <w:rPr>
          <w:rFonts w:asciiTheme="minorHAnsi" w:hAnsiTheme="minorHAnsi" w:cstheme="minorHAnsi"/>
          <w:i/>
          <w:iCs/>
          <w:shd w:val="clear" w:color="auto" w:fill="FFFFFF"/>
          <w:lang w:val="en-US"/>
        </w:rPr>
        <w:t>Health and Quality o</w:t>
      </w:r>
      <w:r w:rsidRPr="005A464E">
        <w:rPr>
          <w:rFonts w:asciiTheme="minorHAnsi" w:hAnsiTheme="minorHAnsi" w:cstheme="minorHAnsi"/>
          <w:i/>
          <w:iCs/>
          <w:shd w:val="clear" w:color="auto" w:fill="FFFFFF"/>
          <w:lang w:val="en-US"/>
        </w:rPr>
        <w:t>f Life Outcomes</w:t>
      </w:r>
      <w:r w:rsidRPr="005A464E">
        <w:rPr>
          <w:rFonts w:asciiTheme="minorHAnsi" w:hAnsiTheme="minorHAnsi" w:cstheme="minorHAnsi"/>
          <w:shd w:val="clear" w:color="auto" w:fill="FFFFFF"/>
          <w:lang w:val="en-US"/>
        </w:rPr>
        <w:t>,</w:t>
      </w:r>
      <w:r w:rsidRPr="005A464E">
        <w:rPr>
          <w:rStyle w:val="apple-converted-space"/>
          <w:rFonts w:asciiTheme="minorHAnsi" w:hAnsiTheme="minorHAnsi" w:cstheme="minorHAnsi"/>
          <w:shd w:val="clear" w:color="auto" w:fill="FFFFFF"/>
          <w:lang w:val="en-US"/>
        </w:rPr>
        <w:t> </w:t>
      </w:r>
      <w:r w:rsidRPr="003104C9">
        <w:rPr>
          <w:rFonts w:asciiTheme="minorHAnsi" w:hAnsiTheme="minorHAnsi" w:cstheme="minorHAnsi"/>
          <w:i/>
          <w:iCs/>
          <w:shd w:val="clear" w:color="auto" w:fill="FFFFFF"/>
          <w:lang w:val="en-US"/>
        </w:rPr>
        <w:t>10</w:t>
      </w:r>
      <w:r w:rsidRPr="005A464E">
        <w:rPr>
          <w:rFonts w:asciiTheme="minorHAnsi" w:hAnsiTheme="minorHAnsi" w:cstheme="minorHAnsi"/>
          <w:shd w:val="clear" w:color="auto" w:fill="FFFFFF"/>
          <w:lang w:val="en-US"/>
        </w:rPr>
        <w:t>, 40. http://dx.</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.org/10.1186/1477-7525-10-40</w:t>
      </w:r>
      <w:r w:rsidR="00EF5348" w:rsidRPr="005A464E">
        <w:rPr>
          <w:rFonts w:asciiTheme="minorHAnsi" w:hAnsiTheme="minorHAnsi" w:cstheme="minorHAnsi"/>
          <w:shd w:val="clear" w:color="auto" w:fill="FFFFFF"/>
          <w:lang w:val="en-US"/>
        </w:rPr>
        <w:t>.</w:t>
      </w:r>
      <w:r w:rsidRPr="005A464E">
        <w:rPr>
          <w:rFonts w:asciiTheme="minorHAnsi" w:eastAsia="Times New Roman" w:hAnsiTheme="minorHAnsi" w:cstheme="minorHAnsi"/>
          <w:highlight w:val="yellow"/>
          <w:lang w:val="en-US" w:eastAsia="el-GR"/>
        </w:rPr>
        <w:t xml:space="preserve"> </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Plantinga, L. (2005). Frequency of patient-physician contact in chronic kidney disease care and achievement of clinical performance targets.</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Int</w:t>
      </w:r>
      <w:r w:rsidR="00EF5348" w:rsidRPr="005A464E">
        <w:rPr>
          <w:rFonts w:asciiTheme="minorHAnsi" w:hAnsiTheme="minorHAnsi" w:cstheme="minorHAnsi"/>
          <w:i/>
          <w:iCs/>
          <w:lang w:val="en-US"/>
        </w:rPr>
        <w:t>ernational Journal For Quality i</w:t>
      </w:r>
      <w:r w:rsidRPr="005A464E">
        <w:rPr>
          <w:rFonts w:asciiTheme="minorHAnsi" w:hAnsiTheme="minorHAnsi" w:cstheme="minorHAnsi"/>
          <w:i/>
          <w:iCs/>
          <w:lang w:val="en-US"/>
        </w:rPr>
        <w:t>n Health Care</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3104C9">
        <w:rPr>
          <w:rFonts w:asciiTheme="minorHAnsi" w:hAnsiTheme="minorHAnsi" w:cstheme="minorHAnsi"/>
          <w:i/>
          <w:iCs/>
          <w:lang w:val="en-US"/>
        </w:rPr>
        <w:t>17</w:t>
      </w:r>
      <w:r w:rsidRPr="005A464E">
        <w:rPr>
          <w:rFonts w:asciiTheme="minorHAnsi" w:hAnsiTheme="minorHAnsi" w:cstheme="minorHAnsi"/>
          <w:lang w:val="en-US"/>
        </w:rPr>
        <w:t>, 115-121. http://dx.</w:t>
      </w:r>
      <w:r w:rsidR="00292B29" w:rsidRPr="005A464E">
        <w:rPr>
          <w:rFonts w:asciiTheme="minorHAnsi" w:hAnsiTheme="minorHAnsi" w:cstheme="minorHAnsi"/>
          <w:lang w:val="en-US"/>
        </w:rPr>
        <w:t>DOI</w:t>
      </w:r>
      <w:r w:rsidRPr="005A464E">
        <w:rPr>
          <w:rFonts w:asciiTheme="minorHAnsi" w:hAnsiTheme="minorHAnsi" w:cstheme="minorHAnsi"/>
          <w:lang w:val="en-US"/>
        </w:rPr>
        <w:t>.org/10.1093/intqhc/mzi010</w:t>
      </w:r>
      <w:r w:rsidR="00EF5348" w:rsidRPr="005A464E">
        <w:rPr>
          <w:rFonts w:asciiTheme="minorHAnsi" w:hAnsiTheme="minorHAnsi" w:cs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Playle, J., &amp; Keeley, P. (1998). Non-compliance and professional power.</w:t>
      </w:r>
      <w:r w:rsidRPr="005A464E">
        <w:rPr>
          <w:rStyle w:val="apple-converted-space"/>
          <w:rFonts w:asciiTheme="minorHAnsi" w:hAnsiTheme="minorHAnsi" w:cstheme="minorHAnsi"/>
          <w:lang w:val="en-US"/>
        </w:rPr>
        <w:t> </w:t>
      </w:r>
      <w:r w:rsidR="005766B3" w:rsidRPr="005A464E">
        <w:rPr>
          <w:rFonts w:asciiTheme="minorHAnsi" w:hAnsiTheme="minorHAnsi" w:cstheme="minorHAnsi"/>
          <w:i/>
          <w:iCs/>
          <w:lang w:val="en-US"/>
        </w:rPr>
        <w:t>Journal o</w:t>
      </w:r>
      <w:r w:rsidR="00EF5348" w:rsidRPr="005A464E">
        <w:rPr>
          <w:rFonts w:asciiTheme="minorHAnsi" w:hAnsiTheme="minorHAnsi" w:cstheme="minorHAnsi"/>
          <w:i/>
          <w:iCs/>
          <w:lang w:val="en-US"/>
        </w:rPr>
        <w:t>f Advanced N</w:t>
      </w:r>
      <w:r w:rsidRPr="005A464E">
        <w:rPr>
          <w:rFonts w:asciiTheme="minorHAnsi" w:hAnsiTheme="minorHAnsi" w:cstheme="minorHAnsi"/>
          <w:i/>
          <w:iCs/>
          <w:lang w:val="en-US"/>
        </w:rPr>
        <w:t>ursing</w:t>
      </w:r>
      <w:r w:rsidRPr="005A464E">
        <w:rPr>
          <w:rFonts w:asciiTheme="minorHAnsi" w:hAnsiTheme="minorHAnsi" w:cstheme="minorHAnsi"/>
          <w:lang w:val="en-US"/>
        </w:rPr>
        <w:t>,</w:t>
      </w:r>
      <w:r w:rsidR="0078495A">
        <w:rPr>
          <w:rFonts w:asciiTheme="minorHAnsi" w:hAnsiTheme="minorHAnsi" w:cstheme="minorHAnsi"/>
          <w:lang w:val="en-US"/>
        </w:rPr>
        <w:t xml:space="preserve"> </w:t>
      </w:r>
      <w:r w:rsidRPr="003104C9">
        <w:rPr>
          <w:rFonts w:asciiTheme="minorHAnsi" w:hAnsiTheme="minorHAnsi" w:cstheme="minorHAnsi"/>
          <w:i/>
          <w:iCs/>
          <w:lang w:val="en-US"/>
        </w:rPr>
        <w:t>27</w:t>
      </w:r>
      <w:r w:rsidRPr="003104C9">
        <w:rPr>
          <w:rFonts w:asciiTheme="minorHAnsi" w:hAnsiTheme="minorHAnsi" w:cstheme="minorHAnsi"/>
          <w:i/>
          <w:lang w:val="en-US"/>
        </w:rPr>
        <w:t>,</w:t>
      </w:r>
      <w:r w:rsidR="003104C9">
        <w:rPr>
          <w:rFonts w:asciiTheme="minorHAnsi" w:hAnsiTheme="minorHAnsi" w:cstheme="minorHAnsi"/>
          <w:lang w:val="en-US"/>
        </w:rPr>
        <w:t xml:space="preserve"> 304-311. </w:t>
      </w:r>
      <w:r w:rsidRPr="005A464E">
        <w:rPr>
          <w:rFonts w:asciiTheme="minorHAnsi" w:hAnsiTheme="minorHAnsi" w:cstheme="minorHAnsi"/>
          <w:lang w:val="en-US"/>
        </w:rPr>
        <w:t>http://dx.</w:t>
      </w:r>
      <w:r w:rsidR="00292B29" w:rsidRPr="005A464E">
        <w:rPr>
          <w:rFonts w:asciiTheme="minorHAnsi" w:hAnsiTheme="minorHAnsi" w:cstheme="minorHAnsi"/>
          <w:lang w:val="en-US"/>
        </w:rPr>
        <w:t>DOI</w:t>
      </w:r>
      <w:r w:rsidRPr="005A464E">
        <w:rPr>
          <w:rFonts w:asciiTheme="minorHAnsi" w:hAnsiTheme="minorHAnsi" w:cstheme="minorHAnsi"/>
          <w:lang w:val="en-US"/>
        </w:rPr>
        <w:t>.org/10.1046/j.1365-2648.1998.00530.x</w:t>
      </w:r>
      <w:r w:rsidR="00EF5348" w:rsidRPr="005A464E">
        <w:rPr>
          <w:rFonts w:asciiTheme="minorHAnsi" w:hAnsiTheme="minorHAnsi" w:cs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Polaschek, N. (2003). Living on dialysis: concerns of clients in a renal setting.</w:t>
      </w:r>
      <w:r w:rsidRPr="005A464E">
        <w:rPr>
          <w:rStyle w:val="apple-converted-space"/>
          <w:rFonts w:asciiTheme="minorHAnsi" w:hAnsiTheme="minorHAnsi" w:cstheme="minorHAnsi"/>
          <w:lang w:val="en-US"/>
        </w:rPr>
        <w:t> </w:t>
      </w:r>
      <w:r w:rsidR="005766B3" w:rsidRPr="005A464E">
        <w:rPr>
          <w:rFonts w:asciiTheme="minorHAnsi" w:hAnsiTheme="minorHAnsi" w:cstheme="minorHAnsi"/>
          <w:i/>
          <w:iCs/>
          <w:lang w:val="en-US"/>
        </w:rPr>
        <w:t>Journal o</w:t>
      </w:r>
      <w:r w:rsidRPr="005A464E">
        <w:rPr>
          <w:rFonts w:asciiTheme="minorHAnsi" w:hAnsiTheme="minorHAnsi" w:cstheme="minorHAnsi"/>
          <w:i/>
          <w:iCs/>
          <w:lang w:val="en-US"/>
        </w:rPr>
        <w:t>f Advanced Nursing</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3104C9">
        <w:rPr>
          <w:rFonts w:asciiTheme="minorHAnsi" w:hAnsiTheme="minorHAnsi" w:cstheme="minorHAnsi"/>
          <w:i/>
          <w:iCs/>
          <w:lang w:val="en-US"/>
        </w:rPr>
        <w:t>41</w:t>
      </w:r>
      <w:r w:rsidRPr="003104C9">
        <w:rPr>
          <w:rFonts w:asciiTheme="minorHAnsi" w:hAnsiTheme="minorHAnsi" w:cstheme="minorHAnsi"/>
          <w:i/>
          <w:lang w:val="en-US"/>
        </w:rPr>
        <w:t>,</w:t>
      </w:r>
      <w:r w:rsidRPr="005A464E">
        <w:rPr>
          <w:rFonts w:asciiTheme="minorHAnsi" w:hAnsiTheme="minorHAnsi" w:cstheme="minorHAnsi"/>
          <w:lang w:val="en-US"/>
        </w:rPr>
        <w:t xml:space="preserve"> 44-52. </w:t>
      </w:r>
      <w:hyperlink r:id="rId323" w:history="1">
        <w:r w:rsidR="004824C4"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004824C4" w:rsidRPr="005A464E">
          <w:rPr>
            <w:rStyle w:val="-"/>
            <w:rFonts w:asciiTheme="minorHAnsi" w:hAnsiTheme="minorHAnsi" w:cstheme="minorHAnsi"/>
            <w:color w:val="auto"/>
            <w:u w:val="none"/>
            <w:lang w:val="en-US"/>
          </w:rPr>
          <w:t>.org/10.1046/j.1365-2648.2003.02504.x</w:t>
        </w:r>
      </w:hyperlink>
      <w:r w:rsidR="00EF5348" w:rsidRPr="005A464E">
        <w:rPr>
          <w:rFonts w:asciiTheme="minorHAnsi" w:hAnsiTheme="minorHAnsi"/>
          <w:lang w:val="en-US"/>
        </w:rPr>
        <w:t>.</w:t>
      </w:r>
    </w:p>
    <w:p w:rsidR="004824C4" w:rsidRPr="005A464E" w:rsidRDefault="004824C4"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Arial"/>
          <w:shd w:val="clear" w:color="auto" w:fill="FFFFFF"/>
          <w:lang w:val="en-US"/>
        </w:rPr>
        <w:t>Polat, S., Celik, S., Erkan, H. A., &amp; Kasali, K. (2014). Identification of learning needs of patients hospitalized at a University Hospital. </w:t>
      </w:r>
      <w:r w:rsidRPr="005A464E">
        <w:rPr>
          <w:rFonts w:asciiTheme="minorHAnsi" w:hAnsiTheme="minorHAnsi" w:cs="Arial"/>
          <w:i/>
          <w:iCs/>
          <w:shd w:val="clear" w:color="auto" w:fill="FFFFFF"/>
          <w:lang w:val="en-US"/>
        </w:rPr>
        <w:t>Pakistan Journal of Medical Sciences</w:t>
      </w:r>
      <w:r w:rsidRPr="005A464E">
        <w:rPr>
          <w:rFonts w:asciiTheme="minorHAnsi" w:hAnsiTheme="minorHAnsi" w:cs="Arial"/>
          <w:shd w:val="clear" w:color="auto" w:fill="FFFFFF"/>
          <w:lang w:val="en-US"/>
        </w:rPr>
        <w:t>, </w:t>
      </w:r>
      <w:r w:rsidRPr="003104C9">
        <w:rPr>
          <w:rFonts w:asciiTheme="minorHAnsi" w:hAnsiTheme="minorHAnsi" w:cs="Arial"/>
          <w:i/>
          <w:iCs/>
          <w:shd w:val="clear" w:color="auto" w:fill="FFFFFF"/>
          <w:lang w:val="en-US"/>
        </w:rPr>
        <w:t>30</w:t>
      </w:r>
      <w:r w:rsidRPr="005A464E">
        <w:rPr>
          <w:rFonts w:asciiTheme="minorHAnsi" w:hAnsiTheme="minorHAnsi" w:cs="Arial"/>
          <w:shd w:val="clear" w:color="auto" w:fill="FFFFFF"/>
          <w:lang w:val="en-US"/>
        </w:rPr>
        <w:t>, 1253–1258. http://</w:t>
      </w:r>
      <w:r w:rsidR="00292B29" w:rsidRPr="005A464E">
        <w:rPr>
          <w:rFonts w:asciiTheme="minorHAnsi" w:hAnsiTheme="minorHAnsi" w:cs="Arial"/>
          <w:shd w:val="clear" w:color="auto" w:fill="FFFFFF"/>
          <w:lang w:val="en-US"/>
        </w:rPr>
        <w:t>DOI</w:t>
      </w:r>
      <w:r w:rsidRPr="005A464E">
        <w:rPr>
          <w:rFonts w:asciiTheme="minorHAnsi" w:hAnsiTheme="minorHAnsi" w:cs="Arial"/>
          <w:shd w:val="clear" w:color="auto" w:fill="FFFFFF"/>
          <w:lang w:val="en-US"/>
        </w:rPr>
        <w:t>.org/10.12669/pjms.306.5711</w:t>
      </w:r>
      <w:r w:rsidR="00EF5348" w:rsidRPr="005A464E">
        <w:rPr>
          <w:rFonts w:asciiTheme="minorHAnsi" w:hAnsiTheme="minorHAnsi" w:cs="Arial"/>
          <w:shd w:val="clear" w:color="auto" w:fill="FFFFFF"/>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Polit, D., &amp; Beck, C. (2006). The content validity index: Are you sure you know what's being reported? critique and recommendations.</w:t>
      </w:r>
      <w:r w:rsidRPr="005A464E">
        <w:rPr>
          <w:rStyle w:val="apple-converted-space"/>
          <w:rFonts w:asciiTheme="minorHAnsi" w:hAnsiTheme="minorHAnsi" w:cstheme="minorHAnsi"/>
          <w:lang w:val="en-US"/>
        </w:rPr>
        <w:t> </w:t>
      </w:r>
      <w:r w:rsidR="005766B3" w:rsidRPr="005A464E">
        <w:rPr>
          <w:rFonts w:asciiTheme="minorHAnsi" w:hAnsiTheme="minorHAnsi" w:cstheme="minorHAnsi"/>
          <w:i/>
          <w:iCs/>
          <w:lang w:val="en-US"/>
        </w:rPr>
        <w:t>Research i</w:t>
      </w:r>
      <w:r w:rsidRPr="005A464E">
        <w:rPr>
          <w:rFonts w:asciiTheme="minorHAnsi" w:hAnsiTheme="minorHAnsi" w:cstheme="minorHAnsi"/>
          <w:i/>
          <w:iCs/>
          <w:lang w:val="en-US"/>
        </w:rPr>
        <w:t>n Nursing &amp; Health</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29</w:t>
      </w:r>
      <w:r w:rsidRPr="005A464E">
        <w:rPr>
          <w:rFonts w:asciiTheme="minorHAnsi" w:hAnsiTheme="minorHAnsi" w:cstheme="minorHAnsi"/>
          <w:lang w:val="en-US"/>
        </w:rPr>
        <w:t>, 489-497. http://dx.</w:t>
      </w:r>
      <w:r w:rsidR="00292B29" w:rsidRPr="005A464E">
        <w:rPr>
          <w:rFonts w:asciiTheme="minorHAnsi" w:hAnsiTheme="minorHAnsi" w:cstheme="minorHAnsi"/>
          <w:lang w:val="en-US"/>
        </w:rPr>
        <w:t>DOI</w:t>
      </w:r>
      <w:r w:rsidRPr="005A464E">
        <w:rPr>
          <w:rFonts w:asciiTheme="minorHAnsi" w:hAnsiTheme="minorHAnsi" w:cstheme="minorHAnsi"/>
          <w:lang w:val="en-US"/>
        </w:rPr>
        <w:t>.org/10.1002/nur.20147</w:t>
      </w:r>
    </w:p>
    <w:p w:rsidR="003C410F" w:rsidRPr="005A464E" w:rsidRDefault="003C410F" w:rsidP="005A464E">
      <w:pPr>
        <w:pStyle w:val="Web"/>
        <w:spacing w:after="166" w:line="360" w:lineRule="auto"/>
        <w:ind w:left="415" w:hanging="415"/>
        <w:jc w:val="both"/>
        <w:rPr>
          <w:rFonts w:asciiTheme="minorHAnsi" w:hAnsiTheme="minorHAnsi" w:cstheme="minorHAnsi"/>
          <w:color w:val="000000"/>
          <w:lang w:val="en-US"/>
        </w:rPr>
      </w:pPr>
      <w:r w:rsidRPr="005A464E">
        <w:rPr>
          <w:rFonts w:asciiTheme="minorHAnsi" w:hAnsiTheme="minorHAnsi" w:cstheme="minorHAnsi"/>
          <w:color w:val="000000"/>
          <w:lang w:val="en-US"/>
        </w:rPr>
        <w:t xml:space="preserve">Pollock, J., &amp; Jaffery, J. (2007). Knowledge of </w:t>
      </w:r>
      <w:r w:rsidR="00EF5348" w:rsidRPr="005A464E">
        <w:rPr>
          <w:rFonts w:asciiTheme="minorHAnsi" w:hAnsiTheme="minorHAnsi" w:cstheme="minorHAnsi"/>
          <w:color w:val="000000"/>
          <w:lang w:val="en-US"/>
        </w:rPr>
        <w:t>phosphorus compared with other nutrients in maintenance dialysis patie</w:t>
      </w:r>
      <w:r w:rsidRPr="005A464E">
        <w:rPr>
          <w:rFonts w:asciiTheme="minorHAnsi" w:hAnsiTheme="minorHAnsi" w:cstheme="minorHAnsi"/>
          <w:color w:val="000000"/>
          <w:lang w:val="en-US"/>
        </w:rPr>
        <w:t>nts.</w:t>
      </w:r>
      <w:r w:rsidRPr="005A464E">
        <w:rPr>
          <w:rStyle w:val="apple-converted-space"/>
          <w:rFonts w:asciiTheme="minorHAnsi" w:hAnsiTheme="minorHAnsi" w:cstheme="minorHAnsi"/>
          <w:color w:val="000000"/>
          <w:lang w:val="en-US"/>
        </w:rPr>
        <w:t> </w:t>
      </w:r>
      <w:r w:rsidR="005766B3" w:rsidRPr="005A464E">
        <w:rPr>
          <w:rFonts w:asciiTheme="minorHAnsi" w:hAnsiTheme="minorHAnsi" w:cstheme="minorHAnsi"/>
          <w:i/>
          <w:iCs/>
          <w:color w:val="000000"/>
          <w:lang w:val="en-US"/>
        </w:rPr>
        <w:t>Journal o</w:t>
      </w:r>
      <w:r w:rsidRPr="005A464E">
        <w:rPr>
          <w:rFonts w:asciiTheme="minorHAnsi" w:hAnsiTheme="minorHAnsi" w:cstheme="minorHAnsi"/>
          <w:i/>
          <w:iCs/>
          <w:color w:val="000000"/>
          <w:lang w:val="en-US"/>
        </w:rPr>
        <w:t>f Renal Nutrition</w:t>
      </w:r>
      <w:r w:rsidRPr="005A464E">
        <w:rPr>
          <w:rFonts w:asciiTheme="minorHAnsi" w:hAnsiTheme="minorHAnsi" w:cstheme="minorHAnsi"/>
          <w:color w:val="000000"/>
          <w:lang w:val="en-US"/>
        </w:rPr>
        <w:t>,</w:t>
      </w:r>
      <w:r w:rsidRPr="005A464E">
        <w:rPr>
          <w:rStyle w:val="apple-converted-space"/>
          <w:rFonts w:asciiTheme="minorHAnsi" w:hAnsiTheme="minorHAnsi" w:cstheme="minorHAnsi"/>
          <w:color w:val="000000"/>
          <w:lang w:val="en-US"/>
        </w:rPr>
        <w:t> </w:t>
      </w:r>
      <w:r w:rsidRPr="003104C9">
        <w:rPr>
          <w:rFonts w:asciiTheme="minorHAnsi" w:hAnsiTheme="minorHAnsi" w:cstheme="minorHAnsi"/>
          <w:i/>
          <w:iCs/>
          <w:color w:val="000000"/>
          <w:lang w:val="en-US"/>
        </w:rPr>
        <w:t>17</w:t>
      </w:r>
      <w:r w:rsidR="003104C9">
        <w:rPr>
          <w:rFonts w:asciiTheme="minorHAnsi" w:hAnsiTheme="minorHAnsi" w:cstheme="minorHAnsi"/>
          <w:color w:val="000000"/>
          <w:lang w:val="en-US"/>
        </w:rPr>
        <w:t>,</w:t>
      </w:r>
      <w:r w:rsidRPr="005A464E">
        <w:rPr>
          <w:rFonts w:asciiTheme="minorHAnsi" w:hAnsiTheme="minorHAnsi" w:cstheme="minorHAnsi"/>
          <w:color w:val="000000"/>
          <w:lang w:val="en-US"/>
        </w:rPr>
        <w:t xml:space="preserve"> 323-328. http://dx.</w:t>
      </w:r>
      <w:r w:rsidR="00292B29" w:rsidRPr="005A464E">
        <w:rPr>
          <w:rFonts w:asciiTheme="minorHAnsi" w:hAnsiTheme="minorHAnsi" w:cstheme="minorHAnsi"/>
          <w:color w:val="000000"/>
          <w:lang w:val="en-US"/>
        </w:rPr>
        <w:t>DOI</w:t>
      </w:r>
      <w:r w:rsidRPr="005A464E">
        <w:rPr>
          <w:rFonts w:asciiTheme="minorHAnsi" w:hAnsiTheme="minorHAnsi" w:cstheme="minorHAnsi"/>
          <w:color w:val="000000"/>
          <w:lang w:val="en-US"/>
        </w:rPr>
        <w:t>.org/10.1053/j.jrn.2007.05.009</w:t>
      </w:r>
      <w:r w:rsidR="00EF5348" w:rsidRPr="005A464E">
        <w:rPr>
          <w:rFonts w:asciiTheme="minorHAnsi" w:hAnsiTheme="minorHAnsi" w:cstheme="minorHAnsi"/>
          <w:color w:val="000000"/>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color w:val="000000"/>
          <w:lang w:val="en-US"/>
        </w:rPr>
        <w:t xml:space="preserve">Popovich, R. (1978). Continuous </w:t>
      </w:r>
      <w:r w:rsidR="005766B3" w:rsidRPr="005A464E">
        <w:rPr>
          <w:rFonts w:asciiTheme="minorHAnsi" w:hAnsiTheme="minorHAnsi" w:cstheme="minorHAnsi"/>
          <w:color w:val="000000"/>
          <w:lang w:val="en-US"/>
        </w:rPr>
        <w:t>ambulatory peritoneal dialysis</w:t>
      </w:r>
      <w:r w:rsidRPr="005A464E">
        <w:rPr>
          <w:rFonts w:asciiTheme="minorHAnsi" w:hAnsiTheme="minorHAnsi" w:cstheme="minorHAnsi"/>
          <w:color w:val="000000"/>
          <w:lang w:val="en-US"/>
        </w:rPr>
        <w:t>.</w:t>
      </w:r>
      <w:r w:rsidRPr="005A464E">
        <w:rPr>
          <w:rStyle w:val="apple-converted-space"/>
          <w:rFonts w:asciiTheme="minorHAnsi" w:hAnsiTheme="minorHAnsi" w:cstheme="minorHAnsi"/>
          <w:color w:val="000000"/>
          <w:lang w:val="en-US"/>
        </w:rPr>
        <w:t> </w:t>
      </w:r>
      <w:r w:rsidR="005766B3" w:rsidRPr="005A464E">
        <w:rPr>
          <w:rFonts w:asciiTheme="minorHAnsi" w:hAnsiTheme="minorHAnsi" w:cstheme="minorHAnsi"/>
          <w:i/>
          <w:iCs/>
          <w:color w:val="000000"/>
          <w:lang w:val="en-US"/>
        </w:rPr>
        <w:t>Annals o</w:t>
      </w:r>
      <w:r w:rsidRPr="005A464E">
        <w:rPr>
          <w:rFonts w:asciiTheme="minorHAnsi" w:hAnsiTheme="minorHAnsi" w:cstheme="minorHAnsi"/>
          <w:i/>
          <w:iCs/>
          <w:color w:val="000000"/>
          <w:lang w:val="en-US"/>
        </w:rPr>
        <w:t>f Internal Medicine</w:t>
      </w:r>
      <w:r w:rsidRPr="005A464E">
        <w:rPr>
          <w:rFonts w:asciiTheme="minorHAnsi" w:hAnsiTheme="minorHAnsi" w:cstheme="minorHAnsi"/>
          <w:color w:val="000000"/>
          <w:lang w:val="en-US"/>
        </w:rPr>
        <w:t>,</w:t>
      </w:r>
      <w:r w:rsidRPr="005A464E">
        <w:rPr>
          <w:rStyle w:val="apple-converted-space"/>
          <w:rFonts w:asciiTheme="minorHAnsi" w:hAnsiTheme="minorHAnsi" w:cstheme="minorHAnsi"/>
          <w:color w:val="000000"/>
          <w:lang w:val="en-US"/>
        </w:rPr>
        <w:t> </w:t>
      </w:r>
      <w:r w:rsidRPr="003104C9">
        <w:rPr>
          <w:rFonts w:asciiTheme="minorHAnsi" w:hAnsiTheme="minorHAnsi" w:cstheme="minorHAnsi"/>
          <w:i/>
          <w:iCs/>
          <w:color w:val="000000"/>
          <w:lang w:val="en-US"/>
        </w:rPr>
        <w:t>88</w:t>
      </w:r>
      <w:r w:rsidRPr="005A464E">
        <w:rPr>
          <w:rFonts w:asciiTheme="minorHAnsi" w:hAnsiTheme="minorHAnsi" w:cstheme="minorHAnsi"/>
          <w:color w:val="000000"/>
          <w:lang w:val="en-US"/>
        </w:rPr>
        <w:t>, 449. http://dx.</w:t>
      </w:r>
      <w:r w:rsidR="00292B29" w:rsidRPr="005A464E">
        <w:rPr>
          <w:rFonts w:asciiTheme="minorHAnsi" w:hAnsiTheme="minorHAnsi" w:cstheme="minorHAnsi"/>
          <w:color w:val="000000"/>
          <w:lang w:val="en-US"/>
        </w:rPr>
        <w:t>DOI</w:t>
      </w:r>
      <w:r w:rsidRPr="005A464E">
        <w:rPr>
          <w:rFonts w:asciiTheme="minorHAnsi" w:hAnsiTheme="minorHAnsi" w:cstheme="minorHAnsi"/>
          <w:color w:val="000000"/>
          <w:lang w:val="en-US"/>
        </w:rPr>
        <w:t>.org/</w:t>
      </w:r>
      <w:r w:rsidRPr="005A464E">
        <w:rPr>
          <w:rFonts w:asciiTheme="minorHAnsi" w:hAnsiTheme="minorHAnsi" w:cstheme="minorHAnsi"/>
          <w:lang w:val="en-US"/>
        </w:rPr>
        <w:t>10.7326/0003-4819-88-4-449</w:t>
      </w:r>
      <w:r w:rsidR="00EF5348" w:rsidRPr="005A464E">
        <w:rPr>
          <w:rFonts w:asciiTheme="minorHAnsi" w:hAnsiTheme="minorHAnsi" w:cs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Powell, L., Shahabi, L., &amp; Thoresen, C. (20</w:t>
      </w:r>
      <w:r w:rsidR="005766B3" w:rsidRPr="005A464E">
        <w:rPr>
          <w:rFonts w:asciiTheme="minorHAnsi" w:hAnsiTheme="minorHAnsi" w:cstheme="minorHAnsi"/>
          <w:lang w:val="en-US"/>
        </w:rPr>
        <w:t>03). Religion and spirituality: Linkages</w:t>
      </w:r>
      <w:r w:rsidR="00EF5348" w:rsidRPr="005A464E">
        <w:rPr>
          <w:rFonts w:asciiTheme="minorHAnsi" w:hAnsiTheme="minorHAnsi" w:cstheme="minorHAnsi"/>
          <w:lang w:val="en-US"/>
        </w:rPr>
        <w:t xml:space="preserve"> to </w:t>
      </w:r>
      <w:r w:rsidRPr="005A464E">
        <w:rPr>
          <w:rFonts w:asciiTheme="minorHAnsi" w:hAnsiTheme="minorHAnsi" w:cstheme="minorHAnsi"/>
          <w:lang w:val="en-US"/>
        </w:rPr>
        <w:t>physical health</w:t>
      </w:r>
      <w:r w:rsidR="005766B3"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American Psychologist</w:t>
      </w:r>
      <w:r w:rsidRPr="005A464E">
        <w:rPr>
          <w:rFonts w:asciiTheme="minorHAnsi" w:hAnsiTheme="minorHAnsi" w:cstheme="minorHAnsi"/>
          <w:lang w:val="en-US"/>
        </w:rPr>
        <w:t>,</w:t>
      </w:r>
      <w:r w:rsidR="0078495A">
        <w:rPr>
          <w:rStyle w:val="apple-converted-space"/>
          <w:rFonts w:asciiTheme="minorHAnsi" w:hAnsiTheme="minorHAnsi" w:cstheme="minorHAnsi"/>
          <w:lang w:val="en-US"/>
        </w:rPr>
        <w:t xml:space="preserve"> </w:t>
      </w:r>
      <w:r w:rsidRPr="003104C9">
        <w:rPr>
          <w:rFonts w:asciiTheme="minorHAnsi" w:hAnsiTheme="minorHAnsi" w:cstheme="minorHAnsi"/>
          <w:i/>
          <w:iCs/>
          <w:lang w:val="en-US"/>
        </w:rPr>
        <w:t>58</w:t>
      </w:r>
      <w:r w:rsidRPr="005A464E">
        <w:rPr>
          <w:rFonts w:asciiTheme="minorHAnsi" w:hAnsiTheme="minorHAnsi" w:cstheme="minorHAnsi"/>
          <w:lang w:val="en-US"/>
        </w:rPr>
        <w:t xml:space="preserve">, 36-52. </w:t>
      </w:r>
      <w:hyperlink r:id="rId324"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.org/10.1037/0003-066x.58.1.36</w:t>
        </w:r>
      </w:hyperlink>
      <w:r w:rsidR="00EF5348" w:rsidRPr="005A464E">
        <w:rPr>
          <w:rFonts w:asciiTheme="minorHAnsi" w:hAnsiTheme="minorHAnsi"/>
          <w:lang w:val="en-US"/>
        </w:rPr>
        <w:t>.</w:t>
      </w:r>
    </w:p>
    <w:p w:rsidR="003C410F"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Prowant, B., Ryan, L., Satalowich, R., Schmidt, L., Murray-Bell, A., Kennedy, J.</w:t>
      </w:r>
      <w:r w:rsidR="00EF5348" w:rsidRPr="005A464E">
        <w:rPr>
          <w:rFonts w:asciiTheme="minorHAnsi" w:hAnsiTheme="minorHAnsi" w:cstheme="minorHAnsi"/>
          <w:lang w:val="en-US"/>
        </w:rPr>
        <w:t xml:space="preserve">, &amp; Baker B.L. </w:t>
      </w:r>
      <w:r w:rsidRPr="005A464E">
        <w:rPr>
          <w:rFonts w:asciiTheme="minorHAnsi" w:hAnsiTheme="minorHAnsi" w:cstheme="minorHAnsi"/>
          <w:lang w:val="en-US"/>
        </w:rPr>
        <w:t xml:space="preserve">(1989). Effectiveness of a phosphorous educational program for dialysis patients. </w:t>
      </w:r>
      <w:r w:rsidRPr="005A464E">
        <w:rPr>
          <w:rFonts w:asciiTheme="minorHAnsi" w:hAnsiTheme="minorHAnsi" w:cstheme="minorHAnsi"/>
          <w:i/>
          <w:iCs/>
          <w:lang w:val="en-US"/>
        </w:rPr>
        <w:t xml:space="preserve">ANNA Journal, </w:t>
      </w:r>
      <w:r w:rsidRPr="003104C9">
        <w:rPr>
          <w:rFonts w:asciiTheme="minorHAnsi" w:hAnsiTheme="minorHAnsi" w:cstheme="minorHAnsi"/>
          <w:i/>
          <w:iCs/>
          <w:lang w:val="en-US"/>
        </w:rPr>
        <w:t>16</w:t>
      </w:r>
      <w:r w:rsidRPr="003104C9">
        <w:rPr>
          <w:rFonts w:asciiTheme="minorHAnsi" w:hAnsiTheme="minorHAnsi" w:cstheme="minorHAnsi"/>
          <w:i/>
          <w:lang w:val="en-US"/>
        </w:rPr>
        <w:t>,</w:t>
      </w:r>
      <w:r w:rsidRPr="005A464E">
        <w:rPr>
          <w:rFonts w:asciiTheme="minorHAnsi" w:hAnsiTheme="minorHAnsi" w:cstheme="minorHAnsi"/>
          <w:lang w:val="en-US"/>
        </w:rPr>
        <w:t xml:space="preserve"> 353 – 357</w:t>
      </w:r>
      <w:r w:rsidR="00EF5348" w:rsidRPr="005A464E">
        <w:rPr>
          <w:rFonts w:asciiTheme="minorHAnsi" w:hAnsiTheme="minorHAnsi" w:cstheme="minorHAnsi"/>
          <w:lang w:val="en-US"/>
        </w:rPr>
        <w:t>.</w:t>
      </w:r>
    </w:p>
    <w:p w:rsidR="00074DED" w:rsidRPr="00074DED" w:rsidRDefault="00074DED" w:rsidP="005A464E">
      <w:pPr>
        <w:pStyle w:val="Web"/>
        <w:spacing w:after="166" w:line="360" w:lineRule="auto"/>
        <w:ind w:left="415" w:hanging="415"/>
        <w:jc w:val="both"/>
        <w:rPr>
          <w:rFonts w:asciiTheme="minorHAnsi" w:hAnsiTheme="minorHAnsi" w:cstheme="minorHAnsi"/>
          <w:lang w:val="en-US"/>
        </w:rPr>
      </w:pPr>
      <w:r w:rsidRPr="00074DED">
        <w:rPr>
          <w:rFonts w:asciiTheme="minorHAnsi" w:hAnsiTheme="minorHAnsi" w:cstheme="minorHAnsi"/>
          <w:shd w:val="clear" w:color="auto" w:fill="FFFFFF"/>
          <w:lang w:val="en-US"/>
        </w:rPr>
        <w:t>Pugh‐Clarke, K., Read, S.C., &amp; Sim, J. (2017). Symptom experience in non‐dialysis‐dependent chronic kidney disease: A qualitative descriptive study. </w:t>
      </w:r>
      <w:r w:rsidRPr="00074DED">
        <w:rPr>
          <w:rFonts w:asciiTheme="minorHAnsi" w:hAnsiTheme="minorHAnsi" w:cstheme="minorHAnsi"/>
          <w:i/>
          <w:iCs/>
          <w:shd w:val="clear" w:color="auto" w:fill="FFFFFF"/>
          <w:lang w:val="en-US"/>
        </w:rPr>
        <w:t>Journal of Renal Care</w:t>
      </w:r>
      <w:r>
        <w:rPr>
          <w:rFonts w:asciiTheme="minorHAnsi" w:hAnsiTheme="minorHAnsi" w:cstheme="minorHAnsi"/>
          <w:shd w:val="clear" w:color="auto" w:fill="FFFFFF"/>
          <w:lang w:val="en-US"/>
        </w:rPr>
        <w:t>, 1-12.</w:t>
      </w:r>
      <w:r w:rsidRPr="00FB0D48">
        <w:rPr>
          <w:rStyle w:val="1Char"/>
          <w:rFonts w:ascii="Arial" w:eastAsia="Calibri" w:hAnsi="Arial" w:cs="Arial"/>
          <w:b w:val="0"/>
          <w:bCs w:val="0"/>
          <w:color w:val="333333"/>
          <w:sz w:val="34"/>
          <w:szCs w:val="34"/>
          <w:bdr w:val="none" w:sz="0" w:space="0" w:color="auto" w:frame="1"/>
          <w:shd w:val="clear" w:color="auto" w:fill="FFFFFF"/>
          <w:lang w:val="en-US"/>
        </w:rPr>
        <w:t xml:space="preserve"> </w:t>
      </w:r>
      <w:r w:rsidRPr="00FB0D48">
        <w:rPr>
          <w:rStyle w:val="article-headermeta-info-label"/>
          <w:rFonts w:asciiTheme="minorHAnsi" w:hAnsiTheme="minorHAnsi" w:cstheme="minorHAnsi"/>
          <w:bCs/>
          <w:color w:val="333333"/>
          <w:bdr w:val="none" w:sz="0" w:space="0" w:color="auto" w:frame="1"/>
          <w:shd w:val="clear" w:color="auto" w:fill="FFFFFF"/>
          <w:lang w:val="en-US"/>
        </w:rPr>
        <w:t>DOI: </w:t>
      </w:r>
      <w:r w:rsidRPr="00FB0D48">
        <w:rPr>
          <w:rStyle w:val="article-headermeta-info-data"/>
          <w:rFonts w:asciiTheme="minorHAnsi" w:hAnsiTheme="minorHAnsi" w:cstheme="minorHAnsi"/>
          <w:color w:val="333333"/>
          <w:bdr w:val="none" w:sz="0" w:space="0" w:color="auto" w:frame="1"/>
          <w:shd w:val="clear" w:color="auto" w:fill="FFFFFF"/>
          <w:lang w:val="en-US"/>
        </w:rPr>
        <w:t>10.1111/jorc.12208</w:t>
      </w:r>
      <w:r>
        <w:rPr>
          <w:rStyle w:val="article-headermeta-info-data"/>
          <w:rFonts w:asciiTheme="minorHAnsi" w:hAnsiTheme="minorHAnsi" w:cstheme="minorHAnsi"/>
          <w:color w:val="333333"/>
          <w:bdr w:val="none" w:sz="0" w:space="0" w:color="auto" w:frame="1"/>
          <w:shd w:val="clear" w:color="auto" w:fill="FFFFFF"/>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iCs/>
          <w:lang w:val="en-US"/>
        </w:rPr>
      </w:pPr>
      <w:r w:rsidRPr="005A464E">
        <w:rPr>
          <w:rFonts w:asciiTheme="minorHAnsi" w:hAnsiTheme="minorHAnsi" w:cstheme="minorHAnsi"/>
          <w:lang w:val="en-US"/>
        </w:rPr>
        <w:t xml:space="preserve">QOL Research Unit, University of Toronto. (2006). </w:t>
      </w:r>
      <w:r w:rsidR="00AE73BD" w:rsidRPr="005A464E">
        <w:rPr>
          <w:rFonts w:asciiTheme="minorHAnsi" w:hAnsiTheme="minorHAnsi" w:cstheme="minorHAnsi"/>
          <w:iCs/>
          <w:lang w:val="en-US"/>
        </w:rPr>
        <w:t>Notes on «quality of life»</w:t>
      </w:r>
      <w:r w:rsidRPr="005A464E">
        <w:rPr>
          <w:rFonts w:asciiTheme="minorHAnsi" w:hAnsiTheme="minorHAnsi" w:cstheme="minorHAnsi"/>
          <w:iCs/>
          <w:lang w:val="en-US"/>
        </w:rPr>
        <w:t xml:space="preserve">. </w:t>
      </w:r>
    </w:p>
    <w:p w:rsidR="009C322F" w:rsidRPr="005A464E" w:rsidRDefault="003C410F" w:rsidP="005A464E">
      <w:pPr>
        <w:pStyle w:val="Web"/>
        <w:spacing w:after="166" w:line="360" w:lineRule="auto"/>
        <w:ind w:left="415" w:hanging="415"/>
        <w:jc w:val="both"/>
        <w:rPr>
          <w:rFonts w:asciiTheme="minorHAnsi" w:hAnsiTheme="minorHAnsi"/>
          <w:lang w:val="en-US"/>
        </w:rPr>
      </w:pPr>
      <w:r w:rsidRPr="005A464E">
        <w:rPr>
          <w:rFonts w:asciiTheme="minorHAnsi" w:hAnsiTheme="minorHAnsi" w:cstheme="minorHAnsi"/>
          <w:lang w:val="en-US"/>
        </w:rPr>
        <w:t xml:space="preserve">Quality-of-Life Research Center, Denmark. (2006). </w:t>
      </w:r>
      <w:r w:rsidR="00AE73BD" w:rsidRPr="005A464E">
        <w:rPr>
          <w:rFonts w:asciiTheme="minorHAnsi" w:hAnsiTheme="minorHAnsi" w:cstheme="minorHAnsi"/>
          <w:iCs/>
          <w:lang w:val="en-US"/>
        </w:rPr>
        <w:t>Notes on «quality of life»</w:t>
      </w:r>
      <w:r w:rsidRPr="005A464E">
        <w:rPr>
          <w:rFonts w:asciiTheme="minorHAnsi" w:hAnsiTheme="minorHAnsi" w:cstheme="minorHAnsi"/>
          <w:iCs/>
          <w:lang w:val="en-US"/>
        </w:rPr>
        <w:t xml:space="preserve">. </w:t>
      </w:r>
      <w:r w:rsidR="00AE73BD" w:rsidRPr="005A464E">
        <w:rPr>
          <w:rFonts w:asciiTheme="minorHAnsi" w:hAnsiTheme="minorHAnsi" w:cstheme="minorHAnsi"/>
          <w:lang w:val="en-US"/>
        </w:rPr>
        <w:t>Retrieved 2nd June 2016</w:t>
      </w:r>
      <w:r w:rsidRPr="005A464E">
        <w:rPr>
          <w:rFonts w:asciiTheme="minorHAnsi" w:hAnsiTheme="minorHAnsi" w:cstheme="minorHAnsi"/>
          <w:lang w:val="en-US"/>
        </w:rPr>
        <w:t xml:space="preserve"> from: </w:t>
      </w:r>
      <w:hyperlink r:id="rId325" w:history="1">
        <w:r w:rsidRPr="005A464E">
          <w:rPr>
            <w:rStyle w:val="-"/>
            <w:rFonts w:asciiTheme="minorHAnsi" w:hAnsiTheme="minorHAnsi" w:cstheme="minorHAnsi"/>
            <w:color w:val="auto"/>
            <w:u w:val="none"/>
            <w:lang w:val="en-US"/>
          </w:rPr>
          <w:t>http://www.gdrc.org/uem/QOL-define.html</w:t>
        </w:r>
      </w:hyperlink>
      <w:r w:rsidR="00AE73BD" w:rsidRPr="005A464E">
        <w:rPr>
          <w:rFonts w:asciiTheme="minorHAnsi" w:hAnsiTheme="minorHAnsi"/>
          <w:lang w:val="en-US"/>
        </w:rPr>
        <w:t>.</w:t>
      </w:r>
    </w:p>
    <w:p w:rsidR="009C322F" w:rsidRPr="005A464E" w:rsidRDefault="009C322F" w:rsidP="005A464E">
      <w:pPr>
        <w:pStyle w:val="Web"/>
        <w:spacing w:after="166" w:line="360" w:lineRule="auto"/>
        <w:ind w:left="415" w:hanging="415"/>
        <w:jc w:val="both"/>
        <w:rPr>
          <w:rFonts w:asciiTheme="minorHAnsi" w:hAnsiTheme="minorHAnsi"/>
          <w:lang w:val="en-US"/>
        </w:rPr>
      </w:pPr>
      <w:r w:rsidRPr="005A464E">
        <w:rPr>
          <w:rFonts w:asciiTheme="minorHAnsi" w:hAnsiTheme="minorHAnsi" w:cs="Arial"/>
          <w:bCs/>
          <w:shd w:val="clear" w:color="auto" w:fill="FFFFFF"/>
          <w:lang w:val="en-US"/>
        </w:rPr>
        <w:t>Quirk,</w:t>
      </w:r>
      <w:r w:rsidRPr="005A464E">
        <w:rPr>
          <w:rFonts w:asciiTheme="minorHAnsi" w:hAnsiTheme="minorHAnsi" w:cs="Arial"/>
          <w:shd w:val="clear" w:color="auto" w:fill="FFFFFF"/>
          <w:lang w:val="en-US"/>
        </w:rPr>
        <w:t> P.A.</w:t>
      </w:r>
      <w:r w:rsidRPr="005A464E">
        <w:rPr>
          <w:rFonts w:asciiTheme="minorHAnsi" w:hAnsiTheme="minorHAnsi"/>
          <w:lang w:val="en-US"/>
        </w:rPr>
        <w:t xml:space="preserve"> </w:t>
      </w:r>
      <w:hyperlink r:id="rId326" w:history="1"/>
      <w:r w:rsidRPr="005A464E">
        <w:rPr>
          <w:rFonts w:asciiTheme="minorHAnsi" w:hAnsiTheme="minorHAnsi"/>
          <w:lang w:val="en-US"/>
        </w:rPr>
        <w:t xml:space="preserve"> (2000).</w:t>
      </w:r>
      <w:r w:rsidRPr="005A464E">
        <w:rPr>
          <w:rStyle w:val="1Char"/>
          <w:rFonts w:asciiTheme="minorHAnsi" w:eastAsia="Calibri" w:hAnsiTheme="minorHAnsi" w:cs="Arial"/>
          <w:color w:val="auto"/>
          <w:sz w:val="24"/>
          <w:szCs w:val="24"/>
          <w:shd w:val="clear" w:color="auto" w:fill="FFFFFF"/>
          <w:lang w:val="en-US"/>
        </w:rPr>
        <w:t xml:space="preserve"> </w:t>
      </w:r>
      <w:r w:rsidRPr="005A464E">
        <w:rPr>
          <w:rStyle w:val="jrnl"/>
          <w:rFonts w:asciiTheme="minorHAnsi" w:hAnsiTheme="minorHAnsi" w:cs="Arial"/>
          <w:i/>
          <w:shd w:val="clear" w:color="auto" w:fill="FFFFFF"/>
          <w:lang w:val="en-US"/>
        </w:rPr>
        <w:t>Clinical Nurse Specialists</w:t>
      </w:r>
      <w:r w:rsidRPr="005A464E">
        <w:rPr>
          <w:rStyle w:val="jrnl"/>
          <w:rFonts w:asciiTheme="minorHAnsi" w:hAnsiTheme="minorHAnsi" w:cs="Arial"/>
          <w:shd w:val="clear" w:color="auto" w:fill="FFFFFF"/>
          <w:lang w:val="en-US"/>
        </w:rPr>
        <w:t>,</w:t>
      </w:r>
      <w:r w:rsidRPr="003104C9">
        <w:rPr>
          <w:rStyle w:val="jrnl"/>
          <w:rFonts w:asciiTheme="minorHAnsi" w:hAnsiTheme="minorHAnsi" w:cs="Arial"/>
          <w:i/>
          <w:shd w:val="clear" w:color="auto" w:fill="FFFFFF"/>
          <w:lang w:val="en-US"/>
        </w:rPr>
        <w:t xml:space="preserve"> </w:t>
      </w:r>
      <w:r w:rsidR="003104C9" w:rsidRPr="003104C9">
        <w:rPr>
          <w:rFonts w:asciiTheme="minorHAnsi" w:hAnsiTheme="minorHAnsi" w:cs="Arial"/>
          <w:i/>
          <w:shd w:val="clear" w:color="auto" w:fill="FFFFFF"/>
          <w:lang w:val="en-US"/>
        </w:rPr>
        <w:t>14</w:t>
      </w:r>
      <w:r w:rsidRPr="005A464E">
        <w:rPr>
          <w:rFonts w:asciiTheme="minorHAnsi" w:hAnsiTheme="minorHAnsi" w:cs="Arial"/>
          <w:shd w:val="clear" w:color="auto" w:fill="FFFFFF"/>
          <w:lang w:val="en-US"/>
        </w:rPr>
        <w:t>,26-32.</w:t>
      </w:r>
    </w:p>
    <w:p w:rsidR="003C410F" w:rsidRPr="00807E0D" w:rsidRDefault="003C410F" w:rsidP="00807E0D">
      <w:pPr>
        <w:pStyle w:val="Web"/>
        <w:spacing w:after="166" w:line="360" w:lineRule="auto"/>
        <w:ind w:left="415" w:hanging="415"/>
        <w:jc w:val="both"/>
        <w:rPr>
          <w:rFonts w:asciiTheme="minorHAnsi" w:hAnsiTheme="minorHAnsi" w:cstheme="minorHAnsi"/>
          <w:color w:val="000000"/>
          <w:lang w:val="en-US"/>
        </w:rPr>
      </w:pPr>
      <w:r w:rsidRPr="00807E0D">
        <w:rPr>
          <w:rFonts w:asciiTheme="minorHAnsi" w:hAnsiTheme="minorHAnsi" w:cstheme="minorHAnsi"/>
          <w:color w:val="000000"/>
          <w:lang w:val="en-US"/>
        </w:rPr>
        <w:t>Qunibi, W. (2004). Consequences of hyperphosphatemia in patients with end-stage renal disease (ESRD).</w:t>
      </w:r>
      <w:r w:rsidR="0078495A">
        <w:rPr>
          <w:rFonts w:asciiTheme="minorHAnsi" w:hAnsiTheme="minorHAnsi" w:cstheme="minorHAnsi"/>
          <w:color w:val="000000"/>
          <w:lang w:val="en-US"/>
        </w:rPr>
        <w:t xml:space="preserve"> </w:t>
      </w:r>
      <w:r w:rsidRPr="00807E0D">
        <w:rPr>
          <w:rFonts w:asciiTheme="minorHAnsi" w:hAnsiTheme="minorHAnsi" w:cstheme="minorHAnsi"/>
          <w:i/>
          <w:iCs/>
          <w:color w:val="000000"/>
          <w:lang w:val="en-US"/>
        </w:rPr>
        <w:t>Kidney International</w:t>
      </w:r>
      <w:r w:rsidRPr="00807E0D">
        <w:rPr>
          <w:rFonts w:asciiTheme="minorHAnsi" w:hAnsiTheme="minorHAnsi" w:cstheme="minorHAnsi"/>
          <w:color w:val="000000"/>
          <w:lang w:val="en-US"/>
        </w:rPr>
        <w:t>,</w:t>
      </w:r>
      <w:r w:rsidR="0078495A">
        <w:rPr>
          <w:rStyle w:val="apple-converted-space"/>
          <w:rFonts w:asciiTheme="minorHAnsi" w:hAnsiTheme="minorHAnsi" w:cstheme="minorHAnsi"/>
          <w:color w:val="000000"/>
          <w:lang w:val="en-US"/>
        </w:rPr>
        <w:t xml:space="preserve"> </w:t>
      </w:r>
      <w:r w:rsidRPr="003104C9">
        <w:rPr>
          <w:rFonts w:asciiTheme="minorHAnsi" w:hAnsiTheme="minorHAnsi" w:cstheme="minorHAnsi"/>
          <w:i/>
          <w:iCs/>
          <w:color w:val="000000"/>
          <w:lang w:val="en-US"/>
        </w:rPr>
        <w:t>66</w:t>
      </w:r>
      <w:r w:rsidRPr="003104C9">
        <w:rPr>
          <w:rFonts w:asciiTheme="minorHAnsi" w:hAnsiTheme="minorHAnsi" w:cstheme="minorHAnsi"/>
          <w:i/>
          <w:color w:val="000000"/>
          <w:lang w:val="en-US"/>
        </w:rPr>
        <w:t>,</w:t>
      </w:r>
      <w:r w:rsidRPr="00807E0D">
        <w:rPr>
          <w:rFonts w:asciiTheme="minorHAnsi" w:hAnsiTheme="minorHAnsi" w:cstheme="minorHAnsi"/>
          <w:color w:val="000000"/>
          <w:lang w:val="en-US"/>
        </w:rPr>
        <w:t xml:space="preserve"> S8-S12. http://dx.</w:t>
      </w:r>
      <w:r w:rsidR="00292B29" w:rsidRPr="00807E0D">
        <w:rPr>
          <w:rFonts w:asciiTheme="minorHAnsi" w:hAnsiTheme="minorHAnsi" w:cstheme="minorHAnsi"/>
          <w:color w:val="000000"/>
          <w:lang w:val="en-US"/>
        </w:rPr>
        <w:t>DOI</w:t>
      </w:r>
      <w:r w:rsidRPr="00807E0D">
        <w:rPr>
          <w:rFonts w:asciiTheme="minorHAnsi" w:hAnsiTheme="minorHAnsi" w:cstheme="minorHAnsi"/>
          <w:color w:val="000000"/>
          <w:lang w:val="en-US"/>
        </w:rPr>
        <w:t>.org/10.1111/j.1523-1755.2004.09004.x</w:t>
      </w:r>
      <w:r w:rsidR="00AE73BD" w:rsidRPr="00807E0D">
        <w:rPr>
          <w:rFonts w:asciiTheme="minorHAnsi" w:hAnsiTheme="minorHAnsi" w:cstheme="minorHAnsi"/>
          <w:color w:val="000000"/>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color w:val="000000"/>
          <w:lang w:val="en-US"/>
        </w:rPr>
      </w:pPr>
      <w:r w:rsidRPr="005A464E">
        <w:rPr>
          <w:rFonts w:asciiTheme="minorHAnsi" w:hAnsiTheme="minorHAnsi" w:cstheme="minorHAnsi"/>
          <w:color w:val="000000"/>
          <w:lang w:val="en-US"/>
        </w:rPr>
        <w:t xml:space="preserve">Radtke, K. (2013). Improving </w:t>
      </w:r>
      <w:r w:rsidR="00F7182C" w:rsidRPr="005A464E">
        <w:rPr>
          <w:rFonts w:asciiTheme="minorHAnsi" w:hAnsiTheme="minorHAnsi" w:cstheme="minorHAnsi"/>
          <w:color w:val="000000"/>
          <w:lang w:val="en-US"/>
        </w:rPr>
        <w:t>patient satisfaction with nursing communication using bedside shift report</w:t>
      </w:r>
      <w:r w:rsidRPr="005A464E">
        <w:rPr>
          <w:rFonts w:asciiTheme="minorHAnsi" w:hAnsiTheme="minorHAnsi" w:cstheme="minorHAnsi"/>
          <w:color w:val="000000"/>
          <w:lang w:val="en-US"/>
        </w:rPr>
        <w:t>.</w:t>
      </w:r>
      <w:r w:rsidRPr="005A464E">
        <w:rPr>
          <w:rStyle w:val="apple-converted-space"/>
          <w:rFonts w:asciiTheme="minorHAnsi" w:hAnsiTheme="minorHAnsi" w:cstheme="minorHAnsi"/>
          <w:color w:val="000000"/>
          <w:lang w:val="en-US"/>
        </w:rPr>
        <w:t> </w:t>
      </w:r>
      <w:r w:rsidRPr="005A464E">
        <w:rPr>
          <w:rFonts w:asciiTheme="minorHAnsi" w:hAnsiTheme="minorHAnsi" w:cstheme="minorHAnsi"/>
          <w:i/>
          <w:iCs/>
          <w:color w:val="000000"/>
          <w:lang w:val="en-US"/>
        </w:rPr>
        <w:t>Clinical Nurse Specialist</w:t>
      </w:r>
      <w:r w:rsidRPr="005A464E">
        <w:rPr>
          <w:rFonts w:asciiTheme="minorHAnsi" w:hAnsiTheme="minorHAnsi" w:cstheme="minorHAnsi"/>
          <w:color w:val="000000"/>
          <w:lang w:val="en-US"/>
        </w:rPr>
        <w:t>,</w:t>
      </w:r>
      <w:r w:rsidRPr="005A464E">
        <w:rPr>
          <w:rStyle w:val="apple-converted-space"/>
          <w:rFonts w:asciiTheme="minorHAnsi" w:hAnsiTheme="minorHAnsi" w:cstheme="minorHAnsi"/>
          <w:color w:val="000000"/>
          <w:lang w:val="en-US"/>
        </w:rPr>
        <w:t> </w:t>
      </w:r>
      <w:r w:rsidRPr="003104C9">
        <w:rPr>
          <w:rFonts w:asciiTheme="minorHAnsi" w:hAnsiTheme="minorHAnsi" w:cstheme="minorHAnsi"/>
          <w:i/>
          <w:iCs/>
          <w:color w:val="000000"/>
          <w:lang w:val="en-US"/>
        </w:rPr>
        <w:t>27</w:t>
      </w:r>
      <w:r w:rsidR="003104C9">
        <w:rPr>
          <w:rFonts w:asciiTheme="minorHAnsi" w:hAnsiTheme="minorHAnsi" w:cstheme="minorHAnsi"/>
          <w:color w:val="000000"/>
          <w:lang w:val="en-US"/>
        </w:rPr>
        <w:t>,</w:t>
      </w:r>
      <w:r w:rsidRPr="005A464E">
        <w:rPr>
          <w:rFonts w:asciiTheme="minorHAnsi" w:hAnsiTheme="minorHAnsi" w:cstheme="minorHAnsi"/>
          <w:color w:val="000000"/>
          <w:lang w:val="en-US"/>
        </w:rPr>
        <w:t xml:space="preserve"> 19-25. http://dx.</w:t>
      </w:r>
      <w:r w:rsidR="00292B29" w:rsidRPr="005A464E">
        <w:rPr>
          <w:rFonts w:asciiTheme="minorHAnsi" w:hAnsiTheme="minorHAnsi" w:cstheme="minorHAnsi"/>
          <w:color w:val="000000"/>
          <w:lang w:val="en-US"/>
        </w:rPr>
        <w:t>DOI</w:t>
      </w:r>
      <w:r w:rsidRPr="005A464E">
        <w:rPr>
          <w:rFonts w:asciiTheme="minorHAnsi" w:hAnsiTheme="minorHAnsi" w:cstheme="minorHAnsi"/>
          <w:color w:val="000000"/>
          <w:lang w:val="en-US"/>
        </w:rPr>
        <w:t>.org/10.1097/nur.0b013e3182777011</w:t>
      </w:r>
      <w:r w:rsidR="00AE73BD" w:rsidRPr="005A464E">
        <w:rPr>
          <w:rFonts w:asciiTheme="minorHAnsi" w:hAnsiTheme="minorHAnsi" w:cstheme="minorHAnsi"/>
          <w:color w:val="000000"/>
          <w:lang w:val="en-US"/>
        </w:rPr>
        <w:t>.</w:t>
      </w:r>
    </w:p>
    <w:p w:rsidR="003C410F" w:rsidRDefault="003C410F" w:rsidP="005A464E">
      <w:pPr>
        <w:pStyle w:val="Web"/>
        <w:spacing w:after="166" w:line="360" w:lineRule="auto"/>
        <w:ind w:left="415" w:hanging="415"/>
        <w:jc w:val="both"/>
        <w:rPr>
          <w:lang w:val="en-US"/>
        </w:rPr>
      </w:pPr>
      <w:r w:rsidRPr="005A464E">
        <w:rPr>
          <w:rFonts w:asciiTheme="minorHAnsi" w:hAnsiTheme="minorHAnsi" w:cstheme="minorHAnsi"/>
          <w:color w:val="000000"/>
          <w:lang w:val="en-US"/>
        </w:rPr>
        <w:t>Ragnarson Tennvall, G., &amp; Apelqvist, J. (2000). Health-related quality of life in patients with diabetes mellitus and foot ulcers.</w:t>
      </w:r>
      <w:r w:rsidRPr="005A464E">
        <w:rPr>
          <w:rStyle w:val="apple-converted-space"/>
          <w:rFonts w:asciiTheme="minorHAnsi" w:hAnsiTheme="minorHAnsi" w:cstheme="minorHAnsi"/>
          <w:color w:val="000000"/>
          <w:lang w:val="en-US"/>
        </w:rPr>
        <w:t> </w:t>
      </w:r>
      <w:r w:rsidRPr="005A464E">
        <w:rPr>
          <w:rFonts w:asciiTheme="minorHAnsi" w:hAnsiTheme="minorHAnsi" w:cstheme="minorHAnsi"/>
          <w:i/>
          <w:iCs/>
          <w:color w:val="000000"/>
          <w:lang w:val="en-US"/>
        </w:rPr>
        <w:t>Jo</w:t>
      </w:r>
      <w:r w:rsidR="00F7182C" w:rsidRPr="005A464E">
        <w:rPr>
          <w:rFonts w:asciiTheme="minorHAnsi" w:hAnsiTheme="minorHAnsi" w:cstheme="minorHAnsi"/>
          <w:i/>
          <w:iCs/>
          <w:color w:val="000000"/>
          <w:lang w:val="en-US"/>
        </w:rPr>
        <w:t>urnal of Diabetes and i</w:t>
      </w:r>
      <w:r w:rsidRPr="005A464E">
        <w:rPr>
          <w:rFonts w:asciiTheme="minorHAnsi" w:hAnsiTheme="minorHAnsi" w:cstheme="minorHAnsi"/>
          <w:i/>
          <w:iCs/>
          <w:color w:val="000000"/>
          <w:lang w:val="en-US"/>
        </w:rPr>
        <w:t>ts Complications</w:t>
      </w:r>
      <w:r w:rsidRPr="005A464E">
        <w:rPr>
          <w:rFonts w:asciiTheme="minorHAnsi" w:hAnsiTheme="minorHAnsi" w:cstheme="minorHAnsi"/>
          <w:color w:val="000000"/>
          <w:lang w:val="en-US"/>
        </w:rPr>
        <w:t>,</w:t>
      </w:r>
      <w:r w:rsidR="0078495A">
        <w:rPr>
          <w:rStyle w:val="apple-converted-space"/>
          <w:rFonts w:asciiTheme="minorHAnsi" w:hAnsiTheme="minorHAnsi" w:cstheme="minorHAnsi"/>
          <w:color w:val="000000"/>
          <w:lang w:val="en-US"/>
        </w:rPr>
        <w:t xml:space="preserve"> </w:t>
      </w:r>
      <w:r w:rsidRPr="003104C9">
        <w:rPr>
          <w:rFonts w:asciiTheme="minorHAnsi" w:hAnsiTheme="minorHAnsi" w:cstheme="minorHAnsi"/>
          <w:i/>
          <w:iCs/>
          <w:color w:val="000000"/>
          <w:lang w:val="en-US"/>
        </w:rPr>
        <w:t>4</w:t>
      </w:r>
      <w:r w:rsidRPr="003104C9">
        <w:rPr>
          <w:rFonts w:asciiTheme="minorHAnsi" w:hAnsiTheme="minorHAnsi" w:cstheme="minorHAnsi"/>
          <w:i/>
          <w:color w:val="000000"/>
          <w:lang w:val="en-US"/>
        </w:rPr>
        <w:t>,</w:t>
      </w:r>
      <w:r w:rsidRPr="005A464E">
        <w:rPr>
          <w:rFonts w:asciiTheme="minorHAnsi" w:hAnsiTheme="minorHAnsi" w:cstheme="minorHAnsi"/>
          <w:color w:val="000000"/>
          <w:lang w:val="en-US"/>
        </w:rPr>
        <w:t xml:space="preserve"> 235-241. </w:t>
      </w:r>
      <w:hyperlink r:id="rId327" w:history="1">
        <w:r w:rsidR="00382E33"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00382E33" w:rsidRPr="005A464E">
          <w:rPr>
            <w:rStyle w:val="-"/>
            <w:rFonts w:asciiTheme="minorHAnsi" w:hAnsiTheme="minorHAnsi" w:cstheme="minorHAnsi"/>
            <w:color w:val="auto"/>
            <w:u w:val="none"/>
            <w:lang w:val="en-US"/>
          </w:rPr>
          <w:t>.org/10.1016/s1056-8727(00)00133-1</w:t>
        </w:r>
      </w:hyperlink>
      <w:r w:rsidR="00B84ACC">
        <w:rPr>
          <w:lang w:val="en-US"/>
        </w:rPr>
        <w:t>.</w:t>
      </w:r>
    </w:p>
    <w:p w:rsidR="00B84ACC" w:rsidRPr="00B84ACC" w:rsidRDefault="00B84ACC" w:rsidP="005A464E">
      <w:pPr>
        <w:pStyle w:val="Web"/>
        <w:spacing w:after="166" w:line="360" w:lineRule="auto"/>
        <w:ind w:left="415" w:hanging="415"/>
        <w:jc w:val="both"/>
        <w:rPr>
          <w:rFonts w:asciiTheme="minorHAnsi" w:hAnsiTheme="minorHAnsi" w:cstheme="minorHAnsi"/>
          <w:lang w:val="en-US"/>
        </w:rPr>
      </w:pPr>
      <w:r>
        <w:rPr>
          <w:rFonts w:asciiTheme="minorHAnsi" w:hAnsiTheme="minorHAnsi" w:cstheme="minorHAnsi"/>
          <w:shd w:val="clear" w:color="auto" w:fill="FFFFFF"/>
          <w:lang w:val="en-US"/>
        </w:rPr>
        <w:t>Rajan, D.</w:t>
      </w:r>
      <w:r w:rsidRPr="00B84ACC">
        <w:rPr>
          <w:rFonts w:asciiTheme="minorHAnsi" w:hAnsiTheme="minorHAnsi" w:cstheme="minorHAnsi"/>
          <w:shd w:val="clear" w:color="auto" w:fill="FFFFFF"/>
          <w:lang w:val="en-US"/>
        </w:rPr>
        <w:t>K. (2016). New Approaches to Arteriovenous Fistula Creation. </w:t>
      </w:r>
      <w:r w:rsidRPr="00B84ACC">
        <w:rPr>
          <w:rFonts w:asciiTheme="minorHAnsi" w:hAnsiTheme="minorHAnsi" w:cstheme="minorHAnsi"/>
          <w:i/>
          <w:iCs/>
          <w:shd w:val="clear" w:color="auto" w:fill="FFFFFF"/>
          <w:lang w:val="en-US"/>
        </w:rPr>
        <w:t>Seminars in Interventional Radiology</w:t>
      </w:r>
      <w:r w:rsidRPr="00B84ACC">
        <w:rPr>
          <w:rFonts w:asciiTheme="minorHAnsi" w:hAnsiTheme="minorHAnsi" w:cstheme="minorHAnsi"/>
          <w:shd w:val="clear" w:color="auto" w:fill="FFFFFF"/>
          <w:lang w:val="en-US"/>
        </w:rPr>
        <w:t>, </w:t>
      </w:r>
      <w:r w:rsidRPr="00B84ACC">
        <w:rPr>
          <w:rFonts w:asciiTheme="minorHAnsi" w:hAnsiTheme="minorHAnsi" w:cstheme="minorHAnsi"/>
          <w:i/>
          <w:iCs/>
          <w:shd w:val="clear" w:color="auto" w:fill="FFFFFF"/>
          <w:lang w:val="en-US"/>
        </w:rPr>
        <w:t>33</w:t>
      </w:r>
      <w:r>
        <w:rPr>
          <w:rFonts w:asciiTheme="minorHAnsi" w:hAnsiTheme="minorHAnsi" w:cstheme="minorHAnsi"/>
          <w:shd w:val="clear" w:color="auto" w:fill="FFFFFF"/>
          <w:lang w:val="en-US"/>
        </w:rPr>
        <w:t>,</w:t>
      </w:r>
      <w:r w:rsidRPr="00B84ACC">
        <w:rPr>
          <w:rFonts w:asciiTheme="minorHAnsi" w:hAnsiTheme="minorHAnsi" w:cstheme="minorHAnsi"/>
          <w:shd w:val="clear" w:color="auto" w:fill="FFFFFF"/>
          <w:lang w:val="en-US"/>
        </w:rPr>
        <w:t xml:space="preserve"> 6–9. http://doi.org/10.1055/s-0036-1571805.</w:t>
      </w:r>
    </w:p>
    <w:p w:rsidR="00382E33" w:rsidRPr="005A464E" w:rsidRDefault="00382E33" w:rsidP="005A464E">
      <w:pPr>
        <w:pStyle w:val="Web"/>
        <w:spacing w:after="166" w:line="360" w:lineRule="auto"/>
        <w:ind w:left="415" w:hanging="415"/>
        <w:jc w:val="both"/>
        <w:rPr>
          <w:rFonts w:asciiTheme="minorHAnsi" w:hAnsiTheme="minorHAnsi" w:cstheme="minorHAnsi"/>
          <w:color w:val="000000"/>
          <w:lang w:val="en-US"/>
        </w:rPr>
      </w:pPr>
      <w:r w:rsidRPr="005A464E">
        <w:rPr>
          <w:rFonts w:asciiTheme="minorHAnsi" w:hAnsiTheme="minorHAnsi"/>
          <w:color w:val="000000"/>
          <w:lang w:val="en-US"/>
        </w:rPr>
        <w:t>Rahimi, A., Ahmadi, F.,</w:t>
      </w:r>
      <w:r w:rsidR="00AE73BD" w:rsidRPr="005A464E">
        <w:rPr>
          <w:rFonts w:asciiTheme="minorHAnsi" w:hAnsiTheme="minorHAnsi"/>
          <w:color w:val="000000"/>
          <w:lang w:val="en-US"/>
        </w:rPr>
        <w:t xml:space="preserve"> &amp;</w:t>
      </w:r>
      <w:r w:rsidRPr="005A464E">
        <w:rPr>
          <w:rFonts w:asciiTheme="minorHAnsi" w:hAnsiTheme="minorHAnsi"/>
          <w:color w:val="000000"/>
          <w:lang w:val="en-US"/>
        </w:rPr>
        <w:t xml:space="preserve"> Ghalyaf, M. (1996).</w:t>
      </w:r>
      <w:r w:rsidR="0078495A">
        <w:rPr>
          <w:rFonts w:asciiTheme="minorHAnsi" w:hAnsiTheme="minorHAnsi"/>
          <w:color w:val="000000"/>
          <w:lang w:val="en-US"/>
        </w:rPr>
        <w:t xml:space="preserve"> </w:t>
      </w:r>
      <w:r w:rsidRPr="005A464E">
        <w:rPr>
          <w:rFonts w:asciiTheme="minorHAnsi" w:hAnsiTheme="minorHAnsi"/>
          <w:color w:val="000000"/>
          <w:lang w:val="en-US"/>
        </w:rPr>
        <w:t xml:space="preserve">Effectiveness of continuous care model on quality of life in hemodialysis patients. </w:t>
      </w:r>
      <w:r w:rsidRPr="005A464E">
        <w:rPr>
          <w:rFonts w:asciiTheme="minorHAnsi" w:hAnsiTheme="minorHAnsi"/>
          <w:i/>
          <w:color w:val="000000"/>
          <w:lang w:val="en-US"/>
        </w:rPr>
        <w:t>Iranian University of Medical Sciences Journal,</w:t>
      </w:r>
      <w:r w:rsidR="003104C9">
        <w:rPr>
          <w:rFonts w:asciiTheme="minorHAnsi" w:hAnsiTheme="minorHAnsi"/>
          <w:color w:val="000000"/>
          <w:lang w:val="en-US"/>
        </w:rPr>
        <w:t xml:space="preserve"> </w:t>
      </w:r>
      <w:r w:rsidR="003104C9" w:rsidRPr="003104C9">
        <w:rPr>
          <w:rFonts w:asciiTheme="minorHAnsi" w:hAnsiTheme="minorHAnsi"/>
          <w:i/>
          <w:color w:val="000000"/>
          <w:lang w:val="en-US"/>
        </w:rPr>
        <w:t>13,</w:t>
      </w:r>
      <w:r w:rsidRPr="005A464E">
        <w:rPr>
          <w:rFonts w:asciiTheme="minorHAnsi" w:hAnsiTheme="minorHAnsi"/>
          <w:color w:val="000000"/>
          <w:lang w:val="en-US"/>
        </w:rPr>
        <w:t>123-</w:t>
      </w:r>
      <w:r w:rsidR="003104C9">
        <w:rPr>
          <w:rFonts w:asciiTheme="minorHAnsi" w:hAnsiTheme="minorHAnsi"/>
          <w:color w:val="000000"/>
          <w:lang w:val="en-US"/>
        </w:rPr>
        <w:t>1</w:t>
      </w:r>
      <w:r w:rsidRPr="005A464E">
        <w:rPr>
          <w:rFonts w:asciiTheme="minorHAnsi" w:hAnsiTheme="minorHAnsi"/>
          <w:color w:val="000000"/>
          <w:lang w:val="en-US"/>
        </w:rPr>
        <w:t>34.</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Raimundo, P., Ravasco, P., Proença, V., &amp; Camilo, M. (2006). Does nutrition play a role in quality of life of patients under chronic haemodialysis? </w:t>
      </w:r>
      <w:r w:rsidRPr="005A464E">
        <w:rPr>
          <w:rFonts w:asciiTheme="minorHAnsi" w:eastAsia="Times New Roman" w:hAnsiTheme="minorHAnsi" w:cstheme="minorHAnsi"/>
          <w:i/>
          <w:lang w:val="en-US" w:eastAsia="el-GR"/>
        </w:rPr>
        <w:t>Nutricion Hospitalaria,</w:t>
      </w:r>
      <w:r w:rsidR="003104C9">
        <w:rPr>
          <w:rFonts w:asciiTheme="minorHAnsi" w:eastAsia="Times New Roman" w:hAnsiTheme="minorHAnsi" w:cstheme="minorHAnsi"/>
          <w:lang w:val="en-US" w:eastAsia="el-GR"/>
        </w:rPr>
        <w:t xml:space="preserve"> </w:t>
      </w:r>
      <w:r w:rsidR="003104C9" w:rsidRPr="003104C9">
        <w:rPr>
          <w:rFonts w:asciiTheme="minorHAnsi" w:eastAsia="Times New Roman" w:hAnsiTheme="minorHAnsi" w:cstheme="minorHAnsi"/>
          <w:i/>
          <w:lang w:val="en-US" w:eastAsia="el-GR"/>
        </w:rPr>
        <w:t>21</w:t>
      </w:r>
      <w:r w:rsidR="003104C9">
        <w:rPr>
          <w:rFonts w:asciiTheme="minorHAnsi" w:eastAsia="Times New Roman" w:hAnsiTheme="minorHAnsi" w:cstheme="minorHAnsi"/>
          <w:lang w:val="en-US" w:eastAsia="el-GR"/>
        </w:rPr>
        <w:t>,</w:t>
      </w:r>
      <w:r w:rsidRPr="005A464E">
        <w:rPr>
          <w:rFonts w:asciiTheme="minorHAnsi" w:eastAsia="Times New Roman" w:hAnsiTheme="minorHAnsi" w:cstheme="minorHAnsi"/>
          <w:lang w:val="en-US" w:eastAsia="el-GR"/>
        </w:rPr>
        <w:t xml:space="preserve"> 139-144</w:t>
      </w:r>
      <w:r w:rsidR="00AE73BD" w:rsidRPr="005A464E">
        <w:rPr>
          <w:rFonts w:asciiTheme="minorHAnsi" w:eastAsia="Times New Roman" w:hAnsiTheme="minorHAnsi" w:cstheme="minorHAnsi"/>
          <w:lang w:val="en-US" w:eastAsia="el-GR"/>
        </w:rPr>
        <w:t>.</w:t>
      </w:r>
    </w:p>
    <w:p w:rsidR="003C410F" w:rsidRPr="005A464E" w:rsidRDefault="008F3609" w:rsidP="005A464E">
      <w:pPr>
        <w:pStyle w:val="Web"/>
        <w:spacing w:after="166" w:line="360" w:lineRule="auto"/>
        <w:ind w:left="415" w:hanging="415"/>
        <w:jc w:val="both"/>
        <w:rPr>
          <w:rFonts w:asciiTheme="minorHAnsi" w:hAnsiTheme="minorHAnsi" w:cstheme="minorHAnsi"/>
          <w:lang w:val="en-US"/>
        </w:rPr>
      </w:pPr>
      <w:hyperlink r:id="rId328" w:history="1">
        <w:r w:rsidR="003C410F" w:rsidRPr="005A464E">
          <w:rPr>
            <w:rStyle w:val="-"/>
            <w:rFonts w:asciiTheme="minorHAnsi" w:hAnsiTheme="minorHAnsi" w:cstheme="minorHAnsi"/>
            <w:color w:val="auto"/>
            <w:u w:val="none"/>
            <w:shd w:val="clear" w:color="auto" w:fill="FFFFFF"/>
            <w:lang w:val="en-US"/>
          </w:rPr>
          <w:t>Ramirez, S.P</w:t>
        </w:r>
      </w:hyperlink>
      <w:r w:rsidR="003C410F" w:rsidRPr="005A464E">
        <w:rPr>
          <w:rFonts w:asciiTheme="minorHAnsi" w:hAnsiTheme="minorHAnsi" w:cstheme="minorHAnsi"/>
          <w:lang w:val="en-US"/>
        </w:rPr>
        <w:t>.</w:t>
      </w:r>
      <w:r w:rsidR="003C410F" w:rsidRPr="005A464E">
        <w:rPr>
          <w:rFonts w:asciiTheme="minorHAnsi" w:hAnsiTheme="minorHAnsi" w:cstheme="minorHAnsi"/>
          <w:shd w:val="clear" w:color="auto" w:fill="FFFFFF"/>
          <w:lang w:val="en-US"/>
        </w:rPr>
        <w:t>,</w:t>
      </w:r>
      <w:r w:rsidR="003C410F" w:rsidRPr="005A464E">
        <w:rPr>
          <w:rStyle w:val="apple-converted-space"/>
          <w:rFonts w:asciiTheme="minorHAnsi" w:hAnsiTheme="minorHAnsi" w:cstheme="minorHAnsi"/>
          <w:shd w:val="clear" w:color="auto" w:fill="FFFFFF"/>
          <w:lang w:val="en-US"/>
        </w:rPr>
        <w:t> </w:t>
      </w:r>
      <w:hyperlink r:id="rId329" w:history="1">
        <w:r w:rsidR="003C410F" w:rsidRPr="005A464E">
          <w:rPr>
            <w:rStyle w:val="-"/>
            <w:rFonts w:asciiTheme="minorHAnsi" w:hAnsiTheme="minorHAnsi" w:cstheme="minorHAnsi"/>
            <w:color w:val="auto"/>
            <w:u w:val="none"/>
            <w:shd w:val="clear" w:color="auto" w:fill="FFFFFF"/>
            <w:lang w:val="en-US"/>
          </w:rPr>
          <w:t>Hsu, S.I</w:t>
        </w:r>
      </w:hyperlink>
      <w:r w:rsidR="003C410F" w:rsidRPr="005A464E">
        <w:rPr>
          <w:rFonts w:asciiTheme="minorHAnsi" w:hAnsiTheme="minorHAnsi" w:cstheme="minorHAnsi"/>
          <w:lang w:val="en-US"/>
        </w:rPr>
        <w:t>.</w:t>
      </w:r>
      <w:r w:rsidR="003C410F" w:rsidRPr="005A464E">
        <w:rPr>
          <w:rFonts w:asciiTheme="minorHAnsi" w:hAnsiTheme="minorHAnsi" w:cstheme="minorHAnsi"/>
          <w:shd w:val="clear" w:color="auto" w:fill="FFFFFF"/>
          <w:lang w:val="en-US"/>
        </w:rPr>
        <w:t>,</w:t>
      </w:r>
      <w:r w:rsidR="003C410F" w:rsidRPr="005A464E">
        <w:rPr>
          <w:rStyle w:val="apple-converted-space"/>
          <w:rFonts w:asciiTheme="minorHAnsi" w:hAnsiTheme="minorHAnsi" w:cstheme="minorHAnsi"/>
          <w:shd w:val="clear" w:color="auto" w:fill="FFFFFF"/>
          <w:lang w:val="en-US"/>
        </w:rPr>
        <w:t> </w:t>
      </w:r>
      <w:r w:rsidR="00AE73BD" w:rsidRPr="005A464E">
        <w:rPr>
          <w:rStyle w:val="apple-converted-space"/>
          <w:rFonts w:asciiTheme="minorHAnsi" w:hAnsiTheme="minorHAnsi" w:cstheme="minorHAnsi"/>
          <w:shd w:val="clear" w:color="auto" w:fill="FFFFFF"/>
          <w:lang w:val="en-US"/>
        </w:rPr>
        <w:t xml:space="preserve">&amp; </w:t>
      </w:r>
      <w:hyperlink r:id="rId330" w:history="1">
        <w:r w:rsidR="003C410F" w:rsidRPr="005A464E">
          <w:rPr>
            <w:rStyle w:val="-"/>
            <w:rFonts w:asciiTheme="minorHAnsi" w:hAnsiTheme="minorHAnsi" w:cstheme="minorHAnsi"/>
            <w:color w:val="auto"/>
            <w:u w:val="none"/>
            <w:shd w:val="clear" w:color="auto" w:fill="FFFFFF"/>
            <w:lang w:val="en-US"/>
          </w:rPr>
          <w:t>McClellan, W</w:t>
        </w:r>
      </w:hyperlink>
      <w:r w:rsidR="003C410F" w:rsidRPr="005A464E">
        <w:rPr>
          <w:rFonts w:asciiTheme="minorHAnsi" w:hAnsiTheme="minorHAnsi" w:cs="Arial"/>
          <w:color w:val="000000"/>
          <w:shd w:val="clear" w:color="auto" w:fill="FFFFFF"/>
          <w:lang w:val="en-US"/>
        </w:rPr>
        <w:t>.</w:t>
      </w:r>
      <w:r w:rsidR="003C410F" w:rsidRPr="005A464E">
        <w:rPr>
          <w:rFonts w:asciiTheme="minorHAnsi" w:eastAsia="Times New Roman" w:hAnsiTheme="minorHAnsi" w:cstheme="minorHAnsi"/>
          <w:lang w:val="en-US" w:eastAsia="el-GR"/>
        </w:rPr>
        <w:t xml:space="preserve"> (2003). Taking a public health approach to the prevention of end-stage renal disease: the NKF Singapore program. </w:t>
      </w:r>
      <w:r w:rsidR="003C410F" w:rsidRPr="005A464E">
        <w:rPr>
          <w:rFonts w:asciiTheme="minorHAnsi" w:eastAsia="Times New Roman" w:hAnsiTheme="minorHAnsi" w:cstheme="minorHAnsi"/>
          <w:i/>
          <w:lang w:val="en-US" w:eastAsia="el-GR"/>
        </w:rPr>
        <w:t>Kidney International,</w:t>
      </w:r>
      <w:r w:rsidR="003C410F" w:rsidRPr="005A464E">
        <w:rPr>
          <w:rFonts w:asciiTheme="minorHAnsi" w:eastAsia="Times New Roman" w:hAnsiTheme="minorHAnsi" w:cstheme="minorHAnsi"/>
          <w:lang w:val="en-US" w:eastAsia="el-GR"/>
        </w:rPr>
        <w:t xml:space="preserve"> (</w:t>
      </w:r>
      <w:r w:rsidR="003C410F" w:rsidRPr="00440627">
        <w:rPr>
          <w:rFonts w:asciiTheme="minorHAnsi" w:eastAsia="Times New Roman" w:hAnsiTheme="minorHAnsi" w:cstheme="minorHAnsi"/>
          <w:i/>
          <w:lang w:val="en-US" w:eastAsia="el-GR"/>
        </w:rPr>
        <w:t>suppl 63</w:t>
      </w:r>
      <w:r w:rsidR="003C410F" w:rsidRPr="005A464E">
        <w:rPr>
          <w:rFonts w:asciiTheme="minorHAnsi" w:eastAsia="Times New Roman" w:hAnsiTheme="minorHAnsi" w:cstheme="minorHAnsi"/>
          <w:lang w:val="en-US" w:eastAsia="el-GR"/>
        </w:rPr>
        <w:t>): S61-</w:t>
      </w:r>
      <w:r w:rsidR="00440627">
        <w:rPr>
          <w:rFonts w:asciiTheme="minorHAnsi" w:eastAsia="Times New Roman" w:hAnsiTheme="minorHAnsi" w:cstheme="minorHAnsi"/>
          <w:lang w:val="en-US" w:eastAsia="el-GR"/>
        </w:rPr>
        <w:t>6</w:t>
      </w:r>
      <w:r w:rsidR="003C410F" w:rsidRPr="005A464E">
        <w:rPr>
          <w:rFonts w:asciiTheme="minorHAnsi" w:eastAsia="Times New Roman" w:hAnsiTheme="minorHAnsi" w:cstheme="minorHAnsi"/>
          <w:lang w:val="en-US" w:eastAsia="el-GR"/>
        </w:rPr>
        <w:t>5</w:t>
      </w:r>
      <w:r w:rsidR="003C410F" w:rsidRPr="005A464E">
        <w:rPr>
          <w:rFonts w:asciiTheme="minorHAnsi" w:hAnsiTheme="minorHAnsi" w:cstheme="minorHAnsi"/>
          <w:lang w:val="en-US"/>
        </w:rPr>
        <w:t xml:space="preserve"> </w:t>
      </w:r>
      <w:r w:rsidR="00292B29" w:rsidRPr="005A464E">
        <w:rPr>
          <w:rFonts w:asciiTheme="minorHAnsi" w:hAnsiTheme="minorHAnsi" w:cstheme="minorHAnsi"/>
          <w:lang w:val="en-US"/>
        </w:rPr>
        <w:t>DOI</w:t>
      </w:r>
      <w:r w:rsidR="003C410F" w:rsidRPr="005A464E">
        <w:rPr>
          <w:rFonts w:asciiTheme="minorHAnsi" w:hAnsiTheme="minorHAnsi" w:cstheme="minorHAnsi"/>
          <w:lang w:val="en-US"/>
        </w:rPr>
        <w:t xml:space="preserve">: </w:t>
      </w:r>
      <w:hyperlink r:id="rId331" w:history="1">
        <w:r w:rsidR="003C410F" w:rsidRPr="005A464E">
          <w:rPr>
            <w:rStyle w:val="-"/>
            <w:rFonts w:asciiTheme="minorHAnsi" w:hAnsiTheme="minorHAnsi" w:cstheme="minorHAnsi"/>
            <w:color w:val="auto"/>
            <w:u w:val="none"/>
            <w:lang w:val="en-US"/>
          </w:rPr>
          <w:t>10.1046/j.1523-1755.63.s83.13.x</w:t>
        </w:r>
      </w:hyperlink>
      <w:r w:rsidR="00AE73BD" w:rsidRPr="005A464E">
        <w:rPr>
          <w:rFonts w:asciiTheme="minorHAnsi" w:hAnsiTheme="minorHAnsi"/>
          <w:lang w:val="en-US"/>
        </w:rPr>
        <w:t>.</w:t>
      </w:r>
    </w:p>
    <w:p w:rsidR="00C73484"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Reach, A. (2008).</w:t>
      </w:r>
      <w:r w:rsidR="0078495A">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 xml:space="preserve">Novel conceptual framework for understanding the mechanism of adherence to long term therapies. </w:t>
      </w:r>
      <w:r w:rsidRPr="005A464E">
        <w:rPr>
          <w:rFonts w:asciiTheme="minorHAnsi" w:eastAsia="Times New Roman" w:hAnsiTheme="minorHAnsi" w:cstheme="minorHAnsi"/>
          <w:i/>
          <w:lang w:val="en-US" w:eastAsia="el-GR"/>
        </w:rPr>
        <w:t>Patient Preference and Adherence</w:t>
      </w:r>
      <w:r w:rsidRPr="00440627">
        <w:rPr>
          <w:rFonts w:asciiTheme="minorHAnsi" w:eastAsia="Times New Roman" w:hAnsiTheme="minorHAnsi" w:cstheme="minorHAnsi"/>
          <w:i/>
          <w:lang w:val="en-US" w:eastAsia="el-GR"/>
        </w:rPr>
        <w:t>,</w:t>
      </w:r>
      <w:r w:rsidR="00440627" w:rsidRPr="00440627">
        <w:rPr>
          <w:rFonts w:asciiTheme="minorHAnsi" w:eastAsia="Times New Roman" w:hAnsiTheme="minorHAnsi" w:cstheme="minorHAnsi"/>
          <w:i/>
          <w:lang w:val="en-US" w:eastAsia="el-GR"/>
        </w:rPr>
        <w:t xml:space="preserve"> 2,</w:t>
      </w:r>
      <w:r w:rsidRPr="005A464E">
        <w:rPr>
          <w:rFonts w:asciiTheme="minorHAnsi" w:eastAsia="Times New Roman" w:hAnsiTheme="minorHAnsi" w:cstheme="minorHAnsi"/>
          <w:lang w:val="en-US" w:eastAsia="el-GR"/>
        </w:rPr>
        <w:t>7-19</w:t>
      </w:r>
      <w:r w:rsidR="00AE73BD" w:rsidRPr="005A464E">
        <w:rPr>
          <w:rFonts w:asciiTheme="minorHAnsi" w:eastAsia="Times New Roman" w:hAnsiTheme="minorHAnsi" w:cstheme="minorHAnsi"/>
          <w:lang w:val="en-US" w:eastAsia="el-GR"/>
        </w:rPr>
        <w:t>.</w:t>
      </w:r>
    </w:p>
    <w:p w:rsidR="00C73484" w:rsidRPr="005A464E" w:rsidRDefault="008F3609" w:rsidP="005A464E">
      <w:pPr>
        <w:pStyle w:val="Web"/>
        <w:spacing w:after="166" w:line="360" w:lineRule="auto"/>
        <w:ind w:left="415" w:hanging="415"/>
        <w:jc w:val="both"/>
        <w:rPr>
          <w:rFonts w:asciiTheme="minorHAnsi" w:eastAsia="Times New Roman" w:hAnsiTheme="minorHAnsi" w:cstheme="minorHAnsi"/>
          <w:lang w:val="en-US" w:eastAsia="el-GR"/>
        </w:rPr>
      </w:pPr>
      <w:hyperlink r:id="rId332" w:tgtFrame="_blank" w:history="1">
        <w:r w:rsidR="00F823C6" w:rsidRPr="005A464E">
          <w:rPr>
            <w:rStyle w:val="-"/>
            <w:rFonts w:asciiTheme="minorHAnsi" w:hAnsiTheme="minorHAnsi" w:cstheme="minorHAnsi"/>
            <w:bCs/>
            <w:color w:val="auto"/>
            <w:u w:val="none"/>
            <w:shd w:val="clear" w:color="auto" w:fill="FFFFFF"/>
            <w:lang w:val="en-US"/>
          </w:rPr>
          <w:t xml:space="preserve">Rebollo, P., Mon, C., Alvarez-Ude, F., Vázquez, A., Fernández Reyes, M.R., </w:t>
        </w:r>
        <w:r w:rsidR="00AE73BD" w:rsidRPr="005A464E">
          <w:rPr>
            <w:rStyle w:val="-"/>
            <w:rFonts w:asciiTheme="minorHAnsi" w:hAnsiTheme="minorHAnsi" w:cstheme="minorHAnsi"/>
            <w:bCs/>
            <w:color w:val="auto"/>
            <w:u w:val="none"/>
            <w:shd w:val="clear" w:color="auto" w:fill="FFFFFF"/>
            <w:lang w:val="en-US"/>
          </w:rPr>
          <w:t xml:space="preserve">&amp; </w:t>
        </w:r>
        <w:r w:rsidR="00F823C6" w:rsidRPr="005A464E">
          <w:rPr>
            <w:rStyle w:val="-"/>
            <w:rFonts w:asciiTheme="minorHAnsi" w:hAnsiTheme="minorHAnsi" w:cstheme="minorHAnsi"/>
            <w:bCs/>
            <w:color w:val="auto"/>
            <w:u w:val="none"/>
            <w:shd w:val="clear" w:color="auto" w:fill="FFFFFF"/>
            <w:lang w:val="en-US"/>
          </w:rPr>
          <w:t>Sánchez</w:t>
        </w:r>
      </w:hyperlink>
      <w:r w:rsidR="00F823C6" w:rsidRPr="005A464E">
        <w:rPr>
          <w:rFonts w:asciiTheme="minorHAnsi" w:hAnsiTheme="minorHAnsi" w:cstheme="minorHAnsi"/>
          <w:lang w:val="en-US"/>
        </w:rPr>
        <w:t xml:space="preserve">, </w:t>
      </w:r>
      <w:r w:rsidR="00C73484" w:rsidRPr="005A464E">
        <w:rPr>
          <w:rFonts w:asciiTheme="minorHAnsi" w:hAnsiTheme="minorHAnsi" w:cstheme="minorHAnsi"/>
          <w:lang w:val="en-US"/>
        </w:rPr>
        <w:t xml:space="preserve">R. (2001). Síntomas físicos y trastornos emocionales en pacientes en programa de hemodiálisis periódicas. </w:t>
      </w:r>
      <w:r w:rsidR="00C73484" w:rsidRPr="005A464E">
        <w:rPr>
          <w:rFonts w:asciiTheme="minorHAnsi" w:hAnsiTheme="minorHAnsi" w:cstheme="minorHAnsi"/>
          <w:i/>
          <w:shd w:val="clear" w:color="auto" w:fill="FFFFFF"/>
          <w:lang w:val="en-US"/>
        </w:rPr>
        <w:t>Nefrologia (Madr.)</w:t>
      </w:r>
      <w:r w:rsidR="00F823C6" w:rsidRPr="005A464E">
        <w:rPr>
          <w:rFonts w:asciiTheme="minorHAnsi" w:hAnsiTheme="minorHAnsi" w:cstheme="minorHAnsi"/>
          <w:i/>
          <w:shd w:val="clear" w:color="auto" w:fill="FFFFFF"/>
          <w:lang w:val="en-US"/>
        </w:rPr>
        <w:t>,</w:t>
      </w:r>
      <w:r w:rsidR="00F823C6" w:rsidRPr="005A464E">
        <w:rPr>
          <w:rFonts w:asciiTheme="minorHAnsi" w:hAnsiTheme="minorHAnsi" w:cstheme="minorHAnsi"/>
          <w:shd w:val="clear" w:color="auto" w:fill="FFFFFF"/>
          <w:lang w:val="en-US"/>
        </w:rPr>
        <w:t xml:space="preserve"> </w:t>
      </w:r>
      <w:r w:rsidR="00C73484" w:rsidRPr="00440627">
        <w:rPr>
          <w:rFonts w:asciiTheme="minorHAnsi" w:hAnsiTheme="minorHAnsi" w:cstheme="minorHAnsi"/>
          <w:i/>
          <w:shd w:val="clear" w:color="auto" w:fill="FFFFFF"/>
          <w:lang w:val="en-US"/>
        </w:rPr>
        <w:t>21,</w:t>
      </w:r>
      <w:r w:rsidR="00C73484" w:rsidRPr="005A464E">
        <w:rPr>
          <w:rFonts w:asciiTheme="minorHAnsi" w:hAnsiTheme="minorHAnsi" w:cstheme="minorHAnsi"/>
          <w:shd w:val="clear" w:color="auto" w:fill="FFFFFF"/>
          <w:lang w:val="en-US"/>
        </w:rPr>
        <w:t xml:space="preserve"> 191-199</w:t>
      </w:r>
      <w:r w:rsidR="00AE73BD" w:rsidRPr="005A464E">
        <w:rPr>
          <w:rFonts w:asciiTheme="minorHAnsi" w:hAnsiTheme="minorHAnsi" w:cstheme="minorHAnsi"/>
          <w:shd w:val="clear" w:color="auto" w:fill="FFFFFF"/>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shd w:val="clear" w:color="auto" w:fill="FFFFFF"/>
          <w:lang w:val="en-US"/>
        </w:rPr>
        <w:t>Reikes, S. (2000). Trends in end-stage renal disease.</w:t>
      </w:r>
      <w:r w:rsidRPr="005A464E">
        <w:rPr>
          <w:rStyle w:val="apple-converted-space"/>
          <w:rFonts w:asciiTheme="minorHAnsi" w:hAnsiTheme="minorHAnsi" w:cstheme="minorHAnsi"/>
          <w:shd w:val="clear" w:color="auto" w:fill="FFFFFF"/>
          <w:lang w:val="en-US"/>
        </w:rPr>
        <w:t> </w:t>
      </w:r>
      <w:r w:rsidRPr="005A464E">
        <w:rPr>
          <w:rFonts w:asciiTheme="minorHAnsi" w:hAnsiTheme="minorHAnsi" w:cstheme="minorHAnsi"/>
          <w:i/>
          <w:iCs/>
          <w:shd w:val="clear" w:color="auto" w:fill="FFFFFF"/>
          <w:lang w:val="en-US"/>
        </w:rPr>
        <w:t>Postgraduate Medicine</w:t>
      </w:r>
      <w:r w:rsidRPr="005A464E">
        <w:rPr>
          <w:rFonts w:asciiTheme="minorHAnsi" w:hAnsiTheme="minorHAnsi" w:cstheme="minorHAnsi"/>
          <w:shd w:val="clear" w:color="auto" w:fill="FFFFFF"/>
          <w:lang w:val="en-US"/>
        </w:rPr>
        <w:t>,</w:t>
      </w:r>
      <w:r w:rsidRPr="00440627">
        <w:rPr>
          <w:rStyle w:val="apple-converted-space"/>
          <w:rFonts w:asciiTheme="minorHAnsi" w:hAnsiTheme="minorHAnsi" w:cstheme="minorHAnsi"/>
          <w:i/>
          <w:shd w:val="clear" w:color="auto" w:fill="FFFFFF"/>
          <w:lang w:val="en-US"/>
        </w:rPr>
        <w:t> </w:t>
      </w:r>
      <w:r w:rsidRPr="00440627">
        <w:rPr>
          <w:rFonts w:asciiTheme="minorHAnsi" w:hAnsiTheme="minorHAnsi" w:cstheme="minorHAnsi"/>
          <w:i/>
          <w:iCs/>
          <w:shd w:val="clear" w:color="auto" w:fill="FFFFFF"/>
          <w:lang w:val="en-US"/>
        </w:rPr>
        <w:t>108</w:t>
      </w:r>
      <w:r w:rsidRPr="005A464E">
        <w:rPr>
          <w:rFonts w:asciiTheme="minorHAnsi" w:hAnsiTheme="minorHAnsi" w:cstheme="minorHAnsi"/>
          <w:shd w:val="clear" w:color="auto" w:fill="FFFFFF"/>
          <w:lang w:val="en-US"/>
        </w:rPr>
        <w:t xml:space="preserve">, 124-142. </w:t>
      </w:r>
      <w:hyperlink r:id="rId333" w:history="1">
        <w:r w:rsidRPr="005A464E">
          <w:rPr>
            <w:rStyle w:val="-"/>
            <w:rFonts w:asciiTheme="minorHAnsi" w:hAnsiTheme="minorHAnsi" w:cstheme="minorHAnsi"/>
            <w:color w:val="auto"/>
            <w:u w:val="none"/>
            <w:shd w:val="clear" w:color="auto" w:fill="FFFFFF"/>
            <w:lang w:val="en-US"/>
          </w:rPr>
          <w:t>http://dx.</w:t>
        </w:r>
        <w:r w:rsidR="00292B29" w:rsidRPr="005A464E">
          <w:rPr>
            <w:rStyle w:val="-"/>
            <w:rFonts w:asciiTheme="minorHAnsi" w:hAnsiTheme="minorHAnsi" w:cstheme="minorHAnsi"/>
            <w:color w:val="auto"/>
            <w:u w:val="none"/>
            <w:shd w:val="clear" w:color="auto" w:fill="FFFFFF"/>
            <w:lang w:val="en-US"/>
          </w:rPr>
          <w:t>DOI</w:t>
        </w:r>
        <w:r w:rsidRPr="005A464E">
          <w:rPr>
            <w:rStyle w:val="-"/>
            <w:rFonts w:asciiTheme="minorHAnsi" w:hAnsiTheme="minorHAnsi" w:cstheme="minorHAnsi"/>
            <w:color w:val="auto"/>
            <w:u w:val="none"/>
            <w:shd w:val="clear" w:color="auto" w:fill="FFFFFF"/>
            <w:lang w:val="en-US"/>
          </w:rPr>
          <w:t>.org/10.3810/pgm.2000.07.1152</w:t>
        </w:r>
      </w:hyperlink>
      <w:r w:rsidR="00AE73BD"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shd w:val="clear" w:color="auto" w:fill="FFFFFF"/>
          <w:lang w:val="en-US"/>
        </w:rPr>
        <w:t xml:space="preserve">Rifkin, D., Laws, M., Rao, M., Balakrishnan, V., Sarnak, M., &amp; Wilson, I. (2010). Medication </w:t>
      </w:r>
      <w:r w:rsidR="00F7182C" w:rsidRPr="005A464E">
        <w:rPr>
          <w:rFonts w:asciiTheme="minorHAnsi" w:hAnsiTheme="minorHAnsi" w:cstheme="minorHAnsi"/>
          <w:shd w:val="clear" w:color="auto" w:fill="FFFFFF"/>
          <w:lang w:val="en-US"/>
        </w:rPr>
        <w:t xml:space="preserve">adherence behavior and priorities among older adults with </w:t>
      </w:r>
      <w:r w:rsidRPr="005A464E">
        <w:rPr>
          <w:rFonts w:asciiTheme="minorHAnsi" w:hAnsiTheme="minorHAnsi" w:cstheme="minorHAnsi"/>
          <w:shd w:val="clear" w:color="auto" w:fill="FFFFFF"/>
          <w:lang w:val="en-US"/>
        </w:rPr>
        <w:t xml:space="preserve">CKD: A </w:t>
      </w:r>
      <w:r w:rsidR="00F7182C" w:rsidRPr="005A464E">
        <w:rPr>
          <w:rFonts w:asciiTheme="minorHAnsi" w:hAnsiTheme="minorHAnsi" w:cstheme="minorHAnsi"/>
          <w:shd w:val="clear" w:color="auto" w:fill="FFFFFF"/>
          <w:lang w:val="en-US"/>
        </w:rPr>
        <w:t>semistructured interview study</w:t>
      </w:r>
      <w:r w:rsidRPr="005A464E">
        <w:rPr>
          <w:rFonts w:asciiTheme="minorHAnsi" w:hAnsiTheme="minorHAnsi" w:cstheme="minorHAnsi"/>
          <w:shd w:val="clear" w:color="auto" w:fill="FFFFFF"/>
          <w:lang w:val="en-US"/>
        </w:rPr>
        <w:t>.</w:t>
      </w:r>
      <w:r w:rsidRPr="005A464E">
        <w:rPr>
          <w:rStyle w:val="apple-converted-space"/>
          <w:rFonts w:asciiTheme="minorHAnsi" w:hAnsiTheme="minorHAnsi" w:cstheme="minorHAnsi"/>
          <w:shd w:val="clear" w:color="auto" w:fill="FFFFFF"/>
          <w:lang w:val="en-US"/>
        </w:rPr>
        <w:t> </w:t>
      </w:r>
      <w:r w:rsidR="00F7182C" w:rsidRPr="005A464E">
        <w:rPr>
          <w:rFonts w:asciiTheme="minorHAnsi" w:hAnsiTheme="minorHAnsi" w:cstheme="minorHAnsi"/>
          <w:i/>
          <w:iCs/>
          <w:shd w:val="clear" w:color="auto" w:fill="FFFFFF"/>
          <w:lang w:val="en-US"/>
        </w:rPr>
        <w:t>American Journal o</w:t>
      </w:r>
      <w:r w:rsidRPr="005A464E">
        <w:rPr>
          <w:rFonts w:asciiTheme="minorHAnsi" w:hAnsiTheme="minorHAnsi" w:cstheme="minorHAnsi"/>
          <w:i/>
          <w:iCs/>
          <w:shd w:val="clear" w:color="auto" w:fill="FFFFFF"/>
          <w:lang w:val="en-US"/>
        </w:rPr>
        <w:t>f Kidney Diseases</w:t>
      </w:r>
      <w:r w:rsidRPr="005A464E">
        <w:rPr>
          <w:rFonts w:asciiTheme="minorHAnsi" w:hAnsiTheme="minorHAnsi" w:cstheme="minorHAnsi"/>
          <w:shd w:val="clear" w:color="auto" w:fill="FFFFFF"/>
          <w:lang w:val="en-US"/>
        </w:rPr>
        <w:t>,</w:t>
      </w:r>
      <w:r w:rsidRPr="005A464E">
        <w:rPr>
          <w:rStyle w:val="apple-converted-space"/>
          <w:rFonts w:asciiTheme="minorHAnsi" w:hAnsiTheme="minorHAnsi" w:cstheme="minorHAnsi"/>
          <w:shd w:val="clear" w:color="auto" w:fill="FFFFFF"/>
          <w:lang w:val="en-US"/>
        </w:rPr>
        <w:t> </w:t>
      </w:r>
      <w:r w:rsidRPr="00440627">
        <w:rPr>
          <w:rFonts w:asciiTheme="minorHAnsi" w:hAnsiTheme="minorHAnsi" w:cstheme="minorHAnsi"/>
          <w:i/>
          <w:iCs/>
          <w:shd w:val="clear" w:color="auto" w:fill="FFFFFF"/>
          <w:lang w:val="en-US"/>
        </w:rPr>
        <w:t>56</w:t>
      </w:r>
      <w:r w:rsidRPr="005A464E">
        <w:rPr>
          <w:rFonts w:asciiTheme="minorHAnsi" w:hAnsiTheme="minorHAnsi" w:cstheme="minorHAnsi"/>
          <w:shd w:val="clear" w:color="auto" w:fill="FFFFFF"/>
          <w:lang w:val="en-US"/>
        </w:rPr>
        <w:t xml:space="preserve">, 439-446. </w:t>
      </w:r>
      <w:hyperlink r:id="rId334" w:history="1">
        <w:r w:rsidRPr="005A464E">
          <w:rPr>
            <w:rStyle w:val="-"/>
            <w:rFonts w:asciiTheme="minorHAnsi" w:hAnsiTheme="minorHAnsi" w:cstheme="minorHAnsi"/>
            <w:color w:val="auto"/>
            <w:u w:val="none"/>
            <w:shd w:val="clear" w:color="auto" w:fill="FFFFFF"/>
            <w:lang w:val="en-US"/>
          </w:rPr>
          <w:t>http://dx.</w:t>
        </w:r>
        <w:r w:rsidR="00292B29" w:rsidRPr="005A464E">
          <w:rPr>
            <w:rStyle w:val="-"/>
            <w:rFonts w:asciiTheme="minorHAnsi" w:hAnsiTheme="minorHAnsi" w:cstheme="minorHAnsi"/>
            <w:color w:val="auto"/>
            <w:u w:val="none"/>
            <w:shd w:val="clear" w:color="auto" w:fill="FFFFFF"/>
            <w:lang w:val="en-US"/>
          </w:rPr>
          <w:t>DOI</w:t>
        </w:r>
        <w:r w:rsidRPr="005A464E">
          <w:rPr>
            <w:rStyle w:val="-"/>
            <w:rFonts w:asciiTheme="minorHAnsi" w:hAnsiTheme="minorHAnsi" w:cstheme="minorHAnsi"/>
            <w:color w:val="auto"/>
            <w:u w:val="none"/>
            <w:shd w:val="clear" w:color="auto" w:fill="FFFFFF"/>
            <w:lang w:val="en-US"/>
          </w:rPr>
          <w:t>.org/10.1053/j.ajkd.2010.04.021</w:t>
        </w:r>
      </w:hyperlink>
      <w:r w:rsidR="00AA5F97"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shd w:val="clear" w:color="auto" w:fill="FFFFFF"/>
          <w:lang w:val="en-US"/>
        </w:rPr>
        <w:t xml:space="preserve">Riis, J., Loewenstein, G., Baron, J., Jepson, C., Fagerlin, A., &amp; Ubel, P. (2005). Ignorance </w:t>
      </w:r>
      <w:r w:rsidR="00F7182C" w:rsidRPr="005A464E">
        <w:rPr>
          <w:rFonts w:asciiTheme="minorHAnsi" w:hAnsiTheme="minorHAnsi" w:cstheme="minorHAnsi"/>
          <w:shd w:val="clear" w:color="auto" w:fill="FFFFFF"/>
          <w:lang w:val="en-US"/>
        </w:rPr>
        <w:t>of hedonic adaptation to hemodialysis: a study using ecological momentary asse</w:t>
      </w:r>
      <w:r w:rsidRPr="005A464E">
        <w:rPr>
          <w:rFonts w:asciiTheme="minorHAnsi" w:hAnsiTheme="minorHAnsi" w:cstheme="minorHAnsi"/>
          <w:shd w:val="clear" w:color="auto" w:fill="FFFFFF"/>
          <w:lang w:val="en-US"/>
        </w:rPr>
        <w:t>ssment.</w:t>
      </w:r>
      <w:r w:rsidRPr="005A464E">
        <w:rPr>
          <w:rStyle w:val="apple-converted-space"/>
          <w:rFonts w:asciiTheme="minorHAnsi" w:hAnsiTheme="minorHAnsi" w:cstheme="minorHAnsi"/>
          <w:shd w:val="clear" w:color="auto" w:fill="FFFFFF"/>
          <w:lang w:val="en-US"/>
        </w:rPr>
        <w:t> </w:t>
      </w:r>
      <w:r w:rsidR="00F7182C" w:rsidRPr="005A464E">
        <w:rPr>
          <w:rFonts w:asciiTheme="minorHAnsi" w:hAnsiTheme="minorHAnsi" w:cstheme="minorHAnsi"/>
          <w:i/>
          <w:iCs/>
          <w:shd w:val="clear" w:color="auto" w:fill="FFFFFF"/>
          <w:lang w:val="en-US"/>
        </w:rPr>
        <w:t>Journal o</w:t>
      </w:r>
      <w:r w:rsidRPr="005A464E">
        <w:rPr>
          <w:rFonts w:asciiTheme="minorHAnsi" w:hAnsiTheme="minorHAnsi" w:cstheme="minorHAnsi"/>
          <w:i/>
          <w:iCs/>
          <w:shd w:val="clear" w:color="auto" w:fill="FFFFFF"/>
          <w:lang w:val="en-US"/>
        </w:rPr>
        <w:t>f Experimental Psychology: General</w:t>
      </w:r>
      <w:r w:rsidRPr="005A464E">
        <w:rPr>
          <w:rFonts w:asciiTheme="minorHAnsi" w:hAnsiTheme="minorHAnsi" w:cstheme="minorHAnsi"/>
          <w:shd w:val="clear" w:color="auto" w:fill="FFFFFF"/>
          <w:lang w:val="en-US"/>
        </w:rPr>
        <w:t>,</w:t>
      </w:r>
      <w:r w:rsidRPr="005A464E">
        <w:rPr>
          <w:rStyle w:val="apple-converted-space"/>
          <w:rFonts w:asciiTheme="minorHAnsi" w:hAnsiTheme="minorHAnsi" w:cstheme="minorHAnsi"/>
          <w:shd w:val="clear" w:color="auto" w:fill="FFFFFF"/>
          <w:lang w:val="en-US"/>
        </w:rPr>
        <w:t> </w:t>
      </w:r>
      <w:r w:rsidRPr="00440627">
        <w:rPr>
          <w:rFonts w:asciiTheme="minorHAnsi" w:hAnsiTheme="minorHAnsi" w:cstheme="minorHAnsi"/>
          <w:i/>
          <w:iCs/>
          <w:shd w:val="clear" w:color="auto" w:fill="FFFFFF"/>
          <w:lang w:val="en-US"/>
        </w:rPr>
        <w:t>134</w:t>
      </w:r>
      <w:r w:rsidRPr="005A464E">
        <w:rPr>
          <w:rFonts w:asciiTheme="minorHAnsi" w:hAnsiTheme="minorHAnsi" w:cstheme="minorHAnsi"/>
          <w:shd w:val="clear" w:color="auto" w:fill="FFFFFF"/>
          <w:lang w:val="en-US"/>
        </w:rPr>
        <w:t xml:space="preserve">, 3-9. </w:t>
      </w:r>
      <w:hyperlink r:id="rId335" w:history="1">
        <w:r w:rsidRPr="005A464E">
          <w:rPr>
            <w:rStyle w:val="-"/>
            <w:rFonts w:asciiTheme="minorHAnsi" w:hAnsiTheme="minorHAnsi" w:cstheme="minorHAnsi"/>
            <w:color w:val="auto"/>
            <w:u w:val="none"/>
            <w:shd w:val="clear" w:color="auto" w:fill="FFFFFF"/>
            <w:lang w:val="en-US"/>
          </w:rPr>
          <w:t>http://dx.</w:t>
        </w:r>
        <w:r w:rsidR="00292B29" w:rsidRPr="005A464E">
          <w:rPr>
            <w:rStyle w:val="-"/>
            <w:rFonts w:asciiTheme="minorHAnsi" w:hAnsiTheme="minorHAnsi" w:cstheme="minorHAnsi"/>
            <w:color w:val="auto"/>
            <w:u w:val="none"/>
            <w:shd w:val="clear" w:color="auto" w:fill="FFFFFF"/>
            <w:lang w:val="en-US"/>
          </w:rPr>
          <w:t>DOI</w:t>
        </w:r>
        <w:r w:rsidRPr="005A464E">
          <w:rPr>
            <w:rStyle w:val="-"/>
            <w:rFonts w:asciiTheme="minorHAnsi" w:hAnsiTheme="minorHAnsi" w:cstheme="minorHAnsi"/>
            <w:color w:val="auto"/>
            <w:u w:val="none"/>
            <w:shd w:val="clear" w:color="auto" w:fill="FFFFFF"/>
            <w:lang w:val="en-US"/>
          </w:rPr>
          <w:t>.org/10.1037/0096-3445.134.1.3</w:t>
        </w:r>
      </w:hyperlink>
      <w:r w:rsidR="00AA5F97" w:rsidRPr="005A464E">
        <w:rPr>
          <w:rFonts w:asciiTheme="minorHAnsi" w:hAnsiTheme="minorHAnsi"/>
          <w:lang w:val="en-US"/>
        </w:rPr>
        <w:t>.</w:t>
      </w:r>
    </w:p>
    <w:p w:rsidR="003C410F" w:rsidRDefault="008F3609" w:rsidP="005A464E">
      <w:pPr>
        <w:pStyle w:val="Web"/>
        <w:spacing w:after="166" w:line="360" w:lineRule="auto"/>
        <w:ind w:left="415" w:hanging="415"/>
        <w:jc w:val="both"/>
        <w:rPr>
          <w:rFonts w:asciiTheme="minorHAnsi" w:hAnsiTheme="minorHAnsi" w:cstheme="minorHAnsi"/>
          <w:shd w:val="clear" w:color="auto" w:fill="FFFFFF"/>
          <w:lang w:val="en-US"/>
        </w:rPr>
      </w:pPr>
      <w:hyperlink r:id="rId336" w:history="1">
        <w:r w:rsidR="003C410F" w:rsidRPr="005A464E">
          <w:rPr>
            <w:rStyle w:val="-"/>
            <w:rFonts w:asciiTheme="minorHAnsi" w:hAnsiTheme="minorHAnsi" w:cstheme="minorHAnsi"/>
            <w:color w:val="auto"/>
            <w:u w:val="none"/>
            <w:shd w:val="clear" w:color="auto" w:fill="FFFFFF"/>
            <w:lang w:val="en-US"/>
          </w:rPr>
          <w:t>Robinson, J.H</w:t>
        </w:r>
      </w:hyperlink>
      <w:r w:rsidR="003C410F" w:rsidRPr="005A464E">
        <w:rPr>
          <w:rFonts w:asciiTheme="minorHAnsi" w:hAnsiTheme="minorHAnsi" w:cstheme="minorHAnsi"/>
          <w:lang w:val="en-US"/>
        </w:rPr>
        <w:t>.</w:t>
      </w:r>
      <w:r w:rsidR="003C410F" w:rsidRPr="005A464E">
        <w:rPr>
          <w:rFonts w:asciiTheme="minorHAnsi" w:hAnsiTheme="minorHAnsi" w:cstheme="minorHAnsi"/>
          <w:shd w:val="clear" w:color="auto" w:fill="FFFFFF"/>
          <w:lang w:val="en-US"/>
        </w:rPr>
        <w:t>,</w:t>
      </w:r>
      <w:r w:rsidR="003C410F" w:rsidRPr="005A464E">
        <w:rPr>
          <w:rStyle w:val="apple-converted-space"/>
          <w:rFonts w:asciiTheme="minorHAnsi" w:hAnsiTheme="minorHAnsi" w:cstheme="minorHAnsi"/>
          <w:shd w:val="clear" w:color="auto" w:fill="FFFFFF"/>
          <w:lang w:val="en-US"/>
        </w:rPr>
        <w:t> </w:t>
      </w:r>
      <w:hyperlink r:id="rId337" w:history="1">
        <w:r w:rsidR="003C410F" w:rsidRPr="005A464E">
          <w:rPr>
            <w:rStyle w:val="-"/>
            <w:rFonts w:asciiTheme="minorHAnsi" w:hAnsiTheme="minorHAnsi" w:cstheme="minorHAnsi"/>
            <w:color w:val="auto"/>
            <w:u w:val="none"/>
            <w:shd w:val="clear" w:color="auto" w:fill="FFFFFF"/>
            <w:lang w:val="en-US"/>
          </w:rPr>
          <w:t>Callister, L.C</w:t>
        </w:r>
      </w:hyperlink>
      <w:r w:rsidR="003C410F" w:rsidRPr="005A464E">
        <w:rPr>
          <w:rFonts w:asciiTheme="minorHAnsi" w:hAnsiTheme="minorHAnsi" w:cstheme="minorHAnsi"/>
          <w:lang w:val="en-US"/>
        </w:rPr>
        <w:t>.</w:t>
      </w:r>
      <w:r w:rsidR="003C410F" w:rsidRPr="005A464E">
        <w:rPr>
          <w:rFonts w:asciiTheme="minorHAnsi" w:hAnsiTheme="minorHAnsi" w:cstheme="minorHAnsi"/>
          <w:shd w:val="clear" w:color="auto" w:fill="FFFFFF"/>
          <w:lang w:val="en-US"/>
        </w:rPr>
        <w:t>,</w:t>
      </w:r>
      <w:r w:rsidR="003C410F" w:rsidRPr="005A464E">
        <w:rPr>
          <w:rStyle w:val="apple-converted-space"/>
          <w:rFonts w:asciiTheme="minorHAnsi" w:hAnsiTheme="minorHAnsi" w:cstheme="minorHAnsi"/>
          <w:shd w:val="clear" w:color="auto" w:fill="FFFFFF"/>
          <w:lang w:val="en-US"/>
        </w:rPr>
        <w:t> </w:t>
      </w:r>
      <w:hyperlink r:id="rId338" w:history="1">
        <w:r w:rsidR="003C410F" w:rsidRPr="005A464E">
          <w:rPr>
            <w:rStyle w:val="-"/>
            <w:rFonts w:asciiTheme="minorHAnsi" w:hAnsiTheme="minorHAnsi" w:cstheme="minorHAnsi"/>
            <w:color w:val="auto"/>
            <w:u w:val="none"/>
            <w:shd w:val="clear" w:color="auto" w:fill="FFFFFF"/>
            <w:lang w:val="en-US"/>
          </w:rPr>
          <w:t>Berry, J.A</w:t>
        </w:r>
      </w:hyperlink>
      <w:r w:rsidR="003C410F" w:rsidRPr="005A464E">
        <w:rPr>
          <w:rFonts w:asciiTheme="minorHAnsi" w:hAnsiTheme="minorHAnsi" w:cstheme="minorHAnsi"/>
          <w:lang w:val="en-US"/>
        </w:rPr>
        <w:t>.</w:t>
      </w:r>
      <w:r w:rsidR="003C410F" w:rsidRPr="005A464E">
        <w:rPr>
          <w:rFonts w:asciiTheme="minorHAnsi" w:hAnsiTheme="minorHAnsi" w:cstheme="minorHAnsi"/>
          <w:shd w:val="clear" w:color="auto" w:fill="FFFFFF"/>
          <w:lang w:val="en-US"/>
        </w:rPr>
        <w:t>, &amp;</w:t>
      </w:r>
      <w:r w:rsidR="003C410F" w:rsidRPr="005A464E">
        <w:rPr>
          <w:rStyle w:val="apple-converted-space"/>
          <w:rFonts w:asciiTheme="minorHAnsi" w:hAnsiTheme="minorHAnsi" w:cstheme="minorHAnsi"/>
          <w:shd w:val="clear" w:color="auto" w:fill="FFFFFF"/>
          <w:lang w:val="en-US"/>
        </w:rPr>
        <w:t> </w:t>
      </w:r>
      <w:hyperlink r:id="rId339" w:history="1">
        <w:r w:rsidR="003C410F" w:rsidRPr="005A464E">
          <w:rPr>
            <w:rStyle w:val="-"/>
            <w:rFonts w:asciiTheme="minorHAnsi" w:hAnsiTheme="minorHAnsi" w:cstheme="minorHAnsi"/>
            <w:color w:val="auto"/>
            <w:u w:val="none"/>
            <w:shd w:val="clear" w:color="auto" w:fill="FFFFFF"/>
            <w:lang w:val="en-US"/>
          </w:rPr>
          <w:t>Dearing, K.A</w:t>
        </w:r>
      </w:hyperlink>
      <w:r w:rsidR="003C410F" w:rsidRPr="005A464E">
        <w:rPr>
          <w:rFonts w:asciiTheme="minorHAnsi" w:hAnsiTheme="minorHAnsi" w:cstheme="minorHAnsi"/>
          <w:shd w:val="clear" w:color="auto" w:fill="FFFFFF"/>
          <w:lang w:val="en-US"/>
        </w:rPr>
        <w:t xml:space="preserve">. (2008). </w:t>
      </w:r>
      <w:r w:rsidR="003C410F" w:rsidRPr="005A464E">
        <w:rPr>
          <w:rFonts w:asciiTheme="minorHAnsi" w:hAnsiTheme="minorHAnsi" w:cstheme="minorHAnsi"/>
          <w:color w:val="000000"/>
          <w:lang w:val="en-US"/>
        </w:rPr>
        <w:t>Patient-centered care and adherence: definitions and applications to improve outcomes.</w:t>
      </w:r>
      <w:r w:rsidR="003C410F" w:rsidRPr="005A464E">
        <w:rPr>
          <w:rFonts w:asciiTheme="minorHAnsi" w:hAnsiTheme="minorHAnsi" w:cs="Arial"/>
          <w:color w:val="000000"/>
          <w:shd w:val="clear" w:color="auto" w:fill="FFFFFF"/>
          <w:lang w:val="en-US"/>
        </w:rPr>
        <w:t xml:space="preserve"> </w:t>
      </w:r>
      <w:hyperlink r:id="rId340" w:tooltip="Journal of the American Academy of Nurse Practitioners." w:history="1">
        <w:r w:rsidR="003C410F" w:rsidRPr="005A464E">
          <w:rPr>
            <w:rStyle w:val="-"/>
            <w:rFonts w:asciiTheme="minorHAnsi" w:hAnsiTheme="minorHAnsi" w:cstheme="minorHAnsi"/>
            <w:i/>
            <w:color w:val="auto"/>
            <w:u w:val="none"/>
            <w:shd w:val="clear" w:color="auto" w:fill="FFFFFF"/>
            <w:lang w:val="en-US"/>
          </w:rPr>
          <w:t>Journal of the American Academy of Nurse Practicioners,</w:t>
        </w:r>
      </w:hyperlink>
      <w:r w:rsidR="003C410F" w:rsidRPr="005A464E">
        <w:rPr>
          <w:rFonts w:asciiTheme="minorHAnsi" w:hAnsiTheme="minorHAnsi" w:cstheme="minorHAnsi"/>
          <w:i/>
          <w:shd w:val="clear" w:color="auto" w:fill="FFFFFF"/>
          <w:lang w:val="en-US"/>
        </w:rPr>
        <w:t xml:space="preserve"> </w:t>
      </w:r>
      <w:r w:rsidR="00440627" w:rsidRPr="00440627">
        <w:rPr>
          <w:rFonts w:asciiTheme="minorHAnsi" w:hAnsiTheme="minorHAnsi" w:cstheme="minorHAnsi"/>
          <w:i/>
          <w:shd w:val="clear" w:color="auto" w:fill="FFFFFF"/>
          <w:lang w:val="en-US"/>
        </w:rPr>
        <w:t>20</w:t>
      </w:r>
      <w:r w:rsidR="00AA5F97" w:rsidRPr="005A464E">
        <w:rPr>
          <w:rFonts w:asciiTheme="minorHAnsi" w:hAnsiTheme="minorHAnsi" w:cstheme="minorHAnsi"/>
          <w:shd w:val="clear" w:color="auto" w:fill="FFFFFF"/>
          <w:lang w:val="en-US"/>
        </w:rPr>
        <w:t xml:space="preserve">, </w:t>
      </w:r>
      <w:r w:rsidR="003C410F" w:rsidRPr="005A464E">
        <w:rPr>
          <w:rFonts w:asciiTheme="minorHAnsi" w:hAnsiTheme="minorHAnsi" w:cstheme="minorHAnsi"/>
          <w:shd w:val="clear" w:color="auto" w:fill="FFFFFF"/>
          <w:lang w:val="en-US"/>
        </w:rPr>
        <w:t>600</w:t>
      </w:r>
      <w:r w:rsidR="00AA5F97" w:rsidRPr="005A464E">
        <w:rPr>
          <w:rFonts w:asciiTheme="minorHAnsi" w:hAnsiTheme="minorHAnsi" w:cstheme="minorHAnsi"/>
          <w:shd w:val="clear" w:color="auto" w:fill="FFFFFF"/>
          <w:lang w:val="en-US"/>
        </w:rPr>
        <w:t>-60</w:t>
      </w:r>
      <w:r w:rsidR="003C410F" w:rsidRPr="005A464E">
        <w:rPr>
          <w:rFonts w:asciiTheme="minorHAnsi" w:hAnsiTheme="minorHAnsi" w:cstheme="minorHAnsi"/>
          <w:shd w:val="clear" w:color="auto" w:fill="FFFFFF"/>
          <w:lang w:val="en-US"/>
        </w:rPr>
        <w:t xml:space="preserve">7. </w:t>
      </w:r>
      <w:r w:rsidR="00292B29" w:rsidRPr="005A464E">
        <w:rPr>
          <w:rFonts w:asciiTheme="minorHAnsi" w:hAnsiTheme="minorHAnsi" w:cstheme="minorHAnsi"/>
          <w:shd w:val="clear" w:color="auto" w:fill="FFFFFF"/>
          <w:lang w:val="en-US"/>
        </w:rPr>
        <w:t>DOI</w:t>
      </w:r>
      <w:r w:rsidR="003C410F" w:rsidRPr="005A464E">
        <w:rPr>
          <w:rFonts w:asciiTheme="minorHAnsi" w:hAnsiTheme="minorHAnsi" w:cstheme="minorHAnsi"/>
          <w:shd w:val="clear" w:color="auto" w:fill="FFFFFF"/>
          <w:lang w:val="en-US"/>
        </w:rPr>
        <w:t>: 10.1111/j.1745-7599.2008.00360.x.</w:t>
      </w:r>
    </w:p>
    <w:p w:rsidR="0059055B" w:rsidRPr="0059055B" w:rsidRDefault="0059055B" w:rsidP="005A464E">
      <w:pPr>
        <w:pStyle w:val="Web"/>
        <w:spacing w:after="166" w:line="360" w:lineRule="auto"/>
        <w:ind w:left="415" w:hanging="415"/>
        <w:jc w:val="both"/>
        <w:rPr>
          <w:rFonts w:asciiTheme="minorHAnsi" w:hAnsiTheme="minorHAnsi" w:cstheme="minorHAnsi"/>
          <w:lang w:val="en-US"/>
        </w:rPr>
      </w:pPr>
      <w:r>
        <w:rPr>
          <w:rFonts w:asciiTheme="minorHAnsi" w:hAnsiTheme="minorHAnsi" w:cstheme="minorHAnsi"/>
          <w:shd w:val="clear" w:color="auto" w:fill="FFFFFF"/>
          <w:lang w:val="en-US"/>
        </w:rPr>
        <w:t>Rocco, M.V., Chapman, A., Chertow, G.</w:t>
      </w:r>
      <w:r w:rsidRPr="0059055B">
        <w:rPr>
          <w:rFonts w:asciiTheme="minorHAnsi" w:hAnsiTheme="minorHAnsi" w:cstheme="minorHAnsi"/>
          <w:shd w:val="clear" w:color="auto" w:fill="FFFFFF"/>
          <w:lang w:val="en-US"/>
        </w:rPr>
        <w:t>M., Cohen, D., Chen, J., C</w:t>
      </w:r>
      <w:r>
        <w:rPr>
          <w:rFonts w:asciiTheme="minorHAnsi" w:hAnsiTheme="minorHAnsi" w:cstheme="minorHAnsi"/>
          <w:shd w:val="clear" w:color="auto" w:fill="FFFFFF"/>
          <w:lang w:val="en-US"/>
        </w:rPr>
        <w:t>utler, J. A., ... &amp; Killeen, A.</w:t>
      </w:r>
      <w:r w:rsidRPr="0059055B">
        <w:rPr>
          <w:rFonts w:asciiTheme="minorHAnsi" w:hAnsiTheme="minorHAnsi" w:cstheme="minorHAnsi"/>
          <w:shd w:val="clear" w:color="auto" w:fill="FFFFFF"/>
          <w:lang w:val="en-US"/>
        </w:rPr>
        <w:t>A. (2016). Chronic Kidney Disease Classification in Systolic Blood Pressure Intervention Trial: Comparison Using Modification of Diet in Renal Disease and CKD-Epidemiology Collaboration Definitions. </w:t>
      </w:r>
      <w:r w:rsidRPr="0059055B">
        <w:rPr>
          <w:rFonts w:asciiTheme="minorHAnsi" w:hAnsiTheme="minorHAnsi" w:cstheme="minorHAnsi"/>
          <w:i/>
          <w:iCs/>
          <w:shd w:val="clear" w:color="auto" w:fill="FFFFFF"/>
          <w:lang w:val="en-US"/>
        </w:rPr>
        <w:t>American journal of nephrology</w:t>
      </w:r>
      <w:r w:rsidRPr="0059055B">
        <w:rPr>
          <w:rFonts w:asciiTheme="minorHAnsi" w:hAnsiTheme="minorHAnsi" w:cstheme="minorHAnsi"/>
          <w:shd w:val="clear" w:color="auto" w:fill="FFFFFF"/>
          <w:lang w:val="en-US"/>
        </w:rPr>
        <w:t>, </w:t>
      </w:r>
      <w:r w:rsidRPr="0059055B">
        <w:rPr>
          <w:rFonts w:asciiTheme="minorHAnsi" w:hAnsiTheme="minorHAnsi" w:cstheme="minorHAnsi"/>
          <w:i/>
          <w:iCs/>
          <w:shd w:val="clear" w:color="auto" w:fill="FFFFFF"/>
          <w:lang w:val="en-US"/>
        </w:rPr>
        <w:t>44</w:t>
      </w:r>
      <w:r w:rsidRPr="0059055B">
        <w:rPr>
          <w:rFonts w:asciiTheme="minorHAnsi" w:hAnsiTheme="minorHAnsi" w:cstheme="minorHAnsi"/>
          <w:shd w:val="clear" w:color="auto" w:fill="FFFFFF"/>
          <w:lang w:val="en-US"/>
        </w:rPr>
        <w:t>, 130-140.</w:t>
      </w:r>
    </w:p>
    <w:p w:rsidR="003C410F" w:rsidRPr="005A464E"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shd w:val="clear" w:color="auto" w:fill="FFFFFF"/>
          <w:lang w:val="en-US"/>
        </w:rPr>
        <w:t>Rosenbaum, M., &amp; Ben-Ari Smira, K. (1986). Cognitive and personality factors in the delay of gratification of hemodialysis patients.</w:t>
      </w:r>
      <w:r w:rsidRPr="005A464E">
        <w:rPr>
          <w:rStyle w:val="apple-converted-space"/>
          <w:rFonts w:asciiTheme="minorHAnsi" w:hAnsiTheme="minorHAnsi" w:cstheme="minorHAnsi"/>
          <w:shd w:val="clear" w:color="auto" w:fill="FFFFFF"/>
          <w:lang w:val="en-US"/>
        </w:rPr>
        <w:t> </w:t>
      </w:r>
      <w:r w:rsidR="00F7182C" w:rsidRPr="005A464E">
        <w:rPr>
          <w:rFonts w:asciiTheme="minorHAnsi" w:hAnsiTheme="minorHAnsi" w:cstheme="minorHAnsi"/>
          <w:i/>
          <w:iCs/>
          <w:shd w:val="clear" w:color="auto" w:fill="FFFFFF"/>
          <w:lang w:val="en-US"/>
        </w:rPr>
        <w:t>Journal o</w:t>
      </w:r>
      <w:r w:rsidRPr="005A464E">
        <w:rPr>
          <w:rFonts w:asciiTheme="minorHAnsi" w:hAnsiTheme="minorHAnsi" w:cstheme="minorHAnsi"/>
          <w:i/>
          <w:iCs/>
          <w:shd w:val="clear" w:color="auto" w:fill="FFFFFF"/>
          <w:lang w:val="en-US"/>
        </w:rPr>
        <w:t>f Person</w:t>
      </w:r>
      <w:r w:rsidR="00F7182C" w:rsidRPr="005A464E">
        <w:rPr>
          <w:rFonts w:asciiTheme="minorHAnsi" w:hAnsiTheme="minorHAnsi" w:cstheme="minorHAnsi"/>
          <w:i/>
          <w:iCs/>
          <w:shd w:val="clear" w:color="auto" w:fill="FFFFFF"/>
          <w:lang w:val="en-US"/>
        </w:rPr>
        <w:t>ality a</w:t>
      </w:r>
      <w:r w:rsidRPr="005A464E">
        <w:rPr>
          <w:rFonts w:asciiTheme="minorHAnsi" w:hAnsiTheme="minorHAnsi" w:cstheme="minorHAnsi"/>
          <w:i/>
          <w:iCs/>
          <w:shd w:val="clear" w:color="auto" w:fill="FFFFFF"/>
          <w:lang w:val="en-US"/>
        </w:rPr>
        <w:t>nd Social Psychology</w:t>
      </w:r>
      <w:r w:rsidRPr="005A464E">
        <w:rPr>
          <w:rFonts w:asciiTheme="minorHAnsi" w:hAnsiTheme="minorHAnsi" w:cstheme="minorHAnsi"/>
          <w:shd w:val="clear" w:color="auto" w:fill="FFFFFF"/>
          <w:lang w:val="en-US"/>
        </w:rPr>
        <w:t>,</w:t>
      </w:r>
      <w:r w:rsidRPr="005A464E">
        <w:rPr>
          <w:rStyle w:val="apple-converted-space"/>
          <w:rFonts w:asciiTheme="minorHAnsi" w:hAnsiTheme="minorHAnsi" w:cstheme="minorHAnsi"/>
          <w:shd w:val="clear" w:color="auto" w:fill="FFFFFF"/>
          <w:lang w:val="en-US"/>
        </w:rPr>
        <w:t> </w:t>
      </w:r>
      <w:r w:rsidRPr="00440627">
        <w:rPr>
          <w:rFonts w:asciiTheme="minorHAnsi" w:hAnsiTheme="minorHAnsi" w:cstheme="minorHAnsi"/>
          <w:i/>
          <w:iCs/>
          <w:shd w:val="clear" w:color="auto" w:fill="FFFFFF"/>
          <w:lang w:val="en-US"/>
        </w:rPr>
        <w:t>51</w:t>
      </w:r>
      <w:r w:rsidRPr="00440627">
        <w:rPr>
          <w:rFonts w:asciiTheme="minorHAnsi" w:hAnsiTheme="minorHAnsi" w:cstheme="minorHAnsi"/>
          <w:i/>
          <w:shd w:val="clear" w:color="auto" w:fill="FFFFFF"/>
          <w:lang w:val="en-US"/>
        </w:rPr>
        <w:t>,</w:t>
      </w:r>
      <w:r w:rsidRPr="005A464E">
        <w:rPr>
          <w:rFonts w:asciiTheme="minorHAnsi" w:hAnsiTheme="minorHAnsi" w:cstheme="minorHAnsi"/>
          <w:shd w:val="clear" w:color="auto" w:fill="FFFFFF"/>
          <w:lang w:val="en-US"/>
        </w:rPr>
        <w:t xml:space="preserve"> 357-364. </w:t>
      </w:r>
      <w:hyperlink r:id="rId341" w:history="1">
        <w:r w:rsidRPr="005A464E">
          <w:rPr>
            <w:rStyle w:val="-"/>
            <w:rFonts w:asciiTheme="minorHAnsi" w:hAnsiTheme="minorHAnsi" w:cstheme="minorHAnsi"/>
            <w:color w:val="auto"/>
            <w:u w:val="none"/>
            <w:shd w:val="clear" w:color="auto" w:fill="FFFFFF"/>
            <w:lang w:val="en-US"/>
          </w:rPr>
          <w:t>http://dx.</w:t>
        </w:r>
        <w:r w:rsidR="00292B29" w:rsidRPr="005A464E">
          <w:rPr>
            <w:rStyle w:val="-"/>
            <w:rFonts w:asciiTheme="minorHAnsi" w:hAnsiTheme="minorHAnsi" w:cstheme="minorHAnsi"/>
            <w:color w:val="auto"/>
            <w:u w:val="none"/>
            <w:shd w:val="clear" w:color="auto" w:fill="FFFFFF"/>
            <w:lang w:val="en-US"/>
          </w:rPr>
          <w:t>DOI</w:t>
        </w:r>
        <w:r w:rsidRPr="005A464E">
          <w:rPr>
            <w:rStyle w:val="-"/>
            <w:rFonts w:asciiTheme="minorHAnsi" w:hAnsiTheme="minorHAnsi" w:cstheme="minorHAnsi"/>
            <w:color w:val="auto"/>
            <w:u w:val="none"/>
            <w:shd w:val="clear" w:color="auto" w:fill="FFFFFF"/>
            <w:lang w:val="en-US"/>
          </w:rPr>
          <w:t>.org/10.1037//0022-3514.51.2.357</w:t>
        </w:r>
      </w:hyperlink>
      <w:r w:rsidR="00AA5F97" w:rsidRPr="005A464E">
        <w:rPr>
          <w:rFonts w:asciiTheme="minorHAnsi" w:hAnsiTheme="minorHAnsi"/>
          <w:lang w:val="en-US"/>
        </w:rPr>
        <w:t>.</w:t>
      </w:r>
    </w:p>
    <w:p w:rsidR="003C410F" w:rsidRPr="005A464E" w:rsidRDefault="008F3609" w:rsidP="005A464E">
      <w:pPr>
        <w:pStyle w:val="Web"/>
        <w:spacing w:after="166" w:line="360" w:lineRule="auto"/>
        <w:ind w:left="415" w:hanging="415"/>
        <w:jc w:val="both"/>
        <w:rPr>
          <w:rFonts w:asciiTheme="minorHAnsi" w:hAnsiTheme="minorHAnsi" w:cstheme="minorHAnsi"/>
          <w:lang w:val="en-US"/>
        </w:rPr>
      </w:pPr>
      <w:hyperlink r:id="rId342" w:history="1">
        <w:r w:rsidR="003C410F" w:rsidRPr="005A464E">
          <w:rPr>
            <w:rFonts w:asciiTheme="minorHAnsi" w:hAnsiTheme="minorHAnsi" w:cstheme="minorHAnsi"/>
            <w:lang w:val="en-US"/>
          </w:rPr>
          <w:t>Rushe, H</w:t>
        </w:r>
      </w:hyperlink>
      <w:r w:rsidR="003C410F" w:rsidRPr="005A464E">
        <w:rPr>
          <w:rFonts w:asciiTheme="minorHAnsi" w:hAnsiTheme="minorHAnsi" w:cstheme="minorHAnsi"/>
          <w:lang w:val="en-US"/>
        </w:rPr>
        <w:t xml:space="preserve">., &amp; </w:t>
      </w:r>
      <w:hyperlink r:id="rId343" w:history="1">
        <w:r w:rsidR="003C410F" w:rsidRPr="005A464E">
          <w:rPr>
            <w:rFonts w:asciiTheme="minorHAnsi" w:hAnsiTheme="minorHAnsi" w:cstheme="minorHAnsi"/>
            <w:lang w:val="en-US"/>
          </w:rPr>
          <w:t>McGee, H.M</w:t>
        </w:r>
      </w:hyperlink>
      <w:r w:rsidR="003C410F" w:rsidRPr="005A464E">
        <w:rPr>
          <w:rFonts w:asciiTheme="minorHAnsi" w:hAnsiTheme="minorHAnsi" w:cstheme="minorHAnsi"/>
          <w:lang w:val="en-US"/>
        </w:rPr>
        <w:t>. (1998).</w:t>
      </w:r>
      <w:r w:rsidR="0078495A">
        <w:rPr>
          <w:rFonts w:asciiTheme="minorHAnsi" w:hAnsiTheme="minorHAnsi" w:cstheme="minorHAnsi"/>
          <w:lang w:val="en-US"/>
        </w:rPr>
        <w:t xml:space="preserve"> </w:t>
      </w:r>
      <w:r w:rsidR="003C410F" w:rsidRPr="005A464E">
        <w:rPr>
          <w:rFonts w:asciiTheme="minorHAnsi" w:hAnsiTheme="minorHAnsi" w:cstheme="minorHAnsi"/>
          <w:lang w:val="en-US"/>
        </w:rPr>
        <w:t xml:space="preserve">Assessing adherence to dietary recommendations for hemodialysis patients: the Renal Adherence Attitudes Questionnaire (RAAQ) and the Renal Adherence Behaviour Questionnaire (RABQ). </w:t>
      </w:r>
      <w:hyperlink r:id="rId344" w:tooltip="Journal of psychosomatic research." w:history="1">
        <w:r w:rsidR="003C410F" w:rsidRPr="005A464E">
          <w:rPr>
            <w:rFonts w:asciiTheme="minorHAnsi" w:hAnsiTheme="minorHAnsi" w:cstheme="minorHAnsi"/>
            <w:i/>
            <w:lang w:val="en-US"/>
          </w:rPr>
          <w:t>Journal of Psychosomatic Research,</w:t>
        </w:r>
        <w:r w:rsidR="003C410F" w:rsidRPr="005A464E">
          <w:rPr>
            <w:rFonts w:asciiTheme="minorHAnsi" w:hAnsiTheme="minorHAnsi" w:cstheme="minorHAnsi"/>
            <w:lang w:val="en-US"/>
          </w:rPr>
          <w:t xml:space="preserve"> </w:t>
        </w:r>
      </w:hyperlink>
      <w:r w:rsidR="00440627" w:rsidRPr="00440627">
        <w:rPr>
          <w:rFonts w:asciiTheme="minorHAnsi" w:hAnsiTheme="minorHAnsi" w:cstheme="minorHAnsi"/>
          <w:i/>
          <w:lang w:val="en-US"/>
        </w:rPr>
        <w:t>45,</w:t>
      </w:r>
      <w:r w:rsidR="00440627">
        <w:rPr>
          <w:rFonts w:asciiTheme="minorHAnsi" w:hAnsiTheme="minorHAnsi" w:cstheme="minorHAnsi"/>
          <w:lang w:val="en-US"/>
        </w:rPr>
        <w:t xml:space="preserve"> </w:t>
      </w:r>
      <w:r w:rsidR="003C410F" w:rsidRPr="005A464E">
        <w:rPr>
          <w:rFonts w:asciiTheme="minorHAnsi" w:hAnsiTheme="minorHAnsi" w:cstheme="minorHAnsi"/>
          <w:lang w:val="en-US"/>
        </w:rPr>
        <w:t>149-</w:t>
      </w:r>
      <w:r w:rsidR="00440627">
        <w:rPr>
          <w:rFonts w:asciiTheme="minorHAnsi" w:hAnsiTheme="minorHAnsi" w:cstheme="minorHAnsi"/>
          <w:lang w:val="en-US"/>
        </w:rPr>
        <w:t>1</w:t>
      </w:r>
      <w:r w:rsidR="003C410F" w:rsidRPr="005A464E">
        <w:rPr>
          <w:rFonts w:asciiTheme="minorHAnsi" w:hAnsiTheme="minorHAnsi" w:cstheme="minorHAnsi"/>
          <w:lang w:val="en-US"/>
        </w:rPr>
        <w:t>57.</w:t>
      </w:r>
      <w:r w:rsidR="003C410F" w:rsidRPr="005A464E">
        <w:rPr>
          <w:rFonts w:asciiTheme="minorHAnsi" w:hAnsiTheme="minorHAnsi"/>
          <w:lang w:val="en-US"/>
        </w:rPr>
        <w:t xml:space="preserve"> </w:t>
      </w:r>
      <w:r w:rsidR="00292B29" w:rsidRPr="005A464E">
        <w:rPr>
          <w:rFonts w:asciiTheme="minorHAnsi" w:hAnsiTheme="minorHAnsi" w:cstheme="minorHAnsi"/>
          <w:lang w:val="en-US"/>
        </w:rPr>
        <w:t>DOI</w:t>
      </w:r>
      <w:r w:rsidR="003C410F" w:rsidRPr="005A464E">
        <w:rPr>
          <w:rFonts w:asciiTheme="minorHAnsi" w:hAnsiTheme="minorHAnsi" w:cstheme="minorHAnsi"/>
          <w:lang w:val="en-US"/>
        </w:rPr>
        <w:t>:</w:t>
      </w:r>
      <w:r w:rsidR="003C410F" w:rsidRPr="005A464E">
        <w:rPr>
          <w:rStyle w:val="apple-converted-space"/>
          <w:rFonts w:asciiTheme="minorHAnsi" w:hAnsiTheme="minorHAnsi" w:cstheme="minorHAnsi"/>
          <w:lang w:val="en-US"/>
        </w:rPr>
        <w:t> </w:t>
      </w:r>
      <w:hyperlink r:id="rId345" w:history="1">
        <w:r w:rsidR="003C410F"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003C410F" w:rsidRPr="005A464E">
          <w:rPr>
            <w:rStyle w:val="-"/>
            <w:rFonts w:asciiTheme="minorHAnsi" w:hAnsiTheme="minorHAnsi" w:cstheme="minorHAnsi"/>
            <w:color w:val="auto"/>
            <w:u w:val="none"/>
            <w:lang w:val="en-US"/>
          </w:rPr>
          <w:t>.org/10.1016/S0022-3999(97)00228-6</w:t>
        </w:r>
      </w:hyperlink>
      <w:r w:rsidR="00AA5F97" w:rsidRPr="005A464E">
        <w:rPr>
          <w:rFonts w:asciiTheme="minorHAnsi" w:hAnsiTheme="minorHAnsi"/>
          <w:lang w:val="en-US"/>
        </w:rPr>
        <w:t>.</w:t>
      </w:r>
    </w:p>
    <w:p w:rsidR="003C410F" w:rsidRPr="005A464E" w:rsidRDefault="00E15B06"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Sabaté</w:t>
      </w:r>
      <w:r w:rsidR="00F7182C" w:rsidRPr="005A464E">
        <w:rPr>
          <w:rFonts w:asciiTheme="minorHAnsi" w:hAnsiTheme="minorHAnsi" w:cstheme="minorHAnsi"/>
          <w:lang w:val="en-US"/>
        </w:rPr>
        <w:t xml:space="preserve">, E. (2003). </w:t>
      </w:r>
      <w:r w:rsidR="00F7182C" w:rsidRPr="00440627">
        <w:rPr>
          <w:rFonts w:asciiTheme="minorHAnsi" w:hAnsiTheme="minorHAnsi" w:cstheme="minorHAnsi"/>
          <w:i/>
          <w:lang w:val="en-US"/>
        </w:rPr>
        <w:t>Ad</w:t>
      </w:r>
      <w:r w:rsidR="003C410F" w:rsidRPr="00440627">
        <w:rPr>
          <w:rFonts w:asciiTheme="minorHAnsi" w:hAnsiTheme="minorHAnsi" w:cstheme="minorHAnsi"/>
          <w:i/>
          <w:lang w:val="en-US"/>
        </w:rPr>
        <w:t>herence to long-term therapies</w:t>
      </w:r>
      <w:r w:rsidR="003C410F" w:rsidRPr="005A464E">
        <w:rPr>
          <w:rFonts w:asciiTheme="minorHAnsi" w:hAnsiTheme="minorHAnsi" w:cstheme="minorHAnsi"/>
          <w:lang w:val="en-US"/>
        </w:rPr>
        <w:t xml:space="preserve"> (1</w:t>
      </w:r>
      <w:r w:rsidR="003C410F" w:rsidRPr="005A464E">
        <w:rPr>
          <w:rFonts w:asciiTheme="minorHAnsi" w:hAnsiTheme="minorHAnsi" w:cstheme="minorHAnsi"/>
          <w:vertAlign w:val="superscript"/>
          <w:lang w:val="en-US"/>
        </w:rPr>
        <w:t>st</w:t>
      </w:r>
      <w:r w:rsidR="003C410F" w:rsidRPr="005A464E">
        <w:rPr>
          <w:rFonts w:asciiTheme="minorHAnsi" w:hAnsiTheme="minorHAnsi" w:cstheme="minorHAnsi"/>
          <w:lang w:val="en-US"/>
        </w:rPr>
        <w:t xml:space="preserve"> ed). Geneva: World Health Organization.</w:t>
      </w:r>
    </w:p>
    <w:p w:rsidR="00AD5D14" w:rsidRPr="005A464E" w:rsidRDefault="00AD5D14"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olor w:val="000000"/>
          <w:shd w:val="clear" w:color="auto" w:fill="FFFFFF"/>
          <w:lang w:val="en-US"/>
        </w:rPr>
        <w:t xml:space="preserve">Sabbah, I., Drouby, N., Sabbah, S., Retel-Rude, N., </w:t>
      </w:r>
      <w:r w:rsidR="00AA5F97" w:rsidRPr="005A464E">
        <w:rPr>
          <w:rFonts w:asciiTheme="minorHAnsi" w:hAnsiTheme="minorHAnsi"/>
          <w:color w:val="000000"/>
          <w:shd w:val="clear" w:color="auto" w:fill="FFFFFF"/>
          <w:lang w:val="en-US"/>
        </w:rPr>
        <w:t xml:space="preserve">&amp; </w:t>
      </w:r>
      <w:r w:rsidRPr="005A464E">
        <w:rPr>
          <w:rFonts w:asciiTheme="minorHAnsi" w:hAnsiTheme="minorHAnsi"/>
          <w:color w:val="000000"/>
          <w:shd w:val="clear" w:color="auto" w:fill="FFFFFF"/>
          <w:lang w:val="en-US"/>
        </w:rPr>
        <w:t>Mercier, M. (2003). Quality of life in rural and urban populations in Lebanon using SF-36 health survey. </w:t>
      </w:r>
      <w:r w:rsidRPr="005A464E">
        <w:rPr>
          <w:rStyle w:val="ref-journal"/>
          <w:rFonts w:asciiTheme="minorHAnsi" w:hAnsiTheme="minorHAnsi"/>
          <w:i/>
          <w:color w:val="000000"/>
          <w:shd w:val="clear" w:color="auto" w:fill="FFFFFF"/>
          <w:lang w:val="en-US"/>
        </w:rPr>
        <w:t xml:space="preserve">Health &amp; Quality of Life Outcomes, </w:t>
      </w:r>
      <w:r w:rsidRPr="00440627">
        <w:rPr>
          <w:rStyle w:val="ref-vol"/>
          <w:rFonts w:asciiTheme="minorHAnsi" w:hAnsiTheme="minorHAnsi"/>
          <w:i/>
          <w:color w:val="000000"/>
          <w:shd w:val="clear" w:color="auto" w:fill="FFFFFF"/>
          <w:lang w:val="en-US"/>
        </w:rPr>
        <w:t>1</w:t>
      </w:r>
      <w:r w:rsidR="00440627">
        <w:rPr>
          <w:rFonts w:asciiTheme="minorHAnsi" w:hAnsiTheme="minorHAnsi"/>
          <w:i/>
          <w:color w:val="000000"/>
          <w:shd w:val="clear" w:color="auto" w:fill="FFFFFF"/>
          <w:lang w:val="en-US"/>
        </w:rPr>
        <w:t xml:space="preserve">, </w:t>
      </w:r>
      <w:r w:rsidRPr="005A464E">
        <w:rPr>
          <w:rFonts w:asciiTheme="minorHAnsi" w:hAnsiTheme="minorHAnsi"/>
          <w:color w:val="000000"/>
          <w:shd w:val="clear" w:color="auto" w:fill="FFFFFF"/>
          <w:lang w:val="en-US"/>
        </w:rPr>
        <w:t xml:space="preserve">30. </w:t>
      </w:r>
      <w:r w:rsidR="00292B29" w:rsidRPr="005A464E">
        <w:rPr>
          <w:rFonts w:asciiTheme="minorHAnsi" w:hAnsiTheme="minorHAnsi"/>
          <w:color w:val="000000"/>
          <w:shd w:val="clear" w:color="auto" w:fill="FFFFFF"/>
          <w:lang w:val="en-US"/>
        </w:rPr>
        <w:t>DOI</w:t>
      </w:r>
      <w:r w:rsidRPr="005A464E">
        <w:rPr>
          <w:rFonts w:asciiTheme="minorHAnsi" w:hAnsiTheme="minorHAnsi"/>
          <w:color w:val="000000"/>
          <w:shd w:val="clear" w:color="auto" w:fill="FFFFFF"/>
          <w:lang w:val="en-US"/>
        </w:rPr>
        <w:t>: 10.1186/1477-7525-1-30.</w:t>
      </w:r>
    </w:p>
    <w:p w:rsidR="003C410F" w:rsidRPr="005A464E"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shd w:val="clear" w:color="auto" w:fill="FFFFFF"/>
          <w:lang w:val="en-US"/>
        </w:rPr>
        <w:t>Saberian, M. (2006).</w:t>
      </w:r>
      <w:r w:rsidRPr="005A464E">
        <w:rPr>
          <w:rStyle w:val="apple-converted-space"/>
          <w:rFonts w:asciiTheme="minorHAnsi" w:hAnsiTheme="minorHAnsi" w:cstheme="minorHAnsi"/>
          <w:shd w:val="clear" w:color="auto" w:fill="FFFFFF"/>
          <w:lang w:val="en-US"/>
        </w:rPr>
        <w:t> </w:t>
      </w:r>
      <w:r w:rsidRPr="005A464E">
        <w:rPr>
          <w:rStyle w:val="ref-journal"/>
          <w:rFonts w:asciiTheme="minorHAnsi" w:hAnsiTheme="minorHAnsi" w:cstheme="minorHAnsi"/>
          <w:shd w:val="clear" w:color="auto" w:fill="FFFFFF"/>
          <w:lang w:val="en-US"/>
        </w:rPr>
        <w:t>Planning for patient education.</w:t>
      </w:r>
      <w:r w:rsidRPr="005A464E">
        <w:rPr>
          <w:rStyle w:val="apple-converted-space"/>
          <w:rFonts w:asciiTheme="minorHAnsi" w:hAnsiTheme="minorHAnsi" w:cstheme="minorHAnsi"/>
          <w:shd w:val="clear" w:color="auto" w:fill="FFFFFF"/>
          <w:lang w:val="en-US"/>
        </w:rPr>
        <w:t> </w:t>
      </w:r>
      <w:r w:rsidR="00440627">
        <w:rPr>
          <w:rFonts w:asciiTheme="minorHAnsi" w:hAnsiTheme="minorHAnsi" w:cstheme="minorHAnsi"/>
          <w:shd w:val="clear" w:color="auto" w:fill="FFFFFF"/>
          <w:lang w:val="en-US"/>
        </w:rPr>
        <w:t>Tehran (Iran): Boshra co.</w:t>
      </w:r>
      <w:r w:rsidRPr="005A464E">
        <w:rPr>
          <w:rFonts w:asciiTheme="minorHAnsi" w:hAnsiTheme="minorHAnsi" w:cstheme="minorHAnsi"/>
          <w:shd w:val="clear" w:color="auto" w:fill="FFFFFF"/>
          <w:lang w:val="en-US"/>
        </w:rPr>
        <w:t xml:space="preserve"> </w:t>
      </w:r>
    </w:p>
    <w:p w:rsidR="003C410F"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shd w:val="clear" w:color="auto" w:fill="FFFFFF"/>
          <w:lang w:val="en-US"/>
        </w:rPr>
        <w:t>Sackett</w:t>
      </w:r>
      <w:r w:rsidR="00AA5F97" w:rsidRPr="005A464E">
        <w:rPr>
          <w:rFonts w:asciiTheme="minorHAnsi" w:hAnsiTheme="minorHAnsi" w:cstheme="minorHAnsi"/>
          <w:shd w:val="clear" w:color="auto" w:fill="FFFFFF"/>
          <w:lang w:val="en-US"/>
        </w:rPr>
        <w:t>,</w:t>
      </w:r>
      <w:r w:rsidRPr="005A464E">
        <w:rPr>
          <w:rFonts w:asciiTheme="minorHAnsi" w:hAnsiTheme="minorHAnsi" w:cstheme="minorHAnsi"/>
          <w:shd w:val="clear" w:color="auto" w:fill="FFFFFF"/>
          <w:lang w:val="en-US"/>
        </w:rPr>
        <w:t xml:space="preserve"> D.L, Haynes</w:t>
      </w:r>
      <w:r w:rsidR="00AA5F97" w:rsidRPr="005A464E">
        <w:rPr>
          <w:rFonts w:asciiTheme="minorHAnsi" w:hAnsiTheme="minorHAnsi" w:cstheme="minorHAnsi"/>
          <w:shd w:val="clear" w:color="auto" w:fill="FFFFFF"/>
          <w:lang w:val="en-US"/>
        </w:rPr>
        <w:t>,</w:t>
      </w:r>
      <w:r w:rsidRPr="005A464E">
        <w:rPr>
          <w:rFonts w:asciiTheme="minorHAnsi" w:hAnsiTheme="minorHAnsi" w:cstheme="minorHAnsi"/>
          <w:shd w:val="clear" w:color="auto" w:fill="FFFFFF"/>
          <w:lang w:val="en-US"/>
        </w:rPr>
        <w:t xml:space="preserve"> R</w:t>
      </w:r>
      <w:r w:rsidR="00AA5F97" w:rsidRPr="005A464E">
        <w:rPr>
          <w:rFonts w:asciiTheme="minorHAnsi" w:hAnsiTheme="minorHAnsi" w:cstheme="minorHAnsi"/>
          <w:shd w:val="clear" w:color="auto" w:fill="FFFFFF"/>
          <w:lang w:val="en-US"/>
        </w:rPr>
        <w:t>.</w:t>
      </w:r>
      <w:r w:rsidRPr="005A464E">
        <w:rPr>
          <w:rFonts w:asciiTheme="minorHAnsi" w:hAnsiTheme="minorHAnsi" w:cstheme="minorHAnsi"/>
          <w:shd w:val="clear" w:color="auto" w:fill="FFFFFF"/>
          <w:lang w:val="en-US"/>
        </w:rPr>
        <w:t>B. (1976). Compliance with therapeutic regimens. Eds., The John Hopkins University Press, Baltimore, Maryland.</w:t>
      </w:r>
    </w:p>
    <w:p w:rsidR="0034667B" w:rsidRPr="0034667B" w:rsidRDefault="0034667B" w:rsidP="005A464E">
      <w:pPr>
        <w:pStyle w:val="Web"/>
        <w:spacing w:after="166" w:line="360" w:lineRule="auto"/>
        <w:ind w:left="415" w:hanging="415"/>
        <w:jc w:val="both"/>
        <w:rPr>
          <w:rFonts w:asciiTheme="minorHAnsi" w:hAnsiTheme="minorHAnsi" w:cstheme="minorHAnsi"/>
          <w:shd w:val="clear" w:color="auto" w:fill="FFFFFF"/>
          <w:lang w:val="en-US"/>
        </w:rPr>
      </w:pPr>
      <w:r w:rsidRPr="0034667B">
        <w:rPr>
          <w:rFonts w:asciiTheme="minorHAnsi" w:hAnsiTheme="minorHAnsi" w:cstheme="minorHAnsi"/>
          <w:shd w:val="clear" w:color="auto" w:fill="FFFFFF"/>
          <w:lang w:val="en-US"/>
        </w:rPr>
        <w:t>Sadjadi, S.A., &amp; Mashhadian, A. (2015). Uremic Pericarditis: A Report of 30 Cases and Review of the Literature. </w:t>
      </w:r>
      <w:r w:rsidRPr="0034667B">
        <w:rPr>
          <w:rFonts w:asciiTheme="minorHAnsi" w:hAnsiTheme="minorHAnsi" w:cstheme="minorHAnsi"/>
          <w:i/>
          <w:iCs/>
          <w:shd w:val="clear" w:color="auto" w:fill="FFFFFF"/>
          <w:lang w:val="en-US"/>
        </w:rPr>
        <w:t>The American Journal of Case Reports</w:t>
      </w:r>
      <w:r w:rsidRPr="0034667B">
        <w:rPr>
          <w:rFonts w:asciiTheme="minorHAnsi" w:hAnsiTheme="minorHAnsi" w:cstheme="minorHAnsi"/>
          <w:shd w:val="clear" w:color="auto" w:fill="FFFFFF"/>
          <w:lang w:val="en-US"/>
        </w:rPr>
        <w:t>, </w:t>
      </w:r>
      <w:r w:rsidRPr="0034667B">
        <w:rPr>
          <w:rFonts w:asciiTheme="minorHAnsi" w:hAnsiTheme="minorHAnsi" w:cstheme="minorHAnsi"/>
          <w:i/>
          <w:iCs/>
          <w:shd w:val="clear" w:color="auto" w:fill="FFFFFF"/>
          <w:lang w:val="en-US"/>
        </w:rPr>
        <w:t>16</w:t>
      </w:r>
      <w:r w:rsidRPr="0034667B">
        <w:rPr>
          <w:rFonts w:asciiTheme="minorHAnsi" w:hAnsiTheme="minorHAnsi" w:cstheme="minorHAnsi"/>
          <w:shd w:val="clear" w:color="auto" w:fill="FFFFFF"/>
          <w:lang w:val="en-US"/>
        </w:rPr>
        <w:t>, 169–173. http://doi.org/10.12659/AJCR.893140</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Safavi, M., </w:t>
      </w:r>
      <w:r w:rsidR="00AA5F97" w:rsidRPr="005A464E">
        <w:rPr>
          <w:rFonts w:asciiTheme="minorHAnsi" w:hAnsiTheme="minorHAnsi" w:cstheme="minorHAnsi"/>
          <w:lang w:val="en-US"/>
        </w:rPr>
        <w:t xml:space="preserve">&amp; </w:t>
      </w:r>
      <w:r w:rsidRPr="005A464E">
        <w:rPr>
          <w:rFonts w:asciiTheme="minorHAnsi" w:hAnsiTheme="minorHAnsi" w:cstheme="minorHAnsi"/>
          <w:lang w:val="en-US"/>
        </w:rPr>
        <w:t>Borzooei, T. (2006).</w:t>
      </w:r>
      <w:r w:rsidR="0078495A">
        <w:rPr>
          <w:rFonts w:asciiTheme="minorHAnsi" w:hAnsiTheme="minorHAnsi" w:cstheme="minorHAnsi"/>
          <w:lang w:val="en-US"/>
        </w:rPr>
        <w:t xml:space="preserve"> </w:t>
      </w:r>
      <w:r w:rsidRPr="005A464E">
        <w:rPr>
          <w:rFonts w:asciiTheme="minorHAnsi" w:hAnsiTheme="minorHAnsi" w:cstheme="minorHAnsi"/>
          <w:lang w:val="en-US"/>
        </w:rPr>
        <w:t>Patient education principles. 7th ed. Tehran (Iran): Salemi</w:t>
      </w:r>
      <w:r w:rsidR="00AA5F97" w:rsidRPr="005A464E">
        <w:rPr>
          <w:rFonts w:asciiTheme="minorHAnsi" w:hAnsiTheme="minorHAnsi" w:cstheme="minorHAnsi"/>
          <w:lang w:val="en-US"/>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Safdar, N., Baakza, H., Kumar, H., &amp; Naqvi, S. (1995). Non-compliance to diet and fluid restrictions in haemodialysis patients. </w:t>
      </w:r>
      <w:r w:rsidRPr="005A464E">
        <w:rPr>
          <w:rFonts w:asciiTheme="minorHAnsi" w:eastAsia="Times New Roman" w:hAnsiTheme="minorHAnsi" w:cstheme="minorHAnsi"/>
          <w:i/>
          <w:lang w:val="en-US" w:eastAsia="el-GR"/>
        </w:rPr>
        <w:t>Journal of Pakistan Medical Association,</w:t>
      </w:r>
      <w:r w:rsidRPr="00440627">
        <w:rPr>
          <w:rFonts w:asciiTheme="minorHAnsi" w:eastAsia="Times New Roman" w:hAnsiTheme="minorHAnsi" w:cstheme="minorHAnsi"/>
          <w:i/>
          <w:lang w:val="en-US" w:eastAsia="el-GR"/>
        </w:rPr>
        <w:t xml:space="preserve"> 45,</w:t>
      </w:r>
      <w:r w:rsidRPr="005A464E">
        <w:rPr>
          <w:rFonts w:asciiTheme="minorHAnsi" w:eastAsia="Times New Roman" w:hAnsiTheme="minorHAnsi" w:cstheme="minorHAnsi"/>
          <w:lang w:val="en-US" w:eastAsia="el-GR"/>
        </w:rPr>
        <w:t xml:space="preserve"> 293-</w:t>
      </w:r>
      <w:r w:rsidR="00AA5F97" w:rsidRPr="005A464E">
        <w:rPr>
          <w:rFonts w:asciiTheme="minorHAnsi" w:eastAsia="Times New Roman" w:hAnsiTheme="minorHAnsi" w:cstheme="minorHAnsi"/>
          <w:lang w:val="en-US" w:eastAsia="el-GR"/>
        </w:rPr>
        <w:t>29</w:t>
      </w:r>
      <w:r w:rsidRPr="005A464E">
        <w:rPr>
          <w:rFonts w:asciiTheme="minorHAnsi" w:eastAsia="Times New Roman" w:hAnsiTheme="minorHAnsi" w:cstheme="minorHAnsi"/>
          <w:lang w:val="en-US" w:eastAsia="el-GR"/>
        </w:rPr>
        <w:t>5</w:t>
      </w:r>
      <w:r w:rsidR="00AA5F97" w:rsidRPr="005A464E">
        <w:rPr>
          <w:rFonts w:asciiTheme="minorHAnsi" w:eastAsia="Times New Roman" w:hAnsiTheme="minorHAnsi" w:cstheme="minorHAnsi"/>
          <w:lang w:val="en-US" w:eastAsia="el-GR"/>
        </w:rPr>
        <w:t>.</w:t>
      </w:r>
    </w:p>
    <w:p w:rsidR="00AD5D14" w:rsidRPr="005A464E" w:rsidRDefault="00AD5D14"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hAnsiTheme="minorHAnsi"/>
          <w:color w:val="000000"/>
          <w:shd w:val="clear" w:color="auto" w:fill="FFFFFF"/>
          <w:lang w:val="en-US"/>
        </w:rPr>
        <w:t> </w:t>
      </w:r>
      <w:r w:rsidRPr="005A464E">
        <w:rPr>
          <w:rStyle w:val="element-citation"/>
          <w:rFonts w:asciiTheme="minorHAnsi" w:hAnsiTheme="minorHAnsi"/>
          <w:color w:val="000000"/>
          <w:shd w:val="clear" w:color="auto" w:fill="FFFFFF"/>
          <w:lang w:val="en-US"/>
        </w:rPr>
        <w:t xml:space="preserve">Saffari, M., Pakpour, A.H., Naderi, M.K., Koenig, H.G., Baldacchino, D.R., </w:t>
      </w:r>
      <w:r w:rsidR="00AA5F97" w:rsidRPr="005A464E">
        <w:rPr>
          <w:rStyle w:val="element-citation"/>
          <w:rFonts w:asciiTheme="minorHAnsi" w:hAnsiTheme="minorHAnsi"/>
          <w:color w:val="000000"/>
          <w:shd w:val="clear" w:color="auto" w:fill="FFFFFF"/>
          <w:lang w:val="en-US"/>
        </w:rPr>
        <w:t xml:space="preserve">&amp; </w:t>
      </w:r>
      <w:r w:rsidRPr="005A464E">
        <w:rPr>
          <w:rStyle w:val="element-citation"/>
          <w:rFonts w:asciiTheme="minorHAnsi" w:hAnsiTheme="minorHAnsi"/>
          <w:color w:val="000000"/>
          <w:shd w:val="clear" w:color="auto" w:fill="FFFFFF"/>
          <w:lang w:val="en-US"/>
        </w:rPr>
        <w:t>Piper, C.N. (2013). Spiritual coping, religiosity and quality of life: a study on Muslim patients undergoing haemodialysis. </w:t>
      </w:r>
      <w:r w:rsidRPr="005A464E">
        <w:rPr>
          <w:rStyle w:val="ref-journal"/>
          <w:rFonts w:asciiTheme="minorHAnsi" w:hAnsiTheme="minorHAnsi"/>
          <w:i/>
          <w:color w:val="000000"/>
          <w:shd w:val="clear" w:color="auto" w:fill="FFFFFF"/>
          <w:lang w:val="en-US"/>
        </w:rPr>
        <w:t>Nephrology (Carlton</w:t>
      </w:r>
      <w:r w:rsidRPr="00440627">
        <w:rPr>
          <w:rStyle w:val="ref-journal"/>
          <w:rFonts w:asciiTheme="minorHAnsi" w:hAnsiTheme="minorHAnsi"/>
          <w:i/>
          <w:color w:val="000000"/>
          <w:shd w:val="clear" w:color="auto" w:fill="FFFFFF"/>
          <w:lang w:val="en-US"/>
        </w:rPr>
        <w:t>)</w:t>
      </w:r>
      <w:r w:rsidR="00AA5F97" w:rsidRPr="00440627">
        <w:rPr>
          <w:rStyle w:val="ref-journal"/>
          <w:rFonts w:asciiTheme="minorHAnsi" w:hAnsiTheme="minorHAnsi"/>
          <w:i/>
          <w:color w:val="000000"/>
          <w:shd w:val="clear" w:color="auto" w:fill="FFFFFF"/>
          <w:lang w:val="en-US"/>
        </w:rPr>
        <w:t>,</w:t>
      </w:r>
      <w:r w:rsidRPr="00440627">
        <w:rPr>
          <w:rStyle w:val="ref-journal"/>
          <w:rFonts w:asciiTheme="minorHAnsi" w:hAnsiTheme="minorHAnsi"/>
          <w:i/>
          <w:color w:val="000000"/>
          <w:shd w:val="clear" w:color="auto" w:fill="FFFFFF"/>
          <w:lang w:val="en-US"/>
        </w:rPr>
        <w:t> </w:t>
      </w:r>
      <w:r w:rsidRPr="00440627">
        <w:rPr>
          <w:rStyle w:val="ref-vol"/>
          <w:rFonts w:asciiTheme="minorHAnsi" w:hAnsiTheme="minorHAnsi"/>
          <w:i/>
          <w:color w:val="000000"/>
          <w:shd w:val="clear" w:color="auto" w:fill="FFFFFF"/>
          <w:lang w:val="en-US"/>
        </w:rPr>
        <w:t>18</w:t>
      </w:r>
      <w:r w:rsidRPr="00440627">
        <w:rPr>
          <w:rStyle w:val="element-citation"/>
          <w:rFonts w:asciiTheme="minorHAnsi" w:hAnsiTheme="minorHAnsi"/>
          <w:i/>
          <w:color w:val="000000"/>
          <w:shd w:val="clear" w:color="auto" w:fill="FFFFFF"/>
          <w:lang w:val="en-US"/>
        </w:rPr>
        <w:t>,</w:t>
      </w:r>
      <w:r w:rsidRPr="005A464E">
        <w:rPr>
          <w:rStyle w:val="element-citation"/>
          <w:rFonts w:asciiTheme="minorHAnsi" w:hAnsiTheme="minorHAnsi"/>
          <w:color w:val="000000"/>
          <w:shd w:val="clear" w:color="auto" w:fill="FFFFFF"/>
          <w:lang w:val="en-US"/>
        </w:rPr>
        <w:t xml:space="preserve"> 269–</w:t>
      </w:r>
      <w:r w:rsidR="00440627">
        <w:rPr>
          <w:rStyle w:val="element-citation"/>
          <w:rFonts w:asciiTheme="minorHAnsi" w:hAnsiTheme="minorHAnsi"/>
          <w:color w:val="000000"/>
          <w:shd w:val="clear" w:color="auto" w:fill="FFFFFF"/>
          <w:lang w:val="en-US"/>
        </w:rPr>
        <w:t>2</w:t>
      </w:r>
      <w:r w:rsidRPr="005A464E">
        <w:rPr>
          <w:rStyle w:val="element-citation"/>
          <w:rFonts w:asciiTheme="minorHAnsi" w:hAnsiTheme="minorHAnsi"/>
          <w:color w:val="000000"/>
          <w:shd w:val="clear" w:color="auto" w:fill="FFFFFF"/>
          <w:lang w:val="en-US"/>
        </w:rPr>
        <w:t xml:space="preserve">75. </w:t>
      </w:r>
      <w:r w:rsidR="00292B29" w:rsidRPr="005A464E">
        <w:rPr>
          <w:rStyle w:val="element-citation"/>
          <w:rFonts w:asciiTheme="minorHAnsi" w:hAnsiTheme="minorHAnsi"/>
          <w:color w:val="000000"/>
          <w:shd w:val="clear" w:color="auto" w:fill="FFFFFF"/>
          <w:lang w:val="en-US"/>
        </w:rPr>
        <w:t>DOI</w:t>
      </w:r>
      <w:r w:rsidRPr="005A464E">
        <w:rPr>
          <w:rStyle w:val="element-citation"/>
          <w:rFonts w:asciiTheme="minorHAnsi" w:hAnsiTheme="minorHAnsi"/>
          <w:color w:val="000000"/>
          <w:shd w:val="clear" w:color="auto" w:fill="FFFFFF"/>
          <w:lang w:val="en-US"/>
        </w:rPr>
        <w:t>: 10.1111/nep.12041.</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San Migue</w:t>
      </w:r>
      <w:r w:rsidR="00682CF3">
        <w:rPr>
          <w:rFonts w:asciiTheme="minorHAnsi" w:hAnsiTheme="minorHAnsi" w:cstheme="minorHAnsi"/>
          <w:lang w:val="en-US"/>
        </w:rPr>
        <w:t>l, S., Curtale, M., Knagge, D.,</w:t>
      </w:r>
      <w:r w:rsidRPr="005A464E">
        <w:rPr>
          <w:rFonts w:asciiTheme="minorHAnsi" w:hAnsiTheme="minorHAnsi" w:cstheme="minorHAnsi"/>
          <w:lang w:val="en-US"/>
        </w:rPr>
        <w:t xml:space="preserve"> Nhan, C., &amp; Chow, J. (2009). Improving patient understanding of phosphate binders: a bony challenge. </w:t>
      </w:r>
      <w:r w:rsidRPr="005A464E">
        <w:rPr>
          <w:rFonts w:asciiTheme="minorHAnsi" w:hAnsiTheme="minorHAnsi" w:cstheme="minorHAnsi"/>
          <w:i/>
          <w:lang w:val="en-US"/>
        </w:rPr>
        <w:t>Renal Society of Australasian Journal,</w:t>
      </w:r>
      <w:r w:rsidRPr="005A464E">
        <w:rPr>
          <w:rFonts w:asciiTheme="minorHAnsi" w:hAnsiTheme="minorHAnsi" w:cstheme="minorHAnsi"/>
          <w:lang w:val="en-US"/>
        </w:rPr>
        <w:t xml:space="preserve"> </w:t>
      </w:r>
      <w:r w:rsidRPr="00440627">
        <w:rPr>
          <w:rFonts w:asciiTheme="minorHAnsi" w:hAnsiTheme="minorHAnsi" w:cstheme="minorHAnsi"/>
          <w:i/>
          <w:lang w:val="en-US"/>
        </w:rPr>
        <w:t>5</w:t>
      </w:r>
      <w:r w:rsidRPr="005A464E">
        <w:rPr>
          <w:rFonts w:asciiTheme="minorHAnsi" w:hAnsiTheme="minorHAnsi" w:cstheme="minorHAnsi"/>
          <w:lang w:val="en-US"/>
        </w:rPr>
        <w:t>, 119-125.</w:t>
      </w:r>
    </w:p>
    <w:p w:rsidR="003C410F" w:rsidRPr="005A464E"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shd w:val="clear" w:color="auto" w:fill="FFFFFF"/>
          <w:lang w:val="en-US"/>
        </w:rPr>
        <w:t xml:space="preserve">Sanaka, T. (2003). Nutritional </w:t>
      </w:r>
      <w:r w:rsidR="00F7182C" w:rsidRPr="005A464E">
        <w:rPr>
          <w:rFonts w:asciiTheme="minorHAnsi" w:hAnsiTheme="minorHAnsi" w:cstheme="minorHAnsi"/>
          <w:shd w:val="clear" w:color="auto" w:fill="FFFFFF"/>
          <w:lang w:val="en-US"/>
        </w:rPr>
        <w:t>effect of dialysis therapy</w:t>
      </w:r>
      <w:r w:rsidRPr="005A464E">
        <w:rPr>
          <w:rFonts w:asciiTheme="minorHAnsi" w:hAnsiTheme="minorHAnsi" w:cstheme="minorHAnsi"/>
          <w:shd w:val="clear" w:color="auto" w:fill="FFFFFF"/>
          <w:lang w:val="en-US"/>
        </w:rPr>
        <w:t>.</w:t>
      </w:r>
      <w:r w:rsidRPr="005A464E">
        <w:rPr>
          <w:rStyle w:val="apple-converted-space"/>
          <w:rFonts w:asciiTheme="minorHAnsi" w:hAnsiTheme="minorHAnsi" w:cstheme="minorHAnsi"/>
          <w:shd w:val="clear" w:color="auto" w:fill="FFFFFF"/>
          <w:lang w:val="en-US"/>
        </w:rPr>
        <w:t> </w:t>
      </w:r>
      <w:r w:rsidRPr="005A464E">
        <w:rPr>
          <w:rFonts w:asciiTheme="minorHAnsi" w:hAnsiTheme="minorHAnsi" w:cstheme="minorHAnsi"/>
          <w:i/>
          <w:iCs/>
          <w:shd w:val="clear" w:color="auto" w:fill="FFFFFF"/>
          <w:lang w:val="en-US"/>
        </w:rPr>
        <w:t>Artificial Organs</w:t>
      </w:r>
      <w:r w:rsidRPr="005A464E">
        <w:rPr>
          <w:rFonts w:asciiTheme="minorHAnsi" w:hAnsiTheme="minorHAnsi" w:cstheme="minorHAnsi"/>
          <w:shd w:val="clear" w:color="auto" w:fill="FFFFFF"/>
          <w:lang w:val="en-US"/>
        </w:rPr>
        <w:t>,</w:t>
      </w:r>
      <w:r w:rsidRPr="005A464E">
        <w:rPr>
          <w:rStyle w:val="apple-converted-space"/>
          <w:rFonts w:asciiTheme="minorHAnsi" w:hAnsiTheme="minorHAnsi" w:cstheme="minorHAnsi"/>
          <w:shd w:val="clear" w:color="auto" w:fill="FFFFFF"/>
          <w:lang w:val="en-US"/>
        </w:rPr>
        <w:t> </w:t>
      </w:r>
      <w:r w:rsidRPr="00440627">
        <w:rPr>
          <w:rFonts w:asciiTheme="minorHAnsi" w:hAnsiTheme="minorHAnsi" w:cstheme="minorHAnsi"/>
          <w:i/>
          <w:iCs/>
          <w:shd w:val="clear" w:color="auto" w:fill="FFFFFF"/>
          <w:lang w:val="en-US"/>
        </w:rPr>
        <w:t>27</w:t>
      </w:r>
      <w:r w:rsidRPr="005A464E">
        <w:rPr>
          <w:rFonts w:asciiTheme="minorHAnsi" w:hAnsiTheme="minorHAnsi" w:cstheme="minorHAnsi"/>
          <w:shd w:val="clear" w:color="auto" w:fill="FFFFFF"/>
          <w:lang w:val="en-US"/>
        </w:rPr>
        <w:t xml:space="preserve">, 224-226. </w:t>
      </w:r>
      <w:hyperlink r:id="rId346" w:history="1">
        <w:r w:rsidRPr="005A464E">
          <w:rPr>
            <w:rStyle w:val="-"/>
            <w:rFonts w:asciiTheme="minorHAnsi" w:hAnsiTheme="minorHAnsi" w:cstheme="minorHAnsi"/>
            <w:color w:val="auto"/>
            <w:u w:val="none"/>
            <w:shd w:val="clear" w:color="auto" w:fill="FFFFFF"/>
            <w:lang w:val="en-US"/>
          </w:rPr>
          <w:t>http://dx.</w:t>
        </w:r>
        <w:r w:rsidR="00292B29" w:rsidRPr="005A464E">
          <w:rPr>
            <w:rStyle w:val="-"/>
            <w:rFonts w:asciiTheme="minorHAnsi" w:hAnsiTheme="minorHAnsi" w:cstheme="minorHAnsi"/>
            <w:color w:val="auto"/>
            <w:u w:val="none"/>
            <w:shd w:val="clear" w:color="auto" w:fill="FFFFFF"/>
            <w:lang w:val="en-US"/>
          </w:rPr>
          <w:t>DOI</w:t>
        </w:r>
        <w:r w:rsidRPr="005A464E">
          <w:rPr>
            <w:rStyle w:val="-"/>
            <w:rFonts w:asciiTheme="minorHAnsi" w:hAnsiTheme="minorHAnsi" w:cstheme="minorHAnsi"/>
            <w:color w:val="auto"/>
            <w:u w:val="none"/>
            <w:shd w:val="clear" w:color="auto" w:fill="FFFFFF"/>
            <w:lang w:val="en-US"/>
          </w:rPr>
          <w:t>.org/10.1046/j.1525-1594.2003.07215.x</w:t>
        </w:r>
      </w:hyperlink>
    </w:p>
    <w:p w:rsidR="003C410F" w:rsidRPr="005A464E" w:rsidRDefault="003C410F" w:rsidP="005A464E">
      <w:pPr>
        <w:pStyle w:val="Web"/>
        <w:spacing w:after="166" w:line="360" w:lineRule="auto"/>
        <w:ind w:left="415" w:hanging="415"/>
        <w:jc w:val="both"/>
        <w:rPr>
          <w:rFonts w:asciiTheme="minorHAnsi" w:hAnsiTheme="minorHAnsi"/>
          <w:lang w:val="en-US"/>
        </w:rPr>
      </w:pPr>
      <w:r w:rsidRPr="005A464E">
        <w:rPr>
          <w:rFonts w:asciiTheme="minorHAnsi" w:hAnsiTheme="minorHAnsi" w:cstheme="minorHAnsi"/>
          <w:shd w:val="clear" w:color="auto" w:fill="FFFFFF"/>
          <w:lang w:val="en-US"/>
        </w:rPr>
        <w:t>Sandlin, K., Bennett, P., Ockerby, C., &amp; Corradini, A. (2013). The impact of nurse-led education on haemodialysis patients' phosphate binder medication adherence.</w:t>
      </w:r>
      <w:r w:rsidR="0078495A">
        <w:rPr>
          <w:rStyle w:val="apple-converted-space"/>
          <w:rFonts w:asciiTheme="minorHAnsi" w:hAnsiTheme="minorHAnsi" w:cstheme="minorHAnsi"/>
          <w:shd w:val="clear" w:color="auto" w:fill="FFFFFF"/>
          <w:lang w:val="en-US"/>
        </w:rPr>
        <w:t xml:space="preserve"> </w:t>
      </w:r>
      <w:r w:rsidR="00F7182C" w:rsidRPr="005A464E">
        <w:rPr>
          <w:rFonts w:asciiTheme="minorHAnsi" w:hAnsiTheme="minorHAnsi" w:cstheme="minorHAnsi"/>
          <w:i/>
          <w:iCs/>
          <w:shd w:val="clear" w:color="auto" w:fill="FFFFFF"/>
          <w:lang w:val="en-US"/>
        </w:rPr>
        <w:t>Journal o</w:t>
      </w:r>
      <w:r w:rsidRPr="005A464E">
        <w:rPr>
          <w:rFonts w:asciiTheme="minorHAnsi" w:hAnsiTheme="minorHAnsi" w:cstheme="minorHAnsi"/>
          <w:i/>
          <w:iCs/>
          <w:shd w:val="clear" w:color="auto" w:fill="FFFFFF"/>
          <w:lang w:val="en-US"/>
        </w:rPr>
        <w:t>f Renal Care</w:t>
      </w:r>
      <w:r w:rsidRPr="005A464E">
        <w:rPr>
          <w:rFonts w:asciiTheme="minorHAnsi" w:hAnsiTheme="minorHAnsi" w:cstheme="minorHAnsi"/>
          <w:shd w:val="clear" w:color="auto" w:fill="FFFFFF"/>
          <w:lang w:val="en-US"/>
        </w:rPr>
        <w:t>,</w:t>
      </w:r>
      <w:r w:rsidR="0078495A">
        <w:rPr>
          <w:rStyle w:val="apple-converted-space"/>
          <w:rFonts w:asciiTheme="minorHAnsi" w:hAnsiTheme="minorHAnsi" w:cstheme="minorHAnsi"/>
          <w:shd w:val="clear" w:color="auto" w:fill="FFFFFF"/>
          <w:lang w:val="en-US"/>
        </w:rPr>
        <w:t xml:space="preserve"> </w:t>
      </w:r>
      <w:r w:rsidRPr="00440627">
        <w:rPr>
          <w:rFonts w:asciiTheme="minorHAnsi" w:hAnsiTheme="minorHAnsi" w:cstheme="minorHAnsi"/>
          <w:i/>
          <w:iCs/>
          <w:shd w:val="clear" w:color="auto" w:fill="FFFFFF"/>
          <w:lang w:val="en-US"/>
        </w:rPr>
        <w:t>39</w:t>
      </w:r>
      <w:r w:rsidRPr="005A464E">
        <w:rPr>
          <w:rFonts w:asciiTheme="minorHAnsi" w:hAnsiTheme="minorHAnsi" w:cstheme="minorHAnsi"/>
          <w:shd w:val="clear" w:color="auto" w:fill="FFFFFF"/>
          <w:lang w:val="en-US"/>
        </w:rPr>
        <w:t xml:space="preserve">, 12-18. </w:t>
      </w:r>
      <w:hyperlink r:id="rId347" w:history="1">
        <w:r w:rsidRPr="005A464E">
          <w:rPr>
            <w:rStyle w:val="-"/>
            <w:rFonts w:asciiTheme="minorHAnsi" w:hAnsiTheme="minorHAnsi" w:cstheme="minorHAnsi"/>
            <w:color w:val="auto"/>
            <w:u w:val="none"/>
            <w:shd w:val="clear" w:color="auto" w:fill="FFFFFF"/>
            <w:lang w:val="en-US"/>
          </w:rPr>
          <w:t>http://dx.</w:t>
        </w:r>
        <w:r w:rsidR="00292B29" w:rsidRPr="005A464E">
          <w:rPr>
            <w:rStyle w:val="-"/>
            <w:rFonts w:asciiTheme="minorHAnsi" w:hAnsiTheme="minorHAnsi" w:cstheme="minorHAnsi"/>
            <w:color w:val="auto"/>
            <w:u w:val="none"/>
            <w:shd w:val="clear" w:color="auto" w:fill="FFFFFF"/>
            <w:lang w:val="en-US"/>
          </w:rPr>
          <w:t>DOI</w:t>
        </w:r>
        <w:r w:rsidRPr="005A464E">
          <w:rPr>
            <w:rStyle w:val="-"/>
            <w:rFonts w:asciiTheme="minorHAnsi" w:hAnsiTheme="minorHAnsi" w:cstheme="minorHAnsi"/>
            <w:color w:val="auto"/>
            <w:u w:val="none"/>
            <w:shd w:val="clear" w:color="auto" w:fill="FFFFFF"/>
            <w:lang w:val="en-US"/>
          </w:rPr>
          <w:t>.org/10.1111/j.1755-6686.2013.00343.x</w:t>
        </w:r>
      </w:hyperlink>
      <w:r w:rsidR="00AA5F97"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shd w:val="clear" w:color="auto" w:fill="FFFFFF"/>
          <w:lang w:val="en-US"/>
        </w:rPr>
        <w:t>Santos</w:t>
      </w:r>
      <w:r w:rsidR="00AA5F97" w:rsidRPr="005A464E">
        <w:rPr>
          <w:rFonts w:asciiTheme="minorHAnsi" w:hAnsiTheme="minorHAnsi" w:cstheme="minorHAnsi"/>
          <w:shd w:val="clear" w:color="auto" w:fill="FFFFFF"/>
          <w:lang w:val="en-US"/>
        </w:rPr>
        <w:t>,</w:t>
      </w:r>
      <w:r w:rsidRPr="005A464E">
        <w:rPr>
          <w:rFonts w:asciiTheme="minorHAnsi" w:hAnsiTheme="minorHAnsi" w:cstheme="minorHAnsi"/>
          <w:shd w:val="clear" w:color="auto" w:fill="FFFFFF"/>
          <w:lang w:val="en-US"/>
        </w:rPr>
        <w:t xml:space="preserve"> P</w:t>
      </w:r>
      <w:r w:rsidR="00AA5F97" w:rsidRPr="005A464E">
        <w:rPr>
          <w:rFonts w:asciiTheme="minorHAnsi" w:hAnsiTheme="minorHAnsi" w:cstheme="minorHAnsi"/>
          <w:shd w:val="clear" w:color="auto" w:fill="FFFFFF"/>
          <w:lang w:val="en-US"/>
        </w:rPr>
        <w:t>.R</w:t>
      </w:r>
      <w:r w:rsidR="003E723E">
        <w:rPr>
          <w:rFonts w:asciiTheme="minorHAnsi" w:hAnsiTheme="minorHAnsi" w:cstheme="minorHAnsi"/>
          <w:shd w:val="clear" w:color="auto" w:fill="FFFFFF"/>
          <w:lang w:val="en-US"/>
        </w:rPr>
        <w:t>. (201</w:t>
      </w:r>
      <w:r w:rsidR="003E723E" w:rsidRPr="004B226D">
        <w:rPr>
          <w:rFonts w:asciiTheme="minorHAnsi" w:hAnsiTheme="minorHAnsi" w:cstheme="minorHAnsi"/>
          <w:shd w:val="clear" w:color="auto" w:fill="FFFFFF"/>
          <w:lang w:val="en-US"/>
        </w:rPr>
        <w:t>1</w:t>
      </w:r>
      <w:r w:rsidRPr="005A464E">
        <w:rPr>
          <w:rFonts w:asciiTheme="minorHAnsi" w:hAnsiTheme="minorHAnsi" w:cstheme="minorHAnsi"/>
          <w:shd w:val="clear" w:color="auto" w:fill="FFFFFF"/>
          <w:lang w:val="en-US"/>
        </w:rPr>
        <w:t xml:space="preserve">). Subjective </w:t>
      </w:r>
      <w:r w:rsidR="00AA5F97" w:rsidRPr="005A464E">
        <w:rPr>
          <w:rFonts w:asciiTheme="minorHAnsi" w:hAnsiTheme="minorHAnsi" w:cstheme="minorHAnsi"/>
          <w:shd w:val="clear" w:color="auto" w:fill="FFFFFF"/>
          <w:lang w:val="en-US"/>
        </w:rPr>
        <w:t xml:space="preserve">well-being measures of hemodialysis patients </w:t>
      </w:r>
      <w:r w:rsidRPr="005A464E">
        <w:rPr>
          <w:rFonts w:asciiTheme="minorHAnsi" w:hAnsiTheme="minorHAnsi" w:cstheme="minorHAnsi"/>
          <w:shd w:val="clear" w:color="auto" w:fill="FFFFFF"/>
          <w:lang w:val="en-US"/>
        </w:rPr>
        <w:t xml:space="preserve">IN </w:t>
      </w:r>
      <w:r w:rsidRPr="005A464E">
        <w:rPr>
          <w:rFonts w:asciiTheme="minorHAnsi" w:hAnsiTheme="minorHAnsi" w:cstheme="minorHAnsi"/>
          <w:i/>
          <w:shd w:val="clear" w:color="auto" w:fill="FFFFFF"/>
          <w:lang w:val="en-US"/>
        </w:rPr>
        <w:t>Technical Problems in Patients on Hemodialysis</w:t>
      </w:r>
      <w:r w:rsidRPr="005A464E">
        <w:rPr>
          <w:rFonts w:asciiTheme="minorHAnsi" w:hAnsiTheme="minorHAnsi" w:cstheme="minorHAnsi"/>
          <w:shd w:val="clear" w:color="auto" w:fill="FFFFFF"/>
          <w:lang w:val="en-US"/>
        </w:rPr>
        <w:t xml:space="preserve"> (1st ed.).</w:t>
      </w:r>
    </w:p>
    <w:p w:rsidR="008C2B91" w:rsidRPr="005A464E" w:rsidRDefault="008C2B91"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Arial"/>
          <w:lang w:val="en-US"/>
        </w:rPr>
        <w:t>Santos, P.R. (2006). Relationship between gender and age with quality of life in chronic hemodialysis patients. </w:t>
      </w:r>
      <w:r w:rsidRPr="005A464E">
        <w:rPr>
          <w:rFonts w:asciiTheme="minorHAnsi" w:hAnsiTheme="minorHAnsi" w:cs="Arial"/>
          <w:i/>
          <w:iCs/>
          <w:lang w:val="en-US"/>
        </w:rPr>
        <w:t>Revista da Associação Médica Brasileira</w:t>
      </w:r>
      <w:r w:rsidRPr="005A464E">
        <w:rPr>
          <w:rFonts w:asciiTheme="minorHAnsi" w:hAnsiTheme="minorHAnsi" w:cs="Arial"/>
          <w:lang w:val="en-US"/>
        </w:rPr>
        <w:t>, </w:t>
      </w:r>
      <w:r w:rsidRPr="00440627">
        <w:rPr>
          <w:rFonts w:asciiTheme="minorHAnsi" w:hAnsiTheme="minorHAnsi" w:cs="Arial"/>
          <w:i/>
          <w:iCs/>
          <w:lang w:val="en-US"/>
        </w:rPr>
        <w:t>52</w:t>
      </w:r>
      <w:r w:rsidRPr="005A464E">
        <w:rPr>
          <w:rFonts w:asciiTheme="minorHAnsi" w:hAnsiTheme="minorHAnsi" w:cs="Arial"/>
          <w:lang w:val="en-US"/>
        </w:rPr>
        <w:t>, 356-359. </w:t>
      </w:r>
      <w:hyperlink r:id="rId348" w:history="1">
        <w:r w:rsidRPr="005A464E">
          <w:rPr>
            <w:rStyle w:val="-"/>
            <w:rFonts w:asciiTheme="minorHAnsi" w:hAnsiTheme="minorHAnsi" w:cs="Arial"/>
            <w:color w:val="auto"/>
            <w:u w:val="none"/>
            <w:lang w:val="en-US"/>
          </w:rPr>
          <w:t>https://dx.</w:t>
        </w:r>
        <w:r w:rsidR="00292B29" w:rsidRPr="005A464E">
          <w:rPr>
            <w:rStyle w:val="-"/>
            <w:rFonts w:asciiTheme="minorHAnsi" w:hAnsiTheme="minorHAnsi" w:cs="Arial"/>
            <w:color w:val="auto"/>
            <w:u w:val="none"/>
            <w:lang w:val="en-US"/>
          </w:rPr>
          <w:t>DOI</w:t>
        </w:r>
        <w:r w:rsidRPr="005A464E">
          <w:rPr>
            <w:rStyle w:val="-"/>
            <w:rFonts w:asciiTheme="minorHAnsi" w:hAnsiTheme="minorHAnsi" w:cs="Arial"/>
            <w:color w:val="auto"/>
            <w:u w:val="none"/>
            <w:lang w:val="en-US"/>
          </w:rPr>
          <w:t>.org/10.1590/S0104-42302006000500026</w:t>
        </w:r>
      </w:hyperlink>
      <w:r w:rsidR="00AA5F97"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shd w:val="clear" w:color="auto" w:fill="FFFFFF"/>
          <w:lang w:val="en-US"/>
        </w:rPr>
        <w:t>Saran, R., Bragg-Gresham, J., Rayner, H., Goodkin, D.</w:t>
      </w:r>
      <w:r w:rsidR="00202084">
        <w:rPr>
          <w:rFonts w:asciiTheme="minorHAnsi" w:hAnsiTheme="minorHAnsi" w:cstheme="minorHAnsi"/>
          <w:shd w:val="clear" w:color="auto" w:fill="FFFFFF"/>
          <w:lang w:val="en-US"/>
        </w:rPr>
        <w:t>, Keen, M.,</w:t>
      </w:r>
      <w:r w:rsidR="00AA5F97" w:rsidRPr="005A464E">
        <w:rPr>
          <w:rFonts w:asciiTheme="minorHAnsi" w:hAnsiTheme="minorHAnsi" w:cstheme="minorHAnsi"/>
          <w:shd w:val="clear" w:color="auto" w:fill="FFFFFF"/>
          <w:lang w:val="en-US"/>
        </w:rPr>
        <w:t xml:space="preserve"> Van Dijk, P</w:t>
      </w:r>
      <w:r w:rsidRPr="005A464E">
        <w:rPr>
          <w:rFonts w:asciiTheme="minorHAnsi" w:hAnsiTheme="minorHAnsi" w:cstheme="minorHAnsi"/>
          <w:shd w:val="clear" w:color="auto" w:fill="FFFFFF"/>
          <w:lang w:val="en-US"/>
        </w:rPr>
        <w:t>.</w:t>
      </w:r>
      <w:r w:rsidR="00AA5F97" w:rsidRPr="005A464E">
        <w:rPr>
          <w:rFonts w:asciiTheme="minorHAnsi" w:hAnsiTheme="minorHAnsi" w:cstheme="minorHAnsi"/>
          <w:shd w:val="clear" w:color="auto" w:fill="FFFFFF"/>
          <w:lang w:val="en-US"/>
        </w:rPr>
        <w:t>,</w:t>
      </w:r>
      <w:r w:rsidR="00202084">
        <w:rPr>
          <w:rFonts w:asciiTheme="minorHAnsi" w:hAnsiTheme="minorHAnsi" w:cstheme="minorHAnsi"/>
          <w:shd w:val="clear" w:color="auto" w:fill="FFFFFF"/>
          <w:lang w:val="en-US"/>
        </w:rPr>
        <w:t xml:space="preserve"> … &amp;</w:t>
      </w:r>
      <w:r w:rsidR="00AA5F97" w:rsidRPr="005A464E">
        <w:rPr>
          <w:rFonts w:asciiTheme="minorHAnsi" w:hAnsiTheme="minorHAnsi" w:cs="Arial"/>
          <w:shd w:val="clear" w:color="auto" w:fill="FFFFFF"/>
          <w:lang w:val="en-US"/>
        </w:rPr>
        <w:t> </w:t>
      </w:r>
      <w:hyperlink r:id="rId349" w:history="1">
        <w:r w:rsidR="00AA5F97" w:rsidRPr="005A464E">
          <w:rPr>
            <w:rStyle w:val="-"/>
            <w:rFonts w:asciiTheme="minorHAnsi" w:hAnsiTheme="minorHAnsi" w:cs="Arial"/>
            <w:color w:val="auto"/>
            <w:u w:val="none"/>
            <w:shd w:val="clear" w:color="auto" w:fill="FFFFFF"/>
            <w:lang w:val="en-US"/>
          </w:rPr>
          <w:t>Port, F.K</w:t>
        </w:r>
      </w:hyperlink>
      <w:r w:rsidR="00AA5F97" w:rsidRPr="005A464E">
        <w:rPr>
          <w:rFonts w:asciiTheme="minorHAnsi" w:hAnsiTheme="minorHAnsi" w:cs="Arial"/>
          <w:shd w:val="clear" w:color="auto" w:fill="FFFFFF"/>
          <w:lang w:val="en-US"/>
        </w:rPr>
        <w:t>.</w:t>
      </w:r>
      <w:r w:rsidRPr="005A464E">
        <w:rPr>
          <w:rFonts w:asciiTheme="minorHAnsi" w:hAnsiTheme="minorHAnsi" w:cstheme="minorHAnsi"/>
          <w:shd w:val="clear" w:color="auto" w:fill="FFFFFF"/>
          <w:lang w:val="en-US"/>
        </w:rPr>
        <w:t xml:space="preserve"> (2003). Non</w:t>
      </w:r>
      <w:r w:rsidR="00F7182C" w:rsidRPr="005A464E">
        <w:rPr>
          <w:rFonts w:asciiTheme="minorHAnsi" w:hAnsiTheme="minorHAnsi" w:cstheme="minorHAnsi"/>
          <w:shd w:val="clear" w:color="auto" w:fill="FFFFFF"/>
          <w:lang w:val="en-US"/>
        </w:rPr>
        <w:t>-</w:t>
      </w:r>
      <w:r w:rsidRPr="005A464E">
        <w:rPr>
          <w:rFonts w:asciiTheme="minorHAnsi" w:hAnsiTheme="minorHAnsi" w:cstheme="minorHAnsi"/>
          <w:shd w:val="clear" w:color="auto" w:fill="FFFFFF"/>
          <w:lang w:val="en-US"/>
        </w:rPr>
        <w:t>adherence in hemodialysis: Associations with mortality, hospitalization, and practice patterns in the DOPPS.</w:t>
      </w:r>
      <w:r w:rsidRPr="005A464E">
        <w:rPr>
          <w:rStyle w:val="apple-converted-space"/>
          <w:rFonts w:asciiTheme="minorHAnsi" w:hAnsiTheme="minorHAnsi" w:cstheme="minorHAnsi"/>
          <w:shd w:val="clear" w:color="auto" w:fill="FFFFFF"/>
          <w:lang w:val="en-US"/>
        </w:rPr>
        <w:t> </w:t>
      </w:r>
      <w:r w:rsidRPr="005A464E">
        <w:rPr>
          <w:rFonts w:asciiTheme="minorHAnsi" w:hAnsiTheme="minorHAnsi" w:cstheme="minorHAnsi"/>
          <w:i/>
          <w:iCs/>
          <w:shd w:val="clear" w:color="auto" w:fill="FFFFFF"/>
          <w:lang w:val="en-US"/>
        </w:rPr>
        <w:t>Kidney International</w:t>
      </w:r>
      <w:r w:rsidRPr="005A464E">
        <w:rPr>
          <w:rFonts w:asciiTheme="minorHAnsi" w:hAnsiTheme="minorHAnsi" w:cstheme="minorHAnsi"/>
          <w:shd w:val="clear" w:color="auto" w:fill="FFFFFF"/>
          <w:lang w:val="en-US"/>
        </w:rPr>
        <w:t>,</w:t>
      </w:r>
      <w:r w:rsidRPr="00440627">
        <w:rPr>
          <w:rStyle w:val="apple-converted-space"/>
          <w:rFonts w:asciiTheme="minorHAnsi" w:hAnsiTheme="minorHAnsi" w:cstheme="minorHAnsi"/>
          <w:i/>
          <w:shd w:val="clear" w:color="auto" w:fill="FFFFFF"/>
          <w:lang w:val="en-US"/>
        </w:rPr>
        <w:t> </w:t>
      </w:r>
      <w:r w:rsidRPr="00440627">
        <w:rPr>
          <w:rFonts w:asciiTheme="minorHAnsi" w:hAnsiTheme="minorHAnsi" w:cstheme="minorHAnsi"/>
          <w:i/>
          <w:iCs/>
          <w:shd w:val="clear" w:color="auto" w:fill="FFFFFF"/>
          <w:lang w:val="en-US"/>
        </w:rPr>
        <w:t>64</w:t>
      </w:r>
      <w:r w:rsidRPr="005A464E">
        <w:rPr>
          <w:rFonts w:asciiTheme="minorHAnsi" w:hAnsiTheme="minorHAnsi" w:cstheme="minorHAnsi"/>
          <w:shd w:val="clear" w:color="auto" w:fill="FFFFFF"/>
          <w:lang w:val="en-US"/>
        </w:rPr>
        <w:t xml:space="preserve">, 254-262. </w:t>
      </w:r>
      <w:hyperlink r:id="rId350" w:history="1">
        <w:r w:rsidRPr="005A464E">
          <w:rPr>
            <w:rStyle w:val="-"/>
            <w:rFonts w:asciiTheme="minorHAnsi" w:hAnsiTheme="minorHAnsi" w:cstheme="minorHAnsi"/>
            <w:color w:val="auto"/>
            <w:u w:val="none"/>
            <w:shd w:val="clear" w:color="auto" w:fill="FFFFFF"/>
            <w:lang w:val="en-US"/>
          </w:rPr>
          <w:t>http://dx.</w:t>
        </w:r>
        <w:r w:rsidR="00292B29" w:rsidRPr="005A464E">
          <w:rPr>
            <w:rStyle w:val="-"/>
            <w:rFonts w:asciiTheme="minorHAnsi" w:hAnsiTheme="minorHAnsi" w:cstheme="minorHAnsi"/>
            <w:color w:val="auto"/>
            <w:u w:val="none"/>
            <w:shd w:val="clear" w:color="auto" w:fill="FFFFFF"/>
            <w:lang w:val="en-US"/>
          </w:rPr>
          <w:t>DOI</w:t>
        </w:r>
        <w:r w:rsidRPr="005A464E">
          <w:rPr>
            <w:rStyle w:val="-"/>
            <w:rFonts w:asciiTheme="minorHAnsi" w:hAnsiTheme="minorHAnsi" w:cstheme="minorHAnsi"/>
            <w:color w:val="auto"/>
            <w:u w:val="none"/>
            <w:shd w:val="clear" w:color="auto" w:fill="FFFFFF"/>
            <w:lang w:val="en-US"/>
          </w:rPr>
          <w:t>.org/10.1046/j.1523-1755.2003.00064.x</w:t>
        </w:r>
      </w:hyperlink>
      <w:r w:rsidR="00AA5F97"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shd w:val="clear" w:color="auto" w:fill="FFFFFF"/>
          <w:lang w:val="en-US"/>
        </w:rPr>
        <w:t>Saran, R., Canaud, B., Depner, T., Keen, M., McCullough, K., Marshall, M.</w:t>
      </w:r>
      <w:r w:rsidR="00AA5F97" w:rsidRPr="005A464E">
        <w:rPr>
          <w:rFonts w:asciiTheme="minorHAnsi" w:hAnsiTheme="minorHAnsi" w:cstheme="minorHAnsi"/>
          <w:shd w:val="clear" w:color="auto" w:fill="FFFFFF"/>
          <w:lang w:val="en-US"/>
        </w:rPr>
        <w:t>, &amp; Port, F.K.</w:t>
      </w:r>
      <w:r w:rsidRPr="005A464E">
        <w:rPr>
          <w:rFonts w:asciiTheme="minorHAnsi" w:hAnsiTheme="minorHAnsi" w:cstheme="minorHAnsi"/>
          <w:shd w:val="clear" w:color="auto" w:fill="FFFFFF"/>
          <w:lang w:val="en-US"/>
        </w:rPr>
        <w:t xml:space="preserve"> (2004). Dose of dialysis: Key lessons from major observational studies and clinical trials.</w:t>
      </w:r>
      <w:r w:rsidRPr="005A464E">
        <w:rPr>
          <w:rStyle w:val="apple-converted-space"/>
          <w:rFonts w:asciiTheme="minorHAnsi" w:hAnsiTheme="minorHAnsi" w:cstheme="minorHAnsi"/>
          <w:shd w:val="clear" w:color="auto" w:fill="FFFFFF"/>
          <w:lang w:val="en-US"/>
        </w:rPr>
        <w:t> </w:t>
      </w:r>
      <w:r w:rsidR="00AA5F97" w:rsidRPr="005A464E">
        <w:rPr>
          <w:rFonts w:asciiTheme="minorHAnsi" w:hAnsiTheme="minorHAnsi" w:cstheme="minorHAnsi"/>
          <w:i/>
          <w:iCs/>
          <w:shd w:val="clear" w:color="auto" w:fill="FFFFFF"/>
          <w:lang w:val="en-US"/>
        </w:rPr>
        <w:t>American Journal o</w:t>
      </w:r>
      <w:r w:rsidRPr="005A464E">
        <w:rPr>
          <w:rFonts w:asciiTheme="minorHAnsi" w:hAnsiTheme="minorHAnsi" w:cstheme="minorHAnsi"/>
          <w:i/>
          <w:iCs/>
          <w:shd w:val="clear" w:color="auto" w:fill="FFFFFF"/>
          <w:lang w:val="en-US"/>
        </w:rPr>
        <w:t>f Kidney Diseases</w:t>
      </w:r>
      <w:r w:rsidRPr="005A464E">
        <w:rPr>
          <w:rFonts w:asciiTheme="minorHAnsi" w:hAnsiTheme="minorHAnsi" w:cstheme="minorHAnsi"/>
          <w:shd w:val="clear" w:color="auto" w:fill="FFFFFF"/>
          <w:lang w:val="en-US"/>
        </w:rPr>
        <w:t>,</w:t>
      </w:r>
      <w:r w:rsidRPr="005A464E">
        <w:rPr>
          <w:rStyle w:val="apple-converted-space"/>
          <w:rFonts w:asciiTheme="minorHAnsi" w:hAnsiTheme="minorHAnsi" w:cstheme="minorHAnsi"/>
          <w:shd w:val="clear" w:color="auto" w:fill="FFFFFF"/>
          <w:lang w:val="en-US"/>
        </w:rPr>
        <w:t> </w:t>
      </w:r>
      <w:r w:rsidRPr="005A464E">
        <w:rPr>
          <w:rFonts w:asciiTheme="minorHAnsi" w:hAnsiTheme="minorHAnsi" w:cstheme="minorHAnsi"/>
          <w:i/>
          <w:iCs/>
          <w:shd w:val="clear" w:color="auto" w:fill="FFFFFF"/>
          <w:lang w:val="en-US"/>
        </w:rPr>
        <w:t>44</w:t>
      </w:r>
      <w:r w:rsidRPr="005A464E">
        <w:rPr>
          <w:rFonts w:asciiTheme="minorHAnsi" w:hAnsiTheme="minorHAnsi" w:cstheme="minorHAnsi"/>
          <w:shd w:val="clear" w:color="auto" w:fill="FFFFFF"/>
          <w:lang w:val="en-US"/>
        </w:rPr>
        <w:t xml:space="preserve"> 47-53. </w:t>
      </w:r>
      <w:hyperlink r:id="rId351" w:history="1">
        <w:r w:rsidRPr="005A464E">
          <w:rPr>
            <w:rStyle w:val="-"/>
            <w:rFonts w:asciiTheme="minorHAnsi" w:hAnsiTheme="minorHAnsi" w:cstheme="minorHAnsi"/>
            <w:color w:val="auto"/>
            <w:u w:val="none"/>
            <w:shd w:val="clear" w:color="auto" w:fill="FFFFFF"/>
            <w:lang w:val="en-US"/>
          </w:rPr>
          <w:t>http://dx.</w:t>
        </w:r>
        <w:r w:rsidR="00292B29" w:rsidRPr="005A464E">
          <w:rPr>
            <w:rStyle w:val="-"/>
            <w:rFonts w:asciiTheme="minorHAnsi" w:hAnsiTheme="minorHAnsi" w:cstheme="minorHAnsi"/>
            <w:color w:val="auto"/>
            <w:u w:val="none"/>
            <w:shd w:val="clear" w:color="auto" w:fill="FFFFFF"/>
            <w:lang w:val="en-US"/>
          </w:rPr>
          <w:t>DOI</w:t>
        </w:r>
        <w:r w:rsidRPr="005A464E">
          <w:rPr>
            <w:rStyle w:val="-"/>
            <w:rFonts w:asciiTheme="minorHAnsi" w:hAnsiTheme="minorHAnsi" w:cstheme="minorHAnsi"/>
            <w:color w:val="auto"/>
            <w:u w:val="none"/>
            <w:shd w:val="clear" w:color="auto" w:fill="FFFFFF"/>
            <w:lang w:val="en-US"/>
          </w:rPr>
          <w:t>.org/10.1053/j.ajkd.2004.08.011</w:t>
        </w:r>
      </w:hyperlink>
      <w:r w:rsidR="00AA5F97"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shd w:val="clear" w:color="auto" w:fill="FFFFFF"/>
          <w:lang w:val="en-US"/>
        </w:rPr>
        <w:t>Sarason, I., Sarason, B</w:t>
      </w:r>
      <w:r w:rsidR="006A01DB" w:rsidRPr="005A464E">
        <w:rPr>
          <w:rFonts w:asciiTheme="minorHAnsi" w:hAnsiTheme="minorHAnsi" w:cstheme="minorHAnsi"/>
          <w:shd w:val="clear" w:color="auto" w:fill="FFFFFF"/>
          <w:lang w:val="en-US"/>
        </w:rPr>
        <w:t>., &amp; Pierce, G. (1990). Social s</w:t>
      </w:r>
      <w:r w:rsidRPr="005A464E">
        <w:rPr>
          <w:rFonts w:asciiTheme="minorHAnsi" w:hAnsiTheme="minorHAnsi" w:cstheme="minorHAnsi"/>
          <w:shd w:val="clear" w:color="auto" w:fill="FFFFFF"/>
          <w:lang w:val="en-US"/>
        </w:rPr>
        <w:t xml:space="preserve">upport: </w:t>
      </w:r>
      <w:r w:rsidR="00F7182C" w:rsidRPr="005A464E">
        <w:rPr>
          <w:rFonts w:asciiTheme="minorHAnsi" w:hAnsiTheme="minorHAnsi" w:cstheme="minorHAnsi"/>
          <w:shd w:val="clear" w:color="auto" w:fill="FFFFFF"/>
          <w:lang w:val="en-US"/>
        </w:rPr>
        <w:t>the search for theor</w:t>
      </w:r>
      <w:r w:rsidRPr="005A464E">
        <w:rPr>
          <w:rFonts w:asciiTheme="minorHAnsi" w:hAnsiTheme="minorHAnsi" w:cstheme="minorHAnsi"/>
          <w:shd w:val="clear" w:color="auto" w:fill="FFFFFF"/>
          <w:lang w:val="en-US"/>
        </w:rPr>
        <w:t>y.</w:t>
      </w:r>
      <w:r w:rsidRPr="005A464E">
        <w:rPr>
          <w:rStyle w:val="apple-converted-space"/>
          <w:rFonts w:asciiTheme="minorHAnsi" w:hAnsiTheme="minorHAnsi" w:cstheme="minorHAnsi"/>
          <w:shd w:val="clear" w:color="auto" w:fill="FFFFFF"/>
          <w:lang w:val="en-US"/>
        </w:rPr>
        <w:t> </w:t>
      </w:r>
      <w:r w:rsidR="00F7182C" w:rsidRPr="005A464E">
        <w:rPr>
          <w:rFonts w:asciiTheme="minorHAnsi" w:hAnsiTheme="minorHAnsi" w:cstheme="minorHAnsi"/>
          <w:i/>
          <w:iCs/>
          <w:shd w:val="clear" w:color="auto" w:fill="FFFFFF"/>
          <w:lang w:val="en-US"/>
        </w:rPr>
        <w:t>Journal of Social a</w:t>
      </w:r>
      <w:r w:rsidRPr="005A464E">
        <w:rPr>
          <w:rFonts w:asciiTheme="minorHAnsi" w:hAnsiTheme="minorHAnsi" w:cstheme="minorHAnsi"/>
          <w:i/>
          <w:iCs/>
          <w:shd w:val="clear" w:color="auto" w:fill="FFFFFF"/>
          <w:lang w:val="en-US"/>
        </w:rPr>
        <w:t>nd Clinical Psychology</w:t>
      </w:r>
      <w:r w:rsidRPr="005A464E">
        <w:rPr>
          <w:rFonts w:asciiTheme="minorHAnsi" w:hAnsiTheme="minorHAnsi" w:cstheme="minorHAnsi"/>
          <w:shd w:val="clear" w:color="auto" w:fill="FFFFFF"/>
          <w:lang w:val="en-US"/>
        </w:rPr>
        <w:t>,</w:t>
      </w:r>
      <w:r w:rsidR="0078495A">
        <w:rPr>
          <w:rStyle w:val="apple-converted-space"/>
          <w:rFonts w:asciiTheme="minorHAnsi" w:hAnsiTheme="minorHAnsi" w:cstheme="minorHAnsi"/>
          <w:shd w:val="clear" w:color="auto" w:fill="FFFFFF"/>
          <w:lang w:val="en-US"/>
        </w:rPr>
        <w:t xml:space="preserve"> </w:t>
      </w:r>
      <w:r w:rsidRPr="00440627">
        <w:rPr>
          <w:rFonts w:asciiTheme="minorHAnsi" w:hAnsiTheme="minorHAnsi" w:cstheme="minorHAnsi"/>
          <w:i/>
          <w:iCs/>
          <w:shd w:val="clear" w:color="auto" w:fill="FFFFFF"/>
          <w:lang w:val="en-US"/>
        </w:rPr>
        <w:t>9</w:t>
      </w:r>
      <w:r w:rsidRPr="00440627">
        <w:rPr>
          <w:rFonts w:asciiTheme="minorHAnsi" w:hAnsiTheme="minorHAnsi" w:cstheme="minorHAnsi"/>
          <w:i/>
          <w:shd w:val="clear" w:color="auto" w:fill="FFFFFF"/>
          <w:lang w:val="en-US"/>
        </w:rPr>
        <w:t>,</w:t>
      </w:r>
      <w:r w:rsidRPr="005A464E">
        <w:rPr>
          <w:rFonts w:asciiTheme="minorHAnsi" w:hAnsiTheme="minorHAnsi" w:cstheme="minorHAnsi"/>
          <w:shd w:val="clear" w:color="auto" w:fill="FFFFFF"/>
          <w:lang w:val="en-US"/>
        </w:rPr>
        <w:t xml:space="preserve"> 133-147. </w:t>
      </w:r>
      <w:hyperlink r:id="rId352" w:history="1">
        <w:r w:rsidRPr="005A464E">
          <w:rPr>
            <w:rStyle w:val="-"/>
            <w:rFonts w:asciiTheme="minorHAnsi" w:hAnsiTheme="minorHAnsi" w:cstheme="minorHAnsi"/>
            <w:color w:val="auto"/>
            <w:u w:val="none"/>
            <w:shd w:val="clear" w:color="auto" w:fill="FFFFFF"/>
            <w:lang w:val="en-US"/>
          </w:rPr>
          <w:t>http://dx.</w:t>
        </w:r>
        <w:r w:rsidR="00292B29" w:rsidRPr="005A464E">
          <w:rPr>
            <w:rStyle w:val="-"/>
            <w:rFonts w:asciiTheme="minorHAnsi" w:hAnsiTheme="minorHAnsi" w:cstheme="minorHAnsi"/>
            <w:color w:val="auto"/>
            <w:u w:val="none"/>
            <w:shd w:val="clear" w:color="auto" w:fill="FFFFFF"/>
            <w:lang w:val="en-US"/>
          </w:rPr>
          <w:t>DOI</w:t>
        </w:r>
        <w:r w:rsidRPr="005A464E">
          <w:rPr>
            <w:rStyle w:val="-"/>
            <w:rFonts w:asciiTheme="minorHAnsi" w:hAnsiTheme="minorHAnsi" w:cstheme="minorHAnsi"/>
            <w:color w:val="auto"/>
            <w:u w:val="none"/>
            <w:shd w:val="clear" w:color="auto" w:fill="FFFFFF"/>
            <w:lang w:val="en-US"/>
          </w:rPr>
          <w:t>.org/10.1521/jscp.1990.9.1.133</w:t>
        </w:r>
      </w:hyperlink>
      <w:r w:rsidR="006A01DB"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Schneitman-McIbntyre, O. (1996). Medication misadventures resulting in emergency department visits at an HMO medical center. </w:t>
      </w:r>
      <w:r w:rsidRPr="005A464E">
        <w:rPr>
          <w:rFonts w:asciiTheme="minorHAnsi" w:hAnsiTheme="minorHAnsi" w:cstheme="minorHAnsi"/>
          <w:i/>
          <w:lang w:val="en-US"/>
        </w:rPr>
        <w:t>American Journal of Health System Pharmacy,</w:t>
      </w:r>
      <w:r w:rsidR="00440627">
        <w:rPr>
          <w:rFonts w:asciiTheme="minorHAnsi" w:hAnsiTheme="minorHAnsi" w:cstheme="minorHAnsi"/>
          <w:lang w:val="en-US"/>
        </w:rPr>
        <w:t xml:space="preserve"> </w:t>
      </w:r>
      <w:r w:rsidR="00440627" w:rsidRPr="00440627">
        <w:rPr>
          <w:rFonts w:asciiTheme="minorHAnsi" w:hAnsiTheme="minorHAnsi" w:cstheme="minorHAnsi"/>
          <w:i/>
          <w:lang w:val="en-US"/>
        </w:rPr>
        <w:t>53,</w:t>
      </w:r>
      <w:r w:rsidRPr="005A464E">
        <w:rPr>
          <w:rFonts w:asciiTheme="minorHAnsi" w:hAnsiTheme="minorHAnsi" w:cstheme="minorHAnsi"/>
          <w:lang w:val="en-US"/>
        </w:rPr>
        <w:t>1416-1422.</w:t>
      </w:r>
    </w:p>
    <w:p w:rsidR="003C410F" w:rsidRPr="005A464E"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shd w:val="clear" w:color="auto" w:fill="FFFFFF"/>
          <w:lang w:val="en-US"/>
        </w:rPr>
        <w:t>Schoenthaler, A., Chaplin, W., Allegrante, J., Fernandez, S., Diaz-Gloster, M., Tobin, J., &amp; Ogedegbe, G. (2009). Provider communication effects medication adherence in hypertensive African Americans.</w:t>
      </w:r>
      <w:r w:rsidRPr="005A464E">
        <w:rPr>
          <w:rStyle w:val="apple-converted-space"/>
          <w:rFonts w:asciiTheme="minorHAnsi" w:hAnsiTheme="minorHAnsi" w:cstheme="minorHAnsi"/>
          <w:shd w:val="clear" w:color="auto" w:fill="FFFFFF"/>
          <w:lang w:val="en-US"/>
        </w:rPr>
        <w:t> </w:t>
      </w:r>
      <w:r w:rsidRPr="005A464E">
        <w:rPr>
          <w:rFonts w:asciiTheme="minorHAnsi" w:hAnsiTheme="minorHAnsi" w:cstheme="minorHAnsi"/>
          <w:i/>
          <w:iCs/>
          <w:shd w:val="clear" w:color="auto" w:fill="FFFFFF"/>
          <w:lang w:val="en-US"/>
        </w:rPr>
        <w:t xml:space="preserve">Patient Education </w:t>
      </w:r>
      <w:r w:rsidR="00F7182C" w:rsidRPr="005A464E">
        <w:rPr>
          <w:rFonts w:asciiTheme="minorHAnsi" w:hAnsiTheme="minorHAnsi" w:cstheme="minorHAnsi"/>
          <w:i/>
          <w:iCs/>
          <w:shd w:val="clear" w:color="auto" w:fill="FFFFFF"/>
          <w:lang w:val="en-US"/>
        </w:rPr>
        <w:t>a</w:t>
      </w:r>
      <w:r w:rsidRPr="005A464E">
        <w:rPr>
          <w:rFonts w:asciiTheme="minorHAnsi" w:hAnsiTheme="minorHAnsi" w:cstheme="minorHAnsi"/>
          <w:i/>
          <w:iCs/>
          <w:shd w:val="clear" w:color="auto" w:fill="FFFFFF"/>
          <w:lang w:val="en-US"/>
        </w:rPr>
        <w:t>nd Counseling</w:t>
      </w:r>
      <w:r w:rsidRPr="005A464E">
        <w:rPr>
          <w:rFonts w:asciiTheme="minorHAnsi" w:hAnsiTheme="minorHAnsi" w:cstheme="minorHAnsi"/>
          <w:shd w:val="clear" w:color="auto" w:fill="FFFFFF"/>
          <w:lang w:val="en-US"/>
        </w:rPr>
        <w:t>,</w:t>
      </w:r>
      <w:r w:rsidRPr="005A464E">
        <w:rPr>
          <w:rStyle w:val="apple-converted-space"/>
          <w:rFonts w:asciiTheme="minorHAnsi" w:hAnsiTheme="minorHAnsi" w:cstheme="minorHAnsi"/>
          <w:shd w:val="clear" w:color="auto" w:fill="FFFFFF"/>
          <w:lang w:val="en-US"/>
        </w:rPr>
        <w:t> </w:t>
      </w:r>
      <w:r w:rsidRPr="005A464E">
        <w:rPr>
          <w:rFonts w:asciiTheme="minorHAnsi" w:hAnsiTheme="minorHAnsi" w:cstheme="minorHAnsi"/>
          <w:i/>
          <w:iCs/>
          <w:shd w:val="clear" w:color="auto" w:fill="FFFFFF"/>
          <w:lang w:val="en-US"/>
        </w:rPr>
        <w:t>75</w:t>
      </w:r>
      <w:r w:rsidRPr="005A464E">
        <w:rPr>
          <w:rFonts w:asciiTheme="minorHAnsi" w:hAnsiTheme="minorHAnsi" w:cstheme="minorHAnsi"/>
          <w:shd w:val="clear" w:color="auto" w:fill="FFFFFF"/>
          <w:lang w:val="en-US"/>
        </w:rPr>
        <w:t xml:space="preserve">, 185-191. </w:t>
      </w:r>
      <w:hyperlink r:id="rId353" w:history="1">
        <w:r w:rsidRPr="005A464E">
          <w:rPr>
            <w:rStyle w:val="-"/>
            <w:rFonts w:asciiTheme="minorHAnsi" w:hAnsiTheme="minorHAnsi" w:cstheme="minorHAnsi"/>
            <w:color w:val="auto"/>
            <w:u w:val="none"/>
            <w:shd w:val="clear" w:color="auto" w:fill="FFFFFF"/>
            <w:lang w:val="en-US"/>
          </w:rPr>
          <w:t>http://dx.</w:t>
        </w:r>
        <w:r w:rsidR="00292B29" w:rsidRPr="005A464E">
          <w:rPr>
            <w:rStyle w:val="-"/>
            <w:rFonts w:asciiTheme="minorHAnsi" w:hAnsiTheme="minorHAnsi" w:cstheme="minorHAnsi"/>
            <w:color w:val="auto"/>
            <w:u w:val="none"/>
            <w:shd w:val="clear" w:color="auto" w:fill="FFFFFF"/>
            <w:lang w:val="en-US"/>
          </w:rPr>
          <w:t>DOI</w:t>
        </w:r>
        <w:r w:rsidRPr="005A464E">
          <w:rPr>
            <w:rStyle w:val="-"/>
            <w:rFonts w:asciiTheme="minorHAnsi" w:hAnsiTheme="minorHAnsi" w:cstheme="minorHAnsi"/>
            <w:color w:val="auto"/>
            <w:u w:val="none"/>
            <w:shd w:val="clear" w:color="auto" w:fill="FFFFFF"/>
            <w:lang w:val="en-US"/>
          </w:rPr>
          <w:t>.org/10.1016/j.pec.2008.09.018</w:t>
        </w:r>
      </w:hyperlink>
      <w:r w:rsidR="006A01DB"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hAnsiTheme="minorHAnsi" w:cstheme="minorHAnsi"/>
          <w:shd w:val="clear" w:color="auto" w:fill="FFFFFF"/>
          <w:lang w:val="en-US"/>
        </w:rPr>
        <w:t xml:space="preserve">Sensky, T., Leger, C., &amp; Gilmour, S. (1996). Psychosocial and cognitive factors associated with adherence to dietary and fluid restriction regimens by people on </w:t>
      </w:r>
      <w:r w:rsidR="006A01DB" w:rsidRPr="005A464E">
        <w:rPr>
          <w:rFonts w:asciiTheme="minorHAnsi" w:hAnsiTheme="minorHAnsi" w:cstheme="minorHAnsi"/>
          <w:shd w:val="clear" w:color="auto" w:fill="FFFFFF"/>
          <w:lang w:val="en-US"/>
        </w:rPr>
        <w:t xml:space="preserve">chronic </w:t>
      </w:r>
      <w:r w:rsidRPr="005A464E">
        <w:rPr>
          <w:rFonts w:asciiTheme="minorHAnsi" w:hAnsiTheme="minorHAnsi" w:cstheme="minorHAnsi"/>
          <w:shd w:val="clear" w:color="auto" w:fill="FFFFFF"/>
          <w:lang w:val="en-US"/>
        </w:rPr>
        <w:t>haemodialysis.</w:t>
      </w:r>
      <w:r w:rsidRPr="005A464E">
        <w:rPr>
          <w:rStyle w:val="apple-converted-space"/>
          <w:rFonts w:asciiTheme="minorHAnsi" w:hAnsiTheme="minorHAnsi" w:cstheme="minorHAnsi"/>
          <w:shd w:val="clear" w:color="auto" w:fill="FFFFFF"/>
          <w:lang w:val="en-US"/>
        </w:rPr>
        <w:t> </w:t>
      </w:r>
      <w:r w:rsidR="00F7182C" w:rsidRPr="005A464E">
        <w:rPr>
          <w:rFonts w:asciiTheme="minorHAnsi" w:hAnsiTheme="minorHAnsi" w:cstheme="minorHAnsi"/>
          <w:i/>
          <w:iCs/>
          <w:shd w:val="clear" w:color="auto" w:fill="FFFFFF"/>
          <w:lang w:val="en-US"/>
        </w:rPr>
        <w:t>Psychotherapy a</w:t>
      </w:r>
      <w:r w:rsidRPr="005A464E">
        <w:rPr>
          <w:rFonts w:asciiTheme="minorHAnsi" w:hAnsiTheme="minorHAnsi" w:cstheme="minorHAnsi"/>
          <w:i/>
          <w:iCs/>
          <w:shd w:val="clear" w:color="auto" w:fill="FFFFFF"/>
          <w:lang w:val="en-US"/>
        </w:rPr>
        <w:t>nd Psychosomatics</w:t>
      </w:r>
      <w:r w:rsidRPr="005A464E">
        <w:rPr>
          <w:rFonts w:asciiTheme="minorHAnsi" w:hAnsiTheme="minorHAnsi" w:cstheme="minorHAnsi"/>
          <w:shd w:val="clear" w:color="auto" w:fill="FFFFFF"/>
          <w:lang w:val="en-US"/>
        </w:rPr>
        <w:t>,</w:t>
      </w:r>
      <w:r w:rsidRPr="005A464E">
        <w:rPr>
          <w:rStyle w:val="apple-converted-space"/>
          <w:rFonts w:asciiTheme="minorHAnsi" w:hAnsiTheme="minorHAnsi" w:cstheme="minorHAnsi"/>
          <w:shd w:val="clear" w:color="auto" w:fill="FFFFFF"/>
          <w:lang w:val="en-US"/>
        </w:rPr>
        <w:t> </w:t>
      </w:r>
      <w:r w:rsidRPr="00440627">
        <w:rPr>
          <w:rFonts w:asciiTheme="minorHAnsi" w:hAnsiTheme="minorHAnsi" w:cstheme="minorHAnsi"/>
          <w:i/>
          <w:iCs/>
          <w:shd w:val="clear" w:color="auto" w:fill="FFFFFF"/>
          <w:lang w:val="en-US"/>
        </w:rPr>
        <w:t>65</w:t>
      </w:r>
      <w:r w:rsidRPr="00440627">
        <w:rPr>
          <w:rFonts w:asciiTheme="minorHAnsi" w:hAnsiTheme="minorHAnsi" w:cstheme="minorHAnsi"/>
          <w:i/>
          <w:shd w:val="clear" w:color="auto" w:fill="FFFFFF"/>
          <w:lang w:val="en-US"/>
        </w:rPr>
        <w:t>,</w:t>
      </w:r>
      <w:r w:rsidR="006A01DB" w:rsidRPr="005A464E">
        <w:rPr>
          <w:rFonts w:asciiTheme="minorHAnsi" w:hAnsiTheme="minorHAnsi" w:cstheme="minorHAnsi"/>
          <w:shd w:val="clear" w:color="auto" w:fill="FFFFFF"/>
          <w:lang w:val="en-US"/>
        </w:rPr>
        <w:t xml:space="preserve"> </w:t>
      </w:r>
      <w:r w:rsidRPr="005A464E">
        <w:rPr>
          <w:rFonts w:asciiTheme="minorHAnsi" w:hAnsiTheme="minorHAnsi" w:cstheme="minorHAnsi"/>
          <w:shd w:val="clear" w:color="auto" w:fill="FFFFFF"/>
          <w:lang w:val="en-US"/>
        </w:rPr>
        <w:t>36-42. http://dx.</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.org/10.1159/000289029</w:t>
      </w:r>
      <w:r w:rsidR="006A01DB" w:rsidRPr="005A464E">
        <w:rPr>
          <w:rFonts w:asciiTheme="minorHAnsi" w:eastAsia="Times New Roman" w:hAnsiTheme="minorHAnsi" w:cstheme="minorHAnsi"/>
          <w:lang w:val="en-US" w:eastAsia="el-GR"/>
        </w:rPr>
        <w:t>.</w:t>
      </w:r>
    </w:p>
    <w:p w:rsidR="003C410F" w:rsidRPr="005A464E"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shd w:val="clear" w:color="auto" w:fill="FFFFFF"/>
          <w:lang w:val="en-US"/>
        </w:rPr>
        <w:t xml:space="preserve">Shaldon, S. (1968). </w:t>
      </w:r>
      <w:r w:rsidRPr="005A464E">
        <w:rPr>
          <w:rFonts w:asciiTheme="minorHAnsi" w:eastAsia="Times New Roman" w:hAnsiTheme="minorHAnsi" w:cstheme="minorHAnsi"/>
          <w:kern w:val="36"/>
          <w:lang w:val="en-US" w:eastAsia="el-GR"/>
        </w:rPr>
        <w:t xml:space="preserve">Brescia-Cimino </w:t>
      </w:r>
      <w:r w:rsidR="00F7182C" w:rsidRPr="005A464E">
        <w:rPr>
          <w:rFonts w:asciiTheme="minorHAnsi" w:eastAsia="Times New Roman" w:hAnsiTheme="minorHAnsi" w:cstheme="minorHAnsi"/>
          <w:kern w:val="36"/>
          <w:lang w:val="en-US" w:eastAsia="el-GR"/>
        </w:rPr>
        <w:t>shunts for dialysis</w:t>
      </w:r>
      <w:r w:rsidRPr="005A464E">
        <w:rPr>
          <w:rFonts w:asciiTheme="minorHAnsi" w:eastAsia="Times New Roman" w:hAnsiTheme="minorHAnsi" w:cstheme="minorHAnsi"/>
          <w:kern w:val="36"/>
          <w:lang w:val="en-US" w:eastAsia="el-GR"/>
        </w:rPr>
        <w:t xml:space="preserve">. </w:t>
      </w:r>
      <w:r w:rsidRPr="005A464E">
        <w:rPr>
          <w:rFonts w:asciiTheme="minorHAnsi" w:hAnsiTheme="minorHAnsi" w:cstheme="minorHAnsi"/>
          <w:i/>
          <w:shd w:val="clear" w:color="auto" w:fill="FFFFFF"/>
          <w:lang w:val="en-US"/>
        </w:rPr>
        <w:t>British Medical Journal</w:t>
      </w:r>
      <w:r w:rsidRPr="00440627">
        <w:rPr>
          <w:rFonts w:asciiTheme="minorHAnsi" w:hAnsiTheme="minorHAnsi" w:cstheme="minorHAnsi"/>
          <w:i/>
          <w:shd w:val="clear" w:color="auto" w:fill="FFFFFF"/>
          <w:lang w:val="en-US"/>
        </w:rPr>
        <w:t>,</w:t>
      </w:r>
      <w:r w:rsidRPr="00440627">
        <w:rPr>
          <w:rStyle w:val="apple-converted-space"/>
          <w:rFonts w:asciiTheme="minorHAnsi" w:hAnsiTheme="minorHAnsi" w:cstheme="minorHAnsi"/>
          <w:i/>
          <w:shd w:val="clear" w:color="auto" w:fill="FFFFFF"/>
          <w:lang w:val="en-US"/>
        </w:rPr>
        <w:t> </w:t>
      </w:r>
      <w:r w:rsidR="00440627" w:rsidRPr="00440627">
        <w:rPr>
          <w:rFonts w:asciiTheme="minorHAnsi" w:hAnsiTheme="minorHAnsi" w:cstheme="minorHAnsi"/>
          <w:i/>
          <w:shd w:val="clear" w:color="auto" w:fill="FFFFFF"/>
          <w:lang w:val="en-US"/>
        </w:rPr>
        <w:t>4</w:t>
      </w:r>
      <w:r w:rsidR="006A01DB" w:rsidRPr="00440627">
        <w:rPr>
          <w:rFonts w:asciiTheme="minorHAnsi" w:hAnsiTheme="minorHAnsi" w:cstheme="minorHAnsi"/>
          <w:i/>
          <w:shd w:val="clear" w:color="auto" w:fill="FFFFFF"/>
          <w:lang w:val="en-US"/>
        </w:rPr>
        <w:t>,</w:t>
      </w:r>
      <w:r w:rsidR="00440627">
        <w:rPr>
          <w:rFonts w:asciiTheme="minorHAnsi" w:hAnsiTheme="minorHAnsi" w:cstheme="minorHAnsi"/>
          <w:i/>
          <w:shd w:val="clear" w:color="auto" w:fill="FFFFFF"/>
          <w:lang w:val="en-US"/>
        </w:rPr>
        <w:t xml:space="preserve"> </w:t>
      </w:r>
      <w:r w:rsidRPr="005A464E">
        <w:rPr>
          <w:rFonts w:asciiTheme="minorHAnsi" w:hAnsiTheme="minorHAnsi" w:cstheme="minorHAnsi"/>
          <w:shd w:val="clear" w:color="auto" w:fill="FFFFFF"/>
          <w:lang w:val="en-US"/>
        </w:rPr>
        <w:t>774</w:t>
      </w:r>
      <w:r w:rsidR="006A01DB" w:rsidRPr="005A464E">
        <w:rPr>
          <w:rFonts w:asciiTheme="minorHAnsi" w:hAnsiTheme="minorHAnsi" w:cstheme="minorHAnsi"/>
          <w:shd w:val="clear" w:color="auto" w:fill="FFFFFF"/>
          <w:lang w:val="en-US"/>
        </w:rPr>
        <w:t>.</w:t>
      </w:r>
    </w:p>
    <w:p w:rsidR="003C410F" w:rsidRPr="005A464E" w:rsidRDefault="008F3609" w:rsidP="005A464E">
      <w:pPr>
        <w:pStyle w:val="Web"/>
        <w:spacing w:after="166" w:line="360" w:lineRule="auto"/>
        <w:ind w:left="415" w:hanging="415"/>
        <w:jc w:val="both"/>
        <w:rPr>
          <w:rFonts w:asciiTheme="minorHAnsi" w:eastAsia="Times New Roman" w:hAnsiTheme="minorHAnsi" w:cstheme="minorHAnsi"/>
          <w:lang w:val="en-US" w:eastAsia="el-GR"/>
        </w:rPr>
      </w:pPr>
      <w:hyperlink r:id="rId354" w:history="1">
        <w:bookmarkStart w:id="94" w:name="_Toc461315096"/>
        <w:bookmarkStart w:id="95" w:name="_Toc462593234"/>
        <w:bookmarkStart w:id="96" w:name="_Toc468045213"/>
        <w:bookmarkStart w:id="97" w:name="_Toc478059818"/>
        <w:bookmarkStart w:id="98" w:name="_Toc478060915"/>
        <w:r w:rsidR="003C410F" w:rsidRPr="005A464E">
          <w:rPr>
            <w:rFonts w:asciiTheme="minorHAnsi" w:eastAsia="Times New Roman" w:hAnsiTheme="minorHAnsi" w:cstheme="minorHAnsi"/>
            <w:lang w:val="en-US" w:eastAsia="el-GR"/>
          </w:rPr>
          <w:t>Shi, Y.X</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355" w:history="1">
        <w:r w:rsidR="003C410F" w:rsidRPr="005A464E">
          <w:rPr>
            <w:rFonts w:asciiTheme="minorHAnsi" w:eastAsia="Times New Roman" w:hAnsiTheme="minorHAnsi" w:cstheme="minorHAnsi"/>
            <w:lang w:val="en-US" w:eastAsia="el-GR"/>
          </w:rPr>
          <w:t>Fan, X.Y</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356" w:history="1">
        <w:r w:rsidR="003C410F" w:rsidRPr="005A464E">
          <w:rPr>
            <w:rFonts w:asciiTheme="minorHAnsi" w:eastAsia="Times New Roman" w:hAnsiTheme="minorHAnsi" w:cstheme="minorHAnsi"/>
            <w:lang w:val="en-US" w:eastAsia="el-GR"/>
          </w:rPr>
          <w:t>Han, H.J</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357" w:history="1">
        <w:r w:rsidR="003C410F" w:rsidRPr="005A464E">
          <w:rPr>
            <w:rFonts w:asciiTheme="minorHAnsi" w:eastAsia="Times New Roman" w:hAnsiTheme="minorHAnsi" w:cstheme="minorHAnsi"/>
            <w:lang w:val="en-US" w:eastAsia="el-GR"/>
          </w:rPr>
          <w:t>Wu, Q.X</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358" w:history="1">
        <w:r w:rsidR="003C410F" w:rsidRPr="005A464E">
          <w:rPr>
            <w:rFonts w:asciiTheme="minorHAnsi" w:eastAsia="Times New Roman" w:hAnsiTheme="minorHAnsi" w:cstheme="minorHAnsi"/>
            <w:lang w:val="en-US" w:eastAsia="el-GR"/>
          </w:rPr>
          <w:t>Di, H.J</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359" w:history="1">
        <w:r w:rsidR="003C410F" w:rsidRPr="005A464E">
          <w:rPr>
            <w:rFonts w:asciiTheme="minorHAnsi" w:eastAsia="Times New Roman" w:hAnsiTheme="minorHAnsi" w:cstheme="minorHAnsi"/>
            <w:lang w:val="en-US" w:eastAsia="el-GR"/>
          </w:rPr>
          <w:t>Hou, Y.H</w:t>
        </w:r>
      </w:hyperlink>
      <w:r w:rsidR="003C410F" w:rsidRPr="005A464E">
        <w:rPr>
          <w:rFonts w:asciiTheme="minorHAnsi" w:hAnsiTheme="minorHAnsi" w:cstheme="minorHAnsi"/>
          <w:lang w:val="en-US"/>
        </w:rPr>
        <w:t>.</w:t>
      </w:r>
      <w:r w:rsidR="006A01DB" w:rsidRPr="005A464E">
        <w:rPr>
          <w:rFonts w:asciiTheme="minorHAnsi" w:eastAsia="Times New Roman" w:hAnsiTheme="minorHAnsi" w:cstheme="minorHAnsi"/>
          <w:lang w:val="en-US" w:eastAsia="el-GR"/>
        </w:rPr>
        <w:t>, &amp; Zhao, Y. (</w:t>
      </w:r>
      <w:r w:rsidR="003C410F" w:rsidRPr="005A464E">
        <w:rPr>
          <w:rFonts w:asciiTheme="minorHAnsi" w:eastAsia="Times New Roman" w:hAnsiTheme="minorHAnsi" w:cstheme="minorHAnsi"/>
          <w:lang w:val="en-US" w:eastAsia="el-GR"/>
        </w:rPr>
        <w:t>2013).</w:t>
      </w:r>
      <w:r w:rsidR="003C410F" w:rsidRPr="005A464E">
        <w:rPr>
          <w:rFonts w:asciiTheme="minorHAnsi" w:eastAsia="Times New Roman" w:hAnsiTheme="minorHAnsi" w:cstheme="minorHAnsi"/>
          <w:bCs/>
          <w:kern w:val="36"/>
          <w:lang w:val="en-US" w:eastAsia="el-GR"/>
        </w:rPr>
        <w:t xml:space="preserve"> Effectiveness of a nurse-led intensive educational programme on chronic kidney failure patients with hyperphosphataemia: randomised controlled trial. </w:t>
      </w:r>
      <w:hyperlink r:id="rId360" w:tooltip="Journal of clinical nursing." w:history="1">
        <w:r w:rsidR="003C410F" w:rsidRPr="005A464E">
          <w:rPr>
            <w:rFonts w:asciiTheme="minorHAnsi" w:eastAsia="Times New Roman" w:hAnsiTheme="minorHAnsi" w:cstheme="minorHAnsi"/>
            <w:i/>
            <w:lang w:val="en-US" w:eastAsia="el-GR"/>
          </w:rPr>
          <w:t xml:space="preserve">Journal of Clinical Nursing, </w:t>
        </w:r>
      </w:hyperlink>
      <w:r w:rsidR="00440627">
        <w:rPr>
          <w:rFonts w:asciiTheme="minorHAnsi" w:eastAsia="Times New Roman" w:hAnsiTheme="minorHAnsi" w:cstheme="minorHAnsi"/>
          <w:lang w:val="en-US" w:eastAsia="el-GR"/>
        </w:rPr>
        <w:t> </w:t>
      </w:r>
      <w:r w:rsidR="00440627" w:rsidRPr="00440627">
        <w:rPr>
          <w:rFonts w:asciiTheme="minorHAnsi" w:eastAsia="Times New Roman" w:hAnsiTheme="minorHAnsi" w:cstheme="minorHAnsi"/>
          <w:i/>
          <w:lang w:val="en-US" w:eastAsia="el-GR"/>
        </w:rPr>
        <w:t>22</w:t>
      </w:r>
      <w:r w:rsidR="003C410F" w:rsidRPr="00440627">
        <w:rPr>
          <w:rFonts w:asciiTheme="minorHAnsi" w:eastAsia="Times New Roman" w:hAnsiTheme="minorHAnsi" w:cstheme="minorHAnsi"/>
          <w:i/>
          <w:lang w:val="en-US" w:eastAsia="el-GR"/>
        </w:rPr>
        <w:t>,</w:t>
      </w:r>
      <w:r w:rsidR="003C410F" w:rsidRPr="005A464E">
        <w:rPr>
          <w:rFonts w:asciiTheme="minorHAnsi" w:eastAsia="Times New Roman" w:hAnsiTheme="minorHAnsi" w:cstheme="minorHAnsi"/>
          <w:lang w:val="en-US" w:eastAsia="el-GR"/>
        </w:rPr>
        <w:t xml:space="preserve"> 1189-1197.</w:t>
      </w:r>
      <w:bookmarkEnd w:id="94"/>
      <w:bookmarkEnd w:id="95"/>
      <w:bookmarkEnd w:id="96"/>
      <w:bookmarkEnd w:id="97"/>
      <w:bookmarkEnd w:id="98"/>
      <w:r w:rsidR="003C410F" w:rsidRPr="005A464E">
        <w:rPr>
          <w:rStyle w:val="1Char"/>
          <w:rFonts w:asciiTheme="minorHAnsi" w:eastAsia="Calibri" w:hAnsiTheme="minorHAnsi" w:cstheme="minorHAnsi"/>
          <w:bCs w:val="0"/>
          <w:color w:val="auto"/>
          <w:sz w:val="24"/>
          <w:szCs w:val="24"/>
          <w:bdr w:val="none" w:sz="0" w:space="0" w:color="auto" w:frame="1"/>
          <w:shd w:val="clear" w:color="auto" w:fill="FFFFFF"/>
          <w:lang w:val="en-US"/>
        </w:rPr>
        <w:t xml:space="preserve"> </w:t>
      </w:r>
      <w:r w:rsidR="00292B29" w:rsidRPr="005A464E">
        <w:rPr>
          <w:rStyle w:val="article-headermeta-info-label"/>
          <w:rFonts w:asciiTheme="minorHAnsi" w:hAnsiTheme="minorHAnsi" w:cstheme="minorHAnsi"/>
          <w:bCs/>
          <w:bdr w:val="none" w:sz="0" w:space="0" w:color="auto" w:frame="1"/>
          <w:shd w:val="clear" w:color="auto" w:fill="FFFFFF"/>
          <w:lang w:val="en-US"/>
        </w:rPr>
        <w:t>DOI</w:t>
      </w:r>
      <w:r w:rsidR="003C410F" w:rsidRPr="005A464E">
        <w:rPr>
          <w:rStyle w:val="article-headermeta-info-label"/>
          <w:rFonts w:asciiTheme="minorHAnsi" w:hAnsiTheme="minorHAnsi" w:cstheme="minorHAnsi"/>
          <w:bCs/>
          <w:bdr w:val="none" w:sz="0" w:space="0" w:color="auto" w:frame="1"/>
          <w:shd w:val="clear" w:color="auto" w:fill="FFFFFF"/>
          <w:lang w:val="en-US"/>
        </w:rPr>
        <w:t>:</w:t>
      </w:r>
      <w:r w:rsidR="003C410F" w:rsidRPr="005A464E">
        <w:rPr>
          <w:rStyle w:val="apple-converted-space"/>
          <w:rFonts w:asciiTheme="minorHAnsi" w:hAnsiTheme="minorHAnsi" w:cstheme="minorHAnsi"/>
          <w:bCs/>
          <w:bdr w:val="none" w:sz="0" w:space="0" w:color="auto" w:frame="1"/>
          <w:shd w:val="clear" w:color="auto" w:fill="FFFFFF"/>
          <w:lang w:val="en-US"/>
        </w:rPr>
        <w:t> </w:t>
      </w:r>
      <w:r w:rsidR="003C410F" w:rsidRPr="005A464E">
        <w:rPr>
          <w:rStyle w:val="article-headermeta-info-data"/>
          <w:rFonts w:asciiTheme="minorHAnsi" w:hAnsiTheme="minorHAnsi" w:cstheme="minorHAnsi"/>
          <w:bdr w:val="none" w:sz="0" w:space="0" w:color="auto" w:frame="1"/>
          <w:shd w:val="clear" w:color="auto" w:fill="FFFFFF"/>
          <w:lang w:val="en-US"/>
        </w:rPr>
        <w:t>10.1111/jocn.12159</w:t>
      </w:r>
      <w:r w:rsidR="006A01DB" w:rsidRPr="005A464E">
        <w:rPr>
          <w:rStyle w:val="article-headermeta-info-data"/>
          <w:rFonts w:asciiTheme="minorHAnsi" w:hAnsiTheme="minorHAnsi" w:cstheme="minorHAnsi"/>
          <w:bdr w:val="none" w:sz="0" w:space="0" w:color="auto" w:frame="1"/>
          <w:shd w:val="clear" w:color="auto" w:fill="FFFFFF"/>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Shidler, N.R, Peterson, R.A, &amp; Kimmel, P.L. (1998). Quality of life and psychosocial relationships in patients with chronic renal insufficiency. </w:t>
      </w:r>
      <w:r w:rsidRPr="005A464E">
        <w:rPr>
          <w:rFonts w:asciiTheme="minorHAnsi" w:hAnsiTheme="minorHAnsi" w:cstheme="minorHAnsi"/>
          <w:i/>
          <w:iCs/>
          <w:lang w:val="en-US"/>
        </w:rPr>
        <w:t>American Journal of Kidney Diseases,</w:t>
      </w:r>
      <w:r w:rsidRPr="005A464E">
        <w:rPr>
          <w:rFonts w:asciiTheme="minorHAnsi" w:hAnsiTheme="minorHAnsi" w:cstheme="minorHAnsi"/>
          <w:iCs/>
          <w:lang w:val="en-US"/>
        </w:rPr>
        <w:t xml:space="preserve"> </w:t>
      </w:r>
      <w:r w:rsidRPr="00440627">
        <w:rPr>
          <w:rFonts w:asciiTheme="minorHAnsi" w:hAnsiTheme="minorHAnsi" w:cstheme="minorHAnsi"/>
          <w:i/>
          <w:iCs/>
          <w:lang w:val="en-US"/>
        </w:rPr>
        <w:t>32</w:t>
      </w:r>
      <w:r w:rsidRPr="00440627">
        <w:rPr>
          <w:rFonts w:asciiTheme="minorHAnsi" w:hAnsiTheme="minorHAnsi" w:cstheme="minorHAnsi"/>
          <w:i/>
          <w:lang w:val="en-US"/>
        </w:rPr>
        <w:t>,</w:t>
      </w:r>
      <w:r w:rsidRPr="005A464E">
        <w:rPr>
          <w:rFonts w:asciiTheme="minorHAnsi" w:hAnsiTheme="minorHAnsi" w:cstheme="minorHAnsi"/>
          <w:lang w:val="en-US"/>
        </w:rPr>
        <w:t xml:space="preserve"> 557-566. </w:t>
      </w:r>
      <w:hyperlink r:id="rId361" w:tgtFrame="_blank" w:tooltip="Persistent link using digital object identifier" w:history="1">
        <w:r w:rsidRPr="005A464E">
          <w:rPr>
            <w:rStyle w:val="-"/>
            <w:rFonts w:asciiTheme="minorHAnsi" w:hAnsiTheme="minorHAnsi" w:cstheme="minorHAnsi"/>
            <w:color w:val="auto"/>
            <w:u w:val="none"/>
            <w:lang w:val="en-US"/>
          </w:rPr>
          <w:t>https://</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.org/10.1016/S0272-6386(98)70017-4</w:t>
        </w:r>
      </w:hyperlink>
      <w:r w:rsidR="006A01DB"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iCs/>
          <w:lang w:val="en-US" w:eastAsia="el-GR"/>
        </w:rPr>
      </w:pPr>
      <w:r w:rsidRPr="005A464E">
        <w:rPr>
          <w:rFonts w:asciiTheme="minorHAnsi" w:eastAsia="Times New Roman" w:hAnsiTheme="minorHAnsi" w:cstheme="minorHAnsi"/>
          <w:lang w:val="en-US" w:eastAsia="el-GR"/>
        </w:rPr>
        <w:t xml:space="preserve">Siegal, B. </w:t>
      </w:r>
      <w:r w:rsidR="006A01DB" w:rsidRPr="005A464E">
        <w:rPr>
          <w:rFonts w:asciiTheme="minorHAnsi" w:eastAsia="Times New Roman" w:hAnsiTheme="minorHAnsi" w:cstheme="minorHAnsi"/>
          <w:lang w:val="en-US" w:eastAsia="el-GR"/>
        </w:rPr>
        <w:t>R., Calsyn, R J., &amp; Cuddihee, R.</w:t>
      </w:r>
      <w:r w:rsidRPr="005A464E">
        <w:rPr>
          <w:rFonts w:asciiTheme="minorHAnsi" w:eastAsia="Times New Roman" w:hAnsiTheme="minorHAnsi" w:cstheme="minorHAnsi"/>
          <w:lang w:val="en-US" w:eastAsia="el-GR"/>
        </w:rPr>
        <w:t xml:space="preserve">M. (1987). The relationship of social support to psychological adjustment in end-stage renal disease patients. </w:t>
      </w:r>
      <w:r w:rsidRPr="005A464E">
        <w:rPr>
          <w:rFonts w:asciiTheme="minorHAnsi" w:eastAsia="Times New Roman" w:hAnsiTheme="minorHAnsi" w:cstheme="minorHAnsi"/>
          <w:i/>
          <w:iCs/>
          <w:lang w:val="en-US" w:eastAsia="el-GR"/>
        </w:rPr>
        <w:t>Journal of Chronic Diseases</w:t>
      </w:r>
      <w:r w:rsidR="00440627">
        <w:rPr>
          <w:rFonts w:asciiTheme="minorHAnsi" w:eastAsia="Times New Roman" w:hAnsiTheme="minorHAnsi" w:cstheme="minorHAnsi"/>
          <w:iCs/>
          <w:lang w:val="en-US" w:eastAsia="el-GR"/>
        </w:rPr>
        <w:t xml:space="preserve">, </w:t>
      </w:r>
      <w:r w:rsidR="00440627" w:rsidRPr="00440627">
        <w:rPr>
          <w:rFonts w:asciiTheme="minorHAnsi" w:eastAsia="Times New Roman" w:hAnsiTheme="minorHAnsi" w:cstheme="minorHAnsi"/>
          <w:i/>
          <w:iCs/>
          <w:lang w:val="en-US" w:eastAsia="el-GR"/>
        </w:rPr>
        <w:t>40</w:t>
      </w:r>
      <w:r w:rsidRPr="00440627">
        <w:rPr>
          <w:rFonts w:asciiTheme="minorHAnsi" w:eastAsia="Times New Roman" w:hAnsiTheme="minorHAnsi" w:cstheme="minorHAnsi"/>
          <w:i/>
          <w:iCs/>
          <w:lang w:val="en-US" w:eastAsia="el-GR"/>
        </w:rPr>
        <w:t>,</w:t>
      </w:r>
      <w:r w:rsidRPr="005A464E">
        <w:rPr>
          <w:rFonts w:asciiTheme="minorHAnsi" w:eastAsia="Times New Roman" w:hAnsiTheme="minorHAnsi" w:cstheme="minorHAnsi"/>
          <w:iCs/>
          <w:lang w:val="en-US" w:eastAsia="el-GR"/>
        </w:rPr>
        <w:t xml:space="preserve"> 337-344.</w:t>
      </w:r>
      <w:r w:rsidRPr="005A464E">
        <w:rPr>
          <w:rFonts w:asciiTheme="minorHAnsi" w:hAnsiTheme="minorHAnsi" w:cstheme="minorHAnsi"/>
          <w:lang w:val="en-US"/>
        </w:rPr>
        <w:t xml:space="preserve"> </w:t>
      </w:r>
      <w:hyperlink r:id="rId362" w:tgtFrame="_blank" w:tooltip="Persistent link using digital object identifier" w:history="1">
        <w:r w:rsidRPr="005A464E">
          <w:rPr>
            <w:rStyle w:val="-"/>
            <w:rFonts w:asciiTheme="minorHAnsi" w:hAnsiTheme="minorHAnsi" w:cstheme="minorHAnsi"/>
            <w:color w:val="auto"/>
            <w:u w:val="none"/>
            <w:lang w:val="en-US"/>
          </w:rPr>
          <w:t>https://</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.org/10.1016/0021-9681(87)90049-X</w:t>
        </w:r>
      </w:hyperlink>
      <w:r w:rsidR="006A01DB"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 xml:space="preserve">Sijtsma, K., Emons, W., Bouwmeester, S., Nyklíček, I. &amp; Roord, L. (2008). Nonparametric IRT analysis of Quality-of-Life Scales and its application to the World Health Organization Quality-of-Life Scale (WHOQOL-Bref). </w:t>
      </w:r>
      <w:r w:rsidRPr="005A464E">
        <w:rPr>
          <w:rFonts w:asciiTheme="minorHAnsi" w:hAnsiTheme="minorHAnsi" w:cstheme="minorHAnsi"/>
          <w:i/>
          <w:iCs/>
          <w:lang w:val="en-US"/>
        </w:rPr>
        <w:t>Quality of Life Research Journal,</w:t>
      </w:r>
      <w:r w:rsidRPr="005A464E">
        <w:rPr>
          <w:rFonts w:asciiTheme="minorHAnsi" w:hAnsiTheme="minorHAnsi" w:cstheme="minorHAnsi"/>
          <w:iCs/>
          <w:lang w:val="en-US"/>
        </w:rPr>
        <w:t xml:space="preserve"> </w:t>
      </w:r>
      <w:r w:rsidRPr="00440627">
        <w:rPr>
          <w:rFonts w:asciiTheme="minorHAnsi" w:hAnsiTheme="minorHAnsi" w:cstheme="minorHAnsi"/>
          <w:i/>
          <w:iCs/>
          <w:lang w:val="en-US"/>
        </w:rPr>
        <w:t>17</w:t>
      </w:r>
      <w:r w:rsidRPr="005A464E">
        <w:rPr>
          <w:rFonts w:asciiTheme="minorHAnsi" w:hAnsiTheme="minorHAnsi" w:cstheme="minorHAnsi"/>
          <w:lang w:val="en-US"/>
        </w:rPr>
        <w:t>, 275–290.</w:t>
      </w:r>
      <w:r w:rsidRPr="005A464E">
        <w:rPr>
          <w:rFonts w:asciiTheme="minorHAnsi" w:hAnsiTheme="minorHAnsi" w:cstheme="minorHAnsi"/>
          <w:color w:val="000000"/>
          <w:shd w:val="clear" w:color="auto" w:fill="FFFFFF"/>
          <w:lang w:val="en-US"/>
        </w:rPr>
        <w:t xml:space="preserve"> </w:t>
      </w:r>
      <w:r w:rsidR="00292B29" w:rsidRPr="005A464E">
        <w:rPr>
          <w:rFonts w:asciiTheme="minorHAnsi" w:hAnsiTheme="minorHAnsi" w:cstheme="minorHAnsi"/>
          <w:color w:val="000000"/>
          <w:shd w:val="clear" w:color="auto" w:fill="FFFFFF"/>
          <w:lang w:val="en-US"/>
        </w:rPr>
        <w:t>DOI</w:t>
      </w:r>
      <w:r w:rsidRPr="005A464E">
        <w:rPr>
          <w:rFonts w:asciiTheme="minorHAnsi" w:hAnsiTheme="minorHAnsi" w:cstheme="minorHAnsi"/>
          <w:color w:val="000000"/>
          <w:shd w:val="clear" w:color="auto" w:fill="FFFFFF"/>
          <w:lang w:val="en-US"/>
        </w:rPr>
        <w:t>: 10.1007/s11136-007-9281-6</w:t>
      </w:r>
      <w:r w:rsidR="006A01DB" w:rsidRPr="005A464E">
        <w:rPr>
          <w:rFonts w:asciiTheme="minorHAnsi" w:hAnsiTheme="minorHAnsi" w:cstheme="minorHAnsi"/>
          <w:color w:val="000000"/>
          <w:shd w:val="clear" w:color="auto" w:fill="FFFFFF"/>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iCs/>
          <w:lang w:val="en-US"/>
        </w:rPr>
      </w:pPr>
      <w:r w:rsidRPr="005A464E">
        <w:rPr>
          <w:rFonts w:asciiTheme="minorHAnsi" w:hAnsiTheme="minorHAnsi" w:cstheme="minorHAnsi"/>
          <w:iCs/>
          <w:lang w:val="en-US"/>
        </w:rPr>
        <w:t xml:space="preserve">Simmons, L. (2009). </w:t>
      </w:r>
      <w:r w:rsidRPr="005A464E">
        <w:rPr>
          <w:rFonts w:asciiTheme="minorHAnsi" w:hAnsiTheme="minorHAnsi" w:cstheme="minorHAnsi"/>
          <w:lang w:val="en-US"/>
        </w:rPr>
        <w:t>Dorthea Orem's self care theory as related to nursing practice in hemodialysis.</w:t>
      </w:r>
      <w:r w:rsidRPr="005A464E">
        <w:rPr>
          <w:rFonts w:asciiTheme="minorHAnsi" w:hAnsiTheme="minorHAnsi" w:cstheme="minorHAnsi"/>
          <w:iCs/>
          <w:lang w:val="en-US"/>
        </w:rPr>
        <w:t xml:space="preserve"> </w:t>
      </w:r>
      <w:r w:rsidRPr="005A464E">
        <w:rPr>
          <w:rFonts w:asciiTheme="minorHAnsi" w:hAnsiTheme="minorHAnsi" w:cstheme="minorHAnsi"/>
          <w:i/>
          <w:iCs/>
          <w:lang w:val="en-US"/>
        </w:rPr>
        <w:t>Nephrology Nursing Journal</w:t>
      </w:r>
      <w:r w:rsidR="00440627">
        <w:rPr>
          <w:rFonts w:asciiTheme="minorHAnsi" w:hAnsiTheme="minorHAnsi" w:cstheme="minorHAnsi"/>
          <w:iCs/>
          <w:lang w:val="en-US"/>
        </w:rPr>
        <w:t xml:space="preserve">, </w:t>
      </w:r>
      <w:r w:rsidR="00440627" w:rsidRPr="00440627">
        <w:rPr>
          <w:rFonts w:asciiTheme="minorHAnsi" w:hAnsiTheme="minorHAnsi" w:cstheme="minorHAnsi"/>
          <w:i/>
          <w:iCs/>
          <w:lang w:val="en-US"/>
        </w:rPr>
        <w:t>36</w:t>
      </w:r>
      <w:r w:rsidRPr="00440627">
        <w:rPr>
          <w:rFonts w:asciiTheme="minorHAnsi" w:hAnsiTheme="minorHAnsi" w:cstheme="minorHAnsi"/>
          <w:i/>
          <w:iCs/>
          <w:lang w:val="en-US"/>
        </w:rPr>
        <w:t>,</w:t>
      </w:r>
      <w:r w:rsidRPr="005A464E">
        <w:rPr>
          <w:rFonts w:asciiTheme="minorHAnsi" w:hAnsiTheme="minorHAnsi" w:cstheme="minorHAnsi"/>
          <w:iCs/>
          <w:lang w:val="en-US"/>
        </w:rPr>
        <w:t xml:space="preserve"> 419-421</w:t>
      </w:r>
      <w:r w:rsidR="006A01DB" w:rsidRPr="005A464E">
        <w:rPr>
          <w:rFonts w:asciiTheme="minorHAnsi" w:hAnsiTheme="minorHAnsi" w:cstheme="minorHAnsi"/>
          <w:iCs/>
          <w:lang w:val="en-US"/>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Slinin, Y., Greer, N., Ishani, A., MacDonald, R., Olson, C., Rutks, I., &amp; Wilt, T.J. (2015).</w:t>
      </w:r>
      <w:hyperlink r:id="rId363" w:history="1">
        <w:r w:rsidRPr="005A464E">
          <w:rPr>
            <w:rFonts w:asciiTheme="minorHAnsi" w:eastAsia="Times New Roman" w:hAnsiTheme="minorHAnsi" w:cstheme="minorHAnsi"/>
            <w:lang w:val="en-US" w:eastAsia="el-GR"/>
          </w:rPr>
          <w:t>Timing of dialysis initiation, duration and frequency of hemodialysis sessions, and membrane flux: a systematic review for a </w:t>
        </w:r>
        <w:r w:rsidRPr="005A464E">
          <w:rPr>
            <w:rFonts w:asciiTheme="minorHAnsi" w:eastAsia="Times New Roman" w:hAnsiTheme="minorHAnsi" w:cstheme="minorHAnsi"/>
            <w:bCs/>
            <w:lang w:val="en-US" w:eastAsia="el-GR"/>
          </w:rPr>
          <w:t>KDOQI</w:t>
        </w:r>
        <w:r w:rsidRPr="005A464E">
          <w:rPr>
            <w:rFonts w:asciiTheme="minorHAnsi" w:eastAsia="Times New Roman" w:hAnsiTheme="minorHAnsi" w:cstheme="minorHAnsi"/>
            <w:lang w:val="en-US" w:eastAsia="el-GR"/>
          </w:rPr>
          <w:t> clinical practice guideline.</w:t>
        </w:r>
      </w:hyperlink>
      <w:r w:rsidRPr="005A464E">
        <w:rPr>
          <w:rFonts w:asciiTheme="minorHAnsi" w:hAnsiTheme="minorHAnsi" w:cstheme="minorHAnsi"/>
          <w:lang w:val="en-US"/>
        </w:rPr>
        <w:t xml:space="preserve"> </w:t>
      </w:r>
      <w:r w:rsidRPr="005A464E">
        <w:rPr>
          <w:rFonts w:asciiTheme="minorHAnsi" w:eastAsia="Times New Roman" w:hAnsiTheme="minorHAnsi" w:cstheme="minorHAnsi"/>
          <w:i/>
          <w:lang w:val="en-US" w:eastAsia="el-GR"/>
        </w:rPr>
        <w:t>American Journal of Kidney Diseases</w:t>
      </w:r>
      <w:r w:rsidR="00440627">
        <w:rPr>
          <w:rFonts w:asciiTheme="minorHAnsi" w:eastAsia="Times New Roman" w:hAnsiTheme="minorHAnsi" w:cstheme="minorHAnsi"/>
          <w:lang w:val="en-US" w:eastAsia="el-GR"/>
        </w:rPr>
        <w:t xml:space="preserve">, </w:t>
      </w:r>
      <w:r w:rsidR="00440627" w:rsidRPr="00440627">
        <w:rPr>
          <w:rFonts w:asciiTheme="minorHAnsi" w:eastAsia="Times New Roman" w:hAnsiTheme="minorHAnsi" w:cstheme="minorHAnsi"/>
          <w:i/>
          <w:lang w:val="en-US" w:eastAsia="el-GR"/>
        </w:rPr>
        <w:t>66</w:t>
      </w:r>
      <w:r w:rsidRPr="00440627">
        <w:rPr>
          <w:rFonts w:asciiTheme="minorHAnsi" w:eastAsia="Times New Roman" w:hAnsiTheme="minorHAnsi" w:cstheme="minorHAnsi"/>
          <w:i/>
          <w:lang w:val="en-US" w:eastAsia="el-GR"/>
        </w:rPr>
        <w:t>,</w:t>
      </w:r>
      <w:r w:rsidRPr="005A464E">
        <w:rPr>
          <w:rFonts w:asciiTheme="minorHAnsi" w:eastAsia="Times New Roman" w:hAnsiTheme="minorHAnsi" w:cstheme="minorHAnsi"/>
          <w:lang w:val="en-US" w:eastAsia="el-GR"/>
        </w:rPr>
        <w:t xml:space="preserve"> 823-836</w:t>
      </w:r>
      <w:r w:rsidR="006A01DB" w:rsidRPr="005A464E">
        <w:rPr>
          <w:rFonts w:asciiTheme="minorHAnsi" w:eastAsia="Times New Roman" w:hAnsiTheme="minorHAnsi" w:cstheme="minorHAnsi"/>
          <w:lang w:val="en-US" w:eastAsia="el-GR"/>
        </w:rPr>
        <w:t>.</w:t>
      </w:r>
      <w:r w:rsidRPr="005A464E">
        <w:rPr>
          <w:rFonts w:asciiTheme="minorHAnsi" w:eastAsia="Times New Roman" w:hAnsiTheme="minorHAnsi" w:cstheme="minorHAnsi"/>
          <w:lang w:val="en-US" w:eastAsia="el-GR"/>
        </w:rPr>
        <w:t xml:space="preserve"> </w:t>
      </w:r>
      <w:r w:rsidR="00292B29" w:rsidRPr="005A464E">
        <w:rPr>
          <w:rFonts w:asciiTheme="minorHAnsi" w:eastAsia="Times New Roman" w:hAnsiTheme="minorHAnsi" w:cstheme="minorHAnsi"/>
          <w:lang w:val="en-US" w:eastAsia="el-GR"/>
        </w:rPr>
        <w:t>DOI</w:t>
      </w:r>
      <w:r w:rsidRPr="005A464E">
        <w:rPr>
          <w:rFonts w:asciiTheme="minorHAnsi" w:eastAsia="Times New Roman" w:hAnsiTheme="minorHAnsi" w:cstheme="minorHAnsi"/>
          <w:lang w:val="en-US" w:eastAsia="el-GR"/>
        </w:rPr>
        <w:t>: 10.1053/j.ajkd.2014.11.031</w:t>
      </w:r>
    </w:p>
    <w:p w:rsidR="00A07F2D" w:rsidRPr="005A464E" w:rsidRDefault="00A07F2D" w:rsidP="005A464E">
      <w:pPr>
        <w:pStyle w:val="Web"/>
        <w:spacing w:after="166" w:line="360" w:lineRule="auto"/>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Smith, L.S. (2003). Help! My patient’s illiterate. </w:t>
      </w:r>
      <w:r w:rsidRPr="005A464E">
        <w:rPr>
          <w:rFonts w:asciiTheme="minorHAnsi" w:eastAsia="Times New Roman" w:hAnsiTheme="minorHAnsi" w:cstheme="minorHAnsi"/>
          <w:i/>
          <w:lang w:val="en-US" w:eastAsia="el-GR"/>
        </w:rPr>
        <w:t>Nursing</w:t>
      </w:r>
      <w:r w:rsidRPr="005A464E">
        <w:rPr>
          <w:rFonts w:asciiTheme="minorHAnsi" w:eastAsia="Times New Roman" w:hAnsiTheme="minorHAnsi" w:cstheme="minorHAnsi"/>
          <w:lang w:val="en-US" w:eastAsia="el-GR"/>
        </w:rPr>
        <w:t>, 33( 11), 32hn6-32hn8.</w:t>
      </w:r>
      <w:r w:rsidRPr="005A464E">
        <w:rPr>
          <w:rFonts w:asciiTheme="minorHAnsi" w:eastAsia="Times New Roman" w:hAnsiTheme="minorHAnsi" w:cstheme="minorHAnsi"/>
          <w:lang w:val="en-US" w:eastAsia="el-GR"/>
        </w:rPr>
        <w:tab/>
      </w:r>
    </w:p>
    <w:p w:rsidR="003C410F" w:rsidRPr="005A464E" w:rsidRDefault="003C410F" w:rsidP="005A464E">
      <w:pPr>
        <w:pStyle w:val="Web"/>
        <w:spacing w:after="166" w:line="360" w:lineRule="auto"/>
        <w:ind w:left="415" w:hanging="415"/>
        <w:jc w:val="both"/>
        <w:rPr>
          <w:rFonts w:asciiTheme="minorHAnsi" w:hAnsiTheme="minorHAnsi" w:cstheme="minorHAnsi"/>
          <w:b/>
          <w:bCs/>
          <w:color w:val="333333"/>
          <w:shd w:val="clear" w:color="auto" w:fill="FFE7AF"/>
          <w:lang w:val="en-US"/>
        </w:rPr>
      </w:pPr>
      <w:r w:rsidRPr="005A464E">
        <w:rPr>
          <w:rFonts w:asciiTheme="minorHAnsi" w:eastAsia="Times New Roman" w:hAnsiTheme="minorHAnsi" w:cstheme="minorHAnsi"/>
          <w:lang w:val="en-US" w:eastAsia="el-GR"/>
        </w:rPr>
        <w:t>Smith, K., C</w:t>
      </w:r>
      <w:r w:rsidR="00C71CA6">
        <w:rPr>
          <w:rFonts w:asciiTheme="minorHAnsi" w:eastAsia="Times New Roman" w:hAnsiTheme="minorHAnsi" w:cstheme="minorHAnsi"/>
          <w:lang w:val="en-US" w:eastAsia="el-GR"/>
        </w:rPr>
        <w:t>oston,M., Glock, K., Elasy, T.,</w:t>
      </w:r>
      <w:r w:rsidRPr="005A464E">
        <w:rPr>
          <w:rFonts w:asciiTheme="minorHAnsi" w:eastAsia="Times New Roman" w:hAnsiTheme="minorHAnsi" w:cstheme="minorHAnsi"/>
          <w:lang w:val="en-US" w:eastAsia="el-GR"/>
        </w:rPr>
        <w:t xml:space="preserve"> &amp; Wallston, P. (2010). Patient. </w:t>
      </w:r>
      <w:r w:rsidRPr="005A464E">
        <w:rPr>
          <w:rFonts w:asciiTheme="minorHAnsi" w:eastAsia="Times New Roman" w:hAnsiTheme="minorHAnsi" w:cstheme="minorHAnsi"/>
          <w:i/>
          <w:lang w:val="en-US" w:eastAsia="el-GR"/>
        </w:rPr>
        <w:t>Journal of</w:t>
      </w:r>
      <w:r w:rsidR="0078495A">
        <w:rPr>
          <w:rFonts w:asciiTheme="minorHAnsi" w:eastAsia="Times New Roman" w:hAnsiTheme="minorHAnsi" w:cstheme="minorHAnsi"/>
          <w:i/>
          <w:lang w:val="en-US" w:eastAsia="el-GR"/>
        </w:rPr>
        <w:t xml:space="preserve"> </w:t>
      </w:r>
      <w:r w:rsidRPr="005A464E">
        <w:rPr>
          <w:rFonts w:asciiTheme="minorHAnsi" w:eastAsia="Times New Roman" w:hAnsiTheme="minorHAnsi" w:cstheme="minorHAnsi"/>
          <w:i/>
          <w:lang w:val="en-US" w:eastAsia="el-GR"/>
        </w:rPr>
        <w:t>Renal Nutrition,</w:t>
      </w:r>
      <w:r w:rsidR="00440627">
        <w:rPr>
          <w:rFonts w:asciiTheme="minorHAnsi" w:eastAsia="Times New Roman" w:hAnsiTheme="minorHAnsi" w:cstheme="minorHAnsi"/>
          <w:lang w:val="en-US" w:eastAsia="el-GR"/>
        </w:rPr>
        <w:t xml:space="preserve"> </w:t>
      </w:r>
      <w:r w:rsidR="00440627" w:rsidRPr="00440627">
        <w:rPr>
          <w:rFonts w:asciiTheme="minorHAnsi" w:eastAsia="Times New Roman" w:hAnsiTheme="minorHAnsi" w:cstheme="minorHAnsi"/>
          <w:i/>
          <w:lang w:val="en-US" w:eastAsia="el-GR"/>
        </w:rPr>
        <w:t>20</w:t>
      </w:r>
      <w:r w:rsidRPr="00440627">
        <w:rPr>
          <w:rFonts w:asciiTheme="minorHAnsi" w:eastAsia="Times New Roman" w:hAnsiTheme="minorHAnsi" w:cstheme="minorHAnsi"/>
          <w:i/>
          <w:lang w:val="en-US" w:eastAsia="el-GR"/>
        </w:rPr>
        <w:t>,</w:t>
      </w:r>
      <w:r w:rsidRPr="005A464E">
        <w:rPr>
          <w:rFonts w:asciiTheme="minorHAnsi" w:eastAsia="Times New Roman" w:hAnsiTheme="minorHAnsi" w:cstheme="minorHAnsi"/>
          <w:lang w:val="en-US" w:eastAsia="el-GR"/>
        </w:rPr>
        <w:t xml:space="preserve"> 334–341</w:t>
      </w:r>
      <w:r w:rsidR="006A01DB" w:rsidRPr="005A464E">
        <w:rPr>
          <w:rFonts w:asciiTheme="minorHAnsi" w:eastAsia="Times New Roman" w:hAnsiTheme="minorHAnsi" w:cstheme="minorHAnsi"/>
          <w:lang w:val="en-US" w:eastAsia="el-GR"/>
        </w:rPr>
        <w:t xml:space="preserve">. </w:t>
      </w:r>
      <w:r w:rsidR="00292B29" w:rsidRPr="005A464E">
        <w:rPr>
          <w:rFonts w:asciiTheme="minorHAnsi" w:eastAsia="Times New Roman" w:hAnsiTheme="minorHAnsi" w:cstheme="minorHAnsi"/>
          <w:lang w:val="en-US" w:eastAsia="el-GR"/>
        </w:rPr>
        <w:t>DOI</w:t>
      </w:r>
      <w:r w:rsidRPr="005A464E">
        <w:rPr>
          <w:rFonts w:asciiTheme="minorHAnsi" w:eastAsia="Times New Roman" w:hAnsiTheme="minorHAnsi" w:cstheme="minorHAnsi"/>
          <w:lang w:val="en-US" w:eastAsia="el-GR"/>
        </w:rPr>
        <w:t>: 10.1053/j.jrn.2009.001</w:t>
      </w:r>
      <w:r w:rsidR="006A01DB" w:rsidRPr="005A464E">
        <w:rPr>
          <w:rFonts w:asciiTheme="minorHAnsi" w:eastAsia="Times New Roman" w:hAnsiTheme="minorHAnsi" w:cstheme="minorHAnsi"/>
          <w:lang w:val="en-US" w:eastAsia="el-GR"/>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Sokol, M.C., McGuigan</w:t>
      </w:r>
      <w:r w:rsidR="006A01DB" w:rsidRPr="005A464E">
        <w:rPr>
          <w:rFonts w:asciiTheme="minorHAnsi" w:eastAsia="Times New Roman" w:hAnsiTheme="minorHAnsi" w:cstheme="minorHAnsi"/>
          <w:lang w:val="en-US" w:eastAsia="el-GR"/>
        </w:rPr>
        <w:t>,</w:t>
      </w:r>
      <w:r w:rsidRPr="005A464E">
        <w:rPr>
          <w:rFonts w:asciiTheme="minorHAnsi" w:eastAsia="Times New Roman" w:hAnsiTheme="minorHAnsi" w:cstheme="minorHAnsi"/>
          <w:lang w:val="en-US" w:eastAsia="el-GR"/>
        </w:rPr>
        <w:t xml:space="preserve"> K.A., Verbrugge</w:t>
      </w:r>
      <w:r w:rsidR="006A01DB" w:rsidRPr="005A464E">
        <w:rPr>
          <w:rFonts w:asciiTheme="minorHAnsi" w:eastAsia="Times New Roman" w:hAnsiTheme="minorHAnsi" w:cstheme="minorHAnsi"/>
          <w:lang w:val="en-US" w:eastAsia="el-GR"/>
        </w:rPr>
        <w:t>,</w:t>
      </w:r>
      <w:r w:rsidRPr="005A464E">
        <w:rPr>
          <w:rFonts w:asciiTheme="minorHAnsi" w:eastAsia="Times New Roman" w:hAnsiTheme="minorHAnsi" w:cstheme="minorHAnsi"/>
          <w:lang w:val="en-US" w:eastAsia="el-GR"/>
        </w:rPr>
        <w:t xml:space="preserve"> R.R., Epstein, R.S. (2005). Impact of medication adherence on hospitalization risk and healthcare cost. </w:t>
      </w:r>
      <w:r w:rsidRPr="005A464E">
        <w:rPr>
          <w:rFonts w:asciiTheme="minorHAnsi" w:eastAsia="Times New Roman" w:hAnsiTheme="minorHAnsi" w:cstheme="minorHAnsi"/>
          <w:i/>
          <w:lang w:eastAsia="el-GR"/>
        </w:rPr>
        <w:t>Μ</w:t>
      </w:r>
      <w:r w:rsidRPr="005A464E">
        <w:rPr>
          <w:rFonts w:asciiTheme="minorHAnsi" w:eastAsia="Times New Roman" w:hAnsiTheme="minorHAnsi" w:cstheme="minorHAnsi"/>
          <w:i/>
          <w:lang w:val="en-US" w:eastAsia="el-GR"/>
        </w:rPr>
        <w:t>edical Care</w:t>
      </w:r>
      <w:r w:rsidR="00440627">
        <w:rPr>
          <w:rFonts w:asciiTheme="minorHAnsi" w:eastAsia="Times New Roman" w:hAnsiTheme="minorHAnsi" w:cstheme="minorHAnsi"/>
          <w:lang w:val="en-US" w:eastAsia="el-GR"/>
        </w:rPr>
        <w:t xml:space="preserve">, </w:t>
      </w:r>
      <w:r w:rsidR="00440627" w:rsidRPr="00440627">
        <w:rPr>
          <w:rFonts w:asciiTheme="minorHAnsi" w:eastAsia="Times New Roman" w:hAnsiTheme="minorHAnsi" w:cstheme="minorHAnsi"/>
          <w:i/>
          <w:lang w:val="en-US" w:eastAsia="el-GR"/>
        </w:rPr>
        <w:t>43</w:t>
      </w:r>
      <w:r w:rsidRPr="00440627">
        <w:rPr>
          <w:rFonts w:asciiTheme="minorHAnsi" w:eastAsia="Times New Roman" w:hAnsiTheme="minorHAnsi" w:cstheme="minorHAnsi"/>
          <w:i/>
          <w:lang w:val="en-US" w:eastAsia="el-GR"/>
        </w:rPr>
        <w:t>,</w:t>
      </w:r>
      <w:r w:rsidR="006A01DB" w:rsidRPr="005A464E">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521-530.</w:t>
      </w:r>
      <w:r w:rsidRPr="005A464E">
        <w:rPr>
          <w:rFonts w:asciiTheme="minorHAnsi" w:hAnsiTheme="minorHAnsi" w:cstheme="minorHAnsi"/>
          <w:shd w:val="clear" w:color="auto" w:fill="FFFFFF"/>
          <w:lang w:val="en-US"/>
        </w:rPr>
        <w:t xml:space="preserve">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 10.1097/01.mlr.0000163641.86870.af</w:t>
      </w:r>
      <w:r w:rsidR="006A01DB" w:rsidRPr="005A464E">
        <w:rPr>
          <w:rStyle w:val="apple-converted-space"/>
          <w:rFonts w:asciiTheme="minorHAnsi" w:hAnsiTheme="minorHAnsi" w:cstheme="minorHAnsi"/>
          <w:color w:val="888888"/>
          <w:shd w:val="clear" w:color="auto" w:fill="FFFFFF"/>
          <w:lang w:val="en-US"/>
        </w:rPr>
        <w:t>.</w:t>
      </w:r>
    </w:p>
    <w:p w:rsidR="00553335" w:rsidRPr="005A464E" w:rsidRDefault="003C410F" w:rsidP="005A464E">
      <w:pPr>
        <w:pStyle w:val="Web"/>
        <w:spacing w:after="166" w:line="360" w:lineRule="auto"/>
        <w:ind w:left="415" w:hanging="415"/>
        <w:jc w:val="both"/>
        <w:rPr>
          <w:rStyle w:val="article-headermeta-info-data"/>
          <w:rFonts w:asciiTheme="minorHAnsi" w:hAnsiTheme="minorHAnsi" w:cstheme="minorHAnsi"/>
          <w:bdr w:val="none" w:sz="0" w:space="0" w:color="auto" w:frame="1"/>
          <w:shd w:val="clear" w:color="auto" w:fill="FFFFFF"/>
          <w:lang w:val="en-US"/>
        </w:rPr>
      </w:pPr>
      <w:r w:rsidRPr="005A464E">
        <w:rPr>
          <w:rFonts w:asciiTheme="minorHAnsi" w:hAnsiTheme="minorHAnsi" w:cstheme="minorHAnsi"/>
          <w:lang w:val="en-US"/>
        </w:rPr>
        <w:t>Speigel,</w:t>
      </w:r>
      <w:r w:rsidR="0078495A">
        <w:rPr>
          <w:rFonts w:asciiTheme="minorHAnsi" w:hAnsiTheme="minorHAnsi" w:cstheme="minorHAnsi"/>
          <w:lang w:val="en-US"/>
        </w:rPr>
        <w:t xml:space="preserve"> </w:t>
      </w:r>
      <w:r w:rsidRPr="005A464E">
        <w:rPr>
          <w:rFonts w:asciiTheme="minorHAnsi" w:hAnsiTheme="minorHAnsi" w:cstheme="minorHAnsi"/>
          <w:lang w:val="en-US"/>
        </w:rPr>
        <w:t xml:space="preserve">D.M. (2006). Anemia management in chronic kidney disease: what have we learned after 17 years? </w:t>
      </w:r>
      <w:r w:rsidRPr="005A464E">
        <w:rPr>
          <w:rFonts w:asciiTheme="minorHAnsi" w:hAnsiTheme="minorHAnsi" w:cstheme="minorHAnsi"/>
          <w:i/>
          <w:iCs/>
          <w:lang w:val="en-US"/>
        </w:rPr>
        <w:t>Seminars in Dialysis,</w:t>
      </w:r>
      <w:r w:rsidRPr="005A464E">
        <w:rPr>
          <w:rFonts w:asciiTheme="minorHAnsi" w:hAnsiTheme="minorHAnsi" w:cstheme="minorHAnsi"/>
          <w:iCs/>
          <w:lang w:val="en-US"/>
        </w:rPr>
        <w:t xml:space="preserve"> </w:t>
      </w:r>
      <w:r w:rsidRPr="00440627">
        <w:rPr>
          <w:rFonts w:asciiTheme="minorHAnsi" w:hAnsiTheme="minorHAnsi" w:cstheme="minorHAnsi"/>
          <w:i/>
          <w:iCs/>
          <w:lang w:val="en-US"/>
        </w:rPr>
        <w:t>19</w:t>
      </w:r>
      <w:r w:rsidRPr="005A464E">
        <w:rPr>
          <w:rFonts w:asciiTheme="minorHAnsi" w:hAnsiTheme="minorHAnsi" w:cstheme="minorHAnsi"/>
          <w:lang w:val="en-US"/>
        </w:rPr>
        <w:t>, 269-272.</w:t>
      </w:r>
      <w:r w:rsidRPr="005A464E">
        <w:rPr>
          <w:rStyle w:val="1Char"/>
          <w:rFonts w:asciiTheme="minorHAnsi" w:eastAsia="Calibri" w:hAnsiTheme="minorHAnsi" w:cstheme="minorHAnsi"/>
          <w:b w:val="0"/>
          <w:bCs w:val="0"/>
          <w:color w:val="333333"/>
          <w:sz w:val="24"/>
          <w:szCs w:val="24"/>
          <w:bdr w:val="none" w:sz="0" w:space="0" w:color="auto" w:frame="1"/>
          <w:shd w:val="clear" w:color="auto" w:fill="FFFFFF"/>
          <w:lang w:val="en-US"/>
        </w:rPr>
        <w:t xml:space="preserve"> </w:t>
      </w:r>
      <w:r w:rsidR="00292B29" w:rsidRPr="005A464E">
        <w:rPr>
          <w:rStyle w:val="article-headermeta-info-label"/>
          <w:rFonts w:asciiTheme="minorHAnsi" w:hAnsiTheme="minorHAnsi" w:cstheme="minorHAnsi"/>
          <w:bCs/>
          <w:bdr w:val="none" w:sz="0" w:space="0" w:color="auto" w:frame="1"/>
          <w:shd w:val="clear" w:color="auto" w:fill="FFFFFF"/>
          <w:lang w:val="en-US"/>
        </w:rPr>
        <w:t>DOI</w:t>
      </w:r>
      <w:r w:rsidRPr="005A464E">
        <w:rPr>
          <w:rStyle w:val="article-headermeta-info-label"/>
          <w:rFonts w:asciiTheme="minorHAnsi" w:hAnsiTheme="minorHAnsi" w:cstheme="minorHAnsi"/>
          <w:bCs/>
          <w:bdr w:val="none" w:sz="0" w:space="0" w:color="auto" w:frame="1"/>
          <w:shd w:val="clear" w:color="auto" w:fill="FFFFFF"/>
          <w:lang w:val="en-US"/>
        </w:rPr>
        <w:t>:</w:t>
      </w:r>
      <w:r w:rsidRPr="005A464E">
        <w:rPr>
          <w:rStyle w:val="apple-converted-space"/>
          <w:rFonts w:asciiTheme="minorHAnsi" w:hAnsiTheme="minorHAnsi" w:cstheme="minorHAnsi"/>
          <w:bCs/>
          <w:bdr w:val="none" w:sz="0" w:space="0" w:color="auto" w:frame="1"/>
          <w:shd w:val="clear" w:color="auto" w:fill="FFFFFF"/>
          <w:lang w:val="en-US"/>
        </w:rPr>
        <w:t> </w:t>
      </w:r>
      <w:r w:rsidRPr="005A464E">
        <w:rPr>
          <w:rStyle w:val="article-headermeta-info-data"/>
          <w:rFonts w:asciiTheme="minorHAnsi" w:hAnsiTheme="minorHAnsi" w:cstheme="minorHAnsi"/>
          <w:bdr w:val="none" w:sz="0" w:space="0" w:color="auto" w:frame="1"/>
          <w:shd w:val="clear" w:color="auto" w:fill="FFFFFF"/>
          <w:lang w:val="en-US"/>
        </w:rPr>
        <w:t>10.1111/j.1525-139X.2006.00171.x</w:t>
      </w:r>
    </w:p>
    <w:p w:rsidR="00553335" w:rsidRPr="005A464E" w:rsidRDefault="008F3609" w:rsidP="005A464E">
      <w:pPr>
        <w:pStyle w:val="Web"/>
        <w:spacing w:after="166" w:line="360" w:lineRule="auto"/>
        <w:ind w:left="415" w:hanging="415"/>
        <w:jc w:val="both"/>
        <w:rPr>
          <w:rFonts w:asciiTheme="minorHAnsi" w:hAnsiTheme="minorHAnsi" w:cs="Arial"/>
          <w:i/>
          <w:lang w:val="en-US"/>
        </w:rPr>
      </w:pPr>
      <w:hyperlink r:id="rId364" w:history="1">
        <w:r w:rsidR="00553335" w:rsidRPr="005A464E">
          <w:rPr>
            <w:rStyle w:val="-"/>
            <w:rFonts w:asciiTheme="minorHAnsi" w:hAnsiTheme="minorHAnsi" w:cs="Arial"/>
            <w:color w:val="auto"/>
            <w:u w:val="none"/>
            <w:shd w:val="clear" w:color="auto" w:fill="FFFFFF"/>
            <w:lang w:val="en-US"/>
          </w:rPr>
          <w:t>Spikmans</w:t>
        </w:r>
        <w:r w:rsidR="0015362F" w:rsidRPr="005A464E">
          <w:rPr>
            <w:rStyle w:val="-"/>
            <w:rFonts w:asciiTheme="minorHAnsi" w:hAnsiTheme="minorHAnsi" w:cs="Arial"/>
            <w:color w:val="auto"/>
            <w:u w:val="none"/>
            <w:shd w:val="clear" w:color="auto" w:fill="FFFFFF"/>
            <w:lang w:val="en-US"/>
          </w:rPr>
          <w:t>,</w:t>
        </w:r>
        <w:r w:rsidR="00553335" w:rsidRPr="005A464E">
          <w:rPr>
            <w:rStyle w:val="-"/>
            <w:rFonts w:asciiTheme="minorHAnsi" w:hAnsiTheme="minorHAnsi" w:cs="Arial"/>
            <w:color w:val="auto"/>
            <w:u w:val="none"/>
            <w:shd w:val="clear" w:color="auto" w:fill="FFFFFF"/>
            <w:lang w:val="en-US"/>
          </w:rPr>
          <w:t xml:space="preserve"> F</w:t>
        </w:r>
        <w:r w:rsidR="0015362F" w:rsidRPr="005A464E">
          <w:rPr>
            <w:rStyle w:val="-"/>
            <w:rFonts w:asciiTheme="minorHAnsi" w:hAnsiTheme="minorHAnsi" w:cs="Arial"/>
            <w:color w:val="auto"/>
            <w:u w:val="none"/>
            <w:shd w:val="clear" w:color="auto" w:fill="FFFFFF"/>
            <w:lang w:val="en-US"/>
          </w:rPr>
          <w:t>.</w:t>
        </w:r>
        <w:r w:rsidR="00553335" w:rsidRPr="005A464E">
          <w:rPr>
            <w:rStyle w:val="-"/>
            <w:rFonts w:asciiTheme="minorHAnsi" w:hAnsiTheme="minorHAnsi" w:cs="Arial"/>
            <w:color w:val="auto"/>
            <w:u w:val="none"/>
            <w:shd w:val="clear" w:color="auto" w:fill="FFFFFF"/>
            <w:lang w:val="en-US"/>
          </w:rPr>
          <w:t>J</w:t>
        </w:r>
      </w:hyperlink>
      <w:r w:rsidR="0015362F" w:rsidRPr="005A464E">
        <w:rPr>
          <w:rFonts w:asciiTheme="minorHAnsi" w:hAnsiTheme="minorHAnsi"/>
          <w:lang w:val="en-US"/>
        </w:rPr>
        <w:t>.</w:t>
      </w:r>
      <w:r w:rsidR="00553335" w:rsidRPr="005A464E">
        <w:rPr>
          <w:rFonts w:asciiTheme="minorHAnsi" w:hAnsiTheme="minorHAnsi" w:cs="Arial"/>
          <w:shd w:val="clear" w:color="auto" w:fill="FFFFFF"/>
          <w:lang w:val="en-US"/>
        </w:rPr>
        <w:t>, </w:t>
      </w:r>
      <w:hyperlink r:id="rId365" w:history="1">
        <w:r w:rsidR="00553335" w:rsidRPr="005A464E">
          <w:rPr>
            <w:rStyle w:val="-"/>
            <w:rFonts w:asciiTheme="minorHAnsi" w:hAnsiTheme="minorHAnsi" w:cs="Arial"/>
            <w:color w:val="auto"/>
            <w:u w:val="none"/>
            <w:shd w:val="clear" w:color="auto" w:fill="FFFFFF"/>
            <w:lang w:val="en-US"/>
          </w:rPr>
          <w:t>Brug</w:t>
        </w:r>
        <w:r w:rsidR="0015362F" w:rsidRPr="005A464E">
          <w:rPr>
            <w:rStyle w:val="-"/>
            <w:rFonts w:asciiTheme="minorHAnsi" w:hAnsiTheme="minorHAnsi" w:cs="Arial"/>
            <w:color w:val="auto"/>
            <w:u w:val="none"/>
            <w:shd w:val="clear" w:color="auto" w:fill="FFFFFF"/>
            <w:lang w:val="en-US"/>
          </w:rPr>
          <w:t>,</w:t>
        </w:r>
        <w:r w:rsidR="00553335" w:rsidRPr="005A464E">
          <w:rPr>
            <w:rStyle w:val="-"/>
            <w:rFonts w:asciiTheme="minorHAnsi" w:hAnsiTheme="minorHAnsi" w:cs="Arial"/>
            <w:color w:val="auto"/>
            <w:u w:val="none"/>
            <w:shd w:val="clear" w:color="auto" w:fill="FFFFFF"/>
            <w:lang w:val="en-US"/>
          </w:rPr>
          <w:t xml:space="preserve"> J</w:t>
        </w:r>
      </w:hyperlink>
      <w:r w:rsidR="0015362F" w:rsidRPr="005A464E">
        <w:rPr>
          <w:rFonts w:asciiTheme="minorHAnsi" w:hAnsiTheme="minorHAnsi"/>
          <w:lang w:val="en-US"/>
        </w:rPr>
        <w:t>.</w:t>
      </w:r>
      <w:r w:rsidR="00553335" w:rsidRPr="005A464E">
        <w:rPr>
          <w:rFonts w:asciiTheme="minorHAnsi" w:hAnsiTheme="minorHAnsi" w:cs="Arial"/>
          <w:shd w:val="clear" w:color="auto" w:fill="FFFFFF"/>
          <w:lang w:val="en-US"/>
        </w:rPr>
        <w:t>, </w:t>
      </w:r>
      <w:hyperlink r:id="rId366" w:history="1">
        <w:r w:rsidR="00553335" w:rsidRPr="005A464E">
          <w:rPr>
            <w:rStyle w:val="-"/>
            <w:rFonts w:asciiTheme="minorHAnsi" w:hAnsiTheme="minorHAnsi" w:cs="Arial"/>
            <w:color w:val="auto"/>
            <w:u w:val="none"/>
            <w:shd w:val="clear" w:color="auto" w:fill="FFFFFF"/>
            <w:lang w:val="en-US"/>
          </w:rPr>
          <w:t>Doven</w:t>
        </w:r>
        <w:r w:rsidR="0015362F" w:rsidRPr="005A464E">
          <w:rPr>
            <w:rStyle w:val="-"/>
            <w:rFonts w:asciiTheme="minorHAnsi" w:hAnsiTheme="minorHAnsi" w:cs="Arial"/>
            <w:color w:val="auto"/>
            <w:u w:val="none"/>
            <w:shd w:val="clear" w:color="auto" w:fill="FFFFFF"/>
            <w:lang w:val="en-US"/>
          </w:rPr>
          <w:t>,</w:t>
        </w:r>
        <w:r w:rsidR="00553335" w:rsidRPr="005A464E">
          <w:rPr>
            <w:rStyle w:val="-"/>
            <w:rFonts w:asciiTheme="minorHAnsi" w:hAnsiTheme="minorHAnsi" w:cs="Arial"/>
            <w:color w:val="auto"/>
            <w:u w:val="none"/>
            <w:shd w:val="clear" w:color="auto" w:fill="FFFFFF"/>
            <w:lang w:val="en-US"/>
          </w:rPr>
          <w:t xml:space="preserve"> M</w:t>
        </w:r>
        <w:r w:rsidR="0015362F" w:rsidRPr="005A464E">
          <w:rPr>
            <w:rStyle w:val="-"/>
            <w:rFonts w:asciiTheme="minorHAnsi" w:hAnsiTheme="minorHAnsi" w:cs="Arial"/>
            <w:color w:val="auto"/>
            <w:u w:val="none"/>
            <w:shd w:val="clear" w:color="auto" w:fill="FFFFFF"/>
            <w:lang w:val="en-US"/>
          </w:rPr>
          <w:t>.</w:t>
        </w:r>
        <w:r w:rsidR="00553335" w:rsidRPr="005A464E">
          <w:rPr>
            <w:rStyle w:val="-"/>
            <w:rFonts w:asciiTheme="minorHAnsi" w:hAnsiTheme="minorHAnsi" w:cs="Arial"/>
            <w:color w:val="auto"/>
            <w:u w:val="none"/>
            <w:shd w:val="clear" w:color="auto" w:fill="FFFFFF"/>
            <w:lang w:val="en-US"/>
          </w:rPr>
          <w:t>M</w:t>
        </w:r>
      </w:hyperlink>
      <w:r w:rsidR="0015362F" w:rsidRPr="005A464E">
        <w:rPr>
          <w:rFonts w:asciiTheme="minorHAnsi" w:hAnsiTheme="minorHAnsi"/>
          <w:lang w:val="en-US"/>
        </w:rPr>
        <w:t>.</w:t>
      </w:r>
      <w:r w:rsidR="00553335" w:rsidRPr="005A464E">
        <w:rPr>
          <w:rFonts w:asciiTheme="minorHAnsi" w:hAnsiTheme="minorHAnsi" w:cs="Arial"/>
          <w:shd w:val="clear" w:color="auto" w:fill="FFFFFF"/>
          <w:lang w:val="en-US"/>
        </w:rPr>
        <w:t>, </w:t>
      </w:r>
      <w:hyperlink r:id="rId367" w:history="1">
        <w:r w:rsidR="00553335" w:rsidRPr="005A464E">
          <w:rPr>
            <w:rStyle w:val="-"/>
            <w:rFonts w:asciiTheme="minorHAnsi" w:hAnsiTheme="minorHAnsi" w:cs="Arial"/>
            <w:color w:val="auto"/>
            <w:u w:val="none"/>
            <w:shd w:val="clear" w:color="auto" w:fill="FFFFFF"/>
            <w:lang w:val="en-US"/>
          </w:rPr>
          <w:t>Kruizenga</w:t>
        </w:r>
        <w:r w:rsidR="0015362F" w:rsidRPr="005A464E">
          <w:rPr>
            <w:rStyle w:val="-"/>
            <w:rFonts w:asciiTheme="minorHAnsi" w:hAnsiTheme="minorHAnsi" w:cs="Arial"/>
            <w:color w:val="auto"/>
            <w:u w:val="none"/>
            <w:shd w:val="clear" w:color="auto" w:fill="FFFFFF"/>
            <w:lang w:val="en-US"/>
          </w:rPr>
          <w:t>,</w:t>
        </w:r>
        <w:r w:rsidR="00553335" w:rsidRPr="005A464E">
          <w:rPr>
            <w:rStyle w:val="-"/>
            <w:rFonts w:asciiTheme="minorHAnsi" w:hAnsiTheme="minorHAnsi" w:cs="Arial"/>
            <w:color w:val="auto"/>
            <w:u w:val="none"/>
            <w:shd w:val="clear" w:color="auto" w:fill="FFFFFF"/>
            <w:lang w:val="en-US"/>
          </w:rPr>
          <w:t xml:space="preserve"> H</w:t>
        </w:r>
        <w:r w:rsidR="0015362F" w:rsidRPr="005A464E">
          <w:rPr>
            <w:rStyle w:val="-"/>
            <w:rFonts w:asciiTheme="minorHAnsi" w:hAnsiTheme="minorHAnsi" w:cs="Arial"/>
            <w:color w:val="auto"/>
            <w:u w:val="none"/>
            <w:shd w:val="clear" w:color="auto" w:fill="FFFFFF"/>
            <w:lang w:val="en-US"/>
          </w:rPr>
          <w:t>.</w:t>
        </w:r>
        <w:r w:rsidR="00553335" w:rsidRPr="005A464E">
          <w:rPr>
            <w:rStyle w:val="-"/>
            <w:rFonts w:asciiTheme="minorHAnsi" w:hAnsiTheme="minorHAnsi" w:cs="Arial"/>
            <w:color w:val="auto"/>
            <w:u w:val="none"/>
            <w:shd w:val="clear" w:color="auto" w:fill="FFFFFF"/>
            <w:lang w:val="en-US"/>
          </w:rPr>
          <w:t>M</w:t>
        </w:r>
      </w:hyperlink>
      <w:r w:rsidR="0015362F" w:rsidRPr="005A464E">
        <w:rPr>
          <w:rFonts w:asciiTheme="minorHAnsi" w:hAnsiTheme="minorHAnsi"/>
          <w:lang w:val="en-US"/>
        </w:rPr>
        <w:t>.</w:t>
      </w:r>
      <w:r w:rsidR="00553335" w:rsidRPr="005A464E">
        <w:rPr>
          <w:rFonts w:asciiTheme="minorHAnsi" w:hAnsiTheme="minorHAnsi" w:cs="Arial"/>
          <w:shd w:val="clear" w:color="auto" w:fill="FFFFFF"/>
          <w:lang w:val="en-US"/>
        </w:rPr>
        <w:t>, </w:t>
      </w:r>
      <w:hyperlink r:id="rId368" w:history="1">
        <w:r w:rsidR="00553335" w:rsidRPr="005A464E">
          <w:rPr>
            <w:rStyle w:val="-"/>
            <w:rFonts w:asciiTheme="minorHAnsi" w:hAnsiTheme="minorHAnsi" w:cs="Arial"/>
            <w:color w:val="auto"/>
            <w:u w:val="none"/>
            <w:shd w:val="clear" w:color="auto" w:fill="FFFFFF"/>
            <w:lang w:val="en-US"/>
          </w:rPr>
          <w:t>Hofsteenge</w:t>
        </w:r>
        <w:r w:rsidR="0015362F" w:rsidRPr="005A464E">
          <w:rPr>
            <w:rStyle w:val="-"/>
            <w:rFonts w:asciiTheme="minorHAnsi" w:hAnsiTheme="minorHAnsi" w:cs="Arial"/>
            <w:color w:val="auto"/>
            <w:u w:val="none"/>
            <w:shd w:val="clear" w:color="auto" w:fill="FFFFFF"/>
            <w:lang w:val="en-US"/>
          </w:rPr>
          <w:t>,</w:t>
        </w:r>
        <w:r w:rsidR="00553335" w:rsidRPr="005A464E">
          <w:rPr>
            <w:rStyle w:val="-"/>
            <w:rFonts w:asciiTheme="minorHAnsi" w:hAnsiTheme="minorHAnsi" w:cs="Arial"/>
            <w:color w:val="auto"/>
            <w:u w:val="none"/>
            <w:shd w:val="clear" w:color="auto" w:fill="FFFFFF"/>
            <w:lang w:val="en-US"/>
          </w:rPr>
          <w:t xml:space="preserve"> G</w:t>
        </w:r>
        <w:r w:rsidR="0015362F" w:rsidRPr="005A464E">
          <w:rPr>
            <w:rStyle w:val="-"/>
            <w:rFonts w:asciiTheme="minorHAnsi" w:hAnsiTheme="minorHAnsi" w:cs="Arial"/>
            <w:color w:val="auto"/>
            <w:u w:val="none"/>
            <w:shd w:val="clear" w:color="auto" w:fill="FFFFFF"/>
            <w:lang w:val="en-US"/>
          </w:rPr>
          <w:t>.</w:t>
        </w:r>
        <w:r w:rsidR="00553335" w:rsidRPr="005A464E">
          <w:rPr>
            <w:rStyle w:val="-"/>
            <w:rFonts w:asciiTheme="minorHAnsi" w:hAnsiTheme="minorHAnsi" w:cs="Arial"/>
            <w:color w:val="auto"/>
            <w:u w:val="none"/>
            <w:shd w:val="clear" w:color="auto" w:fill="FFFFFF"/>
            <w:lang w:val="en-US"/>
          </w:rPr>
          <w:t>H</w:t>
        </w:r>
      </w:hyperlink>
      <w:r w:rsidR="0015362F" w:rsidRPr="005A464E">
        <w:rPr>
          <w:rFonts w:asciiTheme="minorHAnsi" w:hAnsiTheme="minorHAnsi"/>
          <w:lang w:val="en-US"/>
        </w:rPr>
        <w:t>.</w:t>
      </w:r>
      <w:r w:rsidR="00553335" w:rsidRPr="005A464E">
        <w:rPr>
          <w:rFonts w:asciiTheme="minorHAnsi" w:hAnsiTheme="minorHAnsi" w:cs="Arial"/>
          <w:shd w:val="clear" w:color="auto" w:fill="FFFFFF"/>
          <w:lang w:val="en-US"/>
        </w:rPr>
        <w:t>, </w:t>
      </w:r>
      <w:hyperlink r:id="rId369" w:history="1">
        <w:r w:rsidR="00553335" w:rsidRPr="005A464E">
          <w:rPr>
            <w:rStyle w:val="-"/>
            <w:rFonts w:asciiTheme="minorHAnsi" w:hAnsiTheme="minorHAnsi" w:cs="Arial"/>
            <w:color w:val="auto"/>
            <w:u w:val="none"/>
            <w:shd w:val="clear" w:color="auto" w:fill="FFFFFF"/>
            <w:lang w:val="en-US"/>
          </w:rPr>
          <w:t>van Bokhorst-van der Schueren</w:t>
        </w:r>
        <w:r w:rsidR="0015362F" w:rsidRPr="005A464E">
          <w:rPr>
            <w:rStyle w:val="-"/>
            <w:rFonts w:asciiTheme="minorHAnsi" w:hAnsiTheme="minorHAnsi" w:cs="Arial"/>
            <w:color w:val="auto"/>
            <w:u w:val="none"/>
            <w:shd w:val="clear" w:color="auto" w:fill="FFFFFF"/>
            <w:lang w:val="en-US"/>
          </w:rPr>
          <w:t xml:space="preserve">, </w:t>
        </w:r>
        <w:r w:rsidR="00553335" w:rsidRPr="005A464E">
          <w:rPr>
            <w:rStyle w:val="-"/>
            <w:rFonts w:asciiTheme="minorHAnsi" w:hAnsiTheme="minorHAnsi" w:cs="Arial"/>
            <w:color w:val="auto"/>
            <w:u w:val="none"/>
            <w:shd w:val="clear" w:color="auto" w:fill="FFFFFF"/>
            <w:lang w:val="en-US"/>
          </w:rPr>
          <w:t>M</w:t>
        </w:r>
        <w:r w:rsidR="0015362F" w:rsidRPr="005A464E">
          <w:rPr>
            <w:rStyle w:val="-"/>
            <w:rFonts w:asciiTheme="minorHAnsi" w:hAnsiTheme="minorHAnsi" w:cs="Arial"/>
            <w:color w:val="auto"/>
            <w:u w:val="none"/>
            <w:shd w:val="clear" w:color="auto" w:fill="FFFFFF"/>
            <w:lang w:val="en-US"/>
          </w:rPr>
          <w:t>.</w:t>
        </w:r>
        <w:r w:rsidR="00553335" w:rsidRPr="005A464E">
          <w:rPr>
            <w:rStyle w:val="-"/>
            <w:rFonts w:asciiTheme="minorHAnsi" w:hAnsiTheme="minorHAnsi" w:cs="Arial"/>
            <w:color w:val="auto"/>
            <w:u w:val="none"/>
            <w:shd w:val="clear" w:color="auto" w:fill="FFFFFF"/>
            <w:lang w:val="en-US"/>
          </w:rPr>
          <w:t>A</w:t>
        </w:r>
      </w:hyperlink>
      <w:r w:rsidR="00553335" w:rsidRPr="005A464E">
        <w:rPr>
          <w:rFonts w:asciiTheme="minorHAnsi" w:hAnsiTheme="minorHAnsi" w:cs="Arial"/>
          <w:shd w:val="clear" w:color="auto" w:fill="FFFFFF"/>
          <w:lang w:val="en-US"/>
        </w:rPr>
        <w:t>.</w:t>
      </w:r>
      <w:r w:rsidR="00553335" w:rsidRPr="005A464E">
        <w:rPr>
          <w:rFonts w:asciiTheme="minorHAnsi" w:hAnsiTheme="minorHAnsi" w:cs="Arial"/>
          <w:lang w:val="en-US"/>
        </w:rPr>
        <w:t xml:space="preserve"> (2003). Why do diabetic </w:t>
      </w:r>
      <w:r w:rsidR="00553335" w:rsidRPr="005A464E">
        <w:rPr>
          <w:rStyle w:val="highlight"/>
          <w:rFonts w:asciiTheme="minorHAnsi" w:hAnsiTheme="minorHAnsi" w:cs="Arial"/>
          <w:lang w:val="en-US"/>
        </w:rPr>
        <w:t>patients</w:t>
      </w:r>
      <w:r w:rsidR="00553335" w:rsidRPr="005A464E">
        <w:rPr>
          <w:rFonts w:asciiTheme="minorHAnsi" w:hAnsiTheme="minorHAnsi" w:cs="Arial"/>
          <w:lang w:val="en-US"/>
        </w:rPr>
        <w:t xml:space="preserve"> not attend appointments with their dietitian? </w:t>
      </w:r>
      <w:r w:rsidR="00553335" w:rsidRPr="005A464E">
        <w:rPr>
          <w:rFonts w:asciiTheme="minorHAnsi" w:hAnsiTheme="minorHAnsi" w:cs="Arial"/>
          <w:i/>
          <w:lang w:val="en-US"/>
        </w:rPr>
        <w:t xml:space="preserve">Journal of </w:t>
      </w:r>
      <w:hyperlink r:id="rId370" w:tooltip="Journal of human nutrition and dietetics : the official journal of the British Dietetic Association." w:history="1">
        <w:r w:rsidR="00553335" w:rsidRPr="00440627">
          <w:rPr>
            <w:rStyle w:val="-"/>
            <w:rFonts w:asciiTheme="minorHAnsi" w:hAnsiTheme="minorHAnsi" w:cs="Arial"/>
            <w:i/>
            <w:color w:val="auto"/>
            <w:u w:val="none"/>
            <w:shd w:val="clear" w:color="auto" w:fill="FFFFFF"/>
            <w:lang w:val="en-US"/>
          </w:rPr>
          <w:t> Human Nutrition and Dietetics,</w:t>
        </w:r>
      </w:hyperlink>
      <w:r w:rsidR="0078495A">
        <w:rPr>
          <w:rFonts w:asciiTheme="minorHAnsi" w:hAnsiTheme="minorHAnsi" w:cs="Arial"/>
          <w:i/>
          <w:shd w:val="clear" w:color="auto" w:fill="FFFFFF"/>
          <w:lang w:val="en-US"/>
        </w:rPr>
        <w:t xml:space="preserve"> </w:t>
      </w:r>
      <w:r w:rsidR="00440627" w:rsidRPr="00440627">
        <w:rPr>
          <w:rFonts w:asciiTheme="minorHAnsi" w:hAnsiTheme="minorHAnsi" w:cs="Arial"/>
          <w:i/>
          <w:shd w:val="clear" w:color="auto" w:fill="FFFFFF"/>
          <w:lang w:val="en-US"/>
        </w:rPr>
        <w:t>16</w:t>
      </w:r>
      <w:r w:rsidR="00553335" w:rsidRPr="00440627">
        <w:rPr>
          <w:rFonts w:asciiTheme="minorHAnsi" w:hAnsiTheme="minorHAnsi" w:cs="Arial"/>
          <w:i/>
          <w:shd w:val="clear" w:color="auto" w:fill="FFFFFF"/>
          <w:lang w:val="en-US"/>
        </w:rPr>
        <w:t>,</w:t>
      </w:r>
      <w:r w:rsidR="00553335" w:rsidRPr="005A464E">
        <w:rPr>
          <w:rFonts w:asciiTheme="minorHAnsi" w:hAnsiTheme="minorHAnsi" w:cs="Arial"/>
          <w:shd w:val="clear" w:color="auto" w:fill="FFFFFF"/>
          <w:lang w:val="en-US"/>
        </w:rPr>
        <w:t xml:space="preserve"> 151-8.</w:t>
      </w:r>
      <w:r w:rsidR="00553335" w:rsidRPr="005A464E">
        <w:rPr>
          <w:rStyle w:val="1Char"/>
          <w:rFonts w:asciiTheme="minorHAnsi" w:eastAsia="Calibri" w:hAnsiTheme="minorHAnsi" w:cs="Arial"/>
          <w:bCs w:val="0"/>
          <w:color w:val="auto"/>
          <w:sz w:val="24"/>
          <w:szCs w:val="24"/>
          <w:bdr w:val="none" w:sz="0" w:space="0" w:color="auto" w:frame="1"/>
          <w:shd w:val="clear" w:color="auto" w:fill="FFFFFF"/>
          <w:lang w:val="en-US"/>
        </w:rPr>
        <w:t xml:space="preserve"> </w:t>
      </w:r>
      <w:r w:rsidR="00292B29" w:rsidRPr="005A464E">
        <w:rPr>
          <w:rStyle w:val="article-headermeta-info-label"/>
          <w:rFonts w:asciiTheme="minorHAnsi" w:hAnsiTheme="minorHAnsi" w:cs="Arial"/>
          <w:bCs/>
          <w:bdr w:val="none" w:sz="0" w:space="0" w:color="auto" w:frame="1"/>
          <w:shd w:val="clear" w:color="auto" w:fill="FFFFFF"/>
          <w:lang w:val="en-US"/>
        </w:rPr>
        <w:t>DOI</w:t>
      </w:r>
      <w:r w:rsidR="00553335" w:rsidRPr="005A464E">
        <w:rPr>
          <w:rStyle w:val="article-headermeta-info-label"/>
          <w:rFonts w:asciiTheme="minorHAnsi" w:hAnsiTheme="minorHAnsi" w:cs="Arial"/>
          <w:bCs/>
          <w:bdr w:val="none" w:sz="0" w:space="0" w:color="auto" w:frame="1"/>
          <w:shd w:val="clear" w:color="auto" w:fill="FFFFFF"/>
          <w:lang w:val="en-US"/>
        </w:rPr>
        <w:t>: </w:t>
      </w:r>
      <w:r w:rsidR="00553335" w:rsidRPr="005A464E">
        <w:rPr>
          <w:rStyle w:val="article-headermeta-info-data"/>
          <w:rFonts w:asciiTheme="minorHAnsi" w:hAnsiTheme="minorHAnsi" w:cs="Arial"/>
          <w:bdr w:val="none" w:sz="0" w:space="0" w:color="auto" w:frame="1"/>
          <w:shd w:val="clear" w:color="auto" w:fill="FFFFFF"/>
          <w:lang w:val="en-US"/>
        </w:rPr>
        <w:t>10.1046/j.1365-277X.2003.00435.x</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Spinale, J., Cohen, S.D., Khetpal, P., Peterson, R.A., Clougherty, B., Puchalski, C.</w:t>
      </w:r>
      <w:r w:rsidRPr="00202084">
        <w:rPr>
          <w:rFonts w:asciiTheme="minorHAnsi" w:hAnsiTheme="minorHAnsi" w:cstheme="minorHAnsi"/>
          <w:lang w:val="en-US"/>
        </w:rPr>
        <w:t>M.</w:t>
      </w:r>
      <w:r w:rsidR="006A01DB" w:rsidRPr="00202084">
        <w:rPr>
          <w:rFonts w:asciiTheme="minorHAnsi" w:hAnsiTheme="minorHAnsi" w:cstheme="minorHAnsi"/>
          <w:lang w:val="en-US"/>
        </w:rPr>
        <w:t>,</w:t>
      </w:r>
      <w:r w:rsidRPr="00202084">
        <w:rPr>
          <w:rFonts w:asciiTheme="minorHAnsi" w:hAnsiTheme="minorHAnsi" w:cstheme="minorHAnsi"/>
          <w:lang w:val="en-US"/>
        </w:rPr>
        <w:t xml:space="preserve"> </w:t>
      </w:r>
      <w:r w:rsidR="00202084" w:rsidRPr="00202084">
        <w:rPr>
          <w:rFonts w:asciiTheme="minorHAnsi" w:hAnsiTheme="minorHAnsi"/>
          <w:lang w:val="en-US"/>
        </w:rPr>
        <w:t xml:space="preserve">… &amp; </w:t>
      </w:r>
      <w:hyperlink r:id="rId371" w:history="1">
        <w:r w:rsidR="006A01DB" w:rsidRPr="00202084">
          <w:rPr>
            <w:rStyle w:val="-"/>
            <w:rFonts w:asciiTheme="minorHAnsi" w:hAnsiTheme="minorHAnsi" w:cs="Arial"/>
            <w:color w:val="auto"/>
            <w:u w:val="none"/>
            <w:shd w:val="clear" w:color="auto" w:fill="FFFFFF"/>
            <w:lang w:val="en-US"/>
          </w:rPr>
          <w:t>Kimmel, P.L</w:t>
        </w:r>
      </w:hyperlink>
      <w:r w:rsidRPr="00202084">
        <w:rPr>
          <w:rFonts w:asciiTheme="minorHAnsi" w:hAnsiTheme="minorHAnsi" w:cstheme="minorHAnsi"/>
          <w:lang w:val="en-US"/>
        </w:rPr>
        <w:t>. (2008). Spirituality, social support, and survival in hemodi</w:t>
      </w:r>
      <w:r w:rsidRPr="005A464E">
        <w:rPr>
          <w:rFonts w:asciiTheme="minorHAnsi" w:hAnsiTheme="minorHAnsi" w:cstheme="minorHAnsi"/>
          <w:lang w:val="en-US"/>
        </w:rPr>
        <w:t xml:space="preserve">alysis patients. </w:t>
      </w:r>
      <w:r w:rsidRPr="005A464E">
        <w:rPr>
          <w:rFonts w:asciiTheme="minorHAnsi" w:hAnsiTheme="minorHAnsi" w:cstheme="minorHAnsi"/>
          <w:i/>
          <w:iCs/>
          <w:lang w:val="en-US"/>
        </w:rPr>
        <w:t>Clinical Journal American Society of Nephrology</w:t>
      </w:r>
      <w:r w:rsidRPr="00440627">
        <w:rPr>
          <w:rFonts w:asciiTheme="minorHAnsi" w:hAnsiTheme="minorHAnsi" w:cstheme="minorHAnsi"/>
          <w:i/>
          <w:iCs/>
          <w:lang w:val="en-US"/>
        </w:rPr>
        <w:t>, 3</w:t>
      </w:r>
      <w:r w:rsidRPr="00440627">
        <w:rPr>
          <w:rFonts w:asciiTheme="minorHAnsi" w:hAnsiTheme="minorHAnsi" w:cstheme="minorHAnsi"/>
          <w:i/>
          <w:lang w:val="en-US"/>
        </w:rPr>
        <w:t>,</w:t>
      </w:r>
      <w:r w:rsidRPr="005A464E">
        <w:rPr>
          <w:rFonts w:asciiTheme="minorHAnsi" w:hAnsiTheme="minorHAnsi" w:cstheme="minorHAnsi"/>
          <w:lang w:val="en-US"/>
        </w:rPr>
        <w:t xml:space="preserve"> 1620-1627</w:t>
      </w:r>
      <w:r w:rsidRPr="005A464E">
        <w:rPr>
          <w:rFonts w:asciiTheme="minorHAnsi" w:hAnsiTheme="minorHAnsi" w:cstheme="minorHAnsi"/>
          <w:color w:val="000000"/>
          <w:shd w:val="clear" w:color="auto" w:fill="FFFFFF"/>
          <w:lang w:val="en-US"/>
        </w:rPr>
        <w:t xml:space="preserve"> </w:t>
      </w:r>
      <w:r w:rsidR="00292B29" w:rsidRPr="005A464E">
        <w:rPr>
          <w:rFonts w:asciiTheme="minorHAnsi" w:hAnsiTheme="minorHAnsi" w:cstheme="minorHAnsi"/>
          <w:color w:val="000000"/>
          <w:shd w:val="clear" w:color="auto" w:fill="FFFFFF"/>
          <w:lang w:val="en-US"/>
        </w:rPr>
        <w:t>DOI</w:t>
      </w:r>
      <w:r w:rsidRPr="005A464E">
        <w:rPr>
          <w:rFonts w:asciiTheme="minorHAnsi" w:hAnsiTheme="minorHAnsi" w:cstheme="minorHAnsi"/>
          <w:color w:val="000000"/>
          <w:shd w:val="clear" w:color="auto" w:fill="FFFFFF"/>
          <w:lang w:val="en-US"/>
        </w:rPr>
        <w:t>: 10.2215/CJN.01790408.</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St Peter,W.L. (2015). Management of </w:t>
      </w:r>
      <w:r w:rsidR="00F7182C" w:rsidRPr="005A464E">
        <w:rPr>
          <w:rFonts w:asciiTheme="minorHAnsi" w:eastAsia="Times New Roman" w:hAnsiTheme="minorHAnsi" w:cstheme="minorHAnsi"/>
          <w:lang w:val="en-US" w:eastAsia="el-GR"/>
        </w:rPr>
        <w:t>polypharmacy in dialysis patients</w:t>
      </w:r>
      <w:r w:rsidRPr="005A464E">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i/>
          <w:lang w:val="en-US" w:eastAsia="el-GR"/>
        </w:rPr>
        <w:t>Seminars in Dialysis</w:t>
      </w:r>
      <w:r w:rsidR="00440627">
        <w:rPr>
          <w:rFonts w:asciiTheme="minorHAnsi" w:eastAsia="Times New Roman" w:hAnsiTheme="minorHAnsi" w:cstheme="minorHAnsi"/>
          <w:lang w:val="en-US" w:eastAsia="el-GR"/>
        </w:rPr>
        <w:t>,</w:t>
      </w:r>
      <w:r w:rsidR="0078495A">
        <w:rPr>
          <w:rFonts w:asciiTheme="minorHAnsi" w:eastAsia="Times New Roman" w:hAnsiTheme="minorHAnsi" w:cstheme="minorHAnsi"/>
          <w:lang w:val="en-US" w:eastAsia="el-GR"/>
        </w:rPr>
        <w:t xml:space="preserve"> </w:t>
      </w:r>
      <w:r w:rsidR="00440627" w:rsidRPr="00440627">
        <w:rPr>
          <w:rFonts w:asciiTheme="minorHAnsi" w:eastAsia="Times New Roman" w:hAnsiTheme="minorHAnsi" w:cstheme="minorHAnsi"/>
          <w:i/>
          <w:lang w:val="en-US" w:eastAsia="el-GR"/>
        </w:rPr>
        <w:t>28</w:t>
      </w:r>
      <w:r w:rsidR="006A01DB" w:rsidRPr="005A464E">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427-432.</w:t>
      </w:r>
      <w:r w:rsidR="0078495A">
        <w:rPr>
          <w:rStyle w:val="1Char"/>
          <w:rFonts w:asciiTheme="minorHAnsi" w:eastAsia="Calibri" w:hAnsiTheme="minorHAnsi" w:cstheme="minorHAnsi"/>
          <w:color w:val="000000"/>
          <w:sz w:val="24"/>
          <w:szCs w:val="24"/>
          <w:shd w:val="clear" w:color="auto" w:fill="FFFFFF"/>
          <w:lang w:val="en-US"/>
        </w:rPr>
        <w:t xml:space="preserve"> </w:t>
      </w:r>
      <w:r w:rsidR="00292B29" w:rsidRPr="005A464E">
        <w:rPr>
          <w:rFonts w:asciiTheme="minorHAnsi" w:hAnsiTheme="minorHAnsi" w:cstheme="minorHAnsi"/>
          <w:color w:val="000000"/>
          <w:shd w:val="clear" w:color="auto" w:fill="FFFFFF"/>
          <w:lang w:val="en-US"/>
        </w:rPr>
        <w:t>DOI</w:t>
      </w:r>
      <w:r w:rsidRPr="005A464E">
        <w:rPr>
          <w:rFonts w:asciiTheme="minorHAnsi" w:hAnsiTheme="minorHAnsi" w:cstheme="minorHAnsi"/>
          <w:color w:val="000000"/>
          <w:shd w:val="clear" w:color="auto" w:fill="FFFFFF"/>
          <w:lang w:val="en-US"/>
        </w:rPr>
        <w:t>: 10.1111/</w:t>
      </w:r>
      <w:r w:rsidR="00D225F5" w:rsidRPr="005A464E">
        <w:rPr>
          <w:rFonts w:asciiTheme="minorHAnsi" w:hAnsiTheme="minorHAnsi" w:cstheme="minorHAnsi"/>
          <w:color w:val="000000"/>
          <w:shd w:val="clear" w:color="auto" w:fill="FFFFFF"/>
          <w:lang w:val="en-US"/>
        </w:rPr>
        <w:t>ΤΑ</w:t>
      </w:r>
      <w:r w:rsidRPr="005A464E">
        <w:rPr>
          <w:rFonts w:asciiTheme="minorHAnsi" w:hAnsiTheme="minorHAnsi" w:cstheme="minorHAnsi"/>
          <w:color w:val="000000"/>
          <w:shd w:val="clear" w:color="auto" w:fill="FFFFFF"/>
          <w:lang w:val="en-US"/>
        </w:rPr>
        <w:t>i.12377</w:t>
      </w:r>
      <w:r w:rsidR="006A01DB" w:rsidRPr="005A464E">
        <w:rPr>
          <w:rFonts w:asciiTheme="minorHAnsi" w:hAnsiTheme="minorHAnsi" w:cstheme="minorHAnsi"/>
          <w:color w:val="000000"/>
          <w:shd w:val="clear" w:color="auto" w:fill="FFFFFF"/>
          <w:lang w:val="en-US"/>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Stanton, M.W.</w:t>
      </w:r>
      <w:r w:rsidR="00440627">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(2002). Expanding patient-centered care to empower patients and assist providers. A</w:t>
      </w:r>
      <w:r w:rsidR="00440627">
        <w:rPr>
          <w:rFonts w:asciiTheme="minorHAnsi" w:eastAsia="Times New Roman" w:hAnsiTheme="minorHAnsi" w:cstheme="minorHAnsi"/>
          <w:i/>
          <w:lang w:val="en-US" w:eastAsia="el-GR"/>
        </w:rPr>
        <w:t>gency For Health Care Research a</w:t>
      </w:r>
      <w:r w:rsidRPr="005A464E">
        <w:rPr>
          <w:rFonts w:asciiTheme="minorHAnsi" w:eastAsia="Times New Roman" w:hAnsiTheme="minorHAnsi" w:cstheme="minorHAnsi"/>
          <w:i/>
          <w:lang w:val="en-US" w:eastAsia="el-GR"/>
        </w:rPr>
        <w:t>nd Quality</w:t>
      </w:r>
      <w:r w:rsidRPr="005A464E">
        <w:rPr>
          <w:rFonts w:asciiTheme="minorHAnsi" w:eastAsia="Times New Roman" w:hAnsiTheme="minorHAnsi" w:cstheme="minorHAnsi"/>
          <w:lang w:val="en-US" w:eastAsia="el-GR"/>
        </w:rPr>
        <w:t>.</w:t>
      </w:r>
      <w:r w:rsidRPr="005A464E">
        <w:rPr>
          <w:rFonts w:asciiTheme="minorHAnsi" w:hAnsiTheme="minorHAnsi" w:cstheme="minorHAnsi"/>
          <w:lang w:val="en-US"/>
        </w:rPr>
        <w:t xml:space="preserve"> </w:t>
      </w:r>
      <w:hyperlink r:id="rId372" w:history="1">
        <w:r w:rsidRPr="005A464E">
          <w:rPr>
            <w:rStyle w:val="-"/>
            <w:rFonts w:asciiTheme="minorHAnsi" w:hAnsiTheme="minorHAnsi" w:cstheme="minorHAnsi"/>
            <w:color w:val="auto"/>
            <w:u w:val="none"/>
            <w:lang w:val="en-US"/>
          </w:rPr>
          <w:t>www.ahrq.gov</w:t>
        </w:r>
      </w:hyperlink>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Steckel, S.B. (1974). The use of positive reinforcement in order to increase patient compliance. </w:t>
      </w:r>
      <w:r w:rsidRPr="005A464E">
        <w:rPr>
          <w:rFonts w:asciiTheme="minorHAnsi" w:eastAsia="Times New Roman" w:hAnsiTheme="minorHAnsi" w:cstheme="minorHAnsi"/>
          <w:i/>
          <w:lang w:val="en-US" w:eastAsia="el-GR"/>
        </w:rPr>
        <w:t>AANNT Journal,</w:t>
      </w:r>
      <w:r w:rsidR="00440627">
        <w:rPr>
          <w:rFonts w:asciiTheme="minorHAnsi" w:eastAsia="Times New Roman" w:hAnsiTheme="minorHAnsi" w:cstheme="minorHAnsi"/>
          <w:lang w:val="en-US" w:eastAsia="el-GR"/>
        </w:rPr>
        <w:t xml:space="preserve"> </w:t>
      </w:r>
      <w:r w:rsidR="00440627" w:rsidRPr="00440627">
        <w:rPr>
          <w:rFonts w:asciiTheme="minorHAnsi" w:eastAsia="Times New Roman" w:hAnsiTheme="minorHAnsi" w:cstheme="minorHAnsi"/>
          <w:i/>
          <w:lang w:val="en-US" w:eastAsia="el-GR"/>
        </w:rPr>
        <w:t>1</w:t>
      </w:r>
      <w:r w:rsidRPr="00440627">
        <w:rPr>
          <w:rFonts w:asciiTheme="minorHAnsi" w:eastAsia="Times New Roman" w:hAnsiTheme="minorHAnsi" w:cstheme="minorHAnsi"/>
          <w:i/>
          <w:lang w:val="en-US" w:eastAsia="el-GR"/>
        </w:rPr>
        <w:t>,</w:t>
      </w:r>
      <w:r w:rsidR="00713966" w:rsidRPr="005A464E">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39-41</w:t>
      </w:r>
      <w:r w:rsidR="00713966" w:rsidRPr="005A464E">
        <w:rPr>
          <w:rFonts w:asciiTheme="minorHAnsi" w:eastAsia="Times New Roman" w:hAnsiTheme="minorHAnsi" w:cstheme="minorHAnsi"/>
          <w:lang w:val="en-US" w:eastAsia="el-GR"/>
        </w:rPr>
        <w:t>.</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Steiner, J.F., &amp; Earnest, M.A.</w:t>
      </w:r>
      <w:r w:rsidR="00713966" w:rsidRPr="005A464E">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 xml:space="preserve">(2000). The language of medication-taking. </w:t>
      </w:r>
      <w:r w:rsidRPr="005A464E">
        <w:rPr>
          <w:rFonts w:asciiTheme="minorHAnsi" w:eastAsia="Times New Roman" w:hAnsiTheme="minorHAnsi" w:cstheme="minorHAnsi"/>
          <w:i/>
          <w:lang w:val="en-US" w:eastAsia="el-GR"/>
        </w:rPr>
        <w:t>Annals of Internal Medicine,</w:t>
      </w:r>
      <w:r w:rsidR="00713966" w:rsidRPr="005A464E">
        <w:rPr>
          <w:rFonts w:asciiTheme="minorHAnsi" w:eastAsia="Times New Roman" w:hAnsiTheme="minorHAnsi" w:cstheme="minorHAnsi"/>
          <w:i/>
          <w:lang w:val="en-US" w:eastAsia="el-GR"/>
        </w:rPr>
        <w:t xml:space="preserve"> </w:t>
      </w:r>
      <w:r w:rsidR="00440627" w:rsidRPr="00440627">
        <w:rPr>
          <w:rFonts w:asciiTheme="minorHAnsi" w:eastAsia="Times New Roman" w:hAnsiTheme="minorHAnsi" w:cstheme="minorHAnsi"/>
          <w:i/>
          <w:lang w:val="en-US" w:eastAsia="el-GR"/>
        </w:rPr>
        <w:t>132</w:t>
      </w:r>
      <w:r w:rsidR="00713966" w:rsidRPr="00440627">
        <w:rPr>
          <w:rFonts w:asciiTheme="minorHAnsi" w:eastAsia="Times New Roman" w:hAnsiTheme="minorHAnsi" w:cstheme="minorHAnsi"/>
          <w:i/>
          <w:lang w:val="en-US" w:eastAsia="el-GR"/>
        </w:rPr>
        <w:t>,</w:t>
      </w:r>
      <w:r w:rsidR="00713966" w:rsidRPr="005A464E">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926-930</w:t>
      </w:r>
      <w:r w:rsidR="00713966" w:rsidRPr="005A464E">
        <w:rPr>
          <w:rFonts w:asciiTheme="minorHAnsi" w:eastAsia="Times New Roman" w:hAnsiTheme="minorHAnsi" w:cstheme="minorHAnsi"/>
          <w:lang w:val="en-US" w:eastAsia="el-GR"/>
        </w:rPr>
        <w:t>.</w:t>
      </w:r>
    </w:p>
    <w:p w:rsidR="003C410F" w:rsidRPr="005A464E" w:rsidRDefault="003C410F" w:rsidP="005A464E">
      <w:pPr>
        <w:pStyle w:val="Web"/>
        <w:spacing w:after="166" w:line="360" w:lineRule="auto"/>
        <w:ind w:left="415" w:hanging="415"/>
        <w:jc w:val="both"/>
        <w:rPr>
          <w:rFonts w:asciiTheme="minorHAnsi" w:hAnsiTheme="minorHAnsi" w:cstheme="minorHAnsi"/>
          <w:color w:val="000000"/>
          <w:shd w:val="clear" w:color="auto" w:fill="FFFFFF"/>
          <w:lang w:val="en-US"/>
        </w:rPr>
      </w:pPr>
      <w:r w:rsidRPr="005A464E">
        <w:rPr>
          <w:rFonts w:asciiTheme="minorHAnsi" w:eastAsia="Times New Roman" w:hAnsiTheme="minorHAnsi" w:cstheme="minorHAnsi"/>
          <w:lang w:val="en-US" w:eastAsia="el-GR"/>
        </w:rPr>
        <w:t xml:space="preserve">Street, R.L. Jr., Makoul, G., Arora, N.K., </w:t>
      </w:r>
      <w:r w:rsidR="00125190" w:rsidRPr="005A464E">
        <w:rPr>
          <w:rFonts w:asciiTheme="minorHAnsi" w:eastAsia="Times New Roman" w:hAnsiTheme="minorHAnsi" w:cstheme="minorHAnsi"/>
          <w:lang w:val="en-US" w:eastAsia="el-GR"/>
        </w:rPr>
        <w:t xml:space="preserve">&amp; </w:t>
      </w:r>
      <w:r w:rsidRPr="005A464E">
        <w:rPr>
          <w:rFonts w:asciiTheme="minorHAnsi" w:eastAsia="Times New Roman" w:hAnsiTheme="minorHAnsi" w:cstheme="minorHAnsi"/>
          <w:lang w:val="en-US" w:eastAsia="el-GR"/>
        </w:rPr>
        <w:t>Epstein, R.</w:t>
      </w:r>
      <w:r w:rsidR="00713966" w:rsidRPr="005A464E">
        <w:rPr>
          <w:rFonts w:asciiTheme="minorHAnsi" w:eastAsia="Times New Roman" w:hAnsiTheme="minorHAnsi" w:cstheme="minorHAnsi"/>
          <w:lang w:val="en-US" w:eastAsia="el-GR"/>
        </w:rPr>
        <w:t>M.</w:t>
      </w:r>
      <w:r w:rsidR="00202084">
        <w:rPr>
          <w:rFonts w:asciiTheme="minorHAnsi" w:eastAsia="Times New Roman" w:hAnsiTheme="minorHAnsi" w:cstheme="minorHAnsi"/>
          <w:lang w:val="en-US" w:eastAsia="el-GR"/>
        </w:rPr>
        <w:t xml:space="preserve"> (2009). How does communication heal? </w:t>
      </w:r>
      <w:r w:rsidRPr="005A464E">
        <w:rPr>
          <w:rFonts w:asciiTheme="minorHAnsi" w:eastAsia="Times New Roman" w:hAnsiTheme="minorHAnsi" w:cstheme="minorHAnsi"/>
          <w:lang w:val="en-US" w:eastAsia="el-GR"/>
        </w:rPr>
        <w:t xml:space="preserve">Pathways linking clinician-patient communication to health outcomes. </w:t>
      </w:r>
      <w:r w:rsidRPr="005A464E">
        <w:rPr>
          <w:rFonts w:asciiTheme="minorHAnsi" w:eastAsia="Times New Roman" w:hAnsiTheme="minorHAnsi" w:cstheme="minorHAnsi"/>
          <w:i/>
          <w:lang w:val="en-US" w:eastAsia="el-GR"/>
        </w:rPr>
        <w:t>Patient Education &amp; Counseling</w:t>
      </w:r>
      <w:r w:rsidRPr="005A464E">
        <w:rPr>
          <w:rFonts w:asciiTheme="minorHAnsi" w:eastAsia="Times New Roman" w:hAnsiTheme="minorHAnsi" w:cstheme="minorHAnsi"/>
          <w:lang w:val="en-US" w:eastAsia="el-GR"/>
        </w:rPr>
        <w:t>,</w:t>
      </w:r>
      <w:r w:rsidR="00713966" w:rsidRPr="005A464E">
        <w:rPr>
          <w:rFonts w:asciiTheme="minorHAnsi" w:eastAsia="Times New Roman" w:hAnsiTheme="minorHAnsi" w:cstheme="minorHAnsi"/>
          <w:lang w:val="en-US" w:eastAsia="el-GR"/>
        </w:rPr>
        <w:t xml:space="preserve"> </w:t>
      </w:r>
      <w:r w:rsidR="00440627" w:rsidRPr="00440627">
        <w:rPr>
          <w:rFonts w:asciiTheme="minorHAnsi" w:eastAsia="Times New Roman" w:hAnsiTheme="minorHAnsi" w:cstheme="minorHAnsi"/>
          <w:i/>
          <w:lang w:val="en-US" w:eastAsia="el-GR"/>
        </w:rPr>
        <w:t>74</w:t>
      </w:r>
      <w:r w:rsidRPr="005A464E">
        <w:rPr>
          <w:rFonts w:asciiTheme="minorHAnsi" w:eastAsia="Times New Roman" w:hAnsiTheme="minorHAnsi" w:cstheme="minorHAnsi"/>
          <w:lang w:val="en-US" w:eastAsia="el-GR"/>
        </w:rPr>
        <w:t>, 295-301</w:t>
      </w:r>
      <w:r w:rsidR="00713966" w:rsidRPr="005A464E">
        <w:rPr>
          <w:rFonts w:asciiTheme="minorHAnsi" w:eastAsia="Times New Roman" w:hAnsiTheme="minorHAnsi" w:cstheme="minorHAnsi"/>
          <w:lang w:val="en-US" w:eastAsia="el-GR"/>
        </w:rPr>
        <w:t>.</w:t>
      </w:r>
      <w:r w:rsidRPr="005A464E">
        <w:rPr>
          <w:rFonts w:asciiTheme="minorHAnsi" w:hAnsiTheme="minorHAnsi" w:cstheme="minorHAnsi"/>
          <w:color w:val="000000"/>
          <w:shd w:val="clear" w:color="auto" w:fill="FFFFFF"/>
          <w:lang w:val="en-US"/>
        </w:rPr>
        <w:t xml:space="preserve"> </w:t>
      </w:r>
      <w:r w:rsidR="00292B29" w:rsidRPr="005A464E">
        <w:rPr>
          <w:rFonts w:asciiTheme="minorHAnsi" w:hAnsiTheme="minorHAnsi" w:cstheme="minorHAnsi"/>
          <w:color w:val="000000"/>
          <w:shd w:val="clear" w:color="auto" w:fill="FFFFFF"/>
          <w:lang w:val="en-US"/>
        </w:rPr>
        <w:t>DOI</w:t>
      </w:r>
      <w:r w:rsidRPr="005A464E">
        <w:rPr>
          <w:rFonts w:asciiTheme="minorHAnsi" w:hAnsiTheme="minorHAnsi" w:cstheme="minorHAnsi"/>
          <w:color w:val="000000"/>
          <w:shd w:val="clear" w:color="auto" w:fill="FFFFFF"/>
          <w:lang w:val="en-US"/>
        </w:rPr>
        <w:t>: 10.1016/j.pec.2008.11.015.</w:t>
      </w:r>
    </w:p>
    <w:p w:rsidR="00125190" w:rsidRPr="005A464E" w:rsidRDefault="00125190"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hAnsiTheme="minorHAnsi" w:cstheme="minorHAnsi"/>
          <w:color w:val="000000"/>
          <w:lang w:val="en-US"/>
        </w:rPr>
        <w:t>S</w:t>
      </w:r>
      <w:r w:rsidR="00713966" w:rsidRPr="005A464E">
        <w:rPr>
          <w:rFonts w:asciiTheme="minorHAnsi" w:hAnsiTheme="minorHAnsi" w:cstheme="minorHAnsi"/>
          <w:color w:val="000000"/>
          <w:lang w:val="en-US"/>
        </w:rPr>
        <w:t>tumm, E.M., Kirchner, R.M., Guido, L.A., Benetti, E.R., Belasco, A.G., Sesso, R.C.,</w:t>
      </w:r>
      <w:r w:rsidRPr="005A464E">
        <w:rPr>
          <w:rFonts w:asciiTheme="minorHAnsi" w:hAnsiTheme="minorHAnsi" w:cstheme="minorHAnsi"/>
          <w:color w:val="000000"/>
          <w:lang w:val="en-US"/>
        </w:rPr>
        <w:t xml:space="preserve"> </w:t>
      </w:r>
      <w:r w:rsidR="00713966" w:rsidRPr="005A464E">
        <w:rPr>
          <w:rFonts w:asciiTheme="minorHAnsi" w:hAnsiTheme="minorHAnsi" w:cstheme="minorHAnsi"/>
          <w:color w:val="000000"/>
          <w:lang w:val="en-US"/>
        </w:rPr>
        <w:t>&amp; Barbosa, D.A</w:t>
      </w:r>
      <w:r w:rsidRPr="005A464E">
        <w:rPr>
          <w:rFonts w:asciiTheme="minorHAnsi" w:hAnsiTheme="minorHAnsi" w:cstheme="minorHAnsi"/>
          <w:color w:val="000000"/>
          <w:lang w:val="en-US"/>
        </w:rPr>
        <w:t>. (2017). Educational nursing intervention to reduce the hyperphosphatemia in patients on hemodialysis.</w:t>
      </w:r>
      <w:r w:rsidR="0078495A">
        <w:rPr>
          <w:rStyle w:val="apple-converted-space"/>
          <w:rFonts w:asciiTheme="minorHAnsi" w:hAnsiTheme="minorHAnsi" w:cstheme="minorHAnsi"/>
          <w:color w:val="000000"/>
          <w:lang w:val="en-US"/>
        </w:rPr>
        <w:t xml:space="preserve"> </w:t>
      </w:r>
      <w:r w:rsidRPr="005A464E">
        <w:rPr>
          <w:rFonts w:asciiTheme="minorHAnsi" w:hAnsiTheme="minorHAnsi" w:cstheme="minorHAnsi"/>
          <w:i/>
          <w:iCs/>
          <w:color w:val="000000"/>
          <w:lang w:val="en-US"/>
        </w:rPr>
        <w:t>Revista Brasileira de Enfermagem</w:t>
      </w:r>
      <w:r w:rsidRPr="005A464E">
        <w:rPr>
          <w:rFonts w:asciiTheme="minorHAnsi" w:hAnsiTheme="minorHAnsi" w:cstheme="minorHAnsi"/>
          <w:color w:val="000000"/>
          <w:lang w:val="en-US"/>
        </w:rPr>
        <w:t>,</w:t>
      </w:r>
      <w:r w:rsidRPr="005A464E">
        <w:rPr>
          <w:rStyle w:val="apple-converted-space"/>
          <w:rFonts w:asciiTheme="minorHAnsi" w:hAnsiTheme="minorHAnsi" w:cstheme="minorHAnsi"/>
          <w:color w:val="000000"/>
          <w:lang w:val="en-US"/>
        </w:rPr>
        <w:t> </w:t>
      </w:r>
      <w:r w:rsidR="00440627" w:rsidRPr="00440627">
        <w:rPr>
          <w:rFonts w:asciiTheme="minorHAnsi" w:hAnsiTheme="minorHAnsi" w:cstheme="minorHAnsi"/>
          <w:i/>
          <w:iCs/>
          <w:color w:val="000000"/>
          <w:lang w:val="en-US"/>
        </w:rPr>
        <w:t>70</w:t>
      </w:r>
      <w:r w:rsidRPr="00440627">
        <w:rPr>
          <w:rFonts w:asciiTheme="minorHAnsi" w:hAnsiTheme="minorHAnsi" w:cstheme="minorHAnsi"/>
          <w:i/>
          <w:color w:val="000000"/>
          <w:lang w:val="en-US"/>
        </w:rPr>
        <w:t>,</w:t>
      </w:r>
      <w:r w:rsidRPr="005A464E">
        <w:rPr>
          <w:rFonts w:asciiTheme="minorHAnsi" w:hAnsiTheme="minorHAnsi" w:cstheme="minorHAnsi"/>
          <w:color w:val="000000"/>
          <w:lang w:val="en-US"/>
        </w:rPr>
        <w:t xml:space="preserve"> 31-38.</w:t>
      </w:r>
      <w:r w:rsidRPr="005A464E">
        <w:rPr>
          <w:rStyle w:val="apple-converted-space"/>
          <w:rFonts w:asciiTheme="minorHAnsi" w:hAnsiTheme="minorHAnsi" w:cstheme="minorHAnsi"/>
          <w:color w:val="000000"/>
          <w:lang w:val="en-US"/>
        </w:rPr>
        <w:t> </w:t>
      </w:r>
      <w:hyperlink r:id="rId373" w:history="1">
        <w:r w:rsidRPr="005A464E">
          <w:rPr>
            <w:rStyle w:val="-"/>
            <w:rFonts w:asciiTheme="minorHAnsi" w:hAnsiTheme="minorHAnsi" w:cstheme="minorHAnsi"/>
            <w:color w:val="auto"/>
            <w:u w:val="none"/>
            <w:lang w:val="en-US"/>
          </w:rPr>
          <w:t>https://dx.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.org/10.1590/0034-7167-2016-0015</w:t>
        </w:r>
      </w:hyperlink>
      <w:r w:rsidR="00713966" w:rsidRPr="005A464E">
        <w:rPr>
          <w:rFonts w:asciiTheme="minorHAnsi" w:hAnsiTheme="minorHAnsi"/>
          <w:lang w:val="en-US"/>
        </w:rPr>
        <w:t>.</w:t>
      </w:r>
    </w:p>
    <w:p w:rsidR="00713966" w:rsidRPr="005A464E" w:rsidRDefault="003C410F" w:rsidP="005A464E">
      <w:pPr>
        <w:pStyle w:val="Web"/>
        <w:spacing w:after="166" w:line="360" w:lineRule="auto"/>
        <w:ind w:left="415" w:hanging="415"/>
        <w:jc w:val="both"/>
        <w:rPr>
          <w:rStyle w:val="article-headermeta-info-data"/>
          <w:rFonts w:asciiTheme="minorHAnsi" w:hAnsiTheme="minorHAnsi" w:cstheme="minorHAnsi"/>
          <w:bdr w:val="none" w:sz="0" w:space="0" w:color="auto" w:frame="1"/>
          <w:shd w:val="clear" w:color="auto" w:fill="FFFFFF"/>
          <w:lang w:val="en-US"/>
        </w:rPr>
      </w:pPr>
      <w:r w:rsidRPr="005A464E">
        <w:rPr>
          <w:rFonts w:asciiTheme="minorHAnsi" w:eastAsia="Times New Roman" w:hAnsiTheme="minorHAnsi" w:cstheme="minorHAnsi"/>
          <w:lang w:val="en-US" w:eastAsia="el-GR"/>
        </w:rPr>
        <w:t>Suet-Ching, W.L. (2001).</w:t>
      </w:r>
      <w:r w:rsidRPr="005A464E">
        <w:rPr>
          <w:rFonts w:asciiTheme="minorHAnsi" w:hAnsiTheme="minorHAnsi" w:cstheme="minorHAnsi"/>
          <w:lang w:val="en-US"/>
        </w:rPr>
        <w:t xml:space="preserve"> The psychometric properties of the Chinese Dialysis Quality of Life Scale for Hong Kong dialysis patients. </w:t>
      </w:r>
      <w:r w:rsidRPr="005A464E">
        <w:rPr>
          <w:rFonts w:asciiTheme="minorHAnsi" w:eastAsia="Times New Roman" w:hAnsiTheme="minorHAnsi" w:cstheme="minorHAnsi"/>
          <w:i/>
          <w:lang w:val="en-US" w:eastAsia="el-GR"/>
        </w:rPr>
        <w:t>Journal of Advanced Nursing,</w:t>
      </w:r>
      <w:r w:rsidR="00440627">
        <w:rPr>
          <w:rFonts w:asciiTheme="minorHAnsi" w:eastAsia="Times New Roman" w:hAnsiTheme="minorHAnsi" w:cstheme="minorHAnsi"/>
          <w:lang w:val="en-US" w:eastAsia="el-GR"/>
        </w:rPr>
        <w:t xml:space="preserve"> </w:t>
      </w:r>
      <w:r w:rsidR="00440627" w:rsidRPr="00440627">
        <w:rPr>
          <w:rFonts w:asciiTheme="minorHAnsi" w:eastAsia="Times New Roman" w:hAnsiTheme="minorHAnsi" w:cstheme="minorHAnsi"/>
          <w:i/>
          <w:lang w:val="en-US" w:eastAsia="el-GR"/>
        </w:rPr>
        <w:t>36</w:t>
      </w:r>
      <w:r w:rsidRPr="00440627">
        <w:rPr>
          <w:rFonts w:asciiTheme="minorHAnsi" w:eastAsia="Times New Roman" w:hAnsiTheme="minorHAnsi" w:cstheme="minorHAnsi"/>
          <w:i/>
          <w:lang w:val="en-US" w:eastAsia="el-GR"/>
        </w:rPr>
        <w:t>,</w:t>
      </w:r>
      <w:r w:rsidRPr="005A464E">
        <w:rPr>
          <w:rFonts w:asciiTheme="minorHAnsi" w:eastAsia="Times New Roman" w:hAnsiTheme="minorHAnsi" w:cstheme="minorHAnsi"/>
          <w:lang w:val="en-US" w:eastAsia="el-GR"/>
        </w:rPr>
        <w:t xml:space="preserve"> 441-449</w:t>
      </w:r>
      <w:r w:rsidR="00713966" w:rsidRPr="005A464E">
        <w:rPr>
          <w:rFonts w:asciiTheme="minorHAnsi" w:eastAsia="Times New Roman" w:hAnsiTheme="minorHAnsi" w:cstheme="minorHAnsi"/>
          <w:lang w:val="en-US" w:eastAsia="el-GR"/>
        </w:rPr>
        <w:t>.</w:t>
      </w:r>
      <w:r w:rsidRPr="005A464E">
        <w:rPr>
          <w:rStyle w:val="1Char"/>
          <w:rFonts w:asciiTheme="minorHAnsi" w:eastAsia="Calibri" w:hAnsiTheme="minorHAnsi" w:cstheme="minorHAnsi"/>
          <w:bCs w:val="0"/>
          <w:color w:val="auto"/>
          <w:sz w:val="24"/>
          <w:szCs w:val="24"/>
          <w:bdr w:val="none" w:sz="0" w:space="0" w:color="auto" w:frame="1"/>
          <w:shd w:val="clear" w:color="auto" w:fill="FFFFFF"/>
          <w:lang w:val="en-US"/>
        </w:rPr>
        <w:t xml:space="preserve"> </w:t>
      </w:r>
      <w:r w:rsidR="00292B29" w:rsidRPr="005A464E">
        <w:rPr>
          <w:rStyle w:val="article-headermeta-info-label"/>
          <w:rFonts w:asciiTheme="minorHAnsi" w:hAnsiTheme="minorHAnsi" w:cstheme="minorHAnsi"/>
          <w:bCs/>
          <w:bdr w:val="none" w:sz="0" w:space="0" w:color="auto" w:frame="1"/>
          <w:shd w:val="clear" w:color="auto" w:fill="FFFFFF"/>
          <w:lang w:val="en-US"/>
        </w:rPr>
        <w:t>DOI</w:t>
      </w:r>
      <w:r w:rsidRPr="005A464E">
        <w:rPr>
          <w:rStyle w:val="article-headermeta-info-label"/>
          <w:rFonts w:asciiTheme="minorHAnsi" w:hAnsiTheme="minorHAnsi" w:cstheme="minorHAnsi"/>
          <w:bCs/>
          <w:bdr w:val="none" w:sz="0" w:space="0" w:color="auto" w:frame="1"/>
          <w:shd w:val="clear" w:color="auto" w:fill="FFFFFF"/>
          <w:lang w:val="en-US"/>
        </w:rPr>
        <w:t>:</w:t>
      </w:r>
      <w:r w:rsidRPr="005A464E">
        <w:rPr>
          <w:rStyle w:val="apple-converted-space"/>
          <w:rFonts w:asciiTheme="minorHAnsi" w:hAnsiTheme="minorHAnsi" w:cstheme="minorHAnsi"/>
          <w:bCs/>
          <w:bdr w:val="none" w:sz="0" w:space="0" w:color="auto" w:frame="1"/>
          <w:shd w:val="clear" w:color="auto" w:fill="FFFFFF"/>
          <w:lang w:val="en-US"/>
        </w:rPr>
        <w:t> </w:t>
      </w:r>
      <w:r w:rsidRPr="005A464E">
        <w:rPr>
          <w:rStyle w:val="article-headermeta-info-data"/>
          <w:rFonts w:asciiTheme="minorHAnsi" w:hAnsiTheme="minorHAnsi" w:cstheme="minorHAnsi"/>
          <w:bdr w:val="none" w:sz="0" w:space="0" w:color="auto" w:frame="1"/>
          <w:shd w:val="clear" w:color="auto" w:fill="FFFFFF"/>
          <w:lang w:val="en-US"/>
        </w:rPr>
        <w:t>10.1046/j.1365-2648.2001.01992.x</w:t>
      </w:r>
      <w:r w:rsidR="00713966" w:rsidRPr="005A464E">
        <w:rPr>
          <w:rStyle w:val="article-headermeta-info-data"/>
          <w:rFonts w:asciiTheme="minorHAnsi" w:hAnsiTheme="minorHAnsi" w:cstheme="minorHAnsi"/>
          <w:bdr w:val="none" w:sz="0" w:space="0" w:color="auto" w:frame="1"/>
          <w:shd w:val="clear" w:color="auto" w:fill="FFFFFF"/>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bdr w:val="none" w:sz="0" w:space="0" w:color="auto" w:frame="1"/>
          <w:shd w:val="clear" w:color="auto" w:fill="FFFFFF"/>
          <w:lang w:val="en-US"/>
        </w:rPr>
      </w:pPr>
      <w:r w:rsidRPr="005A464E">
        <w:rPr>
          <w:rFonts w:asciiTheme="minorHAnsi" w:eastAsia="Times New Roman" w:hAnsiTheme="minorHAnsi" w:cstheme="minorHAnsi"/>
          <w:lang w:val="en-US" w:eastAsia="el-GR"/>
        </w:rPr>
        <w:t xml:space="preserve">Sullivan, M., &amp; Karlsson, J. (1998). The Swedish SF-36 health survey III. Evaluation of </w:t>
      </w:r>
      <w:r w:rsidR="00F7182C" w:rsidRPr="005A464E">
        <w:rPr>
          <w:rFonts w:asciiTheme="minorHAnsi" w:eastAsia="Times New Roman" w:hAnsiTheme="minorHAnsi" w:cstheme="minorHAnsi"/>
          <w:lang w:val="en-US" w:eastAsia="el-GR"/>
        </w:rPr>
        <w:t>criterion based</w:t>
      </w:r>
      <w:r w:rsidRPr="005A464E">
        <w:rPr>
          <w:rFonts w:asciiTheme="minorHAnsi" w:eastAsia="Times New Roman" w:hAnsiTheme="minorHAnsi" w:cstheme="minorHAnsi"/>
          <w:lang w:val="en-US" w:eastAsia="el-GR"/>
        </w:rPr>
        <w:t xml:space="preserve"> validity: results from normative population. </w:t>
      </w:r>
      <w:r w:rsidRPr="005A464E">
        <w:rPr>
          <w:rFonts w:asciiTheme="minorHAnsi" w:eastAsia="Times New Roman" w:hAnsiTheme="minorHAnsi" w:cstheme="minorHAnsi"/>
          <w:i/>
          <w:lang w:val="en-US" w:eastAsia="el-GR"/>
        </w:rPr>
        <w:t>Journal of Clinical Epidemiology</w:t>
      </w:r>
      <w:r w:rsidR="00440627">
        <w:rPr>
          <w:rFonts w:asciiTheme="minorHAnsi" w:eastAsia="Times New Roman" w:hAnsiTheme="minorHAnsi" w:cstheme="minorHAnsi"/>
          <w:lang w:val="en-US" w:eastAsia="el-GR"/>
        </w:rPr>
        <w:t xml:space="preserve">, </w:t>
      </w:r>
      <w:r w:rsidR="00440627" w:rsidRPr="00440627">
        <w:rPr>
          <w:rFonts w:asciiTheme="minorHAnsi" w:eastAsia="Times New Roman" w:hAnsiTheme="minorHAnsi" w:cstheme="minorHAnsi"/>
          <w:i/>
          <w:lang w:val="en-US" w:eastAsia="el-GR"/>
        </w:rPr>
        <w:t>51</w:t>
      </w:r>
      <w:r w:rsidR="00713966" w:rsidRPr="005A464E">
        <w:rPr>
          <w:rFonts w:asciiTheme="minorHAnsi" w:eastAsia="Times New Roman" w:hAnsiTheme="minorHAnsi" w:cstheme="minorHAnsi"/>
          <w:lang w:val="en-US" w:eastAsia="el-GR"/>
        </w:rPr>
        <w:t>,</w:t>
      </w:r>
      <w:r w:rsidR="00440627">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1105-1113</w:t>
      </w:r>
      <w:r w:rsidR="00713966" w:rsidRPr="005A464E">
        <w:rPr>
          <w:rFonts w:asciiTheme="minorHAnsi" w:eastAsia="Times New Roman" w:hAnsiTheme="minorHAnsi" w:cstheme="minorHAnsi"/>
          <w:lang w:val="en-US" w:eastAsia="el-GR"/>
        </w:rPr>
        <w:t>.</w:t>
      </w:r>
      <w:r w:rsidR="0078495A">
        <w:rPr>
          <w:rStyle w:val="apple-converted-space"/>
          <w:rFonts w:asciiTheme="minorHAnsi" w:hAnsiTheme="minorHAnsi" w:cstheme="minorHAnsi"/>
          <w:lang w:val="en-US"/>
        </w:rPr>
        <w:t xml:space="preserve"> </w:t>
      </w:r>
      <w:hyperlink r:id="rId374" w:history="1">
        <w:r w:rsidR="00713966"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00713966" w:rsidRPr="005A464E">
          <w:rPr>
            <w:rStyle w:val="-"/>
            <w:rFonts w:asciiTheme="minorHAnsi" w:hAnsiTheme="minorHAnsi" w:cstheme="minorHAnsi"/>
            <w:color w:val="auto"/>
            <w:u w:val="none"/>
            <w:lang w:val="en-US"/>
          </w:rPr>
          <w:t>.org/10.1016/S0895 4356(98)00102-4</w:t>
        </w:r>
      </w:hyperlink>
      <w:r w:rsidR="00713966" w:rsidRPr="005A464E">
        <w:rPr>
          <w:rFonts w:asciiTheme="minorHAnsi" w:hAnsiTheme="minorHAnsi"/>
          <w:lang w:val="en-US"/>
        </w:rPr>
        <w:t>.</w:t>
      </w:r>
    </w:p>
    <w:p w:rsidR="00763BA9" w:rsidRPr="005A464E" w:rsidRDefault="008F3609" w:rsidP="005A464E">
      <w:pPr>
        <w:pStyle w:val="Web"/>
        <w:spacing w:after="166" w:line="360" w:lineRule="auto"/>
        <w:ind w:left="415" w:hanging="415"/>
        <w:jc w:val="both"/>
        <w:rPr>
          <w:rFonts w:asciiTheme="minorHAnsi" w:hAnsiTheme="minorHAnsi"/>
          <w:lang w:val="en-US"/>
        </w:rPr>
      </w:pPr>
      <w:hyperlink r:id="rId375" w:history="1">
        <w:r w:rsidR="003C410F" w:rsidRPr="005A464E">
          <w:rPr>
            <w:rFonts w:asciiTheme="minorHAnsi" w:eastAsia="Times New Roman" w:hAnsiTheme="minorHAnsi" w:cstheme="minorHAnsi"/>
            <w:lang w:val="en-US" w:eastAsia="el-GR"/>
          </w:rPr>
          <w:t>Svarstad, B.L</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C</w:t>
      </w:r>
      <w:hyperlink r:id="rId376" w:history="1">
        <w:r w:rsidR="003C410F" w:rsidRPr="005A464E">
          <w:rPr>
            <w:rFonts w:asciiTheme="minorHAnsi" w:eastAsia="Times New Roman" w:hAnsiTheme="minorHAnsi" w:cstheme="minorHAnsi"/>
            <w:lang w:val="en-US" w:eastAsia="el-GR"/>
          </w:rPr>
          <w:t>hewning, B.A</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377" w:history="1">
        <w:r w:rsidR="003C410F" w:rsidRPr="005A464E">
          <w:rPr>
            <w:rFonts w:asciiTheme="minorHAnsi" w:eastAsia="Times New Roman" w:hAnsiTheme="minorHAnsi" w:cstheme="minorHAnsi"/>
            <w:lang w:val="en-US" w:eastAsia="el-GR"/>
          </w:rPr>
          <w:t>Sleath, B.L</w:t>
        </w:r>
      </w:hyperlink>
      <w:r w:rsidR="003C410F"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w:t>
      </w:r>
      <w:r w:rsidR="00C71CA6">
        <w:rPr>
          <w:rFonts w:asciiTheme="minorHAnsi" w:eastAsia="Times New Roman" w:hAnsiTheme="minorHAnsi" w:cstheme="minorHAnsi"/>
          <w:lang w:val="en-US" w:eastAsia="el-GR"/>
        </w:rPr>
        <w:t xml:space="preserve"> &amp;</w:t>
      </w:r>
      <w:r w:rsidR="003C410F" w:rsidRPr="005A464E">
        <w:rPr>
          <w:rFonts w:asciiTheme="minorHAnsi" w:eastAsia="Times New Roman" w:hAnsiTheme="minorHAnsi" w:cstheme="minorHAnsi"/>
          <w:lang w:val="en-US" w:eastAsia="el-GR"/>
        </w:rPr>
        <w:t> </w:t>
      </w:r>
      <w:hyperlink r:id="rId378" w:history="1">
        <w:r w:rsidR="003C410F" w:rsidRPr="005A464E">
          <w:rPr>
            <w:rFonts w:asciiTheme="minorHAnsi" w:eastAsia="Times New Roman" w:hAnsiTheme="minorHAnsi" w:cstheme="minorHAnsi"/>
            <w:lang w:val="en-US" w:eastAsia="el-GR"/>
          </w:rPr>
          <w:t>Claesson, C</w:t>
        </w:r>
      </w:hyperlink>
      <w:r w:rsidR="003C410F" w:rsidRPr="005A464E">
        <w:rPr>
          <w:rFonts w:asciiTheme="minorHAnsi" w:eastAsia="Times New Roman" w:hAnsiTheme="minorHAnsi" w:cstheme="minorHAnsi"/>
          <w:lang w:val="en-US" w:eastAsia="el-GR"/>
        </w:rPr>
        <w:t xml:space="preserve">. (1999). </w:t>
      </w:r>
      <w:r w:rsidR="003C410F" w:rsidRPr="005A464E">
        <w:rPr>
          <w:rFonts w:asciiTheme="minorHAnsi" w:eastAsia="Times New Roman" w:hAnsiTheme="minorHAnsi" w:cstheme="minorHAnsi"/>
          <w:bCs/>
          <w:kern w:val="36"/>
          <w:lang w:val="en-US" w:eastAsia="el-GR"/>
        </w:rPr>
        <w:t xml:space="preserve">The Brief Medication Questionnaire: a tool for screening patient adherence and barriers to adherence. </w:t>
      </w:r>
      <w:hyperlink r:id="rId379" w:tooltip="Patient education and counseling." w:history="1">
        <w:r w:rsidR="00713966" w:rsidRPr="005A464E">
          <w:rPr>
            <w:rFonts w:asciiTheme="minorHAnsi" w:eastAsia="Times New Roman" w:hAnsiTheme="minorHAnsi" w:cstheme="minorHAnsi"/>
            <w:i/>
            <w:lang w:val="en-US" w:eastAsia="el-GR"/>
          </w:rPr>
          <w:t>Patient Education &amp; Counseling</w:t>
        </w:r>
        <w:r w:rsidR="00440627">
          <w:rPr>
            <w:rFonts w:asciiTheme="minorHAnsi" w:eastAsia="Times New Roman" w:hAnsiTheme="minorHAnsi" w:cstheme="minorHAnsi"/>
            <w:i/>
            <w:lang w:val="en-US" w:eastAsia="el-GR"/>
          </w:rPr>
          <w:t>,</w:t>
        </w:r>
      </w:hyperlink>
      <w:r w:rsidR="00713966" w:rsidRPr="005A464E">
        <w:rPr>
          <w:rFonts w:asciiTheme="minorHAnsi" w:hAnsiTheme="minorHAnsi"/>
          <w:lang w:val="en-US"/>
        </w:rPr>
        <w:t xml:space="preserve"> </w:t>
      </w:r>
      <w:r w:rsidR="00440627" w:rsidRPr="00440627">
        <w:rPr>
          <w:rFonts w:asciiTheme="minorHAnsi" w:eastAsia="Times New Roman" w:hAnsiTheme="minorHAnsi" w:cstheme="minorHAnsi"/>
          <w:i/>
          <w:lang w:val="en-US" w:eastAsia="el-GR"/>
        </w:rPr>
        <w:t>37</w:t>
      </w:r>
      <w:r w:rsidR="003C410F" w:rsidRPr="005A464E">
        <w:rPr>
          <w:rFonts w:asciiTheme="minorHAnsi" w:eastAsia="Times New Roman" w:hAnsiTheme="minorHAnsi" w:cstheme="minorHAnsi"/>
          <w:lang w:val="en-US" w:eastAsia="el-GR"/>
        </w:rPr>
        <w:t>, 113-124.</w:t>
      </w:r>
      <w:r w:rsidR="0078495A">
        <w:rPr>
          <w:rStyle w:val="1Char"/>
          <w:rFonts w:asciiTheme="minorHAnsi" w:eastAsia="Calibri" w:hAnsiTheme="minorHAnsi" w:cstheme="minorHAnsi"/>
          <w:color w:val="auto"/>
          <w:sz w:val="24"/>
          <w:szCs w:val="24"/>
          <w:lang w:val="en-US"/>
        </w:rPr>
        <w:t xml:space="preserve"> </w:t>
      </w:r>
      <w:hyperlink r:id="rId380" w:history="1">
        <w:r w:rsidR="003C410F"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003C410F" w:rsidRPr="005A464E">
          <w:rPr>
            <w:rStyle w:val="-"/>
            <w:rFonts w:asciiTheme="minorHAnsi" w:hAnsiTheme="minorHAnsi" w:cstheme="minorHAnsi"/>
            <w:color w:val="auto"/>
            <w:u w:val="none"/>
            <w:lang w:val="en-US"/>
          </w:rPr>
          <w:t>.org/10.1016/S0738-3991(98)00107-4</w:t>
        </w:r>
      </w:hyperlink>
      <w:r w:rsidR="00713966" w:rsidRPr="005A464E">
        <w:rPr>
          <w:rFonts w:asciiTheme="minorHAnsi" w:hAnsiTheme="minorHAnsi"/>
          <w:lang w:val="en-US"/>
        </w:rPr>
        <w:t>.</w:t>
      </w:r>
    </w:p>
    <w:p w:rsidR="00763BA9" w:rsidRPr="005A464E" w:rsidRDefault="00763BA9"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color w:val="000000"/>
          <w:lang w:val="en-US"/>
        </w:rPr>
        <w:t>Tabachnick</w:t>
      </w:r>
      <w:r w:rsidR="00713966" w:rsidRPr="005A464E">
        <w:rPr>
          <w:rFonts w:asciiTheme="minorHAnsi" w:hAnsiTheme="minorHAnsi" w:cstheme="minorHAnsi"/>
          <w:color w:val="000000"/>
          <w:lang w:val="en-US"/>
        </w:rPr>
        <w:t>,</w:t>
      </w:r>
      <w:r w:rsidRPr="005A464E">
        <w:rPr>
          <w:rFonts w:asciiTheme="minorHAnsi" w:hAnsiTheme="minorHAnsi" w:cstheme="minorHAnsi"/>
          <w:color w:val="000000"/>
          <w:lang w:val="en-US"/>
        </w:rPr>
        <w:t xml:space="preserve"> B</w:t>
      </w:r>
      <w:r w:rsidR="00713966" w:rsidRPr="005A464E">
        <w:rPr>
          <w:rFonts w:asciiTheme="minorHAnsi" w:hAnsiTheme="minorHAnsi" w:cstheme="minorHAnsi"/>
          <w:color w:val="000000"/>
          <w:lang w:val="en-US"/>
        </w:rPr>
        <w:t>.</w:t>
      </w:r>
      <w:r w:rsidRPr="005A464E">
        <w:rPr>
          <w:rFonts w:asciiTheme="minorHAnsi" w:hAnsiTheme="minorHAnsi" w:cstheme="minorHAnsi"/>
          <w:color w:val="000000"/>
          <w:lang w:val="en-US"/>
        </w:rPr>
        <w:t>,</w:t>
      </w:r>
      <w:r w:rsidR="00713966" w:rsidRPr="005A464E">
        <w:rPr>
          <w:rFonts w:asciiTheme="minorHAnsi" w:hAnsiTheme="minorHAnsi" w:cstheme="minorHAnsi"/>
          <w:color w:val="000000"/>
          <w:lang w:val="en-US"/>
        </w:rPr>
        <w:t xml:space="preserve"> &amp;</w:t>
      </w:r>
      <w:r w:rsidRPr="005A464E">
        <w:rPr>
          <w:rFonts w:asciiTheme="minorHAnsi" w:hAnsiTheme="minorHAnsi" w:cstheme="minorHAnsi"/>
          <w:color w:val="000000"/>
          <w:lang w:val="en-US"/>
        </w:rPr>
        <w:t xml:space="preserve"> Fidell</w:t>
      </w:r>
      <w:r w:rsidR="00713966" w:rsidRPr="005A464E">
        <w:rPr>
          <w:rFonts w:asciiTheme="minorHAnsi" w:hAnsiTheme="minorHAnsi" w:cstheme="minorHAnsi"/>
          <w:color w:val="000000"/>
          <w:lang w:val="en-US"/>
        </w:rPr>
        <w:t>,</w:t>
      </w:r>
      <w:r w:rsidRPr="005A464E">
        <w:rPr>
          <w:rFonts w:asciiTheme="minorHAnsi" w:hAnsiTheme="minorHAnsi" w:cstheme="minorHAnsi"/>
          <w:color w:val="000000"/>
          <w:lang w:val="en-US"/>
        </w:rPr>
        <w:t xml:space="preserve"> L.</w:t>
      </w:r>
      <w:r w:rsidR="00713966" w:rsidRPr="005A464E">
        <w:rPr>
          <w:rFonts w:asciiTheme="minorHAnsi" w:hAnsiTheme="minorHAnsi" w:cstheme="minorHAnsi"/>
          <w:color w:val="000000"/>
          <w:lang w:val="en-US"/>
        </w:rPr>
        <w:t xml:space="preserve"> (2007).</w:t>
      </w:r>
      <w:r w:rsidRPr="005A464E">
        <w:rPr>
          <w:rFonts w:asciiTheme="minorHAnsi" w:hAnsiTheme="minorHAnsi" w:cstheme="minorHAnsi"/>
          <w:color w:val="000000"/>
          <w:lang w:val="en-US"/>
        </w:rPr>
        <w:t xml:space="preserve"> Using multivariate statistics. Bos</w:t>
      </w:r>
      <w:r w:rsidR="00713966" w:rsidRPr="005A464E">
        <w:rPr>
          <w:rFonts w:asciiTheme="minorHAnsi" w:hAnsiTheme="minorHAnsi" w:cstheme="minorHAnsi"/>
          <w:color w:val="000000"/>
          <w:lang w:val="en-US"/>
        </w:rPr>
        <w:t>ton: Pearson/Allyn &amp; Bacon</w:t>
      </w:r>
      <w:r w:rsidRPr="005A464E">
        <w:rPr>
          <w:rFonts w:asciiTheme="minorHAnsi" w:hAnsiTheme="minorHAnsi" w:cstheme="minorHAnsi"/>
          <w:color w:val="000000"/>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Takaki, J., Nishi, T., Shimoyama, H., Inada, T., Matsuyama, N., Kumano, H.,</w:t>
      </w:r>
      <w:r w:rsidR="0078495A">
        <w:rPr>
          <w:rFonts w:asciiTheme="minorHAnsi" w:hAnsiTheme="minorHAnsi" w:cstheme="minorHAnsi"/>
          <w:lang w:val="en-US"/>
        </w:rPr>
        <w:t xml:space="preserve"> </w:t>
      </w:r>
      <w:r w:rsidR="00713966" w:rsidRPr="005A464E">
        <w:rPr>
          <w:rFonts w:asciiTheme="minorHAnsi" w:hAnsiTheme="minorHAnsi" w:cstheme="minorHAnsi"/>
          <w:lang w:val="en-US"/>
        </w:rPr>
        <w:t>&amp; Kuboki, T</w:t>
      </w:r>
      <w:r w:rsidRPr="005A464E">
        <w:rPr>
          <w:rFonts w:asciiTheme="minorHAnsi" w:hAnsiTheme="minorHAnsi" w:cstheme="minorHAnsi"/>
          <w:shd w:val="clear" w:color="auto" w:fill="FFFFFF"/>
          <w:lang w:val="en-US"/>
        </w:rPr>
        <w:t>.</w:t>
      </w:r>
      <w:r w:rsidRPr="005A464E">
        <w:rPr>
          <w:rFonts w:asciiTheme="minorHAnsi" w:hAnsiTheme="minorHAnsi" w:cstheme="minorHAnsi"/>
          <w:lang w:val="en-US"/>
        </w:rPr>
        <w:t xml:space="preserve"> (2005). Possible interactive effects of demographic factors and stress coping mechanisms on depression and anxiety in maintenance hemodialysis patients. </w:t>
      </w:r>
      <w:r w:rsidRPr="005A464E">
        <w:rPr>
          <w:rFonts w:asciiTheme="minorHAnsi" w:hAnsiTheme="minorHAnsi" w:cstheme="minorHAnsi"/>
          <w:i/>
          <w:iCs/>
          <w:lang w:val="en-US"/>
        </w:rPr>
        <w:t>Journal of Psychosomatic Research,</w:t>
      </w:r>
      <w:r w:rsidRPr="005A464E">
        <w:rPr>
          <w:rFonts w:asciiTheme="minorHAnsi" w:hAnsiTheme="minorHAnsi" w:cstheme="minorHAnsi"/>
          <w:iCs/>
          <w:lang w:val="en-US"/>
        </w:rPr>
        <w:t xml:space="preserve"> </w:t>
      </w:r>
      <w:r w:rsidRPr="00440627">
        <w:rPr>
          <w:rFonts w:asciiTheme="minorHAnsi" w:hAnsiTheme="minorHAnsi" w:cstheme="minorHAnsi"/>
          <w:i/>
          <w:iCs/>
          <w:lang w:val="en-US"/>
        </w:rPr>
        <w:t>58</w:t>
      </w:r>
      <w:r w:rsidRPr="00440627">
        <w:rPr>
          <w:rFonts w:asciiTheme="minorHAnsi" w:hAnsiTheme="minorHAnsi" w:cstheme="minorHAnsi"/>
          <w:i/>
          <w:lang w:val="en-US"/>
        </w:rPr>
        <w:t>,</w:t>
      </w:r>
      <w:r w:rsidRPr="005A464E">
        <w:rPr>
          <w:rFonts w:asciiTheme="minorHAnsi" w:hAnsiTheme="minorHAnsi" w:cstheme="minorHAnsi"/>
          <w:lang w:val="en-US"/>
        </w:rPr>
        <w:t xml:space="preserve"> 217-223. </w:t>
      </w:r>
      <w:r w:rsidR="00292B29" w:rsidRPr="005A464E">
        <w:rPr>
          <w:rFonts w:asciiTheme="minorHAnsi" w:hAnsiTheme="minorHAnsi" w:cstheme="minorHAnsi"/>
          <w:lang w:val="en-US"/>
        </w:rPr>
        <w:t>DOI</w:t>
      </w:r>
      <w:r w:rsidRPr="005A464E">
        <w:rPr>
          <w:rFonts w:asciiTheme="minorHAnsi" w:hAnsiTheme="minorHAnsi" w:cstheme="minorHAnsi"/>
          <w:lang w:val="en-US"/>
        </w:rPr>
        <w:t xml:space="preserve">: </w:t>
      </w:r>
      <w:hyperlink r:id="rId381" w:history="1">
        <w:r w:rsidRPr="005A464E">
          <w:rPr>
            <w:rStyle w:val="-"/>
            <w:rFonts w:asciiTheme="minorHAnsi" w:hAnsiTheme="minorHAnsi" w:cstheme="minorHAnsi"/>
            <w:color w:val="auto"/>
            <w:u w:val="none"/>
            <w:lang w:val="en-US"/>
          </w:rPr>
          <w:t>10.1016/j.jpsychores.2004.09.003</w:t>
        </w:r>
      </w:hyperlink>
    </w:p>
    <w:p w:rsidR="003C410F" w:rsidRPr="005A464E" w:rsidRDefault="00F7182C"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shd w:val="clear" w:color="auto" w:fill="FFFFFF"/>
          <w:lang w:val="en-US"/>
        </w:rPr>
        <w:t>Tan, X., Patel, I., </w:t>
      </w:r>
      <w:r w:rsidR="00713966" w:rsidRPr="005A464E">
        <w:rPr>
          <w:rFonts w:asciiTheme="minorHAnsi" w:hAnsiTheme="minorHAnsi" w:cstheme="minorHAnsi"/>
          <w:shd w:val="clear" w:color="auto" w:fill="FFFFFF"/>
          <w:lang w:val="en-US"/>
        </w:rPr>
        <w:t xml:space="preserve">&amp; </w:t>
      </w:r>
      <w:r w:rsidRPr="005A464E">
        <w:rPr>
          <w:rFonts w:asciiTheme="minorHAnsi" w:hAnsiTheme="minorHAnsi" w:cstheme="minorHAnsi"/>
          <w:shd w:val="clear" w:color="auto" w:fill="FFFFFF"/>
          <w:lang w:val="en-US"/>
        </w:rPr>
        <w:t>Chang, J</w:t>
      </w:r>
      <w:r w:rsidR="003C410F" w:rsidRPr="005A464E">
        <w:rPr>
          <w:rFonts w:asciiTheme="minorHAnsi" w:hAnsiTheme="minorHAnsi" w:cstheme="minorHAnsi"/>
          <w:shd w:val="clear" w:color="auto" w:fill="FFFFFF"/>
          <w:lang w:val="en-US"/>
        </w:rPr>
        <w:t>.</w:t>
      </w:r>
      <w:r w:rsidR="003C410F" w:rsidRPr="005A464E">
        <w:rPr>
          <w:rStyle w:val="apple-converted-space"/>
          <w:rFonts w:asciiTheme="minorHAnsi" w:hAnsiTheme="minorHAnsi" w:cstheme="minorHAnsi"/>
          <w:shd w:val="clear" w:color="auto" w:fill="FFFFFF"/>
          <w:lang w:val="en-US"/>
        </w:rPr>
        <w:t> </w:t>
      </w:r>
      <w:r w:rsidR="003C410F" w:rsidRPr="005A464E">
        <w:rPr>
          <w:rFonts w:asciiTheme="minorHAnsi" w:hAnsiTheme="minorHAnsi" w:cstheme="minorHAnsi"/>
          <w:shd w:val="clear" w:color="auto" w:fill="FFFFFF"/>
          <w:lang w:val="en-US"/>
        </w:rPr>
        <w:t>(2014).</w:t>
      </w:r>
      <w:r w:rsidR="003C410F" w:rsidRPr="005A464E">
        <w:rPr>
          <w:rStyle w:val="apple-converted-space"/>
          <w:rFonts w:asciiTheme="minorHAnsi" w:hAnsiTheme="minorHAnsi" w:cstheme="minorHAnsi"/>
          <w:shd w:val="clear" w:color="auto" w:fill="FFFFFF"/>
          <w:lang w:val="en-US"/>
        </w:rPr>
        <w:t> </w:t>
      </w:r>
      <w:r w:rsidR="003C410F" w:rsidRPr="005A464E">
        <w:rPr>
          <w:rFonts w:asciiTheme="minorHAnsi" w:hAnsiTheme="minorHAnsi" w:cstheme="minorHAnsi"/>
          <w:shd w:val="clear" w:color="auto" w:fill="FFFFFF"/>
          <w:lang w:val="en-US"/>
        </w:rPr>
        <w:t>Review of the four item Morisky Medication Adherence Scale (MMAS-4) and eight item Morisky Medication Adherence Scale (MMAS-8).</w:t>
      </w:r>
      <w:r w:rsidR="003C410F" w:rsidRPr="005A464E">
        <w:rPr>
          <w:rStyle w:val="apple-converted-space"/>
          <w:rFonts w:asciiTheme="minorHAnsi" w:hAnsiTheme="minorHAnsi" w:cstheme="minorHAnsi"/>
          <w:shd w:val="clear" w:color="auto" w:fill="FFFFFF"/>
          <w:lang w:val="en-US"/>
        </w:rPr>
        <w:t> </w:t>
      </w:r>
      <w:r w:rsidR="003C410F" w:rsidRPr="005A464E">
        <w:rPr>
          <w:rFonts w:asciiTheme="minorHAnsi" w:hAnsiTheme="minorHAnsi" w:cstheme="minorHAnsi"/>
          <w:shd w:val="clear" w:color="auto" w:fill="FFFFFF"/>
          <w:lang w:val="en-US"/>
        </w:rPr>
        <w:t xml:space="preserve">University of Minnesota, College of Pharmacy. Retrieved from the University of Minnesota Digital Conservancy, </w:t>
      </w:r>
      <w:hyperlink r:id="rId382" w:history="1">
        <w:r w:rsidR="003C410F" w:rsidRPr="005A464E">
          <w:rPr>
            <w:rStyle w:val="-"/>
            <w:rFonts w:asciiTheme="minorHAnsi" w:hAnsiTheme="minorHAnsi" w:cstheme="minorHAnsi"/>
            <w:color w:val="auto"/>
            <w:u w:val="none"/>
            <w:shd w:val="clear" w:color="auto" w:fill="FFFFFF"/>
            <w:lang w:val="en-US"/>
          </w:rPr>
          <w:t>http://hdl.handle.net/11299/171823</w:t>
        </w:r>
      </w:hyperlink>
      <w:r w:rsidR="003C410F" w:rsidRPr="005A464E">
        <w:rPr>
          <w:rFonts w:asciiTheme="minorHAnsi" w:hAnsiTheme="minorHAnsi" w:cstheme="minorHAnsi"/>
          <w:shd w:val="clear" w:color="auto" w:fill="FFFFFF"/>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eastAsia="Times New Roman" w:hAnsiTheme="minorHAnsi" w:cstheme="minorHAnsi"/>
          <w:lang w:val="en-US" w:eastAsia="el-GR"/>
        </w:rPr>
        <w:t>Taskapan, H., Ates, F., Kaya, B.,</w:t>
      </w:r>
      <w:r w:rsidRPr="005A464E">
        <w:rPr>
          <w:rFonts w:asciiTheme="minorHAnsi" w:hAnsiTheme="minorHAnsi" w:cstheme="minorHAnsi"/>
          <w:lang w:val="en-US"/>
        </w:rPr>
        <w:t xml:space="preserve"> </w:t>
      </w:r>
      <w:hyperlink r:id="rId383" w:history="1">
        <w:r w:rsidRPr="005A464E">
          <w:rPr>
            <w:rStyle w:val="-"/>
            <w:rFonts w:asciiTheme="minorHAnsi" w:hAnsiTheme="minorHAnsi" w:cstheme="minorHAnsi"/>
            <w:color w:val="auto"/>
            <w:u w:val="none"/>
            <w:shd w:val="clear" w:color="auto" w:fill="FFFFFF"/>
            <w:lang w:val="en-US"/>
          </w:rPr>
          <w:t>Emul, M</w:t>
        </w:r>
      </w:hyperlink>
      <w:r w:rsidRPr="005A464E">
        <w:rPr>
          <w:rFonts w:asciiTheme="minorHAnsi" w:hAnsiTheme="minorHAnsi" w:cstheme="minorHAnsi"/>
          <w:lang w:val="en-US"/>
        </w:rPr>
        <w:t>.</w:t>
      </w:r>
      <w:r w:rsidRPr="005A464E">
        <w:rPr>
          <w:rFonts w:asciiTheme="minorHAnsi" w:hAnsiTheme="minorHAnsi" w:cstheme="minorHAnsi"/>
          <w:shd w:val="clear" w:color="auto" w:fill="FFFFFF"/>
          <w:lang w:val="en-US"/>
        </w:rPr>
        <w:t>,</w:t>
      </w:r>
      <w:r w:rsidRPr="005A464E">
        <w:rPr>
          <w:rStyle w:val="apple-converted-space"/>
          <w:rFonts w:asciiTheme="minorHAnsi" w:hAnsiTheme="minorHAnsi" w:cstheme="minorHAnsi"/>
          <w:shd w:val="clear" w:color="auto" w:fill="FFFFFF"/>
          <w:lang w:val="en-US"/>
        </w:rPr>
        <w:t> </w:t>
      </w:r>
      <w:hyperlink r:id="rId384" w:history="1">
        <w:r w:rsidRPr="005A464E">
          <w:rPr>
            <w:rStyle w:val="-"/>
            <w:rFonts w:asciiTheme="minorHAnsi" w:hAnsiTheme="minorHAnsi" w:cstheme="minorHAnsi"/>
            <w:color w:val="auto"/>
            <w:u w:val="none"/>
            <w:shd w:val="clear" w:color="auto" w:fill="FFFFFF"/>
            <w:lang w:val="en-US"/>
          </w:rPr>
          <w:t>Kaya, M</w:t>
        </w:r>
      </w:hyperlink>
      <w:r w:rsidRPr="005A464E">
        <w:rPr>
          <w:rFonts w:asciiTheme="minorHAnsi" w:hAnsiTheme="minorHAnsi" w:cstheme="minorHAnsi"/>
          <w:lang w:val="en-US"/>
        </w:rPr>
        <w:t>.</w:t>
      </w:r>
      <w:r w:rsidRPr="005A464E">
        <w:rPr>
          <w:rFonts w:asciiTheme="minorHAnsi" w:hAnsiTheme="minorHAnsi" w:cstheme="minorHAnsi"/>
          <w:shd w:val="clear" w:color="auto" w:fill="FFFFFF"/>
          <w:lang w:val="en-US"/>
        </w:rPr>
        <w:t>,</w:t>
      </w:r>
      <w:r w:rsidRPr="005A464E">
        <w:rPr>
          <w:rStyle w:val="apple-converted-space"/>
          <w:rFonts w:asciiTheme="minorHAnsi" w:hAnsiTheme="minorHAnsi" w:cstheme="minorHAnsi"/>
          <w:shd w:val="clear" w:color="auto" w:fill="FFFFFF"/>
          <w:lang w:val="en-US"/>
        </w:rPr>
        <w:t xml:space="preserve"> </w:t>
      </w:r>
      <w:hyperlink r:id="rId385" w:history="1">
        <w:r w:rsidRPr="005A464E">
          <w:rPr>
            <w:rStyle w:val="-"/>
            <w:rFonts w:asciiTheme="minorHAnsi" w:hAnsiTheme="minorHAnsi" w:cstheme="minorHAnsi"/>
            <w:color w:val="auto"/>
            <w:u w:val="none"/>
            <w:shd w:val="clear" w:color="auto" w:fill="FFFFFF"/>
            <w:lang w:val="en-US"/>
          </w:rPr>
          <w:t>Taskapan, C</w:t>
        </w:r>
      </w:hyperlink>
      <w:r w:rsidR="006641DA" w:rsidRPr="005A464E">
        <w:rPr>
          <w:rFonts w:asciiTheme="minorHAnsi" w:hAnsiTheme="minorHAnsi" w:cstheme="minorHAnsi"/>
          <w:lang w:val="en-US"/>
        </w:rPr>
        <w:t>.</w:t>
      </w:r>
      <w:r w:rsidR="003C0BB5" w:rsidRPr="005A464E">
        <w:rPr>
          <w:rFonts w:asciiTheme="minorHAnsi" w:hAnsiTheme="minorHAnsi" w:cstheme="minorHAnsi"/>
          <w:lang w:val="en-US"/>
        </w:rPr>
        <w:t>, &amp; Sahin, I</w:t>
      </w:r>
      <w:r w:rsidRPr="005A464E">
        <w:rPr>
          <w:rFonts w:asciiTheme="minorHAnsi" w:eastAsia="Times New Roman" w:hAnsiTheme="minorHAnsi" w:cstheme="minorHAnsi"/>
          <w:lang w:val="en-US" w:eastAsia="el-GR"/>
        </w:rPr>
        <w:t xml:space="preserve">. (2005). Psychiatric disorders and large interdialytic weight gain in patients on chronic hemodialysis. </w:t>
      </w:r>
      <w:r w:rsidRPr="005A464E">
        <w:rPr>
          <w:rFonts w:asciiTheme="minorHAnsi" w:eastAsia="Times New Roman" w:hAnsiTheme="minorHAnsi" w:cstheme="minorHAnsi"/>
          <w:i/>
          <w:lang w:val="en-US" w:eastAsia="el-GR"/>
        </w:rPr>
        <w:t>Nephrology,</w:t>
      </w:r>
      <w:r w:rsidR="00440627">
        <w:rPr>
          <w:rFonts w:asciiTheme="minorHAnsi" w:eastAsia="Times New Roman" w:hAnsiTheme="minorHAnsi" w:cstheme="minorHAnsi"/>
          <w:lang w:val="en-US" w:eastAsia="el-GR"/>
        </w:rPr>
        <w:t xml:space="preserve"> </w:t>
      </w:r>
      <w:r w:rsidR="00440627" w:rsidRPr="00440627">
        <w:rPr>
          <w:rFonts w:asciiTheme="minorHAnsi" w:eastAsia="Times New Roman" w:hAnsiTheme="minorHAnsi" w:cstheme="minorHAnsi"/>
          <w:i/>
          <w:lang w:val="en-US" w:eastAsia="el-GR"/>
        </w:rPr>
        <w:t>10</w:t>
      </w:r>
      <w:r w:rsidRPr="005A464E">
        <w:rPr>
          <w:rFonts w:asciiTheme="minorHAnsi" w:eastAsia="Times New Roman" w:hAnsiTheme="minorHAnsi" w:cstheme="minorHAnsi"/>
          <w:lang w:val="en-US" w:eastAsia="el-GR"/>
        </w:rPr>
        <w:t xml:space="preserve">,15–20 </w:t>
      </w:r>
      <w:r w:rsidR="00292B29" w:rsidRPr="005A464E">
        <w:rPr>
          <w:rFonts w:asciiTheme="minorHAnsi" w:hAnsiTheme="minorHAnsi" w:cstheme="minorHAnsi"/>
          <w:lang w:val="en-US"/>
        </w:rPr>
        <w:t>DOI</w:t>
      </w:r>
      <w:r w:rsidRPr="005A464E">
        <w:rPr>
          <w:rFonts w:asciiTheme="minorHAnsi" w:hAnsiTheme="minorHAnsi" w:cstheme="minorHAnsi"/>
          <w:lang w:val="en-US"/>
        </w:rPr>
        <w:t xml:space="preserve">: </w:t>
      </w:r>
      <w:hyperlink r:id="rId386" w:history="1">
        <w:r w:rsidRPr="005A464E">
          <w:rPr>
            <w:rStyle w:val="-"/>
            <w:rFonts w:asciiTheme="minorHAnsi" w:hAnsiTheme="minorHAnsi" w:cstheme="minorHAnsi"/>
            <w:color w:val="auto"/>
            <w:u w:val="none"/>
            <w:lang w:val="en-US"/>
          </w:rPr>
          <w:t>10.1111/j.1440-1797.2005.00321.x</w:t>
        </w:r>
      </w:hyperlink>
      <w:r w:rsidR="00713966" w:rsidRPr="005A464E">
        <w:rPr>
          <w:rFonts w:asciiTheme="minorHAnsi" w:hAnsiTheme="minorHAnsi"/>
          <w:lang w:val="en-US"/>
        </w:rPr>
        <w:t>.</w:t>
      </w:r>
    </w:p>
    <w:p w:rsidR="003C410F" w:rsidRPr="005A464E" w:rsidRDefault="001929ED" w:rsidP="005A464E">
      <w:pPr>
        <w:pStyle w:val="Web"/>
        <w:spacing w:after="166" w:line="360" w:lineRule="auto"/>
        <w:ind w:left="415" w:hanging="415"/>
        <w:jc w:val="both"/>
        <w:rPr>
          <w:rFonts w:asciiTheme="minorHAnsi" w:hAnsiTheme="minorHAnsi" w:cstheme="minorHAnsi"/>
          <w:lang w:val="en-US"/>
        </w:rPr>
      </w:pPr>
      <w:r>
        <w:rPr>
          <w:rFonts w:asciiTheme="minorHAnsi" w:hAnsiTheme="minorHAnsi" w:cstheme="minorHAnsi"/>
          <w:lang w:val="en-US"/>
        </w:rPr>
        <w:t xml:space="preserve">Tattersall, J., Dekker, F., </w:t>
      </w:r>
      <w:r w:rsidR="003C410F" w:rsidRPr="005A464E">
        <w:rPr>
          <w:rFonts w:asciiTheme="minorHAnsi" w:hAnsiTheme="minorHAnsi" w:cstheme="minorHAnsi"/>
          <w:lang w:val="en-US"/>
        </w:rPr>
        <w:t>Heimburger, O.,</w:t>
      </w:r>
      <w:r w:rsidR="00F7182C" w:rsidRPr="005A464E">
        <w:rPr>
          <w:rFonts w:asciiTheme="minorHAnsi" w:hAnsiTheme="minorHAnsi" w:cstheme="minorHAnsi"/>
          <w:lang w:val="en-US"/>
        </w:rPr>
        <w:t xml:space="preserve"> </w:t>
      </w:r>
      <w:r w:rsidR="003C410F" w:rsidRPr="005A464E">
        <w:rPr>
          <w:rFonts w:asciiTheme="minorHAnsi" w:hAnsiTheme="minorHAnsi" w:cstheme="minorHAnsi"/>
          <w:lang w:val="en-US"/>
        </w:rPr>
        <w:t>Jager, KJ., Lameire, N., Lindl</w:t>
      </w:r>
      <w:r w:rsidR="00F7182C" w:rsidRPr="005A464E">
        <w:rPr>
          <w:rFonts w:asciiTheme="minorHAnsi" w:hAnsiTheme="minorHAnsi" w:cstheme="minorHAnsi"/>
          <w:lang w:val="en-US"/>
        </w:rPr>
        <w:t>ey, E.,</w:t>
      </w:r>
      <w:r>
        <w:rPr>
          <w:lang w:val="en-US"/>
        </w:rPr>
        <w:t xml:space="preserve"> </w:t>
      </w:r>
      <w:r>
        <w:rPr>
          <w:rFonts w:asciiTheme="minorHAnsi" w:hAnsiTheme="minorHAnsi"/>
          <w:lang w:val="en-US"/>
        </w:rPr>
        <w:t>… &amp;</w:t>
      </w:r>
      <w:r w:rsidR="006641DA" w:rsidRPr="005A464E">
        <w:rPr>
          <w:rFonts w:asciiTheme="minorHAnsi" w:hAnsiTheme="minorHAnsi" w:cs="Arial"/>
          <w:shd w:val="clear" w:color="auto" w:fill="FFFFFF"/>
          <w:lang w:val="en-US"/>
        </w:rPr>
        <w:t> </w:t>
      </w:r>
      <w:hyperlink r:id="rId387" w:history="1">
        <w:r w:rsidR="006641DA" w:rsidRPr="005A464E">
          <w:rPr>
            <w:rStyle w:val="-"/>
            <w:rFonts w:asciiTheme="minorHAnsi" w:hAnsiTheme="minorHAnsi" w:cs="Arial"/>
            <w:color w:val="auto"/>
            <w:u w:val="none"/>
            <w:shd w:val="clear" w:color="auto" w:fill="FFFFFF"/>
            <w:lang w:val="en-US"/>
          </w:rPr>
          <w:t>Zoccali, C</w:t>
        </w:r>
      </w:hyperlink>
      <w:r w:rsidR="006641DA" w:rsidRPr="005A464E">
        <w:rPr>
          <w:rFonts w:asciiTheme="minorHAnsi" w:hAnsiTheme="minorHAnsi" w:cs="Arial"/>
          <w:shd w:val="clear" w:color="auto" w:fill="FFFFFF"/>
          <w:lang w:val="en-US"/>
        </w:rPr>
        <w:t>.</w:t>
      </w:r>
      <w:hyperlink r:id="rId388" w:history="1"/>
      <w:r w:rsidR="003C410F" w:rsidRPr="005A464E">
        <w:rPr>
          <w:rFonts w:asciiTheme="minorHAnsi" w:hAnsiTheme="minorHAnsi" w:cstheme="minorHAnsi"/>
          <w:lang w:val="en-US"/>
        </w:rPr>
        <w:t xml:space="preserve"> on beh</w:t>
      </w:r>
      <w:r w:rsidR="009368E9" w:rsidRPr="005A464E">
        <w:rPr>
          <w:rFonts w:asciiTheme="minorHAnsi" w:hAnsiTheme="minorHAnsi" w:cstheme="minorHAnsi"/>
          <w:lang w:val="en-US"/>
        </w:rPr>
        <w:t xml:space="preserve">alf of the ERBP Advisory board. </w:t>
      </w:r>
      <w:r w:rsidR="003C410F" w:rsidRPr="005A464E">
        <w:rPr>
          <w:rFonts w:asciiTheme="minorHAnsi" w:hAnsiTheme="minorHAnsi" w:cstheme="minorHAnsi"/>
          <w:lang w:val="en-US"/>
        </w:rPr>
        <w:t>(2011).</w:t>
      </w:r>
      <w:r w:rsidR="009368E9" w:rsidRPr="005A464E">
        <w:rPr>
          <w:rFonts w:asciiTheme="minorHAnsi" w:hAnsiTheme="minorHAnsi" w:cstheme="minorHAnsi"/>
          <w:lang w:val="en-US"/>
        </w:rPr>
        <w:t xml:space="preserve"> </w:t>
      </w:r>
      <w:r w:rsidR="003C410F" w:rsidRPr="005A464E">
        <w:rPr>
          <w:rFonts w:asciiTheme="minorHAnsi" w:hAnsiTheme="minorHAnsi" w:cstheme="minorHAnsi"/>
          <w:lang w:val="en-US"/>
        </w:rPr>
        <w:t xml:space="preserve">When to start dialysis: updated guidance following publication of the Initiating Dialysis Early and Late (IDEAL) study. </w:t>
      </w:r>
      <w:r w:rsidR="00BB4BB3" w:rsidRPr="005A464E">
        <w:rPr>
          <w:rFonts w:asciiTheme="minorHAnsi" w:hAnsiTheme="minorHAnsi" w:cstheme="minorHAnsi"/>
          <w:i/>
          <w:lang w:val="en-US"/>
        </w:rPr>
        <w:t>Nephrology Dialysis</w:t>
      </w:r>
      <w:r w:rsidR="003C410F" w:rsidRPr="005A464E">
        <w:rPr>
          <w:rFonts w:asciiTheme="minorHAnsi" w:hAnsiTheme="minorHAnsi" w:cstheme="minorHAnsi"/>
          <w:i/>
          <w:lang w:val="en-US"/>
        </w:rPr>
        <w:t xml:space="preserve"> Transplantation</w:t>
      </w:r>
      <w:r w:rsidR="003C410F" w:rsidRPr="00440627">
        <w:rPr>
          <w:rFonts w:asciiTheme="minorHAnsi" w:hAnsiTheme="minorHAnsi" w:cstheme="minorHAnsi"/>
          <w:i/>
          <w:lang w:val="en-US"/>
        </w:rPr>
        <w:t xml:space="preserve">, </w:t>
      </w:r>
      <w:r w:rsidR="00440627" w:rsidRPr="00440627">
        <w:rPr>
          <w:rFonts w:asciiTheme="minorHAnsi" w:hAnsiTheme="minorHAnsi" w:cstheme="minorHAnsi"/>
          <w:i/>
          <w:shd w:val="clear" w:color="auto" w:fill="FFFFFF"/>
          <w:lang w:val="en-US"/>
        </w:rPr>
        <w:t>26</w:t>
      </w:r>
      <w:r w:rsidR="003C410F" w:rsidRPr="00440627">
        <w:rPr>
          <w:rFonts w:asciiTheme="minorHAnsi" w:hAnsiTheme="minorHAnsi" w:cstheme="minorHAnsi"/>
          <w:i/>
          <w:shd w:val="clear" w:color="auto" w:fill="FFFFFF"/>
          <w:lang w:val="en-US"/>
        </w:rPr>
        <w:t>,</w:t>
      </w:r>
      <w:r w:rsidR="003C410F" w:rsidRPr="005A464E">
        <w:rPr>
          <w:rFonts w:asciiTheme="minorHAnsi" w:hAnsiTheme="minorHAnsi" w:cstheme="minorHAnsi"/>
          <w:shd w:val="clear" w:color="auto" w:fill="FFFFFF"/>
          <w:lang w:val="en-US"/>
        </w:rPr>
        <w:t xml:space="preserve"> 2082-2086.</w:t>
      </w:r>
      <w:r w:rsidR="003C410F" w:rsidRPr="005A464E">
        <w:rPr>
          <w:rFonts w:asciiTheme="minorHAnsi" w:hAnsiTheme="minorHAnsi" w:cstheme="minorHAnsi"/>
          <w:lang w:val="en-US"/>
        </w:rPr>
        <w:t xml:space="preserve"> </w:t>
      </w:r>
      <w:r w:rsidR="00292B29" w:rsidRPr="005A464E">
        <w:rPr>
          <w:rFonts w:asciiTheme="minorHAnsi" w:hAnsiTheme="minorHAnsi" w:cstheme="minorHAnsi"/>
          <w:lang w:val="en-US"/>
        </w:rPr>
        <w:t>DOI</w:t>
      </w:r>
      <w:r w:rsidR="003C410F" w:rsidRPr="005A464E">
        <w:rPr>
          <w:rFonts w:asciiTheme="minorHAnsi" w:hAnsiTheme="minorHAnsi" w:cstheme="minorHAnsi"/>
          <w:lang w:val="en-US"/>
        </w:rPr>
        <w:t xml:space="preserve">: </w:t>
      </w:r>
      <w:hyperlink r:id="rId389" w:history="1">
        <w:r w:rsidR="003C410F" w:rsidRPr="005A464E">
          <w:rPr>
            <w:rStyle w:val="-"/>
            <w:rFonts w:asciiTheme="minorHAnsi" w:hAnsiTheme="minorHAnsi" w:cstheme="minorHAnsi"/>
            <w:color w:val="auto"/>
            <w:u w:val="none"/>
            <w:lang w:val="en-US"/>
          </w:rPr>
          <w:t>10.1093/ndt/gfr168</w:t>
        </w:r>
      </w:hyperlink>
      <w:r w:rsidR="00713966"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lang w:val="en-US"/>
        </w:rPr>
      </w:pPr>
      <w:r w:rsidRPr="005A464E">
        <w:rPr>
          <w:rFonts w:asciiTheme="minorHAnsi" w:hAnsiTheme="minorHAnsi" w:cstheme="minorHAnsi"/>
          <w:lang w:val="en-US"/>
        </w:rPr>
        <w:t>Tentori, F., Hunt, W.C., Rohrscheib, M.,</w:t>
      </w:r>
      <w:r w:rsidR="0078495A">
        <w:rPr>
          <w:rFonts w:asciiTheme="minorHAnsi" w:hAnsiTheme="minorHAnsi" w:cstheme="minorHAnsi"/>
          <w:lang w:val="en-US"/>
        </w:rPr>
        <w:t xml:space="preserve"> </w:t>
      </w:r>
      <w:hyperlink r:id="rId390" w:history="1">
        <w:r w:rsidRPr="005A464E">
          <w:rPr>
            <w:rStyle w:val="-"/>
            <w:rFonts w:asciiTheme="minorHAnsi" w:hAnsiTheme="minorHAnsi" w:cstheme="minorHAnsi"/>
            <w:color w:val="auto"/>
            <w:u w:val="none"/>
            <w:shd w:val="clear" w:color="auto" w:fill="FFFFFF"/>
            <w:lang w:val="en-US"/>
          </w:rPr>
          <w:t>Zhu, M</w:t>
        </w:r>
      </w:hyperlink>
      <w:r w:rsidRPr="005A464E">
        <w:rPr>
          <w:rFonts w:asciiTheme="minorHAnsi" w:hAnsiTheme="minorHAnsi" w:cstheme="minorHAnsi"/>
          <w:lang w:val="en-US"/>
        </w:rPr>
        <w:t>.</w:t>
      </w:r>
      <w:r w:rsidRPr="005A464E">
        <w:rPr>
          <w:rFonts w:asciiTheme="minorHAnsi" w:hAnsiTheme="minorHAnsi" w:cstheme="minorHAnsi"/>
          <w:shd w:val="clear" w:color="auto" w:fill="FFFFFF"/>
          <w:lang w:val="en-US"/>
        </w:rPr>
        <w:t>,</w:t>
      </w:r>
      <w:r w:rsidRPr="005A464E">
        <w:rPr>
          <w:rStyle w:val="apple-converted-space"/>
          <w:rFonts w:asciiTheme="minorHAnsi" w:hAnsiTheme="minorHAnsi" w:cstheme="minorHAnsi"/>
          <w:shd w:val="clear" w:color="auto" w:fill="FFFFFF"/>
          <w:lang w:val="en-US"/>
        </w:rPr>
        <w:t> </w:t>
      </w:r>
      <w:hyperlink r:id="rId391" w:history="1">
        <w:r w:rsidRPr="005A464E">
          <w:rPr>
            <w:rStyle w:val="-"/>
            <w:rFonts w:asciiTheme="minorHAnsi" w:hAnsiTheme="minorHAnsi" w:cstheme="minorHAnsi"/>
            <w:color w:val="auto"/>
            <w:u w:val="none"/>
            <w:shd w:val="clear" w:color="auto" w:fill="FFFFFF"/>
            <w:lang w:val="en-US"/>
          </w:rPr>
          <w:t>Stidley, C.A</w:t>
        </w:r>
      </w:hyperlink>
      <w:r w:rsidRPr="005A464E">
        <w:rPr>
          <w:rFonts w:asciiTheme="minorHAnsi" w:hAnsiTheme="minorHAnsi" w:cstheme="minorHAnsi"/>
          <w:lang w:val="en-US"/>
        </w:rPr>
        <w:t>.</w:t>
      </w:r>
      <w:r w:rsidRPr="005A464E">
        <w:rPr>
          <w:rFonts w:asciiTheme="minorHAnsi" w:hAnsiTheme="minorHAnsi" w:cstheme="minorHAnsi"/>
          <w:shd w:val="clear" w:color="auto" w:fill="FFFFFF"/>
          <w:lang w:val="en-US"/>
        </w:rPr>
        <w:t>,</w:t>
      </w:r>
      <w:r w:rsidRPr="005A464E">
        <w:rPr>
          <w:rStyle w:val="apple-converted-space"/>
          <w:rFonts w:asciiTheme="minorHAnsi" w:hAnsiTheme="minorHAnsi" w:cstheme="minorHAnsi"/>
          <w:shd w:val="clear" w:color="auto" w:fill="FFFFFF"/>
          <w:lang w:val="en-US"/>
        </w:rPr>
        <w:t> </w:t>
      </w:r>
      <w:hyperlink r:id="rId392" w:history="1">
        <w:r w:rsidRPr="001929ED">
          <w:rPr>
            <w:rStyle w:val="-"/>
            <w:rFonts w:asciiTheme="minorHAnsi" w:hAnsiTheme="minorHAnsi" w:cstheme="minorHAnsi"/>
            <w:color w:val="auto"/>
            <w:u w:val="none"/>
            <w:shd w:val="clear" w:color="auto" w:fill="FFFFFF"/>
            <w:lang w:val="en-US"/>
          </w:rPr>
          <w:t>Servilla, K</w:t>
        </w:r>
      </w:hyperlink>
      <w:r w:rsidR="006641DA" w:rsidRPr="001929ED">
        <w:rPr>
          <w:rFonts w:asciiTheme="minorHAnsi" w:hAnsiTheme="minorHAnsi" w:cstheme="minorHAnsi"/>
          <w:lang w:val="en-US"/>
        </w:rPr>
        <w:t xml:space="preserve">., </w:t>
      </w:r>
      <w:r w:rsidR="001929ED" w:rsidRPr="001929ED">
        <w:rPr>
          <w:rFonts w:asciiTheme="minorHAnsi" w:hAnsiTheme="minorHAnsi"/>
          <w:lang w:val="en-US"/>
        </w:rPr>
        <w:t>… &amp;</w:t>
      </w:r>
      <w:r w:rsidR="001929ED">
        <w:rPr>
          <w:lang w:val="en-US"/>
        </w:rPr>
        <w:t xml:space="preserve"> </w:t>
      </w:r>
      <w:hyperlink r:id="rId393" w:history="1">
        <w:r w:rsidR="006641DA" w:rsidRPr="005A464E">
          <w:rPr>
            <w:rStyle w:val="-"/>
            <w:rFonts w:asciiTheme="minorHAnsi" w:hAnsiTheme="minorHAnsi" w:cs="Arial"/>
            <w:color w:val="auto"/>
            <w:u w:val="none"/>
            <w:shd w:val="clear" w:color="auto" w:fill="FFFFFF"/>
            <w:lang w:val="en-US"/>
          </w:rPr>
          <w:t>Zager, P.G</w:t>
        </w:r>
      </w:hyperlink>
      <w:r w:rsidRPr="005A464E">
        <w:rPr>
          <w:rFonts w:asciiTheme="minorHAnsi" w:hAnsiTheme="minorHAnsi" w:cstheme="minorHAnsi"/>
          <w:lang w:val="en-US"/>
        </w:rPr>
        <w:t xml:space="preserve">. (2007). Which targets in clinical practice guidelines are associated with improved survival in a large dialysis organization? </w:t>
      </w:r>
      <w:r w:rsidRPr="005A464E">
        <w:rPr>
          <w:rFonts w:asciiTheme="minorHAnsi" w:hAnsiTheme="minorHAnsi" w:cstheme="minorHAnsi"/>
          <w:i/>
          <w:lang w:val="en-US"/>
        </w:rPr>
        <w:t>Journal of American Society of Nephrology,</w:t>
      </w:r>
      <w:r w:rsidR="00440627">
        <w:rPr>
          <w:rFonts w:asciiTheme="minorHAnsi" w:hAnsiTheme="minorHAnsi" w:cstheme="minorHAnsi"/>
          <w:lang w:val="en-US"/>
        </w:rPr>
        <w:t xml:space="preserve"> </w:t>
      </w:r>
      <w:r w:rsidR="00440627" w:rsidRPr="00440627">
        <w:rPr>
          <w:rFonts w:asciiTheme="minorHAnsi" w:hAnsiTheme="minorHAnsi" w:cstheme="minorHAnsi"/>
          <w:i/>
          <w:lang w:val="en-US"/>
        </w:rPr>
        <w:t>18</w:t>
      </w:r>
      <w:r w:rsidRPr="005A464E">
        <w:rPr>
          <w:rFonts w:asciiTheme="minorHAnsi" w:hAnsiTheme="minorHAnsi" w:cstheme="minorHAnsi"/>
          <w:lang w:val="en-US"/>
        </w:rPr>
        <w:t>, 2377-2384</w:t>
      </w:r>
      <w:r w:rsidRPr="005A464E">
        <w:rPr>
          <w:rFonts w:asciiTheme="minorHAnsi" w:hAnsiTheme="minorHAnsi" w:cstheme="minorHAnsi"/>
          <w:bCs/>
          <w:shd w:val="clear" w:color="auto" w:fill="FFFFFF"/>
          <w:lang w:val="en-US"/>
        </w:rPr>
        <w:t xml:space="preserve"> </w:t>
      </w:r>
      <w:r w:rsidR="00292B29" w:rsidRPr="005A464E">
        <w:rPr>
          <w:rFonts w:asciiTheme="minorHAnsi" w:hAnsiTheme="minorHAnsi" w:cstheme="minorHAnsi"/>
          <w:bCs/>
          <w:shd w:val="clear" w:color="auto" w:fill="FFFFFF"/>
          <w:lang w:val="en-US"/>
        </w:rPr>
        <w:t>DOI</w:t>
      </w:r>
      <w:r w:rsidRPr="005A464E">
        <w:rPr>
          <w:rFonts w:asciiTheme="minorHAnsi" w:hAnsiTheme="minorHAnsi" w:cstheme="minorHAnsi"/>
          <w:bCs/>
          <w:shd w:val="clear" w:color="auto" w:fill="FFFFFF"/>
          <w:lang w:val="en-US"/>
        </w:rPr>
        <w:t>:</w:t>
      </w:r>
      <w:r w:rsidRPr="005A464E">
        <w:rPr>
          <w:rStyle w:val="slug-doi"/>
          <w:rFonts w:asciiTheme="minorHAnsi" w:hAnsiTheme="minorHAnsi" w:cstheme="minorHAnsi"/>
          <w:bCs/>
          <w:bdr w:val="none" w:sz="0" w:space="0" w:color="auto" w:frame="1"/>
          <w:shd w:val="clear" w:color="auto" w:fill="FFFFFF"/>
          <w:lang w:val="en-US"/>
        </w:rPr>
        <w:t>10.1681/ASN.2006111250</w:t>
      </w:r>
      <w:r w:rsidR="00713966" w:rsidRPr="005A464E">
        <w:rPr>
          <w:rStyle w:val="slug-doi"/>
          <w:rFonts w:asciiTheme="minorHAnsi" w:hAnsiTheme="minorHAnsi" w:cstheme="minorHAnsi"/>
          <w:bCs/>
          <w:bdr w:val="none" w:sz="0" w:space="0" w:color="auto" w:frame="1"/>
          <w:shd w:val="clear" w:color="auto" w:fill="FFFFFF"/>
          <w:lang w:val="en-US"/>
        </w:rPr>
        <w:t>.</w:t>
      </w:r>
    </w:p>
    <w:p w:rsidR="003C410F" w:rsidRPr="005A464E" w:rsidRDefault="008F3609" w:rsidP="005A464E">
      <w:pPr>
        <w:pStyle w:val="Web"/>
        <w:spacing w:after="166" w:line="360" w:lineRule="auto"/>
        <w:ind w:left="415" w:hanging="415"/>
        <w:jc w:val="both"/>
        <w:rPr>
          <w:rFonts w:asciiTheme="minorHAnsi" w:eastAsia="Times New Roman" w:hAnsiTheme="minorHAnsi" w:cstheme="minorHAnsi"/>
          <w:lang w:val="en-US" w:eastAsia="el-GR"/>
        </w:rPr>
      </w:pPr>
      <w:hyperlink r:id="rId394" w:history="1">
        <w:r w:rsidR="003C410F" w:rsidRPr="005A464E">
          <w:rPr>
            <w:rFonts w:asciiTheme="minorHAnsi" w:eastAsia="Times New Roman" w:hAnsiTheme="minorHAnsi" w:cstheme="minorHAnsi"/>
            <w:lang w:val="en-US" w:eastAsia="el-GR"/>
          </w:rPr>
          <w:t>Termorshuizen</w:t>
        </w:r>
        <w:r w:rsidR="00F7182C" w:rsidRPr="005A464E">
          <w:rPr>
            <w:rFonts w:asciiTheme="minorHAnsi" w:eastAsia="Times New Roman" w:hAnsiTheme="minorHAnsi" w:cstheme="minorHAnsi"/>
            <w:lang w:val="en-US" w:eastAsia="el-GR"/>
          </w:rPr>
          <w:t>,</w:t>
        </w:r>
        <w:r w:rsidR="003C410F" w:rsidRPr="005A464E">
          <w:rPr>
            <w:rFonts w:asciiTheme="minorHAnsi" w:eastAsia="Times New Roman" w:hAnsiTheme="minorHAnsi" w:cstheme="minorHAnsi"/>
            <w:lang w:val="en-US" w:eastAsia="el-GR"/>
          </w:rPr>
          <w:t xml:space="preserve"> F</w:t>
        </w:r>
      </w:hyperlink>
      <w:r w:rsidR="00F7182C"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395" w:history="1">
        <w:r w:rsidR="003C410F" w:rsidRPr="005A464E">
          <w:rPr>
            <w:rFonts w:asciiTheme="minorHAnsi" w:eastAsia="Times New Roman" w:hAnsiTheme="minorHAnsi" w:cstheme="minorHAnsi"/>
            <w:lang w:val="en-US" w:eastAsia="el-GR"/>
          </w:rPr>
          <w:t>Dekker</w:t>
        </w:r>
        <w:r w:rsidR="00F7182C" w:rsidRPr="005A464E">
          <w:rPr>
            <w:rFonts w:asciiTheme="minorHAnsi" w:eastAsia="Times New Roman" w:hAnsiTheme="minorHAnsi" w:cstheme="minorHAnsi"/>
            <w:lang w:val="en-US" w:eastAsia="el-GR"/>
          </w:rPr>
          <w:t>,</w:t>
        </w:r>
        <w:r w:rsidR="003C410F" w:rsidRPr="005A464E">
          <w:rPr>
            <w:rFonts w:asciiTheme="minorHAnsi" w:eastAsia="Times New Roman" w:hAnsiTheme="minorHAnsi" w:cstheme="minorHAnsi"/>
            <w:lang w:val="en-US" w:eastAsia="el-GR"/>
          </w:rPr>
          <w:t xml:space="preserve"> F</w:t>
        </w:r>
        <w:r w:rsidR="00F7182C" w:rsidRPr="005A464E">
          <w:rPr>
            <w:rFonts w:asciiTheme="minorHAnsi" w:eastAsia="Times New Roman" w:hAnsiTheme="minorHAnsi" w:cstheme="minorHAnsi"/>
            <w:lang w:val="en-US" w:eastAsia="el-GR"/>
          </w:rPr>
          <w:t>.</w:t>
        </w:r>
        <w:r w:rsidR="003C410F" w:rsidRPr="005A464E">
          <w:rPr>
            <w:rFonts w:asciiTheme="minorHAnsi" w:eastAsia="Times New Roman" w:hAnsiTheme="minorHAnsi" w:cstheme="minorHAnsi"/>
            <w:lang w:val="en-US" w:eastAsia="el-GR"/>
          </w:rPr>
          <w:t>W</w:t>
        </w:r>
      </w:hyperlink>
      <w:r w:rsidR="00F7182C"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396" w:history="1">
        <w:r w:rsidR="003C410F" w:rsidRPr="005A464E">
          <w:rPr>
            <w:rFonts w:asciiTheme="minorHAnsi" w:eastAsia="Times New Roman" w:hAnsiTheme="minorHAnsi" w:cstheme="minorHAnsi"/>
            <w:lang w:val="en-US" w:eastAsia="el-GR"/>
          </w:rPr>
          <w:t>van Manen</w:t>
        </w:r>
        <w:r w:rsidR="00F7182C" w:rsidRPr="005A464E">
          <w:rPr>
            <w:rFonts w:asciiTheme="minorHAnsi" w:eastAsia="Times New Roman" w:hAnsiTheme="minorHAnsi" w:cstheme="minorHAnsi"/>
            <w:lang w:val="en-US" w:eastAsia="el-GR"/>
          </w:rPr>
          <w:t>,</w:t>
        </w:r>
        <w:r w:rsidR="003C410F" w:rsidRPr="005A464E">
          <w:rPr>
            <w:rFonts w:asciiTheme="minorHAnsi" w:eastAsia="Times New Roman" w:hAnsiTheme="minorHAnsi" w:cstheme="minorHAnsi"/>
            <w:lang w:val="en-US" w:eastAsia="el-GR"/>
          </w:rPr>
          <w:t xml:space="preserve"> J</w:t>
        </w:r>
        <w:r w:rsidR="00F7182C" w:rsidRPr="005A464E">
          <w:rPr>
            <w:rFonts w:asciiTheme="minorHAnsi" w:eastAsia="Times New Roman" w:hAnsiTheme="minorHAnsi" w:cstheme="minorHAnsi"/>
            <w:lang w:val="en-US" w:eastAsia="el-GR"/>
          </w:rPr>
          <w:t>.</w:t>
        </w:r>
        <w:r w:rsidR="003C410F" w:rsidRPr="005A464E">
          <w:rPr>
            <w:rFonts w:asciiTheme="minorHAnsi" w:eastAsia="Times New Roman" w:hAnsiTheme="minorHAnsi" w:cstheme="minorHAnsi"/>
            <w:lang w:val="en-US" w:eastAsia="el-GR"/>
          </w:rPr>
          <w:t>G</w:t>
        </w:r>
      </w:hyperlink>
      <w:r w:rsidR="00F7182C"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397" w:history="1">
        <w:r w:rsidR="003C410F" w:rsidRPr="005A464E">
          <w:rPr>
            <w:rFonts w:asciiTheme="minorHAnsi" w:eastAsia="Times New Roman" w:hAnsiTheme="minorHAnsi" w:cstheme="minorHAnsi"/>
            <w:lang w:val="en-US" w:eastAsia="el-GR"/>
          </w:rPr>
          <w:t>Korevaar</w:t>
        </w:r>
        <w:r w:rsidR="00F7182C" w:rsidRPr="005A464E">
          <w:rPr>
            <w:rFonts w:asciiTheme="minorHAnsi" w:eastAsia="Times New Roman" w:hAnsiTheme="minorHAnsi" w:cstheme="minorHAnsi"/>
            <w:lang w:val="en-US" w:eastAsia="el-GR"/>
          </w:rPr>
          <w:t>,</w:t>
        </w:r>
        <w:r w:rsidR="003C410F" w:rsidRPr="005A464E">
          <w:rPr>
            <w:rFonts w:asciiTheme="minorHAnsi" w:eastAsia="Times New Roman" w:hAnsiTheme="minorHAnsi" w:cstheme="minorHAnsi"/>
            <w:lang w:val="en-US" w:eastAsia="el-GR"/>
          </w:rPr>
          <w:t xml:space="preserve"> J</w:t>
        </w:r>
        <w:r w:rsidR="00F7182C" w:rsidRPr="005A464E">
          <w:rPr>
            <w:rFonts w:asciiTheme="minorHAnsi" w:eastAsia="Times New Roman" w:hAnsiTheme="minorHAnsi" w:cstheme="minorHAnsi"/>
            <w:lang w:val="en-US" w:eastAsia="el-GR"/>
          </w:rPr>
          <w:t>.</w:t>
        </w:r>
        <w:r w:rsidR="003C410F" w:rsidRPr="005A464E">
          <w:rPr>
            <w:rFonts w:asciiTheme="minorHAnsi" w:eastAsia="Times New Roman" w:hAnsiTheme="minorHAnsi" w:cstheme="minorHAnsi"/>
            <w:lang w:val="en-US" w:eastAsia="el-GR"/>
          </w:rPr>
          <w:t>C</w:t>
        </w:r>
      </w:hyperlink>
      <w:r w:rsidR="00F7182C"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398" w:history="1">
        <w:r w:rsidR="003C410F" w:rsidRPr="005A464E">
          <w:rPr>
            <w:rFonts w:asciiTheme="minorHAnsi" w:eastAsia="Times New Roman" w:hAnsiTheme="minorHAnsi" w:cstheme="minorHAnsi"/>
            <w:lang w:val="en-US" w:eastAsia="el-GR"/>
          </w:rPr>
          <w:t>Boeschoten</w:t>
        </w:r>
        <w:r w:rsidR="00F7182C" w:rsidRPr="005A464E">
          <w:rPr>
            <w:rFonts w:asciiTheme="minorHAnsi" w:eastAsia="Times New Roman" w:hAnsiTheme="minorHAnsi" w:cstheme="minorHAnsi"/>
            <w:lang w:val="en-US" w:eastAsia="el-GR"/>
          </w:rPr>
          <w:t>,</w:t>
        </w:r>
        <w:r w:rsidR="003C410F" w:rsidRPr="005A464E">
          <w:rPr>
            <w:rFonts w:asciiTheme="minorHAnsi" w:eastAsia="Times New Roman" w:hAnsiTheme="minorHAnsi" w:cstheme="minorHAnsi"/>
            <w:lang w:val="en-US" w:eastAsia="el-GR"/>
          </w:rPr>
          <w:t xml:space="preserve"> E</w:t>
        </w:r>
        <w:r w:rsidR="00F7182C" w:rsidRPr="005A464E">
          <w:rPr>
            <w:rFonts w:asciiTheme="minorHAnsi" w:eastAsia="Times New Roman" w:hAnsiTheme="minorHAnsi" w:cstheme="minorHAnsi"/>
            <w:lang w:val="en-US" w:eastAsia="el-GR"/>
          </w:rPr>
          <w:t>.</w:t>
        </w:r>
        <w:r w:rsidR="003C410F" w:rsidRPr="005A464E">
          <w:rPr>
            <w:rFonts w:asciiTheme="minorHAnsi" w:eastAsia="Times New Roman" w:hAnsiTheme="minorHAnsi" w:cstheme="minorHAnsi"/>
            <w:lang w:val="en-US" w:eastAsia="el-GR"/>
          </w:rPr>
          <w:t>W</w:t>
        </w:r>
      </w:hyperlink>
      <w:r w:rsidR="00F7182C" w:rsidRPr="005A464E">
        <w:rPr>
          <w:rFonts w:asciiTheme="minorHAnsi" w:hAnsiTheme="minorHAnsi" w:cstheme="minorHAnsi"/>
          <w:lang w:val="en-US"/>
        </w:rPr>
        <w:t>.</w:t>
      </w:r>
      <w:r w:rsidR="003C410F" w:rsidRPr="005A464E">
        <w:rPr>
          <w:rFonts w:asciiTheme="minorHAnsi" w:eastAsia="Times New Roman" w:hAnsiTheme="minorHAnsi" w:cstheme="minorHAnsi"/>
          <w:lang w:val="en-US" w:eastAsia="el-GR"/>
        </w:rPr>
        <w:t>, </w:t>
      </w:r>
      <w:hyperlink r:id="rId399" w:history="1">
        <w:r w:rsidR="003C410F" w:rsidRPr="005A464E">
          <w:rPr>
            <w:rFonts w:asciiTheme="minorHAnsi" w:eastAsia="Times New Roman" w:hAnsiTheme="minorHAnsi" w:cstheme="minorHAnsi"/>
            <w:lang w:val="en-US" w:eastAsia="el-GR"/>
          </w:rPr>
          <w:t>Krediet</w:t>
        </w:r>
        <w:r w:rsidR="00F7182C" w:rsidRPr="005A464E">
          <w:rPr>
            <w:rFonts w:asciiTheme="minorHAnsi" w:eastAsia="Times New Roman" w:hAnsiTheme="minorHAnsi" w:cstheme="minorHAnsi"/>
            <w:lang w:val="en-US" w:eastAsia="el-GR"/>
          </w:rPr>
          <w:t>,</w:t>
        </w:r>
        <w:r w:rsidR="003C410F" w:rsidRPr="005A464E">
          <w:rPr>
            <w:rFonts w:asciiTheme="minorHAnsi" w:eastAsia="Times New Roman" w:hAnsiTheme="minorHAnsi" w:cstheme="minorHAnsi"/>
            <w:lang w:val="en-US" w:eastAsia="el-GR"/>
          </w:rPr>
          <w:t>R</w:t>
        </w:r>
        <w:r w:rsidR="00F7182C" w:rsidRPr="005A464E">
          <w:rPr>
            <w:rFonts w:asciiTheme="minorHAnsi" w:eastAsia="Times New Roman" w:hAnsiTheme="minorHAnsi" w:cstheme="minorHAnsi"/>
            <w:lang w:val="en-US" w:eastAsia="el-GR"/>
          </w:rPr>
          <w:t>.</w:t>
        </w:r>
        <w:r w:rsidR="003C410F" w:rsidRPr="005A464E">
          <w:rPr>
            <w:rFonts w:asciiTheme="minorHAnsi" w:eastAsia="Times New Roman" w:hAnsiTheme="minorHAnsi" w:cstheme="minorHAnsi"/>
            <w:lang w:val="en-US" w:eastAsia="el-GR"/>
          </w:rPr>
          <w:t>T</w:t>
        </w:r>
      </w:hyperlink>
      <w:r w:rsidR="001929ED">
        <w:rPr>
          <w:rFonts w:asciiTheme="minorHAnsi" w:eastAsia="Times New Roman" w:hAnsiTheme="minorHAnsi" w:cstheme="minorHAnsi"/>
          <w:lang w:val="en-US" w:eastAsia="el-GR"/>
        </w:rPr>
        <w:t xml:space="preserve">; </w:t>
      </w:r>
      <w:hyperlink r:id="rId400" w:history="1">
        <w:r w:rsidR="00F7182C" w:rsidRPr="005A464E">
          <w:rPr>
            <w:rFonts w:asciiTheme="minorHAnsi" w:eastAsia="Times New Roman" w:hAnsiTheme="minorHAnsi" w:cstheme="minorHAnsi"/>
            <w:lang w:val="en-US" w:eastAsia="el-GR"/>
          </w:rPr>
          <w:t>NECOSAD</w:t>
        </w:r>
        <w:r w:rsidR="003C410F" w:rsidRPr="005A464E">
          <w:rPr>
            <w:rFonts w:asciiTheme="minorHAnsi" w:eastAsia="Times New Roman" w:hAnsiTheme="minorHAnsi" w:cstheme="minorHAnsi"/>
            <w:lang w:val="en-US" w:eastAsia="el-GR"/>
          </w:rPr>
          <w:t xml:space="preserve"> Study</w:t>
        </w:r>
        <w:r w:rsidR="0078495A">
          <w:rPr>
            <w:rFonts w:asciiTheme="minorHAnsi" w:eastAsia="Times New Roman" w:hAnsiTheme="minorHAnsi" w:cstheme="minorHAnsi"/>
            <w:lang w:val="en-US" w:eastAsia="el-GR"/>
          </w:rPr>
          <w:t xml:space="preserve"> </w:t>
        </w:r>
        <w:r w:rsidR="003C410F" w:rsidRPr="005A464E">
          <w:rPr>
            <w:rFonts w:asciiTheme="minorHAnsi" w:eastAsia="Times New Roman" w:hAnsiTheme="minorHAnsi" w:cstheme="minorHAnsi"/>
            <w:lang w:val="en-US" w:eastAsia="el-GR"/>
          </w:rPr>
          <w:t>Group</w:t>
        </w:r>
      </w:hyperlink>
      <w:r w:rsidR="003C410F" w:rsidRPr="005A464E">
        <w:rPr>
          <w:rFonts w:asciiTheme="minorHAnsi" w:eastAsia="Times New Roman" w:hAnsiTheme="minorHAnsi" w:cstheme="minorHAnsi"/>
          <w:lang w:val="en-US" w:eastAsia="el-GR"/>
        </w:rPr>
        <w:t>. (2004).</w:t>
      </w:r>
      <w:r w:rsidR="003C410F" w:rsidRPr="005A464E">
        <w:rPr>
          <w:rFonts w:asciiTheme="minorHAnsi" w:eastAsia="Times New Roman" w:hAnsiTheme="minorHAnsi" w:cstheme="minorHAnsi"/>
          <w:bCs/>
          <w:kern w:val="36"/>
          <w:lang w:val="en-US" w:eastAsia="el-GR"/>
        </w:rPr>
        <w:t>Relative contribution of residual renal function</w:t>
      </w:r>
      <w:r w:rsidR="001929ED">
        <w:rPr>
          <w:rFonts w:asciiTheme="minorHAnsi" w:eastAsia="Times New Roman" w:hAnsiTheme="minorHAnsi" w:cstheme="minorHAnsi"/>
          <w:bCs/>
          <w:kern w:val="36"/>
          <w:lang w:val="en-US" w:eastAsia="el-GR"/>
        </w:rPr>
        <w:t xml:space="preserve"> and different measures of adequacy to survival </w:t>
      </w:r>
      <w:r w:rsidR="003C410F" w:rsidRPr="005A464E">
        <w:rPr>
          <w:rFonts w:asciiTheme="minorHAnsi" w:eastAsia="Times New Roman" w:hAnsiTheme="minorHAnsi" w:cstheme="minorHAnsi"/>
          <w:bCs/>
          <w:kern w:val="36"/>
          <w:lang w:val="en-US" w:eastAsia="el-GR"/>
        </w:rPr>
        <w:t>in hemodialysis patients: an analysis of the</w:t>
      </w:r>
      <w:r w:rsidR="0078495A">
        <w:rPr>
          <w:rFonts w:asciiTheme="minorHAnsi" w:eastAsia="Times New Roman" w:hAnsiTheme="minorHAnsi" w:cstheme="minorHAnsi"/>
          <w:bCs/>
          <w:kern w:val="36"/>
          <w:lang w:val="en-US" w:eastAsia="el-GR"/>
        </w:rPr>
        <w:t xml:space="preserve"> </w:t>
      </w:r>
      <w:r w:rsidR="003C410F" w:rsidRPr="005A464E">
        <w:rPr>
          <w:rFonts w:asciiTheme="minorHAnsi" w:eastAsia="Times New Roman" w:hAnsiTheme="minorHAnsi" w:cstheme="minorHAnsi"/>
          <w:bCs/>
          <w:kern w:val="36"/>
          <w:lang w:val="en-US" w:eastAsia="el-GR"/>
        </w:rPr>
        <w:t>Netherlands</w:t>
      </w:r>
      <w:r w:rsidR="0078495A">
        <w:rPr>
          <w:rFonts w:asciiTheme="minorHAnsi" w:eastAsia="Times New Roman" w:hAnsiTheme="minorHAnsi" w:cstheme="minorHAnsi"/>
          <w:bCs/>
          <w:kern w:val="36"/>
          <w:lang w:val="en-US" w:eastAsia="el-GR"/>
        </w:rPr>
        <w:t xml:space="preserve"> </w:t>
      </w:r>
      <w:r w:rsidR="00F7182C" w:rsidRPr="005A464E">
        <w:rPr>
          <w:rFonts w:asciiTheme="minorHAnsi" w:eastAsia="Times New Roman" w:hAnsiTheme="minorHAnsi" w:cstheme="minorHAnsi"/>
          <w:bCs/>
          <w:kern w:val="36"/>
          <w:lang w:val="en-US" w:eastAsia="el-GR"/>
        </w:rPr>
        <w:t>cooperative study on the</w:t>
      </w:r>
      <w:r w:rsidR="0078495A">
        <w:rPr>
          <w:rFonts w:asciiTheme="minorHAnsi" w:eastAsia="Times New Roman" w:hAnsiTheme="minorHAnsi" w:cstheme="minorHAnsi"/>
          <w:bCs/>
          <w:kern w:val="36"/>
          <w:lang w:val="en-US" w:eastAsia="el-GR"/>
        </w:rPr>
        <w:t xml:space="preserve"> </w:t>
      </w:r>
      <w:r w:rsidR="00F7182C" w:rsidRPr="005A464E">
        <w:rPr>
          <w:rFonts w:asciiTheme="minorHAnsi" w:eastAsia="Times New Roman" w:hAnsiTheme="minorHAnsi" w:cstheme="minorHAnsi"/>
          <w:bCs/>
          <w:kern w:val="36"/>
          <w:lang w:val="en-US" w:eastAsia="el-GR"/>
        </w:rPr>
        <w:t xml:space="preserve">adequacy of dialysis </w:t>
      </w:r>
      <w:r w:rsidR="003C410F" w:rsidRPr="005A464E">
        <w:rPr>
          <w:rFonts w:asciiTheme="minorHAnsi" w:eastAsia="Times New Roman" w:hAnsiTheme="minorHAnsi" w:cstheme="minorHAnsi"/>
          <w:bCs/>
          <w:kern w:val="36"/>
          <w:lang w:val="en-US" w:eastAsia="el-GR"/>
        </w:rPr>
        <w:t xml:space="preserve">(NECOSAD)-2. </w:t>
      </w:r>
      <w:hyperlink r:id="rId401" w:tooltip="Journal of the American Society of Nephrology : JASN." w:history="1">
        <w:r w:rsidR="003C410F" w:rsidRPr="005A464E">
          <w:rPr>
            <w:rFonts w:asciiTheme="minorHAnsi" w:eastAsia="Times New Roman" w:hAnsiTheme="minorHAnsi" w:cstheme="minorHAnsi"/>
            <w:i/>
            <w:lang w:val="en-US" w:eastAsia="el-GR"/>
          </w:rPr>
          <w:t>Journal of American Society of Nephrology</w:t>
        </w:r>
        <w:r w:rsidR="003C410F" w:rsidRPr="005A464E">
          <w:rPr>
            <w:rFonts w:asciiTheme="minorHAnsi" w:eastAsia="Times New Roman" w:hAnsiTheme="minorHAnsi" w:cstheme="minorHAnsi"/>
            <w:lang w:val="en-US" w:eastAsia="el-GR"/>
          </w:rPr>
          <w:t>,</w:t>
        </w:r>
      </w:hyperlink>
      <w:r w:rsidR="00440627">
        <w:rPr>
          <w:rFonts w:asciiTheme="minorHAnsi" w:eastAsia="Times New Roman" w:hAnsiTheme="minorHAnsi" w:cstheme="minorHAnsi"/>
          <w:lang w:val="en-US" w:eastAsia="el-GR"/>
        </w:rPr>
        <w:t xml:space="preserve"> </w:t>
      </w:r>
      <w:r w:rsidR="00440627" w:rsidRPr="00440627">
        <w:rPr>
          <w:rFonts w:asciiTheme="minorHAnsi" w:eastAsia="Times New Roman" w:hAnsiTheme="minorHAnsi" w:cstheme="minorHAnsi"/>
          <w:i/>
          <w:lang w:val="en-US" w:eastAsia="el-GR"/>
        </w:rPr>
        <w:t>15</w:t>
      </w:r>
      <w:r w:rsidR="003C410F" w:rsidRPr="00440627">
        <w:rPr>
          <w:rFonts w:asciiTheme="minorHAnsi" w:eastAsia="Times New Roman" w:hAnsiTheme="minorHAnsi" w:cstheme="minorHAnsi"/>
          <w:i/>
          <w:lang w:val="en-US" w:eastAsia="el-GR"/>
        </w:rPr>
        <w:t>,</w:t>
      </w:r>
      <w:r w:rsidR="003C410F" w:rsidRPr="005A464E">
        <w:rPr>
          <w:rFonts w:asciiTheme="minorHAnsi" w:eastAsia="Times New Roman" w:hAnsiTheme="minorHAnsi" w:cstheme="minorHAnsi"/>
          <w:lang w:val="en-US" w:eastAsia="el-GR"/>
        </w:rPr>
        <w:t>1061-1070.</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Tezel, A., Karabulutlu, E., &amp; Sahin, O. (2011). Depression and perceived social support from family in Turkish patients with chronic renal failure treated by haemodialysis</w:t>
      </w:r>
      <w:r w:rsidRPr="005A464E">
        <w:rPr>
          <w:rFonts w:asciiTheme="minorHAnsi" w:eastAsia="Times New Roman" w:hAnsiTheme="minorHAnsi" w:cstheme="minorHAnsi"/>
          <w:i/>
          <w:lang w:val="en-US" w:eastAsia="el-GR"/>
        </w:rPr>
        <w:t>. Journal of Research in Medicine Science,</w:t>
      </w:r>
      <w:r w:rsidR="00440627">
        <w:rPr>
          <w:rFonts w:asciiTheme="minorHAnsi" w:eastAsia="Times New Roman" w:hAnsiTheme="minorHAnsi" w:cstheme="minorHAnsi"/>
          <w:lang w:val="en-US" w:eastAsia="el-GR"/>
        </w:rPr>
        <w:t xml:space="preserve"> </w:t>
      </w:r>
      <w:r w:rsidR="00440627" w:rsidRPr="00440627">
        <w:rPr>
          <w:rFonts w:asciiTheme="minorHAnsi" w:eastAsia="Times New Roman" w:hAnsiTheme="minorHAnsi" w:cstheme="minorHAnsi"/>
          <w:i/>
          <w:lang w:val="en-US" w:eastAsia="el-GR"/>
        </w:rPr>
        <w:t>16</w:t>
      </w:r>
      <w:r w:rsidR="00440627">
        <w:rPr>
          <w:rFonts w:asciiTheme="minorHAnsi" w:eastAsia="Times New Roman" w:hAnsiTheme="minorHAnsi" w:cstheme="minorHAnsi"/>
          <w:lang w:val="en-US" w:eastAsia="el-GR"/>
        </w:rPr>
        <w:t>,</w:t>
      </w:r>
      <w:r w:rsidRPr="005A464E">
        <w:rPr>
          <w:rFonts w:asciiTheme="minorHAnsi" w:eastAsia="Times New Roman" w:hAnsiTheme="minorHAnsi" w:cstheme="minorHAnsi"/>
          <w:lang w:val="en-US" w:eastAsia="el-GR"/>
        </w:rPr>
        <w:t xml:space="preserve"> 666-</w:t>
      </w:r>
      <w:r w:rsidR="006641DA" w:rsidRPr="005A464E">
        <w:rPr>
          <w:rFonts w:asciiTheme="minorHAnsi" w:eastAsia="Times New Roman" w:hAnsiTheme="minorHAnsi" w:cstheme="minorHAnsi"/>
          <w:lang w:val="en-US" w:eastAsia="el-GR"/>
        </w:rPr>
        <w:t>6</w:t>
      </w:r>
      <w:r w:rsidRPr="005A464E">
        <w:rPr>
          <w:rFonts w:asciiTheme="minorHAnsi" w:eastAsia="Times New Roman" w:hAnsiTheme="minorHAnsi" w:cstheme="minorHAnsi"/>
          <w:lang w:val="en-US" w:eastAsia="el-GR"/>
        </w:rPr>
        <w:t>73.</w:t>
      </w:r>
    </w:p>
    <w:p w:rsidR="003C410F"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Theofilou, P. (2012</w:t>
      </w:r>
      <w:r w:rsidR="00F7182C" w:rsidRPr="005A464E">
        <w:rPr>
          <w:rFonts w:asciiTheme="minorHAnsi" w:eastAsia="Times New Roman" w:hAnsiTheme="minorHAnsi" w:cstheme="minorHAnsi"/>
          <w:lang w:val="en-US" w:eastAsia="el-GR"/>
        </w:rPr>
        <w:t>a</w:t>
      </w:r>
      <w:r w:rsidRPr="005A464E">
        <w:rPr>
          <w:rFonts w:asciiTheme="minorHAnsi" w:eastAsia="Times New Roman" w:hAnsiTheme="minorHAnsi" w:cstheme="minorHAnsi"/>
          <w:lang w:val="en-US" w:eastAsia="el-GR"/>
        </w:rPr>
        <w:t>).</w:t>
      </w:r>
      <w:r w:rsidR="0078495A">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 xml:space="preserve">Self-esteem in Greek dialysis patients: the contribution of health locus of control. </w:t>
      </w:r>
      <w:r w:rsidRPr="005A464E">
        <w:rPr>
          <w:rFonts w:asciiTheme="minorHAnsi" w:eastAsia="Times New Roman" w:hAnsiTheme="minorHAnsi" w:cstheme="minorHAnsi"/>
          <w:i/>
          <w:lang w:val="en-US" w:eastAsia="el-GR"/>
        </w:rPr>
        <w:t>Iranian Journal of Kidney Diseases</w:t>
      </w:r>
      <w:r w:rsidRPr="00440627">
        <w:rPr>
          <w:rFonts w:asciiTheme="minorHAnsi" w:eastAsia="Times New Roman" w:hAnsiTheme="minorHAnsi" w:cstheme="minorHAnsi"/>
          <w:i/>
          <w:lang w:val="en-US" w:eastAsia="el-GR"/>
        </w:rPr>
        <w:t>,</w:t>
      </w:r>
      <w:r w:rsidR="00440627" w:rsidRPr="00440627">
        <w:rPr>
          <w:rFonts w:asciiTheme="minorHAnsi" w:eastAsia="Times New Roman" w:hAnsiTheme="minorHAnsi" w:cstheme="minorHAnsi"/>
          <w:i/>
          <w:lang w:val="en-US" w:eastAsia="el-GR"/>
        </w:rPr>
        <w:t xml:space="preserve"> 6</w:t>
      </w:r>
      <w:r w:rsidR="00440627">
        <w:rPr>
          <w:rFonts w:asciiTheme="minorHAnsi" w:eastAsia="Times New Roman" w:hAnsiTheme="minorHAnsi" w:cstheme="minorHAnsi"/>
          <w:lang w:val="en-US" w:eastAsia="el-GR"/>
        </w:rPr>
        <w:t>,</w:t>
      </w:r>
      <w:r w:rsidRPr="005A464E">
        <w:rPr>
          <w:rFonts w:asciiTheme="minorHAnsi" w:eastAsia="Times New Roman" w:hAnsiTheme="minorHAnsi" w:cstheme="minorHAnsi"/>
          <w:lang w:val="en-US" w:eastAsia="el-GR"/>
        </w:rPr>
        <w:t>136-140.</w:t>
      </w:r>
    </w:p>
    <w:p w:rsidR="006579D3" w:rsidRPr="005A464E"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Theofilou, P. (2012</w:t>
      </w:r>
      <w:r w:rsidR="00F7182C" w:rsidRPr="005A464E">
        <w:rPr>
          <w:rFonts w:asciiTheme="minorHAnsi" w:eastAsia="Times New Roman" w:hAnsiTheme="minorHAnsi" w:cstheme="minorHAnsi"/>
          <w:lang w:val="en-US" w:eastAsia="el-GR"/>
        </w:rPr>
        <w:t>b</w:t>
      </w:r>
      <w:r w:rsidRPr="005A464E">
        <w:rPr>
          <w:rFonts w:asciiTheme="minorHAnsi" w:eastAsia="Times New Roman" w:hAnsiTheme="minorHAnsi" w:cstheme="minorHAnsi"/>
          <w:lang w:val="en-US" w:eastAsia="el-GR"/>
        </w:rPr>
        <w:t xml:space="preserve">). The effect of sociodemographic features and beliefs about medicines on adherence to chronic kidney disease treatment. </w:t>
      </w:r>
      <w:r w:rsidRPr="005A464E">
        <w:rPr>
          <w:rFonts w:asciiTheme="minorHAnsi" w:eastAsia="Times New Roman" w:hAnsiTheme="minorHAnsi" w:cstheme="minorHAnsi"/>
          <w:i/>
          <w:lang w:val="en-US" w:eastAsia="el-GR"/>
        </w:rPr>
        <w:t>Journal of Clinical Research &amp;</w:t>
      </w:r>
      <w:r w:rsidR="006641DA" w:rsidRPr="005A464E">
        <w:rPr>
          <w:rFonts w:asciiTheme="minorHAnsi" w:eastAsia="Times New Roman" w:hAnsiTheme="minorHAnsi" w:cstheme="minorHAnsi"/>
          <w:i/>
          <w:lang w:val="en-US" w:eastAsia="el-GR"/>
        </w:rPr>
        <w:t xml:space="preserve"> </w:t>
      </w:r>
      <w:r w:rsidRPr="005A464E">
        <w:rPr>
          <w:rFonts w:asciiTheme="minorHAnsi" w:eastAsia="Times New Roman" w:hAnsiTheme="minorHAnsi" w:cstheme="minorHAnsi"/>
          <w:i/>
          <w:lang w:val="en-US" w:eastAsia="el-GR"/>
        </w:rPr>
        <w:t>Bioethics,</w:t>
      </w:r>
      <w:r w:rsidR="00440627">
        <w:rPr>
          <w:rFonts w:asciiTheme="minorHAnsi" w:eastAsia="Times New Roman" w:hAnsiTheme="minorHAnsi" w:cstheme="minorHAnsi"/>
          <w:lang w:val="en-US" w:eastAsia="el-GR"/>
        </w:rPr>
        <w:t xml:space="preserve"> </w:t>
      </w:r>
      <w:r w:rsidR="00440627" w:rsidRPr="00440627">
        <w:rPr>
          <w:rFonts w:asciiTheme="minorHAnsi" w:eastAsia="Times New Roman" w:hAnsiTheme="minorHAnsi" w:cstheme="minorHAnsi"/>
          <w:i/>
          <w:lang w:val="en-US" w:eastAsia="el-GR"/>
        </w:rPr>
        <w:t>3,</w:t>
      </w:r>
      <w:r w:rsidRPr="005A464E">
        <w:rPr>
          <w:rFonts w:asciiTheme="minorHAnsi" w:eastAsia="Times New Roman" w:hAnsiTheme="minorHAnsi" w:cstheme="minorHAnsi"/>
          <w:lang w:val="en-US" w:eastAsia="el-GR"/>
        </w:rPr>
        <w:t xml:space="preserve"> 1-5</w:t>
      </w:r>
      <w:r w:rsidR="00440627">
        <w:rPr>
          <w:rFonts w:asciiTheme="minorHAnsi" w:eastAsia="Times New Roman" w:hAnsiTheme="minorHAnsi" w:cstheme="minorHAnsi"/>
          <w:lang w:val="en-US" w:eastAsia="el-GR"/>
        </w:rPr>
        <w:t>.</w:t>
      </w:r>
    </w:p>
    <w:p w:rsidR="006579D3" w:rsidRPr="005A464E" w:rsidRDefault="006579D3"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hAnsiTheme="minorHAnsi" w:cstheme="minorHAnsi"/>
          <w:lang w:val="en-US"/>
        </w:rPr>
        <w:t xml:space="preserve">Theofilou, P. (2012c). Results from the </w:t>
      </w:r>
      <w:r w:rsidR="006641DA" w:rsidRPr="005A464E">
        <w:rPr>
          <w:rFonts w:asciiTheme="minorHAnsi" w:hAnsiTheme="minorHAnsi" w:cstheme="minorHAnsi"/>
          <w:lang w:val="en-US"/>
        </w:rPr>
        <w:t xml:space="preserve">translation and cultural adaptation </w:t>
      </w:r>
      <w:r w:rsidRPr="005A464E">
        <w:rPr>
          <w:rFonts w:asciiTheme="minorHAnsi" w:hAnsiTheme="minorHAnsi" w:cstheme="minorHAnsi"/>
          <w:lang w:val="en-US"/>
        </w:rPr>
        <w:t>of the Greek Simplified Medication Adhere</w:t>
      </w:r>
      <w:r w:rsidR="006641DA" w:rsidRPr="005A464E">
        <w:rPr>
          <w:rFonts w:asciiTheme="minorHAnsi" w:hAnsiTheme="minorHAnsi" w:cstheme="minorHAnsi"/>
          <w:lang w:val="en-US"/>
        </w:rPr>
        <w:t>nce Questionnaire (GR-SMAQ) in patients with lung c</w:t>
      </w:r>
      <w:r w:rsidRPr="005A464E">
        <w:rPr>
          <w:rFonts w:asciiTheme="minorHAnsi" w:hAnsiTheme="minorHAnsi" w:cstheme="minorHAnsi"/>
          <w:lang w:val="en-US"/>
        </w:rPr>
        <w:t xml:space="preserve">ancer. </w:t>
      </w:r>
      <w:r w:rsidRPr="005A464E">
        <w:rPr>
          <w:rFonts w:asciiTheme="minorHAnsi" w:hAnsiTheme="minorHAnsi" w:cstheme="minorHAnsi"/>
          <w:i/>
          <w:lang w:val="en-US"/>
        </w:rPr>
        <w:t>Journal of Clinical Trials,</w:t>
      </w:r>
      <w:r w:rsidRPr="005A464E">
        <w:rPr>
          <w:rFonts w:asciiTheme="minorHAnsi" w:hAnsiTheme="minorHAnsi" w:cstheme="minorHAnsi"/>
          <w:lang w:val="en-US"/>
        </w:rPr>
        <w:t xml:space="preserve"> S:1</w:t>
      </w:r>
      <w:r w:rsidR="00065443">
        <w:rPr>
          <w:rFonts w:asciiTheme="minorHAnsi" w:hAnsiTheme="minorHAnsi" w:cstheme="minorHAnsi"/>
          <w:lang w:val="en-US"/>
        </w:rPr>
        <w:t>.</w:t>
      </w:r>
    </w:p>
    <w:p w:rsidR="006607B8" w:rsidRDefault="003C410F" w:rsidP="005A464E">
      <w:pPr>
        <w:pStyle w:val="Web"/>
        <w:spacing w:after="166" w:line="360" w:lineRule="auto"/>
        <w:ind w:left="415" w:hanging="415"/>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Theofilou, P. (2013). Medication adherence in Greek haemodialysis patients: the contribution of depression and health cognitions. </w:t>
      </w:r>
      <w:r w:rsidRPr="005A464E">
        <w:rPr>
          <w:rFonts w:asciiTheme="minorHAnsi" w:eastAsia="Times New Roman" w:hAnsiTheme="minorHAnsi" w:cstheme="minorHAnsi"/>
          <w:i/>
          <w:lang w:val="en-US" w:eastAsia="el-GR"/>
        </w:rPr>
        <w:t>International Journal of Behavioral Medicin</w:t>
      </w:r>
      <w:r w:rsidR="00065443">
        <w:rPr>
          <w:rFonts w:asciiTheme="minorHAnsi" w:eastAsia="Times New Roman" w:hAnsiTheme="minorHAnsi" w:cstheme="minorHAnsi"/>
          <w:lang w:val="en-US" w:eastAsia="el-GR"/>
        </w:rPr>
        <w:t xml:space="preserve">e, </w:t>
      </w:r>
      <w:r w:rsidR="00065443" w:rsidRPr="00065443">
        <w:rPr>
          <w:rFonts w:asciiTheme="minorHAnsi" w:eastAsia="Times New Roman" w:hAnsiTheme="minorHAnsi" w:cstheme="minorHAnsi"/>
          <w:i/>
          <w:lang w:val="en-US" w:eastAsia="el-GR"/>
        </w:rPr>
        <w:t>20</w:t>
      </w:r>
      <w:r w:rsidR="00065443">
        <w:rPr>
          <w:rFonts w:asciiTheme="minorHAnsi" w:eastAsia="Times New Roman" w:hAnsiTheme="minorHAnsi" w:cstheme="minorHAnsi"/>
          <w:i/>
          <w:lang w:val="en-US" w:eastAsia="el-GR"/>
        </w:rPr>
        <w:t>,</w:t>
      </w:r>
      <w:r w:rsidRPr="005A464E">
        <w:rPr>
          <w:rFonts w:asciiTheme="minorHAnsi" w:eastAsia="Times New Roman" w:hAnsiTheme="minorHAnsi" w:cstheme="minorHAnsi"/>
          <w:lang w:val="en-US" w:eastAsia="el-GR"/>
        </w:rPr>
        <w:t xml:space="preserve"> 311-</w:t>
      </w:r>
      <w:r w:rsidR="006641DA" w:rsidRPr="005A464E">
        <w:rPr>
          <w:rFonts w:asciiTheme="minorHAnsi" w:eastAsia="Times New Roman" w:hAnsiTheme="minorHAnsi" w:cstheme="minorHAnsi"/>
          <w:lang w:val="en-US" w:eastAsia="el-GR"/>
        </w:rPr>
        <w:t>31</w:t>
      </w:r>
      <w:r w:rsidRPr="005A464E">
        <w:rPr>
          <w:rFonts w:asciiTheme="minorHAnsi" w:eastAsia="Times New Roman" w:hAnsiTheme="minorHAnsi" w:cstheme="minorHAnsi"/>
          <w:lang w:val="en-US" w:eastAsia="el-GR"/>
        </w:rPr>
        <w:t>8</w:t>
      </w:r>
      <w:r w:rsidR="006641DA" w:rsidRPr="005A464E">
        <w:rPr>
          <w:rFonts w:asciiTheme="minorHAnsi" w:eastAsia="Times New Roman" w:hAnsiTheme="minorHAnsi" w:cstheme="minorHAnsi"/>
          <w:lang w:val="en-US" w:eastAsia="el-GR"/>
        </w:rPr>
        <w:t>.</w:t>
      </w:r>
    </w:p>
    <w:p w:rsidR="00A45A83" w:rsidRDefault="00A45A83" w:rsidP="005A464E">
      <w:pPr>
        <w:pStyle w:val="Web"/>
        <w:spacing w:after="166" w:line="360" w:lineRule="auto"/>
        <w:ind w:left="415" w:hanging="415"/>
        <w:jc w:val="both"/>
        <w:rPr>
          <w:rFonts w:asciiTheme="minorHAnsi" w:hAnsiTheme="minorHAnsi" w:cstheme="minorHAnsi"/>
          <w:shd w:val="clear" w:color="auto" w:fill="FFFFFF"/>
          <w:lang w:val="en-US"/>
        </w:rPr>
      </w:pPr>
      <w:r w:rsidRPr="00A45A83">
        <w:rPr>
          <w:rFonts w:asciiTheme="minorHAnsi" w:hAnsiTheme="minorHAnsi" w:cstheme="minorHAnsi"/>
          <w:shd w:val="clear" w:color="auto" w:fill="FFFFFF"/>
          <w:lang w:val="en-US"/>
        </w:rPr>
        <w:t>Theofilou, P., Aroni, A., Ralli, M., Gouzou, M., &amp; Zyga, S. (2013). Measuring Health: Related Quality of Life in Hemodialysis Patients. Psychometric Properties of the Missoula-VITAS Quality of Life Index (MVQOLI-15) in Greece. </w:t>
      </w:r>
      <w:r w:rsidRPr="00A45A83">
        <w:rPr>
          <w:rFonts w:asciiTheme="minorHAnsi" w:hAnsiTheme="minorHAnsi" w:cstheme="minorHAnsi"/>
          <w:i/>
          <w:iCs/>
          <w:shd w:val="clear" w:color="auto" w:fill="FFFFFF"/>
          <w:lang w:val="en-US"/>
        </w:rPr>
        <w:t>Health Psychology Research</w:t>
      </w:r>
      <w:r w:rsidRPr="00A45A83">
        <w:rPr>
          <w:rFonts w:asciiTheme="minorHAnsi" w:hAnsiTheme="minorHAnsi" w:cstheme="minorHAnsi"/>
          <w:shd w:val="clear" w:color="auto" w:fill="FFFFFF"/>
          <w:lang w:val="en-US"/>
        </w:rPr>
        <w:t>, </w:t>
      </w:r>
      <w:r w:rsidRPr="00A45A83">
        <w:rPr>
          <w:rFonts w:asciiTheme="minorHAnsi" w:hAnsiTheme="minorHAnsi" w:cstheme="minorHAnsi"/>
          <w:i/>
          <w:iCs/>
          <w:shd w:val="clear" w:color="auto" w:fill="FFFFFF"/>
          <w:lang w:val="en-US"/>
        </w:rPr>
        <w:t>1</w:t>
      </w:r>
      <w:r w:rsidRPr="00A45A83">
        <w:rPr>
          <w:rFonts w:asciiTheme="minorHAnsi" w:hAnsiTheme="minorHAnsi" w:cstheme="minorHAnsi"/>
          <w:shd w:val="clear" w:color="auto" w:fill="FFFFFF"/>
          <w:lang w:val="en-US"/>
        </w:rPr>
        <w:t xml:space="preserve">, e17. </w:t>
      </w:r>
      <w:hyperlink r:id="rId402" w:history="1">
        <w:r w:rsidR="003937A9" w:rsidRPr="00503757">
          <w:rPr>
            <w:rStyle w:val="-"/>
            <w:rFonts w:asciiTheme="minorHAnsi" w:hAnsiTheme="minorHAnsi" w:cstheme="minorHAnsi"/>
            <w:shd w:val="clear" w:color="auto" w:fill="FFFFFF"/>
            <w:lang w:val="en-US"/>
          </w:rPr>
          <w:t>http://doi.org/10.4081/hpr.2013.e17</w:t>
        </w:r>
      </w:hyperlink>
      <w:r w:rsidR="003937A9">
        <w:rPr>
          <w:rFonts w:asciiTheme="minorHAnsi" w:hAnsiTheme="minorHAnsi" w:cstheme="minorHAnsi"/>
          <w:shd w:val="clear" w:color="auto" w:fill="FFFFFF"/>
          <w:lang w:val="en-US"/>
        </w:rPr>
        <w:t>.</w:t>
      </w:r>
    </w:p>
    <w:p w:rsidR="003937A9" w:rsidRPr="003937A9" w:rsidRDefault="003937A9" w:rsidP="005A464E">
      <w:pPr>
        <w:pStyle w:val="Web"/>
        <w:spacing w:after="166" w:line="360" w:lineRule="auto"/>
        <w:ind w:left="415" w:hanging="415"/>
        <w:jc w:val="both"/>
        <w:rPr>
          <w:rFonts w:asciiTheme="minorHAnsi" w:eastAsia="Times New Roman" w:hAnsiTheme="minorHAnsi" w:cstheme="minorHAnsi"/>
          <w:lang w:val="en-US" w:eastAsia="el-GR"/>
        </w:rPr>
      </w:pPr>
      <w:r w:rsidRPr="003937A9">
        <w:rPr>
          <w:rFonts w:asciiTheme="minorHAnsi" w:hAnsiTheme="minorHAnsi" w:cstheme="minorHAnsi"/>
          <w:lang w:val="en-US"/>
        </w:rPr>
        <w:t>Theofilou,</w:t>
      </w:r>
      <w:r>
        <w:rPr>
          <w:rFonts w:asciiTheme="minorHAnsi" w:hAnsiTheme="minorHAnsi" w:cstheme="minorHAnsi"/>
          <w:lang w:val="en-US"/>
        </w:rPr>
        <w:t xml:space="preserve"> P.,</w:t>
      </w:r>
      <w:r w:rsidRPr="003937A9">
        <w:rPr>
          <w:rFonts w:asciiTheme="minorHAnsi" w:hAnsiTheme="minorHAnsi" w:cstheme="minorHAnsi"/>
          <w:lang w:val="en-US"/>
        </w:rPr>
        <w:t xml:space="preserve"> Zyga,</w:t>
      </w:r>
      <w:r>
        <w:rPr>
          <w:rFonts w:asciiTheme="minorHAnsi" w:hAnsiTheme="minorHAnsi" w:cstheme="minorHAnsi"/>
          <w:lang w:val="en-US"/>
        </w:rPr>
        <w:t xml:space="preserve"> S.,</w:t>
      </w:r>
      <w:r w:rsidRPr="003937A9">
        <w:rPr>
          <w:rFonts w:asciiTheme="minorHAnsi" w:hAnsiTheme="minorHAnsi" w:cstheme="minorHAnsi"/>
          <w:lang w:val="en-US"/>
        </w:rPr>
        <w:t xml:space="preserve"> Tzitzikos,</w:t>
      </w:r>
      <w:r>
        <w:rPr>
          <w:rFonts w:asciiTheme="minorHAnsi" w:hAnsiTheme="minorHAnsi" w:cstheme="minorHAnsi"/>
          <w:lang w:val="en-US"/>
        </w:rPr>
        <w:t xml:space="preserve"> G.,</w:t>
      </w:r>
      <w:r w:rsidRPr="003937A9">
        <w:rPr>
          <w:rFonts w:asciiTheme="minorHAnsi" w:hAnsiTheme="minorHAnsi" w:cstheme="minorHAnsi"/>
          <w:lang w:val="en-US"/>
        </w:rPr>
        <w:t xml:space="preserve"> Malindretos,</w:t>
      </w:r>
      <w:r>
        <w:rPr>
          <w:rFonts w:asciiTheme="minorHAnsi" w:hAnsiTheme="minorHAnsi" w:cstheme="minorHAnsi"/>
          <w:lang w:val="en-US"/>
        </w:rPr>
        <w:t xml:space="preserve"> P., </w:t>
      </w:r>
      <w:r w:rsidRPr="003937A9">
        <w:rPr>
          <w:rFonts w:asciiTheme="minorHAnsi" w:hAnsiTheme="minorHAnsi" w:cstheme="minorHAnsi"/>
          <w:lang w:val="en-US"/>
        </w:rPr>
        <w:t xml:space="preserve"> &amp; Kotrotriou</w:t>
      </w:r>
      <w:r>
        <w:rPr>
          <w:rFonts w:asciiTheme="minorHAnsi" w:hAnsiTheme="minorHAnsi" w:cstheme="minorHAnsi"/>
          <w:lang w:val="en-US"/>
        </w:rPr>
        <w:t xml:space="preserve">, E. (2014). Assessing social support in Greek patients on maintenance hemodialysis: Psychometric properties of the Multidimensional Scale of Perceived Social Support. In Rasheed, Emaad, Seki (Ed.), </w:t>
      </w:r>
      <w:r w:rsidRPr="003937A9">
        <w:rPr>
          <w:rFonts w:asciiTheme="minorHAnsi" w:hAnsiTheme="minorHAnsi" w:cstheme="minorHAnsi"/>
          <w:i/>
          <w:lang w:val="en-US"/>
        </w:rPr>
        <w:t>Chronic Kidney Disease: Signs/Symptoms, Management options and potentional Complications.</w:t>
      </w:r>
      <w:r>
        <w:rPr>
          <w:rFonts w:asciiTheme="minorHAnsi" w:hAnsiTheme="minorHAnsi" w:cstheme="minorHAnsi"/>
          <w:lang w:val="en-US"/>
        </w:rPr>
        <w:t xml:space="preserve"> New York, Nova Biomedical.</w:t>
      </w:r>
    </w:p>
    <w:p w:rsidR="006607B8" w:rsidRPr="005A464E" w:rsidRDefault="008F3609" w:rsidP="005A464E">
      <w:pPr>
        <w:pStyle w:val="Web"/>
        <w:spacing w:after="166" w:line="360" w:lineRule="auto"/>
        <w:ind w:left="415" w:hanging="415"/>
        <w:jc w:val="both"/>
        <w:rPr>
          <w:rFonts w:asciiTheme="minorHAnsi" w:eastAsia="Times New Roman" w:hAnsiTheme="minorHAnsi" w:cstheme="minorHAnsi"/>
          <w:lang w:val="en-US" w:eastAsia="el-GR"/>
        </w:rPr>
      </w:pPr>
      <w:hyperlink r:id="rId403" w:history="1">
        <w:r w:rsidR="006607B8" w:rsidRPr="005A464E">
          <w:rPr>
            <w:rStyle w:val="highlight"/>
            <w:rFonts w:asciiTheme="minorHAnsi" w:hAnsiTheme="minorHAnsi" w:cstheme="minorHAnsi"/>
            <w:shd w:val="clear" w:color="auto" w:fill="FFFFFF"/>
            <w:lang w:val="en-US"/>
          </w:rPr>
          <w:t>Thomas-Hawkins,</w:t>
        </w:r>
        <w:r w:rsidR="006607B8" w:rsidRPr="005A464E">
          <w:rPr>
            <w:rStyle w:val="apple-converted-space"/>
            <w:rFonts w:asciiTheme="minorHAnsi" w:hAnsiTheme="minorHAnsi" w:cstheme="minorHAnsi"/>
            <w:shd w:val="clear" w:color="auto" w:fill="FFFFFF"/>
            <w:lang w:val="en-US"/>
          </w:rPr>
          <w:t> </w:t>
        </w:r>
        <w:r w:rsidR="006607B8" w:rsidRPr="005A464E">
          <w:rPr>
            <w:rStyle w:val="-"/>
            <w:rFonts w:asciiTheme="minorHAnsi" w:hAnsiTheme="minorHAnsi" w:cstheme="minorHAnsi"/>
            <w:color w:val="auto"/>
            <w:u w:val="none"/>
            <w:shd w:val="clear" w:color="auto" w:fill="FFFFFF"/>
            <w:lang w:val="en-US"/>
          </w:rPr>
          <w:t>C</w:t>
        </w:r>
      </w:hyperlink>
      <w:r w:rsidR="006607B8" w:rsidRPr="005A464E">
        <w:rPr>
          <w:rFonts w:asciiTheme="minorHAnsi" w:hAnsiTheme="minorHAnsi" w:cstheme="minorHAnsi"/>
          <w:lang w:val="en-US"/>
        </w:rPr>
        <w:t>. (2000). Symptom distress and day-to-day changes in functional status in chronic hemodialysis patients.</w:t>
      </w:r>
      <w:r w:rsidR="006607B8" w:rsidRPr="005A464E">
        <w:rPr>
          <w:rFonts w:asciiTheme="minorHAnsi" w:hAnsiTheme="minorHAnsi" w:cstheme="minorHAnsi"/>
          <w:shd w:val="clear" w:color="auto" w:fill="FFFFFF"/>
          <w:lang w:val="en-US"/>
        </w:rPr>
        <w:t xml:space="preserve"> </w:t>
      </w:r>
      <w:hyperlink r:id="rId404" w:tooltip="Nephrology nursing journal : journal of the American Nephrology Nurses' Association." w:history="1">
        <w:r w:rsidR="006607B8" w:rsidRPr="00065443">
          <w:rPr>
            <w:rStyle w:val="-"/>
            <w:rFonts w:asciiTheme="minorHAnsi" w:hAnsiTheme="minorHAnsi" w:cstheme="minorHAnsi"/>
            <w:i/>
            <w:color w:val="auto"/>
            <w:u w:val="none"/>
            <w:shd w:val="clear" w:color="auto" w:fill="FFFFFF"/>
            <w:lang w:val="en-US"/>
          </w:rPr>
          <w:t>Nephrology Nursing Journal</w:t>
        </w:r>
      </w:hyperlink>
      <w:r w:rsidR="006607B8" w:rsidRPr="00065443">
        <w:rPr>
          <w:rFonts w:asciiTheme="minorHAnsi" w:hAnsiTheme="minorHAnsi" w:cstheme="minorHAnsi"/>
          <w:i/>
          <w:shd w:val="clear" w:color="auto" w:fill="FFFFFF"/>
          <w:lang w:val="en-US"/>
        </w:rPr>
        <w:t xml:space="preserve">, </w:t>
      </w:r>
      <w:r w:rsidR="00065443" w:rsidRPr="00065443">
        <w:rPr>
          <w:rFonts w:asciiTheme="minorHAnsi" w:hAnsiTheme="minorHAnsi" w:cstheme="minorHAnsi"/>
          <w:i/>
          <w:shd w:val="clear" w:color="auto" w:fill="FFFFFF"/>
          <w:lang w:val="en-US"/>
        </w:rPr>
        <w:t>27</w:t>
      </w:r>
      <w:r w:rsidR="006607B8" w:rsidRPr="005A464E">
        <w:rPr>
          <w:rFonts w:asciiTheme="minorHAnsi" w:hAnsiTheme="minorHAnsi" w:cstheme="minorHAnsi"/>
          <w:shd w:val="clear" w:color="auto" w:fill="FFFFFF"/>
          <w:lang w:val="en-US"/>
        </w:rPr>
        <w:t>, 369-379</w:t>
      </w:r>
      <w:r w:rsidR="00065443">
        <w:rPr>
          <w:rFonts w:asciiTheme="minorHAnsi" w:hAnsiTheme="minorHAnsi" w:cstheme="minorHAnsi"/>
          <w:shd w:val="clear" w:color="auto" w:fill="FFFFFF"/>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shd w:val="clear" w:color="auto" w:fill="FFFFFF"/>
          <w:lang w:val="en-US"/>
        </w:rPr>
        <w:t xml:space="preserve">Thomas, R., Kanso, A., </w:t>
      </w:r>
      <w:r w:rsidR="006641DA" w:rsidRPr="005A464E">
        <w:rPr>
          <w:rFonts w:asciiTheme="minorHAnsi" w:hAnsiTheme="minorHAnsi" w:cstheme="minorHAnsi"/>
          <w:shd w:val="clear" w:color="auto" w:fill="FFFFFF"/>
          <w:lang w:val="en-US"/>
        </w:rPr>
        <w:t xml:space="preserve">&amp; </w:t>
      </w:r>
      <w:r w:rsidRPr="005A464E">
        <w:rPr>
          <w:rFonts w:asciiTheme="minorHAnsi" w:hAnsiTheme="minorHAnsi" w:cstheme="minorHAnsi"/>
          <w:shd w:val="clear" w:color="auto" w:fill="FFFFFF"/>
          <w:lang w:val="en-US"/>
        </w:rPr>
        <w:t xml:space="preserve">Sedor, J.R. (2008). Chronic </w:t>
      </w:r>
      <w:r w:rsidR="009368E9" w:rsidRPr="005A464E">
        <w:rPr>
          <w:rFonts w:asciiTheme="minorHAnsi" w:hAnsiTheme="minorHAnsi" w:cstheme="minorHAnsi"/>
          <w:shd w:val="clear" w:color="auto" w:fill="FFFFFF"/>
          <w:lang w:val="en-US"/>
        </w:rPr>
        <w:t>kidney disease and its complication</w:t>
      </w:r>
      <w:r w:rsidRPr="005A464E">
        <w:rPr>
          <w:rFonts w:asciiTheme="minorHAnsi" w:hAnsiTheme="minorHAnsi" w:cstheme="minorHAnsi"/>
          <w:shd w:val="clear" w:color="auto" w:fill="FFFFFF"/>
          <w:lang w:val="en-US"/>
        </w:rPr>
        <w:t>s.</w:t>
      </w:r>
      <w:r w:rsidRPr="005A464E">
        <w:rPr>
          <w:rStyle w:val="apple-converted-space"/>
          <w:rFonts w:asciiTheme="minorHAnsi" w:hAnsiTheme="minorHAnsi" w:cstheme="minorHAnsi"/>
          <w:shd w:val="clear" w:color="auto" w:fill="FFFFFF"/>
          <w:lang w:val="en-US"/>
        </w:rPr>
        <w:t> </w:t>
      </w:r>
      <w:r w:rsidRPr="005A464E">
        <w:rPr>
          <w:rFonts w:asciiTheme="minorHAnsi" w:hAnsiTheme="minorHAnsi" w:cstheme="minorHAnsi"/>
          <w:i/>
          <w:iCs/>
          <w:shd w:val="clear" w:color="auto" w:fill="FFFFFF"/>
          <w:lang w:val="en-US"/>
        </w:rPr>
        <w:t>Primary care</w:t>
      </w:r>
      <w:r w:rsidR="00065443">
        <w:rPr>
          <w:rFonts w:asciiTheme="minorHAnsi" w:hAnsiTheme="minorHAnsi" w:cstheme="minorHAnsi"/>
          <w:shd w:val="clear" w:color="auto" w:fill="FFFFFF"/>
          <w:lang w:val="en-US"/>
        </w:rPr>
        <w:t xml:space="preserve">, 35, </w:t>
      </w:r>
      <w:r w:rsidRPr="005A464E">
        <w:rPr>
          <w:rFonts w:asciiTheme="minorHAnsi" w:hAnsiTheme="minorHAnsi" w:cstheme="minorHAnsi"/>
          <w:shd w:val="clear" w:color="auto" w:fill="FFFFFF"/>
          <w:lang w:val="en-US"/>
        </w:rPr>
        <w:t xml:space="preserve">329-vii.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:10.1016/j.pop.2008.01.008.</w:t>
      </w:r>
    </w:p>
    <w:p w:rsidR="00BE5328" w:rsidRDefault="0076403B" w:rsidP="00BE5328">
      <w:pPr>
        <w:pStyle w:val="Web"/>
        <w:spacing w:after="166" w:line="360" w:lineRule="auto"/>
        <w:ind w:left="415" w:hanging="415"/>
        <w:jc w:val="both"/>
        <w:rPr>
          <w:rFonts w:asciiTheme="minorHAnsi" w:eastAsia="Times New Roman" w:hAnsiTheme="minorHAnsi" w:cstheme="minorHAnsi"/>
          <w:iCs/>
          <w:lang w:val="en-US" w:eastAsia="el-GR"/>
        </w:rPr>
      </w:pPr>
      <w:r w:rsidRPr="005A464E">
        <w:rPr>
          <w:rFonts w:asciiTheme="minorHAnsi" w:eastAsia="Times New Roman" w:hAnsiTheme="minorHAnsi" w:cstheme="minorHAnsi"/>
          <w:shd w:val="clear" w:color="auto" w:fill="FFFFFF"/>
          <w:lang w:val="en-US" w:eastAsia="el-GR"/>
        </w:rPr>
        <w:t xml:space="preserve">Thomas, D., Joseph, J., Francis, B., </w:t>
      </w:r>
      <w:r w:rsidR="006641DA" w:rsidRPr="005A464E">
        <w:rPr>
          <w:rFonts w:asciiTheme="minorHAnsi" w:eastAsia="Times New Roman" w:hAnsiTheme="minorHAnsi" w:cstheme="minorHAnsi"/>
          <w:shd w:val="clear" w:color="auto" w:fill="FFFFFF"/>
          <w:lang w:val="en-US" w:eastAsia="el-GR"/>
        </w:rPr>
        <w:t xml:space="preserve">&amp; </w:t>
      </w:r>
      <w:r w:rsidRPr="005A464E">
        <w:rPr>
          <w:rFonts w:asciiTheme="minorHAnsi" w:eastAsia="Times New Roman" w:hAnsiTheme="minorHAnsi" w:cstheme="minorHAnsi"/>
          <w:shd w:val="clear" w:color="auto" w:fill="FFFFFF"/>
          <w:lang w:val="en-US" w:eastAsia="el-GR"/>
        </w:rPr>
        <w:t xml:space="preserve">Mohanta, G.P. (2009). Effect of patient counseling on quality of life of hemodialysis patients in India. </w:t>
      </w:r>
      <w:r w:rsidRPr="005A464E">
        <w:rPr>
          <w:rFonts w:asciiTheme="minorHAnsi" w:eastAsia="Times New Roman" w:hAnsiTheme="minorHAnsi" w:cstheme="minorHAnsi"/>
          <w:i/>
          <w:iCs/>
          <w:lang w:val="en-US" w:eastAsia="el-GR"/>
        </w:rPr>
        <w:t>Pharmacy Practice</w:t>
      </w:r>
      <w:r w:rsidR="00065443">
        <w:rPr>
          <w:rFonts w:asciiTheme="minorHAnsi" w:eastAsia="Times New Roman" w:hAnsiTheme="minorHAnsi" w:cstheme="minorHAnsi"/>
          <w:iCs/>
          <w:lang w:val="en-US" w:eastAsia="el-GR"/>
        </w:rPr>
        <w:t>,</w:t>
      </w:r>
      <w:r w:rsidR="0078495A">
        <w:rPr>
          <w:rFonts w:asciiTheme="minorHAnsi" w:eastAsia="Times New Roman" w:hAnsiTheme="minorHAnsi" w:cstheme="minorHAnsi"/>
          <w:iCs/>
          <w:lang w:val="en-US" w:eastAsia="el-GR"/>
        </w:rPr>
        <w:t xml:space="preserve"> </w:t>
      </w:r>
      <w:r w:rsidR="00065443" w:rsidRPr="00065443">
        <w:rPr>
          <w:rFonts w:asciiTheme="minorHAnsi" w:eastAsia="Times New Roman" w:hAnsiTheme="minorHAnsi" w:cstheme="minorHAnsi"/>
          <w:i/>
          <w:iCs/>
          <w:lang w:val="en-US" w:eastAsia="el-GR"/>
        </w:rPr>
        <w:t>7</w:t>
      </w:r>
      <w:r w:rsidRPr="00065443">
        <w:rPr>
          <w:rFonts w:asciiTheme="minorHAnsi" w:eastAsia="Times New Roman" w:hAnsiTheme="minorHAnsi" w:cstheme="minorHAnsi"/>
          <w:i/>
          <w:iCs/>
          <w:lang w:val="en-US" w:eastAsia="el-GR"/>
        </w:rPr>
        <w:t>,</w:t>
      </w:r>
      <w:r w:rsidRPr="005A464E">
        <w:rPr>
          <w:rFonts w:asciiTheme="minorHAnsi" w:eastAsia="Times New Roman" w:hAnsiTheme="minorHAnsi" w:cstheme="minorHAnsi"/>
          <w:iCs/>
          <w:lang w:val="en-US" w:eastAsia="el-GR"/>
        </w:rPr>
        <w:t xml:space="preserve"> 181-184.</w:t>
      </w:r>
    </w:p>
    <w:p w:rsidR="00BE5328" w:rsidRPr="00BE5328" w:rsidRDefault="008F3609" w:rsidP="00BE5328">
      <w:pPr>
        <w:pStyle w:val="Web"/>
        <w:spacing w:after="166" w:line="360" w:lineRule="auto"/>
        <w:ind w:left="415" w:hanging="415"/>
        <w:jc w:val="both"/>
        <w:rPr>
          <w:rFonts w:asciiTheme="minorHAnsi" w:eastAsia="Times New Roman" w:hAnsiTheme="minorHAnsi" w:cstheme="minorHAnsi"/>
          <w:iCs/>
          <w:lang w:val="en-US" w:eastAsia="el-GR"/>
        </w:rPr>
      </w:pPr>
      <w:hyperlink r:id="rId405" w:history="1">
        <w:r w:rsidR="00BE5328" w:rsidRPr="00BE5328">
          <w:rPr>
            <w:rStyle w:val="-"/>
            <w:rFonts w:asciiTheme="minorHAnsi" w:hAnsiTheme="minorHAnsi" w:cstheme="minorHAnsi"/>
            <w:color w:val="auto"/>
            <w:u w:val="none"/>
            <w:shd w:val="clear" w:color="auto" w:fill="FFFFFF"/>
            <w:lang w:val="en-US"/>
          </w:rPr>
          <w:t>Thomas, R</w:t>
        </w:r>
      </w:hyperlink>
      <w:r w:rsidR="00BE5328" w:rsidRPr="00BE5328">
        <w:rPr>
          <w:rFonts w:asciiTheme="minorHAnsi" w:hAnsiTheme="minorHAnsi" w:cstheme="minorHAnsi"/>
          <w:lang w:val="en-US"/>
        </w:rPr>
        <w:t>.</w:t>
      </w:r>
      <w:r w:rsidR="00BE5328" w:rsidRPr="00BE5328">
        <w:rPr>
          <w:rFonts w:asciiTheme="minorHAnsi" w:hAnsiTheme="minorHAnsi" w:cstheme="minorHAnsi"/>
          <w:shd w:val="clear" w:color="auto" w:fill="FFFFFF"/>
          <w:lang w:val="en-US"/>
        </w:rPr>
        <w:t>, </w:t>
      </w:r>
      <w:hyperlink r:id="rId406" w:history="1">
        <w:r w:rsidR="00BE5328" w:rsidRPr="00BE5328">
          <w:rPr>
            <w:rStyle w:val="-"/>
            <w:rFonts w:asciiTheme="minorHAnsi" w:hAnsiTheme="minorHAnsi" w:cstheme="minorHAnsi"/>
            <w:color w:val="auto"/>
            <w:u w:val="none"/>
            <w:shd w:val="clear" w:color="auto" w:fill="FFFFFF"/>
            <w:lang w:val="en-US"/>
          </w:rPr>
          <w:t>Panackal, C</w:t>
        </w:r>
      </w:hyperlink>
      <w:r w:rsidR="00BE5328" w:rsidRPr="00BE5328">
        <w:rPr>
          <w:rFonts w:asciiTheme="minorHAnsi" w:hAnsiTheme="minorHAnsi" w:cstheme="minorHAnsi"/>
          <w:lang w:val="en-US"/>
        </w:rPr>
        <w:t>.</w:t>
      </w:r>
      <w:r w:rsidR="00BE5328" w:rsidRPr="00BE5328">
        <w:rPr>
          <w:rFonts w:asciiTheme="minorHAnsi" w:hAnsiTheme="minorHAnsi" w:cstheme="minorHAnsi"/>
          <w:shd w:val="clear" w:color="auto" w:fill="FFFFFF"/>
          <w:lang w:val="en-US"/>
        </w:rPr>
        <w:t>, </w:t>
      </w:r>
      <w:hyperlink r:id="rId407" w:history="1">
        <w:r w:rsidR="00BE5328" w:rsidRPr="00BE5328">
          <w:rPr>
            <w:rStyle w:val="-"/>
            <w:rFonts w:asciiTheme="minorHAnsi" w:hAnsiTheme="minorHAnsi" w:cstheme="minorHAnsi"/>
            <w:color w:val="auto"/>
            <w:u w:val="none"/>
            <w:shd w:val="clear" w:color="auto" w:fill="FFFFFF"/>
            <w:lang w:val="en-US"/>
          </w:rPr>
          <w:t>John, M</w:t>
        </w:r>
      </w:hyperlink>
      <w:r w:rsidR="00BE5328" w:rsidRPr="00BE5328">
        <w:rPr>
          <w:rFonts w:asciiTheme="minorHAnsi" w:hAnsiTheme="minorHAnsi" w:cstheme="minorHAnsi"/>
          <w:lang w:val="en-US"/>
        </w:rPr>
        <w:t>.</w:t>
      </w:r>
      <w:r w:rsidR="00BE5328" w:rsidRPr="00BE5328">
        <w:rPr>
          <w:rFonts w:asciiTheme="minorHAnsi" w:hAnsiTheme="minorHAnsi" w:cstheme="minorHAnsi"/>
          <w:shd w:val="clear" w:color="auto" w:fill="FFFFFF"/>
          <w:lang w:val="en-US"/>
        </w:rPr>
        <w:t>, </w:t>
      </w:r>
      <w:hyperlink r:id="rId408" w:history="1">
        <w:r w:rsidR="00BE5328" w:rsidRPr="00BE5328">
          <w:rPr>
            <w:rStyle w:val="-"/>
            <w:rFonts w:asciiTheme="minorHAnsi" w:hAnsiTheme="minorHAnsi" w:cstheme="minorHAnsi"/>
            <w:color w:val="auto"/>
            <w:u w:val="none"/>
            <w:shd w:val="clear" w:color="auto" w:fill="FFFFFF"/>
            <w:lang w:val="en-US"/>
          </w:rPr>
          <w:t>Joshi, H</w:t>
        </w:r>
      </w:hyperlink>
      <w:r w:rsidR="00BE5328" w:rsidRPr="00BE5328">
        <w:rPr>
          <w:rFonts w:asciiTheme="minorHAnsi" w:hAnsiTheme="minorHAnsi" w:cstheme="minorHAnsi"/>
          <w:lang w:val="en-US"/>
        </w:rPr>
        <w:t>.</w:t>
      </w:r>
      <w:r w:rsidR="00BE5328" w:rsidRPr="00BE5328">
        <w:rPr>
          <w:rFonts w:asciiTheme="minorHAnsi" w:hAnsiTheme="minorHAnsi" w:cstheme="minorHAnsi"/>
          <w:shd w:val="clear" w:color="auto" w:fill="FFFFFF"/>
          <w:lang w:val="en-US"/>
        </w:rPr>
        <w:t>, </w:t>
      </w:r>
      <w:hyperlink r:id="rId409" w:history="1">
        <w:r w:rsidR="00BE5328" w:rsidRPr="00BE5328">
          <w:rPr>
            <w:rStyle w:val="-"/>
            <w:rFonts w:asciiTheme="minorHAnsi" w:hAnsiTheme="minorHAnsi" w:cstheme="minorHAnsi"/>
            <w:color w:val="auto"/>
            <w:u w:val="none"/>
            <w:shd w:val="clear" w:color="auto" w:fill="FFFFFF"/>
            <w:lang w:val="en-US"/>
          </w:rPr>
          <w:t>Mathai S</w:t>
        </w:r>
      </w:hyperlink>
      <w:r w:rsidR="00BE5328" w:rsidRPr="00BE5328">
        <w:rPr>
          <w:rFonts w:asciiTheme="minorHAnsi" w:hAnsiTheme="minorHAnsi" w:cstheme="minorHAnsi"/>
          <w:lang w:val="en-US"/>
        </w:rPr>
        <w:t>.</w:t>
      </w:r>
      <w:r w:rsidR="00BE5328" w:rsidRPr="00BE5328">
        <w:rPr>
          <w:rFonts w:asciiTheme="minorHAnsi" w:hAnsiTheme="minorHAnsi" w:cstheme="minorHAnsi"/>
          <w:shd w:val="clear" w:color="auto" w:fill="FFFFFF"/>
          <w:lang w:val="en-US"/>
        </w:rPr>
        <w:t>, </w:t>
      </w:r>
      <w:hyperlink r:id="rId410" w:history="1">
        <w:r w:rsidR="00BE5328" w:rsidRPr="00BE5328">
          <w:rPr>
            <w:rStyle w:val="-"/>
            <w:rFonts w:asciiTheme="minorHAnsi" w:hAnsiTheme="minorHAnsi" w:cstheme="minorHAnsi"/>
            <w:color w:val="auto"/>
            <w:u w:val="none"/>
            <w:shd w:val="clear" w:color="auto" w:fill="FFFFFF"/>
            <w:lang w:val="en-US"/>
          </w:rPr>
          <w:t>Kattickaran, J</w:t>
        </w:r>
      </w:hyperlink>
      <w:r w:rsidR="00BE5328" w:rsidRPr="00BE5328">
        <w:rPr>
          <w:rFonts w:asciiTheme="minorHAnsi" w:hAnsiTheme="minorHAnsi" w:cstheme="minorHAnsi"/>
          <w:lang w:val="en-US"/>
        </w:rPr>
        <w:t>.</w:t>
      </w:r>
      <w:r w:rsidR="00BE5328" w:rsidRPr="00BE5328">
        <w:rPr>
          <w:rFonts w:asciiTheme="minorHAnsi" w:hAnsiTheme="minorHAnsi" w:cstheme="minorHAnsi"/>
          <w:shd w:val="clear" w:color="auto" w:fill="FFFFFF"/>
          <w:lang w:val="en-US"/>
        </w:rPr>
        <w:t>, </w:t>
      </w:r>
      <w:hyperlink r:id="rId411" w:history="1">
        <w:r w:rsidR="00BE5328" w:rsidRPr="00BE5328">
          <w:rPr>
            <w:rStyle w:val="-"/>
            <w:rFonts w:asciiTheme="minorHAnsi" w:hAnsiTheme="minorHAnsi" w:cstheme="minorHAnsi"/>
            <w:color w:val="auto"/>
            <w:u w:val="none"/>
            <w:shd w:val="clear" w:color="auto" w:fill="FFFFFF"/>
            <w:lang w:val="en-US"/>
          </w:rPr>
          <w:t>Iqbal, M</w:t>
        </w:r>
      </w:hyperlink>
      <w:r w:rsidR="00BE5328" w:rsidRPr="00BE5328">
        <w:rPr>
          <w:rFonts w:asciiTheme="minorHAnsi" w:hAnsiTheme="minorHAnsi" w:cstheme="minorHAnsi"/>
          <w:shd w:val="clear" w:color="auto" w:fill="FFFFFF"/>
          <w:lang w:val="en-US"/>
        </w:rPr>
        <w:t>. (201</w:t>
      </w:r>
      <w:r w:rsidR="00BE5328">
        <w:rPr>
          <w:rFonts w:asciiTheme="minorHAnsi" w:hAnsiTheme="minorHAnsi" w:cstheme="minorHAnsi"/>
          <w:shd w:val="clear" w:color="auto" w:fill="FFFFFF"/>
          <w:lang w:val="en-US"/>
        </w:rPr>
        <w:t>3</w:t>
      </w:r>
      <w:r w:rsidR="00BE5328" w:rsidRPr="00BE5328">
        <w:rPr>
          <w:rFonts w:asciiTheme="minorHAnsi" w:hAnsiTheme="minorHAnsi" w:cstheme="minorHAnsi"/>
          <w:shd w:val="clear" w:color="auto" w:fill="FFFFFF"/>
          <w:lang w:val="en-US"/>
        </w:rPr>
        <w:t>).</w:t>
      </w:r>
      <w:r w:rsidR="00BE5328" w:rsidRPr="00BE5328">
        <w:rPr>
          <w:rFonts w:asciiTheme="minorHAnsi" w:hAnsiTheme="minorHAnsi" w:cstheme="minorHAnsi"/>
          <w:lang w:val="en-US"/>
        </w:rPr>
        <w:t xml:space="preserve"> Gastrointestinal complications in patients with chronic kidney disease--a 5-year retrospective study from a tertiary referral center.</w:t>
      </w:r>
      <w:r w:rsidR="00BE5328" w:rsidRPr="00BE5328">
        <w:rPr>
          <w:rFonts w:asciiTheme="minorHAnsi" w:hAnsiTheme="minorHAnsi" w:cstheme="minorHAnsi"/>
          <w:shd w:val="clear" w:color="auto" w:fill="FFFFFF"/>
          <w:lang w:val="en-US"/>
        </w:rPr>
        <w:t xml:space="preserve"> </w:t>
      </w:r>
      <w:hyperlink r:id="rId412" w:tooltip="Renal failure." w:history="1">
        <w:r w:rsidR="00BE5328" w:rsidRPr="00BE5328">
          <w:rPr>
            <w:rStyle w:val="-"/>
            <w:rFonts w:asciiTheme="minorHAnsi" w:hAnsiTheme="minorHAnsi" w:cstheme="minorHAnsi"/>
            <w:i/>
            <w:color w:val="auto"/>
            <w:u w:val="none"/>
            <w:shd w:val="clear" w:color="auto" w:fill="FFFFFF"/>
            <w:lang w:val="en-US"/>
          </w:rPr>
          <w:t xml:space="preserve">Renal Failure, </w:t>
        </w:r>
      </w:hyperlink>
      <w:r w:rsidR="00BE5328" w:rsidRPr="00BE5328">
        <w:rPr>
          <w:rFonts w:asciiTheme="minorHAnsi" w:hAnsiTheme="minorHAnsi" w:cstheme="minorHAnsi"/>
          <w:i/>
          <w:shd w:val="clear" w:color="auto" w:fill="FFFFFF"/>
          <w:lang w:val="en-US"/>
        </w:rPr>
        <w:t>35,</w:t>
      </w:r>
      <w:r w:rsidR="00BE5328">
        <w:rPr>
          <w:rFonts w:asciiTheme="minorHAnsi" w:hAnsiTheme="minorHAnsi" w:cstheme="minorHAnsi"/>
          <w:shd w:val="clear" w:color="auto" w:fill="FFFFFF"/>
          <w:lang w:val="en-US"/>
        </w:rPr>
        <w:t xml:space="preserve"> 49-55. DOI</w:t>
      </w:r>
      <w:r w:rsidR="00BE5328" w:rsidRPr="00BE5328">
        <w:rPr>
          <w:rFonts w:asciiTheme="minorHAnsi" w:hAnsiTheme="minorHAnsi" w:cstheme="minorHAnsi"/>
          <w:shd w:val="clear" w:color="auto" w:fill="FFFFFF"/>
          <w:lang w:val="en-US"/>
        </w:rPr>
        <w:t>: 10.3109/0886022X.2012.731998</w:t>
      </w:r>
    </w:p>
    <w:p w:rsidR="003C410F" w:rsidRPr="005A464E" w:rsidRDefault="003C410F" w:rsidP="005A464E">
      <w:pPr>
        <w:pStyle w:val="Web"/>
        <w:spacing w:after="166" w:line="360" w:lineRule="auto"/>
        <w:ind w:left="415" w:hanging="415"/>
        <w:jc w:val="both"/>
        <w:rPr>
          <w:rFonts w:asciiTheme="minorHAnsi" w:hAnsiTheme="minorHAnsi" w:cstheme="minorHAnsi"/>
          <w:iCs/>
          <w:lang w:val="en-US"/>
        </w:rPr>
      </w:pPr>
      <w:r w:rsidRPr="005A464E">
        <w:rPr>
          <w:rFonts w:asciiTheme="minorHAnsi" w:hAnsiTheme="minorHAnsi" w:cstheme="minorHAnsi"/>
          <w:shd w:val="clear" w:color="auto" w:fill="FFFFFF"/>
          <w:lang w:val="en-US"/>
        </w:rPr>
        <w:t>T</w:t>
      </w:r>
      <w:r w:rsidR="001929ED">
        <w:rPr>
          <w:rFonts w:asciiTheme="minorHAnsi" w:hAnsiTheme="minorHAnsi" w:cstheme="minorHAnsi"/>
          <w:iCs/>
          <w:lang w:val="en-US"/>
        </w:rPr>
        <w:t>hompson, K., Kulkarni, J., &amp;</w:t>
      </w:r>
      <w:r w:rsidRPr="005A464E">
        <w:rPr>
          <w:rFonts w:asciiTheme="minorHAnsi" w:hAnsiTheme="minorHAnsi" w:cstheme="minorHAnsi"/>
          <w:iCs/>
          <w:lang w:val="en-US"/>
        </w:rPr>
        <w:t xml:space="preserve"> Sergejew, A. (2000). Reliability and validity of a new Medication Adherence Rating</w:t>
      </w:r>
      <w:r w:rsidR="006641DA" w:rsidRPr="005A464E">
        <w:rPr>
          <w:rFonts w:asciiTheme="minorHAnsi" w:hAnsiTheme="minorHAnsi" w:cstheme="minorHAnsi"/>
          <w:iCs/>
          <w:lang w:val="en-US"/>
        </w:rPr>
        <w:t xml:space="preserve"> Scale (MARS) for the psychoses.</w:t>
      </w:r>
      <w:r w:rsidRPr="005A464E">
        <w:rPr>
          <w:rFonts w:asciiTheme="minorHAnsi" w:hAnsiTheme="minorHAnsi" w:cstheme="minorHAnsi"/>
          <w:iCs/>
          <w:lang w:val="en-US"/>
        </w:rPr>
        <w:t xml:space="preserve"> </w:t>
      </w:r>
      <w:r w:rsidRPr="005A464E">
        <w:rPr>
          <w:rFonts w:asciiTheme="minorHAnsi" w:hAnsiTheme="minorHAnsi" w:cstheme="minorHAnsi"/>
          <w:i/>
          <w:iCs/>
          <w:lang w:val="en-US"/>
        </w:rPr>
        <w:t>Schizophrenia Research,</w:t>
      </w:r>
      <w:r w:rsidR="00065443">
        <w:rPr>
          <w:rFonts w:asciiTheme="minorHAnsi" w:hAnsiTheme="minorHAnsi" w:cstheme="minorHAnsi"/>
          <w:iCs/>
          <w:lang w:val="en-US"/>
        </w:rPr>
        <w:t xml:space="preserve"> </w:t>
      </w:r>
      <w:r w:rsidR="00065443" w:rsidRPr="00065443">
        <w:rPr>
          <w:rFonts w:asciiTheme="minorHAnsi" w:hAnsiTheme="minorHAnsi" w:cstheme="minorHAnsi"/>
          <w:i/>
          <w:iCs/>
          <w:lang w:val="en-US"/>
        </w:rPr>
        <w:t>42</w:t>
      </w:r>
      <w:r w:rsidRPr="00065443">
        <w:rPr>
          <w:rFonts w:asciiTheme="minorHAnsi" w:hAnsiTheme="minorHAnsi" w:cstheme="minorHAnsi"/>
          <w:i/>
          <w:iCs/>
          <w:lang w:val="en-US"/>
        </w:rPr>
        <w:t>,</w:t>
      </w:r>
      <w:r w:rsidRPr="005A464E">
        <w:rPr>
          <w:rFonts w:asciiTheme="minorHAnsi" w:hAnsiTheme="minorHAnsi" w:cstheme="minorHAnsi"/>
          <w:iCs/>
          <w:lang w:val="en-US"/>
        </w:rPr>
        <w:t xml:space="preserve"> 241–247.</w:t>
      </w:r>
    </w:p>
    <w:p w:rsidR="003C410F" w:rsidRPr="005A464E" w:rsidRDefault="003C410F" w:rsidP="005A464E">
      <w:pPr>
        <w:pStyle w:val="Web"/>
        <w:spacing w:after="166" w:line="360" w:lineRule="auto"/>
        <w:ind w:left="415" w:hanging="415"/>
        <w:jc w:val="both"/>
        <w:rPr>
          <w:rFonts w:asciiTheme="minorHAnsi" w:hAnsiTheme="minorHAnsi" w:cstheme="minorHAnsi"/>
          <w:iCs/>
          <w:highlight w:val="lightGray"/>
          <w:lang w:val="en-US"/>
        </w:rPr>
      </w:pPr>
      <w:r w:rsidRPr="005A464E">
        <w:rPr>
          <w:rFonts w:asciiTheme="minorHAnsi" w:hAnsiTheme="minorHAnsi" w:cstheme="minorHAnsi"/>
          <w:lang w:val="en-US"/>
        </w:rPr>
        <w:t>Toll, B., McKee, S., Martin, D., Jatlow, P., &amp; O'Malley, S. (2007). Factor structure and validity of the Medication Adherence Questionnaire (MAQ) with cigarette smokers trying to quit.</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Nicotine &amp; Tobacco Research</w:t>
      </w:r>
      <w:r w:rsidRPr="005A464E">
        <w:rPr>
          <w:rFonts w:asciiTheme="minorHAnsi" w:hAnsiTheme="minorHAnsi" w:cstheme="minorHAnsi"/>
          <w:lang w:val="en-US"/>
        </w:rPr>
        <w:t>,</w:t>
      </w:r>
      <w:r w:rsidRPr="00065443">
        <w:rPr>
          <w:rStyle w:val="apple-converted-space"/>
          <w:rFonts w:asciiTheme="minorHAnsi" w:hAnsiTheme="minorHAnsi" w:cstheme="minorHAnsi"/>
          <w:i/>
          <w:lang w:val="en-US"/>
        </w:rPr>
        <w:t> </w:t>
      </w:r>
      <w:r w:rsidRPr="00065443">
        <w:rPr>
          <w:rFonts w:asciiTheme="minorHAnsi" w:hAnsiTheme="minorHAnsi" w:cstheme="minorHAnsi"/>
          <w:i/>
          <w:iCs/>
          <w:lang w:val="en-US"/>
        </w:rPr>
        <w:t>9</w:t>
      </w:r>
      <w:r w:rsidR="00065443">
        <w:rPr>
          <w:rFonts w:asciiTheme="minorHAnsi" w:hAnsiTheme="minorHAnsi" w:cstheme="minorHAnsi"/>
          <w:lang w:val="en-US"/>
        </w:rPr>
        <w:t xml:space="preserve">, </w:t>
      </w:r>
      <w:r w:rsidRPr="005A464E">
        <w:rPr>
          <w:rFonts w:asciiTheme="minorHAnsi" w:hAnsiTheme="minorHAnsi" w:cstheme="minorHAnsi"/>
          <w:lang w:val="en-US"/>
        </w:rPr>
        <w:t xml:space="preserve">597-605. </w:t>
      </w:r>
      <w:hyperlink r:id="rId413"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.org/10.1080/14622200701239662</w:t>
        </w:r>
      </w:hyperlink>
      <w:r w:rsidR="006641DA" w:rsidRPr="005A464E">
        <w:rPr>
          <w:rFonts w:asciiTheme="minorHAnsi" w:hAnsiTheme="minorHAnsi"/>
          <w:lang w:val="en-US"/>
        </w:rPr>
        <w:t>.</w:t>
      </w:r>
    </w:p>
    <w:p w:rsidR="003C410F" w:rsidRPr="005A464E" w:rsidRDefault="003C410F" w:rsidP="005A464E">
      <w:pPr>
        <w:pStyle w:val="Web"/>
        <w:spacing w:after="166" w:line="360" w:lineRule="auto"/>
        <w:ind w:left="415" w:hanging="415"/>
        <w:jc w:val="both"/>
        <w:rPr>
          <w:rFonts w:asciiTheme="minorHAnsi" w:hAnsiTheme="minorHAnsi" w:cstheme="minorHAnsi"/>
          <w:iCs/>
          <w:lang w:val="en-US"/>
        </w:rPr>
      </w:pPr>
      <w:r w:rsidRPr="005A464E">
        <w:rPr>
          <w:rFonts w:asciiTheme="minorHAnsi" w:eastAsia="Times New Roman" w:hAnsiTheme="minorHAnsi" w:cstheme="minorHAnsi"/>
          <w:iCs/>
          <w:lang w:val="en-US" w:eastAsia="el-GR"/>
        </w:rPr>
        <w:t xml:space="preserve">Tomasello, S., Dhupar, S., Sherman, R.A. (2004). Phosphate binders, K/DOQI guidelines, and compliance: the unfortunate reality. </w:t>
      </w:r>
      <w:r w:rsidRPr="005A464E">
        <w:rPr>
          <w:rFonts w:asciiTheme="minorHAnsi" w:eastAsia="Times New Roman" w:hAnsiTheme="minorHAnsi" w:cstheme="minorHAnsi"/>
          <w:i/>
          <w:iCs/>
          <w:lang w:val="en-US" w:eastAsia="el-GR"/>
        </w:rPr>
        <w:t>Dialysis</w:t>
      </w:r>
      <w:r w:rsidR="0078495A">
        <w:rPr>
          <w:rFonts w:asciiTheme="minorHAnsi" w:eastAsia="Times New Roman" w:hAnsiTheme="minorHAnsi" w:cstheme="minorHAnsi"/>
          <w:i/>
          <w:iCs/>
          <w:lang w:val="en-US" w:eastAsia="el-GR"/>
        </w:rPr>
        <w:t xml:space="preserve"> </w:t>
      </w:r>
      <w:r w:rsidRPr="005A464E">
        <w:rPr>
          <w:rFonts w:asciiTheme="minorHAnsi" w:eastAsia="Times New Roman" w:hAnsiTheme="minorHAnsi" w:cstheme="minorHAnsi"/>
          <w:i/>
          <w:iCs/>
          <w:lang w:val="en-US" w:eastAsia="el-GR"/>
        </w:rPr>
        <w:t>&amp; Transplantation,</w:t>
      </w:r>
      <w:r w:rsidRPr="005A464E">
        <w:rPr>
          <w:rFonts w:asciiTheme="minorHAnsi" w:eastAsia="Times New Roman" w:hAnsiTheme="minorHAnsi" w:cstheme="minorHAnsi"/>
          <w:iCs/>
          <w:lang w:val="en-US" w:eastAsia="el-GR"/>
        </w:rPr>
        <w:t xml:space="preserve"> </w:t>
      </w:r>
      <w:r w:rsidRPr="00065443">
        <w:rPr>
          <w:rFonts w:asciiTheme="minorHAnsi" w:eastAsia="Times New Roman" w:hAnsiTheme="minorHAnsi" w:cstheme="minorHAnsi"/>
          <w:i/>
          <w:iCs/>
          <w:lang w:val="en-US" w:eastAsia="el-GR"/>
        </w:rPr>
        <w:t>33,</w:t>
      </w:r>
      <w:r w:rsidRPr="005A464E">
        <w:rPr>
          <w:rFonts w:asciiTheme="minorHAnsi" w:eastAsia="Times New Roman" w:hAnsiTheme="minorHAnsi" w:cstheme="minorHAnsi"/>
          <w:iCs/>
          <w:lang w:val="en-US" w:eastAsia="el-GR"/>
        </w:rPr>
        <w:t xml:space="preserve"> 236-242</w:t>
      </w:r>
      <w:r w:rsidR="006641DA" w:rsidRPr="005A464E">
        <w:rPr>
          <w:rFonts w:asciiTheme="minorHAnsi" w:eastAsia="Times New Roman" w:hAnsiTheme="minorHAnsi" w:cstheme="minorHAnsi"/>
          <w:iCs/>
          <w:lang w:val="en-US" w:eastAsia="el-GR"/>
        </w:rPr>
        <w:t>.</w:t>
      </w:r>
    </w:p>
    <w:p w:rsidR="003C410F" w:rsidRPr="00B8771B" w:rsidRDefault="003C410F" w:rsidP="005A464E">
      <w:pPr>
        <w:pStyle w:val="Web"/>
        <w:spacing w:after="180" w:line="360" w:lineRule="auto"/>
        <w:ind w:left="450" w:hanging="450"/>
        <w:jc w:val="both"/>
        <w:rPr>
          <w:rFonts w:asciiTheme="minorHAnsi" w:hAnsiTheme="minorHAnsi" w:cstheme="minorHAnsi"/>
          <w:lang w:val="en-US"/>
        </w:rPr>
      </w:pPr>
      <w:r w:rsidRPr="001929ED">
        <w:rPr>
          <w:rFonts w:asciiTheme="minorHAnsi" w:hAnsiTheme="minorHAnsi" w:cstheme="minorHAnsi"/>
          <w:color w:val="000000"/>
          <w:lang w:val="en-US"/>
        </w:rPr>
        <w:t>Tong, A., Palmer, S., Manns, B., Craig, J.,</w:t>
      </w:r>
      <w:r w:rsidR="001929ED" w:rsidRPr="001929ED">
        <w:rPr>
          <w:rFonts w:asciiTheme="minorHAnsi" w:hAnsiTheme="minorHAnsi" w:cstheme="minorHAnsi"/>
          <w:color w:val="000000"/>
          <w:lang w:val="en-US"/>
        </w:rPr>
        <w:t xml:space="preserve"> Ruospo, M.,</w:t>
      </w:r>
      <w:r w:rsidR="00025809" w:rsidRPr="001929ED">
        <w:rPr>
          <w:rFonts w:asciiTheme="minorHAnsi" w:hAnsiTheme="minorHAnsi" w:cstheme="minorHAnsi"/>
          <w:color w:val="000000"/>
          <w:lang w:val="en-US"/>
        </w:rPr>
        <w:t xml:space="preserve"> Gargano, L.,</w:t>
      </w:r>
      <w:r w:rsidR="00025809" w:rsidRPr="001929ED">
        <w:rPr>
          <w:rFonts w:asciiTheme="minorHAnsi" w:hAnsiTheme="minorHAnsi"/>
          <w:lang w:val="en-US"/>
        </w:rPr>
        <w:t xml:space="preserve"> </w:t>
      </w:r>
      <w:r w:rsidR="001929ED">
        <w:rPr>
          <w:rFonts w:asciiTheme="minorHAnsi" w:hAnsiTheme="minorHAnsi"/>
          <w:lang w:val="en-US"/>
        </w:rPr>
        <w:t xml:space="preserve">… </w:t>
      </w:r>
      <w:r w:rsidR="00025809" w:rsidRPr="001929ED">
        <w:rPr>
          <w:rFonts w:asciiTheme="minorHAnsi" w:hAnsiTheme="minorHAnsi" w:cs="Arial"/>
          <w:shd w:val="clear" w:color="auto" w:fill="FFFFFF"/>
          <w:lang w:val="en-US"/>
        </w:rPr>
        <w:t xml:space="preserve">&amp; </w:t>
      </w:r>
      <w:hyperlink r:id="rId414" w:history="1">
        <w:r w:rsidR="00025809" w:rsidRPr="001929ED">
          <w:rPr>
            <w:rStyle w:val="-"/>
            <w:rFonts w:asciiTheme="minorHAnsi" w:hAnsiTheme="minorHAnsi" w:cs="Arial"/>
            <w:color w:val="auto"/>
            <w:u w:val="none"/>
            <w:shd w:val="clear" w:color="auto" w:fill="FFFFFF"/>
            <w:lang w:val="en-US"/>
          </w:rPr>
          <w:t>Strippoli, G.F</w:t>
        </w:r>
      </w:hyperlink>
      <w:r w:rsidRPr="001929ED">
        <w:rPr>
          <w:rFonts w:asciiTheme="minorHAnsi" w:hAnsiTheme="minorHAnsi" w:cstheme="minorHAnsi"/>
          <w:color w:val="000000"/>
          <w:lang w:val="en-US"/>
        </w:rPr>
        <w:t>. (2013). The beliefs and expectations of patients and caregivers</w:t>
      </w:r>
      <w:r w:rsidRPr="005A464E">
        <w:rPr>
          <w:rFonts w:asciiTheme="minorHAnsi" w:hAnsiTheme="minorHAnsi" w:cstheme="minorHAnsi"/>
          <w:color w:val="000000"/>
          <w:lang w:val="en-US"/>
        </w:rPr>
        <w:t xml:space="preserve"> about home haemodialysis: an interview study.</w:t>
      </w:r>
      <w:r w:rsidR="0078495A">
        <w:rPr>
          <w:rStyle w:val="apple-converted-space"/>
          <w:rFonts w:asciiTheme="minorHAnsi" w:hAnsiTheme="minorHAnsi" w:cstheme="minorHAnsi"/>
          <w:color w:val="000000"/>
          <w:lang w:val="en-US"/>
        </w:rPr>
        <w:t xml:space="preserve"> </w:t>
      </w:r>
      <w:r w:rsidRPr="005A464E">
        <w:rPr>
          <w:rFonts w:asciiTheme="minorHAnsi" w:hAnsiTheme="minorHAnsi" w:cstheme="minorHAnsi"/>
          <w:i/>
          <w:iCs/>
          <w:color w:val="000000"/>
          <w:lang w:val="en-US"/>
        </w:rPr>
        <w:t>BMJ Open</w:t>
      </w:r>
      <w:r w:rsidRPr="005A464E">
        <w:rPr>
          <w:rFonts w:asciiTheme="minorHAnsi" w:hAnsiTheme="minorHAnsi" w:cstheme="minorHAnsi"/>
          <w:color w:val="000000"/>
          <w:lang w:val="en-US"/>
        </w:rPr>
        <w:t>,</w:t>
      </w:r>
      <w:r w:rsidRPr="005A464E">
        <w:rPr>
          <w:rStyle w:val="apple-converted-space"/>
          <w:rFonts w:asciiTheme="minorHAnsi" w:hAnsiTheme="minorHAnsi" w:cstheme="minorHAnsi"/>
          <w:color w:val="000000"/>
          <w:lang w:val="en-US"/>
        </w:rPr>
        <w:t> </w:t>
      </w:r>
      <w:r w:rsidRPr="00065443">
        <w:rPr>
          <w:rFonts w:asciiTheme="minorHAnsi" w:hAnsiTheme="minorHAnsi" w:cstheme="minorHAnsi"/>
          <w:i/>
          <w:iCs/>
          <w:color w:val="000000"/>
          <w:lang w:val="en-US"/>
        </w:rPr>
        <w:t>3</w:t>
      </w:r>
      <w:r w:rsidRPr="00065443">
        <w:rPr>
          <w:rFonts w:asciiTheme="minorHAnsi" w:hAnsiTheme="minorHAnsi" w:cstheme="minorHAnsi"/>
          <w:i/>
          <w:color w:val="000000"/>
          <w:lang w:val="en-US"/>
        </w:rPr>
        <w:t xml:space="preserve">, </w:t>
      </w:r>
      <w:hyperlink r:id="rId415" w:history="1">
        <w:r w:rsidR="006A2462"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006A2462" w:rsidRPr="005A464E">
          <w:rPr>
            <w:rStyle w:val="-"/>
            <w:rFonts w:asciiTheme="minorHAnsi" w:hAnsiTheme="minorHAnsi" w:cstheme="minorHAnsi"/>
            <w:color w:val="auto"/>
            <w:u w:val="none"/>
            <w:lang w:val="en-US"/>
          </w:rPr>
          <w:t>.org/10.1136/bmjopen-2012-002148</w:t>
        </w:r>
      </w:hyperlink>
      <w:r w:rsidR="00B8771B">
        <w:rPr>
          <w:lang w:val="en-US"/>
        </w:rPr>
        <w:t>.</w:t>
      </w:r>
    </w:p>
    <w:p w:rsidR="006A2462" w:rsidRPr="005A464E" w:rsidRDefault="006A2462" w:rsidP="005A464E">
      <w:pPr>
        <w:pStyle w:val="Web"/>
        <w:spacing w:after="180" w:line="360" w:lineRule="auto"/>
        <w:ind w:left="450" w:hanging="450"/>
        <w:jc w:val="both"/>
        <w:rPr>
          <w:rFonts w:asciiTheme="minorHAnsi" w:hAnsiTheme="minorHAnsi" w:cstheme="minorHAnsi"/>
          <w:color w:val="000000"/>
          <w:lang w:val="en-US"/>
        </w:rPr>
      </w:pPr>
      <w:r w:rsidRPr="005A464E">
        <w:rPr>
          <w:rStyle w:val="mixed-citation"/>
          <w:rFonts w:asciiTheme="minorHAnsi" w:hAnsiTheme="minorHAnsi" w:cstheme="minorHAnsi"/>
          <w:lang w:val="en-US"/>
        </w:rPr>
        <w:t xml:space="preserve">Tsai, S.H., Wang, M.Y., Miao, N.F., Chian, P.C., Chen, T.H., &amp; Tsai, P.S. (2015). </w:t>
      </w:r>
      <w:r w:rsidRPr="005A464E">
        <w:rPr>
          <w:rStyle w:val="ref-title"/>
          <w:rFonts w:asciiTheme="minorHAnsi" w:hAnsiTheme="minorHAnsi" w:cstheme="minorHAnsi"/>
          <w:lang w:val="en-US"/>
        </w:rPr>
        <w:t>CE: original research: The efficacy of a nurse-led breathing training program in reducing depressive symptoms in patients on hemodialysis: a randomized controlled trial</w:t>
      </w:r>
      <w:r w:rsidRPr="005A464E">
        <w:rPr>
          <w:rStyle w:val="mixed-citation"/>
          <w:rFonts w:asciiTheme="minorHAnsi" w:hAnsiTheme="minorHAnsi" w:cstheme="minorHAnsi"/>
          <w:lang w:val="en-US"/>
        </w:rPr>
        <w:t xml:space="preserve">. </w:t>
      </w:r>
      <w:r w:rsidRPr="005A464E">
        <w:rPr>
          <w:rStyle w:val="ref-journal"/>
          <w:rFonts w:asciiTheme="minorHAnsi" w:hAnsiTheme="minorHAnsi" w:cstheme="minorHAnsi"/>
          <w:i/>
          <w:lang w:val="en-US"/>
        </w:rPr>
        <w:t>American Journal of Nursing,</w:t>
      </w:r>
      <w:r w:rsidRPr="005A464E">
        <w:rPr>
          <w:rStyle w:val="mixed-citation"/>
          <w:rFonts w:asciiTheme="minorHAnsi" w:hAnsiTheme="minorHAnsi" w:cstheme="minorHAnsi"/>
          <w:lang w:val="en-US"/>
        </w:rPr>
        <w:t xml:space="preserve"> </w:t>
      </w:r>
      <w:r w:rsidRPr="00065443">
        <w:rPr>
          <w:rStyle w:val="ref-vol"/>
          <w:rFonts w:asciiTheme="minorHAnsi" w:hAnsiTheme="minorHAnsi" w:cstheme="minorHAnsi"/>
          <w:i/>
          <w:lang w:val="en-US"/>
        </w:rPr>
        <w:t>115</w:t>
      </w:r>
      <w:r w:rsidR="00065443" w:rsidRPr="00065443">
        <w:rPr>
          <w:rStyle w:val="mixed-citation"/>
          <w:rFonts w:asciiTheme="minorHAnsi" w:hAnsiTheme="minorHAnsi" w:cstheme="minorHAnsi"/>
          <w:i/>
          <w:lang w:val="en-US"/>
        </w:rPr>
        <w:t>,</w:t>
      </w:r>
      <w:r w:rsidR="00065443">
        <w:rPr>
          <w:rStyle w:val="mixed-citation"/>
          <w:rFonts w:asciiTheme="minorHAnsi" w:hAnsiTheme="minorHAnsi" w:cstheme="minorHAnsi"/>
          <w:i/>
          <w:lang w:val="en-US"/>
        </w:rPr>
        <w:t xml:space="preserve"> </w:t>
      </w:r>
      <w:r w:rsidRPr="005A464E">
        <w:rPr>
          <w:rStyle w:val="mixed-citation"/>
          <w:rFonts w:asciiTheme="minorHAnsi" w:hAnsiTheme="minorHAnsi" w:cstheme="minorHAnsi"/>
          <w:lang w:val="en-US"/>
        </w:rPr>
        <w:t>24–32</w:t>
      </w:r>
      <w:r w:rsidR="00025809" w:rsidRPr="005A464E">
        <w:rPr>
          <w:rStyle w:val="mixed-citation"/>
          <w:rFonts w:asciiTheme="minorHAnsi" w:hAnsiTheme="minorHAnsi" w:cstheme="minorHAnsi"/>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color w:val="000000"/>
          <w:lang w:val="en-US"/>
        </w:rPr>
      </w:pPr>
      <w:r w:rsidRPr="005A464E">
        <w:rPr>
          <w:rFonts w:asciiTheme="minorHAnsi" w:hAnsiTheme="minorHAnsi" w:cstheme="minorHAnsi"/>
          <w:color w:val="000000"/>
          <w:lang w:val="en-US"/>
        </w:rPr>
        <w:t>Tsay, S. (2003). Self-efficacy training for patients with end-stage renal disease.</w:t>
      </w:r>
      <w:r w:rsidR="0078495A">
        <w:rPr>
          <w:rStyle w:val="apple-converted-space"/>
          <w:rFonts w:asciiTheme="minorHAnsi" w:hAnsiTheme="minorHAnsi" w:cstheme="minorHAnsi"/>
          <w:color w:val="000000"/>
          <w:lang w:val="en-US"/>
        </w:rPr>
        <w:t xml:space="preserve"> </w:t>
      </w:r>
      <w:r w:rsidR="0076403B" w:rsidRPr="005A464E">
        <w:rPr>
          <w:rFonts w:asciiTheme="minorHAnsi" w:hAnsiTheme="minorHAnsi" w:cstheme="minorHAnsi"/>
          <w:i/>
          <w:iCs/>
          <w:color w:val="000000"/>
          <w:lang w:val="en-US"/>
        </w:rPr>
        <w:t>Journal o</w:t>
      </w:r>
      <w:r w:rsidRPr="005A464E">
        <w:rPr>
          <w:rFonts w:asciiTheme="minorHAnsi" w:hAnsiTheme="minorHAnsi" w:cstheme="minorHAnsi"/>
          <w:i/>
          <w:iCs/>
          <w:color w:val="000000"/>
          <w:lang w:val="en-US"/>
        </w:rPr>
        <w:t>f Advanced Nursing</w:t>
      </w:r>
      <w:r w:rsidRPr="005A464E">
        <w:rPr>
          <w:rFonts w:asciiTheme="minorHAnsi" w:hAnsiTheme="minorHAnsi" w:cstheme="minorHAnsi"/>
          <w:color w:val="000000"/>
          <w:lang w:val="en-US"/>
        </w:rPr>
        <w:t>,</w:t>
      </w:r>
      <w:r w:rsidRPr="005A464E">
        <w:rPr>
          <w:rStyle w:val="apple-converted-space"/>
          <w:rFonts w:asciiTheme="minorHAnsi" w:hAnsiTheme="minorHAnsi" w:cstheme="minorHAnsi"/>
          <w:color w:val="000000"/>
          <w:lang w:val="en-US"/>
        </w:rPr>
        <w:t> </w:t>
      </w:r>
      <w:r w:rsidRPr="00065443">
        <w:rPr>
          <w:rFonts w:asciiTheme="minorHAnsi" w:hAnsiTheme="minorHAnsi" w:cstheme="minorHAnsi"/>
          <w:i/>
          <w:iCs/>
          <w:color w:val="000000"/>
          <w:lang w:val="en-US"/>
        </w:rPr>
        <w:t>43</w:t>
      </w:r>
      <w:r w:rsidRPr="00065443">
        <w:rPr>
          <w:rFonts w:asciiTheme="minorHAnsi" w:hAnsiTheme="minorHAnsi" w:cstheme="minorHAnsi"/>
          <w:i/>
          <w:color w:val="000000"/>
          <w:lang w:val="en-US"/>
        </w:rPr>
        <w:t>,</w:t>
      </w:r>
      <w:r w:rsidRPr="005A464E">
        <w:rPr>
          <w:rFonts w:asciiTheme="minorHAnsi" w:hAnsiTheme="minorHAnsi" w:cstheme="minorHAnsi"/>
          <w:color w:val="000000"/>
          <w:lang w:val="en-US"/>
        </w:rPr>
        <w:t xml:space="preserve"> 370-375. http://dx.</w:t>
      </w:r>
      <w:r w:rsidR="00292B29" w:rsidRPr="005A464E">
        <w:rPr>
          <w:rFonts w:asciiTheme="minorHAnsi" w:hAnsiTheme="minorHAnsi" w:cstheme="minorHAnsi"/>
          <w:color w:val="000000"/>
          <w:lang w:val="en-US"/>
        </w:rPr>
        <w:t>DOI</w:t>
      </w:r>
      <w:r w:rsidRPr="005A464E">
        <w:rPr>
          <w:rFonts w:asciiTheme="minorHAnsi" w:hAnsiTheme="minorHAnsi" w:cstheme="minorHAnsi"/>
          <w:color w:val="000000"/>
          <w:lang w:val="en-US"/>
        </w:rPr>
        <w:t>.org/10.1046/j.1365-2648.2003.02725.x</w:t>
      </w:r>
      <w:r w:rsidR="00025809" w:rsidRPr="005A464E">
        <w:rPr>
          <w:rFonts w:asciiTheme="minorHAnsi" w:hAnsiTheme="minorHAnsi" w:cstheme="minorHAnsi"/>
          <w:color w:val="000000"/>
          <w:lang w:val="en-US"/>
        </w:rPr>
        <w:t>.</w:t>
      </w:r>
    </w:p>
    <w:p w:rsidR="003C410F" w:rsidRPr="00FE7892" w:rsidRDefault="003C410F" w:rsidP="005A464E">
      <w:pPr>
        <w:pStyle w:val="Web"/>
        <w:spacing w:after="180" w:line="360" w:lineRule="auto"/>
        <w:ind w:left="450" w:hanging="450"/>
        <w:jc w:val="both"/>
        <w:rPr>
          <w:rFonts w:asciiTheme="minorHAnsi" w:hAnsiTheme="minorHAnsi" w:cstheme="minorHAnsi"/>
          <w:color w:val="000000"/>
          <w:lang w:val="en-US"/>
        </w:rPr>
      </w:pPr>
      <w:r w:rsidRPr="005A464E">
        <w:rPr>
          <w:rFonts w:asciiTheme="minorHAnsi" w:hAnsiTheme="minorHAnsi" w:cstheme="minorHAnsi"/>
          <w:color w:val="000000"/>
          <w:lang w:val="en-US"/>
        </w:rPr>
        <w:t>Tsay, S., Lee, Y., &amp; Lee, Y. (2005). Effects of an adaptation training programme for patients with end-stage renal disease.</w:t>
      </w:r>
      <w:r w:rsidRPr="005A464E">
        <w:rPr>
          <w:rStyle w:val="apple-converted-space"/>
          <w:rFonts w:asciiTheme="minorHAnsi" w:hAnsiTheme="minorHAnsi" w:cstheme="minorHAnsi"/>
          <w:color w:val="000000"/>
          <w:lang w:val="en-US"/>
        </w:rPr>
        <w:t> </w:t>
      </w:r>
      <w:r w:rsidR="0076403B" w:rsidRPr="005A464E">
        <w:rPr>
          <w:rFonts w:asciiTheme="minorHAnsi" w:hAnsiTheme="minorHAnsi" w:cstheme="minorHAnsi"/>
          <w:i/>
          <w:iCs/>
          <w:color w:val="000000"/>
          <w:lang w:val="en-US"/>
        </w:rPr>
        <w:t>Journal o</w:t>
      </w:r>
      <w:r w:rsidRPr="005A464E">
        <w:rPr>
          <w:rFonts w:asciiTheme="minorHAnsi" w:hAnsiTheme="minorHAnsi" w:cstheme="minorHAnsi"/>
          <w:i/>
          <w:iCs/>
          <w:color w:val="000000"/>
          <w:lang w:val="en-US"/>
        </w:rPr>
        <w:t>f Advanced Nursing</w:t>
      </w:r>
      <w:r w:rsidRPr="005A464E">
        <w:rPr>
          <w:rFonts w:asciiTheme="minorHAnsi" w:hAnsiTheme="minorHAnsi" w:cstheme="minorHAnsi"/>
          <w:color w:val="000000"/>
          <w:lang w:val="en-US"/>
        </w:rPr>
        <w:t>,</w:t>
      </w:r>
      <w:r w:rsidRPr="005A464E">
        <w:rPr>
          <w:rStyle w:val="apple-converted-space"/>
          <w:rFonts w:asciiTheme="minorHAnsi" w:hAnsiTheme="minorHAnsi" w:cstheme="minorHAnsi"/>
          <w:color w:val="000000"/>
          <w:lang w:val="en-US"/>
        </w:rPr>
        <w:t> </w:t>
      </w:r>
      <w:r w:rsidRPr="00065443">
        <w:rPr>
          <w:rFonts w:asciiTheme="minorHAnsi" w:hAnsiTheme="minorHAnsi" w:cstheme="minorHAnsi"/>
          <w:i/>
          <w:iCs/>
          <w:color w:val="000000"/>
          <w:lang w:val="en-US"/>
        </w:rPr>
        <w:t>50</w:t>
      </w:r>
      <w:r w:rsidRPr="005A464E">
        <w:rPr>
          <w:rFonts w:asciiTheme="minorHAnsi" w:hAnsiTheme="minorHAnsi" w:cstheme="minorHAnsi"/>
          <w:color w:val="000000"/>
          <w:lang w:val="en-US"/>
        </w:rPr>
        <w:t xml:space="preserve">, 39-46. </w:t>
      </w:r>
      <w:hyperlink r:id="rId416" w:history="1">
        <w:r w:rsidR="00FE7892" w:rsidRPr="00503757">
          <w:rPr>
            <w:rStyle w:val="-"/>
            <w:rFonts w:asciiTheme="minorHAnsi" w:hAnsiTheme="minorHAnsi" w:cstheme="minorHAnsi"/>
            <w:lang w:val="en-US"/>
          </w:rPr>
          <w:t>http://dx.DOI.org/10.1111/j.1365-2648.2004.03347.x</w:t>
        </w:r>
      </w:hyperlink>
      <w:r w:rsidR="00025809" w:rsidRPr="005A464E">
        <w:rPr>
          <w:rFonts w:asciiTheme="minorHAnsi" w:hAnsiTheme="minorHAnsi" w:cstheme="minorHAnsi"/>
          <w:color w:val="000000"/>
          <w:lang w:val="en-US"/>
        </w:rPr>
        <w:t>.</w:t>
      </w:r>
    </w:p>
    <w:p w:rsidR="00FE7892" w:rsidRPr="00FE7892" w:rsidRDefault="00FE7892" w:rsidP="005A464E">
      <w:pPr>
        <w:pStyle w:val="Web"/>
        <w:spacing w:after="180" w:line="360" w:lineRule="auto"/>
        <w:ind w:left="450" w:hanging="450"/>
        <w:jc w:val="both"/>
        <w:rPr>
          <w:rFonts w:asciiTheme="minorHAnsi" w:hAnsiTheme="minorHAnsi" w:cstheme="minorHAnsi"/>
          <w:color w:val="000000"/>
          <w:lang w:val="en-US"/>
        </w:rPr>
      </w:pPr>
      <w:r w:rsidRPr="00FE7892">
        <w:rPr>
          <w:rFonts w:asciiTheme="minorHAnsi" w:hAnsiTheme="minorHAnsi" w:cstheme="minorHAnsi"/>
          <w:color w:val="222222"/>
          <w:shd w:val="clear" w:color="auto" w:fill="FFFFFF"/>
          <w:lang w:val="en-US"/>
        </w:rPr>
        <w:t xml:space="preserve">Tsiamis, G., Alikari, V., Fradelos, E., Papapetrou, S., Zyga, S. (2015). Assessment of quality of life and fatigue among haemodialysis patients. </w:t>
      </w:r>
      <w:r w:rsidRPr="00666053">
        <w:rPr>
          <w:rFonts w:asciiTheme="minorHAnsi" w:hAnsiTheme="minorHAnsi" w:cstheme="minorHAnsi"/>
          <w:i/>
          <w:color w:val="222222"/>
          <w:shd w:val="clear" w:color="auto" w:fill="FFFFFF"/>
          <w:lang w:val="en-US"/>
        </w:rPr>
        <w:t xml:space="preserve">American Journal of Nursing, 4, </w:t>
      </w:r>
      <w:r w:rsidRPr="00666053">
        <w:rPr>
          <w:rFonts w:asciiTheme="minorHAnsi" w:hAnsiTheme="minorHAnsi" w:cstheme="minorHAnsi"/>
          <w:color w:val="222222"/>
          <w:shd w:val="clear" w:color="auto" w:fill="FFFFFF"/>
          <w:lang w:val="en-US"/>
        </w:rPr>
        <w:t>66-73.</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color w:val="000000"/>
          <w:lang w:val="en-US"/>
        </w:rPr>
        <w:t>Tsutsui, H., Ohkubo, T., Tsuruta, Y., Kato, S., Yasuda, Y., &amp; Oshida, Y. (2014). Development and validation of a short-version checklist for patients undergoing hemodialysis based on the International Classification of Functioning, Disability and Health.</w:t>
      </w:r>
      <w:r w:rsidRPr="005A464E">
        <w:rPr>
          <w:rStyle w:val="apple-converted-space"/>
          <w:rFonts w:asciiTheme="minorHAnsi" w:hAnsiTheme="minorHAnsi" w:cstheme="minorHAnsi"/>
          <w:color w:val="000000"/>
          <w:lang w:val="en-US"/>
        </w:rPr>
        <w:t> </w:t>
      </w:r>
      <w:r w:rsidR="00025809" w:rsidRPr="005A464E">
        <w:rPr>
          <w:rFonts w:asciiTheme="minorHAnsi" w:hAnsiTheme="minorHAnsi" w:cstheme="minorHAnsi"/>
          <w:i/>
          <w:iCs/>
          <w:color w:val="000000"/>
          <w:lang w:val="en-US"/>
        </w:rPr>
        <w:t>Clinical a</w:t>
      </w:r>
      <w:r w:rsidRPr="005A464E">
        <w:rPr>
          <w:rFonts w:asciiTheme="minorHAnsi" w:hAnsiTheme="minorHAnsi" w:cstheme="minorHAnsi"/>
          <w:i/>
          <w:iCs/>
          <w:color w:val="000000"/>
          <w:lang w:val="en-US"/>
        </w:rPr>
        <w:t>nd Experimental Nephrology</w:t>
      </w:r>
      <w:r w:rsidRPr="005A464E">
        <w:rPr>
          <w:rFonts w:asciiTheme="minorHAnsi" w:hAnsiTheme="minorHAnsi" w:cstheme="minorHAnsi"/>
          <w:color w:val="000000"/>
          <w:lang w:val="en-US"/>
        </w:rPr>
        <w:t>,</w:t>
      </w:r>
      <w:r w:rsidRPr="005A464E">
        <w:rPr>
          <w:rStyle w:val="apple-converted-space"/>
          <w:rFonts w:asciiTheme="minorHAnsi" w:hAnsiTheme="minorHAnsi" w:cstheme="minorHAnsi"/>
          <w:color w:val="000000"/>
          <w:lang w:val="en-US"/>
        </w:rPr>
        <w:t> </w:t>
      </w:r>
      <w:r w:rsidRPr="005A464E">
        <w:rPr>
          <w:rFonts w:asciiTheme="minorHAnsi" w:hAnsiTheme="minorHAnsi" w:cstheme="minorHAnsi"/>
          <w:i/>
          <w:iCs/>
          <w:color w:val="000000"/>
          <w:lang w:val="en-US"/>
        </w:rPr>
        <w:t>19</w:t>
      </w:r>
      <w:r w:rsidR="00065443">
        <w:rPr>
          <w:rFonts w:asciiTheme="minorHAnsi" w:hAnsiTheme="minorHAnsi" w:cstheme="minorHAnsi"/>
          <w:color w:val="000000"/>
          <w:lang w:val="en-US"/>
        </w:rPr>
        <w:t xml:space="preserve">, </w:t>
      </w:r>
      <w:r w:rsidRPr="005A464E">
        <w:rPr>
          <w:rFonts w:asciiTheme="minorHAnsi" w:hAnsiTheme="minorHAnsi" w:cstheme="minorHAnsi"/>
          <w:color w:val="000000"/>
          <w:lang w:val="en-US"/>
        </w:rPr>
        <w:t xml:space="preserve">953-960. </w:t>
      </w:r>
      <w:hyperlink r:id="rId417"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.org/10.1007/s10157-014-1075-x</w:t>
        </w:r>
      </w:hyperlink>
      <w:r w:rsidR="00025809" w:rsidRPr="005A464E">
        <w:rPr>
          <w:rFonts w:asciiTheme="minorHAnsi" w:hAnsiTheme="minorHAnsi"/>
          <w:lang w:val="en-US"/>
        </w:rPr>
        <w:t>.</w:t>
      </w:r>
    </w:p>
    <w:p w:rsidR="00A11095"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Twardowski, Z.J. (2004). Short, thrice-weekly hemodialysis is inadequate regardless of small molecule clearance. </w:t>
      </w:r>
      <w:r w:rsidRPr="005A464E">
        <w:rPr>
          <w:rFonts w:asciiTheme="minorHAnsi" w:hAnsiTheme="minorHAnsi" w:cstheme="minorHAnsi"/>
          <w:i/>
          <w:iCs/>
          <w:lang w:val="en-US"/>
        </w:rPr>
        <w:t>International Journal of Artificial Organs</w:t>
      </w:r>
      <w:r w:rsidRPr="005A464E">
        <w:rPr>
          <w:rFonts w:asciiTheme="minorHAnsi" w:hAnsiTheme="minorHAnsi" w:cstheme="minorHAnsi"/>
          <w:iCs/>
          <w:lang w:val="en-US"/>
        </w:rPr>
        <w:t xml:space="preserve">, </w:t>
      </w:r>
      <w:r w:rsidRPr="00065443">
        <w:rPr>
          <w:rFonts w:asciiTheme="minorHAnsi" w:hAnsiTheme="minorHAnsi" w:cstheme="minorHAnsi"/>
          <w:i/>
          <w:iCs/>
          <w:lang w:val="en-US"/>
        </w:rPr>
        <w:t>27</w:t>
      </w:r>
      <w:r w:rsidRPr="00065443">
        <w:rPr>
          <w:rFonts w:asciiTheme="minorHAnsi" w:hAnsiTheme="minorHAnsi" w:cstheme="minorHAnsi"/>
          <w:i/>
          <w:lang w:val="en-US"/>
        </w:rPr>
        <w:t>,</w:t>
      </w:r>
      <w:r w:rsidRPr="005A464E">
        <w:rPr>
          <w:rFonts w:asciiTheme="minorHAnsi" w:hAnsiTheme="minorHAnsi" w:cstheme="minorHAnsi"/>
          <w:lang w:val="en-US"/>
        </w:rPr>
        <w:t xml:space="preserve"> 452-466</w:t>
      </w:r>
      <w:r w:rsidR="00025809" w:rsidRPr="005A464E">
        <w:rPr>
          <w:rFonts w:asciiTheme="minorHAnsi" w:hAnsiTheme="minorHAnsi" w:cstheme="minorHAnsi"/>
          <w:lang w:val="en-US"/>
        </w:rPr>
        <w:t>.</w:t>
      </w:r>
    </w:p>
    <w:p w:rsidR="00577BCB" w:rsidRPr="005A464E" w:rsidRDefault="008F3609" w:rsidP="005A464E">
      <w:pPr>
        <w:pStyle w:val="Web"/>
        <w:spacing w:after="180" w:line="360" w:lineRule="auto"/>
        <w:ind w:left="450" w:hanging="450"/>
        <w:jc w:val="both"/>
        <w:rPr>
          <w:rFonts w:asciiTheme="minorHAnsi" w:hAnsiTheme="minorHAnsi" w:cstheme="minorHAnsi"/>
          <w:lang w:val="en-US"/>
        </w:rPr>
      </w:pPr>
      <w:hyperlink r:id="rId418" w:history="1">
        <w:r w:rsidR="00577BCB" w:rsidRPr="005A464E">
          <w:rPr>
            <w:rStyle w:val="-"/>
            <w:rFonts w:asciiTheme="minorHAnsi" w:hAnsiTheme="minorHAnsi" w:cstheme="minorHAnsi"/>
            <w:color w:val="auto"/>
            <w:u w:val="none"/>
            <w:shd w:val="clear" w:color="auto" w:fill="FFFFFF"/>
            <w:lang w:val="en-US"/>
          </w:rPr>
          <w:t>Uhlig</w:t>
        </w:r>
        <w:r w:rsidR="00A97F58" w:rsidRPr="005A464E">
          <w:rPr>
            <w:rStyle w:val="-"/>
            <w:rFonts w:asciiTheme="minorHAnsi" w:hAnsiTheme="minorHAnsi" w:cstheme="minorHAnsi"/>
            <w:color w:val="auto"/>
            <w:u w:val="none"/>
            <w:shd w:val="clear" w:color="auto" w:fill="FFFFFF"/>
            <w:lang w:val="en-US"/>
          </w:rPr>
          <w:t>,</w:t>
        </w:r>
        <w:r w:rsidR="00577BCB" w:rsidRPr="005A464E">
          <w:rPr>
            <w:rStyle w:val="-"/>
            <w:rFonts w:asciiTheme="minorHAnsi" w:hAnsiTheme="minorHAnsi" w:cstheme="minorHAnsi"/>
            <w:color w:val="auto"/>
            <w:u w:val="none"/>
            <w:shd w:val="clear" w:color="auto" w:fill="FFFFFF"/>
            <w:lang w:val="en-US"/>
          </w:rPr>
          <w:t xml:space="preserve"> K</w:t>
        </w:r>
      </w:hyperlink>
      <w:r w:rsidR="00A97F58" w:rsidRPr="005A464E">
        <w:rPr>
          <w:rFonts w:asciiTheme="minorHAnsi" w:hAnsiTheme="minorHAnsi"/>
          <w:lang w:val="en-US"/>
        </w:rPr>
        <w:t>.</w:t>
      </w:r>
      <w:r w:rsidR="00577BCB" w:rsidRPr="005A464E">
        <w:rPr>
          <w:rFonts w:asciiTheme="minorHAnsi" w:hAnsiTheme="minorHAnsi" w:cstheme="minorHAnsi"/>
          <w:shd w:val="clear" w:color="auto" w:fill="FFFFFF"/>
          <w:lang w:val="en-US"/>
        </w:rPr>
        <w:t>,</w:t>
      </w:r>
      <w:r w:rsidR="00577BCB" w:rsidRPr="005A464E">
        <w:rPr>
          <w:rStyle w:val="apple-converted-space"/>
          <w:rFonts w:asciiTheme="minorHAnsi" w:hAnsiTheme="minorHAnsi" w:cstheme="minorHAnsi"/>
          <w:shd w:val="clear" w:color="auto" w:fill="FFFFFF"/>
          <w:lang w:val="en-US"/>
        </w:rPr>
        <w:t> </w:t>
      </w:r>
      <w:hyperlink r:id="rId419" w:history="1">
        <w:r w:rsidR="00577BCB" w:rsidRPr="005A464E">
          <w:rPr>
            <w:rStyle w:val="-"/>
            <w:rFonts w:asciiTheme="minorHAnsi" w:hAnsiTheme="minorHAnsi" w:cstheme="minorHAnsi"/>
            <w:color w:val="auto"/>
            <w:u w:val="none"/>
            <w:shd w:val="clear" w:color="auto" w:fill="FFFFFF"/>
            <w:lang w:val="en-US"/>
          </w:rPr>
          <w:t>Berns</w:t>
        </w:r>
        <w:r w:rsidR="00A97F58" w:rsidRPr="005A464E">
          <w:rPr>
            <w:rStyle w:val="-"/>
            <w:rFonts w:asciiTheme="minorHAnsi" w:hAnsiTheme="minorHAnsi" w:cstheme="minorHAnsi"/>
            <w:color w:val="auto"/>
            <w:u w:val="none"/>
            <w:shd w:val="clear" w:color="auto" w:fill="FFFFFF"/>
            <w:lang w:val="en-US"/>
          </w:rPr>
          <w:t>,</w:t>
        </w:r>
        <w:r w:rsidR="00577BCB" w:rsidRPr="005A464E">
          <w:rPr>
            <w:rStyle w:val="-"/>
            <w:rFonts w:asciiTheme="minorHAnsi" w:hAnsiTheme="minorHAnsi" w:cstheme="minorHAnsi"/>
            <w:color w:val="auto"/>
            <w:u w:val="none"/>
            <w:shd w:val="clear" w:color="auto" w:fill="FFFFFF"/>
            <w:lang w:val="en-US"/>
          </w:rPr>
          <w:t xml:space="preserve"> J</w:t>
        </w:r>
        <w:r w:rsidR="00A97F58" w:rsidRPr="005A464E">
          <w:rPr>
            <w:rStyle w:val="-"/>
            <w:rFonts w:asciiTheme="minorHAnsi" w:hAnsiTheme="minorHAnsi" w:cstheme="minorHAnsi"/>
            <w:color w:val="auto"/>
            <w:u w:val="none"/>
            <w:shd w:val="clear" w:color="auto" w:fill="FFFFFF"/>
            <w:lang w:val="en-US"/>
          </w:rPr>
          <w:t>.</w:t>
        </w:r>
        <w:r w:rsidR="00577BCB" w:rsidRPr="005A464E">
          <w:rPr>
            <w:rStyle w:val="-"/>
            <w:rFonts w:asciiTheme="minorHAnsi" w:hAnsiTheme="minorHAnsi" w:cstheme="minorHAnsi"/>
            <w:color w:val="auto"/>
            <w:u w:val="none"/>
            <w:shd w:val="clear" w:color="auto" w:fill="FFFFFF"/>
            <w:lang w:val="en-US"/>
          </w:rPr>
          <w:t>S</w:t>
        </w:r>
      </w:hyperlink>
      <w:r w:rsidR="00A97F58" w:rsidRPr="005A464E">
        <w:rPr>
          <w:rFonts w:asciiTheme="minorHAnsi" w:hAnsiTheme="minorHAnsi"/>
          <w:lang w:val="en-US"/>
        </w:rPr>
        <w:t>.</w:t>
      </w:r>
      <w:r w:rsidR="00577BCB" w:rsidRPr="005A464E">
        <w:rPr>
          <w:rFonts w:asciiTheme="minorHAnsi" w:hAnsiTheme="minorHAnsi" w:cstheme="minorHAnsi"/>
          <w:shd w:val="clear" w:color="auto" w:fill="FFFFFF"/>
          <w:lang w:val="en-US"/>
        </w:rPr>
        <w:t>,</w:t>
      </w:r>
      <w:r w:rsidR="00577BCB" w:rsidRPr="005A464E">
        <w:rPr>
          <w:rStyle w:val="apple-converted-space"/>
          <w:rFonts w:asciiTheme="minorHAnsi" w:hAnsiTheme="minorHAnsi" w:cstheme="minorHAnsi"/>
          <w:shd w:val="clear" w:color="auto" w:fill="FFFFFF"/>
          <w:lang w:val="en-US"/>
        </w:rPr>
        <w:t> </w:t>
      </w:r>
      <w:hyperlink r:id="rId420" w:history="1">
        <w:r w:rsidR="00577BCB" w:rsidRPr="005A464E">
          <w:rPr>
            <w:rStyle w:val="-"/>
            <w:rFonts w:asciiTheme="minorHAnsi" w:hAnsiTheme="minorHAnsi" w:cstheme="minorHAnsi"/>
            <w:color w:val="auto"/>
            <w:u w:val="none"/>
            <w:shd w:val="clear" w:color="auto" w:fill="FFFFFF"/>
            <w:lang w:val="en-US"/>
          </w:rPr>
          <w:t>Kestenbaum</w:t>
        </w:r>
        <w:r w:rsidR="00A97F58" w:rsidRPr="005A464E">
          <w:rPr>
            <w:rStyle w:val="-"/>
            <w:rFonts w:asciiTheme="minorHAnsi" w:hAnsiTheme="minorHAnsi" w:cstheme="minorHAnsi"/>
            <w:color w:val="auto"/>
            <w:u w:val="none"/>
            <w:shd w:val="clear" w:color="auto" w:fill="FFFFFF"/>
            <w:lang w:val="en-US"/>
          </w:rPr>
          <w:t>,</w:t>
        </w:r>
        <w:r w:rsidR="00577BCB" w:rsidRPr="005A464E">
          <w:rPr>
            <w:rStyle w:val="-"/>
            <w:rFonts w:asciiTheme="minorHAnsi" w:hAnsiTheme="minorHAnsi" w:cstheme="minorHAnsi"/>
            <w:color w:val="auto"/>
            <w:u w:val="none"/>
            <w:shd w:val="clear" w:color="auto" w:fill="FFFFFF"/>
            <w:lang w:val="en-US"/>
          </w:rPr>
          <w:t xml:space="preserve"> B</w:t>
        </w:r>
      </w:hyperlink>
      <w:r w:rsidR="00A97F58" w:rsidRPr="005A464E">
        <w:rPr>
          <w:rFonts w:asciiTheme="minorHAnsi" w:hAnsiTheme="minorHAnsi"/>
          <w:lang w:val="en-US"/>
        </w:rPr>
        <w:t>.</w:t>
      </w:r>
      <w:r w:rsidR="00577BCB" w:rsidRPr="005A464E">
        <w:rPr>
          <w:rFonts w:asciiTheme="minorHAnsi" w:hAnsiTheme="minorHAnsi" w:cstheme="minorHAnsi"/>
          <w:shd w:val="clear" w:color="auto" w:fill="FFFFFF"/>
          <w:lang w:val="en-US"/>
        </w:rPr>
        <w:t>,</w:t>
      </w:r>
      <w:r w:rsidR="00577BCB" w:rsidRPr="005A464E">
        <w:rPr>
          <w:rStyle w:val="apple-converted-space"/>
          <w:rFonts w:asciiTheme="minorHAnsi" w:hAnsiTheme="minorHAnsi" w:cstheme="minorHAnsi"/>
          <w:shd w:val="clear" w:color="auto" w:fill="FFFFFF"/>
          <w:lang w:val="en-US"/>
        </w:rPr>
        <w:t> </w:t>
      </w:r>
      <w:hyperlink r:id="rId421" w:history="1">
        <w:r w:rsidR="00577BCB" w:rsidRPr="005A464E">
          <w:rPr>
            <w:rStyle w:val="-"/>
            <w:rFonts w:asciiTheme="minorHAnsi" w:hAnsiTheme="minorHAnsi" w:cstheme="minorHAnsi"/>
            <w:color w:val="auto"/>
            <w:u w:val="none"/>
            <w:shd w:val="clear" w:color="auto" w:fill="FFFFFF"/>
            <w:lang w:val="en-US"/>
          </w:rPr>
          <w:t>Kumar</w:t>
        </w:r>
        <w:r w:rsidR="00A97F58" w:rsidRPr="005A464E">
          <w:rPr>
            <w:rStyle w:val="-"/>
            <w:rFonts w:asciiTheme="minorHAnsi" w:hAnsiTheme="minorHAnsi" w:cstheme="minorHAnsi"/>
            <w:color w:val="auto"/>
            <w:u w:val="none"/>
            <w:shd w:val="clear" w:color="auto" w:fill="FFFFFF"/>
            <w:lang w:val="en-US"/>
          </w:rPr>
          <w:t>,</w:t>
        </w:r>
        <w:r w:rsidR="00577BCB" w:rsidRPr="005A464E">
          <w:rPr>
            <w:rStyle w:val="-"/>
            <w:rFonts w:asciiTheme="minorHAnsi" w:hAnsiTheme="minorHAnsi" w:cstheme="minorHAnsi"/>
            <w:color w:val="auto"/>
            <w:u w:val="none"/>
            <w:shd w:val="clear" w:color="auto" w:fill="FFFFFF"/>
            <w:lang w:val="en-US"/>
          </w:rPr>
          <w:t xml:space="preserve"> R</w:t>
        </w:r>
      </w:hyperlink>
      <w:r w:rsidR="00A97F58" w:rsidRPr="005A464E">
        <w:rPr>
          <w:rFonts w:asciiTheme="minorHAnsi" w:hAnsiTheme="minorHAnsi"/>
          <w:lang w:val="en-US"/>
        </w:rPr>
        <w:t>.</w:t>
      </w:r>
      <w:r w:rsidR="00577BCB" w:rsidRPr="005A464E">
        <w:rPr>
          <w:rFonts w:asciiTheme="minorHAnsi" w:hAnsiTheme="minorHAnsi" w:cstheme="minorHAnsi"/>
          <w:shd w:val="clear" w:color="auto" w:fill="FFFFFF"/>
          <w:lang w:val="en-US"/>
        </w:rPr>
        <w:t>,</w:t>
      </w:r>
      <w:r w:rsidR="00577BCB" w:rsidRPr="005A464E">
        <w:rPr>
          <w:rStyle w:val="apple-converted-space"/>
          <w:rFonts w:asciiTheme="minorHAnsi" w:hAnsiTheme="minorHAnsi" w:cstheme="minorHAnsi"/>
          <w:shd w:val="clear" w:color="auto" w:fill="FFFFFF"/>
          <w:lang w:val="en-US"/>
        </w:rPr>
        <w:t> </w:t>
      </w:r>
      <w:hyperlink r:id="rId422" w:history="1">
        <w:r w:rsidR="00577BCB" w:rsidRPr="005A464E">
          <w:rPr>
            <w:rStyle w:val="-"/>
            <w:rFonts w:asciiTheme="minorHAnsi" w:hAnsiTheme="minorHAnsi" w:cstheme="minorHAnsi"/>
            <w:color w:val="auto"/>
            <w:u w:val="none"/>
            <w:shd w:val="clear" w:color="auto" w:fill="FFFFFF"/>
            <w:lang w:val="en-US"/>
          </w:rPr>
          <w:t>Leonard</w:t>
        </w:r>
        <w:r w:rsidR="00A97F58" w:rsidRPr="005A464E">
          <w:rPr>
            <w:rStyle w:val="-"/>
            <w:rFonts w:asciiTheme="minorHAnsi" w:hAnsiTheme="minorHAnsi" w:cstheme="minorHAnsi"/>
            <w:color w:val="auto"/>
            <w:u w:val="none"/>
            <w:shd w:val="clear" w:color="auto" w:fill="FFFFFF"/>
            <w:lang w:val="en-US"/>
          </w:rPr>
          <w:t>,</w:t>
        </w:r>
        <w:r w:rsidR="00577BCB" w:rsidRPr="005A464E">
          <w:rPr>
            <w:rStyle w:val="-"/>
            <w:rFonts w:asciiTheme="minorHAnsi" w:hAnsiTheme="minorHAnsi" w:cstheme="minorHAnsi"/>
            <w:color w:val="auto"/>
            <w:u w:val="none"/>
            <w:shd w:val="clear" w:color="auto" w:fill="FFFFFF"/>
            <w:lang w:val="en-US"/>
          </w:rPr>
          <w:t xml:space="preserve"> M</w:t>
        </w:r>
        <w:r w:rsidR="00A97F58" w:rsidRPr="005A464E">
          <w:rPr>
            <w:rStyle w:val="-"/>
            <w:rFonts w:asciiTheme="minorHAnsi" w:hAnsiTheme="minorHAnsi" w:cstheme="minorHAnsi"/>
            <w:color w:val="auto"/>
            <w:u w:val="none"/>
            <w:shd w:val="clear" w:color="auto" w:fill="FFFFFF"/>
            <w:lang w:val="en-US"/>
          </w:rPr>
          <w:t>.</w:t>
        </w:r>
        <w:r w:rsidR="00577BCB" w:rsidRPr="005A464E">
          <w:rPr>
            <w:rStyle w:val="-"/>
            <w:rFonts w:asciiTheme="minorHAnsi" w:hAnsiTheme="minorHAnsi" w:cstheme="minorHAnsi"/>
            <w:color w:val="auto"/>
            <w:u w:val="none"/>
            <w:shd w:val="clear" w:color="auto" w:fill="FFFFFF"/>
            <w:lang w:val="en-US"/>
          </w:rPr>
          <w:t>B</w:t>
        </w:r>
      </w:hyperlink>
      <w:r w:rsidR="00A97F58" w:rsidRPr="005A464E">
        <w:rPr>
          <w:rFonts w:asciiTheme="minorHAnsi" w:hAnsiTheme="minorHAnsi"/>
          <w:lang w:val="en-US"/>
        </w:rPr>
        <w:t>.</w:t>
      </w:r>
      <w:r w:rsidR="00577BCB" w:rsidRPr="005A464E">
        <w:rPr>
          <w:rFonts w:asciiTheme="minorHAnsi" w:hAnsiTheme="minorHAnsi" w:cstheme="minorHAnsi"/>
          <w:shd w:val="clear" w:color="auto" w:fill="FFFFFF"/>
          <w:lang w:val="en-US"/>
        </w:rPr>
        <w:t>,</w:t>
      </w:r>
      <w:r w:rsidR="00577BCB" w:rsidRPr="005A464E">
        <w:rPr>
          <w:rStyle w:val="apple-converted-space"/>
          <w:rFonts w:asciiTheme="minorHAnsi" w:hAnsiTheme="minorHAnsi" w:cstheme="minorHAnsi"/>
          <w:shd w:val="clear" w:color="auto" w:fill="FFFFFF"/>
          <w:lang w:val="en-US"/>
        </w:rPr>
        <w:t> </w:t>
      </w:r>
      <w:hyperlink r:id="rId423" w:history="1">
        <w:r w:rsidR="00577BCB" w:rsidRPr="001929ED">
          <w:rPr>
            <w:rStyle w:val="-"/>
            <w:rFonts w:asciiTheme="minorHAnsi" w:hAnsiTheme="minorHAnsi" w:cstheme="minorHAnsi"/>
            <w:color w:val="auto"/>
            <w:u w:val="none"/>
            <w:shd w:val="clear" w:color="auto" w:fill="FFFFFF"/>
            <w:lang w:val="en-US"/>
          </w:rPr>
          <w:t>Martin</w:t>
        </w:r>
        <w:r w:rsidR="001929ED" w:rsidRPr="001929ED">
          <w:rPr>
            <w:rStyle w:val="-"/>
            <w:rFonts w:asciiTheme="minorHAnsi" w:hAnsiTheme="minorHAnsi" w:cstheme="minorHAnsi"/>
            <w:color w:val="auto"/>
            <w:u w:val="none"/>
            <w:shd w:val="clear" w:color="auto" w:fill="FFFFFF"/>
            <w:lang w:val="en-US"/>
          </w:rPr>
          <w:t>.,</w:t>
        </w:r>
      </w:hyperlink>
      <w:r w:rsidR="001929ED" w:rsidRPr="001929ED">
        <w:rPr>
          <w:rFonts w:asciiTheme="minorHAnsi" w:hAnsiTheme="minorHAnsi"/>
          <w:lang w:val="en-US"/>
        </w:rPr>
        <w:t xml:space="preserve"> …</w:t>
      </w:r>
      <w:r w:rsidR="00577BCB" w:rsidRPr="005A464E">
        <w:rPr>
          <w:rStyle w:val="apple-converted-space"/>
          <w:rFonts w:asciiTheme="minorHAnsi" w:hAnsiTheme="minorHAnsi" w:cstheme="minorHAnsi"/>
          <w:shd w:val="clear" w:color="auto" w:fill="FFFFFF"/>
          <w:lang w:val="en-US"/>
        </w:rPr>
        <w:t> </w:t>
      </w:r>
      <w:r w:rsidR="00025809" w:rsidRPr="005A464E">
        <w:rPr>
          <w:rStyle w:val="apple-converted-space"/>
          <w:rFonts w:asciiTheme="minorHAnsi" w:hAnsiTheme="minorHAnsi" w:cstheme="minorHAnsi"/>
          <w:shd w:val="clear" w:color="auto" w:fill="FFFFFF"/>
          <w:lang w:val="en-US"/>
        </w:rPr>
        <w:t xml:space="preserve">&amp; </w:t>
      </w:r>
      <w:hyperlink r:id="rId424" w:history="1">
        <w:r w:rsidR="00577BCB" w:rsidRPr="005A464E">
          <w:rPr>
            <w:rStyle w:val="-"/>
            <w:rFonts w:asciiTheme="minorHAnsi" w:hAnsiTheme="minorHAnsi" w:cstheme="minorHAnsi"/>
            <w:color w:val="auto"/>
            <w:u w:val="none"/>
            <w:shd w:val="clear" w:color="auto" w:fill="FFFFFF"/>
            <w:lang w:val="en-US"/>
          </w:rPr>
          <w:t>Goldfarb</w:t>
        </w:r>
        <w:r w:rsidR="00A97F58" w:rsidRPr="005A464E">
          <w:rPr>
            <w:rStyle w:val="-"/>
            <w:rFonts w:asciiTheme="minorHAnsi" w:hAnsiTheme="minorHAnsi" w:cstheme="minorHAnsi"/>
            <w:color w:val="auto"/>
            <w:u w:val="none"/>
            <w:shd w:val="clear" w:color="auto" w:fill="FFFFFF"/>
            <w:lang w:val="en-US"/>
          </w:rPr>
          <w:t>,</w:t>
        </w:r>
        <w:r w:rsidR="00577BCB" w:rsidRPr="005A464E">
          <w:rPr>
            <w:rStyle w:val="-"/>
            <w:rFonts w:asciiTheme="minorHAnsi" w:hAnsiTheme="minorHAnsi" w:cstheme="minorHAnsi"/>
            <w:color w:val="auto"/>
            <w:u w:val="none"/>
            <w:shd w:val="clear" w:color="auto" w:fill="FFFFFF"/>
            <w:lang w:val="en-US"/>
          </w:rPr>
          <w:t xml:space="preserve"> S</w:t>
        </w:r>
      </w:hyperlink>
      <w:r w:rsidR="00A97F58" w:rsidRPr="005A464E">
        <w:rPr>
          <w:rFonts w:asciiTheme="minorHAnsi" w:hAnsiTheme="minorHAnsi"/>
          <w:lang w:val="en-US"/>
        </w:rPr>
        <w:t>.</w:t>
      </w:r>
      <w:r w:rsidR="00A11095" w:rsidRPr="005A464E">
        <w:rPr>
          <w:rFonts w:asciiTheme="minorHAnsi" w:hAnsiTheme="minorHAnsi" w:cstheme="minorHAnsi"/>
          <w:lang w:val="en-US"/>
        </w:rPr>
        <w:t xml:space="preserve"> (2010)</w:t>
      </w:r>
      <w:r w:rsidR="00577BCB" w:rsidRPr="005A464E">
        <w:rPr>
          <w:rFonts w:asciiTheme="minorHAnsi" w:hAnsiTheme="minorHAnsi" w:cstheme="minorHAnsi"/>
          <w:color w:val="000000"/>
          <w:shd w:val="clear" w:color="auto" w:fill="FFFFFF"/>
          <w:lang w:val="en-US"/>
        </w:rPr>
        <w:t>.</w:t>
      </w:r>
      <w:r w:rsidR="00A11095" w:rsidRPr="005A464E">
        <w:rPr>
          <w:rFonts w:asciiTheme="minorHAnsi" w:hAnsiTheme="minorHAnsi" w:cstheme="minorHAnsi"/>
          <w:color w:val="000000"/>
          <w:lang w:val="en-US"/>
        </w:rPr>
        <w:t xml:space="preserve"> KDOQI US commentary on the 2009 KDIGO Clinical Practice Guideline for the Diagnosis, Evaluation, and Treatment of CKD-Mineral and Bone Disorder (CKD-MBD</w:t>
      </w:r>
      <w:r w:rsidR="00A11095" w:rsidRPr="005A464E">
        <w:rPr>
          <w:rFonts w:asciiTheme="minorHAnsi" w:hAnsiTheme="minorHAnsi" w:cstheme="minorHAnsi"/>
          <w:lang w:val="en-US"/>
        </w:rPr>
        <w:t>).</w:t>
      </w:r>
      <w:r w:rsidR="00A11095" w:rsidRPr="005A464E">
        <w:rPr>
          <w:rFonts w:asciiTheme="minorHAnsi" w:hAnsiTheme="minorHAnsi" w:cstheme="minorHAnsi"/>
          <w:shd w:val="clear" w:color="auto" w:fill="FFFFFF"/>
          <w:lang w:val="en-US"/>
        </w:rPr>
        <w:t xml:space="preserve"> </w:t>
      </w:r>
      <w:hyperlink r:id="rId425" w:tooltip="American journal of kidney diseases : the official journal of the National Kidney Foundation." w:history="1">
        <w:r w:rsidR="00A11095" w:rsidRPr="00065443">
          <w:rPr>
            <w:rStyle w:val="-"/>
            <w:rFonts w:asciiTheme="minorHAnsi" w:hAnsiTheme="minorHAnsi" w:cstheme="minorHAnsi"/>
            <w:i/>
            <w:color w:val="auto"/>
            <w:u w:val="none"/>
            <w:shd w:val="clear" w:color="auto" w:fill="FFFFFF"/>
            <w:lang w:val="en-US"/>
          </w:rPr>
          <w:t xml:space="preserve">American Journal of Kidney Diseases, </w:t>
        </w:r>
      </w:hyperlink>
      <w:r w:rsidR="00065443" w:rsidRPr="00065443">
        <w:rPr>
          <w:rFonts w:asciiTheme="minorHAnsi" w:hAnsiTheme="minorHAnsi" w:cstheme="minorHAnsi"/>
          <w:i/>
          <w:shd w:val="clear" w:color="auto" w:fill="FFFFFF"/>
          <w:lang w:val="en-US"/>
        </w:rPr>
        <w:t>55</w:t>
      </w:r>
      <w:r w:rsidR="00A11095" w:rsidRPr="00065443">
        <w:rPr>
          <w:rFonts w:asciiTheme="minorHAnsi" w:hAnsiTheme="minorHAnsi" w:cstheme="minorHAnsi"/>
          <w:i/>
          <w:shd w:val="clear" w:color="auto" w:fill="FFFFFF"/>
          <w:lang w:val="en-US"/>
        </w:rPr>
        <w:t>,</w:t>
      </w:r>
      <w:r w:rsidR="00A11095" w:rsidRPr="005A464E">
        <w:rPr>
          <w:rFonts w:asciiTheme="minorHAnsi" w:hAnsiTheme="minorHAnsi" w:cstheme="minorHAnsi"/>
          <w:shd w:val="clear" w:color="auto" w:fill="FFFFFF"/>
          <w:lang w:val="en-US"/>
        </w:rPr>
        <w:t xml:space="preserve"> 773-799. </w:t>
      </w:r>
      <w:r w:rsidR="00292B29" w:rsidRPr="005A464E">
        <w:rPr>
          <w:rFonts w:asciiTheme="minorHAnsi" w:hAnsiTheme="minorHAnsi" w:cstheme="minorHAnsi"/>
          <w:shd w:val="clear" w:color="auto" w:fill="FFFFFF"/>
          <w:lang w:val="en-US"/>
        </w:rPr>
        <w:t>DOI</w:t>
      </w:r>
      <w:r w:rsidR="00A11095" w:rsidRPr="005A464E">
        <w:rPr>
          <w:rFonts w:asciiTheme="minorHAnsi" w:hAnsiTheme="minorHAnsi" w:cstheme="minorHAnsi"/>
          <w:shd w:val="clear" w:color="auto" w:fill="FFFFFF"/>
          <w:lang w:val="en-US"/>
        </w:rPr>
        <w:t>: 10.1053/j.ajkd.2010.02.340</w:t>
      </w:r>
      <w:r w:rsidR="00025809" w:rsidRPr="005A464E">
        <w:rPr>
          <w:rFonts w:asciiTheme="minorHAnsi" w:hAnsiTheme="minorHAnsi" w:cstheme="minorHAnsi"/>
          <w:shd w:val="clear" w:color="auto" w:fill="FFFFFF"/>
          <w:lang w:val="en-US"/>
        </w:rPr>
        <w:t>.</w:t>
      </w:r>
    </w:p>
    <w:p w:rsidR="00D855BC" w:rsidRPr="005A464E" w:rsidRDefault="003C410F" w:rsidP="005A464E">
      <w:pPr>
        <w:pStyle w:val="Web"/>
        <w:spacing w:after="180" w:line="360" w:lineRule="auto"/>
        <w:ind w:left="450" w:hanging="450"/>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U.S. Congress, Office of Technology Assessment. (1993). Adult literacy and new technologies: Tools for a lifetime ( OTA- SET- 550). Washington, DC: U.S. Government Printing Office.</w:t>
      </w:r>
    </w:p>
    <w:p w:rsidR="00D855BC" w:rsidRPr="005A464E" w:rsidRDefault="00D855BC" w:rsidP="005A464E">
      <w:pPr>
        <w:pStyle w:val="Web"/>
        <w:spacing w:after="180" w:line="360" w:lineRule="auto"/>
        <w:ind w:left="450" w:hanging="450"/>
        <w:jc w:val="both"/>
        <w:rPr>
          <w:rFonts w:asciiTheme="minorHAnsi" w:eastAsia="Times New Roman" w:hAnsiTheme="minorHAnsi" w:cs="Lucida Sans Unicode"/>
          <w:color w:val="222222"/>
          <w:lang w:val="en-US" w:eastAsia="el-GR"/>
        </w:rPr>
      </w:pPr>
      <w:r w:rsidRPr="005A464E">
        <w:rPr>
          <w:rFonts w:asciiTheme="minorHAnsi" w:eastAsia="Times New Roman" w:hAnsiTheme="minorHAnsi" w:cs="Lucida Sans Unicode"/>
          <w:color w:val="222222"/>
          <w:lang w:val="en-US" w:eastAsia="el-GR"/>
        </w:rPr>
        <w:t>The USRDS Dialysis Morbidity and Mortality Study: Wave 2. United States Renal Data System. </w:t>
      </w:r>
      <w:r w:rsidRPr="00B8771B">
        <w:rPr>
          <w:rFonts w:asciiTheme="minorHAnsi" w:eastAsia="Times New Roman" w:hAnsiTheme="minorHAnsi" w:cs="Lucida Sans Unicode"/>
          <w:i/>
          <w:iCs/>
          <w:lang w:val="en-US" w:eastAsia="el-GR"/>
        </w:rPr>
        <w:t>American Journal of Kidney Diseases</w:t>
      </w:r>
      <w:r w:rsidRPr="005A464E">
        <w:rPr>
          <w:rFonts w:asciiTheme="minorHAnsi" w:eastAsia="Times New Roman" w:hAnsiTheme="minorHAnsi" w:cs="Lucida Sans Unicode"/>
          <w:i/>
          <w:iCs/>
          <w:color w:val="222222"/>
          <w:lang w:val="en-US" w:eastAsia="el-GR"/>
        </w:rPr>
        <w:t>,</w:t>
      </w:r>
      <w:r w:rsidRPr="005A464E">
        <w:rPr>
          <w:rFonts w:asciiTheme="minorHAnsi" w:eastAsia="Times New Roman" w:hAnsiTheme="minorHAnsi" w:cs="Lucida Sans Unicode"/>
          <w:color w:val="222222"/>
          <w:lang w:val="en-US" w:eastAsia="el-GR"/>
        </w:rPr>
        <w:t> </w:t>
      </w:r>
      <w:r w:rsidR="00025809" w:rsidRPr="005A464E">
        <w:rPr>
          <w:rFonts w:asciiTheme="minorHAnsi" w:eastAsia="Times New Roman" w:hAnsiTheme="minorHAnsi" w:cs="Lucida Sans Unicode"/>
          <w:bCs/>
          <w:color w:val="222222"/>
          <w:lang w:val="en-US" w:eastAsia="el-GR"/>
        </w:rPr>
        <w:t>30</w:t>
      </w:r>
      <w:r w:rsidRPr="005A464E">
        <w:rPr>
          <w:rFonts w:asciiTheme="minorHAnsi" w:eastAsia="Times New Roman" w:hAnsiTheme="minorHAnsi" w:cs="Lucida Sans Unicode"/>
          <w:color w:val="222222"/>
          <w:lang w:val="en-US" w:eastAsia="el-GR"/>
        </w:rPr>
        <w:t>:S67– S85,1997</w:t>
      </w:r>
      <w:r w:rsidR="00025809" w:rsidRPr="005A464E">
        <w:rPr>
          <w:rFonts w:asciiTheme="minorHAnsi" w:eastAsia="Times New Roman" w:hAnsiTheme="minorHAnsi" w:cs="Lucida Sans Unicode"/>
          <w:color w:val="222222"/>
          <w:lang w:val="en-US" w:eastAsia="el-GR"/>
        </w:rPr>
        <w:t>.</w:t>
      </w:r>
    </w:p>
    <w:p w:rsidR="004A6957" w:rsidRDefault="003C410F" w:rsidP="004A6957">
      <w:pPr>
        <w:pStyle w:val="Web"/>
        <w:spacing w:after="180" w:line="360" w:lineRule="auto"/>
        <w:ind w:left="450" w:hanging="450"/>
        <w:jc w:val="both"/>
        <w:rPr>
          <w:rFonts w:asciiTheme="minorHAnsi" w:hAnsiTheme="minorHAnsi" w:cstheme="minorHAnsi"/>
          <w:iCs/>
          <w:shd w:val="clear" w:color="auto" w:fill="FFFFFF"/>
          <w:lang w:val="en-US"/>
        </w:rPr>
      </w:pPr>
      <w:r w:rsidRPr="005A464E">
        <w:rPr>
          <w:rFonts w:asciiTheme="minorHAnsi" w:hAnsiTheme="minorHAnsi" w:cstheme="minorHAnsi"/>
          <w:iCs/>
          <w:color w:val="000000"/>
          <w:shd w:val="clear" w:color="auto" w:fill="FFFFFF"/>
          <w:lang w:val="en-US"/>
        </w:rPr>
        <w:t>U</w:t>
      </w:r>
      <w:r w:rsidR="00394B30" w:rsidRPr="005A464E">
        <w:rPr>
          <w:rFonts w:asciiTheme="minorHAnsi" w:hAnsiTheme="minorHAnsi" w:cstheme="minorHAnsi"/>
          <w:iCs/>
          <w:color w:val="000000"/>
          <w:shd w:val="clear" w:color="auto" w:fill="FFFFFF"/>
          <w:lang w:val="en-US"/>
        </w:rPr>
        <w:t xml:space="preserve">nited </w:t>
      </w:r>
      <w:r w:rsidRPr="005A464E">
        <w:rPr>
          <w:rFonts w:asciiTheme="minorHAnsi" w:hAnsiTheme="minorHAnsi" w:cstheme="minorHAnsi"/>
          <w:iCs/>
          <w:color w:val="000000"/>
          <w:shd w:val="clear" w:color="auto" w:fill="FFFFFF"/>
          <w:lang w:val="en-US"/>
        </w:rPr>
        <w:t>S</w:t>
      </w:r>
      <w:r w:rsidR="00394B30" w:rsidRPr="005A464E">
        <w:rPr>
          <w:rFonts w:asciiTheme="minorHAnsi" w:hAnsiTheme="minorHAnsi" w:cstheme="minorHAnsi"/>
          <w:iCs/>
          <w:color w:val="000000"/>
          <w:shd w:val="clear" w:color="auto" w:fill="FFFFFF"/>
          <w:lang w:val="en-US"/>
        </w:rPr>
        <w:t>tates</w:t>
      </w:r>
      <w:r w:rsidR="00417697" w:rsidRPr="005A464E">
        <w:rPr>
          <w:rFonts w:asciiTheme="minorHAnsi" w:hAnsiTheme="minorHAnsi" w:cstheme="minorHAnsi"/>
          <w:iCs/>
          <w:color w:val="000000"/>
          <w:shd w:val="clear" w:color="auto" w:fill="FFFFFF"/>
          <w:lang w:val="en-US"/>
        </w:rPr>
        <w:t xml:space="preserve"> Renal Data System (</w:t>
      </w:r>
      <w:r w:rsidRPr="005A464E">
        <w:rPr>
          <w:rFonts w:asciiTheme="minorHAnsi" w:hAnsiTheme="minorHAnsi" w:cstheme="minorHAnsi"/>
          <w:iCs/>
          <w:color w:val="000000"/>
          <w:shd w:val="clear" w:color="auto" w:fill="FFFFFF"/>
          <w:lang w:val="en-US"/>
        </w:rPr>
        <w:t>USRDS</w:t>
      </w:r>
      <w:r w:rsidR="00417697" w:rsidRPr="005A464E">
        <w:rPr>
          <w:rFonts w:asciiTheme="minorHAnsi" w:hAnsiTheme="minorHAnsi" w:cstheme="minorHAnsi"/>
          <w:iCs/>
          <w:color w:val="000000"/>
          <w:shd w:val="clear" w:color="auto" w:fill="FFFFFF"/>
          <w:lang w:val="en-US"/>
        </w:rPr>
        <w:t>).</w:t>
      </w:r>
      <w:r w:rsidRPr="005A464E">
        <w:rPr>
          <w:rFonts w:asciiTheme="minorHAnsi" w:hAnsiTheme="minorHAnsi" w:cstheme="minorHAnsi"/>
          <w:iCs/>
          <w:color w:val="000000"/>
          <w:shd w:val="clear" w:color="auto" w:fill="FFFFFF"/>
          <w:lang w:val="en-US"/>
        </w:rPr>
        <w:t xml:space="preserve"> 2010 Annual Data Report: Atlas of Chronic Kidney Disease and End-Stage Renal Disease in the United States, </w:t>
      </w:r>
      <w:r w:rsidRPr="005A464E">
        <w:rPr>
          <w:rFonts w:asciiTheme="minorHAnsi" w:hAnsiTheme="minorHAnsi" w:cstheme="minorHAnsi"/>
          <w:i/>
          <w:iCs/>
          <w:color w:val="000000"/>
          <w:shd w:val="clear" w:color="auto" w:fill="FFFFFF"/>
          <w:lang w:val="en-US"/>
        </w:rPr>
        <w:t xml:space="preserve">National Institutes of Health, </w:t>
      </w:r>
      <w:r w:rsidRPr="005A464E">
        <w:rPr>
          <w:rFonts w:asciiTheme="minorHAnsi" w:hAnsiTheme="minorHAnsi" w:cstheme="minorHAnsi"/>
          <w:i/>
          <w:iCs/>
          <w:shd w:val="clear" w:color="auto" w:fill="FFFFFF"/>
          <w:lang w:val="en-US"/>
        </w:rPr>
        <w:t>National Institute of Diabetes and Digestive and Kidney Diseases</w:t>
      </w:r>
      <w:r w:rsidRPr="005A464E">
        <w:rPr>
          <w:rFonts w:asciiTheme="minorHAnsi" w:hAnsiTheme="minorHAnsi" w:cstheme="minorHAnsi"/>
          <w:iCs/>
          <w:shd w:val="clear" w:color="auto" w:fill="FFFFFF"/>
          <w:lang w:val="en-US"/>
        </w:rPr>
        <w:t>, Bethe</w:t>
      </w:r>
      <w:r w:rsidR="00D225F5" w:rsidRPr="005A464E">
        <w:rPr>
          <w:rFonts w:asciiTheme="minorHAnsi" w:hAnsiTheme="minorHAnsi" w:cstheme="minorHAnsi"/>
          <w:iCs/>
          <w:shd w:val="clear" w:color="auto" w:fill="FFFFFF"/>
          <w:lang w:val="en-US"/>
        </w:rPr>
        <w:t>ΤΑ</w:t>
      </w:r>
      <w:r w:rsidR="00025809" w:rsidRPr="005A464E">
        <w:rPr>
          <w:rFonts w:asciiTheme="minorHAnsi" w:hAnsiTheme="minorHAnsi" w:cstheme="minorHAnsi"/>
          <w:iCs/>
          <w:shd w:val="clear" w:color="auto" w:fill="FFFFFF"/>
          <w:lang w:val="en-US"/>
        </w:rPr>
        <w:t>a</w:t>
      </w:r>
      <w:r w:rsidRPr="005A464E">
        <w:rPr>
          <w:rFonts w:asciiTheme="minorHAnsi" w:hAnsiTheme="minorHAnsi" w:cstheme="minorHAnsi"/>
          <w:iCs/>
          <w:shd w:val="clear" w:color="auto" w:fill="FFFFFF"/>
          <w:lang w:val="en-US"/>
        </w:rPr>
        <w:t>.</w:t>
      </w:r>
    </w:p>
    <w:p w:rsidR="004A6957" w:rsidRDefault="008D79C2" w:rsidP="004A6957">
      <w:pPr>
        <w:pStyle w:val="Web"/>
        <w:spacing w:after="180" w:line="360" w:lineRule="auto"/>
        <w:ind w:left="450" w:hanging="450"/>
        <w:jc w:val="both"/>
        <w:rPr>
          <w:rFonts w:asciiTheme="minorHAnsi" w:hAnsiTheme="minorHAnsi" w:cstheme="minorHAnsi"/>
          <w:bCs/>
          <w:lang w:val="en-US" w:eastAsia="el-GR"/>
        </w:rPr>
      </w:pPr>
      <w:r w:rsidRPr="005A464E">
        <w:rPr>
          <w:rFonts w:asciiTheme="minorHAnsi" w:hAnsiTheme="minorHAnsi" w:cstheme="minorHAnsi"/>
          <w:iCs/>
          <w:color w:val="000000"/>
          <w:shd w:val="clear" w:color="auto" w:fill="FFFFFF"/>
          <w:lang w:val="en-US"/>
        </w:rPr>
        <w:t>United States Renal Data System (USRDS).</w:t>
      </w:r>
      <w:r>
        <w:rPr>
          <w:rFonts w:asciiTheme="minorHAnsi" w:hAnsiTheme="minorHAnsi" w:cstheme="minorHAnsi"/>
          <w:iCs/>
          <w:color w:val="000000"/>
          <w:shd w:val="clear" w:color="auto" w:fill="FFFFFF"/>
          <w:lang w:val="en-US"/>
        </w:rPr>
        <w:t xml:space="preserve"> 2016</w:t>
      </w:r>
      <w:r w:rsidRPr="005A464E">
        <w:rPr>
          <w:rFonts w:asciiTheme="minorHAnsi" w:hAnsiTheme="minorHAnsi" w:cstheme="minorHAnsi"/>
          <w:iCs/>
          <w:color w:val="000000"/>
          <w:shd w:val="clear" w:color="auto" w:fill="FFFFFF"/>
          <w:lang w:val="en-US"/>
        </w:rPr>
        <w:t xml:space="preserve"> Annual Data Report</w:t>
      </w:r>
      <w:r>
        <w:rPr>
          <w:rFonts w:asciiTheme="minorHAnsi" w:hAnsiTheme="minorHAnsi" w:cstheme="minorHAnsi"/>
          <w:iCs/>
          <w:color w:val="000000"/>
          <w:shd w:val="clear" w:color="auto" w:fill="FFFFFF"/>
          <w:lang w:val="en-US"/>
        </w:rPr>
        <w:t>:</w:t>
      </w:r>
      <w:r w:rsidRPr="008D79C2">
        <w:rPr>
          <w:lang w:val="en-US"/>
        </w:rPr>
        <w:t xml:space="preserve"> </w:t>
      </w:r>
      <w:r w:rsidRPr="008D79C2">
        <w:rPr>
          <w:rFonts w:asciiTheme="minorHAnsi" w:hAnsiTheme="minorHAnsi" w:cstheme="minorHAnsi"/>
          <w:bCs/>
          <w:color w:val="000000"/>
          <w:lang w:val="en-US" w:eastAsia="el-GR"/>
        </w:rPr>
        <w:t>Epidemiology of Kidney Disease</w:t>
      </w:r>
      <w:r>
        <w:rPr>
          <w:rFonts w:asciiTheme="minorHAnsi" w:hAnsiTheme="minorHAnsi" w:cstheme="minorHAnsi"/>
          <w:bCs/>
          <w:lang w:val="en-US" w:eastAsia="el-GR"/>
        </w:rPr>
        <w:t xml:space="preserve"> </w:t>
      </w:r>
      <w:r w:rsidRPr="008D79C2">
        <w:rPr>
          <w:rFonts w:asciiTheme="minorHAnsi" w:hAnsiTheme="minorHAnsi" w:cstheme="minorHAnsi"/>
          <w:bCs/>
          <w:color w:val="000000"/>
          <w:lang w:val="en-US" w:eastAsia="el-GR"/>
        </w:rPr>
        <w:t>in the United States</w:t>
      </w:r>
      <w:r>
        <w:rPr>
          <w:rFonts w:asciiTheme="minorHAnsi" w:hAnsiTheme="minorHAnsi" w:cstheme="minorHAnsi"/>
          <w:bCs/>
          <w:lang w:val="en-US" w:eastAsia="el-GR"/>
        </w:rPr>
        <w:t>.</w:t>
      </w:r>
    </w:p>
    <w:p w:rsidR="003C410F" w:rsidRPr="004A6957" w:rsidRDefault="00025809" w:rsidP="004A6957">
      <w:pPr>
        <w:pStyle w:val="Web"/>
        <w:spacing w:after="180" w:line="360" w:lineRule="auto"/>
        <w:ind w:left="450" w:hanging="450"/>
        <w:jc w:val="both"/>
        <w:rPr>
          <w:rFonts w:asciiTheme="minorHAnsi" w:hAnsiTheme="minorHAnsi" w:cstheme="minorHAnsi"/>
          <w:iCs/>
          <w:shd w:val="clear" w:color="auto" w:fill="FFFFFF"/>
          <w:lang w:val="en-US"/>
        </w:rPr>
      </w:pPr>
      <w:r w:rsidRPr="005A464E">
        <w:rPr>
          <w:rFonts w:asciiTheme="minorHAnsi" w:hAnsiTheme="minorHAnsi" w:cstheme="minorHAnsi"/>
          <w:lang w:val="en-US"/>
        </w:rPr>
        <w:t>United Network for Organ Sharing (</w:t>
      </w:r>
      <w:r w:rsidR="004824C4" w:rsidRPr="005A464E">
        <w:rPr>
          <w:rFonts w:asciiTheme="minorHAnsi" w:hAnsiTheme="minorHAnsi" w:cstheme="minorHAnsi"/>
          <w:lang w:val="en-US"/>
        </w:rPr>
        <w:t>UNOS</w:t>
      </w:r>
      <w:r w:rsidRPr="005A464E">
        <w:rPr>
          <w:rFonts w:asciiTheme="minorHAnsi" w:hAnsiTheme="minorHAnsi" w:cstheme="minorHAnsi"/>
          <w:lang w:val="en-US"/>
        </w:rPr>
        <w:t>)</w:t>
      </w:r>
      <w:r w:rsidR="004824C4" w:rsidRPr="005A464E">
        <w:rPr>
          <w:rFonts w:asciiTheme="minorHAnsi" w:hAnsiTheme="minorHAnsi" w:cstheme="minorHAnsi"/>
          <w:lang w:val="en-US"/>
        </w:rPr>
        <w:t xml:space="preserve">. Data. </w:t>
      </w:r>
      <w:r w:rsidR="003C410F" w:rsidRPr="005A464E">
        <w:rPr>
          <w:rFonts w:asciiTheme="minorHAnsi" w:hAnsiTheme="minorHAnsi" w:cstheme="minorHAnsi"/>
          <w:lang w:val="en-US"/>
        </w:rPr>
        <w:t>Available at http://www.unos.org/donation/index.php?topic=data. August 28, 2015; Accessed: September 3, 2015.</w:t>
      </w:r>
    </w:p>
    <w:p w:rsidR="003C410F" w:rsidRPr="005A464E" w:rsidRDefault="003C410F" w:rsidP="005A464E">
      <w:pPr>
        <w:pStyle w:val="Web"/>
        <w:spacing w:after="188" w:line="360" w:lineRule="auto"/>
        <w:ind w:left="470" w:hanging="470"/>
        <w:jc w:val="both"/>
        <w:rPr>
          <w:rFonts w:asciiTheme="minorHAnsi" w:hAnsiTheme="minorHAnsi" w:cstheme="minorHAnsi"/>
          <w:lang w:val="en-US"/>
        </w:rPr>
      </w:pPr>
      <w:r w:rsidRPr="005A464E">
        <w:rPr>
          <w:rFonts w:asciiTheme="minorHAnsi" w:hAnsiTheme="minorHAnsi" w:cstheme="minorHAnsi"/>
          <w:lang w:val="en-US"/>
        </w:rPr>
        <w:t>Unruh, M., Evans, I., Fink, N., &amp; Powe N. (2005). Skipped treatments, markers of nutritional non-adherence, and survival among incident haemodialysis patients.</w:t>
      </w:r>
      <w:r w:rsidR="00025809" w:rsidRPr="005A464E">
        <w:rPr>
          <w:rFonts w:asciiTheme="minorHAnsi" w:hAnsiTheme="minorHAnsi" w:cstheme="minorHAnsi"/>
          <w:lang w:val="en-US"/>
        </w:rPr>
        <w:t xml:space="preserve"> </w:t>
      </w:r>
      <w:r w:rsidR="0076403B" w:rsidRPr="005A464E">
        <w:rPr>
          <w:rFonts w:asciiTheme="minorHAnsi" w:hAnsiTheme="minorHAnsi" w:cstheme="minorHAnsi"/>
          <w:i/>
          <w:lang w:val="en-US"/>
        </w:rPr>
        <w:t>A</w:t>
      </w:r>
      <w:r w:rsidRPr="005A464E">
        <w:rPr>
          <w:rFonts w:asciiTheme="minorHAnsi" w:hAnsiTheme="minorHAnsi" w:cstheme="minorHAnsi"/>
          <w:i/>
          <w:lang w:val="en-US"/>
        </w:rPr>
        <w:t>merican Journal of Kidney Diseases</w:t>
      </w:r>
      <w:r w:rsidR="00065443">
        <w:rPr>
          <w:rFonts w:asciiTheme="minorHAnsi" w:hAnsiTheme="minorHAnsi" w:cstheme="minorHAnsi"/>
          <w:lang w:val="en-US"/>
        </w:rPr>
        <w:t xml:space="preserve">, </w:t>
      </w:r>
      <w:r w:rsidR="00065443" w:rsidRPr="00065443">
        <w:rPr>
          <w:rFonts w:asciiTheme="minorHAnsi" w:hAnsiTheme="minorHAnsi" w:cstheme="minorHAnsi"/>
          <w:i/>
          <w:lang w:val="en-US"/>
        </w:rPr>
        <w:t>46,</w:t>
      </w:r>
      <w:r w:rsidRPr="005A464E">
        <w:rPr>
          <w:rFonts w:asciiTheme="minorHAnsi" w:hAnsiTheme="minorHAnsi" w:cstheme="minorHAnsi"/>
          <w:lang w:val="en-US"/>
        </w:rPr>
        <w:t xml:space="preserve"> 1107-1116</w:t>
      </w:r>
      <w:r w:rsidR="00025809" w:rsidRPr="005A464E">
        <w:rPr>
          <w:rFonts w:asciiTheme="minorHAnsi" w:hAnsiTheme="minorHAnsi" w:cstheme="minorHAnsi"/>
          <w:lang w:val="en-US"/>
        </w:rPr>
        <w:t xml:space="preserve"> </w:t>
      </w:r>
      <w:hyperlink r:id="rId426"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.org/10.1053/j.ajkd.2005.09.002</w:t>
        </w:r>
      </w:hyperlink>
      <w:r w:rsidR="00025809" w:rsidRPr="005A464E">
        <w:rPr>
          <w:rFonts w:asciiTheme="minorHAnsi" w:hAnsiTheme="minorHAnsi"/>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Untas, A., Thumma, J., Rascle, N., Rayner, H., Map</w:t>
      </w:r>
      <w:r w:rsidR="00E412AC" w:rsidRPr="005A464E">
        <w:rPr>
          <w:rFonts w:asciiTheme="minorHAnsi" w:hAnsiTheme="minorHAnsi" w:cstheme="minorHAnsi"/>
          <w:lang w:val="en-US"/>
        </w:rPr>
        <w:t>es, D., &amp; Lopes, A.</w:t>
      </w:r>
      <w:r w:rsidR="001929ED">
        <w:rPr>
          <w:rFonts w:asciiTheme="minorHAnsi" w:hAnsiTheme="minorHAnsi" w:cstheme="minorHAnsi"/>
          <w:lang w:val="en-US"/>
        </w:rPr>
        <w:t>, …</w:t>
      </w:r>
      <w:r w:rsidR="00E412AC" w:rsidRPr="005A464E">
        <w:rPr>
          <w:rFonts w:asciiTheme="minorHAnsi" w:hAnsiTheme="minorHAnsi" w:cstheme="minorHAnsi"/>
          <w:lang w:val="en-US"/>
        </w:rPr>
        <w:t xml:space="preserve"> </w:t>
      </w:r>
      <w:r w:rsidR="001929ED">
        <w:rPr>
          <w:rFonts w:asciiTheme="minorHAnsi" w:hAnsiTheme="minorHAnsi" w:cstheme="minorHAnsi"/>
          <w:lang w:val="en-US"/>
        </w:rPr>
        <w:t xml:space="preserve">&amp; </w:t>
      </w:r>
      <w:hyperlink r:id="rId427" w:history="1">
        <w:r w:rsidR="001929ED" w:rsidRPr="00785007">
          <w:rPr>
            <w:rStyle w:val="-"/>
            <w:rFonts w:asciiTheme="minorHAnsi" w:hAnsiTheme="minorHAnsi" w:cs="Arial"/>
            <w:color w:val="auto"/>
            <w:u w:val="none"/>
            <w:shd w:val="clear" w:color="auto" w:fill="FFFFFF"/>
            <w:lang w:val="en-US"/>
          </w:rPr>
          <w:t>Combe</w:t>
        </w:r>
        <w:r w:rsidR="001929ED">
          <w:rPr>
            <w:rStyle w:val="-"/>
            <w:rFonts w:asciiTheme="minorHAnsi" w:hAnsiTheme="minorHAnsi" w:cs="Arial"/>
            <w:color w:val="auto"/>
            <w:u w:val="none"/>
            <w:shd w:val="clear" w:color="auto" w:fill="FFFFFF"/>
            <w:lang w:val="en-US"/>
          </w:rPr>
          <w:t>,</w:t>
        </w:r>
        <w:r w:rsidR="001929ED" w:rsidRPr="00785007">
          <w:rPr>
            <w:rStyle w:val="-"/>
            <w:rFonts w:asciiTheme="minorHAnsi" w:hAnsiTheme="minorHAnsi" w:cs="Arial"/>
            <w:color w:val="auto"/>
            <w:u w:val="none"/>
            <w:shd w:val="clear" w:color="auto" w:fill="FFFFFF"/>
            <w:lang w:val="en-US"/>
          </w:rPr>
          <w:t xml:space="preserve"> C</w:t>
        </w:r>
      </w:hyperlink>
      <w:r w:rsidR="001929ED" w:rsidRPr="001929ED">
        <w:rPr>
          <w:rFonts w:asciiTheme="minorHAnsi" w:hAnsiTheme="minorHAnsi" w:cstheme="minorHAnsi"/>
          <w:lang w:val="en-US"/>
        </w:rPr>
        <w:t xml:space="preserve"> </w:t>
      </w:r>
      <w:r w:rsidR="00E412AC" w:rsidRPr="005A464E">
        <w:rPr>
          <w:rFonts w:asciiTheme="minorHAnsi" w:hAnsiTheme="minorHAnsi" w:cstheme="minorHAnsi"/>
          <w:lang w:val="en-US"/>
        </w:rPr>
        <w:t>(2011</w:t>
      </w:r>
      <w:r w:rsidRPr="005A464E">
        <w:rPr>
          <w:rFonts w:asciiTheme="minorHAnsi" w:hAnsiTheme="minorHAnsi" w:cstheme="minorHAnsi"/>
          <w:lang w:val="en-US"/>
        </w:rPr>
        <w:t xml:space="preserve">). The </w:t>
      </w:r>
      <w:r w:rsidR="0076403B" w:rsidRPr="005A464E">
        <w:rPr>
          <w:rFonts w:asciiTheme="minorHAnsi" w:hAnsiTheme="minorHAnsi" w:cstheme="minorHAnsi"/>
          <w:lang w:val="en-US"/>
        </w:rPr>
        <w:t>associations of social support and other psychosocial factors with mortality and quality of life in the</w:t>
      </w:r>
      <w:r w:rsidRPr="005A464E">
        <w:rPr>
          <w:rFonts w:asciiTheme="minorHAnsi" w:hAnsiTheme="minorHAnsi" w:cstheme="minorHAnsi"/>
          <w:lang w:val="en-US"/>
        </w:rPr>
        <w:t xml:space="preserve"> Dialysis Outcomes and Practice Patterns Study.</w:t>
      </w:r>
      <w:r w:rsidRPr="005A464E">
        <w:rPr>
          <w:rStyle w:val="apple-converted-space"/>
          <w:rFonts w:asciiTheme="minorHAnsi" w:hAnsiTheme="minorHAnsi" w:cstheme="minorHAnsi"/>
          <w:lang w:val="en-US"/>
        </w:rPr>
        <w:t> </w:t>
      </w:r>
      <w:r w:rsidR="0076403B" w:rsidRPr="005A464E">
        <w:rPr>
          <w:rFonts w:asciiTheme="minorHAnsi" w:hAnsiTheme="minorHAnsi" w:cstheme="minorHAnsi"/>
          <w:i/>
          <w:iCs/>
          <w:lang w:val="en-US"/>
        </w:rPr>
        <w:t xml:space="preserve">Clinical </w:t>
      </w:r>
      <w:r w:rsidR="00025809" w:rsidRPr="005A464E">
        <w:rPr>
          <w:rFonts w:asciiTheme="minorHAnsi" w:hAnsiTheme="minorHAnsi" w:cstheme="minorHAnsi"/>
          <w:i/>
          <w:iCs/>
          <w:lang w:val="en-US"/>
        </w:rPr>
        <w:t>Journal of the American Society o</w:t>
      </w:r>
      <w:r w:rsidRPr="005A464E">
        <w:rPr>
          <w:rFonts w:asciiTheme="minorHAnsi" w:hAnsiTheme="minorHAnsi" w:cstheme="minorHAnsi"/>
          <w:i/>
          <w:iCs/>
          <w:lang w:val="en-US"/>
        </w:rPr>
        <w:t>f Nephrology</w:t>
      </w:r>
      <w:r w:rsidRPr="005A464E">
        <w:rPr>
          <w:rFonts w:asciiTheme="minorHAnsi" w:hAnsiTheme="minorHAnsi" w:cstheme="minorHAnsi"/>
          <w:lang w:val="en-US"/>
        </w:rPr>
        <w:t>,</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6</w:t>
      </w:r>
      <w:r w:rsidRPr="005A464E">
        <w:rPr>
          <w:rFonts w:asciiTheme="minorHAnsi" w:hAnsiTheme="minorHAnsi" w:cstheme="minorHAnsi"/>
          <w:lang w:val="en-US"/>
        </w:rPr>
        <w:t xml:space="preserve">, 142-152. </w:t>
      </w:r>
      <w:hyperlink r:id="rId428"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.org/10.2215/cjn.02340310</w:t>
        </w:r>
      </w:hyperlink>
      <w:r w:rsidR="00025809" w:rsidRPr="005A464E">
        <w:rPr>
          <w:rFonts w:asciiTheme="minorHAnsi" w:hAnsiTheme="minorHAnsi"/>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eastAsia="Times New Roman" w:hAnsiTheme="minorHAnsi" w:cstheme="minorHAnsi"/>
          <w:lang w:val="en-US" w:eastAsia="el-GR"/>
        </w:rPr>
        <w:t xml:space="preserve">Valderrábano, F., Jofre, R., </w:t>
      </w:r>
      <w:r w:rsidR="00025809" w:rsidRPr="005A464E">
        <w:rPr>
          <w:rFonts w:asciiTheme="minorHAnsi" w:eastAsia="Times New Roman" w:hAnsiTheme="minorHAnsi" w:cstheme="minorHAnsi"/>
          <w:lang w:val="en-US" w:eastAsia="el-GR"/>
        </w:rPr>
        <w:t xml:space="preserve">&amp; </w:t>
      </w:r>
      <w:r w:rsidRPr="005A464E">
        <w:rPr>
          <w:rFonts w:asciiTheme="minorHAnsi" w:eastAsia="Times New Roman" w:hAnsiTheme="minorHAnsi" w:cstheme="minorHAnsi"/>
          <w:lang w:val="en-US" w:eastAsia="el-GR"/>
        </w:rPr>
        <w:t xml:space="preserve">López-Gómez, J.M. (2001). Quality of life in end-stage renal disease patients. </w:t>
      </w:r>
      <w:r w:rsidRPr="005A464E">
        <w:rPr>
          <w:rFonts w:asciiTheme="minorHAnsi" w:eastAsia="Times New Roman" w:hAnsiTheme="minorHAnsi" w:cstheme="minorHAnsi"/>
          <w:i/>
          <w:lang w:val="en-US" w:eastAsia="el-GR"/>
        </w:rPr>
        <w:t>American Journal of Kidney Disease,</w:t>
      </w:r>
      <w:r w:rsidR="00065443">
        <w:rPr>
          <w:rFonts w:asciiTheme="minorHAnsi" w:eastAsia="Times New Roman" w:hAnsiTheme="minorHAnsi" w:cstheme="minorHAnsi"/>
          <w:lang w:val="en-US" w:eastAsia="el-GR"/>
        </w:rPr>
        <w:t xml:space="preserve"> </w:t>
      </w:r>
      <w:r w:rsidR="00065443" w:rsidRPr="00065443">
        <w:rPr>
          <w:rFonts w:asciiTheme="minorHAnsi" w:eastAsia="Times New Roman" w:hAnsiTheme="minorHAnsi" w:cstheme="minorHAnsi"/>
          <w:i/>
          <w:lang w:val="en-US" w:eastAsia="el-GR"/>
        </w:rPr>
        <w:t>38</w:t>
      </w:r>
      <w:r w:rsidRPr="005A464E">
        <w:rPr>
          <w:rFonts w:asciiTheme="minorHAnsi" w:eastAsia="Times New Roman" w:hAnsiTheme="minorHAnsi" w:cstheme="minorHAnsi"/>
          <w:lang w:val="en-US" w:eastAsia="el-GR"/>
        </w:rPr>
        <w:t>, 443-464.</w:t>
      </w:r>
    </w:p>
    <w:p w:rsidR="003C410F" w:rsidRDefault="003C410F" w:rsidP="005A464E">
      <w:pPr>
        <w:pStyle w:val="Web"/>
        <w:spacing w:after="180" w:line="360" w:lineRule="auto"/>
        <w:ind w:left="450" w:hanging="450"/>
        <w:jc w:val="both"/>
        <w:rPr>
          <w:rFonts w:asciiTheme="minorHAnsi" w:hAnsiTheme="minorHAnsi"/>
          <w:lang w:val="en-US"/>
        </w:rPr>
      </w:pPr>
      <w:r w:rsidRPr="005A464E">
        <w:rPr>
          <w:rFonts w:asciiTheme="minorHAnsi" w:hAnsiTheme="minorHAnsi" w:cstheme="minorHAnsi"/>
          <w:lang w:val="en-US"/>
        </w:rPr>
        <w:t>van Dijk, S., Scharloo, M., Kaptein, A., Thong, M., Boeschoten, E., &amp; Grootendorst, D.</w:t>
      </w:r>
      <w:r w:rsidR="0078495A">
        <w:rPr>
          <w:rFonts w:asciiTheme="minorHAnsi" w:hAnsiTheme="minorHAnsi" w:cstheme="minorHAnsi"/>
          <w:lang w:val="en-US"/>
        </w:rPr>
        <w:t xml:space="preserve"> </w:t>
      </w:r>
      <w:hyperlink r:id="rId429" w:history="1">
        <w:r w:rsidR="00025809" w:rsidRPr="005A464E">
          <w:rPr>
            <w:rStyle w:val="-"/>
            <w:rFonts w:asciiTheme="minorHAnsi" w:hAnsiTheme="minorHAnsi" w:cs="Arial"/>
            <w:color w:val="auto"/>
            <w:u w:val="none"/>
            <w:shd w:val="clear" w:color="auto" w:fill="FFFFFF"/>
            <w:lang w:val="en-US"/>
          </w:rPr>
          <w:t>Krediet, R.T</w:t>
        </w:r>
      </w:hyperlink>
      <w:r w:rsidR="00025809" w:rsidRPr="005A464E">
        <w:rPr>
          <w:rFonts w:asciiTheme="minorHAnsi" w:hAnsiTheme="minorHAnsi"/>
          <w:lang w:val="en-US"/>
        </w:rPr>
        <w:t>.</w:t>
      </w:r>
      <w:r w:rsidR="00025809" w:rsidRPr="005A464E">
        <w:rPr>
          <w:rFonts w:asciiTheme="minorHAnsi" w:hAnsiTheme="minorHAnsi" w:cs="Arial"/>
          <w:shd w:val="clear" w:color="auto" w:fill="FFFFFF"/>
          <w:lang w:val="en-US"/>
        </w:rPr>
        <w:t>, </w:t>
      </w:r>
      <w:hyperlink r:id="rId430" w:history="1">
        <w:r w:rsidR="00025809" w:rsidRPr="005A464E">
          <w:rPr>
            <w:rStyle w:val="-"/>
            <w:rFonts w:asciiTheme="minorHAnsi" w:hAnsiTheme="minorHAnsi" w:cs="Arial"/>
            <w:color w:val="auto"/>
            <w:u w:val="none"/>
            <w:shd w:val="clear" w:color="auto" w:fill="FFFFFF"/>
            <w:lang w:val="en-US"/>
          </w:rPr>
          <w:t>Dekker, F.W</w:t>
        </w:r>
      </w:hyperlink>
      <w:r w:rsidR="00025809" w:rsidRPr="005A464E">
        <w:rPr>
          <w:rFonts w:asciiTheme="minorHAnsi" w:hAnsiTheme="minorHAnsi" w:cs="Arial"/>
          <w:shd w:val="clear" w:color="auto" w:fill="FFFFFF"/>
          <w:lang w:val="en-US"/>
        </w:rPr>
        <w:t>; </w:t>
      </w:r>
      <w:hyperlink r:id="rId431" w:history="1">
        <w:r w:rsidR="00025809" w:rsidRPr="005A464E">
          <w:rPr>
            <w:rStyle w:val="-"/>
            <w:rFonts w:asciiTheme="minorHAnsi" w:hAnsiTheme="minorHAnsi" w:cs="Arial"/>
            <w:color w:val="auto"/>
            <w:u w:val="none"/>
            <w:shd w:val="clear" w:color="auto" w:fill="FFFFFF"/>
            <w:lang w:val="en-US"/>
          </w:rPr>
          <w:t>NECOSAD Study Group</w:t>
        </w:r>
      </w:hyperlink>
      <w:r w:rsidR="00025809" w:rsidRPr="005A464E">
        <w:rPr>
          <w:rFonts w:asciiTheme="minorHAnsi" w:hAnsiTheme="minorHAnsi" w:cs="Arial"/>
          <w:color w:val="000000"/>
          <w:shd w:val="clear" w:color="auto" w:fill="FFFFFF"/>
          <w:lang w:val="en-US"/>
        </w:rPr>
        <w:t xml:space="preserve"> </w:t>
      </w:r>
      <w:r w:rsidRPr="005A464E">
        <w:rPr>
          <w:rFonts w:asciiTheme="minorHAnsi" w:hAnsiTheme="minorHAnsi" w:cstheme="minorHAnsi"/>
          <w:lang w:val="en-US"/>
        </w:rPr>
        <w:t>(2009). Patients' representations of their end-stage renal disease: relation with mortality.</w:t>
      </w:r>
      <w:r w:rsidRPr="005A464E">
        <w:rPr>
          <w:rStyle w:val="apple-converted-space"/>
          <w:rFonts w:asciiTheme="minorHAnsi" w:hAnsiTheme="minorHAnsi" w:cstheme="minorHAnsi"/>
          <w:lang w:val="en-US"/>
        </w:rPr>
        <w:t> </w:t>
      </w:r>
      <w:r w:rsidRPr="005A464E">
        <w:rPr>
          <w:rFonts w:asciiTheme="minorHAnsi" w:hAnsiTheme="minorHAnsi" w:cstheme="minorHAnsi"/>
          <w:i/>
          <w:iCs/>
          <w:lang w:val="en-US"/>
        </w:rPr>
        <w:t>Nephrology Dialysis Transplantation</w:t>
      </w:r>
      <w:r w:rsidRPr="00065443">
        <w:rPr>
          <w:rFonts w:asciiTheme="minorHAnsi" w:hAnsiTheme="minorHAnsi" w:cstheme="minorHAnsi"/>
          <w:i/>
          <w:lang w:val="en-US"/>
        </w:rPr>
        <w:t>,</w:t>
      </w:r>
      <w:r w:rsidRPr="00065443">
        <w:rPr>
          <w:rStyle w:val="apple-converted-space"/>
          <w:rFonts w:asciiTheme="minorHAnsi" w:hAnsiTheme="minorHAnsi" w:cstheme="minorHAnsi"/>
          <w:i/>
          <w:lang w:val="en-US"/>
        </w:rPr>
        <w:t> </w:t>
      </w:r>
      <w:r w:rsidRPr="00065443">
        <w:rPr>
          <w:rFonts w:asciiTheme="minorHAnsi" w:hAnsiTheme="minorHAnsi" w:cstheme="minorHAnsi"/>
          <w:i/>
          <w:iCs/>
          <w:lang w:val="en-US"/>
        </w:rPr>
        <w:t>24</w:t>
      </w:r>
      <w:r w:rsidRPr="00065443">
        <w:rPr>
          <w:rFonts w:asciiTheme="minorHAnsi" w:hAnsiTheme="minorHAnsi" w:cstheme="minorHAnsi"/>
          <w:i/>
          <w:lang w:val="en-US"/>
        </w:rPr>
        <w:t>,</w:t>
      </w:r>
      <w:r w:rsidR="00065443">
        <w:rPr>
          <w:rFonts w:asciiTheme="minorHAnsi" w:hAnsiTheme="minorHAnsi" w:cstheme="minorHAnsi"/>
          <w:lang w:val="en-US"/>
        </w:rPr>
        <w:t xml:space="preserve"> </w:t>
      </w:r>
      <w:r w:rsidRPr="005A464E">
        <w:rPr>
          <w:rFonts w:asciiTheme="minorHAnsi" w:hAnsiTheme="minorHAnsi" w:cstheme="minorHAnsi"/>
          <w:lang w:val="en-US"/>
        </w:rPr>
        <w:t xml:space="preserve">3183-3185. </w:t>
      </w:r>
      <w:hyperlink r:id="rId432" w:history="1">
        <w:r w:rsidRPr="005A464E">
          <w:rPr>
            <w:rStyle w:val="-"/>
            <w:rFonts w:asciiTheme="minorHAnsi" w:hAnsiTheme="minorHAnsi" w:cstheme="minorHAnsi"/>
            <w:color w:val="auto"/>
            <w:u w:val="none"/>
            <w:lang w:val="en-US"/>
          </w:rPr>
          <w:t>http://dx.</w:t>
        </w:r>
        <w:r w:rsidR="00292B29" w:rsidRPr="005A464E">
          <w:rPr>
            <w:rStyle w:val="-"/>
            <w:rFonts w:asciiTheme="minorHAnsi" w:hAnsiTheme="minorHAnsi" w:cstheme="minorHAnsi"/>
            <w:color w:val="auto"/>
            <w:u w:val="none"/>
            <w:lang w:val="en-US"/>
          </w:rPr>
          <w:t>DOI</w:t>
        </w:r>
        <w:r w:rsidRPr="005A464E">
          <w:rPr>
            <w:rStyle w:val="-"/>
            <w:rFonts w:asciiTheme="minorHAnsi" w:hAnsiTheme="minorHAnsi" w:cstheme="minorHAnsi"/>
            <w:color w:val="auto"/>
            <w:u w:val="none"/>
            <w:lang w:val="en-US"/>
          </w:rPr>
          <w:t>.org/10.1093/ndt/gfp184</w:t>
        </w:r>
      </w:hyperlink>
      <w:r w:rsidR="00025809" w:rsidRPr="005A464E">
        <w:rPr>
          <w:rFonts w:asciiTheme="minorHAnsi" w:hAnsiTheme="minorHAnsi"/>
          <w:lang w:val="en-US"/>
        </w:rPr>
        <w:t>.</w:t>
      </w:r>
    </w:p>
    <w:p w:rsidR="00585101" w:rsidRPr="00585101" w:rsidRDefault="00585101" w:rsidP="005A464E">
      <w:pPr>
        <w:pStyle w:val="Web"/>
        <w:spacing w:after="180" w:line="360" w:lineRule="auto"/>
        <w:ind w:left="450" w:hanging="450"/>
        <w:jc w:val="both"/>
        <w:rPr>
          <w:rFonts w:asciiTheme="minorHAnsi" w:hAnsiTheme="minorHAnsi" w:cstheme="minorHAnsi"/>
          <w:lang w:val="en-US"/>
        </w:rPr>
      </w:pPr>
      <w:r w:rsidRPr="00585101">
        <w:rPr>
          <w:rFonts w:asciiTheme="minorHAnsi" w:hAnsiTheme="minorHAnsi" w:cstheme="minorHAnsi"/>
          <w:shd w:val="clear" w:color="auto" w:fill="FFFFFF"/>
          <w:lang w:val="en-US"/>
        </w:rPr>
        <w:t>Vanholder, R., Fouq</w:t>
      </w:r>
      <w:r>
        <w:rPr>
          <w:rFonts w:asciiTheme="minorHAnsi" w:hAnsiTheme="minorHAnsi" w:cstheme="minorHAnsi"/>
          <w:shd w:val="clear" w:color="auto" w:fill="FFFFFF"/>
          <w:lang w:val="en-US"/>
        </w:rPr>
        <w:t>ue, D., Glorieux, G., Heine, G.</w:t>
      </w:r>
      <w:r w:rsidRPr="00585101">
        <w:rPr>
          <w:rFonts w:asciiTheme="minorHAnsi" w:hAnsiTheme="minorHAnsi" w:cstheme="minorHAnsi"/>
          <w:shd w:val="clear" w:color="auto" w:fill="FFFFFF"/>
          <w:lang w:val="en-US"/>
        </w:rPr>
        <w:t>H., Kanbay, M., Mallamaci, F., ... &amp; Zoccali, C. (2016). Clinical management of the uraemic syndrome in chronic kidney disease. </w:t>
      </w:r>
      <w:r w:rsidRPr="00585101">
        <w:rPr>
          <w:rFonts w:asciiTheme="minorHAnsi" w:hAnsiTheme="minorHAnsi" w:cstheme="minorHAnsi"/>
          <w:i/>
          <w:iCs/>
          <w:shd w:val="clear" w:color="auto" w:fill="FFFFFF"/>
          <w:lang w:val="en-US"/>
        </w:rPr>
        <w:t>The Lancet Diabetes &amp; Endocrinology</w:t>
      </w:r>
      <w:r w:rsidRPr="00585101">
        <w:rPr>
          <w:rFonts w:asciiTheme="minorHAnsi" w:hAnsiTheme="minorHAnsi" w:cstheme="minorHAnsi"/>
          <w:shd w:val="clear" w:color="auto" w:fill="FFFFFF"/>
          <w:lang w:val="en-US"/>
        </w:rPr>
        <w:t>, </w:t>
      </w:r>
      <w:r w:rsidRPr="00585101">
        <w:rPr>
          <w:rFonts w:asciiTheme="minorHAnsi" w:hAnsiTheme="minorHAnsi" w:cstheme="minorHAnsi"/>
          <w:i/>
          <w:iCs/>
          <w:shd w:val="clear" w:color="auto" w:fill="FFFFFF"/>
          <w:lang w:val="en-US"/>
        </w:rPr>
        <w:t>4</w:t>
      </w:r>
      <w:r w:rsidRPr="00585101">
        <w:rPr>
          <w:rFonts w:asciiTheme="minorHAnsi" w:hAnsiTheme="minorHAnsi" w:cstheme="minorHAnsi"/>
          <w:shd w:val="clear" w:color="auto" w:fill="FFFFFF"/>
          <w:lang w:val="en-US"/>
        </w:rPr>
        <w:t>, 360-373</w:t>
      </w:r>
      <w:r>
        <w:rPr>
          <w:rFonts w:asciiTheme="minorHAnsi" w:hAnsiTheme="minorHAnsi" w:cstheme="minorHAnsi"/>
          <w:shd w:val="clear" w:color="auto" w:fill="FFFFFF"/>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Van Manen, J.G., Korevaar, J.C., Dekker, F.W., Boeschoten, E.W., </w:t>
      </w:r>
      <w:r w:rsidR="009F1821" w:rsidRPr="005A464E">
        <w:rPr>
          <w:rFonts w:asciiTheme="minorHAnsi" w:hAnsiTheme="minorHAnsi" w:cstheme="minorHAnsi"/>
          <w:lang w:val="en-US"/>
        </w:rPr>
        <w:t xml:space="preserve">&amp; </w:t>
      </w:r>
      <w:r w:rsidRPr="005A464E">
        <w:rPr>
          <w:rFonts w:asciiTheme="minorHAnsi" w:hAnsiTheme="minorHAnsi" w:cstheme="minorHAnsi"/>
          <w:lang w:val="en-US"/>
        </w:rPr>
        <w:t xml:space="preserve">Krediet, R.T; NECOSAD Study Group. Netherlands cooperative study on adequacy of dialysis. (2001). Changes in employment status in end-stage renal disease patients during their first year of dialysis. </w:t>
      </w:r>
      <w:r w:rsidRPr="005A464E">
        <w:rPr>
          <w:rFonts w:asciiTheme="minorHAnsi" w:hAnsiTheme="minorHAnsi" w:cstheme="minorHAnsi"/>
          <w:i/>
          <w:iCs/>
          <w:lang w:val="en-US"/>
        </w:rPr>
        <w:t>Peritoneal Dialysis International,</w:t>
      </w:r>
      <w:r w:rsidRPr="005A464E">
        <w:rPr>
          <w:rFonts w:asciiTheme="minorHAnsi" w:hAnsiTheme="minorHAnsi" w:cstheme="minorHAnsi"/>
          <w:iCs/>
          <w:lang w:val="en-US"/>
        </w:rPr>
        <w:t xml:space="preserve"> </w:t>
      </w:r>
      <w:r w:rsidRPr="00065443">
        <w:rPr>
          <w:rFonts w:asciiTheme="minorHAnsi" w:hAnsiTheme="minorHAnsi" w:cstheme="minorHAnsi"/>
          <w:i/>
          <w:iCs/>
          <w:lang w:val="en-US"/>
        </w:rPr>
        <w:t>21</w:t>
      </w:r>
      <w:r w:rsidRPr="00065443">
        <w:rPr>
          <w:rFonts w:asciiTheme="minorHAnsi" w:hAnsiTheme="minorHAnsi" w:cstheme="minorHAnsi"/>
          <w:i/>
          <w:lang w:val="en-US"/>
        </w:rPr>
        <w:t>,</w:t>
      </w:r>
      <w:r w:rsidRPr="005A464E">
        <w:rPr>
          <w:rFonts w:asciiTheme="minorHAnsi" w:hAnsiTheme="minorHAnsi" w:cstheme="minorHAnsi"/>
          <w:lang w:val="en-US"/>
        </w:rPr>
        <w:t xml:space="preserve"> 595-601.</w:t>
      </w:r>
    </w:p>
    <w:p w:rsidR="003C410F"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Vasilieva, I. (2006). Quality of life in chronic hemodialysis patients in Russia. </w:t>
      </w:r>
      <w:r w:rsidRPr="005A464E">
        <w:rPr>
          <w:rFonts w:asciiTheme="minorHAnsi" w:hAnsiTheme="minorHAnsi" w:cstheme="minorHAnsi"/>
          <w:i/>
          <w:iCs/>
          <w:lang w:val="en-US"/>
        </w:rPr>
        <w:t>Hemodialysis International Journal,</w:t>
      </w:r>
      <w:r w:rsidRPr="005A464E">
        <w:rPr>
          <w:rFonts w:asciiTheme="minorHAnsi" w:hAnsiTheme="minorHAnsi" w:cstheme="minorHAnsi"/>
          <w:iCs/>
          <w:lang w:val="en-US"/>
        </w:rPr>
        <w:t xml:space="preserve"> </w:t>
      </w:r>
      <w:r w:rsidRPr="00065443">
        <w:rPr>
          <w:rFonts w:asciiTheme="minorHAnsi" w:hAnsiTheme="minorHAnsi" w:cstheme="minorHAnsi"/>
          <w:i/>
          <w:iCs/>
          <w:lang w:val="en-US"/>
        </w:rPr>
        <w:t>10</w:t>
      </w:r>
      <w:r w:rsidRPr="00065443">
        <w:rPr>
          <w:rFonts w:asciiTheme="minorHAnsi" w:hAnsiTheme="minorHAnsi" w:cstheme="minorHAnsi"/>
          <w:i/>
          <w:lang w:val="en-US"/>
        </w:rPr>
        <w:t>,</w:t>
      </w:r>
      <w:r w:rsidRPr="005A464E">
        <w:rPr>
          <w:rFonts w:asciiTheme="minorHAnsi" w:hAnsiTheme="minorHAnsi" w:cstheme="minorHAnsi"/>
          <w:lang w:val="en-US"/>
        </w:rPr>
        <w:t xml:space="preserve"> 274-278.</w:t>
      </w:r>
    </w:p>
    <w:p w:rsidR="00F37A7C" w:rsidRPr="00F37A7C" w:rsidRDefault="00F37A7C" w:rsidP="005A464E">
      <w:pPr>
        <w:pStyle w:val="Web"/>
        <w:spacing w:after="180" w:line="360" w:lineRule="auto"/>
        <w:ind w:left="450" w:hanging="450"/>
        <w:jc w:val="both"/>
        <w:rPr>
          <w:rFonts w:asciiTheme="minorHAnsi" w:hAnsiTheme="minorHAnsi" w:cstheme="minorHAnsi"/>
          <w:lang w:val="en-US"/>
        </w:rPr>
      </w:pPr>
      <w:r w:rsidRPr="00F37A7C">
        <w:rPr>
          <w:rFonts w:asciiTheme="minorHAnsi" w:hAnsiTheme="minorHAnsi" w:cstheme="minorHAnsi"/>
          <w:shd w:val="clear" w:color="auto" w:fill="FFFFFF"/>
          <w:lang w:val="en-US"/>
        </w:rPr>
        <w:t>Vassalotti</w:t>
      </w:r>
      <w:r>
        <w:rPr>
          <w:rFonts w:asciiTheme="minorHAnsi" w:hAnsiTheme="minorHAnsi" w:cstheme="minorHAnsi"/>
          <w:shd w:val="clear" w:color="auto" w:fill="FFFFFF"/>
          <w:lang w:val="en-US"/>
        </w:rPr>
        <w:t>, J.A., Centor, R., Turner, B.</w:t>
      </w:r>
      <w:r w:rsidRPr="00F37A7C">
        <w:rPr>
          <w:rFonts w:asciiTheme="minorHAnsi" w:hAnsiTheme="minorHAnsi" w:cstheme="minorHAnsi"/>
          <w:shd w:val="clear" w:color="auto" w:fill="FFFFFF"/>
          <w:lang w:val="en-US"/>
        </w:rPr>
        <w:t>J., Gree</w:t>
      </w:r>
      <w:r>
        <w:rPr>
          <w:rFonts w:asciiTheme="minorHAnsi" w:hAnsiTheme="minorHAnsi" w:cstheme="minorHAnsi"/>
          <w:shd w:val="clear" w:color="auto" w:fill="FFFFFF"/>
          <w:lang w:val="en-US"/>
        </w:rPr>
        <w:t>r, R.C., Choi, M., Sequist, T.</w:t>
      </w:r>
      <w:r w:rsidRPr="00F37A7C">
        <w:rPr>
          <w:rFonts w:asciiTheme="minorHAnsi" w:hAnsiTheme="minorHAnsi" w:cstheme="minorHAnsi"/>
          <w:shd w:val="clear" w:color="auto" w:fill="FFFFFF"/>
          <w:lang w:val="en-US"/>
        </w:rPr>
        <w:t>D., &amp; National Kidney Foundation Kidney Disease Outcomes Quality Initiative. (2016). Practical approach to detection and management of chronic kidney disease for the primary care clinician. </w:t>
      </w:r>
      <w:r>
        <w:rPr>
          <w:rFonts w:asciiTheme="minorHAnsi" w:hAnsiTheme="minorHAnsi" w:cstheme="minorHAnsi"/>
          <w:i/>
          <w:iCs/>
          <w:shd w:val="clear" w:color="auto" w:fill="FFFFFF"/>
          <w:lang w:val="en-US"/>
        </w:rPr>
        <w:t>The American Journal of M</w:t>
      </w:r>
      <w:r w:rsidRPr="00F37A7C">
        <w:rPr>
          <w:rFonts w:asciiTheme="minorHAnsi" w:hAnsiTheme="minorHAnsi" w:cstheme="minorHAnsi"/>
          <w:i/>
          <w:iCs/>
          <w:shd w:val="clear" w:color="auto" w:fill="FFFFFF"/>
          <w:lang w:val="en-US"/>
        </w:rPr>
        <w:t>edicine</w:t>
      </w:r>
      <w:r w:rsidRPr="00F37A7C">
        <w:rPr>
          <w:rFonts w:asciiTheme="minorHAnsi" w:hAnsiTheme="minorHAnsi" w:cstheme="minorHAnsi"/>
          <w:shd w:val="clear" w:color="auto" w:fill="FFFFFF"/>
          <w:lang w:val="en-US"/>
        </w:rPr>
        <w:t>, </w:t>
      </w:r>
      <w:r w:rsidRPr="00F37A7C">
        <w:rPr>
          <w:rFonts w:asciiTheme="minorHAnsi" w:hAnsiTheme="minorHAnsi" w:cstheme="minorHAnsi"/>
          <w:i/>
          <w:iCs/>
          <w:shd w:val="clear" w:color="auto" w:fill="FFFFFF"/>
          <w:lang w:val="en-US"/>
        </w:rPr>
        <w:t>129</w:t>
      </w:r>
      <w:r w:rsidRPr="00F37A7C">
        <w:rPr>
          <w:rFonts w:asciiTheme="minorHAnsi" w:hAnsiTheme="minorHAnsi" w:cstheme="minorHAnsi"/>
          <w:shd w:val="clear" w:color="auto" w:fill="FFFFFF"/>
          <w:lang w:val="en-US"/>
        </w:rPr>
        <w:t>, 153-162.</w:t>
      </w:r>
    </w:p>
    <w:p w:rsidR="003C410F" w:rsidRPr="005A464E" w:rsidRDefault="003C410F" w:rsidP="005A464E">
      <w:pPr>
        <w:pStyle w:val="Web"/>
        <w:spacing w:after="180" w:line="360" w:lineRule="auto"/>
        <w:ind w:left="450" w:hanging="450"/>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Vázquez, I., Valderrábano, F., Fort, J., Jofré, R., López-Gómez, J.M., Moreno, F.,</w:t>
      </w:r>
      <w:r w:rsidR="009F1821" w:rsidRPr="005A464E">
        <w:rPr>
          <w:rFonts w:asciiTheme="minorHAnsi" w:eastAsia="Times New Roman" w:hAnsiTheme="minorHAnsi" w:cstheme="minorHAnsi"/>
          <w:lang w:val="en-US" w:eastAsia="el-GR"/>
        </w:rPr>
        <w:t xml:space="preserve"> &amp;</w:t>
      </w:r>
      <w:r w:rsidRPr="005A464E">
        <w:rPr>
          <w:rFonts w:asciiTheme="minorHAnsi" w:eastAsia="Times New Roman" w:hAnsiTheme="minorHAnsi" w:cstheme="minorHAnsi"/>
          <w:lang w:val="en-US" w:eastAsia="el-GR"/>
        </w:rPr>
        <w:t xml:space="preserve"> Sanz-Guajardo, D; Spanish Cooperative Renal Patients Quality of Life Study Group.(2005). Psychosocial factors and health-related quality of life in hemodialysis patients. </w:t>
      </w:r>
      <w:r w:rsidRPr="005A464E">
        <w:rPr>
          <w:rFonts w:asciiTheme="minorHAnsi" w:eastAsia="Times New Roman" w:hAnsiTheme="minorHAnsi" w:cstheme="minorHAnsi"/>
          <w:i/>
          <w:lang w:val="en-US" w:eastAsia="el-GR"/>
        </w:rPr>
        <w:t>Quality of Life Research,</w:t>
      </w:r>
      <w:r w:rsidR="00065443">
        <w:rPr>
          <w:rFonts w:asciiTheme="minorHAnsi" w:eastAsia="Times New Roman" w:hAnsiTheme="minorHAnsi" w:cstheme="minorHAnsi"/>
          <w:lang w:val="en-US" w:eastAsia="el-GR"/>
        </w:rPr>
        <w:t xml:space="preserve"> </w:t>
      </w:r>
      <w:r w:rsidR="00065443" w:rsidRPr="00065443">
        <w:rPr>
          <w:rFonts w:asciiTheme="minorHAnsi" w:eastAsia="Times New Roman" w:hAnsiTheme="minorHAnsi" w:cstheme="minorHAnsi"/>
          <w:i/>
          <w:lang w:val="en-US" w:eastAsia="el-GR"/>
        </w:rPr>
        <w:t>14</w:t>
      </w:r>
      <w:r w:rsidRPr="00065443">
        <w:rPr>
          <w:rFonts w:asciiTheme="minorHAnsi" w:eastAsia="Times New Roman" w:hAnsiTheme="minorHAnsi" w:cstheme="minorHAnsi"/>
          <w:i/>
          <w:lang w:val="en-US" w:eastAsia="el-GR"/>
        </w:rPr>
        <w:t>,</w:t>
      </w:r>
      <w:r w:rsidR="0078495A">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179-190.</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Veenhoven, R. (2000). The four qualities of life: Ordering concepts and measures of the good life. </w:t>
      </w:r>
      <w:r w:rsidRPr="005A464E">
        <w:rPr>
          <w:rFonts w:asciiTheme="minorHAnsi" w:hAnsiTheme="minorHAnsi" w:cstheme="minorHAnsi"/>
          <w:i/>
          <w:iCs/>
          <w:lang w:val="en-US"/>
        </w:rPr>
        <w:t>Journal of Happiness Studies,</w:t>
      </w:r>
      <w:r w:rsidRPr="005A464E">
        <w:rPr>
          <w:rFonts w:asciiTheme="minorHAnsi" w:hAnsiTheme="minorHAnsi" w:cstheme="minorHAnsi"/>
          <w:iCs/>
          <w:lang w:val="en-US"/>
        </w:rPr>
        <w:t xml:space="preserve"> 1</w:t>
      </w:r>
      <w:r w:rsidRPr="005A464E">
        <w:rPr>
          <w:rFonts w:asciiTheme="minorHAnsi" w:hAnsiTheme="minorHAnsi" w:cstheme="minorHAnsi"/>
          <w:lang w:val="en-US"/>
        </w:rPr>
        <w:t>(3), 1-39.</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Veivia, A.,</w:t>
      </w:r>
      <w:r w:rsidR="00D75F89">
        <w:rPr>
          <w:rFonts w:asciiTheme="minorHAnsi" w:hAnsiTheme="minorHAnsi" w:cstheme="minorHAnsi"/>
          <w:lang w:val="en-US"/>
        </w:rPr>
        <w:t xml:space="preserve"> Bailie, G., &amp; Eisele, G. (1995</w:t>
      </w:r>
      <w:r w:rsidRPr="005A464E">
        <w:rPr>
          <w:rFonts w:asciiTheme="minorHAnsi" w:hAnsiTheme="minorHAnsi" w:cstheme="minorHAnsi"/>
          <w:lang w:val="en-US"/>
        </w:rPr>
        <w:t xml:space="preserve">). Hemodialysis patients’ knowledge about erythropoietin and iron therapy. </w:t>
      </w:r>
      <w:r w:rsidRPr="005A464E">
        <w:rPr>
          <w:rFonts w:asciiTheme="minorHAnsi" w:hAnsiTheme="minorHAnsi" w:cstheme="minorHAnsi"/>
          <w:i/>
          <w:lang w:val="en-US"/>
        </w:rPr>
        <w:t>Dialysis and Transplantation</w:t>
      </w:r>
      <w:r w:rsidR="00065443">
        <w:rPr>
          <w:rFonts w:asciiTheme="minorHAnsi" w:hAnsiTheme="minorHAnsi" w:cstheme="minorHAnsi"/>
          <w:lang w:val="en-US"/>
        </w:rPr>
        <w:t xml:space="preserve">, </w:t>
      </w:r>
      <w:r w:rsidR="00065443" w:rsidRPr="00065443">
        <w:rPr>
          <w:rFonts w:asciiTheme="minorHAnsi" w:hAnsiTheme="minorHAnsi" w:cstheme="minorHAnsi"/>
          <w:i/>
          <w:lang w:val="en-US"/>
        </w:rPr>
        <w:t>24</w:t>
      </w:r>
      <w:r w:rsidRPr="00065443">
        <w:rPr>
          <w:rFonts w:asciiTheme="minorHAnsi" w:hAnsiTheme="minorHAnsi" w:cstheme="minorHAnsi"/>
          <w:i/>
          <w:lang w:val="en-US"/>
        </w:rPr>
        <w:t>,</w:t>
      </w:r>
      <w:r w:rsidR="00542B43">
        <w:rPr>
          <w:rFonts w:asciiTheme="minorHAnsi" w:hAnsiTheme="minorHAnsi" w:cstheme="minorHAnsi"/>
          <w:lang w:val="en-US"/>
        </w:rPr>
        <w:t xml:space="preserve"> 21-</w:t>
      </w:r>
      <w:r w:rsidRPr="005A464E">
        <w:rPr>
          <w:rFonts w:asciiTheme="minorHAnsi" w:hAnsiTheme="minorHAnsi" w:cstheme="minorHAnsi"/>
          <w:lang w:val="en-US"/>
        </w:rPr>
        <w:t>30.</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Vermeire, E., Hearnshaw, H., Van Royen, P., Denekens, J. (2001). Patient adherence to treatment: three decades of research. A comprehensive review. </w:t>
      </w:r>
      <w:r w:rsidRPr="005A464E">
        <w:rPr>
          <w:rFonts w:asciiTheme="minorHAnsi" w:hAnsiTheme="minorHAnsi" w:cstheme="minorHAnsi"/>
          <w:i/>
          <w:lang w:val="en-US"/>
        </w:rPr>
        <w:t>Journal of Clinical Pharmacy and Therapeutics</w:t>
      </w:r>
      <w:r w:rsidRPr="00065443">
        <w:rPr>
          <w:rFonts w:asciiTheme="minorHAnsi" w:hAnsiTheme="minorHAnsi" w:cstheme="minorHAnsi"/>
          <w:lang w:val="en-US"/>
        </w:rPr>
        <w:t>,</w:t>
      </w:r>
      <w:r w:rsidR="00065443">
        <w:rPr>
          <w:rFonts w:asciiTheme="minorHAnsi" w:hAnsiTheme="minorHAnsi" w:cstheme="minorHAnsi"/>
          <w:lang w:val="en-US"/>
        </w:rPr>
        <w:t xml:space="preserve"> </w:t>
      </w:r>
      <w:r w:rsidR="00065443" w:rsidRPr="00065443">
        <w:rPr>
          <w:rFonts w:asciiTheme="minorHAnsi" w:hAnsiTheme="minorHAnsi" w:cstheme="minorHAnsi"/>
          <w:i/>
          <w:lang w:val="en-US"/>
        </w:rPr>
        <w:t>26</w:t>
      </w:r>
      <w:r w:rsidRPr="00065443">
        <w:rPr>
          <w:rFonts w:asciiTheme="minorHAnsi" w:hAnsiTheme="minorHAnsi" w:cstheme="minorHAnsi"/>
          <w:lang w:val="en-US"/>
        </w:rPr>
        <w:t>,</w:t>
      </w:r>
      <w:r w:rsidRPr="005A464E">
        <w:rPr>
          <w:rFonts w:asciiTheme="minorHAnsi" w:hAnsiTheme="minorHAnsi" w:cstheme="minorHAnsi"/>
          <w:lang w:val="en-US"/>
        </w:rPr>
        <w:t xml:space="preserve"> 331-342.</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Vik, S.A., Maxwell, C.J., &amp; Hogan, D.B. (2004). Measurement, correlates, and health outcomes of medication adherence among seniors.</w:t>
      </w:r>
      <w:r w:rsidR="0078495A">
        <w:rPr>
          <w:rFonts w:asciiTheme="minorHAnsi" w:hAnsiTheme="minorHAnsi" w:cstheme="minorHAnsi"/>
          <w:lang w:val="en-US"/>
        </w:rPr>
        <w:t xml:space="preserve"> </w:t>
      </w:r>
      <w:r w:rsidRPr="005A464E">
        <w:rPr>
          <w:rFonts w:asciiTheme="minorHAnsi" w:hAnsiTheme="minorHAnsi" w:cstheme="minorHAnsi"/>
          <w:i/>
          <w:lang w:val="en-US"/>
        </w:rPr>
        <w:t>Annals of Pharmacotherapy</w:t>
      </w:r>
      <w:r w:rsidR="00065443">
        <w:rPr>
          <w:rFonts w:asciiTheme="minorHAnsi" w:hAnsiTheme="minorHAnsi" w:cstheme="minorHAnsi"/>
          <w:lang w:val="en-US"/>
        </w:rPr>
        <w:t xml:space="preserve">, </w:t>
      </w:r>
      <w:r w:rsidR="00065443" w:rsidRPr="00065443">
        <w:rPr>
          <w:rFonts w:asciiTheme="minorHAnsi" w:hAnsiTheme="minorHAnsi" w:cstheme="minorHAnsi"/>
          <w:i/>
          <w:lang w:val="en-US"/>
        </w:rPr>
        <w:t>38</w:t>
      </w:r>
      <w:r w:rsidRPr="005A464E">
        <w:rPr>
          <w:rFonts w:asciiTheme="minorHAnsi" w:hAnsiTheme="minorHAnsi" w:cstheme="minorHAnsi"/>
          <w:lang w:val="en-US"/>
        </w:rPr>
        <w:t>, 303–312.</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Vivian, B.G. (1996). Reconceptualizing compliance in home health care</w:t>
      </w:r>
      <w:r w:rsidRPr="005A464E">
        <w:rPr>
          <w:rFonts w:asciiTheme="minorHAnsi" w:hAnsiTheme="minorHAnsi" w:cstheme="minorHAnsi"/>
          <w:i/>
          <w:lang w:val="en-US"/>
        </w:rPr>
        <w:t>. Nursing Forum,</w:t>
      </w:r>
      <w:r w:rsidR="00065443">
        <w:rPr>
          <w:rFonts w:asciiTheme="minorHAnsi" w:hAnsiTheme="minorHAnsi" w:cstheme="minorHAnsi"/>
          <w:lang w:val="en-US"/>
        </w:rPr>
        <w:t xml:space="preserve"> </w:t>
      </w:r>
      <w:r w:rsidR="00065443" w:rsidRPr="00065443">
        <w:rPr>
          <w:rFonts w:asciiTheme="minorHAnsi" w:hAnsiTheme="minorHAnsi" w:cstheme="minorHAnsi"/>
          <w:i/>
          <w:lang w:val="en-US"/>
        </w:rPr>
        <w:t>31</w:t>
      </w:r>
      <w:r w:rsidRPr="005A464E">
        <w:rPr>
          <w:rFonts w:asciiTheme="minorHAnsi" w:hAnsiTheme="minorHAnsi" w:cstheme="minorHAnsi"/>
          <w:lang w:val="en-US"/>
        </w:rPr>
        <w:t>,</w:t>
      </w:r>
      <w:r w:rsidR="00542B43">
        <w:rPr>
          <w:rFonts w:asciiTheme="minorHAnsi" w:hAnsiTheme="minorHAnsi" w:cstheme="minorHAnsi"/>
          <w:lang w:val="en-US"/>
        </w:rPr>
        <w:t xml:space="preserve"> </w:t>
      </w:r>
      <w:r w:rsidRPr="005A464E">
        <w:rPr>
          <w:rFonts w:asciiTheme="minorHAnsi" w:hAnsiTheme="minorHAnsi" w:cstheme="minorHAnsi"/>
          <w:lang w:val="en-US"/>
        </w:rPr>
        <w:t>513.</w:t>
      </w:r>
    </w:p>
    <w:p w:rsidR="003C410F" w:rsidRPr="005A464E" w:rsidRDefault="003C410F" w:rsidP="005A464E">
      <w:pPr>
        <w:pStyle w:val="Web"/>
        <w:spacing w:after="180" w:line="360" w:lineRule="auto"/>
        <w:ind w:left="450" w:hanging="450"/>
        <w:jc w:val="both"/>
        <w:rPr>
          <w:rStyle w:val="citation"/>
          <w:rFonts w:asciiTheme="minorHAnsi" w:hAnsiTheme="minorHAnsi" w:cstheme="minorHAnsi"/>
          <w:lang w:val="en-US"/>
        </w:rPr>
      </w:pPr>
      <w:r w:rsidRPr="005A464E">
        <w:rPr>
          <w:rStyle w:val="citation"/>
          <w:rFonts w:asciiTheme="minorHAnsi" w:hAnsiTheme="minorHAnsi" w:cstheme="minorHAnsi"/>
          <w:lang w:val="en-US"/>
        </w:rPr>
        <w:t>Vlaminck</w:t>
      </w:r>
      <w:r w:rsidR="0076403B" w:rsidRPr="005A464E">
        <w:rPr>
          <w:rStyle w:val="citation"/>
          <w:rFonts w:asciiTheme="minorHAnsi" w:hAnsiTheme="minorHAnsi" w:cstheme="minorHAnsi"/>
          <w:lang w:val="en-US"/>
        </w:rPr>
        <w:t>,</w:t>
      </w:r>
      <w:r w:rsidRPr="005A464E">
        <w:rPr>
          <w:rStyle w:val="citation"/>
          <w:rFonts w:asciiTheme="minorHAnsi" w:hAnsiTheme="minorHAnsi" w:cstheme="minorHAnsi"/>
          <w:lang w:val="en-US"/>
        </w:rPr>
        <w:t xml:space="preserve"> H</w:t>
      </w:r>
      <w:r w:rsidR="0076403B" w:rsidRPr="005A464E">
        <w:rPr>
          <w:rStyle w:val="citation"/>
          <w:rFonts w:asciiTheme="minorHAnsi" w:hAnsiTheme="minorHAnsi" w:cstheme="minorHAnsi"/>
          <w:lang w:val="en-US"/>
        </w:rPr>
        <w:t>.</w:t>
      </w:r>
      <w:r w:rsidRPr="005A464E">
        <w:rPr>
          <w:rStyle w:val="citation"/>
          <w:rFonts w:asciiTheme="minorHAnsi" w:hAnsiTheme="minorHAnsi" w:cstheme="minorHAnsi"/>
          <w:lang w:val="en-US"/>
        </w:rPr>
        <w:t>, Maes</w:t>
      </w:r>
      <w:r w:rsidR="0076403B" w:rsidRPr="005A464E">
        <w:rPr>
          <w:rStyle w:val="citation"/>
          <w:rFonts w:asciiTheme="minorHAnsi" w:hAnsiTheme="minorHAnsi" w:cstheme="minorHAnsi"/>
          <w:lang w:val="en-US"/>
        </w:rPr>
        <w:t>,</w:t>
      </w:r>
      <w:r w:rsidRPr="005A464E">
        <w:rPr>
          <w:rStyle w:val="citation"/>
          <w:rFonts w:asciiTheme="minorHAnsi" w:hAnsiTheme="minorHAnsi" w:cstheme="minorHAnsi"/>
          <w:lang w:val="en-US"/>
        </w:rPr>
        <w:t xml:space="preserve"> B</w:t>
      </w:r>
      <w:r w:rsidR="0076403B" w:rsidRPr="005A464E">
        <w:rPr>
          <w:rStyle w:val="citation"/>
          <w:rFonts w:asciiTheme="minorHAnsi" w:hAnsiTheme="minorHAnsi" w:cstheme="minorHAnsi"/>
          <w:lang w:val="en-US"/>
        </w:rPr>
        <w:t>.</w:t>
      </w:r>
      <w:r w:rsidRPr="005A464E">
        <w:rPr>
          <w:rStyle w:val="citation"/>
          <w:rFonts w:asciiTheme="minorHAnsi" w:hAnsiTheme="minorHAnsi" w:cstheme="minorHAnsi"/>
          <w:lang w:val="en-US"/>
        </w:rPr>
        <w:t>, Jacobs</w:t>
      </w:r>
      <w:r w:rsidR="0076403B" w:rsidRPr="005A464E">
        <w:rPr>
          <w:rStyle w:val="citation"/>
          <w:rFonts w:asciiTheme="minorHAnsi" w:hAnsiTheme="minorHAnsi" w:cstheme="minorHAnsi"/>
          <w:lang w:val="en-US"/>
        </w:rPr>
        <w:t>,</w:t>
      </w:r>
      <w:r w:rsidRPr="005A464E">
        <w:rPr>
          <w:rStyle w:val="citation"/>
          <w:rFonts w:asciiTheme="minorHAnsi" w:hAnsiTheme="minorHAnsi" w:cstheme="minorHAnsi"/>
          <w:lang w:val="en-US"/>
        </w:rPr>
        <w:t xml:space="preserve"> A</w:t>
      </w:r>
      <w:r w:rsidR="0076403B" w:rsidRPr="005A464E">
        <w:rPr>
          <w:rStyle w:val="citation"/>
          <w:rFonts w:asciiTheme="minorHAnsi" w:hAnsiTheme="minorHAnsi" w:cstheme="minorHAnsi"/>
          <w:lang w:val="en-US"/>
        </w:rPr>
        <w:t>.</w:t>
      </w:r>
      <w:r w:rsidRPr="005A464E">
        <w:rPr>
          <w:rStyle w:val="citation"/>
          <w:rFonts w:asciiTheme="minorHAnsi" w:hAnsiTheme="minorHAnsi" w:cstheme="minorHAnsi"/>
          <w:lang w:val="en-US"/>
        </w:rPr>
        <w:t>, Reyntjen</w:t>
      </w:r>
      <w:r w:rsidR="0076403B" w:rsidRPr="005A464E">
        <w:rPr>
          <w:rStyle w:val="citation"/>
          <w:rFonts w:asciiTheme="minorHAnsi" w:hAnsiTheme="minorHAnsi" w:cstheme="minorHAnsi"/>
          <w:lang w:val="en-US"/>
        </w:rPr>
        <w:t>,</w:t>
      </w:r>
      <w:r w:rsidRPr="005A464E">
        <w:rPr>
          <w:rStyle w:val="citation"/>
          <w:rFonts w:asciiTheme="minorHAnsi" w:hAnsiTheme="minorHAnsi" w:cstheme="minorHAnsi"/>
          <w:lang w:val="en-US"/>
        </w:rPr>
        <w:t xml:space="preserve"> S</w:t>
      </w:r>
      <w:r w:rsidR="0076403B" w:rsidRPr="005A464E">
        <w:rPr>
          <w:rStyle w:val="citation"/>
          <w:rFonts w:asciiTheme="minorHAnsi" w:hAnsiTheme="minorHAnsi" w:cstheme="minorHAnsi"/>
          <w:lang w:val="en-US"/>
        </w:rPr>
        <w:t>.</w:t>
      </w:r>
      <w:r w:rsidRPr="005A464E">
        <w:rPr>
          <w:rStyle w:val="citation"/>
          <w:rFonts w:asciiTheme="minorHAnsi" w:hAnsiTheme="minorHAnsi" w:cstheme="minorHAnsi"/>
          <w:lang w:val="en-US"/>
        </w:rPr>
        <w:t>, Evers</w:t>
      </w:r>
      <w:r w:rsidR="0076403B" w:rsidRPr="005A464E">
        <w:rPr>
          <w:rStyle w:val="citation"/>
          <w:rFonts w:asciiTheme="minorHAnsi" w:hAnsiTheme="minorHAnsi" w:cstheme="minorHAnsi"/>
          <w:lang w:val="en-US"/>
        </w:rPr>
        <w:t>,</w:t>
      </w:r>
      <w:r w:rsidRPr="005A464E">
        <w:rPr>
          <w:rStyle w:val="citation"/>
          <w:rFonts w:asciiTheme="minorHAnsi" w:hAnsiTheme="minorHAnsi" w:cstheme="minorHAnsi"/>
          <w:lang w:val="en-US"/>
        </w:rPr>
        <w:t xml:space="preserve"> G.</w:t>
      </w:r>
      <w:r w:rsidR="0076403B" w:rsidRPr="005A464E">
        <w:rPr>
          <w:rStyle w:val="citation"/>
          <w:rFonts w:asciiTheme="minorHAnsi" w:hAnsiTheme="minorHAnsi" w:cstheme="minorHAnsi"/>
          <w:lang w:val="en-US"/>
        </w:rPr>
        <w:t xml:space="preserve"> (2001).</w:t>
      </w:r>
      <w:r w:rsidRPr="005A464E">
        <w:rPr>
          <w:rStyle w:val="citation"/>
          <w:rFonts w:asciiTheme="minorHAnsi" w:hAnsiTheme="minorHAnsi" w:cstheme="minorHAnsi"/>
          <w:lang w:val="en-US"/>
        </w:rPr>
        <w:t xml:space="preserve"> The Dialysis Diet and Fluid Non-adherence Questionnaire: Validity testing of a self-report instrument for clinical practice</w:t>
      </w:r>
      <w:r w:rsidRPr="005A464E">
        <w:rPr>
          <w:rStyle w:val="citation"/>
          <w:rFonts w:asciiTheme="minorHAnsi" w:hAnsiTheme="minorHAnsi" w:cstheme="minorHAnsi"/>
          <w:i/>
          <w:lang w:val="en-US"/>
        </w:rPr>
        <w:t xml:space="preserve">. </w:t>
      </w:r>
      <w:r w:rsidRPr="005A464E">
        <w:rPr>
          <w:rStyle w:val="ref-journal"/>
          <w:rFonts w:asciiTheme="minorHAnsi" w:hAnsiTheme="minorHAnsi" w:cstheme="minorHAnsi"/>
          <w:i/>
          <w:lang w:val="en-US"/>
        </w:rPr>
        <w:t>Journal of Clinical Nursing</w:t>
      </w:r>
      <w:r w:rsidR="0076403B" w:rsidRPr="005A464E">
        <w:rPr>
          <w:rStyle w:val="ref-journal"/>
          <w:rFonts w:asciiTheme="minorHAnsi" w:hAnsiTheme="minorHAnsi" w:cstheme="minorHAnsi"/>
          <w:lang w:val="en-US"/>
        </w:rPr>
        <w:t>,</w:t>
      </w:r>
      <w:r w:rsidRPr="005A464E">
        <w:rPr>
          <w:rStyle w:val="ref-journal"/>
          <w:rFonts w:asciiTheme="minorHAnsi" w:hAnsiTheme="minorHAnsi" w:cstheme="minorHAnsi"/>
          <w:lang w:val="en-US"/>
        </w:rPr>
        <w:t xml:space="preserve"> </w:t>
      </w:r>
      <w:r w:rsidRPr="00065443">
        <w:rPr>
          <w:rStyle w:val="ref-vol"/>
          <w:rFonts w:asciiTheme="minorHAnsi" w:hAnsiTheme="minorHAnsi" w:cstheme="minorHAnsi"/>
          <w:i/>
          <w:lang w:val="en-US"/>
        </w:rPr>
        <w:t>10</w:t>
      </w:r>
      <w:r w:rsidR="0076403B" w:rsidRPr="005A464E">
        <w:rPr>
          <w:rStyle w:val="citation"/>
          <w:rFonts w:asciiTheme="minorHAnsi" w:hAnsiTheme="minorHAnsi" w:cstheme="minorHAnsi"/>
          <w:lang w:val="en-US"/>
        </w:rPr>
        <w:t>,</w:t>
      </w:r>
      <w:r w:rsidRPr="005A464E">
        <w:rPr>
          <w:rStyle w:val="citation"/>
          <w:rFonts w:asciiTheme="minorHAnsi" w:hAnsiTheme="minorHAnsi" w:cstheme="minorHAnsi"/>
          <w:lang w:val="en-US"/>
        </w:rPr>
        <w:t>707–715</w:t>
      </w:r>
      <w:r w:rsidR="009F1821" w:rsidRPr="005A464E">
        <w:rPr>
          <w:rStyle w:val="citation"/>
          <w:rFonts w:asciiTheme="minorHAnsi" w:hAnsiTheme="minorHAnsi" w:cstheme="minorHAnsi"/>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Vogel, B.A., Helmes, A.W., &amp; Hasenburg, A. (2008). Concordance between patients' desired and actual decision-making roles in breast cancer care. </w:t>
      </w:r>
      <w:r w:rsidRPr="005A464E">
        <w:rPr>
          <w:rFonts w:asciiTheme="minorHAnsi" w:hAnsiTheme="minorHAnsi" w:cstheme="minorHAnsi"/>
          <w:i/>
          <w:lang w:val="en-US"/>
        </w:rPr>
        <w:t>Psychooncology,</w:t>
      </w:r>
      <w:r w:rsidR="00065443">
        <w:rPr>
          <w:rFonts w:asciiTheme="minorHAnsi" w:hAnsiTheme="minorHAnsi" w:cstheme="minorHAnsi"/>
          <w:lang w:val="en-US"/>
        </w:rPr>
        <w:t xml:space="preserve"> </w:t>
      </w:r>
      <w:r w:rsidR="00065443" w:rsidRPr="00065443">
        <w:rPr>
          <w:rFonts w:asciiTheme="minorHAnsi" w:hAnsiTheme="minorHAnsi" w:cstheme="minorHAnsi"/>
          <w:i/>
          <w:lang w:val="en-US"/>
        </w:rPr>
        <w:t>17</w:t>
      </w:r>
      <w:r w:rsidRPr="005A464E">
        <w:rPr>
          <w:rFonts w:asciiTheme="minorHAnsi" w:hAnsiTheme="minorHAnsi" w:cstheme="minorHAnsi"/>
          <w:lang w:val="en-US"/>
        </w:rPr>
        <w:t>,182-189.</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Von Roenn, J.H. (2013). Listening to the voice of patients. </w:t>
      </w:r>
      <w:r w:rsidRPr="005A464E">
        <w:rPr>
          <w:rFonts w:asciiTheme="minorHAnsi" w:hAnsiTheme="minorHAnsi" w:cstheme="minorHAnsi"/>
          <w:i/>
          <w:lang w:val="en-US"/>
        </w:rPr>
        <w:t>The Journal of</w:t>
      </w:r>
      <w:r w:rsidR="0078495A">
        <w:rPr>
          <w:rFonts w:asciiTheme="minorHAnsi" w:hAnsiTheme="minorHAnsi" w:cstheme="minorHAnsi"/>
          <w:i/>
          <w:lang w:val="en-US"/>
        </w:rPr>
        <w:t xml:space="preserve"> </w:t>
      </w:r>
      <w:r w:rsidRPr="005A464E">
        <w:rPr>
          <w:rFonts w:asciiTheme="minorHAnsi" w:hAnsiTheme="minorHAnsi" w:cstheme="minorHAnsi"/>
          <w:i/>
          <w:lang w:val="en-US"/>
        </w:rPr>
        <w:t>Supportive Oncology,</w:t>
      </w:r>
      <w:r w:rsidR="0078495A">
        <w:rPr>
          <w:rFonts w:asciiTheme="minorHAnsi" w:hAnsiTheme="minorHAnsi" w:cstheme="minorHAnsi"/>
          <w:i/>
          <w:lang w:val="en-US"/>
        </w:rPr>
        <w:t xml:space="preserve"> </w:t>
      </w:r>
      <w:r w:rsidR="00065443" w:rsidRPr="00065443">
        <w:rPr>
          <w:rFonts w:asciiTheme="minorHAnsi" w:hAnsiTheme="minorHAnsi" w:cstheme="minorHAnsi"/>
          <w:i/>
          <w:lang w:val="en-US"/>
        </w:rPr>
        <w:t>11</w:t>
      </w:r>
      <w:r w:rsidRPr="005A464E">
        <w:rPr>
          <w:rFonts w:asciiTheme="minorHAnsi" w:hAnsiTheme="minorHAnsi" w:cstheme="minorHAnsi"/>
          <w:lang w:val="en-US"/>
        </w:rPr>
        <w:t>, 199.</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Wagner, J.H., Justice, A.C., Chesney, M., Sinclair, G., Weissman, S., &amp; Rodriguez-Barradas, M. (2001).</w:t>
      </w:r>
      <w:r w:rsidR="0078495A">
        <w:rPr>
          <w:rFonts w:asciiTheme="minorHAnsi" w:hAnsiTheme="minorHAnsi" w:cstheme="minorHAnsi"/>
          <w:lang w:val="en-US"/>
        </w:rPr>
        <w:t xml:space="preserve"> </w:t>
      </w:r>
      <w:r w:rsidRPr="005A464E">
        <w:rPr>
          <w:rFonts w:asciiTheme="minorHAnsi" w:hAnsiTheme="minorHAnsi" w:cstheme="minorHAnsi"/>
          <w:lang w:val="en-US"/>
        </w:rPr>
        <w:t xml:space="preserve">VACS 3 Project Team. Patient- and provider-reported adherence: toward a clinically useful approach to measuring antiretroviral adherence. </w:t>
      </w:r>
      <w:r w:rsidRPr="005A464E">
        <w:rPr>
          <w:rFonts w:asciiTheme="minorHAnsi" w:hAnsiTheme="minorHAnsi" w:cstheme="minorHAnsi"/>
          <w:i/>
          <w:lang w:val="en-US"/>
        </w:rPr>
        <w:t>Journal of Clinical Epidemiology</w:t>
      </w:r>
      <w:r w:rsidR="00065443">
        <w:rPr>
          <w:rFonts w:asciiTheme="minorHAnsi" w:hAnsiTheme="minorHAnsi" w:cstheme="minorHAnsi"/>
          <w:lang w:val="en-US"/>
        </w:rPr>
        <w:t xml:space="preserve">, 54, </w:t>
      </w:r>
      <w:r w:rsidRPr="005A464E">
        <w:rPr>
          <w:rFonts w:asciiTheme="minorHAnsi" w:hAnsiTheme="minorHAnsi" w:cstheme="minorHAnsi"/>
          <w:lang w:val="en-US"/>
        </w:rPr>
        <w:t>S91-</w:t>
      </w:r>
      <w:r w:rsidR="00065443">
        <w:rPr>
          <w:rFonts w:asciiTheme="minorHAnsi" w:hAnsiTheme="minorHAnsi" w:cstheme="minorHAnsi"/>
          <w:lang w:val="en-US"/>
        </w:rPr>
        <w:t>9</w:t>
      </w:r>
      <w:r w:rsidRPr="005A464E">
        <w:rPr>
          <w:rFonts w:asciiTheme="minorHAnsi" w:hAnsiTheme="minorHAnsi" w:cstheme="minorHAnsi"/>
          <w:lang w:val="en-US"/>
        </w:rPr>
        <w:t>8</w:t>
      </w:r>
      <w:r w:rsidR="009F1821" w:rsidRPr="005A464E">
        <w:rPr>
          <w:rFonts w:asciiTheme="minorHAnsi" w:hAnsiTheme="minorHAnsi" w:cstheme="minorHAnsi"/>
          <w:lang w:val="en-US"/>
        </w:rPr>
        <w:t>.</w:t>
      </w:r>
    </w:p>
    <w:p w:rsidR="003C410F"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Ware, J.E., &amp; Sherbourne, C.D. (1992). The MOS 36-item short-form health survey (SF-36). </w:t>
      </w:r>
      <w:r w:rsidRPr="005A464E">
        <w:rPr>
          <w:rFonts w:asciiTheme="minorHAnsi" w:hAnsiTheme="minorHAnsi" w:cstheme="minorHAnsi"/>
          <w:i/>
          <w:lang w:val="en-US"/>
        </w:rPr>
        <w:t>Medical Care,</w:t>
      </w:r>
      <w:r w:rsidR="0078495A">
        <w:rPr>
          <w:rFonts w:asciiTheme="minorHAnsi" w:hAnsiTheme="minorHAnsi" w:cstheme="minorHAnsi"/>
          <w:lang w:val="en-US"/>
        </w:rPr>
        <w:t xml:space="preserve"> </w:t>
      </w:r>
      <w:r w:rsidRPr="00065443">
        <w:rPr>
          <w:rFonts w:asciiTheme="minorHAnsi" w:hAnsiTheme="minorHAnsi" w:cstheme="minorHAnsi"/>
          <w:i/>
          <w:lang w:val="en-US"/>
        </w:rPr>
        <w:t>30,</w:t>
      </w:r>
      <w:r w:rsidRPr="005A464E">
        <w:rPr>
          <w:rFonts w:asciiTheme="minorHAnsi" w:hAnsiTheme="minorHAnsi" w:cstheme="minorHAnsi"/>
          <w:lang w:val="en-US"/>
        </w:rPr>
        <w:t xml:space="preserve"> 473–483</w:t>
      </w:r>
      <w:r w:rsidR="009F1821" w:rsidRPr="005A464E">
        <w:rPr>
          <w:rFonts w:asciiTheme="minorHAnsi" w:hAnsiTheme="minorHAnsi" w:cstheme="minorHAnsi"/>
          <w:lang w:val="en-US"/>
        </w:rPr>
        <w:t>.</w:t>
      </w:r>
    </w:p>
    <w:p w:rsidR="00FF4D74" w:rsidRPr="00245DE9" w:rsidRDefault="00FF4D74" w:rsidP="005A464E">
      <w:pPr>
        <w:pStyle w:val="Web"/>
        <w:spacing w:after="180" w:line="360" w:lineRule="auto"/>
        <w:ind w:left="450" w:hanging="450"/>
        <w:jc w:val="both"/>
        <w:rPr>
          <w:rFonts w:asciiTheme="minorHAnsi" w:hAnsiTheme="minorHAnsi" w:cstheme="minorHAnsi"/>
          <w:lang w:val="en-US"/>
        </w:rPr>
      </w:pPr>
      <w:r w:rsidRPr="00245DE9">
        <w:rPr>
          <w:rFonts w:asciiTheme="minorHAnsi" w:hAnsiTheme="minorHAnsi" w:cstheme="minorHAnsi"/>
          <w:shd w:val="clear" w:color="auto" w:fill="FFFFFF"/>
          <w:lang w:val="en-US"/>
        </w:rPr>
        <w:t>Weaver, V.M., Fadrowski, J.J., &amp; Jaar, B. G. (2015). Global dimensions of chronic kidney disease of unknown etiology (CKDu): a modern era environmental and/or occupational nephropathy? </w:t>
      </w:r>
      <w:r w:rsidRPr="00245DE9">
        <w:rPr>
          <w:rFonts w:asciiTheme="minorHAnsi" w:hAnsiTheme="minorHAnsi" w:cstheme="minorHAnsi"/>
          <w:i/>
          <w:iCs/>
          <w:shd w:val="clear" w:color="auto" w:fill="FFFFFF"/>
          <w:lang w:val="en-US"/>
        </w:rPr>
        <w:t>BMC Nephrology</w:t>
      </w:r>
      <w:r w:rsidRPr="00245DE9">
        <w:rPr>
          <w:rFonts w:asciiTheme="minorHAnsi" w:hAnsiTheme="minorHAnsi" w:cstheme="minorHAnsi"/>
          <w:shd w:val="clear" w:color="auto" w:fill="FFFFFF"/>
          <w:lang w:val="en-US"/>
        </w:rPr>
        <w:t>, </w:t>
      </w:r>
      <w:r w:rsidRPr="00245DE9">
        <w:rPr>
          <w:rFonts w:asciiTheme="minorHAnsi" w:hAnsiTheme="minorHAnsi" w:cstheme="minorHAnsi"/>
          <w:i/>
          <w:iCs/>
          <w:shd w:val="clear" w:color="auto" w:fill="FFFFFF"/>
          <w:lang w:val="en-US"/>
        </w:rPr>
        <w:t>16</w:t>
      </w:r>
      <w:r w:rsidRPr="00245DE9">
        <w:rPr>
          <w:rFonts w:asciiTheme="minorHAnsi" w:hAnsiTheme="minorHAnsi" w:cstheme="minorHAnsi"/>
          <w:shd w:val="clear" w:color="auto" w:fill="FFFFFF"/>
          <w:lang w:val="en-US"/>
        </w:rPr>
        <w:t>, 145. http://doi.org/10.1186/s12882-015-0105-6</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Weiner, S., King, K., &amp; Chen, S.C. (2005). How to improve communication in dialysis units: a survey of family focus readers. </w:t>
      </w:r>
      <w:r w:rsidRPr="005A464E">
        <w:rPr>
          <w:rFonts w:asciiTheme="minorHAnsi" w:hAnsiTheme="minorHAnsi" w:cstheme="minorHAnsi"/>
          <w:i/>
          <w:lang w:val="en-US"/>
        </w:rPr>
        <w:t>Nephrology News Issues,</w:t>
      </w:r>
      <w:r w:rsidR="0078495A">
        <w:rPr>
          <w:rFonts w:asciiTheme="minorHAnsi" w:hAnsiTheme="minorHAnsi" w:cstheme="minorHAnsi"/>
          <w:lang w:val="en-US"/>
        </w:rPr>
        <w:t xml:space="preserve"> </w:t>
      </w:r>
      <w:r w:rsidR="00065443" w:rsidRPr="00065443">
        <w:rPr>
          <w:rFonts w:asciiTheme="minorHAnsi" w:hAnsiTheme="minorHAnsi" w:cstheme="minorHAnsi"/>
          <w:i/>
          <w:lang w:val="en-US"/>
        </w:rPr>
        <w:t>19</w:t>
      </w:r>
      <w:r w:rsidRPr="005A464E">
        <w:rPr>
          <w:rFonts w:asciiTheme="minorHAnsi" w:hAnsiTheme="minorHAnsi" w:cstheme="minorHAnsi"/>
          <w:lang w:val="en-US"/>
        </w:rPr>
        <w:t>, 65-68, 71.</w:t>
      </w:r>
    </w:p>
    <w:p w:rsidR="003C410F" w:rsidRPr="005A464E" w:rsidRDefault="003C410F" w:rsidP="005A464E">
      <w:pPr>
        <w:pStyle w:val="Web"/>
        <w:spacing w:after="180" w:line="360" w:lineRule="auto"/>
        <w:ind w:left="450" w:hanging="450"/>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Welch, J.L., &amp; Austin, J.K. (2001). Stressors, coping and depression in haemodialysis patients. </w:t>
      </w:r>
      <w:r w:rsidRPr="005A464E">
        <w:rPr>
          <w:rFonts w:asciiTheme="minorHAnsi" w:eastAsia="Times New Roman" w:hAnsiTheme="minorHAnsi" w:cstheme="minorHAnsi"/>
          <w:i/>
          <w:lang w:val="en-US" w:eastAsia="el-GR"/>
        </w:rPr>
        <w:t xml:space="preserve">Journal </w:t>
      </w:r>
      <w:r w:rsidR="0076403B" w:rsidRPr="005A464E">
        <w:rPr>
          <w:rFonts w:asciiTheme="minorHAnsi" w:eastAsia="Times New Roman" w:hAnsiTheme="minorHAnsi" w:cstheme="minorHAnsi"/>
          <w:i/>
          <w:lang w:val="en-US" w:eastAsia="el-GR"/>
        </w:rPr>
        <w:t xml:space="preserve">of </w:t>
      </w:r>
      <w:r w:rsidRPr="005A464E">
        <w:rPr>
          <w:rFonts w:asciiTheme="minorHAnsi" w:eastAsia="Times New Roman" w:hAnsiTheme="minorHAnsi" w:cstheme="minorHAnsi"/>
          <w:i/>
          <w:lang w:val="en-US" w:eastAsia="el-GR"/>
        </w:rPr>
        <w:t>Advanced Nursing,</w:t>
      </w:r>
      <w:r w:rsidR="00065443">
        <w:rPr>
          <w:rFonts w:asciiTheme="minorHAnsi" w:eastAsia="Times New Roman" w:hAnsiTheme="minorHAnsi" w:cstheme="minorHAnsi"/>
          <w:lang w:val="en-US" w:eastAsia="el-GR"/>
        </w:rPr>
        <w:t xml:space="preserve"> </w:t>
      </w:r>
      <w:r w:rsidR="00065443" w:rsidRPr="00065443">
        <w:rPr>
          <w:rFonts w:asciiTheme="minorHAnsi" w:eastAsia="Times New Roman" w:hAnsiTheme="minorHAnsi" w:cstheme="minorHAnsi"/>
          <w:i/>
          <w:lang w:val="en-US" w:eastAsia="el-GR"/>
        </w:rPr>
        <w:t>33</w:t>
      </w:r>
      <w:r w:rsidR="00065443">
        <w:rPr>
          <w:rFonts w:asciiTheme="minorHAnsi" w:eastAsia="Times New Roman" w:hAnsiTheme="minorHAnsi" w:cstheme="minorHAnsi"/>
          <w:lang w:val="en-US" w:eastAsia="el-GR"/>
        </w:rPr>
        <w:t>,</w:t>
      </w:r>
      <w:r w:rsidRPr="005A464E">
        <w:rPr>
          <w:rFonts w:asciiTheme="minorHAnsi" w:eastAsia="Times New Roman" w:hAnsiTheme="minorHAnsi" w:cstheme="minorHAnsi"/>
          <w:lang w:val="en-US" w:eastAsia="el-GR"/>
        </w:rPr>
        <w:t xml:space="preserve"> 200-207.</w:t>
      </w:r>
    </w:p>
    <w:p w:rsidR="003C410F" w:rsidRPr="005A464E" w:rsidRDefault="003C410F" w:rsidP="005A464E">
      <w:pPr>
        <w:pStyle w:val="Web"/>
        <w:spacing w:after="180" w:line="360" w:lineRule="auto"/>
        <w:ind w:left="450" w:hanging="450"/>
        <w:jc w:val="both"/>
        <w:rPr>
          <w:rFonts w:asciiTheme="minorHAnsi" w:eastAsia="Times New Roman" w:hAnsiTheme="minorHAnsi" w:cstheme="minorHAnsi"/>
          <w:iCs/>
          <w:lang w:val="en-US" w:eastAsia="el-GR"/>
        </w:rPr>
      </w:pPr>
      <w:r w:rsidRPr="005A464E">
        <w:rPr>
          <w:rFonts w:asciiTheme="minorHAnsi" w:eastAsia="Times New Roman" w:hAnsiTheme="minorHAnsi" w:cstheme="minorHAnsi"/>
          <w:iCs/>
          <w:lang w:val="en-US" w:eastAsia="el-GR"/>
        </w:rPr>
        <w:t xml:space="preserve">Wells, J.R. (2011). </w:t>
      </w:r>
      <w:r w:rsidRPr="005A464E">
        <w:rPr>
          <w:rFonts w:asciiTheme="minorHAnsi" w:eastAsia="Times New Roman" w:hAnsiTheme="minorHAnsi" w:cstheme="minorHAnsi"/>
          <w:shd w:val="clear" w:color="auto" w:fill="FFFFFF"/>
          <w:lang w:val="en-US" w:eastAsia="el-GR"/>
        </w:rPr>
        <w:t>Hemodialysis knowledge and medical adherence in African Americans diagnosed with end stage renal disease: results of an educational intervention.</w:t>
      </w:r>
      <w:r w:rsidRPr="005A464E">
        <w:rPr>
          <w:rFonts w:asciiTheme="minorHAnsi" w:eastAsia="Times New Roman" w:hAnsiTheme="minorHAnsi" w:cstheme="minorHAnsi"/>
          <w:iCs/>
          <w:lang w:val="en-US" w:eastAsia="el-GR"/>
        </w:rPr>
        <w:t xml:space="preserve"> </w:t>
      </w:r>
      <w:r w:rsidRPr="005A464E">
        <w:rPr>
          <w:rFonts w:asciiTheme="minorHAnsi" w:eastAsia="Times New Roman" w:hAnsiTheme="minorHAnsi" w:cstheme="minorHAnsi"/>
          <w:i/>
          <w:iCs/>
          <w:lang w:val="en-US" w:eastAsia="el-GR"/>
        </w:rPr>
        <w:t>Nephrology Nursing Journal,</w:t>
      </w:r>
      <w:r w:rsidR="00065443" w:rsidRPr="00065443">
        <w:rPr>
          <w:rFonts w:asciiTheme="minorHAnsi" w:eastAsia="Times New Roman" w:hAnsiTheme="minorHAnsi" w:cstheme="minorHAnsi"/>
          <w:i/>
          <w:iCs/>
          <w:lang w:val="en-US" w:eastAsia="el-GR"/>
        </w:rPr>
        <w:t xml:space="preserve"> 38</w:t>
      </w:r>
      <w:r w:rsidRPr="005A464E">
        <w:rPr>
          <w:rFonts w:asciiTheme="minorHAnsi" w:eastAsia="Times New Roman" w:hAnsiTheme="minorHAnsi" w:cstheme="minorHAnsi"/>
          <w:iCs/>
          <w:lang w:val="en-US" w:eastAsia="el-GR"/>
        </w:rPr>
        <w:t>, 155-162</w:t>
      </w:r>
      <w:r w:rsidR="009F1821" w:rsidRPr="005A464E">
        <w:rPr>
          <w:rFonts w:asciiTheme="minorHAnsi" w:eastAsia="Times New Roman" w:hAnsiTheme="minorHAnsi" w:cstheme="minorHAnsi"/>
          <w:iCs/>
          <w:lang w:val="en-US" w:eastAsia="el-GR"/>
        </w:rPr>
        <w:t>.</w:t>
      </w:r>
    </w:p>
    <w:p w:rsidR="003C410F" w:rsidRDefault="003C410F" w:rsidP="005A464E">
      <w:pPr>
        <w:pStyle w:val="Web"/>
        <w:spacing w:after="180" w:line="360" w:lineRule="auto"/>
        <w:ind w:left="450" w:hanging="450"/>
        <w:jc w:val="both"/>
        <w:rPr>
          <w:rFonts w:asciiTheme="minorHAnsi" w:eastAsia="Times New Roman" w:hAnsiTheme="minorHAnsi" w:cstheme="minorHAnsi"/>
          <w:iCs/>
          <w:lang w:val="en-US" w:eastAsia="el-GR"/>
        </w:rPr>
      </w:pPr>
      <w:r w:rsidRPr="005A464E">
        <w:rPr>
          <w:rFonts w:asciiTheme="minorHAnsi" w:eastAsia="Times New Roman" w:hAnsiTheme="minorHAnsi" w:cstheme="minorHAnsi"/>
          <w:iCs/>
          <w:lang w:val="en-US" w:eastAsia="el-GR"/>
        </w:rPr>
        <w:t xml:space="preserve">White, D.B., Braddock, C.H., 3rd, Bereknyei, S., &amp; Curtis, J.R. (2007). Toward shared decision making at the end of life in intensive care units: opportunities for improvement. </w:t>
      </w:r>
      <w:r w:rsidRPr="005A464E">
        <w:rPr>
          <w:rFonts w:asciiTheme="minorHAnsi" w:eastAsia="Times New Roman" w:hAnsiTheme="minorHAnsi" w:cstheme="minorHAnsi"/>
          <w:i/>
          <w:iCs/>
          <w:lang w:val="en-US" w:eastAsia="el-GR"/>
        </w:rPr>
        <w:t>Archives of Internal Medicine,</w:t>
      </w:r>
      <w:r w:rsidR="00065443">
        <w:rPr>
          <w:rFonts w:asciiTheme="minorHAnsi" w:eastAsia="Times New Roman" w:hAnsiTheme="minorHAnsi" w:cstheme="minorHAnsi"/>
          <w:iCs/>
          <w:lang w:val="en-US" w:eastAsia="el-GR"/>
        </w:rPr>
        <w:t xml:space="preserve"> </w:t>
      </w:r>
      <w:r w:rsidR="00065443" w:rsidRPr="00065443">
        <w:rPr>
          <w:rFonts w:asciiTheme="minorHAnsi" w:eastAsia="Times New Roman" w:hAnsiTheme="minorHAnsi" w:cstheme="minorHAnsi"/>
          <w:i/>
          <w:iCs/>
          <w:lang w:val="en-US" w:eastAsia="el-GR"/>
        </w:rPr>
        <w:t>167</w:t>
      </w:r>
      <w:r w:rsidRPr="00065443">
        <w:rPr>
          <w:rFonts w:asciiTheme="minorHAnsi" w:eastAsia="Times New Roman" w:hAnsiTheme="minorHAnsi" w:cstheme="minorHAnsi"/>
          <w:i/>
          <w:iCs/>
          <w:lang w:val="en-US" w:eastAsia="el-GR"/>
        </w:rPr>
        <w:t>,</w:t>
      </w:r>
      <w:r w:rsidRPr="005A464E">
        <w:rPr>
          <w:rFonts w:asciiTheme="minorHAnsi" w:eastAsia="Times New Roman" w:hAnsiTheme="minorHAnsi" w:cstheme="minorHAnsi"/>
          <w:iCs/>
          <w:lang w:val="en-US" w:eastAsia="el-GR"/>
        </w:rPr>
        <w:t xml:space="preserve"> 461-467.</w:t>
      </w:r>
    </w:p>
    <w:p w:rsidR="005764CF" w:rsidRPr="005764CF" w:rsidRDefault="005764CF" w:rsidP="005764CF">
      <w:pPr>
        <w:pStyle w:val="Web"/>
        <w:spacing w:after="180" w:line="360" w:lineRule="auto"/>
        <w:ind w:left="450" w:hanging="450"/>
        <w:jc w:val="both"/>
        <w:rPr>
          <w:rFonts w:asciiTheme="minorHAnsi" w:hAnsiTheme="minorHAnsi" w:cstheme="minorHAnsi"/>
          <w:lang w:val="en-US" w:eastAsia="el-GR"/>
        </w:rPr>
      </w:pPr>
      <w:r>
        <w:rPr>
          <w:rFonts w:asciiTheme="minorHAnsi" w:hAnsiTheme="minorHAnsi" w:cstheme="minorHAnsi"/>
          <w:lang w:val="en-US" w:eastAsia="el-GR"/>
        </w:rPr>
        <w:t>WHO</w:t>
      </w:r>
      <w:r w:rsidRPr="005A464E">
        <w:rPr>
          <w:rFonts w:asciiTheme="minorHAnsi" w:hAnsiTheme="minorHAnsi" w:cstheme="minorHAnsi"/>
          <w:lang w:val="en-US" w:eastAsia="el-GR"/>
        </w:rPr>
        <w:t xml:space="preserve"> (http://www. who.int/substance_abuse/research_tools/translation/en/)</w:t>
      </w:r>
      <w:r>
        <w:rPr>
          <w:rFonts w:asciiTheme="minorHAnsi" w:hAnsiTheme="minorHAnsi" w:cstheme="minorHAnsi"/>
          <w:lang w:val="en-US" w:eastAsia="el-GR"/>
        </w:rPr>
        <w:t xml:space="preserve"> Last retrieved: 14/4/2015.</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WHO Quality of life-BREF (2006). </w:t>
      </w:r>
      <w:r w:rsidRPr="005A464E">
        <w:rPr>
          <w:rFonts w:asciiTheme="minorHAnsi" w:hAnsiTheme="minorHAnsi" w:cstheme="minorHAnsi"/>
          <w:iCs/>
          <w:lang w:val="en-US"/>
        </w:rPr>
        <w:t>WHO QOL-BREF</w:t>
      </w:r>
      <w:r w:rsidR="00AB5C80" w:rsidRPr="005A464E">
        <w:rPr>
          <w:rFonts w:asciiTheme="minorHAnsi" w:hAnsiTheme="minorHAnsi" w:cstheme="minorHAnsi"/>
          <w:lang w:val="en-US"/>
        </w:rPr>
        <w:t>. Retrieved 19th July 2017</w:t>
      </w:r>
      <w:r w:rsidRPr="005A464E">
        <w:rPr>
          <w:rFonts w:asciiTheme="minorHAnsi" w:hAnsiTheme="minorHAnsi" w:cstheme="minorHAnsi"/>
          <w:lang w:val="en-US"/>
        </w:rPr>
        <w:t xml:space="preserve"> from </w:t>
      </w:r>
      <w:hyperlink r:id="rId433" w:history="1">
        <w:r w:rsidRPr="005A464E">
          <w:rPr>
            <w:rStyle w:val="-"/>
            <w:rFonts w:asciiTheme="minorHAnsi" w:hAnsiTheme="minorHAnsi" w:cstheme="minorHAnsi"/>
            <w:color w:val="auto"/>
            <w:u w:val="none"/>
            <w:lang w:val="en-US"/>
          </w:rPr>
          <w:t>http://www.who.int/substance_abuse/research_tools/whoQOLbref/en/</w:t>
        </w:r>
      </w:hyperlink>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WHOQoL Group. (1998). The World Health Organization quality of life assessment (WHOQOL): development and general psychometric properties. </w:t>
      </w:r>
      <w:r w:rsidRPr="005A464E">
        <w:rPr>
          <w:rFonts w:asciiTheme="minorHAnsi" w:hAnsiTheme="minorHAnsi" w:cstheme="minorHAnsi"/>
          <w:i/>
          <w:lang w:val="en-US"/>
        </w:rPr>
        <w:t>Social Science and Medicine,</w:t>
      </w:r>
      <w:r w:rsidR="0078495A">
        <w:rPr>
          <w:rFonts w:asciiTheme="minorHAnsi" w:hAnsiTheme="minorHAnsi" w:cstheme="minorHAnsi"/>
          <w:i/>
          <w:lang w:val="en-US"/>
        </w:rPr>
        <w:t xml:space="preserve"> </w:t>
      </w:r>
      <w:r w:rsidR="00065443" w:rsidRPr="00065443">
        <w:rPr>
          <w:rFonts w:asciiTheme="minorHAnsi" w:hAnsiTheme="minorHAnsi" w:cstheme="minorHAnsi"/>
          <w:i/>
          <w:lang w:val="en-US"/>
        </w:rPr>
        <w:t>46</w:t>
      </w:r>
      <w:r w:rsidRPr="00065443">
        <w:rPr>
          <w:rFonts w:asciiTheme="minorHAnsi" w:hAnsiTheme="minorHAnsi" w:cstheme="minorHAnsi"/>
          <w:i/>
          <w:lang w:val="en-US"/>
        </w:rPr>
        <w:t>,</w:t>
      </w:r>
      <w:r w:rsidRPr="005A464E">
        <w:rPr>
          <w:rFonts w:asciiTheme="minorHAnsi" w:hAnsiTheme="minorHAnsi" w:cstheme="minorHAnsi"/>
          <w:lang w:val="en-US"/>
        </w:rPr>
        <w:t xml:space="preserve"> 1569-1585.</w:t>
      </w:r>
    </w:p>
    <w:p w:rsidR="003C410F" w:rsidRPr="005A464E" w:rsidRDefault="003C410F" w:rsidP="005A464E">
      <w:pPr>
        <w:pStyle w:val="Web"/>
        <w:spacing w:after="180" w:line="360" w:lineRule="auto"/>
        <w:ind w:left="450" w:hanging="450"/>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Wiebe, J., </w:t>
      </w:r>
      <w:r w:rsidR="0072489A" w:rsidRPr="005A464E">
        <w:rPr>
          <w:rFonts w:asciiTheme="minorHAnsi" w:eastAsia="Times New Roman" w:hAnsiTheme="minorHAnsi" w:cstheme="minorHAnsi"/>
          <w:lang w:val="en-US" w:eastAsia="el-GR"/>
        </w:rPr>
        <w:t xml:space="preserve">&amp; </w:t>
      </w:r>
      <w:r w:rsidRPr="005A464E">
        <w:rPr>
          <w:rFonts w:asciiTheme="minorHAnsi" w:eastAsia="Times New Roman" w:hAnsiTheme="minorHAnsi" w:cstheme="minorHAnsi"/>
          <w:lang w:val="en-US" w:eastAsia="el-GR"/>
        </w:rPr>
        <w:t xml:space="preserve">Christensen, A. (1997). Health beliefs, personality, and adherence in haemodialysis patients: an interactional perspective. </w:t>
      </w:r>
      <w:r w:rsidRPr="005A464E">
        <w:rPr>
          <w:rFonts w:asciiTheme="minorHAnsi" w:eastAsia="Times New Roman" w:hAnsiTheme="minorHAnsi" w:cstheme="minorHAnsi"/>
          <w:i/>
          <w:lang w:val="en-US" w:eastAsia="el-GR"/>
        </w:rPr>
        <w:t>Annals of Behavioral Medicine</w:t>
      </w:r>
      <w:r w:rsidR="009F1821" w:rsidRPr="005A464E">
        <w:rPr>
          <w:rFonts w:asciiTheme="minorHAnsi" w:eastAsia="Times New Roman" w:hAnsiTheme="minorHAnsi" w:cstheme="minorHAnsi"/>
          <w:i/>
          <w:lang w:val="en-US" w:eastAsia="el-GR"/>
        </w:rPr>
        <w:t>,</w:t>
      </w:r>
      <w:r w:rsidR="00065443">
        <w:rPr>
          <w:rFonts w:asciiTheme="minorHAnsi" w:eastAsia="Times New Roman" w:hAnsiTheme="minorHAnsi" w:cstheme="minorHAnsi"/>
          <w:lang w:val="en-US" w:eastAsia="el-GR"/>
        </w:rPr>
        <w:t xml:space="preserve"> </w:t>
      </w:r>
      <w:r w:rsidR="00065443" w:rsidRPr="00065443">
        <w:rPr>
          <w:rFonts w:asciiTheme="minorHAnsi" w:eastAsia="Times New Roman" w:hAnsiTheme="minorHAnsi" w:cstheme="minorHAnsi"/>
          <w:i/>
          <w:lang w:val="en-US" w:eastAsia="el-GR"/>
        </w:rPr>
        <w:t>19</w:t>
      </w:r>
      <w:r w:rsidRPr="005A464E">
        <w:rPr>
          <w:rFonts w:asciiTheme="minorHAnsi" w:eastAsia="Times New Roman" w:hAnsiTheme="minorHAnsi" w:cstheme="minorHAnsi"/>
          <w:lang w:val="en-US" w:eastAsia="el-GR"/>
        </w:rPr>
        <w:t>, 30-35.</w:t>
      </w:r>
    </w:p>
    <w:p w:rsidR="003C410F" w:rsidRPr="005A464E" w:rsidRDefault="003C410F" w:rsidP="005A464E">
      <w:pPr>
        <w:pStyle w:val="Web"/>
        <w:spacing w:after="180" w:line="360" w:lineRule="auto"/>
        <w:ind w:left="450" w:hanging="450"/>
        <w:jc w:val="both"/>
        <w:rPr>
          <w:rFonts w:asciiTheme="minorHAnsi" w:eastAsia="Times New Roman" w:hAnsiTheme="minorHAnsi" w:cstheme="minorHAnsi"/>
          <w:iCs/>
          <w:lang w:val="en-US" w:eastAsia="el-GR"/>
        </w:rPr>
      </w:pPr>
      <w:r w:rsidRPr="005A464E">
        <w:rPr>
          <w:rFonts w:asciiTheme="minorHAnsi" w:eastAsia="Times New Roman" w:hAnsiTheme="minorHAnsi" w:cstheme="minorHAnsi"/>
          <w:lang w:val="en-US" w:eastAsia="el-GR"/>
        </w:rPr>
        <w:t xml:space="preserve">Wileman, V., Farrington, K., Wellsted, D., Almond, M., Davenport, A., &amp; Chilcot, J. (2015). Medication beliefs are associated with phosphate binder non-adherence in hyperphosphatemic haemodialysis patients. </w:t>
      </w:r>
      <w:r w:rsidRPr="005A464E">
        <w:rPr>
          <w:rFonts w:asciiTheme="minorHAnsi" w:eastAsia="Times New Roman" w:hAnsiTheme="minorHAnsi" w:cstheme="minorHAnsi"/>
          <w:i/>
          <w:iCs/>
          <w:lang w:val="en-US" w:eastAsia="el-GR"/>
        </w:rPr>
        <w:t>British Journal of Health Psychology,</w:t>
      </w:r>
      <w:r w:rsidR="00065443">
        <w:rPr>
          <w:rFonts w:asciiTheme="minorHAnsi" w:eastAsia="Times New Roman" w:hAnsiTheme="minorHAnsi" w:cstheme="minorHAnsi"/>
          <w:iCs/>
          <w:lang w:val="en-US" w:eastAsia="el-GR"/>
        </w:rPr>
        <w:t xml:space="preserve"> </w:t>
      </w:r>
      <w:r w:rsidR="00065443" w:rsidRPr="00065443">
        <w:rPr>
          <w:rFonts w:asciiTheme="minorHAnsi" w:eastAsia="Times New Roman" w:hAnsiTheme="minorHAnsi" w:cstheme="minorHAnsi"/>
          <w:i/>
          <w:iCs/>
          <w:lang w:val="en-US" w:eastAsia="el-GR"/>
        </w:rPr>
        <w:t>20</w:t>
      </w:r>
      <w:r w:rsidRPr="00065443">
        <w:rPr>
          <w:rFonts w:asciiTheme="minorHAnsi" w:eastAsia="Times New Roman" w:hAnsiTheme="minorHAnsi" w:cstheme="minorHAnsi"/>
          <w:i/>
          <w:iCs/>
          <w:lang w:val="en-US" w:eastAsia="el-GR"/>
        </w:rPr>
        <w:t>,</w:t>
      </w:r>
      <w:r w:rsidRPr="005A464E">
        <w:rPr>
          <w:rFonts w:asciiTheme="minorHAnsi" w:eastAsia="Times New Roman" w:hAnsiTheme="minorHAnsi" w:cstheme="minorHAnsi"/>
          <w:iCs/>
          <w:lang w:val="en-US" w:eastAsia="el-GR"/>
        </w:rPr>
        <w:t xml:space="preserve"> 563-</w:t>
      </w:r>
      <w:r w:rsidR="00065443">
        <w:rPr>
          <w:rFonts w:asciiTheme="minorHAnsi" w:eastAsia="Times New Roman" w:hAnsiTheme="minorHAnsi" w:cstheme="minorHAnsi"/>
          <w:iCs/>
          <w:lang w:val="en-US" w:eastAsia="el-GR"/>
        </w:rPr>
        <w:t>5</w:t>
      </w:r>
      <w:r w:rsidRPr="005A464E">
        <w:rPr>
          <w:rFonts w:asciiTheme="minorHAnsi" w:eastAsia="Times New Roman" w:hAnsiTheme="minorHAnsi" w:cstheme="minorHAnsi"/>
          <w:iCs/>
          <w:lang w:val="en-US" w:eastAsia="el-GR"/>
        </w:rPr>
        <w:t>78.</w:t>
      </w:r>
    </w:p>
    <w:p w:rsidR="003C410F" w:rsidRPr="005A464E" w:rsidRDefault="003C410F" w:rsidP="005A464E">
      <w:pPr>
        <w:pStyle w:val="Web"/>
        <w:spacing w:after="180" w:line="360" w:lineRule="auto"/>
        <w:ind w:left="450" w:hanging="450"/>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 xml:space="preserve">Wingard, R. (2005). </w:t>
      </w:r>
      <w:hyperlink r:id="rId434" w:history="1">
        <w:r w:rsidRPr="005A464E">
          <w:rPr>
            <w:rFonts w:asciiTheme="minorHAnsi" w:eastAsia="Times New Roman" w:hAnsiTheme="minorHAnsi" w:cstheme="minorHAnsi"/>
            <w:bCs/>
            <w:lang w:val="en-US" w:eastAsia="el-GR"/>
          </w:rPr>
          <w:t>Patient education</w:t>
        </w:r>
        <w:r w:rsidR="0076403B" w:rsidRPr="005A464E">
          <w:rPr>
            <w:rFonts w:asciiTheme="minorHAnsi" w:eastAsia="Times New Roman" w:hAnsiTheme="minorHAnsi" w:cstheme="minorHAnsi"/>
            <w:lang w:val="en-US" w:eastAsia="el-GR"/>
          </w:rPr>
          <w:t xml:space="preserve"> and the </w:t>
        </w:r>
        <w:r w:rsidRPr="005A464E">
          <w:rPr>
            <w:rFonts w:asciiTheme="minorHAnsi" w:eastAsia="Times New Roman" w:hAnsiTheme="minorHAnsi" w:cstheme="minorHAnsi"/>
            <w:bCs/>
            <w:lang w:val="en-US" w:eastAsia="el-GR"/>
          </w:rPr>
          <w:t>nursing process</w:t>
        </w:r>
        <w:r w:rsidRPr="005A464E">
          <w:rPr>
            <w:rFonts w:asciiTheme="minorHAnsi" w:eastAsia="Times New Roman" w:hAnsiTheme="minorHAnsi" w:cstheme="minorHAnsi"/>
            <w:lang w:val="en-US" w:eastAsia="el-GR"/>
          </w:rPr>
          <w:t>: </w:t>
        </w:r>
        <w:r w:rsidRPr="005A464E">
          <w:rPr>
            <w:rFonts w:asciiTheme="minorHAnsi" w:eastAsia="Times New Roman" w:hAnsiTheme="minorHAnsi" w:cstheme="minorHAnsi"/>
            <w:bCs/>
            <w:lang w:val="en-US" w:eastAsia="el-GR"/>
          </w:rPr>
          <w:t>meeting</w:t>
        </w:r>
        <w:r w:rsidRPr="005A464E">
          <w:rPr>
            <w:rFonts w:asciiTheme="minorHAnsi" w:eastAsia="Times New Roman" w:hAnsiTheme="minorHAnsi" w:cstheme="minorHAnsi"/>
            <w:lang w:val="en-US" w:eastAsia="el-GR"/>
          </w:rPr>
          <w:t> the </w:t>
        </w:r>
        <w:r w:rsidRPr="005A464E">
          <w:rPr>
            <w:rFonts w:asciiTheme="minorHAnsi" w:eastAsia="Times New Roman" w:hAnsiTheme="minorHAnsi" w:cstheme="minorHAnsi"/>
            <w:bCs/>
            <w:lang w:val="en-US" w:eastAsia="el-GR"/>
          </w:rPr>
          <w:t>patient's</w:t>
        </w:r>
        <w:r w:rsidRPr="005A464E">
          <w:rPr>
            <w:rFonts w:asciiTheme="minorHAnsi" w:eastAsia="Times New Roman" w:hAnsiTheme="minorHAnsi" w:cstheme="minorHAnsi"/>
            <w:lang w:val="en-US" w:eastAsia="el-GR"/>
          </w:rPr>
          <w:t> </w:t>
        </w:r>
        <w:r w:rsidRPr="005A464E">
          <w:rPr>
            <w:rFonts w:asciiTheme="minorHAnsi" w:eastAsia="Times New Roman" w:hAnsiTheme="minorHAnsi" w:cstheme="minorHAnsi"/>
            <w:bCs/>
            <w:lang w:val="en-US" w:eastAsia="el-GR"/>
          </w:rPr>
          <w:t>needs</w:t>
        </w:r>
        <w:r w:rsidRPr="005A464E">
          <w:rPr>
            <w:rFonts w:asciiTheme="minorHAnsi" w:eastAsia="Times New Roman" w:hAnsiTheme="minorHAnsi" w:cstheme="minorHAnsi"/>
            <w:lang w:val="en-US" w:eastAsia="el-GR"/>
          </w:rPr>
          <w:t>.</w:t>
        </w:r>
      </w:hyperlink>
      <w:r w:rsidRPr="005A464E">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i/>
          <w:lang w:val="en-US" w:eastAsia="el-GR"/>
        </w:rPr>
        <w:t>Nephrology Nursing Journal,</w:t>
      </w:r>
      <w:r w:rsidR="00065443">
        <w:rPr>
          <w:rFonts w:asciiTheme="minorHAnsi" w:eastAsia="Times New Roman" w:hAnsiTheme="minorHAnsi" w:cstheme="minorHAnsi"/>
          <w:lang w:val="en-US" w:eastAsia="el-GR"/>
        </w:rPr>
        <w:t xml:space="preserve"> </w:t>
      </w:r>
      <w:r w:rsidR="00065443" w:rsidRPr="00065443">
        <w:rPr>
          <w:rFonts w:asciiTheme="minorHAnsi" w:eastAsia="Times New Roman" w:hAnsiTheme="minorHAnsi" w:cstheme="minorHAnsi"/>
          <w:i/>
          <w:lang w:val="en-US" w:eastAsia="el-GR"/>
        </w:rPr>
        <w:t>32</w:t>
      </w:r>
      <w:r w:rsidR="0076403B" w:rsidRPr="005A464E">
        <w:rPr>
          <w:rFonts w:asciiTheme="minorHAnsi" w:eastAsia="Times New Roman" w:hAnsiTheme="minorHAnsi" w:cstheme="minorHAnsi"/>
          <w:lang w:val="en-US" w:eastAsia="el-GR"/>
        </w:rPr>
        <w:t>,</w:t>
      </w:r>
      <w:r w:rsidRPr="005A464E">
        <w:rPr>
          <w:rFonts w:asciiTheme="minorHAnsi" w:eastAsia="Times New Roman" w:hAnsiTheme="minorHAnsi" w:cstheme="minorHAnsi"/>
          <w:lang w:val="en-US" w:eastAsia="el-GR"/>
        </w:rPr>
        <w:t>211-214.</w:t>
      </w:r>
    </w:p>
    <w:p w:rsidR="003C410F" w:rsidRPr="005A464E" w:rsidRDefault="003C410F" w:rsidP="005A464E">
      <w:pPr>
        <w:pStyle w:val="Web"/>
        <w:spacing w:after="180" w:line="360" w:lineRule="auto"/>
        <w:ind w:left="450" w:hanging="450"/>
        <w:jc w:val="both"/>
        <w:rPr>
          <w:rFonts w:asciiTheme="minorHAnsi" w:hAnsiTheme="minorHAnsi" w:cstheme="minorHAnsi"/>
          <w:iCs/>
          <w:lang w:val="en-US"/>
        </w:rPr>
      </w:pPr>
      <w:r w:rsidRPr="005A464E">
        <w:rPr>
          <w:rFonts w:asciiTheme="minorHAnsi" w:hAnsiTheme="minorHAnsi" w:cstheme="minorHAnsi"/>
          <w:iCs/>
          <w:lang w:val="en-US"/>
        </w:rPr>
        <w:t xml:space="preserve">Wingard, R. (2009). </w:t>
      </w:r>
      <w:r w:rsidRPr="005A464E">
        <w:rPr>
          <w:rFonts w:asciiTheme="minorHAnsi" w:hAnsiTheme="minorHAnsi" w:cstheme="minorHAnsi"/>
          <w:lang w:val="en-US"/>
        </w:rPr>
        <w:t>Reducing early mortality in patients on dialysis: lessons from the Right Start program.</w:t>
      </w:r>
      <w:r w:rsidRPr="005A464E">
        <w:rPr>
          <w:rFonts w:asciiTheme="minorHAnsi" w:hAnsiTheme="minorHAnsi" w:cstheme="minorHAnsi"/>
          <w:iCs/>
          <w:lang w:val="en-US"/>
        </w:rPr>
        <w:t xml:space="preserve"> </w:t>
      </w:r>
      <w:r w:rsidRPr="005A464E">
        <w:rPr>
          <w:rFonts w:asciiTheme="minorHAnsi" w:hAnsiTheme="minorHAnsi" w:cstheme="minorHAnsi"/>
          <w:i/>
          <w:iCs/>
          <w:lang w:val="en-US"/>
        </w:rPr>
        <w:t>Nephrology Nursing Journal</w:t>
      </w:r>
      <w:r w:rsidRPr="00065443">
        <w:rPr>
          <w:rFonts w:asciiTheme="minorHAnsi" w:hAnsiTheme="minorHAnsi" w:cstheme="minorHAnsi"/>
          <w:i/>
          <w:iCs/>
          <w:lang w:val="en-US"/>
        </w:rPr>
        <w:t>,</w:t>
      </w:r>
      <w:r w:rsidR="00065443" w:rsidRPr="00065443">
        <w:rPr>
          <w:rFonts w:asciiTheme="minorHAnsi" w:hAnsiTheme="minorHAnsi" w:cstheme="minorHAnsi"/>
          <w:i/>
          <w:iCs/>
          <w:lang w:val="en-US"/>
        </w:rPr>
        <w:t xml:space="preserve"> 36</w:t>
      </w:r>
      <w:r w:rsidR="00A776A3" w:rsidRPr="00065443">
        <w:rPr>
          <w:rFonts w:asciiTheme="minorHAnsi" w:hAnsiTheme="minorHAnsi" w:cstheme="minorHAnsi"/>
          <w:i/>
          <w:iCs/>
          <w:lang w:val="en-US"/>
        </w:rPr>
        <w:t>,</w:t>
      </w:r>
      <w:r w:rsidRPr="005A464E">
        <w:rPr>
          <w:rFonts w:asciiTheme="minorHAnsi" w:hAnsiTheme="minorHAnsi" w:cstheme="minorHAnsi"/>
          <w:iCs/>
          <w:lang w:val="en-US"/>
        </w:rPr>
        <w:t>215-220</w:t>
      </w:r>
      <w:r w:rsidR="00A776A3">
        <w:rPr>
          <w:rFonts w:asciiTheme="minorHAnsi" w:hAnsiTheme="minorHAnsi" w:cstheme="minorHAnsi"/>
          <w:iCs/>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iCs/>
          <w:lang w:val="en-US"/>
        </w:rPr>
      </w:pPr>
      <w:r w:rsidRPr="005A464E">
        <w:rPr>
          <w:rFonts w:asciiTheme="minorHAnsi" w:hAnsiTheme="minorHAnsi" w:cstheme="minorHAnsi"/>
          <w:iCs/>
          <w:lang w:val="en-US"/>
        </w:rPr>
        <w:t xml:space="preserve">Winslow, E.H. (2001). Patient education materials. </w:t>
      </w:r>
      <w:r w:rsidRPr="005A464E">
        <w:rPr>
          <w:rFonts w:asciiTheme="minorHAnsi" w:hAnsiTheme="minorHAnsi" w:cstheme="minorHAnsi"/>
          <w:i/>
          <w:iCs/>
          <w:lang w:val="en-US"/>
        </w:rPr>
        <w:t>American Journal of Nursing</w:t>
      </w:r>
      <w:r w:rsidRPr="00065443">
        <w:rPr>
          <w:rFonts w:asciiTheme="minorHAnsi" w:hAnsiTheme="minorHAnsi" w:cstheme="minorHAnsi"/>
          <w:i/>
          <w:iCs/>
          <w:lang w:val="en-US"/>
        </w:rPr>
        <w:t xml:space="preserve">, </w:t>
      </w:r>
      <w:r w:rsidR="00065443" w:rsidRPr="00065443">
        <w:rPr>
          <w:rFonts w:asciiTheme="minorHAnsi" w:hAnsiTheme="minorHAnsi" w:cstheme="minorHAnsi"/>
          <w:i/>
          <w:iCs/>
          <w:lang w:val="en-US"/>
        </w:rPr>
        <w:t>101</w:t>
      </w:r>
      <w:r w:rsidRPr="00065443">
        <w:rPr>
          <w:rFonts w:asciiTheme="minorHAnsi" w:hAnsiTheme="minorHAnsi" w:cstheme="minorHAnsi"/>
          <w:i/>
          <w:iCs/>
          <w:lang w:val="en-US"/>
        </w:rPr>
        <w:t>,</w:t>
      </w:r>
      <w:r w:rsidRPr="005A464E">
        <w:rPr>
          <w:rFonts w:asciiTheme="minorHAnsi" w:hAnsiTheme="minorHAnsi" w:cstheme="minorHAnsi"/>
          <w:iCs/>
          <w:lang w:val="en-US"/>
        </w:rPr>
        <w:t xml:space="preserve"> 33-37.</w:t>
      </w:r>
    </w:p>
    <w:p w:rsidR="003C410F" w:rsidRPr="005A464E" w:rsidRDefault="003C410F" w:rsidP="005A464E">
      <w:pPr>
        <w:pStyle w:val="Web"/>
        <w:spacing w:after="180" w:line="360" w:lineRule="auto"/>
        <w:ind w:left="450" w:hanging="450"/>
        <w:jc w:val="both"/>
        <w:rPr>
          <w:rFonts w:asciiTheme="minorHAnsi" w:hAnsiTheme="minorHAnsi" w:cstheme="minorHAnsi"/>
          <w:shd w:val="clear" w:color="auto" w:fill="FFFFFF"/>
          <w:lang w:val="en-US"/>
        </w:rPr>
      </w:pPr>
      <w:r w:rsidRPr="005A464E">
        <w:rPr>
          <w:rFonts w:asciiTheme="minorHAnsi" w:hAnsiTheme="minorHAnsi" w:cstheme="minorHAnsi"/>
          <w:iCs/>
          <w:lang w:val="en-US"/>
        </w:rPr>
        <w:t xml:space="preserve">Wise, J. (2013). Polypharmacy: a necessary evil. </w:t>
      </w:r>
      <w:r w:rsidRPr="005A464E">
        <w:rPr>
          <w:rFonts w:asciiTheme="minorHAnsi" w:hAnsiTheme="minorHAnsi" w:cstheme="minorHAnsi"/>
          <w:i/>
          <w:iCs/>
          <w:lang w:val="en-US"/>
        </w:rPr>
        <w:t xml:space="preserve">BMJ, </w:t>
      </w:r>
      <w:r w:rsidRPr="005A464E">
        <w:rPr>
          <w:rFonts w:asciiTheme="minorHAnsi" w:hAnsiTheme="minorHAnsi" w:cstheme="minorHAnsi"/>
          <w:iCs/>
          <w:lang w:val="en-US"/>
        </w:rPr>
        <w:t>3</w:t>
      </w:r>
      <w:r w:rsidRPr="00065443">
        <w:rPr>
          <w:rFonts w:asciiTheme="minorHAnsi" w:hAnsiTheme="minorHAnsi" w:cstheme="minorHAnsi"/>
          <w:i/>
          <w:iCs/>
          <w:lang w:val="en-US"/>
        </w:rPr>
        <w:t>47</w:t>
      </w:r>
      <w:r w:rsidRPr="005A464E">
        <w:rPr>
          <w:rFonts w:asciiTheme="minorHAnsi" w:hAnsiTheme="minorHAnsi" w:cstheme="minorHAnsi"/>
          <w:iCs/>
          <w:lang w:val="en-US"/>
        </w:rPr>
        <w:t>:f7033</w:t>
      </w:r>
      <w:r w:rsidR="00AD3C44" w:rsidRPr="005A464E">
        <w:rPr>
          <w:rFonts w:asciiTheme="minorHAnsi" w:hAnsiTheme="minorHAnsi" w:cstheme="minorHAnsi"/>
          <w:iCs/>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Wong, F.K., Chow, S.K., &amp; Chan, T.M. (2010).</w:t>
      </w:r>
      <w:r w:rsidR="0078495A">
        <w:rPr>
          <w:rFonts w:asciiTheme="minorHAnsi" w:hAnsiTheme="minorHAnsi" w:cstheme="minorHAnsi"/>
          <w:lang w:val="en-US"/>
        </w:rPr>
        <w:t xml:space="preserve"> </w:t>
      </w:r>
      <w:r w:rsidRPr="005A464E">
        <w:rPr>
          <w:rFonts w:asciiTheme="minorHAnsi" w:hAnsiTheme="minorHAnsi" w:cstheme="minorHAnsi"/>
          <w:lang w:val="en-US"/>
        </w:rPr>
        <w:t xml:space="preserve">Evaluation of a nurse-led disease management programme for chronic kidney disease: a randomized controlled trial. </w:t>
      </w:r>
      <w:r w:rsidRPr="005A464E">
        <w:rPr>
          <w:rFonts w:asciiTheme="minorHAnsi" w:hAnsiTheme="minorHAnsi" w:cstheme="minorHAnsi"/>
          <w:i/>
          <w:lang w:val="en-US"/>
        </w:rPr>
        <w:t>International Journal of Nursing Studies</w:t>
      </w:r>
      <w:r w:rsidR="0076403B" w:rsidRPr="005A464E">
        <w:rPr>
          <w:rFonts w:asciiTheme="minorHAnsi" w:hAnsiTheme="minorHAnsi" w:cstheme="minorHAnsi"/>
          <w:lang w:val="en-US"/>
        </w:rPr>
        <w:t>,</w:t>
      </w:r>
      <w:r w:rsidR="0076403B" w:rsidRPr="00065443">
        <w:rPr>
          <w:rFonts w:asciiTheme="minorHAnsi" w:hAnsiTheme="minorHAnsi" w:cstheme="minorHAnsi"/>
          <w:i/>
          <w:lang w:val="en-US"/>
        </w:rPr>
        <w:t xml:space="preserve"> </w:t>
      </w:r>
      <w:r w:rsidR="00065443" w:rsidRPr="00065443">
        <w:rPr>
          <w:rFonts w:asciiTheme="minorHAnsi" w:hAnsiTheme="minorHAnsi" w:cstheme="minorHAnsi"/>
          <w:i/>
          <w:lang w:val="en-US"/>
        </w:rPr>
        <w:t>47</w:t>
      </w:r>
      <w:r w:rsidRPr="005A464E">
        <w:rPr>
          <w:rFonts w:asciiTheme="minorHAnsi" w:hAnsiTheme="minorHAnsi" w:cstheme="minorHAnsi"/>
          <w:lang w:val="en-US"/>
        </w:rPr>
        <w:t>, 268–278.</w:t>
      </w:r>
    </w:p>
    <w:p w:rsidR="003C410F" w:rsidRPr="005A464E" w:rsidRDefault="003C410F" w:rsidP="005A464E">
      <w:pPr>
        <w:pStyle w:val="Web"/>
        <w:spacing w:after="180" w:line="360" w:lineRule="auto"/>
        <w:ind w:left="450" w:hanging="450"/>
        <w:jc w:val="both"/>
        <w:rPr>
          <w:rFonts w:asciiTheme="minorHAnsi" w:hAnsiTheme="minorHAnsi" w:cstheme="minorHAnsi"/>
          <w:i/>
          <w:lang w:val="en-US"/>
        </w:rPr>
      </w:pPr>
      <w:r w:rsidRPr="005A464E">
        <w:rPr>
          <w:rFonts w:asciiTheme="minorHAnsi" w:hAnsiTheme="minorHAnsi" w:cstheme="minorHAnsi"/>
          <w:lang w:val="en-US"/>
        </w:rPr>
        <w:t xml:space="preserve">Wu, A.W., Fink, N.E., Cagney, K.A., Bass, </w:t>
      </w:r>
      <w:r w:rsidR="001929ED">
        <w:rPr>
          <w:rFonts w:asciiTheme="minorHAnsi" w:hAnsiTheme="minorHAnsi" w:cstheme="minorHAnsi"/>
          <w:lang w:val="en-US"/>
        </w:rPr>
        <w:t xml:space="preserve">E.B., Rubin, H.R., Meyer, K.B., … </w:t>
      </w:r>
      <w:r w:rsidRPr="005A464E">
        <w:rPr>
          <w:rFonts w:asciiTheme="minorHAnsi" w:hAnsiTheme="minorHAnsi" w:cstheme="minorHAnsi"/>
          <w:lang w:val="en-US"/>
        </w:rPr>
        <w:t>&amp; Powe, N.R. (2001).</w:t>
      </w:r>
      <w:r w:rsidR="0078495A">
        <w:rPr>
          <w:rFonts w:asciiTheme="minorHAnsi" w:hAnsiTheme="minorHAnsi" w:cstheme="minorHAnsi"/>
          <w:i/>
          <w:lang w:val="en-US"/>
        </w:rPr>
        <w:t xml:space="preserve"> </w:t>
      </w:r>
      <w:r w:rsidRPr="005A464E">
        <w:rPr>
          <w:rFonts w:asciiTheme="minorHAnsi" w:hAnsiTheme="minorHAnsi" w:cstheme="minorHAnsi"/>
          <w:lang w:val="en-US"/>
        </w:rPr>
        <w:t>Developing a health-related quality-of-life measure for end-stage renal disease: The CHOICE Health Experience Questionnaire</w:t>
      </w:r>
      <w:r w:rsidRPr="005A464E">
        <w:rPr>
          <w:rFonts w:asciiTheme="minorHAnsi" w:hAnsiTheme="minorHAnsi" w:cstheme="minorHAnsi"/>
          <w:i/>
          <w:lang w:val="en-US"/>
        </w:rPr>
        <w:t>. American Journal of Kidney Disease,</w:t>
      </w:r>
      <w:r w:rsidR="0078495A">
        <w:rPr>
          <w:rFonts w:asciiTheme="minorHAnsi" w:hAnsiTheme="minorHAnsi" w:cstheme="minorHAnsi"/>
          <w:i/>
          <w:lang w:val="en-US"/>
        </w:rPr>
        <w:t xml:space="preserve"> </w:t>
      </w:r>
      <w:r w:rsidR="00065443" w:rsidRPr="00065443">
        <w:rPr>
          <w:rFonts w:asciiTheme="minorHAnsi" w:hAnsiTheme="minorHAnsi" w:cstheme="minorHAnsi"/>
          <w:i/>
          <w:lang w:val="en-US"/>
        </w:rPr>
        <w:t>37</w:t>
      </w:r>
      <w:r w:rsidRPr="005A464E">
        <w:rPr>
          <w:rFonts w:asciiTheme="minorHAnsi" w:hAnsiTheme="minorHAnsi" w:cstheme="minorHAnsi"/>
          <w:lang w:val="en-US"/>
        </w:rPr>
        <w:t>, 11-21</w:t>
      </w:r>
      <w:r w:rsidR="0072489A" w:rsidRPr="005A464E">
        <w:rPr>
          <w:rFonts w:asciiTheme="minorHAnsi" w:hAnsiTheme="minorHAnsi" w:cstheme="minorHAnsi"/>
          <w:lang w:val="en-US"/>
        </w:rPr>
        <w:t>.</w:t>
      </w:r>
    </w:p>
    <w:p w:rsidR="007A51AB"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Wuerth, D., Finkelstein, S.H., &amp; Finkelstein, F.O. (2003). Chronic peritoneal dialysis patients diagnosed with clinical depression: results of pharmacological therapy. </w:t>
      </w:r>
      <w:r w:rsidRPr="005A464E">
        <w:rPr>
          <w:rFonts w:asciiTheme="minorHAnsi" w:hAnsiTheme="minorHAnsi" w:cstheme="minorHAnsi"/>
          <w:i/>
          <w:lang w:val="en-US"/>
        </w:rPr>
        <w:t>Seminars in dialysis</w:t>
      </w:r>
      <w:r w:rsidRPr="005A464E">
        <w:rPr>
          <w:rFonts w:asciiTheme="minorHAnsi" w:hAnsiTheme="minorHAnsi" w:cstheme="minorHAnsi"/>
          <w:lang w:val="en-US"/>
        </w:rPr>
        <w:t>, 16(6), 424:427</w:t>
      </w:r>
      <w:r w:rsidR="00AD3C44" w:rsidRPr="005A464E">
        <w:rPr>
          <w:rFonts w:asciiTheme="minorHAnsi" w:hAnsiTheme="minorHAnsi" w:cstheme="minorHAnsi"/>
          <w:lang w:val="en-US"/>
        </w:rPr>
        <w:t>.</w:t>
      </w:r>
    </w:p>
    <w:p w:rsidR="00DB4985" w:rsidRPr="005A464E" w:rsidRDefault="00763BA9" w:rsidP="005A464E">
      <w:pPr>
        <w:pStyle w:val="Web"/>
        <w:spacing w:after="180" w:line="360" w:lineRule="auto"/>
        <w:ind w:left="450" w:hanging="450"/>
        <w:jc w:val="both"/>
        <w:rPr>
          <w:rFonts w:asciiTheme="minorHAnsi" w:hAnsiTheme="minorHAnsi" w:cstheme="minorHAnsi"/>
          <w:color w:val="000000"/>
          <w:lang w:val="en-US"/>
        </w:rPr>
      </w:pPr>
      <w:r w:rsidRPr="005A464E">
        <w:rPr>
          <w:rFonts w:asciiTheme="minorHAnsi" w:hAnsiTheme="minorHAnsi" w:cstheme="minorHAnsi"/>
          <w:color w:val="000000"/>
          <w:lang w:val="en-US"/>
        </w:rPr>
        <w:t>Yong</w:t>
      </w:r>
      <w:r w:rsidR="0072489A" w:rsidRPr="005A464E">
        <w:rPr>
          <w:rFonts w:asciiTheme="minorHAnsi" w:hAnsiTheme="minorHAnsi" w:cstheme="minorHAnsi"/>
          <w:color w:val="000000"/>
          <w:lang w:val="en-US"/>
        </w:rPr>
        <w:t>,</w:t>
      </w:r>
      <w:r w:rsidRPr="005A464E">
        <w:rPr>
          <w:rFonts w:asciiTheme="minorHAnsi" w:hAnsiTheme="minorHAnsi" w:cstheme="minorHAnsi"/>
          <w:color w:val="000000"/>
          <w:lang w:val="en-US"/>
        </w:rPr>
        <w:t xml:space="preserve"> A</w:t>
      </w:r>
      <w:r w:rsidR="0072489A" w:rsidRPr="005A464E">
        <w:rPr>
          <w:rFonts w:asciiTheme="minorHAnsi" w:hAnsiTheme="minorHAnsi" w:cstheme="minorHAnsi"/>
          <w:color w:val="000000"/>
          <w:lang w:val="en-US"/>
        </w:rPr>
        <w:t>.</w:t>
      </w:r>
      <w:r w:rsidRPr="005A464E">
        <w:rPr>
          <w:rFonts w:asciiTheme="minorHAnsi" w:hAnsiTheme="minorHAnsi" w:cstheme="minorHAnsi"/>
          <w:color w:val="000000"/>
          <w:lang w:val="en-US"/>
        </w:rPr>
        <w:t>G</w:t>
      </w:r>
      <w:r w:rsidR="0072489A" w:rsidRPr="005A464E">
        <w:rPr>
          <w:rFonts w:asciiTheme="minorHAnsi" w:hAnsiTheme="minorHAnsi" w:cstheme="minorHAnsi"/>
          <w:color w:val="000000"/>
          <w:lang w:val="en-US"/>
        </w:rPr>
        <w:t>.</w:t>
      </w:r>
      <w:r w:rsidRPr="005A464E">
        <w:rPr>
          <w:rFonts w:asciiTheme="minorHAnsi" w:hAnsiTheme="minorHAnsi" w:cstheme="minorHAnsi"/>
          <w:color w:val="000000"/>
          <w:lang w:val="en-US"/>
        </w:rPr>
        <w:t xml:space="preserve">, </w:t>
      </w:r>
      <w:r w:rsidR="0072489A" w:rsidRPr="005A464E">
        <w:rPr>
          <w:rFonts w:asciiTheme="minorHAnsi" w:hAnsiTheme="minorHAnsi" w:cstheme="minorHAnsi"/>
          <w:color w:val="000000"/>
          <w:lang w:val="en-US"/>
        </w:rPr>
        <w:t xml:space="preserve">&amp; </w:t>
      </w:r>
      <w:r w:rsidRPr="005A464E">
        <w:rPr>
          <w:rFonts w:asciiTheme="minorHAnsi" w:hAnsiTheme="minorHAnsi" w:cstheme="minorHAnsi"/>
          <w:color w:val="000000"/>
          <w:lang w:val="en-US"/>
        </w:rPr>
        <w:t>Pearce</w:t>
      </w:r>
      <w:r w:rsidR="0072489A" w:rsidRPr="005A464E">
        <w:rPr>
          <w:rFonts w:asciiTheme="minorHAnsi" w:hAnsiTheme="minorHAnsi" w:cstheme="minorHAnsi"/>
          <w:color w:val="000000"/>
          <w:lang w:val="en-US"/>
        </w:rPr>
        <w:t>,</w:t>
      </w:r>
      <w:r w:rsidRPr="005A464E">
        <w:rPr>
          <w:rFonts w:asciiTheme="minorHAnsi" w:hAnsiTheme="minorHAnsi" w:cstheme="minorHAnsi"/>
          <w:color w:val="000000"/>
          <w:lang w:val="en-US"/>
        </w:rPr>
        <w:t xml:space="preserve"> S.</w:t>
      </w:r>
      <w:r w:rsidR="0072489A" w:rsidRPr="005A464E">
        <w:rPr>
          <w:rFonts w:asciiTheme="minorHAnsi" w:hAnsiTheme="minorHAnsi" w:cstheme="minorHAnsi"/>
          <w:color w:val="000000"/>
          <w:lang w:val="en-US"/>
        </w:rPr>
        <w:t xml:space="preserve"> (2013).</w:t>
      </w:r>
      <w:r w:rsidRPr="005A464E">
        <w:rPr>
          <w:rFonts w:asciiTheme="minorHAnsi" w:hAnsiTheme="minorHAnsi" w:cstheme="minorHAnsi"/>
          <w:color w:val="000000"/>
          <w:lang w:val="en-US"/>
        </w:rPr>
        <w:t xml:space="preserve"> A beginner’s guide to factor analy</w:t>
      </w:r>
      <w:r w:rsidRPr="005A464E">
        <w:rPr>
          <w:rFonts w:asciiTheme="minorHAnsi" w:hAnsiTheme="minorHAnsi" w:cstheme="minorHAnsi"/>
          <w:color w:val="000000"/>
          <w:lang w:val="en-US"/>
        </w:rPr>
        <w:softHyphen/>
        <w:t xml:space="preserve">sis: Focusing on exploratory factor analysis. </w:t>
      </w:r>
      <w:r w:rsidRPr="005A464E">
        <w:rPr>
          <w:rFonts w:asciiTheme="minorHAnsi" w:hAnsiTheme="minorHAnsi" w:cstheme="minorHAnsi"/>
          <w:i/>
          <w:color w:val="000000"/>
          <w:lang w:val="en-US"/>
        </w:rPr>
        <w:t>Tutorials in Quantitativ</w:t>
      </w:r>
      <w:r w:rsidR="0072489A" w:rsidRPr="005A464E">
        <w:rPr>
          <w:rFonts w:asciiTheme="minorHAnsi" w:hAnsiTheme="minorHAnsi" w:cstheme="minorHAnsi"/>
          <w:i/>
          <w:color w:val="000000"/>
          <w:lang w:val="en-US"/>
        </w:rPr>
        <w:t xml:space="preserve">e Methods for </w:t>
      </w:r>
      <w:r w:rsidR="0072489A" w:rsidRPr="00065443">
        <w:rPr>
          <w:rFonts w:asciiTheme="minorHAnsi" w:hAnsiTheme="minorHAnsi" w:cstheme="minorHAnsi"/>
          <w:i/>
          <w:color w:val="000000"/>
          <w:lang w:val="en-US"/>
        </w:rPr>
        <w:t>Psychology</w:t>
      </w:r>
      <w:r w:rsidR="00065443" w:rsidRPr="00065443">
        <w:rPr>
          <w:rFonts w:asciiTheme="minorHAnsi" w:hAnsiTheme="minorHAnsi" w:cstheme="minorHAnsi"/>
          <w:i/>
          <w:color w:val="000000"/>
          <w:lang w:val="en-US"/>
        </w:rPr>
        <w:t>, 9</w:t>
      </w:r>
      <w:r w:rsidR="0072489A" w:rsidRPr="00065443">
        <w:rPr>
          <w:rFonts w:asciiTheme="minorHAnsi" w:hAnsiTheme="minorHAnsi" w:cstheme="minorHAnsi"/>
          <w:i/>
          <w:color w:val="000000"/>
          <w:lang w:val="en-US"/>
        </w:rPr>
        <w:t>,</w:t>
      </w:r>
      <w:r w:rsidRPr="005A464E">
        <w:rPr>
          <w:rFonts w:asciiTheme="minorHAnsi" w:hAnsiTheme="minorHAnsi" w:cstheme="minorHAnsi"/>
          <w:color w:val="000000"/>
          <w:lang w:val="en-US"/>
        </w:rPr>
        <w:t xml:space="preserve"> 79-94.</w:t>
      </w:r>
      <w:r w:rsidR="0072489A" w:rsidRPr="005A464E">
        <w:rPr>
          <w:rFonts w:asciiTheme="minorHAnsi" w:hAnsiTheme="minorHAnsi" w:cstheme="minorHAnsi"/>
          <w:color w:val="000000"/>
          <w:lang w:val="en-US"/>
        </w:rPr>
        <w:t xml:space="preserve"> </w:t>
      </w:r>
      <w:r w:rsidR="00292B29" w:rsidRPr="005A464E">
        <w:rPr>
          <w:rFonts w:asciiTheme="minorHAnsi" w:hAnsiTheme="minorHAnsi" w:cstheme="minorHAnsi"/>
          <w:color w:val="000000"/>
          <w:lang w:val="en-US"/>
        </w:rPr>
        <w:t>DOI</w:t>
      </w:r>
      <w:r w:rsidR="0072489A" w:rsidRPr="005A464E">
        <w:rPr>
          <w:rFonts w:asciiTheme="minorHAnsi" w:hAnsiTheme="minorHAnsi"/>
          <w:color w:val="006633"/>
          <w:shd w:val="clear" w:color="auto" w:fill="FFFFFF"/>
          <w:lang w:val="en-US"/>
        </w:rPr>
        <w:t xml:space="preserve"> </w:t>
      </w:r>
      <w:hyperlink r:id="rId435" w:tgtFrame="_blank" w:history="1">
        <w:r w:rsidR="0072489A" w:rsidRPr="005A464E">
          <w:rPr>
            <w:rStyle w:val="-"/>
            <w:rFonts w:asciiTheme="minorHAnsi" w:hAnsiTheme="minorHAnsi"/>
            <w:color w:val="auto"/>
            <w:u w:val="none"/>
            <w:shd w:val="clear" w:color="auto" w:fill="FFFFFF"/>
            <w:lang w:val="en-US"/>
          </w:rPr>
          <w:t>10.20982/tqmp.09.2.p079</w:t>
        </w:r>
      </w:hyperlink>
      <w:r w:rsidR="00AD3C44" w:rsidRPr="005A464E">
        <w:rPr>
          <w:rFonts w:asciiTheme="minorHAnsi" w:hAnsiTheme="minorHAnsi"/>
          <w:lang w:val="en-US"/>
        </w:rPr>
        <w:t>.</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Zarifian, A. (1994). Case study of the anemic patient: Epoetin alfa-focus on sexual function. </w:t>
      </w:r>
      <w:r w:rsidRPr="005A464E">
        <w:rPr>
          <w:rFonts w:asciiTheme="minorHAnsi" w:hAnsiTheme="minorHAnsi" w:cstheme="minorHAnsi"/>
          <w:i/>
          <w:iCs/>
          <w:lang w:val="en-US"/>
        </w:rPr>
        <w:t>American Nephrology Nursing Association Journal,</w:t>
      </w:r>
      <w:r w:rsidRPr="005A464E">
        <w:rPr>
          <w:rFonts w:asciiTheme="minorHAnsi" w:hAnsiTheme="minorHAnsi" w:cstheme="minorHAnsi"/>
          <w:iCs/>
          <w:lang w:val="en-US"/>
        </w:rPr>
        <w:t xml:space="preserve"> </w:t>
      </w:r>
      <w:r w:rsidRPr="00065443">
        <w:rPr>
          <w:rFonts w:asciiTheme="minorHAnsi" w:hAnsiTheme="minorHAnsi" w:cstheme="minorHAnsi"/>
          <w:i/>
          <w:iCs/>
          <w:lang w:val="en-US"/>
        </w:rPr>
        <w:t>21</w:t>
      </w:r>
      <w:r w:rsidRPr="00065443">
        <w:rPr>
          <w:rFonts w:asciiTheme="minorHAnsi" w:hAnsiTheme="minorHAnsi" w:cstheme="minorHAnsi"/>
          <w:i/>
          <w:lang w:val="en-US"/>
        </w:rPr>
        <w:t>,</w:t>
      </w:r>
      <w:r w:rsidRPr="005A464E">
        <w:rPr>
          <w:rFonts w:asciiTheme="minorHAnsi" w:hAnsiTheme="minorHAnsi" w:cstheme="minorHAnsi"/>
          <w:lang w:val="en-US"/>
        </w:rPr>
        <w:t xml:space="preserve"> 368-371.</w:t>
      </w:r>
    </w:p>
    <w:p w:rsidR="003C410F" w:rsidRPr="005A464E" w:rsidRDefault="003C410F" w:rsidP="005A464E">
      <w:pPr>
        <w:pStyle w:val="Web"/>
        <w:spacing w:after="180" w:line="360" w:lineRule="auto"/>
        <w:ind w:left="450" w:hanging="450"/>
        <w:jc w:val="both"/>
        <w:rPr>
          <w:rFonts w:asciiTheme="minorHAnsi" w:hAnsiTheme="minorHAnsi" w:cstheme="minorHAnsi"/>
          <w:lang w:val="en-US"/>
        </w:rPr>
      </w:pPr>
      <w:r w:rsidRPr="005A464E">
        <w:rPr>
          <w:rFonts w:asciiTheme="minorHAnsi" w:hAnsiTheme="minorHAnsi" w:cstheme="minorHAnsi"/>
          <w:lang w:val="en-US"/>
        </w:rPr>
        <w:t xml:space="preserve">Zhan, L. (1992). Quality of Life: Conceptual and measurement issues. </w:t>
      </w:r>
      <w:r w:rsidRPr="005A464E">
        <w:rPr>
          <w:rFonts w:asciiTheme="minorHAnsi" w:hAnsiTheme="minorHAnsi" w:cstheme="minorHAnsi"/>
          <w:i/>
          <w:iCs/>
          <w:lang w:val="en-US"/>
        </w:rPr>
        <w:t>Journal of Advanced Nursing,</w:t>
      </w:r>
      <w:r w:rsidRPr="005A464E">
        <w:rPr>
          <w:rFonts w:asciiTheme="minorHAnsi" w:hAnsiTheme="minorHAnsi" w:cstheme="minorHAnsi"/>
          <w:iCs/>
          <w:lang w:val="en-US"/>
        </w:rPr>
        <w:t xml:space="preserve"> </w:t>
      </w:r>
      <w:r w:rsidRPr="00065443">
        <w:rPr>
          <w:rFonts w:asciiTheme="minorHAnsi" w:hAnsiTheme="minorHAnsi" w:cstheme="minorHAnsi"/>
          <w:i/>
          <w:iCs/>
          <w:lang w:val="en-US"/>
        </w:rPr>
        <w:t>77</w:t>
      </w:r>
      <w:r w:rsidRPr="00065443">
        <w:rPr>
          <w:rFonts w:asciiTheme="minorHAnsi" w:hAnsiTheme="minorHAnsi" w:cstheme="minorHAnsi"/>
          <w:i/>
          <w:lang w:val="en-US"/>
        </w:rPr>
        <w:t>,</w:t>
      </w:r>
      <w:r w:rsidRPr="005A464E">
        <w:rPr>
          <w:rFonts w:asciiTheme="minorHAnsi" w:hAnsiTheme="minorHAnsi" w:cstheme="minorHAnsi"/>
          <w:lang w:val="en-US"/>
        </w:rPr>
        <w:t xml:space="preserve"> 795-800.</w:t>
      </w:r>
    </w:p>
    <w:p w:rsidR="003C410F" w:rsidRDefault="003C410F" w:rsidP="005A464E">
      <w:pPr>
        <w:pStyle w:val="Web"/>
        <w:spacing w:after="166" w:line="360" w:lineRule="auto"/>
        <w:ind w:left="415" w:hanging="415"/>
        <w:jc w:val="both"/>
        <w:rPr>
          <w:rFonts w:asciiTheme="minorHAnsi" w:hAnsiTheme="minorHAnsi" w:cstheme="minorHAnsi"/>
          <w:shd w:val="clear" w:color="auto" w:fill="FFFFFF"/>
          <w:lang w:val="en-US"/>
        </w:rPr>
      </w:pPr>
      <w:r w:rsidRPr="005A464E">
        <w:rPr>
          <w:rFonts w:asciiTheme="minorHAnsi" w:hAnsiTheme="minorHAnsi" w:cstheme="minorHAnsi"/>
          <w:lang w:val="en-US"/>
        </w:rPr>
        <w:t xml:space="preserve">Zolnierek, K.B., &amp; </w:t>
      </w:r>
      <w:r w:rsidR="0072489A" w:rsidRPr="005A464E">
        <w:rPr>
          <w:rFonts w:asciiTheme="minorHAnsi" w:hAnsiTheme="minorHAnsi" w:cstheme="minorHAnsi"/>
          <w:lang w:val="en-US"/>
        </w:rPr>
        <w:t xml:space="preserve">DiMatteo, M.R. (2009). </w:t>
      </w:r>
      <w:r w:rsidRPr="005A464E">
        <w:rPr>
          <w:rFonts w:asciiTheme="minorHAnsi" w:hAnsiTheme="minorHAnsi" w:cstheme="minorHAnsi"/>
          <w:lang w:val="en-US"/>
        </w:rPr>
        <w:t>Physician communication and pat</w:t>
      </w:r>
      <w:r w:rsidR="0072489A" w:rsidRPr="005A464E">
        <w:rPr>
          <w:rFonts w:asciiTheme="minorHAnsi" w:hAnsiTheme="minorHAnsi" w:cstheme="minorHAnsi"/>
          <w:lang w:val="en-US"/>
        </w:rPr>
        <w:t>ient adherence to treatment: A m</w:t>
      </w:r>
      <w:r w:rsidRPr="005A464E">
        <w:rPr>
          <w:rFonts w:asciiTheme="minorHAnsi" w:hAnsiTheme="minorHAnsi" w:cstheme="minorHAnsi"/>
          <w:lang w:val="en-US"/>
        </w:rPr>
        <w:t xml:space="preserve">eta-analysis. </w:t>
      </w:r>
      <w:r w:rsidRPr="005A464E">
        <w:rPr>
          <w:rFonts w:asciiTheme="minorHAnsi" w:hAnsiTheme="minorHAnsi" w:cstheme="minorHAnsi"/>
          <w:i/>
          <w:lang w:val="en-US"/>
        </w:rPr>
        <w:t>Medical Care</w:t>
      </w:r>
      <w:r w:rsidR="00065443">
        <w:rPr>
          <w:rFonts w:asciiTheme="minorHAnsi" w:hAnsiTheme="minorHAnsi" w:cstheme="minorHAnsi"/>
          <w:lang w:val="en-US"/>
        </w:rPr>
        <w:t xml:space="preserve">, </w:t>
      </w:r>
      <w:r w:rsidR="00065443" w:rsidRPr="00065443">
        <w:rPr>
          <w:rFonts w:asciiTheme="minorHAnsi" w:hAnsiTheme="minorHAnsi" w:cstheme="minorHAnsi"/>
          <w:i/>
          <w:lang w:val="en-US"/>
        </w:rPr>
        <w:t>47</w:t>
      </w:r>
      <w:r w:rsidRPr="00065443">
        <w:rPr>
          <w:rFonts w:asciiTheme="minorHAnsi" w:hAnsiTheme="minorHAnsi" w:cstheme="minorHAnsi"/>
          <w:i/>
          <w:lang w:val="en-US"/>
        </w:rPr>
        <w:t>,</w:t>
      </w:r>
      <w:r w:rsidRPr="005A464E">
        <w:rPr>
          <w:rFonts w:asciiTheme="minorHAnsi" w:hAnsiTheme="minorHAnsi" w:cstheme="minorHAnsi"/>
          <w:lang w:val="en-US"/>
        </w:rPr>
        <w:t xml:space="preserve"> 826–834.</w:t>
      </w:r>
      <w:r w:rsidRPr="005A464E">
        <w:rPr>
          <w:rFonts w:asciiTheme="minorHAnsi" w:hAnsiTheme="minorHAnsi" w:cstheme="minorHAnsi"/>
          <w:shd w:val="clear" w:color="auto" w:fill="FFFFFF"/>
          <w:lang w:val="en-US"/>
        </w:rPr>
        <w:t xml:space="preserve"> </w:t>
      </w:r>
      <w:r w:rsidR="00292B29" w:rsidRPr="005A464E">
        <w:rPr>
          <w:rFonts w:asciiTheme="minorHAnsi" w:hAnsiTheme="minorHAnsi" w:cstheme="minorHAnsi"/>
          <w:shd w:val="clear" w:color="auto" w:fill="FFFFFF"/>
          <w:lang w:val="en-US"/>
        </w:rPr>
        <w:t>DOI</w:t>
      </w:r>
      <w:r w:rsidRPr="005A464E">
        <w:rPr>
          <w:rFonts w:asciiTheme="minorHAnsi" w:hAnsiTheme="minorHAnsi" w:cstheme="minorHAnsi"/>
          <w:shd w:val="clear" w:color="auto" w:fill="FFFFFF"/>
          <w:lang w:val="en-US"/>
        </w:rPr>
        <w:t>: 10.1097/MLR.0b013e31819a5acc.</w:t>
      </w:r>
    </w:p>
    <w:p w:rsidR="004853F5" w:rsidRPr="00074DED" w:rsidRDefault="004853F5" w:rsidP="005A464E">
      <w:pPr>
        <w:pStyle w:val="Web"/>
        <w:spacing w:after="166" w:line="360" w:lineRule="auto"/>
        <w:ind w:left="415" w:hanging="415"/>
        <w:jc w:val="both"/>
        <w:rPr>
          <w:rFonts w:asciiTheme="minorHAnsi" w:hAnsiTheme="minorHAnsi" w:cstheme="minorHAnsi"/>
          <w:lang w:val="en-US"/>
        </w:rPr>
      </w:pPr>
      <w:r w:rsidRPr="00074DED">
        <w:rPr>
          <w:rFonts w:asciiTheme="minorHAnsi" w:hAnsiTheme="minorHAnsi" w:cstheme="minorHAnsi"/>
          <w:shd w:val="clear" w:color="auto" w:fill="FFFFFF"/>
          <w:lang w:val="en-US"/>
        </w:rPr>
        <w:t xml:space="preserve">Zoccali, C., Moissl, U., Chazot, C., Mallamaci, F., Tripepi, G., Arkossy, O., ... &amp; Stuard, S. (2017). Chronic </w:t>
      </w:r>
      <w:r w:rsidR="00074DED" w:rsidRPr="00074DED">
        <w:rPr>
          <w:rFonts w:asciiTheme="minorHAnsi" w:hAnsiTheme="minorHAnsi" w:cstheme="minorHAnsi"/>
          <w:shd w:val="clear" w:color="auto" w:fill="FFFFFF"/>
          <w:lang w:val="en-US"/>
        </w:rPr>
        <w:t xml:space="preserve">fluid overload and mortality </w:t>
      </w:r>
      <w:r w:rsidRPr="00074DED">
        <w:rPr>
          <w:rFonts w:asciiTheme="minorHAnsi" w:hAnsiTheme="minorHAnsi" w:cstheme="minorHAnsi"/>
          <w:shd w:val="clear" w:color="auto" w:fill="FFFFFF"/>
          <w:lang w:val="en-US"/>
        </w:rPr>
        <w:t>in ESRD. </w:t>
      </w:r>
      <w:r w:rsidRPr="00074DED">
        <w:rPr>
          <w:rFonts w:asciiTheme="minorHAnsi" w:hAnsiTheme="minorHAnsi" w:cstheme="minorHAnsi"/>
          <w:i/>
          <w:iCs/>
          <w:shd w:val="clear" w:color="auto" w:fill="FFFFFF"/>
          <w:lang w:val="en-US"/>
        </w:rPr>
        <w:t>Journal of the American Society of Nephrology</w:t>
      </w:r>
      <w:r w:rsidR="00074DED">
        <w:rPr>
          <w:rFonts w:asciiTheme="minorHAnsi" w:hAnsiTheme="minorHAnsi" w:cstheme="minorHAnsi"/>
          <w:i/>
          <w:iCs/>
          <w:shd w:val="clear" w:color="auto" w:fill="FFFFFF"/>
          <w:lang w:val="en-US"/>
        </w:rPr>
        <w:t>,</w:t>
      </w:r>
      <w:r w:rsidR="00074DED" w:rsidRPr="00FB0D48">
        <w:rPr>
          <w:rFonts w:ascii="Arial" w:hAnsi="Arial" w:cs="Arial"/>
          <w:color w:val="000000"/>
          <w:sz w:val="17"/>
          <w:szCs w:val="17"/>
          <w:shd w:val="clear" w:color="auto" w:fill="FFFFFF"/>
          <w:lang w:val="en-US"/>
        </w:rPr>
        <w:t xml:space="preserve"> </w:t>
      </w:r>
      <w:r w:rsidR="00074DED" w:rsidRPr="00FB0D48">
        <w:rPr>
          <w:rFonts w:asciiTheme="minorHAnsi" w:hAnsiTheme="minorHAnsi" w:cstheme="minorHAnsi"/>
          <w:i/>
          <w:color w:val="000000"/>
          <w:shd w:val="clear" w:color="auto" w:fill="FFFFFF"/>
          <w:lang w:val="en-US"/>
        </w:rPr>
        <w:t>28</w:t>
      </w:r>
      <w:r w:rsidR="00074DED" w:rsidRPr="00074DED">
        <w:rPr>
          <w:rFonts w:asciiTheme="minorHAnsi" w:hAnsiTheme="minorHAnsi" w:cstheme="minorHAnsi"/>
          <w:color w:val="000000"/>
          <w:shd w:val="clear" w:color="auto" w:fill="FFFFFF"/>
          <w:lang w:val="en-US"/>
        </w:rPr>
        <w:t xml:space="preserve">, </w:t>
      </w:r>
      <w:r w:rsidR="00074DED" w:rsidRPr="00FB0D48">
        <w:rPr>
          <w:rFonts w:asciiTheme="minorHAnsi" w:hAnsiTheme="minorHAnsi" w:cstheme="minorHAnsi"/>
          <w:color w:val="000000"/>
          <w:shd w:val="clear" w:color="auto" w:fill="FFFFFF"/>
          <w:lang w:val="en-US"/>
        </w:rPr>
        <w:t xml:space="preserve">2491-2497. </w:t>
      </w:r>
      <w:r w:rsidR="00074DED" w:rsidRPr="00074DED">
        <w:rPr>
          <w:rFonts w:asciiTheme="minorHAnsi" w:hAnsiTheme="minorHAnsi" w:cstheme="minorHAnsi"/>
          <w:color w:val="000000"/>
          <w:shd w:val="clear" w:color="auto" w:fill="FFFFFF"/>
          <w:lang w:val="en-US"/>
        </w:rPr>
        <w:t>DOI</w:t>
      </w:r>
      <w:r w:rsidR="00074DED" w:rsidRPr="00FB0D48">
        <w:rPr>
          <w:rFonts w:asciiTheme="minorHAnsi" w:hAnsiTheme="minorHAnsi" w:cstheme="minorHAnsi"/>
          <w:color w:val="000000"/>
          <w:shd w:val="clear" w:color="auto" w:fill="FFFFFF"/>
          <w:lang w:val="en-US"/>
        </w:rPr>
        <w:t>: 10.1681/ASN.2016121341</w:t>
      </w:r>
      <w:r w:rsidR="00074DED">
        <w:rPr>
          <w:rFonts w:asciiTheme="minorHAnsi" w:hAnsiTheme="minorHAnsi" w:cstheme="minorHAnsi"/>
          <w:color w:val="000000"/>
          <w:shd w:val="clear" w:color="auto" w:fill="FFFFFF"/>
          <w:lang w:val="en-US"/>
        </w:rPr>
        <w:t>.</w:t>
      </w:r>
    </w:p>
    <w:p w:rsidR="00991AD2" w:rsidRDefault="00D32C06" w:rsidP="00991AD2">
      <w:pPr>
        <w:pStyle w:val="Web"/>
        <w:spacing w:after="180" w:line="360" w:lineRule="auto"/>
        <w:ind w:left="450" w:hanging="450"/>
        <w:jc w:val="both"/>
        <w:rPr>
          <w:rFonts w:asciiTheme="minorHAnsi" w:eastAsia="Times New Roman" w:hAnsiTheme="minorHAnsi" w:cstheme="minorHAnsi"/>
          <w:lang w:val="en-US" w:eastAsia="el-GR"/>
        </w:rPr>
      </w:pPr>
      <w:r w:rsidRPr="005A464E">
        <w:rPr>
          <w:rFonts w:asciiTheme="minorHAnsi" w:eastAsia="Times New Roman" w:hAnsiTheme="minorHAnsi" w:cstheme="minorHAnsi"/>
          <w:lang w:val="en-US" w:eastAsia="el-GR"/>
        </w:rPr>
        <w:t>Zrinyi</w:t>
      </w:r>
      <w:r w:rsidR="000D0325" w:rsidRPr="005A464E">
        <w:rPr>
          <w:rFonts w:asciiTheme="minorHAnsi" w:eastAsia="Times New Roman" w:hAnsiTheme="minorHAnsi" w:cstheme="minorHAnsi"/>
          <w:lang w:val="en-US" w:eastAsia="el-GR"/>
        </w:rPr>
        <w:t>,</w:t>
      </w:r>
      <w:r w:rsidRPr="005A464E">
        <w:rPr>
          <w:rFonts w:asciiTheme="minorHAnsi" w:eastAsia="Times New Roman" w:hAnsiTheme="minorHAnsi" w:cstheme="minorHAnsi"/>
          <w:lang w:val="en-US" w:eastAsia="el-GR"/>
        </w:rPr>
        <w:t xml:space="preserve"> M</w:t>
      </w:r>
      <w:r w:rsidR="000D0325" w:rsidRPr="005A464E">
        <w:rPr>
          <w:rFonts w:asciiTheme="minorHAnsi" w:eastAsia="Times New Roman" w:hAnsiTheme="minorHAnsi" w:cstheme="minorHAnsi"/>
          <w:lang w:val="en-US" w:eastAsia="el-GR"/>
        </w:rPr>
        <w:t>.,</w:t>
      </w:r>
      <w:r w:rsidRPr="005A464E">
        <w:rPr>
          <w:rFonts w:asciiTheme="minorHAnsi" w:eastAsia="Times New Roman" w:hAnsiTheme="minorHAnsi" w:cstheme="minorHAnsi"/>
          <w:lang w:val="en-US" w:eastAsia="el-GR"/>
        </w:rPr>
        <w:t xml:space="preserve"> Juhasz,</w:t>
      </w:r>
      <w:r w:rsidR="000D0325" w:rsidRPr="005A464E">
        <w:rPr>
          <w:rFonts w:asciiTheme="minorHAnsi" w:eastAsia="Times New Roman" w:hAnsiTheme="minorHAnsi" w:cstheme="minorHAnsi"/>
          <w:lang w:val="en-US" w:eastAsia="el-GR"/>
        </w:rPr>
        <w:t xml:space="preserve"> M.,</w:t>
      </w:r>
      <w:r w:rsidR="0078495A">
        <w:rPr>
          <w:rFonts w:asciiTheme="minorHAnsi" w:eastAsia="Times New Roman" w:hAnsiTheme="minorHAnsi" w:cstheme="minorHAnsi"/>
          <w:lang w:val="en-US" w:eastAsia="el-GR"/>
        </w:rPr>
        <w:t xml:space="preserve"> </w:t>
      </w:r>
      <w:r w:rsidRPr="005A464E">
        <w:rPr>
          <w:rFonts w:asciiTheme="minorHAnsi" w:eastAsia="Times New Roman" w:hAnsiTheme="minorHAnsi" w:cstheme="minorHAnsi"/>
          <w:lang w:val="en-US" w:eastAsia="el-GR"/>
        </w:rPr>
        <w:t>Balla,</w:t>
      </w:r>
      <w:r w:rsidR="000D0325" w:rsidRPr="005A464E">
        <w:rPr>
          <w:rFonts w:asciiTheme="minorHAnsi" w:eastAsia="Times New Roman" w:hAnsiTheme="minorHAnsi" w:cstheme="minorHAnsi"/>
          <w:lang w:val="en-US" w:eastAsia="el-GR"/>
        </w:rPr>
        <w:t xml:space="preserve"> J., </w:t>
      </w:r>
      <w:r w:rsidRPr="005A464E">
        <w:rPr>
          <w:rFonts w:asciiTheme="minorHAnsi" w:eastAsia="Times New Roman" w:hAnsiTheme="minorHAnsi" w:cstheme="minorHAnsi"/>
          <w:lang w:val="en-US" w:eastAsia="el-GR"/>
        </w:rPr>
        <w:t>Katona,</w:t>
      </w:r>
      <w:r w:rsidR="000D0325" w:rsidRPr="005A464E">
        <w:rPr>
          <w:rFonts w:asciiTheme="minorHAnsi" w:eastAsia="Times New Roman" w:hAnsiTheme="minorHAnsi" w:cstheme="minorHAnsi"/>
          <w:lang w:val="en-US" w:eastAsia="el-GR"/>
        </w:rPr>
        <w:t xml:space="preserve"> E., </w:t>
      </w:r>
      <w:r w:rsidR="0072489A" w:rsidRPr="005A464E">
        <w:rPr>
          <w:rFonts w:asciiTheme="minorHAnsi" w:eastAsia="Times New Roman" w:hAnsiTheme="minorHAnsi" w:cstheme="minorHAnsi"/>
          <w:lang w:val="en-US" w:eastAsia="el-GR"/>
        </w:rPr>
        <w:t>&amp;</w:t>
      </w:r>
      <w:r w:rsidRPr="005A464E">
        <w:rPr>
          <w:rFonts w:asciiTheme="minorHAnsi" w:eastAsia="Times New Roman" w:hAnsiTheme="minorHAnsi" w:cstheme="minorHAnsi"/>
          <w:lang w:val="en-US" w:eastAsia="el-GR"/>
        </w:rPr>
        <w:t xml:space="preserve"> Ben,</w:t>
      </w:r>
      <w:r w:rsidR="000D0325" w:rsidRPr="005A464E">
        <w:rPr>
          <w:rFonts w:asciiTheme="minorHAnsi" w:eastAsia="Times New Roman" w:hAnsiTheme="minorHAnsi" w:cstheme="minorHAnsi"/>
          <w:lang w:val="en-US" w:eastAsia="el-GR"/>
        </w:rPr>
        <w:t xml:space="preserve"> T. (2003). </w:t>
      </w:r>
      <w:r w:rsidRPr="005A464E">
        <w:rPr>
          <w:rFonts w:asciiTheme="minorHAnsi" w:eastAsia="Times New Roman" w:hAnsiTheme="minorHAnsi" w:cstheme="minorHAnsi"/>
          <w:lang w:val="en-US" w:eastAsia="el-GR"/>
        </w:rPr>
        <w:t>Dietary self-efficacy: determinant of compliance behaviours and biochemical out</w:t>
      </w:r>
      <w:r w:rsidR="000D0325" w:rsidRPr="005A464E">
        <w:rPr>
          <w:rFonts w:asciiTheme="minorHAnsi" w:eastAsia="Times New Roman" w:hAnsiTheme="minorHAnsi" w:cstheme="minorHAnsi"/>
          <w:lang w:val="en-US" w:eastAsia="el-GR"/>
        </w:rPr>
        <w:t xml:space="preserve">comes in haemodialysis patients. </w:t>
      </w:r>
      <w:r w:rsidRPr="005A464E">
        <w:rPr>
          <w:rFonts w:asciiTheme="minorHAnsi" w:eastAsia="Times New Roman" w:hAnsiTheme="minorHAnsi" w:cstheme="minorHAnsi"/>
          <w:i/>
          <w:lang w:val="en-US" w:eastAsia="el-GR"/>
        </w:rPr>
        <w:t>Nephrol</w:t>
      </w:r>
      <w:r w:rsidR="000D0325" w:rsidRPr="005A464E">
        <w:rPr>
          <w:rFonts w:asciiTheme="minorHAnsi" w:eastAsia="Times New Roman" w:hAnsiTheme="minorHAnsi" w:cstheme="minorHAnsi"/>
          <w:i/>
          <w:lang w:val="en-US" w:eastAsia="el-GR"/>
        </w:rPr>
        <w:t>ogy</w:t>
      </w:r>
      <w:r w:rsidR="00BB4BB3" w:rsidRPr="005A464E">
        <w:rPr>
          <w:rFonts w:asciiTheme="minorHAnsi" w:eastAsia="Times New Roman" w:hAnsiTheme="minorHAnsi" w:cstheme="minorHAnsi"/>
          <w:i/>
          <w:lang w:val="en-US" w:eastAsia="el-GR"/>
        </w:rPr>
        <w:t xml:space="preserve"> </w:t>
      </w:r>
      <w:r w:rsidRPr="005A464E">
        <w:rPr>
          <w:rFonts w:asciiTheme="minorHAnsi" w:eastAsia="Times New Roman" w:hAnsiTheme="minorHAnsi" w:cstheme="minorHAnsi"/>
          <w:i/>
          <w:lang w:val="en-US" w:eastAsia="el-GR"/>
        </w:rPr>
        <w:t>Dial</w:t>
      </w:r>
      <w:r w:rsidR="000D0325" w:rsidRPr="005A464E">
        <w:rPr>
          <w:rFonts w:asciiTheme="minorHAnsi" w:eastAsia="Times New Roman" w:hAnsiTheme="minorHAnsi" w:cstheme="minorHAnsi"/>
          <w:i/>
          <w:lang w:val="en-US" w:eastAsia="el-GR"/>
        </w:rPr>
        <w:t>ysis</w:t>
      </w:r>
      <w:r w:rsidR="00BB4BB3" w:rsidRPr="005A464E">
        <w:rPr>
          <w:rFonts w:asciiTheme="minorHAnsi" w:eastAsia="Times New Roman" w:hAnsiTheme="minorHAnsi" w:cstheme="minorHAnsi"/>
          <w:i/>
          <w:lang w:val="en-US" w:eastAsia="el-GR"/>
        </w:rPr>
        <w:t xml:space="preserve"> </w:t>
      </w:r>
      <w:r w:rsidRPr="005A464E">
        <w:rPr>
          <w:rFonts w:asciiTheme="minorHAnsi" w:eastAsia="Times New Roman" w:hAnsiTheme="minorHAnsi" w:cstheme="minorHAnsi"/>
          <w:i/>
          <w:lang w:val="en-US" w:eastAsia="el-GR"/>
        </w:rPr>
        <w:t>Transplant</w:t>
      </w:r>
      <w:r w:rsidR="000D0325" w:rsidRPr="005A464E">
        <w:rPr>
          <w:rFonts w:asciiTheme="minorHAnsi" w:eastAsia="Times New Roman" w:hAnsiTheme="minorHAnsi" w:cstheme="minorHAnsi"/>
          <w:i/>
          <w:lang w:val="en-US" w:eastAsia="el-GR"/>
        </w:rPr>
        <w:t>ation</w:t>
      </w:r>
      <w:r w:rsidR="000D0325" w:rsidRPr="005A464E">
        <w:rPr>
          <w:rFonts w:asciiTheme="minorHAnsi" w:eastAsia="Times New Roman" w:hAnsiTheme="minorHAnsi" w:cstheme="minorHAnsi"/>
          <w:lang w:val="en-US" w:eastAsia="el-GR"/>
        </w:rPr>
        <w:t>,</w:t>
      </w:r>
      <w:r w:rsidRPr="005A464E">
        <w:rPr>
          <w:rFonts w:asciiTheme="minorHAnsi" w:eastAsia="Times New Roman" w:hAnsiTheme="minorHAnsi" w:cstheme="minorHAnsi"/>
          <w:lang w:val="en-US" w:eastAsia="el-GR"/>
        </w:rPr>
        <w:t xml:space="preserve"> </w:t>
      </w:r>
      <w:r w:rsidR="00065443" w:rsidRPr="00065443">
        <w:rPr>
          <w:rFonts w:asciiTheme="minorHAnsi" w:eastAsia="Times New Roman" w:hAnsiTheme="minorHAnsi" w:cstheme="minorHAnsi"/>
          <w:i/>
          <w:lang w:val="en-US" w:eastAsia="el-GR"/>
        </w:rPr>
        <w:t>18</w:t>
      </w:r>
      <w:r w:rsidR="000D0325" w:rsidRPr="00065443">
        <w:rPr>
          <w:rFonts w:asciiTheme="minorHAnsi" w:eastAsia="Times New Roman" w:hAnsiTheme="minorHAnsi" w:cstheme="minorHAnsi"/>
          <w:i/>
          <w:lang w:val="en-US" w:eastAsia="el-GR"/>
        </w:rPr>
        <w:t>,</w:t>
      </w:r>
      <w:r w:rsidRPr="005A464E">
        <w:rPr>
          <w:rFonts w:asciiTheme="minorHAnsi" w:eastAsia="Times New Roman" w:hAnsiTheme="minorHAnsi" w:cstheme="minorHAnsi"/>
          <w:lang w:val="en-US" w:eastAsia="el-GR"/>
        </w:rPr>
        <w:t xml:space="preserve"> 1869-1873.</w:t>
      </w:r>
    </w:p>
    <w:p w:rsidR="000A40B1" w:rsidRDefault="008F3609" w:rsidP="000A40B1">
      <w:pPr>
        <w:pStyle w:val="Web"/>
        <w:spacing w:after="180" w:line="360" w:lineRule="auto"/>
        <w:ind w:left="450" w:hanging="450"/>
        <w:jc w:val="both"/>
        <w:rPr>
          <w:rFonts w:asciiTheme="minorHAnsi" w:hAnsiTheme="minorHAnsi" w:cstheme="minorHAnsi"/>
          <w:lang w:val="en-US"/>
        </w:rPr>
      </w:pPr>
      <w:hyperlink r:id="rId436" w:history="1">
        <w:r w:rsidR="00991AD2" w:rsidRPr="00991AD2">
          <w:rPr>
            <w:rStyle w:val="-"/>
            <w:rFonts w:asciiTheme="minorHAnsi" w:hAnsiTheme="minorHAnsi" w:cstheme="minorHAnsi"/>
            <w:color w:val="auto"/>
            <w:u w:val="none"/>
            <w:lang w:val="en-US"/>
          </w:rPr>
          <w:t>Zumrutdal</w:t>
        </w:r>
        <w:r w:rsidR="00991AD2">
          <w:rPr>
            <w:rStyle w:val="-"/>
            <w:rFonts w:asciiTheme="minorHAnsi" w:hAnsiTheme="minorHAnsi" w:cstheme="minorHAnsi"/>
            <w:color w:val="auto"/>
            <w:u w:val="none"/>
            <w:lang w:val="en-US"/>
          </w:rPr>
          <w:t>,</w:t>
        </w:r>
        <w:r w:rsidR="00991AD2" w:rsidRPr="00991AD2">
          <w:rPr>
            <w:rStyle w:val="-"/>
            <w:rFonts w:asciiTheme="minorHAnsi" w:hAnsiTheme="minorHAnsi" w:cstheme="minorHAnsi"/>
            <w:color w:val="auto"/>
            <w:u w:val="none"/>
            <w:lang w:val="en-US"/>
          </w:rPr>
          <w:t xml:space="preserve"> A</w:t>
        </w:r>
      </w:hyperlink>
      <w:r w:rsidR="00991AD2" w:rsidRPr="00991AD2">
        <w:rPr>
          <w:rFonts w:asciiTheme="minorHAnsi" w:hAnsiTheme="minorHAnsi" w:cstheme="minorHAnsi"/>
          <w:lang w:val="en-US"/>
        </w:rPr>
        <w:t>.</w:t>
      </w:r>
      <w:r w:rsidR="00991AD2">
        <w:rPr>
          <w:rFonts w:asciiTheme="minorHAnsi" w:hAnsiTheme="minorHAnsi" w:cstheme="minorHAnsi"/>
          <w:lang w:val="en-US"/>
        </w:rPr>
        <w:t xml:space="preserve"> (2013).</w:t>
      </w:r>
      <w:r w:rsidR="00991AD2" w:rsidRPr="00991AD2">
        <w:rPr>
          <w:rFonts w:asciiTheme="minorHAnsi" w:hAnsiTheme="minorHAnsi" w:cstheme="minorHAnsi"/>
          <w:lang w:val="en-US"/>
        </w:rPr>
        <w:t xml:space="preserve"> An overlooked complication of hemodialysis: hoarseness. </w:t>
      </w:r>
      <w:hyperlink r:id="rId437" w:tooltip="Hemodialysis international. International Symposium on Home Hemodialysis." w:history="1">
        <w:r w:rsidR="00991AD2" w:rsidRPr="00991AD2">
          <w:rPr>
            <w:rStyle w:val="-"/>
            <w:rFonts w:asciiTheme="minorHAnsi" w:hAnsiTheme="minorHAnsi" w:cstheme="minorHAnsi"/>
            <w:i/>
            <w:color w:val="auto"/>
            <w:u w:val="none"/>
            <w:lang w:val="en-US"/>
          </w:rPr>
          <w:t xml:space="preserve">Hemodialysis International,  </w:t>
        </w:r>
      </w:hyperlink>
      <w:r w:rsidR="00991AD2" w:rsidRPr="00991AD2">
        <w:rPr>
          <w:rFonts w:asciiTheme="minorHAnsi" w:hAnsiTheme="minorHAnsi" w:cstheme="minorHAnsi"/>
          <w:i/>
          <w:lang w:val="en-US"/>
        </w:rPr>
        <w:t>17</w:t>
      </w:r>
      <w:r w:rsidR="00991AD2">
        <w:rPr>
          <w:rFonts w:asciiTheme="minorHAnsi" w:hAnsiTheme="minorHAnsi" w:cstheme="minorHAnsi"/>
          <w:lang w:val="en-US"/>
        </w:rPr>
        <w:t>, 633-8. DOI</w:t>
      </w:r>
      <w:r w:rsidR="00991AD2" w:rsidRPr="00991AD2">
        <w:rPr>
          <w:rFonts w:asciiTheme="minorHAnsi" w:hAnsiTheme="minorHAnsi" w:cstheme="minorHAnsi"/>
          <w:lang w:val="en-US"/>
        </w:rPr>
        <w:t xml:space="preserve">: 10.1111/hdi.12028. </w:t>
      </w:r>
    </w:p>
    <w:p w:rsidR="00AD2B6A" w:rsidRPr="003B7581" w:rsidRDefault="00AD2B6A" w:rsidP="00AD2B6A">
      <w:pPr>
        <w:pStyle w:val="Web"/>
        <w:spacing w:after="180" w:line="360" w:lineRule="auto"/>
        <w:ind w:left="450" w:hanging="450"/>
        <w:jc w:val="both"/>
        <w:rPr>
          <w:rFonts w:asciiTheme="minorHAnsi" w:hAnsiTheme="minorHAnsi" w:cstheme="minorHAnsi"/>
          <w:lang w:val="en-US"/>
        </w:rPr>
      </w:pPr>
      <w:r w:rsidRPr="003B7581">
        <w:rPr>
          <w:rFonts w:asciiTheme="minorHAnsi" w:hAnsiTheme="minorHAnsi" w:cstheme="minorHAnsi"/>
          <w:lang w:val="en-US"/>
        </w:rPr>
        <w:t xml:space="preserve">Zyga, S.,  Brokalaki, H., Virvidakis, K., &amp; Baltopoulos, G. (2005). The influence of varying blood and dialysate flow on haemodialysis adequacy. </w:t>
      </w:r>
      <w:r w:rsidRPr="003B7581">
        <w:rPr>
          <w:rFonts w:asciiTheme="minorHAnsi" w:hAnsiTheme="minorHAnsi" w:cstheme="minorHAnsi"/>
          <w:i/>
          <w:lang w:val="en-US"/>
        </w:rPr>
        <w:t xml:space="preserve">EDTNA/ERCA Journal,31, </w:t>
      </w:r>
      <w:r w:rsidRPr="003B7581">
        <w:rPr>
          <w:rFonts w:asciiTheme="minorHAnsi" w:hAnsiTheme="minorHAnsi" w:cstheme="minorHAnsi"/>
          <w:lang w:val="en-US"/>
        </w:rPr>
        <w:t>24-26.</w:t>
      </w:r>
    </w:p>
    <w:p w:rsidR="00AD2B6A" w:rsidRPr="00AD2B6A" w:rsidRDefault="00AD2B6A" w:rsidP="00AD2B6A">
      <w:pPr>
        <w:pStyle w:val="Web"/>
        <w:spacing w:after="180" w:line="360" w:lineRule="auto"/>
        <w:ind w:left="450" w:hanging="450"/>
        <w:jc w:val="both"/>
        <w:rPr>
          <w:rFonts w:asciiTheme="minorHAnsi" w:hAnsiTheme="minorHAnsi" w:cstheme="minorHAnsi"/>
          <w:i/>
          <w:lang w:val="en-US" w:eastAsia="el-GR"/>
        </w:rPr>
      </w:pPr>
      <w:r w:rsidRPr="003B7581">
        <w:rPr>
          <w:rFonts w:asciiTheme="minorHAnsi" w:hAnsiTheme="minorHAnsi" w:cstheme="minorHAnsi"/>
          <w:lang w:val="en-US"/>
        </w:rPr>
        <w:t>Zyga, S.</w:t>
      </w:r>
      <w:r w:rsidR="00245DE9">
        <w:rPr>
          <w:rFonts w:asciiTheme="minorHAnsi" w:hAnsiTheme="minorHAnsi" w:cstheme="minorHAnsi"/>
          <w:lang w:val="en-US"/>
        </w:rPr>
        <w:t>,  &amp; Sarafis, P. (20</w:t>
      </w:r>
      <w:r w:rsidR="00245DE9" w:rsidRPr="00044EA5">
        <w:rPr>
          <w:rFonts w:asciiTheme="minorHAnsi" w:hAnsiTheme="minorHAnsi" w:cstheme="minorHAnsi"/>
          <w:lang w:val="en-US"/>
        </w:rPr>
        <w:t>09</w:t>
      </w:r>
      <w:r w:rsidRPr="003B7581">
        <w:rPr>
          <w:rFonts w:asciiTheme="minorHAnsi" w:hAnsiTheme="minorHAnsi" w:cstheme="minorHAnsi"/>
          <w:lang w:val="en-US"/>
        </w:rPr>
        <w:t>). Haemodialysis adequacy</w:t>
      </w:r>
      <w:r w:rsidR="006F76AB" w:rsidRPr="003B7581">
        <w:rPr>
          <w:rFonts w:asciiTheme="minorHAnsi" w:hAnsiTheme="minorHAnsi" w:cstheme="minorHAnsi"/>
          <w:lang w:val="en-US"/>
        </w:rPr>
        <w:t xml:space="preserve"> </w:t>
      </w:r>
      <w:r w:rsidRPr="003B7581">
        <w:rPr>
          <w:rFonts w:asciiTheme="minorHAnsi" w:hAnsiTheme="minorHAnsi" w:cstheme="minorHAnsi"/>
          <w:lang w:val="en-US"/>
        </w:rPr>
        <w:t xml:space="preserve">- contemporary trends. </w:t>
      </w:r>
      <w:r w:rsidRPr="003B7581">
        <w:rPr>
          <w:rFonts w:asciiTheme="minorHAnsi" w:hAnsiTheme="minorHAnsi" w:cstheme="minorHAnsi"/>
          <w:i/>
          <w:lang w:val="en-US"/>
        </w:rPr>
        <w:t>Health Science Journal</w:t>
      </w:r>
      <w:r w:rsidR="0033218F" w:rsidRPr="003B7581">
        <w:rPr>
          <w:rFonts w:asciiTheme="minorHAnsi" w:hAnsiTheme="minorHAnsi" w:cstheme="minorHAnsi"/>
          <w:i/>
          <w:lang w:val="en-US"/>
        </w:rPr>
        <w:t>,</w:t>
      </w:r>
      <w:r w:rsidR="003B7581">
        <w:rPr>
          <w:rFonts w:asciiTheme="minorHAnsi" w:hAnsiTheme="minorHAnsi" w:cstheme="minorHAnsi"/>
          <w:i/>
          <w:lang w:val="en-US"/>
        </w:rPr>
        <w:t xml:space="preserve"> </w:t>
      </w:r>
      <w:r w:rsidRPr="003B7581">
        <w:rPr>
          <w:rFonts w:asciiTheme="minorHAnsi" w:hAnsiTheme="minorHAnsi" w:cstheme="minorHAnsi"/>
          <w:i/>
          <w:lang w:val="en-US"/>
        </w:rPr>
        <w:t xml:space="preserve">3, </w:t>
      </w:r>
      <w:r w:rsidR="006F76AB" w:rsidRPr="003B7581">
        <w:rPr>
          <w:rFonts w:asciiTheme="minorHAnsi" w:hAnsiTheme="minorHAnsi" w:cstheme="minorHAnsi"/>
          <w:lang w:val="en-US"/>
        </w:rPr>
        <w:t>209-215.</w:t>
      </w:r>
    </w:p>
    <w:p w:rsidR="000A40B1" w:rsidRPr="000A40B1" w:rsidRDefault="008F3609" w:rsidP="000A40B1">
      <w:pPr>
        <w:pStyle w:val="Web"/>
        <w:spacing w:after="180" w:line="360" w:lineRule="auto"/>
        <w:ind w:left="450" w:hanging="450"/>
        <w:jc w:val="both"/>
        <w:rPr>
          <w:rFonts w:asciiTheme="minorHAnsi" w:hAnsiTheme="minorHAnsi" w:cstheme="minorHAnsi"/>
          <w:lang w:val="en-US"/>
        </w:rPr>
      </w:pPr>
      <w:hyperlink r:id="rId438" w:history="1">
        <w:r w:rsidR="000A40B1" w:rsidRPr="000A40B1">
          <w:rPr>
            <w:rStyle w:val="-"/>
            <w:rFonts w:asciiTheme="minorHAnsi" w:hAnsiTheme="minorHAnsi" w:cstheme="minorHAnsi"/>
            <w:color w:val="auto"/>
            <w:u w:val="none"/>
            <w:shd w:val="clear" w:color="auto" w:fill="FFFFFF"/>
            <w:lang w:val="en-US"/>
          </w:rPr>
          <w:t>Zyga, S</w:t>
        </w:r>
      </w:hyperlink>
      <w:r w:rsidR="000A40B1" w:rsidRPr="000A40B1">
        <w:rPr>
          <w:rFonts w:asciiTheme="minorHAnsi" w:hAnsiTheme="minorHAnsi" w:cstheme="minorHAnsi"/>
          <w:lang w:val="en-US"/>
        </w:rPr>
        <w:t>.</w:t>
      </w:r>
      <w:r w:rsidR="000A40B1" w:rsidRPr="000A40B1">
        <w:rPr>
          <w:rFonts w:asciiTheme="minorHAnsi" w:hAnsiTheme="minorHAnsi" w:cstheme="minorHAnsi"/>
          <w:shd w:val="clear" w:color="auto" w:fill="FFFFFF"/>
          <w:lang w:val="en-US"/>
        </w:rPr>
        <w:t>, </w:t>
      </w:r>
      <w:hyperlink r:id="rId439" w:history="1">
        <w:r w:rsidR="000A40B1" w:rsidRPr="000A40B1">
          <w:rPr>
            <w:rStyle w:val="-"/>
            <w:rFonts w:asciiTheme="minorHAnsi" w:hAnsiTheme="minorHAnsi" w:cstheme="minorHAnsi"/>
            <w:color w:val="auto"/>
            <w:u w:val="none"/>
            <w:shd w:val="clear" w:color="auto" w:fill="FFFFFF"/>
            <w:lang w:val="en-US"/>
          </w:rPr>
          <w:t>Christopoulou, G</w:t>
        </w:r>
      </w:hyperlink>
      <w:r w:rsidR="000A40B1" w:rsidRPr="000A40B1">
        <w:rPr>
          <w:rFonts w:asciiTheme="minorHAnsi" w:hAnsiTheme="minorHAnsi" w:cstheme="minorHAnsi"/>
          <w:lang w:val="en-US"/>
        </w:rPr>
        <w:t>.</w:t>
      </w:r>
      <w:r w:rsidR="000A40B1" w:rsidRPr="000A40B1">
        <w:rPr>
          <w:rFonts w:asciiTheme="minorHAnsi" w:hAnsiTheme="minorHAnsi" w:cstheme="minorHAnsi"/>
          <w:shd w:val="clear" w:color="auto" w:fill="FFFFFF"/>
          <w:lang w:val="en-US"/>
        </w:rPr>
        <w:t>, </w:t>
      </w:r>
      <w:r w:rsidR="00AD2B6A">
        <w:rPr>
          <w:rFonts w:asciiTheme="minorHAnsi" w:hAnsiTheme="minorHAnsi" w:cstheme="minorHAnsi"/>
          <w:shd w:val="clear" w:color="auto" w:fill="FFFFFF"/>
          <w:lang w:val="en-US"/>
        </w:rPr>
        <w:t xml:space="preserve">&amp; </w:t>
      </w:r>
      <w:hyperlink r:id="rId440" w:history="1">
        <w:r w:rsidR="000A40B1" w:rsidRPr="000A40B1">
          <w:rPr>
            <w:rStyle w:val="-"/>
            <w:rFonts w:asciiTheme="minorHAnsi" w:hAnsiTheme="minorHAnsi" w:cstheme="minorHAnsi"/>
            <w:color w:val="auto"/>
            <w:u w:val="none"/>
            <w:shd w:val="clear" w:color="auto" w:fill="FFFFFF"/>
            <w:lang w:val="en-US"/>
          </w:rPr>
          <w:t>Malliarou, M</w:t>
        </w:r>
      </w:hyperlink>
      <w:r w:rsidR="000A40B1" w:rsidRPr="000A40B1">
        <w:rPr>
          <w:rFonts w:asciiTheme="minorHAnsi" w:hAnsiTheme="minorHAnsi" w:cstheme="minorHAnsi"/>
          <w:shd w:val="clear" w:color="auto" w:fill="FFFFFF"/>
          <w:lang w:val="en-US"/>
        </w:rPr>
        <w:t xml:space="preserve">. (2011). </w:t>
      </w:r>
      <w:r w:rsidR="000A40B1" w:rsidRPr="000A40B1">
        <w:rPr>
          <w:rStyle w:val="highlight"/>
          <w:rFonts w:asciiTheme="minorHAnsi" w:hAnsiTheme="minorHAnsi" w:cstheme="minorHAnsi"/>
          <w:lang w:val="en-US"/>
        </w:rPr>
        <w:t>Malnutrition-inflammation- atherosclerosis</w:t>
      </w:r>
      <w:r w:rsidR="000A40B1" w:rsidRPr="000A40B1">
        <w:rPr>
          <w:rFonts w:asciiTheme="minorHAnsi" w:hAnsiTheme="minorHAnsi" w:cstheme="minorHAnsi"/>
          <w:lang w:val="en-US"/>
        </w:rPr>
        <w:t> </w:t>
      </w:r>
      <w:r w:rsidR="000A40B1" w:rsidRPr="000A40B1">
        <w:rPr>
          <w:rStyle w:val="highlight"/>
          <w:rFonts w:asciiTheme="minorHAnsi" w:hAnsiTheme="minorHAnsi" w:cstheme="minorHAnsi"/>
          <w:lang w:val="en-US"/>
        </w:rPr>
        <w:t>syndrome</w:t>
      </w:r>
      <w:r w:rsidR="000A40B1" w:rsidRPr="000A40B1">
        <w:rPr>
          <w:rFonts w:asciiTheme="minorHAnsi" w:hAnsiTheme="minorHAnsi" w:cstheme="minorHAnsi"/>
          <w:lang w:val="en-US"/>
        </w:rPr>
        <w:t> in </w:t>
      </w:r>
      <w:r w:rsidR="000A40B1" w:rsidRPr="000A40B1">
        <w:rPr>
          <w:rStyle w:val="highlight"/>
          <w:rFonts w:asciiTheme="minorHAnsi" w:hAnsiTheme="minorHAnsi" w:cstheme="minorHAnsi"/>
          <w:lang w:val="en-US"/>
        </w:rPr>
        <w:t>patients</w:t>
      </w:r>
      <w:r w:rsidR="000A40B1" w:rsidRPr="000A40B1">
        <w:rPr>
          <w:rFonts w:asciiTheme="minorHAnsi" w:hAnsiTheme="minorHAnsi" w:cstheme="minorHAnsi"/>
          <w:lang w:val="en-US"/>
        </w:rPr>
        <w:t> with </w:t>
      </w:r>
      <w:r w:rsidR="000A40B1" w:rsidRPr="000A40B1">
        <w:rPr>
          <w:rStyle w:val="highlight"/>
          <w:rFonts w:asciiTheme="minorHAnsi" w:hAnsiTheme="minorHAnsi" w:cstheme="minorHAnsi"/>
          <w:lang w:val="en-US"/>
        </w:rPr>
        <w:t>end-stage renal disease</w:t>
      </w:r>
      <w:r w:rsidR="000A40B1" w:rsidRPr="000A40B1">
        <w:rPr>
          <w:rFonts w:asciiTheme="minorHAnsi" w:hAnsiTheme="minorHAnsi" w:cstheme="minorHAnsi"/>
          <w:lang w:val="en-US"/>
        </w:rPr>
        <w:t>.</w:t>
      </w:r>
      <w:r w:rsidR="000A40B1" w:rsidRPr="000A40B1">
        <w:rPr>
          <w:rFonts w:asciiTheme="minorHAnsi" w:hAnsiTheme="minorHAnsi" w:cstheme="minorHAnsi"/>
          <w:shd w:val="clear" w:color="auto" w:fill="FFFFFF"/>
          <w:lang w:val="en-US"/>
        </w:rPr>
        <w:t xml:space="preserve"> </w:t>
      </w:r>
      <w:hyperlink r:id="rId441" w:tooltip="Journal of renal care." w:history="1">
        <w:r w:rsidR="000A40B1" w:rsidRPr="000A40B1">
          <w:rPr>
            <w:rStyle w:val="-"/>
            <w:rFonts w:asciiTheme="minorHAnsi" w:hAnsiTheme="minorHAnsi" w:cstheme="minorHAnsi"/>
            <w:i/>
            <w:color w:val="auto"/>
            <w:u w:val="none"/>
            <w:shd w:val="clear" w:color="auto" w:fill="FFFFFF"/>
            <w:lang w:val="en-US"/>
          </w:rPr>
          <w:t>Journal of Renal Care</w:t>
        </w:r>
        <w:r w:rsidR="000A40B1">
          <w:rPr>
            <w:rStyle w:val="-"/>
            <w:rFonts w:asciiTheme="minorHAnsi" w:hAnsiTheme="minorHAnsi" w:cstheme="minorHAnsi"/>
            <w:i/>
            <w:color w:val="auto"/>
            <w:u w:val="none"/>
            <w:shd w:val="clear" w:color="auto" w:fill="FFFFFF"/>
            <w:lang w:val="en-US"/>
          </w:rPr>
          <w:t>,</w:t>
        </w:r>
      </w:hyperlink>
      <w:r w:rsidR="000A40B1">
        <w:rPr>
          <w:rFonts w:asciiTheme="minorHAnsi" w:hAnsiTheme="minorHAnsi" w:cstheme="minorHAnsi"/>
          <w:i/>
          <w:shd w:val="clear" w:color="auto" w:fill="FFFFFF"/>
          <w:lang w:val="en-US"/>
        </w:rPr>
        <w:t xml:space="preserve"> </w:t>
      </w:r>
      <w:r w:rsidR="000A40B1" w:rsidRPr="000A40B1">
        <w:rPr>
          <w:rFonts w:asciiTheme="minorHAnsi" w:hAnsiTheme="minorHAnsi" w:cstheme="minorHAnsi"/>
          <w:shd w:val="clear" w:color="auto" w:fill="FFFFFF"/>
          <w:lang w:val="en-US"/>
        </w:rPr>
        <w:t> </w:t>
      </w:r>
      <w:r w:rsidR="000A40B1">
        <w:rPr>
          <w:rFonts w:asciiTheme="minorHAnsi" w:hAnsiTheme="minorHAnsi" w:cstheme="minorHAnsi"/>
          <w:shd w:val="clear" w:color="auto" w:fill="FFFFFF"/>
          <w:lang w:val="en-US"/>
        </w:rPr>
        <w:t xml:space="preserve">37, </w:t>
      </w:r>
      <w:r w:rsidR="000A40B1" w:rsidRPr="000A40B1">
        <w:rPr>
          <w:rFonts w:asciiTheme="minorHAnsi" w:hAnsiTheme="minorHAnsi" w:cstheme="minorHAnsi"/>
          <w:shd w:val="clear" w:color="auto" w:fill="FFFFFF"/>
          <w:lang w:val="en-US"/>
        </w:rPr>
        <w:t>12-</w:t>
      </w:r>
      <w:r w:rsidR="000A40B1">
        <w:rPr>
          <w:rFonts w:asciiTheme="minorHAnsi" w:hAnsiTheme="minorHAnsi" w:cstheme="minorHAnsi"/>
          <w:shd w:val="clear" w:color="auto" w:fill="FFFFFF"/>
          <w:lang w:val="en-US"/>
        </w:rPr>
        <w:t>15. DOI</w:t>
      </w:r>
      <w:r w:rsidR="000A40B1" w:rsidRPr="000A40B1">
        <w:rPr>
          <w:rFonts w:asciiTheme="minorHAnsi" w:hAnsiTheme="minorHAnsi" w:cstheme="minorHAnsi"/>
          <w:shd w:val="clear" w:color="auto" w:fill="FFFFFF"/>
          <w:lang w:val="en-US"/>
        </w:rPr>
        <w:t>: 10.1111/j.1755-6686.2011.00201.x.</w:t>
      </w:r>
    </w:p>
    <w:p w:rsidR="00D67E62" w:rsidRDefault="00D67E62" w:rsidP="00D67E62">
      <w:pPr>
        <w:pStyle w:val="Web"/>
        <w:spacing w:after="180" w:line="360" w:lineRule="auto"/>
        <w:ind w:left="450" w:hanging="450"/>
        <w:jc w:val="both"/>
        <w:rPr>
          <w:rFonts w:asciiTheme="minorHAnsi" w:hAnsiTheme="minorHAnsi" w:cstheme="minorHAnsi"/>
          <w:color w:val="000000"/>
          <w:shd w:val="clear" w:color="auto" w:fill="FFFFFF"/>
          <w:lang w:val="en-US"/>
        </w:rPr>
      </w:pPr>
      <w:r w:rsidRPr="00D67E62">
        <w:rPr>
          <w:rFonts w:asciiTheme="minorHAnsi" w:hAnsiTheme="minorHAnsi" w:cstheme="minorHAnsi"/>
          <w:color w:val="000000"/>
          <w:shd w:val="clear" w:color="auto" w:fill="FFFFFF"/>
          <w:lang w:val="en-US"/>
        </w:rPr>
        <w:t>Zyga, S., Alikari, V., Sachlas, A., Stathoulis, J., Aroni, A., Theofilou, P., Panoutsopoulos, G. (2015</w:t>
      </w:r>
      <w:r w:rsidR="00F909ED">
        <w:rPr>
          <w:rFonts w:asciiTheme="minorHAnsi" w:hAnsiTheme="minorHAnsi" w:cstheme="minorHAnsi"/>
          <w:color w:val="000000"/>
          <w:shd w:val="clear" w:color="auto" w:fill="FFFFFF"/>
          <w:lang w:val="en-US"/>
        </w:rPr>
        <w:t>a</w:t>
      </w:r>
      <w:r w:rsidRPr="00D67E62">
        <w:rPr>
          <w:rFonts w:asciiTheme="minorHAnsi" w:hAnsiTheme="minorHAnsi" w:cstheme="minorHAnsi"/>
          <w:color w:val="000000"/>
          <w:shd w:val="clear" w:color="auto" w:fill="FFFFFF"/>
          <w:lang w:val="en-US"/>
        </w:rPr>
        <w:t>).</w:t>
      </w:r>
      <w:r w:rsidRPr="00D67E62">
        <w:rPr>
          <w:rFonts w:asciiTheme="minorHAnsi" w:hAnsiTheme="minorHAnsi" w:cstheme="minorHAnsi"/>
          <w:color w:val="000000"/>
          <w:lang w:val="en-US"/>
        </w:rPr>
        <w:t xml:space="preserve"> </w:t>
      </w:r>
      <w:r w:rsidRPr="00D67E62">
        <w:rPr>
          <w:rStyle w:val="highlight"/>
          <w:rFonts w:asciiTheme="minorHAnsi" w:hAnsiTheme="minorHAnsi" w:cstheme="minorHAnsi"/>
          <w:color w:val="000000"/>
          <w:lang w:val="en-US"/>
        </w:rPr>
        <w:t>Management</w:t>
      </w:r>
      <w:r w:rsidRPr="00D67E62">
        <w:rPr>
          <w:rFonts w:asciiTheme="minorHAnsi" w:hAnsiTheme="minorHAnsi" w:cstheme="minorHAnsi"/>
          <w:color w:val="000000"/>
          <w:lang w:val="en-US"/>
        </w:rPr>
        <w:t> of </w:t>
      </w:r>
      <w:r w:rsidR="00F909ED" w:rsidRPr="00D67E62">
        <w:rPr>
          <w:rStyle w:val="highlight"/>
          <w:rFonts w:asciiTheme="minorHAnsi" w:hAnsiTheme="minorHAnsi" w:cstheme="minorHAnsi"/>
          <w:color w:val="000000"/>
          <w:lang w:val="en-US"/>
        </w:rPr>
        <w:t>pain</w:t>
      </w:r>
      <w:r w:rsidR="00F909ED" w:rsidRPr="00D67E62">
        <w:rPr>
          <w:rFonts w:asciiTheme="minorHAnsi" w:hAnsiTheme="minorHAnsi" w:cstheme="minorHAnsi"/>
          <w:color w:val="000000"/>
          <w:lang w:val="en-US"/>
        </w:rPr>
        <w:t> and </w:t>
      </w:r>
      <w:r w:rsidR="00F909ED" w:rsidRPr="00D67E62">
        <w:rPr>
          <w:rStyle w:val="highlight"/>
          <w:rFonts w:asciiTheme="minorHAnsi" w:hAnsiTheme="minorHAnsi" w:cstheme="minorHAnsi"/>
          <w:color w:val="000000"/>
          <w:lang w:val="en-US"/>
        </w:rPr>
        <w:t>quality of life</w:t>
      </w:r>
      <w:r w:rsidR="00F909ED" w:rsidRPr="00D67E62">
        <w:rPr>
          <w:rFonts w:asciiTheme="minorHAnsi" w:hAnsiTheme="minorHAnsi" w:cstheme="minorHAnsi"/>
          <w:color w:val="000000"/>
          <w:lang w:val="en-US"/>
        </w:rPr>
        <w:t> in </w:t>
      </w:r>
      <w:r w:rsidR="00F909ED" w:rsidRPr="00D67E62">
        <w:rPr>
          <w:rStyle w:val="highlight"/>
          <w:rFonts w:asciiTheme="minorHAnsi" w:hAnsiTheme="minorHAnsi" w:cstheme="minorHAnsi"/>
          <w:color w:val="000000"/>
          <w:lang w:val="en-US"/>
        </w:rPr>
        <w:t>patients</w:t>
      </w:r>
      <w:r w:rsidR="00F909ED" w:rsidRPr="00D67E62">
        <w:rPr>
          <w:rFonts w:asciiTheme="minorHAnsi" w:hAnsiTheme="minorHAnsi" w:cstheme="minorHAnsi"/>
          <w:color w:val="000000"/>
          <w:lang w:val="en-US"/>
        </w:rPr>
        <w:t> with </w:t>
      </w:r>
      <w:r w:rsidR="00F909ED" w:rsidRPr="00D67E62">
        <w:rPr>
          <w:rStyle w:val="highlight"/>
          <w:rFonts w:asciiTheme="minorHAnsi" w:hAnsiTheme="minorHAnsi" w:cstheme="minorHAnsi"/>
          <w:color w:val="000000"/>
          <w:lang w:val="en-US"/>
        </w:rPr>
        <w:t>chronic kidney disease</w:t>
      </w:r>
      <w:r w:rsidR="00F909ED" w:rsidRPr="00D67E62">
        <w:rPr>
          <w:rFonts w:asciiTheme="minorHAnsi" w:hAnsiTheme="minorHAnsi" w:cstheme="minorHAnsi"/>
          <w:color w:val="000000"/>
          <w:lang w:val="en-US"/>
        </w:rPr>
        <w:t> </w:t>
      </w:r>
      <w:r w:rsidR="00F909ED" w:rsidRPr="00D67E62">
        <w:rPr>
          <w:rStyle w:val="highlight"/>
          <w:rFonts w:asciiTheme="minorHAnsi" w:hAnsiTheme="minorHAnsi" w:cstheme="minorHAnsi"/>
          <w:color w:val="000000"/>
          <w:lang w:val="en-US"/>
        </w:rPr>
        <w:t>undergoinghemodialysis</w:t>
      </w:r>
      <w:r w:rsidRPr="00D67E62">
        <w:rPr>
          <w:rFonts w:asciiTheme="minorHAnsi" w:hAnsiTheme="minorHAnsi" w:cstheme="minorHAnsi"/>
          <w:color w:val="000000"/>
          <w:lang w:val="en-US"/>
        </w:rPr>
        <w:t>.</w:t>
      </w:r>
      <w:r>
        <w:rPr>
          <w:rFonts w:asciiTheme="minorHAnsi" w:hAnsiTheme="minorHAnsi" w:cstheme="minorHAnsi"/>
          <w:color w:val="000000"/>
          <w:lang w:val="en-US"/>
        </w:rPr>
        <w:t xml:space="preserve"> </w:t>
      </w:r>
      <w:r w:rsidR="00F909ED" w:rsidRPr="00F909ED">
        <w:rPr>
          <w:rFonts w:asciiTheme="minorHAnsi" w:hAnsiTheme="minorHAnsi" w:cstheme="minorHAnsi"/>
          <w:i/>
          <w:color w:val="000000"/>
          <w:lang w:val="en-US"/>
        </w:rPr>
        <w:t xml:space="preserve">Pain Management Nursing, </w:t>
      </w:r>
      <w:r w:rsidR="00F909ED" w:rsidRPr="00F909ED">
        <w:rPr>
          <w:rFonts w:asciiTheme="minorHAnsi" w:hAnsiTheme="minorHAnsi" w:cstheme="minorHAnsi"/>
          <w:i/>
          <w:color w:val="000000"/>
          <w:shd w:val="clear" w:color="auto" w:fill="FFFFFF"/>
          <w:lang w:val="en-US"/>
        </w:rPr>
        <w:t>16</w:t>
      </w:r>
      <w:r w:rsidR="00F909ED">
        <w:rPr>
          <w:rFonts w:asciiTheme="minorHAnsi" w:hAnsiTheme="minorHAnsi" w:cstheme="minorHAnsi"/>
          <w:color w:val="000000"/>
          <w:shd w:val="clear" w:color="auto" w:fill="FFFFFF"/>
          <w:lang w:val="en-US"/>
        </w:rPr>
        <w:t xml:space="preserve">, </w:t>
      </w:r>
      <w:r w:rsidR="00F909ED" w:rsidRPr="00F909ED">
        <w:rPr>
          <w:rFonts w:asciiTheme="minorHAnsi" w:hAnsiTheme="minorHAnsi" w:cstheme="minorHAnsi"/>
          <w:color w:val="000000"/>
          <w:shd w:val="clear" w:color="auto" w:fill="FFFFFF"/>
          <w:lang w:val="en-US"/>
        </w:rPr>
        <w:t>712-</w:t>
      </w:r>
      <w:r w:rsidR="00F909ED">
        <w:rPr>
          <w:rFonts w:asciiTheme="minorHAnsi" w:hAnsiTheme="minorHAnsi" w:cstheme="minorHAnsi"/>
          <w:color w:val="000000"/>
          <w:shd w:val="clear" w:color="auto" w:fill="FFFFFF"/>
          <w:lang w:val="en-US"/>
        </w:rPr>
        <w:t>7</w:t>
      </w:r>
      <w:r w:rsidR="00F909ED" w:rsidRPr="00F909ED">
        <w:rPr>
          <w:rFonts w:asciiTheme="minorHAnsi" w:hAnsiTheme="minorHAnsi" w:cstheme="minorHAnsi"/>
          <w:color w:val="000000"/>
          <w:shd w:val="clear" w:color="auto" w:fill="FFFFFF"/>
          <w:lang w:val="en-US"/>
        </w:rPr>
        <w:t xml:space="preserve">20. </w:t>
      </w:r>
      <w:r w:rsidR="00F909ED">
        <w:rPr>
          <w:rFonts w:asciiTheme="minorHAnsi" w:hAnsiTheme="minorHAnsi" w:cstheme="minorHAnsi"/>
          <w:color w:val="000000"/>
          <w:shd w:val="clear" w:color="auto" w:fill="FFFFFF"/>
          <w:lang w:val="en-US"/>
        </w:rPr>
        <w:t>DOI</w:t>
      </w:r>
      <w:r w:rsidR="00F909ED" w:rsidRPr="00F909ED">
        <w:rPr>
          <w:rFonts w:asciiTheme="minorHAnsi" w:hAnsiTheme="minorHAnsi" w:cstheme="minorHAnsi"/>
          <w:color w:val="000000"/>
          <w:shd w:val="clear" w:color="auto" w:fill="FFFFFF"/>
          <w:lang w:val="en-US"/>
        </w:rPr>
        <w:t>: 10.1016/j.pmn.2015.03.004</w:t>
      </w:r>
      <w:r w:rsidR="00F909ED">
        <w:rPr>
          <w:rFonts w:asciiTheme="minorHAnsi" w:hAnsiTheme="minorHAnsi" w:cstheme="minorHAnsi"/>
          <w:color w:val="000000"/>
          <w:shd w:val="clear" w:color="auto" w:fill="FFFFFF"/>
          <w:lang w:val="en-US"/>
        </w:rPr>
        <w:t>.</w:t>
      </w:r>
    </w:p>
    <w:p w:rsidR="00F909ED" w:rsidRPr="00044EA5" w:rsidRDefault="00F909ED" w:rsidP="00F909ED">
      <w:pPr>
        <w:pStyle w:val="Web"/>
        <w:spacing w:after="180" w:line="360" w:lineRule="auto"/>
        <w:ind w:left="450" w:hanging="450"/>
        <w:jc w:val="both"/>
        <w:rPr>
          <w:rFonts w:asciiTheme="minorHAnsi" w:hAnsiTheme="minorHAnsi" w:cstheme="minorHAnsi"/>
          <w:shd w:val="clear" w:color="auto" w:fill="FFFFFF"/>
        </w:rPr>
      </w:pPr>
      <w:r w:rsidRPr="000E43D4">
        <w:rPr>
          <w:rFonts w:asciiTheme="minorHAnsi" w:hAnsiTheme="minorHAnsi" w:cstheme="minorHAnsi"/>
          <w:shd w:val="clear" w:color="auto" w:fill="FFFFFF"/>
          <w:lang w:val="en-US"/>
        </w:rPr>
        <w:t>Zyga, S., Alikari, V., Sachlas, A., Fradelos, E. C., Stathoulis, J., Panoutsopoulos, G., … Lavdaniti, M. (2015</w:t>
      </w:r>
      <w:r>
        <w:rPr>
          <w:rFonts w:asciiTheme="minorHAnsi" w:hAnsiTheme="minorHAnsi" w:cstheme="minorHAnsi"/>
          <w:shd w:val="clear" w:color="auto" w:fill="FFFFFF"/>
          <w:lang w:val="en-US"/>
        </w:rPr>
        <w:t>b</w:t>
      </w:r>
      <w:r w:rsidRPr="000E43D4">
        <w:rPr>
          <w:rFonts w:asciiTheme="minorHAnsi" w:hAnsiTheme="minorHAnsi" w:cstheme="minorHAnsi"/>
          <w:shd w:val="clear" w:color="auto" w:fill="FFFFFF"/>
          <w:lang w:val="en-US"/>
        </w:rPr>
        <w:t>). Assessment of Fatigue in End Stage Renal Disease Patients Undergoing Hemodialysis: Prevalence and Associated Factors. </w:t>
      </w:r>
      <w:r w:rsidRPr="00666053">
        <w:rPr>
          <w:rFonts w:asciiTheme="minorHAnsi" w:hAnsiTheme="minorHAnsi" w:cstheme="minorHAnsi"/>
          <w:i/>
          <w:iCs/>
          <w:shd w:val="clear" w:color="auto" w:fill="FFFFFF"/>
          <w:lang w:val="en-US"/>
        </w:rPr>
        <w:t>Medical</w:t>
      </w:r>
      <w:r w:rsidRPr="00EF6A06">
        <w:rPr>
          <w:rFonts w:asciiTheme="minorHAnsi" w:hAnsiTheme="minorHAnsi" w:cstheme="minorHAnsi"/>
          <w:i/>
          <w:iCs/>
          <w:shd w:val="clear" w:color="auto" w:fill="FFFFFF"/>
        </w:rPr>
        <w:t xml:space="preserve"> </w:t>
      </w:r>
      <w:r w:rsidRPr="00666053">
        <w:rPr>
          <w:rFonts w:asciiTheme="minorHAnsi" w:hAnsiTheme="minorHAnsi" w:cstheme="minorHAnsi"/>
          <w:i/>
          <w:iCs/>
          <w:shd w:val="clear" w:color="auto" w:fill="FFFFFF"/>
          <w:lang w:val="en-US"/>
        </w:rPr>
        <w:t>Archives</w:t>
      </w:r>
      <w:r w:rsidRPr="00EF6A06">
        <w:rPr>
          <w:rFonts w:asciiTheme="minorHAnsi" w:hAnsiTheme="minorHAnsi" w:cstheme="minorHAnsi"/>
          <w:shd w:val="clear" w:color="auto" w:fill="FFFFFF"/>
        </w:rPr>
        <w:t>,</w:t>
      </w:r>
      <w:r w:rsidRPr="00666053">
        <w:rPr>
          <w:rFonts w:asciiTheme="minorHAnsi" w:hAnsiTheme="minorHAnsi" w:cstheme="minorHAnsi"/>
          <w:shd w:val="clear" w:color="auto" w:fill="FFFFFF"/>
          <w:lang w:val="en-US"/>
        </w:rPr>
        <w:t> </w:t>
      </w:r>
      <w:r w:rsidRPr="00EF6A06">
        <w:rPr>
          <w:rFonts w:asciiTheme="minorHAnsi" w:hAnsiTheme="minorHAnsi" w:cstheme="minorHAnsi"/>
          <w:i/>
          <w:iCs/>
          <w:shd w:val="clear" w:color="auto" w:fill="FFFFFF"/>
        </w:rPr>
        <w:t>69</w:t>
      </w:r>
      <w:r w:rsidRPr="00EF6A06">
        <w:rPr>
          <w:rFonts w:asciiTheme="minorHAnsi" w:hAnsiTheme="minorHAnsi" w:cstheme="minorHAnsi"/>
          <w:shd w:val="clear" w:color="auto" w:fill="FFFFFF"/>
        </w:rPr>
        <w:t xml:space="preserve">, 376–380. </w:t>
      </w:r>
      <w:hyperlink r:id="rId442" w:history="1">
        <w:r w:rsidRPr="00D67E62">
          <w:rPr>
            <w:rStyle w:val="-"/>
            <w:rFonts w:asciiTheme="minorHAnsi" w:hAnsiTheme="minorHAnsi" w:cstheme="minorHAnsi"/>
            <w:shd w:val="clear" w:color="auto" w:fill="FFFFFF"/>
            <w:lang w:val="en-US"/>
          </w:rPr>
          <w:t>http</w:t>
        </w:r>
        <w:r w:rsidRPr="00EF6A06">
          <w:rPr>
            <w:rStyle w:val="-"/>
            <w:rFonts w:asciiTheme="minorHAnsi" w:hAnsiTheme="minorHAnsi" w:cstheme="minorHAnsi"/>
            <w:shd w:val="clear" w:color="auto" w:fill="FFFFFF"/>
          </w:rPr>
          <w:t>://</w:t>
        </w:r>
        <w:r w:rsidRPr="00D67E62">
          <w:rPr>
            <w:rStyle w:val="-"/>
            <w:rFonts w:asciiTheme="minorHAnsi" w:hAnsiTheme="minorHAnsi" w:cstheme="minorHAnsi"/>
            <w:shd w:val="clear" w:color="auto" w:fill="FFFFFF"/>
            <w:lang w:val="en-US"/>
          </w:rPr>
          <w:t>doi</w:t>
        </w:r>
        <w:r w:rsidRPr="00EF6A06">
          <w:rPr>
            <w:rStyle w:val="-"/>
            <w:rFonts w:asciiTheme="minorHAnsi" w:hAnsiTheme="minorHAnsi" w:cstheme="minorHAnsi"/>
            <w:shd w:val="clear" w:color="auto" w:fill="FFFFFF"/>
          </w:rPr>
          <w:t>.</w:t>
        </w:r>
        <w:r w:rsidRPr="00D67E62">
          <w:rPr>
            <w:rStyle w:val="-"/>
            <w:rFonts w:asciiTheme="minorHAnsi" w:hAnsiTheme="minorHAnsi" w:cstheme="minorHAnsi"/>
            <w:shd w:val="clear" w:color="auto" w:fill="FFFFFF"/>
            <w:lang w:val="en-US"/>
          </w:rPr>
          <w:t>org</w:t>
        </w:r>
        <w:r w:rsidRPr="00EF6A06">
          <w:rPr>
            <w:rStyle w:val="-"/>
            <w:rFonts w:asciiTheme="minorHAnsi" w:hAnsiTheme="minorHAnsi" w:cstheme="minorHAnsi"/>
            <w:shd w:val="clear" w:color="auto" w:fill="FFFFFF"/>
          </w:rPr>
          <w:t>/10.5455/</w:t>
        </w:r>
        <w:r w:rsidRPr="00D67E62">
          <w:rPr>
            <w:rStyle w:val="-"/>
            <w:rFonts w:asciiTheme="minorHAnsi" w:hAnsiTheme="minorHAnsi" w:cstheme="minorHAnsi"/>
            <w:shd w:val="clear" w:color="auto" w:fill="FFFFFF"/>
            <w:lang w:val="en-US"/>
          </w:rPr>
          <w:t>medarh</w:t>
        </w:r>
        <w:r w:rsidRPr="00EF6A06">
          <w:rPr>
            <w:rStyle w:val="-"/>
            <w:rFonts w:asciiTheme="minorHAnsi" w:hAnsiTheme="minorHAnsi" w:cstheme="minorHAnsi"/>
            <w:shd w:val="clear" w:color="auto" w:fill="FFFFFF"/>
          </w:rPr>
          <w:t>.2015.69.376-380</w:t>
        </w:r>
      </w:hyperlink>
      <w:r w:rsidRPr="00EF6A06">
        <w:rPr>
          <w:rFonts w:asciiTheme="minorHAnsi" w:hAnsiTheme="minorHAnsi" w:cstheme="minorHAnsi"/>
          <w:shd w:val="clear" w:color="auto" w:fill="FFFFFF"/>
        </w:rPr>
        <w:t>.</w:t>
      </w:r>
    </w:p>
    <w:p w:rsidR="00AD2B6A" w:rsidRDefault="00AD2B6A" w:rsidP="00AD2B6A">
      <w:pPr>
        <w:pStyle w:val="Web"/>
        <w:spacing w:after="180" w:line="360" w:lineRule="auto"/>
        <w:ind w:left="450" w:hanging="450"/>
        <w:jc w:val="both"/>
        <w:rPr>
          <w:rFonts w:asciiTheme="minorHAnsi" w:hAnsiTheme="minorHAnsi" w:cstheme="minorHAnsi"/>
        </w:rPr>
      </w:pPr>
      <w:r>
        <w:rPr>
          <w:rFonts w:asciiTheme="minorHAnsi" w:hAnsiTheme="minorHAnsi" w:cstheme="minorHAnsi"/>
          <w:lang w:eastAsia="el-GR"/>
        </w:rPr>
        <w:t>Ζυγά, Σ. (2003).</w:t>
      </w:r>
      <w:r w:rsidRPr="00790B9B">
        <w:t xml:space="preserve"> </w:t>
      </w:r>
      <w:r w:rsidRPr="00790B9B">
        <w:rPr>
          <w:rFonts w:asciiTheme="minorHAnsi" w:hAnsiTheme="minorHAnsi" w:cstheme="minorHAnsi"/>
        </w:rPr>
        <w:t>Επίδραση των μεταβολών της ροής του αίματος και του διαλύματος στην αποτελεσματικότητα της αιμοκάθαρσης</w:t>
      </w:r>
      <w:r>
        <w:rPr>
          <w:rFonts w:asciiTheme="minorHAnsi" w:hAnsiTheme="minorHAnsi" w:cstheme="minorHAnsi"/>
        </w:rPr>
        <w:t xml:space="preserve">. </w:t>
      </w:r>
      <w:r w:rsidRPr="00790B9B">
        <w:rPr>
          <w:rFonts w:asciiTheme="minorHAnsi" w:hAnsiTheme="minorHAnsi" w:cstheme="minorHAnsi"/>
          <w:i/>
        </w:rPr>
        <w:t>Διδακτορική Διατριβή</w:t>
      </w:r>
      <w:r>
        <w:rPr>
          <w:rFonts w:asciiTheme="minorHAnsi" w:hAnsiTheme="minorHAnsi" w:cstheme="minorHAnsi"/>
        </w:rPr>
        <w:t>, Τμήμα Νοσηλευτικής, ΕΚΠΑ, Αθήνα.</w:t>
      </w:r>
    </w:p>
    <w:p w:rsidR="00AD2B6A" w:rsidRPr="00AD2B6A" w:rsidRDefault="00AD2B6A" w:rsidP="00AD2B6A">
      <w:pPr>
        <w:pStyle w:val="Web"/>
        <w:spacing w:after="180" w:line="360" w:lineRule="auto"/>
        <w:ind w:left="450" w:hanging="450"/>
        <w:jc w:val="both"/>
        <w:rPr>
          <w:rFonts w:asciiTheme="minorHAnsi" w:hAnsiTheme="minorHAnsi" w:cstheme="minorHAnsi"/>
        </w:rPr>
      </w:pPr>
      <w:r w:rsidRPr="00245DE9">
        <w:rPr>
          <w:rFonts w:asciiTheme="minorHAnsi" w:hAnsiTheme="minorHAnsi" w:cstheme="minorHAnsi"/>
        </w:rPr>
        <w:t>Ζυγά, Σ., &amp; Μπροκαλάκη, Η. (2003). Αξιολόγηση αποτελεσματικότητας αιμοκάθαρσης.</w:t>
      </w:r>
      <w:r w:rsidRPr="00245DE9">
        <w:rPr>
          <w:rFonts w:asciiTheme="minorHAnsi" w:hAnsiTheme="minorHAnsi" w:cstheme="minorHAnsi"/>
          <w:i/>
        </w:rPr>
        <w:t xml:space="preserve"> Νοσηλευτική, 42, 64-69.</w:t>
      </w:r>
    </w:p>
    <w:p w:rsidR="00AD2B6A" w:rsidRPr="00AD2B6A" w:rsidRDefault="00AD2B6A" w:rsidP="00AD2B6A">
      <w:pPr>
        <w:pStyle w:val="Web"/>
        <w:spacing w:after="180" w:line="360" w:lineRule="auto"/>
        <w:ind w:left="450" w:hanging="450"/>
        <w:jc w:val="both"/>
        <w:rPr>
          <w:rFonts w:asciiTheme="minorHAnsi" w:hAnsiTheme="minorHAnsi" w:cstheme="minorHAnsi"/>
          <w:lang w:val="en-US"/>
        </w:rPr>
      </w:pPr>
      <w:r>
        <w:rPr>
          <w:rFonts w:asciiTheme="minorHAnsi" w:hAnsiTheme="minorHAnsi" w:cstheme="minorHAnsi"/>
        </w:rPr>
        <w:t xml:space="preserve">Ζυγά, Σ., &amp; Μπροκαλάκη, Η. (2004). Η επάρκεια της αιμοκάθαρσης στην κλινική πράξη. </w:t>
      </w:r>
      <w:r w:rsidRPr="00A1457E">
        <w:rPr>
          <w:rFonts w:asciiTheme="minorHAnsi" w:hAnsiTheme="minorHAnsi" w:cstheme="minorHAnsi"/>
          <w:i/>
        </w:rPr>
        <w:t>Νοσηλευτική</w:t>
      </w:r>
      <w:r w:rsidRPr="00AD2B6A">
        <w:rPr>
          <w:rFonts w:asciiTheme="minorHAnsi" w:hAnsiTheme="minorHAnsi" w:cstheme="minorHAnsi"/>
          <w:i/>
          <w:lang w:val="en-US"/>
        </w:rPr>
        <w:t xml:space="preserve">, 43, </w:t>
      </w:r>
      <w:r w:rsidRPr="00AD2B6A">
        <w:rPr>
          <w:rFonts w:asciiTheme="minorHAnsi" w:hAnsiTheme="minorHAnsi" w:cstheme="minorHAnsi"/>
          <w:lang w:val="en-US"/>
        </w:rPr>
        <w:t>76-83.</w:t>
      </w:r>
    </w:p>
    <w:p w:rsidR="0076403B" w:rsidRPr="00EF6A06" w:rsidRDefault="00051D62" w:rsidP="005A52AF">
      <w:pPr>
        <w:pStyle w:val="1a"/>
      </w:pPr>
      <w:bookmarkStart w:id="99" w:name="_Toc495951480"/>
      <w:r w:rsidRPr="005A464E">
        <w:t>ΠΑΡΑΡΤΗΜΑ</w:t>
      </w:r>
      <w:bookmarkEnd w:id="99"/>
    </w:p>
    <w:p w:rsidR="00B63B35" w:rsidRDefault="00B63B35" w:rsidP="00B63B35"/>
    <w:p w:rsidR="006269EC" w:rsidRPr="00967701" w:rsidRDefault="006269EC" w:rsidP="00B63B35">
      <w:pPr>
        <w:rPr>
          <w:b/>
          <w:sz w:val="24"/>
          <w:szCs w:val="24"/>
        </w:rPr>
      </w:pPr>
      <w:r w:rsidRPr="00967701">
        <w:rPr>
          <w:b/>
          <w:sz w:val="24"/>
          <w:szCs w:val="24"/>
        </w:rPr>
        <w:t>ΕΡΩΤΗΜΑΤΟΛΟΓΙΑ</w:t>
      </w:r>
    </w:p>
    <w:p w:rsidR="00DA4D22" w:rsidRPr="00EF6A06" w:rsidRDefault="00DA4D22" w:rsidP="005A464E">
      <w:pPr>
        <w:spacing w:line="360" w:lineRule="auto"/>
        <w:jc w:val="center"/>
        <w:rPr>
          <w:b/>
          <w:i/>
        </w:rPr>
      </w:pPr>
      <w:r w:rsidRPr="005A464E">
        <w:rPr>
          <w:b/>
          <w:i/>
          <w:lang w:val="en-US"/>
        </w:rPr>
        <w:t>Kidney</w:t>
      </w:r>
      <w:r w:rsidRPr="00EF6A06">
        <w:rPr>
          <w:b/>
          <w:i/>
        </w:rPr>
        <w:t xml:space="preserve"> </w:t>
      </w:r>
      <w:r w:rsidRPr="005A464E">
        <w:rPr>
          <w:b/>
          <w:i/>
          <w:lang w:val="en-US"/>
        </w:rPr>
        <w:t>Disease</w:t>
      </w:r>
      <w:r w:rsidRPr="00EF6A06">
        <w:rPr>
          <w:b/>
          <w:i/>
        </w:rPr>
        <w:t xml:space="preserve"> </w:t>
      </w:r>
      <w:r w:rsidRPr="005A464E">
        <w:rPr>
          <w:b/>
          <w:i/>
          <w:lang w:val="en-US"/>
        </w:rPr>
        <w:t>Questionnaire</w:t>
      </w:r>
    </w:p>
    <w:tbl>
      <w:tblPr>
        <w:tblStyle w:val="-41"/>
        <w:tblW w:w="9215" w:type="dxa"/>
        <w:tblLook w:val="0420"/>
      </w:tblPr>
      <w:tblGrid>
        <w:gridCol w:w="2411"/>
        <w:gridCol w:w="141"/>
        <w:gridCol w:w="2410"/>
        <w:gridCol w:w="142"/>
        <w:gridCol w:w="2410"/>
        <w:gridCol w:w="1701"/>
      </w:tblGrid>
      <w:tr w:rsidR="00DA4D22" w:rsidRPr="00872FD2" w:rsidTr="002568DB">
        <w:trPr>
          <w:cnfStyle w:val="100000000000"/>
        </w:trPr>
        <w:tc>
          <w:tcPr>
            <w:tcW w:w="9215" w:type="dxa"/>
            <w:gridSpan w:val="6"/>
          </w:tcPr>
          <w:p w:rsidR="00DA4D22" w:rsidRPr="002568DB" w:rsidRDefault="002215DE" w:rsidP="00872FD2">
            <w:pPr>
              <w:spacing w:after="0" w:line="360" w:lineRule="auto"/>
              <w:jc w:val="center"/>
              <w:rPr>
                <w:rFonts w:asciiTheme="minorHAnsi" w:eastAsiaTheme="minorHAnsi" w:hAnsiTheme="minorHAnsi" w:cstheme="minorBidi"/>
                <w:bCs w:val="0"/>
                <w:color w:val="000000"/>
                <w:sz w:val="24"/>
                <w:szCs w:val="24"/>
                <w:lang w:val="en-US"/>
              </w:rPr>
            </w:pPr>
            <w:r w:rsidRPr="002568DB">
              <w:rPr>
                <w:rFonts w:asciiTheme="minorHAnsi" w:eastAsiaTheme="minorHAnsi" w:hAnsiTheme="minorHAnsi" w:cstheme="minorBidi"/>
                <w:bCs w:val="0"/>
                <w:color w:val="000000"/>
                <w:sz w:val="24"/>
                <w:szCs w:val="24"/>
              </w:rPr>
              <w:t>ΦΟΡΜΑ</w:t>
            </w:r>
            <w:r w:rsidR="0078495A" w:rsidRPr="002568DB">
              <w:rPr>
                <w:rFonts w:asciiTheme="minorHAnsi" w:eastAsiaTheme="minorHAnsi" w:hAnsiTheme="minorHAnsi" w:cstheme="minorBidi"/>
                <w:bCs w:val="0"/>
                <w:color w:val="000000"/>
                <w:sz w:val="24"/>
                <w:szCs w:val="24"/>
                <w:lang w:val="en-US"/>
              </w:rPr>
              <w:t xml:space="preserve"> </w:t>
            </w:r>
            <w:r w:rsidRPr="002568DB">
              <w:rPr>
                <w:rFonts w:asciiTheme="minorHAnsi" w:eastAsiaTheme="minorHAnsi" w:hAnsiTheme="minorHAnsi" w:cstheme="minorBidi"/>
                <w:bCs w:val="0"/>
                <w:color w:val="000000"/>
                <w:sz w:val="24"/>
                <w:szCs w:val="24"/>
                <w:lang w:val="en-US"/>
              </w:rPr>
              <w:t>A</w:t>
            </w:r>
          </w:p>
        </w:tc>
      </w:tr>
      <w:tr w:rsidR="00DA4D22" w:rsidRPr="00872FD2" w:rsidTr="002568DB">
        <w:trPr>
          <w:cnfStyle w:val="000000100000"/>
        </w:trPr>
        <w:tc>
          <w:tcPr>
            <w:tcW w:w="2552" w:type="dxa"/>
            <w:gridSpan w:val="2"/>
          </w:tcPr>
          <w:p w:rsidR="00DA4D22" w:rsidRPr="00872FD2" w:rsidRDefault="00DA4D22" w:rsidP="00872FD2">
            <w:pPr>
              <w:spacing w:after="0" w:line="360" w:lineRule="auto"/>
              <w:rPr>
                <w:rFonts w:asciiTheme="minorHAnsi" w:eastAsiaTheme="minorHAnsi" w:hAnsiTheme="minorHAnsi" w:cs="Arial"/>
                <w:b/>
                <w:color w:val="000000"/>
                <w:sz w:val="20"/>
                <w:szCs w:val="20"/>
              </w:rPr>
            </w:pPr>
            <w:r w:rsidRPr="00872FD2">
              <w:rPr>
                <w:rFonts w:asciiTheme="minorHAnsi" w:eastAsiaTheme="minorHAnsi" w:hAnsiTheme="minorHAnsi" w:cs="Arial"/>
                <w:b/>
                <w:color w:val="000000"/>
                <w:sz w:val="20"/>
                <w:szCs w:val="20"/>
              </w:rPr>
              <w:t>Αρχική μορφή</w:t>
            </w:r>
          </w:p>
        </w:tc>
        <w:tc>
          <w:tcPr>
            <w:tcW w:w="2410" w:type="dxa"/>
          </w:tcPr>
          <w:p w:rsidR="00DA4D22" w:rsidRPr="00872FD2" w:rsidRDefault="00DA4D22" w:rsidP="00872FD2">
            <w:pPr>
              <w:pStyle w:val="a5"/>
              <w:spacing w:after="0" w:line="360" w:lineRule="auto"/>
              <w:ind w:left="0"/>
              <w:rPr>
                <w:rFonts w:asciiTheme="minorHAnsi" w:eastAsiaTheme="minorHAnsi" w:hAnsiTheme="minorHAnsi" w:cs="Arial"/>
                <w:b/>
                <w:color w:val="000000"/>
                <w:sz w:val="20"/>
                <w:szCs w:val="20"/>
                <w:lang w:val="en-US"/>
              </w:rPr>
            </w:pPr>
            <w:r w:rsidRPr="00872FD2">
              <w:rPr>
                <w:rFonts w:asciiTheme="minorHAnsi" w:eastAsiaTheme="minorHAnsi" w:hAnsiTheme="minorHAnsi" w:cs="Arial"/>
                <w:b/>
                <w:color w:val="000000"/>
                <w:sz w:val="20"/>
                <w:szCs w:val="20"/>
              </w:rPr>
              <w:t>Ελληνική μετάφραση (</w:t>
            </w:r>
            <w:r w:rsidRPr="00872FD2">
              <w:rPr>
                <w:rFonts w:asciiTheme="minorHAnsi" w:eastAsiaTheme="minorHAnsi" w:hAnsiTheme="minorHAnsi" w:cs="Arial"/>
                <w:b/>
                <w:color w:val="000000"/>
                <w:sz w:val="20"/>
                <w:szCs w:val="20"/>
                <w:lang w:val="en-US"/>
              </w:rPr>
              <w:t>forward translation)</w:t>
            </w:r>
          </w:p>
        </w:tc>
        <w:tc>
          <w:tcPr>
            <w:tcW w:w="2552" w:type="dxa"/>
            <w:gridSpan w:val="2"/>
          </w:tcPr>
          <w:p w:rsidR="00DA4D22" w:rsidRPr="00872FD2" w:rsidRDefault="00DA4D22" w:rsidP="00872FD2">
            <w:pPr>
              <w:pStyle w:val="a5"/>
              <w:spacing w:after="0" w:line="360" w:lineRule="auto"/>
              <w:ind w:left="0"/>
              <w:rPr>
                <w:rFonts w:asciiTheme="minorHAnsi" w:eastAsiaTheme="minorHAnsi" w:hAnsiTheme="minorHAnsi" w:cs="Arial"/>
                <w:b/>
                <w:color w:val="000000"/>
                <w:sz w:val="20"/>
                <w:szCs w:val="20"/>
                <w:lang w:val="en-US"/>
              </w:rPr>
            </w:pPr>
            <w:r w:rsidRPr="00872FD2">
              <w:rPr>
                <w:rFonts w:asciiTheme="minorHAnsi" w:eastAsiaTheme="minorHAnsi" w:hAnsiTheme="minorHAnsi" w:cs="Arial"/>
                <w:b/>
                <w:color w:val="000000"/>
                <w:sz w:val="20"/>
                <w:szCs w:val="20"/>
              </w:rPr>
              <w:t>Αγγλική μετάφραση (</w:t>
            </w:r>
            <w:r w:rsidRPr="00872FD2">
              <w:rPr>
                <w:rFonts w:asciiTheme="minorHAnsi" w:eastAsiaTheme="minorHAnsi" w:hAnsiTheme="minorHAnsi" w:cs="Arial"/>
                <w:b/>
                <w:color w:val="000000"/>
                <w:sz w:val="20"/>
                <w:szCs w:val="20"/>
                <w:lang w:val="en-US"/>
              </w:rPr>
              <w:t>backward translation)</w:t>
            </w: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b/>
                <w:color w:val="000000"/>
                <w:sz w:val="20"/>
                <w:szCs w:val="20"/>
              </w:rPr>
            </w:pPr>
            <w:r w:rsidRPr="00872FD2">
              <w:rPr>
                <w:rFonts w:asciiTheme="minorHAnsi" w:eastAsiaTheme="minorHAnsi" w:hAnsiTheme="minorHAnsi" w:cs="Arial"/>
                <w:b/>
                <w:color w:val="000000"/>
                <w:sz w:val="20"/>
                <w:szCs w:val="20"/>
              </w:rPr>
              <w:t>Σχόλια κατασκευαστή</w:t>
            </w:r>
          </w:p>
        </w:tc>
      </w:tr>
      <w:tr w:rsidR="00DA4D22" w:rsidRPr="00D842D4" w:rsidTr="002568DB">
        <w:trPr>
          <w:cnfStyle w:val="000000010000"/>
        </w:trPr>
        <w:tc>
          <w:tcPr>
            <w:tcW w:w="2552" w:type="dxa"/>
            <w:gridSpan w:val="2"/>
          </w:tcPr>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People normally have two kidneys in the body</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True</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(b) False</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 Don’t know</w:t>
            </w:r>
          </w:p>
        </w:tc>
        <w:tc>
          <w:tcPr>
            <w:tcW w:w="2410" w:type="dxa"/>
          </w:tcPr>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Οι άνθρωποι έχουν φυσιολογικά δύο νεφρούς στο σώμα τους</w:t>
            </w:r>
          </w:p>
          <w:p w:rsidR="00DA4D22" w:rsidRPr="00872FD2" w:rsidRDefault="00DA4D22" w:rsidP="00872FD2">
            <w:pPr>
              <w:spacing w:after="0" w:line="360" w:lineRule="auto"/>
              <w:ind w:left="360"/>
              <w:rPr>
                <w:rFonts w:asciiTheme="minorHAnsi" w:eastAsiaTheme="minorHAnsi" w:hAnsiTheme="minorHAnsi" w:cs="Arial"/>
                <w:color w:val="000000"/>
                <w:sz w:val="20"/>
                <w:szCs w:val="20"/>
              </w:rPr>
            </w:pPr>
          </w:p>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α) Σωστό</w:t>
            </w:r>
          </w:p>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β) Λανθασμένο</w:t>
            </w:r>
          </w:p>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γ) Δεν ξέρω</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p>
        </w:tc>
        <w:tc>
          <w:tcPr>
            <w:tcW w:w="2552" w:type="dxa"/>
            <w:gridSpan w:val="2"/>
          </w:tcPr>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People normally have two kidneys in their bodies</w:t>
            </w: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Right</w:t>
            </w: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b) Wrong</w:t>
            </w: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 I don’t know</w:t>
            </w: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tc>
      </w:tr>
      <w:tr w:rsidR="00DA4D22" w:rsidRPr="00872FD2" w:rsidTr="002568DB">
        <w:trPr>
          <w:cnfStyle w:val="000000100000"/>
        </w:trPr>
        <w:tc>
          <w:tcPr>
            <w:tcW w:w="2552" w:type="dxa"/>
            <w:gridSpan w:val="2"/>
          </w:tcPr>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When a person has kidney disease, his kidneys must be removed from his body before he can get treatment with a dialysis machine.</w:t>
            </w: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pStyle w:val="a5"/>
              <w:numPr>
                <w:ilvl w:val="0"/>
                <w:numId w:val="48"/>
              </w:numPr>
              <w:spacing w:after="0" w:line="360" w:lineRule="auto"/>
              <w:ind w:left="36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True</w:t>
            </w:r>
          </w:p>
          <w:p w:rsidR="00DA4D22" w:rsidRPr="00872FD2" w:rsidRDefault="00DA4D22" w:rsidP="00872FD2">
            <w:pPr>
              <w:pStyle w:val="a5"/>
              <w:numPr>
                <w:ilvl w:val="0"/>
                <w:numId w:val="48"/>
              </w:numPr>
              <w:spacing w:after="0" w:line="360" w:lineRule="auto"/>
              <w:ind w:left="36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False</w:t>
            </w: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 Don’t know</w:t>
            </w:r>
          </w:p>
        </w:tc>
        <w:tc>
          <w:tcPr>
            <w:tcW w:w="2410" w:type="dxa"/>
          </w:tcPr>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Όταν ένα άτομο έχει νεφρική νόσο, πρέπει οι νεφροί του να αφαιρεθούν πριν αρχίσει την αιμοκάθαρση</w:t>
            </w:r>
          </w:p>
          <w:p w:rsidR="00DA4D22" w:rsidRPr="00872FD2" w:rsidRDefault="00DA4D22" w:rsidP="00872FD2">
            <w:pPr>
              <w:spacing w:after="0" w:line="360" w:lineRule="auto"/>
              <w:rPr>
                <w:rFonts w:asciiTheme="minorHAnsi" w:eastAsiaTheme="minorHAnsi" w:hAnsiTheme="minorHAnsi" w:cs="Arial"/>
                <w:color w:val="000000"/>
                <w:sz w:val="20"/>
                <w:szCs w:val="20"/>
              </w:rPr>
            </w:pPr>
          </w:p>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α) Σωστό</w:t>
            </w:r>
          </w:p>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β) Λανθασμένο</w:t>
            </w:r>
          </w:p>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γ) Δεν ξέρω</w:t>
            </w:r>
          </w:p>
        </w:tc>
        <w:tc>
          <w:tcPr>
            <w:tcW w:w="2552" w:type="dxa"/>
            <w:gridSpan w:val="2"/>
          </w:tcPr>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 xml:space="preserve">When someone is suffering from kidney disease, his/her kidneys </w:t>
            </w:r>
            <w:r w:rsidRPr="00872FD2">
              <w:rPr>
                <w:rFonts w:asciiTheme="minorHAnsi" w:eastAsiaTheme="minorHAnsi" w:hAnsiTheme="minorHAnsi" w:cs="Arial"/>
                <w:i/>
                <w:color w:val="000000"/>
                <w:sz w:val="20"/>
                <w:szCs w:val="20"/>
                <w:u w:val="single"/>
                <w:lang w:val="en-US"/>
              </w:rPr>
              <w:t>should</w:t>
            </w:r>
            <w:r w:rsidRPr="00872FD2">
              <w:rPr>
                <w:rFonts w:asciiTheme="minorHAnsi" w:eastAsiaTheme="minorHAnsi" w:hAnsiTheme="minorHAnsi" w:cs="Arial"/>
                <w:color w:val="000000"/>
                <w:sz w:val="20"/>
                <w:szCs w:val="20"/>
                <w:u w:val="single"/>
                <w:lang w:val="en-US"/>
              </w:rPr>
              <w:t xml:space="preserve"> </w:t>
            </w:r>
            <w:r w:rsidRPr="00872FD2">
              <w:rPr>
                <w:rFonts w:asciiTheme="minorHAnsi" w:eastAsiaTheme="minorHAnsi" w:hAnsiTheme="minorHAnsi" w:cs="Arial"/>
                <w:color w:val="000000"/>
                <w:sz w:val="20"/>
                <w:szCs w:val="20"/>
                <w:lang w:val="en-US"/>
              </w:rPr>
              <w:t>be removed from his/her body before starting hemodialysis treatment</w:t>
            </w:r>
          </w:p>
          <w:p w:rsidR="00DA4D22" w:rsidRPr="00872FD2" w:rsidRDefault="00DA4D22" w:rsidP="00872FD2">
            <w:pPr>
              <w:pStyle w:val="a5"/>
              <w:numPr>
                <w:ilvl w:val="0"/>
                <w:numId w:val="47"/>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Right</w:t>
            </w:r>
            <w:r w:rsidRPr="00872FD2">
              <w:rPr>
                <w:rFonts w:asciiTheme="minorHAnsi" w:eastAsiaTheme="minorHAnsi" w:hAnsiTheme="minorHAnsi" w:cs="Arial"/>
                <w:color w:val="000000"/>
                <w:sz w:val="20"/>
                <w:szCs w:val="20"/>
                <w:lang w:val="en-US"/>
              </w:rPr>
              <w:tab/>
            </w:r>
            <w:r w:rsidRPr="00872FD2">
              <w:rPr>
                <w:rFonts w:asciiTheme="minorHAnsi" w:eastAsiaTheme="minorHAnsi" w:hAnsiTheme="minorHAnsi" w:cs="Arial"/>
                <w:color w:val="000000"/>
                <w:sz w:val="20"/>
                <w:szCs w:val="20"/>
                <w:lang w:val="en-US"/>
              </w:rPr>
              <w:tab/>
            </w:r>
          </w:p>
          <w:p w:rsidR="00DA4D22" w:rsidRPr="00872FD2" w:rsidRDefault="00DA4D22" w:rsidP="00872FD2">
            <w:pPr>
              <w:pStyle w:val="a5"/>
              <w:numPr>
                <w:ilvl w:val="0"/>
                <w:numId w:val="47"/>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Wrong</w:t>
            </w:r>
          </w:p>
          <w:p w:rsidR="00DA4D22" w:rsidRPr="00872FD2" w:rsidRDefault="00DA4D22" w:rsidP="00872FD2">
            <w:pPr>
              <w:pStyle w:val="a5"/>
              <w:numPr>
                <w:ilvl w:val="0"/>
                <w:numId w:val="47"/>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 I don’t know</w:t>
            </w: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w:t>
            </w:r>
            <w:r w:rsidRPr="00872FD2">
              <w:rPr>
                <w:rFonts w:asciiTheme="minorHAnsi" w:eastAsiaTheme="minorHAnsi" w:hAnsiTheme="minorHAnsi" w:cs="Arial"/>
                <w:color w:val="000000"/>
                <w:sz w:val="20"/>
                <w:szCs w:val="20"/>
                <w:lang w:val="en-US"/>
              </w:rPr>
              <w:t>Must</w:t>
            </w:r>
            <w:r w:rsidRPr="00872FD2">
              <w:rPr>
                <w:rFonts w:asciiTheme="minorHAnsi" w:eastAsiaTheme="minorHAnsi" w:hAnsiTheme="minorHAnsi" w:cs="Arial"/>
                <w:color w:val="000000"/>
                <w:sz w:val="20"/>
                <w:szCs w:val="20"/>
              </w:rPr>
              <w:t>»</w:t>
            </w:r>
          </w:p>
        </w:tc>
      </w:tr>
      <w:tr w:rsidR="00DA4D22" w:rsidRPr="00872FD2" w:rsidTr="002568DB">
        <w:trPr>
          <w:cnfStyle w:val="000000010000"/>
        </w:trPr>
        <w:tc>
          <w:tcPr>
            <w:tcW w:w="2552" w:type="dxa"/>
            <w:gridSpan w:val="2"/>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Kidneys do many important things in the body, but</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they function only at night while the person is sleeping.</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pStyle w:val="a5"/>
              <w:numPr>
                <w:ilvl w:val="0"/>
                <w:numId w:val="49"/>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True</w:t>
            </w:r>
          </w:p>
          <w:p w:rsidR="00DA4D22" w:rsidRPr="00872FD2" w:rsidRDefault="00DA4D22" w:rsidP="00872FD2">
            <w:pPr>
              <w:pStyle w:val="a5"/>
              <w:numPr>
                <w:ilvl w:val="0"/>
                <w:numId w:val="49"/>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False</w:t>
            </w:r>
          </w:p>
          <w:p w:rsidR="00DA4D22" w:rsidRPr="00872FD2" w:rsidRDefault="00DA4D22" w:rsidP="00872FD2">
            <w:pPr>
              <w:pStyle w:val="a5"/>
              <w:numPr>
                <w:ilvl w:val="0"/>
                <w:numId w:val="49"/>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Don’t know</w:t>
            </w:r>
          </w:p>
        </w:tc>
        <w:tc>
          <w:tcPr>
            <w:tcW w:w="2410" w:type="dxa"/>
          </w:tcPr>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Οι νεφροί κάνουν πολλά σημαντικά πράγματα στον ανθρώπινο οργανισμό, αλλά λειτουργούν μόνο τη νύχτα όταν το άτομο κοιμάται</w:t>
            </w:r>
          </w:p>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α) Σωστό</w:t>
            </w:r>
          </w:p>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β) Λανθασμένο</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γ) Δεν ξέρω</w:t>
            </w:r>
          </w:p>
        </w:tc>
        <w:tc>
          <w:tcPr>
            <w:tcW w:w="2552" w:type="dxa"/>
            <w:gridSpan w:val="2"/>
          </w:tcPr>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The kidneys do a lot for the human body but they only function at night when the person is asleep</w:t>
            </w: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pStyle w:val="a5"/>
              <w:numPr>
                <w:ilvl w:val="0"/>
                <w:numId w:val="50"/>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Right</w:t>
            </w:r>
          </w:p>
          <w:p w:rsidR="00DA4D22" w:rsidRPr="00872FD2" w:rsidRDefault="00DA4D22" w:rsidP="00872FD2">
            <w:pPr>
              <w:pStyle w:val="a5"/>
              <w:numPr>
                <w:ilvl w:val="0"/>
                <w:numId w:val="50"/>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Wrong</w:t>
            </w:r>
          </w:p>
          <w:p w:rsidR="00DA4D22" w:rsidRPr="00872FD2" w:rsidRDefault="00DA4D22" w:rsidP="00872FD2">
            <w:pPr>
              <w:pStyle w:val="a5"/>
              <w:numPr>
                <w:ilvl w:val="0"/>
                <w:numId w:val="50"/>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 don’t know</w:t>
            </w: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tc>
      </w:tr>
      <w:tr w:rsidR="00DA4D22" w:rsidRPr="00872FD2" w:rsidTr="002568DB">
        <w:trPr>
          <w:cnfStyle w:val="000000100000"/>
        </w:trPr>
        <w:tc>
          <w:tcPr>
            <w:tcW w:w="2552" w:type="dxa"/>
            <w:gridSpan w:val="2"/>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What is the term used to describe the vibration or buzzing sensation that can be felt over the vein of</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lang w:val="en-US"/>
              </w:rPr>
              <w:t>a shunt or fistula?</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rPr>
            </w:pPr>
          </w:p>
          <w:p w:rsidR="00DA4D22" w:rsidRPr="00872FD2" w:rsidRDefault="00DA4D22" w:rsidP="00872FD2">
            <w:pPr>
              <w:pStyle w:val="a5"/>
              <w:numPr>
                <w:ilvl w:val="0"/>
                <w:numId w:val="51"/>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Hypoplasia</w:t>
            </w:r>
          </w:p>
          <w:p w:rsidR="00DA4D22" w:rsidRPr="00872FD2" w:rsidRDefault="00DA4D22" w:rsidP="00872FD2">
            <w:pPr>
              <w:pStyle w:val="a5"/>
              <w:numPr>
                <w:ilvl w:val="0"/>
                <w:numId w:val="51"/>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Lobulation</w:t>
            </w:r>
          </w:p>
          <w:p w:rsidR="00DA4D22" w:rsidRPr="00872FD2" w:rsidRDefault="00DA4D22" w:rsidP="00872FD2">
            <w:pPr>
              <w:pStyle w:val="a5"/>
              <w:numPr>
                <w:ilvl w:val="0"/>
                <w:numId w:val="51"/>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Enervation</w:t>
            </w:r>
          </w:p>
          <w:p w:rsidR="00DA4D22" w:rsidRPr="00872FD2" w:rsidRDefault="00DA4D22" w:rsidP="00872FD2">
            <w:pPr>
              <w:pStyle w:val="a5"/>
              <w:numPr>
                <w:ilvl w:val="0"/>
                <w:numId w:val="51"/>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Thrill or bruit</w:t>
            </w:r>
          </w:p>
          <w:p w:rsidR="00DA4D22" w:rsidRPr="00872FD2" w:rsidRDefault="00DA4D22" w:rsidP="00872FD2">
            <w:pPr>
              <w:pStyle w:val="a5"/>
              <w:numPr>
                <w:ilvl w:val="0"/>
                <w:numId w:val="51"/>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rPr>
              <w:t>(e) Don’t know</w:t>
            </w:r>
          </w:p>
        </w:tc>
        <w:tc>
          <w:tcPr>
            <w:tcW w:w="2410" w:type="dxa"/>
          </w:tcPr>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Ποιος είναι ο όρος που χρησιμοποιείται για να περιγράψει την αίσθηση της δόνησης ή του βουίσματος που μπορεί να αισθανθεί κανείς πάνω από τη φίστουλα; </w:t>
            </w:r>
          </w:p>
          <w:p w:rsidR="00DA4D22" w:rsidRPr="00872FD2" w:rsidRDefault="00DA4D22" w:rsidP="00872FD2">
            <w:pPr>
              <w:pStyle w:val="a5"/>
              <w:spacing w:after="0" w:line="360" w:lineRule="auto"/>
              <w:rPr>
                <w:rFonts w:asciiTheme="minorHAnsi" w:eastAsiaTheme="minorHAnsi" w:hAnsiTheme="minorHAnsi" w:cs="Arial"/>
                <w:color w:val="000000"/>
                <w:sz w:val="20"/>
                <w:szCs w:val="20"/>
              </w:rPr>
            </w:pPr>
          </w:p>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α) Υποπλασία</w:t>
            </w:r>
          </w:p>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β) Λόβωση </w:t>
            </w:r>
          </w:p>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γ) Νεύρωση </w:t>
            </w:r>
          </w:p>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δ) Φύσημα ή ροίζος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ε) Δεν ξέρω</w:t>
            </w:r>
          </w:p>
        </w:tc>
        <w:tc>
          <w:tcPr>
            <w:tcW w:w="2552" w:type="dxa"/>
            <w:gridSpan w:val="2"/>
          </w:tcPr>
          <w:p w:rsidR="00DA4D22" w:rsidRPr="00872FD2" w:rsidRDefault="00DA4D22" w:rsidP="00872FD2">
            <w:pPr>
              <w:spacing w:after="0" w:line="360" w:lineRule="auto"/>
              <w:contextualSpacing/>
              <w:jc w:val="both"/>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What is the term used to describe the pulse or the sense of a buzzing noise</w:t>
            </w:r>
            <w:r w:rsidR="0078495A">
              <w:rPr>
                <w:rFonts w:asciiTheme="minorHAnsi" w:eastAsiaTheme="minorHAnsi" w:hAnsiTheme="minorHAnsi" w:cs="Arial"/>
                <w:color w:val="000000"/>
                <w:sz w:val="20"/>
                <w:szCs w:val="20"/>
                <w:lang w:val="en-US"/>
              </w:rPr>
              <w:t xml:space="preserve"> </w:t>
            </w:r>
            <w:r w:rsidRPr="00872FD2">
              <w:rPr>
                <w:rFonts w:asciiTheme="minorHAnsi" w:eastAsiaTheme="minorHAnsi" w:hAnsiTheme="minorHAnsi" w:cs="Arial"/>
                <w:color w:val="000000"/>
                <w:sz w:val="20"/>
                <w:szCs w:val="20"/>
                <w:lang w:val="en-US"/>
              </w:rPr>
              <w:t xml:space="preserve">you feel over the </w:t>
            </w:r>
            <w:r w:rsidRPr="00872FD2">
              <w:rPr>
                <w:rFonts w:asciiTheme="minorHAnsi" w:eastAsiaTheme="minorHAnsi" w:hAnsiTheme="minorHAnsi" w:cs="Arial"/>
                <w:i/>
                <w:color w:val="000000"/>
                <w:sz w:val="20"/>
                <w:szCs w:val="20"/>
                <w:u w:val="single"/>
                <w:lang w:val="en-US"/>
              </w:rPr>
              <w:t xml:space="preserve">implant </w:t>
            </w:r>
            <w:r w:rsidRPr="00872FD2">
              <w:rPr>
                <w:rFonts w:asciiTheme="minorHAnsi" w:eastAsiaTheme="minorHAnsi" w:hAnsiTheme="minorHAnsi" w:cs="Arial"/>
                <w:color w:val="000000"/>
                <w:sz w:val="20"/>
                <w:szCs w:val="20"/>
                <w:lang w:val="en-US"/>
              </w:rPr>
              <w:t xml:space="preserve">or the fistula? </w:t>
            </w:r>
          </w:p>
          <w:p w:rsidR="00DA4D22" w:rsidRPr="00872FD2" w:rsidRDefault="00DA4D22" w:rsidP="00872FD2">
            <w:pPr>
              <w:spacing w:after="0" w:line="360" w:lineRule="auto"/>
              <w:contextualSpacing/>
              <w:jc w:val="both"/>
              <w:rPr>
                <w:rFonts w:asciiTheme="minorHAnsi" w:eastAsiaTheme="minorHAnsi" w:hAnsiTheme="minorHAnsi" w:cs="Arial"/>
                <w:color w:val="000000"/>
                <w:sz w:val="20"/>
                <w:szCs w:val="20"/>
                <w:lang w:val="en-US"/>
              </w:rPr>
            </w:pPr>
          </w:p>
          <w:p w:rsidR="00DA4D22" w:rsidRPr="00872FD2" w:rsidRDefault="00DA4D22" w:rsidP="00872FD2">
            <w:pPr>
              <w:spacing w:after="0" w:line="360" w:lineRule="auto"/>
              <w:contextualSpacing/>
              <w:jc w:val="both"/>
              <w:rPr>
                <w:rFonts w:asciiTheme="minorHAnsi" w:eastAsiaTheme="minorHAnsi" w:hAnsiTheme="minorHAnsi" w:cs="Arial"/>
                <w:color w:val="000000"/>
                <w:sz w:val="20"/>
                <w:szCs w:val="20"/>
                <w:lang w:val="en-US"/>
              </w:rPr>
            </w:pPr>
          </w:p>
          <w:p w:rsidR="00DA4D22" w:rsidRPr="00872FD2" w:rsidRDefault="00DA4D22" w:rsidP="00872FD2">
            <w:pPr>
              <w:spacing w:after="0" w:line="360" w:lineRule="auto"/>
              <w:contextualSpacing/>
              <w:jc w:val="both"/>
              <w:rPr>
                <w:rFonts w:asciiTheme="minorHAnsi" w:eastAsiaTheme="minorHAnsi" w:hAnsiTheme="minorHAnsi" w:cs="Arial"/>
                <w:color w:val="000000"/>
                <w:sz w:val="20"/>
                <w:szCs w:val="20"/>
                <w:lang w:val="en-US"/>
              </w:rPr>
            </w:pPr>
          </w:p>
          <w:p w:rsidR="00DA4D22" w:rsidRPr="00872FD2" w:rsidRDefault="00DA4D22" w:rsidP="00872FD2">
            <w:pPr>
              <w:pStyle w:val="a5"/>
              <w:numPr>
                <w:ilvl w:val="0"/>
                <w:numId w:val="52"/>
              </w:numPr>
              <w:spacing w:after="0" w:line="360" w:lineRule="auto"/>
              <w:jc w:val="both"/>
              <w:rPr>
                <w:rFonts w:asciiTheme="minorHAnsi" w:eastAsiaTheme="minorHAnsi" w:hAnsiTheme="minorHAnsi" w:cs="Arial"/>
                <w:color w:val="000000"/>
                <w:sz w:val="20"/>
                <w:szCs w:val="20"/>
                <w:lang w:val="it-IT"/>
              </w:rPr>
            </w:pPr>
            <w:r w:rsidRPr="00872FD2">
              <w:rPr>
                <w:rFonts w:asciiTheme="minorHAnsi" w:eastAsiaTheme="minorHAnsi" w:hAnsiTheme="minorHAnsi" w:cs="Arial"/>
                <w:color w:val="000000"/>
                <w:sz w:val="20"/>
                <w:szCs w:val="20"/>
                <w:lang w:val="it-IT"/>
              </w:rPr>
              <w:t>Hypoplasia</w:t>
            </w:r>
          </w:p>
          <w:p w:rsidR="00DA4D22" w:rsidRPr="00872FD2" w:rsidRDefault="00DA4D22" w:rsidP="00872FD2">
            <w:pPr>
              <w:pStyle w:val="a5"/>
              <w:numPr>
                <w:ilvl w:val="0"/>
                <w:numId w:val="52"/>
              </w:numPr>
              <w:spacing w:after="0" w:line="360" w:lineRule="auto"/>
              <w:jc w:val="both"/>
              <w:rPr>
                <w:rFonts w:asciiTheme="minorHAnsi" w:eastAsiaTheme="minorHAnsi" w:hAnsiTheme="minorHAnsi" w:cs="Arial"/>
                <w:i/>
                <w:color w:val="000000"/>
                <w:sz w:val="20"/>
                <w:szCs w:val="20"/>
                <w:u w:val="single"/>
                <w:lang w:val="en-US"/>
              </w:rPr>
            </w:pPr>
            <w:r w:rsidRPr="00872FD2">
              <w:rPr>
                <w:rFonts w:asciiTheme="minorHAnsi" w:eastAsiaTheme="minorHAnsi" w:hAnsiTheme="minorHAnsi" w:cs="Arial"/>
                <w:i/>
                <w:color w:val="000000"/>
                <w:sz w:val="20"/>
                <w:szCs w:val="20"/>
                <w:u w:val="single"/>
                <w:lang w:val="en-US"/>
              </w:rPr>
              <w:t>Lobosis</w:t>
            </w:r>
          </w:p>
          <w:p w:rsidR="00DA4D22" w:rsidRPr="00872FD2" w:rsidRDefault="00DA4D22" w:rsidP="00872FD2">
            <w:pPr>
              <w:pStyle w:val="a5"/>
              <w:numPr>
                <w:ilvl w:val="0"/>
                <w:numId w:val="52"/>
              </w:numPr>
              <w:spacing w:after="0" w:line="360" w:lineRule="auto"/>
              <w:jc w:val="both"/>
              <w:rPr>
                <w:rFonts w:asciiTheme="minorHAnsi" w:eastAsiaTheme="minorHAnsi" w:hAnsiTheme="minorHAnsi" w:cs="Arial"/>
                <w:i/>
                <w:color w:val="000000"/>
                <w:sz w:val="20"/>
                <w:szCs w:val="20"/>
                <w:u w:val="single"/>
                <w:lang w:val="it-IT"/>
              </w:rPr>
            </w:pPr>
            <w:r w:rsidRPr="00872FD2">
              <w:rPr>
                <w:rFonts w:asciiTheme="minorHAnsi" w:eastAsiaTheme="minorHAnsi" w:hAnsiTheme="minorHAnsi" w:cs="Arial"/>
                <w:i/>
                <w:color w:val="000000"/>
                <w:sz w:val="20"/>
                <w:szCs w:val="20"/>
                <w:u w:val="single"/>
                <w:lang w:val="it-IT"/>
              </w:rPr>
              <w:t>Neurosis</w:t>
            </w:r>
          </w:p>
          <w:p w:rsidR="00DA4D22" w:rsidRPr="00872FD2" w:rsidRDefault="00DA4D22" w:rsidP="00872FD2">
            <w:pPr>
              <w:pStyle w:val="a5"/>
              <w:numPr>
                <w:ilvl w:val="0"/>
                <w:numId w:val="52"/>
              </w:numPr>
              <w:spacing w:after="0" w:line="360" w:lineRule="auto"/>
              <w:jc w:val="both"/>
              <w:rPr>
                <w:rFonts w:asciiTheme="minorHAnsi" w:eastAsiaTheme="minorHAnsi" w:hAnsiTheme="minorHAnsi" w:cs="Arial"/>
                <w:i/>
                <w:color w:val="000000"/>
                <w:sz w:val="20"/>
                <w:szCs w:val="20"/>
                <w:u w:val="single"/>
                <w:lang w:val="en-US"/>
              </w:rPr>
            </w:pPr>
            <w:r w:rsidRPr="00872FD2">
              <w:rPr>
                <w:rFonts w:asciiTheme="minorHAnsi" w:eastAsiaTheme="minorHAnsi" w:hAnsiTheme="minorHAnsi" w:cs="Arial"/>
                <w:i/>
                <w:color w:val="000000"/>
                <w:sz w:val="20"/>
                <w:szCs w:val="20"/>
                <w:u w:val="single"/>
                <w:lang w:val="en-GB"/>
              </w:rPr>
              <w:t>Heart murmur or thrill</w:t>
            </w:r>
          </w:p>
          <w:p w:rsidR="00DA4D22" w:rsidRPr="00872FD2" w:rsidRDefault="00DA4D22" w:rsidP="00872FD2">
            <w:pPr>
              <w:pStyle w:val="a5"/>
              <w:numPr>
                <w:ilvl w:val="0"/>
                <w:numId w:val="52"/>
              </w:numPr>
              <w:spacing w:after="0" w:line="360" w:lineRule="auto"/>
              <w:jc w:val="both"/>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lang w:val="en-US"/>
              </w:rPr>
              <w:t>e) I don’t know</w:t>
            </w: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w:t>
            </w:r>
            <w:r w:rsidRPr="00872FD2">
              <w:rPr>
                <w:rFonts w:asciiTheme="minorHAnsi" w:eastAsiaTheme="minorHAnsi" w:hAnsiTheme="minorHAnsi" w:cs="Arial"/>
                <w:color w:val="000000"/>
                <w:sz w:val="20"/>
                <w:szCs w:val="20"/>
                <w:lang w:val="en-US"/>
              </w:rPr>
              <w:t>Vein of a shunt</w:t>
            </w:r>
            <w:r w:rsidRPr="00872FD2">
              <w:rPr>
                <w:rFonts w:asciiTheme="minorHAnsi" w:eastAsiaTheme="minorHAnsi" w:hAnsiTheme="minorHAnsi" w:cs="Arial"/>
                <w:color w:val="000000"/>
                <w:sz w:val="20"/>
                <w:szCs w:val="20"/>
              </w:rPr>
              <w:t>»</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w:t>
            </w:r>
            <w:r w:rsidRPr="00872FD2">
              <w:rPr>
                <w:rFonts w:asciiTheme="minorHAnsi" w:eastAsiaTheme="minorHAnsi" w:hAnsiTheme="minorHAnsi" w:cs="Arial"/>
                <w:color w:val="000000"/>
                <w:sz w:val="20"/>
                <w:szCs w:val="20"/>
                <w:lang w:val="en-US"/>
              </w:rPr>
              <w:t>Lobulation</w:t>
            </w:r>
            <w:r w:rsidRPr="00872FD2">
              <w:rPr>
                <w:rFonts w:asciiTheme="minorHAnsi" w:eastAsiaTheme="minorHAnsi" w:hAnsiTheme="minorHAnsi" w:cs="Arial"/>
                <w:color w:val="000000"/>
                <w:sz w:val="20"/>
                <w:szCs w:val="20"/>
              </w:rPr>
              <w:t>»</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w:t>
            </w:r>
            <w:r w:rsidRPr="00872FD2">
              <w:rPr>
                <w:rFonts w:asciiTheme="minorHAnsi" w:eastAsiaTheme="minorHAnsi" w:hAnsiTheme="minorHAnsi" w:cs="Arial"/>
                <w:color w:val="000000"/>
                <w:sz w:val="20"/>
                <w:szCs w:val="20"/>
                <w:lang w:val="en-US"/>
              </w:rPr>
              <w:t>Enervation</w:t>
            </w:r>
            <w:r w:rsidRPr="00872FD2">
              <w:rPr>
                <w:rFonts w:asciiTheme="minorHAnsi" w:eastAsiaTheme="minorHAnsi" w:hAnsiTheme="minorHAnsi" w:cs="Arial"/>
                <w:color w:val="000000"/>
                <w:sz w:val="20"/>
                <w:szCs w:val="20"/>
              </w:rPr>
              <w:t>»</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«Β</w:t>
            </w:r>
            <w:r w:rsidRPr="00872FD2">
              <w:rPr>
                <w:rFonts w:asciiTheme="minorHAnsi" w:eastAsiaTheme="minorHAnsi" w:hAnsiTheme="minorHAnsi" w:cs="Arial"/>
                <w:color w:val="000000"/>
                <w:sz w:val="20"/>
                <w:szCs w:val="20"/>
                <w:lang w:val="en-US"/>
              </w:rPr>
              <w:t>ruit</w:t>
            </w:r>
            <w:r w:rsidRPr="00872FD2">
              <w:rPr>
                <w:rFonts w:asciiTheme="minorHAnsi" w:eastAsiaTheme="minorHAnsi" w:hAnsiTheme="minorHAnsi" w:cs="Arial"/>
                <w:color w:val="000000"/>
                <w:sz w:val="20"/>
                <w:szCs w:val="20"/>
              </w:rPr>
              <w:t>»</w:t>
            </w:r>
          </w:p>
        </w:tc>
      </w:tr>
      <w:tr w:rsidR="00DA4D22" w:rsidRPr="00872FD2" w:rsidTr="002568DB">
        <w:trPr>
          <w:cnfStyle w:val="000000010000"/>
        </w:trPr>
        <w:tc>
          <w:tcPr>
            <w:tcW w:w="2552" w:type="dxa"/>
            <w:gridSpan w:val="2"/>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In CAPD, waste substances pass from the blood,</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across the peritoneal membrane and into the dialysate</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fluid by a process called:</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Diffusion</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(b) Transport</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 Excretion</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(d) Chemical breakdown</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(e) Don’t know</w:t>
            </w:r>
          </w:p>
        </w:tc>
        <w:tc>
          <w:tcPr>
            <w:tcW w:w="2410" w:type="dxa"/>
          </w:tcPr>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Στην Συνεχή Φορητή Περιτοναϊκή Κάθαρση (ΣΦΠΚ), οι τοξικές (άχρηστες ) ουσίες</w:t>
            </w:r>
            <w:r w:rsidR="0078495A">
              <w:rPr>
                <w:rFonts w:asciiTheme="minorHAnsi" w:eastAsiaTheme="minorHAnsi" w:hAnsiTheme="minorHAnsi" w:cs="Arial"/>
                <w:color w:val="000000"/>
                <w:sz w:val="20"/>
                <w:szCs w:val="20"/>
              </w:rPr>
              <w:t xml:space="preserve"> </w:t>
            </w:r>
            <w:r w:rsidRPr="00872FD2">
              <w:rPr>
                <w:rFonts w:asciiTheme="minorHAnsi" w:eastAsiaTheme="minorHAnsi" w:hAnsiTheme="minorHAnsi" w:cs="Arial"/>
                <w:color w:val="000000"/>
                <w:sz w:val="20"/>
                <w:szCs w:val="20"/>
              </w:rPr>
              <w:t>περνάνε από το αίμα μέσα στο διάλυμα μέσω της περιτοναϊκής μεμβράνης με τη διαδικασία που λέγεται:</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α) Διάχυση</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β) Μεταφορά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γ) Απέκκριση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δ) Χημική αποσύνθεση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ε) Δεν ξέρω</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p>
        </w:tc>
        <w:tc>
          <w:tcPr>
            <w:tcW w:w="2552" w:type="dxa"/>
            <w:gridSpan w:val="2"/>
          </w:tcPr>
          <w:p w:rsidR="00DA4D22" w:rsidRPr="00872FD2" w:rsidRDefault="00DA4D22" w:rsidP="00872FD2">
            <w:pPr>
              <w:spacing w:after="0" w:line="360" w:lineRule="auto"/>
              <w:rPr>
                <w:rFonts w:asciiTheme="minorHAnsi" w:eastAsiaTheme="minorHAnsi" w:hAnsiTheme="minorHAnsi" w:cs="Arial"/>
                <w:i/>
                <w:color w:val="000000"/>
                <w:sz w:val="20"/>
                <w:szCs w:val="20"/>
                <w:u w:val="single"/>
                <w:lang w:val="en-US"/>
              </w:rPr>
            </w:pPr>
            <w:r w:rsidRPr="00872FD2">
              <w:rPr>
                <w:rFonts w:asciiTheme="minorHAnsi" w:eastAsiaTheme="minorHAnsi" w:hAnsiTheme="minorHAnsi" w:cs="Arial"/>
                <w:i/>
                <w:color w:val="000000"/>
                <w:sz w:val="20"/>
                <w:szCs w:val="20"/>
                <w:u w:val="single"/>
                <w:lang w:val="en-US"/>
              </w:rPr>
              <w:t xml:space="preserve">In peritoneal dialysis the useless substances go through to the peritoneal dilution via the peritoneal membrane, in a process called </w:t>
            </w: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pStyle w:val="a5"/>
              <w:numPr>
                <w:ilvl w:val="0"/>
                <w:numId w:val="53"/>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Diffusion</w:t>
            </w:r>
          </w:p>
          <w:p w:rsidR="00DA4D22" w:rsidRPr="00872FD2" w:rsidRDefault="00DA4D22" w:rsidP="00872FD2">
            <w:pPr>
              <w:pStyle w:val="a5"/>
              <w:numPr>
                <w:ilvl w:val="0"/>
                <w:numId w:val="53"/>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i/>
                <w:color w:val="000000"/>
                <w:sz w:val="20"/>
                <w:szCs w:val="20"/>
                <w:u w:val="single"/>
                <w:lang w:val="en-US"/>
              </w:rPr>
              <w:t xml:space="preserve">Transfer </w:t>
            </w:r>
          </w:p>
          <w:p w:rsidR="00DA4D22" w:rsidRPr="00872FD2" w:rsidRDefault="00DA4D22" w:rsidP="00872FD2">
            <w:pPr>
              <w:pStyle w:val="a5"/>
              <w:numPr>
                <w:ilvl w:val="0"/>
                <w:numId w:val="53"/>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Excretion</w:t>
            </w:r>
          </w:p>
          <w:p w:rsidR="00DA4D22" w:rsidRPr="00872FD2" w:rsidRDefault="00DA4D22" w:rsidP="00872FD2">
            <w:pPr>
              <w:pStyle w:val="a5"/>
              <w:numPr>
                <w:ilvl w:val="0"/>
                <w:numId w:val="53"/>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Chemical disintegration</w:t>
            </w:r>
          </w:p>
          <w:p w:rsidR="00DA4D22" w:rsidRPr="00872FD2" w:rsidRDefault="00DA4D22" w:rsidP="00872FD2">
            <w:pPr>
              <w:pStyle w:val="a5"/>
              <w:numPr>
                <w:ilvl w:val="0"/>
                <w:numId w:val="53"/>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 don’t know</w:t>
            </w:r>
          </w:p>
        </w:tc>
        <w:tc>
          <w:tcPr>
            <w:tcW w:w="1701" w:type="dxa"/>
          </w:tcPr>
          <w:p w:rsidR="00DA4D22" w:rsidRPr="00872FD2" w:rsidRDefault="00DA4D22" w:rsidP="00872FD2">
            <w:pPr>
              <w:pStyle w:val="aa"/>
              <w:spacing w:after="0" w:line="360" w:lineRule="auto"/>
              <w:rPr>
                <w:rFonts w:asciiTheme="minorHAnsi" w:eastAsiaTheme="minorHAnsi" w:hAnsiTheme="minorHAnsi" w:cs="Arial"/>
                <w:color w:val="000000"/>
                <w:lang w:val="en-CA"/>
              </w:rPr>
            </w:pPr>
            <w:r w:rsidRPr="00872FD2">
              <w:rPr>
                <w:rFonts w:asciiTheme="minorHAnsi" w:eastAsiaTheme="minorHAnsi" w:hAnsiTheme="minorHAnsi" w:cs="Arial"/>
                <w:color w:val="000000"/>
                <w:lang w:val="en-CA"/>
              </w:rPr>
              <w:t>In CAPD, waste substances pass from the blood, across the peritoneal membrane and into the dialysate fluid by a process called:”</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CA"/>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w:t>
            </w:r>
            <w:r w:rsidRPr="00872FD2">
              <w:rPr>
                <w:rFonts w:asciiTheme="minorHAnsi" w:eastAsiaTheme="minorHAnsi" w:hAnsiTheme="minorHAnsi" w:cs="Arial"/>
                <w:color w:val="000000"/>
                <w:sz w:val="20"/>
                <w:szCs w:val="20"/>
                <w:lang w:val="en-CA"/>
              </w:rPr>
              <w:t>Transport</w:t>
            </w:r>
            <w:r w:rsidRPr="00872FD2">
              <w:rPr>
                <w:rFonts w:asciiTheme="minorHAnsi" w:eastAsiaTheme="minorHAnsi" w:hAnsiTheme="minorHAnsi" w:cs="Arial"/>
                <w:color w:val="000000"/>
                <w:sz w:val="20"/>
                <w:szCs w:val="20"/>
              </w:rPr>
              <w:t>»</w:t>
            </w:r>
          </w:p>
        </w:tc>
      </w:tr>
      <w:tr w:rsidR="00DA4D22" w:rsidRPr="00872FD2" w:rsidTr="002568DB">
        <w:trPr>
          <w:cnfStyle w:val="000000100000"/>
        </w:trPr>
        <w:tc>
          <w:tcPr>
            <w:tcW w:w="2552" w:type="dxa"/>
            <w:gridSpan w:val="2"/>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In addition to removing wastes from the blood, the artificial kidney also functions to remove excess water from the blood. This water-removal process</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is called:</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Ultra-filtration</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(b) Ultra-refraction</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 Osmosis</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(d) Catharsis</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(e) Don’t know</w:t>
            </w:r>
          </w:p>
        </w:tc>
        <w:tc>
          <w:tcPr>
            <w:tcW w:w="2410" w:type="dxa"/>
          </w:tcPr>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Επιπλέον με την αιμοκάθαρση, εκτός από την απομάκρυνση των</w:t>
            </w:r>
            <w:r w:rsidR="0078495A">
              <w:rPr>
                <w:rFonts w:asciiTheme="minorHAnsi" w:eastAsiaTheme="minorHAnsi" w:hAnsiTheme="minorHAnsi" w:cs="Arial"/>
                <w:color w:val="000000"/>
                <w:sz w:val="20"/>
                <w:szCs w:val="20"/>
              </w:rPr>
              <w:t xml:space="preserve"> </w:t>
            </w:r>
            <w:r w:rsidRPr="00872FD2">
              <w:rPr>
                <w:rFonts w:asciiTheme="minorHAnsi" w:eastAsiaTheme="minorHAnsi" w:hAnsiTheme="minorHAnsi" w:cs="Arial"/>
                <w:color w:val="000000"/>
                <w:sz w:val="20"/>
                <w:szCs w:val="20"/>
              </w:rPr>
              <w:t>τοξικών (άχρηστων) ουσιών, απομακρύνεται η περίσσεια νερού από το αίμα. Αυτή η διαδικασία απομάκρυνσης του νερού λέγεται:</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α) Υπερ-διήθηση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β) Υπερ-διάχυση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γ) Όσμωση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δ) Κάθαρση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ε) Δεν ξέρω</w:t>
            </w:r>
          </w:p>
        </w:tc>
        <w:tc>
          <w:tcPr>
            <w:tcW w:w="2552" w:type="dxa"/>
            <w:gridSpan w:val="2"/>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 xml:space="preserve">Along with </w:t>
            </w:r>
            <w:r w:rsidRPr="00872FD2">
              <w:rPr>
                <w:rFonts w:asciiTheme="minorHAnsi" w:eastAsiaTheme="minorHAnsi" w:hAnsiTheme="minorHAnsi" w:cs="Arial"/>
                <w:i/>
                <w:color w:val="000000"/>
                <w:sz w:val="20"/>
                <w:szCs w:val="20"/>
                <w:u w:val="single"/>
                <w:lang w:val="en-US"/>
              </w:rPr>
              <w:t>discharging useless substances from the bloodstream ,</w:t>
            </w:r>
            <w:r w:rsidRPr="00872FD2">
              <w:rPr>
                <w:rFonts w:asciiTheme="minorHAnsi" w:eastAsiaTheme="minorHAnsi" w:hAnsiTheme="minorHAnsi" w:cs="Arial"/>
                <w:color w:val="000000"/>
                <w:sz w:val="20"/>
                <w:szCs w:val="20"/>
                <w:lang w:val="en-US"/>
              </w:rPr>
              <w:t xml:space="preserve"> an artificial kidney removes the excess water from the blood. This removal of excess water is called</w:t>
            </w:r>
          </w:p>
          <w:p w:rsidR="00DA4D22" w:rsidRPr="00872FD2" w:rsidRDefault="00DA4D22" w:rsidP="00872FD2">
            <w:pPr>
              <w:spacing w:after="0" w:line="360" w:lineRule="auto"/>
              <w:rPr>
                <w:rFonts w:asciiTheme="minorHAnsi" w:eastAsiaTheme="minorHAnsi" w:hAnsiTheme="minorHAnsi" w:cs="Arial"/>
                <w:color w:val="000000"/>
                <w:sz w:val="20"/>
                <w:szCs w:val="20"/>
              </w:rPr>
            </w:pPr>
          </w:p>
          <w:p w:rsidR="00DA4D22" w:rsidRPr="00872FD2" w:rsidRDefault="00DA4D22" w:rsidP="00872FD2">
            <w:pPr>
              <w:spacing w:after="0" w:line="360" w:lineRule="auto"/>
              <w:rPr>
                <w:rFonts w:asciiTheme="minorHAnsi" w:eastAsiaTheme="minorHAnsi" w:hAnsiTheme="minorHAnsi" w:cs="Arial"/>
                <w:color w:val="000000"/>
                <w:sz w:val="20"/>
                <w:szCs w:val="20"/>
              </w:rPr>
            </w:pPr>
          </w:p>
          <w:p w:rsidR="00DA4D22" w:rsidRPr="00872FD2" w:rsidRDefault="00DA4D22" w:rsidP="00872FD2">
            <w:pPr>
              <w:spacing w:after="0" w:line="360" w:lineRule="auto"/>
              <w:rPr>
                <w:rFonts w:asciiTheme="minorHAnsi" w:eastAsiaTheme="minorHAnsi" w:hAnsiTheme="minorHAnsi" w:cs="Arial"/>
                <w:color w:val="000000"/>
                <w:sz w:val="20"/>
                <w:szCs w:val="20"/>
              </w:rPr>
            </w:pPr>
          </w:p>
          <w:p w:rsidR="00DA4D22" w:rsidRPr="00872FD2" w:rsidRDefault="00DA4D22" w:rsidP="00872FD2">
            <w:pPr>
              <w:pStyle w:val="a5"/>
              <w:numPr>
                <w:ilvl w:val="0"/>
                <w:numId w:val="54"/>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Ultra-filtration</w:t>
            </w:r>
          </w:p>
          <w:p w:rsidR="00DA4D22" w:rsidRPr="00872FD2" w:rsidRDefault="00DA4D22" w:rsidP="00872FD2">
            <w:pPr>
              <w:pStyle w:val="a5"/>
              <w:numPr>
                <w:ilvl w:val="0"/>
                <w:numId w:val="54"/>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i/>
                <w:color w:val="000000"/>
                <w:sz w:val="20"/>
                <w:szCs w:val="20"/>
                <w:lang w:val="en-US"/>
              </w:rPr>
              <w:t>Ultra-</w:t>
            </w:r>
            <w:r w:rsidRPr="00872FD2">
              <w:rPr>
                <w:rFonts w:asciiTheme="minorHAnsi" w:eastAsiaTheme="minorHAnsi" w:hAnsiTheme="minorHAnsi" w:cs="Arial"/>
                <w:i/>
                <w:color w:val="000000"/>
                <w:sz w:val="20"/>
                <w:szCs w:val="20"/>
                <w:u w:val="single"/>
                <w:lang w:val="en-US"/>
              </w:rPr>
              <w:t>dissipation</w:t>
            </w:r>
            <w:r w:rsidRPr="00872FD2">
              <w:rPr>
                <w:rFonts w:asciiTheme="minorHAnsi" w:eastAsiaTheme="minorHAnsi" w:hAnsiTheme="minorHAnsi" w:cs="Arial"/>
                <w:color w:val="000000"/>
                <w:sz w:val="20"/>
                <w:szCs w:val="20"/>
                <w:lang w:val="en-US"/>
              </w:rPr>
              <w:t xml:space="preserve"> </w:t>
            </w:r>
          </w:p>
          <w:p w:rsidR="00DA4D22" w:rsidRPr="00872FD2" w:rsidRDefault="00DA4D22" w:rsidP="00872FD2">
            <w:pPr>
              <w:pStyle w:val="a5"/>
              <w:numPr>
                <w:ilvl w:val="0"/>
                <w:numId w:val="54"/>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Osmosis</w:t>
            </w:r>
          </w:p>
          <w:p w:rsidR="00DA4D22" w:rsidRPr="00872FD2" w:rsidRDefault="00DA4D22" w:rsidP="00872FD2">
            <w:pPr>
              <w:pStyle w:val="a5"/>
              <w:numPr>
                <w:ilvl w:val="0"/>
                <w:numId w:val="54"/>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i/>
                <w:color w:val="000000"/>
                <w:sz w:val="20"/>
                <w:szCs w:val="20"/>
                <w:u w:val="single"/>
                <w:lang w:val="en-US"/>
              </w:rPr>
              <w:t>Purification</w:t>
            </w:r>
            <w:r w:rsidRPr="00872FD2">
              <w:rPr>
                <w:rFonts w:asciiTheme="minorHAnsi" w:eastAsiaTheme="minorHAnsi" w:hAnsiTheme="minorHAnsi" w:cs="Arial"/>
                <w:color w:val="000000"/>
                <w:sz w:val="20"/>
                <w:szCs w:val="20"/>
                <w:lang w:val="en-US"/>
              </w:rPr>
              <w:t xml:space="preserve"> </w:t>
            </w:r>
          </w:p>
          <w:p w:rsidR="00DA4D22" w:rsidRPr="00872FD2" w:rsidRDefault="00DA4D22" w:rsidP="00872FD2">
            <w:pPr>
              <w:pStyle w:val="a5"/>
              <w:numPr>
                <w:ilvl w:val="0"/>
                <w:numId w:val="54"/>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 don’t know</w:t>
            </w: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«removing wastes from the blood»</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w:t>
            </w:r>
            <w:r w:rsidRPr="00872FD2">
              <w:rPr>
                <w:rFonts w:asciiTheme="minorHAnsi" w:eastAsiaTheme="minorHAnsi" w:hAnsiTheme="minorHAnsi" w:cs="Arial"/>
                <w:color w:val="000000"/>
                <w:sz w:val="20"/>
                <w:szCs w:val="20"/>
                <w:lang w:val="en-US"/>
              </w:rPr>
              <w:t>Refraction</w:t>
            </w:r>
            <w:r w:rsidRPr="00872FD2">
              <w:rPr>
                <w:rFonts w:asciiTheme="minorHAnsi" w:eastAsiaTheme="minorHAnsi" w:hAnsiTheme="minorHAnsi" w:cs="Arial"/>
                <w:color w:val="000000"/>
                <w:sz w:val="20"/>
                <w:szCs w:val="20"/>
              </w:rPr>
              <w:t>»</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w:t>
            </w:r>
            <w:r w:rsidRPr="00872FD2">
              <w:rPr>
                <w:rFonts w:asciiTheme="minorHAnsi" w:eastAsiaTheme="minorHAnsi" w:hAnsiTheme="minorHAnsi" w:cs="Arial"/>
                <w:color w:val="000000"/>
                <w:sz w:val="20"/>
                <w:szCs w:val="20"/>
                <w:lang w:val="en-US"/>
              </w:rPr>
              <w:t>Catharsis</w:t>
            </w:r>
            <w:r w:rsidRPr="00872FD2">
              <w:rPr>
                <w:rFonts w:asciiTheme="minorHAnsi" w:eastAsiaTheme="minorHAnsi" w:hAnsiTheme="minorHAnsi" w:cs="Arial"/>
                <w:color w:val="000000"/>
                <w:sz w:val="20"/>
                <w:szCs w:val="20"/>
              </w:rPr>
              <w:t>»</w:t>
            </w:r>
          </w:p>
        </w:tc>
      </w:tr>
      <w:tr w:rsidR="00DA4D22" w:rsidRPr="00872FD2" w:rsidTr="002568DB">
        <w:trPr>
          <w:cnfStyle w:val="000000010000"/>
        </w:trPr>
        <w:tc>
          <w:tcPr>
            <w:tcW w:w="2552" w:type="dxa"/>
            <w:gridSpan w:val="2"/>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patient with kidney disease can experience high blood pressure, swelling and rapid weight gain when his body becomes overloaded with:</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Protein</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(b) Urea</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 Water</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rPr>
              <w:t>(d) Don’t know</w:t>
            </w:r>
          </w:p>
        </w:tc>
        <w:tc>
          <w:tcPr>
            <w:tcW w:w="2410" w:type="dxa"/>
          </w:tcPr>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Ένας ασθενής με νεφρική νόσο μπορεί να εμφανίσει υψηλή αρτηριακή πίεση, εφίδρωση και ταχεία αύξηση</w:t>
            </w:r>
            <w:r w:rsidR="0078495A">
              <w:rPr>
                <w:rFonts w:asciiTheme="minorHAnsi" w:eastAsiaTheme="minorHAnsi" w:hAnsiTheme="minorHAnsi" w:cs="Arial"/>
                <w:color w:val="000000"/>
                <w:sz w:val="20"/>
                <w:szCs w:val="20"/>
              </w:rPr>
              <w:t xml:space="preserve"> </w:t>
            </w:r>
            <w:r w:rsidRPr="00872FD2">
              <w:rPr>
                <w:rFonts w:asciiTheme="minorHAnsi" w:eastAsiaTheme="minorHAnsi" w:hAnsiTheme="minorHAnsi" w:cs="Arial"/>
                <w:color w:val="000000"/>
                <w:sz w:val="20"/>
                <w:szCs w:val="20"/>
              </w:rPr>
              <w:t>του σωματικού του βά</w:t>
            </w:r>
            <w:r w:rsidR="006269EC">
              <w:rPr>
                <w:rFonts w:asciiTheme="minorHAnsi" w:eastAsiaTheme="minorHAnsi" w:hAnsiTheme="minorHAnsi" w:cs="Arial"/>
                <w:color w:val="000000"/>
                <w:sz w:val="20"/>
                <w:szCs w:val="20"/>
              </w:rPr>
              <w:t>ρους όταν ο οργανισμός του επιβαρύ</w:t>
            </w:r>
            <w:r w:rsidRPr="00872FD2">
              <w:rPr>
                <w:rFonts w:asciiTheme="minorHAnsi" w:eastAsiaTheme="minorHAnsi" w:hAnsiTheme="minorHAnsi" w:cs="Arial"/>
                <w:color w:val="000000"/>
                <w:sz w:val="20"/>
                <w:szCs w:val="20"/>
              </w:rPr>
              <w:t xml:space="preserve">νεται με: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α) Πρωτεΐνες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β) Ουρία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γ) Νερό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rPr>
              <w:t>δ) Δεν ξέρω</w:t>
            </w:r>
          </w:p>
        </w:tc>
        <w:tc>
          <w:tcPr>
            <w:tcW w:w="2552" w:type="dxa"/>
            <w:gridSpan w:val="2"/>
          </w:tcPr>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patient suffering from renal disease may have high blood pressure, swelling and faster increase in body weight, when his/her body is overloaded with:</w:t>
            </w: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pStyle w:val="a5"/>
              <w:numPr>
                <w:ilvl w:val="0"/>
                <w:numId w:val="55"/>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Proteins</w:t>
            </w:r>
          </w:p>
          <w:p w:rsidR="00DA4D22" w:rsidRPr="00872FD2" w:rsidRDefault="00DA4D22" w:rsidP="00872FD2">
            <w:pPr>
              <w:pStyle w:val="a5"/>
              <w:numPr>
                <w:ilvl w:val="0"/>
                <w:numId w:val="55"/>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Urea</w:t>
            </w:r>
          </w:p>
          <w:p w:rsidR="00DA4D22" w:rsidRPr="00872FD2" w:rsidRDefault="00DA4D22" w:rsidP="00872FD2">
            <w:pPr>
              <w:pStyle w:val="a5"/>
              <w:numPr>
                <w:ilvl w:val="0"/>
                <w:numId w:val="55"/>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Water</w:t>
            </w:r>
          </w:p>
          <w:p w:rsidR="00DA4D22" w:rsidRPr="00872FD2" w:rsidRDefault="00DA4D22" w:rsidP="00872FD2">
            <w:pPr>
              <w:pStyle w:val="a5"/>
              <w:numPr>
                <w:ilvl w:val="0"/>
                <w:numId w:val="55"/>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 don’t know</w:t>
            </w: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tc>
      </w:tr>
      <w:tr w:rsidR="00DA4D22" w:rsidRPr="00872FD2" w:rsidTr="002568DB">
        <w:trPr>
          <w:cnfStyle w:val="000000100000"/>
        </w:trPr>
        <w:tc>
          <w:tcPr>
            <w:tcW w:w="2552" w:type="dxa"/>
            <w:gridSpan w:val="2"/>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Which one of these foods has a lot of potassium?</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Rice</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(b) Ice cream</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 Bananas</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rPr>
              <w:t>(d) Don’t know</w:t>
            </w:r>
          </w:p>
        </w:tc>
        <w:tc>
          <w:tcPr>
            <w:tcW w:w="2410" w:type="dxa"/>
          </w:tcPr>
          <w:p w:rsidR="00DA4D22" w:rsidRPr="00872FD2" w:rsidRDefault="00DA4D22" w:rsidP="00872FD2">
            <w:pPr>
              <w:spacing w:after="0" w:line="360" w:lineRule="auto"/>
              <w:rPr>
                <w:rFonts w:asciiTheme="minorHAnsi" w:eastAsia="Times New Roman" w:hAnsiTheme="minorHAnsi" w:cs="Arial"/>
                <w:color w:val="000000"/>
                <w:sz w:val="20"/>
                <w:szCs w:val="20"/>
                <w:lang w:eastAsia="el-GR"/>
              </w:rPr>
            </w:pPr>
            <w:r w:rsidRPr="00872FD2">
              <w:rPr>
                <w:rFonts w:asciiTheme="minorHAnsi" w:eastAsia="Times New Roman" w:hAnsiTheme="minorHAnsi" w:cs="Arial"/>
                <w:color w:val="000000"/>
                <w:sz w:val="20"/>
                <w:szCs w:val="20"/>
                <w:lang w:eastAsia="el-GR"/>
              </w:rPr>
              <w:t>Ποια από τις</w:t>
            </w:r>
            <w:r w:rsidR="0078495A">
              <w:rPr>
                <w:rFonts w:asciiTheme="minorHAnsi" w:eastAsia="Times New Roman" w:hAnsiTheme="minorHAnsi" w:cs="Arial"/>
                <w:color w:val="000000"/>
                <w:sz w:val="20"/>
                <w:szCs w:val="20"/>
                <w:lang w:eastAsia="el-GR"/>
              </w:rPr>
              <w:t xml:space="preserve"> </w:t>
            </w:r>
            <w:r w:rsidRPr="00872FD2">
              <w:rPr>
                <w:rFonts w:asciiTheme="minorHAnsi" w:eastAsia="Times New Roman" w:hAnsiTheme="minorHAnsi" w:cs="Arial"/>
                <w:color w:val="000000"/>
                <w:sz w:val="20"/>
                <w:szCs w:val="20"/>
                <w:lang w:eastAsia="el-GR"/>
              </w:rPr>
              <w:t>παρακάτω τροφές έχει πολύ κάλιο;</w:t>
            </w:r>
          </w:p>
          <w:p w:rsidR="00DA4D22" w:rsidRPr="00872FD2" w:rsidRDefault="00DA4D22" w:rsidP="00872FD2">
            <w:pPr>
              <w:spacing w:after="0" w:line="360" w:lineRule="auto"/>
              <w:ind w:left="360"/>
              <w:rPr>
                <w:rFonts w:asciiTheme="minorHAnsi" w:eastAsia="Times New Roman" w:hAnsiTheme="minorHAnsi" w:cs="Arial"/>
                <w:color w:val="000000"/>
                <w:sz w:val="20"/>
                <w:szCs w:val="20"/>
                <w:lang w:eastAsia="el-GR"/>
              </w:rPr>
            </w:pPr>
          </w:p>
          <w:p w:rsidR="00DA4D22" w:rsidRPr="00872FD2" w:rsidRDefault="00DA4D22" w:rsidP="00872FD2">
            <w:pPr>
              <w:spacing w:after="0" w:line="360" w:lineRule="auto"/>
              <w:rPr>
                <w:rFonts w:asciiTheme="minorHAnsi" w:eastAsia="Times New Roman" w:hAnsiTheme="minorHAnsi" w:cs="Arial"/>
                <w:color w:val="000000"/>
                <w:sz w:val="20"/>
                <w:szCs w:val="20"/>
                <w:lang w:eastAsia="el-GR"/>
              </w:rPr>
            </w:pPr>
            <w:r w:rsidRPr="00872FD2">
              <w:rPr>
                <w:rFonts w:asciiTheme="minorHAnsi" w:eastAsia="Times New Roman" w:hAnsiTheme="minorHAnsi" w:cs="Arial"/>
                <w:color w:val="000000"/>
                <w:sz w:val="20"/>
                <w:szCs w:val="20"/>
                <w:lang w:eastAsia="el-GR"/>
              </w:rPr>
              <w:t>α) Το ρύζι</w:t>
            </w:r>
          </w:p>
          <w:p w:rsidR="00DA4D22" w:rsidRPr="00872FD2" w:rsidRDefault="00DA4D22" w:rsidP="00872FD2">
            <w:pPr>
              <w:spacing w:after="0" w:line="360" w:lineRule="auto"/>
              <w:rPr>
                <w:rFonts w:asciiTheme="minorHAnsi" w:eastAsia="Times New Roman" w:hAnsiTheme="minorHAnsi" w:cs="Arial"/>
                <w:color w:val="000000"/>
                <w:sz w:val="20"/>
                <w:szCs w:val="20"/>
                <w:lang w:eastAsia="el-GR"/>
              </w:rPr>
            </w:pPr>
            <w:r w:rsidRPr="00872FD2">
              <w:rPr>
                <w:rFonts w:asciiTheme="minorHAnsi" w:eastAsia="Times New Roman" w:hAnsiTheme="minorHAnsi" w:cs="Arial"/>
                <w:color w:val="000000"/>
                <w:sz w:val="20"/>
                <w:szCs w:val="20"/>
                <w:lang w:eastAsia="el-GR"/>
              </w:rPr>
              <w:t xml:space="preserve">β) Το παγωτό </w:t>
            </w:r>
          </w:p>
          <w:p w:rsidR="00DA4D22" w:rsidRPr="00872FD2" w:rsidRDefault="00DA4D22" w:rsidP="00872FD2">
            <w:pPr>
              <w:spacing w:after="0" w:line="360" w:lineRule="auto"/>
              <w:rPr>
                <w:rFonts w:asciiTheme="minorHAnsi" w:eastAsia="Times New Roman" w:hAnsiTheme="minorHAnsi" w:cs="Arial"/>
                <w:color w:val="000000"/>
                <w:sz w:val="20"/>
                <w:szCs w:val="20"/>
                <w:lang w:eastAsia="el-GR"/>
              </w:rPr>
            </w:pPr>
            <w:r w:rsidRPr="00872FD2">
              <w:rPr>
                <w:rFonts w:asciiTheme="minorHAnsi" w:eastAsia="Times New Roman" w:hAnsiTheme="minorHAnsi" w:cs="Arial"/>
                <w:color w:val="000000"/>
                <w:sz w:val="20"/>
                <w:szCs w:val="20"/>
                <w:lang w:eastAsia="el-GR"/>
              </w:rPr>
              <w:t xml:space="preserve">γ) Οι μπανάνες </w:t>
            </w:r>
          </w:p>
          <w:p w:rsidR="00DA4D22" w:rsidRPr="00872FD2" w:rsidRDefault="00DA4D22" w:rsidP="00872FD2">
            <w:pPr>
              <w:spacing w:after="0" w:line="360" w:lineRule="auto"/>
              <w:rPr>
                <w:rFonts w:asciiTheme="minorHAnsi" w:eastAsia="Times New Roman" w:hAnsiTheme="minorHAnsi" w:cs="Arial"/>
                <w:color w:val="000000"/>
                <w:sz w:val="20"/>
                <w:szCs w:val="20"/>
                <w:lang w:eastAsia="el-GR"/>
              </w:rPr>
            </w:pPr>
            <w:r w:rsidRPr="00872FD2">
              <w:rPr>
                <w:rFonts w:asciiTheme="minorHAnsi" w:eastAsia="Times New Roman" w:hAnsiTheme="minorHAnsi" w:cs="Arial"/>
                <w:color w:val="000000"/>
                <w:sz w:val="20"/>
                <w:szCs w:val="20"/>
                <w:lang w:eastAsia="el-GR"/>
              </w:rPr>
              <w:t>δ) Δεν ξέρω</w:t>
            </w:r>
            <w:r w:rsidR="0078495A">
              <w:rPr>
                <w:rFonts w:asciiTheme="minorHAnsi" w:eastAsia="Times New Roman" w:hAnsiTheme="minorHAnsi" w:cs="Arial"/>
                <w:color w:val="000000"/>
                <w:sz w:val="20"/>
                <w:szCs w:val="20"/>
                <w:lang w:eastAsia="el-GR"/>
              </w:rPr>
              <w:t xml:space="preserve">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p>
        </w:tc>
        <w:tc>
          <w:tcPr>
            <w:tcW w:w="2552" w:type="dxa"/>
            <w:gridSpan w:val="2"/>
          </w:tcPr>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Which of these foods contains a lot of potassium?</w:t>
            </w:r>
          </w:p>
          <w:p w:rsidR="00DA4D22" w:rsidRPr="00872FD2" w:rsidRDefault="00DA4D22" w:rsidP="00872FD2">
            <w:pPr>
              <w:pStyle w:val="a5"/>
              <w:numPr>
                <w:ilvl w:val="0"/>
                <w:numId w:val="56"/>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Rice</w:t>
            </w:r>
          </w:p>
          <w:p w:rsidR="00DA4D22" w:rsidRPr="00872FD2" w:rsidRDefault="00DA4D22" w:rsidP="00872FD2">
            <w:pPr>
              <w:pStyle w:val="a5"/>
              <w:numPr>
                <w:ilvl w:val="0"/>
                <w:numId w:val="56"/>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 xml:space="preserve">Ice cream </w:t>
            </w:r>
          </w:p>
          <w:p w:rsidR="00DA4D22" w:rsidRPr="00872FD2" w:rsidRDefault="00DA4D22" w:rsidP="00872FD2">
            <w:pPr>
              <w:pStyle w:val="a5"/>
              <w:numPr>
                <w:ilvl w:val="0"/>
                <w:numId w:val="56"/>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Bananas</w:t>
            </w:r>
          </w:p>
          <w:p w:rsidR="00DA4D22" w:rsidRPr="00872FD2" w:rsidRDefault="00DA4D22" w:rsidP="00872FD2">
            <w:pPr>
              <w:pStyle w:val="a5"/>
              <w:numPr>
                <w:ilvl w:val="0"/>
                <w:numId w:val="56"/>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 don’t know</w:t>
            </w: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tc>
      </w:tr>
      <w:tr w:rsidR="00DA4D22" w:rsidRPr="00872FD2" w:rsidTr="002568DB">
        <w:trPr>
          <w:cnfStyle w:val="000000010000"/>
        </w:trPr>
        <w:tc>
          <w:tcPr>
            <w:tcW w:w="2552" w:type="dxa"/>
            <w:gridSpan w:val="2"/>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Approximately how many times a week do hemodialysis patients usually have their sessions on the kidney dialysis machine?</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1</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(b) 3</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 6</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(d) Don’t know</w:t>
            </w:r>
          </w:p>
        </w:tc>
        <w:tc>
          <w:tcPr>
            <w:tcW w:w="2410" w:type="dxa"/>
          </w:tcPr>
          <w:p w:rsidR="00DA4D22" w:rsidRPr="00872FD2" w:rsidRDefault="00DA4D22" w:rsidP="00872FD2">
            <w:pPr>
              <w:spacing w:after="0" w:line="360" w:lineRule="auto"/>
              <w:rPr>
                <w:rFonts w:asciiTheme="minorHAnsi" w:eastAsia="Times New Roman" w:hAnsiTheme="minorHAnsi" w:cs="Arial"/>
                <w:color w:val="000000"/>
                <w:sz w:val="20"/>
                <w:szCs w:val="20"/>
                <w:lang w:eastAsia="el-GR"/>
              </w:rPr>
            </w:pPr>
            <w:r w:rsidRPr="00872FD2">
              <w:rPr>
                <w:rFonts w:asciiTheme="minorHAnsi" w:eastAsia="Times New Roman" w:hAnsiTheme="minorHAnsi" w:cs="Arial"/>
                <w:color w:val="000000"/>
                <w:sz w:val="20"/>
                <w:szCs w:val="20"/>
                <w:lang w:eastAsia="el-GR"/>
              </w:rPr>
              <w:t>Πόσες φορές την εβδομάδα</w:t>
            </w:r>
            <w:r w:rsidR="0078495A">
              <w:rPr>
                <w:rFonts w:asciiTheme="minorHAnsi" w:eastAsia="Times New Roman" w:hAnsiTheme="minorHAnsi" w:cs="Arial"/>
                <w:color w:val="000000"/>
                <w:sz w:val="20"/>
                <w:szCs w:val="20"/>
                <w:lang w:eastAsia="el-GR"/>
              </w:rPr>
              <w:t xml:space="preserve"> </w:t>
            </w:r>
            <w:r w:rsidRPr="00872FD2">
              <w:rPr>
                <w:rFonts w:asciiTheme="minorHAnsi" w:eastAsia="Times New Roman" w:hAnsiTheme="minorHAnsi" w:cs="Arial"/>
                <w:color w:val="000000"/>
                <w:sz w:val="20"/>
                <w:szCs w:val="20"/>
                <w:lang w:eastAsia="el-GR"/>
              </w:rPr>
              <w:t>οι ασθενείς</w:t>
            </w:r>
            <w:r w:rsidR="0078495A">
              <w:rPr>
                <w:rFonts w:asciiTheme="minorHAnsi" w:eastAsia="Times New Roman" w:hAnsiTheme="minorHAnsi" w:cs="Arial"/>
                <w:color w:val="000000"/>
                <w:sz w:val="20"/>
                <w:szCs w:val="20"/>
                <w:lang w:eastAsia="el-GR"/>
              </w:rPr>
              <w:t xml:space="preserve"> </w:t>
            </w:r>
            <w:r w:rsidRPr="00872FD2">
              <w:rPr>
                <w:rFonts w:asciiTheme="minorHAnsi" w:eastAsia="Times New Roman" w:hAnsiTheme="minorHAnsi" w:cs="Arial"/>
                <w:color w:val="000000"/>
                <w:sz w:val="20"/>
                <w:szCs w:val="20"/>
                <w:lang w:eastAsia="el-GR"/>
              </w:rPr>
              <w:t>κάνουν</w:t>
            </w:r>
            <w:r w:rsidR="0078495A">
              <w:rPr>
                <w:rFonts w:asciiTheme="minorHAnsi" w:eastAsia="Times New Roman" w:hAnsiTheme="minorHAnsi" w:cs="Arial"/>
                <w:color w:val="000000"/>
                <w:sz w:val="20"/>
                <w:szCs w:val="20"/>
                <w:lang w:eastAsia="el-GR"/>
              </w:rPr>
              <w:t xml:space="preserve"> </w:t>
            </w:r>
            <w:r w:rsidRPr="00872FD2">
              <w:rPr>
                <w:rFonts w:asciiTheme="minorHAnsi" w:eastAsia="Times New Roman" w:hAnsiTheme="minorHAnsi" w:cs="Arial"/>
                <w:color w:val="000000"/>
                <w:sz w:val="20"/>
                <w:szCs w:val="20"/>
                <w:lang w:eastAsia="el-GR"/>
              </w:rPr>
              <w:t>αιμοκάθαρση;</w:t>
            </w:r>
          </w:p>
          <w:p w:rsidR="00DA4D22" w:rsidRPr="00872FD2" w:rsidRDefault="00DA4D22" w:rsidP="00872FD2">
            <w:pPr>
              <w:spacing w:after="0" w:line="360" w:lineRule="auto"/>
              <w:ind w:left="360"/>
              <w:rPr>
                <w:rFonts w:asciiTheme="minorHAnsi" w:eastAsia="Times New Roman" w:hAnsiTheme="minorHAnsi" w:cs="Arial"/>
                <w:color w:val="000000"/>
                <w:sz w:val="20"/>
                <w:szCs w:val="20"/>
                <w:lang w:eastAsia="el-GR"/>
              </w:rPr>
            </w:pPr>
          </w:p>
          <w:p w:rsidR="00DA4D22" w:rsidRPr="00872FD2" w:rsidRDefault="00DA4D22" w:rsidP="00872FD2">
            <w:pPr>
              <w:spacing w:after="0" w:line="360" w:lineRule="auto"/>
              <w:rPr>
                <w:rFonts w:asciiTheme="minorHAnsi" w:eastAsia="Times New Roman" w:hAnsiTheme="minorHAnsi" w:cs="Arial"/>
                <w:color w:val="000000"/>
                <w:sz w:val="20"/>
                <w:szCs w:val="20"/>
                <w:lang w:eastAsia="el-GR"/>
              </w:rPr>
            </w:pPr>
          </w:p>
          <w:p w:rsidR="00DA4D22" w:rsidRPr="00872FD2" w:rsidRDefault="00DA4D22" w:rsidP="00872FD2">
            <w:pPr>
              <w:spacing w:after="0" w:line="360" w:lineRule="auto"/>
              <w:rPr>
                <w:rFonts w:asciiTheme="minorHAnsi" w:eastAsia="Times New Roman" w:hAnsiTheme="minorHAnsi" w:cs="Arial"/>
                <w:color w:val="000000"/>
                <w:sz w:val="20"/>
                <w:szCs w:val="20"/>
                <w:lang w:eastAsia="el-GR"/>
              </w:rPr>
            </w:pPr>
          </w:p>
          <w:p w:rsidR="00DA4D22" w:rsidRPr="00872FD2" w:rsidRDefault="00DA4D22" w:rsidP="00872FD2">
            <w:pPr>
              <w:spacing w:after="0" w:line="360" w:lineRule="auto"/>
              <w:rPr>
                <w:rFonts w:asciiTheme="minorHAnsi" w:eastAsia="Times New Roman" w:hAnsiTheme="minorHAnsi" w:cs="Arial"/>
                <w:color w:val="000000"/>
                <w:sz w:val="20"/>
                <w:szCs w:val="20"/>
                <w:lang w:eastAsia="el-GR"/>
              </w:rPr>
            </w:pPr>
            <w:r w:rsidRPr="00872FD2">
              <w:rPr>
                <w:rFonts w:asciiTheme="minorHAnsi" w:eastAsia="Times New Roman" w:hAnsiTheme="minorHAnsi" w:cs="Arial"/>
                <w:color w:val="000000"/>
                <w:sz w:val="20"/>
                <w:szCs w:val="20"/>
                <w:lang w:eastAsia="el-GR"/>
              </w:rPr>
              <w:t>α) 1 (</w:t>
            </w:r>
            <w:r w:rsidR="00817853">
              <w:rPr>
                <w:rFonts w:asciiTheme="minorHAnsi" w:eastAsia="Times New Roman" w:hAnsiTheme="minorHAnsi" w:cs="Arial"/>
                <w:color w:val="000000"/>
                <w:sz w:val="20"/>
                <w:szCs w:val="20"/>
                <w:lang w:eastAsia="el-GR"/>
              </w:rPr>
              <w:t>μια</w:t>
            </w:r>
            <w:r w:rsidRPr="00872FD2">
              <w:rPr>
                <w:rFonts w:asciiTheme="minorHAnsi" w:eastAsia="Times New Roman" w:hAnsiTheme="minorHAnsi" w:cs="Arial"/>
                <w:color w:val="000000"/>
                <w:sz w:val="20"/>
                <w:szCs w:val="20"/>
                <w:lang w:eastAsia="el-GR"/>
              </w:rPr>
              <w:t>)</w:t>
            </w:r>
          </w:p>
          <w:p w:rsidR="00DA4D22" w:rsidRPr="00872FD2" w:rsidRDefault="00DA4D22" w:rsidP="00872FD2">
            <w:pPr>
              <w:spacing w:after="0" w:line="360" w:lineRule="auto"/>
              <w:rPr>
                <w:rFonts w:asciiTheme="minorHAnsi" w:eastAsia="Times New Roman" w:hAnsiTheme="minorHAnsi" w:cs="Arial"/>
                <w:color w:val="000000"/>
                <w:sz w:val="20"/>
                <w:szCs w:val="20"/>
                <w:lang w:eastAsia="el-GR"/>
              </w:rPr>
            </w:pPr>
            <w:r w:rsidRPr="00872FD2">
              <w:rPr>
                <w:rFonts w:asciiTheme="minorHAnsi" w:eastAsia="Times New Roman" w:hAnsiTheme="minorHAnsi" w:cs="Arial"/>
                <w:color w:val="000000"/>
                <w:sz w:val="20"/>
                <w:szCs w:val="20"/>
                <w:lang w:eastAsia="el-GR"/>
              </w:rPr>
              <w:t>β) 3 (τρεις)</w:t>
            </w:r>
          </w:p>
          <w:p w:rsidR="00DA4D22" w:rsidRPr="00872FD2" w:rsidRDefault="00DA4D22" w:rsidP="00872FD2">
            <w:pPr>
              <w:spacing w:after="0" w:line="360" w:lineRule="auto"/>
              <w:rPr>
                <w:rFonts w:asciiTheme="minorHAnsi" w:eastAsia="Times New Roman" w:hAnsiTheme="minorHAnsi" w:cs="Arial"/>
                <w:color w:val="000000"/>
                <w:sz w:val="20"/>
                <w:szCs w:val="20"/>
                <w:lang w:eastAsia="el-GR"/>
              </w:rPr>
            </w:pPr>
            <w:r w:rsidRPr="00872FD2">
              <w:rPr>
                <w:rFonts w:asciiTheme="minorHAnsi" w:eastAsia="Times New Roman" w:hAnsiTheme="minorHAnsi" w:cs="Arial"/>
                <w:color w:val="000000"/>
                <w:sz w:val="20"/>
                <w:szCs w:val="20"/>
                <w:lang w:eastAsia="el-GR"/>
              </w:rPr>
              <w:t>γ) 6 (έξι)</w:t>
            </w:r>
          </w:p>
          <w:p w:rsidR="00DA4D22" w:rsidRPr="00872FD2" w:rsidRDefault="00DA4D22" w:rsidP="00872FD2">
            <w:pPr>
              <w:spacing w:after="0" w:line="360" w:lineRule="auto"/>
              <w:rPr>
                <w:rFonts w:asciiTheme="minorHAnsi" w:eastAsia="Times New Roman" w:hAnsiTheme="minorHAnsi" w:cs="Arial"/>
                <w:color w:val="000000"/>
                <w:sz w:val="20"/>
                <w:szCs w:val="20"/>
                <w:lang w:eastAsia="el-GR"/>
              </w:rPr>
            </w:pPr>
            <w:r w:rsidRPr="00872FD2">
              <w:rPr>
                <w:rFonts w:asciiTheme="minorHAnsi" w:eastAsia="Times New Roman" w:hAnsiTheme="minorHAnsi" w:cs="Arial"/>
                <w:color w:val="000000"/>
                <w:sz w:val="20"/>
                <w:szCs w:val="20"/>
                <w:lang w:eastAsia="el-GR"/>
              </w:rPr>
              <w:t>δ) Δεν ξέρω</w:t>
            </w:r>
          </w:p>
        </w:tc>
        <w:tc>
          <w:tcPr>
            <w:tcW w:w="2552" w:type="dxa"/>
            <w:gridSpan w:val="2"/>
          </w:tcPr>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Approximately how many times a week do patients undergo hemodialysis?</w:t>
            </w: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pStyle w:val="a5"/>
              <w:numPr>
                <w:ilvl w:val="0"/>
                <w:numId w:val="57"/>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1</w:t>
            </w:r>
          </w:p>
          <w:p w:rsidR="00DA4D22" w:rsidRPr="00872FD2" w:rsidRDefault="00DA4D22" w:rsidP="00872FD2">
            <w:pPr>
              <w:pStyle w:val="a5"/>
              <w:numPr>
                <w:ilvl w:val="0"/>
                <w:numId w:val="57"/>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3</w:t>
            </w:r>
          </w:p>
          <w:p w:rsidR="00DA4D22" w:rsidRPr="00872FD2" w:rsidRDefault="00DA4D22" w:rsidP="00872FD2">
            <w:pPr>
              <w:pStyle w:val="a5"/>
              <w:numPr>
                <w:ilvl w:val="0"/>
                <w:numId w:val="57"/>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6</w:t>
            </w:r>
          </w:p>
          <w:p w:rsidR="00DA4D22" w:rsidRPr="00872FD2" w:rsidRDefault="00DA4D22" w:rsidP="00872FD2">
            <w:pPr>
              <w:pStyle w:val="a5"/>
              <w:numPr>
                <w:ilvl w:val="0"/>
                <w:numId w:val="57"/>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 don’t know</w:t>
            </w: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tc>
      </w:tr>
      <w:tr w:rsidR="00DA4D22" w:rsidRPr="00872FD2" w:rsidTr="002568DB">
        <w:trPr>
          <w:cnfStyle w:val="000000100000"/>
        </w:trPr>
        <w:tc>
          <w:tcPr>
            <w:tcW w:w="2552" w:type="dxa"/>
            <w:gridSpan w:val="2"/>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patient with chronic kidney diseases may have a living relative who wants to donate a kidney to the</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patient for transplantation. Which one of the following</w:t>
            </w:r>
          </w:p>
          <w:p w:rsidR="00DA4D22" w:rsidRPr="00872FD2" w:rsidRDefault="00DA4D22" w:rsidP="00872FD2">
            <w:pPr>
              <w:autoSpaceDE w:val="0"/>
              <w:autoSpaceDN w:val="0"/>
              <w:adjustRightInd w:val="0"/>
              <w:spacing w:after="0" w:line="360" w:lineRule="auto"/>
              <w:rPr>
                <w:rFonts w:asciiTheme="minorHAnsi" w:eastAsiaTheme="minorHAnsi" w:hAnsiTheme="minorHAnsi" w:cs="Arial"/>
                <w:b/>
                <w:bCs/>
                <w:i/>
                <w:iCs/>
                <w:color w:val="000000"/>
                <w:sz w:val="20"/>
                <w:szCs w:val="20"/>
                <w:lang w:val="en-US"/>
              </w:rPr>
            </w:pPr>
            <w:r w:rsidRPr="00872FD2">
              <w:rPr>
                <w:rFonts w:asciiTheme="minorHAnsi" w:eastAsiaTheme="minorHAnsi" w:hAnsiTheme="minorHAnsi" w:cs="Arial"/>
                <w:color w:val="000000"/>
                <w:sz w:val="20"/>
                <w:szCs w:val="20"/>
                <w:lang w:val="en-US"/>
              </w:rPr>
              <w:t xml:space="preserve">items about the donor is </w:t>
            </w:r>
            <w:r w:rsidRPr="00872FD2">
              <w:rPr>
                <w:rFonts w:asciiTheme="minorHAnsi" w:eastAsiaTheme="minorHAnsi" w:hAnsiTheme="minorHAnsi" w:cs="Arial"/>
                <w:b/>
                <w:bCs/>
                <w:i/>
                <w:iCs/>
                <w:color w:val="000000"/>
                <w:sz w:val="20"/>
                <w:szCs w:val="20"/>
                <w:lang w:val="en-US"/>
              </w:rPr>
              <w:t>FALSE?</w:t>
            </w:r>
          </w:p>
          <w:p w:rsidR="00DA4D22" w:rsidRPr="00872FD2" w:rsidRDefault="00DA4D22" w:rsidP="00872FD2">
            <w:pPr>
              <w:pStyle w:val="a5"/>
              <w:numPr>
                <w:ilvl w:val="0"/>
                <w:numId w:val="58"/>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The donor will have to undergo a series of</w:t>
            </w:r>
          </w:p>
          <w:p w:rsidR="00DA4D22" w:rsidRPr="00872FD2" w:rsidRDefault="00DA4D22" w:rsidP="00872FD2">
            <w:pPr>
              <w:pStyle w:val="a5"/>
              <w:numPr>
                <w:ilvl w:val="0"/>
                <w:numId w:val="58"/>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medical tests before the transplant operation.</w:t>
            </w:r>
          </w:p>
          <w:p w:rsidR="00DA4D22" w:rsidRPr="00872FD2" w:rsidRDefault="00DA4D22" w:rsidP="00872FD2">
            <w:pPr>
              <w:pStyle w:val="a5"/>
              <w:numPr>
                <w:ilvl w:val="0"/>
                <w:numId w:val="58"/>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The donor runs very little risk to his own</w:t>
            </w:r>
          </w:p>
          <w:p w:rsidR="00DA4D22" w:rsidRPr="00872FD2" w:rsidRDefault="00DA4D22" w:rsidP="00872FD2">
            <w:pPr>
              <w:pStyle w:val="a5"/>
              <w:autoSpaceDE w:val="0"/>
              <w:autoSpaceDN w:val="0"/>
              <w:adjustRightInd w:val="0"/>
              <w:spacing w:after="0" w:line="360" w:lineRule="auto"/>
              <w:ind w:left="36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health when he donates one kidney.</w:t>
            </w:r>
          </w:p>
          <w:p w:rsidR="00DA4D22" w:rsidRPr="00872FD2" w:rsidRDefault="00DA4D22" w:rsidP="00872FD2">
            <w:pPr>
              <w:pStyle w:val="a5"/>
              <w:numPr>
                <w:ilvl w:val="0"/>
                <w:numId w:val="58"/>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The donor will need to take immunosuppressive</w:t>
            </w:r>
          </w:p>
          <w:p w:rsidR="00DA4D22" w:rsidRPr="00872FD2" w:rsidRDefault="00DA4D22" w:rsidP="00872FD2">
            <w:pPr>
              <w:pStyle w:val="a5"/>
              <w:autoSpaceDE w:val="0"/>
              <w:autoSpaceDN w:val="0"/>
              <w:adjustRightInd w:val="0"/>
              <w:spacing w:after="0" w:line="360" w:lineRule="auto"/>
              <w:ind w:left="36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drugs for life.</w:t>
            </w:r>
          </w:p>
          <w:p w:rsidR="00DA4D22" w:rsidRPr="00872FD2" w:rsidRDefault="00DA4D22" w:rsidP="00872FD2">
            <w:pPr>
              <w:pStyle w:val="a5"/>
              <w:numPr>
                <w:ilvl w:val="0"/>
                <w:numId w:val="58"/>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After the transplant operation the donor’s</w:t>
            </w:r>
          </w:p>
          <w:p w:rsidR="00DA4D22" w:rsidRPr="00872FD2" w:rsidRDefault="00DA4D22" w:rsidP="00872FD2">
            <w:pPr>
              <w:pStyle w:val="a5"/>
              <w:autoSpaceDE w:val="0"/>
              <w:autoSpaceDN w:val="0"/>
              <w:adjustRightInd w:val="0"/>
              <w:spacing w:after="0" w:line="360" w:lineRule="auto"/>
              <w:ind w:left="36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remaining kidney will enlarge in size.</w:t>
            </w:r>
          </w:p>
          <w:p w:rsidR="00DA4D22" w:rsidRPr="00872FD2" w:rsidRDefault="00DA4D22" w:rsidP="00872FD2">
            <w:pPr>
              <w:pStyle w:val="a5"/>
              <w:numPr>
                <w:ilvl w:val="0"/>
                <w:numId w:val="58"/>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rPr>
              <w:t>Don’t know</w:t>
            </w:r>
          </w:p>
        </w:tc>
        <w:tc>
          <w:tcPr>
            <w:tcW w:w="2410" w:type="dxa"/>
          </w:tcPr>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Ένας ασθενής με χρόνια νεφρική νόσο μπορεί να έχει ένα συγγενή εν ζωή, ο οποίος θέλει να του δωρίσει ένα νεφρό. Ποιο ή ποια από τα παρακάτω για το δότη είναι ΛΑΝΘΑΣΜΕΝΟ;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α) Ο δότης πρέπει να υποβληθεί σε </w:t>
            </w:r>
            <w:r w:rsidR="00817853">
              <w:rPr>
                <w:rFonts w:asciiTheme="minorHAnsi" w:eastAsiaTheme="minorHAnsi" w:hAnsiTheme="minorHAnsi" w:cs="Arial"/>
                <w:color w:val="000000"/>
                <w:sz w:val="20"/>
                <w:szCs w:val="20"/>
              </w:rPr>
              <w:t>μια</w:t>
            </w:r>
            <w:r w:rsidRPr="00872FD2">
              <w:rPr>
                <w:rFonts w:asciiTheme="minorHAnsi" w:eastAsiaTheme="minorHAnsi" w:hAnsiTheme="minorHAnsi" w:cs="Arial"/>
                <w:color w:val="000000"/>
                <w:sz w:val="20"/>
                <w:szCs w:val="20"/>
              </w:rPr>
              <w:t xml:space="preserve"> σειρά ιατρικών εξετάσεων πριν την εγχείρηση της μεταμόσχευσης</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β) Ο δότης διατρέχει πολύ μικρό κίνδυνο για τη δική του υγεία όταν δωρίζει ένα νεφρό</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γ) Ο δότης θα χρειαστεί να παίρνει ανοσοκατασταλτικά φάρμακα για το υπόλοιπο της ζωής του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δ) Μετά την εγχείρηση μεταμόσχευσης, ο</w:t>
            </w:r>
            <w:r w:rsidR="0078495A">
              <w:rPr>
                <w:rFonts w:asciiTheme="minorHAnsi" w:eastAsiaTheme="minorHAnsi" w:hAnsiTheme="minorHAnsi" w:cs="Arial"/>
                <w:color w:val="000000"/>
                <w:sz w:val="20"/>
                <w:szCs w:val="20"/>
              </w:rPr>
              <w:t xml:space="preserve"> </w:t>
            </w:r>
            <w:r w:rsidRPr="00872FD2">
              <w:rPr>
                <w:rFonts w:asciiTheme="minorHAnsi" w:eastAsiaTheme="minorHAnsi" w:hAnsiTheme="minorHAnsi" w:cs="Arial"/>
                <w:color w:val="000000"/>
                <w:sz w:val="20"/>
                <w:szCs w:val="20"/>
              </w:rPr>
              <w:t>νεφρός που έμεινε θα μεγαλώσει</w:t>
            </w:r>
            <w:r w:rsidR="0078495A">
              <w:rPr>
                <w:rFonts w:asciiTheme="minorHAnsi" w:eastAsiaTheme="minorHAnsi" w:hAnsiTheme="minorHAnsi" w:cs="Arial"/>
                <w:color w:val="000000"/>
                <w:sz w:val="20"/>
                <w:szCs w:val="20"/>
              </w:rPr>
              <w:t xml:space="preserve"> </w:t>
            </w:r>
          </w:p>
        </w:tc>
        <w:tc>
          <w:tcPr>
            <w:tcW w:w="2552" w:type="dxa"/>
            <w:gridSpan w:val="2"/>
          </w:tcPr>
          <w:p w:rsidR="00DA4D22" w:rsidRPr="00872FD2" w:rsidRDefault="00DA4D22" w:rsidP="00872FD2">
            <w:pPr>
              <w:spacing w:after="0" w:line="360" w:lineRule="auto"/>
              <w:rPr>
                <w:rFonts w:asciiTheme="minorHAnsi" w:eastAsiaTheme="minorHAnsi" w:hAnsiTheme="minorHAnsi" w:cs="Arial"/>
                <w:i/>
                <w:color w:val="000000"/>
                <w:sz w:val="20"/>
                <w:szCs w:val="20"/>
                <w:lang w:val="en-US"/>
              </w:rPr>
            </w:pPr>
            <w:r w:rsidRPr="00872FD2">
              <w:rPr>
                <w:rFonts w:asciiTheme="minorHAnsi" w:eastAsiaTheme="minorHAnsi" w:hAnsiTheme="minorHAnsi" w:cs="Arial"/>
                <w:color w:val="000000"/>
                <w:sz w:val="20"/>
                <w:szCs w:val="20"/>
                <w:lang w:val="en-US"/>
              </w:rPr>
              <w:t xml:space="preserve">A patient suffering from chronic kidney disease may have a living relative who wishes to donate a kidney for transplant. As far as the donor is concerned which of the following is </w:t>
            </w:r>
            <w:r w:rsidRPr="00872FD2">
              <w:rPr>
                <w:rFonts w:asciiTheme="minorHAnsi" w:eastAsiaTheme="minorHAnsi" w:hAnsiTheme="minorHAnsi" w:cs="Arial"/>
                <w:b/>
                <w:i/>
                <w:color w:val="000000"/>
                <w:sz w:val="20"/>
                <w:szCs w:val="20"/>
                <w:lang w:val="en-US"/>
              </w:rPr>
              <w:t>wrong?</w:t>
            </w:r>
            <w:r w:rsidRPr="00872FD2">
              <w:rPr>
                <w:rFonts w:asciiTheme="minorHAnsi" w:eastAsiaTheme="minorHAnsi" w:hAnsiTheme="minorHAnsi" w:cs="Arial"/>
                <w:b/>
                <w:i/>
                <w:color w:val="000000"/>
                <w:sz w:val="20"/>
                <w:szCs w:val="20"/>
                <w:lang w:val="en-GB"/>
              </w:rPr>
              <w:t xml:space="preserve"> </w:t>
            </w:r>
          </w:p>
          <w:p w:rsidR="00DA4D22" w:rsidRPr="00872FD2" w:rsidRDefault="00DA4D22" w:rsidP="00872FD2">
            <w:pPr>
              <w:pStyle w:val="a5"/>
              <w:spacing w:after="0" w:line="360" w:lineRule="auto"/>
              <w:ind w:left="0"/>
              <w:rPr>
                <w:rFonts w:asciiTheme="minorHAnsi" w:eastAsiaTheme="minorHAnsi" w:hAnsiTheme="minorHAnsi" w:cs="Arial"/>
                <w:i/>
                <w:color w:val="000000"/>
                <w:sz w:val="20"/>
                <w:szCs w:val="20"/>
                <w:lang w:val="en-US"/>
              </w:rPr>
            </w:pPr>
          </w:p>
          <w:p w:rsidR="00DA4D22" w:rsidRPr="00872FD2" w:rsidRDefault="00DA4D22" w:rsidP="00872FD2">
            <w:pPr>
              <w:pStyle w:val="a5"/>
              <w:numPr>
                <w:ilvl w:val="0"/>
                <w:numId w:val="59"/>
              </w:numPr>
              <w:spacing w:after="0" w:line="360" w:lineRule="auto"/>
              <w:rPr>
                <w:rFonts w:asciiTheme="minorHAnsi" w:eastAsiaTheme="minorHAnsi" w:hAnsiTheme="minorHAnsi" w:cs="Arial"/>
                <w:i/>
                <w:color w:val="000000"/>
                <w:sz w:val="20"/>
                <w:szCs w:val="20"/>
                <w:lang w:val="en-US"/>
              </w:rPr>
            </w:pPr>
            <w:r w:rsidRPr="00872FD2">
              <w:rPr>
                <w:rFonts w:asciiTheme="minorHAnsi" w:eastAsiaTheme="minorHAnsi" w:hAnsiTheme="minorHAnsi" w:cs="Arial"/>
                <w:color w:val="000000"/>
                <w:sz w:val="20"/>
                <w:szCs w:val="20"/>
                <w:lang w:val="en-GB"/>
              </w:rPr>
              <w:t>The donor has to undergo a series of medical tests before the transplant operation</w:t>
            </w:r>
          </w:p>
          <w:p w:rsidR="00DA4D22" w:rsidRPr="00872FD2" w:rsidRDefault="00DA4D22" w:rsidP="00872FD2">
            <w:pPr>
              <w:pStyle w:val="a5"/>
              <w:numPr>
                <w:ilvl w:val="0"/>
                <w:numId w:val="59"/>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GB"/>
              </w:rPr>
              <w:t>The donor’s health is at very little risk when he/she donates one of his/her kidneys</w:t>
            </w:r>
          </w:p>
          <w:p w:rsidR="00DA4D22" w:rsidRPr="00872FD2" w:rsidRDefault="00DA4D22" w:rsidP="00872FD2">
            <w:pPr>
              <w:pStyle w:val="a5"/>
              <w:numPr>
                <w:ilvl w:val="0"/>
                <w:numId w:val="59"/>
              </w:numPr>
              <w:spacing w:after="0" w:line="360" w:lineRule="auto"/>
              <w:rPr>
                <w:rFonts w:asciiTheme="minorHAnsi" w:eastAsiaTheme="minorHAnsi" w:hAnsiTheme="minorHAnsi" w:cs="Arial"/>
                <w:color w:val="000000"/>
                <w:sz w:val="20"/>
                <w:szCs w:val="20"/>
                <w:lang w:val="en-GB"/>
              </w:rPr>
            </w:pPr>
            <w:r w:rsidRPr="00872FD2">
              <w:rPr>
                <w:rFonts w:asciiTheme="minorHAnsi" w:eastAsiaTheme="minorHAnsi" w:hAnsiTheme="minorHAnsi" w:cs="Arial"/>
                <w:color w:val="000000"/>
                <w:sz w:val="20"/>
                <w:szCs w:val="20"/>
                <w:lang w:val="en-GB"/>
              </w:rPr>
              <w:t>The</w:t>
            </w:r>
            <w:r w:rsidRPr="00872FD2">
              <w:rPr>
                <w:rFonts w:asciiTheme="minorHAnsi" w:eastAsiaTheme="minorHAnsi" w:hAnsiTheme="minorHAnsi" w:cs="Arial"/>
                <w:color w:val="000000"/>
                <w:sz w:val="20"/>
                <w:szCs w:val="20"/>
                <w:lang w:val="en-US"/>
              </w:rPr>
              <w:t xml:space="preserve"> </w:t>
            </w:r>
            <w:r w:rsidRPr="00872FD2">
              <w:rPr>
                <w:rFonts w:asciiTheme="minorHAnsi" w:eastAsiaTheme="minorHAnsi" w:hAnsiTheme="minorHAnsi" w:cs="Arial"/>
                <w:color w:val="000000"/>
                <w:sz w:val="20"/>
                <w:szCs w:val="20"/>
                <w:lang w:val="en-GB"/>
              </w:rPr>
              <w:t>donor</w:t>
            </w:r>
            <w:r w:rsidRPr="00872FD2">
              <w:rPr>
                <w:rFonts w:asciiTheme="minorHAnsi" w:eastAsiaTheme="minorHAnsi" w:hAnsiTheme="minorHAnsi" w:cs="Arial"/>
                <w:color w:val="000000"/>
                <w:sz w:val="20"/>
                <w:szCs w:val="20"/>
                <w:lang w:val="en-US"/>
              </w:rPr>
              <w:t xml:space="preserve"> </w:t>
            </w:r>
            <w:r w:rsidRPr="00872FD2">
              <w:rPr>
                <w:rFonts w:asciiTheme="minorHAnsi" w:eastAsiaTheme="minorHAnsi" w:hAnsiTheme="minorHAnsi" w:cs="Arial"/>
                <w:color w:val="000000"/>
                <w:sz w:val="20"/>
                <w:szCs w:val="20"/>
                <w:lang w:val="en-GB"/>
              </w:rPr>
              <w:t>will</w:t>
            </w:r>
            <w:r w:rsidRPr="00872FD2">
              <w:rPr>
                <w:rFonts w:asciiTheme="minorHAnsi" w:eastAsiaTheme="minorHAnsi" w:hAnsiTheme="minorHAnsi" w:cs="Arial"/>
                <w:color w:val="000000"/>
                <w:sz w:val="20"/>
                <w:szCs w:val="20"/>
                <w:lang w:val="en-US"/>
              </w:rPr>
              <w:t xml:space="preserve"> </w:t>
            </w:r>
            <w:r w:rsidRPr="00872FD2">
              <w:rPr>
                <w:rFonts w:asciiTheme="minorHAnsi" w:eastAsiaTheme="minorHAnsi" w:hAnsiTheme="minorHAnsi" w:cs="Arial"/>
                <w:color w:val="000000"/>
                <w:sz w:val="20"/>
                <w:szCs w:val="20"/>
                <w:lang w:val="en-GB"/>
              </w:rPr>
              <w:t>have</w:t>
            </w:r>
            <w:r w:rsidRPr="00872FD2">
              <w:rPr>
                <w:rFonts w:asciiTheme="minorHAnsi" w:eastAsiaTheme="minorHAnsi" w:hAnsiTheme="minorHAnsi" w:cs="Arial"/>
                <w:color w:val="000000"/>
                <w:sz w:val="20"/>
                <w:szCs w:val="20"/>
                <w:lang w:val="en-US"/>
              </w:rPr>
              <w:t xml:space="preserve"> </w:t>
            </w:r>
            <w:r w:rsidRPr="00872FD2">
              <w:rPr>
                <w:rFonts w:asciiTheme="minorHAnsi" w:eastAsiaTheme="minorHAnsi" w:hAnsiTheme="minorHAnsi" w:cs="Arial"/>
                <w:color w:val="000000"/>
                <w:sz w:val="20"/>
                <w:szCs w:val="20"/>
                <w:lang w:val="en-GB"/>
              </w:rPr>
              <w:t>to</w:t>
            </w:r>
            <w:r w:rsidRPr="00872FD2">
              <w:rPr>
                <w:rFonts w:asciiTheme="minorHAnsi" w:eastAsiaTheme="minorHAnsi" w:hAnsiTheme="minorHAnsi" w:cs="Arial"/>
                <w:color w:val="000000"/>
                <w:sz w:val="20"/>
                <w:szCs w:val="20"/>
                <w:lang w:val="en-US"/>
              </w:rPr>
              <w:t xml:space="preserve"> </w:t>
            </w:r>
            <w:r w:rsidRPr="00872FD2">
              <w:rPr>
                <w:rFonts w:asciiTheme="minorHAnsi" w:eastAsiaTheme="minorHAnsi" w:hAnsiTheme="minorHAnsi" w:cs="Arial"/>
                <w:color w:val="000000"/>
                <w:sz w:val="20"/>
                <w:szCs w:val="20"/>
                <w:lang w:val="en-GB"/>
              </w:rPr>
              <w:t>take</w:t>
            </w:r>
            <w:r w:rsidRPr="00872FD2">
              <w:rPr>
                <w:rFonts w:asciiTheme="minorHAnsi" w:eastAsiaTheme="minorHAnsi" w:hAnsiTheme="minorHAnsi" w:cs="Arial"/>
                <w:color w:val="000000"/>
                <w:sz w:val="20"/>
                <w:szCs w:val="20"/>
                <w:lang w:val="en-US"/>
              </w:rPr>
              <w:t xml:space="preserve"> </w:t>
            </w:r>
            <w:r w:rsidRPr="00872FD2">
              <w:rPr>
                <w:rFonts w:asciiTheme="minorHAnsi" w:eastAsiaTheme="minorHAnsi" w:hAnsiTheme="minorHAnsi" w:cs="Arial"/>
                <w:color w:val="000000"/>
                <w:sz w:val="20"/>
                <w:szCs w:val="20"/>
                <w:lang w:val="en-GB"/>
              </w:rPr>
              <w:t>immunosuppressants</w:t>
            </w:r>
            <w:r w:rsidRPr="00872FD2">
              <w:rPr>
                <w:rFonts w:asciiTheme="minorHAnsi" w:eastAsiaTheme="minorHAnsi" w:hAnsiTheme="minorHAnsi" w:cs="Arial"/>
                <w:color w:val="000000"/>
                <w:sz w:val="20"/>
                <w:szCs w:val="20"/>
                <w:lang w:val="en-US"/>
              </w:rPr>
              <w:t xml:space="preserve"> </w:t>
            </w:r>
            <w:r w:rsidRPr="00872FD2">
              <w:rPr>
                <w:rFonts w:asciiTheme="minorHAnsi" w:eastAsiaTheme="minorHAnsi" w:hAnsiTheme="minorHAnsi" w:cs="Arial"/>
                <w:color w:val="000000"/>
                <w:sz w:val="20"/>
                <w:szCs w:val="20"/>
                <w:lang w:val="en-GB"/>
              </w:rPr>
              <w:t>for the rest of his/her life</w:t>
            </w:r>
          </w:p>
          <w:p w:rsidR="00DA4D22" w:rsidRPr="00872FD2" w:rsidRDefault="00DA4D22" w:rsidP="00872FD2">
            <w:pPr>
              <w:pStyle w:val="a5"/>
              <w:numPr>
                <w:ilvl w:val="0"/>
                <w:numId w:val="59"/>
              </w:numPr>
              <w:spacing w:after="0" w:line="360" w:lineRule="auto"/>
              <w:rPr>
                <w:rFonts w:asciiTheme="minorHAnsi" w:eastAsiaTheme="minorHAnsi" w:hAnsiTheme="minorHAnsi" w:cs="Arial"/>
                <w:i/>
                <w:color w:val="000000"/>
                <w:sz w:val="20"/>
                <w:szCs w:val="20"/>
                <w:u w:val="single"/>
                <w:lang w:val="en-US"/>
              </w:rPr>
            </w:pPr>
            <w:r w:rsidRPr="00872FD2">
              <w:rPr>
                <w:rFonts w:asciiTheme="minorHAnsi" w:eastAsiaTheme="minorHAnsi" w:hAnsiTheme="minorHAnsi" w:cs="Arial"/>
                <w:color w:val="000000"/>
                <w:sz w:val="20"/>
                <w:szCs w:val="20"/>
                <w:lang w:val="en-GB"/>
              </w:rPr>
              <w:t xml:space="preserve">After the transplant operation the kidney remaining in the donor’s body </w:t>
            </w:r>
            <w:r w:rsidRPr="00872FD2">
              <w:rPr>
                <w:rFonts w:asciiTheme="minorHAnsi" w:eastAsiaTheme="minorHAnsi" w:hAnsiTheme="minorHAnsi" w:cs="Arial"/>
                <w:i/>
                <w:color w:val="000000"/>
                <w:sz w:val="20"/>
                <w:szCs w:val="20"/>
                <w:u w:val="single"/>
                <w:lang w:val="en-GB"/>
              </w:rPr>
              <w:t>will expand</w:t>
            </w:r>
          </w:p>
          <w:p w:rsidR="00DA4D22" w:rsidRPr="00872FD2" w:rsidRDefault="00DA4D22" w:rsidP="00872FD2">
            <w:pPr>
              <w:pStyle w:val="a5"/>
              <w:numPr>
                <w:ilvl w:val="0"/>
                <w:numId w:val="59"/>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lang w:val="en-GB"/>
              </w:rPr>
              <w:t>I don’t know</w:t>
            </w: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w:t>
            </w:r>
            <w:r w:rsidRPr="00872FD2">
              <w:rPr>
                <w:rFonts w:asciiTheme="minorHAnsi" w:eastAsiaTheme="minorHAnsi" w:hAnsiTheme="minorHAnsi" w:cs="Arial"/>
                <w:color w:val="000000"/>
                <w:sz w:val="20"/>
                <w:szCs w:val="20"/>
                <w:lang w:val="en-US"/>
              </w:rPr>
              <w:t>enlarge in size</w:t>
            </w:r>
            <w:r w:rsidRPr="00872FD2">
              <w:rPr>
                <w:rFonts w:asciiTheme="minorHAnsi" w:eastAsiaTheme="minorHAnsi" w:hAnsiTheme="minorHAnsi" w:cs="Arial"/>
                <w:color w:val="000000"/>
                <w:sz w:val="20"/>
                <w:szCs w:val="20"/>
              </w:rPr>
              <w:t>»</w:t>
            </w:r>
          </w:p>
        </w:tc>
      </w:tr>
      <w:tr w:rsidR="00DA4D22" w:rsidRPr="00872FD2" w:rsidTr="002568DB">
        <w:trPr>
          <w:cnfStyle w:val="000000010000"/>
        </w:trPr>
        <w:tc>
          <w:tcPr>
            <w:tcW w:w="2552" w:type="dxa"/>
            <w:gridSpan w:val="2"/>
          </w:tcPr>
          <w:p w:rsidR="00DA4D22" w:rsidRPr="00872FD2" w:rsidRDefault="00DA4D22" w:rsidP="00872FD2">
            <w:pPr>
              <w:autoSpaceDE w:val="0"/>
              <w:autoSpaceDN w:val="0"/>
              <w:adjustRightInd w:val="0"/>
              <w:spacing w:after="0" w:line="360" w:lineRule="auto"/>
              <w:rPr>
                <w:rFonts w:asciiTheme="minorHAnsi" w:eastAsiaTheme="minorHAnsi" w:hAnsiTheme="minorHAnsi" w:cs="Arial"/>
                <w:b/>
                <w:bCs/>
                <w:i/>
                <w:iCs/>
                <w:color w:val="000000"/>
                <w:sz w:val="20"/>
                <w:szCs w:val="20"/>
                <w:lang w:val="en-US"/>
              </w:rPr>
            </w:pPr>
            <w:r w:rsidRPr="00872FD2">
              <w:rPr>
                <w:rFonts w:asciiTheme="minorHAnsi" w:eastAsiaTheme="minorHAnsi" w:hAnsiTheme="minorHAnsi" w:cs="Arial"/>
                <w:color w:val="000000"/>
                <w:sz w:val="20"/>
                <w:szCs w:val="20"/>
                <w:lang w:val="en-US"/>
              </w:rPr>
              <w:t xml:space="preserve">Which one of the following items about kidney transplantation is </w:t>
            </w:r>
            <w:r w:rsidRPr="00872FD2">
              <w:rPr>
                <w:rFonts w:asciiTheme="minorHAnsi" w:eastAsiaTheme="minorHAnsi" w:hAnsiTheme="minorHAnsi" w:cs="Arial"/>
                <w:b/>
                <w:bCs/>
                <w:i/>
                <w:iCs/>
                <w:color w:val="000000"/>
                <w:sz w:val="20"/>
                <w:szCs w:val="20"/>
                <w:lang w:val="en-US"/>
              </w:rPr>
              <w:t xml:space="preserve">FALSE? </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pStyle w:val="a5"/>
              <w:numPr>
                <w:ilvl w:val="0"/>
                <w:numId w:val="60"/>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Sometimes a transplanted kidney will begin to function as soon- as the blood vessels are connected on the operating table.</w:t>
            </w:r>
          </w:p>
          <w:p w:rsidR="00DA4D22" w:rsidRPr="00872FD2" w:rsidRDefault="00DA4D22" w:rsidP="00872FD2">
            <w:pPr>
              <w:pStyle w:val="a5"/>
              <w:numPr>
                <w:ilvl w:val="0"/>
                <w:numId w:val="60"/>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Kidney transplants are placed in the patient’s</w:t>
            </w:r>
          </w:p>
          <w:p w:rsidR="00DA4D22" w:rsidRPr="00872FD2" w:rsidRDefault="00DA4D22" w:rsidP="00872FD2">
            <w:pPr>
              <w:pStyle w:val="a5"/>
              <w:autoSpaceDE w:val="0"/>
              <w:autoSpaceDN w:val="0"/>
              <w:adjustRightInd w:val="0"/>
              <w:spacing w:after="0" w:line="360" w:lineRule="auto"/>
              <w:ind w:left="36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pelvis rather than in the usual kidney location.</w:t>
            </w:r>
          </w:p>
          <w:p w:rsidR="00DA4D22" w:rsidRPr="00872FD2" w:rsidRDefault="00DA4D22" w:rsidP="00872FD2">
            <w:pPr>
              <w:pStyle w:val="a5"/>
              <w:numPr>
                <w:ilvl w:val="0"/>
                <w:numId w:val="60"/>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person who has recovered from transplant surgery and has a new well-functioning kidney</w:t>
            </w:r>
          </w:p>
          <w:p w:rsidR="00DA4D22" w:rsidRPr="00872FD2" w:rsidRDefault="00DA4D22" w:rsidP="00872FD2">
            <w:pPr>
              <w:pStyle w:val="a5"/>
              <w:autoSpaceDE w:val="0"/>
              <w:autoSpaceDN w:val="0"/>
              <w:adjustRightInd w:val="0"/>
              <w:spacing w:after="0" w:line="360" w:lineRule="auto"/>
              <w:ind w:left="36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will no longer need dialysis treatment.</w:t>
            </w:r>
          </w:p>
          <w:p w:rsidR="00DA4D22" w:rsidRPr="00872FD2" w:rsidRDefault="00DA4D22" w:rsidP="00872FD2">
            <w:pPr>
              <w:pStyle w:val="a5"/>
              <w:numPr>
                <w:ilvl w:val="0"/>
                <w:numId w:val="60"/>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patient can receive a kidney from a living</w:t>
            </w:r>
          </w:p>
          <w:p w:rsidR="00DA4D22" w:rsidRPr="00872FD2" w:rsidRDefault="00DA4D22" w:rsidP="00872FD2">
            <w:pPr>
              <w:pStyle w:val="a5"/>
              <w:autoSpaceDE w:val="0"/>
              <w:autoSpaceDN w:val="0"/>
              <w:adjustRightInd w:val="0"/>
              <w:spacing w:after="0" w:line="360" w:lineRule="auto"/>
              <w:ind w:left="36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relative but the donor’s kidney must be removed one week before the transplant for close observation.</w:t>
            </w:r>
          </w:p>
          <w:p w:rsidR="00DA4D22" w:rsidRPr="00872FD2" w:rsidRDefault="00DA4D22" w:rsidP="00872FD2">
            <w:pPr>
              <w:pStyle w:val="a5"/>
              <w:numPr>
                <w:ilvl w:val="0"/>
                <w:numId w:val="60"/>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rPr>
              <w:t>Don’t know.</w:t>
            </w:r>
          </w:p>
        </w:tc>
        <w:tc>
          <w:tcPr>
            <w:tcW w:w="2410" w:type="dxa"/>
          </w:tcPr>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Ποιο από τα παρακάτω είναι ΛΑΝΘΑΣΜΕΝΟ σχετικά με τη μεταμόσχευση νεφρού; </w:t>
            </w:r>
          </w:p>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α) Μερικές φορές ένας μεταμοσχευμένος νεφρός θα αρχίσει να λειτουργεί μόλις τα αιμοφόρα αγγεία συνδεθούν στο χειρουργείο</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β) Τα νεφρικά μοσχεύματα τοποθετούνται συνήθως στη λεκάνη (πύελο) </w:t>
            </w:r>
            <w:r w:rsidR="00B0560D">
              <w:rPr>
                <w:rFonts w:asciiTheme="minorHAnsi" w:eastAsiaTheme="minorHAnsi" w:hAnsiTheme="minorHAnsi" w:cs="Arial"/>
                <w:color w:val="000000"/>
                <w:sz w:val="20"/>
                <w:szCs w:val="20"/>
              </w:rPr>
              <w:t>του ασθενούς</w:t>
            </w:r>
            <w:r w:rsidRPr="00872FD2">
              <w:rPr>
                <w:rFonts w:asciiTheme="minorHAnsi" w:eastAsiaTheme="minorHAnsi" w:hAnsiTheme="minorHAnsi" w:cs="Arial"/>
                <w:color w:val="000000"/>
                <w:sz w:val="20"/>
                <w:szCs w:val="20"/>
              </w:rPr>
              <w:t>, παρά στη συνηθισμένη ανατομική τους θέση</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γ) Ένα άτομο που ανάρρωσε από εγχείρηση μεταμόσχευσης και έχει ένα νεφρό που λειτουργεί καλά, δεν θα χρειαστεί</w:t>
            </w:r>
            <w:r w:rsidR="0078495A">
              <w:rPr>
                <w:rFonts w:asciiTheme="minorHAnsi" w:eastAsiaTheme="minorHAnsi" w:hAnsiTheme="minorHAnsi" w:cs="Arial"/>
                <w:color w:val="000000"/>
                <w:sz w:val="20"/>
                <w:szCs w:val="20"/>
              </w:rPr>
              <w:t xml:space="preserve"> </w:t>
            </w:r>
            <w:r w:rsidRPr="00872FD2">
              <w:rPr>
                <w:rFonts w:asciiTheme="minorHAnsi" w:eastAsiaTheme="minorHAnsi" w:hAnsiTheme="minorHAnsi" w:cs="Arial"/>
                <w:color w:val="000000"/>
                <w:sz w:val="20"/>
                <w:szCs w:val="20"/>
              </w:rPr>
              <w:t>ξανά θεραπεία με αιμοκάθαρση</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δ)</w:t>
            </w:r>
            <w:r w:rsidR="0078495A">
              <w:rPr>
                <w:rFonts w:asciiTheme="minorHAnsi" w:eastAsiaTheme="minorHAnsi" w:hAnsiTheme="minorHAnsi" w:cs="Arial"/>
                <w:color w:val="000000"/>
                <w:sz w:val="20"/>
                <w:szCs w:val="20"/>
              </w:rPr>
              <w:t xml:space="preserve"> </w:t>
            </w:r>
            <w:r w:rsidRPr="00872FD2">
              <w:rPr>
                <w:rFonts w:asciiTheme="minorHAnsi" w:eastAsiaTheme="minorHAnsi" w:hAnsiTheme="minorHAnsi" w:cs="Arial"/>
                <w:color w:val="000000"/>
                <w:sz w:val="20"/>
                <w:szCs w:val="20"/>
              </w:rPr>
              <w:t xml:space="preserve">Ένας ασθενής μπορεί να δεχθεί ένα νεφρό από ένα ζώντα συγγενή, αλλά ο νεφρός του δότη πρέπει να αφαιρεθεί </w:t>
            </w:r>
            <w:r w:rsidR="00817853">
              <w:rPr>
                <w:rFonts w:asciiTheme="minorHAnsi" w:eastAsiaTheme="minorHAnsi" w:hAnsiTheme="minorHAnsi" w:cs="Arial"/>
                <w:color w:val="000000"/>
                <w:sz w:val="20"/>
                <w:szCs w:val="20"/>
              </w:rPr>
              <w:t>μια</w:t>
            </w:r>
            <w:r w:rsidRPr="00872FD2">
              <w:rPr>
                <w:rFonts w:asciiTheme="minorHAnsi" w:eastAsiaTheme="minorHAnsi" w:hAnsiTheme="minorHAnsi" w:cs="Arial"/>
                <w:color w:val="000000"/>
                <w:sz w:val="20"/>
                <w:szCs w:val="20"/>
              </w:rPr>
              <w:t xml:space="preserve"> εβδομάδα πριν τη μεταμόσχευση για στενή παρακολούθηση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ε) Δεν ξέρω</w:t>
            </w:r>
          </w:p>
        </w:tc>
        <w:tc>
          <w:tcPr>
            <w:tcW w:w="2552" w:type="dxa"/>
            <w:gridSpan w:val="2"/>
          </w:tcPr>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As far as a kidney transplant is concerned, which of the following is wrong?</w:t>
            </w: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pStyle w:val="a5"/>
              <w:numPr>
                <w:ilvl w:val="0"/>
                <w:numId w:val="62"/>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Sometimes, the transplanted kidney starts working,, as soon as the blood vessels have been connected while still on the operating table</w:t>
            </w:r>
          </w:p>
          <w:p w:rsidR="00DA4D22" w:rsidRPr="00872FD2" w:rsidRDefault="00DA4D22" w:rsidP="00872FD2">
            <w:pPr>
              <w:pStyle w:val="a5"/>
              <w:numPr>
                <w:ilvl w:val="0"/>
                <w:numId w:val="61"/>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The kidney transplants are placed in the patient’s pelvis instead of in their usual place</w:t>
            </w:r>
          </w:p>
          <w:p w:rsidR="00DA4D22" w:rsidRPr="00872FD2" w:rsidRDefault="00DA4D22" w:rsidP="00872FD2">
            <w:pPr>
              <w:pStyle w:val="a5"/>
              <w:numPr>
                <w:ilvl w:val="0"/>
                <w:numId w:val="61"/>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patient who has recovered from a kidney transplant and has a new kidney will no longer need to undergo hemodialysis</w:t>
            </w:r>
          </w:p>
          <w:p w:rsidR="00DA4D22" w:rsidRPr="00872FD2" w:rsidRDefault="00DA4D22" w:rsidP="00872FD2">
            <w:pPr>
              <w:pStyle w:val="a5"/>
              <w:numPr>
                <w:ilvl w:val="0"/>
                <w:numId w:val="61"/>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patient may receive a donor kidney from a living relative but the donor’s kidney has to be removed a week before the transplant for close observation</w:t>
            </w:r>
          </w:p>
          <w:p w:rsidR="00DA4D22" w:rsidRPr="00872FD2" w:rsidRDefault="00DA4D22" w:rsidP="00872FD2">
            <w:pPr>
              <w:pStyle w:val="a5"/>
              <w:numPr>
                <w:ilvl w:val="0"/>
                <w:numId w:val="61"/>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 don’t know</w:t>
            </w: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tc>
      </w:tr>
      <w:tr w:rsidR="00DA4D22" w:rsidRPr="00872FD2" w:rsidTr="002568DB">
        <w:trPr>
          <w:cnfStyle w:val="000000100000"/>
        </w:trPr>
        <w:tc>
          <w:tcPr>
            <w:tcW w:w="2552" w:type="dxa"/>
            <w:gridSpan w:val="2"/>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CAPD is a form of dialysis treatment which is used</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 xml:space="preserve">as an alternative to hemodialysis. One </w:t>
            </w:r>
            <w:r w:rsidRPr="00872FD2">
              <w:rPr>
                <w:rFonts w:asciiTheme="minorHAnsi" w:eastAsiaTheme="minorHAnsi" w:hAnsiTheme="minorHAnsi" w:cs="Arial"/>
                <w:b/>
                <w:bCs/>
                <w:i/>
                <w:iCs/>
                <w:color w:val="000000"/>
                <w:sz w:val="20"/>
                <w:szCs w:val="20"/>
                <w:lang w:val="en-US"/>
              </w:rPr>
              <w:t xml:space="preserve">advantage </w:t>
            </w:r>
            <w:r w:rsidRPr="00872FD2">
              <w:rPr>
                <w:rFonts w:asciiTheme="minorHAnsi" w:eastAsiaTheme="minorHAnsi" w:hAnsiTheme="minorHAnsi" w:cs="Arial"/>
                <w:color w:val="000000"/>
                <w:sz w:val="20"/>
                <w:szCs w:val="20"/>
                <w:lang w:val="en-US"/>
              </w:rPr>
              <w:t>of</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CAPD is that:</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It allows the patient to walk about freely</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during the course of treatment.</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(b) It only needs to be performed once a week.</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 It does not involve any preparatory surgical</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procedure.</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(d) It makes it easier for the patient to bathe and swim.</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(e) Don’t know</w:t>
            </w:r>
          </w:p>
        </w:tc>
        <w:tc>
          <w:tcPr>
            <w:tcW w:w="2410" w:type="dxa"/>
          </w:tcPr>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Η Συνεχής Φορητή Περιτοναϊκή Κάθαρση (ΣΦΠΚ) είναι </w:t>
            </w:r>
            <w:r w:rsidR="00817853">
              <w:rPr>
                <w:rFonts w:asciiTheme="minorHAnsi" w:eastAsiaTheme="minorHAnsi" w:hAnsiTheme="minorHAnsi" w:cs="Arial"/>
                <w:color w:val="000000"/>
                <w:sz w:val="20"/>
                <w:szCs w:val="20"/>
              </w:rPr>
              <w:t>μια</w:t>
            </w:r>
            <w:r w:rsidRPr="00872FD2">
              <w:rPr>
                <w:rFonts w:asciiTheme="minorHAnsi" w:eastAsiaTheme="minorHAnsi" w:hAnsiTheme="minorHAnsi" w:cs="Arial"/>
                <w:color w:val="000000"/>
                <w:sz w:val="20"/>
                <w:szCs w:val="20"/>
              </w:rPr>
              <w:t xml:space="preserve"> μορφή κάθαρσης, η οποία χρησιμοποιείται εναλλακτικά από τη αιμοκάθαρση. Ένα πλεονέκτημα της ΣΦΠΚ είναι ότι: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α) Επιτρέπει στον ασθενή να περπατάει ελεύθερα κατά τη διάρκεια της θεραπείας</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β) Χρειάζεται να διενεργείται μόνο </w:t>
            </w:r>
            <w:r w:rsidR="00817853">
              <w:rPr>
                <w:rFonts w:asciiTheme="minorHAnsi" w:eastAsiaTheme="minorHAnsi" w:hAnsiTheme="minorHAnsi" w:cs="Arial"/>
                <w:color w:val="000000"/>
                <w:sz w:val="20"/>
                <w:szCs w:val="20"/>
              </w:rPr>
              <w:t>μια</w:t>
            </w:r>
            <w:r w:rsidRPr="00872FD2">
              <w:rPr>
                <w:rFonts w:asciiTheme="minorHAnsi" w:eastAsiaTheme="minorHAnsi" w:hAnsiTheme="minorHAnsi" w:cs="Arial"/>
                <w:color w:val="000000"/>
                <w:sz w:val="20"/>
                <w:szCs w:val="20"/>
              </w:rPr>
              <w:t xml:space="preserve"> φορά την εβδομάδα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γ) Δεν περιλαμβάνει κα</w:t>
            </w:r>
            <w:r w:rsidR="00817853">
              <w:rPr>
                <w:rFonts w:asciiTheme="minorHAnsi" w:eastAsiaTheme="minorHAnsi" w:hAnsiTheme="minorHAnsi" w:cs="Arial"/>
                <w:color w:val="000000"/>
                <w:sz w:val="20"/>
                <w:szCs w:val="20"/>
              </w:rPr>
              <w:t>μια</w:t>
            </w:r>
            <w:r w:rsidRPr="00872FD2">
              <w:rPr>
                <w:rFonts w:asciiTheme="minorHAnsi" w:eastAsiaTheme="minorHAnsi" w:hAnsiTheme="minorHAnsi" w:cs="Arial"/>
                <w:color w:val="000000"/>
                <w:sz w:val="20"/>
                <w:szCs w:val="20"/>
              </w:rPr>
              <w:t xml:space="preserve"> χειρουργική διαδικασία</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δ) Κάνει πιο εύκολο το μπάνιο και το κολύμπι για τον ασθενή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ε) Δεν ξέρω </w:t>
            </w:r>
          </w:p>
        </w:tc>
        <w:tc>
          <w:tcPr>
            <w:tcW w:w="2552" w:type="dxa"/>
            <w:gridSpan w:val="2"/>
          </w:tcPr>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Peritoneal dialysis is a form of treatment which is used as an alternative to hemodialysis. An advantage of peritoneal dialysis is that:</w:t>
            </w: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pStyle w:val="a5"/>
              <w:numPr>
                <w:ilvl w:val="0"/>
                <w:numId w:val="63"/>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The patient is allowed to walk around freely during the treatment</w:t>
            </w:r>
          </w:p>
          <w:p w:rsidR="00DA4D22" w:rsidRPr="00872FD2" w:rsidRDefault="00DA4D22" w:rsidP="00872FD2">
            <w:pPr>
              <w:pStyle w:val="a5"/>
              <w:numPr>
                <w:ilvl w:val="0"/>
                <w:numId w:val="63"/>
              </w:numPr>
              <w:spacing w:after="0" w:line="360" w:lineRule="auto"/>
              <w:rPr>
                <w:rFonts w:asciiTheme="minorHAnsi" w:eastAsiaTheme="minorHAnsi" w:hAnsiTheme="minorHAnsi" w:cs="Arial"/>
                <w:i/>
                <w:color w:val="000000"/>
                <w:sz w:val="20"/>
                <w:szCs w:val="20"/>
                <w:u w:val="single"/>
                <w:lang w:val="en-US"/>
              </w:rPr>
            </w:pPr>
            <w:r w:rsidRPr="00872FD2">
              <w:rPr>
                <w:rFonts w:asciiTheme="minorHAnsi" w:eastAsiaTheme="minorHAnsi" w:hAnsiTheme="minorHAnsi" w:cs="Arial"/>
                <w:i/>
                <w:color w:val="000000"/>
                <w:sz w:val="20"/>
                <w:szCs w:val="20"/>
                <w:u w:val="single"/>
                <w:lang w:val="en-US"/>
              </w:rPr>
              <w:t>It is only needed</w:t>
            </w:r>
            <w:r w:rsidR="0078495A">
              <w:rPr>
                <w:rFonts w:asciiTheme="minorHAnsi" w:eastAsiaTheme="minorHAnsi" w:hAnsiTheme="minorHAnsi" w:cs="Arial"/>
                <w:i/>
                <w:color w:val="000000"/>
                <w:sz w:val="20"/>
                <w:szCs w:val="20"/>
                <w:u w:val="single"/>
                <w:lang w:val="en-US"/>
              </w:rPr>
              <w:t xml:space="preserve"> </w:t>
            </w:r>
            <w:r w:rsidRPr="00872FD2">
              <w:rPr>
                <w:rFonts w:asciiTheme="minorHAnsi" w:eastAsiaTheme="minorHAnsi" w:hAnsiTheme="minorHAnsi" w:cs="Arial"/>
                <w:i/>
                <w:color w:val="000000"/>
                <w:sz w:val="20"/>
                <w:szCs w:val="20"/>
                <w:u w:val="single"/>
                <w:lang w:val="en-US"/>
              </w:rPr>
              <w:t xml:space="preserve">once a week </w:t>
            </w:r>
          </w:p>
          <w:p w:rsidR="00DA4D22" w:rsidRPr="00872FD2" w:rsidRDefault="00DA4D22" w:rsidP="00872FD2">
            <w:pPr>
              <w:pStyle w:val="a5"/>
              <w:numPr>
                <w:ilvl w:val="0"/>
                <w:numId w:val="63"/>
              </w:numPr>
              <w:spacing w:after="0" w:line="360" w:lineRule="auto"/>
              <w:rPr>
                <w:rFonts w:asciiTheme="minorHAnsi" w:eastAsiaTheme="minorHAnsi" w:hAnsiTheme="minorHAnsi" w:cs="Arial"/>
                <w:i/>
                <w:color w:val="000000"/>
                <w:sz w:val="20"/>
                <w:szCs w:val="20"/>
                <w:u w:val="single"/>
                <w:lang w:val="en-US"/>
              </w:rPr>
            </w:pPr>
            <w:r w:rsidRPr="00872FD2">
              <w:rPr>
                <w:rFonts w:asciiTheme="minorHAnsi" w:eastAsiaTheme="minorHAnsi" w:hAnsiTheme="minorHAnsi" w:cs="Arial"/>
                <w:i/>
                <w:color w:val="000000"/>
                <w:sz w:val="20"/>
                <w:szCs w:val="20"/>
                <w:u w:val="single"/>
                <w:lang w:val="en-US"/>
              </w:rPr>
              <w:t xml:space="preserve">No pre-operative preparation is required </w:t>
            </w:r>
          </w:p>
          <w:p w:rsidR="00DA4D22" w:rsidRPr="00872FD2" w:rsidRDefault="00DA4D22" w:rsidP="00872FD2">
            <w:pPr>
              <w:pStyle w:val="a5"/>
              <w:numPr>
                <w:ilvl w:val="0"/>
                <w:numId w:val="63"/>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 xml:space="preserve">It </w:t>
            </w:r>
            <w:r w:rsidRPr="00872FD2">
              <w:rPr>
                <w:rFonts w:asciiTheme="minorHAnsi" w:eastAsiaTheme="minorHAnsi" w:hAnsiTheme="minorHAnsi" w:cs="Arial"/>
                <w:i/>
                <w:color w:val="000000"/>
                <w:sz w:val="20"/>
                <w:szCs w:val="20"/>
                <w:u w:val="single"/>
                <w:lang w:val="en-US"/>
              </w:rPr>
              <w:t>is</w:t>
            </w:r>
            <w:r w:rsidR="0078495A">
              <w:rPr>
                <w:rFonts w:asciiTheme="minorHAnsi" w:eastAsiaTheme="minorHAnsi" w:hAnsiTheme="minorHAnsi" w:cs="Arial"/>
                <w:color w:val="000000"/>
                <w:sz w:val="20"/>
                <w:szCs w:val="20"/>
                <w:lang w:val="en-US"/>
              </w:rPr>
              <w:t xml:space="preserve"> </w:t>
            </w:r>
            <w:r w:rsidRPr="00872FD2">
              <w:rPr>
                <w:rFonts w:asciiTheme="minorHAnsi" w:eastAsiaTheme="minorHAnsi" w:hAnsiTheme="minorHAnsi" w:cs="Arial"/>
                <w:color w:val="000000"/>
                <w:sz w:val="20"/>
                <w:szCs w:val="20"/>
                <w:lang w:val="en-US"/>
              </w:rPr>
              <w:t>easier for the patient to have a bath and swim</w:t>
            </w:r>
          </w:p>
          <w:p w:rsidR="00DA4D22" w:rsidRPr="00872FD2" w:rsidRDefault="00DA4D22" w:rsidP="00872FD2">
            <w:pPr>
              <w:pStyle w:val="a5"/>
              <w:numPr>
                <w:ilvl w:val="0"/>
                <w:numId w:val="63"/>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 don’t know</w:t>
            </w: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«only needs to be performed”</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“It does not involve any preparatory surgical procedure»</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w:t>
            </w:r>
            <w:r w:rsidRPr="00872FD2">
              <w:rPr>
                <w:rFonts w:asciiTheme="minorHAnsi" w:eastAsiaTheme="minorHAnsi" w:hAnsiTheme="minorHAnsi" w:cs="Arial"/>
                <w:color w:val="000000"/>
                <w:sz w:val="20"/>
                <w:szCs w:val="20"/>
                <w:lang w:val="en-US"/>
              </w:rPr>
              <w:t>makes it</w:t>
            </w:r>
            <w:r w:rsidRPr="00872FD2">
              <w:rPr>
                <w:rFonts w:asciiTheme="minorHAnsi" w:eastAsiaTheme="minorHAnsi" w:hAnsiTheme="minorHAnsi" w:cs="Arial"/>
                <w:color w:val="000000"/>
                <w:sz w:val="20"/>
                <w:szCs w:val="20"/>
              </w:rPr>
              <w:t>»</w:t>
            </w:r>
          </w:p>
        </w:tc>
      </w:tr>
      <w:tr w:rsidR="00DA4D22" w:rsidRPr="00872FD2" w:rsidTr="002568DB">
        <w:trPr>
          <w:cnfStyle w:val="000000010000"/>
        </w:trPr>
        <w:tc>
          <w:tcPr>
            <w:tcW w:w="2552" w:type="dxa"/>
            <w:gridSpan w:val="2"/>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Patients with chronic kidney disease are advised to eat limited quantities of potassium-rich foods. Ele-</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vated potassium</w:t>
            </w:r>
            <w:r w:rsidR="0078495A">
              <w:rPr>
                <w:rFonts w:asciiTheme="minorHAnsi" w:eastAsiaTheme="minorHAnsi" w:hAnsiTheme="minorHAnsi" w:cs="Arial"/>
                <w:color w:val="000000"/>
                <w:sz w:val="20"/>
                <w:szCs w:val="20"/>
                <w:lang w:val="en-US"/>
              </w:rPr>
              <w:t xml:space="preserve"> </w:t>
            </w:r>
            <w:r w:rsidRPr="00872FD2">
              <w:rPr>
                <w:rFonts w:asciiTheme="minorHAnsi" w:eastAsiaTheme="minorHAnsi" w:hAnsiTheme="minorHAnsi" w:cs="Arial"/>
                <w:color w:val="000000"/>
                <w:sz w:val="20"/>
                <w:szCs w:val="20"/>
                <w:lang w:val="en-US"/>
              </w:rPr>
              <w:t>levels in the blood is dangerous</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because:</w:t>
            </w:r>
          </w:p>
          <w:p w:rsidR="00DA4D22" w:rsidRPr="00872FD2" w:rsidRDefault="00DA4D22" w:rsidP="00872FD2">
            <w:pPr>
              <w:pStyle w:val="a5"/>
              <w:autoSpaceDE w:val="0"/>
              <w:autoSpaceDN w:val="0"/>
              <w:adjustRightInd w:val="0"/>
              <w:spacing w:after="0" w:line="360" w:lineRule="auto"/>
              <w:ind w:left="360"/>
              <w:rPr>
                <w:rFonts w:asciiTheme="minorHAnsi" w:eastAsiaTheme="minorHAnsi" w:hAnsiTheme="minorHAnsi" w:cs="Arial"/>
                <w:color w:val="000000"/>
                <w:sz w:val="20"/>
                <w:szCs w:val="20"/>
                <w:lang w:val="en-US"/>
              </w:rPr>
            </w:pPr>
          </w:p>
          <w:p w:rsidR="00DA4D22" w:rsidRPr="00872FD2" w:rsidRDefault="00DA4D22" w:rsidP="00872FD2">
            <w:pPr>
              <w:pStyle w:val="a5"/>
              <w:autoSpaceDE w:val="0"/>
              <w:autoSpaceDN w:val="0"/>
              <w:adjustRightInd w:val="0"/>
              <w:spacing w:after="0" w:line="360" w:lineRule="auto"/>
              <w:ind w:left="360"/>
              <w:rPr>
                <w:rFonts w:asciiTheme="minorHAnsi" w:eastAsiaTheme="minorHAnsi" w:hAnsiTheme="minorHAnsi" w:cs="Arial"/>
                <w:color w:val="000000"/>
                <w:sz w:val="20"/>
                <w:szCs w:val="20"/>
                <w:lang w:val="en-US"/>
              </w:rPr>
            </w:pPr>
          </w:p>
          <w:p w:rsidR="00DA4D22" w:rsidRPr="00872FD2" w:rsidRDefault="00DA4D22" w:rsidP="00872FD2">
            <w:pPr>
              <w:pStyle w:val="a5"/>
              <w:numPr>
                <w:ilvl w:val="0"/>
                <w:numId w:val="65"/>
              </w:numPr>
              <w:autoSpaceDE w:val="0"/>
              <w:autoSpaceDN w:val="0"/>
              <w:adjustRightInd w:val="0"/>
              <w:spacing w:after="0" w:line="360" w:lineRule="auto"/>
              <w:ind w:left="36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It can cause fluid overload.</w:t>
            </w:r>
          </w:p>
          <w:p w:rsidR="00DA4D22" w:rsidRPr="00872FD2" w:rsidRDefault="00DA4D22" w:rsidP="00872FD2">
            <w:pPr>
              <w:pStyle w:val="a5"/>
              <w:numPr>
                <w:ilvl w:val="0"/>
                <w:numId w:val="65"/>
              </w:numPr>
              <w:autoSpaceDE w:val="0"/>
              <w:autoSpaceDN w:val="0"/>
              <w:adjustRightInd w:val="0"/>
              <w:spacing w:after="0" w:line="360" w:lineRule="auto"/>
              <w:ind w:left="36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It can raise the patient’s hematocrit.</w:t>
            </w:r>
          </w:p>
          <w:p w:rsidR="00DA4D22" w:rsidRPr="00872FD2" w:rsidRDefault="00DA4D22" w:rsidP="00872FD2">
            <w:pPr>
              <w:pStyle w:val="a5"/>
              <w:numPr>
                <w:ilvl w:val="0"/>
                <w:numId w:val="65"/>
              </w:numPr>
              <w:autoSpaceDE w:val="0"/>
              <w:autoSpaceDN w:val="0"/>
              <w:adjustRightInd w:val="0"/>
              <w:spacing w:after="0" w:line="360" w:lineRule="auto"/>
              <w:ind w:left="36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It can decrease the production of white blood cells.</w:t>
            </w:r>
          </w:p>
          <w:p w:rsidR="00DA4D22" w:rsidRPr="00872FD2" w:rsidRDefault="00DA4D22" w:rsidP="00872FD2">
            <w:pPr>
              <w:pStyle w:val="a5"/>
              <w:numPr>
                <w:ilvl w:val="0"/>
                <w:numId w:val="65"/>
              </w:numPr>
              <w:autoSpaceDE w:val="0"/>
              <w:autoSpaceDN w:val="0"/>
              <w:adjustRightInd w:val="0"/>
              <w:spacing w:after="0" w:line="360" w:lineRule="auto"/>
              <w:ind w:left="36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It can cause the heart to beat irregularly and</w:t>
            </w:r>
          </w:p>
          <w:p w:rsidR="00DA4D22" w:rsidRPr="00872FD2" w:rsidRDefault="00DA4D22" w:rsidP="00872FD2">
            <w:pPr>
              <w:pStyle w:val="a5"/>
              <w:autoSpaceDE w:val="0"/>
              <w:autoSpaceDN w:val="0"/>
              <w:adjustRightInd w:val="0"/>
              <w:spacing w:after="0" w:line="360" w:lineRule="auto"/>
              <w:ind w:left="315"/>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even</w:t>
            </w:r>
            <w:r w:rsidRPr="00872FD2">
              <w:rPr>
                <w:rFonts w:asciiTheme="minorHAnsi" w:eastAsiaTheme="minorHAnsi" w:hAnsiTheme="minorHAnsi" w:cs="Arial"/>
                <w:color w:val="000000"/>
                <w:sz w:val="20"/>
                <w:szCs w:val="20"/>
              </w:rPr>
              <w:t xml:space="preserve"> </w:t>
            </w:r>
            <w:r w:rsidRPr="00872FD2">
              <w:rPr>
                <w:rFonts w:asciiTheme="minorHAnsi" w:eastAsiaTheme="minorHAnsi" w:hAnsiTheme="minorHAnsi" w:cs="Arial"/>
                <w:color w:val="000000"/>
                <w:sz w:val="20"/>
                <w:szCs w:val="20"/>
                <w:lang w:val="en-US"/>
              </w:rPr>
              <w:t>stop</w:t>
            </w:r>
            <w:r w:rsidRPr="00872FD2">
              <w:rPr>
                <w:rFonts w:asciiTheme="minorHAnsi" w:eastAsiaTheme="minorHAnsi" w:hAnsiTheme="minorHAnsi" w:cs="Arial"/>
                <w:color w:val="000000"/>
                <w:sz w:val="20"/>
                <w:szCs w:val="20"/>
              </w:rPr>
              <w:t>.</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Don</w:t>
            </w:r>
            <w:r w:rsidRPr="00872FD2">
              <w:rPr>
                <w:rFonts w:asciiTheme="minorHAnsi" w:eastAsiaTheme="minorHAnsi" w:hAnsiTheme="minorHAnsi" w:cs="Arial"/>
                <w:color w:val="000000"/>
                <w:sz w:val="20"/>
                <w:szCs w:val="20"/>
              </w:rPr>
              <w:t>’</w:t>
            </w:r>
            <w:r w:rsidRPr="00872FD2">
              <w:rPr>
                <w:rFonts w:asciiTheme="minorHAnsi" w:eastAsiaTheme="minorHAnsi" w:hAnsiTheme="minorHAnsi" w:cs="Arial"/>
                <w:color w:val="000000"/>
                <w:sz w:val="20"/>
                <w:szCs w:val="20"/>
                <w:lang w:val="en-US"/>
              </w:rPr>
              <w:t>t</w:t>
            </w:r>
            <w:r w:rsidRPr="00872FD2">
              <w:rPr>
                <w:rFonts w:asciiTheme="minorHAnsi" w:eastAsiaTheme="minorHAnsi" w:hAnsiTheme="minorHAnsi" w:cs="Arial"/>
                <w:color w:val="000000"/>
                <w:sz w:val="20"/>
                <w:szCs w:val="20"/>
              </w:rPr>
              <w:t xml:space="preserve"> </w:t>
            </w:r>
            <w:r w:rsidRPr="00872FD2">
              <w:rPr>
                <w:rFonts w:asciiTheme="minorHAnsi" w:eastAsiaTheme="minorHAnsi" w:hAnsiTheme="minorHAnsi" w:cs="Arial"/>
                <w:color w:val="000000"/>
                <w:sz w:val="20"/>
                <w:szCs w:val="20"/>
                <w:lang w:val="en-US"/>
              </w:rPr>
              <w:t>know</w:t>
            </w:r>
            <w:r w:rsidRPr="00872FD2">
              <w:rPr>
                <w:rFonts w:asciiTheme="minorHAnsi" w:eastAsiaTheme="minorHAnsi" w:hAnsiTheme="minorHAnsi" w:cs="Arial"/>
                <w:color w:val="000000"/>
                <w:sz w:val="20"/>
                <w:szCs w:val="20"/>
              </w:rPr>
              <w:t>.</w:t>
            </w:r>
          </w:p>
        </w:tc>
        <w:tc>
          <w:tcPr>
            <w:tcW w:w="2410" w:type="dxa"/>
          </w:tcPr>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Οι ασθενείς με χρόνια νεφρική νόσο συμβουλεύονται να τρώνε </w:t>
            </w:r>
            <w:r w:rsidRPr="00872FD2">
              <w:rPr>
                <w:rFonts w:asciiTheme="minorHAnsi" w:eastAsiaTheme="minorHAnsi" w:hAnsiTheme="minorHAnsi" w:cs="Arial"/>
                <w:color w:val="000000"/>
                <w:sz w:val="20"/>
                <w:szCs w:val="20"/>
                <w:u w:val="single"/>
              </w:rPr>
              <w:t xml:space="preserve">μικρές ποσότητες φαγητών πλούσιων σε κάλιο. </w:t>
            </w:r>
            <w:r w:rsidRPr="00872FD2">
              <w:rPr>
                <w:rFonts w:asciiTheme="minorHAnsi" w:eastAsiaTheme="minorHAnsi" w:hAnsiTheme="minorHAnsi" w:cs="Arial"/>
                <w:color w:val="000000"/>
                <w:sz w:val="20"/>
                <w:szCs w:val="20"/>
              </w:rPr>
              <w:t xml:space="preserve">Αυξημένα επίπεδα καλίου στο αίμα είναι επικίνδυνα διότι: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α) Μπορεί να προκαλέσουν υπερφόρτωση υγρών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β) Μπορεί να αυξήσουν τον αιματοκρίτη </w:t>
            </w:r>
            <w:r w:rsidR="00B0560D">
              <w:rPr>
                <w:rFonts w:asciiTheme="minorHAnsi" w:eastAsiaTheme="minorHAnsi" w:hAnsiTheme="minorHAnsi" w:cs="Arial"/>
                <w:color w:val="000000"/>
                <w:sz w:val="20"/>
                <w:szCs w:val="20"/>
              </w:rPr>
              <w:t>του ασθενούς</w:t>
            </w:r>
            <w:r w:rsidR="0078495A">
              <w:rPr>
                <w:rFonts w:asciiTheme="minorHAnsi" w:eastAsiaTheme="minorHAnsi" w:hAnsiTheme="minorHAnsi" w:cs="Arial"/>
                <w:color w:val="000000"/>
                <w:sz w:val="20"/>
                <w:szCs w:val="20"/>
              </w:rPr>
              <w:t xml:space="preserve">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γ) Μπορεί να ελαττώσουν την παραγωγή λευκών αιμοσφαιρίων</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δ) Μπορούν να προκαλέσουν αρρυθμία στις σφύξεις και να σταματήσει η καρδιά να λειτουργεί</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rPr>
              <w:t>ε) Δεν ξέρω</w:t>
            </w:r>
          </w:p>
        </w:tc>
        <w:tc>
          <w:tcPr>
            <w:tcW w:w="2552" w:type="dxa"/>
            <w:gridSpan w:val="2"/>
          </w:tcPr>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Patients suffering from chronic kidney disease are encouraged to eat a limited amount of food rich in potassium. The increased amounts of potassium in their blood is dangerous because:</w:t>
            </w:r>
          </w:p>
          <w:p w:rsidR="00DA4D22" w:rsidRPr="00872FD2" w:rsidRDefault="00DA4D22" w:rsidP="00872FD2">
            <w:pPr>
              <w:pStyle w:val="a5"/>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pStyle w:val="a5"/>
              <w:numPr>
                <w:ilvl w:val="1"/>
                <w:numId w:val="62"/>
              </w:numPr>
              <w:spacing w:after="0" w:line="360" w:lineRule="auto"/>
              <w:ind w:left="36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They may cause fluid overload</w:t>
            </w:r>
          </w:p>
          <w:p w:rsidR="00DA4D22" w:rsidRPr="00872FD2" w:rsidRDefault="00DA4D22" w:rsidP="00872FD2">
            <w:pPr>
              <w:pStyle w:val="a5"/>
              <w:numPr>
                <w:ilvl w:val="1"/>
                <w:numId w:val="62"/>
              </w:numPr>
              <w:spacing w:after="0" w:line="360" w:lineRule="auto"/>
              <w:ind w:left="36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They may cause the patient’s hematocrit to go up</w:t>
            </w:r>
          </w:p>
          <w:p w:rsidR="00DA4D22" w:rsidRPr="00872FD2" w:rsidRDefault="00DA4D22" w:rsidP="00872FD2">
            <w:pPr>
              <w:pStyle w:val="a5"/>
              <w:numPr>
                <w:ilvl w:val="1"/>
                <w:numId w:val="62"/>
              </w:numPr>
              <w:spacing w:after="0" w:line="360" w:lineRule="auto"/>
              <w:ind w:left="36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They may reduce the production of white blood cells</w:t>
            </w:r>
          </w:p>
          <w:p w:rsidR="00DA4D22" w:rsidRPr="00872FD2" w:rsidRDefault="00DA4D22" w:rsidP="00872FD2">
            <w:pPr>
              <w:pStyle w:val="a5"/>
              <w:numPr>
                <w:ilvl w:val="1"/>
                <w:numId w:val="62"/>
              </w:numPr>
              <w:spacing w:after="0" w:line="360" w:lineRule="auto"/>
              <w:ind w:left="36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They may cause the heart to beat arythmically or even cause it to stop</w:t>
            </w:r>
          </w:p>
          <w:p w:rsidR="00DA4D22" w:rsidRPr="00872FD2" w:rsidRDefault="00DA4D22" w:rsidP="00872FD2">
            <w:pPr>
              <w:pStyle w:val="a5"/>
              <w:numPr>
                <w:ilvl w:val="0"/>
                <w:numId w:val="64"/>
              </w:numPr>
              <w:spacing w:after="0" w:line="360" w:lineRule="auto"/>
              <w:ind w:left="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e)</w:t>
            </w:r>
            <w:r w:rsidR="0078495A">
              <w:rPr>
                <w:rFonts w:asciiTheme="minorHAnsi" w:eastAsiaTheme="minorHAnsi" w:hAnsiTheme="minorHAnsi" w:cs="Arial"/>
                <w:color w:val="000000"/>
                <w:sz w:val="20"/>
                <w:szCs w:val="20"/>
                <w:lang w:val="en-US"/>
              </w:rPr>
              <w:t xml:space="preserve">  </w:t>
            </w:r>
            <w:r w:rsidRPr="00872FD2">
              <w:rPr>
                <w:rFonts w:asciiTheme="minorHAnsi" w:eastAsiaTheme="minorHAnsi" w:hAnsiTheme="minorHAnsi" w:cs="Arial"/>
                <w:color w:val="000000"/>
                <w:sz w:val="20"/>
                <w:szCs w:val="20"/>
                <w:lang w:val="en-US"/>
              </w:rPr>
              <w:t xml:space="preserve"> I don’t know</w:t>
            </w: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tc>
      </w:tr>
      <w:tr w:rsidR="00DA4D22" w:rsidRPr="00872FD2" w:rsidTr="002568DB">
        <w:trPr>
          <w:cnfStyle w:val="000000100000"/>
        </w:trPr>
        <w:tc>
          <w:tcPr>
            <w:tcW w:w="9215" w:type="dxa"/>
            <w:gridSpan w:val="6"/>
          </w:tcPr>
          <w:p w:rsidR="00DA4D22" w:rsidRPr="002568DB" w:rsidRDefault="002215DE" w:rsidP="00872FD2">
            <w:pPr>
              <w:pStyle w:val="a5"/>
              <w:spacing w:after="0" w:line="360" w:lineRule="auto"/>
              <w:ind w:left="0"/>
              <w:jc w:val="center"/>
              <w:rPr>
                <w:rFonts w:asciiTheme="minorHAnsi" w:eastAsiaTheme="minorHAnsi" w:hAnsiTheme="minorHAnsi" w:cs="Arial"/>
                <w:color w:val="000000"/>
                <w:sz w:val="24"/>
                <w:szCs w:val="24"/>
                <w:lang w:val="en-US"/>
              </w:rPr>
            </w:pPr>
            <w:r w:rsidRPr="002568DB">
              <w:rPr>
                <w:rFonts w:asciiTheme="minorHAnsi" w:eastAsiaTheme="minorHAnsi" w:hAnsiTheme="minorHAnsi" w:cs="Arial"/>
                <w:b/>
                <w:bCs/>
                <w:iCs/>
                <w:color w:val="000000"/>
                <w:sz w:val="24"/>
                <w:szCs w:val="24"/>
              </w:rPr>
              <w:t>ΦΟΡΜΑ</w:t>
            </w:r>
            <w:r w:rsidRPr="002568DB">
              <w:rPr>
                <w:rFonts w:asciiTheme="minorHAnsi" w:eastAsiaTheme="minorHAnsi" w:hAnsiTheme="minorHAnsi" w:cs="Arial"/>
                <w:b/>
                <w:bCs/>
                <w:iCs/>
                <w:color w:val="000000"/>
                <w:sz w:val="24"/>
                <w:szCs w:val="24"/>
                <w:lang w:val="en-US"/>
              </w:rPr>
              <w:t xml:space="preserve"> B</w:t>
            </w:r>
          </w:p>
        </w:tc>
      </w:tr>
      <w:tr w:rsidR="00DA4D22" w:rsidRPr="00872FD2" w:rsidTr="002568DB">
        <w:trPr>
          <w:cnfStyle w:val="000000010000"/>
        </w:trPr>
        <w:tc>
          <w:tcPr>
            <w:tcW w:w="2411" w:type="dxa"/>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Kidney disease is a problem that comes with old age-young people do not get this disease.</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True</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(b) False</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 Don’t know</w:t>
            </w:r>
          </w:p>
        </w:tc>
        <w:tc>
          <w:tcPr>
            <w:tcW w:w="2693" w:type="dxa"/>
            <w:gridSpan w:val="3"/>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Η νεφρική νόσος είναι ένα πρόβλημα που έρχεται με τη ηλικία, οι νέοι άνθρωποι δεν παθαίνουν αυτή την ασθένεια. </w:t>
            </w:r>
          </w:p>
          <w:p w:rsidR="00DA4D22" w:rsidRPr="00872FD2" w:rsidRDefault="00DA4D22" w:rsidP="00872FD2">
            <w:pPr>
              <w:pStyle w:val="a5"/>
              <w:numPr>
                <w:ilvl w:val="0"/>
                <w:numId w:val="88"/>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Σωστό</w:t>
            </w:r>
          </w:p>
          <w:p w:rsidR="00DA4D22" w:rsidRPr="00872FD2" w:rsidRDefault="00DA4D22" w:rsidP="00872FD2">
            <w:pPr>
              <w:pStyle w:val="a5"/>
              <w:numPr>
                <w:ilvl w:val="0"/>
                <w:numId w:val="88"/>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Λανθασμένο</w:t>
            </w:r>
          </w:p>
          <w:p w:rsidR="00DA4D22" w:rsidRPr="00872FD2" w:rsidRDefault="00DA4D22" w:rsidP="00872FD2">
            <w:pPr>
              <w:pStyle w:val="a5"/>
              <w:numPr>
                <w:ilvl w:val="0"/>
                <w:numId w:val="88"/>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Δεν ξέρω</w:t>
            </w:r>
          </w:p>
        </w:tc>
        <w:tc>
          <w:tcPr>
            <w:tcW w:w="2410" w:type="dxa"/>
          </w:tcPr>
          <w:p w:rsidR="00DA4D22" w:rsidRPr="00872FD2" w:rsidRDefault="00DA4D22" w:rsidP="00872FD2">
            <w:pPr>
              <w:spacing w:after="0" w:line="360" w:lineRule="auto"/>
              <w:contextualSpacing/>
              <w:jc w:val="both"/>
              <w:rPr>
                <w:rFonts w:asciiTheme="minorHAnsi" w:eastAsiaTheme="minorHAnsi" w:hAnsiTheme="minorHAnsi" w:cs="Arial"/>
                <w:color w:val="000000"/>
                <w:sz w:val="20"/>
                <w:szCs w:val="20"/>
                <w:lang w:val="en-GB"/>
              </w:rPr>
            </w:pPr>
            <w:r w:rsidRPr="00872FD2">
              <w:rPr>
                <w:rFonts w:asciiTheme="minorHAnsi" w:eastAsiaTheme="minorHAnsi" w:hAnsiTheme="minorHAnsi" w:cs="Arial"/>
                <w:color w:val="000000"/>
                <w:sz w:val="20"/>
                <w:szCs w:val="20"/>
                <w:lang w:val="en-US"/>
              </w:rPr>
              <w:t>Renal disease is a problem that appears with ageing.</w:t>
            </w:r>
            <w:r w:rsidR="0078495A">
              <w:rPr>
                <w:rFonts w:asciiTheme="minorHAnsi" w:eastAsiaTheme="minorHAnsi" w:hAnsiTheme="minorHAnsi" w:cs="Arial"/>
                <w:color w:val="000000"/>
                <w:sz w:val="20"/>
                <w:szCs w:val="20"/>
                <w:lang w:val="en-US"/>
              </w:rPr>
              <w:t xml:space="preserve"> </w:t>
            </w:r>
          </w:p>
          <w:p w:rsidR="00DA4D22" w:rsidRPr="00872FD2" w:rsidRDefault="00DA4D22" w:rsidP="00872FD2">
            <w:pPr>
              <w:spacing w:after="0" w:line="360" w:lineRule="auto"/>
              <w:contextualSpacing/>
              <w:jc w:val="both"/>
              <w:rPr>
                <w:rFonts w:asciiTheme="minorHAnsi" w:eastAsiaTheme="minorHAnsi" w:hAnsiTheme="minorHAnsi" w:cs="Arial"/>
                <w:color w:val="000000"/>
                <w:sz w:val="20"/>
                <w:szCs w:val="20"/>
                <w:lang w:val="en-GB"/>
              </w:rPr>
            </w:pPr>
            <w:r w:rsidRPr="00872FD2">
              <w:rPr>
                <w:rFonts w:asciiTheme="minorHAnsi" w:eastAsiaTheme="minorHAnsi" w:hAnsiTheme="minorHAnsi" w:cs="Arial"/>
                <w:color w:val="000000"/>
                <w:sz w:val="20"/>
                <w:szCs w:val="20"/>
                <w:lang w:val="en-GB"/>
              </w:rPr>
              <w:t>Young people are not affected by it</w:t>
            </w:r>
          </w:p>
          <w:p w:rsidR="00DA4D22" w:rsidRPr="00872FD2" w:rsidRDefault="00DA4D22" w:rsidP="00872FD2">
            <w:pPr>
              <w:spacing w:after="0" w:line="360" w:lineRule="auto"/>
              <w:ind w:left="1440"/>
              <w:contextualSpacing/>
              <w:jc w:val="both"/>
              <w:rPr>
                <w:rFonts w:asciiTheme="minorHAnsi" w:eastAsiaTheme="minorHAnsi" w:hAnsiTheme="minorHAnsi" w:cs="Arial"/>
                <w:color w:val="000000"/>
                <w:sz w:val="20"/>
                <w:szCs w:val="20"/>
                <w:lang w:val="en-GB"/>
              </w:rPr>
            </w:pPr>
          </w:p>
          <w:p w:rsidR="00DA4D22" w:rsidRPr="00872FD2" w:rsidRDefault="00DA4D22" w:rsidP="00872FD2">
            <w:pPr>
              <w:pStyle w:val="a5"/>
              <w:numPr>
                <w:ilvl w:val="0"/>
                <w:numId w:val="66"/>
              </w:numPr>
              <w:spacing w:after="0" w:line="360" w:lineRule="auto"/>
              <w:jc w:val="both"/>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Right</w:t>
            </w:r>
          </w:p>
          <w:p w:rsidR="00DA4D22" w:rsidRPr="00872FD2" w:rsidRDefault="00DA4D22" w:rsidP="00872FD2">
            <w:pPr>
              <w:pStyle w:val="a5"/>
              <w:numPr>
                <w:ilvl w:val="0"/>
                <w:numId w:val="66"/>
              </w:numPr>
              <w:spacing w:after="0" w:line="360" w:lineRule="auto"/>
              <w:jc w:val="both"/>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Wrong</w:t>
            </w:r>
          </w:p>
          <w:p w:rsidR="00DA4D22" w:rsidRPr="00872FD2" w:rsidRDefault="00DA4D22" w:rsidP="00872FD2">
            <w:pPr>
              <w:pStyle w:val="a5"/>
              <w:numPr>
                <w:ilvl w:val="0"/>
                <w:numId w:val="66"/>
              </w:numPr>
              <w:spacing w:after="0" w:line="360" w:lineRule="auto"/>
              <w:jc w:val="both"/>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 don’t know</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tc>
      </w:tr>
      <w:tr w:rsidR="00DA4D22" w:rsidRPr="00872FD2" w:rsidTr="002568DB">
        <w:trPr>
          <w:cnfStyle w:val="000000100000"/>
        </w:trPr>
        <w:tc>
          <w:tcPr>
            <w:tcW w:w="2411" w:type="dxa"/>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Most types of kidney disease last about 5 years.</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After this the kidneys start to work normally again.</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True</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(b) False</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 Don’t know</w:t>
            </w:r>
          </w:p>
        </w:tc>
        <w:tc>
          <w:tcPr>
            <w:tcW w:w="2693" w:type="dxa"/>
            <w:gridSpan w:val="3"/>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Οι περισσότεροι τύποι νεφρικής νόσου διαρκούν περίπου 5 χρόνια. Μετά από 5 χρόνια, οι νεφροί αρχίζουν να λειτουργούν πάλι κανονικά.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α) Σωστό</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β) Λανθασμένο</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γ) Δεν ξέρω</w:t>
            </w:r>
          </w:p>
        </w:tc>
        <w:tc>
          <w:tcPr>
            <w:tcW w:w="2410" w:type="dxa"/>
          </w:tcPr>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Most renal disease forms last approximately 5 years. After that the kidneys start functioning properly again</w:t>
            </w:r>
          </w:p>
          <w:p w:rsidR="00DA4D22" w:rsidRPr="00872FD2" w:rsidRDefault="00DA4D22" w:rsidP="00872FD2">
            <w:pPr>
              <w:pStyle w:val="a5"/>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pStyle w:val="a5"/>
              <w:numPr>
                <w:ilvl w:val="0"/>
                <w:numId w:val="89"/>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Right</w:t>
            </w:r>
          </w:p>
          <w:p w:rsidR="00DA4D22" w:rsidRPr="00872FD2" w:rsidRDefault="00DA4D22" w:rsidP="00872FD2">
            <w:pPr>
              <w:pStyle w:val="a5"/>
              <w:numPr>
                <w:ilvl w:val="0"/>
                <w:numId w:val="89"/>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Wrong</w:t>
            </w:r>
          </w:p>
          <w:p w:rsidR="00DA4D22" w:rsidRPr="00872FD2" w:rsidRDefault="00DA4D22" w:rsidP="00872FD2">
            <w:pPr>
              <w:pStyle w:val="a5"/>
              <w:numPr>
                <w:ilvl w:val="0"/>
                <w:numId w:val="89"/>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 don’t know</w:t>
            </w: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tc>
      </w:tr>
      <w:tr w:rsidR="00DA4D22" w:rsidRPr="00872FD2" w:rsidTr="002568DB">
        <w:trPr>
          <w:cnfStyle w:val="000000010000"/>
        </w:trPr>
        <w:tc>
          <w:tcPr>
            <w:tcW w:w="2411" w:type="dxa"/>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Peritonitis, an infection of the abdominal cavity,</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is one of the major problems for patients on</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CAPD.</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True</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(b) False</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 Don’t know</w:t>
            </w:r>
          </w:p>
        </w:tc>
        <w:tc>
          <w:tcPr>
            <w:tcW w:w="2693" w:type="dxa"/>
            <w:gridSpan w:val="3"/>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Η περιτονίτιδα. που είναι</w:t>
            </w:r>
            <w:r w:rsidR="0078495A">
              <w:rPr>
                <w:rFonts w:asciiTheme="minorHAnsi" w:eastAsiaTheme="minorHAnsi" w:hAnsiTheme="minorHAnsi" w:cs="Arial"/>
                <w:color w:val="000000"/>
                <w:sz w:val="20"/>
                <w:szCs w:val="20"/>
              </w:rPr>
              <w:t xml:space="preserve"> </w:t>
            </w:r>
            <w:r w:rsidR="00817853">
              <w:rPr>
                <w:rFonts w:asciiTheme="minorHAnsi" w:eastAsiaTheme="minorHAnsi" w:hAnsiTheme="minorHAnsi" w:cs="Arial"/>
                <w:color w:val="000000"/>
                <w:sz w:val="20"/>
                <w:szCs w:val="20"/>
              </w:rPr>
              <w:t>μια</w:t>
            </w:r>
            <w:r w:rsidRPr="00872FD2">
              <w:rPr>
                <w:rFonts w:asciiTheme="minorHAnsi" w:eastAsiaTheme="minorHAnsi" w:hAnsiTheme="minorHAnsi" w:cs="Arial"/>
                <w:color w:val="000000"/>
                <w:sz w:val="20"/>
                <w:szCs w:val="20"/>
              </w:rPr>
              <w:t xml:space="preserve"> λοίμωξη της περιτοναϊκής κοιλότητας. είναι ένα από τα μεγαλύτερα προβλήματα των ασθενών που υποβάλλονται σε Συνεχή Φορητή Περιτοναϊκή Κάθαρση.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α) Σωστό</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β) Λανθασμένο</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γ) Δεν ξέρω</w:t>
            </w:r>
          </w:p>
        </w:tc>
        <w:tc>
          <w:tcPr>
            <w:tcW w:w="2410" w:type="dxa"/>
          </w:tcPr>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Peritonitis, an infection of the peritoneal cavity, is one of the biggest problems for CAPD patients.</w:t>
            </w: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pStyle w:val="a5"/>
              <w:numPr>
                <w:ilvl w:val="0"/>
                <w:numId w:val="67"/>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Right</w:t>
            </w:r>
          </w:p>
          <w:p w:rsidR="00DA4D22" w:rsidRPr="00872FD2" w:rsidRDefault="00DA4D22" w:rsidP="00872FD2">
            <w:pPr>
              <w:pStyle w:val="a5"/>
              <w:numPr>
                <w:ilvl w:val="0"/>
                <w:numId w:val="67"/>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Wrong</w:t>
            </w:r>
          </w:p>
          <w:p w:rsidR="00DA4D22" w:rsidRPr="00872FD2" w:rsidRDefault="00DA4D22" w:rsidP="00872FD2">
            <w:pPr>
              <w:pStyle w:val="a5"/>
              <w:numPr>
                <w:ilvl w:val="0"/>
                <w:numId w:val="67"/>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 don’t know</w:t>
            </w: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tc>
      </w:tr>
      <w:tr w:rsidR="00DA4D22" w:rsidRPr="00872FD2" w:rsidTr="002568DB">
        <w:trPr>
          <w:cnfStyle w:val="000000100000"/>
        </w:trPr>
        <w:tc>
          <w:tcPr>
            <w:tcW w:w="2411" w:type="dxa"/>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Kidney transplantation is the best form of treatment for patients with kidney disease because after the transplant the patients are less likely to get infections from bacteria or virus.</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True</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(b) False</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 Don’t know</w:t>
            </w:r>
          </w:p>
        </w:tc>
        <w:tc>
          <w:tcPr>
            <w:tcW w:w="2693" w:type="dxa"/>
            <w:gridSpan w:val="3"/>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Η μεταμόσχευση νεφρού είναι η καλύτερη μορφή θεραπείας για τους ασθενείς με νεφρική νόσο διότι μετά τη μεταμόσχευση οι ασθενείς κινδυνεύουν λιγότερο να πάθουν μόλυνση από βακτήρια ή ιούς. </w:t>
            </w:r>
          </w:p>
          <w:p w:rsidR="00DA4D22" w:rsidRPr="00872FD2" w:rsidRDefault="00DA4D22" w:rsidP="00872FD2">
            <w:pPr>
              <w:pStyle w:val="a5"/>
              <w:numPr>
                <w:ilvl w:val="0"/>
                <w:numId w:val="73"/>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Σωστό</w:t>
            </w:r>
          </w:p>
          <w:p w:rsidR="00DA4D22" w:rsidRPr="00872FD2" w:rsidRDefault="00DA4D22" w:rsidP="00872FD2">
            <w:pPr>
              <w:pStyle w:val="a5"/>
              <w:numPr>
                <w:ilvl w:val="0"/>
                <w:numId w:val="73"/>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Λανθασμένο</w:t>
            </w:r>
          </w:p>
          <w:p w:rsidR="00DA4D22" w:rsidRPr="00872FD2" w:rsidRDefault="00DA4D22" w:rsidP="00872FD2">
            <w:pPr>
              <w:pStyle w:val="a5"/>
              <w:numPr>
                <w:ilvl w:val="0"/>
                <w:numId w:val="73"/>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Δεν ξέρω</w:t>
            </w:r>
          </w:p>
        </w:tc>
        <w:tc>
          <w:tcPr>
            <w:tcW w:w="2410" w:type="dxa"/>
          </w:tcPr>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kidney transplant is the best form of therapy for renal disease patients because after the transplantation they have fewer chances of being infected by bacteria or viruses</w:t>
            </w:r>
          </w:p>
          <w:p w:rsidR="00DA4D22" w:rsidRPr="00872FD2" w:rsidRDefault="00DA4D22" w:rsidP="00872FD2">
            <w:pPr>
              <w:pStyle w:val="a5"/>
              <w:numPr>
                <w:ilvl w:val="0"/>
                <w:numId w:val="68"/>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Right</w:t>
            </w:r>
          </w:p>
          <w:p w:rsidR="00DA4D22" w:rsidRPr="00872FD2" w:rsidRDefault="00DA4D22" w:rsidP="00872FD2">
            <w:pPr>
              <w:pStyle w:val="a5"/>
              <w:numPr>
                <w:ilvl w:val="0"/>
                <w:numId w:val="68"/>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Wrong</w:t>
            </w:r>
          </w:p>
          <w:p w:rsidR="00DA4D22" w:rsidRPr="00872FD2" w:rsidRDefault="00DA4D22" w:rsidP="00872FD2">
            <w:pPr>
              <w:pStyle w:val="a5"/>
              <w:numPr>
                <w:ilvl w:val="0"/>
                <w:numId w:val="68"/>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 don’t know</w:t>
            </w: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tc>
      </w:tr>
      <w:tr w:rsidR="00DA4D22" w:rsidRPr="00872FD2" w:rsidTr="002568DB">
        <w:trPr>
          <w:cnfStyle w:val="000000010000"/>
        </w:trPr>
        <w:tc>
          <w:tcPr>
            <w:tcW w:w="2411" w:type="dxa"/>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There are about one million tiny filters in the</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human kidney. They are called:</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Ribosomes</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(b) Ureters</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 Glomeruli</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(d) Organelles</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(e) Don’t know</w:t>
            </w:r>
          </w:p>
        </w:tc>
        <w:tc>
          <w:tcPr>
            <w:tcW w:w="2693" w:type="dxa"/>
            <w:gridSpan w:val="3"/>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Υπάρχουν περίπου ένα εκατομμύριο μικροσκοπικά φίλτρα στους ανθρώπινους νεφρούς. Αυτά καλούνται: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α) Ριβοσώματα</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β) Ουρητήρες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γ) Σπειράματα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δ) Οργανήλια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ε) δεν ξέρω</w:t>
            </w:r>
          </w:p>
        </w:tc>
        <w:tc>
          <w:tcPr>
            <w:tcW w:w="2410" w:type="dxa"/>
          </w:tcPr>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There are about 1.000.000 microscopic filters in a human kidney. They are called:</w:t>
            </w: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Ribosomes</w:t>
            </w: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b) Ureters</w:t>
            </w: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 xml:space="preserve">c) </w:t>
            </w:r>
            <w:r w:rsidRPr="00872FD2">
              <w:rPr>
                <w:rFonts w:asciiTheme="minorHAnsi" w:eastAsiaTheme="minorHAnsi" w:hAnsiTheme="minorHAnsi" w:cs="Arial"/>
                <w:i/>
                <w:color w:val="000000"/>
                <w:sz w:val="20"/>
                <w:szCs w:val="20"/>
                <w:u w:val="single"/>
                <w:lang w:val="en-US"/>
              </w:rPr>
              <w:t>Glomeruluses</w:t>
            </w:r>
            <w:r w:rsidRPr="00872FD2">
              <w:rPr>
                <w:rFonts w:asciiTheme="minorHAnsi" w:eastAsiaTheme="minorHAnsi" w:hAnsiTheme="minorHAnsi" w:cs="Arial"/>
                <w:color w:val="000000"/>
                <w:sz w:val="20"/>
                <w:szCs w:val="20"/>
                <w:lang w:val="en-US"/>
              </w:rPr>
              <w:t xml:space="preserve"> </w:t>
            </w:r>
          </w:p>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 xml:space="preserve">d) </w:t>
            </w:r>
            <w:r w:rsidRPr="00872FD2">
              <w:rPr>
                <w:rFonts w:asciiTheme="minorHAnsi" w:eastAsiaTheme="minorHAnsi" w:hAnsiTheme="minorHAnsi" w:cs="Arial"/>
                <w:i/>
                <w:color w:val="000000"/>
                <w:sz w:val="20"/>
                <w:szCs w:val="20"/>
                <w:u w:val="single"/>
                <w:lang w:val="en-US"/>
              </w:rPr>
              <w:t xml:space="preserve">Organilia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e) I don’t know</w:t>
            </w: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w:t>
            </w:r>
            <w:r w:rsidRPr="00872FD2">
              <w:rPr>
                <w:rFonts w:asciiTheme="minorHAnsi" w:eastAsiaTheme="minorHAnsi" w:hAnsiTheme="minorHAnsi" w:cs="Arial"/>
                <w:color w:val="000000"/>
                <w:sz w:val="20"/>
                <w:szCs w:val="20"/>
                <w:lang w:val="en-US"/>
              </w:rPr>
              <w:t>Glomeruli</w:t>
            </w:r>
            <w:r w:rsidRPr="00872FD2">
              <w:rPr>
                <w:rFonts w:asciiTheme="minorHAnsi" w:eastAsiaTheme="minorHAnsi" w:hAnsiTheme="minorHAnsi" w:cs="Arial"/>
                <w:color w:val="000000"/>
                <w:sz w:val="20"/>
                <w:szCs w:val="20"/>
              </w:rPr>
              <w:t>»</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w:t>
            </w:r>
            <w:r w:rsidRPr="00872FD2">
              <w:rPr>
                <w:rFonts w:asciiTheme="minorHAnsi" w:eastAsiaTheme="minorHAnsi" w:hAnsiTheme="minorHAnsi" w:cs="Arial"/>
                <w:color w:val="000000"/>
                <w:sz w:val="20"/>
                <w:szCs w:val="20"/>
                <w:lang w:val="en-US"/>
              </w:rPr>
              <w:t>Organelles</w:t>
            </w:r>
            <w:r w:rsidRPr="00872FD2">
              <w:rPr>
                <w:rFonts w:asciiTheme="minorHAnsi" w:eastAsiaTheme="minorHAnsi" w:hAnsiTheme="minorHAnsi" w:cs="Arial"/>
                <w:color w:val="000000"/>
                <w:sz w:val="20"/>
                <w:szCs w:val="20"/>
              </w:rPr>
              <w:t>»</w:t>
            </w:r>
          </w:p>
        </w:tc>
      </w:tr>
      <w:tr w:rsidR="00DA4D22" w:rsidRPr="00872FD2" w:rsidTr="002568DB">
        <w:trPr>
          <w:cnfStyle w:val="000000100000"/>
        </w:trPr>
        <w:tc>
          <w:tcPr>
            <w:tcW w:w="2411" w:type="dxa"/>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In kidney failure, waste products in the blood build up to abnormal levels and this causes a condition called:</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Absorption</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(b) Uremia</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 Libido</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(d) Adaptation</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(e) Don’t know</w:t>
            </w:r>
          </w:p>
        </w:tc>
        <w:tc>
          <w:tcPr>
            <w:tcW w:w="2693" w:type="dxa"/>
            <w:gridSpan w:val="3"/>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Στη νεφρική ανεπάρκεια, τα τοξικά ( άχρηστα) προϊόντα αθροίζονται στο αίμα σε παθολογικά επίπεδα και το γεγονός αυτό προκαλεί </w:t>
            </w:r>
            <w:r w:rsidR="00817853">
              <w:rPr>
                <w:rFonts w:asciiTheme="minorHAnsi" w:eastAsiaTheme="minorHAnsi" w:hAnsiTheme="minorHAnsi" w:cs="Arial"/>
                <w:color w:val="000000"/>
                <w:sz w:val="20"/>
                <w:szCs w:val="20"/>
              </w:rPr>
              <w:t>μια</w:t>
            </w:r>
            <w:r w:rsidRPr="00872FD2">
              <w:rPr>
                <w:rFonts w:asciiTheme="minorHAnsi" w:eastAsiaTheme="minorHAnsi" w:hAnsiTheme="minorHAnsi" w:cs="Arial"/>
                <w:color w:val="000000"/>
                <w:sz w:val="20"/>
                <w:szCs w:val="20"/>
              </w:rPr>
              <w:t xml:space="preserve"> κατάσταση που ονομάζεται: </w:t>
            </w:r>
          </w:p>
          <w:p w:rsidR="00DA4D22" w:rsidRPr="00872FD2" w:rsidRDefault="00DA4D22" w:rsidP="00872FD2">
            <w:pPr>
              <w:pStyle w:val="a5"/>
              <w:numPr>
                <w:ilvl w:val="0"/>
                <w:numId w:val="72"/>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Απορρόφηση </w:t>
            </w:r>
          </w:p>
          <w:p w:rsidR="00DA4D22" w:rsidRPr="00872FD2" w:rsidRDefault="001D25F8" w:rsidP="00872FD2">
            <w:pPr>
              <w:pStyle w:val="a5"/>
              <w:numPr>
                <w:ilvl w:val="0"/>
                <w:numId w:val="72"/>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Ουραιμικό σύνδρομο</w:t>
            </w:r>
            <w:r w:rsidR="00DA4D22" w:rsidRPr="00872FD2">
              <w:rPr>
                <w:rFonts w:asciiTheme="minorHAnsi" w:eastAsiaTheme="minorHAnsi" w:hAnsiTheme="minorHAnsi" w:cs="Arial"/>
                <w:color w:val="000000"/>
                <w:sz w:val="20"/>
                <w:szCs w:val="20"/>
              </w:rPr>
              <w:t xml:space="preserve"> </w:t>
            </w:r>
          </w:p>
          <w:p w:rsidR="00DA4D22" w:rsidRPr="00872FD2" w:rsidRDefault="00DA4D22" w:rsidP="00872FD2">
            <w:pPr>
              <w:pStyle w:val="a5"/>
              <w:numPr>
                <w:ilvl w:val="0"/>
                <w:numId w:val="72"/>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Λίμπιντο </w:t>
            </w:r>
          </w:p>
          <w:p w:rsidR="00DA4D22" w:rsidRPr="00872FD2" w:rsidRDefault="00DA4D22" w:rsidP="00872FD2">
            <w:pPr>
              <w:pStyle w:val="a5"/>
              <w:numPr>
                <w:ilvl w:val="0"/>
                <w:numId w:val="72"/>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Προσαρμογή </w:t>
            </w:r>
          </w:p>
          <w:p w:rsidR="00DA4D22" w:rsidRPr="00872FD2" w:rsidRDefault="00DA4D22" w:rsidP="00872FD2">
            <w:pPr>
              <w:pStyle w:val="a5"/>
              <w:numPr>
                <w:ilvl w:val="0"/>
                <w:numId w:val="72"/>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Δεν ξέρω </w:t>
            </w:r>
          </w:p>
        </w:tc>
        <w:tc>
          <w:tcPr>
            <w:tcW w:w="2410" w:type="dxa"/>
          </w:tcPr>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 xml:space="preserve">In kidney failure, the levels of </w:t>
            </w:r>
            <w:r w:rsidRPr="00872FD2">
              <w:rPr>
                <w:rFonts w:asciiTheme="minorHAnsi" w:eastAsiaTheme="minorHAnsi" w:hAnsiTheme="minorHAnsi" w:cs="Arial"/>
                <w:i/>
                <w:color w:val="000000"/>
                <w:sz w:val="20"/>
                <w:szCs w:val="20"/>
                <w:u w:val="single"/>
                <w:lang w:val="en-US"/>
              </w:rPr>
              <w:t>useless substances</w:t>
            </w:r>
            <w:r w:rsidR="0078495A">
              <w:rPr>
                <w:rFonts w:asciiTheme="minorHAnsi" w:eastAsiaTheme="minorHAnsi" w:hAnsiTheme="minorHAnsi" w:cs="Arial"/>
                <w:color w:val="000000"/>
                <w:sz w:val="20"/>
                <w:szCs w:val="20"/>
                <w:lang w:val="en-US"/>
              </w:rPr>
              <w:t xml:space="preserve"> </w:t>
            </w:r>
            <w:r w:rsidRPr="00872FD2">
              <w:rPr>
                <w:rFonts w:asciiTheme="minorHAnsi" w:eastAsiaTheme="minorHAnsi" w:hAnsiTheme="minorHAnsi" w:cs="Arial"/>
                <w:color w:val="000000"/>
                <w:sz w:val="20"/>
                <w:szCs w:val="20"/>
                <w:lang w:val="en-US"/>
              </w:rPr>
              <w:t>in the blood exceed the normal levels and that causes a state which is called</w:t>
            </w:r>
          </w:p>
          <w:p w:rsidR="00DA4D22" w:rsidRPr="00872FD2" w:rsidRDefault="00DA4D22" w:rsidP="00872FD2">
            <w:pPr>
              <w:pStyle w:val="a5"/>
              <w:numPr>
                <w:ilvl w:val="0"/>
                <w:numId w:val="69"/>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Absorption</w:t>
            </w:r>
          </w:p>
          <w:p w:rsidR="00DA4D22" w:rsidRPr="00872FD2" w:rsidRDefault="00DA4D22" w:rsidP="00872FD2">
            <w:pPr>
              <w:pStyle w:val="a5"/>
              <w:numPr>
                <w:ilvl w:val="0"/>
                <w:numId w:val="69"/>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Uremia</w:t>
            </w:r>
          </w:p>
          <w:p w:rsidR="00DA4D22" w:rsidRPr="00872FD2" w:rsidRDefault="00DA4D22" w:rsidP="00872FD2">
            <w:pPr>
              <w:pStyle w:val="a5"/>
              <w:numPr>
                <w:ilvl w:val="0"/>
                <w:numId w:val="69"/>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Libido</w:t>
            </w:r>
          </w:p>
          <w:p w:rsidR="00DA4D22" w:rsidRPr="00872FD2" w:rsidRDefault="00DA4D22" w:rsidP="00872FD2">
            <w:pPr>
              <w:pStyle w:val="a5"/>
              <w:numPr>
                <w:ilvl w:val="0"/>
                <w:numId w:val="69"/>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Adaptation</w:t>
            </w:r>
          </w:p>
          <w:p w:rsidR="00DA4D22" w:rsidRPr="00872FD2" w:rsidRDefault="00DA4D22" w:rsidP="00872FD2">
            <w:pPr>
              <w:pStyle w:val="a5"/>
              <w:numPr>
                <w:ilvl w:val="0"/>
                <w:numId w:val="69"/>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 don’t know</w:t>
            </w:r>
          </w:p>
        </w:tc>
        <w:tc>
          <w:tcPr>
            <w:tcW w:w="1701" w:type="dxa"/>
          </w:tcPr>
          <w:p w:rsidR="00DA4D22" w:rsidRPr="00872FD2" w:rsidRDefault="00DA4D22" w:rsidP="00872FD2">
            <w:pPr>
              <w:spacing w:after="0" w:line="360" w:lineRule="auto"/>
              <w:rPr>
                <w:rFonts w:asciiTheme="minorHAnsi" w:eastAsiaTheme="minorHAnsi" w:hAnsiTheme="minorHAnsi" w:cs="Arial"/>
                <w:color w:val="000000"/>
                <w:sz w:val="20"/>
                <w:szCs w:val="20"/>
                <w:lang w:val="en-CA"/>
              </w:rPr>
            </w:pPr>
          </w:p>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w:t>
            </w:r>
            <w:r w:rsidRPr="00872FD2">
              <w:rPr>
                <w:rFonts w:asciiTheme="minorHAnsi" w:eastAsiaTheme="minorHAnsi" w:hAnsiTheme="minorHAnsi" w:cs="Arial"/>
                <w:color w:val="000000"/>
                <w:sz w:val="20"/>
                <w:szCs w:val="20"/>
                <w:lang w:val="en-CA"/>
              </w:rPr>
              <w:t>waste products</w:t>
            </w:r>
            <w:r w:rsidRPr="00872FD2">
              <w:rPr>
                <w:rFonts w:asciiTheme="minorHAnsi" w:eastAsiaTheme="minorHAnsi" w:hAnsiTheme="minorHAnsi" w:cs="Arial"/>
                <w:color w:val="000000"/>
                <w:sz w:val="20"/>
                <w:szCs w:val="20"/>
              </w:rPr>
              <w:t>»</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tc>
      </w:tr>
      <w:tr w:rsidR="00DA4D22" w:rsidRPr="00872FD2" w:rsidTr="002568DB">
        <w:trPr>
          <w:cnfStyle w:val="000000010000"/>
        </w:trPr>
        <w:tc>
          <w:tcPr>
            <w:tcW w:w="2411" w:type="dxa"/>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The artificial kidney is also called:</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Henle’s Loop</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(b) Transferrin</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 Bun</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(d) Dialyzer</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(e) Don’t know</w:t>
            </w:r>
          </w:p>
        </w:tc>
        <w:tc>
          <w:tcPr>
            <w:tcW w:w="2693" w:type="dxa"/>
            <w:gridSpan w:val="3"/>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Ο τεχνητός νεφρός λέγεται επίσης: </w:t>
            </w:r>
          </w:p>
          <w:p w:rsidR="00DA4D22" w:rsidRPr="00872FD2" w:rsidRDefault="00DA4D22" w:rsidP="00872FD2">
            <w:pPr>
              <w:pStyle w:val="a5"/>
              <w:numPr>
                <w:ilvl w:val="0"/>
                <w:numId w:val="71"/>
              </w:numPr>
              <w:spacing w:after="0" w:line="360" w:lineRule="auto"/>
              <w:ind w:left="36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Αγκύλη του Henle </w:t>
            </w:r>
          </w:p>
          <w:p w:rsidR="00DA4D22" w:rsidRPr="00872FD2" w:rsidRDefault="00DA4D22" w:rsidP="00872FD2">
            <w:pPr>
              <w:pStyle w:val="a5"/>
              <w:numPr>
                <w:ilvl w:val="0"/>
                <w:numId w:val="71"/>
              </w:numPr>
              <w:spacing w:after="0" w:line="360" w:lineRule="auto"/>
              <w:ind w:left="36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Τρανσφερίνη </w:t>
            </w:r>
          </w:p>
          <w:p w:rsidR="00DA4D22" w:rsidRPr="00872FD2" w:rsidRDefault="00DA4D22" w:rsidP="00872FD2">
            <w:pPr>
              <w:pStyle w:val="a5"/>
              <w:numPr>
                <w:ilvl w:val="0"/>
                <w:numId w:val="71"/>
              </w:numPr>
              <w:spacing w:after="0" w:line="360" w:lineRule="auto"/>
              <w:ind w:left="36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Άζωτο ουρίας αίματος</w:t>
            </w:r>
          </w:p>
          <w:p w:rsidR="00DA4D22" w:rsidRPr="00872FD2" w:rsidRDefault="00DA4D22" w:rsidP="00872FD2">
            <w:pPr>
              <w:pStyle w:val="a5"/>
              <w:numPr>
                <w:ilvl w:val="0"/>
                <w:numId w:val="71"/>
              </w:numPr>
              <w:spacing w:after="0" w:line="360" w:lineRule="auto"/>
              <w:ind w:left="36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Μηχάνημα </w:t>
            </w:r>
          </w:p>
          <w:p w:rsidR="002568DB" w:rsidRDefault="00DA4D22" w:rsidP="002568DB">
            <w:pPr>
              <w:pStyle w:val="a5"/>
              <w:spacing w:after="0" w:line="360" w:lineRule="auto"/>
              <w:ind w:left="36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Αιμοκάθαρσης</w:t>
            </w:r>
          </w:p>
          <w:p w:rsidR="00DA4D22" w:rsidRPr="002568DB" w:rsidRDefault="002568DB" w:rsidP="002568DB">
            <w:pPr>
              <w:spacing w:after="0" w:line="360" w:lineRule="auto"/>
              <w:rPr>
                <w:rFonts w:asciiTheme="minorHAnsi" w:eastAsiaTheme="minorHAnsi" w:hAnsiTheme="minorHAnsi" w:cs="Arial"/>
                <w:color w:val="000000"/>
                <w:sz w:val="20"/>
                <w:szCs w:val="20"/>
              </w:rPr>
            </w:pPr>
            <w:r>
              <w:rPr>
                <w:rFonts w:asciiTheme="minorHAnsi" w:eastAsiaTheme="minorHAnsi" w:hAnsiTheme="minorHAnsi" w:cs="Arial"/>
                <w:color w:val="000000"/>
                <w:sz w:val="20"/>
                <w:szCs w:val="20"/>
              </w:rPr>
              <w:t>5)</w:t>
            </w:r>
            <w:r w:rsidR="0078495A" w:rsidRPr="002568DB">
              <w:rPr>
                <w:rFonts w:asciiTheme="minorHAnsi" w:eastAsiaTheme="minorHAnsi" w:hAnsiTheme="minorHAnsi" w:cs="Arial"/>
                <w:color w:val="000000"/>
                <w:sz w:val="20"/>
                <w:szCs w:val="20"/>
              </w:rPr>
              <w:t xml:space="preserve"> </w:t>
            </w:r>
            <w:r>
              <w:rPr>
                <w:rFonts w:asciiTheme="minorHAnsi" w:eastAsiaTheme="minorHAnsi" w:hAnsiTheme="minorHAnsi" w:cs="Arial"/>
                <w:color w:val="000000"/>
                <w:sz w:val="20"/>
                <w:szCs w:val="20"/>
              </w:rPr>
              <w:t xml:space="preserve">  </w:t>
            </w:r>
            <w:r w:rsidR="00DA4D22" w:rsidRPr="002568DB">
              <w:rPr>
                <w:rFonts w:asciiTheme="minorHAnsi" w:eastAsiaTheme="minorHAnsi" w:hAnsiTheme="minorHAnsi" w:cs="Arial"/>
                <w:color w:val="000000"/>
                <w:sz w:val="20"/>
                <w:szCs w:val="20"/>
              </w:rPr>
              <w:t xml:space="preserve"> Δεν ξέρω</w:t>
            </w:r>
          </w:p>
        </w:tc>
        <w:tc>
          <w:tcPr>
            <w:tcW w:w="2410" w:type="dxa"/>
          </w:tcPr>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An artificial kidney is also called</w:t>
            </w:r>
          </w:p>
          <w:p w:rsidR="00DA4D22" w:rsidRPr="00872FD2" w:rsidRDefault="00DA4D22" w:rsidP="00872FD2">
            <w:pPr>
              <w:pStyle w:val="a5"/>
              <w:numPr>
                <w:ilvl w:val="0"/>
                <w:numId w:val="70"/>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Henle’s Loop</w:t>
            </w:r>
          </w:p>
          <w:p w:rsidR="00DA4D22" w:rsidRPr="00872FD2" w:rsidRDefault="00DA4D22" w:rsidP="00872FD2">
            <w:pPr>
              <w:pStyle w:val="a5"/>
              <w:numPr>
                <w:ilvl w:val="0"/>
                <w:numId w:val="70"/>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Transferrin</w:t>
            </w:r>
          </w:p>
          <w:p w:rsidR="00DA4D22" w:rsidRPr="00872FD2" w:rsidRDefault="00DA4D22" w:rsidP="00872FD2">
            <w:pPr>
              <w:pStyle w:val="a5"/>
              <w:numPr>
                <w:ilvl w:val="0"/>
                <w:numId w:val="70"/>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Urea</w:t>
            </w:r>
          </w:p>
          <w:p w:rsidR="00DA4D22" w:rsidRPr="00872FD2" w:rsidRDefault="00DA4D22" w:rsidP="00872FD2">
            <w:pPr>
              <w:pStyle w:val="a5"/>
              <w:numPr>
                <w:ilvl w:val="0"/>
                <w:numId w:val="70"/>
              </w:numPr>
              <w:spacing w:after="0" w:line="360" w:lineRule="auto"/>
              <w:rPr>
                <w:rFonts w:asciiTheme="minorHAnsi" w:eastAsiaTheme="minorHAnsi" w:hAnsiTheme="minorHAnsi" w:cs="Arial"/>
                <w:i/>
                <w:color w:val="000000"/>
                <w:sz w:val="20"/>
                <w:szCs w:val="20"/>
                <w:u w:val="single"/>
                <w:lang w:val="en-US"/>
              </w:rPr>
            </w:pPr>
            <w:r w:rsidRPr="00872FD2">
              <w:rPr>
                <w:rFonts w:asciiTheme="minorHAnsi" w:eastAsiaTheme="minorHAnsi" w:hAnsiTheme="minorHAnsi" w:cs="Arial"/>
                <w:i/>
                <w:color w:val="000000"/>
                <w:sz w:val="20"/>
                <w:szCs w:val="20"/>
                <w:u w:val="single"/>
                <w:lang w:val="en-US"/>
              </w:rPr>
              <w:t xml:space="preserve">Hemodialysis machine </w:t>
            </w:r>
          </w:p>
          <w:p w:rsidR="00DA4D22" w:rsidRPr="00872FD2" w:rsidRDefault="00DA4D22" w:rsidP="00872FD2">
            <w:pPr>
              <w:pStyle w:val="a5"/>
              <w:numPr>
                <w:ilvl w:val="0"/>
                <w:numId w:val="70"/>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 don’t know</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w:t>
            </w:r>
            <w:r w:rsidRPr="00872FD2">
              <w:rPr>
                <w:rFonts w:asciiTheme="minorHAnsi" w:eastAsiaTheme="minorHAnsi" w:hAnsiTheme="minorHAnsi" w:cs="Arial"/>
                <w:color w:val="000000"/>
                <w:sz w:val="20"/>
                <w:szCs w:val="20"/>
                <w:lang w:val="en-US"/>
              </w:rPr>
              <w:t>Dialyzer</w:t>
            </w:r>
            <w:r w:rsidRPr="00872FD2">
              <w:rPr>
                <w:rFonts w:asciiTheme="minorHAnsi" w:eastAsiaTheme="minorHAnsi" w:hAnsiTheme="minorHAnsi" w:cs="Arial"/>
                <w:color w:val="000000"/>
                <w:sz w:val="20"/>
                <w:szCs w:val="20"/>
              </w:rPr>
              <w:t>»</w:t>
            </w:r>
          </w:p>
        </w:tc>
      </w:tr>
      <w:tr w:rsidR="00DA4D22" w:rsidRPr="00872FD2" w:rsidTr="002568DB">
        <w:trPr>
          <w:cnfStyle w:val="000000100000"/>
        </w:trPr>
        <w:tc>
          <w:tcPr>
            <w:tcW w:w="2411" w:type="dxa"/>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 xml:space="preserve">A new type of dialysis for treating kidney disease is called CAPD. Which part of the body makes this type of dialysis possible? </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 xml:space="preserve">(a) Peritoneum </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(b) Bladder</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 Renal pelvis</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(d) Don’t know</w:t>
            </w:r>
          </w:p>
        </w:tc>
        <w:tc>
          <w:tcPr>
            <w:tcW w:w="2693" w:type="dxa"/>
            <w:gridSpan w:val="3"/>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Ένας νέος τύπος κάθαρσης για τη θεραπεία της νεφρικής νόσου λέγεται Συνεχής Φορητή Περιτοναϊκή Κάθαρση (ΣΦΠΚ). Ποιο μέρος του σώματος μπορεί να κάνει αυτόν τον τύπο κάθαρσης; </w:t>
            </w:r>
          </w:p>
          <w:p w:rsidR="00DA4D22" w:rsidRPr="00872FD2" w:rsidRDefault="00DA4D22" w:rsidP="00872FD2">
            <w:pPr>
              <w:pStyle w:val="a5"/>
              <w:numPr>
                <w:ilvl w:val="0"/>
                <w:numId w:val="74"/>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Το περιτόναιο </w:t>
            </w:r>
          </w:p>
          <w:p w:rsidR="00DA4D22" w:rsidRPr="00872FD2" w:rsidRDefault="00DA4D22" w:rsidP="00872FD2">
            <w:pPr>
              <w:pStyle w:val="a5"/>
              <w:numPr>
                <w:ilvl w:val="0"/>
                <w:numId w:val="74"/>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Η ουροδόχος κύστη </w:t>
            </w:r>
          </w:p>
          <w:p w:rsidR="00DA4D22" w:rsidRPr="00872FD2" w:rsidRDefault="00DA4D22" w:rsidP="00872FD2">
            <w:pPr>
              <w:pStyle w:val="a5"/>
              <w:numPr>
                <w:ilvl w:val="0"/>
                <w:numId w:val="74"/>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Η νεφρική πύελος </w:t>
            </w:r>
          </w:p>
          <w:p w:rsidR="00DA4D22" w:rsidRPr="00872FD2" w:rsidRDefault="00DA4D22" w:rsidP="00872FD2">
            <w:pPr>
              <w:pStyle w:val="a5"/>
              <w:numPr>
                <w:ilvl w:val="0"/>
                <w:numId w:val="74"/>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Δεν ξέρω</w:t>
            </w:r>
          </w:p>
        </w:tc>
        <w:tc>
          <w:tcPr>
            <w:tcW w:w="2410" w:type="dxa"/>
          </w:tcPr>
          <w:p w:rsidR="00DA4D22" w:rsidRPr="00872FD2" w:rsidRDefault="00DA4D22" w:rsidP="00872FD2">
            <w:pPr>
              <w:spacing w:after="0" w:line="360" w:lineRule="auto"/>
              <w:contextualSpacing/>
              <w:jc w:val="both"/>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GB"/>
              </w:rPr>
              <w:t xml:space="preserve">One way to treat renal disease is </w:t>
            </w:r>
            <w:r w:rsidRPr="00872FD2">
              <w:rPr>
                <w:rFonts w:asciiTheme="minorHAnsi" w:eastAsiaTheme="minorHAnsi" w:hAnsiTheme="minorHAnsi" w:cs="Arial"/>
                <w:i/>
                <w:color w:val="000000"/>
                <w:sz w:val="20"/>
                <w:szCs w:val="20"/>
                <w:lang w:val="en-GB"/>
              </w:rPr>
              <w:t xml:space="preserve">peritoneal dialysis. </w:t>
            </w:r>
            <w:r w:rsidRPr="00872FD2">
              <w:rPr>
                <w:rFonts w:asciiTheme="minorHAnsi" w:eastAsiaTheme="minorHAnsi" w:hAnsiTheme="minorHAnsi" w:cs="Arial"/>
                <w:color w:val="000000"/>
                <w:sz w:val="20"/>
                <w:szCs w:val="20"/>
                <w:lang w:val="en-GB"/>
              </w:rPr>
              <w:t>On which part of the body is this procedure done</w:t>
            </w:r>
          </w:p>
          <w:p w:rsidR="00DA4D22" w:rsidRPr="00872FD2" w:rsidRDefault="00DA4D22" w:rsidP="00872FD2">
            <w:pPr>
              <w:spacing w:after="0" w:line="360" w:lineRule="auto"/>
              <w:contextualSpacing/>
              <w:jc w:val="both"/>
              <w:rPr>
                <w:rFonts w:asciiTheme="minorHAnsi" w:eastAsiaTheme="minorHAnsi" w:hAnsiTheme="minorHAnsi" w:cs="Arial"/>
                <w:color w:val="000000"/>
                <w:sz w:val="20"/>
                <w:szCs w:val="20"/>
                <w:lang w:val="en-US"/>
              </w:rPr>
            </w:pPr>
          </w:p>
          <w:p w:rsidR="00DA4D22" w:rsidRPr="00872FD2" w:rsidRDefault="00DA4D22" w:rsidP="00872FD2">
            <w:pPr>
              <w:spacing w:after="0" w:line="360" w:lineRule="auto"/>
              <w:contextualSpacing/>
              <w:jc w:val="both"/>
              <w:rPr>
                <w:rFonts w:asciiTheme="minorHAnsi" w:eastAsiaTheme="minorHAnsi" w:hAnsiTheme="minorHAnsi" w:cs="Arial"/>
                <w:color w:val="000000"/>
                <w:sz w:val="20"/>
                <w:szCs w:val="20"/>
                <w:lang w:val="en-US"/>
              </w:rPr>
            </w:pPr>
          </w:p>
          <w:p w:rsidR="00DA4D22" w:rsidRPr="00872FD2" w:rsidRDefault="00DA4D22" w:rsidP="00872FD2">
            <w:pPr>
              <w:spacing w:after="0" w:line="360" w:lineRule="auto"/>
              <w:contextualSpacing/>
              <w:jc w:val="both"/>
              <w:rPr>
                <w:rFonts w:asciiTheme="minorHAnsi" w:eastAsiaTheme="minorHAnsi" w:hAnsiTheme="minorHAnsi" w:cs="Arial"/>
                <w:color w:val="000000"/>
                <w:sz w:val="20"/>
                <w:szCs w:val="20"/>
                <w:lang w:val="en-GB"/>
              </w:rPr>
            </w:pPr>
            <w:r w:rsidRPr="00872FD2">
              <w:rPr>
                <w:rFonts w:asciiTheme="minorHAnsi" w:eastAsiaTheme="minorHAnsi" w:hAnsiTheme="minorHAnsi" w:cs="Arial"/>
                <w:color w:val="000000"/>
                <w:sz w:val="20"/>
                <w:szCs w:val="20"/>
                <w:lang w:val="en-GB"/>
              </w:rPr>
              <w:t>a) The peritoneum</w:t>
            </w:r>
          </w:p>
          <w:p w:rsidR="00DA4D22" w:rsidRPr="00872FD2" w:rsidRDefault="00DA4D22" w:rsidP="00872FD2">
            <w:pPr>
              <w:spacing w:after="0" w:line="360" w:lineRule="auto"/>
              <w:contextualSpacing/>
              <w:rPr>
                <w:rFonts w:asciiTheme="minorHAnsi" w:eastAsiaTheme="minorHAnsi" w:hAnsiTheme="minorHAnsi" w:cs="Arial"/>
                <w:color w:val="000000"/>
                <w:sz w:val="20"/>
                <w:szCs w:val="20"/>
                <w:lang w:val="en-GB"/>
              </w:rPr>
            </w:pPr>
            <w:r w:rsidRPr="00872FD2">
              <w:rPr>
                <w:rFonts w:asciiTheme="minorHAnsi" w:eastAsiaTheme="minorHAnsi" w:hAnsiTheme="minorHAnsi" w:cs="Arial"/>
                <w:color w:val="000000"/>
                <w:sz w:val="20"/>
                <w:szCs w:val="20"/>
                <w:lang w:val="en-GB"/>
              </w:rPr>
              <w:t xml:space="preserve">b)The </w:t>
            </w:r>
            <w:r w:rsidRPr="00872FD2">
              <w:rPr>
                <w:rFonts w:asciiTheme="minorHAnsi" w:eastAsiaTheme="minorHAnsi" w:hAnsiTheme="minorHAnsi" w:cs="Arial"/>
                <w:i/>
                <w:color w:val="000000"/>
                <w:sz w:val="20"/>
                <w:szCs w:val="20"/>
                <w:u w:val="single"/>
                <w:lang w:val="en-GB"/>
              </w:rPr>
              <w:t>urinary</w:t>
            </w:r>
            <w:r w:rsidRPr="00872FD2">
              <w:rPr>
                <w:rFonts w:asciiTheme="minorHAnsi" w:eastAsiaTheme="minorHAnsi" w:hAnsiTheme="minorHAnsi" w:cs="Arial"/>
                <w:color w:val="000000"/>
                <w:sz w:val="20"/>
                <w:szCs w:val="20"/>
                <w:lang w:val="en-GB"/>
              </w:rPr>
              <w:t xml:space="preserve"> bladder</w:t>
            </w:r>
          </w:p>
          <w:p w:rsidR="00DA4D22" w:rsidRPr="00872FD2" w:rsidRDefault="00DA4D22" w:rsidP="00872FD2">
            <w:pPr>
              <w:spacing w:after="0" w:line="360" w:lineRule="auto"/>
              <w:contextualSpacing/>
              <w:jc w:val="both"/>
              <w:rPr>
                <w:rFonts w:asciiTheme="minorHAnsi" w:eastAsiaTheme="minorHAnsi" w:hAnsiTheme="minorHAnsi" w:cs="Arial"/>
                <w:color w:val="000000"/>
                <w:sz w:val="20"/>
                <w:szCs w:val="20"/>
                <w:lang w:val="en-GB"/>
              </w:rPr>
            </w:pPr>
            <w:r w:rsidRPr="00872FD2">
              <w:rPr>
                <w:rFonts w:asciiTheme="minorHAnsi" w:eastAsiaTheme="minorHAnsi" w:hAnsiTheme="minorHAnsi" w:cs="Arial"/>
                <w:color w:val="000000"/>
                <w:sz w:val="20"/>
                <w:szCs w:val="20"/>
                <w:lang w:val="en-GB"/>
              </w:rPr>
              <w:t>c) The renal pelvis</w:t>
            </w:r>
          </w:p>
          <w:p w:rsidR="00DA4D22" w:rsidRPr="00872FD2" w:rsidRDefault="00DA4D22" w:rsidP="00872FD2">
            <w:pPr>
              <w:spacing w:after="0" w:line="360" w:lineRule="auto"/>
              <w:contextualSpacing/>
              <w:jc w:val="both"/>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GB"/>
              </w:rPr>
              <w:t>d) I don’t know</w:t>
            </w:r>
          </w:p>
        </w:tc>
        <w:tc>
          <w:tcPr>
            <w:tcW w:w="1701" w:type="dxa"/>
          </w:tcPr>
          <w:p w:rsidR="00DA4D22" w:rsidRPr="00872FD2" w:rsidRDefault="00DA4D22" w:rsidP="00872FD2">
            <w:pPr>
              <w:spacing w:after="0" w:line="360" w:lineRule="auto"/>
              <w:rPr>
                <w:rFonts w:asciiTheme="minorHAnsi" w:eastAsiaTheme="minorHAnsi" w:hAnsiTheme="minorHAnsi" w:cs="Arial"/>
                <w:color w:val="000000"/>
                <w:sz w:val="20"/>
                <w:szCs w:val="20"/>
                <w:lang w:val="en-CA"/>
              </w:rPr>
            </w:pPr>
          </w:p>
          <w:p w:rsidR="00DA4D22" w:rsidRPr="00872FD2" w:rsidRDefault="00DA4D22" w:rsidP="00872FD2">
            <w:p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w:t>
            </w:r>
            <w:r w:rsidRPr="00872FD2">
              <w:rPr>
                <w:rFonts w:asciiTheme="minorHAnsi" w:eastAsiaTheme="minorHAnsi" w:hAnsiTheme="minorHAnsi" w:cs="Arial"/>
                <w:color w:val="000000"/>
                <w:sz w:val="20"/>
                <w:szCs w:val="20"/>
                <w:lang w:val="en-CA"/>
              </w:rPr>
              <w:t>CAPD</w:t>
            </w:r>
            <w:r w:rsidRPr="00872FD2">
              <w:rPr>
                <w:rFonts w:asciiTheme="minorHAnsi" w:eastAsiaTheme="minorHAnsi" w:hAnsiTheme="minorHAnsi" w:cs="Arial"/>
                <w:color w:val="000000"/>
                <w:sz w:val="20"/>
                <w:szCs w:val="20"/>
              </w:rPr>
              <w:t>»</w:t>
            </w:r>
          </w:p>
          <w:p w:rsidR="00DA4D22" w:rsidRPr="00872FD2" w:rsidRDefault="00DA4D22" w:rsidP="00872FD2">
            <w:pPr>
              <w:pStyle w:val="a5"/>
              <w:spacing w:after="0" w:line="360" w:lineRule="auto"/>
              <w:ind w:left="0"/>
              <w:rPr>
                <w:rFonts w:asciiTheme="minorHAnsi" w:eastAsiaTheme="minorHAnsi" w:hAnsiTheme="minorHAnsi" w:cs="Arial"/>
                <w:strike/>
                <w:color w:val="000000"/>
                <w:sz w:val="20"/>
                <w:szCs w:val="20"/>
                <w:lang w:val="en-GB"/>
              </w:rPr>
            </w:pPr>
          </w:p>
          <w:p w:rsidR="00DA4D22" w:rsidRPr="00872FD2" w:rsidRDefault="00DA4D22" w:rsidP="00872FD2">
            <w:pPr>
              <w:pStyle w:val="a5"/>
              <w:spacing w:after="0" w:line="360" w:lineRule="auto"/>
              <w:ind w:left="0"/>
              <w:rPr>
                <w:rFonts w:asciiTheme="minorHAnsi" w:eastAsiaTheme="minorHAnsi" w:hAnsiTheme="minorHAnsi" w:cs="Arial"/>
                <w:strike/>
                <w:color w:val="000000"/>
                <w:sz w:val="20"/>
                <w:szCs w:val="20"/>
                <w:lang w:val="en-GB"/>
              </w:rPr>
            </w:pPr>
          </w:p>
          <w:p w:rsidR="00DA4D22" w:rsidRPr="00872FD2" w:rsidRDefault="00DA4D22" w:rsidP="00872FD2">
            <w:pPr>
              <w:pStyle w:val="a5"/>
              <w:spacing w:after="0" w:line="360" w:lineRule="auto"/>
              <w:ind w:left="0"/>
              <w:rPr>
                <w:rFonts w:asciiTheme="minorHAnsi" w:eastAsiaTheme="minorHAnsi" w:hAnsiTheme="minorHAnsi" w:cs="Arial"/>
                <w:strike/>
                <w:color w:val="000000"/>
                <w:sz w:val="20"/>
                <w:szCs w:val="20"/>
                <w:lang w:val="en-GB"/>
              </w:rPr>
            </w:pPr>
          </w:p>
          <w:p w:rsidR="00DA4D22" w:rsidRPr="00872FD2" w:rsidRDefault="00DA4D22" w:rsidP="00872FD2">
            <w:pPr>
              <w:pStyle w:val="a5"/>
              <w:spacing w:after="0" w:line="360" w:lineRule="auto"/>
              <w:ind w:left="0"/>
              <w:rPr>
                <w:rFonts w:asciiTheme="minorHAnsi" w:eastAsiaTheme="minorHAnsi" w:hAnsiTheme="minorHAnsi" w:cs="Arial"/>
                <w:strike/>
                <w:color w:val="000000"/>
                <w:sz w:val="20"/>
                <w:szCs w:val="20"/>
                <w:lang w:val="en-GB"/>
              </w:rPr>
            </w:pPr>
          </w:p>
          <w:p w:rsidR="00DA4D22" w:rsidRPr="00872FD2" w:rsidRDefault="00DA4D22" w:rsidP="00872FD2">
            <w:pPr>
              <w:pStyle w:val="a5"/>
              <w:spacing w:after="0" w:line="360" w:lineRule="auto"/>
              <w:ind w:left="0"/>
              <w:rPr>
                <w:rFonts w:asciiTheme="minorHAnsi" w:eastAsiaTheme="minorHAnsi" w:hAnsiTheme="minorHAnsi" w:cs="Arial"/>
                <w:strike/>
                <w:color w:val="000000"/>
                <w:sz w:val="20"/>
                <w:szCs w:val="20"/>
                <w:lang w:val="en-GB"/>
              </w:rPr>
            </w:pPr>
          </w:p>
          <w:p w:rsidR="00DA4D22" w:rsidRPr="00872FD2" w:rsidRDefault="00DA4D22" w:rsidP="00872FD2">
            <w:pPr>
              <w:pStyle w:val="a5"/>
              <w:spacing w:after="0" w:line="360" w:lineRule="auto"/>
              <w:ind w:left="0"/>
              <w:rPr>
                <w:rFonts w:asciiTheme="minorHAnsi" w:eastAsiaTheme="minorHAnsi" w:hAnsiTheme="minorHAnsi" w:cs="Arial"/>
                <w:strike/>
                <w:color w:val="000000"/>
                <w:sz w:val="20"/>
                <w:szCs w:val="20"/>
                <w:lang w:val="en-GB"/>
              </w:rPr>
            </w:pPr>
          </w:p>
          <w:p w:rsidR="00DA4D22" w:rsidRPr="00872FD2" w:rsidRDefault="00DA4D22" w:rsidP="00872FD2">
            <w:pPr>
              <w:pStyle w:val="a5"/>
              <w:spacing w:after="0" w:line="360" w:lineRule="auto"/>
              <w:ind w:left="0"/>
              <w:rPr>
                <w:rFonts w:asciiTheme="minorHAnsi" w:eastAsiaTheme="minorHAnsi" w:hAnsiTheme="minorHAnsi" w:cs="Arial"/>
                <w:strike/>
                <w:color w:val="000000"/>
                <w:sz w:val="20"/>
                <w:szCs w:val="20"/>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strike/>
                <w:color w:val="000000"/>
                <w:sz w:val="20"/>
                <w:szCs w:val="20"/>
              </w:rPr>
              <w:t>«</w:t>
            </w:r>
            <w:r w:rsidRPr="00872FD2">
              <w:rPr>
                <w:rFonts w:asciiTheme="minorHAnsi" w:eastAsiaTheme="minorHAnsi" w:hAnsiTheme="minorHAnsi" w:cs="Arial"/>
                <w:strike/>
                <w:color w:val="000000"/>
                <w:sz w:val="20"/>
                <w:szCs w:val="20"/>
                <w:lang w:val="en-US"/>
              </w:rPr>
              <w:t>U</w:t>
            </w:r>
            <w:r w:rsidRPr="00872FD2">
              <w:rPr>
                <w:rFonts w:asciiTheme="minorHAnsi" w:eastAsiaTheme="minorHAnsi" w:hAnsiTheme="minorHAnsi" w:cs="Arial"/>
                <w:strike/>
                <w:color w:val="000000"/>
                <w:sz w:val="20"/>
                <w:szCs w:val="20"/>
                <w:lang w:val="en-GB"/>
              </w:rPr>
              <w:t>rinary</w:t>
            </w:r>
            <w:r w:rsidRPr="00872FD2">
              <w:rPr>
                <w:rFonts w:asciiTheme="minorHAnsi" w:eastAsiaTheme="minorHAnsi" w:hAnsiTheme="minorHAnsi" w:cs="Arial"/>
                <w:strike/>
                <w:color w:val="000000"/>
                <w:sz w:val="20"/>
                <w:szCs w:val="20"/>
              </w:rPr>
              <w:t>»</w:t>
            </w:r>
          </w:p>
        </w:tc>
      </w:tr>
      <w:tr w:rsidR="00DA4D22" w:rsidRPr="00872FD2" w:rsidTr="002568DB">
        <w:trPr>
          <w:cnfStyle w:val="000000010000"/>
        </w:trPr>
        <w:tc>
          <w:tcPr>
            <w:tcW w:w="2411" w:type="dxa"/>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Patients with kidney disease are told not to eat salty foods because salt has a lot of:</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pStyle w:val="a5"/>
              <w:numPr>
                <w:ilvl w:val="0"/>
                <w:numId w:val="76"/>
              </w:numPr>
              <w:autoSpaceDE w:val="0"/>
              <w:autoSpaceDN w:val="0"/>
              <w:adjustRightInd w:val="0"/>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lang w:val="en-US"/>
              </w:rPr>
              <w:t xml:space="preserve">Potassium </w:t>
            </w:r>
          </w:p>
          <w:p w:rsidR="00DA4D22" w:rsidRPr="00872FD2" w:rsidRDefault="00DA4D22" w:rsidP="00872FD2">
            <w:pPr>
              <w:pStyle w:val="a5"/>
              <w:numPr>
                <w:ilvl w:val="0"/>
                <w:numId w:val="76"/>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Sodium</w:t>
            </w:r>
          </w:p>
          <w:p w:rsidR="00DA4D22" w:rsidRPr="00872FD2" w:rsidRDefault="00DA4D22" w:rsidP="00872FD2">
            <w:pPr>
              <w:pStyle w:val="a5"/>
              <w:numPr>
                <w:ilvl w:val="0"/>
                <w:numId w:val="76"/>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 xml:space="preserve">Calcium </w:t>
            </w:r>
          </w:p>
          <w:p w:rsidR="00DA4D22" w:rsidRPr="00872FD2" w:rsidRDefault="00DA4D22" w:rsidP="00872FD2">
            <w:pPr>
              <w:pStyle w:val="a5"/>
              <w:numPr>
                <w:ilvl w:val="0"/>
                <w:numId w:val="76"/>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Don’t know</w:t>
            </w:r>
          </w:p>
        </w:tc>
        <w:tc>
          <w:tcPr>
            <w:tcW w:w="2693" w:type="dxa"/>
            <w:gridSpan w:val="3"/>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Στους ασθενείς με νεφρική νόσο λένε να μην τρώνε αλμυρά φαγητά διότι το αλάτι έχει πολύ: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p>
          <w:p w:rsidR="00DA4D22" w:rsidRPr="00872FD2" w:rsidRDefault="00DA4D22" w:rsidP="00872FD2">
            <w:pPr>
              <w:pStyle w:val="a5"/>
              <w:numPr>
                <w:ilvl w:val="0"/>
                <w:numId w:val="75"/>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Κάλιο </w:t>
            </w:r>
          </w:p>
          <w:p w:rsidR="00DA4D22" w:rsidRPr="00872FD2" w:rsidRDefault="00DA4D22" w:rsidP="00872FD2">
            <w:pPr>
              <w:pStyle w:val="a5"/>
              <w:numPr>
                <w:ilvl w:val="0"/>
                <w:numId w:val="75"/>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Νάτριο </w:t>
            </w:r>
          </w:p>
          <w:p w:rsidR="00DA4D22" w:rsidRPr="00872FD2" w:rsidRDefault="00DA4D22" w:rsidP="00872FD2">
            <w:pPr>
              <w:pStyle w:val="a5"/>
              <w:numPr>
                <w:ilvl w:val="0"/>
                <w:numId w:val="75"/>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Ασβέστιο </w:t>
            </w:r>
          </w:p>
          <w:p w:rsidR="00DA4D22" w:rsidRPr="00872FD2" w:rsidRDefault="00DA4D22" w:rsidP="00872FD2">
            <w:pPr>
              <w:pStyle w:val="a5"/>
              <w:numPr>
                <w:ilvl w:val="0"/>
                <w:numId w:val="75"/>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Δεν ξέρω</w:t>
            </w:r>
          </w:p>
        </w:tc>
        <w:tc>
          <w:tcPr>
            <w:tcW w:w="2410" w:type="dxa"/>
          </w:tcPr>
          <w:p w:rsidR="00DA4D22" w:rsidRPr="00872FD2" w:rsidRDefault="00DA4D22" w:rsidP="00872FD2">
            <w:pPr>
              <w:spacing w:after="0" w:line="360" w:lineRule="auto"/>
              <w:contextualSpacing/>
              <w:rPr>
                <w:rFonts w:asciiTheme="minorHAnsi" w:eastAsiaTheme="minorHAnsi" w:hAnsiTheme="minorHAnsi" w:cs="Arial"/>
                <w:color w:val="000000"/>
                <w:sz w:val="20"/>
                <w:szCs w:val="20"/>
                <w:lang w:val="en-GB"/>
              </w:rPr>
            </w:pPr>
            <w:r w:rsidRPr="00872FD2">
              <w:rPr>
                <w:rFonts w:asciiTheme="minorHAnsi" w:eastAsiaTheme="minorHAnsi" w:hAnsiTheme="minorHAnsi" w:cs="Arial"/>
                <w:color w:val="000000"/>
                <w:sz w:val="20"/>
                <w:szCs w:val="20"/>
                <w:lang w:val="en-GB"/>
              </w:rPr>
              <w:t xml:space="preserve">Patients suffering from renal disease are advised not to consume </w:t>
            </w:r>
            <w:r w:rsidRPr="00872FD2">
              <w:rPr>
                <w:rFonts w:asciiTheme="minorHAnsi" w:eastAsiaTheme="minorHAnsi" w:hAnsiTheme="minorHAnsi" w:cs="Arial"/>
                <w:i/>
                <w:color w:val="000000"/>
                <w:sz w:val="20"/>
                <w:szCs w:val="20"/>
                <w:u w:val="single"/>
                <w:lang w:val="en-GB"/>
              </w:rPr>
              <w:t xml:space="preserve">food with salt in it </w:t>
            </w:r>
            <w:r w:rsidRPr="00872FD2">
              <w:rPr>
                <w:rFonts w:asciiTheme="minorHAnsi" w:eastAsiaTheme="minorHAnsi" w:hAnsiTheme="minorHAnsi" w:cs="Arial"/>
                <w:color w:val="000000"/>
                <w:sz w:val="20"/>
                <w:szCs w:val="20"/>
                <w:lang w:val="en-GB"/>
              </w:rPr>
              <w:t>because salt contains too much</w:t>
            </w:r>
          </w:p>
          <w:p w:rsidR="00DA4D22" w:rsidRPr="00872FD2" w:rsidRDefault="00DA4D22" w:rsidP="00872FD2">
            <w:pPr>
              <w:spacing w:after="0" w:line="360" w:lineRule="auto"/>
              <w:contextualSpacing/>
              <w:jc w:val="both"/>
              <w:rPr>
                <w:rFonts w:asciiTheme="minorHAnsi" w:eastAsiaTheme="minorHAnsi" w:hAnsiTheme="minorHAnsi" w:cs="Arial"/>
                <w:color w:val="000000"/>
                <w:sz w:val="20"/>
                <w:szCs w:val="20"/>
                <w:lang w:val="en-GB"/>
              </w:rPr>
            </w:pPr>
            <w:r w:rsidRPr="00872FD2">
              <w:rPr>
                <w:rFonts w:asciiTheme="minorHAnsi" w:eastAsiaTheme="minorHAnsi" w:hAnsiTheme="minorHAnsi" w:cs="Arial"/>
                <w:color w:val="000000"/>
                <w:sz w:val="20"/>
                <w:szCs w:val="20"/>
                <w:lang w:val="en-GB"/>
              </w:rPr>
              <w:t xml:space="preserve">a) Potassium </w:t>
            </w:r>
          </w:p>
          <w:p w:rsidR="00DA4D22" w:rsidRPr="00872FD2" w:rsidRDefault="00DA4D22" w:rsidP="00872FD2">
            <w:pPr>
              <w:spacing w:after="0" w:line="360" w:lineRule="auto"/>
              <w:contextualSpacing/>
              <w:jc w:val="both"/>
              <w:rPr>
                <w:rFonts w:asciiTheme="minorHAnsi" w:eastAsiaTheme="minorHAnsi" w:hAnsiTheme="minorHAnsi" w:cs="Arial"/>
                <w:color w:val="000000"/>
                <w:sz w:val="20"/>
                <w:szCs w:val="20"/>
                <w:lang w:val="en-GB"/>
              </w:rPr>
            </w:pPr>
            <w:r w:rsidRPr="00872FD2">
              <w:rPr>
                <w:rFonts w:asciiTheme="minorHAnsi" w:eastAsiaTheme="minorHAnsi" w:hAnsiTheme="minorHAnsi" w:cs="Arial"/>
                <w:color w:val="000000"/>
                <w:sz w:val="20"/>
                <w:szCs w:val="20"/>
                <w:lang w:val="en-GB"/>
              </w:rPr>
              <w:t xml:space="preserve">b) Sodium </w:t>
            </w:r>
          </w:p>
          <w:p w:rsidR="00DA4D22" w:rsidRPr="00872FD2" w:rsidRDefault="00DA4D22" w:rsidP="00872FD2">
            <w:pPr>
              <w:spacing w:after="0" w:line="360" w:lineRule="auto"/>
              <w:contextualSpacing/>
              <w:jc w:val="both"/>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GB"/>
              </w:rPr>
              <w:t>c</w:t>
            </w:r>
            <w:r w:rsidRPr="00872FD2">
              <w:rPr>
                <w:rFonts w:asciiTheme="minorHAnsi" w:eastAsiaTheme="minorHAnsi" w:hAnsiTheme="minorHAnsi" w:cs="Arial"/>
                <w:color w:val="000000"/>
                <w:sz w:val="20"/>
                <w:szCs w:val="20"/>
                <w:lang w:val="en-US"/>
              </w:rPr>
              <w:t xml:space="preserve">) </w:t>
            </w:r>
            <w:r w:rsidRPr="00872FD2">
              <w:rPr>
                <w:rFonts w:asciiTheme="minorHAnsi" w:eastAsiaTheme="minorHAnsi" w:hAnsiTheme="minorHAnsi" w:cs="Arial"/>
                <w:color w:val="000000"/>
                <w:sz w:val="20"/>
                <w:szCs w:val="20"/>
                <w:lang w:val="en-GB"/>
              </w:rPr>
              <w:t>Calcium</w:t>
            </w:r>
          </w:p>
          <w:p w:rsidR="00DA4D22" w:rsidRPr="00872FD2" w:rsidRDefault="00DA4D22" w:rsidP="00872FD2">
            <w:pPr>
              <w:spacing w:after="0" w:line="360" w:lineRule="auto"/>
              <w:contextualSpacing/>
              <w:jc w:val="both"/>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lang w:val="en-GB"/>
              </w:rPr>
              <w:t>d</w:t>
            </w:r>
            <w:r w:rsidRPr="00872FD2">
              <w:rPr>
                <w:rFonts w:asciiTheme="minorHAnsi" w:eastAsiaTheme="minorHAnsi" w:hAnsiTheme="minorHAnsi" w:cs="Arial"/>
                <w:color w:val="000000"/>
                <w:sz w:val="20"/>
                <w:szCs w:val="20"/>
              </w:rPr>
              <w:t xml:space="preserve">) </w:t>
            </w:r>
            <w:r w:rsidRPr="00872FD2">
              <w:rPr>
                <w:rFonts w:asciiTheme="minorHAnsi" w:eastAsiaTheme="minorHAnsi" w:hAnsiTheme="minorHAnsi" w:cs="Arial"/>
                <w:color w:val="000000"/>
                <w:sz w:val="20"/>
                <w:szCs w:val="20"/>
                <w:lang w:val="en-GB"/>
              </w:rPr>
              <w:t>I don’t know</w:t>
            </w: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w:t>
            </w:r>
            <w:r w:rsidRPr="00872FD2">
              <w:rPr>
                <w:rFonts w:asciiTheme="minorHAnsi" w:eastAsiaTheme="minorHAnsi" w:hAnsiTheme="minorHAnsi" w:cs="Arial"/>
                <w:color w:val="000000"/>
                <w:sz w:val="20"/>
                <w:szCs w:val="20"/>
                <w:lang w:val="en-US"/>
              </w:rPr>
              <w:t>salty foods</w:t>
            </w:r>
            <w:r w:rsidRPr="00872FD2">
              <w:rPr>
                <w:rFonts w:asciiTheme="minorHAnsi" w:eastAsiaTheme="minorHAnsi" w:hAnsiTheme="minorHAnsi" w:cs="Arial"/>
                <w:color w:val="000000"/>
                <w:sz w:val="20"/>
                <w:szCs w:val="20"/>
              </w:rPr>
              <w:t>»</w:t>
            </w:r>
          </w:p>
        </w:tc>
      </w:tr>
      <w:tr w:rsidR="00DA4D22" w:rsidRPr="00872FD2" w:rsidTr="002568DB">
        <w:trPr>
          <w:cnfStyle w:val="000000100000"/>
        </w:trPr>
        <w:tc>
          <w:tcPr>
            <w:tcW w:w="2411" w:type="dxa"/>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Immunosuppressive drugs are given to transplant</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lang w:val="en-US"/>
              </w:rPr>
              <w:t>patients in order to:</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rPr>
            </w:pPr>
          </w:p>
          <w:p w:rsidR="00DA4D22" w:rsidRPr="00872FD2" w:rsidRDefault="00DA4D22" w:rsidP="00872FD2">
            <w:pPr>
              <w:pStyle w:val="a5"/>
              <w:numPr>
                <w:ilvl w:val="0"/>
                <w:numId w:val="79"/>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Prevent and treat rejection of the kidney graft.</w:t>
            </w:r>
          </w:p>
          <w:p w:rsidR="00DA4D22" w:rsidRPr="00872FD2" w:rsidRDefault="00DA4D22" w:rsidP="00872FD2">
            <w:pPr>
              <w:pStyle w:val="a5"/>
              <w:numPr>
                <w:ilvl w:val="0"/>
                <w:numId w:val="79"/>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Treat blood clotting in the new kidney.</w:t>
            </w:r>
          </w:p>
          <w:p w:rsidR="00DA4D22" w:rsidRPr="00872FD2" w:rsidRDefault="00DA4D22" w:rsidP="00872FD2">
            <w:pPr>
              <w:pStyle w:val="a5"/>
              <w:numPr>
                <w:ilvl w:val="0"/>
                <w:numId w:val="79"/>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Prevent infection of the kidney by virus or</w:t>
            </w:r>
          </w:p>
          <w:p w:rsidR="00DA4D22" w:rsidRPr="00872FD2" w:rsidRDefault="00DA4D22" w:rsidP="00872FD2">
            <w:pPr>
              <w:pStyle w:val="a5"/>
              <w:autoSpaceDE w:val="0"/>
              <w:autoSpaceDN w:val="0"/>
              <w:adjustRightInd w:val="0"/>
              <w:spacing w:after="0" w:line="360" w:lineRule="auto"/>
              <w:ind w:left="360"/>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bacteria.</w:t>
            </w:r>
          </w:p>
          <w:p w:rsidR="00DA4D22" w:rsidRPr="00872FD2" w:rsidRDefault="00DA4D22" w:rsidP="00872FD2">
            <w:pPr>
              <w:pStyle w:val="a5"/>
              <w:numPr>
                <w:ilvl w:val="0"/>
                <w:numId w:val="79"/>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Raise the patient’s hematocrit.</w:t>
            </w:r>
          </w:p>
          <w:p w:rsidR="00DA4D22" w:rsidRPr="00872FD2" w:rsidRDefault="00DA4D22" w:rsidP="00872FD2">
            <w:pPr>
              <w:pStyle w:val="a5"/>
              <w:numPr>
                <w:ilvl w:val="0"/>
                <w:numId w:val="79"/>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Don’t know.</w:t>
            </w:r>
          </w:p>
        </w:tc>
        <w:tc>
          <w:tcPr>
            <w:tcW w:w="2693" w:type="dxa"/>
            <w:gridSpan w:val="3"/>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Τα ανοσοκατασταλτικά φάρμακα δίνονται στους μεταμοσχευμένους ασθενείς για να: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p>
          <w:p w:rsidR="00DA4D22" w:rsidRPr="00872FD2" w:rsidRDefault="00DA4D22" w:rsidP="00872FD2">
            <w:pPr>
              <w:pStyle w:val="a5"/>
              <w:numPr>
                <w:ilvl w:val="0"/>
                <w:numId w:val="78"/>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Προλάβουν και να θεραπεύσουν την απόρριψη του νεφρικού μοσχεύματος</w:t>
            </w:r>
          </w:p>
          <w:p w:rsidR="00DA4D22" w:rsidRPr="00872FD2" w:rsidRDefault="00DA4D22" w:rsidP="00872FD2">
            <w:pPr>
              <w:pStyle w:val="a5"/>
              <w:numPr>
                <w:ilvl w:val="0"/>
                <w:numId w:val="78"/>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Θεραπεύσουν του θρόμβους αίματος στο νέο νεφρό </w:t>
            </w:r>
          </w:p>
          <w:p w:rsidR="00DA4D22" w:rsidRPr="00872FD2" w:rsidRDefault="00DA4D22" w:rsidP="00872FD2">
            <w:pPr>
              <w:pStyle w:val="a5"/>
              <w:numPr>
                <w:ilvl w:val="0"/>
                <w:numId w:val="78"/>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Να προλάβουν τη λοίμωξη στο νεφρό από ιούς ή βακτήρια </w:t>
            </w:r>
          </w:p>
          <w:p w:rsidR="00DA4D22" w:rsidRPr="00872FD2" w:rsidRDefault="00DA4D22" w:rsidP="00872FD2">
            <w:pPr>
              <w:pStyle w:val="a5"/>
              <w:numPr>
                <w:ilvl w:val="0"/>
                <w:numId w:val="78"/>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Να αυξήσουν τον αιματοκρίτη </w:t>
            </w:r>
            <w:r w:rsidR="00B0560D">
              <w:rPr>
                <w:rFonts w:asciiTheme="minorHAnsi" w:eastAsiaTheme="minorHAnsi" w:hAnsiTheme="minorHAnsi" w:cs="Arial"/>
                <w:color w:val="000000"/>
                <w:sz w:val="20"/>
                <w:szCs w:val="20"/>
              </w:rPr>
              <w:t>του ασθενούς</w:t>
            </w:r>
          </w:p>
          <w:p w:rsidR="00DA4D22" w:rsidRPr="00872FD2" w:rsidRDefault="00DA4D22" w:rsidP="00872FD2">
            <w:pPr>
              <w:pStyle w:val="a5"/>
              <w:numPr>
                <w:ilvl w:val="0"/>
                <w:numId w:val="78"/>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Δεν ξέρω. </w:t>
            </w:r>
          </w:p>
        </w:tc>
        <w:tc>
          <w:tcPr>
            <w:tcW w:w="2410" w:type="dxa"/>
          </w:tcPr>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Immunosuppressive medication is administered to patients who have had a transplant in order to</w:t>
            </w:r>
          </w:p>
          <w:p w:rsidR="00DA4D22" w:rsidRPr="00872FD2" w:rsidRDefault="00DA4D22" w:rsidP="00872FD2">
            <w:pPr>
              <w:pStyle w:val="a5"/>
              <w:numPr>
                <w:ilvl w:val="0"/>
                <w:numId w:val="77"/>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 xml:space="preserve">Prevent and </w:t>
            </w:r>
            <w:r w:rsidRPr="00872FD2">
              <w:rPr>
                <w:rFonts w:asciiTheme="minorHAnsi" w:eastAsiaTheme="minorHAnsi" w:hAnsiTheme="minorHAnsi" w:cs="Arial"/>
                <w:i/>
                <w:color w:val="000000"/>
                <w:sz w:val="20"/>
                <w:szCs w:val="20"/>
                <w:u w:val="single"/>
                <w:lang w:val="en-US"/>
              </w:rPr>
              <w:t>cure possible</w:t>
            </w:r>
            <w:r w:rsidR="0078495A">
              <w:rPr>
                <w:rFonts w:asciiTheme="minorHAnsi" w:eastAsiaTheme="minorHAnsi" w:hAnsiTheme="minorHAnsi" w:cs="Arial"/>
                <w:color w:val="000000"/>
                <w:sz w:val="20"/>
                <w:szCs w:val="20"/>
                <w:lang w:val="en-US"/>
              </w:rPr>
              <w:t xml:space="preserve"> </w:t>
            </w:r>
            <w:r w:rsidRPr="00872FD2">
              <w:rPr>
                <w:rFonts w:asciiTheme="minorHAnsi" w:eastAsiaTheme="minorHAnsi" w:hAnsiTheme="minorHAnsi" w:cs="Arial"/>
                <w:color w:val="000000"/>
                <w:sz w:val="20"/>
                <w:szCs w:val="20"/>
                <w:lang w:val="en-US"/>
              </w:rPr>
              <w:t>graft rejection</w:t>
            </w:r>
          </w:p>
          <w:p w:rsidR="00DA4D22" w:rsidRPr="00872FD2" w:rsidRDefault="00DA4D22" w:rsidP="00872FD2">
            <w:pPr>
              <w:pStyle w:val="a5"/>
              <w:numPr>
                <w:ilvl w:val="0"/>
                <w:numId w:val="77"/>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i/>
                <w:color w:val="000000"/>
                <w:sz w:val="20"/>
                <w:szCs w:val="20"/>
                <w:u w:val="single"/>
                <w:lang w:val="en-US"/>
              </w:rPr>
              <w:t>Cure</w:t>
            </w:r>
            <w:r w:rsidR="0078495A">
              <w:rPr>
                <w:rFonts w:asciiTheme="minorHAnsi" w:eastAsiaTheme="minorHAnsi" w:hAnsiTheme="minorHAnsi" w:cs="Arial"/>
                <w:color w:val="000000"/>
                <w:sz w:val="20"/>
                <w:szCs w:val="20"/>
                <w:lang w:val="en-US"/>
              </w:rPr>
              <w:t xml:space="preserve"> </w:t>
            </w:r>
            <w:r w:rsidRPr="00872FD2">
              <w:rPr>
                <w:rFonts w:asciiTheme="minorHAnsi" w:eastAsiaTheme="minorHAnsi" w:hAnsiTheme="minorHAnsi" w:cs="Arial"/>
                <w:color w:val="000000"/>
                <w:sz w:val="20"/>
                <w:szCs w:val="20"/>
                <w:lang w:val="en-US"/>
              </w:rPr>
              <w:t>blood clotting in the new kidney</w:t>
            </w:r>
          </w:p>
          <w:p w:rsidR="00DA4D22" w:rsidRPr="00872FD2" w:rsidRDefault="00DA4D22" w:rsidP="00872FD2">
            <w:pPr>
              <w:pStyle w:val="a5"/>
              <w:numPr>
                <w:ilvl w:val="0"/>
                <w:numId w:val="77"/>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Prevent a kidney infection from viruses or bacteria</w:t>
            </w:r>
          </w:p>
          <w:p w:rsidR="00DA4D22" w:rsidRPr="00872FD2" w:rsidRDefault="00DA4D22" w:rsidP="00872FD2">
            <w:pPr>
              <w:pStyle w:val="a5"/>
              <w:numPr>
                <w:ilvl w:val="0"/>
                <w:numId w:val="77"/>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 xml:space="preserve">Increase the patient’s hematocrit </w:t>
            </w:r>
          </w:p>
          <w:p w:rsidR="00DA4D22" w:rsidRPr="00872FD2" w:rsidRDefault="00DA4D22" w:rsidP="00872FD2">
            <w:pPr>
              <w:pStyle w:val="a5"/>
              <w:numPr>
                <w:ilvl w:val="0"/>
                <w:numId w:val="77"/>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 don’t know</w:t>
            </w:r>
            <w:r w:rsidR="0078495A">
              <w:rPr>
                <w:rFonts w:asciiTheme="minorHAnsi" w:eastAsiaTheme="minorHAnsi" w:hAnsiTheme="minorHAnsi" w:cs="Arial"/>
                <w:color w:val="000000"/>
                <w:sz w:val="20"/>
                <w:szCs w:val="20"/>
                <w:lang w:val="en-US"/>
              </w:rPr>
              <w:t xml:space="preserve">  </w:t>
            </w:r>
            <w:r w:rsidRPr="00872FD2">
              <w:rPr>
                <w:rFonts w:asciiTheme="minorHAnsi" w:eastAsiaTheme="minorHAnsi" w:hAnsiTheme="minorHAnsi" w:cs="Arial"/>
                <w:color w:val="000000"/>
                <w:sz w:val="20"/>
                <w:szCs w:val="20"/>
                <w:lang w:val="en-US"/>
              </w:rPr>
              <w:t xml:space="preserve"> </w:t>
            </w: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w:t>
            </w:r>
            <w:r w:rsidRPr="00872FD2">
              <w:rPr>
                <w:rFonts w:asciiTheme="minorHAnsi" w:eastAsiaTheme="minorHAnsi" w:hAnsiTheme="minorHAnsi" w:cs="Arial"/>
                <w:color w:val="000000"/>
                <w:sz w:val="20"/>
                <w:szCs w:val="20"/>
                <w:lang w:val="en-US"/>
              </w:rPr>
              <w:t>treat</w:t>
            </w:r>
            <w:r w:rsidRPr="00872FD2">
              <w:rPr>
                <w:rFonts w:asciiTheme="minorHAnsi" w:eastAsiaTheme="minorHAnsi" w:hAnsiTheme="minorHAnsi" w:cs="Arial"/>
                <w:color w:val="000000"/>
                <w:sz w:val="20"/>
                <w:szCs w:val="20"/>
              </w:rPr>
              <w:t>»</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w:t>
            </w:r>
            <w:r w:rsidRPr="00872FD2">
              <w:rPr>
                <w:rFonts w:asciiTheme="minorHAnsi" w:eastAsiaTheme="minorHAnsi" w:hAnsiTheme="minorHAnsi" w:cs="Arial"/>
                <w:color w:val="000000"/>
                <w:sz w:val="20"/>
                <w:szCs w:val="20"/>
                <w:lang w:val="en-US"/>
              </w:rPr>
              <w:t>treat</w:t>
            </w:r>
            <w:r w:rsidRPr="00872FD2">
              <w:rPr>
                <w:rFonts w:asciiTheme="minorHAnsi" w:eastAsiaTheme="minorHAnsi" w:hAnsiTheme="minorHAnsi" w:cs="Arial"/>
                <w:color w:val="000000"/>
                <w:sz w:val="20"/>
                <w:szCs w:val="20"/>
              </w:rPr>
              <w:t>»</w:t>
            </w:r>
          </w:p>
        </w:tc>
      </w:tr>
      <w:tr w:rsidR="00DA4D22" w:rsidRPr="00872FD2" w:rsidTr="002568DB">
        <w:trPr>
          <w:cnfStyle w:val="000000010000"/>
        </w:trPr>
        <w:tc>
          <w:tcPr>
            <w:tcW w:w="2411" w:type="dxa"/>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Bone disease is a medical problem that could result</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from chronic kidney disease. It can occur because:</w:t>
            </w:r>
          </w:p>
          <w:p w:rsidR="00DA4D22" w:rsidRPr="00872FD2" w:rsidRDefault="00DA4D22" w:rsidP="00872FD2">
            <w:pPr>
              <w:pStyle w:val="a5"/>
              <w:numPr>
                <w:ilvl w:val="0"/>
                <w:numId w:val="80"/>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The diseased kidney can no longer rid the body of excess water in a normal fashion.</w:t>
            </w:r>
          </w:p>
          <w:p w:rsidR="00DA4D22" w:rsidRPr="00872FD2" w:rsidRDefault="00DA4D22" w:rsidP="00872FD2">
            <w:pPr>
              <w:pStyle w:val="a5"/>
              <w:numPr>
                <w:ilvl w:val="0"/>
                <w:numId w:val="80"/>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The diseased kidney loses its ability to keep calcium and phosphate levels in the proper range in the body.</w:t>
            </w:r>
          </w:p>
          <w:p w:rsidR="00DA4D22" w:rsidRPr="00872FD2" w:rsidRDefault="00DA4D22" w:rsidP="00872FD2">
            <w:pPr>
              <w:pStyle w:val="a5"/>
              <w:numPr>
                <w:ilvl w:val="0"/>
                <w:numId w:val="80"/>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The diseased kidney loses its ability to excrete excess potassium from the bloodstream.</w:t>
            </w:r>
          </w:p>
          <w:p w:rsidR="00DA4D22" w:rsidRPr="00872FD2" w:rsidRDefault="00DA4D22" w:rsidP="00872FD2">
            <w:pPr>
              <w:pStyle w:val="a5"/>
              <w:numPr>
                <w:ilvl w:val="0"/>
                <w:numId w:val="80"/>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The body is no longer able to use protein foods.</w:t>
            </w:r>
          </w:p>
          <w:p w:rsidR="00DA4D22" w:rsidRPr="00872FD2" w:rsidRDefault="00DA4D22" w:rsidP="00872FD2">
            <w:pPr>
              <w:pStyle w:val="a5"/>
              <w:numPr>
                <w:ilvl w:val="0"/>
                <w:numId w:val="80"/>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rPr>
              <w:t>Don’t know.</w:t>
            </w:r>
          </w:p>
        </w:tc>
        <w:tc>
          <w:tcPr>
            <w:tcW w:w="2693" w:type="dxa"/>
            <w:gridSpan w:val="3"/>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Η οστική νόσος είναι ένα πρόβλημα υγείας το οποίο μπορεί να συνοδεύει τη χρόνια νεφρική νόσο. Μπορεί να συμβεί γιατί: </w:t>
            </w:r>
          </w:p>
          <w:p w:rsidR="00DA4D22" w:rsidRPr="00872FD2" w:rsidRDefault="00DA4D22" w:rsidP="00872FD2">
            <w:pPr>
              <w:pStyle w:val="a5"/>
              <w:numPr>
                <w:ilvl w:val="0"/>
                <w:numId w:val="81"/>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Ο</w:t>
            </w:r>
            <w:r w:rsidR="0078495A">
              <w:rPr>
                <w:rFonts w:asciiTheme="minorHAnsi" w:eastAsiaTheme="minorHAnsi" w:hAnsiTheme="minorHAnsi" w:cs="Arial"/>
                <w:color w:val="000000"/>
                <w:sz w:val="20"/>
                <w:szCs w:val="20"/>
              </w:rPr>
              <w:t xml:space="preserve"> </w:t>
            </w:r>
            <w:r w:rsidRPr="00872FD2">
              <w:rPr>
                <w:rFonts w:asciiTheme="minorHAnsi" w:eastAsiaTheme="minorHAnsi" w:hAnsiTheme="minorHAnsi" w:cs="Arial"/>
                <w:color w:val="000000"/>
                <w:sz w:val="20"/>
                <w:szCs w:val="20"/>
              </w:rPr>
              <w:t>νεφρός που έχει πρόβλημα δεν μπορεί πια να ξεφορτωθεί την περίσσεια νερού από τον οργανισμό με φυσιολογικό τρόπο</w:t>
            </w:r>
          </w:p>
          <w:p w:rsidR="00DA4D22" w:rsidRPr="00872FD2" w:rsidRDefault="00DA4D22" w:rsidP="00872FD2">
            <w:pPr>
              <w:pStyle w:val="a5"/>
              <w:numPr>
                <w:ilvl w:val="0"/>
                <w:numId w:val="81"/>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Ο νεφρός που έχει πρόβλημα χάνει την ικανότητα του να διατηρεί τα επίπεδα ασβεστίου και φωσφόρου σε κανονικά επίπεδα στον οργανισμό </w:t>
            </w:r>
          </w:p>
          <w:p w:rsidR="00DA4D22" w:rsidRPr="00872FD2" w:rsidRDefault="00DA4D22" w:rsidP="00872FD2">
            <w:pPr>
              <w:pStyle w:val="a5"/>
              <w:numPr>
                <w:ilvl w:val="0"/>
                <w:numId w:val="81"/>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Ο νεφρός που έχει πρόβλημα χάνει την ικανότητα του να απομακρύνει την περίσσεια καλίου από την αιματική κυκλοφορία</w:t>
            </w:r>
          </w:p>
          <w:p w:rsidR="00DA4D22" w:rsidRPr="00872FD2" w:rsidRDefault="00DA4D22" w:rsidP="00872FD2">
            <w:pPr>
              <w:pStyle w:val="a5"/>
              <w:numPr>
                <w:ilvl w:val="0"/>
                <w:numId w:val="81"/>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Το σώμα δε μπορεί πια να χρησιμοποιήσει τις πρωτεΐνες των τροφών</w:t>
            </w:r>
          </w:p>
          <w:p w:rsidR="00DA4D22" w:rsidRPr="00872FD2" w:rsidRDefault="00DA4D22" w:rsidP="00872FD2">
            <w:pPr>
              <w:pStyle w:val="a5"/>
              <w:numPr>
                <w:ilvl w:val="0"/>
                <w:numId w:val="81"/>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Δεν ξέρω</w:t>
            </w:r>
          </w:p>
        </w:tc>
        <w:tc>
          <w:tcPr>
            <w:tcW w:w="2410" w:type="dxa"/>
          </w:tcPr>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 xml:space="preserve">Bone disease is a medical condition which may result from </w:t>
            </w:r>
            <w:r w:rsidRPr="00872FD2">
              <w:rPr>
                <w:rFonts w:asciiTheme="minorHAnsi" w:eastAsiaTheme="minorHAnsi" w:hAnsiTheme="minorHAnsi" w:cs="Arial"/>
                <w:i/>
                <w:color w:val="000000"/>
                <w:sz w:val="20"/>
                <w:szCs w:val="20"/>
                <w:u w:val="single"/>
                <w:lang w:val="en-US"/>
              </w:rPr>
              <w:t>renal</w:t>
            </w:r>
            <w:r w:rsidRPr="00872FD2">
              <w:rPr>
                <w:rFonts w:asciiTheme="minorHAnsi" w:eastAsiaTheme="minorHAnsi" w:hAnsiTheme="minorHAnsi" w:cs="Arial"/>
                <w:color w:val="000000"/>
                <w:sz w:val="20"/>
                <w:szCs w:val="20"/>
                <w:lang w:val="en-US"/>
              </w:rPr>
              <w:t xml:space="preserve"> disease. It may occur because</w:t>
            </w:r>
          </w:p>
          <w:p w:rsidR="00DA4D22" w:rsidRPr="00872FD2" w:rsidRDefault="00DA4D22" w:rsidP="00872FD2">
            <w:pPr>
              <w:pStyle w:val="a5"/>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pStyle w:val="a5"/>
              <w:numPr>
                <w:ilvl w:val="0"/>
                <w:numId w:val="82"/>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The diseased kidneys can no longer clear the excess water from the body</w:t>
            </w:r>
            <w:r w:rsidR="0078495A">
              <w:rPr>
                <w:rFonts w:asciiTheme="minorHAnsi" w:eastAsiaTheme="minorHAnsi" w:hAnsiTheme="minorHAnsi" w:cs="Arial"/>
                <w:color w:val="000000"/>
                <w:sz w:val="20"/>
                <w:szCs w:val="20"/>
                <w:lang w:val="en-US"/>
              </w:rPr>
              <w:t xml:space="preserve"> </w:t>
            </w:r>
            <w:r w:rsidRPr="00872FD2">
              <w:rPr>
                <w:rFonts w:asciiTheme="minorHAnsi" w:eastAsiaTheme="minorHAnsi" w:hAnsiTheme="minorHAnsi" w:cs="Arial"/>
                <w:color w:val="000000"/>
                <w:sz w:val="20"/>
                <w:szCs w:val="20"/>
                <w:lang w:val="en-US"/>
              </w:rPr>
              <w:t xml:space="preserve"> in a normal way. </w:t>
            </w:r>
          </w:p>
          <w:p w:rsidR="00DA4D22" w:rsidRPr="00872FD2" w:rsidRDefault="00DA4D22" w:rsidP="00872FD2">
            <w:pPr>
              <w:pStyle w:val="a5"/>
              <w:numPr>
                <w:ilvl w:val="0"/>
                <w:numId w:val="82"/>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 xml:space="preserve">The diseased kidney loses its ability to maintain normal levels of calcium and phosphorus in the body. </w:t>
            </w:r>
          </w:p>
          <w:p w:rsidR="00DA4D22" w:rsidRPr="00872FD2" w:rsidRDefault="00DA4D22" w:rsidP="00872FD2">
            <w:pPr>
              <w:pStyle w:val="a5"/>
              <w:numPr>
                <w:ilvl w:val="0"/>
                <w:numId w:val="82"/>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 xml:space="preserve">The diseased kidney loses its ability to clear the excess potassium from the bloodstream </w:t>
            </w:r>
          </w:p>
          <w:p w:rsidR="00DA4D22" w:rsidRPr="00872FD2" w:rsidRDefault="00DA4D22" w:rsidP="00872FD2">
            <w:pPr>
              <w:pStyle w:val="a5"/>
              <w:numPr>
                <w:ilvl w:val="0"/>
                <w:numId w:val="82"/>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The body can no longer make use of protein nutrients</w:t>
            </w:r>
          </w:p>
          <w:p w:rsidR="00DA4D22" w:rsidRPr="00872FD2" w:rsidRDefault="00DA4D22" w:rsidP="00872FD2">
            <w:pPr>
              <w:pStyle w:val="a5"/>
              <w:numPr>
                <w:ilvl w:val="0"/>
                <w:numId w:val="82"/>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 don’t know</w:t>
            </w: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w:t>
            </w:r>
            <w:r w:rsidRPr="00872FD2">
              <w:rPr>
                <w:rFonts w:asciiTheme="minorHAnsi" w:eastAsiaTheme="minorHAnsi" w:hAnsiTheme="minorHAnsi" w:cs="Arial"/>
                <w:color w:val="000000"/>
                <w:sz w:val="20"/>
                <w:szCs w:val="20"/>
                <w:lang w:val="en-US"/>
              </w:rPr>
              <w:t>chronic kidney</w:t>
            </w:r>
            <w:r w:rsidRPr="00872FD2">
              <w:rPr>
                <w:rFonts w:asciiTheme="minorHAnsi" w:eastAsiaTheme="minorHAnsi" w:hAnsiTheme="minorHAnsi" w:cs="Arial"/>
                <w:color w:val="000000"/>
                <w:sz w:val="20"/>
                <w:szCs w:val="20"/>
              </w:rPr>
              <w:t>»</w:t>
            </w:r>
          </w:p>
        </w:tc>
      </w:tr>
      <w:tr w:rsidR="00DA4D22" w:rsidRPr="00872FD2" w:rsidTr="002568DB">
        <w:trPr>
          <w:cnfStyle w:val="000000100000"/>
        </w:trPr>
        <w:tc>
          <w:tcPr>
            <w:tcW w:w="2411" w:type="dxa"/>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Which medication is sometimes prescribed to control the level of potassium in the patient’s body?</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 Riopan</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(b) Kayexalate</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(c) Amphojel</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(d) Aldomet</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(e) Don’t know</w:t>
            </w:r>
          </w:p>
        </w:tc>
        <w:tc>
          <w:tcPr>
            <w:tcW w:w="2693" w:type="dxa"/>
            <w:gridSpan w:val="3"/>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Ποιο φάρμακο συνταγογραφείται μερικές φορές για τον έλεγχο του επιπέδου του καλίου στο αίμα </w:t>
            </w:r>
            <w:r w:rsidR="00B0560D">
              <w:rPr>
                <w:rFonts w:asciiTheme="minorHAnsi" w:eastAsiaTheme="minorHAnsi" w:hAnsiTheme="minorHAnsi" w:cs="Arial"/>
                <w:color w:val="000000"/>
                <w:sz w:val="20"/>
                <w:szCs w:val="20"/>
              </w:rPr>
              <w:t>του ασθενούς</w:t>
            </w:r>
            <w:r w:rsidRPr="00872FD2">
              <w:rPr>
                <w:rFonts w:asciiTheme="minorHAnsi" w:eastAsiaTheme="minorHAnsi" w:hAnsiTheme="minorHAnsi" w:cs="Arial"/>
                <w:color w:val="000000"/>
                <w:sz w:val="20"/>
                <w:szCs w:val="20"/>
              </w:rPr>
              <w:t xml:space="preserve">; </w:t>
            </w:r>
          </w:p>
          <w:p w:rsidR="00DA4D22" w:rsidRPr="00872FD2" w:rsidRDefault="00DA4D22" w:rsidP="00872FD2">
            <w:pPr>
              <w:pStyle w:val="a5"/>
              <w:numPr>
                <w:ilvl w:val="0"/>
                <w:numId w:val="83"/>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Riopan</w:t>
            </w:r>
          </w:p>
          <w:p w:rsidR="00DA4D22" w:rsidRPr="00872FD2" w:rsidRDefault="00DA4D22" w:rsidP="00872FD2">
            <w:pPr>
              <w:pStyle w:val="a5"/>
              <w:numPr>
                <w:ilvl w:val="0"/>
                <w:numId w:val="83"/>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 xml:space="preserve">Kayexalate </w:t>
            </w:r>
          </w:p>
          <w:p w:rsidR="00DA4D22" w:rsidRPr="00872FD2" w:rsidRDefault="00DA4D22" w:rsidP="00872FD2">
            <w:pPr>
              <w:pStyle w:val="a5"/>
              <w:numPr>
                <w:ilvl w:val="0"/>
                <w:numId w:val="83"/>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 xml:space="preserve">Amphojel </w:t>
            </w:r>
          </w:p>
          <w:p w:rsidR="00DA4D22" w:rsidRPr="00872FD2" w:rsidRDefault="00DA4D22" w:rsidP="00872FD2">
            <w:pPr>
              <w:pStyle w:val="a5"/>
              <w:numPr>
                <w:ilvl w:val="0"/>
                <w:numId w:val="83"/>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lang w:val="en-US"/>
              </w:rPr>
              <w:t>Aldomet</w:t>
            </w:r>
            <w:r w:rsidRPr="00872FD2">
              <w:rPr>
                <w:rFonts w:asciiTheme="minorHAnsi" w:eastAsiaTheme="minorHAnsi" w:hAnsiTheme="minorHAnsi" w:cs="Arial"/>
                <w:color w:val="000000"/>
                <w:sz w:val="20"/>
                <w:szCs w:val="20"/>
              </w:rPr>
              <w:t xml:space="preserve"> </w:t>
            </w:r>
          </w:p>
          <w:p w:rsidR="00DA4D22" w:rsidRPr="00872FD2" w:rsidRDefault="00DA4D22" w:rsidP="00872FD2">
            <w:pPr>
              <w:pStyle w:val="a5"/>
              <w:numPr>
                <w:ilvl w:val="0"/>
                <w:numId w:val="83"/>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Δεν ξέρω </w:t>
            </w: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tc>
        <w:tc>
          <w:tcPr>
            <w:tcW w:w="2410" w:type="dxa"/>
          </w:tcPr>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 xml:space="preserve">Which medicine is </w:t>
            </w:r>
            <w:r w:rsidRPr="00872FD2">
              <w:rPr>
                <w:rFonts w:asciiTheme="minorHAnsi" w:eastAsiaTheme="minorHAnsi" w:hAnsiTheme="minorHAnsi" w:cs="Arial"/>
                <w:i/>
                <w:color w:val="000000"/>
                <w:sz w:val="20"/>
                <w:szCs w:val="20"/>
                <w:u w:val="single"/>
                <w:lang w:val="en-US"/>
              </w:rPr>
              <w:t>usually</w:t>
            </w:r>
            <w:r w:rsidRPr="00872FD2">
              <w:rPr>
                <w:rFonts w:asciiTheme="minorHAnsi" w:eastAsiaTheme="minorHAnsi" w:hAnsiTheme="minorHAnsi" w:cs="Arial"/>
                <w:color w:val="000000"/>
                <w:sz w:val="20"/>
                <w:szCs w:val="20"/>
                <w:lang w:val="en-US"/>
              </w:rPr>
              <w:t xml:space="preserve"> prescribed in order to control potassium levels in a patient’s body?</w:t>
            </w:r>
          </w:p>
          <w:p w:rsidR="00DA4D22" w:rsidRPr="00872FD2" w:rsidRDefault="00DA4D22" w:rsidP="00872FD2">
            <w:pPr>
              <w:pStyle w:val="a5"/>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pStyle w:val="a5"/>
              <w:numPr>
                <w:ilvl w:val="0"/>
                <w:numId w:val="84"/>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Riopan</w:t>
            </w:r>
          </w:p>
          <w:p w:rsidR="00DA4D22" w:rsidRPr="00872FD2" w:rsidRDefault="00DA4D22" w:rsidP="00872FD2">
            <w:pPr>
              <w:pStyle w:val="a5"/>
              <w:numPr>
                <w:ilvl w:val="0"/>
                <w:numId w:val="84"/>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Kayexalate</w:t>
            </w:r>
          </w:p>
          <w:p w:rsidR="00DA4D22" w:rsidRPr="00872FD2" w:rsidRDefault="00DA4D22" w:rsidP="00872FD2">
            <w:pPr>
              <w:pStyle w:val="a5"/>
              <w:numPr>
                <w:ilvl w:val="0"/>
                <w:numId w:val="84"/>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Amphojel</w:t>
            </w:r>
          </w:p>
          <w:p w:rsidR="00DA4D22" w:rsidRPr="00872FD2" w:rsidRDefault="00DA4D22" w:rsidP="00872FD2">
            <w:pPr>
              <w:pStyle w:val="a5"/>
              <w:numPr>
                <w:ilvl w:val="0"/>
                <w:numId w:val="84"/>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Aldomet</w:t>
            </w:r>
          </w:p>
          <w:p w:rsidR="00DA4D22" w:rsidRPr="00872FD2" w:rsidRDefault="00DA4D22" w:rsidP="00872FD2">
            <w:pPr>
              <w:pStyle w:val="a5"/>
              <w:numPr>
                <w:ilvl w:val="0"/>
                <w:numId w:val="84"/>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 don’t know</w:t>
            </w: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w:t>
            </w:r>
            <w:r w:rsidRPr="00872FD2">
              <w:rPr>
                <w:rFonts w:asciiTheme="minorHAnsi" w:eastAsiaTheme="minorHAnsi" w:hAnsiTheme="minorHAnsi" w:cs="Arial"/>
                <w:color w:val="000000"/>
                <w:sz w:val="20"/>
                <w:szCs w:val="20"/>
                <w:lang w:val="en-US"/>
              </w:rPr>
              <w:t>sometimes</w:t>
            </w:r>
            <w:r w:rsidRPr="00872FD2">
              <w:rPr>
                <w:rFonts w:asciiTheme="minorHAnsi" w:eastAsiaTheme="minorHAnsi" w:hAnsiTheme="minorHAnsi" w:cs="Arial"/>
                <w:color w:val="000000"/>
                <w:sz w:val="20"/>
                <w:szCs w:val="20"/>
              </w:rPr>
              <w:t>»</w:t>
            </w:r>
          </w:p>
        </w:tc>
      </w:tr>
      <w:tr w:rsidR="00DA4D22" w:rsidRPr="00872FD2" w:rsidTr="002568DB">
        <w:trPr>
          <w:cnfStyle w:val="000000010000"/>
        </w:trPr>
        <w:tc>
          <w:tcPr>
            <w:tcW w:w="2411" w:type="dxa"/>
          </w:tcPr>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In the regular procedure for CAPD, dialysate fluid</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is introduced into the patient’s abdominal cavity</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 xml:space="preserve">through an implanted tube just below the navel </w:t>
            </w: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the</w:t>
            </w:r>
            <w:r w:rsidR="0078495A">
              <w:rPr>
                <w:rFonts w:asciiTheme="minorHAnsi" w:eastAsiaTheme="minorHAnsi" w:hAnsiTheme="minorHAnsi" w:cs="Arial"/>
                <w:color w:val="000000"/>
                <w:sz w:val="20"/>
                <w:szCs w:val="20"/>
                <w:lang w:val="en-US"/>
              </w:rPr>
              <w:t xml:space="preserve"> </w:t>
            </w:r>
            <w:r w:rsidRPr="00872FD2">
              <w:rPr>
                <w:rFonts w:asciiTheme="minorHAnsi" w:eastAsiaTheme="minorHAnsi" w:hAnsiTheme="minorHAnsi" w:cs="Arial"/>
                <w:color w:val="000000"/>
                <w:sz w:val="20"/>
                <w:szCs w:val="20"/>
                <w:lang w:val="en-US"/>
              </w:rPr>
              <w:t>dialysate fluid is then:</w:t>
            </w:r>
          </w:p>
          <w:p w:rsidR="00DA4D22" w:rsidRPr="00872FD2" w:rsidRDefault="00DA4D22" w:rsidP="00872FD2">
            <w:pPr>
              <w:pStyle w:val="a5"/>
              <w:autoSpaceDE w:val="0"/>
              <w:autoSpaceDN w:val="0"/>
              <w:adjustRightInd w:val="0"/>
              <w:spacing w:after="0" w:line="360" w:lineRule="auto"/>
              <w:ind w:left="360"/>
              <w:rPr>
                <w:rFonts w:asciiTheme="minorHAnsi" w:eastAsiaTheme="minorHAnsi" w:hAnsiTheme="minorHAnsi" w:cs="Arial"/>
                <w:color w:val="000000"/>
                <w:sz w:val="20"/>
                <w:szCs w:val="20"/>
                <w:lang w:val="en-US"/>
              </w:rPr>
            </w:pPr>
          </w:p>
          <w:p w:rsidR="00DA4D22" w:rsidRPr="00872FD2" w:rsidRDefault="00DA4D22" w:rsidP="00872FD2">
            <w:pPr>
              <w:autoSpaceDE w:val="0"/>
              <w:autoSpaceDN w:val="0"/>
              <w:adjustRightInd w:val="0"/>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pStyle w:val="a5"/>
              <w:numPr>
                <w:ilvl w:val="0"/>
                <w:numId w:val="85"/>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Left inside the abdominal cavity for several hours and then drained out.</w:t>
            </w:r>
          </w:p>
          <w:p w:rsidR="00DA4D22" w:rsidRPr="00872FD2" w:rsidRDefault="00DA4D22" w:rsidP="00872FD2">
            <w:pPr>
              <w:pStyle w:val="a5"/>
              <w:numPr>
                <w:ilvl w:val="0"/>
                <w:numId w:val="85"/>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Left inside the abdominal cavity until it is completely absorbed into the body.</w:t>
            </w:r>
          </w:p>
          <w:p w:rsidR="00DA4D22" w:rsidRPr="00872FD2" w:rsidRDefault="00DA4D22" w:rsidP="00872FD2">
            <w:pPr>
              <w:pStyle w:val="a5"/>
              <w:numPr>
                <w:ilvl w:val="0"/>
                <w:numId w:val="85"/>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Transferred into an artificial kidney through another tube.</w:t>
            </w:r>
          </w:p>
          <w:p w:rsidR="00DA4D22" w:rsidRPr="00872FD2" w:rsidRDefault="00DA4D22" w:rsidP="00872FD2">
            <w:pPr>
              <w:pStyle w:val="a5"/>
              <w:numPr>
                <w:ilvl w:val="0"/>
                <w:numId w:val="85"/>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Transferred into an artificial kidney through the same tube.</w:t>
            </w:r>
          </w:p>
          <w:p w:rsidR="00DA4D22" w:rsidRPr="00872FD2" w:rsidRDefault="002215DE" w:rsidP="00872FD2">
            <w:pPr>
              <w:pStyle w:val="a5"/>
              <w:numPr>
                <w:ilvl w:val="0"/>
                <w:numId w:val="85"/>
              </w:numPr>
              <w:autoSpaceDE w:val="0"/>
              <w:autoSpaceDN w:val="0"/>
              <w:adjustRightInd w:val="0"/>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Don’t know</w:t>
            </w:r>
          </w:p>
        </w:tc>
        <w:tc>
          <w:tcPr>
            <w:tcW w:w="2693" w:type="dxa"/>
            <w:gridSpan w:val="3"/>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 xml:space="preserve">Στη συνήθη διαδικασία για τη Συνεχή Φορητή Περιτοναϊκή Κάθαρση, το διάλυμα εισάγεται στην περιτοναϊκή κοιλότητα </w:t>
            </w:r>
            <w:r w:rsidR="00B0560D">
              <w:rPr>
                <w:rFonts w:asciiTheme="minorHAnsi" w:eastAsiaTheme="minorHAnsi" w:hAnsiTheme="minorHAnsi" w:cs="Arial"/>
                <w:color w:val="000000"/>
                <w:sz w:val="20"/>
                <w:szCs w:val="20"/>
              </w:rPr>
              <w:t>του ασθενούς</w:t>
            </w:r>
            <w:r w:rsidRPr="00872FD2">
              <w:rPr>
                <w:rFonts w:asciiTheme="minorHAnsi" w:eastAsiaTheme="minorHAnsi" w:hAnsiTheme="minorHAnsi" w:cs="Arial"/>
                <w:color w:val="000000"/>
                <w:sz w:val="20"/>
                <w:szCs w:val="20"/>
              </w:rPr>
              <w:t xml:space="preserve"> μέσω ενός εμφυτευμένου καθετήρα λίγο κάτω από τον ομφαλό. Μετά, το υγρό του διαλύματος:</w:t>
            </w:r>
          </w:p>
          <w:p w:rsidR="00DA4D22" w:rsidRPr="00872FD2" w:rsidRDefault="00DA4D22" w:rsidP="00872FD2">
            <w:pPr>
              <w:pStyle w:val="a5"/>
              <w:numPr>
                <w:ilvl w:val="0"/>
                <w:numId w:val="86"/>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Παραμένει στην περιτοναϊκή κοιλότητα για αρκετές ώρες και μετά παροχετεύεται (απομακρύνεται)</w:t>
            </w:r>
          </w:p>
          <w:p w:rsidR="00DA4D22" w:rsidRPr="00872FD2" w:rsidRDefault="00DA4D22" w:rsidP="00872FD2">
            <w:pPr>
              <w:pStyle w:val="a5"/>
              <w:numPr>
                <w:ilvl w:val="0"/>
                <w:numId w:val="86"/>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Παραμένει στην περιτοναϊκή κοιλότητα μέχρι να απορροφηθεί εντελώς στο σώμα</w:t>
            </w:r>
          </w:p>
          <w:p w:rsidR="00DA4D22" w:rsidRPr="00872FD2" w:rsidRDefault="00DA4D22" w:rsidP="00872FD2">
            <w:pPr>
              <w:pStyle w:val="a5"/>
              <w:numPr>
                <w:ilvl w:val="0"/>
                <w:numId w:val="86"/>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Μεταφέρεται σε έναν τεχνητό νεφρό μέσω ενός άλλου καθετήρα</w:t>
            </w:r>
          </w:p>
          <w:p w:rsidR="00DA4D22" w:rsidRPr="00872FD2" w:rsidRDefault="00DA4D22" w:rsidP="00872FD2">
            <w:pPr>
              <w:pStyle w:val="a5"/>
              <w:numPr>
                <w:ilvl w:val="0"/>
                <w:numId w:val="86"/>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Μεταφέρεται σε έναν τεχνητό νεφρό από τον ίδιο καθετήρα</w:t>
            </w:r>
          </w:p>
          <w:p w:rsidR="00DA4D22" w:rsidRPr="00872FD2" w:rsidRDefault="00DA4D22" w:rsidP="00872FD2">
            <w:pPr>
              <w:pStyle w:val="a5"/>
              <w:numPr>
                <w:ilvl w:val="0"/>
                <w:numId w:val="86"/>
              </w:numPr>
              <w:spacing w:after="0" w:line="360" w:lineRule="auto"/>
              <w:rPr>
                <w:rFonts w:asciiTheme="minorHAnsi" w:eastAsiaTheme="minorHAnsi" w:hAnsiTheme="minorHAnsi" w:cs="Arial"/>
                <w:color w:val="000000"/>
                <w:sz w:val="20"/>
                <w:szCs w:val="20"/>
              </w:rPr>
            </w:pPr>
            <w:r w:rsidRPr="00872FD2">
              <w:rPr>
                <w:rFonts w:asciiTheme="minorHAnsi" w:eastAsiaTheme="minorHAnsi" w:hAnsiTheme="minorHAnsi" w:cs="Arial"/>
                <w:color w:val="000000"/>
                <w:sz w:val="20"/>
                <w:szCs w:val="20"/>
              </w:rPr>
              <w:t>Δεν ξέρω</w:t>
            </w:r>
          </w:p>
        </w:tc>
        <w:tc>
          <w:tcPr>
            <w:tcW w:w="2410" w:type="dxa"/>
          </w:tcPr>
          <w:p w:rsidR="00DA4D22" w:rsidRPr="00872FD2" w:rsidRDefault="00DA4D22" w:rsidP="00872FD2">
            <w:p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During normal peritoneal dialysis the peritoneal solution is inserted into the abdomen through an implanted catheter which is placed directly below the navel. Then, the peritoneal solution:</w:t>
            </w:r>
          </w:p>
          <w:p w:rsidR="00DA4D22" w:rsidRPr="00872FD2" w:rsidRDefault="00DA4D22" w:rsidP="00872FD2">
            <w:pPr>
              <w:pStyle w:val="a5"/>
              <w:spacing w:after="0" w:line="360" w:lineRule="auto"/>
              <w:rPr>
                <w:rFonts w:asciiTheme="minorHAnsi" w:eastAsiaTheme="minorHAnsi" w:hAnsiTheme="minorHAnsi" w:cs="Arial"/>
                <w:color w:val="000000"/>
                <w:sz w:val="20"/>
                <w:szCs w:val="20"/>
                <w:lang w:val="en-US"/>
              </w:rPr>
            </w:pPr>
          </w:p>
          <w:p w:rsidR="00DA4D22" w:rsidRPr="00872FD2" w:rsidRDefault="00DA4D22" w:rsidP="00872FD2">
            <w:pPr>
              <w:pStyle w:val="a5"/>
              <w:numPr>
                <w:ilvl w:val="0"/>
                <w:numId w:val="87"/>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Remains in the abdomen for a few hours and is then discharged</w:t>
            </w:r>
          </w:p>
          <w:p w:rsidR="00DA4D22" w:rsidRPr="00872FD2" w:rsidRDefault="00DA4D22" w:rsidP="00872FD2">
            <w:pPr>
              <w:pStyle w:val="a5"/>
              <w:numPr>
                <w:ilvl w:val="0"/>
                <w:numId w:val="87"/>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Remains in the abdomen until absorbed by the body</w:t>
            </w:r>
          </w:p>
          <w:p w:rsidR="00DA4D22" w:rsidRPr="00872FD2" w:rsidRDefault="00DA4D22" w:rsidP="00872FD2">
            <w:pPr>
              <w:pStyle w:val="a5"/>
              <w:numPr>
                <w:ilvl w:val="0"/>
                <w:numId w:val="87"/>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Is transferred to an artificial kidney via another catheter</w:t>
            </w:r>
          </w:p>
          <w:p w:rsidR="00DA4D22" w:rsidRPr="00872FD2" w:rsidRDefault="00DA4D22" w:rsidP="00872FD2">
            <w:pPr>
              <w:pStyle w:val="a5"/>
              <w:numPr>
                <w:ilvl w:val="0"/>
                <w:numId w:val="87"/>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Is transferred to an artificial kidney via the same catheter</w:t>
            </w:r>
          </w:p>
          <w:p w:rsidR="00DA4D22" w:rsidRPr="00872FD2" w:rsidRDefault="00DA4D22" w:rsidP="00872FD2">
            <w:pPr>
              <w:pStyle w:val="a5"/>
              <w:numPr>
                <w:ilvl w:val="0"/>
                <w:numId w:val="87"/>
              </w:numPr>
              <w:spacing w:after="0" w:line="360" w:lineRule="auto"/>
              <w:rPr>
                <w:rFonts w:asciiTheme="minorHAnsi" w:eastAsiaTheme="minorHAnsi" w:hAnsiTheme="minorHAnsi" w:cs="Arial"/>
                <w:color w:val="000000"/>
                <w:sz w:val="20"/>
                <w:szCs w:val="20"/>
                <w:lang w:val="en-US"/>
              </w:rPr>
            </w:pPr>
            <w:r w:rsidRPr="00872FD2">
              <w:rPr>
                <w:rFonts w:asciiTheme="minorHAnsi" w:eastAsiaTheme="minorHAnsi" w:hAnsiTheme="minorHAnsi" w:cs="Arial"/>
                <w:color w:val="000000"/>
                <w:sz w:val="20"/>
                <w:szCs w:val="20"/>
                <w:lang w:val="en-US"/>
              </w:rPr>
              <w:t>I don’t know</w:t>
            </w:r>
          </w:p>
        </w:tc>
        <w:tc>
          <w:tcPr>
            <w:tcW w:w="1701" w:type="dxa"/>
          </w:tcPr>
          <w:p w:rsidR="00DA4D22" w:rsidRPr="00872FD2" w:rsidRDefault="00DA4D22" w:rsidP="00872FD2">
            <w:pPr>
              <w:pStyle w:val="a5"/>
              <w:spacing w:after="0" w:line="360" w:lineRule="auto"/>
              <w:ind w:left="0"/>
              <w:rPr>
                <w:rFonts w:asciiTheme="minorHAnsi" w:eastAsiaTheme="minorHAnsi" w:hAnsiTheme="minorHAnsi" w:cs="Arial"/>
                <w:color w:val="000000"/>
                <w:sz w:val="20"/>
                <w:szCs w:val="20"/>
                <w:lang w:val="en-US"/>
              </w:rPr>
            </w:pPr>
          </w:p>
        </w:tc>
      </w:tr>
    </w:tbl>
    <w:p w:rsidR="00AB5C80" w:rsidRDefault="00AB5C80" w:rsidP="00B63B35">
      <w:pPr>
        <w:spacing w:line="360" w:lineRule="auto"/>
        <w:rPr>
          <w:rFonts w:cstheme="minorHAnsi"/>
          <w:b/>
          <w:sz w:val="24"/>
          <w:szCs w:val="24"/>
        </w:rPr>
      </w:pPr>
    </w:p>
    <w:p w:rsidR="002568DB" w:rsidRDefault="002568DB" w:rsidP="00B63B35">
      <w:pPr>
        <w:spacing w:line="360" w:lineRule="auto"/>
        <w:rPr>
          <w:rFonts w:cstheme="minorHAnsi"/>
          <w:b/>
          <w:sz w:val="24"/>
          <w:szCs w:val="24"/>
        </w:rPr>
      </w:pPr>
    </w:p>
    <w:p w:rsidR="002568DB" w:rsidRDefault="002568DB" w:rsidP="00B63B35">
      <w:pPr>
        <w:spacing w:line="360" w:lineRule="auto"/>
        <w:rPr>
          <w:rFonts w:cstheme="minorHAnsi"/>
          <w:b/>
          <w:sz w:val="24"/>
          <w:szCs w:val="24"/>
        </w:rPr>
      </w:pPr>
    </w:p>
    <w:p w:rsidR="002568DB" w:rsidRDefault="002568DB" w:rsidP="00B63B35">
      <w:pPr>
        <w:spacing w:line="360" w:lineRule="auto"/>
        <w:rPr>
          <w:rFonts w:cstheme="minorHAnsi"/>
          <w:b/>
          <w:sz w:val="24"/>
          <w:szCs w:val="24"/>
        </w:rPr>
      </w:pPr>
    </w:p>
    <w:p w:rsidR="002568DB" w:rsidRDefault="002568DB" w:rsidP="00B63B35">
      <w:pPr>
        <w:spacing w:line="360" w:lineRule="auto"/>
        <w:rPr>
          <w:rFonts w:cstheme="minorHAnsi"/>
          <w:b/>
          <w:sz w:val="24"/>
          <w:szCs w:val="24"/>
        </w:rPr>
      </w:pPr>
    </w:p>
    <w:p w:rsidR="002568DB" w:rsidRDefault="002568DB" w:rsidP="00B63B35">
      <w:pPr>
        <w:spacing w:line="360" w:lineRule="auto"/>
        <w:rPr>
          <w:rFonts w:cstheme="minorHAnsi"/>
          <w:b/>
          <w:sz w:val="24"/>
          <w:szCs w:val="24"/>
        </w:rPr>
      </w:pPr>
    </w:p>
    <w:p w:rsidR="002568DB" w:rsidRDefault="002568DB" w:rsidP="00B63B35">
      <w:pPr>
        <w:spacing w:line="360" w:lineRule="auto"/>
        <w:rPr>
          <w:rFonts w:cstheme="minorHAnsi"/>
          <w:b/>
          <w:sz w:val="24"/>
          <w:szCs w:val="24"/>
        </w:rPr>
      </w:pPr>
    </w:p>
    <w:p w:rsidR="002568DB" w:rsidRDefault="002568DB" w:rsidP="00B63B35">
      <w:pPr>
        <w:spacing w:line="360" w:lineRule="auto"/>
        <w:rPr>
          <w:rFonts w:cstheme="minorHAnsi"/>
          <w:b/>
          <w:sz w:val="24"/>
          <w:szCs w:val="24"/>
        </w:rPr>
      </w:pPr>
    </w:p>
    <w:p w:rsidR="002568DB" w:rsidRDefault="002568DB" w:rsidP="00B63B35">
      <w:pPr>
        <w:spacing w:line="360" w:lineRule="auto"/>
        <w:rPr>
          <w:rFonts w:cstheme="minorHAnsi"/>
          <w:b/>
          <w:sz w:val="24"/>
          <w:szCs w:val="24"/>
        </w:rPr>
      </w:pPr>
    </w:p>
    <w:p w:rsidR="002568DB" w:rsidRDefault="002568DB" w:rsidP="00B63B35">
      <w:pPr>
        <w:spacing w:line="360" w:lineRule="auto"/>
        <w:rPr>
          <w:rFonts w:cstheme="minorHAnsi"/>
          <w:b/>
          <w:sz w:val="24"/>
          <w:szCs w:val="24"/>
        </w:rPr>
      </w:pPr>
    </w:p>
    <w:p w:rsidR="002568DB" w:rsidRDefault="002568DB" w:rsidP="00B63B35">
      <w:pPr>
        <w:spacing w:line="360" w:lineRule="auto"/>
        <w:rPr>
          <w:rFonts w:cstheme="minorHAnsi"/>
          <w:b/>
          <w:sz w:val="24"/>
          <w:szCs w:val="24"/>
        </w:rPr>
      </w:pPr>
    </w:p>
    <w:p w:rsidR="002568DB" w:rsidRDefault="002568DB" w:rsidP="00B63B35">
      <w:pPr>
        <w:spacing w:line="360" w:lineRule="auto"/>
        <w:rPr>
          <w:rFonts w:cstheme="minorHAnsi"/>
          <w:b/>
          <w:sz w:val="24"/>
          <w:szCs w:val="24"/>
        </w:rPr>
      </w:pPr>
    </w:p>
    <w:p w:rsidR="002568DB" w:rsidRPr="00B63B35" w:rsidRDefault="002568DB" w:rsidP="00B63B35">
      <w:pPr>
        <w:spacing w:line="360" w:lineRule="auto"/>
        <w:rPr>
          <w:rFonts w:cstheme="minorHAnsi"/>
          <w:b/>
          <w:sz w:val="24"/>
          <w:szCs w:val="24"/>
        </w:rPr>
      </w:pPr>
    </w:p>
    <w:p w:rsidR="00021BFA" w:rsidRPr="005A464E" w:rsidRDefault="005A1BD6" w:rsidP="00B63B35">
      <w:pPr>
        <w:jc w:val="center"/>
        <w:rPr>
          <w:rFonts w:cstheme="minorHAnsi"/>
          <w:b/>
          <w:sz w:val="24"/>
          <w:szCs w:val="24"/>
          <w:lang w:val="en-US"/>
        </w:rPr>
      </w:pPr>
      <w:r w:rsidRPr="005A464E">
        <w:rPr>
          <w:rFonts w:cstheme="minorHAnsi"/>
          <w:b/>
          <w:sz w:val="24"/>
          <w:szCs w:val="24"/>
          <w:lang w:val="en-US"/>
        </w:rPr>
        <w:t xml:space="preserve">GR-SIMPLIFIED MEDICATION ADHERENCE QUESTIONNAIRE-HEMODIALYSIS </w:t>
      </w:r>
    </w:p>
    <w:p w:rsidR="005A1BD6" w:rsidRPr="005A464E" w:rsidRDefault="005A1BD6" w:rsidP="00B63B35">
      <w:pPr>
        <w:jc w:val="center"/>
        <w:rPr>
          <w:rFonts w:cstheme="minorHAnsi"/>
          <w:b/>
          <w:sz w:val="24"/>
          <w:szCs w:val="24"/>
        </w:rPr>
      </w:pPr>
      <w:r w:rsidRPr="005A464E">
        <w:rPr>
          <w:rFonts w:cstheme="minorHAnsi"/>
          <w:b/>
          <w:sz w:val="24"/>
          <w:szCs w:val="24"/>
        </w:rPr>
        <w:t>(</w:t>
      </w:r>
      <w:r w:rsidRPr="005A464E">
        <w:rPr>
          <w:rFonts w:cstheme="minorHAnsi"/>
          <w:b/>
          <w:sz w:val="24"/>
          <w:szCs w:val="24"/>
          <w:lang w:val="en-US"/>
        </w:rPr>
        <w:t>GR</w:t>
      </w:r>
      <w:r w:rsidRPr="005A464E">
        <w:rPr>
          <w:rFonts w:cstheme="minorHAnsi"/>
          <w:b/>
          <w:sz w:val="24"/>
          <w:szCs w:val="24"/>
        </w:rPr>
        <w:t>-</w:t>
      </w:r>
      <w:r w:rsidRPr="005A464E">
        <w:rPr>
          <w:rFonts w:cstheme="minorHAnsi"/>
          <w:b/>
          <w:sz w:val="24"/>
          <w:szCs w:val="24"/>
          <w:lang w:val="en-US"/>
        </w:rPr>
        <w:t>SMAQ</w:t>
      </w:r>
      <w:r w:rsidRPr="005A464E">
        <w:rPr>
          <w:rFonts w:cstheme="minorHAnsi"/>
          <w:b/>
          <w:sz w:val="24"/>
          <w:szCs w:val="24"/>
        </w:rPr>
        <w:t>-</w:t>
      </w:r>
      <w:r w:rsidRPr="005A464E">
        <w:rPr>
          <w:rFonts w:cstheme="minorHAnsi"/>
          <w:b/>
          <w:sz w:val="24"/>
          <w:szCs w:val="24"/>
          <w:lang w:val="en-US"/>
        </w:rPr>
        <w:t>HD</w:t>
      </w:r>
      <w:r w:rsidRPr="005A464E">
        <w:rPr>
          <w:rFonts w:cstheme="minorHAnsi"/>
          <w:b/>
          <w:sz w:val="24"/>
          <w:szCs w:val="24"/>
        </w:rPr>
        <w:t>)</w:t>
      </w:r>
    </w:p>
    <w:tbl>
      <w:tblPr>
        <w:tblStyle w:val="-41"/>
        <w:tblW w:w="0" w:type="auto"/>
        <w:tblLook w:val="0420"/>
      </w:tblPr>
      <w:tblGrid>
        <w:gridCol w:w="8522"/>
      </w:tblGrid>
      <w:tr w:rsidR="00CB18C9" w:rsidRPr="00872FD2" w:rsidTr="002568DB">
        <w:trPr>
          <w:cnfStyle w:val="100000000000"/>
        </w:trPr>
        <w:tc>
          <w:tcPr>
            <w:tcW w:w="8522" w:type="dxa"/>
          </w:tcPr>
          <w:p w:rsidR="00CB18C9" w:rsidRPr="002568DB" w:rsidRDefault="00CB18C9" w:rsidP="00872FD2">
            <w:pPr>
              <w:spacing w:after="0" w:line="360" w:lineRule="auto"/>
              <w:jc w:val="center"/>
              <w:rPr>
                <w:rFonts w:asciiTheme="minorHAnsi" w:eastAsiaTheme="minorHAnsi" w:hAnsiTheme="minorHAnsi" w:cstheme="minorHAnsi"/>
                <w:bCs w:val="0"/>
                <w:color w:val="000000"/>
                <w:sz w:val="24"/>
                <w:szCs w:val="24"/>
                <w:lang w:val="en-US"/>
              </w:rPr>
            </w:pPr>
            <w:r w:rsidRPr="002568DB">
              <w:rPr>
                <w:rFonts w:asciiTheme="minorHAnsi" w:eastAsiaTheme="minorHAnsi" w:hAnsiTheme="minorHAnsi" w:cstheme="minorHAnsi"/>
                <w:bCs w:val="0"/>
                <w:color w:val="000000"/>
                <w:sz w:val="24"/>
                <w:szCs w:val="24"/>
              </w:rPr>
              <w:t>ΦΑΡΜΑΚΕΥΤΙΚΗ ΑΓΩΓΗ</w:t>
            </w:r>
          </w:p>
        </w:tc>
      </w:tr>
      <w:tr w:rsidR="00CB18C9" w:rsidRPr="00710208" w:rsidTr="002568DB">
        <w:trPr>
          <w:cnfStyle w:val="000000100000"/>
        </w:trPr>
        <w:tc>
          <w:tcPr>
            <w:tcW w:w="8522" w:type="dxa"/>
          </w:tcPr>
          <w:p w:rsidR="00CB18C9" w:rsidRPr="00710208" w:rsidRDefault="00CB18C9" w:rsidP="00872FD2">
            <w:pPr>
              <w:pStyle w:val="a5"/>
              <w:numPr>
                <w:ilvl w:val="0"/>
                <w:numId w:val="90"/>
              </w:numPr>
              <w:spacing w:after="0" w:line="360" w:lineRule="auto"/>
              <w:jc w:val="both"/>
              <w:rPr>
                <w:rFonts w:asciiTheme="minorHAnsi" w:eastAsiaTheme="minorHAnsi" w:hAnsiTheme="minorHAnsi" w:cstheme="minorHAnsi"/>
                <w:b/>
                <w:color w:val="000000"/>
                <w:sz w:val="24"/>
                <w:szCs w:val="24"/>
              </w:rPr>
            </w:pPr>
            <w:r w:rsidRPr="00710208">
              <w:rPr>
                <w:rFonts w:asciiTheme="minorHAnsi" w:eastAsiaTheme="minorHAnsi" w:hAnsiTheme="minorHAnsi" w:cstheme="minorHAnsi"/>
                <w:b/>
                <w:color w:val="000000"/>
                <w:sz w:val="24"/>
                <w:szCs w:val="24"/>
              </w:rPr>
              <w:t>Όταν αισθάνεστε άσχημα, έχετε ποτέ σταματήσει να παίρνετε τα φάρμακά σας;</w:t>
            </w:r>
          </w:p>
        </w:tc>
      </w:tr>
      <w:tr w:rsidR="00CB18C9" w:rsidRPr="00872FD2" w:rsidTr="002568DB">
        <w:trPr>
          <w:cnfStyle w:val="000000010000"/>
        </w:trPr>
        <w:tc>
          <w:tcPr>
            <w:tcW w:w="8522" w:type="dxa"/>
          </w:tcPr>
          <w:p w:rsidR="00CB18C9" w:rsidRPr="00833422" w:rsidRDefault="00CB18C9" w:rsidP="00833422">
            <w:pPr>
              <w:pStyle w:val="a5"/>
              <w:numPr>
                <w:ilvl w:val="0"/>
                <w:numId w:val="122"/>
              </w:numPr>
              <w:spacing w:after="0" w:line="360" w:lineRule="auto"/>
              <w:jc w:val="both"/>
              <w:rPr>
                <w:rFonts w:asciiTheme="minorHAnsi" w:eastAsiaTheme="minorHAnsi" w:hAnsiTheme="minorHAnsi" w:cstheme="minorHAnsi"/>
                <w:color w:val="000000"/>
                <w:sz w:val="24"/>
                <w:szCs w:val="24"/>
                <w:lang w:val="en-US"/>
              </w:rPr>
            </w:pPr>
            <w:r w:rsidRPr="00833422">
              <w:rPr>
                <w:rFonts w:asciiTheme="minorHAnsi" w:eastAsiaTheme="minorHAnsi" w:hAnsiTheme="minorHAnsi" w:cstheme="minorHAnsi"/>
                <w:color w:val="000000"/>
                <w:sz w:val="24"/>
                <w:szCs w:val="24"/>
              </w:rPr>
              <w:t>Ναι (0)</w:t>
            </w:r>
          </w:p>
        </w:tc>
      </w:tr>
      <w:tr w:rsidR="00CB18C9" w:rsidRPr="00872FD2" w:rsidTr="002568DB">
        <w:trPr>
          <w:cnfStyle w:val="000000100000"/>
        </w:trPr>
        <w:tc>
          <w:tcPr>
            <w:tcW w:w="8522" w:type="dxa"/>
          </w:tcPr>
          <w:p w:rsidR="00CB18C9" w:rsidRPr="00833422" w:rsidRDefault="00CB18C9" w:rsidP="00833422">
            <w:pPr>
              <w:pStyle w:val="a5"/>
              <w:numPr>
                <w:ilvl w:val="0"/>
                <w:numId w:val="122"/>
              </w:numPr>
              <w:spacing w:after="0" w:line="360" w:lineRule="auto"/>
              <w:jc w:val="both"/>
              <w:rPr>
                <w:rFonts w:asciiTheme="minorHAnsi" w:eastAsiaTheme="minorHAnsi" w:hAnsiTheme="minorHAnsi" w:cstheme="minorHAnsi"/>
                <w:color w:val="000000"/>
                <w:sz w:val="24"/>
                <w:szCs w:val="24"/>
              </w:rPr>
            </w:pPr>
            <w:r w:rsidRPr="00833422">
              <w:rPr>
                <w:rFonts w:asciiTheme="minorHAnsi" w:eastAsiaTheme="minorHAnsi" w:hAnsiTheme="minorHAnsi" w:cstheme="minorHAnsi"/>
                <w:color w:val="000000"/>
                <w:sz w:val="24"/>
                <w:szCs w:val="24"/>
              </w:rPr>
              <w:t>Όχι</w:t>
            </w:r>
            <w:r w:rsidR="0078495A" w:rsidRPr="00833422">
              <w:rPr>
                <w:rFonts w:asciiTheme="minorHAnsi" w:eastAsiaTheme="minorHAnsi" w:hAnsiTheme="minorHAnsi" w:cstheme="minorHAnsi"/>
                <w:color w:val="000000"/>
                <w:sz w:val="24"/>
                <w:szCs w:val="24"/>
              </w:rPr>
              <w:t xml:space="preserve"> </w:t>
            </w:r>
            <w:r w:rsidRPr="00833422">
              <w:rPr>
                <w:rFonts w:asciiTheme="minorHAnsi" w:eastAsiaTheme="minorHAnsi" w:hAnsiTheme="minorHAnsi" w:cstheme="minorHAnsi"/>
                <w:color w:val="000000"/>
                <w:sz w:val="24"/>
                <w:szCs w:val="24"/>
              </w:rPr>
              <w:t>(1)</w:t>
            </w:r>
          </w:p>
        </w:tc>
      </w:tr>
      <w:tr w:rsidR="00CB18C9" w:rsidRPr="00872FD2" w:rsidTr="002568DB">
        <w:trPr>
          <w:cnfStyle w:val="000000010000"/>
        </w:trPr>
        <w:tc>
          <w:tcPr>
            <w:tcW w:w="8522" w:type="dxa"/>
          </w:tcPr>
          <w:p w:rsidR="00CB18C9" w:rsidRPr="00710208" w:rsidRDefault="00CB18C9" w:rsidP="00872FD2">
            <w:pPr>
              <w:pStyle w:val="a5"/>
              <w:numPr>
                <w:ilvl w:val="0"/>
                <w:numId w:val="90"/>
              </w:numPr>
              <w:spacing w:after="0" w:line="360" w:lineRule="auto"/>
              <w:jc w:val="both"/>
              <w:rPr>
                <w:rFonts w:asciiTheme="minorHAnsi" w:eastAsiaTheme="minorHAnsi" w:hAnsiTheme="minorHAnsi" w:cstheme="minorHAnsi"/>
                <w:b/>
                <w:color w:val="000000"/>
                <w:sz w:val="24"/>
                <w:szCs w:val="24"/>
              </w:rPr>
            </w:pPr>
            <w:r w:rsidRPr="00710208">
              <w:rPr>
                <w:rFonts w:asciiTheme="minorHAnsi" w:eastAsiaTheme="minorHAnsi" w:hAnsiTheme="minorHAnsi" w:cstheme="minorHAnsi"/>
                <w:b/>
                <w:color w:val="000000"/>
                <w:sz w:val="24"/>
                <w:szCs w:val="24"/>
              </w:rPr>
              <w:t>Έχετε ποτέ ξεχάσει να πάρετε τα φάρμακά σας;</w:t>
            </w:r>
          </w:p>
        </w:tc>
      </w:tr>
      <w:tr w:rsidR="00CB18C9" w:rsidRPr="00872FD2" w:rsidTr="002568DB">
        <w:trPr>
          <w:cnfStyle w:val="000000100000"/>
        </w:trPr>
        <w:tc>
          <w:tcPr>
            <w:tcW w:w="8522" w:type="dxa"/>
          </w:tcPr>
          <w:p w:rsidR="00CB18C9" w:rsidRPr="00833422" w:rsidRDefault="00CB18C9" w:rsidP="00833422">
            <w:pPr>
              <w:pStyle w:val="a5"/>
              <w:numPr>
                <w:ilvl w:val="0"/>
                <w:numId w:val="123"/>
              </w:numPr>
              <w:spacing w:after="0" w:line="360" w:lineRule="auto"/>
              <w:jc w:val="both"/>
              <w:rPr>
                <w:rFonts w:asciiTheme="minorHAnsi" w:eastAsiaTheme="minorHAnsi" w:hAnsiTheme="minorHAnsi" w:cstheme="minorHAnsi"/>
                <w:color w:val="000000"/>
                <w:sz w:val="24"/>
                <w:szCs w:val="24"/>
                <w:lang w:val="en-US"/>
              </w:rPr>
            </w:pPr>
            <w:r w:rsidRPr="00833422">
              <w:rPr>
                <w:rFonts w:asciiTheme="minorHAnsi" w:eastAsiaTheme="minorHAnsi" w:hAnsiTheme="minorHAnsi" w:cstheme="minorHAnsi"/>
                <w:color w:val="000000"/>
                <w:sz w:val="24"/>
                <w:szCs w:val="24"/>
              </w:rPr>
              <w:t>Ναι (0)</w:t>
            </w:r>
          </w:p>
        </w:tc>
      </w:tr>
      <w:tr w:rsidR="00CB18C9" w:rsidRPr="00872FD2" w:rsidTr="002568DB">
        <w:trPr>
          <w:cnfStyle w:val="000000010000"/>
        </w:trPr>
        <w:tc>
          <w:tcPr>
            <w:tcW w:w="8522" w:type="dxa"/>
          </w:tcPr>
          <w:p w:rsidR="00CB18C9" w:rsidRPr="00833422" w:rsidRDefault="00CB18C9" w:rsidP="00833422">
            <w:pPr>
              <w:pStyle w:val="a5"/>
              <w:numPr>
                <w:ilvl w:val="0"/>
                <w:numId w:val="123"/>
              </w:numPr>
              <w:spacing w:after="0" w:line="360" w:lineRule="auto"/>
              <w:jc w:val="both"/>
              <w:rPr>
                <w:rFonts w:asciiTheme="minorHAnsi" w:eastAsiaTheme="minorHAnsi" w:hAnsiTheme="minorHAnsi" w:cstheme="minorHAnsi"/>
                <w:color w:val="000000"/>
                <w:sz w:val="24"/>
                <w:szCs w:val="24"/>
              </w:rPr>
            </w:pPr>
            <w:r w:rsidRPr="00833422">
              <w:rPr>
                <w:rFonts w:asciiTheme="minorHAnsi" w:eastAsiaTheme="minorHAnsi" w:hAnsiTheme="minorHAnsi" w:cstheme="minorHAnsi"/>
                <w:color w:val="000000"/>
                <w:sz w:val="24"/>
                <w:szCs w:val="24"/>
              </w:rPr>
              <w:t>Όχι (1)</w:t>
            </w:r>
          </w:p>
        </w:tc>
      </w:tr>
      <w:tr w:rsidR="00CB18C9" w:rsidRPr="00872FD2" w:rsidTr="002568DB">
        <w:trPr>
          <w:cnfStyle w:val="000000100000"/>
        </w:trPr>
        <w:tc>
          <w:tcPr>
            <w:tcW w:w="8522" w:type="dxa"/>
          </w:tcPr>
          <w:p w:rsidR="00CB18C9" w:rsidRPr="00710208" w:rsidRDefault="00CB18C9" w:rsidP="00872FD2">
            <w:pPr>
              <w:pStyle w:val="a5"/>
              <w:numPr>
                <w:ilvl w:val="0"/>
                <w:numId w:val="90"/>
              </w:numPr>
              <w:spacing w:after="0" w:line="360" w:lineRule="auto"/>
              <w:jc w:val="both"/>
              <w:rPr>
                <w:rFonts w:asciiTheme="minorHAnsi" w:eastAsiaTheme="minorHAnsi" w:hAnsiTheme="minorHAnsi" w:cstheme="minorHAnsi"/>
                <w:b/>
                <w:color w:val="000000"/>
                <w:sz w:val="24"/>
                <w:szCs w:val="24"/>
              </w:rPr>
            </w:pPr>
            <w:r w:rsidRPr="00710208">
              <w:rPr>
                <w:rFonts w:asciiTheme="minorHAnsi" w:eastAsiaTheme="minorHAnsi" w:hAnsiTheme="minorHAnsi" w:cstheme="minorHAnsi"/>
                <w:b/>
                <w:color w:val="000000"/>
                <w:sz w:val="24"/>
                <w:szCs w:val="24"/>
              </w:rPr>
              <w:t>Έχετε ποτέ ξεχάσει να πάρετε τα φάρμακά σας τις ημέρες που μεσολαβούν μεταξύ των δύο συνεδριών αιμοκάθαρσης;</w:t>
            </w:r>
          </w:p>
        </w:tc>
      </w:tr>
      <w:tr w:rsidR="00CB18C9" w:rsidRPr="00872FD2" w:rsidTr="002568DB">
        <w:trPr>
          <w:cnfStyle w:val="000000010000"/>
        </w:trPr>
        <w:tc>
          <w:tcPr>
            <w:tcW w:w="8522" w:type="dxa"/>
          </w:tcPr>
          <w:p w:rsidR="00CB18C9" w:rsidRPr="00833422" w:rsidRDefault="00CB18C9" w:rsidP="00833422">
            <w:pPr>
              <w:pStyle w:val="a5"/>
              <w:numPr>
                <w:ilvl w:val="0"/>
                <w:numId w:val="124"/>
              </w:numPr>
              <w:spacing w:after="0" w:line="360" w:lineRule="auto"/>
              <w:jc w:val="both"/>
              <w:rPr>
                <w:rFonts w:asciiTheme="minorHAnsi" w:eastAsiaTheme="minorHAnsi" w:hAnsiTheme="minorHAnsi" w:cstheme="minorHAnsi"/>
                <w:color w:val="000000"/>
                <w:sz w:val="24"/>
                <w:szCs w:val="24"/>
                <w:lang w:val="en-US"/>
              </w:rPr>
            </w:pPr>
            <w:r w:rsidRPr="00833422">
              <w:rPr>
                <w:rFonts w:asciiTheme="minorHAnsi" w:eastAsiaTheme="minorHAnsi" w:hAnsiTheme="minorHAnsi" w:cstheme="minorHAnsi"/>
                <w:color w:val="000000"/>
                <w:sz w:val="24"/>
                <w:szCs w:val="24"/>
              </w:rPr>
              <w:t>Ναι (0)</w:t>
            </w:r>
          </w:p>
        </w:tc>
      </w:tr>
      <w:tr w:rsidR="00CB18C9" w:rsidRPr="00872FD2" w:rsidTr="002568DB">
        <w:trPr>
          <w:cnfStyle w:val="000000100000"/>
        </w:trPr>
        <w:tc>
          <w:tcPr>
            <w:tcW w:w="8522" w:type="dxa"/>
          </w:tcPr>
          <w:p w:rsidR="00CB18C9" w:rsidRPr="00833422" w:rsidRDefault="00CB18C9" w:rsidP="00833422">
            <w:pPr>
              <w:pStyle w:val="a5"/>
              <w:numPr>
                <w:ilvl w:val="0"/>
                <w:numId w:val="124"/>
              </w:numPr>
              <w:spacing w:after="0" w:line="360" w:lineRule="auto"/>
              <w:jc w:val="both"/>
              <w:rPr>
                <w:rFonts w:asciiTheme="minorHAnsi" w:eastAsiaTheme="minorHAnsi" w:hAnsiTheme="minorHAnsi" w:cstheme="minorHAnsi"/>
                <w:color w:val="000000"/>
                <w:sz w:val="24"/>
                <w:szCs w:val="24"/>
              </w:rPr>
            </w:pPr>
            <w:r w:rsidRPr="00833422">
              <w:rPr>
                <w:rFonts w:asciiTheme="minorHAnsi" w:eastAsiaTheme="minorHAnsi" w:hAnsiTheme="minorHAnsi" w:cstheme="minorHAnsi"/>
                <w:color w:val="000000"/>
                <w:sz w:val="24"/>
                <w:szCs w:val="24"/>
              </w:rPr>
              <w:t>Όχι (1)</w:t>
            </w:r>
          </w:p>
        </w:tc>
      </w:tr>
      <w:tr w:rsidR="00CB18C9" w:rsidRPr="00872FD2" w:rsidTr="002568DB">
        <w:trPr>
          <w:cnfStyle w:val="000000010000"/>
        </w:trPr>
        <w:tc>
          <w:tcPr>
            <w:tcW w:w="8522" w:type="dxa"/>
          </w:tcPr>
          <w:p w:rsidR="00CB18C9" w:rsidRPr="00710208" w:rsidRDefault="00CB18C9" w:rsidP="00872FD2">
            <w:pPr>
              <w:pStyle w:val="a5"/>
              <w:numPr>
                <w:ilvl w:val="0"/>
                <w:numId w:val="90"/>
              </w:numPr>
              <w:spacing w:after="0" w:line="360" w:lineRule="auto"/>
              <w:jc w:val="both"/>
              <w:rPr>
                <w:rFonts w:asciiTheme="minorHAnsi" w:eastAsiaTheme="minorHAnsi" w:hAnsiTheme="minorHAnsi" w:cstheme="minorHAnsi"/>
                <w:b/>
                <w:color w:val="000000"/>
                <w:sz w:val="24"/>
                <w:szCs w:val="24"/>
              </w:rPr>
            </w:pPr>
            <w:r w:rsidRPr="00710208">
              <w:rPr>
                <w:rFonts w:asciiTheme="minorHAnsi" w:eastAsiaTheme="minorHAnsi" w:hAnsiTheme="minorHAnsi" w:cstheme="minorHAnsi"/>
                <w:b/>
                <w:color w:val="000000"/>
                <w:sz w:val="24"/>
                <w:szCs w:val="24"/>
              </w:rPr>
              <w:t>Την τελευταία εβδομάδα, πόσες φορές δεν πήρατε τη δόση του φαρμάκου σας;</w:t>
            </w:r>
          </w:p>
        </w:tc>
      </w:tr>
      <w:tr w:rsidR="00CB18C9" w:rsidRPr="00872FD2" w:rsidTr="002568DB">
        <w:trPr>
          <w:cnfStyle w:val="000000100000"/>
        </w:trPr>
        <w:tc>
          <w:tcPr>
            <w:tcW w:w="8522" w:type="dxa"/>
          </w:tcPr>
          <w:p w:rsidR="00CB18C9" w:rsidRPr="00833422" w:rsidRDefault="00CB18C9" w:rsidP="00833422">
            <w:pPr>
              <w:pStyle w:val="a5"/>
              <w:numPr>
                <w:ilvl w:val="0"/>
                <w:numId w:val="125"/>
              </w:numPr>
              <w:spacing w:after="0" w:line="360" w:lineRule="auto"/>
              <w:jc w:val="both"/>
              <w:rPr>
                <w:rFonts w:asciiTheme="minorHAnsi" w:eastAsiaTheme="minorHAnsi" w:hAnsiTheme="minorHAnsi" w:cstheme="minorHAnsi"/>
                <w:color w:val="000000"/>
                <w:sz w:val="24"/>
                <w:szCs w:val="24"/>
              </w:rPr>
            </w:pPr>
            <w:r w:rsidRPr="00833422">
              <w:rPr>
                <w:rFonts w:asciiTheme="minorHAnsi" w:eastAsiaTheme="minorHAnsi" w:hAnsiTheme="minorHAnsi" w:cstheme="minorHAnsi"/>
                <w:color w:val="000000"/>
                <w:sz w:val="24"/>
                <w:szCs w:val="24"/>
              </w:rPr>
              <w:t>Ποτέ (1)</w:t>
            </w:r>
          </w:p>
        </w:tc>
      </w:tr>
      <w:tr w:rsidR="00CB18C9" w:rsidRPr="00872FD2" w:rsidTr="002568DB">
        <w:trPr>
          <w:cnfStyle w:val="000000010000"/>
        </w:trPr>
        <w:tc>
          <w:tcPr>
            <w:tcW w:w="8522" w:type="dxa"/>
          </w:tcPr>
          <w:p w:rsidR="00CB18C9" w:rsidRPr="00833422" w:rsidRDefault="00CB18C9" w:rsidP="00833422">
            <w:pPr>
              <w:pStyle w:val="a5"/>
              <w:numPr>
                <w:ilvl w:val="0"/>
                <w:numId w:val="125"/>
              </w:numPr>
              <w:spacing w:after="0" w:line="360" w:lineRule="auto"/>
              <w:jc w:val="both"/>
              <w:rPr>
                <w:rFonts w:asciiTheme="minorHAnsi" w:eastAsiaTheme="minorHAnsi" w:hAnsiTheme="minorHAnsi" w:cstheme="minorHAnsi"/>
                <w:color w:val="000000"/>
                <w:sz w:val="24"/>
                <w:szCs w:val="24"/>
              </w:rPr>
            </w:pPr>
            <w:r w:rsidRPr="00833422">
              <w:rPr>
                <w:rFonts w:asciiTheme="minorHAnsi" w:eastAsiaTheme="minorHAnsi" w:hAnsiTheme="minorHAnsi" w:cstheme="minorHAnsi"/>
                <w:color w:val="000000"/>
                <w:sz w:val="24"/>
                <w:szCs w:val="24"/>
              </w:rPr>
              <w:t>1-2 φορές (1)</w:t>
            </w:r>
          </w:p>
        </w:tc>
      </w:tr>
      <w:tr w:rsidR="00CB18C9" w:rsidRPr="00872FD2" w:rsidTr="002568DB">
        <w:trPr>
          <w:cnfStyle w:val="000000100000"/>
        </w:trPr>
        <w:tc>
          <w:tcPr>
            <w:tcW w:w="8522" w:type="dxa"/>
          </w:tcPr>
          <w:p w:rsidR="00CB18C9" w:rsidRPr="00833422" w:rsidRDefault="00CB18C9" w:rsidP="00833422">
            <w:pPr>
              <w:pStyle w:val="a5"/>
              <w:numPr>
                <w:ilvl w:val="0"/>
                <w:numId w:val="125"/>
              </w:numPr>
              <w:spacing w:after="0" w:line="360" w:lineRule="auto"/>
              <w:jc w:val="both"/>
              <w:rPr>
                <w:rFonts w:asciiTheme="minorHAnsi" w:eastAsiaTheme="minorHAnsi" w:hAnsiTheme="minorHAnsi" w:cstheme="minorHAnsi"/>
                <w:color w:val="000000"/>
                <w:sz w:val="24"/>
                <w:szCs w:val="24"/>
              </w:rPr>
            </w:pPr>
            <w:r w:rsidRPr="00833422">
              <w:rPr>
                <w:rFonts w:asciiTheme="minorHAnsi" w:eastAsiaTheme="minorHAnsi" w:hAnsiTheme="minorHAnsi" w:cstheme="minorHAnsi"/>
                <w:color w:val="000000"/>
                <w:sz w:val="24"/>
                <w:szCs w:val="24"/>
              </w:rPr>
              <w:t>3-5 φορές (0)</w:t>
            </w:r>
          </w:p>
        </w:tc>
      </w:tr>
      <w:tr w:rsidR="00CB18C9" w:rsidRPr="00872FD2" w:rsidTr="002568DB">
        <w:trPr>
          <w:cnfStyle w:val="000000010000"/>
        </w:trPr>
        <w:tc>
          <w:tcPr>
            <w:tcW w:w="8522" w:type="dxa"/>
          </w:tcPr>
          <w:p w:rsidR="00CB18C9" w:rsidRPr="00833422" w:rsidRDefault="00CB18C9" w:rsidP="00833422">
            <w:pPr>
              <w:pStyle w:val="a5"/>
              <w:numPr>
                <w:ilvl w:val="0"/>
                <w:numId w:val="125"/>
              </w:numPr>
              <w:spacing w:after="0" w:line="360" w:lineRule="auto"/>
              <w:jc w:val="both"/>
              <w:rPr>
                <w:rFonts w:asciiTheme="minorHAnsi" w:eastAsiaTheme="minorHAnsi" w:hAnsiTheme="minorHAnsi" w:cstheme="minorHAnsi"/>
                <w:color w:val="000000"/>
                <w:sz w:val="24"/>
                <w:szCs w:val="24"/>
              </w:rPr>
            </w:pPr>
            <w:r w:rsidRPr="00833422">
              <w:rPr>
                <w:rFonts w:asciiTheme="minorHAnsi" w:eastAsiaTheme="minorHAnsi" w:hAnsiTheme="minorHAnsi" w:cstheme="minorHAnsi"/>
                <w:color w:val="000000"/>
                <w:sz w:val="24"/>
                <w:szCs w:val="24"/>
              </w:rPr>
              <w:t>6-10 φορές (0)</w:t>
            </w:r>
          </w:p>
        </w:tc>
      </w:tr>
      <w:tr w:rsidR="00CB18C9" w:rsidRPr="00872FD2" w:rsidTr="002568DB">
        <w:trPr>
          <w:cnfStyle w:val="000000100000"/>
        </w:trPr>
        <w:tc>
          <w:tcPr>
            <w:tcW w:w="8522" w:type="dxa"/>
          </w:tcPr>
          <w:p w:rsidR="00CB18C9" w:rsidRPr="00833422" w:rsidRDefault="00CB18C9" w:rsidP="00833422">
            <w:pPr>
              <w:pStyle w:val="a5"/>
              <w:numPr>
                <w:ilvl w:val="0"/>
                <w:numId w:val="125"/>
              </w:numPr>
              <w:spacing w:after="0" w:line="360" w:lineRule="auto"/>
              <w:jc w:val="both"/>
              <w:rPr>
                <w:rFonts w:asciiTheme="minorHAnsi" w:eastAsiaTheme="minorHAnsi" w:hAnsiTheme="minorHAnsi" w:cstheme="minorHAnsi"/>
                <w:color w:val="000000"/>
                <w:sz w:val="24"/>
                <w:szCs w:val="24"/>
              </w:rPr>
            </w:pPr>
            <w:r w:rsidRPr="00833422">
              <w:rPr>
                <w:rFonts w:asciiTheme="minorHAnsi" w:eastAsiaTheme="minorHAnsi" w:hAnsiTheme="minorHAnsi" w:cstheme="minorHAnsi"/>
                <w:color w:val="000000"/>
                <w:sz w:val="24"/>
                <w:szCs w:val="24"/>
              </w:rPr>
              <w:t>Περισσότερο από 10 φορές (0)</w:t>
            </w:r>
          </w:p>
        </w:tc>
      </w:tr>
      <w:tr w:rsidR="00833422" w:rsidRPr="00872FD2" w:rsidTr="002568DB">
        <w:trPr>
          <w:cnfStyle w:val="000000010000"/>
        </w:trPr>
        <w:tc>
          <w:tcPr>
            <w:tcW w:w="8522" w:type="dxa"/>
          </w:tcPr>
          <w:p w:rsidR="00833422" w:rsidRPr="00833422" w:rsidRDefault="00833422" w:rsidP="00833422">
            <w:pPr>
              <w:spacing w:line="240" w:lineRule="auto"/>
              <w:ind w:left="153"/>
              <w:jc w:val="center"/>
              <w:rPr>
                <w:rFonts w:cstheme="minorHAnsi"/>
                <w:b/>
                <w:sz w:val="24"/>
                <w:szCs w:val="24"/>
              </w:rPr>
            </w:pPr>
            <w:r w:rsidRPr="005A464E">
              <w:rPr>
                <w:rFonts w:cstheme="minorHAnsi"/>
                <w:b/>
                <w:sz w:val="24"/>
                <w:szCs w:val="24"/>
              </w:rPr>
              <w:t>ΠΑΡΟΥΣΙΑ ΣΤΗ ΣΥΝΕΔΡΙΑ</w:t>
            </w:r>
          </w:p>
        </w:tc>
      </w:tr>
      <w:tr w:rsidR="00833422" w:rsidRPr="00872FD2" w:rsidTr="002568DB">
        <w:trPr>
          <w:cnfStyle w:val="000000100000"/>
        </w:trPr>
        <w:tc>
          <w:tcPr>
            <w:tcW w:w="8522" w:type="dxa"/>
          </w:tcPr>
          <w:p w:rsidR="00833422" w:rsidRPr="00710208" w:rsidRDefault="00833422" w:rsidP="00833422">
            <w:pPr>
              <w:pStyle w:val="a5"/>
              <w:numPr>
                <w:ilvl w:val="0"/>
                <w:numId w:val="90"/>
              </w:numPr>
              <w:pBdr>
                <w:top w:val="single" w:sz="4" w:space="1" w:color="auto"/>
              </w:pBdr>
              <w:spacing w:line="360" w:lineRule="auto"/>
              <w:jc w:val="both"/>
              <w:rPr>
                <w:rFonts w:cstheme="minorHAnsi"/>
                <w:b/>
                <w:sz w:val="24"/>
                <w:szCs w:val="24"/>
              </w:rPr>
            </w:pPr>
            <w:r w:rsidRPr="00710208">
              <w:rPr>
                <w:rFonts w:cstheme="minorHAnsi"/>
                <w:b/>
                <w:sz w:val="24"/>
                <w:szCs w:val="24"/>
              </w:rPr>
              <w:t>Τον προηγούμενο μήνα πόσες φορές συντομεύσατε τη συνεδρία με δική σας πρωτοβουλία;</w:t>
            </w:r>
          </w:p>
        </w:tc>
      </w:tr>
      <w:tr w:rsidR="00833422" w:rsidRPr="00872FD2" w:rsidTr="00833422">
        <w:trPr>
          <w:cnfStyle w:val="000000010000"/>
        </w:trPr>
        <w:tc>
          <w:tcPr>
            <w:tcW w:w="8522" w:type="dxa"/>
          </w:tcPr>
          <w:p w:rsidR="00833422" w:rsidRPr="00833422" w:rsidRDefault="00833422" w:rsidP="00833422">
            <w:pPr>
              <w:pStyle w:val="a5"/>
              <w:numPr>
                <w:ilvl w:val="0"/>
                <w:numId w:val="126"/>
              </w:numPr>
              <w:spacing w:after="0" w:line="360" w:lineRule="auto"/>
              <w:jc w:val="both"/>
              <w:rPr>
                <w:rFonts w:asciiTheme="minorHAnsi" w:eastAsiaTheme="minorHAnsi" w:hAnsiTheme="minorHAnsi" w:cstheme="minorHAnsi"/>
                <w:color w:val="000000"/>
                <w:sz w:val="24"/>
                <w:szCs w:val="24"/>
              </w:rPr>
            </w:pPr>
            <w:r w:rsidRPr="00833422">
              <w:rPr>
                <w:rFonts w:cstheme="minorHAnsi"/>
                <w:sz w:val="24"/>
                <w:szCs w:val="24"/>
              </w:rPr>
              <w:t>Δεν έχω συντομεύσει τη συνεδρία (1)</w:t>
            </w:r>
          </w:p>
        </w:tc>
      </w:tr>
      <w:tr w:rsidR="00833422" w:rsidRPr="00872FD2" w:rsidTr="00833422">
        <w:trPr>
          <w:cnfStyle w:val="000000100000"/>
        </w:trPr>
        <w:tc>
          <w:tcPr>
            <w:tcW w:w="8522" w:type="dxa"/>
          </w:tcPr>
          <w:p w:rsidR="00833422" w:rsidRPr="00833422" w:rsidRDefault="00833422" w:rsidP="00833422">
            <w:pPr>
              <w:pStyle w:val="a5"/>
              <w:numPr>
                <w:ilvl w:val="0"/>
                <w:numId w:val="126"/>
              </w:numPr>
              <w:spacing w:after="0" w:line="360" w:lineRule="auto"/>
              <w:jc w:val="both"/>
              <w:rPr>
                <w:rFonts w:asciiTheme="minorHAnsi" w:eastAsiaTheme="minorHAnsi" w:hAnsiTheme="minorHAnsi" w:cstheme="minorHAnsi"/>
                <w:color w:val="000000"/>
                <w:sz w:val="24"/>
                <w:szCs w:val="24"/>
              </w:rPr>
            </w:pPr>
            <w:r w:rsidRPr="00833422">
              <w:rPr>
                <w:rFonts w:cstheme="minorHAnsi"/>
                <w:sz w:val="24"/>
                <w:szCs w:val="24"/>
              </w:rPr>
              <w:t>Μια φορά (1)</w:t>
            </w:r>
          </w:p>
        </w:tc>
      </w:tr>
      <w:tr w:rsidR="00833422" w:rsidRPr="00872FD2" w:rsidTr="00833422">
        <w:trPr>
          <w:cnfStyle w:val="000000010000"/>
        </w:trPr>
        <w:tc>
          <w:tcPr>
            <w:tcW w:w="8522" w:type="dxa"/>
          </w:tcPr>
          <w:p w:rsidR="00833422" w:rsidRPr="00833422" w:rsidRDefault="00833422" w:rsidP="00833422">
            <w:pPr>
              <w:pStyle w:val="a5"/>
              <w:numPr>
                <w:ilvl w:val="0"/>
                <w:numId w:val="126"/>
              </w:numPr>
              <w:spacing w:after="0" w:line="360" w:lineRule="auto"/>
              <w:jc w:val="both"/>
              <w:rPr>
                <w:rFonts w:asciiTheme="minorHAnsi" w:eastAsiaTheme="minorHAnsi" w:hAnsiTheme="minorHAnsi" w:cstheme="minorHAnsi"/>
                <w:color w:val="000000"/>
                <w:sz w:val="24"/>
                <w:szCs w:val="24"/>
              </w:rPr>
            </w:pPr>
            <w:r w:rsidRPr="00833422">
              <w:rPr>
                <w:rFonts w:cstheme="minorHAnsi"/>
                <w:sz w:val="24"/>
                <w:szCs w:val="24"/>
              </w:rPr>
              <w:t>Δύο φορές (0)</w:t>
            </w:r>
          </w:p>
        </w:tc>
      </w:tr>
      <w:tr w:rsidR="00833422" w:rsidRPr="00872FD2" w:rsidTr="00833422">
        <w:trPr>
          <w:cnfStyle w:val="000000100000"/>
        </w:trPr>
        <w:tc>
          <w:tcPr>
            <w:tcW w:w="8522" w:type="dxa"/>
          </w:tcPr>
          <w:p w:rsidR="00833422" w:rsidRPr="00833422" w:rsidRDefault="00833422" w:rsidP="00833422">
            <w:pPr>
              <w:pStyle w:val="a5"/>
              <w:numPr>
                <w:ilvl w:val="0"/>
                <w:numId w:val="126"/>
              </w:numPr>
              <w:spacing w:line="360" w:lineRule="auto"/>
              <w:jc w:val="both"/>
              <w:rPr>
                <w:rFonts w:cstheme="minorHAnsi"/>
                <w:sz w:val="24"/>
                <w:szCs w:val="24"/>
              </w:rPr>
            </w:pPr>
            <w:r w:rsidRPr="00833422">
              <w:rPr>
                <w:rFonts w:cstheme="minorHAnsi"/>
                <w:sz w:val="24"/>
                <w:szCs w:val="24"/>
              </w:rPr>
              <w:t>Τρεις φορές (0)</w:t>
            </w:r>
          </w:p>
        </w:tc>
      </w:tr>
      <w:tr w:rsidR="00833422" w:rsidRPr="00872FD2" w:rsidTr="00833422">
        <w:trPr>
          <w:cnfStyle w:val="000000010000"/>
        </w:trPr>
        <w:tc>
          <w:tcPr>
            <w:tcW w:w="8522" w:type="dxa"/>
          </w:tcPr>
          <w:p w:rsidR="00833422" w:rsidRPr="00833422" w:rsidRDefault="00833422" w:rsidP="00833422">
            <w:pPr>
              <w:pStyle w:val="a5"/>
              <w:numPr>
                <w:ilvl w:val="0"/>
                <w:numId w:val="126"/>
              </w:numPr>
              <w:spacing w:after="0" w:line="360" w:lineRule="auto"/>
              <w:jc w:val="both"/>
              <w:rPr>
                <w:rFonts w:cstheme="minorHAnsi"/>
                <w:sz w:val="24"/>
                <w:szCs w:val="24"/>
              </w:rPr>
            </w:pPr>
            <w:r w:rsidRPr="00833422">
              <w:rPr>
                <w:rFonts w:cstheme="minorHAnsi"/>
                <w:sz w:val="24"/>
                <w:szCs w:val="24"/>
              </w:rPr>
              <w:t>Τέσσερις –πέντε φορές (0)</w:t>
            </w:r>
          </w:p>
        </w:tc>
      </w:tr>
      <w:tr w:rsidR="00833422" w:rsidRPr="00872FD2" w:rsidTr="002568DB">
        <w:trPr>
          <w:cnfStyle w:val="000000100000"/>
        </w:trPr>
        <w:tc>
          <w:tcPr>
            <w:tcW w:w="8522" w:type="dxa"/>
          </w:tcPr>
          <w:p w:rsidR="00833422" w:rsidRPr="00710208" w:rsidRDefault="00833422" w:rsidP="00710208">
            <w:pPr>
              <w:pStyle w:val="a5"/>
              <w:numPr>
                <w:ilvl w:val="0"/>
                <w:numId w:val="90"/>
              </w:numPr>
              <w:spacing w:after="0" w:line="360" w:lineRule="auto"/>
              <w:jc w:val="both"/>
              <w:rPr>
                <w:rFonts w:asciiTheme="minorHAnsi" w:eastAsiaTheme="minorHAnsi" w:hAnsiTheme="minorHAnsi" w:cstheme="minorHAnsi"/>
                <w:b/>
                <w:color w:val="000000"/>
                <w:sz w:val="24"/>
                <w:szCs w:val="24"/>
              </w:rPr>
            </w:pPr>
            <w:r w:rsidRPr="00710208">
              <w:rPr>
                <w:rFonts w:cstheme="minorHAnsi"/>
                <w:b/>
                <w:sz w:val="24"/>
                <w:szCs w:val="24"/>
              </w:rPr>
              <w:t>Τον προηγούμενο μήνα, κατά μέσο όρο πόσα λεπτά συντομεύθηκε η συνεδρία με δική σας πρωτοβουλία;</w:t>
            </w:r>
          </w:p>
        </w:tc>
      </w:tr>
      <w:tr w:rsidR="00833422" w:rsidRPr="00872FD2" w:rsidTr="002568DB">
        <w:trPr>
          <w:cnfStyle w:val="000000010000"/>
        </w:trPr>
        <w:tc>
          <w:tcPr>
            <w:tcW w:w="8522" w:type="dxa"/>
          </w:tcPr>
          <w:p w:rsidR="00833422" w:rsidRPr="00833422" w:rsidRDefault="00833422" w:rsidP="00833422">
            <w:pPr>
              <w:pStyle w:val="a5"/>
              <w:numPr>
                <w:ilvl w:val="0"/>
                <w:numId w:val="127"/>
              </w:numPr>
              <w:spacing w:after="0" w:line="360" w:lineRule="auto"/>
              <w:jc w:val="both"/>
              <w:rPr>
                <w:rFonts w:asciiTheme="minorHAnsi" w:eastAsiaTheme="minorHAnsi" w:hAnsiTheme="minorHAnsi" w:cstheme="minorHAnsi"/>
                <w:color w:val="000000"/>
                <w:sz w:val="24"/>
                <w:szCs w:val="24"/>
              </w:rPr>
            </w:pPr>
            <w:r w:rsidRPr="00833422">
              <w:rPr>
                <w:rFonts w:cstheme="minorHAnsi"/>
                <w:sz w:val="24"/>
                <w:szCs w:val="24"/>
              </w:rPr>
              <w:t>Δεν έχω συντομεύσει τη συνεδρία (1)</w:t>
            </w:r>
          </w:p>
        </w:tc>
      </w:tr>
      <w:tr w:rsidR="00833422" w:rsidRPr="00872FD2" w:rsidTr="002568DB">
        <w:trPr>
          <w:cnfStyle w:val="000000100000"/>
        </w:trPr>
        <w:tc>
          <w:tcPr>
            <w:tcW w:w="8522" w:type="dxa"/>
          </w:tcPr>
          <w:p w:rsidR="00833422" w:rsidRPr="00833422" w:rsidRDefault="00833422" w:rsidP="00833422">
            <w:pPr>
              <w:pStyle w:val="a5"/>
              <w:numPr>
                <w:ilvl w:val="0"/>
                <w:numId w:val="127"/>
              </w:numPr>
              <w:spacing w:after="0" w:line="360" w:lineRule="auto"/>
              <w:jc w:val="both"/>
              <w:rPr>
                <w:rFonts w:cstheme="minorHAnsi"/>
                <w:sz w:val="24"/>
                <w:szCs w:val="24"/>
              </w:rPr>
            </w:pPr>
            <w:r w:rsidRPr="00833422">
              <w:rPr>
                <w:rFonts w:cstheme="minorHAnsi"/>
                <w:sz w:val="24"/>
                <w:szCs w:val="24"/>
              </w:rPr>
              <w:t>10 λεπτά ή και λιγότερο (1)</w:t>
            </w:r>
          </w:p>
        </w:tc>
      </w:tr>
      <w:tr w:rsidR="00833422" w:rsidRPr="00872FD2" w:rsidTr="002568DB">
        <w:trPr>
          <w:cnfStyle w:val="000000010000"/>
        </w:trPr>
        <w:tc>
          <w:tcPr>
            <w:tcW w:w="8522" w:type="dxa"/>
          </w:tcPr>
          <w:p w:rsidR="00833422" w:rsidRPr="00833422" w:rsidRDefault="00833422" w:rsidP="00833422">
            <w:pPr>
              <w:pStyle w:val="a5"/>
              <w:numPr>
                <w:ilvl w:val="0"/>
                <w:numId w:val="127"/>
              </w:numPr>
              <w:spacing w:after="0" w:line="360" w:lineRule="auto"/>
              <w:jc w:val="both"/>
              <w:rPr>
                <w:rFonts w:cstheme="minorHAnsi"/>
                <w:sz w:val="24"/>
                <w:szCs w:val="24"/>
              </w:rPr>
            </w:pPr>
            <w:r w:rsidRPr="00833422">
              <w:rPr>
                <w:rFonts w:cstheme="minorHAnsi"/>
                <w:sz w:val="24"/>
                <w:szCs w:val="24"/>
              </w:rPr>
              <w:t>11-20 λεπτά (0)</w:t>
            </w:r>
          </w:p>
        </w:tc>
      </w:tr>
      <w:tr w:rsidR="00833422" w:rsidRPr="00872FD2" w:rsidTr="002568DB">
        <w:trPr>
          <w:cnfStyle w:val="000000100000"/>
        </w:trPr>
        <w:tc>
          <w:tcPr>
            <w:tcW w:w="8522" w:type="dxa"/>
          </w:tcPr>
          <w:p w:rsidR="00833422" w:rsidRPr="00833422" w:rsidRDefault="00833422" w:rsidP="00833422">
            <w:pPr>
              <w:pStyle w:val="a5"/>
              <w:numPr>
                <w:ilvl w:val="0"/>
                <w:numId w:val="127"/>
              </w:numPr>
              <w:spacing w:line="360" w:lineRule="auto"/>
              <w:jc w:val="both"/>
              <w:rPr>
                <w:rFonts w:cstheme="minorHAnsi"/>
                <w:sz w:val="24"/>
                <w:szCs w:val="24"/>
              </w:rPr>
            </w:pPr>
            <w:r w:rsidRPr="00833422">
              <w:rPr>
                <w:rFonts w:cstheme="minorHAnsi"/>
                <w:sz w:val="24"/>
                <w:szCs w:val="24"/>
              </w:rPr>
              <w:t>21-30 λεπτά (0)</w:t>
            </w:r>
          </w:p>
        </w:tc>
      </w:tr>
      <w:tr w:rsidR="00833422" w:rsidRPr="00872FD2" w:rsidTr="002568DB">
        <w:trPr>
          <w:cnfStyle w:val="000000010000"/>
        </w:trPr>
        <w:tc>
          <w:tcPr>
            <w:tcW w:w="8522" w:type="dxa"/>
          </w:tcPr>
          <w:p w:rsidR="00833422" w:rsidRPr="00833422" w:rsidRDefault="00833422" w:rsidP="00833422">
            <w:pPr>
              <w:pStyle w:val="a5"/>
              <w:numPr>
                <w:ilvl w:val="0"/>
                <w:numId w:val="127"/>
              </w:numPr>
              <w:spacing w:after="0" w:line="360" w:lineRule="auto"/>
              <w:jc w:val="both"/>
              <w:rPr>
                <w:rFonts w:cstheme="minorHAnsi"/>
                <w:sz w:val="24"/>
                <w:szCs w:val="24"/>
              </w:rPr>
            </w:pPr>
            <w:r w:rsidRPr="00833422">
              <w:rPr>
                <w:rFonts w:cstheme="minorHAnsi"/>
                <w:sz w:val="24"/>
                <w:szCs w:val="24"/>
              </w:rPr>
              <w:t>Πάνω από 30 λεπτά (0)</w:t>
            </w:r>
          </w:p>
        </w:tc>
      </w:tr>
      <w:tr w:rsidR="00833422" w:rsidRPr="00872FD2" w:rsidTr="00833422">
        <w:tblPrEx>
          <w:tblLook w:val="04A0"/>
        </w:tblPrEx>
        <w:trPr>
          <w:cnfStyle w:val="000000100000"/>
        </w:trPr>
        <w:tc>
          <w:tcPr>
            <w:cnfStyle w:val="001000000000"/>
            <w:tcW w:w="8522" w:type="dxa"/>
          </w:tcPr>
          <w:p w:rsidR="00833422" w:rsidRPr="00833422" w:rsidRDefault="00833422" w:rsidP="00710208">
            <w:pPr>
              <w:spacing w:after="0" w:line="360" w:lineRule="auto"/>
              <w:jc w:val="center"/>
              <w:rPr>
                <w:rFonts w:asciiTheme="minorHAnsi" w:eastAsiaTheme="minorHAnsi" w:hAnsiTheme="minorHAnsi" w:cstheme="minorHAnsi"/>
                <w:bCs w:val="0"/>
                <w:color w:val="000000"/>
                <w:sz w:val="24"/>
                <w:szCs w:val="24"/>
              </w:rPr>
            </w:pPr>
            <w:r w:rsidRPr="00833422">
              <w:rPr>
                <w:rFonts w:asciiTheme="minorHAnsi" w:eastAsiaTheme="minorHAnsi" w:hAnsiTheme="minorHAnsi" w:cstheme="minorHAnsi"/>
                <w:bCs w:val="0"/>
                <w:color w:val="000000"/>
                <w:sz w:val="24"/>
                <w:szCs w:val="24"/>
              </w:rPr>
              <w:t>ΥΓΡΑ</w:t>
            </w:r>
          </w:p>
        </w:tc>
      </w:tr>
      <w:tr w:rsidR="00833422" w:rsidRPr="00872FD2" w:rsidTr="00833422">
        <w:tblPrEx>
          <w:tblLook w:val="04A0"/>
        </w:tblPrEx>
        <w:trPr>
          <w:cnfStyle w:val="000000010000"/>
        </w:trPr>
        <w:tc>
          <w:tcPr>
            <w:cnfStyle w:val="001000000000"/>
            <w:tcW w:w="8522" w:type="dxa"/>
          </w:tcPr>
          <w:p w:rsidR="00833422" w:rsidRPr="00710208" w:rsidRDefault="00833422" w:rsidP="00710208">
            <w:pPr>
              <w:pStyle w:val="a5"/>
              <w:numPr>
                <w:ilvl w:val="0"/>
                <w:numId w:val="90"/>
              </w:numPr>
              <w:spacing w:after="0" w:line="360" w:lineRule="auto"/>
              <w:jc w:val="both"/>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Κατά την προηγούμενη εβδομάδα, πόσο συχνά ακολουθήσατε τις οδηγίες για τον περιορισμό στα υγρά;</w:t>
            </w:r>
          </w:p>
        </w:tc>
      </w:tr>
      <w:tr w:rsidR="00833422" w:rsidRPr="00872FD2" w:rsidTr="00833422">
        <w:tblPrEx>
          <w:tblLook w:val="04A0"/>
        </w:tblPrEx>
        <w:trPr>
          <w:cnfStyle w:val="000000100000"/>
        </w:trPr>
        <w:tc>
          <w:tcPr>
            <w:cnfStyle w:val="001000000000"/>
            <w:tcW w:w="8522" w:type="dxa"/>
          </w:tcPr>
          <w:p w:rsidR="00833422" w:rsidRPr="00833422" w:rsidRDefault="00833422" w:rsidP="00833422">
            <w:pPr>
              <w:pStyle w:val="a5"/>
              <w:numPr>
                <w:ilvl w:val="0"/>
                <w:numId w:val="128"/>
              </w:numPr>
              <w:spacing w:after="0" w:line="360" w:lineRule="auto"/>
              <w:jc w:val="both"/>
              <w:rPr>
                <w:rFonts w:asciiTheme="minorHAnsi" w:eastAsiaTheme="minorHAnsi" w:hAnsiTheme="minorHAnsi" w:cstheme="minorHAnsi"/>
                <w:b w:val="0"/>
                <w:color w:val="000000"/>
                <w:sz w:val="24"/>
                <w:szCs w:val="24"/>
              </w:rPr>
            </w:pPr>
            <w:r w:rsidRPr="00833422">
              <w:rPr>
                <w:rFonts w:asciiTheme="minorHAnsi" w:eastAsiaTheme="minorHAnsi" w:hAnsiTheme="minorHAnsi" w:cstheme="minorHAnsi"/>
                <w:b w:val="0"/>
                <w:color w:val="000000"/>
                <w:sz w:val="24"/>
                <w:szCs w:val="24"/>
              </w:rPr>
              <w:t>Κάθε φορά (1)</w:t>
            </w:r>
          </w:p>
        </w:tc>
      </w:tr>
      <w:tr w:rsidR="00833422" w:rsidRPr="00872FD2" w:rsidTr="00833422">
        <w:tblPrEx>
          <w:tblLook w:val="04A0"/>
        </w:tblPrEx>
        <w:trPr>
          <w:cnfStyle w:val="000000010000"/>
        </w:trPr>
        <w:tc>
          <w:tcPr>
            <w:cnfStyle w:val="001000000000"/>
            <w:tcW w:w="8522" w:type="dxa"/>
          </w:tcPr>
          <w:p w:rsidR="00833422" w:rsidRPr="00833422" w:rsidRDefault="00833422" w:rsidP="00833422">
            <w:pPr>
              <w:pStyle w:val="a5"/>
              <w:numPr>
                <w:ilvl w:val="0"/>
                <w:numId w:val="128"/>
              </w:numPr>
              <w:spacing w:after="0" w:line="360" w:lineRule="auto"/>
              <w:jc w:val="both"/>
              <w:rPr>
                <w:rFonts w:asciiTheme="minorHAnsi" w:eastAsiaTheme="minorHAnsi" w:hAnsiTheme="minorHAnsi" w:cstheme="minorHAnsi"/>
                <w:b w:val="0"/>
                <w:color w:val="000000"/>
                <w:sz w:val="24"/>
                <w:szCs w:val="24"/>
              </w:rPr>
            </w:pPr>
            <w:r w:rsidRPr="00833422">
              <w:rPr>
                <w:rFonts w:asciiTheme="minorHAnsi" w:eastAsiaTheme="minorHAnsi" w:hAnsiTheme="minorHAnsi" w:cstheme="minorHAnsi"/>
                <w:b w:val="0"/>
                <w:color w:val="000000"/>
                <w:sz w:val="24"/>
                <w:szCs w:val="24"/>
              </w:rPr>
              <w:t>Τις περισσότερες φορές (1)</w:t>
            </w:r>
          </w:p>
        </w:tc>
      </w:tr>
      <w:tr w:rsidR="00833422" w:rsidRPr="00872FD2" w:rsidTr="00833422">
        <w:tblPrEx>
          <w:tblLook w:val="04A0"/>
        </w:tblPrEx>
        <w:trPr>
          <w:cnfStyle w:val="000000100000"/>
        </w:trPr>
        <w:tc>
          <w:tcPr>
            <w:cnfStyle w:val="001000000000"/>
            <w:tcW w:w="8522" w:type="dxa"/>
          </w:tcPr>
          <w:p w:rsidR="00833422" w:rsidRPr="00833422" w:rsidRDefault="00833422" w:rsidP="00833422">
            <w:pPr>
              <w:pStyle w:val="a5"/>
              <w:numPr>
                <w:ilvl w:val="0"/>
                <w:numId w:val="128"/>
              </w:numPr>
              <w:spacing w:after="0" w:line="360" w:lineRule="auto"/>
              <w:jc w:val="both"/>
              <w:rPr>
                <w:rFonts w:asciiTheme="minorHAnsi" w:eastAsiaTheme="minorHAnsi" w:hAnsiTheme="minorHAnsi" w:cstheme="minorHAnsi"/>
                <w:b w:val="0"/>
                <w:color w:val="000000"/>
                <w:sz w:val="24"/>
                <w:szCs w:val="24"/>
              </w:rPr>
            </w:pPr>
            <w:r w:rsidRPr="00833422">
              <w:rPr>
                <w:rFonts w:asciiTheme="minorHAnsi" w:eastAsiaTheme="minorHAnsi" w:hAnsiTheme="minorHAnsi" w:cstheme="minorHAnsi"/>
                <w:b w:val="0"/>
                <w:color w:val="000000"/>
                <w:sz w:val="24"/>
                <w:szCs w:val="24"/>
              </w:rPr>
              <w:t>Περίπου τις μισές φορές (0)</w:t>
            </w:r>
          </w:p>
        </w:tc>
      </w:tr>
      <w:tr w:rsidR="00833422" w:rsidRPr="00872FD2" w:rsidTr="00833422">
        <w:tblPrEx>
          <w:tblLook w:val="04A0"/>
        </w:tblPrEx>
        <w:trPr>
          <w:cnfStyle w:val="000000010000"/>
        </w:trPr>
        <w:tc>
          <w:tcPr>
            <w:cnfStyle w:val="001000000000"/>
            <w:tcW w:w="8522" w:type="dxa"/>
          </w:tcPr>
          <w:p w:rsidR="00833422" w:rsidRPr="00833422" w:rsidRDefault="00833422" w:rsidP="00833422">
            <w:pPr>
              <w:pStyle w:val="a5"/>
              <w:numPr>
                <w:ilvl w:val="0"/>
                <w:numId w:val="128"/>
              </w:numPr>
              <w:spacing w:after="0" w:line="360" w:lineRule="auto"/>
              <w:jc w:val="both"/>
              <w:rPr>
                <w:rFonts w:asciiTheme="minorHAnsi" w:eastAsiaTheme="minorHAnsi" w:hAnsiTheme="minorHAnsi" w:cstheme="minorHAnsi"/>
                <w:b w:val="0"/>
                <w:color w:val="000000"/>
                <w:sz w:val="24"/>
                <w:szCs w:val="24"/>
              </w:rPr>
            </w:pPr>
            <w:r w:rsidRPr="00833422">
              <w:rPr>
                <w:rFonts w:asciiTheme="minorHAnsi" w:eastAsiaTheme="minorHAnsi" w:hAnsiTheme="minorHAnsi" w:cstheme="minorHAnsi"/>
                <w:b w:val="0"/>
                <w:color w:val="000000"/>
                <w:sz w:val="24"/>
                <w:szCs w:val="24"/>
              </w:rPr>
              <w:t>Σπάνια (0)</w:t>
            </w:r>
          </w:p>
        </w:tc>
      </w:tr>
      <w:tr w:rsidR="00833422" w:rsidRPr="00872FD2" w:rsidTr="00833422">
        <w:tblPrEx>
          <w:tblLook w:val="04A0"/>
        </w:tblPrEx>
        <w:trPr>
          <w:cnfStyle w:val="000000100000"/>
        </w:trPr>
        <w:tc>
          <w:tcPr>
            <w:cnfStyle w:val="001000000000"/>
            <w:tcW w:w="8522" w:type="dxa"/>
          </w:tcPr>
          <w:p w:rsidR="00833422" w:rsidRPr="00833422" w:rsidRDefault="00833422" w:rsidP="00833422">
            <w:pPr>
              <w:pStyle w:val="a5"/>
              <w:numPr>
                <w:ilvl w:val="0"/>
                <w:numId w:val="128"/>
              </w:numPr>
              <w:spacing w:after="0" w:line="360" w:lineRule="auto"/>
              <w:jc w:val="both"/>
              <w:rPr>
                <w:rFonts w:asciiTheme="minorHAnsi" w:eastAsiaTheme="minorHAnsi" w:hAnsiTheme="minorHAnsi" w:cstheme="minorHAnsi"/>
                <w:b w:val="0"/>
                <w:color w:val="000000"/>
                <w:sz w:val="24"/>
                <w:szCs w:val="24"/>
              </w:rPr>
            </w:pPr>
            <w:r w:rsidRPr="00833422">
              <w:rPr>
                <w:rFonts w:asciiTheme="minorHAnsi" w:eastAsiaTheme="minorHAnsi" w:hAnsiTheme="minorHAnsi" w:cstheme="minorHAnsi"/>
                <w:b w:val="0"/>
                <w:color w:val="000000"/>
                <w:sz w:val="24"/>
                <w:szCs w:val="24"/>
              </w:rPr>
              <w:t>Ποτέ (0)</w:t>
            </w:r>
          </w:p>
        </w:tc>
      </w:tr>
      <w:tr w:rsidR="00833422" w:rsidRPr="00872FD2" w:rsidTr="00E13C5D">
        <w:tblPrEx>
          <w:tblLook w:val="04A0"/>
        </w:tblPrEx>
        <w:trPr>
          <w:cnfStyle w:val="000000010000"/>
        </w:trPr>
        <w:tc>
          <w:tcPr>
            <w:cnfStyle w:val="001000000000"/>
            <w:tcW w:w="8522" w:type="dxa"/>
            <w:shd w:val="clear" w:color="auto" w:fill="auto"/>
          </w:tcPr>
          <w:p w:rsidR="00833422" w:rsidRPr="00833422" w:rsidRDefault="00833422" w:rsidP="00710208">
            <w:pPr>
              <w:spacing w:after="0" w:line="360" w:lineRule="auto"/>
              <w:jc w:val="center"/>
              <w:rPr>
                <w:rFonts w:asciiTheme="minorHAnsi" w:eastAsiaTheme="minorHAnsi" w:hAnsiTheme="minorHAnsi" w:cstheme="minorHAnsi"/>
                <w:color w:val="000000"/>
                <w:sz w:val="24"/>
                <w:szCs w:val="24"/>
              </w:rPr>
            </w:pPr>
            <w:r w:rsidRPr="00833422">
              <w:rPr>
                <w:rFonts w:asciiTheme="minorHAnsi" w:eastAsiaTheme="minorHAnsi" w:hAnsiTheme="minorHAnsi" w:cstheme="minorHAnsi"/>
                <w:color w:val="000000"/>
                <w:sz w:val="24"/>
                <w:szCs w:val="24"/>
              </w:rPr>
              <w:t>ΔΙΑΙΤΗΤΙΚΗ ΑΓΩΓΗ</w:t>
            </w:r>
          </w:p>
        </w:tc>
      </w:tr>
      <w:tr w:rsidR="00833422" w:rsidRPr="00872FD2" w:rsidTr="00833422">
        <w:tblPrEx>
          <w:tblLook w:val="04A0"/>
        </w:tblPrEx>
        <w:trPr>
          <w:cnfStyle w:val="000000100000"/>
        </w:trPr>
        <w:tc>
          <w:tcPr>
            <w:cnfStyle w:val="001000000000"/>
            <w:tcW w:w="8522" w:type="dxa"/>
          </w:tcPr>
          <w:p w:rsidR="00833422" w:rsidRPr="00710208" w:rsidRDefault="00833422" w:rsidP="00710208">
            <w:pPr>
              <w:pStyle w:val="a5"/>
              <w:numPr>
                <w:ilvl w:val="0"/>
                <w:numId w:val="90"/>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Κατά την προηγούμενη εβδομάδα πόσες φορές ακολουθήσατε τις διαιτητικές συστάσεις;</w:t>
            </w:r>
          </w:p>
        </w:tc>
      </w:tr>
      <w:tr w:rsidR="00833422" w:rsidRPr="00872FD2" w:rsidTr="00833422">
        <w:tblPrEx>
          <w:tblLook w:val="04A0"/>
        </w:tblPrEx>
        <w:trPr>
          <w:cnfStyle w:val="000000010000"/>
        </w:trPr>
        <w:tc>
          <w:tcPr>
            <w:cnfStyle w:val="001000000000"/>
            <w:tcW w:w="8522" w:type="dxa"/>
          </w:tcPr>
          <w:p w:rsidR="00833422" w:rsidRPr="00833422" w:rsidRDefault="00833422" w:rsidP="00832906">
            <w:pPr>
              <w:pStyle w:val="a5"/>
              <w:numPr>
                <w:ilvl w:val="0"/>
                <w:numId w:val="129"/>
              </w:numPr>
              <w:spacing w:after="0" w:line="360" w:lineRule="auto"/>
              <w:rPr>
                <w:rFonts w:asciiTheme="minorHAnsi" w:eastAsiaTheme="minorHAnsi" w:hAnsiTheme="minorHAnsi" w:cstheme="minorHAnsi"/>
                <w:b w:val="0"/>
                <w:color w:val="000000"/>
                <w:sz w:val="24"/>
                <w:szCs w:val="24"/>
              </w:rPr>
            </w:pPr>
            <w:r w:rsidRPr="00833422">
              <w:rPr>
                <w:rFonts w:asciiTheme="minorHAnsi" w:eastAsiaTheme="minorHAnsi" w:hAnsiTheme="minorHAnsi" w:cstheme="minorHAnsi"/>
                <w:b w:val="0"/>
                <w:color w:val="000000"/>
                <w:sz w:val="24"/>
                <w:szCs w:val="24"/>
              </w:rPr>
              <w:t>Κάθε φορά (1)</w:t>
            </w:r>
          </w:p>
        </w:tc>
      </w:tr>
      <w:tr w:rsidR="00833422" w:rsidRPr="00872FD2" w:rsidTr="00833422">
        <w:tblPrEx>
          <w:tblLook w:val="04A0"/>
        </w:tblPrEx>
        <w:trPr>
          <w:cnfStyle w:val="000000100000"/>
        </w:trPr>
        <w:tc>
          <w:tcPr>
            <w:cnfStyle w:val="001000000000"/>
            <w:tcW w:w="8522" w:type="dxa"/>
          </w:tcPr>
          <w:p w:rsidR="00833422" w:rsidRPr="00833422" w:rsidRDefault="00833422" w:rsidP="00832906">
            <w:pPr>
              <w:pStyle w:val="a5"/>
              <w:numPr>
                <w:ilvl w:val="0"/>
                <w:numId w:val="129"/>
              </w:numPr>
              <w:spacing w:after="0" w:line="360" w:lineRule="auto"/>
              <w:rPr>
                <w:rFonts w:asciiTheme="minorHAnsi" w:eastAsiaTheme="minorHAnsi" w:hAnsiTheme="minorHAnsi" w:cstheme="minorHAnsi"/>
                <w:b w:val="0"/>
                <w:color w:val="000000"/>
                <w:sz w:val="24"/>
                <w:szCs w:val="24"/>
              </w:rPr>
            </w:pPr>
            <w:r w:rsidRPr="00833422">
              <w:rPr>
                <w:rFonts w:asciiTheme="minorHAnsi" w:eastAsiaTheme="minorHAnsi" w:hAnsiTheme="minorHAnsi" w:cstheme="minorHAnsi"/>
                <w:b w:val="0"/>
                <w:color w:val="000000"/>
                <w:sz w:val="24"/>
                <w:szCs w:val="24"/>
              </w:rPr>
              <w:t>Τις περισσότερες φορές (1)</w:t>
            </w:r>
          </w:p>
        </w:tc>
      </w:tr>
      <w:tr w:rsidR="00833422" w:rsidRPr="00872FD2" w:rsidTr="00833422">
        <w:tblPrEx>
          <w:tblLook w:val="04A0"/>
        </w:tblPrEx>
        <w:trPr>
          <w:cnfStyle w:val="000000010000"/>
        </w:trPr>
        <w:tc>
          <w:tcPr>
            <w:cnfStyle w:val="001000000000"/>
            <w:tcW w:w="8522" w:type="dxa"/>
          </w:tcPr>
          <w:p w:rsidR="00833422" w:rsidRPr="00833422" w:rsidRDefault="00833422" w:rsidP="00832906">
            <w:pPr>
              <w:pStyle w:val="a5"/>
              <w:numPr>
                <w:ilvl w:val="0"/>
                <w:numId w:val="129"/>
              </w:numPr>
              <w:spacing w:after="0" w:line="360" w:lineRule="auto"/>
              <w:rPr>
                <w:rFonts w:asciiTheme="minorHAnsi" w:eastAsiaTheme="minorHAnsi" w:hAnsiTheme="minorHAnsi" w:cstheme="minorHAnsi"/>
                <w:b w:val="0"/>
                <w:color w:val="000000"/>
                <w:sz w:val="24"/>
                <w:szCs w:val="24"/>
              </w:rPr>
            </w:pPr>
            <w:r w:rsidRPr="00833422">
              <w:rPr>
                <w:rFonts w:asciiTheme="minorHAnsi" w:eastAsiaTheme="minorHAnsi" w:hAnsiTheme="minorHAnsi" w:cstheme="minorHAnsi"/>
                <w:b w:val="0"/>
                <w:color w:val="000000"/>
                <w:sz w:val="24"/>
                <w:szCs w:val="24"/>
              </w:rPr>
              <w:t>Περίπου τις μισές φορές (0)</w:t>
            </w:r>
          </w:p>
        </w:tc>
      </w:tr>
      <w:tr w:rsidR="00833422" w:rsidRPr="00872FD2" w:rsidTr="00833422">
        <w:tblPrEx>
          <w:tblLook w:val="04A0"/>
        </w:tblPrEx>
        <w:trPr>
          <w:cnfStyle w:val="000000100000"/>
        </w:trPr>
        <w:tc>
          <w:tcPr>
            <w:cnfStyle w:val="001000000000"/>
            <w:tcW w:w="8522" w:type="dxa"/>
          </w:tcPr>
          <w:p w:rsidR="00833422" w:rsidRPr="00833422" w:rsidRDefault="00833422" w:rsidP="00832906">
            <w:pPr>
              <w:pStyle w:val="a5"/>
              <w:numPr>
                <w:ilvl w:val="0"/>
                <w:numId w:val="129"/>
              </w:numPr>
              <w:spacing w:after="0" w:line="360" w:lineRule="auto"/>
              <w:rPr>
                <w:rFonts w:asciiTheme="minorHAnsi" w:eastAsiaTheme="minorHAnsi" w:hAnsiTheme="minorHAnsi" w:cstheme="minorHAnsi"/>
                <w:b w:val="0"/>
                <w:color w:val="000000"/>
                <w:sz w:val="24"/>
                <w:szCs w:val="24"/>
              </w:rPr>
            </w:pPr>
            <w:r w:rsidRPr="00833422">
              <w:rPr>
                <w:rFonts w:asciiTheme="minorHAnsi" w:eastAsiaTheme="minorHAnsi" w:hAnsiTheme="minorHAnsi" w:cstheme="minorHAnsi"/>
                <w:b w:val="0"/>
                <w:color w:val="000000"/>
                <w:sz w:val="24"/>
                <w:szCs w:val="24"/>
              </w:rPr>
              <w:t>Σπάνια (0)</w:t>
            </w:r>
          </w:p>
        </w:tc>
      </w:tr>
      <w:tr w:rsidR="00833422" w:rsidRPr="00872FD2" w:rsidTr="00833422">
        <w:tblPrEx>
          <w:tblLook w:val="04A0"/>
        </w:tblPrEx>
        <w:trPr>
          <w:cnfStyle w:val="000000010000"/>
        </w:trPr>
        <w:tc>
          <w:tcPr>
            <w:cnfStyle w:val="001000000000"/>
            <w:tcW w:w="8522" w:type="dxa"/>
          </w:tcPr>
          <w:p w:rsidR="00833422" w:rsidRPr="00833422" w:rsidRDefault="00833422" w:rsidP="00832906">
            <w:pPr>
              <w:pStyle w:val="a5"/>
              <w:numPr>
                <w:ilvl w:val="0"/>
                <w:numId w:val="129"/>
              </w:numPr>
              <w:spacing w:after="0" w:line="360" w:lineRule="auto"/>
              <w:rPr>
                <w:rFonts w:asciiTheme="minorHAnsi" w:eastAsiaTheme="minorHAnsi" w:hAnsiTheme="minorHAnsi" w:cstheme="minorHAnsi"/>
                <w:b w:val="0"/>
                <w:color w:val="000000"/>
                <w:sz w:val="24"/>
                <w:szCs w:val="24"/>
              </w:rPr>
            </w:pPr>
            <w:r w:rsidRPr="00833422">
              <w:rPr>
                <w:rFonts w:asciiTheme="minorHAnsi" w:eastAsiaTheme="minorHAnsi" w:hAnsiTheme="minorHAnsi" w:cstheme="minorHAnsi"/>
                <w:b w:val="0"/>
                <w:color w:val="000000"/>
                <w:sz w:val="24"/>
                <w:szCs w:val="24"/>
              </w:rPr>
              <w:t>Ποτέ (0)</w:t>
            </w:r>
          </w:p>
        </w:tc>
      </w:tr>
    </w:tbl>
    <w:p w:rsidR="005A1BD6" w:rsidRPr="00833422" w:rsidRDefault="005A1BD6" w:rsidP="00833422">
      <w:pPr>
        <w:pBdr>
          <w:top w:val="single" w:sz="4" w:space="1" w:color="auto"/>
        </w:pBdr>
        <w:spacing w:line="360" w:lineRule="auto"/>
        <w:jc w:val="both"/>
        <w:rPr>
          <w:rFonts w:cstheme="minorHAnsi"/>
          <w:sz w:val="24"/>
          <w:szCs w:val="24"/>
        </w:rPr>
      </w:pPr>
    </w:p>
    <w:p w:rsidR="00B63B35" w:rsidRDefault="00B63B35" w:rsidP="005A464E">
      <w:pPr>
        <w:spacing w:line="360" w:lineRule="auto"/>
        <w:rPr>
          <w:b/>
        </w:rPr>
      </w:pPr>
    </w:p>
    <w:p w:rsidR="00833422" w:rsidRDefault="00833422" w:rsidP="005A464E">
      <w:pPr>
        <w:spacing w:line="360" w:lineRule="auto"/>
        <w:rPr>
          <w:b/>
        </w:rPr>
      </w:pPr>
    </w:p>
    <w:p w:rsidR="00710208" w:rsidRDefault="00710208" w:rsidP="005A464E">
      <w:pPr>
        <w:spacing w:line="360" w:lineRule="auto"/>
        <w:rPr>
          <w:b/>
        </w:rPr>
      </w:pPr>
    </w:p>
    <w:p w:rsidR="00B46AD1" w:rsidRPr="00F41D18" w:rsidRDefault="00B46AD1" w:rsidP="005A464E">
      <w:pPr>
        <w:spacing w:line="360" w:lineRule="auto"/>
        <w:rPr>
          <w:b/>
          <w:sz w:val="24"/>
          <w:szCs w:val="24"/>
          <w:lang w:val="en-US"/>
        </w:rPr>
      </w:pPr>
      <w:r w:rsidRPr="00F41D18">
        <w:rPr>
          <w:b/>
          <w:sz w:val="24"/>
          <w:szCs w:val="24"/>
          <w:lang w:val="en-US"/>
        </w:rPr>
        <w:t xml:space="preserve">MISSOULA-VITAS® QUALITY OF LIFE INDEX VERSION - 15R </w:t>
      </w:r>
    </w:p>
    <w:p w:rsidR="00B46AD1" w:rsidRPr="00F41D18" w:rsidRDefault="00B46AD1" w:rsidP="005A464E">
      <w:pPr>
        <w:spacing w:line="360" w:lineRule="auto"/>
        <w:rPr>
          <w:sz w:val="24"/>
          <w:szCs w:val="24"/>
          <w:lang w:val="en-US"/>
        </w:rPr>
      </w:pPr>
      <w:r w:rsidRPr="00F41D18">
        <w:rPr>
          <w:sz w:val="24"/>
          <w:szCs w:val="24"/>
          <w:lang w:val="en-US"/>
        </w:rPr>
        <w:t xml:space="preserve"> </w:t>
      </w:r>
      <w:r w:rsidRPr="00F41D18">
        <w:rPr>
          <w:sz w:val="24"/>
          <w:szCs w:val="24"/>
        </w:rPr>
        <w:t>Ονοματεπώνυμο</w:t>
      </w:r>
      <w:r w:rsidRPr="00F41D18">
        <w:rPr>
          <w:sz w:val="24"/>
          <w:szCs w:val="24"/>
          <w:lang w:val="en-US"/>
        </w:rPr>
        <w:t xml:space="preserve"> </w:t>
      </w:r>
      <w:r w:rsidRPr="00F41D18">
        <w:rPr>
          <w:sz w:val="24"/>
          <w:szCs w:val="24"/>
        </w:rPr>
        <w:t>ασθενή</w:t>
      </w:r>
      <w:r w:rsidRPr="00F41D18">
        <w:rPr>
          <w:sz w:val="24"/>
          <w:szCs w:val="24"/>
          <w:lang w:val="en-US"/>
        </w:rPr>
        <w:t xml:space="preserve"> (</w:t>
      </w:r>
      <w:r w:rsidRPr="00F41D18">
        <w:rPr>
          <w:sz w:val="24"/>
          <w:szCs w:val="24"/>
        </w:rPr>
        <w:t>προαιρετικά</w:t>
      </w:r>
      <w:r w:rsidRPr="00F41D18">
        <w:rPr>
          <w:sz w:val="24"/>
          <w:szCs w:val="24"/>
          <w:lang w:val="en-US"/>
        </w:rPr>
        <w:t xml:space="preserve">):……………………………………. </w:t>
      </w:r>
    </w:p>
    <w:p w:rsidR="00B46AD1" w:rsidRPr="00F41D18" w:rsidRDefault="00B46AD1" w:rsidP="005A464E">
      <w:pPr>
        <w:spacing w:line="360" w:lineRule="auto"/>
        <w:rPr>
          <w:sz w:val="24"/>
          <w:szCs w:val="24"/>
          <w:lang w:val="en-US"/>
        </w:rPr>
      </w:pPr>
      <w:r w:rsidRPr="00F41D18">
        <w:rPr>
          <w:sz w:val="24"/>
          <w:szCs w:val="24"/>
        </w:rPr>
        <w:t>Ημερομηνία</w:t>
      </w:r>
      <w:r w:rsidRPr="00F41D18">
        <w:rPr>
          <w:sz w:val="24"/>
          <w:szCs w:val="24"/>
          <w:lang w:val="en-US"/>
        </w:rPr>
        <w:t xml:space="preserve">:…………….............. </w:t>
      </w:r>
    </w:p>
    <w:p w:rsidR="00B46AD1" w:rsidRPr="00F41D18" w:rsidRDefault="00B46AD1" w:rsidP="005A464E">
      <w:pPr>
        <w:spacing w:line="360" w:lineRule="auto"/>
        <w:rPr>
          <w:sz w:val="24"/>
          <w:szCs w:val="24"/>
          <w:lang w:val="en-US"/>
        </w:rPr>
      </w:pPr>
    </w:p>
    <w:p w:rsidR="00B46AD1" w:rsidRPr="00F41D18" w:rsidRDefault="00B46AD1" w:rsidP="005A464E">
      <w:pPr>
        <w:spacing w:line="360" w:lineRule="auto"/>
        <w:rPr>
          <w:sz w:val="24"/>
          <w:szCs w:val="24"/>
          <w:lang w:val="en-US"/>
        </w:rPr>
      </w:pPr>
      <w:r w:rsidRPr="00F41D18">
        <w:rPr>
          <w:sz w:val="24"/>
          <w:szCs w:val="24"/>
          <w:lang w:val="en-US"/>
        </w:rPr>
        <w:t>MISSOULA - VITAS® QUALITY OF LIFE INDEX</w:t>
      </w:r>
    </w:p>
    <w:p w:rsidR="00B46AD1" w:rsidRPr="00F41D18" w:rsidRDefault="00B46AD1" w:rsidP="005A464E">
      <w:pPr>
        <w:spacing w:line="360" w:lineRule="auto"/>
        <w:rPr>
          <w:sz w:val="24"/>
          <w:szCs w:val="24"/>
          <w:lang w:val="en-US"/>
        </w:rPr>
      </w:pPr>
      <w:r w:rsidRPr="00F41D18">
        <w:rPr>
          <w:sz w:val="24"/>
          <w:szCs w:val="24"/>
          <w:lang w:val="en-US"/>
        </w:rPr>
        <w:t>VERSION – 15R</w:t>
      </w:r>
    </w:p>
    <w:p w:rsidR="00B46AD1" w:rsidRPr="00F41D18" w:rsidRDefault="00B46AD1" w:rsidP="005A464E">
      <w:pPr>
        <w:spacing w:line="360" w:lineRule="auto"/>
        <w:rPr>
          <w:sz w:val="24"/>
          <w:szCs w:val="24"/>
          <w:lang w:val="en-US"/>
        </w:rPr>
      </w:pPr>
      <w:r w:rsidRPr="00F41D18">
        <w:rPr>
          <w:sz w:val="24"/>
          <w:szCs w:val="24"/>
          <w:lang w:val="en-US"/>
        </w:rPr>
        <w:t xml:space="preserve">© Copyright 2004 by VITAS Healthcare Corporation, Miami, FL and Ira R. Byock, MD, Missoula, MT. </w:t>
      </w:r>
    </w:p>
    <w:p w:rsidR="00B46AD1" w:rsidRPr="00F41D18" w:rsidRDefault="00B46AD1" w:rsidP="005A464E">
      <w:pPr>
        <w:spacing w:line="360" w:lineRule="auto"/>
        <w:rPr>
          <w:sz w:val="24"/>
          <w:szCs w:val="24"/>
          <w:lang w:val="en-US"/>
        </w:rPr>
      </w:pPr>
      <w:r w:rsidRPr="00F41D18">
        <w:rPr>
          <w:sz w:val="24"/>
          <w:szCs w:val="24"/>
          <w:lang w:val="en-US"/>
        </w:rPr>
        <w:t xml:space="preserve">Do not reproduce without permission. </w:t>
      </w:r>
    </w:p>
    <w:p w:rsidR="00B46AD1" w:rsidRPr="00F41D18" w:rsidRDefault="00B46AD1" w:rsidP="005A464E">
      <w:pPr>
        <w:spacing w:line="360" w:lineRule="auto"/>
        <w:rPr>
          <w:b/>
          <w:sz w:val="24"/>
          <w:szCs w:val="24"/>
        </w:rPr>
      </w:pPr>
      <w:r w:rsidRPr="00F41D18">
        <w:rPr>
          <w:b/>
          <w:sz w:val="24"/>
          <w:szCs w:val="24"/>
        </w:rPr>
        <w:t xml:space="preserve">ΟΔΗΓΙΕΣ: </w:t>
      </w:r>
    </w:p>
    <w:p w:rsidR="00871D89" w:rsidRPr="00F41D18" w:rsidRDefault="00B46AD1" w:rsidP="00946211">
      <w:pPr>
        <w:spacing w:line="360" w:lineRule="auto"/>
        <w:jc w:val="both"/>
        <w:rPr>
          <w:sz w:val="24"/>
          <w:szCs w:val="24"/>
        </w:rPr>
      </w:pPr>
      <w:r w:rsidRPr="00F41D18">
        <w:rPr>
          <w:sz w:val="24"/>
          <w:szCs w:val="24"/>
        </w:rPr>
        <w:t xml:space="preserve">Σημειώστε το βαθμό στον οποίο συμφωνείτε ή διαφωνείτε με τις παρακάτω προτάσεις κυκλώνοντας κάθε φορά </w:t>
      </w:r>
      <w:r w:rsidR="00817853">
        <w:rPr>
          <w:sz w:val="24"/>
          <w:szCs w:val="24"/>
        </w:rPr>
        <w:t>μια</w:t>
      </w:r>
      <w:r w:rsidRPr="00F41D18">
        <w:rPr>
          <w:sz w:val="24"/>
          <w:szCs w:val="24"/>
        </w:rPr>
        <w:t xml:space="preserve"> απάντηση. Αν κάνετε λάθος ή αλλάξετε γνώμη, διαγράψτε με ένα Χ τη λάθος απάντηση και κυκλώστε τη σωστή απάντηση. Παρακαλούμε να απαντήσετε σε όλες τις ερωτήσεις. Σας ευχαριστούμε εκ των προτέρων. </w:t>
      </w:r>
    </w:p>
    <w:p w:rsidR="00B46AD1" w:rsidRPr="00F41D18" w:rsidRDefault="00B46AD1" w:rsidP="005A464E">
      <w:pPr>
        <w:spacing w:line="360" w:lineRule="auto"/>
        <w:rPr>
          <w:sz w:val="24"/>
          <w:szCs w:val="24"/>
        </w:rPr>
      </w:pPr>
      <w:r w:rsidRPr="00F41D18">
        <w:rPr>
          <w:b/>
          <w:sz w:val="24"/>
          <w:szCs w:val="24"/>
        </w:rPr>
        <w:t xml:space="preserve"> </w:t>
      </w:r>
    </w:p>
    <w:tbl>
      <w:tblPr>
        <w:tblStyle w:val="-41"/>
        <w:tblW w:w="8522" w:type="dxa"/>
        <w:tblLook w:val="0420"/>
      </w:tblPr>
      <w:tblGrid>
        <w:gridCol w:w="8522"/>
      </w:tblGrid>
      <w:tr w:rsidR="00871D89" w:rsidRPr="00872FD2" w:rsidTr="00710208">
        <w:trPr>
          <w:cnfStyle w:val="100000000000"/>
        </w:trPr>
        <w:tc>
          <w:tcPr>
            <w:tcW w:w="8522" w:type="dxa"/>
          </w:tcPr>
          <w:p w:rsidR="00871D89" w:rsidRPr="00710208" w:rsidRDefault="00871D89" w:rsidP="00872FD2">
            <w:pPr>
              <w:spacing w:after="0" w:line="360" w:lineRule="auto"/>
              <w:jc w:val="center"/>
              <w:rPr>
                <w:rFonts w:asciiTheme="minorHAnsi" w:eastAsiaTheme="minorHAnsi" w:hAnsiTheme="minorHAnsi" w:cstheme="minorHAnsi"/>
                <w:bCs w:val="0"/>
                <w:color w:val="000000"/>
                <w:sz w:val="24"/>
                <w:szCs w:val="24"/>
              </w:rPr>
            </w:pPr>
            <w:r w:rsidRPr="00710208">
              <w:rPr>
                <w:rFonts w:asciiTheme="minorHAnsi" w:eastAsiaTheme="minorHAnsi" w:hAnsiTheme="minorHAnsi" w:cstheme="minorHAnsi"/>
                <w:bCs w:val="0"/>
                <w:color w:val="000000"/>
                <w:sz w:val="24"/>
                <w:szCs w:val="24"/>
              </w:rPr>
              <w:t>ΣΦΑΙΡΙΚΗ ΠΟΙΟΤΗΤΑ ΖΩΗΣ</w:t>
            </w:r>
          </w:p>
        </w:tc>
      </w:tr>
      <w:tr w:rsidR="00B63B35" w:rsidRPr="00872FD2" w:rsidTr="00710208">
        <w:trPr>
          <w:cnfStyle w:val="000000100000"/>
        </w:trPr>
        <w:tc>
          <w:tcPr>
            <w:tcW w:w="8522" w:type="dxa"/>
          </w:tcPr>
          <w:p w:rsidR="00B63B35" w:rsidRPr="00872FD2" w:rsidRDefault="00B63B35" w:rsidP="00872FD2">
            <w:pPr>
              <w:spacing w:after="0" w:line="360" w:lineRule="auto"/>
              <w:rPr>
                <w:rFonts w:asciiTheme="minorHAnsi" w:eastAsiaTheme="minorHAnsi" w:hAnsiTheme="minorHAnsi" w:cstheme="minorHAnsi"/>
                <w:b/>
                <w:color w:val="000000"/>
                <w:sz w:val="24"/>
                <w:szCs w:val="24"/>
              </w:rPr>
            </w:pPr>
            <w:r w:rsidRPr="00872FD2">
              <w:rPr>
                <w:rFonts w:asciiTheme="minorHAnsi" w:eastAsiaTheme="minorHAnsi" w:hAnsiTheme="minorHAnsi" w:cstheme="minorHAnsi"/>
                <w:b/>
                <w:color w:val="000000"/>
                <w:sz w:val="24"/>
                <w:szCs w:val="24"/>
              </w:rPr>
              <w:t>Πώς θα βαθμολογούσατε τη συνολική ποιότητα ζωής σας;</w:t>
            </w:r>
          </w:p>
        </w:tc>
      </w:tr>
      <w:tr w:rsidR="00B63B35" w:rsidRPr="00872FD2" w:rsidTr="00710208">
        <w:trPr>
          <w:cnfStyle w:val="000000010000"/>
        </w:trPr>
        <w:tc>
          <w:tcPr>
            <w:tcW w:w="8522" w:type="dxa"/>
          </w:tcPr>
          <w:p w:rsidR="00B63B35" w:rsidRPr="00710208" w:rsidRDefault="00B63B35" w:rsidP="00832906">
            <w:pPr>
              <w:pStyle w:val="a5"/>
              <w:numPr>
                <w:ilvl w:val="0"/>
                <w:numId w:val="130"/>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Πολύ</w:t>
            </w:r>
            <w:r w:rsidR="0078495A" w:rsidRPr="00710208">
              <w:rPr>
                <w:rFonts w:asciiTheme="minorHAnsi" w:eastAsiaTheme="minorHAnsi" w:hAnsiTheme="minorHAnsi" w:cstheme="minorHAnsi"/>
                <w:color w:val="000000"/>
                <w:sz w:val="24"/>
                <w:szCs w:val="24"/>
              </w:rPr>
              <w:t xml:space="preserve"> </w:t>
            </w:r>
            <w:r w:rsidRPr="00710208">
              <w:rPr>
                <w:rFonts w:asciiTheme="minorHAnsi" w:eastAsiaTheme="minorHAnsi" w:hAnsiTheme="minorHAnsi" w:cstheme="minorHAnsi"/>
                <w:color w:val="000000"/>
                <w:sz w:val="24"/>
                <w:szCs w:val="24"/>
              </w:rPr>
              <w:t>Φτωχή</w:t>
            </w:r>
            <w:r w:rsidR="0078495A" w:rsidRPr="00710208">
              <w:rPr>
                <w:rFonts w:asciiTheme="minorHAnsi" w:eastAsiaTheme="minorHAnsi" w:hAnsiTheme="minorHAnsi" w:cstheme="minorHAnsi"/>
                <w:color w:val="000000"/>
                <w:sz w:val="24"/>
                <w:szCs w:val="24"/>
              </w:rPr>
              <w:t xml:space="preserve"> </w:t>
            </w:r>
            <w:r w:rsidR="00E13C5D">
              <w:rPr>
                <w:rFonts w:asciiTheme="minorHAnsi" w:eastAsiaTheme="minorHAnsi" w:hAnsiTheme="minorHAnsi" w:cstheme="minorHAnsi"/>
                <w:color w:val="000000"/>
                <w:sz w:val="24"/>
                <w:szCs w:val="24"/>
              </w:rPr>
              <w:t>(1)</w:t>
            </w:r>
          </w:p>
        </w:tc>
      </w:tr>
      <w:tr w:rsidR="00B63B35" w:rsidRPr="00872FD2" w:rsidTr="00710208">
        <w:trPr>
          <w:cnfStyle w:val="000000100000"/>
        </w:trPr>
        <w:tc>
          <w:tcPr>
            <w:tcW w:w="8522" w:type="dxa"/>
          </w:tcPr>
          <w:p w:rsidR="00B63B35" w:rsidRPr="00710208" w:rsidRDefault="00B63B35" w:rsidP="00832906">
            <w:pPr>
              <w:pStyle w:val="a5"/>
              <w:numPr>
                <w:ilvl w:val="0"/>
                <w:numId w:val="130"/>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Φτωχή</w:t>
            </w:r>
            <w:r w:rsidR="00E13C5D">
              <w:rPr>
                <w:rFonts w:asciiTheme="minorHAnsi" w:eastAsiaTheme="minorHAnsi" w:hAnsiTheme="minorHAnsi" w:cstheme="minorHAnsi"/>
                <w:color w:val="000000"/>
                <w:sz w:val="24"/>
                <w:szCs w:val="24"/>
              </w:rPr>
              <w:t xml:space="preserve"> (2)</w:t>
            </w:r>
          </w:p>
        </w:tc>
      </w:tr>
      <w:tr w:rsidR="00B63B35" w:rsidRPr="00872FD2" w:rsidTr="00710208">
        <w:trPr>
          <w:cnfStyle w:val="000000010000"/>
        </w:trPr>
        <w:tc>
          <w:tcPr>
            <w:tcW w:w="8522" w:type="dxa"/>
          </w:tcPr>
          <w:p w:rsidR="00B63B35" w:rsidRPr="00710208" w:rsidRDefault="00B63B35" w:rsidP="00832906">
            <w:pPr>
              <w:pStyle w:val="a5"/>
              <w:numPr>
                <w:ilvl w:val="0"/>
                <w:numId w:val="130"/>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 xml:space="preserve">Μέτρια </w:t>
            </w:r>
            <w:r w:rsidR="00E13C5D">
              <w:rPr>
                <w:rFonts w:asciiTheme="minorHAnsi" w:eastAsiaTheme="minorHAnsi" w:hAnsiTheme="minorHAnsi" w:cstheme="minorHAnsi"/>
                <w:color w:val="000000"/>
                <w:sz w:val="24"/>
                <w:szCs w:val="24"/>
              </w:rPr>
              <w:t>(3)</w:t>
            </w:r>
          </w:p>
        </w:tc>
      </w:tr>
      <w:tr w:rsidR="00B63B35" w:rsidRPr="00872FD2" w:rsidTr="00710208">
        <w:trPr>
          <w:cnfStyle w:val="000000100000"/>
        </w:trPr>
        <w:tc>
          <w:tcPr>
            <w:tcW w:w="8522" w:type="dxa"/>
          </w:tcPr>
          <w:p w:rsidR="00B63B35" w:rsidRPr="00710208" w:rsidRDefault="00B63B35" w:rsidP="00832906">
            <w:pPr>
              <w:pStyle w:val="a5"/>
              <w:numPr>
                <w:ilvl w:val="0"/>
                <w:numId w:val="130"/>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 xml:space="preserve">Καλή </w:t>
            </w:r>
            <w:r w:rsidR="00E13C5D">
              <w:rPr>
                <w:rFonts w:asciiTheme="minorHAnsi" w:eastAsiaTheme="minorHAnsi" w:hAnsiTheme="minorHAnsi" w:cstheme="minorHAnsi"/>
                <w:color w:val="000000"/>
                <w:sz w:val="24"/>
                <w:szCs w:val="24"/>
              </w:rPr>
              <w:t>(4)</w:t>
            </w:r>
          </w:p>
        </w:tc>
      </w:tr>
      <w:tr w:rsidR="00B63B35" w:rsidRPr="00872FD2" w:rsidTr="00710208">
        <w:trPr>
          <w:cnfStyle w:val="000000010000"/>
        </w:trPr>
        <w:tc>
          <w:tcPr>
            <w:tcW w:w="8522" w:type="dxa"/>
          </w:tcPr>
          <w:p w:rsidR="00B63B35" w:rsidRPr="00710208" w:rsidRDefault="00B63B35" w:rsidP="00832906">
            <w:pPr>
              <w:pStyle w:val="a5"/>
              <w:numPr>
                <w:ilvl w:val="0"/>
                <w:numId w:val="130"/>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Πολύ καλή</w:t>
            </w:r>
            <w:r w:rsidR="00E13C5D">
              <w:rPr>
                <w:rFonts w:asciiTheme="minorHAnsi" w:eastAsiaTheme="minorHAnsi" w:hAnsiTheme="minorHAnsi" w:cstheme="minorHAnsi"/>
                <w:color w:val="000000"/>
                <w:sz w:val="24"/>
                <w:szCs w:val="24"/>
              </w:rPr>
              <w:t xml:space="preserve"> (5)</w:t>
            </w:r>
            <w:r w:rsidRPr="00710208">
              <w:rPr>
                <w:rFonts w:asciiTheme="minorHAnsi" w:eastAsiaTheme="minorHAnsi" w:hAnsiTheme="minorHAnsi" w:cstheme="minorHAnsi"/>
                <w:color w:val="000000"/>
                <w:sz w:val="24"/>
                <w:szCs w:val="24"/>
              </w:rPr>
              <w:t xml:space="preserve"> </w:t>
            </w:r>
          </w:p>
        </w:tc>
      </w:tr>
      <w:tr w:rsidR="00B63B35" w:rsidRPr="00872FD2" w:rsidTr="00710208">
        <w:trPr>
          <w:cnfStyle w:val="000000100000"/>
        </w:trPr>
        <w:tc>
          <w:tcPr>
            <w:tcW w:w="8522" w:type="dxa"/>
          </w:tcPr>
          <w:p w:rsidR="00B63B35" w:rsidRPr="00872FD2" w:rsidRDefault="00B63B35" w:rsidP="00872FD2">
            <w:pPr>
              <w:spacing w:after="0" w:line="360" w:lineRule="auto"/>
              <w:jc w:val="center"/>
              <w:rPr>
                <w:rFonts w:asciiTheme="minorHAnsi" w:eastAsiaTheme="minorHAnsi" w:hAnsiTheme="minorHAnsi" w:cstheme="minorHAnsi"/>
                <w:b/>
                <w:color w:val="000000"/>
                <w:sz w:val="24"/>
                <w:szCs w:val="24"/>
              </w:rPr>
            </w:pPr>
            <w:r w:rsidRPr="00872FD2">
              <w:rPr>
                <w:rFonts w:asciiTheme="minorHAnsi" w:eastAsiaTheme="minorHAnsi" w:hAnsiTheme="minorHAnsi" w:cstheme="minorHAnsi"/>
                <w:b/>
                <w:color w:val="000000"/>
                <w:sz w:val="24"/>
                <w:szCs w:val="24"/>
              </w:rPr>
              <w:t>ΣΥΜΠΤΩΜΑΤΑ</w:t>
            </w:r>
          </w:p>
        </w:tc>
      </w:tr>
      <w:tr w:rsidR="00B63B35" w:rsidRPr="00872FD2" w:rsidTr="00710208">
        <w:trPr>
          <w:cnfStyle w:val="000000010000"/>
        </w:trPr>
        <w:tc>
          <w:tcPr>
            <w:tcW w:w="8522" w:type="dxa"/>
          </w:tcPr>
          <w:p w:rsidR="00B63B35" w:rsidRPr="00872FD2" w:rsidRDefault="00B63B35" w:rsidP="00872FD2">
            <w:pPr>
              <w:spacing w:after="0" w:line="360" w:lineRule="auto"/>
              <w:rPr>
                <w:rFonts w:asciiTheme="minorHAnsi" w:eastAsiaTheme="minorHAnsi" w:hAnsiTheme="minorHAnsi" w:cstheme="minorHAnsi"/>
                <w:b/>
                <w:color w:val="000000"/>
                <w:sz w:val="24"/>
                <w:szCs w:val="24"/>
              </w:rPr>
            </w:pPr>
            <w:r w:rsidRPr="00872FD2">
              <w:rPr>
                <w:rFonts w:asciiTheme="minorHAnsi" w:eastAsiaTheme="minorHAnsi" w:hAnsiTheme="minorHAnsi" w:cstheme="minorHAnsi"/>
                <w:b/>
                <w:color w:val="000000"/>
                <w:sz w:val="24"/>
                <w:szCs w:val="24"/>
              </w:rPr>
              <w:t xml:space="preserve">1. Αισθάνομαι άρρωστος/η συνέχεια </w:t>
            </w:r>
          </w:p>
        </w:tc>
      </w:tr>
      <w:tr w:rsidR="00B63B35" w:rsidRPr="00872FD2" w:rsidTr="00710208">
        <w:trPr>
          <w:cnfStyle w:val="000000100000"/>
        </w:trPr>
        <w:tc>
          <w:tcPr>
            <w:tcW w:w="8522" w:type="dxa"/>
          </w:tcPr>
          <w:p w:rsidR="00B63B35" w:rsidRPr="00710208" w:rsidRDefault="00B63B35" w:rsidP="00832906">
            <w:pPr>
              <w:pStyle w:val="a5"/>
              <w:numPr>
                <w:ilvl w:val="0"/>
                <w:numId w:val="132"/>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Συμφωνώ</w:t>
            </w:r>
            <w:r w:rsidR="0078495A" w:rsidRPr="00710208">
              <w:rPr>
                <w:rFonts w:asciiTheme="minorHAnsi" w:eastAsiaTheme="minorHAnsi" w:hAnsiTheme="minorHAnsi" w:cstheme="minorHAnsi"/>
                <w:color w:val="000000"/>
                <w:sz w:val="24"/>
                <w:szCs w:val="24"/>
              </w:rPr>
              <w:t xml:space="preserve"> </w:t>
            </w:r>
            <w:r w:rsidRPr="00710208">
              <w:rPr>
                <w:rFonts w:asciiTheme="minorHAnsi" w:eastAsiaTheme="minorHAnsi" w:hAnsiTheme="minorHAnsi" w:cstheme="minorHAnsi"/>
                <w:color w:val="000000"/>
                <w:sz w:val="24"/>
                <w:szCs w:val="24"/>
              </w:rPr>
              <w:t>Απόλυτα</w:t>
            </w:r>
            <w:r w:rsidR="00710208" w:rsidRPr="00710208">
              <w:rPr>
                <w:rFonts w:asciiTheme="minorHAnsi" w:eastAsiaTheme="minorHAnsi" w:hAnsiTheme="minorHAnsi" w:cstheme="minorHAnsi"/>
                <w:color w:val="000000"/>
                <w:sz w:val="24"/>
                <w:szCs w:val="24"/>
              </w:rPr>
              <w:t xml:space="preserve"> (-2)</w:t>
            </w:r>
          </w:p>
        </w:tc>
      </w:tr>
      <w:tr w:rsidR="00B63B35" w:rsidRPr="00872FD2" w:rsidTr="00710208">
        <w:trPr>
          <w:cnfStyle w:val="000000010000"/>
        </w:trPr>
        <w:tc>
          <w:tcPr>
            <w:tcW w:w="8522" w:type="dxa"/>
          </w:tcPr>
          <w:p w:rsidR="00B63B35" w:rsidRPr="00710208" w:rsidRDefault="00B63B35" w:rsidP="00832906">
            <w:pPr>
              <w:pStyle w:val="a5"/>
              <w:numPr>
                <w:ilvl w:val="0"/>
                <w:numId w:val="132"/>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Συμφωνώ</w:t>
            </w:r>
            <w:r w:rsidR="00710208" w:rsidRPr="00710208">
              <w:rPr>
                <w:rFonts w:asciiTheme="minorHAnsi" w:eastAsiaTheme="minorHAnsi" w:hAnsiTheme="minorHAnsi" w:cstheme="minorHAnsi"/>
                <w:color w:val="000000"/>
                <w:sz w:val="24"/>
                <w:szCs w:val="24"/>
              </w:rPr>
              <w:t xml:space="preserve"> (-1)</w:t>
            </w:r>
          </w:p>
        </w:tc>
      </w:tr>
      <w:tr w:rsidR="00B63B35" w:rsidRPr="00872FD2" w:rsidTr="00710208">
        <w:trPr>
          <w:cnfStyle w:val="000000100000"/>
        </w:trPr>
        <w:tc>
          <w:tcPr>
            <w:tcW w:w="8522" w:type="dxa"/>
          </w:tcPr>
          <w:p w:rsidR="00B63B35" w:rsidRPr="00710208" w:rsidRDefault="00B63B35" w:rsidP="00832906">
            <w:pPr>
              <w:pStyle w:val="a5"/>
              <w:numPr>
                <w:ilvl w:val="0"/>
                <w:numId w:val="132"/>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Ούτε συμφωνώ</w:t>
            </w:r>
            <w:r w:rsidR="0078495A" w:rsidRPr="00710208">
              <w:rPr>
                <w:rFonts w:asciiTheme="minorHAnsi" w:eastAsiaTheme="minorHAnsi" w:hAnsiTheme="minorHAnsi" w:cstheme="minorHAnsi"/>
                <w:color w:val="000000"/>
                <w:sz w:val="24"/>
                <w:szCs w:val="24"/>
              </w:rPr>
              <w:t xml:space="preserve"> </w:t>
            </w:r>
            <w:r w:rsidRPr="00710208">
              <w:rPr>
                <w:rFonts w:asciiTheme="minorHAnsi" w:eastAsiaTheme="minorHAnsi" w:hAnsiTheme="minorHAnsi" w:cstheme="minorHAnsi"/>
                <w:color w:val="000000"/>
                <w:sz w:val="24"/>
                <w:szCs w:val="24"/>
              </w:rPr>
              <w:t>ούτε Διαφωνώ</w:t>
            </w:r>
            <w:r w:rsidR="00710208" w:rsidRPr="00710208">
              <w:rPr>
                <w:rFonts w:asciiTheme="minorHAnsi" w:eastAsiaTheme="minorHAnsi" w:hAnsiTheme="minorHAnsi" w:cstheme="minorHAnsi"/>
                <w:color w:val="000000"/>
                <w:sz w:val="24"/>
                <w:szCs w:val="24"/>
              </w:rPr>
              <w:t xml:space="preserve"> (0)</w:t>
            </w:r>
          </w:p>
        </w:tc>
      </w:tr>
      <w:tr w:rsidR="00B63B35" w:rsidRPr="00872FD2" w:rsidTr="00710208">
        <w:trPr>
          <w:cnfStyle w:val="000000010000"/>
        </w:trPr>
        <w:tc>
          <w:tcPr>
            <w:tcW w:w="8522" w:type="dxa"/>
          </w:tcPr>
          <w:p w:rsidR="00B63B35" w:rsidRPr="00710208" w:rsidRDefault="00B63B35" w:rsidP="00832906">
            <w:pPr>
              <w:pStyle w:val="a5"/>
              <w:numPr>
                <w:ilvl w:val="0"/>
                <w:numId w:val="132"/>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Διαφωνώ</w:t>
            </w:r>
            <w:r w:rsidR="00710208" w:rsidRPr="00710208">
              <w:rPr>
                <w:rFonts w:asciiTheme="minorHAnsi" w:eastAsiaTheme="minorHAnsi" w:hAnsiTheme="minorHAnsi" w:cstheme="minorHAnsi"/>
                <w:color w:val="000000"/>
                <w:sz w:val="24"/>
                <w:szCs w:val="24"/>
              </w:rPr>
              <w:t xml:space="preserve"> (1)</w:t>
            </w:r>
          </w:p>
        </w:tc>
      </w:tr>
      <w:tr w:rsidR="00B63B35" w:rsidRPr="00872FD2" w:rsidTr="00710208">
        <w:trPr>
          <w:cnfStyle w:val="000000100000"/>
        </w:trPr>
        <w:tc>
          <w:tcPr>
            <w:tcW w:w="8522" w:type="dxa"/>
          </w:tcPr>
          <w:p w:rsidR="00B63B35" w:rsidRPr="00710208" w:rsidRDefault="00B63B35" w:rsidP="00832906">
            <w:pPr>
              <w:pStyle w:val="a5"/>
              <w:numPr>
                <w:ilvl w:val="0"/>
                <w:numId w:val="132"/>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Διαφωνώ</w:t>
            </w:r>
            <w:r w:rsidR="0078495A" w:rsidRPr="00710208">
              <w:rPr>
                <w:rFonts w:asciiTheme="minorHAnsi" w:eastAsiaTheme="minorHAnsi" w:hAnsiTheme="minorHAnsi" w:cstheme="minorHAnsi"/>
                <w:color w:val="000000"/>
                <w:sz w:val="24"/>
                <w:szCs w:val="24"/>
              </w:rPr>
              <w:t xml:space="preserve"> </w:t>
            </w:r>
            <w:r w:rsidRPr="00710208">
              <w:rPr>
                <w:rFonts w:asciiTheme="minorHAnsi" w:eastAsiaTheme="minorHAnsi" w:hAnsiTheme="minorHAnsi" w:cstheme="minorHAnsi"/>
                <w:color w:val="000000"/>
                <w:sz w:val="24"/>
                <w:szCs w:val="24"/>
              </w:rPr>
              <w:t xml:space="preserve"> απόλυτα</w:t>
            </w:r>
            <w:r w:rsidR="00710208" w:rsidRPr="00710208">
              <w:rPr>
                <w:rFonts w:asciiTheme="minorHAnsi" w:eastAsiaTheme="minorHAnsi" w:hAnsiTheme="minorHAnsi" w:cstheme="minorHAnsi"/>
                <w:color w:val="000000"/>
                <w:sz w:val="24"/>
                <w:szCs w:val="24"/>
              </w:rPr>
              <w:t xml:space="preserve"> (2)</w:t>
            </w:r>
          </w:p>
        </w:tc>
      </w:tr>
      <w:tr w:rsidR="00B63B35" w:rsidRPr="00872FD2" w:rsidTr="00710208">
        <w:trPr>
          <w:cnfStyle w:val="000000010000"/>
        </w:trPr>
        <w:tc>
          <w:tcPr>
            <w:tcW w:w="8522" w:type="dxa"/>
          </w:tcPr>
          <w:p w:rsidR="00B63B35" w:rsidRPr="00872FD2" w:rsidRDefault="00B63B35" w:rsidP="00872FD2">
            <w:pPr>
              <w:spacing w:after="0" w:line="360" w:lineRule="auto"/>
              <w:rPr>
                <w:rFonts w:asciiTheme="minorHAnsi" w:eastAsiaTheme="minorHAnsi" w:hAnsiTheme="minorHAnsi" w:cstheme="minorHAnsi"/>
                <w:b/>
                <w:color w:val="000000"/>
                <w:sz w:val="24"/>
                <w:szCs w:val="24"/>
              </w:rPr>
            </w:pPr>
            <w:r w:rsidRPr="00872FD2">
              <w:rPr>
                <w:rFonts w:asciiTheme="minorHAnsi" w:eastAsiaTheme="minorHAnsi" w:hAnsiTheme="minorHAnsi" w:cstheme="minorHAnsi"/>
                <w:b/>
                <w:color w:val="000000"/>
                <w:sz w:val="24"/>
                <w:szCs w:val="24"/>
              </w:rPr>
              <w:t>2. Είμαι ικανοποιημένος με τον τωρινό έλεγχο των συμπτωμάτων μου</w:t>
            </w:r>
          </w:p>
        </w:tc>
      </w:tr>
      <w:tr w:rsidR="00B63B35" w:rsidRPr="00872FD2" w:rsidTr="00710208">
        <w:trPr>
          <w:cnfStyle w:val="000000100000"/>
        </w:trPr>
        <w:tc>
          <w:tcPr>
            <w:tcW w:w="8522" w:type="dxa"/>
          </w:tcPr>
          <w:p w:rsidR="00B63B35" w:rsidRPr="00710208" w:rsidRDefault="00B63B35" w:rsidP="00832906">
            <w:pPr>
              <w:pStyle w:val="a5"/>
              <w:numPr>
                <w:ilvl w:val="0"/>
                <w:numId w:val="133"/>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Συμφωνώ απόλυτα</w:t>
            </w:r>
            <w:r w:rsidR="00710208" w:rsidRPr="00710208">
              <w:rPr>
                <w:rFonts w:asciiTheme="minorHAnsi" w:eastAsiaTheme="minorHAnsi" w:hAnsiTheme="minorHAnsi" w:cstheme="minorHAnsi"/>
                <w:color w:val="000000"/>
                <w:sz w:val="24"/>
                <w:szCs w:val="24"/>
              </w:rPr>
              <w:t xml:space="preserve"> (4)</w:t>
            </w:r>
          </w:p>
        </w:tc>
      </w:tr>
      <w:tr w:rsidR="00B63B35" w:rsidRPr="00872FD2" w:rsidTr="00710208">
        <w:trPr>
          <w:cnfStyle w:val="000000010000"/>
        </w:trPr>
        <w:tc>
          <w:tcPr>
            <w:tcW w:w="8522" w:type="dxa"/>
          </w:tcPr>
          <w:p w:rsidR="00B63B35" w:rsidRPr="00710208" w:rsidRDefault="00B63B35" w:rsidP="00832906">
            <w:pPr>
              <w:pStyle w:val="a5"/>
              <w:numPr>
                <w:ilvl w:val="0"/>
                <w:numId w:val="133"/>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Συμφωνώ</w:t>
            </w:r>
            <w:r w:rsidR="00710208" w:rsidRPr="00710208">
              <w:rPr>
                <w:rFonts w:asciiTheme="minorHAnsi" w:eastAsiaTheme="minorHAnsi" w:hAnsiTheme="minorHAnsi" w:cstheme="minorHAnsi"/>
                <w:color w:val="000000"/>
                <w:sz w:val="24"/>
                <w:szCs w:val="24"/>
              </w:rPr>
              <w:t xml:space="preserve"> (3)</w:t>
            </w:r>
          </w:p>
        </w:tc>
      </w:tr>
      <w:tr w:rsidR="00B63B35" w:rsidRPr="00872FD2" w:rsidTr="00710208">
        <w:trPr>
          <w:cnfStyle w:val="000000100000"/>
        </w:trPr>
        <w:tc>
          <w:tcPr>
            <w:tcW w:w="8522" w:type="dxa"/>
          </w:tcPr>
          <w:p w:rsidR="00B63B35" w:rsidRPr="00710208" w:rsidRDefault="00B63B35" w:rsidP="00832906">
            <w:pPr>
              <w:pStyle w:val="a5"/>
              <w:numPr>
                <w:ilvl w:val="0"/>
                <w:numId w:val="133"/>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Ούτε συμφωνώ ούτε Διαφωνώ</w:t>
            </w:r>
            <w:r w:rsidR="00710208" w:rsidRPr="00710208">
              <w:rPr>
                <w:rFonts w:asciiTheme="minorHAnsi" w:eastAsiaTheme="minorHAnsi" w:hAnsiTheme="minorHAnsi" w:cstheme="minorHAnsi"/>
                <w:color w:val="000000"/>
                <w:sz w:val="24"/>
                <w:szCs w:val="24"/>
              </w:rPr>
              <w:t xml:space="preserve"> (0)</w:t>
            </w:r>
          </w:p>
        </w:tc>
      </w:tr>
      <w:tr w:rsidR="00B63B35" w:rsidRPr="00872FD2" w:rsidTr="00710208">
        <w:trPr>
          <w:cnfStyle w:val="000000010000"/>
        </w:trPr>
        <w:tc>
          <w:tcPr>
            <w:tcW w:w="8522" w:type="dxa"/>
          </w:tcPr>
          <w:p w:rsidR="00B63B35" w:rsidRPr="00710208" w:rsidRDefault="00B63B35" w:rsidP="00832906">
            <w:pPr>
              <w:pStyle w:val="a5"/>
              <w:numPr>
                <w:ilvl w:val="0"/>
                <w:numId w:val="133"/>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Διαφωνώ</w:t>
            </w:r>
            <w:r w:rsidR="00710208" w:rsidRPr="00710208">
              <w:rPr>
                <w:rFonts w:asciiTheme="minorHAnsi" w:eastAsiaTheme="minorHAnsi" w:hAnsiTheme="minorHAnsi" w:cstheme="minorHAnsi"/>
                <w:color w:val="000000"/>
                <w:sz w:val="24"/>
                <w:szCs w:val="24"/>
              </w:rPr>
              <w:t xml:space="preserve"> (-3)</w:t>
            </w:r>
          </w:p>
        </w:tc>
      </w:tr>
      <w:tr w:rsidR="00B63B35" w:rsidRPr="00872FD2" w:rsidTr="00710208">
        <w:trPr>
          <w:cnfStyle w:val="000000100000"/>
        </w:trPr>
        <w:tc>
          <w:tcPr>
            <w:tcW w:w="8522" w:type="dxa"/>
          </w:tcPr>
          <w:p w:rsidR="00B63B35" w:rsidRPr="00710208" w:rsidRDefault="00B63B35" w:rsidP="00832906">
            <w:pPr>
              <w:pStyle w:val="a5"/>
              <w:numPr>
                <w:ilvl w:val="0"/>
                <w:numId w:val="133"/>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Διαφωνώ απόλυτα</w:t>
            </w:r>
            <w:r w:rsidR="00710208" w:rsidRPr="00710208">
              <w:rPr>
                <w:rFonts w:asciiTheme="minorHAnsi" w:eastAsiaTheme="minorHAnsi" w:hAnsiTheme="minorHAnsi" w:cstheme="minorHAnsi"/>
                <w:color w:val="000000"/>
                <w:sz w:val="24"/>
                <w:szCs w:val="24"/>
              </w:rPr>
              <w:t xml:space="preserve"> (-4)</w:t>
            </w:r>
          </w:p>
        </w:tc>
      </w:tr>
      <w:tr w:rsidR="00B63B35" w:rsidRPr="00872FD2" w:rsidTr="00710208">
        <w:trPr>
          <w:cnfStyle w:val="000000010000"/>
        </w:trPr>
        <w:tc>
          <w:tcPr>
            <w:tcW w:w="8522" w:type="dxa"/>
          </w:tcPr>
          <w:p w:rsidR="00B63B35" w:rsidRPr="00872FD2" w:rsidRDefault="00B63B35" w:rsidP="00872FD2">
            <w:pPr>
              <w:spacing w:after="0" w:line="360" w:lineRule="auto"/>
              <w:rPr>
                <w:rFonts w:asciiTheme="minorHAnsi" w:eastAsiaTheme="minorHAnsi" w:hAnsiTheme="minorHAnsi" w:cstheme="minorHAnsi"/>
                <w:b/>
                <w:color w:val="000000"/>
                <w:sz w:val="24"/>
                <w:szCs w:val="24"/>
              </w:rPr>
            </w:pPr>
            <w:r w:rsidRPr="00872FD2">
              <w:rPr>
                <w:rFonts w:asciiTheme="minorHAnsi" w:eastAsiaTheme="minorHAnsi" w:hAnsiTheme="minorHAnsi" w:cstheme="minorHAnsi"/>
                <w:b/>
                <w:color w:val="000000"/>
                <w:sz w:val="24"/>
                <w:szCs w:val="24"/>
              </w:rPr>
              <w:t xml:space="preserve">3. Η σωματική ενόχληση εμποδίζει κάθε ευκαιρία για διασκέδαση </w:t>
            </w:r>
          </w:p>
        </w:tc>
      </w:tr>
      <w:tr w:rsidR="00B63B35" w:rsidRPr="00872FD2" w:rsidTr="00710208">
        <w:trPr>
          <w:cnfStyle w:val="000000100000"/>
        </w:trPr>
        <w:tc>
          <w:tcPr>
            <w:tcW w:w="8522" w:type="dxa"/>
          </w:tcPr>
          <w:p w:rsidR="00B63B35" w:rsidRPr="00710208" w:rsidRDefault="00B63B35" w:rsidP="00832906">
            <w:pPr>
              <w:pStyle w:val="a5"/>
              <w:numPr>
                <w:ilvl w:val="0"/>
                <w:numId w:val="131"/>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Συμφωνώ απόλυτα</w:t>
            </w:r>
            <w:r w:rsidR="00710208">
              <w:rPr>
                <w:rFonts w:asciiTheme="minorHAnsi" w:eastAsiaTheme="minorHAnsi" w:hAnsiTheme="minorHAnsi" w:cstheme="minorHAnsi"/>
                <w:color w:val="000000"/>
                <w:sz w:val="24"/>
                <w:szCs w:val="24"/>
              </w:rPr>
              <w:t xml:space="preserve"> (5)</w:t>
            </w:r>
          </w:p>
        </w:tc>
      </w:tr>
      <w:tr w:rsidR="00B63B35" w:rsidRPr="00872FD2" w:rsidTr="00710208">
        <w:trPr>
          <w:cnfStyle w:val="000000010000"/>
        </w:trPr>
        <w:tc>
          <w:tcPr>
            <w:tcW w:w="8522" w:type="dxa"/>
          </w:tcPr>
          <w:p w:rsidR="00B63B35" w:rsidRPr="00710208" w:rsidRDefault="00B63B35" w:rsidP="00832906">
            <w:pPr>
              <w:pStyle w:val="a5"/>
              <w:numPr>
                <w:ilvl w:val="0"/>
                <w:numId w:val="131"/>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Συμφωνώ</w:t>
            </w:r>
            <w:r w:rsidR="00710208">
              <w:rPr>
                <w:rFonts w:asciiTheme="minorHAnsi" w:eastAsiaTheme="minorHAnsi" w:hAnsiTheme="minorHAnsi" w:cstheme="minorHAnsi"/>
                <w:color w:val="000000"/>
                <w:sz w:val="24"/>
                <w:szCs w:val="24"/>
              </w:rPr>
              <w:t xml:space="preserve"> (4)</w:t>
            </w:r>
          </w:p>
        </w:tc>
      </w:tr>
      <w:tr w:rsidR="00B63B35" w:rsidRPr="00872FD2" w:rsidTr="00710208">
        <w:trPr>
          <w:cnfStyle w:val="000000100000"/>
        </w:trPr>
        <w:tc>
          <w:tcPr>
            <w:tcW w:w="8522" w:type="dxa"/>
          </w:tcPr>
          <w:p w:rsidR="00B63B35" w:rsidRPr="00710208" w:rsidRDefault="00B63B35" w:rsidP="00832906">
            <w:pPr>
              <w:pStyle w:val="a5"/>
              <w:numPr>
                <w:ilvl w:val="0"/>
                <w:numId w:val="131"/>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Ούτε συμφωνώ ούτε διαφωνώ</w:t>
            </w:r>
            <w:r w:rsidR="00710208">
              <w:rPr>
                <w:rFonts w:asciiTheme="minorHAnsi" w:eastAsiaTheme="minorHAnsi" w:hAnsiTheme="minorHAnsi" w:cstheme="minorHAnsi"/>
                <w:color w:val="000000"/>
                <w:sz w:val="24"/>
                <w:szCs w:val="24"/>
              </w:rPr>
              <w:t xml:space="preserve"> (3)</w:t>
            </w:r>
          </w:p>
        </w:tc>
      </w:tr>
      <w:tr w:rsidR="00B63B35" w:rsidRPr="00872FD2" w:rsidTr="00710208">
        <w:trPr>
          <w:cnfStyle w:val="000000010000"/>
        </w:trPr>
        <w:tc>
          <w:tcPr>
            <w:tcW w:w="8522" w:type="dxa"/>
          </w:tcPr>
          <w:p w:rsidR="00B63B35" w:rsidRPr="00710208" w:rsidRDefault="00B63B35" w:rsidP="00832906">
            <w:pPr>
              <w:pStyle w:val="a5"/>
              <w:numPr>
                <w:ilvl w:val="0"/>
                <w:numId w:val="131"/>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Διαφωνώ</w:t>
            </w:r>
            <w:r w:rsidR="00710208">
              <w:rPr>
                <w:rFonts w:asciiTheme="minorHAnsi" w:eastAsiaTheme="minorHAnsi" w:hAnsiTheme="minorHAnsi" w:cstheme="minorHAnsi"/>
                <w:color w:val="000000"/>
                <w:sz w:val="24"/>
                <w:szCs w:val="24"/>
              </w:rPr>
              <w:t xml:space="preserve"> (2)</w:t>
            </w:r>
          </w:p>
        </w:tc>
      </w:tr>
      <w:tr w:rsidR="00B63B35" w:rsidRPr="00872FD2" w:rsidTr="00710208">
        <w:trPr>
          <w:cnfStyle w:val="000000100000"/>
        </w:trPr>
        <w:tc>
          <w:tcPr>
            <w:tcW w:w="8522" w:type="dxa"/>
          </w:tcPr>
          <w:p w:rsidR="00B63B35" w:rsidRPr="00710208" w:rsidRDefault="00B63B35" w:rsidP="00832906">
            <w:pPr>
              <w:pStyle w:val="a5"/>
              <w:numPr>
                <w:ilvl w:val="0"/>
                <w:numId w:val="131"/>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Διαφωνώ απόλυτα</w:t>
            </w:r>
            <w:r w:rsidR="00710208">
              <w:rPr>
                <w:rFonts w:asciiTheme="minorHAnsi" w:eastAsiaTheme="minorHAnsi" w:hAnsiTheme="minorHAnsi" w:cstheme="minorHAnsi"/>
                <w:color w:val="000000"/>
                <w:sz w:val="24"/>
                <w:szCs w:val="24"/>
              </w:rPr>
              <w:t xml:space="preserve"> (1)</w:t>
            </w:r>
          </w:p>
        </w:tc>
      </w:tr>
      <w:tr w:rsidR="00B63B35" w:rsidRPr="00872FD2" w:rsidTr="00710208">
        <w:trPr>
          <w:cnfStyle w:val="000000010000"/>
        </w:trPr>
        <w:tc>
          <w:tcPr>
            <w:tcW w:w="8522" w:type="dxa"/>
          </w:tcPr>
          <w:p w:rsidR="00B63B35" w:rsidRPr="00872FD2" w:rsidRDefault="00B63B35" w:rsidP="00872FD2">
            <w:pPr>
              <w:spacing w:after="0" w:line="360" w:lineRule="auto"/>
              <w:jc w:val="center"/>
              <w:rPr>
                <w:rFonts w:asciiTheme="minorHAnsi" w:eastAsiaTheme="minorHAnsi" w:hAnsiTheme="minorHAnsi" w:cstheme="minorHAnsi"/>
                <w:b/>
                <w:color w:val="000000"/>
                <w:sz w:val="24"/>
                <w:szCs w:val="24"/>
              </w:rPr>
            </w:pPr>
            <w:r w:rsidRPr="00872FD2">
              <w:rPr>
                <w:rFonts w:asciiTheme="minorHAnsi" w:eastAsiaTheme="minorHAnsi" w:hAnsiTheme="minorHAnsi" w:cstheme="minorHAnsi"/>
                <w:b/>
                <w:color w:val="000000"/>
                <w:sz w:val="24"/>
                <w:szCs w:val="24"/>
              </w:rPr>
              <w:t>ΛΕΙΤΟΥΡΓΙΚΟΤΗΤΑ</w:t>
            </w:r>
          </w:p>
        </w:tc>
      </w:tr>
      <w:tr w:rsidR="00B63B35" w:rsidRPr="00872FD2" w:rsidTr="00710208">
        <w:trPr>
          <w:cnfStyle w:val="000000100000"/>
        </w:trPr>
        <w:tc>
          <w:tcPr>
            <w:tcW w:w="8522" w:type="dxa"/>
          </w:tcPr>
          <w:p w:rsidR="00B63B35" w:rsidRPr="00872FD2" w:rsidRDefault="00B63B35" w:rsidP="00872FD2">
            <w:pPr>
              <w:spacing w:after="0" w:line="360" w:lineRule="auto"/>
              <w:rPr>
                <w:rFonts w:asciiTheme="minorHAnsi" w:eastAsiaTheme="minorHAnsi" w:hAnsiTheme="minorHAnsi" w:cstheme="minorHAnsi"/>
                <w:b/>
                <w:color w:val="000000"/>
                <w:sz w:val="24"/>
                <w:szCs w:val="24"/>
              </w:rPr>
            </w:pPr>
            <w:r w:rsidRPr="00872FD2">
              <w:rPr>
                <w:rFonts w:asciiTheme="minorHAnsi" w:eastAsiaTheme="minorHAnsi" w:hAnsiTheme="minorHAnsi" w:cstheme="minorHAnsi"/>
                <w:b/>
                <w:color w:val="000000"/>
                <w:sz w:val="24"/>
                <w:szCs w:val="24"/>
              </w:rPr>
              <w:t xml:space="preserve">4. Δεν είμαι πλέον ικανός/ή να κάνω πολλά από τα πράγματα που μού αρέσει να κάνω </w:t>
            </w:r>
          </w:p>
        </w:tc>
      </w:tr>
      <w:tr w:rsidR="00B63B35" w:rsidRPr="00872FD2" w:rsidTr="00710208">
        <w:trPr>
          <w:cnfStyle w:val="000000010000"/>
        </w:trPr>
        <w:tc>
          <w:tcPr>
            <w:tcW w:w="8522" w:type="dxa"/>
          </w:tcPr>
          <w:p w:rsidR="00B63B35" w:rsidRPr="00710208" w:rsidRDefault="00B63B35" w:rsidP="00832906">
            <w:pPr>
              <w:pStyle w:val="a5"/>
              <w:numPr>
                <w:ilvl w:val="0"/>
                <w:numId w:val="134"/>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Συμφωνώ απόλυτα</w:t>
            </w:r>
            <w:r w:rsidR="00710208" w:rsidRPr="00710208">
              <w:rPr>
                <w:rFonts w:asciiTheme="minorHAnsi" w:eastAsiaTheme="minorHAnsi" w:hAnsiTheme="minorHAnsi" w:cstheme="minorHAnsi"/>
                <w:color w:val="000000"/>
                <w:sz w:val="24"/>
                <w:szCs w:val="24"/>
              </w:rPr>
              <w:t xml:space="preserve"> (-2)</w:t>
            </w:r>
          </w:p>
        </w:tc>
      </w:tr>
      <w:tr w:rsidR="00B63B35" w:rsidRPr="00872FD2" w:rsidTr="00710208">
        <w:trPr>
          <w:cnfStyle w:val="000000100000"/>
        </w:trPr>
        <w:tc>
          <w:tcPr>
            <w:tcW w:w="8522" w:type="dxa"/>
          </w:tcPr>
          <w:p w:rsidR="00B63B35" w:rsidRPr="00710208" w:rsidRDefault="00B63B35" w:rsidP="00832906">
            <w:pPr>
              <w:pStyle w:val="a5"/>
              <w:numPr>
                <w:ilvl w:val="0"/>
                <w:numId w:val="134"/>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Συμφωνώ</w:t>
            </w:r>
            <w:r w:rsidR="00710208" w:rsidRPr="00710208">
              <w:rPr>
                <w:rFonts w:asciiTheme="minorHAnsi" w:eastAsiaTheme="minorHAnsi" w:hAnsiTheme="minorHAnsi" w:cstheme="minorHAnsi"/>
                <w:color w:val="000000"/>
                <w:sz w:val="24"/>
                <w:szCs w:val="24"/>
              </w:rPr>
              <w:t xml:space="preserve"> (-1)</w:t>
            </w:r>
          </w:p>
        </w:tc>
      </w:tr>
      <w:tr w:rsidR="00B63B35" w:rsidRPr="00872FD2" w:rsidTr="00710208">
        <w:trPr>
          <w:cnfStyle w:val="000000010000"/>
        </w:trPr>
        <w:tc>
          <w:tcPr>
            <w:tcW w:w="8522" w:type="dxa"/>
          </w:tcPr>
          <w:p w:rsidR="00B63B35" w:rsidRPr="00710208" w:rsidRDefault="00B63B35" w:rsidP="00832906">
            <w:pPr>
              <w:pStyle w:val="a5"/>
              <w:numPr>
                <w:ilvl w:val="0"/>
                <w:numId w:val="134"/>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Ούτε συμφωνώ ούτε διαφωνώ</w:t>
            </w:r>
            <w:r w:rsidR="00710208" w:rsidRPr="00710208">
              <w:rPr>
                <w:rFonts w:asciiTheme="minorHAnsi" w:eastAsiaTheme="minorHAnsi" w:hAnsiTheme="minorHAnsi" w:cstheme="minorHAnsi"/>
                <w:color w:val="000000"/>
                <w:sz w:val="24"/>
                <w:szCs w:val="24"/>
              </w:rPr>
              <w:t xml:space="preserve"> (0)</w:t>
            </w:r>
          </w:p>
        </w:tc>
      </w:tr>
      <w:tr w:rsidR="00B63B35" w:rsidRPr="00872FD2" w:rsidTr="00710208">
        <w:trPr>
          <w:cnfStyle w:val="000000100000"/>
        </w:trPr>
        <w:tc>
          <w:tcPr>
            <w:tcW w:w="8522" w:type="dxa"/>
          </w:tcPr>
          <w:p w:rsidR="00B63B35" w:rsidRPr="00710208" w:rsidRDefault="00B63B35" w:rsidP="00832906">
            <w:pPr>
              <w:pStyle w:val="a5"/>
              <w:numPr>
                <w:ilvl w:val="0"/>
                <w:numId w:val="134"/>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Διαφωνώ</w:t>
            </w:r>
            <w:r w:rsidR="00710208" w:rsidRPr="00710208">
              <w:rPr>
                <w:rFonts w:asciiTheme="minorHAnsi" w:eastAsiaTheme="minorHAnsi" w:hAnsiTheme="minorHAnsi" w:cstheme="minorHAnsi"/>
                <w:color w:val="000000"/>
                <w:sz w:val="24"/>
                <w:szCs w:val="24"/>
              </w:rPr>
              <w:t xml:space="preserve"> (1)</w:t>
            </w:r>
          </w:p>
        </w:tc>
      </w:tr>
      <w:tr w:rsidR="00B63B35" w:rsidRPr="00872FD2" w:rsidTr="00710208">
        <w:trPr>
          <w:cnfStyle w:val="000000010000"/>
        </w:trPr>
        <w:tc>
          <w:tcPr>
            <w:tcW w:w="8522" w:type="dxa"/>
          </w:tcPr>
          <w:p w:rsidR="00B63B35" w:rsidRPr="00710208" w:rsidRDefault="00B63B35" w:rsidP="00832906">
            <w:pPr>
              <w:pStyle w:val="a5"/>
              <w:numPr>
                <w:ilvl w:val="0"/>
                <w:numId w:val="134"/>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Διαφωνώ απόλυτα</w:t>
            </w:r>
            <w:r w:rsidR="00710208" w:rsidRPr="00710208">
              <w:rPr>
                <w:rFonts w:asciiTheme="minorHAnsi" w:eastAsiaTheme="minorHAnsi" w:hAnsiTheme="minorHAnsi" w:cstheme="minorHAnsi"/>
                <w:color w:val="000000"/>
                <w:sz w:val="24"/>
                <w:szCs w:val="24"/>
              </w:rPr>
              <w:t xml:space="preserve"> (2)</w:t>
            </w:r>
          </w:p>
        </w:tc>
      </w:tr>
      <w:tr w:rsidR="00B63B35" w:rsidRPr="00872FD2" w:rsidTr="00710208">
        <w:trPr>
          <w:cnfStyle w:val="000000100000"/>
        </w:trPr>
        <w:tc>
          <w:tcPr>
            <w:tcW w:w="8522" w:type="dxa"/>
          </w:tcPr>
          <w:p w:rsidR="00B63B35" w:rsidRPr="00872FD2" w:rsidRDefault="00B63B35" w:rsidP="00872FD2">
            <w:pPr>
              <w:spacing w:after="0" w:line="360" w:lineRule="auto"/>
              <w:rPr>
                <w:rFonts w:asciiTheme="minorHAnsi" w:eastAsiaTheme="minorHAnsi" w:hAnsiTheme="minorHAnsi" w:cstheme="minorHAnsi"/>
                <w:b/>
                <w:color w:val="000000"/>
                <w:sz w:val="24"/>
                <w:szCs w:val="24"/>
              </w:rPr>
            </w:pPr>
            <w:r w:rsidRPr="00872FD2">
              <w:rPr>
                <w:rFonts w:asciiTheme="minorHAnsi" w:eastAsiaTheme="minorHAnsi" w:hAnsiTheme="minorHAnsi" w:cstheme="minorHAnsi"/>
                <w:b/>
                <w:color w:val="000000"/>
                <w:sz w:val="24"/>
                <w:szCs w:val="24"/>
              </w:rPr>
              <w:t>5. Αποδέχομαι το γεγονός ότι δεν μπορώ να κάνω πολλά από τα πράγματα που συνήθιζα να κάνω</w:t>
            </w:r>
          </w:p>
        </w:tc>
      </w:tr>
      <w:tr w:rsidR="00B63B35" w:rsidRPr="00872FD2" w:rsidTr="00710208">
        <w:trPr>
          <w:cnfStyle w:val="000000010000"/>
        </w:trPr>
        <w:tc>
          <w:tcPr>
            <w:tcW w:w="8522" w:type="dxa"/>
          </w:tcPr>
          <w:p w:rsidR="00B63B35" w:rsidRPr="00710208" w:rsidRDefault="00B63B35" w:rsidP="00832906">
            <w:pPr>
              <w:pStyle w:val="a5"/>
              <w:numPr>
                <w:ilvl w:val="0"/>
                <w:numId w:val="135"/>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Συμφωνώ</w:t>
            </w:r>
            <w:r w:rsidR="00710208" w:rsidRPr="00710208">
              <w:rPr>
                <w:rFonts w:asciiTheme="minorHAnsi" w:eastAsiaTheme="minorHAnsi" w:hAnsiTheme="minorHAnsi" w:cstheme="minorHAnsi"/>
                <w:color w:val="000000"/>
                <w:sz w:val="24"/>
                <w:szCs w:val="24"/>
              </w:rPr>
              <w:t xml:space="preserve"> (4)</w:t>
            </w:r>
          </w:p>
        </w:tc>
      </w:tr>
      <w:tr w:rsidR="00B63B35" w:rsidRPr="00872FD2" w:rsidTr="00710208">
        <w:trPr>
          <w:cnfStyle w:val="000000100000"/>
        </w:trPr>
        <w:tc>
          <w:tcPr>
            <w:tcW w:w="8522" w:type="dxa"/>
          </w:tcPr>
          <w:p w:rsidR="00B63B35" w:rsidRPr="00710208" w:rsidRDefault="00B63B35" w:rsidP="00832906">
            <w:pPr>
              <w:pStyle w:val="a5"/>
              <w:numPr>
                <w:ilvl w:val="0"/>
                <w:numId w:val="135"/>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Συμφωνώ</w:t>
            </w:r>
            <w:r w:rsidR="00710208" w:rsidRPr="00710208">
              <w:rPr>
                <w:rFonts w:asciiTheme="minorHAnsi" w:eastAsiaTheme="minorHAnsi" w:hAnsiTheme="minorHAnsi" w:cstheme="minorHAnsi"/>
                <w:color w:val="000000"/>
                <w:sz w:val="24"/>
                <w:szCs w:val="24"/>
              </w:rPr>
              <w:t xml:space="preserve"> (3)</w:t>
            </w:r>
          </w:p>
        </w:tc>
      </w:tr>
      <w:tr w:rsidR="00B63B35" w:rsidRPr="00872FD2" w:rsidTr="00710208">
        <w:trPr>
          <w:cnfStyle w:val="000000010000"/>
        </w:trPr>
        <w:tc>
          <w:tcPr>
            <w:tcW w:w="8522" w:type="dxa"/>
          </w:tcPr>
          <w:p w:rsidR="00B63B35" w:rsidRPr="00710208" w:rsidRDefault="00B63B35" w:rsidP="00832906">
            <w:pPr>
              <w:pStyle w:val="a5"/>
              <w:numPr>
                <w:ilvl w:val="0"/>
                <w:numId w:val="135"/>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Ούτε συμφωνώ ούτε διαφωνώ</w:t>
            </w:r>
            <w:r w:rsidR="00710208" w:rsidRPr="00710208">
              <w:rPr>
                <w:rFonts w:asciiTheme="minorHAnsi" w:eastAsiaTheme="minorHAnsi" w:hAnsiTheme="minorHAnsi" w:cstheme="minorHAnsi"/>
                <w:color w:val="000000"/>
                <w:sz w:val="24"/>
                <w:szCs w:val="24"/>
              </w:rPr>
              <w:t xml:space="preserve"> (0)</w:t>
            </w:r>
          </w:p>
        </w:tc>
      </w:tr>
      <w:tr w:rsidR="00B63B35" w:rsidRPr="00872FD2" w:rsidTr="00710208">
        <w:trPr>
          <w:cnfStyle w:val="000000100000"/>
        </w:trPr>
        <w:tc>
          <w:tcPr>
            <w:tcW w:w="8522" w:type="dxa"/>
          </w:tcPr>
          <w:p w:rsidR="00B63B35" w:rsidRPr="00710208" w:rsidRDefault="00B63B35" w:rsidP="00832906">
            <w:pPr>
              <w:pStyle w:val="a5"/>
              <w:numPr>
                <w:ilvl w:val="0"/>
                <w:numId w:val="135"/>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Διαφωνώ</w:t>
            </w:r>
            <w:r w:rsidR="00710208" w:rsidRPr="00710208">
              <w:rPr>
                <w:rFonts w:asciiTheme="minorHAnsi" w:eastAsiaTheme="minorHAnsi" w:hAnsiTheme="minorHAnsi" w:cstheme="minorHAnsi"/>
                <w:color w:val="000000"/>
                <w:sz w:val="24"/>
                <w:szCs w:val="24"/>
              </w:rPr>
              <w:t xml:space="preserve"> (-3)</w:t>
            </w:r>
          </w:p>
        </w:tc>
      </w:tr>
      <w:tr w:rsidR="00B63B35" w:rsidRPr="00872FD2" w:rsidTr="00710208">
        <w:trPr>
          <w:cnfStyle w:val="000000010000"/>
        </w:trPr>
        <w:tc>
          <w:tcPr>
            <w:tcW w:w="8522" w:type="dxa"/>
          </w:tcPr>
          <w:p w:rsidR="00B63B35" w:rsidRPr="00710208" w:rsidRDefault="00B63B35" w:rsidP="00832906">
            <w:pPr>
              <w:pStyle w:val="a5"/>
              <w:numPr>
                <w:ilvl w:val="0"/>
                <w:numId w:val="135"/>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Διαφωνώ απόλυτα</w:t>
            </w:r>
            <w:r w:rsidR="00710208" w:rsidRPr="00710208">
              <w:rPr>
                <w:rFonts w:asciiTheme="minorHAnsi" w:eastAsiaTheme="minorHAnsi" w:hAnsiTheme="minorHAnsi" w:cstheme="minorHAnsi"/>
                <w:color w:val="000000"/>
                <w:sz w:val="24"/>
                <w:szCs w:val="24"/>
              </w:rPr>
              <w:t xml:space="preserve"> (-4)</w:t>
            </w:r>
          </w:p>
        </w:tc>
      </w:tr>
      <w:tr w:rsidR="00B63B35" w:rsidRPr="00872FD2" w:rsidTr="00710208">
        <w:trPr>
          <w:cnfStyle w:val="000000100000"/>
        </w:trPr>
        <w:tc>
          <w:tcPr>
            <w:tcW w:w="8522" w:type="dxa"/>
          </w:tcPr>
          <w:p w:rsidR="00B63B35" w:rsidRPr="00872FD2" w:rsidRDefault="00B63B35" w:rsidP="00872FD2">
            <w:pPr>
              <w:spacing w:after="0" w:line="360" w:lineRule="auto"/>
              <w:rPr>
                <w:rFonts w:asciiTheme="minorHAnsi" w:eastAsiaTheme="minorHAnsi" w:hAnsiTheme="minorHAnsi" w:cstheme="minorHAnsi"/>
                <w:b/>
                <w:color w:val="000000"/>
                <w:sz w:val="24"/>
                <w:szCs w:val="24"/>
              </w:rPr>
            </w:pPr>
            <w:r w:rsidRPr="00872FD2">
              <w:rPr>
                <w:rFonts w:asciiTheme="minorHAnsi" w:eastAsiaTheme="minorHAnsi" w:hAnsiTheme="minorHAnsi" w:cstheme="minorHAnsi"/>
                <w:b/>
                <w:color w:val="000000"/>
                <w:sz w:val="24"/>
                <w:szCs w:val="24"/>
              </w:rPr>
              <w:t>6. Η ικανοποίηση από τη ζωή μου εξαρτάται από το να είμαι δραστήριος/α και να μπορώ να αυτοεξυπηρετούμαι</w:t>
            </w:r>
          </w:p>
        </w:tc>
      </w:tr>
      <w:tr w:rsidR="00B63B35" w:rsidRPr="00872FD2" w:rsidTr="00710208">
        <w:trPr>
          <w:cnfStyle w:val="000000010000"/>
        </w:trPr>
        <w:tc>
          <w:tcPr>
            <w:tcW w:w="8522" w:type="dxa"/>
          </w:tcPr>
          <w:p w:rsidR="00B63B35" w:rsidRPr="00710208" w:rsidRDefault="00B63B35" w:rsidP="00832906">
            <w:pPr>
              <w:pStyle w:val="a5"/>
              <w:numPr>
                <w:ilvl w:val="0"/>
                <w:numId w:val="136"/>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Συμφωνώ</w:t>
            </w:r>
            <w:r w:rsidR="0078495A" w:rsidRPr="00710208">
              <w:rPr>
                <w:rFonts w:asciiTheme="minorHAnsi" w:eastAsiaTheme="minorHAnsi" w:hAnsiTheme="minorHAnsi" w:cstheme="minorHAnsi"/>
                <w:color w:val="000000"/>
                <w:sz w:val="24"/>
                <w:szCs w:val="24"/>
              </w:rPr>
              <w:t xml:space="preserve"> </w:t>
            </w:r>
            <w:r w:rsidRPr="00710208">
              <w:rPr>
                <w:rFonts w:asciiTheme="minorHAnsi" w:eastAsiaTheme="minorHAnsi" w:hAnsiTheme="minorHAnsi" w:cstheme="minorHAnsi"/>
                <w:color w:val="000000"/>
                <w:sz w:val="24"/>
                <w:szCs w:val="24"/>
              </w:rPr>
              <w:t>απόλυτα</w:t>
            </w:r>
            <w:r w:rsidR="00710208" w:rsidRPr="00710208">
              <w:rPr>
                <w:rFonts w:asciiTheme="minorHAnsi" w:eastAsiaTheme="minorHAnsi" w:hAnsiTheme="minorHAnsi" w:cstheme="minorHAnsi"/>
                <w:color w:val="000000"/>
                <w:sz w:val="24"/>
                <w:szCs w:val="24"/>
              </w:rPr>
              <w:t xml:space="preserve"> (5)</w:t>
            </w:r>
          </w:p>
        </w:tc>
      </w:tr>
      <w:tr w:rsidR="00B63B35" w:rsidRPr="00872FD2" w:rsidTr="00710208">
        <w:trPr>
          <w:cnfStyle w:val="000000100000"/>
        </w:trPr>
        <w:tc>
          <w:tcPr>
            <w:tcW w:w="8522" w:type="dxa"/>
          </w:tcPr>
          <w:p w:rsidR="00B63B35" w:rsidRPr="00710208" w:rsidRDefault="00B63B35" w:rsidP="00832906">
            <w:pPr>
              <w:pStyle w:val="a5"/>
              <w:numPr>
                <w:ilvl w:val="0"/>
                <w:numId w:val="136"/>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Συμφωνώ</w:t>
            </w:r>
            <w:r w:rsidR="00710208" w:rsidRPr="00710208">
              <w:rPr>
                <w:rFonts w:asciiTheme="minorHAnsi" w:eastAsiaTheme="minorHAnsi" w:hAnsiTheme="minorHAnsi" w:cstheme="minorHAnsi"/>
                <w:color w:val="000000"/>
                <w:sz w:val="24"/>
                <w:szCs w:val="24"/>
              </w:rPr>
              <w:t xml:space="preserve"> (4)</w:t>
            </w:r>
          </w:p>
        </w:tc>
      </w:tr>
      <w:tr w:rsidR="00B63B35" w:rsidRPr="00872FD2" w:rsidTr="00710208">
        <w:trPr>
          <w:cnfStyle w:val="000000010000"/>
        </w:trPr>
        <w:tc>
          <w:tcPr>
            <w:tcW w:w="8522" w:type="dxa"/>
          </w:tcPr>
          <w:p w:rsidR="00B63B35" w:rsidRPr="00710208" w:rsidRDefault="00B63B35" w:rsidP="00832906">
            <w:pPr>
              <w:pStyle w:val="a5"/>
              <w:numPr>
                <w:ilvl w:val="0"/>
                <w:numId w:val="136"/>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Ούτε συμφωνώ</w:t>
            </w:r>
            <w:r w:rsidR="0078495A" w:rsidRPr="00710208">
              <w:rPr>
                <w:rFonts w:asciiTheme="minorHAnsi" w:eastAsiaTheme="minorHAnsi" w:hAnsiTheme="minorHAnsi" w:cstheme="minorHAnsi"/>
                <w:color w:val="000000"/>
                <w:sz w:val="24"/>
                <w:szCs w:val="24"/>
              </w:rPr>
              <w:t xml:space="preserve"> </w:t>
            </w:r>
            <w:r w:rsidRPr="00710208">
              <w:rPr>
                <w:rFonts w:asciiTheme="minorHAnsi" w:eastAsiaTheme="minorHAnsi" w:hAnsiTheme="minorHAnsi" w:cstheme="minorHAnsi"/>
                <w:color w:val="000000"/>
                <w:sz w:val="24"/>
                <w:szCs w:val="24"/>
              </w:rPr>
              <w:t>ούτε διαφωνώ</w:t>
            </w:r>
            <w:r w:rsidR="00710208" w:rsidRPr="00710208">
              <w:rPr>
                <w:rFonts w:asciiTheme="minorHAnsi" w:eastAsiaTheme="minorHAnsi" w:hAnsiTheme="minorHAnsi" w:cstheme="minorHAnsi"/>
                <w:color w:val="000000"/>
                <w:sz w:val="24"/>
                <w:szCs w:val="24"/>
              </w:rPr>
              <w:t xml:space="preserve"> (3)</w:t>
            </w:r>
          </w:p>
        </w:tc>
      </w:tr>
      <w:tr w:rsidR="00B63B35" w:rsidRPr="00872FD2" w:rsidTr="00710208">
        <w:trPr>
          <w:cnfStyle w:val="000000100000"/>
        </w:trPr>
        <w:tc>
          <w:tcPr>
            <w:tcW w:w="8522" w:type="dxa"/>
          </w:tcPr>
          <w:p w:rsidR="00B63B35" w:rsidRPr="00710208" w:rsidRDefault="00B63B35" w:rsidP="00832906">
            <w:pPr>
              <w:pStyle w:val="a5"/>
              <w:numPr>
                <w:ilvl w:val="0"/>
                <w:numId w:val="136"/>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Διαφωνώ</w:t>
            </w:r>
            <w:r w:rsidR="00710208" w:rsidRPr="00710208">
              <w:rPr>
                <w:rFonts w:asciiTheme="minorHAnsi" w:eastAsiaTheme="minorHAnsi" w:hAnsiTheme="minorHAnsi" w:cstheme="minorHAnsi"/>
                <w:color w:val="000000"/>
                <w:sz w:val="24"/>
                <w:szCs w:val="24"/>
              </w:rPr>
              <w:t xml:space="preserve"> (2)</w:t>
            </w:r>
          </w:p>
        </w:tc>
      </w:tr>
      <w:tr w:rsidR="00B63B35" w:rsidRPr="00872FD2" w:rsidTr="00710208">
        <w:trPr>
          <w:cnfStyle w:val="000000010000"/>
        </w:trPr>
        <w:tc>
          <w:tcPr>
            <w:tcW w:w="8522" w:type="dxa"/>
          </w:tcPr>
          <w:p w:rsidR="00B63B35" w:rsidRPr="00710208" w:rsidRDefault="00B63B35" w:rsidP="00832906">
            <w:pPr>
              <w:pStyle w:val="a5"/>
              <w:numPr>
                <w:ilvl w:val="0"/>
                <w:numId w:val="136"/>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Διαφωνώ απόλυτα</w:t>
            </w:r>
            <w:r w:rsidR="00710208" w:rsidRPr="00710208">
              <w:rPr>
                <w:rFonts w:asciiTheme="minorHAnsi" w:eastAsiaTheme="minorHAnsi" w:hAnsiTheme="minorHAnsi" w:cstheme="minorHAnsi"/>
                <w:color w:val="000000"/>
                <w:sz w:val="24"/>
                <w:szCs w:val="24"/>
              </w:rPr>
              <w:t xml:space="preserve"> (1)</w:t>
            </w:r>
          </w:p>
        </w:tc>
      </w:tr>
      <w:tr w:rsidR="00B63B35" w:rsidRPr="00872FD2" w:rsidTr="00710208">
        <w:trPr>
          <w:cnfStyle w:val="000000100000"/>
        </w:trPr>
        <w:tc>
          <w:tcPr>
            <w:tcW w:w="8522" w:type="dxa"/>
          </w:tcPr>
          <w:p w:rsidR="00B63B35" w:rsidRPr="00872FD2" w:rsidRDefault="00B63B35" w:rsidP="00872FD2">
            <w:pPr>
              <w:spacing w:after="0" w:line="360" w:lineRule="auto"/>
              <w:jc w:val="center"/>
              <w:rPr>
                <w:rFonts w:asciiTheme="minorHAnsi" w:eastAsiaTheme="minorHAnsi" w:hAnsiTheme="minorHAnsi" w:cstheme="minorHAnsi"/>
                <w:b/>
                <w:color w:val="000000"/>
                <w:sz w:val="24"/>
                <w:szCs w:val="24"/>
              </w:rPr>
            </w:pPr>
            <w:r w:rsidRPr="00872FD2">
              <w:rPr>
                <w:rFonts w:asciiTheme="minorHAnsi" w:eastAsiaTheme="minorHAnsi" w:hAnsiTheme="minorHAnsi" w:cstheme="minorHAnsi"/>
                <w:b/>
                <w:color w:val="000000"/>
                <w:sz w:val="24"/>
                <w:szCs w:val="24"/>
              </w:rPr>
              <w:t>ΔΙΑΠΡΟΣΩΠΙΚΕΣ ΣΧΕΣΕΙΣ</w:t>
            </w:r>
          </w:p>
        </w:tc>
      </w:tr>
      <w:tr w:rsidR="00B63B35" w:rsidRPr="00872FD2" w:rsidTr="00710208">
        <w:trPr>
          <w:cnfStyle w:val="000000010000"/>
        </w:trPr>
        <w:tc>
          <w:tcPr>
            <w:tcW w:w="8522" w:type="dxa"/>
          </w:tcPr>
          <w:p w:rsidR="00B63B35" w:rsidRPr="00872FD2" w:rsidRDefault="00B63B35" w:rsidP="00872FD2">
            <w:pPr>
              <w:spacing w:after="0" w:line="360" w:lineRule="auto"/>
              <w:rPr>
                <w:rFonts w:asciiTheme="minorHAnsi" w:eastAsiaTheme="minorHAnsi" w:hAnsiTheme="minorHAnsi" w:cstheme="minorHAnsi"/>
                <w:b/>
                <w:color w:val="000000"/>
                <w:sz w:val="24"/>
                <w:szCs w:val="24"/>
              </w:rPr>
            </w:pPr>
            <w:r w:rsidRPr="00872FD2">
              <w:rPr>
                <w:rFonts w:asciiTheme="minorHAnsi" w:eastAsiaTheme="minorHAnsi" w:hAnsiTheme="minorHAnsi" w:cstheme="minorHAnsi"/>
                <w:b/>
                <w:color w:val="000000"/>
                <w:sz w:val="24"/>
                <w:szCs w:val="24"/>
              </w:rPr>
              <w:t>7. Τον τελευταίο καιρό είμαι ικανός/ή να μοιράζομαι σημαντικά πράγματα με τα κοντινά μου πρόσωπα</w:t>
            </w:r>
          </w:p>
        </w:tc>
      </w:tr>
      <w:tr w:rsidR="00B63B35" w:rsidRPr="00872FD2" w:rsidTr="00710208">
        <w:trPr>
          <w:cnfStyle w:val="000000100000"/>
        </w:trPr>
        <w:tc>
          <w:tcPr>
            <w:tcW w:w="8522" w:type="dxa"/>
          </w:tcPr>
          <w:p w:rsidR="00B63B35" w:rsidRPr="00710208" w:rsidRDefault="00B63B35" w:rsidP="00832906">
            <w:pPr>
              <w:pStyle w:val="a5"/>
              <w:numPr>
                <w:ilvl w:val="0"/>
                <w:numId w:val="137"/>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Συμφωνώ απόλυτα</w:t>
            </w:r>
            <w:r w:rsidR="00710208" w:rsidRPr="00710208">
              <w:rPr>
                <w:rFonts w:asciiTheme="minorHAnsi" w:eastAsiaTheme="minorHAnsi" w:hAnsiTheme="minorHAnsi" w:cstheme="minorHAnsi"/>
                <w:color w:val="000000"/>
                <w:sz w:val="24"/>
                <w:szCs w:val="24"/>
              </w:rPr>
              <w:t xml:space="preserve"> (2)</w:t>
            </w:r>
          </w:p>
        </w:tc>
      </w:tr>
      <w:tr w:rsidR="00B63B35" w:rsidRPr="00872FD2" w:rsidTr="00710208">
        <w:trPr>
          <w:cnfStyle w:val="000000010000"/>
        </w:trPr>
        <w:tc>
          <w:tcPr>
            <w:tcW w:w="8522" w:type="dxa"/>
          </w:tcPr>
          <w:p w:rsidR="00B63B35" w:rsidRPr="00710208" w:rsidRDefault="00B63B35" w:rsidP="00832906">
            <w:pPr>
              <w:pStyle w:val="a5"/>
              <w:numPr>
                <w:ilvl w:val="0"/>
                <w:numId w:val="137"/>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Συμφωνώ</w:t>
            </w:r>
            <w:r w:rsidR="00710208" w:rsidRPr="00710208">
              <w:rPr>
                <w:rFonts w:asciiTheme="minorHAnsi" w:eastAsiaTheme="minorHAnsi" w:hAnsiTheme="minorHAnsi" w:cstheme="minorHAnsi"/>
                <w:color w:val="000000"/>
                <w:sz w:val="24"/>
                <w:szCs w:val="24"/>
              </w:rPr>
              <w:t xml:space="preserve"> (1)</w:t>
            </w:r>
          </w:p>
        </w:tc>
      </w:tr>
      <w:tr w:rsidR="00B63B35" w:rsidRPr="00872FD2" w:rsidTr="00710208">
        <w:trPr>
          <w:cnfStyle w:val="000000100000"/>
        </w:trPr>
        <w:tc>
          <w:tcPr>
            <w:tcW w:w="8522" w:type="dxa"/>
          </w:tcPr>
          <w:p w:rsidR="00B63B35" w:rsidRPr="00710208" w:rsidRDefault="00B63B35" w:rsidP="00832906">
            <w:pPr>
              <w:pStyle w:val="a5"/>
              <w:numPr>
                <w:ilvl w:val="0"/>
                <w:numId w:val="137"/>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Ούτε συμφωνώ</w:t>
            </w:r>
            <w:r w:rsidR="0078495A" w:rsidRPr="00710208">
              <w:rPr>
                <w:rFonts w:asciiTheme="minorHAnsi" w:eastAsiaTheme="minorHAnsi" w:hAnsiTheme="minorHAnsi" w:cstheme="minorHAnsi"/>
                <w:color w:val="000000"/>
                <w:sz w:val="24"/>
                <w:szCs w:val="24"/>
              </w:rPr>
              <w:t xml:space="preserve"> </w:t>
            </w:r>
            <w:r w:rsidRPr="00710208">
              <w:rPr>
                <w:rFonts w:asciiTheme="minorHAnsi" w:eastAsiaTheme="minorHAnsi" w:hAnsiTheme="minorHAnsi" w:cstheme="minorHAnsi"/>
                <w:color w:val="000000"/>
                <w:sz w:val="24"/>
                <w:szCs w:val="24"/>
              </w:rPr>
              <w:t>ούτε διαφωνώ</w:t>
            </w:r>
            <w:r w:rsidR="00710208" w:rsidRPr="00710208">
              <w:rPr>
                <w:rFonts w:asciiTheme="minorHAnsi" w:eastAsiaTheme="minorHAnsi" w:hAnsiTheme="minorHAnsi" w:cstheme="minorHAnsi"/>
                <w:color w:val="000000"/>
                <w:sz w:val="24"/>
                <w:szCs w:val="24"/>
              </w:rPr>
              <w:t xml:space="preserve"> (0)</w:t>
            </w:r>
          </w:p>
        </w:tc>
      </w:tr>
      <w:tr w:rsidR="00B63B35" w:rsidRPr="00872FD2" w:rsidTr="00710208">
        <w:trPr>
          <w:cnfStyle w:val="000000010000"/>
        </w:trPr>
        <w:tc>
          <w:tcPr>
            <w:tcW w:w="8522" w:type="dxa"/>
          </w:tcPr>
          <w:p w:rsidR="00B63B35" w:rsidRPr="00710208" w:rsidRDefault="00B63B35" w:rsidP="00832906">
            <w:pPr>
              <w:pStyle w:val="a5"/>
              <w:numPr>
                <w:ilvl w:val="0"/>
                <w:numId w:val="137"/>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Διαφωνώ</w:t>
            </w:r>
            <w:r w:rsidR="00710208" w:rsidRPr="00710208">
              <w:rPr>
                <w:rFonts w:asciiTheme="minorHAnsi" w:eastAsiaTheme="minorHAnsi" w:hAnsiTheme="minorHAnsi" w:cstheme="minorHAnsi"/>
                <w:color w:val="000000"/>
                <w:sz w:val="24"/>
                <w:szCs w:val="24"/>
              </w:rPr>
              <w:t xml:space="preserve">  (-1)</w:t>
            </w:r>
          </w:p>
        </w:tc>
      </w:tr>
      <w:tr w:rsidR="00B63B35" w:rsidRPr="00872FD2" w:rsidTr="00710208">
        <w:trPr>
          <w:cnfStyle w:val="000000100000"/>
        </w:trPr>
        <w:tc>
          <w:tcPr>
            <w:tcW w:w="8522" w:type="dxa"/>
          </w:tcPr>
          <w:p w:rsidR="00B63B35" w:rsidRPr="00710208" w:rsidRDefault="00B63B35" w:rsidP="00832906">
            <w:pPr>
              <w:pStyle w:val="a5"/>
              <w:numPr>
                <w:ilvl w:val="0"/>
                <w:numId w:val="137"/>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Διαφωνώ απόλυτα</w:t>
            </w:r>
            <w:r w:rsidR="00710208" w:rsidRPr="00710208">
              <w:rPr>
                <w:rFonts w:asciiTheme="minorHAnsi" w:eastAsiaTheme="minorHAnsi" w:hAnsiTheme="minorHAnsi" w:cstheme="minorHAnsi"/>
                <w:color w:val="000000"/>
                <w:sz w:val="24"/>
                <w:szCs w:val="24"/>
              </w:rPr>
              <w:t xml:space="preserve"> (</w:t>
            </w:r>
            <w:r w:rsidR="00E13C5D">
              <w:rPr>
                <w:rFonts w:asciiTheme="minorHAnsi" w:eastAsiaTheme="minorHAnsi" w:hAnsiTheme="minorHAnsi" w:cstheme="minorHAnsi"/>
                <w:color w:val="000000"/>
                <w:sz w:val="24"/>
                <w:szCs w:val="24"/>
              </w:rPr>
              <w:t>-2</w:t>
            </w:r>
            <w:r w:rsidR="00710208" w:rsidRPr="00710208">
              <w:rPr>
                <w:rFonts w:asciiTheme="minorHAnsi" w:eastAsiaTheme="minorHAnsi" w:hAnsiTheme="minorHAnsi" w:cstheme="minorHAnsi"/>
                <w:color w:val="000000"/>
                <w:sz w:val="24"/>
                <w:szCs w:val="24"/>
              </w:rPr>
              <w:t>)</w:t>
            </w:r>
          </w:p>
        </w:tc>
      </w:tr>
      <w:tr w:rsidR="00B63B35" w:rsidRPr="00872FD2" w:rsidTr="00710208">
        <w:trPr>
          <w:cnfStyle w:val="000000010000"/>
        </w:trPr>
        <w:tc>
          <w:tcPr>
            <w:tcW w:w="8522" w:type="dxa"/>
          </w:tcPr>
          <w:p w:rsidR="00B63B35" w:rsidRPr="00872FD2" w:rsidRDefault="00B63B35" w:rsidP="00872FD2">
            <w:pPr>
              <w:spacing w:after="0" w:line="360" w:lineRule="auto"/>
              <w:rPr>
                <w:rFonts w:asciiTheme="minorHAnsi" w:eastAsiaTheme="minorHAnsi" w:hAnsiTheme="minorHAnsi" w:cstheme="minorHAnsi"/>
                <w:b/>
                <w:color w:val="000000"/>
                <w:sz w:val="24"/>
                <w:szCs w:val="24"/>
              </w:rPr>
            </w:pPr>
            <w:r w:rsidRPr="00872FD2">
              <w:rPr>
                <w:rFonts w:asciiTheme="minorHAnsi" w:eastAsiaTheme="minorHAnsi" w:hAnsiTheme="minorHAnsi" w:cstheme="minorHAnsi"/>
                <w:b/>
                <w:color w:val="000000"/>
                <w:sz w:val="24"/>
                <w:szCs w:val="24"/>
              </w:rPr>
              <w:t>8. Στην παρούσα φάση περνώ όσο χρόνο θέλω με την οικογένεια και φίλους</w:t>
            </w:r>
          </w:p>
        </w:tc>
      </w:tr>
      <w:tr w:rsidR="00B63B35" w:rsidRPr="00872FD2" w:rsidTr="00710208">
        <w:trPr>
          <w:cnfStyle w:val="000000100000"/>
        </w:trPr>
        <w:tc>
          <w:tcPr>
            <w:tcW w:w="8522" w:type="dxa"/>
          </w:tcPr>
          <w:p w:rsidR="00B63B35" w:rsidRPr="00710208" w:rsidRDefault="00B63B35" w:rsidP="00832906">
            <w:pPr>
              <w:pStyle w:val="a5"/>
              <w:numPr>
                <w:ilvl w:val="0"/>
                <w:numId w:val="138"/>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Συμφωνώ απόλυτα</w:t>
            </w:r>
            <w:r w:rsidR="00710208" w:rsidRPr="00710208">
              <w:rPr>
                <w:rFonts w:asciiTheme="minorHAnsi" w:eastAsiaTheme="minorHAnsi" w:hAnsiTheme="minorHAnsi" w:cstheme="minorHAnsi"/>
                <w:color w:val="000000"/>
                <w:sz w:val="24"/>
                <w:szCs w:val="24"/>
              </w:rPr>
              <w:t xml:space="preserve"> (4)</w:t>
            </w:r>
          </w:p>
        </w:tc>
      </w:tr>
      <w:tr w:rsidR="00B63B35" w:rsidRPr="00872FD2" w:rsidTr="00710208">
        <w:trPr>
          <w:cnfStyle w:val="000000010000"/>
        </w:trPr>
        <w:tc>
          <w:tcPr>
            <w:tcW w:w="8522" w:type="dxa"/>
          </w:tcPr>
          <w:p w:rsidR="00B63B35" w:rsidRPr="00710208" w:rsidRDefault="00B63B35" w:rsidP="00832906">
            <w:pPr>
              <w:pStyle w:val="a5"/>
              <w:numPr>
                <w:ilvl w:val="0"/>
                <w:numId w:val="138"/>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Συμφωνώ</w:t>
            </w:r>
            <w:r w:rsidR="00710208" w:rsidRPr="00710208">
              <w:rPr>
                <w:rFonts w:asciiTheme="minorHAnsi" w:eastAsiaTheme="minorHAnsi" w:hAnsiTheme="minorHAnsi" w:cstheme="minorHAnsi"/>
                <w:color w:val="000000"/>
                <w:sz w:val="24"/>
                <w:szCs w:val="24"/>
              </w:rPr>
              <w:t xml:space="preserve"> (3)</w:t>
            </w:r>
          </w:p>
        </w:tc>
      </w:tr>
      <w:tr w:rsidR="00B63B35" w:rsidRPr="00872FD2" w:rsidTr="00710208">
        <w:trPr>
          <w:cnfStyle w:val="000000100000"/>
        </w:trPr>
        <w:tc>
          <w:tcPr>
            <w:tcW w:w="8522" w:type="dxa"/>
          </w:tcPr>
          <w:p w:rsidR="00B63B35" w:rsidRPr="00710208" w:rsidRDefault="00B63B35" w:rsidP="00832906">
            <w:pPr>
              <w:pStyle w:val="a5"/>
              <w:numPr>
                <w:ilvl w:val="0"/>
                <w:numId w:val="138"/>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Ούτε συμφωνώ ούτε διαφωνώ</w:t>
            </w:r>
            <w:r w:rsidR="00710208" w:rsidRPr="00710208">
              <w:rPr>
                <w:rFonts w:asciiTheme="minorHAnsi" w:eastAsiaTheme="minorHAnsi" w:hAnsiTheme="minorHAnsi" w:cstheme="minorHAnsi"/>
                <w:color w:val="000000"/>
                <w:sz w:val="24"/>
                <w:szCs w:val="24"/>
              </w:rPr>
              <w:t xml:space="preserve"> (0)</w:t>
            </w:r>
          </w:p>
        </w:tc>
      </w:tr>
      <w:tr w:rsidR="00B63B35" w:rsidRPr="00872FD2" w:rsidTr="00710208">
        <w:trPr>
          <w:cnfStyle w:val="000000010000"/>
        </w:trPr>
        <w:tc>
          <w:tcPr>
            <w:tcW w:w="8522" w:type="dxa"/>
          </w:tcPr>
          <w:p w:rsidR="00B63B35" w:rsidRPr="00710208" w:rsidRDefault="00B63B35" w:rsidP="00832906">
            <w:pPr>
              <w:pStyle w:val="a5"/>
              <w:numPr>
                <w:ilvl w:val="0"/>
                <w:numId w:val="138"/>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Διαφωνώ</w:t>
            </w:r>
            <w:r w:rsidR="00710208" w:rsidRPr="00710208">
              <w:rPr>
                <w:rFonts w:asciiTheme="minorHAnsi" w:eastAsiaTheme="minorHAnsi" w:hAnsiTheme="minorHAnsi" w:cstheme="minorHAnsi"/>
                <w:color w:val="000000"/>
                <w:sz w:val="24"/>
                <w:szCs w:val="24"/>
              </w:rPr>
              <w:t xml:space="preserve"> (-3)</w:t>
            </w:r>
          </w:p>
        </w:tc>
      </w:tr>
      <w:tr w:rsidR="00B63B35" w:rsidRPr="00872FD2" w:rsidTr="00710208">
        <w:trPr>
          <w:cnfStyle w:val="000000100000"/>
        </w:trPr>
        <w:tc>
          <w:tcPr>
            <w:tcW w:w="8522" w:type="dxa"/>
          </w:tcPr>
          <w:p w:rsidR="00B63B35" w:rsidRPr="00710208" w:rsidRDefault="00B63B35" w:rsidP="00832906">
            <w:pPr>
              <w:pStyle w:val="a5"/>
              <w:numPr>
                <w:ilvl w:val="0"/>
                <w:numId w:val="138"/>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Διαφωνώ απόλυτα</w:t>
            </w:r>
            <w:r w:rsidR="00710208" w:rsidRPr="00710208">
              <w:rPr>
                <w:rFonts w:asciiTheme="minorHAnsi" w:eastAsiaTheme="minorHAnsi" w:hAnsiTheme="minorHAnsi" w:cstheme="minorHAnsi"/>
                <w:color w:val="000000"/>
                <w:sz w:val="24"/>
                <w:szCs w:val="24"/>
              </w:rPr>
              <w:t xml:space="preserve"> (-4)</w:t>
            </w:r>
          </w:p>
        </w:tc>
      </w:tr>
      <w:tr w:rsidR="00B63B35" w:rsidRPr="00872FD2" w:rsidTr="00710208">
        <w:trPr>
          <w:cnfStyle w:val="000000010000"/>
        </w:trPr>
        <w:tc>
          <w:tcPr>
            <w:tcW w:w="8522" w:type="dxa"/>
          </w:tcPr>
          <w:p w:rsidR="00B63B35" w:rsidRPr="00872FD2" w:rsidRDefault="00B63B35" w:rsidP="00872FD2">
            <w:pPr>
              <w:spacing w:after="0" w:line="360" w:lineRule="auto"/>
              <w:rPr>
                <w:rFonts w:asciiTheme="minorHAnsi" w:eastAsiaTheme="minorHAnsi" w:hAnsiTheme="minorHAnsi" w:cstheme="minorHAnsi"/>
                <w:b/>
                <w:color w:val="000000"/>
                <w:sz w:val="24"/>
                <w:szCs w:val="24"/>
              </w:rPr>
            </w:pPr>
            <w:r w:rsidRPr="00872FD2">
              <w:rPr>
                <w:rFonts w:asciiTheme="minorHAnsi" w:eastAsiaTheme="minorHAnsi" w:hAnsiTheme="minorHAnsi" w:cstheme="minorHAnsi"/>
                <w:b/>
                <w:color w:val="000000"/>
                <w:sz w:val="24"/>
                <w:szCs w:val="24"/>
              </w:rPr>
              <w:t>9. Είναι σημαντικό για μένα να έχω στενές προσωπικές σχέσεις</w:t>
            </w:r>
          </w:p>
        </w:tc>
      </w:tr>
      <w:tr w:rsidR="00B63B35" w:rsidRPr="00872FD2" w:rsidTr="00710208">
        <w:trPr>
          <w:cnfStyle w:val="000000100000"/>
        </w:trPr>
        <w:tc>
          <w:tcPr>
            <w:tcW w:w="8522" w:type="dxa"/>
          </w:tcPr>
          <w:p w:rsidR="00B63B35" w:rsidRPr="00710208" w:rsidRDefault="00B63B35" w:rsidP="00832906">
            <w:pPr>
              <w:pStyle w:val="a5"/>
              <w:numPr>
                <w:ilvl w:val="0"/>
                <w:numId w:val="139"/>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Συμφωνώ</w:t>
            </w:r>
            <w:r w:rsidR="0078495A" w:rsidRPr="00710208">
              <w:rPr>
                <w:rFonts w:asciiTheme="minorHAnsi" w:eastAsiaTheme="minorHAnsi" w:hAnsiTheme="minorHAnsi" w:cstheme="minorHAnsi"/>
                <w:color w:val="000000"/>
                <w:sz w:val="24"/>
                <w:szCs w:val="24"/>
              </w:rPr>
              <w:t xml:space="preserve"> </w:t>
            </w:r>
            <w:r w:rsidRPr="00710208">
              <w:rPr>
                <w:rFonts w:asciiTheme="minorHAnsi" w:eastAsiaTheme="minorHAnsi" w:hAnsiTheme="minorHAnsi" w:cstheme="minorHAnsi"/>
                <w:color w:val="000000"/>
                <w:sz w:val="24"/>
                <w:szCs w:val="24"/>
              </w:rPr>
              <w:t>απόλυτα</w:t>
            </w:r>
            <w:r w:rsidR="00710208" w:rsidRPr="00710208">
              <w:rPr>
                <w:rFonts w:asciiTheme="minorHAnsi" w:eastAsiaTheme="minorHAnsi" w:hAnsiTheme="minorHAnsi" w:cstheme="minorHAnsi"/>
                <w:color w:val="000000"/>
                <w:sz w:val="24"/>
                <w:szCs w:val="24"/>
              </w:rPr>
              <w:t xml:space="preserve"> (5)</w:t>
            </w:r>
          </w:p>
        </w:tc>
      </w:tr>
      <w:tr w:rsidR="00B63B35" w:rsidRPr="00872FD2" w:rsidTr="00710208">
        <w:trPr>
          <w:cnfStyle w:val="000000010000"/>
        </w:trPr>
        <w:tc>
          <w:tcPr>
            <w:tcW w:w="8522" w:type="dxa"/>
          </w:tcPr>
          <w:p w:rsidR="00B63B35" w:rsidRPr="00710208" w:rsidRDefault="00B63B35" w:rsidP="00832906">
            <w:pPr>
              <w:pStyle w:val="a5"/>
              <w:numPr>
                <w:ilvl w:val="0"/>
                <w:numId w:val="139"/>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Συμφωνώ</w:t>
            </w:r>
            <w:r w:rsidR="00710208" w:rsidRPr="00710208">
              <w:rPr>
                <w:rFonts w:asciiTheme="minorHAnsi" w:eastAsiaTheme="minorHAnsi" w:hAnsiTheme="minorHAnsi" w:cstheme="minorHAnsi"/>
                <w:color w:val="000000"/>
                <w:sz w:val="24"/>
                <w:szCs w:val="24"/>
              </w:rPr>
              <w:t xml:space="preserve"> (4)</w:t>
            </w:r>
          </w:p>
        </w:tc>
      </w:tr>
      <w:tr w:rsidR="00B63B35" w:rsidRPr="00872FD2" w:rsidTr="00710208">
        <w:trPr>
          <w:cnfStyle w:val="000000100000"/>
        </w:trPr>
        <w:tc>
          <w:tcPr>
            <w:tcW w:w="8522" w:type="dxa"/>
          </w:tcPr>
          <w:p w:rsidR="00B63B35" w:rsidRPr="00710208" w:rsidRDefault="00B63B35" w:rsidP="00832906">
            <w:pPr>
              <w:pStyle w:val="a5"/>
              <w:numPr>
                <w:ilvl w:val="0"/>
                <w:numId w:val="139"/>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Ούτε συμφωνώ</w:t>
            </w:r>
            <w:r w:rsidR="0078495A" w:rsidRPr="00710208">
              <w:rPr>
                <w:rFonts w:asciiTheme="minorHAnsi" w:eastAsiaTheme="minorHAnsi" w:hAnsiTheme="minorHAnsi" w:cstheme="minorHAnsi"/>
                <w:color w:val="000000"/>
                <w:sz w:val="24"/>
                <w:szCs w:val="24"/>
              </w:rPr>
              <w:t xml:space="preserve"> </w:t>
            </w:r>
            <w:r w:rsidRPr="00710208">
              <w:rPr>
                <w:rFonts w:asciiTheme="minorHAnsi" w:eastAsiaTheme="minorHAnsi" w:hAnsiTheme="minorHAnsi" w:cstheme="minorHAnsi"/>
                <w:color w:val="000000"/>
                <w:sz w:val="24"/>
                <w:szCs w:val="24"/>
              </w:rPr>
              <w:t>ούτε διαφωνώ</w:t>
            </w:r>
            <w:r w:rsidR="00710208" w:rsidRPr="00710208">
              <w:rPr>
                <w:rFonts w:asciiTheme="minorHAnsi" w:eastAsiaTheme="minorHAnsi" w:hAnsiTheme="minorHAnsi" w:cstheme="minorHAnsi"/>
                <w:color w:val="000000"/>
                <w:sz w:val="24"/>
                <w:szCs w:val="24"/>
              </w:rPr>
              <w:t xml:space="preserve"> (3)</w:t>
            </w:r>
          </w:p>
        </w:tc>
      </w:tr>
      <w:tr w:rsidR="00B63B35" w:rsidRPr="00872FD2" w:rsidTr="00710208">
        <w:trPr>
          <w:cnfStyle w:val="000000010000"/>
        </w:trPr>
        <w:tc>
          <w:tcPr>
            <w:tcW w:w="8522" w:type="dxa"/>
          </w:tcPr>
          <w:p w:rsidR="00B63B35" w:rsidRPr="00710208" w:rsidRDefault="00B63B35" w:rsidP="00832906">
            <w:pPr>
              <w:pStyle w:val="a5"/>
              <w:numPr>
                <w:ilvl w:val="0"/>
                <w:numId w:val="139"/>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Διαφωνώ</w:t>
            </w:r>
            <w:r w:rsidR="00710208" w:rsidRPr="00710208">
              <w:rPr>
                <w:rFonts w:asciiTheme="minorHAnsi" w:eastAsiaTheme="minorHAnsi" w:hAnsiTheme="minorHAnsi" w:cstheme="minorHAnsi"/>
                <w:color w:val="000000"/>
                <w:sz w:val="24"/>
                <w:szCs w:val="24"/>
              </w:rPr>
              <w:t xml:space="preserve"> (2)</w:t>
            </w:r>
          </w:p>
        </w:tc>
      </w:tr>
      <w:tr w:rsidR="00B63B35" w:rsidRPr="00872FD2" w:rsidTr="00710208">
        <w:trPr>
          <w:cnfStyle w:val="000000100000"/>
        </w:trPr>
        <w:tc>
          <w:tcPr>
            <w:tcW w:w="8522" w:type="dxa"/>
          </w:tcPr>
          <w:p w:rsidR="00B63B35" w:rsidRPr="00710208" w:rsidRDefault="00B63B35" w:rsidP="00832906">
            <w:pPr>
              <w:pStyle w:val="a5"/>
              <w:numPr>
                <w:ilvl w:val="0"/>
                <w:numId w:val="139"/>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Διαφωνώ απόλυτα</w:t>
            </w:r>
            <w:r w:rsidR="00710208" w:rsidRPr="00710208">
              <w:rPr>
                <w:rFonts w:asciiTheme="minorHAnsi" w:eastAsiaTheme="minorHAnsi" w:hAnsiTheme="minorHAnsi" w:cstheme="minorHAnsi"/>
                <w:color w:val="000000"/>
                <w:sz w:val="24"/>
                <w:szCs w:val="24"/>
              </w:rPr>
              <w:t xml:space="preserve"> (1)</w:t>
            </w:r>
          </w:p>
        </w:tc>
      </w:tr>
      <w:tr w:rsidR="00B63B35" w:rsidRPr="00872FD2" w:rsidTr="00710208">
        <w:trPr>
          <w:cnfStyle w:val="000000010000"/>
        </w:trPr>
        <w:tc>
          <w:tcPr>
            <w:tcW w:w="8522" w:type="dxa"/>
          </w:tcPr>
          <w:p w:rsidR="00B63B35" w:rsidRPr="00872FD2" w:rsidRDefault="00B63B35" w:rsidP="00872FD2">
            <w:pPr>
              <w:spacing w:after="0" w:line="360" w:lineRule="auto"/>
              <w:jc w:val="center"/>
              <w:rPr>
                <w:rFonts w:asciiTheme="minorHAnsi" w:eastAsiaTheme="minorHAnsi" w:hAnsiTheme="minorHAnsi" w:cstheme="minorHAnsi"/>
                <w:b/>
                <w:color w:val="000000"/>
                <w:sz w:val="24"/>
                <w:szCs w:val="24"/>
              </w:rPr>
            </w:pPr>
            <w:r w:rsidRPr="00872FD2">
              <w:rPr>
                <w:rFonts w:asciiTheme="minorHAnsi" w:eastAsiaTheme="minorHAnsi" w:hAnsiTheme="minorHAnsi" w:cstheme="minorHAnsi"/>
                <w:b/>
                <w:color w:val="000000"/>
                <w:sz w:val="24"/>
                <w:szCs w:val="24"/>
              </w:rPr>
              <w:t>ΕΥΕΞΙΑ</w:t>
            </w:r>
          </w:p>
        </w:tc>
      </w:tr>
      <w:tr w:rsidR="00B63B35" w:rsidRPr="00872FD2" w:rsidTr="00710208">
        <w:trPr>
          <w:cnfStyle w:val="000000100000"/>
        </w:trPr>
        <w:tc>
          <w:tcPr>
            <w:tcW w:w="8522" w:type="dxa"/>
          </w:tcPr>
          <w:p w:rsidR="00B63B35" w:rsidRPr="00872FD2" w:rsidRDefault="00B63B35" w:rsidP="00872FD2">
            <w:pPr>
              <w:spacing w:after="0" w:line="360" w:lineRule="auto"/>
              <w:rPr>
                <w:rFonts w:asciiTheme="minorHAnsi" w:eastAsiaTheme="minorHAnsi" w:hAnsiTheme="minorHAnsi" w:cstheme="minorHAnsi"/>
                <w:b/>
                <w:color w:val="000000"/>
                <w:sz w:val="24"/>
                <w:szCs w:val="24"/>
              </w:rPr>
            </w:pPr>
            <w:r w:rsidRPr="00872FD2">
              <w:rPr>
                <w:rFonts w:asciiTheme="minorHAnsi" w:eastAsiaTheme="minorHAnsi" w:hAnsiTheme="minorHAnsi" w:cstheme="minorHAnsi"/>
                <w:b/>
                <w:color w:val="000000"/>
                <w:sz w:val="24"/>
                <w:szCs w:val="24"/>
              </w:rPr>
              <w:t xml:space="preserve">10. Οι υποθέσεις μου δεν είναι τακτοποιημένες. Ανησυχώ για το ότι πολλά πράγματα παραμένουν άλυτα </w:t>
            </w:r>
          </w:p>
        </w:tc>
      </w:tr>
      <w:tr w:rsidR="00B63B35" w:rsidRPr="00872FD2" w:rsidTr="00710208">
        <w:trPr>
          <w:cnfStyle w:val="000000010000"/>
        </w:trPr>
        <w:tc>
          <w:tcPr>
            <w:tcW w:w="8522" w:type="dxa"/>
          </w:tcPr>
          <w:p w:rsidR="00B63B35" w:rsidRPr="00710208" w:rsidRDefault="00B63B35" w:rsidP="00832906">
            <w:pPr>
              <w:pStyle w:val="a5"/>
              <w:numPr>
                <w:ilvl w:val="0"/>
                <w:numId w:val="140"/>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Συμφωνώ απόλυτα</w:t>
            </w:r>
            <w:r w:rsidR="00710208" w:rsidRPr="00710208">
              <w:rPr>
                <w:rFonts w:asciiTheme="minorHAnsi" w:eastAsiaTheme="minorHAnsi" w:hAnsiTheme="minorHAnsi" w:cstheme="minorHAnsi"/>
                <w:color w:val="000000"/>
                <w:sz w:val="24"/>
                <w:szCs w:val="24"/>
              </w:rPr>
              <w:t xml:space="preserve"> (-2)</w:t>
            </w:r>
          </w:p>
        </w:tc>
      </w:tr>
      <w:tr w:rsidR="00B63B35" w:rsidRPr="00872FD2" w:rsidTr="00710208">
        <w:trPr>
          <w:cnfStyle w:val="000000100000"/>
        </w:trPr>
        <w:tc>
          <w:tcPr>
            <w:tcW w:w="8522" w:type="dxa"/>
          </w:tcPr>
          <w:p w:rsidR="00B63B35" w:rsidRPr="00710208" w:rsidRDefault="00B63B35" w:rsidP="00832906">
            <w:pPr>
              <w:pStyle w:val="a5"/>
              <w:numPr>
                <w:ilvl w:val="0"/>
                <w:numId w:val="140"/>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Συμφωνώ</w:t>
            </w:r>
            <w:r w:rsidR="00710208" w:rsidRPr="00710208">
              <w:rPr>
                <w:rFonts w:asciiTheme="minorHAnsi" w:eastAsiaTheme="minorHAnsi" w:hAnsiTheme="minorHAnsi" w:cstheme="minorHAnsi"/>
                <w:color w:val="000000"/>
                <w:sz w:val="24"/>
                <w:szCs w:val="24"/>
              </w:rPr>
              <w:t xml:space="preserve"> (-1)</w:t>
            </w:r>
          </w:p>
        </w:tc>
      </w:tr>
      <w:tr w:rsidR="00B63B35" w:rsidRPr="00872FD2" w:rsidTr="00710208">
        <w:trPr>
          <w:cnfStyle w:val="000000010000"/>
        </w:trPr>
        <w:tc>
          <w:tcPr>
            <w:tcW w:w="8522" w:type="dxa"/>
          </w:tcPr>
          <w:p w:rsidR="00B63B35" w:rsidRPr="00710208" w:rsidRDefault="00B63B35" w:rsidP="00832906">
            <w:pPr>
              <w:pStyle w:val="a5"/>
              <w:numPr>
                <w:ilvl w:val="0"/>
                <w:numId w:val="140"/>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Ούτε συμφωνώ ούτε διαφωνώ</w:t>
            </w:r>
            <w:r w:rsidR="00710208" w:rsidRPr="00710208">
              <w:rPr>
                <w:rFonts w:asciiTheme="minorHAnsi" w:eastAsiaTheme="minorHAnsi" w:hAnsiTheme="minorHAnsi" w:cstheme="minorHAnsi"/>
                <w:color w:val="000000"/>
                <w:sz w:val="24"/>
                <w:szCs w:val="24"/>
              </w:rPr>
              <w:t xml:space="preserve"> (0)</w:t>
            </w:r>
          </w:p>
        </w:tc>
      </w:tr>
      <w:tr w:rsidR="00B63B35" w:rsidRPr="00872FD2" w:rsidTr="00710208">
        <w:trPr>
          <w:cnfStyle w:val="000000100000"/>
        </w:trPr>
        <w:tc>
          <w:tcPr>
            <w:tcW w:w="8522" w:type="dxa"/>
          </w:tcPr>
          <w:p w:rsidR="00B63B35" w:rsidRPr="00710208" w:rsidRDefault="00B63B35" w:rsidP="00832906">
            <w:pPr>
              <w:pStyle w:val="a5"/>
              <w:numPr>
                <w:ilvl w:val="0"/>
                <w:numId w:val="140"/>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Διαφωνώ</w:t>
            </w:r>
            <w:r w:rsidR="00710208" w:rsidRPr="00710208">
              <w:rPr>
                <w:rFonts w:asciiTheme="minorHAnsi" w:eastAsiaTheme="minorHAnsi" w:hAnsiTheme="minorHAnsi" w:cstheme="minorHAnsi"/>
                <w:color w:val="000000"/>
                <w:sz w:val="24"/>
                <w:szCs w:val="24"/>
              </w:rPr>
              <w:t xml:space="preserve"> (1)</w:t>
            </w:r>
          </w:p>
        </w:tc>
      </w:tr>
      <w:tr w:rsidR="00B63B35" w:rsidRPr="00872FD2" w:rsidTr="00710208">
        <w:trPr>
          <w:cnfStyle w:val="000000010000"/>
        </w:trPr>
        <w:tc>
          <w:tcPr>
            <w:tcW w:w="8522" w:type="dxa"/>
          </w:tcPr>
          <w:p w:rsidR="00B63B35" w:rsidRPr="00710208" w:rsidRDefault="00B63B35" w:rsidP="00832906">
            <w:pPr>
              <w:pStyle w:val="a5"/>
              <w:numPr>
                <w:ilvl w:val="0"/>
                <w:numId w:val="140"/>
              </w:numPr>
              <w:spacing w:after="0" w:line="360" w:lineRule="auto"/>
              <w:rPr>
                <w:rFonts w:asciiTheme="minorHAnsi" w:eastAsiaTheme="minorHAnsi" w:hAnsiTheme="minorHAnsi" w:cstheme="minorHAnsi"/>
                <w:color w:val="000000"/>
                <w:sz w:val="24"/>
                <w:szCs w:val="24"/>
              </w:rPr>
            </w:pPr>
            <w:r w:rsidRPr="00710208">
              <w:rPr>
                <w:rFonts w:asciiTheme="minorHAnsi" w:eastAsiaTheme="minorHAnsi" w:hAnsiTheme="minorHAnsi" w:cstheme="minorHAnsi"/>
                <w:color w:val="000000"/>
                <w:sz w:val="24"/>
                <w:szCs w:val="24"/>
              </w:rPr>
              <w:t>Διαφωνώ απόλυτα</w:t>
            </w:r>
            <w:r w:rsidR="00710208" w:rsidRPr="00710208">
              <w:rPr>
                <w:rFonts w:asciiTheme="minorHAnsi" w:eastAsiaTheme="minorHAnsi" w:hAnsiTheme="minorHAnsi" w:cstheme="minorHAnsi"/>
                <w:color w:val="000000"/>
                <w:sz w:val="24"/>
                <w:szCs w:val="24"/>
              </w:rPr>
              <w:t xml:space="preserve"> (2)</w:t>
            </w:r>
          </w:p>
        </w:tc>
      </w:tr>
      <w:tr w:rsidR="00B63B35" w:rsidRPr="00872FD2" w:rsidTr="00710208">
        <w:trPr>
          <w:cnfStyle w:val="000000100000"/>
        </w:trPr>
        <w:tc>
          <w:tcPr>
            <w:tcW w:w="8522" w:type="dxa"/>
          </w:tcPr>
          <w:p w:rsidR="00B63B35" w:rsidRPr="00872FD2" w:rsidRDefault="00B63B35" w:rsidP="00872FD2">
            <w:pPr>
              <w:spacing w:after="0" w:line="360" w:lineRule="auto"/>
              <w:rPr>
                <w:rFonts w:asciiTheme="minorHAnsi" w:eastAsiaTheme="minorHAnsi" w:hAnsiTheme="minorHAnsi" w:cstheme="minorHAnsi"/>
                <w:b/>
                <w:color w:val="000000"/>
                <w:sz w:val="24"/>
                <w:szCs w:val="24"/>
              </w:rPr>
            </w:pPr>
            <w:r w:rsidRPr="00872FD2">
              <w:rPr>
                <w:rFonts w:asciiTheme="minorHAnsi" w:eastAsiaTheme="minorHAnsi" w:hAnsiTheme="minorHAnsi" w:cstheme="minorHAnsi"/>
                <w:b/>
                <w:color w:val="000000"/>
                <w:sz w:val="24"/>
                <w:szCs w:val="24"/>
              </w:rPr>
              <w:t xml:space="preserve">11. Είμαι περισσότερο ικανοποιημένος/η με τον εαυτό μου τώρα από ότι ήμουν πριν την ασθένειά μου. </w:t>
            </w:r>
          </w:p>
        </w:tc>
      </w:tr>
      <w:tr w:rsidR="00B63B35" w:rsidRPr="00872FD2" w:rsidTr="00710208">
        <w:trPr>
          <w:cnfStyle w:val="000000010000"/>
        </w:trPr>
        <w:tc>
          <w:tcPr>
            <w:tcW w:w="8522" w:type="dxa"/>
          </w:tcPr>
          <w:p w:rsidR="00B63B35" w:rsidRPr="00E13C5D" w:rsidRDefault="00B63B35" w:rsidP="00832906">
            <w:pPr>
              <w:pStyle w:val="a5"/>
              <w:numPr>
                <w:ilvl w:val="0"/>
                <w:numId w:val="141"/>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Συμφωνώ απόλυτα</w:t>
            </w:r>
            <w:r w:rsidR="00E13C5D" w:rsidRPr="00E13C5D">
              <w:rPr>
                <w:rFonts w:asciiTheme="minorHAnsi" w:eastAsiaTheme="minorHAnsi" w:hAnsiTheme="minorHAnsi" w:cstheme="minorHAnsi"/>
                <w:color w:val="000000"/>
                <w:sz w:val="24"/>
                <w:szCs w:val="24"/>
              </w:rPr>
              <w:t xml:space="preserve"> (4)</w:t>
            </w:r>
          </w:p>
        </w:tc>
      </w:tr>
      <w:tr w:rsidR="00B63B35" w:rsidRPr="00872FD2" w:rsidTr="00710208">
        <w:trPr>
          <w:cnfStyle w:val="000000100000"/>
        </w:trPr>
        <w:tc>
          <w:tcPr>
            <w:tcW w:w="8522" w:type="dxa"/>
          </w:tcPr>
          <w:p w:rsidR="00B63B35" w:rsidRPr="00E13C5D" w:rsidRDefault="00B63B35" w:rsidP="00832906">
            <w:pPr>
              <w:pStyle w:val="a5"/>
              <w:numPr>
                <w:ilvl w:val="0"/>
                <w:numId w:val="141"/>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Συμφωνώ</w:t>
            </w:r>
            <w:r w:rsidR="00E13C5D" w:rsidRPr="00E13C5D">
              <w:rPr>
                <w:rFonts w:asciiTheme="minorHAnsi" w:eastAsiaTheme="minorHAnsi" w:hAnsiTheme="minorHAnsi" w:cstheme="minorHAnsi"/>
                <w:color w:val="000000"/>
                <w:sz w:val="24"/>
                <w:szCs w:val="24"/>
              </w:rPr>
              <w:t xml:space="preserve"> (3)</w:t>
            </w:r>
          </w:p>
        </w:tc>
      </w:tr>
      <w:tr w:rsidR="00B63B35" w:rsidRPr="00872FD2" w:rsidTr="00710208">
        <w:trPr>
          <w:cnfStyle w:val="000000010000"/>
        </w:trPr>
        <w:tc>
          <w:tcPr>
            <w:tcW w:w="8522" w:type="dxa"/>
          </w:tcPr>
          <w:p w:rsidR="00B63B35" w:rsidRPr="00E13C5D" w:rsidRDefault="00B63B35" w:rsidP="00832906">
            <w:pPr>
              <w:pStyle w:val="a5"/>
              <w:numPr>
                <w:ilvl w:val="0"/>
                <w:numId w:val="141"/>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Ούτε συμφωνώ ούτε διαφωνώ</w:t>
            </w:r>
            <w:r w:rsidR="00E13C5D" w:rsidRPr="00E13C5D">
              <w:rPr>
                <w:rFonts w:asciiTheme="minorHAnsi" w:eastAsiaTheme="minorHAnsi" w:hAnsiTheme="minorHAnsi" w:cstheme="minorHAnsi"/>
                <w:color w:val="000000"/>
                <w:sz w:val="24"/>
                <w:szCs w:val="24"/>
              </w:rPr>
              <w:t xml:space="preserve"> (0)</w:t>
            </w:r>
          </w:p>
        </w:tc>
      </w:tr>
      <w:tr w:rsidR="00B63B35" w:rsidRPr="00872FD2" w:rsidTr="00710208">
        <w:trPr>
          <w:cnfStyle w:val="000000100000"/>
        </w:trPr>
        <w:tc>
          <w:tcPr>
            <w:tcW w:w="8522" w:type="dxa"/>
          </w:tcPr>
          <w:p w:rsidR="00B63B35" w:rsidRPr="00E13C5D" w:rsidRDefault="00B63B35" w:rsidP="00832906">
            <w:pPr>
              <w:pStyle w:val="a5"/>
              <w:numPr>
                <w:ilvl w:val="0"/>
                <w:numId w:val="141"/>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Διαφωνώ</w:t>
            </w:r>
            <w:r w:rsidR="00E13C5D" w:rsidRPr="00E13C5D">
              <w:rPr>
                <w:rFonts w:asciiTheme="minorHAnsi" w:eastAsiaTheme="minorHAnsi" w:hAnsiTheme="minorHAnsi" w:cstheme="minorHAnsi"/>
                <w:color w:val="000000"/>
                <w:sz w:val="24"/>
                <w:szCs w:val="24"/>
              </w:rPr>
              <w:t xml:space="preserve"> (-3)</w:t>
            </w:r>
          </w:p>
        </w:tc>
      </w:tr>
      <w:tr w:rsidR="00B63B35" w:rsidRPr="00872FD2" w:rsidTr="00710208">
        <w:trPr>
          <w:cnfStyle w:val="000000010000"/>
        </w:trPr>
        <w:tc>
          <w:tcPr>
            <w:tcW w:w="8522" w:type="dxa"/>
          </w:tcPr>
          <w:p w:rsidR="00B63B35" w:rsidRPr="00E13C5D" w:rsidRDefault="00B63B35" w:rsidP="00832906">
            <w:pPr>
              <w:pStyle w:val="a5"/>
              <w:numPr>
                <w:ilvl w:val="0"/>
                <w:numId w:val="141"/>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Διαφωνώ απόλυτα</w:t>
            </w:r>
            <w:r w:rsidR="00E13C5D" w:rsidRPr="00E13C5D">
              <w:rPr>
                <w:rFonts w:asciiTheme="minorHAnsi" w:eastAsiaTheme="minorHAnsi" w:hAnsiTheme="minorHAnsi" w:cstheme="minorHAnsi"/>
                <w:color w:val="000000"/>
                <w:sz w:val="24"/>
                <w:szCs w:val="24"/>
              </w:rPr>
              <w:t xml:space="preserve"> (-4)</w:t>
            </w:r>
          </w:p>
        </w:tc>
      </w:tr>
      <w:tr w:rsidR="00B63B35" w:rsidRPr="00872FD2" w:rsidTr="00710208">
        <w:trPr>
          <w:cnfStyle w:val="000000100000"/>
        </w:trPr>
        <w:tc>
          <w:tcPr>
            <w:tcW w:w="8522" w:type="dxa"/>
          </w:tcPr>
          <w:p w:rsidR="00B63B35" w:rsidRPr="00872FD2" w:rsidRDefault="00B63B35" w:rsidP="00872FD2">
            <w:pPr>
              <w:spacing w:after="0" w:line="360" w:lineRule="auto"/>
              <w:rPr>
                <w:rFonts w:asciiTheme="minorHAnsi" w:eastAsiaTheme="minorHAnsi" w:hAnsiTheme="minorHAnsi" w:cstheme="minorHAnsi"/>
                <w:b/>
                <w:color w:val="000000"/>
                <w:sz w:val="24"/>
                <w:szCs w:val="24"/>
              </w:rPr>
            </w:pPr>
            <w:r w:rsidRPr="00872FD2">
              <w:rPr>
                <w:rFonts w:asciiTheme="minorHAnsi" w:eastAsiaTheme="minorHAnsi" w:hAnsiTheme="minorHAnsi" w:cstheme="minorHAnsi"/>
                <w:b/>
                <w:color w:val="000000"/>
                <w:sz w:val="24"/>
                <w:szCs w:val="24"/>
              </w:rPr>
              <w:t xml:space="preserve">12. Είναι σημαντικό για μένα να είμαι καλά με τον εαυτό μου. </w:t>
            </w:r>
          </w:p>
        </w:tc>
      </w:tr>
      <w:tr w:rsidR="00B63B35" w:rsidRPr="00872FD2" w:rsidTr="00710208">
        <w:trPr>
          <w:cnfStyle w:val="000000010000"/>
        </w:trPr>
        <w:tc>
          <w:tcPr>
            <w:tcW w:w="8522" w:type="dxa"/>
          </w:tcPr>
          <w:p w:rsidR="00B63B35" w:rsidRPr="00E13C5D" w:rsidRDefault="00B63B35" w:rsidP="00832906">
            <w:pPr>
              <w:pStyle w:val="a5"/>
              <w:numPr>
                <w:ilvl w:val="0"/>
                <w:numId w:val="142"/>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Συμφωνώ</w:t>
            </w:r>
            <w:r w:rsidR="0078495A" w:rsidRPr="00E13C5D">
              <w:rPr>
                <w:rFonts w:asciiTheme="minorHAnsi" w:eastAsiaTheme="minorHAnsi" w:hAnsiTheme="minorHAnsi" w:cstheme="minorHAnsi"/>
                <w:color w:val="000000"/>
                <w:sz w:val="24"/>
                <w:szCs w:val="24"/>
              </w:rPr>
              <w:t xml:space="preserve"> </w:t>
            </w:r>
            <w:r w:rsidRPr="00E13C5D">
              <w:rPr>
                <w:rFonts w:asciiTheme="minorHAnsi" w:eastAsiaTheme="minorHAnsi" w:hAnsiTheme="minorHAnsi" w:cstheme="minorHAnsi"/>
                <w:color w:val="000000"/>
                <w:sz w:val="24"/>
                <w:szCs w:val="24"/>
              </w:rPr>
              <w:t>απόλυτα</w:t>
            </w:r>
            <w:r w:rsidR="00E13C5D" w:rsidRPr="00E13C5D">
              <w:rPr>
                <w:rFonts w:asciiTheme="minorHAnsi" w:eastAsiaTheme="minorHAnsi" w:hAnsiTheme="minorHAnsi" w:cstheme="minorHAnsi"/>
                <w:color w:val="000000"/>
                <w:sz w:val="24"/>
                <w:szCs w:val="24"/>
              </w:rPr>
              <w:t xml:space="preserve"> (5)</w:t>
            </w:r>
          </w:p>
        </w:tc>
      </w:tr>
      <w:tr w:rsidR="00B63B35" w:rsidRPr="00872FD2" w:rsidTr="00710208">
        <w:trPr>
          <w:cnfStyle w:val="000000100000"/>
        </w:trPr>
        <w:tc>
          <w:tcPr>
            <w:tcW w:w="8522" w:type="dxa"/>
          </w:tcPr>
          <w:p w:rsidR="00B63B35" w:rsidRPr="00E13C5D" w:rsidRDefault="00B63B35" w:rsidP="00832906">
            <w:pPr>
              <w:pStyle w:val="a5"/>
              <w:numPr>
                <w:ilvl w:val="0"/>
                <w:numId w:val="142"/>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Συμφωνώ</w:t>
            </w:r>
            <w:r w:rsidR="00E13C5D" w:rsidRPr="00E13C5D">
              <w:rPr>
                <w:rFonts w:asciiTheme="minorHAnsi" w:eastAsiaTheme="minorHAnsi" w:hAnsiTheme="minorHAnsi" w:cstheme="minorHAnsi"/>
                <w:color w:val="000000"/>
                <w:sz w:val="24"/>
                <w:szCs w:val="24"/>
              </w:rPr>
              <w:t xml:space="preserve"> (4)</w:t>
            </w:r>
          </w:p>
        </w:tc>
      </w:tr>
      <w:tr w:rsidR="00B63B35" w:rsidRPr="00872FD2" w:rsidTr="00710208">
        <w:trPr>
          <w:cnfStyle w:val="000000010000"/>
        </w:trPr>
        <w:tc>
          <w:tcPr>
            <w:tcW w:w="8522" w:type="dxa"/>
          </w:tcPr>
          <w:p w:rsidR="00B63B35" w:rsidRPr="00E13C5D" w:rsidRDefault="00B63B35" w:rsidP="00832906">
            <w:pPr>
              <w:pStyle w:val="a5"/>
              <w:numPr>
                <w:ilvl w:val="0"/>
                <w:numId w:val="142"/>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Ούτε συμφωνώ</w:t>
            </w:r>
            <w:r w:rsidR="0078495A" w:rsidRPr="00E13C5D">
              <w:rPr>
                <w:rFonts w:asciiTheme="minorHAnsi" w:eastAsiaTheme="minorHAnsi" w:hAnsiTheme="minorHAnsi" w:cstheme="minorHAnsi"/>
                <w:color w:val="000000"/>
                <w:sz w:val="24"/>
                <w:szCs w:val="24"/>
              </w:rPr>
              <w:t xml:space="preserve"> </w:t>
            </w:r>
            <w:r w:rsidRPr="00E13C5D">
              <w:rPr>
                <w:rFonts w:asciiTheme="minorHAnsi" w:eastAsiaTheme="minorHAnsi" w:hAnsiTheme="minorHAnsi" w:cstheme="minorHAnsi"/>
                <w:color w:val="000000"/>
                <w:sz w:val="24"/>
                <w:szCs w:val="24"/>
              </w:rPr>
              <w:t>ούτε διαφωνώ</w:t>
            </w:r>
            <w:r w:rsidR="00E13C5D" w:rsidRPr="00E13C5D">
              <w:rPr>
                <w:rFonts w:asciiTheme="minorHAnsi" w:eastAsiaTheme="minorHAnsi" w:hAnsiTheme="minorHAnsi" w:cstheme="minorHAnsi"/>
                <w:color w:val="000000"/>
                <w:sz w:val="24"/>
                <w:szCs w:val="24"/>
              </w:rPr>
              <w:t xml:space="preserve"> (3)</w:t>
            </w:r>
          </w:p>
        </w:tc>
      </w:tr>
      <w:tr w:rsidR="00B63B35" w:rsidRPr="00872FD2" w:rsidTr="00710208">
        <w:trPr>
          <w:cnfStyle w:val="000000100000"/>
        </w:trPr>
        <w:tc>
          <w:tcPr>
            <w:tcW w:w="8522" w:type="dxa"/>
          </w:tcPr>
          <w:p w:rsidR="00B63B35" w:rsidRPr="00E13C5D" w:rsidRDefault="00B63B35" w:rsidP="00832906">
            <w:pPr>
              <w:pStyle w:val="a5"/>
              <w:numPr>
                <w:ilvl w:val="0"/>
                <w:numId w:val="142"/>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Διαφωνώ</w:t>
            </w:r>
            <w:r w:rsidR="00E13C5D" w:rsidRPr="00E13C5D">
              <w:rPr>
                <w:rFonts w:asciiTheme="minorHAnsi" w:eastAsiaTheme="minorHAnsi" w:hAnsiTheme="minorHAnsi" w:cstheme="minorHAnsi"/>
                <w:color w:val="000000"/>
                <w:sz w:val="24"/>
                <w:szCs w:val="24"/>
              </w:rPr>
              <w:t xml:space="preserve"> (2)</w:t>
            </w:r>
          </w:p>
        </w:tc>
      </w:tr>
      <w:tr w:rsidR="00B63B35" w:rsidRPr="00872FD2" w:rsidTr="00710208">
        <w:trPr>
          <w:cnfStyle w:val="000000010000"/>
        </w:trPr>
        <w:tc>
          <w:tcPr>
            <w:tcW w:w="8522" w:type="dxa"/>
          </w:tcPr>
          <w:p w:rsidR="00B63B35" w:rsidRPr="00E13C5D" w:rsidRDefault="00B63B35" w:rsidP="00832906">
            <w:pPr>
              <w:pStyle w:val="a5"/>
              <w:numPr>
                <w:ilvl w:val="0"/>
                <w:numId w:val="142"/>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Διαφωνώ απόλυτα</w:t>
            </w:r>
            <w:r w:rsidR="00E13C5D" w:rsidRPr="00E13C5D">
              <w:rPr>
                <w:rFonts w:asciiTheme="minorHAnsi" w:eastAsiaTheme="minorHAnsi" w:hAnsiTheme="minorHAnsi" w:cstheme="minorHAnsi"/>
                <w:color w:val="000000"/>
                <w:sz w:val="24"/>
                <w:szCs w:val="24"/>
              </w:rPr>
              <w:t xml:space="preserve"> (1)</w:t>
            </w:r>
          </w:p>
        </w:tc>
      </w:tr>
      <w:tr w:rsidR="00B63B35" w:rsidRPr="00872FD2" w:rsidTr="00710208">
        <w:trPr>
          <w:cnfStyle w:val="000000100000"/>
        </w:trPr>
        <w:tc>
          <w:tcPr>
            <w:tcW w:w="8522" w:type="dxa"/>
          </w:tcPr>
          <w:p w:rsidR="00B63B35" w:rsidRPr="00872FD2" w:rsidRDefault="00B63B35" w:rsidP="00872FD2">
            <w:pPr>
              <w:spacing w:after="0" w:line="360" w:lineRule="auto"/>
              <w:jc w:val="center"/>
              <w:rPr>
                <w:rFonts w:asciiTheme="minorHAnsi" w:eastAsiaTheme="minorHAnsi" w:hAnsiTheme="minorHAnsi" w:cstheme="minorHAnsi"/>
                <w:b/>
                <w:color w:val="000000"/>
                <w:sz w:val="24"/>
                <w:szCs w:val="24"/>
              </w:rPr>
            </w:pPr>
            <w:r w:rsidRPr="00872FD2">
              <w:rPr>
                <w:rFonts w:asciiTheme="minorHAnsi" w:eastAsiaTheme="minorHAnsi" w:hAnsiTheme="minorHAnsi" w:cstheme="minorHAnsi"/>
                <w:b/>
                <w:color w:val="000000"/>
                <w:sz w:val="24"/>
                <w:szCs w:val="24"/>
              </w:rPr>
              <w:t>ΠΝΕΥΜΑΤΙΚΟΤΗΤΑ</w:t>
            </w:r>
          </w:p>
        </w:tc>
      </w:tr>
      <w:tr w:rsidR="00B63B35" w:rsidRPr="00872FD2" w:rsidTr="00710208">
        <w:trPr>
          <w:cnfStyle w:val="000000010000"/>
        </w:trPr>
        <w:tc>
          <w:tcPr>
            <w:tcW w:w="8522" w:type="dxa"/>
          </w:tcPr>
          <w:p w:rsidR="00B63B35" w:rsidRPr="00872FD2" w:rsidRDefault="00B63B35" w:rsidP="00872FD2">
            <w:pPr>
              <w:spacing w:after="0" w:line="360" w:lineRule="auto"/>
              <w:rPr>
                <w:rFonts w:asciiTheme="minorHAnsi" w:eastAsiaTheme="minorHAnsi" w:hAnsiTheme="minorHAnsi" w:cstheme="minorHAnsi"/>
                <w:b/>
                <w:color w:val="000000"/>
                <w:sz w:val="24"/>
                <w:szCs w:val="24"/>
              </w:rPr>
            </w:pPr>
            <w:r w:rsidRPr="00872FD2">
              <w:rPr>
                <w:rFonts w:asciiTheme="minorHAnsi" w:eastAsiaTheme="minorHAnsi" w:hAnsiTheme="minorHAnsi" w:cstheme="minorHAnsi"/>
                <w:b/>
                <w:color w:val="000000"/>
                <w:sz w:val="24"/>
                <w:szCs w:val="24"/>
              </w:rPr>
              <w:t xml:space="preserve">13. Αισθάνομαι ότι η ζωή μου έχει μεγαλύτερο νόημα τώρα από ότι είχε στο παρελθόν. </w:t>
            </w:r>
          </w:p>
        </w:tc>
      </w:tr>
      <w:tr w:rsidR="00B63B35" w:rsidRPr="00872FD2" w:rsidTr="00710208">
        <w:trPr>
          <w:cnfStyle w:val="000000100000"/>
        </w:trPr>
        <w:tc>
          <w:tcPr>
            <w:tcW w:w="8522" w:type="dxa"/>
          </w:tcPr>
          <w:p w:rsidR="00B63B35" w:rsidRPr="00E13C5D" w:rsidRDefault="00B63B35" w:rsidP="00832906">
            <w:pPr>
              <w:pStyle w:val="a5"/>
              <w:numPr>
                <w:ilvl w:val="0"/>
                <w:numId w:val="145"/>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Συμφωνώ απόλυτα</w:t>
            </w:r>
            <w:r w:rsidR="00E13C5D" w:rsidRPr="00E13C5D">
              <w:rPr>
                <w:rFonts w:asciiTheme="minorHAnsi" w:eastAsiaTheme="minorHAnsi" w:hAnsiTheme="minorHAnsi" w:cstheme="minorHAnsi"/>
                <w:color w:val="000000"/>
                <w:sz w:val="24"/>
                <w:szCs w:val="24"/>
              </w:rPr>
              <w:t xml:space="preserve"> (2)</w:t>
            </w:r>
          </w:p>
        </w:tc>
      </w:tr>
      <w:tr w:rsidR="00B63B35" w:rsidRPr="00872FD2" w:rsidTr="00710208">
        <w:trPr>
          <w:cnfStyle w:val="000000010000"/>
        </w:trPr>
        <w:tc>
          <w:tcPr>
            <w:tcW w:w="8522" w:type="dxa"/>
          </w:tcPr>
          <w:p w:rsidR="00B63B35" w:rsidRPr="00E13C5D" w:rsidRDefault="00B63B35" w:rsidP="00832906">
            <w:pPr>
              <w:pStyle w:val="a5"/>
              <w:numPr>
                <w:ilvl w:val="0"/>
                <w:numId w:val="145"/>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Συμφωνώ</w:t>
            </w:r>
            <w:r w:rsidR="00E13C5D" w:rsidRPr="00E13C5D">
              <w:rPr>
                <w:rFonts w:asciiTheme="minorHAnsi" w:eastAsiaTheme="minorHAnsi" w:hAnsiTheme="minorHAnsi" w:cstheme="minorHAnsi"/>
                <w:color w:val="000000"/>
                <w:sz w:val="24"/>
                <w:szCs w:val="24"/>
              </w:rPr>
              <w:t xml:space="preserve"> (1)</w:t>
            </w:r>
          </w:p>
        </w:tc>
      </w:tr>
      <w:tr w:rsidR="00B63B35" w:rsidRPr="00872FD2" w:rsidTr="00710208">
        <w:trPr>
          <w:cnfStyle w:val="000000100000"/>
        </w:trPr>
        <w:tc>
          <w:tcPr>
            <w:tcW w:w="8522" w:type="dxa"/>
          </w:tcPr>
          <w:p w:rsidR="00B63B35" w:rsidRPr="00E13C5D" w:rsidRDefault="00B63B35" w:rsidP="00832906">
            <w:pPr>
              <w:pStyle w:val="a5"/>
              <w:numPr>
                <w:ilvl w:val="0"/>
                <w:numId w:val="145"/>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Ούτε συμφωνώ ούτε διαφωνώ</w:t>
            </w:r>
            <w:r w:rsidR="00E13C5D" w:rsidRPr="00E13C5D">
              <w:rPr>
                <w:rFonts w:asciiTheme="minorHAnsi" w:eastAsiaTheme="minorHAnsi" w:hAnsiTheme="minorHAnsi" w:cstheme="minorHAnsi"/>
                <w:color w:val="000000"/>
                <w:sz w:val="24"/>
                <w:szCs w:val="24"/>
              </w:rPr>
              <w:t xml:space="preserve"> (0)</w:t>
            </w:r>
          </w:p>
        </w:tc>
      </w:tr>
      <w:tr w:rsidR="00B63B35" w:rsidRPr="00872FD2" w:rsidTr="00710208">
        <w:trPr>
          <w:cnfStyle w:val="000000010000"/>
        </w:trPr>
        <w:tc>
          <w:tcPr>
            <w:tcW w:w="8522" w:type="dxa"/>
          </w:tcPr>
          <w:p w:rsidR="00B63B35" w:rsidRPr="00E13C5D" w:rsidRDefault="00B63B35" w:rsidP="00832906">
            <w:pPr>
              <w:pStyle w:val="a5"/>
              <w:numPr>
                <w:ilvl w:val="0"/>
                <w:numId w:val="145"/>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Διαφωνώ</w:t>
            </w:r>
            <w:r w:rsidR="00E13C5D" w:rsidRPr="00E13C5D">
              <w:rPr>
                <w:rFonts w:asciiTheme="minorHAnsi" w:eastAsiaTheme="minorHAnsi" w:hAnsiTheme="minorHAnsi" w:cstheme="minorHAnsi"/>
                <w:color w:val="000000"/>
                <w:sz w:val="24"/>
                <w:szCs w:val="24"/>
              </w:rPr>
              <w:t xml:space="preserve"> (-1)</w:t>
            </w:r>
          </w:p>
        </w:tc>
      </w:tr>
      <w:tr w:rsidR="00B63B35" w:rsidRPr="00872FD2" w:rsidTr="00710208">
        <w:trPr>
          <w:cnfStyle w:val="000000100000"/>
        </w:trPr>
        <w:tc>
          <w:tcPr>
            <w:tcW w:w="8522" w:type="dxa"/>
          </w:tcPr>
          <w:p w:rsidR="00B63B35" w:rsidRPr="00E13C5D" w:rsidRDefault="00B63B35" w:rsidP="00832906">
            <w:pPr>
              <w:pStyle w:val="a5"/>
              <w:numPr>
                <w:ilvl w:val="0"/>
                <w:numId w:val="145"/>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Διαφωνώ απόλυτα</w:t>
            </w:r>
            <w:r w:rsidR="00E13C5D" w:rsidRPr="00E13C5D">
              <w:rPr>
                <w:rFonts w:asciiTheme="minorHAnsi" w:eastAsiaTheme="minorHAnsi" w:hAnsiTheme="minorHAnsi" w:cstheme="minorHAnsi"/>
                <w:color w:val="000000"/>
                <w:sz w:val="24"/>
                <w:szCs w:val="24"/>
              </w:rPr>
              <w:t xml:space="preserve"> (-2)</w:t>
            </w:r>
          </w:p>
        </w:tc>
      </w:tr>
      <w:tr w:rsidR="00B63B35" w:rsidRPr="00872FD2" w:rsidTr="00710208">
        <w:trPr>
          <w:cnfStyle w:val="000000010000"/>
        </w:trPr>
        <w:tc>
          <w:tcPr>
            <w:tcW w:w="8522" w:type="dxa"/>
          </w:tcPr>
          <w:p w:rsidR="00B63B35" w:rsidRPr="00872FD2" w:rsidRDefault="00B63B35" w:rsidP="00872FD2">
            <w:pPr>
              <w:spacing w:after="0" w:line="360" w:lineRule="auto"/>
              <w:rPr>
                <w:rFonts w:asciiTheme="minorHAnsi" w:eastAsiaTheme="minorHAnsi" w:hAnsiTheme="minorHAnsi" w:cstheme="minorHAnsi"/>
                <w:b/>
                <w:color w:val="000000"/>
                <w:sz w:val="24"/>
                <w:szCs w:val="24"/>
              </w:rPr>
            </w:pPr>
            <w:r w:rsidRPr="00872FD2">
              <w:rPr>
                <w:rFonts w:asciiTheme="minorHAnsi" w:eastAsiaTheme="minorHAnsi" w:hAnsiTheme="minorHAnsi" w:cstheme="minorHAnsi"/>
                <w:b/>
                <w:color w:val="000000"/>
                <w:sz w:val="24"/>
                <w:szCs w:val="24"/>
              </w:rPr>
              <w:t xml:space="preserve">14. Η ζωή έχει χάσει κάθε αξία για μένα. Η </w:t>
            </w:r>
            <w:r w:rsidR="001705D4" w:rsidRPr="00872FD2">
              <w:rPr>
                <w:rFonts w:asciiTheme="minorHAnsi" w:eastAsiaTheme="minorHAnsi" w:hAnsiTheme="minorHAnsi" w:cstheme="minorHAnsi"/>
                <w:b/>
                <w:color w:val="000000"/>
                <w:sz w:val="24"/>
                <w:szCs w:val="24"/>
              </w:rPr>
              <w:t>καθημερινότητα είναι ένα βάρος</w:t>
            </w:r>
          </w:p>
        </w:tc>
      </w:tr>
      <w:tr w:rsidR="00B63B35" w:rsidRPr="00872FD2" w:rsidTr="00710208">
        <w:trPr>
          <w:cnfStyle w:val="000000100000"/>
        </w:trPr>
        <w:tc>
          <w:tcPr>
            <w:tcW w:w="8522" w:type="dxa"/>
          </w:tcPr>
          <w:p w:rsidR="00B63B35" w:rsidRPr="00E13C5D" w:rsidRDefault="00B63B35" w:rsidP="00832906">
            <w:pPr>
              <w:pStyle w:val="a5"/>
              <w:numPr>
                <w:ilvl w:val="0"/>
                <w:numId w:val="143"/>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Συμφωνώ απόλυτα</w:t>
            </w:r>
            <w:r w:rsidR="00E13C5D" w:rsidRPr="00E13C5D">
              <w:rPr>
                <w:rFonts w:asciiTheme="minorHAnsi" w:eastAsiaTheme="minorHAnsi" w:hAnsiTheme="minorHAnsi" w:cstheme="minorHAnsi"/>
                <w:color w:val="000000"/>
                <w:sz w:val="24"/>
                <w:szCs w:val="24"/>
              </w:rPr>
              <w:t xml:space="preserve"> (-4)</w:t>
            </w:r>
          </w:p>
        </w:tc>
      </w:tr>
      <w:tr w:rsidR="00B63B35" w:rsidRPr="00872FD2" w:rsidTr="00710208">
        <w:trPr>
          <w:cnfStyle w:val="000000010000"/>
        </w:trPr>
        <w:tc>
          <w:tcPr>
            <w:tcW w:w="8522" w:type="dxa"/>
          </w:tcPr>
          <w:p w:rsidR="00B63B35" w:rsidRPr="00E13C5D" w:rsidRDefault="00B63B35" w:rsidP="00832906">
            <w:pPr>
              <w:pStyle w:val="a5"/>
              <w:numPr>
                <w:ilvl w:val="0"/>
                <w:numId w:val="143"/>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Συμφωνώ</w:t>
            </w:r>
            <w:r w:rsidR="00E13C5D" w:rsidRPr="00E13C5D">
              <w:rPr>
                <w:rFonts w:asciiTheme="minorHAnsi" w:eastAsiaTheme="minorHAnsi" w:hAnsiTheme="minorHAnsi" w:cstheme="minorHAnsi"/>
                <w:color w:val="000000"/>
                <w:sz w:val="24"/>
                <w:szCs w:val="24"/>
              </w:rPr>
              <w:t xml:space="preserve"> (-3)</w:t>
            </w:r>
          </w:p>
        </w:tc>
      </w:tr>
      <w:tr w:rsidR="00B63B35" w:rsidRPr="00872FD2" w:rsidTr="00710208">
        <w:trPr>
          <w:cnfStyle w:val="000000100000"/>
        </w:trPr>
        <w:tc>
          <w:tcPr>
            <w:tcW w:w="8522" w:type="dxa"/>
          </w:tcPr>
          <w:p w:rsidR="00B63B35" w:rsidRPr="00E13C5D" w:rsidRDefault="00B63B35" w:rsidP="00832906">
            <w:pPr>
              <w:pStyle w:val="a5"/>
              <w:numPr>
                <w:ilvl w:val="0"/>
                <w:numId w:val="143"/>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Ούτε συμφωνώ ούτε διαφωνώ</w:t>
            </w:r>
            <w:r w:rsidR="00E13C5D" w:rsidRPr="00E13C5D">
              <w:rPr>
                <w:rFonts w:asciiTheme="minorHAnsi" w:eastAsiaTheme="minorHAnsi" w:hAnsiTheme="minorHAnsi" w:cstheme="minorHAnsi"/>
                <w:color w:val="000000"/>
                <w:sz w:val="24"/>
                <w:szCs w:val="24"/>
              </w:rPr>
              <w:t xml:space="preserve"> (0)</w:t>
            </w:r>
          </w:p>
        </w:tc>
      </w:tr>
      <w:tr w:rsidR="00B63B35" w:rsidRPr="00872FD2" w:rsidTr="00710208">
        <w:trPr>
          <w:cnfStyle w:val="000000010000"/>
        </w:trPr>
        <w:tc>
          <w:tcPr>
            <w:tcW w:w="8522" w:type="dxa"/>
          </w:tcPr>
          <w:p w:rsidR="00B63B35" w:rsidRPr="00E13C5D" w:rsidRDefault="00B63B35" w:rsidP="00832906">
            <w:pPr>
              <w:pStyle w:val="a5"/>
              <w:numPr>
                <w:ilvl w:val="0"/>
                <w:numId w:val="143"/>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Διαφωνώ</w:t>
            </w:r>
            <w:r w:rsidR="00E13C5D" w:rsidRPr="00E13C5D">
              <w:rPr>
                <w:rFonts w:asciiTheme="minorHAnsi" w:eastAsiaTheme="minorHAnsi" w:hAnsiTheme="minorHAnsi" w:cstheme="minorHAnsi"/>
                <w:color w:val="000000"/>
                <w:sz w:val="24"/>
                <w:szCs w:val="24"/>
              </w:rPr>
              <w:t xml:space="preserve"> (3)</w:t>
            </w:r>
          </w:p>
        </w:tc>
      </w:tr>
      <w:tr w:rsidR="00B63B35" w:rsidRPr="00872FD2" w:rsidTr="00710208">
        <w:trPr>
          <w:cnfStyle w:val="000000100000"/>
        </w:trPr>
        <w:tc>
          <w:tcPr>
            <w:tcW w:w="8522" w:type="dxa"/>
          </w:tcPr>
          <w:p w:rsidR="00B63B35" w:rsidRPr="00E13C5D" w:rsidRDefault="00B63B35" w:rsidP="00832906">
            <w:pPr>
              <w:pStyle w:val="a5"/>
              <w:numPr>
                <w:ilvl w:val="0"/>
                <w:numId w:val="143"/>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Διαφωνώ απόλυτα</w:t>
            </w:r>
            <w:r w:rsidR="00E13C5D" w:rsidRPr="00E13C5D">
              <w:rPr>
                <w:rFonts w:asciiTheme="minorHAnsi" w:eastAsiaTheme="minorHAnsi" w:hAnsiTheme="minorHAnsi" w:cstheme="minorHAnsi"/>
                <w:color w:val="000000"/>
                <w:sz w:val="24"/>
                <w:szCs w:val="24"/>
              </w:rPr>
              <w:t xml:space="preserve"> (4)</w:t>
            </w:r>
          </w:p>
        </w:tc>
      </w:tr>
      <w:tr w:rsidR="00B63B35" w:rsidRPr="00872FD2" w:rsidTr="00710208">
        <w:trPr>
          <w:cnfStyle w:val="000000010000"/>
        </w:trPr>
        <w:tc>
          <w:tcPr>
            <w:tcW w:w="8522" w:type="dxa"/>
          </w:tcPr>
          <w:p w:rsidR="00B63B35" w:rsidRPr="00872FD2" w:rsidRDefault="00B63B35" w:rsidP="00872FD2">
            <w:pPr>
              <w:spacing w:after="0" w:line="360" w:lineRule="auto"/>
              <w:rPr>
                <w:rFonts w:asciiTheme="minorHAnsi" w:eastAsiaTheme="minorHAnsi" w:hAnsiTheme="minorHAnsi" w:cstheme="minorHAnsi"/>
                <w:b/>
                <w:color w:val="000000"/>
                <w:sz w:val="24"/>
                <w:szCs w:val="24"/>
              </w:rPr>
            </w:pPr>
            <w:r w:rsidRPr="00872FD2">
              <w:rPr>
                <w:rFonts w:asciiTheme="minorHAnsi" w:eastAsiaTheme="minorHAnsi" w:hAnsiTheme="minorHAnsi" w:cstheme="minorHAnsi"/>
                <w:b/>
                <w:color w:val="000000"/>
                <w:sz w:val="24"/>
                <w:szCs w:val="24"/>
              </w:rPr>
              <w:t xml:space="preserve">15. Είναι σημαντικό για μένα να αισθάνομαι ότι η ζωή μου έχει νόημα. </w:t>
            </w:r>
          </w:p>
        </w:tc>
      </w:tr>
      <w:tr w:rsidR="00B63B35" w:rsidRPr="00872FD2" w:rsidTr="00710208">
        <w:trPr>
          <w:cnfStyle w:val="000000100000"/>
        </w:trPr>
        <w:tc>
          <w:tcPr>
            <w:tcW w:w="8522" w:type="dxa"/>
          </w:tcPr>
          <w:p w:rsidR="00B63B35" w:rsidRPr="00E13C5D" w:rsidRDefault="00B63B35" w:rsidP="00832906">
            <w:pPr>
              <w:pStyle w:val="a5"/>
              <w:numPr>
                <w:ilvl w:val="0"/>
                <w:numId w:val="144"/>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Συμφωνώ</w:t>
            </w:r>
            <w:r w:rsidR="0078495A" w:rsidRPr="00E13C5D">
              <w:rPr>
                <w:rFonts w:asciiTheme="minorHAnsi" w:eastAsiaTheme="minorHAnsi" w:hAnsiTheme="minorHAnsi" w:cstheme="minorHAnsi"/>
                <w:color w:val="000000"/>
                <w:sz w:val="24"/>
                <w:szCs w:val="24"/>
              </w:rPr>
              <w:t xml:space="preserve"> </w:t>
            </w:r>
            <w:r w:rsidRPr="00E13C5D">
              <w:rPr>
                <w:rFonts w:asciiTheme="minorHAnsi" w:eastAsiaTheme="minorHAnsi" w:hAnsiTheme="minorHAnsi" w:cstheme="minorHAnsi"/>
                <w:color w:val="000000"/>
                <w:sz w:val="24"/>
                <w:szCs w:val="24"/>
              </w:rPr>
              <w:t>απόλυτα</w:t>
            </w:r>
            <w:r w:rsidR="00E13C5D" w:rsidRPr="00E13C5D">
              <w:rPr>
                <w:rFonts w:asciiTheme="minorHAnsi" w:eastAsiaTheme="minorHAnsi" w:hAnsiTheme="minorHAnsi" w:cstheme="minorHAnsi"/>
                <w:color w:val="000000"/>
                <w:sz w:val="24"/>
                <w:szCs w:val="24"/>
              </w:rPr>
              <w:t xml:space="preserve"> (5)</w:t>
            </w:r>
          </w:p>
        </w:tc>
      </w:tr>
      <w:tr w:rsidR="00B63B35" w:rsidRPr="00872FD2" w:rsidTr="00710208">
        <w:trPr>
          <w:cnfStyle w:val="000000010000"/>
        </w:trPr>
        <w:tc>
          <w:tcPr>
            <w:tcW w:w="8522" w:type="dxa"/>
          </w:tcPr>
          <w:p w:rsidR="00B63B35" w:rsidRPr="00E13C5D" w:rsidRDefault="00B63B35" w:rsidP="00832906">
            <w:pPr>
              <w:pStyle w:val="a5"/>
              <w:numPr>
                <w:ilvl w:val="0"/>
                <w:numId w:val="144"/>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Συμφωνώ</w:t>
            </w:r>
            <w:r w:rsidR="00E13C5D" w:rsidRPr="00E13C5D">
              <w:rPr>
                <w:rFonts w:asciiTheme="minorHAnsi" w:eastAsiaTheme="minorHAnsi" w:hAnsiTheme="minorHAnsi" w:cstheme="minorHAnsi"/>
                <w:color w:val="000000"/>
                <w:sz w:val="24"/>
                <w:szCs w:val="24"/>
              </w:rPr>
              <w:t xml:space="preserve"> (4)</w:t>
            </w:r>
          </w:p>
        </w:tc>
      </w:tr>
      <w:tr w:rsidR="00B63B35" w:rsidRPr="00872FD2" w:rsidTr="00710208">
        <w:trPr>
          <w:cnfStyle w:val="000000100000"/>
        </w:trPr>
        <w:tc>
          <w:tcPr>
            <w:tcW w:w="8522" w:type="dxa"/>
          </w:tcPr>
          <w:p w:rsidR="00B63B35" w:rsidRPr="00E13C5D" w:rsidRDefault="00B63B35" w:rsidP="00832906">
            <w:pPr>
              <w:pStyle w:val="a5"/>
              <w:numPr>
                <w:ilvl w:val="0"/>
                <w:numId w:val="144"/>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Ούτε συμφωνώ</w:t>
            </w:r>
            <w:r w:rsidR="0078495A" w:rsidRPr="00E13C5D">
              <w:rPr>
                <w:rFonts w:asciiTheme="minorHAnsi" w:eastAsiaTheme="minorHAnsi" w:hAnsiTheme="minorHAnsi" w:cstheme="minorHAnsi"/>
                <w:color w:val="000000"/>
                <w:sz w:val="24"/>
                <w:szCs w:val="24"/>
              </w:rPr>
              <w:t xml:space="preserve"> </w:t>
            </w:r>
            <w:r w:rsidRPr="00E13C5D">
              <w:rPr>
                <w:rFonts w:asciiTheme="minorHAnsi" w:eastAsiaTheme="minorHAnsi" w:hAnsiTheme="minorHAnsi" w:cstheme="minorHAnsi"/>
                <w:color w:val="000000"/>
                <w:sz w:val="24"/>
                <w:szCs w:val="24"/>
              </w:rPr>
              <w:t>ούτε διαφωνώ</w:t>
            </w:r>
            <w:r w:rsidR="00E13C5D" w:rsidRPr="00E13C5D">
              <w:rPr>
                <w:rFonts w:asciiTheme="minorHAnsi" w:eastAsiaTheme="minorHAnsi" w:hAnsiTheme="minorHAnsi" w:cstheme="minorHAnsi"/>
                <w:color w:val="000000"/>
                <w:sz w:val="24"/>
                <w:szCs w:val="24"/>
              </w:rPr>
              <w:t xml:space="preserve"> (3)</w:t>
            </w:r>
          </w:p>
        </w:tc>
      </w:tr>
      <w:tr w:rsidR="00B63B35" w:rsidRPr="00872FD2" w:rsidTr="00710208">
        <w:trPr>
          <w:cnfStyle w:val="000000010000"/>
        </w:trPr>
        <w:tc>
          <w:tcPr>
            <w:tcW w:w="8522" w:type="dxa"/>
          </w:tcPr>
          <w:p w:rsidR="00B63B35" w:rsidRPr="00E13C5D" w:rsidRDefault="00B63B35" w:rsidP="00832906">
            <w:pPr>
              <w:pStyle w:val="a5"/>
              <w:numPr>
                <w:ilvl w:val="0"/>
                <w:numId w:val="144"/>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Διαφωνώ</w:t>
            </w:r>
            <w:r w:rsidR="00E13C5D" w:rsidRPr="00E13C5D">
              <w:rPr>
                <w:rFonts w:asciiTheme="minorHAnsi" w:eastAsiaTheme="minorHAnsi" w:hAnsiTheme="minorHAnsi" w:cstheme="minorHAnsi"/>
                <w:color w:val="000000"/>
                <w:sz w:val="24"/>
                <w:szCs w:val="24"/>
              </w:rPr>
              <w:t xml:space="preserve"> (2)</w:t>
            </w:r>
          </w:p>
        </w:tc>
      </w:tr>
      <w:tr w:rsidR="00B63B35" w:rsidRPr="00872FD2" w:rsidTr="00710208">
        <w:trPr>
          <w:cnfStyle w:val="000000100000"/>
        </w:trPr>
        <w:tc>
          <w:tcPr>
            <w:tcW w:w="8522" w:type="dxa"/>
          </w:tcPr>
          <w:p w:rsidR="00B63B35" w:rsidRPr="00E13C5D" w:rsidRDefault="00B63B35" w:rsidP="00832906">
            <w:pPr>
              <w:pStyle w:val="a5"/>
              <w:numPr>
                <w:ilvl w:val="0"/>
                <w:numId w:val="144"/>
              </w:numPr>
              <w:spacing w:after="0" w:line="360" w:lineRule="auto"/>
              <w:rPr>
                <w:rFonts w:asciiTheme="minorHAnsi" w:eastAsiaTheme="minorHAnsi" w:hAnsiTheme="minorHAnsi" w:cstheme="minorHAnsi"/>
                <w:color w:val="000000"/>
                <w:sz w:val="24"/>
                <w:szCs w:val="24"/>
              </w:rPr>
            </w:pPr>
            <w:r w:rsidRPr="00E13C5D">
              <w:rPr>
                <w:rFonts w:asciiTheme="minorHAnsi" w:eastAsiaTheme="minorHAnsi" w:hAnsiTheme="minorHAnsi" w:cstheme="minorHAnsi"/>
                <w:color w:val="000000"/>
                <w:sz w:val="24"/>
                <w:szCs w:val="24"/>
              </w:rPr>
              <w:t>Διαφωνώ απόλυτα</w:t>
            </w:r>
            <w:r w:rsidR="00E13C5D" w:rsidRPr="00E13C5D">
              <w:rPr>
                <w:rFonts w:asciiTheme="minorHAnsi" w:eastAsiaTheme="minorHAnsi" w:hAnsiTheme="minorHAnsi" w:cstheme="minorHAnsi"/>
                <w:color w:val="000000"/>
                <w:sz w:val="24"/>
                <w:szCs w:val="24"/>
              </w:rPr>
              <w:t xml:space="preserve"> (1)</w:t>
            </w:r>
          </w:p>
        </w:tc>
      </w:tr>
    </w:tbl>
    <w:p w:rsidR="00B46AD1" w:rsidRPr="005A464E" w:rsidRDefault="00B46AD1" w:rsidP="005A464E">
      <w:pPr>
        <w:pStyle w:val="a5"/>
        <w:spacing w:after="0" w:line="360" w:lineRule="auto"/>
        <w:ind w:left="2340"/>
      </w:pPr>
    </w:p>
    <w:p w:rsidR="00AC41D0" w:rsidRPr="005A464E" w:rsidRDefault="00AC41D0" w:rsidP="005A464E">
      <w:pPr>
        <w:pStyle w:val="a5"/>
        <w:spacing w:after="0" w:line="360" w:lineRule="auto"/>
        <w:ind w:left="2340"/>
      </w:pPr>
    </w:p>
    <w:p w:rsidR="001705D4" w:rsidRPr="00DB6A65" w:rsidRDefault="006269EC" w:rsidP="00DB6A65">
      <w:pPr>
        <w:pStyle w:val="1a"/>
        <w:rPr>
          <w:rFonts w:asciiTheme="minorHAnsi" w:hAnsiTheme="minorHAnsi" w:cstheme="minorHAnsi"/>
        </w:rPr>
      </w:pPr>
      <w:bookmarkStart w:id="100" w:name="_Toc495951481"/>
      <w:r w:rsidRPr="00DB6A65">
        <w:rPr>
          <w:rFonts w:asciiTheme="minorHAnsi" w:hAnsiTheme="minorHAnsi" w:cstheme="minorHAnsi"/>
        </w:rPr>
        <w:t>ΕΝΗΜΕΡΩΤΙΚΟ ΕΝΤΥΠΟ</w:t>
      </w:r>
      <w:bookmarkEnd w:id="100"/>
    </w:p>
    <w:p w:rsidR="001705D4" w:rsidRPr="00DB6A65" w:rsidRDefault="00464728" w:rsidP="005A464E">
      <w:pPr>
        <w:pStyle w:val="30"/>
        <w:spacing w:line="360" w:lineRule="auto"/>
        <w:rPr>
          <w:rFonts w:asciiTheme="minorHAnsi" w:hAnsiTheme="minorHAnsi" w:cstheme="minorHAnsi"/>
          <w:lang w:val="en-US"/>
        </w:rPr>
      </w:pPr>
      <w:r>
        <w:rPr>
          <w:rFonts w:asciiTheme="minorHAnsi" w:hAnsiTheme="minorHAnsi" w:cstheme="minorHAnsi"/>
          <w:noProof/>
          <w:lang w:eastAsia="el-GR"/>
        </w:rPr>
        <w:drawing>
          <wp:inline distT="0" distB="0" distL="0" distR="0">
            <wp:extent cx="5000625" cy="6867525"/>
            <wp:effectExtent l="19050" t="0" r="9525" b="0"/>
            <wp:docPr id="26" name="Εικόνα 26" descr="001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001 (5)"/>
                    <pic:cNvPicPr>
                      <a:picLocks noChangeAspect="1" noChangeArrowheads="1"/>
                    </pic:cNvPicPr>
                  </pic:nvPicPr>
                  <pic:blipFill>
                    <a:blip r:embed="rId443" cstate="print"/>
                    <a:srcRect/>
                    <a:stretch>
                      <a:fillRect/>
                    </a:stretch>
                  </pic:blipFill>
                  <pic:spPr bwMode="auto">
                    <a:xfrm>
                      <a:off x="0" y="0"/>
                      <a:ext cx="5000625" cy="6867525"/>
                    </a:xfrm>
                    <a:prstGeom prst="rect">
                      <a:avLst/>
                    </a:prstGeom>
                    <a:noFill/>
                    <a:ln w="9525">
                      <a:noFill/>
                      <a:miter lim="800000"/>
                      <a:headEnd/>
                      <a:tailEnd/>
                    </a:ln>
                  </pic:spPr>
                </pic:pic>
              </a:graphicData>
            </a:graphic>
          </wp:inline>
        </w:drawing>
      </w:r>
    </w:p>
    <w:p w:rsidR="00946211" w:rsidRDefault="00946211" w:rsidP="00946211"/>
    <w:p w:rsidR="004369B5" w:rsidRDefault="004369B5" w:rsidP="00946211"/>
    <w:p w:rsidR="004369B5" w:rsidRDefault="004369B5" w:rsidP="00946211"/>
    <w:p w:rsidR="004369B5" w:rsidRDefault="004369B5" w:rsidP="00946211"/>
    <w:p w:rsidR="004369B5" w:rsidRDefault="004369B5" w:rsidP="00946211"/>
    <w:p w:rsidR="004369B5" w:rsidRDefault="00464728" w:rsidP="00946211">
      <w:r>
        <w:rPr>
          <w:noProof/>
          <w:lang w:eastAsia="el-GR"/>
        </w:rPr>
        <w:drawing>
          <wp:inline distT="0" distB="0" distL="0" distR="0">
            <wp:extent cx="4724400" cy="6838950"/>
            <wp:effectExtent l="0" t="0" r="0" b="0"/>
            <wp:docPr id="27" name="Εικόνα 27" descr="002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002 (1)"/>
                    <pic:cNvPicPr>
                      <a:picLocks noChangeAspect="1" noChangeArrowheads="1"/>
                    </pic:cNvPicPr>
                  </pic:nvPicPr>
                  <pic:blipFill>
                    <a:blip r:embed="rId444" cstate="print">
                      <a:clrChange>
                        <a:clrFrom>
                          <a:srgbClr val="F2F7F3"/>
                        </a:clrFrom>
                        <a:clrTo>
                          <a:srgbClr val="F2F7F3">
                            <a:alpha val="0"/>
                          </a:srgbClr>
                        </a:clrTo>
                      </a:clrChange>
                      <a:grayscl/>
                    </a:blip>
                    <a:srcRect/>
                    <a:stretch>
                      <a:fillRect/>
                    </a:stretch>
                  </pic:blipFill>
                  <pic:spPr bwMode="auto">
                    <a:xfrm>
                      <a:off x="0" y="0"/>
                      <a:ext cx="4724400" cy="6838950"/>
                    </a:xfrm>
                    <a:prstGeom prst="rect">
                      <a:avLst/>
                    </a:prstGeom>
                    <a:noFill/>
                    <a:ln w="9525">
                      <a:noFill/>
                      <a:miter lim="800000"/>
                      <a:headEnd/>
                      <a:tailEnd/>
                    </a:ln>
                  </pic:spPr>
                </pic:pic>
              </a:graphicData>
            </a:graphic>
          </wp:inline>
        </w:drawing>
      </w:r>
    </w:p>
    <w:p w:rsidR="00D42976" w:rsidRDefault="00D42976" w:rsidP="00D42976">
      <w:pPr>
        <w:autoSpaceDE w:val="0"/>
        <w:autoSpaceDN w:val="0"/>
        <w:adjustRightInd w:val="0"/>
        <w:spacing w:line="360" w:lineRule="auto"/>
        <w:jc w:val="center"/>
        <w:rPr>
          <w:rFonts w:asciiTheme="minorHAnsi" w:hAnsiTheme="minorHAnsi" w:cstheme="minorHAnsi"/>
          <w:b/>
          <w:sz w:val="28"/>
          <w:szCs w:val="28"/>
          <w:shd w:val="clear" w:color="auto" w:fill="FFFFFF"/>
        </w:rPr>
      </w:pPr>
    </w:p>
    <w:p w:rsidR="00D42976" w:rsidRDefault="00D42976" w:rsidP="00D42976">
      <w:pPr>
        <w:autoSpaceDE w:val="0"/>
        <w:autoSpaceDN w:val="0"/>
        <w:adjustRightInd w:val="0"/>
        <w:spacing w:line="360" w:lineRule="auto"/>
        <w:jc w:val="center"/>
        <w:rPr>
          <w:rFonts w:asciiTheme="minorHAnsi" w:hAnsiTheme="minorHAnsi" w:cstheme="minorHAnsi"/>
          <w:b/>
          <w:sz w:val="28"/>
          <w:szCs w:val="28"/>
          <w:shd w:val="clear" w:color="auto" w:fill="FFFFFF"/>
        </w:rPr>
      </w:pPr>
    </w:p>
    <w:p w:rsidR="00D42976" w:rsidRDefault="00D42976" w:rsidP="00D42976">
      <w:pPr>
        <w:autoSpaceDE w:val="0"/>
        <w:autoSpaceDN w:val="0"/>
        <w:adjustRightInd w:val="0"/>
        <w:spacing w:line="360" w:lineRule="auto"/>
        <w:jc w:val="center"/>
        <w:rPr>
          <w:rFonts w:asciiTheme="minorHAnsi" w:hAnsiTheme="minorHAnsi" w:cstheme="minorHAnsi"/>
          <w:b/>
          <w:sz w:val="28"/>
          <w:szCs w:val="28"/>
          <w:shd w:val="clear" w:color="auto" w:fill="FFFFFF"/>
        </w:rPr>
      </w:pPr>
    </w:p>
    <w:p w:rsidR="00051D62" w:rsidRPr="00324A1E" w:rsidRDefault="00051D62" w:rsidP="005A52AF">
      <w:pPr>
        <w:pStyle w:val="1a"/>
        <w:rPr>
          <w:rFonts w:asciiTheme="minorHAnsi" w:hAnsiTheme="minorHAnsi"/>
        </w:rPr>
      </w:pPr>
      <w:bookmarkStart w:id="101" w:name="_Toc495951482"/>
      <w:r w:rsidRPr="00324A1E">
        <w:rPr>
          <w:rFonts w:asciiTheme="minorHAnsi" w:hAnsiTheme="minorHAnsi"/>
        </w:rPr>
        <w:t>ΑΔΕΙΕΣ</w:t>
      </w:r>
      <w:bookmarkEnd w:id="101"/>
    </w:p>
    <w:p w:rsidR="00AC41D0" w:rsidRPr="00CF7FF5" w:rsidRDefault="00AC41D0" w:rsidP="005A464E">
      <w:pPr>
        <w:spacing w:line="360" w:lineRule="auto"/>
      </w:pPr>
    </w:p>
    <w:p w:rsidR="00051D62" w:rsidRPr="0073052E" w:rsidRDefault="00051D62" w:rsidP="005A464E">
      <w:pPr>
        <w:spacing w:line="360" w:lineRule="auto"/>
        <w:jc w:val="both"/>
        <w:rPr>
          <w:b/>
        </w:rPr>
      </w:pPr>
      <w:r w:rsidRPr="005A464E">
        <w:rPr>
          <w:b/>
        </w:rPr>
        <w:t>Άδεια</w:t>
      </w:r>
      <w:r w:rsidRPr="0073052E">
        <w:rPr>
          <w:b/>
        </w:rPr>
        <w:t xml:space="preserve"> </w:t>
      </w:r>
      <w:r w:rsidRPr="005A464E">
        <w:rPr>
          <w:b/>
        </w:rPr>
        <w:t>χρήσης</w:t>
      </w:r>
      <w:r w:rsidRPr="0073052E">
        <w:rPr>
          <w:b/>
        </w:rPr>
        <w:t xml:space="preserve"> </w:t>
      </w:r>
      <w:r w:rsidRPr="005A464E">
        <w:rPr>
          <w:b/>
        </w:rPr>
        <w:t>ερωτηματολόγιου</w:t>
      </w:r>
      <w:r w:rsidRPr="0073052E">
        <w:rPr>
          <w:b/>
        </w:rPr>
        <w:t xml:space="preserve"> «</w:t>
      </w:r>
      <w:r w:rsidRPr="005A464E">
        <w:rPr>
          <w:b/>
          <w:lang w:val="en-US"/>
        </w:rPr>
        <w:t>kidney</w:t>
      </w:r>
      <w:r w:rsidRPr="0073052E">
        <w:rPr>
          <w:b/>
        </w:rPr>
        <w:t xml:space="preserve"> </w:t>
      </w:r>
      <w:r w:rsidRPr="005A464E">
        <w:rPr>
          <w:b/>
          <w:lang w:val="en-US"/>
        </w:rPr>
        <w:t>disease</w:t>
      </w:r>
      <w:r w:rsidRPr="0073052E">
        <w:rPr>
          <w:b/>
        </w:rPr>
        <w:t xml:space="preserve"> </w:t>
      </w:r>
      <w:r w:rsidRPr="005A464E">
        <w:rPr>
          <w:b/>
          <w:lang w:val="en-US"/>
        </w:rPr>
        <w:t>questionnaire</w:t>
      </w:r>
      <w:r w:rsidRPr="0073052E">
        <w:rPr>
          <w:b/>
        </w:rPr>
        <w:t>»</w:t>
      </w:r>
    </w:p>
    <w:tbl>
      <w:tblPr>
        <w:tblW w:w="0" w:type="dxa"/>
        <w:tblCellMar>
          <w:left w:w="0" w:type="dxa"/>
          <w:right w:w="0" w:type="dxa"/>
        </w:tblCellMar>
        <w:tblLook w:val="04A0"/>
      </w:tblPr>
      <w:tblGrid>
        <w:gridCol w:w="6298"/>
        <w:gridCol w:w="794"/>
        <w:gridCol w:w="7"/>
        <w:gridCol w:w="15"/>
      </w:tblGrid>
      <w:tr w:rsidR="00051D62" w:rsidRPr="00872FD2" w:rsidTr="00051D62">
        <w:trPr>
          <w:trHeight w:val="222"/>
        </w:trPr>
        <w:tc>
          <w:tcPr>
            <w:tcW w:w="5654" w:type="dxa"/>
            <w:noWrap/>
            <w:tcMar>
              <w:top w:w="0" w:type="dxa"/>
              <w:left w:w="0" w:type="dxa"/>
              <w:bottom w:w="0" w:type="dxa"/>
              <w:right w:w="111" w:type="dxa"/>
            </w:tcMar>
            <w:hideMark/>
          </w:tcPr>
          <w:tbl>
            <w:tblPr>
              <w:tblW w:w="5664" w:type="dxa"/>
              <w:tblCellMar>
                <w:left w:w="0" w:type="dxa"/>
                <w:right w:w="0" w:type="dxa"/>
              </w:tblCellMar>
              <w:tblLook w:val="04A0"/>
            </w:tblPr>
            <w:tblGrid>
              <w:gridCol w:w="5664"/>
            </w:tblGrid>
            <w:tr w:rsidR="00051D62" w:rsidRPr="00D842D4">
              <w:tc>
                <w:tcPr>
                  <w:tcW w:w="0" w:type="auto"/>
                  <w:vAlign w:val="center"/>
                  <w:hideMark/>
                </w:tcPr>
                <w:p w:rsidR="00051D62" w:rsidRPr="00872FD2" w:rsidRDefault="00051D62" w:rsidP="005A464E">
                  <w:pPr>
                    <w:spacing w:line="360" w:lineRule="auto"/>
                    <w:rPr>
                      <w:rFonts w:asciiTheme="minorHAnsi" w:eastAsiaTheme="minorHAnsi" w:hAnsiTheme="minorHAnsi" w:cs="Arial"/>
                      <w:lang w:val="en-US"/>
                    </w:rPr>
                  </w:pPr>
                  <w:r w:rsidRPr="00872FD2">
                    <w:rPr>
                      <w:rStyle w:val="gd"/>
                      <w:rFonts w:asciiTheme="minorHAnsi" w:eastAsiaTheme="minorHAnsi" w:hAnsiTheme="minorHAnsi" w:cs="Arial"/>
                      <w:color w:val="222222"/>
                      <w:sz w:val="18"/>
                      <w:szCs w:val="18"/>
                      <w:lang w:val="en-US"/>
                    </w:rPr>
                    <w:t>victoria alikari</w:t>
                  </w:r>
                  <w:r w:rsidRPr="00872FD2">
                    <w:rPr>
                      <w:rStyle w:val="apple-converted-space"/>
                      <w:rFonts w:asciiTheme="minorHAnsi" w:eastAsiaTheme="minorHAnsi" w:hAnsiTheme="minorHAnsi" w:cs="Arial"/>
                      <w:lang w:val="en-US"/>
                    </w:rPr>
                    <w:t> </w:t>
                  </w:r>
                  <w:r w:rsidRPr="00872FD2">
                    <w:rPr>
                      <w:rStyle w:val="go"/>
                      <w:rFonts w:asciiTheme="minorHAnsi" w:eastAsiaTheme="minorHAnsi" w:hAnsiTheme="minorHAnsi" w:cs="Arial"/>
                      <w:color w:val="555555"/>
                      <w:lang w:val="en-US"/>
                    </w:rPr>
                    <w:t>&lt;vicalikari@gmail.com&gt;</w:t>
                  </w:r>
                </w:p>
              </w:tc>
            </w:tr>
          </w:tbl>
          <w:p w:rsidR="00051D62" w:rsidRPr="00872FD2" w:rsidRDefault="00051D62" w:rsidP="005A464E">
            <w:pPr>
              <w:spacing w:line="360" w:lineRule="auto"/>
              <w:rPr>
                <w:rFonts w:asciiTheme="minorHAnsi" w:eastAsiaTheme="minorHAnsi" w:hAnsiTheme="minorHAnsi" w:cs="Arial"/>
                <w:sz w:val="24"/>
                <w:szCs w:val="24"/>
                <w:lang w:val="en-US"/>
              </w:rPr>
            </w:pPr>
          </w:p>
        </w:tc>
        <w:tc>
          <w:tcPr>
            <w:tcW w:w="0" w:type="auto"/>
            <w:noWrap/>
            <w:hideMark/>
          </w:tcPr>
          <w:p w:rsidR="00051D62" w:rsidRPr="00872FD2" w:rsidRDefault="00051D62" w:rsidP="005A464E">
            <w:pPr>
              <w:spacing w:line="360" w:lineRule="auto"/>
              <w:rPr>
                <w:rFonts w:asciiTheme="minorHAnsi" w:eastAsiaTheme="minorHAnsi" w:hAnsiTheme="minorHAnsi" w:cs="Arial"/>
                <w:color w:val="222222"/>
              </w:rPr>
            </w:pPr>
            <w:r w:rsidRPr="00872FD2">
              <w:rPr>
                <w:rStyle w:val="g3"/>
                <w:rFonts w:asciiTheme="minorHAnsi" w:eastAsiaTheme="minorHAnsi" w:hAnsiTheme="minorHAnsi" w:cs="Arial"/>
                <w:color w:val="222222"/>
              </w:rPr>
              <w:t>﻿​​﻿﻿﻿﻿﻿﻿​​﻿​﻿﻿​﻿​​﻿﻿​﻿​​﻿​﻿​﻿﻿​​﻿﻿​​﻿﻿​​​​﻿​﻿​​​﻿​​​﻿﻿﻿​﻿​﻿​10/6/13</w:t>
            </w:r>
          </w:p>
          <w:p w:rsidR="00051D62" w:rsidRPr="00872FD2" w:rsidRDefault="00464728" w:rsidP="005A464E">
            <w:pPr>
              <w:spacing w:line="360" w:lineRule="auto"/>
              <w:rPr>
                <w:rFonts w:asciiTheme="minorHAnsi" w:eastAsiaTheme="minorHAnsi" w:hAnsiTheme="minorHAnsi" w:cs="Arial"/>
                <w:color w:val="222222"/>
                <w:sz w:val="24"/>
                <w:szCs w:val="24"/>
              </w:rPr>
            </w:pPr>
            <w:r>
              <w:rPr>
                <w:rFonts w:asciiTheme="minorHAnsi" w:eastAsiaTheme="minorHAnsi" w:hAnsiTheme="minorHAnsi" w:cs="Arial"/>
                <w:noProof/>
                <w:color w:val="222222"/>
                <w:lang w:eastAsia="el-GR"/>
              </w:rPr>
              <w:drawing>
                <wp:inline distT="0" distB="0" distL="0" distR="0">
                  <wp:extent cx="9525" cy="9525"/>
                  <wp:effectExtent l="0" t="0" r="0" b="0"/>
                  <wp:docPr id="28" name="Εικόνα 28"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mail.google.com/mail/u/0/images/cleardot.gif"/>
                          <pic:cNvPicPr>
                            <a:picLocks noChangeAspect="1" noChangeArrowheads="1"/>
                          </pic:cNvPicPr>
                        </pic:nvPicPr>
                        <pic:blipFill>
                          <a:blip r:embed="rId44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0" w:type="auto"/>
            <w:noWrap/>
            <w:hideMark/>
          </w:tcPr>
          <w:p w:rsidR="00051D62" w:rsidRPr="00872FD2" w:rsidRDefault="00051D62" w:rsidP="005A464E">
            <w:pPr>
              <w:spacing w:line="360" w:lineRule="auto"/>
              <w:rPr>
                <w:rFonts w:asciiTheme="minorHAnsi" w:eastAsiaTheme="minorHAnsi" w:hAnsiTheme="minorHAnsi" w:cs="Arial"/>
                <w:color w:val="222222"/>
                <w:szCs w:val="24"/>
              </w:rPr>
            </w:pPr>
          </w:p>
        </w:tc>
        <w:tc>
          <w:tcPr>
            <w:tcW w:w="0" w:type="auto"/>
            <w:vMerge w:val="restart"/>
            <w:noWrap/>
            <w:hideMark/>
          </w:tcPr>
          <w:p w:rsidR="00051D62" w:rsidRPr="00872FD2" w:rsidRDefault="00464728" w:rsidP="005A464E">
            <w:pPr>
              <w:spacing w:line="360" w:lineRule="auto"/>
              <w:rPr>
                <w:rFonts w:asciiTheme="minorHAnsi" w:eastAsiaTheme="minorHAnsi" w:hAnsiTheme="minorHAnsi" w:cs="Arial"/>
                <w:b/>
                <w:bCs/>
                <w:color w:val="444444"/>
                <w:sz w:val="15"/>
                <w:szCs w:val="15"/>
              </w:rPr>
            </w:pPr>
            <w:r>
              <w:rPr>
                <w:rFonts w:asciiTheme="minorHAnsi" w:eastAsiaTheme="minorHAnsi" w:hAnsiTheme="minorHAnsi" w:cs="Arial"/>
                <w:b/>
                <w:noProof/>
                <w:color w:val="444444"/>
                <w:sz w:val="15"/>
                <w:szCs w:val="15"/>
                <w:lang w:eastAsia="el-GR"/>
              </w:rPr>
              <w:drawing>
                <wp:inline distT="0" distB="0" distL="0" distR="0">
                  <wp:extent cx="9525" cy="9525"/>
                  <wp:effectExtent l="0" t="0" r="0" b="0"/>
                  <wp:docPr id="29" name="Εικόνα 29"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mail.google.com/mail/u/0/images/cleardot.gif"/>
                          <pic:cNvPicPr>
                            <a:picLocks noChangeAspect="1" noChangeArrowheads="1"/>
                          </pic:cNvPicPr>
                        </pic:nvPicPr>
                        <pic:blipFill>
                          <a:blip r:embed="rId445"/>
                          <a:srcRect/>
                          <a:stretch>
                            <a:fillRect/>
                          </a:stretch>
                        </pic:blipFill>
                        <pic:spPr bwMode="auto">
                          <a:xfrm>
                            <a:off x="0" y="0"/>
                            <a:ext cx="9525" cy="9525"/>
                          </a:xfrm>
                          <a:prstGeom prst="rect">
                            <a:avLst/>
                          </a:prstGeom>
                          <a:noFill/>
                          <a:ln w="9525">
                            <a:noFill/>
                            <a:miter lim="800000"/>
                            <a:headEnd/>
                            <a:tailEnd/>
                          </a:ln>
                        </pic:spPr>
                      </pic:pic>
                    </a:graphicData>
                  </a:graphic>
                </wp:inline>
              </w:drawing>
            </w:r>
          </w:p>
          <w:p w:rsidR="00051D62" w:rsidRPr="00872FD2" w:rsidRDefault="00464728" w:rsidP="005A464E">
            <w:pPr>
              <w:spacing w:line="360" w:lineRule="auto"/>
              <w:rPr>
                <w:rFonts w:asciiTheme="minorHAnsi" w:eastAsiaTheme="minorHAnsi" w:hAnsiTheme="minorHAnsi" w:cs="Arial"/>
                <w:b/>
                <w:bCs/>
                <w:color w:val="444444"/>
                <w:sz w:val="15"/>
                <w:szCs w:val="15"/>
              </w:rPr>
            </w:pPr>
            <w:r>
              <w:rPr>
                <w:rFonts w:asciiTheme="minorHAnsi" w:eastAsiaTheme="minorHAnsi" w:hAnsiTheme="minorHAnsi" w:cs="Arial"/>
                <w:b/>
                <w:noProof/>
                <w:color w:val="444444"/>
                <w:sz w:val="15"/>
                <w:szCs w:val="15"/>
                <w:lang w:eastAsia="el-GR"/>
              </w:rPr>
              <w:drawing>
                <wp:inline distT="0" distB="0" distL="0" distR="0">
                  <wp:extent cx="9525" cy="9525"/>
                  <wp:effectExtent l="0" t="0" r="0" b="0"/>
                  <wp:docPr id="30" name="Εικόνα 30"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mail.google.com/mail/u/0/images/cleardot.gif"/>
                          <pic:cNvPicPr>
                            <a:picLocks noChangeAspect="1" noChangeArrowheads="1"/>
                          </pic:cNvPicPr>
                        </pic:nvPicPr>
                        <pic:blipFill>
                          <a:blip r:embed="rId44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051D62" w:rsidRPr="00872FD2" w:rsidTr="00051D62">
        <w:trPr>
          <w:trHeight w:val="222"/>
        </w:trPr>
        <w:tc>
          <w:tcPr>
            <w:tcW w:w="0" w:type="auto"/>
            <w:gridSpan w:val="3"/>
            <w:vAlign w:val="center"/>
            <w:hideMark/>
          </w:tcPr>
          <w:tbl>
            <w:tblPr>
              <w:tblW w:w="7099" w:type="dxa"/>
              <w:tblCellMar>
                <w:left w:w="0" w:type="dxa"/>
                <w:right w:w="0" w:type="dxa"/>
              </w:tblCellMar>
              <w:tblLook w:val="04A0"/>
            </w:tblPr>
            <w:tblGrid>
              <w:gridCol w:w="7099"/>
            </w:tblGrid>
            <w:tr w:rsidR="00051D62" w:rsidRPr="00872FD2">
              <w:tc>
                <w:tcPr>
                  <w:tcW w:w="0" w:type="auto"/>
                  <w:noWrap/>
                  <w:vAlign w:val="center"/>
                  <w:hideMark/>
                </w:tcPr>
                <w:p w:rsidR="00051D62" w:rsidRPr="00872FD2" w:rsidRDefault="00051D62" w:rsidP="005A464E">
                  <w:pPr>
                    <w:spacing w:line="360" w:lineRule="auto"/>
                    <w:rPr>
                      <w:rFonts w:asciiTheme="minorHAnsi" w:eastAsiaTheme="minorHAnsi" w:hAnsiTheme="minorHAnsi" w:cs="Arial"/>
                    </w:rPr>
                  </w:pPr>
                  <w:r w:rsidRPr="00872FD2">
                    <w:rPr>
                      <w:rStyle w:val="hb"/>
                      <w:rFonts w:asciiTheme="minorHAnsi" w:eastAsiaTheme="minorHAnsi" w:hAnsiTheme="minorHAnsi" w:cs="Arial"/>
                      <w:color w:val="777777"/>
                    </w:rPr>
                    <w:t>προς</w:t>
                  </w:r>
                  <w:r w:rsidRPr="00872FD2">
                    <w:rPr>
                      <w:rStyle w:val="apple-converted-space"/>
                      <w:rFonts w:asciiTheme="minorHAnsi" w:eastAsiaTheme="minorHAnsi" w:hAnsiTheme="minorHAnsi" w:cs="Arial"/>
                      <w:color w:val="777777"/>
                    </w:rPr>
                    <w:t> </w:t>
                  </w:r>
                  <w:r w:rsidRPr="00872FD2">
                    <w:rPr>
                      <w:rStyle w:val="g2"/>
                      <w:rFonts w:asciiTheme="minorHAnsi" w:eastAsiaTheme="minorHAnsi" w:hAnsiTheme="minorHAnsi" w:cs="Arial"/>
                      <w:color w:val="777777"/>
                    </w:rPr>
                    <w:t>gdevins</w:t>
                  </w:r>
                </w:p>
                <w:p w:rsidR="00051D62" w:rsidRPr="00872FD2" w:rsidRDefault="00464728" w:rsidP="005A464E">
                  <w:pPr>
                    <w:spacing w:line="360" w:lineRule="auto"/>
                    <w:textAlignment w:val="top"/>
                    <w:rPr>
                      <w:rFonts w:asciiTheme="minorHAnsi" w:eastAsiaTheme="minorHAnsi" w:hAnsiTheme="minorHAnsi" w:cs="Arial"/>
                      <w:sz w:val="24"/>
                      <w:szCs w:val="24"/>
                    </w:rPr>
                  </w:pPr>
                  <w:r>
                    <w:rPr>
                      <w:rFonts w:asciiTheme="minorHAnsi" w:eastAsiaTheme="minorHAnsi" w:hAnsiTheme="minorHAnsi" w:cs="Arial"/>
                      <w:noProof/>
                      <w:lang w:eastAsia="el-GR"/>
                    </w:rPr>
                    <w:drawing>
                      <wp:inline distT="0" distB="0" distL="0" distR="0">
                        <wp:extent cx="9525" cy="9525"/>
                        <wp:effectExtent l="0" t="0" r="0" b="0"/>
                        <wp:docPr id="31" name="Εικόνα 31"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mail.google.com/mail/u/0/images/cleardot.gif"/>
                                <pic:cNvPicPr>
                                  <a:picLocks noChangeAspect="1" noChangeArrowheads="1"/>
                                </pic:cNvPicPr>
                              </pic:nvPicPr>
                              <pic:blipFill>
                                <a:blip r:embed="rId44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bl>
          <w:p w:rsidR="00051D62" w:rsidRPr="00872FD2" w:rsidRDefault="00051D62" w:rsidP="005A464E">
            <w:pPr>
              <w:spacing w:line="360" w:lineRule="auto"/>
              <w:rPr>
                <w:rFonts w:asciiTheme="minorHAnsi" w:eastAsiaTheme="minorHAnsi" w:hAnsiTheme="minorHAnsi" w:cs="Arial"/>
                <w:sz w:val="24"/>
                <w:szCs w:val="24"/>
              </w:rPr>
            </w:pPr>
          </w:p>
        </w:tc>
        <w:tc>
          <w:tcPr>
            <w:tcW w:w="0" w:type="auto"/>
            <w:vMerge/>
            <w:vAlign w:val="center"/>
            <w:hideMark/>
          </w:tcPr>
          <w:p w:rsidR="00051D62" w:rsidRPr="00872FD2" w:rsidRDefault="00051D62" w:rsidP="005A464E">
            <w:pPr>
              <w:spacing w:line="360" w:lineRule="auto"/>
              <w:rPr>
                <w:rFonts w:asciiTheme="minorHAnsi" w:eastAsiaTheme="minorHAnsi" w:hAnsiTheme="minorHAnsi" w:cs="Arial"/>
                <w:b/>
                <w:bCs/>
                <w:color w:val="444444"/>
                <w:sz w:val="15"/>
                <w:szCs w:val="15"/>
              </w:rPr>
            </w:pPr>
          </w:p>
        </w:tc>
      </w:tr>
    </w:tbl>
    <w:p w:rsidR="00051D62" w:rsidRPr="005A464E" w:rsidRDefault="00051D62" w:rsidP="005A464E">
      <w:pPr>
        <w:shd w:val="clear" w:color="auto" w:fill="F5F5F5"/>
        <w:spacing w:line="360" w:lineRule="auto"/>
        <w:textAlignment w:val="top"/>
        <w:rPr>
          <w:rFonts w:cs="Arial"/>
          <w:color w:val="222222"/>
          <w:sz w:val="18"/>
          <w:szCs w:val="18"/>
          <w:lang w:val="en-US"/>
        </w:rPr>
      </w:pPr>
      <w:r w:rsidRPr="005A464E">
        <w:rPr>
          <w:rFonts w:cs="Arial"/>
          <w:color w:val="222222"/>
          <w:sz w:val="18"/>
          <w:szCs w:val="18"/>
          <w:lang w:val="en-US"/>
        </w:rPr>
        <w:t>Dear Mr Devins Gerald,</w:t>
      </w:r>
      <w:r w:rsidRPr="005A464E">
        <w:rPr>
          <w:rFonts w:cs="Arial"/>
          <w:color w:val="222222"/>
          <w:sz w:val="18"/>
          <w:szCs w:val="18"/>
          <w:lang w:val="en-US"/>
        </w:rPr>
        <w:br/>
      </w:r>
      <w:r w:rsidRPr="005A464E">
        <w:rPr>
          <w:rFonts w:cs="Arial"/>
          <w:color w:val="222222"/>
          <w:sz w:val="18"/>
          <w:szCs w:val="18"/>
          <w:lang w:val="en-US"/>
        </w:rPr>
        <w:br/>
      </w:r>
      <w:r w:rsidRPr="005A464E">
        <w:rPr>
          <w:rFonts w:cs="Arial"/>
          <w:color w:val="333333"/>
          <w:lang w:val="en-US"/>
        </w:rPr>
        <w:t>My name is Alikari Victoria. I am a nurse of nephrology at Athens General Hospital "G. Gennimatas".</w:t>
      </w:r>
      <w:r w:rsidR="0078495A">
        <w:rPr>
          <w:rStyle w:val="apple-converted-space"/>
          <w:rFonts w:cs="Arial"/>
          <w:color w:val="333333"/>
          <w:lang w:val="en-US"/>
        </w:rPr>
        <w:t xml:space="preserve"> </w:t>
      </w:r>
      <w:r w:rsidRPr="005A464E">
        <w:rPr>
          <w:rFonts w:cs="Arial"/>
          <w:color w:val="333333"/>
          <w:lang w:val="en-US"/>
        </w:rPr>
        <w:t>As part of my doctoral dissertatio</w:t>
      </w:r>
      <w:r w:rsidR="00324A1E">
        <w:rPr>
          <w:rFonts w:cs="Arial"/>
          <w:color w:val="333333"/>
          <w:lang w:val="en-US"/>
        </w:rPr>
        <w:t>n (thesis) on the control of kn</w:t>
      </w:r>
      <w:r w:rsidR="00324A1E">
        <w:rPr>
          <w:rFonts w:cs="Arial"/>
          <w:color w:val="333333"/>
        </w:rPr>
        <w:t>ο</w:t>
      </w:r>
      <w:r w:rsidRPr="005A464E">
        <w:rPr>
          <w:rFonts w:cs="Arial"/>
          <w:color w:val="333333"/>
          <w:lang w:val="en-US"/>
        </w:rPr>
        <w:t>wledge levels</w:t>
      </w:r>
      <w:r w:rsidR="0078495A">
        <w:rPr>
          <w:rStyle w:val="apple-converted-space"/>
          <w:rFonts w:cs="Arial"/>
          <w:color w:val="333333"/>
          <w:lang w:val="en-US"/>
        </w:rPr>
        <w:t xml:space="preserve"> </w:t>
      </w:r>
      <w:r w:rsidRPr="005A464E">
        <w:rPr>
          <w:rFonts w:cs="Arial"/>
          <w:color w:val="333333"/>
          <w:lang w:val="en-US"/>
        </w:rPr>
        <w:t>in patients with end stage renal disease, I ask permission to translate and use your questionnaire (Kidney Disease Questionnaire, Form A, Form B) on Greek patients. Promoter of this research will be the Nursing Department of the University of Peloponnese.</w:t>
      </w:r>
    </w:p>
    <w:p w:rsidR="00051D62" w:rsidRPr="005A464E" w:rsidRDefault="00051D62" w:rsidP="005A464E">
      <w:pPr>
        <w:shd w:val="clear" w:color="auto" w:fill="F5F5F5"/>
        <w:spacing w:line="360" w:lineRule="auto"/>
        <w:textAlignment w:val="top"/>
        <w:rPr>
          <w:rFonts w:cs="Arial"/>
          <w:color w:val="222222"/>
          <w:sz w:val="18"/>
          <w:szCs w:val="18"/>
          <w:lang w:val="en-US"/>
        </w:rPr>
      </w:pPr>
      <w:r w:rsidRPr="005A464E">
        <w:rPr>
          <w:rFonts w:cs="Arial"/>
          <w:color w:val="333333"/>
          <w:lang w:val="en-US"/>
        </w:rPr>
        <w:br/>
        <w:t>Sincerely,</w:t>
      </w:r>
    </w:p>
    <w:p w:rsidR="00051D62" w:rsidRPr="005A464E" w:rsidRDefault="00051D62" w:rsidP="005A464E">
      <w:pPr>
        <w:spacing w:after="240" w:line="360" w:lineRule="auto"/>
        <w:rPr>
          <w:rFonts w:cs="Arial"/>
          <w:color w:val="222222"/>
          <w:sz w:val="18"/>
          <w:szCs w:val="18"/>
          <w:lang w:val="en-US"/>
        </w:rPr>
      </w:pPr>
      <w:r w:rsidRPr="005A464E">
        <w:rPr>
          <w:rFonts w:cs="Arial"/>
          <w:color w:val="222222"/>
          <w:lang w:val="en-US"/>
        </w:rPr>
        <w:t>Alikari</w:t>
      </w:r>
      <w:r w:rsidR="0078495A">
        <w:rPr>
          <w:rStyle w:val="apple-converted-space"/>
          <w:rFonts w:cs="Arial"/>
          <w:color w:val="222222"/>
          <w:lang w:val="en-US"/>
        </w:rPr>
        <w:t xml:space="preserve"> </w:t>
      </w:r>
      <w:r w:rsidRPr="005A464E">
        <w:rPr>
          <w:rFonts w:cs="Arial"/>
          <w:color w:val="222222"/>
          <w:lang w:val="en-US"/>
        </w:rPr>
        <w:t>Victoria</w:t>
      </w:r>
    </w:p>
    <w:p w:rsidR="00051D62" w:rsidRPr="005A464E" w:rsidRDefault="00051D62" w:rsidP="005A464E">
      <w:pPr>
        <w:spacing w:after="0" w:line="360" w:lineRule="auto"/>
        <w:rPr>
          <w:rFonts w:cs="Arial"/>
          <w:color w:val="222222"/>
          <w:sz w:val="18"/>
          <w:szCs w:val="18"/>
        </w:rPr>
      </w:pPr>
      <w:r w:rsidRPr="005A464E">
        <w:rPr>
          <w:rFonts w:cs="Arial"/>
          <w:color w:val="222222"/>
          <w:lang w:val="en-US"/>
        </w:rPr>
        <w:t>Ag. Glykerias 25 Str., 13231, Petroupolis, Athens, Greece</w:t>
      </w:r>
      <w:r w:rsidRPr="005A464E">
        <w:rPr>
          <w:rFonts w:cs="Arial"/>
          <w:color w:val="222222"/>
          <w:lang w:val="en-US"/>
        </w:rPr>
        <w:br/>
        <w:t>Tel .</w:t>
      </w:r>
      <w:r w:rsidRPr="005A464E">
        <w:rPr>
          <w:rStyle w:val="apple-converted-space"/>
          <w:rFonts w:cs="Arial"/>
          <w:color w:val="222222"/>
          <w:lang w:val="en-US"/>
        </w:rPr>
        <w:t> </w:t>
      </w:r>
      <w:hyperlink r:id="rId446" w:tgtFrame="_blank" w:history="1">
        <w:r w:rsidRPr="005A464E">
          <w:rPr>
            <w:rStyle w:val="-"/>
            <w:rFonts w:cs="Arial"/>
            <w:color w:val="1155CC"/>
            <w:lang w:val="en-US"/>
          </w:rPr>
          <w:t>00302105068066</w:t>
        </w:r>
      </w:hyperlink>
    </w:p>
    <w:p w:rsidR="00051D62" w:rsidRPr="005A464E" w:rsidRDefault="00051D62" w:rsidP="005A464E">
      <w:pPr>
        <w:spacing w:line="360" w:lineRule="auto"/>
        <w:rPr>
          <w:rFonts w:cs="Arial"/>
          <w:color w:val="222222"/>
          <w:sz w:val="18"/>
          <w:szCs w:val="18"/>
        </w:rPr>
      </w:pPr>
      <w:r w:rsidRPr="005A464E">
        <w:rPr>
          <w:rFonts w:cs="Arial"/>
          <w:color w:val="222222"/>
          <w:lang w:val="en-US"/>
        </w:rPr>
        <w:t>E-mail:</w:t>
      </w:r>
      <w:r w:rsidRPr="005A464E">
        <w:rPr>
          <w:rStyle w:val="apple-converted-space"/>
          <w:rFonts w:cs="Arial"/>
          <w:color w:val="222222"/>
          <w:lang w:val="en-US"/>
        </w:rPr>
        <w:t> </w:t>
      </w:r>
      <w:hyperlink r:id="rId447" w:tgtFrame="_blank" w:history="1">
        <w:r w:rsidRPr="005A464E">
          <w:rPr>
            <w:rStyle w:val="-"/>
            <w:rFonts w:cs="Arial"/>
            <w:color w:val="1155CC"/>
            <w:lang w:val="en-US"/>
          </w:rPr>
          <w:t>vicalikari@gmail.com</w:t>
        </w:r>
      </w:hyperlink>
    </w:p>
    <w:tbl>
      <w:tblPr>
        <w:tblW w:w="0" w:type="dxa"/>
        <w:tblCellMar>
          <w:left w:w="0" w:type="dxa"/>
          <w:right w:w="0" w:type="dxa"/>
        </w:tblCellMar>
        <w:tblLook w:val="04A0"/>
      </w:tblPr>
      <w:tblGrid>
        <w:gridCol w:w="6298"/>
        <w:gridCol w:w="794"/>
        <w:gridCol w:w="7"/>
        <w:gridCol w:w="15"/>
      </w:tblGrid>
      <w:tr w:rsidR="00051D62" w:rsidRPr="00872FD2" w:rsidTr="00051D62">
        <w:trPr>
          <w:trHeight w:val="222"/>
        </w:trPr>
        <w:tc>
          <w:tcPr>
            <w:tcW w:w="5654" w:type="dxa"/>
            <w:noWrap/>
            <w:tcMar>
              <w:top w:w="0" w:type="dxa"/>
              <w:left w:w="0" w:type="dxa"/>
              <w:bottom w:w="0" w:type="dxa"/>
              <w:right w:w="111" w:type="dxa"/>
            </w:tcMar>
            <w:hideMark/>
          </w:tcPr>
          <w:tbl>
            <w:tblPr>
              <w:tblW w:w="5664" w:type="dxa"/>
              <w:tblCellMar>
                <w:left w:w="0" w:type="dxa"/>
                <w:right w:w="0" w:type="dxa"/>
              </w:tblCellMar>
              <w:tblLook w:val="04A0"/>
            </w:tblPr>
            <w:tblGrid>
              <w:gridCol w:w="5664"/>
            </w:tblGrid>
            <w:tr w:rsidR="00051D62" w:rsidRPr="00D842D4">
              <w:tc>
                <w:tcPr>
                  <w:tcW w:w="0" w:type="auto"/>
                  <w:vAlign w:val="center"/>
                  <w:hideMark/>
                </w:tcPr>
                <w:p w:rsidR="00051D62" w:rsidRPr="00872FD2" w:rsidRDefault="00051D62" w:rsidP="005A464E">
                  <w:pPr>
                    <w:spacing w:line="360" w:lineRule="auto"/>
                    <w:rPr>
                      <w:rFonts w:asciiTheme="minorHAnsi" w:eastAsiaTheme="minorHAnsi" w:hAnsiTheme="minorHAnsi" w:cs="Arial"/>
                      <w:lang w:val="en-US"/>
                    </w:rPr>
                  </w:pPr>
                  <w:r w:rsidRPr="00872FD2">
                    <w:rPr>
                      <w:rStyle w:val="gd"/>
                      <w:rFonts w:asciiTheme="minorHAnsi" w:eastAsiaTheme="minorHAnsi" w:hAnsiTheme="minorHAnsi" w:cs="Arial"/>
                      <w:color w:val="222222"/>
                      <w:sz w:val="18"/>
                      <w:szCs w:val="18"/>
                      <w:lang w:val="en-US"/>
                    </w:rPr>
                    <w:t>Gerald Devins</w:t>
                  </w:r>
                  <w:r w:rsidRPr="00872FD2">
                    <w:rPr>
                      <w:rStyle w:val="apple-converted-space"/>
                      <w:rFonts w:asciiTheme="minorHAnsi" w:eastAsiaTheme="minorHAnsi" w:hAnsiTheme="minorHAnsi" w:cs="Arial"/>
                      <w:lang w:val="en-US"/>
                    </w:rPr>
                    <w:t> </w:t>
                  </w:r>
                  <w:r w:rsidRPr="00872FD2">
                    <w:rPr>
                      <w:rStyle w:val="go"/>
                      <w:rFonts w:asciiTheme="minorHAnsi" w:eastAsiaTheme="minorHAnsi" w:hAnsiTheme="minorHAnsi" w:cs="Arial"/>
                      <w:color w:val="555555"/>
                      <w:lang w:val="en-US"/>
                    </w:rPr>
                    <w:t>&lt;gdevins@uhnresearch.ca&gt;</w:t>
                  </w:r>
                </w:p>
              </w:tc>
            </w:tr>
          </w:tbl>
          <w:p w:rsidR="00051D62" w:rsidRPr="00872FD2" w:rsidRDefault="00051D62" w:rsidP="005A464E">
            <w:pPr>
              <w:spacing w:line="360" w:lineRule="auto"/>
              <w:rPr>
                <w:rFonts w:asciiTheme="minorHAnsi" w:eastAsiaTheme="minorHAnsi" w:hAnsiTheme="minorHAnsi" w:cs="Arial"/>
                <w:sz w:val="24"/>
                <w:szCs w:val="24"/>
                <w:lang w:val="en-US"/>
              </w:rPr>
            </w:pPr>
          </w:p>
        </w:tc>
        <w:tc>
          <w:tcPr>
            <w:tcW w:w="0" w:type="auto"/>
            <w:noWrap/>
            <w:hideMark/>
          </w:tcPr>
          <w:p w:rsidR="00051D62" w:rsidRPr="00872FD2" w:rsidRDefault="00051D62" w:rsidP="005A464E">
            <w:pPr>
              <w:spacing w:line="360" w:lineRule="auto"/>
              <w:rPr>
                <w:rFonts w:asciiTheme="minorHAnsi" w:eastAsiaTheme="minorHAnsi" w:hAnsiTheme="minorHAnsi" w:cs="Arial"/>
                <w:color w:val="222222"/>
              </w:rPr>
            </w:pPr>
            <w:r w:rsidRPr="00872FD2">
              <w:rPr>
                <w:rStyle w:val="g3"/>
                <w:rFonts w:asciiTheme="minorHAnsi" w:eastAsiaTheme="minorHAnsi" w:hAnsiTheme="minorHAnsi" w:cs="Arial"/>
                <w:color w:val="222222"/>
              </w:rPr>
              <w:t>﻿​​﻿﻿﻿﻿﻿﻿​​﻿​﻿﻿​﻿﻿​​﻿​﻿​​﻿﻿​﻿﻿​​​﻿​​​﻿﻿​​​﻿﻿﻿​​​﻿​​​﻿​﻿​​﻿﻿﻿​10/6/13</w:t>
            </w:r>
          </w:p>
          <w:p w:rsidR="00051D62" w:rsidRPr="00872FD2" w:rsidRDefault="00464728" w:rsidP="005A464E">
            <w:pPr>
              <w:spacing w:line="360" w:lineRule="auto"/>
              <w:rPr>
                <w:rFonts w:asciiTheme="minorHAnsi" w:eastAsiaTheme="minorHAnsi" w:hAnsiTheme="minorHAnsi" w:cs="Arial"/>
                <w:color w:val="222222"/>
                <w:sz w:val="24"/>
                <w:szCs w:val="24"/>
              </w:rPr>
            </w:pPr>
            <w:r>
              <w:rPr>
                <w:rFonts w:asciiTheme="minorHAnsi" w:eastAsiaTheme="minorHAnsi" w:hAnsiTheme="minorHAnsi" w:cs="Arial"/>
                <w:noProof/>
                <w:color w:val="222222"/>
                <w:lang w:eastAsia="el-GR"/>
              </w:rPr>
              <w:drawing>
                <wp:inline distT="0" distB="0" distL="0" distR="0">
                  <wp:extent cx="9525" cy="9525"/>
                  <wp:effectExtent l="0" t="0" r="0" b="0"/>
                  <wp:docPr id="32" name="Εικόνα 32"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mail.google.com/mail/u/0/images/cleardot.gif"/>
                          <pic:cNvPicPr>
                            <a:picLocks noChangeAspect="1" noChangeArrowheads="1"/>
                          </pic:cNvPicPr>
                        </pic:nvPicPr>
                        <pic:blipFill>
                          <a:blip r:embed="rId44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0" w:type="auto"/>
            <w:noWrap/>
            <w:hideMark/>
          </w:tcPr>
          <w:p w:rsidR="00051D62" w:rsidRPr="00872FD2" w:rsidRDefault="00051D62" w:rsidP="005A464E">
            <w:pPr>
              <w:spacing w:line="360" w:lineRule="auto"/>
              <w:rPr>
                <w:rFonts w:asciiTheme="minorHAnsi" w:eastAsiaTheme="minorHAnsi" w:hAnsiTheme="minorHAnsi" w:cs="Arial"/>
                <w:color w:val="222222"/>
                <w:szCs w:val="24"/>
              </w:rPr>
            </w:pPr>
          </w:p>
        </w:tc>
        <w:tc>
          <w:tcPr>
            <w:tcW w:w="0" w:type="auto"/>
            <w:vMerge w:val="restart"/>
            <w:noWrap/>
            <w:hideMark/>
          </w:tcPr>
          <w:p w:rsidR="00051D62" w:rsidRPr="00872FD2" w:rsidRDefault="00464728" w:rsidP="005A464E">
            <w:pPr>
              <w:spacing w:line="360" w:lineRule="auto"/>
              <w:rPr>
                <w:rFonts w:asciiTheme="minorHAnsi" w:eastAsiaTheme="minorHAnsi" w:hAnsiTheme="minorHAnsi" w:cs="Arial"/>
                <w:b/>
                <w:bCs/>
                <w:color w:val="444444"/>
                <w:sz w:val="15"/>
                <w:szCs w:val="15"/>
              </w:rPr>
            </w:pPr>
            <w:r>
              <w:rPr>
                <w:rFonts w:asciiTheme="minorHAnsi" w:eastAsiaTheme="minorHAnsi" w:hAnsiTheme="minorHAnsi" w:cs="Arial"/>
                <w:b/>
                <w:noProof/>
                <w:color w:val="444444"/>
                <w:sz w:val="15"/>
                <w:szCs w:val="15"/>
                <w:lang w:eastAsia="el-GR"/>
              </w:rPr>
              <w:drawing>
                <wp:inline distT="0" distB="0" distL="0" distR="0">
                  <wp:extent cx="9525" cy="9525"/>
                  <wp:effectExtent l="0" t="0" r="0" b="0"/>
                  <wp:docPr id="33" name="Εικόνα 33"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mail.google.com/mail/u/0/images/cleardot.gif"/>
                          <pic:cNvPicPr>
                            <a:picLocks noChangeAspect="1" noChangeArrowheads="1"/>
                          </pic:cNvPicPr>
                        </pic:nvPicPr>
                        <pic:blipFill>
                          <a:blip r:embed="rId445"/>
                          <a:srcRect/>
                          <a:stretch>
                            <a:fillRect/>
                          </a:stretch>
                        </pic:blipFill>
                        <pic:spPr bwMode="auto">
                          <a:xfrm>
                            <a:off x="0" y="0"/>
                            <a:ext cx="9525" cy="9525"/>
                          </a:xfrm>
                          <a:prstGeom prst="rect">
                            <a:avLst/>
                          </a:prstGeom>
                          <a:noFill/>
                          <a:ln w="9525">
                            <a:noFill/>
                            <a:miter lim="800000"/>
                            <a:headEnd/>
                            <a:tailEnd/>
                          </a:ln>
                        </pic:spPr>
                      </pic:pic>
                    </a:graphicData>
                  </a:graphic>
                </wp:inline>
              </w:drawing>
            </w:r>
          </w:p>
          <w:p w:rsidR="00051D62" w:rsidRPr="00872FD2" w:rsidRDefault="00464728" w:rsidP="005A464E">
            <w:pPr>
              <w:spacing w:line="360" w:lineRule="auto"/>
              <w:rPr>
                <w:rFonts w:asciiTheme="minorHAnsi" w:eastAsiaTheme="minorHAnsi" w:hAnsiTheme="minorHAnsi" w:cs="Arial"/>
                <w:b/>
                <w:bCs/>
                <w:color w:val="444444"/>
                <w:sz w:val="15"/>
                <w:szCs w:val="15"/>
              </w:rPr>
            </w:pPr>
            <w:r>
              <w:rPr>
                <w:rFonts w:asciiTheme="minorHAnsi" w:eastAsiaTheme="minorHAnsi" w:hAnsiTheme="minorHAnsi" w:cs="Arial"/>
                <w:b/>
                <w:noProof/>
                <w:color w:val="444444"/>
                <w:sz w:val="15"/>
                <w:szCs w:val="15"/>
                <w:lang w:eastAsia="el-GR"/>
              </w:rPr>
              <w:drawing>
                <wp:inline distT="0" distB="0" distL="0" distR="0">
                  <wp:extent cx="9525" cy="9525"/>
                  <wp:effectExtent l="0" t="0" r="0" b="0"/>
                  <wp:docPr id="34" name="Εικόνα 34"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mail.google.com/mail/u/0/images/cleardot.gif"/>
                          <pic:cNvPicPr>
                            <a:picLocks noChangeAspect="1" noChangeArrowheads="1"/>
                          </pic:cNvPicPr>
                        </pic:nvPicPr>
                        <pic:blipFill>
                          <a:blip r:embed="rId44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051D62" w:rsidRPr="00872FD2" w:rsidTr="00051D62">
        <w:trPr>
          <w:trHeight w:val="222"/>
        </w:trPr>
        <w:tc>
          <w:tcPr>
            <w:tcW w:w="0" w:type="auto"/>
            <w:gridSpan w:val="3"/>
            <w:vAlign w:val="center"/>
            <w:hideMark/>
          </w:tcPr>
          <w:tbl>
            <w:tblPr>
              <w:tblW w:w="7099" w:type="dxa"/>
              <w:tblCellMar>
                <w:left w:w="0" w:type="dxa"/>
                <w:right w:w="0" w:type="dxa"/>
              </w:tblCellMar>
              <w:tblLook w:val="04A0"/>
            </w:tblPr>
            <w:tblGrid>
              <w:gridCol w:w="7099"/>
            </w:tblGrid>
            <w:tr w:rsidR="00051D62" w:rsidRPr="00872FD2">
              <w:tc>
                <w:tcPr>
                  <w:tcW w:w="0" w:type="auto"/>
                  <w:noWrap/>
                  <w:vAlign w:val="center"/>
                  <w:hideMark/>
                </w:tcPr>
                <w:p w:rsidR="00051D62" w:rsidRPr="00872FD2" w:rsidRDefault="00051D62" w:rsidP="005A464E">
                  <w:pPr>
                    <w:spacing w:line="360" w:lineRule="auto"/>
                    <w:rPr>
                      <w:rFonts w:asciiTheme="minorHAnsi" w:eastAsiaTheme="minorHAnsi" w:hAnsiTheme="minorHAnsi" w:cs="Arial"/>
                    </w:rPr>
                  </w:pPr>
                  <w:r w:rsidRPr="00872FD2">
                    <w:rPr>
                      <w:rStyle w:val="hb"/>
                      <w:rFonts w:asciiTheme="minorHAnsi" w:eastAsiaTheme="minorHAnsi" w:hAnsiTheme="minorHAnsi" w:cs="Arial"/>
                      <w:color w:val="777777"/>
                    </w:rPr>
                    <w:t>προς</w:t>
                  </w:r>
                  <w:r w:rsidRPr="00872FD2">
                    <w:rPr>
                      <w:rStyle w:val="apple-converted-space"/>
                      <w:rFonts w:asciiTheme="minorHAnsi" w:eastAsiaTheme="minorHAnsi" w:hAnsiTheme="minorHAnsi" w:cs="Arial"/>
                      <w:color w:val="777777"/>
                    </w:rPr>
                    <w:t> </w:t>
                  </w:r>
                  <w:r w:rsidRPr="00872FD2">
                    <w:rPr>
                      <w:rStyle w:val="g2"/>
                      <w:rFonts w:asciiTheme="minorHAnsi" w:eastAsiaTheme="minorHAnsi" w:hAnsiTheme="minorHAnsi" w:cs="Arial"/>
                      <w:color w:val="222222"/>
                    </w:rPr>
                    <w:t>Irv</w:t>
                  </w:r>
                  <w:r w:rsidRPr="00872FD2">
                    <w:rPr>
                      <w:rStyle w:val="hb"/>
                      <w:rFonts w:asciiTheme="minorHAnsi" w:eastAsiaTheme="minorHAnsi" w:hAnsiTheme="minorHAnsi" w:cs="Arial"/>
                      <w:color w:val="777777"/>
                    </w:rPr>
                    <w:t>,</w:t>
                  </w:r>
                  <w:r w:rsidRPr="00872FD2">
                    <w:rPr>
                      <w:rStyle w:val="apple-converted-space"/>
                      <w:rFonts w:asciiTheme="minorHAnsi" w:eastAsiaTheme="minorHAnsi" w:hAnsiTheme="minorHAnsi" w:cs="Arial"/>
                      <w:color w:val="777777"/>
                    </w:rPr>
                    <w:t> </w:t>
                  </w:r>
                  <w:r w:rsidRPr="00872FD2">
                    <w:rPr>
                      <w:rStyle w:val="g2"/>
                      <w:rFonts w:asciiTheme="minorHAnsi" w:eastAsiaTheme="minorHAnsi" w:hAnsiTheme="minorHAnsi" w:cs="Arial"/>
                      <w:color w:val="777777"/>
                    </w:rPr>
                    <w:t>Εμένα</w:t>
                  </w:r>
                </w:p>
                <w:p w:rsidR="00051D62" w:rsidRPr="00872FD2" w:rsidRDefault="00464728" w:rsidP="005A464E">
                  <w:pPr>
                    <w:spacing w:line="360" w:lineRule="auto"/>
                    <w:textAlignment w:val="top"/>
                    <w:rPr>
                      <w:rFonts w:asciiTheme="minorHAnsi" w:eastAsiaTheme="minorHAnsi" w:hAnsiTheme="minorHAnsi" w:cs="Arial"/>
                      <w:sz w:val="24"/>
                      <w:szCs w:val="24"/>
                    </w:rPr>
                  </w:pPr>
                  <w:r>
                    <w:rPr>
                      <w:rFonts w:asciiTheme="minorHAnsi" w:eastAsiaTheme="minorHAnsi" w:hAnsiTheme="minorHAnsi" w:cs="Arial"/>
                      <w:noProof/>
                      <w:lang w:eastAsia="el-GR"/>
                    </w:rPr>
                    <w:drawing>
                      <wp:inline distT="0" distB="0" distL="0" distR="0">
                        <wp:extent cx="9525" cy="9525"/>
                        <wp:effectExtent l="0" t="0" r="0" b="0"/>
                        <wp:docPr id="35" name="Εικόνα 35"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mail.google.com/mail/u/0/images/cleardot.gif"/>
                                <pic:cNvPicPr>
                                  <a:picLocks noChangeAspect="1" noChangeArrowheads="1"/>
                                </pic:cNvPicPr>
                              </pic:nvPicPr>
                              <pic:blipFill>
                                <a:blip r:embed="rId44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bl>
          <w:p w:rsidR="00051D62" w:rsidRPr="00872FD2" w:rsidRDefault="00051D62" w:rsidP="005A464E">
            <w:pPr>
              <w:spacing w:line="360" w:lineRule="auto"/>
              <w:rPr>
                <w:rFonts w:asciiTheme="minorHAnsi" w:eastAsiaTheme="minorHAnsi" w:hAnsiTheme="minorHAnsi" w:cs="Arial"/>
                <w:sz w:val="24"/>
                <w:szCs w:val="24"/>
              </w:rPr>
            </w:pPr>
          </w:p>
        </w:tc>
        <w:tc>
          <w:tcPr>
            <w:tcW w:w="0" w:type="auto"/>
            <w:vMerge/>
            <w:vAlign w:val="center"/>
            <w:hideMark/>
          </w:tcPr>
          <w:p w:rsidR="00051D62" w:rsidRPr="00872FD2" w:rsidRDefault="00051D62" w:rsidP="005A464E">
            <w:pPr>
              <w:spacing w:line="360" w:lineRule="auto"/>
              <w:rPr>
                <w:rFonts w:asciiTheme="minorHAnsi" w:eastAsiaTheme="minorHAnsi" w:hAnsiTheme="minorHAnsi" w:cs="Arial"/>
                <w:b/>
                <w:bCs/>
                <w:color w:val="444444"/>
                <w:sz w:val="15"/>
                <w:szCs w:val="15"/>
              </w:rPr>
            </w:pPr>
          </w:p>
        </w:tc>
      </w:tr>
    </w:tbl>
    <w:p w:rsidR="00051D62" w:rsidRPr="005A464E" w:rsidRDefault="00051D62" w:rsidP="005A464E">
      <w:pPr>
        <w:spacing w:line="360" w:lineRule="auto"/>
        <w:rPr>
          <w:color w:val="222222"/>
          <w:lang w:val="en-US"/>
        </w:rPr>
      </w:pPr>
      <w:r w:rsidRPr="005A464E">
        <w:rPr>
          <w:color w:val="1F497D"/>
          <w:lang w:val="en-US"/>
        </w:rPr>
        <w:t>Dear Ms. Alikari:</w:t>
      </w:r>
    </w:p>
    <w:p w:rsidR="00051D62" w:rsidRPr="005A464E" w:rsidRDefault="00051D62" w:rsidP="005A464E">
      <w:pPr>
        <w:spacing w:line="360" w:lineRule="auto"/>
        <w:rPr>
          <w:color w:val="222222"/>
          <w:lang w:val="en-US"/>
        </w:rPr>
      </w:pPr>
      <w:r w:rsidRPr="005A464E">
        <w:rPr>
          <w:color w:val="1F497D"/>
          <w:lang w:val="en-US"/>
        </w:rPr>
        <w:t>Thank you for your interest in the Kidney Disease Questionnaire.</w:t>
      </w:r>
      <w:r w:rsidR="0078495A">
        <w:rPr>
          <w:color w:val="1F497D"/>
          <w:lang w:val="en-US"/>
        </w:rPr>
        <w:t xml:space="preserve"> </w:t>
      </w:r>
      <w:r w:rsidRPr="005A464E">
        <w:rPr>
          <w:color w:val="1F497D"/>
          <w:lang w:val="en-US"/>
        </w:rPr>
        <w:t>You are very welcome to use it in your research.</w:t>
      </w:r>
      <w:r w:rsidR="0078495A">
        <w:rPr>
          <w:color w:val="1F497D"/>
          <w:lang w:val="en-US"/>
        </w:rPr>
        <w:t xml:space="preserve"> </w:t>
      </w:r>
      <w:r w:rsidRPr="005A464E">
        <w:rPr>
          <w:color w:val="1F497D"/>
          <w:lang w:val="en-US"/>
        </w:rPr>
        <w:t>I expect, of course, that you will have to translate it into Greek.</w:t>
      </w:r>
      <w:r w:rsidR="0078495A">
        <w:rPr>
          <w:color w:val="1F497D"/>
          <w:lang w:val="en-US"/>
        </w:rPr>
        <w:t xml:space="preserve"> </w:t>
      </w:r>
      <w:r w:rsidRPr="005A464E">
        <w:rPr>
          <w:color w:val="1F497D"/>
          <w:lang w:val="en-US"/>
        </w:rPr>
        <w:t>This will be fine, but I do ask that in using the instrument that you agree (a) not to change the item content (you are free to add new items, but please do not delete any of the existing ones) and (b) that you cite the reference that introduced the instrument in the literature.</w:t>
      </w:r>
    </w:p>
    <w:p w:rsidR="00051D62" w:rsidRPr="005A464E" w:rsidRDefault="00051D62" w:rsidP="005A464E">
      <w:pPr>
        <w:spacing w:line="360" w:lineRule="auto"/>
        <w:rPr>
          <w:color w:val="222222"/>
          <w:lang w:val="en-US"/>
        </w:rPr>
      </w:pPr>
      <w:r w:rsidRPr="005A464E">
        <w:rPr>
          <w:color w:val="1F497D"/>
          <w:lang w:val="en-US"/>
        </w:rPr>
        <w:t>Best wishes for your success,</w:t>
      </w:r>
    </w:p>
    <w:p w:rsidR="00051D62" w:rsidRPr="005A464E" w:rsidRDefault="00051D62" w:rsidP="005A464E">
      <w:pPr>
        <w:spacing w:line="360" w:lineRule="auto"/>
        <w:rPr>
          <w:color w:val="222222"/>
          <w:lang w:val="en-US"/>
        </w:rPr>
      </w:pPr>
      <w:r w:rsidRPr="005A464E">
        <w:rPr>
          <w:color w:val="1F497D"/>
          <w:lang w:val="en-US"/>
        </w:rPr>
        <w:t>Jerry Devins</w:t>
      </w:r>
    </w:p>
    <w:p w:rsidR="00051D62" w:rsidRPr="005A464E" w:rsidRDefault="00051D62" w:rsidP="005A464E">
      <w:pPr>
        <w:spacing w:line="360" w:lineRule="auto"/>
        <w:rPr>
          <w:color w:val="222222"/>
          <w:lang w:val="en-US"/>
        </w:rPr>
      </w:pPr>
      <w:r w:rsidRPr="005A464E">
        <w:rPr>
          <w:rFonts w:cs="Tahoma"/>
          <w:b/>
          <w:bCs/>
          <w:color w:val="222222"/>
          <w:sz w:val="20"/>
          <w:szCs w:val="20"/>
          <w:lang w:val="en-US"/>
        </w:rPr>
        <w:t>From:</w:t>
      </w:r>
      <w:r w:rsidRPr="005A464E">
        <w:rPr>
          <w:rStyle w:val="apple-converted-space"/>
          <w:rFonts w:cs="Tahoma"/>
          <w:color w:val="222222"/>
          <w:sz w:val="20"/>
          <w:szCs w:val="20"/>
          <w:lang w:val="en-US"/>
        </w:rPr>
        <w:t> </w:t>
      </w:r>
      <w:r w:rsidRPr="005A464E">
        <w:rPr>
          <w:rFonts w:cs="Tahoma"/>
          <w:color w:val="222222"/>
          <w:sz w:val="20"/>
          <w:szCs w:val="20"/>
          <w:lang w:val="en-US"/>
        </w:rPr>
        <w:t>victoria alikari [mailto:</w:t>
      </w:r>
      <w:hyperlink r:id="rId448" w:tgtFrame="_blank" w:history="1">
        <w:r w:rsidRPr="005A464E">
          <w:rPr>
            <w:rStyle w:val="-"/>
            <w:rFonts w:cs="Tahoma"/>
            <w:color w:val="1155CC"/>
            <w:sz w:val="20"/>
            <w:szCs w:val="20"/>
            <w:lang w:val="en-US"/>
          </w:rPr>
          <w:t>vicalikari@gmail.com</w:t>
        </w:r>
      </w:hyperlink>
      <w:r w:rsidRPr="005A464E">
        <w:rPr>
          <w:rFonts w:cs="Tahoma"/>
          <w:color w:val="222222"/>
          <w:sz w:val="20"/>
          <w:szCs w:val="20"/>
          <w:lang w:val="en-US"/>
        </w:rPr>
        <w:t>]</w:t>
      </w:r>
      <w:r w:rsidRPr="005A464E">
        <w:rPr>
          <w:rStyle w:val="apple-converted-space"/>
          <w:rFonts w:cs="Tahoma"/>
          <w:color w:val="222222"/>
          <w:sz w:val="20"/>
          <w:szCs w:val="20"/>
          <w:lang w:val="en-US"/>
        </w:rPr>
        <w:t> </w:t>
      </w:r>
      <w:r w:rsidRPr="005A464E">
        <w:rPr>
          <w:rFonts w:cs="Tahoma"/>
          <w:color w:val="222222"/>
          <w:sz w:val="20"/>
          <w:szCs w:val="20"/>
          <w:lang w:val="en-US"/>
        </w:rPr>
        <w:br/>
      </w:r>
      <w:r w:rsidRPr="005A464E">
        <w:rPr>
          <w:rFonts w:cs="Tahoma"/>
          <w:b/>
          <w:bCs/>
          <w:color w:val="222222"/>
          <w:sz w:val="20"/>
          <w:szCs w:val="20"/>
          <w:lang w:val="en-US"/>
        </w:rPr>
        <w:t>Sent:</w:t>
      </w:r>
      <w:r w:rsidRPr="005A464E">
        <w:rPr>
          <w:rStyle w:val="apple-converted-space"/>
          <w:rFonts w:cs="Tahoma"/>
          <w:color w:val="222222"/>
          <w:sz w:val="20"/>
          <w:szCs w:val="20"/>
          <w:lang w:val="en-US"/>
        </w:rPr>
        <w:t> </w:t>
      </w:r>
      <w:r w:rsidRPr="005A464E">
        <w:rPr>
          <w:rFonts w:cs="Tahoma"/>
          <w:color w:val="222222"/>
          <w:sz w:val="20"/>
          <w:szCs w:val="20"/>
          <w:lang w:val="en-US"/>
        </w:rPr>
        <w:t>Monday, June 10, 2013 4:30 AM</w:t>
      </w:r>
      <w:r w:rsidRPr="005A464E">
        <w:rPr>
          <w:rFonts w:cs="Tahoma"/>
          <w:color w:val="222222"/>
          <w:sz w:val="20"/>
          <w:szCs w:val="20"/>
          <w:lang w:val="en-US"/>
        </w:rPr>
        <w:br/>
      </w:r>
      <w:r w:rsidRPr="005A464E">
        <w:rPr>
          <w:rFonts w:cs="Tahoma"/>
          <w:b/>
          <w:bCs/>
          <w:color w:val="222222"/>
          <w:sz w:val="20"/>
          <w:szCs w:val="20"/>
          <w:lang w:val="en-US"/>
        </w:rPr>
        <w:t>To:</w:t>
      </w:r>
      <w:r w:rsidRPr="005A464E">
        <w:rPr>
          <w:rStyle w:val="apple-converted-space"/>
          <w:rFonts w:cs="Tahoma"/>
          <w:color w:val="222222"/>
          <w:sz w:val="20"/>
          <w:szCs w:val="20"/>
          <w:lang w:val="en-US"/>
        </w:rPr>
        <w:t> </w:t>
      </w:r>
      <w:hyperlink r:id="rId449" w:tgtFrame="_blank" w:history="1">
        <w:r w:rsidRPr="005A464E">
          <w:rPr>
            <w:rStyle w:val="-"/>
            <w:rFonts w:cs="Tahoma"/>
            <w:color w:val="1155CC"/>
            <w:sz w:val="20"/>
            <w:szCs w:val="20"/>
            <w:lang w:val="en-US"/>
          </w:rPr>
          <w:t>gdevins@uhnres.utoronto.ca</w:t>
        </w:r>
      </w:hyperlink>
      <w:r w:rsidRPr="005A464E">
        <w:rPr>
          <w:rFonts w:cs="Tahoma"/>
          <w:color w:val="222222"/>
          <w:sz w:val="20"/>
          <w:szCs w:val="20"/>
          <w:lang w:val="en-US"/>
        </w:rPr>
        <w:br/>
      </w:r>
      <w:r w:rsidRPr="005A464E">
        <w:rPr>
          <w:rFonts w:cs="Tahoma"/>
          <w:b/>
          <w:bCs/>
          <w:color w:val="222222"/>
          <w:sz w:val="20"/>
          <w:szCs w:val="20"/>
          <w:lang w:val="en-US"/>
        </w:rPr>
        <w:t>Subject:</w:t>
      </w:r>
      <w:r w:rsidRPr="005A464E">
        <w:rPr>
          <w:rStyle w:val="apple-converted-space"/>
          <w:rFonts w:cs="Tahoma"/>
          <w:color w:val="222222"/>
          <w:sz w:val="20"/>
          <w:szCs w:val="20"/>
          <w:lang w:val="en-US"/>
        </w:rPr>
        <w:t> </w:t>
      </w:r>
      <w:r w:rsidRPr="005A464E">
        <w:rPr>
          <w:rFonts w:cs="Tahoma"/>
          <w:color w:val="222222"/>
          <w:sz w:val="20"/>
          <w:szCs w:val="20"/>
          <w:lang w:val="en-US"/>
        </w:rPr>
        <w:t>permission</w:t>
      </w:r>
    </w:p>
    <w:p w:rsidR="00C605A3" w:rsidRPr="005A464E" w:rsidRDefault="00C605A3" w:rsidP="005A464E">
      <w:pPr>
        <w:spacing w:line="360" w:lineRule="auto"/>
        <w:jc w:val="both"/>
        <w:rPr>
          <w:rFonts w:eastAsia="Times New Roman"/>
          <w:sz w:val="24"/>
          <w:szCs w:val="24"/>
          <w:lang w:val="en-US" w:eastAsia="el-GR"/>
        </w:rPr>
      </w:pPr>
    </w:p>
    <w:p w:rsidR="007459B2" w:rsidRPr="005A464E" w:rsidRDefault="007459B2" w:rsidP="005A464E">
      <w:pPr>
        <w:shd w:val="clear" w:color="auto" w:fill="FFFFFF"/>
        <w:spacing w:line="360" w:lineRule="auto"/>
        <w:jc w:val="both"/>
        <w:rPr>
          <w:rFonts w:cs="Arial"/>
          <w:b/>
          <w:color w:val="222222"/>
          <w:sz w:val="24"/>
          <w:szCs w:val="24"/>
          <w:lang w:val="en-US"/>
        </w:rPr>
      </w:pPr>
      <w:r w:rsidRPr="005A464E">
        <w:rPr>
          <w:rFonts w:cs="Arial"/>
          <w:b/>
          <w:noProof/>
          <w:color w:val="222222"/>
          <w:sz w:val="24"/>
          <w:szCs w:val="24"/>
          <w:lang w:eastAsia="el-GR"/>
        </w:rPr>
        <w:t>Άδεια</w:t>
      </w:r>
      <w:r w:rsidRPr="005A464E">
        <w:rPr>
          <w:rFonts w:cs="Arial"/>
          <w:b/>
          <w:noProof/>
          <w:color w:val="222222"/>
          <w:sz w:val="24"/>
          <w:szCs w:val="24"/>
          <w:lang w:val="en-US" w:eastAsia="el-GR"/>
        </w:rPr>
        <w:t xml:space="preserve"> </w:t>
      </w:r>
      <w:r w:rsidRPr="005A464E">
        <w:rPr>
          <w:rFonts w:cs="Arial"/>
          <w:b/>
          <w:noProof/>
          <w:color w:val="222222"/>
          <w:sz w:val="24"/>
          <w:szCs w:val="24"/>
          <w:lang w:eastAsia="el-GR"/>
        </w:rPr>
        <w:t>χρήσης</w:t>
      </w:r>
      <w:r w:rsidRPr="005A464E">
        <w:rPr>
          <w:rFonts w:cs="Arial"/>
          <w:b/>
          <w:noProof/>
          <w:color w:val="222222"/>
          <w:sz w:val="24"/>
          <w:szCs w:val="24"/>
          <w:lang w:val="en-US" w:eastAsia="el-GR"/>
        </w:rPr>
        <w:t xml:space="preserve"> </w:t>
      </w:r>
      <w:r w:rsidRPr="005A464E">
        <w:rPr>
          <w:rFonts w:cs="Arial"/>
          <w:b/>
          <w:noProof/>
          <w:color w:val="222222"/>
          <w:sz w:val="24"/>
          <w:szCs w:val="24"/>
          <w:lang w:eastAsia="el-GR"/>
        </w:rPr>
        <w:t>ερωτηματολογίου</w:t>
      </w:r>
      <w:r w:rsidRPr="005A464E">
        <w:rPr>
          <w:rFonts w:cs="Arial"/>
          <w:b/>
          <w:noProof/>
          <w:color w:val="222222"/>
          <w:sz w:val="24"/>
          <w:szCs w:val="24"/>
          <w:lang w:val="en-US" w:eastAsia="el-GR"/>
        </w:rPr>
        <w:t xml:space="preserve"> «</w:t>
      </w:r>
      <w:r w:rsidRPr="005A464E">
        <w:rPr>
          <w:rFonts w:cs="Arial"/>
          <w:b/>
          <w:color w:val="000000"/>
          <w:sz w:val="24"/>
          <w:szCs w:val="24"/>
          <w:lang w:val="en-US"/>
        </w:rPr>
        <w:t>Simplified</w:t>
      </w:r>
      <w:r w:rsidR="0078495A">
        <w:rPr>
          <w:rFonts w:cs="Arial"/>
          <w:b/>
          <w:color w:val="000000"/>
          <w:sz w:val="24"/>
          <w:szCs w:val="24"/>
          <w:lang w:val="en-US"/>
        </w:rPr>
        <w:t xml:space="preserve"> </w:t>
      </w:r>
      <w:r w:rsidRPr="005A464E">
        <w:rPr>
          <w:rFonts w:cs="Arial"/>
          <w:b/>
          <w:color w:val="000000"/>
          <w:sz w:val="24"/>
          <w:szCs w:val="24"/>
          <w:lang w:val="en-US"/>
        </w:rPr>
        <w:t>Medication Adherence Questionnaire»</w:t>
      </w:r>
    </w:p>
    <w:tbl>
      <w:tblPr>
        <w:tblW w:w="0" w:type="dxa"/>
        <w:tblCellMar>
          <w:left w:w="0" w:type="dxa"/>
          <w:right w:w="0" w:type="dxa"/>
        </w:tblCellMar>
        <w:tblLook w:val="04A0"/>
      </w:tblPr>
      <w:tblGrid>
        <w:gridCol w:w="6179"/>
        <w:gridCol w:w="914"/>
        <w:gridCol w:w="7"/>
        <w:gridCol w:w="15"/>
      </w:tblGrid>
      <w:tr w:rsidR="007459B2" w:rsidRPr="00872FD2" w:rsidTr="007459B2">
        <w:trPr>
          <w:trHeight w:val="222"/>
        </w:trPr>
        <w:tc>
          <w:tcPr>
            <w:tcW w:w="5554" w:type="dxa"/>
            <w:noWrap/>
            <w:tcMar>
              <w:top w:w="0" w:type="dxa"/>
              <w:left w:w="0" w:type="dxa"/>
              <w:bottom w:w="0" w:type="dxa"/>
              <w:right w:w="111" w:type="dxa"/>
            </w:tcMar>
            <w:hideMark/>
          </w:tcPr>
          <w:tbl>
            <w:tblPr>
              <w:tblW w:w="5564" w:type="dxa"/>
              <w:tblCellMar>
                <w:left w:w="0" w:type="dxa"/>
                <w:right w:w="0" w:type="dxa"/>
              </w:tblCellMar>
              <w:tblLook w:val="04A0"/>
            </w:tblPr>
            <w:tblGrid>
              <w:gridCol w:w="5564"/>
            </w:tblGrid>
            <w:tr w:rsidR="007459B2" w:rsidRPr="00D842D4">
              <w:tc>
                <w:tcPr>
                  <w:tcW w:w="0" w:type="auto"/>
                  <w:vAlign w:val="center"/>
                  <w:hideMark/>
                </w:tcPr>
                <w:p w:rsidR="007459B2" w:rsidRPr="00872FD2" w:rsidRDefault="007459B2" w:rsidP="005A464E">
                  <w:pPr>
                    <w:spacing w:line="360" w:lineRule="auto"/>
                    <w:rPr>
                      <w:rFonts w:asciiTheme="minorHAnsi" w:eastAsiaTheme="minorHAnsi" w:hAnsiTheme="minorHAnsi" w:cs="Arial"/>
                      <w:lang w:val="en-US"/>
                    </w:rPr>
                  </w:pPr>
                  <w:r w:rsidRPr="00872FD2">
                    <w:rPr>
                      <w:rStyle w:val="gd"/>
                      <w:rFonts w:asciiTheme="minorHAnsi" w:eastAsiaTheme="minorHAnsi" w:hAnsiTheme="minorHAnsi" w:cs="Arial"/>
                      <w:color w:val="222222"/>
                      <w:sz w:val="18"/>
                      <w:szCs w:val="18"/>
                      <w:lang w:val="en-US"/>
                    </w:rPr>
                    <w:t>Victoria Alikari</w:t>
                  </w:r>
                  <w:r w:rsidRPr="00872FD2">
                    <w:rPr>
                      <w:rStyle w:val="apple-converted-space"/>
                      <w:rFonts w:asciiTheme="minorHAnsi" w:eastAsiaTheme="minorHAnsi" w:hAnsiTheme="minorHAnsi" w:cs="Arial"/>
                      <w:lang w:val="en-US"/>
                    </w:rPr>
                    <w:t> </w:t>
                  </w:r>
                  <w:r w:rsidRPr="00872FD2">
                    <w:rPr>
                      <w:rStyle w:val="go"/>
                      <w:rFonts w:asciiTheme="minorHAnsi" w:eastAsiaTheme="minorHAnsi" w:hAnsiTheme="minorHAnsi" w:cs="Arial"/>
                      <w:color w:val="555555"/>
                      <w:lang w:val="en-US"/>
                    </w:rPr>
                    <w:t>&lt;vicalikari@gmail.com&gt;</w:t>
                  </w:r>
                </w:p>
              </w:tc>
            </w:tr>
          </w:tbl>
          <w:p w:rsidR="007459B2" w:rsidRPr="00872FD2" w:rsidRDefault="007459B2" w:rsidP="005A464E">
            <w:pPr>
              <w:spacing w:line="360" w:lineRule="auto"/>
              <w:rPr>
                <w:rFonts w:asciiTheme="minorHAnsi" w:eastAsiaTheme="minorHAnsi" w:hAnsiTheme="minorHAnsi" w:cs="Arial"/>
                <w:sz w:val="24"/>
                <w:szCs w:val="24"/>
                <w:lang w:val="en-US"/>
              </w:rPr>
            </w:pPr>
          </w:p>
        </w:tc>
        <w:tc>
          <w:tcPr>
            <w:tcW w:w="0" w:type="auto"/>
            <w:noWrap/>
            <w:hideMark/>
          </w:tcPr>
          <w:p w:rsidR="007459B2" w:rsidRPr="00872FD2" w:rsidRDefault="007459B2" w:rsidP="005A464E">
            <w:pPr>
              <w:spacing w:line="360" w:lineRule="auto"/>
              <w:rPr>
                <w:rFonts w:asciiTheme="minorHAnsi" w:eastAsiaTheme="minorHAnsi" w:hAnsiTheme="minorHAnsi" w:cs="Arial"/>
                <w:color w:val="222222"/>
              </w:rPr>
            </w:pPr>
            <w:r w:rsidRPr="00872FD2">
              <w:rPr>
                <w:rStyle w:val="g3"/>
                <w:rFonts w:asciiTheme="minorHAnsi" w:eastAsiaTheme="minorHAnsi" w:hAnsiTheme="minorHAnsi" w:cs="Arial"/>
                <w:color w:val="222222"/>
              </w:rPr>
              <w:t>19/12/14</w:t>
            </w:r>
          </w:p>
          <w:p w:rsidR="007459B2" w:rsidRPr="00872FD2" w:rsidRDefault="00464728" w:rsidP="005A464E">
            <w:pPr>
              <w:spacing w:line="360" w:lineRule="auto"/>
              <w:rPr>
                <w:rFonts w:asciiTheme="minorHAnsi" w:eastAsiaTheme="minorHAnsi" w:hAnsiTheme="minorHAnsi" w:cs="Arial"/>
                <w:color w:val="222222"/>
                <w:sz w:val="24"/>
                <w:szCs w:val="24"/>
              </w:rPr>
            </w:pPr>
            <w:r>
              <w:rPr>
                <w:rFonts w:asciiTheme="minorHAnsi" w:eastAsiaTheme="minorHAnsi" w:hAnsiTheme="minorHAnsi" w:cs="Arial"/>
                <w:noProof/>
                <w:color w:val="222222"/>
                <w:lang w:eastAsia="el-GR"/>
              </w:rPr>
              <w:drawing>
                <wp:inline distT="0" distB="0" distL="0" distR="0">
                  <wp:extent cx="9525" cy="9525"/>
                  <wp:effectExtent l="0" t="0" r="0" b="0"/>
                  <wp:docPr id="36" name="Εικόνα 36"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mail.google.com/mail/u/0/images/cleardot.gif"/>
                          <pic:cNvPicPr>
                            <a:picLocks noChangeAspect="1" noChangeArrowheads="1"/>
                          </pic:cNvPicPr>
                        </pic:nvPicPr>
                        <pic:blipFill>
                          <a:blip r:embed="rId44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0" w:type="auto"/>
            <w:noWrap/>
            <w:hideMark/>
          </w:tcPr>
          <w:p w:rsidR="007459B2" w:rsidRPr="00872FD2" w:rsidRDefault="007459B2" w:rsidP="005A464E">
            <w:pPr>
              <w:spacing w:line="360" w:lineRule="auto"/>
              <w:rPr>
                <w:rFonts w:asciiTheme="minorHAnsi" w:eastAsiaTheme="minorHAnsi" w:hAnsiTheme="minorHAnsi" w:cs="Arial"/>
                <w:color w:val="222222"/>
                <w:szCs w:val="24"/>
              </w:rPr>
            </w:pPr>
          </w:p>
        </w:tc>
        <w:tc>
          <w:tcPr>
            <w:tcW w:w="0" w:type="auto"/>
            <w:vMerge w:val="restart"/>
            <w:noWrap/>
            <w:hideMark/>
          </w:tcPr>
          <w:p w:rsidR="007459B2" w:rsidRPr="00872FD2" w:rsidRDefault="00464728" w:rsidP="005A464E">
            <w:pPr>
              <w:spacing w:line="360" w:lineRule="auto"/>
              <w:rPr>
                <w:rFonts w:asciiTheme="minorHAnsi" w:eastAsiaTheme="minorHAnsi" w:hAnsiTheme="minorHAnsi" w:cs="Arial"/>
                <w:b/>
                <w:bCs/>
                <w:color w:val="444444"/>
                <w:sz w:val="15"/>
                <w:szCs w:val="15"/>
              </w:rPr>
            </w:pPr>
            <w:r>
              <w:rPr>
                <w:rFonts w:asciiTheme="minorHAnsi" w:eastAsiaTheme="minorHAnsi" w:hAnsiTheme="minorHAnsi" w:cs="Arial"/>
                <w:b/>
                <w:noProof/>
                <w:color w:val="444444"/>
                <w:sz w:val="15"/>
                <w:szCs w:val="15"/>
                <w:lang w:eastAsia="el-GR"/>
              </w:rPr>
              <w:drawing>
                <wp:inline distT="0" distB="0" distL="0" distR="0">
                  <wp:extent cx="9525" cy="9525"/>
                  <wp:effectExtent l="0" t="0" r="0" b="0"/>
                  <wp:docPr id="37" name="Εικόνα 37"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mail.google.com/mail/u/0/images/cleardot.gif"/>
                          <pic:cNvPicPr>
                            <a:picLocks noChangeAspect="1" noChangeArrowheads="1"/>
                          </pic:cNvPicPr>
                        </pic:nvPicPr>
                        <pic:blipFill>
                          <a:blip r:embed="rId445"/>
                          <a:srcRect/>
                          <a:stretch>
                            <a:fillRect/>
                          </a:stretch>
                        </pic:blipFill>
                        <pic:spPr bwMode="auto">
                          <a:xfrm>
                            <a:off x="0" y="0"/>
                            <a:ext cx="9525" cy="9525"/>
                          </a:xfrm>
                          <a:prstGeom prst="rect">
                            <a:avLst/>
                          </a:prstGeom>
                          <a:noFill/>
                          <a:ln w="9525">
                            <a:noFill/>
                            <a:miter lim="800000"/>
                            <a:headEnd/>
                            <a:tailEnd/>
                          </a:ln>
                        </pic:spPr>
                      </pic:pic>
                    </a:graphicData>
                  </a:graphic>
                </wp:inline>
              </w:drawing>
            </w:r>
          </w:p>
          <w:p w:rsidR="007459B2" w:rsidRPr="00872FD2" w:rsidRDefault="00464728" w:rsidP="005A464E">
            <w:pPr>
              <w:spacing w:line="360" w:lineRule="auto"/>
              <w:rPr>
                <w:rFonts w:asciiTheme="minorHAnsi" w:eastAsiaTheme="minorHAnsi" w:hAnsiTheme="minorHAnsi" w:cs="Arial"/>
                <w:b/>
                <w:bCs/>
                <w:color w:val="444444"/>
                <w:sz w:val="15"/>
                <w:szCs w:val="15"/>
              </w:rPr>
            </w:pPr>
            <w:r>
              <w:rPr>
                <w:rFonts w:asciiTheme="minorHAnsi" w:eastAsiaTheme="minorHAnsi" w:hAnsiTheme="minorHAnsi" w:cs="Arial"/>
                <w:b/>
                <w:noProof/>
                <w:color w:val="444444"/>
                <w:sz w:val="15"/>
                <w:szCs w:val="15"/>
                <w:lang w:eastAsia="el-GR"/>
              </w:rPr>
              <w:drawing>
                <wp:inline distT="0" distB="0" distL="0" distR="0">
                  <wp:extent cx="9525" cy="9525"/>
                  <wp:effectExtent l="0" t="0" r="0" b="0"/>
                  <wp:docPr id="38" name="Εικόνα 38"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mail.google.com/mail/u/0/images/cleardot.gif"/>
                          <pic:cNvPicPr>
                            <a:picLocks noChangeAspect="1" noChangeArrowheads="1"/>
                          </pic:cNvPicPr>
                        </pic:nvPicPr>
                        <pic:blipFill>
                          <a:blip r:embed="rId44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7459B2" w:rsidRPr="00872FD2" w:rsidTr="007459B2">
        <w:trPr>
          <w:trHeight w:val="222"/>
        </w:trPr>
        <w:tc>
          <w:tcPr>
            <w:tcW w:w="0" w:type="auto"/>
            <w:gridSpan w:val="3"/>
            <w:vAlign w:val="center"/>
            <w:hideMark/>
          </w:tcPr>
          <w:tbl>
            <w:tblPr>
              <w:tblW w:w="7099" w:type="dxa"/>
              <w:tblCellMar>
                <w:left w:w="0" w:type="dxa"/>
                <w:right w:w="0" w:type="dxa"/>
              </w:tblCellMar>
              <w:tblLook w:val="04A0"/>
            </w:tblPr>
            <w:tblGrid>
              <w:gridCol w:w="7099"/>
            </w:tblGrid>
            <w:tr w:rsidR="007459B2" w:rsidRPr="00872FD2">
              <w:tc>
                <w:tcPr>
                  <w:tcW w:w="0" w:type="auto"/>
                  <w:noWrap/>
                  <w:vAlign w:val="center"/>
                  <w:hideMark/>
                </w:tcPr>
                <w:p w:rsidR="007459B2" w:rsidRPr="00872FD2" w:rsidRDefault="007459B2" w:rsidP="005A464E">
                  <w:pPr>
                    <w:spacing w:line="360" w:lineRule="auto"/>
                    <w:rPr>
                      <w:rFonts w:asciiTheme="minorHAnsi" w:eastAsiaTheme="minorHAnsi" w:hAnsiTheme="minorHAnsi" w:cs="Arial"/>
                    </w:rPr>
                  </w:pPr>
                  <w:r w:rsidRPr="00872FD2">
                    <w:rPr>
                      <w:rStyle w:val="hb"/>
                      <w:rFonts w:asciiTheme="minorHAnsi" w:eastAsiaTheme="minorHAnsi" w:hAnsiTheme="minorHAnsi" w:cs="Arial"/>
                      <w:color w:val="777777"/>
                    </w:rPr>
                    <w:t>προς</w:t>
                  </w:r>
                  <w:r w:rsidRPr="00872FD2">
                    <w:rPr>
                      <w:rStyle w:val="apple-converted-space"/>
                      <w:rFonts w:asciiTheme="minorHAnsi" w:eastAsiaTheme="minorHAnsi" w:hAnsiTheme="minorHAnsi" w:cs="Arial"/>
                      <w:color w:val="777777"/>
                    </w:rPr>
                    <w:t> </w:t>
                  </w:r>
                  <w:r w:rsidRPr="00872FD2">
                    <w:rPr>
                      <w:rStyle w:val="g2"/>
                      <w:rFonts w:asciiTheme="minorHAnsi" w:eastAsiaTheme="minorHAnsi" w:hAnsiTheme="minorHAnsi" w:cs="Arial"/>
                      <w:color w:val="777777"/>
                    </w:rPr>
                    <w:t>PARASKEVI</w:t>
                  </w:r>
                </w:p>
              </w:tc>
            </w:tr>
          </w:tbl>
          <w:p w:rsidR="007459B2" w:rsidRPr="00872FD2" w:rsidRDefault="007459B2" w:rsidP="005A464E">
            <w:pPr>
              <w:spacing w:line="360" w:lineRule="auto"/>
              <w:rPr>
                <w:rFonts w:asciiTheme="minorHAnsi" w:eastAsiaTheme="minorHAnsi" w:hAnsiTheme="minorHAnsi" w:cs="Arial"/>
                <w:sz w:val="24"/>
                <w:szCs w:val="24"/>
              </w:rPr>
            </w:pPr>
          </w:p>
        </w:tc>
        <w:tc>
          <w:tcPr>
            <w:tcW w:w="0" w:type="auto"/>
            <w:vMerge/>
            <w:vAlign w:val="center"/>
            <w:hideMark/>
          </w:tcPr>
          <w:p w:rsidR="007459B2" w:rsidRPr="00872FD2" w:rsidRDefault="007459B2" w:rsidP="005A464E">
            <w:pPr>
              <w:spacing w:line="360" w:lineRule="auto"/>
              <w:rPr>
                <w:rFonts w:asciiTheme="minorHAnsi" w:eastAsiaTheme="minorHAnsi" w:hAnsiTheme="minorHAnsi" w:cs="Arial"/>
                <w:b/>
                <w:bCs/>
                <w:color w:val="444444"/>
                <w:sz w:val="15"/>
                <w:szCs w:val="15"/>
              </w:rPr>
            </w:pPr>
          </w:p>
        </w:tc>
      </w:tr>
    </w:tbl>
    <w:p w:rsidR="007459B2" w:rsidRPr="005A464E" w:rsidRDefault="007459B2" w:rsidP="005A464E">
      <w:pPr>
        <w:shd w:val="clear" w:color="auto" w:fill="FFFFFF"/>
        <w:spacing w:line="360" w:lineRule="auto"/>
        <w:rPr>
          <w:rFonts w:cs="Arial"/>
          <w:color w:val="222222"/>
          <w:sz w:val="18"/>
          <w:szCs w:val="18"/>
        </w:rPr>
      </w:pPr>
      <w:r w:rsidRPr="005A464E">
        <w:rPr>
          <w:rFonts w:cs="Arial"/>
          <w:color w:val="222222"/>
          <w:sz w:val="18"/>
          <w:szCs w:val="18"/>
        </w:rPr>
        <w:t>Aξιότιμη κα Θεοφίλου</w:t>
      </w:r>
    </w:p>
    <w:p w:rsidR="007459B2" w:rsidRPr="005A464E" w:rsidRDefault="007459B2" w:rsidP="00324A1E">
      <w:pPr>
        <w:shd w:val="clear" w:color="auto" w:fill="FFFFFF"/>
        <w:spacing w:line="360" w:lineRule="auto"/>
        <w:jc w:val="both"/>
        <w:rPr>
          <w:rFonts w:cs="Arial"/>
          <w:color w:val="000000"/>
          <w:sz w:val="18"/>
          <w:szCs w:val="18"/>
        </w:rPr>
      </w:pPr>
      <w:r w:rsidRPr="005A464E">
        <w:rPr>
          <w:rFonts w:cs="Arial"/>
          <w:color w:val="000000"/>
          <w:sz w:val="17"/>
          <w:szCs w:val="17"/>
        </w:rPr>
        <w:t>Στα πλαίσια εκπόνησης της διδακτορικής μου διατριβής με θέμα "</w:t>
      </w:r>
      <w:r w:rsidRPr="005A464E">
        <w:rPr>
          <w:rFonts w:cs="Arial"/>
          <w:b/>
          <w:bCs/>
          <w:color w:val="222222"/>
          <w:sz w:val="15"/>
          <w:szCs w:val="15"/>
        </w:rPr>
        <w:t>Η</w:t>
      </w:r>
      <w:r w:rsidR="0078495A">
        <w:rPr>
          <w:rFonts w:cs="Arial"/>
          <w:b/>
          <w:bCs/>
          <w:color w:val="222222"/>
          <w:sz w:val="15"/>
          <w:szCs w:val="15"/>
        </w:rPr>
        <w:t xml:space="preserve"> </w:t>
      </w:r>
      <w:r w:rsidRPr="005A464E">
        <w:rPr>
          <w:rFonts w:cs="Arial"/>
          <w:b/>
          <w:bCs/>
          <w:color w:val="222222"/>
          <w:sz w:val="15"/>
          <w:szCs w:val="15"/>
        </w:rPr>
        <w:t>επίδραση της συμβουλευτικής νοσηλευτικής στη μεταβολή του επιπέδου γνώσεων, της ποιότητας ζωής και στη συμμόρφωση</w:t>
      </w:r>
      <w:r w:rsidR="0078495A">
        <w:rPr>
          <w:rFonts w:cs="Arial"/>
          <w:b/>
          <w:bCs/>
          <w:color w:val="222222"/>
          <w:sz w:val="15"/>
          <w:szCs w:val="15"/>
        </w:rPr>
        <w:t xml:space="preserve"> </w:t>
      </w:r>
      <w:r w:rsidRPr="005A464E">
        <w:rPr>
          <w:rFonts w:cs="Arial"/>
          <w:b/>
          <w:bCs/>
          <w:color w:val="222222"/>
          <w:sz w:val="15"/>
          <w:szCs w:val="15"/>
        </w:rPr>
        <w:t xml:space="preserve">ασθενών υπό αιμοκάθαρση στο θεραπευτικό σχήμα" </w:t>
      </w:r>
      <w:r w:rsidRPr="00324A1E">
        <w:rPr>
          <w:rFonts w:cs="Arial"/>
          <w:bCs/>
          <w:color w:val="222222"/>
          <w:sz w:val="15"/>
          <w:szCs w:val="15"/>
        </w:rPr>
        <w:t>στο τμήμα Νοσηλευτικής του Πανεπιστημίου Πελοποννήσου, παρακαλώ όπως μου χορηγήσετε την άδεια να </w:t>
      </w:r>
      <w:r w:rsidRPr="00324A1E">
        <w:rPr>
          <w:rFonts w:cs="Arial"/>
          <w:color w:val="000000"/>
          <w:sz w:val="17"/>
          <w:szCs w:val="17"/>
        </w:rPr>
        <w:t>χρησιμοποιήσω την Ελληνική έκδοση της κλίμακας "Simplified</w:t>
      </w:r>
      <w:r w:rsidR="0078495A" w:rsidRPr="00324A1E">
        <w:rPr>
          <w:rFonts w:cs="Arial"/>
          <w:color w:val="000000"/>
          <w:sz w:val="17"/>
          <w:szCs w:val="17"/>
        </w:rPr>
        <w:t xml:space="preserve"> </w:t>
      </w:r>
      <w:r w:rsidRPr="00324A1E">
        <w:rPr>
          <w:rFonts w:cs="Arial"/>
          <w:color w:val="000000"/>
          <w:sz w:val="17"/>
          <w:szCs w:val="17"/>
        </w:rPr>
        <w:t>Medication Adherence Questionnaire" της οποίας κάνατε τη</w:t>
      </w:r>
      <w:r w:rsidRPr="005A464E">
        <w:rPr>
          <w:rFonts w:cs="Arial"/>
          <w:color w:val="000000"/>
          <w:sz w:val="17"/>
          <w:szCs w:val="17"/>
        </w:rPr>
        <w:t xml:space="preserve"> μετάφραση και πολιτισμική προσαρμογή. </w:t>
      </w:r>
    </w:p>
    <w:p w:rsidR="007459B2" w:rsidRPr="005A464E" w:rsidRDefault="007459B2" w:rsidP="005A464E">
      <w:pPr>
        <w:shd w:val="clear" w:color="auto" w:fill="FFFFFF"/>
        <w:spacing w:line="360" w:lineRule="auto"/>
        <w:rPr>
          <w:rFonts w:cs="Arial"/>
          <w:color w:val="000000"/>
          <w:sz w:val="18"/>
          <w:szCs w:val="18"/>
        </w:rPr>
      </w:pPr>
      <w:r w:rsidRPr="005A464E">
        <w:rPr>
          <w:rFonts w:cs="Arial"/>
          <w:color w:val="000000"/>
          <w:sz w:val="17"/>
          <w:szCs w:val="17"/>
        </w:rPr>
        <w:t>Σας</w:t>
      </w:r>
      <w:r w:rsidR="0078495A">
        <w:rPr>
          <w:rFonts w:cs="Arial"/>
          <w:color w:val="000000"/>
          <w:sz w:val="17"/>
          <w:szCs w:val="17"/>
        </w:rPr>
        <w:t xml:space="preserve"> </w:t>
      </w:r>
      <w:r w:rsidRPr="005A464E">
        <w:rPr>
          <w:rFonts w:cs="Arial"/>
          <w:color w:val="000000"/>
          <w:sz w:val="17"/>
          <w:szCs w:val="17"/>
        </w:rPr>
        <w:t>ευχαριστώ εκ των προτέρων</w:t>
      </w:r>
    </w:p>
    <w:p w:rsidR="007459B2" w:rsidRPr="005A464E" w:rsidRDefault="007459B2" w:rsidP="005A464E">
      <w:pPr>
        <w:shd w:val="clear" w:color="auto" w:fill="FFFFFF"/>
        <w:spacing w:line="360" w:lineRule="auto"/>
        <w:rPr>
          <w:rFonts w:cs="Arial"/>
          <w:color w:val="000000"/>
          <w:sz w:val="18"/>
          <w:szCs w:val="18"/>
        </w:rPr>
      </w:pPr>
      <w:r w:rsidRPr="005A464E">
        <w:rPr>
          <w:rFonts w:cs="Arial"/>
          <w:color w:val="000000"/>
          <w:sz w:val="17"/>
          <w:szCs w:val="17"/>
        </w:rPr>
        <w:t>Με τιμή</w:t>
      </w:r>
    </w:p>
    <w:p w:rsidR="007459B2" w:rsidRPr="005A464E" w:rsidRDefault="007459B2" w:rsidP="005A464E">
      <w:pPr>
        <w:shd w:val="clear" w:color="auto" w:fill="FFFFFF"/>
        <w:spacing w:line="360" w:lineRule="auto"/>
        <w:rPr>
          <w:rFonts w:cs="Arial"/>
          <w:color w:val="000000"/>
          <w:sz w:val="18"/>
          <w:szCs w:val="18"/>
        </w:rPr>
      </w:pPr>
      <w:r w:rsidRPr="005A464E">
        <w:rPr>
          <w:rFonts w:cs="Arial"/>
          <w:color w:val="000000"/>
          <w:sz w:val="17"/>
          <w:szCs w:val="17"/>
        </w:rPr>
        <w:t>Αλικάρη Βικτώρια</w:t>
      </w:r>
    </w:p>
    <w:p w:rsidR="007459B2" w:rsidRPr="005A464E" w:rsidRDefault="007459B2" w:rsidP="005A464E">
      <w:pPr>
        <w:shd w:val="clear" w:color="auto" w:fill="FFFFFF"/>
        <w:spacing w:line="360" w:lineRule="auto"/>
        <w:rPr>
          <w:rFonts w:cs="Arial"/>
          <w:color w:val="000000"/>
          <w:sz w:val="18"/>
          <w:szCs w:val="18"/>
        </w:rPr>
      </w:pPr>
      <w:r w:rsidRPr="005A464E">
        <w:rPr>
          <w:rFonts w:cs="Arial"/>
          <w:color w:val="000000"/>
          <w:sz w:val="17"/>
          <w:szCs w:val="17"/>
        </w:rPr>
        <w:t>Νοσηλεύτρια, Υποψήφια διδάκτωρ, Τμήμα Νοσηλευτικής , </w:t>
      </w:r>
      <w:r w:rsidRPr="00324A1E">
        <w:rPr>
          <w:rFonts w:cs="Arial"/>
          <w:bCs/>
          <w:color w:val="222222"/>
          <w:sz w:val="15"/>
          <w:szCs w:val="15"/>
        </w:rPr>
        <w:t>Πανεπιστήμιο Πελοποννήσου</w:t>
      </w:r>
    </w:p>
    <w:p w:rsidR="006269EC" w:rsidRDefault="006269EC" w:rsidP="005A464E">
      <w:pPr>
        <w:spacing w:line="360" w:lineRule="auto"/>
        <w:jc w:val="center"/>
        <w:rPr>
          <w:b/>
          <w:sz w:val="24"/>
          <w:szCs w:val="24"/>
        </w:rPr>
      </w:pPr>
    </w:p>
    <w:p w:rsidR="006269EC" w:rsidRDefault="006269EC" w:rsidP="005A464E">
      <w:pPr>
        <w:spacing w:line="360" w:lineRule="auto"/>
        <w:jc w:val="center"/>
        <w:rPr>
          <w:b/>
          <w:sz w:val="24"/>
          <w:szCs w:val="24"/>
        </w:rPr>
      </w:pPr>
    </w:p>
    <w:p w:rsidR="007459B2" w:rsidRPr="005A464E" w:rsidRDefault="007459B2" w:rsidP="005A464E">
      <w:pPr>
        <w:spacing w:line="360" w:lineRule="auto"/>
        <w:jc w:val="center"/>
        <w:rPr>
          <w:b/>
          <w:sz w:val="24"/>
          <w:szCs w:val="24"/>
        </w:rPr>
      </w:pPr>
      <w:r w:rsidRPr="005A464E">
        <w:rPr>
          <w:b/>
          <w:sz w:val="24"/>
          <w:szCs w:val="24"/>
        </w:rPr>
        <w:t xml:space="preserve">ΦΟΡΜΑ ΧΟΡΗΓΗΣΗΣ ΑΔΕΙΑΣ ΓΙΑ ΤΗ ΧΡΗΣΙΜΟΠΟΙΗΣΗ ΤΟΥ ΕΡΩΤΗΜΑΤΟΛΟΓΙΟΥ </w:t>
      </w:r>
      <w:r w:rsidRPr="005A464E">
        <w:rPr>
          <w:b/>
          <w:sz w:val="24"/>
          <w:szCs w:val="24"/>
          <w:lang w:val="en-US"/>
        </w:rPr>
        <w:t>SIMPLIFIED</w:t>
      </w:r>
      <w:r w:rsidRPr="005A464E">
        <w:rPr>
          <w:b/>
          <w:sz w:val="24"/>
          <w:szCs w:val="24"/>
        </w:rPr>
        <w:t xml:space="preserve"> </w:t>
      </w:r>
      <w:r w:rsidRPr="005A464E">
        <w:rPr>
          <w:b/>
          <w:sz w:val="24"/>
          <w:szCs w:val="24"/>
          <w:lang w:val="en-US"/>
        </w:rPr>
        <w:t>MEDICATION</w:t>
      </w:r>
      <w:r w:rsidRPr="005A464E">
        <w:rPr>
          <w:b/>
          <w:sz w:val="24"/>
          <w:szCs w:val="24"/>
        </w:rPr>
        <w:t xml:space="preserve"> </w:t>
      </w:r>
      <w:r w:rsidRPr="005A464E">
        <w:rPr>
          <w:b/>
          <w:sz w:val="24"/>
          <w:szCs w:val="24"/>
          <w:lang w:val="en-US"/>
        </w:rPr>
        <w:t>ADHERENCE</w:t>
      </w:r>
      <w:r w:rsidRPr="005A464E">
        <w:rPr>
          <w:b/>
          <w:sz w:val="24"/>
          <w:szCs w:val="24"/>
        </w:rPr>
        <w:t xml:space="preserve"> </w:t>
      </w:r>
      <w:r w:rsidRPr="005A464E">
        <w:rPr>
          <w:b/>
          <w:sz w:val="24"/>
          <w:szCs w:val="24"/>
          <w:lang w:val="en-US"/>
        </w:rPr>
        <w:t>QUESTIONNAIRE</w:t>
      </w:r>
      <w:r w:rsidRPr="005A464E">
        <w:rPr>
          <w:b/>
          <w:sz w:val="24"/>
          <w:szCs w:val="24"/>
        </w:rPr>
        <w:t xml:space="preserve"> (</w:t>
      </w:r>
      <w:r w:rsidRPr="005A464E">
        <w:rPr>
          <w:b/>
          <w:sz w:val="24"/>
          <w:szCs w:val="24"/>
          <w:lang w:val="en-US"/>
        </w:rPr>
        <w:t>SMAQ</w:t>
      </w:r>
      <w:r w:rsidRPr="005A464E">
        <w:rPr>
          <w:b/>
          <w:sz w:val="24"/>
          <w:szCs w:val="24"/>
        </w:rPr>
        <w:t>)</w:t>
      </w:r>
    </w:p>
    <w:p w:rsidR="007459B2" w:rsidRPr="005A464E" w:rsidRDefault="007459B2" w:rsidP="005A464E">
      <w:pPr>
        <w:spacing w:line="360" w:lineRule="auto"/>
        <w:jc w:val="both"/>
        <w:rPr>
          <w:b/>
          <w:sz w:val="24"/>
          <w:szCs w:val="24"/>
        </w:rPr>
      </w:pPr>
    </w:p>
    <w:p w:rsidR="007459B2" w:rsidRPr="005A464E" w:rsidRDefault="007459B2" w:rsidP="005A464E">
      <w:pPr>
        <w:spacing w:line="360" w:lineRule="auto"/>
        <w:jc w:val="both"/>
        <w:rPr>
          <w:b/>
          <w:sz w:val="24"/>
          <w:szCs w:val="24"/>
        </w:rPr>
      </w:pPr>
      <w:r w:rsidRPr="005A464E">
        <w:rPr>
          <w:b/>
          <w:sz w:val="24"/>
          <w:szCs w:val="24"/>
        </w:rPr>
        <w:t>Ατομικά στοιχεία ενδιαφερόμενου/ης:</w:t>
      </w:r>
    </w:p>
    <w:p w:rsidR="007459B2" w:rsidRPr="005A464E" w:rsidRDefault="007459B2" w:rsidP="005A464E">
      <w:pPr>
        <w:spacing w:line="360" w:lineRule="auto"/>
        <w:jc w:val="both"/>
        <w:rPr>
          <w:sz w:val="24"/>
          <w:szCs w:val="24"/>
        </w:rPr>
      </w:pPr>
      <w:r w:rsidRPr="005A464E">
        <w:rPr>
          <w:sz w:val="24"/>
          <w:szCs w:val="24"/>
        </w:rPr>
        <w:t>Όνομα:</w:t>
      </w:r>
      <w:r w:rsidR="00331219" w:rsidRPr="005A464E">
        <w:rPr>
          <w:sz w:val="24"/>
          <w:szCs w:val="24"/>
        </w:rPr>
        <w:t xml:space="preserve"> </w:t>
      </w:r>
      <w:r w:rsidRPr="005A464E">
        <w:rPr>
          <w:sz w:val="24"/>
          <w:szCs w:val="24"/>
        </w:rPr>
        <w:t>Βικτώρια</w:t>
      </w:r>
    </w:p>
    <w:p w:rsidR="007459B2" w:rsidRPr="005A464E" w:rsidRDefault="007459B2" w:rsidP="005A464E">
      <w:pPr>
        <w:spacing w:line="360" w:lineRule="auto"/>
        <w:jc w:val="both"/>
        <w:rPr>
          <w:sz w:val="24"/>
          <w:szCs w:val="24"/>
        </w:rPr>
      </w:pPr>
      <w:r w:rsidRPr="005A464E">
        <w:rPr>
          <w:sz w:val="24"/>
          <w:szCs w:val="24"/>
        </w:rPr>
        <w:t>Επώνυμο: Αλικάρη</w:t>
      </w:r>
    </w:p>
    <w:p w:rsidR="007459B2" w:rsidRPr="005A464E" w:rsidRDefault="007459B2" w:rsidP="005A464E">
      <w:pPr>
        <w:spacing w:line="360" w:lineRule="auto"/>
        <w:jc w:val="both"/>
        <w:rPr>
          <w:sz w:val="24"/>
          <w:szCs w:val="24"/>
        </w:rPr>
      </w:pPr>
      <w:r w:rsidRPr="005A464E">
        <w:rPr>
          <w:sz w:val="24"/>
          <w:szCs w:val="24"/>
        </w:rPr>
        <w:t>Ιδιότητα: Νοσηλεύτρια, Υποψήφια διδάκτωρ</w:t>
      </w:r>
    </w:p>
    <w:p w:rsidR="007459B2" w:rsidRPr="005A464E" w:rsidRDefault="007459B2" w:rsidP="005A464E">
      <w:pPr>
        <w:spacing w:line="360" w:lineRule="auto"/>
        <w:jc w:val="both"/>
        <w:rPr>
          <w:sz w:val="24"/>
          <w:szCs w:val="24"/>
        </w:rPr>
      </w:pPr>
      <w:r w:rsidRPr="005A464E">
        <w:rPr>
          <w:sz w:val="24"/>
          <w:szCs w:val="24"/>
        </w:rPr>
        <w:t>Τηλ. Επικοινωνίας: 6936168825</w:t>
      </w:r>
    </w:p>
    <w:p w:rsidR="007459B2" w:rsidRPr="005A464E" w:rsidRDefault="007459B2" w:rsidP="005A464E">
      <w:pPr>
        <w:spacing w:line="360" w:lineRule="auto"/>
        <w:jc w:val="both"/>
        <w:rPr>
          <w:sz w:val="24"/>
          <w:szCs w:val="24"/>
        </w:rPr>
      </w:pPr>
      <w:r w:rsidRPr="005A464E">
        <w:rPr>
          <w:sz w:val="24"/>
          <w:szCs w:val="24"/>
        </w:rPr>
        <w:t xml:space="preserve">Παρακαλώ όπως μου χορηγήσετε άδεια για τη χρησιμοποίηση του ερωτηματολογίου </w:t>
      </w:r>
      <w:r w:rsidR="00324A1E">
        <w:rPr>
          <w:color w:val="000000"/>
          <w:sz w:val="24"/>
          <w:szCs w:val="24"/>
          <w:shd w:val="clear" w:color="auto" w:fill="FFFFFF"/>
        </w:rPr>
        <w:t>«</w:t>
      </w:r>
      <w:r w:rsidRPr="005A464E">
        <w:rPr>
          <w:color w:val="000000"/>
          <w:sz w:val="24"/>
          <w:szCs w:val="24"/>
          <w:shd w:val="clear" w:color="auto" w:fill="FFFFFF"/>
        </w:rPr>
        <w:t>Simplified</w:t>
      </w:r>
      <w:r w:rsidR="0078495A">
        <w:rPr>
          <w:color w:val="000000"/>
          <w:sz w:val="24"/>
          <w:szCs w:val="24"/>
          <w:shd w:val="clear" w:color="auto" w:fill="FFFFFF"/>
        </w:rPr>
        <w:t xml:space="preserve"> </w:t>
      </w:r>
      <w:r w:rsidRPr="005A464E">
        <w:rPr>
          <w:color w:val="000000"/>
          <w:sz w:val="24"/>
          <w:szCs w:val="24"/>
          <w:shd w:val="clear" w:color="auto" w:fill="FFFFFF"/>
        </w:rPr>
        <w:t>Medication</w:t>
      </w:r>
      <w:r w:rsidR="00302B16" w:rsidRPr="005A464E">
        <w:rPr>
          <w:color w:val="000000"/>
          <w:sz w:val="24"/>
          <w:szCs w:val="24"/>
          <w:shd w:val="clear" w:color="auto" w:fill="FFFFFF"/>
        </w:rPr>
        <w:t xml:space="preserve"> </w:t>
      </w:r>
      <w:r w:rsidRPr="005A464E">
        <w:rPr>
          <w:color w:val="000000"/>
          <w:sz w:val="24"/>
          <w:szCs w:val="24"/>
          <w:shd w:val="clear" w:color="auto" w:fill="FFFFFF"/>
        </w:rPr>
        <w:t>Adherence</w:t>
      </w:r>
      <w:r w:rsidR="00302B16" w:rsidRPr="005A464E">
        <w:rPr>
          <w:color w:val="000000"/>
          <w:sz w:val="24"/>
          <w:szCs w:val="24"/>
          <w:shd w:val="clear" w:color="auto" w:fill="FFFFFF"/>
        </w:rPr>
        <w:t xml:space="preserve"> </w:t>
      </w:r>
      <w:r w:rsidR="00324A1E">
        <w:rPr>
          <w:color w:val="000000"/>
          <w:sz w:val="24"/>
          <w:szCs w:val="24"/>
          <w:shd w:val="clear" w:color="auto" w:fill="FFFFFF"/>
        </w:rPr>
        <w:t>Questionnaire»</w:t>
      </w:r>
      <w:r w:rsidR="00331219" w:rsidRPr="005A464E">
        <w:rPr>
          <w:color w:val="000000"/>
          <w:sz w:val="24"/>
          <w:szCs w:val="24"/>
          <w:shd w:val="clear" w:color="auto" w:fill="FFFFFF"/>
        </w:rPr>
        <w:t xml:space="preserve"> </w:t>
      </w:r>
      <w:r w:rsidRPr="005A464E">
        <w:rPr>
          <w:sz w:val="24"/>
          <w:szCs w:val="24"/>
        </w:rPr>
        <w:t xml:space="preserve">στα πλαίσια εκπόνησης </w:t>
      </w:r>
      <w:r w:rsidRPr="005A464E">
        <w:rPr>
          <w:color w:val="000000"/>
          <w:sz w:val="24"/>
          <w:szCs w:val="24"/>
          <w:shd w:val="clear" w:color="auto" w:fill="FFFFFF"/>
        </w:rPr>
        <w:t xml:space="preserve">της διδακτορικής μου διατριβής με θέμα </w:t>
      </w:r>
      <w:r w:rsidR="00324A1E">
        <w:rPr>
          <w:color w:val="000000"/>
          <w:sz w:val="24"/>
          <w:szCs w:val="24"/>
          <w:shd w:val="clear" w:color="auto" w:fill="FFFFFF"/>
        </w:rPr>
        <w:t>«</w:t>
      </w:r>
      <w:r w:rsidR="007E6A3E" w:rsidRPr="005A464E">
        <w:rPr>
          <w:rFonts w:cs="Arial"/>
          <w:bCs/>
          <w:color w:val="222222"/>
          <w:sz w:val="24"/>
          <w:szCs w:val="24"/>
          <w:shd w:val="clear" w:color="auto" w:fill="FFFFFF"/>
        </w:rPr>
        <w:t>Η </w:t>
      </w:r>
      <w:r w:rsidRPr="005A464E">
        <w:rPr>
          <w:rFonts w:cs="Arial"/>
          <w:bCs/>
          <w:color w:val="222222"/>
          <w:sz w:val="24"/>
          <w:szCs w:val="24"/>
          <w:shd w:val="clear" w:color="auto" w:fill="FFFFFF"/>
        </w:rPr>
        <w:t>επίδραση της συμβουλευτικής νοσηλευτικής στη μεταβολή του επιπέδου γνώσεων, της ποιότητας ζωής και στη συμμόρφωση</w:t>
      </w:r>
      <w:r w:rsidR="0078495A">
        <w:rPr>
          <w:rFonts w:cs="Arial"/>
          <w:bCs/>
          <w:color w:val="222222"/>
          <w:sz w:val="24"/>
          <w:szCs w:val="24"/>
          <w:shd w:val="clear" w:color="auto" w:fill="FFFFFF"/>
        </w:rPr>
        <w:t xml:space="preserve"> </w:t>
      </w:r>
      <w:r w:rsidRPr="005A464E">
        <w:rPr>
          <w:rFonts w:cs="Arial"/>
          <w:bCs/>
          <w:color w:val="222222"/>
          <w:sz w:val="24"/>
          <w:szCs w:val="24"/>
          <w:shd w:val="clear" w:color="auto" w:fill="FFFFFF"/>
        </w:rPr>
        <w:t>ασθενών υπό αι</w:t>
      </w:r>
      <w:r w:rsidR="00324A1E">
        <w:rPr>
          <w:rFonts w:cs="Arial"/>
          <w:bCs/>
          <w:color w:val="222222"/>
          <w:sz w:val="24"/>
          <w:szCs w:val="24"/>
          <w:shd w:val="clear" w:color="auto" w:fill="FFFFFF"/>
        </w:rPr>
        <w:t>μοκάθαρση στο θεραπευτικό σχήμα»</w:t>
      </w:r>
      <w:r w:rsidRPr="005A464E">
        <w:rPr>
          <w:rFonts w:cs="Arial"/>
          <w:bCs/>
          <w:color w:val="222222"/>
          <w:sz w:val="24"/>
          <w:szCs w:val="24"/>
          <w:shd w:val="clear" w:color="auto" w:fill="FFFFFF"/>
        </w:rPr>
        <w:t xml:space="preserve"> στο τμήμα Νοσηλευτικής του Πανεπιστημίου Πελοποννήσου</w:t>
      </w:r>
      <w:r w:rsidR="00324A1E">
        <w:rPr>
          <w:rFonts w:cs="Arial"/>
          <w:bCs/>
          <w:color w:val="222222"/>
          <w:sz w:val="24"/>
          <w:szCs w:val="24"/>
          <w:shd w:val="clear" w:color="auto" w:fill="FFFFFF"/>
        </w:rPr>
        <w:t>.</w:t>
      </w:r>
    </w:p>
    <w:p w:rsidR="007459B2" w:rsidRPr="005A464E" w:rsidRDefault="007459B2" w:rsidP="005A464E">
      <w:pPr>
        <w:spacing w:line="360" w:lineRule="auto"/>
        <w:jc w:val="both"/>
        <w:rPr>
          <w:sz w:val="24"/>
          <w:szCs w:val="24"/>
        </w:rPr>
      </w:pPr>
      <w:r w:rsidRPr="005A464E">
        <w:rPr>
          <w:sz w:val="24"/>
          <w:szCs w:val="24"/>
        </w:rPr>
        <w:t>Η αιτούσα</w:t>
      </w:r>
      <w:r w:rsidRPr="005A464E">
        <w:rPr>
          <w:sz w:val="24"/>
          <w:szCs w:val="24"/>
        </w:rPr>
        <w:tab/>
      </w:r>
      <w:r w:rsidRPr="005A464E">
        <w:rPr>
          <w:sz w:val="24"/>
          <w:szCs w:val="24"/>
        </w:rPr>
        <w:tab/>
      </w:r>
      <w:r w:rsidRPr="005A464E">
        <w:rPr>
          <w:sz w:val="24"/>
          <w:szCs w:val="24"/>
        </w:rPr>
        <w:tab/>
      </w:r>
      <w:r w:rsidRPr="005A464E">
        <w:rPr>
          <w:sz w:val="24"/>
          <w:szCs w:val="24"/>
        </w:rPr>
        <w:tab/>
      </w:r>
      <w:r w:rsidRPr="005A464E">
        <w:rPr>
          <w:sz w:val="24"/>
          <w:szCs w:val="24"/>
        </w:rPr>
        <w:tab/>
      </w:r>
      <w:r w:rsidR="00324A1E">
        <w:rPr>
          <w:sz w:val="24"/>
          <w:szCs w:val="24"/>
        </w:rPr>
        <w:t xml:space="preserve">                      </w:t>
      </w:r>
      <w:r w:rsidRPr="005A464E">
        <w:rPr>
          <w:sz w:val="24"/>
          <w:szCs w:val="24"/>
        </w:rPr>
        <w:t>Ημερομηνία</w:t>
      </w:r>
      <w:r w:rsidR="0078495A">
        <w:rPr>
          <w:sz w:val="24"/>
          <w:szCs w:val="24"/>
        </w:rPr>
        <w:t xml:space="preserve"> </w:t>
      </w:r>
      <w:r w:rsidRPr="005A464E">
        <w:rPr>
          <w:sz w:val="24"/>
          <w:szCs w:val="24"/>
        </w:rPr>
        <w:t>19/12/2014</w:t>
      </w:r>
    </w:p>
    <w:p w:rsidR="007459B2" w:rsidRPr="005A464E" w:rsidRDefault="007459B2" w:rsidP="005A464E">
      <w:pPr>
        <w:spacing w:line="360" w:lineRule="auto"/>
        <w:jc w:val="both"/>
        <w:rPr>
          <w:sz w:val="24"/>
          <w:szCs w:val="24"/>
        </w:rPr>
      </w:pPr>
    </w:p>
    <w:p w:rsidR="007459B2" w:rsidRPr="005A464E" w:rsidRDefault="007459B2" w:rsidP="005A464E">
      <w:pPr>
        <w:spacing w:line="360" w:lineRule="auto"/>
        <w:jc w:val="both"/>
        <w:rPr>
          <w:sz w:val="24"/>
          <w:szCs w:val="24"/>
        </w:rPr>
      </w:pPr>
      <w:r w:rsidRPr="005A464E">
        <w:rPr>
          <w:sz w:val="24"/>
          <w:szCs w:val="24"/>
        </w:rPr>
        <w:t xml:space="preserve">Υπογραφή </w:t>
      </w:r>
    </w:p>
    <w:p w:rsidR="007459B2" w:rsidRPr="005A464E" w:rsidRDefault="007459B2" w:rsidP="005A464E">
      <w:pPr>
        <w:spacing w:line="360" w:lineRule="auto"/>
        <w:jc w:val="both"/>
        <w:rPr>
          <w:sz w:val="24"/>
          <w:szCs w:val="24"/>
        </w:rPr>
      </w:pPr>
      <w:r w:rsidRPr="005A464E">
        <w:rPr>
          <w:sz w:val="24"/>
          <w:szCs w:val="24"/>
        </w:rPr>
        <w:t xml:space="preserve">Ονοματεπώνυμο </w:t>
      </w:r>
    </w:p>
    <w:p w:rsidR="007459B2" w:rsidRPr="005A464E" w:rsidRDefault="007459B2" w:rsidP="005A464E">
      <w:pPr>
        <w:spacing w:line="360" w:lineRule="auto"/>
        <w:jc w:val="both"/>
        <w:rPr>
          <w:sz w:val="24"/>
          <w:szCs w:val="24"/>
        </w:rPr>
      </w:pPr>
      <w:r w:rsidRPr="005A464E">
        <w:rPr>
          <w:sz w:val="24"/>
          <w:szCs w:val="24"/>
        </w:rPr>
        <w:t>Αλικάρη Βικτώρια</w:t>
      </w:r>
    </w:p>
    <w:tbl>
      <w:tblPr>
        <w:tblW w:w="0" w:type="dxa"/>
        <w:tblCellMar>
          <w:left w:w="0" w:type="dxa"/>
          <w:right w:w="0" w:type="dxa"/>
        </w:tblCellMar>
        <w:tblLook w:val="04A0"/>
      </w:tblPr>
      <w:tblGrid>
        <w:gridCol w:w="6110"/>
        <w:gridCol w:w="983"/>
        <w:gridCol w:w="7"/>
        <w:gridCol w:w="15"/>
      </w:tblGrid>
      <w:tr w:rsidR="007459B2" w:rsidRPr="00872FD2" w:rsidTr="007459B2">
        <w:trPr>
          <w:trHeight w:val="222"/>
        </w:trPr>
        <w:tc>
          <w:tcPr>
            <w:tcW w:w="5189" w:type="dxa"/>
            <w:noWrap/>
            <w:tcMar>
              <w:top w:w="0" w:type="dxa"/>
              <w:left w:w="0" w:type="dxa"/>
              <w:bottom w:w="0" w:type="dxa"/>
              <w:right w:w="111" w:type="dxa"/>
            </w:tcMar>
            <w:hideMark/>
          </w:tcPr>
          <w:tbl>
            <w:tblPr>
              <w:tblW w:w="5199" w:type="dxa"/>
              <w:tblCellMar>
                <w:left w:w="0" w:type="dxa"/>
                <w:right w:w="0" w:type="dxa"/>
              </w:tblCellMar>
              <w:tblLook w:val="04A0"/>
            </w:tblPr>
            <w:tblGrid>
              <w:gridCol w:w="5199"/>
            </w:tblGrid>
            <w:tr w:rsidR="007459B2" w:rsidRPr="00D842D4">
              <w:tc>
                <w:tcPr>
                  <w:tcW w:w="0" w:type="auto"/>
                  <w:vAlign w:val="center"/>
                  <w:hideMark/>
                </w:tcPr>
                <w:p w:rsidR="007459B2" w:rsidRPr="00872FD2" w:rsidRDefault="007459B2" w:rsidP="005A464E">
                  <w:pPr>
                    <w:spacing w:line="360" w:lineRule="auto"/>
                    <w:rPr>
                      <w:rFonts w:asciiTheme="minorHAnsi" w:eastAsiaTheme="minorHAnsi" w:hAnsiTheme="minorHAnsi" w:cs="Arial"/>
                      <w:lang w:val="en-US"/>
                    </w:rPr>
                  </w:pPr>
                  <w:r w:rsidRPr="00872FD2">
                    <w:rPr>
                      <w:rStyle w:val="gd"/>
                      <w:rFonts w:asciiTheme="minorHAnsi" w:eastAsiaTheme="minorHAnsi" w:hAnsiTheme="minorHAnsi" w:cs="Arial"/>
                      <w:color w:val="222222"/>
                      <w:sz w:val="18"/>
                      <w:szCs w:val="18"/>
                      <w:lang w:val="en-US"/>
                    </w:rPr>
                    <w:t>PARASKEVI THEOFILOU</w:t>
                  </w:r>
                  <w:r w:rsidRPr="00872FD2">
                    <w:rPr>
                      <w:rStyle w:val="apple-converted-space"/>
                      <w:rFonts w:asciiTheme="minorHAnsi" w:eastAsiaTheme="minorHAnsi" w:hAnsiTheme="minorHAnsi" w:cs="Arial"/>
                      <w:lang w:val="en-US"/>
                    </w:rPr>
                    <w:t> </w:t>
                  </w:r>
                  <w:r w:rsidRPr="00872FD2">
                    <w:rPr>
                      <w:rStyle w:val="go"/>
                      <w:rFonts w:asciiTheme="minorHAnsi" w:eastAsiaTheme="minorHAnsi" w:hAnsiTheme="minorHAnsi" w:cs="Arial"/>
                      <w:color w:val="555555"/>
                      <w:lang w:val="en-US"/>
                    </w:rPr>
                    <w:t>&lt;pardrothe@gmail.com&gt;</w:t>
                  </w:r>
                </w:p>
              </w:tc>
            </w:tr>
          </w:tbl>
          <w:p w:rsidR="007459B2" w:rsidRPr="00324A1E" w:rsidRDefault="00324A1E" w:rsidP="005A464E">
            <w:pPr>
              <w:spacing w:line="360" w:lineRule="auto"/>
              <w:rPr>
                <w:rFonts w:asciiTheme="minorHAnsi" w:eastAsiaTheme="minorHAnsi" w:hAnsiTheme="minorHAnsi" w:cs="Arial"/>
                <w:sz w:val="24"/>
                <w:szCs w:val="24"/>
                <w:lang w:val="en-US"/>
              </w:rPr>
            </w:pPr>
            <w:r w:rsidRPr="00324A1E">
              <w:rPr>
                <w:rFonts w:asciiTheme="minorHAnsi" w:eastAsiaTheme="minorHAnsi" w:hAnsiTheme="minorHAnsi" w:cs="Arial"/>
                <w:sz w:val="24"/>
                <w:szCs w:val="24"/>
                <w:lang w:val="en-US"/>
              </w:rPr>
              <w:t xml:space="preserve">          </w:t>
            </w:r>
          </w:p>
        </w:tc>
        <w:tc>
          <w:tcPr>
            <w:tcW w:w="0" w:type="auto"/>
            <w:noWrap/>
            <w:hideMark/>
          </w:tcPr>
          <w:p w:rsidR="007459B2" w:rsidRPr="00872FD2" w:rsidRDefault="00464728" w:rsidP="005A464E">
            <w:pPr>
              <w:spacing w:line="360" w:lineRule="auto"/>
              <w:rPr>
                <w:rFonts w:asciiTheme="minorHAnsi" w:eastAsiaTheme="minorHAnsi" w:hAnsiTheme="minorHAnsi" w:cs="Arial"/>
                <w:color w:val="222222"/>
              </w:rPr>
            </w:pPr>
            <w:r>
              <w:rPr>
                <w:rFonts w:asciiTheme="minorHAnsi" w:eastAsiaTheme="minorHAnsi" w:hAnsiTheme="minorHAnsi" w:cs="Arial"/>
                <w:noProof/>
                <w:color w:val="222222"/>
                <w:lang w:eastAsia="el-GR"/>
              </w:rPr>
              <w:drawing>
                <wp:inline distT="0" distB="0" distL="0" distR="0">
                  <wp:extent cx="9525" cy="9525"/>
                  <wp:effectExtent l="0" t="0" r="0" b="0"/>
                  <wp:docPr id="39" name="Εικόνα 39" descr="Συνημμέν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Συνημμένα"/>
                          <pic:cNvPicPr>
                            <a:picLocks noChangeAspect="1" noChangeArrowheads="1"/>
                          </pic:cNvPicPr>
                        </pic:nvPicPr>
                        <pic:blipFill>
                          <a:blip r:embed="rId445"/>
                          <a:srcRect/>
                          <a:stretch>
                            <a:fillRect/>
                          </a:stretch>
                        </pic:blipFill>
                        <pic:spPr bwMode="auto">
                          <a:xfrm>
                            <a:off x="0" y="0"/>
                            <a:ext cx="9525" cy="9525"/>
                          </a:xfrm>
                          <a:prstGeom prst="rect">
                            <a:avLst/>
                          </a:prstGeom>
                          <a:noFill/>
                          <a:ln w="9525">
                            <a:noFill/>
                            <a:miter lim="800000"/>
                            <a:headEnd/>
                            <a:tailEnd/>
                          </a:ln>
                        </pic:spPr>
                      </pic:pic>
                    </a:graphicData>
                  </a:graphic>
                </wp:inline>
              </w:drawing>
            </w:r>
            <w:r w:rsidR="007459B2" w:rsidRPr="00872FD2">
              <w:rPr>
                <w:rStyle w:val="g3"/>
                <w:rFonts w:asciiTheme="minorHAnsi" w:eastAsiaTheme="minorHAnsi" w:hAnsiTheme="minorHAnsi" w:cs="Arial"/>
                <w:color w:val="222222"/>
              </w:rPr>
              <w:t>﻿​﻿​﻿﻿​​﻿​​​﻿﻿​​​﻿​​​﻿﻿​​﻿​​​​​​﻿​﻿​​​﻿﻿﻿﻿​﻿﻿​​﻿​​﻿​​​﻿​﻿​​​﻿23/12/14</w:t>
            </w:r>
          </w:p>
          <w:p w:rsidR="007459B2" w:rsidRPr="00872FD2" w:rsidRDefault="00464728" w:rsidP="005A464E">
            <w:pPr>
              <w:spacing w:line="360" w:lineRule="auto"/>
              <w:rPr>
                <w:rFonts w:asciiTheme="minorHAnsi" w:eastAsiaTheme="minorHAnsi" w:hAnsiTheme="minorHAnsi" w:cs="Arial"/>
                <w:color w:val="222222"/>
                <w:sz w:val="24"/>
                <w:szCs w:val="24"/>
              </w:rPr>
            </w:pPr>
            <w:r>
              <w:rPr>
                <w:rFonts w:asciiTheme="minorHAnsi" w:eastAsiaTheme="minorHAnsi" w:hAnsiTheme="minorHAnsi" w:cs="Arial"/>
                <w:noProof/>
                <w:color w:val="222222"/>
                <w:lang w:eastAsia="el-GR"/>
              </w:rPr>
              <w:drawing>
                <wp:inline distT="0" distB="0" distL="0" distR="0">
                  <wp:extent cx="9525" cy="9525"/>
                  <wp:effectExtent l="0" t="0" r="0" b="0"/>
                  <wp:docPr id="40" name="Εικόνα 40"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mail.google.com/mail/u/0/images/cleardot.gif"/>
                          <pic:cNvPicPr>
                            <a:picLocks noChangeAspect="1" noChangeArrowheads="1"/>
                          </pic:cNvPicPr>
                        </pic:nvPicPr>
                        <pic:blipFill>
                          <a:blip r:embed="rId44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0" w:type="auto"/>
            <w:noWrap/>
            <w:hideMark/>
          </w:tcPr>
          <w:p w:rsidR="007459B2" w:rsidRPr="00872FD2" w:rsidRDefault="007459B2" w:rsidP="005A464E">
            <w:pPr>
              <w:spacing w:line="360" w:lineRule="auto"/>
              <w:rPr>
                <w:rFonts w:asciiTheme="minorHAnsi" w:eastAsiaTheme="minorHAnsi" w:hAnsiTheme="minorHAnsi" w:cs="Arial"/>
                <w:color w:val="222222"/>
                <w:szCs w:val="24"/>
              </w:rPr>
            </w:pPr>
          </w:p>
        </w:tc>
        <w:tc>
          <w:tcPr>
            <w:tcW w:w="0" w:type="auto"/>
            <w:vMerge w:val="restart"/>
            <w:noWrap/>
            <w:hideMark/>
          </w:tcPr>
          <w:p w:rsidR="007459B2" w:rsidRPr="00872FD2" w:rsidRDefault="00464728" w:rsidP="005A464E">
            <w:pPr>
              <w:spacing w:line="360" w:lineRule="auto"/>
              <w:rPr>
                <w:rFonts w:asciiTheme="minorHAnsi" w:eastAsiaTheme="minorHAnsi" w:hAnsiTheme="minorHAnsi" w:cs="Arial"/>
                <w:b/>
                <w:bCs/>
                <w:color w:val="444444"/>
                <w:sz w:val="15"/>
                <w:szCs w:val="15"/>
              </w:rPr>
            </w:pPr>
            <w:r>
              <w:rPr>
                <w:rFonts w:asciiTheme="minorHAnsi" w:eastAsiaTheme="minorHAnsi" w:hAnsiTheme="minorHAnsi" w:cs="Arial"/>
                <w:b/>
                <w:noProof/>
                <w:color w:val="444444"/>
                <w:sz w:val="15"/>
                <w:szCs w:val="15"/>
                <w:lang w:eastAsia="el-GR"/>
              </w:rPr>
              <w:drawing>
                <wp:inline distT="0" distB="0" distL="0" distR="0">
                  <wp:extent cx="9525" cy="9525"/>
                  <wp:effectExtent l="0" t="0" r="0" b="0"/>
                  <wp:docPr id="41" name="Εικόνα 41"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mail.google.com/mail/u/0/images/cleardot.gif"/>
                          <pic:cNvPicPr>
                            <a:picLocks noChangeAspect="1" noChangeArrowheads="1"/>
                          </pic:cNvPicPr>
                        </pic:nvPicPr>
                        <pic:blipFill>
                          <a:blip r:embed="rId445"/>
                          <a:srcRect/>
                          <a:stretch>
                            <a:fillRect/>
                          </a:stretch>
                        </pic:blipFill>
                        <pic:spPr bwMode="auto">
                          <a:xfrm>
                            <a:off x="0" y="0"/>
                            <a:ext cx="9525" cy="9525"/>
                          </a:xfrm>
                          <a:prstGeom prst="rect">
                            <a:avLst/>
                          </a:prstGeom>
                          <a:noFill/>
                          <a:ln w="9525">
                            <a:noFill/>
                            <a:miter lim="800000"/>
                            <a:headEnd/>
                            <a:tailEnd/>
                          </a:ln>
                        </pic:spPr>
                      </pic:pic>
                    </a:graphicData>
                  </a:graphic>
                </wp:inline>
              </w:drawing>
            </w:r>
          </w:p>
          <w:p w:rsidR="007459B2" w:rsidRPr="00872FD2" w:rsidRDefault="00464728" w:rsidP="005A464E">
            <w:pPr>
              <w:spacing w:line="360" w:lineRule="auto"/>
              <w:rPr>
                <w:rFonts w:asciiTheme="minorHAnsi" w:eastAsiaTheme="minorHAnsi" w:hAnsiTheme="minorHAnsi" w:cs="Arial"/>
                <w:b/>
                <w:bCs/>
                <w:color w:val="444444"/>
                <w:sz w:val="15"/>
                <w:szCs w:val="15"/>
              </w:rPr>
            </w:pPr>
            <w:r>
              <w:rPr>
                <w:rFonts w:asciiTheme="minorHAnsi" w:eastAsiaTheme="minorHAnsi" w:hAnsiTheme="minorHAnsi" w:cs="Arial"/>
                <w:b/>
                <w:noProof/>
                <w:color w:val="444444"/>
                <w:sz w:val="15"/>
                <w:szCs w:val="15"/>
                <w:lang w:eastAsia="el-GR"/>
              </w:rPr>
              <w:drawing>
                <wp:inline distT="0" distB="0" distL="0" distR="0">
                  <wp:extent cx="9525" cy="9525"/>
                  <wp:effectExtent l="0" t="0" r="0" b="0"/>
                  <wp:docPr id="42" name="Εικόνα 42"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mail.google.com/mail/u/0/images/cleardot.gif"/>
                          <pic:cNvPicPr>
                            <a:picLocks noChangeAspect="1" noChangeArrowheads="1"/>
                          </pic:cNvPicPr>
                        </pic:nvPicPr>
                        <pic:blipFill>
                          <a:blip r:embed="rId44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7459B2" w:rsidRPr="00872FD2" w:rsidTr="007459B2">
        <w:trPr>
          <w:trHeight w:val="222"/>
        </w:trPr>
        <w:tc>
          <w:tcPr>
            <w:tcW w:w="0" w:type="auto"/>
            <w:gridSpan w:val="3"/>
            <w:vAlign w:val="center"/>
            <w:hideMark/>
          </w:tcPr>
          <w:tbl>
            <w:tblPr>
              <w:tblW w:w="7099" w:type="dxa"/>
              <w:tblCellMar>
                <w:left w:w="0" w:type="dxa"/>
                <w:right w:w="0" w:type="dxa"/>
              </w:tblCellMar>
              <w:tblLook w:val="04A0"/>
            </w:tblPr>
            <w:tblGrid>
              <w:gridCol w:w="7099"/>
            </w:tblGrid>
            <w:tr w:rsidR="007459B2" w:rsidRPr="00872FD2">
              <w:tc>
                <w:tcPr>
                  <w:tcW w:w="0" w:type="auto"/>
                  <w:noWrap/>
                  <w:vAlign w:val="center"/>
                  <w:hideMark/>
                </w:tcPr>
                <w:p w:rsidR="007459B2" w:rsidRPr="00872FD2" w:rsidRDefault="007459B2" w:rsidP="005A464E">
                  <w:pPr>
                    <w:spacing w:line="360" w:lineRule="auto"/>
                    <w:rPr>
                      <w:rFonts w:asciiTheme="minorHAnsi" w:eastAsiaTheme="minorHAnsi" w:hAnsiTheme="minorHAnsi" w:cs="Arial"/>
                    </w:rPr>
                  </w:pPr>
                  <w:r w:rsidRPr="00872FD2">
                    <w:rPr>
                      <w:rStyle w:val="hb"/>
                      <w:rFonts w:asciiTheme="minorHAnsi" w:eastAsiaTheme="minorHAnsi" w:hAnsiTheme="minorHAnsi" w:cs="Arial"/>
                      <w:color w:val="777777"/>
                    </w:rPr>
                    <w:t>προς</w:t>
                  </w:r>
                  <w:r w:rsidRPr="00872FD2">
                    <w:rPr>
                      <w:rStyle w:val="apple-converted-space"/>
                      <w:rFonts w:asciiTheme="minorHAnsi" w:eastAsiaTheme="minorHAnsi" w:hAnsiTheme="minorHAnsi" w:cs="Arial"/>
                      <w:color w:val="777777"/>
                    </w:rPr>
                    <w:t> </w:t>
                  </w:r>
                  <w:r w:rsidRPr="00872FD2">
                    <w:rPr>
                      <w:rStyle w:val="g2"/>
                      <w:rFonts w:asciiTheme="minorHAnsi" w:eastAsiaTheme="minorHAnsi" w:hAnsiTheme="minorHAnsi" w:cs="Arial"/>
                      <w:color w:val="777777"/>
                    </w:rPr>
                    <w:t>Εμένα</w:t>
                  </w:r>
                </w:p>
                <w:p w:rsidR="007459B2" w:rsidRPr="00872FD2" w:rsidRDefault="00464728" w:rsidP="005A464E">
                  <w:pPr>
                    <w:spacing w:line="360" w:lineRule="auto"/>
                    <w:textAlignment w:val="top"/>
                    <w:rPr>
                      <w:rFonts w:asciiTheme="minorHAnsi" w:eastAsiaTheme="minorHAnsi" w:hAnsiTheme="minorHAnsi" w:cs="Arial"/>
                      <w:sz w:val="24"/>
                      <w:szCs w:val="24"/>
                    </w:rPr>
                  </w:pPr>
                  <w:r>
                    <w:rPr>
                      <w:rFonts w:asciiTheme="minorHAnsi" w:eastAsiaTheme="minorHAnsi" w:hAnsiTheme="minorHAnsi" w:cs="Arial"/>
                      <w:noProof/>
                      <w:lang w:eastAsia="el-GR"/>
                    </w:rPr>
                    <w:drawing>
                      <wp:inline distT="0" distB="0" distL="0" distR="0">
                        <wp:extent cx="9525" cy="9525"/>
                        <wp:effectExtent l="0" t="0" r="0" b="0"/>
                        <wp:docPr id="43" name="Εικόνα 43"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mail.google.com/mail/u/0/images/cleardot.gif"/>
                                <pic:cNvPicPr>
                                  <a:picLocks noChangeAspect="1" noChangeArrowheads="1"/>
                                </pic:cNvPicPr>
                              </pic:nvPicPr>
                              <pic:blipFill>
                                <a:blip r:embed="rId445"/>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bl>
          <w:p w:rsidR="007459B2" w:rsidRPr="00872FD2" w:rsidRDefault="007459B2" w:rsidP="005A464E">
            <w:pPr>
              <w:spacing w:line="360" w:lineRule="auto"/>
              <w:rPr>
                <w:rFonts w:asciiTheme="minorHAnsi" w:eastAsiaTheme="minorHAnsi" w:hAnsiTheme="minorHAnsi" w:cs="Arial"/>
                <w:sz w:val="24"/>
                <w:szCs w:val="24"/>
              </w:rPr>
            </w:pPr>
          </w:p>
        </w:tc>
        <w:tc>
          <w:tcPr>
            <w:tcW w:w="0" w:type="auto"/>
            <w:vMerge/>
            <w:vAlign w:val="center"/>
            <w:hideMark/>
          </w:tcPr>
          <w:p w:rsidR="007459B2" w:rsidRPr="00872FD2" w:rsidRDefault="007459B2" w:rsidP="005A464E">
            <w:pPr>
              <w:spacing w:line="360" w:lineRule="auto"/>
              <w:rPr>
                <w:rFonts w:asciiTheme="minorHAnsi" w:eastAsiaTheme="minorHAnsi" w:hAnsiTheme="minorHAnsi" w:cs="Arial"/>
                <w:b/>
                <w:bCs/>
                <w:color w:val="444444"/>
                <w:sz w:val="15"/>
                <w:szCs w:val="15"/>
              </w:rPr>
            </w:pPr>
          </w:p>
        </w:tc>
      </w:tr>
    </w:tbl>
    <w:p w:rsidR="007459B2" w:rsidRPr="005A464E" w:rsidRDefault="007459B2" w:rsidP="005A464E">
      <w:pPr>
        <w:shd w:val="clear" w:color="auto" w:fill="FFFFFF"/>
        <w:spacing w:line="360" w:lineRule="auto"/>
        <w:rPr>
          <w:rFonts w:cs="Arial"/>
          <w:color w:val="222222"/>
          <w:sz w:val="18"/>
          <w:szCs w:val="18"/>
        </w:rPr>
      </w:pPr>
      <w:r w:rsidRPr="005A464E">
        <w:rPr>
          <w:rFonts w:cs="Arial"/>
          <w:color w:val="222222"/>
          <w:sz w:val="18"/>
          <w:szCs w:val="18"/>
        </w:rPr>
        <w:t>Αγαπητή κ. Αλικάρη,</w:t>
      </w:r>
    </w:p>
    <w:p w:rsidR="007459B2" w:rsidRPr="005A464E" w:rsidRDefault="007459B2" w:rsidP="005A464E">
      <w:pPr>
        <w:shd w:val="clear" w:color="auto" w:fill="FFFFFF"/>
        <w:spacing w:line="360" w:lineRule="auto"/>
        <w:rPr>
          <w:rFonts w:cs="Arial"/>
          <w:color w:val="222222"/>
          <w:sz w:val="18"/>
          <w:szCs w:val="18"/>
        </w:rPr>
      </w:pPr>
      <w:r w:rsidRPr="005A464E">
        <w:rPr>
          <w:rFonts w:cs="Arial"/>
          <w:color w:val="222222"/>
          <w:sz w:val="18"/>
          <w:szCs w:val="18"/>
        </w:rPr>
        <w:t>Σας ευχαριστώ για το ενδιαφέρον σας. Σας στέλνω τη σχετική φόρμα συμπλήρωσης του αιτήματός σας καθώς και υλικό που αφορά στον εν λόγω εργαλείο.</w:t>
      </w:r>
    </w:p>
    <w:p w:rsidR="007459B2" w:rsidRPr="005A464E" w:rsidRDefault="007459B2" w:rsidP="005A464E">
      <w:pPr>
        <w:shd w:val="clear" w:color="auto" w:fill="FFFFFF"/>
        <w:spacing w:line="360" w:lineRule="auto"/>
        <w:rPr>
          <w:rFonts w:cs="Arial"/>
          <w:color w:val="222222"/>
          <w:sz w:val="18"/>
          <w:szCs w:val="18"/>
        </w:rPr>
      </w:pPr>
      <w:r w:rsidRPr="005A464E">
        <w:rPr>
          <w:rFonts w:cs="Arial"/>
          <w:color w:val="222222"/>
          <w:sz w:val="18"/>
          <w:szCs w:val="18"/>
        </w:rPr>
        <w:t>Με εκτίμηση,</w:t>
      </w:r>
    </w:p>
    <w:p w:rsidR="004556DA" w:rsidRPr="00566CAA" w:rsidRDefault="00DC3127" w:rsidP="005A464E">
      <w:pPr>
        <w:shd w:val="clear" w:color="auto" w:fill="FFFFFF"/>
        <w:spacing w:line="360" w:lineRule="auto"/>
        <w:rPr>
          <w:rFonts w:cs="Arial"/>
          <w:color w:val="222222"/>
          <w:sz w:val="18"/>
          <w:szCs w:val="18"/>
        </w:rPr>
      </w:pPr>
      <w:r w:rsidRPr="005A464E">
        <w:rPr>
          <w:rFonts w:cs="Arial"/>
          <w:color w:val="222222"/>
          <w:sz w:val="18"/>
          <w:szCs w:val="18"/>
        </w:rPr>
        <w:t>Δρ. Παρασκευή Θεοφίλου</w:t>
      </w:r>
    </w:p>
    <w:p w:rsidR="009952DF" w:rsidRPr="005A464E" w:rsidRDefault="009952DF" w:rsidP="006269EC">
      <w:pPr>
        <w:spacing w:after="120" w:line="360" w:lineRule="auto"/>
        <w:rPr>
          <w:rFonts w:eastAsia="Times New Roman"/>
          <w:b/>
          <w:bCs/>
          <w:sz w:val="24"/>
          <w:szCs w:val="24"/>
          <w:lang w:eastAsia="el-GR"/>
        </w:rPr>
      </w:pPr>
    </w:p>
    <w:p w:rsidR="009952DF" w:rsidRPr="005A464E" w:rsidRDefault="009952DF" w:rsidP="005A464E">
      <w:pPr>
        <w:spacing w:after="120" w:line="360" w:lineRule="auto"/>
        <w:jc w:val="right"/>
        <w:rPr>
          <w:rFonts w:eastAsia="Times New Roman"/>
          <w:b/>
          <w:bCs/>
          <w:sz w:val="24"/>
          <w:szCs w:val="24"/>
          <w:lang w:eastAsia="el-GR"/>
        </w:rPr>
      </w:pPr>
    </w:p>
    <w:p w:rsidR="00DC3127" w:rsidRPr="005A464E" w:rsidRDefault="00DC3127" w:rsidP="005A464E">
      <w:pPr>
        <w:spacing w:after="120" w:line="360" w:lineRule="auto"/>
        <w:jc w:val="right"/>
        <w:rPr>
          <w:rFonts w:eastAsia="Times New Roman"/>
          <w:b/>
          <w:bCs/>
          <w:sz w:val="24"/>
          <w:szCs w:val="24"/>
          <w:lang w:eastAsia="el-GR"/>
        </w:rPr>
      </w:pPr>
    </w:p>
    <w:p w:rsidR="00DC3127" w:rsidRPr="005A464E" w:rsidRDefault="00DC3127" w:rsidP="005A464E">
      <w:pPr>
        <w:spacing w:after="120" w:line="360" w:lineRule="auto"/>
        <w:jc w:val="right"/>
        <w:rPr>
          <w:rFonts w:eastAsia="Times New Roman"/>
          <w:b/>
          <w:bCs/>
          <w:sz w:val="24"/>
          <w:szCs w:val="24"/>
          <w:lang w:eastAsia="el-GR"/>
        </w:rPr>
      </w:pPr>
    </w:p>
    <w:p w:rsidR="00DC3127" w:rsidRPr="005A464E" w:rsidRDefault="00DC3127" w:rsidP="005A464E">
      <w:pPr>
        <w:spacing w:after="120" w:line="360" w:lineRule="auto"/>
        <w:jc w:val="right"/>
        <w:rPr>
          <w:rFonts w:eastAsia="Times New Roman"/>
          <w:b/>
          <w:bCs/>
          <w:sz w:val="24"/>
          <w:szCs w:val="24"/>
          <w:lang w:eastAsia="el-GR"/>
        </w:rPr>
      </w:pPr>
    </w:p>
    <w:p w:rsidR="00DC3127" w:rsidRPr="005A464E" w:rsidRDefault="00DC3127" w:rsidP="005A464E">
      <w:pPr>
        <w:spacing w:after="120" w:line="360" w:lineRule="auto"/>
        <w:jc w:val="right"/>
        <w:rPr>
          <w:rFonts w:eastAsia="Times New Roman"/>
          <w:b/>
          <w:bCs/>
          <w:sz w:val="24"/>
          <w:szCs w:val="24"/>
          <w:lang w:eastAsia="el-GR"/>
        </w:rPr>
      </w:pPr>
    </w:p>
    <w:p w:rsidR="00DC3127" w:rsidRPr="005A464E" w:rsidRDefault="00DC3127" w:rsidP="005A464E">
      <w:pPr>
        <w:spacing w:after="120" w:line="360" w:lineRule="auto"/>
        <w:jc w:val="right"/>
        <w:rPr>
          <w:rFonts w:eastAsia="Times New Roman"/>
          <w:b/>
          <w:bCs/>
          <w:sz w:val="24"/>
          <w:szCs w:val="24"/>
          <w:lang w:val="en-US" w:eastAsia="el-GR"/>
        </w:rPr>
      </w:pPr>
    </w:p>
    <w:p w:rsidR="00DC3127" w:rsidRPr="005A464E" w:rsidRDefault="00DC3127" w:rsidP="005A464E">
      <w:pPr>
        <w:spacing w:after="120" w:line="360" w:lineRule="auto"/>
        <w:jc w:val="right"/>
        <w:rPr>
          <w:rFonts w:eastAsia="Times New Roman"/>
          <w:b/>
          <w:bCs/>
          <w:sz w:val="24"/>
          <w:szCs w:val="24"/>
          <w:lang w:eastAsia="el-GR"/>
        </w:rPr>
      </w:pPr>
    </w:p>
    <w:p w:rsidR="00DC3127" w:rsidRPr="005A464E" w:rsidRDefault="00DC3127" w:rsidP="005A464E">
      <w:pPr>
        <w:spacing w:after="120" w:line="360" w:lineRule="auto"/>
        <w:jc w:val="right"/>
        <w:rPr>
          <w:rFonts w:eastAsia="Times New Roman"/>
          <w:b/>
          <w:bCs/>
          <w:sz w:val="24"/>
          <w:szCs w:val="24"/>
          <w:lang w:eastAsia="el-GR"/>
        </w:rPr>
      </w:pPr>
    </w:p>
    <w:p w:rsidR="009A0E1B" w:rsidRPr="005A464E" w:rsidRDefault="009A0E1B" w:rsidP="005A464E">
      <w:pPr>
        <w:spacing w:after="120" w:line="360" w:lineRule="auto"/>
        <w:jc w:val="both"/>
        <w:rPr>
          <w:rFonts w:eastAsia="Times New Roman"/>
          <w:b/>
          <w:bCs/>
          <w:sz w:val="24"/>
          <w:szCs w:val="24"/>
          <w:lang w:val="en-US" w:eastAsia="el-GR"/>
        </w:rPr>
      </w:pPr>
    </w:p>
    <w:p w:rsidR="009A0E1B" w:rsidRPr="005A464E" w:rsidRDefault="009A0E1B" w:rsidP="005A464E">
      <w:pPr>
        <w:spacing w:after="120" w:line="360" w:lineRule="auto"/>
        <w:jc w:val="both"/>
        <w:rPr>
          <w:rFonts w:eastAsia="Times New Roman"/>
          <w:b/>
          <w:bCs/>
          <w:sz w:val="24"/>
          <w:szCs w:val="24"/>
          <w:lang w:val="en-US" w:eastAsia="el-GR"/>
        </w:rPr>
      </w:pPr>
    </w:p>
    <w:p w:rsidR="009A0E1B" w:rsidRPr="005A464E" w:rsidRDefault="00464728" w:rsidP="005A464E">
      <w:pPr>
        <w:spacing w:after="120" w:line="360" w:lineRule="auto"/>
        <w:jc w:val="both"/>
        <w:rPr>
          <w:rFonts w:eastAsia="Times New Roman"/>
          <w:b/>
          <w:bCs/>
          <w:sz w:val="24"/>
          <w:szCs w:val="24"/>
          <w:lang w:val="en-US" w:eastAsia="el-GR"/>
        </w:rPr>
      </w:pPr>
      <w:r>
        <w:rPr>
          <w:rFonts w:eastAsia="Times New Roman"/>
          <w:b/>
          <w:bCs/>
          <w:noProof/>
          <w:sz w:val="24"/>
          <w:szCs w:val="24"/>
          <w:lang w:eastAsia="el-GR"/>
        </w:rPr>
        <w:drawing>
          <wp:anchor distT="0" distB="0" distL="114300" distR="114300" simplePos="0" relativeHeight="251657216" behindDoc="0" locked="0" layoutInCell="1" allowOverlap="1">
            <wp:simplePos x="0" y="0"/>
            <wp:positionH relativeFrom="column">
              <wp:posOffset>682625</wp:posOffset>
            </wp:positionH>
            <wp:positionV relativeFrom="paragraph">
              <wp:posOffset>-38100</wp:posOffset>
            </wp:positionV>
            <wp:extent cx="3953510" cy="5278120"/>
            <wp:effectExtent l="19050" t="0" r="8890" b="0"/>
            <wp:wrapTopAndBottom/>
            <wp:docPr id="50" name="Εικόνα 1" descr="15978468_1203433893068189_86137478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 descr="15978468_1203433893068189_86137478_n"/>
                    <pic:cNvPicPr>
                      <a:picLocks noChangeAspect="1" noChangeArrowheads="1"/>
                    </pic:cNvPicPr>
                  </pic:nvPicPr>
                  <pic:blipFill>
                    <a:blip r:embed="rId450" cstate="print"/>
                    <a:srcRect/>
                    <a:stretch>
                      <a:fillRect/>
                    </a:stretch>
                  </pic:blipFill>
                  <pic:spPr bwMode="auto">
                    <a:xfrm>
                      <a:off x="0" y="0"/>
                      <a:ext cx="3953510" cy="5278120"/>
                    </a:xfrm>
                    <a:prstGeom prst="rect">
                      <a:avLst/>
                    </a:prstGeom>
                    <a:noFill/>
                  </pic:spPr>
                </pic:pic>
              </a:graphicData>
            </a:graphic>
          </wp:anchor>
        </w:drawing>
      </w:r>
    </w:p>
    <w:p w:rsidR="00DC3127" w:rsidRPr="005A464E" w:rsidRDefault="00DC3127" w:rsidP="005A464E">
      <w:pPr>
        <w:spacing w:after="120" w:line="360" w:lineRule="auto"/>
        <w:jc w:val="both"/>
        <w:rPr>
          <w:rFonts w:eastAsia="Times New Roman"/>
          <w:b/>
          <w:bCs/>
          <w:sz w:val="24"/>
          <w:szCs w:val="24"/>
          <w:lang w:eastAsia="el-GR"/>
        </w:rPr>
      </w:pPr>
    </w:p>
    <w:p w:rsidR="009952DF" w:rsidRPr="005A464E" w:rsidRDefault="009952DF" w:rsidP="005A464E">
      <w:pPr>
        <w:spacing w:after="120" w:line="360" w:lineRule="auto"/>
        <w:jc w:val="both"/>
        <w:rPr>
          <w:rFonts w:eastAsia="Times New Roman"/>
          <w:sz w:val="24"/>
          <w:szCs w:val="24"/>
          <w:lang w:eastAsia="el-GR"/>
        </w:rPr>
      </w:pPr>
    </w:p>
    <w:p w:rsidR="00C605A3" w:rsidRPr="005A464E" w:rsidRDefault="00C605A3" w:rsidP="005A464E">
      <w:pPr>
        <w:spacing w:line="360" w:lineRule="auto"/>
        <w:jc w:val="both"/>
        <w:rPr>
          <w:rFonts w:eastAsia="Times New Roman"/>
          <w:sz w:val="24"/>
          <w:szCs w:val="24"/>
          <w:lang w:val="en-US" w:eastAsia="el-GR"/>
        </w:rPr>
      </w:pPr>
    </w:p>
    <w:p w:rsidR="009A0E1B" w:rsidRPr="005A464E" w:rsidRDefault="009A0E1B" w:rsidP="005A464E">
      <w:pPr>
        <w:spacing w:line="360" w:lineRule="auto"/>
        <w:jc w:val="both"/>
        <w:rPr>
          <w:rFonts w:eastAsia="Times New Roman"/>
          <w:sz w:val="24"/>
          <w:szCs w:val="24"/>
          <w:lang w:val="en-US" w:eastAsia="el-GR"/>
        </w:rPr>
      </w:pPr>
    </w:p>
    <w:p w:rsidR="009A0E1B" w:rsidRPr="005A464E" w:rsidRDefault="009A0E1B" w:rsidP="005A464E">
      <w:pPr>
        <w:spacing w:line="360" w:lineRule="auto"/>
        <w:jc w:val="both"/>
        <w:rPr>
          <w:rFonts w:eastAsia="Times New Roman"/>
          <w:sz w:val="24"/>
          <w:szCs w:val="24"/>
          <w:lang w:val="en-US" w:eastAsia="el-GR"/>
        </w:rPr>
      </w:pPr>
    </w:p>
    <w:p w:rsidR="009A0E1B" w:rsidRPr="005A464E" w:rsidRDefault="009A0E1B" w:rsidP="005A464E">
      <w:pPr>
        <w:spacing w:line="360" w:lineRule="auto"/>
        <w:jc w:val="both"/>
        <w:rPr>
          <w:rFonts w:eastAsia="Times New Roman"/>
          <w:sz w:val="24"/>
          <w:szCs w:val="24"/>
          <w:lang w:val="en-US" w:eastAsia="el-GR"/>
        </w:rPr>
      </w:pPr>
    </w:p>
    <w:p w:rsidR="009A0E1B" w:rsidRPr="005A464E" w:rsidRDefault="009A0E1B" w:rsidP="005A464E">
      <w:pPr>
        <w:spacing w:line="360" w:lineRule="auto"/>
        <w:jc w:val="both"/>
        <w:rPr>
          <w:rFonts w:eastAsia="Times New Roman"/>
          <w:sz w:val="24"/>
          <w:szCs w:val="24"/>
          <w:lang w:val="en-US" w:eastAsia="el-GR"/>
        </w:rPr>
      </w:pPr>
    </w:p>
    <w:p w:rsidR="009A0E1B" w:rsidRPr="005A464E" w:rsidRDefault="00464728" w:rsidP="005A464E">
      <w:pPr>
        <w:spacing w:line="360" w:lineRule="auto"/>
        <w:jc w:val="both"/>
        <w:rPr>
          <w:rFonts w:eastAsia="Times New Roman"/>
          <w:sz w:val="24"/>
          <w:szCs w:val="24"/>
          <w:lang w:val="en-US" w:eastAsia="el-GR"/>
        </w:rPr>
      </w:pPr>
      <w:r>
        <w:rPr>
          <w:rFonts w:eastAsia="Times New Roman"/>
          <w:noProof/>
          <w:sz w:val="24"/>
          <w:szCs w:val="24"/>
          <w:lang w:eastAsia="el-GR"/>
        </w:rPr>
        <w:drawing>
          <wp:inline distT="0" distB="0" distL="0" distR="0">
            <wp:extent cx="5276850" cy="7248525"/>
            <wp:effectExtent l="19050" t="0" r="0" b="0"/>
            <wp:docPr id="44" name="Εικόνα 1" descr="μολαο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 descr="μολαοι"/>
                    <pic:cNvPicPr>
                      <a:picLocks noChangeAspect="1" noChangeArrowheads="1"/>
                    </pic:cNvPicPr>
                  </pic:nvPicPr>
                  <pic:blipFill>
                    <a:blip r:embed="rId451" cstate="print"/>
                    <a:srcRect/>
                    <a:stretch>
                      <a:fillRect/>
                    </a:stretch>
                  </pic:blipFill>
                  <pic:spPr bwMode="auto">
                    <a:xfrm>
                      <a:off x="0" y="0"/>
                      <a:ext cx="5276850" cy="7248525"/>
                    </a:xfrm>
                    <a:prstGeom prst="rect">
                      <a:avLst/>
                    </a:prstGeom>
                    <a:noFill/>
                    <a:ln w="9525">
                      <a:noFill/>
                      <a:miter lim="800000"/>
                      <a:headEnd/>
                      <a:tailEnd/>
                    </a:ln>
                  </pic:spPr>
                </pic:pic>
              </a:graphicData>
            </a:graphic>
          </wp:inline>
        </w:drawing>
      </w:r>
    </w:p>
    <w:p w:rsidR="007804F7" w:rsidRPr="005A464E" w:rsidRDefault="00464728" w:rsidP="005A464E">
      <w:pPr>
        <w:spacing w:line="360" w:lineRule="auto"/>
        <w:jc w:val="both"/>
        <w:rPr>
          <w:rFonts w:eastAsia="Times New Roman"/>
          <w:sz w:val="24"/>
          <w:szCs w:val="24"/>
          <w:lang w:val="en-US" w:eastAsia="el-GR"/>
        </w:rPr>
      </w:pPr>
      <w:r>
        <w:rPr>
          <w:rFonts w:eastAsia="Times New Roman"/>
          <w:noProof/>
          <w:sz w:val="24"/>
          <w:szCs w:val="24"/>
          <w:lang w:eastAsia="el-GR"/>
        </w:rPr>
        <w:drawing>
          <wp:inline distT="0" distB="0" distL="0" distR="0">
            <wp:extent cx="5276850" cy="7248525"/>
            <wp:effectExtent l="19050" t="0" r="0" b="0"/>
            <wp:docPr id="45" name="Εικόνα 5" descr="ευαγγελιστρια επιστημονικ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5" descr="ευαγγελιστρια επιστημονικο"/>
                    <pic:cNvPicPr>
                      <a:picLocks noChangeAspect="1" noChangeArrowheads="1"/>
                    </pic:cNvPicPr>
                  </pic:nvPicPr>
                  <pic:blipFill>
                    <a:blip r:embed="rId452" cstate="print"/>
                    <a:srcRect/>
                    <a:stretch>
                      <a:fillRect/>
                    </a:stretch>
                  </pic:blipFill>
                  <pic:spPr bwMode="auto">
                    <a:xfrm rot="10800000">
                      <a:off x="0" y="0"/>
                      <a:ext cx="5276850" cy="7248525"/>
                    </a:xfrm>
                    <a:prstGeom prst="rect">
                      <a:avLst/>
                    </a:prstGeom>
                    <a:noFill/>
                    <a:ln w="9525">
                      <a:noFill/>
                      <a:miter lim="800000"/>
                      <a:headEnd/>
                      <a:tailEnd/>
                    </a:ln>
                  </pic:spPr>
                </pic:pic>
              </a:graphicData>
            </a:graphic>
          </wp:inline>
        </w:drawing>
      </w:r>
    </w:p>
    <w:p w:rsidR="009A0E1B" w:rsidRPr="005A464E" w:rsidRDefault="00464728" w:rsidP="005A464E">
      <w:pPr>
        <w:spacing w:line="360" w:lineRule="auto"/>
        <w:jc w:val="both"/>
        <w:rPr>
          <w:rFonts w:eastAsia="Times New Roman"/>
          <w:sz w:val="24"/>
          <w:szCs w:val="24"/>
          <w:lang w:val="en-US" w:eastAsia="el-GR"/>
        </w:rPr>
      </w:pPr>
      <w:r>
        <w:rPr>
          <w:rFonts w:eastAsia="Times New Roman"/>
          <w:noProof/>
          <w:sz w:val="24"/>
          <w:szCs w:val="24"/>
          <w:lang w:eastAsia="el-GR"/>
        </w:rPr>
        <w:drawing>
          <wp:inline distT="0" distB="0" distL="0" distR="0">
            <wp:extent cx="5276850" cy="7248525"/>
            <wp:effectExtent l="19050" t="0" r="0" b="0"/>
            <wp:docPr id="46" name="Εικόνα 2" descr="ιλιο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 descr="ιλιον"/>
                    <pic:cNvPicPr>
                      <a:picLocks noChangeAspect="1" noChangeArrowheads="1"/>
                    </pic:cNvPicPr>
                  </pic:nvPicPr>
                  <pic:blipFill>
                    <a:blip r:embed="rId453" cstate="print"/>
                    <a:srcRect/>
                    <a:stretch>
                      <a:fillRect/>
                    </a:stretch>
                  </pic:blipFill>
                  <pic:spPr bwMode="auto">
                    <a:xfrm flipH="1" flipV="1">
                      <a:off x="0" y="0"/>
                      <a:ext cx="5276850" cy="7248525"/>
                    </a:xfrm>
                    <a:prstGeom prst="rect">
                      <a:avLst/>
                    </a:prstGeom>
                    <a:noFill/>
                    <a:ln w="9525">
                      <a:noFill/>
                      <a:miter lim="800000"/>
                      <a:headEnd/>
                      <a:tailEnd/>
                    </a:ln>
                  </pic:spPr>
                </pic:pic>
              </a:graphicData>
            </a:graphic>
          </wp:inline>
        </w:drawing>
      </w:r>
    </w:p>
    <w:p w:rsidR="007804F7" w:rsidRPr="005A464E" w:rsidRDefault="007804F7" w:rsidP="005A464E">
      <w:pPr>
        <w:spacing w:line="360" w:lineRule="auto"/>
        <w:jc w:val="both"/>
        <w:rPr>
          <w:rFonts w:eastAsia="Times New Roman"/>
          <w:sz w:val="24"/>
          <w:szCs w:val="24"/>
          <w:lang w:val="en-US" w:eastAsia="el-GR"/>
        </w:rPr>
      </w:pPr>
    </w:p>
    <w:p w:rsidR="00C605A3" w:rsidRPr="005A464E" w:rsidRDefault="00464728" w:rsidP="005A464E">
      <w:pPr>
        <w:spacing w:line="360" w:lineRule="auto"/>
        <w:jc w:val="both"/>
        <w:rPr>
          <w:rFonts w:eastAsia="Times New Roman"/>
          <w:sz w:val="24"/>
          <w:szCs w:val="24"/>
          <w:lang w:val="en-US" w:eastAsia="el-GR"/>
        </w:rPr>
      </w:pPr>
      <w:r>
        <w:rPr>
          <w:rFonts w:eastAsia="Times New Roman"/>
          <w:noProof/>
          <w:sz w:val="24"/>
          <w:szCs w:val="24"/>
          <w:lang w:eastAsia="el-GR"/>
        </w:rPr>
        <w:drawing>
          <wp:inline distT="0" distB="0" distL="0" distR="0">
            <wp:extent cx="5276850" cy="7248525"/>
            <wp:effectExtent l="19050" t="0" r="0" b="0"/>
            <wp:docPr id="47" name="Εικόνα 6" descr="αρχη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6" descr="αρχη1"/>
                    <pic:cNvPicPr>
                      <a:picLocks noChangeAspect="1" noChangeArrowheads="1"/>
                    </pic:cNvPicPr>
                  </pic:nvPicPr>
                  <pic:blipFill>
                    <a:blip r:embed="rId454" cstate="print"/>
                    <a:srcRect/>
                    <a:stretch>
                      <a:fillRect/>
                    </a:stretch>
                  </pic:blipFill>
                  <pic:spPr bwMode="auto">
                    <a:xfrm rot="10800000">
                      <a:off x="0" y="0"/>
                      <a:ext cx="5276850" cy="7248525"/>
                    </a:xfrm>
                    <a:prstGeom prst="rect">
                      <a:avLst/>
                    </a:prstGeom>
                    <a:noFill/>
                    <a:ln w="9525">
                      <a:noFill/>
                      <a:miter lim="800000"/>
                      <a:headEnd/>
                      <a:tailEnd/>
                    </a:ln>
                  </pic:spPr>
                </pic:pic>
              </a:graphicData>
            </a:graphic>
          </wp:inline>
        </w:drawing>
      </w:r>
    </w:p>
    <w:p w:rsidR="009A0E1B" w:rsidRPr="005A464E" w:rsidRDefault="009A0E1B" w:rsidP="005A464E">
      <w:pPr>
        <w:spacing w:line="360" w:lineRule="auto"/>
        <w:jc w:val="both"/>
        <w:rPr>
          <w:rFonts w:eastAsia="Times New Roman"/>
          <w:sz w:val="24"/>
          <w:szCs w:val="24"/>
          <w:lang w:val="en-US" w:eastAsia="el-GR"/>
        </w:rPr>
      </w:pPr>
    </w:p>
    <w:p w:rsidR="009A0E1B" w:rsidRPr="005A464E" w:rsidRDefault="009A0E1B" w:rsidP="005A464E">
      <w:pPr>
        <w:spacing w:line="360" w:lineRule="auto"/>
        <w:jc w:val="both"/>
        <w:rPr>
          <w:rFonts w:eastAsia="Times New Roman"/>
          <w:sz w:val="24"/>
          <w:szCs w:val="24"/>
          <w:lang w:val="en-US" w:eastAsia="el-GR"/>
        </w:rPr>
      </w:pPr>
    </w:p>
    <w:p w:rsidR="009A0E1B" w:rsidRPr="005A464E" w:rsidRDefault="009A0E1B" w:rsidP="005A464E">
      <w:pPr>
        <w:spacing w:line="360" w:lineRule="auto"/>
        <w:jc w:val="both"/>
        <w:rPr>
          <w:rFonts w:eastAsia="Times New Roman"/>
          <w:sz w:val="24"/>
          <w:szCs w:val="24"/>
          <w:lang w:val="en-US" w:eastAsia="el-GR"/>
        </w:rPr>
      </w:pPr>
    </w:p>
    <w:p w:rsidR="009A0E1B" w:rsidRPr="005A464E" w:rsidRDefault="00464728" w:rsidP="005A464E">
      <w:pPr>
        <w:spacing w:line="360" w:lineRule="auto"/>
        <w:jc w:val="both"/>
        <w:rPr>
          <w:rFonts w:eastAsia="Times New Roman"/>
          <w:sz w:val="24"/>
          <w:szCs w:val="24"/>
          <w:lang w:val="en-US" w:eastAsia="el-GR"/>
        </w:rPr>
      </w:pPr>
      <w:r>
        <w:rPr>
          <w:rFonts w:eastAsia="Times New Roman"/>
          <w:noProof/>
          <w:sz w:val="24"/>
          <w:szCs w:val="24"/>
          <w:lang w:eastAsia="el-GR"/>
        </w:rPr>
        <w:drawing>
          <wp:inline distT="0" distB="0" distL="0" distR="0">
            <wp:extent cx="5276850" cy="7248525"/>
            <wp:effectExtent l="19050" t="0" r="0" b="0"/>
            <wp:docPr id="48" name="Εικόνα 4" descr="αρχη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4" descr="αρχη2"/>
                    <pic:cNvPicPr>
                      <a:picLocks noChangeAspect="1" noChangeArrowheads="1"/>
                    </pic:cNvPicPr>
                  </pic:nvPicPr>
                  <pic:blipFill>
                    <a:blip r:embed="rId455" cstate="print"/>
                    <a:srcRect/>
                    <a:stretch>
                      <a:fillRect/>
                    </a:stretch>
                  </pic:blipFill>
                  <pic:spPr bwMode="auto">
                    <a:xfrm rot="10800000">
                      <a:off x="0" y="0"/>
                      <a:ext cx="5276850" cy="7248525"/>
                    </a:xfrm>
                    <a:prstGeom prst="rect">
                      <a:avLst/>
                    </a:prstGeom>
                    <a:noFill/>
                    <a:ln w="9525">
                      <a:noFill/>
                      <a:miter lim="800000"/>
                      <a:headEnd/>
                      <a:tailEnd/>
                    </a:ln>
                  </pic:spPr>
                </pic:pic>
              </a:graphicData>
            </a:graphic>
          </wp:inline>
        </w:drawing>
      </w:r>
    </w:p>
    <w:p w:rsidR="009A0E1B" w:rsidRPr="005A464E" w:rsidRDefault="009A0E1B" w:rsidP="005A464E">
      <w:pPr>
        <w:spacing w:line="360" w:lineRule="auto"/>
        <w:jc w:val="both"/>
        <w:rPr>
          <w:rFonts w:eastAsia="Times New Roman"/>
          <w:sz w:val="24"/>
          <w:szCs w:val="24"/>
          <w:lang w:val="en-US" w:eastAsia="el-GR"/>
        </w:rPr>
      </w:pPr>
    </w:p>
    <w:p w:rsidR="009A0E1B" w:rsidRPr="005A464E" w:rsidRDefault="00464728" w:rsidP="005A464E">
      <w:pPr>
        <w:spacing w:line="360" w:lineRule="auto"/>
        <w:jc w:val="both"/>
        <w:rPr>
          <w:rFonts w:eastAsia="Times New Roman"/>
          <w:sz w:val="24"/>
          <w:szCs w:val="24"/>
          <w:lang w:val="en-US" w:eastAsia="el-GR"/>
        </w:rPr>
      </w:pPr>
      <w:r>
        <w:rPr>
          <w:rFonts w:eastAsia="Times New Roman"/>
          <w:noProof/>
          <w:sz w:val="24"/>
          <w:szCs w:val="24"/>
          <w:lang w:eastAsia="el-GR"/>
        </w:rPr>
        <w:drawing>
          <wp:inline distT="0" distB="0" distL="0" distR="0">
            <wp:extent cx="5276850" cy="7248525"/>
            <wp:effectExtent l="19050" t="0" r="0" b="0"/>
            <wp:docPr id="49" name="Εικόνα 3" descr="υσ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3" descr="υσε"/>
                    <pic:cNvPicPr>
                      <a:picLocks noChangeAspect="1" noChangeArrowheads="1"/>
                    </pic:cNvPicPr>
                  </pic:nvPicPr>
                  <pic:blipFill>
                    <a:blip r:embed="rId456" cstate="print"/>
                    <a:srcRect/>
                    <a:stretch>
                      <a:fillRect/>
                    </a:stretch>
                  </pic:blipFill>
                  <pic:spPr bwMode="auto">
                    <a:xfrm rot="10800000">
                      <a:off x="0" y="0"/>
                      <a:ext cx="5276850" cy="7248525"/>
                    </a:xfrm>
                    <a:prstGeom prst="rect">
                      <a:avLst/>
                    </a:prstGeom>
                    <a:noFill/>
                    <a:ln w="9525">
                      <a:noFill/>
                      <a:miter lim="800000"/>
                      <a:headEnd/>
                      <a:tailEnd/>
                    </a:ln>
                  </pic:spPr>
                </pic:pic>
              </a:graphicData>
            </a:graphic>
          </wp:inline>
        </w:drawing>
      </w:r>
    </w:p>
    <w:p w:rsidR="009A0E1B" w:rsidRPr="005A464E" w:rsidRDefault="009A0E1B" w:rsidP="005A464E">
      <w:pPr>
        <w:spacing w:line="360" w:lineRule="auto"/>
        <w:jc w:val="both"/>
        <w:rPr>
          <w:rFonts w:eastAsia="Times New Roman"/>
          <w:sz w:val="24"/>
          <w:szCs w:val="24"/>
          <w:lang w:val="en-US" w:eastAsia="el-GR"/>
        </w:rPr>
      </w:pPr>
    </w:p>
    <w:p w:rsidR="006269EC" w:rsidRDefault="006269EC" w:rsidP="006269EC">
      <w:pPr>
        <w:widowControl w:val="0"/>
        <w:autoSpaceDE w:val="0"/>
        <w:autoSpaceDN w:val="0"/>
        <w:adjustRightInd w:val="0"/>
        <w:spacing w:after="0" w:line="360" w:lineRule="auto"/>
        <w:jc w:val="center"/>
        <w:rPr>
          <w:rFonts w:eastAsia="Times New Roman"/>
          <w:b/>
          <w:sz w:val="24"/>
          <w:szCs w:val="24"/>
          <w:lang w:eastAsia="el-GR"/>
        </w:rPr>
      </w:pPr>
    </w:p>
    <w:p w:rsidR="006269EC" w:rsidRDefault="006269EC" w:rsidP="006269EC">
      <w:pPr>
        <w:widowControl w:val="0"/>
        <w:autoSpaceDE w:val="0"/>
        <w:autoSpaceDN w:val="0"/>
        <w:adjustRightInd w:val="0"/>
        <w:spacing w:after="0" w:line="360" w:lineRule="auto"/>
        <w:jc w:val="center"/>
        <w:rPr>
          <w:rFonts w:eastAsia="Times New Roman"/>
          <w:b/>
          <w:sz w:val="24"/>
          <w:szCs w:val="24"/>
          <w:lang w:eastAsia="el-GR"/>
        </w:rPr>
      </w:pPr>
    </w:p>
    <w:p w:rsidR="006269EC" w:rsidRDefault="006269EC" w:rsidP="006269EC">
      <w:pPr>
        <w:widowControl w:val="0"/>
        <w:autoSpaceDE w:val="0"/>
        <w:autoSpaceDN w:val="0"/>
        <w:adjustRightInd w:val="0"/>
        <w:spacing w:after="0" w:line="360" w:lineRule="auto"/>
        <w:jc w:val="center"/>
        <w:rPr>
          <w:rFonts w:eastAsia="Times New Roman"/>
          <w:b/>
          <w:sz w:val="24"/>
          <w:szCs w:val="24"/>
          <w:lang w:eastAsia="el-GR"/>
        </w:rPr>
      </w:pPr>
    </w:p>
    <w:p w:rsidR="006269EC" w:rsidRPr="005A464E" w:rsidRDefault="006269EC" w:rsidP="006269EC">
      <w:pPr>
        <w:widowControl w:val="0"/>
        <w:autoSpaceDE w:val="0"/>
        <w:autoSpaceDN w:val="0"/>
        <w:adjustRightInd w:val="0"/>
        <w:spacing w:after="0" w:line="360" w:lineRule="auto"/>
        <w:jc w:val="center"/>
        <w:rPr>
          <w:rFonts w:eastAsia="Times New Roman"/>
          <w:b/>
          <w:sz w:val="24"/>
          <w:szCs w:val="24"/>
          <w:lang w:eastAsia="el-GR"/>
        </w:rPr>
      </w:pPr>
      <w:r w:rsidRPr="005A464E">
        <w:rPr>
          <w:rFonts w:eastAsia="Times New Roman"/>
          <w:b/>
          <w:sz w:val="24"/>
          <w:szCs w:val="24"/>
          <w:lang w:eastAsia="el-GR"/>
        </w:rPr>
        <w:t xml:space="preserve">ΕΝΤΥΠΟ ΕΝΗΜΕΡΩΣΗΣ </w:t>
      </w:r>
    </w:p>
    <w:p w:rsidR="006269EC" w:rsidRPr="005A464E" w:rsidRDefault="006269EC" w:rsidP="006269EC">
      <w:pPr>
        <w:widowControl w:val="0"/>
        <w:autoSpaceDE w:val="0"/>
        <w:autoSpaceDN w:val="0"/>
        <w:adjustRightInd w:val="0"/>
        <w:spacing w:after="0" w:line="360" w:lineRule="auto"/>
        <w:jc w:val="center"/>
        <w:rPr>
          <w:rFonts w:eastAsia="Times New Roman"/>
          <w:b/>
          <w:sz w:val="24"/>
          <w:szCs w:val="24"/>
          <w:lang w:eastAsia="el-GR"/>
        </w:rPr>
      </w:pPr>
      <w:r w:rsidRPr="005A464E">
        <w:rPr>
          <w:rFonts w:eastAsia="Times New Roman"/>
          <w:b/>
          <w:sz w:val="24"/>
          <w:szCs w:val="24"/>
          <w:lang w:eastAsia="el-GR"/>
        </w:rPr>
        <w:t>Έντυπο ενημέρωσης και συγκατάθεσης των συμμετεχόντων ασθενών στην</w:t>
      </w:r>
    </w:p>
    <w:p w:rsidR="006269EC" w:rsidRPr="005A464E" w:rsidRDefault="006269EC" w:rsidP="006269EC">
      <w:pPr>
        <w:widowControl w:val="0"/>
        <w:autoSpaceDE w:val="0"/>
        <w:autoSpaceDN w:val="0"/>
        <w:adjustRightInd w:val="0"/>
        <w:spacing w:after="0" w:line="360" w:lineRule="auto"/>
        <w:jc w:val="center"/>
        <w:rPr>
          <w:rFonts w:eastAsia="Times New Roman"/>
          <w:b/>
          <w:sz w:val="24"/>
          <w:szCs w:val="24"/>
          <w:lang w:eastAsia="el-GR"/>
        </w:rPr>
      </w:pPr>
      <w:r>
        <w:rPr>
          <w:rFonts w:eastAsia="Times New Roman"/>
          <w:b/>
          <w:sz w:val="24"/>
          <w:szCs w:val="24"/>
          <w:lang w:eastAsia="el-GR"/>
        </w:rPr>
        <w:t>μελέτη</w:t>
      </w:r>
      <w:r w:rsidRPr="005A464E">
        <w:rPr>
          <w:rFonts w:eastAsia="Times New Roman"/>
          <w:b/>
          <w:sz w:val="24"/>
          <w:szCs w:val="24"/>
          <w:lang w:eastAsia="el-GR"/>
        </w:rPr>
        <w:t xml:space="preserve"> στο πλαίσιο της διδακτορικής διατριβής με θέμα:</w:t>
      </w:r>
    </w:p>
    <w:p w:rsidR="006269EC" w:rsidRPr="005A464E" w:rsidRDefault="006269EC" w:rsidP="006269EC">
      <w:pPr>
        <w:spacing w:line="360" w:lineRule="auto"/>
        <w:jc w:val="both"/>
        <w:rPr>
          <w:rFonts w:cs="Arial"/>
          <w:sz w:val="24"/>
          <w:szCs w:val="24"/>
        </w:rPr>
      </w:pPr>
      <w:r w:rsidRPr="005A464E">
        <w:rPr>
          <w:rFonts w:cs="Arial"/>
          <w:sz w:val="24"/>
          <w:szCs w:val="24"/>
        </w:rPr>
        <w:t>«Η επίδραση της συμβουλευτικής Νοσηλευτικής στη μεταβολή του επιπέδου γνώσεων, της ποιότητας ζωής και στη συμμόρφωση ασθενών υπό αιμοκάθαρση στο θεραπευτικό σχήμα».</w:t>
      </w:r>
    </w:p>
    <w:p w:rsidR="006269EC" w:rsidRPr="005A464E" w:rsidRDefault="006269EC" w:rsidP="006269EC">
      <w:pPr>
        <w:spacing w:after="120" w:line="360" w:lineRule="auto"/>
        <w:rPr>
          <w:rFonts w:eastAsia="Times New Roman"/>
          <w:b/>
          <w:bCs/>
          <w:sz w:val="24"/>
          <w:szCs w:val="24"/>
          <w:lang w:eastAsia="el-GR"/>
        </w:rPr>
      </w:pPr>
      <w:r w:rsidRPr="005A464E">
        <w:rPr>
          <w:rFonts w:eastAsia="Times New Roman"/>
          <w:b/>
          <w:sz w:val="24"/>
          <w:szCs w:val="24"/>
          <w:lang w:eastAsia="el-GR"/>
        </w:rPr>
        <w:t>Υποψήφια Διδάκτωρ:</w:t>
      </w:r>
      <w:r w:rsidRPr="005A464E">
        <w:rPr>
          <w:rFonts w:eastAsia="Times New Roman"/>
          <w:sz w:val="24"/>
          <w:szCs w:val="24"/>
          <w:lang w:eastAsia="el-GR"/>
        </w:rPr>
        <w:t xml:space="preserve"> Αλικάρη Βικτώρια</w:t>
      </w:r>
    </w:p>
    <w:p w:rsidR="006269EC" w:rsidRPr="005A464E" w:rsidRDefault="006269EC" w:rsidP="006269EC">
      <w:pPr>
        <w:spacing w:after="120" w:line="360" w:lineRule="auto"/>
        <w:jc w:val="both"/>
        <w:rPr>
          <w:rFonts w:eastAsia="Times New Roman"/>
          <w:sz w:val="24"/>
          <w:szCs w:val="24"/>
          <w:lang w:eastAsia="el-GR"/>
        </w:rPr>
      </w:pPr>
      <w:r w:rsidRPr="005A464E">
        <w:rPr>
          <w:rFonts w:eastAsia="Times New Roman"/>
          <w:b/>
          <w:sz w:val="24"/>
          <w:szCs w:val="24"/>
          <w:lang w:eastAsia="el-GR"/>
        </w:rPr>
        <w:t>Επιβλέπων Καθηγητής</w:t>
      </w:r>
      <w:r w:rsidRPr="005A464E">
        <w:rPr>
          <w:rFonts w:eastAsia="Times New Roman"/>
          <w:sz w:val="24"/>
          <w:szCs w:val="24"/>
          <w:lang w:eastAsia="el-GR"/>
        </w:rPr>
        <w:t>: Σοφία Ζυγά, Αναπληρώτρια Καθηγήτρια Τμήματος Νοσηλευτικής Πανεπιστήμιο Πελοποννήσου</w:t>
      </w:r>
    </w:p>
    <w:p w:rsidR="006269EC" w:rsidRPr="005A464E" w:rsidRDefault="006269EC" w:rsidP="006269EC">
      <w:pPr>
        <w:spacing w:after="120" w:line="360" w:lineRule="auto"/>
        <w:jc w:val="both"/>
        <w:rPr>
          <w:rFonts w:eastAsia="Times New Roman"/>
          <w:sz w:val="24"/>
          <w:szCs w:val="24"/>
          <w:lang w:eastAsia="el-GR"/>
        </w:rPr>
      </w:pPr>
    </w:p>
    <w:p w:rsidR="006269EC" w:rsidRPr="005A464E" w:rsidRDefault="006269EC" w:rsidP="006269EC">
      <w:pPr>
        <w:widowControl w:val="0"/>
        <w:autoSpaceDE w:val="0"/>
        <w:autoSpaceDN w:val="0"/>
        <w:adjustRightInd w:val="0"/>
        <w:spacing w:after="0" w:line="360" w:lineRule="auto"/>
        <w:jc w:val="both"/>
        <w:rPr>
          <w:rFonts w:eastAsia="Times New Roman"/>
          <w:sz w:val="24"/>
          <w:szCs w:val="24"/>
          <w:lang w:eastAsia="el-GR"/>
        </w:rPr>
      </w:pPr>
      <w:r w:rsidRPr="005A464E">
        <w:rPr>
          <w:rFonts w:eastAsia="Times New Roman"/>
          <w:sz w:val="24"/>
          <w:szCs w:val="24"/>
          <w:lang w:eastAsia="el-GR"/>
        </w:rPr>
        <w:t>Αξιότιμη/ε,</w:t>
      </w:r>
    </w:p>
    <w:p w:rsidR="006269EC" w:rsidRPr="005A464E" w:rsidRDefault="006269EC" w:rsidP="006269EC">
      <w:pPr>
        <w:spacing w:line="360" w:lineRule="auto"/>
        <w:jc w:val="both"/>
        <w:rPr>
          <w:rFonts w:cs="Arial"/>
          <w:sz w:val="24"/>
          <w:szCs w:val="24"/>
        </w:rPr>
      </w:pPr>
      <w:r w:rsidRPr="005A464E">
        <w:rPr>
          <w:rFonts w:eastAsia="Times New Roman"/>
          <w:sz w:val="24"/>
          <w:szCs w:val="24"/>
          <w:lang w:eastAsia="el-GR"/>
        </w:rPr>
        <w:t>Ονομάζομαι Αλικάρη Βικτώρια, είμαι απόφοιτος του Τμήματος Νοσηλευτικής του Εθνικού &amp; Καποδιστριακού Πανεπιστημίου Αθηνών και διαθέτω μεταπτυχιακό τίτλο σπουδών στη «Κ</w:t>
      </w:r>
      <w:r w:rsidR="00324A1E">
        <w:rPr>
          <w:rFonts w:eastAsia="Times New Roman"/>
          <w:sz w:val="24"/>
          <w:szCs w:val="24"/>
          <w:lang w:eastAsia="el-GR"/>
        </w:rPr>
        <w:t>λινική Νοσηλευτική- Πρόληψη κα Έλεγχος Λ</w:t>
      </w:r>
      <w:r w:rsidRPr="005A464E">
        <w:rPr>
          <w:rFonts w:eastAsia="Times New Roman"/>
          <w:sz w:val="24"/>
          <w:szCs w:val="24"/>
          <w:lang w:eastAsia="el-GR"/>
        </w:rPr>
        <w:t>οιμώξεων». Εκπονώ τη Διδακτορική μου Διατριβή με θέμα: «</w:t>
      </w:r>
      <w:r w:rsidRPr="005A464E">
        <w:rPr>
          <w:rFonts w:cs="Arial"/>
          <w:sz w:val="24"/>
          <w:szCs w:val="24"/>
        </w:rPr>
        <w:t>«Η επίδραση της συμβουλευτικής Νοσηλευτικής στη μεταβολή του επιπέδου γνώσεων, της ποιότητας ζωής και στη συμμόρφωση ασθενών υπό αιμοκάθαρση στο θεραπευτικό σχήμα»</w:t>
      </w:r>
      <w:r w:rsidRPr="005A464E">
        <w:rPr>
          <w:rFonts w:eastAsia="Times New Roman"/>
          <w:sz w:val="24"/>
          <w:szCs w:val="24"/>
          <w:lang w:eastAsia="el-GR"/>
        </w:rPr>
        <w:t xml:space="preserve"> στο Τμήμα Νοσηλευτικής του Πανεπιστημίου Πελοποννήσου. </w:t>
      </w:r>
    </w:p>
    <w:p w:rsidR="006269EC" w:rsidRPr="005A464E" w:rsidRDefault="006269EC" w:rsidP="006269EC">
      <w:pPr>
        <w:widowControl w:val="0"/>
        <w:autoSpaceDE w:val="0"/>
        <w:autoSpaceDN w:val="0"/>
        <w:adjustRightInd w:val="0"/>
        <w:spacing w:line="360" w:lineRule="auto"/>
        <w:ind w:right="-20"/>
        <w:jc w:val="both"/>
        <w:rPr>
          <w:rFonts w:eastAsia="Times New Roman"/>
          <w:bCs/>
          <w:sz w:val="24"/>
          <w:szCs w:val="24"/>
          <w:lang w:eastAsia="el-GR"/>
        </w:rPr>
      </w:pPr>
      <w:r>
        <w:rPr>
          <w:rFonts w:eastAsia="Times New Roman"/>
          <w:bCs/>
          <w:sz w:val="24"/>
          <w:szCs w:val="24"/>
          <w:lang w:eastAsia="el-GR"/>
        </w:rPr>
        <w:t>Η συμμετοχή σας στη</w:t>
      </w:r>
      <w:r w:rsidRPr="005A464E">
        <w:rPr>
          <w:rFonts w:eastAsia="Times New Roman"/>
          <w:bCs/>
          <w:sz w:val="24"/>
          <w:szCs w:val="24"/>
          <w:lang w:eastAsia="el-GR"/>
        </w:rPr>
        <w:t xml:space="preserve"> </w:t>
      </w:r>
      <w:r>
        <w:rPr>
          <w:rFonts w:eastAsia="Times New Roman"/>
          <w:bCs/>
          <w:sz w:val="24"/>
          <w:szCs w:val="24"/>
          <w:lang w:eastAsia="el-GR"/>
        </w:rPr>
        <w:t>μελέτη</w:t>
      </w:r>
      <w:r w:rsidRPr="005A464E">
        <w:rPr>
          <w:rFonts w:eastAsia="Times New Roman"/>
          <w:bCs/>
          <w:sz w:val="24"/>
          <w:szCs w:val="24"/>
          <w:lang w:eastAsia="el-GR"/>
        </w:rPr>
        <w:t xml:space="preserve"> είναι εθελοντική. Περιλαμβάνει τη συμπλήρωση ανώνυμων ερωτηματολογίων και οι απαντήσεις σας είναι αυστηρά απόρρητες. </w:t>
      </w:r>
    </w:p>
    <w:p w:rsidR="006269EC" w:rsidRPr="005A464E" w:rsidRDefault="006269EC" w:rsidP="006269EC">
      <w:pPr>
        <w:widowControl w:val="0"/>
        <w:autoSpaceDE w:val="0"/>
        <w:autoSpaceDN w:val="0"/>
        <w:adjustRightInd w:val="0"/>
        <w:spacing w:after="0" w:line="360" w:lineRule="auto"/>
        <w:jc w:val="both"/>
        <w:rPr>
          <w:rFonts w:eastAsia="Times New Roman"/>
          <w:sz w:val="24"/>
          <w:szCs w:val="24"/>
          <w:lang w:eastAsia="el-GR"/>
        </w:rPr>
      </w:pPr>
      <w:r w:rsidRPr="005A464E">
        <w:rPr>
          <w:rFonts w:eastAsia="Times New Roman"/>
          <w:sz w:val="24"/>
          <w:szCs w:val="24"/>
          <w:lang w:eastAsia="el-GR"/>
        </w:rPr>
        <w:t>Εκτιμώ ιδιαιτέρως τη συμμετοχή σας και σας ευχαριστώ εκ των προτέρων για την πολύτιμη βοήθειά σας.</w:t>
      </w:r>
    </w:p>
    <w:p w:rsidR="006269EC" w:rsidRPr="005A464E" w:rsidRDefault="006269EC" w:rsidP="006269EC">
      <w:pPr>
        <w:widowControl w:val="0"/>
        <w:autoSpaceDE w:val="0"/>
        <w:autoSpaceDN w:val="0"/>
        <w:adjustRightInd w:val="0"/>
        <w:spacing w:after="0" w:line="360" w:lineRule="auto"/>
        <w:jc w:val="both"/>
        <w:rPr>
          <w:rFonts w:eastAsia="Times New Roman"/>
          <w:sz w:val="24"/>
          <w:szCs w:val="24"/>
          <w:lang w:eastAsia="el-GR"/>
        </w:rPr>
      </w:pPr>
    </w:p>
    <w:p w:rsidR="006269EC" w:rsidRPr="005A464E" w:rsidRDefault="006269EC" w:rsidP="006269EC">
      <w:pPr>
        <w:widowControl w:val="0"/>
        <w:autoSpaceDE w:val="0"/>
        <w:autoSpaceDN w:val="0"/>
        <w:adjustRightInd w:val="0"/>
        <w:spacing w:after="0" w:line="360" w:lineRule="auto"/>
        <w:jc w:val="both"/>
        <w:rPr>
          <w:rFonts w:eastAsia="Times New Roman"/>
          <w:sz w:val="24"/>
          <w:szCs w:val="24"/>
          <w:lang w:eastAsia="el-GR"/>
        </w:rPr>
      </w:pPr>
      <w:r w:rsidRPr="005A464E">
        <w:rPr>
          <w:rFonts w:eastAsia="Times New Roman"/>
          <w:sz w:val="24"/>
          <w:szCs w:val="24"/>
          <w:lang w:eastAsia="el-GR"/>
        </w:rPr>
        <w:t>Με ιδιαίτερη εκτίμηση,</w:t>
      </w:r>
    </w:p>
    <w:p w:rsidR="006269EC" w:rsidRPr="005A464E" w:rsidRDefault="006269EC" w:rsidP="006269EC">
      <w:pPr>
        <w:widowControl w:val="0"/>
        <w:autoSpaceDE w:val="0"/>
        <w:autoSpaceDN w:val="0"/>
        <w:adjustRightInd w:val="0"/>
        <w:spacing w:after="0" w:line="360" w:lineRule="auto"/>
        <w:jc w:val="both"/>
        <w:rPr>
          <w:rFonts w:eastAsia="Times New Roman"/>
          <w:sz w:val="24"/>
          <w:szCs w:val="24"/>
          <w:lang w:eastAsia="el-GR"/>
        </w:rPr>
      </w:pPr>
      <w:r w:rsidRPr="005A464E">
        <w:rPr>
          <w:rFonts w:eastAsia="Times New Roman"/>
          <w:sz w:val="24"/>
          <w:szCs w:val="24"/>
          <w:lang w:eastAsia="el-GR"/>
        </w:rPr>
        <w:t>Αλικάρη Βικτώρια</w:t>
      </w:r>
    </w:p>
    <w:p w:rsidR="006269EC" w:rsidRPr="005A464E" w:rsidRDefault="006269EC" w:rsidP="006269EC">
      <w:pPr>
        <w:spacing w:line="360" w:lineRule="auto"/>
        <w:jc w:val="both"/>
        <w:rPr>
          <w:rFonts w:cs="Arial"/>
          <w:sz w:val="24"/>
          <w:szCs w:val="24"/>
        </w:rPr>
      </w:pPr>
      <w:r w:rsidRPr="005A464E">
        <w:rPr>
          <w:rFonts w:eastAsia="Times New Roman"/>
          <w:sz w:val="24"/>
          <w:szCs w:val="24"/>
          <w:lang w:eastAsia="el-GR"/>
        </w:rPr>
        <w:t xml:space="preserve">Νοσηλεύτρια, Υποψήφια διδάκτωρ, Τμήμα Νοσηλευτικής του Πανεπιστημίου Πελοποννήσου. </w:t>
      </w:r>
    </w:p>
    <w:p w:rsidR="006269EC" w:rsidRPr="005A464E" w:rsidRDefault="006269EC" w:rsidP="006269EC">
      <w:pPr>
        <w:spacing w:line="360" w:lineRule="auto"/>
        <w:jc w:val="both"/>
        <w:rPr>
          <w:rFonts w:cs="Arial"/>
          <w:sz w:val="24"/>
          <w:szCs w:val="24"/>
        </w:rPr>
      </w:pPr>
      <w:r w:rsidRPr="005A464E">
        <w:rPr>
          <w:rFonts w:eastAsia="Times New Roman"/>
          <w:sz w:val="24"/>
          <w:szCs w:val="24"/>
          <w:lang w:eastAsia="el-GR"/>
        </w:rPr>
        <w:t>Τηλ. 6936168825</w:t>
      </w:r>
    </w:p>
    <w:p w:rsidR="006269EC" w:rsidRPr="005A464E" w:rsidRDefault="006269EC" w:rsidP="006269EC">
      <w:pPr>
        <w:widowControl w:val="0"/>
        <w:autoSpaceDE w:val="0"/>
        <w:autoSpaceDN w:val="0"/>
        <w:adjustRightInd w:val="0"/>
        <w:spacing w:after="0" w:line="360" w:lineRule="auto"/>
        <w:jc w:val="both"/>
        <w:rPr>
          <w:rFonts w:eastAsia="Times New Roman"/>
          <w:sz w:val="24"/>
          <w:szCs w:val="24"/>
          <w:lang w:eastAsia="el-GR"/>
        </w:rPr>
      </w:pPr>
      <w:r w:rsidRPr="005A464E">
        <w:rPr>
          <w:rFonts w:eastAsia="Times New Roman"/>
          <w:sz w:val="24"/>
          <w:szCs w:val="24"/>
          <w:lang w:val="en-US" w:eastAsia="el-GR"/>
        </w:rPr>
        <w:t>Email</w:t>
      </w:r>
      <w:r w:rsidRPr="005A464E">
        <w:rPr>
          <w:rFonts w:eastAsia="Times New Roman"/>
          <w:sz w:val="24"/>
          <w:szCs w:val="24"/>
          <w:lang w:eastAsia="el-GR"/>
        </w:rPr>
        <w:t xml:space="preserve">: </w:t>
      </w:r>
      <w:hyperlink r:id="rId457" w:history="1">
        <w:r w:rsidRPr="005A464E">
          <w:rPr>
            <w:rStyle w:val="-"/>
            <w:rFonts w:eastAsia="Times New Roman"/>
            <w:sz w:val="24"/>
            <w:szCs w:val="24"/>
            <w:lang w:val="en-US" w:eastAsia="el-GR"/>
          </w:rPr>
          <w:t>vicalikari</w:t>
        </w:r>
        <w:r w:rsidRPr="005A464E">
          <w:rPr>
            <w:rStyle w:val="-"/>
            <w:rFonts w:eastAsia="Times New Roman"/>
            <w:sz w:val="24"/>
            <w:szCs w:val="24"/>
            <w:lang w:eastAsia="el-GR"/>
          </w:rPr>
          <w:t>@</w:t>
        </w:r>
        <w:r w:rsidRPr="005A464E">
          <w:rPr>
            <w:rStyle w:val="-"/>
            <w:rFonts w:eastAsia="Times New Roman"/>
            <w:sz w:val="24"/>
            <w:szCs w:val="24"/>
            <w:lang w:val="en-US" w:eastAsia="el-GR"/>
          </w:rPr>
          <w:t>gmail</w:t>
        </w:r>
        <w:r w:rsidRPr="005A464E">
          <w:rPr>
            <w:rStyle w:val="-"/>
            <w:rFonts w:eastAsia="Times New Roman"/>
            <w:sz w:val="24"/>
            <w:szCs w:val="24"/>
            <w:lang w:eastAsia="el-GR"/>
          </w:rPr>
          <w:t>.</w:t>
        </w:r>
        <w:r w:rsidRPr="005A464E">
          <w:rPr>
            <w:rStyle w:val="-"/>
            <w:rFonts w:eastAsia="Times New Roman"/>
            <w:sz w:val="24"/>
            <w:szCs w:val="24"/>
            <w:lang w:val="en-US" w:eastAsia="el-GR"/>
          </w:rPr>
          <w:t>com</w:t>
        </w:r>
      </w:hyperlink>
    </w:p>
    <w:p w:rsidR="006269EC" w:rsidRPr="005A464E" w:rsidRDefault="006269EC" w:rsidP="006269EC">
      <w:pPr>
        <w:widowControl w:val="0"/>
        <w:autoSpaceDE w:val="0"/>
        <w:autoSpaceDN w:val="0"/>
        <w:adjustRightInd w:val="0"/>
        <w:spacing w:after="0" w:line="360" w:lineRule="auto"/>
        <w:jc w:val="center"/>
        <w:rPr>
          <w:rFonts w:eastAsia="Times New Roman"/>
          <w:b/>
          <w:sz w:val="24"/>
          <w:szCs w:val="24"/>
          <w:lang w:eastAsia="el-GR"/>
        </w:rPr>
      </w:pPr>
      <w:r w:rsidRPr="005A464E">
        <w:rPr>
          <w:rFonts w:eastAsia="Times New Roman"/>
          <w:b/>
          <w:sz w:val="24"/>
          <w:szCs w:val="24"/>
          <w:lang w:eastAsia="el-GR"/>
        </w:rPr>
        <w:t>ΔΕΛΤΙΟ ΣΥΓΚΑΤΑΘΕΣΗΣ</w:t>
      </w:r>
    </w:p>
    <w:p w:rsidR="006269EC" w:rsidRPr="005A464E" w:rsidRDefault="006269EC" w:rsidP="006269EC">
      <w:pPr>
        <w:spacing w:line="360" w:lineRule="auto"/>
        <w:jc w:val="both"/>
        <w:rPr>
          <w:rFonts w:cs="Arial"/>
          <w:sz w:val="24"/>
          <w:szCs w:val="24"/>
        </w:rPr>
      </w:pPr>
      <w:r w:rsidRPr="005A464E">
        <w:rPr>
          <w:rFonts w:eastAsia="Times New Roman"/>
          <w:sz w:val="24"/>
          <w:szCs w:val="24"/>
          <w:lang w:eastAsia="el-GR"/>
        </w:rPr>
        <w:t xml:space="preserve">Κατανοώ ότι θα πάρω μέρος στην ερευνητική μελέτη η οποία θα εστιαστεί στην </w:t>
      </w:r>
      <w:r w:rsidRPr="005A464E">
        <w:rPr>
          <w:rFonts w:cs="Arial"/>
          <w:sz w:val="24"/>
          <w:szCs w:val="24"/>
        </w:rPr>
        <w:t>επίδραση της συμβουλευτικής Νοσηλευτικής στη μεταβολή του επιπέδου γνώσεων, της ποιότητας ζωής και στη συμμόρφωση ασθενών υπό αιμοκάθαρση στο θεραπευτικό σχήμα.</w:t>
      </w:r>
    </w:p>
    <w:p w:rsidR="006269EC" w:rsidRPr="005A464E" w:rsidRDefault="006269EC" w:rsidP="006269EC">
      <w:pPr>
        <w:spacing w:after="120" w:line="360" w:lineRule="auto"/>
        <w:jc w:val="both"/>
        <w:rPr>
          <w:rFonts w:eastAsia="Times New Roman"/>
          <w:bCs/>
          <w:sz w:val="24"/>
          <w:szCs w:val="24"/>
          <w:lang w:eastAsia="el-GR"/>
        </w:rPr>
      </w:pPr>
      <w:r w:rsidRPr="005A464E">
        <w:rPr>
          <w:rFonts w:eastAsia="Times New Roman"/>
          <w:bCs/>
          <w:sz w:val="24"/>
          <w:szCs w:val="24"/>
          <w:lang w:eastAsia="el-GR"/>
        </w:rPr>
        <w:t>Υπογράφοντας αυτό το έγγραφο, δίνω τη συγκατάθε</w:t>
      </w:r>
      <w:r>
        <w:rPr>
          <w:rFonts w:eastAsia="Times New Roman"/>
          <w:bCs/>
          <w:sz w:val="24"/>
          <w:szCs w:val="24"/>
          <w:lang w:eastAsia="el-GR"/>
        </w:rPr>
        <w:t>σή μου για τη συμμετοχή μου στη</w:t>
      </w:r>
      <w:r w:rsidRPr="005A464E">
        <w:rPr>
          <w:rFonts w:eastAsia="Times New Roman"/>
          <w:bCs/>
          <w:sz w:val="24"/>
          <w:szCs w:val="24"/>
          <w:lang w:eastAsia="el-GR"/>
        </w:rPr>
        <w:t xml:space="preserve"> </w:t>
      </w:r>
      <w:r>
        <w:rPr>
          <w:rFonts w:eastAsia="Times New Roman"/>
          <w:bCs/>
          <w:sz w:val="24"/>
          <w:szCs w:val="24"/>
          <w:lang w:eastAsia="el-GR"/>
        </w:rPr>
        <w:t>μελέτη</w:t>
      </w:r>
      <w:r w:rsidRPr="005A464E">
        <w:rPr>
          <w:rFonts w:eastAsia="Times New Roman"/>
          <w:bCs/>
          <w:sz w:val="24"/>
          <w:szCs w:val="24"/>
          <w:lang w:eastAsia="el-GR"/>
        </w:rPr>
        <w:t>.</w:t>
      </w:r>
    </w:p>
    <w:p w:rsidR="006269EC" w:rsidRPr="005A464E" w:rsidRDefault="006269EC" w:rsidP="006269EC">
      <w:pPr>
        <w:spacing w:after="120" w:line="360" w:lineRule="auto"/>
        <w:jc w:val="both"/>
        <w:rPr>
          <w:rFonts w:eastAsia="Times New Roman"/>
          <w:bCs/>
          <w:sz w:val="24"/>
          <w:szCs w:val="24"/>
          <w:lang w:eastAsia="el-GR"/>
        </w:rPr>
      </w:pPr>
      <w:r w:rsidRPr="005A464E">
        <w:rPr>
          <w:rFonts w:eastAsia="Times New Roman"/>
          <w:bCs/>
          <w:sz w:val="24"/>
          <w:szCs w:val="24"/>
          <w:lang w:eastAsia="el-GR"/>
        </w:rPr>
        <w:t>Η</w:t>
      </w:r>
      <w:r w:rsidRPr="005A464E">
        <w:rPr>
          <w:rFonts w:eastAsia="Times New Roman"/>
          <w:sz w:val="24"/>
          <w:szCs w:val="24"/>
          <w:lang w:eastAsia="el-GR"/>
        </w:rPr>
        <w:t xml:space="preserve"> συμμετοχή μου στη μελέτη είναι εθελοντική.</w:t>
      </w:r>
      <w:r w:rsidRPr="005A464E">
        <w:rPr>
          <w:rFonts w:eastAsia="Times New Roman"/>
          <w:bCs/>
          <w:sz w:val="24"/>
          <w:szCs w:val="24"/>
          <w:lang w:eastAsia="el-GR"/>
        </w:rPr>
        <w:t xml:space="preserve"> Τα στοιχεία μου δεν θα δοθούν σε κανέναν παρά μόνο στην ερευνήτρια και δεν θα γίνει γνωστή η ταυτότητα μου με κανένα τρόπο.</w:t>
      </w:r>
    </w:p>
    <w:p w:rsidR="006269EC" w:rsidRPr="005A464E" w:rsidRDefault="006269EC" w:rsidP="006269EC">
      <w:pPr>
        <w:spacing w:line="360" w:lineRule="auto"/>
        <w:jc w:val="both"/>
        <w:rPr>
          <w:rFonts w:cs="Arial"/>
          <w:sz w:val="24"/>
          <w:szCs w:val="24"/>
        </w:rPr>
      </w:pPr>
      <w:r w:rsidRPr="005A464E">
        <w:rPr>
          <w:rFonts w:eastAsia="Times New Roman"/>
          <w:bCs/>
          <w:sz w:val="24"/>
          <w:szCs w:val="24"/>
          <w:lang w:eastAsia="el-GR"/>
        </w:rPr>
        <w:t xml:space="preserve">Τα πιθανά οφέλη αυτής της </w:t>
      </w:r>
      <w:r>
        <w:rPr>
          <w:rFonts w:eastAsia="Times New Roman"/>
          <w:bCs/>
          <w:sz w:val="24"/>
          <w:szCs w:val="24"/>
          <w:lang w:eastAsia="el-GR"/>
        </w:rPr>
        <w:t>μελέτης</w:t>
      </w:r>
      <w:r w:rsidRPr="005A464E">
        <w:rPr>
          <w:rFonts w:eastAsia="Times New Roman"/>
          <w:bCs/>
          <w:sz w:val="24"/>
          <w:szCs w:val="24"/>
          <w:lang w:eastAsia="el-GR"/>
        </w:rPr>
        <w:t xml:space="preserve"> είναι ότι </w:t>
      </w:r>
      <w:r w:rsidRPr="005A464E">
        <w:rPr>
          <w:rFonts w:cs="Mangal"/>
          <w:sz w:val="24"/>
          <w:lang w:eastAsia="zh-CN" w:bidi="hi-IN"/>
        </w:rPr>
        <w:t>με την συμμετοχή μου στη μελέτη αυτή</w:t>
      </w:r>
      <w:r>
        <w:rPr>
          <w:rFonts w:cs="Mangal"/>
          <w:sz w:val="24"/>
          <w:lang w:eastAsia="zh-CN" w:bidi="hi-IN"/>
        </w:rPr>
        <w:t xml:space="preserve"> </w:t>
      </w:r>
      <w:r w:rsidRPr="005A464E">
        <w:rPr>
          <w:rFonts w:cs="Mangal"/>
          <w:sz w:val="24"/>
          <w:lang w:eastAsia="zh-CN" w:bidi="hi-IN"/>
        </w:rPr>
        <w:t>θα συμβάλλω προκειμένου να ερευνηθεί</w:t>
      </w:r>
      <w:r w:rsidRPr="005A464E">
        <w:rPr>
          <w:rFonts w:cs="Arial"/>
          <w:sz w:val="24"/>
          <w:szCs w:val="24"/>
        </w:rPr>
        <w:t xml:space="preserve"> η επίδραση της συμβουλευτικής Νοσηλευτικής στη μεταβολή του επιπέδου γνώσεων, της ποιότητας ζωής και στη συμμόρφωση ασθενών υπό αιμοκάθαρση στο θεραπευτικό σχήμα.</w:t>
      </w:r>
    </w:p>
    <w:p w:rsidR="006269EC" w:rsidRPr="005A464E" w:rsidRDefault="006269EC" w:rsidP="006269EC">
      <w:pPr>
        <w:spacing w:after="120" w:line="360" w:lineRule="auto"/>
        <w:jc w:val="right"/>
        <w:rPr>
          <w:rFonts w:eastAsia="Times New Roman"/>
          <w:b/>
          <w:bCs/>
          <w:sz w:val="24"/>
          <w:szCs w:val="24"/>
          <w:lang w:eastAsia="el-GR"/>
        </w:rPr>
      </w:pPr>
      <w:r w:rsidRPr="005A464E">
        <w:rPr>
          <w:rFonts w:eastAsia="Times New Roman"/>
          <w:b/>
          <w:bCs/>
          <w:sz w:val="24"/>
          <w:szCs w:val="24"/>
          <w:lang w:eastAsia="el-GR"/>
        </w:rPr>
        <w:t>Υπογραφή του συμμετέχοντος</w:t>
      </w:r>
    </w:p>
    <w:p w:rsidR="006269EC" w:rsidRPr="005A464E" w:rsidRDefault="006269EC" w:rsidP="006269EC">
      <w:pPr>
        <w:spacing w:after="120" w:line="360" w:lineRule="auto"/>
        <w:jc w:val="right"/>
        <w:rPr>
          <w:rFonts w:eastAsia="Times New Roman"/>
          <w:b/>
          <w:bCs/>
          <w:sz w:val="24"/>
          <w:szCs w:val="24"/>
          <w:lang w:eastAsia="el-GR"/>
        </w:rPr>
      </w:pPr>
    </w:p>
    <w:p w:rsidR="009A0E1B" w:rsidRPr="005A464E" w:rsidRDefault="006269EC" w:rsidP="006269EC">
      <w:pPr>
        <w:spacing w:line="360" w:lineRule="auto"/>
        <w:jc w:val="both"/>
        <w:rPr>
          <w:rFonts w:eastAsia="Times New Roman"/>
          <w:sz w:val="24"/>
          <w:szCs w:val="24"/>
          <w:lang w:val="en-US" w:eastAsia="el-GR"/>
        </w:rPr>
      </w:pPr>
      <w:r w:rsidRPr="005A464E">
        <w:rPr>
          <w:rFonts w:eastAsia="Times New Roman"/>
          <w:b/>
          <w:bCs/>
          <w:sz w:val="24"/>
          <w:szCs w:val="24"/>
          <w:lang w:eastAsia="el-GR"/>
        </w:rPr>
        <w:t>Ημερομηνία</w:t>
      </w:r>
    </w:p>
    <w:p w:rsidR="007804F7" w:rsidRPr="005A464E" w:rsidRDefault="007804F7" w:rsidP="005A464E">
      <w:pPr>
        <w:spacing w:line="360" w:lineRule="auto"/>
        <w:jc w:val="both"/>
        <w:rPr>
          <w:rFonts w:eastAsia="Times New Roman"/>
          <w:sz w:val="24"/>
          <w:szCs w:val="24"/>
          <w:lang w:eastAsia="el-GR"/>
        </w:rPr>
      </w:pPr>
    </w:p>
    <w:sectPr w:rsidR="007804F7" w:rsidRPr="005A464E" w:rsidSect="000B5238">
      <w:footerReference w:type="default" r:id="rId458"/>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739F3" w:rsidRDefault="00E739F3" w:rsidP="00725298">
      <w:pPr>
        <w:spacing w:after="0" w:line="240" w:lineRule="auto"/>
      </w:pPr>
      <w:r>
        <w:separator/>
      </w:r>
    </w:p>
  </w:endnote>
  <w:endnote w:type="continuationSeparator" w:id="0">
    <w:p w:rsidR="00E739F3" w:rsidRDefault="00E739F3" w:rsidP="0072529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2AFF" w:usb1="C000247B" w:usb2="00000009" w:usb3="00000000" w:csb0="000001FF" w:csb1="00000000"/>
  </w:font>
  <w:font w:name="Cambria">
    <w:panose1 w:val="02040503050406030204"/>
    <w:charset w:val="A1"/>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A1"/>
    <w:family w:val="swiss"/>
    <w:pitch w:val="variable"/>
    <w:sig w:usb0="E0002EFF" w:usb1="C0007843" w:usb2="00000009" w:usb3="00000000" w:csb0="000001FF" w:csb1="00000000"/>
  </w:font>
  <w:font w:name="Garamond">
    <w:panose1 w:val="02020404030301010803"/>
    <w:charset w:val="A1"/>
    <w:family w:val="roman"/>
    <w:pitch w:val="variable"/>
    <w:sig w:usb0="00000287" w:usb1="00000000" w:usb2="00000000" w:usb3="00000000" w:csb0="0000009F" w:csb1="00000000"/>
  </w:font>
  <w:font w:name="Book Antiqua">
    <w:panose1 w:val="02040602050305030304"/>
    <w:charset w:val="A1"/>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TimesNewRomanPS-BoldMT">
    <w:altName w:val="Times New Roman"/>
    <w:panose1 w:val="00000000000000000000"/>
    <w:charset w:val="A1"/>
    <w:family w:val="auto"/>
    <w:notTrueType/>
    <w:pitch w:val="default"/>
    <w:sig w:usb0="00000083" w:usb1="00000000" w:usb2="00000000" w:usb3="00000000" w:csb0="00000009" w:csb1="00000000"/>
  </w:font>
  <w:font w:name="TimesNewRoman">
    <w:altName w:val="Times New Roman"/>
    <w:panose1 w:val="00000000000000000000"/>
    <w:charset w:val="00"/>
    <w:family w:val="auto"/>
    <w:notTrueType/>
    <w:pitch w:val="default"/>
    <w:sig w:usb0="00000083" w:usb1="00000000" w:usb2="00000000" w:usb3="00000000" w:csb0="00000009" w:csb1="00000000"/>
  </w:font>
  <w:font w:name="SimSun">
    <w:altName w:val="宋体"/>
    <w:panose1 w:val="02010600030101010101"/>
    <w:charset w:val="86"/>
    <w:family w:val="auto"/>
    <w:notTrueType/>
    <w:pitch w:val="variable"/>
    <w:sig w:usb0="00000001" w:usb1="080E0000" w:usb2="00000010" w:usb3="00000000" w:csb0="00040000" w:csb1="00000000"/>
  </w:font>
  <w:font w:name="BookAntiqua">
    <w:panose1 w:val="00000000000000000000"/>
    <w:charset w:val="A1"/>
    <w:family w:val="auto"/>
    <w:notTrueType/>
    <w:pitch w:val="default"/>
    <w:sig w:usb0="00000081" w:usb1="00000000" w:usb2="00000000" w:usb3="00000000" w:csb0="00000008" w:csb1="00000000"/>
  </w:font>
  <w:font w:name="Times-Roman">
    <w:altName w:val="Times New Roman"/>
    <w:panose1 w:val="00000000000000000000"/>
    <w:charset w:val="00"/>
    <w:family w:val="auto"/>
    <w:notTrueType/>
    <w:pitch w:val="default"/>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Lucida Sans Unicode">
    <w:panose1 w:val="020B0602030504020204"/>
    <w:charset w:val="A1"/>
    <w:family w:val="swiss"/>
    <w:pitch w:val="variable"/>
    <w:sig w:usb0="80000AFF" w:usb1="0000396B" w:usb2="00000000" w:usb3="00000000" w:csb0="000000BF" w:csb1="00000000"/>
  </w:font>
  <w:font w:name="WarnockPro-Regular">
    <w:altName w:val="MS Mincho"/>
    <w:panose1 w:val="00000000000000000000"/>
    <w:charset w:val="80"/>
    <w:family w:val="roman"/>
    <w:notTrueType/>
    <w:pitch w:val="default"/>
    <w:sig w:usb0="00000001" w:usb1="08070000" w:usb2="00000010" w:usb3="00000000" w:csb0="00020000" w:csb1="00000000"/>
  </w:font>
  <w:font w:name="BaskervilleBE-Regular">
    <w:altName w:val="Arial"/>
    <w:panose1 w:val="00000000000000000000"/>
    <w:charset w:val="00"/>
    <w:family w:val="swiss"/>
    <w:notTrueType/>
    <w:pitch w:val="default"/>
    <w:sig w:usb0="00000003" w:usb1="00000000" w:usb2="00000000" w:usb3="00000000" w:csb0="00000001" w:csb1="00000000"/>
  </w:font>
  <w:font w:name="CorinthianBoldPlain">
    <w:altName w:val="Times New Roman"/>
    <w:panose1 w:val="00000000000000000000"/>
    <w:charset w:val="00"/>
    <w:family w:val="roman"/>
    <w:notTrueType/>
    <w:pitch w:val="default"/>
    <w:sig w:usb0="00000003" w:usb1="00000000" w:usb2="00000000" w:usb3="00000000" w:csb0="00000001" w:csb1="00000000"/>
  </w:font>
  <w:font w:name="Mangal">
    <w:panose1 w:val="00000400000000000000"/>
    <w:charset w:val="01"/>
    <w:family w:val="roman"/>
    <w:notTrueType/>
    <w:pitch w:val="variable"/>
    <w:sig w:usb0="00002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39F3" w:rsidRDefault="008F3609">
    <w:pPr>
      <w:pStyle w:val="a8"/>
      <w:jc w:val="center"/>
    </w:pPr>
    <w:fldSimple w:instr="PAGE   \* MERGEFORMAT">
      <w:r w:rsidR="008E795F">
        <w:rPr>
          <w:noProof/>
        </w:rPr>
        <w:t>20</w:t>
      </w:r>
    </w:fldSimple>
  </w:p>
  <w:p w:rsidR="00E739F3" w:rsidRDefault="00E739F3">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739F3" w:rsidRDefault="00E739F3" w:rsidP="00725298">
      <w:pPr>
        <w:spacing w:after="0" w:line="240" w:lineRule="auto"/>
      </w:pPr>
      <w:r>
        <w:separator/>
      </w:r>
    </w:p>
  </w:footnote>
  <w:footnote w:type="continuationSeparator" w:id="0">
    <w:p w:rsidR="00E739F3" w:rsidRDefault="00E739F3" w:rsidP="0072529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F50DF"/>
    <w:multiLevelType w:val="multilevel"/>
    <w:tmpl w:val="6E4A806E"/>
    <w:styleLink w:val="21"/>
    <w:lvl w:ilvl="0">
      <w:start w:val="1"/>
      <w:numFmt w:val="decimal"/>
      <w:lvlText w:val="%1."/>
      <w:lvlJc w:val="left"/>
      <w:pPr>
        <w:ind w:left="360" w:hanging="360"/>
      </w:pPr>
      <w:rPr>
        <w:rFonts w:hint="default"/>
      </w:rPr>
    </w:lvl>
    <w:lvl w:ilvl="1">
      <w:start w:val="1"/>
      <w:numFmt w:val="none"/>
      <w:lvlText w:val="4.1."/>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1026147"/>
    <w:multiLevelType w:val="hybridMultilevel"/>
    <w:tmpl w:val="444A479E"/>
    <w:lvl w:ilvl="0" w:tplc="69A0ACD0">
      <w:start w:val="1"/>
      <w:numFmt w:val="lowerLetter"/>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
    <w:nsid w:val="01387AD4"/>
    <w:multiLevelType w:val="hybridMultilevel"/>
    <w:tmpl w:val="03E27372"/>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3">
    <w:nsid w:val="01985EC5"/>
    <w:multiLevelType w:val="multilevel"/>
    <w:tmpl w:val="0408001D"/>
    <w:styleLink w:val="4"/>
    <w:lvl w:ilvl="0">
      <w:start w:val="3"/>
      <w:numFmt w:val="decimal"/>
      <w:lvlText w:val="%1)"/>
      <w:lvlJc w:val="left"/>
      <w:pPr>
        <w:ind w:left="360" w:hanging="360"/>
      </w:pPr>
      <w:rPr>
        <w:rFonts w:ascii="Calibri" w:hAnsi="Calibri"/>
        <w:sz w:val="24"/>
      </w:rPr>
    </w:lvl>
    <w:lvl w:ilvl="1">
      <w:start w:val="3"/>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3"/>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nsid w:val="058E5A0C"/>
    <w:multiLevelType w:val="hybridMultilevel"/>
    <w:tmpl w:val="69542560"/>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5">
    <w:nsid w:val="05E372F8"/>
    <w:multiLevelType w:val="hybridMultilevel"/>
    <w:tmpl w:val="AAC857B6"/>
    <w:lvl w:ilvl="0" w:tplc="04080017">
      <w:start w:val="1"/>
      <w:numFmt w:val="lowerLetter"/>
      <w:lvlText w:val="%1)"/>
      <w:lvlJc w:val="left"/>
      <w:pPr>
        <w:ind w:left="360" w:hanging="360"/>
      </w:p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6">
    <w:nsid w:val="06396330"/>
    <w:multiLevelType w:val="multilevel"/>
    <w:tmpl w:val="87069448"/>
    <w:lvl w:ilvl="0">
      <w:start w:val="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07464618"/>
    <w:multiLevelType w:val="multilevel"/>
    <w:tmpl w:val="0408001D"/>
    <w:styleLink w:val="1"/>
    <w:lvl w:ilvl="0">
      <w:start w:val="2"/>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nsid w:val="076D116E"/>
    <w:multiLevelType w:val="multilevel"/>
    <w:tmpl w:val="62C80FEE"/>
    <w:lvl w:ilvl="0">
      <w:start w:val="6"/>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0A201429"/>
    <w:multiLevelType w:val="hybridMultilevel"/>
    <w:tmpl w:val="3B688C68"/>
    <w:lvl w:ilvl="0" w:tplc="24D8EE26">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0">
    <w:nsid w:val="0A225918"/>
    <w:multiLevelType w:val="multilevel"/>
    <w:tmpl w:val="0408001D"/>
    <w:styleLink w:val="18"/>
    <w:lvl w:ilvl="0">
      <w:start w:val="6"/>
      <w:numFmt w:val="decimal"/>
      <w:lvlText w:val="%1)"/>
      <w:lvlJc w:val="left"/>
      <w:pPr>
        <w:ind w:left="360" w:hanging="360"/>
      </w:pPr>
    </w:lvl>
    <w:lvl w:ilvl="1">
      <w:start w:val="4"/>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nsid w:val="0A575B71"/>
    <w:multiLevelType w:val="hybridMultilevel"/>
    <w:tmpl w:val="7C44A6A2"/>
    <w:lvl w:ilvl="0" w:tplc="4E0C8A10">
      <w:start w:val="1"/>
      <w:numFmt w:val="decimal"/>
      <w:lvlText w:val="%1)"/>
      <w:lvlJc w:val="left"/>
      <w:pPr>
        <w:ind w:left="360" w:hanging="360"/>
      </w:pPr>
      <w:rPr>
        <w:rFonts w:ascii="Calibri" w:hAnsi="Calibri"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2">
    <w:nsid w:val="0B26687B"/>
    <w:multiLevelType w:val="hybridMultilevel"/>
    <w:tmpl w:val="F65A8FBA"/>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3">
    <w:nsid w:val="0C763D47"/>
    <w:multiLevelType w:val="hybridMultilevel"/>
    <w:tmpl w:val="2D4C1D4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
    <w:nsid w:val="0CDB5C36"/>
    <w:multiLevelType w:val="multilevel"/>
    <w:tmpl w:val="0408001D"/>
    <w:styleLink w:val="2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nsid w:val="0DBE5D0E"/>
    <w:multiLevelType w:val="hybridMultilevel"/>
    <w:tmpl w:val="75861BD4"/>
    <w:lvl w:ilvl="0" w:tplc="0408000D">
      <w:start w:val="1"/>
      <w:numFmt w:val="bullet"/>
      <w:lvlText w:val=""/>
      <w:lvlJc w:val="left"/>
      <w:pPr>
        <w:ind w:left="360" w:hanging="360"/>
      </w:pPr>
      <w:rPr>
        <w:rFonts w:ascii="Wingdings" w:hAnsi="Wingdings"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6">
    <w:nsid w:val="0DE11D7C"/>
    <w:multiLevelType w:val="hybridMultilevel"/>
    <w:tmpl w:val="C6229022"/>
    <w:lvl w:ilvl="0" w:tplc="E2F43546">
      <w:start w:val="1"/>
      <w:numFmt w:val="lowerLetter"/>
      <w:lvlText w:val="(%1)"/>
      <w:lvlJc w:val="left"/>
      <w:pPr>
        <w:ind w:left="360" w:hanging="360"/>
      </w:pPr>
      <w:rPr>
        <w:rFonts w:hint="default"/>
      </w:rPr>
    </w:lvl>
    <w:lvl w:ilvl="1" w:tplc="04080019" w:tentative="1">
      <w:start w:val="1"/>
      <w:numFmt w:val="lowerLetter"/>
      <w:lvlText w:val="%2."/>
      <w:lvlJc w:val="left"/>
      <w:pPr>
        <w:ind w:left="830" w:hanging="360"/>
      </w:pPr>
    </w:lvl>
    <w:lvl w:ilvl="2" w:tplc="0408001B" w:tentative="1">
      <w:start w:val="1"/>
      <w:numFmt w:val="lowerRoman"/>
      <w:lvlText w:val="%3."/>
      <w:lvlJc w:val="right"/>
      <w:pPr>
        <w:ind w:left="1550" w:hanging="180"/>
      </w:pPr>
    </w:lvl>
    <w:lvl w:ilvl="3" w:tplc="0408000F" w:tentative="1">
      <w:start w:val="1"/>
      <w:numFmt w:val="decimal"/>
      <w:lvlText w:val="%4."/>
      <w:lvlJc w:val="left"/>
      <w:pPr>
        <w:ind w:left="2270" w:hanging="360"/>
      </w:pPr>
    </w:lvl>
    <w:lvl w:ilvl="4" w:tplc="04080019" w:tentative="1">
      <w:start w:val="1"/>
      <w:numFmt w:val="lowerLetter"/>
      <w:lvlText w:val="%5."/>
      <w:lvlJc w:val="left"/>
      <w:pPr>
        <w:ind w:left="2990" w:hanging="360"/>
      </w:pPr>
    </w:lvl>
    <w:lvl w:ilvl="5" w:tplc="0408001B" w:tentative="1">
      <w:start w:val="1"/>
      <w:numFmt w:val="lowerRoman"/>
      <w:lvlText w:val="%6."/>
      <w:lvlJc w:val="right"/>
      <w:pPr>
        <w:ind w:left="3710" w:hanging="180"/>
      </w:pPr>
    </w:lvl>
    <w:lvl w:ilvl="6" w:tplc="0408000F" w:tentative="1">
      <w:start w:val="1"/>
      <w:numFmt w:val="decimal"/>
      <w:lvlText w:val="%7."/>
      <w:lvlJc w:val="left"/>
      <w:pPr>
        <w:ind w:left="4430" w:hanging="360"/>
      </w:pPr>
    </w:lvl>
    <w:lvl w:ilvl="7" w:tplc="04080019" w:tentative="1">
      <w:start w:val="1"/>
      <w:numFmt w:val="lowerLetter"/>
      <w:lvlText w:val="%8."/>
      <w:lvlJc w:val="left"/>
      <w:pPr>
        <w:ind w:left="5150" w:hanging="360"/>
      </w:pPr>
    </w:lvl>
    <w:lvl w:ilvl="8" w:tplc="0408001B" w:tentative="1">
      <w:start w:val="1"/>
      <w:numFmt w:val="lowerRoman"/>
      <w:lvlText w:val="%9."/>
      <w:lvlJc w:val="right"/>
      <w:pPr>
        <w:ind w:left="5870" w:hanging="180"/>
      </w:pPr>
    </w:lvl>
  </w:abstractNum>
  <w:abstractNum w:abstractNumId="17">
    <w:nsid w:val="117F6C1F"/>
    <w:multiLevelType w:val="multilevel"/>
    <w:tmpl w:val="0408001F"/>
    <w:styleLink w:val="7"/>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12DB181E"/>
    <w:multiLevelType w:val="hybridMultilevel"/>
    <w:tmpl w:val="C9B4982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9">
    <w:nsid w:val="13236516"/>
    <w:multiLevelType w:val="hybridMultilevel"/>
    <w:tmpl w:val="939409CA"/>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20">
    <w:nsid w:val="13572C1B"/>
    <w:multiLevelType w:val="hybridMultilevel"/>
    <w:tmpl w:val="9CECA42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1">
    <w:nsid w:val="14856341"/>
    <w:multiLevelType w:val="hybridMultilevel"/>
    <w:tmpl w:val="0B3A1AA2"/>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22">
    <w:nsid w:val="1486061F"/>
    <w:multiLevelType w:val="hybridMultilevel"/>
    <w:tmpl w:val="C80864B6"/>
    <w:lvl w:ilvl="0" w:tplc="6BA4F4EC">
      <w:start w:val="15"/>
      <w:numFmt w:val="bullet"/>
      <w:lvlText w:val="-"/>
      <w:lvlJc w:val="left"/>
      <w:pPr>
        <w:ind w:left="720" w:hanging="360"/>
      </w:pPr>
      <w:rPr>
        <w:rFonts w:ascii="Calibri" w:eastAsia="Calibri" w:hAnsi="Calibri" w:cs="Calibri"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3">
    <w:nsid w:val="152D00C7"/>
    <w:multiLevelType w:val="multilevel"/>
    <w:tmpl w:val="CB0E975C"/>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15953B31"/>
    <w:multiLevelType w:val="multilevel"/>
    <w:tmpl w:val="28C42EB0"/>
    <w:lvl w:ilvl="0">
      <w:start w:val="4"/>
      <w:numFmt w:val="decimal"/>
      <w:lvlText w:val="%1."/>
      <w:lvlJc w:val="left"/>
      <w:pPr>
        <w:ind w:left="360" w:hanging="360"/>
      </w:pPr>
      <w:rPr>
        <w:rFonts w:hint="default"/>
      </w:rPr>
    </w:lvl>
    <w:lvl w:ilvl="1">
      <w:start w:val="3"/>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1616716E"/>
    <w:multiLevelType w:val="hybridMultilevel"/>
    <w:tmpl w:val="C2B2BA8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6">
    <w:nsid w:val="18343B13"/>
    <w:multiLevelType w:val="multilevel"/>
    <w:tmpl w:val="0408001F"/>
    <w:numStyleLink w:val="2"/>
  </w:abstractNum>
  <w:abstractNum w:abstractNumId="27">
    <w:nsid w:val="18F34CD4"/>
    <w:multiLevelType w:val="hybridMultilevel"/>
    <w:tmpl w:val="EF0A001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8">
    <w:nsid w:val="19550198"/>
    <w:multiLevelType w:val="multilevel"/>
    <w:tmpl w:val="0408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198D6202"/>
    <w:multiLevelType w:val="multilevel"/>
    <w:tmpl w:val="B6EAB876"/>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19AE4CF9"/>
    <w:multiLevelType w:val="hybridMultilevel"/>
    <w:tmpl w:val="888CFD08"/>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31">
    <w:nsid w:val="1AF9670A"/>
    <w:multiLevelType w:val="hybridMultilevel"/>
    <w:tmpl w:val="83E2EC4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2">
    <w:nsid w:val="1B2B049F"/>
    <w:multiLevelType w:val="hybridMultilevel"/>
    <w:tmpl w:val="E252F880"/>
    <w:lvl w:ilvl="0" w:tplc="D902B4B6">
      <w:start w:val="1"/>
      <w:numFmt w:val="decimal"/>
      <w:lvlText w:val="%1."/>
      <w:lvlJc w:val="left"/>
      <w:pPr>
        <w:ind w:left="36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3">
    <w:nsid w:val="1B554E5B"/>
    <w:multiLevelType w:val="hybridMultilevel"/>
    <w:tmpl w:val="77F6B5E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4">
    <w:nsid w:val="1CD145C7"/>
    <w:multiLevelType w:val="hybridMultilevel"/>
    <w:tmpl w:val="6B4A607E"/>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35">
    <w:nsid w:val="1D7D6DAC"/>
    <w:multiLevelType w:val="hybridMultilevel"/>
    <w:tmpl w:val="5F2A4222"/>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36">
    <w:nsid w:val="20AF7F0F"/>
    <w:multiLevelType w:val="hybridMultilevel"/>
    <w:tmpl w:val="7E087E28"/>
    <w:lvl w:ilvl="0" w:tplc="04080001">
      <w:start w:val="1"/>
      <w:numFmt w:val="bullet"/>
      <w:lvlText w:val=""/>
      <w:lvlJc w:val="left"/>
      <w:pPr>
        <w:ind w:left="750" w:hanging="360"/>
      </w:pPr>
      <w:rPr>
        <w:rFonts w:ascii="Symbol" w:hAnsi="Symbol" w:hint="default"/>
      </w:rPr>
    </w:lvl>
    <w:lvl w:ilvl="1" w:tplc="04080003" w:tentative="1">
      <w:start w:val="1"/>
      <w:numFmt w:val="bullet"/>
      <w:lvlText w:val="o"/>
      <w:lvlJc w:val="left"/>
      <w:pPr>
        <w:ind w:left="1470" w:hanging="360"/>
      </w:pPr>
      <w:rPr>
        <w:rFonts w:ascii="Courier New" w:hAnsi="Courier New" w:cs="Courier New" w:hint="default"/>
      </w:rPr>
    </w:lvl>
    <w:lvl w:ilvl="2" w:tplc="04080005" w:tentative="1">
      <w:start w:val="1"/>
      <w:numFmt w:val="bullet"/>
      <w:lvlText w:val=""/>
      <w:lvlJc w:val="left"/>
      <w:pPr>
        <w:ind w:left="2190" w:hanging="360"/>
      </w:pPr>
      <w:rPr>
        <w:rFonts w:ascii="Wingdings" w:hAnsi="Wingdings" w:hint="default"/>
      </w:rPr>
    </w:lvl>
    <w:lvl w:ilvl="3" w:tplc="04080001" w:tentative="1">
      <w:start w:val="1"/>
      <w:numFmt w:val="bullet"/>
      <w:lvlText w:val=""/>
      <w:lvlJc w:val="left"/>
      <w:pPr>
        <w:ind w:left="2910" w:hanging="360"/>
      </w:pPr>
      <w:rPr>
        <w:rFonts w:ascii="Symbol" w:hAnsi="Symbol" w:hint="default"/>
      </w:rPr>
    </w:lvl>
    <w:lvl w:ilvl="4" w:tplc="04080003" w:tentative="1">
      <w:start w:val="1"/>
      <w:numFmt w:val="bullet"/>
      <w:lvlText w:val="o"/>
      <w:lvlJc w:val="left"/>
      <w:pPr>
        <w:ind w:left="3630" w:hanging="360"/>
      </w:pPr>
      <w:rPr>
        <w:rFonts w:ascii="Courier New" w:hAnsi="Courier New" w:cs="Courier New" w:hint="default"/>
      </w:rPr>
    </w:lvl>
    <w:lvl w:ilvl="5" w:tplc="04080005" w:tentative="1">
      <w:start w:val="1"/>
      <w:numFmt w:val="bullet"/>
      <w:lvlText w:val=""/>
      <w:lvlJc w:val="left"/>
      <w:pPr>
        <w:ind w:left="4350" w:hanging="360"/>
      </w:pPr>
      <w:rPr>
        <w:rFonts w:ascii="Wingdings" w:hAnsi="Wingdings" w:hint="default"/>
      </w:rPr>
    </w:lvl>
    <w:lvl w:ilvl="6" w:tplc="04080001" w:tentative="1">
      <w:start w:val="1"/>
      <w:numFmt w:val="bullet"/>
      <w:lvlText w:val=""/>
      <w:lvlJc w:val="left"/>
      <w:pPr>
        <w:ind w:left="5070" w:hanging="360"/>
      </w:pPr>
      <w:rPr>
        <w:rFonts w:ascii="Symbol" w:hAnsi="Symbol" w:hint="default"/>
      </w:rPr>
    </w:lvl>
    <w:lvl w:ilvl="7" w:tplc="04080003" w:tentative="1">
      <w:start w:val="1"/>
      <w:numFmt w:val="bullet"/>
      <w:lvlText w:val="o"/>
      <w:lvlJc w:val="left"/>
      <w:pPr>
        <w:ind w:left="5790" w:hanging="360"/>
      </w:pPr>
      <w:rPr>
        <w:rFonts w:ascii="Courier New" w:hAnsi="Courier New" w:cs="Courier New" w:hint="default"/>
      </w:rPr>
    </w:lvl>
    <w:lvl w:ilvl="8" w:tplc="04080005" w:tentative="1">
      <w:start w:val="1"/>
      <w:numFmt w:val="bullet"/>
      <w:lvlText w:val=""/>
      <w:lvlJc w:val="left"/>
      <w:pPr>
        <w:ind w:left="6510" w:hanging="360"/>
      </w:pPr>
      <w:rPr>
        <w:rFonts w:ascii="Wingdings" w:hAnsi="Wingdings" w:hint="default"/>
      </w:rPr>
    </w:lvl>
  </w:abstractNum>
  <w:abstractNum w:abstractNumId="37">
    <w:nsid w:val="20FF7C64"/>
    <w:multiLevelType w:val="hybridMultilevel"/>
    <w:tmpl w:val="CA4C42C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8">
    <w:nsid w:val="214768E8"/>
    <w:multiLevelType w:val="hybridMultilevel"/>
    <w:tmpl w:val="8F04326C"/>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39">
    <w:nsid w:val="2187655F"/>
    <w:multiLevelType w:val="multilevel"/>
    <w:tmpl w:val="0408001D"/>
    <w:styleLink w:val="20"/>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nsid w:val="2193399C"/>
    <w:multiLevelType w:val="multilevel"/>
    <w:tmpl w:val="0408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219745E6"/>
    <w:multiLevelType w:val="hybridMultilevel"/>
    <w:tmpl w:val="B8BEDF38"/>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42">
    <w:nsid w:val="224B5C4D"/>
    <w:multiLevelType w:val="hybridMultilevel"/>
    <w:tmpl w:val="7C868C78"/>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43">
    <w:nsid w:val="2374527F"/>
    <w:multiLevelType w:val="hybridMultilevel"/>
    <w:tmpl w:val="2670E9F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4">
    <w:nsid w:val="2406340A"/>
    <w:multiLevelType w:val="hybridMultilevel"/>
    <w:tmpl w:val="85405CEC"/>
    <w:lvl w:ilvl="0" w:tplc="04080001">
      <w:start w:val="1"/>
      <w:numFmt w:val="bullet"/>
      <w:lvlText w:val=""/>
      <w:lvlJc w:val="left"/>
      <w:pPr>
        <w:ind w:left="360" w:hanging="360"/>
      </w:pPr>
      <w:rPr>
        <w:rFonts w:ascii="Symbol" w:hAnsi="Symbol" w:hint="default"/>
      </w:rPr>
    </w:lvl>
    <w:lvl w:ilvl="1" w:tplc="5EF8BDE8">
      <w:numFmt w:val="bullet"/>
      <w:lvlText w:val="•"/>
      <w:lvlJc w:val="left"/>
      <w:pPr>
        <w:ind w:left="1440" w:hanging="720"/>
      </w:pPr>
      <w:rPr>
        <w:rFonts w:ascii="Calibri" w:eastAsia="Calibri" w:hAnsi="Calibri" w:cs="Calibri"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45">
    <w:nsid w:val="24D96180"/>
    <w:multiLevelType w:val="hybridMultilevel"/>
    <w:tmpl w:val="4878880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6">
    <w:nsid w:val="265E18A5"/>
    <w:multiLevelType w:val="multilevel"/>
    <w:tmpl w:val="84FC1956"/>
    <w:lvl w:ilvl="0">
      <w:start w:val="3"/>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nsid w:val="26885B1D"/>
    <w:multiLevelType w:val="hybridMultilevel"/>
    <w:tmpl w:val="B954793E"/>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8">
    <w:nsid w:val="270E0693"/>
    <w:multiLevelType w:val="hybridMultilevel"/>
    <w:tmpl w:val="E67A948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9">
    <w:nsid w:val="27FF28AD"/>
    <w:multiLevelType w:val="multilevel"/>
    <w:tmpl w:val="21BC6A60"/>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nsid w:val="29502CC6"/>
    <w:multiLevelType w:val="multilevel"/>
    <w:tmpl w:val="DD50E650"/>
    <w:styleLink w:val="23"/>
    <w:lvl w:ilvl="0">
      <w:start w:val="1"/>
      <w:numFmt w:val="decimal"/>
      <w:lvlText w:val="%1."/>
      <w:lvlJc w:val="left"/>
      <w:pPr>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1">
    <w:nsid w:val="29764027"/>
    <w:multiLevelType w:val="hybridMultilevel"/>
    <w:tmpl w:val="8E5CC8CA"/>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52">
    <w:nsid w:val="2A734469"/>
    <w:multiLevelType w:val="hybridMultilevel"/>
    <w:tmpl w:val="483A6A3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3">
    <w:nsid w:val="2AA00503"/>
    <w:multiLevelType w:val="multilevel"/>
    <w:tmpl w:val="0408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2B9412E2"/>
    <w:multiLevelType w:val="multilevel"/>
    <w:tmpl w:val="0408001D"/>
    <w:styleLink w:val="9"/>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5">
    <w:nsid w:val="2CA43CE5"/>
    <w:multiLevelType w:val="multilevel"/>
    <w:tmpl w:val="F8AA406A"/>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nsid w:val="2CEC2802"/>
    <w:multiLevelType w:val="multilevel"/>
    <w:tmpl w:val="6778CF2C"/>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nsid w:val="2E7214FD"/>
    <w:multiLevelType w:val="hybridMultilevel"/>
    <w:tmpl w:val="A8009C3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8">
    <w:nsid w:val="2E884B9E"/>
    <w:multiLevelType w:val="hybridMultilevel"/>
    <w:tmpl w:val="25824110"/>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59">
    <w:nsid w:val="312B6FFF"/>
    <w:multiLevelType w:val="hybridMultilevel"/>
    <w:tmpl w:val="B11E7000"/>
    <w:lvl w:ilvl="0" w:tplc="04080001">
      <w:start w:val="1"/>
      <w:numFmt w:val="bullet"/>
      <w:lvlText w:val=""/>
      <w:lvlJc w:val="left"/>
      <w:pPr>
        <w:ind w:left="360" w:hanging="360"/>
      </w:pPr>
      <w:rPr>
        <w:rFonts w:ascii="Symbol" w:hAnsi="Symbol" w:hint="default"/>
      </w:rPr>
    </w:lvl>
    <w:lvl w:ilvl="1" w:tplc="04080019">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60">
    <w:nsid w:val="31C8762E"/>
    <w:multiLevelType w:val="hybridMultilevel"/>
    <w:tmpl w:val="0C04658A"/>
    <w:lvl w:ilvl="0" w:tplc="249CBAC2">
      <w:start w:val="1"/>
      <w:numFmt w:val="decimal"/>
      <w:lvlText w:val="%1)"/>
      <w:lvlJc w:val="left"/>
      <w:pPr>
        <w:ind w:left="360" w:hanging="360"/>
      </w:pPr>
      <w:rPr>
        <w:rFonts w:ascii="Calibri" w:hAnsi="Calibri"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61">
    <w:nsid w:val="32505509"/>
    <w:multiLevelType w:val="hybridMultilevel"/>
    <w:tmpl w:val="F5B24010"/>
    <w:lvl w:ilvl="0" w:tplc="0EF4245E">
      <w:start w:val="1"/>
      <w:numFmt w:val="decimal"/>
      <w:lvlText w:val="%1."/>
      <w:lvlJc w:val="left"/>
      <w:pPr>
        <w:ind w:left="36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2">
    <w:nsid w:val="32A11857"/>
    <w:multiLevelType w:val="multilevel"/>
    <w:tmpl w:val="0408001F"/>
    <w:styleLink w:val="2"/>
    <w:lvl w:ilvl="0">
      <w:start w:val="1"/>
      <w:numFmt w:val="decimal"/>
      <w:lvlText w:val="%1."/>
      <w:lvlJc w:val="left"/>
      <w:pPr>
        <w:ind w:left="360" w:hanging="360"/>
      </w:pPr>
    </w:lvl>
    <w:lvl w:ilvl="1">
      <w:start w:val="2"/>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32D60AD4"/>
    <w:multiLevelType w:val="multilevel"/>
    <w:tmpl w:val="DD50E650"/>
    <w:styleLink w:val="24"/>
    <w:lvl w:ilvl="0">
      <w:start w:val="4"/>
      <w:numFmt w:val="decimal"/>
      <w:lvlText w:val="%1."/>
      <w:lvlJc w:val="left"/>
      <w:pPr>
        <w:ind w:left="36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4">
    <w:nsid w:val="35F528FA"/>
    <w:multiLevelType w:val="multilevel"/>
    <w:tmpl w:val="E3748FEE"/>
    <w:styleLink w:val="40"/>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nsid w:val="36982E1A"/>
    <w:multiLevelType w:val="multilevel"/>
    <w:tmpl w:val="0408001F"/>
    <w:styleLink w:val="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36D545F3"/>
    <w:multiLevelType w:val="multilevel"/>
    <w:tmpl w:val="0408001D"/>
    <w:styleLink w:val="5"/>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7">
    <w:nsid w:val="384A3447"/>
    <w:multiLevelType w:val="hybridMultilevel"/>
    <w:tmpl w:val="DB0A95D4"/>
    <w:lvl w:ilvl="0" w:tplc="6532CD84">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68">
    <w:nsid w:val="389D2BA9"/>
    <w:multiLevelType w:val="hybridMultilevel"/>
    <w:tmpl w:val="5C7A0990"/>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69">
    <w:nsid w:val="39245501"/>
    <w:multiLevelType w:val="hybridMultilevel"/>
    <w:tmpl w:val="A1D6F69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0">
    <w:nsid w:val="395D72A4"/>
    <w:multiLevelType w:val="multilevel"/>
    <w:tmpl w:val="0408001F"/>
    <w:styleLink w:val="19"/>
    <w:lvl w:ilvl="0">
      <w:start w:val="8"/>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3A3D6C9E"/>
    <w:multiLevelType w:val="hybridMultilevel"/>
    <w:tmpl w:val="745C8270"/>
    <w:lvl w:ilvl="0" w:tplc="2124C934">
      <w:start w:val="1"/>
      <w:numFmt w:val="decimal"/>
      <w:lvlText w:val="%1)"/>
      <w:lvlJc w:val="left"/>
      <w:pPr>
        <w:ind w:left="360" w:hanging="360"/>
      </w:pPr>
      <w:rPr>
        <w:rFonts w:ascii="Calibri" w:hAnsi="Calibri"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72">
    <w:nsid w:val="3AA45568"/>
    <w:multiLevelType w:val="hybridMultilevel"/>
    <w:tmpl w:val="8B047C1A"/>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73">
    <w:nsid w:val="3BF269EB"/>
    <w:multiLevelType w:val="hybridMultilevel"/>
    <w:tmpl w:val="578CF50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4">
    <w:nsid w:val="3E323AFA"/>
    <w:multiLevelType w:val="multilevel"/>
    <w:tmpl w:val="6382D054"/>
    <w:lvl w:ilvl="0">
      <w:start w:val="6"/>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nsid w:val="3F071DB5"/>
    <w:multiLevelType w:val="multilevel"/>
    <w:tmpl w:val="0FF2F960"/>
    <w:lvl w:ilvl="0">
      <w:start w:val="4"/>
      <w:numFmt w:val="decimal"/>
      <w:lvlText w:val="%1."/>
      <w:lvlJc w:val="left"/>
      <w:pPr>
        <w:ind w:left="360" w:hanging="360"/>
      </w:pPr>
      <w:rPr>
        <w:rFonts w:hint="default"/>
      </w:rPr>
    </w:lvl>
    <w:lvl w:ilvl="1">
      <w:start w:val="4"/>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nsid w:val="3F1F3C48"/>
    <w:multiLevelType w:val="hybridMultilevel"/>
    <w:tmpl w:val="D2164220"/>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77">
    <w:nsid w:val="3F7C268E"/>
    <w:multiLevelType w:val="hybridMultilevel"/>
    <w:tmpl w:val="C2887A66"/>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78">
    <w:nsid w:val="3FD22C47"/>
    <w:multiLevelType w:val="hybridMultilevel"/>
    <w:tmpl w:val="BE7658DA"/>
    <w:lvl w:ilvl="0" w:tplc="D902B4B6">
      <w:start w:val="1"/>
      <w:numFmt w:val="decimal"/>
      <w:lvlText w:val="%1."/>
      <w:lvlJc w:val="left"/>
      <w:pPr>
        <w:ind w:left="36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79">
    <w:nsid w:val="4226677B"/>
    <w:multiLevelType w:val="hybridMultilevel"/>
    <w:tmpl w:val="4FA8406A"/>
    <w:lvl w:ilvl="0" w:tplc="A2CABF14">
      <w:start w:val="1"/>
      <w:numFmt w:val="lowerLetter"/>
      <w:lvlText w:val="(%1)"/>
      <w:lvlJc w:val="left"/>
      <w:pPr>
        <w:ind w:left="36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80">
    <w:nsid w:val="43096B51"/>
    <w:multiLevelType w:val="hybridMultilevel"/>
    <w:tmpl w:val="D87EF7A8"/>
    <w:lvl w:ilvl="0" w:tplc="99863FD2">
      <w:start w:val="1"/>
      <w:numFmt w:val="lowerLetter"/>
      <w:lvlText w:val="(%1)"/>
      <w:lvlJc w:val="left"/>
      <w:pPr>
        <w:ind w:left="405" w:hanging="360"/>
      </w:pPr>
      <w:rPr>
        <w:rFonts w:hint="default"/>
      </w:rPr>
    </w:lvl>
    <w:lvl w:ilvl="1" w:tplc="04080019" w:tentative="1">
      <w:start w:val="1"/>
      <w:numFmt w:val="lowerLetter"/>
      <w:lvlText w:val="%2."/>
      <w:lvlJc w:val="left"/>
      <w:pPr>
        <w:ind w:left="1125" w:hanging="360"/>
      </w:pPr>
    </w:lvl>
    <w:lvl w:ilvl="2" w:tplc="0408001B" w:tentative="1">
      <w:start w:val="1"/>
      <w:numFmt w:val="lowerRoman"/>
      <w:lvlText w:val="%3."/>
      <w:lvlJc w:val="right"/>
      <w:pPr>
        <w:ind w:left="1845" w:hanging="180"/>
      </w:pPr>
    </w:lvl>
    <w:lvl w:ilvl="3" w:tplc="0408000F" w:tentative="1">
      <w:start w:val="1"/>
      <w:numFmt w:val="decimal"/>
      <w:lvlText w:val="%4."/>
      <w:lvlJc w:val="left"/>
      <w:pPr>
        <w:ind w:left="2565" w:hanging="360"/>
      </w:pPr>
    </w:lvl>
    <w:lvl w:ilvl="4" w:tplc="04080019" w:tentative="1">
      <w:start w:val="1"/>
      <w:numFmt w:val="lowerLetter"/>
      <w:lvlText w:val="%5."/>
      <w:lvlJc w:val="left"/>
      <w:pPr>
        <w:ind w:left="3285" w:hanging="360"/>
      </w:pPr>
    </w:lvl>
    <w:lvl w:ilvl="5" w:tplc="0408001B" w:tentative="1">
      <w:start w:val="1"/>
      <w:numFmt w:val="lowerRoman"/>
      <w:lvlText w:val="%6."/>
      <w:lvlJc w:val="right"/>
      <w:pPr>
        <w:ind w:left="4005" w:hanging="180"/>
      </w:pPr>
    </w:lvl>
    <w:lvl w:ilvl="6" w:tplc="0408000F" w:tentative="1">
      <w:start w:val="1"/>
      <w:numFmt w:val="decimal"/>
      <w:lvlText w:val="%7."/>
      <w:lvlJc w:val="left"/>
      <w:pPr>
        <w:ind w:left="4725" w:hanging="360"/>
      </w:pPr>
    </w:lvl>
    <w:lvl w:ilvl="7" w:tplc="04080019" w:tentative="1">
      <w:start w:val="1"/>
      <w:numFmt w:val="lowerLetter"/>
      <w:lvlText w:val="%8."/>
      <w:lvlJc w:val="left"/>
      <w:pPr>
        <w:ind w:left="5445" w:hanging="360"/>
      </w:pPr>
    </w:lvl>
    <w:lvl w:ilvl="8" w:tplc="0408001B" w:tentative="1">
      <w:start w:val="1"/>
      <w:numFmt w:val="lowerRoman"/>
      <w:lvlText w:val="%9."/>
      <w:lvlJc w:val="right"/>
      <w:pPr>
        <w:ind w:left="6165" w:hanging="180"/>
      </w:pPr>
    </w:lvl>
  </w:abstractNum>
  <w:abstractNum w:abstractNumId="81">
    <w:nsid w:val="44FB1D7F"/>
    <w:multiLevelType w:val="hybridMultilevel"/>
    <w:tmpl w:val="91F03D54"/>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82">
    <w:nsid w:val="45383841"/>
    <w:multiLevelType w:val="hybridMultilevel"/>
    <w:tmpl w:val="4816FE48"/>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83">
    <w:nsid w:val="45FB6FD7"/>
    <w:multiLevelType w:val="hybridMultilevel"/>
    <w:tmpl w:val="D7CA19F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4">
    <w:nsid w:val="465B4418"/>
    <w:multiLevelType w:val="multilevel"/>
    <w:tmpl w:val="C3B6B006"/>
    <w:styleLink w:val="16"/>
    <w:lvl w:ilvl="0">
      <w:start w:val="4"/>
      <w:numFmt w:val="decimal"/>
      <w:lvlText w:val="%1."/>
      <w:lvlJc w:val="left"/>
      <w:pPr>
        <w:ind w:left="720" w:hanging="360"/>
      </w:pPr>
    </w:lvl>
    <w:lvl w:ilvl="1">
      <w:start w:val="4"/>
      <w:numFmt w:val="decimal"/>
      <w:lvlText w:val="%2."/>
      <w:lvlJc w:val="left"/>
      <w:pPr>
        <w:ind w:left="1152" w:hanging="432"/>
      </w:pPr>
      <w:rPr>
        <w:rFonts w:hint="default"/>
      </w:r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5">
    <w:nsid w:val="480D6B64"/>
    <w:multiLevelType w:val="hybridMultilevel"/>
    <w:tmpl w:val="5D3EA55A"/>
    <w:lvl w:ilvl="0" w:tplc="0408000F">
      <w:start w:val="1"/>
      <w:numFmt w:val="decimal"/>
      <w:lvlText w:val="%1."/>
      <w:lvlJc w:val="left"/>
      <w:pPr>
        <w:ind w:left="360" w:hanging="360"/>
      </w:p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86">
    <w:nsid w:val="49685409"/>
    <w:multiLevelType w:val="hybridMultilevel"/>
    <w:tmpl w:val="39FA83D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7">
    <w:nsid w:val="4A184113"/>
    <w:multiLevelType w:val="hybridMultilevel"/>
    <w:tmpl w:val="5AF84784"/>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88">
    <w:nsid w:val="4BE00CBA"/>
    <w:multiLevelType w:val="hybridMultilevel"/>
    <w:tmpl w:val="D612335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9">
    <w:nsid w:val="4C2D2F18"/>
    <w:multiLevelType w:val="hybridMultilevel"/>
    <w:tmpl w:val="8F6CC79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90">
    <w:nsid w:val="505E7117"/>
    <w:multiLevelType w:val="hybridMultilevel"/>
    <w:tmpl w:val="A65A7C02"/>
    <w:lvl w:ilvl="0" w:tplc="4E825C8E">
      <w:start w:val="1"/>
      <w:numFmt w:val="decimal"/>
      <w:lvlText w:val="%1)"/>
      <w:lvlJc w:val="left"/>
      <w:pPr>
        <w:ind w:left="360" w:hanging="360"/>
      </w:pPr>
      <w:rPr>
        <w:rFonts w:ascii="Calibri" w:hAnsi="Calibri"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91">
    <w:nsid w:val="50E516C0"/>
    <w:multiLevelType w:val="multilevel"/>
    <w:tmpl w:val="0408001F"/>
    <w:styleLink w:val="6"/>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nsid w:val="51782163"/>
    <w:multiLevelType w:val="hybridMultilevel"/>
    <w:tmpl w:val="01406782"/>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93">
    <w:nsid w:val="52B52162"/>
    <w:multiLevelType w:val="hybridMultilevel"/>
    <w:tmpl w:val="AAA4C072"/>
    <w:lvl w:ilvl="0" w:tplc="0408000F">
      <w:start w:val="1"/>
      <w:numFmt w:val="decimal"/>
      <w:lvlText w:val="%1."/>
      <w:lvlJc w:val="left"/>
      <w:pPr>
        <w:ind w:left="360" w:hanging="360"/>
      </w:pPr>
    </w:lvl>
    <w:lvl w:ilvl="1" w:tplc="04080001">
      <w:start w:val="1"/>
      <w:numFmt w:val="bullet"/>
      <w:lvlText w:val=""/>
      <w:lvlJc w:val="left"/>
      <w:pPr>
        <w:ind w:left="1080" w:hanging="360"/>
      </w:pPr>
      <w:rPr>
        <w:rFonts w:ascii="Symbol" w:hAnsi="Symbol" w:hint="default"/>
      </w:r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94">
    <w:nsid w:val="538A2398"/>
    <w:multiLevelType w:val="hybridMultilevel"/>
    <w:tmpl w:val="5156A0D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95">
    <w:nsid w:val="53B347A6"/>
    <w:multiLevelType w:val="multilevel"/>
    <w:tmpl w:val="0408001F"/>
    <w:styleLink w:val="10"/>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nsid w:val="54BB558F"/>
    <w:multiLevelType w:val="hybridMultilevel"/>
    <w:tmpl w:val="31446E56"/>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97">
    <w:nsid w:val="5570753E"/>
    <w:multiLevelType w:val="hybridMultilevel"/>
    <w:tmpl w:val="140C5680"/>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98">
    <w:nsid w:val="595E3ECB"/>
    <w:multiLevelType w:val="hybridMultilevel"/>
    <w:tmpl w:val="61FC7AD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99">
    <w:nsid w:val="59BF4A45"/>
    <w:multiLevelType w:val="multilevel"/>
    <w:tmpl w:val="19006CC0"/>
    <w:lvl w:ilvl="0">
      <w:start w:val="2"/>
      <w:numFmt w:val="decimal"/>
      <w:lvlText w:val="%1."/>
      <w:lvlJc w:val="left"/>
      <w:pPr>
        <w:ind w:left="360" w:hanging="360"/>
      </w:pPr>
      <w:rPr>
        <w:rFonts w:hint="default"/>
      </w:rPr>
    </w:lvl>
    <w:lvl w:ilvl="1">
      <w:start w:val="4"/>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nsid w:val="5ACF1086"/>
    <w:multiLevelType w:val="hybridMultilevel"/>
    <w:tmpl w:val="0EA8B8B2"/>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01">
    <w:nsid w:val="5ADE441B"/>
    <w:multiLevelType w:val="hybridMultilevel"/>
    <w:tmpl w:val="EDE4E1EC"/>
    <w:lvl w:ilvl="0" w:tplc="0700ECDC">
      <w:start w:val="1"/>
      <w:numFmt w:val="decimal"/>
      <w:lvlText w:val="%1)"/>
      <w:lvlJc w:val="left"/>
      <w:pPr>
        <w:ind w:left="720" w:hanging="360"/>
      </w:pPr>
      <w:rPr>
        <w:rFonts w:ascii="Calibri" w:hAnsi="Calibri"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02">
    <w:nsid w:val="5B3544BD"/>
    <w:multiLevelType w:val="hybridMultilevel"/>
    <w:tmpl w:val="A6FC8A1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03">
    <w:nsid w:val="5B6D40FD"/>
    <w:multiLevelType w:val="hybridMultilevel"/>
    <w:tmpl w:val="562C3E20"/>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04">
    <w:nsid w:val="5C26552F"/>
    <w:multiLevelType w:val="multilevel"/>
    <w:tmpl w:val="7A360324"/>
    <w:lvl w:ilvl="0">
      <w:start w:val="4"/>
      <w:numFmt w:val="decimal"/>
      <w:lvlText w:val="%1."/>
      <w:lvlJc w:val="left"/>
      <w:pPr>
        <w:ind w:left="360" w:hanging="360"/>
      </w:pPr>
      <w:rPr>
        <w:rFonts w:hint="default"/>
      </w:rPr>
    </w:lvl>
    <w:lvl w:ilvl="1">
      <w:start w:val="4"/>
      <w:numFmt w:val="decimal"/>
      <w:lvlText w:val="%2."/>
      <w:lvlJc w:val="left"/>
      <w:pPr>
        <w:ind w:left="792" w:hanging="432"/>
      </w:pPr>
      <w:rPr>
        <w:rFonts w:hint="default"/>
      </w:rPr>
    </w:lvl>
    <w:lvl w:ilvl="2">
      <w:start w:val="2"/>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nsid w:val="5C7D7409"/>
    <w:multiLevelType w:val="hybridMultilevel"/>
    <w:tmpl w:val="A55A20E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06">
    <w:nsid w:val="5CC37333"/>
    <w:multiLevelType w:val="multilevel"/>
    <w:tmpl w:val="0408001D"/>
    <w:styleLink w:val="14"/>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7">
    <w:nsid w:val="5D891E5E"/>
    <w:multiLevelType w:val="hybridMultilevel"/>
    <w:tmpl w:val="8970F85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08">
    <w:nsid w:val="5E9B3B41"/>
    <w:multiLevelType w:val="hybridMultilevel"/>
    <w:tmpl w:val="C854F8F4"/>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09">
    <w:nsid w:val="600439DB"/>
    <w:multiLevelType w:val="hybridMultilevel"/>
    <w:tmpl w:val="6AC2348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0">
    <w:nsid w:val="602776A8"/>
    <w:multiLevelType w:val="hybridMultilevel"/>
    <w:tmpl w:val="A276372E"/>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11">
    <w:nsid w:val="60F44947"/>
    <w:multiLevelType w:val="hybridMultilevel"/>
    <w:tmpl w:val="5C34C4AC"/>
    <w:lvl w:ilvl="0" w:tplc="0408000F">
      <w:start w:val="1"/>
      <w:numFmt w:val="decimal"/>
      <w:lvlText w:val="%1."/>
      <w:lvlJc w:val="left"/>
      <w:pPr>
        <w:ind w:left="360" w:hanging="360"/>
      </w:pPr>
      <w:rPr>
        <w:rFonts w:hint="default"/>
      </w:rPr>
    </w:lvl>
    <w:lvl w:ilvl="1" w:tplc="04080019" w:tentative="1">
      <w:start w:val="1"/>
      <w:numFmt w:val="lowerLetter"/>
      <w:lvlText w:val="%2."/>
      <w:lvlJc w:val="left"/>
      <w:pPr>
        <w:ind w:left="873" w:hanging="360"/>
      </w:pPr>
    </w:lvl>
    <w:lvl w:ilvl="2" w:tplc="0408001B" w:tentative="1">
      <w:start w:val="1"/>
      <w:numFmt w:val="lowerRoman"/>
      <w:lvlText w:val="%3."/>
      <w:lvlJc w:val="right"/>
      <w:pPr>
        <w:ind w:left="1593" w:hanging="180"/>
      </w:pPr>
    </w:lvl>
    <w:lvl w:ilvl="3" w:tplc="0408000F" w:tentative="1">
      <w:start w:val="1"/>
      <w:numFmt w:val="decimal"/>
      <w:lvlText w:val="%4."/>
      <w:lvlJc w:val="left"/>
      <w:pPr>
        <w:ind w:left="2313" w:hanging="360"/>
      </w:pPr>
    </w:lvl>
    <w:lvl w:ilvl="4" w:tplc="04080019" w:tentative="1">
      <w:start w:val="1"/>
      <w:numFmt w:val="lowerLetter"/>
      <w:lvlText w:val="%5."/>
      <w:lvlJc w:val="left"/>
      <w:pPr>
        <w:ind w:left="3033" w:hanging="360"/>
      </w:pPr>
    </w:lvl>
    <w:lvl w:ilvl="5" w:tplc="0408001B" w:tentative="1">
      <w:start w:val="1"/>
      <w:numFmt w:val="lowerRoman"/>
      <w:lvlText w:val="%6."/>
      <w:lvlJc w:val="right"/>
      <w:pPr>
        <w:ind w:left="3753" w:hanging="180"/>
      </w:pPr>
    </w:lvl>
    <w:lvl w:ilvl="6" w:tplc="0408000F" w:tentative="1">
      <w:start w:val="1"/>
      <w:numFmt w:val="decimal"/>
      <w:lvlText w:val="%7."/>
      <w:lvlJc w:val="left"/>
      <w:pPr>
        <w:ind w:left="4473" w:hanging="360"/>
      </w:pPr>
    </w:lvl>
    <w:lvl w:ilvl="7" w:tplc="04080019" w:tentative="1">
      <w:start w:val="1"/>
      <w:numFmt w:val="lowerLetter"/>
      <w:lvlText w:val="%8."/>
      <w:lvlJc w:val="left"/>
      <w:pPr>
        <w:ind w:left="5193" w:hanging="360"/>
      </w:pPr>
    </w:lvl>
    <w:lvl w:ilvl="8" w:tplc="0408001B" w:tentative="1">
      <w:start w:val="1"/>
      <w:numFmt w:val="lowerRoman"/>
      <w:lvlText w:val="%9."/>
      <w:lvlJc w:val="right"/>
      <w:pPr>
        <w:ind w:left="5913" w:hanging="180"/>
      </w:pPr>
    </w:lvl>
  </w:abstractNum>
  <w:abstractNum w:abstractNumId="112">
    <w:nsid w:val="61542BDE"/>
    <w:multiLevelType w:val="hybridMultilevel"/>
    <w:tmpl w:val="17E28046"/>
    <w:lvl w:ilvl="0" w:tplc="7590B8A8">
      <w:start w:val="1"/>
      <w:numFmt w:val="decimal"/>
      <w:lvlText w:val="%1)"/>
      <w:lvlJc w:val="left"/>
      <w:pPr>
        <w:ind w:left="360" w:hanging="360"/>
      </w:pPr>
      <w:rPr>
        <w:rFonts w:ascii="Calibri" w:hAnsi="Calibri"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13">
    <w:nsid w:val="63515478"/>
    <w:multiLevelType w:val="hybridMultilevel"/>
    <w:tmpl w:val="AF36330E"/>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14">
    <w:nsid w:val="64414FF3"/>
    <w:multiLevelType w:val="hybridMultilevel"/>
    <w:tmpl w:val="A6E06A0C"/>
    <w:lvl w:ilvl="0" w:tplc="89FE6AFC">
      <w:start w:val="1"/>
      <w:numFmt w:val="decimal"/>
      <w:lvlText w:val="%1)"/>
      <w:lvlJc w:val="left"/>
      <w:pPr>
        <w:ind w:left="360" w:hanging="360"/>
      </w:pPr>
      <w:rPr>
        <w:rFonts w:ascii="Calibri" w:hAnsi="Calibri"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15">
    <w:nsid w:val="66C1445C"/>
    <w:multiLevelType w:val="multilevel"/>
    <w:tmpl w:val="0408001D"/>
    <w:styleLink w:val="3"/>
    <w:lvl w:ilvl="0">
      <w:start w:val="2"/>
      <w:numFmt w:val="decimal"/>
      <w:lvlText w:val="%1)"/>
      <w:lvlJc w:val="left"/>
      <w:pPr>
        <w:ind w:left="360" w:hanging="360"/>
      </w:pPr>
    </w:lvl>
    <w:lvl w:ilvl="1">
      <w:start w:val="1"/>
      <w:numFmt w:val="decimal"/>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6">
    <w:nsid w:val="675329CB"/>
    <w:multiLevelType w:val="hybridMultilevel"/>
    <w:tmpl w:val="7A4C569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7">
    <w:nsid w:val="67922217"/>
    <w:multiLevelType w:val="hybridMultilevel"/>
    <w:tmpl w:val="0916E360"/>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18">
    <w:nsid w:val="67C66578"/>
    <w:multiLevelType w:val="hybridMultilevel"/>
    <w:tmpl w:val="1F462F98"/>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19">
    <w:nsid w:val="684C06B8"/>
    <w:multiLevelType w:val="multilevel"/>
    <w:tmpl w:val="F0822AF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nsid w:val="686C46ED"/>
    <w:multiLevelType w:val="multilevel"/>
    <w:tmpl w:val="0408001D"/>
    <w:styleLink w:val="13"/>
    <w:lvl w:ilvl="0">
      <w:start w:val="3"/>
      <w:numFmt w:val="decimal"/>
      <w:lvlText w:val="%1)"/>
      <w:lvlJc w:val="left"/>
      <w:pPr>
        <w:ind w:left="360" w:hanging="360"/>
      </w:pPr>
    </w:lvl>
    <w:lvl w:ilvl="1">
      <w:start w:val="3"/>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5"/>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1">
    <w:nsid w:val="69176D47"/>
    <w:multiLevelType w:val="multilevel"/>
    <w:tmpl w:val="9FB08920"/>
    <w:styleLink w:val="15"/>
    <w:lvl w:ilvl="0">
      <w:start w:val="1"/>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2">
    <w:nsid w:val="6B267200"/>
    <w:multiLevelType w:val="hybridMultilevel"/>
    <w:tmpl w:val="98E2822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23">
    <w:nsid w:val="6E5330D3"/>
    <w:multiLevelType w:val="hybridMultilevel"/>
    <w:tmpl w:val="A512299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24">
    <w:nsid w:val="6F932C98"/>
    <w:multiLevelType w:val="hybridMultilevel"/>
    <w:tmpl w:val="2108A578"/>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25">
    <w:nsid w:val="702C12CF"/>
    <w:multiLevelType w:val="hybridMultilevel"/>
    <w:tmpl w:val="875EA4C2"/>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26">
    <w:nsid w:val="711A3EE7"/>
    <w:multiLevelType w:val="hybridMultilevel"/>
    <w:tmpl w:val="C22A4D00"/>
    <w:lvl w:ilvl="0" w:tplc="BFF23114">
      <w:start w:val="1"/>
      <w:numFmt w:val="decimal"/>
      <w:lvlText w:val="%1)"/>
      <w:lvlJc w:val="left"/>
      <w:pPr>
        <w:ind w:left="360" w:hanging="360"/>
      </w:pPr>
      <w:rPr>
        <w:rFonts w:ascii="Calibri" w:hAnsi="Calibri"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27">
    <w:nsid w:val="722B27A3"/>
    <w:multiLevelType w:val="multilevel"/>
    <w:tmpl w:val="0408001F"/>
    <w:styleLink w:val="17"/>
    <w:lvl w:ilvl="0">
      <w:start w:val="6"/>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nsid w:val="72E46EC0"/>
    <w:multiLevelType w:val="hybridMultilevel"/>
    <w:tmpl w:val="04CC407C"/>
    <w:lvl w:ilvl="0" w:tplc="50067FA8">
      <w:start w:val="1"/>
      <w:numFmt w:val="lowerLetter"/>
      <w:lvlText w:val="(%1)"/>
      <w:lvlJc w:val="left"/>
      <w:pPr>
        <w:ind w:left="360" w:hanging="360"/>
      </w:pPr>
      <w:rPr>
        <w:rFonts w:hint="default"/>
      </w:rPr>
    </w:lvl>
    <w:lvl w:ilvl="1" w:tplc="D1E0387A">
      <w:start w:val="1"/>
      <w:numFmt w:val="lowerLetter"/>
      <w:lvlText w:val="%2)"/>
      <w:lvlJc w:val="left"/>
      <w:pPr>
        <w:ind w:left="1440" w:hanging="360"/>
      </w:pPr>
      <w:rPr>
        <w:rFonts w:hint="default"/>
      </w:rPr>
    </w:lvl>
    <w:lvl w:ilvl="2" w:tplc="2EFE1DE8">
      <w:start w:val="1"/>
      <w:numFmt w:val="decimal"/>
      <w:lvlText w:val="%3"/>
      <w:lvlJc w:val="left"/>
      <w:pPr>
        <w:ind w:left="2340" w:hanging="360"/>
      </w:pPr>
      <w:rPr>
        <w:rFonts w:hint="default"/>
      </w:r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29">
    <w:nsid w:val="72F74A7E"/>
    <w:multiLevelType w:val="multilevel"/>
    <w:tmpl w:val="24E85D70"/>
    <w:styleLink w:val="11"/>
    <w:lvl w:ilvl="0">
      <w:start w:val="3"/>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nsid w:val="750222E3"/>
    <w:multiLevelType w:val="hybridMultilevel"/>
    <w:tmpl w:val="2018AD8E"/>
    <w:lvl w:ilvl="0" w:tplc="B972D288">
      <w:start w:val="1"/>
      <w:numFmt w:val="upperRoman"/>
      <w:lvlText w:val="%1."/>
      <w:lvlJc w:val="right"/>
      <w:pPr>
        <w:ind w:left="360" w:hanging="360"/>
      </w:pPr>
    </w:lvl>
    <w:lvl w:ilvl="1" w:tplc="62340218" w:tentative="1">
      <w:start w:val="1"/>
      <w:numFmt w:val="lowerLetter"/>
      <w:lvlText w:val="%2."/>
      <w:lvlJc w:val="left"/>
      <w:pPr>
        <w:ind w:left="1080" w:hanging="360"/>
      </w:pPr>
    </w:lvl>
    <w:lvl w:ilvl="2" w:tplc="99E69A60" w:tentative="1">
      <w:start w:val="1"/>
      <w:numFmt w:val="lowerRoman"/>
      <w:lvlText w:val="%3."/>
      <w:lvlJc w:val="right"/>
      <w:pPr>
        <w:ind w:left="1800" w:hanging="180"/>
      </w:pPr>
    </w:lvl>
    <w:lvl w:ilvl="3" w:tplc="BA10674A" w:tentative="1">
      <w:start w:val="1"/>
      <w:numFmt w:val="decimal"/>
      <w:lvlText w:val="%4."/>
      <w:lvlJc w:val="left"/>
      <w:pPr>
        <w:ind w:left="2520" w:hanging="360"/>
      </w:pPr>
    </w:lvl>
    <w:lvl w:ilvl="4" w:tplc="215878CA" w:tentative="1">
      <w:start w:val="1"/>
      <w:numFmt w:val="lowerLetter"/>
      <w:lvlText w:val="%5."/>
      <w:lvlJc w:val="left"/>
      <w:pPr>
        <w:ind w:left="3240" w:hanging="360"/>
      </w:pPr>
    </w:lvl>
    <w:lvl w:ilvl="5" w:tplc="4B36BA26" w:tentative="1">
      <w:start w:val="1"/>
      <w:numFmt w:val="lowerRoman"/>
      <w:lvlText w:val="%6."/>
      <w:lvlJc w:val="right"/>
      <w:pPr>
        <w:ind w:left="3960" w:hanging="180"/>
      </w:pPr>
    </w:lvl>
    <w:lvl w:ilvl="6" w:tplc="D54A05C6" w:tentative="1">
      <w:start w:val="1"/>
      <w:numFmt w:val="decimal"/>
      <w:lvlText w:val="%7."/>
      <w:lvlJc w:val="left"/>
      <w:pPr>
        <w:ind w:left="4680" w:hanging="360"/>
      </w:pPr>
    </w:lvl>
    <w:lvl w:ilvl="7" w:tplc="DCE4CC68" w:tentative="1">
      <w:start w:val="1"/>
      <w:numFmt w:val="lowerLetter"/>
      <w:lvlText w:val="%8."/>
      <w:lvlJc w:val="left"/>
      <w:pPr>
        <w:ind w:left="5400" w:hanging="360"/>
      </w:pPr>
    </w:lvl>
    <w:lvl w:ilvl="8" w:tplc="59FA40DE" w:tentative="1">
      <w:start w:val="1"/>
      <w:numFmt w:val="lowerRoman"/>
      <w:lvlText w:val="%9."/>
      <w:lvlJc w:val="right"/>
      <w:pPr>
        <w:ind w:left="6120" w:hanging="180"/>
      </w:pPr>
    </w:lvl>
  </w:abstractNum>
  <w:abstractNum w:abstractNumId="131">
    <w:nsid w:val="75B02E2D"/>
    <w:multiLevelType w:val="multilevel"/>
    <w:tmpl w:val="8B96A5B6"/>
    <w:lvl w:ilvl="0">
      <w:start w:val="4"/>
      <w:numFmt w:val="decimal"/>
      <w:lvlText w:val="%1."/>
      <w:lvlJc w:val="left"/>
      <w:pPr>
        <w:ind w:left="360" w:hanging="360"/>
      </w:pPr>
      <w:rPr>
        <w:rFonts w:hint="default"/>
      </w:rPr>
    </w:lvl>
    <w:lvl w:ilvl="1">
      <w:start w:val="5"/>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2">
    <w:nsid w:val="770B22AA"/>
    <w:multiLevelType w:val="hybridMultilevel"/>
    <w:tmpl w:val="3DE03432"/>
    <w:lvl w:ilvl="0" w:tplc="A2CABF14">
      <w:start w:val="1"/>
      <w:numFmt w:val="lowerLetter"/>
      <w:lvlText w:val="(%1)"/>
      <w:lvlJc w:val="left"/>
      <w:pPr>
        <w:ind w:left="360" w:hanging="360"/>
      </w:pPr>
      <w:rPr>
        <w:rFonts w:hint="default"/>
      </w:rPr>
    </w:lvl>
    <w:lvl w:ilvl="1" w:tplc="D1E0387A">
      <w:start w:val="1"/>
      <w:numFmt w:val="lowerLetter"/>
      <w:lvlText w:val="%2)"/>
      <w:lvlJc w:val="left"/>
      <w:pPr>
        <w:ind w:left="1440" w:hanging="360"/>
      </w:pPr>
      <w:rPr>
        <w:rFonts w:hint="default"/>
      </w:r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33">
    <w:nsid w:val="775B2A8F"/>
    <w:multiLevelType w:val="hybridMultilevel"/>
    <w:tmpl w:val="C90EB15C"/>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34">
    <w:nsid w:val="77A120AE"/>
    <w:multiLevelType w:val="hybridMultilevel"/>
    <w:tmpl w:val="F2E27B78"/>
    <w:lvl w:ilvl="0" w:tplc="24900F0C">
      <w:start w:val="1"/>
      <w:numFmt w:val="decimal"/>
      <w:lvlText w:val="%1)"/>
      <w:lvlJc w:val="left"/>
      <w:pPr>
        <w:ind w:left="720" w:hanging="360"/>
      </w:pPr>
      <w:rPr>
        <w:rFonts w:ascii="Calibri" w:hAnsi="Calibri"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35">
    <w:nsid w:val="78DE3527"/>
    <w:multiLevelType w:val="hybridMultilevel"/>
    <w:tmpl w:val="C122CC12"/>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36">
    <w:nsid w:val="795E67CC"/>
    <w:multiLevelType w:val="hybridMultilevel"/>
    <w:tmpl w:val="A27617A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37">
    <w:nsid w:val="7AE62DEE"/>
    <w:multiLevelType w:val="hybridMultilevel"/>
    <w:tmpl w:val="5F0CDEE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38">
    <w:nsid w:val="7B3B5744"/>
    <w:multiLevelType w:val="multilevel"/>
    <w:tmpl w:val="E23A7768"/>
    <w:lvl w:ilvl="0">
      <w:start w:val="2"/>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nsid w:val="7BA95CEB"/>
    <w:multiLevelType w:val="hybridMultilevel"/>
    <w:tmpl w:val="D4182F12"/>
    <w:lvl w:ilvl="0" w:tplc="0EF4245E">
      <w:start w:val="1"/>
      <w:numFmt w:val="decimal"/>
      <w:lvlText w:val="%1."/>
      <w:lvlJc w:val="left"/>
      <w:pPr>
        <w:ind w:left="36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40">
    <w:nsid w:val="7CAE7BF8"/>
    <w:multiLevelType w:val="multilevel"/>
    <w:tmpl w:val="E5BAA28C"/>
    <w:lvl w:ilvl="0">
      <w:start w:val="2"/>
      <w:numFmt w:val="decimal"/>
      <w:lvlText w:val="%1."/>
      <w:lvlJc w:val="left"/>
      <w:pPr>
        <w:ind w:left="360" w:hanging="360"/>
      </w:pPr>
      <w:rPr>
        <w:rFonts w:hint="default"/>
      </w:rPr>
    </w:lvl>
    <w:lvl w:ilvl="1">
      <w:start w:val="3"/>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1">
    <w:nsid w:val="7D852FE9"/>
    <w:multiLevelType w:val="hybridMultilevel"/>
    <w:tmpl w:val="7AFA60D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2">
    <w:nsid w:val="7E4F7C0D"/>
    <w:multiLevelType w:val="hybridMultilevel"/>
    <w:tmpl w:val="C278F7FE"/>
    <w:lvl w:ilvl="0" w:tplc="69A0ACD0">
      <w:start w:val="1"/>
      <w:numFmt w:val="lowerLetter"/>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43">
    <w:nsid w:val="7E8163AF"/>
    <w:multiLevelType w:val="hybridMultilevel"/>
    <w:tmpl w:val="10EEBB34"/>
    <w:lvl w:ilvl="0" w:tplc="BF48A6DE">
      <w:start w:val="1"/>
      <w:numFmt w:val="decimal"/>
      <w:lvlText w:val="%1)"/>
      <w:lvlJc w:val="left"/>
      <w:pPr>
        <w:ind w:left="360" w:hanging="360"/>
      </w:pPr>
      <w:rPr>
        <w:rFonts w:ascii="Calibri" w:hAnsi="Calibri"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44">
    <w:nsid w:val="7F0B0CF6"/>
    <w:multiLevelType w:val="multilevel"/>
    <w:tmpl w:val="0408001F"/>
    <w:styleLink w:val="12"/>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30"/>
  </w:num>
  <w:num w:numId="2">
    <w:abstractNumId w:val="82"/>
  </w:num>
  <w:num w:numId="3">
    <w:abstractNumId w:val="59"/>
  </w:num>
  <w:num w:numId="4">
    <w:abstractNumId w:val="7"/>
  </w:num>
  <w:num w:numId="5">
    <w:abstractNumId w:val="62"/>
  </w:num>
  <w:num w:numId="6">
    <w:abstractNumId w:val="115"/>
  </w:num>
  <w:num w:numId="7">
    <w:abstractNumId w:val="64"/>
  </w:num>
  <w:num w:numId="8">
    <w:abstractNumId w:val="93"/>
  </w:num>
  <w:num w:numId="9">
    <w:abstractNumId w:val="86"/>
  </w:num>
  <w:num w:numId="10">
    <w:abstractNumId w:val="18"/>
  </w:num>
  <w:num w:numId="11">
    <w:abstractNumId w:val="69"/>
  </w:num>
  <w:num w:numId="12">
    <w:abstractNumId w:val="116"/>
  </w:num>
  <w:num w:numId="13">
    <w:abstractNumId w:val="61"/>
  </w:num>
  <w:num w:numId="14">
    <w:abstractNumId w:val="139"/>
  </w:num>
  <w:num w:numId="15">
    <w:abstractNumId w:val="28"/>
  </w:num>
  <w:num w:numId="16">
    <w:abstractNumId w:val="119"/>
  </w:num>
  <w:num w:numId="17">
    <w:abstractNumId w:val="32"/>
  </w:num>
  <w:num w:numId="18">
    <w:abstractNumId w:val="78"/>
  </w:num>
  <w:num w:numId="19">
    <w:abstractNumId w:val="45"/>
  </w:num>
  <w:num w:numId="20">
    <w:abstractNumId w:val="38"/>
  </w:num>
  <w:num w:numId="21">
    <w:abstractNumId w:val="66"/>
  </w:num>
  <w:num w:numId="22">
    <w:abstractNumId w:val="3"/>
  </w:num>
  <w:num w:numId="23">
    <w:abstractNumId w:val="91"/>
  </w:num>
  <w:num w:numId="24">
    <w:abstractNumId w:val="17"/>
  </w:num>
  <w:num w:numId="25">
    <w:abstractNumId w:val="65"/>
  </w:num>
  <w:num w:numId="26">
    <w:abstractNumId w:val="54"/>
  </w:num>
  <w:num w:numId="27">
    <w:abstractNumId w:val="95"/>
  </w:num>
  <w:num w:numId="28">
    <w:abstractNumId w:val="129"/>
  </w:num>
  <w:num w:numId="29">
    <w:abstractNumId w:val="144"/>
  </w:num>
  <w:num w:numId="30">
    <w:abstractNumId w:val="120"/>
  </w:num>
  <w:num w:numId="31">
    <w:abstractNumId w:val="106"/>
  </w:num>
  <w:num w:numId="32">
    <w:abstractNumId w:val="121"/>
  </w:num>
  <w:num w:numId="33">
    <w:abstractNumId w:val="26"/>
  </w:num>
  <w:num w:numId="34">
    <w:abstractNumId w:val="108"/>
  </w:num>
  <w:num w:numId="35">
    <w:abstractNumId w:val="35"/>
  </w:num>
  <w:num w:numId="36">
    <w:abstractNumId w:val="15"/>
  </w:num>
  <w:num w:numId="37">
    <w:abstractNumId w:val="51"/>
  </w:num>
  <w:num w:numId="38">
    <w:abstractNumId w:val="34"/>
  </w:num>
  <w:num w:numId="39">
    <w:abstractNumId w:val="2"/>
  </w:num>
  <w:num w:numId="40">
    <w:abstractNumId w:val="13"/>
  </w:num>
  <w:num w:numId="41">
    <w:abstractNumId w:val="53"/>
  </w:num>
  <w:num w:numId="42">
    <w:abstractNumId w:val="117"/>
  </w:num>
  <w:num w:numId="43">
    <w:abstractNumId w:val="21"/>
  </w:num>
  <w:num w:numId="44">
    <w:abstractNumId w:val="85"/>
  </w:num>
  <w:num w:numId="45">
    <w:abstractNumId w:val="133"/>
  </w:num>
  <w:num w:numId="46">
    <w:abstractNumId w:val="36"/>
  </w:num>
  <w:num w:numId="47">
    <w:abstractNumId w:val="5"/>
  </w:num>
  <w:num w:numId="48">
    <w:abstractNumId w:val="1"/>
  </w:num>
  <w:num w:numId="49">
    <w:abstractNumId w:val="81"/>
  </w:num>
  <w:num w:numId="50">
    <w:abstractNumId w:val="58"/>
  </w:num>
  <w:num w:numId="51">
    <w:abstractNumId w:val="100"/>
  </w:num>
  <w:num w:numId="52">
    <w:abstractNumId w:val="4"/>
  </w:num>
  <w:num w:numId="53">
    <w:abstractNumId w:val="12"/>
  </w:num>
  <w:num w:numId="54">
    <w:abstractNumId w:val="87"/>
  </w:num>
  <w:num w:numId="55">
    <w:abstractNumId w:val="41"/>
  </w:num>
  <w:num w:numId="56">
    <w:abstractNumId w:val="124"/>
  </w:num>
  <w:num w:numId="57">
    <w:abstractNumId w:val="96"/>
  </w:num>
  <w:num w:numId="58">
    <w:abstractNumId w:val="103"/>
  </w:num>
  <w:num w:numId="59">
    <w:abstractNumId w:val="16"/>
  </w:num>
  <w:num w:numId="60">
    <w:abstractNumId w:val="9"/>
  </w:num>
  <w:num w:numId="61">
    <w:abstractNumId w:val="97"/>
  </w:num>
  <w:num w:numId="62">
    <w:abstractNumId w:val="128"/>
  </w:num>
  <w:num w:numId="63">
    <w:abstractNumId w:val="132"/>
  </w:num>
  <w:num w:numId="64">
    <w:abstractNumId w:val="79"/>
  </w:num>
  <w:num w:numId="65">
    <w:abstractNumId w:val="80"/>
  </w:num>
  <w:num w:numId="66">
    <w:abstractNumId w:val="72"/>
  </w:num>
  <w:num w:numId="67">
    <w:abstractNumId w:val="92"/>
  </w:num>
  <w:num w:numId="68">
    <w:abstractNumId w:val="68"/>
  </w:num>
  <w:num w:numId="69">
    <w:abstractNumId w:val="142"/>
  </w:num>
  <w:num w:numId="70">
    <w:abstractNumId w:val="113"/>
  </w:num>
  <w:num w:numId="71">
    <w:abstractNumId w:val="101"/>
  </w:num>
  <w:num w:numId="72">
    <w:abstractNumId w:val="112"/>
  </w:num>
  <w:num w:numId="73">
    <w:abstractNumId w:val="90"/>
  </w:num>
  <w:num w:numId="74">
    <w:abstractNumId w:val="11"/>
  </w:num>
  <w:num w:numId="75">
    <w:abstractNumId w:val="71"/>
  </w:num>
  <w:num w:numId="76">
    <w:abstractNumId w:val="67"/>
  </w:num>
  <w:num w:numId="77">
    <w:abstractNumId w:val="42"/>
  </w:num>
  <w:num w:numId="78">
    <w:abstractNumId w:val="114"/>
  </w:num>
  <w:num w:numId="79">
    <w:abstractNumId w:val="135"/>
  </w:num>
  <w:num w:numId="80">
    <w:abstractNumId w:val="118"/>
  </w:num>
  <w:num w:numId="81">
    <w:abstractNumId w:val="143"/>
  </w:num>
  <w:num w:numId="82">
    <w:abstractNumId w:val="125"/>
  </w:num>
  <w:num w:numId="83">
    <w:abstractNumId w:val="126"/>
  </w:num>
  <w:num w:numId="84">
    <w:abstractNumId w:val="30"/>
  </w:num>
  <w:num w:numId="85">
    <w:abstractNumId w:val="76"/>
  </w:num>
  <w:num w:numId="86">
    <w:abstractNumId w:val="60"/>
  </w:num>
  <w:num w:numId="87">
    <w:abstractNumId w:val="110"/>
  </w:num>
  <w:num w:numId="88">
    <w:abstractNumId w:val="134"/>
  </w:num>
  <w:num w:numId="89">
    <w:abstractNumId w:val="19"/>
  </w:num>
  <w:num w:numId="90">
    <w:abstractNumId w:val="111"/>
  </w:num>
  <w:num w:numId="91">
    <w:abstractNumId w:val="84"/>
  </w:num>
  <w:num w:numId="92">
    <w:abstractNumId w:val="127"/>
  </w:num>
  <w:num w:numId="93">
    <w:abstractNumId w:val="10"/>
  </w:num>
  <w:num w:numId="94">
    <w:abstractNumId w:val="70"/>
  </w:num>
  <w:num w:numId="95">
    <w:abstractNumId w:val="39"/>
  </w:num>
  <w:num w:numId="96">
    <w:abstractNumId w:val="0"/>
  </w:num>
  <w:num w:numId="97">
    <w:abstractNumId w:val="14"/>
  </w:num>
  <w:num w:numId="98">
    <w:abstractNumId w:val="40"/>
  </w:num>
  <w:num w:numId="99">
    <w:abstractNumId w:val="104"/>
  </w:num>
  <w:num w:numId="100">
    <w:abstractNumId w:val="131"/>
  </w:num>
  <w:num w:numId="101">
    <w:abstractNumId w:val="47"/>
  </w:num>
  <w:num w:numId="102">
    <w:abstractNumId w:val="56"/>
  </w:num>
  <w:num w:numId="103">
    <w:abstractNumId w:val="138"/>
  </w:num>
  <w:num w:numId="104">
    <w:abstractNumId w:val="140"/>
  </w:num>
  <w:num w:numId="105">
    <w:abstractNumId w:val="99"/>
  </w:num>
  <w:num w:numId="106">
    <w:abstractNumId w:val="23"/>
  </w:num>
  <w:num w:numId="107">
    <w:abstractNumId w:val="50"/>
  </w:num>
  <w:num w:numId="108">
    <w:abstractNumId w:val="63"/>
  </w:num>
  <w:num w:numId="109">
    <w:abstractNumId w:val="29"/>
  </w:num>
  <w:num w:numId="110">
    <w:abstractNumId w:val="55"/>
  </w:num>
  <w:num w:numId="111">
    <w:abstractNumId w:val="24"/>
  </w:num>
  <w:num w:numId="112">
    <w:abstractNumId w:val="75"/>
  </w:num>
  <w:num w:numId="113">
    <w:abstractNumId w:val="6"/>
  </w:num>
  <w:num w:numId="114">
    <w:abstractNumId w:val="8"/>
  </w:num>
  <w:num w:numId="115">
    <w:abstractNumId w:val="74"/>
  </w:num>
  <w:num w:numId="116">
    <w:abstractNumId w:val="49"/>
  </w:num>
  <w:num w:numId="117">
    <w:abstractNumId w:val="46"/>
  </w:num>
  <w:num w:numId="118">
    <w:abstractNumId w:val="137"/>
  </w:num>
  <w:num w:numId="119">
    <w:abstractNumId w:val="77"/>
  </w:num>
  <w:num w:numId="120">
    <w:abstractNumId w:val="44"/>
  </w:num>
  <w:num w:numId="121">
    <w:abstractNumId w:val="22"/>
  </w:num>
  <w:num w:numId="122">
    <w:abstractNumId w:val="123"/>
  </w:num>
  <w:num w:numId="123">
    <w:abstractNumId w:val="141"/>
  </w:num>
  <w:num w:numId="124">
    <w:abstractNumId w:val="31"/>
  </w:num>
  <w:num w:numId="125">
    <w:abstractNumId w:val="89"/>
  </w:num>
  <w:num w:numId="126">
    <w:abstractNumId w:val="73"/>
  </w:num>
  <w:num w:numId="127">
    <w:abstractNumId w:val="98"/>
  </w:num>
  <w:num w:numId="128">
    <w:abstractNumId w:val="43"/>
  </w:num>
  <w:num w:numId="129">
    <w:abstractNumId w:val="27"/>
  </w:num>
  <w:num w:numId="130">
    <w:abstractNumId w:val="57"/>
  </w:num>
  <w:num w:numId="131">
    <w:abstractNumId w:val="33"/>
  </w:num>
  <w:num w:numId="132">
    <w:abstractNumId w:val="88"/>
  </w:num>
  <w:num w:numId="133">
    <w:abstractNumId w:val="52"/>
  </w:num>
  <w:num w:numId="134">
    <w:abstractNumId w:val="48"/>
  </w:num>
  <w:num w:numId="135">
    <w:abstractNumId w:val="122"/>
  </w:num>
  <w:num w:numId="136">
    <w:abstractNumId w:val="25"/>
  </w:num>
  <w:num w:numId="137">
    <w:abstractNumId w:val="102"/>
  </w:num>
  <w:num w:numId="138">
    <w:abstractNumId w:val="105"/>
  </w:num>
  <w:num w:numId="139">
    <w:abstractNumId w:val="107"/>
  </w:num>
  <w:num w:numId="140">
    <w:abstractNumId w:val="94"/>
  </w:num>
  <w:num w:numId="141">
    <w:abstractNumId w:val="136"/>
  </w:num>
  <w:num w:numId="142">
    <w:abstractNumId w:val="83"/>
  </w:num>
  <w:num w:numId="143">
    <w:abstractNumId w:val="109"/>
  </w:num>
  <w:num w:numId="144">
    <w:abstractNumId w:val="37"/>
  </w:num>
  <w:num w:numId="145">
    <w:abstractNumId w:val="20"/>
  </w:num>
  <w:numIdMacAtCleanup w:val="14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hideSpellingErrors/>
  <w:hideGrammaticalErrors/>
  <w:activeWritingStyle w:appName="MSWord" w:lang="en-US" w:vendorID="64" w:dllVersion="131078" w:nlCheck="1" w:checkStyle="0"/>
  <w:activeWritingStyle w:appName="MSWord" w:lang="en-GB" w:vendorID="64" w:dllVersion="131078" w:nlCheck="1" w:checkStyle="1"/>
  <w:activeWritingStyle w:appName="MSWord" w:lang="en-CA" w:vendorID="64" w:dllVersion="131078" w:nlCheck="1" w:checkStyle="1"/>
  <w:defaultTabStop w:val="720"/>
  <w:characterSpacingControl w:val="doNotCompress"/>
  <w:savePreviewPicture/>
  <w:footnotePr>
    <w:footnote w:id="-1"/>
    <w:footnote w:id="0"/>
  </w:footnotePr>
  <w:endnotePr>
    <w:endnote w:id="-1"/>
    <w:endnote w:id="0"/>
  </w:endnotePr>
  <w:compat/>
  <w:rsids>
    <w:rsidRoot w:val="00550F43"/>
    <w:rsid w:val="00001CDF"/>
    <w:rsid w:val="00001F35"/>
    <w:rsid w:val="00003210"/>
    <w:rsid w:val="0000347C"/>
    <w:rsid w:val="000042BF"/>
    <w:rsid w:val="00004447"/>
    <w:rsid w:val="00010403"/>
    <w:rsid w:val="000104CB"/>
    <w:rsid w:val="00010A48"/>
    <w:rsid w:val="00012140"/>
    <w:rsid w:val="0001255B"/>
    <w:rsid w:val="00012754"/>
    <w:rsid w:val="00012A10"/>
    <w:rsid w:val="00013515"/>
    <w:rsid w:val="00013835"/>
    <w:rsid w:val="00013867"/>
    <w:rsid w:val="000143B4"/>
    <w:rsid w:val="00014E51"/>
    <w:rsid w:val="0001615C"/>
    <w:rsid w:val="00017818"/>
    <w:rsid w:val="00017FB4"/>
    <w:rsid w:val="00020156"/>
    <w:rsid w:val="0002038C"/>
    <w:rsid w:val="00020D6F"/>
    <w:rsid w:val="00020DAB"/>
    <w:rsid w:val="00021BFA"/>
    <w:rsid w:val="0002279F"/>
    <w:rsid w:val="00025809"/>
    <w:rsid w:val="000310DD"/>
    <w:rsid w:val="0003164D"/>
    <w:rsid w:val="000319BD"/>
    <w:rsid w:val="00031B80"/>
    <w:rsid w:val="000326F6"/>
    <w:rsid w:val="00032C8D"/>
    <w:rsid w:val="00033101"/>
    <w:rsid w:val="0003499D"/>
    <w:rsid w:val="000368CE"/>
    <w:rsid w:val="00040924"/>
    <w:rsid w:val="000414F2"/>
    <w:rsid w:val="000425E7"/>
    <w:rsid w:val="000443EA"/>
    <w:rsid w:val="00044CC4"/>
    <w:rsid w:val="00044EA5"/>
    <w:rsid w:val="0004513C"/>
    <w:rsid w:val="00045341"/>
    <w:rsid w:val="00045ABA"/>
    <w:rsid w:val="00045E95"/>
    <w:rsid w:val="0004638B"/>
    <w:rsid w:val="00047F2F"/>
    <w:rsid w:val="00050C96"/>
    <w:rsid w:val="00051D62"/>
    <w:rsid w:val="000525C6"/>
    <w:rsid w:val="00052A71"/>
    <w:rsid w:val="00053F6B"/>
    <w:rsid w:val="000544A1"/>
    <w:rsid w:val="000546E4"/>
    <w:rsid w:val="00054C3C"/>
    <w:rsid w:val="00054C4E"/>
    <w:rsid w:val="000566B3"/>
    <w:rsid w:val="00056BDA"/>
    <w:rsid w:val="0005735A"/>
    <w:rsid w:val="0006164F"/>
    <w:rsid w:val="000632DB"/>
    <w:rsid w:val="00064F6C"/>
    <w:rsid w:val="000653D3"/>
    <w:rsid w:val="00065443"/>
    <w:rsid w:val="000656A4"/>
    <w:rsid w:val="00065BAD"/>
    <w:rsid w:val="0006764E"/>
    <w:rsid w:val="00067E64"/>
    <w:rsid w:val="00070807"/>
    <w:rsid w:val="00070A5F"/>
    <w:rsid w:val="000729FE"/>
    <w:rsid w:val="00074600"/>
    <w:rsid w:val="00074DEA"/>
    <w:rsid w:val="00074DED"/>
    <w:rsid w:val="000750C7"/>
    <w:rsid w:val="00077725"/>
    <w:rsid w:val="0008037E"/>
    <w:rsid w:val="00083727"/>
    <w:rsid w:val="00083EB0"/>
    <w:rsid w:val="000847BF"/>
    <w:rsid w:val="000848D6"/>
    <w:rsid w:val="00084A46"/>
    <w:rsid w:val="0008565B"/>
    <w:rsid w:val="00086391"/>
    <w:rsid w:val="0009020D"/>
    <w:rsid w:val="00090687"/>
    <w:rsid w:val="00092610"/>
    <w:rsid w:val="00092C30"/>
    <w:rsid w:val="00094621"/>
    <w:rsid w:val="00095020"/>
    <w:rsid w:val="00095A35"/>
    <w:rsid w:val="00097280"/>
    <w:rsid w:val="000974B9"/>
    <w:rsid w:val="000974D7"/>
    <w:rsid w:val="000A0664"/>
    <w:rsid w:val="000A1632"/>
    <w:rsid w:val="000A2D16"/>
    <w:rsid w:val="000A3662"/>
    <w:rsid w:val="000A37D7"/>
    <w:rsid w:val="000A40B1"/>
    <w:rsid w:val="000A45F7"/>
    <w:rsid w:val="000A4D01"/>
    <w:rsid w:val="000A5126"/>
    <w:rsid w:val="000A7F32"/>
    <w:rsid w:val="000B03CC"/>
    <w:rsid w:val="000B0F3A"/>
    <w:rsid w:val="000B1175"/>
    <w:rsid w:val="000B121E"/>
    <w:rsid w:val="000B132C"/>
    <w:rsid w:val="000B1E01"/>
    <w:rsid w:val="000B1F11"/>
    <w:rsid w:val="000B3DC6"/>
    <w:rsid w:val="000B4217"/>
    <w:rsid w:val="000B432F"/>
    <w:rsid w:val="000B4781"/>
    <w:rsid w:val="000B4DD7"/>
    <w:rsid w:val="000B5238"/>
    <w:rsid w:val="000B7506"/>
    <w:rsid w:val="000B7986"/>
    <w:rsid w:val="000B7A78"/>
    <w:rsid w:val="000B7D87"/>
    <w:rsid w:val="000C2E9E"/>
    <w:rsid w:val="000C4CA3"/>
    <w:rsid w:val="000C5096"/>
    <w:rsid w:val="000C58A2"/>
    <w:rsid w:val="000C5CD2"/>
    <w:rsid w:val="000C680D"/>
    <w:rsid w:val="000C72F7"/>
    <w:rsid w:val="000C7DA9"/>
    <w:rsid w:val="000D0325"/>
    <w:rsid w:val="000D037E"/>
    <w:rsid w:val="000D053B"/>
    <w:rsid w:val="000D074F"/>
    <w:rsid w:val="000D5266"/>
    <w:rsid w:val="000D6598"/>
    <w:rsid w:val="000D6AFB"/>
    <w:rsid w:val="000D6C62"/>
    <w:rsid w:val="000E0288"/>
    <w:rsid w:val="000E03F0"/>
    <w:rsid w:val="000E1C1C"/>
    <w:rsid w:val="000E28FC"/>
    <w:rsid w:val="000E325B"/>
    <w:rsid w:val="000E404D"/>
    <w:rsid w:val="000E43D4"/>
    <w:rsid w:val="000E4D02"/>
    <w:rsid w:val="000E7762"/>
    <w:rsid w:val="000E7DBC"/>
    <w:rsid w:val="000F1D42"/>
    <w:rsid w:val="000F3D46"/>
    <w:rsid w:val="000F5C39"/>
    <w:rsid w:val="000F7960"/>
    <w:rsid w:val="000F7D09"/>
    <w:rsid w:val="001002AD"/>
    <w:rsid w:val="0010070F"/>
    <w:rsid w:val="00100EC7"/>
    <w:rsid w:val="0010246A"/>
    <w:rsid w:val="001030B0"/>
    <w:rsid w:val="00103D75"/>
    <w:rsid w:val="001046D7"/>
    <w:rsid w:val="00104BB3"/>
    <w:rsid w:val="00105499"/>
    <w:rsid w:val="0010670D"/>
    <w:rsid w:val="0010787E"/>
    <w:rsid w:val="001078B1"/>
    <w:rsid w:val="00110647"/>
    <w:rsid w:val="0011135E"/>
    <w:rsid w:val="00112239"/>
    <w:rsid w:val="00112CB9"/>
    <w:rsid w:val="0011450E"/>
    <w:rsid w:val="00114F83"/>
    <w:rsid w:val="00115B49"/>
    <w:rsid w:val="001160C2"/>
    <w:rsid w:val="001160EE"/>
    <w:rsid w:val="00116F5C"/>
    <w:rsid w:val="00120FF4"/>
    <w:rsid w:val="00122B8D"/>
    <w:rsid w:val="00122DA9"/>
    <w:rsid w:val="001231C4"/>
    <w:rsid w:val="00123758"/>
    <w:rsid w:val="00123982"/>
    <w:rsid w:val="0012455B"/>
    <w:rsid w:val="00124678"/>
    <w:rsid w:val="00125190"/>
    <w:rsid w:val="00125896"/>
    <w:rsid w:val="0012641C"/>
    <w:rsid w:val="00127016"/>
    <w:rsid w:val="001271AB"/>
    <w:rsid w:val="00130449"/>
    <w:rsid w:val="001328BD"/>
    <w:rsid w:val="00132A08"/>
    <w:rsid w:val="00133A0E"/>
    <w:rsid w:val="00134664"/>
    <w:rsid w:val="0013508A"/>
    <w:rsid w:val="00136281"/>
    <w:rsid w:val="00136DE6"/>
    <w:rsid w:val="001375DC"/>
    <w:rsid w:val="001376A8"/>
    <w:rsid w:val="00143097"/>
    <w:rsid w:val="001441C3"/>
    <w:rsid w:val="001444B7"/>
    <w:rsid w:val="00145B7C"/>
    <w:rsid w:val="00145F7B"/>
    <w:rsid w:val="001462BA"/>
    <w:rsid w:val="00146A0B"/>
    <w:rsid w:val="00147973"/>
    <w:rsid w:val="00147B49"/>
    <w:rsid w:val="0015140F"/>
    <w:rsid w:val="00152300"/>
    <w:rsid w:val="001523A6"/>
    <w:rsid w:val="0015240C"/>
    <w:rsid w:val="0015362F"/>
    <w:rsid w:val="001543D5"/>
    <w:rsid w:val="0015457D"/>
    <w:rsid w:val="00155E11"/>
    <w:rsid w:val="00156254"/>
    <w:rsid w:val="001577F2"/>
    <w:rsid w:val="00157D27"/>
    <w:rsid w:val="001601CC"/>
    <w:rsid w:val="00160D7A"/>
    <w:rsid w:val="00161B6D"/>
    <w:rsid w:val="00161D50"/>
    <w:rsid w:val="001630E4"/>
    <w:rsid w:val="00164AA3"/>
    <w:rsid w:val="00165FAE"/>
    <w:rsid w:val="00166FF4"/>
    <w:rsid w:val="001674AE"/>
    <w:rsid w:val="001705D4"/>
    <w:rsid w:val="0017184E"/>
    <w:rsid w:val="00171DE3"/>
    <w:rsid w:val="001720A0"/>
    <w:rsid w:val="001727A3"/>
    <w:rsid w:val="00173E12"/>
    <w:rsid w:val="00175070"/>
    <w:rsid w:val="001773AE"/>
    <w:rsid w:val="0018066A"/>
    <w:rsid w:val="001819FC"/>
    <w:rsid w:val="00183144"/>
    <w:rsid w:val="001834C7"/>
    <w:rsid w:val="00183F40"/>
    <w:rsid w:val="00184087"/>
    <w:rsid w:val="001843FB"/>
    <w:rsid w:val="001844EA"/>
    <w:rsid w:val="001864EB"/>
    <w:rsid w:val="00186569"/>
    <w:rsid w:val="00187166"/>
    <w:rsid w:val="001872C0"/>
    <w:rsid w:val="00187E09"/>
    <w:rsid w:val="00187E7E"/>
    <w:rsid w:val="00190BDD"/>
    <w:rsid w:val="00191D17"/>
    <w:rsid w:val="00191F4B"/>
    <w:rsid w:val="00192086"/>
    <w:rsid w:val="001929ED"/>
    <w:rsid w:val="00194EAE"/>
    <w:rsid w:val="001955A1"/>
    <w:rsid w:val="00196F83"/>
    <w:rsid w:val="00197199"/>
    <w:rsid w:val="001979E4"/>
    <w:rsid w:val="00197BA9"/>
    <w:rsid w:val="00197E11"/>
    <w:rsid w:val="001A15D2"/>
    <w:rsid w:val="001A182E"/>
    <w:rsid w:val="001A1AD7"/>
    <w:rsid w:val="001A252E"/>
    <w:rsid w:val="001A3DFD"/>
    <w:rsid w:val="001A4267"/>
    <w:rsid w:val="001A6452"/>
    <w:rsid w:val="001A7535"/>
    <w:rsid w:val="001B0674"/>
    <w:rsid w:val="001B08AB"/>
    <w:rsid w:val="001B0D74"/>
    <w:rsid w:val="001B0E6D"/>
    <w:rsid w:val="001B20CD"/>
    <w:rsid w:val="001B59FD"/>
    <w:rsid w:val="001B63BB"/>
    <w:rsid w:val="001B6820"/>
    <w:rsid w:val="001C081D"/>
    <w:rsid w:val="001C09F7"/>
    <w:rsid w:val="001C1D63"/>
    <w:rsid w:val="001C2698"/>
    <w:rsid w:val="001C2824"/>
    <w:rsid w:val="001C2835"/>
    <w:rsid w:val="001C2D3A"/>
    <w:rsid w:val="001C3119"/>
    <w:rsid w:val="001C324A"/>
    <w:rsid w:val="001C3550"/>
    <w:rsid w:val="001C3835"/>
    <w:rsid w:val="001C5536"/>
    <w:rsid w:val="001C55EC"/>
    <w:rsid w:val="001C75F9"/>
    <w:rsid w:val="001D00C0"/>
    <w:rsid w:val="001D0E84"/>
    <w:rsid w:val="001D1EAA"/>
    <w:rsid w:val="001D25F8"/>
    <w:rsid w:val="001D3E1F"/>
    <w:rsid w:val="001D515F"/>
    <w:rsid w:val="001D5A9B"/>
    <w:rsid w:val="001D709C"/>
    <w:rsid w:val="001E0361"/>
    <w:rsid w:val="001E16D7"/>
    <w:rsid w:val="001E16EF"/>
    <w:rsid w:val="001E2FAB"/>
    <w:rsid w:val="001E3B98"/>
    <w:rsid w:val="001E4917"/>
    <w:rsid w:val="001E5547"/>
    <w:rsid w:val="001E6BCD"/>
    <w:rsid w:val="001F0A07"/>
    <w:rsid w:val="001F15CD"/>
    <w:rsid w:val="001F1B3C"/>
    <w:rsid w:val="001F3B3C"/>
    <w:rsid w:val="001F3D24"/>
    <w:rsid w:val="001F3E06"/>
    <w:rsid w:val="001F406D"/>
    <w:rsid w:val="001F4F1F"/>
    <w:rsid w:val="001F568C"/>
    <w:rsid w:val="001F79D1"/>
    <w:rsid w:val="00202084"/>
    <w:rsid w:val="00202093"/>
    <w:rsid w:val="00203165"/>
    <w:rsid w:val="0020380A"/>
    <w:rsid w:val="002042AF"/>
    <w:rsid w:val="00204A10"/>
    <w:rsid w:val="00205242"/>
    <w:rsid w:val="00206913"/>
    <w:rsid w:val="00207612"/>
    <w:rsid w:val="00207A02"/>
    <w:rsid w:val="00207A62"/>
    <w:rsid w:val="00207C6D"/>
    <w:rsid w:val="00207CF2"/>
    <w:rsid w:val="00210189"/>
    <w:rsid w:val="0021193E"/>
    <w:rsid w:val="0021267F"/>
    <w:rsid w:val="002126A1"/>
    <w:rsid w:val="00212846"/>
    <w:rsid w:val="00212BED"/>
    <w:rsid w:val="00213F64"/>
    <w:rsid w:val="00214D9E"/>
    <w:rsid w:val="00215441"/>
    <w:rsid w:val="002165F9"/>
    <w:rsid w:val="002171E5"/>
    <w:rsid w:val="00217B5B"/>
    <w:rsid w:val="002202EC"/>
    <w:rsid w:val="002215DE"/>
    <w:rsid w:val="00222D1B"/>
    <w:rsid w:val="00222E7E"/>
    <w:rsid w:val="00223478"/>
    <w:rsid w:val="0022428F"/>
    <w:rsid w:val="00224420"/>
    <w:rsid w:val="002255A4"/>
    <w:rsid w:val="0022751F"/>
    <w:rsid w:val="0023283D"/>
    <w:rsid w:val="002332BF"/>
    <w:rsid w:val="002338CF"/>
    <w:rsid w:val="002343C4"/>
    <w:rsid w:val="002347BF"/>
    <w:rsid w:val="00234C99"/>
    <w:rsid w:val="00236EBF"/>
    <w:rsid w:val="00237BD3"/>
    <w:rsid w:val="00240F56"/>
    <w:rsid w:val="002418A9"/>
    <w:rsid w:val="00243C1D"/>
    <w:rsid w:val="00245DE9"/>
    <w:rsid w:val="00246E8A"/>
    <w:rsid w:val="00250D55"/>
    <w:rsid w:val="00251C01"/>
    <w:rsid w:val="002521F5"/>
    <w:rsid w:val="0025270C"/>
    <w:rsid w:val="0025283E"/>
    <w:rsid w:val="00252A5D"/>
    <w:rsid w:val="0025347F"/>
    <w:rsid w:val="0025369B"/>
    <w:rsid w:val="00253B0D"/>
    <w:rsid w:val="00253B1B"/>
    <w:rsid w:val="00253E0E"/>
    <w:rsid w:val="002542EB"/>
    <w:rsid w:val="002557D8"/>
    <w:rsid w:val="00255F29"/>
    <w:rsid w:val="002568DB"/>
    <w:rsid w:val="0026199D"/>
    <w:rsid w:val="00263C7B"/>
    <w:rsid w:val="00264F66"/>
    <w:rsid w:val="00267243"/>
    <w:rsid w:val="00270278"/>
    <w:rsid w:val="002703C5"/>
    <w:rsid w:val="002706FB"/>
    <w:rsid w:val="00271A35"/>
    <w:rsid w:val="00272DAA"/>
    <w:rsid w:val="002735D6"/>
    <w:rsid w:val="00275BE5"/>
    <w:rsid w:val="00281B9C"/>
    <w:rsid w:val="00282B91"/>
    <w:rsid w:val="002832BB"/>
    <w:rsid w:val="00283ED3"/>
    <w:rsid w:val="00287004"/>
    <w:rsid w:val="00287271"/>
    <w:rsid w:val="00287AEB"/>
    <w:rsid w:val="002910D1"/>
    <w:rsid w:val="002927EB"/>
    <w:rsid w:val="00292B29"/>
    <w:rsid w:val="00292DC3"/>
    <w:rsid w:val="002933C0"/>
    <w:rsid w:val="00293FEE"/>
    <w:rsid w:val="00294205"/>
    <w:rsid w:val="002958F2"/>
    <w:rsid w:val="00295D47"/>
    <w:rsid w:val="00295D90"/>
    <w:rsid w:val="00296462"/>
    <w:rsid w:val="002967A4"/>
    <w:rsid w:val="002974C4"/>
    <w:rsid w:val="002A105B"/>
    <w:rsid w:val="002A10EB"/>
    <w:rsid w:val="002A147D"/>
    <w:rsid w:val="002A20E5"/>
    <w:rsid w:val="002A2149"/>
    <w:rsid w:val="002A226D"/>
    <w:rsid w:val="002A2764"/>
    <w:rsid w:val="002A2C76"/>
    <w:rsid w:val="002A44DB"/>
    <w:rsid w:val="002A52DD"/>
    <w:rsid w:val="002A686C"/>
    <w:rsid w:val="002A731F"/>
    <w:rsid w:val="002B06E7"/>
    <w:rsid w:val="002B1022"/>
    <w:rsid w:val="002B123E"/>
    <w:rsid w:val="002B1512"/>
    <w:rsid w:val="002B4013"/>
    <w:rsid w:val="002B4711"/>
    <w:rsid w:val="002B4B9B"/>
    <w:rsid w:val="002B5862"/>
    <w:rsid w:val="002B6CAB"/>
    <w:rsid w:val="002C0FA5"/>
    <w:rsid w:val="002C19B4"/>
    <w:rsid w:val="002C20FF"/>
    <w:rsid w:val="002C2DDC"/>
    <w:rsid w:val="002C4DF2"/>
    <w:rsid w:val="002C77B4"/>
    <w:rsid w:val="002D2D90"/>
    <w:rsid w:val="002D2F3F"/>
    <w:rsid w:val="002D3BEF"/>
    <w:rsid w:val="002D4F63"/>
    <w:rsid w:val="002D5B03"/>
    <w:rsid w:val="002D5F1E"/>
    <w:rsid w:val="002E0586"/>
    <w:rsid w:val="002E13F6"/>
    <w:rsid w:val="002E16F3"/>
    <w:rsid w:val="002E183B"/>
    <w:rsid w:val="002E2FB7"/>
    <w:rsid w:val="002E3D9F"/>
    <w:rsid w:val="002E439D"/>
    <w:rsid w:val="002E4BED"/>
    <w:rsid w:val="002E7E5E"/>
    <w:rsid w:val="002F06FC"/>
    <w:rsid w:val="002F0992"/>
    <w:rsid w:val="002F147F"/>
    <w:rsid w:val="002F2128"/>
    <w:rsid w:val="002F280B"/>
    <w:rsid w:val="002F33A7"/>
    <w:rsid w:val="002F4A29"/>
    <w:rsid w:val="002F5C63"/>
    <w:rsid w:val="002F65DF"/>
    <w:rsid w:val="002F68C8"/>
    <w:rsid w:val="002F6A46"/>
    <w:rsid w:val="002F6F5A"/>
    <w:rsid w:val="002F6F86"/>
    <w:rsid w:val="00300E53"/>
    <w:rsid w:val="00302494"/>
    <w:rsid w:val="003026DA"/>
    <w:rsid w:val="00302B16"/>
    <w:rsid w:val="00302DD2"/>
    <w:rsid w:val="00303C58"/>
    <w:rsid w:val="003041EB"/>
    <w:rsid w:val="00305094"/>
    <w:rsid w:val="00305BD4"/>
    <w:rsid w:val="00307750"/>
    <w:rsid w:val="003104C9"/>
    <w:rsid w:val="00310841"/>
    <w:rsid w:val="00311289"/>
    <w:rsid w:val="003128C5"/>
    <w:rsid w:val="0031362B"/>
    <w:rsid w:val="00313E02"/>
    <w:rsid w:val="0031462A"/>
    <w:rsid w:val="00315721"/>
    <w:rsid w:val="00315729"/>
    <w:rsid w:val="003168D4"/>
    <w:rsid w:val="00317C00"/>
    <w:rsid w:val="003209EE"/>
    <w:rsid w:val="00321CD5"/>
    <w:rsid w:val="003228F5"/>
    <w:rsid w:val="00322DD2"/>
    <w:rsid w:val="00322FD5"/>
    <w:rsid w:val="003238A7"/>
    <w:rsid w:val="00323F3B"/>
    <w:rsid w:val="003243D2"/>
    <w:rsid w:val="00324A1E"/>
    <w:rsid w:val="00325473"/>
    <w:rsid w:val="003261AE"/>
    <w:rsid w:val="00330612"/>
    <w:rsid w:val="00331193"/>
    <w:rsid w:val="00331219"/>
    <w:rsid w:val="0033206B"/>
    <w:rsid w:val="0033218F"/>
    <w:rsid w:val="003326D4"/>
    <w:rsid w:val="00332783"/>
    <w:rsid w:val="00332804"/>
    <w:rsid w:val="00334693"/>
    <w:rsid w:val="0033508E"/>
    <w:rsid w:val="003355F5"/>
    <w:rsid w:val="00335E5B"/>
    <w:rsid w:val="00336301"/>
    <w:rsid w:val="00340C75"/>
    <w:rsid w:val="0034172F"/>
    <w:rsid w:val="00343788"/>
    <w:rsid w:val="00344A59"/>
    <w:rsid w:val="00344B8F"/>
    <w:rsid w:val="003451CD"/>
    <w:rsid w:val="00345393"/>
    <w:rsid w:val="0034667B"/>
    <w:rsid w:val="003470C2"/>
    <w:rsid w:val="003472C0"/>
    <w:rsid w:val="00347FAD"/>
    <w:rsid w:val="00350F51"/>
    <w:rsid w:val="00351AB9"/>
    <w:rsid w:val="00351B64"/>
    <w:rsid w:val="00351DFC"/>
    <w:rsid w:val="00353037"/>
    <w:rsid w:val="003534E4"/>
    <w:rsid w:val="00354657"/>
    <w:rsid w:val="003554BE"/>
    <w:rsid w:val="00356006"/>
    <w:rsid w:val="003572D9"/>
    <w:rsid w:val="003605A8"/>
    <w:rsid w:val="003609BF"/>
    <w:rsid w:val="00360E14"/>
    <w:rsid w:val="00360F5D"/>
    <w:rsid w:val="003613E4"/>
    <w:rsid w:val="003619B2"/>
    <w:rsid w:val="00361FA7"/>
    <w:rsid w:val="00362BA6"/>
    <w:rsid w:val="003639ED"/>
    <w:rsid w:val="003641A7"/>
    <w:rsid w:val="00364E5A"/>
    <w:rsid w:val="003655BF"/>
    <w:rsid w:val="00365805"/>
    <w:rsid w:val="003665DB"/>
    <w:rsid w:val="00367FA2"/>
    <w:rsid w:val="00370575"/>
    <w:rsid w:val="003729FD"/>
    <w:rsid w:val="003750AF"/>
    <w:rsid w:val="00375117"/>
    <w:rsid w:val="00376173"/>
    <w:rsid w:val="0037651A"/>
    <w:rsid w:val="00380BDE"/>
    <w:rsid w:val="00382E33"/>
    <w:rsid w:val="00384AD4"/>
    <w:rsid w:val="00385993"/>
    <w:rsid w:val="00386F4C"/>
    <w:rsid w:val="003874D8"/>
    <w:rsid w:val="00387C8D"/>
    <w:rsid w:val="00387CF2"/>
    <w:rsid w:val="003900F6"/>
    <w:rsid w:val="00390973"/>
    <w:rsid w:val="00391CC8"/>
    <w:rsid w:val="00392482"/>
    <w:rsid w:val="003937A9"/>
    <w:rsid w:val="0039457E"/>
    <w:rsid w:val="0039477A"/>
    <w:rsid w:val="00394A7E"/>
    <w:rsid w:val="00394B30"/>
    <w:rsid w:val="00395B5D"/>
    <w:rsid w:val="00395F8C"/>
    <w:rsid w:val="00396CCA"/>
    <w:rsid w:val="003A0A80"/>
    <w:rsid w:val="003A1020"/>
    <w:rsid w:val="003A194E"/>
    <w:rsid w:val="003A3A0B"/>
    <w:rsid w:val="003A4363"/>
    <w:rsid w:val="003A4371"/>
    <w:rsid w:val="003A4A7E"/>
    <w:rsid w:val="003A61CF"/>
    <w:rsid w:val="003A62E9"/>
    <w:rsid w:val="003A6F80"/>
    <w:rsid w:val="003A7736"/>
    <w:rsid w:val="003A7874"/>
    <w:rsid w:val="003A7B4C"/>
    <w:rsid w:val="003A7E8C"/>
    <w:rsid w:val="003B05EB"/>
    <w:rsid w:val="003B1BE3"/>
    <w:rsid w:val="003B27EF"/>
    <w:rsid w:val="003B2C2F"/>
    <w:rsid w:val="003B3E47"/>
    <w:rsid w:val="003B4333"/>
    <w:rsid w:val="003B501A"/>
    <w:rsid w:val="003B50F3"/>
    <w:rsid w:val="003B6754"/>
    <w:rsid w:val="003B7581"/>
    <w:rsid w:val="003B7DE9"/>
    <w:rsid w:val="003C0BB5"/>
    <w:rsid w:val="003C287B"/>
    <w:rsid w:val="003C3091"/>
    <w:rsid w:val="003C410F"/>
    <w:rsid w:val="003C4AF1"/>
    <w:rsid w:val="003C522B"/>
    <w:rsid w:val="003C5A12"/>
    <w:rsid w:val="003C5A96"/>
    <w:rsid w:val="003C6FCF"/>
    <w:rsid w:val="003C75C6"/>
    <w:rsid w:val="003C7E8B"/>
    <w:rsid w:val="003D08D8"/>
    <w:rsid w:val="003D09CE"/>
    <w:rsid w:val="003D122E"/>
    <w:rsid w:val="003D1DFB"/>
    <w:rsid w:val="003D2024"/>
    <w:rsid w:val="003D548C"/>
    <w:rsid w:val="003D684B"/>
    <w:rsid w:val="003D69DD"/>
    <w:rsid w:val="003D7F16"/>
    <w:rsid w:val="003E0246"/>
    <w:rsid w:val="003E313B"/>
    <w:rsid w:val="003E3F82"/>
    <w:rsid w:val="003E47DF"/>
    <w:rsid w:val="003E57F9"/>
    <w:rsid w:val="003E5F8E"/>
    <w:rsid w:val="003E649A"/>
    <w:rsid w:val="003E6C56"/>
    <w:rsid w:val="003E723E"/>
    <w:rsid w:val="003E7866"/>
    <w:rsid w:val="003F013F"/>
    <w:rsid w:val="003F1017"/>
    <w:rsid w:val="003F2A33"/>
    <w:rsid w:val="003F3E72"/>
    <w:rsid w:val="003F5283"/>
    <w:rsid w:val="003F5847"/>
    <w:rsid w:val="003F7269"/>
    <w:rsid w:val="003F742B"/>
    <w:rsid w:val="003F7BFC"/>
    <w:rsid w:val="00400AA7"/>
    <w:rsid w:val="004010B3"/>
    <w:rsid w:val="004010EA"/>
    <w:rsid w:val="004034C9"/>
    <w:rsid w:val="0040519B"/>
    <w:rsid w:val="00405373"/>
    <w:rsid w:val="00405C05"/>
    <w:rsid w:val="0040779E"/>
    <w:rsid w:val="00410B5A"/>
    <w:rsid w:val="00411A79"/>
    <w:rsid w:val="00412449"/>
    <w:rsid w:val="00412A7B"/>
    <w:rsid w:val="004139FD"/>
    <w:rsid w:val="00413DE4"/>
    <w:rsid w:val="00414291"/>
    <w:rsid w:val="004144C7"/>
    <w:rsid w:val="004167F8"/>
    <w:rsid w:val="00416E06"/>
    <w:rsid w:val="00417287"/>
    <w:rsid w:val="00417697"/>
    <w:rsid w:val="00417EDF"/>
    <w:rsid w:val="0042164B"/>
    <w:rsid w:val="00422095"/>
    <w:rsid w:val="00426378"/>
    <w:rsid w:val="0042684E"/>
    <w:rsid w:val="00427854"/>
    <w:rsid w:val="004279F8"/>
    <w:rsid w:val="00430C7F"/>
    <w:rsid w:val="00432C0D"/>
    <w:rsid w:val="00432D8C"/>
    <w:rsid w:val="00433473"/>
    <w:rsid w:val="004338F9"/>
    <w:rsid w:val="00434940"/>
    <w:rsid w:val="0043518B"/>
    <w:rsid w:val="00435975"/>
    <w:rsid w:val="00435B50"/>
    <w:rsid w:val="00435D04"/>
    <w:rsid w:val="004360D2"/>
    <w:rsid w:val="004369B5"/>
    <w:rsid w:val="004372FC"/>
    <w:rsid w:val="00437DB2"/>
    <w:rsid w:val="00440296"/>
    <w:rsid w:val="004402FE"/>
    <w:rsid w:val="00440531"/>
    <w:rsid w:val="00440627"/>
    <w:rsid w:val="00440BBA"/>
    <w:rsid w:val="00440DE1"/>
    <w:rsid w:val="0044168C"/>
    <w:rsid w:val="00441D29"/>
    <w:rsid w:val="004445D7"/>
    <w:rsid w:val="00444DC1"/>
    <w:rsid w:val="004450D6"/>
    <w:rsid w:val="0044636B"/>
    <w:rsid w:val="004469BE"/>
    <w:rsid w:val="00446A2D"/>
    <w:rsid w:val="0044764F"/>
    <w:rsid w:val="00450B20"/>
    <w:rsid w:val="00450E48"/>
    <w:rsid w:val="00451D7A"/>
    <w:rsid w:val="00452E0E"/>
    <w:rsid w:val="00453C96"/>
    <w:rsid w:val="00453F0A"/>
    <w:rsid w:val="004543C1"/>
    <w:rsid w:val="0045471D"/>
    <w:rsid w:val="00454B47"/>
    <w:rsid w:val="0045523A"/>
    <w:rsid w:val="004556DA"/>
    <w:rsid w:val="004563A5"/>
    <w:rsid w:val="004577BE"/>
    <w:rsid w:val="004577ED"/>
    <w:rsid w:val="00457EB8"/>
    <w:rsid w:val="0046079C"/>
    <w:rsid w:val="0046120F"/>
    <w:rsid w:val="00461615"/>
    <w:rsid w:val="00463B4D"/>
    <w:rsid w:val="00464728"/>
    <w:rsid w:val="0046526E"/>
    <w:rsid w:val="00470415"/>
    <w:rsid w:val="0047044F"/>
    <w:rsid w:val="00470EE6"/>
    <w:rsid w:val="00471520"/>
    <w:rsid w:val="00472330"/>
    <w:rsid w:val="004723E7"/>
    <w:rsid w:val="004740F9"/>
    <w:rsid w:val="00474E2F"/>
    <w:rsid w:val="004766A7"/>
    <w:rsid w:val="00476C00"/>
    <w:rsid w:val="0048163E"/>
    <w:rsid w:val="00481E8D"/>
    <w:rsid w:val="004824C4"/>
    <w:rsid w:val="00482667"/>
    <w:rsid w:val="00483031"/>
    <w:rsid w:val="004847A7"/>
    <w:rsid w:val="004853F5"/>
    <w:rsid w:val="00486DBB"/>
    <w:rsid w:val="0048719F"/>
    <w:rsid w:val="004879B7"/>
    <w:rsid w:val="00493CF8"/>
    <w:rsid w:val="00494811"/>
    <w:rsid w:val="00496628"/>
    <w:rsid w:val="00496794"/>
    <w:rsid w:val="00496F80"/>
    <w:rsid w:val="004A0B04"/>
    <w:rsid w:val="004A1270"/>
    <w:rsid w:val="004A263F"/>
    <w:rsid w:val="004A295D"/>
    <w:rsid w:val="004A3745"/>
    <w:rsid w:val="004A37B3"/>
    <w:rsid w:val="004A3D63"/>
    <w:rsid w:val="004A4186"/>
    <w:rsid w:val="004A485F"/>
    <w:rsid w:val="004A4DCF"/>
    <w:rsid w:val="004A5195"/>
    <w:rsid w:val="004A5D08"/>
    <w:rsid w:val="004A6957"/>
    <w:rsid w:val="004A6CD0"/>
    <w:rsid w:val="004A6D43"/>
    <w:rsid w:val="004A6D58"/>
    <w:rsid w:val="004A7CDC"/>
    <w:rsid w:val="004A7DB0"/>
    <w:rsid w:val="004B1F82"/>
    <w:rsid w:val="004B226D"/>
    <w:rsid w:val="004B4FDB"/>
    <w:rsid w:val="004B5AE6"/>
    <w:rsid w:val="004B5CBD"/>
    <w:rsid w:val="004B7090"/>
    <w:rsid w:val="004C1678"/>
    <w:rsid w:val="004C1BCE"/>
    <w:rsid w:val="004C3144"/>
    <w:rsid w:val="004C33EB"/>
    <w:rsid w:val="004C5F3B"/>
    <w:rsid w:val="004C713C"/>
    <w:rsid w:val="004C7B3E"/>
    <w:rsid w:val="004D01E9"/>
    <w:rsid w:val="004D0BC4"/>
    <w:rsid w:val="004D0DF2"/>
    <w:rsid w:val="004D1D89"/>
    <w:rsid w:val="004D1E8A"/>
    <w:rsid w:val="004D49C5"/>
    <w:rsid w:val="004D6AED"/>
    <w:rsid w:val="004D732C"/>
    <w:rsid w:val="004D759E"/>
    <w:rsid w:val="004D7AEF"/>
    <w:rsid w:val="004D7D03"/>
    <w:rsid w:val="004E088E"/>
    <w:rsid w:val="004E0AB7"/>
    <w:rsid w:val="004E1A68"/>
    <w:rsid w:val="004E2C1F"/>
    <w:rsid w:val="004E2C33"/>
    <w:rsid w:val="004E489C"/>
    <w:rsid w:val="004E5F91"/>
    <w:rsid w:val="004E6070"/>
    <w:rsid w:val="004E79AC"/>
    <w:rsid w:val="004F0141"/>
    <w:rsid w:val="004F08E0"/>
    <w:rsid w:val="004F0DD2"/>
    <w:rsid w:val="004F2012"/>
    <w:rsid w:val="004F2506"/>
    <w:rsid w:val="004F345F"/>
    <w:rsid w:val="004F3A28"/>
    <w:rsid w:val="004F5901"/>
    <w:rsid w:val="004F739F"/>
    <w:rsid w:val="005008C3"/>
    <w:rsid w:val="00502356"/>
    <w:rsid w:val="005024B2"/>
    <w:rsid w:val="005027DD"/>
    <w:rsid w:val="005027FD"/>
    <w:rsid w:val="00502CCD"/>
    <w:rsid w:val="005031AF"/>
    <w:rsid w:val="00503B00"/>
    <w:rsid w:val="00505634"/>
    <w:rsid w:val="00505F8F"/>
    <w:rsid w:val="0050683C"/>
    <w:rsid w:val="0051054C"/>
    <w:rsid w:val="005105C5"/>
    <w:rsid w:val="00510761"/>
    <w:rsid w:val="00511C42"/>
    <w:rsid w:val="0051328E"/>
    <w:rsid w:val="005149AA"/>
    <w:rsid w:val="005150BC"/>
    <w:rsid w:val="00515B94"/>
    <w:rsid w:val="0051686F"/>
    <w:rsid w:val="005168EB"/>
    <w:rsid w:val="00516D72"/>
    <w:rsid w:val="00517605"/>
    <w:rsid w:val="00521498"/>
    <w:rsid w:val="00521C45"/>
    <w:rsid w:val="00522110"/>
    <w:rsid w:val="00523F61"/>
    <w:rsid w:val="00524C3F"/>
    <w:rsid w:val="00525B07"/>
    <w:rsid w:val="00526093"/>
    <w:rsid w:val="005265EA"/>
    <w:rsid w:val="00526882"/>
    <w:rsid w:val="00527516"/>
    <w:rsid w:val="00527E28"/>
    <w:rsid w:val="0053085B"/>
    <w:rsid w:val="00530C9C"/>
    <w:rsid w:val="00531510"/>
    <w:rsid w:val="00531A46"/>
    <w:rsid w:val="00533701"/>
    <w:rsid w:val="00533E14"/>
    <w:rsid w:val="00535C83"/>
    <w:rsid w:val="00536BFF"/>
    <w:rsid w:val="00536C03"/>
    <w:rsid w:val="005372DC"/>
    <w:rsid w:val="005400B6"/>
    <w:rsid w:val="00540593"/>
    <w:rsid w:val="00541E4E"/>
    <w:rsid w:val="005420B5"/>
    <w:rsid w:val="00542433"/>
    <w:rsid w:val="00542B43"/>
    <w:rsid w:val="00542C2D"/>
    <w:rsid w:val="0054320A"/>
    <w:rsid w:val="00546C54"/>
    <w:rsid w:val="005478C2"/>
    <w:rsid w:val="00547AF9"/>
    <w:rsid w:val="00550836"/>
    <w:rsid w:val="00550F43"/>
    <w:rsid w:val="0055289A"/>
    <w:rsid w:val="00553335"/>
    <w:rsid w:val="00554AC5"/>
    <w:rsid w:val="00554B38"/>
    <w:rsid w:val="00555212"/>
    <w:rsid w:val="00555972"/>
    <w:rsid w:val="00556585"/>
    <w:rsid w:val="0055670E"/>
    <w:rsid w:val="00557C92"/>
    <w:rsid w:val="00560B9F"/>
    <w:rsid w:val="00560D46"/>
    <w:rsid w:val="005630D9"/>
    <w:rsid w:val="00565227"/>
    <w:rsid w:val="00565F68"/>
    <w:rsid w:val="00566725"/>
    <w:rsid w:val="00566CAA"/>
    <w:rsid w:val="0056745C"/>
    <w:rsid w:val="00571229"/>
    <w:rsid w:val="00572C7A"/>
    <w:rsid w:val="00573981"/>
    <w:rsid w:val="00574879"/>
    <w:rsid w:val="005758DE"/>
    <w:rsid w:val="005764CF"/>
    <w:rsid w:val="005766B3"/>
    <w:rsid w:val="00577BCB"/>
    <w:rsid w:val="005801DB"/>
    <w:rsid w:val="00580695"/>
    <w:rsid w:val="00580BE8"/>
    <w:rsid w:val="00581298"/>
    <w:rsid w:val="00581A57"/>
    <w:rsid w:val="00581A7E"/>
    <w:rsid w:val="00581F8D"/>
    <w:rsid w:val="00583163"/>
    <w:rsid w:val="00583796"/>
    <w:rsid w:val="00583A66"/>
    <w:rsid w:val="005846B9"/>
    <w:rsid w:val="00585101"/>
    <w:rsid w:val="00585289"/>
    <w:rsid w:val="00585998"/>
    <w:rsid w:val="005859C8"/>
    <w:rsid w:val="005860E7"/>
    <w:rsid w:val="00586B71"/>
    <w:rsid w:val="00587A64"/>
    <w:rsid w:val="00587C62"/>
    <w:rsid w:val="005902A5"/>
    <w:rsid w:val="0059055B"/>
    <w:rsid w:val="00591A66"/>
    <w:rsid w:val="00592EEE"/>
    <w:rsid w:val="00594251"/>
    <w:rsid w:val="00594807"/>
    <w:rsid w:val="00594D23"/>
    <w:rsid w:val="005950F2"/>
    <w:rsid w:val="0059523E"/>
    <w:rsid w:val="00596FE6"/>
    <w:rsid w:val="0059703D"/>
    <w:rsid w:val="00597424"/>
    <w:rsid w:val="0059754E"/>
    <w:rsid w:val="005A0289"/>
    <w:rsid w:val="005A02A5"/>
    <w:rsid w:val="005A1561"/>
    <w:rsid w:val="005A1BD6"/>
    <w:rsid w:val="005A363E"/>
    <w:rsid w:val="005A3D1D"/>
    <w:rsid w:val="005A3D8D"/>
    <w:rsid w:val="005A3F18"/>
    <w:rsid w:val="005A4429"/>
    <w:rsid w:val="005A464E"/>
    <w:rsid w:val="005A4EA7"/>
    <w:rsid w:val="005A52AF"/>
    <w:rsid w:val="005A6389"/>
    <w:rsid w:val="005B0A66"/>
    <w:rsid w:val="005B0D2C"/>
    <w:rsid w:val="005B3DAB"/>
    <w:rsid w:val="005B3E34"/>
    <w:rsid w:val="005B7369"/>
    <w:rsid w:val="005C023D"/>
    <w:rsid w:val="005C05A0"/>
    <w:rsid w:val="005C248C"/>
    <w:rsid w:val="005C3C31"/>
    <w:rsid w:val="005C3F34"/>
    <w:rsid w:val="005C3F4D"/>
    <w:rsid w:val="005C5BCF"/>
    <w:rsid w:val="005C6ABA"/>
    <w:rsid w:val="005D0561"/>
    <w:rsid w:val="005D06A3"/>
    <w:rsid w:val="005D1E60"/>
    <w:rsid w:val="005D2DE3"/>
    <w:rsid w:val="005D2FAC"/>
    <w:rsid w:val="005D3805"/>
    <w:rsid w:val="005D3BC8"/>
    <w:rsid w:val="005D4C30"/>
    <w:rsid w:val="005D5005"/>
    <w:rsid w:val="005D62CF"/>
    <w:rsid w:val="005D71E8"/>
    <w:rsid w:val="005D7271"/>
    <w:rsid w:val="005D76B0"/>
    <w:rsid w:val="005D79F7"/>
    <w:rsid w:val="005D7B76"/>
    <w:rsid w:val="005E100F"/>
    <w:rsid w:val="005E2C83"/>
    <w:rsid w:val="005E2D2C"/>
    <w:rsid w:val="005E3388"/>
    <w:rsid w:val="005E33D0"/>
    <w:rsid w:val="005E3ED0"/>
    <w:rsid w:val="005E7B34"/>
    <w:rsid w:val="005F0C18"/>
    <w:rsid w:val="005F3DE8"/>
    <w:rsid w:val="005F478F"/>
    <w:rsid w:val="005F5232"/>
    <w:rsid w:val="005F5344"/>
    <w:rsid w:val="005F5DE0"/>
    <w:rsid w:val="005F7214"/>
    <w:rsid w:val="006001CB"/>
    <w:rsid w:val="00605F71"/>
    <w:rsid w:val="00607E7C"/>
    <w:rsid w:val="00611B43"/>
    <w:rsid w:val="00613ADB"/>
    <w:rsid w:val="00614380"/>
    <w:rsid w:val="00614BB1"/>
    <w:rsid w:val="0061609B"/>
    <w:rsid w:val="006164B3"/>
    <w:rsid w:val="00616900"/>
    <w:rsid w:val="00617224"/>
    <w:rsid w:val="00617BA0"/>
    <w:rsid w:val="0062093F"/>
    <w:rsid w:val="0062128A"/>
    <w:rsid w:val="006217A9"/>
    <w:rsid w:val="0062205D"/>
    <w:rsid w:val="0062205E"/>
    <w:rsid w:val="00624906"/>
    <w:rsid w:val="00624BAC"/>
    <w:rsid w:val="00624D5A"/>
    <w:rsid w:val="00625199"/>
    <w:rsid w:val="0062524F"/>
    <w:rsid w:val="00625779"/>
    <w:rsid w:val="00625981"/>
    <w:rsid w:val="00626455"/>
    <w:rsid w:val="0062658B"/>
    <w:rsid w:val="006269EC"/>
    <w:rsid w:val="006300EA"/>
    <w:rsid w:val="00630646"/>
    <w:rsid w:val="0063117A"/>
    <w:rsid w:val="00633C39"/>
    <w:rsid w:val="00635533"/>
    <w:rsid w:val="006356D1"/>
    <w:rsid w:val="00636022"/>
    <w:rsid w:val="0063629E"/>
    <w:rsid w:val="006370F2"/>
    <w:rsid w:val="00637639"/>
    <w:rsid w:val="00637A4C"/>
    <w:rsid w:val="0064089F"/>
    <w:rsid w:val="006418E0"/>
    <w:rsid w:val="00642A60"/>
    <w:rsid w:val="00642C67"/>
    <w:rsid w:val="00642ED2"/>
    <w:rsid w:val="00643627"/>
    <w:rsid w:val="006460B8"/>
    <w:rsid w:val="006511E2"/>
    <w:rsid w:val="00651570"/>
    <w:rsid w:val="00651B46"/>
    <w:rsid w:val="006527B6"/>
    <w:rsid w:val="00654011"/>
    <w:rsid w:val="006549B1"/>
    <w:rsid w:val="00655688"/>
    <w:rsid w:val="006571ED"/>
    <w:rsid w:val="00657457"/>
    <w:rsid w:val="006579D3"/>
    <w:rsid w:val="006607B8"/>
    <w:rsid w:val="00660D2D"/>
    <w:rsid w:val="006623A7"/>
    <w:rsid w:val="006626A2"/>
    <w:rsid w:val="0066333E"/>
    <w:rsid w:val="006641DA"/>
    <w:rsid w:val="006643A6"/>
    <w:rsid w:val="006643BC"/>
    <w:rsid w:val="0066526D"/>
    <w:rsid w:val="00666053"/>
    <w:rsid w:val="00666FED"/>
    <w:rsid w:val="0066725A"/>
    <w:rsid w:val="0066784A"/>
    <w:rsid w:val="0066798F"/>
    <w:rsid w:val="00670BD0"/>
    <w:rsid w:val="00671119"/>
    <w:rsid w:val="006712F5"/>
    <w:rsid w:val="006714B1"/>
    <w:rsid w:val="00672A72"/>
    <w:rsid w:val="00673CAD"/>
    <w:rsid w:val="00673FE6"/>
    <w:rsid w:val="006744A0"/>
    <w:rsid w:val="00675208"/>
    <w:rsid w:val="006753E6"/>
    <w:rsid w:val="00675D57"/>
    <w:rsid w:val="006763B2"/>
    <w:rsid w:val="00680E68"/>
    <w:rsid w:val="00680F9D"/>
    <w:rsid w:val="0068157B"/>
    <w:rsid w:val="00682CF3"/>
    <w:rsid w:val="00683182"/>
    <w:rsid w:val="006831CF"/>
    <w:rsid w:val="00684592"/>
    <w:rsid w:val="0068519E"/>
    <w:rsid w:val="00685EF1"/>
    <w:rsid w:val="0068695E"/>
    <w:rsid w:val="00686F3D"/>
    <w:rsid w:val="006900FA"/>
    <w:rsid w:val="0069147B"/>
    <w:rsid w:val="00691B76"/>
    <w:rsid w:val="006948D3"/>
    <w:rsid w:val="00696272"/>
    <w:rsid w:val="006A01DB"/>
    <w:rsid w:val="006A0C30"/>
    <w:rsid w:val="006A1511"/>
    <w:rsid w:val="006A245E"/>
    <w:rsid w:val="006A2462"/>
    <w:rsid w:val="006A47F7"/>
    <w:rsid w:val="006A488C"/>
    <w:rsid w:val="006A6146"/>
    <w:rsid w:val="006A7917"/>
    <w:rsid w:val="006B1901"/>
    <w:rsid w:val="006B1A9F"/>
    <w:rsid w:val="006B335B"/>
    <w:rsid w:val="006B4160"/>
    <w:rsid w:val="006B4FA7"/>
    <w:rsid w:val="006B5B97"/>
    <w:rsid w:val="006C1183"/>
    <w:rsid w:val="006C17AA"/>
    <w:rsid w:val="006C21A0"/>
    <w:rsid w:val="006C4B00"/>
    <w:rsid w:val="006C52AF"/>
    <w:rsid w:val="006C55F1"/>
    <w:rsid w:val="006C79C4"/>
    <w:rsid w:val="006D0728"/>
    <w:rsid w:val="006D10EF"/>
    <w:rsid w:val="006D1119"/>
    <w:rsid w:val="006D13A7"/>
    <w:rsid w:val="006D1BFE"/>
    <w:rsid w:val="006D1E0F"/>
    <w:rsid w:val="006D2FF6"/>
    <w:rsid w:val="006D4C51"/>
    <w:rsid w:val="006D55EE"/>
    <w:rsid w:val="006D680F"/>
    <w:rsid w:val="006D75D0"/>
    <w:rsid w:val="006D7A98"/>
    <w:rsid w:val="006E06CC"/>
    <w:rsid w:val="006E0A0A"/>
    <w:rsid w:val="006E1282"/>
    <w:rsid w:val="006E1FEF"/>
    <w:rsid w:val="006E4333"/>
    <w:rsid w:val="006E4FBE"/>
    <w:rsid w:val="006E557B"/>
    <w:rsid w:val="006E5FC5"/>
    <w:rsid w:val="006E6E2E"/>
    <w:rsid w:val="006E6E54"/>
    <w:rsid w:val="006E6FA7"/>
    <w:rsid w:val="006E781D"/>
    <w:rsid w:val="006F0857"/>
    <w:rsid w:val="006F0BEC"/>
    <w:rsid w:val="006F0D1E"/>
    <w:rsid w:val="006F1D01"/>
    <w:rsid w:val="006F3F2A"/>
    <w:rsid w:val="006F4358"/>
    <w:rsid w:val="006F4785"/>
    <w:rsid w:val="006F4A0F"/>
    <w:rsid w:val="006F4D8E"/>
    <w:rsid w:val="006F601A"/>
    <w:rsid w:val="006F6C38"/>
    <w:rsid w:val="006F76AB"/>
    <w:rsid w:val="006F78EA"/>
    <w:rsid w:val="006F7F4F"/>
    <w:rsid w:val="00700ABA"/>
    <w:rsid w:val="0070149F"/>
    <w:rsid w:val="00701B9F"/>
    <w:rsid w:val="00702EB2"/>
    <w:rsid w:val="00703504"/>
    <w:rsid w:val="00703D45"/>
    <w:rsid w:val="007049B5"/>
    <w:rsid w:val="007051F8"/>
    <w:rsid w:val="0070526A"/>
    <w:rsid w:val="00705AB0"/>
    <w:rsid w:val="00705DAF"/>
    <w:rsid w:val="00706ABD"/>
    <w:rsid w:val="00710208"/>
    <w:rsid w:val="00710CCA"/>
    <w:rsid w:val="00711779"/>
    <w:rsid w:val="00711BB9"/>
    <w:rsid w:val="00712B63"/>
    <w:rsid w:val="0071350C"/>
    <w:rsid w:val="00713966"/>
    <w:rsid w:val="00714F5B"/>
    <w:rsid w:val="007169BC"/>
    <w:rsid w:val="00716F57"/>
    <w:rsid w:val="00717BE9"/>
    <w:rsid w:val="00721218"/>
    <w:rsid w:val="00722A39"/>
    <w:rsid w:val="007244E7"/>
    <w:rsid w:val="0072489A"/>
    <w:rsid w:val="00725298"/>
    <w:rsid w:val="00726192"/>
    <w:rsid w:val="00727CB0"/>
    <w:rsid w:val="00727D5D"/>
    <w:rsid w:val="0073052E"/>
    <w:rsid w:val="00731256"/>
    <w:rsid w:val="00731430"/>
    <w:rsid w:val="00731D2A"/>
    <w:rsid w:val="00732EDE"/>
    <w:rsid w:val="007338BC"/>
    <w:rsid w:val="00736090"/>
    <w:rsid w:val="0073621F"/>
    <w:rsid w:val="00736F3B"/>
    <w:rsid w:val="00737AC6"/>
    <w:rsid w:val="00742036"/>
    <w:rsid w:val="00744FF0"/>
    <w:rsid w:val="007459B2"/>
    <w:rsid w:val="00747363"/>
    <w:rsid w:val="007475EE"/>
    <w:rsid w:val="007513CD"/>
    <w:rsid w:val="00752752"/>
    <w:rsid w:val="007537C7"/>
    <w:rsid w:val="007551FF"/>
    <w:rsid w:val="00756575"/>
    <w:rsid w:val="007604C8"/>
    <w:rsid w:val="007605F1"/>
    <w:rsid w:val="00760725"/>
    <w:rsid w:val="00760B84"/>
    <w:rsid w:val="00761655"/>
    <w:rsid w:val="00763BA9"/>
    <w:rsid w:val="0076403B"/>
    <w:rsid w:val="0076474F"/>
    <w:rsid w:val="00764A28"/>
    <w:rsid w:val="0076549D"/>
    <w:rsid w:val="00765C65"/>
    <w:rsid w:val="007665EA"/>
    <w:rsid w:val="00766B79"/>
    <w:rsid w:val="00767416"/>
    <w:rsid w:val="00770F7D"/>
    <w:rsid w:val="00771520"/>
    <w:rsid w:val="0077197B"/>
    <w:rsid w:val="00772732"/>
    <w:rsid w:val="007730A7"/>
    <w:rsid w:val="007750E0"/>
    <w:rsid w:val="007765C0"/>
    <w:rsid w:val="00776879"/>
    <w:rsid w:val="0078024D"/>
    <w:rsid w:val="007804F7"/>
    <w:rsid w:val="00781777"/>
    <w:rsid w:val="00783A08"/>
    <w:rsid w:val="00784212"/>
    <w:rsid w:val="00784538"/>
    <w:rsid w:val="007846F0"/>
    <w:rsid w:val="0078495A"/>
    <w:rsid w:val="00785007"/>
    <w:rsid w:val="00786191"/>
    <w:rsid w:val="00790B9B"/>
    <w:rsid w:val="00791461"/>
    <w:rsid w:val="00791529"/>
    <w:rsid w:val="00791CBA"/>
    <w:rsid w:val="007924CD"/>
    <w:rsid w:val="007924FC"/>
    <w:rsid w:val="007928B5"/>
    <w:rsid w:val="0079491D"/>
    <w:rsid w:val="00795BA8"/>
    <w:rsid w:val="00795CC8"/>
    <w:rsid w:val="00796368"/>
    <w:rsid w:val="00796D0B"/>
    <w:rsid w:val="007A0463"/>
    <w:rsid w:val="007A1458"/>
    <w:rsid w:val="007A1539"/>
    <w:rsid w:val="007A3D8B"/>
    <w:rsid w:val="007A490B"/>
    <w:rsid w:val="007A4BA1"/>
    <w:rsid w:val="007A51AB"/>
    <w:rsid w:val="007A583D"/>
    <w:rsid w:val="007A635C"/>
    <w:rsid w:val="007A6DA2"/>
    <w:rsid w:val="007A73F0"/>
    <w:rsid w:val="007B006D"/>
    <w:rsid w:val="007B0920"/>
    <w:rsid w:val="007B154F"/>
    <w:rsid w:val="007B1E85"/>
    <w:rsid w:val="007B29FB"/>
    <w:rsid w:val="007B4F24"/>
    <w:rsid w:val="007B503D"/>
    <w:rsid w:val="007B62FE"/>
    <w:rsid w:val="007B64BD"/>
    <w:rsid w:val="007B79B2"/>
    <w:rsid w:val="007C0647"/>
    <w:rsid w:val="007C0A99"/>
    <w:rsid w:val="007C0C37"/>
    <w:rsid w:val="007C18B6"/>
    <w:rsid w:val="007C1C6A"/>
    <w:rsid w:val="007C1E7D"/>
    <w:rsid w:val="007C2040"/>
    <w:rsid w:val="007C3859"/>
    <w:rsid w:val="007C3D2F"/>
    <w:rsid w:val="007C4095"/>
    <w:rsid w:val="007C471E"/>
    <w:rsid w:val="007C4EBA"/>
    <w:rsid w:val="007C6418"/>
    <w:rsid w:val="007C6E0F"/>
    <w:rsid w:val="007C70A3"/>
    <w:rsid w:val="007D57E2"/>
    <w:rsid w:val="007D75B5"/>
    <w:rsid w:val="007D7AE2"/>
    <w:rsid w:val="007E1B32"/>
    <w:rsid w:val="007E2079"/>
    <w:rsid w:val="007E27A2"/>
    <w:rsid w:val="007E28F2"/>
    <w:rsid w:val="007E410B"/>
    <w:rsid w:val="007E45D7"/>
    <w:rsid w:val="007E4A90"/>
    <w:rsid w:val="007E4DF3"/>
    <w:rsid w:val="007E55CE"/>
    <w:rsid w:val="007E6A3E"/>
    <w:rsid w:val="007E6CFF"/>
    <w:rsid w:val="007E6F1F"/>
    <w:rsid w:val="007F3179"/>
    <w:rsid w:val="007F3D72"/>
    <w:rsid w:val="007F3F5C"/>
    <w:rsid w:val="007F4BDB"/>
    <w:rsid w:val="007F6A83"/>
    <w:rsid w:val="007F76AE"/>
    <w:rsid w:val="0080010D"/>
    <w:rsid w:val="00800193"/>
    <w:rsid w:val="00800ED4"/>
    <w:rsid w:val="00802F7C"/>
    <w:rsid w:val="00803275"/>
    <w:rsid w:val="008032BE"/>
    <w:rsid w:val="0080363A"/>
    <w:rsid w:val="008044B4"/>
    <w:rsid w:val="008057C0"/>
    <w:rsid w:val="0080790C"/>
    <w:rsid w:val="00807E0D"/>
    <w:rsid w:val="00810B29"/>
    <w:rsid w:val="00810C00"/>
    <w:rsid w:val="00810E42"/>
    <w:rsid w:val="00811977"/>
    <w:rsid w:val="0081236A"/>
    <w:rsid w:val="0081288D"/>
    <w:rsid w:val="0081291A"/>
    <w:rsid w:val="00814AD1"/>
    <w:rsid w:val="00816491"/>
    <w:rsid w:val="0081654D"/>
    <w:rsid w:val="00816C74"/>
    <w:rsid w:val="0081777B"/>
    <w:rsid w:val="00817853"/>
    <w:rsid w:val="00820302"/>
    <w:rsid w:val="00821124"/>
    <w:rsid w:val="008227DC"/>
    <w:rsid w:val="00822817"/>
    <w:rsid w:val="00823900"/>
    <w:rsid w:val="00824D61"/>
    <w:rsid w:val="00825A3F"/>
    <w:rsid w:val="00827762"/>
    <w:rsid w:val="00827F4D"/>
    <w:rsid w:val="008302D4"/>
    <w:rsid w:val="00831FF2"/>
    <w:rsid w:val="00832906"/>
    <w:rsid w:val="00832AFB"/>
    <w:rsid w:val="00833422"/>
    <w:rsid w:val="008342E1"/>
    <w:rsid w:val="008349B2"/>
    <w:rsid w:val="008354B9"/>
    <w:rsid w:val="00835EC3"/>
    <w:rsid w:val="008364EA"/>
    <w:rsid w:val="008366E4"/>
    <w:rsid w:val="0083680F"/>
    <w:rsid w:val="00837212"/>
    <w:rsid w:val="00837C0B"/>
    <w:rsid w:val="00840449"/>
    <w:rsid w:val="00840AFE"/>
    <w:rsid w:val="00840BE7"/>
    <w:rsid w:val="00840DBA"/>
    <w:rsid w:val="00842B6D"/>
    <w:rsid w:val="00842EBC"/>
    <w:rsid w:val="008448CF"/>
    <w:rsid w:val="0084623E"/>
    <w:rsid w:val="0084637E"/>
    <w:rsid w:val="008465E4"/>
    <w:rsid w:val="00846659"/>
    <w:rsid w:val="00846D02"/>
    <w:rsid w:val="00846E7B"/>
    <w:rsid w:val="00850373"/>
    <w:rsid w:val="0085076B"/>
    <w:rsid w:val="00851026"/>
    <w:rsid w:val="00851042"/>
    <w:rsid w:val="00851146"/>
    <w:rsid w:val="00851516"/>
    <w:rsid w:val="008518DB"/>
    <w:rsid w:val="008523A0"/>
    <w:rsid w:val="00853D3C"/>
    <w:rsid w:val="00854322"/>
    <w:rsid w:val="008544EC"/>
    <w:rsid w:val="00855531"/>
    <w:rsid w:val="00855C5F"/>
    <w:rsid w:val="00855C89"/>
    <w:rsid w:val="00860FA2"/>
    <w:rsid w:val="00861ECE"/>
    <w:rsid w:val="00863AF3"/>
    <w:rsid w:val="00863B0E"/>
    <w:rsid w:val="008643F6"/>
    <w:rsid w:val="00864D44"/>
    <w:rsid w:val="00864F74"/>
    <w:rsid w:val="008655D0"/>
    <w:rsid w:val="00866A8B"/>
    <w:rsid w:val="00866AD5"/>
    <w:rsid w:val="008672B6"/>
    <w:rsid w:val="008676C7"/>
    <w:rsid w:val="00867822"/>
    <w:rsid w:val="00870560"/>
    <w:rsid w:val="00871D89"/>
    <w:rsid w:val="00871F69"/>
    <w:rsid w:val="0087209C"/>
    <w:rsid w:val="00872CA6"/>
    <w:rsid w:val="00872CE5"/>
    <w:rsid w:val="00872FD2"/>
    <w:rsid w:val="008731B3"/>
    <w:rsid w:val="00873745"/>
    <w:rsid w:val="00873D94"/>
    <w:rsid w:val="008741A3"/>
    <w:rsid w:val="00874546"/>
    <w:rsid w:val="0087478C"/>
    <w:rsid w:val="00874841"/>
    <w:rsid w:val="00874ADD"/>
    <w:rsid w:val="00874F08"/>
    <w:rsid w:val="008752F1"/>
    <w:rsid w:val="00880A22"/>
    <w:rsid w:val="008829A9"/>
    <w:rsid w:val="008847F1"/>
    <w:rsid w:val="00886C7F"/>
    <w:rsid w:val="00887512"/>
    <w:rsid w:val="00890A6F"/>
    <w:rsid w:val="00890A92"/>
    <w:rsid w:val="0089136E"/>
    <w:rsid w:val="00891A77"/>
    <w:rsid w:val="00893874"/>
    <w:rsid w:val="0089472A"/>
    <w:rsid w:val="008A2B9A"/>
    <w:rsid w:val="008A2F57"/>
    <w:rsid w:val="008A51C4"/>
    <w:rsid w:val="008A7CE9"/>
    <w:rsid w:val="008B0F93"/>
    <w:rsid w:val="008B32A5"/>
    <w:rsid w:val="008B37FF"/>
    <w:rsid w:val="008B39C5"/>
    <w:rsid w:val="008B6859"/>
    <w:rsid w:val="008B6BAF"/>
    <w:rsid w:val="008B6E57"/>
    <w:rsid w:val="008B6F33"/>
    <w:rsid w:val="008B76D5"/>
    <w:rsid w:val="008C0D78"/>
    <w:rsid w:val="008C1773"/>
    <w:rsid w:val="008C1FA6"/>
    <w:rsid w:val="008C203A"/>
    <w:rsid w:val="008C2B91"/>
    <w:rsid w:val="008C2C81"/>
    <w:rsid w:val="008C3704"/>
    <w:rsid w:val="008C3CCB"/>
    <w:rsid w:val="008C4F55"/>
    <w:rsid w:val="008C5B6C"/>
    <w:rsid w:val="008D0AED"/>
    <w:rsid w:val="008D13E4"/>
    <w:rsid w:val="008D198A"/>
    <w:rsid w:val="008D1D4D"/>
    <w:rsid w:val="008D434C"/>
    <w:rsid w:val="008D4BFB"/>
    <w:rsid w:val="008D6216"/>
    <w:rsid w:val="008D79C2"/>
    <w:rsid w:val="008D7D69"/>
    <w:rsid w:val="008E26DF"/>
    <w:rsid w:val="008E2725"/>
    <w:rsid w:val="008E2810"/>
    <w:rsid w:val="008E4179"/>
    <w:rsid w:val="008E721D"/>
    <w:rsid w:val="008E795F"/>
    <w:rsid w:val="008E7ECD"/>
    <w:rsid w:val="008F0808"/>
    <w:rsid w:val="008F0887"/>
    <w:rsid w:val="008F09BF"/>
    <w:rsid w:val="008F1DC4"/>
    <w:rsid w:val="008F2BAF"/>
    <w:rsid w:val="008F35A6"/>
    <w:rsid w:val="008F3609"/>
    <w:rsid w:val="008F529E"/>
    <w:rsid w:val="008F6644"/>
    <w:rsid w:val="008F7365"/>
    <w:rsid w:val="008F76F7"/>
    <w:rsid w:val="008F7F3B"/>
    <w:rsid w:val="008F7F73"/>
    <w:rsid w:val="00901E2D"/>
    <w:rsid w:val="00902B52"/>
    <w:rsid w:val="00904447"/>
    <w:rsid w:val="00905933"/>
    <w:rsid w:val="00910CA0"/>
    <w:rsid w:val="00910F10"/>
    <w:rsid w:val="00911052"/>
    <w:rsid w:val="009148A2"/>
    <w:rsid w:val="0091671C"/>
    <w:rsid w:val="00920B88"/>
    <w:rsid w:val="00921FE0"/>
    <w:rsid w:val="00922DD6"/>
    <w:rsid w:val="00922F92"/>
    <w:rsid w:val="00923E7C"/>
    <w:rsid w:val="009246F9"/>
    <w:rsid w:val="00924A12"/>
    <w:rsid w:val="009250AC"/>
    <w:rsid w:val="00925353"/>
    <w:rsid w:val="0092680D"/>
    <w:rsid w:val="00927531"/>
    <w:rsid w:val="00930038"/>
    <w:rsid w:val="00930BD3"/>
    <w:rsid w:val="00934736"/>
    <w:rsid w:val="00934A29"/>
    <w:rsid w:val="0093530B"/>
    <w:rsid w:val="00936255"/>
    <w:rsid w:val="009368E9"/>
    <w:rsid w:val="00940571"/>
    <w:rsid w:val="00943A13"/>
    <w:rsid w:val="00943CBC"/>
    <w:rsid w:val="00944055"/>
    <w:rsid w:val="0094425F"/>
    <w:rsid w:val="00945277"/>
    <w:rsid w:val="0094546D"/>
    <w:rsid w:val="00945941"/>
    <w:rsid w:val="009460D7"/>
    <w:rsid w:val="00946211"/>
    <w:rsid w:val="00946E6B"/>
    <w:rsid w:val="00946FAE"/>
    <w:rsid w:val="00947B99"/>
    <w:rsid w:val="0095027F"/>
    <w:rsid w:val="00951A7E"/>
    <w:rsid w:val="009539AC"/>
    <w:rsid w:val="00955460"/>
    <w:rsid w:val="0095691A"/>
    <w:rsid w:val="00956FF5"/>
    <w:rsid w:val="00957692"/>
    <w:rsid w:val="00957ACA"/>
    <w:rsid w:val="00957D79"/>
    <w:rsid w:val="00961534"/>
    <w:rsid w:val="00961E0E"/>
    <w:rsid w:val="00961E11"/>
    <w:rsid w:val="009622F2"/>
    <w:rsid w:val="00962CFF"/>
    <w:rsid w:val="0096306B"/>
    <w:rsid w:val="009634F3"/>
    <w:rsid w:val="00967701"/>
    <w:rsid w:val="0097274A"/>
    <w:rsid w:val="00972B10"/>
    <w:rsid w:val="00974952"/>
    <w:rsid w:val="00974D94"/>
    <w:rsid w:val="00975300"/>
    <w:rsid w:val="00975C0E"/>
    <w:rsid w:val="00977280"/>
    <w:rsid w:val="00981E6F"/>
    <w:rsid w:val="009829D6"/>
    <w:rsid w:val="009829E7"/>
    <w:rsid w:val="00984375"/>
    <w:rsid w:val="00987B26"/>
    <w:rsid w:val="00987C9B"/>
    <w:rsid w:val="009906D3"/>
    <w:rsid w:val="00990AF7"/>
    <w:rsid w:val="00991841"/>
    <w:rsid w:val="00991AD2"/>
    <w:rsid w:val="00992F7C"/>
    <w:rsid w:val="0099370F"/>
    <w:rsid w:val="0099386F"/>
    <w:rsid w:val="0099394C"/>
    <w:rsid w:val="00993E6B"/>
    <w:rsid w:val="00994789"/>
    <w:rsid w:val="009949C3"/>
    <w:rsid w:val="00995094"/>
    <w:rsid w:val="009952DF"/>
    <w:rsid w:val="00996108"/>
    <w:rsid w:val="00997596"/>
    <w:rsid w:val="00997BA9"/>
    <w:rsid w:val="00997D97"/>
    <w:rsid w:val="009A0E1B"/>
    <w:rsid w:val="009A1589"/>
    <w:rsid w:val="009A3119"/>
    <w:rsid w:val="009A4DEF"/>
    <w:rsid w:val="009A669B"/>
    <w:rsid w:val="009A6AFC"/>
    <w:rsid w:val="009A742A"/>
    <w:rsid w:val="009A7AAD"/>
    <w:rsid w:val="009B082F"/>
    <w:rsid w:val="009B2A2B"/>
    <w:rsid w:val="009B346C"/>
    <w:rsid w:val="009B3D1B"/>
    <w:rsid w:val="009B3F83"/>
    <w:rsid w:val="009B43FE"/>
    <w:rsid w:val="009B4ACD"/>
    <w:rsid w:val="009B7903"/>
    <w:rsid w:val="009C0392"/>
    <w:rsid w:val="009C067A"/>
    <w:rsid w:val="009C0AB1"/>
    <w:rsid w:val="009C322F"/>
    <w:rsid w:val="009C32D8"/>
    <w:rsid w:val="009C4AB6"/>
    <w:rsid w:val="009C5A40"/>
    <w:rsid w:val="009C5F8A"/>
    <w:rsid w:val="009C617D"/>
    <w:rsid w:val="009C6BF4"/>
    <w:rsid w:val="009C6F61"/>
    <w:rsid w:val="009C7B07"/>
    <w:rsid w:val="009D0526"/>
    <w:rsid w:val="009D0733"/>
    <w:rsid w:val="009D0857"/>
    <w:rsid w:val="009D0D88"/>
    <w:rsid w:val="009D1866"/>
    <w:rsid w:val="009D18C6"/>
    <w:rsid w:val="009D2C70"/>
    <w:rsid w:val="009D2CCD"/>
    <w:rsid w:val="009D33E5"/>
    <w:rsid w:val="009D38C3"/>
    <w:rsid w:val="009D38CE"/>
    <w:rsid w:val="009D7039"/>
    <w:rsid w:val="009D7271"/>
    <w:rsid w:val="009D748F"/>
    <w:rsid w:val="009E2177"/>
    <w:rsid w:val="009E3383"/>
    <w:rsid w:val="009E3DE6"/>
    <w:rsid w:val="009E3FA8"/>
    <w:rsid w:val="009E4E19"/>
    <w:rsid w:val="009E59F9"/>
    <w:rsid w:val="009E62AA"/>
    <w:rsid w:val="009E7499"/>
    <w:rsid w:val="009F1197"/>
    <w:rsid w:val="009F1376"/>
    <w:rsid w:val="009F1821"/>
    <w:rsid w:val="009F1AE0"/>
    <w:rsid w:val="009F285D"/>
    <w:rsid w:val="009F311C"/>
    <w:rsid w:val="009F5E66"/>
    <w:rsid w:val="009F64BD"/>
    <w:rsid w:val="009F6E7C"/>
    <w:rsid w:val="009F7BCA"/>
    <w:rsid w:val="00A004D2"/>
    <w:rsid w:val="00A01458"/>
    <w:rsid w:val="00A03B23"/>
    <w:rsid w:val="00A04766"/>
    <w:rsid w:val="00A0545F"/>
    <w:rsid w:val="00A05903"/>
    <w:rsid w:val="00A05DF7"/>
    <w:rsid w:val="00A07F2D"/>
    <w:rsid w:val="00A10203"/>
    <w:rsid w:val="00A10927"/>
    <w:rsid w:val="00A10C4C"/>
    <w:rsid w:val="00A11095"/>
    <w:rsid w:val="00A133F2"/>
    <w:rsid w:val="00A1457E"/>
    <w:rsid w:val="00A14663"/>
    <w:rsid w:val="00A1496A"/>
    <w:rsid w:val="00A14A46"/>
    <w:rsid w:val="00A1785E"/>
    <w:rsid w:val="00A17C54"/>
    <w:rsid w:val="00A17C7A"/>
    <w:rsid w:val="00A20DDA"/>
    <w:rsid w:val="00A22487"/>
    <w:rsid w:val="00A224C1"/>
    <w:rsid w:val="00A227C8"/>
    <w:rsid w:val="00A22DC6"/>
    <w:rsid w:val="00A24DFE"/>
    <w:rsid w:val="00A25D9B"/>
    <w:rsid w:val="00A26A1C"/>
    <w:rsid w:val="00A27068"/>
    <w:rsid w:val="00A27558"/>
    <w:rsid w:val="00A30068"/>
    <w:rsid w:val="00A30A32"/>
    <w:rsid w:val="00A3143C"/>
    <w:rsid w:val="00A32560"/>
    <w:rsid w:val="00A36843"/>
    <w:rsid w:val="00A371FF"/>
    <w:rsid w:val="00A373F5"/>
    <w:rsid w:val="00A379E3"/>
    <w:rsid w:val="00A40E19"/>
    <w:rsid w:val="00A413A2"/>
    <w:rsid w:val="00A4175B"/>
    <w:rsid w:val="00A42A35"/>
    <w:rsid w:val="00A43272"/>
    <w:rsid w:val="00A43379"/>
    <w:rsid w:val="00A44148"/>
    <w:rsid w:val="00A4445E"/>
    <w:rsid w:val="00A45A83"/>
    <w:rsid w:val="00A45BC1"/>
    <w:rsid w:val="00A46723"/>
    <w:rsid w:val="00A50579"/>
    <w:rsid w:val="00A50ED5"/>
    <w:rsid w:val="00A5129A"/>
    <w:rsid w:val="00A51E4B"/>
    <w:rsid w:val="00A52A49"/>
    <w:rsid w:val="00A53D83"/>
    <w:rsid w:val="00A545C0"/>
    <w:rsid w:val="00A54796"/>
    <w:rsid w:val="00A559EC"/>
    <w:rsid w:val="00A55BDB"/>
    <w:rsid w:val="00A562F3"/>
    <w:rsid w:val="00A56623"/>
    <w:rsid w:val="00A572F9"/>
    <w:rsid w:val="00A600AE"/>
    <w:rsid w:val="00A600D7"/>
    <w:rsid w:val="00A60246"/>
    <w:rsid w:val="00A60547"/>
    <w:rsid w:val="00A60AA8"/>
    <w:rsid w:val="00A60ED7"/>
    <w:rsid w:val="00A6223C"/>
    <w:rsid w:val="00A63545"/>
    <w:rsid w:val="00A63745"/>
    <w:rsid w:val="00A6379D"/>
    <w:rsid w:val="00A6403B"/>
    <w:rsid w:val="00A651A3"/>
    <w:rsid w:val="00A65ED9"/>
    <w:rsid w:val="00A71379"/>
    <w:rsid w:val="00A71DF8"/>
    <w:rsid w:val="00A72B69"/>
    <w:rsid w:val="00A730A3"/>
    <w:rsid w:val="00A758BA"/>
    <w:rsid w:val="00A758CE"/>
    <w:rsid w:val="00A75ECD"/>
    <w:rsid w:val="00A7627E"/>
    <w:rsid w:val="00A76E37"/>
    <w:rsid w:val="00A776A3"/>
    <w:rsid w:val="00A77BF0"/>
    <w:rsid w:val="00A80BCA"/>
    <w:rsid w:val="00A80C79"/>
    <w:rsid w:val="00A80EF6"/>
    <w:rsid w:val="00A816E5"/>
    <w:rsid w:val="00A81E20"/>
    <w:rsid w:val="00A83897"/>
    <w:rsid w:val="00A8453A"/>
    <w:rsid w:val="00A847E5"/>
    <w:rsid w:val="00A848F4"/>
    <w:rsid w:val="00A84B8C"/>
    <w:rsid w:val="00A84FBE"/>
    <w:rsid w:val="00A85C76"/>
    <w:rsid w:val="00A85D87"/>
    <w:rsid w:val="00A86545"/>
    <w:rsid w:val="00A86799"/>
    <w:rsid w:val="00A903C2"/>
    <w:rsid w:val="00A9128A"/>
    <w:rsid w:val="00A916D8"/>
    <w:rsid w:val="00A9174D"/>
    <w:rsid w:val="00A92154"/>
    <w:rsid w:val="00A92ABA"/>
    <w:rsid w:val="00A932D4"/>
    <w:rsid w:val="00A9337A"/>
    <w:rsid w:val="00A935E5"/>
    <w:rsid w:val="00A93BDA"/>
    <w:rsid w:val="00A94625"/>
    <w:rsid w:val="00A9466C"/>
    <w:rsid w:val="00A94DF0"/>
    <w:rsid w:val="00A95E75"/>
    <w:rsid w:val="00A9792B"/>
    <w:rsid w:val="00A979F0"/>
    <w:rsid w:val="00A97F58"/>
    <w:rsid w:val="00AA0B39"/>
    <w:rsid w:val="00AA0BCE"/>
    <w:rsid w:val="00AA0C84"/>
    <w:rsid w:val="00AA34A5"/>
    <w:rsid w:val="00AA4D6B"/>
    <w:rsid w:val="00AA5243"/>
    <w:rsid w:val="00AA5F97"/>
    <w:rsid w:val="00AA6697"/>
    <w:rsid w:val="00AA7891"/>
    <w:rsid w:val="00AB0363"/>
    <w:rsid w:val="00AB05A5"/>
    <w:rsid w:val="00AB10C0"/>
    <w:rsid w:val="00AB1D21"/>
    <w:rsid w:val="00AB2634"/>
    <w:rsid w:val="00AB3270"/>
    <w:rsid w:val="00AB32ED"/>
    <w:rsid w:val="00AB358A"/>
    <w:rsid w:val="00AB3D30"/>
    <w:rsid w:val="00AB454B"/>
    <w:rsid w:val="00AB55FC"/>
    <w:rsid w:val="00AB5C80"/>
    <w:rsid w:val="00AB5DD1"/>
    <w:rsid w:val="00AB5FB1"/>
    <w:rsid w:val="00AC1BF3"/>
    <w:rsid w:val="00AC41D0"/>
    <w:rsid w:val="00AC4212"/>
    <w:rsid w:val="00AC43BC"/>
    <w:rsid w:val="00AC45A4"/>
    <w:rsid w:val="00AC5469"/>
    <w:rsid w:val="00AC5B2C"/>
    <w:rsid w:val="00AC604D"/>
    <w:rsid w:val="00AC6836"/>
    <w:rsid w:val="00AD0A89"/>
    <w:rsid w:val="00AD24DA"/>
    <w:rsid w:val="00AD2B6A"/>
    <w:rsid w:val="00AD3C44"/>
    <w:rsid w:val="00AD54E2"/>
    <w:rsid w:val="00AD5D14"/>
    <w:rsid w:val="00AD5F6D"/>
    <w:rsid w:val="00AE092B"/>
    <w:rsid w:val="00AE0B65"/>
    <w:rsid w:val="00AE19D0"/>
    <w:rsid w:val="00AE2158"/>
    <w:rsid w:val="00AE2F15"/>
    <w:rsid w:val="00AE3B02"/>
    <w:rsid w:val="00AE3DBC"/>
    <w:rsid w:val="00AE60D9"/>
    <w:rsid w:val="00AE6C5B"/>
    <w:rsid w:val="00AE73BD"/>
    <w:rsid w:val="00AE7A20"/>
    <w:rsid w:val="00AE7EB7"/>
    <w:rsid w:val="00AF0173"/>
    <w:rsid w:val="00AF10FE"/>
    <w:rsid w:val="00AF13F6"/>
    <w:rsid w:val="00AF1665"/>
    <w:rsid w:val="00AF19F4"/>
    <w:rsid w:val="00AF248A"/>
    <w:rsid w:val="00AF2663"/>
    <w:rsid w:val="00AF386C"/>
    <w:rsid w:val="00AF41E7"/>
    <w:rsid w:val="00AF5555"/>
    <w:rsid w:val="00AF5883"/>
    <w:rsid w:val="00AF658C"/>
    <w:rsid w:val="00B0098B"/>
    <w:rsid w:val="00B0123D"/>
    <w:rsid w:val="00B03F53"/>
    <w:rsid w:val="00B04F87"/>
    <w:rsid w:val="00B05131"/>
    <w:rsid w:val="00B0560D"/>
    <w:rsid w:val="00B05724"/>
    <w:rsid w:val="00B0730A"/>
    <w:rsid w:val="00B102D9"/>
    <w:rsid w:val="00B11E8E"/>
    <w:rsid w:val="00B120B7"/>
    <w:rsid w:val="00B12B81"/>
    <w:rsid w:val="00B1306F"/>
    <w:rsid w:val="00B13C1B"/>
    <w:rsid w:val="00B13FD2"/>
    <w:rsid w:val="00B14742"/>
    <w:rsid w:val="00B15C06"/>
    <w:rsid w:val="00B206DF"/>
    <w:rsid w:val="00B20F7E"/>
    <w:rsid w:val="00B2125D"/>
    <w:rsid w:val="00B21E0E"/>
    <w:rsid w:val="00B21E78"/>
    <w:rsid w:val="00B22C4F"/>
    <w:rsid w:val="00B25207"/>
    <w:rsid w:val="00B25F20"/>
    <w:rsid w:val="00B261A5"/>
    <w:rsid w:val="00B27A1C"/>
    <w:rsid w:val="00B27A6C"/>
    <w:rsid w:val="00B27BCC"/>
    <w:rsid w:val="00B27DBE"/>
    <w:rsid w:val="00B27F41"/>
    <w:rsid w:val="00B30072"/>
    <w:rsid w:val="00B32D23"/>
    <w:rsid w:val="00B336AC"/>
    <w:rsid w:val="00B36081"/>
    <w:rsid w:val="00B370F0"/>
    <w:rsid w:val="00B372A7"/>
    <w:rsid w:val="00B37728"/>
    <w:rsid w:val="00B37748"/>
    <w:rsid w:val="00B40D0C"/>
    <w:rsid w:val="00B42959"/>
    <w:rsid w:val="00B42A2B"/>
    <w:rsid w:val="00B43441"/>
    <w:rsid w:val="00B43607"/>
    <w:rsid w:val="00B43B03"/>
    <w:rsid w:val="00B4478C"/>
    <w:rsid w:val="00B44992"/>
    <w:rsid w:val="00B461BC"/>
    <w:rsid w:val="00B465A0"/>
    <w:rsid w:val="00B46A1B"/>
    <w:rsid w:val="00B46AD1"/>
    <w:rsid w:val="00B46FD2"/>
    <w:rsid w:val="00B47449"/>
    <w:rsid w:val="00B474B8"/>
    <w:rsid w:val="00B509ED"/>
    <w:rsid w:val="00B51782"/>
    <w:rsid w:val="00B524CF"/>
    <w:rsid w:val="00B536A7"/>
    <w:rsid w:val="00B5378E"/>
    <w:rsid w:val="00B54D7E"/>
    <w:rsid w:val="00B55759"/>
    <w:rsid w:val="00B56442"/>
    <w:rsid w:val="00B57CC6"/>
    <w:rsid w:val="00B62E2D"/>
    <w:rsid w:val="00B63B35"/>
    <w:rsid w:val="00B649CB"/>
    <w:rsid w:val="00B64B1D"/>
    <w:rsid w:val="00B64B46"/>
    <w:rsid w:val="00B65CA1"/>
    <w:rsid w:val="00B66FF2"/>
    <w:rsid w:val="00B73A94"/>
    <w:rsid w:val="00B7695B"/>
    <w:rsid w:val="00B76F74"/>
    <w:rsid w:val="00B77679"/>
    <w:rsid w:val="00B77C09"/>
    <w:rsid w:val="00B77FE1"/>
    <w:rsid w:val="00B80F51"/>
    <w:rsid w:val="00B82577"/>
    <w:rsid w:val="00B83B14"/>
    <w:rsid w:val="00B84557"/>
    <w:rsid w:val="00B84879"/>
    <w:rsid w:val="00B84ACC"/>
    <w:rsid w:val="00B84B68"/>
    <w:rsid w:val="00B84F9B"/>
    <w:rsid w:val="00B8771B"/>
    <w:rsid w:val="00B91856"/>
    <w:rsid w:val="00B91D64"/>
    <w:rsid w:val="00B92456"/>
    <w:rsid w:val="00B9383A"/>
    <w:rsid w:val="00B93B5A"/>
    <w:rsid w:val="00B93FB1"/>
    <w:rsid w:val="00B941FE"/>
    <w:rsid w:val="00B9440B"/>
    <w:rsid w:val="00B94D79"/>
    <w:rsid w:val="00B94E29"/>
    <w:rsid w:val="00B95564"/>
    <w:rsid w:val="00B9599E"/>
    <w:rsid w:val="00B97582"/>
    <w:rsid w:val="00B977AD"/>
    <w:rsid w:val="00BA0CA7"/>
    <w:rsid w:val="00BA0CC9"/>
    <w:rsid w:val="00BA2265"/>
    <w:rsid w:val="00BA253D"/>
    <w:rsid w:val="00BA3F37"/>
    <w:rsid w:val="00BA566F"/>
    <w:rsid w:val="00BA6684"/>
    <w:rsid w:val="00BA6B47"/>
    <w:rsid w:val="00BA72E1"/>
    <w:rsid w:val="00BA7ABA"/>
    <w:rsid w:val="00BB20CC"/>
    <w:rsid w:val="00BB28F6"/>
    <w:rsid w:val="00BB4BB3"/>
    <w:rsid w:val="00BB5C6B"/>
    <w:rsid w:val="00BB6C7F"/>
    <w:rsid w:val="00BC147A"/>
    <w:rsid w:val="00BC19A9"/>
    <w:rsid w:val="00BC1B24"/>
    <w:rsid w:val="00BC1D9F"/>
    <w:rsid w:val="00BC4DDB"/>
    <w:rsid w:val="00BC520B"/>
    <w:rsid w:val="00BD0410"/>
    <w:rsid w:val="00BD220E"/>
    <w:rsid w:val="00BD4990"/>
    <w:rsid w:val="00BD5679"/>
    <w:rsid w:val="00BD6618"/>
    <w:rsid w:val="00BD7C13"/>
    <w:rsid w:val="00BE05F0"/>
    <w:rsid w:val="00BE1221"/>
    <w:rsid w:val="00BE1706"/>
    <w:rsid w:val="00BE1EA8"/>
    <w:rsid w:val="00BE2ACF"/>
    <w:rsid w:val="00BE2DA1"/>
    <w:rsid w:val="00BE4BB4"/>
    <w:rsid w:val="00BE5328"/>
    <w:rsid w:val="00BE5FD3"/>
    <w:rsid w:val="00BE66B4"/>
    <w:rsid w:val="00BE6D2E"/>
    <w:rsid w:val="00BE71E6"/>
    <w:rsid w:val="00BF06AA"/>
    <w:rsid w:val="00BF088E"/>
    <w:rsid w:val="00BF1839"/>
    <w:rsid w:val="00BF21CD"/>
    <w:rsid w:val="00BF443D"/>
    <w:rsid w:val="00BF5AF6"/>
    <w:rsid w:val="00BF6C52"/>
    <w:rsid w:val="00C002B5"/>
    <w:rsid w:val="00C00556"/>
    <w:rsid w:val="00C012C3"/>
    <w:rsid w:val="00C01F83"/>
    <w:rsid w:val="00C02DE5"/>
    <w:rsid w:val="00C03BCE"/>
    <w:rsid w:val="00C05B35"/>
    <w:rsid w:val="00C0640D"/>
    <w:rsid w:val="00C07AB7"/>
    <w:rsid w:val="00C106AA"/>
    <w:rsid w:val="00C10B2A"/>
    <w:rsid w:val="00C112C6"/>
    <w:rsid w:val="00C12067"/>
    <w:rsid w:val="00C124C3"/>
    <w:rsid w:val="00C12706"/>
    <w:rsid w:val="00C1306D"/>
    <w:rsid w:val="00C161E4"/>
    <w:rsid w:val="00C17B99"/>
    <w:rsid w:val="00C17E19"/>
    <w:rsid w:val="00C20FEC"/>
    <w:rsid w:val="00C21971"/>
    <w:rsid w:val="00C22466"/>
    <w:rsid w:val="00C2256D"/>
    <w:rsid w:val="00C22A8A"/>
    <w:rsid w:val="00C23FE0"/>
    <w:rsid w:val="00C241AF"/>
    <w:rsid w:val="00C24A9C"/>
    <w:rsid w:val="00C24DFC"/>
    <w:rsid w:val="00C2696C"/>
    <w:rsid w:val="00C26EFE"/>
    <w:rsid w:val="00C276EF"/>
    <w:rsid w:val="00C302DA"/>
    <w:rsid w:val="00C30701"/>
    <w:rsid w:val="00C31213"/>
    <w:rsid w:val="00C31EBF"/>
    <w:rsid w:val="00C31FF5"/>
    <w:rsid w:val="00C33065"/>
    <w:rsid w:val="00C33091"/>
    <w:rsid w:val="00C3312A"/>
    <w:rsid w:val="00C35C3C"/>
    <w:rsid w:val="00C37AEA"/>
    <w:rsid w:val="00C40EE8"/>
    <w:rsid w:val="00C411A3"/>
    <w:rsid w:val="00C41BCC"/>
    <w:rsid w:val="00C4224F"/>
    <w:rsid w:val="00C43037"/>
    <w:rsid w:val="00C441FF"/>
    <w:rsid w:val="00C44841"/>
    <w:rsid w:val="00C44A94"/>
    <w:rsid w:val="00C45C20"/>
    <w:rsid w:val="00C47D83"/>
    <w:rsid w:val="00C5140E"/>
    <w:rsid w:val="00C5158A"/>
    <w:rsid w:val="00C517A6"/>
    <w:rsid w:val="00C5305C"/>
    <w:rsid w:val="00C53339"/>
    <w:rsid w:val="00C5708D"/>
    <w:rsid w:val="00C57856"/>
    <w:rsid w:val="00C605A3"/>
    <w:rsid w:val="00C60F9C"/>
    <w:rsid w:val="00C62414"/>
    <w:rsid w:val="00C6251A"/>
    <w:rsid w:val="00C6348C"/>
    <w:rsid w:val="00C6636D"/>
    <w:rsid w:val="00C669AC"/>
    <w:rsid w:val="00C7093D"/>
    <w:rsid w:val="00C710BF"/>
    <w:rsid w:val="00C71130"/>
    <w:rsid w:val="00C71CA6"/>
    <w:rsid w:val="00C7246D"/>
    <w:rsid w:val="00C73484"/>
    <w:rsid w:val="00C73FD1"/>
    <w:rsid w:val="00C74198"/>
    <w:rsid w:val="00C75072"/>
    <w:rsid w:val="00C7603C"/>
    <w:rsid w:val="00C76733"/>
    <w:rsid w:val="00C80176"/>
    <w:rsid w:val="00C80397"/>
    <w:rsid w:val="00C81D8C"/>
    <w:rsid w:val="00C82811"/>
    <w:rsid w:val="00C82A37"/>
    <w:rsid w:val="00C83414"/>
    <w:rsid w:val="00C835B9"/>
    <w:rsid w:val="00C8394A"/>
    <w:rsid w:val="00C85943"/>
    <w:rsid w:val="00C86E9A"/>
    <w:rsid w:val="00C87A04"/>
    <w:rsid w:val="00C90341"/>
    <w:rsid w:val="00C912D7"/>
    <w:rsid w:val="00C918F5"/>
    <w:rsid w:val="00C93562"/>
    <w:rsid w:val="00C95265"/>
    <w:rsid w:val="00CA2290"/>
    <w:rsid w:val="00CA2808"/>
    <w:rsid w:val="00CA34F9"/>
    <w:rsid w:val="00CA3D52"/>
    <w:rsid w:val="00CA4E5D"/>
    <w:rsid w:val="00CA6256"/>
    <w:rsid w:val="00CA6698"/>
    <w:rsid w:val="00CB022E"/>
    <w:rsid w:val="00CB0910"/>
    <w:rsid w:val="00CB0C59"/>
    <w:rsid w:val="00CB18C9"/>
    <w:rsid w:val="00CB451C"/>
    <w:rsid w:val="00CB52EA"/>
    <w:rsid w:val="00CB5628"/>
    <w:rsid w:val="00CB5B75"/>
    <w:rsid w:val="00CB61DB"/>
    <w:rsid w:val="00CC0EDF"/>
    <w:rsid w:val="00CC1578"/>
    <w:rsid w:val="00CC18D5"/>
    <w:rsid w:val="00CC5E2D"/>
    <w:rsid w:val="00CC63A7"/>
    <w:rsid w:val="00CD00DB"/>
    <w:rsid w:val="00CD0E43"/>
    <w:rsid w:val="00CD16D9"/>
    <w:rsid w:val="00CD2E69"/>
    <w:rsid w:val="00CD4436"/>
    <w:rsid w:val="00CD4698"/>
    <w:rsid w:val="00CD50AB"/>
    <w:rsid w:val="00CD5560"/>
    <w:rsid w:val="00CD580A"/>
    <w:rsid w:val="00CD5D91"/>
    <w:rsid w:val="00CE01B5"/>
    <w:rsid w:val="00CE0E53"/>
    <w:rsid w:val="00CE1859"/>
    <w:rsid w:val="00CE2907"/>
    <w:rsid w:val="00CE3654"/>
    <w:rsid w:val="00CE6FDF"/>
    <w:rsid w:val="00CE726E"/>
    <w:rsid w:val="00CE76BE"/>
    <w:rsid w:val="00CF0332"/>
    <w:rsid w:val="00CF11D9"/>
    <w:rsid w:val="00CF127E"/>
    <w:rsid w:val="00CF1750"/>
    <w:rsid w:val="00CF29C3"/>
    <w:rsid w:val="00CF3B97"/>
    <w:rsid w:val="00CF5485"/>
    <w:rsid w:val="00CF5997"/>
    <w:rsid w:val="00CF718E"/>
    <w:rsid w:val="00CF7FF5"/>
    <w:rsid w:val="00D0287F"/>
    <w:rsid w:val="00D033D1"/>
    <w:rsid w:val="00D03FC3"/>
    <w:rsid w:val="00D040AA"/>
    <w:rsid w:val="00D0510C"/>
    <w:rsid w:val="00D051B9"/>
    <w:rsid w:val="00D0523D"/>
    <w:rsid w:val="00D05EBC"/>
    <w:rsid w:val="00D0641B"/>
    <w:rsid w:val="00D0674D"/>
    <w:rsid w:val="00D07BB2"/>
    <w:rsid w:val="00D1056A"/>
    <w:rsid w:val="00D109D9"/>
    <w:rsid w:val="00D118A5"/>
    <w:rsid w:val="00D119C5"/>
    <w:rsid w:val="00D11E80"/>
    <w:rsid w:val="00D14479"/>
    <w:rsid w:val="00D15770"/>
    <w:rsid w:val="00D164F7"/>
    <w:rsid w:val="00D16C29"/>
    <w:rsid w:val="00D16CC8"/>
    <w:rsid w:val="00D17577"/>
    <w:rsid w:val="00D17A88"/>
    <w:rsid w:val="00D20165"/>
    <w:rsid w:val="00D2083A"/>
    <w:rsid w:val="00D212F9"/>
    <w:rsid w:val="00D225F5"/>
    <w:rsid w:val="00D23563"/>
    <w:rsid w:val="00D23894"/>
    <w:rsid w:val="00D24A17"/>
    <w:rsid w:val="00D24BCB"/>
    <w:rsid w:val="00D26220"/>
    <w:rsid w:val="00D26497"/>
    <w:rsid w:val="00D26A51"/>
    <w:rsid w:val="00D26C0E"/>
    <w:rsid w:val="00D27186"/>
    <w:rsid w:val="00D271F7"/>
    <w:rsid w:val="00D30155"/>
    <w:rsid w:val="00D30D12"/>
    <w:rsid w:val="00D317F2"/>
    <w:rsid w:val="00D31BD9"/>
    <w:rsid w:val="00D3279A"/>
    <w:rsid w:val="00D32A6F"/>
    <w:rsid w:val="00D32C06"/>
    <w:rsid w:val="00D34568"/>
    <w:rsid w:val="00D353D4"/>
    <w:rsid w:val="00D359B9"/>
    <w:rsid w:val="00D371DD"/>
    <w:rsid w:val="00D3752D"/>
    <w:rsid w:val="00D37CE6"/>
    <w:rsid w:val="00D40009"/>
    <w:rsid w:val="00D404F1"/>
    <w:rsid w:val="00D40E54"/>
    <w:rsid w:val="00D4220E"/>
    <w:rsid w:val="00D42976"/>
    <w:rsid w:val="00D43907"/>
    <w:rsid w:val="00D47A90"/>
    <w:rsid w:val="00D50479"/>
    <w:rsid w:val="00D50548"/>
    <w:rsid w:val="00D5165B"/>
    <w:rsid w:val="00D520B1"/>
    <w:rsid w:val="00D530C0"/>
    <w:rsid w:val="00D5381B"/>
    <w:rsid w:val="00D540F5"/>
    <w:rsid w:val="00D56115"/>
    <w:rsid w:val="00D56B7A"/>
    <w:rsid w:val="00D60706"/>
    <w:rsid w:val="00D6135F"/>
    <w:rsid w:val="00D62D7B"/>
    <w:rsid w:val="00D646C0"/>
    <w:rsid w:val="00D66190"/>
    <w:rsid w:val="00D6629B"/>
    <w:rsid w:val="00D662AE"/>
    <w:rsid w:val="00D66B21"/>
    <w:rsid w:val="00D66B68"/>
    <w:rsid w:val="00D66BF0"/>
    <w:rsid w:val="00D67E62"/>
    <w:rsid w:val="00D70CA5"/>
    <w:rsid w:val="00D70D1F"/>
    <w:rsid w:val="00D71191"/>
    <w:rsid w:val="00D7127A"/>
    <w:rsid w:val="00D71C1C"/>
    <w:rsid w:val="00D72703"/>
    <w:rsid w:val="00D72C6E"/>
    <w:rsid w:val="00D745C2"/>
    <w:rsid w:val="00D745F8"/>
    <w:rsid w:val="00D74CB5"/>
    <w:rsid w:val="00D75F89"/>
    <w:rsid w:val="00D8059C"/>
    <w:rsid w:val="00D818FE"/>
    <w:rsid w:val="00D8218E"/>
    <w:rsid w:val="00D8241D"/>
    <w:rsid w:val="00D82441"/>
    <w:rsid w:val="00D82F3D"/>
    <w:rsid w:val="00D83900"/>
    <w:rsid w:val="00D83B9A"/>
    <w:rsid w:val="00D842D4"/>
    <w:rsid w:val="00D855BC"/>
    <w:rsid w:val="00D859E0"/>
    <w:rsid w:val="00D85CF2"/>
    <w:rsid w:val="00D869A7"/>
    <w:rsid w:val="00D8735E"/>
    <w:rsid w:val="00D87689"/>
    <w:rsid w:val="00D87CED"/>
    <w:rsid w:val="00D90CAF"/>
    <w:rsid w:val="00D91770"/>
    <w:rsid w:val="00D93EF3"/>
    <w:rsid w:val="00D94343"/>
    <w:rsid w:val="00D94BC9"/>
    <w:rsid w:val="00D957A3"/>
    <w:rsid w:val="00D9583A"/>
    <w:rsid w:val="00D95F8B"/>
    <w:rsid w:val="00D96689"/>
    <w:rsid w:val="00D97FAD"/>
    <w:rsid w:val="00DA116C"/>
    <w:rsid w:val="00DA2103"/>
    <w:rsid w:val="00DA2981"/>
    <w:rsid w:val="00DA42BD"/>
    <w:rsid w:val="00DA4927"/>
    <w:rsid w:val="00DA4D22"/>
    <w:rsid w:val="00DA6A42"/>
    <w:rsid w:val="00DA6D41"/>
    <w:rsid w:val="00DA73BD"/>
    <w:rsid w:val="00DB2B50"/>
    <w:rsid w:val="00DB2B9C"/>
    <w:rsid w:val="00DB32E7"/>
    <w:rsid w:val="00DB39FD"/>
    <w:rsid w:val="00DB466F"/>
    <w:rsid w:val="00DB4985"/>
    <w:rsid w:val="00DB6A65"/>
    <w:rsid w:val="00DC0A3D"/>
    <w:rsid w:val="00DC0BB4"/>
    <w:rsid w:val="00DC0D77"/>
    <w:rsid w:val="00DC3127"/>
    <w:rsid w:val="00DC4ADC"/>
    <w:rsid w:val="00DC4C17"/>
    <w:rsid w:val="00DC54AF"/>
    <w:rsid w:val="00DC64C3"/>
    <w:rsid w:val="00DC72E8"/>
    <w:rsid w:val="00DD0555"/>
    <w:rsid w:val="00DD0783"/>
    <w:rsid w:val="00DD162B"/>
    <w:rsid w:val="00DD2D76"/>
    <w:rsid w:val="00DD4738"/>
    <w:rsid w:val="00DD495F"/>
    <w:rsid w:val="00DD5852"/>
    <w:rsid w:val="00DD5CE7"/>
    <w:rsid w:val="00DD68DA"/>
    <w:rsid w:val="00DD7C7B"/>
    <w:rsid w:val="00DE068C"/>
    <w:rsid w:val="00DE0C24"/>
    <w:rsid w:val="00DE0C9E"/>
    <w:rsid w:val="00DE13DD"/>
    <w:rsid w:val="00DE17D6"/>
    <w:rsid w:val="00DE1A43"/>
    <w:rsid w:val="00DE2A2C"/>
    <w:rsid w:val="00DE45CF"/>
    <w:rsid w:val="00DE5717"/>
    <w:rsid w:val="00DE60F9"/>
    <w:rsid w:val="00DE61A4"/>
    <w:rsid w:val="00DE7E29"/>
    <w:rsid w:val="00DE7FA1"/>
    <w:rsid w:val="00DF0436"/>
    <w:rsid w:val="00DF16A7"/>
    <w:rsid w:val="00DF2710"/>
    <w:rsid w:val="00DF2D2C"/>
    <w:rsid w:val="00DF4830"/>
    <w:rsid w:val="00E029B6"/>
    <w:rsid w:val="00E04080"/>
    <w:rsid w:val="00E05163"/>
    <w:rsid w:val="00E06823"/>
    <w:rsid w:val="00E068BD"/>
    <w:rsid w:val="00E06D8C"/>
    <w:rsid w:val="00E06E3C"/>
    <w:rsid w:val="00E1277E"/>
    <w:rsid w:val="00E13C5D"/>
    <w:rsid w:val="00E14156"/>
    <w:rsid w:val="00E15667"/>
    <w:rsid w:val="00E156DF"/>
    <w:rsid w:val="00E15AA2"/>
    <w:rsid w:val="00E15B06"/>
    <w:rsid w:val="00E178F2"/>
    <w:rsid w:val="00E2001F"/>
    <w:rsid w:val="00E213F3"/>
    <w:rsid w:val="00E215F6"/>
    <w:rsid w:val="00E23C11"/>
    <w:rsid w:val="00E23CE1"/>
    <w:rsid w:val="00E251CC"/>
    <w:rsid w:val="00E251F7"/>
    <w:rsid w:val="00E26356"/>
    <w:rsid w:val="00E2689A"/>
    <w:rsid w:val="00E30B91"/>
    <w:rsid w:val="00E30E9E"/>
    <w:rsid w:val="00E31558"/>
    <w:rsid w:val="00E33393"/>
    <w:rsid w:val="00E34137"/>
    <w:rsid w:val="00E352A0"/>
    <w:rsid w:val="00E3713D"/>
    <w:rsid w:val="00E37A5F"/>
    <w:rsid w:val="00E37B5E"/>
    <w:rsid w:val="00E37C9E"/>
    <w:rsid w:val="00E41296"/>
    <w:rsid w:val="00E412AC"/>
    <w:rsid w:val="00E42D0E"/>
    <w:rsid w:val="00E45910"/>
    <w:rsid w:val="00E46CB9"/>
    <w:rsid w:val="00E47E4A"/>
    <w:rsid w:val="00E50302"/>
    <w:rsid w:val="00E50799"/>
    <w:rsid w:val="00E50EF6"/>
    <w:rsid w:val="00E510D2"/>
    <w:rsid w:val="00E51DA4"/>
    <w:rsid w:val="00E527AE"/>
    <w:rsid w:val="00E52E4D"/>
    <w:rsid w:val="00E5337C"/>
    <w:rsid w:val="00E53511"/>
    <w:rsid w:val="00E56066"/>
    <w:rsid w:val="00E5688B"/>
    <w:rsid w:val="00E56E5A"/>
    <w:rsid w:val="00E573F8"/>
    <w:rsid w:val="00E5769B"/>
    <w:rsid w:val="00E57FFC"/>
    <w:rsid w:val="00E60EE2"/>
    <w:rsid w:val="00E61168"/>
    <w:rsid w:val="00E638F5"/>
    <w:rsid w:val="00E63A4C"/>
    <w:rsid w:val="00E641AF"/>
    <w:rsid w:val="00E65575"/>
    <w:rsid w:val="00E666A9"/>
    <w:rsid w:val="00E70214"/>
    <w:rsid w:val="00E71E60"/>
    <w:rsid w:val="00E72CAA"/>
    <w:rsid w:val="00E739F3"/>
    <w:rsid w:val="00E771C7"/>
    <w:rsid w:val="00E771E9"/>
    <w:rsid w:val="00E81CE2"/>
    <w:rsid w:val="00E83CD3"/>
    <w:rsid w:val="00E83ED1"/>
    <w:rsid w:val="00E8447F"/>
    <w:rsid w:val="00E86490"/>
    <w:rsid w:val="00E87D11"/>
    <w:rsid w:val="00E91B7C"/>
    <w:rsid w:val="00E92C80"/>
    <w:rsid w:val="00E94504"/>
    <w:rsid w:val="00E94AAB"/>
    <w:rsid w:val="00E95191"/>
    <w:rsid w:val="00E968B7"/>
    <w:rsid w:val="00EA03F7"/>
    <w:rsid w:val="00EA17D9"/>
    <w:rsid w:val="00EA23C2"/>
    <w:rsid w:val="00EA24B0"/>
    <w:rsid w:val="00EA2A9F"/>
    <w:rsid w:val="00EA2B4F"/>
    <w:rsid w:val="00EA3D80"/>
    <w:rsid w:val="00EA4267"/>
    <w:rsid w:val="00EA46D4"/>
    <w:rsid w:val="00EA5E8C"/>
    <w:rsid w:val="00EA6030"/>
    <w:rsid w:val="00EA66C0"/>
    <w:rsid w:val="00EA7C8F"/>
    <w:rsid w:val="00EA7E44"/>
    <w:rsid w:val="00EB0830"/>
    <w:rsid w:val="00EB0D4B"/>
    <w:rsid w:val="00EB0E47"/>
    <w:rsid w:val="00EB1CB7"/>
    <w:rsid w:val="00EB28B9"/>
    <w:rsid w:val="00EB2A82"/>
    <w:rsid w:val="00EB2C74"/>
    <w:rsid w:val="00EB2F84"/>
    <w:rsid w:val="00EB4909"/>
    <w:rsid w:val="00EB4BF6"/>
    <w:rsid w:val="00EB5EED"/>
    <w:rsid w:val="00EB70EF"/>
    <w:rsid w:val="00EC0CF9"/>
    <w:rsid w:val="00EC1604"/>
    <w:rsid w:val="00EC1A6B"/>
    <w:rsid w:val="00EC24A6"/>
    <w:rsid w:val="00EC27F0"/>
    <w:rsid w:val="00EC2915"/>
    <w:rsid w:val="00EC3C38"/>
    <w:rsid w:val="00EC4BDF"/>
    <w:rsid w:val="00EC50AE"/>
    <w:rsid w:val="00EC687E"/>
    <w:rsid w:val="00EC697A"/>
    <w:rsid w:val="00EC6A79"/>
    <w:rsid w:val="00EC771A"/>
    <w:rsid w:val="00ED15B3"/>
    <w:rsid w:val="00ED28A6"/>
    <w:rsid w:val="00ED3043"/>
    <w:rsid w:val="00ED3215"/>
    <w:rsid w:val="00ED3C0B"/>
    <w:rsid w:val="00ED3F07"/>
    <w:rsid w:val="00ED5440"/>
    <w:rsid w:val="00ED5775"/>
    <w:rsid w:val="00ED5C22"/>
    <w:rsid w:val="00ED666C"/>
    <w:rsid w:val="00ED66FF"/>
    <w:rsid w:val="00ED77AE"/>
    <w:rsid w:val="00ED7D80"/>
    <w:rsid w:val="00EE1D58"/>
    <w:rsid w:val="00EE1E70"/>
    <w:rsid w:val="00EE28F1"/>
    <w:rsid w:val="00EE2C89"/>
    <w:rsid w:val="00EE2D9D"/>
    <w:rsid w:val="00EE37D4"/>
    <w:rsid w:val="00EE4AF2"/>
    <w:rsid w:val="00EE5F46"/>
    <w:rsid w:val="00EE65C5"/>
    <w:rsid w:val="00EF09BE"/>
    <w:rsid w:val="00EF1578"/>
    <w:rsid w:val="00EF17F5"/>
    <w:rsid w:val="00EF1A6C"/>
    <w:rsid w:val="00EF4525"/>
    <w:rsid w:val="00EF4DBD"/>
    <w:rsid w:val="00EF5348"/>
    <w:rsid w:val="00EF6098"/>
    <w:rsid w:val="00EF6A06"/>
    <w:rsid w:val="00EF6A82"/>
    <w:rsid w:val="00EF76BE"/>
    <w:rsid w:val="00F00022"/>
    <w:rsid w:val="00F00349"/>
    <w:rsid w:val="00F010B8"/>
    <w:rsid w:val="00F01540"/>
    <w:rsid w:val="00F01C06"/>
    <w:rsid w:val="00F01D0A"/>
    <w:rsid w:val="00F0213F"/>
    <w:rsid w:val="00F03C53"/>
    <w:rsid w:val="00F04D46"/>
    <w:rsid w:val="00F04DCA"/>
    <w:rsid w:val="00F05593"/>
    <w:rsid w:val="00F055F7"/>
    <w:rsid w:val="00F06EDE"/>
    <w:rsid w:val="00F071A2"/>
    <w:rsid w:val="00F1116D"/>
    <w:rsid w:val="00F11FF5"/>
    <w:rsid w:val="00F145CB"/>
    <w:rsid w:val="00F147B4"/>
    <w:rsid w:val="00F15364"/>
    <w:rsid w:val="00F15760"/>
    <w:rsid w:val="00F175B6"/>
    <w:rsid w:val="00F218AF"/>
    <w:rsid w:val="00F22A0B"/>
    <w:rsid w:val="00F231CB"/>
    <w:rsid w:val="00F249A9"/>
    <w:rsid w:val="00F253B3"/>
    <w:rsid w:val="00F25658"/>
    <w:rsid w:val="00F25C09"/>
    <w:rsid w:val="00F261B6"/>
    <w:rsid w:val="00F27AC3"/>
    <w:rsid w:val="00F319BC"/>
    <w:rsid w:val="00F31D3F"/>
    <w:rsid w:val="00F326F5"/>
    <w:rsid w:val="00F32A39"/>
    <w:rsid w:val="00F33BD2"/>
    <w:rsid w:val="00F3404F"/>
    <w:rsid w:val="00F37A7C"/>
    <w:rsid w:val="00F37B79"/>
    <w:rsid w:val="00F37F79"/>
    <w:rsid w:val="00F40768"/>
    <w:rsid w:val="00F40BAF"/>
    <w:rsid w:val="00F4104F"/>
    <w:rsid w:val="00F410BE"/>
    <w:rsid w:val="00F41D18"/>
    <w:rsid w:val="00F43A8B"/>
    <w:rsid w:val="00F45A8F"/>
    <w:rsid w:val="00F460CC"/>
    <w:rsid w:val="00F46A0E"/>
    <w:rsid w:val="00F501F6"/>
    <w:rsid w:val="00F518F3"/>
    <w:rsid w:val="00F539A3"/>
    <w:rsid w:val="00F53EDB"/>
    <w:rsid w:val="00F54030"/>
    <w:rsid w:val="00F55634"/>
    <w:rsid w:val="00F5754A"/>
    <w:rsid w:val="00F60413"/>
    <w:rsid w:val="00F604D6"/>
    <w:rsid w:val="00F6061C"/>
    <w:rsid w:val="00F611A5"/>
    <w:rsid w:val="00F62872"/>
    <w:rsid w:val="00F631B7"/>
    <w:rsid w:val="00F63785"/>
    <w:rsid w:val="00F65DAB"/>
    <w:rsid w:val="00F668A5"/>
    <w:rsid w:val="00F66A05"/>
    <w:rsid w:val="00F67942"/>
    <w:rsid w:val="00F7023E"/>
    <w:rsid w:val="00F70480"/>
    <w:rsid w:val="00F70E57"/>
    <w:rsid w:val="00F716DD"/>
    <w:rsid w:val="00F7182C"/>
    <w:rsid w:val="00F737D0"/>
    <w:rsid w:val="00F74001"/>
    <w:rsid w:val="00F7447F"/>
    <w:rsid w:val="00F74EB7"/>
    <w:rsid w:val="00F7632C"/>
    <w:rsid w:val="00F80C9B"/>
    <w:rsid w:val="00F823C6"/>
    <w:rsid w:val="00F82A5E"/>
    <w:rsid w:val="00F82F87"/>
    <w:rsid w:val="00F83C15"/>
    <w:rsid w:val="00F86FA2"/>
    <w:rsid w:val="00F909ED"/>
    <w:rsid w:val="00F918EC"/>
    <w:rsid w:val="00F92726"/>
    <w:rsid w:val="00F936DF"/>
    <w:rsid w:val="00F94B9C"/>
    <w:rsid w:val="00F95540"/>
    <w:rsid w:val="00F95B7D"/>
    <w:rsid w:val="00F960A1"/>
    <w:rsid w:val="00F966F3"/>
    <w:rsid w:val="00F96791"/>
    <w:rsid w:val="00F967B1"/>
    <w:rsid w:val="00F97CC3"/>
    <w:rsid w:val="00FA09D0"/>
    <w:rsid w:val="00FA0C2D"/>
    <w:rsid w:val="00FA295C"/>
    <w:rsid w:val="00FA30C9"/>
    <w:rsid w:val="00FA476D"/>
    <w:rsid w:val="00FA4B41"/>
    <w:rsid w:val="00FA6A7E"/>
    <w:rsid w:val="00FA6AAD"/>
    <w:rsid w:val="00FA7DEA"/>
    <w:rsid w:val="00FB0D48"/>
    <w:rsid w:val="00FB1517"/>
    <w:rsid w:val="00FB24E1"/>
    <w:rsid w:val="00FB345F"/>
    <w:rsid w:val="00FB501F"/>
    <w:rsid w:val="00FB69F9"/>
    <w:rsid w:val="00FB72D4"/>
    <w:rsid w:val="00FB7B78"/>
    <w:rsid w:val="00FC0B8F"/>
    <w:rsid w:val="00FC1253"/>
    <w:rsid w:val="00FC14E5"/>
    <w:rsid w:val="00FC2A16"/>
    <w:rsid w:val="00FC2DDC"/>
    <w:rsid w:val="00FC330D"/>
    <w:rsid w:val="00FC3B66"/>
    <w:rsid w:val="00FC3E3E"/>
    <w:rsid w:val="00FC3F7D"/>
    <w:rsid w:val="00FC4321"/>
    <w:rsid w:val="00FC515E"/>
    <w:rsid w:val="00FC6E5C"/>
    <w:rsid w:val="00FC6FB8"/>
    <w:rsid w:val="00FC750F"/>
    <w:rsid w:val="00FC7EFD"/>
    <w:rsid w:val="00FC7FF3"/>
    <w:rsid w:val="00FD07A0"/>
    <w:rsid w:val="00FD229A"/>
    <w:rsid w:val="00FD3690"/>
    <w:rsid w:val="00FD3A82"/>
    <w:rsid w:val="00FD3CD2"/>
    <w:rsid w:val="00FD46C9"/>
    <w:rsid w:val="00FD548B"/>
    <w:rsid w:val="00FD555D"/>
    <w:rsid w:val="00FD5B0F"/>
    <w:rsid w:val="00FD7042"/>
    <w:rsid w:val="00FD70CE"/>
    <w:rsid w:val="00FD731C"/>
    <w:rsid w:val="00FE0A95"/>
    <w:rsid w:val="00FE2AA2"/>
    <w:rsid w:val="00FE2E89"/>
    <w:rsid w:val="00FE3796"/>
    <w:rsid w:val="00FE3CF0"/>
    <w:rsid w:val="00FE41A4"/>
    <w:rsid w:val="00FE50A5"/>
    <w:rsid w:val="00FE7892"/>
    <w:rsid w:val="00FE7D36"/>
    <w:rsid w:val="00FF00D8"/>
    <w:rsid w:val="00FF0B32"/>
    <w:rsid w:val="00FF123C"/>
    <w:rsid w:val="00FF1BFD"/>
    <w:rsid w:val="00FF2E2E"/>
    <w:rsid w:val="00FF3109"/>
    <w:rsid w:val="00FF4386"/>
    <w:rsid w:val="00FF4D74"/>
    <w:rsid w:val="00FF5C3D"/>
    <w:rsid w:val="00FF5CD4"/>
    <w:rsid w:val="00FF5EA5"/>
    <w:rsid w:val="00FF759C"/>
  </w:rsids>
  <m:mathPr>
    <m:mathFont m:val="Cambria Math"/>
    <m:brkBin m:val="before"/>
    <m:brkBinSub m:val="--"/>
    <m:smallFrac/>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l-GR" w:eastAsia="el-G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5238"/>
    <w:pPr>
      <w:spacing w:after="200" w:line="276" w:lineRule="auto"/>
    </w:pPr>
    <w:rPr>
      <w:sz w:val="22"/>
      <w:szCs w:val="22"/>
      <w:lang w:eastAsia="en-US"/>
    </w:rPr>
  </w:style>
  <w:style w:type="paragraph" w:styleId="1a">
    <w:name w:val="heading 1"/>
    <w:basedOn w:val="a"/>
    <w:next w:val="a"/>
    <w:link w:val="1Char"/>
    <w:uiPriority w:val="9"/>
    <w:qFormat/>
    <w:rsid w:val="006D10EF"/>
    <w:pPr>
      <w:keepNext/>
      <w:keepLines/>
      <w:spacing w:before="480" w:after="0"/>
      <w:outlineLvl w:val="0"/>
    </w:pPr>
    <w:rPr>
      <w:rFonts w:ascii="Cambria" w:eastAsia="Times New Roman" w:hAnsi="Cambria"/>
      <w:b/>
      <w:bCs/>
      <w:color w:val="365F91"/>
      <w:sz w:val="28"/>
      <w:szCs w:val="28"/>
    </w:rPr>
  </w:style>
  <w:style w:type="paragraph" w:styleId="25">
    <w:name w:val="heading 2"/>
    <w:basedOn w:val="a"/>
    <w:next w:val="a"/>
    <w:link w:val="2Char"/>
    <w:uiPriority w:val="9"/>
    <w:unhideWhenUsed/>
    <w:qFormat/>
    <w:rsid w:val="009B082F"/>
    <w:pPr>
      <w:keepNext/>
      <w:keepLines/>
      <w:spacing w:before="200" w:after="0"/>
      <w:outlineLvl w:val="1"/>
    </w:pPr>
    <w:rPr>
      <w:rFonts w:ascii="Cambria" w:eastAsia="Times New Roman" w:hAnsi="Cambria"/>
      <w:b/>
      <w:bCs/>
      <w:color w:val="4F81BD"/>
      <w:sz w:val="26"/>
      <w:szCs w:val="26"/>
    </w:rPr>
  </w:style>
  <w:style w:type="paragraph" w:styleId="30">
    <w:name w:val="heading 3"/>
    <w:basedOn w:val="a"/>
    <w:next w:val="a"/>
    <w:link w:val="3Char"/>
    <w:uiPriority w:val="9"/>
    <w:unhideWhenUsed/>
    <w:qFormat/>
    <w:rsid w:val="00AD5F6D"/>
    <w:pPr>
      <w:keepNext/>
      <w:keepLines/>
      <w:spacing w:before="200" w:after="0"/>
      <w:outlineLvl w:val="2"/>
    </w:pPr>
    <w:rPr>
      <w:rFonts w:ascii="Cambria" w:eastAsia="Times New Roman" w:hAnsi="Cambria"/>
      <w:b/>
      <w:bCs/>
      <w:color w:val="4F81BD"/>
    </w:rPr>
  </w:style>
  <w:style w:type="paragraph" w:styleId="41">
    <w:name w:val="heading 4"/>
    <w:basedOn w:val="a"/>
    <w:next w:val="a"/>
    <w:link w:val="4Char"/>
    <w:uiPriority w:val="9"/>
    <w:unhideWhenUsed/>
    <w:qFormat/>
    <w:rsid w:val="008302D4"/>
    <w:pPr>
      <w:keepNext/>
      <w:keepLines/>
      <w:spacing w:before="200" w:after="0"/>
      <w:outlineLvl w:val="3"/>
    </w:pPr>
    <w:rPr>
      <w:rFonts w:ascii="Cambria" w:eastAsia="Times New Roman" w:hAnsi="Cambria"/>
      <w:b/>
      <w:bCs/>
      <w:i/>
      <w:iCs/>
      <w:color w:val="4F81BD"/>
    </w:rPr>
  </w:style>
  <w:style w:type="paragraph" w:styleId="50">
    <w:name w:val="heading 5"/>
    <w:basedOn w:val="a"/>
    <w:link w:val="5Char"/>
    <w:uiPriority w:val="9"/>
    <w:qFormat/>
    <w:rsid w:val="0055289A"/>
    <w:pPr>
      <w:spacing w:before="100" w:beforeAutospacing="1" w:after="100" w:afterAutospacing="1" w:line="240" w:lineRule="auto"/>
      <w:outlineLvl w:val="4"/>
    </w:pPr>
    <w:rPr>
      <w:rFonts w:ascii="Times New Roman" w:eastAsia="Times New Roman" w:hAnsi="Times New Roman"/>
      <w:b/>
      <w:bCs/>
      <w:sz w:val="20"/>
      <w:szCs w:val="20"/>
      <w:lang w:eastAsia="el-GR"/>
    </w:rPr>
  </w:style>
  <w:style w:type="paragraph" w:styleId="60">
    <w:name w:val="heading 6"/>
    <w:basedOn w:val="a"/>
    <w:link w:val="6Char"/>
    <w:uiPriority w:val="9"/>
    <w:qFormat/>
    <w:rsid w:val="00147973"/>
    <w:pPr>
      <w:spacing w:before="100" w:beforeAutospacing="1" w:after="100" w:afterAutospacing="1" w:line="240" w:lineRule="auto"/>
      <w:outlineLvl w:val="5"/>
    </w:pPr>
    <w:rPr>
      <w:rFonts w:ascii="Times New Roman" w:eastAsia="Times New Roman" w:hAnsi="Times New Roman"/>
      <w:b/>
      <w:bCs/>
      <w:sz w:val="15"/>
      <w:szCs w:val="15"/>
      <w:lang w:eastAsia="el-G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a"/>
    <w:uiPriority w:val="9"/>
    <w:rsid w:val="006D10EF"/>
    <w:rPr>
      <w:rFonts w:ascii="Cambria" w:eastAsia="Times New Roman" w:hAnsi="Cambria" w:cs="Times New Roman"/>
      <w:b/>
      <w:bCs/>
      <w:color w:val="365F91"/>
      <w:sz w:val="28"/>
      <w:szCs w:val="28"/>
    </w:rPr>
  </w:style>
  <w:style w:type="paragraph" w:styleId="a3">
    <w:name w:val="TOC Heading"/>
    <w:basedOn w:val="1a"/>
    <w:next w:val="a"/>
    <w:uiPriority w:val="39"/>
    <w:unhideWhenUsed/>
    <w:qFormat/>
    <w:rsid w:val="006D10EF"/>
    <w:pPr>
      <w:outlineLvl w:val="9"/>
    </w:pPr>
    <w:rPr>
      <w:lang w:eastAsia="el-GR"/>
    </w:rPr>
  </w:style>
  <w:style w:type="paragraph" w:styleId="1b">
    <w:name w:val="toc 1"/>
    <w:basedOn w:val="a"/>
    <w:next w:val="a"/>
    <w:autoRedefine/>
    <w:uiPriority w:val="39"/>
    <w:unhideWhenUsed/>
    <w:qFormat/>
    <w:rsid w:val="00B8771B"/>
    <w:pPr>
      <w:tabs>
        <w:tab w:val="left" w:pos="1584"/>
        <w:tab w:val="right" w:leader="dot" w:pos="8296"/>
      </w:tabs>
      <w:spacing w:after="100"/>
      <w:ind w:left="720"/>
      <w:jc w:val="both"/>
    </w:pPr>
    <w:rPr>
      <w:sz w:val="24"/>
      <w:szCs w:val="24"/>
    </w:rPr>
  </w:style>
  <w:style w:type="character" w:styleId="-">
    <w:name w:val="Hyperlink"/>
    <w:basedOn w:val="a0"/>
    <w:uiPriority w:val="99"/>
    <w:unhideWhenUsed/>
    <w:rsid w:val="006D10EF"/>
    <w:rPr>
      <w:color w:val="0000FF"/>
      <w:u w:val="single"/>
    </w:rPr>
  </w:style>
  <w:style w:type="paragraph" w:styleId="a4">
    <w:name w:val="Balloon Text"/>
    <w:basedOn w:val="a"/>
    <w:link w:val="Char"/>
    <w:uiPriority w:val="99"/>
    <w:semiHidden/>
    <w:unhideWhenUsed/>
    <w:rsid w:val="006D10EF"/>
    <w:pPr>
      <w:spacing w:after="0" w:line="240" w:lineRule="auto"/>
    </w:pPr>
    <w:rPr>
      <w:rFonts w:ascii="Tahoma" w:hAnsi="Tahoma" w:cs="Tahoma"/>
      <w:sz w:val="16"/>
      <w:szCs w:val="16"/>
    </w:rPr>
  </w:style>
  <w:style w:type="character" w:customStyle="1" w:styleId="Char">
    <w:name w:val="Κείμενο πλαισίου Char"/>
    <w:basedOn w:val="a0"/>
    <w:link w:val="a4"/>
    <w:uiPriority w:val="99"/>
    <w:semiHidden/>
    <w:rsid w:val="006D10EF"/>
    <w:rPr>
      <w:rFonts w:ascii="Tahoma" w:hAnsi="Tahoma" w:cs="Tahoma"/>
      <w:sz w:val="16"/>
      <w:szCs w:val="16"/>
    </w:rPr>
  </w:style>
  <w:style w:type="paragraph" w:styleId="26">
    <w:name w:val="toc 2"/>
    <w:basedOn w:val="a"/>
    <w:next w:val="a"/>
    <w:autoRedefine/>
    <w:uiPriority w:val="39"/>
    <w:unhideWhenUsed/>
    <w:qFormat/>
    <w:rsid w:val="00581A57"/>
    <w:pPr>
      <w:tabs>
        <w:tab w:val="left" w:pos="1320"/>
        <w:tab w:val="right" w:leader="dot" w:pos="8296"/>
      </w:tabs>
      <w:spacing w:after="100"/>
      <w:ind w:left="1584" w:hanging="432"/>
    </w:pPr>
    <w:rPr>
      <w:rFonts w:eastAsia="Times New Roman"/>
      <w:lang w:eastAsia="el-GR"/>
    </w:rPr>
  </w:style>
  <w:style w:type="paragraph" w:styleId="31">
    <w:name w:val="toc 3"/>
    <w:basedOn w:val="a"/>
    <w:next w:val="a"/>
    <w:autoRedefine/>
    <w:uiPriority w:val="39"/>
    <w:unhideWhenUsed/>
    <w:qFormat/>
    <w:rsid w:val="00C00556"/>
    <w:pPr>
      <w:tabs>
        <w:tab w:val="left" w:pos="1320"/>
        <w:tab w:val="right" w:leader="dot" w:pos="8296"/>
      </w:tabs>
      <w:spacing w:after="100"/>
      <w:ind w:left="1584" w:hanging="432"/>
    </w:pPr>
    <w:rPr>
      <w:rFonts w:eastAsia="Times New Roman"/>
      <w:lang w:eastAsia="el-GR"/>
    </w:rPr>
  </w:style>
  <w:style w:type="character" w:customStyle="1" w:styleId="2Char">
    <w:name w:val="Επικεφαλίδα 2 Char"/>
    <w:basedOn w:val="a0"/>
    <w:link w:val="25"/>
    <w:uiPriority w:val="9"/>
    <w:rsid w:val="009B082F"/>
    <w:rPr>
      <w:rFonts w:ascii="Cambria" w:eastAsia="Times New Roman" w:hAnsi="Cambria" w:cs="Times New Roman"/>
      <w:b/>
      <w:bCs/>
      <w:color w:val="4F81BD"/>
      <w:sz w:val="26"/>
      <w:szCs w:val="26"/>
    </w:rPr>
  </w:style>
  <w:style w:type="character" w:customStyle="1" w:styleId="apple-converted-space">
    <w:name w:val="apple-converted-space"/>
    <w:basedOn w:val="a0"/>
    <w:rsid w:val="009829E7"/>
  </w:style>
  <w:style w:type="character" w:customStyle="1" w:styleId="mixed-citation">
    <w:name w:val="mixed-citation"/>
    <w:basedOn w:val="a0"/>
    <w:rsid w:val="00864D44"/>
  </w:style>
  <w:style w:type="character" w:customStyle="1" w:styleId="ref-journal">
    <w:name w:val="ref-journal"/>
    <w:basedOn w:val="a0"/>
    <w:rsid w:val="00202093"/>
  </w:style>
  <w:style w:type="character" w:customStyle="1" w:styleId="ref-vol">
    <w:name w:val="ref-vol"/>
    <w:basedOn w:val="a0"/>
    <w:rsid w:val="00202093"/>
  </w:style>
  <w:style w:type="character" w:customStyle="1" w:styleId="element-citation">
    <w:name w:val="element-citation"/>
    <w:basedOn w:val="a0"/>
    <w:rsid w:val="003261AE"/>
  </w:style>
  <w:style w:type="character" w:customStyle="1" w:styleId="ref-title">
    <w:name w:val="ref-title"/>
    <w:basedOn w:val="a0"/>
    <w:rsid w:val="00AD5F6D"/>
  </w:style>
  <w:style w:type="paragraph" w:styleId="a5">
    <w:name w:val="List Paragraph"/>
    <w:basedOn w:val="a"/>
    <w:uiPriority w:val="34"/>
    <w:qFormat/>
    <w:rsid w:val="00AD5F6D"/>
    <w:pPr>
      <w:ind w:left="720"/>
      <w:contextualSpacing/>
    </w:pPr>
  </w:style>
  <w:style w:type="character" w:customStyle="1" w:styleId="3Char">
    <w:name w:val="Επικεφαλίδα 3 Char"/>
    <w:basedOn w:val="a0"/>
    <w:link w:val="30"/>
    <w:uiPriority w:val="9"/>
    <w:rsid w:val="00AD5F6D"/>
    <w:rPr>
      <w:rFonts w:ascii="Cambria" w:eastAsia="Times New Roman" w:hAnsi="Cambria" w:cs="Times New Roman"/>
      <w:b/>
      <w:bCs/>
      <w:color w:val="4F81BD"/>
    </w:rPr>
  </w:style>
  <w:style w:type="paragraph" w:styleId="a6">
    <w:name w:val="No Spacing"/>
    <w:uiPriority w:val="1"/>
    <w:qFormat/>
    <w:rsid w:val="006F0857"/>
    <w:rPr>
      <w:sz w:val="22"/>
      <w:szCs w:val="22"/>
      <w:lang w:eastAsia="en-US"/>
    </w:rPr>
  </w:style>
  <w:style w:type="paragraph" w:styleId="a7">
    <w:name w:val="header"/>
    <w:basedOn w:val="a"/>
    <w:link w:val="Char0"/>
    <w:uiPriority w:val="99"/>
    <w:unhideWhenUsed/>
    <w:rsid w:val="00725298"/>
    <w:pPr>
      <w:tabs>
        <w:tab w:val="center" w:pos="4153"/>
        <w:tab w:val="right" w:pos="8306"/>
      </w:tabs>
      <w:spacing w:after="0" w:line="240" w:lineRule="auto"/>
    </w:pPr>
  </w:style>
  <w:style w:type="character" w:customStyle="1" w:styleId="Char0">
    <w:name w:val="Κεφαλίδα Char"/>
    <w:basedOn w:val="a0"/>
    <w:link w:val="a7"/>
    <w:uiPriority w:val="99"/>
    <w:rsid w:val="00725298"/>
  </w:style>
  <w:style w:type="paragraph" w:styleId="a8">
    <w:name w:val="footer"/>
    <w:basedOn w:val="a"/>
    <w:link w:val="Char1"/>
    <w:uiPriority w:val="99"/>
    <w:unhideWhenUsed/>
    <w:rsid w:val="00725298"/>
    <w:pPr>
      <w:tabs>
        <w:tab w:val="center" w:pos="4153"/>
        <w:tab w:val="right" w:pos="8306"/>
      </w:tabs>
      <w:spacing w:after="0" w:line="240" w:lineRule="auto"/>
    </w:pPr>
  </w:style>
  <w:style w:type="character" w:customStyle="1" w:styleId="Char1">
    <w:name w:val="Υποσέλιδο Char"/>
    <w:basedOn w:val="a0"/>
    <w:link w:val="a8"/>
    <w:uiPriority w:val="99"/>
    <w:rsid w:val="00725298"/>
  </w:style>
  <w:style w:type="character" w:styleId="a9">
    <w:name w:val="annotation reference"/>
    <w:basedOn w:val="a0"/>
    <w:uiPriority w:val="99"/>
    <w:semiHidden/>
    <w:unhideWhenUsed/>
    <w:rsid w:val="00820302"/>
    <w:rPr>
      <w:sz w:val="16"/>
      <w:szCs w:val="16"/>
    </w:rPr>
  </w:style>
  <w:style w:type="paragraph" w:styleId="aa">
    <w:name w:val="annotation text"/>
    <w:basedOn w:val="a"/>
    <w:link w:val="Char2"/>
    <w:uiPriority w:val="99"/>
    <w:unhideWhenUsed/>
    <w:rsid w:val="00820302"/>
    <w:pPr>
      <w:spacing w:line="240" w:lineRule="auto"/>
    </w:pPr>
    <w:rPr>
      <w:sz w:val="20"/>
      <w:szCs w:val="20"/>
    </w:rPr>
  </w:style>
  <w:style w:type="character" w:customStyle="1" w:styleId="Char2">
    <w:name w:val="Κείμενο σχολίου Char"/>
    <w:basedOn w:val="a0"/>
    <w:link w:val="aa"/>
    <w:uiPriority w:val="99"/>
    <w:rsid w:val="00820302"/>
    <w:rPr>
      <w:sz w:val="20"/>
      <w:szCs w:val="20"/>
    </w:rPr>
  </w:style>
  <w:style w:type="paragraph" w:styleId="ab">
    <w:name w:val="annotation subject"/>
    <w:basedOn w:val="aa"/>
    <w:next w:val="aa"/>
    <w:link w:val="Char3"/>
    <w:uiPriority w:val="99"/>
    <w:semiHidden/>
    <w:unhideWhenUsed/>
    <w:rsid w:val="00820302"/>
    <w:rPr>
      <w:b/>
      <w:bCs/>
    </w:rPr>
  </w:style>
  <w:style w:type="character" w:customStyle="1" w:styleId="Char3">
    <w:name w:val="Θέμα σχολίου Char"/>
    <w:basedOn w:val="Char2"/>
    <w:link w:val="ab"/>
    <w:uiPriority w:val="99"/>
    <w:semiHidden/>
    <w:rsid w:val="00820302"/>
    <w:rPr>
      <w:b/>
      <w:bCs/>
      <w:sz w:val="20"/>
      <w:szCs w:val="20"/>
    </w:rPr>
  </w:style>
  <w:style w:type="paragraph" w:styleId="ac">
    <w:name w:val="Bibliography"/>
    <w:basedOn w:val="a"/>
    <w:next w:val="a"/>
    <w:uiPriority w:val="37"/>
    <w:unhideWhenUsed/>
    <w:rsid w:val="00A847E5"/>
  </w:style>
  <w:style w:type="paragraph" w:styleId="ad">
    <w:name w:val="endnote text"/>
    <w:basedOn w:val="a"/>
    <w:link w:val="Char4"/>
    <w:uiPriority w:val="99"/>
    <w:semiHidden/>
    <w:unhideWhenUsed/>
    <w:rsid w:val="00A847E5"/>
    <w:pPr>
      <w:spacing w:after="0" w:line="240" w:lineRule="auto"/>
    </w:pPr>
    <w:rPr>
      <w:sz w:val="20"/>
      <w:szCs w:val="20"/>
    </w:rPr>
  </w:style>
  <w:style w:type="character" w:customStyle="1" w:styleId="Char4">
    <w:name w:val="Κείμενο σημείωσης τέλους Char"/>
    <w:basedOn w:val="a0"/>
    <w:link w:val="ad"/>
    <w:uiPriority w:val="99"/>
    <w:semiHidden/>
    <w:rsid w:val="00A847E5"/>
    <w:rPr>
      <w:sz w:val="20"/>
      <w:szCs w:val="20"/>
    </w:rPr>
  </w:style>
  <w:style w:type="character" w:styleId="ae">
    <w:name w:val="endnote reference"/>
    <w:basedOn w:val="a0"/>
    <w:uiPriority w:val="99"/>
    <w:semiHidden/>
    <w:unhideWhenUsed/>
    <w:rsid w:val="00A847E5"/>
    <w:rPr>
      <w:vertAlign w:val="superscript"/>
    </w:rPr>
  </w:style>
  <w:style w:type="paragraph" w:customStyle="1" w:styleId="Default">
    <w:name w:val="Default"/>
    <w:rsid w:val="007C18B6"/>
    <w:pPr>
      <w:autoSpaceDE w:val="0"/>
      <w:autoSpaceDN w:val="0"/>
      <w:adjustRightInd w:val="0"/>
    </w:pPr>
    <w:rPr>
      <w:rFonts w:ascii="Arial" w:hAnsi="Arial" w:cs="Arial"/>
      <w:color w:val="000000"/>
      <w:sz w:val="24"/>
      <w:szCs w:val="24"/>
      <w:lang w:eastAsia="en-US"/>
    </w:rPr>
  </w:style>
  <w:style w:type="paragraph" w:customStyle="1" w:styleId="CM1">
    <w:name w:val="CM1"/>
    <w:basedOn w:val="Default"/>
    <w:next w:val="Default"/>
    <w:uiPriority w:val="99"/>
    <w:rsid w:val="00ED3F07"/>
    <w:rPr>
      <w:rFonts w:ascii="Times New Roman" w:hAnsi="Times New Roman" w:cs="Times New Roman"/>
      <w:color w:val="auto"/>
    </w:rPr>
  </w:style>
  <w:style w:type="numbering" w:customStyle="1" w:styleId="1">
    <w:name w:val="Στυλ1"/>
    <w:uiPriority w:val="99"/>
    <w:rsid w:val="00FF5C3D"/>
    <w:pPr>
      <w:numPr>
        <w:numId w:val="4"/>
      </w:numPr>
    </w:pPr>
  </w:style>
  <w:style w:type="numbering" w:customStyle="1" w:styleId="2">
    <w:name w:val="Στυλ2"/>
    <w:uiPriority w:val="99"/>
    <w:rsid w:val="00FF5C3D"/>
    <w:pPr>
      <w:numPr>
        <w:numId w:val="5"/>
      </w:numPr>
    </w:pPr>
  </w:style>
  <w:style w:type="numbering" w:customStyle="1" w:styleId="3">
    <w:name w:val="Στυλ3"/>
    <w:uiPriority w:val="99"/>
    <w:rsid w:val="00FF5C3D"/>
    <w:pPr>
      <w:numPr>
        <w:numId w:val="6"/>
      </w:numPr>
    </w:pPr>
  </w:style>
  <w:style w:type="numbering" w:customStyle="1" w:styleId="40">
    <w:name w:val="Στυλ4"/>
    <w:uiPriority w:val="99"/>
    <w:rsid w:val="00FF5C3D"/>
    <w:pPr>
      <w:numPr>
        <w:numId w:val="7"/>
      </w:numPr>
    </w:pPr>
  </w:style>
  <w:style w:type="character" w:customStyle="1" w:styleId="highlight">
    <w:name w:val="highlight"/>
    <w:basedOn w:val="a0"/>
    <w:rsid w:val="00332783"/>
  </w:style>
  <w:style w:type="table" w:styleId="af">
    <w:name w:val="Table Grid"/>
    <w:basedOn w:val="a1"/>
    <w:uiPriority w:val="59"/>
    <w:rsid w:val="00C4224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Char">
    <w:name w:val="Επικεφαλίδα 4 Char"/>
    <w:basedOn w:val="a0"/>
    <w:link w:val="41"/>
    <w:uiPriority w:val="9"/>
    <w:rsid w:val="008302D4"/>
    <w:rPr>
      <w:rFonts w:ascii="Cambria" w:eastAsia="Times New Roman" w:hAnsi="Cambria" w:cs="Times New Roman"/>
      <w:b/>
      <w:bCs/>
      <w:i/>
      <w:iCs/>
      <w:color w:val="4F81BD"/>
    </w:rPr>
  </w:style>
  <w:style w:type="character" w:customStyle="1" w:styleId="spelle">
    <w:name w:val="spelle"/>
    <w:basedOn w:val="a0"/>
    <w:rsid w:val="006D7A98"/>
  </w:style>
  <w:style w:type="character" w:styleId="af0">
    <w:name w:val="Placeholder Text"/>
    <w:basedOn w:val="a0"/>
    <w:uiPriority w:val="99"/>
    <w:semiHidden/>
    <w:rsid w:val="00A14663"/>
    <w:rPr>
      <w:color w:val="808080"/>
    </w:rPr>
  </w:style>
  <w:style w:type="character" w:customStyle="1" w:styleId="citation-publication-date">
    <w:name w:val="citation-publication-date"/>
    <w:basedOn w:val="a0"/>
    <w:rsid w:val="0001255B"/>
  </w:style>
  <w:style w:type="character" w:customStyle="1" w:styleId="jrnl">
    <w:name w:val="jrnl"/>
    <w:basedOn w:val="a0"/>
    <w:rsid w:val="00C35C3C"/>
  </w:style>
  <w:style w:type="character" w:styleId="af1">
    <w:name w:val="Emphasis"/>
    <w:basedOn w:val="a0"/>
    <w:uiPriority w:val="20"/>
    <w:qFormat/>
    <w:rsid w:val="00C22466"/>
    <w:rPr>
      <w:i/>
      <w:iCs/>
    </w:rPr>
  </w:style>
  <w:style w:type="paragraph" w:styleId="Web">
    <w:name w:val="Normal (Web)"/>
    <w:basedOn w:val="a"/>
    <w:uiPriority w:val="99"/>
    <w:unhideWhenUsed/>
    <w:rsid w:val="00B77679"/>
    <w:rPr>
      <w:rFonts w:ascii="Times New Roman" w:hAnsi="Times New Roman"/>
      <w:sz w:val="24"/>
      <w:szCs w:val="24"/>
    </w:rPr>
  </w:style>
  <w:style w:type="numbering" w:customStyle="1" w:styleId="5">
    <w:name w:val="Στυλ5"/>
    <w:uiPriority w:val="99"/>
    <w:rsid w:val="0051328E"/>
    <w:pPr>
      <w:numPr>
        <w:numId w:val="21"/>
      </w:numPr>
    </w:pPr>
  </w:style>
  <w:style w:type="numbering" w:customStyle="1" w:styleId="4">
    <w:name w:val="Στυλ 4"/>
    <w:uiPriority w:val="99"/>
    <w:rsid w:val="001C2835"/>
    <w:pPr>
      <w:numPr>
        <w:numId w:val="22"/>
      </w:numPr>
    </w:pPr>
  </w:style>
  <w:style w:type="numbering" w:customStyle="1" w:styleId="6">
    <w:name w:val="Στυλ6"/>
    <w:uiPriority w:val="99"/>
    <w:rsid w:val="001C2835"/>
    <w:pPr>
      <w:numPr>
        <w:numId w:val="23"/>
      </w:numPr>
    </w:pPr>
  </w:style>
  <w:style w:type="numbering" w:customStyle="1" w:styleId="7">
    <w:name w:val="Στυλ7"/>
    <w:uiPriority w:val="99"/>
    <w:rsid w:val="001C2835"/>
    <w:pPr>
      <w:numPr>
        <w:numId w:val="24"/>
      </w:numPr>
    </w:pPr>
  </w:style>
  <w:style w:type="numbering" w:customStyle="1" w:styleId="8">
    <w:name w:val="Στυλ8"/>
    <w:uiPriority w:val="99"/>
    <w:rsid w:val="001C2835"/>
    <w:pPr>
      <w:numPr>
        <w:numId w:val="25"/>
      </w:numPr>
    </w:pPr>
  </w:style>
  <w:style w:type="numbering" w:customStyle="1" w:styleId="9">
    <w:name w:val="Στυλ9"/>
    <w:uiPriority w:val="99"/>
    <w:rsid w:val="001C2835"/>
    <w:pPr>
      <w:numPr>
        <w:numId w:val="26"/>
      </w:numPr>
    </w:pPr>
  </w:style>
  <w:style w:type="numbering" w:customStyle="1" w:styleId="10">
    <w:name w:val="Στυλ10"/>
    <w:uiPriority w:val="99"/>
    <w:rsid w:val="001C2835"/>
    <w:pPr>
      <w:numPr>
        <w:numId w:val="27"/>
      </w:numPr>
    </w:pPr>
  </w:style>
  <w:style w:type="numbering" w:customStyle="1" w:styleId="11">
    <w:name w:val="Στυλ11"/>
    <w:uiPriority w:val="99"/>
    <w:rsid w:val="001C2835"/>
    <w:pPr>
      <w:numPr>
        <w:numId w:val="28"/>
      </w:numPr>
    </w:pPr>
  </w:style>
  <w:style w:type="numbering" w:customStyle="1" w:styleId="12">
    <w:name w:val="Στυλ12"/>
    <w:uiPriority w:val="99"/>
    <w:rsid w:val="00EF4DBD"/>
    <w:pPr>
      <w:numPr>
        <w:numId w:val="29"/>
      </w:numPr>
    </w:pPr>
  </w:style>
  <w:style w:type="numbering" w:customStyle="1" w:styleId="13">
    <w:name w:val="Στυλ13"/>
    <w:uiPriority w:val="99"/>
    <w:rsid w:val="00EF4DBD"/>
    <w:pPr>
      <w:numPr>
        <w:numId w:val="30"/>
      </w:numPr>
    </w:pPr>
  </w:style>
  <w:style w:type="numbering" w:customStyle="1" w:styleId="14">
    <w:name w:val="Στυλ14"/>
    <w:uiPriority w:val="99"/>
    <w:rsid w:val="00EF4DBD"/>
    <w:pPr>
      <w:numPr>
        <w:numId w:val="31"/>
      </w:numPr>
    </w:pPr>
  </w:style>
  <w:style w:type="numbering" w:customStyle="1" w:styleId="15">
    <w:name w:val="Στυλ15"/>
    <w:uiPriority w:val="99"/>
    <w:rsid w:val="00EF4DBD"/>
    <w:pPr>
      <w:numPr>
        <w:numId w:val="32"/>
      </w:numPr>
    </w:pPr>
  </w:style>
  <w:style w:type="character" w:customStyle="1" w:styleId="6Char">
    <w:name w:val="Επικεφαλίδα 6 Char"/>
    <w:basedOn w:val="a0"/>
    <w:link w:val="60"/>
    <w:uiPriority w:val="9"/>
    <w:rsid w:val="00147973"/>
    <w:rPr>
      <w:rFonts w:ascii="Times New Roman" w:eastAsia="Times New Roman" w:hAnsi="Times New Roman" w:cs="Times New Roman"/>
      <w:b/>
      <w:bCs/>
      <w:sz w:val="15"/>
      <w:szCs w:val="15"/>
      <w:lang w:eastAsia="el-GR"/>
    </w:rPr>
  </w:style>
  <w:style w:type="character" w:customStyle="1" w:styleId="5Char">
    <w:name w:val="Επικεφαλίδα 5 Char"/>
    <w:basedOn w:val="a0"/>
    <w:link w:val="50"/>
    <w:uiPriority w:val="9"/>
    <w:rsid w:val="0055289A"/>
    <w:rPr>
      <w:rFonts w:ascii="Times New Roman" w:eastAsia="Times New Roman" w:hAnsi="Times New Roman" w:cs="Times New Roman"/>
      <w:b/>
      <w:bCs/>
      <w:sz w:val="20"/>
      <w:szCs w:val="20"/>
      <w:lang w:eastAsia="el-GR"/>
    </w:rPr>
  </w:style>
  <w:style w:type="paragraph" w:customStyle="1" w:styleId="1c">
    <w:name w:val="Τίτλος1"/>
    <w:basedOn w:val="a"/>
    <w:rsid w:val="00133A0E"/>
    <w:pPr>
      <w:spacing w:before="100" w:beforeAutospacing="1" w:after="100" w:afterAutospacing="1" w:line="240" w:lineRule="auto"/>
    </w:pPr>
    <w:rPr>
      <w:rFonts w:ascii="Times New Roman" w:eastAsia="Times New Roman" w:hAnsi="Times New Roman"/>
      <w:sz w:val="24"/>
      <w:szCs w:val="24"/>
      <w:lang w:eastAsia="el-GR"/>
    </w:rPr>
  </w:style>
  <w:style w:type="paragraph" w:customStyle="1" w:styleId="desc">
    <w:name w:val="desc"/>
    <w:basedOn w:val="a"/>
    <w:rsid w:val="00133A0E"/>
    <w:pPr>
      <w:spacing w:before="100" w:beforeAutospacing="1" w:after="100" w:afterAutospacing="1" w:line="240" w:lineRule="auto"/>
    </w:pPr>
    <w:rPr>
      <w:rFonts w:ascii="Times New Roman" w:eastAsia="Times New Roman" w:hAnsi="Times New Roman"/>
      <w:sz w:val="24"/>
      <w:szCs w:val="24"/>
      <w:lang w:eastAsia="el-GR"/>
    </w:rPr>
  </w:style>
  <w:style w:type="paragraph" w:customStyle="1" w:styleId="details">
    <w:name w:val="details"/>
    <w:basedOn w:val="a"/>
    <w:rsid w:val="00133A0E"/>
    <w:pPr>
      <w:spacing w:before="100" w:beforeAutospacing="1" w:after="100" w:afterAutospacing="1" w:line="240" w:lineRule="auto"/>
    </w:pPr>
    <w:rPr>
      <w:rFonts w:ascii="Times New Roman" w:eastAsia="Times New Roman" w:hAnsi="Times New Roman"/>
      <w:sz w:val="24"/>
      <w:szCs w:val="24"/>
      <w:lang w:eastAsia="el-GR"/>
    </w:rPr>
  </w:style>
  <w:style w:type="character" w:customStyle="1" w:styleId="elsevierstylesup">
    <w:name w:val="elsevierstylesup"/>
    <w:basedOn w:val="a0"/>
    <w:rsid w:val="00222E7E"/>
  </w:style>
  <w:style w:type="character" w:styleId="-0">
    <w:name w:val="FollowedHyperlink"/>
    <w:basedOn w:val="a0"/>
    <w:uiPriority w:val="99"/>
    <w:semiHidden/>
    <w:unhideWhenUsed/>
    <w:rsid w:val="00902B52"/>
    <w:rPr>
      <w:color w:val="800080"/>
      <w:u w:val="single"/>
    </w:rPr>
  </w:style>
  <w:style w:type="table" w:styleId="-4">
    <w:name w:val="Light List Accent 4"/>
    <w:basedOn w:val="a1"/>
    <w:uiPriority w:val="61"/>
    <w:rsid w:val="00A26A1C"/>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customStyle="1" w:styleId="1d">
    <w:name w:val="Ανοιχτόχρωμη σκίαση1"/>
    <w:basedOn w:val="a1"/>
    <w:uiPriority w:val="60"/>
    <w:rsid w:val="00A26A1C"/>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40">
    <w:name w:val="Light Shading Accent 4"/>
    <w:basedOn w:val="a1"/>
    <w:uiPriority w:val="60"/>
    <w:rsid w:val="002C19B4"/>
    <w:rPr>
      <w:color w:val="5F497A"/>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1e">
    <w:name w:val="Πλέγμα πίνακα1"/>
    <w:basedOn w:val="a1"/>
    <w:next w:val="af"/>
    <w:uiPriority w:val="59"/>
    <w:rsid w:val="00524C3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3-1">
    <w:name w:val="Medium Grid 3 Accent 1"/>
    <w:basedOn w:val="a1"/>
    <w:uiPriority w:val="69"/>
    <w:rsid w:val="00B91D64"/>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3-3">
    <w:name w:val="Medium Grid 3 Accent 3"/>
    <w:basedOn w:val="a1"/>
    <w:uiPriority w:val="69"/>
    <w:rsid w:val="00B91D64"/>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
    <w:name w:val="Colorful Grid Accent 1"/>
    <w:basedOn w:val="a1"/>
    <w:uiPriority w:val="73"/>
    <w:rsid w:val="00B91D64"/>
    <w:rPr>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styleId="3-5">
    <w:name w:val="Medium Grid 3 Accent 5"/>
    <w:basedOn w:val="a1"/>
    <w:uiPriority w:val="69"/>
    <w:rsid w:val="00B91D64"/>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character" w:customStyle="1" w:styleId="citation">
    <w:name w:val="citation"/>
    <w:basedOn w:val="a0"/>
    <w:rsid w:val="003554BE"/>
  </w:style>
  <w:style w:type="table" w:styleId="-5">
    <w:name w:val="Colorful Grid Accent 5"/>
    <w:basedOn w:val="a1"/>
    <w:uiPriority w:val="73"/>
    <w:rsid w:val="001B08AB"/>
    <w:rPr>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character" w:customStyle="1" w:styleId="titlematch">
    <w:name w:val="titlematch"/>
    <w:basedOn w:val="a0"/>
    <w:rsid w:val="008B6BAF"/>
  </w:style>
  <w:style w:type="paragraph" w:customStyle="1" w:styleId="27">
    <w:name w:val="Τίτλος2"/>
    <w:basedOn w:val="a"/>
    <w:rsid w:val="006948D3"/>
    <w:pPr>
      <w:spacing w:before="100" w:beforeAutospacing="1" w:after="100" w:afterAutospacing="1" w:line="240" w:lineRule="auto"/>
    </w:pPr>
    <w:rPr>
      <w:rFonts w:ascii="Times New Roman" w:eastAsia="Times New Roman" w:hAnsi="Times New Roman"/>
      <w:sz w:val="24"/>
      <w:szCs w:val="24"/>
      <w:lang w:eastAsia="el-GR"/>
    </w:rPr>
  </w:style>
  <w:style w:type="character" w:customStyle="1" w:styleId="af2">
    <w:name w:val="a"/>
    <w:basedOn w:val="a0"/>
    <w:rsid w:val="00E34137"/>
  </w:style>
  <w:style w:type="character" w:customStyle="1" w:styleId="l11">
    <w:name w:val="l11"/>
    <w:basedOn w:val="a0"/>
    <w:rsid w:val="00E34137"/>
  </w:style>
  <w:style w:type="character" w:customStyle="1" w:styleId="l6">
    <w:name w:val="l6"/>
    <w:basedOn w:val="a0"/>
    <w:rsid w:val="00E34137"/>
  </w:style>
  <w:style w:type="character" w:customStyle="1" w:styleId="l7">
    <w:name w:val="l7"/>
    <w:basedOn w:val="a0"/>
    <w:rsid w:val="00E34137"/>
  </w:style>
  <w:style w:type="character" w:customStyle="1" w:styleId="pagefirst">
    <w:name w:val="pagefirst"/>
    <w:basedOn w:val="a0"/>
    <w:rsid w:val="00975C0E"/>
  </w:style>
  <w:style w:type="character" w:customStyle="1" w:styleId="pagelast">
    <w:name w:val="pagelast"/>
    <w:basedOn w:val="a0"/>
    <w:rsid w:val="00975C0E"/>
  </w:style>
  <w:style w:type="character" w:customStyle="1" w:styleId="cit-auth">
    <w:name w:val="cit-auth"/>
    <w:basedOn w:val="a0"/>
    <w:rsid w:val="00975C0E"/>
  </w:style>
  <w:style w:type="character" w:customStyle="1" w:styleId="subhead-sans">
    <w:name w:val="subhead-sans"/>
    <w:basedOn w:val="a0"/>
    <w:rsid w:val="00B11E8E"/>
  </w:style>
  <w:style w:type="character" w:customStyle="1" w:styleId="article-headermeta-info-label">
    <w:name w:val="article-header__meta-info-label"/>
    <w:basedOn w:val="a0"/>
    <w:rsid w:val="00B11E8E"/>
  </w:style>
  <w:style w:type="character" w:customStyle="1" w:styleId="article-headermeta-info-data">
    <w:name w:val="article-header__meta-info-data"/>
    <w:basedOn w:val="a0"/>
    <w:rsid w:val="00B11E8E"/>
  </w:style>
  <w:style w:type="character" w:customStyle="1" w:styleId="smallcaps">
    <w:name w:val="smallcaps"/>
    <w:basedOn w:val="a0"/>
    <w:rsid w:val="00BA0CC9"/>
  </w:style>
  <w:style w:type="character" w:customStyle="1" w:styleId="slug-doi">
    <w:name w:val="slug-doi"/>
    <w:basedOn w:val="a0"/>
    <w:rsid w:val="00C12067"/>
  </w:style>
  <w:style w:type="character" w:customStyle="1" w:styleId="gd">
    <w:name w:val="gd"/>
    <w:basedOn w:val="a0"/>
    <w:rsid w:val="00051D62"/>
  </w:style>
  <w:style w:type="character" w:customStyle="1" w:styleId="go">
    <w:name w:val="go"/>
    <w:basedOn w:val="a0"/>
    <w:rsid w:val="00051D62"/>
  </w:style>
  <w:style w:type="character" w:customStyle="1" w:styleId="g3">
    <w:name w:val="g3"/>
    <w:basedOn w:val="a0"/>
    <w:rsid w:val="00051D62"/>
  </w:style>
  <w:style w:type="character" w:customStyle="1" w:styleId="hb">
    <w:name w:val="hb"/>
    <w:basedOn w:val="a0"/>
    <w:rsid w:val="00051D62"/>
  </w:style>
  <w:style w:type="character" w:customStyle="1" w:styleId="g2">
    <w:name w:val="g2"/>
    <w:basedOn w:val="a0"/>
    <w:rsid w:val="00051D62"/>
  </w:style>
  <w:style w:type="paragraph" w:styleId="af3">
    <w:name w:val="Title"/>
    <w:basedOn w:val="a"/>
    <w:link w:val="Char5"/>
    <w:qFormat/>
    <w:rsid w:val="00F631B7"/>
    <w:pPr>
      <w:spacing w:after="0" w:line="360" w:lineRule="auto"/>
      <w:jc w:val="center"/>
    </w:pPr>
    <w:rPr>
      <w:rFonts w:ascii="Times New Roman" w:eastAsia="Times New Roman" w:hAnsi="Times New Roman"/>
      <w:b/>
      <w:sz w:val="24"/>
      <w:szCs w:val="20"/>
    </w:rPr>
  </w:style>
  <w:style w:type="character" w:customStyle="1" w:styleId="Char5">
    <w:name w:val="Τίτλος Char"/>
    <w:basedOn w:val="a0"/>
    <w:link w:val="af3"/>
    <w:rsid w:val="00F631B7"/>
    <w:rPr>
      <w:rFonts w:ascii="Times New Roman" w:eastAsia="Times New Roman" w:hAnsi="Times New Roman" w:cs="Times New Roman"/>
      <w:b/>
      <w:sz w:val="24"/>
      <w:szCs w:val="20"/>
    </w:rPr>
  </w:style>
  <w:style w:type="numbering" w:customStyle="1" w:styleId="16">
    <w:name w:val="Στυλ16"/>
    <w:uiPriority w:val="99"/>
    <w:rsid w:val="006F0D1E"/>
    <w:pPr>
      <w:numPr>
        <w:numId w:val="91"/>
      </w:numPr>
    </w:pPr>
  </w:style>
  <w:style w:type="numbering" w:customStyle="1" w:styleId="17">
    <w:name w:val="Στυλ17"/>
    <w:uiPriority w:val="99"/>
    <w:rsid w:val="00927531"/>
    <w:pPr>
      <w:numPr>
        <w:numId w:val="92"/>
      </w:numPr>
    </w:pPr>
  </w:style>
  <w:style w:type="numbering" w:customStyle="1" w:styleId="18">
    <w:name w:val="Στυλ18"/>
    <w:uiPriority w:val="99"/>
    <w:rsid w:val="00927531"/>
    <w:pPr>
      <w:numPr>
        <w:numId w:val="93"/>
      </w:numPr>
    </w:pPr>
  </w:style>
  <w:style w:type="numbering" w:customStyle="1" w:styleId="19">
    <w:name w:val="Στυλ19"/>
    <w:uiPriority w:val="99"/>
    <w:rsid w:val="008F6644"/>
    <w:pPr>
      <w:numPr>
        <w:numId w:val="94"/>
      </w:numPr>
    </w:pPr>
  </w:style>
  <w:style w:type="numbering" w:customStyle="1" w:styleId="20">
    <w:name w:val="Στυλ20"/>
    <w:uiPriority w:val="99"/>
    <w:rsid w:val="00F45A8F"/>
    <w:pPr>
      <w:numPr>
        <w:numId w:val="95"/>
      </w:numPr>
    </w:pPr>
  </w:style>
  <w:style w:type="numbering" w:customStyle="1" w:styleId="21">
    <w:name w:val="Στυλ21"/>
    <w:uiPriority w:val="99"/>
    <w:rsid w:val="00F45A8F"/>
    <w:pPr>
      <w:numPr>
        <w:numId w:val="96"/>
      </w:numPr>
    </w:pPr>
  </w:style>
  <w:style w:type="numbering" w:customStyle="1" w:styleId="22">
    <w:name w:val="Στυλ22"/>
    <w:uiPriority w:val="99"/>
    <w:rsid w:val="001F79D1"/>
    <w:pPr>
      <w:numPr>
        <w:numId w:val="97"/>
      </w:numPr>
    </w:pPr>
  </w:style>
  <w:style w:type="paragraph" w:customStyle="1" w:styleId="nouk">
    <w:name w:val="nouk"/>
    <w:basedOn w:val="a"/>
    <w:qFormat/>
    <w:rsid w:val="00496794"/>
    <w:pPr>
      <w:spacing w:after="0" w:line="360" w:lineRule="auto"/>
      <w:jc w:val="both"/>
    </w:pPr>
    <w:rPr>
      <w:rFonts w:cs="Calibri"/>
      <w:sz w:val="24"/>
      <w:szCs w:val="24"/>
    </w:rPr>
  </w:style>
  <w:style w:type="character" w:styleId="HTML">
    <w:name w:val="HTML Cite"/>
    <w:basedOn w:val="a0"/>
    <w:uiPriority w:val="99"/>
    <w:semiHidden/>
    <w:unhideWhenUsed/>
    <w:rsid w:val="00D855BC"/>
    <w:rPr>
      <w:i/>
      <w:iCs/>
    </w:rPr>
  </w:style>
  <w:style w:type="character" w:customStyle="1" w:styleId="cit-source">
    <w:name w:val="cit-source"/>
    <w:basedOn w:val="a0"/>
    <w:rsid w:val="00D855BC"/>
  </w:style>
  <w:style w:type="character" w:customStyle="1" w:styleId="cit-vol">
    <w:name w:val="cit-vol"/>
    <w:basedOn w:val="a0"/>
    <w:rsid w:val="00D855BC"/>
  </w:style>
  <w:style w:type="character" w:customStyle="1" w:styleId="cit-fpage">
    <w:name w:val="cit-fpage"/>
    <w:basedOn w:val="a0"/>
    <w:rsid w:val="00D855BC"/>
  </w:style>
  <w:style w:type="character" w:customStyle="1" w:styleId="cit-pub-date">
    <w:name w:val="cit-pub-date"/>
    <w:basedOn w:val="a0"/>
    <w:rsid w:val="00D855BC"/>
  </w:style>
  <w:style w:type="table" w:customStyle="1" w:styleId="28">
    <w:name w:val="Ανοιχτόχρωμη σκίαση2"/>
    <w:basedOn w:val="a1"/>
    <w:uiPriority w:val="60"/>
    <w:rsid w:val="00A60547"/>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0">
    <w:name w:val="Ανοιχτόχρωμη σκίαση11"/>
    <w:basedOn w:val="a1"/>
    <w:uiPriority w:val="60"/>
    <w:rsid w:val="001843FB"/>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20">
    <w:name w:val="Ανοιχτόχρωμη σκίαση12"/>
    <w:basedOn w:val="a1"/>
    <w:uiPriority w:val="60"/>
    <w:rsid w:val="001843FB"/>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af4">
    <w:name w:val="footnote text"/>
    <w:basedOn w:val="a"/>
    <w:link w:val="Char6"/>
    <w:uiPriority w:val="99"/>
    <w:semiHidden/>
    <w:unhideWhenUsed/>
    <w:rsid w:val="00EC27F0"/>
    <w:pPr>
      <w:spacing w:after="0" w:line="240" w:lineRule="auto"/>
    </w:pPr>
    <w:rPr>
      <w:sz w:val="20"/>
      <w:szCs w:val="20"/>
    </w:rPr>
  </w:style>
  <w:style w:type="character" w:customStyle="1" w:styleId="Char6">
    <w:name w:val="Κείμενο υποσημείωσης Char"/>
    <w:basedOn w:val="a0"/>
    <w:link w:val="af4"/>
    <w:uiPriority w:val="99"/>
    <w:semiHidden/>
    <w:rsid w:val="00EC27F0"/>
    <w:rPr>
      <w:sz w:val="20"/>
      <w:szCs w:val="20"/>
    </w:rPr>
  </w:style>
  <w:style w:type="character" w:styleId="af5">
    <w:name w:val="footnote reference"/>
    <w:basedOn w:val="a0"/>
    <w:uiPriority w:val="99"/>
    <w:semiHidden/>
    <w:unhideWhenUsed/>
    <w:rsid w:val="00EC27F0"/>
    <w:rPr>
      <w:vertAlign w:val="superscript"/>
    </w:rPr>
  </w:style>
  <w:style w:type="table" w:styleId="-10">
    <w:name w:val="Colorful List Accent 1"/>
    <w:basedOn w:val="a1"/>
    <w:uiPriority w:val="72"/>
    <w:rsid w:val="003B3E47"/>
    <w:rPr>
      <w:color w:val="000000"/>
    </w:rPr>
    <w:tblPr>
      <w:tblStyleRowBandSize w:val="1"/>
      <w:tblStyleColBandSize w:val="1"/>
      <w:tblInd w:w="0" w:type="dxa"/>
      <w:tblCellMar>
        <w:top w:w="0" w:type="dxa"/>
        <w:left w:w="108" w:type="dxa"/>
        <w:bottom w:w="0" w:type="dxa"/>
        <w:right w:w="108" w:type="dxa"/>
      </w:tblCellMar>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1f">
    <w:name w:val="Ανοιχτόχρωμη λίστα1"/>
    <w:basedOn w:val="a1"/>
    <w:uiPriority w:val="61"/>
    <w:rsid w:val="003B3E47"/>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50">
    <w:name w:val="Light Shading Accent 5"/>
    <w:basedOn w:val="a1"/>
    <w:uiPriority w:val="60"/>
    <w:rsid w:val="003B3E47"/>
    <w:rPr>
      <w:color w:val="31849B"/>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11">
    <w:name w:val="Ανοιχτόχρωμη λίστα - ΄Εμφαση 11"/>
    <w:basedOn w:val="a1"/>
    <w:uiPriority w:val="61"/>
    <w:rsid w:val="003B3E47"/>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styleId="af6">
    <w:name w:val="Strong"/>
    <w:basedOn w:val="a0"/>
    <w:uiPriority w:val="22"/>
    <w:qFormat/>
    <w:rsid w:val="00E251CC"/>
    <w:rPr>
      <w:b/>
      <w:bCs/>
    </w:rPr>
  </w:style>
  <w:style w:type="character" w:customStyle="1" w:styleId="abstracttitle">
    <w:name w:val="abstract_title"/>
    <w:basedOn w:val="a0"/>
    <w:rsid w:val="00E251CC"/>
  </w:style>
  <w:style w:type="paragraph" w:styleId="af7">
    <w:name w:val="Document Map"/>
    <w:basedOn w:val="a"/>
    <w:link w:val="Char7"/>
    <w:uiPriority w:val="99"/>
    <w:semiHidden/>
    <w:unhideWhenUsed/>
    <w:rsid w:val="00D24BCB"/>
    <w:rPr>
      <w:rFonts w:ascii="Tahoma" w:hAnsi="Tahoma" w:cs="Tahoma"/>
      <w:sz w:val="16"/>
      <w:szCs w:val="16"/>
    </w:rPr>
  </w:style>
  <w:style w:type="character" w:customStyle="1" w:styleId="Char7">
    <w:name w:val="Χάρτης εγγράφου Char"/>
    <w:basedOn w:val="a0"/>
    <w:link w:val="af7"/>
    <w:uiPriority w:val="99"/>
    <w:semiHidden/>
    <w:rsid w:val="00D24BCB"/>
    <w:rPr>
      <w:rFonts w:ascii="Tahoma" w:hAnsi="Tahoma" w:cs="Tahoma"/>
      <w:sz w:val="16"/>
      <w:szCs w:val="16"/>
      <w:lang w:eastAsia="en-US"/>
    </w:rPr>
  </w:style>
  <w:style w:type="character" w:customStyle="1" w:styleId="hvr">
    <w:name w:val="hvr"/>
    <w:basedOn w:val="a0"/>
    <w:rsid w:val="0095027F"/>
  </w:style>
  <w:style w:type="numbering" w:customStyle="1" w:styleId="23">
    <w:name w:val="Στυλ23"/>
    <w:uiPriority w:val="99"/>
    <w:rsid w:val="00E527AE"/>
    <w:pPr>
      <w:numPr>
        <w:numId w:val="107"/>
      </w:numPr>
    </w:pPr>
  </w:style>
  <w:style w:type="numbering" w:customStyle="1" w:styleId="24">
    <w:name w:val="Στυλ24"/>
    <w:uiPriority w:val="99"/>
    <w:rsid w:val="00E527AE"/>
    <w:pPr>
      <w:numPr>
        <w:numId w:val="108"/>
      </w:numPr>
    </w:pPr>
  </w:style>
  <w:style w:type="paragraph" w:customStyle="1" w:styleId="Style2">
    <w:name w:val="Style2"/>
    <w:basedOn w:val="a"/>
    <w:uiPriority w:val="99"/>
    <w:rsid w:val="007051F8"/>
    <w:pPr>
      <w:widowControl w:val="0"/>
      <w:autoSpaceDE w:val="0"/>
      <w:autoSpaceDN w:val="0"/>
      <w:adjustRightInd w:val="0"/>
      <w:spacing w:after="0" w:line="240" w:lineRule="auto"/>
    </w:pPr>
    <w:rPr>
      <w:rFonts w:ascii="Times New Roman" w:eastAsia="Times New Roman" w:hAnsi="Times New Roman"/>
      <w:sz w:val="24"/>
      <w:szCs w:val="24"/>
      <w:lang w:eastAsia="el-GR"/>
    </w:rPr>
  </w:style>
  <w:style w:type="character" w:customStyle="1" w:styleId="FontStyle13">
    <w:name w:val="Font Style13"/>
    <w:uiPriority w:val="99"/>
    <w:rsid w:val="007051F8"/>
    <w:rPr>
      <w:rFonts w:ascii="Times New Roman" w:hAnsi="Times New Roman" w:cs="Times New Roman"/>
      <w:i/>
      <w:iCs/>
      <w:sz w:val="16"/>
      <w:szCs w:val="16"/>
    </w:rPr>
  </w:style>
  <w:style w:type="paragraph" w:customStyle="1" w:styleId="af8">
    <w:name w:val="Στυλ"/>
    <w:rsid w:val="00736090"/>
    <w:pPr>
      <w:widowControl w:val="0"/>
      <w:autoSpaceDE w:val="0"/>
      <w:autoSpaceDN w:val="0"/>
      <w:adjustRightInd w:val="0"/>
    </w:pPr>
    <w:rPr>
      <w:rFonts w:ascii="Times New Roman" w:eastAsia="Times New Roman" w:hAnsi="Times New Roman"/>
      <w:sz w:val="24"/>
      <w:szCs w:val="24"/>
    </w:rPr>
  </w:style>
  <w:style w:type="character" w:customStyle="1" w:styleId="color">
    <w:name w:val="color"/>
    <w:basedOn w:val="a0"/>
    <w:rsid w:val="00295D47"/>
  </w:style>
  <w:style w:type="table" w:styleId="-51">
    <w:name w:val="Light List Accent 5"/>
    <w:basedOn w:val="a1"/>
    <w:uiPriority w:val="61"/>
    <w:rsid w:val="00890A92"/>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52">
    <w:name w:val="Light Grid Accent 5"/>
    <w:basedOn w:val="a1"/>
    <w:uiPriority w:val="62"/>
    <w:rsid w:val="003238A7"/>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3">
    <w:name w:val="Light Grid Accent 3"/>
    <w:basedOn w:val="a1"/>
    <w:uiPriority w:val="62"/>
    <w:rsid w:val="003238A7"/>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1">
    <w:name w:val="Light Grid Accent 4"/>
    <w:basedOn w:val="a1"/>
    <w:uiPriority w:val="62"/>
    <w:rsid w:val="0066798F"/>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4">
    <w:name w:val="Medium Grid 1 Accent 4"/>
    <w:basedOn w:val="a1"/>
    <w:uiPriority w:val="67"/>
    <w:rsid w:val="0012455B"/>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2-4">
    <w:name w:val="Medium Grid 2 Accent 4"/>
    <w:basedOn w:val="a1"/>
    <w:uiPriority w:val="68"/>
    <w:rsid w:val="0012455B"/>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customStyle="1" w:styleId="-110">
    <w:name w:val="Ανοιχτόχρωμο πλέγμα - ΄Εμφαση 11"/>
    <w:basedOn w:val="a1"/>
    <w:uiPriority w:val="62"/>
    <w:rsid w:val="002568DB"/>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l-GR" w:eastAsia="el-G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5238"/>
    <w:pPr>
      <w:spacing w:after="200" w:line="276" w:lineRule="auto"/>
    </w:pPr>
    <w:rPr>
      <w:sz w:val="22"/>
      <w:szCs w:val="22"/>
      <w:lang w:eastAsia="en-US"/>
    </w:rPr>
  </w:style>
  <w:style w:type="paragraph" w:styleId="1a">
    <w:name w:val="heading 1"/>
    <w:basedOn w:val="a"/>
    <w:next w:val="a"/>
    <w:link w:val="1Char"/>
    <w:uiPriority w:val="9"/>
    <w:qFormat/>
    <w:rsid w:val="006D10EF"/>
    <w:pPr>
      <w:keepNext/>
      <w:keepLines/>
      <w:spacing w:before="480" w:after="0"/>
      <w:outlineLvl w:val="0"/>
    </w:pPr>
    <w:rPr>
      <w:rFonts w:ascii="Cambria" w:eastAsia="Times New Roman" w:hAnsi="Cambria"/>
      <w:b/>
      <w:bCs/>
      <w:color w:val="365F91"/>
      <w:sz w:val="28"/>
      <w:szCs w:val="28"/>
    </w:rPr>
  </w:style>
  <w:style w:type="paragraph" w:styleId="25">
    <w:name w:val="heading 2"/>
    <w:basedOn w:val="a"/>
    <w:next w:val="a"/>
    <w:link w:val="2Char"/>
    <w:uiPriority w:val="9"/>
    <w:unhideWhenUsed/>
    <w:qFormat/>
    <w:rsid w:val="009B082F"/>
    <w:pPr>
      <w:keepNext/>
      <w:keepLines/>
      <w:spacing w:before="200" w:after="0"/>
      <w:outlineLvl w:val="1"/>
    </w:pPr>
    <w:rPr>
      <w:rFonts w:ascii="Cambria" w:eastAsia="Times New Roman" w:hAnsi="Cambria"/>
      <w:b/>
      <w:bCs/>
      <w:color w:val="4F81BD"/>
      <w:sz w:val="26"/>
      <w:szCs w:val="26"/>
    </w:rPr>
  </w:style>
  <w:style w:type="paragraph" w:styleId="30">
    <w:name w:val="heading 3"/>
    <w:basedOn w:val="a"/>
    <w:next w:val="a"/>
    <w:link w:val="3Char"/>
    <w:uiPriority w:val="9"/>
    <w:unhideWhenUsed/>
    <w:qFormat/>
    <w:rsid w:val="00AD5F6D"/>
    <w:pPr>
      <w:keepNext/>
      <w:keepLines/>
      <w:spacing w:before="200" w:after="0"/>
      <w:outlineLvl w:val="2"/>
    </w:pPr>
    <w:rPr>
      <w:rFonts w:ascii="Cambria" w:eastAsia="Times New Roman" w:hAnsi="Cambria"/>
      <w:b/>
      <w:bCs/>
      <w:color w:val="4F81BD"/>
    </w:rPr>
  </w:style>
  <w:style w:type="paragraph" w:styleId="41">
    <w:name w:val="heading 4"/>
    <w:basedOn w:val="a"/>
    <w:next w:val="a"/>
    <w:link w:val="4Char"/>
    <w:uiPriority w:val="9"/>
    <w:unhideWhenUsed/>
    <w:qFormat/>
    <w:rsid w:val="008302D4"/>
    <w:pPr>
      <w:keepNext/>
      <w:keepLines/>
      <w:spacing w:before="200" w:after="0"/>
      <w:outlineLvl w:val="3"/>
    </w:pPr>
    <w:rPr>
      <w:rFonts w:ascii="Cambria" w:eastAsia="Times New Roman" w:hAnsi="Cambria"/>
      <w:b/>
      <w:bCs/>
      <w:i/>
      <w:iCs/>
      <w:color w:val="4F81BD"/>
    </w:rPr>
  </w:style>
  <w:style w:type="paragraph" w:styleId="50">
    <w:name w:val="heading 5"/>
    <w:basedOn w:val="a"/>
    <w:link w:val="5Char"/>
    <w:uiPriority w:val="9"/>
    <w:qFormat/>
    <w:rsid w:val="0055289A"/>
    <w:pPr>
      <w:spacing w:before="100" w:beforeAutospacing="1" w:after="100" w:afterAutospacing="1" w:line="240" w:lineRule="auto"/>
      <w:outlineLvl w:val="4"/>
    </w:pPr>
    <w:rPr>
      <w:rFonts w:ascii="Times New Roman" w:eastAsia="Times New Roman" w:hAnsi="Times New Roman"/>
      <w:b/>
      <w:bCs/>
      <w:sz w:val="20"/>
      <w:szCs w:val="20"/>
      <w:lang w:eastAsia="el-GR"/>
    </w:rPr>
  </w:style>
  <w:style w:type="paragraph" w:styleId="60">
    <w:name w:val="heading 6"/>
    <w:basedOn w:val="a"/>
    <w:link w:val="6Char"/>
    <w:uiPriority w:val="9"/>
    <w:qFormat/>
    <w:rsid w:val="00147973"/>
    <w:pPr>
      <w:spacing w:before="100" w:beforeAutospacing="1" w:after="100" w:afterAutospacing="1" w:line="240" w:lineRule="auto"/>
      <w:outlineLvl w:val="5"/>
    </w:pPr>
    <w:rPr>
      <w:rFonts w:ascii="Times New Roman" w:eastAsia="Times New Roman" w:hAnsi="Times New Roman"/>
      <w:b/>
      <w:bCs/>
      <w:sz w:val="15"/>
      <w:szCs w:val="15"/>
      <w:lang w:eastAsia="el-G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a"/>
    <w:uiPriority w:val="9"/>
    <w:rsid w:val="006D10EF"/>
    <w:rPr>
      <w:rFonts w:ascii="Cambria" w:eastAsia="Times New Roman" w:hAnsi="Cambria" w:cs="Times New Roman"/>
      <w:b/>
      <w:bCs/>
      <w:color w:val="365F91"/>
      <w:sz w:val="28"/>
      <w:szCs w:val="28"/>
    </w:rPr>
  </w:style>
  <w:style w:type="paragraph" w:styleId="a3">
    <w:name w:val="TOC Heading"/>
    <w:basedOn w:val="1a"/>
    <w:next w:val="a"/>
    <w:uiPriority w:val="39"/>
    <w:unhideWhenUsed/>
    <w:qFormat/>
    <w:rsid w:val="006D10EF"/>
    <w:pPr>
      <w:outlineLvl w:val="9"/>
    </w:pPr>
    <w:rPr>
      <w:lang w:eastAsia="el-GR"/>
    </w:rPr>
  </w:style>
  <w:style w:type="paragraph" w:styleId="1b">
    <w:name w:val="toc 1"/>
    <w:basedOn w:val="a"/>
    <w:next w:val="a"/>
    <w:autoRedefine/>
    <w:uiPriority w:val="39"/>
    <w:unhideWhenUsed/>
    <w:qFormat/>
    <w:rsid w:val="00637A4C"/>
    <w:pPr>
      <w:tabs>
        <w:tab w:val="left" w:pos="1584"/>
        <w:tab w:val="right" w:leader="dot" w:pos="8296"/>
      </w:tabs>
      <w:spacing w:after="100"/>
      <w:ind w:left="720"/>
      <w:jc w:val="both"/>
    </w:pPr>
  </w:style>
  <w:style w:type="character" w:styleId="-">
    <w:name w:val="Hyperlink"/>
    <w:basedOn w:val="a0"/>
    <w:uiPriority w:val="99"/>
    <w:unhideWhenUsed/>
    <w:rsid w:val="006D10EF"/>
    <w:rPr>
      <w:color w:val="0000FF"/>
      <w:u w:val="single"/>
    </w:rPr>
  </w:style>
  <w:style w:type="paragraph" w:styleId="a4">
    <w:name w:val="Balloon Text"/>
    <w:basedOn w:val="a"/>
    <w:link w:val="Char"/>
    <w:uiPriority w:val="99"/>
    <w:semiHidden/>
    <w:unhideWhenUsed/>
    <w:rsid w:val="006D10EF"/>
    <w:pPr>
      <w:spacing w:after="0" w:line="240" w:lineRule="auto"/>
    </w:pPr>
    <w:rPr>
      <w:rFonts w:ascii="Tahoma" w:hAnsi="Tahoma" w:cs="Tahoma"/>
      <w:sz w:val="16"/>
      <w:szCs w:val="16"/>
    </w:rPr>
  </w:style>
  <w:style w:type="character" w:customStyle="1" w:styleId="Char">
    <w:name w:val="Κείμενο πλαισίου Char"/>
    <w:basedOn w:val="a0"/>
    <w:link w:val="a4"/>
    <w:uiPriority w:val="99"/>
    <w:semiHidden/>
    <w:rsid w:val="006D10EF"/>
    <w:rPr>
      <w:rFonts w:ascii="Tahoma" w:hAnsi="Tahoma" w:cs="Tahoma"/>
      <w:sz w:val="16"/>
      <w:szCs w:val="16"/>
    </w:rPr>
  </w:style>
  <w:style w:type="paragraph" w:styleId="26">
    <w:name w:val="toc 2"/>
    <w:basedOn w:val="a"/>
    <w:next w:val="a"/>
    <w:autoRedefine/>
    <w:uiPriority w:val="39"/>
    <w:unhideWhenUsed/>
    <w:qFormat/>
    <w:rsid w:val="00581A57"/>
    <w:pPr>
      <w:tabs>
        <w:tab w:val="left" w:pos="1320"/>
        <w:tab w:val="right" w:leader="dot" w:pos="8296"/>
      </w:tabs>
      <w:spacing w:after="100"/>
      <w:ind w:left="1584" w:hanging="432"/>
    </w:pPr>
    <w:rPr>
      <w:rFonts w:eastAsia="Times New Roman"/>
      <w:lang w:eastAsia="el-GR"/>
    </w:rPr>
  </w:style>
  <w:style w:type="paragraph" w:styleId="31">
    <w:name w:val="toc 3"/>
    <w:basedOn w:val="a"/>
    <w:next w:val="a"/>
    <w:autoRedefine/>
    <w:uiPriority w:val="39"/>
    <w:unhideWhenUsed/>
    <w:qFormat/>
    <w:rsid w:val="00C00556"/>
    <w:pPr>
      <w:tabs>
        <w:tab w:val="left" w:pos="1320"/>
        <w:tab w:val="right" w:leader="dot" w:pos="8296"/>
      </w:tabs>
      <w:spacing w:after="100"/>
      <w:ind w:left="1584" w:hanging="432"/>
    </w:pPr>
    <w:rPr>
      <w:rFonts w:eastAsia="Times New Roman"/>
      <w:lang w:eastAsia="el-GR"/>
    </w:rPr>
  </w:style>
  <w:style w:type="character" w:customStyle="1" w:styleId="2Char">
    <w:name w:val="Επικεφαλίδα 2 Char"/>
    <w:basedOn w:val="a0"/>
    <w:link w:val="25"/>
    <w:uiPriority w:val="9"/>
    <w:rsid w:val="009B082F"/>
    <w:rPr>
      <w:rFonts w:ascii="Cambria" w:eastAsia="Times New Roman" w:hAnsi="Cambria" w:cs="Times New Roman"/>
      <w:b/>
      <w:bCs/>
      <w:color w:val="4F81BD"/>
      <w:sz w:val="26"/>
      <w:szCs w:val="26"/>
    </w:rPr>
  </w:style>
  <w:style w:type="character" w:customStyle="1" w:styleId="apple-converted-space">
    <w:name w:val="apple-converted-space"/>
    <w:basedOn w:val="a0"/>
    <w:rsid w:val="009829E7"/>
  </w:style>
  <w:style w:type="character" w:customStyle="1" w:styleId="mixed-citation">
    <w:name w:val="mixed-citation"/>
    <w:basedOn w:val="a0"/>
    <w:rsid w:val="00864D44"/>
  </w:style>
  <w:style w:type="character" w:customStyle="1" w:styleId="ref-journal">
    <w:name w:val="ref-journal"/>
    <w:basedOn w:val="a0"/>
    <w:rsid w:val="00202093"/>
  </w:style>
  <w:style w:type="character" w:customStyle="1" w:styleId="ref-vol">
    <w:name w:val="ref-vol"/>
    <w:basedOn w:val="a0"/>
    <w:rsid w:val="00202093"/>
  </w:style>
  <w:style w:type="character" w:customStyle="1" w:styleId="element-citation">
    <w:name w:val="element-citation"/>
    <w:basedOn w:val="a0"/>
    <w:rsid w:val="003261AE"/>
  </w:style>
  <w:style w:type="character" w:customStyle="1" w:styleId="ref-title">
    <w:name w:val="ref-title"/>
    <w:basedOn w:val="a0"/>
    <w:rsid w:val="00AD5F6D"/>
  </w:style>
  <w:style w:type="paragraph" w:styleId="a5">
    <w:name w:val="List Paragraph"/>
    <w:basedOn w:val="a"/>
    <w:uiPriority w:val="34"/>
    <w:qFormat/>
    <w:rsid w:val="00AD5F6D"/>
    <w:pPr>
      <w:ind w:left="720"/>
      <w:contextualSpacing/>
    </w:pPr>
  </w:style>
  <w:style w:type="character" w:customStyle="1" w:styleId="3Char">
    <w:name w:val="Επικεφαλίδα 3 Char"/>
    <w:basedOn w:val="a0"/>
    <w:link w:val="30"/>
    <w:uiPriority w:val="9"/>
    <w:rsid w:val="00AD5F6D"/>
    <w:rPr>
      <w:rFonts w:ascii="Cambria" w:eastAsia="Times New Roman" w:hAnsi="Cambria" w:cs="Times New Roman"/>
      <w:b/>
      <w:bCs/>
      <w:color w:val="4F81BD"/>
    </w:rPr>
  </w:style>
  <w:style w:type="paragraph" w:styleId="a6">
    <w:name w:val="No Spacing"/>
    <w:uiPriority w:val="1"/>
    <w:qFormat/>
    <w:rsid w:val="006F0857"/>
    <w:rPr>
      <w:sz w:val="22"/>
      <w:szCs w:val="22"/>
      <w:lang w:eastAsia="en-US"/>
    </w:rPr>
  </w:style>
  <w:style w:type="paragraph" w:styleId="a7">
    <w:name w:val="header"/>
    <w:basedOn w:val="a"/>
    <w:link w:val="Char0"/>
    <w:uiPriority w:val="99"/>
    <w:unhideWhenUsed/>
    <w:rsid w:val="00725298"/>
    <w:pPr>
      <w:tabs>
        <w:tab w:val="center" w:pos="4153"/>
        <w:tab w:val="right" w:pos="8306"/>
      </w:tabs>
      <w:spacing w:after="0" w:line="240" w:lineRule="auto"/>
    </w:pPr>
  </w:style>
  <w:style w:type="character" w:customStyle="1" w:styleId="Char0">
    <w:name w:val="Κεφαλίδα Char"/>
    <w:basedOn w:val="a0"/>
    <w:link w:val="a7"/>
    <w:uiPriority w:val="99"/>
    <w:rsid w:val="00725298"/>
  </w:style>
  <w:style w:type="paragraph" w:styleId="a8">
    <w:name w:val="footer"/>
    <w:basedOn w:val="a"/>
    <w:link w:val="Char1"/>
    <w:uiPriority w:val="99"/>
    <w:unhideWhenUsed/>
    <w:rsid w:val="00725298"/>
    <w:pPr>
      <w:tabs>
        <w:tab w:val="center" w:pos="4153"/>
        <w:tab w:val="right" w:pos="8306"/>
      </w:tabs>
      <w:spacing w:after="0" w:line="240" w:lineRule="auto"/>
    </w:pPr>
  </w:style>
  <w:style w:type="character" w:customStyle="1" w:styleId="Char1">
    <w:name w:val="Υποσέλιδο Char"/>
    <w:basedOn w:val="a0"/>
    <w:link w:val="a8"/>
    <w:uiPriority w:val="99"/>
    <w:rsid w:val="00725298"/>
  </w:style>
  <w:style w:type="character" w:styleId="a9">
    <w:name w:val="annotation reference"/>
    <w:basedOn w:val="a0"/>
    <w:uiPriority w:val="99"/>
    <w:semiHidden/>
    <w:unhideWhenUsed/>
    <w:rsid w:val="00820302"/>
    <w:rPr>
      <w:sz w:val="16"/>
      <w:szCs w:val="16"/>
    </w:rPr>
  </w:style>
  <w:style w:type="paragraph" w:styleId="aa">
    <w:name w:val="annotation text"/>
    <w:basedOn w:val="a"/>
    <w:link w:val="Char2"/>
    <w:uiPriority w:val="99"/>
    <w:unhideWhenUsed/>
    <w:rsid w:val="00820302"/>
    <w:pPr>
      <w:spacing w:line="240" w:lineRule="auto"/>
    </w:pPr>
    <w:rPr>
      <w:sz w:val="20"/>
      <w:szCs w:val="20"/>
    </w:rPr>
  </w:style>
  <w:style w:type="character" w:customStyle="1" w:styleId="Char2">
    <w:name w:val="Κείμενο σχολίου Char"/>
    <w:basedOn w:val="a0"/>
    <w:link w:val="aa"/>
    <w:uiPriority w:val="99"/>
    <w:rsid w:val="00820302"/>
    <w:rPr>
      <w:sz w:val="20"/>
      <w:szCs w:val="20"/>
    </w:rPr>
  </w:style>
  <w:style w:type="paragraph" w:styleId="ab">
    <w:name w:val="annotation subject"/>
    <w:basedOn w:val="aa"/>
    <w:next w:val="aa"/>
    <w:link w:val="Char3"/>
    <w:uiPriority w:val="99"/>
    <w:semiHidden/>
    <w:unhideWhenUsed/>
    <w:rsid w:val="00820302"/>
    <w:rPr>
      <w:b/>
      <w:bCs/>
    </w:rPr>
  </w:style>
  <w:style w:type="character" w:customStyle="1" w:styleId="Char3">
    <w:name w:val="Θέμα σχολίου Char"/>
    <w:basedOn w:val="Char2"/>
    <w:link w:val="ab"/>
    <w:uiPriority w:val="99"/>
    <w:semiHidden/>
    <w:rsid w:val="00820302"/>
    <w:rPr>
      <w:b/>
      <w:bCs/>
      <w:sz w:val="20"/>
      <w:szCs w:val="20"/>
    </w:rPr>
  </w:style>
  <w:style w:type="paragraph" w:styleId="ac">
    <w:name w:val="Bibliography"/>
    <w:basedOn w:val="a"/>
    <w:next w:val="a"/>
    <w:uiPriority w:val="37"/>
    <w:unhideWhenUsed/>
    <w:rsid w:val="00A847E5"/>
  </w:style>
  <w:style w:type="paragraph" w:styleId="ad">
    <w:name w:val="endnote text"/>
    <w:basedOn w:val="a"/>
    <w:link w:val="Char4"/>
    <w:uiPriority w:val="99"/>
    <w:semiHidden/>
    <w:unhideWhenUsed/>
    <w:rsid w:val="00A847E5"/>
    <w:pPr>
      <w:spacing w:after="0" w:line="240" w:lineRule="auto"/>
    </w:pPr>
    <w:rPr>
      <w:sz w:val="20"/>
      <w:szCs w:val="20"/>
    </w:rPr>
  </w:style>
  <w:style w:type="character" w:customStyle="1" w:styleId="Char4">
    <w:name w:val="Κείμενο σημείωσης τέλους Char"/>
    <w:basedOn w:val="a0"/>
    <w:link w:val="ad"/>
    <w:uiPriority w:val="99"/>
    <w:semiHidden/>
    <w:rsid w:val="00A847E5"/>
    <w:rPr>
      <w:sz w:val="20"/>
      <w:szCs w:val="20"/>
    </w:rPr>
  </w:style>
  <w:style w:type="character" w:styleId="ae">
    <w:name w:val="endnote reference"/>
    <w:basedOn w:val="a0"/>
    <w:uiPriority w:val="99"/>
    <w:semiHidden/>
    <w:unhideWhenUsed/>
    <w:rsid w:val="00A847E5"/>
    <w:rPr>
      <w:vertAlign w:val="superscript"/>
    </w:rPr>
  </w:style>
  <w:style w:type="paragraph" w:customStyle="1" w:styleId="Default">
    <w:name w:val="Default"/>
    <w:rsid w:val="007C18B6"/>
    <w:pPr>
      <w:autoSpaceDE w:val="0"/>
      <w:autoSpaceDN w:val="0"/>
      <w:adjustRightInd w:val="0"/>
    </w:pPr>
    <w:rPr>
      <w:rFonts w:ascii="Arial" w:hAnsi="Arial" w:cs="Arial"/>
      <w:color w:val="000000"/>
      <w:sz w:val="24"/>
      <w:szCs w:val="24"/>
      <w:lang w:eastAsia="en-US"/>
    </w:rPr>
  </w:style>
  <w:style w:type="paragraph" w:customStyle="1" w:styleId="CM1">
    <w:name w:val="CM1"/>
    <w:basedOn w:val="Default"/>
    <w:next w:val="Default"/>
    <w:uiPriority w:val="99"/>
    <w:rsid w:val="00ED3F07"/>
    <w:rPr>
      <w:rFonts w:ascii="Times New Roman" w:hAnsi="Times New Roman" w:cs="Times New Roman"/>
      <w:color w:val="auto"/>
    </w:rPr>
  </w:style>
  <w:style w:type="numbering" w:customStyle="1" w:styleId="1">
    <w:name w:val="Στυλ1"/>
    <w:uiPriority w:val="99"/>
    <w:rsid w:val="00FF5C3D"/>
    <w:pPr>
      <w:numPr>
        <w:numId w:val="4"/>
      </w:numPr>
    </w:pPr>
  </w:style>
  <w:style w:type="numbering" w:customStyle="1" w:styleId="2">
    <w:name w:val="Στυλ2"/>
    <w:uiPriority w:val="99"/>
    <w:rsid w:val="00FF5C3D"/>
    <w:pPr>
      <w:numPr>
        <w:numId w:val="5"/>
      </w:numPr>
    </w:pPr>
  </w:style>
  <w:style w:type="numbering" w:customStyle="1" w:styleId="3">
    <w:name w:val="Στυλ3"/>
    <w:uiPriority w:val="99"/>
    <w:rsid w:val="00FF5C3D"/>
    <w:pPr>
      <w:numPr>
        <w:numId w:val="6"/>
      </w:numPr>
    </w:pPr>
  </w:style>
  <w:style w:type="numbering" w:customStyle="1" w:styleId="40">
    <w:name w:val="Στυλ4"/>
    <w:uiPriority w:val="99"/>
    <w:rsid w:val="00FF5C3D"/>
    <w:pPr>
      <w:numPr>
        <w:numId w:val="7"/>
      </w:numPr>
    </w:pPr>
  </w:style>
  <w:style w:type="character" w:customStyle="1" w:styleId="highlight">
    <w:name w:val="highlight"/>
    <w:basedOn w:val="a0"/>
    <w:rsid w:val="00332783"/>
  </w:style>
  <w:style w:type="table" w:styleId="af">
    <w:name w:val="Table Grid"/>
    <w:basedOn w:val="a1"/>
    <w:uiPriority w:val="59"/>
    <w:rsid w:val="00C4224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Char">
    <w:name w:val="Επικεφαλίδα 4 Char"/>
    <w:basedOn w:val="a0"/>
    <w:link w:val="41"/>
    <w:uiPriority w:val="9"/>
    <w:rsid w:val="008302D4"/>
    <w:rPr>
      <w:rFonts w:ascii="Cambria" w:eastAsia="Times New Roman" w:hAnsi="Cambria" w:cs="Times New Roman"/>
      <w:b/>
      <w:bCs/>
      <w:i/>
      <w:iCs/>
      <w:color w:val="4F81BD"/>
    </w:rPr>
  </w:style>
  <w:style w:type="character" w:customStyle="1" w:styleId="spelle">
    <w:name w:val="spelle"/>
    <w:basedOn w:val="a0"/>
    <w:rsid w:val="006D7A98"/>
  </w:style>
  <w:style w:type="character" w:styleId="af0">
    <w:name w:val="Placeholder Text"/>
    <w:basedOn w:val="a0"/>
    <w:uiPriority w:val="99"/>
    <w:semiHidden/>
    <w:rsid w:val="00A14663"/>
    <w:rPr>
      <w:color w:val="808080"/>
    </w:rPr>
  </w:style>
  <w:style w:type="character" w:customStyle="1" w:styleId="citation-publication-date">
    <w:name w:val="citation-publication-date"/>
    <w:basedOn w:val="a0"/>
    <w:rsid w:val="0001255B"/>
  </w:style>
  <w:style w:type="character" w:customStyle="1" w:styleId="jrnl">
    <w:name w:val="jrnl"/>
    <w:basedOn w:val="a0"/>
    <w:rsid w:val="00C35C3C"/>
  </w:style>
  <w:style w:type="character" w:styleId="af1">
    <w:name w:val="Emphasis"/>
    <w:basedOn w:val="a0"/>
    <w:uiPriority w:val="20"/>
    <w:qFormat/>
    <w:rsid w:val="00C22466"/>
    <w:rPr>
      <w:i/>
      <w:iCs/>
    </w:rPr>
  </w:style>
  <w:style w:type="paragraph" w:styleId="Web">
    <w:name w:val="Normal (Web)"/>
    <w:basedOn w:val="a"/>
    <w:uiPriority w:val="99"/>
    <w:unhideWhenUsed/>
    <w:rsid w:val="00B77679"/>
    <w:rPr>
      <w:rFonts w:ascii="Times New Roman" w:hAnsi="Times New Roman"/>
      <w:sz w:val="24"/>
      <w:szCs w:val="24"/>
    </w:rPr>
  </w:style>
  <w:style w:type="numbering" w:customStyle="1" w:styleId="5">
    <w:name w:val="Στυλ5"/>
    <w:uiPriority w:val="99"/>
    <w:rsid w:val="0051328E"/>
    <w:pPr>
      <w:numPr>
        <w:numId w:val="21"/>
      </w:numPr>
    </w:pPr>
  </w:style>
  <w:style w:type="numbering" w:customStyle="1" w:styleId="4">
    <w:name w:val="Στυλ 4"/>
    <w:uiPriority w:val="99"/>
    <w:rsid w:val="001C2835"/>
    <w:pPr>
      <w:numPr>
        <w:numId w:val="22"/>
      </w:numPr>
    </w:pPr>
  </w:style>
  <w:style w:type="numbering" w:customStyle="1" w:styleId="6">
    <w:name w:val="Στυλ6"/>
    <w:uiPriority w:val="99"/>
    <w:rsid w:val="001C2835"/>
    <w:pPr>
      <w:numPr>
        <w:numId w:val="23"/>
      </w:numPr>
    </w:pPr>
  </w:style>
  <w:style w:type="numbering" w:customStyle="1" w:styleId="7">
    <w:name w:val="Στυλ7"/>
    <w:uiPriority w:val="99"/>
    <w:rsid w:val="001C2835"/>
    <w:pPr>
      <w:numPr>
        <w:numId w:val="24"/>
      </w:numPr>
    </w:pPr>
  </w:style>
  <w:style w:type="numbering" w:customStyle="1" w:styleId="8">
    <w:name w:val="Στυλ8"/>
    <w:uiPriority w:val="99"/>
    <w:rsid w:val="001C2835"/>
    <w:pPr>
      <w:numPr>
        <w:numId w:val="25"/>
      </w:numPr>
    </w:pPr>
  </w:style>
  <w:style w:type="numbering" w:customStyle="1" w:styleId="9">
    <w:name w:val="Στυλ9"/>
    <w:uiPriority w:val="99"/>
    <w:rsid w:val="001C2835"/>
    <w:pPr>
      <w:numPr>
        <w:numId w:val="26"/>
      </w:numPr>
    </w:pPr>
  </w:style>
  <w:style w:type="numbering" w:customStyle="1" w:styleId="10">
    <w:name w:val="Στυλ10"/>
    <w:uiPriority w:val="99"/>
    <w:rsid w:val="001C2835"/>
    <w:pPr>
      <w:numPr>
        <w:numId w:val="27"/>
      </w:numPr>
    </w:pPr>
  </w:style>
  <w:style w:type="numbering" w:customStyle="1" w:styleId="11">
    <w:name w:val="Στυλ11"/>
    <w:uiPriority w:val="99"/>
    <w:rsid w:val="001C2835"/>
    <w:pPr>
      <w:numPr>
        <w:numId w:val="28"/>
      </w:numPr>
    </w:pPr>
  </w:style>
  <w:style w:type="numbering" w:customStyle="1" w:styleId="12">
    <w:name w:val="Στυλ12"/>
    <w:uiPriority w:val="99"/>
    <w:rsid w:val="00EF4DBD"/>
    <w:pPr>
      <w:numPr>
        <w:numId w:val="29"/>
      </w:numPr>
    </w:pPr>
  </w:style>
  <w:style w:type="numbering" w:customStyle="1" w:styleId="13">
    <w:name w:val="Στυλ13"/>
    <w:uiPriority w:val="99"/>
    <w:rsid w:val="00EF4DBD"/>
    <w:pPr>
      <w:numPr>
        <w:numId w:val="30"/>
      </w:numPr>
    </w:pPr>
  </w:style>
  <w:style w:type="numbering" w:customStyle="1" w:styleId="14">
    <w:name w:val="Στυλ14"/>
    <w:uiPriority w:val="99"/>
    <w:rsid w:val="00EF4DBD"/>
    <w:pPr>
      <w:numPr>
        <w:numId w:val="31"/>
      </w:numPr>
    </w:pPr>
  </w:style>
  <w:style w:type="numbering" w:customStyle="1" w:styleId="15">
    <w:name w:val="Στυλ15"/>
    <w:uiPriority w:val="99"/>
    <w:rsid w:val="00EF4DBD"/>
    <w:pPr>
      <w:numPr>
        <w:numId w:val="32"/>
      </w:numPr>
    </w:pPr>
  </w:style>
  <w:style w:type="character" w:customStyle="1" w:styleId="6Char">
    <w:name w:val="Επικεφαλίδα 6 Char"/>
    <w:basedOn w:val="a0"/>
    <w:link w:val="60"/>
    <w:uiPriority w:val="9"/>
    <w:rsid w:val="00147973"/>
    <w:rPr>
      <w:rFonts w:ascii="Times New Roman" w:eastAsia="Times New Roman" w:hAnsi="Times New Roman" w:cs="Times New Roman"/>
      <w:b/>
      <w:bCs/>
      <w:sz w:val="15"/>
      <w:szCs w:val="15"/>
      <w:lang w:eastAsia="el-GR"/>
    </w:rPr>
  </w:style>
  <w:style w:type="character" w:customStyle="1" w:styleId="5Char">
    <w:name w:val="Επικεφαλίδα 5 Char"/>
    <w:basedOn w:val="a0"/>
    <w:link w:val="50"/>
    <w:uiPriority w:val="9"/>
    <w:rsid w:val="0055289A"/>
    <w:rPr>
      <w:rFonts w:ascii="Times New Roman" w:eastAsia="Times New Roman" w:hAnsi="Times New Roman" w:cs="Times New Roman"/>
      <w:b/>
      <w:bCs/>
      <w:sz w:val="20"/>
      <w:szCs w:val="20"/>
      <w:lang w:eastAsia="el-GR"/>
    </w:rPr>
  </w:style>
  <w:style w:type="paragraph" w:customStyle="1" w:styleId="1c">
    <w:name w:val="Τίτλος1"/>
    <w:basedOn w:val="a"/>
    <w:rsid w:val="00133A0E"/>
    <w:pPr>
      <w:spacing w:before="100" w:beforeAutospacing="1" w:after="100" w:afterAutospacing="1" w:line="240" w:lineRule="auto"/>
    </w:pPr>
    <w:rPr>
      <w:rFonts w:ascii="Times New Roman" w:eastAsia="Times New Roman" w:hAnsi="Times New Roman"/>
      <w:sz w:val="24"/>
      <w:szCs w:val="24"/>
      <w:lang w:eastAsia="el-GR"/>
    </w:rPr>
  </w:style>
  <w:style w:type="paragraph" w:customStyle="1" w:styleId="desc">
    <w:name w:val="desc"/>
    <w:basedOn w:val="a"/>
    <w:rsid w:val="00133A0E"/>
    <w:pPr>
      <w:spacing w:before="100" w:beforeAutospacing="1" w:after="100" w:afterAutospacing="1" w:line="240" w:lineRule="auto"/>
    </w:pPr>
    <w:rPr>
      <w:rFonts w:ascii="Times New Roman" w:eastAsia="Times New Roman" w:hAnsi="Times New Roman"/>
      <w:sz w:val="24"/>
      <w:szCs w:val="24"/>
      <w:lang w:eastAsia="el-GR"/>
    </w:rPr>
  </w:style>
  <w:style w:type="paragraph" w:customStyle="1" w:styleId="details">
    <w:name w:val="details"/>
    <w:basedOn w:val="a"/>
    <w:rsid w:val="00133A0E"/>
    <w:pPr>
      <w:spacing w:before="100" w:beforeAutospacing="1" w:after="100" w:afterAutospacing="1" w:line="240" w:lineRule="auto"/>
    </w:pPr>
    <w:rPr>
      <w:rFonts w:ascii="Times New Roman" w:eastAsia="Times New Roman" w:hAnsi="Times New Roman"/>
      <w:sz w:val="24"/>
      <w:szCs w:val="24"/>
      <w:lang w:eastAsia="el-GR"/>
    </w:rPr>
  </w:style>
  <w:style w:type="character" w:customStyle="1" w:styleId="elsevierstylesup">
    <w:name w:val="elsevierstylesup"/>
    <w:basedOn w:val="a0"/>
    <w:rsid w:val="00222E7E"/>
  </w:style>
  <w:style w:type="character" w:styleId="-0">
    <w:name w:val="FollowedHyperlink"/>
    <w:basedOn w:val="a0"/>
    <w:uiPriority w:val="99"/>
    <w:semiHidden/>
    <w:unhideWhenUsed/>
    <w:rsid w:val="00902B52"/>
    <w:rPr>
      <w:color w:val="800080"/>
      <w:u w:val="single"/>
    </w:rPr>
  </w:style>
  <w:style w:type="table" w:styleId="-4">
    <w:name w:val="Light List Accent 4"/>
    <w:basedOn w:val="a1"/>
    <w:uiPriority w:val="61"/>
    <w:rsid w:val="00A26A1C"/>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customStyle="1" w:styleId="1d">
    <w:name w:val="Ανοιχτόχρωμη σκίαση1"/>
    <w:basedOn w:val="a1"/>
    <w:uiPriority w:val="60"/>
    <w:rsid w:val="00A26A1C"/>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40">
    <w:name w:val="Light Shading Accent 4"/>
    <w:basedOn w:val="a1"/>
    <w:uiPriority w:val="60"/>
    <w:rsid w:val="002C19B4"/>
    <w:rPr>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1e">
    <w:name w:val="Πλέγμα πίνακα1"/>
    <w:basedOn w:val="a1"/>
    <w:next w:val="af"/>
    <w:uiPriority w:val="59"/>
    <w:rsid w:val="00524C3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3-1">
    <w:name w:val="Medium Grid 3 Accent 1"/>
    <w:basedOn w:val="a1"/>
    <w:uiPriority w:val="69"/>
    <w:rsid w:val="00B91D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3-3">
    <w:name w:val="Medium Grid 3 Accent 3"/>
    <w:basedOn w:val="a1"/>
    <w:uiPriority w:val="69"/>
    <w:rsid w:val="00B91D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
    <w:name w:val="Colorful Grid Accent 1"/>
    <w:basedOn w:val="a1"/>
    <w:uiPriority w:val="73"/>
    <w:rsid w:val="00B91D64"/>
    <w:rPr>
      <w:color w:val="000000"/>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styleId="3-5">
    <w:name w:val="Medium Grid 3 Accent 5"/>
    <w:basedOn w:val="a1"/>
    <w:uiPriority w:val="69"/>
    <w:rsid w:val="00B91D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character" w:customStyle="1" w:styleId="citation">
    <w:name w:val="citation"/>
    <w:basedOn w:val="a0"/>
    <w:rsid w:val="003554BE"/>
  </w:style>
  <w:style w:type="table" w:styleId="-5">
    <w:name w:val="Colorful Grid Accent 5"/>
    <w:basedOn w:val="a1"/>
    <w:uiPriority w:val="73"/>
    <w:rsid w:val="001B08AB"/>
    <w:rPr>
      <w:color w:val="000000"/>
    </w:rPr>
    <w:tblPr>
      <w:tblStyleRowBandSize w:val="1"/>
      <w:tblStyleColBandSize w:val="1"/>
      <w:tblBorders>
        <w:insideH w:val="single" w:sz="4" w:space="0" w:color="FFFFFF"/>
      </w:tblBorders>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character" w:customStyle="1" w:styleId="titlematch">
    <w:name w:val="titlematch"/>
    <w:basedOn w:val="a0"/>
    <w:rsid w:val="008B6BAF"/>
  </w:style>
  <w:style w:type="paragraph" w:customStyle="1" w:styleId="27">
    <w:name w:val="Τίτλος2"/>
    <w:basedOn w:val="a"/>
    <w:rsid w:val="006948D3"/>
    <w:pPr>
      <w:spacing w:before="100" w:beforeAutospacing="1" w:after="100" w:afterAutospacing="1" w:line="240" w:lineRule="auto"/>
    </w:pPr>
    <w:rPr>
      <w:rFonts w:ascii="Times New Roman" w:eastAsia="Times New Roman" w:hAnsi="Times New Roman"/>
      <w:sz w:val="24"/>
      <w:szCs w:val="24"/>
      <w:lang w:eastAsia="el-GR"/>
    </w:rPr>
  </w:style>
  <w:style w:type="character" w:customStyle="1" w:styleId="af2">
    <w:name w:val="a"/>
    <w:basedOn w:val="a0"/>
    <w:rsid w:val="00E34137"/>
  </w:style>
  <w:style w:type="character" w:customStyle="1" w:styleId="l11">
    <w:name w:val="l11"/>
    <w:basedOn w:val="a0"/>
    <w:rsid w:val="00E34137"/>
  </w:style>
  <w:style w:type="character" w:customStyle="1" w:styleId="l6">
    <w:name w:val="l6"/>
    <w:basedOn w:val="a0"/>
    <w:rsid w:val="00E34137"/>
  </w:style>
  <w:style w:type="character" w:customStyle="1" w:styleId="l7">
    <w:name w:val="l7"/>
    <w:basedOn w:val="a0"/>
    <w:rsid w:val="00E34137"/>
  </w:style>
  <w:style w:type="character" w:customStyle="1" w:styleId="pagefirst">
    <w:name w:val="pagefirst"/>
    <w:basedOn w:val="a0"/>
    <w:rsid w:val="00975C0E"/>
  </w:style>
  <w:style w:type="character" w:customStyle="1" w:styleId="pagelast">
    <w:name w:val="pagelast"/>
    <w:basedOn w:val="a0"/>
    <w:rsid w:val="00975C0E"/>
  </w:style>
  <w:style w:type="character" w:customStyle="1" w:styleId="cit-auth">
    <w:name w:val="cit-auth"/>
    <w:basedOn w:val="a0"/>
    <w:rsid w:val="00975C0E"/>
  </w:style>
  <w:style w:type="character" w:customStyle="1" w:styleId="subhead-sans">
    <w:name w:val="subhead-sans"/>
    <w:basedOn w:val="a0"/>
    <w:rsid w:val="00B11E8E"/>
  </w:style>
  <w:style w:type="character" w:customStyle="1" w:styleId="article-headermeta-info-label">
    <w:name w:val="article-header__meta-info-label"/>
    <w:basedOn w:val="a0"/>
    <w:rsid w:val="00B11E8E"/>
  </w:style>
  <w:style w:type="character" w:customStyle="1" w:styleId="article-headermeta-info-data">
    <w:name w:val="article-header__meta-info-data"/>
    <w:basedOn w:val="a0"/>
    <w:rsid w:val="00B11E8E"/>
  </w:style>
  <w:style w:type="character" w:customStyle="1" w:styleId="smallcaps">
    <w:name w:val="smallcaps"/>
    <w:basedOn w:val="a0"/>
    <w:rsid w:val="00BA0CC9"/>
  </w:style>
  <w:style w:type="character" w:customStyle="1" w:styleId="slug-doi">
    <w:name w:val="slug-doi"/>
    <w:basedOn w:val="a0"/>
    <w:rsid w:val="00C12067"/>
  </w:style>
  <w:style w:type="character" w:customStyle="1" w:styleId="gd">
    <w:name w:val="gd"/>
    <w:basedOn w:val="a0"/>
    <w:rsid w:val="00051D62"/>
  </w:style>
  <w:style w:type="character" w:customStyle="1" w:styleId="go">
    <w:name w:val="go"/>
    <w:basedOn w:val="a0"/>
    <w:rsid w:val="00051D62"/>
  </w:style>
  <w:style w:type="character" w:customStyle="1" w:styleId="g3">
    <w:name w:val="g3"/>
    <w:basedOn w:val="a0"/>
    <w:rsid w:val="00051D62"/>
  </w:style>
  <w:style w:type="character" w:customStyle="1" w:styleId="hb">
    <w:name w:val="hb"/>
    <w:basedOn w:val="a0"/>
    <w:rsid w:val="00051D62"/>
  </w:style>
  <w:style w:type="character" w:customStyle="1" w:styleId="g2">
    <w:name w:val="g2"/>
    <w:basedOn w:val="a0"/>
    <w:rsid w:val="00051D62"/>
  </w:style>
  <w:style w:type="paragraph" w:styleId="af3">
    <w:name w:val="Title"/>
    <w:basedOn w:val="a"/>
    <w:link w:val="Char5"/>
    <w:qFormat/>
    <w:rsid w:val="00F631B7"/>
    <w:pPr>
      <w:spacing w:after="0" w:line="360" w:lineRule="auto"/>
      <w:jc w:val="center"/>
    </w:pPr>
    <w:rPr>
      <w:rFonts w:ascii="Times New Roman" w:eastAsia="Times New Roman" w:hAnsi="Times New Roman"/>
      <w:b/>
      <w:sz w:val="24"/>
      <w:szCs w:val="20"/>
    </w:rPr>
  </w:style>
  <w:style w:type="character" w:customStyle="1" w:styleId="Char5">
    <w:name w:val="Τίτλος Char"/>
    <w:basedOn w:val="a0"/>
    <w:link w:val="af3"/>
    <w:rsid w:val="00F631B7"/>
    <w:rPr>
      <w:rFonts w:ascii="Times New Roman" w:eastAsia="Times New Roman" w:hAnsi="Times New Roman" w:cs="Times New Roman"/>
      <w:b/>
      <w:sz w:val="24"/>
      <w:szCs w:val="20"/>
    </w:rPr>
  </w:style>
  <w:style w:type="numbering" w:customStyle="1" w:styleId="16">
    <w:name w:val="Στυλ16"/>
    <w:uiPriority w:val="99"/>
    <w:rsid w:val="006F0D1E"/>
    <w:pPr>
      <w:numPr>
        <w:numId w:val="91"/>
      </w:numPr>
    </w:pPr>
  </w:style>
  <w:style w:type="numbering" w:customStyle="1" w:styleId="17">
    <w:name w:val="Στυλ17"/>
    <w:uiPriority w:val="99"/>
    <w:rsid w:val="00927531"/>
    <w:pPr>
      <w:numPr>
        <w:numId w:val="92"/>
      </w:numPr>
    </w:pPr>
  </w:style>
  <w:style w:type="numbering" w:customStyle="1" w:styleId="18">
    <w:name w:val="Στυλ18"/>
    <w:uiPriority w:val="99"/>
    <w:rsid w:val="00927531"/>
    <w:pPr>
      <w:numPr>
        <w:numId w:val="93"/>
      </w:numPr>
    </w:pPr>
  </w:style>
  <w:style w:type="numbering" w:customStyle="1" w:styleId="19">
    <w:name w:val="Στυλ19"/>
    <w:uiPriority w:val="99"/>
    <w:rsid w:val="008F6644"/>
    <w:pPr>
      <w:numPr>
        <w:numId w:val="94"/>
      </w:numPr>
    </w:pPr>
  </w:style>
  <w:style w:type="numbering" w:customStyle="1" w:styleId="20">
    <w:name w:val="Στυλ20"/>
    <w:uiPriority w:val="99"/>
    <w:rsid w:val="00F45A8F"/>
    <w:pPr>
      <w:numPr>
        <w:numId w:val="95"/>
      </w:numPr>
    </w:pPr>
  </w:style>
  <w:style w:type="numbering" w:customStyle="1" w:styleId="21">
    <w:name w:val="Στυλ21"/>
    <w:uiPriority w:val="99"/>
    <w:rsid w:val="00F45A8F"/>
    <w:pPr>
      <w:numPr>
        <w:numId w:val="96"/>
      </w:numPr>
    </w:pPr>
  </w:style>
  <w:style w:type="numbering" w:customStyle="1" w:styleId="22">
    <w:name w:val="Στυλ22"/>
    <w:uiPriority w:val="99"/>
    <w:rsid w:val="001F79D1"/>
    <w:pPr>
      <w:numPr>
        <w:numId w:val="97"/>
      </w:numPr>
    </w:pPr>
  </w:style>
  <w:style w:type="paragraph" w:customStyle="1" w:styleId="nouk">
    <w:name w:val="nouk"/>
    <w:basedOn w:val="a"/>
    <w:qFormat/>
    <w:rsid w:val="00496794"/>
    <w:pPr>
      <w:spacing w:after="0" w:line="360" w:lineRule="auto"/>
      <w:jc w:val="both"/>
    </w:pPr>
    <w:rPr>
      <w:rFonts w:cs="Calibri"/>
      <w:sz w:val="24"/>
      <w:szCs w:val="24"/>
    </w:rPr>
  </w:style>
  <w:style w:type="character" w:styleId="HTML">
    <w:name w:val="HTML Cite"/>
    <w:basedOn w:val="a0"/>
    <w:uiPriority w:val="99"/>
    <w:semiHidden/>
    <w:unhideWhenUsed/>
    <w:rsid w:val="00D855BC"/>
    <w:rPr>
      <w:i/>
      <w:iCs/>
    </w:rPr>
  </w:style>
  <w:style w:type="character" w:customStyle="1" w:styleId="cit-source">
    <w:name w:val="cit-source"/>
    <w:basedOn w:val="a0"/>
    <w:rsid w:val="00D855BC"/>
  </w:style>
  <w:style w:type="character" w:customStyle="1" w:styleId="cit-vol">
    <w:name w:val="cit-vol"/>
    <w:basedOn w:val="a0"/>
    <w:rsid w:val="00D855BC"/>
  </w:style>
  <w:style w:type="character" w:customStyle="1" w:styleId="cit-fpage">
    <w:name w:val="cit-fpage"/>
    <w:basedOn w:val="a0"/>
    <w:rsid w:val="00D855BC"/>
  </w:style>
  <w:style w:type="character" w:customStyle="1" w:styleId="cit-pub-date">
    <w:name w:val="cit-pub-date"/>
    <w:basedOn w:val="a0"/>
    <w:rsid w:val="00D855BC"/>
  </w:style>
  <w:style w:type="table" w:customStyle="1" w:styleId="28">
    <w:name w:val="Ανοιχτόχρωμη σκίαση2"/>
    <w:basedOn w:val="a1"/>
    <w:uiPriority w:val="60"/>
    <w:rsid w:val="00A60547"/>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0">
    <w:name w:val="Ανοιχτόχρωμη σκίαση11"/>
    <w:basedOn w:val="a1"/>
    <w:uiPriority w:val="60"/>
    <w:rsid w:val="001843FB"/>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20">
    <w:name w:val="Ανοιχτόχρωμη σκίαση12"/>
    <w:basedOn w:val="a1"/>
    <w:uiPriority w:val="60"/>
    <w:rsid w:val="001843FB"/>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af4">
    <w:name w:val="footnote text"/>
    <w:basedOn w:val="a"/>
    <w:link w:val="Char6"/>
    <w:uiPriority w:val="99"/>
    <w:semiHidden/>
    <w:unhideWhenUsed/>
    <w:rsid w:val="00EC27F0"/>
    <w:pPr>
      <w:spacing w:after="0" w:line="240" w:lineRule="auto"/>
    </w:pPr>
    <w:rPr>
      <w:sz w:val="20"/>
      <w:szCs w:val="20"/>
    </w:rPr>
  </w:style>
  <w:style w:type="character" w:customStyle="1" w:styleId="Char6">
    <w:name w:val="Κείμενο υποσημείωσης Char"/>
    <w:basedOn w:val="a0"/>
    <w:link w:val="af4"/>
    <w:uiPriority w:val="99"/>
    <w:semiHidden/>
    <w:rsid w:val="00EC27F0"/>
    <w:rPr>
      <w:sz w:val="20"/>
      <w:szCs w:val="20"/>
    </w:rPr>
  </w:style>
  <w:style w:type="character" w:styleId="af5">
    <w:name w:val="footnote reference"/>
    <w:basedOn w:val="a0"/>
    <w:uiPriority w:val="99"/>
    <w:semiHidden/>
    <w:unhideWhenUsed/>
    <w:rsid w:val="00EC27F0"/>
    <w:rPr>
      <w:vertAlign w:val="superscript"/>
    </w:rPr>
  </w:style>
  <w:style w:type="table" w:styleId="-10">
    <w:name w:val="Colorful List Accent 1"/>
    <w:basedOn w:val="a1"/>
    <w:uiPriority w:val="72"/>
    <w:rsid w:val="003B3E47"/>
    <w:rPr>
      <w:color w:val="000000"/>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1f">
    <w:name w:val="Ανοιχτόχρωμη λίστα1"/>
    <w:basedOn w:val="a1"/>
    <w:uiPriority w:val="61"/>
    <w:rsid w:val="003B3E47"/>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50">
    <w:name w:val="Light Shading Accent 5"/>
    <w:basedOn w:val="a1"/>
    <w:uiPriority w:val="60"/>
    <w:rsid w:val="003B3E47"/>
    <w:rPr>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11">
    <w:name w:val="Ανοιχτόχρωμη λίστα - ΄Εμφαση 11"/>
    <w:basedOn w:val="a1"/>
    <w:uiPriority w:val="61"/>
    <w:rsid w:val="003B3E47"/>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styleId="af6">
    <w:name w:val="Strong"/>
    <w:basedOn w:val="a0"/>
    <w:uiPriority w:val="22"/>
    <w:qFormat/>
    <w:rsid w:val="00E251CC"/>
    <w:rPr>
      <w:b/>
      <w:bCs/>
    </w:rPr>
  </w:style>
  <w:style w:type="character" w:customStyle="1" w:styleId="abstracttitle">
    <w:name w:val="abstract_title"/>
    <w:basedOn w:val="a0"/>
    <w:rsid w:val="00E251CC"/>
  </w:style>
  <w:style w:type="paragraph" w:styleId="af7">
    <w:name w:val="Document Map"/>
    <w:basedOn w:val="a"/>
    <w:link w:val="Char7"/>
    <w:uiPriority w:val="99"/>
    <w:semiHidden/>
    <w:unhideWhenUsed/>
    <w:rsid w:val="00D24BCB"/>
    <w:rPr>
      <w:rFonts w:ascii="Tahoma" w:hAnsi="Tahoma" w:cs="Tahoma"/>
      <w:sz w:val="16"/>
      <w:szCs w:val="16"/>
    </w:rPr>
  </w:style>
  <w:style w:type="character" w:customStyle="1" w:styleId="Char7">
    <w:name w:val="Χάρτης εγγράφου Char"/>
    <w:basedOn w:val="a0"/>
    <w:link w:val="af7"/>
    <w:uiPriority w:val="99"/>
    <w:semiHidden/>
    <w:rsid w:val="00D24BCB"/>
    <w:rPr>
      <w:rFonts w:ascii="Tahoma" w:hAnsi="Tahoma" w:cs="Tahoma"/>
      <w:sz w:val="16"/>
      <w:szCs w:val="16"/>
      <w:lang w:eastAsia="en-US"/>
    </w:rPr>
  </w:style>
  <w:style w:type="character" w:customStyle="1" w:styleId="hvr">
    <w:name w:val="hvr"/>
    <w:basedOn w:val="a0"/>
    <w:rsid w:val="0095027F"/>
  </w:style>
  <w:style w:type="numbering" w:customStyle="1" w:styleId="23">
    <w:name w:val="Στυλ23"/>
    <w:uiPriority w:val="99"/>
    <w:rsid w:val="00E527AE"/>
    <w:pPr>
      <w:numPr>
        <w:numId w:val="107"/>
      </w:numPr>
    </w:pPr>
  </w:style>
  <w:style w:type="numbering" w:customStyle="1" w:styleId="24">
    <w:name w:val="Στυλ24"/>
    <w:uiPriority w:val="99"/>
    <w:rsid w:val="00E527AE"/>
    <w:pPr>
      <w:numPr>
        <w:numId w:val="108"/>
      </w:numPr>
    </w:pPr>
  </w:style>
  <w:style w:type="paragraph" w:customStyle="1" w:styleId="Style2">
    <w:name w:val="Style2"/>
    <w:basedOn w:val="a"/>
    <w:uiPriority w:val="99"/>
    <w:rsid w:val="007051F8"/>
    <w:pPr>
      <w:widowControl w:val="0"/>
      <w:autoSpaceDE w:val="0"/>
      <w:autoSpaceDN w:val="0"/>
      <w:adjustRightInd w:val="0"/>
      <w:spacing w:after="0" w:line="240" w:lineRule="auto"/>
    </w:pPr>
    <w:rPr>
      <w:rFonts w:ascii="Times New Roman" w:eastAsia="Times New Roman" w:hAnsi="Times New Roman"/>
      <w:sz w:val="24"/>
      <w:szCs w:val="24"/>
      <w:lang w:eastAsia="el-GR"/>
    </w:rPr>
  </w:style>
  <w:style w:type="character" w:customStyle="1" w:styleId="FontStyle13">
    <w:name w:val="Font Style13"/>
    <w:uiPriority w:val="99"/>
    <w:rsid w:val="007051F8"/>
    <w:rPr>
      <w:rFonts w:ascii="Times New Roman" w:hAnsi="Times New Roman" w:cs="Times New Roman"/>
      <w:i/>
      <w:iCs/>
      <w:sz w:val="16"/>
      <w:szCs w:val="16"/>
    </w:rPr>
  </w:style>
  <w:style w:type="paragraph" w:customStyle="1" w:styleId="af8">
    <w:name w:val="Στυλ"/>
    <w:rsid w:val="00736090"/>
    <w:pPr>
      <w:widowControl w:val="0"/>
      <w:autoSpaceDE w:val="0"/>
      <w:autoSpaceDN w:val="0"/>
      <w:adjustRightInd w:val="0"/>
    </w:pPr>
    <w:rPr>
      <w:rFonts w:ascii="Times New Roman" w:eastAsia="Times New Roman" w:hAnsi="Times New Roman"/>
      <w:sz w:val="24"/>
      <w:szCs w:val="24"/>
    </w:rPr>
  </w:style>
  <w:style w:type="character" w:customStyle="1" w:styleId="color">
    <w:name w:val="color"/>
    <w:basedOn w:val="a0"/>
    <w:rsid w:val="00295D47"/>
  </w:style>
  <w:style w:type="table" w:styleId="-51">
    <w:name w:val="Light List Accent 5"/>
    <w:basedOn w:val="a1"/>
    <w:uiPriority w:val="61"/>
    <w:rsid w:val="00890A92"/>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52">
    <w:name w:val="Light Grid Accent 5"/>
    <w:basedOn w:val="a1"/>
    <w:uiPriority w:val="62"/>
    <w:rsid w:val="003238A7"/>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3">
    <w:name w:val="Light Grid Accent 3"/>
    <w:basedOn w:val="a1"/>
    <w:uiPriority w:val="62"/>
    <w:rsid w:val="003238A7"/>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1">
    <w:name w:val="Light Grid Accent 4"/>
    <w:basedOn w:val="a1"/>
    <w:uiPriority w:val="62"/>
    <w:rsid w:val="0066798F"/>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4">
    <w:name w:val="Medium Grid 1 Accent 4"/>
    <w:basedOn w:val="a1"/>
    <w:uiPriority w:val="67"/>
    <w:rsid w:val="0012455B"/>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2-4">
    <w:name w:val="Medium Grid 2 Accent 4"/>
    <w:basedOn w:val="a1"/>
    <w:uiPriority w:val="68"/>
    <w:rsid w:val="0012455B"/>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customStyle="1" w:styleId="-110">
    <w:name w:val="Ανοιχτόχρωμο πλέγμα - ΄Εμφαση 11"/>
    <w:basedOn w:val="a1"/>
    <w:uiPriority w:val="62"/>
    <w:rsid w:val="002568DB"/>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s>
</file>

<file path=word/webSettings.xml><?xml version="1.0" encoding="utf-8"?>
<w:webSettings xmlns:r="http://schemas.openxmlformats.org/officeDocument/2006/relationships" xmlns:w="http://schemas.openxmlformats.org/wordprocessingml/2006/main">
  <w:divs>
    <w:div w:id="9533292">
      <w:bodyDiv w:val="1"/>
      <w:marLeft w:val="0"/>
      <w:marRight w:val="0"/>
      <w:marTop w:val="0"/>
      <w:marBottom w:val="0"/>
      <w:divBdr>
        <w:top w:val="none" w:sz="0" w:space="0" w:color="auto"/>
        <w:left w:val="none" w:sz="0" w:space="0" w:color="auto"/>
        <w:bottom w:val="none" w:sz="0" w:space="0" w:color="auto"/>
        <w:right w:val="none" w:sz="0" w:space="0" w:color="auto"/>
      </w:divBdr>
    </w:div>
    <w:div w:id="48653038">
      <w:bodyDiv w:val="1"/>
      <w:marLeft w:val="0"/>
      <w:marRight w:val="0"/>
      <w:marTop w:val="0"/>
      <w:marBottom w:val="0"/>
      <w:divBdr>
        <w:top w:val="none" w:sz="0" w:space="0" w:color="auto"/>
        <w:left w:val="none" w:sz="0" w:space="0" w:color="auto"/>
        <w:bottom w:val="none" w:sz="0" w:space="0" w:color="auto"/>
        <w:right w:val="none" w:sz="0" w:space="0" w:color="auto"/>
      </w:divBdr>
      <w:divsChild>
        <w:div w:id="758676308">
          <w:marLeft w:val="0"/>
          <w:marRight w:val="0"/>
          <w:marTop w:val="34"/>
          <w:marBottom w:val="34"/>
          <w:divBdr>
            <w:top w:val="none" w:sz="0" w:space="0" w:color="auto"/>
            <w:left w:val="none" w:sz="0" w:space="0" w:color="auto"/>
            <w:bottom w:val="none" w:sz="0" w:space="0" w:color="auto"/>
            <w:right w:val="none" w:sz="0" w:space="0" w:color="auto"/>
          </w:divBdr>
        </w:div>
      </w:divsChild>
    </w:div>
    <w:div w:id="51007240">
      <w:bodyDiv w:val="1"/>
      <w:marLeft w:val="0"/>
      <w:marRight w:val="0"/>
      <w:marTop w:val="0"/>
      <w:marBottom w:val="0"/>
      <w:divBdr>
        <w:top w:val="none" w:sz="0" w:space="0" w:color="auto"/>
        <w:left w:val="none" w:sz="0" w:space="0" w:color="auto"/>
        <w:bottom w:val="none" w:sz="0" w:space="0" w:color="auto"/>
        <w:right w:val="none" w:sz="0" w:space="0" w:color="auto"/>
      </w:divBdr>
    </w:div>
    <w:div w:id="72898059">
      <w:bodyDiv w:val="1"/>
      <w:marLeft w:val="0"/>
      <w:marRight w:val="0"/>
      <w:marTop w:val="0"/>
      <w:marBottom w:val="0"/>
      <w:divBdr>
        <w:top w:val="none" w:sz="0" w:space="0" w:color="auto"/>
        <w:left w:val="none" w:sz="0" w:space="0" w:color="auto"/>
        <w:bottom w:val="none" w:sz="0" w:space="0" w:color="auto"/>
        <w:right w:val="none" w:sz="0" w:space="0" w:color="auto"/>
      </w:divBdr>
    </w:div>
    <w:div w:id="85655832">
      <w:bodyDiv w:val="1"/>
      <w:marLeft w:val="0"/>
      <w:marRight w:val="0"/>
      <w:marTop w:val="0"/>
      <w:marBottom w:val="0"/>
      <w:divBdr>
        <w:top w:val="none" w:sz="0" w:space="0" w:color="auto"/>
        <w:left w:val="none" w:sz="0" w:space="0" w:color="auto"/>
        <w:bottom w:val="none" w:sz="0" w:space="0" w:color="auto"/>
        <w:right w:val="none" w:sz="0" w:space="0" w:color="auto"/>
      </w:divBdr>
    </w:div>
    <w:div w:id="134369961">
      <w:bodyDiv w:val="1"/>
      <w:marLeft w:val="0"/>
      <w:marRight w:val="0"/>
      <w:marTop w:val="0"/>
      <w:marBottom w:val="0"/>
      <w:divBdr>
        <w:top w:val="none" w:sz="0" w:space="0" w:color="auto"/>
        <w:left w:val="none" w:sz="0" w:space="0" w:color="auto"/>
        <w:bottom w:val="none" w:sz="0" w:space="0" w:color="auto"/>
        <w:right w:val="none" w:sz="0" w:space="0" w:color="auto"/>
      </w:divBdr>
    </w:div>
    <w:div w:id="135338315">
      <w:bodyDiv w:val="1"/>
      <w:marLeft w:val="0"/>
      <w:marRight w:val="0"/>
      <w:marTop w:val="0"/>
      <w:marBottom w:val="0"/>
      <w:divBdr>
        <w:top w:val="none" w:sz="0" w:space="0" w:color="auto"/>
        <w:left w:val="none" w:sz="0" w:space="0" w:color="auto"/>
        <w:bottom w:val="none" w:sz="0" w:space="0" w:color="auto"/>
        <w:right w:val="none" w:sz="0" w:space="0" w:color="auto"/>
      </w:divBdr>
    </w:div>
    <w:div w:id="151483240">
      <w:bodyDiv w:val="1"/>
      <w:marLeft w:val="0"/>
      <w:marRight w:val="0"/>
      <w:marTop w:val="0"/>
      <w:marBottom w:val="0"/>
      <w:divBdr>
        <w:top w:val="none" w:sz="0" w:space="0" w:color="auto"/>
        <w:left w:val="none" w:sz="0" w:space="0" w:color="auto"/>
        <w:bottom w:val="none" w:sz="0" w:space="0" w:color="auto"/>
        <w:right w:val="none" w:sz="0" w:space="0" w:color="auto"/>
      </w:divBdr>
    </w:div>
    <w:div w:id="172454174">
      <w:bodyDiv w:val="1"/>
      <w:marLeft w:val="0"/>
      <w:marRight w:val="0"/>
      <w:marTop w:val="0"/>
      <w:marBottom w:val="0"/>
      <w:divBdr>
        <w:top w:val="none" w:sz="0" w:space="0" w:color="auto"/>
        <w:left w:val="none" w:sz="0" w:space="0" w:color="auto"/>
        <w:bottom w:val="none" w:sz="0" w:space="0" w:color="auto"/>
        <w:right w:val="none" w:sz="0" w:space="0" w:color="auto"/>
      </w:divBdr>
      <w:divsChild>
        <w:div w:id="415326742">
          <w:marLeft w:val="0"/>
          <w:marRight w:val="0"/>
          <w:marTop w:val="0"/>
          <w:marBottom w:val="0"/>
          <w:divBdr>
            <w:top w:val="none" w:sz="0" w:space="0" w:color="auto"/>
            <w:left w:val="none" w:sz="0" w:space="0" w:color="auto"/>
            <w:bottom w:val="none" w:sz="0" w:space="0" w:color="auto"/>
            <w:right w:val="none" w:sz="0" w:space="0" w:color="auto"/>
          </w:divBdr>
        </w:div>
      </w:divsChild>
    </w:div>
    <w:div w:id="183175021">
      <w:bodyDiv w:val="1"/>
      <w:marLeft w:val="0"/>
      <w:marRight w:val="0"/>
      <w:marTop w:val="0"/>
      <w:marBottom w:val="0"/>
      <w:divBdr>
        <w:top w:val="none" w:sz="0" w:space="0" w:color="auto"/>
        <w:left w:val="none" w:sz="0" w:space="0" w:color="auto"/>
        <w:bottom w:val="none" w:sz="0" w:space="0" w:color="auto"/>
        <w:right w:val="none" w:sz="0" w:space="0" w:color="auto"/>
      </w:divBdr>
    </w:div>
    <w:div w:id="187791158">
      <w:bodyDiv w:val="1"/>
      <w:marLeft w:val="0"/>
      <w:marRight w:val="0"/>
      <w:marTop w:val="0"/>
      <w:marBottom w:val="0"/>
      <w:divBdr>
        <w:top w:val="none" w:sz="0" w:space="0" w:color="auto"/>
        <w:left w:val="none" w:sz="0" w:space="0" w:color="auto"/>
        <w:bottom w:val="none" w:sz="0" w:space="0" w:color="auto"/>
        <w:right w:val="none" w:sz="0" w:space="0" w:color="auto"/>
      </w:divBdr>
    </w:div>
    <w:div w:id="197816637">
      <w:bodyDiv w:val="1"/>
      <w:marLeft w:val="0"/>
      <w:marRight w:val="0"/>
      <w:marTop w:val="0"/>
      <w:marBottom w:val="0"/>
      <w:divBdr>
        <w:top w:val="none" w:sz="0" w:space="0" w:color="auto"/>
        <w:left w:val="none" w:sz="0" w:space="0" w:color="auto"/>
        <w:bottom w:val="none" w:sz="0" w:space="0" w:color="auto"/>
        <w:right w:val="none" w:sz="0" w:space="0" w:color="auto"/>
      </w:divBdr>
    </w:div>
    <w:div w:id="198512912">
      <w:bodyDiv w:val="1"/>
      <w:marLeft w:val="0"/>
      <w:marRight w:val="0"/>
      <w:marTop w:val="0"/>
      <w:marBottom w:val="0"/>
      <w:divBdr>
        <w:top w:val="none" w:sz="0" w:space="0" w:color="auto"/>
        <w:left w:val="none" w:sz="0" w:space="0" w:color="auto"/>
        <w:bottom w:val="none" w:sz="0" w:space="0" w:color="auto"/>
        <w:right w:val="none" w:sz="0" w:space="0" w:color="auto"/>
      </w:divBdr>
    </w:div>
    <w:div w:id="199392963">
      <w:bodyDiv w:val="1"/>
      <w:marLeft w:val="0"/>
      <w:marRight w:val="0"/>
      <w:marTop w:val="0"/>
      <w:marBottom w:val="0"/>
      <w:divBdr>
        <w:top w:val="none" w:sz="0" w:space="0" w:color="auto"/>
        <w:left w:val="none" w:sz="0" w:space="0" w:color="auto"/>
        <w:bottom w:val="none" w:sz="0" w:space="0" w:color="auto"/>
        <w:right w:val="none" w:sz="0" w:space="0" w:color="auto"/>
      </w:divBdr>
    </w:div>
    <w:div w:id="207687249">
      <w:bodyDiv w:val="1"/>
      <w:marLeft w:val="0"/>
      <w:marRight w:val="0"/>
      <w:marTop w:val="0"/>
      <w:marBottom w:val="0"/>
      <w:divBdr>
        <w:top w:val="none" w:sz="0" w:space="0" w:color="auto"/>
        <w:left w:val="none" w:sz="0" w:space="0" w:color="auto"/>
        <w:bottom w:val="none" w:sz="0" w:space="0" w:color="auto"/>
        <w:right w:val="none" w:sz="0" w:space="0" w:color="auto"/>
      </w:divBdr>
    </w:div>
    <w:div w:id="211844458">
      <w:bodyDiv w:val="1"/>
      <w:marLeft w:val="0"/>
      <w:marRight w:val="0"/>
      <w:marTop w:val="0"/>
      <w:marBottom w:val="0"/>
      <w:divBdr>
        <w:top w:val="none" w:sz="0" w:space="0" w:color="auto"/>
        <w:left w:val="none" w:sz="0" w:space="0" w:color="auto"/>
        <w:bottom w:val="none" w:sz="0" w:space="0" w:color="auto"/>
        <w:right w:val="none" w:sz="0" w:space="0" w:color="auto"/>
      </w:divBdr>
      <w:divsChild>
        <w:div w:id="935215310">
          <w:marLeft w:val="0"/>
          <w:marRight w:val="0"/>
          <w:marTop w:val="0"/>
          <w:marBottom w:val="0"/>
          <w:divBdr>
            <w:top w:val="none" w:sz="0" w:space="0" w:color="auto"/>
            <w:left w:val="none" w:sz="0" w:space="0" w:color="auto"/>
            <w:bottom w:val="none" w:sz="0" w:space="0" w:color="auto"/>
            <w:right w:val="none" w:sz="0" w:space="0" w:color="auto"/>
          </w:divBdr>
          <w:divsChild>
            <w:div w:id="348799469">
              <w:marLeft w:val="0"/>
              <w:marRight w:val="0"/>
              <w:marTop w:val="0"/>
              <w:marBottom w:val="0"/>
              <w:divBdr>
                <w:top w:val="none" w:sz="0" w:space="0" w:color="auto"/>
                <w:left w:val="none" w:sz="0" w:space="0" w:color="auto"/>
                <w:bottom w:val="none" w:sz="0" w:space="0" w:color="auto"/>
                <w:right w:val="none" w:sz="0" w:space="0" w:color="auto"/>
              </w:divBdr>
            </w:div>
          </w:divsChild>
        </w:div>
        <w:div w:id="1689256363">
          <w:marLeft w:val="609"/>
          <w:marRight w:val="0"/>
          <w:marTop w:val="0"/>
          <w:marBottom w:val="0"/>
          <w:divBdr>
            <w:top w:val="none" w:sz="0" w:space="0" w:color="auto"/>
            <w:left w:val="none" w:sz="0" w:space="0" w:color="auto"/>
            <w:bottom w:val="none" w:sz="0" w:space="0" w:color="auto"/>
            <w:right w:val="none" w:sz="0" w:space="0" w:color="auto"/>
          </w:divBdr>
          <w:divsChild>
            <w:div w:id="497113710">
              <w:marLeft w:val="0"/>
              <w:marRight w:val="0"/>
              <w:marTop w:val="0"/>
              <w:marBottom w:val="0"/>
              <w:divBdr>
                <w:top w:val="none" w:sz="0" w:space="0" w:color="auto"/>
                <w:left w:val="none" w:sz="0" w:space="0" w:color="auto"/>
                <w:bottom w:val="none" w:sz="0" w:space="0" w:color="auto"/>
                <w:right w:val="none" w:sz="0" w:space="0" w:color="auto"/>
              </w:divBdr>
              <w:divsChild>
                <w:div w:id="548685378">
                  <w:marLeft w:val="-14"/>
                  <w:marRight w:val="0"/>
                  <w:marTop w:val="0"/>
                  <w:marBottom w:val="0"/>
                  <w:divBdr>
                    <w:top w:val="none" w:sz="0" w:space="0" w:color="auto"/>
                    <w:left w:val="none" w:sz="0" w:space="0" w:color="auto"/>
                    <w:bottom w:val="none" w:sz="0" w:space="0" w:color="auto"/>
                    <w:right w:val="none" w:sz="0" w:space="0" w:color="auto"/>
                  </w:divBdr>
                </w:div>
                <w:div w:id="1217397064">
                  <w:marLeft w:val="0"/>
                  <w:marRight w:val="0"/>
                  <w:marTop w:val="0"/>
                  <w:marBottom w:val="0"/>
                  <w:divBdr>
                    <w:top w:val="none" w:sz="0" w:space="0" w:color="auto"/>
                    <w:left w:val="none" w:sz="0" w:space="0" w:color="auto"/>
                    <w:bottom w:val="none" w:sz="0" w:space="0" w:color="auto"/>
                    <w:right w:val="none" w:sz="0" w:space="0" w:color="auto"/>
                  </w:divBdr>
                  <w:divsChild>
                    <w:div w:id="760836586">
                      <w:marLeft w:val="0"/>
                      <w:marRight w:val="0"/>
                      <w:marTop w:val="0"/>
                      <w:marBottom w:val="0"/>
                      <w:divBdr>
                        <w:top w:val="none" w:sz="0" w:space="0" w:color="auto"/>
                        <w:left w:val="none" w:sz="0" w:space="0" w:color="auto"/>
                        <w:bottom w:val="none" w:sz="0" w:space="0" w:color="auto"/>
                        <w:right w:val="none" w:sz="0" w:space="0" w:color="auto"/>
                      </w:divBdr>
                    </w:div>
                  </w:divsChild>
                </w:div>
                <w:div w:id="1325741624">
                  <w:marLeft w:val="69"/>
                  <w:marRight w:val="0"/>
                  <w:marTop w:val="0"/>
                  <w:marBottom w:val="0"/>
                  <w:divBdr>
                    <w:top w:val="none" w:sz="0" w:space="0" w:color="auto"/>
                    <w:left w:val="none" w:sz="0" w:space="0" w:color="auto"/>
                    <w:bottom w:val="none" w:sz="0" w:space="0" w:color="auto"/>
                    <w:right w:val="none" w:sz="0" w:space="0" w:color="auto"/>
                  </w:divBdr>
                </w:div>
                <w:div w:id="2020964873">
                  <w:marLeft w:val="0"/>
                  <w:marRight w:val="0"/>
                  <w:marTop w:val="0"/>
                  <w:marBottom w:val="0"/>
                  <w:divBdr>
                    <w:top w:val="none" w:sz="0" w:space="0" w:color="auto"/>
                    <w:left w:val="none" w:sz="0" w:space="0" w:color="auto"/>
                    <w:bottom w:val="none" w:sz="0" w:space="0" w:color="auto"/>
                    <w:right w:val="none" w:sz="0" w:space="0" w:color="auto"/>
                  </w:divBdr>
                </w:div>
              </w:divsChild>
            </w:div>
            <w:div w:id="1753818968">
              <w:marLeft w:val="0"/>
              <w:marRight w:val="208"/>
              <w:marTop w:val="69"/>
              <w:marBottom w:val="0"/>
              <w:divBdr>
                <w:top w:val="none" w:sz="0" w:space="0" w:color="auto"/>
                <w:left w:val="none" w:sz="0" w:space="0" w:color="auto"/>
                <w:bottom w:val="none" w:sz="0" w:space="0" w:color="auto"/>
                <w:right w:val="none" w:sz="0" w:space="0" w:color="auto"/>
              </w:divBdr>
              <w:divsChild>
                <w:div w:id="721949697">
                  <w:marLeft w:val="0"/>
                  <w:marRight w:val="0"/>
                  <w:marTop w:val="0"/>
                  <w:marBottom w:val="0"/>
                  <w:divBdr>
                    <w:top w:val="none" w:sz="0" w:space="0" w:color="auto"/>
                    <w:left w:val="none" w:sz="0" w:space="0" w:color="auto"/>
                    <w:bottom w:val="none" w:sz="0" w:space="0" w:color="auto"/>
                    <w:right w:val="none" w:sz="0" w:space="0" w:color="auto"/>
                  </w:divBdr>
                  <w:divsChild>
                    <w:div w:id="1530921642">
                      <w:marLeft w:val="0"/>
                      <w:marRight w:val="0"/>
                      <w:marTop w:val="0"/>
                      <w:marBottom w:val="0"/>
                      <w:divBdr>
                        <w:top w:val="none" w:sz="0" w:space="0" w:color="auto"/>
                        <w:left w:val="none" w:sz="0" w:space="0" w:color="auto"/>
                        <w:bottom w:val="none" w:sz="0" w:space="0" w:color="auto"/>
                        <w:right w:val="none" w:sz="0" w:space="0" w:color="auto"/>
                      </w:divBdr>
                      <w:divsChild>
                        <w:div w:id="1349255841">
                          <w:marLeft w:val="0"/>
                          <w:marRight w:val="0"/>
                          <w:marTop w:val="0"/>
                          <w:marBottom w:val="0"/>
                          <w:divBdr>
                            <w:top w:val="none" w:sz="0" w:space="0" w:color="auto"/>
                            <w:left w:val="none" w:sz="0" w:space="0" w:color="auto"/>
                            <w:bottom w:val="none" w:sz="0" w:space="0" w:color="auto"/>
                            <w:right w:val="none" w:sz="0" w:space="0" w:color="auto"/>
                          </w:divBdr>
                        </w:div>
                        <w:div w:id="2141074661">
                          <w:marLeft w:val="0"/>
                          <w:marRight w:val="0"/>
                          <w:marTop w:val="0"/>
                          <w:marBottom w:val="0"/>
                          <w:divBdr>
                            <w:top w:val="none" w:sz="0" w:space="0" w:color="auto"/>
                            <w:left w:val="none" w:sz="0" w:space="0" w:color="auto"/>
                            <w:bottom w:val="none" w:sz="0" w:space="0" w:color="auto"/>
                            <w:right w:val="none" w:sz="0" w:space="0" w:color="auto"/>
                          </w:divBdr>
                          <w:divsChild>
                            <w:div w:id="285081958">
                              <w:marLeft w:val="0"/>
                              <w:marRight w:val="0"/>
                              <w:marTop w:val="0"/>
                              <w:marBottom w:val="0"/>
                              <w:divBdr>
                                <w:top w:val="none" w:sz="0" w:space="0" w:color="auto"/>
                                <w:left w:val="none" w:sz="0" w:space="0" w:color="auto"/>
                                <w:bottom w:val="none" w:sz="0" w:space="0" w:color="auto"/>
                                <w:right w:val="none" w:sz="0" w:space="0" w:color="auto"/>
                              </w:divBdr>
                            </w:div>
                            <w:div w:id="620651968">
                              <w:marLeft w:val="0"/>
                              <w:marRight w:val="0"/>
                              <w:marTop w:val="0"/>
                              <w:marBottom w:val="0"/>
                              <w:divBdr>
                                <w:top w:val="none" w:sz="0" w:space="0" w:color="auto"/>
                                <w:left w:val="none" w:sz="0" w:space="0" w:color="auto"/>
                                <w:bottom w:val="none" w:sz="0" w:space="0" w:color="auto"/>
                                <w:right w:val="none" w:sz="0" w:space="0" w:color="auto"/>
                              </w:divBdr>
                            </w:div>
                            <w:div w:id="1009019488">
                              <w:marLeft w:val="0"/>
                              <w:marRight w:val="0"/>
                              <w:marTop w:val="0"/>
                              <w:marBottom w:val="0"/>
                              <w:divBdr>
                                <w:top w:val="none" w:sz="0" w:space="0" w:color="auto"/>
                                <w:left w:val="none" w:sz="0" w:space="0" w:color="auto"/>
                                <w:bottom w:val="none" w:sz="0" w:space="0" w:color="auto"/>
                                <w:right w:val="none" w:sz="0" w:space="0" w:color="auto"/>
                              </w:divBdr>
                            </w:div>
                            <w:div w:id="1359819863">
                              <w:marLeft w:val="0"/>
                              <w:marRight w:val="0"/>
                              <w:marTop w:val="0"/>
                              <w:marBottom w:val="0"/>
                              <w:divBdr>
                                <w:top w:val="none" w:sz="0" w:space="0" w:color="auto"/>
                                <w:left w:val="none" w:sz="0" w:space="0" w:color="auto"/>
                                <w:bottom w:val="none" w:sz="0" w:space="0" w:color="auto"/>
                                <w:right w:val="none" w:sz="0" w:space="0" w:color="auto"/>
                              </w:divBdr>
                            </w:div>
                            <w:div w:id="1624193147">
                              <w:marLeft w:val="0"/>
                              <w:marRight w:val="0"/>
                              <w:marTop w:val="0"/>
                              <w:marBottom w:val="0"/>
                              <w:divBdr>
                                <w:top w:val="none" w:sz="0" w:space="0" w:color="auto"/>
                                <w:left w:val="none" w:sz="0" w:space="0" w:color="auto"/>
                                <w:bottom w:val="none" w:sz="0" w:space="0" w:color="auto"/>
                                <w:right w:val="none" w:sz="0" w:space="0" w:color="auto"/>
                              </w:divBdr>
                            </w:div>
                            <w:div w:id="2131050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0026309">
      <w:bodyDiv w:val="1"/>
      <w:marLeft w:val="0"/>
      <w:marRight w:val="0"/>
      <w:marTop w:val="0"/>
      <w:marBottom w:val="0"/>
      <w:divBdr>
        <w:top w:val="none" w:sz="0" w:space="0" w:color="auto"/>
        <w:left w:val="none" w:sz="0" w:space="0" w:color="auto"/>
        <w:bottom w:val="none" w:sz="0" w:space="0" w:color="auto"/>
        <w:right w:val="none" w:sz="0" w:space="0" w:color="auto"/>
      </w:divBdr>
    </w:div>
    <w:div w:id="235093687">
      <w:bodyDiv w:val="1"/>
      <w:marLeft w:val="0"/>
      <w:marRight w:val="0"/>
      <w:marTop w:val="0"/>
      <w:marBottom w:val="0"/>
      <w:divBdr>
        <w:top w:val="none" w:sz="0" w:space="0" w:color="auto"/>
        <w:left w:val="none" w:sz="0" w:space="0" w:color="auto"/>
        <w:bottom w:val="none" w:sz="0" w:space="0" w:color="auto"/>
        <w:right w:val="none" w:sz="0" w:space="0" w:color="auto"/>
      </w:divBdr>
      <w:divsChild>
        <w:div w:id="1085496530">
          <w:marLeft w:val="0"/>
          <w:marRight w:val="0"/>
          <w:marTop w:val="96"/>
          <w:marBottom w:val="0"/>
          <w:divBdr>
            <w:top w:val="none" w:sz="0" w:space="0" w:color="auto"/>
            <w:left w:val="none" w:sz="0" w:space="0" w:color="auto"/>
            <w:bottom w:val="none" w:sz="0" w:space="0" w:color="auto"/>
            <w:right w:val="none" w:sz="0" w:space="0" w:color="auto"/>
          </w:divBdr>
        </w:div>
      </w:divsChild>
    </w:div>
    <w:div w:id="255946335">
      <w:bodyDiv w:val="1"/>
      <w:marLeft w:val="0"/>
      <w:marRight w:val="0"/>
      <w:marTop w:val="0"/>
      <w:marBottom w:val="0"/>
      <w:divBdr>
        <w:top w:val="none" w:sz="0" w:space="0" w:color="auto"/>
        <w:left w:val="none" w:sz="0" w:space="0" w:color="auto"/>
        <w:bottom w:val="none" w:sz="0" w:space="0" w:color="auto"/>
        <w:right w:val="none" w:sz="0" w:space="0" w:color="auto"/>
      </w:divBdr>
    </w:div>
    <w:div w:id="268464093">
      <w:bodyDiv w:val="1"/>
      <w:marLeft w:val="0"/>
      <w:marRight w:val="0"/>
      <w:marTop w:val="0"/>
      <w:marBottom w:val="0"/>
      <w:divBdr>
        <w:top w:val="none" w:sz="0" w:space="0" w:color="auto"/>
        <w:left w:val="none" w:sz="0" w:space="0" w:color="auto"/>
        <w:bottom w:val="none" w:sz="0" w:space="0" w:color="auto"/>
        <w:right w:val="none" w:sz="0" w:space="0" w:color="auto"/>
      </w:divBdr>
    </w:div>
    <w:div w:id="280307612">
      <w:bodyDiv w:val="1"/>
      <w:marLeft w:val="0"/>
      <w:marRight w:val="0"/>
      <w:marTop w:val="0"/>
      <w:marBottom w:val="0"/>
      <w:divBdr>
        <w:top w:val="none" w:sz="0" w:space="0" w:color="auto"/>
        <w:left w:val="none" w:sz="0" w:space="0" w:color="auto"/>
        <w:bottom w:val="none" w:sz="0" w:space="0" w:color="auto"/>
        <w:right w:val="none" w:sz="0" w:space="0" w:color="auto"/>
      </w:divBdr>
    </w:div>
    <w:div w:id="299580092">
      <w:bodyDiv w:val="1"/>
      <w:marLeft w:val="0"/>
      <w:marRight w:val="0"/>
      <w:marTop w:val="0"/>
      <w:marBottom w:val="0"/>
      <w:divBdr>
        <w:top w:val="none" w:sz="0" w:space="0" w:color="auto"/>
        <w:left w:val="none" w:sz="0" w:space="0" w:color="auto"/>
        <w:bottom w:val="none" w:sz="0" w:space="0" w:color="auto"/>
        <w:right w:val="none" w:sz="0" w:space="0" w:color="auto"/>
      </w:divBdr>
    </w:div>
    <w:div w:id="299766427">
      <w:bodyDiv w:val="1"/>
      <w:marLeft w:val="0"/>
      <w:marRight w:val="0"/>
      <w:marTop w:val="0"/>
      <w:marBottom w:val="0"/>
      <w:divBdr>
        <w:top w:val="none" w:sz="0" w:space="0" w:color="auto"/>
        <w:left w:val="none" w:sz="0" w:space="0" w:color="auto"/>
        <w:bottom w:val="none" w:sz="0" w:space="0" w:color="auto"/>
        <w:right w:val="none" w:sz="0" w:space="0" w:color="auto"/>
      </w:divBdr>
    </w:div>
    <w:div w:id="309215115">
      <w:bodyDiv w:val="1"/>
      <w:marLeft w:val="0"/>
      <w:marRight w:val="0"/>
      <w:marTop w:val="0"/>
      <w:marBottom w:val="0"/>
      <w:divBdr>
        <w:top w:val="none" w:sz="0" w:space="0" w:color="auto"/>
        <w:left w:val="none" w:sz="0" w:space="0" w:color="auto"/>
        <w:bottom w:val="none" w:sz="0" w:space="0" w:color="auto"/>
        <w:right w:val="none" w:sz="0" w:space="0" w:color="auto"/>
      </w:divBdr>
    </w:div>
    <w:div w:id="313339706">
      <w:bodyDiv w:val="1"/>
      <w:marLeft w:val="0"/>
      <w:marRight w:val="0"/>
      <w:marTop w:val="0"/>
      <w:marBottom w:val="0"/>
      <w:divBdr>
        <w:top w:val="none" w:sz="0" w:space="0" w:color="auto"/>
        <w:left w:val="none" w:sz="0" w:space="0" w:color="auto"/>
        <w:bottom w:val="none" w:sz="0" w:space="0" w:color="auto"/>
        <w:right w:val="none" w:sz="0" w:space="0" w:color="auto"/>
      </w:divBdr>
    </w:div>
    <w:div w:id="332874858">
      <w:bodyDiv w:val="1"/>
      <w:marLeft w:val="0"/>
      <w:marRight w:val="0"/>
      <w:marTop w:val="0"/>
      <w:marBottom w:val="0"/>
      <w:divBdr>
        <w:top w:val="none" w:sz="0" w:space="0" w:color="auto"/>
        <w:left w:val="none" w:sz="0" w:space="0" w:color="auto"/>
        <w:bottom w:val="none" w:sz="0" w:space="0" w:color="auto"/>
        <w:right w:val="none" w:sz="0" w:space="0" w:color="auto"/>
      </w:divBdr>
    </w:div>
    <w:div w:id="356587713">
      <w:bodyDiv w:val="1"/>
      <w:marLeft w:val="0"/>
      <w:marRight w:val="0"/>
      <w:marTop w:val="0"/>
      <w:marBottom w:val="0"/>
      <w:divBdr>
        <w:top w:val="none" w:sz="0" w:space="0" w:color="auto"/>
        <w:left w:val="none" w:sz="0" w:space="0" w:color="auto"/>
        <w:bottom w:val="none" w:sz="0" w:space="0" w:color="auto"/>
        <w:right w:val="none" w:sz="0" w:space="0" w:color="auto"/>
      </w:divBdr>
    </w:div>
    <w:div w:id="364989820">
      <w:bodyDiv w:val="1"/>
      <w:marLeft w:val="0"/>
      <w:marRight w:val="0"/>
      <w:marTop w:val="0"/>
      <w:marBottom w:val="0"/>
      <w:divBdr>
        <w:top w:val="none" w:sz="0" w:space="0" w:color="auto"/>
        <w:left w:val="none" w:sz="0" w:space="0" w:color="auto"/>
        <w:bottom w:val="none" w:sz="0" w:space="0" w:color="auto"/>
        <w:right w:val="none" w:sz="0" w:space="0" w:color="auto"/>
      </w:divBdr>
    </w:div>
    <w:div w:id="377820803">
      <w:bodyDiv w:val="1"/>
      <w:marLeft w:val="0"/>
      <w:marRight w:val="0"/>
      <w:marTop w:val="0"/>
      <w:marBottom w:val="0"/>
      <w:divBdr>
        <w:top w:val="none" w:sz="0" w:space="0" w:color="auto"/>
        <w:left w:val="none" w:sz="0" w:space="0" w:color="auto"/>
        <w:bottom w:val="none" w:sz="0" w:space="0" w:color="auto"/>
        <w:right w:val="none" w:sz="0" w:space="0" w:color="auto"/>
      </w:divBdr>
    </w:div>
    <w:div w:id="380247804">
      <w:bodyDiv w:val="1"/>
      <w:marLeft w:val="0"/>
      <w:marRight w:val="0"/>
      <w:marTop w:val="0"/>
      <w:marBottom w:val="0"/>
      <w:divBdr>
        <w:top w:val="none" w:sz="0" w:space="0" w:color="auto"/>
        <w:left w:val="none" w:sz="0" w:space="0" w:color="auto"/>
        <w:bottom w:val="none" w:sz="0" w:space="0" w:color="auto"/>
        <w:right w:val="none" w:sz="0" w:space="0" w:color="auto"/>
      </w:divBdr>
    </w:div>
    <w:div w:id="399181496">
      <w:bodyDiv w:val="1"/>
      <w:marLeft w:val="0"/>
      <w:marRight w:val="0"/>
      <w:marTop w:val="0"/>
      <w:marBottom w:val="0"/>
      <w:divBdr>
        <w:top w:val="none" w:sz="0" w:space="0" w:color="auto"/>
        <w:left w:val="none" w:sz="0" w:space="0" w:color="auto"/>
        <w:bottom w:val="none" w:sz="0" w:space="0" w:color="auto"/>
        <w:right w:val="none" w:sz="0" w:space="0" w:color="auto"/>
      </w:divBdr>
    </w:div>
    <w:div w:id="438718260">
      <w:bodyDiv w:val="1"/>
      <w:marLeft w:val="0"/>
      <w:marRight w:val="0"/>
      <w:marTop w:val="0"/>
      <w:marBottom w:val="0"/>
      <w:divBdr>
        <w:top w:val="none" w:sz="0" w:space="0" w:color="auto"/>
        <w:left w:val="none" w:sz="0" w:space="0" w:color="auto"/>
        <w:bottom w:val="none" w:sz="0" w:space="0" w:color="auto"/>
        <w:right w:val="none" w:sz="0" w:space="0" w:color="auto"/>
      </w:divBdr>
    </w:div>
    <w:div w:id="445739183">
      <w:bodyDiv w:val="1"/>
      <w:marLeft w:val="0"/>
      <w:marRight w:val="0"/>
      <w:marTop w:val="0"/>
      <w:marBottom w:val="0"/>
      <w:divBdr>
        <w:top w:val="none" w:sz="0" w:space="0" w:color="auto"/>
        <w:left w:val="none" w:sz="0" w:space="0" w:color="auto"/>
        <w:bottom w:val="none" w:sz="0" w:space="0" w:color="auto"/>
        <w:right w:val="none" w:sz="0" w:space="0" w:color="auto"/>
      </w:divBdr>
    </w:div>
    <w:div w:id="455564044">
      <w:bodyDiv w:val="1"/>
      <w:marLeft w:val="0"/>
      <w:marRight w:val="0"/>
      <w:marTop w:val="0"/>
      <w:marBottom w:val="0"/>
      <w:divBdr>
        <w:top w:val="none" w:sz="0" w:space="0" w:color="auto"/>
        <w:left w:val="none" w:sz="0" w:space="0" w:color="auto"/>
        <w:bottom w:val="none" w:sz="0" w:space="0" w:color="auto"/>
        <w:right w:val="none" w:sz="0" w:space="0" w:color="auto"/>
      </w:divBdr>
    </w:div>
    <w:div w:id="456725959">
      <w:bodyDiv w:val="1"/>
      <w:marLeft w:val="0"/>
      <w:marRight w:val="0"/>
      <w:marTop w:val="0"/>
      <w:marBottom w:val="0"/>
      <w:divBdr>
        <w:top w:val="none" w:sz="0" w:space="0" w:color="auto"/>
        <w:left w:val="none" w:sz="0" w:space="0" w:color="auto"/>
        <w:bottom w:val="none" w:sz="0" w:space="0" w:color="auto"/>
        <w:right w:val="none" w:sz="0" w:space="0" w:color="auto"/>
      </w:divBdr>
    </w:div>
    <w:div w:id="470831231">
      <w:bodyDiv w:val="1"/>
      <w:marLeft w:val="0"/>
      <w:marRight w:val="0"/>
      <w:marTop w:val="0"/>
      <w:marBottom w:val="0"/>
      <w:divBdr>
        <w:top w:val="none" w:sz="0" w:space="0" w:color="auto"/>
        <w:left w:val="none" w:sz="0" w:space="0" w:color="auto"/>
        <w:bottom w:val="none" w:sz="0" w:space="0" w:color="auto"/>
        <w:right w:val="none" w:sz="0" w:space="0" w:color="auto"/>
      </w:divBdr>
      <w:divsChild>
        <w:div w:id="1033578643">
          <w:marLeft w:val="0"/>
          <w:marRight w:val="0"/>
          <w:marTop w:val="120"/>
          <w:marBottom w:val="0"/>
          <w:divBdr>
            <w:top w:val="none" w:sz="0" w:space="0" w:color="auto"/>
            <w:left w:val="none" w:sz="0" w:space="0" w:color="auto"/>
            <w:bottom w:val="none" w:sz="0" w:space="0" w:color="auto"/>
            <w:right w:val="none" w:sz="0" w:space="0" w:color="auto"/>
          </w:divBdr>
        </w:div>
        <w:div w:id="1907257657">
          <w:marLeft w:val="0"/>
          <w:marRight w:val="0"/>
          <w:marTop w:val="120"/>
          <w:marBottom w:val="0"/>
          <w:divBdr>
            <w:top w:val="none" w:sz="0" w:space="0" w:color="auto"/>
            <w:left w:val="none" w:sz="0" w:space="0" w:color="auto"/>
            <w:bottom w:val="none" w:sz="0" w:space="0" w:color="auto"/>
            <w:right w:val="none" w:sz="0" w:space="0" w:color="auto"/>
          </w:divBdr>
        </w:div>
      </w:divsChild>
    </w:div>
    <w:div w:id="473840136">
      <w:bodyDiv w:val="1"/>
      <w:marLeft w:val="0"/>
      <w:marRight w:val="0"/>
      <w:marTop w:val="0"/>
      <w:marBottom w:val="0"/>
      <w:divBdr>
        <w:top w:val="none" w:sz="0" w:space="0" w:color="auto"/>
        <w:left w:val="none" w:sz="0" w:space="0" w:color="auto"/>
        <w:bottom w:val="none" w:sz="0" w:space="0" w:color="auto"/>
        <w:right w:val="none" w:sz="0" w:space="0" w:color="auto"/>
      </w:divBdr>
    </w:div>
    <w:div w:id="486015433">
      <w:bodyDiv w:val="1"/>
      <w:marLeft w:val="0"/>
      <w:marRight w:val="0"/>
      <w:marTop w:val="0"/>
      <w:marBottom w:val="0"/>
      <w:divBdr>
        <w:top w:val="none" w:sz="0" w:space="0" w:color="auto"/>
        <w:left w:val="none" w:sz="0" w:space="0" w:color="auto"/>
        <w:bottom w:val="none" w:sz="0" w:space="0" w:color="auto"/>
        <w:right w:val="none" w:sz="0" w:space="0" w:color="auto"/>
      </w:divBdr>
    </w:div>
    <w:div w:id="504441616">
      <w:bodyDiv w:val="1"/>
      <w:marLeft w:val="0"/>
      <w:marRight w:val="0"/>
      <w:marTop w:val="0"/>
      <w:marBottom w:val="0"/>
      <w:divBdr>
        <w:top w:val="none" w:sz="0" w:space="0" w:color="auto"/>
        <w:left w:val="none" w:sz="0" w:space="0" w:color="auto"/>
        <w:bottom w:val="none" w:sz="0" w:space="0" w:color="auto"/>
        <w:right w:val="none" w:sz="0" w:space="0" w:color="auto"/>
      </w:divBdr>
      <w:divsChild>
        <w:div w:id="734814466">
          <w:marLeft w:val="0"/>
          <w:marRight w:val="0"/>
          <w:marTop w:val="130"/>
          <w:marBottom w:val="0"/>
          <w:divBdr>
            <w:top w:val="none" w:sz="0" w:space="0" w:color="auto"/>
            <w:left w:val="none" w:sz="0" w:space="0" w:color="auto"/>
            <w:bottom w:val="none" w:sz="0" w:space="0" w:color="auto"/>
            <w:right w:val="none" w:sz="0" w:space="0" w:color="auto"/>
          </w:divBdr>
        </w:div>
      </w:divsChild>
    </w:div>
    <w:div w:id="509101175">
      <w:bodyDiv w:val="1"/>
      <w:marLeft w:val="0"/>
      <w:marRight w:val="0"/>
      <w:marTop w:val="0"/>
      <w:marBottom w:val="0"/>
      <w:divBdr>
        <w:top w:val="none" w:sz="0" w:space="0" w:color="auto"/>
        <w:left w:val="none" w:sz="0" w:space="0" w:color="auto"/>
        <w:bottom w:val="none" w:sz="0" w:space="0" w:color="auto"/>
        <w:right w:val="none" w:sz="0" w:space="0" w:color="auto"/>
      </w:divBdr>
    </w:div>
    <w:div w:id="518737321">
      <w:bodyDiv w:val="1"/>
      <w:marLeft w:val="0"/>
      <w:marRight w:val="0"/>
      <w:marTop w:val="0"/>
      <w:marBottom w:val="0"/>
      <w:divBdr>
        <w:top w:val="none" w:sz="0" w:space="0" w:color="auto"/>
        <w:left w:val="none" w:sz="0" w:space="0" w:color="auto"/>
        <w:bottom w:val="none" w:sz="0" w:space="0" w:color="auto"/>
        <w:right w:val="none" w:sz="0" w:space="0" w:color="auto"/>
      </w:divBdr>
    </w:div>
    <w:div w:id="554507483">
      <w:bodyDiv w:val="1"/>
      <w:marLeft w:val="0"/>
      <w:marRight w:val="0"/>
      <w:marTop w:val="0"/>
      <w:marBottom w:val="0"/>
      <w:divBdr>
        <w:top w:val="none" w:sz="0" w:space="0" w:color="auto"/>
        <w:left w:val="none" w:sz="0" w:space="0" w:color="auto"/>
        <w:bottom w:val="none" w:sz="0" w:space="0" w:color="auto"/>
        <w:right w:val="none" w:sz="0" w:space="0" w:color="auto"/>
      </w:divBdr>
    </w:div>
    <w:div w:id="555969110">
      <w:bodyDiv w:val="1"/>
      <w:marLeft w:val="0"/>
      <w:marRight w:val="0"/>
      <w:marTop w:val="0"/>
      <w:marBottom w:val="0"/>
      <w:divBdr>
        <w:top w:val="none" w:sz="0" w:space="0" w:color="auto"/>
        <w:left w:val="none" w:sz="0" w:space="0" w:color="auto"/>
        <w:bottom w:val="none" w:sz="0" w:space="0" w:color="auto"/>
        <w:right w:val="none" w:sz="0" w:space="0" w:color="auto"/>
      </w:divBdr>
      <w:divsChild>
        <w:div w:id="395397178">
          <w:marLeft w:val="0"/>
          <w:marRight w:val="0"/>
          <w:marTop w:val="0"/>
          <w:marBottom w:val="0"/>
          <w:divBdr>
            <w:top w:val="none" w:sz="0" w:space="0" w:color="auto"/>
            <w:left w:val="none" w:sz="0" w:space="0" w:color="auto"/>
            <w:bottom w:val="none" w:sz="0" w:space="0" w:color="auto"/>
            <w:right w:val="none" w:sz="0" w:space="0" w:color="auto"/>
          </w:divBdr>
          <w:divsChild>
            <w:div w:id="1277447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6402307">
      <w:bodyDiv w:val="1"/>
      <w:marLeft w:val="0"/>
      <w:marRight w:val="0"/>
      <w:marTop w:val="0"/>
      <w:marBottom w:val="0"/>
      <w:divBdr>
        <w:top w:val="none" w:sz="0" w:space="0" w:color="auto"/>
        <w:left w:val="none" w:sz="0" w:space="0" w:color="auto"/>
        <w:bottom w:val="none" w:sz="0" w:space="0" w:color="auto"/>
        <w:right w:val="none" w:sz="0" w:space="0" w:color="auto"/>
      </w:divBdr>
      <w:divsChild>
        <w:div w:id="1580675944">
          <w:marLeft w:val="0"/>
          <w:marRight w:val="0"/>
          <w:marTop w:val="0"/>
          <w:marBottom w:val="0"/>
          <w:divBdr>
            <w:top w:val="none" w:sz="0" w:space="0" w:color="auto"/>
            <w:left w:val="none" w:sz="0" w:space="0" w:color="auto"/>
            <w:bottom w:val="none" w:sz="0" w:space="0" w:color="auto"/>
            <w:right w:val="none" w:sz="0" w:space="0" w:color="auto"/>
          </w:divBdr>
          <w:divsChild>
            <w:div w:id="1204749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7593731">
      <w:bodyDiv w:val="1"/>
      <w:marLeft w:val="0"/>
      <w:marRight w:val="0"/>
      <w:marTop w:val="0"/>
      <w:marBottom w:val="0"/>
      <w:divBdr>
        <w:top w:val="none" w:sz="0" w:space="0" w:color="auto"/>
        <w:left w:val="none" w:sz="0" w:space="0" w:color="auto"/>
        <w:bottom w:val="none" w:sz="0" w:space="0" w:color="auto"/>
        <w:right w:val="none" w:sz="0" w:space="0" w:color="auto"/>
      </w:divBdr>
    </w:div>
    <w:div w:id="560023663">
      <w:bodyDiv w:val="1"/>
      <w:marLeft w:val="0"/>
      <w:marRight w:val="0"/>
      <w:marTop w:val="0"/>
      <w:marBottom w:val="0"/>
      <w:divBdr>
        <w:top w:val="none" w:sz="0" w:space="0" w:color="auto"/>
        <w:left w:val="none" w:sz="0" w:space="0" w:color="auto"/>
        <w:bottom w:val="none" w:sz="0" w:space="0" w:color="auto"/>
        <w:right w:val="none" w:sz="0" w:space="0" w:color="auto"/>
      </w:divBdr>
    </w:div>
    <w:div w:id="581061245">
      <w:bodyDiv w:val="1"/>
      <w:marLeft w:val="0"/>
      <w:marRight w:val="0"/>
      <w:marTop w:val="0"/>
      <w:marBottom w:val="0"/>
      <w:divBdr>
        <w:top w:val="none" w:sz="0" w:space="0" w:color="auto"/>
        <w:left w:val="none" w:sz="0" w:space="0" w:color="auto"/>
        <w:bottom w:val="none" w:sz="0" w:space="0" w:color="auto"/>
        <w:right w:val="none" w:sz="0" w:space="0" w:color="auto"/>
      </w:divBdr>
    </w:div>
    <w:div w:id="587470530">
      <w:bodyDiv w:val="1"/>
      <w:marLeft w:val="0"/>
      <w:marRight w:val="0"/>
      <w:marTop w:val="0"/>
      <w:marBottom w:val="0"/>
      <w:divBdr>
        <w:top w:val="none" w:sz="0" w:space="0" w:color="auto"/>
        <w:left w:val="none" w:sz="0" w:space="0" w:color="auto"/>
        <w:bottom w:val="none" w:sz="0" w:space="0" w:color="auto"/>
        <w:right w:val="none" w:sz="0" w:space="0" w:color="auto"/>
      </w:divBdr>
      <w:divsChild>
        <w:div w:id="1368336579">
          <w:marLeft w:val="0"/>
          <w:marRight w:val="0"/>
          <w:marTop w:val="120"/>
          <w:marBottom w:val="0"/>
          <w:divBdr>
            <w:top w:val="none" w:sz="0" w:space="0" w:color="auto"/>
            <w:left w:val="none" w:sz="0" w:space="0" w:color="auto"/>
            <w:bottom w:val="none" w:sz="0" w:space="0" w:color="auto"/>
            <w:right w:val="none" w:sz="0" w:space="0" w:color="auto"/>
          </w:divBdr>
        </w:div>
        <w:div w:id="1730029665">
          <w:marLeft w:val="0"/>
          <w:marRight w:val="0"/>
          <w:marTop w:val="120"/>
          <w:marBottom w:val="0"/>
          <w:divBdr>
            <w:top w:val="none" w:sz="0" w:space="0" w:color="auto"/>
            <w:left w:val="none" w:sz="0" w:space="0" w:color="auto"/>
            <w:bottom w:val="none" w:sz="0" w:space="0" w:color="auto"/>
            <w:right w:val="none" w:sz="0" w:space="0" w:color="auto"/>
          </w:divBdr>
        </w:div>
      </w:divsChild>
    </w:div>
    <w:div w:id="597567354">
      <w:bodyDiv w:val="1"/>
      <w:marLeft w:val="0"/>
      <w:marRight w:val="0"/>
      <w:marTop w:val="0"/>
      <w:marBottom w:val="0"/>
      <w:divBdr>
        <w:top w:val="none" w:sz="0" w:space="0" w:color="auto"/>
        <w:left w:val="none" w:sz="0" w:space="0" w:color="auto"/>
        <w:bottom w:val="none" w:sz="0" w:space="0" w:color="auto"/>
        <w:right w:val="none" w:sz="0" w:space="0" w:color="auto"/>
      </w:divBdr>
    </w:div>
    <w:div w:id="609505880">
      <w:bodyDiv w:val="1"/>
      <w:marLeft w:val="0"/>
      <w:marRight w:val="0"/>
      <w:marTop w:val="0"/>
      <w:marBottom w:val="0"/>
      <w:divBdr>
        <w:top w:val="none" w:sz="0" w:space="0" w:color="auto"/>
        <w:left w:val="none" w:sz="0" w:space="0" w:color="auto"/>
        <w:bottom w:val="none" w:sz="0" w:space="0" w:color="auto"/>
        <w:right w:val="none" w:sz="0" w:space="0" w:color="auto"/>
      </w:divBdr>
    </w:div>
    <w:div w:id="625502241">
      <w:bodyDiv w:val="1"/>
      <w:marLeft w:val="0"/>
      <w:marRight w:val="0"/>
      <w:marTop w:val="0"/>
      <w:marBottom w:val="0"/>
      <w:divBdr>
        <w:top w:val="none" w:sz="0" w:space="0" w:color="auto"/>
        <w:left w:val="none" w:sz="0" w:space="0" w:color="auto"/>
        <w:bottom w:val="none" w:sz="0" w:space="0" w:color="auto"/>
        <w:right w:val="none" w:sz="0" w:space="0" w:color="auto"/>
      </w:divBdr>
    </w:div>
    <w:div w:id="657805773">
      <w:bodyDiv w:val="1"/>
      <w:marLeft w:val="0"/>
      <w:marRight w:val="0"/>
      <w:marTop w:val="0"/>
      <w:marBottom w:val="0"/>
      <w:divBdr>
        <w:top w:val="none" w:sz="0" w:space="0" w:color="auto"/>
        <w:left w:val="none" w:sz="0" w:space="0" w:color="auto"/>
        <w:bottom w:val="none" w:sz="0" w:space="0" w:color="auto"/>
        <w:right w:val="none" w:sz="0" w:space="0" w:color="auto"/>
      </w:divBdr>
      <w:divsChild>
        <w:div w:id="1182164740">
          <w:marLeft w:val="0"/>
          <w:marRight w:val="0"/>
          <w:marTop w:val="120"/>
          <w:marBottom w:val="0"/>
          <w:divBdr>
            <w:top w:val="none" w:sz="0" w:space="0" w:color="auto"/>
            <w:left w:val="none" w:sz="0" w:space="0" w:color="auto"/>
            <w:bottom w:val="none" w:sz="0" w:space="0" w:color="auto"/>
            <w:right w:val="none" w:sz="0" w:space="0" w:color="auto"/>
          </w:divBdr>
        </w:div>
        <w:div w:id="1754280318">
          <w:marLeft w:val="0"/>
          <w:marRight w:val="0"/>
          <w:marTop w:val="120"/>
          <w:marBottom w:val="0"/>
          <w:divBdr>
            <w:top w:val="none" w:sz="0" w:space="0" w:color="auto"/>
            <w:left w:val="none" w:sz="0" w:space="0" w:color="auto"/>
            <w:bottom w:val="none" w:sz="0" w:space="0" w:color="auto"/>
            <w:right w:val="none" w:sz="0" w:space="0" w:color="auto"/>
          </w:divBdr>
        </w:div>
      </w:divsChild>
    </w:div>
    <w:div w:id="665593743">
      <w:bodyDiv w:val="1"/>
      <w:marLeft w:val="0"/>
      <w:marRight w:val="0"/>
      <w:marTop w:val="0"/>
      <w:marBottom w:val="0"/>
      <w:divBdr>
        <w:top w:val="none" w:sz="0" w:space="0" w:color="auto"/>
        <w:left w:val="none" w:sz="0" w:space="0" w:color="auto"/>
        <w:bottom w:val="none" w:sz="0" w:space="0" w:color="auto"/>
        <w:right w:val="none" w:sz="0" w:space="0" w:color="auto"/>
      </w:divBdr>
    </w:div>
    <w:div w:id="675882052">
      <w:bodyDiv w:val="1"/>
      <w:marLeft w:val="0"/>
      <w:marRight w:val="0"/>
      <w:marTop w:val="0"/>
      <w:marBottom w:val="0"/>
      <w:divBdr>
        <w:top w:val="none" w:sz="0" w:space="0" w:color="auto"/>
        <w:left w:val="none" w:sz="0" w:space="0" w:color="auto"/>
        <w:bottom w:val="none" w:sz="0" w:space="0" w:color="auto"/>
        <w:right w:val="none" w:sz="0" w:space="0" w:color="auto"/>
      </w:divBdr>
      <w:divsChild>
        <w:div w:id="1022631265">
          <w:marLeft w:val="0"/>
          <w:marRight w:val="0"/>
          <w:marTop w:val="120"/>
          <w:marBottom w:val="0"/>
          <w:divBdr>
            <w:top w:val="none" w:sz="0" w:space="0" w:color="auto"/>
            <w:left w:val="none" w:sz="0" w:space="0" w:color="auto"/>
            <w:bottom w:val="none" w:sz="0" w:space="0" w:color="auto"/>
            <w:right w:val="none" w:sz="0" w:space="0" w:color="auto"/>
          </w:divBdr>
        </w:div>
        <w:div w:id="2094623863">
          <w:marLeft w:val="0"/>
          <w:marRight w:val="0"/>
          <w:marTop w:val="120"/>
          <w:marBottom w:val="0"/>
          <w:divBdr>
            <w:top w:val="none" w:sz="0" w:space="0" w:color="auto"/>
            <w:left w:val="none" w:sz="0" w:space="0" w:color="auto"/>
            <w:bottom w:val="none" w:sz="0" w:space="0" w:color="auto"/>
            <w:right w:val="none" w:sz="0" w:space="0" w:color="auto"/>
          </w:divBdr>
        </w:div>
      </w:divsChild>
    </w:div>
    <w:div w:id="683551345">
      <w:bodyDiv w:val="1"/>
      <w:marLeft w:val="0"/>
      <w:marRight w:val="0"/>
      <w:marTop w:val="0"/>
      <w:marBottom w:val="0"/>
      <w:divBdr>
        <w:top w:val="none" w:sz="0" w:space="0" w:color="auto"/>
        <w:left w:val="none" w:sz="0" w:space="0" w:color="auto"/>
        <w:bottom w:val="none" w:sz="0" w:space="0" w:color="auto"/>
        <w:right w:val="none" w:sz="0" w:space="0" w:color="auto"/>
      </w:divBdr>
    </w:div>
    <w:div w:id="686910828">
      <w:bodyDiv w:val="1"/>
      <w:marLeft w:val="0"/>
      <w:marRight w:val="0"/>
      <w:marTop w:val="0"/>
      <w:marBottom w:val="0"/>
      <w:divBdr>
        <w:top w:val="none" w:sz="0" w:space="0" w:color="auto"/>
        <w:left w:val="none" w:sz="0" w:space="0" w:color="auto"/>
        <w:bottom w:val="none" w:sz="0" w:space="0" w:color="auto"/>
        <w:right w:val="none" w:sz="0" w:space="0" w:color="auto"/>
      </w:divBdr>
      <w:divsChild>
        <w:div w:id="962425066">
          <w:marLeft w:val="0"/>
          <w:marRight w:val="0"/>
          <w:marTop w:val="120"/>
          <w:marBottom w:val="0"/>
          <w:divBdr>
            <w:top w:val="none" w:sz="0" w:space="0" w:color="auto"/>
            <w:left w:val="none" w:sz="0" w:space="0" w:color="auto"/>
            <w:bottom w:val="none" w:sz="0" w:space="0" w:color="auto"/>
            <w:right w:val="none" w:sz="0" w:space="0" w:color="auto"/>
          </w:divBdr>
        </w:div>
        <w:div w:id="2107267366">
          <w:marLeft w:val="0"/>
          <w:marRight w:val="0"/>
          <w:marTop w:val="120"/>
          <w:marBottom w:val="0"/>
          <w:divBdr>
            <w:top w:val="none" w:sz="0" w:space="0" w:color="auto"/>
            <w:left w:val="none" w:sz="0" w:space="0" w:color="auto"/>
            <w:bottom w:val="none" w:sz="0" w:space="0" w:color="auto"/>
            <w:right w:val="none" w:sz="0" w:space="0" w:color="auto"/>
          </w:divBdr>
        </w:div>
      </w:divsChild>
    </w:div>
    <w:div w:id="692001774">
      <w:bodyDiv w:val="1"/>
      <w:marLeft w:val="0"/>
      <w:marRight w:val="0"/>
      <w:marTop w:val="0"/>
      <w:marBottom w:val="0"/>
      <w:divBdr>
        <w:top w:val="none" w:sz="0" w:space="0" w:color="auto"/>
        <w:left w:val="none" w:sz="0" w:space="0" w:color="auto"/>
        <w:bottom w:val="none" w:sz="0" w:space="0" w:color="auto"/>
        <w:right w:val="none" w:sz="0" w:space="0" w:color="auto"/>
      </w:divBdr>
    </w:div>
    <w:div w:id="700320161">
      <w:bodyDiv w:val="1"/>
      <w:marLeft w:val="0"/>
      <w:marRight w:val="0"/>
      <w:marTop w:val="0"/>
      <w:marBottom w:val="0"/>
      <w:divBdr>
        <w:top w:val="none" w:sz="0" w:space="0" w:color="auto"/>
        <w:left w:val="none" w:sz="0" w:space="0" w:color="auto"/>
        <w:bottom w:val="none" w:sz="0" w:space="0" w:color="auto"/>
        <w:right w:val="none" w:sz="0" w:space="0" w:color="auto"/>
      </w:divBdr>
    </w:div>
    <w:div w:id="708456809">
      <w:bodyDiv w:val="1"/>
      <w:marLeft w:val="0"/>
      <w:marRight w:val="0"/>
      <w:marTop w:val="0"/>
      <w:marBottom w:val="0"/>
      <w:divBdr>
        <w:top w:val="none" w:sz="0" w:space="0" w:color="auto"/>
        <w:left w:val="none" w:sz="0" w:space="0" w:color="auto"/>
        <w:bottom w:val="none" w:sz="0" w:space="0" w:color="auto"/>
        <w:right w:val="none" w:sz="0" w:space="0" w:color="auto"/>
      </w:divBdr>
    </w:div>
    <w:div w:id="728696140">
      <w:bodyDiv w:val="1"/>
      <w:marLeft w:val="0"/>
      <w:marRight w:val="0"/>
      <w:marTop w:val="0"/>
      <w:marBottom w:val="0"/>
      <w:divBdr>
        <w:top w:val="none" w:sz="0" w:space="0" w:color="auto"/>
        <w:left w:val="none" w:sz="0" w:space="0" w:color="auto"/>
        <w:bottom w:val="none" w:sz="0" w:space="0" w:color="auto"/>
        <w:right w:val="none" w:sz="0" w:space="0" w:color="auto"/>
      </w:divBdr>
      <w:divsChild>
        <w:div w:id="45495723">
          <w:marLeft w:val="0"/>
          <w:marRight w:val="389"/>
          <w:marTop w:val="259"/>
          <w:marBottom w:val="0"/>
          <w:divBdr>
            <w:top w:val="none" w:sz="0" w:space="0" w:color="auto"/>
            <w:left w:val="none" w:sz="0" w:space="0" w:color="auto"/>
            <w:bottom w:val="none" w:sz="0" w:space="0" w:color="auto"/>
            <w:right w:val="none" w:sz="0" w:space="0" w:color="auto"/>
          </w:divBdr>
        </w:div>
        <w:div w:id="587348870">
          <w:marLeft w:val="0"/>
          <w:marRight w:val="0"/>
          <w:marTop w:val="130"/>
          <w:marBottom w:val="0"/>
          <w:divBdr>
            <w:top w:val="none" w:sz="0" w:space="0" w:color="auto"/>
            <w:left w:val="none" w:sz="0" w:space="0" w:color="auto"/>
            <w:bottom w:val="none" w:sz="0" w:space="0" w:color="auto"/>
            <w:right w:val="none" w:sz="0" w:space="0" w:color="auto"/>
          </w:divBdr>
          <w:divsChild>
            <w:div w:id="1783919127">
              <w:marLeft w:val="0"/>
              <w:marRight w:val="0"/>
              <w:marTop w:val="0"/>
              <w:marBottom w:val="0"/>
              <w:divBdr>
                <w:top w:val="none" w:sz="0" w:space="0" w:color="auto"/>
                <w:left w:val="none" w:sz="0" w:space="0" w:color="auto"/>
                <w:bottom w:val="none" w:sz="0" w:space="0" w:color="auto"/>
                <w:right w:val="none" w:sz="0" w:space="0" w:color="auto"/>
              </w:divBdr>
              <w:divsChild>
                <w:div w:id="629629806">
                  <w:marLeft w:val="0"/>
                  <w:marRight w:val="389"/>
                  <w:marTop w:val="259"/>
                  <w:marBottom w:val="0"/>
                  <w:divBdr>
                    <w:top w:val="none" w:sz="0" w:space="0" w:color="auto"/>
                    <w:left w:val="none" w:sz="0" w:space="0" w:color="auto"/>
                    <w:bottom w:val="none" w:sz="0" w:space="0" w:color="auto"/>
                    <w:right w:val="none" w:sz="0" w:space="0" w:color="auto"/>
                  </w:divBdr>
                  <w:divsChild>
                    <w:div w:id="1807356227">
                      <w:marLeft w:val="0"/>
                      <w:marRight w:val="0"/>
                      <w:marTop w:val="0"/>
                      <w:marBottom w:val="0"/>
                      <w:divBdr>
                        <w:top w:val="none" w:sz="0" w:space="0" w:color="auto"/>
                        <w:left w:val="none" w:sz="0" w:space="0" w:color="auto"/>
                        <w:bottom w:val="none" w:sz="0" w:space="0" w:color="auto"/>
                        <w:right w:val="none" w:sz="0" w:space="0" w:color="auto"/>
                      </w:divBdr>
                    </w:div>
                    <w:div w:id="1069961290">
                      <w:marLeft w:val="0"/>
                      <w:marRight w:val="0"/>
                      <w:marTop w:val="0"/>
                      <w:marBottom w:val="0"/>
                      <w:divBdr>
                        <w:top w:val="none" w:sz="0" w:space="0" w:color="auto"/>
                        <w:left w:val="none" w:sz="0" w:space="0" w:color="auto"/>
                        <w:bottom w:val="none" w:sz="0" w:space="0" w:color="auto"/>
                        <w:right w:val="none" w:sz="0" w:space="0" w:color="auto"/>
                      </w:divBdr>
                    </w:div>
                    <w:div w:id="1416974473">
                      <w:marLeft w:val="0"/>
                      <w:marRight w:val="0"/>
                      <w:marTop w:val="0"/>
                      <w:marBottom w:val="0"/>
                      <w:divBdr>
                        <w:top w:val="none" w:sz="0" w:space="0" w:color="auto"/>
                        <w:left w:val="none" w:sz="0" w:space="0" w:color="auto"/>
                        <w:bottom w:val="none" w:sz="0" w:space="0" w:color="auto"/>
                        <w:right w:val="none" w:sz="0" w:space="0" w:color="auto"/>
                      </w:divBdr>
                    </w:div>
                    <w:div w:id="1077367131">
                      <w:marLeft w:val="0"/>
                      <w:marRight w:val="0"/>
                      <w:marTop w:val="0"/>
                      <w:marBottom w:val="0"/>
                      <w:divBdr>
                        <w:top w:val="none" w:sz="0" w:space="0" w:color="auto"/>
                        <w:left w:val="none" w:sz="0" w:space="0" w:color="auto"/>
                        <w:bottom w:val="none" w:sz="0" w:space="0" w:color="auto"/>
                        <w:right w:val="none" w:sz="0" w:space="0" w:color="auto"/>
                      </w:divBdr>
                    </w:div>
                    <w:div w:id="492141818">
                      <w:marLeft w:val="0"/>
                      <w:marRight w:val="0"/>
                      <w:marTop w:val="0"/>
                      <w:marBottom w:val="0"/>
                      <w:divBdr>
                        <w:top w:val="none" w:sz="0" w:space="0" w:color="auto"/>
                        <w:left w:val="none" w:sz="0" w:space="0" w:color="auto"/>
                        <w:bottom w:val="none" w:sz="0" w:space="0" w:color="auto"/>
                        <w:right w:val="none" w:sz="0" w:space="0" w:color="auto"/>
                      </w:divBdr>
                    </w:div>
                    <w:div w:id="942883829">
                      <w:marLeft w:val="0"/>
                      <w:marRight w:val="0"/>
                      <w:marTop w:val="0"/>
                      <w:marBottom w:val="0"/>
                      <w:divBdr>
                        <w:top w:val="none" w:sz="0" w:space="0" w:color="auto"/>
                        <w:left w:val="none" w:sz="0" w:space="0" w:color="auto"/>
                        <w:bottom w:val="none" w:sz="0" w:space="0" w:color="auto"/>
                        <w:right w:val="none" w:sz="0" w:space="0" w:color="auto"/>
                      </w:divBdr>
                    </w:div>
                  </w:divsChild>
                </w:div>
                <w:div w:id="448475329">
                  <w:marLeft w:val="0"/>
                  <w:marRight w:val="389"/>
                  <w:marTop w:val="259"/>
                  <w:marBottom w:val="0"/>
                  <w:divBdr>
                    <w:top w:val="none" w:sz="0" w:space="0" w:color="auto"/>
                    <w:left w:val="none" w:sz="0" w:space="0" w:color="auto"/>
                    <w:bottom w:val="none" w:sz="0" w:space="0" w:color="auto"/>
                    <w:right w:val="none" w:sz="0" w:space="0" w:color="auto"/>
                  </w:divBdr>
                  <w:divsChild>
                    <w:div w:id="580455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661238">
              <w:marLeft w:val="0"/>
              <w:marRight w:val="0"/>
              <w:marTop w:val="0"/>
              <w:marBottom w:val="0"/>
              <w:divBdr>
                <w:top w:val="none" w:sz="0" w:space="0" w:color="auto"/>
                <w:left w:val="none" w:sz="0" w:space="0" w:color="auto"/>
                <w:bottom w:val="none" w:sz="0" w:space="0" w:color="auto"/>
                <w:right w:val="none" w:sz="0" w:space="0" w:color="auto"/>
              </w:divBdr>
              <w:divsChild>
                <w:div w:id="45958974">
                  <w:marLeft w:val="0"/>
                  <w:marRight w:val="0"/>
                  <w:marTop w:val="130"/>
                  <w:marBottom w:val="0"/>
                  <w:divBdr>
                    <w:top w:val="none" w:sz="0" w:space="0" w:color="auto"/>
                    <w:left w:val="none" w:sz="0" w:space="0" w:color="auto"/>
                    <w:bottom w:val="none" w:sz="0" w:space="0" w:color="auto"/>
                    <w:right w:val="none" w:sz="0" w:space="0" w:color="auto"/>
                  </w:divBdr>
                </w:div>
              </w:divsChild>
            </w:div>
          </w:divsChild>
        </w:div>
      </w:divsChild>
    </w:div>
    <w:div w:id="745107636">
      <w:bodyDiv w:val="1"/>
      <w:marLeft w:val="0"/>
      <w:marRight w:val="0"/>
      <w:marTop w:val="0"/>
      <w:marBottom w:val="0"/>
      <w:divBdr>
        <w:top w:val="none" w:sz="0" w:space="0" w:color="auto"/>
        <w:left w:val="none" w:sz="0" w:space="0" w:color="auto"/>
        <w:bottom w:val="none" w:sz="0" w:space="0" w:color="auto"/>
        <w:right w:val="none" w:sz="0" w:space="0" w:color="auto"/>
      </w:divBdr>
    </w:div>
    <w:div w:id="774330712">
      <w:bodyDiv w:val="1"/>
      <w:marLeft w:val="0"/>
      <w:marRight w:val="0"/>
      <w:marTop w:val="0"/>
      <w:marBottom w:val="0"/>
      <w:divBdr>
        <w:top w:val="none" w:sz="0" w:space="0" w:color="auto"/>
        <w:left w:val="none" w:sz="0" w:space="0" w:color="auto"/>
        <w:bottom w:val="none" w:sz="0" w:space="0" w:color="auto"/>
        <w:right w:val="none" w:sz="0" w:space="0" w:color="auto"/>
      </w:divBdr>
    </w:div>
    <w:div w:id="793906167">
      <w:bodyDiv w:val="1"/>
      <w:marLeft w:val="0"/>
      <w:marRight w:val="0"/>
      <w:marTop w:val="0"/>
      <w:marBottom w:val="0"/>
      <w:divBdr>
        <w:top w:val="none" w:sz="0" w:space="0" w:color="auto"/>
        <w:left w:val="none" w:sz="0" w:space="0" w:color="auto"/>
        <w:bottom w:val="none" w:sz="0" w:space="0" w:color="auto"/>
        <w:right w:val="none" w:sz="0" w:space="0" w:color="auto"/>
      </w:divBdr>
    </w:div>
    <w:div w:id="802040484">
      <w:bodyDiv w:val="1"/>
      <w:marLeft w:val="0"/>
      <w:marRight w:val="0"/>
      <w:marTop w:val="0"/>
      <w:marBottom w:val="0"/>
      <w:divBdr>
        <w:top w:val="none" w:sz="0" w:space="0" w:color="auto"/>
        <w:left w:val="none" w:sz="0" w:space="0" w:color="auto"/>
        <w:bottom w:val="none" w:sz="0" w:space="0" w:color="auto"/>
        <w:right w:val="none" w:sz="0" w:space="0" w:color="auto"/>
      </w:divBdr>
    </w:div>
    <w:div w:id="805242176">
      <w:bodyDiv w:val="1"/>
      <w:marLeft w:val="0"/>
      <w:marRight w:val="0"/>
      <w:marTop w:val="0"/>
      <w:marBottom w:val="0"/>
      <w:divBdr>
        <w:top w:val="none" w:sz="0" w:space="0" w:color="auto"/>
        <w:left w:val="none" w:sz="0" w:space="0" w:color="auto"/>
        <w:bottom w:val="none" w:sz="0" w:space="0" w:color="auto"/>
        <w:right w:val="none" w:sz="0" w:space="0" w:color="auto"/>
      </w:divBdr>
    </w:div>
    <w:div w:id="813376554">
      <w:bodyDiv w:val="1"/>
      <w:marLeft w:val="0"/>
      <w:marRight w:val="0"/>
      <w:marTop w:val="0"/>
      <w:marBottom w:val="0"/>
      <w:divBdr>
        <w:top w:val="none" w:sz="0" w:space="0" w:color="auto"/>
        <w:left w:val="none" w:sz="0" w:space="0" w:color="auto"/>
        <w:bottom w:val="none" w:sz="0" w:space="0" w:color="auto"/>
        <w:right w:val="none" w:sz="0" w:space="0" w:color="auto"/>
      </w:divBdr>
    </w:div>
    <w:div w:id="814495259">
      <w:bodyDiv w:val="1"/>
      <w:marLeft w:val="0"/>
      <w:marRight w:val="0"/>
      <w:marTop w:val="0"/>
      <w:marBottom w:val="0"/>
      <w:divBdr>
        <w:top w:val="none" w:sz="0" w:space="0" w:color="auto"/>
        <w:left w:val="none" w:sz="0" w:space="0" w:color="auto"/>
        <w:bottom w:val="none" w:sz="0" w:space="0" w:color="auto"/>
        <w:right w:val="none" w:sz="0" w:space="0" w:color="auto"/>
      </w:divBdr>
    </w:div>
    <w:div w:id="816730382">
      <w:bodyDiv w:val="1"/>
      <w:marLeft w:val="0"/>
      <w:marRight w:val="0"/>
      <w:marTop w:val="0"/>
      <w:marBottom w:val="0"/>
      <w:divBdr>
        <w:top w:val="none" w:sz="0" w:space="0" w:color="auto"/>
        <w:left w:val="none" w:sz="0" w:space="0" w:color="auto"/>
        <w:bottom w:val="none" w:sz="0" w:space="0" w:color="auto"/>
        <w:right w:val="none" w:sz="0" w:space="0" w:color="auto"/>
      </w:divBdr>
    </w:div>
    <w:div w:id="824132011">
      <w:bodyDiv w:val="1"/>
      <w:marLeft w:val="0"/>
      <w:marRight w:val="0"/>
      <w:marTop w:val="0"/>
      <w:marBottom w:val="0"/>
      <w:divBdr>
        <w:top w:val="none" w:sz="0" w:space="0" w:color="auto"/>
        <w:left w:val="none" w:sz="0" w:space="0" w:color="auto"/>
        <w:bottom w:val="none" w:sz="0" w:space="0" w:color="auto"/>
        <w:right w:val="none" w:sz="0" w:space="0" w:color="auto"/>
      </w:divBdr>
    </w:div>
    <w:div w:id="830607868">
      <w:bodyDiv w:val="1"/>
      <w:marLeft w:val="0"/>
      <w:marRight w:val="0"/>
      <w:marTop w:val="0"/>
      <w:marBottom w:val="0"/>
      <w:divBdr>
        <w:top w:val="none" w:sz="0" w:space="0" w:color="auto"/>
        <w:left w:val="none" w:sz="0" w:space="0" w:color="auto"/>
        <w:bottom w:val="none" w:sz="0" w:space="0" w:color="auto"/>
        <w:right w:val="none" w:sz="0" w:space="0" w:color="auto"/>
      </w:divBdr>
    </w:div>
    <w:div w:id="832065926">
      <w:bodyDiv w:val="1"/>
      <w:marLeft w:val="0"/>
      <w:marRight w:val="0"/>
      <w:marTop w:val="0"/>
      <w:marBottom w:val="0"/>
      <w:divBdr>
        <w:top w:val="none" w:sz="0" w:space="0" w:color="auto"/>
        <w:left w:val="none" w:sz="0" w:space="0" w:color="auto"/>
        <w:bottom w:val="none" w:sz="0" w:space="0" w:color="auto"/>
        <w:right w:val="none" w:sz="0" w:space="0" w:color="auto"/>
      </w:divBdr>
    </w:div>
    <w:div w:id="832188014">
      <w:bodyDiv w:val="1"/>
      <w:marLeft w:val="0"/>
      <w:marRight w:val="0"/>
      <w:marTop w:val="0"/>
      <w:marBottom w:val="0"/>
      <w:divBdr>
        <w:top w:val="none" w:sz="0" w:space="0" w:color="auto"/>
        <w:left w:val="none" w:sz="0" w:space="0" w:color="auto"/>
        <w:bottom w:val="none" w:sz="0" w:space="0" w:color="auto"/>
        <w:right w:val="none" w:sz="0" w:space="0" w:color="auto"/>
      </w:divBdr>
    </w:div>
    <w:div w:id="858279059">
      <w:bodyDiv w:val="1"/>
      <w:marLeft w:val="0"/>
      <w:marRight w:val="0"/>
      <w:marTop w:val="0"/>
      <w:marBottom w:val="0"/>
      <w:divBdr>
        <w:top w:val="none" w:sz="0" w:space="0" w:color="auto"/>
        <w:left w:val="none" w:sz="0" w:space="0" w:color="auto"/>
        <w:bottom w:val="none" w:sz="0" w:space="0" w:color="auto"/>
        <w:right w:val="none" w:sz="0" w:space="0" w:color="auto"/>
      </w:divBdr>
    </w:div>
    <w:div w:id="860897265">
      <w:bodyDiv w:val="1"/>
      <w:marLeft w:val="0"/>
      <w:marRight w:val="0"/>
      <w:marTop w:val="0"/>
      <w:marBottom w:val="0"/>
      <w:divBdr>
        <w:top w:val="none" w:sz="0" w:space="0" w:color="auto"/>
        <w:left w:val="none" w:sz="0" w:space="0" w:color="auto"/>
        <w:bottom w:val="none" w:sz="0" w:space="0" w:color="auto"/>
        <w:right w:val="none" w:sz="0" w:space="0" w:color="auto"/>
      </w:divBdr>
    </w:div>
    <w:div w:id="862204419">
      <w:bodyDiv w:val="1"/>
      <w:marLeft w:val="0"/>
      <w:marRight w:val="0"/>
      <w:marTop w:val="0"/>
      <w:marBottom w:val="0"/>
      <w:divBdr>
        <w:top w:val="none" w:sz="0" w:space="0" w:color="auto"/>
        <w:left w:val="none" w:sz="0" w:space="0" w:color="auto"/>
        <w:bottom w:val="none" w:sz="0" w:space="0" w:color="auto"/>
        <w:right w:val="none" w:sz="0" w:space="0" w:color="auto"/>
      </w:divBdr>
    </w:div>
    <w:div w:id="866717794">
      <w:bodyDiv w:val="1"/>
      <w:marLeft w:val="0"/>
      <w:marRight w:val="0"/>
      <w:marTop w:val="0"/>
      <w:marBottom w:val="0"/>
      <w:divBdr>
        <w:top w:val="none" w:sz="0" w:space="0" w:color="auto"/>
        <w:left w:val="none" w:sz="0" w:space="0" w:color="auto"/>
        <w:bottom w:val="none" w:sz="0" w:space="0" w:color="auto"/>
        <w:right w:val="none" w:sz="0" w:space="0" w:color="auto"/>
      </w:divBdr>
    </w:div>
    <w:div w:id="890267077">
      <w:bodyDiv w:val="1"/>
      <w:marLeft w:val="0"/>
      <w:marRight w:val="0"/>
      <w:marTop w:val="0"/>
      <w:marBottom w:val="0"/>
      <w:divBdr>
        <w:top w:val="none" w:sz="0" w:space="0" w:color="auto"/>
        <w:left w:val="none" w:sz="0" w:space="0" w:color="auto"/>
        <w:bottom w:val="none" w:sz="0" w:space="0" w:color="auto"/>
        <w:right w:val="none" w:sz="0" w:space="0" w:color="auto"/>
      </w:divBdr>
      <w:divsChild>
        <w:div w:id="1840343422">
          <w:marLeft w:val="0"/>
          <w:marRight w:val="0"/>
          <w:marTop w:val="120"/>
          <w:marBottom w:val="0"/>
          <w:divBdr>
            <w:top w:val="none" w:sz="0" w:space="0" w:color="auto"/>
            <w:left w:val="none" w:sz="0" w:space="0" w:color="auto"/>
            <w:bottom w:val="none" w:sz="0" w:space="0" w:color="auto"/>
            <w:right w:val="none" w:sz="0" w:space="0" w:color="auto"/>
          </w:divBdr>
        </w:div>
        <w:div w:id="1920169054">
          <w:marLeft w:val="0"/>
          <w:marRight w:val="0"/>
          <w:marTop w:val="120"/>
          <w:marBottom w:val="0"/>
          <w:divBdr>
            <w:top w:val="none" w:sz="0" w:space="0" w:color="auto"/>
            <w:left w:val="none" w:sz="0" w:space="0" w:color="auto"/>
            <w:bottom w:val="none" w:sz="0" w:space="0" w:color="auto"/>
            <w:right w:val="none" w:sz="0" w:space="0" w:color="auto"/>
          </w:divBdr>
        </w:div>
      </w:divsChild>
    </w:div>
    <w:div w:id="892228493">
      <w:bodyDiv w:val="1"/>
      <w:marLeft w:val="0"/>
      <w:marRight w:val="0"/>
      <w:marTop w:val="0"/>
      <w:marBottom w:val="0"/>
      <w:divBdr>
        <w:top w:val="none" w:sz="0" w:space="0" w:color="auto"/>
        <w:left w:val="none" w:sz="0" w:space="0" w:color="auto"/>
        <w:bottom w:val="none" w:sz="0" w:space="0" w:color="auto"/>
        <w:right w:val="none" w:sz="0" w:space="0" w:color="auto"/>
      </w:divBdr>
      <w:divsChild>
        <w:div w:id="118689197">
          <w:marLeft w:val="0"/>
          <w:marRight w:val="0"/>
          <w:marTop w:val="0"/>
          <w:marBottom w:val="0"/>
          <w:divBdr>
            <w:top w:val="none" w:sz="0" w:space="0" w:color="auto"/>
            <w:left w:val="none" w:sz="0" w:space="0" w:color="auto"/>
            <w:bottom w:val="none" w:sz="0" w:space="0" w:color="auto"/>
            <w:right w:val="none" w:sz="0" w:space="0" w:color="auto"/>
          </w:divBdr>
          <w:divsChild>
            <w:div w:id="1816795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6431384">
      <w:bodyDiv w:val="1"/>
      <w:marLeft w:val="0"/>
      <w:marRight w:val="0"/>
      <w:marTop w:val="0"/>
      <w:marBottom w:val="0"/>
      <w:divBdr>
        <w:top w:val="none" w:sz="0" w:space="0" w:color="auto"/>
        <w:left w:val="none" w:sz="0" w:space="0" w:color="auto"/>
        <w:bottom w:val="none" w:sz="0" w:space="0" w:color="auto"/>
        <w:right w:val="none" w:sz="0" w:space="0" w:color="auto"/>
      </w:divBdr>
    </w:div>
    <w:div w:id="914784124">
      <w:bodyDiv w:val="1"/>
      <w:marLeft w:val="0"/>
      <w:marRight w:val="0"/>
      <w:marTop w:val="0"/>
      <w:marBottom w:val="0"/>
      <w:divBdr>
        <w:top w:val="none" w:sz="0" w:space="0" w:color="auto"/>
        <w:left w:val="none" w:sz="0" w:space="0" w:color="auto"/>
        <w:bottom w:val="none" w:sz="0" w:space="0" w:color="auto"/>
        <w:right w:val="none" w:sz="0" w:space="0" w:color="auto"/>
      </w:divBdr>
      <w:divsChild>
        <w:div w:id="857424178">
          <w:marLeft w:val="0"/>
          <w:marRight w:val="0"/>
          <w:marTop w:val="34"/>
          <w:marBottom w:val="34"/>
          <w:divBdr>
            <w:top w:val="none" w:sz="0" w:space="0" w:color="auto"/>
            <w:left w:val="none" w:sz="0" w:space="0" w:color="auto"/>
            <w:bottom w:val="none" w:sz="0" w:space="0" w:color="auto"/>
            <w:right w:val="none" w:sz="0" w:space="0" w:color="auto"/>
          </w:divBdr>
        </w:div>
      </w:divsChild>
    </w:div>
    <w:div w:id="915894676">
      <w:bodyDiv w:val="1"/>
      <w:marLeft w:val="0"/>
      <w:marRight w:val="0"/>
      <w:marTop w:val="0"/>
      <w:marBottom w:val="0"/>
      <w:divBdr>
        <w:top w:val="none" w:sz="0" w:space="0" w:color="auto"/>
        <w:left w:val="none" w:sz="0" w:space="0" w:color="auto"/>
        <w:bottom w:val="none" w:sz="0" w:space="0" w:color="auto"/>
        <w:right w:val="none" w:sz="0" w:space="0" w:color="auto"/>
      </w:divBdr>
    </w:div>
    <w:div w:id="917397735">
      <w:bodyDiv w:val="1"/>
      <w:marLeft w:val="0"/>
      <w:marRight w:val="0"/>
      <w:marTop w:val="0"/>
      <w:marBottom w:val="0"/>
      <w:divBdr>
        <w:top w:val="none" w:sz="0" w:space="0" w:color="auto"/>
        <w:left w:val="none" w:sz="0" w:space="0" w:color="auto"/>
        <w:bottom w:val="none" w:sz="0" w:space="0" w:color="auto"/>
        <w:right w:val="none" w:sz="0" w:space="0" w:color="auto"/>
      </w:divBdr>
    </w:div>
    <w:div w:id="941839681">
      <w:bodyDiv w:val="1"/>
      <w:marLeft w:val="0"/>
      <w:marRight w:val="0"/>
      <w:marTop w:val="0"/>
      <w:marBottom w:val="0"/>
      <w:divBdr>
        <w:top w:val="none" w:sz="0" w:space="0" w:color="auto"/>
        <w:left w:val="none" w:sz="0" w:space="0" w:color="auto"/>
        <w:bottom w:val="none" w:sz="0" w:space="0" w:color="auto"/>
        <w:right w:val="none" w:sz="0" w:space="0" w:color="auto"/>
      </w:divBdr>
    </w:div>
    <w:div w:id="951670599">
      <w:bodyDiv w:val="1"/>
      <w:marLeft w:val="0"/>
      <w:marRight w:val="0"/>
      <w:marTop w:val="0"/>
      <w:marBottom w:val="0"/>
      <w:divBdr>
        <w:top w:val="none" w:sz="0" w:space="0" w:color="auto"/>
        <w:left w:val="none" w:sz="0" w:space="0" w:color="auto"/>
        <w:bottom w:val="none" w:sz="0" w:space="0" w:color="auto"/>
        <w:right w:val="none" w:sz="0" w:space="0" w:color="auto"/>
      </w:divBdr>
    </w:div>
    <w:div w:id="963072821">
      <w:bodyDiv w:val="1"/>
      <w:marLeft w:val="0"/>
      <w:marRight w:val="0"/>
      <w:marTop w:val="0"/>
      <w:marBottom w:val="0"/>
      <w:divBdr>
        <w:top w:val="none" w:sz="0" w:space="0" w:color="auto"/>
        <w:left w:val="none" w:sz="0" w:space="0" w:color="auto"/>
        <w:bottom w:val="none" w:sz="0" w:space="0" w:color="auto"/>
        <w:right w:val="none" w:sz="0" w:space="0" w:color="auto"/>
      </w:divBdr>
    </w:div>
    <w:div w:id="964428047">
      <w:bodyDiv w:val="1"/>
      <w:marLeft w:val="0"/>
      <w:marRight w:val="0"/>
      <w:marTop w:val="0"/>
      <w:marBottom w:val="0"/>
      <w:divBdr>
        <w:top w:val="none" w:sz="0" w:space="0" w:color="auto"/>
        <w:left w:val="none" w:sz="0" w:space="0" w:color="auto"/>
        <w:bottom w:val="none" w:sz="0" w:space="0" w:color="auto"/>
        <w:right w:val="none" w:sz="0" w:space="0" w:color="auto"/>
      </w:divBdr>
    </w:div>
    <w:div w:id="996422099">
      <w:bodyDiv w:val="1"/>
      <w:marLeft w:val="0"/>
      <w:marRight w:val="0"/>
      <w:marTop w:val="0"/>
      <w:marBottom w:val="0"/>
      <w:divBdr>
        <w:top w:val="none" w:sz="0" w:space="0" w:color="auto"/>
        <w:left w:val="none" w:sz="0" w:space="0" w:color="auto"/>
        <w:bottom w:val="none" w:sz="0" w:space="0" w:color="auto"/>
        <w:right w:val="none" w:sz="0" w:space="0" w:color="auto"/>
      </w:divBdr>
    </w:div>
    <w:div w:id="1008603065">
      <w:bodyDiv w:val="1"/>
      <w:marLeft w:val="0"/>
      <w:marRight w:val="0"/>
      <w:marTop w:val="0"/>
      <w:marBottom w:val="0"/>
      <w:divBdr>
        <w:top w:val="none" w:sz="0" w:space="0" w:color="auto"/>
        <w:left w:val="none" w:sz="0" w:space="0" w:color="auto"/>
        <w:bottom w:val="none" w:sz="0" w:space="0" w:color="auto"/>
        <w:right w:val="none" w:sz="0" w:space="0" w:color="auto"/>
      </w:divBdr>
    </w:div>
    <w:div w:id="1023508361">
      <w:bodyDiv w:val="1"/>
      <w:marLeft w:val="0"/>
      <w:marRight w:val="0"/>
      <w:marTop w:val="0"/>
      <w:marBottom w:val="0"/>
      <w:divBdr>
        <w:top w:val="none" w:sz="0" w:space="0" w:color="auto"/>
        <w:left w:val="none" w:sz="0" w:space="0" w:color="auto"/>
        <w:bottom w:val="none" w:sz="0" w:space="0" w:color="auto"/>
        <w:right w:val="none" w:sz="0" w:space="0" w:color="auto"/>
      </w:divBdr>
    </w:div>
    <w:div w:id="1033771113">
      <w:bodyDiv w:val="1"/>
      <w:marLeft w:val="0"/>
      <w:marRight w:val="0"/>
      <w:marTop w:val="0"/>
      <w:marBottom w:val="0"/>
      <w:divBdr>
        <w:top w:val="none" w:sz="0" w:space="0" w:color="auto"/>
        <w:left w:val="none" w:sz="0" w:space="0" w:color="auto"/>
        <w:bottom w:val="none" w:sz="0" w:space="0" w:color="auto"/>
        <w:right w:val="none" w:sz="0" w:space="0" w:color="auto"/>
      </w:divBdr>
    </w:div>
    <w:div w:id="1047875901">
      <w:bodyDiv w:val="1"/>
      <w:marLeft w:val="0"/>
      <w:marRight w:val="0"/>
      <w:marTop w:val="0"/>
      <w:marBottom w:val="0"/>
      <w:divBdr>
        <w:top w:val="none" w:sz="0" w:space="0" w:color="auto"/>
        <w:left w:val="none" w:sz="0" w:space="0" w:color="auto"/>
        <w:bottom w:val="none" w:sz="0" w:space="0" w:color="auto"/>
        <w:right w:val="none" w:sz="0" w:space="0" w:color="auto"/>
      </w:divBdr>
    </w:div>
    <w:div w:id="1056585182">
      <w:bodyDiv w:val="1"/>
      <w:marLeft w:val="0"/>
      <w:marRight w:val="0"/>
      <w:marTop w:val="0"/>
      <w:marBottom w:val="0"/>
      <w:divBdr>
        <w:top w:val="none" w:sz="0" w:space="0" w:color="auto"/>
        <w:left w:val="none" w:sz="0" w:space="0" w:color="auto"/>
        <w:bottom w:val="none" w:sz="0" w:space="0" w:color="auto"/>
        <w:right w:val="none" w:sz="0" w:space="0" w:color="auto"/>
      </w:divBdr>
      <w:divsChild>
        <w:div w:id="1173951067">
          <w:marLeft w:val="0"/>
          <w:marRight w:val="0"/>
          <w:marTop w:val="120"/>
          <w:marBottom w:val="0"/>
          <w:divBdr>
            <w:top w:val="none" w:sz="0" w:space="0" w:color="auto"/>
            <w:left w:val="none" w:sz="0" w:space="0" w:color="auto"/>
            <w:bottom w:val="none" w:sz="0" w:space="0" w:color="auto"/>
            <w:right w:val="none" w:sz="0" w:space="0" w:color="auto"/>
          </w:divBdr>
        </w:div>
        <w:div w:id="1896970400">
          <w:marLeft w:val="0"/>
          <w:marRight w:val="0"/>
          <w:marTop w:val="120"/>
          <w:marBottom w:val="0"/>
          <w:divBdr>
            <w:top w:val="none" w:sz="0" w:space="0" w:color="auto"/>
            <w:left w:val="none" w:sz="0" w:space="0" w:color="auto"/>
            <w:bottom w:val="none" w:sz="0" w:space="0" w:color="auto"/>
            <w:right w:val="none" w:sz="0" w:space="0" w:color="auto"/>
          </w:divBdr>
        </w:div>
      </w:divsChild>
    </w:div>
    <w:div w:id="1059862924">
      <w:bodyDiv w:val="1"/>
      <w:marLeft w:val="0"/>
      <w:marRight w:val="0"/>
      <w:marTop w:val="0"/>
      <w:marBottom w:val="0"/>
      <w:divBdr>
        <w:top w:val="none" w:sz="0" w:space="0" w:color="auto"/>
        <w:left w:val="none" w:sz="0" w:space="0" w:color="auto"/>
        <w:bottom w:val="none" w:sz="0" w:space="0" w:color="auto"/>
        <w:right w:val="none" w:sz="0" w:space="0" w:color="auto"/>
      </w:divBdr>
    </w:div>
    <w:div w:id="1072580437">
      <w:bodyDiv w:val="1"/>
      <w:marLeft w:val="0"/>
      <w:marRight w:val="0"/>
      <w:marTop w:val="0"/>
      <w:marBottom w:val="0"/>
      <w:divBdr>
        <w:top w:val="none" w:sz="0" w:space="0" w:color="auto"/>
        <w:left w:val="none" w:sz="0" w:space="0" w:color="auto"/>
        <w:bottom w:val="none" w:sz="0" w:space="0" w:color="auto"/>
        <w:right w:val="none" w:sz="0" w:space="0" w:color="auto"/>
      </w:divBdr>
    </w:div>
    <w:div w:id="1072890142">
      <w:bodyDiv w:val="1"/>
      <w:marLeft w:val="0"/>
      <w:marRight w:val="0"/>
      <w:marTop w:val="0"/>
      <w:marBottom w:val="0"/>
      <w:divBdr>
        <w:top w:val="none" w:sz="0" w:space="0" w:color="auto"/>
        <w:left w:val="none" w:sz="0" w:space="0" w:color="auto"/>
        <w:bottom w:val="none" w:sz="0" w:space="0" w:color="auto"/>
        <w:right w:val="none" w:sz="0" w:space="0" w:color="auto"/>
      </w:divBdr>
    </w:div>
    <w:div w:id="1103302922">
      <w:bodyDiv w:val="1"/>
      <w:marLeft w:val="0"/>
      <w:marRight w:val="0"/>
      <w:marTop w:val="0"/>
      <w:marBottom w:val="0"/>
      <w:divBdr>
        <w:top w:val="none" w:sz="0" w:space="0" w:color="auto"/>
        <w:left w:val="none" w:sz="0" w:space="0" w:color="auto"/>
        <w:bottom w:val="none" w:sz="0" w:space="0" w:color="auto"/>
        <w:right w:val="none" w:sz="0" w:space="0" w:color="auto"/>
      </w:divBdr>
    </w:div>
    <w:div w:id="1121342775">
      <w:bodyDiv w:val="1"/>
      <w:marLeft w:val="0"/>
      <w:marRight w:val="0"/>
      <w:marTop w:val="0"/>
      <w:marBottom w:val="0"/>
      <w:divBdr>
        <w:top w:val="none" w:sz="0" w:space="0" w:color="auto"/>
        <w:left w:val="none" w:sz="0" w:space="0" w:color="auto"/>
        <w:bottom w:val="none" w:sz="0" w:space="0" w:color="auto"/>
        <w:right w:val="none" w:sz="0" w:space="0" w:color="auto"/>
      </w:divBdr>
    </w:div>
    <w:div w:id="1132676055">
      <w:bodyDiv w:val="1"/>
      <w:marLeft w:val="0"/>
      <w:marRight w:val="0"/>
      <w:marTop w:val="0"/>
      <w:marBottom w:val="0"/>
      <w:divBdr>
        <w:top w:val="none" w:sz="0" w:space="0" w:color="auto"/>
        <w:left w:val="none" w:sz="0" w:space="0" w:color="auto"/>
        <w:bottom w:val="none" w:sz="0" w:space="0" w:color="auto"/>
        <w:right w:val="none" w:sz="0" w:space="0" w:color="auto"/>
      </w:divBdr>
    </w:div>
    <w:div w:id="1143736341">
      <w:bodyDiv w:val="1"/>
      <w:marLeft w:val="0"/>
      <w:marRight w:val="0"/>
      <w:marTop w:val="0"/>
      <w:marBottom w:val="0"/>
      <w:divBdr>
        <w:top w:val="none" w:sz="0" w:space="0" w:color="auto"/>
        <w:left w:val="none" w:sz="0" w:space="0" w:color="auto"/>
        <w:bottom w:val="none" w:sz="0" w:space="0" w:color="auto"/>
        <w:right w:val="none" w:sz="0" w:space="0" w:color="auto"/>
      </w:divBdr>
    </w:div>
    <w:div w:id="1153570039">
      <w:bodyDiv w:val="1"/>
      <w:marLeft w:val="0"/>
      <w:marRight w:val="0"/>
      <w:marTop w:val="0"/>
      <w:marBottom w:val="0"/>
      <w:divBdr>
        <w:top w:val="none" w:sz="0" w:space="0" w:color="auto"/>
        <w:left w:val="none" w:sz="0" w:space="0" w:color="auto"/>
        <w:bottom w:val="none" w:sz="0" w:space="0" w:color="auto"/>
        <w:right w:val="none" w:sz="0" w:space="0" w:color="auto"/>
      </w:divBdr>
    </w:div>
    <w:div w:id="1165047367">
      <w:bodyDiv w:val="1"/>
      <w:marLeft w:val="0"/>
      <w:marRight w:val="0"/>
      <w:marTop w:val="0"/>
      <w:marBottom w:val="0"/>
      <w:divBdr>
        <w:top w:val="none" w:sz="0" w:space="0" w:color="auto"/>
        <w:left w:val="none" w:sz="0" w:space="0" w:color="auto"/>
        <w:bottom w:val="none" w:sz="0" w:space="0" w:color="auto"/>
        <w:right w:val="none" w:sz="0" w:space="0" w:color="auto"/>
      </w:divBdr>
    </w:div>
    <w:div w:id="1194155498">
      <w:bodyDiv w:val="1"/>
      <w:marLeft w:val="0"/>
      <w:marRight w:val="0"/>
      <w:marTop w:val="0"/>
      <w:marBottom w:val="0"/>
      <w:divBdr>
        <w:top w:val="none" w:sz="0" w:space="0" w:color="auto"/>
        <w:left w:val="none" w:sz="0" w:space="0" w:color="auto"/>
        <w:bottom w:val="none" w:sz="0" w:space="0" w:color="auto"/>
        <w:right w:val="none" w:sz="0" w:space="0" w:color="auto"/>
      </w:divBdr>
    </w:div>
    <w:div w:id="1202859171">
      <w:bodyDiv w:val="1"/>
      <w:marLeft w:val="0"/>
      <w:marRight w:val="0"/>
      <w:marTop w:val="0"/>
      <w:marBottom w:val="0"/>
      <w:divBdr>
        <w:top w:val="none" w:sz="0" w:space="0" w:color="auto"/>
        <w:left w:val="none" w:sz="0" w:space="0" w:color="auto"/>
        <w:bottom w:val="none" w:sz="0" w:space="0" w:color="auto"/>
        <w:right w:val="none" w:sz="0" w:space="0" w:color="auto"/>
      </w:divBdr>
    </w:div>
    <w:div w:id="1229733711">
      <w:bodyDiv w:val="1"/>
      <w:marLeft w:val="0"/>
      <w:marRight w:val="0"/>
      <w:marTop w:val="0"/>
      <w:marBottom w:val="0"/>
      <w:divBdr>
        <w:top w:val="none" w:sz="0" w:space="0" w:color="auto"/>
        <w:left w:val="none" w:sz="0" w:space="0" w:color="auto"/>
        <w:bottom w:val="none" w:sz="0" w:space="0" w:color="auto"/>
        <w:right w:val="none" w:sz="0" w:space="0" w:color="auto"/>
      </w:divBdr>
    </w:div>
    <w:div w:id="1234390550">
      <w:bodyDiv w:val="1"/>
      <w:marLeft w:val="0"/>
      <w:marRight w:val="0"/>
      <w:marTop w:val="0"/>
      <w:marBottom w:val="0"/>
      <w:divBdr>
        <w:top w:val="none" w:sz="0" w:space="0" w:color="auto"/>
        <w:left w:val="none" w:sz="0" w:space="0" w:color="auto"/>
        <w:bottom w:val="none" w:sz="0" w:space="0" w:color="auto"/>
        <w:right w:val="none" w:sz="0" w:space="0" w:color="auto"/>
      </w:divBdr>
    </w:div>
    <w:div w:id="1255047000">
      <w:bodyDiv w:val="1"/>
      <w:marLeft w:val="0"/>
      <w:marRight w:val="0"/>
      <w:marTop w:val="0"/>
      <w:marBottom w:val="0"/>
      <w:divBdr>
        <w:top w:val="none" w:sz="0" w:space="0" w:color="auto"/>
        <w:left w:val="none" w:sz="0" w:space="0" w:color="auto"/>
        <w:bottom w:val="none" w:sz="0" w:space="0" w:color="auto"/>
        <w:right w:val="none" w:sz="0" w:space="0" w:color="auto"/>
      </w:divBdr>
    </w:div>
    <w:div w:id="1279949812">
      <w:bodyDiv w:val="1"/>
      <w:marLeft w:val="0"/>
      <w:marRight w:val="0"/>
      <w:marTop w:val="0"/>
      <w:marBottom w:val="0"/>
      <w:divBdr>
        <w:top w:val="none" w:sz="0" w:space="0" w:color="auto"/>
        <w:left w:val="none" w:sz="0" w:space="0" w:color="auto"/>
        <w:bottom w:val="none" w:sz="0" w:space="0" w:color="auto"/>
        <w:right w:val="none" w:sz="0" w:space="0" w:color="auto"/>
      </w:divBdr>
    </w:div>
    <w:div w:id="1282688406">
      <w:bodyDiv w:val="1"/>
      <w:marLeft w:val="0"/>
      <w:marRight w:val="0"/>
      <w:marTop w:val="0"/>
      <w:marBottom w:val="0"/>
      <w:divBdr>
        <w:top w:val="none" w:sz="0" w:space="0" w:color="auto"/>
        <w:left w:val="none" w:sz="0" w:space="0" w:color="auto"/>
        <w:bottom w:val="none" w:sz="0" w:space="0" w:color="auto"/>
        <w:right w:val="none" w:sz="0" w:space="0" w:color="auto"/>
      </w:divBdr>
      <w:divsChild>
        <w:div w:id="2080785415">
          <w:marLeft w:val="0"/>
          <w:marRight w:val="0"/>
          <w:marTop w:val="34"/>
          <w:marBottom w:val="34"/>
          <w:divBdr>
            <w:top w:val="none" w:sz="0" w:space="0" w:color="auto"/>
            <w:left w:val="none" w:sz="0" w:space="0" w:color="auto"/>
            <w:bottom w:val="none" w:sz="0" w:space="0" w:color="auto"/>
            <w:right w:val="none" w:sz="0" w:space="0" w:color="auto"/>
          </w:divBdr>
        </w:div>
      </w:divsChild>
    </w:div>
    <w:div w:id="1286081813">
      <w:bodyDiv w:val="1"/>
      <w:marLeft w:val="0"/>
      <w:marRight w:val="0"/>
      <w:marTop w:val="0"/>
      <w:marBottom w:val="0"/>
      <w:divBdr>
        <w:top w:val="none" w:sz="0" w:space="0" w:color="auto"/>
        <w:left w:val="none" w:sz="0" w:space="0" w:color="auto"/>
        <w:bottom w:val="none" w:sz="0" w:space="0" w:color="auto"/>
        <w:right w:val="none" w:sz="0" w:space="0" w:color="auto"/>
      </w:divBdr>
    </w:div>
    <w:div w:id="1302539289">
      <w:bodyDiv w:val="1"/>
      <w:marLeft w:val="0"/>
      <w:marRight w:val="0"/>
      <w:marTop w:val="0"/>
      <w:marBottom w:val="0"/>
      <w:divBdr>
        <w:top w:val="none" w:sz="0" w:space="0" w:color="auto"/>
        <w:left w:val="none" w:sz="0" w:space="0" w:color="auto"/>
        <w:bottom w:val="none" w:sz="0" w:space="0" w:color="auto"/>
        <w:right w:val="none" w:sz="0" w:space="0" w:color="auto"/>
      </w:divBdr>
      <w:divsChild>
        <w:div w:id="345328454">
          <w:marLeft w:val="0"/>
          <w:marRight w:val="208"/>
          <w:marTop w:val="69"/>
          <w:marBottom w:val="0"/>
          <w:divBdr>
            <w:top w:val="none" w:sz="0" w:space="0" w:color="auto"/>
            <w:left w:val="none" w:sz="0" w:space="0" w:color="auto"/>
            <w:bottom w:val="none" w:sz="0" w:space="0" w:color="auto"/>
            <w:right w:val="none" w:sz="0" w:space="0" w:color="auto"/>
          </w:divBdr>
          <w:divsChild>
            <w:div w:id="1241676022">
              <w:marLeft w:val="0"/>
              <w:marRight w:val="0"/>
              <w:marTop w:val="0"/>
              <w:marBottom w:val="0"/>
              <w:divBdr>
                <w:top w:val="none" w:sz="0" w:space="0" w:color="auto"/>
                <w:left w:val="none" w:sz="0" w:space="0" w:color="auto"/>
                <w:bottom w:val="none" w:sz="0" w:space="0" w:color="auto"/>
                <w:right w:val="none" w:sz="0" w:space="0" w:color="auto"/>
              </w:divBdr>
              <w:divsChild>
                <w:div w:id="154419033">
                  <w:marLeft w:val="0"/>
                  <w:marRight w:val="0"/>
                  <w:marTop w:val="0"/>
                  <w:marBottom w:val="0"/>
                  <w:divBdr>
                    <w:top w:val="none" w:sz="0" w:space="0" w:color="auto"/>
                    <w:left w:val="none" w:sz="0" w:space="0" w:color="auto"/>
                    <w:bottom w:val="none" w:sz="0" w:space="0" w:color="auto"/>
                    <w:right w:val="none" w:sz="0" w:space="0" w:color="auto"/>
                  </w:divBdr>
                  <w:divsChild>
                    <w:div w:id="382482085">
                      <w:marLeft w:val="0"/>
                      <w:marRight w:val="0"/>
                      <w:marTop w:val="0"/>
                      <w:marBottom w:val="0"/>
                      <w:divBdr>
                        <w:top w:val="none" w:sz="0" w:space="0" w:color="auto"/>
                        <w:left w:val="none" w:sz="0" w:space="0" w:color="auto"/>
                        <w:bottom w:val="none" w:sz="0" w:space="0" w:color="auto"/>
                        <w:right w:val="none" w:sz="0" w:space="0" w:color="auto"/>
                      </w:divBdr>
                    </w:div>
                    <w:div w:id="413363468">
                      <w:marLeft w:val="0"/>
                      <w:marRight w:val="0"/>
                      <w:marTop w:val="0"/>
                      <w:marBottom w:val="0"/>
                      <w:divBdr>
                        <w:top w:val="none" w:sz="0" w:space="0" w:color="auto"/>
                        <w:left w:val="none" w:sz="0" w:space="0" w:color="auto"/>
                        <w:bottom w:val="none" w:sz="0" w:space="0" w:color="auto"/>
                        <w:right w:val="none" w:sz="0" w:space="0" w:color="auto"/>
                      </w:divBdr>
                    </w:div>
                    <w:div w:id="789590627">
                      <w:marLeft w:val="0"/>
                      <w:marRight w:val="0"/>
                      <w:marTop w:val="0"/>
                      <w:marBottom w:val="0"/>
                      <w:divBdr>
                        <w:top w:val="none" w:sz="0" w:space="0" w:color="auto"/>
                        <w:left w:val="none" w:sz="0" w:space="0" w:color="auto"/>
                        <w:bottom w:val="none" w:sz="0" w:space="0" w:color="auto"/>
                        <w:right w:val="none" w:sz="0" w:space="0" w:color="auto"/>
                      </w:divBdr>
                    </w:div>
                    <w:div w:id="831919574">
                      <w:marLeft w:val="0"/>
                      <w:marRight w:val="0"/>
                      <w:marTop w:val="0"/>
                      <w:marBottom w:val="0"/>
                      <w:divBdr>
                        <w:top w:val="none" w:sz="0" w:space="0" w:color="auto"/>
                        <w:left w:val="none" w:sz="0" w:space="0" w:color="auto"/>
                        <w:bottom w:val="none" w:sz="0" w:space="0" w:color="auto"/>
                        <w:right w:val="none" w:sz="0" w:space="0" w:color="auto"/>
                      </w:divBdr>
                    </w:div>
                    <w:div w:id="1288270440">
                      <w:marLeft w:val="0"/>
                      <w:marRight w:val="0"/>
                      <w:marTop w:val="0"/>
                      <w:marBottom w:val="0"/>
                      <w:divBdr>
                        <w:top w:val="none" w:sz="0" w:space="0" w:color="auto"/>
                        <w:left w:val="none" w:sz="0" w:space="0" w:color="auto"/>
                        <w:bottom w:val="none" w:sz="0" w:space="0" w:color="auto"/>
                        <w:right w:val="none" w:sz="0" w:space="0" w:color="auto"/>
                      </w:divBdr>
                    </w:div>
                    <w:div w:id="1961109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6560407">
          <w:marLeft w:val="0"/>
          <w:marRight w:val="0"/>
          <w:marTop w:val="0"/>
          <w:marBottom w:val="0"/>
          <w:divBdr>
            <w:top w:val="none" w:sz="0" w:space="0" w:color="auto"/>
            <w:left w:val="none" w:sz="0" w:space="0" w:color="auto"/>
            <w:bottom w:val="none" w:sz="0" w:space="0" w:color="auto"/>
            <w:right w:val="none" w:sz="0" w:space="0" w:color="auto"/>
          </w:divBdr>
          <w:divsChild>
            <w:div w:id="274555474">
              <w:marLeft w:val="-14"/>
              <w:marRight w:val="0"/>
              <w:marTop w:val="0"/>
              <w:marBottom w:val="0"/>
              <w:divBdr>
                <w:top w:val="none" w:sz="0" w:space="0" w:color="auto"/>
                <w:left w:val="none" w:sz="0" w:space="0" w:color="auto"/>
                <w:bottom w:val="none" w:sz="0" w:space="0" w:color="auto"/>
                <w:right w:val="none" w:sz="0" w:space="0" w:color="auto"/>
              </w:divBdr>
            </w:div>
            <w:div w:id="351273185">
              <w:marLeft w:val="0"/>
              <w:marRight w:val="0"/>
              <w:marTop w:val="0"/>
              <w:marBottom w:val="0"/>
              <w:divBdr>
                <w:top w:val="none" w:sz="0" w:space="0" w:color="auto"/>
                <w:left w:val="none" w:sz="0" w:space="0" w:color="auto"/>
                <w:bottom w:val="none" w:sz="0" w:space="0" w:color="auto"/>
                <w:right w:val="none" w:sz="0" w:space="0" w:color="auto"/>
              </w:divBdr>
            </w:div>
            <w:div w:id="882712702">
              <w:marLeft w:val="0"/>
              <w:marRight w:val="0"/>
              <w:marTop w:val="0"/>
              <w:marBottom w:val="0"/>
              <w:divBdr>
                <w:top w:val="none" w:sz="0" w:space="0" w:color="auto"/>
                <w:left w:val="none" w:sz="0" w:space="0" w:color="auto"/>
                <w:bottom w:val="none" w:sz="0" w:space="0" w:color="auto"/>
                <w:right w:val="none" w:sz="0" w:space="0" w:color="auto"/>
              </w:divBdr>
              <w:divsChild>
                <w:div w:id="229196549">
                  <w:marLeft w:val="0"/>
                  <w:marRight w:val="0"/>
                  <w:marTop w:val="0"/>
                  <w:marBottom w:val="0"/>
                  <w:divBdr>
                    <w:top w:val="none" w:sz="0" w:space="0" w:color="auto"/>
                    <w:left w:val="none" w:sz="0" w:space="0" w:color="auto"/>
                    <w:bottom w:val="none" w:sz="0" w:space="0" w:color="auto"/>
                    <w:right w:val="none" w:sz="0" w:space="0" w:color="auto"/>
                  </w:divBdr>
                </w:div>
              </w:divsChild>
            </w:div>
            <w:div w:id="1301379631">
              <w:marLeft w:val="69"/>
              <w:marRight w:val="0"/>
              <w:marTop w:val="0"/>
              <w:marBottom w:val="0"/>
              <w:divBdr>
                <w:top w:val="none" w:sz="0" w:space="0" w:color="auto"/>
                <w:left w:val="none" w:sz="0" w:space="0" w:color="auto"/>
                <w:bottom w:val="none" w:sz="0" w:space="0" w:color="auto"/>
                <w:right w:val="none" w:sz="0" w:space="0" w:color="auto"/>
              </w:divBdr>
            </w:div>
          </w:divsChild>
        </w:div>
      </w:divsChild>
    </w:div>
    <w:div w:id="1317344724">
      <w:bodyDiv w:val="1"/>
      <w:marLeft w:val="0"/>
      <w:marRight w:val="0"/>
      <w:marTop w:val="0"/>
      <w:marBottom w:val="0"/>
      <w:divBdr>
        <w:top w:val="none" w:sz="0" w:space="0" w:color="auto"/>
        <w:left w:val="none" w:sz="0" w:space="0" w:color="auto"/>
        <w:bottom w:val="none" w:sz="0" w:space="0" w:color="auto"/>
        <w:right w:val="none" w:sz="0" w:space="0" w:color="auto"/>
      </w:divBdr>
    </w:div>
    <w:div w:id="1331985786">
      <w:bodyDiv w:val="1"/>
      <w:marLeft w:val="0"/>
      <w:marRight w:val="0"/>
      <w:marTop w:val="0"/>
      <w:marBottom w:val="0"/>
      <w:divBdr>
        <w:top w:val="none" w:sz="0" w:space="0" w:color="auto"/>
        <w:left w:val="none" w:sz="0" w:space="0" w:color="auto"/>
        <w:bottom w:val="none" w:sz="0" w:space="0" w:color="auto"/>
        <w:right w:val="none" w:sz="0" w:space="0" w:color="auto"/>
      </w:divBdr>
    </w:div>
    <w:div w:id="1351567250">
      <w:bodyDiv w:val="1"/>
      <w:marLeft w:val="0"/>
      <w:marRight w:val="0"/>
      <w:marTop w:val="0"/>
      <w:marBottom w:val="0"/>
      <w:divBdr>
        <w:top w:val="none" w:sz="0" w:space="0" w:color="auto"/>
        <w:left w:val="none" w:sz="0" w:space="0" w:color="auto"/>
        <w:bottom w:val="none" w:sz="0" w:space="0" w:color="auto"/>
        <w:right w:val="none" w:sz="0" w:space="0" w:color="auto"/>
      </w:divBdr>
    </w:div>
    <w:div w:id="1356469422">
      <w:bodyDiv w:val="1"/>
      <w:marLeft w:val="0"/>
      <w:marRight w:val="0"/>
      <w:marTop w:val="0"/>
      <w:marBottom w:val="0"/>
      <w:divBdr>
        <w:top w:val="none" w:sz="0" w:space="0" w:color="auto"/>
        <w:left w:val="none" w:sz="0" w:space="0" w:color="auto"/>
        <w:bottom w:val="none" w:sz="0" w:space="0" w:color="auto"/>
        <w:right w:val="none" w:sz="0" w:space="0" w:color="auto"/>
      </w:divBdr>
      <w:divsChild>
        <w:div w:id="1430927073">
          <w:marLeft w:val="0"/>
          <w:marRight w:val="0"/>
          <w:marTop w:val="120"/>
          <w:marBottom w:val="0"/>
          <w:divBdr>
            <w:top w:val="none" w:sz="0" w:space="0" w:color="auto"/>
            <w:left w:val="none" w:sz="0" w:space="0" w:color="auto"/>
            <w:bottom w:val="none" w:sz="0" w:space="0" w:color="auto"/>
            <w:right w:val="none" w:sz="0" w:space="0" w:color="auto"/>
          </w:divBdr>
        </w:div>
        <w:div w:id="1786578189">
          <w:marLeft w:val="0"/>
          <w:marRight w:val="0"/>
          <w:marTop w:val="120"/>
          <w:marBottom w:val="0"/>
          <w:divBdr>
            <w:top w:val="none" w:sz="0" w:space="0" w:color="auto"/>
            <w:left w:val="none" w:sz="0" w:space="0" w:color="auto"/>
            <w:bottom w:val="none" w:sz="0" w:space="0" w:color="auto"/>
            <w:right w:val="none" w:sz="0" w:space="0" w:color="auto"/>
          </w:divBdr>
        </w:div>
      </w:divsChild>
    </w:div>
    <w:div w:id="1365400063">
      <w:bodyDiv w:val="1"/>
      <w:marLeft w:val="0"/>
      <w:marRight w:val="0"/>
      <w:marTop w:val="0"/>
      <w:marBottom w:val="0"/>
      <w:divBdr>
        <w:top w:val="none" w:sz="0" w:space="0" w:color="auto"/>
        <w:left w:val="none" w:sz="0" w:space="0" w:color="auto"/>
        <w:bottom w:val="none" w:sz="0" w:space="0" w:color="auto"/>
        <w:right w:val="none" w:sz="0" w:space="0" w:color="auto"/>
      </w:divBdr>
    </w:div>
    <w:div w:id="1368916728">
      <w:bodyDiv w:val="1"/>
      <w:marLeft w:val="0"/>
      <w:marRight w:val="0"/>
      <w:marTop w:val="0"/>
      <w:marBottom w:val="0"/>
      <w:divBdr>
        <w:top w:val="none" w:sz="0" w:space="0" w:color="auto"/>
        <w:left w:val="none" w:sz="0" w:space="0" w:color="auto"/>
        <w:bottom w:val="none" w:sz="0" w:space="0" w:color="auto"/>
        <w:right w:val="none" w:sz="0" w:space="0" w:color="auto"/>
      </w:divBdr>
      <w:divsChild>
        <w:div w:id="929503170">
          <w:marLeft w:val="0"/>
          <w:marRight w:val="0"/>
          <w:marTop w:val="0"/>
          <w:marBottom w:val="0"/>
          <w:divBdr>
            <w:top w:val="none" w:sz="0" w:space="0" w:color="auto"/>
            <w:left w:val="none" w:sz="0" w:space="0" w:color="auto"/>
            <w:bottom w:val="none" w:sz="0" w:space="0" w:color="auto"/>
            <w:right w:val="none" w:sz="0" w:space="0" w:color="auto"/>
          </w:divBdr>
          <w:divsChild>
            <w:div w:id="832573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6736602">
      <w:bodyDiv w:val="1"/>
      <w:marLeft w:val="0"/>
      <w:marRight w:val="0"/>
      <w:marTop w:val="0"/>
      <w:marBottom w:val="0"/>
      <w:divBdr>
        <w:top w:val="none" w:sz="0" w:space="0" w:color="auto"/>
        <w:left w:val="none" w:sz="0" w:space="0" w:color="auto"/>
        <w:bottom w:val="none" w:sz="0" w:space="0" w:color="auto"/>
        <w:right w:val="none" w:sz="0" w:space="0" w:color="auto"/>
      </w:divBdr>
    </w:div>
    <w:div w:id="1382631784">
      <w:bodyDiv w:val="1"/>
      <w:marLeft w:val="0"/>
      <w:marRight w:val="0"/>
      <w:marTop w:val="0"/>
      <w:marBottom w:val="0"/>
      <w:divBdr>
        <w:top w:val="none" w:sz="0" w:space="0" w:color="auto"/>
        <w:left w:val="none" w:sz="0" w:space="0" w:color="auto"/>
        <w:bottom w:val="none" w:sz="0" w:space="0" w:color="auto"/>
        <w:right w:val="none" w:sz="0" w:space="0" w:color="auto"/>
      </w:divBdr>
    </w:div>
    <w:div w:id="1386642177">
      <w:bodyDiv w:val="1"/>
      <w:marLeft w:val="0"/>
      <w:marRight w:val="0"/>
      <w:marTop w:val="0"/>
      <w:marBottom w:val="0"/>
      <w:divBdr>
        <w:top w:val="none" w:sz="0" w:space="0" w:color="auto"/>
        <w:left w:val="none" w:sz="0" w:space="0" w:color="auto"/>
        <w:bottom w:val="none" w:sz="0" w:space="0" w:color="auto"/>
        <w:right w:val="none" w:sz="0" w:space="0" w:color="auto"/>
      </w:divBdr>
      <w:divsChild>
        <w:div w:id="631326507">
          <w:marLeft w:val="0"/>
          <w:marRight w:val="0"/>
          <w:marTop w:val="0"/>
          <w:marBottom w:val="0"/>
          <w:divBdr>
            <w:top w:val="none" w:sz="0" w:space="0" w:color="auto"/>
            <w:left w:val="none" w:sz="0" w:space="0" w:color="auto"/>
            <w:bottom w:val="none" w:sz="0" w:space="0" w:color="auto"/>
            <w:right w:val="none" w:sz="0" w:space="0" w:color="auto"/>
          </w:divBdr>
        </w:div>
      </w:divsChild>
    </w:div>
    <w:div w:id="1401096433">
      <w:bodyDiv w:val="1"/>
      <w:marLeft w:val="0"/>
      <w:marRight w:val="0"/>
      <w:marTop w:val="0"/>
      <w:marBottom w:val="0"/>
      <w:divBdr>
        <w:top w:val="none" w:sz="0" w:space="0" w:color="auto"/>
        <w:left w:val="none" w:sz="0" w:space="0" w:color="auto"/>
        <w:bottom w:val="none" w:sz="0" w:space="0" w:color="auto"/>
        <w:right w:val="none" w:sz="0" w:space="0" w:color="auto"/>
      </w:divBdr>
      <w:divsChild>
        <w:div w:id="1694501061">
          <w:marLeft w:val="0"/>
          <w:marRight w:val="0"/>
          <w:marTop w:val="120"/>
          <w:marBottom w:val="0"/>
          <w:divBdr>
            <w:top w:val="none" w:sz="0" w:space="0" w:color="auto"/>
            <w:left w:val="none" w:sz="0" w:space="0" w:color="auto"/>
            <w:bottom w:val="none" w:sz="0" w:space="0" w:color="auto"/>
            <w:right w:val="none" w:sz="0" w:space="0" w:color="auto"/>
          </w:divBdr>
        </w:div>
        <w:div w:id="1920093899">
          <w:marLeft w:val="0"/>
          <w:marRight w:val="0"/>
          <w:marTop w:val="120"/>
          <w:marBottom w:val="0"/>
          <w:divBdr>
            <w:top w:val="none" w:sz="0" w:space="0" w:color="auto"/>
            <w:left w:val="none" w:sz="0" w:space="0" w:color="auto"/>
            <w:bottom w:val="none" w:sz="0" w:space="0" w:color="auto"/>
            <w:right w:val="none" w:sz="0" w:space="0" w:color="auto"/>
          </w:divBdr>
        </w:div>
      </w:divsChild>
    </w:div>
    <w:div w:id="1412969820">
      <w:bodyDiv w:val="1"/>
      <w:marLeft w:val="0"/>
      <w:marRight w:val="0"/>
      <w:marTop w:val="0"/>
      <w:marBottom w:val="0"/>
      <w:divBdr>
        <w:top w:val="none" w:sz="0" w:space="0" w:color="auto"/>
        <w:left w:val="none" w:sz="0" w:space="0" w:color="auto"/>
        <w:bottom w:val="none" w:sz="0" w:space="0" w:color="auto"/>
        <w:right w:val="none" w:sz="0" w:space="0" w:color="auto"/>
      </w:divBdr>
      <w:divsChild>
        <w:div w:id="300230360">
          <w:marLeft w:val="0"/>
          <w:marRight w:val="0"/>
          <w:marTop w:val="0"/>
          <w:marBottom w:val="0"/>
          <w:divBdr>
            <w:top w:val="none" w:sz="0" w:space="0" w:color="auto"/>
            <w:left w:val="none" w:sz="0" w:space="0" w:color="auto"/>
            <w:bottom w:val="none" w:sz="0" w:space="0" w:color="auto"/>
            <w:right w:val="none" w:sz="0" w:space="0" w:color="auto"/>
          </w:divBdr>
          <w:divsChild>
            <w:div w:id="206844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9642154">
      <w:bodyDiv w:val="1"/>
      <w:marLeft w:val="0"/>
      <w:marRight w:val="0"/>
      <w:marTop w:val="0"/>
      <w:marBottom w:val="0"/>
      <w:divBdr>
        <w:top w:val="none" w:sz="0" w:space="0" w:color="auto"/>
        <w:left w:val="none" w:sz="0" w:space="0" w:color="auto"/>
        <w:bottom w:val="none" w:sz="0" w:space="0" w:color="auto"/>
        <w:right w:val="none" w:sz="0" w:space="0" w:color="auto"/>
      </w:divBdr>
    </w:div>
    <w:div w:id="1460994847">
      <w:bodyDiv w:val="1"/>
      <w:marLeft w:val="0"/>
      <w:marRight w:val="0"/>
      <w:marTop w:val="0"/>
      <w:marBottom w:val="0"/>
      <w:divBdr>
        <w:top w:val="none" w:sz="0" w:space="0" w:color="auto"/>
        <w:left w:val="none" w:sz="0" w:space="0" w:color="auto"/>
        <w:bottom w:val="none" w:sz="0" w:space="0" w:color="auto"/>
        <w:right w:val="none" w:sz="0" w:space="0" w:color="auto"/>
      </w:divBdr>
    </w:div>
    <w:div w:id="1462577568">
      <w:bodyDiv w:val="1"/>
      <w:marLeft w:val="0"/>
      <w:marRight w:val="0"/>
      <w:marTop w:val="0"/>
      <w:marBottom w:val="0"/>
      <w:divBdr>
        <w:top w:val="none" w:sz="0" w:space="0" w:color="auto"/>
        <w:left w:val="none" w:sz="0" w:space="0" w:color="auto"/>
        <w:bottom w:val="none" w:sz="0" w:space="0" w:color="auto"/>
        <w:right w:val="none" w:sz="0" w:space="0" w:color="auto"/>
      </w:divBdr>
    </w:div>
    <w:div w:id="1478842772">
      <w:bodyDiv w:val="1"/>
      <w:marLeft w:val="0"/>
      <w:marRight w:val="0"/>
      <w:marTop w:val="0"/>
      <w:marBottom w:val="0"/>
      <w:divBdr>
        <w:top w:val="none" w:sz="0" w:space="0" w:color="auto"/>
        <w:left w:val="none" w:sz="0" w:space="0" w:color="auto"/>
        <w:bottom w:val="none" w:sz="0" w:space="0" w:color="auto"/>
        <w:right w:val="none" w:sz="0" w:space="0" w:color="auto"/>
      </w:divBdr>
      <w:divsChild>
        <w:div w:id="373775319">
          <w:marLeft w:val="0"/>
          <w:marRight w:val="0"/>
          <w:marTop w:val="34"/>
          <w:marBottom w:val="34"/>
          <w:divBdr>
            <w:top w:val="none" w:sz="0" w:space="0" w:color="auto"/>
            <w:left w:val="none" w:sz="0" w:space="0" w:color="auto"/>
            <w:bottom w:val="none" w:sz="0" w:space="0" w:color="auto"/>
            <w:right w:val="none" w:sz="0" w:space="0" w:color="auto"/>
          </w:divBdr>
        </w:div>
      </w:divsChild>
    </w:div>
    <w:div w:id="1479154196">
      <w:bodyDiv w:val="1"/>
      <w:marLeft w:val="0"/>
      <w:marRight w:val="0"/>
      <w:marTop w:val="0"/>
      <w:marBottom w:val="0"/>
      <w:divBdr>
        <w:top w:val="none" w:sz="0" w:space="0" w:color="auto"/>
        <w:left w:val="none" w:sz="0" w:space="0" w:color="auto"/>
        <w:bottom w:val="none" w:sz="0" w:space="0" w:color="auto"/>
        <w:right w:val="none" w:sz="0" w:space="0" w:color="auto"/>
      </w:divBdr>
      <w:divsChild>
        <w:div w:id="1959295110">
          <w:marLeft w:val="0"/>
          <w:marRight w:val="0"/>
          <w:marTop w:val="34"/>
          <w:marBottom w:val="34"/>
          <w:divBdr>
            <w:top w:val="none" w:sz="0" w:space="0" w:color="auto"/>
            <w:left w:val="none" w:sz="0" w:space="0" w:color="auto"/>
            <w:bottom w:val="none" w:sz="0" w:space="0" w:color="auto"/>
            <w:right w:val="none" w:sz="0" w:space="0" w:color="auto"/>
          </w:divBdr>
        </w:div>
      </w:divsChild>
    </w:div>
    <w:div w:id="1494687668">
      <w:bodyDiv w:val="1"/>
      <w:marLeft w:val="0"/>
      <w:marRight w:val="0"/>
      <w:marTop w:val="0"/>
      <w:marBottom w:val="0"/>
      <w:divBdr>
        <w:top w:val="none" w:sz="0" w:space="0" w:color="auto"/>
        <w:left w:val="none" w:sz="0" w:space="0" w:color="auto"/>
        <w:bottom w:val="none" w:sz="0" w:space="0" w:color="auto"/>
        <w:right w:val="none" w:sz="0" w:space="0" w:color="auto"/>
      </w:divBdr>
    </w:div>
    <w:div w:id="1504399121">
      <w:bodyDiv w:val="1"/>
      <w:marLeft w:val="0"/>
      <w:marRight w:val="0"/>
      <w:marTop w:val="0"/>
      <w:marBottom w:val="0"/>
      <w:divBdr>
        <w:top w:val="none" w:sz="0" w:space="0" w:color="auto"/>
        <w:left w:val="none" w:sz="0" w:space="0" w:color="auto"/>
        <w:bottom w:val="none" w:sz="0" w:space="0" w:color="auto"/>
        <w:right w:val="none" w:sz="0" w:space="0" w:color="auto"/>
      </w:divBdr>
    </w:div>
    <w:div w:id="1528837492">
      <w:bodyDiv w:val="1"/>
      <w:marLeft w:val="0"/>
      <w:marRight w:val="0"/>
      <w:marTop w:val="0"/>
      <w:marBottom w:val="0"/>
      <w:divBdr>
        <w:top w:val="none" w:sz="0" w:space="0" w:color="auto"/>
        <w:left w:val="none" w:sz="0" w:space="0" w:color="auto"/>
        <w:bottom w:val="none" w:sz="0" w:space="0" w:color="auto"/>
        <w:right w:val="none" w:sz="0" w:space="0" w:color="auto"/>
      </w:divBdr>
    </w:div>
    <w:div w:id="1539395902">
      <w:bodyDiv w:val="1"/>
      <w:marLeft w:val="0"/>
      <w:marRight w:val="0"/>
      <w:marTop w:val="0"/>
      <w:marBottom w:val="0"/>
      <w:divBdr>
        <w:top w:val="none" w:sz="0" w:space="0" w:color="auto"/>
        <w:left w:val="none" w:sz="0" w:space="0" w:color="auto"/>
        <w:bottom w:val="none" w:sz="0" w:space="0" w:color="auto"/>
        <w:right w:val="none" w:sz="0" w:space="0" w:color="auto"/>
      </w:divBdr>
    </w:div>
    <w:div w:id="1561818149">
      <w:bodyDiv w:val="1"/>
      <w:marLeft w:val="0"/>
      <w:marRight w:val="0"/>
      <w:marTop w:val="0"/>
      <w:marBottom w:val="0"/>
      <w:divBdr>
        <w:top w:val="none" w:sz="0" w:space="0" w:color="auto"/>
        <w:left w:val="none" w:sz="0" w:space="0" w:color="auto"/>
        <w:bottom w:val="none" w:sz="0" w:space="0" w:color="auto"/>
        <w:right w:val="none" w:sz="0" w:space="0" w:color="auto"/>
      </w:divBdr>
      <w:divsChild>
        <w:div w:id="1201820062">
          <w:marLeft w:val="0"/>
          <w:marRight w:val="0"/>
          <w:marTop w:val="0"/>
          <w:marBottom w:val="0"/>
          <w:divBdr>
            <w:top w:val="none" w:sz="0" w:space="0" w:color="auto"/>
            <w:left w:val="none" w:sz="0" w:space="0" w:color="auto"/>
            <w:bottom w:val="none" w:sz="0" w:space="0" w:color="auto"/>
            <w:right w:val="none" w:sz="0" w:space="0" w:color="auto"/>
          </w:divBdr>
          <w:divsChild>
            <w:div w:id="1305887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2519607">
      <w:bodyDiv w:val="1"/>
      <w:marLeft w:val="0"/>
      <w:marRight w:val="0"/>
      <w:marTop w:val="0"/>
      <w:marBottom w:val="0"/>
      <w:divBdr>
        <w:top w:val="none" w:sz="0" w:space="0" w:color="auto"/>
        <w:left w:val="none" w:sz="0" w:space="0" w:color="auto"/>
        <w:bottom w:val="none" w:sz="0" w:space="0" w:color="auto"/>
        <w:right w:val="none" w:sz="0" w:space="0" w:color="auto"/>
      </w:divBdr>
      <w:divsChild>
        <w:div w:id="779957284">
          <w:marLeft w:val="0"/>
          <w:marRight w:val="0"/>
          <w:marTop w:val="34"/>
          <w:marBottom w:val="34"/>
          <w:divBdr>
            <w:top w:val="none" w:sz="0" w:space="0" w:color="auto"/>
            <w:left w:val="none" w:sz="0" w:space="0" w:color="auto"/>
            <w:bottom w:val="none" w:sz="0" w:space="0" w:color="auto"/>
            <w:right w:val="none" w:sz="0" w:space="0" w:color="auto"/>
          </w:divBdr>
        </w:div>
      </w:divsChild>
    </w:div>
    <w:div w:id="1602639463">
      <w:bodyDiv w:val="1"/>
      <w:marLeft w:val="0"/>
      <w:marRight w:val="0"/>
      <w:marTop w:val="0"/>
      <w:marBottom w:val="0"/>
      <w:divBdr>
        <w:top w:val="none" w:sz="0" w:space="0" w:color="auto"/>
        <w:left w:val="none" w:sz="0" w:space="0" w:color="auto"/>
        <w:bottom w:val="none" w:sz="0" w:space="0" w:color="auto"/>
        <w:right w:val="none" w:sz="0" w:space="0" w:color="auto"/>
      </w:divBdr>
      <w:divsChild>
        <w:div w:id="667756499">
          <w:marLeft w:val="0"/>
          <w:marRight w:val="0"/>
          <w:marTop w:val="120"/>
          <w:marBottom w:val="0"/>
          <w:divBdr>
            <w:top w:val="none" w:sz="0" w:space="0" w:color="auto"/>
            <w:left w:val="none" w:sz="0" w:space="0" w:color="auto"/>
            <w:bottom w:val="none" w:sz="0" w:space="0" w:color="auto"/>
            <w:right w:val="none" w:sz="0" w:space="0" w:color="auto"/>
          </w:divBdr>
        </w:div>
        <w:div w:id="1657487967">
          <w:marLeft w:val="0"/>
          <w:marRight w:val="0"/>
          <w:marTop w:val="120"/>
          <w:marBottom w:val="0"/>
          <w:divBdr>
            <w:top w:val="none" w:sz="0" w:space="0" w:color="auto"/>
            <w:left w:val="none" w:sz="0" w:space="0" w:color="auto"/>
            <w:bottom w:val="none" w:sz="0" w:space="0" w:color="auto"/>
            <w:right w:val="none" w:sz="0" w:space="0" w:color="auto"/>
          </w:divBdr>
        </w:div>
      </w:divsChild>
    </w:div>
    <w:div w:id="1624193685">
      <w:bodyDiv w:val="1"/>
      <w:marLeft w:val="0"/>
      <w:marRight w:val="0"/>
      <w:marTop w:val="0"/>
      <w:marBottom w:val="0"/>
      <w:divBdr>
        <w:top w:val="none" w:sz="0" w:space="0" w:color="auto"/>
        <w:left w:val="none" w:sz="0" w:space="0" w:color="auto"/>
        <w:bottom w:val="none" w:sz="0" w:space="0" w:color="auto"/>
        <w:right w:val="none" w:sz="0" w:space="0" w:color="auto"/>
      </w:divBdr>
    </w:div>
    <w:div w:id="1645544523">
      <w:bodyDiv w:val="1"/>
      <w:marLeft w:val="0"/>
      <w:marRight w:val="0"/>
      <w:marTop w:val="0"/>
      <w:marBottom w:val="0"/>
      <w:divBdr>
        <w:top w:val="none" w:sz="0" w:space="0" w:color="auto"/>
        <w:left w:val="none" w:sz="0" w:space="0" w:color="auto"/>
        <w:bottom w:val="none" w:sz="0" w:space="0" w:color="auto"/>
        <w:right w:val="none" w:sz="0" w:space="0" w:color="auto"/>
      </w:divBdr>
    </w:div>
    <w:div w:id="1657759003">
      <w:bodyDiv w:val="1"/>
      <w:marLeft w:val="0"/>
      <w:marRight w:val="0"/>
      <w:marTop w:val="0"/>
      <w:marBottom w:val="0"/>
      <w:divBdr>
        <w:top w:val="none" w:sz="0" w:space="0" w:color="auto"/>
        <w:left w:val="none" w:sz="0" w:space="0" w:color="auto"/>
        <w:bottom w:val="none" w:sz="0" w:space="0" w:color="auto"/>
        <w:right w:val="none" w:sz="0" w:space="0" w:color="auto"/>
      </w:divBdr>
    </w:div>
    <w:div w:id="1676683245">
      <w:bodyDiv w:val="1"/>
      <w:marLeft w:val="0"/>
      <w:marRight w:val="0"/>
      <w:marTop w:val="0"/>
      <w:marBottom w:val="0"/>
      <w:divBdr>
        <w:top w:val="none" w:sz="0" w:space="0" w:color="auto"/>
        <w:left w:val="none" w:sz="0" w:space="0" w:color="auto"/>
        <w:bottom w:val="none" w:sz="0" w:space="0" w:color="auto"/>
        <w:right w:val="none" w:sz="0" w:space="0" w:color="auto"/>
      </w:divBdr>
      <w:divsChild>
        <w:div w:id="512651865">
          <w:marLeft w:val="0"/>
          <w:marRight w:val="0"/>
          <w:marTop w:val="0"/>
          <w:marBottom w:val="0"/>
          <w:divBdr>
            <w:top w:val="none" w:sz="0" w:space="0" w:color="auto"/>
            <w:left w:val="none" w:sz="0" w:space="0" w:color="auto"/>
            <w:bottom w:val="none" w:sz="0" w:space="0" w:color="auto"/>
            <w:right w:val="none" w:sz="0" w:space="0" w:color="auto"/>
          </w:divBdr>
        </w:div>
      </w:divsChild>
    </w:div>
    <w:div w:id="1676881085">
      <w:bodyDiv w:val="1"/>
      <w:marLeft w:val="0"/>
      <w:marRight w:val="0"/>
      <w:marTop w:val="0"/>
      <w:marBottom w:val="0"/>
      <w:divBdr>
        <w:top w:val="none" w:sz="0" w:space="0" w:color="auto"/>
        <w:left w:val="none" w:sz="0" w:space="0" w:color="auto"/>
        <w:bottom w:val="none" w:sz="0" w:space="0" w:color="auto"/>
        <w:right w:val="none" w:sz="0" w:space="0" w:color="auto"/>
      </w:divBdr>
    </w:div>
    <w:div w:id="1698308611">
      <w:bodyDiv w:val="1"/>
      <w:marLeft w:val="0"/>
      <w:marRight w:val="0"/>
      <w:marTop w:val="0"/>
      <w:marBottom w:val="0"/>
      <w:divBdr>
        <w:top w:val="none" w:sz="0" w:space="0" w:color="auto"/>
        <w:left w:val="none" w:sz="0" w:space="0" w:color="auto"/>
        <w:bottom w:val="none" w:sz="0" w:space="0" w:color="auto"/>
        <w:right w:val="none" w:sz="0" w:space="0" w:color="auto"/>
      </w:divBdr>
    </w:div>
    <w:div w:id="1716806954">
      <w:bodyDiv w:val="1"/>
      <w:marLeft w:val="0"/>
      <w:marRight w:val="0"/>
      <w:marTop w:val="0"/>
      <w:marBottom w:val="0"/>
      <w:divBdr>
        <w:top w:val="none" w:sz="0" w:space="0" w:color="auto"/>
        <w:left w:val="none" w:sz="0" w:space="0" w:color="auto"/>
        <w:bottom w:val="none" w:sz="0" w:space="0" w:color="auto"/>
        <w:right w:val="none" w:sz="0" w:space="0" w:color="auto"/>
      </w:divBdr>
    </w:div>
    <w:div w:id="1743598251">
      <w:bodyDiv w:val="1"/>
      <w:marLeft w:val="0"/>
      <w:marRight w:val="0"/>
      <w:marTop w:val="0"/>
      <w:marBottom w:val="0"/>
      <w:divBdr>
        <w:top w:val="none" w:sz="0" w:space="0" w:color="auto"/>
        <w:left w:val="none" w:sz="0" w:space="0" w:color="auto"/>
        <w:bottom w:val="none" w:sz="0" w:space="0" w:color="auto"/>
        <w:right w:val="none" w:sz="0" w:space="0" w:color="auto"/>
      </w:divBdr>
    </w:div>
    <w:div w:id="1753040474">
      <w:bodyDiv w:val="1"/>
      <w:marLeft w:val="0"/>
      <w:marRight w:val="0"/>
      <w:marTop w:val="0"/>
      <w:marBottom w:val="0"/>
      <w:divBdr>
        <w:top w:val="none" w:sz="0" w:space="0" w:color="auto"/>
        <w:left w:val="none" w:sz="0" w:space="0" w:color="auto"/>
        <w:bottom w:val="none" w:sz="0" w:space="0" w:color="auto"/>
        <w:right w:val="none" w:sz="0" w:space="0" w:color="auto"/>
      </w:divBdr>
    </w:div>
    <w:div w:id="1753433816">
      <w:bodyDiv w:val="1"/>
      <w:marLeft w:val="0"/>
      <w:marRight w:val="0"/>
      <w:marTop w:val="0"/>
      <w:marBottom w:val="0"/>
      <w:divBdr>
        <w:top w:val="none" w:sz="0" w:space="0" w:color="auto"/>
        <w:left w:val="none" w:sz="0" w:space="0" w:color="auto"/>
        <w:bottom w:val="none" w:sz="0" w:space="0" w:color="auto"/>
        <w:right w:val="none" w:sz="0" w:space="0" w:color="auto"/>
      </w:divBdr>
    </w:div>
    <w:div w:id="1754937582">
      <w:bodyDiv w:val="1"/>
      <w:marLeft w:val="0"/>
      <w:marRight w:val="0"/>
      <w:marTop w:val="0"/>
      <w:marBottom w:val="0"/>
      <w:divBdr>
        <w:top w:val="none" w:sz="0" w:space="0" w:color="auto"/>
        <w:left w:val="none" w:sz="0" w:space="0" w:color="auto"/>
        <w:bottom w:val="none" w:sz="0" w:space="0" w:color="auto"/>
        <w:right w:val="none" w:sz="0" w:space="0" w:color="auto"/>
      </w:divBdr>
      <w:divsChild>
        <w:div w:id="1516773891">
          <w:marLeft w:val="0"/>
          <w:marRight w:val="0"/>
          <w:marTop w:val="96"/>
          <w:marBottom w:val="0"/>
          <w:divBdr>
            <w:top w:val="none" w:sz="0" w:space="0" w:color="auto"/>
            <w:left w:val="none" w:sz="0" w:space="0" w:color="auto"/>
            <w:bottom w:val="none" w:sz="0" w:space="0" w:color="auto"/>
            <w:right w:val="none" w:sz="0" w:space="0" w:color="auto"/>
          </w:divBdr>
        </w:div>
      </w:divsChild>
    </w:div>
    <w:div w:id="1780031498">
      <w:bodyDiv w:val="1"/>
      <w:marLeft w:val="0"/>
      <w:marRight w:val="0"/>
      <w:marTop w:val="0"/>
      <w:marBottom w:val="0"/>
      <w:divBdr>
        <w:top w:val="none" w:sz="0" w:space="0" w:color="auto"/>
        <w:left w:val="none" w:sz="0" w:space="0" w:color="auto"/>
        <w:bottom w:val="none" w:sz="0" w:space="0" w:color="auto"/>
        <w:right w:val="none" w:sz="0" w:space="0" w:color="auto"/>
      </w:divBdr>
      <w:divsChild>
        <w:div w:id="114720129">
          <w:marLeft w:val="0"/>
          <w:marRight w:val="0"/>
          <w:marTop w:val="0"/>
          <w:marBottom w:val="0"/>
          <w:divBdr>
            <w:top w:val="none" w:sz="0" w:space="0" w:color="auto"/>
            <w:left w:val="none" w:sz="0" w:space="0" w:color="auto"/>
            <w:bottom w:val="none" w:sz="0" w:space="0" w:color="auto"/>
            <w:right w:val="none" w:sz="0" w:space="0" w:color="auto"/>
          </w:divBdr>
        </w:div>
      </w:divsChild>
    </w:div>
    <w:div w:id="1791898363">
      <w:bodyDiv w:val="1"/>
      <w:marLeft w:val="0"/>
      <w:marRight w:val="0"/>
      <w:marTop w:val="0"/>
      <w:marBottom w:val="0"/>
      <w:divBdr>
        <w:top w:val="none" w:sz="0" w:space="0" w:color="auto"/>
        <w:left w:val="none" w:sz="0" w:space="0" w:color="auto"/>
        <w:bottom w:val="none" w:sz="0" w:space="0" w:color="auto"/>
        <w:right w:val="none" w:sz="0" w:space="0" w:color="auto"/>
      </w:divBdr>
    </w:div>
    <w:div w:id="1793935017">
      <w:bodyDiv w:val="1"/>
      <w:marLeft w:val="0"/>
      <w:marRight w:val="0"/>
      <w:marTop w:val="0"/>
      <w:marBottom w:val="0"/>
      <w:divBdr>
        <w:top w:val="none" w:sz="0" w:space="0" w:color="auto"/>
        <w:left w:val="none" w:sz="0" w:space="0" w:color="auto"/>
        <w:bottom w:val="none" w:sz="0" w:space="0" w:color="auto"/>
        <w:right w:val="none" w:sz="0" w:space="0" w:color="auto"/>
      </w:divBdr>
    </w:div>
    <w:div w:id="1804930525">
      <w:bodyDiv w:val="1"/>
      <w:marLeft w:val="0"/>
      <w:marRight w:val="0"/>
      <w:marTop w:val="0"/>
      <w:marBottom w:val="0"/>
      <w:divBdr>
        <w:top w:val="none" w:sz="0" w:space="0" w:color="auto"/>
        <w:left w:val="none" w:sz="0" w:space="0" w:color="auto"/>
        <w:bottom w:val="none" w:sz="0" w:space="0" w:color="auto"/>
        <w:right w:val="none" w:sz="0" w:space="0" w:color="auto"/>
      </w:divBdr>
      <w:divsChild>
        <w:div w:id="663170471">
          <w:marLeft w:val="0"/>
          <w:marRight w:val="0"/>
          <w:marTop w:val="0"/>
          <w:marBottom w:val="0"/>
          <w:divBdr>
            <w:top w:val="none" w:sz="0" w:space="0" w:color="auto"/>
            <w:left w:val="none" w:sz="0" w:space="0" w:color="auto"/>
            <w:bottom w:val="none" w:sz="0" w:space="0" w:color="auto"/>
            <w:right w:val="none" w:sz="0" w:space="0" w:color="auto"/>
          </w:divBdr>
        </w:div>
      </w:divsChild>
    </w:div>
    <w:div w:id="1824468683">
      <w:bodyDiv w:val="1"/>
      <w:marLeft w:val="0"/>
      <w:marRight w:val="0"/>
      <w:marTop w:val="0"/>
      <w:marBottom w:val="0"/>
      <w:divBdr>
        <w:top w:val="none" w:sz="0" w:space="0" w:color="auto"/>
        <w:left w:val="none" w:sz="0" w:space="0" w:color="auto"/>
        <w:bottom w:val="none" w:sz="0" w:space="0" w:color="auto"/>
        <w:right w:val="none" w:sz="0" w:space="0" w:color="auto"/>
      </w:divBdr>
      <w:divsChild>
        <w:div w:id="1708527610">
          <w:marLeft w:val="330"/>
          <w:marRight w:val="330"/>
          <w:marTop w:val="0"/>
          <w:marBottom w:val="0"/>
          <w:divBdr>
            <w:top w:val="none" w:sz="0" w:space="0" w:color="auto"/>
            <w:left w:val="none" w:sz="0" w:space="0" w:color="auto"/>
            <w:bottom w:val="none" w:sz="0" w:space="0" w:color="auto"/>
            <w:right w:val="none" w:sz="0" w:space="0" w:color="auto"/>
          </w:divBdr>
        </w:div>
        <w:div w:id="2010214013">
          <w:marLeft w:val="330"/>
          <w:marRight w:val="330"/>
          <w:marTop w:val="0"/>
          <w:marBottom w:val="330"/>
          <w:divBdr>
            <w:top w:val="none" w:sz="0" w:space="0" w:color="auto"/>
            <w:left w:val="none" w:sz="0" w:space="0" w:color="auto"/>
            <w:bottom w:val="none" w:sz="0" w:space="0" w:color="auto"/>
            <w:right w:val="none" w:sz="0" w:space="0" w:color="auto"/>
          </w:divBdr>
        </w:div>
      </w:divsChild>
    </w:div>
    <w:div w:id="1849832258">
      <w:bodyDiv w:val="1"/>
      <w:marLeft w:val="0"/>
      <w:marRight w:val="0"/>
      <w:marTop w:val="0"/>
      <w:marBottom w:val="0"/>
      <w:divBdr>
        <w:top w:val="none" w:sz="0" w:space="0" w:color="auto"/>
        <w:left w:val="none" w:sz="0" w:space="0" w:color="auto"/>
        <w:bottom w:val="none" w:sz="0" w:space="0" w:color="auto"/>
        <w:right w:val="none" w:sz="0" w:space="0" w:color="auto"/>
      </w:divBdr>
    </w:div>
    <w:div w:id="1895383858">
      <w:bodyDiv w:val="1"/>
      <w:marLeft w:val="0"/>
      <w:marRight w:val="0"/>
      <w:marTop w:val="0"/>
      <w:marBottom w:val="0"/>
      <w:divBdr>
        <w:top w:val="none" w:sz="0" w:space="0" w:color="auto"/>
        <w:left w:val="none" w:sz="0" w:space="0" w:color="auto"/>
        <w:bottom w:val="none" w:sz="0" w:space="0" w:color="auto"/>
        <w:right w:val="none" w:sz="0" w:space="0" w:color="auto"/>
      </w:divBdr>
    </w:div>
    <w:div w:id="1914316664">
      <w:bodyDiv w:val="1"/>
      <w:marLeft w:val="0"/>
      <w:marRight w:val="0"/>
      <w:marTop w:val="0"/>
      <w:marBottom w:val="0"/>
      <w:divBdr>
        <w:top w:val="none" w:sz="0" w:space="0" w:color="auto"/>
        <w:left w:val="none" w:sz="0" w:space="0" w:color="auto"/>
        <w:bottom w:val="none" w:sz="0" w:space="0" w:color="auto"/>
        <w:right w:val="none" w:sz="0" w:space="0" w:color="auto"/>
      </w:divBdr>
    </w:div>
    <w:div w:id="1922638205">
      <w:bodyDiv w:val="1"/>
      <w:marLeft w:val="0"/>
      <w:marRight w:val="0"/>
      <w:marTop w:val="0"/>
      <w:marBottom w:val="0"/>
      <w:divBdr>
        <w:top w:val="none" w:sz="0" w:space="0" w:color="auto"/>
        <w:left w:val="none" w:sz="0" w:space="0" w:color="auto"/>
        <w:bottom w:val="none" w:sz="0" w:space="0" w:color="auto"/>
        <w:right w:val="none" w:sz="0" w:space="0" w:color="auto"/>
      </w:divBdr>
    </w:div>
    <w:div w:id="1926499339">
      <w:bodyDiv w:val="1"/>
      <w:marLeft w:val="0"/>
      <w:marRight w:val="0"/>
      <w:marTop w:val="0"/>
      <w:marBottom w:val="0"/>
      <w:divBdr>
        <w:top w:val="none" w:sz="0" w:space="0" w:color="auto"/>
        <w:left w:val="none" w:sz="0" w:space="0" w:color="auto"/>
        <w:bottom w:val="none" w:sz="0" w:space="0" w:color="auto"/>
        <w:right w:val="none" w:sz="0" w:space="0" w:color="auto"/>
      </w:divBdr>
    </w:div>
    <w:div w:id="1938752148">
      <w:bodyDiv w:val="1"/>
      <w:marLeft w:val="0"/>
      <w:marRight w:val="0"/>
      <w:marTop w:val="0"/>
      <w:marBottom w:val="0"/>
      <w:divBdr>
        <w:top w:val="none" w:sz="0" w:space="0" w:color="auto"/>
        <w:left w:val="none" w:sz="0" w:space="0" w:color="auto"/>
        <w:bottom w:val="none" w:sz="0" w:space="0" w:color="auto"/>
        <w:right w:val="none" w:sz="0" w:space="0" w:color="auto"/>
      </w:divBdr>
    </w:div>
    <w:div w:id="1947035226">
      <w:bodyDiv w:val="1"/>
      <w:marLeft w:val="0"/>
      <w:marRight w:val="0"/>
      <w:marTop w:val="0"/>
      <w:marBottom w:val="0"/>
      <w:divBdr>
        <w:top w:val="none" w:sz="0" w:space="0" w:color="auto"/>
        <w:left w:val="none" w:sz="0" w:space="0" w:color="auto"/>
        <w:bottom w:val="none" w:sz="0" w:space="0" w:color="auto"/>
        <w:right w:val="none" w:sz="0" w:space="0" w:color="auto"/>
      </w:divBdr>
      <w:divsChild>
        <w:div w:id="1422023055">
          <w:marLeft w:val="0"/>
          <w:marRight w:val="0"/>
          <w:marTop w:val="96"/>
          <w:marBottom w:val="0"/>
          <w:divBdr>
            <w:top w:val="none" w:sz="0" w:space="0" w:color="auto"/>
            <w:left w:val="none" w:sz="0" w:space="0" w:color="auto"/>
            <w:bottom w:val="none" w:sz="0" w:space="0" w:color="auto"/>
            <w:right w:val="none" w:sz="0" w:space="0" w:color="auto"/>
          </w:divBdr>
        </w:div>
      </w:divsChild>
    </w:div>
    <w:div w:id="1973755011">
      <w:bodyDiv w:val="1"/>
      <w:marLeft w:val="0"/>
      <w:marRight w:val="0"/>
      <w:marTop w:val="0"/>
      <w:marBottom w:val="0"/>
      <w:divBdr>
        <w:top w:val="none" w:sz="0" w:space="0" w:color="auto"/>
        <w:left w:val="none" w:sz="0" w:space="0" w:color="auto"/>
        <w:bottom w:val="none" w:sz="0" w:space="0" w:color="auto"/>
        <w:right w:val="none" w:sz="0" w:space="0" w:color="auto"/>
      </w:divBdr>
    </w:div>
    <w:div w:id="2028407874">
      <w:bodyDiv w:val="1"/>
      <w:marLeft w:val="0"/>
      <w:marRight w:val="0"/>
      <w:marTop w:val="0"/>
      <w:marBottom w:val="0"/>
      <w:divBdr>
        <w:top w:val="none" w:sz="0" w:space="0" w:color="auto"/>
        <w:left w:val="none" w:sz="0" w:space="0" w:color="auto"/>
        <w:bottom w:val="none" w:sz="0" w:space="0" w:color="auto"/>
        <w:right w:val="none" w:sz="0" w:space="0" w:color="auto"/>
      </w:divBdr>
    </w:div>
    <w:div w:id="2032412638">
      <w:bodyDiv w:val="1"/>
      <w:marLeft w:val="0"/>
      <w:marRight w:val="0"/>
      <w:marTop w:val="0"/>
      <w:marBottom w:val="0"/>
      <w:divBdr>
        <w:top w:val="none" w:sz="0" w:space="0" w:color="auto"/>
        <w:left w:val="none" w:sz="0" w:space="0" w:color="auto"/>
        <w:bottom w:val="none" w:sz="0" w:space="0" w:color="auto"/>
        <w:right w:val="none" w:sz="0" w:space="0" w:color="auto"/>
      </w:divBdr>
    </w:div>
    <w:div w:id="2033335060">
      <w:bodyDiv w:val="1"/>
      <w:marLeft w:val="0"/>
      <w:marRight w:val="0"/>
      <w:marTop w:val="0"/>
      <w:marBottom w:val="0"/>
      <w:divBdr>
        <w:top w:val="none" w:sz="0" w:space="0" w:color="auto"/>
        <w:left w:val="none" w:sz="0" w:space="0" w:color="auto"/>
        <w:bottom w:val="none" w:sz="0" w:space="0" w:color="auto"/>
        <w:right w:val="none" w:sz="0" w:space="0" w:color="auto"/>
      </w:divBdr>
      <w:divsChild>
        <w:div w:id="409809141">
          <w:marLeft w:val="0"/>
          <w:marRight w:val="0"/>
          <w:marTop w:val="0"/>
          <w:marBottom w:val="0"/>
          <w:divBdr>
            <w:top w:val="none" w:sz="0" w:space="0" w:color="auto"/>
            <w:left w:val="none" w:sz="0" w:space="0" w:color="auto"/>
            <w:bottom w:val="none" w:sz="0" w:space="0" w:color="auto"/>
            <w:right w:val="none" w:sz="0" w:space="0" w:color="auto"/>
          </w:divBdr>
          <w:divsChild>
            <w:div w:id="207228402">
              <w:marLeft w:val="0"/>
              <w:marRight w:val="0"/>
              <w:marTop w:val="0"/>
              <w:marBottom w:val="0"/>
              <w:divBdr>
                <w:top w:val="single" w:sz="2" w:space="0" w:color="EFEFEF"/>
                <w:left w:val="none" w:sz="0" w:space="0" w:color="auto"/>
                <w:bottom w:val="none" w:sz="0" w:space="0" w:color="auto"/>
                <w:right w:val="none" w:sz="0" w:space="0" w:color="auto"/>
              </w:divBdr>
              <w:divsChild>
                <w:div w:id="397480618">
                  <w:marLeft w:val="0"/>
                  <w:marRight w:val="0"/>
                  <w:marTop w:val="0"/>
                  <w:marBottom w:val="0"/>
                  <w:divBdr>
                    <w:top w:val="single" w:sz="6" w:space="0" w:color="D8D8D8"/>
                    <w:left w:val="none" w:sz="0" w:space="0" w:color="auto"/>
                    <w:bottom w:val="none" w:sz="0" w:space="0" w:color="D8D8D8"/>
                    <w:right w:val="none" w:sz="0" w:space="0" w:color="auto"/>
                  </w:divBdr>
                  <w:divsChild>
                    <w:div w:id="1570457125">
                      <w:marLeft w:val="0"/>
                      <w:marRight w:val="0"/>
                      <w:marTop w:val="0"/>
                      <w:marBottom w:val="0"/>
                      <w:divBdr>
                        <w:top w:val="none" w:sz="0" w:space="0" w:color="auto"/>
                        <w:left w:val="none" w:sz="0" w:space="0" w:color="auto"/>
                        <w:bottom w:val="none" w:sz="0" w:space="0" w:color="auto"/>
                        <w:right w:val="none" w:sz="0" w:space="0" w:color="auto"/>
                      </w:divBdr>
                      <w:divsChild>
                        <w:div w:id="909466416">
                          <w:marLeft w:val="0"/>
                          <w:marRight w:val="0"/>
                          <w:marTop w:val="0"/>
                          <w:marBottom w:val="0"/>
                          <w:divBdr>
                            <w:top w:val="none" w:sz="0" w:space="0" w:color="auto"/>
                            <w:left w:val="none" w:sz="0" w:space="0" w:color="auto"/>
                            <w:bottom w:val="none" w:sz="0" w:space="0" w:color="auto"/>
                            <w:right w:val="none" w:sz="0" w:space="0" w:color="auto"/>
                          </w:divBdr>
                          <w:divsChild>
                            <w:div w:id="1909145035">
                              <w:marLeft w:val="0"/>
                              <w:marRight w:val="0"/>
                              <w:marTop w:val="0"/>
                              <w:marBottom w:val="0"/>
                              <w:divBdr>
                                <w:top w:val="none" w:sz="0" w:space="0" w:color="auto"/>
                                <w:left w:val="none" w:sz="0" w:space="0" w:color="auto"/>
                                <w:bottom w:val="none" w:sz="0" w:space="0" w:color="auto"/>
                                <w:right w:val="none" w:sz="0" w:space="0" w:color="auto"/>
                              </w:divBdr>
                              <w:divsChild>
                                <w:div w:id="695542993">
                                  <w:marLeft w:val="0"/>
                                  <w:marRight w:val="0"/>
                                  <w:marTop w:val="0"/>
                                  <w:marBottom w:val="0"/>
                                  <w:divBdr>
                                    <w:top w:val="none" w:sz="0" w:space="0" w:color="auto"/>
                                    <w:left w:val="none" w:sz="0" w:space="0" w:color="auto"/>
                                    <w:bottom w:val="none" w:sz="0" w:space="0" w:color="auto"/>
                                    <w:right w:val="none" w:sz="0" w:space="0" w:color="auto"/>
                                  </w:divBdr>
                                  <w:divsChild>
                                    <w:div w:id="281229457">
                                      <w:marLeft w:val="609"/>
                                      <w:marRight w:val="0"/>
                                      <w:marTop w:val="0"/>
                                      <w:marBottom w:val="0"/>
                                      <w:divBdr>
                                        <w:top w:val="none" w:sz="0" w:space="0" w:color="auto"/>
                                        <w:left w:val="none" w:sz="0" w:space="0" w:color="auto"/>
                                        <w:bottom w:val="none" w:sz="0" w:space="0" w:color="auto"/>
                                        <w:right w:val="none" w:sz="0" w:space="0" w:color="auto"/>
                                      </w:divBdr>
                                      <w:divsChild>
                                        <w:div w:id="1815443650">
                                          <w:marLeft w:val="0"/>
                                          <w:marRight w:val="0"/>
                                          <w:marTop w:val="0"/>
                                          <w:marBottom w:val="0"/>
                                          <w:divBdr>
                                            <w:top w:val="none" w:sz="0" w:space="0" w:color="auto"/>
                                            <w:left w:val="none" w:sz="0" w:space="0" w:color="auto"/>
                                            <w:bottom w:val="none" w:sz="0" w:space="0" w:color="auto"/>
                                            <w:right w:val="none" w:sz="0" w:space="0" w:color="auto"/>
                                          </w:divBdr>
                                          <w:divsChild>
                                            <w:div w:id="1027292354">
                                              <w:marLeft w:val="0"/>
                                              <w:marRight w:val="0"/>
                                              <w:marTop w:val="0"/>
                                              <w:marBottom w:val="0"/>
                                              <w:divBdr>
                                                <w:top w:val="none" w:sz="0" w:space="0" w:color="auto"/>
                                                <w:left w:val="none" w:sz="0" w:space="0" w:color="auto"/>
                                                <w:bottom w:val="none" w:sz="0" w:space="0" w:color="auto"/>
                                                <w:right w:val="none" w:sz="0" w:space="0" w:color="auto"/>
                                              </w:divBdr>
                                            </w:div>
                                            <w:div w:id="1471289457">
                                              <w:marLeft w:val="-14"/>
                                              <w:marRight w:val="0"/>
                                              <w:marTop w:val="0"/>
                                              <w:marBottom w:val="0"/>
                                              <w:divBdr>
                                                <w:top w:val="none" w:sz="0" w:space="0" w:color="auto"/>
                                                <w:left w:val="none" w:sz="0" w:space="0" w:color="auto"/>
                                                <w:bottom w:val="none" w:sz="0" w:space="0" w:color="auto"/>
                                                <w:right w:val="none" w:sz="0" w:space="0" w:color="auto"/>
                                              </w:divBdr>
                                            </w:div>
                                            <w:div w:id="1570506268">
                                              <w:marLeft w:val="0"/>
                                              <w:marRight w:val="0"/>
                                              <w:marTop w:val="0"/>
                                              <w:marBottom w:val="0"/>
                                              <w:divBdr>
                                                <w:top w:val="none" w:sz="0" w:space="0" w:color="auto"/>
                                                <w:left w:val="none" w:sz="0" w:space="0" w:color="auto"/>
                                                <w:bottom w:val="none" w:sz="0" w:space="0" w:color="auto"/>
                                                <w:right w:val="none" w:sz="0" w:space="0" w:color="auto"/>
                                              </w:divBdr>
                                              <w:divsChild>
                                                <w:div w:id="751780637">
                                                  <w:marLeft w:val="0"/>
                                                  <w:marRight w:val="0"/>
                                                  <w:marTop w:val="0"/>
                                                  <w:marBottom w:val="0"/>
                                                  <w:divBdr>
                                                    <w:top w:val="none" w:sz="0" w:space="0" w:color="auto"/>
                                                    <w:left w:val="none" w:sz="0" w:space="0" w:color="auto"/>
                                                    <w:bottom w:val="none" w:sz="0" w:space="0" w:color="auto"/>
                                                    <w:right w:val="none" w:sz="0" w:space="0" w:color="auto"/>
                                                  </w:divBdr>
                                                </w:div>
                                              </w:divsChild>
                                            </w:div>
                                            <w:div w:id="1995067430">
                                              <w:marLeft w:val="69"/>
                                              <w:marRight w:val="0"/>
                                              <w:marTop w:val="0"/>
                                              <w:marBottom w:val="0"/>
                                              <w:divBdr>
                                                <w:top w:val="none" w:sz="0" w:space="0" w:color="auto"/>
                                                <w:left w:val="none" w:sz="0" w:space="0" w:color="auto"/>
                                                <w:bottom w:val="none" w:sz="0" w:space="0" w:color="auto"/>
                                                <w:right w:val="none" w:sz="0" w:space="0" w:color="auto"/>
                                              </w:divBdr>
                                            </w:div>
                                          </w:divsChild>
                                        </w:div>
                                        <w:div w:id="2078284265">
                                          <w:marLeft w:val="0"/>
                                          <w:marRight w:val="208"/>
                                          <w:marTop w:val="69"/>
                                          <w:marBottom w:val="0"/>
                                          <w:divBdr>
                                            <w:top w:val="none" w:sz="0" w:space="0" w:color="auto"/>
                                            <w:left w:val="none" w:sz="0" w:space="0" w:color="auto"/>
                                            <w:bottom w:val="none" w:sz="0" w:space="0" w:color="auto"/>
                                            <w:right w:val="none" w:sz="0" w:space="0" w:color="auto"/>
                                          </w:divBdr>
                                          <w:divsChild>
                                            <w:div w:id="251473903">
                                              <w:marLeft w:val="0"/>
                                              <w:marRight w:val="0"/>
                                              <w:marTop w:val="0"/>
                                              <w:marBottom w:val="0"/>
                                              <w:divBdr>
                                                <w:top w:val="none" w:sz="0" w:space="0" w:color="auto"/>
                                                <w:left w:val="none" w:sz="0" w:space="0" w:color="auto"/>
                                                <w:bottom w:val="none" w:sz="0" w:space="0" w:color="auto"/>
                                                <w:right w:val="none" w:sz="0" w:space="0" w:color="auto"/>
                                              </w:divBdr>
                                              <w:divsChild>
                                                <w:div w:id="1158501896">
                                                  <w:marLeft w:val="0"/>
                                                  <w:marRight w:val="0"/>
                                                  <w:marTop w:val="0"/>
                                                  <w:marBottom w:val="0"/>
                                                  <w:divBdr>
                                                    <w:top w:val="none" w:sz="0" w:space="0" w:color="auto"/>
                                                    <w:left w:val="none" w:sz="0" w:space="0" w:color="auto"/>
                                                    <w:bottom w:val="none" w:sz="0" w:space="0" w:color="auto"/>
                                                    <w:right w:val="none" w:sz="0" w:space="0" w:color="auto"/>
                                                  </w:divBdr>
                                                  <w:divsChild>
                                                    <w:div w:id="91778991">
                                                      <w:marLeft w:val="0"/>
                                                      <w:marRight w:val="0"/>
                                                      <w:marTop w:val="0"/>
                                                      <w:marBottom w:val="0"/>
                                                      <w:divBdr>
                                                        <w:top w:val="none" w:sz="0" w:space="0" w:color="auto"/>
                                                        <w:left w:val="none" w:sz="0" w:space="0" w:color="auto"/>
                                                        <w:bottom w:val="none" w:sz="0" w:space="0" w:color="auto"/>
                                                        <w:right w:val="none" w:sz="0" w:space="0" w:color="auto"/>
                                                      </w:divBdr>
                                                      <w:divsChild>
                                                        <w:div w:id="450445273">
                                                          <w:marLeft w:val="0"/>
                                                          <w:marRight w:val="0"/>
                                                          <w:marTop w:val="0"/>
                                                          <w:marBottom w:val="0"/>
                                                          <w:divBdr>
                                                            <w:top w:val="none" w:sz="0" w:space="0" w:color="auto"/>
                                                            <w:left w:val="none" w:sz="0" w:space="0" w:color="auto"/>
                                                            <w:bottom w:val="none" w:sz="0" w:space="0" w:color="auto"/>
                                                            <w:right w:val="none" w:sz="0" w:space="0" w:color="auto"/>
                                                          </w:divBdr>
                                                          <w:divsChild>
                                                            <w:div w:id="888690404">
                                                              <w:marLeft w:val="0"/>
                                                              <w:marRight w:val="0"/>
                                                              <w:marTop w:val="0"/>
                                                              <w:marBottom w:val="0"/>
                                                              <w:divBdr>
                                                                <w:top w:val="none" w:sz="0" w:space="0" w:color="auto"/>
                                                                <w:left w:val="none" w:sz="0" w:space="0" w:color="auto"/>
                                                                <w:bottom w:val="none" w:sz="0" w:space="0" w:color="auto"/>
                                                                <w:right w:val="none" w:sz="0" w:space="0" w:color="auto"/>
                                                              </w:divBdr>
                                                            </w:div>
                                                            <w:div w:id="1341010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39931092">
          <w:marLeft w:val="0"/>
          <w:marRight w:val="0"/>
          <w:marTop w:val="0"/>
          <w:marBottom w:val="0"/>
          <w:divBdr>
            <w:top w:val="none" w:sz="0" w:space="0" w:color="auto"/>
            <w:left w:val="none" w:sz="0" w:space="0" w:color="auto"/>
            <w:bottom w:val="none" w:sz="0" w:space="0" w:color="auto"/>
            <w:right w:val="none" w:sz="0" w:space="0" w:color="auto"/>
          </w:divBdr>
          <w:divsChild>
            <w:div w:id="1804230297">
              <w:marLeft w:val="0"/>
              <w:marRight w:val="0"/>
              <w:marTop w:val="0"/>
              <w:marBottom w:val="0"/>
              <w:divBdr>
                <w:top w:val="single" w:sz="2" w:space="0" w:color="EFEFEF"/>
                <w:left w:val="none" w:sz="0" w:space="0" w:color="auto"/>
                <w:bottom w:val="none" w:sz="0" w:space="0" w:color="auto"/>
                <w:right w:val="none" w:sz="0" w:space="0" w:color="auto"/>
              </w:divBdr>
              <w:divsChild>
                <w:div w:id="646860812">
                  <w:marLeft w:val="0"/>
                  <w:marRight w:val="0"/>
                  <w:marTop w:val="0"/>
                  <w:marBottom w:val="0"/>
                  <w:divBdr>
                    <w:top w:val="single" w:sz="6" w:space="0" w:color="D8D8D8"/>
                    <w:left w:val="none" w:sz="0" w:space="0" w:color="auto"/>
                    <w:bottom w:val="none" w:sz="0" w:space="0" w:color="D8D8D8"/>
                    <w:right w:val="none" w:sz="0" w:space="0" w:color="auto"/>
                  </w:divBdr>
                  <w:divsChild>
                    <w:div w:id="704870513">
                      <w:marLeft w:val="0"/>
                      <w:marRight w:val="0"/>
                      <w:marTop w:val="0"/>
                      <w:marBottom w:val="0"/>
                      <w:divBdr>
                        <w:top w:val="none" w:sz="0" w:space="0" w:color="auto"/>
                        <w:left w:val="none" w:sz="0" w:space="0" w:color="auto"/>
                        <w:bottom w:val="none" w:sz="0" w:space="0" w:color="auto"/>
                        <w:right w:val="none" w:sz="0" w:space="0" w:color="auto"/>
                      </w:divBdr>
                      <w:divsChild>
                        <w:div w:id="1527984409">
                          <w:marLeft w:val="0"/>
                          <w:marRight w:val="0"/>
                          <w:marTop w:val="0"/>
                          <w:marBottom w:val="0"/>
                          <w:divBdr>
                            <w:top w:val="none" w:sz="0" w:space="0" w:color="auto"/>
                            <w:left w:val="none" w:sz="0" w:space="0" w:color="auto"/>
                            <w:bottom w:val="none" w:sz="0" w:space="0" w:color="auto"/>
                            <w:right w:val="none" w:sz="0" w:space="0" w:color="auto"/>
                          </w:divBdr>
                          <w:divsChild>
                            <w:div w:id="1610697535">
                              <w:marLeft w:val="0"/>
                              <w:marRight w:val="0"/>
                              <w:marTop w:val="0"/>
                              <w:marBottom w:val="0"/>
                              <w:divBdr>
                                <w:top w:val="none" w:sz="0" w:space="0" w:color="auto"/>
                                <w:left w:val="none" w:sz="0" w:space="0" w:color="auto"/>
                                <w:bottom w:val="none" w:sz="0" w:space="0" w:color="auto"/>
                                <w:right w:val="none" w:sz="0" w:space="0" w:color="auto"/>
                              </w:divBdr>
                              <w:divsChild>
                                <w:div w:id="514030777">
                                  <w:marLeft w:val="0"/>
                                  <w:marRight w:val="0"/>
                                  <w:marTop w:val="0"/>
                                  <w:marBottom w:val="0"/>
                                  <w:divBdr>
                                    <w:top w:val="none" w:sz="0" w:space="0" w:color="auto"/>
                                    <w:left w:val="none" w:sz="0" w:space="0" w:color="auto"/>
                                    <w:bottom w:val="none" w:sz="0" w:space="0" w:color="auto"/>
                                    <w:right w:val="none" w:sz="0" w:space="0" w:color="auto"/>
                                  </w:divBdr>
                                  <w:divsChild>
                                    <w:div w:id="618611757">
                                      <w:marLeft w:val="0"/>
                                      <w:marRight w:val="0"/>
                                      <w:marTop w:val="0"/>
                                      <w:marBottom w:val="0"/>
                                      <w:divBdr>
                                        <w:top w:val="none" w:sz="0" w:space="0" w:color="auto"/>
                                        <w:left w:val="none" w:sz="0" w:space="0" w:color="auto"/>
                                        <w:bottom w:val="none" w:sz="0" w:space="0" w:color="auto"/>
                                        <w:right w:val="none" w:sz="0" w:space="0" w:color="auto"/>
                                      </w:divBdr>
                                      <w:divsChild>
                                        <w:div w:id="832526830">
                                          <w:marLeft w:val="0"/>
                                          <w:marRight w:val="0"/>
                                          <w:marTop w:val="0"/>
                                          <w:marBottom w:val="0"/>
                                          <w:divBdr>
                                            <w:top w:val="none" w:sz="0" w:space="0" w:color="auto"/>
                                            <w:left w:val="none" w:sz="0" w:space="0" w:color="auto"/>
                                            <w:bottom w:val="none" w:sz="0" w:space="0" w:color="auto"/>
                                            <w:right w:val="none" w:sz="0" w:space="0" w:color="auto"/>
                                          </w:divBdr>
                                        </w:div>
                                      </w:divsChild>
                                    </w:div>
                                    <w:div w:id="820578062">
                                      <w:marLeft w:val="609"/>
                                      <w:marRight w:val="0"/>
                                      <w:marTop w:val="0"/>
                                      <w:marBottom w:val="0"/>
                                      <w:divBdr>
                                        <w:top w:val="none" w:sz="0" w:space="0" w:color="auto"/>
                                        <w:left w:val="none" w:sz="0" w:space="0" w:color="auto"/>
                                        <w:bottom w:val="none" w:sz="0" w:space="0" w:color="auto"/>
                                        <w:right w:val="none" w:sz="0" w:space="0" w:color="auto"/>
                                      </w:divBdr>
                                      <w:divsChild>
                                        <w:div w:id="2035956775">
                                          <w:marLeft w:val="0"/>
                                          <w:marRight w:val="208"/>
                                          <w:marTop w:val="69"/>
                                          <w:marBottom w:val="0"/>
                                          <w:divBdr>
                                            <w:top w:val="none" w:sz="0" w:space="0" w:color="auto"/>
                                            <w:left w:val="none" w:sz="0" w:space="0" w:color="auto"/>
                                            <w:bottom w:val="none" w:sz="0" w:space="0" w:color="auto"/>
                                            <w:right w:val="none" w:sz="0" w:space="0" w:color="auto"/>
                                          </w:divBdr>
                                          <w:divsChild>
                                            <w:div w:id="375661006">
                                              <w:marLeft w:val="0"/>
                                              <w:marRight w:val="0"/>
                                              <w:marTop w:val="0"/>
                                              <w:marBottom w:val="0"/>
                                              <w:divBdr>
                                                <w:top w:val="none" w:sz="0" w:space="0" w:color="auto"/>
                                                <w:left w:val="none" w:sz="0" w:space="0" w:color="auto"/>
                                                <w:bottom w:val="none" w:sz="0" w:space="0" w:color="auto"/>
                                                <w:right w:val="none" w:sz="0" w:space="0" w:color="auto"/>
                                              </w:divBdr>
                                              <w:divsChild>
                                                <w:div w:id="1930696489">
                                                  <w:marLeft w:val="0"/>
                                                  <w:marRight w:val="0"/>
                                                  <w:marTop w:val="0"/>
                                                  <w:marBottom w:val="0"/>
                                                  <w:divBdr>
                                                    <w:top w:val="none" w:sz="0" w:space="0" w:color="auto"/>
                                                    <w:left w:val="none" w:sz="0" w:space="0" w:color="auto"/>
                                                    <w:bottom w:val="none" w:sz="0" w:space="0" w:color="auto"/>
                                                    <w:right w:val="none" w:sz="0" w:space="0" w:color="auto"/>
                                                  </w:divBdr>
                                                  <w:divsChild>
                                                    <w:div w:id="888613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679021">
                                          <w:marLeft w:val="0"/>
                                          <w:marRight w:val="0"/>
                                          <w:marTop w:val="0"/>
                                          <w:marBottom w:val="0"/>
                                          <w:divBdr>
                                            <w:top w:val="none" w:sz="0" w:space="0" w:color="auto"/>
                                            <w:left w:val="none" w:sz="0" w:space="0" w:color="auto"/>
                                            <w:bottom w:val="none" w:sz="0" w:space="0" w:color="auto"/>
                                            <w:right w:val="none" w:sz="0" w:space="0" w:color="auto"/>
                                          </w:divBdr>
                                          <w:divsChild>
                                            <w:div w:id="217975721">
                                              <w:marLeft w:val="0"/>
                                              <w:marRight w:val="0"/>
                                              <w:marTop w:val="0"/>
                                              <w:marBottom w:val="0"/>
                                              <w:divBdr>
                                                <w:top w:val="none" w:sz="0" w:space="0" w:color="auto"/>
                                                <w:left w:val="none" w:sz="0" w:space="0" w:color="auto"/>
                                                <w:bottom w:val="none" w:sz="0" w:space="0" w:color="auto"/>
                                                <w:right w:val="none" w:sz="0" w:space="0" w:color="auto"/>
                                              </w:divBdr>
                                              <w:divsChild>
                                                <w:div w:id="146635715">
                                                  <w:marLeft w:val="0"/>
                                                  <w:marRight w:val="0"/>
                                                  <w:marTop w:val="0"/>
                                                  <w:marBottom w:val="0"/>
                                                  <w:divBdr>
                                                    <w:top w:val="none" w:sz="0" w:space="0" w:color="auto"/>
                                                    <w:left w:val="none" w:sz="0" w:space="0" w:color="auto"/>
                                                    <w:bottom w:val="none" w:sz="0" w:space="0" w:color="auto"/>
                                                    <w:right w:val="none" w:sz="0" w:space="0" w:color="auto"/>
                                                  </w:divBdr>
                                                </w:div>
                                              </w:divsChild>
                                            </w:div>
                                            <w:div w:id="446973560">
                                              <w:marLeft w:val="69"/>
                                              <w:marRight w:val="0"/>
                                              <w:marTop w:val="0"/>
                                              <w:marBottom w:val="0"/>
                                              <w:divBdr>
                                                <w:top w:val="none" w:sz="0" w:space="0" w:color="auto"/>
                                                <w:left w:val="none" w:sz="0" w:space="0" w:color="auto"/>
                                                <w:bottom w:val="none" w:sz="0" w:space="0" w:color="auto"/>
                                                <w:right w:val="none" w:sz="0" w:space="0" w:color="auto"/>
                                              </w:divBdr>
                                            </w:div>
                                            <w:div w:id="954364940">
                                              <w:marLeft w:val="0"/>
                                              <w:marRight w:val="0"/>
                                              <w:marTop w:val="0"/>
                                              <w:marBottom w:val="0"/>
                                              <w:divBdr>
                                                <w:top w:val="none" w:sz="0" w:space="0" w:color="auto"/>
                                                <w:left w:val="none" w:sz="0" w:space="0" w:color="auto"/>
                                                <w:bottom w:val="none" w:sz="0" w:space="0" w:color="auto"/>
                                                <w:right w:val="none" w:sz="0" w:space="0" w:color="auto"/>
                                              </w:divBdr>
                                            </w:div>
                                            <w:div w:id="1832405259">
                                              <w:marLeft w:val="-14"/>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44599619">
      <w:bodyDiv w:val="1"/>
      <w:marLeft w:val="0"/>
      <w:marRight w:val="0"/>
      <w:marTop w:val="0"/>
      <w:marBottom w:val="0"/>
      <w:divBdr>
        <w:top w:val="none" w:sz="0" w:space="0" w:color="auto"/>
        <w:left w:val="none" w:sz="0" w:space="0" w:color="auto"/>
        <w:bottom w:val="none" w:sz="0" w:space="0" w:color="auto"/>
        <w:right w:val="none" w:sz="0" w:space="0" w:color="auto"/>
      </w:divBdr>
    </w:div>
    <w:div w:id="2048025065">
      <w:bodyDiv w:val="1"/>
      <w:marLeft w:val="0"/>
      <w:marRight w:val="0"/>
      <w:marTop w:val="0"/>
      <w:marBottom w:val="0"/>
      <w:divBdr>
        <w:top w:val="none" w:sz="0" w:space="0" w:color="auto"/>
        <w:left w:val="none" w:sz="0" w:space="0" w:color="auto"/>
        <w:bottom w:val="none" w:sz="0" w:space="0" w:color="auto"/>
        <w:right w:val="none" w:sz="0" w:space="0" w:color="auto"/>
      </w:divBdr>
    </w:div>
    <w:div w:id="2055425088">
      <w:bodyDiv w:val="1"/>
      <w:marLeft w:val="0"/>
      <w:marRight w:val="0"/>
      <w:marTop w:val="0"/>
      <w:marBottom w:val="0"/>
      <w:divBdr>
        <w:top w:val="none" w:sz="0" w:space="0" w:color="auto"/>
        <w:left w:val="none" w:sz="0" w:space="0" w:color="auto"/>
        <w:bottom w:val="none" w:sz="0" w:space="0" w:color="auto"/>
        <w:right w:val="none" w:sz="0" w:space="0" w:color="auto"/>
      </w:divBdr>
    </w:div>
    <w:div w:id="2075155304">
      <w:bodyDiv w:val="1"/>
      <w:marLeft w:val="0"/>
      <w:marRight w:val="0"/>
      <w:marTop w:val="0"/>
      <w:marBottom w:val="0"/>
      <w:divBdr>
        <w:top w:val="none" w:sz="0" w:space="0" w:color="auto"/>
        <w:left w:val="none" w:sz="0" w:space="0" w:color="auto"/>
        <w:bottom w:val="none" w:sz="0" w:space="0" w:color="auto"/>
        <w:right w:val="none" w:sz="0" w:space="0" w:color="auto"/>
      </w:divBdr>
    </w:div>
    <w:div w:id="2079016077">
      <w:bodyDiv w:val="1"/>
      <w:marLeft w:val="0"/>
      <w:marRight w:val="0"/>
      <w:marTop w:val="0"/>
      <w:marBottom w:val="0"/>
      <w:divBdr>
        <w:top w:val="none" w:sz="0" w:space="0" w:color="auto"/>
        <w:left w:val="none" w:sz="0" w:space="0" w:color="auto"/>
        <w:bottom w:val="none" w:sz="0" w:space="0" w:color="auto"/>
        <w:right w:val="none" w:sz="0" w:space="0" w:color="auto"/>
      </w:divBdr>
    </w:div>
    <w:div w:id="2092463351">
      <w:bodyDiv w:val="1"/>
      <w:marLeft w:val="0"/>
      <w:marRight w:val="0"/>
      <w:marTop w:val="0"/>
      <w:marBottom w:val="0"/>
      <w:divBdr>
        <w:top w:val="none" w:sz="0" w:space="0" w:color="auto"/>
        <w:left w:val="none" w:sz="0" w:space="0" w:color="auto"/>
        <w:bottom w:val="none" w:sz="0" w:space="0" w:color="auto"/>
        <w:right w:val="none" w:sz="0" w:space="0" w:color="auto"/>
      </w:divBdr>
    </w:div>
    <w:div w:id="2108033936">
      <w:bodyDiv w:val="1"/>
      <w:marLeft w:val="0"/>
      <w:marRight w:val="0"/>
      <w:marTop w:val="0"/>
      <w:marBottom w:val="0"/>
      <w:divBdr>
        <w:top w:val="none" w:sz="0" w:space="0" w:color="auto"/>
        <w:left w:val="none" w:sz="0" w:space="0" w:color="auto"/>
        <w:bottom w:val="none" w:sz="0" w:space="0" w:color="auto"/>
        <w:right w:val="none" w:sz="0" w:space="0" w:color="auto"/>
      </w:divBdr>
    </w:div>
    <w:div w:id="2139566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ncbi.nlm.nih.gov/pubmed/?term=Baraz%20S%5BAuthor%5D&amp;cauthor=true&amp;cauthor_uid=25389489" TargetMode="External"/><Relationship Id="rId299" Type="http://schemas.openxmlformats.org/officeDocument/2006/relationships/hyperlink" Target="http://www.ncbi.nlm.nih.gov/pubmed/?term=Nerbass%20FB%5BAuthor%5D&amp;cauthor=true&amp;cauthor_uid=21103674" TargetMode="External"/><Relationship Id="rId21" Type="http://schemas.openxmlformats.org/officeDocument/2006/relationships/hyperlink" Target="https://www.ncbi.nlm.nih.gov/pubmed/?term=Okopie%C5%84%20B%5BAuthor%5D&amp;cauthor=true&amp;cauthor_uid=26039027" TargetMode="External"/><Relationship Id="rId63" Type="http://schemas.openxmlformats.org/officeDocument/2006/relationships/image" Target="media/image9.emf"/><Relationship Id="rId159" Type="http://schemas.openxmlformats.org/officeDocument/2006/relationships/hyperlink" Target="https://www.ncbi.nlm.nih.gov/pubmed/26997377" TargetMode="External"/><Relationship Id="rId324" Type="http://schemas.openxmlformats.org/officeDocument/2006/relationships/hyperlink" Target="http://dx.doi.org/10.1037/0003-066x.58.1.36" TargetMode="External"/><Relationship Id="rId366" Type="http://schemas.openxmlformats.org/officeDocument/2006/relationships/hyperlink" Target="https://www.ncbi.nlm.nih.gov/pubmed/?term=Doven%20MM%5BAuthor%5D&amp;cauthor=true&amp;cauthor_uid=12753108" TargetMode="External"/><Relationship Id="rId170" Type="http://schemas.openxmlformats.org/officeDocument/2006/relationships/hyperlink" Target="http://doi.org/10.1186/1471-2369-14-230" TargetMode="External"/><Relationship Id="rId226" Type="http://schemas.openxmlformats.org/officeDocument/2006/relationships/hyperlink" Target="https://www.ncbi.nlm.nih.gov/pubmed/20391294" TargetMode="External"/><Relationship Id="rId433" Type="http://schemas.openxmlformats.org/officeDocument/2006/relationships/hyperlink" Target="http://www.who.int/substance_abuse/research_tools/whoQOLbref/en/" TargetMode="External"/><Relationship Id="rId268" Type="http://schemas.openxmlformats.org/officeDocument/2006/relationships/hyperlink" Target="https://www.ncbi.nlm.nih.gov/pubmed/?term=Safar%20ME%5BAuthor%5D&amp;cauthor=true&amp;cauthor_uid=11729246" TargetMode="External"/><Relationship Id="rId32" Type="http://schemas.openxmlformats.org/officeDocument/2006/relationships/hyperlink" Target="http://www.ncbi.nlm.nih.gov/pubmed/?term=Chewning%20BA%5BAuthor%5D&amp;cauthor=true&amp;cauthor_uid=14528539" TargetMode="External"/><Relationship Id="rId74" Type="http://schemas.openxmlformats.org/officeDocument/2006/relationships/image" Target="media/image20.emf"/><Relationship Id="rId128" Type="http://schemas.openxmlformats.org/officeDocument/2006/relationships/hyperlink" Target="http://dx.doi.org/10.1590/S1516" TargetMode="External"/><Relationship Id="rId335" Type="http://schemas.openxmlformats.org/officeDocument/2006/relationships/hyperlink" Target="http://dx.doi.org/10.1037/0096-3445.134.1.3" TargetMode="External"/><Relationship Id="rId377" Type="http://schemas.openxmlformats.org/officeDocument/2006/relationships/hyperlink" Target="http://www.ncbi.nlm.nih.gov/pubmed/?term=Sleath%20BL%5BAuthor%5D&amp;cauthor=true&amp;cauthor_uid=14528539" TargetMode="External"/><Relationship Id="rId5" Type="http://schemas.openxmlformats.org/officeDocument/2006/relationships/webSettings" Target="webSettings.xml"/><Relationship Id="rId181" Type="http://schemas.openxmlformats.org/officeDocument/2006/relationships/hyperlink" Target="https://www.ncbi.nlm.nih.gov/pubmed/?term=Zyga%20S%5BAuthor%5D&amp;cauthor=true&amp;cauthor_uid=27482168" TargetMode="External"/><Relationship Id="rId237" Type="http://schemas.openxmlformats.org/officeDocument/2006/relationships/hyperlink" Target="http://dx.doi.org/10.1111/j.1547-5069.2007.00175.x" TargetMode="External"/><Relationship Id="rId402" Type="http://schemas.openxmlformats.org/officeDocument/2006/relationships/hyperlink" Target="http://doi.org/10.4081/hpr.2013.e17" TargetMode="External"/><Relationship Id="rId279" Type="http://schemas.openxmlformats.org/officeDocument/2006/relationships/hyperlink" Target="http://dx.doi.org/10.1046/j.1523-1755.2003.00072.x" TargetMode="External"/><Relationship Id="rId444" Type="http://schemas.openxmlformats.org/officeDocument/2006/relationships/image" Target="media/image28.jpeg"/><Relationship Id="rId43" Type="http://schemas.openxmlformats.org/officeDocument/2006/relationships/hyperlink" Target="http://www.ncbi.nlm.nih.gov/pubmed/?term=Selgas%20R%5BAuthor%5D&amp;cauthor=true&amp;cauthor_uid=23336548" TargetMode="External"/><Relationship Id="rId139" Type="http://schemas.openxmlformats.org/officeDocument/2006/relationships/hyperlink" Target="http://dx.doi.org/10.1371/journal.pone.0041362" TargetMode="External"/><Relationship Id="rId290" Type="http://schemas.openxmlformats.org/officeDocument/2006/relationships/hyperlink" Target="https://www.ncbi.nlm.nih.gov/pubmed/?term=Flaster%20E%5BAuthor%5D&amp;cauthor=true&amp;cauthor_uid=11427630" TargetMode="External"/><Relationship Id="rId304" Type="http://schemas.openxmlformats.org/officeDocument/2006/relationships/hyperlink" Target="http://www.ncbi.nlm.nih.gov/pubmed/?term=da%20Luz%20Filho%20HA%5BAuthor%5D&amp;cauthor=true&amp;cauthor_uid=21103674" TargetMode="External"/><Relationship Id="rId346" Type="http://schemas.openxmlformats.org/officeDocument/2006/relationships/hyperlink" Target="http://dx.doi.org/10.1046/j.1525-1594.2003.07215.x" TargetMode="External"/><Relationship Id="rId388" Type="http://schemas.openxmlformats.org/officeDocument/2006/relationships/hyperlink" Target="https://www.ncbi.nlm.nih.gov/pubmed/?term=ERBP%20Advisory%20Board%5BCorporate%20Author%5D" TargetMode="External"/><Relationship Id="rId85" Type="http://schemas.openxmlformats.org/officeDocument/2006/relationships/hyperlink" Target="http://hayat.tums.ac.ir/search.php?sid=1&amp;slc_lang=en&amp;auth=Mohammadi" TargetMode="External"/><Relationship Id="rId150" Type="http://schemas.openxmlformats.org/officeDocument/2006/relationships/hyperlink" Target="https://www.ncbi.nlm.nih.gov/pubmed/?term=Hawkins%20KA%5BAuthor%5D&amp;cauthor=true&amp;cauthor_uid=11590972" TargetMode="External"/><Relationship Id="rId192" Type="http://schemas.openxmlformats.org/officeDocument/2006/relationships/hyperlink" Target="https://www.ncbi.nlm.nih.gov/pubmed/?term=Girndt%20M%5BAuthor%5D&amp;cauthor=true&amp;cauthor_uid=28194476" TargetMode="External"/><Relationship Id="rId206" Type="http://schemas.openxmlformats.org/officeDocument/2006/relationships/hyperlink" Target="https://www.ncbi.nlm.nih.gov/pubmed/?term=DiMatteo%20MR%5BAuthor%5D&amp;cauthor=true&amp;cauthor_uid=18823177" TargetMode="External"/><Relationship Id="rId413" Type="http://schemas.openxmlformats.org/officeDocument/2006/relationships/hyperlink" Target="http://dx.doi.org/10.1080/14622200701239662" TargetMode="External"/><Relationship Id="rId248" Type="http://schemas.openxmlformats.org/officeDocument/2006/relationships/hyperlink" Target="https://www.ncbi.nlm.nih.gov/pubmed/?term=Krysiak%20R%5BAuthor%5D&amp;cauthor=true&amp;cauthor_uid=26039027" TargetMode="External"/><Relationship Id="rId455" Type="http://schemas.openxmlformats.org/officeDocument/2006/relationships/image" Target="media/image35.jpeg"/><Relationship Id="rId12" Type="http://schemas.openxmlformats.org/officeDocument/2006/relationships/hyperlink" Target="https://www.ncbi.nlm.nih.gov/pubmed/?term=Beauvais%20C%5BAuthor%5D&amp;cauthor=true&amp;cauthor_uid=26047784" TargetMode="External"/><Relationship Id="rId108" Type="http://schemas.openxmlformats.org/officeDocument/2006/relationships/hyperlink" Target="http://www.jehp.net/searchresult.asp?search=&amp;author=Fatemeh+Ghavidel&amp;journal=Y&amp;but_search=Search&amp;entries=10&amp;pg=1&amp;s=0" TargetMode="External"/><Relationship Id="rId315" Type="http://schemas.openxmlformats.org/officeDocument/2006/relationships/hyperlink" Target="http://www.ncbi.nlm.nih.gov/pubmed/?term=Abdollahzadeh%20F%5BAuthor%5D&amp;cauthor=true&amp;cauthor_uid=25758872" TargetMode="External"/><Relationship Id="rId357" Type="http://schemas.openxmlformats.org/officeDocument/2006/relationships/hyperlink" Target="http://www.ncbi.nlm.nih.gov/pubmed/?term=Wu%20QX%5BAuthor%5D&amp;cauthor=true&amp;cauthor_uid=23480506" TargetMode="External"/><Relationship Id="rId54" Type="http://schemas.openxmlformats.org/officeDocument/2006/relationships/hyperlink" Target="https://www.ncbi.nlm.nih.gov/pubmed/?term=Hemmati%20Maslakpak%20M%5BAuthor%5D&amp;cauthor=true&amp;cauthor_uid=26171412" TargetMode="External"/><Relationship Id="rId96" Type="http://schemas.openxmlformats.org/officeDocument/2006/relationships/hyperlink" Target="http://www.ncbi.nlm.nih.gov/pubmed/?term=Nampoory%20MR%5BAuthor%5D&amp;cauthor=true&amp;cauthor_uid=15350488" TargetMode="External"/><Relationship Id="rId161" Type="http://schemas.openxmlformats.org/officeDocument/2006/relationships/hyperlink" Target="http://www.ncbi.nlm.nih.gov/pubmed/?term=Beck%20GJ%5BAuthor%5D&amp;cauthor=true&amp;cauthor_uid=12490682" TargetMode="External"/><Relationship Id="rId217" Type="http://schemas.openxmlformats.org/officeDocument/2006/relationships/hyperlink" Target="http://dx.doi.org/10.1023/B:QURE.0000031350.56924.cc" TargetMode="External"/><Relationship Id="rId399" Type="http://schemas.openxmlformats.org/officeDocument/2006/relationships/hyperlink" Target="http://www.ncbi.nlm.nih.gov/pubmed/?term=Krediet%20RT%5BAuthor%5D&amp;cauthor=true&amp;cauthor_uid=15034110" TargetMode="External"/><Relationship Id="rId259" Type="http://schemas.openxmlformats.org/officeDocument/2006/relationships/hyperlink" Target="https://www.ncbi.nlm.nih.gov/pubmed/?term=Kumar%20CP%5BAuthor%5D&amp;cauthor=true&amp;cauthor_uid=17714238" TargetMode="External"/><Relationship Id="rId424" Type="http://schemas.openxmlformats.org/officeDocument/2006/relationships/hyperlink" Target="https://www.ncbi.nlm.nih.gov/pubmed/?term=Goldfarb%20S%5BAuthor%5D&amp;cauthor=true&amp;cauthor_uid=20363541" TargetMode="External"/><Relationship Id="rId23" Type="http://schemas.openxmlformats.org/officeDocument/2006/relationships/hyperlink" Target="https://www.ncbi.nlm.nih.gov/pubmed/?term=Rajan%20DK%5BAuthor%5D&amp;cauthor=true&amp;cauthor_uid=27011421" TargetMode="External"/><Relationship Id="rId119" Type="http://schemas.openxmlformats.org/officeDocument/2006/relationships/hyperlink" Target="https://www.ncbi.nlm.nih.gov/pubmed/?term=Dashtbozorgi%20B%5BAuthor%5D&amp;cauthor=true&amp;cauthor_uid=25389489" TargetMode="External"/><Relationship Id="rId270" Type="http://schemas.openxmlformats.org/officeDocument/2006/relationships/hyperlink" Target="http://dx.doi.org/10.1046/j.1523-1755.2002.00411.x" TargetMode="External"/><Relationship Id="rId291" Type="http://schemas.openxmlformats.org/officeDocument/2006/relationships/hyperlink" Target="https://www.ncbi.nlm.nih.gov/pubmed/?term=Maesaka%20JK%5BAuthor%5D&amp;cauthor=true&amp;cauthor_uid=11427630" TargetMode="External"/><Relationship Id="rId305" Type="http://schemas.openxmlformats.org/officeDocument/2006/relationships/hyperlink" Target="http://www.ncbi.nlm.nih.gov/pubmed/21103674" TargetMode="External"/><Relationship Id="rId326" Type="http://schemas.openxmlformats.org/officeDocument/2006/relationships/hyperlink" Target="https://www.ncbi.nlm.nih.gov/pubmed/11188460" TargetMode="External"/><Relationship Id="rId347" Type="http://schemas.openxmlformats.org/officeDocument/2006/relationships/hyperlink" Target="http://dx.doi.org/10.1111/j.1755-6686.2013.00343.x" TargetMode="External"/><Relationship Id="rId44" Type="http://schemas.openxmlformats.org/officeDocument/2006/relationships/hyperlink" Target="https://www.ncbi.nlm.nih.gov/pubmed/?term=Campo-Arias%20A%5BAuthor%5D&amp;cauthor=true&amp;cauthor_uid=19360231" TargetMode="External"/><Relationship Id="rId65" Type="http://schemas.openxmlformats.org/officeDocument/2006/relationships/image" Target="media/image11.emf"/><Relationship Id="rId86" Type="http://schemas.openxmlformats.org/officeDocument/2006/relationships/hyperlink" Target="http://hayat.tums.ac.ir/search.php?sid=1&amp;slc_lang=en&amp;auth=Broumand" TargetMode="External"/><Relationship Id="rId130" Type="http://schemas.openxmlformats.org/officeDocument/2006/relationships/hyperlink" Target="http://doi.org/10.4065/mcp.2010.0575" TargetMode="External"/><Relationship Id="rId151" Type="http://schemas.openxmlformats.org/officeDocument/2006/relationships/hyperlink" Target="https://www.ncbi.nlm.nih.gov/pubmed/?term=Cramer%20JA%5BAuthor%5D&amp;cauthor=true&amp;cauthor_uid=11590972" TargetMode="External"/><Relationship Id="rId368" Type="http://schemas.openxmlformats.org/officeDocument/2006/relationships/hyperlink" Target="https://www.ncbi.nlm.nih.gov/pubmed/?term=Hofsteenge%20GH%5BAuthor%5D&amp;cauthor=true&amp;cauthor_uid=12753108" TargetMode="External"/><Relationship Id="rId389" Type="http://schemas.openxmlformats.org/officeDocument/2006/relationships/hyperlink" Target="https://doi.org/10.1093/ndt/gfr168" TargetMode="External"/><Relationship Id="rId172" Type="http://schemas.openxmlformats.org/officeDocument/2006/relationships/hyperlink" Target="https://doi.org/10.1016/S0149-2918(99)80026-5" TargetMode="External"/><Relationship Id="rId193" Type="http://schemas.openxmlformats.org/officeDocument/2006/relationships/hyperlink" Target="https://www.ncbi.nlm.nih.gov/pubmed/28194476" TargetMode="External"/><Relationship Id="rId207" Type="http://schemas.openxmlformats.org/officeDocument/2006/relationships/hyperlink" Target="https://www.ncbi.nlm.nih.gov/pubmed/?term=Rosenthal%20R%5BAuthor%5D&amp;cauthor=true&amp;cauthor_uid=18823177" TargetMode="External"/><Relationship Id="rId228" Type="http://schemas.openxmlformats.org/officeDocument/2006/relationships/hyperlink" Target="http://dx.doi.org/10.1038/ki.1982.167" TargetMode="External"/><Relationship Id="rId249" Type="http://schemas.openxmlformats.org/officeDocument/2006/relationships/hyperlink" Target="https://www.ncbi.nlm.nih.gov/pubmed/?term=K%C4%99dzia%20A%5BAuthor%5D&amp;cauthor=true&amp;cauthor_uid=26039027" TargetMode="External"/><Relationship Id="rId414" Type="http://schemas.openxmlformats.org/officeDocument/2006/relationships/hyperlink" Target="https://www.ncbi.nlm.nih.gov/pubmed/?term=Strippoli%20GF%5BAuthor%5D&amp;cauthor=true&amp;cauthor_uid=23355670" TargetMode="External"/><Relationship Id="rId435" Type="http://schemas.openxmlformats.org/officeDocument/2006/relationships/hyperlink" Target="http://dx.doi.org/10.20982/tqmp.09.2.p079" TargetMode="External"/><Relationship Id="rId456" Type="http://schemas.openxmlformats.org/officeDocument/2006/relationships/image" Target="media/image36.jpeg"/><Relationship Id="rId13" Type="http://schemas.openxmlformats.org/officeDocument/2006/relationships/hyperlink" Target="https://www.ncbi.nlm.nih.gov/pubmed/?term=Perico%20N%5BAuthor%5D&amp;cauthor=true&amp;cauthor_uid=25725241" TargetMode="External"/><Relationship Id="rId109" Type="http://schemas.openxmlformats.org/officeDocument/2006/relationships/hyperlink" Target="http://www.jehp.net/searchresult.asp?search=&amp;author=Shahla+Mohammadzadeh&amp;journal=Y&amp;but_search=Search&amp;entries=10&amp;pg=1&amp;s=0" TargetMode="External"/><Relationship Id="rId260" Type="http://schemas.openxmlformats.org/officeDocument/2006/relationships/hyperlink" Target="https://www.ncbi.nlm.nih.gov/pubmed/17714238" TargetMode="External"/><Relationship Id="rId281" Type="http://schemas.openxmlformats.org/officeDocument/2006/relationships/hyperlink" Target="https://www.ncbi.nlm.nih.gov/pubmed/?term=Lopes%20AA%5BAuthor%5D&amp;cauthor=true&amp;cauthor_uid=24090377" TargetMode="External"/><Relationship Id="rId316" Type="http://schemas.openxmlformats.org/officeDocument/2006/relationships/hyperlink" Target="http://www.ncbi.nlm.nih.gov/pubmed/?term=Ghojazadeh%20M%5BAuthor%5D&amp;cauthor=true&amp;cauthor_uid=25758872" TargetMode="External"/><Relationship Id="rId337" Type="http://schemas.openxmlformats.org/officeDocument/2006/relationships/hyperlink" Target="https://www.ncbi.nlm.nih.gov/pubmed/?term=Callister%20LC%5BAuthor%5D&amp;cauthor=true&amp;cauthor_uid=19120591" TargetMode="External"/><Relationship Id="rId34" Type="http://schemas.openxmlformats.org/officeDocument/2006/relationships/hyperlink" Target="http://www.ncbi.nlm.nih.gov/pubmed/?term=Claesson%20C%5BAuthor%5D&amp;cauthor=true&amp;cauthor_uid=14528539" TargetMode="External"/><Relationship Id="rId55" Type="http://schemas.openxmlformats.org/officeDocument/2006/relationships/hyperlink" Target="https://www.ncbi.nlm.nih.gov/pubmed/?term=Shams%20S%5BAuthor%5D&amp;cauthor=true&amp;cauthor_uid=26171412" TargetMode="External"/><Relationship Id="rId76" Type="http://schemas.openxmlformats.org/officeDocument/2006/relationships/image" Target="media/image22.emf"/><Relationship Id="rId97" Type="http://schemas.openxmlformats.org/officeDocument/2006/relationships/hyperlink" Target="http://www.ncbi.nlm.nih.gov/pubmed/?term=Ali%20JH%5BAuthor%5D&amp;cauthor=true&amp;cauthor_uid=15350488" TargetMode="External"/><Relationship Id="rId120" Type="http://schemas.openxmlformats.org/officeDocument/2006/relationships/hyperlink" Target="https://www.ncbi.nlm.nih.gov/pubmed/?term=Comparing+the+Effect+of+Two+Educational+Programs+on+the+Quality+of+Life+of+Hemodialysis+Patients+in+Iran" TargetMode="External"/><Relationship Id="rId141" Type="http://schemas.openxmlformats.org/officeDocument/2006/relationships/hyperlink" Target="http://www.ncbi.nlm.nih.gov/pubmed/12101993" TargetMode="External"/><Relationship Id="rId358" Type="http://schemas.openxmlformats.org/officeDocument/2006/relationships/hyperlink" Target="http://www.ncbi.nlm.nih.gov/pubmed/?term=Di%20HJ%5BAuthor%5D&amp;cauthor=true&amp;cauthor_uid=23480506" TargetMode="External"/><Relationship Id="rId379" Type="http://schemas.openxmlformats.org/officeDocument/2006/relationships/hyperlink" Target="http://www.ncbi.nlm.nih.gov/pubmed/14528539" TargetMode="External"/><Relationship Id="rId7" Type="http://schemas.openxmlformats.org/officeDocument/2006/relationships/endnotes" Target="endnotes.xml"/><Relationship Id="rId162" Type="http://schemas.openxmlformats.org/officeDocument/2006/relationships/hyperlink" Target="http://www.ncbi.nlm.nih.gov/pubmed/?term=Cheung%20AK%5BAuthor%5D&amp;cauthor=true&amp;cauthor_uid=12490682" TargetMode="External"/><Relationship Id="rId183" Type="http://schemas.openxmlformats.org/officeDocument/2006/relationships/hyperlink" Target="http://dx.doi.org/10.1016/0272-6386(95)90001-2" TargetMode="External"/><Relationship Id="rId218" Type="http://schemas.openxmlformats.org/officeDocument/2006/relationships/hyperlink" Target="http://www.ncbi.nlm.nih.gov/pubmed/?term=Himmelfarb%20J%5BAuthor%5D&amp;cauthor=true&amp;cauthor_uid=21047227" TargetMode="External"/><Relationship Id="rId239" Type="http://schemas.openxmlformats.org/officeDocument/2006/relationships/hyperlink" Target="https://doi.org/10.1080/2331205X.2016.1211594" TargetMode="External"/><Relationship Id="rId390" Type="http://schemas.openxmlformats.org/officeDocument/2006/relationships/hyperlink" Target="https://www.ncbi.nlm.nih.gov/pubmed/?term=Zhu%20M%5BAuthor%5D&amp;cauthor=true&amp;cauthor_uid=17634440" TargetMode="External"/><Relationship Id="rId404" Type="http://schemas.openxmlformats.org/officeDocument/2006/relationships/hyperlink" Target="https://www.ncbi.nlm.nih.gov/pubmed/?term=Thomas-Hawkins+(2000)" TargetMode="External"/><Relationship Id="rId425" Type="http://schemas.openxmlformats.org/officeDocument/2006/relationships/hyperlink" Target="https://www.ncbi.nlm.nih.gov/pubmed/20363541" TargetMode="External"/><Relationship Id="rId446" Type="http://schemas.openxmlformats.org/officeDocument/2006/relationships/hyperlink" Target="tel:%2B302105068066" TargetMode="External"/><Relationship Id="rId250" Type="http://schemas.openxmlformats.org/officeDocument/2006/relationships/hyperlink" Target="https://www.ncbi.nlm.nih.gov/pubmed/?term=Krupej-K%C4%99dzierska%20J%5BAuthor%5D&amp;cauthor=true&amp;cauthor_uid=26039027" TargetMode="External"/><Relationship Id="rId271" Type="http://schemas.openxmlformats.org/officeDocument/2006/relationships/hyperlink" Target="https://www.ncbi.nlm.nih.gov/pubmed/?term=Port%20FK%5BAuthor%5D&amp;cauthor=true&amp;cauthor_uid=15496178" TargetMode="External"/><Relationship Id="rId292" Type="http://schemas.openxmlformats.org/officeDocument/2006/relationships/hyperlink" Target="https://www.ncbi.nlm.nih.gov/pubmed/?term=Fishbane%20S%5BAuthor%5D&amp;cauthor=true&amp;cauthor_uid=11427630" TargetMode="External"/><Relationship Id="rId306" Type="http://schemas.openxmlformats.org/officeDocument/2006/relationships/hyperlink" Target="http://dx.doi.org/10.1159/000328391" TargetMode="External"/><Relationship Id="rId24" Type="http://schemas.openxmlformats.org/officeDocument/2006/relationships/hyperlink" Target="https://www.ncbi.nlm.nih.gov/pubmed/?term=Zumrutdal%20A%5BAuthor%5D&amp;cauthor=true&amp;cauthor_uid=23461740" TargetMode="External"/><Relationship Id="rId45" Type="http://schemas.openxmlformats.org/officeDocument/2006/relationships/hyperlink" Target="https://www.ncbi.nlm.nih.gov/pubmed/?term=Oviedo%20HC%5BAuthor%5D&amp;cauthor=true&amp;cauthor_uid=19360231" TargetMode="External"/><Relationship Id="rId66" Type="http://schemas.openxmlformats.org/officeDocument/2006/relationships/image" Target="media/image12.emf"/><Relationship Id="rId87" Type="http://schemas.openxmlformats.org/officeDocument/2006/relationships/hyperlink" Target="https://www.ncbi.nlm.nih.gov/pmc/articles/PMC4954909/" TargetMode="External"/><Relationship Id="rId110" Type="http://schemas.openxmlformats.org/officeDocument/2006/relationships/hyperlink" Target="http://www.jehp.net/searchresult.asp?search=&amp;author=Ramin+Ravangard&amp;journal=Y&amp;but_search=Search&amp;entries=10&amp;pg=1&amp;s=0" TargetMode="External"/><Relationship Id="rId131" Type="http://schemas.openxmlformats.org/officeDocument/2006/relationships/hyperlink" Target="https://www.ncbi.nlm.nih.gov/pubmed/?term=Campo-Arias%20A%5BAuthor%5D&amp;cauthor=true&amp;cauthor_uid=19360231" TargetMode="External"/><Relationship Id="rId327" Type="http://schemas.openxmlformats.org/officeDocument/2006/relationships/hyperlink" Target="http://dx.doi.org/10.1016/s1056-8727(00)00133-1" TargetMode="External"/><Relationship Id="rId348" Type="http://schemas.openxmlformats.org/officeDocument/2006/relationships/hyperlink" Target="https://dx.doi.org/10.1590/S0104-42302006000500026" TargetMode="External"/><Relationship Id="rId369" Type="http://schemas.openxmlformats.org/officeDocument/2006/relationships/hyperlink" Target="https://www.ncbi.nlm.nih.gov/pubmed/?term=van%20Bokhorst-van%20der%20Schueren%20MA%5BAuthor%5D&amp;cauthor=true&amp;cauthor_uid=12753108" TargetMode="External"/><Relationship Id="rId152" Type="http://schemas.openxmlformats.org/officeDocument/2006/relationships/hyperlink" Target="https://doi.org/10.1097/01.MLR.0000024612.61915.2D" TargetMode="External"/><Relationship Id="rId173" Type="http://schemas.openxmlformats.org/officeDocument/2006/relationships/hyperlink" Target="http://dx.doi.org/10.1016/0749-2081(90)90026-2" TargetMode="External"/><Relationship Id="rId194" Type="http://schemas.openxmlformats.org/officeDocument/2006/relationships/hyperlink" Target="https://doi.org/10.1006/pmed.1998.0350" TargetMode="External"/><Relationship Id="rId208" Type="http://schemas.openxmlformats.org/officeDocument/2006/relationships/hyperlink" Target="https://www.ncbi.nlm.nih.gov/pubmed/?term=White%20MK%5BAuthor%5D&amp;cauthor=true&amp;cauthor_uid=18823177" TargetMode="External"/><Relationship Id="rId229" Type="http://schemas.openxmlformats.org/officeDocument/2006/relationships/hyperlink" Target="https://www.ncbi.nlm.nih.gov/pubmed/?term=Jucks%20R%5BAuthor%5D&amp;cauthor=true&amp;cauthor_uid=22365590" TargetMode="External"/><Relationship Id="rId380" Type="http://schemas.openxmlformats.org/officeDocument/2006/relationships/hyperlink" Target="http://dx.doi.org/10.1016/S0738-3991(98)00107-4" TargetMode="External"/><Relationship Id="rId415" Type="http://schemas.openxmlformats.org/officeDocument/2006/relationships/hyperlink" Target="http://dx.doi.org/10.1136/bmjopen-2012-002148" TargetMode="External"/><Relationship Id="rId436" Type="http://schemas.openxmlformats.org/officeDocument/2006/relationships/hyperlink" Target="https://www.ncbi.nlm.nih.gov/pubmed/?term=Zumrutdal%20A%5BAuthor%5D&amp;cauthor=true&amp;cauthor_uid=23461740" TargetMode="External"/><Relationship Id="rId457" Type="http://schemas.openxmlformats.org/officeDocument/2006/relationships/hyperlink" Target="mailto:vicalikari@gmail.com" TargetMode="External"/><Relationship Id="rId240" Type="http://schemas.openxmlformats.org/officeDocument/2006/relationships/hyperlink" Target="http://dx.doi.org/10.1370/afm.139" TargetMode="External"/><Relationship Id="rId261" Type="http://schemas.openxmlformats.org/officeDocument/2006/relationships/hyperlink" Target="http://dx.doi.org/10.1159/000167200" TargetMode="External"/><Relationship Id="rId14" Type="http://schemas.openxmlformats.org/officeDocument/2006/relationships/hyperlink" Target="https://www.ncbi.nlm.nih.gov/pubmed/?term=Remuzzi%20G%5BAuthor%5D&amp;cauthor=true&amp;cauthor_uid=25725241" TargetMode="External"/><Relationship Id="rId35" Type="http://schemas.openxmlformats.org/officeDocument/2006/relationships/hyperlink" Target="https://www.ncbi.nlm.nih.gov/pubmed/?term=Ahern%20L%5BAuthor%5D&amp;cauthor=true&amp;cauthor_uid=11427630" TargetMode="External"/><Relationship Id="rId56" Type="http://schemas.openxmlformats.org/officeDocument/2006/relationships/image" Target="media/image2.emf"/><Relationship Id="rId77" Type="http://schemas.openxmlformats.org/officeDocument/2006/relationships/image" Target="media/image23.emf"/><Relationship Id="rId100" Type="http://schemas.openxmlformats.org/officeDocument/2006/relationships/hyperlink" Target="http://dx.doi.org/10.1016/j.transproceed.2004.06.023" TargetMode="External"/><Relationship Id="rId282" Type="http://schemas.openxmlformats.org/officeDocument/2006/relationships/hyperlink" Target="http://dx.DOI.org/10.1186/1471-2369-14-208" TargetMode="External"/><Relationship Id="rId317" Type="http://schemas.openxmlformats.org/officeDocument/2006/relationships/hyperlink" Target="http://www.ncbi.nlm.nih.gov/pubmed/?term=Jasemi%20M%5BAuthor%5D&amp;cauthor=true&amp;cauthor_uid=25758872" TargetMode="External"/><Relationship Id="rId338" Type="http://schemas.openxmlformats.org/officeDocument/2006/relationships/hyperlink" Target="https://www.ncbi.nlm.nih.gov/pubmed/?term=Berry%20JA%5BAuthor%5D&amp;cauthor=true&amp;cauthor_uid=19120591" TargetMode="External"/><Relationship Id="rId359" Type="http://schemas.openxmlformats.org/officeDocument/2006/relationships/hyperlink" Target="http://www.ncbi.nlm.nih.gov/pubmed/?term=Hou%20YH%5BAuthor%5D&amp;cauthor=true&amp;cauthor_uid=23480506" TargetMode="External"/><Relationship Id="rId8" Type="http://schemas.openxmlformats.org/officeDocument/2006/relationships/image" Target="media/image1.jpeg"/><Relationship Id="rId98" Type="http://schemas.openxmlformats.org/officeDocument/2006/relationships/hyperlink" Target="http://www.ncbi.nlm.nih.gov/pubmed/?term=Johny%20KV%5BAuthor%5D&amp;cauthor=true&amp;cauthor_uid=15350488" TargetMode="External"/><Relationship Id="rId121" Type="http://schemas.openxmlformats.org/officeDocument/2006/relationships/hyperlink" Target="https://www.ncbi.nlm.nih.gov/pubmed/?term=Thrasher%20C%5BAuthor%5D&amp;cauthor=true&amp;cauthor_uid=16425810" TargetMode="External"/><Relationship Id="rId142" Type="http://schemas.openxmlformats.org/officeDocument/2006/relationships/hyperlink" Target="http://dx.doi.org/10.1016/S0149-2918(01)80109-0" TargetMode="External"/><Relationship Id="rId163" Type="http://schemas.openxmlformats.org/officeDocument/2006/relationships/hyperlink" Target="http://www.ncbi.nlm.nih.gov/pubmed/?term=Daugirdas%20JT%5BAuthor%5D&amp;cauthor=true&amp;cauthor_uid=12490682" TargetMode="External"/><Relationship Id="rId184" Type="http://schemas.openxmlformats.org/officeDocument/2006/relationships/hyperlink" Target="https://www.ncbi.nlm.nih.gov/pubmed/?term=Fujimi%20S%5BAuthor%5D&amp;cauthor=true&amp;cauthor_uid=17106210" TargetMode="External"/><Relationship Id="rId219" Type="http://schemas.openxmlformats.org/officeDocument/2006/relationships/hyperlink" Target="http://www.ncbi.nlm.nih.gov/pubmed/?term=Ikizler%20TA%5BAuthor%5D&amp;cauthor=true&amp;cauthor_uid=21047227" TargetMode="External"/><Relationship Id="rId370" Type="http://schemas.openxmlformats.org/officeDocument/2006/relationships/hyperlink" Target="https://www.ncbi.nlm.nih.gov/pubmed/12753108" TargetMode="External"/><Relationship Id="rId391" Type="http://schemas.openxmlformats.org/officeDocument/2006/relationships/hyperlink" Target="https://www.ncbi.nlm.nih.gov/pubmed/?term=Stidley%20CA%5BAuthor%5D&amp;cauthor=true&amp;cauthor_uid=17634440" TargetMode="External"/><Relationship Id="rId405" Type="http://schemas.openxmlformats.org/officeDocument/2006/relationships/hyperlink" Target="https://www.ncbi.nlm.nih.gov/pubmed/?term=Thomas%20R%5BAuthor%5D&amp;cauthor=true&amp;cauthor_uid=23078600" TargetMode="External"/><Relationship Id="rId426" Type="http://schemas.openxmlformats.org/officeDocument/2006/relationships/hyperlink" Target="http://dx.doi.org/10.1053/j.ajkd.2005.09.002" TargetMode="External"/><Relationship Id="rId447" Type="http://schemas.openxmlformats.org/officeDocument/2006/relationships/hyperlink" Target="mailto:vicalikari@gmail.com" TargetMode="External"/><Relationship Id="rId230" Type="http://schemas.openxmlformats.org/officeDocument/2006/relationships/hyperlink" Target="https://www.ncbi.nlm.nih.gov/pubmed/?term=Paus%20E%5BAuthor%5D&amp;cauthor=true&amp;cauthor_uid=22365590" TargetMode="External"/><Relationship Id="rId251" Type="http://schemas.openxmlformats.org/officeDocument/2006/relationships/hyperlink" Target="https://www.ncbi.nlm.nih.gov/pubmed/?term=Kowalska%20B%5BAuthor%5D&amp;cauthor=true&amp;cauthor_uid=26039027" TargetMode="External"/><Relationship Id="rId25" Type="http://schemas.openxmlformats.org/officeDocument/2006/relationships/hyperlink" Target="https://www.ncbi.nlm.nih.gov/pubmed/?term=Cavanaugh%20KL%5BAuthor%5D&amp;cauthor=true&amp;cauthor_uid=19389825" TargetMode="External"/><Relationship Id="rId46" Type="http://schemas.openxmlformats.org/officeDocument/2006/relationships/hyperlink" Target="https://www.ncbi.nlm.nih.gov/pubmed/?term=Campo-Arias%20A%5BAuthor%5D&amp;cauthor=true&amp;cauthor_uid=19360231" TargetMode="External"/><Relationship Id="rId67" Type="http://schemas.openxmlformats.org/officeDocument/2006/relationships/image" Target="media/image13.emf"/><Relationship Id="rId272" Type="http://schemas.openxmlformats.org/officeDocument/2006/relationships/hyperlink" Target="https://www.ncbi.nlm.nih.gov/pubmed/?term=Port%20FK%5BAuthor%5D&amp;cauthor=true&amp;cauthor_uid=17286199" TargetMode="External"/><Relationship Id="rId293" Type="http://schemas.openxmlformats.org/officeDocument/2006/relationships/hyperlink" Target="https://www.ncbi.nlm.nih.gov/pubmed/?term=Port%20FK%5BAuthor%5D&amp;cauthor=true&amp;cauthor_uid=18371540" TargetMode="External"/><Relationship Id="rId307" Type="http://schemas.openxmlformats.org/officeDocument/2006/relationships/hyperlink" Target="http://dx.doi.org/10.1111/bcp.12194" TargetMode="External"/><Relationship Id="rId328" Type="http://schemas.openxmlformats.org/officeDocument/2006/relationships/hyperlink" Target="https://www.ncbi.nlm.nih.gov/pubmed/?term=Ramirez%20SP%5BAuthor%5D&amp;cauthor=true&amp;cauthor_uid=12864877" TargetMode="External"/><Relationship Id="rId349" Type="http://schemas.openxmlformats.org/officeDocument/2006/relationships/hyperlink" Target="https://www.ncbi.nlm.nih.gov/pubmed/?term=Port%20FK%5BAuthor%5D&amp;cauthor=true&amp;cauthor_uid=12787417" TargetMode="External"/><Relationship Id="rId88" Type="http://schemas.openxmlformats.org/officeDocument/2006/relationships/hyperlink" Target="https://doi.org/10.1007/s13187-016-1118-y" TargetMode="External"/><Relationship Id="rId111" Type="http://schemas.openxmlformats.org/officeDocument/2006/relationships/hyperlink" Target="http://dx.doi.org/10.1046/j.1523-1755.2002.00096.x" TargetMode="External"/><Relationship Id="rId132" Type="http://schemas.openxmlformats.org/officeDocument/2006/relationships/hyperlink" Target="https://www.ncbi.nlm.nih.gov/pubmed/?term=Oviedo%20HC%5BAuthor%5D&amp;cauthor=true&amp;cauthor_uid=19360231" TargetMode="External"/><Relationship Id="rId153" Type="http://schemas.openxmlformats.org/officeDocument/2006/relationships/hyperlink" Target="http://dx.doi.org/10.1300/J010v33n03_08" TargetMode="External"/><Relationship Id="rId174" Type="http://schemas.openxmlformats.org/officeDocument/2006/relationships/hyperlink" Target="https://www.ncbi.nlm.nih.gov/pubmed/?term=Ferrans%20CE%5BAuthor%5D&amp;cauthor=true&amp;cauthor_uid=9009823" TargetMode="External"/><Relationship Id="rId195" Type="http://schemas.openxmlformats.org/officeDocument/2006/relationships/hyperlink" Target="http://doi.org/10.1016/S0191-8869(03)00045-X" TargetMode="External"/><Relationship Id="rId209" Type="http://schemas.openxmlformats.org/officeDocument/2006/relationships/hyperlink" Target="https://www.ncbi.nlm.nih.gov/pubmed/?term=Goldstein%20MG%5BAuthor%5D&amp;cauthor=true&amp;cauthor_uid=18823177" TargetMode="External"/><Relationship Id="rId360" Type="http://schemas.openxmlformats.org/officeDocument/2006/relationships/hyperlink" Target="http://www.ncbi.nlm.nih.gov/pubmed/23480506" TargetMode="External"/><Relationship Id="rId381" Type="http://schemas.openxmlformats.org/officeDocument/2006/relationships/hyperlink" Target="https://doi.org/10.1016/j.jpsychores.2004.09.003" TargetMode="External"/><Relationship Id="rId416" Type="http://schemas.openxmlformats.org/officeDocument/2006/relationships/hyperlink" Target="http://dx.DOI.org/10.1111/j.1365-2648.2004.03347.x" TargetMode="External"/><Relationship Id="rId220" Type="http://schemas.openxmlformats.org/officeDocument/2006/relationships/hyperlink" Target="http://www.ncbi.nlm.nih.gov/pubmed/21047227" TargetMode="External"/><Relationship Id="rId241" Type="http://schemas.openxmlformats.org/officeDocument/2006/relationships/hyperlink" Target="http://dx.doi.org/10.1111/j.1751-7117.2000.tb00211.x" TargetMode="External"/><Relationship Id="rId437" Type="http://schemas.openxmlformats.org/officeDocument/2006/relationships/hyperlink" Target="https://www.ncbi.nlm.nih.gov/pubmed/23461740" TargetMode="External"/><Relationship Id="rId458" Type="http://schemas.openxmlformats.org/officeDocument/2006/relationships/footer" Target="footer1.xml"/><Relationship Id="rId15" Type="http://schemas.openxmlformats.org/officeDocument/2006/relationships/hyperlink" Target="https://www.ncbi.nlm.nih.gov/pubmed/?term=Hsu%20SI%5BAuthor%5D&amp;cauthor=true&amp;cauthor_uid=12864877" TargetMode="External"/><Relationship Id="rId36" Type="http://schemas.openxmlformats.org/officeDocument/2006/relationships/hyperlink" Target="https://www.ncbi.nlm.nih.gov/pubmed/?term=Flaster%20E%5BAuthor%5D&amp;cauthor=true&amp;cauthor_uid=11427630" TargetMode="External"/><Relationship Id="rId57" Type="http://schemas.openxmlformats.org/officeDocument/2006/relationships/image" Target="media/image3.emf"/><Relationship Id="rId262" Type="http://schemas.openxmlformats.org/officeDocument/2006/relationships/hyperlink" Target="http://dx.DOI.org/10.1331/japha.2011.09154" TargetMode="External"/><Relationship Id="rId283" Type="http://schemas.openxmlformats.org/officeDocument/2006/relationships/hyperlink" Target="https://www.ncbi.nlm.nih.gov/pubmed/?term=Cornalba%20L%5BAuthor%5D&amp;cauthor=true&amp;cauthor_uid=10383015" TargetMode="External"/><Relationship Id="rId318" Type="http://schemas.openxmlformats.org/officeDocument/2006/relationships/hyperlink" Target="http://www.ncbi.nlm.nih.gov/pubmed/25758872" TargetMode="External"/><Relationship Id="rId339" Type="http://schemas.openxmlformats.org/officeDocument/2006/relationships/hyperlink" Target="https://www.ncbi.nlm.nih.gov/pubmed/?term=Dearing%20KA%5BAuthor%5D&amp;cauthor=true&amp;cauthor_uid=19120591" TargetMode="External"/><Relationship Id="rId78" Type="http://schemas.openxmlformats.org/officeDocument/2006/relationships/image" Target="media/image24.emf"/><Relationship Id="rId99" Type="http://schemas.openxmlformats.org/officeDocument/2006/relationships/hyperlink" Target="http://www.ncbi.nlm.nih.gov/pubmed/?term=Al-Hilali++2004" TargetMode="External"/><Relationship Id="rId101" Type="http://schemas.openxmlformats.org/officeDocument/2006/relationships/hyperlink" Target="http://search.ebscohost.com/login.aspx?direct=true&amp;profile=ehost&amp;scope=site&amp;authtype=crawler&amp;jrnl=17915201&amp;AN=102972264&amp;h=nCJ8Y5A1YnnHEwbawpxbjfD6E%2B5xavHa3MJVfFYTDIW7tzpQ%2BroyKBuaokFhMrRcJt9Xf%2F8KdYT53lJqCM7luw%3D%3D&amp;crl=c" TargetMode="External"/><Relationship Id="rId122" Type="http://schemas.openxmlformats.org/officeDocument/2006/relationships/hyperlink" Target="https://www.ncbi.nlm.nih.gov/pubmed/?term=Beauvais%20C%5BAuthor%5D&amp;cauthor=true&amp;cauthor_uid=26047784" TargetMode="External"/><Relationship Id="rId143" Type="http://schemas.openxmlformats.org/officeDocument/2006/relationships/hyperlink" Target="https://doi.org/10.1186/1745-0179-1-19" TargetMode="External"/><Relationship Id="rId164" Type="http://schemas.openxmlformats.org/officeDocument/2006/relationships/hyperlink" Target="http://www.ncbi.nlm.nih.gov/pubmed/?term=Greene%20T%5BAuthor%5D&amp;cauthor=true&amp;cauthor_uid=12490682" TargetMode="External"/><Relationship Id="rId185" Type="http://schemas.openxmlformats.org/officeDocument/2006/relationships/hyperlink" Target="https://www.ncbi.nlm.nih.gov/pubmed/?term=Maeda%20T%5BAuthor%5D&amp;cauthor=true&amp;cauthor_uid=17106210" TargetMode="External"/><Relationship Id="rId350" Type="http://schemas.openxmlformats.org/officeDocument/2006/relationships/hyperlink" Target="http://dx.doi.org/10.1046/j.1523-1755.2003.00064.x" TargetMode="External"/><Relationship Id="rId371" Type="http://schemas.openxmlformats.org/officeDocument/2006/relationships/hyperlink" Target="https://www.ncbi.nlm.nih.gov/pubmed/?term=Kimmel%20PL%5BAuthor%5D&amp;cauthor=true&amp;cauthor_uid=18922991" TargetMode="External"/><Relationship Id="rId406" Type="http://schemas.openxmlformats.org/officeDocument/2006/relationships/hyperlink" Target="https://www.ncbi.nlm.nih.gov/pubmed/?term=Panackal%20C%5BAuthor%5D&amp;cauthor=true&amp;cauthor_uid=23078600" TargetMode="External"/><Relationship Id="rId9" Type="http://schemas.openxmlformats.org/officeDocument/2006/relationships/hyperlink" Target="https://www.ncbi.nlm.nih.gov/pubmed/?term=Fowler%20FJ%20Jr%5BAuthor%5D&amp;cauthor=true&amp;cauthor_uid=21471491" TargetMode="External"/><Relationship Id="rId210" Type="http://schemas.openxmlformats.org/officeDocument/2006/relationships/hyperlink" Target="https://www.ncbi.nlm.nih.gov/pubmed/18823177" TargetMode="External"/><Relationship Id="rId392" Type="http://schemas.openxmlformats.org/officeDocument/2006/relationships/hyperlink" Target="https://www.ncbi.nlm.nih.gov/pubmed/?term=Servilla%20K%5BAuthor%5D&amp;cauthor=true&amp;cauthor_uid=17634440" TargetMode="External"/><Relationship Id="rId427" Type="http://schemas.openxmlformats.org/officeDocument/2006/relationships/hyperlink" Target="https://www.ncbi.nlm.nih.gov/pubmed/?term=Combe%20C%5BAuthor%5D&amp;cauthor=true&amp;cauthor_uid=20966121" TargetMode="External"/><Relationship Id="rId448" Type="http://schemas.openxmlformats.org/officeDocument/2006/relationships/hyperlink" Target="mailto:vicalikari@gmail.com" TargetMode="External"/><Relationship Id="rId26" Type="http://schemas.openxmlformats.org/officeDocument/2006/relationships/hyperlink" Target="https://www.ncbi.nlm.nih.gov/pubmed/?term=Callister%20LC%5BAuthor%5D&amp;cauthor=true&amp;cauthor_uid=19120591" TargetMode="External"/><Relationship Id="rId231" Type="http://schemas.openxmlformats.org/officeDocument/2006/relationships/hyperlink" Target="https://www.ncbi.nlm.nih.gov/pubmed/?term=Bromme%20R%5BAuthor%5D&amp;cauthor=true&amp;cauthor_uid=22365590" TargetMode="External"/><Relationship Id="rId252" Type="http://schemas.openxmlformats.org/officeDocument/2006/relationships/hyperlink" Target="https://www.ncbi.nlm.nih.gov/pubmed/?term=Okopie%C5%84%20B%5BAuthor%5D&amp;cauthor=true&amp;cauthor_uid=26039027" TargetMode="External"/><Relationship Id="rId273" Type="http://schemas.openxmlformats.org/officeDocument/2006/relationships/hyperlink" Target="https://www.ncbi.nlm.nih.gov/pubmed/?term=Pisoni%20RL%5BAuthor%5D&amp;cauthor=true&amp;cauthor_uid=22385781" TargetMode="External"/><Relationship Id="rId294" Type="http://schemas.openxmlformats.org/officeDocument/2006/relationships/hyperlink" Target="http://dx.doi.org/10.1097/00002480-199609000-00080" TargetMode="External"/><Relationship Id="rId308" Type="http://schemas.openxmlformats.org/officeDocument/2006/relationships/hyperlink" Target="http://dx.doi.org/10.1192/bjp.183.3.197" TargetMode="External"/><Relationship Id="rId329" Type="http://schemas.openxmlformats.org/officeDocument/2006/relationships/hyperlink" Target="https://www.ncbi.nlm.nih.gov/pubmed/?term=Hsu%20SI%5BAuthor%5D&amp;cauthor=true&amp;cauthor_uid=12864877" TargetMode="External"/><Relationship Id="rId47" Type="http://schemas.openxmlformats.org/officeDocument/2006/relationships/hyperlink" Target="https://www.ncbi.nlm.nih.gov/pubmed/?term=Oviedo%20HC%5BAuthor%5D&amp;cauthor=true&amp;cauthor_uid=19360231" TargetMode="External"/><Relationship Id="rId68" Type="http://schemas.openxmlformats.org/officeDocument/2006/relationships/image" Target="media/image14.emf"/><Relationship Id="rId89" Type="http://schemas.openxmlformats.org/officeDocument/2006/relationships/hyperlink" Target="https://www.ncbi.nlm.nih.gov/pubmed/?term=Keiser%20P%5BAuthor%5D&amp;cauthor=true&amp;cauthor_uid=24339861" TargetMode="External"/><Relationship Id="rId112" Type="http://schemas.openxmlformats.org/officeDocument/2006/relationships/hyperlink" Target="http://hayat.tums.ac.ir/search.php?sid=1&amp;slc_lang=en&amp;auth=Baraz" TargetMode="External"/><Relationship Id="rId133" Type="http://schemas.openxmlformats.org/officeDocument/2006/relationships/hyperlink" Target="https://www.ncbi.nlm.nih.gov/pubmed/19360231" TargetMode="External"/><Relationship Id="rId154" Type="http://schemas.openxmlformats.org/officeDocument/2006/relationships/hyperlink" Target="https://doi.org/10.1016/j.genhosppsych.2006.03.008" TargetMode="External"/><Relationship Id="rId175" Type="http://schemas.openxmlformats.org/officeDocument/2006/relationships/hyperlink" Target="https://www.ncbi.nlm.nih.gov/pubmed/9009823" TargetMode="External"/><Relationship Id="rId340" Type="http://schemas.openxmlformats.org/officeDocument/2006/relationships/hyperlink" Target="https://www.ncbi.nlm.nih.gov/pubmed/19120591" TargetMode="External"/><Relationship Id="rId361" Type="http://schemas.openxmlformats.org/officeDocument/2006/relationships/hyperlink" Target="https://doi.org/10.1016/S0272-6386(98)70017-4" TargetMode="External"/><Relationship Id="rId196" Type="http://schemas.openxmlformats.org/officeDocument/2006/relationships/hyperlink" Target="https://doi.org/10.1159/000169116" TargetMode="External"/><Relationship Id="rId200" Type="http://schemas.openxmlformats.org/officeDocument/2006/relationships/hyperlink" Target="http://www.ncbi.nlm.nih.gov/pubmed/?term=Brown%20EA%5BAuthor%5D&amp;cauthor=true&amp;cauthor_uid=12322817" TargetMode="External"/><Relationship Id="rId382" Type="http://schemas.openxmlformats.org/officeDocument/2006/relationships/hyperlink" Target="http://hdl.handle.net/11299/171823" TargetMode="External"/><Relationship Id="rId417" Type="http://schemas.openxmlformats.org/officeDocument/2006/relationships/hyperlink" Target="http://dx.doi.org/10.1007/s10157-014-1075-x" TargetMode="External"/><Relationship Id="rId438" Type="http://schemas.openxmlformats.org/officeDocument/2006/relationships/hyperlink" Target="https://www.ncbi.nlm.nih.gov/pubmed/?term=Zyga%20S%5BAuthor%5D&amp;cauthor=true&amp;cauthor_uid=21288312" TargetMode="External"/><Relationship Id="rId459" Type="http://schemas.openxmlformats.org/officeDocument/2006/relationships/fontTable" Target="fontTable.xml"/><Relationship Id="rId16" Type="http://schemas.openxmlformats.org/officeDocument/2006/relationships/hyperlink" Target="https://www.ncbi.nlm.nih.gov/pubmed/?term=McClellan%20W%5BAuthor%5D&amp;cauthor=true&amp;cauthor_uid=12864877" TargetMode="External"/><Relationship Id="rId221" Type="http://schemas.openxmlformats.org/officeDocument/2006/relationships/hyperlink" Target="http://dx.doi.org/10.1016/S1073-4449(97)70012-8" TargetMode="External"/><Relationship Id="rId242" Type="http://schemas.openxmlformats.org/officeDocument/2006/relationships/hyperlink" Target="https://www.ncbi.nlm.nih.gov/pubmed/?term=Veis%20JH%5BAuthor%5D&amp;cauthor=true&amp;cauthor_uid=8589317" TargetMode="External"/><Relationship Id="rId263" Type="http://schemas.openxmlformats.org/officeDocument/2006/relationships/hyperlink" Target="https://www.ncbi.nlm.nih.gov/pubmed/?term=Eknoyan%20G%5BAuthor%5D&amp;cauthor=true&amp;cauthor_uid=12859163" TargetMode="External"/><Relationship Id="rId284" Type="http://schemas.openxmlformats.org/officeDocument/2006/relationships/hyperlink" Target="https://www.ncbi.nlm.nih.gov/pubmed/?term=Cortinovis%20E%5BAuthor%5D&amp;cauthor=true&amp;cauthor_uid=10383015" TargetMode="External"/><Relationship Id="rId319" Type="http://schemas.openxmlformats.org/officeDocument/2006/relationships/hyperlink" Target="https://www.ncbi.nlm.nih.gov/pubmed/?term=Perico%20N%5BAuthor%5D&amp;cauthor=true&amp;cauthor_uid=25725241" TargetMode="External"/><Relationship Id="rId37" Type="http://schemas.openxmlformats.org/officeDocument/2006/relationships/hyperlink" Target="https://www.ncbi.nlm.nih.gov/pubmed/?term=Maesaka%20JK%5BAuthor%5D&amp;cauthor=true&amp;cauthor_uid=11427630" TargetMode="External"/><Relationship Id="rId58" Type="http://schemas.openxmlformats.org/officeDocument/2006/relationships/image" Target="media/image4.emf"/><Relationship Id="rId79" Type="http://schemas.openxmlformats.org/officeDocument/2006/relationships/image" Target="media/image25.emf"/><Relationship Id="rId102" Type="http://schemas.openxmlformats.org/officeDocument/2006/relationships/hyperlink" Target="http://www.academia.edu/download/36589515/10.11648.j.ajns.s.2015040201.21.pdf" TargetMode="External"/><Relationship Id="rId123" Type="http://schemas.openxmlformats.org/officeDocument/2006/relationships/hyperlink" Target="https://www.ncbi.nlm.nih.gov/pubmed/26047784" TargetMode="External"/><Relationship Id="rId144" Type="http://schemas.openxmlformats.org/officeDocument/2006/relationships/hyperlink" Target="https://doi.org/10.1681/ASN.2007030345" TargetMode="External"/><Relationship Id="rId330" Type="http://schemas.openxmlformats.org/officeDocument/2006/relationships/hyperlink" Target="https://www.ncbi.nlm.nih.gov/pubmed/?term=McClellan%20W%5BAuthor%5D&amp;cauthor=true&amp;cauthor_uid=12864877" TargetMode="External"/><Relationship Id="rId90" Type="http://schemas.openxmlformats.org/officeDocument/2006/relationships/hyperlink" Target="http://dx.doi.org/10.1371/journal.pone.0121376" TargetMode="External"/><Relationship Id="rId165" Type="http://schemas.openxmlformats.org/officeDocument/2006/relationships/hyperlink" Target="http://www.ncbi.nlm.nih.gov/pubmed/?term=Hemodialysis%20(HEMO)%20Study%20Group%5BCorporate%20Author%5D" TargetMode="External"/><Relationship Id="rId186" Type="http://schemas.openxmlformats.org/officeDocument/2006/relationships/hyperlink" Target="https://doi.org/10.1159/000096802" TargetMode="External"/><Relationship Id="rId351" Type="http://schemas.openxmlformats.org/officeDocument/2006/relationships/hyperlink" Target="http://dx.doi.org/10.1053/j.ajkd.2004.08.011" TargetMode="External"/><Relationship Id="rId372" Type="http://schemas.openxmlformats.org/officeDocument/2006/relationships/hyperlink" Target="https://www.ahrq.gov/" TargetMode="External"/><Relationship Id="rId393" Type="http://schemas.openxmlformats.org/officeDocument/2006/relationships/hyperlink" Target="https://www.ncbi.nlm.nih.gov/pubmed/?term=Zager%20PG%5BAuthor%5D&amp;cauthor=true&amp;cauthor_uid=17634440" TargetMode="External"/><Relationship Id="rId407" Type="http://schemas.openxmlformats.org/officeDocument/2006/relationships/hyperlink" Target="https://www.ncbi.nlm.nih.gov/pubmed/?term=John%20M%5BAuthor%5D&amp;cauthor=true&amp;cauthor_uid=23078600" TargetMode="External"/><Relationship Id="rId428" Type="http://schemas.openxmlformats.org/officeDocument/2006/relationships/hyperlink" Target="http://dx.doi.org/10.2215/cjn.02340310" TargetMode="External"/><Relationship Id="rId449" Type="http://schemas.openxmlformats.org/officeDocument/2006/relationships/hyperlink" Target="mailto:gdevins@uhnres.utoronto.ca" TargetMode="External"/><Relationship Id="rId211" Type="http://schemas.openxmlformats.org/officeDocument/2006/relationships/hyperlink" Target="http://dx.doi.org/10.1016/S0140-6736(96)01073-2" TargetMode="External"/><Relationship Id="rId232" Type="http://schemas.openxmlformats.org/officeDocument/2006/relationships/hyperlink" Target="https://www.ncbi.nlm.nih.gov/pubmed/22365590" TargetMode="External"/><Relationship Id="rId253" Type="http://schemas.openxmlformats.org/officeDocument/2006/relationships/hyperlink" Target="https://www.ncbi.nlm.nih.gov/pubmed/26039027" TargetMode="External"/><Relationship Id="rId274" Type="http://schemas.openxmlformats.org/officeDocument/2006/relationships/hyperlink" Target="http://dx.doi.org/10.1053/j.ajkd.2011.12.025" TargetMode="External"/><Relationship Id="rId295" Type="http://schemas.openxmlformats.org/officeDocument/2006/relationships/hyperlink" Target="http://dx.doi.org/10.5867/medwave.2016.07.6510" TargetMode="External"/><Relationship Id="rId309" Type="http://schemas.openxmlformats.org/officeDocument/2006/relationships/hyperlink" Target="http://dx.doi.org/10.1046/j.1365-2648.2001.01901.x" TargetMode="External"/><Relationship Id="rId460" Type="http://schemas.openxmlformats.org/officeDocument/2006/relationships/theme" Target="theme/theme1.xml"/><Relationship Id="rId27" Type="http://schemas.openxmlformats.org/officeDocument/2006/relationships/hyperlink" Target="https://www.ncbi.nlm.nih.gov/pubmed/?term=Berry%20JA%5BAuthor%5D&amp;cauthor=true&amp;cauthor_uid=19120591" TargetMode="External"/><Relationship Id="rId48" Type="http://schemas.openxmlformats.org/officeDocument/2006/relationships/hyperlink" Target="http://www.jehp.net/searchresult.asp?search=&amp;author=Fatemeh+Ghavidel&amp;journal=Y&amp;but_search=Search&amp;entries=10&amp;pg=1&amp;s=0" TargetMode="External"/><Relationship Id="rId69" Type="http://schemas.openxmlformats.org/officeDocument/2006/relationships/image" Target="media/image15.emf"/><Relationship Id="rId113" Type="http://schemas.openxmlformats.org/officeDocument/2006/relationships/hyperlink" Target="http://hayat.tums.ac.ir/search.php?sid=1&amp;slc_lang=en&amp;auth=Mohammadi" TargetMode="External"/><Relationship Id="rId134" Type="http://schemas.openxmlformats.org/officeDocument/2006/relationships/hyperlink" Target="https://www.ncbi.nlm.nih.gov/pubmed/?term=Eden%20S%5BAuthor%5D&amp;cauthor=true&amp;cauthor_uid=20671215" TargetMode="External"/><Relationship Id="rId320" Type="http://schemas.openxmlformats.org/officeDocument/2006/relationships/hyperlink" Target="https://www.ncbi.nlm.nih.gov/pubmed/?term=Remuzzi%20G%5BAuthor%5D&amp;cauthor=true&amp;cauthor_uid=25725241" TargetMode="External"/><Relationship Id="rId80" Type="http://schemas.openxmlformats.org/officeDocument/2006/relationships/image" Target="media/image26.emf"/><Relationship Id="rId155" Type="http://schemas.openxmlformats.org/officeDocument/2006/relationships/hyperlink" Target="https://www.ncbi.nlm.nih.gov/pubmed/?term=Ebrahimi%20H%5BAuthor%5D&amp;cauthor=true&amp;cauthor_uid=26997377" TargetMode="External"/><Relationship Id="rId176" Type="http://schemas.openxmlformats.org/officeDocument/2006/relationships/hyperlink" Target="http://dx.doi.org/10.4161/org.7.1.13997" TargetMode="External"/><Relationship Id="rId197" Type="http://schemas.openxmlformats.org/officeDocument/2006/relationships/hyperlink" Target="https://www.ncbi.nlm.nih.gov/pubmed/21617194" TargetMode="External"/><Relationship Id="rId341" Type="http://schemas.openxmlformats.org/officeDocument/2006/relationships/hyperlink" Target="http://dx.doi.org/10.1037//0022-3514.51.2.357" TargetMode="External"/><Relationship Id="rId362" Type="http://schemas.openxmlformats.org/officeDocument/2006/relationships/hyperlink" Target="https://doi.org/10.1016/0021-9681(87)90049-X" TargetMode="External"/><Relationship Id="rId383" Type="http://schemas.openxmlformats.org/officeDocument/2006/relationships/hyperlink" Target="https://www.ncbi.nlm.nih.gov/pubmed/?term=Emul%20M%5BAuthor%5D&amp;cauthor=true&amp;cauthor_uid=15705176" TargetMode="External"/><Relationship Id="rId418" Type="http://schemas.openxmlformats.org/officeDocument/2006/relationships/hyperlink" Target="https://www.ncbi.nlm.nih.gov/pubmed/?term=Uhlig%20K%5BAuthor%5D&amp;cauthor=true&amp;cauthor_uid=20363541" TargetMode="External"/><Relationship Id="rId439" Type="http://schemas.openxmlformats.org/officeDocument/2006/relationships/hyperlink" Target="https://www.ncbi.nlm.nih.gov/pubmed/?term=Christopoulou%20G%5BAuthor%5D&amp;cauthor=true&amp;cauthor_uid=21288312" TargetMode="External"/><Relationship Id="rId201" Type="http://schemas.openxmlformats.org/officeDocument/2006/relationships/hyperlink" Target="http://www.ncbi.nlm.nih.gov/pubmed/?term=Constantinovici%20N%5BAuthor%5D&amp;cauthor=true&amp;cauthor_uid=12322817" TargetMode="External"/><Relationship Id="rId222" Type="http://schemas.openxmlformats.org/officeDocument/2006/relationships/hyperlink" Target="https://www.ncbi.nlm.nih.gov/pubmed/?term=Papadimitropoulos%20E%5BAuthor%5D&amp;cauthor=true&amp;cauthor_uid=10951722" TargetMode="External"/><Relationship Id="rId243" Type="http://schemas.openxmlformats.org/officeDocument/2006/relationships/hyperlink" Target="http://dx.doi.org/10.1093/ndt/gfm341" TargetMode="External"/><Relationship Id="rId264" Type="http://schemas.openxmlformats.org/officeDocument/2006/relationships/hyperlink" Target="https://www.ncbi.nlm.nih.gov/pubmed/?term=Levey%20AS%5BAuthor%5D&amp;cauthor=true&amp;cauthor_uid=23067628" TargetMode="External"/><Relationship Id="rId285" Type="http://schemas.openxmlformats.org/officeDocument/2006/relationships/hyperlink" Target="https://www.ncbi.nlm.nih.gov/pubmed/?term=Ruggiata%20R%5BAuthor%5D&amp;cauthor=true&amp;cauthor_uid=10383015" TargetMode="External"/><Relationship Id="rId450" Type="http://schemas.openxmlformats.org/officeDocument/2006/relationships/image" Target="media/image30.jpeg"/><Relationship Id="rId17" Type="http://schemas.openxmlformats.org/officeDocument/2006/relationships/hyperlink" Target="https://www.ncbi.nlm.nih.gov/pubmed/?term=Krysiak%20R%5BAuthor%5D&amp;cauthor=true&amp;cauthor_uid=26039027" TargetMode="External"/><Relationship Id="rId38" Type="http://schemas.openxmlformats.org/officeDocument/2006/relationships/hyperlink" Target="https://www.ncbi.nlm.nih.gov/pubmed/?term=Fishbane%20S%5BAuthor%5D&amp;cauthor=true&amp;cauthor_uid=11427630" TargetMode="External"/><Relationship Id="rId59" Type="http://schemas.openxmlformats.org/officeDocument/2006/relationships/image" Target="media/image5.emf"/><Relationship Id="rId103" Type="http://schemas.openxmlformats.org/officeDocument/2006/relationships/hyperlink" Target="https://doi.org/10.4081/hpr.2017.6647" TargetMode="External"/><Relationship Id="rId124" Type="http://schemas.openxmlformats.org/officeDocument/2006/relationships/hyperlink" Target="https://doi.org/10.1016/j.jpsychores.2006.04.011" TargetMode="External"/><Relationship Id="rId310" Type="http://schemas.openxmlformats.org/officeDocument/2006/relationships/hyperlink" Target="https://www.ncbi.nlm.nih.gov/pubmed/?term=Parmar%20MS%5BAuthor%5D&amp;cauthor=true&amp;cauthor_uid=12114240" TargetMode="External"/><Relationship Id="rId70" Type="http://schemas.openxmlformats.org/officeDocument/2006/relationships/image" Target="media/image16.emf"/><Relationship Id="rId91" Type="http://schemas.openxmlformats.org/officeDocument/2006/relationships/hyperlink" Target="https://www.ncbi.nlm.nih.gov/pubmed/?term=Martin%20V%5BAuthor%5D&amp;cauthor=true&amp;cauthor_uid=12794563" TargetMode="External"/><Relationship Id="rId145" Type="http://schemas.openxmlformats.org/officeDocument/2006/relationships/hyperlink" Target="http://dx.doi.org/10.1177%2F0013164494054002011" TargetMode="External"/><Relationship Id="rId166" Type="http://schemas.openxmlformats.org/officeDocument/2006/relationships/hyperlink" Target="http://www.ncbi.nlm.nih.gov/pubmed/12490682" TargetMode="External"/><Relationship Id="rId187" Type="http://schemas.openxmlformats.org/officeDocument/2006/relationships/hyperlink" Target="https://dx.doi.org/10.12860%2FJNP.2013.17" TargetMode="External"/><Relationship Id="rId331" Type="http://schemas.openxmlformats.org/officeDocument/2006/relationships/hyperlink" Target="https://doi.org/10.1046/j.1523-1755.63.s83.13.x" TargetMode="External"/><Relationship Id="rId352" Type="http://schemas.openxmlformats.org/officeDocument/2006/relationships/hyperlink" Target="http://dx.doi.org/10.1521/jscp.1990.9.1.133" TargetMode="External"/><Relationship Id="rId373" Type="http://schemas.openxmlformats.org/officeDocument/2006/relationships/hyperlink" Target="https://dx.doi.org/10.1590/0034-7167-2016-0015" TargetMode="External"/><Relationship Id="rId394" Type="http://schemas.openxmlformats.org/officeDocument/2006/relationships/hyperlink" Target="http://www.ncbi.nlm.nih.gov/pubmed/?term=Termorshuizen%20F%5BAuthor%5D&amp;cauthor=true&amp;cauthor_uid=15034110" TargetMode="External"/><Relationship Id="rId408" Type="http://schemas.openxmlformats.org/officeDocument/2006/relationships/hyperlink" Target="https://www.ncbi.nlm.nih.gov/pubmed/?term=Joshi%20H%5BAuthor%5D&amp;cauthor=true&amp;cauthor_uid=23078600" TargetMode="External"/><Relationship Id="rId429" Type="http://schemas.openxmlformats.org/officeDocument/2006/relationships/hyperlink" Target="https://www.ncbi.nlm.nih.gov/pubmed/?term=Krediet%20RT%5BAuthor%5D&amp;cauthor=true&amp;cauthor_uid=19383834" TargetMode="External"/><Relationship Id="rId1" Type="http://schemas.openxmlformats.org/officeDocument/2006/relationships/customXml" Target="../customXml/item1.xml"/><Relationship Id="rId212" Type="http://schemas.openxmlformats.org/officeDocument/2006/relationships/hyperlink" Target="https://www.ncbi.nlm.nih.gov/pubmed/?term=Hemmati%20Maslakpak%20M%5BAuthor%5D&amp;cauthor=true&amp;cauthor_uid=26171412" TargetMode="External"/><Relationship Id="rId233" Type="http://schemas.openxmlformats.org/officeDocument/2006/relationships/hyperlink" Target="https://doi.org/10.1097/01.pra.0000344917.43780.77" TargetMode="External"/><Relationship Id="rId254" Type="http://schemas.openxmlformats.org/officeDocument/2006/relationships/hyperlink" Target="http://dx.doi.org/10.1111/j.1547-5069.2005.00009.x" TargetMode="External"/><Relationship Id="rId440" Type="http://schemas.openxmlformats.org/officeDocument/2006/relationships/hyperlink" Target="https://www.ncbi.nlm.nih.gov/pubmed/?term=Malliarou%20M%5BAuthor%5D&amp;cauthor=true&amp;cauthor_uid=21288312" TargetMode="External"/><Relationship Id="rId28" Type="http://schemas.openxmlformats.org/officeDocument/2006/relationships/hyperlink" Target="https://www.ncbi.nlm.nih.gov/pubmed/?term=Dearing%20KA%5BAuthor%5D&amp;cauthor=true&amp;cauthor_uid=19120591" TargetMode="External"/><Relationship Id="rId49" Type="http://schemas.openxmlformats.org/officeDocument/2006/relationships/hyperlink" Target="http://www.jehp.net/searchresult.asp?search=&amp;author=Shahla+Mohammadzadeh&amp;journal=Y&amp;but_search=Search&amp;entries=10&amp;pg=1&amp;s=0" TargetMode="External"/><Relationship Id="rId114" Type="http://schemas.openxmlformats.org/officeDocument/2006/relationships/hyperlink" Target="http://hayat.tums.ac.ir/search.php?sid=1&amp;slc_lang=en&amp;auth=Broumand" TargetMode="External"/><Relationship Id="rId275" Type="http://schemas.openxmlformats.org/officeDocument/2006/relationships/hyperlink" Target="http://dx.doi.org/10.1016/S0272-6386(03)00361-5" TargetMode="External"/><Relationship Id="rId296" Type="http://schemas.openxmlformats.org/officeDocument/2006/relationships/hyperlink" Target="https://www.ncbi.nlm.nih.gov/pubmed/?term=Novak%20M%5BAuthor%5D&amp;cauthor=true&amp;cauthor_uid=15161955" TargetMode="External"/><Relationship Id="rId300" Type="http://schemas.openxmlformats.org/officeDocument/2006/relationships/hyperlink" Target="http://www.ncbi.nlm.nih.gov/pubmed/?term=Morais%20JG%5BAuthor%5D&amp;cauthor=true&amp;cauthor_uid=21103674" TargetMode="External"/><Relationship Id="rId60" Type="http://schemas.openxmlformats.org/officeDocument/2006/relationships/image" Target="media/image6.emf"/><Relationship Id="rId81" Type="http://schemas.openxmlformats.org/officeDocument/2006/relationships/hyperlink" Target="https://www.ncbi.nlm.nih.gov/pubmed/?term=Sadeghi%20M%5BAuthor%5D&amp;cauthor=true&amp;cauthor_uid=26997377" TargetMode="External"/><Relationship Id="rId135" Type="http://schemas.openxmlformats.org/officeDocument/2006/relationships/hyperlink" Target="https://www.ncbi.nlm.nih.gov/pubmed/?term=Shintani%20A%5BAuthor%5D&amp;cauthor=true&amp;cauthor_uid=20671215" TargetMode="External"/><Relationship Id="rId156" Type="http://schemas.openxmlformats.org/officeDocument/2006/relationships/hyperlink" Target="https://www.ncbi.nlm.nih.gov/pubmed/?term=Sadeghi%20M%5BAuthor%5D&amp;cauthor=true&amp;cauthor_uid=26997377" TargetMode="External"/><Relationship Id="rId177" Type="http://schemas.openxmlformats.org/officeDocument/2006/relationships/hyperlink" Target="https://www.ncbi.nlm.nih.gov/pubmed/?term=Fowler%20FJ%20Jr%5BAuthor%5D&amp;cauthor=true&amp;cauthor_uid=21471491" TargetMode="External"/><Relationship Id="rId198" Type="http://schemas.openxmlformats.org/officeDocument/2006/relationships/hyperlink" Target="http://www.ncbi.nlm.nih.gov/pubmed/?term=Harris%20SA%5BAuthor%5D&amp;cauthor=true&amp;cauthor_uid=12322817" TargetMode="External"/><Relationship Id="rId321" Type="http://schemas.openxmlformats.org/officeDocument/2006/relationships/hyperlink" Target="https://www.ncbi.nlm.nih.gov/pubmed/25725241" TargetMode="External"/><Relationship Id="rId342" Type="http://schemas.openxmlformats.org/officeDocument/2006/relationships/hyperlink" Target="https://www.ncbi.nlm.nih.gov/pubmed/?term=Rushe%20H%5BAuthor%5D&amp;cauthor=true&amp;cauthor_uid=9753387" TargetMode="External"/><Relationship Id="rId363" Type="http://schemas.openxmlformats.org/officeDocument/2006/relationships/hyperlink" Target="http://www.ncbi.nlm.nih.gov/pubmed/26498415" TargetMode="External"/><Relationship Id="rId384" Type="http://schemas.openxmlformats.org/officeDocument/2006/relationships/hyperlink" Target="https://www.ncbi.nlm.nih.gov/pubmed/?term=Kaya%20M%5BAuthor%5D&amp;cauthor=true&amp;cauthor_uid=15705176" TargetMode="External"/><Relationship Id="rId419" Type="http://schemas.openxmlformats.org/officeDocument/2006/relationships/hyperlink" Target="https://www.ncbi.nlm.nih.gov/pubmed/?term=Berns%20JS%5BAuthor%5D&amp;cauthor=true&amp;cauthor_uid=20363541" TargetMode="External"/><Relationship Id="rId202" Type="http://schemas.openxmlformats.org/officeDocument/2006/relationships/hyperlink" Target="http://www.ncbi.nlm.nih.gov/pubmed/?term=North%20Thames%20Dialysis%20Study%20(NTDS)%20Group%5BCorporate%20Author%5D" TargetMode="External"/><Relationship Id="rId223" Type="http://schemas.openxmlformats.org/officeDocument/2006/relationships/hyperlink" Target="https://www.ncbi.nlm.nih.gov/pubmed/?term=Jalal%20DI%5BAuthor%5D&amp;cauthor=true&amp;cauthor_uid=20391294" TargetMode="External"/><Relationship Id="rId244" Type="http://schemas.openxmlformats.org/officeDocument/2006/relationships/hyperlink" Target="https://www.ncbi.nlm.nih.gov/pubmed/?term=Son%20BK%5BAuthor%5D&amp;cauthor=true&amp;cauthor_uid=12722038" TargetMode="External"/><Relationship Id="rId430" Type="http://schemas.openxmlformats.org/officeDocument/2006/relationships/hyperlink" Target="https://www.ncbi.nlm.nih.gov/pubmed/?term=Dekker%20FW%5BAuthor%5D&amp;cauthor=true&amp;cauthor_uid=19383834" TargetMode="External"/><Relationship Id="rId18" Type="http://schemas.openxmlformats.org/officeDocument/2006/relationships/hyperlink" Target="https://www.ncbi.nlm.nih.gov/pubmed/?term=K%C4%99dzia%20A%5BAuthor%5D&amp;cauthor=true&amp;cauthor_uid=26039027" TargetMode="External"/><Relationship Id="rId39" Type="http://schemas.openxmlformats.org/officeDocument/2006/relationships/hyperlink" Target="http://www.ncbi.nlm.nih.gov/pubmed/?term=Termorshuizen%20F%5BAuthor%5D&amp;cauthor=true&amp;cauthor_uid=15034110" TargetMode="External"/><Relationship Id="rId265" Type="http://schemas.openxmlformats.org/officeDocument/2006/relationships/hyperlink" Target="https://www.ncbi.nlm.nih.gov/pubmed/23067628" TargetMode="External"/><Relationship Id="rId286" Type="http://schemas.openxmlformats.org/officeDocument/2006/relationships/hyperlink" Target="https://www.ncbi.nlm.nih.gov/pubmed/?term=Mosconi%20P%5BAuthor%5D&amp;cauthor=true&amp;cauthor_uid=10383015" TargetMode="External"/><Relationship Id="rId451" Type="http://schemas.openxmlformats.org/officeDocument/2006/relationships/image" Target="media/image31.jpeg"/><Relationship Id="rId50" Type="http://schemas.openxmlformats.org/officeDocument/2006/relationships/hyperlink" Target="http://www.jehp.net/searchresult.asp?search=&amp;author=Ramin+Ravangard&amp;journal=Y&amp;but_search=Search&amp;entries=10&amp;pg=1&amp;s=0" TargetMode="External"/><Relationship Id="rId104" Type="http://schemas.openxmlformats.org/officeDocument/2006/relationships/hyperlink" Target="http://dx.doi.org/10.1053/jren.2002.33512" TargetMode="External"/><Relationship Id="rId125" Type="http://schemas.openxmlformats.org/officeDocument/2006/relationships/hyperlink" Target="https://doi.org/10.1111/j.1365-2648.2008.04932.x" TargetMode="External"/><Relationship Id="rId146" Type="http://schemas.openxmlformats.org/officeDocument/2006/relationships/hyperlink" Target="https://www.ncbi.nlm.nih.gov/pubmed/?term=Prichard%20S%5BAuthor%5D&amp;cauthor=true&amp;cauthor_uid=2313319" TargetMode="External"/><Relationship Id="rId167" Type="http://schemas.openxmlformats.org/officeDocument/2006/relationships/hyperlink" Target="https://doi.org/10.1056/NEJMoa021583" TargetMode="External"/><Relationship Id="rId188" Type="http://schemas.openxmlformats.org/officeDocument/2006/relationships/hyperlink" Target="http://www.ncbi.nlm.nih.gov/pubmed/?term=Garc%C3%ADa-Llana%20H%5BAuthor%5D&amp;cauthor=true&amp;cauthor_uid=23336548" TargetMode="External"/><Relationship Id="rId311" Type="http://schemas.openxmlformats.org/officeDocument/2006/relationships/hyperlink" Target="https://www.ncbi.nlm.nih.gov/pubmed/12114240" TargetMode="External"/><Relationship Id="rId332" Type="http://schemas.openxmlformats.org/officeDocument/2006/relationships/hyperlink" Target="http://www.revistanefrologia.com/es-publicacion-nefrologia-articulo-sintomas-fisicos-trastornos-emocionales-pacientes-programa-hemodialisis-periodicas-X0211699501013224" TargetMode="External"/><Relationship Id="rId353" Type="http://schemas.openxmlformats.org/officeDocument/2006/relationships/hyperlink" Target="http://dx.doi.org/10.1016/j.pec.2008.09.018" TargetMode="External"/><Relationship Id="rId374" Type="http://schemas.openxmlformats.org/officeDocument/2006/relationships/hyperlink" Target="http://dx.doi.org/10.1016/S0895%204356(98)00102-4" TargetMode="External"/><Relationship Id="rId395" Type="http://schemas.openxmlformats.org/officeDocument/2006/relationships/hyperlink" Target="http://www.ncbi.nlm.nih.gov/pubmed/?term=Dekker%20FW%5BAuthor%5D&amp;cauthor=true&amp;cauthor_uid=15034110" TargetMode="External"/><Relationship Id="rId409" Type="http://schemas.openxmlformats.org/officeDocument/2006/relationships/hyperlink" Target="https://www.ncbi.nlm.nih.gov/pubmed/?term=Mathai%20S%5BAuthor%5D&amp;cauthor=true&amp;cauthor_uid=23078600" TargetMode="External"/><Relationship Id="rId71" Type="http://schemas.openxmlformats.org/officeDocument/2006/relationships/image" Target="media/image17.emf"/><Relationship Id="rId92" Type="http://schemas.openxmlformats.org/officeDocument/2006/relationships/hyperlink" Target="https://www.ncbi.nlm.nih.gov/pubmed/?term=HAART%20Adherence%20Working%20Group%20for%20the%20Province%20of%20Leon%2C%20Spain%5BCorporate%20Author%5D" TargetMode="External"/><Relationship Id="rId213" Type="http://schemas.openxmlformats.org/officeDocument/2006/relationships/hyperlink" Target="https://www.ncbi.nlm.nih.gov/pubmed/?term=Shams%20S%5BAuthor%5D&amp;cauthor=true&amp;cauthor_uid=26171412" TargetMode="External"/><Relationship Id="rId234" Type="http://schemas.openxmlformats.org/officeDocument/2006/relationships/hyperlink" Target="http://dx.doi.org/10.1044/1058-0360.0901.03" TargetMode="External"/><Relationship Id="rId420" Type="http://schemas.openxmlformats.org/officeDocument/2006/relationships/hyperlink" Target="https://www.ncbi.nlm.nih.gov/pubmed/?term=Kestenbaum%20B%5BAuthor%5D&amp;cauthor=true&amp;cauthor_uid=20363541" TargetMode="External"/><Relationship Id="rId2" Type="http://schemas.openxmlformats.org/officeDocument/2006/relationships/numbering" Target="numbering.xml"/><Relationship Id="rId29" Type="http://schemas.openxmlformats.org/officeDocument/2006/relationships/hyperlink" Target="https://www.ncbi.nlm.nih.gov/pubmed/?term=Maeding%20I%5BAuthor%5D&amp;cauthor=true&amp;cauthor_uid=20954134" TargetMode="External"/><Relationship Id="rId255" Type="http://schemas.openxmlformats.org/officeDocument/2006/relationships/hyperlink" Target="https://www.ncbi.nlm.nih.gov/pubmed/?term=Kugler%20C%5BAuthor%5D&amp;cauthor=true&amp;cauthor_uid=20954134" TargetMode="External"/><Relationship Id="rId276" Type="http://schemas.openxmlformats.org/officeDocument/2006/relationships/hyperlink" Target="https://www.ncbi.nlm.nih.gov/pubmed/?term=Muther%20RS%5BAuthor%5D&amp;cauthor=true&amp;cauthor_uid=12552501" TargetMode="External"/><Relationship Id="rId297" Type="http://schemas.openxmlformats.org/officeDocument/2006/relationships/hyperlink" Target="http://dx.doi.org/10.1111/ijn.12205" TargetMode="External"/><Relationship Id="rId441" Type="http://schemas.openxmlformats.org/officeDocument/2006/relationships/hyperlink" Target="https://www.ncbi.nlm.nih.gov/pubmed/21288312" TargetMode="External"/><Relationship Id="rId462" Type="http://schemas.microsoft.com/office/2007/relationships/stylesWithEffects" Target="stylesWithEffects.xml"/><Relationship Id="rId40" Type="http://schemas.openxmlformats.org/officeDocument/2006/relationships/hyperlink" Target="http://www.ncbi.nlm.nih.gov/pubmed/?term=Jasemi%20M%5BAuthor%5D&amp;cauthor=true&amp;cauthor_uid=25758872" TargetMode="External"/><Relationship Id="rId115" Type="http://schemas.openxmlformats.org/officeDocument/2006/relationships/hyperlink" Target="http://hayat.tums.ac.ir/article-1-238-en.pdf" TargetMode="External"/><Relationship Id="rId136" Type="http://schemas.openxmlformats.org/officeDocument/2006/relationships/hyperlink" Target="https://www.ncbi.nlm.nih.gov/pubmed/?term=Wallston%20KA%5BAuthor%5D&amp;cauthor=true&amp;cauthor_uid=20671215" TargetMode="External"/><Relationship Id="rId157" Type="http://schemas.openxmlformats.org/officeDocument/2006/relationships/hyperlink" Target="https://www.ncbi.nlm.nih.gov/pubmed/?term=Amanpour%20F%5BAuthor%5D&amp;cauthor=true&amp;cauthor_uid=26997377" TargetMode="External"/><Relationship Id="rId178" Type="http://schemas.openxmlformats.org/officeDocument/2006/relationships/hyperlink" Target="https://www.ncbi.nlm.nih.gov/pubmed/?term=Levin%20CA%5BAuthor%5D&amp;cauthor=true&amp;cauthor_uid=21471491" TargetMode="External"/><Relationship Id="rId301" Type="http://schemas.openxmlformats.org/officeDocument/2006/relationships/hyperlink" Target="http://www.ncbi.nlm.nih.gov/pubmed/?term=dos%20Santos%20RG%5BAuthor%5D&amp;cauthor=true&amp;cauthor_uid=21103674" TargetMode="External"/><Relationship Id="rId322" Type="http://schemas.openxmlformats.org/officeDocument/2006/relationships/hyperlink" Target="http://dx.doi.org/10.1097/yco.0b013e328014a871" TargetMode="External"/><Relationship Id="rId343" Type="http://schemas.openxmlformats.org/officeDocument/2006/relationships/hyperlink" Target="https://www.ncbi.nlm.nih.gov/pubmed/?term=McGee%20HM%5BAuthor%5D&amp;cauthor=true&amp;cauthor_uid=9753387" TargetMode="External"/><Relationship Id="rId364" Type="http://schemas.openxmlformats.org/officeDocument/2006/relationships/hyperlink" Target="https://www.ncbi.nlm.nih.gov/pubmed/?term=Spikmans%20FJ%5BAuthor%5D&amp;cauthor=true&amp;cauthor_uid=12753108" TargetMode="External"/><Relationship Id="rId61" Type="http://schemas.openxmlformats.org/officeDocument/2006/relationships/image" Target="media/image7.emf"/><Relationship Id="rId82" Type="http://schemas.openxmlformats.org/officeDocument/2006/relationships/hyperlink" Target="https://www.ncbi.nlm.nih.gov/pubmed/?term=Amanpour%20F%5BAuthor%5D&amp;cauthor=true&amp;cauthor_uid=26997377" TargetMode="External"/><Relationship Id="rId199" Type="http://schemas.openxmlformats.org/officeDocument/2006/relationships/hyperlink" Target="http://www.ncbi.nlm.nih.gov/pubmed/?term=Lamping%20DL%5BAuthor%5D&amp;cauthor=true&amp;cauthor_uid=12322817" TargetMode="External"/><Relationship Id="rId203" Type="http://schemas.openxmlformats.org/officeDocument/2006/relationships/hyperlink" Target="http://www.ncbi.nlm.nih.gov/pubmed/12322817" TargetMode="External"/><Relationship Id="rId385" Type="http://schemas.openxmlformats.org/officeDocument/2006/relationships/hyperlink" Target="https://www.ncbi.nlm.nih.gov/pubmed/?term=Taskapan%20C%5BAuthor%5D&amp;cauthor=true&amp;cauthor_uid=15705176" TargetMode="External"/><Relationship Id="rId19" Type="http://schemas.openxmlformats.org/officeDocument/2006/relationships/hyperlink" Target="https://www.ncbi.nlm.nih.gov/pubmed/?term=Krupej-K%C4%99dzierska%20J%5BAuthor%5D&amp;cauthor=true&amp;cauthor_uid=26039027" TargetMode="External"/><Relationship Id="rId224" Type="http://schemas.openxmlformats.org/officeDocument/2006/relationships/hyperlink" Target="https://www.ncbi.nlm.nih.gov/pubmed/?term=Chonchol%20M%5BAuthor%5D&amp;cauthor=true&amp;cauthor_uid=20391294" TargetMode="External"/><Relationship Id="rId245" Type="http://schemas.openxmlformats.org/officeDocument/2006/relationships/hyperlink" Target="http://dx.doi.org/10.1016/s0272-6386(03)00201-4" TargetMode="External"/><Relationship Id="rId266" Type="http://schemas.openxmlformats.org/officeDocument/2006/relationships/hyperlink" Target="https://www.ncbi.nlm.nih.gov/pubmed/?term=Tobe%20S%5BAuthor%5D&amp;cauthor=true&amp;cauthor_uid=19015566" TargetMode="External"/><Relationship Id="rId287" Type="http://schemas.openxmlformats.org/officeDocument/2006/relationships/hyperlink" Target="https://www.ncbi.nlm.nih.gov/pubmed/?term=Apolone%20G%5BAuthor%5D&amp;cauthor=true&amp;cauthor_uid=10383015" TargetMode="External"/><Relationship Id="rId410" Type="http://schemas.openxmlformats.org/officeDocument/2006/relationships/hyperlink" Target="https://www.ncbi.nlm.nih.gov/pubmed/?term=Kattickaran%20J%5BAuthor%5D&amp;cauthor=true&amp;cauthor_uid=23078600" TargetMode="External"/><Relationship Id="rId431" Type="http://schemas.openxmlformats.org/officeDocument/2006/relationships/hyperlink" Target="https://www.ncbi.nlm.nih.gov/pubmed/?term=NECOSAD%20Study%20Group%5BCorporate%20Author%5D" TargetMode="External"/><Relationship Id="rId452" Type="http://schemas.openxmlformats.org/officeDocument/2006/relationships/image" Target="media/image32.jpeg"/><Relationship Id="rId30" Type="http://schemas.openxmlformats.org/officeDocument/2006/relationships/hyperlink" Target="https://www.ncbi.nlm.nih.gov/pubmed/?term=Russell%20CL%5BAuthor%5D&amp;cauthor=true&amp;cauthor_uid=20954134" TargetMode="External"/><Relationship Id="rId105" Type="http://schemas.openxmlformats.org/officeDocument/2006/relationships/hyperlink" Target="https://www.ncbi.nlm.nih.gov/pubmed/26332760" TargetMode="External"/><Relationship Id="rId126" Type="http://schemas.openxmlformats.org/officeDocument/2006/relationships/hyperlink" Target="https://www.ncbi.nlm.nih.gov/pubmed/?term=Bergstrom%20RF%5BAuthor%5D&amp;cauthor=true&amp;cauthor_uid=9565715" TargetMode="External"/><Relationship Id="rId147" Type="http://schemas.openxmlformats.org/officeDocument/2006/relationships/hyperlink" Target="http://dx.doi.org/10.1016/0895-4356(90)90010-M" TargetMode="External"/><Relationship Id="rId168" Type="http://schemas.openxmlformats.org/officeDocument/2006/relationships/hyperlink" Target="https://www.ncbi.nlm.nih.gov/pubmed/?term=Choi%20MJ%5BAuthor%5D&amp;cauthor=true&amp;cauthor_uid=24152744" TargetMode="External"/><Relationship Id="rId312" Type="http://schemas.openxmlformats.org/officeDocument/2006/relationships/hyperlink" Target="http://www.ncbi.nlm.nih.gov/pubmed/?term=Parvan%20K%5BAuthor%5D&amp;cauthor=true&amp;cauthor_uid=25758872" TargetMode="External"/><Relationship Id="rId333" Type="http://schemas.openxmlformats.org/officeDocument/2006/relationships/hyperlink" Target="http://dx.doi.org/10.3810/pgm.2000.07.1152" TargetMode="External"/><Relationship Id="rId354" Type="http://schemas.openxmlformats.org/officeDocument/2006/relationships/hyperlink" Target="http://www.ncbi.nlm.nih.gov/pubmed/?term=Shi%20YX%5BAuthor%5D&amp;cauthor=true&amp;cauthor_uid=23480506" TargetMode="External"/><Relationship Id="rId51" Type="http://schemas.openxmlformats.org/officeDocument/2006/relationships/hyperlink" Target="https://www.ncbi.nlm.nih.gov/pubmed/?term=Baraz%20S%5BAuthor%5D&amp;cauthor=true&amp;cauthor_uid=25389489" TargetMode="External"/><Relationship Id="rId72" Type="http://schemas.openxmlformats.org/officeDocument/2006/relationships/image" Target="media/image18.emf"/><Relationship Id="rId93" Type="http://schemas.openxmlformats.org/officeDocument/2006/relationships/hyperlink" Target="http://www.ncbi.nlm.nih.gov/pubmed/?term=Al-Hilali%20N%5BAuthor%5D&amp;cauthor=true&amp;cauthor_uid=15350488" TargetMode="External"/><Relationship Id="rId189" Type="http://schemas.openxmlformats.org/officeDocument/2006/relationships/hyperlink" Target="http://www.ncbi.nlm.nih.gov/pubmed/?term=Remor%20E%5BAuthor%5D&amp;cauthor=true&amp;cauthor_uid=23336548" TargetMode="External"/><Relationship Id="rId375" Type="http://schemas.openxmlformats.org/officeDocument/2006/relationships/hyperlink" Target="http://www.ncbi.nlm.nih.gov/pubmed/?term=Svarstad%20BL%5BAuthor%5D&amp;cauthor=true&amp;cauthor_uid=14528539" TargetMode="External"/><Relationship Id="rId396" Type="http://schemas.openxmlformats.org/officeDocument/2006/relationships/hyperlink" Target="http://www.ncbi.nlm.nih.gov/pubmed/?term=van%20Manen%20JG%5BAuthor%5D&amp;cauthor=true&amp;cauthor_uid=15034110" TargetMode="External"/><Relationship Id="rId3" Type="http://schemas.openxmlformats.org/officeDocument/2006/relationships/styles" Target="styles.xml"/><Relationship Id="rId214" Type="http://schemas.openxmlformats.org/officeDocument/2006/relationships/hyperlink" Target="https://www.ncbi.nlm.nih.gov/pubmed/26171412" TargetMode="External"/><Relationship Id="rId235" Type="http://schemas.openxmlformats.org/officeDocument/2006/relationships/hyperlink" Target="http://dx.doi.org/10.1093/ndt/gfh143" TargetMode="External"/><Relationship Id="rId256" Type="http://schemas.openxmlformats.org/officeDocument/2006/relationships/hyperlink" Target="https://www.ncbi.nlm.nih.gov/pubmed/?term=Maeding%20I%5BAuthor%5D&amp;cauthor=true&amp;cauthor_uid=20954134" TargetMode="External"/><Relationship Id="rId277" Type="http://schemas.openxmlformats.org/officeDocument/2006/relationships/hyperlink" Target="https://www.ncbi.nlm.nih.gov/pubmed/?term=Klarenbach%20S%5BAuthor%5D&amp;cauthor=true&amp;cauthor_uid=20438984" TargetMode="External"/><Relationship Id="rId298" Type="http://schemas.openxmlformats.org/officeDocument/2006/relationships/hyperlink" Target="https://doi.org/10.1159/000093620" TargetMode="External"/><Relationship Id="rId400" Type="http://schemas.openxmlformats.org/officeDocument/2006/relationships/hyperlink" Target="http://www.ncbi.nlm.nih.gov/pubmed/?term=NECOSAD%20Study%20Group%5BCorporate%20Author%5D" TargetMode="External"/><Relationship Id="rId421" Type="http://schemas.openxmlformats.org/officeDocument/2006/relationships/hyperlink" Target="https://www.ncbi.nlm.nih.gov/pubmed/?term=Kumar%20R%5BAuthor%5D&amp;cauthor=true&amp;cauthor_uid=20363541" TargetMode="External"/><Relationship Id="rId442" Type="http://schemas.openxmlformats.org/officeDocument/2006/relationships/hyperlink" Target="http://doi.org/10.5455/medarh.2015.69.376-380" TargetMode="External"/><Relationship Id="rId116" Type="http://schemas.openxmlformats.org/officeDocument/2006/relationships/hyperlink" Target="http://hayat.tums.ac.ir/article-1-238-en.html" TargetMode="External"/><Relationship Id="rId137" Type="http://schemas.openxmlformats.org/officeDocument/2006/relationships/hyperlink" Target="https://www.ncbi.nlm.nih.gov/pubmed/?term=Ikizler%20TA%5BAuthor%5D&amp;cauthor=true&amp;cauthor_uid=20671215" TargetMode="External"/><Relationship Id="rId158" Type="http://schemas.openxmlformats.org/officeDocument/2006/relationships/hyperlink" Target="https://www.ncbi.nlm.nih.gov/pubmed/?term=Dadgari%20A%5BAuthor%5D&amp;cauthor=true&amp;cauthor_uid=26997377" TargetMode="External"/><Relationship Id="rId302" Type="http://schemas.openxmlformats.org/officeDocument/2006/relationships/hyperlink" Target="http://www.ncbi.nlm.nih.gov/pubmed/?term=Kr%C3%BCger%20TS%5BAuthor%5D&amp;cauthor=true&amp;cauthor_uid=21103674" TargetMode="External"/><Relationship Id="rId323" Type="http://schemas.openxmlformats.org/officeDocument/2006/relationships/hyperlink" Target="http://dx.doi.org/10.1046/j.1365-2648.2003.02504.x" TargetMode="External"/><Relationship Id="rId344" Type="http://schemas.openxmlformats.org/officeDocument/2006/relationships/hyperlink" Target="https://www.ncbi.nlm.nih.gov/pubmed/9753387" TargetMode="External"/><Relationship Id="rId20" Type="http://schemas.openxmlformats.org/officeDocument/2006/relationships/hyperlink" Target="https://www.ncbi.nlm.nih.gov/pubmed/?term=Kowalska%20B%5BAuthor%5D&amp;cauthor=true&amp;cauthor_uid=26039027" TargetMode="External"/><Relationship Id="rId41" Type="http://schemas.openxmlformats.org/officeDocument/2006/relationships/hyperlink" Target="https://www.ncbi.nlm.nih.gov/pubmed/?term=Shams%20S%5BAuthor%5D&amp;cauthor=true&amp;cauthor_uid=26171412" TargetMode="External"/><Relationship Id="rId62" Type="http://schemas.openxmlformats.org/officeDocument/2006/relationships/image" Target="media/image8.emf"/><Relationship Id="rId83" Type="http://schemas.openxmlformats.org/officeDocument/2006/relationships/hyperlink" Target="https://www.ncbi.nlm.nih.gov/pubmed/?term=Dadgari%20A%5BAuthor%5D&amp;cauthor=true&amp;cauthor_uid=26997377" TargetMode="External"/><Relationship Id="rId179" Type="http://schemas.openxmlformats.org/officeDocument/2006/relationships/hyperlink" Target="https://www.ncbi.nlm.nih.gov/pubmed/?term=Sepucha%20KR%5BAuthor%5D&amp;cauthor=true&amp;cauthor_uid=21471491" TargetMode="External"/><Relationship Id="rId365" Type="http://schemas.openxmlformats.org/officeDocument/2006/relationships/hyperlink" Target="https://www.ncbi.nlm.nih.gov/pubmed/?term=Brug%20J%5BAuthor%5D&amp;cauthor=true&amp;cauthor_uid=12753108" TargetMode="External"/><Relationship Id="rId386" Type="http://schemas.openxmlformats.org/officeDocument/2006/relationships/hyperlink" Target="https://doi.org/10.1111/j.1440-1797.2005.00321.x" TargetMode="External"/><Relationship Id="rId190" Type="http://schemas.openxmlformats.org/officeDocument/2006/relationships/hyperlink" Target="http://www.ncbi.nlm.nih.gov/pubmed/?term=Selgas%20R%5BAuthor%5D&amp;cauthor=true&amp;cauthor_uid=23336548" TargetMode="External"/><Relationship Id="rId204" Type="http://schemas.openxmlformats.org/officeDocument/2006/relationships/hyperlink" Target="https://www.ncbi.nlm.nih.gov/pubmed/?term=Haskard%20KB%5BAuthor%5D&amp;cauthor=true&amp;cauthor_uid=18823177" TargetMode="External"/><Relationship Id="rId225" Type="http://schemas.openxmlformats.org/officeDocument/2006/relationships/hyperlink" Target="https://www.ncbi.nlm.nih.gov/pubmed/?term=Targher%20G%5BAuthor%5D&amp;cauthor=true&amp;cauthor_uid=20391294" TargetMode="External"/><Relationship Id="rId246" Type="http://schemas.openxmlformats.org/officeDocument/2006/relationships/hyperlink" Target="http://dx.DOI.org/10.1177/0272989x07306782" TargetMode="External"/><Relationship Id="rId267" Type="http://schemas.openxmlformats.org/officeDocument/2006/relationships/hyperlink" Target="https://www.ncbi.nlm.nih.gov/pubmed/?term=McFarlane%20P%5BAuthor%5D&amp;cauthor=true&amp;cauthor_uid=19015566" TargetMode="External"/><Relationship Id="rId288" Type="http://schemas.openxmlformats.org/officeDocument/2006/relationships/hyperlink" Target="http://dx.doi.org/10.1093/ndt/gfi087" TargetMode="External"/><Relationship Id="rId411" Type="http://schemas.openxmlformats.org/officeDocument/2006/relationships/hyperlink" Target="https://www.ncbi.nlm.nih.gov/pubmed/?term=Iqbal%20M%5BAuthor%5D&amp;cauthor=true&amp;cauthor_uid=23078600" TargetMode="External"/><Relationship Id="rId432" Type="http://schemas.openxmlformats.org/officeDocument/2006/relationships/hyperlink" Target="http://dx.doi.org/10.1093/ndt/gfp184" TargetMode="External"/><Relationship Id="rId453" Type="http://schemas.openxmlformats.org/officeDocument/2006/relationships/image" Target="media/image33.jpeg"/><Relationship Id="rId106" Type="http://schemas.openxmlformats.org/officeDocument/2006/relationships/hyperlink" Target="http://doi.org/10.1681/ASN.2011111078" TargetMode="External"/><Relationship Id="rId127" Type="http://schemas.openxmlformats.org/officeDocument/2006/relationships/hyperlink" Target="https://doi.org/10.2190/WQ33-M54T-XN7L-V8MX" TargetMode="External"/><Relationship Id="rId313" Type="http://schemas.openxmlformats.org/officeDocument/2006/relationships/hyperlink" Target="http://www.ncbi.nlm.nih.gov/pubmed/?term=Ahangar%20R%5BAuthor%5D&amp;cauthor=true&amp;cauthor_uid=25758872" TargetMode="External"/><Relationship Id="rId10" Type="http://schemas.openxmlformats.org/officeDocument/2006/relationships/hyperlink" Target="https://www.ncbi.nlm.nih.gov/pubmed/?term=Levin%20CA%5BAuthor%5D&amp;cauthor=true&amp;cauthor_uid=21471491" TargetMode="External"/><Relationship Id="rId31" Type="http://schemas.openxmlformats.org/officeDocument/2006/relationships/hyperlink" Target="https://www.ncbi.nlm.nih.gov/pubmed/?term=Uhlig%20K%5BAuthor%5D&amp;cauthor=true&amp;cauthor_uid=20363541" TargetMode="External"/><Relationship Id="rId52" Type="http://schemas.openxmlformats.org/officeDocument/2006/relationships/hyperlink" Target="https://www.ncbi.nlm.nih.gov/pubmed/?term=Zarea%20K%5BAuthor%5D&amp;cauthor=true&amp;cauthor_uid=25389489" TargetMode="External"/><Relationship Id="rId73" Type="http://schemas.openxmlformats.org/officeDocument/2006/relationships/image" Target="media/image19.emf"/><Relationship Id="rId94" Type="http://schemas.openxmlformats.org/officeDocument/2006/relationships/hyperlink" Target="http://www.ncbi.nlm.nih.gov/pubmed/?term=Al-Humoud%20HM%5BAuthor%5D&amp;cauthor=true&amp;cauthor_uid=15350488" TargetMode="External"/><Relationship Id="rId148" Type="http://schemas.openxmlformats.org/officeDocument/2006/relationships/hyperlink" Target="https://doi.org/10.1159/000452725" TargetMode="External"/><Relationship Id="rId169" Type="http://schemas.openxmlformats.org/officeDocument/2006/relationships/hyperlink" Target="https://www.ncbi.nlm.nih.gov/pubmed/?term=National%20Kidney%20Foundation%5BCorporate%20Author%5D" TargetMode="External"/><Relationship Id="rId334" Type="http://schemas.openxmlformats.org/officeDocument/2006/relationships/hyperlink" Target="http://dx.doi.org/10.1053/j.ajkd.2010.04.021" TargetMode="External"/><Relationship Id="rId355" Type="http://schemas.openxmlformats.org/officeDocument/2006/relationships/hyperlink" Target="http://www.ncbi.nlm.nih.gov/pubmed/?term=Fan%20XY%5BAuthor%5D&amp;cauthor=true&amp;cauthor_uid=23480506" TargetMode="External"/><Relationship Id="rId376" Type="http://schemas.openxmlformats.org/officeDocument/2006/relationships/hyperlink" Target="http://www.ncbi.nlm.nih.gov/pubmed/?term=Chewning%20BA%5BAuthor%5D&amp;cauthor=true&amp;cauthor_uid=14528539" TargetMode="External"/><Relationship Id="rId397" Type="http://schemas.openxmlformats.org/officeDocument/2006/relationships/hyperlink" Target="http://www.ncbi.nlm.nih.gov/pubmed/?term=Korevaar%20JC%5BAuthor%5D&amp;cauthor=true&amp;cauthor_uid=15034110" TargetMode="External"/><Relationship Id="rId4" Type="http://schemas.openxmlformats.org/officeDocument/2006/relationships/settings" Target="settings.xml"/><Relationship Id="rId180" Type="http://schemas.openxmlformats.org/officeDocument/2006/relationships/hyperlink" Target="https://www.ncbi.nlm.nih.gov/pubmed/?term=Informing+And+Involving+Patients+To+Improve+The+Quality+Of+Medical+Decisions" TargetMode="External"/><Relationship Id="rId215" Type="http://schemas.openxmlformats.org/officeDocument/2006/relationships/hyperlink" Target="https://www.ncbi.nlm.nih.gov/pubmed/?term=Tulloch%20W%5BAuthor%5D&amp;cauthor=true&amp;cauthor_uid=27818428" TargetMode="External"/><Relationship Id="rId236" Type="http://schemas.openxmlformats.org/officeDocument/2006/relationships/hyperlink" Target="http://dx.doi.org/10.1111/j.1525-1594.2008.00675.x" TargetMode="External"/><Relationship Id="rId257" Type="http://schemas.openxmlformats.org/officeDocument/2006/relationships/hyperlink" Target="https://www.ncbi.nlm.nih.gov/pubmed/?term=Russell%20CL%5BAuthor%5D&amp;cauthor=true&amp;cauthor_uid=20954134" TargetMode="External"/><Relationship Id="rId278" Type="http://schemas.openxmlformats.org/officeDocument/2006/relationships/hyperlink" Target="http://dx.doi.org/10.1053/j.ajkd.2010.02.339" TargetMode="External"/><Relationship Id="rId401" Type="http://schemas.openxmlformats.org/officeDocument/2006/relationships/hyperlink" Target="http://www.ncbi.nlm.nih.gov/pubmed/?term=Relative+Contribution+of+Residual+Renal+Function+and+Different+Measures+of+Adequacy+to+Survival+in+Hemodialysis+Patients%3A+An+analysis+of+the+Netherlands+Cooperative+Study+on+the+Adequacy+of+Dialysis+(NECOSAD)-2" TargetMode="External"/><Relationship Id="rId422" Type="http://schemas.openxmlformats.org/officeDocument/2006/relationships/hyperlink" Target="https://www.ncbi.nlm.nih.gov/pubmed/?term=Leonard%20MB%5BAuthor%5D&amp;cauthor=true&amp;cauthor_uid=20363541" TargetMode="External"/><Relationship Id="rId443" Type="http://schemas.openxmlformats.org/officeDocument/2006/relationships/image" Target="media/image27.jpeg"/><Relationship Id="rId303" Type="http://schemas.openxmlformats.org/officeDocument/2006/relationships/hyperlink" Target="http://www.ncbi.nlm.nih.gov/pubmed/?term=Koene%20TT%5BAuthor%5D&amp;cauthor=true&amp;cauthor_uid=21103674" TargetMode="External"/><Relationship Id="rId42" Type="http://schemas.openxmlformats.org/officeDocument/2006/relationships/hyperlink" Target="http://www.ncbi.nlm.nih.gov/pubmed/?term=Remor%20E%5BAuthor%5D&amp;cauthor=true&amp;cauthor_uid=23336548" TargetMode="External"/><Relationship Id="rId84" Type="http://schemas.openxmlformats.org/officeDocument/2006/relationships/hyperlink" Target="https://www.ncbi.nlm.nih.gov/pmc/articles/PMC4954909/" TargetMode="External"/><Relationship Id="rId138" Type="http://schemas.openxmlformats.org/officeDocument/2006/relationships/hyperlink" Target="https://doi.org/10.1681/ASN.2009111163" TargetMode="External"/><Relationship Id="rId345" Type="http://schemas.openxmlformats.org/officeDocument/2006/relationships/hyperlink" Target="http://dx.doi.org/10.1016/S0022-3999(97)00228-6" TargetMode="External"/><Relationship Id="rId387" Type="http://schemas.openxmlformats.org/officeDocument/2006/relationships/hyperlink" Target="https://www.ncbi.nlm.nih.gov/pubmed/?term=Zoccali%20C%5BAuthor%5D&amp;cauthor=true&amp;cauthor_uid=21551086" TargetMode="External"/><Relationship Id="rId191" Type="http://schemas.openxmlformats.org/officeDocument/2006/relationships/hyperlink" Target="http://www.ncbi.nlm.nih.gov/pubmed/23336548" TargetMode="External"/><Relationship Id="rId205" Type="http://schemas.openxmlformats.org/officeDocument/2006/relationships/hyperlink" Target="https://www.ncbi.nlm.nih.gov/pubmed/?term=Williams%20SL%5BAuthor%5D&amp;cauthor=true&amp;cauthor_uid=18823177" TargetMode="External"/><Relationship Id="rId247" Type="http://schemas.openxmlformats.org/officeDocument/2006/relationships/hyperlink" Target="http://dx.DOI.org/10.1007/bf02850081" TargetMode="External"/><Relationship Id="rId412" Type="http://schemas.openxmlformats.org/officeDocument/2006/relationships/hyperlink" Target="https://www.ncbi.nlm.nih.gov/pubmed/23078600" TargetMode="External"/><Relationship Id="rId107" Type="http://schemas.openxmlformats.org/officeDocument/2006/relationships/hyperlink" Target="http://www.jehp.net/searchresult.asp?search=&amp;author=Mohammadkarim+Bahadori&amp;journal=Y&amp;but_search=Search&amp;entries=10&amp;pg=1&amp;s=0" TargetMode="External"/><Relationship Id="rId289" Type="http://schemas.openxmlformats.org/officeDocument/2006/relationships/hyperlink" Target="https://www.ncbi.nlm.nih.gov/pubmed/?term=Ahern%20L%5BAuthor%5D&amp;cauthor=true&amp;cauthor_uid=11427630" TargetMode="External"/><Relationship Id="rId454" Type="http://schemas.openxmlformats.org/officeDocument/2006/relationships/image" Target="media/image34.jpeg"/><Relationship Id="rId11" Type="http://schemas.openxmlformats.org/officeDocument/2006/relationships/hyperlink" Target="https://www.ncbi.nlm.nih.gov/pubmed/?term=Sepucha%20KR%5BAuthor%5D&amp;cauthor=true&amp;cauthor_uid=21471491" TargetMode="External"/><Relationship Id="rId53" Type="http://schemas.openxmlformats.org/officeDocument/2006/relationships/hyperlink" Target="https://www.ncbi.nlm.nih.gov/pubmed/?term=Dashtbozorgi%20B%5BAuthor%5D&amp;cauthor=true&amp;cauthor_uid=25389489" TargetMode="External"/><Relationship Id="rId149" Type="http://schemas.openxmlformats.org/officeDocument/2006/relationships/hyperlink" Target="https://www.ncbi.nlm.nih.gov/pubmed/?term=Sernyak%20MJ%5BAuthor%5D&amp;cauthor=true&amp;cauthor_uid=11590972" TargetMode="External"/><Relationship Id="rId314" Type="http://schemas.openxmlformats.org/officeDocument/2006/relationships/hyperlink" Target="http://www.ncbi.nlm.nih.gov/pubmed/?term=Hosseini%20FA%5BAuthor%5D&amp;cauthor=true&amp;cauthor_uid=25758872" TargetMode="External"/><Relationship Id="rId356" Type="http://schemas.openxmlformats.org/officeDocument/2006/relationships/hyperlink" Target="http://www.ncbi.nlm.nih.gov/pubmed/?term=Han%20HJ%5BAuthor%5D&amp;cauthor=true&amp;cauthor_uid=23480506" TargetMode="External"/><Relationship Id="rId398" Type="http://schemas.openxmlformats.org/officeDocument/2006/relationships/hyperlink" Target="http://www.ncbi.nlm.nih.gov/pubmed/?term=Boeschoten%20EW%5BAuthor%5D&amp;cauthor=true&amp;cauthor_uid=15034110" TargetMode="External"/><Relationship Id="rId95" Type="http://schemas.openxmlformats.org/officeDocument/2006/relationships/hyperlink" Target="http://www.ncbi.nlm.nih.gov/pubmed/?term=Ninan%20VT%5BAuthor%5D&amp;cauthor=true&amp;cauthor_uid=15350488" TargetMode="External"/><Relationship Id="rId160" Type="http://schemas.openxmlformats.org/officeDocument/2006/relationships/hyperlink" Target="http://www.ncbi.nlm.nih.gov/pubmed/?term=Eknoyan%20G%5BAuthor%5D&amp;cauthor=true&amp;cauthor_uid=12490682" TargetMode="External"/><Relationship Id="rId216" Type="http://schemas.openxmlformats.org/officeDocument/2006/relationships/hyperlink" Target="https://doi.org/10.1016/0020-7489(95)00055-0" TargetMode="External"/><Relationship Id="rId423" Type="http://schemas.openxmlformats.org/officeDocument/2006/relationships/hyperlink" Target="https://www.ncbi.nlm.nih.gov/pubmed/?term=Martin%20KJ%5BAuthor%5D&amp;cauthor=true&amp;cauthor_uid=20363541" TargetMode="External"/><Relationship Id="rId258" Type="http://schemas.openxmlformats.org/officeDocument/2006/relationships/hyperlink" Target="https://www.ncbi.nlm.nih.gov/pubmed/20954134" TargetMode="External"/><Relationship Id="rId22" Type="http://schemas.openxmlformats.org/officeDocument/2006/relationships/hyperlink" Target="https://www.ncbi.nlm.nih.gov/pubmed/?term=Girndt%20M%5BAuthor%5D&amp;cauthor=true&amp;cauthor_uid=28194476" TargetMode="External"/><Relationship Id="rId64" Type="http://schemas.openxmlformats.org/officeDocument/2006/relationships/image" Target="media/image10.emf"/><Relationship Id="rId118" Type="http://schemas.openxmlformats.org/officeDocument/2006/relationships/hyperlink" Target="https://www.ncbi.nlm.nih.gov/pubmed/?term=Zarea%20K%5BAuthor%5D&amp;cauthor=true&amp;cauthor_uid=25389489" TargetMode="External"/><Relationship Id="rId325" Type="http://schemas.openxmlformats.org/officeDocument/2006/relationships/hyperlink" Target="http://www.gdrc.org/uem/QOL-define.html" TargetMode="External"/><Relationship Id="rId367" Type="http://schemas.openxmlformats.org/officeDocument/2006/relationships/hyperlink" Target="https://www.ncbi.nlm.nih.gov/pubmed/?term=Kruizenga%20HM%5BAuthor%5D&amp;cauthor=true&amp;cauthor_uid=12753108" TargetMode="External"/><Relationship Id="rId171" Type="http://schemas.openxmlformats.org/officeDocument/2006/relationships/hyperlink" Target="https://www.ncbi.nlm.nih.gov/pubmed/?term=Lowrie%20EG%5BAuthor%5D&amp;cauthor=true&amp;cauthor_uid=3918267" TargetMode="External"/><Relationship Id="rId227" Type="http://schemas.openxmlformats.org/officeDocument/2006/relationships/hyperlink" Target="http://dx.doi.org/10.1136/jech.53.1.46" TargetMode="External"/><Relationship Id="rId269" Type="http://schemas.openxmlformats.org/officeDocument/2006/relationships/hyperlink" Target="https://www.ncbi.nlm.nih.gov/pubmed/?term=Dialysis%20Outcomes%20and%20Practice%20Patterns%20Study%20(DOPPS)%5BCorporate%20Author%5D" TargetMode="External"/><Relationship Id="rId434" Type="http://schemas.openxmlformats.org/officeDocument/2006/relationships/hyperlink" Target="https://www.ncbi.nlm.nih.gov/pubmed/15889805" TargetMode="External"/><Relationship Id="rId33" Type="http://schemas.openxmlformats.org/officeDocument/2006/relationships/hyperlink" Target="http://www.ncbi.nlm.nih.gov/pubmed/?term=Sleath%20BL%5BAuthor%5D&amp;cauthor=true&amp;cauthor_uid=14528539" TargetMode="External"/><Relationship Id="rId129" Type="http://schemas.openxmlformats.org/officeDocument/2006/relationships/hyperlink" Target="https://doi.org/10.1016/0277-9536(95)00113-L" TargetMode="External"/><Relationship Id="rId280" Type="http://schemas.openxmlformats.org/officeDocument/2006/relationships/hyperlink" Target="http://dx.doi.org/10.1053/j.ajkd.2004.08.012" TargetMode="External"/><Relationship Id="rId336" Type="http://schemas.openxmlformats.org/officeDocument/2006/relationships/hyperlink" Target="https://www.ncbi.nlm.nih.gov/pubmed/?term=Robinson%20JH%5BAuthor%5D&amp;cauthor=true&amp;cauthor_uid=19120591" TargetMode="External"/><Relationship Id="rId75" Type="http://schemas.openxmlformats.org/officeDocument/2006/relationships/image" Target="media/image21.emf"/><Relationship Id="rId140" Type="http://schemas.openxmlformats.org/officeDocument/2006/relationships/hyperlink" Target="http://psycnet.apa.org/doi/10.1037/0022-006X.70.3.712" TargetMode="External"/><Relationship Id="rId182" Type="http://schemas.openxmlformats.org/officeDocument/2006/relationships/hyperlink" Target="https://dx.doi.org/10.2147%2FPPA.S17167" TargetMode="External"/><Relationship Id="rId378" Type="http://schemas.openxmlformats.org/officeDocument/2006/relationships/hyperlink" Target="http://www.ncbi.nlm.nih.gov/pubmed/?term=Claesson%20C%5BAuthor%5D&amp;cauthor=true&amp;cauthor_uid=14528539" TargetMode="External"/><Relationship Id="rId403" Type="http://schemas.openxmlformats.org/officeDocument/2006/relationships/hyperlink" Target="https://www.ncbi.nlm.nih.gov/pubmed/?term=Thomas-Hawkins%20C%5BAuthor%5D&amp;cauthor=true&amp;cauthor_uid=11276628" TargetMode="External"/><Relationship Id="rId6" Type="http://schemas.openxmlformats.org/officeDocument/2006/relationships/footnotes" Target="footnotes.xml"/><Relationship Id="rId238" Type="http://schemas.openxmlformats.org/officeDocument/2006/relationships/hyperlink" Target="https://www.ncbi.nlm.nih.gov/pubmed/15518250" TargetMode="External"/><Relationship Id="rId445" Type="http://schemas.openxmlformats.org/officeDocument/2006/relationships/image" Target="media/image29.gif"/></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34055B-BC33-4E51-91EB-38AD8BA351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600</TotalTime>
  <Pages>318</Pages>
  <Words>83198</Words>
  <Characters>449274</Characters>
  <Application>Microsoft Office Word</Application>
  <DocSecurity>0</DocSecurity>
  <Lines>3743</Lines>
  <Paragraphs>1062</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531410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victoria</dc:creator>
  <cp:lastModifiedBy>valikari13</cp:lastModifiedBy>
  <cp:revision>23</cp:revision>
  <dcterms:created xsi:type="dcterms:W3CDTF">2017-09-17T19:50:00Z</dcterms:created>
  <dcterms:modified xsi:type="dcterms:W3CDTF">2017-11-22T09:55:00Z</dcterms:modified>
</cp:coreProperties>
</file>